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34D1" w14:textId="77777777" w:rsidR="00FC7DC8" w:rsidRPr="00704FF8" w:rsidRDefault="00FC7DC8" w:rsidP="00704FF8">
      <w:pPr>
        <w:pStyle w:val="OrdersTopLine"/>
      </w:pPr>
      <w:r w:rsidRPr="00704FF8">
        <w:t>HIGH COURT OF AUSTRALIA</w:t>
      </w:r>
    </w:p>
    <w:p w14:paraId="01512978" w14:textId="77777777" w:rsidR="00FC7DC8" w:rsidRPr="00704FF8" w:rsidRDefault="00FC7DC8" w:rsidP="00704FF8">
      <w:pPr>
        <w:pStyle w:val="OrderCentre"/>
      </w:pPr>
    </w:p>
    <w:p w14:paraId="21B097AB" w14:textId="77777777" w:rsidR="00FC7DC8" w:rsidRPr="00C46004" w:rsidRDefault="00FC7DC8" w:rsidP="00704FF8">
      <w:pPr>
        <w:pStyle w:val="OrderCentre"/>
        <w:rPr>
          <w:spacing w:val="-4"/>
          <w:sz w:val="24"/>
          <w:szCs w:val="24"/>
        </w:rPr>
      </w:pPr>
      <w:r w:rsidRPr="00C46004">
        <w:rPr>
          <w:spacing w:val="-4"/>
          <w:sz w:val="24"/>
          <w:szCs w:val="24"/>
        </w:rPr>
        <w:t>GAGELER CJ,</w:t>
      </w:r>
    </w:p>
    <w:p w14:paraId="0EB74202" w14:textId="77777777" w:rsidR="00FC7DC8" w:rsidRPr="00704FF8" w:rsidRDefault="00FC7DC8"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276BFF43" w14:textId="77777777" w:rsidR="00FC7DC8" w:rsidRPr="00427F3A" w:rsidRDefault="00FC7DC8" w:rsidP="00EE5374">
      <w:pPr>
        <w:pStyle w:val="Centre"/>
        <w:rPr>
          <w:lang w:val="en-AU"/>
        </w:rPr>
      </w:pPr>
    </w:p>
    <w:p w14:paraId="752C75D4" w14:textId="77777777" w:rsidR="00FC7DC8" w:rsidRPr="00704FF8" w:rsidRDefault="00FC7DC8" w:rsidP="00704FF8">
      <w:pPr>
        <w:pStyle w:val="OrdersCenteredBorder"/>
      </w:pPr>
    </w:p>
    <w:p w14:paraId="45B14F52" w14:textId="77777777" w:rsidR="00FC7DC8" w:rsidRPr="00704FF8" w:rsidRDefault="00FC7DC8" w:rsidP="0032341F">
      <w:pPr>
        <w:pStyle w:val="OrdersBodyHeading"/>
      </w:pPr>
    </w:p>
    <w:p w14:paraId="3E3CE46A" w14:textId="77777777" w:rsidR="00FC7DC8" w:rsidRPr="0032341F" w:rsidRDefault="00FC7DC8" w:rsidP="009362E8">
      <w:pPr>
        <w:pStyle w:val="OrdersPartyName"/>
        <w:ind w:right="-1"/>
      </w:pPr>
      <w:r w:rsidRPr="00BA4B91">
        <w:t xml:space="preserve">ANTHONY BOGAN </w:t>
      </w:r>
      <w:r>
        <w:t>&amp; ANOR</w:t>
      </w:r>
      <w:r w:rsidRPr="0032341F">
        <w:tab/>
      </w:r>
      <w:r>
        <w:t>APPLICANTS</w:t>
      </w:r>
    </w:p>
    <w:p w14:paraId="4113985D" w14:textId="77777777" w:rsidR="00FC7DC8" w:rsidRPr="0032341F" w:rsidRDefault="00FC7DC8" w:rsidP="009362E8">
      <w:pPr>
        <w:pStyle w:val="OrdersPartyName"/>
        <w:ind w:right="-1"/>
      </w:pPr>
    </w:p>
    <w:p w14:paraId="27C90A2B" w14:textId="77777777" w:rsidR="00FC7DC8" w:rsidRPr="0032341F" w:rsidRDefault="00FC7DC8" w:rsidP="009362E8">
      <w:pPr>
        <w:pStyle w:val="OrdersPartyName"/>
        <w:ind w:right="-1"/>
      </w:pPr>
      <w:r w:rsidRPr="0032341F">
        <w:t>AND</w:t>
      </w:r>
    </w:p>
    <w:p w14:paraId="6697DA0D" w14:textId="77777777" w:rsidR="00FC7DC8" w:rsidRPr="0032341F" w:rsidRDefault="00FC7DC8" w:rsidP="009362E8">
      <w:pPr>
        <w:pStyle w:val="OrdersPartyName"/>
        <w:ind w:right="-1"/>
      </w:pPr>
    </w:p>
    <w:p w14:paraId="6A951B08" w14:textId="77777777" w:rsidR="00FC7DC8" w:rsidRDefault="00FC7DC8" w:rsidP="009362E8">
      <w:pPr>
        <w:pStyle w:val="OrdersPartyName"/>
        <w:ind w:right="-1"/>
      </w:pPr>
      <w:r w:rsidRPr="00BA4B91">
        <w:t xml:space="preserve">THE ESTATE OF PETER JOHN SMEDLEY </w:t>
      </w:r>
    </w:p>
    <w:p w14:paraId="753AFAD6" w14:textId="77777777" w:rsidR="00FC7DC8" w:rsidRPr="0032341F" w:rsidRDefault="00FC7DC8" w:rsidP="009362E8">
      <w:pPr>
        <w:pStyle w:val="OrdersPartyName"/>
        <w:ind w:right="-1"/>
      </w:pPr>
      <w:r w:rsidRPr="00BA4B91">
        <w:t xml:space="preserve">(DECEASED) </w:t>
      </w:r>
      <w:r>
        <w:t>&amp; ORS</w:t>
      </w:r>
      <w:r w:rsidRPr="0032341F">
        <w:tab/>
        <w:t>RESPONDENT</w:t>
      </w:r>
      <w:r>
        <w:t>S</w:t>
      </w:r>
    </w:p>
    <w:p w14:paraId="72B5EA63" w14:textId="77777777" w:rsidR="00FC7DC8" w:rsidRPr="00427F3A" w:rsidRDefault="00FC7DC8" w:rsidP="00AF0A5E">
      <w:pPr>
        <w:pStyle w:val="BodyHeading"/>
      </w:pPr>
    </w:p>
    <w:p w14:paraId="47EDC18A" w14:textId="77777777" w:rsidR="00FC7DC8" w:rsidRPr="00427F3A" w:rsidRDefault="00FC7DC8" w:rsidP="00BE0A6C">
      <w:pPr>
        <w:pStyle w:val="BodyHeading"/>
      </w:pPr>
    </w:p>
    <w:p w14:paraId="0726A26E" w14:textId="77777777" w:rsidR="00FC7DC8" w:rsidRPr="00427F3A" w:rsidRDefault="00FC7DC8" w:rsidP="00EE5374">
      <w:pPr>
        <w:pStyle w:val="CentreItalics"/>
      </w:pPr>
      <w:r w:rsidRPr="008A5C23">
        <w:t>Bogan v The Estate of Peter John Smedley (Deceased)</w:t>
      </w:r>
    </w:p>
    <w:p w14:paraId="7031FA86" w14:textId="77777777" w:rsidR="00FC7DC8" w:rsidRPr="00427F3A" w:rsidRDefault="00FC7DC8" w:rsidP="00E90E4F">
      <w:pPr>
        <w:pStyle w:val="OrdersCentre"/>
      </w:pPr>
      <w:r>
        <w:t>[2025</w:t>
      </w:r>
      <w:r w:rsidRPr="00427F3A">
        <w:t xml:space="preserve">] HCA </w:t>
      </w:r>
      <w:r>
        <w:t>7</w:t>
      </w:r>
    </w:p>
    <w:p w14:paraId="4864D918" w14:textId="77777777" w:rsidR="00FC7DC8" w:rsidRDefault="00FC7DC8" w:rsidP="00E90E4F">
      <w:pPr>
        <w:pStyle w:val="OrdersCentreItalics"/>
      </w:pPr>
      <w:r>
        <w:t xml:space="preserve">Date of Hearing: </w:t>
      </w:r>
      <w:r w:rsidRPr="00BA4B91">
        <w:t>12 November 2024</w:t>
      </w:r>
    </w:p>
    <w:p w14:paraId="5FE955A5" w14:textId="77777777" w:rsidR="00FC7DC8" w:rsidRPr="00427F3A" w:rsidRDefault="00FC7DC8" w:rsidP="00E90E4F">
      <w:pPr>
        <w:pStyle w:val="OrdersCentreItalics"/>
      </w:pPr>
      <w:r>
        <w:t>Date of Judgment: 12 March 2025</w:t>
      </w:r>
    </w:p>
    <w:p w14:paraId="15877250" w14:textId="77777777" w:rsidR="00FC7DC8" w:rsidRDefault="00FC7DC8" w:rsidP="00E90E4F">
      <w:pPr>
        <w:pStyle w:val="OrdersCentre"/>
      </w:pPr>
      <w:r w:rsidRPr="009313AB">
        <w:t>M21/2024</w:t>
      </w:r>
    </w:p>
    <w:p w14:paraId="08391299" w14:textId="77777777" w:rsidR="00FC7DC8" w:rsidRPr="00427F3A" w:rsidRDefault="00FC7DC8" w:rsidP="00E90E4F">
      <w:pPr>
        <w:pStyle w:val="OrdersCentre"/>
      </w:pPr>
    </w:p>
    <w:p w14:paraId="108B3F84" w14:textId="77777777" w:rsidR="00FC7DC8" w:rsidRPr="00BE0A6C" w:rsidRDefault="00FC7DC8" w:rsidP="00E90E4F">
      <w:pPr>
        <w:pStyle w:val="OrderCentreBold"/>
      </w:pPr>
      <w:r w:rsidRPr="00BE0A6C">
        <w:t>ORDER</w:t>
      </w:r>
    </w:p>
    <w:p w14:paraId="49106CD1" w14:textId="77777777" w:rsidR="00FC7DC8" w:rsidRPr="00427F3A" w:rsidRDefault="00FC7DC8" w:rsidP="00736C52">
      <w:pPr>
        <w:pStyle w:val="Centre"/>
        <w:rPr>
          <w:lang w:val="en-AU"/>
        </w:rPr>
      </w:pPr>
    </w:p>
    <w:p w14:paraId="162B5ACE" w14:textId="77777777" w:rsidR="00FC7DC8" w:rsidRDefault="00FC7DC8" w:rsidP="00DA6F53">
      <w:pPr>
        <w:pStyle w:val="OrdersText"/>
      </w:pPr>
      <w:r>
        <w:t>1.</w:t>
      </w:r>
      <w:r>
        <w:tab/>
        <w:t>The questions reserved for the consideration of the Court of Appeal of the Supreme Court of Victoria under s 17</w:t>
      </w:r>
      <w:proofErr w:type="gramStart"/>
      <w:r>
        <w:t>B(</w:t>
      </w:r>
      <w:proofErr w:type="gramEnd"/>
      <w:r>
        <w:t xml:space="preserve">2) of the </w:t>
      </w:r>
      <w:r w:rsidRPr="002C158D">
        <w:rPr>
          <w:i w:val="0"/>
        </w:rPr>
        <w:t xml:space="preserve">Supreme Court Act 1986 </w:t>
      </w:r>
      <w:r>
        <w:t xml:space="preserve">(Vic) and which have been removed into the High Court under s 40(2) of the </w:t>
      </w:r>
      <w:r w:rsidRPr="00947744">
        <w:rPr>
          <w:i w:val="0"/>
        </w:rPr>
        <w:t>Judiciary Act 1903</w:t>
      </w:r>
      <w:r>
        <w:rPr>
          <w:iCs/>
        </w:rPr>
        <w:t xml:space="preserve"> </w:t>
      </w:r>
      <w:r>
        <w:t>(</w:t>
      </w:r>
      <w:proofErr w:type="spellStart"/>
      <w:r>
        <w:t>Cth</w:t>
      </w:r>
      <w:proofErr w:type="spellEnd"/>
      <w:r>
        <w:t>) by an order made on 7 March 2024 be answered as follows:</w:t>
      </w:r>
    </w:p>
    <w:p w14:paraId="18475240" w14:textId="77777777" w:rsidR="00FC7DC8" w:rsidRDefault="00FC7DC8" w:rsidP="00DA6F53">
      <w:pPr>
        <w:pStyle w:val="OrdersText"/>
      </w:pPr>
    </w:p>
    <w:p w14:paraId="032B2AAF" w14:textId="77777777" w:rsidR="00FC7DC8" w:rsidRPr="00CE13B0" w:rsidRDefault="00FC7DC8" w:rsidP="00BC6E8C">
      <w:pPr>
        <w:pStyle w:val="OrdersText"/>
        <w:ind w:left="2160" w:hanging="1451"/>
      </w:pPr>
      <w:r>
        <w:t>Question 1:</w:t>
      </w:r>
      <w:r>
        <w:tab/>
        <w:t>In exercising the discretion to transfer proceedings to another court under s 1337</w:t>
      </w:r>
      <w:proofErr w:type="gramStart"/>
      <w:r>
        <w:t>H(</w:t>
      </w:r>
      <w:proofErr w:type="gramEnd"/>
      <w:r>
        <w:t xml:space="preserve">2) of the </w:t>
      </w:r>
      <w:r w:rsidRPr="00947744">
        <w:rPr>
          <w:i w:val="0"/>
        </w:rPr>
        <w:t xml:space="preserve">Corporations Act 2001 </w:t>
      </w:r>
      <w:r>
        <w:t>(</w:t>
      </w:r>
      <w:proofErr w:type="spellStart"/>
      <w:r>
        <w:t>Cth</w:t>
      </w:r>
      <w:proofErr w:type="spellEnd"/>
      <w:r>
        <w:t xml:space="preserve">), is the fact that the Supreme Court of Victoria has made a group costs order ("GCO") under s 33ZDA of the </w:t>
      </w:r>
      <w:r w:rsidRPr="00947744">
        <w:rPr>
          <w:i w:val="0"/>
        </w:rPr>
        <w:t>Supreme Court Act 1986</w:t>
      </w:r>
      <w:r>
        <w:t xml:space="preserve"> (Vic) relevant?</w:t>
      </w:r>
    </w:p>
    <w:p w14:paraId="2A112F5A" w14:textId="77777777" w:rsidR="00FC7DC8" w:rsidRDefault="00FC7DC8" w:rsidP="00BC6E8C">
      <w:pPr>
        <w:pStyle w:val="OrdersText"/>
        <w:ind w:left="1418"/>
      </w:pPr>
    </w:p>
    <w:p w14:paraId="705256E0" w14:textId="77777777" w:rsidR="00FC7DC8" w:rsidRDefault="00FC7DC8" w:rsidP="00BC6E8C">
      <w:pPr>
        <w:pStyle w:val="OrdersText"/>
        <w:ind w:left="1418"/>
      </w:pPr>
      <w:r>
        <w:t>Answer:</w:t>
      </w:r>
      <w:r>
        <w:tab/>
        <w:t>Yes.</w:t>
      </w:r>
    </w:p>
    <w:p w14:paraId="21DBD5A6" w14:textId="77777777" w:rsidR="00FC7DC8" w:rsidRDefault="00FC7DC8" w:rsidP="00BC6E8C">
      <w:pPr>
        <w:pStyle w:val="OrdersText"/>
        <w:ind w:left="1418"/>
      </w:pPr>
    </w:p>
    <w:p w14:paraId="09A007F7" w14:textId="77777777" w:rsidR="00FC7DC8" w:rsidRDefault="00FC7DC8" w:rsidP="00A97540">
      <w:pPr>
        <w:pStyle w:val="OrdersText"/>
        <w:ind w:left="2160" w:hanging="1451"/>
      </w:pPr>
      <w:r>
        <w:t>Question 2:</w:t>
      </w:r>
      <w:r>
        <w:tab/>
        <w:t>If the proceedings are transferred to the Supreme Court of New South Wales:</w:t>
      </w:r>
    </w:p>
    <w:p w14:paraId="5B5E4D38" w14:textId="77777777" w:rsidR="00FC7DC8" w:rsidRDefault="00FC7DC8" w:rsidP="00A97540">
      <w:pPr>
        <w:pStyle w:val="OrdersText"/>
        <w:ind w:left="1418"/>
      </w:pPr>
    </w:p>
    <w:p w14:paraId="449FD5B2" w14:textId="77777777" w:rsidR="00FC7DC8" w:rsidRDefault="00FC7D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1110934" w14:textId="77777777" w:rsidR="00FC7DC8" w:rsidRDefault="00FC7D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BC549EA" w14:textId="42D5D9CB" w:rsidR="00FC7DC8" w:rsidRDefault="00FC7DC8" w:rsidP="00A97540">
      <w:pPr>
        <w:pStyle w:val="OrdersText"/>
        <w:ind w:left="2880" w:hanging="720"/>
      </w:pPr>
      <w:r>
        <w:lastRenderedPageBreak/>
        <w:t>(a)</w:t>
      </w:r>
      <w:r>
        <w:tab/>
        <w:t>will the GCO made by the Supreme Court of Victoria on 3 May 2022 remain in force and be capable of being enforced by the Supreme Court of New South Wales, subject to any order of that Court?</w:t>
      </w:r>
    </w:p>
    <w:p w14:paraId="6AB1776A" w14:textId="77777777" w:rsidR="00FC7DC8" w:rsidRDefault="00FC7DC8" w:rsidP="00BC6E8C">
      <w:pPr>
        <w:pStyle w:val="OrdersText"/>
        <w:ind w:left="1418"/>
      </w:pPr>
    </w:p>
    <w:p w14:paraId="353EFC71" w14:textId="77777777" w:rsidR="00FC7DC8" w:rsidRDefault="00FC7DC8" w:rsidP="00AD7836">
      <w:pPr>
        <w:pStyle w:val="OrdersText"/>
        <w:ind w:left="2869"/>
      </w:pPr>
      <w:r>
        <w:t>Answer:</w:t>
      </w:r>
      <w:r>
        <w:tab/>
        <w:t>No.</w:t>
      </w:r>
    </w:p>
    <w:p w14:paraId="4C675A36" w14:textId="77777777" w:rsidR="00FC7DC8" w:rsidRDefault="00FC7DC8" w:rsidP="00BC6E8C">
      <w:pPr>
        <w:pStyle w:val="OrdersText"/>
        <w:ind w:left="1418"/>
      </w:pPr>
    </w:p>
    <w:p w14:paraId="33FC9752" w14:textId="77777777" w:rsidR="00FC7DC8" w:rsidRDefault="00FC7DC8" w:rsidP="001652E8">
      <w:pPr>
        <w:pStyle w:val="OrdersText"/>
        <w:ind w:left="2869"/>
      </w:pPr>
      <w:r>
        <w:t>(b)</w:t>
      </w:r>
      <w:r>
        <w:tab/>
        <w:t>if the GCO will remain in force, does the Supreme Court of New South Wales have power to vary or revoke the GCO?</w:t>
      </w:r>
    </w:p>
    <w:p w14:paraId="7C45E620" w14:textId="77777777" w:rsidR="00FC7DC8" w:rsidRDefault="00FC7DC8" w:rsidP="00BC6E8C">
      <w:pPr>
        <w:pStyle w:val="OrdersText"/>
        <w:ind w:left="1418"/>
      </w:pPr>
    </w:p>
    <w:p w14:paraId="209A4274" w14:textId="77777777" w:rsidR="00FC7DC8" w:rsidRDefault="00FC7DC8" w:rsidP="00AD7836">
      <w:pPr>
        <w:pStyle w:val="OrdersText"/>
        <w:ind w:left="2869"/>
      </w:pPr>
      <w:r>
        <w:t>Answer:</w:t>
      </w:r>
      <w:r>
        <w:tab/>
        <w:t>Does not arise.</w:t>
      </w:r>
    </w:p>
    <w:p w14:paraId="58F4141C" w14:textId="77777777" w:rsidR="00FC7DC8" w:rsidRDefault="00FC7DC8" w:rsidP="00BC6E8C">
      <w:pPr>
        <w:pStyle w:val="OrdersText"/>
        <w:ind w:left="1418"/>
      </w:pPr>
    </w:p>
    <w:p w14:paraId="26B46A50" w14:textId="77777777" w:rsidR="00FC7DC8" w:rsidRPr="00E94D2F" w:rsidRDefault="00FC7DC8" w:rsidP="00572A28">
      <w:pPr>
        <w:pStyle w:val="OrdersText"/>
        <w:ind w:left="2160" w:hanging="1451"/>
      </w:pPr>
      <w:r>
        <w:t>Question 3:</w:t>
      </w:r>
      <w:r>
        <w:tab/>
        <w:t xml:space="preserve">Should this proceeding (S ECI 2020 03281) be transferred to the Supreme Court of New South Wales pursuant to s 1337H of the </w:t>
      </w:r>
      <w:r w:rsidRPr="00572A28">
        <w:rPr>
          <w:i w:val="0"/>
        </w:rPr>
        <w:t>Corporations Act 2001</w:t>
      </w:r>
      <w:r>
        <w:t xml:space="preserve"> (</w:t>
      </w:r>
      <w:proofErr w:type="spellStart"/>
      <w:r>
        <w:t>Cth</w:t>
      </w:r>
      <w:proofErr w:type="spellEnd"/>
      <w:r>
        <w:t>), as sought in prayer 3 of the summons filed by the fifth defendant on 26 February 2021?</w:t>
      </w:r>
    </w:p>
    <w:p w14:paraId="725F475E" w14:textId="77777777" w:rsidR="00FC7DC8" w:rsidRDefault="00FC7DC8" w:rsidP="00BC6E8C">
      <w:pPr>
        <w:pStyle w:val="OrdersText"/>
        <w:ind w:left="1418"/>
      </w:pPr>
    </w:p>
    <w:p w14:paraId="4C41C5DA" w14:textId="77777777" w:rsidR="00FC7DC8" w:rsidRDefault="00FC7DC8" w:rsidP="00BC6E8C">
      <w:pPr>
        <w:pStyle w:val="OrdersText"/>
        <w:ind w:left="1418"/>
      </w:pPr>
      <w:r>
        <w:t>Answer:</w:t>
      </w:r>
      <w:r>
        <w:tab/>
        <w:t>No.</w:t>
      </w:r>
    </w:p>
    <w:p w14:paraId="12501AD5" w14:textId="77777777" w:rsidR="00FC7DC8" w:rsidRDefault="00FC7DC8" w:rsidP="00DA6F53">
      <w:pPr>
        <w:pStyle w:val="OrdersText"/>
      </w:pPr>
    </w:p>
    <w:p w14:paraId="262220AB" w14:textId="77777777" w:rsidR="00FC7DC8" w:rsidRDefault="00FC7DC8" w:rsidP="00DA6F53">
      <w:pPr>
        <w:pStyle w:val="OrdersText"/>
      </w:pPr>
      <w:r>
        <w:t>2.</w:t>
      </w:r>
      <w:r>
        <w:tab/>
        <w:t xml:space="preserve">The respondents pay the applicants' costs of the proceeding in this Court, including the removal application. </w:t>
      </w:r>
    </w:p>
    <w:p w14:paraId="064BF7F2" w14:textId="77777777" w:rsidR="00FC7DC8" w:rsidRDefault="00FC7DC8" w:rsidP="00EE5374">
      <w:pPr>
        <w:pStyle w:val="Body"/>
      </w:pPr>
    </w:p>
    <w:p w14:paraId="2B73BEC1" w14:textId="77777777" w:rsidR="00FC7DC8" w:rsidRPr="00427F3A" w:rsidRDefault="00FC7DC8" w:rsidP="00EE5374">
      <w:pPr>
        <w:pStyle w:val="Body"/>
      </w:pPr>
    </w:p>
    <w:p w14:paraId="1269C2AA" w14:textId="77777777" w:rsidR="00FC7DC8" w:rsidRPr="00427F3A" w:rsidRDefault="00FC7DC8" w:rsidP="00E90E4F">
      <w:pPr>
        <w:pStyle w:val="OrdersBodyHeading"/>
      </w:pPr>
      <w:r w:rsidRPr="00427F3A">
        <w:t>Representation</w:t>
      </w:r>
    </w:p>
    <w:p w14:paraId="7E5DB158" w14:textId="77777777" w:rsidR="00FC7DC8" w:rsidRDefault="00FC7DC8" w:rsidP="00EE5374">
      <w:pPr>
        <w:pStyle w:val="Body"/>
      </w:pPr>
    </w:p>
    <w:p w14:paraId="6B698902" w14:textId="77777777" w:rsidR="00FC7DC8" w:rsidRPr="001B4D0C" w:rsidRDefault="00FC7DC8" w:rsidP="00E90E4F">
      <w:pPr>
        <w:pStyle w:val="OrdersBody"/>
      </w:pPr>
      <w:r w:rsidRPr="001B4D0C">
        <w:t xml:space="preserve">J T Gleeson SC with S H Hartford Davis and M O </w:t>
      </w:r>
      <w:proofErr w:type="spellStart"/>
      <w:r w:rsidRPr="001B4D0C">
        <w:t>Pulsford</w:t>
      </w:r>
      <w:proofErr w:type="spellEnd"/>
      <w:r w:rsidRPr="001B4D0C">
        <w:t xml:space="preserve"> for the applicants (instructed by Banton Group)</w:t>
      </w:r>
    </w:p>
    <w:p w14:paraId="4AB9FE4C" w14:textId="77777777" w:rsidR="00FC7DC8" w:rsidRPr="001B4D0C" w:rsidRDefault="00FC7DC8" w:rsidP="001B3C97">
      <w:pPr>
        <w:pStyle w:val="Body"/>
      </w:pPr>
    </w:p>
    <w:p w14:paraId="5C5D8B17" w14:textId="77777777" w:rsidR="00FC7DC8" w:rsidRPr="001B4D0C" w:rsidRDefault="00FC7DC8" w:rsidP="00E90E4F">
      <w:pPr>
        <w:pStyle w:val="OrdersBody"/>
      </w:pPr>
      <w:r w:rsidRPr="001B4D0C">
        <w:t>T N Spencer Bruce SC with D P Farinha for the first to fourth respondents (instructed by Baker McKenzie)</w:t>
      </w:r>
    </w:p>
    <w:p w14:paraId="0BADD743" w14:textId="77777777" w:rsidR="00FC7DC8" w:rsidRPr="001B4D0C" w:rsidRDefault="00FC7DC8" w:rsidP="009313AB">
      <w:pPr>
        <w:pStyle w:val="Body"/>
      </w:pPr>
    </w:p>
    <w:p w14:paraId="2727DA04" w14:textId="77777777" w:rsidR="00FC7DC8" w:rsidRPr="001B4D0C" w:rsidRDefault="00FC7DC8" w:rsidP="009313AB">
      <w:pPr>
        <w:pStyle w:val="OrdersBody"/>
      </w:pPr>
      <w:r w:rsidRPr="001B4D0C">
        <w:t xml:space="preserve">P D Herzfeld SC with J L Roy and J G </w:t>
      </w:r>
      <w:proofErr w:type="spellStart"/>
      <w:r w:rsidRPr="001B4D0C">
        <w:t>Wherrett</w:t>
      </w:r>
      <w:proofErr w:type="spellEnd"/>
      <w:r w:rsidRPr="001B4D0C">
        <w:t xml:space="preserve"> for the fifth respondent (instructed by Ashurst Australia)</w:t>
      </w:r>
    </w:p>
    <w:p w14:paraId="3EE39987" w14:textId="77777777" w:rsidR="00FC7DC8" w:rsidRPr="001B4D0C" w:rsidRDefault="00FC7DC8" w:rsidP="009313AB">
      <w:pPr>
        <w:pStyle w:val="Body"/>
      </w:pPr>
    </w:p>
    <w:p w14:paraId="55EB5912" w14:textId="14FF1795" w:rsidR="00FC7DC8" w:rsidRDefault="00FC7D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9385D10" w14:textId="2256EF8D" w:rsidR="00FC7DC8" w:rsidRDefault="00FC7D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AC1BADC" w14:textId="77777777" w:rsidR="00FC7DC8" w:rsidRPr="001B4D0C" w:rsidRDefault="00FC7DC8" w:rsidP="00FC7DC8">
      <w:pPr>
        <w:pStyle w:val="OrdersBody"/>
      </w:pPr>
      <w:r w:rsidRPr="001B4D0C">
        <w:lastRenderedPageBreak/>
        <w:t xml:space="preserve">S P </w:t>
      </w:r>
      <w:proofErr w:type="spellStart"/>
      <w:r w:rsidRPr="001B4D0C">
        <w:t>Donaghue</w:t>
      </w:r>
      <w:proofErr w:type="spellEnd"/>
      <w:r w:rsidRPr="001B4D0C">
        <w:t xml:space="preserve"> KC, Solicitor-General of the Commonwealth, with S N Rajanayagam </w:t>
      </w:r>
      <w:r>
        <w:t xml:space="preserve">for </w:t>
      </w:r>
      <w:r w:rsidRPr="001B4D0C">
        <w:t>the Attorney</w:t>
      </w:r>
      <w:r>
        <w:t>-</w:t>
      </w:r>
      <w:r w:rsidRPr="001B4D0C">
        <w:t>General of the Commonwealth, intervening (instructed by Australian Government Solicitor)</w:t>
      </w:r>
    </w:p>
    <w:p w14:paraId="652A60B0" w14:textId="77777777" w:rsidR="00FC7DC8" w:rsidRPr="001B4D0C" w:rsidRDefault="00FC7DC8" w:rsidP="00FC7DC8">
      <w:pPr>
        <w:pStyle w:val="Body"/>
      </w:pPr>
    </w:p>
    <w:p w14:paraId="25CC26D1" w14:textId="77777777" w:rsidR="00FC7DC8" w:rsidRDefault="00FC7DC8" w:rsidP="00FC7DC8">
      <w:pPr>
        <w:pStyle w:val="Body"/>
      </w:pPr>
    </w:p>
    <w:p w14:paraId="53616C99" w14:textId="77777777" w:rsidR="00FC7DC8" w:rsidRDefault="00FC7DC8" w:rsidP="00FC7DC8">
      <w:pPr>
        <w:pStyle w:val="Body"/>
      </w:pPr>
    </w:p>
    <w:p w14:paraId="4A1CD6E3" w14:textId="77777777" w:rsidR="00FC7DC8" w:rsidRDefault="00FC7DC8" w:rsidP="00FC7DC8">
      <w:pPr>
        <w:pStyle w:val="Body"/>
      </w:pPr>
    </w:p>
    <w:p w14:paraId="3B2ACFCA" w14:textId="77777777" w:rsidR="00FC7DC8" w:rsidRDefault="00FC7DC8" w:rsidP="00FC7DC8">
      <w:pPr>
        <w:pStyle w:val="Body"/>
      </w:pPr>
    </w:p>
    <w:p w14:paraId="1A8B08E1" w14:textId="77777777" w:rsidR="00FC7DC8" w:rsidRDefault="00FC7DC8" w:rsidP="00FC7DC8">
      <w:pPr>
        <w:pStyle w:val="Body"/>
      </w:pPr>
    </w:p>
    <w:p w14:paraId="337D5B0A" w14:textId="77777777" w:rsidR="00FC7DC8" w:rsidRDefault="00FC7DC8" w:rsidP="00FC7DC8">
      <w:pPr>
        <w:pStyle w:val="Body"/>
      </w:pPr>
    </w:p>
    <w:p w14:paraId="1C1A64AF" w14:textId="77777777" w:rsidR="00FC7DC8" w:rsidRDefault="00FC7DC8" w:rsidP="00FC7DC8">
      <w:pPr>
        <w:pStyle w:val="Body"/>
      </w:pPr>
    </w:p>
    <w:p w14:paraId="5690F6B4" w14:textId="77777777" w:rsidR="00FC7DC8" w:rsidRDefault="00FC7DC8" w:rsidP="00FC7DC8">
      <w:pPr>
        <w:pStyle w:val="Body"/>
      </w:pPr>
    </w:p>
    <w:p w14:paraId="06EB3A89" w14:textId="77777777" w:rsidR="00FC7DC8" w:rsidRDefault="00FC7DC8" w:rsidP="00FC7DC8">
      <w:pPr>
        <w:pStyle w:val="Body"/>
      </w:pPr>
    </w:p>
    <w:p w14:paraId="5440A033" w14:textId="77777777" w:rsidR="00FC7DC8" w:rsidRDefault="00FC7DC8" w:rsidP="00FC7DC8">
      <w:pPr>
        <w:pStyle w:val="Body"/>
      </w:pPr>
    </w:p>
    <w:p w14:paraId="48B3E9AB" w14:textId="77777777" w:rsidR="00FC7DC8" w:rsidRDefault="00FC7DC8" w:rsidP="00FC7DC8">
      <w:pPr>
        <w:pStyle w:val="Body"/>
      </w:pPr>
    </w:p>
    <w:p w14:paraId="1C5CC3AB" w14:textId="77777777" w:rsidR="00FC7DC8" w:rsidRDefault="00FC7DC8" w:rsidP="00FC7DC8">
      <w:pPr>
        <w:pStyle w:val="Body"/>
      </w:pPr>
    </w:p>
    <w:p w14:paraId="65EBBA83" w14:textId="77777777" w:rsidR="00FC7DC8" w:rsidRDefault="00FC7DC8" w:rsidP="00FC7DC8">
      <w:pPr>
        <w:pStyle w:val="Body"/>
      </w:pPr>
    </w:p>
    <w:p w14:paraId="7DCDEFA8" w14:textId="77777777" w:rsidR="00FC7DC8" w:rsidRDefault="00FC7DC8" w:rsidP="00FC7DC8">
      <w:pPr>
        <w:pStyle w:val="Body"/>
      </w:pPr>
    </w:p>
    <w:p w14:paraId="156FE428" w14:textId="77777777" w:rsidR="00FC7DC8" w:rsidRDefault="00FC7DC8" w:rsidP="00FC7DC8">
      <w:pPr>
        <w:pStyle w:val="Body"/>
      </w:pPr>
    </w:p>
    <w:p w14:paraId="17C5758B" w14:textId="77777777" w:rsidR="00FC7DC8" w:rsidRDefault="00FC7DC8" w:rsidP="00FC7DC8">
      <w:pPr>
        <w:pStyle w:val="Body"/>
      </w:pPr>
    </w:p>
    <w:p w14:paraId="4681FE94" w14:textId="77777777" w:rsidR="00FC7DC8" w:rsidRDefault="00FC7DC8" w:rsidP="00FC7DC8">
      <w:pPr>
        <w:pStyle w:val="Body"/>
      </w:pPr>
    </w:p>
    <w:p w14:paraId="6B56DA44" w14:textId="77777777" w:rsidR="00FC7DC8" w:rsidRDefault="00FC7DC8" w:rsidP="00FC7DC8">
      <w:pPr>
        <w:pStyle w:val="Body"/>
      </w:pPr>
    </w:p>
    <w:p w14:paraId="6980C245" w14:textId="77777777" w:rsidR="00FC7DC8" w:rsidRDefault="00FC7DC8" w:rsidP="00FC7DC8">
      <w:pPr>
        <w:pStyle w:val="Body"/>
      </w:pPr>
    </w:p>
    <w:p w14:paraId="6E9A131B" w14:textId="77777777" w:rsidR="00FC7DC8" w:rsidRDefault="00FC7DC8" w:rsidP="00FC7DC8">
      <w:pPr>
        <w:pStyle w:val="Body"/>
      </w:pPr>
    </w:p>
    <w:p w14:paraId="6961F3B1" w14:textId="77777777" w:rsidR="00FC7DC8" w:rsidRDefault="00FC7DC8" w:rsidP="00FC7DC8">
      <w:pPr>
        <w:pStyle w:val="Body"/>
      </w:pPr>
    </w:p>
    <w:p w14:paraId="1177B039" w14:textId="77777777" w:rsidR="00FC7DC8" w:rsidRDefault="00FC7DC8" w:rsidP="00FC7DC8">
      <w:pPr>
        <w:pStyle w:val="Body"/>
      </w:pPr>
    </w:p>
    <w:p w14:paraId="0A062DE3" w14:textId="77777777" w:rsidR="00FC7DC8" w:rsidRDefault="00FC7DC8" w:rsidP="00FC7DC8">
      <w:pPr>
        <w:pStyle w:val="Body"/>
      </w:pPr>
    </w:p>
    <w:p w14:paraId="249E0F64" w14:textId="77777777" w:rsidR="00FC7DC8" w:rsidRDefault="00FC7DC8" w:rsidP="00FC7DC8">
      <w:pPr>
        <w:pStyle w:val="Body"/>
      </w:pPr>
    </w:p>
    <w:p w14:paraId="7B6967D6" w14:textId="77777777" w:rsidR="00FC7DC8" w:rsidRDefault="00FC7DC8" w:rsidP="00FC7DC8">
      <w:pPr>
        <w:pStyle w:val="Body"/>
      </w:pPr>
    </w:p>
    <w:p w14:paraId="059065E6" w14:textId="77777777" w:rsidR="00FC7DC8" w:rsidRDefault="00FC7DC8" w:rsidP="00FC7DC8">
      <w:pPr>
        <w:pStyle w:val="Body"/>
      </w:pPr>
    </w:p>
    <w:p w14:paraId="6FC53AFE" w14:textId="77777777" w:rsidR="00FC7DC8" w:rsidRDefault="00FC7DC8" w:rsidP="00FC7DC8">
      <w:pPr>
        <w:pStyle w:val="Body"/>
      </w:pPr>
    </w:p>
    <w:p w14:paraId="315B17A9" w14:textId="77777777" w:rsidR="00FC7DC8" w:rsidRDefault="00FC7DC8" w:rsidP="00FC7DC8">
      <w:pPr>
        <w:pStyle w:val="Body"/>
      </w:pPr>
    </w:p>
    <w:p w14:paraId="0AC2E79F" w14:textId="77777777" w:rsidR="00FC7DC8" w:rsidRDefault="00FC7DC8" w:rsidP="00FC7DC8">
      <w:pPr>
        <w:pStyle w:val="Body"/>
      </w:pPr>
    </w:p>
    <w:p w14:paraId="2A14FB5C" w14:textId="77777777" w:rsidR="00FC7DC8" w:rsidRDefault="00FC7DC8" w:rsidP="00FC7DC8">
      <w:pPr>
        <w:pStyle w:val="Body"/>
      </w:pPr>
    </w:p>
    <w:p w14:paraId="4A537ADE" w14:textId="77777777" w:rsidR="00FC7DC8" w:rsidRDefault="00FC7DC8" w:rsidP="00FC7DC8">
      <w:pPr>
        <w:pStyle w:val="Body"/>
      </w:pPr>
    </w:p>
    <w:p w14:paraId="1A0A664B" w14:textId="77777777" w:rsidR="00FC7DC8" w:rsidRDefault="00FC7DC8" w:rsidP="00FC7DC8">
      <w:pPr>
        <w:pStyle w:val="Body"/>
      </w:pPr>
    </w:p>
    <w:p w14:paraId="5DE5C45C" w14:textId="77777777" w:rsidR="00FC7DC8" w:rsidRDefault="00FC7DC8" w:rsidP="00FC7DC8">
      <w:pPr>
        <w:pStyle w:val="Body"/>
      </w:pPr>
    </w:p>
    <w:p w14:paraId="01F90078" w14:textId="77777777" w:rsidR="00FC7DC8" w:rsidRPr="001B4D0C" w:rsidRDefault="00FC7DC8" w:rsidP="00FC7DC8">
      <w:pPr>
        <w:pStyle w:val="Body"/>
      </w:pPr>
    </w:p>
    <w:p w14:paraId="40C4E6FF" w14:textId="77777777" w:rsidR="00FC7DC8" w:rsidRPr="00427F3A" w:rsidRDefault="00FC7DC8" w:rsidP="00F9713B">
      <w:pPr>
        <w:pStyle w:val="Notice"/>
        <w:rPr>
          <w:lang w:val="en-AU"/>
        </w:rPr>
      </w:pPr>
      <w:r w:rsidRPr="001B4D0C">
        <w:rPr>
          <w:lang w:val="en-AU"/>
        </w:rPr>
        <w:t>Notice:  This copy of the Court's Reasons for Judgment is subject to formal revision prior to publication in the Commonwealth Law</w:t>
      </w:r>
      <w:r w:rsidRPr="00427F3A">
        <w:rPr>
          <w:lang w:val="en-AU"/>
        </w:rPr>
        <w:t xml:space="preserve"> Reports.</w:t>
      </w:r>
    </w:p>
    <w:p w14:paraId="64ACF23A" w14:textId="5CDAC71F" w:rsidR="00FC7DC8" w:rsidRDefault="00FC7D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F37E51D" w14:textId="77777777" w:rsidR="00E47D0C" w:rsidRDefault="00FC7D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47D0C" w:rsidSect="00FC7DC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A225EA0" w14:textId="77777777" w:rsidR="00E47D0C" w:rsidRPr="00094A09" w:rsidRDefault="00E47D0C" w:rsidP="00E47D0C">
      <w:pPr>
        <w:pStyle w:val="CatchwordsBold"/>
      </w:pPr>
      <w:r>
        <w:lastRenderedPageBreak/>
        <w:t>CATCHWORDS</w:t>
      </w:r>
    </w:p>
    <w:p w14:paraId="6394C91C" w14:textId="77777777" w:rsidR="00E47D0C" w:rsidRPr="00094A09" w:rsidRDefault="00E47D0C" w:rsidP="00E47D0C">
      <w:pPr>
        <w:pStyle w:val="CatchwordsBold"/>
      </w:pPr>
    </w:p>
    <w:p w14:paraId="5DF41EB9" w14:textId="77777777" w:rsidR="00E47D0C" w:rsidRPr="00094A09" w:rsidRDefault="00E47D0C" w:rsidP="00E47D0C">
      <w:pPr>
        <w:pStyle w:val="CatchwordsBold"/>
      </w:pPr>
      <w:r>
        <w:t xml:space="preserve">Bogan v The Estate of Peter John Smedley (Deceased) </w:t>
      </w:r>
    </w:p>
    <w:p w14:paraId="794B7A18" w14:textId="77777777" w:rsidR="00E47D0C" w:rsidRPr="00094A09" w:rsidRDefault="00E47D0C" w:rsidP="00E47D0C">
      <w:pPr>
        <w:pStyle w:val="CatchwordsBold"/>
      </w:pPr>
    </w:p>
    <w:p w14:paraId="5F97D138" w14:textId="77777777" w:rsidR="00E47D0C" w:rsidRPr="00094A09" w:rsidRDefault="00E47D0C" w:rsidP="00E47D0C">
      <w:pPr>
        <w:pStyle w:val="CatchwordsText"/>
      </w:pPr>
      <w:r>
        <w:t>Courts</w:t>
      </w:r>
      <w:r w:rsidRPr="00094A09">
        <w:t xml:space="preserve"> –</w:t>
      </w:r>
      <w:r>
        <w:t xml:space="preserve"> State courts invested with federal jurisdiction – Powers – Exercise of powers – Where Supreme Court of Victoria uniquely empowered to make group costs order ("GCO") – Where s 1337H(2) of </w:t>
      </w:r>
      <w:r>
        <w:rPr>
          <w:i/>
          <w:iCs/>
        </w:rPr>
        <w:t xml:space="preserve">Corporations Act 2001 </w:t>
      </w:r>
      <w:r>
        <w:t>(</w:t>
      </w:r>
      <w:proofErr w:type="spellStart"/>
      <w:r>
        <w:t>Cth</w:t>
      </w:r>
      <w:proofErr w:type="spellEnd"/>
      <w:r>
        <w:t xml:space="preserve">) allows transferor court to transfer proceeding to another court if, having regard to interests of justice, it is more appropriate – Where s 1337P(2) of </w:t>
      </w:r>
      <w:r w:rsidRPr="00A54921">
        <w:rPr>
          <w:i/>
          <w:iCs/>
        </w:rPr>
        <w:t>Corporations Act</w:t>
      </w:r>
      <w:r>
        <w:t xml:space="preserve"> provides that if proceeding transferred then transferee court must deal with proceeding as if, subject to any order of transferee court, steps that had been taken for purposes of proceeding in transferor court, or similar steps, had been taken in transferee court – Where group proceeding commenced in Supreme Court of Victoria – Where plaintiffs applied for GCO – Where fifth defendant applied for transfer of group proceeding to Supreme Court of New South Wales – Where primary judge ordered transfer application be determined after GCO application – Where GCO made – Where considerable risk that group proceeding would not be able to continue without GCO – Whether fact of Supreme Court of Victoria having made GCO relevant to exercise of discretion under s 1337H(2) of </w:t>
      </w:r>
      <w:r w:rsidRPr="00A54921">
        <w:rPr>
          <w:i/>
          <w:iCs/>
        </w:rPr>
        <w:t xml:space="preserve">Corporations Act </w:t>
      </w:r>
      <w:r>
        <w:t xml:space="preserve">to transfer proceeding – Whether GCO will remain in force and be capable of being enforced by Supreme Court of New South Wales if proceeding transferred to Supreme Court of New South Wales – Whether Supreme Court of New South Wales has power to revoke or vary GCO if it remains in force – Whether group proceeding should be transferred to Supreme Court of New South Wales pursuant to s 1337H of </w:t>
      </w:r>
      <w:r w:rsidRPr="00A54921">
        <w:rPr>
          <w:i/>
          <w:iCs/>
        </w:rPr>
        <w:t>Corporations Act</w:t>
      </w:r>
      <w:r w:rsidRPr="00094A09">
        <w:t>.</w:t>
      </w:r>
    </w:p>
    <w:p w14:paraId="5E423DC3" w14:textId="77777777" w:rsidR="00E47D0C" w:rsidRPr="00E47D0C" w:rsidRDefault="00E47D0C" w:rsidP="00E47D0C">
      <w:pPr>
        <w:pStyle w:val="CatchwordsText"/>
      </w:pPr>
    </w:p>
    <w:p w14:paraId="2E485BAD" w14:textId="77777777" w:rsidR="00E47D0C" w:rsidRPr="00094A09" w:rsidRDefault="00E47D0C" w:rsidP="00E47D0C">
      <w:pPr>
        <w:pStyle w:val="CatchwordsText"/>
      </w:pPr>
      <w:r w:rsidRPr="00094A09">
        <w:t>Words and phrases –</w:t>
      </w:r>
      <w:r>
        <w:t xml:space="preserve"> "access to justice", "appropriate forum", "class action", "connecting factors", "contingency fee", "discretion", "federal jurisdiction", "group costs order", "group proceeding", "interests of justice", "jurisdiction", "removal", "similar steps", "statutory fiction", "steps", "stultification", "transfer", "transfer application", "transferee court", "transferor court"</w:t>
      </w:r>
      <w:r w:rsidRPr="00094A09">
        <w:t>.</w:t>
      </w:r>
    </w:p>
    <w:p w14:paraId="28F1BCAA" w14:textId="77777777" w:rsidR="00E47D0C" w:rsidRPr="00E47D0C" w:rsidRDefault="00E47D0C" w:rsidP="00E47D0C">
      <w:pPr>
        <w:pStyle w:val="CatchwordsText"/>
      </w:pPr>
    </w:p>
    <w:p w14:paraId="5CDF7DCE" w14:textId="77777777" w:rsidR="00E47D0C" w:rsidRPr="00E47D0C" w:rsidRDefault="00E47D0C" w:rsidP="00E47D0C">
      <w:pPr>
        <w:pStyle w:val="CatchwordsText"/>
      </w:pPr>
      <w:r>
        <w:rPr>
          <w:i/>
          <w:iCs/>
        </w:rPr>
        <w:t xml:space="preserve">Corporations Act 2001 </w:t>
      </w:r>
      <w:r>
        <w:t>(</w:t>
      </w:r>
      <w:proofErr w:type="spellStart"/>
      <w:r>
        <w:t>Cth</w:t>
      </w:r>
      <w:proofErr w:type="spellEnd"/>
      <w:r>
        <w:t>), Pt 9.6A, Div 1.</w:t>
      </w:r>
    </w:p>
    <w:p w14:paraId="04EA1C95" w14:textId="77777777" w:rsidR="00E47D0C" w:rsidRPr="00E47D0C" w:rsidRDefault="00E47D0C" w:rsidP="00E47D0C">
      <w:pPr>
        <w:pStyle w:val="CatchwordsText"/>
      </w:pPr>
      <w:r w:rsidRPr="00E47D0C">
        <w:rPr>
          <w:i/>
          <w:iCs/>
        </w:rPr>
        <w:t>Judiciary Act 1903</w:t>
      </w:r>
      <w:r>
        <w:t xml:space="preserve"> (</w:t>
      </w:r>
      <w:proofErr w:type="spellStart"/>
      <w:r>
        <w:t>Cth</w:t>
      </w:r>
      <w:proofErr w:type="spellEnd"/>
      <w:r>
        <w:t>), s 79.</w:t>
      </w:r>
    </w:p>
    <w:p w14:paraId="24574451" w14:textId="77777777" w:rsidR="00E47D0C" w:rsidRPr="00E47D0C" w:rsidRDefault="00E47D0C" w:rsidP="00E47D0C">
      <w:pPr>
        <w:pStyle w:val="CatchwordsText"/>
      </w:pPr>
      <w:r w:rsidRPr="00E47D0C">
        <w:rPr>
          <w:i/>
          <w:iCs/>
        </w:rPr>
        <w:t>Civil Procedure Act 2005</w:t>
      </w:r>
      <w:r>
        <w:t xml:space="preserve"> (NSW), Pt 10.</w:t>
      </w:r>
    </w:p>
    <w:p w14:paraId="42E49624" w14:textId="77777777" w:rsidR="00E47D0C" w:rsidRPr="00E47D0C" w:rsidRDefault="00E47D0C" w:rsidP="00E47D0C">
      <w:pPr>
        <w:pStyle w:val="CatchwordsText"/>
      </w:pPr>
      <w:r w:rsidRPr="00E47D0C">
        <w:rPr>
          <w:i/>
          <w:iCs/>
        </w:rPr>
        <w:t>Legal Profession Uniform Law</w:t>
      </w:r>
      <w:r>
        <w:t xml:space="preserve"> (NSW), Pt 4.3, Div 4.</w:t>
      </w:r>
    </w:p>
    <w:p w14:paraId="5660BE31" w14:textId="77777777" w:rsidR="00E47D0C" w:rsidRPr="00E47D0C" w:rsidRDefault="00E47D0C" w:rsidP="00E47D0C">
      <w:pPr>
        <w:pStyle w:val="CatchwordsText"/>
      </w:pPr>
      <w:r w:rsidRPr="00E47D0C">
        <w:rPr>
          <w:i/>
          <w:iCs/>
        </w:rPr>
        <w:t>Legal Profession Uniform Law</w:t>
      </w:r>
      <w:r>
        <w:t xml:space="preserve"> (Vic), Pt 4.3, Div 4.</w:t>
      </w:r>
    </w:p>
    <w:p w14:paraId="5015DB42" w14:textId="3C48C0EF" w:rsidR="00FC7DC8" w:rsidRDefault="00E47D0C" w:rsidP="00E47D0C">
      <w:pPr>
        <w:pStyle w:val="CatchwordsText"/>
      </w:pPr>
      <w:r w:rsidRPr="00E47D0C">
        <w:rPr>
          <w:i/>
          <w:iCs/>
        </w:rPr>
        <w:t xml:space="preserve">Supreme Court Act 1986 </w:t>
      </w:r>
      <w:r>
        <w:t>(Vic), s 33ZDA.</w:t>
      </w:r>
    </w:p>
    <w:p w14:paraId="3D882640" w14:textId="39724A06" w:rsidR="00E47D0C" w:rsidRDefault="00E47D0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08E90A2" w14:textId="284F897E" w:rsidR="00E47D0C" w:rsidRDefault="00E47D0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E5A7D52" w14:textId="77777777" w:rsidR="00FC7DC8" w:rsidRDefault="00FC7DC8" w:rsidP="00391B86">
      <w:pPr>
        <w:pStyle w:val="FixListStyle"/>
        <w:tabs>
          <w:tab w:val="clear" w:pos="720"/>
          <w:tab w:val="left" w:pos="0"/>
        </w:tabs>
        <w:spacing w:after="260" w:line="280" w:lineRule="exact"/>
        <w:ind w:right="0"/>
        <w:jc w:val="both"/>
        <w:rPr>
          <w:rFonts w:ascii="Times New Roman" w:hAnsi="Times New Roman"/>
        </w:rPr>
        <w:sectPr w:rsidR="00FC7DC8" w:rsidSect="00E47D0C">
          <w:pgSz w:w="11907" w:h="16839" w:code="9"/>
          <w:pgMar w:top="1440" w:right="1701" w:bottom="1984" w:left="1701" w:header="720" w:footer="720" w:gutter="0"/>
          <w:pgNumType w:start="1"/>
          <w:cols w:space="720"/>
          <w:titlePg/>
          <w:docGrid w:linePitch="354"/>
        </w:sectPr>
      </w:pPr>
    </w:p>
    <w:p w14:paraId="0E36F7AE" w14:textId="268BD065" w:rsidR="0096333C" w:rsidRPr="00391B86" w:rsidRDefault="00391B86" w:rsidP="00391B86">
      <w:pPr>
        <w:pStyle w:val="FixListStyle"/>
        <w:tabs>
          <w:tab w:val="clear" w:pos="720"/>
          <w:tab w:val="left" w:pos="0"/>
        </w:tabs>
        <w:spacing w:after="260" w:line="280" w:lineRule="exact"/>
        <w:ind w:right="0"/>
        <w:jc w:val="both"/>
        <w:rPr>
          <w:rFonts w:ascii="Times New Roman" w:hAnsi="Times New Roman"/>
        </w:rPr>
      </w:pPr>
      <w:r w:rsidRPr="00391B86">
        <w:rPr>
          <w:rFonts w:ascii="Times New Roman" w:hAnsi="Times New Roman"/>
        </w:rPr>
        <w:lastRenderedPageBreak/>
        <w:t xml:space="preserve">GAGELER CJ, GORDON, GLEESON, JAGOT AND BEECH-JONES JJ.   </w:t>
      </w:r>
      <w:r w:rsidR="000C6FEE" w:rsidRPr="00391B86">
        <w:rPr>
          <w:rFonts w:ascii="Times New Roman" w:hAnsi="Times New Roman"/>
        </w:rPr>
        <w:t>The charging by</w:t>
      </w:r>
      <w:r w:rsidR="00CC21C9" w:rsidRPr="00391B86">
        <w:rPr>
          <w:rFonts w:ascii="Times New Roman" w:hAnsi="Times New Roman"/>
        </w:rPr>
        <w:t xml:space="preserve"> a law practice </w:t>
      </w:r>
      <w:r w:rsidR="000C6FEE" w:rsidRPr="00391B86">
        <w:rPr>
          <w:rFonts w:ascii="Times New Roman" w:hAnsi="Times New Roman"/>
        </w:rPr>
        <w:t>of</w:t>
      </w:r>
      <w:r w:rsidR="00DA1824" w:rsidRPr="00391B86">
        <w:rPr>
          <w:rFonts w:ascii="Times New Roman" w:hAnsi="Times New Roman"/>
        </w:rPr>
        <w:t xml:space="preserve"> </w:t>
      </w:r>
      <w:r w:rsidR="00217702" w:rsidRPr="00391B86">
        <w:rPr>
          <w:rFonts w:ascii="Times New Roman" w:hAnsi="Times New Roman"/>
        </w:rPr>
        <w:t xml:space="preserve">a contingency fee, being an amount of </w:t>
      </w:r>
      <w:r w:rsidR="00F25032" w:rsidRPr="00391B86">
        <w:rPr>
          <w:rFonts w:ascii="Times New Roman" w:hAnsi="Times New Roman"/>
        </w:rPr>
        <w:t xml:space="preserve">legal costs </w:t>
      </w:r>
      <w:r w:rsidR="000B0959" w:rsidRPr="00391B86">
        <w:rPr>
          <w:rFonts w:ascii="Times New Roman" w:hAnsi="Times New Roman"/>
        </w:rPr>
        <w:t xml:space="preserve">calculated </w:t>
      </w:r>
      <w:r w:rsidR="004A08D8" w:rsidRPr="00391B86">
        <w:rPr>
          <w:rFonts w:ascii="Times New Roman" w:hAnsi="Times New Roman"/>
        </w:rPr>
        <w:t>as a proportion of</w:t>
      </w:r>
      <w:r w:rsidR="008A313E" w:rsidRPr="00391B86">
        <w:rPr>
          <w:rFonts w:ascii="Times New Roman" w:hAnsi="Times New Roman"/>
        </w:rPr>
        <w:t xml:space="preserve"> </w:t>
      </w:r>
      <w:r w:rsidR="00A00F5C" w:rsidRPr="00391B86">
        <w:rPr>
          <w:rFonts w:ascii="Times New Roman" w:hAnsi="Times New Roman"/>
        </w:rPr>
        <w:t>the amount rec</w:t>
      </w:r>
      <w:r w:rsidR="004A08D8" w:rsidRPr="00391B86">
        <w:rPr>
          <w:rFonts w:ascii="Times New Roman" w:hAnsi="Times New Roman"/>
        </w:rPr>
        <w:t>overed</w:t>
      </w:r>
      <w:r w:rsidR="00DA1824" w:rsidRPr="00391B86">
        <w:rPr>
          <w:rFonts w:ascii="Times New Roman" w:hAnsi="Times New Roman"/>
        </w:rPr>
        <w:t xml:space="preserve"> </w:t>
      </w:r>
      <w:r w:rsidR="00B45594" w:rsidRPr="00391B86">
        <w:rPr>
          <w:rFonts w:ascii="Times New Roman" w:hAnsi="Times New Roman"/>
        </w:rPr>
        <w:t xml:space="preserve">by a client </w:t>
      </w:r>
      <w:r w:rsidR="002F1094" w:rsidRPr="00391B86">
        <w:rPr>
          <w:rFonts w:ascii="Times New Roman" w:hAnsi="Times New Roman"/>
        </w:rPr>
        <w:t>in a proceeding</w:t>
      </w:r>
      <w:r w:rsidR="00217702" w:rsidRPr="00391B86">
        <w:rPr>
          <w:rFonts w:ascii="Times New Roman" w:hAnsi="Times New Roman"/>
        </w:rPr>
        <w:t xml:space="preserve">, </w:t>
      </w:r>
      <w:r w:rsidR="00DA1824" w:rsidRPr="00391B86">
        <w:rPr>
          <w:rFonts w:ascii="Times New Roman" w:hAnsi="Times New Roman"/>
        </w:rPr>
        <w:t>is</w:t>
      </w:r>
      <w:r w:rsidR="00BB7BCF" w:rsidRPr="00391B86">
        <w:rPr>
          <w:rFonts w:ascii="Times New Roman" w:hAnsi="Times New Roman"/>
        </w:rPr>
        <w:t xml:space="preserve"> </w:t>
      </w:r>
      <w:r w:rsidR="00DA1824" w:rsidRPr="00391B86">
        <w:rPr>
          <w:rFonts w:ascii="Times New Roman" w:hAnsi="Times New Roman"/>
        </w:rPr>
        <w:t>prohibited in Victoria as</w:t>
      </w:r>
      <w:r w:rsidR="00AE528A" w:rsidRPr="00391B86">
        <w:rPr>
          <w:rFonts w:ascii="Times New Roman" w:hAnsi="Times New Roman"/>
        </w:rPr>
        <w:t xml:space="preserve"> it is</w:t>
      </w:r>
      <w:r w:rsidR="00887EE9" w:rsidRPr="00391B86">
        <w:rPr>
          <w:rFonts w:ascii="Times New Roman" w:hAnsi="Times New Roman"/>
        </w:rPr>
        <w:t xml:space="preserve"> </w:t>
      </w:r>
      <w:r w:rsidR="00DA1824" w:rsidRPr="00391B86">
        <w:rPr>
          <w:rFonts w:ascii="Times New Roman" w:hAnsi="Times New Roman"/>
        </w:rPr>
        <w:t xml:space="preserve">in </w:t>
      </w:r>
      <w:r w:rsidR="000D689A" w:rsidRPr="00391B86">
        <w:rPr>
          <w:rFonts w:ascii="Times New Roman" w:hAnsi="Times New Roman"/>
        </w:rPr>
        <w:t xml:space="preserve">New South Wales </w:t>
      </w:r>
      <w:r w:rsidR="00EA3B9C" w:rsidRPr="00391B86">
        <w:rPr>
          <w:rFonts w:ascii="Times New Roman" w:hAnsi="Times New Roman"/>
        </w:rPr>
        <w:t xml:space="preserve">and in </w:t>
      </w:r>
      <w:r w:rsidR="00BB7BCF" w:rsidRPr="00391B86">
        <w:rPr>
          <w:rFonts w:ascii="Times New Roman" w:hAnsi="Times New Roman"/>
        </w:rPr>
        <w:t>other States and Territories</w:t>
      </w:r>
      <w:r w:rsidR="00DA1824" w:rsidRPr="00391B86">
        <w:rPr>
          <w:rFonts w:ascii="Times New Roman" w:hAnsi="Times New Roman"/>
        </w:rPr>
        <w:t>.</w:t>
      </w:r>
      <w:r w:rsidR="00350111" w:rsidRPr="00391B86">
        <w:rPr>
          <w:rStyle w:val="FootnoteReference"/>
          <w:rFonts w:ascii="Times New Roman" w:hAnsi="Times New Roman"/>
          <w:sz w:val="24"/>
        </w:rPr>
        <w:footnoteReference w:id="2"/>
      </w:r>
      <w:r w:rsidR="00BB7BCF" w:rsidRPr="00391B86">
        <w:rPr>
          <w:rFonts w:ascii="Times New Roman" w:hAnsi="Times New Roman"/>
        </w:rPr>
        <w:t xml:space="preserve"> </w:t>
      </w:r>
      <w:r w:rsidR="00812A53" w:rsidRPr="00391B86">
        <w:rPr>
          <w:rFonts w:ascii="Times New Roman" w:hAnsi="Times New Roman"/>
        </w:rPr>
        <w:t>Uniquely, t</w:t>
      </w:r>
      <w:r w:rsidR="007317A1" w:rsidRPr="00391B86">
        <w:rPr>
          <w:rFonts w:ascii="Times New Roman" w:hAnsi="Times New Roman"/>
        </w:rPr>
        <w:t xml:space="preserve">he </w:t>
      </w:r>
      <w:r w:rsidR="007317A1" w:rsidRPr="00391B86">
        <w:rPr>
          <w:rFonts w:ascii="Times New Roman" w:hAnsi="Times New Roman"/>
          <w:i/>
          <w:iCs/>
        </w:rPr>
        <w:t xml:space="preserve">Supreme </w:t>
      </w:r>
      <w:r w:rsidR="004B3FC7" w:rsidRPr="00391B86">
        <w:rPr>
          <w:rFonts w:ascii="Times New Roman" w:hAnsi="Times New Roman"/>
          <w:i/>
          <w:iCs/>
        </w:rPr>
        <w:t>Court Act 1986</w:t>
      </w:r>
      <w:r w:rsidR="004B3FC7" w:rsidRPr="00391B86">
        <w:rPr>
          <w:rFonts w:ascii="Times New Roman" w:hAnsi="Times New Roman"/>
        </w:rPr>
        <w:t xml:space="preserve"> (Vic) </w:t>
      </w:r>
      <w:r w:rsidR="00FD34BE" w:rsidRPr="00391B86">
        <w:rPr>
          <w:rFonts w:ascii="Times New Roman" w:hAnsi="Times New Roman"/>
        </w:rPr>
        <w:t>("the Supreme Court Act")</w:t>
      </w:r>
      <w:r w:rsidR="003C0909" w:rsidRPr="00391B86">
        <w:rPr>
          <w:rFonts w:ascii="Times New Roman" w:hAnsi="Times New Roman"/>
        </w:rPr>
        <w:t xml:space="preserve"> creates</w:t>
      </w:r>
      <w:r w:rsidR="00BD4953" w:rsidRPr="00391B86">
        <w:rPr>
          <w:rFonts w:ascii="Times New Roman" w:hAnsi="Times New Roman"/>
        </w:rPr>
        <w:t xml:space="preserve"> </w:t>
      </w:r>
      <w:r w:rsidR="00AE528A" w:rsidRPr="00391B86">
        <w:rPr>
          <w:rFonts w:ascii="Times New Roman" w:hAnsi="Times New Roman"/>
        </w:rPr>
        <w:t xml:space="preserve">an exception to that prohibition </w:t>
      </w:r>
      <w:r w:rsidR="00B653ED" w:rsidRPr="00391B86">
        <w:rPr>
          <w:rFonts w:ascii="Times New Roman" w:hAnsi="Times New Roman"/>
        </w:rPr>
        <w:t>in</w:t>
      </w:r>
      <w:r w:rsidR="003B184E" w:rsidRPr="00391B86">
        <w:rPr>
          <w:rFonts w:ascii="Times New Roman" w:hAnsi="Times New Roman"/>
        </w:rPr>
        <w:t xml:space="preserve"> </w:t>
      </w:r>
      <w:r w:rsidR="00B653ED" w:rsidRPr="00391B86">
        <w:rPr>
          <w:rFonts w:ascii="Times New Roman" w:hAnsi="Times New Roman"/>
        </w:rPr>
        <w:t>so</w:t>
      </w:r>
      <w:r w:rsidR="003B184E" w:rsidRPr="00391B86">
        <w:rPr>
          <w:rFonts w:ascii="Times New Roman" w:hAnsi="Times New Roman"/>
        </w:rPr>
        <w:t xml:space="preserve"> </w:t>
      </w:r>
      <w:r w:rsidR="00B653ED" w:rsidRPr="00391B86">
        <w:rPr>
          <w:rFonts w:ascii="Times New Roman" w:hAnsi="Times New Roman"/>
        </w:rPr>
        <w:t>far as it</w:t>
      </w:r>
      <w:r w:rsidR="000C3C26" w:rsidRPr="00391B86">
        <w:rPr>
          <w:rFonts w:ascii="Times New Roman" w:hAnsi="Times New Roman"/>
        </w:rPr>
        <w:t xml:space="preserve"> </w:t>
      </w:r>
      <w:r w:rsidR="004E3801" w:rsidRPr="00391B86">
        <w:rPr>
          <w:rFonts w:ascii="Times New Roman" w:hAnsi="Times New Roman"/>
        </w:rPr>
        <w:t>empower</w:t>
      </w:r>
      <w:r w:rsidR="000C3C26" w:rsidRPr="00391B86">
        <w:rPr>
          <w:rFonts w:ascii="Times New Roman" w:hAnsi="Times New Roman"/>
        </w:rPr>
        <w:t>s</w:t>
      </w:r>
      <w:r w:rsidR="004B3FC7" w:rsidRPr="00391B86">
        <w:rPr>
          <w:rFonts w:ascii="Times New Roman" w:hAnsi="Times New Roman"/>
        </w:rPr>
        <w:t xml:space="preserve"> the Supreme Court of Victoria</w:t>
      </w:r>
      <w:r w:rsidR="004E3801" w:rsidRPr="00391B86">
        <w:rPr>
          <w:rFonts w:ascii="Times New Roman" w:hAnsi="Times New Roman"/>
        </w:rPr>
        <w:t xml:space="preserve"> </w:t>
      </w:r>
      <w:r w:rsidR="00C8682F" w:rsidRPr="00391B86">
        <w:rPr>
          <w:rFonts w:ascii="Times New Roman" w:hAnsi="Times New Roman"/>
        </w:rPr>
        <w:t xml:space="preserve">to make a "group costs order" ("GCO") </w:t>
      </w:r>
      <w:r w:rsidR="00B653ED" w:rsidRPr="00391B86">
        <w:rPr>
          <w:rFonts w:ascii="Times New Roman" w:hAnsi="Times New Roman"/>
        </w:rPr>
        <w:t xml:space="preserve">in a </w:t>
      </w:r>
      <w:r w:rsidR="009D1CD7" w:rsidRPr="00391B86">
        <w:rPr>
          <w:rFonts w:ascii="Times New Roman" w:hAnsi="Times New Roman"/>
        </w:rPr>
        <w:t>group</w:t>
      </w:r>
      <w:r w:rsidR="00B653ED" w:rsidRPr="00391B86">
        <w:rPr>
          <w:rFonts w:ascii="Times New Roman" w:hAnsi="Times New Roman"/>
        </w:rPr>
        <w:t xml:space="preserve"> proceeding </w:t>
      </w:r>
      <w:r w:rsidR="00653279" w:rsidRPr="00391B86">
        <w:rPr>
          <w:rFonts w:ascii="Times New Roman" w:hAnsi="Times New Roman"/>
        </w:rPr>
        <w:t xml:space="preserve">commenced </w:t>
      </w:r>
      <w:r w:rsidR="009D1CD7" w:rsidRPr="00391B86">
        <w:rPr>
          <w:rFonts w:ascii="Times New Roman" w:hAnsi="Times New Roman"/>
        </w:rPr>
        <w:t xml:space="preserve">under Pt 4A </w:t>
      </w:r>
      <w:r w:rsidR="00F246F6" w:rsidRPr="00391B86">
        <w:rPr>
          <w:rFonts w:ascii="Times New Roman" w:hAnsi="Times New Roman"/>
        </w:rPr>
        <w:t xml:space="preserve">of </w:t>
      </w:r>
      <w:r w:rsidR="00653279" w:rsidRPr="00391B86">
        <w:rPr>
          <w:rFonts w:ascii="Times New Roman" w:hAnsi="Times New Roman"/>
        </w:rPr>
        <w:t xml:space="preserve">the Supreme Court Act. </w:t>
      </w:r>
      <w:r w:rsidR="004B382B" w:rsidRPr="00391B86">
        <w:rPr>
          <w:rFonts w:ascii="Times New Roman" w:hAnsi="Times New Roman"/>
        </w:rPr>
        <w:t>A</w:t>
      </w:r>
      <w:r w:rsidR="00253169" w:rsidRPr="00391B86">
        <w:rPr>
          <w:rFonts w:ascii="Times New Roman" w:hAnsi="Times New Roman"/>
        </w:rPr>
        <w:t xml:space="preserve"> GCO</w:t>
      </w:r>
      <w:r w:rsidR="007D7C37" w:rsidRPr="00391B86">
        <w:rPr>
          <w:rFonts w:ascii="Times New Roman" w:hAnsi="Times New Roman"/>
        </w:rPr>
        <w:t xml:space="preserve"> </w:t>
      </w:r>
      <w:r w:rsidR="00922FCD" w:rsidRPr="00391B86">
        <w:rPr>
          <w:rFonts w:ascii="Times New Roman" w:hAnsi="Times New Roman"/>
        </w:rPr>
        <w:t>is an order that</w:t>
      </w:r>
      <w:r w:rsidR="007A63E7" w:rsidRPr="00391B86">
        <w:rPr>
          <w:rFonts w:ascii="Times New Roman" w:hAnsi="Times New Roman"/>
        </w:rPr>
        <w:t xml:space="preserve"> </w:t>
      </w:r>
      <w:r w:rsidR="00742E3F" w:rsidRPr="00391B86">
        <w:rPr>
          <w:rFonts w:ascii="Times New Roman" w:hAnsi="Times New Roman"/>
        </w:rPr>
        <w:t xml:space="preserve">the </w:t>
      </w:r>
      <w:r w:rsidR="00922FCD" w:rsidRPr="00391B86">
        <w:rPr>
          <w:rFonts w:ascii="Times New Roman" w:hAnsi="Times New Roman"/>
        </w:rPr>
        <w:t xml:space="preserve">legal costs payable to the </w:t>
      </w:r>
      <w:r w:rsidR="00742E3F" w:rsidRPr="00391B86">
        <w:rPr>
          <w:rFonts w:ascii="Times New Roman" w:hAnsi="Times New Roman"/>
        </w:rPr>
        <w:t>law practice representing the plaintiff and group members</w:t>
      </w:r>
      <w:r w:rsidR="00CA3EC3" w:rsidRPr="00391B86">
        <w:rPr>
          <w:rFonts w:ascii="Times New Roman" w:hAnsi="Times New Roman"/>
        </w:rPr>
        <w:t xml:space="preserve"> </w:t>
      </w:r>
      <w:r w:rsidR="00A522B1" w:rsidRPr="00391B86">
        <w:rPr>
          <w:rFonts w:ascii="Times New Roman" w:hAnsi="Times New Roman"/>
        </w:rPr>
        <w:t xml:space="preserve">in a </w:t>
      </w:r>
      <w:r w:rsidR="00D20999" w:rsidRPr="00391B86">
        <w:rPr>
          <w:rFonts w:ascii="Times New Roman" w:hAnsi="Times New Roman"/>
        </w:rPr>
        <w:t xml:space="preserve">group </w:t>
      </w:r>
      <w:r w:rsidR="00A522B1" w:rsidRPr="00391B86">
        <w:rPr>
          <w:rFonts w:ascii="Times New Roman" w:hAnsi="Times New Roman"/>
        </w:rPr>
        <w:t xml:space="preserve">proceeding </w:t>
      </w:r>
      <w:r w:rsidR="00AD2EEB" w:rsidRPr="00391B86">
        <w:rPr>
          <w:rFonts w:ascii="Times New Roman" w:hAnsi="Times New Roman"/>
        </w:rPr>
        <w:t>be calculated as</w:t>
      </w:r>
      <w:r w:rsidR="00CB2051" w:rsidRPr="00391B86">
        <w:rPr>
          <w:rFonts w:ascii="Times New Roman" w:hAnsi="Times New Roman"/>
        </w:rPr>
        <w:t xml:space="preserve"> </w:t>
      </w:r>
      <w:r w:rsidR="000C3145" w:rsidRPr="00391B86">
        <w:rPr>
          <w:rFonts w:ascii="Times New Roman" w:hAnsi="Times New Roman"/>
        </w:rPr>
        <w:t xml:space="preserve">a </w:t>
      </w:r>
      <w:r w:rsidR="00D607DB" w:rsidRPr="00391B86">
        <w:rPr>
          <w:rFonts w:ascii="Times New Roman" w:hAnsi="Times New Roman"/>
        </w:rPr>
        <w:t xml:space="preserve">specified </w:t>
      </w:r>
      <w:r w:rsidR="000C3145" w:rsidRPr="00391B86">
        <w:rPr>
          <w:rFonts w:ascii="Times New Roman" w:hAnsi="Times New Roman"/>
        </w:rPr>
        <w:t xml:space="preserve">percentage of the amount of any </w:t>
      </w:r>
      <w:r w:rsidR="00101DA8" w:rsidRPr="00391B86">
        <w:rPr>
          <w:rFonts w:ascii="Times New Roman" w:hAnsi="Times New Roman"/>
        </w:rPr>
        <w:t xml:space="preserve">award </w:t>
      </w:r>
      <w:r w:rsidR="000C3145" w:rsidRPr="00391B86">
        <w:rPr>
          <w:rFonts w:ascii="Times New Roman" w:hAnsi="Times New Roman"/>
        </w:rPr>
        <w:t>or settlement</w:t>
      </w:r>
      <w:r w:rsidR="004202FF" w:rsidRPr="00391B86">
        <w:rPr>
          <w:rFonts w:ascii="Times New Roman" w:hAnsi="Times New Roman"/>
        </w:rPr>
        <w:t xml:space="preserve"> </w:t>
      </w:r>
      <w:r w:rsidR="006A744D" w:rsidRPr="00391B86">
        <w:rPr>
          <w:rFonts w:ascii="Times New Roman" w:hAnsi="Times New Roman"/>
        </w:rPr>
        <w:t xml:space="preserve">recovered </w:t>
      </w:r>
      <w:r w:rsidR="004202FF" w:rsidRPr="00391B86">
        <w:rPr>
          <w:rFonts w:ascii="Times New Roman" w:hAnsi="Times New Roman"/>
        </w:rPr>
        <w:t xml:space="preserve">in </w:t>
      </w:r>
      <w:r w:rsidR="00A522B1" w:rsidRPr="00391B86">
        <w:rPr>
          <w:rFonts w:ascii="Times New Roman" w:hAnsi="Times New Roman"/>
        </w:rPr>
        <w:t>the</w:t>
      </w:r>
      <w:r w:rsidR="004202FF" w:rsidRPr="00391B86">
        <w:rPr>
          <w:rFonts w:ascii="Times New Roman" w:hAnsi="Times New Roman"/>
        </w:rPr>
        <w:t xml:space="preserve"> proceeding</w:t>
      </w:r>
      <w:r w:rsidR="00A522B1" w:rsidRPr="00391B86">
        <w:rPr>
          <w:rFonts w:ascii="Times New Roman" w:hAnsi="Times New Roman"/>
        </w:rPr>
        <w:t xml:space="preserve"> </w:t>
      </w:r>
      <w:r w:rsidR="00531125" w:rsidRPr="00391B86">
        <w:rPr>
          <w:rFonts w:ascii="Times New Roman" w:hAnsi="Times New Roman"/>
        </w:rPr>
        <w:t>and that liability for payment of those legal cost</w:t>
      </w:r>
      <w:r w:rsidR="00350448" w:rsidRPr="00391B86">
        <w:rPr>
          <w:rFonts w:ascii="Times New Roman" w:hAnsi="Times New Roman"/>
        </w:rPr>
        <w:t>s</w:t>
      </w:r>
      <w:r w:rsidR="00531125" w:rsidRPr="00391B86">
        <w:rPr>
          <w:rFonts w:ascii="Times New Roman" w:hAnsi="Times New Roman"/>
        </w:rPr>
        <w:t xml:space="preserve"> be shared </w:t>
      </w:r>
      <w:r w:rsidR="00635360" w:rsidRPr="00391B86">
        <w:rPr>
          <w:rFonts w:ascii="Times New Roman" w:hAnsi="Times New Roman"/>
        </w:rPr>
        <w:t>am</w:t>
      </w:r>
      <w:r w:rsidR="00350448" w:rsidRPr="00391B86">
        <w:rPr>
          <w:rFonts w:ascii="Times New Roman" w:hAnsi="Times New Roman"/>
        </w:rPr>
        <w:t>ongst the</w:t>
      </w:r>
      <w:r w:rsidR="003032C4" w:rsidRPr="00391B86">
        <w:rPr>
          <w:rFonts w:ascii="Times New Roman" w:hAnsi="Times New Roman"/>
        </w:rPr>
        <w:t xml:space="preserve"> plaintiff and group members</w:t>
      </w:r>
      <w:r w:rsidR="00AC3436" w:rsidRPr="00391B86">
        <w:rPr>
          <w:rFonts w:ascii="Times New Roman" w:hAnsi="Times New Roman"/>
        </w:rPr>
        <w:t xml:space="preserve">. </w:t>
      </w:r>
    </w:p>
    <w:p w14:paraId="2161856D" w14:textId="617D37A0" w:rsidR="00CE3C46" w:rsidRPr="00391B86" w:rsidRDefault="00126A15"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037ED5" w:rsidRPr="00391B86">
        <w:rPr>
          <w:rFonts w:ascii="Times New Roman" w:hAnsi="Times New Roman"/>
        </w:rPr>
        <w:t>The question</w:t>
      </w:r>
      <w:r w:rsidR="00C16A10" w:rsidRPr="00391B86">
        <w:rPr>
          <w:rFonts w:ascii="Times New Roman" w:hAnsi="Times New Roman"/>
        </w:rPr>
        <w:t xml:space="preserve"> </w:t>
      </w:r>
      <w:r w:rsidR="00985803" w:rsidRPr="00391B86">
        <w:rPr>
          <w:rFonts w:ascii="Times New Roman" w:hAnsi="Times New Roman"/>
        </w:rPr>
        <w:t>now to be determined i</w:t>
      </w:r>
      <w:r w:rsidR="004E6069" w:rsidRPr="00391B86">
        <w:rPr>
          <w:rFonts w:ascii="Times New Roman" w:hAnsi="Times New Roman"/>
        </w:rPr>
        <w:t xml:space="preserve">s </w:t>
      </w:r>
      <w:r w:rsidR="00985803" w:rsidRPr="00391B86">
        <w:rPr>
          <w:rFonts w:ascii="Times New Roman" w:hAnsi="Times New Roman"/>
        </w:rPr>
        <w:t>whether</w:t>
      </w:r>
      <w:r w:rsidR="00FA196F" w:rsidRPr="00391B86">
        <w:rPr>
          <w:rFonts w:ascii="Times New Roman" w:hAnsi="Times New Roman"/>
        </w:rPr>
        <w:t xml:space="preserve"> </w:t>
      </w:r>
      <w:r w:rsidR="007D1996" w:rsidRPr="00391B86">
        <w:rPr>
          <w:rFonts w:ascii="Times New Roman" w:hAnsi="Times New Roman"/>
        </w:rPr>
        <w:t xml:space="preserve">the making by the Supreme Court of Victoria of </w:t>
      </w:r>
      <w:r w:rsidR="003F4C68" w:rsidRPr="00391B86">
        <w:rPr>
          <w:rFonts w:ascii="Times New Roman" w:hAnsi="Times New Roman"/>
        </w:rPr>
        <w:t>a GCO</w:t>
      </w:r>
      <w:r w:rsidR="00274EDD" w:rsidRPr="00391B86">
        <w:rPr>
          <w:rFonts w:ascii="Times New Roman" w:hAnsi="Times New Roman"/>
        </w:rPr>
        <w:t xml:space="preserve"> </w:t>
      </w:r>
      <w:r w:rsidR="00960DD5" w:rsidRPr="00391B86">
        <w:rPr>
          <w:rFonts w:ascii="Times New Roman" w:hAnsi="Times New Roman"/>
        </w:rPr>
        <w:t xml:space="preserve">in </w:t>
      </w:r>
      <w:r w:rsidR="00274EDD" w:rsidRPr="00391B86">
        <w:rPr>
          <w:rFonts w:ascii="Times New Roman" w:hAnsi="Times New Roman"/>
        </w:rPr>
        <w:t>a</w:t>
      </w:r>
      <w:r w:rsidR="00DF1C1C" w:rsidRPr="00391B86">
        <w:rPr>
          <w:rFonts w:ascii="Times New Roman" w:hAnsi="Times New Roman"/>
        </w:rPr>
        <w:t xml:space="preserve"> group </w:t>
      </w:r>
      <w:r w:rsidR="00274EDD" w:rsidRPr="00391B86">
        <w:rPr>
          <w:rFonts w:ascii="Times New Roman" w:hAnsi="Times New Roman"/>
        </w:rPr>
        <w:t xml:space="preserve">proceeding </w:t>
      </w:r>
      <w:r w:rsidR="00BE60AB" w:rsidRPr="00391B86">
        <w:rPr>
          <w:rFonts w:ascii="Times New Roman" w:hAnsi="Times New Roman"/>
        </w:rPr>
        <w:t xml:space="preserve">commenced under Pt 4A </w:t>
      </w:r>
      <w:r w:rsidR="0094048F" w:rsidRPr="00391B86">
        <w:rPr>
          <w:rFonts w:ascii="Times New Roman" w:hAnsi="Times New Roman"/>
        </w:rPr>
        <w:t xml:space="preserve">of </w:t>
      </w:r>
      <w:r w:rsidR="00BE60AB" w:rsidRPr="00391B86">
        <w:rPr>
          <w:rFonts w:ascii="Times New Roman" w:hAnsi="Times New Roman"/>
        </w:rPr>
        <w:t xml:space="preserve">the Supreme Court Act </w:t>
      </w:r>
      <w:r w:rsidR="006F7896" w:rsidRPr="00391B86">
        <w:rPr>
          <w:rFonts w:ascii="Times New Roman" w:hAnsi="Times New Roman"/>
        </w:rPr>
        <w:t xml:space="preserve">in a matter arising under </w:t>
      </w:r>
      <w:r w:rsidR="00AA4B0A" w:rsidRPr="00391B86">
        <w:rPr>
          <w:rFonts w:ascii="Times New Roman" w:hAnsi="Times New Roman"/>
        </w:rPr>
        <w:t xml:space="preserve">the </w:t>
      </w:r>
      <w:r w:rsidR="00AA4B0A" w:rsidRPr="00391B86">
        <w:rPr>
          <w:rFonts w:ascii="Times New Roman" w:hAnsi="Times New Roman"/>
          <w:i/>
          <w:iCs/>
        </w:rPr>
        <w:t>Corporations Act</w:t>
      </w:r>
      <w:r w:rsidR="00294C85" w:rsidRPr="00391B86">
        <w:rPr>
          <w:rFonts w:ascii="Times New Roman" w:hAnsi="Times New Roman"/>
          <w:i/>
          <w:iCs/>
        </w:rPr>
        <w:t xml:space="preserve"> 2001</w:t>
      </w:r>
      <w:r w:rsidR="00294C85" w:rsidRPr="00391B86">
        <w:rPr>
          <w:rFonts w:ascii="Times New Roman" w:hAnsi="Times New Roman"/>
        </w:rPr>
        <w:t xml:space="preserve"> (</w:t>
      </w:r>
      <w:proofErr w:type="spellStart"/>
      <w:r w:rsidR="00294C85" w:rsidRPr="00391B86">
        <w:rPr>
          <w:rFonts w:ascii="Times New Roman" w:hAnsi="Times New Roman"/>
        </w:rPr>
        <w:t>Cth</w:t>
      </w:r>
      <w:proofErr w:type="spellEnd"/>
      <w:r w:rsidR="00294C85" w:rsidRPr="00391B86">
        <w:rPr>
          <w:rFonts w:ascii="Times New Roman" w:hAnsi="Times New Roman"/>
        </w:rPr>
        <w:t xml:space="preserve">) </w:t>
      </w:r>
      <w:r w:rsidR="00633F1D" w:rsidRPr="00391B86">
        <w:rPr>
          <w:rFonts w:ascii="Times New Roman" w:hAnsi="Times New Roman"/>
        </w:rPr>
        <w:t xml:space="preserve">("the Corporations Act") </w:t>
      </w:r>
      <w:r w:rsidR="00294C85" w:rsidRPr="00391B86">
        <w:rPr>
          <w:rFonts w:ascii="Times New Roman" w:hAnsi="Times New Roman"/>
        </w:rPr>
        <w:t>o</w:t>
      </w:r>
      <w:r w:rsidR="00F24A27" w:rsidRPr="00391B86">
        <w:rPr>
          <w:rFonts w:ascii="Times New Roman" w:hAnsi="Times New Roman"/>
        </w:rPr>
        <w:t>r</w:t>
      </w:r>
      <w:r w:rsidR="00294C85" w:rsidRPr="00391B86">
        <w:rPr>
          <w:rFonts w:ascii="Times New Roman" w:hAnsi="Times New Roman"/>
        </w:rPr>
        <w:t xml:space="preserve"> the </w:t>
      </w:r>
      <w:r w:rsidR="00A74042" w:rsidRPr="00391B86">
        <w:rPr>
          <w:rFonts w:ascii="Times New Roman" w:hAnsi="Times New Roman"/>
          <w:i/>
          <w:iCs/>
        </w:rPr>
        <w:t>Australian Securities and Investments Commission Act 2001</w:t>
      </w:r>
      <w:r w:rsidR="00A74042" w:rsidRPr="00391B86">
        <w:rPr>
          <w:rFonts w:ascii="Times New Roman" w:hAnsi="Times New Roman"/>
        </w:rPr>
        <w:t xml:space="preserve"> (</w:t>
      </w:r>
      <w:proofErr w:type="spellStart"/>
      <w:r w:rsidR="00A74042" w:rsidRPr="00391B86">
        <w:rPr>
          <w:rFonts w:ascii="Times New Roman" w:hAnsi="Times New Roman"/>
        </w:rPr>
        <w:t>Cth</w:t>
      </w:r>
      <w:proofErr w:type="spellEnd"/>
      <w:r w:rsidR="00A74042" w:rsidRPr="00391B86">
        <w:rPr>
          <w:rFonts w:ascii="Times New Roman" w:hAnsi="Times New Roman"/>
        </w:rPr>
        <w:t xml:space="preserve">) </w:t>
      </w:r>
      <w:r w:rsidR="00633F1D" w:rsidRPr="00391B86">
        <w:rPr>
          <w:rFonts w:ascii="Times New Roman" w:hAnsi="Times New Roman"/>
        </w:rPr>
        <w:t>("the ASIC Act")</w:t>
      </w:r>
      <w:r w:rsidR="00684207" w:rsidRPr="00391B86">
        <w:rPr>
          <w:rFonts w:ascii="Times New Roman" w:hAnsi="Times New Roman"/>
        </w:rPr>
        <w:t xml:space="preserve"> </w:t>
      </w:r>
      <w:r w:rsidR="009901A0" w:rsidRPr="00391B86">
        <w:rPr>
          <w:rFonts w:ascii="Times New Roman" w:hAnsi="Times New Roman"/>
        </w:rPr>
        <w:t>is</w:t>
      </w:r>
      <w:r w:rsidR="00AB2BC6" w:rsidRPr="00391B86">
        <w:rPr>
          <w:rFonts w:ascii="Times New Roman" w:hAnsi="Times New Roman"/>
        </w:rPr>
        <w:t xml:space="preserve"> relevant to</w:t>
      </w:r>
      <w:r w:rsidR="005A648E" w:rsidRPr="00391B86">
        <w:rPr>
          <w:rFonts w:ascii="Times New Roman" w:hAnsi="Times New Roman"/>
        </w:rPr>
        <w:t xml:space="preserve"> </w:t>
      </w:r>
      <w:r w:rsidR="004B715F" w:rsidRPr="00391B86">
        <w:rPr>
          <w:rFonts w:ascii="Times New Roman" w:hAnsi="Times New Roman"/>
        </w:rPr>
        <w:t xml:space="preserve">the </w:t>
      </w:r>
      <w:r w:rsidR="00C471FD" w:rsidRPr="00391B86">
        <w:rPr>
          <w:rFonts w:ascii="Times New Roman" w:hAnsi="Times New Roman"/>
        </w:rPr>
        <w:t xml:space="preserve">Supreme Court of Victoria </w:t>
      </w:r>
      <w:r w:rsidR="00C347A7" w:rsidRPr="00391B86">
        <w:rPr>
          <w:rFonts w:ascii="Times New Roman" w:hAnsi="Times New Roman"/>
        </w:rPr>
        <w:t xml:space="preserve">considering the exercise </w:t>
      </w:r>
      <w:r w:rsidR="00ED622E" w:rsidRPr="00391B86">
        <w:rPr>
          <w:rFonts w:ascii="Times New Roman" w:hAnsi="Times New Roman"/>
        </w:rPr>
        <w:t xml:space="preserve">of </w:t>
      </w:r>
      <w:r w:rsidR="001120F4" w:rsidRPr="00391B86">
        <w:rPr>
          <w:rFonts w:ascii="Times New Roman" w:hAnsi="Times New Roman"/>
        </w:rPr>
        <w:t>its</w:t>
      </w:r>
      <w:r w:rsidR="000571F2" w:rsidRPr="00391B86">
        <w:rPr>
          <w:rFonts w:ascii="Times New Roman" w:hAnsi="Times New Roman"/>
        </w:rPr>
        <w:t xml:space="preserve"> power</w:t>
      </w:r>
      <w:r w:rsidR="00ED622E" w:rsidRPr="00391B86">
        <w:rPr>
          <w:rFonts w:ascii="Times New Roman" w:hAnsi="Times New Roman"/>
        </w:rPr>
        <w:t xml:space="preserve"> to transfer the</w:t>
      </w:r>
      <w:r w:rsidR="00FF078C" w:rsidRPr="00391B86">
        <w:rPr>
          <w:rFonts w:ascii="Times New Roman" w:hAnsi="Times New Roman"/>
        </w:rPr>
        <w:t xml:space="preserve"> </w:t>
      </w:r>
      <w:r w:rsidR="003757E6" w:rsidRPr="00391B86">
        <w:rPr>
          <w:rFonts w:ascii="Times New Roman" w:hAnsi="Times New Roman"/>
        </w:rPr>
        <w:t>proceedin</w:t>
      </w:r>
      <w:r w:rsidR="00ED622E" w:rsidRPr="00391B86">
        <w:rPr>
          <w:rFonts w:ascii="Times New Roman" w:hAnsi="Times New Roman"/>
        </w:rPr>
        <w:t>g</w:t>
      </w:r>
      <w:r w:rsidR="003757E6" w:rsidRPr="00391B86">
        <w:rPr>
          <w:rFonts w:ascii="Times New Roman" w:hAnsi="Times New Roman"/>
        </w:rPr>
        <w:t xml:space="preserve"> </w:t>
      </w:r>
      <w:r w:rsidR="00BE4F43" w:rsidRPr="00391B86">
        <w:rPr>
          <w:rFonts w:ascii="Times New Roman" w:hAnsi="Times New Roman"/>
        </w:rPr>
        <w:t>to the Supreme Court of New South Wales</w:t>
      </w:r>
      <w:r w:rsidR="00AA276C" w:rsidRPr="00391B86">
        <w:rPr>
          <w:rFonts w:ascii="Times New Roman" w:hAnsi="Times New Roman"/>
        </w:rPr>
        <w:t xml:space="preserve"> under s</w:t>
      </w:r>
      <w:r w:rsidR="00C12683" w:rsidRPr="00391B86">
        <w:rPr>
          <w:rFonts w:ascii="Times New Roman" w:hAnsi="Times New Roman"/>
        </w:rPr>
        <w:t> </w:t>
      </w:r>
      <w:r w:rsidR="00AA276C" w:rsidRPr="00391B86">
        <w:rPr>
          <w:rFonts w:ascii="Times New Roman" w:hAnsi="Times New Roman"/>
        </w:rPr>
        <w:t>1337H</w:t>
      </w:r>
      <w:r w:rsidR="00DB1C22" w:rsidRPr="00391B86">
        <w:rPr>
          <w:rFonts w:ascii="Times New Roman" w:hAnsi="Times New Roman"/>
        </w:rPr>
        <w:t>(2)</w:t>
      </w:r>
      <w:r w:rsidR="00AA276C" w:rsidRPr="00391B86">
        <w:rPr>
          <w:rFonts w:ascii="Times New Roman" w:hAnsi="Times New Roman"/>
        </w:rPr>
        <w:t xml:space="preserve"> of the Corporations Act</w:t>
      </w:r>
      <w:r w:rsidR="004B715F" w:rsidRPr="00391B86">
        <w:rPr>
          <w:rFonts w:ascii="Times New Roman" w:hAnsi="Times New Roman"/>
        </w:rPr>
        <w:t>.</w:t>
      </w:r>
    </w:p>
    <w:p w14:paraId="59C53119" w14:textId="14B2E2EA" w:rsidR="00F020FC" w:rsidRPr="00391B86" w:rsidRDefault="00AA437D"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F020FC" w:rsidRPr="00391B86">
        <w:rPr>
          <w:rFonts w:ascii="Times New Roman" w:hAnsi="Times New Roman"/>
        </w:rPr>
        <w:t>T</w:t>
      </w:r>
      <w:r w:rsidR="00AB2BC6" w:rsidRPr="00391B86">
        <w:rPr>
          <w:rFonts w:ascii="Times New Roman" w:hAnsi="Times New Roman"/>
        </w:rPr>
        <w:t>he answer is that</w:t>
      </w:r>
      <w:r w:rsidR="0076035A" w:rsidRPr="00391B86">
        <w:rPr>
          <w:rFonts w:ascii="Times New Roman" w:hAnsi="Times New Roman"/>
        </w:rPr>
        <w:t xml:space="preserve"> </w:t>
      </w:r>
      <w:r w:rsidR="007D1996" w:rsidRPr="00391B86">
        <w:rPr>
          <w:rFonts w:ascii="Times New Roman" w:hAnsi="Times New Roman"/>
        </w:rPr>
        <w:t xml:space="preserve">the making of </w:t>
      </w:r>
      <w:r w:rsidR="00E5318B" w:rsidRPr="00391B86">
        <w:rPr>
          <w:rFonts w:ascii="Times New Roman" w:hAnsi="Times New Roman"/>
        </w:rPr>
        <w:t>a GCO</w:t>
      </w:r>
      <w:r w:rsidR="009934B7" w:rsidRPr="00391B86">
        <w:rPr>
          <w:rFonts w:ascii="Times New Roman" w:hAnsi="Times New Roman"/>
        </w:rPr>
        <w:t xml:space="preserve"> by the Supreme Court of Victoria</w:t>
      </w:r>
      <w:r w:rsidR="00E5318B" w:rsidRPr="00391B86">
        <w:rPr>
          <w:rFonts w:ascii="Times New Roman" w:hAnsi="Times New Roman"/>
        </w:rPr>
        <w:t xml:space="preserve"> </w:t>
      </w:r>
      <w:r w:rsidR="00D54722" w:rsidRPr="00391B86">
        <w:rPr>
          <w:rFonts w:ascii="Times New Roman" w:hAnsi="Times New Roman"/>
        </w:rPr>
        <w:t xml:space="preserve">in a group proceeding </w:t>
      </w:r>
      <w:r w:rsidR="00AD4E20" w:rsidRPr="00391B86">
        <w:rPr>
          <w:rFonts w:ascii="Times New Roman" w:hAnsi="Times New Roman"/>
        </w:rPr>
        <w:t>is</w:t>
      </w:r>
      <w:r w:rsidR="003A61F9" w:rsidRPr="00391B86">
        <w:rPr>
          <w:rFonts w:ascii="Times New Roman" w:hAnsi="Times New Roman"/>
        </w:rPr>
        <w:t xml:space="preserve"> </w:t>
      </w:r>
      <w:r w:rsidR="007F6C88" w:rsidRPr="00391B86">
        <w:rPr>
          <w:rFonts w:ascii="Times New Roman" w:hAnsi="Times New Roman"/>
        </w:rPr>
        <w:t>relevant to the</w:t>
      </w:r>
      <w:r w:rsidR="00D21DE4" w:rsidRPr="00391B86">
        <w:rPr>
          <w:rFonts w:ascii="Times New Roman" w:hAnsi="Times New Roman"/>
        </w:rPr>
        <w:t xml:space="preserve"> Court's consideration of the</w:t>
      </w:r>
      <w:r w:rsidR="007F6C88" w:rsidRPr="00391B86">
        <w:rPr>
          <w:rFonts w:ascii="Times New Roman" w:hAnsi="Times New Roman"/>
        </w:rPr>
        <w:t xml:space="preserve"> ex</w:t>
      </w:r>
      <w:r w:rsidR="000571F2" w:rsidRPr="00391B86">
        <w:rPr>
          <w:rFonts w:ascii="Times New Roman" w:hAnsi="Times New Roman"/>
        </w:rPr>
        <w:t>ercise of the power</w:t>
      </w:r>
      <w:r w:rsidR="006D63E0" w:rsidRPr="00391B86">
        <w:rPr>
          <w:rFonts w:ascii="Times New Roman" w:hAnsi="Times New Roman"/>
        </w:rPr>
        <w:t xml:space="preserve"> conferred</w:t>
      </w:r>
      <w:r w:rsidR="00D54722" w:rsidRPr="00391B86">
        <w:rPr>
          <w:rFonts w:ascii="Times New Roman" w:hAnsi="Times New Roman"/>
        </w:rPr>
        <w:t xml:space="preserve"> on </w:t>
      </w:r>
      <w:r w:rsidR="00D21DE4" w:rsidRPr="00391B86">
        <w:rPr>
          <w:rFonts w:ascii="Times New Roman" w:hAnsi="Times New Roman"/>
        </w:rPr>
        <w:t>it</w:t>
      </w:r>
      <w:r w:rsidR="007F6C88" w:rsidRPr="00391B86">
        <w:rPr>
          <w:rFonts w:ascii="Times New Roman" w:hAnsi="Times New Roman"/>
        </w:rPr>
        <w:t xml:space="preserve"> </w:t>
      </w:r>
      <w:r w:rsidR="002340FF" w:rsidRPr="00391B86">
        <w:rPr>
          <w:rFonts w:ascii="Times New Roman" w:hAnsi="Times New Roman"/>
        </w:rPr>
        <w:t xml:space="preserve">by </w:t>
      </w:r>
      <w:r w:rsidR="00D21DE4" w:rsidRPr="00391B86">
        <w:rPr>
          <w:rFonts w:ascii="Times New Roman" w:hAnsi="Times New Roman"/>
        </w:rPr>
        <w:t>s </w:t>
      </w:r>
      <w:r w:rsidR="007F6C88" w:rsidRPr="00391B86">
        <w:rPr>
          <w:rFonts w:ascii="Times New Roman" w:hAnsi="Times New Roman"/>
        </w:rPr>
        <w:t>1337</w:t>
      </w:r>
      <w:proofErr w:type="gramStart"/>
      <w:r w:rsidR="007F6C88" w:rsidRPr="00391B86">
        <w:rPr>
          <w:rFonts w:ascii="Times New Roman" w:hAnsi="Times New Roman"/>
        </w:rPr>
        <w:t>H</w:t>
      </w:r>
      <w:r w:rsidR="008A152E" w:rsidRPr="00391B86">
        <w:rPr>
          <w:rFonts w:ascii="Times New Roman" w:hAnsi="Times New Roman"/>
        </w:rPr>
        <w:t>(</w:t>
      </w:r>
      <w:proofErr w:type="gramEnd"/>
      <w:r w:rsidR="008A152E" w:rsidRPr="00391B86">
        <w:rPr>
          <w:rFonts w:ascii="Times New Roman" w:hAnsi="Times New Roman"/>
        </w:rPr>
        <w:t>2)</w:t>
      </w:r>
      <w:r w:rsidR="007F6C88" w:rsidRPr="00391B86">
        <w:rPr>
          <w:rFonts w:ascii="Times New Roman" w:hAnsi="Times New Roman"/>
        </w:rPr>
        <w:t xml:space="preserve"> of the Corporations Act</w:t>
      </w:r>
      <w:r w:rsidR="003F6671" w:rsidRPr="00391B86">
        <w:rPr>
          <w:rFonts w:ascii="Times New Roman" w:hAnsi="Times New Roman"/>
        </w:rPr>
        <w:t>.</w:t>
      </w:r>
      <w:r w:rsidR="009F1668" w:rsidRPr="00391B86">
        <w:rPr>
          <w:rFonts w:ascii="Times New Roman" w:hAnsi="Times New Roman"/>
        </w:rPr>
        <w:t xml:space="preserve"> </w:t>
      </w:r>
      <w:r w:rsidR="00170699" w:rsidRPr="00391B86">
        <w:rPr>
          <w:rFonts w:ascii="Times New Roman" w:hAnsi="Times New Roman"/>
        </w:rPr>
        <w:t xml:space="preserve">The fact that </w:t>
      </w:r>
      <w:r w:rsidR="00134578" w:rsidRPr="00391B86">
        <w:rPr>
          <w:rFonts w:ascii="Times New Roman" w:hAnsi="Times New Roman"/>
        </w:rPr>
        <w:t xml:space="preserve">the Supreme Court of Victoria has made </w:t>
      </w:r>
      <w:r w:rsidR="00170699" w:rsidRPr="00391B86">
        <w:rPr>
          <w:rFonts w:ascii="Times New Roman" w:hAnsi="Times New Roman"/>
        </w:rPr>
        <w:t xml:space="preserve">a GCO in </w:t>
      </w:r>
      <w:r w:rsidR="00A87920" w:rsidRPr="00391B86">
        <w:rPr>
          <w:rFonts w:ascii="Times New Roman" w:hAnsi="Times New Roman"/>
        </w:rPr>
        <w:t>the</w:t>
      </w:r>
      <w:r w:rsidR="00A8320C" w:rsidRPr="00391B86">
        <w:rPr>
          <w:rFonts w:ascii="Times New Roman" w:hAnsi="Times New Roman"/>
        </w:rPr>
        <w:t xml:space="preserve"> </w:t>
      </w:r>
      <w:r w:rsidR="008A4885" w:rsidRPr="00391B86">
        <w:rPr>
          <w:rFonts w:ascii="Times New Roman" w:hAnsi="Times New Roman"/>
        </w:rPr>
        <w:t xml:space="preserve">present </w:t>
      </w:r>
      <w:r w:rsidR="00A8320C" w:rsidRPr="00391B86">
        <w:rPr>
          <w:rFonts w:ascii="Times New Roman" w:hAnsi="Times New Roman"/>
        </w:rPr>
        <w:t>group proceedin</w:t>
      </w:r>
      <w:r w:rsidR="008A4885" w:rsidRPr="00391B86">
        <w:rPr>
          <w:rFonts w:ascii="Times New Roman" w:hAnsi="Times New Roman"/>
        </w:rPr>
        <w:t>g</w:t>
      </w:r>
      <w:r w:rsidR="000263FC" w:rsidRPr="00391B86">
        <w:rPr>
          <w:rFonts w:ascii="Times New Roman" w:hAnsi="Times New Roman"/>
        </w:rPr>
        <w:t xml:space="preserve"> </w:t>
      </w:r>
      <w:r w:rsidR="002A2313" w:rsidRPr="00391B86">
        <w:rPr>
          <w:rFonts w:ascii="Times New Roman" w:hAnsi="Times New Roman"/>
        </w:rPr>
        <w:t>("the Arrium</w:t>
      </w:r>
      <w:r w:rsidR="00EC7CB8" w:rsidRPr="00391B86">
        <w:rPr>
          <w:rFonts w:ascii="Times New Roman" w:hAnsi="Times New Roman"/>
        </w:rPr>
        <w:t xml:space="preserve"> class action")</w:t>
      </w:r>
      <w:r w:rsidR="00A87920" w:rsidRPr="00391B86">
        <w:rPr>
          <w:rFonts w:ascii="Times New Roman" w:hAnsi="Times New Roman"/>
        </w:rPr>
        <w:t xml:space="preserve"> </w:t>
      </w:r>
      <w:r w:rsidR="000263FC" w:rsidRPr="00391B86">
        <w:rPr>
          <w:rFonts w:ascii="Times New Roman" w:hAnsi="Times New Roman"/>
        </w:rPr>
        <w:t xml:space="preserve">weighs decisively against transfer </w:t>
      </w:r>
      <w:r w:rsidR="004705B0" w:rsidRPr="00391B86">
        <w:rPr>
          <w:rFonts w:ascii="Times New Roman" w:hAnsi="Times New Roman"/>
        </w:rPr>
        <w:t xml:space="preserve">of the proceeding </w:t>
      </w:r>
      <w:r w:rsidR="000263FC" w:rsidRPr="00391B86">
        <w:rPr>
          <w:rFonts w:ascii="Times New Roman" w:hAnsi="Times New Roman"/>
        </w:rPr>
        <w:t xml:space="preserve">to the Supreme Court of New South Wales </w:t>
      </w:r>
      <w:r w:rsidR="00345B7B" w:rsidRPr="00391B86">
        <w:rPr>
          <w:rFonts w:ascii="Times New Roman" w:hAnsi="Times New Roman"/>
        </w:rPr>
        <w:t>where</w:t>
      </w:r>
      <w:r w:rsidR="000263FC" w:rsidRPr="00391B86">
        <w:rPr>
          <w:rFonts w:ascii="Times New Roman" w:hAnsi="Times New Roman"/>
        </w:rPr>
        <w:t xml:space="preserve"> the GCO </w:t>
      </w:r>
      <w:r w:rsidR="001D114A" w:rsidRPr="00391B86">
        <w:rPr>
          <w:rFonts w:ascii="Times New Roman" w:hAnsi="Times New Roman"/>
        </w:rPr>
        <w:t>c</w:t>
      </w:r>
      <w:r w:rsidR="000263FC" w:rsidRPr="00391B86">
        <w:rPr>
          <w:rFonts w:ascii="Times New Roman" w:hAnsi="Times New Roman"/>
        </w:rPr>
        <w:t xml:space="preserve">ould </w:t>
      </w:r>
      <w:r w:rsidR="0013137E" w:rsidRPr="00391B86">
        <w:rPr>
          <w:rFonts w:ascii="Times New Roman" w:hAnsi="Times New Roman"/>
        </w:rPr>
        <w:t xml:space="preserve">not </w:t>
      </w:r>
      <w:r w:rsidR="00170699" w:rsidRPr="00391B86">
        <w:rPr>
          <w:rFonts w:ascii="Times New Roman" w:hAnsi="Times New Roman"/>
        </w:rPr>
        <w:t>operate</w:t>
      </w:r>
      <w:r w:rsidR="001D114A" w:rsidRPr="00391B86">
        <w:rPr>
          <w:rFonts w:ascii="Times New Roman" w:hAnsi="Times New Roman"/>
        </w:rPr>
        <w:t>,</w:t>
      </w:r>
      <w:r w:rsidR="0045004E" w:rsidRPr="00391B86">
        <w:rPr>
          <w:rFonts w:ascii="Times New Roman" w:hAnsi="Times New Roman"/>
        </w:rPr>
        <w:t xml:space="preserve"> </w:t>
      </w:r>
      <w:r w:rsidR="007F67A4" w:rsidRPr="00391B86">
        <w:rPr>
          <w:rFonts w:ascii="Times New Roman" w:hAnsi="Times New Roman"/>
        </w:rPr>
        <w:t>giving rise to</w:t>
      </w:r>
      <w:r w:rsidR="005A6EA2" w:rsidRPr="00391B86">
        <w:rPr>
          <w:rFonts w:ascii="Times New Roman" w:hAnsi="Times New Roman"/>
        </w:rPr>
        <w:t xml:space="preserve"> a</w:t>
      </w:r>
      <w:r w:rsidR="006962DE" w:rsidRPr="00391B86">
        <w:rPr>
          <w:rFonts w:ascii="Times New Roman" w:hAnsi="Times New Roman"/>
        </w:rPr>
        <w:t xml:space="preserve"> considerable risk </w:t>
      </w:r>
      <w:r w:rsidR="00BA2CC9" w:rsidRPr="00391B86">
        <w:rPr>
          <w:rFonts w:ascii="Times New Roman" w:hAnsi="Times New Roman"/>
        </w:rPr>
        <w:t>that the</w:t>
      </w:r>
      <w:r w:rsidR="008768FB" w:rsidRPr="00391B86">
        <w:rPr>
          <w:rFonts w:ascii="Times New Roman" w:hAnsi="Times New Roman"/>
        </w:rPr>
        <w:t xml:space="preserve"> proceeding</w:t>
      </w:r>
      <w:r w:rsidR="00BA2CC9" w:rsidRPr="00391B86">
        <w:rPr>
          <w:rFonts w:ascii="Times New Roman" w:hAnsi="Times New Roman"/>
        </w:rPr>
        <w:t xml:space="preserve"> </w:t>
      </w:r>
      <w:r w:rsidR="00456C74" w:rsidRPr="00391B86">
        <w:rPr>
          <w:rFonts w:ascii="Times New Roman" w:hAnsi="Times New Roman"/>
        </w:rPr>
        <w:t>would not</w:t>
      </w:r>
      <w:r w:rsidR="00BA2CC9" w:rsidRPr="00391B86">
        <w:rPr>
          <w:rFonts w:ascii="Times New Roman" w:hAnsi="Times New Roman"/>
        </w:rPr>
        <w:t xml:space="preserve"> </w:t>
      </w:r>
      <w:r w:rsidR="0001687A" w:rsidRPr="00391B86">
        <w:rPr>
          <w:rFonts w:ascii="Times New Roman" w:hAnsi="Times New Roman"/>
        </w:rPr>
        <w:t xml:space="preserve">be able to </w:t>
      </w:r>
      <w:r w:rsidR="00BA2CC9" w:rsidRPr="00391B86">
        <w:rPr>
          <w:rFonts w:ascii="Times New Roman" w:hAnsi="Times New Roman"/>
        </w:rPr>
        <w:t>continue</w:t>
      </w:r>
      <w:r w:rsidR="00D91992" w:rsidRPr="00391B86">
        <w:rPr>
          <w:rFonts w:ascii="Times New Roman" w:hAnsi="Times New Roman"/>
        </w:rPr>
        <w:t xml:space="preserve"> </w:t>
      </w:r>
      <w:r w:rsidR="00101DA8" w:rsidRPr="00391B86">
        <w:rPr>
          <w:rFonts w:ascii="Times New Roman" w:hAnsi="Times New Roman"/>
        </w:rPr>
        <w:t xml:space="preserve">as it could not otherwise be viably funded </w:t>
      </w:r>
      <w:r w:rsidR="00D91992" w:rsidRPr="00391B86">
        <w:rPr>
          <w:rFonts w:ascii="Times New Roman" w:hAnsi="Times New Roman"/>
        </w:rPr>
        <w:t xml:space="preserve">and that the claims </w:t>
      </w:r>
      <w:r w:rsidR="0034390A" w:rsidRPr="00391B86">
        <w:rPr>
          <w:rFonts w:ascii="Times New Roman" w:hAnsi="Times New Roman"/>
        </w:rPr>
        <w:t>made in the proceeding would have to be abandoned</w:t>
      </w:r>
      <w:r w:rsidR="0001687A" w:rsidRPr="00391B86">
        <w:rPr>
          <w:rFonts w:ascii="Times New Roman" w:hAnsi="Times New Roman"/>
        </w:rPr>
        <w:t>.</w:t>
      </w:r>
      <w:r w:rsidR="00456C74" w:rsidRPr="00391B86">
        <w:rPr>
          <w:rFonts w:ascii="Times New Roman" w:hAnsi="Times New Roman"/>
        </w:rPr>
        <w:t xml:space="preserve"> </w:t>
      </w:r>
    </w:p>
    <w:p w14:paraId="4A16D63B" w14:textId="2DB7F736" w:rsidR="00126A15" w:rsidRPr="00391B86" w:rsidRDefault="00F020F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600C04" w:rsidRPr="00391B86">
        <w:rPr>
          <w:rFonts w:ascii="Times New Roman" w:hAnsi="Times New Roman"/>
        </w:rPr>
        <w:t>The reasons for that answer are now explained.</w:t>
      </w:r>
      <w:r w:rsidR="00456C74" w:rsidRPr="00391B86">
        <w:rPr>
          <w:rFonts w:ascii="Times New Roman" w:hAnsi="Times New Roman"/>
        </w:rPr>
        <w:t xml:space="preserve"> </w:t>
      </w:r>
      <w:r w:rsidR="008768FB" w:rsidRPr="00391B86">
        <w:rPr>
          <w:rFonts w:ascii="Times New Roman" w:hAnsi="Times New Roman"/>
        </w:rPr>
        <w:t xml:space="preserve"> </w:t>
      </w:r>
    </w:p>
    <w:p w14:paraId="19EAC168" w14:textId="7D8DC56E" w:rsidR="0001687A" w:rsidRPr="00391B86" w:rsidRDefault="00DC6323" w:rsidP="00391B86">
      <w:pPr>
        <w:pStyle w:val="HeadingL1"/>
        <w:spacing w:after="260" w:line="280" w:lineRule="exact"/>
        <w:ind w:right="0"/>
        <w:jc w:val="both"/>
        <w:rPr>
          <w:rFonts w:ascii="Times New Roman" w:hAnsi="Times New Roman"/>
        </w:rPr>
      </w:pPr>
      <w:r w:rsidRPr="00391B86">
        <w:rPr>
          <w:rFonts w:ascii="Times New Roman" w:hAnsi="Times New Roman"/>
        </w:rPr>
        <w:lastRenderedPageBreak/>
        <w:t xml:space="preserve">Jurisdiction </w:t>
      </w:r>
      <w:r w:rsidR="00EA4ABB" w:rsidRPr="00391B86">
        <w:rPr>
          <w:rFonts w:ascii="Times New Roman" w:hAnsi="Times New Roman"/>
        </w:rPr>
        <w:t xml:space="preserve">and </w:t>
      </w:r>
      <w:r w:rsidR="008D263E" w:rsidRPr="00391B86">
        <w:rPr>
          <w:rFonts w:ascii="Times New Roman" w:hAnsi="Times New Roman"/>
        </w:rPr>
        <w:t>transfer of proceedings</w:t>
      </w:r>
      <w:r w:rsidR="00CD47D6" w:rsidRPr="00391B86">
        <w:rPr>
          <w:rFonts w:ascii="Times New Roman" w:hAnsi="Times New Roman"/>
        </w:rPr>
        <w:t xml:space="preserve"> </w:t>
      </w:r>
      <w:r w:rsidR="009E771F" w:rsidRPr="00391B86">
        <w:rPr>
          <w:rFonts w:ascii="Times New Roman" w:hAnsi="Times New Roman"/>
        </w:rPr>
        <w:t>in</w:t>
      </w:r>
      <w:r w:rsidR="00DE565E" w:rsidRPr="00391B86">
        <w:rPr>
          <w:rFonts w:ascii="Times New Roman" w:hAnsi="Times New Roman"/>
        </w:rPr>
        <w:t xml:space="preserve"> </w:t>
      </w:r>
      <w:r w:rsidR="009E771F" w:rsidRPr="00391B86">
        <w:rPr>
          <w:rFonts w:ascii="Times New Roman" w:hAnsi="Times New Roman"/>
        </w:rPr>
        <w:t xml:space="preserve">civil matters arising </w:t>
      </w:r>
      <w:r w:rsidRPr="00391B86">
        <w:rPr>
          <w:rFonts w:ascii="Times New Roman" w:hAnsi="Times New Roman"/>
        </w:rPr>
        <w:t>under the</w:t>
      </w:r>
      <w:r w:rsidR="00CD47D6" w:rsidRPr="00391B86">
        <w:rPr>
          <w:rFonts w:ascii="Times New Roman" w:hAnsi="Times New Roman"/>
        </w:rPr>
        <w:t xml:space="preserve"> Corporations </w:t>
      </w:r>
      <w:r w:rsidR="00544FB8" w:rsidRPr="00391B86">
        <w:rPr>
          <w:rFonts w:ascii="Times New Roman" w:hAnsi="Times New Roman"/>
        </w:rPr>
        <w:t>legislation</w:t>
      </w:r>
    </w:p>
    <w:p w14:paraId="06E17745" w14:textId="469C0778" w:rsidR="001703BA" w:rsidRPr="00391B86" w:rsidRDefault="007F67A4"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A94B82" w:rsidRPr="00391B86">
        <w:rPr>
          <w:rFonts w:ascii="Times New Roman" w:hAnsi="Times New Roman"/>
        </w:rPr>
        <w:t>E</w:t>
      </w:r>
      <w:r w:rsidR="00F54D06" w:rsidRPr="00391B86">
        <w:rPr>
          <w:rFonts w:ascii="Times New Roman" w:hAnsi="Times New Roman"/>
        </w:rPr>
        <w:t>nactment</w:t>
      </w:r>
      <w:r w:rsidR="00F707C1" w:rsidRPr="00391B86">
        <w:rPr>
          <w:rFonts w:ascii="Times New Roman" w:hAnsi="Times New Roman"/>
        </w:rPr>
        <w:t xml:space="preserve"> of the </w:t>
      </w:r>
      <w:r w:rsidR="00A74DF8" w:rsidRPr="00391B86">
        <w:rPr>
          <w:rFonts w:ascii="Times New Roman" w:hAnsi="Times New Roman"/>
        </w:rPr>
        <w:t xml:space="preserve">Corporations Act </w:t>
      </w:r>
      <w:r w:rsidR="003F6446" w:rsidRPr="00391B86">
        <w:rPr>
          <w:rFonts w:ascii="Times New Roman" w:hAnsi="Times New Roman"/>
        </w:rPr>
        <w:t xml:space="preserve">and the </w:t>
      </w:r>
      <w:r w:rsidR="00F54D06" w:rsidRPr="00391B86">
        <w:rPr>
          <w:rFonts w:ascii="Times New Roman" w:hAnsi="Times New Roman"/>
        </w:rPr>
        <w:t>ASIC Act</w:t>
      </w:r>
      <w:r w:rsidR="003F6446" w:rsidRPr="00391B86">
        <w:rPr>
          <w:rFonts w:ascii="Times New Roman" w:hAnsi="Times New Roman"/>
        </w:rPr>
        <w:t xml:space="preserve"> </w:t>
      </w:r>
      <w:r w:rsidR="003B5C4C" w:rsidRPr="00391B86">
        <w:rPr>
          <w:rFonts w:ascii="Times New Roman" w:hAnsi="Times New Roman"/>
        </w:rPr>
        <w:t xml:space="preserve">by the Commonwealth Parliament </w:t>
      </w:r>
      <w:r w:rsidR="008318C1" w:rsidRPr="00391B86">
        <w:rPr>
          <w:rFonts w:ascii="Times New Roman" w:hAnsi="Times New Roman"/>
        </w:rPr>
        <w:t xml:space="preserve">was </w:t>
      </w:r>
      <w:r w:rsidR="0047122D" w:rsidRPr="00391B86">
        <w:rPr>
          <w:rFonts w:ascii="Times New Roman" w:hAnsi="Times New Roman"/>
        </w:rPr>
        <w:t>accompanied</w:t>
      </w:r>
      <w:r w:rsidR="008318C1" w:rsidRPr="00391B86">
        <w:rPr>
          <w:rFonts w:ascii="Times New Roman" w:hAnsi="Times New Roman"/>
        </w:rPr>
        <w:t xml:space="preserve"> by reference</w:t>
      </w:r>
      <w:r w:rsidR="00117CF1" w:rsidRPr="00391B86">
        <w:rPr>
          <w:rFonts w:ascii="Times New Roman" w:hAnsi="Times New Roman"/>
        </w:rPr>
        <w:t>s</w:t>
      </w:r>
      <w:r w:rsidR="008318C1" w:rsidRPr="00391B86">
        <w:rPr>
          <w:rFonts w:ascii="Times New Roman" w:hAnsi="Times New Roman"/>
        </w:rPr>
        <w:t xml:space="preserve"> of power </w:t>
      </w:r>
      <w:r w:rsidR="00D07574" w:rsidRPr="00391B86">
        <w:rPr>
          <w:rFonts w:ascii="Times New Roman" w:hAnsi="Times New Roman"/>
        </w:rPr>
        <w:t xml:space="preserve">by the Parliaments </w:t>
      </w:r>
      <w:r w:rsidR="00117CF1" w:rsidRPr="00391B86">
        <w:rPr>
          <w:rFonts w:ascii="Times New Roman" w:hAnsi="Times New Roman"/>
        </w:rPr>
        <w:t>of</w:t>
      </w:r>
      <w:r w:rsidR="00833E8C" w:rsidRPr="00391B86">
        <w:rPr>
          <w:rFonts w:ascii="Times New Roman" w:hAnsi="Times New Roman"/>
        </w:rPr>
        <w:t xml:space="preserve"> </w:t>
      </w:r>
      <w:r w:rsidR="00117CF1" w:rsidRPr="00391B86">
        <w:rPr>
          <w:rFonts w:ascii="Times New Roman" w:hAnsi="Times New Roman"/>
        </w:rPr>
        <w:t>referring States</w:t>
      </w:r>
      <w:r w:rsidR="00B30112" w:rsidRPr="00391B86">
        <w:rPr>
          <w:rFonts w:ascii="Times New Roman" w:hAnsi="Times New Roman"/>
        </w:rPr>
        <w:t>,</w:t>
      </w:r>
      <w:r w:rsidR="00833E8C" w:rsidRPr="00391B86">
        <w:rPr>
          <w:rFonts w:ascii="Times New Roman" w:hAnsi="Times New Roman"/>
        </w:rPr>
        <w:t xml:space="preserve"> </w:t>
      </w:r>
      <w:r w:rsidR="007A0B38" w:rsidRPr="00391B86">
        <w:rPr>
          <w:rFonts w:ascii="Times New Roman" w:hAnsi="Times New Roman"/>
        </w:rPr>
        <w:t xml:space="preserve">which included </w:t>
      </w:r>
      <w:r w:rsidR="00A63136" w:rsidRPr="00391B86">
        <w:rPr>
          <w:rFonts w:ascii="Times New Roman" w:hAnsi="Times New Roman"/>
        </w:rPr>
        <w:t>Victoria and New So</w:t>
      </w:r>
      <w:r w:rsidR="00112657" w:rsidRPr="00391B86">
        <w:rPr>
          <w:rFonts w:ascii="Times New Roman" w:hAnsi="Times New Roman"/>
        </w:rPr>
        <w:t>u</w:t>
      </w:r>
      <w:r w:rsidR="00A63136" w:rsidRPr="00391B86">
        <w:rPr>
          <w:rFonts w:ascii="Times New Roman" w:hAnsi="Times New Roman"/>
        </w:rPr>
        <w:t>th Wales.</w:t>
      </w:r>
      <w:r w:rsidR="00112657" w:rsidRPr="00391B86">
        <w:rPr>
          <w:rStyle w:val="FootnoteReference"/>
          <w:rFonts w:ascii="Times New Roman" w:hAnsi="Times New Roman"/>
          <w:sz w:val="24"/>
        </w:rPr>
        <w:footnoteReference w:id="3"/>
      </w:r>
      <w:r w:rsidR="00A63136" w:rsidRPr="00391B86">
        <w:rPr>
          <w:rFonts w:ascii="Times New Roman" w:hAnsi="Times New Roman"/>
        </w:rPr>
        <w:t xml:space="preserve"> </w:t>
      </w:r>
      <w:r w:rsidR="00112657" w:rsidRPr="00391B86">
        <w:rPr>
          <w:rFonts w:ascii="Times New Roman" w:hAnsi="Times New Roman"/>
        </w:rPr>
        <w:t xml:space="preserve">Those references of power were </w:t>
      </w:r>
      <w:r w:rsidR="00263BC3" w:rsidRPr="00391B86">
        <w:rPr>
          <w:rFonts w:ascii="Times New Roman" w:hAnsi="Times New Roman"/>
        </w:rPr>
        <w:t>designed to facilitate exercise</w:t>
      </w:r>
      <w:r w:rsidR="00BF5A99" w:rsidRPr="00391B86">
        <w:rPr>
          <w:rFonts w:ascii="Times New Roman" w:hAnsi="Times New Roman"/>
        </w:rPr>
        <w:t xml:space="preserve"> </w:t>
      </w:r>
      <w:r w:rsidR="00A94B82" w:rsidRPr="00391B86">
        <w:rPr>
          <w:rFonts w:ascii="Times New Roman" w:hAnsi="Times New Roman"/>
        </w:rPr>
        <w:t xml:space="preserve">by the Commonwealth Parliament </w:t>
      </w:r>
      <w:r w:rsidR="00BF5A99" w:rsidRPr="00391B86">
        <w:rPr>
          <w:rFonts w:ascii="Times New Roman" w:hAnsi="Times New Roman"/>
        </w:rPr>
        <w:t>of</w:t>
      </w:r>
      <w:r w:rsidR="00850288" w:rsidRPr="00391B86">
        <w:rPr>
          <w:rFonts w:ascii="Times New Roman" w:hAnsi="Times New Roman"/>
        </w:rPr>
        <w:t xml:space="preserve"> legislative power under</w:t>
      </w:r>
      <w:r w:rsidR="008318C1" w:rsidRPr="00391B86">
        <w:rPr>
          <w:rFonts w:ascii="Times New Roman" w:hAnsi="Times New Roman"/>
        </w:rPr>
        <w:t xml:space="preserve"> s</w:t>
      </w:r>
      <w:r w:rsidR="00AD6076" w:rsidRPr="00391B86">
        <w:rPr>
          <w:rFonts w:ascii="Times New Roman" w:hAnsi="Times New Roman"/>
        </w:rPr>
        <w:t> </w:t>
      </w:r>
      <w:r w:rsidR="008318C1" w:rsidRPr="00391B86">
        <w:rPr>
          <w:rFonts w:ascii="Times New Roman" w:hAnsi="Times New Roman"/>
        </w:rPr>
        <w:t xml:space="preserve">51(xxxvii) </w:t>
      </w:r>
      <w:r w:rsidR="007B0E7B" w:rsidRPr="00391B86">
        <w:rPr>
          <w:rFonts w:ascii="Times New Roman" w:hAnsi="Times New Roman"/>
        </w:rPr>
        <w:t>of the Constitution.</w:t>
      </w:r>
      <w:r w:rsidR="007C0A17" w:rsidRPr="00391B86">
        <w:rPr>
          <w:rFonts w:ascii="Times New Roman" w:hAnsi="Times New Roman"/>
        </w:rPr>
        <w:t xml:space="preserve"> The Corporations Act makes clear, however, that </w:t>
      </w:r>
      <w:r w:rsidR="00646136" w:rsidRPr="00391B86">
        <w:rPr>
          <w:rFonts w:ascii="Times New Roman" w:hAnsi="Times New Roman"/>
        </w:rPr>
        <w:t xml:space="preserve">its operation in the referring States </w:t>
      </w:r>
      <w:r w:rsidR="00B87959" w:rsidRPr="00391B86">
        <w:rPr>
          <w:rFonts w:ascii="Times New Roman" w:hAnsi="Times New Roman"/>
        </w:rPr>
        <w:t xml:space="preserve">is based </w:t>
      </w:r>
      <w:r w:rsidR="008F0E67" w:rsidRPr="00391B86">
        <w:rPr>
          <w:rFonts w:ascii="Times New Roman" w:hAnsi="Times New Roman"/>
        </w:rPr>
        <w:t>foremost</w:t>
      </w:r>
      <w:r w:rsidR="0064230A" w:rsidRPr="00391B86">
        <w:rPr>
          <w:rFonts w:ascii="Times New Roman" w:hAnsi="Times New Roman"/>
        </w:rPr>
        <w:t xml:space="preserve"> </w:t>
      </w:r>
      <w:r w:rsidR="00B87959" w:rsidRPr="00391B86">
        <w:rPr>
          <w:rFonts w:ascii="Times New Roman" w:hAnsi="Times New Roman"/>
        </w:rPr>
        <w:t xml:space="preserve">on the legislative powers that the Commonwealth </w:t>
      </w:r>
      <w:r w:rsidR="0064230A" w:rsidRPr="00391B86">
        <w:rPr>
          <w:rFonts w:ascii="Times New Roman" w:hAnsi="Times New Roman"/>
        </w:rPr>
        <w:t>P</w:t>
      </w:r>
      <w:r w:rsidR="00B87959" w:rsidRPr="00391B86">
        <w:rPr>
          <w:rFonts w:ascii="Times New Roman" w:hAnsi="Times New Roman"/>
        </w:rPr>
        <w:t>arliament has</w:t>
      </w:r>
      <w:r w:rsidR="0064230A" w:rsidRPr="00391B86">
        <w:rPr>
          <w:rFonts w:ascii="Times New Roman" w:hAnsi="Times New Roman"/>
        </w:rPr>
        <w:t xml:space="preserve"> apart from s</w:t>
      </w:r>
      <w:r w:rsidR="00AD6076" w:rsidRPr="00391B86">
        <w:rPr>
          <w:rFonts w:ascii="Times New Roman" w:hAnsi="Times New Roman"/>
        </w:rPr>
        <w:t> </w:t>
      </w:r>
      <w:r w:rsidR="0064230A" w:rsidRPr="00391B86">
        <w:rPr>
          <w:rFonts w:ascii="Times New Roman" w:hAnsi="Times New Roman"/>
        </w:rPr>
        <w:t>51(xxxvii) of the Constitution.</w:t>
      </w:r>
      <w:r w:rsidR="0064230A" w:rsidRPr="00391B86">
        <w:rPr>
          <w:rStyle w:val="FootnoteReference"/>
          <w:rFonts w:ascii="Times New Roman" w:hAnsi="Times New Roman"/>
          <w:sz w:val="24"/>
        </w:rPr>
        <w:footnoteReference w:id="4"/>
      </w:r>
      <w:r w:rsidR="0064230A" w:rsidRPr="00391B86">
        <w:rPr>
          <w:rFonts w:ascii="Times New Roman" w:hAnsi="Times New Roman"/>
        </w:rPr>
        <w:t xml:space="preserve"> </w:t>
      </w:r>
    </w:p>
    <w:p w14:paraId="35F67D4C" w14:textId="12A94219" w:rsidR="00526AB0" w:rsidRPr="00391B86" w:rsidRDefault="001703BA"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43536E" w:rsidRPr="00391B86">
        <w:rPr>
          <w:rFonts w:ascii="Times New Roman" w:hAnsi="Times New Roman"/>
        </w:rPr>
        <w:t>Together with associated rules of court, t</w:t>
      </w:r>
      <w:r w:rsidR="00683F60" w:rsidRPr="00391B86">
        <w:rPr>
          <w:rFonts w:ascii="Times New Roman" w:hAnsi="Times New Roman"/>
        </w:rPr>
        <w:t>he Corporations Act and the ASIC Act</w:t>
      </w:r>
      <w:r w:rsidR="00A41EE2" w:rsidRPr="00391B86">
        <w:rPr>
          <w:rFonts w:ascii="Times New Roman" w:hAnsi="Times New Roman"/>
        </w:rPr>
        <w:t xml:space="preserve"> </w:t>
      </w:r>
      <w:r w:rsidR="00CF3CE8" w:rsidRPr="00391B86">
        <w:rPr>
          <w:rFonts w:ascii="Times New Roman" w:hAnsi="Times New Roman"/>
        </w:rPr>
        <w:t xml:space="preserve">are referred to </w:t>
      </w:r>
      <w:r w:rsidR="007B6A56" w:rsidRPr="00391B86">
        <w:rPr>
          <w:rFonts w:ascii="Times New Roman" w:hAnsi="Times New Roman"/>
        </w:rPr>
        <w:t xml:space="preserve">in the Corporations Act </w:t>
      </w:r>
      <w:r w:rsidR="00CF3CE8" w:rsidRPr="00391B86">
        <w:rPr>
          <w:rFonts w:ascii="Times New Roman" w:hAnsi="Times New Roman"/>
        </w:rPr>
        <w:t>as "the Corporations legislation".</w:t>
      </w:r>
      <w:r w:rsidR="00CF3CE8" w:rsidRPr="00391B86">
        <w:rPr>
          <w:rStyle w:val="FootnoteReference"/>
          <w:rFonts w:ascii="Times New Roman" w:hAnsi="Times New Roman"/>
          <w:sz w:val="24"/>
        </w:rPr>
        <w:footnoteReference w:id="5"/>
      </w:r>
      <w:r w:rsidR="007B036F" w:rsidRPr="00391B86">
        <w:rPr>
          <w:rFonts w:ascii="Times New Roman" w:hAnsi="Times New Roman"/>
        </w:rPr>
        <w:t xml:space="preserve"> </w:t>
      </w:r>
    </w:p>
    <w:p w14:paraId="50693EFE" w14:textId="54A6E81F" w:rsidR="0001687A" w:rsidRPr="00391B86" w:rsidRDefault="00526AB0"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6F281A" w:rsidRPr="00391B86">
        <w:rPr>
          <w:rFonts w:ascii="Times New Roman" w:hAnsi="Times New Roman"/>
        </w:rPr>
        <w:t>P</w:t>
      </w:r>
      <w:r w:rsidR="0043536E" w:rsidRPr="00391B86">
        <w:rPr>
          <w:rFonts w:ascii="Times New Roman" w:hAnsi="Times New Roman"/>
        </w:rPr>
        <w:t>ar</w:t>
      </w:r>
      <w:r w:rsidR="006F281A" w:rsidRPr="00391B86">
        <w:rPr>
          <w:rFonts w:ascii="Times New Roman" w:hAnsi="Times New Roman"/>
        </w:rPr>
        <w:t xml:space="preserve">t 9.6A of the Corporations Act is headed "Jurisdiction and procedure of Courts". </w:t>
      </w:r>
      <w:r w:rsidR="00683F60" w:rsidRPr="00391B86">
        <w:rPr>
          <w:rFonts w:ascii="Times New Roman" w:hAnsi="Times New Roman"/>
        </w:rPr>
        <w:t xml:space="preserve">Division 1 </w:t>
      </w:r>
      <w:r w:rsidR="006F281A" w:rsidRPr="00391B86">
        <w:rPr>
          <w:rFonts w:ascii="Times New Roman" w:hAnsi="Times New Roman"/>
        </w:rPr>
        <w:t>of</w:t>
      </w:r>
      <w:r w:rsidR="00E34B3A" w:rsidRPr="00391B86">
        <w:rPr>
          <w:rFonts w:ascii="Times New Roman" w:hAnsi="Times New Roman"/>
        </w:rPr>
        <w:t xml:space="preserve"> Pt 9.6A</w:t>
      </w:r>
      <w:r w:rsidR="00C649CE" w:rsidRPr="00391B86">
        <w:rPr>
          <w:rFonts w:ascii="Times New Roman" w:hAnsi="Times New Roman"/>
        </w:rPr>
        <w:t xml:space="preserve">, </w:t>
      </w:r>
      <w:r w:rsidR="00E34B3A" w:rsidRPr="00391B86">
        <w:rPr>
          <w:rFonts w:ascii="Times New Roman" w:hAnsi="Times New Roman"/>
        </w:rPr>
        <w:t>headed "Civil jurisdiction"</w:t>
      </w:r>
      <w:r w:rsidR="00C649CE" w:rsidRPr="00391B86">
        <w:rPr>
          <w:rFonts w:ascii="Times New Roman" w:hAnsi="Times New Roman"/>
        </w:rPr>
        <w:t>,</w:t>
      </w:r>
      <w:r w:rsidR="00F676A5" w:rsidRPr="00391B86">
        <w:rPr>
          <w:rFonts w:ascii="Times New Roman" w:hAnsi="Times New Roman"/>
        </w:rPr>
        <w:t xml:space="preserve"> </w:t>
      </w:r>
      <w:r w:rsidR="00683F60" w:rsidRPr="00391B86">
        <w:rPr>
          <w:rFonts w:ascii="Times New Roman" w:hAnsi="Times New Roman"/>
        </w:rPr>
        <w:t>deal</w:t>
      </w:r>
      <w:r w:rsidR="0051176E" w:rsidRPr="00391B86">
        <w:rPr>
          <w:rFonts w:ascii="Times New Roman" w:hAnsi="Times New Roman"/>
        </w:rPr>
        <w:t>s</w:t>
      </w:r>
      <w:r w:rsidR="00683F60" w:rsidRPr="00391B86">
        <w:rPr>
          <w:rFonts w:ascii="Times New Roman" w:hAnsi="Times New Roman"/>
        </w:rPr>
        <w:t xml:space="preserve"> with</w:t>
      </w:r>
      <w:r w:rsidR="00C8290E" w:rsidRPr="00391B86">
        <w:rPr>
          <w:rFonts w:ascii="Times New Roman" w:hAnsi="Times New Roman"/>
        </w:rPr>
        <w:t xml:space="preserve"> </w:t>
      </w:r>
      <w:r w:rsidR="00683F60" w:rsidRPr="00391B86">
        <w:rPr>
          <w:rFonts w:ascii="Times New Roman" w:hAnsi="Times New Roman"/>
        </w:rPr>
        <w:t xml:space="preserve">the jurisdiction of courts in respect of civil matters arising under </w:t>
      </w:r>
      <w:r w:rsidR="00750C70" w:rsidRPr="00391B86">
        <w:rPr>
          <w:rFonts w:ascii="Times New Roman" w:hAnsi="Times New Roman"/>
        </w:rPr>
        <w:t xml:space="preserve">the Corporations </w:t>
      </w:r>
      <w:r w:rsidR="00EA3C8F" w:rsidRPr="00391B86">
        <w:rPr>
          <w:rFonts w:ascii="Times New Roman" w:hAnsi="Times New Roman"/>
        </w:rPr>
        <w:t>l</w:t>
      </w:r>
      <w:r w:rsidR="00750C70" w:rsidRPr="00391B86">
        <w:rPr>
          <w:rFonts w:ascii="Times New Roman" w:hAnsi="Times New Roman"/>
        </w:rPr>
        <w:t>egislation</w:t>
      </w:r>
      <w:r w:rsidR="00EA3C8F" w:rsidRPr="00391B86">
        <w:rPr>
          <w:rStyle w:val="FootnoteReference"/>
          <w:rFonts w:ascii="Times New Roman" w:hAnsi="Times New Roman"/>
          <w:sz w:val="24"/>
        </w:rPr>
        <w:footnoteReference w:id="6"/>
      </w:r>
      <w:r w:rsidR="007B036F" w:rsidRPr="00391B86">
        <w:rPr>
          <w:rFonts w:ascii="Times New Roman" w:hAnsi="Times New Roman"/>
        </w:rPr>
        <w:t xml:space="preserve"> </w:t>
      </w:r>
      <w:r w:rsidR="003C3480" w:rsidRPr="00391B86">
        <w:rPr>
          <w:rFonts w:ascii="Times New Roman" w:hAnsi="Times New Roman"/>
        </w:rPr>
        <w:t>and operat</w:t>
      </w:r>
      <w:r w:rsidR="002618F3" w:rsidRPr="00391B86">
        <w:rPr>
          <w:rFonts w:ascii="Times New Roman" w:hAnsi="Times New Roman"/>
        </w:rPr>
        <w:t>es</w:t>
      </w:r>
      <w:r w:rsidR="003C3480" w:rsidRPr="00391B86">
        <w:rPr>
          <w:rFonts w:ascii="Times New Roman" w:hAnsi="Times New Roman"/>
        </w:rPr>
        <w:t xml:space="preserve"> </w:t>
      </w:r>
      <w:r w:rsidR="007B036F" w:rsidRPr="00391B86">
        <w:rPr>
          <w:rFonts w:ascii="Times New Roman" w:hAnsi="Times New Roman"/>
        </w:rPr>
        <w:t>to the exclusion of the</w:t>
      </w:r>
      <w:r w:rsidR="00E61C16" w:rsidRPr="00391B86">
        <w:rPr>
          <w:rFonts w:ascii="Times New Roman" w:hAnsi="Times New Roman"/>
        </w:rPr>
        <w:t xml:space="preserve"> whole of the</w:t>
      </w:r>
      <w:r w:rsidR="007B036F" w:rsidRPr="00391B86">
        <w:rPr>
          <w:rFonts w:ascii="Times New Roman" w:hAnsi="Times New Roman"/>
        </w:rPr>
        <w:t xml:space="preserve"> </w:t>
      </w:r>
      <w:r w:rsidR="007B036F" w:rsidRPr="00391B86">
        <w:rPr>
          <w:rFonts w:ascii="Times New Roman" w:hAnsi="Times New Roman"/>
          <w:i/>
          <w:iCs/>
        </w:rPr>
        <w:t>Jurisdiction of Courts (Cross-vesting) Act 1987</w:t>
      </w:r>
      <w:r w:rsidR="007B036F" w:rsidRPr="00391B86">
        <w:rPr>
          <w:rFonts w:ascii="Times New Roman" w:hAnsi="Times New Roman"/>
        </w:rPr>
        <w:t xml:space="preserve"> (</w:t>
      </w:r>
      <w:proofErr w:type="spellStart"/>
      <w:r w:rsidR="007B036F" w:rsidRPr="00391B86">
        <w:rPr>
          <w:rFonts w:ascii="Times New Roman" w:hAnsi="Times New Roman"/>
        </w:rPr>
        <w:t>Cth</w:t>
      </w:r>
      <w:proofErr w:type="spellEnd"/>
      <w:r w:rsidR="007B036F" w:rsidRPr="00391B86">
        <w:rPr>
          <w:rFonts w:ascii="Times New Roman" w:hAnsi="Times New Roman"/>
        </w:rPr>
        <w:t xml:space="preserve">) ("the </w:t>
      </w:r>
      <w:r w:rsidR="00727DF6" w:rsidRPr="00391B86">
        <w:rPr>
          <w:rFonts w:ascii="Times New Roman" w:hAnsi="Times New Roman"/>
        </w:rPr>
        <w:t>Cross-vesting Act")</w:t>
      </w:r>
      <w:r w:rsidR="00E61C16" w:rsidRPr="00391B86">
        <w:rPr>
          <w:rFonts w:ascii="Times New Roman" w:hAnsi="Times New Roman"/>
        </w:rPr>
        <w:t xml:space="preserve"> </w:t>
      </w:r>
      <w:r w:rsidR="006B3049" w:rsidRPr="00391B86">
        <w:rPr>
          <w:rFonts w:ascii="Times New Roman" w:hAnsi="Times New Roman"/>
        </w:rPr>
        <w:t xml:space="preserve">and </w:t>
      </w:r>
      <w:r w:rsidR="007F61A4" w:rsidRPr="00391B86">
        <w:rPr>
          <w:rFonts w:ascii="Times New Roman" w:hAnsi="Times New Roman"/>
        </w:rPr>
        <w:t xml:space="preserve">of </w:t>
      </w:r>
      <w:r w:rsidR="006B3049" w:rsidRPr="00391B86">
        <w:rPr>
          <w:rFonts w:ascii="Times New Roman" w:hAnsi="Times New Roman"/>
        </w:rPr>
        <w:t>s</w:t>
      </w:r>
      <w:r w:rsidR="005D1B29" w:rsidRPr="00391B86">
        <w:rPr>
          <w:rFonts w:ascii="Times New Roman" w:hAnsi="Times New Roman"/>
        </w:rPr>
        <w:t> </w:t>
      </w:r>
      <w:r w:rsidR="006B3049" w:rsidRPr="00391B86">
        <w:rPr>
          <w:rFonts w:ascii="Times New Roman" w:hAnsi="Times New Roman"/>
        </w:rPr>
        <w:t xml:space="preserve">39B of the </w:t>
      </w:r>
      <w:r w:rsidR="006B3049" w:rsidRPr="00391B86">
        <w:rPr>
          <w:rFonts w:ascii="Times New Roman" w:hAnsi="Times New Roman"/>
          <w:i/>
          <w:iCs/>
        </w:rPr>
        <w:t>Judiciary Act 1903</w:t>
      </w:r>
      <w:r w:rsidR="006B3049" w:rsidRPr="00391B86">
        <w:rPr>
          <w:rFonts w:ascii="Times New Roman" w:hAnsi="Times New Roman"/>
        </w:rPr>
        <w:t xml:space="preserve"> (</w:t>
      </w:r>
      <w:proofErr w:type="spellStart"/>
      <w:r w:rsidR="006B3049" w:rsidRPr="00391B86">
        <w:rPr>
          <w:rFonts w:ascii="Times New Roman" w:hAnsi="Times New Roman"/>
        </w:rPr>
        <w:t>Cth</w:t>
      </w:r>
      <w:proofErr w:type="spellEnd"/>
      <w:r w:rsidR="006B3049" w:rsidRPr="00391B86">
        <w:rPr>
          <w:rFonts w:ascii="Times New Roman" w:hAnsi="Times New Roman"/>
        </w:rPr>
        <w:t>) ("the Judiciary Act")</w:t>
      </w:r>
      <w:r w:rsidR="00B53D5B" w:rsidRPr="00391B86">
        <w:rPr>
          <w:rFonts w:ascii="Times New Roman" w:hAnsi="Times New Roman"/>
        </w:rPr>
        <w:t>.</w:t>
      </w:r>
      <w:r w:rsidR="003C3480" w:rsidRPr="00391B86">
        <w:rPr>
          <w:rStyle w:val="FootnoteReference"/>
          <w:rFonts w:ascii="Times New Roman" w:hAnsi="Times New Roman"/>
          <w:sz w:val="24"/>
        </w:rPr>
        <w:footnoteReference w:id="7"/>
      </w:r>
      <w:r w:rsidR="00C2231B" w:rsidRPr="00391B86">
        <w:rPr>
          <w:rFonts w:ascii="Times New Roman" w:hAnsi="Times New Roman"/>
        </w:rPr>
        <w:t xml:space="preserve"> </w:t>
      </w:r>
    </w:p>
    <w:p w14:paraId="758F4349" w14:textId="2EF0908A" w:rsidR="00B53D5B" w:rsidRPr="00391B86" w:rsidRDefault="00B53D5B"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AC49CE" w:rsidRPr="00391B86">
        <w:rPr>
          <w:rFonts w:ascii="Times New Roman" w:hAnsi="Times New Roman"/>
        </w:rPr>
        <w:t>Subdivision B of Div</w:t>
      </w:r>
      <w:r w:rsidR="00CA4092" w:rsidRPr="00391B86">
        <w:rPr>
          <w:rFonts w:ascii="Times New Roman" w:hAnsi="Times New Roman"/>
        </w:rPr>
        <w:t xml:space="preserve"> 1</w:t>
      </w:r>
      <w:r w:rsidR="00661223" w:rsidRPr="00391B86">
        <w:rPr>
          <w:rFonts w:ascii="Times New Roman" w:hAnsi="Times New Roman"/>
        </w:rPr>
        <w:t xml:space="preserve"> </w:t>
      </w:r>
      <w:r w:rsidR="00523E90" w:rsidRPr="00391B86">
        <w:rPr>
          <w:rFonts w:ascii="Times New Roman" w:hAnsi="Times New Roman"/>
        </w:rPr>
        <w:t>of Pt 9.6A</w:t>
      </w:r>
      <w:r w:rsidR="00B451A8" w:rsidRPr="00391B86">
        <w:rPr>
          <w:rFonts w:ascii="Times New Roman" w:hAnsi="Times New Roman"/>
        </w:rPr>
        <w:t xml:space="preserve">, </w:t>
      </w:r>
      <w:r w:rsidR="00C8290E" w:rsidRPr="00391B86">
        <w:rPr>
          <w:rFonts w:ascii="Times New Roman" w:hAnsi="Times New Roman"/>
        </w:rPr>
        <w:t>headed "Conferral of jurisdiction"</w:t>
      </w:r>
      <w:r w:rsidR="00B451A8" w:rsidRPr="00391B86">
        <w:rPr>
          <w:rFonts w:ascii="Times New Roman" w:hAnsi="Times New Roman"/>
        </w:rPr>
        <w:t>,</w:t>
      </w:r>
      <w:r w:rsidR="00543A9E" w:rsidRPr="00391B86">
        <w:rPr>
          <w:rFonts w:ascii="Times New Roman" w:hAnsi="Times New Roman"/>
        </w:rPr>
        <w:t xml:space="preserve"> </w:t>
      </w:r>
      <w:r w:rsidR="002618F3" w:rsidRPr="00391B86">
        <w:rPr>
          <w:rFonts w:ascii="Times New Roman" w:hAnsi="Times New Roman"/>
        </w:rPr>
        <w:t>provides</w:t>
      </w:r>
      <w:r w:rsidR="00AC49CE" w:rsidRPr="00391B86">
        <w:rPr>
          <w:rFonts w:ascii="Times New Roman" w:hAnsi="Times New Roman"/>
        </w:rPr>
        <w:t xml:space="preserve"> for </w:t>
      </w:r>
      <w:r w:rsidR="00A16D37" w:rsidRPr="00391B86">
        <w:rPr>
          <w:rFonts w:ascii="Times New Roman" w:hAnsi="Times New Roman"/>
        </w:rPr>
        <w:t xml:space="preserve">the </w:t>
      </w:r>
      <w:r w:rsidR="003C25D0" w:rsidRPr="00391B86">
        <w:rPr>
          <w:rFonts w:ascii="Times New Roman" w:hAnsi="Times New Roman"/>
        </w:rPr>
        <w:t xml:space="preserve">conferral </w:t>
      </w:r>
      <w:r w:rsidR="00BE319F" w:rsidRPr="00391B86">
        <w:rPr>
          <w:rFonts w:ascii="Times New Roman" w:hAnsi="Times New Roman"/>
        </w:rPr>
        <w:t xml:space="preserve">or investiture </w:t>
      </w:r>
      <w:r w:rsidR="003C25D0" w:rsidRPr="00391B86">
        <w:rPr>
          <w:rFonts w:ascii="Times New Roman" w:hAnsi="Times New Roman"/>
        </w:rPr>
        <w:t xml:space="preserve">of </w:t>
      </w:r>
      <w:r w:rsidR="00A16D37" w:rsidRPr="00391B86">
        <w:rPr>
          <w:rFonts w:ascii="Times New Roman" w:hAnsi="Times New Roman"/>
        </w:rPr>
        <w:t>federal jurisdiction with respect to civil matters arising under the Corporations legislation</w:t>
      </w:r>
      <w:r w:rsidR="0074788F" w:rsidRPr="00391B86">
        <w:rPr>
          <w:rFonts w:ascii="Times New Roman" w:hAnsi="Times New Roman"/>
        </w:rPr>
        <w:t xml:space="preserve">. </w:t>
      </w:r>
      <w:r w:rsidR="00B2060B" w:rsidRPr="00391B86">
        <w:rPr>
          <w:rFonts w:ascii="Times New Roman" w:hAnsi="Times New Roman"/>
        </w:rPr>
        <w:t>P</w:t>
      </w:r>
      <w:r w:rsidR="0074788F" w:rsidRPr="00391B86">
        <w:rPr>
          <w:rFonts w:ascii="Times New Roman" w:hAnsi="Times New Roman"/>
        </w:rPr>
        <w:t>ursuant to s</w:t>
      </w:r>
      <w:r w:rsidR="005D1B29" w:rsidRPr="00391B86">
        <w:rPr>
          <w:rFonts w:ascii="Times New Roman" w:hAnsi="Times New Roman"/>
        </w:rPr>
        <w:t> </w:t>
      </w:r>
      <w:r w:rsidR="0074788F" w:rsidRPr="00391B86">
        <w:rPr>
          <w:rFonts w:ascii="Times New Roman" w:hAnsi="Times New Roman"/>
        </w:rPr>
        <w:t>77(</w:t>
      </w:r>
      <w:proofErr w:type="spellStart"/>
      <w:r w:rsidR="0074788F" w:rsidRPr="00391B86">
        <w:rPr>
          <w:rFonts w:ascii="Times New Roman" w:hAnsi="Times New Roman"/>
        </w:rPr>
        <w:t>i</w:t>
      </w:r>
      <w:proofErr w:type="spellEnd"/>
      <w:r w:rsidR="0074788F" w:rsidRPr="00391B86">
        <w:rPr>
          <w:rFonts w:ascii="Times New Roman" w:hAnsi="Times New Roman"/>
        </w:rPr>
        <w:t xml:space="preserve">) of the </w:t>
      </w:r>
      <w:r w:rsidR="00B857CC" w:rsidRPr="00391B86">
        <w:rPr>
          <w:rFonts w:ascii="Times New Roman" w:hAnsi="Times New Roman"/>
        </w:rPr>
        <w:t xml:space="preserve">Constitution, </w:t>
      </w:r>
      <w:r w:rsidR="00B2060B" w:rsidRPr="00391B86">
        <w:rPr>
          <w:rFonts w:ascii="Times New Roman" w:hAnsi="Times New Roman"/>
        </w:rPr>
        <w:t>s</w:t>
      </w:r>
      <w:r w:rsidR="00994333" w:rsidRPr="00391B86">
        <w:rPr>
          <w:rFonts w:ascii="Times New Roman" w:hAnsi="Times New Roman"/>
        </w:rPr>
        <w:t> </w:t>
      </w:r>
      <w:r w:rsidR="00B2060B" w:rsidRPr="00391B86">
        <w:rPr>
          <w:rFonts w:ascii="Times New Roman" w:hAnsi="Times New Roman"/>
        </w:rPr>
        <w:t>1337</w:t>
      </w:r>
      <w:proofErr w:type="gramStart"/>
      <w:r w:rsidR="00B2060B" w:rsidRPr="00391B86">
        <w:rPr>
          <w:rFonts w:ascii="Times New Roman" w:hAnsi="Times New Roman"/>
        </w:rPr>
        <w:t>B(</w:t>
      </w:r>
      <w:proofErr w:type="gramEnd"/>
      <w:r w:rsidR="00B2060B" w:rsidRPr="00391B86">
        <w:rPr>
          <w:rFonts w:ascii="Times New Roman" w:hAnsi="Times New Roman"/>
        </w:rPr>
        <w:t xml:space="preserve">1) confers </w:t>
      </w:r>
      <w:r w:rsidR="00A16D37" w:rsidRPr="00391B86">
        <w:rPr>
          <w:rFonts w:ascii="Times New Roman" w:hAnsi="Times New Roman"/>
        </w:rPr>
        <w:t xml:space="preserve">federal </w:t>
      </w:r>
      <w:r w:rsidR="002F0C8A" w:rsidRPr="00391B86">
        <w:rPr>
          <w:rFonts w:ascii="Times New Roman" w:hAnsi="Times New Roman"/>
        </w:rPr>
        <w:t xml:space="preserve">jurisdiction </w:t>
      </w:r>
      <w:r w:rsidR="00F45EBB" w:rsidRPr="00391B86">
        <w:rPr>
          <w:rFonts w:ascii="Times New Roman" w:hAnsi="Times New Roman"/>
        </w:rPr>
        <w:t xml:space="preserve">with </w:t>
      </w:r>
      <w:r w:rsidR="00C50D52" w:rsidRPr="00391B86">
        <w:rPr>
          <w:rFonts w:ascii="Times New Roman" w:hAnsi="Times New Roman"/>
        </w:rPr>
        <w:t xml:space="preserve">respect to </w:t>
      </w:r>
      <w:r w:rsidR="00F45EBB" w:rsidRPr="00391B86">
        <w:rPr>
          <w:rFonts w:ascii="Times New Roman" w:hAnsi="Times New Roman"/>
        </w:rPr>
        <w:t>such</w:t>
      </w:r>
      <w:r w:rsidR="00C50D52" w:rsidRPr="00391B86">
        <w:rPr>
          <w:rFonts w:ascii="Times New Roman" w:hAnsi="Times New Roman"/>
        </w:rPr>
        <w:t xml:space="preserve"> </w:t>
      </w:r>
      <w:r w:rsidR="00B2060B" w:rsidRPr="00391B86">
        <w:rPr>
          <w:rFonts w:ascii="Times New Roman" w:hAnsi="Times New Roman"/>
        </w:rPr>
        <w:t xml:space="preserve">matters </w:t>
      </w:r>
      <w:r w:rsidR="00626288" w:rsidRPr="00391B86">
        <w:rPr>
          <w:rFonts w:ascii="Times New Roman" w:hAnsi="Times New Roman"/>
        </w:rPr>
        <w:t xml:space="preserve">on the Federal Court of Australia. </w:t>
      </w:r>
      <w:r w:rsidR="00B2060B" w:rsidRPr="00391B86">
        <w:rPr>
          <w:rFonts w:ascii="Times New Roman" w:hAnsi="Times New Roman"/>
        </w:rPr>
        <w:t>P</w:t>
      </w:r>
      <w:r w:rsidR="00626288" w:rsidRPr="00391B86">
        <w:rPr>
          <w:rFonts w:ascii="Times New Roman" w:hAnsi="Times New Roman"/>
        </w:rPr>
        <w:t>ursuant to s</w:t>
      </w:r>
      <w:r w:rsidR="005D1B29" w:rsidRPr="00391B86">
        <w:rPr>
          <w:rFonts w:ascii="Times New Roman" w:hAnsi="Times New Roman"/>
        </w:rPr>
        <w:t> </w:t>
      </w:r>
      <w:r w:rsidR="00626288" w:rsidRPr="00391B86">
        <w:rPr>
          <w:rFonts w:ascii="Times New Roman" w:hAnsi="Times New Roman"/>
        </w:rPr>
        <w:t>77(iii) of the Constitution</w:t>
      </w:r>
      <w:r w:rsidR="00526AB0" w:rsidRPr="00391B86">
        <w:rPr>
          <w:rFonts w:ascii="Times New Roman" w:hAnsi="Times New Roman"/>
        </w:rPr>
        <w:t>,</w:t>
      </w:r>
      <w:r w:rsidR="00626288" w:rsidRPr="00391B86">
        <w:rPr>
          <w:rFonts w:ascii="Times New Roman" w:hAnsi="Times New Roman"/>
        </w:rPr>
        <w:t xml:space="preserve"> subject </w:t>
      </w:r>
      <w:r w:rsidR="00626288" w:rsidRPr="00391B86">
        <w:rPr>
          <w:rFonts w:ascii="Times New Roman" w:hAnsi="Times New Roman"/>
        </w:rPr>
        <w:lastRenderedPageBreak/>
        <w:t xml:space="preserve">to </w:t>
      </w:r>
      <w:r w:rsidR="00E55F82" w:rsidRPr="00391B86">
        <w:rPr>
          <w:rFonts w:ascii="Times New Roman" w:hAnsi="Times New Roman"/>
        </w:rPr>
        <w:t>an immaterial exc</w:t>
      </w:r>
      <w:r w:rsidR="003F567B" w:rsidRPr="00391B86">
        <w:rPr>
          <w:rFonts w:ascii="Times New Roman" w:hAnsi="Times New Roman"/>
        </w:rPr>
        <w:t>eption</w:t>
      </w:r>
      <w:r w:rsidR="00626288" w:rsidRPr="00391B86">
        <w:rPr>
          <w:rFonts w:ascii="Times New Roman" w:hAnsi="Times New Roman"/>
        </w:rPr>
        <w:t xml:space="preserve">, </w:t>
      </w:r>
      <w:r w:rsidR="002618F3" w:rsidRPr="00391B86">
        <w:rPr>
          <w:rFonts w:ascii="Times New Roman" w:hAnsi="Times New Roman"/>
        </w:rPr>
        <w:t>s </w:t>
      </w:r>
      <w:r w:rsidR="00B2060B" w:rsidRPr="00391B86">
        <w:rPr>
          <w:rFonts w:ascii="Times New Roman" w:hAnsi="Times New Roman"/>
        </w:rPr>
        <w:t>1337</w:t>
      </w:r>
      <w:proofErr w:type="gramStart"/>
      <w:r w:rsidR="00B2060B" w:rsidRPr="00391B86">
        <w:rPr>
          <w:rFonts w:ascii="Times New Roman" w:hAnsi="Times New Roman"/>
        </w:rPr>
        <w:t>B(</w:t>
      </w:r>
      <w:proofErr w:type="gramEnd"/>
      <w:r w:rsidR="00B2060B" w:rsidRPr="00391B86">
        <w:rPr>
          <w:rFonts w:ascii="Times New Roman" w:hAnsi="Times New Roman"/>
        </w:rPr>
        <w:t>2)</w:t>
      </w:r>
      <w:r w:rsidR="00AA055E" w:rsidRPr="00391B86">
        <w:rPr>
          <w:rFonts w:ascii="Times New Roman" w:hAnsi="Times New Roman"/>
        </w:rPr>
        <w:t xml:space="preserve"> </w:t>
      </w:r>
      <w:r w:rsidR="003C164C" w:rsidRPr="00391B86">
        <w:rPr>
          <w:rFonts w:ascii="Times New Roman" w:hAnsi="Times New Roman"/>
        </w:rPr>
        <w:t xml:space="preserve">relevantly </w:t>
      </w:r>
      <w:r w:rsidR="00BE319F" w:rsidRPr="00391B86">
        <w:rPr>
          <w:rFonts w:ascii="Times New Roman" w:hAnsi="Times New Roman"/>
        </w:rPr>
        <w:t>invests</w:t>
      </w:r>
      <w:r w:rsidR="00AA055E" w:rsidRPr="00391B86">
        <w:rPr>
          <w:rFonts w:ascii="Times New Roman" w:hAnsi="Times New Roman"/>
        </w:rPr>
        <w:t xml:space="preserve"> </w:t>
      </w:r>
      <w:r w:rsidR="00A16D37" w:rsidRPr="00391B86">
        <w:rPr>
          <w:rFonts w:ascii="Times New Roman" w:hAnsi="Times New Roman"/>
        </w:rPr>
        <w:t xml:space="preserve">federal </w:t>
      </w:r>
      <w:r w:rsidR="00626288" w:rsidRPr="00391B86">
        <w:rPr>
          <w:rFonts w:ascii="Times New Roman" w:hAnsi="Times New Roman"/>
        </w:rPr>
        <w:t>jurisdiction</w:t>
      </w:r>
      <w:r w:rsidR="00F45EBB" w:rsidRPr="00391B86">
        <w:rPr>
          <w:rFonts w:ascii="Times New Roman" w:hAnsi="Times New Roman"/>
        </w:rPr>
        <w:t xml:space="preserve"> with</w:t>
      </w:r>
      <w:r w:rsidR="00626288" w:rsidRPr="00391B86">
        <w:rPr>
          <w:rFonts w:ascii="Times New Roman" w:hAnsi="Times New Roman"/>
        </w:rPr>
        <w:t xml:space="preserve"> respect to </w:t>
      </w:r>
      <w:r w:rsidR="00F45EBB" w:rsidRPr="00391B86">
        <w:rPr>
          <w:rFonts w:ascii="Times New Roman" w:hAnsi="Times New Roman"/>
        </w:rPr>
        <w:t>such</w:t>
      </w:r>
      <w:r w:rsidR="00626288" w:rsidRPr="00391B86">
        <w:rPr>
          <w:rFonts w:ascii="Times New Roman" w:hAnsi="Times New Roman"/>
        </w:rPr>
        <w:t xml:space="preserve"> matters </w:t>
      </w:r>
      <w:r w:rsidR="00BE319F" w:rsidRPr="00391B86">
        <w:rPr>
          <w:rFonts w:ascii="Times New Roman" w:hAnsi="Times New Roman"/>
        </w:rPr>
        <w:t>in</w:t>
      </w:r>
      <w:r w:rsidR="00626288" w:rsidRPr="00391B86">
        <w:rPr>
          <w:rFonts w:ascii="Times New Roman" w:hAnsi="Times New Roman"/>
        </w:rPr>
        <w:t xml:space="preserve"> </w:t>
      </w:r>
      <w:r w:rsidR="001A517E" w:rsidRPr="00391B86">
        <w:rPr>
          <w:rFonts w:ascii="Times New Roman" w:hAnsi="Times New Roman"/>
        </w:rPr>
        <w:t xml:space="preserve">the </w:t>
      </w:r>
      <w:r w:rsidR="00B56C17" w:rsidRPr="00391B86">
        <w:rPr>
          <w:rFonts w:ascii="Times New Roman" w:hAnsi="Times New Roman"/>
        </w:rPr>
        <w:t>Supreme Court</w:t>
      </w:r>
      <w:r w:rsidR="001A517E" w:rsidRPr="00391B86">
        <w:rPr>
          <w:rFonts w:ascii="Times New Roman" w:hAnsi="Times New Roman"/>
        </w:rPr>
        <w:t xml:space="preserve"> of each referring State</w:t>
      </w:r>
      <w:r w:rsidR="00AB13E9" w:rsidRPr="00391B86">
        <w:rPr>
          <w:rFonts w:ascii="Times New Roman" w:hAnsi="Times New Roman"/>
        </w:rPr>
        <w:t>.</w:t>
      </w:r>
      <w:r w:rsidR="00B3230F" w:rsidRPr="00391B86">
        <w:rPr>
          <w:rFonts w:ascii="Times New Roman" w:hAnsi="Times New Roman"/>
        </w:rPr>
        <w:t xml:space="preserve"> </w:t>
      </w:r>
      <w:r w:rsidR="00526AB0" w:rsidRPr="00391B86">
        <w:rPr>
          <w:rFonts w:ascii="Times New Roman" w:hAnsi="Times New Roman"/>
        </w:rPr>
        <w:t xml:space="preserve">Pursuant to </w:t>
      </w:r>
      <w:r w:rsidR="002618F3" w:rsidRPr="00391B86">
        <w:rPr>
          <w:rFonts w:ascii="Times New Roman" w:hAnsi="Times New Roman"/>
        </w:rPr>
        <w:t>s </w:t>
      </w:r>
      <w:r w:rsidR="00526AB0" w:rsidRPr="00391B86">
        <w:rPr>
          <w:rFonts w:ascii="Times New Roman" w:hAnsi="Times New Roman"/>
        </w:rPr>
        <w:t>51(xxxix) of the Constitution</w:t>
      </w:r>
      <w:r w:rsidR="008D33AC" w:rsidRPr="00391B86">
        <w:rPr>
          <w:rFonts w:ascii="Times New Roman" w:hAnsi="Times New Roman"/>
        </w:rPr>
        <w:t xml:space="preserve"> and </w:t>
      </w:r>
      <w:r w:rsidR="002F02F6" w:rsidRPr="00391B86">
        <w:rPr>
          <w:rFonts w:ascii="Times New Roman" w:hAnsi="Times New Roman"/>
        </w:rPr>
        <w:t>apart from</w:t>
      </w:r>
      <w:r w:rsidR="008D33AC" w:rsidRPr="00391B86">
        <w:rPr>
          <w:rFonts w:ascii="Times New Roman" w:hAnsi="Times New Roman"/>
        </w:rPr>
        <w:t xml:space="preserve"> </w:t>
      </w:r>
      <w:r w:rsidR="002618F3" w:rsidRPr="00391B86">
        <w:rPr>
          <w:rFonts w:ascii="Times New Roman" w:hAnsi="Times New Roman"/>
        </w:rPr>
        <w:t>s </w:t>
      </w:r>
      <w:r w:rsidR="008D33AC" w:rsidRPr="00391B86">
        <w:rPr>
          <w:rFonts w:ascii="Times New Roman" w:hAnsi="Times New Roman"/>
        </w:rPr>
        <w:t>51(xxxvii) of the Constitution</w:t>
      </w:r>
      <w:r w:rsidR="00526AB0" w:rsidRPr="00391B86">
        <w:rPr>
          <w:rFonts w:ascii="Times New Roman" w:hAnsi="Times New Roman"/>
        </w:rPr>
        <w:t xml:space="preserve">, </w:t>
      </w:r>
      <w:r w:rsidR="002618F3" w:rsidRPr="00391B86">
        <w:rPr>
          <w:rFonts w:ascii="Times New Roman" w:hAnsi="Times New Roman"/>
        </w:rPr>
        <w:t>s </w:t>
      </w:r>
      <w:r w:rsidR="00B3230F" w:rsidRPr="00391B86">
        <w:rPr>
          <w:rFonts w:ascii="Times New Roman" w:hAnsi="Times New Roman"/>
        </w:rPr>
        <w:t>1</w:t>
      </w:r>
      <w:r w:rsidR="006D4EDA" w:rsidRPr="00391B86">
        <w:rPr>
          <w:rFonts w:ascii="Times New Roman" w:hAnsi="Times New Roman"/>
        </w:rPr>
        <w:t xml:space="preserve">337G </w:t>
      </w:r>
      <w:r w:rsidR="006154C8" w:rsidRPr="00391B86">
        <w:rPr>
          <w:rFonts w:ascii="Times New Roman" w:hAnsi="Times New Roman"/>
        </w:rPr>
        <w:t>requires</w:t>
      </w:r>
      <w:r w:rsidR="006D4EDA" w:rsidRPr="00391B86">
        <w:rPr>
          <w:rFonts w:ascii="Times New Roman" w:hAnsi="Times New Roman"/>
        </w:rPr>
        <w:t xml:space="preserve"> courts having jurisdiction in civil matters arising under the </w:t>
      </w:r>
      <w:r w:rsidR="004635DC" w:rsidRPr="00391B86">
        <w:rPr>
          <w:rFonts w:ascii="Times New Roman" w:hAnsi="Times New Roman"/>
        </w:rPr>
        <w:t>C</w:t>
      </w:r>
      <w:r w:rsidR="006D4EDA" w:rsidRPr="00391B86">
        <w:rPr>
          <w:rFonts w:ascii="Times New Roman" w:hAnsi="Times New Roman"/>
        </w:rPr>
        <w:t xml:space="preserve">orporations legislation </w:t>
      </w:r>
      <w:r w:rsidR="0031683C" w:rsidRPr="00391B86">
        <w:rPr>
          <w:rFonts w:ascii="Times New Roman" w:hAnsi="Times New Roman"/>
        </w:rPr>
        <w:t>to</w:t>
      </w:r>
      <w:r w:rsidR="00451509" w:rsidRPr="00391B86">
        <w:rPr>
          <w:rFonts w:ascii="Times New Roman" w:hAnsi="Times New Roman"/>
        </w:rPr>
        <w:t xml:space="preserve"> act in aid of, and be auxiliary to</w:t>
      </w:r>
      <w:r w:rsidR="002D2E63" w:rsidRPr="00391B86">
        <w:rPr>
          <w:rFonts w:ascii="Times New Roman" w:hAnsi="Times New Roman"/>
        </w:rPr>
        <w:t>,</w:t>
      </w:r>
      <w:r w:rsidR="00451509" w:rsidRPr="00391B86">
        <w:rPr>
          <w:rFonts w:ascii="Times New Roman" w:hAnsi="Times New Roman"/>
        </w:rPr>
        <w:t xml:space="preserve"> each other in all those matters.</w:t>
      </w:r>
    </w:p>
    <w:p w14:paraId="0D5B50A4" w14:textId="3B754703" w:rsidR="006105CD" w:rsidRPr="00391B86" w:rsidRDefault="002F56BE" w:rsidP="00391B86">
      <w:pPr>
        <w:pStyle w:val="FixListStyle"/>
        <w:spacing w:after="260" w:line="280" w:lineRule="exact"/>
        <w:ind w:right="0"/>
        <w:jc w:val="both"/>
        <w:rPr>
          <w:rFonts w:ascii="Times New Roman" w:hAnsi="Times New Roman"/>
        </w:rPr>
      </w:pPr>
      <w:r w:rsidRPr="00391B86">
        <w:rPr>
          <w:rFonts w:ascii="Times New Roman" w:hAnsi="Times New Roman"/>
        </w:rPr>
        <w:tab/>
        <w:t>Subdivision C of Div</w:t>
      </w:r>
      <w:r w:rsidR="00B57578" w:rsidRPr="00391B86">
        <w:rPr>
          <w:rFonts w:ascii="Times New Roman" w:hAnsi="Times New Roman"/>
        </w:rPr>
        <w:t xml:space="preserve"> 1 </w:t>
      </w:r>
      <w:r w:rsidR="00265A5F" w:rsidRPr="00391B86">
        <w:rPr>
          <w:rFonts w:ascii="Times New Roman" w:hAnsi="Times New Roman"/>
        </w:rPr>
        <w:t xml:space="preserve">of Pt 9.6A </w:t>
      </w:r>
      <w:r w:rsidR="00B57578" w:rsidRPr="00391B86">
        <w:rPr>
          <w:rFonts w:ascii="Times New Roman" w:hAnsi="Times New Roman"/>
        </w:rPr>
        <w:t>is</w:t>
      </w:r>
      <w:r w:rsidR="00EC6BBC" w:rsidRPr="00391B86">
        <w:rPr>
          <w:rFonts w:ascii="Times New Roman" w:hAnsi="Times New Roman"/>
        </w:rPr>
        <w:t xml:space="preserve"> headed "Transfer of proceedings"</w:t>
      </w:r>
      <w:r w:rsidR="00B57578" w:rsidRPr="00391B86">
        <w:rPr>
          <w:rFonts w:ascii="Times New Roman" w:hAnsi="Times New Roman"/>
        </w:rPr>
        <w:t xml:space="preserve">. </w:t>
      </w:r>
      <w:r w:rsidR="00265A5F" w:rsidRPr="00391B86">
        <w:rPr>
          <w:rFonts w:ascii="Times New Roman" w:hAnsi="Times New Roman"/>
        </w:rPr>
        <w:t xml:space="preserve">Pursuant </w:t>
      </w:r>
      <w:r w:rsidR="005D573E" w:rsidRPr="00391B86">
        <w:rPr>
          <w:rFonts w:ascii="Times New Roman" w:hAnsi="Times New Roman"/>
        </w:rPr>
        <w:t xml:space="preserve">again </w:t>
      </w:r>
      <w:r w:rsidR="00265A5F" w:rsidRPr="00391B86">
        <w:rPr>
          <w:rFonts w:ascii="Times New Roman" w:hAnsi="Times New Roman"/>
        </w:rPr>
        <w:t>to s 51(xxxix) of the Constitution</w:t>
      </w:r>
      <w:r w:rsidR="00A473CC" w:rsidRPr="00391B86">
        <w:rPr>
          <w:rFonts w:ascii="Times New Roman" w:hAnsi="Times New Roman"/>
        </w:rPr>
        <w:t xml:space="preserve"> and </w:t>
      </w:r>
      <w:r w:rsidR="00C5048B" w:rsidRPr="00391B86">
        <w:rPr>
          <w:rFonts w:ascii="Times New Roman" w:hAnsi="Times New Roman"/>
        </w:rPr>
        <w:t xml:space="preserve">again </w:t>
      </w:r>
      <w:r w:rsidR="00844193" w:rsidRPr="00391B86">
        <w:rPr>
          <w:rFonts w:ascii="Times New Roman" w:hAnsi="Times New Roman"/>
        </w:rPr>
        <w:t>apart from</w:t>
      </w:r>
      <w:r w:rsidR="008D33AC" w:rsidRPr="00391B86">
        <w:rPr>
          <w:rFonts w:ascii="Times New Roman" w:hAnsi="Times New Roman"/>
        </w:rPr>
        <w:t xml:space="preserve"> s 51(xxxvii) of the Constitution</w:t>
      </w:r>
      <w:r w:rsidR="00265A5F" w:rsidRPr="00391B86">
        <w:rPr>
          <w:rFonts w:ascii="Times New Roman" w:hAnsi="Times New Roman"/>
        </w:rPr>
        <w:t>,</w:t>
      </w:r>
      <w:r w:rsidR="00265A5F" w:rsidRPr="00391B86">
        <w:rPr>
          <w:rFonts w:ascii="Times New Roman" w:hAnsi="Times New Roman"/>
          <w:i/>
          <w:iCs/>
        </w:rPr>
        <w:t xml:space="preserve"> </w:t>
      </w:r>
      <w:r w:rsidR="00414ED4" w:rsidRPr="00391B86">
        <w:rPr>
          <w:rFonts w:ascii="Times New Roman" w:hAnsi="Times New Roman"/>
        </w:rPr>
        <w:t>provision</w:t>
      </w:r>
      <w:r w:rsidRPr="00391B86">
        <w:rPr>
          <w:rFonts w:ascii="Times New Roman" w:hAnsi="Times New Roman"/>
        </w:rPr>
        <w:t xml:space="preserve"> </w:t>
      </w:r>
      <w:r w:rsidR="00665133" w:rsidRPr="00391B86">
        <w:rPr>
          <w:rFonts w:ascii="Times New Roman" w:hAnsi="Times New Roman"/>
        </w:rPr>
        <w:t xml:space="preserve">is made in </w:t>
      </w:r>
      <w:proofErr w:type="spellStart"/>
      <w:r w:rsidR="00665133" w:rsidRPr="00391B86">
        <w:rPr>
          <w:rFonts w:ascii="Times New Roman" w:hAnsi="Times New Roman"/>
        </w:rPr>
        <w:t>subdiv</w:t>
      </w:r>
      <w:proofErr w:type="spellEnd"/>
      <w:r w:rsidR="00665133" w:rsidRPr="00391B86">
        <w:rPr>
          <w:rFonts w:ascii="Times New Roman" w:hAnsi="Times New Roman"/>
        </w:rPr>
        <w:t xml:space="preserve"> C </w:t>
      </w:r>
      <w:r w:rsidRPr="00391B86">
        <w:rPr>
          <w:rFonts w:ascii="Times New Roman" w:hAnsi="Times New Roman"/>
        </w:rPr>
        <w:t>for</w:t>
      </w:r>
      <w:r w:rsidR="006848D2" w:rsidRPr="00391B86">
        <w:rPr>
          <w:rFonts w:ascii="Times New Roman" w:hAnsi="Times New Roman"/>
        </w:rPr>
        <w:t xml:space="preserve"> </w:t>
      </w:r>
      <w:r w:rsidR="00B45D49" w:rsidRPr="00391B86">
        <w:rPr>
          <w:rFonts w:ascii="Times New Roman" w:hAnsi="Times New Roman"/>
        </w:rPr>
        <w:t xml:space="preserve">the </w:t>
      </w:r>
      <w:r w:rsidR="006848D2" w:rsidRPr="00391B86">
        <w:rPr>
          <w:rFonts w:ascii="Times New Roman" w:hAnsi="Times New Roman"/>
        </w:rPr>
        <w:t>transfer</w:t>
      </w:r>
      <w:r w:rsidR="000D2893" w:rsidRPr="00391B86">
        <w:rPr>
          <w:rFonts w:ascii="Times New Roman" w:hAnsi="Times New Roman"/>
        </w:rPr>
        <w:t xml:space="preserve"> between courts </w:t>
      </w:r>
      <w:r w:rsidR="00CB5BC1" w:rsidRPr="00391B86">
        <w:rPr>
          <w:rFonts w:ascii="Times New Roman" w:hAnsi="Times New Roman"/>
        </w:rPr>
        <w:t>having</w:t>
      </w:r>
      <w:r w:rsidR="000D2893" w:rsidRPr="00391B86">
        <w:rPr>
          <w:rFonts w:ascii="Times New Roman" w:hAnsi="Times New Roman"/>
        </w:rPr>
        <w:t xml:space="preserve"> jurisdiction under </w:t>
      </w:r>
      <w:proofErr w:type="spellStart"/>
      <w:r w:rsidR="000D2893" w:rsidRPr="00391B86">
        <w:rPr>
          <w:rFonts w:ascii="Times New Roman" w:hAnsi="Times New Roman"/>
        </w:rPr>
        <w:t>subdiv</w:t>
      </w:r>
      <w:proofErr w:type="spellEnd"/>
      <w:r w:rsidR="000D2893" w:rsidRPr="00391B86">
        <w:rPr>
          <w:rFonts w:ascii="Times New Roman" w:hAnsi="Times New Roman"/>
        </w:rPr>
        <w:t xml:space="preserve"> B</w:t>
      </w:r>
      <w:r w:rsidR="009E1F6D" w:rsidRPr="00391B86">
        <w:rPr>
          <w:rFonts w:ascii="Times New Roman" w:hAnsi="Times New Roman"/>
        </w:rPr>
        <w:t xml:space="preserve"> </w:t>
      </w:r>
      <w:r w:rsidR="008D6444" w:rsidRPr="00391B86">
        <w:rPr>
          <w:rFonts w:ascii="Times New Roman" w:hAnsi="Times New Roman"/>
        </w:rPr>
        <w:t xml:space="preserve">both </w:t>
      </w:r>
      <w:r w:rsidR="0074672B" w:rsidRPr="00391B86">
        <w:rPr>
          <w:rFonts w:ascii="Times New Roman" w:hAnsi="Times New Roman"/>
        </w:rPr>
        <w:t xml:space="preserve">of proceedings with respect to civil matters </w:t>
      </w:r>
      <w:r w:rsidR="00735407" w:rsidRPr="00391B86">
        <w:rPr>
          <w:rFonts w:ascii="Times New Roman" w:hAnsi="Times New Roman"/>
        </w:rPr>
        <w:t xml:space="preserve">and of applications in </w:t>
      </w:r>
      <w:r w:rsidR="00C01822" w:rsidRPr="00391B86">
        <w:rPr>
          <w:rFonts w:ascii="Times New Roman" w:hAnsi="Times New Roman"/>
        </w:rPr>
        <w:t xml:space="preserve">such </w:t>
      </w:r>
      <w:r w:rsidR="00735407" w:rsidRPr="00391B86">
        <w:rPr>
          <w:rFonts w:ascii="Times New Roman" w:hAnsi="Times New Roman"/>
        </w:rPr>
        <w:t>proceedings</w:t>
      </w:r>
      <w:r w:rsidR="00AB4804" w:rsidRPr="00391B86">
        <w:rPr>
          <w:rFonts w:ascii="Times New Roman" w:hAnsi="Times New Roman"/>
        </w:rPr>
        <w:t xml:space="preserve"> arising under the Corporations legislation</w:t>
      </w:r>
      <w:r w:rsidR="006848D2" w:rsidRPr="00391B86">
        <w:rPr>
          <w:rFonts w:ascii="Times New Roman" w:hAnsi="Times New Roman"/>
        </w:rPr>
        <w:t xml:space="preserve">. </w:t>
      </w:r>
      <w:r w:rsidR="00B305B8" w:rsidRPr="00391B86">
        <w:rPr>
          <w:rFonts w:ascii="Times New Roman" w:hAnsi="Times New Roman"/>
        </w:rPr>
        <w:t xml:space="preserve">An example of such an application </w:t>
      </w:r>
      <w:r w:rsidR="00871E49" w:rsidRPr="00391B86">
        <w:rPr>
          <w:rFonts w:ascii="Times New Roman" w:hAnsi="Times New Roman"/>
        </w:rPr>
        <w:t xml:space="preserve">is an application </w:t>
      </w:r>
      <w:r w:rsidR="00296CE8" w:rsidRPr="00391B86">
        <w:rPr>
          <w:rFonts w:ascii="Times New Roman" w:hAnsi="Times New Roman"/>
        </w:rPr>
        <w:t>under s</w:t>
      </w:r>
      <w:r w:rsidR="005D1B29" w:rsidRPr="00391B86">
        <w:rPr>
          <w:rFonts w:ascii="Times New Roman" w:hAnsi="Times New Roman"/>
        </w:rPr>
        <w:t> </w:t>
      </w:r>
      <w:r w:rsidR="00CF184E" w:rsidRPr="00391B86">
        <w:rPr>
          <w:rFonts w:ascii="Times New Roman" w:hAnsi="Times New Roman"/>
        </w:rPr>
        <w:t xml:space="preserve">471B for leave to proceed against a corporation that has become insolvent. </w:t>
      </w:r>
    </w:p>
    <w:p w14:paraId="5D9A2E79" w14:textId="7E1F5732" w:rsidR="00724A9D" w:rsidRPr="00391B86" w:rsidRDefault="006105CD"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777A30" w:rsidRPr="00391B86">
        <w:rPr>
          <w:rFonts w:ascii="Times New Roman" w:hAnsi="Times New Roman"/>
        </w:rPr>
        <w:t>Section 1</w:t>
      </w:r>
      <w:r w:rsidR="00C848D2" w:rsidRPr="00391B86">
        <w:rPr>
          <w:rFonts w:ascii="Times New Roman" w:hAnsi="Times New Roman"/>
        </w:rPr>
        <w:t>337H is within</w:t>
      </w:r>
      <w:r w:rsidR="00B7525A" w:rsidRPr="00391B86">
        <w:rPr>
          <w:rFonts w:ascii="Times New Roman" w:hAnsi="Times New Roman"/>
        </w:rPr>
        <w:t xml:space="preserve"> </w:t>
      </w:r>
      <w:proofErr w:type="spellStart"/>
      <w:r w:rsidR="00B7525A" w:rsidRPr="00391B86">
        <w:rPr>
          <w:rFonts w:ascii="Times New Roman" w:hAnsi="Times New Roman"/>
        </w:rPr>
        <w:t>subdiv</w:t>
      </w:r>
      <w:proofErr w:type="spellEnd"/>
      <w:r w:rsidR="00B7525A" w:rsidRPr="00391B86">
        <w:rPr>
          <w:rFonts w:ascii="Times New Roman" w:hAnsi="Times New Roman"/>
        </w:rPr>
        <w:t xml:space="preserve"> C of Div 1 of Pt 9.6A</w:t>
      </w:r>
      <w:r w:rsidR="00777A30" w:rsidRPr="00391B86">
        <w:rPr>
          <w:rFonts w:ascii="Times New Roman" w:hAnsi="Times New Roman"/>
        </w:rPr>
        <w:t>.</w:t>
      </w:r>
      <w:r w:rsidR="00B7525A" w:rsidRPr="00391B86">
        <w:rPr>
          <w:rFonts w:ascii="Times New Roman" w:hAnsi="Times New Roman"/>
        </w:rPr>
        <w:t xml:space="preserve"> </w:t>
      </w:r>
      <w:r w:rsidR="00724A9D" w:rsidRPr="00391B86">
        <w:rPr>
          <w:rFonts w:ascii="Times New Roman" w:hAnsi="Times New Roman"/>
        </w:rPr>
        <w:t>Section</w:t>
      </w:r>
      <w:r w:rsidR="002502BD" w:rsidRPr="00391B86">
        <w:rPr>
          <w:rFonts w:ascii="Times New Roman" w:hAnsi="Times New Roman"/>
        </w:rPr>
        <w:t> </w:t>
      </w:r>
      <w:r w:rsidR="00724A9D" w:rsidRPr="00391B86">
        <w:rPr>
          <w:rFonts w:ascii="Times New Roman" w:hAnsi="Times New Roman"/>
        </w:rPr>
        <w:t>1337</w:t>
      </w:r>
      <w:proofErr w:type="gramStart"/>
      <w:r w:rsidR="00724A9D" w:rsidRPr="00391B86">
        <w:rPr>
          <w:rFonts w:ascii="Times New Roman" w:hAnsi="Times New Roman"/>
        </w:rPr>
        <w:t>H(</w:t>
      </w:r>
      <w:proofErr w:type="gramEnd"/>
      <w:r w:rsidR="00724A9D" w:rsidRPr="00391B86">
        <w:rPr>
          <w:rFonts w:ascii="Times New Roman" w:hAnsi="Times New Roman"/>
        </w:rPr>
        <w:t xml:space="preserve">6) makes clear that nothing in s 1337H confers on any court, whether a transferor court or a transferee court, jurisdiction that the court would not otherwise have. </w:t>
      </w:r>
    </w:p>
    <w:p w14:paraId="7A922022" w14:textId="7720364F" w:rsidR="0009344D" w:rsidRPr="00391B86" w:rsidRDefault="00724A9D"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CC1C56" w:rsidRPr="00391B86">
        <w:rPr>
          <w:rFonts w:ascii="Times New Roman" w:hAnsi="Times New Roman"/>
        </w:rPr>
        <w:t xml:space="preserve">The </w:t>
      </w:r>
      <w:r w:rsidR="0029695A" w:rsidRPr="00391B86">
        <w:rPr>
          <w:rFonts w:ascii="Times New Roman" w:hAnsi="Times New Roman"/>
        </w:rPr>
        <w:t xml:space="preserve">relevant </w:t>
      </w:r>
      <w:r w:rsidR="00CC1C56" w:rsidRPr="00391B86">
        <w:rPr>
          <w:rFonts w:ascii="Times New Roman" w:hAnsi="Times New Roman"/>
        </w:rPr>
        <w:t>provisions of s 1337H</w:t>
      </w:r>
      <w:r w:rsidR="00F4118D" w:rsidRPr="00391B86">
        <w:rPr>
          <w:rFonts w:ascii="Times New Roman" w:hAnsi="Times New Roman"/>
        </w:rPr>
        <w:t xml:space="preserve"> </w:t>
      </w:r>
      <w:r w:rsidR="00CC1C56" w:rsidRPr="00391B86">
        <w:rPr>
          <w:rFonts w:ascii="Times New Roman" w:hAnsi="Times New Roman"/>
        </w:rPr>
        <w:t>are s</w:t>
      </w:r>
      <w:r w:rsidR="005D1B29" w:rsidRPr="00391B86">
        <w:rPr>
          <w:rFonts w:ascii="Times New Roman" w:hAnsi="Times New Roman"/>
        </w:rPr>
        <w:t> </w:t>
      </w:r>
      <w:r w:rsidR="0071486F" w:rsidRPr="00391B86">
        <w:rPr>
          <w:rFonts w:ascii="Times New Roman" w:hAnsi="Times New Roman"/>
        </w:rPr>
        <w:t>1337</w:t>
      </w:r>
      <w:proofErr w:type="gramStart"/>
      <w:r w:rsidR="0071486F" w:rsidRPr="00391B86">
        <w:rPr>
          <w:rFonts w:ascii="Times New Roman" w:hAnsi="Times New Roman"/>
        </w:rPr>
        <w:t>H(</w:t>
      </w:r>
      <w:proofErr w:type="gramEnd"/>
      <w:r w:rsidR="0071486F" w:rsidRPr="00391B86">
        <w:rPr>
          <w:rFonts w:ascii="Times New Roman" w:hAnsi="Times New Roman"/>
        </w:rPr>
        <w:t>1)</w:t>
      </w:r>
      <w:r w:rsidR="00804029" w:rsidRPr="00391B86">
        <w:rPr>
          <w:rFonts w:ascii="Times New Roman" w:hAnsi="Times New Roman"/>
        </w:rPr>
        <w:t xml:space="preserve"> and (2)</w:t>
      </w:r>
      <w:r w:rsidR="005E7F05" w:rsidRPr="00391B86">
        <w:rPr>
          <w:rFonts w:ascii="Times New Roman" w:hAnsi="Times New Roman"/>
        </w:rPr>
        <w:t xml:space="preserve">. </w:t>
      </w:r>
      <w:r w:rsidR="00E42700" w:rsidRPr="00391B86">
        <w:rPr>
          <w:rFonts w:ascii="Times New Roman" w:hAnsi="Times New Roman"/>
        </w:rPr>
        <w:t>In so far as</w:t>
      </w:r>
      <w:r w:rsidR="005E7F05" w:rsidRPr="00391B86">
        <w:rPr>
          <w:rFonts w:ascii="Times New Roman" w:hAnsi="Times New Roman"/>
        </w:rPr>
        <w:t xml:space="preserve"> </w:t>
      </w:r>
      <w:r w:rsidR="00442CAB" w:rsidRPr="00391B86">
        <w:rPr>
          <w:rFonts w:ascii="Times New Roman" w:hAnsi="Times New Roman"/>
        </w:rPr>
        <w:t>relevant</w:t>
      </w:r>
      <w:r w:rsidR="00E42700" w:rsidRPr="00391B86">
        <w:rPr>
          <w:rFonts w:ascii="Times New Roman" w:hAnsi="Times New Roman"/>
        </w:rPr>
        <w:t>, they</w:t>
      </w:r>
      <w:r w:rsidR="00442CAB" w:rsidRPr="00391B86">
        <w:rPr>
          <w:rFonts w:ascii="Times New Roman" w:hAnsi="Times New Roman"/>
        </w:rPr>
        <w:t xml:space="preserve"> </w:t>
      </w:r>
      <w:r w:rsidR="0071486F" w:rsidRPr="00391B86">
        <w:rPr>
          <w:rFonts w:ascii="Times New Roman" w:hAnsi="Times New Roman"/>
        </w:rPr>
        <w:t>provide:</w:t>
      </w:r>
    </w:p>
    <w:p w14:paraId="108FC49F" w14:textId="75F151F0" w:rsidR="006119E3" w:rsidRPr="00391B86" w:rsidRDefault="00A003FF"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w:t>
      </w:r>
      <w:r w:rsidR="00F3724A" w:rsidRPr="00391B86">
        <w:rPr>
          <w:rFonts w:ascii="Times New Roman" w:hAnsi="Times New Roman"/>
        </w:rPr>
        <w:t>(1)</w:t>
      </w:r>
      <w:r w:rsidR="00F3724A" w:rsidRPr="00391B86">
        <w:rPr>
          <w:rFonts w:ascii="Times New Roman" w:hAnsi="Times New Roman"/>
        </w:rPr>
        <w:tab/>
      </w:r>
      <w:r w:rsidR="00C443C7" w:rsidRPr="00391B86">
        <w:rPr>
          <w:rFonts w:ascii="Times New Roman" w:hAnsi="Times New Roman"/>
        </w:rPr>
        <w:t xml:space="preserve">This section applies to a proceeding (the </w:t>
      </w:r>
      <w:r w:rsidR="00C443C7" w:rsidRPr="00391B86">
        <w:rPr>
          <w:rFonts w:ascii="Times New Roman" w:hAnsi="Times New Roman"/>
          <w:b/>
          <w:bCs/>
          <w:i/>
          <w:iCs/>
        </w:rPr>
        <w:t>relevant proceeding</w:t>
      </w:r>
      <w:r w:rsidR="00C443C7" w:rsidRPr="00391B86">
        <w:rPr>
          <w:rFonts w:ascii="Times New Roman" w:hAnsi="Times New Roman"/>
        </w:rPr>
        <w:t xml:space="preserve">) in a court (the </w:t>
      </w:r>
      <w:r w:rsidR="00C443C7" w:rsidRPr="00391B86">
        <w:rPr>
          <w:rFonts w:ascii="Times New Roman" w:hAnsi="Times New Roman"/>
          <w:b/>
          <w:bCs/>
          <w:i/>
          <w:iCs/>
        </w:rPr>
        <w:t>transferor court</w:t>
      </w:r>
      <w:r w:rsidR="00C443C7" w:rsidRPr="00391B86">
        <w:rPr>
          <w:rFonts w:ascii="Times New Roman" w:hAnsi="Times New Roman"/>
        </w:rPr>
        <w:t>) if:</w:t>
      </w:r>
    </w:p>
    <w:p w14:paraId="6AD3F3B0" w14:textId="07EA7102" w:rsidR="00C443C7" w:rsidRPr="00391B86" w:rsidRDefault="00C443C7" w:rsidP="00391B86">
      <w:pPr>
        <w:pStyle w:val="leftright"/>
        <w:spacing w:before="0" w:after="260" w:line="280" w:lineRule="exact"/>
        <w:ind w:right="0"/>
        <w:jc w:val="both"/>
        <w:rPr>
          <w:rFonts w:ascii="Times New Roman" w:hAnsi="Times New Roman"/>
        </w:rPr>
      </w:pPr>
      <w:r w:rsidRPr="00391B86">
        <w:rPr>
          <w:rFonts w:ascii="Times New Roman" w:hAnsi="Times New Roman"/>
        </w:rPr>
        <w:tab/>
        <w:t>(a)</w:t>
      </w:r>
      <w:r w:rsidRPr="00391B86">
        <w:rPr>
          <w:rFonts w:ascii="Times New Roman" w:hAnsi="Times New Roman"/>
        </w:rPr>
        <w:tab/>
        <w:t>the relevant proceeding is:</w:t>
      </w:r>
    </w:p>
    <w:p w14:paraId="7A2A8017" w14:textId="13610B0F" w:rsidR="00C443C7" w:rsidRPr="00391B86" w:rsidRDefault="00C443C7" w:rsidP="00391B86">
      <w:pPr>
        <w:pStyle w:val="leftright"/>
        <w:spacing w:before="0" w:after="260" w:line="280" w:lineRule="exact"/>
        <w:ind w:left="2880" w:right="0" w:hanging="2160"/>
        <w:jc w:val="both"/>
        <w:rPr>
          <w:rFonts w:ascii="Times New Roman" w:hAnsi="Times New Roman"/>
        </w:rPr>
      </w:pPr>
      <w:r w:rsidRPr="00391B86">
        <w:rPr>
          <w:rFonts w:ascii="Times New Roman" w:hAnsi="Times New Roman"/>
        </w:rPr>
        <w:tab/>
      </w:r>
      <w:r w:rsidRPr="00391B86">
        <w:rPr>
          <w:rFonts w:ascii="Times New Roman" w:hAnsi="Times New Roman"/>
        </w:rPr>
        <w:tab/>
        <w:t>(</w:t>
      </w:r>
      <w:proofErr w:type="spellStart"/>
      <w:r w:rsidRPr="00391B86">
        <w:rPr>
          <w:rFonts w:ascii="Times New Roman" w:hAnsi="Times New Roman"/>
        </w:rPr>
        <w:t>i</w:t>
      </w:r>
      <w:proofErr w:type="spellEnd"/>
      <w:r w:rsidRPr="00391B86">
        <w:rPr>
          <w:rFonts w:ascii="Times New Roman" w:hAnsi="Times New Roman"/>
        </w:rPr>
        <w:t>)</w:t>
      </w:r>
      <w:r w:rsidR="00E441D7" w:rsidRPr="00391B86">
        <w:rPr>
          <w:rFonts w:ascii="Times New Roman" w:hAnsi="Times New Roman"/>
        </w:rPr>
        <w:tab/>
        <w:t xml:space="preserve">a proceeding with respect to a civil matter </w:t>
      </w:r>
      <w:r w:rsidR="00B653C7" w:rsidRPr="00391B86">
        <w:rPr>
          <w:rFonts w:ascii="Times New Roman" w:hAnsi="Times New Roman"/>
        </w:rPr>
        <w:t xml:space="preserve">arising </w:t>
      </w:r>
      <w:r w:rsidR="00E441D7" w:rsidRPr="00391B86">
        <w:rPr>
          <w:rFonts w:ascii="Times New Roman" w:hAnsi="Times New Roman"/>
        </w:rPr>
        <w:t>under the Corporations legislation</w:t>
      </w:r>
      <w:r w:rsidR="007F6C99" w:rsidRPr="00391B86">
        <w:rPr>
          <w:rFonts w:ascii="Times New Roman" w:hAnsi="Times New Roman"/>
        </w:rPr>
        <w:t>;</w:t>
      </w:r>
      <w:r w:rsidR="00E441D7" w:rsidRPr="00391B86">
        <w:rPr>
          <w:rFonts w:ascii="Times New Roman" w:hAnsi="Times New Roman"/>
        </w:rPr>
        <w:t xml:space="preserve"> </w:t>
      </w:r>
      <w:r w:rsidR="00EA5521" w:rsidRPr="00391B86">
        <w:rPr>
          <w:rFonts w:ascii="Times New Roman" w:hAnsi="Times New Roman"/>
        </w:rPr>
        <w:t>...</w:t>
      </w:r>
      <w:r w:rsidR="00E441D7" w:rsidRPr="00391B86">
        <w:rPr>
          <w:rFonts w:ascii="Times New Roman" w:hAnsi="Times New Roman"/>
        </w:rPr>
        <w:t xml:space="preserve"> </w:t>
      </w:r>
    </w:p>
    <w:p w14:paraId="5358B37C" w14:textId="7E35E62C" w:rsidR="00E441D7" w:rsidRPr="00391B86" w:rsidRDefault="00E441D7" w:rsidP="00391B86">
      <w:pPr>
        <w:pStyle w:val="leftright"/>
        <w:spacing w:before="0" w:after="260" w:line="280" w:lineRule="exact"/>
        <w:ind w:right="0"/>
        <w:jc w:val="both"/>
        <w:rPr>
          <w:rFonts w:ascii="Times New Roman" w:hAnsi="Times New Roman"/>
        </w:rPr>
      </w:pPr>
      <w:r w:rsidRPr="00391B86">
        <w:rPr>
          <w:rFonts w:ascii="Times New Roman" w:hAnsi="Times New Roman"/>
        </w:rPr>
        <w:tab/>
      </w:r>
      <w:r w:rsidRPr="00391B86">
        <w:rPr>
          <w:rFonts w:ascii="Times New Roman" w:hAnsi="Times New Roman"/>
        </w:rPr>
        <w:tab/>
        <w:t>(ii)</w:t>
      </w:r>
      <w:r w:rsidRPr="00391B86">
        <w:rPr>
          <w:rFonts w:ascii="Times New Roman" w:hAnsi="Times New Roman"/>
        </w:rPr>
        <w:tab/>
      </w:r>
      <w:r w:rsidR="00242FE5" w:rsidRPr="00391B86">
        <w:rPr>
          <w:rFonts w:ascii="Times New Roman" w:hAnsi="Times New Roman"/>
        </w:rPr>
        <w:t xml:space="preserve">… </w:t>
      </w:r>
      <w:r w:rsidRPr="00391B86">
        <w:rPr>
          <w:rFonts w:ascii="Times New Roman" w:hAnsi="Times New Roman"/>
        </w:rPr>
        <w:t>and</w:t>
      </w:r>
    </w:p>
    <w:p w14:paraId="07F245B6" w14:textId="2185B8A5" w:rsidR="00E441D7" w:rsidRPr="00391B86" w:rsidRDefault="00E441D7" w:rsidP="00391B86">
      <w:pPr>
        <w:pStyle w:val="leftright"/>
        <w:spacing w:before="0" w:after="260" w:line="280" w:lineRule="exact"/>
        <w:ind w:right="0"/>
        <w:jc w:val="both"/>
        <w:rPr>
          <w:rFonts w:ascii="Times New Roman" w:hAnsi="Times New Roman"/>
        </w:rPr>
      </w:pPr>
      <w:r w:rsidRPr="00391B86">
        <w:rPr>
          <w:rFonts w:ascii="Times New Roman" w:hAnsi="Times New Roman"/>
        </w:rPr>
        <w:tab/>
        <w:t>(b)</w:t>
      </w:r>
      <w:r w:rsidRPr="00391B86">
        <w:rPr>
          <w:rFonts w:ascii="Times New Roman" w:hAnsi="Times New Roman"/>
        </w:rPr>
        <w:tab/>
      </w:r>
      <w:r w:rsidR="008A41C6" w:rsidRPr="00391B86">
        <w:rPr>
          <w:rFonts w:ascii="Times New Roman" w:hAnsi="Times New Roman"/>
        </w:rPr>
        <w:t>the transferor court is:</w:t>
      </w:r>
    </w:p>
    <w:p w14:paraId="5D8CF3EE" w14:textId="11447ECB" w:rsidR="008A41C6" w:rsidRPr="00391B86" w:rsidRDefault="008A41C6" w:rsidP="00391B86">
      <w:pPr>
        <w:pStyle w:val="leftright"/>
        <w:spacing w:before="0" w:after="260" w:line="280" w:lineRule="exact"/>
        <w:ind w:right="0"/>
        <w:jc w:val="both"/>
        <w:rPr>
          <w:rFonts w:ascii="Times New Roman" w:hAnsi="Times New Roman"/>
        </w:rPr>
      </w:pPr>
      <w:r w:rsidRPr="00391B86">
        <w:rPr>
          <w:rFonts w:ascii="Times New Roman" w:hAnsi="Times New Roman"/>
        </w:rPr>
        <w:tab/>
      </w:r>
      <w:r w:rsidRPr="00391B86">
        <w:rPr>
          <w:rFonts w:ascii="Times New Roman" w:hAnsi="Times New Roman"/>
        </w:rPr>
        <w:tab/>
        <w:t>(</w:t>
      </w:r>
      <w:proofErr w:type="spellStart"/>
      <w:r w:rsidRPr="00391B86">
        <w:rPr>
          <w:rFonts w:ascii="Times New Roman" w:hAnsi="Times New Roman"/>
        </w:rPr>
        <w:t>i</w:t>
      </w:r>
      <w:proofErr w:type="spellEnd"/>
      <w:r w:rsidRPr="00391B86">
        <w:rPr>
          <w:rFonts w:ascii="Times New Roman" w:hAnsi="Times New Roman"/>
        </w:rPr>
        <w:t>)</w:t>
      </w:r>
      <w:r w:rsidRPr="00391B86">
        <w:rPr>
          <w:rFonts w:ascii="Times New Roman" w:hAnsi="Times New Roman"/>
        </w:rPr>
        <w:tab/>
        <w:t xml:space="preserve">the Federal </w:t>
      </w:r>
      <w:r w:rsidR="009878DF" w:rsidRPr="00391B86">
        <w:rPr>
          <w:rFonts w:ascii="Times New Roman" w:hAnsi="Times New Roman"/>
        </w:rPr>
        <w:t>C</w:t>
      </w:r>
      <w:r w:rsidRPr="00391B86">
        <w:rPr>
          <w:rFonts w:ascii="Times New Roman" w:hAnsi="Times New Roman"/>
        </w:rPr>
        <w:t xml:space="preserve">ourt; or </w:t>
      </w:r>
    </w:p>
    <w:p w14:paraId="2E2A70A5" w14:textId="4BCED1BA" w:rsidR="008A41C6" w:rsidRPr="00391B86" w:rsidRDefault="008A41C6" w:rsidP="00391B86">
      <w:pPr>
        <w:pStyle w:val="leftright"/>
        <w:spacing w:before="0" w:after="260" w:line="280" w:lineRule="exact"/>
        <w:ind w:right="0"/>
        <w:jc w:val="both"/>
        <w:rPr>
          <w:rFonts w:ascii="Times New Roman" w:hAnsi="Times New Roman"/>
        </w:rPr>
      </w:pPr>
      <w:r w:rsidRPr="00391B86">
        <w:rPr>
          <w:rFonts w:ascii="Times New Roman" w:hAnsi="Times New Roman"/>
        </w:rPr>
        <w:tab/>
      </w:r>
      <w:r w:rsidRPr="00391B86">
        <w:rPr>
          <w:rFonts w:ascii="Times New Roman" w:hAnsi="Times New Roman"/>
        </w:rPr>
        <w:tab/>
        <w:t>(ii)</w:t>
      </w:r>
      <w:r w:rsidRPr="00391B86">
        <w:rPr>
          <w:rFonts w:ascii="Times New Roman" w:hAnsi="Times New Roman"/>
        </w:rPr>
        <w:tab/>
        <w:t>a State or Territory Supreme Court.</w:t>
      </w:r>
    </w:p>
    <w:p w14:paraId="2BB05D6D" w14:textId="556638A0" w:rsidR="008A41C6" w:rsidRPr="00391B86" w:rsidRDefault="008A41C6"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(2)</w:t>
      </w:r>
      <w:r w:rsidRPr="00391B86">
        <w:rPr>
          <w:rFonts w:ascii="Times New Roman" w:hAnsi="Times New Roman"/>
        </w:rPr>
        <w:tab/>
      </w:r>
      <w:r w:rsidR="00242FE5" w:rsidRPr="00391B86">
        <w:rPr>
          <w:rFonts w:ascii="Times New Roman" w:hAnsi="Times New Roman"/>
        </w:rPr>
        <w:t>…</w:t>
      </w:r>
      <w:r w:rsidRPr="00391B86">
        <w:rPr>
          <w:rFonts w:ascii="Times New Roman" w:hAnsi="Times New Roman"/>
        </w:rPr>
        <w:t xml:space="preserve"> if it appears to the transferor court that, having regard to the interests of justice, it is more appropriate for:</w:t>
      </w:r>
    </w:p>
    <w:p w14:paraId="2CDC263B" w14:textId="1EB71162" w:rsidR="008A41C6" w:rsidRPr="00391B86" w:rsidRDefault="008A41C6" w:rsidP="00391B86">
      <w:pPr>
        <w:pStyle w:val="leftright"/>
        <w:spacing w:before="0" w:after="260" w:line="280" w:lineRule="exact"/>
        <w:ind w:right="0"/>
        <w:jc w:val="both"/>
        <w:rPr>
          <w:rFonts w:ascii="Times New Roman" w:hAnsi="Times New Roman"/>
        </w:rPr>
      </w:pPr>
      <w:r w:rsidRPr="00391B86">
        <w:rPr>
          <w:rFonts w:ascii="Times New Roman" w:hAnsi="Times New Roman"/>
        </w:rPr>
        <w:tab/>
        <w:t>(a)</w:t>
      </w:r>
      <w:r w:rsidRPr="00391B86">
        <w:rPr>
          <w:rFonts w:ascii="Times New Roman" w:hAnsi="Times New Roman"/>
        </w:rPr>
        <w:tab/>
        <w:t>the relevant proceeding; or</w:t>
      </w:r>
    </w:p>
    <w:p w14:paraId="7C2B9C56" w14:textId="47A09F8C" w:rsidR="008A41C6" w:rsidRPr="00391B86" w:rsidRDefault="008A41C6" w:rsidP="00391B86">
      <w:pPr>
        <w:pStyle w:val="leftright"/>
        <w:spacing w:before="0" w:after="260" w:line="280" w:lineRule="exact"/>
        <w:ind w:right="0"/>
        <w:jc w:val="both"/>
        <w:rPr>
          <w:rFonts w:ascii="Times New Roman" w:hAnsi="Times New Roman"/>
        </w:rPr>
      </w:pPr>
      <w:r w:rsidRPr="00391B86">
        <w:rPr>
          <w:rFonts w:ascii="Times New Roman" w:hAnsi="Times New Roman"/>
        </w:rPr>
        <w:lastRenderedPageBreak/>
        <w:tab/>
        <w:t>(b)</w:t>
      </w:r>
      <w:r w:rsidRPr="00391B86">
        <w:rPr>
          <w:rFonts w:ascii="Times New Roman" w:hAnsi="Times New Roman"/>
        </w:rPr>
        <w:tab/>
      </w:r>
      <w:r w:rsidR="00E04A89" w:rsidRPr="00391B86">
        <w:rPr>
          <w:rFonts w:ascii="Times New Roman" w:hAnsi="Times New Roman"/>
        </w:rPr>
        <w:t xml:space="preserve">an application in the relevant </w:t>
      </w:r>
      <w:proofErr w:type="gramStart"/>
      <w:r w:rsidR="00E04A89" w:rsidRPr="00391B86">
        <w:rPr>
          <w:rFonts w:ascii="Times New Roman" w:hAnsi="Times New Roman"/>
        </w:rPr>
        <w:t>proceeding;</w:t>
      </w:r>
      <w:proofErr w:type="gramEnd"/>
    </w:p>
    <w:p w14:paraId="5C7F476D" w14:textId="77777777" w:rsidR="00391B86" w:rsidRDefault="00E04A89"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ab/>
        <w:t>to be determined by another court that has jurisdiction in the matters for determination in the relevant proceeding or application, the transferor court may transfer the relevant proceeding or application to that other court.</w:t>
      </w:r>
      <w:r w:rsidR="00A003FF" w:rsidRPr="00391B86">
        <w:rPr>
          <w:rFonts w:ascii="Times New Roman" w:hAnsi="Times New Roman"/>
        </w:rPr>
        <w:t>"</w:t>
      </w:r>
    </w:p>
    <w:p w14:paraId="7586305F" w14:textId="3A6C016B" w:rsidR="000F6387" w:rsidRPr="00391B86" w:rsidRDefault="00DD3AE5"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2F2261" w:rsidRPr="00391B86">
        <w:rPr>
          <w:rFonts w:ascii="Times New Roman" w:hAnsi="Times New Roman"/>
        </w:rPr>
        <w:t xml:space="preserve">Section 1337M permits </w:t>
      </w:r>
      <w:r w:rsidR="00A17561" w:rsidRPr="00391B86">
        <w:rPr>
          <w:rFonts w:ascii="Times New Roman" w:hAnsi="Times New Roman"/>
        </w:rPr>
        <w:t xml:space="preserve">a </w:t>
      </w:r>
      <w:r w:rsidR="00546F89" w:rsidRPr="00391B86">
        <w:rPr>
          <w:rFonts w:ascii="Times New Roman" w:hAnsi="Times New Roman"/>
        </w:rPr>
        <w:t xml:space="preserve">court to </w:t>
      </w:r>
      <w:r w:rsidR="00920105" w:rsidRPr="00391B86">
        <w:rPr>
          <w:rFonts w:ascii="Times New Roman" w:hAnsi="Times New Roman"/>
        </w:rPr>
        <w:t>decide under s 1337</w:t>
      </w:r>
      <w:proofErr w:type="gramStart"/>
      <w:r w:rsidR="00920105" w:rsidRPr="00391B86">
        <w:rPr>
          <w:rFonts w:ascii="Times New Roman" w:hAnsi="Times New Roman"/>
        </w:rPr>
        <w:t>H(</w:t>
      </w:r>
      <w:proofErr w:type="gramEnd"/>
      <w:r w:rsidR="00920105" w:rsidRPr="00391B86">
        <w:rPr>
          <w:rFonts w:ascii="Times New Roman" w:hAnsi="Times New Roman"/>
        </w:rPr>
        <w:t>2)</w:t>
      </w:r>
      <w:r w:rsidR="00AD1DE5" w:rsidRPr="00391B86">
        <w:rPr>
          <w:rFonts w:ascii="Times New Roman" w:hAnsi="Times New Roman"/>
        </w:rPr>
        <w:t xml:space="preserve"> to </w:t>
      </w:r>
      <w:r w:rsidR="00816DF9" w:rsidRPr="00391B86">
        <w:rPr>
          <w:rFonts w:ascii="Times New Roman" w:hAnsi="Times New Roman"/>
        </w:rPr>
        <w:t xml:space="preserve">transfer a proceeding or </w:t>
      </w:r>
      <w:r w:rsidR="00002893" w:rsidRPr="00391B86">
        <w:rPr>
          <w:rFonts w:ascii="Times New Roman" w:hAnsi="Times New Roman"/>
        </w:rPr>
        <w:t xml:space="preserve">an </w:t>
      </w:r>
      <w:r w:rsidR="00816DF9" w:rsidRPr="00391B86">
        <w:rPr>
          <w:rFonts w:ascii="Times New Roman" w:hAnsi="Times New Roman"/>
        </w:rPr>
        <w:t xml:space="preserve">application </w:t>
      </w:r>
      <w:r w:rsidR="00002893" w:rsidRPr="00391B86">
        <w:rPr>
          <w:rFonts w:ascii="Times New Roman" w:hAnsi="Times New Roman"/>
        </w:rPr>
        <w:t xml:space="preserve">in </w:t>
      </w:r>
      <w:r w:rsidR="00AD1DE5" w:rsidRPr="00391B86">
        <w:rPr>
          <w:rFonts w:ascii="Times New Roman" w:hAnsi="Times New Roman"/>
        </w:rPr>
        <w:t xml:space="preserve">a proceeding </w:t>
      </w:r>
      <w:r w:rsidR="00161C65" w:rsidRPr="00391B86">
        <w:rPr>
          <w:rFonts w:ascii="Times New Roman" w:hAnsi="Times New Roman"/>
        </w:rPr>
        <w:t xml:space="preserve">either </w:t>
      </w:r>
      <w:r w:rsidR="0050163C" w:rsidRPr="00391B86">
        <w:rPr>
          <w:rFonts w:ascii="Times New Roman" w:hAnsi="Times New Roman"/>
        </w:rPr>
        <w:t>on the application of a</w:t>
      </w:r>
      <w:r w:rsidR="00514B20" w:rsidRPr="00391B86">
        <w:rPr>
          <w:rFonts w:ascii="Times New Roman" w:hAnsi="Times New Roman"/>
        </w:rPr>
        <w:t>ny</w:t>
      </w:r>
      <w:r w:rsidR="0050163C" w:rsidRPr="00391B86">
        <w:rPr>
          <w:rFonts w:ascii="Times New Roman" w:hAnsi="Times New Roman"/>
        </w:rPr>
        <w:t xml:space="preserve"> party made at any stage </w:t>
      </w:r>
      <w:r w:rsidR="002971FE" w:rsidRPr="00391B86">
        <w:rPr>
          <w:rFonts w:ascii="Times New Roman" w:hAnsi="Times New Roman"/>
        </w:rPr>
        <w:t>of the</w:t>
      </w:r>
      <w:r w:rsidR="008C54B4" w:rsidRPr="00391B86">
        <w:rPr>
          <w:rFonts w:ascii="Times New Roman" w:hAnsi="Times New Roman"/>
        </w:rPr>
        <w:t xml:space="preserve"> relevant</w:t>
      </w:r>
      <w:r w:rsidR="002971FE" w:rsidRPr="00391B86">
        <w:rPr>
          <w:rFonts w:ascii="Times New Roman" w:hAnsi="Times New Roman"/>
        </w:rPr>
        <w:t xml:space="preserve"> proceeding </w:t>
      </w:r>
      <w:r w:rsidR="0050163C" w:rsidRPr="00391B86">
        <w:rPr>
          <w:rFonts w:ascii="Times New Roman" w:hAnsi="Times New Roman"/>
        </w:rPr>
        <w:t xml:space="preserve">or </w:t>
      </w:r>
      <w:r w:rsidR="0026322B" w:rsidRPr="00391B86">
        <w:rPr>
          <w:rFonts w:ascii="Times New Roman" w:hAnsi="Times New Roman"/>
        </w:rPr>
        <w:t>of the</w:t>
      </w:r>
      <w:r w:rsidR="00E52221" w:rsidRPr="00391B86">
        <w:rPr>
          <w:rFonts w:ascii="Times New Roman" w:hAnsi="Times New Roman"/>
        </w:rPr>
        <w:t xml:space="preserve"> </w:t>
      </w:r>
      <w:r w:rsidR="0026322B" w:rsidRPr="00391B86">
        <w:rPr>
          <w:rFonts w:ascii="Times New Roman" w:hAnsi="Times New Roman"/>
        </w:rPr>
        <w:t>court's own motion.</w:t>
      </w:r>
      <w:r w:rsidR="005E2E91" w:rsidRPr="00391B86">
        <w:rPr>
          <w:rFonts w:ascii="Times New Roman" w:hAnsi="Times New Roman"/>
        </w:rPr>
        <w:t xml:space="preserve"> </w:t>
      </w:r>
      <w:r w:rsidR="00EF00D0" w:rsidRPr="00391B86">
        <w:rPr>
          <w:rFonts w:ascii="Times New Roman" w:hAnsi="Times New Roman"/>
        </w:rPr>
        <w:t>Section</w:t>
      </w:r>
      <w:r w:rsidR="00826481" w:rsidRPr="00391B86">
        <w:rPr>
          <w:rFonts w:ascii="Times New Roman" w:hAnsi="Times New Roman"/>
        </w:rPr>
        <w:t xml:space="preserve"> 1337L</w:t>
      </w:r>
      <w:r w:rsidR="00EF00D0" w:rsidRPr="00391B86">
        <w:rPr>
          <w:rFonts w:ascii="Times New Roman" w:hAnsi="Times New Roman"/>
        </w:rPr>
        <w:t xml:space="preserve"> specifies three considerations to which a court </w:t>
      </w:r>
      <w:r w:rsidR="008C54B4" w:rsidRPr="00391B86">
        <w:rPr>
          <w:rFonts w:ascii="Times New Roman" w:hAnsi="Times New Roman"/>
        </w:rPr>
        <w:t>"</w:t>
      </w:r>
      <w:r w:rsidR="00EF00D0" w:rsidRPr="00391B86">
        <w:rPr>
          <w:rFonts w:ascii="Times New Roman" w:hAnsi="Times New Roman"/>
        </w:rPr>
        <w:t>must have regard</w:t>
      </w:r>
      <w:r w:rsidR="008C54B4" w:rsidRPr="00391B86">
        <w:rPr>
          <w:rFonts w:ascii="Times New Roman" w:hAnsi="Times New Roman"/>
        </w:rPr>
        <w:t>"</w:t>
      </w:r>
      <w:r w:rsidR="00826481" w:rsidRPr="00391B86">
        <w:rPr>
          <w:rFonts w:ascii="Times New Roman" w:hAnsi="Times New Roman"/>
        </w:rPr>
        <w:t xml:space="preserve"> </w:t>
      </w:r>
      <w:r w:rsidR="006D22EC" w:rsidRPr="00391B86">
        <w:rPr>
          <w:rFonts w:ascii="Times New Roman" w:hAnsi="Times New Roman"/>
        </w:rPr>
        <w:t xml:space="preserve">in </w:t>
      </w:r>
      <w:r w:rsidR="0000461D" w:rsidRPr="00391B86">
        <w:rPr>
          <w:rFonts w:ascii="Times New Roman" w:hAnsi="Times New Roman"/>
        </w:rPr>
        <w:t xml:space="preserve">deciding whether or not to transfer </w:t>
      </w:r>
      <w:r w:rsidR="003D39E5" w:rsidRPr="00391B86">
        <w:rPr>
          <w:rFonts w:ascii="Times New Roman" w:hAnsi="Times New Roman"/>
        </w:rPr>
        <w:t>the relevant proceeding</w:t>
      </w:r>
      <w:r w:rsidR="001A4467" w:rsidRPr="00391B86">
        <w:rPr>
          <w:rFonts w:ascii="Times New Roman" w:hAnsi="Times New Roman"/>
        </w:rPr>
        <w:t xml:space="preserve"> or application</w:t>
      </w:r>
      <w:r w:rsidR="003D39E5" w:rsidRPr="00391B86">
        <w:rPr>
          <w:rFonts w:ascii="Times New Roman" w:hAnsi="Times New Roman"/>
        </w:rPr>
        <w:t xml:space="preserve"> under s</w:t>
      </w:r>
      <w:r w:rsidR="0028465C" w:rsidRPr="00391B86">
        <w:rPr>
          <w:rFonts w:ascii="Times New Roman" w:hAnsi="Times New Roman"/>
        </w:rPr>
        <w:t> </w:t>
      </w:r>
      <w:r w:rsidR="003D39E5" w:rsidRPr="00391B86">
        <w:rPr>
          <w:rFonts w:ascii="Times New Roman" w:hAnsi="Times New Roman"/>
        </w:rPr>
        <w:t>1337</w:t>
      </w:r>
      <w:proofErr w:type="gramStart"/>
      <w:r w:rsidR="003D39E5" w:rsidRPr="00391B86">
        <w:rPr>
          <w:rFonts w:ascii="Times New Roman" w:hAnsi="Times New Roman"/>
        </w:rPr>
        <w:t>H(</w:t>
      </w:r>
      <w:proofErr w:type="gramEnd"/>
      <w:r w:rsidR="003D39E5" w:rsidRPr="00391B86">
        <w:rPr>
          <w:rFonts w:ascii="Times New Roman" w:hAnsi="Times New Roman"/>
        </w:rPr>
        <w:t>2)</w:t>
      </w:r>
      <w:r w:rsidR="00A9510B" w:rsidRPr="00391B86">
        <w:rPr>
          <w:rFonts w:ascii="Times New Roman" w:hAnsi="Times New Roman"/>
        </w:rPr>
        <w:t>. Th</w:t>
      </w:r>
      <w:r w:rsidR="0096656A" w:rsidRPr="00391B86">
        <w:rPr>
          <w:rFonts w:ascii="Times New Roman" w:hAnsi="Times New Roman"/>
        </w:rPr>
        <w:t>ose non-exhaustive mandatory considerations</w:t>
      </w:r>
      <w:r w:rsidR="00A9510B" w:rsidRPr="00391B86">
        <w:rPr>
          <w:rFonts w:ascii="Times New Roman" w:hAnsi="Times New Roman"/>
        </w:rPr>
        <w:t xml:space="preserve"> </w:t>
      </w:r>
      <w:proofErr w:type="gramStart"/>
      <w:r w:rsidR="00A9510B" w:rsidRPr="00391B86">
        <w:rPr>
          <w:rFonts w:ascii="Times New Roman" w:hAnsi="Times New Roman"/>
        </w:rPr>
        <w:t>are:</w:t>
      </w:r>
      <w:proofErr w:type="gramEnd"/>
      <w:r w:rsidR="009626A5" w:rsidRPr="00391B86">
        <w:rPr>
          <w:rFonts w:ascii="Times New Roman" w:hAnsi="Times New Roman"/>
        </w:rPr>
        <w:t xml:space="preserve"> </w:t>
      </w:r>
      <w:r w:rsidR="00090EBE" w:rsidRPr="00391B86">
        <w:rPr>
          <w:rFonts w:ascii="Times New Roman" w:hAnsi="Times New Roman"/>
        </w:rPr>
        <w:t xml:space="preserve">the </w:t>
      </w:r>
      <w:r w:rsidR="00EF790E" w:rsidRPr="00391B86">
        <w:rPr>
          <w:rFonts w:ascii="Times New Roman" w:hAnsi="Times New Roman"/>
        </w:rPr>
        <w:t>principal</w:t>
      </w:r>
      <w:r w:rsidR="00090EBE" w:rsidRPr="00391B86">
        <w:rPr>
          <w:rFonts w:ascii="Times New Roman" w:hAnsi="Times New Roman"/>
        </w:rPr>
        <w:t xml:space="preserve"> place of business o</w:t>
      </w:r>
      <w:r w:rsidR="00826481" w:rsidRPr="00391B86">
        <w:rPr>
          <w:rFonts w:ascii="Times New Roman" w:hAnsi="Times New Roman"/>
        </w:rPr>
        <w:t>f</w:t>
      </w:r>
      <w:r w:rsidR="00090EBE" w:rsidRPr="00391B86">
        <w:rPr>
          <w:rFonts w:ascii="Times New Roman" w:hAnsi="Times New Roman"/>
        </w:rPr>
        <w:t xml:space="preserve"> </w:t>
      </w:r>
      <w:proofErr w:type="spellStart"/>
      <w:r w:rsidR="00090EBE" w:rsidRPr="00391B86">
        <w:rPr>
          <w:rFonts w:ascii="Times New Roman" w:hAnsi="Times New Roman"/>
        </w:rPr>
        <w:t>any</w:t>
      </w:r>
      <w:r w:rsidR="00EF790E" w:rsidRPr="00391B86">
        <w:rPr>
          <w:rFonts w:ascii="Times New Roman" w:hAnsi="Times New Roman"/>
        </w:rPr>
        <w:t xml:space="preserve"> </w:t>
      </w:r>
      <w:r w:rsidR="00090EBE" w:rsidRPr="00391B86">
        <w:rPr>
          <w:rFonts w:ascii="Times New Roman" w:hAnsi="Times New Roman"/>
        </w:rPr>
        <w:t>body</w:t>
      </w:r>
      <w:proofErr w:type="spellEnd"/>
      <w:r w:rsidR="00090EBE" w:rsidRPr="00391B86">
        <w:rPr>
          <w:rFonts w:ascii="Times New Roman" w:hAnsi="Times New Roman"/>
        </w:rPr>
        <w:t xml:space="preserve"> corporate concerned</w:t>
      </w:r>
      <w:r w:rsidR="00A9227F" w:rsidRPr="00391B86">
        <w:rPr>
          <w:rFonts w:ascii="Times New Roman" w:hAnsi="Times New Roman"/>
        </w:rPr>
        <w:t xml:space="preserve"> in </w:t>
      </w:r>
      <w:r w:rsidR="00C74AA1" w:rsidRPr="00391B86">
        <w:rPr>
          <w:rFonts w:ascii="Times New Roman" w:hAnsi="Times New Roman"/>
        </w:rPr>
        <w:t xml:space="preserve">the </w:t>
      </w:r>
      <w:r w:rsidR="00A9227F" w:rsidRPr="00391B86">
        <w:rPr>
          <w:rFonts w:ascii="Times New Roman" w:hAnsi="Times New Roman"/>
        </w:rPr>
        <w:t>pr</w:t>
      </w:r>
      <w:r w:rsidR="000409E7" w:rsidRPr="00391B86">
        <w:rPr>
          <w:rFonts w:ascii="Times New Roman" w:hAnsi="Times New Roman"/>
        </w:rPr>
        <w:t>o</w:t>
      </w:r>
      <w:r w:rsidR="00A9227F" w:rsidRPr="00391B86">
        <w:rPr>
          <w:rFonts w:ascii="Times New Roman" w:hAnsi="Times New Roman"/>
        </w:rPr>
        <w:t>ce</w:t>
      </w:r>
      <w:r w:rsidR="000409E7" w:rsidRPr="00391B86">
        <w:rPr>
          <w:rFonts w:ascii="Times New Roman" w:hAnsi="Times New Roman"/>
        </w:rPr>
        <w:t>e</w:t>
      </w:r>
      <w:r w:rsidR="00A9227F" w:rsidRPr="00391B86">
        <w:rPr>
          <w:rFonts w:ascii="Times New Roman" w:hAnsi="Times New Roman"/>
        </w:rPr>
        <w:t>ding or application</w:t>
      </w:r>
      <w:r w:rsidR="00EF790E" w:rsidRPr="00391B86">
        <w:rPr>
          <w:rFonts w:ascii="Times New Roman" w:hAnsi="Times New Roman"/>
        </w:rPr>
        <w:t>; the place or places where the events the subject of the pr</w:t>
      </w:r>
      <w:r w:rsidR="000409E7" w:rsidRPr="00391B86">
        <w:rPr>
          <w:rFonts w:ascii="Times New Roman" w:hAnsi="Times New Roman"/>
        </w:rPr>
        <w:t>o</w:t>
      </w:r>
      <w:r w:rsidR="00EF790E" w:rsidRPr="00391B86">
        <w:rPr>
          <w:rFonts w:ascii="Times New Roman" w:hAnsi="Times New Roman"/>
        </w:rPr>
        <w:t>ce</w:t>
      </w:r>
      <w:r w:rsidR="000409E7" w:rsidRPr="00391B86">
        <w:rPr>
          <w:rFonts w:ascii="Times New Roman" w:hAnsi="Times New Roman"/>
        </w:rPr>
        <w:t>e</w:t>
      </w:r>
      <w:r w:rsidR="00EF790E" w:rsidRPr="00391B86">
        <w:rPr>
          <w:rFonts w:ascii="Times New Roman" w:hAnsi="Times New Roman"/>
        </w:rPr>
        <w:t>ding or application took place; and the other courts that have jurisdiction to deal with the proceeding or application.</w:t>
      </w:r>
      <w:r w:rsidR="006C1C21" w:rsidRPr="00391B86">
        <w:rPr>
          <w:rFonts w:ascii="Times New Roman" w:hAnsi="Times New Roman"/>
        </w:rPr>
        <w:t xml:space="preserve"> </w:t>
      </w:r>
    </w:p>
    <w:p w14:paraId="59D70879" w14:textId="54ABA6B5" w:rsidR="001F6E09" w:rsidRPr="00391B86" w:rsidRDefault="000268D0"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F415F4" w:rsidRPr="00391B86">
        <w:rPr>
          <w:rFonts w:ascii="Times New Roman" w:hAnsi="Times New Roman"/>
        </w:rPr>
        <w:t>Tr</w:t>
      </w:r>
      <w:r w:rsidR="003E2DCA" w:rsidRPr="00391B86">
        <w:rPr>
          <w:rFonts w:ascii="Times New Roman" w:hAnsi="Times New Roman"/>
        </w:rPr>
        <w:t xml:space="preserve">ansfer of a proceeding under s </w:t>
      </w:r>
      <w:r w:rsidR="00404B43" w:rsidRPr="00391B86">
        <w:rPr>
          <w:rFonts w:ascii="Times New Roman" w:hAnsi="Times New Roman"/>
        </w:rPr>
        <w:t>1337</w:t>
      </w:r>
      <w:proofErr w:type="gramStart"/>
      <w:r w:rsidR="00404B43" w:rsidRPr="00391B86">
        <w:rPr>
          <w:rFonts w:ascii="Times New Roman" w:hAnsi="Times New Roman"/>
        </w:rPr>
        <w:t>H(</w:t>
      </w:r>
      <w:proofErr w:type="gramEnd"/>
      <w:r w:rsidR="00404B43" w:rsidRPr="00391B86">
        <w:rPr>
          <w:rFonts w:ascii="Times New Roman" w:hAnsi="Times New Roman"/>
        </w:rPr>
        <w:t>2) triggers the operation of</w:t>
      </w:r>
      <w:r w:rsidR="00F27D68" w:rsidRPr="00391B86">
        <w:rPr>
          <w:rFonts w:ascii="Times New Roman" w:hAnsi="Times New Roman"/>
        </w:rPr>
        <w:t xml:space="preserve"> each of</w:t>
      </w:r>
      <w:r w:rsidR="00404B43" w:rsidRPr="00391B86">
        <w:rPr>
          <w:rFonts w:ascii="Times New Roman" w:hAnsi="Times New Roman"/>
        </w:rPr>
        <w:t xml:space="preserve"> s</w:t>
      </w:r>
      <w:r w:rsidR="005D1B29" w:rsidRPr="00391B86">
        <w:rPr>
          <w:rFonts w:ascii="Times New Roman" w:hAnsi="Times New Roman"/>
        </w:rPr>
        <w:t> </w:t>
      </w:r>
      <w:r w:rsidR="00F415F4" w:rsidRPr="00391B86">
        <w:rPr>
          <w:rFonts w:ascii="Times New Roman" w:hAnsi="Times New Roman"/>
        </w:rPr>
        <w:t>1337N</w:t>
      </w:r>
      <w:r w:rsidR="00A10753" w:rsidRPr="00391B86">
        <w:rPr>
          <w:rFonts w:ascii="Times New Roman" w:hAnsi="Times New Roman"/>
        </w:rPr>
        <w:t>, s</w:t>
      </w:r>
      <w:r w:rsidR="005D1B29" w:rsidRPr="00391B86">
        <w:rPr>
          <w:rFonts w:ascii="Times New Roman" w:hAnsi="Times New Roman"/>
        </w:rPr>
        <w:t> </w:t>
      </w:r>
      <w:r w:rsidR="00A10753" w:rsidRPr="00391B86">
        <w:rPr>
          <w:rFonts w:ascii="Times New Roman" w:hAnsi="Times New Roman"/>
        </w:rPr>
        <w:t xml:space="preserve">1337P(2) </w:t>
      </w:r>
      <w:r w:rsidR="00404B43" w:rsidRPr="00391B86">
        <w:rPr>
          <w:rFonts w:ascii="Times New Roman" w:hAnsi="Times New Roman"/>
        </w:rPr>
        <w:t>and s</w:t>
      </w:r>
      <w:r w:rsidR="005D1B29" w:rsidRPr="00391B86">
        <w:rPr>
          <w:rFonts w:ascii="Times New Roman" w:hAnsi="Times New Roman"/>
        </w:rPr>
        <w:t> </w:t>
      </w:r>
      <w:r w:rsidR="00404B43" w:rsidRPr="00391B86">
        <w:rPr>
          <w:rFonts w:ascii="Times New Roman" w:hAnsi="Times New Roman"/>
        </w:rPr>
        <w:t xml:space="preserve">1337Q. </w:t>
      </w:r>
    </w:p>
    <w:p w14:paraId="067F16D1" w14:textId="75E7C08B" w:rsidR="00F12040" w:rsidRPr="00391B86" w:rsidRDefault="001F6E09"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1A3D09" w:rsidRPr="00391B86">
        <w:rPr>
          <w:rFonts w:ascii="Times New Roman" w:hAnsi="Times New Roman"/>
        </w:rPr>
        <w:t xml:space="preserve">Section 1337N </w:t>
      </w:r>
      <w:r w:rsidR="00F415F4" w:rsidRPr="00391B86">
        <w:rPr>
          <w:rFonts w:ascii="Times New Roman" w:hAnsi="Times New Roman"/>
        </w:rPr>
        <w:t xml:space="preserve">requires the </w:t>
      </w:r>
      <w:r w:rsidR="00390796" w:rsidRPr="00391B86">
        <w:rPr>
          <w:rFonts w:ascii="Times New Roman" w:hAnsi="Times New Roman"/>
        </w:rPr>
        <w:t>proper</w:t>
      </w:r>
      <w:r w:rsidR="00F415F4" w:rsidRPr="00391B86">
        <w:rPr>
          <w:rFonts w:ascii="Times New Roman" w:hAnsi="Times New Roman"/>
        </w:rPr>
        <w:t xml:space="preserve"> officer of the transferor court to trans</w:t>
      </w:r>
      <w:r w:rsidR="00390796" w:rsidRPr="00391B86">
        <w:rPr>
          <w:rFonts w:ascii="Times New Roman" w:hAnsi="Times New Roman"/>
        </w:rPr>
        <w:t>mit</w:t>
      </w:r>
      <w:r w:rsidR="00F415F4" w:rsidRPr="00391B86">
        <w:rPr>
          <w:rFonts w:ascii="Times New Roman" w:hAnsi="Times New Roman"/>
        </w:rPr>
        <w:t xml:space="preserve"> to the transferee court all documents filed in the transferor court in respect of the proceeding</w:t>
      </w:r>
      <w:r w:rsidR="001A4467" w:rsidRPr="00391B86">
        <w:rPr>
          <w:rFonts w:ascii="Times New Roman" w:hAnsi="Times New Roman"/>
        </w:rPr>
        <w:t xml:space="preserve"> or application</w:t>
      </w:r>
      <w:r w:rsidR="00F415F4" w:rsidRPr="00391B86">
        <w:rPr>
          <w:rFonts w:ascii="Times New Roman" w:hAnsi="Times New Roman"/>
        </w:rPr>
        <w:t xml:space="preserve">. </w:t>
      </w:r>
      <w:r w:rsidR="001D655C" w:rsidRPr="00391B86">
        <w:rPr>
          <w:rFonts w:ascii="Times New Roman" w:hAnsi="Times New Roman"/>
        </w:rPr>
        <w:t>Section</w:t>
      </w:r>
      <w:r w:rsidR="00E66758" w:rsidRPr="00391B86">
        <w:rPr>
          <w:rFonts w:ascii="Times New Roman" w:hAnsi="Times New Roman"/>
        </w:rPr>
        <w:t> </w:t>
      </w:r>
      <w:r w:rsidR="001D655C" w:rsidRPr="00391B86">
        <w:rPr>
          <w:rFonts w:ascii="Times New Roman" w:hAnsi="Times New Roman"/>
        </w:rPr>
        <w:t>1337N</w:t>
      </w:r>
      <w:r w:rsidR="00F415F4" w:rsidRPr="00391B86">
        <w:rPr>
          <w:rFonts w:ascii="Times New Roman" w:hAnsi="Times New Roman"/>
        </w:rPr>
        <w:t xml:space="preserve"> further requires the transferee court to proceed "as if"</w:t>
      </w:r>
      <w:r w:rsidR="006E2063" w:rsidRPr="00391B86">
        <w:rPr>
          <w:rFonts w:ascii="Times New Roman" w:hAnsi="Times New Roman"/>
        </w:rPr>
        <w:t xml:space="preserve">: </w:t>
      </w:r>
      <w:r w:rsidR="00F415F4" w:rsidRPr="00391B86">
        <w:rPr>
          <w:rFonts w:ascii="Times New Roman" w:hAnsi="Times New Roman"/>
        </w:rPr>
        <w:t>the transferred proceeding had been originally instituted in the transfer</w:t>
      </w:r>
      <w:r w:rsidR="001D655C" w:rsidRPr="00391B86">
        <w:rPr>
          <w:rFonts w:ascii="Times New Roman" w:hAnsi="Times New Roman"/>
        </w:rPr>
        <w:t>ee court</w:t>
      </w:r>
      <w:r w:rsidR="006E2063" w:rsidRPr="00391B86">
        <w:rPr>
          <w:rFonts w:ascii="Times New Roman" w:hAnsi="Times New Roman"/>
        </w:rPr>
        <w:t>;</w:t>
      </w:r>
      <w:r w:rsidR="00F415F4" w:rsidRPr="00391B86">
        <w:rPr>
          <w:rFonts w:ascii="Times New Roman" w:hAnsi="Times New Roman"/>
        </w:rPr>
        <w:t xml:space="preserve"> and the same proceedings had been taken in the transfer</w:t>
      </w:r>
      <w:r w:rsidR="006E2063" w:rsidRPr="00391B86">
        <w:rPr>
          <w:rFonts w:ascii="Times New Roman" w:hAnsi="Times New Roman"/>
        </w:rPr>
        <w:t>ee court</w:t>
      </w:r>
      <w:r w:rsidR="00F415F4" w:rsidRPr="00391B86">
        <w:rPr>
          <w:rFonts w:ascii="Times New Roman" w:hAnsi="Times New Roman"/>
        </w:rPr>
        <w:t xml:space="preserve"> as were taken in the transfer</w:t>
      </w:r>
      <w:r w:rsidR="00432A96" w:rsidRPr="00391B86">
        <w:rPr>
          <w:rFonts w:ascii="Times New Roman" w:hAnsi="Times New Roman"/>
        </w:rPr>
        <w:t>or</w:t>
      </w:r>
      <w:r w:rsidR="00F415F4" w:rsidRPr="00391B86">
        <w:rPr>
          <w:rFonts w:ascii="Times New Roman" w:hAnsi="Times New Roman"/>
        </w:rPr>
        <w:t xml:space="preserve"> court</w:t>
      </w:r>
      <w:r w:rsidR="00432A96" w:rsidRPr="00391B86">
        <w:rPr>
          <w:rFonts w:ascii="Times New Roman" w:hAnsi="Times New Roman"/>
        </w:rPr>
        <w:t xml:space="preserve">. </w:t>
      </w:r>
    </w:p>
    <w:p w14:paraId="26D09031" w14:textId="2FA09DDA" w:rsidR="004E2A25" w:rsidRPr="00391B86" w:rsidRDefault="004E2A25" w:rsidP="00391B86">
      <w:pPr>
        <w:pStyle w:val="FixListStyle"/>
        <w:spacing w:after="260" w:line="280" w:lineRule="exact"/>
        <w:ind w:right="0"/>
        <w:jc w:val="both"/>
        <w:rPr>
          <w:rFonts w:ascii="Times New Roman" w:hAnsi="Times New Roman"/>
        </w:rPr>
      </w:pPr>
      <w:r w:rsidRPr="00391B86">
        <w:rPr>
          <w:rFonts w:ascii="Times New Roman" w:hAnsi="Times New Roman"/>
        </w:rPr>
        <w:tab/>
        <w:t>Section 1337</w:t>
      </w:r>
      <w:proofErr w:type="gramStart"/>
      <w:r w:rsidRPr="00391B86">
        <w:rPr>
          <w:rFonts w:ascii="Times New Roman" w:hAnsi="Times New Roman"/>
        </w:rPr>
        <w:t>P(</w:t>
      </w:r>
      <w:proofErr w:type="gramEnd"/>
      <w:r w:rsidRPr="00391B86">
        <w:rPr>
          <w:rFonts w:ascii="Times New Roman" w:hAnsi="Times New Roman"/>
        </w:rPr>
        <w:t xml:space="preserve">2), the construction and potential application of which </w:t>
      </w:r>
      <w:r w:rsidR="00763B15" w:rsidRPr="00391B86">
        <w:rPr>
          <w:rFonts w:ascii="Times New Roman" w:hAnsi="Times New Roman"/>
        </w:rPr>
        <w:t xml:space="preserve">are </w:t>
      </w:r>
      <w:r w:rsidR="00A97213" w:rsidRPr="00391B86">
        <w:rPr>
          <w:rFonts w:ascii="Times New Roman" w:hAnsi="Times New Roman"/>
        </w:rPr>
        <w:t>at the centre of the dis</w:t>
      </w:r>
      <w:r w:rsidR="00BD570B" w:rsidRPr="00391B86">
        <w:rPr>
          <w:rFonts w:ascii="Times New Roman" w:hAnsi="Times New Roman"/>
        </w:rPr>
        <w:t>pute concerning</w:t>
      </w:r>
      <w:r w:rsidRPr="00391B86">
        <w:rPr>
          <w:rFonts w:ascii="Times New Roman" w:hAnsi="Times New Roman"/>
        </w:rPr>
        <w:t xml:space="preserve"> the operation of </w:t>
      </w:r>
      <w:r w:rsidR="00763B15" w:rsidRPr="00391B86">
        <w:rPr>
          <w:rFonts w:ascii="Times New Roman" w:hAnsi="Times New Roman"/>
        </w:rPr>
        <w:t>s </w:t>
      </w:r>
      <w:r w:rsidRPr="00391B86">
        <w:rPr>
          <w:rFonts w:ascii="Times New Roman" w:hAnsi="Times New Roman"/>
        </w:rPr>
        <w:t>1337H(2)</w:t>
      </w:r>
      <w:r w:rsidR="00F94A35" w:rsidRPr="00391B86">
        <w:rPr>
          <w:rFonts w:ascii="Times New Roman" w:hAnsi="Times New Roman"/>
        </w:rPr>
        <w:t xml:space="preserve"> in the circumstances of the Arrium class action</w:t>
      </w:r>
      <w:r w:rsidRPr="00391B86">
        <w:rPr>
          <w:rFonts w:ascii="Times New Roman" w:hAnsi="Times New Roman"/>
        </w:rPr>
        <w:t>, provides:</w:t>
      </w:r>
    </w:p>
    <w:p w14:paraId="3EF130AB" w14:textId="77777777" w:rsidR="00391B86" w:rsidRDefault="00783C03" w:rsidP="00391B86">
      <w:pPr>
        <w:pStyle w:val="leftright"/>
        <w:spacing w:before="0" w:after="260" w:line="280" w:lineRule="exact"/>
        <w:ind w:right="0"/>
        <w:jc w:val="both"/>
        <w:rPr>
          <w:rFonts w:ascii="Times New Roman" w:hAnsi="Times New Roman"/>
        </w:rPr>
      </w:pPr>
      <w:r w:rsidRPr="00391B86">
        <w:rPr>
          <w:rFonts w:ascii="Times New Roman" w:hAnsi="Times New Roman"/>
        </w:rPr>
        <w:t>"</w:t>
      </w:r>
      <w:r w:rsidR="004E2A25" w:rsidRPr="00391B86">
        <w:rPr>
          <w:rFonts w:ascii="Times New Roman" w:hAnsi="Times New Roman"/>
        </w:rPr>
        <w:t xml:space="preserve">If a proceeding is transferred or removed to a court (the </w:t>
      </w:r>
      <w:r w:rsidR="004E2A25" w:rsidRPr="00391B86">
        <w:rPr>
          <w:rFonts w:ascii="Times New Roman" w:hAnsi="Times New Roman"/>
          <w:b/>
          <w:bCs/>
          <w:i/>
          <w:iCs/>
        </w:rPr>
        <w:t>transferee court</w:t>
      </w:r>
      <w:r w:rsidR="004E2A25" w:rsidRPr="00391B86">
        <w:rPr>
          <w:rFonts w:ascii="Times New Roman" w:hAnsi="Times New Roman"/>
        </w:rPr>
        <w:t xml:space="preserve">) from another court (the </w:t>
      </w:r>
      <w:r w:rsidR="004E2A25" w:rsidRPr="00391B86">
        <w:rPr>
          <w:rFonts w:ascii="Times New Roman" w:hAnsi="Times New Roman"/>
          <w:b/>
          <w:bCs/>
          <w:i/>
          <w:iCs/>
        </w:rPr>
        <w:t>transferor court</w:t>
      </w:r>
      <w:r w:rsidR="004E2A25" w:rsidRPr="00391B86">
        <w:rPr>
          <w:rFonts w:ascii="Times New Roman" w:hAnsi="Times New Roman"/>
        </w:rPr>
        <w:t>), 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r w:rsidRPr="00391B86">
        <w:rPr>
          <w:rFonts w:ascii="Times New Roman" w:hAnsi="Times New Roman"/>
        </w:rPr>
        <w:t>"</w:t>
      </w:r>
    </w:p>
    <w:p w14:paraId="0996A9EF" w14:textId="16CC8403" w:rsidR="00F415F4" w:rsidRPr="00391B86" w:rsidRDefault="00F12040"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432A96" w:rsidRPr="00391B86">
        <w:rPr>
          <w:rFonts w:ascii="Times New Roman" w:hAnsi="Times New Roman"/>
        </w:rPr>
        <w:t>Section 1337Q</w:t>
      </w:r>
      <w:r w:rsidR="005E1DD6" w:rsidRPr="00391B86">
        <w:rPr>
          <w:rFonts w:ascii="Times New Roman" w:hAnsi="Times New Roman"/>
        </w:rPr>
        <w:t xml:space="preserve"> </w:t>
      </w:r>
      <w:r w:rsidR="0099451E" w:rsidRPr="00391B86">
        <w:rPr>
          <w:rFonts w:ascii="Times New Roman" w:hAnsi="Times New Roman"/>
        </w:rPr>
        <w:t xml:space="preserve">operates to </w:t>
      </w:r>
      <w:r w:rsidR="00593554" w:rsidRPr="00391B86">
        <w:rPr>
          <w:rFonts w:ascii="Times New Roman" w:hAnsi="Times New Roman"/>
        </w:rPr>
        <w:t>confirm</w:t>
      </w:r>
      <w:r w:rsidR="005E1DD6" w:rsidRPr="00391B86">
        <w:rPr>
          <w:rFonts w:ascii="Times New Roman" w:hAnsi="Times New Roman"/>
        </w:rPr>
        <w:t xml:space="preserve"> that </w:t>
      </w:r>
      <w:r w:rsidR="00A8652D" w:rsidRPr="00391B86">
        <w:rPr>
          <w:rFonts w:ascii="Times New Roman" w:hAnsi="Times New Roman"/>
        </w:rPr>
        <w:t xml:space="preserve">a </w:t>
      </w:r>
      <w:r w:rsidR="005E1DD6" w:rsidRPr="00391B86">
        <w:rPr>
          <w:rFonts w:ascii="Times New Roman" w:hAnsi="Times New Roman"/>
        </w:rPr>
        <w:t xml:space="preserve">legal practitioner </w:t>
      </w:r>
      <w:r w:rsidR="00F210EE" w:rsidRPr="00391B86">
        <w:rPr>
          <w:rFonts w:ascii="Times New Roman" w:hAnsi="Times New Roman"/>
        </w:rPr>
        <w:t xml:space="preserve">who is </w:t>
      </w:r>
      <w:r w:rsidR="005E1DD6" w:rsidRPr="00391B86">
        <w:rPr>
          <w:rFonts w:ascii="Times New Roman" w:hAnsi="Times New Roman"/>
        </w:rPr>
        <w:t>entitled to practise in the transfe</w:t>
      </w:r>
      <w:r w:rsidR="007B4E59" w:rsidRPr="00391B86">
        <w:rPr>
          <w:rFonts w:ascii="Times New Roman" w:hAnsi="Times New Roman"/>
        </w:rPr>
        <w:t>ror</w:t>
      </w:r>
      <w:r w:rsidR="005E1DD6" w:rsidRPr="00391B86">
        <w:rPr>
          <w:rFonts w:ascii="Times New Roman" w:hAnsi="Times New Roman"/>
        </w:rPr>
        <w:t xml:space="preserve"> court ha</w:t>
      </w:r>
      <w:r w:rsidR="00A8652D" w:rsidRPr="00391B86">
        <w:rPr>
          <w:rFonts w:ascii="Times New Roman" w:hAnsi="Times New Roman"/>
        </w:rPr>
        <w:t>s</w:t>
      </w:r>
      <w:r w:rsidR="005E1DD6" w:rsidRPr="00391B86">
        <w:rPr>
          <w:rFonts w:ascii="Times New Roman" w:hAnsi="Times New Roman"/>
        </w:rPr>
        <w:t xml:space="preserve"> the entitlement </w:t>
      </w:r>
      <w:r w:rsidR="00F210EE" w:rsidRPr="00391B86">
        <w:rPr>
          <w:rFonts w:ascii="Times New Roman" w:hAnsi="Times New Roman"/>
        </w:rPr>
        <w:t>conferred by s</w:t>
      </w:r>
      <w:r w:rsidR="005D1B29" w:rsidRPr="00391B86">
        <w:rPr>
          <w:rFonts w:ascii="Times New Roman" w:hAnsi="Times New Roman"/>
        </w:rPr>
        <w:t> </w:t>
      </w:r>
      <w:r w:rsidR="00F210EE" w:rsidRPr="00391B86">
        <w:rPr>
          <w:rFonts w:ascii="Times New Roman" w:hAnsi="Times New Roman"/>
        </w:rPr>
        <w:t xml:space="preserve">55B of the </w:t>
      </w:r>
      <w:r w:rsidR="00F210EE" w:rsidRPr="00391B86">
        <w:rPr>
          <w:rFonts w:ascii="Times New Roman" w:hAnsi="Times New Roman"/>
        </w:rPr>
        <w:lastRenderedPageBreak/>
        <w:t xml:space="preserve">Judiciary Act </w:t>
      </w:r>
      <w:r w:rsidR="005E1DD6" w:rsidRPr="00391B86">
        <w:rPr>
          <w:rFonts w:ascii="Times New Roman" w:hAnsi="Times New Roman"/>
        </w:rPr>
        <w:t xml:space="preserve">to practise </w:t>
      </w:r>
      <w:r w:rsidR="00D8175B" w:rsidRPr="00391B86">
        <w:rPr>
          <w:rFonts w:ascii="Times New Roman" w:hAnsi="Times New Roman"/>
        </w:rPr>
        <w:t>in the transfer</w:t>
      </w:r>
      <w:r w:rsidR="00A8652D" w:rsidRPr="00391B86">
        <w:rPr>
          <w:rFonts w:ascii="Times New Roman" w:hAnsi="Times New Roman"/>
        </w:rPr>
        <w:t>ee court</w:t>
      </w:r>
      <w:r w:rsidR="00F31D99" w:rsidRPr="00391B86">
        <w:rPr>
          <w:rFonts w:ascii="Times New Roman" w:hAnsi="Times New Roman"/>
        </w:rPr>
        <w:t xml:space="preserve"> in relation to the transferred proceeding</w:t>
      </w:r>
      <w:r w:rsidR="00F210EE" w:rsidRPr="00391B86">
        <w:rPr>
          <w:rFonts w:ascii="Times New Roman" w:hAnsi="Times New Roman"/>
        </w:rPr>
        <w:t>.</w:t>
      </w:r>
      <w:r w:rsidR="007D39F0" w:rsidRPr="00391B86">
        <w:rPr>
          <w:rFonts w:ascii="Times New Roman" w:hAnsi="Times New Roman"/>
        </w:rPr>
        <w:t xml:space="preserve"> </w:t>
      </w:r>
    </w:p>
    <w:p w14:paraId="3E7817F0" w14:textId="62797223" w:rsidR="005148C9" w:rsidRPr="00391B86" w:rsidRDefault="00F415F4"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08483F" w:rsidRPr="00391B86">
        <w:rPr>
          <w:rFonts w:ascii="Times New Roman" w:hAnsi="Times New Roman"/>
        </w:rPr>
        <w:t>Section 1337R</w:t>
      </w:r>
      <w:r w:rsidR="008964CA" w:rsidRPr="00391B86">
        <w:rPr>
          <w:rFonts w:ascii="Times New Roman" w:hAnsi="Times New Roman"/>
        </w:rPr>
        <w:t xml:space="preserve"> also</w:t>
      </w:r>
      <w:r w:rsidR="0008483F" w:rsidRPr="00391B86">
        <w:rPr>
          <w:rFonts w:ascii="Times New Roman" w:hAnsi="Times New Roman"/>
        </w:rPr>
        <w:t xml:space="preserve"> needs to be mentioned</w:t>
      </w:r>
      <w:r w:rsidR="00CF5BAA" w:rsidRPr="00391B86">
        <w:rPr>
          <w:rFonts w:ascii="Times New Roman" w:hAnsi="Times New Roman"/>
        </w:rPr>
        <w:t xml:space="preserve">. </w:t>
      </w:r>
      <w:r w:rsidR="008C6FB5" w:rsidRPr="00391B86">
        <w:rPr>
          <w:rFonts w:ascii="Times New Roman" w:hAnsi="Times New Roman"/>
        </w:rPr>
        <w:t xml:space="preserve">By </w:t>
      </w:r>
      <w:r w:rsidR="004A0455" w:rsidRPr="00391B86">
        <w:rPr>
          <w:rFonts w:ascii="Times New Roman" w:hAnsi="Times New Roman"/>
        </w:rPr>
        <w:t>operation</w:t>
      </w:r>
      <w:r w:rsidR="008C6FB5" w:rsidRPr="00391B86">
        <w:rPr>
          <w:rFonts w:ascii="Times New Roman" w:hAnsi="Times New Roman"/>
        </w:rPr>
        <w:t xml:space="preserve"> of s</w:t>
      </w:r>
      <w:r w:rsidR="00B91411" w:rsidRPr="00391B86">
        <w:rPr>
          <w:rFonts w:ascii="Times New Roman" w:hAnsi="Times New Roman"/>
        </w:rPr>
        <w:t> </w:t>
      </w:r>
      <w:r w:rsidR="00304D2E" w:rsidRPr="00391B86">
        <w:rPr>
          <w:rFonts w:ascii="Times New Roman" w:hAnsi="Times New Roman"/>
        </w:rPr>
        <w:t>1337R</w:t>
      </w:r>
      <w:r w:rsidR="008C6FB5" w:rsidRPr="00391B86">
        <w:rPr>
          <w:rFonts w:ascii="Times New Roman" w:hAnsi="Times New Roman"/>
        </w:rPr>
        <w:t xml:space="preserve">, </w:t>
      </w:r>
      <w:r w:rsidR="004A0455" w:rsidRPr="00391B86">
        <w:rPr>
          <w:rFonts w:ascii="Times New Roman" w:hAnsi="Times New Roman"/>
        </w:rPr>
        <w:t>no</w:t>
      </w:r>
      <w:r w:rsidR="00F62068" w:rsidRPr="00391B86">
        <w:rPr>
          <w:rFonts w:ascii="Times New Roman" w:hAnsi="Times New Roman"/>
        </w:rPr>
        <w:t xml:space="preserve"> appeal lie</w:t>
      </w:r>
      <w:r w:rsidR="004A0455" w:rsidRPr="00391B86">
        <w:rPr>
          <w:rFonts w:ascii="Times New Roman" w:hAnsi="Times New Roman"/>
        </w:rPr>
        <w:t>s</w:t>
      </w:r>
      <w:r w:rsidR="00F62068" w:rsidRPr="00391B86">
        <w:rPr>
          <w:rFonts w:ascii="Times New Roman" w:hAnsi="Times New Roman"/>
        </w:rPr>
        <w:t xml:space="preserve"> from a decision of a court in relation to the transfer of a proceeding. Th</w:t>
      </w:r>
      <w:r w:rsidR="00792ACA" w:rsidRPr="00391B86">
        <w:rPr>
          <w:rFonts w:ascii="Times New Roman" w:hAnsi="Times New Roman"/>
        </w:rPr>
        <w:t>e operation of</w:t>
      </w:r>
      <w:r w:rsidR="00F62068" w:rsidRPr="00391B86">
        <w:rPr>
          <w:rFonts w:ascii="Times New Roman" w:hAnsi="Times New Roman"/>
        </w:rPr>
        <w:t xml:space="preserve"> </w:t>
      </w:r>
      <w:r w:rsidR="00BA3BEB" w:rsidRPr="00391B86">
        <w:rPr>
          <w:rFonts w:ascii="Times New Roman" w:hAnsi="Times New Roman"/>
        </w:rPr>
        <w:t>s</w:t>
      </w:r>
      <w:r w:rsidR="0049449D" w:rsidRPr="00391B86">
        <w:rPr>
          <w:rFonts w:ascii="Times New Roman" w:hAnsi="Times New Roman"/>
        </w:rPr>
        <w:t> </w:t>
      </w:r>
      <w:r w:rsidR="00BA3BEB" w:rsidRPr="00391B86">
        <w:rPr>
          <w:rFonts w:ascii="Times New Roman" w:hAnsi="Times New Roman"/>
        </w:rPr>
        <w:t xml:space="preserve">1337R </w:t>
      </w:r>
      <w:r w:rsidR="00E27CBD" w:rsidRPr="00391B86">
        <w:rPr>
          <w:rFonts w:ascii="Times New Roman" w:hAnsi="Times New Roman"/>
        </w:rPr>
        <w:t>as an "exception" within the meaning of</w:t>
      </w:r>
      <w:r w:rsidR="00A36D6A" w:rsidRPr="00391B86">
        <w:rPr>
          <w:rFonts w:ascii="Times New Roman" w:hAnsi="Times New Roman"/>
        </w:rPr>
        <w:t xml:space="preserve"> s</w:t>
      </w:r>
      <w:r w:rsidR="009C6B80" w:rsidRPr="00391B86">
        <w:rPr>
          <w:rFonts w:ascii="Times New Roman" w:hAnsi="Times New Roman"/>
        </w:rPr>
        <w:t> </w:t>
      </w:r>
      <w:r w:rsidR="00A36D6A" w:rsidRPr="00391B86">
        <w:rPr>
          <w:rFonts w:ascii="Times New Roman" w:hAnsi="Times New Roman"/>
        </w:rPr>
        <w:t xml:space="preserve">73 of the Constitution </w:t>
      </w:r>
      <w:r w:rsidR="00E27CBD" w:rsidRPr="00391B86">
        <w:rPr>
          <w:rFonts w:ascii="Times New Roman" w:hAnsi="Times New Roman"/>
        </w:rPr>
        <w:t>to preclude an appeal to this Court</w:t>
      </w:r>
      <w:r w:rsidR="0029695A" w:rsidRPr="00391B86">
        <w:rPr>
          <w:rFonts w:ascii="Times New Roman" w:hAnsi="Times New Roman"/>
        </w:rPr>
        <w:t xml:space="preserve"> under s</w:t>
      </w:r>
      <w:r w:rsidR="009C6B80" w:rsidRPr="00391B86">
        <w:rPr>
          <w:rFonts w:ascii="Times New Roman" w:hAnsi="Times New Roman"/>
        </w:rPr>
        <w:t> </w:t>
      </w:r>
      <w:r w:rsidR="0029695A" w:rsidRPr="00391B86">
        <w:rPr>
          <w:rFonts w:ascii="Times New Roman" w:hAnsi="Times New Roman"/>
        </w:rPr>
        <w:t>73 of the Constitution</w:t>
      </w:r>
      <w:r w:rsidR="00E27CBD" w:rsidRPr="00391B86">
        <w:rPr>
          <w:rFonts w:ascii="Times New Roman" w:hAnsi="Times New Roman"/>
        </w:rPr>
        <w:t xml:space="preserve"> </w:t>
      </w:r>
      <w:r w:rsidR="009A66FE" w:rsidRPr="00391B86">
        <w:rPr>
          <w:rFonts w:ascii="Times New Roman" w:hAnsi="Times New Roman"/>
        </w:rPr>
        <w:t xml:space="preserve">from a decision </w:t>
      </w:r>
      <w:r w:rsidR="00E27563" w:rsidRPr="00391B86">
        <w:rPr>
          <w:rFonts w:ascii="Times New Roman" w:hAnsi="Times New Roman"/>
        </w:rPr>
        <w:t xml:space="preserve">of a transferor court </w:t>
      </w:r>
      <w:r w:rsidR="009A66FE" w:rsidRPr="00391B86">
        <w:rPr>
          <w:rFonts w:ascii="Times New Roman" w:hAnsi="Times New Roman"/>
        </w:rPr>
        <w:t>under s</w:t>
      </w:r>
      <w:r w:rsidR="009C6B80" w:rsidRPr="00391B86">
        <w:rPr>
          <w:rFonts w:ascii="Times New Roman" w:hAnsi="Times New Roman"/>
        </w:rPr>
        <w:t> </w:t>
      </w:r>
      <w:r w:rsidR="00963E1E" w:rsidRPr="00391B86">
        <w:rPr>
          <w:rFonts w:ascii="Times New Roman" w:hAnsi="Times New Roman"/>
        </w:rPr>
        <w:t>1337</w:t>
      </w:r>
      <w:proofErr w:type="gramStart"/>
      <w:r w:rsidR="00963E1E" w:rsidRPr="00391B86">
        <w:rPr>
          <w:rFonts w:ascii="Times New Roman" w:hAnsi="Times New Roman"/>
        </w:rPr>
        <w:t>H(</w:t>
      </w:r>
      <w:proofErr w:type="gramEnd"/>
      <w:r w:rsidR="00963E1E" w:rsidRPr="00391B86">
        <w:rPr>
          <w:rFonts w:ascii="Times New Roman" w:hAnsi="Times New Roman"/>
        </w:rPr>
        <w:t>2)</w:t>
      </w:r>
      <w:r w:rsidR="00722954" w:rsidRPr="00391B86">
        <w:rPr>
          <w:rFonts w:ascii="Times New Roman" w:hAnsi="Times New Roman"/>
        </w:rPr>
        <w:t xml:space="preserve"> </w:t>
      </w:r>
      <w:r w:rsidR="00E33261" w:rsidRPr="00391B86">
        <w:rPr>
          <w:rFonts w:ascii="Times New Roman" w:hAnsi="Times New Roman"/>
        </w:rPr>
        <w:t>explain</w:t>
      </w:r>
      <w:r w:rsidR="00842935" w:rsidRPr="00391B86">
        <w:rPr>
          <w:rFonts w:ascii="Times New Roman" w:hAnsi="Times New Roman"/>
        </w:rPr>
        <w:t>s</w:t>
      </w:r>
      <w:r w:rsidR="00E33261" w:rsidRPr="00391B86">
        <w:rPr>
          <w:rFonts w:ascii="Times New Roman" w:hAnsi="Times New Roman"/>
        </w:rPr>
        <w:t xml:space="preserve"> </w:t>
      </w:r>
      <w:r w:rsidR="00BE2D17" w:rsidRPr="00391B86">
        <w:rPr>
          <w:rFonts w:ascii="Times New Roman" w:hAnsi="Times New Roman"/>
        </w:rPr>
        <w:t xml:space="preserve">aspects of </w:t>
      </w:r>
      <w:r w:rsidR="00E33261" w:rsidRPr="00391B86">
        <w:rPr>
          <w:rFonts w:ascii="Times New Roman" w:hAnsi="Times New Roman"/>
        </w:rPr>
        <w:t>the unusual but not unpre</w:t>
      </w:r>
      <w:r w:rsidR="00AD3F6F" w:rsidRPr="00391B86">
        <w:rPr>
          <w:rFonts w:ascii="Times New Roman" w:hAnsi="Times New Roman"/>
        </w:rPr>
        <w:t>ce</w:t>
      </w:r>
      <w:r w:rsidR="00E33261" w:rsidRPr="00391B86">
        <w:rPr>
          <w:rFonts w:ascii="Times New Roman" w:hAnsi="Times New Roman"/>
        </w:rPr>
        <w:t>de</w:t>
      </w:r>
      <w:r w:rsidR="00AD3F6F" w:rsidRPr="00391B86">
        <w:rPr>
          <w:rFonts w:ascii="Times New Roman" w:hAnsi="Times New Roman"/>
        </w:rPr>
        <w:t>nted pr</w:t>
      </w:r>
      <w:r w:rsidR="00110CBE" w:rsidRPr="00391B86">
        <w:rPr>
          <w:rFonts w:ascii="Times New Roman" w:hAnsi="Times New Roman"/>
        </w:rPr>
        <w:t xml:space="preserve">ocedural history </w:t>
      </w:r>
      <w:r w:rsidR="00722954" w:rsidRPr="00391B86">
        <w:rPr>
          <w:rFonts w:ascii="Times New Roman" w:hAnsi="Times New Roman"/>
        </w:rPr>
        <w:t xml:space="preserve">of the Arrium class action </w:t>
      </w:r>
      <w:r w:rsidR="00BE2D17" w:rsidRPr="00391B86">
        <w:rPr>
          <w:rFonts w:ascii="Times New Roman" w:hAnsi="Times New Roman"/>
        </w:rPr>
        <w:t>recounted</w:t>
      </w:r>
      <w:r w:rsidR="008964CA" w:rsidRPr="00391B86">
        <w:rPr>
          <w:rFonts w:ascii="Times New Roman" w:hAnsi="Times New Roman"/>
        </w:rPr>
        <w:t xml:space="preserve"> below</w:t>
      </w:r>
      <w:r w:rsidR="00BE2D17" w:rsidRPr="00391B86">
        <w:rPr>
          <w:rFonts w:ascii="Times New Roman" w:hAnsi="Times New Roman"/>
        </w:rPr>
        <w:t>.</w:t>
      </w:r>
    </w:p>
    <w:p w14:paraId="6AE69AA8" w14:textId="11D94495" w:rsidR="00D72F6C" w:rsidRPr="00391B86" w:rsidRDefault="00866BF5" w:rsidP="00391B86">
      <w:pPr>
        <w:pStyle w:val="HeadingL1"/>
        <w:spacing w:after="260" w:line="280" w:lineRule="exact"/>
        <w:ind w:right="0"/>
        <w:jc w:val="both"/>
        <w:rPr>
          <w:rFonts w:ascii="Times New Roman" w:hAnsi="Times New Roman"/>
        </w:rPr>
      </w:pPr>
      <w:r w:rsidRPr="00391B86">
        <w:rPr>
          <w:rFonts w:ascii="Times New Roman" w:hAnsi="Times New Roman"/>
        </w:rPr>
        <w:t xml:space="preserve">Group and </w:t>
      </w:r>
      <w:r w:rsidR="00C5015E" w:rsidRPr="00391B86">
        <w:rPr>
          <w:rFonts w:ascii="Times New Roman" w:hAnsi="Times New Roman"/>
        </w:rPr>
        <w:t>r</w:t>
      </w:r>
      <w:r w:rsidRPr="00391B86">
        <w:rPr>
          <w:rFonts w:ascii="Times New Roman" w:hAnsi="Times New Roman"/>
        </w:rPr>
        <w:t>epresentative proceedings</w:t>
      </w:r>
      <w:r w:rsidR="00D72F6C" w:rsidRPr="00391B86">
        <w:rPr>
          <w:rFonts w:ascii="Times New Roman" w:hAnsi="Times New Roman"/>
        </w:rPr>
        <w:t xml:space="preserve"> in civil matters arising under the Corporations </w:t>
      </w:r>
      <w:r w:rsidR="00544FB8" w:rsidRPr="00391B86">
        <w:rPr>
          <w:rFonts w:ascii="Times New Roman" w:hAnsi="Times New Roman"/>
        </w:rPr>
        <w:t>legislation</w:t>
      </w:r>
    </w:p>
    <w:p w14:paraId="5728BA7B" w14:textId="4F17CC91" w:rsidR="00A7726D" w:rsidRPr="00391B86" w:rsidRDefault="00D72F6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A7726D" w:rsidRPr="00391B86">
        <w:rPr>
          <w:rFonts w:ascii="Times New Roman" w:hAnsi="Times New Roman"/>
        </w:rPr>
        <w:t xml:space="preserve">Division 1 of Pt 9.6A </w:t>
      </w:r>
      <w:r w:rsidR="005E0D73" w:rsidRPr="00391B86">
        <w:rPr>
          <w:rFonts w:ascii="Times New Roman" w:hAnsi="Times New Roman"/>
        </w:rPr>
        <w:t xml:space="preserve">of the </w:t>
      </w:r>
      <w:r w:rsidR="00852BDE" w:rsidRPr="00391B86">
        <w:rPr>
          <w:rFonts w:ascii="Times New Roman" w:hAnsi="Times New Roman"/>
        </w:rPr>
        <w:t xml:space="preserve">Corporations Act </w:t>
      </w:r>
      <w:r w:rsidR="00A7726D" w:rsidRPr="00391B86">
        <w:rPr>
          <w:rFonts w:ascii="Times New Roman" w:hAnsi="Times New Roman"/>
        </w:rPr>
        <w:t xml:space="preserve">has been </w:t>
      </w:r>
      <w:r w:rsidR="003A61F5" w:rsidRPr="00391B86">
        <w:rPr>
          <w:rFonts w:ascii="Times New Roman" w:hAnsi="Times New Roman"/>
        </w:rPr>
        <w:t>observed</w:t>
      </w:r>
      <w:r w:rsidR="00A7726D" w:rsidRPr="00391B86">
        <w:rPr>
          <w:rFonts w:ascii="Times New Roman" w:hAnsi="Times New Roman"/>
        </w:rPr>
        <w:t xml:space="preserve"> </w:t>
      </w:r>
      <w:r w:rsidR="0060548D" w:rsidRPr="00391B86">
        <w:rPr>
          <w:rFonts w:ascii="Times New Roman" w:hAnsi="Times New Roman"/>
        </w:rPr>
        <w:t>"</w:t>
      </w:r>
      <w:r w:rsidR="003A61F5" w:rsidRPr="00391B86">
        <w:rPr>
          <w:rFonts w:ascii="Times New Roman" w:hAnsi="Times New Roman"/>
        </w:rPr>
        <w:t xml:space="preserve">not </w:t>
      </w:r>
      <w:r w:rsidR="00A7726D" w:rsidRPr="00391B86">
        <w:rPr>
          <w:rFonts w:ascii="Times New Roman" w:hAnsi="Times New Roman"/>
        </w:rPr>
        <w:t xml:space="preserve">to </w:t>
      </w:r>
      <w:r w:rsidR="001F3D7A" w:rsidRPr="00391B86">
        <w:rPr>
          <w:rFonts w:ascii="Times New Roman" w:hAnsi="Times New Roman"/>
        </w:rPr>
        <w:t xml:space="preserve">impose a direct federal and universal procedural regime" but </w:t>
      </w:r>
      <w:r w:rsidR="00570E05" w:rsidRPr="00391B86">
        <w:rPr>
          <w:rFonts w:ascii="Times New Roman" w:hAnsi="Times New Roman"/>
        </w:rPr>
        <w:t>instead</w:t>
      </w:r>
      <w:r w:rsidR="001F3D7A" w:rsidRPr="00391B86">
        <w:rPr>
          <w:rFonts w:ascii="Times New Roman" w:hAnsi="Times New Roman"/>
        </w:rPr>
        <w:t xml:space="preserve"> to </w:t>
      </w:r>
      <w:r w:rsidR="00A7726D" w:rsidRPr="00391B86">
        <w:rPr>
          <w:rFonts w:ascii="Times New Roman" w:hAnsi="Times New Roman"/>
        </w:rPr>
        <w:t>recognise the concurrent operation of s</w:t>
      </w:r>
      <w:r w:rsidR="009C6B80" w:rsidRPr="00391B86">
        <w:rPr>
          <w:rFonts w:ascii="Times New Roman" w:hAnsi="Times New Roman"/>
        </w:rPr>
        <w:t> </w:t>
      </w:r>
      <w:r w:rsidR="00A7726D" w:rsidRPr="00391B86">
        <w:rPr>
          <w:rFonts w:ascii="Times New Roman" w:hAnsi="Times New Roman"/>
        </w:rPr>
        <w:t>79 of the Judiciary Act</w:t>
      </w:r>
      <w:r w:rsidR="00011ED8" w:rsidRPr="00391B86">
        <w:rPr>
          <w:rFonts w:ascii="Times New Roman" w:hAnsi="Times New Roman"/>
        </w:rPr>
        <w:t>.</w:t>
      </w:r>
      <w:r w:rsidR="00A7726D" w:rsidRPr="00391B86">
        <w:rPr>
          <w:rStyle w:val="FootnoteReference"/>
          <w:rFonts w:ascii="Times New Roman" w:hAnsi="Times New Roman"/>
          <w:sz w:val="24"/>
        </w:rPr>
        <w:footnoteReference w:id="8"/>
      </w:r>
      <w:r w:rsidR="00850627" w:rsidRPr="00391B86">
        <w:rPr>
          <w:rFonts w:ascii="Times New Roman" w:hAnsi="Times New Roman"/>
        </w:rPr>
        <w:t xml:space="preserve"> </w:t>
      </w:r>
      <w:r w:rsidR="00011ED8" w:rsidRPr="00391B86">
        <w:rPr>
          <w:rFonts w:ascii="Times New Roman" w:hAnsi="Times New Roman"/>
        </w:rPr>
        <w:t xml:space="preserve">By operation </w:t>
      </w:r>
      <w:r w:rsidR="00752057" w:rsidRPr="00391B86">
        <w:rPr>
          <w:rFonts w:ascii="Times New Roman" w:hAnsi="Times New Roman"/>
        </w:rPr>
        <w:t>of s</w:t>
      </w:r>
      <w:r w:rsidR="009C6B80" w:rsidRPr="00391B86">
        <w:rPr>
          <w:rFonts w:ascii="Times New Roman" w:hAnsi="Times New Roman"/>
        </w:rPr>
        <w:t> </w:t>
      </w:r>
      <w:r w:rsidR="00752057" w:rsidRPr="00391B86">
        <w:rPr>
          <w:rFonts w:ascii="Times New Roman" w:hAnsi="Times New Roman"/>
        </w:rPr>
        <w:t>79 of the Judiciary Act</w:t>
      </w:r>
      <w:r w:rsidR="00CE36DC" w:rsidRPr="00391B86">
        <w:rPr>
          <w:rFonts w:ascii="Times New Roman" w:hAnsi="Times New Roman"/>
        </w:rPr>
        <w:t xml:space="preserve">, </w:t>
      </w:r>
      <w:r w:rsidR="00C836DE" w:rsidRPr="00391B86">
        <w:rPr>
          <w:rFonts w:ascii="Times New Roman" w:hAnsi="Times New Roman"/>
        </w:rPr>
        <w:t>"</w:t>
      </w:r>
      <w:r w:rsidR="003E06D4" w:rsidRPr="00391B86">
        <w:rPr>
          <w:rFonts w:ascii="Times New Roman" w:hAnsi="Times New Roman"/>
        </w:rPr>
        <w:t>except as otherwise provided</w:t>
      </w:r>
      <w:r w:rsidR="00165BCE" w:rsidRPr="00391B86">
        <w:rPr>
          <w:rFonts w:ascii="Times New Roman" w:hAnsi="Times New Roman"/>
        </w:rPr>
        <w:t>"</w:t>
      </w:r>
      <w:r w:rsidR="003E06D4" w:rsidRPr="00391B86">
        <w:rPr>
          <w:rFonts w:ascii="Times New Roman" w:hAnsi="Times New Roman"/>
        </w:rPr>
        <w:t xml:space="preserve"> by the </w:t>
      </w:r>
      <w:r w:rsidR="00C7599B" w:rsidRPr="00391B86">
        <w:rPr>
          <w:rFonts w:ascii="Times New Roman" w:hAnsi="Times New Roman"/>
        </w:rPr>
        <w:t>C</w:t>
      </w:r>
      <w:r w:rsidR="003E06D4" w:rsidRPr="00391B86">
        <w:rPr>
          <w:rFonts w:ascii="Times New Roman" w:hAnsi="Times New Roman"/>
        </w:rPr>
        <w:t xml:space="preserve">onstitution or </w:t>
      </w:r>
      <w:r w:rsidR="000261AB" w:rsidRPr="00391B86">
        <w:rPr>
          <w:rFonts w:ascii="Times New Roman" w:hAnsi="Times New Roman"/>
        </w:rPr>
        <w:t xml:space="preserve">a </w:t>
      </w:r>
      <w:r w:rsidR="003E06D4" w:rsidRPr="00391B86">
        <w:rPr>
          <w:rFonts w:ascii="Times New Roman" w:hAnsi="Times New Roman"/>
        </w:rPr>
        <w:t>Commonwealth</w:t>
      </w:r>
      <w:r w:rsidR="00165BCE" w:rsidRPr="00391B86">
        <w:rPr>
          <w:rFonts w:ascii="Times New Roman" w:hAnsi="Times New Roman"/>
        </w:rPr>
        <w:t xml:space="preserve"> law</w:t>
      </w:r>
      <w:r w:rsidR="003E06D4" w:rsidRPr="00391B86">
        <w:rPr>
          <w:rFonts w:ascii="Times New Roman" w:hAnsi="Times New Roman"/>
        </w:rPr>
        <w:t xml:space="preserve">, </w:t>
      </w:r>
      <w:r w:rsidR="00EB52EF" w:rsidRPr="00391B86">
        <w:rPr>
          <w:rFonts w:ascii="Times New Roman" w:hAnsi="Times New Roman"/>
        </w:rPr>
        <w:t xml:space="preserve">the text of </w:t>
      </w:r>
      <w:r w:rsidR="00437E13" w:rsidRPr="00391B86">
        <w:rPr>
          <w:rFonts w:ascii="Times New Roman" w:hAnsi="Times New Roman"/>
        </w:rPr>
        <w:t xml:space="preserve">a </w:t>
      </w:r>
      <w:r w:rsidR="00D32661" w:rsidRPr="00391B86">
        <w:rPr>
          <w:rFonts w:ascii="Times New Roman" w:hAnsi="Times New Roman"/>
        </w:rPr>
        <w:t xml:space="preserve">State </w:t>
      </w:r>
      <w:r w:rsidR="009A034B" w:rsidRPr="00391B86">
        <w:rPr>
          <w:rFonts w:ascii="Times New Roman" w:hAnsi="Times New Roman"/>
        </w:rPr>
        <w:t>law</w:t>
      </w:r>
      <w:r w:rsidR="00105F9E" w:rsidRPr="00391B86">
        <w:rPr>
          <w:rFonts w:ascii="Times New Roman" w:hAnsi="Times New Roman"/>
        </w:rPr>
        <w:t xml:space="preserve"> </w:t>
      </w:r>
      <w:r w:rsidR="00AE76E4" w:rsidRPr="00391B86">
        <w:rPr>
          <w:rFonts w:ascii="Times New Roman" w:hAnsi="Times New Roman"/>
        </w:rPr>
        <w:t>including a State law relating to procedure</w:t>
      </w:r>
      <w:r w:rsidR="005B22E4" w:rsidRPr="00391B86">
        <w:rPr>
          <w:rFonts w:ascii="Times New Roman" w:hAnsi="Times New Roman"/>
        </w:rPr>
        <w:t xml:space="preserve">, </w:t>
      </w:r>
      <w:r w:rsidR="00105F9E" w:rsidRPr="00391B86">
        <w:rPr>
          <w:rFonts w:ascii="Times New Roman" w:hAnsi="Times New Roman"/>
        </w:rPr>
        <w:t>which could not apply of its own force to govern the exercise of federal jurisdiction</w:t>
      </w:r>
      <w:r w:rsidR="00493607" w:rsidRPr="00391B86">
        <w:rPr>
          <w:rFonts w:ascii="Times New Roman" w:hAnsi="Times New Roman"/>
        </w:rPr>
        <w:t xml:space="preserve"> by a court</w:t>
      </w:r>
      <w:r w:rsidR="00E97C6F" w:rsidRPr="00391B86">
        <w:rPr>
          <w:rFonts w:ascii="Times New Roman" w:hAnsi="Times New Roman"/>
        </w:rPr>
        <w:t xml:space="preserve">, </w:t>
      </w:r>
      <w:r w:rsidR="000C6166" w:rsidRPr="00391B86">
        <w:rPr>
          <w:rFonts w:ascii="Times New Roman" w:hAnsi="Times New Roman"/>
        </w:rPr>
        <w:t>is</w:t>
      </w:r>
      <w:r w:rsidR="001D4771" w:rsidRPr="00391B86">
        <w:rPr>
          <w:rFonts w:ascii="Times New Roman" w:hAnsi="Times New Roman"/>
        </w:rPr>
        <w:t xml:space="preserve"> </w:t>
      </w:r>
      <w:r w:rsidR="003B1C18" w:rsidRPr="00391B86">
        <w:rPr>
          <w:rFonts w:ascii="Times New Roman" w:hAnsi="Times New Roman"/>
        </w:rPr>
        <w:t xml:space="preserve">picked up and </w:t>
      </w:r>
      <w:r w:rsidR="001D4771" w:rsidRPr="00391B86">
        <w:rPr>
          <w:rFonts w:ascii="Times New Roman" w:hAnsi="Times New Roman"/>
        </w:rPr>
        <w:t xml:space="preserve">applied </w:t>
      </w:r>
      <w:r w:rsidR="00312E2C" w:rsidRPr="00391B86">
        <w:rPr>
          <w:rFonts w:ascii="Times New Roman" w:hAnsi="Times New Roman"/>
        </w:rPr>
        <w:t xml:space="preserve">as </w:t>
      </w:r>
      <w:r w:rsidR="000C6166" w:rsidRPr="00391B86">
        <w:rPr>
          <w:rFonts w:ascii="Times New Roman" w:hAnsi="Times New Roman"/>
        </w:rPr>
        <w:t xml:space="preserve">a </w:t>
      </w:r>
      <w:r w:rsidR="00312E2C" w:rsidRPr="00391B86">
        <w:rPr>
          <w:rFonts w:ascii="Times New Roman" w:hAnsi="Times New Roman"/>
        </w:rPr>
        <w:t xml:space="preserve">Commonwealth law </w:t>
      </w:r>
      <w:r w:rsidR="001D4771" w:rsidRPr="00391B86">
        <w:rPr>
          <w:rFonts w:ascii="Times New Roman" w:hAnsi="Times New Roman"/>
        </w:rPr>
        <w:t>to</w:t>
      </w:r>
      <w:r w:rsidR="00437E13" w:rsidRPr="00391B86">
        <w:rPr>
          <w:rFonts w:ascii="Times New Roman" w:hAnsi="Times New Roman"/>
        </w:rPr>
        <w:t xml:space="preserve"> govern the exercise of federal jurisdiction by a court</w:t>
      </w:r>
      <w:r w:rsidR="00495191" w:rsidRPr="00391B86">
        <w:rPr>
          <w:rFonts w:ascii="Times New Roman" w:hAnsi="Times New Roman"/>
        </w:rPr>
        <w:t xml:space="preserve"> in that State</w:t>
      </w:r>
      <w:r w:rsidR="00CE36DC" w:rsidRPr="00391B86">
        <w:rPr>
          <w:rFonts w:ascii="Times New Roman" w:hAnsi="Times New Roman"/>
        </w:rPr>
        <w:t>.</w:t>
      </w:r>
      <w:r w:rsidR="00FB3B42" w:rsidRPr="00391B86">
        <w:rPr>
          <w:rStyle w:val="FootnoteReference"/>
          <w:rFonts w:ascii="Times New Roman" w:hAnsi="Times New Roman"/>
          <w:sz w:val="24"/>
        </w:rPr>
        <w:footnoteReference w:id="9"/>
      </w:r>
    </w:p>
    <w:p w14:paraId="6A40A614" w14:textId="45D710DB" w:rsidR="00BE2D17" w:rsidRPr="00391B86" w:rsidRDefault="00BD037E" w:rsidP="00391B86">
      <w:pPr>
        <w:pStyle w:val="FixListStyle"/>
        <w:spacing w:after="260" w:line="280" w:lineRule="exact"/>
        <w:ind w:right="0"/>
        <w:jc w:val="both"/>
        <w:rPr>
          <w:rFonts w:ascii="Times New Roman" w:hAnsi="Times New Roman"/>
        </w:rPr>
      </w:pPr>
      <w:r w:rsidRPr="00391B86">
        <w:rPr>
          <w:rFonts w:ascii="Times New Roman" w:hAnsi="Times New Roman"/>
        </w:rPr>
        <w:tab/>
        <w:t>T</w:t>
      </w:r>
      <w:r w:rsidR="00245B3C" w:rsidRPr="00391B86">
        <w:rPr>
          <w:rFonts w:ascii="Times New Roman" w:hAnsi="Times New Roman"/>
        </w:rPr>
        <w:t xml:space="preserve">he </w:t>
      </w:r>
      <w:r w:rsidR="002A4272" w:rsidRPr="00391B86">
        <w:rPr>
          <w:rFonts w:ascii="Times New Roman" w:hAnsi="Times New Roman"/>
        </w:rPr>
        <w:t xml:space="preserve">State </w:t>
      </w:r>
      <w:r w:rsidR="00245B3C" w:rsidRPr="00391B86">
        <w:rPr>
          <w:rFonts w:ascii="Times New Roman" w:hAnsi="Times New Roman"/>
        </w:rPr>
        <w:t>laws</w:t>
      </w:r>
      <w:r w:rsidR="008A45EF" w:rsidRPr="00391B86">
        <w:rPr>
          <w:rFonts w:ascii="Times New Roman" w:hAnsi="Times New Roman"/>
        </w:rPr>
        <w:t xml:space="preserve"> </w:t>
      </w:r>
      <w:r w:rsidR="005B22E4" w:rsidRPr="00391B86">
        <w:rPr>
          <w:rFonts w:ascii="Times New Roman" w:hAnsi="Times New Roman"/>
        </w:rPr>
        <w:t>relating to procedure</w:t>
      </w:r>
      <w:r w:rsidR="00E457B5" w:rsidRPr="00391B86">
        <w:rPr>
          <w:rFonts w:ascii="Times New Roman" w:hAnsi="Times New Roman"/>
        </w:rPr>
        <w:t>,</w:t>
      </w:r>
      <w:r w:rsidR="005B22E4" w:rsidRPr="00391B86">
        <w:rPr>
          <w:rFonts w:ascii="Times New Roman" w:hAnsi="Times New Roman"/>
        </w:rPr>
        <w:t xml:space="preserve"> </w:t>
      </w:r>
      <w:r w:rsidR="008A45EF" w:rsidRPr="00391B86">
        <w:rPr>
          <w:rFonts w:ascii="Times New Roman" w:hAnsi="Times New Roman"/>
        </w:rPr>
        <w:t>the text</w:t>
      </w:r>
      <w:r w:rsidR="0026160D" w:rsidRPr="00391B86">
        <w:rPr>
          <w:rFonts w:ascii="Times New Roman" w:hAnsi="Times New Roman"/>
        </w:rPr>
        <w:t>s</w:t>
      </w:r>
      <w:r w:rsidR="008A45EF" w:rsidRPr="00391B86">
        <w:rPr>
          <w:rFonts w:ascii="Times New Roman" w:hAnsi="Times New Roman"/>
        </w:rPr>
        <w:t xml:space="preserve"> of which </w:t>
      </w:r>
      <w:r w:rsidR="0026160D" w:rsidRPr="00391B86">
        <w:rPr>
          <w:rFonts w:ascii="Times New Roman" w:hAnsi="Times New Roman"/>
        </w:rPr>
        <w:t>are</w:t>
      </w:r>
      <w:r w:rsidR="00245B3C" w:rsidRPr="00391B86">
        <w:rPr>
          <w:rFonts w:ascii="Times New Roman" w:hAnsi="Times New Roman"/>
        </w:rPr>
        <w:t xml:space="preserve"> </w:t>
      </w:r>
      <w:r w:rsidR="00D02C25" w:rsidRPr="00391B86">
        <w:rPr>
          <w:rFonts w:ascii="Times New Roman" w:hAnsi="Times New Roman"/>
        </w:rPr>
        <w:t>picked up and applied as Commonwealth law</w:t>
      </w:r>
      <w:r w:rsidR="008A45EF" w:rsidRPr="00391B86">
        <w:rPr>
          <w:rFonts w:ascii="Times New Roman" w:hAnsi="Times New Roman"/>
        </w:rPr>
        <w:t>s</w:t>
      </w:r>
      <w:r w:rsidR="00D02C25" w:rsidRPr="00391B86">
        <w:rPr>
          <w:rFonts w:ascii="Times New Roman" w:hAnsi="Times New Roman"/>
        </w:rPr>
        <w:t xml:space="preserve"> by s 79 of the Judiciary Act</w:t>
      </w:r>
      <w:r w:rsidR="008A45EF" w:rsidRPr="00391B86">
        <w:rPr>
          <w:rFonts w:ascii="Times New Roman" w:hAnsi="Times New Roman"/>
        </w:rPr>
        <w:t xml:space="preserve"> to govern the exercise of federal jurisdiction</w:t>
      </w:r>
      <w:r w:rsidR="006033A4" w:rsidRPr="00391B86">
        <w:rPr>
          <w:rFonts w:ascii="Times New Roman" w:hAnsi="Times New Roman"/>
        </w:rPr>
        <w:t xml:space="preserve"> in civil matters arising under the Corporations legislation</w:t>
      </w:r>
      <w:r w:rsidR="00E457B5" w:rsidRPr="00391B86">
        <w:rPr>
          <w:rFonts w:ascii="Times New Roman" w:hAnsi="Times New Roman"/>
        </w:rPr>
        <w:t>,</w:t>
      </w:r>
      <w:r w:rsidR="0026160D" w:rsidRPr="00391B86">
        <w:rPr>
          <w:rFonts w:ascii="Times New Roman" w:hAnsi="Times New Roman"/>
        </w:rPr>
        <w:t xml:space="preserve"> </w:t>
      </w:r>
      <w:r w:rsidRPr="00391B86">
        <w:rPr>
          <w:rFonts w:ascii="Times New Roman" w:hAnsi="Times New Roman"/>
        </w:rPr>
        <w:t>include</w:t>
      </w:r>
      <w:r w:rsidR="0026160D" w:rsidRPr="00391B86">
        <w:rPr>
          <w:rFonts w:ascii="Times New Roman" w:hAnsi="Times New Roman"/>
        </w:rPr>
        <w:t xml:space="preserve"> Pt 4A of the Supreme Court Act and Pt 10 of the </w:t>
      </w:r>
      <w:r w:rsidR="0026160D" w:rsidRPr="00391B86">
        <w:rPr>
          <w:rFonts w:ascii="Times New Roman" w:hAnsi="Times New Roman"/>
          <w:i/>
          <w:iCs/>
        </w:rPr>
        <w:t>Civil Procedure Act 2005</w:t>
      </w:r>
      <w:r w:rsidR="0026160D" w:rsidRPr="00391B86">
        <w:rPr>
          <w:rFonts w:ascii="Times New Roman" w:hAnsi="Times New Roman"/>
        </w:rPr>
        <w:t xml:space="preserve"> (NSW) ("the Civil Procedure Act")</w:t>
      </w:r>
      <w:r w:rsidR="00E457B5" w:rsidRPr="00391B86">
        <w:rPr>
          <w:rFonts w:ascii="Times New Roman" w:hAnsi="Times New Roman"/>
        </w:rPr>
        <w:t xml:space="preserve">. These </w:t>
      </w:r>
      <w:r w:rsidR="004D632D" w:rsidRPr="00391B86">
        <w:rPr>
          <w:rFonts w:ascii="Times New Roman" w:hAnsi="Times New Roman"/>
        </w:rPr>
        <w:t>respectively</w:t>
      </w:r>
      <w:r w:rsidR="00FD7F4D" w:rsidRPr="00391B86">
        <w:rPr>
          <w:rFonts w:ascii="Times New Roman" w:hAnsi="Times New Roman"/>
        </w:rPr>
        <w:t xml:space="preserve"> </w:t>
      </w:r>
      <w:r w:rsidR="00BD459C" w:rsidRPr="00391B86">
        <w:rPr>
          <w:rFonts w:ascii="Times New Roman" w:hAnsi="Times New Roman"/>
        </w:rPr>
        <w:t xml:space="preserve">provide </w:t>
      </w:r>
      <w:r w:rsidR="00FD7F4D" w:rsidRPr="00391B86">
        <w:rPr>
          <w:rFonts w:ascii="Times New Roman" w:hAnsi="Times New Roman"/>
        </w:rPr>
        <w:t xml:space="preserve">for the commencement and regulation of the conduct of group </w:t>
      </w:r>
      <w:r w:rsidR="004854E8" w:rsidRPr="00391B86">
        <w:rPr>
          <w:rFonts w:ascii="Times New Roman" w:hAnsi="Times New Roman"/>
        </w:rPr>
        <w:t xml:space="preserve">proceedings </w:t>
      </w:r>
      <w:r w:rsidR="00FD7F4D" w:rsidRPr="00391B86">
        <w:rPr>
          <w:rFonts w:ascii="Times New Roman" w:hAnsi="Times New Roman"/>
        </w:rPr>
        <w:t>in the Supreme Court of Victoria and</w:t>
      </w:r>
      <w:r w:rsidR="004854E8" w:rsidRPr="00391B86">
        <w:rPr>
          <w:rFonts w:ascii="Times New Roman" w:hAnsi="Times New Roman"/>
        </w:rPr>
        <w:t xml:space="preserve"> </w:t>
      </w:r>
      <w:r w:rsidR="00BB6A3A" w:rsidRPr="00391B86">
        <w:rPr>
          <w:rFonts w:ascii="Times New Roman" w:hAnsi="Times New Roman"/>
        </w:rPr>
        <w:t xml:space="preserve">of </w:t>
      </w:r>
      <w:r w:rsidR="004854E8" w:rsidRPr="00391B86">
        <w:rPr>
          <w:rFonts w:ascii="Times New Roman" w:hAnsi="Times New Roman"/>
        </w:rPr>
        <w:t>representative proceedings</w:t>
      </w:r>
      <w:r w:rsidR="00FD7F4D" w:rsidRPr="00391B86">
        <w:rPr>
          <w:rFonts w:ascii="Times New Roman" w:hAnsi="Times New Roman"/>
        </w:rPr>
        <w:t xml:space="preserve"> </w:t>
      </w:r>
      <w:r w:rsidR="0093509D" w:rsidRPr="00391B86">
        <w:rPr>
          <w:rFonts w:ascii="Times New Roman" w:hAnsi="Times New Roman"/>
        </w:rPr>
        <w:t xml:space="preserve">in </w:t>
      </w:r>
      <w:r w:rsidR="00FD7F4D" w:rsidRPr="00391B86">
        <w:rPr>
          <w:rFonts w:ascii="Times New Roman" w:hAnsi="Times New Roman"/>
        </w:rPr>
        <w:t>the Supreme Court of New South Wales</w:t>
      </w:r>
      <w:r w:rsidR="00BD459C" w:rsidRPr="00391B86">
        <w:rPr>
          <w:rFonts w:ascii="Times New Roman" w:hAnsi="Times New Roman"/>
        </w:rPr>
        <w:t xml:space="preserve">. </w:t>
      </w:r>
    </w:p>
    <w:p w14:paraId="5339787B" w14:textId="71B57BC6" w:rsidR="0001316D" w:rsidRPr="00391B86" w:rsidRDefault="009842E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E63117" w:rsidRPr="00391B86">
        <w:rPr>
          <w:rFonts w:ascii="Times New Roman" w:hAnsi="Times New Roman"/>
        </w:rPr>
        <w:t>P</w:t>
      </w:r>
      <w:r w:rsidR="00347B76" w:rsidRPr="00391B86">
        <w:rPr>
          <w:rFonts w:ascii="Times New Roman" w:hAnsi="Times New Roman"/>
        </w:rPr>
        <w:t>ar</w:t>
      </w:r>
      <w:r w:rsidR="00E63117" w:rsidRPr="00391B86">
        <w:rPr>
          <w:rFonts w:ascii="Times New Roman" w:hAnsi="Times New Roman"/>
        </w:rPr>
        <w:t>t 4A of the Supreme Court Act and Pt 10 of the Civil Procedure Act substantially mirror</w:t>
      </w:r>
      <w:r w:rsidR="00BD037E" w:rsidRPr="00391B86">
        <w:rPr>
          <w:rFonts w:ascii="Times New Roman" w:hAnsi="Times New Roman"/>
        </w:rPr>
        <w:t xml:space="preserve"> Pt IVA of the </w:t>
      </w:r>
      <w:r w:rsidR="00BD037E" w:rsidRPr="00391B86">
        <w:rPr>
          <w:rFonts w:ascii="Times New Roman" w:hAnsi="Times New Roman"/>
          <w:i/>
          <w:iCs/>
        </w:rPr>
        <w:t>Federal Court of Australia Act 1976</w:t>
      </w:r>
      <w:r w:rsidR="00BD037E" w:rsidRPr="00391B86">
        <w:rPr>
          <w:rFonts w:ascii="Times New Roman" w:hAnsi="Times New Roman"/>
        </w:rPr>
        <w:t xml:space="preserve"> (</w:t>
      </w:r>
      <w:proofErr w:type="spellStart"/>
      <w:r w:rsidR="00BD037E" w:rsidRPr="00391B86">
        <w:rPr>
          <w:rFonts w:ascii="Times New Roman" w:hAnsi="Times New Roman"/>
        </w:rPr>
        <w:t>Cth</w:t>
      </w:r>
      <w:proofErr w:type="spellEnd"/>
      <w:r w:rsidR="00BD037E" w:rsidRPr="00391B86">
        <w:rPr>
          <w:rFonts w:ascii="Times New Roman" w:hAnsi="Times New Roman"/>
        </w:rPr>
        <w:t xml:space="preserve">) ("the Federal Court Act"), which provides for the commencement and regulation of the conduct of representative proceedings in the Federal Court, </w:t>
      </w:r>
      <w:r w:rsidR="00E75307" w:rsidRPr="00391B86">
        <w:rPr>
          <w:rFonts w:ascii="Times New Roman" w:hAnsi="Times New Roman"/>
        </w:rPr>
        <w:t>except</w:t>
      </w:r>
      <w:r w:rsidR="004D2734" w:rsidRPr="00391B86">
        <w:rPr>
          <w:rFonts w:ascii="Times New Roman" w:hAnsi="Times New Roman"/>
        </w:rPr>
        <w:t xml:space="preserve"> </w:t>
      </w:r>
      <w:r w:rsidR="00840A1C" w:rsidRPr="00391B86">
        <w:rPr>
          <w:rFonts w:ascii="Times New Roman" w:hAnsi="Times New Roman"/>
        </w:rPr>
        <w:t xml:space="preserve">relevantly </w:t>
      </w:r>
      <w:r w:rsidR="004D2734" w:rsidRPr="00391B86">
        <w:rPr>
          <w:rFonts w:ascii="Times New Roman" w:hAnsi="Times New Roman"/>
        </w:rPr>
        <w:t xml:space="preserve">for </w:t>
      </w:r>
      <w:r w:rsidR="004D2734" w:rsidRPr="00391B86">
        <w:rPr>
          <w:rFonts w:ascii="Times New Roman" w:hAnsi="Times New Roman"/>
        </w:rPr>
        <w:lastRenderedPageBreak/>
        <w:t xml:space="preserve">the provision that has been made in Pt 4A of the Supreme Court Act </w:t>
      </w:r>
      <w:r w:rsidR="008E19F8" w:rsidRPr="00391B86">
        <w:rPr>
          <w:rFonts w:ascii="Times New Roman" w:hAnsi="Times New Roman"/>
        </w:rPr>
        <w:t>since 1</w:t>
      </w:r>
      <w:r w:rsidR="009C6B80" w:rsidRPr="00391B86">
        <w:rPr>
          <w:rFonts w:ascii="Times New Roman" w:hAnsi="Times New Roman"/>
        </w:rPr>
        <w:t> </w:t>
      </w:r>
      <w:r w:rsidR="008E19F8" w:rsidRPr="00391B86">
        <w:rPr>
          <w:rFonts w:ascii="Times New Roman" w:hAnsi="Times New Roman"/>
        </w:rPr>
        <w:t>July 2020</w:t>
      </w:r>
      <w:r w:rsidR="008E19F8" w:rsidRPr="00391B86">
        <w:rPr>
          <w:rStyle w:val="FootnoteReference"/>
          <w:rFonts w:ascii="Times New Roman" w:hAnsi="Times New Roman"/>
          <w:sz w:val="24"/>
        </w:rPr>
        <w:footnoteReference w:id="10"/>
      </w:r>
      <w:r w:rsidR="008E19F8" w:rsidRPr="00391B86">
        <w:rPr>
          <w:rFonts w:ascii="Times New Roman" w:hAnsi="Times New Roman"/>
        </w:rPr>
        <w:t xml:space="preserve"> </w:t>
      </w:r>
      <w:r w:rsidR="004D2734" w:rsidRPr="00391B86">
        <w:rPr>
          <w:rFonts w:ascii="Times New Roman" w:hAnsi="Times New Roman"/>
        </w:rPr>
        <w:t>for the Supreme Court of Victoria to make a GCO</w:t>
      </w:r>
      <w:r w:rsidR="009A552B" w:rsidRPr="00391B86">
        <w:rPr>
          <w:rFonts w:ascii="Times New Roman" w:hAnsi="Times New Roman"/>
        </w:rPr>
        <w:t>.</w:t>
      </w:r>
    </w:p>
    <w:p w14:paraId="6BC8E8CB" w14:textId="1B0EF03C" w:rsidR="00F36034" w:rsidRPr="00391B86" w:rsidRDefault="00430E6D" w:rsidP="00391B86">
      <w:pPr>
        <w:pStyle w:val="FixListStyle"/>
        <w:spacing w:after="260" w:line="280" w:lineRule="exact"/>
        <w:ind w:right="0"/>
        <w:jc w:val="both"/>
        <w:rPr>
          <w:rFonts w:ascii="Times New Roman" w:hAnsi="Times New Roman"/>
        </w:rPr>
      </w:pPr>
      <w:r w:rsidRPr="00391B86">
        <w:rPr>
          <w:rFonts w:ascii="Times New Roman" w:hAnsi="Times New Roman"/>
        </w:rPr>
        <w:t xml:space="preserve"> </w:t>
      </w:r>
      <w:r w:rsidR="009A552B" w:rsidRPr="00391B86">
        <w:rPr>
          <w:rFonts w:ascii="Times New Roman" w:hAnsi="Times New Roman"/>
        </w:rPr>
        <w:tab/>
      </w:r>
      <w:r w:rsidR="00801349" w:rsidRPr="00391B86">
        <w:rPr>
          <w:rFonts w:ascii="Times New Roman" w:hAnsi="Times New Roman"/>
        </w:rPr>
        <w:t>Like</w:t>
      </w:r>
      <w:r w:rsidR="000321BE" w:rsidRPr="00391B86">
        <w:rPr>
          <w:rFonts w:ascii="Times New Roman" w:hAnsi="Times New Roman"/>
        </w:rPr>
        <w:t xml:space="preserve"> </w:t>
      </w:r>
      <w:r w:rsidR="009D4543" w:rsidRPr="00391B86">
        <w:rPr>
          <w:rFonts w:ascii="Times New Roman" w:hAnsi="Times New Roman"/>
        </w:rPr>
        <w:t xml:space="preserve">s 43(1A) of the Federal Court Act and </w:t>
      </w:r>
      <w:r w:rsidR="000321BE" w:rsidRPr="00391B86">
        <w:rPr>
          <w:rFonts w:ascii="Times New Roman" w:hAnsi="Times New Roman"/>
        </w:rPr>
        <w:t xml:space="preserve">s 181 of the Civil Procedure Act, which </w:t>
      </w:r>
      <w:r w:rsidR="004D50B0" w:rsidRPr="00391B86">
        <w:rPr>
          <w:rFonts w:ascii="Times New Roman" w:hAnsi="Times New Roman"/>
        </w:rPr>
        <w:t xml:space="preserve">operate to </w:t>
      </w:r>
      <w:r w:rsidR="000321BE" w:rsidRPr="00391B86">
        <w:rPr>
          <w:rFonts w:ascii="Times New Roman" w:hAnsi="Times New Roman"/>
        </w:rPr>
        <w:t>pr</w:t>
      </w:r>
      <w:r w:rsidR="00840A1C" w:rsidRPr="00391B86">
        <w:rPr>
          <w:rFonts w:ascii="Times New Roman" w:hAnsi="Times New Roman"/>
        </w:rPr>
        <w:t>ohibit</w:t>
      </w:r>
      <w:r w:rsidR="00A6379C" w:rsidRPr="00391B86">
        <w:rPr>
          <w:rFonts w:ascii="Times New Roman" w:hAnsi="Times New Roman"/>
        </w:rPr>
        <w:t xml:space="preserve"> the </w:t>
      </w:r>
      <w:r w:rsidR="009D4543" w:rsidRPr="00391B86">
        <w:rPr>
          <w:rFonts w:ascii="Times New Roman" w:hAnsi="Times New Roman"/>
        </w:rPr>
        <w:t xml:space="preserve">Federal Court and the </w:t>
      </w:r>
      <w:r w:rsidR="00A6379C" w:rsidRPr="00391B86">
        <w:rPr>
          <w:rFonts w:ascii="Times New Roman" w:hAnsi="Times New Roman"/>
        </w:rPr>
        <w:t>Supreme Court of New South Wales from</w:t>
      </w:r>
      <w:r w:rsidR="000321BE" w:rsidRPr="00391B86">
        <w:rPr>
          <w:rFonts w:ascii="Times New Roman" w:hAnsi="Times New Roman"/>
        </w:rPr>
        <w:t xml:space="preserve"> ordering costs against a person on whose behalf a representative proceeding has been commenced</w:t>
      </w:r>
      <w:r w:rsidR="009D4543" w:rsidRPr="00391B86">
        <w:rPr>
          <w:rFonts w:ascii="Times New Roman" w:hAnsi="Times New Roman"/>
        </w:rPr>
        <w:t xml:space="preserve"> under Pt IVA of the Federal Court Act</w:t>
      </w:r>
      <w:r w:rsidR="001E4F5E" w:rsidRPr="00391B86">
        <w:rPr>
          <w:rFonts w:ascii="Times New Roman" w:hAnsi="Times New Roman"/>
        </w:rPr>
        <w:t xml:space="preserve"> and Pt 10 of the Civil Procedure Act respectively</w:t>
      </w:r>
      <w:r w:rsidR="000321BE" w:rsidRPr="00391B86">
        <w:rPr>
          <w:rFonts w:ascii="Times New Roman" w:hAnsi="Times New Roman"/>
        </w:rPr>
        <w:t>, s</w:t>
      </w:r>
      <w:r w:rsidR="009C6B80" w:rsidRPr="00391B86">
        <w:rPr>
          <w:rFonts w:ascii="Times New Roman" w:hAnsi="Times New Roman"/>
        </w:rPr>
        <w:t> </w:t>
      </w:r>
      <w:r w:rsidR="005005F5" w:rsidRPr="00391B86">
        <w:rPr>
          <w:rFonts w:ascii="Times New Roman" w:hAnsi="Times New Roman"/>
        </w:rPr>
        <w:t xml:space="preserve">33ZD(1) </w:t>
      </w:r>
      <w:r w:rsidR="00797436" w:rsidRPr="00391B86">
        <w:rPr>
          <w:rFonts w:ascii="Times New Roman" w:hAnsi="Times New Roman"/>
        </w:rPr>
        <w:t xml:space="preserve">of the Supreme Court Act </w:t>
      </w:r>
      <w:r w:rsidR="00B368EC" w:rsidRPr="00391B86">
        <w:rPr>
          <w:rFonts w:ascii="Times New Roman" w:hAnsi="Times New Roman"/>
        </w:rPr>
        <w:t xml:space="preserve">operates to </w:t>
      </w:r>
      <w:r w:rsidR="00A6379C" w:rsidRPr="00391B86">
        <w:rPr>
          <w:rFonts w:ascii="Times New Roman" w:hAnsi="Times New Roman"/>
        </w:rPr>
        <w:t>pr</w:t>
      </w:r>
      <w:r w:rsidR="00840A1C" w:rsidRPr="00391B86">
        <w:rPr>
          <w:rFonts w:ascii="Times New Roman" w:hAnsi="Times New Roman"/>
        </w:rPr>
        <w:t>ohi</w:t>
      </w:r>
      <w:r w:rsidR="008E43FB" w:rsidRPr="00391B86">
        <w:rPr>
          <w:rFonts w:ascii="Times New Roman" w:hAnsi="Times New Roman"/>
        </w:rPr>
        <w:t>bit</w:t>
      </w:r>
      <w:r w:rsidR="00A6379C" w:rsidRPr="00391B86">
        <w:rPr>
          <w:rFonts w:ascii="Times New Roman" w:hAnsi="Times New Roman"/>
        </w:rPr>
        <w:t xml:space="preserve"> the Supreme Court of Victoria from </w:t>
      </w:r>
      <w:r w:rsidR="00797436" w:rsidRPr="00391B86">
        <w:rPr>
          <w:rFonts w:ascii="Times New Roman" w:hAnsi="Times New Roman"/>
        </w:rPr>
        <w:t xml:space="preserve">ordering costs against a group member </w:t>
      </w:r>
      <w:r w:rsidR="001E4F5E" w:rsidRPr="00391B86">
        <w:rPr>
          <w:rFonts w:ascii="Times New Roman" w:hAnsi="Times New Roman"/>
        </w:rPr>
        <w:t>on whose behalf a group proceeding has been commenced under Pt</w:t>
      </w:r>
      <w:r w:rsidR="008516FE">
        <w:rPr>
          <w:rFonts w:ascii="Times New Roman" w:hAnsi="Times New Roman"/>
        </w:rPr>
        <w:t> </w:t>
      </w:r>
      <w:r w:rsidR="001E4F5E" w:rsidRPr="00391B86">
        <w:rPr>
          <w:rFonts w:ascii="Times New Roman" w:hAnsi="Times New Roman"/>
        </w:rPr>
        <w:t>4A of the Supreme Court Act</w:t>
      </w:r>
      <w:r w:rsidR="00FD776A" w:rsidRPr="00391B86">
        <w:rPr>
          <w:rFonts w:ascii="Times New Roman" w:hAnsi="Times New Roman"/>
        </w:rPr>
        <w:t xml:space="preserve">. </w:t>
      </w:r>
      <w:r w:rsidR="004D54C2" w:rsidRPr="00391B86">
        <w:rPr>
          <w:rFonts w:ascii="Times New Roman" w:hAnsi="Times New Roman"/>
        </w:rPr>
        <w:t>S</w:t>
      </w:r>
      <w:r w:rsidR="00670B15" w:rsidRPr="00391B86">
        <w:rPr>
          <w:rFonts w:ascii="Times New Roman" w:hAnsi="Times New Roman"/>
        </w:rPr>
        <w:t>ince 1</w:t>
      </w:r>
      <w:r w:rsidR="009C6B80" w:rsidRPr="00391B86">
        <w:rPr>
          <w:rFonts w:ascii="Times New Roman" w:hAnsi="Times New Roman"/>
        </w:rPr>
        <w:t> </w:t>
      </w:r>
      <w:r w:rsidR="00670B15" w:rsidRPr="00391B86">
        <w:rPr>
          <w:rFonts w:ascii="Times New Roman" w:hAnsi="Times New Roman"/>
        </w:rPr>
        <w:t>July 2020,</w:t>
      </w:r>
      <w:r w:rsidR="004D54C2" w:rsidRPr="00391B86">
        <w:rPr>
          <w:rFonts w:ascii="Times New Roman" w:hAnsi="Times New Roman"/>
        </w:rPr>
        <w:t xml:space="preserve"> however,</w:t>
      </w:r>
      <w:r w:rsidR="00670B15" w:rsidRPr="00391B86">
        <w:rPr>
          <w:rFonts w:ascii="Times New Roman" w:hAnsi="Times New Roman"/>
        </w:rPr>
        <w:t xml:space="preserve"> </w:t>
      </w:r>
      <w:r w:rsidR="006D6282" w:rsidRPr="00391B86">
        <w:rPr>
          <w:rFonts w:ascii="Times New Roman" w:hAnsi="Times New Roman"/>
        </w:rPr>
        <w:t>s</w:t>
      </w:r>
      <w:r w:rsidR="009C6B80" w:rsidRPr="00391B86">
        <w:rPr>
          <w:rFonts w:ascii="Times New Roman" w:hAnsi="Times New Roman"/>
        </w:rPr>
        <w:t> </w:t>
      </w:r>
      <w:r w:rsidR="006D6282" w:rsidRPr="00391B86">
        <w:rPr>
          <w:rFonts w:ascii="Times New Roman" w:hAnsi="Times New Roman"/>
        </w:rPr>
        <w:t>33</w:t>
      </w:r>
      <w:proofErr w:type="gramStart"/>
      <w:r w:rsidR="006D6282" w:rsidRPr="00391B86">
        <w:rPr>
          <w:rFonts w:ascii="Times New Roman" w:hAnsi="Times New Roman"/>
        </w:rPr>
        <w:t>ZD(</w:t>
      </w:r>
      <w:proofErr w:type="gramEnd"/>
      <w:r w:rsidR="006D6282" w:rsidRPr="00391B86">
        <w:rPr>
          <w:rFonts w:ascii="Times New Roman" w:hAnsi="Times New Roman"/>
        </w:rPr>
        <w:t>2)</w:t>
      </w:r>
      <w:r w:rsidR="00D67B8A" w:rsidRPr="00391B86">
        <w:rPr>
          <w:rFonts w:ascii="Times New Roman" w:hAnsi="Times New Roman"/>
        </w:rPr>
        <w:t xml:space="preserve"> </w:t>
      </w:r>
      <w:r w:rsidR="00640FA2" w:rsidRPr="00391B86">
        <w:rPr>
          <w:rFonts w:ascii="Times New Roman" w:hAnsi="Times New Roman"/>
        </w:rPr>
        <w:t xml:space="preserve">of the Supreme Court Act </w:t>
      </w:r>
      <w:r w:rsidR="00670B15" w:rsidRPr="00391B86">
        <w:rPr>
          <w:rFonts w:ascii="Times New Roman" w:hAnsi="Times New Roman"/>
        </w:rPr>
        <w:t xml:space="preserve">has </w:t>
      </w:r>
      <w:r w:rsidR="00347512" w:rsidRPr="00391B86">
        <w:rPr>
          <w:rFonts w:ascii="Times New Roman" w:hAnsi="Times New Roman"/>
        </w:rPr>
        <w:t>provided that</w:t>
      </w:r>
      <w:r w:rsidR="00D67B8A" w:rsidRPr="00391B86">
        <w:rPr>
          <w:rFonts w:ascii="Times New Roman" w:hAnsi="Times New Roman"/>
        </w:rPr>
        <w:t xml:space="preserve"> </w:t>
      </w:r>
      <w:r w:rsidR="00590A85" w:rsidRPr="00391B86">
        <w:rPr>
          <w:rFonts w:ascii="Times New Roman" w:hAnsi="Times New Roman"/>
        </w:rPr>
        <w:t>the prohibition in</w:t>
      </w:r>
      <w:r w:rsidR="00D67B8A" w:rsidRPr="00391B86">
        <w:rPr>
          <w:rFonts w:ascii="Times New Roman" w:hAnsi="Times New Roman"/>
        </w:rPr>
        <w:t xml:space="preserve"> s</w:t>
      </w:r>
      <w:r w:rsidR="009C6B80" w:rsidRPr="00391B86">
        <w:rPr>
          <w:rFonts w:ascii="Times New Roman" w:hAnsi="Times New Roman"/>
        </w:rPr>
        <w:t> </w:t>
      </w:r>
      <w:r w:rsidR="00D67B8A" w:rsidRPr="00391B86">
        <w:rPr>
          <w:rFonts w:ascii="Times New Roman" w:hAnsi="Times New Roman"/>
        </w:rPr>
        <w:t xml:space="preserve">33ZD(1) </w:t>
      </w:r>
      <w:r w:rsidR="00347512" w:rsidRPr="00391B86">
        <w:rPr>
          <w:rFonts w:ascii="Times New Roman" w:hAnsi="Times New Roman"/>
        </w:rPr>
        <w:t xml:space="preserve">is subject </w:t>
      </w:r>
      <w:r w:rsidR="00D67B8A" w:rsidRPr="00391B86">
        <w:rPr>
          <w:rFonts w:ascii="Times New Roman" w:hAnsi="Times New Roman"/>
        </w:rPr>
        <w:t xml:space="preserve">to </w:t>
      </w:r>
      <w:r w:rsidR="006473E9" w:rsidRPr="00391B86">
        <w:rPr>
          <w:rFonts w:ascii="Times New Roman" w:hAnsi="Times New Roman"/>
        </w:rPr>
        <w:t>s</w:t>
      </w:r>
      <w:r w:rsidR="008516FE">
        <w:rPr>
          <w:rFonts w:ascii="Times New Roman" w:hAnsi="Times New Roman"/>
        </w:rPr>
        <w:t> </w:t>
      </w:r>
      <w:r w:rsidR="006473E9" w:rsidRPr="00391B86">
        <w:rPr>
          <w:rFonts w:ascii="Times New Roman" w:hAnsi="Times New Roman"/>
        </w:rPr>
        <w:t>33ZDA.</w:t>
      </w:r>
      <w:r w:rsidR="00640FA2" w:rsidRPr="00391B86">
        <w:rPr>
          <w:rFonts w:ascii="Times New Roman" w:hAnsi="Times New Roman"/>
        </w:rPr>
        <w:t xml:space="preserve"> </w:t>
      </w:r>
    </w:p>
    <w:p w14:paraId="3FF8D636" w14:textId="1D392F2C" w:rsidR="009842EC" w:rsidRPr="00391B86" w:rsidRDefault="00F36034"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804029" w:rsidRPr="00391B86">
        <w:rPr>
          <w:rFonts w:ascii="Times New Roman" w:hAnsi="Times New Roman"/>
        </w:rPr>
        <w:t xml:space="preserve">Section </w:t>
      </w:r>
      <w:r w:rsidR="00D03F30" w:rsidRPr="00391B86">
        <w:rPr>
          <w:rFonts w:ascii="Times New Roman" w:hAnsi="Times New Roman"/>
        </w:rPr>
        <w:t>33ZDA</w:t>
      </w:r>
      <w:r w:rsidR="006473E9" w:rsidRPr="00391B86">
        <w:rPr>
          <w:rFonts w:ascii="Times New Roman" w:hAnsi="Times New Roman"/>
        </w:rPr>
        <w:t xml:space="preserve"> </w:t>
      </w:r>
      <w:r w:rsidR="00D03F30" w:rsidRPr="00391B86">
        <w:rPr>
          <w:rFonts w:ascii="Times New Roman" w:hAnsi="Times New Roman"/>
        </w:rPr>
        <w:t>provide</w:t>
      </w:r>
      <w:r w:rsidRPr="00391B86">
        <w:rPr>
          <w:rFonts w:ascii="Times New Roman" w:hAnsi="Times New Roman"/>
        </w:rPr>
        <w:t>s</w:t>
      </w:r>
      <w:r w:rsidR="00D03F30" w:rsidRPr="00391B86">
        <w:rPr>
          <w:rFonts w:ascii="Times New Roman" w:hAnsi="Times New Roman"/>
        </w:rPr>
        <w:t>:</w:t>
      </w:r>
    </w:p>
    <w:p w14:paraId="189A02DD" w14:textId="600D3D6F" w:rsidR="00F72413" w:rsidRPr="00391B86" w:rsidRDefault="00F6555C"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w:t>
      </w:r>
      <w:r w:rsidR="007C5EAD" w:rsidRPr="00391B86">
        <w:rPr>
          <w:rFonts w:ascii="Times New Roman" w:hAnsi="Times New Roman"/>
        </w:rPr>
        <w:t xml:space="preserve">(1) </w:t>
      </w:r>
      <w:r w:rsidR="000F1C0A" w:rsidRPr="00391B86">
        <w:rPr>
          <w:rFonts w:ascii="Times New Roman" w:hAnsi="Times New Roman"/>
        </w:rPr>
        <w:tab/>
      </w:r>
      <w:r w:rsidR="007C5EAD" w:rsidRPr="00391B86">
        <w:rPr>
          <w:rFonts w:ascii="Times New Roman" w:hAnsi="Times New Roman"/>
        </w:rPr>
        <w:t>On application by the plaintiff in any group proceeding, the Court, if satisfied that it is appropriate or necessary to ensure that justice is done in the proceeding, may make an order—</w:t>
      </w:r>
    </w:p>
    <w:p w14:paraId="0BCA0AF4" w14:textId="1AD03AE7" w:rsidR="007C5EAD" w:rsidRPr="00391B86" w:rsidRDefault="007C5EAD" w:rsidP="00391B86">
      <w:pPr>
        <w:pStyle w:val="leftright"/>
        <w:spacing w:before="0" w:after="260" w:line="280" w:lineRule="exact"/>
        <w:ind w:left="2160" w:right="0" w:hanging="1440"/>
        <w:jc w:val="both"/>
        <w:rPr>
          <w:rFonts w:ascii="Times New Roman" w:hAnsi="Times New Roman"/>
        </w:rPr>
      </w:pPr>
      <w:r w:rsidRPr="00391B86">
        <w:rPr>
          <w:rFonts w:ascii="Times New Roman" w:hAnsi="Times New Roman"/>
        </w:rPr>
        <w:tab/>
        <w:t>(a)</w:t>
      </w:r>
      <w:r w:rsidRPr="00391B86">
        <w:rPr>
          <w:rFonts w:ascii="Times New Roman" w:hAnsi="Times New Roman"/>
        </w:rPr>
        <w:tab/>
      </w:r>
      <w:r w:rsidR="000F1C0A" w:rsidRPr="00391B86">
        <w:rPr>
          <w:rFonts w:ascii="Times New Roman" w:hAnsi="Times New Roman"/>
        </w:rPr>
        <w:t>that the legal costs payable to the law practice representing the plaintiff and group members be calculated as a percentage of the amount of any award or settlement that may be recovered in the proceeding, being the percentage set out in the order; and</w:t>
      </w:r>
    </w:p>
    <w:p w14:paraId="122B8E24" w14:textId="5E69609E" w:rsidR="000F1C0A" w:rsidRPr="00391B86" w:rsidRDefault="000F1C0A" w:rsidP="00391B86">
      <w:pPr>
        <w:pStyle w:val="leftright"/>
        <w:spacing w:before="0" w:after="260" w:line="280" w:lineRule="exact"/>
        <w:ind w:left="2160" w:right="0" w:hanging="1440"/>
        <w:jc w:val="both"/>
        <w:rPr>
          <w:rFonts w:ascii="Times New Roman" w:hAnsi="Times New Roman"/>
        </w:rPr>
      </w:pPr>
      <w:r w:rsidRPr="00391B86">
        <w:rPr>
          <w:rFonts w:ascii="Times New Roman" w:hAnsi="Times New Roman"/>
        </w:rPr>
        <w:tab/>
        <w:t>(b)</w:t>
      </w:r>
      <w:r w:rsidRPr="00391B86">
        <w:rPr>
          <w:rFonts w:ascii="Times New Roman" w:hAnsi="Times New Roman"/>
        </w:rPr>
        <w:tab/>
        <w:t>that liability for payment of the legal costs must be shared among the plaintiff and all group members.</w:t>
      </w:r>
    </w:p>
    <w:p w14:paraId="73263C9E" w14:textId="1071E899" w:rsidR="000F1C0A" w:rsidRPr="00391B86" w:rsidRDefault="000F1C0A" w:rsidP="00391B86">
      <w:pPr>
        <w:pStyle w:val="leftright"/>
        <w:spacing w:before="0" w:after="260" w:line="280" w:lineRule="exact"/>
        <w:ind w:right="0"/>
        <w:jc w:val="both"/>
        <w:rPr>
          <w:rFonts w:ascii="Times New Roman" w:hAnsi="Times New Roman"/>
        </w:rPr>
      </w:pPr>
      <w:r w:rsidRPr="00391B86">
        <w:rPr>
          <w:rFonts w:ascii="Times New Roman" w:hAnsi="Times New Roman"/>
        </w:rPr>
        <w:t>(2)</w:t>
      </w:r>
      <w:r w:rsidRPr="00391B86">
        <w:rPr>
          <w:rFonts w:ascii="Times New Roman" w:hAnsi="Times New Roman"/>
        </w:rPr>
        <w:tab/>
        <w:t>If a group costs order is made—</w:t>
      </w:r>
    </w:p>
    <w:p w14:paraId="790EA805" w14:textId="6CEEA283" w:rsidR="000F1C0A" w:rsidRPr="00391B86" w:rsidRDefault="000F1C0A" w:rsidP="00391B86">
      <w:pPr>
        <w:pStyle w:val="leftright"/>
        <w:spacing w:before="0" w:after="260" w:line="280" w:lineRule="exact"/>
        <w:ind w:left="2160" w:right="0" w:hanging="1440"/>
        <w:jc w:val="both"/>
        <w:rPr>
          <w:rFonts w:ascii="Times New Roman" w:hAnsi="Times New Roman"/>
        </w:rPr>
      </w:pPr>
      <w:r w:rsidRPr="00391B86">
        <w:rPr>
          <w:rFonts w:ascii="Times New Roman" w:hAnsi="Times New Roman"/>
        </w:rPr>
        <w:tab/>
        <w:t>(a)</w:t>
      </w:r>
      <w:r w:rsidRPr="00391B86">
        <w:rPr>
          <w:rFonts w:ascii="Times New Roman" w:hAnsi="Times New Roman"/>
        </w:rPr>
        <w:tab/>
        <w:t>the law practice representing the plaintiff and group members is liable to pay any costs payable to the defendant in the proceeding; and</w:t>
      </w:r>
    </w:p>
    <w:p w14:paraId="39448468" w14:textId="3FBB08FF" w:rsidR="000F1C0A" w:rsidRPr="00391B86" w:rsidRDefault="000F1C0A" w:rsidP="00391B86">
      <w:pPr>
        <w:pStyle w:val="leftright"/>
        <w:spacing w:before="0" w:after="260" w:line="280" w:lineRule="exact"/>
        <w:ind w:left="2160" w:right="0" w:hanging="1440"/>
        <w:jc w:val="both"/>
        <w:rPr>
          <w:rFonts w:ascii="Times New Roman" w:hAnsi="Times New Roman"/>
        </w:rPr>
      </w:pPr>
      <w:r w:rsidRPr="00391B86">
        <w:rPr>
          <w:rFonts w:ascii="Times New Roman" w:hAnsi="Times New Roman"/>
        </w:rPr>
        <w:tab/>
        <w:t>(b)</w:t>
      </w:r>
      <w:r w:rsidRPr="00391B86">
        <w:rPr>
          <w:rFonts w:ascii="Times New Roman" w:hAnsi="Times New Roman"/>
        </w:rPr>
        <w:tab/>
        <w:t>the law practice representing the plaintiff and group members must give any security for the costs of the defendant in the proceeding that the Court may order the plaintiff to give.</w:t>
      </w:r>
    </w:p>
    <w:p w14:paraId="72785326" w14:textId="319BDDBB" w:rsidR="00AA67A6" w:rsidRPr="00391B86" w:rsidRDefault="00AA67A6"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lastRenderedPageBreak/>
        <w:t>(3)</w:t>
      </w:r>
      <w:r w:rsidRPr="00391B86">
        <w:rPr>
          <w:rFonts w:ascii="Times New Roman" w:hAnsi="Times New Roman"/>
        </w:rPr>
        <w:tab/>
        <w:t xml:space="preserve">The Court, by order </w:t>
      </w:r>
      <w:proofErr w:type="gramStart"/>
      <w:r w:rsidRPr="00391B86">
        <w:rPr>
          <w:rFonts w:ascii="Times New Roman" w:hAnsi="Times New Roman"/>
        </w:rPr>
        <w:t>during the course of</w:t>
      </w:r>
      <w:proofErr w:type="gramEnd"/>
      <w:r w:rsidRPr="00391B86">
        <w:rPr>
          <w:rFonts w:ascii="Times New Roman" w:hAnsi="Times New Roman"/>
        </w:rPr>
        <w:t xml:space="preserve"> the proceeding, may amend a group costs order, including, but not limited to, amendment of any percentage ordered under subsection (1)(a). </w:t>
      </w:r>
    </w:p>
    <w:p w14:paraId="079211D9" w14:textId="6E03DB03" w:rsidR="00AA67A6" w:rsidRPr="00391B86" w:rsidRDefault="00AA67A6"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(4)</w:t>
      </w:r>
      <w:r w:rsidRPr="00391B86">
        <w:rPr>
          <w:rFonts w:ascii="Times New Roman" w:hAnsi="Times New Roman"/>
        </w:rPr>
        <w:tab/>
        <w:t>This section has effect despite anything to the contrary in the Legal Profession Uniform Law (Victoria).</w:t>
      </w:r>
    </w:p>
    <w:p w14:paraId="09C35B0C" w14:textId="0032FD2A" w:rsidR="00AA67A6" w:rsidRPr="00391B86" w:rsidRDefault="00AA67A6"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 xml:space="preserve">(5) </w:t>
      </w:r>
      <w:r w:rsidR="00BF7EE2" w:rsidRPr="00391B86">
        <w:rPr>
          <w:rFonts w:ascii="Times New Roman" w:hAnsi="Times New Roman"/>
        </w:rPr>
        <w:tab/>
      </w:r>
      <w:r w:rsidRPr="00391B86">
        <w:rPr>
          <w:rFonts w:ascii="Times New Roman" w:hAnsi="Times New Roman"/>
        </w:rPr>
        <w:t>In this section—</w:t>
      </w:r>
    </w:p>
    <w:p w14:paraId="5F4CBFE1" w14:textId="6C6AAE75" w:rsidR="00AA67A6" w:rsidRPr="00391B86" w:rsidRDefault="00AA67A6"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b/>
          <w:bCs/>
          <w:i/>
          <w:iCs/>
        </w:rPr>
        <w:tab/>
        <w:t xml:space="preserve">group costs order </w:t>
      </w:r>
      <w:r w:rsidRPr="00391B86">
        <w:rPr>
          <w:rFonts w:ascii="Times New Roman" w:hAnsi="Times New Roman"/>
        </w:rPr>
        <w:t>means an order made under subsection (1</w:t>
      </w:r>
      <w:proofErr w:type="gramStart"/>
      <w:r w:rsidRPr="00391B86">
        <w:rPr>
          <w:rFonts w:ascii="Times New Roman" w:hAnsi="Times New Roman"/>
        </w:rPr>
        <w:t>);</w:t>
      </w:r>
      <w:proofErr w:type="gramEnd"/>
    </w:p>
    <w:p w14:paraId="537C27BB" w14:textId="77777777" w:rsidR="00391B86" w:rsidRDefault="00AA67A6"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b/>
          <w:bCs/>
          <w:i/>
          <w:iCs/>
        </w:rPr>
        <w:tab/>
        <w:t xml:space="preserve">legal costs </w:t>
      </w:r>
      <w:proofErr w:type="gramStart"/>
      <w:r w:rsidRPr="00391B86">
        <w:rPr>
          <w:rFonts w:ascii="Times New Roman" w:hAnsi="Times New Roman"/>
        </w:rPr>
        <w:t>has</w:t>
      </w:r>
      <w:proofErr w:type="gramEnd"/>
      <w:r w:rsidRPr="00391B86">
        <w:rPr>
          <w:rFonts w:ascii="Times New Roman" w:hAnsi="Times New Roman"/>
        </w:rPr>
        <w:t xml:space="preserve"> the same meaning as in the Legal Profession Uniform Law (Victoria).</w:t>
      </w:r>
      <w:r w:rsidR="00F6555C" w:rsidRPr="00391B86">
        <w:rPr>
          <w:rFonts w:ascii="Times New Roman" w:hAnsi="Times New Roman"/>
        </w:rPr>
        <w:t>"</w:t>
      </w:r>
    </w:p>
    <w:p w14:paraId="199AA9E4" w14:textId="7F7C0296" w:rsidR="000B5DA0" w:rsidRPr="00391B86" w:rsidRDefault="00722954" w:rsidP="00391B86">
      <w:pPr>
        <w:pStyle w:val="HeadingL1"/>
        <w:spacing w:after="260" w:line="280" w:lineRule="exact"/>
        <w:ind w:right="0"/>
        <w:jc w:val="both"/>
        <w:rPr>
          <w:rFonts w:ascii="Times New Roman" w:hAnsi="Times New Roman"/>
        </w:rPr>
      </w:pPr>
      <w:r w:rsidRPr="00391B86">
        <w:rPr>
          <w:rFonts w:ascii="Times New Roman" w:hAnsi="Times New Roman"/>
        </w:rPr>
        <w:t>T</w:t>
      </w:r>
      <w:r w:rsidR="00944C13" w:rsidRPr="00391B86">
        <w:rPr>
          <w:rFonts w:ascii="Times New Roman" w:hAnsi="Times New Roman"/>
        </w:rPr>
        <w:t>he g</w:t>
      </w:r>
      <w:r w:rsidRPr="00391B86">
        <w:rPr>
          <w:rFonts w:ascii="Times New Roman" w:hAnsi="Times New Roman"/>
        </w:rPr>
        <w:t>eneral p</w:t>
      </w:r>
      <w:r w:rsidR="001D64A0" w:rsidRPr="00391B86">
        <w:rPr>
          <w:rFonts w:ascii="Times New Roman" w:hAnsi="Times New Roman"/>
        </w:rPr>
        <w:t>rohibition</w:t>
      </w:r>
      <w:r w:rsidRPr="00391B86">
        <w:rPr>
          <w:rFonts w:ascii="Times New Roman" w:hAnsi="Times New Roman"/>
        </w:rPr>
        <w:t xml:space="preserve"> of contingency fees</w:t>
      </w:r>
    </w:p>
    <w:p w14:paraId="29A90128" w14:textId="6BC762C7" w:rsidR="00BC0E08" w:rsidRPr="00391B86" w:rsidRDefault="00D03F30"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29638C" w:rsidRPr="00391B86">
        <w:rPr>
          <w:rFonts w:ascii="Times New Roman" w:hAnsi="Times New Roman"/>
        </w:rPr>
        <w:t xml:space="preserve">Like the </w:t>
      </w:r>
      <w:r w:rsidR="0029638C" w:rsidRPr="00391B86">
        <w:rPr>
          <w:rFonts w:ascii="Times New Roman" w:hAnsi="Times New Roman"/>
          <w:i/>
          <w:iCs/>
        </w:rPr>
        <w:t>Legal Profession Uniform Law</w:t>
      </w:r>
      <w:r w:rsidR="0029638C" w:rsidRPr="00391B86">
        <w:rPr>
          <w:rFonts w:ascii="Times New Roman" w:hAnsi="Times New Roman"/>
        </w:rPr>
        <w:t xml:space="preserve"> (NSW),</w:t>
      </w:r>
      <w:r w:rsidR="0029638C" w:rsidRPr="00391B86">
        <w:rPr>
          <w:rStyle w:val="FootnoteReference"/>
          <w:rFonts w:ascii="Times New Roman" w:hAnsi="Times New Roman"/>
          <w:sz w:val="24"/>
        </w:rPr>
        <w:footnoteReference w:id="11"/>
      </w:r>
      <w:r w:rsidR="0029638C" w:rsidRPr="00391B86">
        <w:rPr>
          <w:rFonts w:ascii="Times New Roman" w:hAnsi="Times New Roman"/>
        </w:rPr>
        <w:t xml:space="preserve"> t</w:t>
      </w:r>
      <w:r w:rsidR="003640AA" w:rsidRPr="00391B86">
        <w:rPr>
          <w:rFonts w:ascii="Times New Roman" w:hAnsi="Times New Roman"/>
        </w:rPr>
        <w:t xml:space="preserve">he </w:t>
      </w:r>
      <w:r w:rsidR="003640AA" w:rsidRPr="00391B86">
        <w:rPr>
          <w:rFonts w:ascii="Times New Roman" w:hAnsi="Times New Roman"/>
          <w:i/>
          <w:iCs/>
        </w:rPr>
        <w:t>Legal Profession Uniform Law</w:t>
      </w:r>
      <w:r w:rsidR="003640AA" w:rsidRPr="00391B86">
        <w:rPr>
          <w:rFonts w:ascii="Times New Roman" w:hAnsi="Times New Roman"/>
        </w:rPr>
        <w:t xml:space="preserve"> (Vic)</w:t>
      </w:r>
      <w:r w:rsidR="00866F8C" w:rsidRPr="00391B86">
        <w:rPr>
          <w:rStyle w:val="FootnoteReference"/>
          <w:rFonts w:ascii="Times New Roman" w:hAnsi="Times New Roman"/>
          <w:sz w:val="24"/>
        </w:rPr>
        <w:footnoteReference w:id="12"/>
      </w:r>
      <w:r w:rsidR="003640AA" w:rsidRPr="00391B86">
        <w:rPr>
          <w:rFonts w:ascii="Times New Roman" w:hAnsi="Times New Roman"/>
        </w:rPr>
        <w:t xml:space="preserve"> </w:t>
      </w:r>
      <w:r w:rsidR="00704300" w:rsidRPr="00391B86">
        <w:rPr>
          <w:rFonts w:ascii="Times New Roman" w:hAnsi="Times New Roman"/>
        </w:rPr>
        <w:t>define</w:t>
      </w:r>
      <w:r w:rsidR="0029638C" w:rsidRPr="00391B86">
        <w:rPr>
          <w:rFonts w:ascii="Times New Roman" w:hAnsi="Times New Roman"/>
        </w:rPr>
        <w:t>s</w:t>
      </w:r>
      <w:r w:rsidR="00704300" w:rsidRPr="00391B86">
        <w:rPr>
          <w:rFonts w:ascii="Times New Roman" w:hAnsi="Times New Roman"/>
        </w:rPr>
        <w:t xml:space="preserve"> </w:t>
      </w:r>
      <w:r w:rsidR="006B3451" w:rsidRPr="00391B86">
        <w:rPr>
          <w:rFonts w:ascii="Times New Roman" w:hAnsi="Times New Roman"/>
        </w:rPr>
        <w:t>"</w:t>
      </w:r>
      <w:r w:rsidR="00704300" w:rsidRPr="00391B86">
        <w:rPr>
          <w:rFonts w:ascii="Times New Roman" w:hAnsi="Times New Roman"/>
        </w:rPr>
        <w:t>legal costs</w:t>
      </w:r>
      <w:r w:rsidR="006B3451" w:rsidRPr="00391B86">
        <w:rPr>
          <w:rFonts w:ascii="Times New Roman" w:hAnsi="Times New Roman"/>
        </w:rPr>
        <w:t>"</w:t>
      </w:r>
      <w:r w:rsidR="004E0AB8" w:rsidRPr="00391B86">
        <w:rPr>
          <w:rFonts w:ascii="Times New Roman" w:hAnsi="Times New Roman"/>
        </w:rPr>
        <w:t xml:space="preserve"> to </w:t>
      </w:r>
      <w:r w:rsidR="00EC13F0" w:rsidRPr="00391B86">
        <w:rPr>
          <w:rFonts w:ascii="Times New Roman" w:hAnsi="Times New Roman"/>
        </w:rPr>
        <w:t xml:space="preserve">include </w:t>
      </w:r>
      <w:r w:rsidR="006B3451" w:rsidRPr="00391B86">
        <w:rPr>
          <w:rFonts w:ascii="Times New Roman" w:hAnsi="Times New Roman"/>
        </w:rPr>
        <w:t>"</w:t>
      </w:r>
      <w:r w:rsidR="00FC7D97" w:rsidRPr="00391B86">
        <w:rPr>
          <w:rFonts w:ascii="Times New Roman" w:hAnsi="Times New Roman"/>
        </w:rPr>
        <w:t xml:space="preserve">amounts that a person has been </w:t>
      </w:r>
      <w:r w:rsidR="00816E19" w:rsidRPr="00391B86">
        <w:rPr>
          <w:rFonts w:ascii="Times New Roman" w:hAnsi="Times New Roman"/>
        </w:rPr>
        <w:t xml:space="preserve">or </w:t>
      </w:r>
      <w:r w:rsidR="00FC7D97" w:rsidRPr="00391B86">
        <w:rPr>
          <w:rFonts w:ascii="Times New Roman" w:hAnsi="Times New Roman"/>
        </w:rPr>
        <w:t>may be charged by, or is or may become liable to pay to, a law practice for the provision of legal services</w:t>
      </w:r>
      <w:r w:rsidR="006B3451" w:rsidRPr="00391B86">
        <w:rPr>
          <w:rFonts w:ascii="Times New Roman" w:hAnsi="Times New Roman"/>
        </w:rPr>
        <w:t>"</w:t>
      </w:r>
      <w:r w:rsidR="00BC0E08" w:rsidRPr="00391B86">
        <w:rPr>
          <w:rStyle w:val="FootnoteReference"/>
          <w:rFonts w:ascii="Times New Roman" w:hAnsi="Times New Roman"/>
          <w:sz w:val="24"/>
        </w:rPr>
        <w:footnoteReference w:id="13"/>
      </w:r>
      <w:r w:rsidR="00BC0E08" w:rsidRPr="00391B86">
        <w:rPr>
          <w:rFonts w:ascii="Times New Roman" w:hAnsi="Times New Roman"/>
        </w:rPr>
        <w:t xml:space="preserve"> </w:t>
      </w:r>
      <w:r w:rsidR="00912786" w:rsidRPr="00391B86">
        <w:rPr>
          <w:rFonts w:ascii="Times New Roman" w:hAnsi="Times New Roman"/>
        </w:rPr>
        <w:t xml:space="preserve">and </w:t>
      </w:r>
      <w:r w:rsidR="0029638C" w:rsidRPr="00391B86">
        <w:rPr>
          <w:rFonts w:ascii="Times New Roman" w:hAnsi="Times New Roman"/>
        </w:rPr>
        <w:t xml:space="preserve">defines </w:t>
      </w:r>
      <w:r w:rsidR="00912786" w:rsidRPr="00391B86">
        <w:rPr>
          <w:rFonts w:ascii="Times New Roman" w:hAnsi="Times New Roman"/>
        </w:rPr>
        <w:t>"client" to include "a person to whom or for whom legal services are provided".</w:t>
      </w:r>
      <w:r w:rsidR="00912786" w:rsidRPr="00391B86">
        <w:rPr>
          <w:rStyle w:val="FootnoteReference"/>
          <w:rFonts w:ascii="Times New Roman" w:hAnsi="Times New Roman"/>
          <w:sz w:val="24"/>
        </w:rPr>
        <w:footnoteReference w:id="14"/>
      </w:r>
    </w:p>
    <w:p w14:paraId="1BFD8B66" w14:textId="5152E72A" w:rsidR="00D03F30"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3C3E88" w:rsidRPr="00391B86">
        <w:rPr>
          <w:rFonts w:ascii="Times New Roman" w:hAnsi="Times New Roman"/>
        </w:rPr>
        <w:t xml:space="preserve">Division 4 of Pt </w:t>
      </w:r>
      <w:r w:rsidR="009142B6" w:rsidRPr="00391B86">
        <w:rPr>
          <w:rFonts w:ascii="Times New Roman" w:hAnsi="Times New Roman"/>
        </w:rPr>
        <w:t>4</w:t>
      </w:r>
      <w:r w:rsidR="00A65F40" w:rsidRPr="00391B86">
        <w:rPr>
          <w:rFonts w:ascii="Times New Roman" w:hAnsi="Times New Roman"/>
        </w:rPr>
        <w:t>.</w:t>
      </w:r>
      <w:r w:rsidR="009142B6" w:rsidRPr="00391B86">
        <w:rPr>
          <w:rFonts w:ascii="Times New Roman" w:hAnsi="Times New Roman"/>
        </w:rPr>
        <w:t>3 of e</w:t>
      </w:r>
      <w:r w:rsidR="00D23B4C" w:rsidRPr="00391B86">
        <w:rPr>
          <w:rFonts w:ascii="Times New Roman" w:hAnsi="Times New Roman"/>
        </w:rPr>
        <w:t xml:space="preserve">ach of the </w:t>
      </w:r>
      <w:r w:rsidR="00D23B4C" w:rsidRPr="00391B86">
        <w:rPr>
          <w:rFonts w:ascii="Times New Roman" w:hAnsi="Times New Roman"/>
          <w:i/>
          <w:iCs/>
        </w:rPr>
        <w:t>Legal Profession Uniform Law</w:t>
      </w:r>
      <w:r w:rsidR="00D23B4C" w:rsidRPr="00391B86">
        <w:rPr>
          <w:rFonts w:ascii="Times New Roman" w:hAnsi="Times New Roman"/>
        </w:rPr>
        <w:t xml:space="preserve"> (Vic) and the </w:t>
      </w:r>
      <w:r w:rsidR="00D23B4C" w:rsidRPr="00391B86">
        <w:rPr>
          <w:rFonts w:ascii="Times New Roman" w:hAnsi="Times New Roman"/>
          <w:i/>
          <w:iCs/>
        </w:rPr>
        <w:t>Legal Profession Uniform Law</w:t>
      </w:r>
      <w:r w:rsidR="00D23B4C" w:rsidRPr="00391B86">
        <w:rPr>
          <w:rFonts w:ascii="Times New Roman" w:hAnsi="Times New Roman"/>
        </w:rPr>
        <w:t xml:space="preserve"> (NSW)</w:t>
      </w:r>
      <w:r w:rsidR="00CF496F" w:rsidRPr="00391B86">
        <w:rPr>
          <w:rFonts w:ascii="Times New Roman" w:hAnsi="Times New Roman"/>
        </w:rPr>
        <w:t xml:space="preserve"> regulates</w:t>
      </w:r>
      <w:r w:rsidR="00FB7357" w:rsidRPr="00391B86">
        <w:rPr>
          <w:rFonts w:ascii="Times New Roman" w:hAnsi="Times New Roman"/>
        </w:rPr>
        <w:t xml:space="preserve"> a law practice enter</w:t>
      </w:r>
      <w:r w:rsidR="00CF496F" w:rsidRPr="00391B86">
        <w:rPr>
          <w:rFonts w:ascii="Times New Roman" w:hAnsi="Times New Roman"/>
        </w:rPr>
        <w:t>ing</w:t>
      </w:r>
      <w:r w:rsidR="00FB7357" w:rsidRPr="00391B86">
        <w:rPr>
          <w:rFonts w:ascii="Times New Roman" w:hAnsi="Times New Roman"/>
        </w:rPr>
        <w:t xml:space="preserve"> into </w:t>
      </w:r>
      <w:r w:rsidR="00E205C1" w:rsidRPr="00391B86">
        <w:rPr>
          <w:rFonts w:ascii="Times New Roman" w:hAnsi="Times New Roman"/>
        </w:rPr>
        <w:t>a costs agreement</w:t>
      </w:r>
      <w:r w:rsidR="004E2830" w:rsidRPr="00391B86">
        <w:rPr>
          <w:rFonts w:ascii="Times New Roman" w:hAnsi="Times New Roman"/>
        </w:rPr>
        <w:t xml:space="preserve">, enforceable as a contract, </w:t>
      </w:r>
      <w:r w:rsidR="00A423AA" w:rsidRPr="00391B86">
        <w:rPr>
          <w:rFonts w:ascii="Times New Roman" w:hAnsi="Times New Roman"/>
        </w:rPr>
        <w:t xml:space="preserve">with a client or with a </w:t>
      </w:r>
      <w:r w:rsidR="00C86AC6" w:rsidRPr="00391B86">
        <w:rPr>
          <w:rFonts w:ascii="Times New Roman" w:hAnsi="Times New Roman"/>
        </w:rPr>
        <w:t>person</w:t>
      </w:r>
      <w:r w:rsidR="004E2830" w:rsidRPr="00391B86">
        <w:rPr>
          <w:rFonts w:ascii="Times New Roman" w:hAnsi="Times New Roman"/>
        </w:rPr>
        <w:t xml:space="preserve"> under a legal obligation to pay the legal costs for legal services provided to a client</w:t>
      </w:r>
      <w:r w:rsidR="00A65F40" w:rsidRPr="00391B86">
        <w:rPr>
          <w:rFonts w:ascii="Times New Roman" w:hAnsi="Times New Roman"/>
        </w:rPr>
        <w:t>.</w:t>
      </w:r>
      <w:r w:rsidR="004E2830" w:rsidRPr="00391B86">
        <w:rPr>
          <w:rStyle w:val="FootnoteReference"/>
          <w:rFonts w:ascii="Times New Roman" w:hAnsi="Times New Roman"/>
          <w:sz w:val="24"/>
        </w:rPr>
        <w:footnoteReference w:id="15"/>
      </w:r>
      <w:r w:rsidR="00A65F40" w:rsidRPr="00391B86">
        <w:rPr>
          <w:rFonts w:ascii="Times New Roman" w:hAnsi="Times New Roman"/>
        </w:rPr>
        <w:t xml:space="preserve"> </w:t>
      </w:r>
      <w:r w:rsidR="002438E1" w:rsidRPr="00391B86">
        <w:rPr>
          <w:rFonts w:ascii="Times New Roman" w:hAnsi="Times New Roman"/>
        </w:rPr>
        <w:t>Section</w:t>
      </w:r>
      <w:r w:rsidR="003D0FA4" w:rsidRPr="00391B86">
        <w:rPr>
          <w:rFonts w:ascii="Times New Roman" w:hAnsi="Times New Roman"/>
        </w:rPr>
        <w:t xml:space="preserve"> 183 of each of the </w:t>
      </w:r>
      <w:r w:rsidR="003D0FA4" w:rsidRPr="00391B86">
        <w:rPr>
          <w:rFonts w:ascii="Times New Roman" w:hAnsi="Times New Roman"/>
          <w:i/>
          <w:iCs/>
        </w:rPr>
        <w:t>Legal Profession Uniform Law</w:t>
      </w:r>
      <w:r w:rsidR="003D0FA4" w:rsidRPr="00391B86">
        <w:rPr>
          <w:rFonts w:ascii="Times New Roman" w:hAnsi="Times New Roman"/>
        </w:rPr>
        <w:t xml:space="preserve"> (Vic) and the </w:t>
      </w:r>
      <w:r w:rsidR="003D0FA4" w:rsidRPr="00391B86">
        <w:rPr>
          <w:rFonts w:ascii="Times New Roman" w:hAnsi="Times New Roman"/>
          <w:i/>
          <w:iCs/>
        </w:rPr>
        <w:t>Legal Profession Uniform Law</w:t>
      </w:r>
      <w:r w:rsidR="003D0FA4" w:rsidRPr="00391B86">
        <w:rPr>
          <w:rFonts w:ascii="Times New Roman" w:hAnsi="Times New Roman"/>
        </w:rPr>
        <w:t xml:space="preserve"> (NSW)</w:t>
      </w:r>
      <w:r w:rsidR="002438E1" w:rsidRPr="00391B86">
        <w:rPr>
          <w:rFonts w:ascii="Times New Roman" w:hAnsi="Times New Roman"/>
        </w:rPr>
        <w:t xml:space="preserve"> </w:t>
      </w:r>
      <w:r w:rsidR="003D0FA4" w:rsidRPr="00391B86">
        <w:rPr>
          <w:rFonts w:ascii="Times New Roman" w:hAnsi="Times New Roman"/>
        </w:rPr>
        <w:t>provides:</w:t>
      </w:r>
    </w:p>
    <w:p w14:paraId="602C0AFD" w14:textId="4A63AC3A" w:rsidR="001A2E06" w:rsidRPr="00391B86" w:rsidRDefault="008667AC"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w:t>
      </w:r>
      <w:r w:rsidR="00773DF7" w:rsidRPr="00391B86">
        <w:rPr>
          <w:rFonts w:ascii="Times New Roman" w:hAnsi="Times New Roman"/>
        </w:rPr>
        <w:t>(1)</w:t>
      </w:r>
      <w:r w:rsidR="00773DF7" w:rsidRPr="00391B86">
        <w:rPr>
          <w:rFonts w:ascii="Times New Roman" w:hAnsi="Times New Roman"/>
        </w:rPr>
        <w:tab/>
        <w:t xml:space="preserve">A law practice must not enter into a costs agreement under which the amount payable to the law practice, or any part of that amount, is </w:t>
      </w:r>
      <w:r w:rsidR="00773DF7" w:rsidRPr="00391B86">
        <w:rPr>
          <w:rFonts w:ascii="Times New Roman" w:hAnsi="Times New Roman"/>
        </w:rPr>
        <w:lastRenderedPageBreak/>
        <w:t xml:space="preserve">calculated by reference to the amount of any </w:t>
      </w:r>
      <w:r w:rsidR="004E56EB" w:rsidRPr="00391B86">
        <w:rPr>
          <w:rFonts w:ascii="Times New Roman" w:hAnsi="Times New Roman"/>
        </w:rPr>
        <w:t>award or settlement or the value of any property that may be recovered in any proceedings to which the agreement relates.</w:t>
      </w:r>
    </w:p>
    <w:p w14:paraId="2EC62746" w14:textId="3D646CB7" w:rsidR="004E56EB" w:rsidRPr="00391B86" w:rsidRDefault="004E56EB"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ab/>
        <w:t>Civil penalty:</w:t>
      </w:r>
      <w:r w:rsidRPr="00391B86">
        <w:rPr>
          <w:rFonts w:ascii="Times New Roman" w:hAnsi="Times New Roman"/>
        </w:rPr>
        <w:tab/>
        <w:t>100 penalty units.</w:t>
      </w:r>
    </w:p>
    <w:p w14:paraId="2DF29C98" w14:textId="1ADD19AF" w:rsidR="00773DF7" w:rsidRPr="00391B86" w:rsidRDefault="00773DF7" w:rsidP="00391B86">
      <w:pPr>
        <w:pStyle w:val="leftright"/>
        <w:spacing w:before="0" w:after="260" w:line="280" w:lineRule="exact"/>
        <w:ind w:right="0"/>
        <w:jc w:val="both"/>
        <w:rPr>
          <w:rFonts w:ascii="Times New Roman" w:hAnsi="Times New Roman"/>
        </w:rPr>
      </w:pPr>
      <w:r w:rsidRPr="00391B86">
        <w:rPr>
          <w:rFonts w:ascii="Times New Roman" w:hAnsi="Times New Roman"/>
        </w:rPr>
        <w:t>...</w:t>
      </w:r>
    </w:p>
    <w:p w14:paraId="5A0578CB" w14:textId="77777777" w:rsidR="00391B86" w:rsidRDefault="00773DF7" w:rsidP="00391B86">
      <w:pPr>
        <w:pStyle w:val="leftright"/>
        <w:spacing w:before="0" w:after="260" w:line="280" w:lineRule="exact"/>
        <w:ind w:left="1440" w:right="0" w:hanging="720"/>
        <w:jc w:val="both"/>
        <w:rPr>
          <w:rFonts w:ascii="Times New Roman" w:hAnsi="Times New Roman"/>
        </w:rPr>
      </w:pPr>
      <w:r w:rsidRPr="00391B86">
        <w:rPr>
          <w:rFonts w:ascii="Times New Roman" w:hAnsi="Times New Roman"/>
        </w:rPr>
        <w:t>(3)</w:t>
      </w:r>
      <w:r w:rsidR="004E56EB" w:rsidRPr="00391B86">
        <w:rPr>
          <w:rFonts w:ascii="Times New Roman" w:hAnsi="Times New Roman"/>
        </w:rPr>
        <w:tab/>
      </w:r>
      <w:r w:rsidR="00595F7B" w:rsidRPr="00391B86">
        <w:rPr>
          <w:rFonts w:ascii="Times New Roman" w:hAnsi="Times New Roman"/>
        </w:rPr>
        <w:t xml:space="preserve">A contravention of subsection (1) by a law practice is capable of constituting </w:t>
      </w:r>
      <w:r w:rsidR="007A0AA5" w:rsidRPr="00391B86">
        <w:rPr>
          <w:rFonts w:ascii="Times New Roman" w:hAnsi="Times New Roman"/>
        </w:rPr>
        <w:t xml:space="preserve">unsatisfactory professional conduct or professional misconduct </w:t>
      </w:r>
      <w:r w:rsidR="00212577" w:rsidRPr="00391B86">
        <w:rPr>
          <w:rFonts w:ascii="Times New Roman" w:hAnsi="Times New Roman"/>
        </w:rPr>
        <w:t>on the part of any principal of the law practice or any legal practitioner associate or foreign lawyer associate involved in the contravention.</w:t>
      </w:r>
      <w:r w:rsidR="008667AC" w:rsidRPr="00391B86">
        <w:rPr>
          <w:rFonts w:ascii="Times New Roman" w:hAnsi="Times New Roman"/>
        </w:rPr>
        <w:t>"</w:t>
      </w:r>
    </w:p>
    <w:p w14:paraId="0E8DD70F" w14:textId="012DEDB9" w:rsidR="00995CDB" w:rsidRPr="00391B86" w:rsidRDefault="00842E99" w:rsidP="00391B86">
      <w:pPr>
        <w:pStyle w:val="HeadingL1"/>
        <w:spacing w:after="260" w:line="280" w:lineRule="exact"/>
        <w:ind w:right="0"/>
        <w:jc w:val="both"/>
        <w:rPr>
          <w:rFonts w:ascii="Times New Roman" w:hAnsi="Times New Roman"/>
        </w:rPr>
      </w:pPr>
      <w:r w:rsidRPr="00391B86">
        <w:rPr>
          <w:rFonts w:ascii="Times New Roman" w:hAnsi="Times New Roman"/>
        </w:rPr>
        <w:t xml:space="preserve">The </w:t>
      </w:r>
      <w:r w:rsidR="001B1392" w:rsidRPr="00391B86">
        <w:rPr>
          <w:rFonts w:ascii="Times New Roman" w:hAnsi="Times New Roman"/>
        </w:rPr>
        <w:t>Arrium class action</w:t>
      </w:r>
    </w:p>
    <w:p w14:paraId="762CC021" w14:textId="4A4681EB" w:rsidR="00DA2033" w:rsidRPr="00391B86" w:rsidRDefault="00440A9B" w:rsidP="00391B86">
      <w:pPr>
        <w:pStyle w:val="FixListStyle"/>
        <w:spacing w:after="260" w:line="280" w:lineRule="exact"/>
        <w:ind w:right="0"/>
        <w:jc w:val="both"/>
        <w:rPr>
          <w:rFonts w:ascii="Times New Roman" w:hAnsi="Times New Roman"/>
        </w:rPr>
      </w:pPr>
      <w:r w:rsidRPr="00391B86">
        <w:rPr>
          <w:rFonts w:ascii="Times New Roman" w:hAnsi="Times New Roman"/>
        </w:rPr>
        <w:tab/>
        <w:t xml:space="preserve">The </w:t>
      </w:r>
      <w:r w:rsidR="006C353C" w:rsidRPr="00391B86">
        <w:rPr>
          <w:rFonts w:ascii="Times New Roman" w:hAnsi="Times New Roman"/>
        </w:rPr>
        <w:t>Arrium class action</w:t>
      </w:r>
      <w:r w:rsidR="006C0E09" w:rsidRPr="00391B86">
        <w:rPr>
          <w:rFonts w:ascii="Times New Roman" w:hAnsi="Times New Roman"/>
        </w:rPr>
        <w:t xml:space="preserve"> </w:t>
      </w:r>
      <w:r w:rsidRPr="00391B86">
        <w:rPr>
          <w:rFonts w:ascii="Times New Roman" w:hAnsi="Times New Roman"/>
        </w:rPr>
        <w:t>is a group proceeding</w:t>
      </w:r>
      <w:r w:rsidR="0014299E" w:rsidRPr="00391B86">
        <w:rPr>
          <w:rFonts w:ascii="Times New Roman" w:hAnsi="Times New Roman"/>
        </w:rPr>
        <w:t xml:space="preserve"> </w:t>
      </w:r>
      <w:r w:rsidR="008437CD" w:rsidRPr="00391B86">
        <w:rPr>
          <w:rFonts w:ascii="Times New Roman" w:hAnsi="Times New Roman"/>
        </w:rPr>
        <w:t xml:space="preserve">which was </w:t>
      </w:r>
      <w:r w:rsidR="00120F95" w:rsidRPr="00391B86">
        <w:rPr>
          <w:rFonts w:ascii="Times New Roman" w:hAnsi="Times New Roman"/>
        </w:rPr>
        <w:t xml:space="preserve">commenced </w:t>
      </w:r>
      <w:r w:rsidR="00A84445" w:rsidRPr="00391B86">
        <w:rPr>
          <w:rFonts w:ascii="Times New Roman" w:hAnsi="Times New Roman"/>
        </w:rPr>
        <w:t xml:space="preserve">in the Supreme Court of Victoria on </w:t>
      </w:r>
      <w:r w:rsidR="008F7089" w:rsidRPr="00391B86">
        <w:rPr>
          <w:rFonts w:ascii="Times New Roman" w:hAnsi="Times New Roman"/>
        </w:rPr>
        <w:t>14</w:t>
      </w:r>
      <w:r w:rsidR="0002077A" w:rsidRPr="00391B86">
        <w:rPr>
          <w:rFonts w:ascii="Times New Roman" w:hAnsi="Times New Roman"/>
        </w:rPr>
        <w:t> </w:t>
      </w:r>
      <w:r w:rsidR="00B843A0" w:rsidRPr="00391B86">
        <w:rPr>
          <w:rFonts w:ascii="Times New Roman" w:hAnsi="Times New Roman"/>
        </w:rPr>
        <w:t>August 2020</w:t>
      </w:r>
      <w:r w:rsidR="00EC45E4" w:rsidRPr="00391B86">
        <w:rPr>
          <w:rFonts w:ascii="Times New Roman" w:hAnsi="Times New Roman"/>
        </w:rPr>
        <w:t>. T</w:t>
      </w:r>
      <w:r w:rsidR="002414AD" w:rsidRPr="00391B86">
        <w:rPr>
          <w:rFonts w:ascii="Times New Roman" w:hAnsi="Times New Roman"/>
        </w:rPr>
        <w:t>he</w:t>
      </w:r>
      <w:r w:rsidR="00EA0E93" w:rsidRPr="00391B86">
        <w:rPr>
          <w:rFonts w:ascii="Times New Roman" w:hAnsi="Times New Roman"/>
        </w:rPr>
        <w:t xml:space="preserve"> plaintiffs in the Arrium class action </w:t>
      </w:r>
      <w:r w:rsidR="00B70A25" w:rsidRPr="00391B86">
        <w:rPr>
          <w:rFonts w:ascii="Times New Roman" w:hAnsi="Times New Roman"/>
        </w:rPr>
        <w:t>are</w:t>
      </w:r>
      <w:r w:rsidR="002414AD" w:rsidRPr="00391B86">
        <w:rPr>
          <w:rFonts w:ascii="Times New Roman" w:hAnsi="Times New Roman"/>
        </w:rPr>
        <w:t xml:space="preserve"> Mr Bogan and Mr Walton</w:t>
      </w:r>
      <w:r w:rsidR="00D326B2" w:rsidRPr="00391B86">
        <w:rPr>
          <w:rFonts w:ascii="Times New Roman" w:hAnsi="Times New Roman"/>
        </w:rPr>
        <w:t>,</w:t>
      </w:r>
      <w:r w:rsidR="00C97190" w:rsidRPr="00391B86">
        <w:rPr>
          <w:rFonts w:ascii="Times New Roman" w:hAnsi="Times New Roman"/>
        </w:rPr>
        <w:t xml:space="preserve"> </w:t>
      </w:r>
      <w:r w:rsidR="00F637F8" w:rsidRPr="00391B86">
        <w:rPr>
          <w:rFonts w:ascii="Times New Roman" w:hAnsi="Times New Roman"/>
        </w:rPr>
        <w:t xml:space="preserve">both of whom </w:t>
      </w:r>
      <w:r w:rsidR="00C97190" w:rsidRPr="00391B86">
        <w:rPr>
          <w:rFonts w:ascii="Times New Roman" w:hAnsi="Times New Roman"/>
        </w:rPr>
        <w:t>reside in New South Wales</w:t>
      </w:r>
      <w:r w:rsidR="00B70A25" w:rsidRPr="00391B86">
        <w:rPr>
          <w:rFonts w:ascii="Times New Roman" w:hAnsi="Times New Roman"/>
        </w:rPr>
        <w:t>.</w:t>
      </w:r>
      <w:r w:rsidR="002414AD" w:rsidRPr="00391B86">
        <w:rPr>
          <w:rFonts w:ascii="Times New Roman" w:hAnsi="Times New Roman"/>
        </w:rPr>
        <w:t xml:space="preserve"> </w:t>
      </w:r>
      <w:r w:rsidR="00B70A25" w:rsidRPr="00391B86">
        <w:rPr>
          <w:rFonts w:ascii="Times New Roman" w:hAnsi="Times New Roman"/>
        </w:rPr>
        <w:t xml:space="preserve">They </w:t>
      </w:r>
      <w:r w:rsidR="00CE2477" w:rsidRPr="00391B86">
        <w:rPr>
          <w:rFonts w:ascii="Times New Roman" w:hAnsi="Times New Roman"/>
        </w:rPr>
        <w:t xml:space="preserve">bring the proceeding </w:t>
      </w:r>
      <w:r w:rsidR="00A86AF7" w:rsidRPr="00391B86">
        <w:rPr>
          <w:rFonts w:ascii="Times New Roman" w:hAnsi="Times New Roman"/>
        </w:rPr>
        <w:t xml:space="preserve">on their own behalf and on behalf of </w:t>
      </w:r>
      <w:r w:rsidR="00A867E9" w:rsidRPr="00391B86">
        <w:rPr>
          <w:rFonts w:ascii="Times New Roman" w:hAnsi="Times New Roman"/>
        </w:rPr>
        <w:t xml:space="preserve">members of </w:t>
      </w:r>
      <w:r w:rsidR="0039119E" w:rsidRPr="00391B86">
        <w:rPr>
          <w:rFonts w:ascii="Times New Roman" w:hAnsi="Times New Roman"/>
        </w:rPr>
        <w:t xml:space="preserve">a </w:t>
      </w:r>
      <w:r w:rsidR="0089047A" w:rsidRPr="00391B86">
        <w:rPr>
          <w:rFonts w:ascii="Times New Roman" w:hAnsi="Times New Roman"/>
        </w:rPr>
        <w:t xml:space="preserve">group </w:t>
      </w:r>
      <w:r w:rsidR="00A867E9" w:rsidRPr="00391B86">
        <w:rPr>
          <w:rFonts w:ascii="Times New Roman" w:hAnsi="Times New Roman"/>
        </w:rPr>
        <w:t>defined as</w:t>
      </w:r>
      <w:r w:rsidR="00A86AF7" w:rsidRPr="00391B86">
        <w:rPr>
          <w:rFonts w:ascii="Times New Roman" w:hAnsi="Times New Roman"/>
        </w:rPr>
        <w:t xml:space="preserve"> persons</w:t>
      </w:r>
      <w:r w:rsidR="00C23E1B" w:rsidRPr="00391B86">
        <w:rPr>
          <w:rFonts w:ascii="Times New Roman" w:hAnsi="Times New Roman"/>
        </w:rPr>
        <w:t xml:space="preserve"> who </w:t>
      </w:r>
      <w:r w:rsidR="0039119E" w:rsidRPr="00391B86">
        <w:rPr>
          <w:rFonts w:ascii="Times New Roman" w:hAnsi="Times New Roman"/>
        </w:rPr>
        <w:t>or</w:t>
      </w:r>
      <w:r w:rsidR="00C23E1B" w:rsidRPr="00391B86">
        <w:rPr>
          <w:rFonts w:ascii="Times New Roman" w:hAnsi="Times New Roman"/>
        </w:rPr>
        <w:t xml:space="preserve"> which acquired an interest in fully paid ordinary shares in Arrium Ltd </w:t>
      </w:r>
      <w:r w:rsidR="006D3697" w:rsidRPr="00391B86">
        <w:rPr>
          <w:rFonts w:ascii="Times New Roman" w:hAnsi="Times New Roman"/>
        </w:rPr>
        <w:t>(</w:t>
      </w:r>
      <w:r w:rsidR="00E82E6A" w:rsidRPr="00391B86">
        <w:rPr>
          <w:rFonts w:ascii="Times New Roman" w:hAnsi="Times New Roman"/>
        </w:rPr>
        <w:t>"</w:t>
      </w:r>
      <w:r w:rsidR="006D3697" w:rsidRPr="00391B86">
        <w:rPr>
          <w:rFonts w:ascii="Times New Roman" w:hAnsi="Times New Roman"/>
        </w:rPr>
        <w:t>Arrium</w:t>
      </w:r>
      <w:r w:rsidR="00E82E6A" w:rsidRPr="00391B86">
        <w:rPr>
          <w:rFonts w:ascii="Times New Roman" w:hAnsi="Times New Roman"/>
        </w:rPr>
        <w:t>"</w:t>
      </w:r>
      <w:r w:rsidR="006D3697" w:rsidRPr="00391B86">
        <w:rPr>
          <w:rFonts w:ascii="Times New Roman" w:hAnsi="Times New Roman"/>
        </w:rPr>
        <w:t xml:space="preserve">) </w:t>
      </w:r>
      <w:r w:rsidR="00FF4975" w:rsidRPr="00391B86">
        <w:rPr>
          <w:rFonts w:ascii="Times New Roman" w:hAnsi="Times New Roman"/>
        </w:rPr>
        <w:t>during the period from 19</w:t>
      </w:r>
      <w:r w:rsidR="009D3C14" w:rsidRPr="00391B86">
        <w:rPr>
          <w:rFonts w:ascii="Times New Roman" w:hAnsi="Times New Roman"/>
        </w:rPr>
        <w:t> </w:t>
      </w:r>
      <w:r w:rsidR="00FF4975" w:rsidRPr="00391B86">
        <w:rPr>
          <w:rFonts w:ascii="Times New Roman" w:hAnsi="Times New Roman"/>
        </w:rPr>
        <w:t xml:space="preserve">August 2014 to </w:t>
      </w:r>
      <w:r w:rsidR="004A3205" w:rsidRPr="00391B86">
        <w:rPr>
          <w:rFonts w:ascii="Times New Roman" w:hAnsi="Times New Roman"/>
        </w:rPr>
        <w:t>4</w:t>
      </w:r>
      <w:r w:rsidR="009D3C14" w:rsidRPr="00391B86">
        <w:rPr>
          <w:rFonts w:ascii="Times New Roman" w:hAnsi="Times New Roman"/>
        </w:rPr>
        <w:t> </w:t>
      </w:r>
      <w:r w:rsidR="00FF4975" w:rsidRPr="00391B86">
        <w:rPr>
          <w:rFonts w:ascii="Times New Roman" w:hAnsi="Times New Roman"/>
        </w:rPr>
        <w:t>April 2016</w:t>
      </w:r>
      <w:r w:rsidR="00607371" w:rsidRPr="00391B86">
        <w:rPr>
          <w:rFonts w:ascii="Times New Roman" w:hAnsi="Times New Roman"/>
        </w:rPr>
        <w:t xml:space="preserve"> </w:t>
      </w:r>
      <w:r w:rsidR="006C0E09" w:rsidRPr="00391B86">
        <w:rPr>
          <w:rFonts w:ascii="Times New Roman" w:hAnsi="Times New Roman"/>
        </w:rPr>
        <w:t>(</w:t>
      </w:r>
      <w:r w:rsidR="00E82E6A" w:rsidRPr="00391B86">
        <w:rPr>
          <w:rFonts w:ascii="Times New Roman" w:hAnsi="Times New Roman"/>
        </w:rPr>
        <w:t>"</w:t>
      </w:r>
      <w:r w:rsidR="006C0E09" w:rsidRPr="00391B86">
        <w:rPr>
          <w:rFonts w:ascii="Times New Roman" w:hAnsi="Times New Roman"/>
        </w:rPr>
        <w:t>the relevant period</w:t>
      </w:r>
      <w:r w:rsidR="00E82E6A" w:rsidRPr="00391B86">
        <w:rPr>
          <w:rFonts w:ascii="Times New Roman" w:hAnsi="Times New Roman"/>
        </w:rPr>
        <w:t>"</w:t>
      </w:r>
      <w:r w:rsidR="006C0E09" w:rsidRPr="00391B86">
        <w:rPr>
          <w:rFonts w:ascii="Times New Roman" w:hAnsi="Times New Roman"/>
        </w:rPr>
        <w:t xml:space="preserve">) </w:t>
      </w:r>
      <w:r w:rsidR="00607371" w:rsidRPr="00391B86">
        <w:rPr>
          <w:rFonts w:ascii="Times New Roman" w:hAnsi="Times New Roman"/>
        </w:rPr>
        <w:t>and</w:t>
      </w:r>
      <w:r w:rsidR="002D72C0" w:rsidRPr="00391B86">
        <w:rPr>
          <w:rFonts w:ascii="Times New Roman" w:hAnsi="Times New Roman"/>
        </w:rPr>
        <w:t xml:space="preserve"> who</w:t>
      </w:r>
      <w:r w:rsidR="00607371" w:rsidRPr="00391B86">
        <w:rPr>
          <w:rFonts w:ascii="Times New Roman" w:hAnsi="Times New Roman"/>
        </w:rPr>
        <w:t xml:space="preserve"> </w:t>
      </w:r>
      <w:r w:rsidR="008219CA" w:rsidRPr="00391B86">
        <w:rPr>
          <w:rFonts w:ascii="Times New Roman" w:hAnsi="Times New Roman"/>
        </w:rPr>
        <w:t xml:space="preserve">or which </w:t>
      </w:r>
      <w:r w:rsidR="00607371" w:rsidRPr="00391B86">
        <w:rPr>
          <w:rFonts w:ascii="Times New Roman" w:hAnsi="Times New Roman"/>
        </w:rPr>
        <w:t xml:space="preserve">have suffered loss or damage by reason </w:t>
      </w:r>
      <w:r w:rsidR="00C419F3" w:rsidRPr="00391B86">
        <w:rPr>
          <w:rFonts w:ascii="Times New Roman" w:hAnsi="Times New Roman"/>
        </w:rPr>
        <w:t>of</w:t>
      </w:r>
      <w:r w:rsidR="00607371" w:rsidRPr="00391B86">
        <w:rPr>
          <w:rFonts w:ascii="Times New Roman" w:hAnsi="Times New Roman"/>
        </w:rPr>
        <w:t xml:space="preserve"> the </w:t>
      </w:r>
      <w:r w:rsidR="00C419F3" w:rsidRPr="00391B86">
        <w:rPr>
          <w:rFonts w:ascii="Times New Roman" w:hAnsi="Times New Roman"/>
        </w:rPr>
        <w:t xml:space="preserve">alleged </w:t>
      </w:r>
      <w:r w:rsidR="00607371" w:rsidRPr="00391B86">
        <w:rPr>
          <w:rFonts w:ascii="Times New Roman" w:hAnsi="Times New Roman"/>
        </w:rPr>
        <w:t>conduct of the</w:t>
      </w:r>
      <w:r w:rsidR="00C419F3" w:rsidRPr="00391B86">
        <w:rPr>
          <w:rFonts w:ascii="Times New Roman" w:hAnsi="Times New Roman"/>
        </w:rPr>
        <w:t xml:space="preserve"> defendants</w:t>
      </w:r>
      <w:r w:rsidR="00745141" w:rsidRPr="00391B86">
        <w:rPr>
          <w:rFonts w:ascii="Times New Roman" w:hAnsi="Times New Roman"/>
        </w:rPr>
        <w:t xml:space="preserve"> </w:t>
      </w:r>
      <w:r w:rsidR="005F2D94" w:rsidRPr="00391B86">
        <w:rPr>
          <w:rFonts w:ascii="Times New Roman" w:hAnsi="Times New Roman"/>
        </w:rPr>
        <w:t>irrespective of where those persons were or are resident</w:t>
      </w:r>
      <w:r w:rsidR="009A2F50" w:rsidRPr="00391B86">
        <w:rPr>
          <w:rFonts w:ascii="Times New Roman" w:hAnsi="Times New Roman"/>
        </w:rPr>
        <w:t xml:space="preserve"> </w:t>
      </w:r>
      <w:r w:rsidR="00745141" w:rsidRPr="00391B86">
        <w:rPr>
          <w:rFonts w:ascii="Times New Roman" w:hAnsi="Times New Roman"/>
        </w:rPr>
        <w:t>("the represented class")</w:t>
      </w:r>
      <w:r w:rsidR="00C419F3" w:rsidRPr="00391B86">
        <w:rPr>
          <w:rFonts w:ascii="Times New Roman" w:hAnsi="Times New Roman"/>
        </w:rPr>
        <w:t>.</w:t>
      </w:r>
      <w:r w:rsidR="00A844AB" w:rsidRPr="00391B86">
        <w:rPr>
          <w:rFonts w:ascii="Times New Roman" w:hAnsi="Times New Roman"/>
        </w:rPr>
        <w:t xml:space="preserve"> </w:t>
      </w:r>
      <w:r w:rsidR="00BA1D8F" w:rsidRPr="00391B86">
        <w:rPr>
          <w:rFonts w:ascii="Times New Roman" w:hAnsi="Times New Roman"/>
        </w:rPr>
        <w:t>Members of the represented class are located throughout Australia and overseas.</w:t>
      </w:r>
    </w:p>
    <w:p w14:paraId="65BA66C5" w14:textId="62444670" w:rsidR="00440A9B" w:rsidRPr="00391B86" w:rsidRDefault="00DA2033"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ED481E" w:rsidRPr="00391B86">
        <w:rPr>
          <w:rFonts w:ascii="Times New Roman" w:hAnsi="Times New Roman"/>
        </w:rPr>
        <w:t>Arrium</w:t>
      </w:r>
      <w:r w:rsidR="00FA1728" w:rsidRPr="00391B86">
        <w:rPr>
          <w:rFonts w:ascii="Times New Roman" w:hAnsi="Times New Roman"/>
        </w:rPr>
        <w:t>,</w:t>
      </w:r>
      <w:r w:rsidR="009D7C96" w:rsidRPr="00391B86">
        <w:rPr>
          <w:rFonts w:ascii="Times New Roman" w:hAnsi="Times New Roman"/>
        </w:rPr>
        <w:t xml:space="preserve"> an ASX-listed company </w:t>
      </w:r>
      <w:r w:rsidR="00606354" w:rsidRPr="00391B86">
        <w:rPr>
          <w:rFonts w:ascii="Times New Roman" w:hAnsi="Times New Roman"/>
        </w:rPr>
        <w:t xml:space="preserve">which </w:t>
      </w:r>
      <w:r w:rsidR="009D7C96" w:rsidRPr="00391B86">
        <w:rPr>
          <w:rFonts w:ascii="Times New Roman" w:hAnsi="Times New Roman"/>
        </w:rPr>
        <w:t>ha</w:t>
      </w:r>
      <w:r w:rsidR="006B5F5C" w:rsidRPr="00391B86">
        <w:rPr>
          <w:rFonts w:ascii="Times New Roman" w:hAnsi="Times New Roman"/>
        </w:rPr>
        <w:t>d</w:t>
      </w:r>
      <w:r w:rsidR="009D7C96" w:rsidRPr="00391B86">
        <w:rPr>
          <w:rFonts w:ascii="Times New Roman" w:hAnsi="Times New Roman"/>
        </w:rPr>
        <w:t xml:space="preserve"> its principal place of business in </w:t>
      </w:r>
      <w:r w:rsidR="003F75E5" w:rsidRPr="00391B86">
        <w:rPr>
          <w:rFonts w:ascii="Times New Roman" w:hAnsi="Times New Roman"/>
        </w:rPr>
        <w:t>Sydney</w:t>
      </w:r>
      <w:r w:rsidR="00E03BD0" w:rsidRPr="00391B86">
        <w:rPr>
          <w:rFonts w:ascii="Times New Roman" w:hAnsi="Times New Roman"/>
        </w:rPr>
        <w:t xml:space="preserve"> during the relevant period</w:t>
      </w:r>
      <w:r w:rsidR="005A1DA8" w:rsidRPr="00391B86">
        <w:rPr>
          <w:rFonts w:ascii="Times New Roman" w:hAnsi="Times New Roman"/>
        </w:rPr>
        <w:t xml:space="preserve">, </w:t>
      </w:r>
      <w:r w:rsidR="001F2EA3" w:rsidRPr="00391B86">
        <w:rPr>
          <w:rFonts w:ascii="Times New Roman" w:hAnsi="Times New Roman"/>
        </w:rPr>
        <w:t>is now in liquidation</w:t>
      </w:r>
      <w:r w:rsidR="009D7C96" w:rsidRPr="00391B86">
        <w:rPr>
          <w:rFonts w:ascii="Times New Roman" w:hAnsi="Times New Roman"/>
        </w:rPr>
        <w:t>.</w:t>
      </w:r>
      <w:r w:rsidR="00A92C3A" w:rsidRPr="00391B86">
        <w:rPr>
          <w:rFonts w:ascii="Times New Roman" w:hAnsi="Times New Roman"/>
        </w:rPr>
        <w:t xml:space="preserve"> </w:t>
      </w:r>
      <w:r w:rsidR="004D2182" w:rsidRPr="00391B86">
        <w:rPr>
          <w:rFonts w:ascii="Times New Roman" w:hAnsi="Times New Roman"/>
        </w:rPr>
        <w:t xml:space="preserve">The liquidators and their legal representatives are based in Melbourne and </w:t>
      </w:r>
      <w:r w:rsidR="003F75E5" w:rsidRPr="00391B86">
        <w:rPr>
          <w:rFonts w:ascii="Times New Roman" w:hAnsi="Times New Roman"/>
        </w:rPr>
        <w:t xml:space="preserve">in </w:t>
      </w:r>
      <w:r w:rsidR="004D2182" w:rsidRPr="00391B86">
        <w:rPr>
          <w:rFonts w:ascii="Times New Roman" w:hAnsi="Times New Roman"/>
        </w:rPr>
        <w:t>Sydney</w:t>
      </w:r>
      <w:r w:rsidR="003F75E5" w:rsidRPr="00391B86">
        <w:rPr>
          <w:rFonts w:ascii="Times New Roman" w:hAnsi="Times New Roman"/>
        </w:rPr>
        <w:t>. E</w:t>
      </w:r>
      <w:r w:rsidR="002E3CB6" w:rsidRPr="00391B86">
        <w:rPr>
          <w:rFonts w:ascii="Times New Roman" w:hAnsi="Times New Roman"/>
        </w:rPr>
        <w:t>lectronic copies of Arrium's books and records are managed by the liquidator's forensic technology team based in Sydney.</w:t>
      </w:r>
      <w:r w:rsidR="00071271" w:rsidRPr="00391B86">
        <w:rPr>
          <w:rFonts w:ascii="Times New Roman" w:hAnsi="Times New Roman"/>
        </w:rPr>
        <w:t xml:space="preserve"> </w:t>
      </w:r>
    </w:p>
    <w:p w14:paraId="2F133206" w14:textId="13BD760A" w:rsidR="000E559A"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2449F4" w:rsidRPr="00391B86">
        <w:rPr>
          <w:rFonts w:ascii="Times New Roman" w:hAnsi="Times New Roman"/>
        </w:rPr>
        <w:t>The</w:t>
      </w:r>
      <w:r w:rsidR="00F44824" w:rsidRPr="00391B86">
        <w:rPr>
          <w:rFonts w:ascii="Times New Roman" w:hAnsi="Times New Roman"/>
        </w:rPr>
        <w:t>re are five</w:t>
      </w:r>
      <w:r w:rsidR="00723453" w:rsidRPr="00391B86">
        <w:rPr>
          <w:rFonts w:ascii="Times New Roman" w:hAnsi="Times New Roman"/>
        </w:rPr>
        <w:t xml:space="preserve"> </w:t>
      </w:r>
      <w:r w:rsidR="00D326B2" w:rsidRPr="00391B86">
        <w:rPr>
          <w:rFonts w:ascii="Times New Roman" w:hAnsi="Times New Roman"/>
        </w:rPr>
        <w:t>defendants</w:t>
      </w:r>
      <w:r w:rsidR="00F274AC" w:rsidRPr="00391B86">
        <w:rPr>
          <w:rFonts w:ascii="Times New Roman" w:hAnsi="Times New Roman"/>
        </w:rPr>
        <w:t xml:space="preserve"> </w:t>
      </w:r>
      <w:r w:rsidR="00BF1BDE" w:rsidRPr="00391B86">
        <w:rPr>
          <w:rFonts w:ascii="Times New Roman" w:hAnsi="Times New Roman"/>
        </w:rPr>
        <w:t>to</w:t>
      </w:r>
      <w:r w:rsidR="006C0E09" w:rsidRPr="00391B86">
        <w:rPr>
          <w:rFonts w:ascii="Times New Roman" w:hAnsi="Times New Roman"/>
        </w:rPr>
        <w:t xml:space="preserve"> the </w:t>
      </w:r>
      <w:r w:rsidR="006C353C" w:rsidRPr="00391B86">
        <w:rPr>
          <w:rFonts w:ascii="Times New Roman" w:hAnsi="Times New Roman"/>
        </w:rPr>
        <w:t>Arrium class action</w:t>
      </w:r>
      <w:r w:rsidR="003C4296" w:rsidRPr="00391B86">
        <w:rPr>
          <w:rFonts w:ascii="Times New Roman" w:hAnsi="Times New Roman"/>
        </w:rPr>
        <w:t xml:space="preserve">. The first </w:t>
      </w:r>
      <w:r w:rsidR="00D47E29" w:rsidRPr="00391B86">
        <w:rPr>
          <w:rFonts w:ascii="Times New Roman" w:hAnsi="Times New Roman"/>
        </w:rPr>
        <w:t>to</w:t>
      </w:r>
      <w:r w:rsidR="003C4296" w:rsidRPr="00391B86">
        <w:rPr>
          <w:rFonts w:ascii="Times New Roman" w:hAnsi="Times New Roman"/>
        </w:rPr>
        <w:t xml:space="preserve"> four</w:t>
      </w:r>
      <w:r w:rsidR="00D47E29" w:rsidRPr="00391B86">
        <w:rPr>
          <w:rFonts w:ascii="Times New Roman" w:hAnsi="Times New Roman"/>
        </w:rPr>
        <w:t>th</w:t>
      </w:r>
      <w:r w:rsidR="004A3AC5" w:rsidRPr="00391B86">
        <w:rPr>
          <w:rFonts w:ascii="Times New Roman" w:hAnsi="Times New Roman"/>
        </w:rPr>
        <w:t xml:space="preserve"> </w:t>
      </w:r>
      <w:r w:rsidR="009E5DBF" w:rsidRPr="00391B86">
        <w:rPr>
          <w:rFonts w:ascii="Times New Roman" w:hAnsi="Times New Roman"/>
        </w:rPr>
        <w:t>defendants</w:t>
      </w:r>
      <w:r w:rsidR="00590CAA" w:rsidRPr="00391B86">
        <w:rPr>
          <w:rFonts w:ascii="Times New Roman" w:hAnsi="Times New Roman"/>
        </w:rPr>
        <w:t xml:space="preserve"> </w:t>
      </w:r>
      <w:r w:rsidR="00A71AB3" w:rsidRPr="00391B86">
        <w:rPr>
          <w:rFonts w:ascii="Times New Roman" w:hAnsi="Times New Roman"/>
        </w:rPr>
        <w:t xml:space="preserve">("the director </w:t>
      </w:r>
      <w:r w:rsidR="009E5DBF" w:rsidRPr="00391B86">
        <w:rPr>
          <w:rFonts w:ascii="Times New Roman" w:hAnsi="Times New Roman"/>
        </w:rPr>
        <w:t>defendants</w:t>
      </w:r>
      <w:r w:rsidR="00A71AB3" w:rsidRPr="00391B86">
        <w:rPr>
          <w:rFonts w:ascii="Times New Roman" w:hAnsi="Times New Roman"/>
        </w:rPr>
        <w:t xml:space="preserve">") </w:t>
      </w:r>
      <w:r w:rsidR="006D3697" w:rsidRPr="00391B86">
        <w:rPr>
          <w:rFonts w:ascii="Times New Roman" w:hAnsi="Times New Roman"/>
        </w:rPr>
        <w:t xml:space="preserve">were directors of Arrium </w:t>
      </w:r>
      <w:r w:rsidR="00723453" w:rsidRPr="00391B86">
        <w:rPr>
          <w:rFonts w:ascii="Times New Roman" w:hAnsi="Times New Roman"/>
        </w:rPr>
        <w:t>during the relevant perio</w:t>
      </w:r>
      <w:r w:rsidR="00B15470" w:rsidRPr="00391B86">
        <w:rPr>
          <w:rFonts w:ascii="Times New Roman" w:hAnsi="Times New Roman"/>
        </w:rPr>
        <w:t xml:space="preserve">d. </w:t>
      </w:r>
      <w:r w:rsidR="002052E0" w:rsidRPr="00391B86">
        <w:rPr>
          <w:rFonts w:ascii="Times New Roman" w:hAnsi="Times New Roman"/>
        </w:rPr>
        <w:t>The fifth</w:t>
      </w:r>
      <w:r w:rsidR="00590CAA" w:rsidRPr="00391B86">
        <w:rPr>
          <w:rFonts w:ascii="Times New Roman" w:hAnsi="Times New Roman"/>
        </w:rPr>
        <w:t xml:space="preserve"> </w:t>
      </w:r>
      <w:r w:rsidR="009E5DBF" w:rsidRPr="00391B86">
        <w:rPr>
          <w:rFonts w:ascii="Times New Roman" w:hAnsi="Times New Roman"/>
        </w:rPr>
        <w:t>defendant</w:t>
      </w:r>
      <w:r w:rsidR="002052E0" w:rsidRPr="00391B86">
        <w:rPr>
          <w:rFonts w:ascii="Times New Roman" w:hAnsi="Times New Roman"/>
        </w:rPr>
        <w:t xml:space="preserve">, KPMG, was </w:t>
      </w:r>
      <w:r w:rsidR="00C95A90" w:rsidRPr="00391B86">
        <w:rPr>
          <w:rFonts w:ascii="Times New Roman" w:hAnsi="Times New Roman"/>
        </w:rPr>
        <w:t xml:space="preserve">retained by Arrium during the relevant period </w:t>
      </w:r>
      <w:r w:rsidR="00C04146" w:rsidRPr="00391B86">
        <w:rPr>
          <w:rFonts w:ascii="Times New Roman" w:hAnsi="Times New Roman"/>
        </w:rPr>
        <w:t xml:space="preserve">to audit </w:t>
      </w:r>
      <w:r w:rsidR="00F00EFC" w:rsidRPr="00391B86">
        <w:rPr>
          <w:rFonts w:ascii="Times New Roman" w:hAnsi="Times New Roman"/>
        </w:rPr>
        <w:t xml:space="preserve">its financial accounts for the </w:t>
      </w:r>
      <w:r w:rsidR="00BA4D19" w:rsidRPr="00391B86">
        <w:rPr>
          <w:rFonts w:ascii="Times New Roman" w:hAnsi="Times New Roman"/>
        </w:rPr>
        <w:t xml:space="preserve">financial </w:t>
      </w:r>
      <w:r w:rsidR="00F00EFC" w:rsidRPr="00391B86">
        <w:rPr>
          <w:rFonts w:ascii="Times New Roman" w:hAnsi="Times New Roman"/>
        </w:rPr>
        <w:t xml:space="preserve">years ended </w:t>
      </w:r>
      <w:r w:rsidR="004E367F" w:rsidRPr="00391B86">
        <w:rPr>
          <w:rFonts w:ascii="Times New Roman" w:hAnsi="Times New Roman"/>
        </w:rPr>
        <w:t>30</w:t>
      </w:r>
      <w:r w:rsidR="003A4F6D" w:rsidRPr="00391B86">
        <w:rPr>
          <w:rFonts w:ascii="Times New Roman" w:hAnsi="Times New Roman"/>
        </w:rPr>
        <w:t> </w:t>
      </w:r>
      <w:r w:rsidR="004E367F" w:rsidRPr="00391B86">
        <w:rPr>
          <w:rFonts w:ascii="Times New Roman" w:hAnsi="Times New Roman"/>
        </w:rPr>
        <w:t>June 201</w:t>
      </w:r>
      <w:r w:rsidR="00791B61" w:rsidRPr="00391B86">
        <w:rPr>
          <w:rFonts w:ascii="Times New Roman" w:hAnsi="Times New Roman"/>
        </w:rPr>
        <w:t>4</w:t>
      </w:r>
      <w:r w:rsidR="004E367F" w:rsidRPr="00391B86">
        <w:rPr>
          <w:rFonts w:ascii="Times New Roman" w:hAnsi="Times New Roman"/>
        </w:rPr>
        <w:t xml:space="preserve"> and 30</w:t>
      </w:r>
      <w:r w:rsidR="009D3C14" w:rsidRPr="00391B86">
        <w:rPr>
          <w:rFonts w:ascii="Times New Roman" w:hAnsi="Times New Roman"/>
        </w:rPr>
        <w:t> </w:t>
      </w:r>
      <w:r w:rsidR="004E367F" w:rsidRPr="00391B86">
        <w:rPr>
          <w:rFonts w:ascii="Times New Roman" w:hAnsi="Times New Roman"/>
        </w:rPr>
        <w:t>June 201</w:t>
      </w:r>
      <w:r w:rsidR="00791B61" w:rsidRPr="00391B86">
        <w:rPr>
          <w:rFonts w:ascii="Times New Roman" w:hAnsi="Times New Roman"/>
        </w:rPr>
        <w:t>5</w:t>
      </w:r>
      <w:r w:rsidR="004E367F" w:rsidRPr="00391B86">
        <w:rPr>
          <w:rFonts w:ascii="Times New Roman" w:hAnsi="Times New Roman"/>
        </w:rPr>
        <w:t xml:space="preserve"> </w:t>
      </w:r>
      <w:r w:rsidR="00F216F5" w:rsidRPr="00391B86">
        <w:rPr>
          <w:rFonts w:ascii="Times New Roman" w:hAnsi="Times New Roman"/>
        </w:rPr>
        <w:t xml:space="preserve">and to review </w:t>
      </w:r>
      <w:r w:rsidR="000E3D30" w:rsidRPr="00391B86">
        <w:rPr>
          <w:rFonts w:ascii="Times New Roman" w:hAnsi="Times New Roman"/>
        </w:rPr>
        <w:t>its financial accounts for the half year ended 31</w:t>
      </w:r>
      <w:r w:rsidR="009D3C14" w:rsidRPr="00391B86">
        <w:rPr>
          <w:rFonts w:ascii="Times New Roman" w:hAnsi="Times New Roman"/>
        </w:rPr>
        <w:t> </w:t>
      </w:r>
      <w:r w:rsidR="000E3D30" w:rsidRPr="00391B86">
        <w:rPr>
          <w:rFonts w:ascii="Times New Roman" w:hAnsi="Times New Roman"/>
        </w:rPr>
        <w:t>December 2014.</w:t>
      </w:r>
      <w:r w:rsidR="003830DD" w:rsidRPr="00391B86">
        <w:rPr>
          <w:rFonts w:ascii="Times New Roman" w:hAnsi="Times New Roman"/>
        </w:rPr>
        <w:t xml:space="preserve"> </w:t>
      </w:r>
      <w:r w:rsidR="00334A7B" w:rsidRPr="00391B86">
        <w:rPr>
          <w:rFonts w:ascii="Times New Roman" w:hAnsi="Times New Roman"/>
        </w:rPr>
        <w:t>T</w:t>
      </w:r>
      <w:r w:rsidR="00937A1C" w:rsidRPr="00391B86">
        <w:rPr>
          <w:rFonts w:ascii="Times New Roman" w:hAnsi="Times New Roman"/>
        </w:rPr>
        <w:t>wo</w:t>
      </w:r>
      <w:r w:rsidR="00915F38" w:rsidRPr="00391B86">
        <w:rPr>
          <w:rFonts w:ascii="Times New Roman" w:hAnsi="Times New Roman"/>
        </w:rPr>
        <w:t xml:space="preserve"> </w:t>
      </w:r>
      <w:r w:rsidR="00B96208" w:rsidRPr="00391B86">
        <w:rPr>
          <w:rFonts w:ascii="Times New Roman" w:hAnsi="Times New Roman"/>
        </w:rPr>
        <w:t xml:space="preserve">of the </w:t>
      </w:r>
      <w:r w:rsidR="0092076E" w:rsidRPr="00391B86">
        <w:rPr>
          <w:rFonts w:ascii="Times New Roman" w:hAnsi="Times New Roman"/>
        </w:rPr>
        <w:t>director</w:t>
      </w:r>
      <w:r w:rsidR="006C10C6" w:rsidRPr="00391B86">
        <w:rPr>
          <w:rFonts w:ascii="Times New Roman" w:hAnsi="Times New Roman"/>
        </w:rPr>
        <w:t xml:space="preserve"> </w:t>
      </w:r>
      <w:r w:rsidR="009E5DBF" w:rsidRPr="00391B86">
        <w:rPr>
          <w:rFonts w:ascii="Times New Roman" w:hAnsi="Times New Roman"/>
        </w:rPr>
        <w:t>defendants</w:t>
      </w:r>
      <w:r w:rsidR="00CD7B80" w:rsidRPr="00391B86">
        <w:rPr>
          <w:rFonts w:ascii="Times New Roman" w:hAnsi="Times New Roman"/>
        </w:rPr>
        <w:t xml:space="preserve"> </w:t>
      </w:r>
      <w:r w:rsidR="0092076E" w:rsidRPr="00391B86">
        <w:rPr>
          <w:rFonts w:ascii="Times New Roman" w:hAnsi="Times New Roman"/>
        </w:rPr>
        <w:t>w</w:t>
      </w:r>
      <w:r w:rsidR="00334A7B" w:rsidRPr="00391B86">
        <w:rPr>
          <w:rFonts w:ascii="Times New Roman" w:hAnsi="Times New Roman"/>
        </w:rPr>
        <w:t>ere</w:t>
      </w:r>
      <w:r w:rsidR="00F80A18" w:rsidRPr="00391B86">
        <w:rPr>
          <w:rFonts w:ascii="Times New Roman" w:hAnsi="Times New Roman"/>
        </w:rPr>
        <w:t xml:space="preserve"> or </w:t>
      </w:r>
      <w:r w:rsidR="00334A7B" w:rsidRPr="00391B86">
        <w:rPr>
          <w:rFonts w:ascii="Times New Roman" w:hAnsi="Times New Roman"/>
        </w:rPr>
        <w:t>are</w:t>
      </w:r>
      <w:r w:rsidR="00F80A18" w:rsidRPr="00391B86">
        <w:rPr>
          <w:rFonts w:ascii="Times New Roman" w:hAnsi="Times New Roman"/>
        </w:rPr>
        <w:t xml:space="preserve"> resident in </w:t>
      </w:r>
      <w:r w:rsidR="003051D6" w:rsidRPr="00391B86">
        <w:rPr>
          <w:rFonts w:ascii="Times New Roman" w:hAnsi="Times New Roman"/>
        </w:rPr>
        <w:t>Victoria</w:t>
      </w:r>
      <w:r w:rsidR="005A3BEE" w:rsidRPr="00391B86">
        <w:rPr>
          <w:rFonts w:ascii="Times New Roman" w:hAnsi="Times New Roman"/>
        </w:rPr>
        <w:t>; a</w:t>
      </w:r>
      <w:r w:rsidR="0077253D" w:rsidRPr="00391B86">
        <w:rPr>
          <w:rFonts w:ascii="Times New Roman" w:hAnsi="Times New Roman"/>
        </w:rPr>
        <w:t xml:space="preserve"> third</w:t>
      </w:r>
      <w:r w:rsidR="00937A1C" w:rsidRPr="00391B86">
        <w:rPr>
          <w:rFonts w:ascii="Times New Roman" w:hAnsi="Times New Roman"/>
        </w:rPr>
        <w:t xml:space="preserve"> resides in </w:t>
      </w:r>
      <w:r w:rsidR="003051D6" w:rsidRPr="00391B86">
        <w:rPr>
          <w:rFonts w:ascii="Times New Roman" w:hAnsi="Times New Roman"/>
        </w:rPr>
        <w:t>Queensland</w:t>
      </w:r>
      <w:r w:rsidR="005A3BEE" w:rsidRPr="00391B86">
        <w:rPr>
          <w:rFonts w:ascii="Times New Roman" w:hAnsi="Times New Roman"/>
        </w:rPr>
        <w:t xml:space="preserve">; </w:t>
      </w:r>
      <w:r w:rsidR="00937A1C" w:rsidRPr="00391B86">
        <w:rPr>
          <w:rFonts w:ascii="Times New Roman" w:hAnsi="Times New Roman"/>
        </w:rPr>
        <w:t>the other in</w:t>
      </w:r>
      <w:r w:rsidR="003051D6" w:rsidRPr="00391B86">
        <w:rPr>
          <w:rFonts w:ascii="Times New Roman" w:hAnsi="Times New Roman"/>
        </w:rPr>
        <w:t xml:space="preserve"> Western Australia</w:t>
      </w:r>
      <w:r w:rsidR="00915F38" w:rsidRPr="00391B86">
        <w:rPr>
          <w:rFonts w:ascii="Times New Roman" w:hAnsi="Times New Roman"/>
        </w:rPr>
        <w:t xml:space="preserve">. </w:t>
      </w:r>
      <w:r w:rsidR="003830DD" w:rsidRPr="00391B86">
        <w:rPr>
          <w:rFonts w:ascii="Times New Roman" w:hAnsi="Times New Roman"/>
        </w:rPr>
        <w:t>KPMG has offices in Sydney and Melbourne.</w:t>
      </w:r>
      <w:r w:rsidR="00F74723" w:rsidRPr="00391B86">
        <w:rPr>
          <w:rFonts w:ascii="Times New Roman" w:hAnsi="Times New Roman"/>
        </w:rPr>
        <w:t xml:space="preserve"> </w:t>
      </w:r>
      <w:r w:rsidR="00A71AB3" w:rsidRPr="00391B86">
        <w:rPr>
          <w:rFonts w:ascii="Times New Roman" w:hAnsi="Times New Roman"/>
        </w:rPr>
        <w:t>All</w:t>
      </w:r>
      <w:r w:rsidR="00F74723" w:rsidRPr="00391B86">
        <w:rPr>
          <w:rFonts w:ascii="Times New Roman" w:hAnsi="Times New Roman"/>
        </w:rPr>
        <w:t xml:space="preserve"> </w:t>
      </w:r>
      <w:r w:rsidR="009E5DBF" w:rsidRPr="00391B86">
        <w:rPr>
          <w:rFonts w:ascii="Times New Roman" w:hAnsi="Times New Roman"/>
        </w:rPr>
        <w:t>defendants</w:t>
      </w:r>
      <w:r w:rsidR="00F74723" w:rsidRPr="00391B86">
        <w:rPr>
          <w:rFonts w:ascii="Times New Roman" w:hAnsi="Times New Roman"/>
        </w:rPr>
        <w:t xml:space="preserve"> are represented by national law practices each of which has offices in Sydney and Melbourne.</w:t>
      </w:r>
    </w:p>
    <w:p w14:paraId="33B9B4DF" w14:textId="14223C42" w:rsidR="00EE2394"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lastRenderedPageBreak/>
        <w:tab/>
      </w:r>
      <w:r w:rsidR="00193B01" w:rsidRPr="00391B86">
        <w:rPr>
          <w:rFonts w:ascii="Times New Roman" w:hAnsi="Times New Roman"/>
        </w:rPr>
        <w:t>I</w:t>
      </w:r>
      <w:r w:rsidR="00F65D02" w:rsidRPr="00391B86">
        <w:rPr>
          <w:rFonts w:ascii="Times New Roman" w:hAnsi="Times New Roman"/>
        </w:rPr>
        <w:t>n the Arrium class action</w:t>
      </w:r>
      <w:r w:rsidR="00193B01" w:rsidRPr="00391B86">
        <w:rPr>
          <w:rFonts w:ascii="Times New Roman" w:hAnsi="Times New Roman"/>
        </w:rPr>
        <w:t xml:space="preserve">, the </w:t>
      </w:r>
      <w:r w:rsidR="009E5DBF" w:rsidRPr="00391B86">
        <w:rPr>
          <w:rFonts w:ascii="Times New Roman" w:hAnsi="Times New Roman"/>
        </w:rPr>
        <w:t>plaintiffs</w:t>
      </w:r>
      <w:r w:rsidR="00193B01" w:rsidRPr="00391B86">
        <w:rPr>
          <w:rFonts w:ascii="Times New Roman" w:hAnsi="Times New Roman"/>
        </w:rPr>
        <w:t xml:space="preserve"> allege </w:t>
      </w:r>
      <w:r w:rsidR="00462B66" w:rsidRPr="00391B86">
        <w:rPr>
          <w:rFonts w:ascii="Times New Roman" w:hAnsi="Times New Roman"/>
        </w:rPr>
        <w:t xml:space="preserve">that </w:t>
      </w:r>
      <w:r w:rsidR="004B242F" w:rsidRPr="00391B86">
        <w:rPr>
          <w:rFonts w:ascii="Times New Roman" w:hAnsi="Times New Roman"/>
        </w:rPr>
        <w:t xml:space="preserve">conduct of each </w:t>
      </w:r>
      <w:r w:rsidR="009E5DBF" w:rsidRPr="00391B86">
        <w:rPr>
          <w:rFonts w:ascii="Times New Roman" w:hAnsi="Times New Roman"/>
        </w:rPr>
        <w:t>defendant</w:t>
      </w:r>
      <w:r w:rsidR="004B242F" w:rsidRPr="00391B86">
        <w:rPr>
          <w:rFonts w:ascii="Times New Roman" w:hAnsi="Times New Roman"/>
        </w:rPr>
        <w:t xml:space="preserve"> </w:t>
      </w:r>
      <w:r w:rsidR="000B0E2A" w:rsidRPr="00391B86">
        <w:rPr>
          <w:rFonts w:ascii="Times New Roman" w:hAnsi="Times New Roman"/>
        </w:rPr>
        <w:t xml:space="preserve">during the </w:t>
      </w:r>
      <w:r w:rsidR="00CE2854" w:rsidRPr="00391B86">
        <w:rPr>
          <w:rFonts w:ascii="Times New Roman" w:hAnsi="Times New Roman"/>
        </w:rPr>
        <w:t xml:space="preserve">relevant </w:t>
      </w:r>
      <w:r w:rsidR="000B0E2A" w:rsidRPr="00391B86">
        <w:rPr>
          <w:rFonts w:ascii="Times New Roman" w:hAnsi="Times New Roman"/>
        </w:rPr>
        <w:t xml:space="preserve">period </w:t>
      </w:r>
      <w:r w:rsidR="00821CF6" w:rsidRPr="00391B86">
        <w:rPr>
          <w:rFonts w:ascii="Times New Roman" w:hAnsi="Times New Roman"/>
        </w:rPr>
        <w:t>contravened</w:t>
      </w:r>
      <w:r w:rsidR="00D23F29" w:rsidRPr="00391B86">
        <w:rPr>
          <w:rFonts w:ascii="Times New Roman" w:hAnsi="Times New Roman"/>
        </w:rPr>
        <w:t xml:space="preserve"> provisions</w:t>
      </w:r>
      <w:r w:rsidR="00821CF6" w:rsidRPr="00391B86">
        <w:rPr>
          <w:rFonts w:ascii="Times New Roman" w:hAnsi="Times New Roman"/>
        </w:rPr>
        <w:t xml:space="preserve"> </w:t>
      </w:r>
      <w:r w:rsidR="008B2BC3" w:rsidRPr="00391B86">
        <w:rPr>
          <w:rFonts w:ascii="Times New Roman" w:hAnsi="Times New Roman"/>
        </w:rPr>
        <w:t xml:space="preserve">of </w:t>
      </w:r>
      <w:r w:rsidR="00821CF6" w:rsidRPr="00391B86">
        <w:rPr>
          <w:rFonts w:ascii="Times New Roman" w:hAnsi="Times New Roman"/>
        </w:rPr>
        <w:t xml:space="preserve">the </w:t>
      </w:r>
      <w:r w:rsidR="00D23F29" w:rsidRPr="00391B86">
        <w:rPr>
          <w:rFonts w:ascii="Times New Roman" w:hAnsi="Times New Roman"/>
        </w:rPr>
        <w:t>Corporations Act,</w:t>
      </w:r>
      <w:r w:rsidR="00D23F29" w:rsidRPr="00391B86">
        <w:rPr>
          <w:rStyle w:val="FootnoteReference"/>
          <w:rFonts w:ascii="Times New Roman" w:hAnsi="Times New Roman"/>
          <w:sz w:val="24"/>
        </w:rPr>
        <w:footnoteReference w:id="16"/>
      </w:r>
      <w:r w:rsidR="00D23F29" w:rsidRPr="00391B86">
        <w:rPr>
          <w:rFonts w:ascii="Times New Roman" w:hAnsi="Times New Roman"/>
        </w:rPr>
        <w:t xml:space="preserve"> the </w:t>
      </w:r>
      <w:r w:rsidR="008B2BC3" w:rsidRPr="00391B86">
        <w:rPr>
          <w:rFonts w:ascii="Times New Roman" w:hAnsi="Times New Roman"/>
        </w:rPr>
        <w:t>ASIC Act,</w:t>
      </w:r>
      <w:r w:rsidR="008B2BC3" w:rsidRPr="00391B86">
        <w:rPr>
          <w:rStyle w:val="FootnoteReference"/>
          <w:rFonts w:ascii="Times New Roman" w:hAnsi="Times New Roman"/>
          <w:sz w:val="24"/>
        </w:rPr>
        <w:footnoteReference w:id="17"/>
      </w:r>
      <w:r w:rsidR="008B2BC3" w:rsidRPr="00391B86">
        <w:rPr>
          <w:rFonts w:ascii="Times New Roman" w:hAnsi="Times New Roman"/>
        </w:rPr>
        <w:t xml:space="preserve"> and the </w:t>
      </w:r>
      <w:r w:rsidR="009417B3" w:rsidRPr="00391B86">
        <w:rPr>
          <w:rFonts w:ascii="Times New Roman" w:hAnsi="Times New Roman"/>
          <w:i/>
          <w:iCs/>
        </w:rPr>
        <w:t>Australian Consumer Law</w:t>
      </w:r>
      <w:r w:rsidR="009417B3" w:rsidRPr="00391B86">
        <w:rPr>
          <w:rFonts w:ascii="Times New Roman" w:hAnsi="Times New Roman"/>
        </w:rPr>
        <w:t>.</w:t>
      </w:r>
      <w:r w:rsidR="009417B3" w:rsidRPr="00391B86">
        <w:rPr>
          <w:rStyle w:val="FootnoteReference"/>
          <w:rFonts w:ascii="Times New Roman" w:hAnsi="Times New Roman"/>
          <w:sz w:val="24"/>
        </w:rPr>
        <w:footnoteReference w:id="18"/>
      </w:r>
      <w:r w:rsidR="00B51699" w:rsidRPr="00391B86">
        <w:rPr>
          <w:rFonts w:ascii="Times New Roman" w:hAnsi="Times New Roman"/>
        </w:rPr>
        <w:t xml:space="preserve"> </w:t>
      </w:r>
      <w:r w:rsidR="00EE2394" w:rsidRPr="00391B86">
        <w:rPr>
          <w:rFonts w:ascii="Times New Roman" w:hAnsi="Times New Roman"/>
        </w:rPr>
        <w:t xml:space="preserve">The allegations </w:t>
      </w:r>
      <w:r w:rsidR="00F45A7B" w:rsidRPr="00391B86">
        <w:rPr>
          <w:rFonts w:ascii="Times New Roman" w:hAnsi="Times New Roman"/>
        </w:rPr>
        <w:t>concern</w:t>
      </w:r>
      <w:r w:rsidR="000975FA" w:rsidRPr="00391B86">
        <w:rPr>
          <w:rFonts w:ascii="Times New Roman" w:hAnsi="Times New Roman"/>
        </w:rPr>
        <w:t xml:space="preserve"> financial statements published</w:t>
      </w:r>
      <w:r w:rsidR="005750F9" w:rsidRPr="00391B86">
        <w:rPr>
          <w:rFonts w:ascii="Times New Roman" w:hAnsi="Times New Roman"/>
        </w:rPr>
        <w:t xml:space="preserve"> by Arrium</w:t>
      </w:r>
      <w:r w:rsidR="00BA4D19" w:rsidRPr="00391B86">
        <w:rPr>
          <w:rFonts w:ascii="Times New Roman" w:hAnsi="Times New Roman"/>
        </w:rPr>
        <w:t xml:space="preserve">, comprising its full year results </w:t>
      </w:r>
      <w:r w:rsidR="00A342FE" w:rsidRPr="00391B86">
        <w:rPr>
          <w:rFonts w:ascii="Times New Roman" w:hAnsi="Times New Roman"/>
        </w:rPr>
        <w:t xml:space="preserve">for the </w:t>
      </w:r>
      <w:r w:rsidR="00BA4D19" w:rsidRPr="00391B86">
        <w:rPr>
          <w:rFonts w:ascii="Times New Roman" w:hAnsi="Times New Roman"/>
        </w:rPr>
        <w:t>financial years ended 30</w:t>
      </w:r>
      <w:r w:rsidR="009D3C14" w:rsidRPr="00391B86">
        <w:rPr>
          <w:rFonts w:ascii="Times New Roman" w:hAnsi="Times New Roman"/>
        </w:rPr>
        <w:t> </w:t>
      </w:r>
      <w:r w:rsidR="00BA4D19" w:rsidRPr="00391B86">
        <w:rPr>
          <w:rFonts w:ascii="Times New Roman" w:hAnsi="Times New Roman"/>
        </w:rPr>
        <w:t>June 201</w:t>
      </w:r>
      <w:r w:rsidR="009C5CFC" w:rsidRPr="00391B86">
        <w:rPr>
          <w:rFonts w:ascii="Times New Roman" w:hAnsi="Times New Roman"/>
        </w:rPr>
        <w:t>4</w:t>
      </w:r>
      <w:r w:rsidR="00BA4D19" w:rsidRPr="00391B86">
        <w:rPr>
          <w:rFonts w:ascii="Times New Roman" w:hAnsi="Times New Roman"/>
        </w:rPr>
        <w:t xml:space="preserve"> and 30</w:t>
      </w:r>
      <w:r w:rsidR="009D3C14" w:rsidRPr="00391B86">
        <w:rPr>
          <w:rFonts w:ascii="Times New Roman" w:hAnsi="Times New Roman"/>
        </w:rPr>
        <w:t> </w:t>
      </w:r>
      <w:r w:rsidR="00BA4D19" w:rsidRPr="00391B86">
        <w:rPr>
          <w:rFonts w:ascii="Times New Roman" w:hAnsi="Times New Roman"/>
        </w:rPr>
        <w:t>June 201</w:t>
      </w:r>
      <w:r w:rsidR="009C5CFC" w:rsidRPr="00391B86">
        <w:rPr>
          <w:rFonts w:ascii="Times New Roman" w:hAnsi="Times New Roman"/>
        </w:rPr>
        <w:t>5</w:t>
      </w:r>
      <w:r w:rsidR="00BA4D19" w:rsidRPr="00391B86">
        <w:rPr>
          <w:rFonts w:ascii="Times New Roman" w:hAnsi="Times New Roman"/>
        </w:rPr>
        <w:t xml:space="preserve"> </w:t>
      </w:r>
      <w:r w:rsidR="005750F9" w:rsidRPr="00391B86">
        <w:rPr>
          <w:rFonts w:ascii="Times New Roman" w:hAnsi="Times New Roman"/>
        </w:rPr>
        <w:t xml:space="preserve">and </w:t>
      </w:r>
      <w:r w:rsidR="00BA4D19" w:rsidRPr="00391B86">
        <w:rPr>
          <w:rFonts w:ascii="Times New Roman" w:hAnsi="Times New Roman"/>
        </w:rPr>
        <w:t>its half year results for the half year ended 31</w:t>
      </w:r>
      <w:r w:rsidR="009D3C14" w:rsidRPr="00391B86">
        <w:rPr>
          <w:rFonts w:ascii="Times New Roman" w:hAnsi="Times New Roman"/>
        </w:rPr>
        <w:t> </w:t>
      </w:r>
      <w:r w:rsidR="00BA4D19" w:rsidRPr="00391B86">
        <w:rPr>
          <w:rFonts w:ascii="Times New Roman" w:hAnsi="Times New Roman"/>
        </w:rPr>
        <w:t>December 2014</w:t>
      </w:r>
      <w:r w:rsidR="00066AA7" w:rsidRPr="00391B86">
        <w:rPr>
          <w:rFonts w:ascii="Times New Roman" w:hAnsi="Times New Roman"/>
        </w:rPr>
        <w:t xml:space="preserve">, together with </w:t>
      </w:r>
      <w:r w:rsidR="005750F9" w:rsidRPr="00391B86">
        <w:rPr>
          <w:rFonts w:ascii="Times New Roman" w:hAnsi="Times New Roman"/>
        </w:rPr>
        <w:t>a capital raising conducted by Arrium in 2014</w:t>
      </w:r>
      <w:r w:rsidR="00066AA7" w:rsidRPr="00391B86">
        <w:rPr>
          <w:rFonts w:ascii="Times New Roman" w:hAnsi="Times New Roman"/>
        </w:rPr>
        <w:t xml:space="preserve">, </w:t>
      </w:r>
      <w:r w:rsidR="005750F9" w:rsidRPr="00391B86">
        <w:rPr>
          <w:rFonts w:ascii="Times New Roman" w:hAnsi="Times New Roman"/>
        </w:rPr>
        <w:t xml:space="preserve">and centre around </w:t>
      </w:r>
      <w:r w:rsidR="002D13B0" w:rsidRPr="00391B86">
        <w:rPr>
          <w:rFonts w:ascii="Times New Roman" w:hAnsi="Times New Roman"/>
        </w:rPr>
        <w:t>the adequacy of impairments and the carrying value of assets.</w:t>
      </w:r>
    </w:p>
    <w:p w14:paraId="7DAD678B" w14:textId="0FD8E50A" w:rsidR="00A31538" w:rsidRPr="00391B86" w:rsidRDefault="00EE2394"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B51699" w:rsidRPr="00391B86">
        <w:rPr>
          <w:rFonts w:ascii="Times New Roman" w:hAnsi="Times New Roman"/>
        </w:rPr>
        <w:t>The</w:t>
      </w:r>
      <w:r w:rsidR="00F65D02" w:rsidRPr="00391B86">
        <w:rPr>
          <w:rFonts w:ascii="Times New Roman" w:hAnsi="Times New Roman"/>
        </w:rPr>
        <w:t xml:space="preserve"> </w:t>
      </w:r>
      <w:r w:rsidR="001661F6" w:rsidRPr="00391B86">
        <w:rPr>
          <w:rFonts w:ascii="Times New Roman" w:hAnsi="Times New Roman"/>
        </w:rPr>
        <w:t xml:space="preserve">contravening </w:t>
      </w:r>
      <w:r w:rsidR="00A11968" w:rsidRPr="00391B86">
        <w:rPr>
          <w:rFonts w:ascii="Times New Roman" w:hAnsi="Times New Roman"/>
        </w:rPr>
        <w:t>conduct</w:t>
      </w:r>
      <w:r w:rsidR="001661F6" w:rsidRPr="00391B86">
        <w:rPr>
          <w:rFonts w:ascii="Times New Roman" w:hAnsi="Times New Roman"/>
        </w:rPr>
        <w:t xml:space="preserve"> </w:t>
      </w:r>
      <w:r w:rsidR="00A11968" w:rsidRPr="00391B86">
        <w:rPr>
          <w:rFonts w:ascii="Times New Roman" w:hAnsi="Times New Roman"/>
        </w:rPr>
        <w:t xml:space="preserve">is alleged to have occurred mainly </w:t>
      </w:r>
      <w:r w:rsidR="00F219CB" w:rsidRPr="00391B86">
        <w:rPr>
          <w:rFonts w:ascii="Times New Roman" w:hAnsi="Times New Roman"/>
        </w:rPr>
        <w:t>in Sydney.</w:t>
      </w:r>
      <w:r w:rsidR="0030314B" w:rsidRPr="00391B86">
        <w:rPr>
          <w:rFonts w:ascii="Times New Roman" w:hAnsi="Times New Roman"/>
        </w:rPr>
        <w:t xml:space="preserve"> </w:t>
      </w:r>
      <w:r w:rsidR="00A63038" w:rsidRPr="00391B86">
        <w:rPr>
          <w:rFonts w:ascii="Times New Roman" w:hAnsi="Times New Roman"/>
        </w:rPr>
        <w:t xml:space="preserve">The former Chief Financial Officer and the </w:t>
      </w:r>
      <w:r w:rsidR="00282D45" w:rsidRPr="00391B86">
        <w:rPr>
          <w:rFonts w:ascii="Times New Roman" w:hAnsi="Times New Roman"/>
        </w:rPr>
        <w:t>former Group Financial Controller of A</w:t>
      </w:r>
      <w:r w:rsidR="001661F6" w:rsidRPr="00391B86">
        <w:rPr>
          <w:rFonts w:ascii="Times New Roman" w:hAnsi="Times New Roman"/>
        </w:rPr>
        <w:t>r</w:t>
      </w:r>
      <w:r w:rsidR="00282D45" w:rsidRPr="00391B86">
        <w:rPr>
          <w:rFonts w:ascii="Times New Roman" w:hAnsi="Times New Roman"/>
        </w:rPr>
        <w:t xml:space="preserve">rium, who are </w:t>
      </w:r>
      <w:r w:rsidR="0056510C" w:rsidRPr="00391B86">
        <w:rPr>
          <w:rFonts w:ascii="Times New Roman" w:hAnsi="Times New Roman"/>
        </w:rPr>
        <w:t xml:space="preserve">likely </w:t>
      </w:r>
      <w:r w:rsidR="00566DDE" w:rsidRPr="00391B86">
        <w:rPr>
          <w:rFonts w:ascii="Times New Roman" w:hAnsi="Times New Roman"/>
        </w:rPr>
        <w:t xml:space="preserve">to be key witnesses in the Arrium class action, </w:t>
      </w:r>
      <w:r w:rsidR="0056510C" w:rsidRPr="00391B86">
        <w:rPr>
          <w:rFonts w:ascii="Times New Roman" w:hAnsi="Times New Roman"/>
        </w:rPr>
        <w:t xml:space="preserve">both </w:t>
      </w:r>
      <w:r w:rsidR="00BB44E5" w:rsidRPr="00391B86">
        <w:rPr>
          <w:rFonts w:ascii="Times New Roman" w:hAnsi="Times New Roman"/>
        </w:rPr>
        <w:t>reside in New South Wales.</w:t>
      </w:r>
    </w:p>
    <w:p w14:paraId="442EBAD9" w14:textId="470B842A" w:rsidR="005F5406"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106247" w:rsidRPr="00391B86">
        <w:rPr>
          <w:rFonts w:ascii="Times New Roman" w:hAnsi="Times New Roman"/>
        </w:rPr>
        <w:t>The law practice r</w:t>
      </w:r>
      <w:r w:rsidR="00A8536B" w:rsidRPr="00391B86">
        <w:rPr>
          <w:rFonts w:ascii="Times New Roman" w:hAnsi="Times New Roman"/>
        </w:rPr>
        <w:t>epresenting t</w:t>
      </w:r>
      <w:r w:rsidR="004D7DE5" w:rsidRPr="00391B86">
        <w:rPr>
          <w:rFonts w:ascii="Times New Roman" w:hAnsi="Times New Roman"/>
        </w:rPr>
        <w:t>he</w:t>
      </w:r>
      <w:r w:rsidR="000E559A" w:rsidRPr="00391B86">
        <w:rPr>
          <w:rFonts w:ascii="Times New Roman" w:hAnsi="Times New Roman"/>
        </w:rPr>
        <w:t xml:space="preserve"> plain</w:t>
      </w:r>
      <w:r w:rsidR="00DE1368" w:rsidRPr="00391B86">
        <w:rPr>
          <w:rFonts w:ascii="Times New Roman" w:hAnsi="Times New Roman"/>
        </w:rPr>
        <w:t>tiffs</w:t>
      </w:r>
      <w:r w:rsidR="004D7DE5" w:rsidRPr="00391B86">
        <w:rPr>
          <w:rFonts w:ascii="Times New Roman" w:hAnsi="Times New Roman"/>
        </w:rPr>
        <w:t xml:space="preserve"> in </w:t>
      </w:r>
      <w:r w:rsidR="0067354B" w:rsidRPr="00391B86">
        <w:rPr>
          <w:rFonts w:ascii="Times New Roman" w:hAnsi="Times New Roman"/>
        </w:rPr>
        <w:t>the Arrium class action</w:t>
      </w:r>
      <w:r w:rsidR="00755AD4" w:rsidRPr="00391B86">
        <w:rPr>
          <w:rFonts w:ascii="Times New Roman" w:hAnsi="Times New Roman"/>
        </w:rPr>
        <w:t xml:space="preserve"> </w:t>
      </w:r>
      <w:r w:rsidR="00A8536B" w:rsidRPr="00391B86">
        <w:rPr>
          <w:rFonts w:ascii="Times New Roman" w:hAnsi="Times New Roman"/>
        </w:rPr>
        <w:t>is</w:t>
      </w:r>
      <w:r w:rsidR="005F218E" w:rsidRPr="00391B86">
        <w:rPr>
          <w:rFonts w:ascii="Times New Roman" w:hAnsi="Times New Roman"/>
        </w:rPr>
        <w:t xml:space="preserve"> </w:t>
      </w:r>
      <w:r w:rsidR="00630975" w:rsidRPr="00391B86">
        <w:rPr>
          <w:rFonts w:ascii="Times New Roman" w:hAnsi="Times New Roman"/>
        </w:rPr>
        <w:t xml:space="preserve">The </w:t>
      </w:r>
      <w:r w:rsidR="005F218E" w:rsidRPr="00391B86">
        <w:rPr>
          <w:rFonts w:ascii="Times New Roman" w:hAnsi="Times New Roman"/>
        </w:rPr>
        <w:t>Banton Group Pty Ltd (</w:t>
      </w:r>
      <w:r w:rsidR="00663542" w:rsidRPr="00391B86">
        <w:rPr>
          <w:rFonts w:ascii="Times New Roman" w:hAnsi="Times New Roman"/>
        </w:rPr>
        <w:t>"</w:t>
      </w:r>
      <w:r w:rsidR="005F218E" w:rsidRPr="00391B86">
        <w:rPr>
          <w:rFonts w:ascii="Times New Roman" w:hAnsi="Times New Roman"/>
        </w:rPr>
        <w:t>Banton Group</w:t>
      </w:r>
      <w:r w:rsidR="00663542" w:rsidRPr="00391B86">
        <w:rPr>
          <w:rFonts w:ascii="Times New Roman" w:hAnsi="Times New Roman"/>
        </w:rPr>
        <w:t>"</w:t>
      </w:r>
      <w:r w:rsidR="005F218E" w:rsidRPr="00391B86">
        <w:rPr>
          <w:rFonts w:ascii="Times New Roman" w:hAnsi="Times New Roman"/>
        </w:rPr>
        <w:t>)</w:t>
      </w:r>
      <w:r w:rsidR="00630975" w:rsidRPr="00391B86">
        <w:rPr>
          <w:rFonts w:ascii="Times New Roman" w:hAnsi="Times New Roman"/>
        </w:rPr>
        <w:t>,</w:t>
      </w:r>
      <w:r w:rsidR="00817BDF" w:rsidRPr="00391B86">
        <w:rPr>
          <w:rFonts w:ascii="Times New Roman" w:hAnsi="Times New Roman"/>
        </w:rPr>
        <w:t xml:space="preserve"> </w:t>
      </w:r>
      <w:r w:rsidR="00F74723" w:rsidRPr="00391B86">
        <w:rPr>
          <w:rFonts w:ascii="Times New Roman" w:hAnsi="Times New Roman"/>
        </w:rPr>
        <w:t>with whom the</w:t>
      </w:r>
      <w:r w:rsidR="008C21BD" w:rsidRPr="00391B86">
        <w:rPr>
          <w:rFonts w:ascii="Times New Roman" w:hAnsi="Times New Roman"/>
        </w:rPr>
        <w:t xml:space="preserve"> </w:t>
      </w:r>
      <w:r w:rsidR="00DE1368" w:rsidRPr="00391B86">
        <w:rPr>
          <w:rFonts w:ascii="Times New Roman" w:hAnsi="Times New Roman"/>
        </w:rPr>
        <w:t>plaintiffs</w:t>
      </w:r>
      <w:r w:rsidR="00F74723" w:rsidRPr="00391B86">
        <w:rPr>
          <w:rFonts w:ascii="Times New Roman" w:hAnsi="Times New Roman"/>
        </w:rPr>
        <w:t xml:space="preserve"> have </w:t>
      </w:r>
      <w:r w:rsidR="00FA6872" w:rsidRPr="00391B86">
        <w:rPr>
          <w:rFonts w:ascii="Times New Roman" w:hAnsi="Times New Roman"/>
        </w:rPr>
        <w:t xml:space="preserve">entered into </w:t>
      </w:r>
      <w:r w:rsidR="00F74723" w:rsidRPr="00391B86">
        <w:rPr>
          <w:rFonts w:ascii="Times New Roman" w:hAnsi="Times New Roman"/>
        </w:rPr>
        <w:t>costs agreement</w:t>
      </w:r>
      <w:r w:rsidR="00FA6872" w:rsidRPr="00391B86">
        <w:rPr>
          <w:rFonts w:ascii="Times New Roman" w:hAnsi="Times New Roman"/>
        </w:rPr>
        <w:t>s</w:t>
      </w:r>
      <w:r w:rsidR="00F74723" w:rsidRPr="00391B86">
        <w:rPr>
          <w:rFonts w:ascii="Times New Roman" w:hAnsi="Times New Roman"/>
        </w:rPr>
        <w:t xml:space="preserve"> in accordance with </w:t>
      </w:r>
      <w:r w:rsidR="00F81BA8" w:rsidRPr="00391B86">
        <w:rPr>
          <w:rFonts w:ascii="Times New Roman" w:hAnsi="Times New Roman"/>
        </w:rPr>
        <w:t xml:space="preserve">the </w:t>
      </w:r>
      <w:r w:rsidR="00F74723" w:rsidRPr="00391B86">
        <w:rPr>
          <w:rFonts w:ascii="Times New Roman" w:hAnsi="Times New Roman"/>
          <w:i/>
          <w:iCs/>
        </w:rPr>
        <w:t>Legal Profession Uniform Law</w:t>
      </w:r>
      <w:r w:rsidR="00F74723" w:rsidRPr="00391B86">
        <w:rPr>
          <w:rFonts w:ascii="Times New Roman" w:hAnsi="Times New Roman"/>
        </w:rPr>
        <w:t xml:space="preserve"> (NSW</w:t>
      </w:r>
      <w:r w:rsidR="00F219CB" w:rsidRPr="00391B86">
        <w:rPr>
          <w:rFonts w:ascii="Times New Roman" w:hAnsi="Times New Roman"/>
        </w:rPr>
        <w:t>)</w:t>
      </w:r>
      <w:r w:rsidR="00F74723" w:rsidRPr="00391B86">
        <w:rPr>
          <w:rFonts w:ascii="Times New Roman" w:hAnsi="Times New Roman"/>
        </w:rPr>
        <w:t>. Banton Group</w:t>
      </w:r>
      <w:r w:rsidR="00760707" w:rsidRPr="00391B86">
        <w:rPr>
          <w:rFonts w:ascii="Times New Roman" w:hAnsi="Times New Roman"/>
        </w:rPr>
        <w:t xml:space="preserve"> has</w:t>
      </w:r>
      <w:r w:rsidR="00F028FF" w:rsidRPr="00391B86">
        <w:rPr>
          <w:rFonts w:ascii="Times New Roman" w:hAnsi="Times New Roman"/>
        </w:rPr>
        <w:t xml:space="preserve"> its </w:t>
      </w:r>
      <w:r w:rsidR="00FB43DF" w:rsidRPr="00391B86">
        <w:rPr>
          <w:rFonts w:ascii="Times New Roman" w:hAnsi="Times New Roman"/>
        </w:rPr>
        <w:t>principal place of business in Sydney</w:t>
      </w:r>
      <w:r w:rsidR="00231D92" w:rsidRPr="00391B86">
        <w:rPr>
          <w:rFonts w:ascii="Times New Roman" w:hAnsi="Times New Roman"/>
        </w:rPr>
        <w:t xml:space="preserve"> </w:t>
      </w:r>
      <w:r w:rsidR="008C09F7" w:rsidRPr="00391B86">
        <w:rPr>
          <w:rFonts w:ascii="Times New Roman" w:hAnsi="Times New Roman"/>
        </w:rPr>
        <w:t>and</w:t>
      </w:r>
      <w:r w:rsidR="00065581" w:rsidRPr="00391B86">
        <w:rPr>
          <w:rFonts w:ascii="Times New Roman" w:hAnsi="Times New Roman"/>
        </w:rPr>
        <w:t xml:space="preserve"> </w:t>
      </w:r>
      <w:r w:rsidR="00F219CB" w:rsidRPr="00391B86">
        <w:rPr>
          <w:rFonts w:ascii="Times New Roman" w:hAnsi="Times New Roman"/>
        </w:rPr>
        <w:t xml:space="preserve">has </w:t>
      </w:r>
      <w:r w:rsidR="00231D92" w:rsidRPr="00391B86">
        <w:rPr>
          <w:rFonts w:ascii="Times New Roman" w:hAnsi="Times New Roman"/>
        </w:rPr>
        <w:t>an office in Melbourne</w:t>
      </w:r>
      <w:r w:rsidR="004F02A2" w:rsidRPr="00391B86">
        <w:rPr>
          <w:rFonts w:ascii="Times New Roman" w:hAnsi="Times New Roman"/>
        </w:rPr>
        <w:t>.</w:t>
      </w:r>
      <w:r w:rsidR="004669D3" w:rsidRPr="00391B86">
        <w:rPr>
          <w:rFonts w:ascii="Times New Roman" w:hAnsi="Times New Roman"/>
        </w:rPr>
        <w:t xml:space="preserve"> </w:t>
      </w:r>
    </w:p>
    <w:p w14:paraId="2B9030C0" w14:textId="2D550153" w:rsidR="006A2D74"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817BDF" w:rsidRPr="00391B86">
        <w:rPr>
          <w:rFonts w:ascii="Times New Roman" w:hAnsi="Times New Roman"/>
        </w:rPr>
        <w:t xml:space="preserve">Funding </w:t>
      </w:r>
      <w:r w:rsidR="000368D8" w:rsidRPr="00391B86">
        <w:rPr>
          <w:rFonts w:ascii="Times New Roman" w:hAnsi="Times New Roman"/>
        </w:rPr>
        <w:t xml:space="preserve">the </w:t>
      </w:r>
      <w:r w:rsidR="00DE1368" w:rsidRPr="00391B86">
        <w:rPr>
          <w:rFonts w:ascii="Times New Roman" w:hAnsi="Times New Roman"/>
        </w:rPr>
        <w:t>plaintiffs</w:t>
      </w:r>
      <w:r w:rsidR="00817BDF" w:rsidRPr="00391B86">
        <w:rPr>
          <w:rFonts w:ascii="Times New Roman" w:hAnsi="Times New Roman"/>
        </w:rPr>
        <w:t xml:space="preserve"> in the </w:t>
      </w:r>
      <w:r w:rsidR="000368D8" w:rsidRPr="00391B86">
        <w:rPr>
          <w:rFonts w:ascii="Times New Roman" w:hAnsi="Times New Roman"/>
        </w:rPr>
        <w:t>Arrium class action</w:t>
      </w:r>
      <w:r w:rsidR="00817BDF" w:rsidRPr="00391B86">
        <w:rPr>
          <w:rFonts w:ascii="Times New Roman" w:hAnsi="Times New Roman"/>
        </w:rPr>
        <w:t xml:space="preserve"> is </w:t>
      </w:r>
      <w:proofErr w:type="spellStart"/>
      <w:r w:rsidR="00755AD4" w:rsidRPr="00391B86">
        <w:rPr>
          <w:rFonts w:ascii="Times New Roman" w:hAnsi="Times New Roman"/>
        </w:rPr>
        <w:t>Equite</w:t>
      </w:r>
      <w:proofErr w:type="spellEnd"/>
      <w:r w:rsidR="00755AD4" w:rsidRPr="00391B86">
        <w:rPr>
          <w:rFonts w:ascii="Times New Roman" w:hAnsi="Times New Roman"/>
        </w:rPr>
        <w:t xml:space="preserve"> Capital </w:t>
      </w:r>
      <w:r w:rsidR="00271D94" w:rsidRPr="00391B86">
        <w:rPr>
          <w:rFonts w:ascii="Times New Roman" w:hAnsi="Times New Roman"/>
        </w:rPr>
        <w:t>No 1 Pty Ltd (</w:t>
      </w:r>
      <w:r w:rsidR="007C52B9" w:rsidRPr="00391B86">
        <w:rPr>
          <w:rFonts w:ascii="Times New Roman" w:hAnsi="Times New Roman"/>
        </w:rPr>
        <w:t>"</w:t>
      </w:r>
      <w:r w:rsidR="00271D94" w:rsidRPr="00391B86">
        <w:rPr>
          <w:rFonts w:ascii="Times New Roman" w:hAnsi="Times New Roman"/>
        </w:rPr>
        <w:t>the Funder</w:t>
      </w:r>
      <w:r w:rsidR="007C52B9" w:rsidRPr="00391B86">
        <w:rPr>
          <w:rFonts w:ascii="Times New Roman" w:hAnsi="Times New Roman"/>
        </w:rPr>
        <w:t>"</w:t>
      </w:r>
      <w:r w:rsidR="00271D94" w:rsidRPr="00391B86">
        <w:rPr>
          <w:rFonts w:ascii="Times New Roman" w:hAnsi="Times New Roman"/>
        </w:rPr>
        <w:t>)</w:t>
      </w:r>
      <w:r w:rsidR="008C09F7" w:rsidRPr="00391B86">
        <w:rPr>
          <w:rFonts w:ascii="Times New Roman" w:hAnsi="Times New Roman"/>
        </w:rPr>
        <w:t xml:space="preserve">, </w:t>
      </w:r>
      <w:r w:rsidR="005B52E9" w:rsidRPr="00391B86">
        <w:rPr>
          <w:rFonts w:ascii="Times New Roman" w:hAnsi="Times New Roman"/>
        </w:rPr>
        <w:t>which is registered in Singapore</w:t>
      </w:r>
      <w:r w:rsidR="0021348B" w:rsidRPr="00391B86">
        <w:rPr>
          <w:rFonts w:ascii="Times New Roman" w:hAnsi="Times New Roman"/>
        </w:rPr>
        <w:t xml:space="preserve">. The Funder has an agent which is registered in </w:t>
      </w:r>
      <w:proofErr w:type="gramStart"/>
      <w:r w:rsidR="0021348B" w:rsidRPr="00391B86">
        <w:rPr>
          <w:rFonts w:ascii="Times New Roman" w:hAnsi="Times New Roman"/>
        </w:rPr>
        <w:t>Singapore</w:t>
      </w:r>
      <w:proofErr w:type="gramEnd"/>
      <w:r w:rsidR="0021348B" w:rsidRPr="00391B86">
        <w:rPr>
          <w:rFonts w:ascii="Times New Roman" w:hAnsi="Times New Roman"/>
        </w:rPr>
        <w:t xml:space="preserve"> </w:t>
      </w:r>
      <w:r w:rsidR="00555982" w:rsidRPr="00391B86">
        <w:rPr>
          <w:rFonts w:ascii="Times New Roman" w:hAnsi="Times New Roman"/>
        </w:rPr>
        <w:t>but a director of the agent is based</w:t>
      </w:r>
      <w:r w:rsidR="008C09F7" w:rsidRPr="00391B86">
        <w:rPr>
          <w:rFonts w:ascii="Times New Roman" w:hAnsi="Times New Roman"/>
        </w:rPr>
        <w:t xml:space="preserve"> in Sydney</w:t>
      </w:r>
      <w:r w:rsidR="005B52E9" w:rsidRPr="00391B86">
        <w:rPr>
          <w:rFonts w:ascii="Times New Roman" w:hAnsi="Times New Roman"/>
        </w:rPr>
        <w:t xml:space="preserve">. </w:t>
      </w:r>
      <w:r w:rsidR="00024839" w:rsidRPr="00391B86">
        <w:rPr>
          <w:rFonts w:ascii="Times New Roman" w:hAnsi="Times New Roman"/>
        </w:rPr>
        <w:t>The Funder has entered</w:t>
      </w:r>
      <w:r w:rsidR="00D2173B" w:rsidRPr="00391B86">
        <w:rPr>
          <w:rFonts w:ascii="Times New Roman" w:hAnsi="Times New Roman"/>
        </w:rPr>
        <w:t xml:space="preserve"> litigation funding agreements with </w:t>
      </w:r>
      <w:r w:rsidR="00F80594" w:rsidRPr="00391B86">
        <w:rPr>
          <w:rFonts w:ascii="Times New Roman" w:hAnsi="Times New Roman"/>
        </w:rPr>
        <w:t xml:space="preserve">the </w:t>
      </w:r>
      <w:r w:rsidR="00DE1368" w:rsidRPr="00391B86">
        <w:rPr>
          <w:rFonts w:ascii="Times New Roman" w:hAnsi="Times New Roman"/>
        </w:rPr>
        <w:t>plaintiffs</w:t>
      </w:r>
      <w:r w:rsidR="00106247" w:rsidRPr="00391B86">
        <w:rPr>
          <w:rFonts w:ascii="Times New Roman" w:hAnsi="Times New Roman"/>
        </w:rPr>
        <w:t xml:space="preserve"> and</w:t>
      </w:r>
      <w:r w:rsidR="00143F22" w:rsidRPr="00391B86">
        <w:rPr>
          <w:rFonts w:ascii="Times New Roman" w:hAnsi="Times New Roman"/>
        </w:rPr>
        <w:t xml:space="preserve"> </w:t>
      </w:r>
      <w:r w:rsidR="00F80594" w:rsidRPr="00391B86">
        <w:rPr>
          <w:rFonts w:ascii="Times New Roman" w:hAnsi="Times New Roman"/>
        </w:rPr>
        <w:t xml:space="preserve">with </w:t>
      </w:r>
      <w:r w:rsidR="005F5406" w:rsidRPr="00391B86">
        <w:rPr>
          <w:rFonts w:ascii="Times New Roman" w:hAnsi="Times New Roman"/>
        </w:rPr>
        <w:t>more than</w:t>
      </w:r>
      <w:r w:rsidR="00CE7BE1" w:rsidRPr="00391B86">
        <w:rPr>
          <w:rFonts w:ascii="Times New Roman" w:hAnsi="Times New Roman"/>
        </w:rPr>
        <w:t xml:space="preserve"> </w:t>
      </w:r>
      <w:r w:rsidR="00664278" w:rsidRPr="00391B86">
        <w:rPr>
          <w:rFonts w:ascii="Times New Roman" w:hAnsi="Times New Roman"/>
        </w:rPr>
        <w:t>2</w:t>
      </w:r>
      <w:r w:rsidR="005F5406" w:rsidRPr="00391B86">
        <w:rPr>
          <w:rFonts w:ascii="Times New Roman" w:hAnsi="Times New Roman"/>
        </w:rPr>
        <w:t>0</w:t>
      </w:r>
      <w:r w:rsidR="00664278" w:rsidRPr="00391B86">
        <w:rPr>
          <w:rFonts w:ascii="Times New Roman" w:hAnsi="Times New Roman"/>
        </w:rPr>
        <w:t xml:space="preserve">0 </w:t>
      </w:r>
      <w:r w:rsidR="00D2173B" w:rsidRPr="00391B86">
        <w:rPr>
          <w:rFonts w:ascii="Times New Roman" w:hAnsi="Times New Roman"/>
        </w:rPr>
        <w:t>members of the represented class</w:t>
      </w:r>
      <w:r w:rsidR="00791A4D" w:rsidRPr="00391B86">
        <w:rPr>
          <w:rFonts w:ascii="Times New Roman" w:hAnsi="Times New Roman"/>
        </w:rPr>
        <w:t xml:space="preserve"> located within Australia and overseas</w:t>
      </w:r>
      <w:r w:rsidR="00D2173B" w:rsidRPr="00391B86">
        <w:rPr>
          <w:rFonts w:ascii="Times New Roman" w:hAnsi="Times New Roman"/>
        </w:rPr>
        <w:t xml:space="preserve">. </w:t>
      </w:r>
      <w:r w:rsidR="00CD3DD1" w:rsidRPr="00391B86">
        <w:rPr>
          <w:rFonts w:ascii="Times New Roman" w:hAnsi="Times New Roman"/>
        </w:rPr>
        <w:t>The litigation funding agreements are expressed to be governed by the law of New South Wales.</w:t>
      </w:r>
    </w:p>
    <w:p w14:paraId="043C36E4" w14:textId="67E83E3D" w:rsidR="00BB12CF"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C23BD0" w:rsidRPr="00391B86">
        <w:rPr>
          <w:rFonts w:ascii="Times New Roman" w:hAnsi="Times New Roman"/>
        </w:rPr>
        <w:t>T</w:t>
      </w:r>
      <w:r w:rsidR="00E57D19" w:rsidRPr="00391B86">
        <w:rPr>
          <w:rFonts w:ascii="Times New Roman" w:hAnsi="Times New Roman"/>
        </w:rPr>
        <w:t xml:space="preserve">he </w:t>
      </w:r>
      <w:r w:rsidR="00291E77" w:rsidRPr="00391B86">
        <w:rPr>
          <w:rFonts w:ascii="Times New Roman" w:hAnsi="Times New Roman"/>
        </w:rPr>
        <w:t>plaintiffs</w:t>
      </w:r>
      <w:r w:rsidR="00D33D06" w:rsidRPr="00391B86">
        <w:rPr>
          <w:rFonts w:ascii="Times New Roman" w:hAnsi="Times New Roman"/>
        </w:rPr>
        <w:t>, Banton Group and the Funder</w:t>
      </w:r>
      <w:r w:rsidR="0038379D" w:rsidRPr="00391B86">
        <w:rPr>
          <w:rFonts w:ascii="Times New Roman" w:hAnsi="Times New Roman"/>
        </w:rPr>
        <w:t xml:space="preserve"> originally </w:t>
      </w:r>
      <w:r w:rsidR="00D748D9" w:rsidRPr="00391B86">
        <w:rPr>
          <w:rFonts w:ascii="Times New Roman" w:hAnsi="Times New Roman"/>
        </w:rPr>
        <w:t xml:space="preserve">intended </w:t>
      </w:r>
      <w:r w:rsidR="0038379D" w:rsidRPr="00391B86">
        <w:rPr>
          <w:rFonts w:ascii="Times New Roman" w:hAnsi="Times New Roman"/>
        </w:rPr>
        <w:t xml:space="preserve">to commence the Arrium class action </w:t>
      </w:r>
      <w:r w:rsidR="00292107" w:rsidRPr="00391B86">
        <w:rPr>
          <w:rFonts w:ascii="Times New Roman" w:hAnsi="Times New Roman"/>
        </w:rPr>
        <w:t xml:space="preserve">as a representative proceeding </w:t>
      </w:r>
      <w:r w:rsidR="009D7F4B" w:rsidRPr="00391B86">
        <w:rPr>
          <w:rFonts w:ascii="Times New Roman" w:hAnsi="Times New Roman"/>
        </w:rPr>
        <w:t>in the Supreme Court of New South Wales</w:t>
      </w:r>
      <w:r w:rsidR="00A33A66" w:rsidRPr="00391B86">
        <w:rPr>
          <w:rFonts w:ascii="Times New Roman" w:hAnsi="Times New Roman"/>
        </w:rPr>
        <w:t xml:space="preserve"> under</w:t>
      </w:r>
      <w:r w:rsidR="009D7F4B" w:rsidRPr="00391B86">
        <w:rPr>
          <w:rFonts w:ascii="Times New Roman" w:hAnsi="Times New Roman"/>
        </w:rPr>
        <w:t xml:space="preserve"> </w:t>
      </w:r>
      <w:r w:rsidR="00543F12" w:rsidRPr="00391B86">
        <w:rPr>
          <w:rFonts w:ascii="Times New Roman" w:hAnsi="Times New Roman"/>
        </w:rPr>
        <w:t>Pt 10 of the Civil Procedure Act</w:t>
      </w:r>
      <w:r w:rsidR="00D748D9" w:rsidRPr="00391B86">
        <w:rPr>
          <w:rFonts w:ascii="Times New Roman" w:hAnsi="Times New Roman"/>
        </w:rPr>
        <w:t>. They</w:t>
      </w:r>
      <w:r w:rsidR="00AC45E8" w:rsidRPr="00391B86">
        <w:rPr>
          <w:rFonts w:ascii="Times New Roman" w:hAnsi="Times New Roman"/>
        </w:rPr>
        <w:t xml:space="preserve"> later</w:t>
      </w:r>
      <w:r w:rsidR="00A33A66" w:rsidRPr="00391B86">
        <w:rPr>
          <w:rFonts w:ascii="Times New Roman" w:hAnsi="Times New Roman"/>
        </w:rPr>
        <w:t xml:space="preserve"> chose to commence</w:t>
      </w:r>
      <w:r w:rsidR="00AC45E8" w:rsidRPr="00391B86">
        <w:rPr>
          <w:rFonts w:ascii="Times New Roman" w:hAnsi="Times New Roman"/>
        </w:rPr>
        <w:t xml:space="preserve"> it</w:t>
      </w:r>
      <w:r w:rsidR="00A33A66" w:rsidRPr="00391B86">
        <w:rPr>
          <w:rFonts w:ascii="Times New Roman" w:hAnsi="Times New Roman"/>
        </w:rPr>
        <w:t xml:space="preserve"> </w:t>
      </w:r>
      <w:r w:rsidR="008E2F53" w:rsidRPr="00391B86">
        <w:rPr>
          <w:rFonts w:ascii="Times New Roman" w:hAnsi="Times New Roman"/>
        </w:rPr>
        <w:t xml:space="preserve">as a group proceeding </w:t>
      </w:r>
      <w:r w:rsidR="00A33A66" w:rsidRPr="00391B86">
        <w:rPr>
          <w:rFonts w:ascii="Times New Roman" w:hAnsi="Times New Roman"/>
        </w:rPr>
        <w:t>in the Supreme Court of Victoria under Pt 4A of the Supreme Court Act</w:t>
      </w:r>
      <w:r w:rsidR="003B2390" w:rsidRPr="00391B86">
        <w:rPr>
          <w:rFonts w:ascii="Times New Roman" w:hAnsi="Times New Roman"/>
        </w:rPr>
        <w:t xml:space="preserve">. The inference to be drawn is that they did </w:t>
      </w:r>
      <w:r w:rsidR="003B2390" w:rsidRPr="00391B86">
        <w:rPr>
          <w:rFonts w:ascii="Times New Roman" w:hAnsi="Times New Roman"/>
        </w:rPr>
        <w:lastRenderedPageBreak/>
        <w:t xml:space="preserve">so </w:t>
      </w:r>
      <w:proofErr w:type="gramStart"/>
      <w:r w:rsidR="003B2390" w:rsidRPr="00391B86">
        <w:rPr>
          <w:rFonts w:ascii="Times New Roman" w:hAnsi="Times New Roman"/>
        </w:rPr>
        <w:t xml:space="preserve">in order </w:t>
      </w:r>
      <w:r w:rsidR="00C5795F" w:rsidRPr="00391B86">
        <w:rPr>
          <w:rFonts w:ascii="Times New Roman" w:hAnsi="Times New Roman"/>
        </w:rPr>
        <w:t>to</w:t>
      </w:r>
      <w:proofErr w:type="gramEnd"/>
      <w:r w:rsidR="001A0C96" w:rsidRPr="00391B86">
        <w:rPr>
          <w:rFonts w:ascii="Times New Roman" w:hAnsi="Times New Roman"/>
        </w:rPr>
        <w:t xml:space="preserve"> avail themselves of the </w:t>
      </w:r>
      <w:r w:rsidR="00D03DE7" w:rsidRPr="00391B86">
        <w:rPr>
          <w:rFonts w:ascii="Times New Roman" w:hAnsi="Times New Roman"/>
        </w:rPr>
        <w:t>possibility of a G</w:t>
      </w:r>
      <w:r w:rsidR="00E51B9F" w:rsidRPr="00391B86">
        <w:rPr>
          <w:rFonts w:ascii="Times New Roman" w:hAnsi="Times New Roman"/>
        </w:rPr>
        <w:t>C</w:t>
      </w:r>
      <w:r w:rsidR="00D03DE7" w:rsidRPr="00391B86">
        <w:rPr>
          <w:rFonts w:ascii="Times New Roman" w:hAnsi="Times New Roman"/>
        </w:rPr>
        <w:t xml:space="preserve">O being made </w:t>
      </w:r>
      <w:r w:rsidR="00C5795F" w:rsidRPr="00391B86">
        <w:rPr>
          <w:rFonts w:ascii="Times New Roman" w:hAnsi="Times New Roman"/>
        </w:rPr>
        <w:t xml:space="preserve">under </w:t>
      </w:r>
      <w:r w:rsidR="00D03DE7" w:rsidRPr="00391B86">
        <w:rPr>
          <w:rFonts w:ascii="Times New Roman" w:hAnsi="Times New Roman"/>
        </w:rPr>
        <w:t>s</w:t>
      </w:r>
      <w:r w:rsidR="009D3C14" w:rsidRPr="00391B86">
        <w:rPr>
          <w:rFonts w:ascii="Times New Roman" w:hAnsi="Times New Roman"/>
        </w:rPr>
        <w:t> </w:t>
      </w:r>
      <w:r w:rsidR="00FF4811" w:rsidRPr="00391B86">
        <w:rPr>
          <w:rFonts w:ascii="Times New Roman" w:hAnsi="Times New Roman"/>
        </w:rPr>
        <w:t>33ZDA</w:t>
      </w:r>
      <w:r w:rsidR="00D03DE7" w:rsidRPr="00391B86">
        <w:rPr>
          <w:rFonts w:ascii="Times New Roman" w:hAnsi="Times New Roman"/>
        </w:rPr>
        <w:t xml:space="preserve"> of the Supreme Court Act.</w:t>
      </w:r>
    </w:p>
    <w:p w14:paraId="2B8A1E9A" w14:textId="0C6907DE" w:rsidR="008324E1" w:rsidRPr="00391B86" w:rsidRDefault="00BB12CF"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5F6271" w:rsidRPr="00391B86">
        <w:rPr>
          <w:rFonts w:ascii="Times New Roman" w:hAnsi="Times New Roman"/>
        </w:rPr>
        <w:t>Having commenced the Arrium class action as a group proceeding in the Supreme Court of Victoria on 14</w:t>
      </w:r>
      <w:r w:rsidR="009D3C14" w:rsidRPr="00391B86">
        <w:rPr>
          <w:rFonts w:ascii="Times New Roman" w:hAnsi="Times New Roman"/>
        </w:rPr>
        <w:t> </w:t>
      </w:r>
      <w:r w:rsidR="005F6271" w:rsidRPr="00391B86">
        <w:rPr>
          <w:rFonts w:ascii="Times New Roman" w:hAnsi="Times New Roman"/>
        </w:rPr>
        <w:t xml:space="preserve">August 2020, the </w:t>
      </w:r>
      <w:r w:rsidR="00B77579" w:rsidRPr="00391B86">
        <w:rPr>
          <w:rFonts w:ascii="Times New Roman" w:hAnsi="Times New Roman"/>
        </w:rPr>
        <w:t>plaintiffs</w:t>
      </w:r>
      <w:r w:rsidR="00FD37BE" w:rsidRPr="00391B86">
        <w:rPr>
          <w:rFonts w:ascii="Times New Roman" w:hAnsi="Times New Roman"/>
        </w:rPr>
        <w:t xml:space="preserve"> </w:t>
      </w:r>
      <w:r w:rsidR="007B58A1" w:rsidRPr="00391B86">
        <w:rPr>
          <w:rFonts w:ascii="Times New Roman" w:hAnsi="Times New Roman"/>
        </w:rPr>
        <w:t>on 2</w:t>
      </w:r>
      <w:r w:rsidR="009D3C14" w:rsidRPr="00391B86">
        <w:rPr>
          <w:rFonts w:ascii="Times New Roman" w:hAnsi="Times New Roman"/>
        </w:rPr>
        <w:t> </w:t>
      </w:r>
      <w:r w:rsidR="007B58A1" w:rsidRPr="00391B86">
        <w:rPr>
          <w:rFonts w:ascii="Times New Roman" w:hAnsi="Times New Roman"/>
        </w:rPr>
        <w:t xml:space="preserve">February 2021 </w:t>
      </w:r>
      <w:r w:rsidR="003D290F" w:rsidRPr="00391B86">
        <w:rPr>
          <w:rFonts w:ascii="Times New Roman" w:hAnsi="Times New Roman"/>
        </w:rPr>
        <w:t>appl</w:t>
      </w:r>
      <w:r w:rsidR="00AD1DC6" w:rsidRPr="00391B86">
        <w:rPr>
          <w:rFonts w:ascii="Times New Roman" w:hAnsi="Times New Roman"/>
        </w:rPr>
        <w:t>ied by summons</w:t>
      </w:r>
      <w:r w:rsidR="008F2E9B" w:rsidRPr="00391B86">
        <w:rPr>
          <w:rFonts w:ascii="Times New Roman" w:hAnsi="Times New Roman"/>
        </w:rPr>
        <w:t xml:space="preserve"> </w:t>
      </w:r>
      <w:r w:rsidR="007629FB" w:rsidRPr="00391B86">
        <w:rPr>
          <w:rFonts w:ascii="Times New Roman" w:hAnsi="Times New Roman"/>
        </w:rPr>
        <w:t>for a G</w:t>
      </w:r>
      <w:r w:rsidR="00E51B9F" w:rsidRPr="00391B86">
        <w:rPr>
          <w:rFonts w:ascii="Times New Roman" w:hAnsi="Times New Roman"/>
        </w:rPr>
        <w:t>C</w:t>
      </w:r>
      <w:r w:rsidR="007629FB" w:rsidRPr="00391B86">
        <w:rPr>
          <w:rFonts w:ascii="Times New Roman" w:hAnsi="Times New Roman"/>
        </w:rPr>
        <w:t>O</w:t>
      </w:r>
      <w:r w:rsidR="00290E33" w:rsidRPr="00391B86">
        <w:rPr>
          <w:rFonts w:ascii="Times New Roman" w:hAnsi="Times New Roman"/>
        </w:rPr>
        <w:t xml:space="preserve"> </w:t>
      </w:r>
      <w:r w:rsidR="002473BD" w:rsidRPr="00391B86">
        <w:rPr>
          <w:rFonts w:ascii="Times New Roman" w:hAnsi="Times New Roman"/>
        </w:rPr>
        <w:t>(</w:t>
      </w:r>
      <w:r w:rsidR="005E615F" w:rsidRPr="00391B86">
        <w:rPr>
          <w:rFonts w:ascii="Times New Roman" w:hAnsi="Times New Roman"/>
        </w:rPr>
        <w:t>"</w:t>
      </w:r>
      <w:r w:rsidR="002473BD" w:rsidRPr="00391B86">
        <w:rPr>
          <w:rFonts w:ascii="Times New Roman" w:hAnsi="Times New Roman"/>
        </w:rPr>
        <w:t>the G</w:t>
      </w:r>
      <w:r w:rsidR="00E51B9F" w:rsidRPr="00391B86">
        <w:rPr>
          <w:rFonts w:ascii="Times New Roman" w:hAnsi="Times New Roman"/>
        </w:rPr>
        <w:t>C</w:t>
      </w:r>
      <w:r w:rsidR="002473BD" w:rsidRPr="00391B86">
        <w:rPr>
          <w:rFonts w:ascii="Times New Roman" w:hAnsi="Times New Roman"/>
        </w:rPr>
        <w:t>O application")</w:t>
      </w:r>
      <w:r w:rsidR="007629FB" w:rsidRPr="00391B86">
        <w:rPr>
          <w:rFonts w:ascii="Times New Roman" w:hAnsi="Times New Roman"/>
        </w:rPr>
        <w:t xml:space="preserve">. </w:t>
      </w:r>
      <w:r w:rsidR="003D290F" w:rsidRPr="00391B86">
        <w:rPr>
          <w:rFonts w:ascii="Times New Roman" w:hAnsi="Times New Roman"/>
        </w:rPr>
        <w:t>By summons filed o</w:t>
      </w:r>
      <w:r w:rsidR="007B58A1" w:rsidRPr="00391B86">
        <w:rPr>
          <w:rFonts w:ascii="Times New Roman" w:hAnsi="Times New Roman"/>
        </w:rPr>
        <w:t>n 26</w:t>
      </w:r>
      <w:r w:rsidR="009D3C14" w:rsidRPr="00391B86">
        <w:rPr>
          <w:rFonts w:ascii="Times New Roman" w:hAnsi="Times New Roman"/>
        </w:rPr>
        <w:t> </w:t>
      </w:r>
      <w:r w:rsidR="007B58A1" w:rsidRPr="00391B86">
        <w:rPr>
          <w:rFonts w:ascii="Times New Roman" w:hAnsi="Times New Roman"/>
        </w:rPr>
        <w:t xml:space="preserve">February 2021, KPMG </w:t>
      </w:r>
      <w:r w:rsidR="00DA264C" w:rsidRPr="00391B86">
        <w:rPr>
          <w:rFonts w:ascii="Times New Roman" w:hAnsi="Times New Roman"/>
        </w:rPr>
        <w:t xml:space="preserve">applied for </w:t>
      </w:r>
      <w:r w:rsidR="00290E33" w:rsidRPr="00391B86">
        <w:rPr>
          <w:rFonts w:ascii="Times New Roman" w:hAnsi="Times New Roman"/>
        </w:rPr>
        <w:t>transfer of the Arrium class action to the Supreme Court of New South Wales</w:t>
      </w:r>
      <w:r w:rsidR="00A348B6" w:rsidRPr="00391B86">
        <w:rPr>
          <w:rFonts w:ascii="Times New Roman" w:hAnsi="Times New Roman"/>
        </w:rPr>
        <w:t xml:space="preserve"> ("the transfer application")</w:t>
      </w:r>
      <w:r w:rsidR="00290E33" w:rsidRPr="00391B86">
        <w:rPr>
          <w:rFonts w:ascii="Times New Roman" w:hAnsi="Times New Roman"/>
        </w:rPr>
        <w:t>.</w:t>
      </w:r>
      <w:r w:rsidR="008C5904" w:rsidRPr="00391B86">
        <w:rPr>
          <w:rFonts w:ascii="Times New Roman" w:hAnsi="Times New Roman"/>
        </w:rPr>
        <w:t xml:space="preserve"> On 31</w:t>
      </w:r>
      <w:r w:rsidR="009D3C14" w:rsidRPr="00391B86">
        <w:rPr>
          <w:rFonts w:ascii="Times New Roman" w:hAnsi="Times New Roman"/>
        </w:rPr>
        <w:t> </w:t>
      </w:r>
      <w:r w:rsidR="008C5904" w:rsidRPr="00391B86">
        <w:rPr>
          <w:rFonts w:ascii="Times New Roman" w:hAnsi="Times New Roman"/>
        </w:rPr>
        <w:t xml:space="preserve">March 2021, Nichols J </w:t>
      </w:r>
      <w:r w:rsidR="00285D99" w:rsidRPr="00391B86">
        <w:rPr>
          <w:rFonts w:ascii="Times New Roman" w:hAnsi="Times New Roman"/>
        </w:rPr>
        <w:t>ordered that the</w:t>
      </w:r>
      <w:r w:rsidR="00190D76" w:rsidRPr="00391B86">
        <w:rPr>
          <w:rFonts w:ascii="Times New Roman" w:hAnsi="Times New Roman"/>
        </w:rPr>
        <w:t xml:space="preserve"> </w:t>
      </w:r>
      <w:r w:rsidR="00DC6644" w:rsidRPr="00391B86">
        <w:rPr>
          <w:rFonts w:ascii="Times New Roman" w:hAnsi="Times New Roman"/>
        </w:rPr>
        <w:t xml:space="preserve">transfer </w:t>
      </w:r>
      <w:r w:rsidR="00190D76" w:rsidRPr="00391B86">
        <w:rPr>
          <w:rFonts w:ascii="Times New Roman" w:hAnsi="Times New Roman"/>
        </w:rPr>
        <w:t>application be determined after the</w:t>
      </w:r>
      <w:r w:rsidR="007F6F40" w:rsidRPr="00391B86">
        <w:rPr>
          <w:rFonts w:ascii="Times New Roman" w:hAnsi="Times New Roman"/>
        </w:rPr>
        <w:t xml:space="preserve"> </w:t>
      </w:r>
      <w:r w:rsidR="00060482" w:rsidRPr="00391B86">
        <w:rPr>
          <w:rFonts w:ascii="Times New Roman" w:hAnsi="Times New Roman"/>
        </w:rPr>
        <w:t>G</w:t>
      </w:r>
      <w:r w:rsidR="00E51B9F" w:rsidRPr="00391B86">
        <w:rPr>
          <w:rFonts w:ascii="Times New Roman" w:hAnsi="Times New Roman"/>
        </w:rPr>
        <w:t>C</w:t>
      </w:r>
      <w:r w:rsidR="00060482" w:rsidRPr="00391B86">
        <w:rPr>
          <w:rFonts w:ascii="Times New Roman" w:hAnsi="Times New Roman"/>
        </w:rPr>
        <w:t xml:space="preserve">O </w:t>
      </w:r>
      <w:r w:rsidR="00190D76" w:rsidRPr="00391B86">
        <w:rPr>
          <w:rFonts w:ascii="Times New Roman" w:hAnsi="Times New Roman"/>
        </w:rPr>
        <w:t>application.</w:t>
      </w:r>
      <w:r w:rsidR="00060482" w:rsidRPr="00391B86">
        <w:rPr>
          <w:rFonts w:ascii="Times New Roman" w:hAnsi="Times New Roman"/>
        </w:rPr>
        <w:t xml:space="preserve"> KPMG </w:t>
      </w:r>
      <w:r w:rsidR="00806EC6" w:rsidRPr="00391B86">
        <w:rPr>
          <w:rFonts w:ascii="Times New Roman" w:hAnsi="Times New Roman"/>
        </w:rPr>
        <w:t>neither</w:t>
      </w:r>
      <w:r w:rsidR="00E16C0D" w:rsidRPr="00391B86">
        <w:rPr>
          <w:rFonts w:ascii="Times New Roman" w:hAnsi="Times New Roman"/>
        </w:rPr>
        <w:t xml:space="preserve"> ask</w:t>
      </w:r>
      <w:r w:rsidR="00806EC6" w:rsidRPr="00391B86">
        <w:rPr>
          <w:rFonts w:ascii="Times New Roman" w:hAnsi="Times New Roman"/>
        </w:rPr>
        <w:t>ed</w:t>
      </w:r>
      <w:r w:rsidR="00E16C0D" w:rsidRPr="00391B86">
        <w:rPr>
          <w:rFonts w:ascii="Times New Roman" w:hAnsi="Times New Roman"/>
        </w:rPr>
        <w:t xml:space="preserve"> for reasons for</w:t>
      </w:r>
      <w:r w:rsidR="00D003F2" w:rsidRPr="00391B86">
        <w:rPr>
          <w:rFonts w:ascii="Times New Roman" w:hAnsi="Times New Roman"/>
        </w:rPr>
        <w:t xml:space="preserve"> </w:t>
      </w:r>
      <w:r w:rsidR="00806EC6" w:rsidRPr="00391B86">
        <w:rPr>
          <w:rFonts w:ascii="Times New Roman" w:hAnsi="Times New Roman"/>
        </w:rPr>
        <w:t>nor sought</w:t>
      </w:r>
      <w:r w:rsidR="00E16C0D" w:rsidRPr="00391B86">
        <w:rPr>
          <w:rFonts w:ascii="Times New Roman" w:hAnsi="Times New Roman"/>
        </w:rPr>
        <w:t xml:space="preserve"> to appeal from </w:t>
      </w:r>
      <w:r w:rsidR="00582FEC" w:rsidRPr="00391B86">
        <w:rPr>
          <w:rFonts w:ascii="Times New Roman" w:hAnsi="Times New Roman"/>
        </w:rPr>
        <w:t>that procedural order</w:t>
      </w:r>
      <w:r w:rsidR="00E16C0D" w:rsidRPr="00391B86">
        <w:rPr>
          <w:rFonts w:ascii="Times New Roman" w:hAnsi="Times New Roman"/>
        </w:rPr>
        <w:t>.</w:t>
      </w:r>
    </w:p>
    <w:p w14:paraId="32D924AD" w14:textId="07A61067" w:rsidR="005E615F"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97492A" w:rsidRPr="00391B86">
        <w:rPr>
          <w:rFonts w:ascii="Times New Roman" w:hAnsi="Times New Roman"/>
        </w:rPr>
        <w:t>The G</w:t>
      </w:r>
      <w:r w:rsidR="00E51B9F" w:rsidRPr="00391B86">
        <w:rPr>
          <w:rFonts w:ascii="Times New Roman" w:hAnsi="Times New Roman"/>
        </w:rPr>
        <w:t>C</w:t>
      </w:r>
      <w:r w:rsidR="0097492A" w:rsidRPr="00391B86">
        <w:rPr>
          <w:rFonts w:ascii="Times New Roman" w:hAnsi="Times New Roman"/>
        </w:rPr>
        <w:t xml:space="preserve">O application was heard </w:t>
      </w:r>
      <w:r w:rsidR="00C15342" w:rsidRPr="00391B86">
        <w:rPr>
          <w:rFonts w:ascii="Times New Roman" w:hAnsi="Times New Roman"/>
        </w:rPr>
        <w:t xml:space="preserve">by Dixon J </w:t>
      </w:r>
      <w:r w:rsidR="00832605" w:rsidRPr="00391B86">
        <w:rPr>
          <w:rFonts w:ascii="Times New Roman" w:hAnsi="Times New Roman"/>
        </w:rPr>
        <w:t>on 22</w:t>
      </w:r>
      <w:r w:rsidR="00C868E4" w:rsidRPr="00391B86">
        <w:rPr>
          <w:rFonts w:ascii="Times New Roman" w:hAnsi="Times New Roman"/>
        </w:rPr>
        <w:t> </w:t>
      </w:r>
      <w:r w:rsidR="00832605" w:rsidRPr="00391B86">
        <w:rPr>
          <w:rFonts w:ascii="Times New Roman" w:hAnsi="Times New Roman"/>
        </w:rPr>
        <w:t xml:space="preserve">February 2022 </w:t>
      </w:r>
      <w:r w:rsidR="00AA0486" w:rsidRPr="00391B86">
        <w:rPr>
          <w:rFonts w:ascii="Times New Roman" w:hAnsi="Times New Roman"/>
        </w:rPr>
        <w:t xml:space="preserve">and </w:t>
      </w:r>
      <w:r w:rsidR="002F39BD" w:rsidRPr="00391B86">
        <w:rPr>
          <w:rFonts w:ascii="Times New Roman" w:hAnsi="Times New Roman"/>
        </w:rPr>
        <w:t xml:space="preserve">was </w:t>
      </w:r>
      <w:r w:rsidR="00AA0486" w:rsidRPr="00391B86">
        <w:rPr>
          <w:rFonts w:ascii="Times New Roman" w:hAnsi="Times New Roman"/>
        </w:rPr>
        <w:t xml:space="preserve">determined </w:t>
      </w:r>
      <w:r w:rsidR="00583DE2" w:rsidRPr="00391B86">
        <w:rPr>
          <w:rFonts w:ascii="Times New Roman" w:hAnsi="Times New Roman"/>
        </w:rPr>
        <w:t xml:space="preserve">by him </w:t>
      </w:r>
      <w:r w:rsidR="00AA0486" w:rsidRPr="00391B86">
        <w:rPr>
          <w:rFonts w:ascii="Times New Roman" w:hAnsi="Times New Roman"/>
        </w:rPr>
        <w:t xml:space="preserve">on </w:t>
      </w:r>
      <w:r w:rsidR="00D7253C" w:rsidRPr="00391B86">
        <w:rPr>
          <w:rFonts w:ascii="Times New Roman" w:hAnsi="Times New Roman"/>
        </w:rPr>
        <w:t>26</w:t>
      </w:r>
      <w:r w:rsidR="00C868E4" w:rsidRPr="00391B86">
        <w:rPr>
          <w:rFonts w:ascii="Times New Roman" w:hAnsi="Times New Roman"/>
        </w:rPr>
        <w:t> </w:t>
      </w:r>
      <w:r w:rsidR="00D7253C" w:rsidRPr="00391B86">
        <w:rPr>
          <w:rFonts w:ascii="Times New Roman" w:hAnsi="Times New Roman"/>
        </w:rPr>
        <w:t>April 2022</w:t>
      </w:r>
      <w:r w:rsidR="00C15342" w:rsidRPr="00391B86">
        <w:rPr>
          <w:rFonts w:ascii="Times New Roman" w:hAnsi="Times New Roman"/>
        </w:rPr>
        <w:t>.</w:t>
      </w:r>
      <w:r w:rsidR="00D7253C" w:rsidRPr="00391B86">
        <w:rPr>
          <w:rStyle w:val="FootnoteReference"/>
          <w:rFonts w:ascii="Times New Roman" w:hAnsi="Times New Roman"/>
          <w:sz w:val="24"/>
        </w:rPr>
        <w:footnoteReference w:id="19"/>
      </w:r>
      <w:r w:rsidR="000E7D30" w:rsidRPr="00391B86">
        <w:rPr>
          <w:rFonts w:ascii="Times New Roman" w:hAnsi="Times New Roman"/>
        </w:rPr>
        <w:t xml:space="preserve"> </w:t>
      </w:r>
    </w:p>
    <w:p w14:paraId="54A62045" w14:textId="411A1246" w:rsidR="00060482" w:rsidRPr="00391B86" w:rsidRDefault="005E615F"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583DE2" w:rsidRPr="00391B86">
        <w:rPr>
          <w:rFonts w:ascii="Times New Roman" w:hAnsi="Times New Roman"/>
        </w:rPr>
        <w:t>O</w:t>
      </w:r>
      <w:r w:rsidR="000E7D30" w:rsidRPr="00391B86">
        <w:rPr>
          <w:rFonts w:ascii="Times New Roman" w:hAnsi="Times New Roman"/>
        </w:rPr>
        <w:t>n 3 May 2022</w:t>
      </w:r>
      <w:r w:rsidR="00BB70B9" w:rsidRPr="00391B86">
        <w:rPr>
          <w:rFonts w:ascii="Times New Roman" w:hAnsi="Times New Roman"/>
        </w:rPr>
        <w:t xml:space="preserve">, </w:t>
      </w:r>
      <w:r w:rsidRPr="00391B86">
        <w:rPr>
          <w:rFonts w:ascii="Times New Roman" w:hAnsi="Times New Roman"/>
        </w:rPr>
        <w:t>Dixon J</w:t>
      </w:r>
      <w:r w:rsidR="003525D8" w:rsidRPr="00391B86">
        <w:rPr>
          <w:rFonts w:ascii="Times New Roman" w:hAnsi="Times New Roman"/>
        </w:rPr>
        <w:t xml:space="preserve"> </w:t>
      </w:r>
      <w:r w:rsidR="00E93510" w:rsidRPr="00391B86">
        <w:rPr>
          <w:rFonts w:ascii="Times New Roman" w:hAnsi="Times New Roman"/>
        </w:rPr>
        <w:t xml:space="preserve">gave effect to </w:t>
      </w:r>
      <w:r w:rsidRPr="00391B86">
        <w:rPr>
          <w:rFonts w:ascii="Times New Roman" w:hAnsi="Times New Roman"/>
        </w:rPr>
        <w:t xml:space="preserve">his </w:t>
      </w:r>
      <w:r w:rsidR="00E93510" w:rsidRPr="00391B86">
        <w:rPr>
          <w:rFonts w:ascii="Times New Roman" w:hAnsi="Times New Roman"/>
        </w:rPr>
        <w:t xml:space="preserve">determination </w:t>
      </w:r>
      <w:r w:rsidRPr="00391B86">
        <w:rPr>
          <w:rFonts w:ascii="Times New Roman" w:hAnsi="Times New Roman"/>
        </w:rPr>
        <w:t>of the G</w:t>
      </w:r>
      <w:r w:rsidR="00E51B9F" w:rsidRPr="00391B86">
        <w:rPr>
          <w:rFonts w:ascii="Times New Roman" w:hAnsi="Times New Roman"/>
        </w:rPr>
        <w:t>C</w:t>
      </w:r>
      <w:r w:rsidRPr="00391B86">
        <w:rPr>
          <w:rFonts w:ascii="Times New Roman" w:hAnsi="Times New Roman"/>
        </w:rPr>
        <w:t xml:space="preserve">O application </w:t>
      </w:r>
      <w:r w:rsidR="00E93510" w:rsidRPr="00391B86">
        <w:rPr>
          <w:rFonts w:ascii="Times New Roman" w:hAnsi="Times New Roman"/>
        </w:rPr>
        <w:t>by ordering</w:t>
      </w:r>
      <w:r w:rsidR="00BA3F9F" w:rsidRPr="00391B86">
        <w:rPr>
          <w:rFonts w:ascii="Times New Roman" w:hAnsi="Times New Roman"/>
        </w:rPr>
        <w:t xml:space="preserve"> </w:t>
      </w:r>
      <w:r w:rsidR="0010607E" w:rsidRPr="00391B86">
        <w:rPr>
          <w:rFonts w:ascii="Times New Roman" w:hAnsi="Times New Roman"/>
        </w:rPr>
        <w:t>that the legal costs</w:t>
      </w:r>
      <w:r w:rsidR="00115A41" w:rsidRPr="00391B86">
        <w:rPr>
          <w:rFonts w:ascii="Times New Roman" w:hAnsi="Times New Roman"/>
        </w:rPr>
        <w:t xml:space="preserve"> payable to </w:t>
      </w:r>
      <w:r w:rsidR="0086161C" w:rsidRPr="00391B86">
        <w:rPr>
          <w:rFonts w:ascii="Times New Roman" w:hAnsi="Times New Roman"/>
        </w:rPr>
        <w:t>B</w:t>
      </w:r>
      <w:r w:rsidR="00115A41" w:rsidRPr="00391B86">
        <w:rPr>
          <w:rFonts w:ascii="Times New Roman" w:hAnsi="Times New Roman"/>
        </w:rPr>
        <w:t xml:space="preserve">anton </w:t>
      </w:r>
      <w:r w:rsidR="00BE3161" w:rsidRPr="00391B86">
        <w:rPr>
          <w:rFonts w:ascii="Times New Roman" w:hAnsi="Times New Roman"/>
        </w:rPr>
        <w:t>G</w:t>
      </w:r>
      <w:r w:rsidR="00115A41" w:rsidRPr="00391B86">
        <w:rPr>
          <w:rFonts w:ascii="Times New Roman" w:hAnsi="Times New Roman"/>
        </w:rPr>
        <w:t xml:space="preserve">roup be </w:t>
      </w:r>
      <w:r w:rsidR="0064605F" w:rsidRPr="00391B86">
        <w:rPr>
          <w:rFonts w:ascii="Times New Roman" w:hAnsi="Times New Roman"/>
        </w:rPr>
        <w:t>40%</w:t>
      </w:r>
      <w:r w:rsidR="00115A41" w:rsidRPr="00391B86">
        <w:rPr>
          <w:rFonts w:ascii="Times New Roman" w:hAnsi="Times New Roman"/>
        </w:rPr>
        <w:t xml:space="preserve"> of the amount of any award or settlement that may be recovered in the</w:t>
      </w:r>
      <w:r w:rsidR="0086161C" w:rsidRPr="00391B86">
        <w:rPr>
          <w:rFonts w:ascii="Times New Roman" w:hAnsi="Times New Roman"/>
        </w:rPr>
        <w:t xml:space="preserve"> Arrium class action</w:t>
      </w:r>
      <w:r w:rsidR="0064605F" w:rsidRPr="00391B86">
        <w:rPr>
          <w:rFonts w:ascii="Times New Roman" w:hAnsi="Times New Roman"/>
        </w:rPr>
        <w:t xml:space="preserve"> and that liability for payment of those legal costs be shared among the plaintiffs</w:t>
      </w:r>
      <w:r w:rsidR="00467843" w:rsidRPr="00391B86">
        <w:rPr>
          <w:rFonts w:ascii="Times New Roman" w:hAnsi="Times New Roman"/>
        </w:rPr>
        <w:t xml:space="preserve"> and all group members</w:t>
      </w:r>
      <w:r w:rsidR="00D003F2" w:rsidRPr="00391B86">
        <w:rPr>
          <w:rFonts w:ascii="Times New Roman" w:hAnsi="Times New Roman"/>
        </w:rPr>
        <w:t xml:space="preserve"> ("the Arrium </w:t>
      </w:r>
      <w:r w:rsidR="00066C4C" w:rsidRPr="00391B86">
        <w:rPr>
          <w:rFonts w:ascii="Times New Roman" w:hAnsi="Times New Roman"/>
        </w:rPr>
        <w:t xml:space="preserve">class action </w:t>
      </w:r>
      <w:r w:rsidR="00D003F2" w:rsidRPr="00391B86">
        <w:rPr>
          <w:rFonts w:ascii="Times New Roman" w:hAnsi="Times New Roman"/>
        </w:rPr>
        <w:t>G</w:t>
      </w:r>
      <w:r w:rsidR="00E51B9F" w:rsidRPr="00391B86">
        <w:rPr>
          <w:rFonts w:ascii="Times New Roman" w:hAnsi="Times New Roman"/>
        </w:rPr>
        <w:t>C</w:t>
      </w:r>
      <w:r w:rsidR="00D003F2" w:rsidRPr="00391B86">
        <w:rPr>
          <w:rFonts w:ascii="Times New Roman" w:hAnsi="Times New Roman"/>
        </w:rPr>
        <w:t>O")</w:t>
      </w:r>
      <w:r w:rsidR="00467843" w:rsidRPr="00391B86">
        <w:rPr>
          <w:rFonts w:ascii="Times New Roman" w:hAnsi="Times New Roman"/>
        </w:rPr>
        <w:t>.</w:t>
      </w:r>
      <w:r w:rsidR="006B6358" w:rsidRPr="00391B86">
        <w:rPr>
          <w:rFonts w:ascii="Times New Roman" w:hAnsi="Times New Roman"/>
        </w:rPr>
        <w:t xml:space="preserve"> </w:t>
      </w:r>
      <w:r w:rsidR="007536D8" w:rsidRPr="00391B86">
        <w:rPr>
          <w:rFonts w:ascii="Times New Roman" w:hAnsi="Times New Roman"/>
        </w:rPr>
        <w:t xml:space="preserve">His Honour </w:t>
      </w:r>
      <w:r w:rsidR="00060E58" w:rsidRPr="00391B86">
        <w:rPr>
          <w:rFonts w:ascii="Times New Roman" w:hAnsi="Times New Roman"/>
        </w:rPr>
        <w:t xml:space="preserve">made the </w:t>
      </w:r>
      <w:r w:rsidR="008C30C7" w:rsidRPr="00391B86">
        <w:rPr>
          <w:rFonts w:ascii="Times New Roman" w:hAnsi="Times New Roman"/>
        </w:rPr>
        <w:t>Arrium class action G</w:t>
      </w:r>
      <w:r w:rsidR="00E51B9F" w:rsidRPr="00391B86">
        <w:rPr>
          <w:rFonts w:ascii="Times New Roman" w:hAnsi="Times New Roman"/>
        </w:rPr>
        <w:t>C</w:t>
      </w:r>
      <w:r w:rsidR="008C30C7" w:rsidRPr="00391B86">
        <w:rPr>
          <w:rFonts w:ascii="Times New Roman" w:hAnsi="Times New Roman"/>
        </w:rPr>
        <w:t xml:space="preserve">O conditional on </w:t>
      </w:r>
      <w:r w:rsidR="00C722FE" w:rsidRPr="00391B86">
        <w:rPr>
          <w:rFonts w:ascii="Times New Roman" w:hAnsi="Times New Roman"/>
        </w:rPr>
        <w:t>the Funder terminating</w:t>
      </w:r>
      <w:r w:rsidR="00F80594" w:rsidRPr="00391B86">
        <w:rPr>
          <w:rFonts w:ascii="Times New Roman" w:hAnsi="Times New Roman"/>
        </w:rPr>
        <w:t xml:space="preserve"> </w:t>
      </w:r>
      <w:r w:rsidR="00AE15D9" w:rsidRPr="00391B86">
        <w:rPr>
          <w:rFonts w:ascii="Times New Roman" w:hAnsi="Times New Roman"/>
        </w:rPr>
        <w:t>its</w:t>
      </w:r>
      <w:r w:rsidR="00EA310A" w:rsidRPr="00391B86">
        <w:rPr>
          <w:rFonts w:ascii="Times New Roman" w:hAnsi="Times New Roman"/>
        </w:rPr>
        <w:t xml:space="preserve"> </w:t>
      </w:r>
      <w:r w:rsidR="00953134" w:rsidRPr="00391B86">
        <w:rPr>
          <w:rFonts w:ascii="Times New Roman" w:hAnsi="Times New Roman"/>
        </w:rPr>
        <w:t xml:space="preserve">existing </w:t>
      </w:r>
      <w:r w:rsidR="00EA310A" w:rsidRPr="00391B86">
        <w:rPr>
          <w:rFonts w:ascii="Times New Roman" w:hAnsi="Times New Roman"/>
        </w:rPr>
        <w:t>litigation funding agreements</w:t>
      </w:r>
      <w:r w:rsidR="00953134" w:rsidRPr="00391B86">
        <w:rPr>
          <w:rFonts w:ascii="Times New Roman" w:hAnsi="Times New Roman"/>
        </w:rPr>
        <w:t xml:space="preserve"> </w:t>
      </w:r>
      <w:r w:rsidR="00C722FE" w:rsidRPr="00391B86">
        <w:rPr>
          <w:rFonts w:ascii="Times New Roman" w:hAnsi="Times New Roman"/>
        </w:rPr>
        <w:t>with</w:t>
      </w:r>
      <w:r w:rsidR="00953134" w:rsidRPr="00391B86">
        <w:rPr>
          <w:rFonts w:ascii="Times New Roman" w:hAnsi="Times New Roman"/>
        </w:rPr>
        <w:t xml:space="preserve"> </w:t>
      </w:r>
      <w:r w:rsidR="007A2ED1" w:rsidRPr="00391B86">
        <w:rPr>
          <w:rFonts w:ascii="Times New Roman" w:hAnsi="Times New Roman"/>
        </w:rPr>
        <w:t xml:space="preserve">the </w:t>
      </w:r>
      <w:r w:rsidR="00B77579" w:rsidRPr="00391B86">
        <w:rPr>
          <w:rFonts w:ascii="Times New Roman" w:hAnsi="Times New Roman"/>
        </w:rPr>
        <w:t>plaintiff</w:t>
      </w:r>
      <w:r w:rsidR="00444123" w:rsidRPr="00391B86">
        <w:rPr>
          <w:rFonts w:ascii="Times New Roman" w:hAnsi="Times New Roman"/>
        </w:rPr>
        <w:t>s</w:t>
      </w:r>
      <w:r w:rsidR="007A2ED1" w:rsidRPr="00391B86">
        <w:rPr>
          <w:rFonts w:ascii="Times New Roman" w:hAnsi="Times New Roman"/>
        </w:rPr>
        <w:t xml:space="preserve"> and </w:t>
      </w:r>
      <w:r w:rsidR="00AE15D9" w:rsidRPr="00391B86">
        <w:rPr>
          <w:rFonts w:ascii="Times New Roman" w:hAnsi="Times New Roman"/>
        </w:rPr>
        <w:t xml:space="preserve">with </w:t>
      </w:r>
      <w:r w:rsidR="007A2ED1" w:rsidRPr="00391B86">
        <w:rPr>
          <w:rFonts w:ascii="Times New Roman" w:hAnsi="Times New Roman"/>
        </w:rPr>
        <w:t>group members</w:t>
      </w:r>
      <w:r w:rsidR="00C722FE" w:rsidRPr="00391B86">
        <w:rPr>
          <w:rFonts w:ascii="Times New Roman" w:hAnsi="Times New Roman"/>
        </w:rPr>
        <w:t xml:space="preserve"> and </w:t>
      </w:r>
      <w:r w:rsidR="00967B1A" w:rsidRPr="00391B86">
        <w:rPr>
          <w:rFonts w:ascii="Times New Roman" w:hAnsi="Times New Roman"/>
        </w:rPr>
        <w:t xml:space="preserve">undertaking not to </w:t>
      </w:r>
      <w:r w:rsidR="002E272F" w:rsidRPr="00391B86">
        <w:rPr>
          <w:rFonts w:ascii="Times New Roman" w:hAnsi="Times New Roman"/>
        </w:rPr>
        <w:t>seek to enforce any rights it may have accrued under them</w:t>
      </w:r>
      <w:r w:rsidR="007A2ED1" w:rsidRPr="00391B86">
        <w:rPr>
          <w:rFonts w:ascii="Times New Roman" w:hAnsi="Times New Roman"/>
        </w:rPr>
        <w:t xml:space="preserve">. </w:t>
      </w:r>
      <w:r w:rsidR="004355B2" w:rsidRPr="00391B86">
        <w:rPr>
          <w:rFonts w:ascii="Times New Roman" w:hAnsi="Times New Roman"/>
        </w:rPr>
        <w:t xml:space="preserve">The date for compliance with </w:t>
      </w:r>
      <w:r w:rsidR="00FF2F3A" w:rsidRPr="00391B86">
        <w:rPr>
          <w:rFonts w:ascii="Times New Roman" w:hAnsi="Times New Roman"/>
        </w:rPr>
        <w:t>th</w:t>
      </w:r>
      <w:r w:rsidR="005E4D31" w:rsidRPr="00391B86">
        <w:rPr>
          <w:rFonts w:ascii="Times New Roman" w:hAnsi="Times New Roman"/>
        </w:rPr>
        <w:t>at</w:t>
      </w:r>
      <w:r w:rsidR="00FF2F3A" w:rsidRPr="00391B86">
        <w:rPr>
          <w:rFonts w:ascii="Times New Roman" w:hAnsi="Times New Roman"/>
        </w:rPr>
        <w:t xml:space="preserve"> condition</w:t>
      </w:r>
      <w:r w:rsidR="005E4D31" w:rsidRPr="00391B86">
        <w:rPr>
          <w:rFonts w:ascii="Times New Roman" w:hAnsi="Times New Roman"/>
        </w:rPr>
        <w:t xml:space="preserve"> </w:t>
      </w:r>
      <w:r w:rsidR="00FF2F3A" w:rsidRPr="00391B86">
        <w:rPr>
          <w:rFonts w:ascii="Times New Roman" w:hAnsi="Times New Roman"/>
        </w:rPr>
        <w:t xml:space="preserve">has since been extended until after the final determination of </w:t>
      </w:r>
      <w:r w:rsidR="006D2A55" w:rsidRPr="00391B86">
        <w:rPr>
          <w:rFonts w:ascii="Times New Roman" w:hAnsi="Times New Roman"/>
        </w:rPr>
        <w:t xml:space="preserve">the transfer application. </w:t>
      </w:r>
      <w:r w:rsidR="00496887" w:rsidRPr="00391B86">
        <w:rPr>
          <w:rFonts w:ascii="Times New Roman" w:hAnsi="Times New Roman"/>
        </w:rPr>
        <w:t xml:space="preserve">Neither KPMG nor the </w:t>
      </w:r>
      <w:r w:rsidR="00033EC9" w:rsidRPr="00391B86">
        <w:rPr>
          <w:rFonts w:ascii="Times New Roman" w:hAnsi="Times New Roman"/>
        </w:rPr>
        <w:t>director defendants</w:t>
      </w:r>
      <w:r w:rsidR="00E85528" w:rsidRPr="00391B86">
        <w:rPr>
          <w:rFonts w:ascii="Times New Roman" w:hAnsi="Times New Roman"/>
        </w:rPr>
        <w:t xml:space="preserve"> </w:t>
      </w:r>
      <w:r w:rsidR="00111C65" w:rsidRPr="00391B86">
        <w:rPr>
          <w:rFonts w:ascii="Times New Roman" w:hAnsi="Times New Roman"/>
        </w:rPr>
        <w:t xml:space="preserve">sought to appeal from </w:t>
      </w:r>
      <w:r w:rsidR="006D2A55" w:rsidRPr="00391B86">
        <w:rPr>
          <w:rFonts w:ascii="Times New Roman" w:hAnsi="Times New Roman"/>
        </w:rPr>
        <w:t>the Arrium class action G</w:t>
      </w:r>
      <w:r w:rsidR="00E51B9F" w:rsidRPr="00391B86">
        <w:rPr>
          <w:rFonts w:ascii="Times New Roman" w:hAnsi="Times New Roman"/>
        </w:rPr>
        <w:t>C</w:t>
      </w:r>
      <w:r w:rsidR="006D2A55" w:rsidRPr="00391B86">
        <w:rPr>
          <w:rFonts w:ascii="Times New Roman" w:hAnsi="Times New Roman"/>
        </w:rPr>
        <w:t>O</w:t>
      </w:r>
      <w:r w:rsidR="00111C65" w:rsidRPr="00391B86">
        <w:rPr>
          <w:rFonts w:ascii="Times New Roman" w:hAnsi="Times New Roman"/>
        </w:rPr>
        <w:t>.</w:t>
      </w:r>
    </w:p>
    <w:p w14:paraId="25E18B54" w14:textId="4D79B5CA" w:rsidR="00EC6454" w:rsidRPr="00391B86" w:rsidRDefault="009F069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E858C4" w:rsidRPr="00391B86">
        <w:rPr>
          <w:rFonts w:ascii="Times New Roman" w:hAnsi="Times New Roman"/>
        </w:rPr>
        <w:t xml:space="preserve">On </w:t>
      </w:r>
      <w:r w:rsidR="000F1EAB" w:rsidRPr="00391B86">
        <w:rPr>
          <w:rFonts w:ascii="Times New Roman" w:hAnsi="Times New Roman"/>
        </w:rPr>
        <w:t xml:space="preserve">7 March 2023, </w:t>
      </w:r>
      <w:r w:rsidR="005A66F1" w:rsidRPr="00391B86">
        <w:rPr>
          <w:rFonts w:ascii="Times New Roman" w:hAnsi="Times New Roman"/>
        </w:rPr>
        <w:t>on the application</w:t>
      </w:r>
      <w:r w:rsidR="00EA5144" w:rsidRPr="00391B86">
        <w:rPr>
          <w:rFonts w:ascii="Times New Roman" w:hAnsi="Times New Roman"/>
        </w:rPr>
        <w:t xml:space="preserve"> of KPMG, Nichols J ordered pursuant to s</w:t>
      </w:r>
      <w:r w:rsidR="006E1721" w:rsidRPr="00391B86">
        <w:rPr>
          <w:rFonts w:ascii="Times New Roman" w:hAnsi="Times New Roman"/>
        </w:rPr>
        <w:t> </w:t>
      </w:r>
      <w:r w:rsidR="00EA5144" w:rsidRPr="00391B86">
        <w:rPr>
          <w:rFonts w:ascii="Times New Roman" w:hAnsi="Times New Roman"/>
        </w:rPr>
        <w:t>17</w:t>
      </w:r>
      <w:proofErr w:type="gramStart"/>
      <w:r w:rsidR="00EA5144" w:rsidRPr="00391B86">
        <w:rPr>
          <w:rFonts w:ascii="Times New Roman" w:hAnsi="Times New Roman"/>
        </w:rPr>
        <w:t>B(</w:t>
      </w:r>
      <w:proofErr w:type="gramEnd"/>
      <w:r w:rsidR="00EA5144" w:rsidRPr="00391B86">
        <w:rPr>
          <w:rFonts w:ascii="Times New Roman" w:hAnsi="Times New Roman"/>
        </w:rPr>
        <w:t xml:space="preserve">2) of the Supreme Court Act that </w:t>
      </w:r>
      <w:r w:rsidR="004A7134" w:rsidRPr="00391B86">
        <w:rPr>
          <w:rFonts w:ascii="Times New Roman" w:hAnsi="Times New Roman"/>
        </w:rPr>
        <w:t>certain</w:t>
      </w:r>
      <w:r w:rsidR="00EA5144" w:rsidRPr="00391B86">
        <w:rPr>
          <w:rFonts w:ascii="Times New Roman" w:hAnsi="Times New Roman"/>
        </w:rPr>
        <w:t xml:space="preserve"> questions </w:t>
      </w:r>
      <w:r w:rsidR="00127FDA" w:rsidRPr="00391B86">
        <w:rPr>
          <w:rFonts w:ascii="Times New Roman" w:hAnsi="Times New Roman"/>
        </w:rPr>
        <w:t xml:space="preserve">arising on the transfer </w:t>
      </w:r>
      <w:r w:rsidR="004A7134" w:rsidRPr="00391B86">
        <w:rPr>
          <w:rFonts w:ascii="Times New Roman" w:hAnsi="Times New Roman"/>
        </w:rPr>
        <w:t xml:space="preserve">application </w:t>
      </w:r>
      <w:r w:rsidR="001C39EB" w:rsidRPr="00391B86">
        <w:rPr>
          <w:rFonts w:ascii="Times New Roman" w:hAnsi="Times New Roman"/>
        </w:rPr>
        <w:t xml:space="preserve">in the Arrium class action </w:t>
      </w:r>
      <w:r w:rsidR="004F5926" w:rsidRPr="00391B86">
        <w:rPr>
          <w:rFonts w:ascii="Times New Roman" w:hAnsi="Times New Roman"/>
        </w:rPr>
        <w:t>be reserved for the consideration of the Court of Appeal of the Supreme Court of Victoria</w:t>
      </w:r>
      <w:r w:rsidR="00B2784E" w:rsidRPr="00391B86">
        <w:rPr>
          <w:rFonts w:ascii="Times New Roman" w:hAnsi="Times New Roman"/>
        </w:rPr>
        <w:t xml:space="preserve">. </w:t>
      </w:r>
    </w:p>
    <w:p w14:paraId="6CC0C748" w14:textId="0EC112F3" w:rsidR="00312B0B" w:rsidRPr="00391B86" w:rsidRDefault="00EC6454"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A156E6" w:rsidRPr="00391B86">
        <w:rPr>
          <w:rFonts w:ascii="Times New Roman" w:hAnsi="Times New Roman"/>
        </w:rPr>
        <w:t xml:space="preserve">Adjusted </w:t>
      </w:r>
      <w:r w:rsidR="00806139" w:rsidRPr="00391B86">
        <w:rPr>
          <w:rFonts w:ascii="Times New Roman" w:hAnsi="Times New Roman"/>
        </w:rPr>
        <w:t>to</w:t>
      </w:r>
      <w:r w:rsidR="00A156E6" w:rsidRPr="00391B86">
        <w:rPr>
          <w:rFonts w:ascii="Times New Roman" w:hAnsi="Times New Roman"/>
        </w:rPr>
        <w:t xml:space="preserve"> the nomenclature adopted in these reasons, t</w:t>
      </w:r>
      <w:r w:rsidR="00B2784E" w:rsidRPr="00391B86">
        <w:rPr>
          <w:rFonts w:ascii="Times New Roman" w:hAnsi="Times New Roman"/>
        </w:rPr>
        <w:t>he questions</w:t>
      </w:r>
      <w:r w:rsidR="003525D8" w:rsidRPr="00391B86">
        <w:rPr>
          <w:rFonts w:ascii="Times New Roman" w:hAnsi="Times New Roman"/>
        </w:rPr>
        <w:t xml:space="preserve"> </w:t>
      </w:r>
      <w:r w:rsidR="004712F5" w:rsidRPr="00391B86">
        <w:rPr>
          <w:rFonts w:ascii="Times New Roman" w:hAnsi="Times New Roman"/>
        </w:rPr>
        <w:t xml:space="preserve">reserved for the consideration of the Court of Appeal </w:t>
      </w:r>
      <w:r w:rsidR="003525D8" w:rsidRPr="00391B86">
        <w:rPr>
          <w:rFonts w:ascii="Times New Roman" w:hAnsi="Times New Roman"/>
        </w:rPr>
        <w:t>as</w:t>
      </w:r>
      <w:r w:rsidR="00B2784E" w:rsidRPr="00391B86">
        <w:rPr>
          <w:rFonts w:ascii="Times New Roman" w:hAnsi="Times New Roman"/>
        </w:rPr>
        <w:t xml:space="preserve"> </w:t>
      </w:r>
      <w:r w:rsidR="0091522B" w:rsidRPr="00391B86">
        <w:rPr>
          <w:rFonts w:ascii="Times New Roman" w:hAnsi="Times New Roman"/>
        </w:rPr>
        <w:t xml:space="preserve">framed in the order </w:t>
      </w:r>
      <w:r w:rsidR="00CC5D02" w:rsidRPr="00391B86">
        <w:rPr>
          <w:rFonts w:ascii="Times New Roman" w:hAnsi="Times New Roman"/>
        </w:rPr>
        <w:t xml:space="preserve">made by Nichols J </w:t>
      </w:r>
      <w:r w:rsidR="0091522B" w:rsidRPr="00391B86">
        <w:rPr>
          <w:rFonts w:ascii="Times New Roman" w:hAnsi="Times New Roman"/>
        </w:rPr>
        <w:t>were as follows</w:t>
      </w:r>
      <w:r w:rsidR="00312B0B" w:rsidRPr="00391B86">
        <w:rPr>
          <w:rFonts w:ascii="Times New Roman" w:hAnsi="Times New Roman"/>
        </w:rPr>
        <w:t>:</w:t>
      </w:r>
    </w:p>
    <w:p w14:paraId="50AB1109" w14:textId="484BAA7B" w:rsidR="00312B0B" w:rsidRPr="00391B86" w:rsidRDefault="00312B0B"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(1)</w:t>
      </w:r>
      <w:r w:rsidRPr="00391B86">
        <w:rPr>
          <w:rFonts w:ascii="Times New Roman" w:hAnsi="Times New Roman"/>
        </w:rPr>
        <w:tab/>
      </w:r>
      <w:r w:rsidR="00181D70" w:rsidRPr="00391B86">
        <w:rPr>
          <w:rFonts w:ascii="Times New Roman" w:hAnsi="Times New Roman"/>
        </w:rPr>
        <w:t>In exercising the discretion to transfer proceeding</w:t>
      </w:r>
      <w:r w:rsidR="00D16407" w:rsidRPr="00391B86">
        <w:rPr>
          <w:rFonts w:ascii="Times New Roman" w:hAnsi="Times New Roman"/>
        </w:rPr>
        <w:t>s</w:t>
      </w:r>
      <w:r w:rsidR="00181D70" w:rsidRPr="00391B86">
        <w:rPr>
          <w:rFonts w:ascii="Times New Roman" w:hAnsi="Times New Roman"/>
        </w:rPr>
        <w:t xml:space="preserve"> to another court </w:t>
      </w:r>
      <w:r w:rsidR="00F8137B" w:rsidRPr="00391B86">
        <w:rPr>
          <w:rFonts w:ascii="Times New Roman" w:hAnsi="Times New Roman"/>
        </w:rPr>
        <w:t>under s</w:t>
      </w:r>
      <w:r w:rsidR="006E1721" w:rsidRPr="00391B86">
        <w:rPr>
          <w:rFonts w:ascii="Times New Roman" w:hAnsi="Times New Roman"/>
        </w:rPr>
        <w:t> </w:t>
      </w:r>
      <w:r w:rsidR="00F8137B" w:rsidRPr="00391B86">
        <w:rPr>
          <w:rFonts w:ascii="Times New Roman" w:hAnsi="Times New Roman"/>
        </w:rPr>
        <w:t>1337</w:t>
      </w:r>
      <w:proofErr w:type="gramStart"/>
      <w:r w:rsidR="00F8137B" w:rsidRPr="00391B86">
        <w:rPr>
          <w:rFonts w:ascii="Times New Roman" w:hAnsi="Times New Roman"/>
        </w:rPr>
        <w:t>H(</w:t>
      </w:r>
      <w:proofErr w:type="gramEnd"/>
      <w:r w:rsidR="00F8137B" w:rsidRPr="00391B86">
        <w:rPr>
          <w:rFonts w:ascii="Times New Roman" w:hAnsi="Times New Roman"/>
        </w:rPr>
        <w:t xml:space="preserve">2) of the </w:t>
      </w:r>
      <w:r w:rsidR="007A0245" w:rsidRPr="00391B86">
        <w:rPr>
          <w:rFonts w:ascii="Times New Roman" w:hAnsi="Times New Roman"/>
        </w:rPr>
        <w:t>Corporations Act</w:t>
      </w:r>
      <w:r w:rsidR="00F8137B" w:rsidRPr="00391B86">
        <w:rPr>
          <w:rFonts w:ascii="Times New Roman" w:hAnsi="Times New Roman"/>
        </w:rPr>
        <w:t xml:space="preserve">, is the fact that the Supreme Court of </w:t>
      </w:r>
      <w:r w:rsidR="00F8137B" w:rsidRPr="00391B86">
        <w:rPr>
          <w:rFonts w:ascii="Times New Roman" w:hAnsi="Times New Roman"/>
        </w:rPr>
        <w:lastRenderedPageBreak/>
        <w:t xml:space="preserve">Victoria has made a </w:t>
      </w:r>
      <w:r w:rsidR="00E14DF2" w:rsidRPr="00391B86">
        <w:rPr>
          <w:rFonts w:ascii="Times New Roman" w:hAnsi="Times New Roman"/>
        </w:rPr>
        <w:t>G</w:t>
      </w:r>
      <w:r w:rsidR="000300A0" w:rsidRPr="00391B86">
        <w:rPr>
          <w:rFonts w:ascii="Times New Roman" w:hAnsi="Times New Roman"/>
        </w:rPr>
        <w:t xml:space="preserve">CO </w:t>
      </w:r>
      <w:r w:rsidR="00F8137B" w:rsidRPr="00391B86">
        <w:rPr>
          <w:rFonts w:ascii="Times New Roman" w:hAnsi="Times New Roman"/>
        </w:rPr>
        <w:t xml:space="preserve">under </w:t>
      </w:r>
      <w:r w:rsidR="00480962" w:rsidRPr="00391B86">
        <w:rPr>
          <w:rFonts w:ascii="Times New Roman" w:hAnsi="Times New Roman"/>
        </w:rPr>
        <w:t>s </w:t>
      </w:r>
      <w:r w:rsidR="00F8137B" w:rsidRPr="00391B86">
        <w:rPr>
          <w:rFonts w:ascii="Times New Roman" w:hAnsi="Times New Roman"/>
        </w:rPr>
        <w:t>33ZDA of the Supreme Court Act relevant?</w:t>
      </w:r>
    </w:p>
    <w:p w14:paraId="4AD79F1B" w14:textId="7AD16F1D" w:rsidR="00312B0B" w:rsidRPr="00391B86" w:rsidRDefault="00312B0B"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(2)</w:t>
      </w:r>
      <w:r w:rsidRPr="00391B86">
        <w:rPr>
          <w:rFonts w:ascii="Times New Roman" w:hAnsi="Times New Roman"/>
        </w:rPr>
        <w:tab/>
      </w:r>
      <w:r w:rsidR="00F8137B" w:rsidRPr="00391B86">
        <w:rPr>
          <w:rFonts w:ascii="Times New Roman" w:hAnsi="Times New Roman"/>
        </w:rPr>
        <w:t>If the proceedings are transferred to the Supreme Court of</w:t>
      </w:r>
      <w:r w:rsidR="002C4210" w:rsidRPr="00391B86">
        <w:rPr>
          <w:rFonts w:ascii="Times New Roman" w:hAnsi="Times New Roman"/>
        </w:rPr>
        <w:t xml:space="preserve"> </w:t>
      </w:r>
      <w:r w:rsidR="00F8137B" w:rsidRPr="00391B86">
        <w:rPr>
          <w:rFonts w:ascii="Times New Roman" w:hAnsi="Times New Roman"/>
        </w:rPr>
        <w:t>New South Wales:</w:t>
      </w:r>
    </w:p>
    <w:p w14:paraId="5F1B5A75" w14:textId="5A32CD7E" w:rsidR="001E63CA" w:rsidRPr="00391B86" w:rsidRDefault="00312B0B" w:rsidP="00391B86">
      <w:pPr>
        <w:pStyle w:val="NormalBody"/>
        <w:spacing w:after="260" w:line="280" w:lineRule="exact"/>
        <w:ind w:left="1440" w:right="0" w:hanging="1440"/>
        <w:jc w:val="both"/>
        <w:rPr>
          <w:rFonts w:ascii="Times New Roman" w:hAnsi="Times New Roman"/>
        </w:rPr>
      </w:pPr>
      <w:r w:rsidRPr="00391B86">
        <w:rPr>
          <w:rFonts w:ascii="Times New Roman" w:hAnsi="Times New Roman"/>
        </w:rPr>
        <w:tab/>
        <w:t>(a</w:t>
      </w:r>
      <w:r w:rsidR="001E63CA" w:rsidRPr="00391B86">
        <w:rPr>
          <w:rFonts w:ascii="Times New Roman" w:hAnsi="Times New Roman"/>
        </w:rPr>
        <w:t>)</w:t>
      </w:r>
      <w:r w:rsidR="001E63CA" w:rsidRPr="00391B86">
        <w:rPr>
          <w:rFonts w:ascii="Times New Roman" w:hAnsi="Times New Roman"/>
        </w:rPr>
        <w:tab/>
      </w:r>
      <w:r w:rsidR="00F8137B" w:rsidRPr="00391B86">
        <w:rPr>
          <w:rFonts w:ascii="Times New Roman" w:hAnsi="Times New Roman"/>
        </w:rPr>
        <w:t xml:space="preserve">will the </w:t>
      </w:r>
      <w:r w:rsidR="00FC3135" w:rsidRPr="00391B86">
        <w:rPr>
          <w:rFonts w:ascii="Times New Roman" w:hAnsi="Times New Roman"/>
        </w:rPr>
        <w:t xml:space="preserve">Arrium </w:t>
      </w:r>
      <w:r w:rsidR="00C33C35" w:rsidRPr="00391B86">
        <w:rPr>
          <w:rFonts w:ascii="Times New Roman" w:hAnsi="Times New Roman"/>
        </w:rPr>
        <w:t xml:space="preserve">class action </w:t>
      </w:r>
      <w:r w:rsidR="00FC3135" w:rsidRPr="00391B86">
        <w:rPr>
          <w:rFonts w:ascii="Times New Roman" w:hAnsi="Times New Roman"/>
        </w:rPr>
        <w:t xml:space="preserve">GCO </w:t>
      </w:r>
      <w:r w:rsidR="00F8137B" w:rsidRPr="00391B86">
        <w:rPr>
          <w:rFonts w:ascii="Times New Roman" w:hAnsi="Times New Roman"/>
        </w:rPr>
        <w:t>remain in force and be capable of being enforced by the Supreme Court of New South Wales,</w:t>
      </w:r>
      <w:r w:rsidR="00FC3135" w:rsidRPr="00391B86">
        <w:rPr>
          <w:rFonts w:ascii="Times New Roman" w:hAnsi="Times New Roman"/>
        </w:rPr>
        <w:t xml:space="preserve"> </w:t>
      </w:r>
      <w:r w:rsidR="00F8137B" w:rsidRPr="00391B86">
        <w:rPr>
          <w:rFonts w:ascii="Times New Roman" w:hAnsi="Times New Roman"/>
        </w:rPr>
        <w:t>subject to any order of that Court; and</w:t>
      </w:r>
    </w:p>
    <w:p w14:paraId="00B05380" w14:textId="4B6A3453" w:rsidR="006E74D9" w:rsidRPr="00391B86" w:rsidRDefault="001E63CA" w:rsidP="00391B86">
      <w:pPr>
        <w:pStyle w:val="NormalBody"/>
        <w:spacing w:after="260" w:line="280" w:lineRule="exact"/>
        <w:ind w:left="1440" w:right="0" w:hanging="1440"/>
        <w:jc w:val="both"/>
        <w:rPr>
          <w:rFonts w:ascii="Times New Roman" w:hAnsi="Times New Roman"/>
        </w:rPr>
      </w:pPr>
      <w:r w:rsidRPr="00391B86">
        <w:rPr>
          <w:rFonts w:ascii="Times New Roman" w:hAnsi="Times New Roman"/>
        </w:rPr>
        <w:tab/>
        <w:t>(b)</w:t>
      </w:r>
      <w:r w:rsidRPr="00391B86">
        <w:rPr>
          <w:rFonts w:ascii="Times New Roman" w:hAnsi="Times New Roman"/>
        </w:rPr>
        <w:tab/>
      </w:r>
      <w:r w:rsidR="00F8137B" w:rsidRPr="00391B86">
        <w:rPr>
          <w:rFonts w:ascii="Times New Roman" w:hAnsi="Times New Roman"/>
        </w:rPr>
        <w:t xml:space="preserve">if the </w:t>
      </w:r>
      <w:r w:rsidR="00C30920" w:rsidRPr="00391B86">
        <w:rPr>
          <w:rFonts w:ascii="Times New Roman" w:hAnsi="Times New Roman"/>
        </w:rPr>
        <w:t xml:space="preserve">Arrium </w:t>
      </w:r>
      <w:r w:rsidR="00E70291" w:rsidRPr="00391B86">
        <w:rPr>
          <w:rFonts w:ascii="Times New Roman" w:hAnsi="Times New Roman"/>
        </w:rPr>
        <w:t xml:space="preserve">class action </w:t>
      </w:r>
      <w:r w:rsidR="00F8137B" w:rsidRPr="00391B86">
        <w:rPr>
          <w:rFonts w:ascii="Times New Roman" w:hAnsi="Times New Roman"/>
        </w:rPr>
        <w:t>GCO will remain in force, does the Supreme Court of New South Wales have power to vary or revoke the GCO?</w:t>
      </w:r>
      <w:r w:rsidR="00312B0B" w:rsidRPr="00391B86">
        <w:rPr>
          <w:rFonts w:ascii="Times New Roman" w:hAnsi="Times New Roman"/>
        </w:rPr>
        <w:tab/>
      </w:r>
    </w:p>
    <w:p w14:paraId="19770619" w14:textId="7E7D4C04" w:rsidR="00D65185" w:rsidRPr="00391B86" w:rsidRDefault="006E74D9"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(3)</w:t>
      </w:r>
      <w:r w:rsidRPr="00391B86">
        <w:rPr>
          <w:rFonts w:ascii="Times New Roman" w:hAnsi="Times New Roman"/>
        </w:rPr>
        <w:tab/>
      </w:r>
      <w:r w:rsidR="00F8137B" w:rsidRPr="00391B86">
        <w:rPr>
          <w:rFonts w:ascii="Times New Roman" w:hAnsi="Times New Roman"/>
        </w:rPr>
        <w:t xml:space="preserve">Should </w:t>
      </w:r>
      <w:r w:rsidR="003B711B" w:rsidRPr="00391B86">
        <w:rPr>
          <w:rFonts w:ascii="Times New Roman" w:hAnsi="Times New Roman"/>
        </w:rPr>
        <w:t xml:space="preserve">the </w:t>
      </w:r>
      <w:r w:rsidR="00DB763B" w:rsidRPr="00391B86">
        <w:rPr>
          <w:rFonts w:ascii="Times New Roman" w:hAnsi="Times New Roman"/>
        </w:rPr>
        <w:t>proceeding</w:t>
      </w:r>
      <w:r w:rsidR="00D65185" w:rsidRPr="00391B86">
        <w:rPr>
          <w:rFonts w:ascii="Times New Roman" w:hAnsi="Times New Roman"/>
        </w:rPr>
        <w:t xml:space="preserve"> be transferred to the Supreme Court of New South Wales pursuant to s</w:t>
      </w:r>
      <w:r w:rsidR="006E1721" w:rsidRPr="00391B86">
        <w:rPr>
          <w:rFonts w:ascii="Times New Roman" w:hAnsi="Times New Roman"/>
        </w:rPr>
        <w:t> </w:t>
      </w:r>
      <w:r w:rsidR="00D65185" w:rsidRPr="00391B86">
        <w:rPr>
          <w:rFonts w:ascii="Times New Roman" w:hAnsi="Times New Roman"/>
        </w:rPr>
        <w:t>1337H of the</w:t>
      </w:r>
      <w:r w:rsidR="00E330BD" w:rsidRPr="00391B86">
        <w:rPr>
          <w:rFonts w:ascii="Times New Roman" w:hAnsi="Times New Roman"/>
        </w:rPr>
        <w:t xml:space="preserve"> Corporations Act</w:t>
      </w:r>
      <w:r w:rsidR="00D65185" w:rsidRPr="00391B86">
        <w:rPr>
          <w:rFonts w:ascii="Times New Roman" w:hAnsi="Times New Roman"/>
        </w:rPr>
        <w:t xml:space="preserve">, as sought in the summons filed by </w:t>
      </w:r>
      <w:r w:rsidR="003B711B" w:rsidRPr="00391B86">
        <w:rPr>
          <w:rFonts w:ascii="Times New Roman" w:hAnsi="Times New Roman"/>
        </w:rPr>
        <w:t>KPMG</w:t>
      </w:r>
      <w:r w:rsidR="00D65185" w:rsidRPr="00391B86">
        <w:rPr>
          <w:rFonts w:ascii="Times New Roman" w:hAnsi="Times New Roman"/>
        </w:rPr>
        <w:t>?</w:t>
      </w:r>
    </w:p>
    <w:p w14:paraId="5AD04489" w14:textId="1A1C9D62" w:rsidR="002B1B52" w:rsidRPr="00391B86" w:rsidRDefault="009E06AF"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5C0CE0" w:rsidRPr="00391B86">
        <w:rPr>
          <w:rFonts w:ascii="Times New Roman" w:hAnsi="Times New Roman"/>
        </w:rPr>
        <w:t>The Court of Appeal</w:t>
      </w:r>
      <w:r w:rsidR="006531D0" w:rsidRPr="00391B86">
        <w:rPr>
          <w:rFonts w:ascii="Times New Roman" w:hAnsi="Times New Roman"/>
        </w:rPr>
        <w:t xml:space="preserve"> (</w:t>
      </w:r>
      <w:r w:rsidR="00A408CE" w:rsidRPr="00391B86">
        <w:rPr>
          <w:rFonts w:ascii="Times New Roman" w:hAnsi="Times New Roman"/>
        </w:rPr>
        <w:t>Ferguson CJ, Niall and Macaulay JJA</w:t>
      </w:r>
      <w:r w:rsidR="006531D0" w:rsidRPr="00391B86">
        <w:rPr>
          <w:rFonts w:ascii="Times New Roman" w:hAnsi="Times New Roman"/>
        </w:rPr>
        <w:t>)</w:t>
      </w:r>
      <w:r w:rsidR="00A408CE" w:rsidRPr="00391B86">
        <w:rPr>
          <w:rFonts w:ascii="Times New Roman" w:hAnsi="Times New Roman"/>
        </w:rPr>
        <w:t xml:space="preserve"> heard argument on</w:t>
      </w:r>
      <w:r w:rsidR="006531D0" w:rsidRPr="00391B86">
        <w:rPr>
          <w:rFonts w:ascii="Times New Roman" w:hAnsi="Times New Roman"/>
        </w:rPr>
        <w:t xml:space="preserve"> th</w:t>
      </w:r>
      <w:r w:rsidR="00B2784E" w:rsidRPr="00391B86">
        <w:rPr>
          <w:rFonts w:ascii="Times New Roman" w:hAnsi="Times New Roman"/>
        </w:rPr>
        <w:t>e</w:t>
      </w:r>
      <w:r w:rsidR="00A408CE" w:rsidRPr="00391B86">
        <w:rPr>
          <w:rFonts w:ascii="Times New Roman" w:hAnsi="Times New Roman"/>
        </w:rPr>
        <w:t xml:space="preserve"> </w:t>
      </w:r>
      <w:r w:rsidR="006531D0" w:rsidRPr="00391B86">
        <w:rPr>
          <w:rFonts w:ascii="Times New Roman" w:hAnsi="Times New Roman"/>
        </w:rPr>
        <w:t xml:space="preserve">questions reserved </w:t>
      </w:r>
      <w:r w:rsidR="00A408CE" w:rsidRPr="00391B86">
        <w:rPr>
          <w:rFonts w:ascii="Times New Roman" w:hAnsi="Times New Roman"/>
        </w:rPr>
        <w:t xml:space="preserve">on </w:t>
      </w:r>
      <w:r w:rsidR="00315A63" w:rsidRPr="00391B86">
        <w:rPr>
          <w:rFonts w:ascii="Times New Roman" w:hAnsi="Times New Roman"/>
        </w:rPr>
        <w:t>27</w:t>
      </w:r>
      <w:r w:rsidR="006E1721" w:rsidRPr="00391B86">
        <w:rPr>
          <w:rFonts w:ascii="Times New Roman" w:hAnsi="Times New Roman"/>
        </w:rPr>
        <w:t> </w:t>
      </w:r>
      <w:r w:rsidR="00315A63" w:rsidRPr="00391B86">
        <w:rPr>
          <w:rFonts w:ascii="Times New Roman" w:hAnsi="Times New Roman"/>
        </w:rPr>
        <w:t>July 2023</w:t>
      </w:r>
      <w:r w:rsidR="00C74753" w:rsidRPr="00391B86">
        <w:rPr>
          <w:rFonts w:ascii="Times New Roman" w:hAnsi="Times New Roman"/>
        </w:rPr>
        <w:t xml:space="preserve"> and delivered </w:t>
      </w:r>
      <w:r w:rsidR="004A2715" w:rsidRPr="00391B86">
        <w:rPr>
          <w:rFonts w:ascii="Times New Roman" w:hAnsi="Times New Roman"/>
        </w:rPr>
        <w:t xml:space="preserve">unanimous </w:t>
      </w:r>
      <w:r w:rsidR="00315A63" w:rsidRPr="00391B86">
        <w:rPr>
          <w:rFonts w:ascii="Times New Roman" w:hAnsi="Times New Roman"/>
        </w:rPr>
        <w:t>reasons for judgment</w:t>
      </w:r>
      <w:r w:rsidR="005903A4" w:rsidRPr="00391B86">
        <w:rPr>
          <w:rFonts w:ascii="Times New Roman" w:hAnsi="Times New Roman"/>
        </w:rPr>
        <w:t xml:space="preserve"> </w:t>
      </w:r>
      <w:r w:rsidR="00052230" w:rsidRPr="00391B86">
        <w:rPr>
          <w:rFonts w:ascii="Times New Roman" w:hAnsi="Times New Roman"/>
        </w:rPr>
        <w:t>on 26</w:t>
      </w:r>
      <w:r w:rsidR="006E1721" w:rsidRPr="00391B86">
        <w:rPr>
          <w:rFonts w:ascii="Times New Roman" w:hAnsi="Times New Roman"/>
        </w:rPr>
        <w:t> </w:t>
      </w:r>
      <w:r w:rsidR="00052230" w:rsidRPr="00391B86">
        <w:rPr>
          <w:rFonts w:ascii="Times New Roman" w:hAnsi="Times New Roman"/>
        </w:rPr>
        <w:t>October 2023</w:t>
      </w:r>
      <w:r w:rsidR="00C74753" w:rsidRPr="00391B86">
        <w:rPr>
          <w:rFonts w:ascii="Times New Roman" w:hAnsi="Times New Roman"/>
        </w:rPr>
        <w:t xml:space="preserve"> </w:t>
      </w:r>
      <w:r w:rsidR="008165CE" w:rsidRPr="00391B86">
        <w:rPr>
          <w:rFonts w:ascii="Times New Roman" w:hAnsi="Times New Roman"/>
        </w:rPr>
        <w:t>concluding</w:t>
      </w:r>
      <w:r w:rsidR="00C74753" w:rsidRPr="00391B86">
        <w:rPr>
          <w:rFonts w:ascii="Times New Roman" w:hAnsi="Times New Roman"/>
        </w:rPr>
        <w:t xml:space="preserve"> </w:t>
      </w:r>
      <w:r w:rsidR="007F6767" w:rsidRPr="00391B86">
        <w:rPr>
          <w:rFonts w:ascii="Times New Roman" w:hAnsi="Times New Roman"/>
        </w:rPr>
        <w:t xml:space="preserve">that the questions reserved </w:t>
      </w:r>
      <w:r w:rsidR="007F69B7" w:rsidRPr="00391B86">
        <w:rPr>
          <w:rFonts w:ascii="Times New Roman" w:hAnsi="Times New Roman"/>
        </w:rPr>
        <w:t>should be ans</w:t>
      </w:r>
      <w:r w:rsidR="00534DAF" w:rsidRPr="00391B86">
        <w:rPr>
          <w:rFonts w:ascii="Times New Roman" w:hAnsi="Times New Roman"/>
        </w:rPr>
        <w:t>wered: (1) Yes; (2)</w:t>
      </w:r>
      <w:r w:rsidR="00955760" w:rsidRPr="00391B86">
        <w:rPr>
          <w:rFonts w:ascii="Times New Roman" w:hAnsi="Times New Roman"/>
        </w:rPr>
        <w:t>(a) No</w:t>
      </w:r>
      <w:r w:rsidR="007B2796" w:rsidRPr="00391B86">
        <w:rPr>
          <w:rFonts w:ascii="Times New Roman" w:hAnsi="Times New Roman"/>
        </w:rPr>
        <w:t>;</w:t>
      </w:r>
      <w:r w:rsidR="00955760" w:rsidRPr="00391B86">
        <w:rPr>
          <w:rFonts w:ascii="Times New Roman" w:hAnsi="Times New Roman"/>
        </w:rPr>
        <w:t xml:space="preserve"> (</w:t>
      </w:r>
      <w:r w:rsidR="004C4097" w:rsidRPr="00391B86">
        <w:rPr>
          <w:rFonts w:ascii="Times New Roman" w:hAnsi="Times New Roman"/>
        </w:rPr>
        <w:t>2)</w:t>
      </w:r>
      <w:r w:rsidR="00955760" w:rsidRPr="00391B86">
        <w:rPr>
          <w:rFonts w:ascii="Times New Roman" w:hAnsi="Times New Roman"/>
        </w:rPr>
        <w:t xml:space="preserve">(b) </w:t>
      </w:r>
      <w:r w:rsidR="007B2796" w:rsidRPr="00391B86">
        <w:rPr>
          <w:rFonts w:ascii="Times New Roman" w:hAnsi="Times New Roman"/>
        </w:rPr>
        <w:t>D</w:t>
      </w:r>
      <w:r w:rsidR="00955760" w:rsidRPr="00391B86">
        <w:rPr>
          <w:rFonts w:ascii="Times New Roman" w:hAnsi="Times New Roman"/>
        </w:rPr>
        <w:t xml:space="preserve">oes not arise; and </w:t>
      </w:r>
      <w:r w:rsidR="003C2DF8" w:rsidRPr="00391B86">
        <w:rPr>
          <w:rFonts w:ascii="Times New Roman" w:hAnsi="Times New Roman"/>
        </w:rPr>
        <w:t>(3) No.</w:t>
      </w:r>
      <w:r w:rsidR="00D4774B" w:rsidRPr="00391B86">
        <w:rPr>
          <w:rStyle w:val="FootnoteReference"/>
          <w:rFonts w:ascii="Times New Roman" w:hAnsi="Times New Roman"/>
          <w:sz w:val="24"/>
        </w:rPr>
        <w:footnoteReference w:id="20"/>
      </w:r>
      <w:r w:rsidR="00534DAF" w:rsidRPr="00391B86">
        <w:rPr>
          <w:rFonts w:ascii="Times New Roman" w:hAnsi="Times New Roman"/>
        </w:rPr>
        <w:t xml:space="preserve"> </w:t>
      </w:r>
      <w:r w:rsidR="00E646CE" w:rsidRPr="00391B86">
        <w:rPr>
          <w:rFonts w:ascii="Times New Roman" w:hAnsi="Times New Roman"/>
        </w:rPr>
        <w:t>T</w:t>
      </w:r>
      <w:r w:rsidR="00F6298E" w:rsidRPr="00391B86">
        <w:rPr>
          <w:rFonts w:ascii="Times New Roman" w:hAnsi="Times New Roman"/>
        </w:rPr>
        <w:t>o enable an application for removal to be made to this Court</w:t>
      </w:r>
      <w:r w:rsidR="00596B13" w:rsidRPr="00391B86">
        <w:rPr>
          <w:rFonts w:ascii="Times New Roman" w:hAnsi="Times New Roman"/>
        </w:rPr>
        <w:t>, t</w:t>
      </w:r>
      <w:r w:rsidR="002C77F8" w:rsidRPr="00391B86">
        <w:rPr>
          <w:rFonts w:ascii="Times New Roman" w:hAnsi="Times New Roman"/>
        </w:rPr>
        <w:t xml:space="preserve">he Court of Appeal </w:t>
      </w:r>
      <w:r w:rsidR="001903FF" w:rsidRPr="00391B86">
        <w:rPr>
          <w:rFonts w:ascii="Times New Roman" w:hAnsi="Times New Roman"/>
        </w:rPr>
        <w:t>refrain</w:t>
      </w:r>
      <w:r w:rsidR="00596B13" w:rsidRPr="00391B86">
        <w:rPr>
          <w:rFonts w:ascii="Times New Roman" w:hAnsi="Times New Roman"/>
        </w:rPr>
        <w:t>ed</w:t>
      </w:r>
      <w:r w:rsidR="001903FF" w:rsidRPr="00391B86">
        <w:rPr>
          <w:rFonts w:ascii="Times New Roman" w:hAnsi="Times New Roman"/>
        </w:rPr>
        <w:t xml:space="preserve"> from making </w:t>
      </w:r>
      <w:r w:rsidR="00472F43" w:rsidRPr="00391B86">
        <w:rPr>
          <w:rFonts w:ascii="Times New Roman" w:hAnsi="Times New Roman"/>
        </w:rPr>
        <w:t xml:space="preserve">orders </w:t>
      </w:r>
      <w:r w:rsidR="00706AD9" w:rsidRPr="00391B86">
        <w:rPr>
          <w:rFonts w:ascii="Times New Roman" w:hAnsi="Times New Roman"/>
        </w:rPr>
        <w:t xml:space="preserve">which </w:t>
      </w:r>
      <w:r w:rsidR="00472F43" w:rsidRPr="00391B86">
        <w:rPr>
          <w:rFonts w:ascii="Times New Roman" w:hAnsi="Times New Roman"/>
        </w:rPr>
        <w:t>embod</w:t>
      </w:r>
      <w:r w:rsidR="00706AD9" w:rsidRPr="00391B86">
        <w:rPr>
          <w:rFonts w:ascii="Times New Roman" w:hAnsi="Times New Roman"/>
        </w:rPr>
        <w:t>ied</w:t>
      </w:r>
      <w:r w:rsidR="00472F43" w:rsidRPr="00391B86">
        <w:rPr>
          <w:rFonts w:ascii="Times New Roman" w:hAnsi="Times New Roman"/>
        </w:rPr>
        <w:t xml:space="preserve"> those answers.</w:t>
      </w:r>
    </w:p>
    <w:p w14:paraId="0ACFB5F5" w14:textId="38767951" w:rsidR="00386E0C" w:rsidRPr="00391B86" w:rsidRDefault="009E06AF"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8E6369" w:rsidRPr="00391B86">
        <w:rPr>
          <w:rFonts w:ascii="Times New Roman" w:hAnsi="Times New Roman"/>
        </w:rPr>
        <w:t>O</w:t>
      </w:r>
      <w:r w:rsidR="00A50E0C" w:rsidRPr="00391B86">
        <w:rPr>
          <w:rFonts w:ascii="Times New Roman" w:hAnsi="Times New Roman"/>
        </w:rPr>
        <w:t>n the application of KPMG</w:t>
      </w:r>
      <w:r w:rsidR="00CF172E" w:rsidRPr="00391B86">
        <w:rPr>
          <w:rFonts w:ascii="Times New Roman" w:hAnsi="Times New Roman"/>
        </w:rPr>
        <w:t xml:space="preserve">, this Court </w:t>
      </w:r>
      <w:r w:rsidR="008E6369" w:rsidRPr="00391B86">
        <w:rPr>
          <w:rFonts w:ascii="Times New Roman" w:hAnsi="Times New Roman"/>
        </w:rPr>
        <w:t>on 7</w:t>
      </w:r>
      <w:r w:rsidR="006E1721" w:rsidRPr="00391B86">
        <w:rPr>
          <w:rFonts w:ascii="Times New Roman" w:hAnsi="Times New Roman"/>
        </w:rPr>
        <w:t> </w:t>
      </w:r>
      <w:r w:rsidR="008E6369" w:rsidRPr="00391B86">
        <w:rPr>
          <w:rFonts w:ascii="Times New Roman" w:hAnsi="Times New Roman"/>
        </w:rPr>
        <w:t xml:space="preserve">March 2024 </w:t>
      </w:r>
      <w:r w:rsidR="00CF172E" w:rsidRPr="00391B86">
        <w:rPr>
          <w:rFonts w:ascii="Times New Roman" w:hAnsi="Times New Roman"/>
        </w:rPr>
        <w:t>ordered</w:t>
      </w:r>
      <w:r w:rsidR="00A50E0C" w:rsidRPr="00391B86">
        <w:rPr>
          <w:rFonts w:ascii="Times New Roman" w:hAnsi="Times New Roman"/>
        </w:rPr>
        <w:t xml:space="preserve"> </w:t>
      </w:r>
      <w:r w:rsidR="005A72DF" w:rsidRPr="00391B86">
        <w:rPr>
          <w:rFonts w:ascii="Times New Roman" w:hAnsi="Times New Roman"/>
        </w:rPr>
        <w:t>that</w:t>
      </w:r>
      <w:r w:rsidR="005E1013" w:rsidRPr="00391B86">
        <w:rPr>
          <w:rFonts w:ascii="Times New Roman" w:hAnsi="Times New Roman"/>
        </w:rPr>
        <w:t xml:space="preserve"> the whole of the cause pending </w:t>
      </w:r>
      <w:r w:rsidR="005378BE" w:rsidRPr="00391B86">
        <w:rPr>
          <w:rFonts w:ascii="Times New Roman" w:hAnsi="Times New Roman"/>
        </w:rPr>
        <w:t>in the Court of Appeal</w:t>
      </w:r>
      <w:r w:rsidR="005A72DF" w:rsidRPr="00391B86">
        <w:rPr>
          <w:rFonts w:ascii="Times New Roman" w:hAnsi="Times New Roman"/>
        </w:rPr>
        <w:t>,</w:t>
      </w:r>
      <w:r w:rsidR="008349FE" w:rsidRPr="00391B86">
        <w:rPr>
          <w:rFonts w:ascii="Times New Roman" w:hAnsi="Times New Roman"/>
        </w:rPr>
        <w:t xml:space="preserve"> being the questions reserved for the consideration of the Court of Appeal</w:t>
      </w:r>
      <w:r w:rsidR="005A72DF" w:rsidRPr="00391B86">
        <w:rPr>
          <w:rFonts w:ascii="Times New Roman" w:hAnsi="Times New Roman"/>
        </w:rPr>
        <w:t>, be removed</w:t>
      </w:r>
      <w:r w:rsidR="00C30920" w:rsidRPr="00391B86">
        <w:rPr>
          <w:rFonts w:ascii="Times New Roman" w:hAnsi="Times New Roman"/>
        </w:rPr>
        <w:t xml:space="preserve"> into this Court</w:t>
      </w:r>
      <w:r w:rsidR="005A72DF" w:rsidRPr="00391B86">
        <w:rPr>
          <w:rFonts w:ascii="Times New Roman" w:hAnsi="Times New Roman"/>
        </w:rPr>
        <w:t xml:space="preserve"> under s</w:t>
      </w:r>
      <w:r w:rsidR="006E1721" w:rsidRPr="00391B86">
        <w:rPr>
          <w:rFonts w:ascii="Times New Roman" w:hAnsi="Times New Roman"/>
        </w:rPr>
        <w:t> </w:t>
      </w:r>
      <w:r w:rsidR="005A72DF" w:rsidRPr="00391B86">
        <w:rPr>
          <w:rFonts w:ascii="Times New Roman" w:hAnsi="Times New Roman"/>
        </w:rPr>
        <w:t>40(2) of the Judiciary Act</w:t>
      </w:r>
      <w:r w:rsidR="00943AF3" w:rsidRPr="00391B86">
        <w:rPr>
          <w:rFonts w:ascii="Times New Roman" w:hAnsi="Times New Roman"/>
        </w:rPr>
        <w:t>.</w:t>
      </w:r>
    </w:p>
    <w:p w14:paraId="7DF99AAD" w14:textId="475A2309" w:rsidR="00C64B34" w:rsidRPr="00391B86" w:rsidRDefault="00C64B34"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DE02C7" w:rsidRPr="00391B86">
        <w:rPr>
          <w:rFonts w:ascii="Times New Roman" w:hAnsi="Times New Roman"/>
        </w:rPr>
        <w:t>The cause having been removed, the parties</w:t>
      </w:r>
      <w:r w:rsidR="00450ACC" w:rsidRPr="00391B86">
        <w:rPr>
          <w:rFonts w:ascii="Times New Roman" w:hAnsi="Times New Roman"/>
        </w:rPr>
        <w:t xml:space="preserve"> </w:t>
      </w:r>
      <w:r w:rsidR="00A577EA" w:rsidRPr="00391B86">
        <w:rPr>
          <w:rFonts w:ascii="Times New Roman" w:hAnsi="Times New Roman"/>
        </w:rPr>
        <w:t xml:space="preserve">have </w:t>
      </w:r>
      <w:r w:rsidR="004438C8" w:rsidRPr="00391B86">
        <w:rPr>
          <w:rFonts w:ascii="Times New Roman" w:hAnsi="Times New Roman"/>
        </w:rPr>
        <w:t xml:space="preserve">in this Court </w:t>
      </w:r>
      <w:r w:rsidR="000D69D1" w:rsidRPr="00391B86">
        <w:rPr>
          <w:rFonts w:ascii="Times New Roman" w:hAnsi="Times New Roman"/>
        </w:rPr>
        <w:t>been styled applicants and respondents</w:t>
      </w:r>
      <w:r w:rsidR="00CC57D8" w:rsidRPr="00391B86">
        <w:rPr>
          <w:rFonts w:ascii="Times New Roman" w:hAnsi="Times New Roman"/>
        </w:rPr>
        <w:t xml:space="preserve"> but </w:t>
      </w:r>
      <w:r w:rsidR="00930625" w:rsidRPr="00391B86">
        <w:rPr>
          <w:rFonts w:ascii="Times New Roman" w:hAnsi="Times New Roman"/>
        </w:rPr>
        <w:t>can</w:t>
      </w:r>
      <w:r w:rsidR="00A577EA" w:rsidRPr="00391B86">
        <w:rPr>
          <w:rFonts w:ascii="Times New Roman" w:hAnsi="Times New Roman"/>
        </w:rPr>
        <w:t xml:space="preserve"> convenient</w:t>
      </w:r>
      <w:r w:rsidR="00930625" w:rsidRPr="00391B86">
        <w:rPr>
          <w:rFonts w:ascii="Times New Roman" w:hAnsi="Times New Roman"/>
        </w:rPr>
        <w:t>ly</w:t>
      </w:r>
      <w:r w:rsidR="00A577EA" w:rsidRPr="00391B86">
        <w:rPr>
          <w:rFonts w:ascii="Times New Roman" w:hAnsi="Times New Roman"/>
        </w:rPr>
        <w:t xml:space="preserve"> continue to </w:t>
      </w:r>
      <w:r w:rsidR="00930625" w:rsidRPr="00391B86">
        <w:rPr>
          <w:rFonts w:ascii="Times New Roman" w:hAnsi="Times New Roman"/>
        </w:rPr>
        <w:t xml:space="preserve">be </w:t>
      </w:r>
      <w:r w:rsidR="00A577EA" w:rsidRPr="00391B86">
        <w:rPr>
          <w:rFonts w:ascii="Times New Roman" w:hAnsi="Times New Roman"/>
        </w:rPr>
        <w:t>refer</w:t>
      </w:r>
      <w:r w:rsidR="00930625" w:rsidRPr="00391B86">
        <w:rPr>
          <w:rFonts w:ascii="Times New Roman" w:hAnsi="Times New Roman"/>
        </w:rPr>
        <w:t>red</w:t>
      </w:r>
      <w:r w:rsidR="00A577EA" w:rsidRPr="00391B86">
        <w:rPr>
          <w:rFonts w:ascii="Times New Roman" w:hAnsi="Times New Roman"/>
        </w:rPr>
        <w:t xml:space="preserve"> to </w:t>
      </w:r>
      <w:r w:rsidR="00930625" w:rsidRPr="00391B86">
        <w:rPr>
          <w:rFonts w:ascii="Times New Roman" w:hAnsi="Times New Roman"/>
        </w:rPr>
        <w:t>as</w:t>
      </w:r>
      <w:r w:rsidR="00A577EA" w:rsidRPr="00391B86">
        <w:rPr>
          <w:rFonts w:ascii="Times New Roman" w:hAnsi="Times New Roman"/>
        </w:rPr>
        <w:t xml:space="preserve"> plaintiffs and defendants</w:t>
      </w:r>
      <w:r w:rsidR="00DE02C7" w:rsidRPr="00391B86">
        <w:rPr>
          <w:rFonts w:ascii="Times New Roman" w:hAnsi="Times New Roman"/>
        </w:rPr>
        <w:t xml:space="preserve">. </w:t>
      </w:r>
      <w:r w:rsidRPr="00391B86">
        <w:rPr>
          <w:rFonts w:ascii="Times New Roman" w:hAnsi="Times New Roman"/>
        </w:rPr>
        <w:t>T</w:t>
      </w:r>
      <w:r w:rsidR="00921659" w:rsidRPr="00391B86">
        <w:rPr>
          <w:rFonts w:ascii="Times New Roman" w:hAnsi="Times New Roman"/>
        </w:rPr>
        <w:t xml:space="preserve">he </w:t>
      </w:r>
      <w:r w:rsidRPr="00391B86">
        <w:rPr>
          <w:rFonts w:ascii="Times New Roman" w:hAnsi="Times New Roman"/>
        </w:rPr>
        <w:t>hearing before this Court was</w:t>
      </w:r>
      <w:r w:rsidR="009F64CF" w:rsidRPr="00391B86">
        <w:rPr>
          <w:rFonts w:ascii="Times New Roman" w:hAnsi="Times New Roman"/>
        </w:rPr>
        <w:t xml:space="preserve"> </w:t>
      </w:r>
      <w:r w:rsidRPr="00391B86">
        <w:rPr>
          <w:rFonts w:ascii="Times New Roman" w:hAnsi="Times New Roman"/>
        </w:rPr>
        <w:t xml:space="preserve">delayed by the </w:t>
      </w:r>
      <w:r w:rsidR="006F1169" w:rsidRPr="00391B86">
        <w:rPr>
          <w:rFonts w:ascii="Times New Roman" w:hAnsi="Times New Roman"/>
        </w:rPr>
        <w:t>plaintiffs</w:t>
      </w:r>
      <w:r w:rsidR="007E5712" w:rsidRPr="00391B86">
        <w:rPr>
          <w:rFonts w:ascii="Times New Roman" w:hAnsi="Times New Roman"/>
        </w:rPr>
        <w:t xml:space="preserve"> </w:t>
      </w:r>
      <w:r w:rsidR="00A42993" w:rsidRPr="00391B86">
        <w:rPr>
          <w:rFonts w:ascii="Times New Roman" w:hAnsi="Times New Roman"/>
        </w:rPr>
        <w:t xml:space="preserve">choosing to </w:t>
      </w:r>
      <w:r w:rsidR="007E5712" w:rsidRPr="00391B86">
        <w:rPr>
          <w:rFonts w:ascii="Times New Roman" w:hAnsi="Times New Roman"/>
        </w:rPr>
        <w:t>rais</w:t>
      </w:r>
      <w:r w:rsidR="00A42993" w:rsidRPr="00391B86">
        <w:rPr>
          <w:rFonts w:ascii="Times New Roman" w:hAnsi="Times New Roman"/>
        </w:rPr>
        <w:t xml:space="preserve">e </w:t>
      </w:r>
      <w:r w:rsidR="00FC7A94" w:rsidRPr="00391B86">
        <w:rPr>
          <w:rFonts w:ascii="Times New Roman" w:hAnsi="Times New Roman"/>
        </w:rPr>
        <w:t xml:space="preserve">a range of novel </w:t>
      </w:r>
      <w:r w:rsidR="00A42993" w:rsidRPr="00391B86">
        <w:rPr>
          <w:rFonts w:ascii="Times New Roman" w:hAnsi="Times New Roman"/>
        </w:rPr>
        <w:t xml:space="preserve">constitutional issues which had not been raised before </w:t>
      </w:r>
      <w:r w:rsidRPr="00391B86">
        <w:rPr>
          <w:rFonts w:ascii="Times New Roman" w:hAnsi="Times New Roman"/>
        </w:rPr>
        <w:t xml:space="preserve">the </w:t>
      </w:r>
      <w:r w:rsidR="00921659" w:rsidRPr="00391B86">
        <w:rPr>
          <w:rFonts w:ascii="Times New Roman" w:hAnsi="Times New Roman"/>
        </w:rPr>
        <w:t xml:space="preserve">Court of </w:t>
      </w:r>
      <w:r w:rsidR="004B086C" w:rsidRPr="00391B86">
        <w:rPr>
          <w:rFonts w:ascii="Times New Roman" w:hAnsi="Times New Roman"/>
        </w:rPr>
        <w:t xml:space="preserve">Appeal, prompting intervention by the </w:t>
      </w:r>
      <w:r w:rsidRPr="00391B86">
        <w:rPr>
          <w:rFonts w:ascii="Times New Roman" w:hAnsi="Times New Roman"/>
        </w:rPr>
        <w:t>Attorney-General of the Commonwealth</w:t>
      </w:r>
      <w:r w:rsidR="004B086C" w:rsidRPr="00391B86">
        <w:rPr>
          <w:rFonts w:ascii="Times New Roman" w:hAnsi="Times New Roman"/>
        </w:rPr>
        <w:t xml:space="preserve"> </w:t>
      </w:r>
      <w:r w:rsidRPr="00391B86">
        <w:rPr>
          <w:rFonts w:ascii="Times New Roman" w:hAnsi="Times New Roman"/>
        </w:rPr>
        <w:t>under s</w:t>
      </w:r>
      <w:r w:rsidR="006E1721" w:rsidRPr="00391B86">
        <w:rPr>
          <w:rFonts w:ascii="Times New Roman" w:hAnsi="Times New Roman"/>
        </w:rPr>
        <w:t> </w:t>
      </w:r>
      <w:r w:rsidRPr="00391B86">
        <w:rPr>
          <w:rFonts w:ascii="Times New Roman" w:hAnsi="Times New Roman"/>
        </w:rPr>
        <w:t>78A of the Judiciary Act</w:t>
      </w:r>
      <w:r w:rsidR="004B086C" w:rsidRPr="00391B86">
        <w:rPr>
          <w:rFonts w:ascii="Times New Roman" w:hAnsi="Times New Roman"/>
        </w:rPr>
        <w:t xml:space="preserve">. </w:t>
      </w:r>
      <w:r w:rsidR="007676F8" w:rsidRPr="00391B86">
        <w:rPr>
          <w:rFonts w:ascii="Times New Roman" w:hAnsi="Times New Roman"/>
        </w:rPr>
        <w:t xml:space="preserve">In the result, it will not be necessary to </w:t>
      </w:r>
      <w:r w:rsidR="00EB74F1" w:rsidRPr="00391B86">
        <w:rPr>
          <w:rFonts w:ascii="Times New Roman" w:hAnsi="Times New Roman"/>
        </w:rPr>
        <w:t>address any of those</w:t>
      </w:r>
      <w:r w:rsidR="0063035C" w:rsidRPr="00391B86">
        <w:rPr>
          <w:rFonts w:ascii="Times New Roman" w:hAnsi="Times New Roman"/>
        </w:rPr>
        <w:t xml:space="preserve"> novel constitutional</w:t>
      </w:r>
      <w:r w:rsidR="00EB74F1" w:rsidRPr="00391B86">
        <w:rPr>
          <w:rFonts w:ascii="Times New Roman" w:hAnsi="Times New Roman"/>
        </w:rPr>
        <w:t xml:space="preserve"> issues.</w:t>
      </w:r>
    </w:p>
    <w:p w14:paraId="777A4436" w14:textId="7D7B08E9" w:rsidR="00147B53" w:rsidRPr="00391B86" w:rsidRDefault="009E06AF" w:rsidP="00391B86">
      <w:pPr>
        <w:pStyle w:val="FixListStyle"/>
        <w:spacing w:after="260" w:line="280" w:lineRule="exact"/>
        <w:ind w:right="0"/>
        <w:jc w:val="both"/>
        <w:rPr>
          <w:rFonts w:ascii="Times New Roman" w:hAnsi="Times New Roman"/>
        </w:rPr>
      </w:pPr>
      <w:r w:rsidRPr="00391B86">
        <w:rPr>
          <w:rFonts w:ascii="Times New Roman" w:hAnsi="Times New Roman"/>
        </w:rPr>
        <w:lastRenderedPageBreak/>
        <w:tab/>
      </w:r>
      <w:r w:rsidR="001F70FC" w:rsidRPr="00391B86">
        <w:rPr>
          <w:rFonts w:ascii="Times New Roman" w:hAnsi="Times New Roman"/>
        </w:rPr>
        <w:t>T</w:t>
      </w:r>
      <w:r w:rsidR="00D737D3" w:rsidRPr="00391B86">
        <w:rPr>
          <w:rFonts w:ascii="Times New Roman" w:hAnsi="Times New Roman"/>
        </w:rPr>
        <w:t>he</w:t>
      </w:r>
      <w:r w:rsidR="001841AA" w:rsidRPr="00391B86">
        <w:rPr>
          <w:rFonts w:ascii="Times New Roman" w:hAnsi="Times New Roman"/>
        </w:rPr>
        <w:t xml:space="preserve"> </w:t>
      </w:r>
      <w:r w:rsidR="001F70FC" w:rsidRPr="00391B86">
        <w:rPr>
          <w:rFonts w:ascii="Times New Roman" w:hAnsi="Times New Roman"/>
        </w:rPr>
        <w:t xml:space="preserve">hearing </w:t>
      </w:r>
      <w:r w:rsidR="0070681C" w:rsidRPr="00391B86">
        <w:rPr>
          <w:rFonts w:ascii="Times New Roman" w:hAnsi="Times New Roman"/>
        </w:rPr>
        <w:t>of the cause removed in</w:t>
      </w:r>
      <w:r w:rsidR="00B06974" w:rsidRPr="00391B86">
        <w:rPr>
          <w:rFonts w:ascii="Times New Roman" w:hAnsi="Times New Roman"/>
        </w:rPr>
        <w:t>to</w:t>
      </w:r>
      <w:r w:rsidR="001F70FC" w:rsidRPr="00391B86">
        <w:rPr>
          <w:rFonts w:ascii="Times New Roman" w:hAnsi="Times New Roman"/>
        </w:rPr>
        <w:t xml:space="preserve"> this Court </w:t>
      </w:r>
      <w:r w:rsidR="0000562A" w:rsidRPr="00391B86">
        <w:rPr>
          <w:rFonts w:ascii="Times New Roman" w:hAnsi="Times New Roman"/>
        </w:rPr>
        <w:t xml:space="preserve">ultimately </w:t>
      </w:r>
      <w:r w:rsidR="001841AA" w:rsidRPr="00391B86">
        <w:rPr>
          <w:rFonts w:ascii="Times New Roman" w:hAnsi="Times New Roman"/>
        </w:rPr>
        <w:t xml:space="preserve">proceeded </w:t>
      </w:r>
      <w:r w:rsidR="0094231E" w:rsidRPr="00391B86">
        <w:rPr>
          <w:rFonts w:ascii="Times New Roman" w:hAnsi="Times New Roman"/>
        </w:rPr>
        <w:t>on 12</w:t>
      </w:r>
      <w:r w:rsidR="006E1721" w:rsidRPr="00391B86">
        <w:rPr>
          <w:rFonts w:ascii="Times New Roman" w:hAnsi="Times New Roman"/>
        </w:rPr>
        <w:t> </w:t>
      </w:r>
      <w:r w:rsidR="0094231E" w:rsidRPr="00391B86">
        <w:rPr>
          <w:rFonts w:ascii="Times New Roman" w:hAnsi="Times New Roman"/>
        </w:rPr>
        <w:t xml:space="preserve">November 2024 </w:t>
      </w:r>
      <w:r w:rsidR="001841AA" w:rsidRPr="00391B86">
        <w:rPr>
          <w:rFonts w:ascii="Times New Roman" w:hAnsi="Times New Roman"/>
        </w:rPr>
        <w:t>by reference to</w:t>
      </w:r>
      <w:r w:rsidR="00545B35" w:rsidRPr="00391B86">
        <w:rPr>
          <w:rFonts w:ascii="Times New Roman" w:hAnsi="Times New Roman"/>
        </w:rPr>
        <w:t xml:space="preserve"> </w:t>
      </w:r>
      <w:r w:rsidR="009F7FBE" w:rsidRPr="00391B86">
        <w:rPr>
          <w:rFonts w:ascii="Times New Roman" w:hAnsi="Times New Roman"/>
        </w:rPr>
        <w:t>the same</w:t>
      </w:r>
      <w:r w:rsidR="00200A99" w:rsidRPr="00391B86">
        <w:rPr>
          <w:rFonts w:ascii="Times New Roman" w:hAnsi="Times New Roman"/>
        </w:rPr>
        <w:t xml:space="preserve"> statement of</w:t>
      </w:r>
      <w:r w:rsidR="001841AA" w:rsidRPr="00391B86">
        <w:rPr>
          <w:rFonts w:ascii="Times New Roman" w:hAnsi="Times New Roman"/>
        </w:rPr>
        <w:t xml:space="preserve"> agreed facts</w:t>
      </w:r>
      <w:r w:rsidR="009F7FBE" w:rsidRPr="00391B86">
        <w:rPr>
          <w:rFonts w:ascii="Times New Roman" w:hAnsi="Times New Roman"/>
        </w:rPr>
        <w:t xml:space="preserve"> as </w:t>
      </w:r>
      <w:r w:rsidR="003951E5" w:rsidRPr="00391B86">
        <w:rPr>
          <w:rFonts w:ascii="Times New Roman" w:hAnsi="Times New Roman"/>
        </w:rPr>
        <w:t>was before</w:t>
      </w:r>
      <w:r w:rsidR="009F7FBE" w:rsidRPr="00391B86">
        <w:rPr>
          <w:rFonts w:ascii="Times New Roman" w:hAnsi="Times New Roman"/>
        </w:rPr>
        <w:t xml:space="preserve"> the Court of Appea</w:t>
      </w:r>
      <w:r w:rsidR="00BC6FD2" w:rsidRPr="00391B86">
        <w:rPr>
          <w:rFonts w:ascii="Times New Roman" w:hAnsi="Times New Roman"/>
        </w:rPr>
        <w:t>l</w:t>
      </w:r>
      <w:r w:rsidR="00BA6666" w:rsidRPr="00391B86">
        <w:rPr>
          <w:rFonts w:ascii="Times New Roman" w:hAnsi="Times New Roman"/>
        </w:rPr>
        <w:t xml:space="preserve"> on 27</w:t>
      </w:r>
      <w:r w:rsidR="006E1721" w:rsidRPr="00391B86">
        <w:rPr>
          <w:rFonts w:ascii="Times New Roman" w:hAnsi="Times New Roman"/>
        </w:rPr>
        <w:t> </w:t>
      </w:r>
      <w:r w:rsidR="00BA6666" w:rsidRPr="00391B86">
        <w:rPr>
          <w:rFonts w:ascii="Times New Roman" w:hAnsi="Times New Roman"/>
        </w:rPr>
        <w:t>July 2023</w:t>
      </w:r>
      <w:r w:rsidR="001841AA" w:rsidRPr="00391B86">
        <w:rPr>
          <w:rFonts w:ascii="Times New Roman" w:hAnsi="Times New Roman"/>
        </w:rPr>
        <w:t xml:space="preserve">. </w:t>
      </w:r>
      <w:r w:rsidR="00687062" w:rsidRPr="00391B86">
        <w:rPr>
          <w:rFonts w:ascii="Times New Roman" w:hAnsi="Times New Roman"/>
        </w:rPr>
        <w:t xml:space="preserve">In addition to the facts </w:t>
      </w:r>
      <w:r w:rsidR="009454C3" w:rsidRPr="00391B86">
        <w:rPr>
          <w:rFonts w:ascii="Times New Roman" w:hAnsi="Times New Roman"/>
        </w:rPr>
        <w:t xml:space="preserve">which have </w:t>
      </w:r>
      <w:r w:rsidR="00687062" w:rsidRPr="00391B86">
        <w:rPr>
          <w:rFonts w:ascii="Times New Roman" w:hAnsi="Times New Roman"/>
        </w:rPr>
        <w:t>already</w:t>
      </w:r>
      <w:r w:rsidR="009454C3" w:rsidRPr="00391B86">
        <w:rPr>
          <w:rFonts w:ascii="Times New Roman" w:hAnsi="Times New Roman"/>
        </w:rPr>
        <w:t xml:space="preserve"> been</w:t>
      </w:r>
      <w:r w:rsidR="00687062" w:rsidRPr="00391B86">
        <w:rPr>
          <w:rFonts w:ascii="Times New Roman" w:hAnsi="Times New Roman"/>
        </w:rPr>
        <w:t xml:space="preserve"> recoun</w:t>
      </w:r>
      <w:r w:rsidR="002D3D64" w:rsidRPr="00391B86">
        <w:rPr>
          <w:rFonts w:ascii="Times New Roman" w:hAnsi="Times New Roman"/>
        </w:rPr>
        <w:t>ted, t</w:t>
      </w:r>
      <w:r w:rsidR="00AD6E38" w:rsidRPr="00391B86">
        <w:rPr>
          <w:rFonts w:ascii="Times New Roman" w:hAnsi="Times New Roman"/>
        </w:rPr>
        <w:t>h</w:t>
      </w:r>
      <w:r w:rsidR="009E5DBF" w:rsidRPr="00391B86">
        <w:rPr>
          <w:rFonts w:ascii="Times New Roman" w:hAnsi="Times New Roman"/>
        </w:rPr>
        <w:t>ose</w:t>
      </w:r>
      <w:r w:rsidR="00AD6E38" w:rsidRPr="00391B86">
        <w:rPr>
          <w:rFonts w:ascii="Times New Roman" w:hAnsi="Times New Roman"/>
        </w:rPr>
        <w:t xml:space="preserve"> </w:t>
      </w:r>
      <w:r w:rsidR="0051772C" w:rsidRPr="00391B86">
        <w:rPr>
          <w:rFonts w:ascii="Times New Roman" w:hAnsi="Times New Roman"/>
        </w:rPr>
        <w:t xml:space="preserve">agreed </w:t>
      </w:r>
      <w:r w:rsidR="00AD6E38" w:rsidRPr="00391B86">
        <w:rPr>
          <w:rFonts w:ascii="Times New Roman" w:hAnsi="Times New Roman"/>
        </w:rPr>
        <w:t xml:space="preserve">facts </w:t>
      </w:r>
      <w:r w:rsidR="0051772C" w:rsidRPr="00391B86">
        <w:rPr>
          <w:rFonts w:ascii="Times New Roman" w:hAnsi="Times New Roman"/>
        </w:rPr>
        <w:t>include</w:t>
      </w:r>
      <w:r w:rsidR="00C64D13" w:rsidRPr="00391B86">
        <w:rPr>
          <w:rFonts w:ascii="Times New Roman" w:hAnsi="Times New Roman"/>
        </w:rPr>
        <w:t xml:space="preserve"> </w:t>
      </w:r>
      <w:r w:rsidR="00AD6E38" w:rsidRPr="00391B86">
        <w:rPr>
          <w:rFonts w:ascii="Times New Roman" w:hAnsi="Times New Roman"/>
        </w:rPr>
        <w:t>the following</w:t>
      </w:r>
      <w:r w:rsidR="002B56C6" w:rsidRPr="00391B86">
        <w:rPr>
          <w:rFonts w:ascii="Times New Roman" w:hAnsi="Times New Roman"/>
        </w:rPr>
        <w:t xml:space="preserve"> </w:t>
      </w:r>
      <w:r w:rsidR="00907337" w:rsidRPr="00391B86">
        <w:rPr>
          <w:rFonts w:ascii="Times New Roman" w:hAnsi="Times New Roman"/>
        </w:rPr>
        <w:t>evaluative conclusions</w:t>
      </w:r>
      <w:r w:rsidR="00714E34" w:rsidRPr="00391B86">
        <w:rPr>
          <w:rFonts w:ascii="Times New Roman" w:hAnsi="Times New Roman"/>
        </w:rPr>
        <w:t xml:space="preserve"> </w:t>
      </w:r>
      <w:r w:rsidR="002D3D64" w:rsidRPr="00391B86">
        <w:rPr>
          <w:rFonts w:ascii="Times New Roman" w:hAnsi="Times New Roman"/>
        </w:rPr>
        <w:t xml:space="preserve">which were </w:t>
      </w:r>
      <w:r w:rsidR="00714E34" w:rsidRPr="00391B86">
        <w:rPr>
          <w:rFonts w:ascii="Times New Roman" w:hAnsi="Times New Roman"/>
        </w:rPr>
        <w:t>reached</w:t>
      </w:r>
      <w:r w:rsidR="002B56C6" w:rsidRPr="00391B86">
        <w:rPr>
          <w:rFonts w:ascii="Times New Roman" w:hAnsi="Times New Roman"/>
        </w:rPr>
        <w:t xml:space="preserve"> by Dixon J in determining the G</w:t>
      </w:r>
      <w:r w:rsidR="00E51B9F" w:rsidRPr="00391B86">
        <w:rPr>
          <w:rFonts w:ascii="Times New Roman" w:hAnsi="Times New Roman"/>
        </w:rPr>
        <w:t>C</w:t>
      </w:r>
      <w:r w:rsidR="002B56C6" w:rsidRPr="00391B86">
        <w:rPr>
          <w:rFonts w:ascii="Times New Roman" w:hAnsi="Times New Roman"/>
        </w:rPr>
        <w:t>O application:</w:t>
      </w:r>
      <w:r w:rsidR="000C5B66" w:rsidRPr="00391B86">
        <w:rPr>
          <w:rStyle w:val="FootnoteReference"/>
          <w:rFonts w:ascii="Times New Roman" w:hAnsi="Times New Roman"/>
          <w:sz w:val="24"/>
        </w:rPr>
        <w:footnoteReference w:id="21"/>
      </w:r>
    </w:p>
    <w:p w14:paraId="698DAFF5" w14:textId="1FB5CBDE" w:rsidR="00E13216" w:rsidRPr="00391B86" w:rsidRDefault="009C50AC"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w:t>
      </w:r>
      <w:r w:rsidRPr="00391B86">
        <w:rPr>
          <w:rFonts w:ascii="Times New Roman" w:hAnsi="Times New Roman"/>
        </w:rPr>
        <w:tab/>
      </w:r>
      <w:r w:rsidR="00276B7D" w:rsidRPr="00391B86">
        <w:rPr>
          <w:rFonts w:ascii="Times New Roman" w:hAnsi="Times New Roman"/>
        </w:rPr>
        <w:t xml:space="preserve">the Arrium class action </w:t>
      </w:r>
      <w:r w:rsidR="008C740C" w:rsidRPr="00391B86">
        <w:rPr>
          <w:rFonts w:ascii="Times New Roman" w:hAnsi="Times New Roman"/>
        </w:rPr>
        <w:t>"</w:t>
      </w:r>
      <w:r w:rsidR="00276B7D" w:rsidRPr="00391B86">
        <w:rPr>
          <w:rFonts w:ascii="Times New Roman" w:hAnsi="Times New Roman"/>
        </w:rPr>
        <w:t>is complex, difficult and likely to consume time and resources</w:t>
      </w:r>
      <w:r w:rsidR="008C740C" w:rsidRPr="00391B86">
        <w:rPr>
          <w:rFonts w:ascii="Times New Roman" w:hAnsi="Times New Roman"/>
        </w:rPr>
        <w:t>"</w:t>
      </w:r>
      <w:r w:rsidR="0052655D" w:rsidRPr="00391B86">
        <w:rPr>
          <w:rFonts w:ascii="Times New Roman" w:hAnsi="Times New Roman"/>
        </w:rPr>
        <w:t xml:space="preserve"> and </w:t>
      </w:r>
      <w:r w:rsidR="008C740C" w:rsidRPr="00391B86">
        <w:rPr>
          <w:rFonts w:ascii="Times New Roman" w:hAnsi="Times New Roman"/>
        </w:rPr>
        <w:t>"</w:t>
      </w:r>
      <w:r w:rsidR="00402B3C" w:rsidRPr="00391B86">
        <w:rPr>
          <w:rFonts w:ascii="Times New Roman" w:hAnsi="Times New Roman"/>
        </w:rPr>
        <w:t>[</w:t>
      </w:r>
      <w:r w:rsidR="00E13216" w:rsidRPr="00391B86">
        <w:rPr>
          <w:rFonts w:ascii="Times New Roman" w:hAnsi="Times New Roman"/>
        </w:rPr>
        <w:t>a</w:t>
      </w:r>
      <w:r w:rsidR="00402B3C" w:rsidRPr="00391B86">
        <w:rPr>
          <w:rFonts w:ascii="Times New Roman" w:hAnsi="Times New Roman"/>
        </w:rPr>
        <w:t>]</w:t>
      </w:r>
      <w:r w:rsidR="00E13216" w:rsidRPr="00391B86">
        <w:rPr>
          <w:rFonts w:ascii="Times New Roman" w:hAnsi="Times New Roman"/>
        </w:rPr>
        <w:t xml:space="preserve"> successful outcome for the plaintiffs and </w:t>
      </w:r>
      <w:r w:rsidR="00521303" w:rsidRPr="00391B86">
        <w:rPr>
          <w:rFonts w:ascii="Times New Roman" w:hAnsi="Times New Roman"/>
        </w:rPr>
        <w:t>group</w:t>
      </w:r>
      <w:r w:rsidR="00E13216" w:rsidRPr="00391B86">
        <w:rPr>
          <w:rFonts w:ascii="Times New Roman" w:hAnsi="Times New Roman"/>
        </w:rPr>
        <w:t xml:space="preserve"> members </w:t>
      </w:r>
      <w:r w:rsidR="00CD17C4" w:rsidRPr="00391B86">
        <w:rPr>
          <w:rFonts w:ascii="Times New Roman" w:hAnsi="Times New Roman"/>
        </w:rPr>
        <w:t>is attended by risk, not just in terms of establishing liability and proving losses but also in terms of recovery and of any judgment that might be won</w:t>
      </w:r>
      <w:proofErr w:type="gramStart"/>
      <w:r w:rsidR="008C740C" w:rsidRPr="00391B86">
        <w:rPr>
          <w:rFonts w:ascii="Times New Roman" w:hAnsi="Times New Roman"/>
        </w:rPr>
        <w:t>"</w:t>
      </w:r>
      <w:r w:rsidR="00CD17C4" w:rsidRPr="00391B86">
        <w:rPr>
          <w:rFonts w:ascii="Times New Roman" w:hAnsi="Times New Roman"/>
        </w:rPr>
        <w:t>;</w:t>
      </w:r>
      <w:proofErr w:type="gramEnd"/>
    </w:p>
    <w:p w14:paraId="3C0062D1" w14:textId="68A8533C" w:rsidR="00CD17C4" w:rsidRPr="00391B86" w:rsidRDefault="009C50AC"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w:t>
      </w:r>
      <w:r w:rsidRPr="00391B86">
        <w:rPr>
          <w:rFonts w:ascii="Times New Roman" w:hAnsi="Times New Roman"/>
        </w:rPr>
        <w:tab/>
      </w:r>
      <w:r w:rsidR="008C740C" w:rsidRPr="00391B86">
        <w:rPr>
          <w:rFonts w:ascii="Times New Roman" w:hAnsi="Times New Roman"/>
        </w:rPr>
        <w:t>"</w:t>
      </w:r>
      <w:r w:rsidR="00AC7E69" w:rsidRPr="00391B86">
        <w:rPr>
          <w:rFonts w:ascii="Times New Roman" w:hAnsi="Times New Roman"/>
        </w:rPr>
        <w:t>[</w:t>
      </w:r>
      <w:proofErr w:type="spellStart"/>
      <w:r w:rsidR="00AC7E69" w:rsidRPr="00391B86">
        <w:rPr>
          <w:rFonts w:ascii="Times New Roman" w:hAnsi="Times New Roman"/>
        </w:rPr>
        <w:t>i</w:t>
      </w:r>
      <w:proofErr w:type="spellEnd"/>
      <w:r w:rsidR="00AC7E69" w:rsidRPr="00391B86">
        <w:rPr>
          <w:rFonts w:ascii="Times New Roman" w:hAnsi="Times New Roman"/>
        </w:rPr>
        <w:t xml:space="preserve">]n the absence of a GCO, </w:t>
      </w:r>
      <w:r w:rsidR="00C13E37" w:rsidRPr="00391B86">
        <w:rPr>
          <w:rFonts w:ascii="Times New Roman" w:hAnsi="Times New Roman"/>
        </w:rPr>
        <w:t>t</w:t>
      </w:r>
      <w:r w:rsidR="00AC7E69" w:rsidRPr="00391B86">
        <w:rPr>
          <w:rFonts w:ascii="Times New Roman" w:hAnsi="Times New Roman"/>
        </w:rPr>
        <w:t>here is a considerable risk,</w:t>
      </w:r>
      <w:r w:rsidR="00BE516D" w:rsidRPr="00391B86">
        <w:rPr>
          <w:rFonts w:ascii="Times New Roman" w:hAnsi="Times New Roman"/>
        </w:rPr>
        <w:t xml:space="preserve"> indeed a probability, that the Funder </w:t>
      </w:r>
      <w:r w:rsidR="00C13E37" w:rsidRPr="00391B86">
        <w:rPr>
          <w:rFonts w:ascii="Times New Roman" w:hAnsi="Times New Roman"/>
        </w:rPr>
        <w:t>… will not continue to fund the proceeding</w:t>
      </w:r>
      <w:proofErr w:type="gramStart"/>
      <w:r w:rsidR="008C740C" w:rsidRPr="00391B86">
        <w:rPr>
          <w:rFonts w:ascii="Times New Roman" w:hAnsi="Times New Roman"/>
        </w:rPr>
        <w:t>"</w:t>
      </w:r>
      <w:r w:rsidR="00C13E37" w:rsidRPr="00391B86">
        <w:rPr>
          <w:rFonts w:ascii="Times New Roman" w:hAnsi="Times New Roman"/>
        </w:rPr>
        <w:t>;</w:t>
      </w:r>
      <w:proofErr w:type="gramEnd"/>
    </w:p>
    <w:p w14:paraId="7620B86E" w14:textId="1C8E0DA0" w:rsidR="009D7EAD" w:rsidRPr="00391B86" w:rsidRDefault="009C50AC"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w:t>
      </w:r>
      <w:r w:rsidRPr="00391B86">
        <w:rPr>
          <w:rFonts w:ascii="Times New Roman" w:hAnsi="Times New Roman"/>
        </w:rPr>
        <w:tab/>
      </w:r>
      <w:r w:rsidR="009D7EAD" w:rsidRPr="00391B86">
        <w:rPr>
          <w:rFonts w:ascii="Times New Roman" w:hAnsi="Times New Roman"/>
        </w:rPr>
        <w:t xml:space="preserve">"[a]n </w:t>
      </w:r>
      <w:r w:rsidR="00B0044D" w:rsidRPr="00391B86">
        <w:rPr>
          <w:rFonts w:ascii="Times New Roman" w:hAnsi="Times New Roman"/>
        </w:rPr>
        <w:t>alternate funder is not a realistic prospect</w:t>
      </w:r>
      <w:proofErr w:type="gramStart"/>
      <w:r w:rsidR="00B0044D" w:rsidRPr="00391B86">
        <w:rPr>
          <w:rFonts w:ascii="Times New Roman" w:hAnsi="Times New Roman"/>
        </w:rPr>
        <w:t>";</w:t>
      </w:r>
      <w:proofErr w:type="gramEnd"/>
    </w:p>
    <w:p w14:paraId="6ACC9BE1" w14:textId="6BDA3556" w:rsidR="00C13E37" w:rsidRPr="00391B86" w:rsidRDefault="009C50AC"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w:t>
      </w:r>
      <w:r w:rsidRPr="00391B86">
        <w:rPr>
          <w:rFonts w:ascii="Times New Roman" w:hAnsi="Times New Roman"/>
        </w:rPr>
        <w:tab/>
      </w:r>
      <w:r w:rsidR="008C740C" w:rsidRPr="00391B86">
        <w:rPr>
          <w:rFonts w:ascii="Times New Roman" w:hAnsi="Times New Roman"/>
        </w:rPr>
        <w:t>"</w:t>
      </w:r>
      <w:r w:rsidR="00905A50" w:rsidRPr="00391B86">
        <w:rPr>
          <w:rFonts w:ascii="Times New Roman" w:hAnsi="Times New Roman"/>
        </w:rPr>
        <w:t>[</w:t>
      </w:r>
      <w:proofErr w:type="spellStart"/>
      <w:r w:rsidR="00905A50" w:rsidRPr="00391B86">
        <w:rPr>
          <w:rFonts w:ascii="Times New Roman" w:hAnsi="Times New Roman"/>
        </w:rPr>
        <w:t>i</w:t>
      </w:r>
      <w:proofErr w:type="spellEnd"/>
      <w:r w:rsidR="00905A50" w:rsidRPr="00391B86">
        <w:rPr>
          <w:rFonts w:ascii="Times New Roman" w:hAnsi="Times New Roman"/>
        </w:rPr>
        <w:t xml:space="preserve">]f </w:t>
      </w:r>
      <w:r w:rsidR="006E561C" w:rsidRPr="00391B86">
        <w:rPr>
          <w:rFonts w:ascii="Times New Roman" w:hAnsi="Times New Roman"/>
        </w:rPr>
        <w:t xml:space="preserve">the proceeding is not viably </w:t>
      </w:r>
      <w:proofErr w:type="gramStart"/>
      <w:r w:rsidR="006E561C" w:rsidRPr="00391B86">
        <w:rPr>
          <w:rFonts w:ascii="Times New Roman" w:hAnsi="Times New Roman"/>
        </w:rPr>
        <w:t>funded,</w:t>
      </w:r>
      <w:proofErr w:type="gramEnd"/>
      <w:r w:rsidR="006E561C" w:rsidRPr="00391B86">
        <w:rPr>
          <w:rFonts w:ascii="Times New Roman" w:hAnsi="Times New Roman"/>
        </w:rPr>
        <w:t xml:space="preserve"> the plaintiffs will be unable to continue with </w:t>
      </w:r>
      <w:r w:rsidR="00C2445D" w:rsidRPr="00391B86">
        <w:rPr>
          <w:rFonts w:ascii="Times New Roman" w:hAnsi="Times New Roman"/>
        </w:rPr>
        <w:t>[the Arrium class action</w:t>
      </w:r>
      <w:r w:rsidR="007078EF" w:rsidRPr="00391B86">
        <w:rPr>
          <w:rFonts w:ascii="Times New Roman" w:hAnsi="Times New Roman"/>
        </w:rPr>
        <w:t>]</w:t>
      </w:r>
      <w:r w:rsidR="006E561C" w:rsidRPr="00391B86">
        <w:rPr>
          <w:rFonts w:ascii="Times New Roman" w:hAnsi="Times New Roman"/>
        </w:rPr>
        <w:t xml:space="preserve"> and it is probable that </w:t>
      </w:r>
      <w:r w:rsidR="007078EF" w:rsidRPr="00391B86">
        <w:rPr>
          <w:rFonts w:ascii="Times New Roman" w:hAnsi="Times New Roman"/>
        </w:rPr>
        <w:t>[the Arrium class action]</w:t>
      </w:r>
      <w:r w:rsidR="006E561C" w:rsidRPr="00391B86">
        <w:rPr>
          <w:rFonts w:ascii="Times New Roman" w:hAnsi="Times New Roman"/>
        </w:rPr>
        <w:t xml:space="preserve"> will terminate without adjudication or other resolution on the merits</w:t>
      </w:r>
      <w:r w:rsidR="008C740C" w:rsidRPr="00391B86">
        <w:rPr>
          <w:rFonts w:ascii="Times New Roman" w:hAnsi="Times New Roman"/>
        </w:rPr>
        <w:t>"</w:t>
      </w:r>
      <w:r w:rsidR="00BA6D68" w:rsidRPr="00391B86">
        <w:rPr>
          <w:rFonts w:ascii="Times New Roman" w:hAnsi="Times New Roman"/>
        </w:rPr>
        <w:t>; and</w:t>
      </w:r>
    </w:p>
    <w:p w14:paraId="72E11379" w14:textId="00F60264" w:rsidR="00BA6D68" w:rsidRPr="00391B86" w:rsidRDefault="009C50AC" w:rsidP="00391B86">
      <w:pPr>
        <w:pStyle w:val="NormalBody"/>
        <w:spacing w:after="260" w:line="280" w:lineRule="exact"/>
        <w:ind w:left="720" w:right="0" w:hanging="720"/>
        <w:jc w:val="both"/>
        <w:rPr>
          <w:rFonts w:ascii="Times New Roman" w:hAnsi="Times New Roman"/>
        </w:rPr>
      </w:pPr>
      <w:r w:rsidRPr="00391B86">
        <w:rPr>
          <w:rFonts w:ascii="Times New Roman" w:hAnsi="Times New Roman"/>
        </w:rPr>
        <w:t>•</w:t>
      </w:r>
      <w:r w:rsidRPr="00391B86">
        <w:rPr>
          <w:rFonts w:ascii="Times New Roman" w:hAnsi="Times New Roman"/>
        </w:rPr>
        <w:tab/>
      </w:r>
      <w:r w:rsidR="0066619A" w:rsidRPr="00391B86">
        <w:rPr>
          <w:rFonts w:ascii="Times New Roman" w:hAnsi="Times New Roman"/>
        </w:rPr>
        <w:t>"</w:t>
      </w:r>
      <w:r w:rsidR="003C4E06" w:rsidRPr="00391B86">
        <w:rPr>
          <w:rFonts w:ascii="Times New Roman" w:hAnsi="Times New Roman"/>
        </w:rPr>
        <w:t>[</w:t>
      </w:r>
      <w:r w:rsidR="00BA6D68" w:rsidRPr="00391B86">
        <w:rPr>
          <w:rFonts w:ascii="Times New Roman" w:hAnsi="Times New Roman"/>
        </w:rPr>
        <w:t>j</w:t>
      </w:r>
      <w:r w:rsidR="003C4E06" w:rsidRPr="00391B86">
        <w:rPr>
          <w:rFonts w:ascii="Times New Roman" w:hAnsi="Times New Roman"/>
        </w:rPr>
        <w:t>]</w:t>
      </w:r>
      <w:proofErr w:type="spellStart"/>
      <w:r w:rsidR="00BA6D68" w:rsidRPr="00391B86">
        <w:rPr>
          <w:rFonts w:ascii="Times New Roman" w:hAnsi="Times New Roman"/>
        </w:rPr>
        <w:t>ustice</w:t>
      </w:r>
      <w:proofErr w:type="spellEnd"/>
      <w:r w:rsidR="00BA6D68" w:rsidRPr="00391B86">
        <w:rPr>
          <w:rFonts w:ascii="Times New Roman" w:hAnsi="Times New Roman"/>
        </w:rPr>
        <w:t xml:space="preserve"> cannot be done in </w:t>
      </w:r>
      <w:r w:rsidR="007078EF" w:rsidRPr="00391B86">
        <w:rPr>
          <w:rFonts w:ascii="Times New Roman" w:hAnsi="Times New Roman"/>
        </w:rPr>
        <w:t xml:space="preserve">[the Arrium class action] </w:t>
      </w:r>
      <w:r w:rsidR="00BA6D68" w:rsidRPr="00391B86">
        <w:rPr>
          <w:rFonts w:ascii="Times New Roman" w:hAnsi="Times New Roman"/>
        </w:rPr>
        <w:t>if the</w:t>
      </w:r>
      <w:r w:rsidR="007078EF" w:rsidRPr="00391B86">
        <w:rPr>
          <w:rFonts w:ascii="Times New Roman" w:hAnsi="Times New Roman"/>
        </w:rPr>
        <w:t xml:space="preserve"> </w:t>
      </w:r>
      <w:r w:rsidR="003C4E06" w:rsidRPr="00391B86">
        <w:rPr>
          <w:rFonts w:ascii="Times New Roman" w:hAnsi="Times New Roman"/>
        </w:rPr>
        <w:t>plaintiff</w:t>
      </w:r>
      <w:r w:rsidR="00CD29DB" w:rsidRPr="00391B86">
        <w:rPr>
          <w:rFonts w:ascii="Times New Roman" w:hAnsi="Times New Roman"/>
        </w:rPr>
        <w:t>s</w:t>
      </w:r>
      <w:r w:rsidR="00BA6D68" w:rsidRPr="00391B86">
        <w:rPr>
          <w:rFonts w:ascii="Times New Roman" w:hAnsi="Times New Roman"/>
        </w:rPr>
        <w:t xml:space="preserve"> and group members are not able to pursue their claims through </w:t>
      </w:r>
      <w:r w:rsidR="007078EF" w:rsidRPr="00391B86">
        <w:rPr>
          <w:rFonts w:ascii="Times New Roman" w:hAnsi="Times New Roman"/>
        </w:rPr>
        <w:t>[the Arrium class action</w:t>
      </w:r>
      <w:r w:rsidR="007B0E64" w:rsidRPr="00391B86">
        <w:rPr>
          <w:rFonts w:ascii="Times New Roman" w:hAnsi="Times New Roman"/>
        </w:rPr>
        <w:t>]</w:t>
      </w:r>
      <w:r w:rsidR="00BA6D68" w:rsidRPr="00391B86">
        <w:rPr>
          <w:rFonts w:ascii="Times New Roman" w:hAnsi="Times New Roman"/>
        </w:rPr>
        <w:t xml:space="preserve"> and must abandon them</w:t>
      </w:r>
      <w:r w:rsidR="009E7686" w:rsidRPr="00391B86">
        <w:rPr>
          <w:rFonts w:ascii="Times New Roman" w:hAnsi="Times New Roman"/>
        </w:rPr>
        <w:t>"</w:t>
      </w:r>
      <w:r w:rsidR="00BA6D68" w:rsidRPr="00391B86">
        <w:rPr>
          <w:rFonts w:ascii="Times New Roman" w:hAnsi="Times New Roman"/>
        </w:rPr>
        <w:t>.</w:t>
      </w:r>
    </w:p>
    <w:p w14:paraId="5054083D" w14:textId="4C684ACC" w:rsidR="002B56C6" w:rsidRPr="00391B86" w:rsidRDefault="009E06AF" w:rsidP="00391B86">
      <w:pPr>
        <w:pStyle w:val="FixListStyle"/>
        <w:spacing w:after="260" w:line="280" w:lineRule="exact"/>
        <w:ind w:right="0"/>
        <w:jc w:val="both"/>
        <w:rPr>
          <w:rFonts w:ascii="Times New Roman" w:hAnsi="Times New Roman"/>
        </w:rPr>
      </w:pPr>
      <w:r w:rsidRPr="00391B86">
        <w:rPr>
          <w:rFonts w:ascii="Times New Roman" w:hAnsi="Times New Roman"/>
        </w:rPr>
        <w:tab/>
        <w:t xml:space="preserve">For completeness, </w:t>
      </w:r>
      <w:r w:rsidR="00CA33F4" w:rsidRPr="00391B86">
        <w:rPr>
          <w:rFonts w:ascii="Times New Roman" w:hAnsi="Times New Roman"/>
        </w:rPr>
        <w:t>it</w:t>
      </w:r>
      <w:r w:rsidR="001E6894" w:rsidRPr="00391B86">
        <w:rPr>
          <w:rFonts w:ascii="Times New Roman" w:hAnsi="Times New Roman"/>
        </w:rPr>
        <w:t xml:space="preserve"> </w:t>
      </w:r>
      <w:r w:rsidR="00CA2735" w:rsidRPr="00391B86">
        <w:rPr>
          <w:rFonts w:ascii="Times New Roman" w:hAnsi="Times New Roman"/>
        </w:rPr>
        <w:t>should</w:t>
      </w:r>
      <w:r w:rsidR="00CA33F4" w:rsidRPr="00391B86">
        <w:rPr>
          <w:rFonts w:ascii="Times New Roman" w:hAnsi="Times New Roman"/>
        </w:rPr>
        <w:t xml:space="preserve"> be </w:t>
      </w:r>
      <w:r w:rsidR="00CD3DD1" w:rsidRPr="00391B86">
        <w:rPr>
          <w:rFonts w:ascii="Times New Roman" w:hAnsi="Times New Roman"/>
        </w:rPr>
        <w:t>noted</w:t>
      </w:r>
      <w:r w:rsidR="00CA33F4" w:rsidRPr="00391B86">
        <w:rPr>
          <w:rFonts w:ascii="Times New Roman" w:hAnsi="Times New Roman"/>
        </w:rPr>
        <w:t xml:space="preserve"> that the agreed facts </w:t>
      </w:r>
      <w:r w:rsidR="00A9230D" w:rsidRPr="00391B86">
        <w:rPr>
          <w:rFonts w:ascii="Times New Roman" w:hAnsi="Times New Roman"/>
        </w:rPr>
        <w:t>refer to</w:t>
      </w:r>
      <w:r w:rsidR="002E3CB6" w:rsidRPr="00391B86">
        <w:rPr>
          <w:rFonts w:ascii="Times New Roman" w:hAnsi="Times New Roman"/>
        </w:rPr>
        <w:t xml:space="preserve"> </w:t>
      </w:r>
      <w:r w:rsidR="00DC0C7D" w:rsidRPr="00391B86">
        <w:rPr>
          <w:rFonts w:ascii="Times New Roman" w:hAnsi="Times New Roman"/>
        </w:rPr>
        <w:t xml:space="preserve">other </w:t>
      </w:r>
      <w:r w:rsidR="009F3814" w:rsidRPr="00391B86">
        <w:rPr>
          <w:rFonts w:ascii="Times New Roman" w:hAnsi="Times New Roman"/>
        </w:rPr>
        <w:t>proceedings relating to Arrium</w:t>
      </w:r>
      <w:r w:rsidR="00DC0C7D" w:rsidRPr="00391B86">
        <w:rPr>
          <w:rFonts w:ascii="Times New Roman" w:hAnsi="Times New Roman"/>
        </w:rPr>
        <w:t xml:space="preserve"> </w:t>
      </w:r>
      <w:r w:rsidR="00A81C04" w:rsidRPr="00391B86">
        <w:rPr>
          <w:rFonts w:ascii="Times New Roman" w:hAnsi="Times New Roman"/>
        </w:rPr>
        <w:t xml:space="preserve">which have been </w:t>
      </w:r>
      <w:r w:rsidR="003F3618" w:rsidRPr="00391B86">
        <w:rPr>
          <w:rFonts w:ascii="Times New Roman" w:hAnsi="Times New Roman"/>
        </w:rPr>
        <w:t>brought</w:t>
      </w:r>
      <w:r w:rsidR="00A81C04" w:rsidRPr="00391B86">
        <w:rPr>
          <w:rFonts w:ascii="Times New Roman" w:hAnsi="Times New Roman"/>
        </w:rPr>
        <w:t xml:space="preserve"> </w:t>
      </w:r>
      <w:r w:rsidR="00DC0C7D" w:rsidRPr="00391B86">
        <w:rPr>
          <w:rFonts w:ascii="Times New Roman" w:hAnsi="Times New Roman"/>
        </w:rPr>
        <w:t xml:space="preserve">in the Supreme Court of New South Wales. </w:t>
      </w:r>
      <w:r w:rsidR="003010DA" w:rsidRPr="00391B86">
        <w:rPr>
          <w:rFonts w:ascii="Times New Roman" w:hAnsi="Times New Roman"/>
        </w:rPr>
        <w:t>They include</w:t>
      </w:r>
      <w:r w:rsidR="00C26FD5" w:rsidRPr="00391B86">
        <w:rPr>
          <w:rFonts w:ascii="Times New Roman" w:hAnsi="Times New Roman"/>
        </w:rPr>
        <w:t xml:space="preserve"> </w:t>
      </w:r>
      <w:r w:rsidR="0085038A" w:rsidRPr="00391B86">
        <w:rPr>
          <w:rFonts w:ascii="Times New Roman" w:hAnsi="Times New Roman"/>
        </w:rPr>
        <w:t>proceedings</w:t>
      </w:r>
      <w:r w:rsidR="00DC729E" w:rsidRPr="00391B86">
        <w:rPr>
          <w:rFonts w:ascii="Times New Roman" w:hAnsi="Times New Roman"/>
        </w:rPr>
        <w:t xml:space="preserve"> brought by the liquidators of Arrium</w:t>
      </w:r>
      <w:r w:rsidR="003F3618" w:rsidRPr="00391B86">
        <w:rPr>
          <w:rFonts w:ascii="Times New Roman" w:hAnsi="Times New Roman"/>
        </w:rPr>
        <w:t>,</w:t>
      </w:r>
      <w:r w:rsidR="00DC729E" w:rsidRPr="00391B86">
        <w:rPr>
          <w:rFonts w:ascii="Times New Roman" w:hAnsi="Times New Roman"/>
        </w:rPr>
        <w:t xml:space="preserve"> when formerly administrators</w:t>
      </w:r>
      <w:r w:rsidR="003F3618" w:rsidRPr="00391B86">
        <w:rPr>
          <w:rFonts w:ascii="Times New Roman" w:hAnsi="Times New Roman"/>
        </w:rPr>
        <w:t xml:space="preserve">, </w:t>
      </w:r>
      <w:r w:rsidR="00CF0D6F" w:rsidRPr="00391B86">
        <w:rPr>
          <w:rFonts w:ascii="Times New Roman" w:hAnsi="Times New Roman"/>
        </w:rPr>
        <w:t xml:space="preserve">to </w:t>
      </w:r>
      <w:r w:rsidR="004E0263" w:rsidRPr="00391B86">
        <w:rPr>
          <w:rFonts w:ascii="Times New Roman" w:hAnsi="Times New Roman"/>
        </w:rPr>
        <w:t xml:space="preserve">obtain the </w:t>
      </w:r>
      <w:r w:rsidR="00CF0D6F" w:rsidRPr="00391B86">
        <w:rPr>
          <w:rFonts w:ascii="Times New Roman" w:hAnsi="Times New Roman"/>
        </w:rPr>
        <w:t>produc</w:t>
      </w:r>
      <w:r w:rsidR="004E0263" w:rsidRPr="00391B86">
        <w:rPr>
          <w:rFonts w:ascii="Times New Roman" w:hAnsi="Times New Roman"/>
        </w:rPr>
        <w:t>tion of</w:t>
      </w:r>
      <w:r w:rsidR="00FF2E2B" w:rsidRPr="00391B86">
        <w:rPr>
          <w:rFonts w:ascii="Times New Roman" w:hAnsi="Times New Roman"/>
        </w:rPr>
        <w:t xml:space="preserve"> documents and </w:t>
      </w:r>
      <w:r w:rsidR="009B36F2" w:rsidRPr="00391B86">
        <w:rPr>
          <w:rFonts w:ascii="Times New Roman" w:hAnsi="Times New Roman"/>
        </w:rPr>
        <w:t xml:space="preserve">to </w:t>
      </w:r>
      <w:r w:rsidR="00FF2E2B" w:rsidRPr="00391B86">
        <w:rPr>
          <w:rFonts w:ascii="Times New Roman" w:hAnsi="Times New Roman"/>
        </w:rPr>
        <w:t>conduct</w:t>
      </w:r>
      <w:r w:rsidR="00DC729E" w:rsidRPr="00391B86">
        <w:rPr>
          <w:rFonts w:ascii="Times New Roman" w:hAnsi="Times New Roman"/>
        </w:rPr>
        <w:t xml:space="preserve"> </w:t>
      </w:r>
      <w:r w:rsidR="0010785E" w:rsidRPr="00391B86">
        <w:rPr>
          <w:rFonts w:ascii="Times New Roman" w:hAnsi="Times New Roman"/>
        </w:rPr>
        <w:t>examinations</w:t>
      </w:r>
      <w:r w:rsidR="00C26FD5" w:rsidRPr="00391B86">
        <w:rPr>
          <w:rFonts w:ascii="Times New Roman" w:hAnsi="Times New Roman"/>
        </w:rPr>
        <w:t xml:space="preserve"> </w:t>
      </w:r>
      <w:r w:rsidR="000F132E" w:rsidRPr="00391B86">
        <w:rPr>
          <w:rFonts w:ascii="Times New Roman" w:hAnsi="Times New Roman"/>
        </w:rPr>
        <w:t xml:space="preserve">about the examinable affairs of </w:t>
      </w:r>
      <w:r w:rsidR="00A9039B" w:rsidRPr="00391B86">
        <w:rPr>
          <w:rFonts w:ascii="Times New Roman" w:hAnsi="Times New Roman"/>
        </w:rPr>
        <w:t xml:space="preserve">Arrium </w:t>
      </w:r>
      <w:r w:rsidR="003E080E" w:rsidRPr="00391B86">
        <w:rPr>
          <w:rFonts w:ascii="Times New Roman" w:hAnsi="Times New Roman"/>
        </w:rPr>
        <w:t>a</w:t>
      </w:r>
      <w:r w:rsidR="00DC729E" w:rsidRPr="00391B86">
        <w:rPr>
          <w:rFonts w:ascii="Times New Roman" w:hAnsi="Times New Roman"/>
        </w:rPr>
        <w:t>s well as</w:t>
      </w:r>
      <w:r w:rsidR="003E080E" w:rsidRPr="00391B86">
        <w:rPr>
          <w:rFonts w:ascii="Times New Roman" w:hAnsi="Times New Roman"/>
        </w:rPr>
        <w:t xml:space="preserve"> </w:t>
      </w:r>
      <w:r w:rsidR="000600AE" w:rsidRPr="00391B86">
        <w:rPr>
          <w:rFonts w:ascii="Times New Roman" w:hAnsi="Times New Roman"/>
        </w:rPr>
        <w:t>proceedings</w:t>
      </w:r>
      <w:r w:rsidR="00F90E6A" w:rsidRPr="00391B86">
        <w:rPr>
          <w:rFonts w:ascii="Times New Roman" w:hAnsi="Times New Roman"/>
        </w:rPr>
        <w:t xml:space="preserve"> between other parties</w:t>
      </w:r>
      <w:r w:rsidR="00CB0811" w:rsidRPr="00391B86">
        <w:rPr>
          <w:rStyle w:val="FootnoteReference"/>
          <w:rFonts w:ascii="Times New Roman" w:hAnsi="Times New Roman"/>
          <w:sz w:val="24"/>
        </w:rPr>
        <w:footnoteReference w:id="22"/>
      </w:r>
      <w:r w:rsidR="000600AE" w:rsidRPr="00391B86">
        <w:rPr>
          <w:rFonts w:ascii="Times New Roman" w:hAnsi="Times New Roman"/>
        </w:rPr>
        <w:t xml:space="preserve"> </w:t>
      </w:r>
      <w:r w:rsidR="00F90E6A" w:rsidRPr="00391B86">
        <w:rPr>
          <w:rFonts w:ascii="Times New Roman" w:hAnsi="Times New Roman"/>
        </w:rPr>
        <w:t>which raised</w:t>
      </w:r>
      <w:r w:rsidR="005700D2" w:rsidRPr="00391B86">
        <w:rPr>
          <w:rFonts w:ascii="Times New Roman" w:hAnsi="Times New Roman"/>
        </w:rPr>
        <w:t xml:space="preserve"> </w:t>
      </w:r>
      <w:r w:rsidR="00CB0811" w:rsidRPr="00391B86">
        <w:rPr>
          <w:rFonts w:ascii="Times New Roman" w:hAnsi="Times New Roman"/>
        </w:rPr>
        <w:t xml:space="preserve">legal and factual </w:t>
      </w:r>
      <w:r w:rsidR="005700D2" w:rsidRPr="00391B86">
        <w:rPr>
          <w:rFonts w:ascii="Times New Roman" w:hAnsi="Times New Roman"/>
        </w:rPr>
        <w:t xml:space="preserve">issues overlapping with </w:t>
      </w:r>
      <w:r w:rsidR="00CB0811" w:rsidRPr="00391B86">
        <w:rPr>
          <w:rFonts w:ascii="Times New Roman" w:hAnsi="Times New Roman"/>
        </w:rPr>
        <w:t>some issues in the Arrium class action</w:t>
      </w:r>
      <w:r w:rsidR="00CF0D6F" w:rsidRPr="00391B86">
        <w:rPr>
          <w:rFonts w:ascii="Times New Roman" w:hAnsi="Times New Roman"/>
        </w:rPr>
        <w:t xml:space="preserve">, </w:t>
      </w:r>
      <w:r w:rsidR="00A91D29" w:rsidRPr="00391B86">
        <w:rPr>
          <w:rFonts w:ascii="Times New Roman" w:hAnsi="Times New Roman"/>
        </w:rPr>
        <w:t xml:space="preserve">all of which have </w:t>
      </w:r>
      <w:r w:rsidR="00574A69" w:rsidRPr="00391B86">
        <w:rPr>
          <w:rFonts w:ascii="Times New Roman" w:hAnsi="Times New Roman"/>
        </w:rPr>
        <w:t xml:space="preserve">now been </w:t>
      </w:r>
      <w:r w:rsidR="009E5CD5" w:rsidRPr="00391B86">
        <w:rPr>
          <w:rFonts w:ascii="Times New Roman" w:hAnsi="Times New Roman"/>
        </w:rPr>
        <w:t>finalised</w:t>
      </w:r>
      <w:r w:rsidR="00CB0811" w:rsidRPr="00391B86">
        <w:rPr>
          <w:rFonts w:ascii="Times New Roman" w:hAnsi="Times New Roman"/>
        </w:rPr>
        <w:t xml:space="preserve">. </w:t>
      </w:r>
      <w:r w:rsidR="006C5881" w:rsidRPr="00391B86">
        <w:rPr>
          <w:rFonts w:ascii="Times New Roman" w:hAnsi="Times New Roman"/>
        </w:rPr>
        <w:t xml:space="preserve">They </w:t>
      </w:r>
      <w:r w:rsidR="003E080E" w:rsidRPr="00391B86">
        <w:rPr>
          <w:rFonts w:ascii="Times New Roman" w:hAnsi="Times New Roman"/>
        </w:rPr>
        <w:t xml:space="preserve">also </w:t>
      </w:r>
      <w:r w:rsidR="006C5881" w:rsidRPr="00391B86">
        <w:rPr>
          <w:rFonts w:ascii="Times New Roman" w:hAnsi="Times New Roman"/>
        </w:rPr>
        <w:t xml:space="preserve">include an ongoing proceeding </w:t>
      </w:r>
      <w:r w:rsidR="00D84ADF" w:rsidRPr="00391B86">
        <w:rPr>
          <w:rFonts w:ascii="Times New Roman" w:hAnsi="Times New Roman"/>
        </w:rPr>
        <w:t>brought by</w:t>
      </w:r>
      <w:r w:rsidR="003010DA" w:rsidRPr="00391B86">
        <w:rPr>
          <w:rFonts w:ascii="Times New Roman" w:hAnsi="Times New Roman"/>
        </w:rPr>
        <w:t xml:space="preserve"> </w:t>
      </w:r>
      <w:r w:rsidR="002E3CB6" w:rsidRPr="00391B86">
        <w:rPr>
          <w:rFonts w:ascii="Times New Roman" w:hAnsi="Times New Roman"/>
        </w:rPr>
        <w:t>Mr Bogan and Mr Walton</w:t>
      </w:r>
      <w:r w:rsidR="001E738A" w:rsidRPr="00391B86">
        <w:rPr>
          <w:rFonts w:ascii="Times New Roman" w:hAnsi="Times New Roman"/>
        </w:rPr>
        <w:t xml:space="preserve">, </w:t>
      </w:r>
      <w:r w:rsidR="00E62895" w:rsidRPr="00391B86">
        <w:rPr>
          <w:rFonts w:ascii="Times New Roman" w:hAnsi="Times New Roman"/>
        </w:rPr>
        <w:t>to</w:t>
      </w:r>
      <w:r w:rsidR="001E738A" w:rsidRPr="00391B86">
        <w:rPr>
          <w:rFonts w:ascii="Times New Roman" w:hAnsi="Times New Roman"/>
        </w:rPr>
        <w:t xml:space="preserve"> which </w:t>
      </w:r>
      <w:r w:rsidR="00E62895" w:rsidRPr="00391B86">
        <w:rPr>
          <w:rFonts w:ascii="Times New Roman" w:hAnsi="Times New Roman"/>
        </w:rPr>
        <w:t xml:space="preserve">the decision of this Court in </w:t>
      </w:r>
      <w:r w:rsidR="00E62895" w:rsidRPr="00391B86">
        <w:rPr>
          <w:rFonts w:ascii="Times New Roman" w:hAnsi="Times New Roman"/>
          <w:i/>
          <w:iCs/>
        </w:rPr>
        <w:t>Walton v AC</w:t>
      </w:r>
      <w:r w:rsidR="005A7B49" w:rsidRPr="00391B86">
        <w:rPr>
          <w:rFonts w:ascii="Times New Roman" w:hAnsi="Times New Roman"/>
          <w:i/>
          <w:iCs/>
        </w:rPr>
        <w:t>N</w:t>
      </w:r>
      <w:r w:rsidR="00395FBA" w:rsidRPr="00391B86">
        <w:rPr>
          <w:rFonts w:ascii="Times New Roman" w:hAnsi="Times New Roman"/>
          <w:i/>
          <w:iCs/>
        </w:rPr>
        <w:t> </w:t>
      </w:r>
      <w:r w:rsidR="005A7B49" w:rsidRPr="00391B86">
        <w:rPr>
          <w:rFonts w:ascii="Times New Roman" w:hAnsi="Times New Roman"/>
          <w:i/>
          <w:iCs/>
        </w:rPr>
        <w:t>004 410 833</w:t>
      </w:r>
      <w:r w:rsidR="00A31881" w:rsidRPr="00391B86">
        <w:rPr>
          <w:rFonts w:ascii="Times New Roman" w:hAnsi="Times New Roman"/>
          <w:i/>
          <w:iCs/>
        </w:rPr>
        <w:t xml:space="preserve"> Ltd</w:t>
      </w:r>
      <w:r w:rsidR="005A7B49" w:rsidRPr="00391B86">
        <w:rPr>
          <w:rFonts w:ascii="Times New Roman" w:hAnsi="Times New Roman"/>
          <w:i/>
          <w:iCs/>
        </w:rPr>
        <w:t xml:space="preserve"> </w:t>
      </w:r>
      <w:r w:rsidR="005A7B49" w:rsidRPr="00391B86">
        <w:rPr>
          <w:rFonts w:ascii="Times New Roman" w:hAnsi="Times New Roman"/>
          <w:i/>
          <w:iCs/>
        </w:rPr>
        <w:lastRenderedPageBreak/>
        <w:t>(</w:t>
      </w:r>
      <w:r w:rsidR="0024720E" w:rsidRPr="00391B86">
        <w:rPr>
          <w:rFonts w:ascii="Times New Roman" w:hAnsi="Times New Roman"/>
          <w:i/>
          <w:iCs/>
        </w:rPr>
        <w:t>formerly</w:t>
      </w:r>
      <w:r w:rsidR="005A7B49" w:rsidRPr="00391B86">
        <w:rPr>
          <w:rFonts w:ascii="Times New Roman" w:hAnsi="Times New Roman"/>
          <w:i/>
          <w:iCs/>
        </w:rPr>
        <w:t xml:space="preserve"> Arrium Ltd) (</w:t>
      </w:r>
      <w:r w:rsidR="00E23C66" w:rsidRPr="00391B86">
        <w:rPr>
          <w:rFonts w:ascii="Times New Roman" w:hAnsi="Times New Roman"/>
          <w:i/>
          <w:iCs/>
        </w:rPr>
        <w:t>I</w:t>
      </w:r>
      <w:r w:rsidR="005A7B49" w:rsidRPr="00391B86">
        <w:rPr>
          <w:rFonts w:ascii="Times New Roman" w:hAnsi="Times New Roman"/>
          <w:i/>
          <w:iCs/>
        </w:rPr>
        <w:t xml:space="preserve">n </w:t>
      </w:r>
      <w:proofErr w:type="spellStart"/>
      <w:r w:rsidR="005A7B49" w:rsidRPr="00391B86">
        <w:rPr>
          <w:rFonts w:ascii="Times New Roman" w:hAnsi="Times New Roman"/>
          <w:i/>
          <w:iCs/>
        </w:rPr>
        <w:t>liq</w:t>
      </w:r>
      <w:proofErr w:type="spellEnd"/>
      <w:r w:rsidR="005A7B49" w:rsidRPr="00391B86">
        <w:rPr>
          <w:rFonts w:ascii="Times New Roman" w:hAnsi="Times New Roman"/>
          <w:i/>
          <w:iCs/>
        </w:rPr>
        <w:t>)</w:t>
      </w:r>
      <w:r w:rsidR="007F5510" w:rsidRPr="00391B86">
        <w:rPr>
          <w:rStyle w:val="FootnoteReference"/>
          <w:rFonts w:ascii="Times New Roman" w:hAnsi="Times New Roman"/>
          <w:sz w:val="24"/>
        </w:rPr>
        <w:footnoteReference w:id="23"/>
      </w:r>
      <w:r w:rsidR="005A7B49" w:rsidRPr="00391B86">
        <w:rPr>
          <w:rFonts w:ascii="Times New Roman" w:hAnsi="Times New Roman"/>
        </w:rPr>
        <w:t xml:space="preserve"> related, </w:t>
      </w:r>
      <w:r w:rsidR="00721F38" w:rsidRPr="00391B86">
        <w:rPr>
          <w:rFonts w:ascii="Times New Roman" w:hAnsi="Times New Roman"/>
        </w:rPr>
        <w:t>to obtain</w:t>
      </w:r>
      <w:r w:rsidR="00BC3DC0" w:rsidRPr="00391B86">
        <w:rPr>
          <w:rFonts w:ascii="Times New Roman" w:hAnsi="Times New Roman"/>
        </w:rPr>
        <w:t xml:space="preserve"> </w:t>
      </w:r>
      <w:r w:rsidR="00F2532F" w:rsidRPr="00391B86">
        <w:rPr>
          <w:rFonts w:ascii="Times New Roman" w:hAnsi="Times New Roman"/>
        </w:rPr>
        <w:t>orders</w:t>
      </w:r>
      <w:r w:rsidR="008C7ECE" w:rsidRPr="00391B86">
        <w:rPr>
          <w:rFonts w:ascii="Times New Roman" w:hAnsi="Times New Roman"/>
        </w:rPr>
        <w:t xml:space="preserve"> for the examination </w:t>
      </w:r>
      <w:r w:rsidR="00577ECA" w:rsidRPr="00391B86">
        <w:rPr>
          <w:rFonts w:ascii="Times New Roman" w:hAnsi="Times New Roman"/>
        </w:rPr>
        <w:t>o</w:t>
      </w:r>
      <w:r w:rsidR="003B7CF7" w:rsidRPr="00391B86">
        <w:rPr>
          <w:rFonts w:ascii="Times New Roman" w:hAnsi="Times New Roman"/>
        </w:rPr>
        <w:t>f</w:t>
      </w:r>
      <w:r w:rsidR="00577ECA" w:rsidRPr="00391B86">
        <w:rPr>
          <w:rFonts w:ascii="Times New Roman" w:hAnsi="Times New Roman"/>
        </w:rPr>
        <w:t xml:space="preserve"> a former director of Arrium</w:t>
      </w:r>
      <w:r w:rsidR="00E54AB7" w:rsidRPr="00391B86">
        <w:rPr>
          <w:rFonts w:ascii="Times New Roman" w:hAnsi="Times New Roman"/>
        </w:rPr>
        <w:t xml:space="preserve"> </w:t>
      </w:r>
      <w:r w:rsidR="003B7CF7" w:rsidRPr="00391B86">
        <w:rPr>
          <w:rFonts w:ascii="Times New Roman" w:hAnsi="Times New Roman"/>
        </w:rPr>
        <w:t xml:space="preserve">and </w:t>
      </w:r>
      <w:r w:rsidR="00BC3DC0" w:rsidRPr="00391B86">
        <w:rPr>
          <w:rFonts w:ascii="Times New Roman" w:hAnsi="Times New Roman"/>
        </w:rPr>
        <w:t xml:space="preserve">for </w:t>
      </w:r>
      <w:r w:rsidR="00F15971" w:rsidRPr="00391B86">
        <w:rPr>
          <w:rFonts w:ascii="Times New Roman" w:hAnsi="Times New Roman"/>
        </w:rPr>
        <w:t>production of</w:t>
      </w:r>
      <w:r w:rsidR="00BC3DC0" w:rsidRPr="00391B86">
        <w:rPr>
          <w:rFonts w:ascii="Times New Roman" w:hAnsi="Times New Roman"/>
        </w:rPr>
        <w:t xml:space="preserve"> d</w:t>
      </w:r>
      <w:r w:rsidR="00C94232" w:rsidRPr="00391B86">
        <w:rPr>
          <w:rFonts w:ascii="Times New Roman" w:hAnsi="Times New Roman"/>
        </w:rPr>
        <w:t>ocum</w:t>
      </w:r>
      <w:r w:rsidR="00BC3DC0" w:rsidRPr="00391B86">
        <w:rPr>
          <w:rFonts w:ascii="Times New Roman" w:hAnsi="Times New Roman"/>
        </w:rPr>
        <w:t xml:space="preserve">ents </w:t>
      </w:r>
      <w:r w:rsidR="00A9039B" w:rsidRPr="00391B86">
        <w:rPr>
          <w:rFonts w:ascii="Times New Roman" w:hAnsi="Times New Roman"/>
        </w:rPr>
        <w:t xml:space="preserve">previously </w:t>
      </w:r>
      <w:r w:rsidR="00C94232" w:rsidRPr="00391B86">
        <w:rPr>
          <w:rFonts w:ascii="Times New Roman" w:hAnsi="Times New Roman"/>
        </w:rPr>
        <w:t>produced by KPMG</w:t>
      </w:r>
      <w:r w:rsidR="005C4D45" w:rsidRPr="00391B86">
        <w:rPr>
          <w:rFonts w:ascii="Times New Roman" w:hAnsi="Times New Roman"/>
        </w:rPr>
        <w:t>.</w:t>
      </w:r>
    </w:p>
    <w:p w14:paraId="32B36E88" w14:textId="68FD51A7" w:rsidR="009405DB" w:rsidRPr="00391B86" w:rsidRDefault="00DB024F" w:rsidP="00391B86">
      <w:pPr>
        <w:pStyle w:val="HeadingL1"/>
        <w:spacing w:after="260" w:line="280" w:lineRule="exact"/>
        <w:ind w:right="0"/>
        <w:jc w:val="both"/>
        <w:rPr>
          <w:rFonts w:ascii="Times New Roman" w:hAnsi="Times New Roman"/>
        </w:rPr>
      </w:pPr>
      <w:r w:rsidRPr="00391B86">
        <w:rPr>
          <w:rFonts w:ascii="Times New Roman" w:hAnsi="Times New Roman"/>
        </w:rPr>
        <w:t>The issues in this Court</w:t>
      </w:r>
    </w:p>
    <w:p w14:paraId="64889EA6" w14:textId="5C90FE72" w:rsidR="00DB024F" w:rsidRPr="00391B86" w:rsidRDefault="006B1BBE"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2B78E8" w:rsidRPr="00391B86">
        <w:rPr>
          <w:rFonts w:ascii="Times New Roman" w:hAnsi="Times New Roman"/>
        </w:rPr>
        <w:t xml:space="preserve">The </w:t>
      </w:r>
      <w:r w:rsidR="00D06377" w:rsidRPr="00391B86">
        <w:rPr>
          <w:rFonts w:ascii="Times New Roman" w:hAnsi="Times New Roman"/>
        </w:rPr>
        <w:t xml:space="preserve">whole of the cause pending in the Court of Appeal </w:t>
      </w:r>
      <w:r w:rsidR="007A6A30" w:rsidRPr="00391B86">
        <w:rPr>
          <w:rFonts w:ascii="Times New Roman" w:hAnsi="Times New Roman"/>
        </w:rPr>
        <w:t xml:space="preserve">having been removed </w:t>
      </w:r>
      <w:r w:rsidR="0003305F" w:rsidRPr="00391B86">
        <w:rPr>
          <w:rFonts w:ascii="Times New Roman" w:hAnsi="Times New Roman"/>
        </w:rPr>
        <w:t xml:space="preserve">into this Court </w:t>
      </w:r>
      <w:r w:rsidR="00B76FF0" w:rsidRPr="00391B86">
        <w:rPr>
          <w:rFonts w:ascii="Times New Roman" w:hAnsi="Times New Roman"/>
        </w:rPr>
        <w:t xml:space="preserve">under s 40(2) of the Judiciary Act, it is for this Court </w:t>
      </w:r>
      <w:r w:rsidR="00536977" w:rsidRPr="00391B86">
        <w:rPr>
          <w:rFonts w:ascii="Times New Roman" w:hAnsi="Times New Roman"/>
        </w:rPr>
        <w:t xml:space="preserve">to answer </w:t>
      </w:r>
      <w:r w:rsidR="007F090C" w:rsidRPr="00391B86">
        <w:rPr>
          <w:rFonts w:ascii="Times New Roman" w:hAnsi="Times New Roman"/>
        </w:rPr>
        <w:t xml:space="preserve">the questions </w:t>
      </w:r>
      <w:r w:rsidR="005C67C3" w:rsidRPr="00391B86">
        <w:rPr>
          <w:rFonts w:ascii="Times New Roman" w:hAnsi="Times New Roman"/>
        </w:rPr>
        <w:t xml:space="preserve">that have been </w:t>
      </w:r>
      <w:r w:rsidR="007F090C" w:rsidRPr="00391B86">
        <w:rPr>
          <w:rFonts w:ascii="Times New Roman" w:hAnsi="Times New Roman"/>
        </w:rPr>
        <w:t xml:space="preserve">reserved </w:t>
      </w:r>
      <w:r w:rsidR="00B76FF0" w:rsidRPr="00391B86">
        <w:rPr>
          <w:rFonts w:ascii="Times New Roman" w:hAnsi="Times New Roman"/>
        </w:rPr>
        <w:t>in the</w:t>
      </w:r>
      <w:r w:rsidR="00536977" w:rsidRPr="00391B86">
        <w:rPr>
          <w:rFonts w:ascii="Times New Roman" w:hAnsi="Times New Roman"/>
        </w:rPr>
        <w:t xml:space="preserve"> exercise of the</w:t>
      </w:r>
      <w:r w:rsidR="00B76FF0" w:rsidRPr="00391B86">
        <w:rPr>
          <w:rFonts w:ascii="Times New Roman" w:hAnsi="Times New Roman"/>
        </w:rPr>
        <w:t xml:space="preserve"> original jurisdiction </w:t>
      </w:r>
      <w:r w:rsidR="00C37FAB" w:rsidRPr="00391B86">
        <w:rPr>
          <w:rFonts w:ascii="Times New Roman" w:hAnsi="Times New Roman"/>
        </w:rPr>
        <w:t xml:space="preserve">conferred </w:t>
      </w:r>
      <w:r w:rsidR="003A0CFA" w:rsidRPr="00391B86">
        <w:rPr>
          <w:rFonts w:ascii="Times New Roman" w:hAnsi="Times New Roman"/>
        </w:rPr>
        <w:t xml:space="preserve">on it </w:t>
      </w:r>
      <w:r w:rsidR="00C37FAB" w:rsidRPr="00391B86">
        <w:rPr>
          <w:rFonts w:ascii="Times New Roman" w:hAnsi="Times New Roman"/>
        </w:rPr>
        <w:t>under s</w:t>
      </w:r>
      <w:r w:rsidR="00395FBA" w:rsidRPr="00391B86">
        <w:rPr>
          <w:rFonts w:ascii="Times New Roman" w:hAnsi="Times New Roman"/>
        </w:rPr>
        <w:t> </w:t>
      </w:r>
      <w:r w:rsidR="00C37FAB" w:rsidRPr="00391B86">
        <w:rPr>
          <w:rFonts w:ascii="Times New Roman" w:hAnsi="Times New Roman"/>
        </w:rPr>
        <w:t>76(ii) of the Constitution by s</w:t>
      </w:r>
      <w:r w:rsidR="00395FBA" w:rsidRPr="00391B86">
        <w:rPr>
          <w:rFonts w:ascii="Times New Roman" w:hAnsi="Times New Roman"/>
        </w:rPr>
        <w:t> </w:t>
      </w:r>
      <w:r w:rsidR="00C37FAB" w:rsidRPr="00391B86">
        <w:rPr>
          <w:rFonts w:ascii="Times New Roman" w:hAnsi="Times New Roman"/>
        </w:rPr>
        <w:t>40(2) of the Judiciary Act</w:t>
      </w:r>
      <w:r w:rsidR="00B06974" w:rsidRPr="00391B86">
        <w:rPr>
          <w:rFonts w:ascii="Times New Roman" w:hAnsi="Times New Roman"/>
        </w:rPr>
        <w:t xml:space="preserve"> to hear and determine the cause removed</w:t>
      </w:r>
      <w:r w:rsidR="00915FEA" w:rsidRPr="00391B86">
        <w:rPr>
          <w:rFonts w:ascii="Times New Roman" w:hAnsi="Times New Roman"/>
        </w:rPr>
        <w:t>.</w:t>
      </w:r>
      <w:r w:rsidR="00C37FAB" w:rsidRPr="00391B86">
        <w:rPr>
          <w:rStyle w:val="FootnoteReference"/>
          <w:rFonts w:ascii="Times New Roman" w:hAnsi="Times New Roman"/>
          <w:sz w:val="24"/>
        </w:rPr>
        <w:footnoteReference w:id="24"/>
      </w:r>
      <w:r w:rsidR="00C37FAB" w:rsidRPr="00391B86">
        <w:rPr>
          <w:rFonts w:ascii="Times New Roman" w:hAnsi="Times New Roman"/>
        </w:rPr>
        <w:t xml:space="preserve"> </w:t>
      </w:r>
      <w:r w:rsidR="00F24950" w:rsidRPr="00391B86">
        <w:rPr>
          <w:rFonts w:ascii="Times New Roman" w:hAnsi="Times New Roman"/>
        </w:rPr>
        <w:t xml:space="preserve">In the exercise of that </w:t>
      </w:r>
      <w:r w:rsidR="008060DD" w:rsidRPr="00391B86">
        <w:rPr>
          <w:rFonts w:ascii="Times New Roman" w:hAnsi="Times New Roman"/>
        </w:rPr>
        <w:t xml:space="preserve">original </w:t>
      </w:r>
      <w:r w:rsidR="00F24950" w:rsidRPr="00391B86">
        <w:rPr>
          <w:rFonts w:ascii="Times New Roman" w:hAnsi="Times New Roman"/>
        </w:rPr>
        <w:t xml:space="preserve">jurisdiction, </w:t>
      </w:r>
      <w:r w:rsidR="00CC3FD0" w:rsidRPr="00391B86">
        <w:rPr>
          <w:rFonts w:ascii="Times New Roman" w:hAnsi="Times New Roman"/>
        </w:rPr>
        <w:t xml:space="preserve">it is incumbent on </w:t>
      </w:r>
      <w:r w:rsidR="00F24950" w:rsidRPr="00391B86">
        <w:rPr>
          <w:rFonts w:ascii="Times New Roman" w:hAnsi="Times New Roman"/>
        </w:rPr>
        <w:t>this Court</w:t>
      </w:r>
      <w:r w:rsidR="00C37FAB" w:rsidRPr="00391B86">
        <w:rPr>
          <w:rFonts w:ascii="Times New Roman" w:hAnsi="Times New Roman"/>
        </w:rPr>
        <w:t xml:space="preserve"> </w:t>
      </w:r>
      <w:r w:rsidR="00CC3FD0" w:rsidRPr="00391B86">
        <w:rPr>
          <w:rFonts w:ascii="Times New Roman" w:hAnsi="Times New Roman"/>
        </w:rPr>
        <w:t>to</w:t>
      </w:r>
      <w:r w:rsidR="00485F2D" w:rsidRPr="00391B86">
        <w:rPr>
          <w:rFonts w:ascii="Times New Roman" w:hAnsi="Times New Roman"/>
        </w:rPr>
        <w:t xml:space="preserve"> consider </w:t>
      </w:r>
      <w:r w:rsidR="009F45B0" w:rsidRPr="00391B86">
        <w:rPr>
          <w:rFonts w:ascii="Times New Roman" w:hAnsi="Times New Roman"/>
        </w:rPr>
        <w:t xml:space="preserve">for itself </w:t>
      </w:r>
      <w:r w:rsidR="00485F2D" w:rsidRPr="00391B86">
        <w:rPr>
          <w:rFonts w:ascii="Times New Roman" w:hAnsi="Times New Roman"/>
        </w:rPr>
        <w:t>the correctness of the answers proposed by the Court of Appeal.</w:t>
      </w:r>
      <w:r w:rsidR="009F45B0" w:rsidRPr="00391B86">
        <w:rPr>
          <w:rStyle w:val="FootnoteReference"/>
          <w:rFonts w:ascii="Times New Roman" w:hAnsi="Times New Roman"/>
          <w:sz w:val="24"/>
        </w:rPr>
        <w:footnoteReference w:id="25"/>
      </w:r>
    </w:p>
    <w:p w14:paraId="6C3E3F58" w14:textId="03734663" w:rsidR="005A389B" w:rsidRPr="00391B86" w:rsidRDefault="005A389B"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64444C" w:rsidRPr="00391B86">
        <w:rPr>
          <w:rFonts w:ascii="Times New Roman" w:hAnsi="Times New Roman"/>
        </w:rPr>
        <w:t>L</w:t>
      </w:r>
      <w:r w:rsidR="00FF78B7" w:rsidRPr="00391B86">
        <w:rPr>
          <w:rFonts w:ascii="Times New Roman" w:hAnsi="Times New Roman"/>
        </w:rPr>
        <w:t xml:space="preserve">imitation of the </w:t>
      </w:r>
      <w:r w:rsidR="00F31BB8" w:rsidRPr="00391B86">
        <w:rPr>
          <w:rFonts w:ascii="Times New Roman" w:hAnsi="Times New Roman"/>
        </w:rPr>
        <w:t>jurisdiction of this Court</w:t>
      </w:r>
      <w:r w:rsidR="000B1DB6" w:rsidRPr="00391B86">
        <w:rPr>
          <w:rFonts w:ascii="Times New Roman" w:hAnsi="Times New Roman"/>
        </w:rPr>
        <w:t xml:space="preserve"> to</w:t>
      </w:r>
      <w:r w:rsidR="00EA6246" w:rsidRPr="00391B86">
        <w:rPr>
          <w:rFonts w:ascii="Times New Roman" w:hAnsi="Times New Roman"/>
        </w:rPr>
        <w:t xml:space="preserve"> the</w:t>
      </w:r>
      <w:r w:rsidR="000B1DB6" w:rsidRPr="00391B86">
        <w:rPr>
          <w:rFonts w:ascii="Times New Roman" w:hAnsi="Times New Roman"/>
        </w:rPr>
        <w:t xml:space="preserve"> </w:t>
      </w:r>
      <w:r w:rsidR="00944003" w:rsidRPr="00391B86">
        <w:rPr>
          <w:rFonts w:ascii="Times New Roman" w:hAnsi="Times New Roman"/>
        </w:rPr>
        <w:t>hearing and determin</w:t>
      </w:r>
      <w:r w:rsidR="00EA6246" w:rsidRPr="00391B86">
        <w:rPr>
          <w:rFonts w:ascii="Times New Roman" w:hAnsi="Times New Roman"/>
        </w:rPr>
        <w:t>ation of</w:t>
      </w:r>
      <w:r w:rsidR="00944003" w:rsidRPr="00391B86">
        <w:rPr>
          <w:rFonts w:ascii="Times New Roman" w:hAnsi="Times New Roman"/>
        </w:rPr>
        <w:t xml:space="preserve"> </w:t>
      </w:r>
      <w:r w:rsidR="000B1DB6" w:rsidRPr="00391B86">
        <w:rPr>
          <w:rFonts w:ascii="Times New Roman" w:hAnsi="Times New Roman"/>
        </w:rPr>
        <w:t xml:space="preserve">the questions </w:t>
      </w:r>
      <w:r w:rsidR="00EA6246" w:rsidRPr="00391B86">
        <w:rPr>
          <w:rFonts w:ascii="Times New Roman" w:hAnsi="Times New Roman"/>
        </w:rPr>
        <w:t>that</w:t>
      </w:r>
      <w:r w:rsidR="002E6E48" w:rsidRPr="00391B86">
        <w:rPr>
          <w:rFonts w:ascii="Times New Roman" w:hAnsi="Times New Roman"/>
        </w:rPr>
        <w:t xml:space="preserve"> have been </w:t>
      </w:r>
      <w:r w:rsidR="000B1DB6" w:rsidRPr="00391B86">
        <w:rPr>
          <w:rFonts w:ascii="Times New Roman" w:hAnsi="Times New Roman"/>
        </w:rPr>
        <w:t xml:space="preserve">reserved </w:t>
      </w:r>
      <w:r w:rsidR="002E6E48" w:rsidRPr="00391B86">
        <w:rPr>
          <w:rFonts w:ascii="Times New Roman" w:hAnsi="Times New Roman"/>
        </w:rPr>
        <w:t xml:space="preserve">and removed </w:t>
      </w:r>
      <w:r w:rsidR="008B2DD6" w:rsidRPr="00391B86">
        <w:rPr>
          <w:rFonts w:ascii="Times New Roman" w:hAnsi="Times New Roman"/>
        </w:rPr>
        <w:t xml:space="preserve">means that </w:t>
      </w:r>
      <w:r w:rsidR="003258AA" w:rsidRPr="00391B86">
        <w:rPr>
          <w:rFonts w:ascii="Times New Roman" w:hAnsi="Times New Roman"/>
        </w:rPr>
        <w:t>one</w:t>
      </w:r>
      <w:r w:rsidR="003C6D69" w:rsidRPr="00391B86">
        <w:rPr>
          <w:rFonts w:ascii="Times New Roman" w:hAnsi="Times New Roman"/>
        </w:rPr>
        <w:t xml:space="preserve"> argument</w:t>
      </w:r>
      <w:r w:rsidR="00256CCE" w:rsidRPr="00391B86">
        <w:rPr>
          <w:rFonts w:ascii="Times New Roman" w:hAnsi="Times New Roman"/>
        </w:rPr>
        <w:t xml:space="preserve"> put</w:t>
      </w:r>
      <w:r w:rsidR="00592F52" w:rsidRPr="00391B86">
        <w:rPr>
          <w:rFonts w:ascii="Times New Roman" w:hAnsi="Times New Roman"/>
        </w:rPr>
        <w:t xml:space="preserve"> </w:t>
      </w:r>
      <w:r w:rsidR="00863FA0" w:rsidRPr="00391B86">
        <w:rPr>
          <w:rFonts w:ascii="Times New Roman" w:hAnsi="Times New Roman"/>
        </w:rPr>
        <w:t xml:space="preserve">to this Court </w:t>
      </w:r>
      <w:r w:rsidR="00592F52" w:rsidRPr="00391B86">
        <w:rPr>
          <w:rFonts w:ascii="Times New Roman" w:hAnsi="Times New Roman"/>
        </w:rPr>
        <w:t xml:space="preserve">by </w:t>
      </w:r>
      <w:r w:rsidR="003C745F" w:rsidRPr="00391B86">
        <w:rPr>
          <w:rFonts w:ascii="Times New Roman" w:hAnsi="Times New Roman"/>
        </w:rPr>
        <w:t>KP</w:t>
      </w:r>
      <w:r w:rsidR="003C6D69" w:rsidRPr="00391B86">
        <w:rPr>
          <w:rFonts w:ascii="Times New Roman" w:hAnsi="Times New Roman"/>
        </w:rPr>
        <w:t xml:space="preserve">MG </w:t>
      </w:r>
      <w:r w:rsidR="00256CCE" w:rsidRPr="00391B86">
        <w:rPr>
          <w:rFonts w:ascii="Times New Roman" w:hAnsi="Times New Roman"/>
        </w:rPr>
        <w:t xml:space="preserve">on the hearing of the cause removed </w:t>
      </w:r>
      <w:r w:rsidR="00D11741" w:rsidRPr="00391B86">
        <w:rPr>
          <w:rFonts w:ascii="Times New Roman" w:hAnsi="Times New Roman"/>
        </w:rPr>
        <w:t xml:space="preserve">is simply not open to </w:t>
      </w:r>
      <w:r w:rsidR="00B8505D" w:rsidRPr="00391B86">
        <w:rPr>
          <w:rFonts w:ascii="Times New Roman" w:hAnsi="Times New Roman"/>
        </w:rPr>
        <w:t>be entertained</w:t>
      </w:r>
      <w:r w:rsidR="00F868D7" w:rsidRPr="00391B86">
        <w:rPr>
          <w:rFonts w:ascii="Times New Roman" w:hAnsi="Times New Roman"/>
        </w:rPr>
        <w:t>. The inadmissible argument</w:t>
      </w:r>
      <w:r w:rsidR="00141EE9" w:rsidRPr="00391B86">
        <w:rPr>
          <w:rFonts w:ascii="Times New Roman" w:hAnsi="Times New Roman"/>
        </w:rPr>
        <w:t xml:space="preserve"> </w:t>
      </w:r>
      <w:r w:rsidR="00F868D7" w:rsidRPr="00391B86">
        <w:rPr>
          <w:rFonts w:ascii="Times New Roman" w:hAnsi="Times New Roman"/>
        </w:rPr>
        <w:t xml:space="preserve">is </w:t>
      </w:r>
      <w:r w:rsidR="0073096E" w:rsidRPr="00391B86">
        <w:rPr>
          <w:rFonts w:ascii="Times New Roman" w:hAnsi="Times New Roman"/>
        </w:rPr>
        <w:t>t</w:t>
      </w:r>
      <w:r w:rsidR="00265051" w:rsidRPr="00391B86">
        <w:rPr>
          <w:rFonts w:ascii="Times New Roman" w:hAnsi="Times New Roman"/>
        </w:rPr>
        <w:t xml:space="preserve">hat the transfer application should have been determined before the GCO application. </w:t>
      </w:r>
      <w:r w:rsidR="00E92CD3" w:rsidRPr="00391B86">
        <w:rPr>
          <w:rFonts w:ascii="Times New Roman" w:hAnsi="Times New Roman"/>
        </w:rPr>
        <w:t xml:space="preserve">Had KPMG </w:t>
      </w:r>
      <w:r w:rsidR="00141EE9" w:rsidRPr="00391B86">
        <w:rPr>
          <w:rFonts w:ascii="Times New Roman" w:hAnsi="Times New Roman"/>
        </w:rPr>
        <w:t>wanted</w:t>
      </w:r>
      <w:r w:rsidR="00E92CD3" w:rsidRPr="00391B86">
        <w:rPr>
          <w:rFonts w:ascii="Times New Roman" w:hAnsi="Times New Roman"/>
        </w:rPr>
        <w:t xml:space="preserve"> </w:t>
      </w:r>
      <w:r w:rsidR="00D47BA8" w:rsidRPr="00391B86">
        <w:rPr>
          <w:rFonts w:ascii="Times New Roman" w:hAnsi="Times New Roman"/>
        </w:rPr>
        <w:t xml:space="preserve">to </w:t>
      </w:r>
      <w:r w:rsidR="004B7F41" w:rsidRPr="00391B86">
        <w:rPr>
          <w:rFonts w:ascii="Times New Roman" w:hAnsi="Times New Roman"/>
        </w:rPr>
        <w:t>pursue</w:t>
      </w:r>
      <w:r w:rsidR="00E92CD3" w:rsidRPr="00391B86">
        <w:rPr>
          <w:rFonts w:ascii="Times New Roman" w:hAnsi="Times New Roman"/>
        </w:rPr>
        <w:t xml:space="preserve"> such an argument</w:t>
      </w:r>
      <w:r w:rsidR="00B8505D" w:rsidRPr="00391B86">
        <w:rPr>
          <w:rFonts w:ascii="Times New Roman" w:hAnsi="Times New Roman"/>
        </w:rPr>
        <w:t xml:space="preserve">, </w:t>
      </w:r>
      <w:r w:rsidR="007C4188" w:rsidRPr="00391B86">
        <w:rPr>
          <w:rFonts w:ascii="Times New Roman" w:hAnsi="Times New Roman"/>
        </w:rPr>
        <w:t xml:space="preserve">it could and </w:t>
      </w:r>
      <w:r w:rsidR="00210131" w:rsidRPr="00391B86">
        <w:rPr>
          <w:rFonts w:ascii="Times New Roman" w:hAnsi="Times New Roman"/>
        </w:rPr>
        <w:t>should</w:t>
      </w:r>
      <w:r w:rsidR="00B8505D" w:rsidRPr="00391B86">
        <w:rPr>
          <w:rFonts w:ascii="Times New Roman" w:hAnsi="Times New Roman"/>
        </w:rPr>
        <w:t xml:space="preserve"> have</w:t>
      </w:r>
      <w:r w:rsidR="001B534A" w:rsidRPr="00391B86">
        <w:rPr>
          <w:rFonts w:ascii="Times New Roman" w:hAnsi="Times New Roman"/>
        </w:rPr>
        <w:t xml:space="preserve"> sought</w:t>
      </w:r>
      <w:r w:rsidR="00B8505D" w:rsidRPr="00391B86">
        <w:rPr>
          <w:rFonts w:ascii="Times New Roman" w:hAnsi="Times New Roman"/>
        </w:rPr>
        <w:t xml:space="preserve"> to appeal </w:t>
      </w:r>
      <w:r w:rsidR="007600E0" w:rsidRPr="00391B86">
        <w:rPr>
          <w:rFonts w:ascii="Times New Roman" w:hAnsi="Times New Roman"/>
        </w:rPr>
        <w:t xml:space="preserve">to </w:t>
      </w:r>
      <w:r w:rsidR="007C4188" w:rsidRPr="00391B86">
        <w:rPr>
          <w:rFonts w:ascii="Times New Roman" w:hAnsi="Times New Roman"/>
        </w:rPr>
        <w:t xml:space="preserve">the Court of Appeal </w:t>
      </w:r>
      <w:r w:rsidR="00EE6B62" w:rsidRPr="00391B86">
        <w:rPr>
          <w:rFonts w:ascii="Times New Roman" w:hAnsi="Times New Roman"/>
        </w:rPr>
        <w:t>from the procedural order</w:t>
      </w:r>
      <w:r w:rsidR="00BE5E37" w:rsidRPr="00391B86">
        <w:rPr>
          <w:rFonts w:ascii="Times New Roman" w:hAnsi="Times New Roman"/>
        </w:rPr>
        <w:t xml:space="preserve"> </w:t>
      </w:r>
      <w:r w:rsidR="00B92357" w:rsidRPr="00391B86">
        <w:rPr>
          <w:rFonts w:ascii="Times New Roman" w:hAnsi="Times New Roman"/>
        </w:rPr>
        <w:t>made by</w:t>
      </w:r>
      <w:r w:rsidR="00435D15" w:rsidRPr="00391B86">
        <w:rPr>
          <w:rFonts w:ascii="Times New Roman" w:hAnsi="Times New Roman"/>
        </w:rPr>
        <w:t xml:space="preserve"> Nichols</w:t>
      </w:r>
      <w:r w:rsidR="00395FBA" w:rsidRPr="00391B86">
        <w:rPr>
          <w:rFonts w:ascii="Times New Roman" w:hAnsi="Times New Roman"/>
        </w:rPr>
        <w:t> </w:t>
      </w:r>
      <w:r w:rsidR="00435D15" w:rsidRPr="00391B86">
        <w:rPr>
          <w:rFonts w:ascii="Times New Roman" w:hAnsi="Times New Roman"/>
        </w:rPr>
        <w:t xml:space="preserve">J </w:t>
      </w:r>
      <w:r w:rsidR="006B0B35" w:rsidRPr="00391B86">
        <w:rPr>
          <w:rFonts w:ascii="Times New Roman" w:hAnsi="Times New Roman"/>
        </w:rPr>
        <w:t>on 31</w:t>
      </w:r>
      <w:r w:rsidR="00395FBA" w:rsidRPr="00391B86">
        <w:rPr>
          <w:rFonts w:ascii="Times New Roman" w:hAnsi="Times New Roman"/>
        </w:rPr>
        <w:t> </w:t>
      </w:r>
      <w:r w:rsidR="006B0B35" w:rsidRPr="00391B86">
        <w:rPr>
          <w:rFonts w:ascii="Times New Roman" w:hAnsi="Times New Roman"/>
        </w:rPr>
        <w:t xml:space="preserve">March 2021 </w:t>
      </w:r>
      <w:r w:rsidR="00BE5E37" w:rsidRPr="00391B86">
        <w:rPr>
          <w:rFonts w:ascii="Times New Roman" w:hAnsi="Times New Roman"/>
        </w:rPr>
        <w:t xml:space="preserve">which resulted in the </w:t>
      </w:r>
      <w:r w:rsidR="00DC5C35" w:rsidRPr="00391B86">
        <w:rPr>
          <w:rFonts w:ascii="Times New Roman" w:hAnsi="Times New Roman"/>
        </w:rPr>
        <w:t xml:space="preserve">GCO application being </w:t>
      </w:r>
      <w:r w:rsidR="008B592A" w:rsidRPr="00391B86">
        <w:rPr>
          <w:rFonts w:ascii="Times New Roman" w:hAnsi="Times New Roman"/>
        </w:rPr>
        <w:t xml:space="preserve">heard and </w:t>
      </w:r>
      <w:r w:rsidR="00DC5C35" w:rsidRPr="00391B86">
        <w:rPr>
          <w:rFonts w:ascii="Times New Roman" w:hAnsi="Times New Roman"/>
        </w:rPr>
        <w:t>determined first</w:t>
      </w:r>
      <w:r w:rsidR="00435D15" w:rsidRPr="00391B86">
        <w:rPr>
          <w:rFonts w:ascii="Times New Roman" w:hAnsi="Times New Roman"/>
        </w:rPr>
        <w:t xml:space="preserve"> by Dixon</w:t>
      </w:r>
      <w:r w:rsidR="00395FBA" w:rsidRPr="00391B86">
        <w:rPr>
          <w:rFonts w:ascii="Times New Roman" w:hAnsi="Times New Roman"/>
        </w:rPr>
        <w:t> </w:t>
      </w:r>
      <w:r w:rsidR="00435D15" w:rsidRPr="00391B86">
        <w:rPr>
          <w:rFonts w:ascii="Times New Roman" w:hAnsi="Times New Roman"/>
        </w:rPr>
        <w:t>J</w:t>
      </w:r>
      <w:r w:rsidR="00DC5C35" w:rsidRPr="00391B86">
        <w:rPr>
          <w:rFonts w:ascii="Times New Roman" w:hAnsi="Times New Roman"/>
        </w:rPr>
        <w:t xml:space="preserve">. </w:t>
      </w:r>
      <w:r w:rsidR="00435D15" w:rsidRPr="00391B86">
        <w:rPr>
          <w:rFonts w:ascii="Times New Roman" w:hAnsi="Times New Roman"/>
        </w:rPr>
        <w:t xml:space="preserve">KPMG </w:t>
      </w:r>
      <w:r w:rsidR="004F54C6" w:rsidRPr="00391B86">
        <w:rPr>
          <w:rFonts w:ascii="Times New Roman" w:hAnsi="Times New Roman"/>
        </w:rPr>
        <w:t xml:space="preserve">did not </w:t>
      </w:r>
      <w:r w:rsidR="008B592A" w:rsidRPr="00391B86">
        <w:rPr>
          <w:rFonts w:ascii="Times New Roman" w:hAnsi="Times New Roman"/>
        </w:rPr>
        <w:t>adopt</w:t>
      </w:r>
      <w:r w:rsidR="004F54C6" w:rsidRPr="00391B86">
        <w:rPr>
          <w:rFonts w:ascii="Times New Roman" w:hAnsi="Times New Roman"/>
        </w:rPr>
        <w:t xml:space="preserve"> that course and the</w:t>
      </w:r>
      <w:r w:rsidR="00962CA0" w:rsidRPr="00391B86">
        <w:rPr>
          <w:rFonts w:ascii="Times New Roman" w:hAnsi="Times New Roman"/>
        </w:rPr>
        <w:t xml:space="preserve"> opportunity </w:t>
      </w:r>
      <w:r w:rsidR="004F54C6" w:rsidRPr="00391B86">
        <w:rPr>
          <w:rFonts w:ascii="Times New Roman" w:hAnsi="Times New Roman"/>
        </w:rPr>
        <w:t xml:space="preserve">to do so </w:t>
      </w:r>
      <w:r w:rsidR="00962CA0" w:rsidRPr="00391B86">
        <w:rPr>
          <w:rFonts w:ascii="Times New Roman" w:hAnsi="Times New Roman"/>
        </w:rPr>
        <w:t>has</w:t>
      </w:r>
      <w:r w:rsidR="007600E0" w:rsidRPr="00391B86">
        <w:rPr>
          <w:rFonts w:ascii="Times New Roman" w:hAnsi="Times New Roman"/>
        </w:rPr>
        <w:t xml:space="preserve"> long </w:t>
      </w:r>
      <w:r w:rsidR="00962CA0" w:rsidRPr="00391B86">
        <w:rPr>
          <w:rFonts w:ascii="Times New Roman" w:hAnsi="Times New Roman"/>
        </w:rPr>
        <w:t xml:space="preserve">passed. </w:t>
      </w:r>
      <w:r w:rsidR="00905475" w:rsidRPr="00391B86">
        <w:rPr>
          <w:rFonts w:ascii="Times New Roman" w:hAnsi="Times New Roman"/>
        </w:rPr>
        <w:t xml:space="preserve">The questions reserved </w:t>
      </w:r>
      <w:r w:rsidR="007E3AF6" w:rsidRPr="00391B86">
        <w:rPr>
          <w:rFonts w:ascii="Times New Roman" w:hAnsi="Times New Roman"/>
        </w:rPr>
        <w:t>were</w:t>
      </w:r>
      <w:r w:rsidR="00B767DB" w:rsidRPr="00391B86">
        <w:rPr>
          <w:rFonts w:ascii="Times New Roman" w:hAnsi="Times New Roman"/>
        </w:rPr>
        <w:t xml:space="preserve"> </w:t>
      </w:r>
      <w:r w:rsidR="00905475" w:rsidRPr="00391B86">
        <w:rPr>
          <w:rFonts w:ascii="Times New Roman" w:hAnsi="Times New Roman"/>
        </w:rPr>
        <w:t>framed</w:t>
      </w:r>
      <w:r w:rsidR="007E3AF6" w:rsidRPr="00391B86">
        <w:rPr>
          <w:rFonts w:ascii="Times New Roman" w:hAnsi="Times New Roman"/>
        </w:rPr>
        <w:t xml:space="preserve"> by Nichols</w:t>
      </w:r>
      <w:r w:rsidR="00395FBA" w:rsidRPr="00391B86">
        <w:rPr>
          <w:rFonts w:ascii="Times New Roman" w:hAnsi="Times New Roman"/>
        </w:rPr>
        <w:t> </w:t>
      </w:r>
      <w:r w:rsidR="007E3AF6" w:rsidRPr="00391B86">
        <w:rPr>
          <w:rFonts w:ascii="Times New Roman" w:hAnsi="Times New Roman"/>
        </w:rPr>
        <w:t xml:space="preserve">J on </w:t>
      </w:r>
      <w:r w:rsidR="00876A4A" w:rsidRPr="00391B86">
        <w:rPr>
          <w:rFonts w:ascii="Times New Roman" w:hAnsi="Times New Roman"/>
        </w:rPr>
        <w:t>7</w:t>
      </w:r>
      <w:r w:rsidR="00395FBA" w:rsidRPr="00391B86">
        <w:rPr>
          <w:rFonts w:ascii="Times New Roman" w:hAnsi="Times New Roman"/>
        </w:rPr>
        <w:t> </w:t>
      </w:r>
      <w:r w:rsidR="00876A4A" w:rsidRPr="00391B86">
        <w:rPr>
          <w:rFonts w:ascii="Times New Roman" w:hAnsi="Times New Roman"/>
        </w:rPr>
        <w:t>March 2023</w:t>
      </w:r>
      <w:r w:rsidR="00C06806" w:rsidRPr="00391B86">
        <w:rPr>
          <w:rFonts w:ascii="Times New Roman" w:hAnsi="Times New Roman"/>
        </w:rPr>
        <w:t xml:space="preserve">, </w:t>
      </w:r>
      <w:r w:rsidR="00905475" w:rsidRPr="00391B86">
        <w:rPr>
          <w:rFonts w:ascii="Times New Roman" w:hAnsi="Times New Roman"/>
        </w:rPr>
        <w:t>and must</w:t>
      </w:r>
      <w:r w:rsidR="007E3AF6" w:rsidRPr="00391B86">
        <w:rPr>
          <w:rFonts w:ascii="Times New Roman" w:hAnsi="Times New Roman"/>
        </w:rPr>
        <w:t xml:space="preserve"> now</w:t>
      </w:r>
      <w:r w:rsidR="00905475" w:rsidRPr="00391B86">
        <w:rPr>
          <w:rFonts w:ascii="Times New Roman" w:hAnsi="Times New Roman"/>
        </w:rPr>
        <w:t xml:space="preserve"> be determined</w:t>
      </w:r>
      <w:r w:rsidR="007E3AF6" w:rsidRPr="00391B86">
        <w:rPr>
          <w:rFonts w:ascii="Times New Roman" w:hAnsi="Times New Roman"/>
        </w:rPr>
        <w:t xml:space="preserve"> by this Court</w:t>
      </w:r>
      <w:r w:rsidR="005E6FD9" w:rsidRPr="00391B86">
        <w:rPr>
          <w:rFonts w:ascii="Times New Roman" w:hAnsi="Times New Roman"/>
        </w:rPr>
        <w:t>,</w:t>
      </w:r>
      <w:r w:rsidR="00905475" w:rsidRPr="00391B86">
        <w:rPr>
          <w:rFonts w:ascii="Times New Roman" w:hAnsi="Times New Roman"/>
        </w:rPr>
        <w:t xml:space="preserve"> </w:t>
      </w:r>
      <w:r w:rsidR="00E25639" w:rsidRPr="00391B86">
        <w:rPr>
          <w:rFonts w:ascii="Times New Roman" w:hAnsi="Times New Roman"/>
        </w:rPr>
        <w:t>against the background of</w:t>
      </w:r>
      <w:r w:rsidR="00C06806" w:rsidRPr="00391B86">
        <w:rPr>
          <w:rFonts w:ascii="Times New Roman" w:hAnsi="Times New Roman"/>
        </w:rPr>
        <w:t xml:space="preserve"> </w:t>
      </w:r>
      <w:r w:rsidR="005E6FD9" w:rsidRPr="00391B86">
        <w:rPr>
          <w:rFonts w:ascii="Times New Roman" w:hAnsi="Times New Roman"/>
        </w:rPr>
        <w:t xml:space="preserve">the </w:t>
      </w:r>
      <w:r w:rsidR="00CC2726" w:rsidRPr="00391B86">
        <w:rPr>
          <w:rFonts w:ascii="Times New Roman" w:hAnsi="Times New Roman"/>
        </w:rPr>
        <w:t xml:space="preserve">GCO application </w:t>
      </w:r>
      <w:r w:rsidR="008903B3" w:rsidRPr="00391B86">
        <w:rPr>
          <w:rFonts w:ascii="Times New Roman" w:hAnsi="Times New Roman"/>
        </w:rPr>
        <w:t xml:space="preserve">having </w:t>
      </w:r>
      <w:r w:rsidR="0002761F" w:rsidRPr="00391B86">
        <w:rPr>
          <w:rFonts w:ascii="Times New Roman" w:hAnsi="Times New Roman"/>
        </w:rPr>
        <w:t xml:space="preserve">in fact </w:t>
      </w:r>
      <w:r w:rsidR="008903B3" w:rsidRPr="00391B86">
        <w:rPr>
          <w:rFonts w:ascii="Times New Roman" w:hAnsi="Times New Roman"/>
        </w:rPr>
        <w:t xml:space="preserve">been determined </w:t>
      </w:r>
      <w:r w:rsidR="0002761F" w:rsidRPr="00391B86">
        <w:rPr>
          <w:rFonts w:ascii="Times New Roman" w:hAnsi="Times New Roman"/>
        </w:rPr>
        <w:t>and</w:t>
      </w:r>
      <w:r w:rsidR="008A6616" w:rsidRPr="00391B86">
        <w:rPr>
          <w:rFonts w:ascii="Times New Roman" w:hAnsi="Times New Roman"/>
        </w:rPr>
        <w:t xml:space="preserve"> the</w:t>
      </w:r>
      <w:r w:rsidR="00CC2726" w:rsidRPr="00391B86">
        <w:rPr>
          <w:rFonts w:ascii="Times New Roman" w:hAnsi="Times New Roman"/>
        </w:rPr>
        <w:t xml:space="preserve"> Arrium </w:t>
      </w:r>
      <w:r w:rsidR="007535A1" w:rsidRPr="00391B86">
        <w:rPr>
          <w:rFonts w:ascii="Times New Roman" w:hAnsi="Times New Roman"/>
        </w:rPr>
        <w:t>class action</w:t>
      </w:r>
      <w:r w:rsidR="00CC2726" w:rsidRPr="00391B86">
        <w:rPr>
          <w:rFonts w:ascii="Times New Roman" w:hAnsi="Times New Roman"/>
        </w:rPr>
        <w:t xml:space="preserve"> G</w:t>
      </w:r>
      <w:r w:rsidR="00E51B9F" w:rsidRPr="00391B86">
        <w:rPr>
          <w:rFonts w:ascii="Times New Roman" w:hAnsi="Times New Roman"/>
        </w:rPr>
        <w:t>C</w:t>
      </w:r>
      <w:r w:rsidR="00CC2726" w:rsidRPr="00391B86">
        <w:rPr>
          <w:rFonts w:ascii="Times New Roman" w:hAnsi="Times New Roman"/>
        </w:rPr>
        <w:t>O</w:t>
      </w:r>
      <w:r w:rsidR="0002761F" w:rsidRPr="00391B86">
        <w:rPr>
          <w:rFonts w:ascii="Times New Roman" w:hAnsi="Times New Roman"/>
        </w:rPr>
        <w:t xml:space="preserve"> having in fact been made</w:t>
      </w:r>
      <w:r w:rsidR="00CC2726" w:rsidRPr="00391B86">
        <w:rPr>
          <w:rFonts w:ascii="Times New Roman" w:hAnsi="Times New Roman"/>
        </w:rPr>
        <w:t>.</w:t>
      </w:r>
    </w:p>
    <w:p w14:paraId="0647BD4A" w14:textId="5A561B88" w:rsidR="006E6AAE" w:rsidRPr="00391B86" w:rsidRDefault="00B8240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02761F" w:rsidRPr="00391B86">
        <w:rPr>
          <w:rFonts w:ascii="Times New Roman" w:hAnsi="Times New Roman"/>
        </w:rPr>
        <w:t>Before</w:t>
      </w:r>
      <w:r w:rsidR="00C95FC0" w:rsidRPr="00391B86">
        <w:rPr>
          <w:rFonts w:ascii="Times New Roman" w:hAnsi="Times New Roman"/>
        </w:rPr>
        <w:t xml:space="preserve"> this Court, it was common ground </w:t>
      </w:r>
      <w:r w:rsidR="000F3225" w:rsidRPr="00391B86">
        <w:rPr>
          <w:rFonts w:ascii="Times New Roman" w:hAnsi="Times New Roman"/>
        </w:rPr>
        <w:t xml:space="preserve">between the parties and the Attorney-General of the Commonwealth </w:t>
      </w:r>
      <w:r w:rsidR="00201FAF" w:rsidRPr="00391B86">
        <w:rPr>
          <w:rFonts w:ascii="Times New Roman" w:hAnsi="Times New Roman"/>
        </w:rPr>
        <w:t xml:space="preserve">that the Arrium </w:t>
      </w:r>
      <w:r w:rsidR="00F83991" w:rsidRPr="00391B86">
        <w:rPr>
          <w:rFonts w:ascii="Times New Roman" w:hAnsi="Times New Roman"/>
        </w:rPr>
        <w:t>class action</w:t>
      </w:r>
      <w:r w:rsidR="00201FAF" w:rsidRPr="00391B86">
        <w:rPr>
          <w:rFonts w:ascii="Times New Roman" w:hAnsi="Times New Roman"/>
        </w:rPr>
        <w:t xml:space="preserve"> G</w:t>
      </w:r>
      <w:r w:rsidR="00E51B9F" w:rsidRPr="00391B86">
        <w:rPr>
          <w:rFonts w:ascii="Times New Roman" w:hAnsi="Times New Roman"/>
        </w:rPr>
        <w:t>C</w:t>
      </w:r>
      <w:r w:rsidR="00201FAF" w:rsidRPr="00391B86">
        <w:rPr>
          <w:rFonts w:ascii="Times New Roman" w:hAnsi="Times New Roman"/>
        </w:rPr>
        <w:t xml:space="preserve">O was an order of a </w:t>
      </w:r>
      <w:r w:rsidR="00493B6F" w:rsidRPr="00391B86">
        <w:rPr>
          <w:rFonts w:ascii="Times New Roman" w:hAnsi="Times New Roman"/>
        </w:rPr>
        <w:t>nature</w:t>
      </w:r>
      <w:r w:rsidR="00201FAF" w:rsidRPr="00391B86">
        <w:rPr>
          <w:rFonts w:ascii="Times New Roman" w:hAnsi="Times New Roman"/>
        </w:rPr>
        <w:t xml:space="preserve"> </w:t>
      </w:r>
      <w:r w:rsidR="00E25961" w:rsidRPr="00391B86">
        <w:rPr>
          <w:rFonts w:ascii="Times New Roman" w:hAnsi="Times New Roman"/>
        </w:rPr>
        <w:t xml:space="preserve">which the Supreme Court </w:t>
      </w:r>
      <w:r w:rsidR="001B55E8" w:rsidRPr="00391B86">
        <w:rPr>
          <w:rFonts w:ascii="Times New Roman" w:hAnsi="Times New Roman"/>
        </w:rPr>
        <w:t>of New South Wales</w:t>
      </w:r>
      <w:r w:rsidR="000C1E44" w:rsidRPr="00391B86">
        <w:rPr>
          <w:rFonts w:ascii="Times New Roman" w:hAnsi="Times New Roman"/>
        </w:rPr>
        <w:t xml:space="preserve"> </w:t>
      </w:r>
      <w:r w:rsidR="005E6FD9" w:rsidRPr="00391B86">
        <w:rPr>
          <w:rFonts w:ascii="Times New Roman" w:hAnsi="Times New Roman"/>
        </w:rPr>
        <w:t>has no</w:t>
      </w:r>
      <w:r w:rsidR="000C1E44" w:rsidRPr="00391B86">
        <w:rPr>
          <w:rFonts w:ascii="Times New Roman" w:hAnsi="Times New Roman"/>
        </w:rPr>
        <w:t xml:space="preserve"> power to make</w:t>
      </w:r>
      <w:r w:rsidR="002F37AB" w:rsidRPr="00391B86">
        <w:rPr>
          <w:rFonts w:ascii="Times New Roman" w:hAnsi="Times New Roman"/>
        </w:rPr>
        <w:t>.</w:t>
      </w:r>
      <w:r w:rsidR="008A3D0B" w:rsidRPr="00391B86">
        <w:rPr>
          <w:rFonts w:ascii="Times New Roman" w:hAnsi="Times New Roman"/>
        </w:rPr>
        <w:t xml:space="preserve"> </w:t>
      </w:r>
    </w:p>
    <w:p w14:paraId="7033068E" w14:textId="147151A6" w:rsidR="00B8240C" w:rsidRPr="00391B86" w:rsidRDefault="006E6AAE" w:rsidP="00391B86">
      <w:pPr>
        <w:pStyle w:val="FixListStyle"/>
        <w:spacing w:after="260" w:line="280" w:lineRule="exact"/>
        <w:ind w:right="0"/>
        <w:jc w:val="both"/>
        <w:rPr>
          <w:rFonts w:ascii="Times New Roman" w:hAnsi="Times New Roman"/>
        </w:rPr>
      </w:pPr>
      <w:r w:rsidRPr="00391B86">
        <w:rPr>
          <w:rFonts w:ascii="Times New Roman" w:hAnsi="Times New Roman"/>
        </w:rPr>
        <w:tab/>
        <w:t>Before this Court, it</w:t>
      </w:r>
      <w:r w:rsidR="008A3D0B" w:rsidRPr="00391B86">
        <w:rPr>
          <w:rFonts w:ascii="Times New Roman" w:hAnsi="Times New Roman"/>
        </w:rPr>
        <w:t xml:space="preserve"> was also common ground that the Court of Appeal was correct </w:t>
      </w:r>
      <w:r w:rsidR="007771C5" w:rsidRPr="00391B86">
        <w:rPr>
          <w:rFonts w:ascii="Times New Roman" w:hAnsi="Times New Roman"/>
        </w:rPr>
        <w:t xml:space="preserve">to observe </w:t>
      </w:r>
      <w:r w:rsidR="008A3D0B" w:rsidRPr="00391B86">
        <w:rPr>
          <w:rFonts w:ascii="Times New Roman" w:hAnsi="Times New Roman"/>
        </w:rPr>
        <w:t xml:space="preserve">that the Arrium </w:t>
      </w:r>
      <w:r w:rsidR="00F83991" w:rsidRPr="00391B86">
        <w:rPr>
          <w:rFonts w:ascii="Times New Roman" w:hAnsi="Times New Roman"/>
        </w:rPr>
        <w:t xml:space="preserve">class action </w:t>
      </w:r>
      <w:r w:rsidR="008A3D0B" w:rsidRPr="00391B86">
        <w:rPr>
          <w:rFonts w:ascii="Times New Roman" w:hAnsi="Times New Roman"/>
        </w:rPr>
        <w:t>G</w:t>
      </w:r>
      <w:r w:rsidR="00E51B9F" w:rsidRPr="00391B86">
        <w:rPr>
          <w:rFonts w:ascii="Times New Roman" w:hAnsi="Times New Roman"/>
        </w:rPr>
        <w:t>C</w:t>
      </w:r>
      <w:r w:rsidR="008A3D0B" w:rsidRPr="00391B86">
        <w:rPr>
          <w:rFonts w:ascii="Times New Roman" w:hAnsi="Times New Roman"/>
        </w:rPr>
        <w:t>O</w:t>
      </w:r>
      <w:r w:rsidR="002A408F" w:rsidRPr="00391B86">
        <w:rPr>
          <w:rFonts w:ascii="Times New Roman" w:hAnsi="Times New Roman"/>
        </w:rPr>
        <w:t xml:space="preserve">, having regard to the form of </w:t>
      </w:r>
      <w:r w:rsidR="002A408F" w:rsidRPr="00391B86">
        <w:rPr>
          <w:rFonts w:ascii="Times New Roman" w:hAnsi="Times New Roman"/>
        </w:rPr>
        <w:lastRenderedPageBreak/>
        <w:t>the order and the legislative context in which it was made,</w:t>
      </w:r>
      <w:r w:rsidR="008A3D0B" w:rsidRPr="00391B86">
        <w:rPr>
          <w:rFonts w:ascii="Times New Roman" w:hAnsi="Times New Roman"/>
        </w:rPr>
        <w:t xml:space="preserve"> operates in its terms only in respect of the Arrium class action </w:t>
      </w:r>
      <w:r w:rsidR="007771C5" w:rsidRPr="00391B86">
        <w:rPr>
          <w:rFonts w:ascii="Times New Roman" w:hAnsi="Times New Roman"/>
        </w:rPr>
        <w:t xml:space="preserve">as </w:t>
      </w:r>
      <w:r w:rsidR="008A3D0B" w:rsidRPr="00391B86">
        <w:rPr>
          <w:rFonts w:ascii="Times New Roman" w:hAnsi="Times New Roman"/>
        </w:rPr>
        <w:t xml:space="preserve">constituted as a group proceeding in the Supreme Court of Victoria with the consequence that </w:t>
      </w:r>
      <w:r w:rsidR="001971D8" w:rsidRPr="00391B86">
        <w:rPr>
          <w:rFonts w:ascii="Times New Roman" w:hAnsi="Times New Roman"/>
        </w:rPr>
        <w:t xml:space="preserve">the Arrium </w:t>
      </w:r>
      <w:r w:rsidR="00F83991" w:rsidRPr="00391B86">
        <w:rPr>
          <w:rFonts w:ascii="Times New Roman" w:hAnsi="Times New Roman"/>
        </w:rPr>
        <w:t xml:space="preserve">class action </w:t>
      </w:r>
      <w:r w:rsidR="001971D8" w:rsidRPr="00391B86">
        <w:rPr>
          <w:rFonts w:ascii="Times New Roman" w:hAnsi="Times New Roman"/>
        </w:rPr>
        <w:t>G</w:t>
      </w:r>
      <w:r w:rsidR="00E51B9F" w:rsidRPr="00391B86">
        <w:rPr>
          <w:rFonts w:ascii="Times New Roman" w:hAnsi="Times New Roman"/>
        </w:rPr>
        <w:t>C</w:t>
      </w:r>
      <w:r w:rsidR="001971D8" w:rsidRPr="00391B86">
        <w:rPr>
          <w:rFonts w:ascii="Times New Roman" w:hAnsi="Times New Roman"/>
        </w:rPr>
        <w:t>O</w:t>
      </w:r>
      <w:r w:rsidR="008A3D0B" w:rsidRPr="00391B86">
        <w:rPr>
          <w:rFonts w:ascii="Times New Roman" w:hAnsi="Times New Roman"/>
        </w:rPr>
        <w:t xml:space="preserve"> would cease to operate in its terms were the proceeding to be transferred to the Supreme Court of New South Wales.</w:t>
      </w:r>
      <w:r w:rsidR="008A3D0B" w:rsidRPr="00391B86">
        <w:rPr>
          <w:rStyle w:val="FootnoteReference"/>
          <w:rFonts w:ascii="Times New Roman" w:hAnsi="Times New Roman"/>
          <w:sz w:val="24"/>
        </w:rPr>
        <w:footnoteReference w:id="26"/>
      </w:r>
      <w:r w:rsidR="008A3D0B" w:rsidRPr="00391B86">
        <w:rPr>
          <w:rFonts w:ascii="Times New Roman" w:hAnsi="Times New Roman"/>
        </w:rPr>
        <w:t xml:space="preserve"> </w:t>
      </w:r>
      <w:r w:rsidR="008175E5" w:rsidRPr="00391B86">
        <w:rPr>
          <w:rFonts w:ascii="Times New Roman" w:hAnsi="Times New Roman"/>
        </w:rPr>
        <w:t xml:space="preserve">The plaintiffs, </w:t>
      </w:r>
      <w:r w:rsidR="001810AA" w:rsidRPr="00391B86">
        <w:rPr>
          <w:rFonts w:ascii="Times New Roman" w:hAnsi="Times New Roman"/>
        </w:rPr>
        <w:t>KPMG</w:t>
      </w:r>
      <w:r w:rsidR="00E03700" w:rsidRPr="00391B86">
        <w:rPr>
          <w:rFonts w:ascii="Times New Roman" w:hAnsi="Times New Roman"/>
        </w:rPr>
        <w:t xml:space="preserve"> and the Attorney-General </w:t>
      </w:r>
      <w:r w:rsidR="00BD39B4" w:rsidRPr="00391B86">
        <w:rPr>
          <w:rFonts w:ascii="Times New Roman" w:hAnsi="Times New Roman"/>
        </w:rPr>
        <w:t xml:space="preserve">were </w:t>
      </w:r>
      <w:r w:rsidR="00E03700" w:rsidRPr="00391B86">
        <w:rPr>
          <w:rFonts w:ascii="Times New Roman" w:hAnsi="Times New Roman"/>
        </w:rPr>
        <w:t xml:space="preserve">agreed that the Arrium </w:t>
      </w:r>
      <w:r w:rsidR="00F83991" w:rsidRPr="00391B86">
        <w:rPr>
          <w:rFonts w:ascii="Times New Roman" w:hAnsi="Times New Roman"/>
        </w:rPr>
        <w:t xml:space="preserve">class action </w:t>
      </w:r>
      <w:r w:rsidR="00E03700" w:rsidRPr="00391B86">
        <w:rPr>
          <w:rFonts w:ascii="Times New Roman" w:hAnsi="Times New Roman"/>
        </w:rPr>
        <w:t>G</w:t>
      </w:r>
      <w:r w:rsidR="00E51B9F" w:rsidRPr="00391B86">
        <w:rPr>
          <w:rFonts w:ascii="Times New Roman" w:hAnsi="Times New Roman"/>
        </w:rPr>
        <w:t>C</w:t>
      </w:r>
      <w:r w:rsidR="00E03700" w:rsidRPr="00391B86">
        <w:rPr>
          <w:rFonts w:ascii="Times New Roman" w:hAnsi="Times New Roman"/>
        </w:rPr>
        <w:t xml:space="preserve">O could have </w:t>
      </w:r>
      <w:r w:rsidR="00894EA1" w:rsidRPr="00391B86">
        <w:rPr>
          <w:rFonts w:ascii="Times New Roman" w:hAnsi="Times New Roman"/>
        </w:rPr>
        <w:t xml:space="preserve">force and </w:t>
      </w:r>
      <w:r w:rsidR="00E03700" w:rsidRPr="00391B86">
        <w:rPr>
          <w:rFonts w:ascii="Times New Roman" w:hAnsi="Times New Roman"/>
        </w:rPr>
        <w:t>effect were the Arrium class action transferred to the Supreme Court of New South Wales only if s</w:t>
      </w:r>
      <w:r w:rsidR="00395FBA" w:rsidRPr="00391B86">
        <w:rPr>
          <w:rFonts w:ascii="Times New Roman" w:hAnsi="Times New Roman"/>
        </w:rPr>
        <w:t> </w:t>
      </w:r>
      <w:r w:rsidR="00E03700" w:rsidRPr="00391B86">
        <w:rPr>
          <w:rFonts w:ascii="Times New Roman" w:hAnsi="Times New Roman"/>
        </w:rPr>
        <w:t xml:space="preserve">1337P(2) of the Corporations Act </w:t>
      </w:r>
      <w:r w:rsidR="00DE1D9F" w:rsidRPr="00391B86">
        <w:rPr>
          <w:rFonts w:ascii="Times New Roman" w:hAnsi="Times New Roman"/>
        </w:rPr>
        <w:t xml:space="preserve">would </w:t>
      </w:r>
      <w:r w:rsidR="00E03700" w:rsidRPr="00391B86">
        <w:rPr>
          <w:rFonts w:ascii="Times New Roman" w:hAnsi="Times New Roman"/>
        </w:rPr>
        <w:t>operate to give it that</w:t>
      </w:r>
      <w:r w:rsidR="00B116A3" w:rsidRPr="00391B86">
        <w:rPr>
          <w:rFonts w:ascii="Times New Roman" w:hAnsi="Times New Roman"/>
        </w:rPr>
        <w:t xml:space="preserve"> force and</w:t>
      </w:r>
      <w:r w:rsidR="00E03700" w:rsidRPr="00391B86">
        <w:rPr>
          <w:rFonts w:ascii="Times New Roman" w:hAnsi="Times New Roman"/>
        </w:rPr>
        <w:t xml:space="preserve"> effect.</w:t>
      </w:r>
    </w:p>
    <w:p w14:paraId="1FE24875" w14:textId="222514CC" w:rsidR="00716DB3" w:rsidRPr="00391B86" w:rsidRDefault="00727EED"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6329BC" w:rsidRPr="00391B86">
        <w:rPr>
          <w:rFonts w:ascii="Times New Roman" w:hAnsi="Times New Roman"/>
        </w:rPr>
        <w:t>T</w:t>
      </w:r>
      <w:r w:rsidR="004C298F" w:rsidRPr="00391B86">
        <w:rPr>
          <w:rFonts w:ascii="Times New Roman" w:hAnsi="Times New Roman"/>
        </w:rPr>
        <w:t xml:space="preserve">he </w:t>
      </w:r>
      <w:r w:rsidR="005A49FA" w:rsidRPr="00391B86">
        <w:rPr>
          <w:rFonts w:ascii="Times New Roman" w:hAnsi="Times New Roman"/>
        </w:rPr>
        <w:t>plaintiffs</w:t>
      </w:r>
      <w:r w:rsidR="004C298F" w:rsidRPr="00391B86">
        <w:rPr>
          <w:rFonts w:ascii="Times New Roman" w:hAnsi="Times New Roman"/>
        </w:rPr>
        <w:t xml:space="preserve"> contended </w:t>
      </w:r>
      <w:r w:rsidR="001E13F6" w:rsidRPr="00391B86">
        <w:rPr>
          <w:rFonts w:ascii="Times New Roman" w:hAnsi="Times New Roman"/>
        </w:rPr>
        <w:t xml:space="preserve">in </w:t>
      </w:r>
      <w:r w:rsidR="00D50563" w:rsidRPr="00391B86">
        <w:rPr>
          <w:rFonts w:ascii="Times New Roman" w:hAnsi="Times New Roman"/>
        </w:rPr>
        <w:t xml:space="preserve">argument in </w:t>
      </w:r>
      <w:r w:rsidR="001E13F6" w:rsidRPr="00391B86">
        <w:rPr>
          <w:rFonts w:ascii="Times New Roman" w:hAnsi="Times New Roman"/>
        </w:rPr>
        <w:t xml:space="preserve">this Court </w:t>
      </w:r>
      <w:r w:rsidR="004C298F" w:rsidRPr="00391B86">
        <w:rPr>
          <w:rFonts w:ascii="Times New Roman" w:hAnsi="Times New Roman"/>
        </w:rPr>
        <w:t>that</w:t>
      </w:r>
      <w:r w:rsidR="00465E68" w:rsidRPr="00391B86">
        <w:rPr>
          <w:rFonts w:ascii="Times New Roman" w:hAnsi="Times New Roman"/>
        </w:rPr>
        <w:t xml:space="preserve"> the absence of power on the part of the Supreme Court of New South Wales</w:t>
      </w:r>
      <w:r w:rsidR="004C298F" w:rsidRPr="00391B86">
        <w:rPr>
          <w:rFonts w:ascii="Times New Roman" w:hAnsi="Times New Roman"/>
        </w:rPr>
        <w:t xml:space="preserve"> </w:t>
      </w:r>
      <w:r w:rsidR="00465E68" w:rsidRPr="00391B86">
        <w:rPr>
          <w:rFonts w:ascii="Times New Roman" w:hAnsi="Times New Roman"/>
        </w:rPr>
        <w:t xml:space="preserve">to make the Arrium </w:t>
      </w:r>
      <w:r w:rsidR="00F83991" w:rsidRPr="00391B86">
        <w:rPr>
          <w:rFonts w:ascii="Times New Roman" w:hAnsi="Times New Roman"/>
        </w:rPr>
        <w:t xml:space="preserve">class action </w:t>
      </w:r>
      <w:r w:rsidR="00465E68" w:rsidRPr="00391B86">
        <w:rPr>
          <w:rFonts w:ascii="Times New Roman" w:hAnsi="Times New Roman"/>
        </w:rPr>
        <w:t>G</w:t>
      </w:r>
      <w:r w:rsidR="00E51B9F" w:rsidRPr="00391B86">
        <w:rPr>
          <w:rFonts w:ascii="Times New Roman" w:hAnsi="Times New Roman"/>
        </w:rPr>
        <w:t>C</w:t>
      </w:r>
      <w:r w:rsidR="00465E68" w:rsidRPr="00391B86">
        <w:rPr>
          <w:rFonts w:ascii="Times New Roman" w:hAnsi="Times New Roman"/>
        </w:rPr>
        <w:t>O mean</w:t>
      </w:r>
      <w:r w:rsidR="00C1725D" w:rsidRPr="00391B86">
        <w:rPr>
          <w:rFonts w:ascii="Times New Roman" w:hAnsi="Times New Roman"/>
        </w:rPr>
        <w:t>s</w:t>
      </w:r>
      <w:r w:rsidR="00465E68" w:rsidRPr="00391B86">
        <w:rPr>
          <w:rFonts w:ascii="Times New Roman" w:hAnsi="Times New Roman"/>
        </w:rPr>
        <w:t xml:space="preserve"> that </w:t>
      </w:r>
      <w:r w:rsidR="005A74E0" w:rsidRPr="00391B86">
        <w:rPr>
          <w:rFonts w:ascii="Times New Roman" w:hAnsi="Times New Roman"/>
        </w:rPr>
        <w:t xml:space="preserve">the </w:t>
      </w:r>
      <w:r w:rsidR="009A6D17" w:rsidRPr="00391B86">
        <w:rPr>
          <w:rFonts w:ascii="Times New Roman" w:hAnsi="Times New Roman"/>
        </w:rPr>
        <w:t>Supreme Court of New South Wales cannot meet the description in s</w:t>
      </w:r>
      <w:r w:rsidR="00395FBA" w:rsidRPr="00391B86">
        <w:rPr>
          <w:rFonts w:ascii="Times New Roman" w:hAnsi="Times New Roman"/>
        </w:rPr>
        <w:t> </w:t>
      </w:r>
      <w:r w:rsidR="009A6D17" w:rsidRPr="00391B86">
        <w:rPr>
          <w:rFonts w:ascii="Times New Roman" w:hAnsi="Times New Roman"/>
        </w:rPr>
        <w:t>1337H(2)</w:t>
      </w:r>
      <w:r w:rsidR="0019684B" w:rsidRPr="00391B86">
        <w:rPr>
          <w:rFonts w:ascii="Times New Roman" w:hAnsi="Times New Roman"/>
        </w:rPr>
        <w:t xml:space="preserve"> </w:t>
      </w:r>
      <w:r w:rsidR="00F64053" w:rsidRPr="00391B86">
        <w:rPr>
          <w:rFonts w:ascii="Times New Roman" w:hAnsi="Times New Roman"/>
        </w:rPr>
        <w:t xml:space="preserve">of the Corporations Act </w:t>
      </w:r>
      <w:r w:rsidR="0019684B" w:rsidRPr="00391B86">
        <w:rPr>
          <w:rFonts w:ascii="Times New Roman" w:hAnsi="Times New Roman"/>
        </w:rPr>
        <w:t xml:space="preserve">of "another </w:t>
      </w:r>
      <w:r w:rsidR="007718CD" w:rsidRPr="00391B86">
        <w:rPr>
          <w:rFonts w:ascii="Times New Roman" w:hAnsi="Times New Roman"/>
        </w:rPr>
        <w:t xml:space="preserve">court that has jurisdiction in the matters for determination in the </w:t>
      </w:r>
      <w:r w:rsidR="00D63BEF" w:rsidRPr="00391B86">
        <w:rPr>
          <w:rFonts w:ascii="Times New Roman" w:hAnsi="Times New Roman"/>
        </w:rPr>
        <w:t>...</w:t>
      </w:r>
      <w:r w:rsidR="00357904" w:rsidRPr="00391B86">
        <w:rPr>
          <w:rFonts w:ascii="Times New Roman" w:hAnsi="Times New Roman"/>
        </w:rPr>
        <w:t xml:space="preserve"> </w:t>
      </w:r>
      <w:r w:rsidR="007718CD" w:rsidRPr="00391B86">
        <w:rPr>
          <w:rFonts w:ascii="Times New Roman" w:hAnsi="Times New Roman"/>
        </w:rPr>
        <w:t>proceeding</w:t>
      </w:r>
      <w:r w:rsidR="00403598" w:rsidRPr="00391B86">
        <w:rPr>
          <w:rFonts w:ascii="Times New Roman" w:hAnsi="Times New Roman"/>
        </w:rPr>
        <w:t>" in the Supreme Court of Victoria</w:t>
      </w:r>
      <w:r w:rsidR="00014529" w:rsidRPr="00391B86">
        <w:rPr>
          <w:rFonts w:ascii="Times New Roman" w:hAnsi="Times New Roman"/>
        </w:rPr>
        <w:t xml:space="preserve"> and so cannot </w:t>
      </w:r>
      <w:r w:rsidR="00D27F01" w:rsidRPr="00391B86">
        <w:rPr>
          <w:rFonts w:ascii="Times New Roman" w:hAnsi="Times New Roman"/>
        </w:rPr>
        <w:t>be a court to which the Arrium class action</w:t>
      </w:r>
      <w:r w:rsidR="0032624A" w:rsidRPr="00391B86">
        <w:rPr>
          <w:rFonts w:ascii="Times New Roman" w:hAnsi="Times New Roman"/>
        </w:rPr>
        <w:t xml:space="preserve"> can be transferred </w:t>
      </w:r>
      <w:r w:rsidR="00EF222B" w:rsidRPr="00391B86">
        <w:rPr>
          <w:rFonts w:ascii="Times New Roman" w:hAnsi="Times New Roman"/>
        </w:rPr>
        <w:t xml:space="preserve">regardless of the </w:t>
      </w:r>
      <w:r w:rsidR="00E721B8" w:rsidRPr="00391B86">
        <w:rPr>
          <w:rFonts w:ascii="Times New Roman" w:hAnsi="Times New Roman"/>
        </w:rPr>
        <w:t>"</w:t>
      </w:r>
      <w:r w:rsidR="00EF222B" w:rsidRPr="00391B86">
        <w:rPr>
          <w:rFonts w:ascii="Times New Roman" w:hAnsi="Times New Roman"/>
        </w:rPr>
        <w:t>interests of justice</w:t>
      </w:r>
      <w:r w:rsidR="00047316" w:rsidRPr="00391B86">
        <w:rPr>
          <w:rFonts w:ascii="Times New Roman" w:hAnsi="Times New Roman"/>
        </w:rPr>
        <w:t>"</w:t>
      </w:r>
      <w:r w:rsidR="00403598" w:rsidRPr="00391B86">
        <w:rPr>
          <w:rFonts w:ascii="Times New Roman" w:hAnsi="Times New Roman"/>
        </w:rPr>
        <w:t xml:space="preserve">. </w:t>
      </w:r>
      <w:r w:rsidR="006148D8" w:rsidRPr="00391B86">
        <w:rPr>
          <w:rFonts w:ascii="Times New Roman" w:hAnsi="Times New Roman"/>
        </w:rPr>
        <w:t>Th</w:t>
      </w:r>
      <w:r w:rsidR="00FC65D8" w:rsidRPr="00391B86">
        <w:rPr>
          <w:rFonts w:ascii="Times New Roman" w:hAnsi="Times New Roman"/>
        </w:rPr>
        <w:t>at</w:t>
      </w:r>
      <w:r w:rsidR="006148D8" w:rsidRPr="00391B86">
        <w:rPr>
          <w:rFonts w:ascii="Times New Roman" w:hAnsi="Times New Roman"/>
        </w:rPr>
        <w:t xml:space="preserve"> contention is readily rejected</w:t>
      </w:r>
      <w:r w:rsidR="00901FB2" w:rsidRPr="00391B86">
        <w:rPr>
          <w:rFonts w:ascii="Times New Roman" w:hAnsi="Times New Roman"/>
        </w:rPr>
        <w:t xml:space="preserve">. </w:t>
      </w:r>
      <w:r w:rsidR="00FD68F3" w:rsidRPr="00391B86">
        <w:rPr>
          <w:rFonts w:ascii="Times New Roman" w:hAnsi="Times New Roman"/>
        </w:rPr>
        <w:t>Within the</w:t>
      </w:r>
      <w:r w:rsidR="001C6357" w:rsidRPr="00391B86">
        <w:rPr>
          <w:rFonts w:ascii="Times New Roman" w:hAnsi="Times New Roman"/>
        </w:rPr>
        <w:t xml:space="preserve"> </w:t>
      </w:r>
      <w:r w:rsidR="00901FB2" w:rsidRPr="00391B86">
        <w:rPr>
          <w:rFonts w:ascii="Times New Roman" w:hAnsi="Times New Roman"/>
        </w:rPr>
        <w:t xml:space="preserve">context </w:t>
      </w:r>
      <w:r w:rsidR="002521AB" w:rsidRPr="00391B86">
        <w:rPr>
          <w:rFonts w:ascii="Times New Roman" w:hAnsi="Times New Roman"/>
        </w:rPr>
        <w:t>of Div 1 of Pt 9.6A of the Corporations Act</w:t>
      </w:r>
      <w:r w:rsidR="00FD68F3" w:rsidRPr="00391B86">
        <w:rPr>
          <w:rFonts w:ascii="Times New Roman" w:hAnsi="Times New Roman"/>
        </w:rPr>
        <w:t>,</w:t>
      </w:r>
      <w:r w:rsidR="002521AB" w:rsidRPr="00391B86">
        <w:rPr>
          <w:rFonts w:ascii="Times New Roman" w:hAnsi="Times New Roman"/>
        </w:rPr>
        <w:t xml:space="preserve"> </w:t>
      </w:r>
      <w:r w:rsidR="00FD68F3" w:rsidRPr="00391B86">
        <w:rPr>
          <w:rFonts w:ascii="Times New Roman" w:hAnsi="Times New Roman"/>
        </w:rPr>
        <w:t xml:space="preserve">there is </w:t>
      </w:r>
      <w:r w:rsidR="004866EF" w:rsidRPr="00391B86">
        <w:rPr>
          <w:rFonts w:ascii="Times New Roman" w:hAnsi="Times New Roman"/>
        </w:rPr>
        <w:t xml:space="preserve">no basis for construing </w:t>
      </w:r>
      <w:r w:rsidR="00962C99" w:rsidRPr="00391B86">
        <w:rPr>
          <w:rFonts w:ascii="Times New Roman" w:hAnsi="Times New Roman"/>
        </w:rPr>
        <w:t xml:space="preserve">the terms </w:t>
      </w:r>
      <w:r w:rsidR="004866EF" w:rsidRPr="00391B86">
        <w:rPr>
          <w:rFonts w:ascii="Times New Roman" w:hAnsi="Times New Roman"/>
        </w:rPr>
        <w:t xml:space="preserve">"jurisdiction" and "matters" </w:t>
      </w:r>
      <w:r w:rsidR="00631408" w:rsidRPr="00391B86">
        <w:rPr>
          <w:rFonts w:ascii="Times New Roman" w:hAnsi="Times New Roman"/>
        </w:rPr>
        <w:t xml:space="preserve">in </w:t>
      </w:r>
      <w:r w:rsidR="00E51ACE" w:rsidRPr="00391B86">
        <w:rPr>
          <w:rFonts w:ascii="Times New Roman" w:hAnsi="Times New Roman"/>
        </w:rPr>
        <w:t>s </w:t>
      </w:r>
      <w:r w:rsidR="00631408" w:rsidRPr="00391B86">
        <w:rPr>
          <w:rFonts w:ascii="Times New Roman" w:hAnsi="Times New Roman"/>
        </w:rPr>
        <w:t>1337</w:t>
      </w:r>
      <w:proofErr w:type="gramStart"/>
      <w:r w:rsidR="00631408" w:rsidRPr="00391B86">
        <w:rPr>
          <w:rFonts w:ascii="Times New Roman" w:hAnsi="Times New Roman"/>
        </w:rPr>
        <w:t>H(</w:t>
      </w:r>
      <w:proofErr w:type="gramEnd"/>
      <w:r w:rsidR="00631408" w:rsidRPr="00391B86">
        <w:rPr>
          <w:rFonts w:ascii="Times New Roman" w:hAnsi="Times New Roman"/>
        </w:rPr>
        <w:t>2)</w:t>
      </w:r>
      <w:r w:rsidR="002F14CD" w:rsidRPr="00391B86">
        <w:rPr>
          <w:rFonts w:ascii="Times New Roman" w:hAnsi="Times New Roman"/>
        </w:rPr>
        <w:t xml:space="preserve"> </w:t>
      </w:r>
      <w:r w:rsidR="00922B56" w:rsidRPr="00391B86">
        <w:rPr>
          <w:rFonts w:ascii="Times New Roman" w:hAnsi="Times New Roman"/>
        </w:rPr>
        <w:t>other than according to th</w:t>
      </w:r>
      <w:r w:rsidR="003B2C1B" w:rsidRPr="00391B86">
        <w:rPr>
          <w:rFonts w:ascii="Times New Roman" w:hAnsi="Times New Roman"/>
        </w:rPr>
        <w:t xml:space="preserve">eir constitutional </w:t>
      </w:r>
      <w:r w:rsidR="00260284" w:rsidRPr="00391B86">
        <w:rPr>
          <w:rFonts w:ascii="Times New Roman" w:hAnsi="Times New Roman"/>
        </w:rPr>
        <w:t xml:space="preserve">signification. </w:t>
      </w:r>
      <w:r w:rsidR="00271BB2" w:rsidRPr="00391B86">
        <w:rPr>
          <w:rFonts w:ascii="Times New Roman" w:hAnsi="Times New Roman"/>
        </w:rPr>
        <w:t xml:space="preserve">Jurisdiction in a matter </w:t>
      </w:r>
      <w:r w:rsidR="00211C5D" w:rsidRPr="00391B86">
        <w:rPr>
          <w:rFonts w:ascii="Times New Roman" w:hAnsi="Times New Roman"/>
        </w:rPr>
        <w:t xml:space="preserve">or matters </w:t>
      </w:r>
      <w:r w:rsidR="00271BB2" w:rsidRPr="00391B86">
        <w:rPr>
          <w:rFonts w:ascii="Times New Roman" w:hAnsi="Times New Roman"/>
        </w:rPr>
        <w:t xml:space="preserve">for determination in a proceeding </w:t>
      </w:r>
      <w:r w:rsidR="00462845" w:rsidRPr="00391B86">
        <w:rPr>
          <w:rFonts w:ascii="Times New Roman" w:hAnsi="Times New Roman"/>
        </w:rPr>
        <w:t xml:space="preserve">is </w:t>
      </w:r>
      <w:r w:rsidR="00EC67AB" w:rsidRPr="00391B86">
        <w:rPr>
          <w:rFonts w:ascii="Times New Roman" w:hAnsi="Times New Roman"/>
        </w:rPr>
        <w:t xml:space="preserve">authority to decide the justiciable controversy or </w:t>
      </w:r>
      <w:r w:rsidR="00211C5D" w:rsidRPr="00391B86">
        <w:rPr>
          <w:rFonts w:ascii="Times New Roman" w:hAnsi="Times New Roman"/>
        </w:rPr>
        <w:t xml:space="preserve">justiciable </w:t>
      </w:r>
      <w:r w:rsidR="00EC67AB" w:rsidRPr="00391B86">
        <w:rPr>
          <w:rFonts w:ascii="Times New Roman" w:hAnsi="Times New Roman"/>
        </w:rPr>
        <w:t xml:space="preserve">controversies </w:t>
      </w:r>
      <w:r w:rsidR="00340BF2" w:rsidRPr="00391B86">
        <w:rPr>
          <w:rFonts w:ascii="Times New Roman" w:hAnsi="Times New Roman"/>
        </w:rPr>
        <w:t>between the parties to the proceeding</w:t>
      </w:r>
      <w:r w:rsidR="006F4E7D" w:rsidRPr="00391B86">
        <w:rPr>
          <w:rFonts w:ascii="Times New Roman" w:hAnsi="Times New Roman"/>
        </w:rPr>
        <w:t>; i</w:t>
      </w:r>
      <w:r w:rsidR="00EC67AB" w:rsidRPr="00391B86">
        <w:rPr>
          <w:rFonts w:ascii="Times New Roman" w:hAnsi="Times New Roman"/>
        </w:rPr>
        <w:t xml:space="preserve">t is </w:t>
      </w:r>
      <w:r w:rsidR="00462845" w:rsidRPr="00391B86">
        <w:rPr>
          <w:rFonts w:ascii="Times New Roman" w:hAnsi="Times New Roman"/>
        </w:rPr>
        <w:t xml:space="preserve">not power to make an order </w:t>
      </w:r>
      <w:r w:rsidR="008C48CC" w:rsidRPr="00391B86">
        <w:rPr>
          <w:rFonts w:ascii="Times New Roman" w:hAnsi="Times New Roman"/>
        </w:rPr>
        <w:t xml:space="preserve">or orders </w:t>
      </w:r>
      <w:r w:rsidR="00462845" w:rsidRPr="00391B86">
        <w:rPr>
          <w:rFonts w:ascii="Times New Roman" w:hAnsi="Times New Roman"/>
        </w:rPr>
        <w:t>in a proceeding.</w:t>
      </w:r>
      <w:r w:rsidR="006F4E7D" w:rsidRPr="00391B86">
        <w:rPr>
          <w:rStyle w:val="FootnoteReference"/>
          <w:rFonts w:ascii="Times New Roman" w:hAnsi="Times New Roman"/>
          <w:sz w:val="24"/>
        </w:rPr>
        <w:footnoteReference w:id="27"/>
      </w:r>
      <w:r w:rsidR="00462845" w:rsidRPr="00391B86">
        <w:rPr>
          <w:rFonts w:ascii="Times New Roman" w:hAnsi="Times New Roman"/>
        </w:rPr>
        <w:t xml:space="preserve"> </w:t>
      </w:r>
      <w:r w:rsidR="00B57CE4" w:rsidRPr="00391B86">
        <w:rPr>
          <w:rFonts w:ascii="Times New Roman" w:hAnsi="Times New Roman"/>
        </w:rPr>
        <w:t xml:space="preserve">The </w:t>
      </w:r>
      <w:r w:rsidR="00462845" w:rsidRPr="00391B86">
        <w:rPr>
          <w:rFonts w:ascii="Times New Roman" w:hAnsi="Times New Roman"/>
        </w:rPr>
        <w:t xml:space="preserve">jurisdiction which the </w:t>
      </w:r>
      <w:r w:rsidR="00B57CE4" w:rsidRPr="00391B86">
        <w:rPr>
          <w:rFonts w:ascii="Times New Roman" w:hAnsi="Times New Roman"/>
        </w:rPr>
        <w:t>Supreme Court of New South Wales</w:t>
      </w:r>
      <w:r w:rsidR="00FC0356" w:rsidRPr="00391B86">
        <w:rPr>
          <w:rFonts w:ascii="Times New Roman" w:hAnsi="Times New Roman"/>
        </w:rPr>
        <w:t xml:space="preserve"> has </w:t>
      </w:r>
      <w:r w:rsidR="00462845" w:rsidRPr="00391B86">
        <w:rPr>
          <w:rFonts w:ascii="Times New Roman" w:hAnsi="Times New Roman"/>
        </w:rPr>
        <w:t>in the matter or matters for determination in the proceeding in the Supreme Court of Victoria</w:t>
      </w:r>
      <w:r w:rsidR="00BE7674" w:rsidRPr="00391B86">
        <w:rPr>
          <w:rFonts w:ascii="Times New Roman" w:hAnsi="Times New Roman"/>
        </w:rPr>
        <w:t xml:space="preserve"> is the juris</w:t>
      </w:r>
      <w:r w:rsidR="0090416E" w:rsidRPr="00391B86">
        <w:rPr>
          <w:rFonts w:ascii="Times New Roman" w:hAnsi="Times New Roman"/>
        </w:rPr>
        <w:t>diction that is conferred on both Supreme Courts in identical terms by s</w:t>
      </w:r>
      <w:r w:rsidR="00395FBA" w:rsidRPr="00391B86">
        <w:rPr>
          <w:rFonts w:ascii="Times New Roman" w:hAnsi="Times New Roman"/>
        </w:rPr>
        <w:t> </w:t>
      </w:r>
      <w:r w:rsidR="000B7E30" w:rsidRPr="00391B86">
        <w:rPr>
          <w:rFonts w:ascii="Times New Roman" w:hAnsi="Times New Roman"/>
        </w:rPr>
        <w:t>1337B(2) of the Corporations Act.</w:t>
      </w:r>
      <w:r w:rsidR="00C80752" w:rsidRPr="00391B86">
        <w:rPr>
          <w:rFonts w:ascii="Times New Roman" w:hAnsi="Times New Roman"/>
        </w:rPr>
        <w:t xml:space="preserve"> </w:t>
      </w:r>
    </w:p>
    <w:p w14:paraId="36B62C6B" w14:textId="5B3FD487" w:rsidR="005E09DF" w:rsidRPr="00391B86" w:rsidRDefault="0080287E"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6E259F" w:rsidRPr="00391B86">
        <w:rPr>
          <w:rFonts w:ascii="Times New Roman" w:hAnsi="Times New Roman"/>
        </w:rPr>
        <w:t xml:space="preserve">In this Court, as in the Court of Appeal, </w:t>
      </w:r>
      <w:r w:rsidR="0081127E" w:rsidRPr="00391B86">
        <w:rPr>
          <w:rFonts w:ascii="Times New Roman" w:hAnsi="Times New Roman"/>
        </w:rPr>
        <w:t xml:space="preserve">issue was </w:t>
      </w:r>
      <w:r w:rsidR="0025514B" w:rsidRPr="00391B86">
        <w:rPr>
          <w:rFonts w:ascii="Times New Roman" w:hAnsi="Times New Roman"/>
        </w:rPr>
        <w:t xml:space="preserve">otherwise </w:t>
      </w:r>
      <w:r w:rsidR="006519AB" w:rsidRPr="00391B86">
        <w:rPr>
          <w:rFonts w:ascii="Times New Roman" w:hAnsi="Times New Roman"/>
        </w:rPr>
        <w:t>joined</w:t>
      </w:r>
      <w:r w:rsidR="0025514B" w:rsidRPr="00391B86">
        <w:rPr>
          <w:rFonts w:ascii="Times New Roman" w:hAnsi="Times New Roman"/>
        </w:rPr>
        <w:t xml:space="preserve"> </w:t>
      </w:r>
      <w:r w:rsidR="00730367" w:rsidRPr="00391B86">
        <w:rPr>
          <w:rFonts w:ascii="Times New Roman" w:hAnsi="Times New Roman"/>
        </w:rPr>
        <w:t xml:space="preserve">between the parties </w:t>
      </w:r>
      <w:r w:rsidR="005E09DF" w:rsidRPr="00391B86">
        <w:rPr>
          <w:rFonts w:ascii="Times New Roman" w:hAnsi="Times New Roman"/>
        </w:rPr>
        <w:t xml:space="preserve">both </w:t>
      </w:r>
      <w:r w:rsidR="00183A01" w:rsidRPr="00391B86">
        <w:rPr>
          <w:rFonts w:ascii="Times New Roman" w:hAnsi="Times New Roman"/>
        </w:rPr>
        <w:t>as to</w:t>
      </w:r>
      <w:r w:rsidR="0025514B" w:rsidRPr="00391B86">
        <w:rPr>
          <w:rFonts w:ascii="Times New Roman" w:hAnsi="Times New Roman"/>
        </w:rPr>
        <w:t xml:space="preserve"> </w:t>
      </w:r>
      <w:r w:rsidR="00F669A0" w:rsidRPr="00391B86">
        <w:rPr>
          <w:rFonts w:ascii="Times New Roman" w:hAnsi="Times New Roman"/>
        </w:rPr>
        <w:t>whether s</w:t>
      </w:r>
      <w:r w:rsidR="00395FBA" w:rsidRPr="00391B86">
        <w:rPr>
          <w:rFonts w:ascii="Times New Roman" w:hAnsi="Times New Roman"/>
        </w:rPr>
        <w:t> </w:t>
      </w:r>
      <w:r w:rsidR="00F669A0" w:rsidRPr="00391B86">
        <w:rPr>
          <w:rFonts w:ascii="Times New Roman" w:hAnsi="Times New Roman"/>
        </w:rPr>
        <w:t xml:space="preserve">1337P(2) </w:t>
      </w:r>
      <w:r w:rsidR="00B01C87" w:rsidRPr="00391B86">
        <w:rPr>
          <w:rFonts w:ascii="Times New Roman" w:hAnsi="Times New Roman"/>
        </w:rPr>
        <w:t xml:space="preserve">of the Corporations Act </w:t>
      </w:r>
      <w:r w:rsidR="00F669A0" w:rsidRPr="00391B86">
        <w:rPr>
          <w:rFonts w:ascii="Times New Roman" w:hAnsi="Times New Roman"/>
        </w:rPr>
        <w:t xml:space="preserve">would operate to give the Arrium </w:t>
      </w:r>
      <w:r w:rsidR="0025424A" w:rsidRPr="00391B86">
        <w:rPr>
          <w:rFonts w:ascii="Times New Roman" w:hAnsi="Times New Roman"/>
        </w:rPr>
        <w:t xml:space="preserve">class action </w:t>
      </w:r>
      <w:r w:rsidR="00681E83" w:rsidRPr="00391B86">
        <w:rPr>
          <w:rFonts w:ascii="Times New Roman" w:hAnsi="Times New Roman"/>
        </w:rPr>
        <w:t>GC</w:t>
      </w:r>
      <w:r w:rsidR="00F669A0" w:rsidRPr="00391B86">
        <w:rPr>
          <w:rFonts w:ascii="Times New Roman" w:hAnsi="Times New Roman"/>
        </w:rPr>
        <w:t>O force and effect were the Arrium class action transferred to the Supreme Court of New South Wales and</w:t>
      </w:r>
      <w:r w:rsidR="00A40F80" w:rsidRPr="00391B86">
        <w:rPr>
          <w:rFonts w:ascii="Times New Roman" w:hAnsi="Times New Roman"/>
        </w:rPr>
        <w:t xml:space="preserve">, depending in part </w:t>
      </w:r>
      <w:r w:rsidR="005A49FA" w:rsidRPr="00391B86">
        <w:rPr>
          <w:rFonts w:ascii="Times New Roman" w:hAnsi="Times New Roman"/>
        </w:rPr>
        <w:t xml:space="preserve">but not entirely </w:t>
      </w:r>
      <w:r w:rsidR="00A40F80" w:rsidRPr="00391B86">
        <w:rPr>
          <w:rFonts w:ascii="Times New Roman" w:hAnsi="Times New Roman"/>
        </w:rPr>
        <w:t xml:space="preserve">on </w:t>
      </w:r>
      <w:r w:rsidR="00C841A0" w:rsidRPr="00391B86">
        <w:rPr>
          <w:rFonts w:ascii="Times New Roman" w:hAnsi="Times New Roman"/>
        </w:rPr>
        <w:t>whether s</w:t>
      </w:r>
      <w:r w:rsidR="00395FBA" w:rsidRPr="00391B86">
        <w:rPr>
          <w:rFonts w:ascii="Times New Roman" w:hAnsi="Times New Roman"/>
        </w:rPr>
        <w:t> </w:t>
      </w:r>
      <w:r w:rsidR="00C841A0" w:rsidRPr="00391B86">
        <w:rPr>
          <w:rFonts w:ascii="Times New Roman" w:hAnsi="Times New Roman"/>
        </w:rPr>
        <w:t>1337P(2) would so operate</w:t>
      </w:r>
      <w:r w:rsidR="002116E0" w:rsidRPr="00391B86">
        <w:rPr>
          <w:rFonts w:ascii="Times New Roman" w:hAnsi="Times New Roman"/>
        </w:rPr>
        <w:t>,</w:t>
      </w:r>
      <w:r w:rsidR="00F669A0" w:rsidRPr="00391B86">
        <w:rPr>
          <w:rFonts w:ascii="Times New Roman" w:hAnsi="Times New Roman"/>
        </w:rPr>
        <w:t xml:space="preserve"> as to </w:t>
      </w:r>
      <w:r w:rsidR="0025514B" w:rsidRPr="00391B86">
        <w:rPr>
          <w:rFonts w:ascii="Times New Roman" w:hAnsi="Times New Roman"/>
        </w:rPr>
        <w:t xml:space="preserve">the </w:t>
      </w:r>
      <w:r w:rsidR="00183A01" w:rsidRPr="00391B86">
        <w:rPr>
          <w:rFonts w:ascii="Times New Roman" w:hAnsi="Times New Roman"/>
        </w:rPr>
        <w:t>relevance</w:t>
      </w:r>
      <w:r w:rsidR="00B42DE8" w:rsidRPr="00391B86">
        <w:rPr>
          <w:rFonts w:ascii="Times New Roman" w:hAnsi="Times New Roman"/>
        </w:rPr>
        <w:t xml:space="preserve"> </w:t>
      </w:r>
      <w:r w:rsidR="0025514B" w:rsidRPr="00391B86">
        <w:rPr>
          <w:rFonts w:ascii="Times New Roman" w:hAnsi="Times New Roman"/>
        </w:rPr>
        <w:t xml:space="preserve">of the </w:t>
      </w:r>
      <w:r w:rsidR="0025514B" w:rsidRPr="00391B86">
        <w:rPr>
          <w:rFonts w:ascii="Times New Roman" w:hAnsi="Times New Roman"/>
        </w:rPr>
        <w:lastRenderedPageBreak/>
        <w:t xml:space="preserve">Arrium </w:t>
      </w:r>
      <w:r w:rsidR="007129E8" w:rsidRPr="00391B86">
        <w:rPr>
          <w:rFonts w:ascii="Times New Roman" w:hAnsi="Times New Roman"/>
        </w:rPr>
        <w:t xml:space="preserve">class action </w:t>
      </w:r>
      <w:r w:rsidR="0025514B" w:rsidRPr="00391B86">
        <w:rPr>
          <w:rFonts w:ascii="Times New Roman" w:hAnsi="Times New Roman"/>
        </w:rPr>
        <w:t>G</w:t>
      </w:r>
      <w:r w:rsidR="00681E83" w:rsidRPr="00391B86">
        <w:rPr>
          <w:rFonts w:ascii="Times New Roman" w:hAnsi="Times New Roman"/>
        </w:rPr>
        <w:t>C</w:t>
      </w:r>
      <w:r w:rsidR="0025514B" w:rsidRPr="00391B86">
        <w:rPr>
          <w:rFonts w:ascii="Times New Roman" w:hAnsi="Times New Roman"/>
        </w:rPr>
        <w:t>O to the evaluation of the interests of justice for the purpose of s</w:t>
      </w:r>
      <w:r w:rsidR="00395FBA" w:rsidRPr="00391B86">
        <w:rPr>
          <w:rFonts w:ascii="Times New Roman" w:hAnsi="Times New Roman"/>
        </w:rPr>
        <w:t> </w:t>
      </w:r>
      <w:r w:rsidR="0025514B" w:rsidRPr="00391B86">
        <w:rPr>
          <w:rFonts w:ascii="Times New Roman" w:hAnsi="Times New Roman"/>
        </w:rPr>
        <w:t>1337H(2)</w:t>
      </w:r>
      <w:r w:rsidR="002116E0" w:rsidRPr="00391B86">
        <w:rPr>
          <w:rFonts w:ascii="Times New Roman" w:hAnsi="Times New Roman"/>
        </w:rPr>
        <w:t xml:space="preserve"> of the Corporations Act</w:t>
      </w:r>
      <w:r w:rsidR="00D14C02" w:rsidRPr="00391B86">
        <w:rPr>
          <w:rFonts w:ascii="Times New Roman" w:hAnsi="Times New Roman"/>
        </w:rPr>
        <w:t>.</w:t>
      </w:r>
    </w:p>
    <w:p w14:paraId="1A0E5759" w14:textId="18C59F76" w:rsidR="00443518" w:rsidRPr="00391B86" w:rsidRDefault="005E09DF"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3E3333" w:rsidRPr="00391B86">
        <w:rPr>
          <w:rFonts w:ascii="Times New Roman" w:hAnsi="Times New Roman"/>
        </w:rPr>
        <w:t xml:space="preserve">KPMG </w:t>
      </w:r>
      <w:r w:rsidR="009B7A14" w:rsidRPr="00391B86">
        <w:rPr>
          <w:rFonts w:ascii="Times New Roman" w:hAnsi="Times New Roman"/>
        </w:rPr>
        <w:t>a</w:t>
      </w:r>
      <w:r w:rsidR="003E3333" w:rsidRPr="00391B86">
        <w:rPr>
          <w:rFonts w:ascii="Times New Roman" w:hAnsi="Times New Roman"/>
        </w:rPr>
        <w:t>rgued</w:t>
      </w:r>
      <w:r w:rsidR="00F8012A" w:rsidRPr="00391B86">
        <w:rPr>
          <w:rFonts w:ascii="Times New Roman" w:hAnsi="Times New Roman"/>
        </w:rPr>
        <w:t>,</w:t>
      </w:r>
      <w:r w:rsidR="003E3333" w:rsidRPr="00391B86">
        <w:rPr>
          <w:rFonts w:ascii="Times New Roman" w:hAnsi="Times New Roman"/>
        </w:rPr>
        <w:t xml:space="preserve"> </w:t>
      </w:r>
      <w:r w:rsidR="00D14C02" w:rsidRPr="00391B86">
        <w:rPr>
          <w:rFonts w:ascii="Times New Roman" w:hAnsi="Times New Roman"/>
        </w:rPr>
        <w:t>with the support of the Attorney-General</w:t>
      </w:r>
      <w:r w:rsidR="00F8012A" w:rsidRPr="00391B86">
        <w:rPr>
          <w:rFonts w:ascii="Times New Roman" w:hAnsi="Times New Roman"/>
        </w:rPr>
        <w:t>,</w:t>
      </w:r>
      <w:r w:rsidR="00D14C02" w:rsidRPr="00391B86">
        <w:rPr>
          <w:rFonts w:ascii="Times New Roman" w:hAnsi="Times New Roman"/>
        </w:rPr>
        <w:t xml:space="preserve"> </w:t>
      </w:r>
      <w:r w:rsidR="00EC429A" w:rsidRPr="00391B86">
        <w:rPr>
          <w:rFonts w:ascii="Times New Roman" w:hAnsi="Times New Roman"/>
        </w:rPr>
        <w:t xml:space="preserve">that </w:t>
      </w:r>
      <w:r w:rsidR="001E334D" w:rsidRPr="00391B86">
        <w:rPr>
          <w:rFonts w:ascii="Times New Roman" w:hAnsi="Times New Roman"/>
        </w:rPr>
        <w:t>s </w:t>
      </w:r>
      <w:r w:rsidR="00EC429A" w:rsidRPr="00391B86">
        <w:rPr>
          <w:rFonts w:ascii="Times New Roman" w:hAnsi="Times New Roman"/>
        </w:rPr>
        <w:t>1337</w:t>
      </w:r>
      <w:proofErr w:type="gramStart"/>
      <w:r w:rsidR="00EC429A" w:rsidRPr="00391B86">
        <w:rPr>
          <w:rFonts w:ascii="Times New Roman" w:hAnsi="Times New Roman"/>
        </w:rPr>
        <w:t>P(</w:t>
      </w:r>
      <w:proofErr w:type="gramEnd"/>
      <w:r w:rsidR="00EC429A" w:rsidRPr="00391B86">
        <w:rPr>
          <w:rFonts w:ascii="Times New Roman" w:hAnsi="Times New Roman"/>
        </w:rPr>
        <w:t>2)</w:t>
      </w:r>
      <w:r w:rsidR="00373B7F" w:rsidRPr="00391B86">
        <w:rPr>
          <w:rFonts w:ascii="Times New Roman" w:hAnsi="Times New Roman"/>
        </w:rPr>
        <w:t>, on its proper construction,</w:t>
      </w:r>
      <w:r w:rsidR="00EC429A" w:rsidRPr="00391B86">
        <w:rPr>
          <w:rFonts w:ascii="Times New Roman" w:hAnsi="Times New Roman"/>
        </w:rPr>
        <w:t xml:space="preserve"> </w:t>
      </w:r>
      <w:r w:rsidR="00DA79C9" w:rsidRPr="00391B86">
        <w:rPr>
          <w:rFonts w:ascii="Times New Roman" w:hAnsi="Times New Roman"/>
        </w:rPr>
        <w:t>w</w:t>
      </w:r>
      <w:r w:rsidR="00503F62" w:rsidRPr="00391B86">
        <w:rPr>
          <w:rFonts w:ascii="Times New Roman" w:hAnsi="Times New Roman"/>
        </w:rPr>
        <w:t>ould</w:t>
      </w:r>
      <w:r w:rsidR="00A04CD9" w:rsidRPr="00391B86">
        <w:rPr>
          <w:rFonts w:ascii="Times New Roman" w:hAnsi="Times New Roman"/>
        </w:rPr>
        <w:t xml:space="preserve"> </w:t>
      </w:r>
      <w:r w:rsidR="00E26B95" w:rsidRPr="00391B86">
        <w:rPr>
          <w:rFonts w:ascii="Times New Roman" w:hAnsi="Times New Roman"/>
        </w:rPr>
        <w:t xml:space="preserve">operate to give the </w:t>
      </w:r>
      <w:r w:rsidR="00A04CD9" w:rsidRPr="00391B86">
        <w:rPr>
          <w:rFonts w:ascii="Times New Roman" w:hAnsi="Times New Roman"/>
        </w:rPr>
        <w:t xml:space="preserve">Arrium </w:t>
      </w:r>
      <w:r w:rsidR="00F83991" w:rsidRPr="00391B86">
        <w:rPr>
          <w:rFonts w:ascii="Times New Roman" w:hAnsi="Times New Roman"/>
        </w:rPr>
        <w:t xml:space="preserve">class action </w:t>
      </w:r>
      <w:r w:rsidR="00A04CD9" w:rsidRPr="00391B86">
        <w:rPr>
          <w:rFonts w:ascii="Times New Roman" w:hAnsi="Times New Roman"/>
        </w:rPr>
        <w:t>G</w:t>
      </w:r>
      <w:r w:rsidR="00E51B9F" w:rsidRPr="00391B86">
        <w:rPr>
          <w:rFonts w:ascii="Times New Roman" w:hAnsi="Times New Roman"/>
        </w:rPr>
        <w:t>C</w:t>
      </w:r>
      <w:r w:rsidR="00A04CD9" w:rsidRPr="00391B86">
        <w:rPr>
          <w:rFonts w:ascii="Times New Roman" w:hAnsi="Times New Roman"/>
        </w:rPr>
        <w:t xml:space="preserve">O </w:t>
      </w:r>
      <w:r w:rsidR="00DE32BF" w:rsidRPr="00391B86">
        <w:rPr>
          <w:rFonts w:ascii="Times New Roman" w:hAnsi="Times New Roman"/>
        </w:rPr>
        <w:t>force and</w:t>
      </w:r>
      <w:r w:rsidR="00905CD0" w:rsidRPr="00391B86">
        <w:rPr>
          <w:rFonts w:ascii="Times New Roman" w:hAnsi="Times New Roman"/>
        </w:rPr>
        <w:t xml:space="preserve"> </w:t>
      </w:r>
      <w:r w:rsidR="00A04CD9" w:rsidRPr="00391B86">
        <w:rPr>
          <w:rFonts w:ascii="Times New Roman" w:hAnsi="Times New Roman"/>
        </w:rPr>
        <w:t xml:space="preserve">effect </w:t>
      </w:r>
      <w:r w:rsidR="00E33448" w:rsidRPr="00391B86">
        <w:rPr>
          <w:rFonts w:ascii="Times New Roman" w:hAnsi="Times New Roman"/>
        </w:rPr>
        <w:t>if</w:t>
      </w:r>
      <w:r w:rsidR="00A04CD9" w:rsidRPr="00391B86">
        <w:rPr>
          <w:rFonts w:ascii="Times New Roman" w:hAnsi="Times New Roman"/>
        </w:rPr>
        <w:t xml:space="preserve"> </w:t>
      </w:r>
      <w:r w:rsidR="00905CD0" w:rsidRPr="00391B86">
        <w:rPr>
          <w:rFonts w:ascii="Times New Roman" w:hAnsi="Times New Roman"/>
        </w:rPr>
        <w:t xml:space="preserve">the </w:t>
      </w:r>
      <w:r w:rsidRPr="00391B86">
        <w:rPr>
          <w:rFonts w:ascii="Times New Roman" w:hAnsi="Times New Roman"/>
        </w:rPr>
        <w:t>Arrium class action</w:t>
      </w:r>
      <w:r w:rsidR="00A04CD9" w:rsidRPr="00391B86">
        <w:rPr>
          <w:rFonts w:ascii="Times New Roman" w:hAnsi="Times New Roman"/>
        </w:rPr>
        <w:t xml:space="preserve"> </w:t>
      </w:r>
      <w:r w:rsidR="00E33448" w:rsidRPr="00391B86">
        <w:rPr>
          <w:rFonts w:ascii="Times New Roman" w:hAnsi="Times New Roman"/>
        </w:rPr>
        <w:t xml:space="preserve">were </w:t>
      </w:r>
      <w:r w:rsidR="00A04CD9" w:rsidRPr="00391B86">
        <w:rPr>
          <w:rFonts w:ascii="Times New Roman" w:hAnsi="Times New Roman"/>
        </w:rPr>
        <w:t>transferred to the Supreme Court of New South Wales</w:t>
      </w:r>
      <w:r w:rsidR="004551BD" w:rsidRPr="00391B86">
        <w:rPr>
          <w:rFonts w:ascii="Times New Roman" w:hAnsi="Times New Roman"/>
        </w:rPr>
        <w:t>. T</w:t>
      </w:r>
      <w:r w:rsidR="00F97521" w:rsidRPr="00391B86">
        <w:rPr>
          <w:rFonts w:ascii="Times New Roman" w:hAnsi="Times New Roman"/>
        </w:rPr>
        <w:t>he consequence</w:t>
      </w:r>
      <w:r w:rsidR="00020F7A" w:rsidRPr="00391B86">
        <w:rPr>
          <w:rFonts w:ascii="Times New Roman" w:hAnsi="Times New Roman"/>
        </w:rPr>
        <w:t>, according to the Attorney-General</w:t>
      </w:r>
      <w:r w:rsidR="00034C12" w:rsidRPr="00391B86">
        <w:rPr>
          <w:rFonts w:ascii="Times New Roman" w:hAnsi="Times New Roman"/>
        </w:rPr>
        <w:t>, is</w:t>
      </w:r>
      <w:r w:rsidR="00020F7A" w:rsidRPr="00391B86">
        <w:rPr>
          <w:rFonts w:ascii="Times New Roman" w:hAnsi="Times New Roman"/>
        </w:rPr>
        <w:t xml:space="preserve"> </w:t>
      </w:r>
      <w:r w:rsidR="00293ACC" w:rsidRPr="00391B86">
        <w:rPr>
          <w:rFonts w:ascii="Times New Roman" w:hAnsi="Times New Roman"/>
        </w:rPr>
        <w:t xml:space="preserve">that </w:t>
      </w:r>
      <w:r w:rsidR="00445F9F" w:rsidRPr="00391B86">
        <w:rPr>
          <w:rFonts w:ascii="Times New Roman" w:hAnsi="Times New Roman"/>
        </w:rPr>
        <w:t xml:space="preserve">the fact of the Arrium </w:t>
      </w:r>
      <w:r w:rsidR="00770F2F" w:rsidRPr="00391B86">
        <w:rPr>
          <w:rFonts w:ascii="Times New Roman" w:hAnsi="Times New Roman"/>
        </w:rPr>
        <w:t>class action</w:t>
      </w:r>
      <w:r w:rsidR="00445F9F" w:rsidRPr="00391B86">
        <w:rPr>
          <w:rFonts w:ascii="Times New Roman" w:hAnsi="Times New Roman"/>
        </w:rPr>
        <w:t xml:space="preserve"> </w:t>
      </w:r>
      <w:r w:rsidR="005A49FA" w:rsidRPr="00391B86">
        <w:rPr>
          <w:rFonts w:ascii="Times New Roman" w:hAnsi="Times New Roman"/>
        </w:rPr>
        <w:t>GC</w:t>
      </w:r>
      <w:r w:rsidR="00445F9F" w:rsidRPr="00391B86">
        <w:rPr>
          <w:rFonts w:ascii="Times New Roman" w:hAnsi="Times New Roman"/>
        </w:rPr>
        <w:t xml:space="preserve">O </w:t>
      </w:r>
      <w:r w:rsidR="00793175" w:rsidRPr="00391B86">
        <w:rPr>
          <w:rFonts w:ascii="Times New Roman" w:hAnsi="Times New Roman"/>
        </w:rPr>
        <w:t>having been m</w:t>
      </w:r>
      <w:r w:rsidR="00847FEB" w:rsidRPr="00391B86">
        <w:rPr>
          <w:rFonts w:ascii="Times New Roman" w:hAnsi="Times New Roman"/>
        </w:rPr>
        <w:t xml:space="preserve">ade </w:t>
      </w:r>
      <w:r w:rsidR="005A49FA" w:rsidRPr="00391B86">
        <w:rPr>
          <w:rFonts w:ascii="Times New Roman" w:hAnsi="Times New Roman"/>
        </w:rPr>
        <w:t xml:space="preserve">is </w:t>
      </w:r>
      <w:r w:rsidR="00681E83" w:rsidRPr="00391B86">
        <w:rPr>
          <w:rFonts w:ascii="Times New Roman" w:hAnsi="Times New Roman"/>
        </w:rPr>
        <w:t>to</w:t>
      </w:r>
      <w:r w:rsidR="00847FEB" w:rsidRPr="00391B86">
        <w:rPr>
          <w:rFonts w:ascii="Times New Roman" w:hAnsi="Times New Roman"/>
        </w:rPr>
        <w:t xml:space="preserve"> be treated</w:t>
      </w:r>
      <w:r w:rsidR="00046C3C" w:rsidRPr="00391B86">
        <w:rPr>
          <w:rFonts w:ascii="Times New Roman" w:hAnsi="Times New Roman"/>
        </w:rPr>
        <w:t xml:space="preserve"> </w:t>
      </w:r>
      <w:r w:rsidR="00847FEB" w:rsidRPr="00391B86">
        <w:rPr>
          <w:rFonts w:ascii="Times New Roman" w:hAnsi="Times New Roman"/>
        </w:rPr>
        <w:t xml:space="preserve">as a neutral </w:t>
      </w:r>
      <w:r w:rsidR="00060920" w:rsidRPr="00391B86">
        <w:rPr>
          <w:rFonts w:ascii="Times New Roman" w:hAnsi="Times New Roman"/>
        </w:rPr>
        <w:t xml:space="preserve">consideration </w:t>
      </w:r>
      <w:r w:rsidR="00A2412B" w:rsidRPr="00391B86">
        <w:rPr>
          <w:rFonts w:ascii="Times New Roman" w:hAnsi="Times New Roman"/>
        </w:rPr>
        <w:t xml:space="preserve">in the evaluation of </w:t>
      </w:r>
      <w:r w:rsidR="00060920" w:rsidRPr="00391B86">
        <w:rPr>
          <w:rFonts w:ascii="Times New Roman" w:hAnsi="Times New Roman"/>
        </w:rPr>
        <w:t>the interests of justice for the purpose of s</w:t>
      </w:r>
      <w:r w:rsidR="00395FBA" w:rsidRPr="00391B86">
        <w:rPr>
          <w:rFonts w:ascii="Times New Roman" w:hAnsi="Times New Roman"/>
        </w:rPr>
        <w:t> </w:t>
      </w:r>
      <w:r w:rsidR="00060920" w:rsidRPr="00391B86">
        <w:rPr>
          <w:rFonts w:ascii="Times New Roman" w:hAnsi="Times New Roman"/>
        </w:rPr>
        <w:t>1337</w:t>
      </w:r>
      <w:proofErr w:type="gramStart"/>
      <w:r w:rsidR="00060920" w:rsidRPr="00391B86">
        <w:rPr>
          <w:rFonts w:ascii="Times New Roman" w:hAnsi="Times New Roman"/>
        </w:rPr>
        <w:t>H(</w:t>
      </w:r>
      <w:proofErr w:type="gramEnd"/>
      <w:r w:rsidR="00060920" w:rsidRPr="00391B86">
        <w:rPr>
          <w:rFonts w:ascii="Times New Roman" w:hAnsi="Times New Roman"/>
        </w:rPr>
        <w:t>2)</w:t>
      </w:r>
      <w:r w:rsidR="00681E83" w:rsidRPr="00391B86">
        <w:rPr>
          <w:rFonts w:ascii="Times New Roman" w:hAnsi="Times New Roman"/>
        </w:rPr>
        <w:t xml:space="preserve"> as the GCO would continue to have force and effect whether or not the Arrium class action is transferred from the Supreme Court of Victoria</w:t>
      </w:r>
      <w:r w:rsidR="00A2412B" w:rsidRPr="00391B86">
        <w:rPr>
          <w:rFonts w:ascii="Times New Roman" w:hAnsi="Times New Roman"/>
        </w:rPr>
        <w:t xml:space="preserve">. </w:t>
      </w:r>
      <w:r w:rsidR="00443518" w:rsidRPr="00391B86">
        <w:rPr>
          <w:rFonts w:ascii="Times New Roman" w:hAnsi="Times New Roman"/>
        </w:rPr>
        <w:t xml:space="preserve">KPMG and the director defendants went </w:t>
      </w:r>
      <w:r w:rsidR="00DE2660" w:rsidRPr="00391B86">
        <w:rPr>
          <w:rFonts w:ascii="Times New Roman" w:hAnsi="Times New Roman"/>
        </w:rPr>
        <w:t xml:space="preserve">further than the Attorney-General in </w:t>
      </w:r>
      <w:r w:rsidR="00443518" w:rsidRPr="00391B86">
        <w:rPr>
          <w:rFonts w:ascii="Times New Roman" w:hAnsi="Times New Roman"/>
        </w:rPr>
        <w:t>argu</w:t>
      </w:r>
      <w:r w:rsidR="00DE2660" w:rsidRPr="00391B86">
        <w:rPr>
          <w:rFonts w:ascii="Times New Roman" w:hAnsi="Times New Roman"/>
        </w:rPr>
        <w:t>ing</w:t>
      </w:r>
      <w:r w:rsidR="00443518" w:rsidRPr="00391B86">
        <w:rPr>
          <w:rFonts w:ascii="Times New Roman" w:hAnsi="Times New Roman"/>
        </w:rPr>
        <w:t xml:space="preserve"> that the Arrium </w:t>
      </w:r>
      <w:r w:rsidR="001D70BF" w:rsidRPr="00391B86">
        <w:rPr>
          <w:rFonts w:ascii="Times New Roman" w:hAnsi="Times New Roman"/>
        </w:rPr>
        <w:t xml:space="preserve">class action </w:t>
      </w:r>
      <w:r w:rsidR="00681E83" w:rsidRPr="00391B86">
        <w:rPr>
          <w:rFonts w:ascii="Times New Roman" w:hAnsi="Times New Roman"/>
        </w:rPr>
        <w:t>GC</w:t>
      </w:r>
      <w:r w:rsidR="00443518" w:rsidRPr="00391B86">
        <w:rPr>
          <w:rFonts w:ascii="Times New Roman" w:hAnsi="Times New Roman"/>
        </w:rPr>
        <w:t xml:space="preserve">O </w:t>
      </w:r>
      <w:r w:rsidR="00046C3C" w:rsidRPr="00391B86">
        <w:rPr>
          <w:rFonts w:ascii="Times New Roman" w:hAnsi="Times New Roman"/>
        </w:rPr>
        <w:t xml:space="preserve">is wholly irrelevant </w:t>
      </w:r>
      <w:r w:rsidR="00443518" w:rsidRPr="00391B86">
        <w:rPr>
          <w:rFonts w:ascii="Times New Roman" w:hAnsi="Times New Roman"/>
        </w:rPr>
        <w:t>to an evaluation of the interests of justice</w:t>
      </w:r>
      <w:r w:rsidR="00932250" w:rsidRPr="00391B86">
        <w:rPr>
          <w:rFonts w:ascii="Times New Roman" w:hAnsi="Times New Roman"/>
        </w:rPr>
        <w:t xml:space="preserve"> for the purpose of s</w:t>
      </w:r>
      <w:r w:rsidR="00395FBA" w:rsidRPr="00391B86">
        <w:rPr>
          <w:rFonts w:ascii="Times New Roman" w:hAnsi="Times New Roman"/>
        </w:rPr>
        <w:t> </w:t>
      </w:r>
      <w:r w:rsidR="00932250" w:rsidRPr="00391B86">
        <w:rPr>
          <w:rFonts w:ascii="Times New Roman" w:hAnsi="Times New Roman"/>
        </w:rPr>
        <w:t>1337</w:t>
      </w:r>
      <w:proofErr w:type="gramStart"/>
      <w:r w:rsidR="00932250" w:rsidRPr="00391B86">
        <w:rPr>
          <w:rFonts w:ascii="Times New Roman" w:hAnsi="Times New Roman"/>
        </w:rPr>
        <w:t>H(</w:t>
      </w:r>
      <w:proofErr w:type="gramEnd"/>
      <w:r w:rsidR="00932250" w:rsidRPr="00391B86">
        <w:rPr>
          <w:rFonts w:ascii="Times New Roman" w:hAnsi="Times New Roman"/>
        </w:rPr>
        <w:t>2)</w:t>
      </w:r>
      <w:r w:rsidR="00FD3AB3" w:rsidRPr="00391B86">
        <w:rPr>
          <w:rFonts w:ascii="Times New Roman" w:hAnsi="Times New Roman"/>
        </w:rPr>
        <w:t>. E</w:t>
      </w:r>
      <w:r w:rsidR="00443518" w:rsidRPr="00391B86">
        <w:rPr>
          <w:rFonts w:ascii="Times New Roman" w:hAnsi="Times New Roman"/>
        </w:rPr>
        <w:t xml:space="preserve">ven if </w:t>
      </w:r>
      <w:r w:rsidR="005B2DCD" w:rsidRPr="00391B86">
        <w:rPr>
          <w:rFonts w:ascii="Times New Roman" w:hAnsi="Times New Roman"/>
        </w:rPr>
        <w:t>s </w:t>
      </w:r>
      <w:r w:rsidR="00443518" w:rsidRPr="00391B86">
        <w:rPr>
          <w:rFonts w:ascii="Times New Roman" w:hAnsi="Times New Roman"/>
        </w:rPr>
        <w:t>1337</w:t>
      </w:r>
      <w:proofErr w:type="gramStart"/>
      <w:r w:rsidR="00443518" w:rsidRPr="00391B86">
        <w:rPr>
          <w:rFonts w:ascii="Times New Roman" w:hAnsi="Times New Roman"/>
        </w:rPr>
        <w:t>P(</w:t>
      </w:r>
      <w:proofErr w:type="gramEnd"/>
      <w:r w:rsidR="00443518" w:rsidRPr="00391B86">
        <w:rPr>
          <w:rFonts w:ascii="Times New Roman" w:hAnsi="Times New Roman"/>
        </w:rPr>
        <w:t xml:space="preserve">2) would not operate to give </w:t>
      </w:r>
      <w:r w:rsidR="00FD3AB3" w:rsidRPr="00391B86">
        <w:rPr>
          <w:rFonts w:ascii="Times New Roman" w:hAnsi="Times New Roman"/>
        </w:rPr>
        <w:t>the Arrium</w:t>
      </w:r>
      <w:r w:rsidR="00024FDE" w:rsidRPr="00391B86">
        <w:rPr>
          <w:rFonts w:ascii="Times New Roman" w:hAnsi="Times New Roman"/>
        </w:rPr>
        <w:t xml:space="preserve"> class action</w:t>
      </w:r>
      <w:r w:rsidR="00FD3AB3" w:rsidRPr="00391B86">
        <w:rPr>
          <w:rFonts w:ascii="Times New Roman" w:hAnsi="Times New Roman"/>
        </w:rPr>
        <w:t xml:space="preserve"> G</w:t>
      </w:r>
      <w:r w:rsidR="00E51B9F" w:rsidRPr="00391B86">
        <w:rPr>
          <w:rFonts w:ascii="Times New Roman" w:hAnsi="Times New Roman"/>
        </w:rPr>
        <w:t>C</w:t>
      </w:r>
      <w:r w:rsidR="00FD3AB3" w:rsidRPr="00391B86">
        <w:rPr>
          <w:rFonts w:ascii="Times New Roman" w:hAnsi="Times New Roman"/>
        </w:rPr>
        <w:t>O</w:t>
      </w:r>
      <w:r w:rsidR="00443518" w:rsidRPr="00391B86">
        <w:rPr>
          <w:rFonts w:ascii="Times New Roman" w:hAnsi="Times New Roman"/>
        </w:rPr>
        <w:t xml:space="preserve"> force or effect were the Arrium class action transferred to the Supreme Court of New South Wales</w:t>
      </w:r>
      <w:r w:rsidR="00FD3AB3" w:rsidRPr="00391B86">
        <w:rPr>
          <w:rFonts w:ascii="Times New Roman" w:hAnsi="Times New Roman"/>
        </w:rPr>
        <w:t xml:space="preserve">, </w:t>
      </w:r>
      <w:r w:rsidR="00373B7F" w:rsidRPr="00391B86">
        <w:rPr>
          <w:rFonts w:ascii="Times New Roman" w:hAnsi="Times New Roman"/>
        </w:rPr>
        <w:t xml:space="preserve">they argued, </w:t>
      </w:r>
      <w:r w:rsidR="00FD3AB3" w:rsidRPr="00391B86">
        <w:rPr>
          <w:rFonts w:ascii="Times New Roman" w:hAnsi="Times New Roman"/>
        </w:rPr>
        <w:t>the fact of the G</w:t>
      </w:r>
      <w:r w:rsidR="00E51B9F" w:rsidRPr="00391B86">
        <w:rPr>
          <w:rFonts w:ascii="Times New Roman" w:hAnsi="Times New Roman"/>
        </w:rPr>
        <w:t>C</w:t>
      </w:r>
      <w:r w:rsidR="00FD3AB3" w:rsidRPr="00391B86">
        <w:rPr>
          <w:rFonts w:ascii="Times New Roman" w:hAnsi="Times New Roman"/>
        </w:rPr>
        <w:t>O having been made</w:t>
      </w:r>
      <w:r w:rsidR="00373B7F" w:rsidRPr="00391B86">
        <w:rPr>
          <w:rFonts w:ascii="Times New Roman" w:hAnsi="Times New Roman"/>
        </w:rPr>
        <w:t xml:space="preserve"> in the Supreme Court of Victoria can have no bearing on the interests of justice.</w:t>
      </w:r>
    </w:p>
    <w:p w14:paraId="642F162E" w14:textId="6BB8CCE3" w:rsidR="008A4662" w:rsidRPr="00391B86" w:rsidRDefault="00443518"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A42F8B" w:rsidRPr="00391B86">
        <w:rPr>
          <w:rFonts w:ascii="Times New Roman" w:hAnsi="Times New Roman"/>
        </w:rPr>
        <w:t xml:space="preserve">The plaintiffs </w:t>
      </w:r>
      <w:r w:rsidR="00094ED5" w:rsidRPr="00391B86">
        <w:rPr>
          <w:rFonts w:ascii="Times New Roman" w:hAnsi="Times New Roman"/>
        </w:rPr>
        <w:t xml:space="preserve">argued that the Court of Appeal was correct </w:t>
      </w:r>
      <w:r w:rsidR="004020FF" w:rsidRPr="00391B86">
        <w:rPr>
          <w:rFonts w:ascii="Times New Roman" w:hAnsi="Times New Roman"/>
        </w:rPr>
        <w:t>to</w:t>
      </w:r>
      <w:r w:rsidR="00ED25D9" w:rsidRPr="00391B86">
        <w:rPr>
          <w:rFonts w:ascii="Times New Roman" w:hAnsi="Times New Roman"/>
        </w:rPr>
        <w:t xml:space="preserve"> conclud</w:t>
      </w:r>
      <w:r w:rsidR="004020FF" w:rsidRPr="00391B86">
        <w:rPr>
          <w:rFonts w:ascii="Times New Roman" w:hAnsi="Times New Roman"/>
        </w:rPr>
        <w:t>e</w:t>
      </w:r>
      <w:r w:rsidR="00ED25D9" w:rsidRPr="00391B86">
        <w:rPr>
          <w:rFonts w:ascii="Times New Roman" w:hAnsi="Times New Roman"/>
        </w:rPr>
        <w:t xml:space="preserve"> that s</w:t>
      </w:r>
      <w:r w:rsidR="00776616" w:rsidRPr="00391B86">
        <w:rPr>
          <w:rFonts w:ascii="Times New Roman" w:hAnsi="Times New Roman"/>
        </w:rPr>
        <w:t> </w:t>
      </w:r>
      <w:r w:rsidR="00ED25D9" w:rsidRPr="00391B86">
        <w:rPr>
          <w:rFonts w:ascii="Times New Roman" w:hAnsi="Times New Roman"/>
        </w:rPr>
        <w:t>133</w:t>
      </w:r>
      <w:r w:rsidR="00DE7183" w:rsidRPr="00391B86">
        <w:rPr>
          <w:rFonts w:ascii="Times New Roman" w:hAnsi="Times New Roman"/>
        </w:rPr>
        <w:t>7P(2)</w:t>
      </w:r>
      <w:r w:rsidR="00682710" w:rsidRPr="00391B86">
        <w:rPr>
          <w:rFonts w:ascii="Times New Roman" w:hAnsi="Times New Roman"/>
        </w:rPr>
        <w:t>, on its proper construction, would not operate to give the G</w:t>
      </w:r>
      <w:r w:rsidR="00C06D8E" w:rsidRPr="00391B86">
        <w:rPr>
          <w:rFonts w:ascii="Times New Roman" w:hAnsi="Times New Roman"/>
        </w:rPr>
        <w:t>C</w:t>
      </w:r>
      <w:r w:rsidR="00682710" w:rsidRPr="00391B86">
        <w:rPr>
          <w:rFonts w:ascii="Times New Roman" w:hAnsi="Times New Roman"/>
        </w:rPr>
        <w:t>O continuing effect were the Arrium class action transferred to the Supreme Court of New South Wales</w:t>
      </w:r>
      <w:r w:rsidR="009B7A14" w:rsidRPr="00391B86">
        <w:rPr>
          <w:rFonts w:ascii="Times New Roman" w:hAnsi="Times New Roman"/>
        </w:rPr>
        <w:t>.</w:t>
      </w:r>
      <w:r w:rsidR="009D0B5E" w:rsidRPr="00391B86">
        <w:rPr>
          <w:rStyle w:val="FootnoteReference"/>
          <w:rFonts w:ascii="Times New Roman" w:hAnsi="Times New Roman"/>
          <w:sz w:val="24"/>
        </w:rPr>
        <w:footnoteReference w:id="28"/>
      </w:r>
      <w:r w:rsidR="00682710" w:rsidRPr="00391B86">
        <w:rPr>
          <w:rFonts w:ascii="Times New Roman" w:hAnsi="Times New Roman"/>
        </w:rPr>
        <w:t xml:space="preserve"> </w:t>
      </w:r>
      <w:r w:rsidR="00A14403" w:rsidRPr="00391B86">
        <w:rPr>
          <w:rFonts w:ascii="Times New Roman" w:hAnsi="Times New Roman"/>
        </w:rPr>
        <w:t xml:space="preserve">The plaintiffs </w:t>
      </w:r>
      <w:r w:rsidR="00682710" w:rsidRPr="00391B86">
        <w:rPr>
          <w:rFonts w:ascii="Times New Roman" w:hAnsi="Times New Roman"/>
        </w:rPr>
        <w:t xml:space="preserve">further </w:t>
      </w:r>
      <w:r w:rsidR="004A7B38" w:rsidRPr="00391B86">
        <w:rPr>
          <w:rFonts w:ascii="Times New Roman" w:hAnsi="Times New Roman"/>
        </w:rPr>
        <w:t>argued</w:t>
      </w:r>
      <w:r w:rsidR="00074AF5" w:rsidRPr="00391B86">
        <w:rPr>
          <w:rFonts w:ascii="Times New Roman" w:hAnsi="Times New Roman"/>
        </w:rPr>
        <w:t xml:space="preserve"> </w:t>
      </w:r>
      <w:r w:rsidR="004A7B38" w:rsidRPr="00391B86">
        <w:rPr>
          <w:rFonts w:ascii="Times New Roman" w:hAnsi="Times New Roman"/>
        </w:rPr>
        <w:t>that the Court of Appeal was correct</w:t>
      </w:r>
      <w:r w:rsidR="009E65E9" w:rsidRPr="00391B86">
        <w:rPr>
          <w:rFonts w:ascii="Times New Roman" w:hAnsi="Times New Roman"/>
        </w:rPr>
        <w:t xml:space="preserve"> </w:t>
      </w:r>
      <w:r w:rsidR="004A7B38" w:rsidRPr="00391B86">
        <w:rPr>
          <w:rFonts w:ascii="Times New Roman" w:hAnsi="Times New Roman"/>
        </w:rPr>
        <w:t xml:space="preserve">to </w:t>
      </w:r>
      <w:r w:rsidR="003E092C" w:rsidRPr="00391B86">
        <w:rPr>
          <w:rFonts w:ascii="Times New Roman" w:hAnsi="Times New Roman"/>
        </w:rPr>
        <w:t xml:space="preserve">consider that the </w:t>
      </w:r>
      <w:r w:rsidR="009E65E9" w:rsidRPr="00391B86">
        <w:rPr>
          <w:rFonts w:ascii="Times New Roman" w:hAnsi="Times New Roman"/>
        </w:rPr>
        <w:t>Arrium</w:t>
      </w:r>
      <w:r w:rsidR="00C06D8E" w:rsidRPr="00391B86">
        <w:rPr>
          <w:rFonts w:ascii="Times New Roman" w:hAnsi="Times New Roman"/>
        </w:rPr>
        <w:t xml:space="preserve"> </w:t>
      </w:r>
      <w:r w:rsidR="006F4172" w:rsidRPr="00391B86">
        <w:rPr>
          <w:rFonts w:ascii="Times New Roman" w:hAnsi="Times New Roman"/>
        </w:rPr>
        <w:t xml:space="preserve">class action </w:t>
      </w:r>
      <w:r w:rsidR="00C06D8E" w:rsidRPr="00391B86">
        <w:rPr>
          <w:rFonts w:ascii="Times New Roman" w:hAnsi="Times New Roman"/>
        </w:rPr>
        <w:t>GC</w:t>
      </w:r>
      <w:r w:rsidR="009E65E9" w:rsidRPr="00391B86">
        <w:rPr>
          <w:rFonts w:ascii="Times New Roman" w:hAnsi="Times New Roman"/>
        </w:rPr>
        <w:t xml:space="preserve">O </w:t>
      </w:r>
      <w:r w:rsidR="00E95DC3" w:rsidRPr="00391B86">
        <w:rPr>
          <w:rFonts w:ascii="Times New Roman" w:hAnsi="Times New Roman"/>
        </w:rPr>
        <w:t>is</w:t>
      </w:r>
      <w:r w:rsidR="00CC525E" w:rsidRPr="00391B86">
        <w:rPr>
          <w:rFonts w:ascii="Times New Roman" w:hAnsi="Times New Roman"/>
        </w:rPr>
        <w:t xml:space="preserve"> relevant to an evaluation of the interests of justice </w:t>
      </w:r>
      <w:r w:rsidR="009D0B5E" w:rsidRPr="00391B86">
        <w:rPr>
          <w:rFonts w:ascii="Times New Roman" w:hAnsi="Times New Roman"/>
        </w:rPr>
        <w:t xml:space="preserve">for the purpose of </w:t>
      </w:r>
      <w:r w:rsidR="00024FDE" w:rsidRPr="00391B86">
        <w:rPr>
          <w:rFonts w:ascii="Times New Roman" w:hAnsi="Times New Roman"/>
        </w:rPr>
        <w:t>s </w:t>
      </w:r>
      <w:r w:rsidR="009D0B5E" w:rsidRPr="00391B86">
        <w:rPr>
          <w:rFonts w:ascii="Times New Roman" w:hAnsi="Times New Roman"/>
        </w:rPr>
        <w:t>1337H(2)</w:t>
      </w:r>
      <w:r w:rsidR="009D0B5E" w:rsidRPr="00391B86">
        <w:rPr>
          <w:rStyle w:val="FootnoteReference"/>
          <w:rFonts w:ascii="Times New Roman" w:hAnsi="Times New Roman"/>
          <w:sz w:val="24"/>
        </w:rPr>
        <w:footnoteReference w:id="29"/>
      </w:r>
      <w:r w:rsidR="009D0B5E" w:rsidRPr="00391B86">
        <w:rPr>
          <w:rFonts w:ascii="Times New Roman" w:hAnsi="Times New Roman"/>
        </w:rPr>
        <w:t xml:space="preserve"> </w:t>
      </w:r>
      <w:r w:rsidR="00D6568C" w:rsidRPr="00391B86">
        <w:rPr>
          <w:rFonts w:ascii="Times New Roman" w:hAnsi="Times New Roman"/>
        </w:rPr>
        <w:t xml:space="preserve">and </w:t>
      </w:r>
      <w:r w:rsidR="00092C54" w:rsidRPr="00391B86">
        <w:rPr>
          <w:rFonts w:ascii="Times New Roman" w:hAnsi="Times New Roman"/>
        </w:rPr>
        <w:t xml:space="preserve">was correct </w:t>
      </w:r>
      <w:r w:rsidR="00D6568C" w:rsidRPr="00391B86">
        <w:rPr>
          <w:rFonts w:ascii="Times New Roman" w:hAnsi="Times New Roman"/>
        </w:rPr>
        <w:t xml:space="preserve">to </w:t>
      </w:r>
      <w:r w:rsidR="004A7B38" w:rsidRPr="00391B86">
        <w:rPr>
          <w:rFonts w:ascii="Times New Roman" w:hAnsi="Times New Roman"/>
        </w:rPr>
        <w:t xml:space="preserve">conclude </w:t>
      </w:r>
      <w:r w:rsidR="00090FBF" w:rsidRPr="00391B86">
        <w:rPr>
          <w:rFonts w:ascii="Times New Roman" w:hAnsi="Times New Roman"/>
        </w:rPr>
        <w:t xml:space="preserve">that </w:t>
      </w:r>
      <w:r w:rsidR="00617178" w:rsidRPr="00391B86">
        <w:rPr>
          <w:rFonts w:ascii="Times New Roman" w:hAnsi="Times New Roman"/>
        </w:rPr>
        <w:t xml:space="preserve">the </w:t>
      </w:r>
      <w:r w:rsidR="00C06D8E" w:rsidRPr="00391B86">
        <w:rPr>
          <w:rFonts w:ascii="Times New Roman" w:hAnsi="Times New Roman"/>
        </w:rPr>
        <w:t>GC</w:t>
      </w:r>
      <w:r w:rsidR="00617178" w:rsidRPr="00391B86">
        <w:rPr>
          <w:rFonts w:ascii="Times New Roman" w:hAnsi="Times New Roman"/>
        </w:rPr>
        <w:t>O</w:t>
      </w:r>
      <w:r w:rsidR="00090FBF" w:rsidRPr="00391B86">
        <w:rPr>
          <w:rFonts w:ascii="Times New Roman" w:hAnsi="Times New Roman"/>
        </w:rPr>
        <w:t xml:space="preserve"> weighed decisively against transfer being in the interests of justice </w:t>
      </w:r>
      <w:r w:rsidR="008A4662" w:rsidRPr="00391B86">
        <w:rPr>
          <w:rFonts w:ascii="Times New Roman" w:hAnsi="Times New Roman"/>
        </w:rPr>
        <w:t xml:space="preserve">given the agreed facts that there is a considerable risk that the Arrium class action would not be able to continue in the </w:t>
      </w:r>
      <w:r w:rsidR="00EB4D62" w:rsidRPr="00391B86">
        <w:rPr>
          <w:rFonts w:ascii="Times New Roman" w:hAnsi="Times New Roman"/>
        </w:rPr>
        <w:t xml:space="preserve">absence of the </w:t>
      </w:r>
      <w:r w:rsidR="00C06D8E" w:rsidRPr="00391B86">
        <w:rPr>
          <w:rFonts w:ascii="Times New Roman" w:hAnsi="Times New Roman"/>
        </w:rPr>
        <w:t>GC</w:t>
      </w:r>
      <w:r w:rsidR="00EB4D62" w:rsidRPr="00391B86">
        <w:rPr>
          <w:rFonts w:ascii="Times New Roman" w:hAnsi="Times New Roman"/>
        </w:rPr>
        <w:t xml:space="preserve">O </w:t>
      </w:r>
      <w:r w:rsidR="008A4662" w:rsidRPr="00391B86">
        <w:rPr>
          <w:rFonts w:ascii="Times New Roman" w:hAnsi="Times New Roman"/>
        </w:rPr>
        <w:t xml:space="preserve">with the result that the claims of the </w:t>
      </w:r>
      <w:r w:rsidR="00DE2A97" w:rsidRPr="00391B86">
        <w:rPr>
          <w:rFonts w:ascii="Times New Roman" w:hAnsi="Times New Roman"/>
        </w:rPr>
        <w:t xml:space="preserve">plaintiffs </w:t>
      </w:r>
      <w:r w:rsidR="008A4662" w:rsidRPr="00391B86">
        <w:rPr>
          <w:rFonts w:ascii="Times New Roman" w:hAnsi="Times New Roman"/>
        </w:rPr>
        <w:t>and group members would have to be abandoned.</w:t>
      </w:r>
      <w:r w:rsidR="009D0B5E" w:rsidRPr="00391B86">
        <w:rPr>
          <w:rStyle w:val="FootnoteReference"/>
          <w:rFonts w:ascii="Times New Roman" w:hAnsi="Times New Roman"/>
          <w:sz w:val="24"/>
        </w:rPr>
        <w:footnoteReference w:id="30"/>
      </w:r>
    </w:p>
    <w:p w14:paraId="108556BC" w14:textId="0C596F14" w:rsidR="00A2410C" w:rsidRPr="00391B86" w:rsidRDefault="00A2410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7743A8" w:rsidRPr="00391B86">
        <w:rPr>
          <w:rFonts w:ascii="Times New Roman" w:hAnsi="Times New Roman"/>
        </w:rPr>
        <w:t>I</w:t>
      </w:r>
      <w:r w:rsidR="00FF323B" w:rsidRPr="00391B86">
        <w:rPr>
          <w:rFonts w:ascii="Times New Roman" w:hAnsi="Times New Roman"/>
        </w:rPr>
        <w:t>ssue having been so joined</w:t>
      </w:r>
      <w:r w:rsidR="00861117" w:rsidRPr="00391B86">
        <w:rPr>
          <w:rFonts w:ascii="Times New Roman" w:hAnsi="Times New Roman"/>
        </w:rPr>
        <w:t xml:space="preserve"> in this Court</w:t>
      </w:r>
      <w:r w:rsidR="00FF323B" w:rsidRPr="00391B86">
        <w:rPr>
          <w:rFonts w:ascii="Times New Roman" w:hAnsi="Times New Roman"/>
        </w:rPr>
        <w:t>, it</w:t>
      </w:r>
      <w:r w:rsidR="00DE7183" w:rsidRPr="00391B86">
        <w:rPr>
          <w:rFonts w:ascii="Times New Roman" w:hAnsi="Times New Roman"/>
        </w:rPr>
        <w:t xml:space="preserve"> is</w:t>
      </w:r>
      <w:r w:rsidR="000E4C5E" w:rsidRPr="00391B86">
        <w:rPr>
          <w:rFonts w:ascii="Times New Roman" w:hAnsi="Times New Roman"/>
        </w:rPr>
        <w:t xml:space="preserve"> </w:t>
      </w:r>
      <w:r w:rsidR="00417897" w:rsidRPr="00391B86">
        <w:rPr>
          <w:rFonts w:ascii="Times New Roman" w:hAnsi="Times New Roman"/>
        </w:rPr>
        <w:t xml:space="preserve">appropriate to </w:t>
      </w:r>
      <w:r w:rsidR="00861117" w:rsidRPr="00391B86">
        <w:rPr>
          <w:rFonts w:ascii="Times New Roman" w:hAnsi="Times New Roman"/>
        </w:rPr>
        <w:t xml:space="preserve">depart from the sequence of the questions reserved </w:t>
      </w:r>
      <w:r w:rsidR="00F1251C" w:rsidRPr="00391B86">
        <w:rPr>
          <w:rFonts w:ascii="Times New Roman" w:hAnsi="Times New Roman"/>
        </w:rPr>
        <w:t xml:space="preserve">and to </w:t>
      </w:r>
      <w:r w:rsidR="00F576B6" w:rsidRPr="00391B86">
        <w:rPr>
          <w:rFonts w:ascii="Times New Roman" w:hAnsi="Times New Roman"/>
        </w:rPr>
        <w:t>consider</w:t>
      </w:r>
      <w:r w:rsidR="00417897" w:rsidRPr="00391B86">
        <w:rPr>
          <w:rFonts w:ascii="Times New Roman" w:hAnsi="Times New Roman"/>
        </w:rPr>
        <w:t xml:space="preserve"> </w:t>
      </w:r>
      <w:r w:rsidR="00167B9F" w:rsidRPr="00391B86">
        <w:rPr>
          <w:rFonts w:ascii="Times New Roman" w:hAnsi="Times New Roman"/>
        </w:rPr>
        <w:t>whether</w:t>
      </w:r>
      <w:r w:rsidR="00136EEA" w:rsidRPr="00391B86">
        <w:rPr>
          <w:rFonts w:ascii="Times New Roman" w:hAnsi="Times New Roman"/>
        </w:rPr>
        <w:t xml:space="preserve"> </w:t>
      </w:r>
      <w:r w:rsidR="005A6261" w:rsidRPr="00391B86">
        <w:rPr>
          <w:rFonts w:ascii="Times New Roman" w:hAnsi="Times New Roman"/>
        </w:rPr>
        <w:t>s </w:t>
      </w:r>
      <w:r w:rsidR="00136EEA" w:rsidRPr="00391B86">
        <w:rPr>
          <w:rFonts w:ascii="Times New Roman" w:hAnsi="Times New Roman"/>
        </w:rPr>
        <w:t>1337</w:t>
      </w:r>
      <w:proofErr w:type="gramStart"/>
      <w:r w:rsidR="00136EEA" w:rsidRPr="00391B86">
        <w:rPr>
          <w:rFonts w:ascii="Times New Roman" w:hAnsi="Times New Roman"/>
        </w:rPr>
        <w:t>P(</w:t>
      </w:r>
      <w:proofErr w:type="gramEnd"/>
      <w:r w:rsidR="00136EEA" w:rsidRPr="00391B86">
        <w:rPr>
          <w:rFonts w:ascii="Times New Roman" w:hAnsi="Times New Roman"/>
        </w:rPr>
        <w:t xml:space="preserve">2) </w:t>
      </w:r>
      <w:r w:rsidR="00FB2B12" w:rsidRPr="00391B86">
        <w:rPr>
          <w:rFonts w:ascii="Times New Roman" w:hAnsi="Times New Roman"/>
        </w:rPr>
        <w:t>would operate to give the G</w:t>
      </w:r>
      <w:r w:rsidR="00E51B9F" w:rsidRPr="00391B86">
        <w:rPr>
          <w:rFonts w:ascii="Times New Roman" w:hAnsi="Times New Roman"/>
        </w:rPr>
        <w:t>C</w:t>
      </w:r>
      <w:r w:rsidR="00FB2B12" w:rsidRPr="00391B86">
        <w:rPr>
          <w:rFonts w:ascii="Times New Roman" w:hAnsi="Times New Roman"/>
        </w:rPr>
        <w:t xml:space="preserve">O </w:t>
      </w:r>
      <w:r w:rsidR="00C64A92" w:rsidRPr="00391B86">
        <w:rPr>
          <w:rFonts w:ascii="Times New Roman" w:hAnsi="Times New Roman"/>
        </w:rPr>
        <w:t xml:space="preserve">continuing </w:t>
      </w:r>
      <w:r w:rsidR="00574DA5" w:rsidRPr="00391B86">
        <w:rPr>
          <w:rFonts w:ascii="Times New Roman" w:hAnsi="Times New Roman"/>
        </w:rPr>
        <w:t xml:space="preserve">legal force and </w:t>
      </w:r>
      <w:r w:rsidR="00C64A92" w:rsidRPr="00391B86">
        <w:rPr>
          <w:rFonts w:ascii="Times New Roman" w:hAnsi="Times New Roman"/>
        </w:rPr>
        <w:t xml:space="preserve">effect were the Arrium class </w:t>
      </w:r>
      <w:r w:rsidR="00C64A92" w:rsidRPr="00391B86">
        <w:rPr>
          <w:rFonts w:ascii="Times New Roman" w:hAnsi="Times New Roman"/>
        </w:rPr>
        <w:lastRenderedPageBreak/>
        <w:t xml:space="preserve">action transferred to the Supreme Court of New South Wales </w:t>
      </w:r>
      <w:r w:rsidR="00417897" w:rsidRPr="00391B86">
        <w:rPr>
          <w:rFonts w:ascii="Times New Roman" w:hAnsi="Times New Roman"/>
        </w:rPr>
        <w:t xml:space="preserve">before </w:t>
      </w:r>
      <w:r w:rsidR="005A6261" w:rsidRPr="00391B86">
        <w:rPr>
          <w:rFonts w:ascii="Times New Roman" w:hAnsi="Times New Roman"/>
        </w:rPr>
        <w:t>considering</w:t>
      </w:r>
      <w:r w:rsidR="004374D0" w:rsidRPr="00391B86">
        <w:rPr>
          <w:rFonts w:ascii="Times New Roman" w:hAnsi="Times New Roman"/>
        </w:rPr>
        <w:t xml:space="preserve"> the interests of justice for the purpose of </w:t>
      </w:r>
      <w:r w:rsidR="005A6261" w:rsidRPr="00391B86">
        <w:rPr>
          <w:rFonts w:ascii="Times New Roman" w:hAnsi="Times New Roman"/>
        </w:rPr>
        <w:t>s </w:t>
      </w:r>
      <w:r w:rsidR="004374D0" w:rsidRPr="00391B86">
        <w:rPr>
          <w:rFonts w:ascii="Times New Roman" w:hAnsi="Times New Roman"/>
        </w:rPr>
        <w:t>1337H(2).</w:t>
      </w:r>
    </w:p>
    <w:p w14:paraId="6C7BDE6E" w14:textId="038C3015" w:rsidR="00126420" w:rsidRPr="00391B86" w:rsidRDefault="008F1F91" w:rsidP="00391B86">
      <w:pPr>
        <w:pStyle w:val="HeadingL1"/>
        <w:spacing w:after="260" w:line="280" w:lineRule="exact"/>
        <w:ind w:right="0"/>
        <w:jc w:val="both"/>
        <w:rPr>
          <w:rFonts w:ascii="Times New Roman" w:hAnsi="Times New Roman"/>
        </w:rPr>
      </w:pPr>
      <w:r w:rsidRPr="00391B86">
        <w:rPr>
          <w:rFonts w:ascii="Times New Roman" w:hAnsi="Times New Roman"/>
        </w:rPr>
        <w:t>The operation of</w:t>
      </w:r>
      <w:r w:rsidR="00AC5B5A" w:rsidRPr="00391B86">
        <w:rPr>
          <w:rFonts w:ascii="Times New Roman" w:hAnsi="Times New Roman"/>
        </w:rPr>
        <w:t xml:space="preserve"> s</w:t>
      </w:r>
      <w:r w:rsidR="00E62127" w:rsidRPr="00391B86">
        <w:rPr>
          <w:rFonts w:ascii="Times New Roman" w:hAnsi="Times New Roman"/>
        </w:rPr>
        <w:t xml:space="preserve"> 1337</w:t>
      </w:r>
      <w:proofErr w:type="gramStart"/>
      <w:r w:rsidR="00E62127" w:rsidRPr="00391B86">
        <w:rPr>
          <w:rFonts w:ascii="Times New Roman" w:hAnsi="Times New Roman"/>
        </w:rPr>
        <w:t>P(</w:t>
      </w:r>
      <w:proofErr w:type="gramEnd"/>
      <w:r w:rsidR="00E62127" w:rsidRPr="00391B86">
        <w:rPr>
          <w:rFonts w:ascii="Times New Roman" w:hAnsi="Times New Roman"/>
        </w:rPr>
        <w:t>2)</w:t>
      </w:r>
      <w:r w:rsidR="00D65AF4" w:rsidRPr="00391B86">
        <w:rPr>
          <w:rFonts w:ascii="Times New Roman" w:hAnsi="Times New Roman"/>
        </w:rPr>
        <w:t xml:space="preserve"> of the Corporations Act</w:t>
      </w:r>
    </w:p>
    <w:p w14:paraId="37E86E00" w14:textId="0B91C078" w:rsidR="00B40381" w:rsidRPr="00391B86" w:rsidRDefault="002F7E54"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DA2A25" w:rsidRPr="00391B86">
        <w:rPr>
          <w:rFonts w:ascii="Times New Roman" w:hAnsi="Times New Roman"/>
        </w:rPr>
        <w:t>Section</w:t>
      </w:r>
      <w:r w:rsidR="00D65AF4" w:rsidRPr="00391B86">
        <w:rPr>
          <w:rFonts w:ascii="Times New Roman" w:hAnsi="Times New Roman"/>
        </w:rPr>
        <w:t xml:space="preserve"> 1337P(2) of the Corporations Act</w:t>
      </w:r>
      <w:r w:rsidR="00576611" w:rsidRPr="00391B86">
        <w:rPr>
          <w:rFonts w:ascii="Times New Roman" w:hAnsi="Times New Roman"/>
        </w:rPr>
        <w:t xml:space="preserve">, </w:t>
      </w:r>
      <w:r w:rsidR="00EC1BBC" w:rsidRPr="00391B86">
        <w:rPr>
          <w:rFonts w:ascii="Times New Roman" w:hAnsi="Times New Roman"/>
        </w:rPr>
        <w:t xml:space="preserve">the text of </w:t>
      </w:r>
      <w:r w:rsidR="00576611" w:rsidRPr="00391B86">
        <w:rPr>
          <w:rFonts w:ascii="Times New Roman" w:hAnsi="Times New Roman"/>
        </w:rPr>
        <w:t>which has already</w:t>
      </w:r>
      <w:r w:rsidR="009121C6" w:rsidRPr="00391B86">
        <w:rPr>
          <w:rFonts w:ascii="Times New Roman" w:hAnsi="Times New Roman"/>
        </w:rPr>
        <w:t xml:space="preserve"> been se</w:t>
      </w:r>
      <w:r w:rsidR="002957F1" w:rsidRPr="00391B86">
        <w:rPr>
          <w:rFonts w:ascii="Times New Roman" w:hAnsi="Times New Roman"/>
        </w:rPr>
        <w:t>t out</w:t>
      </w:r>
      <w:r w:rsidR="00576611" w:rsidRPr="00391B86">
        <w:rPr>
          <w:rFonts w:ascii="Times New Roman" w:hAnsi="Times New Roman"/>
        </w:rPr>
        <w:t xml:space="preserve"> in full,</w:t>
      </w:r>
      <w:r w:rsidR="002957F1" w:rsidRPr="00391B86">
        <w:rPr>
          <w:rStyle w:val="FootnoteReference"/>
          <w:rFonts w:ascii="Times New Roman" w:hAnsi="Times New Roman"/>
          <w:sz w:val="24"/>
        </w:rPr>
        <w:footnoteReference w:id="31"/>
      </w:r>
      <w:r w:rsidR="00576611" w:rsidRPr="00391B86">
        <w:rPr>
          <w:rFonts w:ascii="Times New Roman" w:hAnsi="Times New Roman"/>
        </w:rPr>
        <w:t xml:space="preserve"> </w:t>
      </w:r>
      <w:r w:rsidR="003E3558" w:rsidRPr="00391B86">
        <w:rPr>
          <w:rFonts w:ascii="Times New Roman" w:hAnsi="Times New Roman"/>
        </w:rPr>
        <w:t>is engaged</w:t>
      </w:r>
      <w:r w:rsidR="003958C4" w:rsidRPr="00391B86">
        <w:rPr>
          <w:rFonts w:ascii="Times New Roman" w:hAnsi="Times New Roman"/>
        </w:rPr>
        <w:t xml:space="preserve"> </w:t>
      </w:r>
      <w:r w:rsidR="009E6FB9" w:rsidRPr="00391B86">
        <w:rPr>
          <w:rFonts w:ascii="Times New Roman" w:hAnsi="Times New Roman"/>
        </w:rPr>
        <w:t>upon the</w:t>
      </w:r>
      <w:r w:rsidRPr="00391B86">
        <w:rPr>
          <w:rFonts w:ascii="Times New Roman" w:hAnsi="Times New Roman"/>
        </w:rPr>
        <w:t xml:space="preserve"> </w:t>
      </w:r>
      <w:r w:rsidR="00D95393" w:rsidRPr="00391B86">
        <w:rPr>
          <w:rFonts w:ascii="Times New Roman" w:hAnsi="Times New Roman"/>
        </w:rPr>
        <w:t>transfer</w:t>
      </w:r>
      <w:r w:rsidR="008D6313" w:rsidRPr="00391B86">
        <w:rPr>
          <w:rFonts w:ascii="Times New Roman" w:hAnsi="Times New Roman"/>
        </w:rPr>
        <w:t xml:space="preserve"> under s 1337H(2) </w:t>
      </w:r>
      <w:r w:rsidR="00D95393" w:rsidRPr="00391B86">
        <w:rPr>
          <w:rFonts w:ascii="Times New Roman" w:hAnsi="Times New Roman"/>
        </w:rPr>
        <w:t xml:space="preserve">of </w:t>
      </w:r>
      <w:r w:rsidRPr="00391B86">
        <w:rPr>
          <w:rFonts w:ascii="Times New Roman" w:hAnsi="Times New Roman"/>
        </w:rPr>
        <w:t xml:space="preserve">a proceeding </w:t>
      </w:r>
      <w:r w:rsidR="004E7EBE" w:rsidRPr="00391B86">
        <w:rPr>
          <w:rFonts w:ascii="Times New Roman" w:hAnsi="Times New Roman"/>
        </w:rPr>
        <w:t xml:space="preserve">with respect to a civil matter arising </w:t>
      </w:r>
      <w:r w:rsidR="002839B4" w:rsidRPr="00391B86">
        <w:rPr>
          <w:rFonts w:ascii="Times New Roman" w:hAnsi="Times New Roman"/>
        </w:rPr>
        <w:t xml:space="preserve">under the Corporations legislation </w:t>
      </w:r>
      <w:r w:rsidRPr="00391B86">
        <w:rPr>
          <w:rFonts w:ascii="Times New Roman" w:hAnsi="Times New Roman"/>
        </w:rPr>
        <w:t>from</w:t>
      </w:r>
      <w:r w:rsidR="007C6F8D" w:rsidRPr="00391B86">
        <w:rPr>
          <w:rFonts w:ascii="Times New Roman" w:hAnsi="Times New Roman"/>
        </w:rPr>
        <w:t xml:space="preserve"> the </w:t>
      </w:r>
      <w:r w:rsidR="00994791" w:rsidRPr="00391B86">
        <w:rPr>
          <w:rFonts w:ascii="Times New Roman" w:hAnsi="Times New Roman"/>
        </w:rPr>
        <w:t>transferor</w:t>
      </w:r>
      <w:r w:rsidRPr="00391B86">
        <w:rPr>
          <w:rFonts w:ascii="Times New Roman" w:hAnsi="Times New Roman"/>
        </w:rPr>
        <w:t xml:space="preserve"> court</w:t>
      </w:r>
      <w:r w:rsidR="007C6F8D" w:rsidRPr="00391B86">
        <w:rPr>
          <w:rFonts w:ascii="Times New Roman" w:hAnsi="Times New Roman"/>
        </w:rPr>
        <w:t xml:space="preserve"> </w:t>
      </w:r>
      <w:r w:rsidR="00BF2107" w:rsidRPr="00391B86">
        <w:rPr>
          <w:rFonts w:ascii="Times New Roman" w:hAnsi="Times New Roman"/>
        </w:rPr>
        <w:t>having jurisdiction under s</w:t>
      </w:r>
      <w:r w:rsidR="00395FBA" w:rsidRPr="00391B86">
        <w:rPr>
          <w:rFonts w:ascii="Times New Roman" w:hAnsi="Times New Roman"/>
        </w:rPr>
        <w:t> </w:t>
      </w:r>
      <w:r w:rsidR="00BF2107" w:rsidRPr="00391B86">
        <w:rPr>
          <w:rFonts w:ascii="Times New Roman" w:hAnsi="Times New Roman"/>
        </w:rPr>
        <w:t xml:space="preserve">1337B(1) or (2) </w:t>
      </w:r>
      <w:r w:rsidR="007C6F8D" w:rsidRPr="00391B86">
        <w:rPr>
          <w:rFonts w:ascii="Times New Roman" w:hAnsi="Times New Roman"/>
        </w:rPr>
        <w:t xml:space="preserve">to </w:t>
      </w:r>
      <w:r w:rsidR="00BF2107" w:rsidRPr="00391B86">
        <w:rPr>
          <w:rFonts w:ascii="Times New Roman" w:hAnsi="Times New Roman"/>
        </w:rPr>
        <w:t>a</w:t>
      </w:r>
      <w:r w:rsidR="008D6313" w:rsidRPr="00391B86">
        <w:rPr>
          <w:rFonts w:ascii="Times New Roman" w:hAnsi="Times New Roman"/>
        </w:rPr>
        <w:t xml:space="preserve"> transferee court</w:t>
      </w:r>
      <w:r w:rsidR="00BE33AE" w:rsidRPr="00391B86">
        <w:rPr>
          <w:rFonts w:ascii="Times New Roman" w:hAnsi="Times New Roman"/>
        </w:rPr>
        <w:t xml:space="preserve"> also</w:t>
      </w:r>
      <w:r w:rsidR="00BF2107" w:rsidRPr="00391B86">
        <w:rPr>
          <w:rFonts w:ascii="Times New Roman" w:hAnsi="Times New Roman"/>
        </w:rPr>
        <w:t xml:space="preserve"> having jurisdiction under s</w:t>
      </w:r>
      <w:r w:rsidR="00395FBA" w:rsidRPr="00391B86">
        <w:rPr>
          <w:rFonts w:ascii="Times New Roman" w:hAnsi="Times New Roman"/>
        </w:rPr>
        <w:t> </w:t>
      </w:r>
      <w:r w:rsidR="00BF2107" w:rsidRPr="00391B86">
        <w:rPr>
          <w:rFonts w:ascii="Times New Roman" w:hAnsi="Times New Roman"/>
        </w:rPr>
        <w:t>1337B(1) or (2)</w:t>
      </w:r>
      <w:r w:rsidR="008232B9" w:rsidRPr="00391B86">
        <w:rPr>
          <w:rFonts w:ascii="Times New Roman" w:hAnsi="Times New Roman"/>
        </w:rPr>
        <w:t>.</w:t>
      </w:r>
      <w:r w:rsidR="008D6313" w:rsidRPr="00391B86">
        <w:rPr>
          <w:rFonts w:ascii="Times New Roman" w:hAnsi="Times New Roman"/>
        </w:rPr>
        <w:t xml:space="preserve"> </w:t>
      </w:r>
      <w:r w:rsidR="0038021F" w:rsidRPr="00391B86">
        <w:rPr>
          <w:rFonts w:ascii="Times New Roman" w:hAnsi="Times New Roman"/>
        </w:rPr>
        <w:t xml:space="preserve">Where </w:t>
      </w:r>
      <w:r w:rsidR="00B94207" w:rsidRPr="00391B86">
        <w:rPr>
          <w:rFonts w:ascii="Times New Roman" w:hAnsi="Times New Roman"/>
        </w:rPr>
        <w:t>and when it is so engaged</w:t>
      </w:r>
      <w:r w:rsidR="0038021F" w:rsidRPr="00391B86">
        <w:rPr>
          <w:rFonts w:ascii="Times New Roman" w:hAnsi="Times New Roman"/>
        </w:rPr>
        <w:t>, s</w:t>
      </w:r>
      <w:r w:rsidR="00395FBA" w:rsidRPr="00391B86">
        <w:rPr>
          <w:rFonts w:ascii="Times New Roman" w:hAnsi="Times New Roman"/>
        </w:rPr>
        <w:t> </w:t>
      </w:r>
      <w:r w:rsidR="0038021F" w:rsidRPr="00391B86">
        <w:rPr>
          <w:rFonts w:ascii="Times New Roman" w:hAnsi="Times New Roman"/>
        </w:rPr>
        <w:t>1337</w:t>
      </w:r>
      <w:proofErr w:type="gramStart"/>
      <w:r w:rsidR="0038021F" w:rsidRPr="00391B86">
        <w:rPr>
          <w:rFonts w:ascii="Times New Roman" w:hAnsi="Times New Roman"/>
        </w:rPr>
        <w:t>P(</w:t>
      </w:r>
      <w:proofErr w:type="gramEnd"/>
      <w:r w:rsidR="0038021F" w:rsidRPr="00391B86">
        <w:rPr>
          <w:rFonts w:ascii="Times New Roman" w:hAnsi="Times New Roman"/>
        </w:rPr>
        <w:t xml:space="preserve">2) </w:t>
      </w:r>
      <w:r w:rsidR="00275809" w:rsidRPr="00391B86">
        <w:rPr>
          <w:rFonts w:ascii="Times New Roman" w:hAnsi="Times New Roman"/>
        </w:rPr>
        <w:t>stipulates</w:t>
      </w:r>
      <w:r w:rsidR="00143EE1" w:rsidRPr="00391B86">
        <w:rPr>
          <w:rFonts w:ascii="Times New Roman" w:hAnsi="Times New Roman"/>
        </w:rPr>
        <w:t xml:space="preserve"> that "</w:t>
      </w:r>
      <w:r w:rsidRPr="00391B86">
        <w:rPr>
          <w:rFonts w:ascii="Times New Roman" w:hAnsi="Times New Roman"/>
        </w:rPr>
        <w:t>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r w:rsidR="00CD57D9" w:rsidRPr="00391B86">
        <w:rPr>
          <w:rFonts w:ascii="Times New Roman" w:hAnsi="Times New Roman"/>
        </w:rPr>
        <w:t>"</w:t>
      </w:r>
      <w:r w:rsidR="00B40381" w:rsidRPr="00391B86">
        <w:rPr>
          <w:rFonts w:ascii="Times New Roman" w:hAnsi="Times New Roman"/>
        </w:rPr>
        <w:t>.</w:t>
      </w:r>
    </w:p>
    <w:p w14:paraId="72CE2243" w14:textId="46E40E71" w:rsidR="00EB6584" w:rsidRPr="00391B86" w:rsidRDefault="00B40381"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8F4D4C" w:rsidRPr="00391B86">
        <w:rPr>
          <w:rFonts w:ascii="Times New Roman" w:hAnsi="Times New Roman"/>
        </w:rPr>
        <w:t>Important to the construction of s 1337</w:t>
      </w:r>
      <w:proofErr w:type="gramStart"/>
      <w:r w:rsidR="008F4D4C" w:rsidRPr="00391B86">
        <w:rPr>
          <w:rFonts w:ascii="Times New Roman" w:hAnsi="Times New Roman"/>
        </w:rPr>
        <w:t>P(</w:t>
      </w:r>
      <w:proofErr w:type="gramEnd"/>
      <w:r w:rsidR="008F4D4C" w:rsidRPr="00391B86">
        <w:rPr>
          <w:rFonts w:ascii="Times New Roman" w:hAnsi="Times New Roman"/>
        </w:rPr>
        <w:t>2) are t</w:t>
      </w:r>
      <w:r w:rsidR="001E58F7" w:rsidRPr="00391B86">
        <w:rPr>
          <w:rFonts w:ascii="Times New Roman" w:hAnsi="Times New Roman"/>
        </w:rPr>
        <w:t>hree</w:t>
      </w:r>
      <w:r w:rsidR="00FF6465" w:rsidRPr="00391B86">
        <w:rPr>
          <w:rFonts w:ascii="Times New Roman" w:hAnsi="Times New Roman"/>
        </w:rPr>
        <w:t xml:space="preserve"> features of the context of </w:t>
      </w:r>
      <w:r w:rsidR="007306BA" w:rsidRPr="00391B86">
        <w:rPr>
          <w:rFonts w:ascii="Times New Roman" w:hAnsi="Times New Roman"/>
        </w:rPr>
        <w:t xml:space="preserve">Div 1 of Pt 9.6A </w:t>
      </w:r>
      <w:r w:rsidR="008B7CF8" w:rsidRPr="00391B86">
        <w:rPr>
          <w:rFonts w:ascii="Times New Roman" w:hAnsi="Times New Roman"/>
        </w:rPr>
        <w:t xml:space="preserve">of the Corporations Act </w:t>
      </w:r>
      <w:r w:rsidR="007306BA" w:rsidRPr="00391B86">
        <w:rPr>
          <w:rFonts w:ascii="Times New Roman" w:hAnsi="Times New Roman"/>
        </w:rPr>
        <w:t xml:space="preserve">to which reference has </w:t>
      </w:r>
      <w:r w:rsidR="008F4D4C" w:rsidRPr="00391B86">
        <w:rPr>
          <w:rFonts w:ascii="Times New Roman" w:hAnsi="Times New Roman"/>
        </w:rPr>
        <w:t>earlier</w:t>
      </w:r>
      <w:r w:rsidR="007306BA" w:rsidRPr="00391B86">
        <w:rPr>
          <w:rFonts w:ascii="Times New Roman" w:hAnsi="Times New Roman"/>
        </w:rPr>
        <w:t xml:space="preserve"> been made</w:t>
      </w:r>
      <w:r w:rsidR="00B74454" w:rsidRPr="00391B86">
        <w:rPr>
          <w:rFonts w:ascii="Times New Roman" w:hAnsi="Times New Roman"/>
        </w:rPr>
        <w:t>. The first is</w:t>
      </w:r>
      <w:r w:rsidR="006B27A4" w:rsidRPr="00391B86">
        <w:rPr>
          <w:rFonts w:ascii="Times New Roman" w:hAnsi="Times New Roman"/>
        </w:rPr>
        <w:t xml:space="preserve"> the </w:t>
      </w:r>
      <w:r w:rsidR="00072499" w:rsidRPr="00391B86">
        <w:rPr>
          <w:rFonts w:ascii="Times New Roman" w:hAnsi="Times New Roman"/>
        </w:rPr>
        <w:t xml:space="preserve">federal </w:t>
      </w:r>
      <w:r w:rsidR="006B27A4" w:rsidRPr="00391B86">
        <w:rPr>
          <w:rFonts w:ascii="Times New Roman" w:hAnsi="Times New Roman"/>
        </w:rPr>
        <w:t xml:space="preserve">jurisdiction that the </w:t>
      </w:r>
      <w:r w:rsidR="00EB6584" w:rsidRPr="00391B86">
        <w:rPr>
          <w:rFonts w:ascii="Times New Roman" w:hAnsi="Times New Roman"/>
        </w:rPr>
        <w:t>transferor court and the transferee court must</w:t>
      </w:r>
      <w:r w:rsidR="00200692" w:rsidRPr="00391B86">
        <w:rPr>
          <w:rFonts w:ascii="Times New Roman" w:hAnsi="Times New Roman"/>
        </w:rPr>
        <w:t xml:space="preserve"> both</w:t>
      </w:r>
      <w:r w:rsidR="00EB6584" w:rsidRPr="00391B86">
        <w:rPr>
          <w:rFonts w:ascii="Times New Roman" w:hAnsi="Times New Roman"/>
        </w:rPr>
        <w:t xml:space="preserve"> have </w:t>
      </w:r>
      <w:r w:rsidR="00F9248D" w:rsidRPr="00391B86">
        <w:rPr>
          <w:rFonts w:ascii="Times New Roman" w:hAnsi="Times New Roman"/>
        </w:rPr>
        <w:t>under s</w:t>
      </w:r>
      <w:r w:rsidR="00395FBA" w:rsidRPr="00391B86">
        <w:rPr>
          <w:rFonts w:ascii="Times New Roman" w:hAnsi="Times New Roman"/>
        </w:rPr>
        <w:t> </w:t>
      </w:r>
      <w:r w:rsidR="00F9248D" w:rsidRPr="00391B86">
        <w:rPr>
          <w:rFonts w:ascii="Times New Roman" w:hAnsi="Times New Roman"/>
        </w:rPr>
        <w:t>1337</w:t>
      </w:r>
      <w:proofErr w:type="gramStart"/>
      <w:r w:rsidR="00F9248D" w:rsidRPr="00391B86">
        <w:rPr>
          <w:rFonts w:ascii="Times New Roman" w:hAnsi="Times New Roman"/>
        </w:rPr>
        <w:t>B</w:t>
      </w:r>
      <w:r w:rsidR="00F70A71" w:rsidRPr="00391B86">
        <w:rPr>
          <w:rFonts w:ascii="Times New Roman" w:hAnsi="Times New Roman"/>
        </w:rPr>
        <w:t>(</w:t>
      </w:r>
      <w:proofErr w:type="gramEnd"/>
      <w:r w:rsidR="00F70A71" w:rsidRPr="00391B86">
        <w:rPr>
          <w:rFonts w:ascii="Times New Roman" w:hAnsi="Times New Roman"/>
        </w:rPr>
        <w:t xml:space="preserve">1) or </w:t>
      </w:r>
      <w:r w:rsidR="00F9248D" w:rsidRPr="00391B86">
        <w:rPr>
          <w:rFonts w:ascii="Times New Roman" w:hAnsi="Times New Roman"/>
        </w:rPr>
        <w:t>(2) in the matter or matters for determination in the proceeding</w:t>
      </w:r>
      <w:r w:rsidR="00231496" w:rsidRPr="00391B86">
        <w:rPr>
          <w:rFonts w:ascii="Times New Roman" w:hAnsi="Times New Roman"/>
        </w:rPr>
        <w:t xml:space="preserve"> </w:t>
      </w:r>
      <w:r w:rsidR="00F70A71" w:rsidRPr="00391B86">
        <w:rPr>
          <w:rFonts w:ascii="Times New Roman" w:hAnsi="Times New Roman"/>
        </w:rPr>
        <w:t xml:space="preserve">for the </w:t>
      </w:r>
      <w:r w:rsidR="00E153BD" w:rsidRPr="00391B86">
        <w:rPr>
          <w:rFonts w:ascii="Times New Roman" w:hAnsi="Times New Roman"/>
        </w:rPr>
        <w:t>transferor court</w:t>
      </w:r>
      <w:r w:rsidR="00F70A71" w:rsidRPr="00391B86">
        <w:rPr>
          <w:rFonts w:ascii="Times New Roman" w:hAnsi="Times New Roman"/>
        </w:rPr>
        <w:t xml:space="preserve"> to have </w:t>
      </w:r>
      <w:r w:rsidR="003F0970" w:rsidRPr="00391B86">
        <w:rPr>
          <w:rFonts w:ascii="Times New Roman" w:hAnsi="Times New Roman"/>
        </w:rPr>
        <w:t xml:space="preserve">transferred </w:t>
      </w:r>
      <w:r w:rsidR="00E153BD" w:rsidRPr="00391B86">
        <w:rPr>
          <w:rFonts w:ascii="Times New Roman" w:hAnsi="Times New Roman"/>
        </w:rPr>
        <w:t xml:space="preserve">the proceeding </w:t>
      </w:r>
      <w:r w:rsidR="0038542B" w:rsidRPr="00391B86">
        <w:rPr>
          <w:rFonts w:ascii="Times New Roman" w:hAnsi="Times New Roman"/>
        </w:rPr>
        <w:t xml:space="preserve">to the transferee court </w:t>
      </w:r>
      <w:r w:rsidR="003F0970" w:rsidRPr="00391B86">
        <w:rPr>
          <w:rFonts w:ascii="Times New Roman" w:hAnsi="Times New Roman"/>
        </w:rPr>
        <w:t xml:space="preserve">under </w:t>
      </w:r>
      <w:r w:rsidR="00F9248D" w:rsidRPr="00391B86">
        <w:rPr>
          <w:rFonts w:ascii="Times New Roman" w:hAnsi="Times New Roman"/>
        </w:rPr>
        <w:t>s</w:t>
      </w:r>
      <w:r w:rsidR="00395FBA" w:rsidRPr="00391B86">
        <w:rPr>
          <w:rFonts w:ascii="Times New Roman" w:hAnsi="Times New Roman"/>
        </w:rPr>
        <w:t> </w:t>
      </w:r>
      <w:r w:rsidR="00F9248D" w:rsidRPr="00391B86">
        <w:rPr>
          <w:rFonts w:ascii="Times New Roman" w:hAnsi="Times New Roman"/>
        </w:rPr>
        <w:t>1337</w:t>
      </w:r>
      <w:r w:rsidR="003F0970" w:rsidRPr="00391B86">
        <w:rPr>
          <w:rFonts w:ascii="Times New Roman" w:hAnsi="Times New Roman"/>
        </w:rPr>
        <w:t>H</w:t>
      </w:r>
      <w:r w:rsidR="00F9248D" w:rsidRPr="00391B86">
        <w:rPr>
          <w:rFonts w:ascii="Times New Roman" w:hAnsi="Times New Roman"/>
        </w:rPr>
        <w:t>(2)</w:t>
      </w:r>
      <w:r w:rsidR="003F0970" w:rsidRPr="00391B86">
        <w:rPr>
          <w:rFonts w:ascii="Times New Roman" w:hAnsi="Times New Roman"/>
        </w:rPr>
        <w:t xml:space="preserve">. The </w:t>
      </w:r>
      <w:r w:rsidR="00322C37" w:rsidRPr="00391B86">
        <w:rPr>
          <w:rFonts w:ascii="Times New Roman" w:hAnsi="Times New Roman"/>
        </w:rPr>
        <w:t>second is the disparate</w:t>
      </w:r>
      <w:r w:rsidR="0038542B" w:rsidRPr="00391B86">
        <w:rPr>
          <w:rFonts w:ascii="Times New Roman" w:hAnsi="Times New Roman"/>
        </w:rPr>
        <w:t xml:space="preserve"> procedural</w:t>
      </w:r>
      <w:r w:rsidR="00322C37" w:rsidRPr="00391B86">
        <w:rPr>
          <w:rFonts w:ascii="Times New Roman" w:hAnsi="Times New Roman"/>
        </w:rPr>
        <w:t xml:space="preserve"> powers which the transferor court and the transferee court </w:t>
      </w:r>
      <w:r w:rsidR="00DB72E1" w:rsidRPr="00391B86">
        <w:rPr>
          <w:rFonts w:ascii="Times New Roman" w:hAnsi="Times New Roman"/>
        </w:rPr>
        <w:t>can have in the exercise of that common</w:t>
      </w:r>
      <w:r w:rsidR="002F1D57" w:rsidRPr="00391B86">
        <w:rPr>
          <w:rFonts w:ascii="Times New Roman" w:hAnsi="Times New Roman"/>
        </w:rPr>
        <w:t xml:space="preserve"> federal</w:t>
      </w:r>
      <w:r w:rsidR="00DB72E1" w:rsidRPr="00391B86">
        <w:rPr>
          <w:rFonts w:ascii="Times New Roman" w:hAnsi="Times New Roman"/>
        </w:rPr>
        <w:t xml:space="preserve"> jurisdiction through the operation of </w:t>
      </w:r>
      <w:r w:rsidR="00DE3C4C" w:rsidRPr="00391B86">
        <w:rPr>
          <w:rFonts w:ascii="Times New Roman" w:hAnsi="Times New Roman"/>
        </w:rPr>
        <w:t>s</w:t>
      </w:r>
      <w:r w:rsidR="00395FBA" w:rsidRPr="00391B86">
        <w:rPr>
          <w:rFonts w:ascii="Times New Roman" w:hAnsi="Times New Roman"/>
        </w:rPr>
        <w:t> </w:t>
      </w:r>
      <w:r w:rsidR="00DE3C4C" w:rsidRPr="00391B86">
        <w:rPr>
          <w:rFonts w:ascii="Times New Roman" w:hAnsi="Times New Roman"/>
        </w:rPr>
        <w:t xml:space="preserve">79 of the Judiciary Act picking up and applying </w:t>
      </w:r>
      <w:r w:rsidR="00EA302E" w:rsidRPr="00391B86">
        <w:rPr>
          <w:rFonts w:ascii="Times New Roman" w:hAnsi="Times New Roman"/>
        </w:rPr>
        <w:t>the texts of different State laws.</w:t>
      </w:r>
      <w:r w:rsidR="001E58F7" w:rsidRPr="00391B86">
        <w:rPr>
          <w:rFonts w:ascii="Times New Roman" w:hAnsi="Times New Roman"/>
        </w:rPr>
        <w:t xml:space="preserve"> The third is the </w:t>
      </w:r>
      <w:r w:rsidR="00522740" w:rsidRPr="00391B86">
        <w:rPr>
          <w:rFonts w:ascii="Times New Roman" w:hAnsi="Times New Roman"/>
        </w:rPr>
        <w:t>requirement of s</w:t>
      </w:r>
      <w:r w:rsidR="00395FBA" w:rsidRPr="00391B86">
        <w:rPr>
          <w:rFonts w:ascii="Times New Roman" w:hAnsi="Times New Roman"/>
        </w:rPr>
        <w:t> </w:t>
      </w:r>
      <w:r w:rsidR="00522740" w:rsidRPr="00391B86">
        <w:rPr>
          <w:rFonts w:ascii="Times New Roman" w:hAnsi="Times New Roman"/>
        </w:rPr>
        <w:t xml:space="preserve">1337N that the transferee court is to proceed </w:t>
      </w:r>
      <w:r w:rsidR="00C75CC8" w:rsidRPr="00391B86">
        <w:rPr>
          <w:rFonts w:ascii="Times New Roman" w:hAnsi="Times New Roman"/>
        </w:rPr>
        <w:t>"</w:t>
      </w:r>
      <w:r w:rsidR="00522740" w:rsidRPr="00391B86">
        <w:rPr>
          <w:rFonts w:ascii="Times New Roman" w:hAnsi="Times New Roman"/>
        </w:rPr>
        <w:t>as if</w:t>
      </w:r>
      <w:r w:rsidR="00036832" w:rsidRPr="00391B86">
        <w:rPr>
          <w:rFonts w:ascii="Times New Roman" w:hAnsi="Times New Roman"/>
        </w:rPr>
        <w:t>"</w:t>
      </w:r>
      <w:r w:rsidR="00522740" w:rsidRPr="00391B86">
        <w:rPr>
          <w:rFonts w:ascii="Times New Roman" w:hAnsi="Times New Roman"/>
        </w:rPr>
        <w:t xml:space="preserve"> the transferred proceeding </w:t>
      </w:r>
      <w:r w:rsidR="00036832" w:rsidRPr="00391B86">
        <w:rPr>
          <w:rFonts w:ascii="Times New Roman" w:hAnsi="Times New Roman"/>
        </w:rPr>
        <w:t>"</w:t>
      </w:r>
      <w:r w:rsidR="00522740" w:rsidRPr="00391B86">
        <w:rPr>
          <w:rFonts w:ascii="Times New Roman" w:hAnsi="Times New Roman"/>
        </w:rPr>
        <w:t xml:space="preserve">had been originally instituted in the </w:t>
      </w:r>
      <w:r w:rsidR="009F7D02" w:rsidRPr="00391B86">
        <w:rPr>
          <w:rFonts w:ascii="Times New Roman" w:hAnsi="Times New Roman"/>
        </w:rPr>
        <w:t>[</w:t>
      </w:r>
      <w:r w:rsidR="00522740" w:rsidRPr="00391B86">
        <w:rPr>
          <w:rFonts w:ascii="Times New Roman" w:hAnsi="Times New Roman"/>
        </w:rPr>
        <w:t>transferee</w:t>
      </w:r>
      <w:r w:rsidR="009F7D02" w:rsidRPr="00391B86">
        <w:rPr>
          <w:rFonts w:ascii="Times New Roman" w:hAnsi="Times New Roman"/>
        </w:rPr>
        <w:t>]</w:t>
      </w:r>
      <w:r w:rsidR="00522740" w:rsidRPr="00391B86">
        <w:rPr>
          <w:rFonts w:ascii="Times New Roman" w:hAnsi="Times New Roman"/>
        </w:rPr>
        <w:t xml:space="preserve"> court</w:t>
      </w:r>
      <w:r w:rsidR="00C75CC8" w:rsidRPr="00391B86">
        <w:rPr>
          <w:rFonts w:ascii="Times New Roman" w:hAnsi="Times New Roman"/>
        </w:rPr>
        <w:t>"</w:t>
      </w:r>
      <w:r w:rsidR="00522740" w:rsidRPr="00391B86">
        <w:rPr>
          <w:rFonts w:ascii="Times New Roman" w:hAnsi="Times New Roman"/>
        </w:rPr>
        <w:t>.</w:t>
      </w:r>
    </w:p>
    <w:p w14:paraId="78F44124" w14:textId="6B6F3361" w:rsidR="001F0E03" w:rsidRPr="00391B86" w:rsidRDefault="00E43A49"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3C348E" w:rsidRPr="00391B86">
        <w:rPr>
          <w:rFonts w:ascii="Times New Roman" w:hAnsi="Times New Roman"/>
        </w:rPr>
        <w:t>Plainly enough, s</w:t>
      </w:r>
      <w:r w:rsidR="00395FBA" w:rsidRPr="00391B86">
        <w:rPr>
          <w:rFonts w:ascii="Times New Roman" w:hAnsi="Times New Roman"/>
        </w:rPr>
        <w:t> </w:t>
      </w:r>
      <w:r w:rsidR="003C348E" w:rsidRPr="00391B86">
        <w:rPr>
          <w:rFonts w:ascii="Times New Roman" w:hAnsi="Times New Roman"/>
        </w:rPr>
        <w:t>1337</w:t>
      </w:r>
      <w:proofErr w:type="gramStart"/>
      <w:r w:rsidR="003C348E" w:rsidRPr="00391B86">
        <w:rPr>
          <w:rFonts w:ascii="Times New Roman" w:hAnsi="Times New Roman"/>
        </w:rPr>
        <w:t>P(</w:t>
      </w:r>
      <w:proofErr w:type="gramEnd"/>
      <w:r w:rsidR="003C348E" w:rsidRPr="00391B86">
        <w:rPr>
          <w:rFonts w:ascii="Times New Roman" w:hAnsi="Times New Roman"/>
        </w:rPr>
        <w:t xml:space="preserve">2) is not a conferral </w:t>
      </w:r>
      <w:r w:rsidR="00137CDB" w:rsidRPr="00391B86">
        <w:rPr>
          <w:rFonts w:ascii="Times New Roman" w:hAnsi="Times New Roman"/>
        </w:rPr>
        <w:t xml:space="preserve">of power </w:t>
      </w:r>
      <w:r w:rsidR="003C348E" w:rsidRPr="00391B86">
        <w:rPr>
          <w:rFonts w:ascii="Times New Roman" w:hAnsi="Times New Roman"/>
        </w:rPr>
        <w:t>o</w:t>
      </w:r>
      <w:r w:rsidR="00137CDB" w:rsidRPr="00391B86">
        <w:rPr>
          <w:rFonts w:ascii="Times New Roman" w:hAnsi="Times New Roman"/>
        </w:rPr>
        <w:t>n</w:t>
      </w:r>
      <w:r w:rsidR="003C348E" w:rsidRPr="00391B86">
        <w:rPr>
          <w:rFonts w:ascii="Times New Roman" w:hAnsi="Times New Roman"/>
        </w:rPr>
        <w:t xml:space="preserve"> </w:t>
      </w:r>
      <w:r w:rsidR="00137CDB" w:rsidRPr="00391B86">
        <w:rPr>
          <w:rFonts w:ascii="Times New Roman" w:hAnsi="Times New Roman"/>
        </w:rPr>
        <w:t>the transferee court</w:t>
      </w:r>
      <w:r w:rsidR="00E431C5" w:rsidRPr="00391B86">
        <w:rPr>
          <w:rFonts w:ascii="Times New Roman" w:hAnsi="Times New Roman"/>
        </w:rPr>
        <w:t xml:space="preserve">. </w:t>
      </w:r>
      <w:r w:rsidR="00A36FDB" w:rsidRPr="00391B86">
        <w:rPr>
          <w:rFonts w:ascii="Times New Roman" w:hAnsi="Times New Roman"/>
        </w:rPr>
        <w:t>Section</w:t>
      </w:r>
      <w:r w:rsidR="003D54E2" w:rsidRPr="00391B86">
        <w:rPr>
          <w:rFonts w:ascii="Times New Roman" w:hAnsi="Times New Roman"/>
        </w:rPr>
        <w:t xml:space="preserve"> 1337</w:t>
      </w:r>
      <w:proofErr w:type="gramStart"/>
      <w:r w:rsidR="003D54E2" w:rsidRPr="00391B86">
        <w:rPr>
          <w:rFonts w:ascii="Times New Roman" w:hAnsi="Times New Roman"/>
        </w:rPr>
        <w:t>P(</w:t>
      </w:r>
      <w:proofErr w:type="gramEnd"/>
      <w:r w:rsidR="003D54E2" w:rsidRPr="00391B86">
        <w:rPr>
          <w:rFonts w:ascii="Times New Roman" w:hAnsi="Times New Roman"/>
        </w:rPr>
        <w:t>2)</w:t>
      </w:r>
      <w:r w:rsidR="00E431C5" w:rsidRPr="00391B86">
        <w:rPr>
          <w:rFonts w:ascii="Times New Roman" w:hAnsi="Times New Roman"/>
        </w:rPr>
        <w:t xml:space="preserve"> is </w:t>
      </w:r>
      <w:r w:rsidR="00AF6F2A" w:rsidRPr="00391B86">
        <w:rPr>
          <w:rFonts w:ascii="Times New Roman" w:hAnsi="Times New Roman"/>
        </w:rPr>
        <w:t xml:space="preserve">a legislative direction to the transferee court as </w:t>
      </w:r>
      <w:r w:rsidR="002D72B2" w:rsidRPr="00391B86">
        <w:rPr>
          <w:rFonts w:ascii="Times New Roman" w:hAnsi="Times New Roman"/>
        </w:rPr>
        <w:t xml:space="preserve">to </w:t>
      </w:r>
      <w:r w:rsidR="00121174" w:rsidRPr="00391B86">
        <w:rPr>
          <w:rFonts w:ascii="Times New Roman" w:hAnsi="Times New Roman"/>
        </w:rPr>
        <w:t>how</w:t>
      </w:r>
      <w:r w:rsidR="002D72B2" w:rsidRPr="00391B86">
        <w:rPr>
          <w:rFonts w:ascii="Times New Roman" w:hAnsi="Times New Roman"/>
        </w:rPr>
        <w:t xml:space="preserve"> </w:t>
      </w:r>
      <w:r w:rsidR="003D54E2" w:rsidRPr="00391B86">
        <w:rPr>
          <w:rFonts w:ascii="Times New Roman" w:hAnsi="Times New Roman"/>
        </w:rPr>
        <w:t>that court</w:t>
      </w:r>
      <w:r w:rsidR="002D72B2" w:rsidRPr="00391B86">
        <w:rPr>
          <w:rFonts w:ascii="Times New Roman" w:hAnsi="Times New Roman"/>
        </w:rPr>
        <w:t xml:space="preserve"> is to </w:t>
      </w:r>
      <w:r w:rsidR="00982087" w:rsidRPr="00391B86">
        <w:rPr>
          <w:rFonts w:ascii="Times New Roman" w:hAnsi="Times New Roman"/>
        </w:rPr>
        <w:t xml:space="preserve">deal with the proceeding that has been transferred to it in the exercise of such powers as are otherwise conferred on it </w:t>
      </w:r>
      <w:r w:rsidR="00D25D02" w:rsidRPr="00391B86">
        <w:rPr>
          <w:rFonts w:ascii="Times New Roman" w:hAnsi="Times New Roman"/>
        </w:rPr>
        <w:t xml:space="preserve">including </w:t>
      </w:r>
      <w:r w:rsidR="00982087" w:rsidRPr="00391B86">
        <w:rPr>
          <w:rFonts w:ascii="Times New Roman" w:hAnsi="Times New Roman"/>
        </w:rPr>
        <w:t>through the operation of s 79 of the Judiciary Act</w:t>
      </w:r>
      <w:r w:rsidR="00D25D02" w:rsidRPr="00391B86">
        <w:rPr>
          <w:rFonts w:ascii="Times New Roman" w:hAnsi="Times New Roman"/>
        </w:rPr>
        <w:t xml:space="preserve">. </w:t>
      </w:r>
    </w:p>
    <w:p w14:paraId="5F65AD8C" w14:textId="51A1AC50" w:rsidR="00A025F3" w:rsidRPr="00391B86" w:rsidRDefault="001F0E03"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FC7772" w:rsidRPr="00391B86">
        <w:rPr>
          <w:rFonts w:ascii="Times New Roman" w:hAnsi="Times New Roman"/>
        </w:rPr>
        <w:t>The le</w:t>
      </w:r>
      <w:r w:rsidR="00E20E65" w:rsidRPr="00391B86">
        <w:rPr>
          <w:rFonts w:ascii="Times New Roman" w:hAnsi="Times New Roman"/>
        </w:rPr>
        <w:t>g</w:t>
      </w:r>
      <w:r w:rsidR="006B09D2" w:rsidRPr="00391B86">
        <w:rPr>
          <w:rFonts w:ascii="Times New Roman" w:hAnsi="Times New Roman"/>
        </w:rPr>
        <w:t>islative direction</w:t>
      </w:r>
      <w:r w:rsidR="00283547" w:rsidRPr="00391B86">
        <w:rPr>
          <w:rFonts w:ascii="Times New Roman" w:hAnsi="Times New Roman"/>
        </w:rPr>
        <w:t xml:space="preserve"> </w:t>
      </w:r>
      <w:r w:rsidR="006B09D2" w:rsidRPr="00391B86">
        <w:rPr>
          <w:rFonts w:ascii="Times New Roman" w:hAnsi="Times New Roman"/>
        </w:rPr>
        <w:t xml:space="preserve">in </w:t>
      </w:r>
      <w:r w:rsidR="00FC7772" w:rsidRPr="00391B86">
        <w:rPr>
          <w:rFonts w:ascii="Times New Roman" w:hAnsi="Times New Roman"/>
        </w:rPr>
        <w:t>s</w:t>
      </w:r>
      <w:r w:rsidR="00395FBA" w:rsidRPr="00391B86">
        <w:rPr>
          <w:rFonts w:ascii="Times New Roman" w:hAnsi="Times New Roman"/>
        </w:rPr>
        <w:t> </w:t>
      </w:r>
      <w:r w:rsidR="00FC7772" w:rsidRPr="00391B86">
        <w:rPr>
          <w:rFonts w:ascii="Times New Roman" w:hAnsi="Times New Roman"/>
        </w:rPr>
        <w:t xml:space="preserve">1337P(2) </w:t>
      </w:r>
      <w:r w:rsidR="00BE33AE" w:rsidRPr="00391B86">
        <w:rPr>
          <w:rFonts w:ascii="Times New Roman" w:hAnsi="Times New Roman"/>
        </w:rPr>
        <w:t>operates</w:t>
      </w:r>
      <w:r w:rsidR="00E20E65" w:rsidRPr="00391B86">
        <w:rPr>
          <w:rFonts w:ascii="Times New Roman" w:hAnsi="Times New Roman"/>
        </w:rPr>
        <w:t xml:space="preserve"> t</w:t>
      </w:r>
      <w:r w:rsidR="006B09D2" w:rsidRPr="00391B86">
        <w:rPr>
          <w:rFonts w:ascii="Times New Roman" w:hAnsi="Times New Roman"/>
        </w:rPr>
        <w:t>hrough the</w:t>
      </w:r>
      <w:r w:rsidR="000F62F7" w:rsidRPr="00391B86">
        <w:rPr>
          <w:rFonts w:ascii="Times New Roman" w:hAnsi="Times New Roman"/>
        </w:rPr>
        <w:t xml:space="preserve"> creat</w:t>
      </w:r>
      <w:r w:rsidR="006B09D2" w:rsidRPr="00391B86">
        <w:rPr>
          <w:rFonts w:ascii="Times New Roman" w:hAnsi="Times New Roman"/>
        </w:rPr>
        <w:t>ion of</w:t>
      </w:r>
      <w:r w:rsidR="00E20E65" w:rsidRPr="00391B86">
        <w:rPr>
          <w:rFonts w:ascii="Times New Roman" w:hAnsi="Times New Roman"/>
        </w:rPr>
        <w:t xml:space="preserve"> </w:t>
      </w:r>
      <w:r w:rsidR="00D264A4" w:rsidRPr="00391B86">
        <w:rPr>
          <w:rFonts w:ascii="Times New Roman" w:hAnsi="Times New Roman"/>
        </w:rPr>
        <w:t>a</w:t>
      </w:r>
      <w:r w:rsidR="00E20E65" w:rsidRPr="00391B86">
        <w:rPr>
          <w:rFonts w:ascii="Times New Roman" w:hAnsi="Times New Roman"/>
        </w:rPr>
        <w:t xml:space="preserve"> </w:t>
      </w:r>
      <w:r w:rsidR="00E4536D" w:rsidRPr="00391B86">
        <w:rPr>
          <w:rFonts w:ascii="Times New Roman" w:hAnsi="Times New Roman"/>
        </w:rPr>
        <w:t xml:space="preserve">statutory </w:t>
      </w:r>
      <w:r w:rsidR="00E20E65" w:rsidRPr="00391B86">
        <w:rPr>
          <w:rFonts w:ascii="Times New Roman" w:hAnsi="Times New Roman"/>
        </w:rPr>
        <w:t>fiction</w:t>
      </w:r>
      <w:r w:rsidR="00514AD8" w:rsidRPr="00391B86">
        <w:rPr>
          <w:rFonts w:ascii="Times New Roman" w:hAnsi="Times New Roman"/>
        </w:rPr>
        <w:t>, connoted by the expression "as if"</w:t>
      </w:r>
      <w:r w:rsidR="000F62F7" w:rsidRPr="00391B86">
        <w:rPr>
          <w:rFonts w:ascii="Times New Roman" w:hAnsi="Times New Roman"/>
        </w:rPr>
        <w:t>.</w:t>
      </w:r>
      <w:r w:rsidR="00E4536D" w:rsidRPr="00391B86">
        <w:rPr>
          <w:rStyle w:val="FootnoteReference"/>
          <w:rFonts w:ascii="Times New Roman" w:hAnsi="Times New Roman"/>
          <w:sz w:val="24"/>
        </w:rPr>
        <w:footnoteReference w:id="32"/>
      </w:r>
      <w:r w:rsidR="00E4536D" w:rsidRPr="00391B86">
        <w:rPr>
          <w:rFonts w:ascii="Times New Roman" w:hAnsi="Times New Roman"/>
        </w:rPr>
        <w:t xml:space="preserve"> </w:t>
      </w:r>
      <w:r w:rsidR="000F62F7" w:rsidRPr="00391B86">
        <w:rPr>
          <w:rFonts w:ascii="Times New Roman" w:hAnsi="Times New Roman"/>
        </w:rPr>
        <w:t xml:space="preserve">To the statutory fiction </w:t>
      </w:r>
      <w:r w:rsidR="000F62F7" w:rsidRPr="00391B86">
        <w:rPr>
          <w:rFonts w:ascii="Times New Roman" w:hAnsi="Times New Roman"/>
        </w:rPr>
        <w:lastRenderedPageBreak/>
        <w:t xml:space="preserve">created by s 1337N </w:t>
      </w:r>
      <w:r w:rsidR="00990870" w:rsidRPr="00391B86">
        <w:rPr>
          <w:rFonts w:ascii="Times New Roman" w:hAnsi="Times New Roman"/>
        </w:rPr>
        <w:t>requir</w:t>
      </w:r>
      <w:r w:rsidR="006B09D2" w:rsidRPr="00391B86">
        <w:rPr>
          <w:rFonts w:ascii="Times New Roman" w:hAnsi="Times New Roman"/>
        </w:rPr>
        <w:t>ing</w:t>
      </w:r>
      <w:r w:rsidR="00C91563" w:rsidRPr="00391B86">
        <w:rPr>
          <w:rFonts w:ascii="Times New Roman" w:hAnsi="Times New Roman"/>
        </w:rPr>
        <w:t xml:space="preserve"> </w:t>
      </w:r>
      <w:r w:rsidR="000F62F7" w:rsidRPr="00391B86">
        <w:rPr>
          <w:rFonts w:ascii="Times New Roman" w:hAnsi="Times New Roman"/>
        </w:rPr>
        <w:t xml:space="preserve">the </w:t>
      </w:r>
      <w:r w:rsidR="000E4428" w:rsidRPr="00391B86">
        <w:rPr>
          <w:rFonts w:ascii="Times New Roman" w:hAnsi="Times New Roman"/>
        </w:rPr>
        <w:t>transferee court</w:t>
      </w:r>
      <w:r w:rsidR="00322567" w:rsidRPr="00391B86">
        <w:rPr>
          <w:rFonts w:ascii="Times New Roman" w:hAnsi="Times New Roman"/>
        </w:rPr>
        <w:t xml:space="preserve"> </w:t>
      </w:r>
      <w:r w:rsidR="00990870" w:rsidRPr="00391B86">
        <w:rPr>
          <w:rFonts w:ascii="Times New Roman" w:hAnsi="Times New Roman"/>
        </w:rPr>
        <w:t xml:space="preserve">to </w:t>
      </w:r>
      <w:r w:rsidR="00322567" w:rsidRPr="00391B86">
        <w:rPr>
          <w:rFonts w:ascii="Times New Roman" w:hAnsi="Times New Roman"/>
        </w:rPr>
        <w:t xml:space="preserve">treat the </w:t>
      </w:r>
      <w:r w:rsidR="000F62F7" w:rsidRPr="00391B86">
        <w:rPr>
          <w:rFonts w:ascii="Times New Roman" w:hAnsi="Times New Roman"/>
        </w:rPr>
        <w:t xml:space="preserve">transferred proceeding </w:t>
      </w:r>
      <w:r w:rsidR="00322567" w:rsidRPr="00391B86">
        <w:rPr>
          <w:rFonts w:ascii="Times New Roman" w:hAnsi="Times New Roman"/>
        </w:rPr>
        <w:t xml:space="preserve">as </w:t>
      </w:r>
      <w:r w:rsidR="006B09D2" w:rsidRPr="00391B86">
        <w:rPr>
          <w:rFonts w:ascii="Times New Roman" w:hAnsi="Times New Roman"/>
        </w:rPr>
        <w:t xml:space="preserve">if it had </w:t>
      </w:r>
      <w:r w:rsidR="000F62F7" w:rsidRPr="00391B86">
        <w:rPr>
          <w:rFonts w:ascii="Times New Roman" w:hAnsi="Times New Roman"/>
        </w:rPr>
        <w:t>been originally instituted in the transferee court</w:t>
      </w:r>
      <w:r w:rsidR="00322567" w:rsidRPr="00391B86">
        <w:rPr>
          <w:rFonts w:ascii="Times New Roman" w:hAnsi="Times New Roman"/>
        </w:rPr>
        <w:t>,</w:t>
      </w:r>
      <w:r w:rsidR="00650D76" w:rsidRPr="00391B86">
        <w:rPr>
          <w:rFonts w:ascii="Times New Roman" w:hAnsi="Times New Roman"/>
        </w:rPr>
        <w:t xml:space="preserve"> </w:t>
      </w:r>
      <w:r w:rsidR="00DD41D4" w:rsidRPr="00391B86">
        <w:rPr>
          <w:rFonts w:ascii="Times New Roman" w:hAnsi="Times New Roman"/>
        </w:rPr>
        <w:t>s</w:t>
      </w:r>
      <w:r w:rsidR="00395FBA" w:rsidRPr="00391B86">
        <w:rPr>
          <w:rFonts w:ascii="Times New Roman" w:hAnsi="Times New Roman"/>
        </w:rPr>
        <w:t> </w:t>
      </w:r>
      <w:r w:rsidR="00DD41D4" w:rsidRPr="00391B86">
        <w:rPr>
          <w:rFonts w:ascii="Times New Roman" w:hAnsi="Times New Roman"/>
        </w:rPr>
        <w:t xml:space="preserve">1337P(2) </w:t>
      </w:r>
      <w:r w:rsidR="00650D76" w:rsidRPr="00391B86">
        <w:rPr>
          <w:rFonts w:ascii="Times New Roman" w:hAnsi="Times New Roman"/>
        </w:rPr>
        <w:t xml:space="preserve">adds </w:t>
      </w:r>
      <w:r w:rsidR="00990870" w:rsidRPr="00391B86">
        <w:rPr>
          <w:rFonts w:ascii="Times New Roman" w:hAnsi="Times New Roman"/>
        </w:rPr>
        <w:t>a</w:t>
      </w:r>
      <w:r w:rsidR="00650D76" w:rsidRPr="00391B86">
        <w:rPr>
          <w:rFonts w:ascii="Times New Roman" w:hAnsi="Times New Roman"/>
        </w:rPr>
        <w:t xml:space="preserve"> </w:t>
      </w:r>
      <w:r w:rsidR="00990870" w:rsidRPr="00391B86">
        <w:rPr>
          <w:rFonts w:ascii="Times New Roman" w:hAnsi="Times New Roman"/>
        </w:rPr>
        <w:t xml:space="preserve">further </w:t>
      </w:r>
      <w:r w:rsidR="00021146" w:rsidRPr="00391B86">
        <w:rPr>
          <w:rFonts w:ascii="Times New Roman" w:hAnsi="Times New Roman"/>
        </w:rPr>
        <w:t xml:space="preserve">statutory fiction </w:t>
      </w:r>
      <w:r w:rsidR="006514D6" w:rsidRPr="00391B86">
        <w:rPr>
          <w:rFonts w:ascii="Times New Roman" w:hAnsi="Times New Roman"/>
        </w:rPr>
        <w:t>which requires</w:t>
      </w:r>
      <w:r w:rsidR="00990870" w:rsidRPr="00391B86">
        <w:rPr>
          <w:rFonts w:ascii="Times New Roman" w:hAnsi="Times New Roman"/>
        </w:rPr>
        <w:t xml:space="preserve"> the transferee court </w:t>
      </w:r>
      <w:r w:rsidR="00B300BF" w:rsidRPr="00391B86">
        <w:rPr>
          <w:rFonts w:ascii="Times New Roman" w:hAnsi="Times New Roman"/>
        </w:rPr>
        <w:t xml:space="preserve">to treat </w:t>
      </w:r>
      <w:r w:rsidR="00E4536D" w:rsidRPr="00391B86">
        <w:rPr>
          <w:rFonts w:ascii="Times New Roman" w:hAnsi="Times New Roman"/>
        </w:rPr>
        <w:t xml:space="preserve">steps </w:t>
      </w:r>
      <w:r w:rsidR="00310484" w:rsidRPr="00391B86">
        <w:rPr>
          <w:rFonts w:ascii="Times New Roman" w:hAnsi="Times New Roman"/>
        </w:rPr>
        <w:t>which</w:t>
      </w:r>
      <w:r w:rsidR="00E4536D" w:rsidRPr="00391B86">
        <w:rPr>
          <w:rFonts w:ascii="Times New Roman" w:hAnsi="Times New Roman"/>
        </w:rPr>
        <w:t xml:space="preserve"> were in fact taken for the purposes of the proceeding in the transferor court</w:t>
      </w:r>
      <w:r w:rsidR="00F72BA9" w:rsidRPr="00391B86">
        <w:rPr>
          <w:rFonts w:ascii="Times New Roman" w:hAnsi="Times New Roman"/>
        </w:rPr>
        <w:t xml:space="preserve"> </w:t>
      </w:r>
      <w:r w:rsidR="004E4B0D" w:rsidRPr="00391B86">
        <w:rPr>
          <w:rFonts w:ascii="Times New Roman" w:hAnsi="Times New Roman"/>
        </w:rPr>
        <w:t>as</w:t>
      </w:r>
      <w:r w:rsidR="00626674" w:rsidRPr="00391B86">
        <w:rPr>
          <w:rFonts w:ascii="Times New Roman" w:hAnsi="Times New Roman"/>
        </w:rPr>
        <w:t xml:space="preserve"> </w:t>
      </w:r>
      <w:r w:rsidR="002053D4" w:rsidRPr="00391B86">
        <w:rPr>
          <w:rFonts w:ascii="Times New Roman" w:hAnsi="Times New Roman"/>
        </w:rPr>
        <w:t xml:space="preserve">if they were </w:t>
      </w:r>
      <w:r w:rsidR="00852411" w:rsidRPr="00391B86">
        <w:rPr>
          <w:rFonts w:ascii="Times New Roman" w:hAnsi="Times New Roman"/>
        </w:rPr>
        <w:t xml:space="preserve">steps </w:t>
      </w:r>
      <w:r w:rsidR="00626674" w:rsidRPr="00391B86">
        <w:rPr>
          <w:rFonts w:ascii="Times New Roman" w:hAnsi="Times New Roman"/>
        </w:rPr>
        <w:t>or similar steps taken in the transferee court.</w:t>
      </w:r>
      <w:r w:rsidR="00CB731B" w:rsidRPr="00391B86">
        <w:rPr>
          <w:rFonts w:ascii="Times New Roman" w:hAnsi="Times New Roman"/>
        </w:rPr>
        <w:t xml:space="preserve"> </w:t>
      </w:r>
    </w:p>
    <w:p w14:paraId="3D9A4ABA" w14:textId="34DADEA1" w:rsidR="00E43A49" w:rsidRPr="00391B86" w:rsidRDefault="00A025F3"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026C94" w:rsidRPr="00391B86">
        <w:rPr>
          <w:rFonts w:ascii="Times New Roman" w:hAnsi="Times New Roman"/>
        </w:rPr>
        <w:t>By means</w:t>
      </w:r>
      <w:r w:rsidR="00212D48" w:rsidRPr="00391B86">
        <w:rPr>
          <w:rFonts w:ascii="Times New Roman" w:hAnsi="Times New Roman"/>
        </w:rPr>
        <w:t xml:space="preserve"> of that</w:t>
      </w:r>
      <w:r w:rsidR="000F2FBD" w:rsidRPr="00391B86">
        <w:rPr>
          <w:rFonts w:ascii="Times New Roman" w:hAnsi="Times New Roman"/>
        </w:rPr>
        <w:t xml:space="preserve"> further</w:t>
      </w:r>
      <w:r w:rsidR="00212D48" w:rsidRPr="00391B86">
        <w:rPr>
          <w:rFonts w:ascii="Times New Roman" w:hAnsi="Times New Roman"/>
        </w:rPr>
        <w:t xml:space="preserve"> fiction, an order</w:t>
      </w:r>
      <w:r w:rsidR="00040081" w:rsidRPr="00391B86">
        <w:rPr>
          <w:rFonts w:ascii="Times New Roman" w:hAnsi="Times New Roman"/>
        </w:rPr>
        <w:t xml:space="preserve"> which was</w:t>
      </w:r>
      <w:r w:rsidR="00212D48" w:rsidRPr="00391B86">
        <w:rPr>
          <w:rFonts w:ascii="Times New Roman" w:hAnsi="Times New Roman"/>
        </w:rPr>
        <w:t xml:space="preserve"> in fact made by the transferor court </w:t>
      </w:r>
      <w:r w:rsidR="00274A2C" w:rsidRPr="00391B86">
        <w:rPr>
          <w:rFonts w:ascii="Times New Roman" w:hAnsi="Times New Roman"/>
        </w:rPr>
        <w:t>in</w:t>
      </w:r>
      <w:r w:rsidR="001B2540" w:rsidRPr="00391B86">
        <w:rPr>
          <w:rFonts w:ascii="Times New Roman" w:hAnsi="Times New Roman"/>
        </w:rPr>
        <w:t xml:space="preserve"> the transferred proceeding </w:t>
      </w:r>
      <w:r w:rsidR="00212D48" w:rsidRPr="00391B86">
        <w:rPr>
          <w:rFonts w:ascii="Times New Roman" w:hAnsi="Times New Roman"/>
        </w:rPr>
        <w:t>is</w:t>
      </w:r>
      <w:r w:rsidR="001209D4" w:rsidRPr="00391B86">
        <w:rPr>
          <w:rFonts w:ascii="Times New Roman" w:hAnsi="Times New Roman"/>
        </w:rPr>
        <w:t xml:space="preserve"> required to</w:t>
      </w:r>
      <w:r w:rsidR="00C260D5" w:rsidRPr="00391B86">
        <w:rPr>
          <w:rFonts w:ascii="Times New Roman" w:hAnsi="Times New Roman"/>
        </w:rPr>
        <w:t xml:space="preserve"> be</w:t>
      </w:r>
      <w:r w:rsidR="001B2540" w:rsidRPr="00391B86">
        <w:rPr>
          <w:rFonts w:ascii="Times New Roman" w:hAnsi="Times New Roman"/>
        </w:rPr>
        <w:t xml:space="preserve"> </w:t>
      </w:r>
      <w:r w:rsidR="001209D4" w:rsidRPr="00391B86">
        <w:rPr>
          <w:rFonts w:ascii="Times New Roman" w:hAnsi="Times New Roman"/>
        </w:rPr>
        <w:t xml:space="preserve">treated </w:t>
      </w:r>
      <w:r w:rsidR="00BD2024" w:rsidRPr="00391B86">
        <w:rPr>
          <w:rFonts w:ascii="Times New Roman" w:hAnsi="Times New Roman"/>
        </w:rPr>
        <w:t xml:space="preserve">as if it were </w:t>
      </w:r>
      <w:r w:rsidR="001B2540" w:rsidRPr="00391B86">
        <w:rPr>
          <w:rFonts w:ascii="Times New Roman" w:hAnsi="Times New Roman"/>
        </w:rPr>
        <w:t xml:space="preserve">an order or similar order that </w:t>
      </w:r>
      <w:r w:rsidR="001209D4" w:rsidRPr="00391B86">
        <w:rPr>
          <w:rFonts w:ascii="Times New Roman" w:hAnsi="Times New Roman"/>
        </w:rPr>
        <w:t xml:space="preserve">was </w:t>
      </w:r>
      <w:r w:rsidR="001B2540" w:rsidRPr="00391B86">
        <w:rPr>
          <w:rFonts w:ascii="Times New Roman" w:hAnsi="Times New Roman"/>
        </w:rPr>
        <w:t>made</w:t>
      </w:r>
      <w:r w:rsidR="0022480F" w:rsidRPr="00391B86">
        <w:rPr>
          <w:rFonts w:ascii="Times New Roman" w:hAnsi="Times New Roman"/>
        </w:rPr>
        <w:t xml:space="preserve"> by the transferee court </w:t>
      </w:r>
      <w:r w:rsidR="008F0C84" w:rsidRPr="00391B86">
        <w:rPr>
          <w:rFonts w:ascii="Times New Roman" w:hAnsi="Times New Roman"/>
        </w:rPr>
        <w:t>for the purpose of the transferee court making</w:t>
      </w:r>
      <w:r w:rsidR="00E26445" w:rsidRPr="00391B86">
        <w:rPr>
          <w:rFonts w:ascii="Times New Roman" w:hAnsi="Times New Roman"/>
        </w:rPr>
        <w:t xml:space="preserve"> </w:t>
      </w:r>
      <w:r w:rsidR="00F80DF9" w:rsidRPr="00391B86">
        <w:rPr>
          <w:rFonts w:ascii="Times New Roman" w:hAnsi="Times New Roman"/>
        </w:rPr>
        <w:t xml:space="preserve">such </w:t>
      </w:r>
      <w:r w:rsidR="008F0C84" w:rsidRPr="00391B86">
        <w:rPr>
          <w:rFonts w:ascii="Times New Roman" w:hAnsi="Times New Roman"/>
        </w:rPr>
        <w:t xml:space="preserve">further orders </w:t>
      </w:r>
      <w:r w:rsidR="00F80DF9" w:rsidRPr="00391B86">
        <w:rPr>
          <w:rFonts w:ascii="Times New Roman" w:hAnsi="Times New Roman"/>
        </w:rPr>
        <w:t xml:space="preserve">as </w:t>
      </w:r>
      <w:r w:rsidR="00E26445" w:rsidRPr="00391B86">
        <w:rPr>
          <w:rFonts w:ascii="Times New Roman" w:hAnsi="Times New Roman"/>
        </w:rPr>
        <w:t>the transferee court</w:t>
      </w:r>
      <w:r w:rsidR="00F80DF9" w:rsidRPr="00391B86">
        <w:rPr>
          <w:rFonts w:ascii="Times New Roman" w:hAnsi="Times New Roman"/>
        </w:rPr>
        <w:t xml:space="preserve"> </w:t>
      </w:r>
      <w:r w:rsidR="00093E3A" w:rsidRPr="00391B86">
        <w:rPr>
          <w:rFonts w:ascii="Times New Roman" w:hAnsi="Times New Roman"/>
        </w:rPr>
        <w:t>has</w:t>
      </w:r>
      <w:r w:rsidR="00F80DF9" w:rsidRPr="00391B86">
        <w:rPr>
          <w:rFonts w:ascii="Times New Roman" w:hAnsi="Times New Roman"/>
        </w:rPr>
        <w:t xml:space="preserve"> power to make </w:t>
      </w:r>
      <w:r w:rsidR="008F0C84" w:rsidRPr="00391B86">
        <w:rPr>
          <w:rFonts w:ascii="Times New Roman" w:hAnsi="Times New Roman"/>
        </w:rPr>
        <w:t>in relation to the transferred proceeding</w:t>
      </w:r>
      <w:r w:rsidR="00F80DF9" w:rsidRPr="00391B86">
        <w:rPr>
          <w:rFonts w:ascii="Times New Roman" w:hAnsi="Times New Roman"/>
        </w:rPr>
        <w:t xml:space="preserve"> including by way of </w:t>
      </w:r>
      <w:r w:rsidR="008146ED" w:rsidRPr="00391B86">
        <w:rPr>
          <w:rFonts w:ascii="Times New Roman" w:hAnsi="Times New Roman"/>
        </w:rPr>
        <w:t>revocation, variation or enforcement</w:t>
      </w:r>
      <w:r w:rsidR="006514D6" w:rsidRPr="00391B86">
        <w:rPr>
          <w:rFonts w:ascii="Times New Roman" w:hAnsi="Times New Roman"/>
        </w:rPr>
        <w:t xml:space="preserve"> of the order or similar order in question</w:t>
      </w:r>
      <w:r w:rsidR="00F53B50" w:rsidRPr="00391B86">
        <w:rPr>
          <w:rFonts w:ascii="Times New Roman" w:hAnsi="Times New Roman"/>
        </w:rPr>
        <w:t>.</w:t>
      </w:r>
    </w:p>
    <w:p w14:paraId="48A1A8AF" w14:textId="613A9A7F" w:rsidR="00DA009B" w:rsidRPr="00391B86" w:rsidRDefault="00F53B50"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474335" w:rsidRPr="00391B86">
        <w:rPr>
          <w:rFonts w:ascii="Times New Roman" w:hAnsi="Times New Roman"/>
        </w:rPr>
        <w:t xml:space="preserve">Like any </w:t>
      </w:r>
      <w:r w:rsidR="001D7B9A" w:rsidRPr="00391B86">
        <w:rPr>
          <w:rFonts w:ascii="Times New Roman" w:hAnsi="Times New Roman"/>
        </w:rPr>
        <w:t xml:space="preserve">other </w:t>
      </w:r>
      <w:r w:rsidR="00474335" w:rsidRPr="00391B86">
        <w:rPr>
          <w:rFonts w:ascii="Times New Roman" w:hAnsi="Times New Roman"/>
        </w:rPr>
        <w:t>statutory fiction,</w:t>
      </w:r>
      <w:r w:rsidR="001D7B9A" w:rsidRPr="00391B86">
        <w:rPr>
          <w:rFonts w:ascii="Times New Roman" w:hAnsi="Times New Roman"/>
        </w:rPr>
        <w:t xml:space="preserve"> </w:t>
      </w:r>
      <w:r w:rsidR="006514D6" w:rsidRPr="00391B86">
        <w:rPr>
          <w:rFonts w:ascii="Times New Roman" w:hAnsi="Times New Roman"/>
        </w:rPr>
        <w:t xml:space="preserve">that created by </w:t>
      </w:r>
      <w:r w:rsidR="001D7B9A" w:rsidRPr="00391B86">
        <w:rPr>
          <w:rFonts w:ascii="Times New Roman" w:hAnsi="Times New Roman"/>
        </w:rPr>
        <w:t>s</w:t>
      </w:r>
      <w:r w:rsidR="00395FBA" w:rsidRPr="00391B86">
        <w:rPr>
          <w:rFonts w:ascii="Times New Roman" w:hAnsi="Times New Roman"/>
        </w:rPr>
        <w:t> </w:t>
      </w:r>
      <w:r w:rsidR="001D7B9A" w:rsidRPr="00391B86">
        <w:rPr>
          <w:rFonts w:ascii="Times New Roman" w:hAnsi="Times New Roman"/>
        </w:rPr>
        <w:t xml:space="preserve">1337P(2) </w:t>
      </w:r>
      <w:r w:rsidR="001D4AC2" w:rsidRPr="00391B86">
        <w:rPr>
          <w:rFonts w:ascii="Times New Roman" w:hAnsi="Times New Roman"/>
        </w:rPr>
        <w:t>"cannot be taken to have a legal operation beyond that</w:t>
      </w:r>
      <w:r w:rsidR="00E44BA1" w:rsidRPr="00391B86">
        <w:rPr>
          <w:rFonts w:ascii="Times New Roman" w:hAnsi="Times New Roman"/>
        </w:rPr>
        <w:t xml:space="preserve"> required to achieve the object of its enactment".</w:t>
      </w:r>
      <w:r w:rsidR="00E44BA1" w:rsidRPr="00391B86">
        <w:rPr>
          <w:rStyle w:val="FootnoteReference"/>
          <w:rFonts w:ascii="Times New Roman" w:hAnsi="Times New Roman"/>
          <w:sz w:val="24"/>
        </w:rPr>
        <w:footnoteReference w:id="33"/>
      </w:r>
      <w:r w:rsidR="00EF426D" w:rsidRPr="00391B86">
        <w:rPr>
          <w:rFonts w:ascii="Times New Roman" w:hAnsi="Times New Roman"/>
        </w:rPr>
        <w:t xml:space="preserve"> The object of </w:t>
      </w:r>
      <w:r w:rsidR="00211120" w:rsidRPr="00391B86">
        <w:rPr>
          <w:rFonts w:ascii="Times New Roman" w:hAnsi="Times New Roman"/>
        </w:rPr>
        <w:t>s</w:t>
      </w:r>
      <w:r w:rsidR="00395FBA" w:rsidRPr="00391B86">
        <w:rPr>
          <w:rFonts w:ascii="Times New Roman" w:hAnsi="Times New Roman"/>
        </w:rPr>
        <w:t> </w:t>
      </w:r>
      <w:r w:rsidR="00211120" w:rsidRPr="00391B86">
        <w:rPr>
          <w:rFonts w:ascii="Times New Roman" w:hAnsi="Times New Roman"/>
        </w:rPr>
        <w:t xml:space="preserve">1337P(2) is to </w:t>
      </w:r>
      <w:r w:rsidR="008041D9" w:rsidRPr="00391B86">
        <w:rPr>
          <w:rFonts w:ascii="Times New Roman" w:hAnsi="Times New Roman"/>
        </w:rPr>
        <w:t>allow</w:t>
      </w:r>
      <w:r w:rsidR="006D1B41" w:rsidRPr="00391B86">
        <w:rPr>
          <w:rFonts w:ascii="Times New Roman" w:hAnsi="Times New Roman"/>
        </w:rPr>
        <w:t xml:space="preserve"> the transferee court </w:t>
      </w:r>
      <w:r w:rsidR="00F67010" w:rsidRPr="00391B86">
        <w:rPr>
          <w:rFonts w:ascii="Times New Roman" w:hAnsi="Times New Roman"/>
        </w:rPr>
        <w:t>to</w:t>
      </w:r>
      <w:r w:rsidR="006D1B41" w:rsidRPr="00391B86">
        <w:rPr>
          <w:rFonts w:ascii="Times New Roman" w:hAnsi="Times New Roman"/>
        </w:rPr>
        <w:t xml:space="preserve"> </w:t>
      </w:r>
      <w:r w:rsidR="00520AA8" w:rsidRPr="00391B86">
        <w:rPr>
          <w:rFonts w:ascii="Times New Roman" w:hAnsi="Times New Roman"/>
        </w:rPr>
        <w:t>exercise jurisdiction in the</w:t>
      </w:r>
      <w:r w:rsidR="000E305C" w:rsidRPr="00391B86">
        <w:rPr>
          <w:rFonts w:ascii="Times New Roman" w:hAnsi="Times New Roman"/>
        </w:rPr>
        <w:t xml:space="preserve"> transferred</w:t>
      </w:r>
      <w:r w:rsidR="00520AA8" w:rsidRPr="00391B86">
        <w:rPr>
          <w:rFonts w:ascii="Times New Roman" w:hAnsi="Times New Roman"/>
        </w:rPr>
        <w:t xml:space="preserve"> proceeding without </w:t>
      </w:r>
      <w:r w:rsidR="00CC4BC9" w:rsidRPr="00391B86">
        <w:rPr>
          <w:rFonts w:ascii="Times New Roman" w:hAnsi="Times New Roman"/>
        </w:rPr>
        <w:t xml:space="preserve">the transferee court </w:t>
      </w:r>
      <w:r w:rsidR="009B354C" w:rsidRPr="00391B86">
        <w:rPr>
          <w:rFonts w:ascii="Times New Roman" w:hAnsi="Times New Roman"/>
        </w:rPr>
        <w:t>needing</w:t>
      </w:r>
      <w:r w:rsidR="00520AA8" w:rsidRPr="00391B86">
        <w:rPr>
          <w:rFonts w:ascii="Times New Roman" w:hAnsi="Times New Roman"/>
        </w:rPr>
        <w:t xml:space="preserve"> to </w:t>
      </w:r>
      <w:r w:rsidR="00A542E8" w:rsidRPr="00391B86">
        <w:rPr>
          <w:rFonts w:ascii="Times New Roman" w:hAnsi="Times New Roman"/>
        </w:rPr>
        <w:t>ret</w:t>
      </w:r>
      <w:r w:rsidR="005F7E6C" w:rsidRPr="00391B86">
        <w:rPr>
          <w:rFonts w:ascii="Times New Roman" w:hAnsi="Times New Roman"/>
        </w:rPr>
        <w:t>ak</w:t>
      </w:r>
      <w:r w:rsidR="00A542E8" w:rsidRPr="00391B86">
        <w:rPr>
          <w:rFonts w:ascii="Times New Roman" w:hAnsi="Times New Roman"/>
        </w:rPr>
        <w:t>e steps</w:t>
      </w:r>
      <w:r w:rsidR="00C23FCF" w:rsidRPr="00391B86">
        <w:rPr>
          <w:rFonts w:ascii="Times New Roman" w:hAnsi="Times New Roman"/>
        </w:rPr>
        <w:t xml:space="preserve"> </w:t>
      </w:r>
      <w:r w:rsidR="00D43CE2" w:rsidRPr="00391B86">
        <w:rPr>
          <w:rFonts w:ascii="Times New Roman" w:hAnsi="Times New Roman"/>
        </w:rPr>
        <w:t xml:space="preserve">which have in fact been taken by the transferor court and </w:t>
      </w:r>
      <w:r w:rsidR="00C23FCF" w:rsidRPr="00391B86">
        <w:rPr>
          <w:rFonts w:ascii="Times New Roman" w:hAnsi="Times New Roman"/>
        </w:rPr>
        <w:t xml:space="preserve">which </w:t>
      </w:r>
      <w:r w:rsidR="00814DFC" w:rsidRPr="00391B86">
        <w:rPr>
          <w:rFonts w:ascii="Times New Roman" w:hAnsi="Times New Roman"/>
        </w:rPr>
        <w:t>the transferee court</w:t>
      </w:r>
      <w:r w:rsidR="00C23FCF" w:rsidRPr="00391B86">
        <w:rPr>
          <w:rFonts w:ascii="Times New Roman" w:hAnsi="Times New Roman"/>
        </w:rPr>
        <w:t xml:space="preserve"> might </w:t>
      </w:r>
      <w:r w:rsidR="00D43CE2" w:rsidRPr="00391B86">
        <w:rPr>
          <w:rFonts w:ascii="Times New Roman" w:hAnsi="Times New Roman"/>
        </w:rPr>
        <w:t xml:space="preserve">itself </w:t>
      </w:r>
      <w:r w:rsidR="00C23FCF" w:rsidRPr="00391B86">
        <w:rPr>
          <w:rFonts w:ascii="Times New Roman" w:hAnsi="Times New Roman"/>
        </w:rPr>
        <w:t>have</w:t>
      </w:r>
      <w:r w:rsidR="00A542E8" w:rsidRPr="00391B86">
        <w:rPr>
          <w:rFonts w:ascii="Times New Roman" w:hAnsi="Times New Roman"/>
        </w:rPr>
        <w:t xml:space="preserve"> taken </w:t>
      </w:r>
      <w:r w:rsidR="00C3651B" w:rsidRPr="00391B86">
        <w:rPr>
          <w:rFonts w:ascii="Times New Roman" w:hAnsi="Times New Roman"/>
        </w:rPr>
        <w:t>had the proceeding</w:t>
      </w:r>
      <w:r w:rsidR="00E92EF7" w:rsidRPr="00391B86">
        <w:rPr>
          <w:rFonts w:ascii="Times New Roman" w:hAnsi="Times New Roman"/>
        </w:rPr>
        <w:t xml:space="preserve"> in fact</w:t>
      </w:r>
      <w:r w:rsidR="00C3651B" w:rsidRPr="00391B86">
        <w:rPr>
          <w:rFonts w:ascii="Times New Roman" w:hAnsi="Times New Roman"/>
        </w:rPr>
        <w:t xml:space="preserve"> been </w:t>
      </w:r>
      <w:r w:rsidR="00E92EF7" w:rsidRPr="00391B86">
        <w:rPr>
          <w:rFonts w:ascii="Times New Roman" w:hAnsi="Times New Roman"/>
        </w:rPr>
        <w:t>instituted</w:t>
      </w:r>
      <w:r w:rsidR="00C3651B" w:rsidRPr="00391B86">
        <w:rPr>
          <w:rFonts w:ascii="Times New Roman" w:hAnsi="Times New Roman"/>
        </w:rPr>
        <w:t xml:space="preserve"> </w:t>
      </w:r>
      <w:r w:rsidR="00FD761B" w:rsidRPr="00391B86">
        <w:rPr>
          <w:rFonts w:ascii="Times New Roman" w:hAnsi="Times New Roman"/>
        </w:rPr>
        <w:t xml:space="preserve">in </w:t>
      </w:r>
      <w:r w:rsidR="00814DFC" w:rsidRPr="00391B86">
        <w:rPr>
          <w:rFonts w:ascii="Times New Roman" w:hAnsi="Times New Roman"/>
        </w:rPr>
        <w:t>the transferee court</w:t>
      </w:r>
      <w:r w:rsidR="00D43CE2" w:rsidRPr="00391B86">
        <w:rPr>
          <w:rFonts w:ascii="Times New Roman" w:hAnsi="Times New Roman"/>
        </w:rPr>
        <w:t>.</w:t>
      </w:r>
    </w:p>
    <w:p w14:paraId="098EAA38" w14:textId="7E71DB09" w:rsidR="00B2053C" w:rsidRPr="00391B86" w:rsidRDefault="00DA009B"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25196E" w:rsidRPr="00391B86">
        <w:rPr>
          <w:rFonts w:ascii="Times New Roman" w:hAnsi="Times New Roman"/>
        </w:rPr>
        <w:t xml:space="preserve">The acknowledgement in </w:t>
      </w:r>
      <w:r w:rsidR="00050810" w:rsidRPr="00391B86">
        <w:rPr>
          <w:rFonts w:ascii="Times New Roman" w:hAnsi="Times New Roman"/>
        </w:rPr>
        <w:t>s</w:t>
      </w:r>
      <w:r w:rsidR="00395FBA" w:rsidRPr="00391B86">
        <w:rPr>
          <w:rFonts w:ascii="Times New Roman" w:hAnsi="Times New Roman"/>
        </w:rPr>
        <w:t> </w:t>
      </w:r>
      <w:r w:rsidR="00050810" w:rsidRPr="00391B86">
        <w:rPr>
          <w:rFonts w:ascii="Times New Roman" w:hAnsi="Times New Roman"/>
        </w:rPr>
        <w:t xml:space="preserve">1337P(2) that </w:t>
      </w:r>
      <w:r w:rsidR="0025196E" w:rsidRPr="00391B86">
        <w:rPr>
          <w:rFonts w:ascii="Times New Roman" w:hAnsi="Times New Roman"/>
        </w:rPr>
        <w:t xml:space="preserve">steps in fact taken in the transferor court </w:t>
      </w:r>
      <w:r w:rsidR="003B2728" w:rsidRPr="00391B86">
        <w:rPr>
          <w:rFonts w:ascii="Times New Roman" w:hAnsi="Times New Roman"/>
        </w:rPr>
        <w:t xml:space="preserve">need </w:t>
      </w:r>
      <w:r w:rsidR="00914F01" w:rsidRPr="00391B86">
        <w:rPr>
          <w:rFonts w:ascii="Times New Roman" w:hAnsi="Times New Roman"/>
        </w:rPr>
        <w:t xml:space="preserve">not be </w:t>
      </w:r>
      <w:r w:rsidR="00CB1C1F" w:rsidRPr="00391B86">
        <w:rPr>
          <w:rFonts w:ascii="Times New Roman" w:hAnsi="Times New Roman"/>
        </w:rPr>
        <w:t>treated as</w:t>
      </w:r>
      <w:r w:rsidR="003B2728" w:rsidRPr="00391B86">
        <w:rPr>
          <w:rFonts w:ascii="Times New Roman" w:hAnsi="Times New Roman"/>
        </w:rPr>
        <w:t xml:space="preserve"> the same </w:t>
      </w:r>
      <w:r w:rsidR="0025196E" w:rsidRPr="00391B86">
        <w:rPr>
          <w:rFonts w:ascii="Times New Roman" w:hAnsi="Times New Roman"/>
        </w:rPr>
        <w:t xml:space="preserve">steps </w:t>
      </w:r>
      <w:r w:rsidR="003B2728" w:rsidRPr="00391B86">
        <w:rPr>
          <w:rFonts w:ascii="Times New Roman" w:hAnsi="Times New Roman"/>
        </w:rPr>
        <w:t xml:space="preserve">but </w:t>
      </w:r>
      <w:r w:rsidR="00914F01" w:rsidRPr="00391B86">
        <w:rPr>
          <w:rFonts w:ascii="Times New Roman" w:hAnsi="Times New Roman"/>
        </w:rPr>
        <w:t xml:space="preserve">can be </w:t>
      </w:r>
      <w:r w:rsidR="00395A19" w:rsidRPr="00391B86">
        <w:rPr>
          <w:rFonts w:ascii="Times New Roman" w:hAnsi="Times New Roman"/>
        </w:rPr>
        <w:t>t</w:t>
      </w:r>
      <w:r w:rsidR="00CB1C1F" w:rsidRPr="00391B86">
        <w:rPr>
          <w:rFonts w:ascii="Times New Roman" w:hAnsi="Times New Roman"/>
        </w:rPr>
        <w:t>reated as</w:t>
      </w:r>
      <w:r w:rsidR="0025196E" w:rsidRPr="00391B86">
        <w:rPr>
          <w:rFonts w:ascii="Times New Roman" w:hAnsi="Times New Roman"/>
        </w:rPr>
        <w:t xml:space="preserve"> </w:t>
      </w:r>
      <w:r w:rsidR="003B2728" w:rsidRPr="00391B86">
        <w:rPr>
          <w:rFonts w:ascii="Times New Roman" w:hAnsi="Times New Roman"/>
        </w:rPr>
        <w:t>"</w:t>
      </w:r>
      <w:r w:rsidR="0025196E" w:rsidRPr="00391B86">
        <w:rPr>
          <w:rFonts w:ascii="Times New Roman" w:hAnsi="Times New Roman"/>
        </w:rPr>
        <w:t>similar steps</w:t>
      </w:r>
      <w:r w:rsidR="003B2728" w:rsidRPr="00391B86">
        <w:rPr>
          <w:rFonts w:ascii="Times New Roman" w:hAnsi="Times New Roman"/>
        </w:rPr>
        <w:t>"</w:t>
      </w:r>
      <w:r w:rsidR="0025196E" w:rsidRPr="00391B86">
        <w:rPr>
          <w:rFonts w:ascii="Times New Roman" w:hAnsi="Times New Roman"/>
        </w:rPr>
        <w:t xml:space="preserve"> taken in the transferee court</w:t>
      </w:r>
      <w:r w:rsidR="002C3717" w:rsidRPr="00391B86">
        <w:rPr>
          <w:rFonts w:ascii="Times New Roman" w:hAnsi="Times New Roman"/>
        </w:rPr>
        <w:t xml:space="preserve"> i</w:t>
      </w:r>
      <w:r w:rsidR="005C41FD" w:rsidRPr="00391B86">
        <w:rPr>
          <w:rFonts w:ascii="Times New Roman" w:hAnsi="Times New Roman"/>
        </w:rPr>
        <w:t>ndicates</w:t>
      </w:r>
      <w:r w:rsidR="002C3717" w:rsidRPr="00391B86">
        <w:rPr>
          <w:rFonts w:ascii="Times New Roman" w:hAnsi="Times New Roman"/>
        </w:rPr>
        <w:t xml:space="preserve"> that </w:t>
      </w:r>
      <w:r w:rsidR="002C1041" w:rsidRPr="00391B86">
        <w:rPr>
          <w:rFonts w:ascii="Times New Roman" w:hAnsi="Times New Roman"/>
        </w:rPr>
        <w:t>an order made</w:t>
      </w:r>
      <w:r w:rsidR="003C675E" w:rsidRPr="00391B86">
        <w:rPr>
          <w:rFonts w:ascii="Times New Roman" w:hAnsi="Times New Roman"/>
        </w:rPr>
        <w:t xml:space="preserve"> </w:t>
      </w:r>
      <w:r w:rsidR="00754DC3" w:rsidRPr="00391B86">
        <w:rPr>
          <w:rFonts w:ascii="Times New Roman" w:hAnsi="Times New Roman"/>
        </w:rPr>
        <w:t xml:space="preserve">by the transferor court </w:t>
      </w:r>
      <w:r w:rsidR="000D78BE" w:rsidRPr="00391B86">
        <w:rPr>
          <w:rFonts w:ascii="Times New Roman" w:hAnsi="Times New Roman"/>
        </w:rPr>
        <w:t xml:space="preserve">that </w:t>
      </w:r>
      <w:r w:rsidR="002C1041" w:rsidRPr="00391B86">
        <w:rPr>
          <w:rFonts w:ascii="Times New Roman" w:hAnsi="Times New Roman"/>
        </w:rPr>
        <w:t>is</w:t>
      </w:r>
      <w:r w:rsidR="000D78BE" w:rsidRPr="00391B86">
        <w:rPr>
          <w:rFonts w:ascii="Times New Roman" w:hAnsi="Times New Roman"/>
        </w:rPr>
        <w:t xml:space="preserve"> to </w:t>
      </w:r>
      <w:r w:rsidR="00CB1C1F" w:rsidRPr="00391B86">
        <w:rPr>
          <w:rFonts w:ascii="Times New Roman" w:hAnsi="Times New Roman"/>
        </w:rPr>
        <w:t xml:space="preserve">be treated as </w:t>
      </w:r>
      <w:r w:rsidR="005F7E6C" w:rsidRPr="00391B86">
        <w:rPr>
          <w:rFonts w:ascii="Times New Roman" w:hAnsi="Times New Roman"/>
        </w:rPr>
        <w:t>if it had</w:t>
      </w:r>
      <w:r w:rsidR="000D78BE" w:rsidRPr="00391B86">
        <w:rPr>
          <w:rFonts w:ascii="Times New Roman" w:hAnsi="Times New Roman"/>
        </w:rPr>
        <w:t xml:space="preserve"> been </w:t>
      </w:r>
      <w:r w:rsidR="002C1041" w:rsidRPr="00391B86">
        <w:rPr>
          <w:rFonts w:ascii="Times New Roman" w:hAnsi="Times New Roman"/>
        </w:rPr>
        <w:t>made</w:t>
      </w:r>
      <w:r w:rsidR="000D78BE" w:rsidRPr="00391B86">
        <w:rPr>
          <w:rFonts w:ascii="Times New Roman" w:hAnsi="Times New Roman"/>
        </w:rPr>
        <w:t xml:space="preserve"> by the </w:t>
      </w:r>
      <w:r w:rsidR="00B90E2A" w:rsidRPr="00391B86">
        <w:rPr>
          <w:rFonts w:ascii="Times New Roman" w:hAnsi="Times New Roman"/>
        </w:rPr>
        <w:t xml:space="preserve">transferee court </w:t>
      </w:r>
      <w:r w:rsidR="00754DC3" w:rsidRPr="00391B86">
        <w:rPr>
          <w:rFonts w:ascii="Times New Roman" w:hAnsi="Times New Roman"/>
        </w:rPr>
        <w:t xml:space="preserve">need not be </w:t>
      </w:r>
      <w:r w:rsidR="00AF3AC7" w:rsidRPr="00391B86">
        <w:rPr>
          <w:rFonts w:ascii="Times New Roman" w:hAnsi="Times New Roman"/>
        </w:rPr>
        <w:t xml:space="preserve">identical to </w:t>
      </w:r>
      <w:r w:rsidR="002C1041" w:rsidRPr="00391B86">
        <w:rPr>
          <w:rFonts w:ascii="Times New Roman" w:hAnsi="Times New Roman"/>
        </w:rPr>
        <w:t>an order</w:t>
      </w:r>
      <w:r w:rsidR="00B90E2A" w:rsidRPr="00391B86">
        <w:rPr>
          <w:rFonts w:ascii="Times New Roman" w:hAnsi="Times New Roman"/>
        </w:rPr>
        <w:t xml:space="preserve"> the transferee court</w:t>
      </w:r>
      <w:r w:rsidR="0041734F" w:rsidRPr="00391B86">
        <w:rPr>
          <w:rFonts w:ascii="Times New Roman" w:hAnsi="Times New Roman"/>
        </w:rPr>
        <w:t xml:space="preserve"> could</w:t>
      </w:r>
      <w:r w:rsidR="00B90E2A" w:rsidRPr="00391B86">
        <w:rPr>
          <w:rFonts w:ascii="Times New Roman" w:hAnsi="Times New Roman"/>
        </w:rPr>
        <w:t xml:space="preserve"> have </w:t>
      </w:r>
      <w:r w:rsidR="002C1041" w:rsidRPr="00391B86">
        <w:rPr>
          <w:rFonts w:ascii="Times New Roman" w:hAnsi="Times New Roman"/>
        </w:rPr>
        <w:t>made</w:t>
      </w:r>
      <w:r w:rsidR="00B90E2A" w:rsidRPr="00391B86">
        <w:rPr>
          <w:rFonts w:ascii="Times New Roman" w:hAnsi="Times New Roman"/>
        </w:rPr>
        <w:t xml:space="preserve"> had the </w:t>
      </w:r>
      <w:r w:rsidR="006C0B1E" w:rsidRPr="00391B86">
        <w:rPr>
          <w:rFonts w:ascii="Times New Roman" w:hAnsi="Times New Roman"/>
        </w:rPr>
        <w:t xml:space="preserve">transferred </w:t>
      </w:r>
      <w:r w:rsidR="00B90E2A" w:rsidRPr="00391B86">
        <w:rPr>
          <w:rFonts w:ascii="Times New Roman" w:hAnsi="Times New Roman"/>
        </w:rPr>
        <w:t xml:space="preserve">proceeding </w:t>
      </w:r>
      <w:r w:rsidR="006C0B1E" w:rsidRPr="00391B86">
        <w:rPr>
          <w:rFonts w:ascii="Times New Roman" w:hAnsi="Times New Roman"/>
        </w:rPr>
        <w:t xml:space="preserve">in fact </w:t>
      </w:r>
      <w:r w:rsidR="00B90E2A" w:rsidRPr="00391B86">
        <w:rPr>
          <w:rFonts w:ascii="Times New Roman" w:hAnsi="Times New Roman"/>
        </w:rPr>
        <w:t xml:space="preserve">been </w:t>
      </w:r>
      <w:r w:rsidR="00914F01" w:rsidRPr="00391B86">
        <w:rPr>
          <w:rFonts w:ascii="Times New Roman" w:hAnsi="Times New Roman"/>
        </w:rPr>
        <w:t>instituted</w:t>
      </w:r>
      <w:r w:rsidR="00B90E2A" w:rsidRPr="00391B86">
        <w:rPr>
          <w:rFonts w:ascii="Times New Roman" w:hAnsi="Times New Roman"/>
        </w:rPr>
        <w:t xml:space="preserve"> in the transferee court</w:t>
      </w:r>
      <w:r w:rsidR="00232018" w:rsidRPr="00391B86">
        <w:rPr>
          <w:rFonts w:ascii="Times New Roman" w:hAnsi="Times New Roman"/>
        </w:rPr>
        <w:t>,</w:t>
      </w:r>
      <w:r w:rsidR="00B90E2A" w:rsidRPr="00391B86">
        <w:rPr>
          <w:rFonts w:ascii="Times New Roman" w:hAnsi="Times New Roman"/>
        </w:rPr>
        <w:t xml:space="preserve"> provided th</w:t>
      </w:r>
      <w:r w:rsidR="002C1041" w:rsidRPr="00391B86">
        <w:rPr>
          <w:rFonts w:ascii="Times New Roman" w:hAnsi="Times New Roman"/>
        </w:rPr>
        <w:t>at it is</w:t>
      </w:r>
      <w:r w:rsidR="00E50C51" w:rsidRPr="00391B86">
        <w:rPr>
          <w:rFonts w:ascii="Times New Roman" w:hAnsi="Times New Roman"/>
        </w:rPr>
        <w:t xml:space="preserve"> </w:t>
      </w:r>
      <w:r w:rsidR="00B90E2A" w:rsidRPr="00391B86">
        <w:rPr>
          <w:rFonts w:ascii="Times New Roman" w:hAnsi="Times New Roman"/>
        </w:rPr>
        <w:t xml:space="preserve">of </w:t>
      </w:r>
      <w:r w:rsidR="002C1041" w:rsidRPr="00391B86">
        <w:rPr>
          <w:rFonts w:ascii="Times New Roman" w:hAnsi="Times New Roman"/>
        </w:rPr>
        <w:t xml:space="preserve">a similar nature to </w:t>
      </w:r>
      <w:r w:rsidR="000A53F9" w:rsidRPr="00391B86">
        <w:rPr>
          <w:rFonts w:ascii="Times New Roman" w:hAnsi="Times New Roman"/>
        </w:rPr>
        <w:t xml:space="preserve">an order that </w:t>
      </w:r>
      <w:r w:rsidR="00E821A4" w:rsidRPr="00391B86">
        <w:rPr>
          <w:rFonts w:ascii="Times New Roman" w:hAnsi="Times New Roman"/>
        </w:rPr>
        <w:t xml:space="preserve">the transferee court could have </w:t>
      </w:r>
      <w:r w:rsidR="000767A0" w:rsidRPr="00391B86">
        <w:rPr>
          <w:rFonts w:ascii="Times New Roman" w:hAnsi="Times New Roman"/>
        </w:rPr>
        <w:t>made</w:t>
      </w:r>
      <w:r w:rsidR="00E821A4" w:rsidRPr="00391B86">
        <w:rPr>
          <w:rFonts w:ascii="Times New Roman" w:hAnsi="Times New Roman"/>
        </w:rPr>
        <w:t xml:space="preserve"> had the </w:t>
      </w:r>
      <w:r w:rsidR="000767A0" w:rsidRPr="00391B86">
        <w:rPr>
          <w:rFonts w:ascii="Times New Roman" w:hAnsi="Times New Roman"/>
        </w:rPr>
        <w:t xml:space="preserve">transferred </w:t>
      </w:r>
      <w:r w:rsidR="00E821A4" w:rsidRPr="00391B86">
        <w:rPr>
          <w:rFonts w:ascii="Times New Roman" w:hAnsi="Times New Roman"/>
        </w:rPr>
        <w:t xml:space="preserve">proceeding been </w:t>
      </w:r>
      <w:r w:rsidR="000A53F9" w:rsidRPr="00391B86">
        <w:rPr>
          <w:rFonts w:ascii="Times New Roman" w:hAnsi="Times New Roman"/>
        </w:rPr>
        <w:t xml:space="preserve">so </w:t>
      </w:r>
      <w:r w:rsidR="00914F01" w:rsidRPr="00391B86">
        <w:rPr>
          <w:rFonts w:ascii="Times New Roman" w:hAnsi="Times New Roman"/>
        </w:rPr>
        <w:t>instituted</w:t>
      </w:r>
      <w:r w:rsidR="000A53F9" w:rsidRPr="00391B86">
        <w:rPr>
          <w:rFonts w:ascii="Times New Roman" w:hAnsi="Times New Roman"/>
        </w:rPr>
        <w:t xml:space="preserve">. </w:t>
      </w:r>
    </w:p>
    <w:p w14:paraId="1F166F75" w14:textId="508B31E7" w:rsidR="00F53B50" w:rsidRPr="00391B86" w:rsidRDefault="00B2053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A1614C" w:rsidRPr="00391B86">
        <w:rPr>
          <w:rFonts w:ascii="Times New Roman" w:hAnsi="Times New Roman"/>
        </w:rPr>
        <w:t>Importantly, t</w:t>
      </w:r>
      <w:r w:rsidR="00A95E63" w:rsidRPr="00391B86">
        <w:rPr>
          <w:rFonts w:ascii="Times New Roman" w:hAnsi="Times New Roman"/>
        </w:rPr>
        <w:t xml:space="preserve">he </w:t>
      </w:r>
      <w:r w:rsidR="00232CCE" w:rsidRPr="00391B86">
        <w:rPr>
          <w:rFonts w:ascii="Times New Roman" w:hAnsi="Times New Roman"/>
        </w:rPr>
        <w:t>same</w:t>
      </w:r>
      <w:r w:rsidR="0013024A" w:rsidRPr="00391B86">
        <w:rPr>
          <w:rFonts w:ascii="Times New Roman" w:hAnsi="Times New Roman"/>
        </w:rPr>
        <w:t xml:space="preserve"> acknowledgement</w:t>
      </w:r>
      <w:r w:rsidR="00890DC2" w:rsidRPr="00391B86">
        <w:rPr>
          <w:rFonts w:ascii="Times New Roman" w:hAnsi="Times New Roman"/>
        </w:rPr>
        <w:t xml:space="preserve"> </w:t>
      </w:r>
      <w:r w:rsidRPr="00391B86">
        <w:rPr>
          <w:rFonts w:ascii="Times New Roman" w:hAnsi="Times New Roman"/>
        </w:rPr>
        <w:t>in s</w:t>
      </w:r>
      <w:r w:rsidR="00395FBA" w:rsidRPr="00391B86">
        <w:rPr>
          <w:rFonts w:ascii="Times New Roman" w:hAnsi="Times New Roman"/>
        </w:rPr>
        <w:t> </w:t>
      </w:r>
      <w:r w:rsidRPr="00391B86">
        <w:rPr>
          <w:rFonts w:ascii="Times New Roman" w:hAnsi="Times New Roman"/>
        </w:rPr>
        <w:t>1337</w:t>
      </w:r>
      <w:proofErr w:type="gramStart"/>
      <w:r w:rsidRPr="00391B86">
        <w:rPr>
          <w:rFonts w:ascii="Times New Roman" w:hAnsi="Times New Roman"/>
        </w:rPr>
        <w:t>P(</w:t>
      </w:r>
      <w:proofErr w:type="gramEnd"/>
      <w:r w:rsidRPr="00391B86">
        <w:rPr>
          <w:rFonts w:ascii="Times New Roman" w:hAnsi="Times New Roman"/>
        </w:rPr>
        <w:t>2)</w:t>
      </w:r>
      <w:r w:rsidR="00890DC2" w:rsidRPr="00391B86">
        <w:rPr>
          <w:rFonts w:ascii="Times New Roman" w:hAnsi="Times New Roman"/>
        </w:rPr>
        <w:t xml:space="preserve"> </w:t>
      </w:r>
      <w:r w:rsidR="00D91011" w:rsidRPr="00391B86">
        <w:rPr>
          <w:rFonts w:ascii="Times New Roman" w:hAnsi="Times New Roman"/>
        </w:rPr>
        <w:t xml:space="preserve">also </w:t>
      </w:r>
      <w:r w:rsidR="00890DC2" w:rsidRPr="00391B86">
        <w:rPr>
          <w:rFonts w:ascii="Times New Roman" w:hAnsi="Times New Roman"/>
        </w:rPr>
        <w:t xml:space="preserve">indicates that an order made by the transferor court </w:t>
      </w:r>
      <w:r w:rsidR="00FE4BBE" w:rsidRPr="00391B86">
        <w:rPr>
          <w:rFonts w:ascii="Times New Roman" w:hAnsi="Times New Roman"/>
        </w:rPr>
        <w:t>which</w:t>
      </w:r>
      <w:r w:rsidR="00890DC2" w:rsidRPr="00391B86">
        <w:rPr>
          <w:rFonts w:ascii="Times New Roman" w:hAnsi="Times New Roman"/>
        </w:rPr>
        <w:t xml:space="preserve"> is not </w:t>
      </w:r>
      <w:r w:rsidR="00117E45" w:rsidRPr="00391B86">
        <w:rPr>
          <w:rFonts w:ascii="Times New Roman" w:hAnsi="Times New Roman"/>
        </w:rPr>
        <w:t>of a</w:t>
      </w:r>
      <w:r w:rsidR="00914F01" w:rsidRPr="00391B86">
        <w:rPr>
          <w:rFonts w:ascii="Times New Roman" w:hAnsi="Times New Roman"/>
        </w:rPr>
        <w:t xml:space="preserve"> </w:t>
      </w:r>
      <w:r w:rsidR="00890DC2" w:rsidRPr="00391B86">
        <w:rPr>
          <w:rFonts w:ascii="Times New Roman" w:hAnsi="Times New Roman"/>
        </w:rPr>
        <w:t xml:space="preserve">nature </w:t>
      </w:r>
      <w:r w:rsidR="00117E45" w:rsidRPr="00391B86">
        <w:rPr>
          <w:rFonts w:ascii="Times New Roman" w:hAnsi="Times New Roman"/>
        </w:rPr>
        <w:t xml:space="preserve">similar </w:t>
      </w:r>
      <w:r w:rsidR="00890DC2" w:rsidRPr="00391B86">
        <w:rPr>
          <w:rFonts w:ascii="Times New Roman" w:hAnsi="Times New Roman"/>
        </w:rPr>
        <w:t xml:space="preserve">to an order the transferee court could have </w:t>
      </w:r>
      <w:r w:rsidR="00FB4C79" w:rsidRPr="00391B86">
        <w:rPr>
          <w:rFonts w:ascii="Times New Roman" w:hAnsi="Times New Roman"/>
        </w:rPr>
        <w:t>made</w:t>
      </w:r>
      <w:r w:rsidR="00890DC2" w:rsidRPr="00391B86">
        <w:rPr>
          <w:rFonts w:ascii="Times New Roman" w:hAnsi="Times New Roman"/>
        </w:rPr>
        <w:t xml:space="preserve"> had the proceeding been so </w:t>
      </w:r>
      <w:r w:rsidR="00914F01" w:rsidRPr="00391B86">
        <w:rPr>
          <w:rFonts w:ascii="Times New Roman" w:hAnsi="Times New Roman"/>
        </w:rPr>
        <w:t>instituted</w:t>
      </w:r>
      <w:r w:rsidR="00890DC2" w:rsidRPr="00391B86">
        <w:rPr>
          <w:rFonts w:ascii="Times New Roman" w:hAnsi="Times New Roman"/>
        </w:rPr>
        <w:t xml:space="preserve"> </w:t>
      </w:r>
      <w:r w:rsidR="00FE4BBE" w:rsidRPr="00391B86">
        <w:rPr>
          <w:rFonts w:ascii="Times New Roman" w:hAnsi="Times New Roman"/>
        </w:rPr>
        <w:t>can</w:t>
      </w:r>
      <w:r w:rsidR="00995217" w:rsidRPr="00391B86">
        <w:rPr>
          <w:rFonts w:ascii="Times New Roman" w:hAnsi="Times New Roman"/>
        </w:rPr>
        <w:t xml:space="preserve">not </w:t>
      </w:r>
      <w:r w:rsidR="00FE4BBE" w:rsidRPr="00391B86">
        <w:rPr>
          <w:rFonts w:ascii="Times New Roman" w:hAnsi="Times New Roman"/>
        </w:rPr>
        <w:t xml:space="preserve">be </w:t>
      </w:r>
      <w:r w:rsidR="00A1614C" w:rsidRPr="00391B86">
        <w:rPr>
          <w:rFonts w:ascii="Times New Roman" w:hAnsi="Times New Roman"/>
        </w:rPr>
        <w:t>the subject of the fiction created by the provision</w:t>
      </w:r>
      <w:r w:rsidR="004700C8" w:rsidRPr="00391B86">
        <w:rPr>
          <w:rFonts w:ascii="Times New Roman" w:hAnsi="Times New Roman"/>
        </w:rPr>
        <w:t>.</w:t>
      </w:r>
    </w:p>
    <w:p w14:paraId="523EA662" w14:textId="740163F4" w:rsidR="0067194F" w:rsidRPr="00391B86" w:rsidRDefault="0067194F"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7423DD" w:rsidRPr="00391B86">
        <w:rPr>
          <w:rFonts w:ascii="Times New Roman" w:hAnsi="Times New Roman"/>
        </w:rPr>
        <w:t xml:space="preserve">What </w:t>
      </w:r>
      <w:r w:rsidR="001F7AF8" w:rsidRPr="00391B86">
        <w:rPr>
          <w:rFonts w:ascii="Times New Roman" w:hAnsi="Times New Roman"/>
        </w:rPr>
        <w:t>KPMG</w:t>
      </w:r>
      <w:r w:rsidR="007423DD" w:rsidRPr="00391B86">
        <w:rPr>
          <w:rFonts w:ascii="Times New Roman" w:hAnsi="Times New Roman"/>
        </w:rPr>
        <w:t xml:space="preserve"> and the </w:t>
      </w:r>
      <w:r w:rsidR="00837550" w:rsidRPr="00391B86">
        <w:rPr>
          <w:rFonts w:ascii="Times New Roman" w:hAnsi="Times New Roman"/>
        </w:rPr>
        <w:t>Attorney-General urge</w:t>
      </w:r>
      <w:r w:rsidR="000272E2" w:rsidRPr="00391B86">
        <w:rPr>
          <w:rFonts w:ascii="Times New Roman" w:hAnsi="Times New Roman"/>
        </w:rPr>
        <w:t>d</w:t>
      </w:r>
      <w:r w:rsidR="00837550" w:rsidRPr="00391B86">
        <w:rPr>
          <w:rFonts w:ascii="Times New Roman" w:hAnsi="Times New Roman"/>
        </w:rPr>
        <w:t xml:space="preserve"> to be the </w:t>
      </w:r>
      <w:r w:rsidR="00776A5F" w:rsidRPr="00391B86">
        <w:rPr>
          <w:rFonts w:ascii="Times New Roman" w:hAnsi="Times New Roman"/>
        </w:rPr>
        <w:t>"</w:t>
      </w:r>
      <w:r w:rsidR="00C305F5" w:rsidRPr="00391B86">
        <w:rPr>
          <w:rFonts w:ascii="Times New Roman" w:hAnsi="Times New Roman"/>
        </w:rPr>
        <w:t>plain meaning</w:t>
      </w:r>
      <w:r w:rsidR="00776A5F" w:rsidRPr="00391B86">
        <w:rPr>
          <w:rFonts w:ascii="Times New Roman" w:hAnsi="Times New Roman"/>
        </w:rPr>
        <w:t>" of s</w:t>
      </w:r>
      <w:r w:rsidR="00395FBA" w:rsidRPr="00391B86">
        <w:rPr>
          <w:rFonts w:ascii="Times New Roman" w:hAnsi="Times New Roman"/>
        </w:rPr>
        <w:t> </w:t>
      </w:r>
      <w:r w:rsidR="00776A5F" w:rsidRPr="00391B86">
        <w:rPr>
          <w:rFonts w:ascii="Times New Roman" w:hAnsi="Times New Roman"/>
        </w:rPr>
        <w:t>1337</w:t>
      </w:r>
      <w:proofErr w:type="gramStart"/>
      <w:r w:rsidR="00776A5F" w:rsidRPr="00391B86">
        <w:rPr>
          <w:rFonts w:ascii="Times New Roman" w:hAnsi="Times New Roman"/>
        </w:rPr>
        <w:t>P(</w:t>
      </w:r>
      <w:proofErr w:type="gramEnd"/>
      <w:r w:rsidR="00776A5F" w:rsidRPr="00391B86">
        <w:rPr>
          <w:rFonts w:ascii="Times New Roman" w:hAnsi="Times New Roman"/>
        </w:rPr>
        <w:t xml:space="preserve">2) </w:t>
      </w:r>
      <w:r w:rsidR="003619D4" w:rsidRPr="00391B86">
        <w:rPr>
          <w:rFonts w:ascii="Times New Roman" w:hAnsi="Times New Roman"/>
        </w:rPr>
        <w:t>–</w:t>
      </w:r>
      <w:r w:rsidR="004F6AED" w:rsidRPr="00391B86">
        <w:rPr>
          <w:rFonts w:ascii="Times New Roman" w:hAnsi="Times New Roman"/>
        </w:rPr>
        <w:t xml:space="preserve"> taking its reference to "the steps taken" to mean "all steps taken" </w:t>
      </w:r>
      <w:r w:rsidR="00201DA0" w:rsidRPr="00391B86">
        <w:rPr>
          <w:rFonts w:ascii="Times New Roman" w:hAnsi="Times New Roman"/>
        </w:rPr>
        <w:t>–</w:t>
      </w:r>
      <w:r w:rsidR="00EE0B6E" w:rsidRPr="00391B86">
        <w:rPr>
          <w:rFonts w:ascii="Times New Roman" w:hAnsi="Times New Roman"/>
        </w:rPr>
        <w:t xml:space="preserve"> </w:t>
      </w:r>
      <w:r w:rsidR="00EE0B6E" w:rsidRPr="00391B86">
        <w:rPr>
          <w:rFonts w:ascii="Times New Roman" w:hAnsi="Times New Roman"/>
        </w:rPr>
        <w:lastRenderedPageBreak/>
        <w:t xml:space="preserve">fails </w:t>
      </w:r>
      <w:r w:rsidR="009D7037" w:rsidRPr="00391B86">
        <w:rPr>
          <w:rFonts w:ascii="Times New Roman" w:hAnsi="Times New Roman"/>
        </w:rPr>
        <w:t xml:space="preserve">adequately </w:t>
      </w:r>
      <w:r w:rsidR="00EE0B6E" w:rsidRPr="00391B86">
        <w:rPr>
          <w:rFonts w:ascii="Times New Roman" w:hAnsi="Times New Roman"/>
        </w:rPr>
        <w:t>to</w:t>
      </w:r>
      <w:r w:rsidR="002F2594" w:rsidRPr="00391B86">
        <w:rPr>
          <w:rFonts w:ascii="Times New Roman" w:hAnsi="Times New Roman"/>
        </w:rPr>
        <w:t xml:space="preserve"> </w:t>
      </w:r>
      <w:r w:rsidR="009D7037" w:rsidRPr="00391B86">
        <w:rPr>
          <w:rFonts w:ascii="Times New Roman" w:hAnsi="Times New Roman"/>
        </w:rPr>
        <w:t>account for that textual indication</w:t>
      </w:r>
      <w:r w:rsidR="00201DA0" w:rsidRPr="00391B86">
        <w:rPr>
          <w:rFonts w:ascii="Times New Roman" w:hAnsi="Times New Roman"/>
        </w:rPr>
        <w:t xml:space="preserve"> as to the limits of the fiction it creates</w:t>
      </w:r>
      <w:r w:rsidR="009D7037" w:rsidRPr="00391B86">
        <w:rPr>
          <w:rFonts w:ascii="Times New Roman" w:hAnsi="Times New Roman"/>
        </w:rPr>
        <w:t>. As the Court of Appeal observed, "[</w:t>
      </w:r>
      <w:proofErr w:type="spellStart"/>
      <w:r w:rsidR="009D7037" w:rsidRPr="00391B86">
        <w:rPr>
          <w:rFonts w:ascii="Times New Roman" w:hAnsi="Times New Roman"/>
        </w:rPr>
        <w:t>i</w:t>
      </w:r>
      <w:proofErr w:type="spellEnd"/>
      <w:r w:rsidR="009D7037" w:rsidRPr="00391B86">
        <w:rPr>
          <w:rFonts w:ascii="Times New Roman" w:hAnsi="Times New Roman"/>
        </w:rPr>
        <w:t xml:space="preserve">]f </w:t>
      </w:r>
      <w:r w:rsidR="00DB0431" w:rsidRPr="00391B86">
        <w:rPr>
          <w:rFonts w:ascii="Times New Roman" w:hAnsi="Times New Roman"/>
        </w:rPr>
        <w:t>every step that had been taken in one court is required to be treated as a step taken in the second court, there would be no need to refer to the notion of similar steps"</w:t>
      </w:r>
      <w:r w:rsidR="005F0211" w:rsidRPr="00391B86">
        <w:rPr>
          <w:rFonts w:ascii="Times New Roman" w:hAnsi="Times New Roman"/>
        </w:rPr>
        <w:t>.</w:t>
      </w:r>
      <w:r w:rsidR="00DB0431" w:rsidRPr="00391B86">
        <w:rPr>
          <w:rStyle w:val="FootnoteReference"/>
          <w:rFonts w:ascii="Times New Roman" w:hAnsi="Times New Roman"/>
          <w:sz w:val="24"/>
        </w:rPr>
        <w:footnoteReference w:id="34"/>
      </w:r>
      <w:r w:rsidR="009D7037" w:rsidRPr="00391B86">
        <w:rPr>
          <w:rFonts w:ascii="Times New Roman" w:hAnsi="Times New Roman"/>
        </w:rPr>
        <w:t xml:space="preserve"> </w:t>
      </w:r>
      <w:r w:rsidR="00EE0B6E" w:rsidRPr="00391B86">
        <w:rPr>
          <w:rFonts w:ascii="Times New Roman" w:hAnsi="Times New Roman"/>
        </w:rPr>
        <w:t xml:space="preserve"> </w:t>
      </w:r>
    </w:p>
    <w:p w14:paraId="0C779671" w14:textId="5FD1C570" w:rsidR="00C333E3" w:rsidRPr="00391B86" w:rsidRDefault="009C2695"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FC7A94" w:rsidRPr="00391B86">
        <w:rPr>
          <w:rFonts w:ascii="Times New Roman" w:hAnsi="Times New Roman"/>
        </w:rPr>
        <w:t>Reliance on the</w:t>
      </w:r>
      <w:r w:rsidR="00FA193F" w:rsidRPr="00391B86">
        <w:rPr>
          <w:rFonts w:ascii="Times New Roman" w:hAnsi="Times New Roman"/>
        </w:rPr>
        <w:t xml:space="preserve"> so-called </w:t>
      </w:r>
      <w:r w:rsidR="00173FFD" w:rsidRPr="00391B86">
        <w:rPr>
          <w:rFonts w:ascii="Times New Roman" w:hAnsi="Times New Roman"/>
        </w:rPr>
        <w:t>"plain meaning"</w:t>
      </w:r>
      <w:r w:rsidR="00F57368" w:rsidRPr="00391B86">
        <w:rPr>
          <w:rFonts w:ascii="Times New Roman" w:hAnsi="Times New Roman"/>
        </w:rPr>
        <w:t xml:space="preserve">, moreover, </w:t>
      </w:r>
      <w:r w:rsidR="005F7E6C" w:rsidRPr="00391B86">
        <w:rPr>
          <w:rFonts w:ascii="Times New Roman" w:hAnsi="Times New Roman"/>
        </w:rPr>
        <w:t xml:space="preserve">would </w:t>
      </w:r>
      <w:r w:rsidR="00201DA0" w:rsidRPr="00391B86">
        <w:rPr>
          <w:rFonts w:ascii="Times New Roman" w:hAnsi="Times New Roman"/>
        </w:rPr>
        <w:t>lead to</w:t>
      </w:r>
      <w:r w:rsidR="00603B0D" w:rsidRPr="00391B86">
        <w:rPr>
          <w:rFonts w:ascii="Times New Roman" w:hAnsi="Times New Roman"/>
        </w:rPr>
        <w:t xml:space="preserve"> a contradiction between the </w:t>
      </w:r>
      <w:r w:rsidR="006E1385" w:rsidRPr="00391B86">
        <w:rPr>
          <w:rFonts w:ascii="Times New Roman" w:hAnsi="Times New Roman"/>
        </w:rPr>
        <w:t>fiction created by</w:t>
      </w:r>
      <w:r w:rsidR="00FA193F" w:rsidRPr="00391B86">
        <w:rPr>
          <w:rFonts w:ascii="Times New Roman" w:hAnsi="Times New Roman"/>
        </w:rPr>
        <w:t xml:space="preserve"> s</w:t>
      </w:r>
      <w:r w:rsidR="00395FBA" w:rsidRPr="00391B86">
        <w:rPr>
          <w:rFonts w:ascii="Times New Roman" w:hAnsi="Times New Roman"/>
        </w:rPr>
        <w:t> </w:t>
      </w:r>
      <w:r w:rsidR="00FA193F" w:rsidRPr="00391B86">
        <w:rPr>
          <w:rFonts w:ascii="Times New Roman" w:hAnsi="Times New Roman"/>
        </w:rPr>
        <w:t>1337</w:t>
      </w:r>
      <w:proofErr w:type="gramStart"/>
      <w:r w:rsidR="00FA193F" w:rsidRPr="00391B86">
        <w:rPr>
          <w:rFonts w:ascii="Times New Roman" w:hAnsi="Times New Roman"/>
        </w:rPr>
        <w:t>P(</w:t>
      </w:r>
      <w:proofErr w:type="gramEnd"/>
      <w:r w:rsidR="00FA193F" w:rsidRPr="00391B86">
        <w:rPr>
          <w:rFonts w:ascii="Times New Roman" w:hAnsi="Times New Roman"/>
        </w:rPr>
        <w:t xml:space="preserve">2) </w:t>
      </w:r>
      <w:r w:rsidR="006E1385" w:rsidRPr="00391B86">
        <w:rPr>
          <w:rFonts w:ascii="Times New Roman" w:hAnsi="Times New Roman"/>
        </w:rPr>
        <w:t>and the fiction created by s</w:t>
      </w:r>
      <w:r w:rsidR="00395FBA" w:rsidRPr="00391B86">
        <w:rPr>
          <w:rFonts w:ascii="Times New Roman" w:hAnsi="Times New Roman"/>
        </w:rPr>
        <w:t> </w:t>
      </w:r>
      <w:r w:rsidR="006E1385" w:rsidRPr="00391B86">
        <w:rPr>
          <w:rFonts w:ascii="Times New Roman" w:hAnsi="Times New Roman"/>
        </w:rPr>
        <w:t>1337N</w:t>
      </w:r>
      <w:r w:rsidR="00867B07" w:rsidRPr="00391B86">
        <w:rPr>
          <w:rFonts w:ascii="Times New Roman" w:hAnsi="Times New Roman"/>
        </w:rPr>
        <w:t>. On the one hand, t</w:t>
      </w:r>
      <w:r w:rsidR="006E1385" w:rsidRPr="00391B86">
        <w:rPr>
          <w:rFonts w:ascii="Times New Roman" w:hAnsi="Times New Roman"/>
        </w:rPr>
        <w:t xml:space="preserve">he transferee court </w:t>
      </w:r>
      <w:r w:rsidR="00867B07" w:rsidRPr="00391B86">
        <w:rPr>
          <w:rFonts w:ascii="Times New Roman" w:hAnsi="Times New Roman"/>
        </w:rPr>
        <w:t>would be required</w:t>
      </w:r>
      <w:r w:rsidR="006E1385" w:rsidRPr="00391B86">
        <w:rPr>
          <w:rFonts w:ascii="Times New Roman" w:hAnsi="Times New Roman"/>
        </w:rPr>
        <w:t xml:space="preserve"> to proceed as if the transferred proceeding had been originally instituted in the transferee court.</w:t>
      </w:r>
      <w:r w:rsidR="00FA193F" w:rsidRPr="00391B86">
        <w:rPr>
          <w:rFonts w:ascii="Times New Roman" w:hAnsi="Times New Roman"/>
        </w:rPr>
        <w:t xml:space="preserve"> </w:t>
      </w:r>
      <w:r w:rsidR="007004BF" w:rsidRPr="00391B86">
        <w:rPr>
          <w:rFonts w:ascii="Times New Roman" w:hAnsi="Times New Roman"/>
        </w:rPr>
        <w:t xml:space="preserve">On the </w:t>
      </w:r>
      <w:r w:rsidR="00704B44" w:rsidRPr="00391B86">
        <w:rPr>
          <w:rFonts w:ascii="Times New Roman" w:hAnsi="Times New Roman"/>
        </w:rPr>
        <w:t>other</w:t>
      </w:r>
      <w:r w:rsidR="007004BF" w:rsidRPr="00391B86">
        <w:rPr>
          <w:rFonts w:ascii="Times New Roman" w:hAnsi="Times New Roman"/>
        </w:rPr>
        <w:t xml:space="preserve"> hand, the transferee court </w:t>
      </w:r>
      <w:r w:rsidR="00F57368" w:rsidRPr="00391B86">
        <w:rPr>
          <w:rFonts w:ascii="Times New Roman" w:hAnsi="Times New Roman"/>
        </w:rPr>
        <w:t>c</w:t>
      </w:r>
      <w:r w:rsidR="007004BF" w:rsidRPr="00391B86">
        <w:rPr>
          <w:rFonts w:ascii="Times New Roman" w:hAnsi="Times New Roman"/>
        </w:rPr>
        <w:t xml:space="preserve">ould be required to proceed as if </w:t>
      </w:r>
      <w:r w:rsidR="00F03E5E" w:rsidRPr="00391B86">
        <w:rPr>
          <w:rFonts w:ascii="Times New Roman" w:hAnsi="Times New Roman"/>
        </w:rPr>
        <w:t xml:space="preserve">an </w:t>
      </w:r>
      <w:r w:rsidR="008E1EF0" w:rsidRPr="00391B86">
        <w:rPr>
          <w:rFonts w:ascii="Times New Roman" w:hAnsi="Times New Roman"/>
        </w:rPr>
        <w:t xml:space="preserve">order had been made in </w:t>
      </w:r>
      <w:r w:rsidR="007004BF" w:rsidRPr="00391B86">
        <w:rPr>
          <w:rFonts w:ascii="Times New Roman" w:hAnsi="Times New Roman"/>
        </w:rPr>
        <w:t>the transferred proceeding</w:t>
      </w:r>
      <w:r w:rsidR="008E1EF0" w:rsidRPr="00391B86">
        <w:rPr>
          <w:rFonts w:ascii="Times New Roman" w:hAnsi="Times New Roman"/>
        </w:rPr>
        <w:t xml:space="preserve"> that could not have been made if the transferred proceeding had been originally instituted in the transferee court. </w:t>
      </w:r>
    </w:p>
    <w:p w14:paraId="3E1CC1AA" w14:textId="709B2408" w:rsidR="009C2695" w:rsidRPr="00391B86" w:rsidRDefault="00C333E3"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D95D5F" w:rsidRPr="00391B86">
        <w:rPr>
          <w:rFonts w:ascii="Times New Roman" w:hAnsi="Times New Roman"/>
        </w:rPr>
        <w:t>Added to that</w:t>
      </w:r>
      <w:r w:rsidRPr="00391B86">
        <w:rPr>
          <w:rFonts w:ascii="Times New Roman" w:hAnsi="Times New Roman"/>
        </w:rPr>
        <w:t xml:space="preserve"> </w:t>
      </w:r>
      <w:r w:rsidR="00C66160" w:rsidRPr="00391B86">
        <w:rPr>
          <w:rFonts w:ascii="Times New Roman" w:hAnsi="Times New Roman"/>
        </w:rPr>
        <w:t xml:space="preserve">contradiction would </w:t>
      </w:r>
      <w:r w:rsidR="00E67B13" w:rsidRPr="00391B86">
        <w:rPr>
          <w:rFonts w:ascii="Times New Roman" w:hAnsi="Times New Roman"/>
        </w:rPr>
        <w:t xml:space="preserve">then </w:t>
      </w:r>
      <w:r w:rsidR="00C66160" w:rsidRPr="00391B86">
        <w:rPr>
          <w:rFonts w:ascii="Times New Roman" w:hAnsi="Times New Roman"/>
        </w:rPr>
        <w:t>be</w:t>
      </w:r>
      <w:r w:rsidRPr="00391B86">
        <w:rPr>
          <w:rFonts w:ascii="Times New Roman" w:hAnsi="Times New Roman"/>
        </w:rPr>
        <w:t xml:space="preserve"> the </w:t>
      </w:r>
      <w:r w:rsidR="0096021E" w:rsidRPr="00391B86">
        <w:rPr>
          <w:rFonts w:ascii="Times New Roman" w:hAnsi="Times New Roman"/>
        </w:rPr>
        <w:t>anomaly</w:t>
      </w:r>
      <w:r w:rsidRPr="00391B86">
        <w:rPr>
          <w:rFonts w:ascii="Times New Roman" w:hAnsi="Times New Roman"/>
        </w:rPr>
        <w:t xml:space="preserve"> of the </w:t>
      </w:r>
      <w:r w:rsidR="005E6444" w:rsidRPr="00391B86">
        <w:rPr>
          <w:rFonts w:ascii="Times New Roman" w:hAnsi="Times New Roman"/>
        </w:rPr>
        <w:t xml:space="preserve">transferee court being </w:t>
      </w:r>
      <w:r w:rsidR="00FB3165" w:rsidRPr="00391B86">
        <w:rPr>
          <w:rFonts w:ascii="Times New Roman" w:hAnsi="Times New Roman"/>
        </w:rPr>
        <w:t>required to treat as its own</w:t>
      </w:r>
      <w:r w:rsidR="005614E2" w:rsidRPr="00391B86">
        <w:rPr>
          <w:rFonts w:ascii="Times New Roman" w:hAnsi="Times New Roman"/>
        </w:rPr>
        <w:t xml:space="preserve">, and potentially to enforce, </w:t>
      </w:r>
      <w:r w:rsidR="00641554" w:rsidRPr="00391B86">
        <w:rPr>
          <w:rFonts w:ascii="Times New Roman" w:hAnsi="Times New Roman"/>
        </w:rPr>
        <w:t xml:space="preserve">an order </w:t>
      </w:r>
      <w:r w:rsidR="00666519" w:rsidRPr="00391B86">
        <w:rPr>
          <w:rFonts w:ascii="Times New Roman" w:hAnsi="Times New Roman"/>
        </w:rPr>
        <w:t xml:space="preserve">which </w:t>
      </w:r>
      <w:r w:rsidR="00641554" w:rsidRPr="00391B86">
        <w:rPr>
          <w:rFonts w:ascii="Times New Roman" w:hAnsi="Times New Roman"/>
        </w:rPr>
        <w:t xml:space="preserve">it could never have made </w:t>
      </w:r>
      <w:r w:rsidR="002400AB" w:rsidRPr="00391B86">
        <w:rPr>
          <w:rFonts w:ascii="Times New Roman" w:hAnsi="Times New Roman"/>
        </w:rPr>
        <w:t xml:space="preserve">and </w:t>
      </w:r>
      <w:r w:rsidR="00666519" w:rsidRPr="00391B86">
        <w:rPr>
          <w:rFonts w:ascii="Times New Roman" w:hAnsi="Times New Roman"/>
        </w:rPr>
        <w:t>which</w:t>
      </w:r>
      <w:r w:rsidR="002400AB" w:rsidRPr="00391B86">
        <w:rPr>
          <w:rFonts w:ascii="Times New Roman" w:hAnsi="Times New Roman"/>
        </w:rPr>
        <w:t xml:space="preserve"> it </w:t>
      </w:r>
      <w:r w:rsidR="0094534D" w:rsidRPr="00391B86">
        <w:rPr>
          <w:rFonts w:ascii="Times New Roman" w:hAnsi="Times New Roman"/>
        </w:rPr>
        <w:t xml:space="preserve">might even have been prohibited from making. </w:t>
      </w:r>
      <w:r w:rsidR="00180496" w:rsidRPr="00391B86">
        <w:rPr>
          <w:rFonts w:ascii="Times New Roman" w:hAnsi="Times New Roman"/>
        </w:rPr>
        <w:t xml:space="preserve">Taking </w:t>
      </w:r>
      <w:r w:rsidR="005B7CC9" w:rsidRPr="00391B86">
        <w:rPr>
          <w:rFonts w:ascii="Times New Roman" w:hAnsi="Times New Roman"/>
        </w:rPr>
        <w:t xml:space="preserve">the circumstances of the Arrium class action </w:t>
      </w:r>
      <w:r w:rsidR="00A0055B" w:rsidRPr="00391B86">
        <w:rPr>
          <w:rFonts w:ascii="Times New Roman" w:hAnsi="Times New Roman"/>
        </w:rPr>
        <w:t xml:space="preserve">as an example, the so-called </w:t>
      </w:r>
      <w:r w:rsidR="006B32B8" w:rsidRPr="00391B86">
        <w:rPr>
          <w:rFonts w:ascii="Times New Roman" w:hAnsi="Times New Roman"/>
        </w:rPr>
        <w:t xml:space="preserve">"plain meaning" </w:t>
      </w:r>
      <w:r w:rsidR="00A12E32" w:rsidRPr="00391B86">
        <w:rPr>
          <w:rFonts w:ascii="Times New Roman" w:hAnsi="Times New Roman"/>
        </w:rPr>
        <w:t>would require the</w:t>
      </w:r>
      <w:r w:rsidR="005B7CC9" w:rsidRPr="00391B86">
        <w:rPr>
          <w:rFonts w:ascii="Times New Roman" w:hAnsi="Times New Roman"/>
        </w:rPr>
        <w:t xml:space="preserve"> Supreme Court of New South Wales as the</w:t>
      </w:r>
      <w:r w:rsidR="00A12E32" w:rsidRPr="00391B86">
        <w:rPr>
          <w:rFonts w:ascii="Times New Roman" w:hAnsi="Times New Roman"/>
        </w:rPr>
        <w:t xml:space="preserve"> transferee court </w:t>
      </w:r>
      <w:r w:rsidR="00147132" w:rsidRPr="00391B86">
        <w:rPr>
          <w:rFonts w:ascii="Times New Roman" w:hAnsi="Times New Roman"/>
        </w:rPr>
        <w:t xml:space="preserve">to treat the Arrium </w:t>
      </w:r>
      <w:r w:rsidR="00C20861" w:rsidRPr="00391B86">
        <w:rPr>
          <w:rFonts w:ascii="Times New Roman" w:hAnsi="Times New Roman"/>
        </w:rPr>
        <w:t xml:space="preserve">class action </w:t>
      </w:r>
      <w:r w:rsidR="00A73EE7" w:rsidRPr="00391B86">
        <w:rPr>
          <w:rFonts w:ascii="Times New Roman" w:hAnsi="Times New Roman"/>
        </w:rPr>
        <w:t>GC</w:t>
      </w:r>
      <w:r w:rsidR="00147132" w:rsidRPr="00391B86">
        <w:rPr>
          <w:rFonts w:ascii="Times New Roman" w:hAnsi="Times New Roman"/>
        </w:rPr>
        <w:t>O as i</w:t>
      </w:r>
      <w:r w:rsidR="00801BDB" w:rsidRPr="00391B86">
        <w:rPr>
          <w:rFonts w:ascii="Times New Roman" w:hAnsi="Times New Roman"/>
        </w:rPr>
        <w:t xml:space="preserve">f it had been </w:t>
      </w:r>
      <w:r w:rsidR="00A2153A" w:rsidRPr="00391B86">
        <w:rPr>
          <w:rFonts w:ascii="Times New Roman" w:hAnsi="Times New Roman"/>
        </w:rPr>
        <w:t xml:space="preserve">an order </w:t>
      </w:r>
      <w:r w:rsidR="00801BDB" w:rsidRPr="00391B86">
        <w:rPr>
          <w:rFonts w:ascii="Times New Roman" w:hAnsi="Times New Roman"/>
        </w:rPr>
        <w:t xml:space="preserve">made </w:t>
      </w:r>
      <w:r w:rsidR="00BD4E20" w:rsidRPr="00391B86">
        <w:rPr>
          <w:rFonts w:ascii="Times New Roman" w:hAnsi="Times New Roman"/>
        </w:rPr>
        <w:t xml:space="preserve">by </w:t>
      </w:r>
      <w:r w:rsidR="00801BDB" w:rsidRPr="00391B86">
        <w:rPr>
          <w:rFonts w:ascii="Times New Roman" w:hAnsi="Times New Roman"/>
        </w:rPr>
        <w:t>the Supreme Court of New South Wales</w:t>
      </w:r>
      <w:r w:rsidR="00147132" w:rsidRPr="00391B86">
        <w:rPr>
          <w:rFonts w:ascii="Times New Roman" w:hAnsi="Times New Roman"/>
        </w:rPr>
        <w:t xml:space="preserve">, and </w:t>
      </w:r>
      <w:r w:rsidR="00BD4E20" w:rsidRPr="00391B86">
        <w:rPr>
          <w:rFonts w:ascii="Times New Roman" w:hAnsi="Times New Roman"/>
        </w:rPr>
        <w:t xml:space="preserve">so </w:t>
      </w:r>
      <w:r w:rsidR="00147132" w:rsidRPr="00391B86">
        <w:rPr>
          <w:rFonts w:ascii="Times New Roman" w:hAnsi="Times New Roman"/>
        </w:rPr>
        <w:t xml:space="preserve">potentially to enforce </w:t>
      </w:r>
      <w:r w:rsidR="001A388E" w:rsidRPr="00391B86">
        <w:rPr>
          <w:rFonts w:ascii="Times New Roman" w:hAnsi="Times New Roman"/>
        </w:rPr>
        <w:t xml:space="preserve">the Arrium </w:t>
      </w:r>
      <w:r w:rsidR="00C20861" w:rsidRPr="00391B86">
        <w:rPr>
          <w:rFonts w:ascii="Times New Roman" w:hAnsi="Times New Roman"/>
        </w:rPr>
        <w:t xml:space="preserve">class action </w:t>
      </w:r>
      <w:r w:rsidR="00A73EE7" w:rsidRPr="00391B86">
        <w:rPr>
          <w:rFonts w:ascii="Times New Roman" w:hAnsi="Times New Roman"/>
        </w:rPr>
        <w:t>GC</w:t>
      </w:r>
      <w:r w:rsidR="001A388E" w:rsidRPr="00391B86">
        <w:rPr>
          <w:rFonts w:ascii="Times New Roman" w:hAnsi="Times New Roman"/>
        </w:rPr>
        <w:t xml:space="preserve">O </w:t>
      </w:r>
      <w:r w:rsidR="00147132" w:rsidRPr="00391B86">
        <w:rPr>
          <w:rFonts w:ascii="Times New Roman" w:hAnsi="Times New Roman"/>
        </w:rPr>
        <w:t xml:space="preserve">against </w:t>
      </w:r>
      <w:r w:rsidR="001A388E" w:rsidRPr="00391B86">
        <w:rPr>
          <w:rFonts w:ascii="Times New Roman" w:hAnsi="Times New Roman"/>
        </w:rPr>
        <w:t xml:space="preserve">members of the represented class, despite the </w:t>
      </w:r>
      <w:r w:rsidR="004C6930" w:rsidRPr="00391B86">
        <w:rPr>
          <w:rFonts w:ascii="Times New Roman" w:hAnsi="Times New Roman"/>
        </w:rPr>
        <w:t xml:space="preserve">making of such an order against members of the represented class being prohibited by </w:t>
      </w:r>
      <w:r w:rsidR="00B051D6" w:rsidRPr="00391B86">
        <w:rPr>
          <w:rFonts w:ascii="Times New Roman" w:hAnsi="Times New Roman"/>
        </w:rPr>
        <w:t>s </w:t>
      </w:r>
      <w:r w:rsidR="004C6930" w:rsidRPr="00391B86">
        <w:rPr>
          <w:rFonts w:ascii="Times New Roman" w:hAnsi="Times New Roman"/>
        </w:rPr>
        <w:t>181 of the Civil Procedure Act</w:t>
      </w:r>
      <w:r w:rsidR="001B65D8" w:rsidRPr="00391B86">
        <w:rPr>
          <w:rFonts w:ascii="Times New Roman" w:hAnsi="Times New Roman"/>
        </w:rPr>
        <w:t>.</w:t>
      </w:r>
    </w:p>
    <w:p w14:paraId="32131266" w14:textId="39086E82" w:rsidR="00E5035C" w:rsidRPr="00391B86" w:rsidRDefault="0096021E"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D34E6D" w:rsidRPr="00391B86">
        <w:rPr>
          <w:rFonts w:ascii="Times New Roman" w:hAnsi="Times New Roman"/>
        </w:rPr>
        <w:t>Purpose</w:t>
      </w:r>
      <w:r w:rsidRPr="00391B86">
        <w:rPr>
          <w:rFonts w:ascii="Times New Roman" w:hAnsi="Times New Roman"/>
        </w:rPr>
        <w:t>, text,</w:t>
      </w:r>
      <w:r w:rsidR="00D34E6D" w:rsidRPr="00391B86">
        <w:rPr>
          <w:rFonts w:ascii="Times New Roman" w:hAnsi="Times New Roman"/>
        </w:rPr>
        <w:t xml:space="preserve"> context and coherence therefore combine to compel rejection of the construction </w:t>
      </w:r>
      <w:r w:rsidR="00DC03FB" w:rsidRPr="00391B86">
        <w:rPr>
          <w:rFonts w:ascii="Times New Roman" w:hAnsi="Times New Roman"/>
        </w:rPr>
        <w:t>of s</w:t>
      </w:r>
      <w:r w:rsidR="00395FBA" w:rsidRPr="00391B86">
        <w:rPr>
          <w:rFonts w:ascii="Times New Roman" w:hAnsi="Times New Roman"/>
        </w:rPr>
        <w:t> </w:t>
      </w:r>
      <w:r w:rsidR="00DC03FB" w:rsidRPr="00391B86">
        <w:rPr>
          <w:rFonts w:ascii="Times New Roman" w:hAnsi="Times New Roman"/>
        </w:rPr>
        <w:t>1337</w:t>
      </w:r>
      <w:proofErr w:type="gramStart"/>
      <w:r w:rsidR="00DC03FB" w:rsidRPr="00391B86">
        <w:rPr>
          <w:rFonts w:ascii="Times New Roman" w:hAnsi="Times New Roman"/>
        </w:rPr>
        <w:t>P(</w:t>
      </w:r>
      <w:proofErr w:type="gramEnd"/>
      <w:r w:rsidR="00DC03FB" w:rsidRPr="00391B86">
        <w:rPr>
          <w:rFonts w:ascii="Times New Roman" w:hAnsi="Times New Roman"/>
        </w:rPr>
        <w:t xml:space="preserve">2) </w:t>
      </w:r>
      <w:r w:rsidR="00E5035C" w:rsidRPr="00391B86">
        <w:rPr>
          <w:rFonts w:ascii="Times New Roman" w:hAnsi="Times New Roman"/>
        </w:rPr>
        <w:t xml:space="preserve">of the Corporations Act </w:t>
      </w:r>
      <w:r w:rsidR="00DC03FB" w:rsidRPr="00391B86">
        <w:rPr>
          <w:rFonts w:ascii="Times New Roman" w:hAnsi="Times New Roman"/>
        </w:rPr>
        <w:t>advanced</w:t>
      </w:r>
      <w:r w:rsidR="00D34E6D" w:rsidRPr="00391B86">
        <w:rPr>
          <w:rFonts w:ascii="Times New Roman" w:hAnsi="Times New Roman"/>
        </w:rPr>
        <w:t xml:space="preserve"> by KPMG and the Attorney-General</w:t>
      </w:r>
      <w:r w:rsidR="00F75339" w:rsidRPr="00391B86">
        <w:rPr>
          <w:rFonts w:ascii="Times New Roman" w:hAnsi="Times New Roman"/>
        </w:rPr>
        <w:t>. To be preferred is</w:t>
      </w:r>
      <w:r w:rsidR="00DC03FB" w:rsidRPr="00391B86">
        <w:rPr>
          <w:rFonts w:ascii="Times New Roman" w:hAnsi="Times New Roman"/>
        </w:rPr>
        <w:t xml:space="preserve"> </w:t>
      </w:r>
      <w:r w:rsidR="002B7C34" w:rsidRPr="00391B86">
        <w:rPr>
          <w:rFonts w:ascii="Times New Roman" w:hAnsi="Times New Roman"/>
        </w:rPr>
        <w:t>a</w:t>
      </w:r>
      <w:r w:rsidR="00DC03FB" w:rsidRPr="00391B86">
        <w:rPr>
          <w:rFonts w:ascii="Times New Roman" w:hAnsi="Times New Roman"/>
        </w:rPr>
        <w:t xml:space="preserve"> construction </w:t>
      </w:r>
      <w:r w:rsidR="002B7C34" w:rsidRPr="00391B86">
        <w:rPr>
          <w:rFonts w:ascii="Times New Roman" w:hAnsi="Times New Roman"/>
        </w:rPr>
        <w:t xml:space="preserve">which aligns with that </w:t>
      </w:r>
      <w:r w:rsidR="00DC03FB" w:rsidRPr="00391B86">
        <w:rPr>
          <w:rFonts w:ascii="Times New Roman" w:hAnsi="Times New Roman"/>
        </w:rPr>
        <w:t xml:space="preserve">advanced by the plaintiffs and </w:t>
      </w:r>
      <w:r w:rsidR="006F5140" w:rsidRPr="00391B86">
        <w:rPr>
          <w:rFonts w:ascii="Times New Roman" w:hAnsi="Times New Roman"/>
        </w:rPr>
        <w:t>adopted by the Court of Appeal</w:t>
      </w:r>
      <w:r w:rsidR="002B7C34" w:rsidRPr="00391B86">
        <w:rPr>
          <w:rFonts w:ascii="Times New Roman" w:hAnsi="Times New Roman"/>
        </w:rPr>
        <w:t xml:space="preserve">. </w:t>
      </w:r>
    </w:p>
    <w:p w14:paraId="30E121EB" w14:textId="308C930B" w:rsidR="0096021E" w:rsidRPr="00391B86" w:rsidRDefault="00E5035C" w:rsidP="00391B86">
      <w:pPr>
        <w:pStyle w:val="FixListStyle"/>
        <w:spacing w:after="260" w:line="280" w:lineRule="exact"/>
        <w:ind w:right="0"/>
        <w:jc w:val="both"/>
        <w:rPr>
          <w:rFonts w:ascii="Times New Roman" w:hAnsi="Times New Roman"/>
        </w:rPr>
      </w:pPr>
      <w:r w:rsidRPr="00391B86">
        <w:rPr>
          <w:rFonts w:ascii="Times New Roman" w:hAnsi="Times New Roman"/>
        </w:rPr>
        <w:tab/>
        <w:t>On the proper construction of</w:t>
      </w:r>
      <w:r w:rsidR="00F75339" w:rsidRPr="00391B86">
        <w:rPr>
          <w:rFonts w:ascii="Times New Roman" w:hAnsi="Times New Roman"/>
        </w:rPr>
        <w:t xml:space="preserve"> s 1337</w:t>
      </w:r>
      <w:proofErr w:type="gramStart"/>
      <w:r w:rsidR="00F75339" w:rsidRPr="00391B86">
        <w:rPr>
          <w:rFonts w:ascii="Times New Roman" w:hAnsi="Times New Roman"/>
        </w:rPr>
        <w:t>P(</w:t>
      </w:r>
      <w:proofErr w:type="gramEnd"/>
      <w:r w:rsidR="00F75339" w:rsidRPr="00391B86">
        <w:rPr>
          <w:rFonts w:ascii="Times New Roman" w:hAnsi="Times New Roman"/>
        </w:rPr>
        <w:t>2) of the Corporations Act, t</w:t>
      </w:r>
      <w:r w:rsidR="002B7C34" w:rsidRPr="00391B86">
        <w:rPr>
          <w:rFonts w:ascii="Times New Roman" w:hAnsi="Times New Roman"/>
        </w:rPr>
        <w:t xml:space="preserve">he steps taken for the purposes of the </w:t>
      </w:r>
      <w:r w:rsidR="007F0CC9" w:rsidRPr="00391B86">
        <w:rPr>
          <w:rFonts w:ascii="Times New Roman" w:hAnsi="Times New Roman"/>
        </w:rPr>
        <w:t xml:space="preserve">transferred </w:t>
      </w:r>
      <w:r w:rsidR="002B7C34" w:rsidRPr="00391B86">
        <w:rPr>
          <w:rFonts w:ascii="Times New Roman" w:hAnsi="Times New Roman"/>
        </w:rPr>
        <w:t xml:space="preserve">proceeding in the transferor court </w:t>
      </w:r>
      <w:r w:rsidR="007F0CC9" w:rsidRPr="00391B86">
        <w:rPr>
          <w:rFonts w:ascii="Times New Roman" w:hAnsi="Times New Roman"/>
        </w:rPr>
        <w:t>that are to be</w:t>
      </w:r>
      <w:r w:rsidR="002B7C34" w:rsidRPr="00391B86">
        <w:rPr>
          <w:rFonts w:ascii="Times New Roman" w:hAnsi="Times New Roman"/>
        </w:rPr>
        <w:t xml:space="preserve"> treated as having been taken in the transferee court are limited to those </w:t>
      </w:r>
      <w:r w:rsidR="00805211" w:rsidRPr="00391B86">
        <w:rPr>
          <w:rFonts w:ascii="Times New Roman" w:hAnsi="Times New Roman"/>
        </w:rPr>
        <w:t xml:space="preserve">of a nature that could have been taken in the transferee court </w:t>
      </w:r>
      <w:r w:rsidR="007F0CC9" w:rsidRPr="00391B86">
        <w:rPr>
          <w:rFonts w:ascii="Times New Roman" w:hAnsi="Times New Roman"/>
        </w:rPr>
        <w:t xml:space="preserve">had </w:t>
      </w:r>
      <w:r w:rsidR="00D737E4" w:rsidRPr="00391B86">
        <w:rPr>
          <w:rFonts w:ascii="Times New Roman" w:hAnsi="Times New Roman"/>
        </w:rPr>
        <w:t xml:space="preserve">the transferred proceeding </w:t>
      </w:r>
      <w:r w:rsidR="007F0CC9" w:rsidRPr="00391B86">
        <w:rPr>
          <w:rFonts w:ascii="Times New Roman" w:hAnsi="Times New Roman"/>
        </w:rPr>
        <w:t xml:space="preserve">been originally instituted in the transferee court. The orders made by the transferor court that are to be treated as having been made by the transferee court are </w:t>
      </w:r>
      <w:r w:rsidR="00B00633" w:rsidRPr="00391B86">
        <w:rPr>
          <w:rFonts w:ascii="Times New Roman" w:hAnsi="Times New Roman"/>
        </w:rPr>
        <w:t>accordingly</w:t>
      </w:r>
      <w:r w:rsidR="007F0CC9" w:rsidRPr="00391B86">
        <w:rPr>
          <w:rFonts w:ascii="Times New Roman" w:hAnsi="Times New Roman"/>
        </w:rPr>
        <w:t xml:space="preserve"> limited to orders of a nature that could have been </w:t>
      </w:r>
      <w:r w:rsidR="00B00633" w:rsidRPr="00391B86">
        <w:rPr>
          <w:rFonts w:ascii="Times New Roman" w:hAnsi="Times New Roman"/>
        </w:rPr>
        <w:t xml:space="preserve">made by the </w:t>
      </w:r>
      <w:r w:rsidR="007F0CC9" w:rsidRPr="00391B86">
        <w:rPr>
          <w:rFonts w:ascii="Times New Roman" w:hAnsi="Times New Roman"/>
        </w:rPr>
        <w:t xml:space="preserve">transferee court </w:t>
      </w:r>
      <w:r w:rsidR="00B00633" w:rsidRPr="00391B86">
        <w:rPr>
          <w:rFonts w:ascii="Times New Roman" w:hAnsi="Times New Roman"/>
        </w:rPr>
        <w:t xml:space="preserve">had </w:t>
      </w:r>
      <w:r w:rsidR="007F0CC9" w:rsidRPr="00391B86">
        <w:rPr>
          <w:rFonts w:ascii="Times New Roman" w:hAnsi="Times New Roman"/>
        </w:rPr>
        <w:t xml:space="preserve">the transferred proceeding been originally instituted in the </w:t>
      </w:r>
      <w:r w:rsidR="007F0CC9" w:rsidRPr="00391B86">
        <w:rPr>
          <w:rFonts w:ascii="Times New Roman" w:hAnsi="Times New Roman"/>
        </w:rPr>
        <w:lastRenderedPageBreak/>
        <w:t>transferee court.</w:t>
      </w:r>
      <w:r w:rsidR="00CE54C5" w:rsidRPr="00391B86">
        <w:rPr>
          <w:rFonts w:ascii="Times New Roman" w:hAnsi="Times New Roman"/>
        </w:rPr>
        <w:t xml:space="preserve"> That is to say, the </w:t>
      </w:r>
      <w:r w:rsidR="001F1CC5" w:rsidRPr="00391B86">
        <w:rPr>
          <w:rFonts w:ascii="Times New Roman" w:hAnsi="Times New Roman"/>
        </w:rPr>
        <w:t xml:space="preserve">orders </w:t>
      </w:r>
      <w:r w:rsidR="00CE54C5" w:rsidRPr="00391B86">
        <w:rPr>
          <w:rFonts w:ascii="Times New Roman" w:hAnsi="Times New Roman"/>
        </w:rPr>
        <w:t xml:space="preserve">are limited to orders of a nature that </w:t>
      </w:r>
      <w:r w:rsidR="00F86F39" w:rsidRPr="00391B86">
        <w:rPr>
          <w:rFonts w:ascii="Times New Roman" w:hAnsi="Times New Roman"/>
        </w:rPr>
        <w:t>the transferee court</w:t>
      </w:r>
      <w:r w:rsidR="004047D9" w:rsidRPr="00391B86">
        <w:rPr>
          <w:rFonts w:ascii="Times New Roman" w:hAnsi="Times New Roman"/>
        </w:rPr>
        <w:t xml:space="preserve"> has power</w:t>
      </w:r>
      <w:r w:rsidR="00FA2B3B" w:rsidRPr="00391B86">
        <w:rPr>
          <w:rFonts w:ascii="Times New Roman" w:hAnsi="Times New Roman"/>
        </w:rPr>
        <w:t xml:space="preserve"> to </w:t>
      </w:r>
      <w:r w:rsidR="00F86F39" w:rsidRPr="00391B86">
        <w:rPr>
          <w:rFonts w:ascii="Times New Roman" w:hAnsi="Times New Roman"/>
        </w:rPr>
        <w:t>make</w:t>
      </w:r>
      <w:r w:rsidR="00FA2B3B" w:rsidRPr="00391B86">
        <w:rPr>
          <w:rFonts w:ascii="Times New Roman" w:hAnsi="Times New Roman"/>
        </w:rPr>
        <w:t>.</w:t>
      </w:r>
      <w:r w:rsidR="00F86F39" w:rsidRPr="00391B86">
        <w:rPr>
          <w:rFonts w:ascii="Times New Roman" w:hAnsi="Times New Roman"/>
        </w:rPr>
        <w:t xml:space="preserve"> </w:t>
      </w:r>
    </w:p>
    <w:p w14:paraId="565F6D34" w14:textId="3B091134" w:rsidR="00CD57D9" w:rsidRPr="00391B86" w:rsidRDefault="003505FE"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9826F0" w:rsidRPr="00391B86">
        <w:rPr>
          <w:rFonts w:ascii="Times New Roman" w:hAnsi="Times New Roman"/>
        </w:rPr>
        <w:t>Legislative</w:t>
      </w:r>
      <w:r w:rsidRPr="00391B86">
        <w:rPr>
          <w:rFonts w:ascii="Times New Roman" w:hAnsi="Times New Roman"/>
        </w:rPr>
        <w:t xml:space="preserve"> </w:t>
      </w:r>
      <w:r w:rsidR="009826F0" w:rsidRPr="00391B86">
        <w:rPr>
          <w:rFonts w:ascii="Times New Roman" w:hAnsi="Times New Roman"/>
        </w:rPr>
        <w:t>history</w:t>
      </w:r>
      <w:r w:rsidRPr="00391B86">
        <w:rPr>
          <w:rFonts w:ascii="Times New Roman" w:hAnsi="Times New Roman"/>
        </w:rPr>
        <w:t xml:space="preserve"> </w:t>
      </w:r>
      <w:r w:rsidR="009826F0" w:rsidRPr="00391B86">
        <w:rPr>
          <w:rFonts w:ascii="Times New Roman" w:hAnsi="Times New Roman"/>
        </w:rPr>
        <w:t>confirm</w:t>
      </w:r>
      <w:r w:rsidR="00C305F5" w:rsidRPr="00391B86">
        <w:rPr>
          <w:rFonts w:ascii="Times New Roman" w:hAnsi="Times New Roman"/>
        </w:rPr>
        <w:t>s</w:t>
      </w:r>
      <w:r w:rsidR="009826F0" w:rsidRPr="00391B86">
        <w:rPr>
          <w:rFonts w:ascii="Times New Roman" w:hAnsi="Times New Roman"/>
        </w:rPr>
        <w:t xml:space="preserve"> the appropriateness of that construction. T</w:t>
      </w:r>
      <w:r w:rsidR="003E27C4" w:rsidRPr="00391B86">
        <w:rPr>
          <w:rFonts w:ascii="Times New Roman" w:hAnsi="Times New Roman"/>
        </w:rPr>
        <w:t xml:space="preserve">he </w:t>
      </w:r>
      <w:r w:rsidR="009826F0" w:rsidRPr="00391B86">
        <w:rPr>
          <w:rFonts w:ascii="Times New Roman" w:hAnsi="Times New Roman"/>
        </w:rPr>
        <w:t>text of s</w:t>
      </w:r>
      <w:r w:rsidR="00395FBA" w:rsidRPr="00391B86">
        <w:rPr>
          <w:rFonts w:ascii="Times New Roman" w:hAnsi="Times New Roman"/>
        </w:rPr>
        <w:t> </w:t>
      </w:r>
      <w:r w:rsidR="009826F0" w:rsidRPr="00391B86">
        <w:rPr>
          <w:rFonts w:ascii="Times New Roman" w:hAnsi="Times New Roman"/>
        </w:rPr>
        <w:t>1337</w:t>
      </w:r>
      <w:r w:rsidR="00B244E2" w:rsidRPr="00391B86">
        <w:rPr>
          <w:rFonts w:ascii="Times New Roman" w:hAnsi="Times New Roman"/>
        </w:rPr>
        <w:t>N</w:t>
      </w:r>
      <w:r w:rsidR="009826F0" w:rsidRPr="00391B86">
        <w:rPr>
          <w:rFonts w:ascii="Times New Roman" w:hAnsi="Times New Roman"/>
        </w:rPr>
        <w:t xml:space="preserve"> </w:t>
      </w:r>
      <w:r w:rsidR="00A1668B" w:rsidRPr="00391B86">
        <w:rPr>
          <w:rFonts w:ascii="Times New Roman" w:hAnsi="Times New Roman"/>
        </w:rPr>
        <w:t>reflects</w:t>
      </w:r>
      <w:r w:rsidR="003E27C4" w:rsidRPr="00391B86">
        <w:rPr>
          <w:rFonts w:ascii="Times New Roman" w:hAnsi="Times New Roman"/>
        </w:rPr>
        <w:t xml:space="preserve"> </w:t>
      </w:r>
      <w:r w:rsidR="009826F0" w:rsidRPr="00391B86">
        <w:rPr>
          <w:rFonts w:ascii="Times New Roman" w:hAnsi="Times New Roman"/>
        </w:rPr>
        <w:t xml:space="preserve">the </w:t>
      </w:r>
      <w:r w:rsidR="007E4FD0" w:rsidRPr="00391B86">
        <w:rPr>
          <w:rFonts w:ascii="Times New Roman" w:hAnsi="Times New Roman"/>
        </w:rPr>
        <w:t xml:space="preserve">original </w:t>
      </w:r>
      <w:r w:rsidR="009826F0" w:rsidRPr="00391B86">
        <w:rPr>
          <w:rFonts w:ascii="Times New Roman" w:hAnsi="Times New Roman"/>
        </w:rPr>
        <w:t xml:space="preserve">text of </w:t>
      </w:r>
      <w:r w:rsidR="003E27C4" w:rsidRPr="00391B86">
        <w:rPr>
          <w:rFonts w:ascii="Times New Roman" w:hAnsi="Times New Roman"/>
        </w:rPr>
        <w:t>s</w:t>
      </w:r>
      <w:r w:rsidR="00395FBA" w:rsidRPr="00391B86">
        <w:rPr>
          <w:rFonts w:ascii="Times New Roman" w:hAnsi="Times New Roman"/>
        </w:rPr>
        <w:t> </w:t>
      </w:r>
      <w:r w:rsidR="003E27C4" w:rsidRPr="00391B86">
        <w:rPr>
          <w:rFonts w:ascii="Times New Roman" w:hAnsi="Times New Roman"/>
        </w:rPr>
        <w:t>41 of the Judiciary Act</w:t>
      </w:r>
      <w:r w:rsidR="007E7D3C" w:rsidRPr="00391B86">
        <w:rPr>
          <w:rFonts w:ascii="Times New Roman" w:hAnsi="Times New Roman"/>
        </w:rPr>
        <w:t>,</w:t>
      </w:r>
      <w:r w:rsidR="00192DC3" w:rsidRPr="00391B86">
        <w:rPr>
          <w:rFonts w:ascii="Times New Roman" w:hAnsi="Times New Roman"/>
        </w:rPr>
        <w:t xml:space="preserve"> </w:t>
      </w:r>
      <w:r w:rsidR="007E4FD0" w:rsidRPr="00391B86">
        <w:rPr>
          <w:rFonts w:ascii="Times New Roman" w:hAnsi="Times New Roman"/>
        </w:rPr>
        <w:t>which</w:t>
      </w:r>
      <w:r w:rsidR="00613ACE" w:rsidRPr="00391B86">
        <w:rPr>
          <w:rFonts w:ascii="Times New Roman" w:hAnsi="Times New Roman"/>
        </w:rPr>
        <w:t xml:space="preserve">, </w:t>
      </w:r>
      <w:r w:rsidR="00192DC3" w:rsidRPr="00391B86">
        <w:rPr>
          <w:rFonts w:ascii="Times New Roman" w:hAnsi="Times New Roman"/>
        </w:rPr>
        <w:t>as</w:t>
      </w:r>
      <w:r w:rsidR="0009656A" w:rsidRPr="00391B86">
        <w:rPr>
          <w:rFonts w:ascii="Times New Roman" w:hAnsi="Times New Roman"/>
        </w:rPr>
        <w:t xml:space="preserve"> enacted</w:t>
      </w:r>
      <w:r w:rsidR="00192DC3" w:rsidRPr="00391B86">
        <w:rPr>
          <w:rFonts w:ascii="Times New Roman" w:hAnsi="Times New Roman"/>
        </w:rPr>
        <w:t xml:space="preserve"> </w:t>
      </w:r>
      <w:r w:rsidR="00020C7C" w:rsidRPr="00391B86">
        <w:rPr>
          <w:rFonts w:ascii="Times New Roman" w:hAnsi="Times New Roman"/>
        </w:rPr>
        <w:t>in 190</w:t>
      </w:r>
      <w:r w:rsidR="007E4FD0" w:rsidRPr="00391B86">
        <w:rPr>
          <w:rFonts w:ascii="Times New Roman" w:hAnsi="Times New Roman"/>
        </w:rPr>
        <w:t>3</w:t>
      </w:r>
      <w:r w:rsidR="00613ACE" w:rsidRPr="00391B86">
        <w:rPr>
          <w:rFonts w:ascii="Times New Roman" w:hAnsi="Times New Roman"/>
        </w:rPr>
        <w:t>,</w:t>
      </w:r>
      <w:r w:rsidR="0009656A" w:rsidRPr="00391B86">
        <w:rPr>
          <w:rFonts w:ascii="Times New Roman" w:hAnsi="Times New Roman"/>
        </w:rPr>
        <w:t xml:space="preserve"> provided that </w:t>
      </w:r>
      <w:r w:rsidR="006B2469" w:rsidRPr="00391B86">
        <w:rPr>
          <w:rFonts w:ascii="Times New Roman" w:hAnsi="Times New Roman"/>
        </w:rPr>
        <w:t xml:space="preserve">upon a cause being removed </w:t>
      </w:r>
      <w:r w:rsidR="00AC0930" w:rsidRPr="00391B86">
        <w:rPr>
          <w:rFonts w:ascii="Times New Roman" w:hAnsi="Times New Roman"/>
        </w:rPr>
        <w:t xml:space="preserve">from a State </w:t>
      </w:r>
      <w:r w:rsidR="003D39AF" w:rsidRPr="00391B86">
        <w:rPr>
          <w:rFonts w:ascii="Times New Roman" w:hAnsi="Times New Roman"/>
        </w:rPr>
        <w:t xml:space="preserve">court </w:t>
      </w:r>
      <w:r w:rsidR="006B2469" w:rsidRPr="00391B86">
        <w:rPr>
          <w:rFonts w:ascii="Times New Roman" w:hAnsi="Times New Roman"/>
        </w:rPr>
        <w:t>into the High Court under s</w:t>
      </w:r>
      <w:r w:rsidR="00395FBA" w:rsidRPr="00391B86">
        <w:rPr>
          <w:rFonts w:ascii="Times New Roman" w:hAnsi="Times New Roman"/>
        </w:rPr>
        <w:t> </w:t>
      </w:r>
      <w:r w:rsidR="006B2469" w:rsidRPr="00391B86">
        <w:rPr>
          <w:rFonts w:ascii="Times New Roman" w:hAnsi="Times New Roman"/>
        </w:rPr>
        <w:t xml:space="preserve">40 of </w:t>
      </w:r>
      <w:r w:rsidR="00AC0930" w:rsidRPr="00391B86">
        <w:rPr>
          <w:rFonts w:ascii="Times New Roman" w:hAnsi="Times New Roman"/>
        </w:rPr>
        <w:t>the Judiciary Act</w:t>
      </w:r>
      <w:r w:rsidR="008F0E7A" w:rsidRPr="00391B86">
        <w:rPr>
          <w:rFonts w:ascii="Times New Roman" w:hAnsi="Times New Roman"/>
        </w:rPr>
        <w:t>,</w:t>
      </w:r>
      <w:r w:rsidR="0051542F" w:rsidRPr="00391B86">
        <w:rPr>
          <w:rFonts w:ascii="Times New Roman" w:hAnsi="Times New Roman"/>
        </w:rPr>
        <w:t xml:space="preserve"> </w:t>
      </w:r>
      <w:r w:rsidR="008F0E7A" w:rsidRPr="00391B86">
        <w:rPr>
          <w:rFonts w:ascii="Times New Roman" w:hAnsi="Times New Roman"/>
        </w:rPr>
        <w:t>"the High Court sh</w:t>
      </w:r>
      <w:r w:rsidR="003D39AF" w:rsidRPr="00391B86">
        <w:rPr>
          <w:rFonts w:ascii="Times New Roman" w:hAnsi="Times New Roman"/>
        </w:rPr>
        <w:t>a</w:t>
      </w:r>
      <w:r w:rsidR="008F0E7A" w:rsidRPr="00391B86">
        <w:rPr>
          <w:rFonts w:ascii="Times New Roman" w:hAnsi="Times New Roman"/>
        </w:rPr>
        <w:t xml:space="preserve">ll proceed therein as if the cause had been originally commenced in that </w:t>
      </w:r>
      <w:r w:rsidR="003D39AF" w:rsidRPr="00391B86">
        <w:rPr>
          <w:rFonts w:ascii="Times New Roman" w:hAnsi="Times New Roman"/>
        </w:rPr>
        <w:t>C</w:t>
      </w:r>
      <w:r w:rsidR="008F0E7A" w:rsidRPr="00391B86">
        <w:rPr>
          <w:rFonts w:ascii="Times New Roman" w:hAnsi="Times New Roman"/>
        </w:rPr>
        <w:t>ourt and as if the same proceedings had been taken in the cause in the High Court as had been taken</w:t>
      </w:r>
      <w:r w:rsidR="003D39AF" w:rsidRPr="00391B86">
        <w:rPr>
          <w:rFonts w:ascii="Times New Roman" w:hAnsi="Times New Roman"/>
        </w:rPr>
        <w:t xml:space="preserve"> therein in the Court of the State prior to its removal, but so that all subsequent proceedings shall be according to the course and practi</w:t>
      </w:r>
      <w:r w:rsidR="00D45515" w:rsidRPr="00391B86">
        <w:rPr>
          <w:rFonts w:ascii="Times New Roman" w:hAnsi="Times New Roman"/>
        </w:rPr>
        <w:t>c</w:t>
      </w:r>
      <w:r w:rsidR="003D39AF" w:rsidRPr="00391B86">
        <w:rPr>
          <w:rFonts w:ascii="Times New Roman" w:hAnsi="Times New Roman"/>
        </w:rPr>
        <w:t>e of the High Court"</w:t>
      </w:r>
      <w:r w:rsidR="00A1668B" w:rsidRPr="00391B86">
        <w:rPr>
          <w:rFonts w:ascii="Times New Roman" w:hAnsi="Times New Roman"/>
        </w:rPr>
        <w:t>.</w:t>
      </w:r>
      <w:r w:rsidR="0051542F" w:rsidRPr="00391B86">
        <w:rPr>
          <w:rFonts w:ascii="Times New Roman" w:hAnsi="Times New Roman"/>
        </w:rPr>
        <w:t xml:space="preserve"> </w:t>
      </w:r>
      <w:r w:rsidR="00B663A2" w:rsidRPr="00391B86">
        <w:rPr>
          <w:rFonts w:ascii="Times New Roman" w:hAnsi="Times New Roman"/>
        </w:rPr>
        <w:t>Section</w:t>
      </w:r>
      <w:r w:rsidR="000D6609" w:rsidRPr="00391B86">
        <w:rPr>
          <w:rFonts w:ascii="Times New Roman" w:hAnsi="Times New Roman"/>
        </w:rPr>
        <w:t xml:space="preserve"> 44(d) of the Judiciary Act </w:t>
      </w:r>
      <w:r w:rsidR="00616CB0" w:rsidRPr="00391B86">
        <w:rPr>
          <w:rFonts w:ascii="Times New Roman" w:hAnsi="Times New Roman"/>
        </w:rPr>
        <w:t xml:space="preserve">added that "all </w:t>
      </w:r>
      <w:proofErr w:type="gramStart"/>
      <w:r w:rsidR="00616CB0" w:rsidRPr="00391B86">
        <w:rPr>
          <w:rFonts w:ascii="Times New Roman" w:hAnsi="Times New Roman"/>
        </w:rPr>
        <w:t>injunctions</w:t>
      </w:r>
      <w:proofErr w:type="gramEnd"/>
      <w:r w:rsidR="00A1668B" w:rsidRPr="00391B86">
        <w:rPr>
          <w:rFonts w:ascii="Times New Roman" w:hAnsi="Times New Roman"/>
        </w:rPr>
        <w:t xml:space="preserve"> </w:t>
      </w:r>
      <w:r w:rsidR="00616CB0" w:rsidRPr="00391B86">
        <w:rPr>
          <w:rFonts w:ascii="Times New Roman" w:hAnsi="Times New Roman"/>
        </w:rPr>
        <w:t>orders and other proceedings granted made or taken in the cause before the removal shall remain in full force and effect until the High Court</w:t>
      </w:r>
      <w:r w:rsidR="00ED6D5B" w:rsidRPr="00391B86">
        <w:rPr>
          <w:rFonts w:ascii="Times New Roman" w:hAnsi="Times New Roman"/>
        </w:rPr>
        <w:t xml:space="preserve"> otherwise orders". </w:t>
      </w:r>
      <w:r w:rsidR="00B663A2" w:rsidRPr="00391B86">
        <w:rPr>
          <w:rFonts w:ascii="Times New Roman" w:hAnsi="Times New Roman"/>
        </w:rPr>
        <w:t xml:space="preserve">Both </w:t>
      </w:r>
      <w:r w:rsidR="00F325EF" w:rsidRPr="00391B86">
        <w:rPr>
          <w:rFonts w:ascii="Times New Roman" w:hAnsi="Times New Roman"/>
        </w:rPr>
        <w:t>of those sections</w:t>
      </w:r>
      <w:r w:rsidR="00FB6EE2" w:rsidRPr="00391B86">
        <w:rPr>
          <w:rFonts w:ascii="Times New Roman" w:hAnsi="Times New Roman"/>
        </w:rPr>
        <w:t xml:space="preserve"> </w:t>
      </w:r>
      <w:r w:rsidR="00020C7C" w:rsidRPr="00391B86">
        <w:rPr>
          <w:rFonts w:ascii="Times New Roman" w:hAnsi="Times New Roman"/>
        </w:rPr>
        <w:t xml:space="preserve">of the Judiciary Act </w:t>
      </w:r>
      <w:r w:rsidR="00A1668B" w:rsidRPr="00391B86">
        <w:rPr>
          <w:rFonts w:ascii="Times New Roman" w:hAnsi="Times New Roman"/>
        </w:rPr>
        <w:t>were</w:t>
      </w:r>
      <w:r w:rsidR="00FB6EE2" w:rsidRPr="00391B86">
        <w:rPr>
          <w:rFonts w:ascii="Times New Roman" w:hAnsi="Times New Roman"/>
        </w:rPr>
        <w:t xml:space="preserve"> modelled on </w:t>
      </w:r>
      <w:r w:rsidR="00817C32" w:rsidRPr="00391B86">
        <w:rPr>
          <w:rFonts w:ascii="Times New Roman" w:hAnsi="Times New Roman"/>
        </w:rPr>
        <w:t xml:space="preserve">provisions of </w:t>
      </w:r>
      <w:r w:rsidR="006429C4" w:rsidRPr="00391B86">
        <w:rPr>
          <w:rFonts w:ascii="Times New Roman" w:hAnsi="Times New Roman"/>
        </w:rPr>
        <w:t>an</w:t>
      </w:r>
      <w:r w:rsidR="004251F6" w:rsidRPr="00391B86">
        <w:rPr>
          <w:rFonts w:ascii="Times New Roman" w:hAnsi="Times New Roman"/>
        </w:rPr>
        <w:t xml:space="preserve"> earlier</w:t>
      </w:r>
      <w:r w:rsidR="009C538F" w:rsidRPr="00391B86">
        <w:rPr>
          <w:rFonts w:ascii="Times New Roman" w:hAnsi="Times New Roman"/>
        </w:rPr>
        <w:t xml:space="preserve"> </w:t>
      </w:r>
      <w:r w:rsidR="006429C4" w:rsidRPr="00391B86">
        <w:rPr>
          <w:rFonts w:ascii="Times New Roman" w:hAnsi="Times New Roman"/>
        </w:rPr>
        <w:t>Act of Congress</w:t>
      </w:r>
      <w:r w:rsidR="00A1668B" w:rsidRPr="00391B86">
        <w:rPr>
          <w:rFonts w:ascii="Times New Roman" w:hAnsi="Times New Roman"/>
        </w:rPr>
        <w:t xml:space="preserve"> which</w:t>
      </w:r>
      <w:r w:rsidR="006429C4" w:rsidRPr="00391B86">
        <w:rPr>
          <w:rFonts w:ascii="Times New Roman" w:hAnsi="Times New Roman"/>
        </w:rPr>
        <w:t xml:space="preserve"> </w:t>
      </w:r>
      <w:r w:rsidR="00A44343" w:rsidRPr="00391B86">
        <w:rPr>
          <w:rFonts w:ascii="Times New Roman" w:hAnsi="Times New Roman"/>
        </w:rPr>
        <w:t>provid</w:t>
      </w:r>
      <w:r w:rsidR="00A1668B" w:rsidRPr="00391B86">
        <w:rPr>
          <w:rFonts w:ascii="Times New Roman" w:hAnsi="Times New Roman"/>
        </w:rPr>
        <w:t>ed</w:t>
      </w:r>
      <w:r w:rsidR="006429C4" w:rsidRPr="00391B86">
        <w:rPr>
          <w:rFonts w:ascii="Times New Roman" w:hAnsi="Times New Roman"/>
        </w:rPr>
        <w:t xml:space="preserve"> </w:t>
      </w:r>
      <w:r w:rsidR="00B20624" w:rsidRPr="00391B86">
        <w:rPr>
          <w:rFonts w:ascii="Times New Roman" w:hAnsi="Times New Roman"/>
        </w:rPr>
        <w:t xml:space="preserve">for </w:t>
      </w:r>
      <w:r w:rsidR="00A1668B" w:rsidRPr="00391B86">
        <w:rPr>
          <w:rFonts w:ascii="Times New Roman" w:hAnsi="Times New Roman"/>
        </w:rPr>
        <w:t xml:space="preserve">the </w:t>
      </w:r>
      <w:r w:rsidR="00B20624" w:rsidRPr="00391B86">
        <w:rPr>
          <w:rFonts w:ascii="Times New Roman" w:hAnsi="Times New Roman"/>
        </w:rPr>
        <w:t xml:space="preserve">removal of </w:t>
      </w:r>
      <w:r w:rsidR="00211C52" w:rsidRPr="00391B86">
        <w:rPr>
          <w:rFonts w:ascii="Times New Roman" w:hAnsi="Times New Roman"/>
        </w:rPr>
        <w:t>cause</w:t>
      </w:r>
      <w:r w:rsidR="007011D3" w:rsidRPr="00391B86">
        <w:rPr>
          <w:rFonts w:ascii="Times New Roman" w:hAnsi="Times New Roman"/>
        </w:rPr>
        <w:t>s</w:t>
      </w:r>
      <w:r w:rsidR="00B20624" w:rsidRPr="00391B86">
        <w:rPr>
          <w:rFonts w:ascii="Times New Roman" w:hAnsi="Times New Roman"/>
        </w:rPr>
        <w:t xml:space="preserve"> from State court</w:t>
      </w:r>
      <w:r w:rsidR="007011D3" w:rsidRPr="00391B86">
        <w:rPr>
          <w:rFonts w:ascii="Times New Roman" w:hAnsi="Times New Roman"/>
        </w:rPr>
        <w:t>s</w:t>
      </w:r>
      <w:r w:rsidR="00B20624" w:rsidRPr="00391B86">
        <w:rPr>
          <w:rFonts w:ascii="Times New Roman" w:hAnsi="Times New Roman"/>
        </w:rPr>
        <w:t xml:space="preserve"> </w:t>
      </w:r>
      <w:r w:rsidR="005B10A8" w:rsidRPr="00391B86">
        <w:rPr>
          <w:rFonts w:ascii="Times New Roman" w:hAnsi="Times New Roman"/>
        </w:rPr>
        <w:t xml:space="preserve">into circuit courts of the United </w:t>
      </w:r>
      <w:r w:rsidR="00C7103E" w:rsidRPr="00391B86">
        <w:rPr>
          <w:rFonts w:ascii="Times New Roman" w:hAnsi="Times New Roman"/>
        </w:rPr>
        <w:t>S</w:t>
      </w:r>
      <w:r w:rsidR="005B10A8" w:rsidRPr="00391B86">
        <w:rPr>
          <w:rFonts w:ascii="Times New Roman" w:hAnsi="Times New Roman"/>
        </w:rPr>
        <w:t>tates</w:t>
      </w:r>
      <w:r w:rsidR="00A44343" w:rsidRPr="00391B86">
        <w:rPr>
          <w:rFonts w:ascii="Times New Roman" w:hAnsi="Times New Roman"/>
        </w:rPr>
        <w:t>.</w:t>
      </w:r>
      <w:r w:rsidR="00ED3F3E" w:rsidRPr="00391B86">
        <w:rPr>
          <w:rStyle w:val="FootnoteReference"/>
          <w:rFonts w:ascii="Times New Roman" w:hAnsi="Times New Roman"/>
          <w:sz w:val="24"/>
        </w:rPr>
        <w:footnoteReference w:id="35"/>
      </w:r>
      <w:r w:rsidR="002D699A" w:rsidRPr="00391B86">
        <w:rPr>
          <w:rFonts w:ascii="Times New Roman" w:hAnsi="Times New Roman"/>
        </w:rPr>
        <w:t xml:space="preserve"> </w:t>
      </w:r>
      <w:r w:rsidR="001522C3" w:rsidRPr="00391B86">
        <w:rPr>
          <w:rFonts w:ascii="Times New Roman" w:hAnsi="Times New Roman"/>
        </w:rPr>
        <w:t>Despite its unqualified language, t</w:t>
      </w:r>
      <w:r w:rsidR="002D699A" w:rsidRPr="00391B86">
        <w:rPr>
          <w:rFonts w:ascii="Times New Roman" w:hAnsi="Times New Roman"/>
        </w:rPr>
        <w:t xml:space="preserve">he </w:t>
      </w:r>
      <w:r w:rsidR="00EF7E0D" w:rsidRPr="00391B86">
        <w:rPr>
          <w:rFonts w:ascii="Times New Roman" w:hAnsi="Times New Roman"/>
        </w:rPr>
        <w:t xml:space="preserve">provisions of the earlier Act of Congress which </w:t>
      </w:r>
      <w:r w:rsidR="006B6746" w:rsidRPr="00391B86">
        <w:rPr>
          <w:rFonts w:ascii="Times New Roman" w:hAnsi="Times New Roman"/>
        </w:rPr>
        <w:t xml:space="preserve">were together </w:t>
      </w:r>
      <w:r w:rsidR="00EF7E0D" w:rsidRPr="00391B86">
        <w:rPr>
          <w:rFonts w:ascii="Times New Roman" w:hAnsi="Times New Roman"/>
        </w:rPr>
        <w:t xml:space="preserve">the </w:t>
      </w:r>
      <w:r w:rsidR="00251D48" w:rsidRPr="00391B86">
        <w:rPr>
          <w:rFonts w:ascii="Times New Roman" w:hAnsi="Times New Roman"/>
        </w:rPr>
        <w:t>progenitor</w:t>
      </w:r>
      <w:r w:rsidR="002D699A" w:rsidRPr="00391B86">
        <w:rPr>
          <w:rFonts w:ascii="Times New Roman" w:hAnsi="Times New Roman"/>
        </w:rPr>
        <w:t xml:space="preserve"> of s</w:t>
      </w:r>
      <w:r w:rsidR="00395FBA" w:rsidRPr="00391B86">
        <w:rPr>
          <w:rFonts w:ascii="Times New Roman" w:hAnsi="Times New Roman"/>
        </w:rPr>
        <w:t> </w:t>
      </w:r>
      <w:r w:rsidR="00251D48" w:rsidRPr="00391B86">
        <w:rPr>
          <w:rFonts w:ascii="Times New Roman" w:hAnsi="Times New Roman"/>
        </w:rPr>
        <w:t>44(d)</w:t>
      </w:r>
      <w:r w:rsidR="00B20624" w:rsidRPr="00391B86">
        <w:rPr>
          <w:rFonts w:ascii="Times New Roman" w:hAnsi="Times New Roman"/>
        </w:rPr>
        <w:t xml:space="preserve"> </w:t>
      </w:r>
      <w:r w:rsidR="00894956" w:rsidRPr="00391B86">
        <w:rPr>
          <w:rFonts w:ascii="Times New Roman" w:hAnsi="Times New Roman"/>
        </w:rPr>
        <w:t xml:space="preserve">have </w:t>
      </w:r>
      <w:r w:rsidR="00212D5D" w:rsidRPr="00391B86">
        <w:rPr>
          <w:rFonts w:ascii="Times New Roman" w:hAnsi="Times New Roman"/>
        </w:rPr>
        <w:t>been</w:t>
      </w:r>
      <w:r w:rsidR="00B12F8B" w:rsidRPr="00391B86">
        <w:rPr>
          <w:rStyle w:val="FootnoteReference"/>
          <w:rFonts w:ascii="Times New Roman" w:hAnsi="Times New Roman"/>
          <w:sz w:val="24"/>
        </w:rPr>
        <w:footnoteReference w:id="36"/>
      </w:r>
      <w:r w:rsidR="00212D5D" w:rsidRPr="00391B86">
        <w:rPr>
          <w:rFonts w:ascii="Times New Roman" w:hAnsi="Times New Roman"/>
        </w:rPr>
        <w:t xml:space="preserve"> </w:t>
      </w:r>
      <w:r w:rsidR="00C7103E" w:rsidRPr="00391B86">
        <w:rPr>
          <w:rFonts w:ascii="Times New Roman" w:hAnsi="Times New Roman"/>
        </w:rPr>
        <w:t xml:space="preserve">and </w:t>
      </w:r>
      <w:r w:rsidR="00894956" w:rsidRPr="00391B86">
        <w:rPr>
          <w:rFonts w:ascii="Times New Roman" w:hAnsi="Times New Roman"/>
        </w:rPr>
        <w:t>have</w:t>
      </w:r>
      <w:r w:rsidR="00A951B3" w:rsidRPr="00391B86">
        <w:rPr>
          <w:rFonts w:ascii="Times New Roman" w:hAnsi="Times New Roman"/>
        </w:rPr>
        <w:t xml:space="preserve"> </w:t>
      </w:r>
      <w:r w:rsidR="00C7103E" w:rsidRPr="00391B86">
        <w:rPr>
          <w:rFonts w:ascii="Times New Roman" w:hAnsi="Times New Roman"/>
        </w:rPr>
        <w:t>continue</w:t>
      </w:r>
      <w:r w:rsidR="00A951B3" w:rsidRPr="00391B86">
        <w:rPr>
          <w:rFonts w:ascii="Times New Roman" w:hAnsi="Times New Roman"/>
        </w:rPr>
        <w:t>d</w:t>
      </w:r>
      <w:r w:rsidR="00C7103E" w:rsidRPr="00391B86">
        <w:rPr>
          <w:rFonts w:ascii="Times New Roman" w:hAnsi="Times New Roman"/>
        </w:rPr>
        <w:t xml:space="preserve"> to be</w:t>
      </w:r>
      <w:r w:rsidR="00B12F8B" w:rsidRPr="00391B86">
        <w:rPr>
          <w:rStyle w:val="FootnoteReference"/>
          <w:rFonts w:ascii="Times New Roman" w:hAnsi="Times New Roman"/>
          <w:sz w:val="24"/>
        </w:rPr>
        <w:footnoteReference w:id="37"/>
      </w:r>
      <w:r w:rsidR="00B12F8B" w:rsidRPr="00391B86">
        <w:rPr>
          <w:rFonts w:ascii="Times New Roman" w:hAnsi="Times New Roman"/>
        </w:rPr>
        <w:t xml:space="preserve"> </w:t>
      </w:r>
      <w:r w:rsidR="009C538F" w:rsidRPr="00391B86">
        <w:rPr>
          <w:rFonts w:ascii="Times New Roman" w:hAnsi="Times New Roman"/>
        </w:rPr>
        <w:t xml:space="preserve">interpreted by the Supreme Court of the United States </w:t>
      </w:r>
      <w:r w:rsidR="00DE586B" w:rsidRPr="00391B86">
        <w:rPr>
          <w:rFonts w:ascii="Times New Roman" w:hAnsi="Times New Roman"/>
        </w:rPr>
        <w:t xml:space="preserve">as </w:t>
      </w:r>
      <w:r w:rsidR="009A03F2" w:rsidRPr="00391B86">
        <w:rPr>
          <w:rFonts w:ascii="Times New Roman" w:hAnsi="Times New Roman"/>
        </w:rPr>
        <w:t xml:space="preserve">giving </w:t>
      </w:r>
      <w:r w:rsidR="00BA5C1C" w:rsidRPr="00391B86">
        <w:rPr>
          <w:rFonts w:ascii="Times New Roman" w:hAnsi="Times New Roman"/>
        </w:rPr>
        <w:t xml:space="preserve">no </w:t>
      </w:r>
      <w:r w:rsidR="009A03F2" w:rsidRPr="00391B86">
        <w:rPr>
          <w:rFonts w:ascii="Times New Roman" w:hAnsi="Times New Roman"/>
        </w:rPr>
        <w:t xml:space="preserve">force or effect to an order </w:t>
      </w:r>
      <w:r w:rsidR="00797F0E" w:rsidRPr="00391B86">
        <w:rPr>
          <w:rFonts w:ascii="Times New Roman" w:hAnsi="Times New Roman"/>
        </w:rPr>
        <w:t xml:space="preserve">of a State court </w:t>
      </w:r>
      <w:r w:rsidR="009A03F2" w:rsidRPr="00391B86">
        <w:rPr>
          <w:rFonts w:ascii="Times New Roman" w:hAnsi="Times New Roman"/>
        </w:rPr>
        <w:t xml:space="preserve">which </w:t>
      </w:r>
      <w:r w:rsidR="001A6826" w:rsidRPr="00391B86">
        <w:rPr>
          <w:rFonts w:ascii="Times New Roman" w:hAnsi="Times New Roman"/>
        </w:rPr>
        <w:t>a</w:t>
      </w:r>
      <w:r w:rsidR="00797F0E" w:rsidRPr="00391B86">
        <w:rPr>
          <w:rFonts w:ascii="Times New Roman" w:hAnsi="Times New Roman"/>
        </w:rPr>
        <w:t xml:space="preserve"> </w:t>
      </w:r>
      <w:r w:rsidR="00AA35C2" w:rsidRPr="00391B86">
        <w:rPr>
          <w:rFonts w:ascii="Times New Roman" w:hAnsi="Times New Roman"/>
        </w:rPr>
        <w:t xml:space="preserve">circuit </w:t>
      </w:r>
      <w:r w:rsidR="00B12F8B" w:rsidRPr="00391B86">
        <w:rPr>
          <w:rFonts w:ascii="Times New Roman" w:hAnsi="Times New Roman"/>
        </w:rPr>
        <w:t>court</w:t>
      </w:r>
      <w:r w:rsidR="00797F0E" w:rsidRPr="00391B86">
        <w:rPr>
          <w:rFonts w:ascii="Times New Roman" w:hAnsi="Times New Roman"/>
        </w:rPr>
        <w:t xml:space="preserve"> </w:t>
      </w:r>
      <w:r w:rsidR="00262B83" w:rsidRPr="00391B86">
        <w:rPr>
          <w:rFonts w:ascii="Times New Roman" w:hAnsi="Times New Roman"/>
        </w:rPr>
        <w:t>had no power to make.</w:t>
      </w:r>
      <w:r w:rsidR="00806B3D" w:rsidRPr="00391B86">
        <w:rPr>
          <w:rFonts w:ascii="Times New Roman" w:hAnsi="Times New Roman"/>
        </w:rPr>
        <w:t xml:space="preserve"> </w:t>
      </w:r>
    </w:p>
    <w:p w14:paraId="7C5F4E09" w14:textId="5EFAF209" w:rsidR="00264EB2" w:rsidRPr="00391B86" w:rsidRDefault="00264EB2"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1F1CC5" w:rsidRPr="00391B86">
        <w:rPr>
          <w:rFonts w:ascii="Times New Roman" w:hAnsi="Times New Roman"/>
        </w:rPr>
        <w:t>The conclusion of the Court</w:t>
      </w:r>
      <w:r w:rsidR="00D16430" w:rsidRPr="00391B86">
        <w:rPr>
          <w:rFonts w:ascii="Times New Roman" w:hAnsi="Times New Roman"/>
        </w:rPr>
        <w:t xml:space="preserve"> of </w:t>
      </w:r>
      <w:r w:rsidR="001F1CC5" w:rsidRPr="00391B86">
        <w:rPr>
          <w:rFonts w:ascii="Times New Roman" w:hAnsi="Times New Roman"/>
        </w:rPr>
        <w:t>A</w:t>
      </w:r>
      <w:r w:rsidR="00D16430" w:rsidRPr="00391B86">
        <w:rPr>
          <w:rFonts w:ascii="Times New Roman" w:hAnsi="Times New Roman"/>
        </w:rPr>
        <w:t>ppeal that</w:t>
      </w:r>
      <w:r w:rsidR="00441E18" w:rsidRPr="00391B86">
        <w:rPr>
          <w:rFonts w:ascii="Times New Roman" w:hAnsi="Times New Roman"/>
        </w:rPr>
        <w:t xml:space="preserve"> s</w:t>
      </w:r>
      <w:r w:rsidR="00395FBA" w:rsidRPr="00391B86">
        <w:rPr>
          <w:rFonts w:ascii="Times New Roman" w:hAnsi="Times New Roman"/>
        </w:rPr>
        <w:t> </w:t>
      </w:r>
      <w:r w:rsidR="00F624B9" w:rsidRPr="00391B86">
        <w:rPr>
          <w:rFonts w:ascii="Times New Roman" w:hAnsi="Times New Roman"/>
        </w:rPr>
        <w:t>1337</w:t>
      </w:r>
      <w:proofErr w:type="gramStart"/>
      <w:r w:rsidR="00992D21" w:rsidRPr="00391B86">
        <w:rPr>
          <w:rFonts w:ascii="Times New Roman" w:hAnsi="Times New Roman"/>
        </w:rPr>
        <w:t>P</w:t>
      </w:r>
      <w:r w:rsidR="00F624B9" w:rsidRPr="00391B86">
        <w:rPr>
          <w:rFonts w:ascii="Times New Roman" w:hAnsi="Times New Roman"/>
        </w:rPr>
        <w:t>(</w:t>
      </w:r>
      <w:proofErr w:type="gramEnd"/>
      <w:r w:rsidR="00F624B9" w:rsidRPr="00391B86">
        <w:rPr>
          <w:rFonts w:ascii="Times New Roman" w:hAnsi="Times New Roman"/>
        </w:rPr>
        <w:t>2)</w:t>
      </w:r>
      <w:r w:rsidR="00F742EC" w:rsidRPr="00391B86">
        <w:rPr>
          <w:rFonts w:ascii="Times New Roman" w:hAnsi="Times New Roman"/>
        </w:rPr>
        <w:t xml:space="preserve"> of the Corporations Act</w:t>
      </w:r>
      <w:r w:rsidR="00D16430" w:rsidRPr="00391B86">
        <w:rPr>
          <w:rFonts w:ascii="Times New Roman" w:hAnsi="Times New Roman"/>
        </w:rPr>
        <w:t>, on its proper construction, would not</w:t>
      </w:r>
      <w:r w:rsidR="00F624B9" w:rsidRPr="00391B86">
        <w:rPr>
          <w:rFonts w:ascii="Times New Roman" w:hAnsi="Times New Roman"/>
        </w:rPr>
        <w:t xml:space="preserve"> operate to</w:t>
      </w:r>
      <w:r w:rsidR="00D16430" w:rsidRPr="00391B86">
        <w:rPr>
          <w:rFonts w:ascii="Times New Roman" w:hAnsi="Times New Roman"/>
        </w:rPr>
        <w:t xml:space="preserve"> give</w:t>
      </w:r>
      <w:r w:rsidR="00441E18" w:rsidRPr="00391B86">
        <w:rPr>
          <w:rFonts w:ascii="Times New Roman" w:hAnsi="Times New Roman"/>
        </w:rPr>
        <w:t xml:space="preserve"> legal force to the Arrium </w:t>
      </w:r>
      <w:r w:rsidR="00A401AB" w:rsidRPr="00391B86">
        <w:rPr>
          <w:rFonts w:ascii="Times New Roman" w:hAnsi="Times New Roman"/>
        </w:rPr>
        <w:t xml:space="preserve">class action </w:t>
      </w:r>
      <w:r w:rsidR="001F1CC5" w:rsidRPr="00391B86">
        <w:rPr>
          <w:rFonts w:ascii="Times New Roman" w:hAnsi="Times New Roman"/>
        </w:rPr>
        <w:t>G</w:t>
      </w:r>
      <w:r w:rsidR="00E51B9F" w:rsidRPr="00391B86">
        <w:rPr>
          <w:rFonts w:ascii="Times New Roman" w:hAnsi="Times New Roman"/>
        </w:rPr>
        <w:t>C</w:t>
      </w:r>
      <w:r w:rsidR="001F1CC5" w:rsidRPr="00391B86">
        <w:rPr>
          <w:rFonts w:ascii="Times New Roman" w:hAnsi="Times New Roman"/>
        </w:rPr>
        <w:t>O</w:t>
      </w:r>
      <w:r w:rsidR="00441E18" w:rsidRPr="00391B86">
        <w:rPr>
          <w:rFonts w:ascii="Times New Roman" w:hAnsi="Times New Roman"/>
        </w:rPr>
        <w:t xml:space="preserve"> </w:t>
      </w:r>
      <w:r w:rsidR="001F1CC5" w:rsidRPr="00391B86">
        <w:rPr>
          <w:rFonts w:ascii="Times New Roman" w:hAnsi="Times New Roman"/>
        </w:rPr>
        <w:t>were the Arrium class action transferred to the Supreme Court of New South Wales was therefore correct</w:t>
      </w:r>
      <w:r w:rsidR="0063518A" w:rsidRPr="00391B86">
        <w:rPr>
          <w:rFonts w:ascii="Times New Roman" w:hAnsi="Times New Roman"/>
        </w:rPr>
        <w:t>.</w:t>
      </w:r>
      <w:r w:rsidR="00854EFF" w:rsidRPr="00391B86">
        <w:rPr>
          <w:rFonts w:ascii="Times New Roman" w:hAnsi="Times New Roman"/>
        </w:rPr>
        <w:t xml:space="preserve"> </w:t>
      </w:r>
      <w:r w:rsidR="007B74BC" w:rsidRPr="00391B86">
        <w:rPr>
          <w:rFonts w:ascii="Times New Roman" w:hAnsi="Times New Roman"/>
        </w:rPr>
        <w:t>The evaluation of the interests of justice for the purpose of s 133</w:t>
      </w:r>
      <w:r w:rsidR="00F742EC" w:rsidRPr="00391B86">
        <w:rPr>
          <w:rFonts w:ascii="Times New Roman" w:hAnsi="Times New Roman"/>
        </w:rPr>
        <w:t>7</w:t>
      </w:r>
      <w:proofErr w:type="gramStart"/>
      <w:r w:rsidR="00F742EC" w:rsidRPr="00391B86">
        <w:rPr>
          <w:rFonts w:ascii="Times New Roman" w:hAnsi="Times New Roman"/>
        </w:rPr>
        <w:t>H(</w:t>
      </w:r>
      <w:proofErr w:type="gramEnd"/>
      <w:r w:rsidR="00F742EC" w:rsidRPr="00391B86">
        <w:rPr>
          <w:rFonts w:ascii="Times New Roman" w:hAnsi="Times New Roman"/>
        </w:rPr>
        <w:t>2) of the Corporations Act appropriately proceeds upon an acceptance of that conclusion.</w:t>
      </w:r>
    </w:p>
    <w:p w14:paraId="5518032F" w14:textId="6388E4AB" w:rsidR="00126420" w:rsidRPr="00391B86" w:rsidRDefault="005244B5" w:rsidP="00391B86">
      <w:pPr>
        <w:pStyle w:val="HeadingL1"/>
        <w:spacing w:after="260" w:line="280" w:lineRule="exact"/>
        <w:ind w:right="0"/>
        <w:jc w:val="both"/>
        <w:rPr>
          <w:rFonts w:ascii="Times New Roman" w:hAnsi="Times New Roman"/>
        </w:rPr>
      </w:pPr>
      <w:r w:rsidRPr="00391B86">
        <w:rPr>
          <w:rFonts w:ascii="Times New Roman" w:hAnsi="Times New Roman"/>
        </w:rPr>
        <w:t>The interests of justice for the purpose of s 1337</w:t>
      </w:r>
      <w:proofErr w:type="gramStart"/>
      <w:r w:rsidRPr="00391B86">
        <w:rPr>
          <w:rFonts w:ascii="Times New Roman" w:hAnsi="Times New Roman"/>
        </w:rPr>
        <w:t>H(</w:t>
      </w:r>
      <w:proofErr w:type="gramEnd"/>
      <w:r w:rsidRPr="00391B86">
        <w:rPr>
          <w:rFonts w:ascii="Times New Roman" w:hAnsi="Times New Roman"/>
        </w:rPr>
        <w:t>2)</w:t>
      </w:r>
      <w:r w:rsidR="00D65AF4" w:rsidRPr="00391B86">
        <w:rPr>
          <w:rFonts w:ascii="Times New Roman" w:hAnsi="Times New Roman"/>
        </w:rPr>
        <w:t xml:space="preserve"> of the Corporations Act</w:t>
      </w:r>
    </w:p>
    <w:p w14:paraId="69F8D5EA" w14:textId="4438E9A8" w:rsidR="00F318D4" w:rsidRPr="00391B86" w:rsidRDefault="004F45E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371C3A" w:rsidRPr="00391B86">
        <w:rPr>
          <w:rFonts w:ascii="Times New Roman" w:hAnsi="Times New Roman"/>
        </w:rPr>
        <w:t xml:space="preserve">The argument of KPMG and the director defendants that the Arrium </w:t>
      </w:r>
      <w:r w:rsidR="00CA0CFB" w:rsidRPr="00391B86">
        <w:rPr>
          <w:rFonts w:ascii="Times New Roman" w:hAnsi="Times New Roman"/>
        </w:rPr>
        <w:t>class action</w:t>
      </w:r>
      <w:r w:rsidR="00371C3A" w:rsidRPr="00391B86">
        <w:rPr>
          <w:rFonts w:ascii="Times New Roman" w:hAnsi="Times New Roman"/>
        </w:rPr>
        <w:t xml:space="preserve"> G</w:t>
      </w:r>
      <w:r w:rsidR="00E51B9F" w:rsidRPr="00391B86">
        <w:rPr>
          <w:rFonts w:ascii="Times New Roman" w:hAnsi="Times New Roman"/>
        </w:rPr>
        <w:t>C</w:t>
      </w:r>
      <w:r w:rsidR="00371C3A" w:rsidRPr="00391B86">
        <w:rPr>
          <w:rFonts w:ascii="Times New Roman" w:hAnsi="Times New Roman"/>
        </w:rPr>
        <w:t xml:space="preserve">O </w:t>
      </w:r>
      <w:r w:rsidR="00924082" w:rsidRPr="00391B86">
        <w:rPr>
          <w:rFonts w:ascii="Times New Roman" w:hAnsi="Times New Roman"/>
        </w:rPr>
        <w:t>is</w:t>
      </w:r>
      <w:r w:rsidR="00371C3A" w:rsidRPr="00391B86">
        <w:rPr>
          <w:rFonts w:ascii="Times New Roman" w:hAnsi="Times New Roman"/>
        </w:rPr>
        <w:t xml:space="preserve"> irrelevant to an evaluation of the interests of justice </w:t>
      </w:r>
      <w:r w:rsidR="00EC2954" w:rsidRPr="00391B86">
        <w:rPr>
          <w:rFonts w:ascii="Times New Roman" w:hAnsi="Times New Roman"/>
        </w:rPr>
        <w:t>started with</w:t>
      </w:r>
      <w:r w:rsidR="00E603C7" w:rsidRPr="00391B86">
        <w:rPr>
          <w:rFonts w:ascii="Times New Roman" w:hAnsi="Times New Roman"/>
        </w:rPr>
        <w:t xml:space="preserve"> an </w:t>
      </w:r>
      <w:r w:rsidR="001C4640" w:rsidRPr="00391B86">
        <w:rPr>
          <w:rFonts w:ascii="Times New Roman" w:hAnsi="Times New Roman"/>
        </w:rPr>
        <w:t>attempt to</w:t>
      </w:r>
      <w:r w:rsidR="00550231" w:rsidRPr="00391B86">
        <w:rPr>
          <w:rFonts w:ascii="Times New Roman" w:hAnsi="Times New Roman"/>
        </w:rPr>
        <w:t xml:space="preserve"> equat</w:t>
      </w:r>
      <w:r w:rsidR="001C4640" w:rsidRPr="00391B86">
        <w:rPr>
          <w:rFonts w:ascii="Times New Roman" w:hAnsi="Times New Roman"/>
        </w:rPr>
        <w:t>e</w:t>
      </w:r>
      <w:r w:rsidR="00550231" w:rsidRPr="00391B86">
        <w:rPr>
          <w:rFonts w:ascii="Times New Roman" w:hAnsi="Times New Roman"/>
        </w:rPr>
        <w:t xml:space="preserve"> the </w:t>
      </w:r>
      <w:r w:rsidR="007F739F" w:rsidRPr="00391B86">
        <w:rPr>
          <w:rFonts w:ascii="Times New Roman" w:hAnsi="Times New Roman"/>
        </w:rPr>
        <w:t>operation of s</w:t>
      </w:r>
      <w:r w:rsidR="00882648" w:rsidRPr="00391B86">
        <w:rPr>
          <w:rFonts w:ascii="Times New Roman" w:hAnsi="Times New Roman"/>
        </w:rPr>
        <w:t> </w:t>
      </w:r>
      <w:r w:rsidR="007F739F" w:rsidRPr="00391B86">
        <w:rPr>
          <w:rFonts w:ascii="Times New Roman" w:hAnsi="Times New Roman"/>
        </w:rPr>
        <w:t xml:space="preserve">1337H(2) of the Corporations Act </w:t>
      </w:r>
      <w:r w:rsidR="00185A38" w:rsidRPr="00391B86">
        <w:rPr>
          <w:rFonts w:ascii="Times New Roman" w:hAnsi="Times New Roman"/>
        </w:rPr>
        <w:t>with</w:t>
      </w:r>
      <w:r w:rsidR="007F739F" w:rsidRPr="00391B86">
        <w:rPr>
          <w:rFonts w:ascii="Times New Roman" w:hAnsi="Times New Roman"/>
        </w:rPr>
        <w:t xml:space="preserve"> the operation of </w:t>
      </w:r>
      <w:r w:rsidR="00F74F09" w:rsidRPr="00391B86">
        <w:rPr>
          <w:rFonts w:ascii="Times New Roman" w:hAnsi="Times New Roman"/>
        </w:rPr>
        <w:t>s</w:t>
      </w:r>
      <w:r w:rsidR="00882648" w:rsidRPr="00391B86">
        <w:rPr>
          <w:rFonts w:ascii="Times New Roman" w:hAnsi="Times New Roman"/>
        </w:rPr>
        <w:t> </w:t>
      </w:r>
      <w:r w:rsidR="00F74F09" w:rsidRPr="00391B86">
        <w:rPr>
          <w:rFonts w:ascii="Times New Roman" w:hAnsi="Times New Roman"/>
        </w:rPr>
        <w:t xml:space="preserve">5(2)(b)(iii) of the </w:t>
      </w:r>
      <w:r w:rsidR="008F184C" w:rsidRPr="00391B86">
        <w:rPr>
          <w:rFonts w:ascii="Times New Roman" w:hAnsi="Times New Roman"/>
        </w:rPr>
        <w:t>Cross-vesting Act considered by this C</w:t>
      </w:r>
      <w:r w:rsidR="00786A79" w:rsidRPr="00391B86">
        <w:rPr>
          <w:rFonts w:ascii="Times New Roman" w:hAnsi="Times New Roman"/>
        </w:rPr>
        <w:t xml:space="preserve">ourt in </w:t>
      </w:r>
      <w:r w:rsidR="00786A79" w:rsidRPr="00391B86">
        <w:rPr>
          <w:rFonts w:ascii="Times New Roman" w:hAnsi="Times New Roman"/>
          <w:i/>
          <w:iCs/>
        </w:rPr>
        <w:t xml:space="preserve">BHP </w:t>
      </w:r>
      <w:r w:rsidR="00786A79" w:rsidRPr="00391B86">
        <w:rPr>
          <w:rFonts w:ascii="Times New Roman" w:hAnsi="Times New Roman"/>
          <w:i/>
          <w:iCs/>
        </w:rPr>
        <w:lastRenderedPageBreak/>
        <w:t>Billiton Ltd v S</w:t>
      </w:r>
      <w:r w:rsidR="007E56BE" w:rsidRPr="00391B86">
        <w:rPr>
          <w:rFonts w:ascii="Times New Roman" w:hAnsi="Times New Roman"/>
          <w:i/>
          <w:iCs/>
        </w:rPr>
        <w:t>c</w:t>
      </w:r>
      <w:r w:rsidR="00786A79" w:rsidRPr="00391B86">
        <w:rPr>
          <w:rFonts w:ascii="Times New Roman" w:hAnsi="Times New Roman"/>
          <w:i/>
          <w:iCs/>
        </w:rPr>
        <w:t>hult</w:t>
      </w:r>
      <w:r w:rsidR="00675BB5" w:rsidRPr="00391B86">
        <w:rPr>
          <w:rFonts w:ascii="Times New Roman" w:hAnsi="Times New Roman"/>
          <w:i/>
          <w:iCs/>
        </w:rPr>
        <w:t>z</w:t>
      </w:r>
      <w:r w:rsidR="00CF25A9" w:rsidRPr="00391B86">
        <w:rPr>
          <w:rFonts w:ascii="Times New Roman" w:hAnsi="Times New Roman"/>
        </w:rPr>
        <w:t>.</w:t>
      </w:r>
      <w:r w:rsidR="00675BB5" w:rsidRPr="00391B86">
        <w:rPr>
          <w:rStyle w:val="FootnoteReference"/>
          <w:rFonts w:ascii="Times New Roman" w:hAnsi="Times New Roman"/>
          <w:sz w:val="24"/>
        </w:rPr>
        <w:footnoteReference w:id="38"/>
      </w:r>
      <w:r w:rsidR="00675BB5" w:rsidRPr="00391B86">
        <w:rPr>
          <w:rFonts w:ascii="Times New Roman" w:hAnsi="Times New Roman"/>
        </w:rPr>
        <w:t xml:space="preserve"> </w:t>
      </w:r>
      <w:r w:rsidR="004D2F01" w:rsidRPr="00391B86">
        <w:rPr>
          <w:rFonts w:ascii="Times New Roman" w:hAnsi="Times New Roman"/>
        </w:rPr>
        <w:t>From th</w:t>
      </w:r>
      <w:r w:rsidR="00EC2954" w:rsidRPr="00391B86">
        <w:rPr>
          <w:rFonts w:ascii="Times New Roman" w:hAnsi="Times New Roman"/>
        </w:rPr>
        <w:t>ere</w:t>
      </w:r>
      <w:r w:rsidR="004D2F01" w:rsidRPr="00391B86">
        <w:rPr>
          <w:rFonts w:ascii="Times New Roman" w:hAnsi="Times New Roman"/>
        </w:rPr>
        <w:t>, t</w:t>
      </w:r>
      <w:r w:rsidR="00675BB5" w:rsidRPr="00391B86">
        <w:rPr>
          <w:rFonts w:ascii="Times New Roman" w:hAnsi="Times New Roman"/>
        </w:rPr>
        <w:t>he</w:t>
      </w:r>
      <w:r w:rsidR="00CF25A9" w:rsidRPr="00391B86">
        <w:rPr>
          <w:rFonts w:ascii="Times New Roman" w:hAnsi="Times New Roman"/>
        </w:rPr>
        <w:t xml:space="preserve"> argument</w:t>
      </w:r>
      <w:r w:rsidR="00675BB5" w:rsidRPr="00391B86">
        <w:rPr>
          <w:rFonts w:ascii="Times New Roman" w:hAnsi="Times New Roman"/>
        </w:rPr>
        <w:t xml:space="preserve"> </w:t>
      </w:r>
      <w:r w:rsidR="00E603C7" w:rsidRPr="00391B86">
        <w:rPr>
          <w:rFonts w:ascii="Times New Roman" w:hAnsi="Times New Roman"/>
        </w:rPr>
        <w:t xml:space="preserve">developed </w:t>
      </w:r>
      <w:r w:rsidR="00DF09F7" w:rsidRPr="00391B86">
        <w:rPr>
          <w:rFonts w:ascii="Times New Roman" w:hAnsi="Times New Roman"/>
        </w:rPr>
        <w:t xml:space="preserve">by </w:t>
      </w:r>
      <w:r w:rsidR="001C4640" w:rsidRPr="00391B86">
        <w:rPr>
          <w:rFonts w:ascii="Times New Roman" w:hAnsi="Times New Roman"/>
        </w:rPr>
        <w:t>attempt</w:t>
      </w:r>
      <w:r w:rsidR="00DF09F7" w:rsidRPr="00391B86">
        <w:rPr>
          <w:rFonts w:ascii="Times New Roman" w:hAnsi="Times New Roman"/>
        </w:rPr>
        <w:t>ing</w:t>
      </w:r>
      <w:r w:rsidR="001C4640" w:rsidRPr="00391B86">
        <w:rPr>
          <w:rFonts w:ascii="Times New Roman" w:hAnsi="Times New Roman"/>
        </w:rPr>
        <w:t xml:space="preserve"> </w:t>
      </w:r>
      <w:r w:rsidR="000E3D17" w:rsidRPr="00391B86">
        <w:rPr>
          <w:rFonts w:ascii="Times New Roman" w:hAnsi="Times New Roman"/>
        </w:rPr>
        <w:t xml:space="preserve">to </w:t>
      </w:r>
      <w:r w:rsidR="00D36B6D" w:rsidRPr="00391B86">
        <w:rPr>
          <w:rFonts w:ascii="Times New Roman" w:hAnsi="Times New Roman"/>
        </w:rPr>
        <w:t>extract</w:t>
      </w:r>
      <w:r w:rsidR="00C86FE4" w:rsidRPr="00391B86">
        <w:rPr>
          <w:rFonts w:ascii="Times New Roman" w:hAnsi="Times New Roman"/>
        </w:rPr>
        <w:t xml:space="preserve"> </w:t>
      </w:r>
      <w:r w:rsidR="000E3D17" w:rsidRPr="00391B86">
        <w:rPr>
          <w:rFonts w:ascii="Times New Roman" w:hAnsi="Times New Roman"/>
        </w:rPr>
        <w:t>from</w:t>
      </w:r>
      <w:r w:rsidR="00B80EFF" w:rsidRPr="00391B86">
        <w:rPr>
          <w:rFonts w:ascii="Times New Roman" w:hAnsi="Times New Roman"/>
        </w:rPr>
        <w:t xml:space="preserve"> the reasoning in</w:t>
      </w:r>
      <w:r w:rsidR="000E3D17" w:rsidRPr="00391B86">
        <w:rPr>
          <w:rFonts w:ascii="Times New Roman" w:hAnsi="Times New Roman"/>
        </w:rPr>
        <w:t xml:space="preserve"> </w:t>
      </w:r>
      <w:r w:rsidR="000E3D17" w:rsidRPr="00391B86">
        <w:rPr>
          <w:rFonts w:ascii="Times New Roman" w:hAnsi="Times New Roman"/>
          <w:i/>
          <w:iCs/>
        </w:rPr>
        <w:t>S</w:t>
      </w:r>
      <w:r w:rsidR="007E56BE" w:rsidRPr="00391B86">
        <w:rPr>
          <w:rFonts w:ascii="Times New Roman" w:hAnsi="Times New Roman"/>
          <w:i/>
          <w:iCs/>
        </w:rPr>
        <w:t>c</w:t>
      </w:r>
      <w:r w:rsidR="000E3D17" w:rsidRPr="00391B86">
        <w:rPr>
          <w:rFonts w:ascii="Times New Roman" w:hAnsi="Times New Roman"/>
          <w:i/>
          <w:iCs/>
        </w:rPr>
        <w:t>hultz</w:t>
      </w:r>
      <w:r w:rsidR="000E3D17" w:rsidRPr="00391B86">
        <w:rPr>
          <w:rFonts w:ascii="Times New Roman" w:hAnsi="Times New Roman"/>
        </w:rPr>
        <w:t xml:space="preserve"> </w:t>
      </w:r>
      <w:r w:rsidR="005F1716" w:rsidRPr="00391B86">
        <w:rPr>
          <w:rFonts w:ascii="Times New Roman" w:hAnsi="Times New Roman"/>
        </w:rPr>
        <w:t>propositions</w:t>
      </w:r>
      <w:r w:rsidR="00C86FE4" w:rsidRPr="00391B86">
        <w:rPr>
          <w:rFonts w:ascii="Times New Roman" w:hAnsi="Times New Roman"/>
        </w:rPr>
        <w:t xml:space="preserve"> said</w:t>
      </w:r>
      <w:r w:rsidR="005B6D62" w:rsidRPr="00391B86">
        <w:rPr>
          <w:rFonts w:ascii="Times New Roman" w:hAnsi="Times New Roman"/>
        </w:rPr>
        <w:t xml:space="preserve"> to</w:t>
      </w:r>
      <w:r w:rsidR="00EC1755" w:rsidRPr="00391B86">
        <w:rPr>
          <w:rFonts w:ascii="Times New Roman" w:hAnsi="Times New Roman"/>
        </w:rPr>
        <w:t xml:space="preserve"> confine the decision </w:t>
      </w:r>
      <w:r w:rsidR="00C1642E" w:rsidRPr="00391B86">
        <w:rPr>
          <w:rFonts w:ascii="Times New Roman" w:hAnsi="Times New Roman"/>
        </w:rPr>
        <w:t xml:space="preserve">to transfer </w:t>
      </w:r>
      <w:r w:rsidR="00EC1755" w:rsidRPr="00391B86">
        <w:rPr>
          <w:rFonts w:ascii="Times New Roman" w:hAnsi="Times New Roman"/>
        </w:rPr>
        <w:t xml:space="preserve">under </w:t>
      </w:r>
      <w:r w:rsidR="00DA153C" w:rsidRPr="00391B86">
        <w:rPr>
          <w:rFonts w:ascii="Times New Roman" w:hAnsi="Times New Roman"/>
        </w:rPr>
        <w:t>s </w:t>
      </w:r>
      <w:r w:rsidR="00EC1755" w:rsidRPr="00391B86">
        <w:rPr>
          <w:rFonts w:ascii="Times New Roman" w:hAnsi="Times New Roman"/>
        </w:rPr>
        <w:t xml:space="preserve">1337H(2) to </w:t>
      </w:r>
      <w:r w:rsidR="00B33483" w:rsidRPr="00391B86">
        <w:rPr>
          <w:rFonts w:ascii="Times New Roman" w:hAnsi="Times New Roman"/>
        </w:rPr>
        <w:t xml:space="preserve">a determination of whether </w:t>
      </w:r>
      <w:r w:rsidR="00E23780" w:rsidRPr="00391B86">
        <w:rPr>
          <w:rFonts w:ascii="Times New Roman" w:hAnsi="Times New Roman"/>
        </w:rPr>
        <w:t xml:space="preserve">transfer </w:t>
      </w:r>
      <w:r w:rsidR="004D2F01" w:rsidRPr="00391B86">
        <w:rPr>
          <w:rFonts w:ascii="Times New Roman" w:hAnsi="Times New Roman"/>
        </w:rPr>
        <w:t>is</w:t>
      </w:r>
      <w:r w:rsidR="009E689B" w:rsidRPr="00391B86">
        <w:rPr>
          <w:rFonts w:ascii="Times New Roman" w:hAnsi="Times New Roman"/>
        </w:rPr>
        <w:t xml:space="preserve"> more appropriate having regard to </w:t>
      </w:r>
      <w:r w:rsidR="00EC1755" w:rsidRPr="00391B86">
        <w:rPr>
          <w:rFonts w:ascii="Times New Roman" w:hAnsi="Times New Roman"/>
        </w:rPr>
        <w:t>the interests of justice</w:t>
      </w:r>
      <w:r w:rsidR="00DF09F7" w:rsidRPr="00391B86">
        <w:rPr>
          <w:rFonts w:ascii="Times New Roman" w:hAnsi="Times New Roman"/>
        </w:rPr>
        <w:t xml:space="preserve"> and</w:t>
      </w:r>
      <w:r w:rsidR="00EC1755" w:rsidRPr="00391B86">
        <w:rPr>
          <w:rFonts w:ascii="Times New Roman" w:hAnsi="Times New Roman"/>
        </w:rPr>
        <w:t xml:space="preserve"> </w:t>
      </w:r>
      <w:r w:rsidR="009818B9" w:rsidRPr="00391B86">
        <w:rPr>
          <w:rFonts w:ascii="Times New Roman" w:hAnsi="Times New Roman"/>
        </w:rPr>
        <w:t xml:space="preserve">which would confine the interests of justice to a </w:t>
      </w:r>
      <w:r w:rsidR="00BB39A5" w:rsidRPr="00391B86">
        <w:rPr>
          <w:rFonts w:ascii="Times New Roman" w:hAnsi="Times New Roman"/>
        </w:rPr>
        <w:t>preponderance of "connecting factors"</w:t>
      </w:r>
      <w:r w:rsidR="00DF09F7" w:rsidRPr="00391B86">
        <w:rPr>
          <w:rFonts w:ascii="Times New Roman" w:hAnsi="Times New Roman"/>
        </w:rPr>
        <w:t xml:space="preserve">. </w:t>
      </w:r>
      <w:r w:rsidR="00E656E8" w:rsidRPr="00391B86">
        <w:rPr>
          <w:rFonts w:ascii="Times New Roman" w:hAnsi="Times New Roman"/>
        </w:rPr>
        <w:t>E</w:t>
      </w:r>
      <w:r w:rsidR="00BB39A5" w:rsidRPr="00391B86">
        <w:rPr>
          <w:rFonts w:ascii="Times New Roman" w:hAnsi="Times New Roman"/>
        </w:rPr>
        <w:t>xclu</w:t>
      </w:r>
      <w:r w:rsidR="00AE6AC0" w:rsidRPr="00391B86">
        <w:rPr>
          <w:rFonts w:ascii="Times New Roman" w:hAnsi="Times New Roman"/>
        </w:rPr>
        <w:t>de</w:t>
      </w:r>
      <w:r w:rsidR="00207FBA" w:rsidRPr="00391B86">
        <w:rPr>
          <w:rFonts w:ascii="Times New Roman" w:hAnsi="Times New Roman"/>
        </w:rPr>
        <w:t>d</w:t>
      </w:r>
      <w:r w:rsidR="00AE6AC0" w:rsidRPr="00391B86">
        <w:rPr>
          <w:rFonts w:ascii="Times New Roman" w:hAnsi="Times New Roman"/>
        </w:rPr>
        <w:t xml:space="preserve"> from </w:t>
      </w:r>
      <w:r w:rsidR="00AA378A" w:rsidRPr="00391B86">
        <w:rPr>
          <w:rFonts w:ascii="Times New Roman" w:hAnsi="Times New Roman"/>
        </w:rPr>
        <w:t xml:space="preserve">consideration </w:t>
      </w:r>
      <w:r w:rsidR="00CD1085" w:rsidRPr="00391B86">
        <w:rPr>
          <w:rFonts w:ascii="Times New Roman" w:hAnsi="Times New Roman"/>
        </w:rPr>
        <w:t>by a transferor court</w:t>
      </w:r>
      <w:r w:rsidR="00AA378A" w:rsidRPr="00391B86">
        <w:rPr>
          <w:rFonts w:ascii="Times New Roman" w:hAnsi="Times New Roman"/>
        </w:rPr>
        <w:t xml:space="preserve"> determin</w:t>
      </w:r>
      <w:r w:rsidR="00CD1085" w:rsidRPr="00391B86">
        <w:rPr>
          <w:rFonts w:ascii="Times New Roman" w:hAnsi="Times New Roman"/>
        </w:rPr>
        <w:t>ing</w:t>
      </w:r>
      <w:r w:rsidR="00AA378A" w:rsidRPr="00391B86">
        <w:rPr>
          <w:rFonts w:ascii="Times New Roman" w:hAnsi="Times New Roman"/>
        </w:rPr>
        <w:t xml:space="preserve"> </w:t>
      </w:r>
      <w:r w:rsidR="00AE6AC0" w:rsidRPr="00391B86">
        <w:rPr>
          <w:rFonts w:ascii="Times New Roman" w:hAnsi="Times New Roman"/>
        </w:rPr>
        <w:t>the interests of justice</w:t>
      </w:r>
      <w:r w:rsidR="00AA378A" w:rsidRPr="00391B86">
        <w:rPr>
          <w:rFonts w:ascii="Times New Roman" w:hAnsi="Times New Roman"/>
        </w:rPr>
        <w:t>, so the argument went, are</w:t>
      </w:r>
      <w:r w:rsidR="00733D6C" w:rsidRPr="00391B86">
        <w:rPr>
          <w:rFonts w:ascii="Times New Roman" w:hAnsi="Times New Roman"/>
        </w:rPr>
        <w:t xml:space="preserve"> difference</w:t>
      </w:r>
      <w:r w:rsidR="00024831" w:rsidRPr="00391B86">
        <w:rPr>
          <w:rFonts w:ascii="Times New Roman" w:hAnsi="Times New Roman"/>
        </w:rPr>
        <w:t>s</w:t>
      </w:r>
      <w:r w:rsidR="00733D6C" w:rsidRPr="00391B86">
        <w:rPr>
          <w:rFonts w:ascii="Times New Roman" w:hAnsi="Times New Roman"/>
        </w:rPr>
        <w:t xml:space="preserve"> </w:t>
      </w:r>
      <w:r w:rsidR="007F3598" w:rsidRPr="00391B86">
        <w:rPr>
          <w:rFonts w:ascii="Times New Roman" w:hAnsi="Times New Roman"/>
        </w:rPr>
        <w:t xml:space="preserve">in </w:t>
      </w:r>
      <w:r w:rsidR="00733D6C" w:rsidRPr="00391B86">
        <w:rPr>
          <w:rFonts w:ascii="Times New Roman" w:hAnsi="Times New Roman"/>
        </w:rPr>
        <w:t xml:space="preserve">the texts of </w:t>
      </w:r>
      <w:r w:rsidR="00BD6D70" w:rsidRPr="00391B86">
        <w:rPr>
          <w:rFonts w:ascii="Times New Roman" w:hAnsi="Times New Roman"/>
        </w:rPr>
        <w:t>State laws</w:t>
      </w:r>
      <w:r w:rsidR="001C5601" w:rsidRPr="00391B86">
        <w:rPr>
          <w:rFonts w:ascii="Times New Roman" w:hAnsi="Times New Roman"/>
        </w:rPr>
        <w:t xml:space="preserve"> picked up and applied by </w:t>
      </w:r>
      <w:r w:rsidR="00DA153C" w:rsidRPr="00391B86">
        <w:rPr>
          <w:rFonts w:ascii="Times New Roman" w:hAnsi="Times New Roman"/>
        </w:rPr>
        <w:t>s </w:t>
      </w:r>
      <w:r w:rsidR="001C5601" w:rsidRPr="00391B86">
        <w:rPr>
          <w:rFonts w:ascii="Times New Roman" w:hAnsi="Times New Roman"/>
        </w:rPr>
        <w:t>79 of the Judiciary Act</w:t>
      </w:r>
      <w:r w:rsidR="00BD6D70" w:rsidRPr="00391B86">
        <w:rPr>
          <w:rFonts w:ascii="Times New Roman" w:hAnsi="Times New Roman"/>
        </w:rPr>
        <w:t xml:space="preserve"> in the transferor court and </w:t>
      </w:r>
      <w:r w:rsidR="00745130" w:rsidRPr="00391B86">
        <w:rPr>
          <w:rFonts w:ascii="Times New Roman" w:hAnsi="Times New Roman"/>
        </w:rPr>
        <w:t xml:space="preserve">in </w:t>
      </w:r>
      <w:r w:rsidR="00BD6D70" w:rsidRPr="00391B86">
        <w:rPr>
          <w:rFonts w:ascii="Times New Roman" w:hAnsi="Times New Roman"/>
        </w:rPr>
        <w:t>the transferee court</w:t>
      </w:r>
      <w:r w:rsidR="00AE45E7" w:rsidRPr="00391B86">
        <w:rPr>
          <w:rFonts w:ascii="Times New Roman" w:hAnsi="Times New Roman"/>
        </w:rPr>
        <w:t>,</w:t>
      </w:r>
      <w:r w:rsidR="00BD6D70" w:rsidRPr="00391B86">
        <w:rPr>
          <w:rFonts w:ascii="Times New Roman" w:hAnsi="Times New Roman"/>
        </w:rPr>
        <w:t xml:space="preserve"> </w:t>
      </w:r>
      <w:r w:rsidR="003056FA" w:rsidRPr="00391B86">
        <w:rPr>
          <w:rFonts w:ascii="Times New Roman" w:hAnsi="Times New Roman"/>
        </w:rPr>
        <w:t>at least where those difference</w:t>
      </w:r>
      <w:r w:rsidR="00C617DF" w:rsidRPr="00391B86">
        <w:rPr>
          <w:rFonts w:ascii="Times New Roman" w:hAnsi="Times New Roman"/>
        </w:rPr>
        <w:t>s</w:t>
      </w:r>
      <w:r w:rsidR="00024831" w:rsidRPr="00391B86">
        <w:rPr>
          <w:rFonts w:ascii="Times New Roman" w:hAnsi="Times New Roman"/>
        </w:rPr>
        <w:t xml:space="preserve"> </w:t>
      </w:r>
      <w:r w:rsidR="00115D60" w:rsidRPr="00391B86">
        <w:rPr>
          <w:rFonts w:ascii="Times New Roman" w:hAnsi="Times New Roman"/>
        </w:rPr>
        <w:t>can be characterised as</w:t>
      </w:r>
      <w:r w:rsidR="004D6A8A" w:rsidRPr="00391B86">
        <w:rPr>
          <w:rFonts w:ascii="Times New Roman" w:hAnsi="Times New Roman"/>
        </w:rPr>
        <w:t xml:space="preserve"> the product of differen</w:t>
      </w:r>
      <w:r w:rsidR="000052E9" w:rsidRPr="00391B86">
        <w:rPr>
          <w:rFonts w:ascii="Times New Roman" w:hAnsi="Times New Roman"/>
        </w:rPr>
        <w:t>t</w:t>
      </w:r>
      <w:r w:rsidR="00745130" w:rsidRPr="00391B86">
        <w:rPr>
          <w:rFonts w:ascii="Times New Roman" w:hAnsi="Times New Roman"/>
        </w:rPr>
        <w:t xml:space="preserve"> </w:t>
      </w:r>
      <w:r w:rsidR="00A5265C" w:rsidRPr="00391B86">
        <w:rPr>
          <w:rFonts w:ascii="Times New Roman" w:hAnsi="Times New Roman"/>
        </w:rPr>
        <w:t xml:space="preserve">"policy choices" </w:t>
      </w:r>
      <w:r w:rsidR="000052E9" w:rsidRPr="00391B86">
        <w:rPr>
          <w:rFonts w:ascii="Times New Roman" w:hAnsi="Times New Roman"/>
        </w:rPr>
        <w:t xml:space="preserve">by </w:t>
      </w:r>
      <w:r w:rsidR="006F6405" w:rsidRPr="00391B86">
        <w:rPr>
          <w:rFonts w:ascii="Times New Roman" w:hAnsi="Times New Roman"/>
        </w:rPr>
        <w:t xml:space="preserve">different </w:t>
      </w:r>
      <w:r w:rsidR="000052E9" w:rsidRPr="00391B86">
        <w:rPr>
          <w:rFonts w:ascii="Times New Roman" w:hAnsi="Times New Roman"/>
        </w:rPr>
        <w:t xml:space="preserve">State </w:t>
      </w:r>
      <w:r w:rsidR="006F6405" w:rsidRPr="00391B86">
        <w:rPr>
          <w:rFonts w:ascii="Times New Roman" w:hAnsi="Times New Roman"/>
        </w:rPr>
        <w:t xml:space="preserve">Parliaments </w:t>
      </w:r>
      <w:r w:rsidR="00A5265C" w:rsidRPr="00391B86">
        <w:rPr>
          <w:rFonts w:ascii="Times New Roman" w:hAnsi="Times New Roman"/>
        </w:rPr>
        <w:t>or</w:t>
      </w:r>
      <w:r w:rsidR="006A02A2" w:rsidRPr="00391B86">
        <w:rPr>
          <w:rFonts w:ascii="Times New Roman" w:hAnsi="Times New Roman"/>
        </w:rPr>
        <w:t xml:space="preserve"> </w:t>
      </w:r>
      <w:r w:rsidR="00115D60" w:rsidRPr="00391B86">
        <w:rPr>
          <w:rFonts w:ascii="Times New Roman" w:hAnsi="Times New Roman"/>
        </w:rPr>
        <w:t xml:space="preserve">can be seen to </w:t>
      </w:r>
      <w:r w:rsidR="006A02A2" w:rsidRPr="00391B86">
        <w:rPr>
          <w:rFonts w:ascii="Times New Roman" w:hAnsi="Times New Roman"/>
        </w:rPr>
        <w:t>advantage on</w:t>
      </w:r>
      <w:r w:rsidR="00115D60" w:rsidRPr="00391B86">
        <w:rPr>
          <w:rFonts w:ascii="Times New Roman" w:hAnsi="Times New Roman"/>
        </w:rPr>
        <w:t>e party to the corresponding disadvantage of another.</w:t>
      </w:r>
      <w:r w:rsidR="00A5265C" w:rsidRPr="00391B86">
        <w:rPr>
          <w:rFonts w:ascii="Times New Roman" w:hAnsi="Times New Roman"/>
        </w:rPr>
        <w:t xml:space="preserve"> </w:t>
      </w:r>
      <w:r w:rsidR="00135F27" w:rsidRPr="00391B86">
        <w:rPr>
          <w:rFonts w:ascii="Times New Roman" w:hAnsi="Times New Roman"/>
        </w:rPr>
        <w:t xml:space="preserve">Both of those </w:t>
      </w:r>
      <w:r w:rsidR="00F318D4" w:rsidRPr="00391B86">
        <w:rPr>
          <w:rFonts w:ascii="Times New Roman" w:hAnsi="Times New Roman"/>
        </w:rPr>
        <w:t>exclusions</w:t>
      </w:r>
      <w:r w:rsidR="00135F27" w:rsidRPr="00391B86">
        <w:rPr>
          <w:rFonts w:ascii="Times New Roman" w:hAnsi="Times New Roman"/>
        </w:rPr>
        <w:t xml:space="preserve"> were argued to be applicable</w:t>
      </w:r>
      <w:r w:rsidR="00F318D4" w:rsidRPr="00391B86">
        <w:rPr>
          <w:rFonts w:ascii="Times New Roman" w:hAnsi="Times New Roman"/>
        </w:rPr>
        <w:t>.</w:t>
      </w:r>
    </w:p>
    <w:p w14:paraId="13DA045C" w14:textId="26EF0815" w:rsidR="00E603C7" w:rsidRPr="00391B86" w:rsidRDefault="00E603C7"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923636" w:rsidRPr="00391B86">
        <w:rPr>
          <w:rFonts w:ascii="Times New Roman" w:hAnsi="Times New Roman"/>
        </w:rPr>
        <w:t>Without need</w:t>
      </w:r>
      <w:r w:rsidR="004571D8" w:rsidRPr="00391B86">
        <w:rPr>
          <w:rFonts w:ascii="Times New Roman" w:hAnsi="Times New Roman"/>
        </w:rPr>
        <w:t>ing</w:t>
      </w:r>
      <w:r w:rsidR="00A8137A" w:rsidRPr="00391B86">
        <w:rPr>
          <w:rFonts w:ascii="Times New Roman" w:hAnsi="Times New Roman"/>
        </w:rPr>
        <w:t xml:space="preserve"> </w:t>
      </w:r>
      <w:r w:rsidR="00D3664B" w:rsidRPr="00391B86">
        <w:rPr>
          <w:rFonts w:ascii="Times New Roman" w:hAnsi="Times New Roman"/>
        </w:rPr>
        <w:t xml:space="preserve">to </w:t>
      </w:r>
      <w:r w:rsidR="001C5601" w:rsidRPr="00391B86">
        <w:rPr>
          <w:rFonts w:ascii="Times New Roman" w:hAnsi="Times New Roman"/>
        </w:rPr>
        <w:t>descend into</w:t>
      </w:r>
      <w:r w:rsidR="00D3664B" w:rsidRPr="00391B86">
        <w:rPr>
          <w:rFonts w:ascii="Times New Roman" w:hAnsi="Times New Roman"/>
        </w:rPr>
        <w:t xml:space="preserve"> </w:t>
      </w:r>
      <w:r w:rsidR="00B80EFF" w:rsidRPr="00391B86">
        <w:rPr>
          <w:rFonts w:ascii="Times New Roman" w:hAnsi="Times New Roman"/>
        </w:rPr>
        <w:t xml:space="preserve">a detailed examination of </w:t>
      </w:r>
      <w:r w:rsidR="00B80EFF" w:rsidRPr="00391B86">
        <w:rPr>
          <w:rFonts w:ascii="Times New Roman" w:hAnsi="Times New Roman"/>
          <w:i/>
          <w:iCs/>
        </w:rPr>
        <w:t>S</w:t>
      </w:r>
      <w:r w:rsidR="00E51B9F" w:rsidRPr="00391B86">
        <w:rPr>
          <w:rFonts w:ascii="Times New Roman" w:hAnsi="Times New Roman"/>
          <w:i/>
          <w:iCs/>
        </w:rPr>
        <w:t>c</w:t>
      </w:r>
      <w:r w:rsidR="00B80EFF" w:rsidRPr="00391B86">
        <w:rPr>
          <w:rFonts w:ascii="Times New Roman" w:hAnsi="Times New Roman"/>
          <w:i/>
          <w:iCs/>
        </w:rPr>
        <w:t>hultz</w:t>
      </w:r>
      <w:r w:rsidR="00A8137A" w:rsidRPr="00391B86">
        <w:rPr>
          <w:rFonts w:ascii="Times New Roman" w:hAnsi="Times New Roman"/>
        </w:rPr>
        <w:t xml:space="preserve">, </w:t>
      </w:r>
      <w:r w:rsidR="000D29BC" w:rsidRPr="00391B86">
        <w:rPr>
          <w:rFonts w:ascii="Times New Roman" w:hAnsi="Times New Roman"/>
        </w:rPr>
        <w:t>the argument is to be rejected on the basis that its starting point is misconceived. T</w:t>
      </w:r>
      <w:r w:rsidR="00A8137A" w:rsidRPr="00391B86">
        <w:rPr>
          <w:rFonts w:ascii="Times New Roman" w:hAnsi="Times New Roman"/>
        </w:rPr>
        <w:t>he operation of s</w:t>
      </w:r>
      <w:r w:rsidR="00882648" w:rsidRPr="00391B86">
        <w:rPr>
          <w:rFonts w:ascii="Times New Roman" w:hAnsi="Times New Roman"/>
        </w:rPr>
        <w:t> </w:t>
      </w:r>
      <w:r w:rsidR="00A8137A" w:rsidRPr="00391B86">
        <w:rPr>
          <w:rFonts w:ascii="Times New Roman" w:hAnsi="Times New Roman"/>
        </w:rPr>
        <w:t>1337</w:t>
      </w:r>
      <w:proofErr w:type="gramStart"/>
      <w:r w:rsidR="00A8137A" w:rsidRPr="00391B86">
        <w:rPr>
          <w:rFonts w:ascii="Times New Roman" w:hAnsi="Times New Roman"/>
        </w:rPr>
        <w:t>H(</w:t>
      </w:r>
      <w:proofErr w:type="gramEnd"/>
      <w:r w:rsidR="00A8137A" w:rsidRPr="00391B86">
        <w:rPr>
          <w:rFonts w:ascii="Times New Roman" w:hAnsi="Times New Roman"/>
        </w:rPr>
        <w:t xml:space="preserve">2) of the Corporations Act </w:t>
      </w:r>
      <w:r w:rsidR="00853196" w:rsidRPr="00391B86">
        <w:rPr>
          <w:rFonts w:ascii="Times New Roman" w:hAnsi="Times New Roman"/>
        </w:rPr>
        <w:t xml:space="preserve">cannot be </w:t>
      </w:r>
      <w:r w:rsidR="000D29BC" w:rsidRPr="00391B86">
        <w:rPr>
          <w:rFonts w:ascii="Times New Roman" w:hAnsi="Times New Roman"/>
        </w:rPr>
        <w:t>equate</w:t>
      </w:r>
      <w:r w:rsidR="00853196" w:rsidRPr="00391B86">
        <w:rPr>
          <w:rFonts w:ascii="Times New Roman" w:hAnsi="Times New Roman"/>
        </w:rPr>
        <w:t>d</w:t>
      </w:r>
      <w:r w:rsidR="000D29BC" w:rsidRPr="00391B86">
        <w:rPr>
          <w:rFonts w:ascii="Times New Roman" w:hAnsi="Times New Roman"/>
        </w:rPr>
        <w:t xml:space="preserve"> </w:t>
      </w:r>
      <w:r w:rsidR="00A8137A" w:rsidRPr="00391B86">
        <w:rPr>
          <w:rFonts w:ascii="Times New Roman" w:hAnsi="Times New Roman"/>
        </w:rPr>
        <w:t>to the operation of s</w:t>
      </w:r>
      <w:r w:rsidR="00882648" w:rsidRPr="00391B86">
        <w:rPr>
          <w:rFonts w:ascii="Times New Roman" w:hAnsi="Times New Roman"/>
        </w:rPr>
        <w:t> </w:t>
      </w:r>
      <w:r w:rsidR="00A8137A" w:rsidRPr="00391B86">
        <w:rPr>
          <w:rFonts w:ascii="Times New Roman" w:hAnsi="Times New Roman"/>
        </w:rPr>
        <w:t>5(2)(b)(iii) of the Cross-vesting Act</w:t>
      </w:r>
      <w:r w:rsidR="000D29BC" w:rsidRPr="00391B86">
        <w:rPr>
          <w:rFonts w:ascii="Times New Roman" w:hAnsi="Times New Roman"/>
        </w:rPr>
        <w:t xml:space="preserve">. </w:t>
      </w:r>
    </w:p>
    <w:p w14:paraId="2BDFF1DC" w14:textId="2B8BC44A" w:rsidR="000D29BC" w:rsidRPr="00391B86" w:rsidRDefault="000D29B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792CED" w:rsidRPr="00391B86">
        <w:rPr>
          <w:rFonts w:ascii="Times New Roman" w:hAnsi="Times New Roman"/>
        </w:rPr>
        <w:t>Section</w:t>
      </w:r>
      <w:r w:rsidRPr="00391B86">
        <w:rPr>
          <w:rFonts w:ascii="Times New Roman" w:hAnsi="Times New Roman"/>
        </w:rPr>
        <w:t xml:space="preserve"> 5(2)(b)(iii) of the Cross-vesting Act and </w:t>
      </w:r>
      <w:r w:rsidR="005741A2" w:rsidRPr="00391B86">
        <w:rPr>
          <w:rFonts w:ascii="Times New Roman" w:hAnsi="Times New Roman"/>
        </w:rPr>
        <w:t xml:space="preserve">its </w:t>
      </w:r>
      <w:r w:rsidRPr="00391B86">
        <w:rPr>
          <w:rFonts w:ascii="Times New Roman" w:hAnsi="Times New Roman"/>
        </w:rPr>
        <w:t xml:space="preserve">cognate </w:t>
      </w:r>
      <w:r w:rsidR="005741A2" w:rsidRPr="00391B86">
        <w:rPr>
          <w:rFonts w:ascii="Times New Roman" w:hAnsi="Times New Roman"/>
        </w:rPr>
        <w:t xml:space="preserve">provisions in </w:t>
      </w:r>
      <w:r w:rsidRPr="00391B86">
        <w:rPr>
          <w:rFonts w:ascii="Times New Roman" w:hAnsi="Times New Roman"/>
        </w:rPr>
        <w:t>Stat</w:t>
      </w:r>
      <w:r w:rsidR="005741A2" w:rsidRPr="00391B86">
        <w:rPr>
          <w:rFonts w:ascii="Times New Roman" w:hAnsi="Times New Roman"/>
        </w:rPr>
        <w:t>e</w:t>
      </w:r>
      <w:r w:rsidRPr="00391B86">
        <w:rPr>
          <w:rFonts w:ascii="Times New Roman" w:hAnsi="Times New Roman"/>
        </w:rPr>
        <w:t xml:space="preserve"> </w:t>
      </w:r>
      <w:r w:rsidR="005741A2" w:rsidRPr="00391B86">
        <w:rPr>
          <w:rFonts w:ascii="Times New Roman" w:hAnsi="Times New Roman"/>
        </w:rPr>
        <w:t>cross-vesting legislation</w:t>
      </w:r>
      <w:r w:rsidR="005741A2" w:rsidRPr="00391B86">
        <w:rPr>
          <w:rStyle w:val="FootnoteReference"/>
          <w:rFonts w:ascii="Times New Roman" w:hAnsi="Times New Roman"/>
          <w:sz w:val="24"/>
        </w:rPr>
        <w:footnoteReference w:id="39"/>
      </w:r>
      <w:r w:rsidR="005741A2" w:rsidRPr="00391B86">
        <w:rPr>
          <w:rFonts w:ascii="Times New Roman" w:hAnsi="Times New Roman"/>
        </w:rPr>
        <w:t xml:space="preserve"> are elements</w:t>
      </w:r>
      <w:r w:rsidR="00463A87" w:rsidRPr="00391B86">
        <w:rPr>
          <w:rFonts w:ascii="Times New Roman" w:hAnsi="Times New Roman"/>
        </w:rPr>
        <w:t xml:space="preserve"> of </w:t>
      </w:r>
      <w:r w:rsidR="005741A2" w:rsidRPr="00391B86">
        <w:rPr>
          <w:rFonts w:ascii="Times New Roman" w:hAnsi="Times New Roman"/>
        </w:rPr>
        <w:t>"</w:t>
      </w:r>
      <w:r w:rsidR="00463A87" w:rsidRPr="00391B86">
        <w:rPr>
          <w:rFonts w:ascii="Times New Roman" w:hAnsi="Times New Roman"/>
        </w:rPr>
        <w:t>a</w:t>
      </w:r>
      <w:r w:rsidR="00A94E13" w:rsidRPr="00391B86">
        <w:rPr>
          <w:rFonts w:ascii="Times New Roman" w:hAnsi="Times New Roman"/>
        </w:rPr>
        <w:t xml:space="preserve"> </w:t>
      </w:r>
      <w:r w:rsidR="00463A87" w:rsidRPr="00391B86">
        <w:rPr>
          <w:rFonts w:ascii="Times New Roman" w:hAnsi="Times New Roman"/>
        </w:rPr>
        <w:t>system of cross</w:t>
      </w:r>
      <w:r w:rsidR="007C0E99" w:rsidRPr="00391B86">
        <w:rPr>
          <w:rFonts w:ascii="Times New Roman" w:hAnsi="Times New Roman"/>
        </w:rPr>
        <w:t>-</w:t>
      </w:r>
      <w:r w:rsidR="00463A87" w:rsidRPr="00391B86">
        <w:rPr>
          <w:rFonts w:ascii="Times New Roman" w:hAnsi="Times New Roman"/>
        </w:rPr>
        <w:t>vesting of jurisdiction</w:t>
      </w:r>
      <w:r w:rsidR="00C305F5" w:rsidRPr="00391B86">
        <w:rPr>
          <w:rFonts w:ascii="Times New Roman" w:hAnsi="Times New Roman"/>
        </w:rPr>
        <w:t>"</w:t>
      </w:r>
      <w:r w:rsidR="007C0E99" w:rsidRPr="00391B86">
        <w:rPr>
          <w:rFonts w:ascii="Times New Roman" w:hAnsi="Times New Roman"/>
        </w:rPr>
        <w:t xml:space="preserve"> between courts</w:t>
      </w:r>
      <w:r w:rsidR="00B30694" w:rsidRPr="00391B86">
        <w:rPr>
          <w:rFonts w:ascii="Times New Roman" w:hAnsi="Times New Roman"/>
        </w:rPr>
        <w:t xml:space="preserve"> </w:t>
      </w:r>
      <w:r w:rsidR="00C80813" w:rsidRPr="00391B86">
        <w:rPr>
          <w:rFonts w:ascii="Times New Roman" w:hAnsi="Times New Roman"/>
        </w:rPr>
        <w:t>designed</w:t>
      </w:r>
      <w:r w:rsidR="00A94E13" w:rsidRPr="00391B86">
        <w:rPr>
          <w:rFonts w:ascii="Times New Roman" w:hAnsi="Times New Roman"/>
        </w:rPr>
        <w:t xml:space="preserve"> </w:t>
      </w:r>
      <w:r w:rsidR="005741A2" w:rsidRPr="00391B86">
        <w:rPr>
          <w:rFonts w:ascii="Times New Roman" w:hAnsi="Times New Roman"/>
        </w:rPr>
        <w:t xml:space="preserve">in relevant part </w:t>
      </w:r>
      <w:r w:rsidR="00C80813" w:rsidRPr="00391B86">
        <w:rPr>
          <w:rFonts w:ascii="Times New Roman" w:hAnsi="Times New Roman"/>
        </w:rPr>
        <w:t xml:space="preserve">to </w:t>
      </w:r>
      <w:r w:rsidR="000F57A6" w:rsidRPr="00391B86">
        <w:rPr>
          <w:rFonts w:ascii="Times New Roman" w:hAnsi="Times New Roman"/>
        </w:rPr>
        <w:t>guarantee</w:t>
      </w:r>
      <w:r w:rsidR="00C80813" w:rsidRPr="00391B86">
        <w:rPr>
          <w:rFonts w:ascii="Times New Roman" w:hAnsi="Times New Roman"/>
        </w:rPr>
        <w:t xml:space="preserve"> that </w:t>
      </w:r>
      <w:r w:rsidR="00BD3561" w:rsidRPr="00391B86">
        <w:rPr>
          <w:rFonts w:ascii="Times New Roman" w:hAnsi="Times New Roman"/>
        </w:rPr>
        <w:t xml:space="preserve">"if </w:t>
      </w:r>
      <w:r w:rsidR="00C80813" w:rsidRPr="00391B86">
        <w:rPr>
          <w:rFonts w:ascii="Times New Roman" w:hAnsi="Times New Roman"/>
        </w:rPr>
        <w:t xml:space="preserve">a proceeding </w:t>
      </w:r>
      <w:r w:rsidR="00BD3561" w:rsidRPr="00391B86">
        <w:rPr>
          <w:rFonts w:ascii="Times New Roman" w:hAnsi="Times New Roman"/>
        </w:rPr>
        <w:t xml:space="preserve">is </w:t>
      </w:r>
      <w:r w:rsidR="004927FC" w:rsidRPr="00391B86">
        <w:rPr>
          <w:rFonts w:ascii="Times New Roman" w:hAnsi="Times New Roman"/>
        </w:rPr>
        <w:t>instituted</w:t>
      </w:r>
      <w:r w:rsidR="00C80813" w:rsidRPr="00391B86">
        <w:rPr>
          <w:rFonts w:ascii="Times New Roman" w:hAnsi="Times New Roman"/>
        </w:rPr>
        <w:t xml:space="preserve"> </w:t>
      </w:r>
      <w:r w:rsidR="00BD3561" w:rsidRPr="00391B86">
        <w:rPr>
          <w:rFonts w:ascii="Times New Roman" w:hAnsi="Times New Roman"/>
        </w:rPr>
        <w:t>in a court that is not the appropriate court</w:t>
      </w:r>
      <w:r w:rsidR="00792CED" w:rsidRPr="00391B86">
        <w:rPr>
          <w:rFonts w:ascii="Times New Roman" w:hAnsi="Times New Roman"/>
        </w:rPr>
        <w:t xml:space="preserve"> ... the proceeding will be transferred to the appropriate court".</w:t>
      </w:r>
      <w:r w:rsidR="002F56F9" w:rsidRPr="00391B86">
        <w:rPr>
          <w:rStyle w:val="FootnoteReference"/>
          <w:rFonts w:ascii="Times New Roman" w:hAnsi="Times New Roman"/>
          <w:sz w:val="24"/>
        </w:rPr>
        <w:footnoteReference w:id="40"/>
      </w:r>
      <w:r w:rsidR="00BE2523" w:rsidRPr="00391B86">
        <w:rPr>
          <w:rFonts w:ascii="Times New Roman" w:hAnsi="Times New Roman"/>
        </w:rPr>
        <w:t xml:space="preserve"> </w:t>
      </w:r>
      <w:r w:rsidR="00853196" w:rsidRPr="00391B86">
        <w:rPr>
          <w:rFonts w:ascii="Times New Roman" w:hAnsi="Times New Roman"/>
        </w:rPr>
        <w:t>To that end, s</w:t>
      </w:r>
      <w:r w:rsidR="00882648" w:rsidRPr="00391B86">
        <w:rPr>
          <w:rFonts w:ascii="Times New Roman" w:hAnsi="Times New Roman"/>
        </w:rPr>
        <w:t> </w:t>
      </w:r>
      <w:r w:rsidR="00853196" w:rsidRPr="00391B86">
        <w:rPr>
          <w:rFonts w:ascii="Times New Roman" w:hAnsi="Times New Roman"/>
        </w:rPr>
        <w:t>5(2)(b)(iii) provide</w:t>
      </w:r>
      <w:r w:rsidR="00592427" w:rsidRPr="00391B86">
        <w:rPr>
          <w:rFonts w:ascii="Times New Roman" w:hAnsi="Times New Roman"/>
        </w:rPr>
        <w:t>s</w:t>
      </w:r>
      <w:r w:rsidR="00853196" w:rsidRPr="00391B86">
        <w:rPr>
          <w:rFonts w:ascii="Times New Roman" w:hAnsi="Times New Roman"/>
        </w:rPr>
        <w:t xml:space="preserve"> that </w:t>
      </w:r>
      <w:r w:rsidR="00923A65" w:rsidRPr="00391B86">
        <w:rPr>
          <w:rFonts w:ascii="Times New Roman" w:hAnsi="Times New Roman"/>
        </w:rPr>
        <w:t>"</w:t>
      </w:r>
      <w:r w:rsidR="00D966E3" w:rsidRPr="00391B86">
        <w:rPr>
          <w:rFonts w:ascii="Times New Roman" w:hAnsi="Times New Roman"/>
        </w:rPr>
        <w:t>[</w:t>
      </w:r>
      <w:r w:rsidR="0068145C" w:rsidRPr="00391B86">
        <w:rPr>
          <w:rFonts w:ascii="Times New Roman" w:hAnsi="Times New Roman"/>
        </w:rPr>
        <w:t>w</w:t>
      </w:r>
      <w:r w:rsidR="00D966E3" w:rsidRPr="00391B86">
        <w:rPr>
          <w:rFonts w:ascii="Times New Roman" w:hAnsi="Times New Roman"/>
        </w:rPr>
        <w:t>]</w:t>
      </w:r>
      <w:r w:rsidR="0068145C" w:rsidRPr="00391B86">
        <w:rPr>
          <w:rFonts w:ascii="Times New Roman" w:hAnsi="Times New Roman"/>
        </w:rPr>
        <w:t xml:space="preserve">here </w:t>
      </w:r>
      <w:r w:rsidR="00923A65" w:rsidRPr="00391B86">
        <w:rPr>
          <w:rFonts w:ascii="Times New Roman" w:hAnsi="Times New Roman"/>
        </w:rPr>
        <w:t xml:space="preserve">... </w:t>
      </w:r>
      <w:r w:rsidR="0068145C" w:rsidRPr="00391B86">
        <w:rPr>
          <w:rFonts w:ascii="Times New Roman" w:hAnsi="Times New Roman"/>
        </w:rPr>
        <w:t>it appears</w:t>
      </w:r>
      <w:r w:rsidR="00643D23" w:rsidRPr="00391B86">
        <w:rPr>
          <w:rFonts w:ascii="Times New Roman" w:hAnsi="Times New Roman"/>
        </w:rPr>
        <w:t>"</w:t>
      </w:r>
      <w:r w:rsidR="0068145C" w:rsidRPr="00391B86">
        <w:rPr>
          <w:rFonts w:ascii="Times New Roman" w:hAnsi="Times New Roman"/>
        </w:rPr>
        <w:t xml:space="preserve"> </w:t>
      </w:r>
      <w:r w:rsidR="00DA7B40" w:rsidRPr="00391B86">
        <w:rPr>
          <w:rFonts w:ascii="Times New Roman" w:hAnsi="Times New Roman"/>
        </w:rPr>
        <w:t>to the Supreme Court of a State</w:t>
      </w:r>
      <w:r w:rsidR="002F56F9" w:rsidRPr="00391B86">
        <w:rPr>
          <w:rFonts w:ascii="Times New Roman" w:hAnsi="Times New Roman"/>
        </w:rPr>
        <w:t xml:space="preserve"> </w:t>
      </w:r>
      <w:r w:rsidR="002B5C03" w:rsidRPr="00391B86">
        <w:rPr>
          <w:rFonts w:ascii="Times New Roman" w:hAnsi="Times New Roman"/>
        </w:rPr>
        <w:t>in which a</w:t>
      </w:r>
      <w:r w:rsidR="00882B92" w:rsidRPr="00391B86">
        <w:rPr>
          <w:rFonts w:ascii="Times New Roman" w:hAnsi="Times New Roman"/>
        </w:rPr>
        <w:t>ny</w:t>
      </w:r>
      <w:r w:rsidR="002B5C03" w:rsidRPr="00391B86">
        <w:rPr>
          <w:rFonts w:ascii="Times New Roman" w:hAnsi="Times New Roman"/>
        </w:rPr>
        <w:t xml:space="preserve"> proceeding is pending </w:t>
      </w:r>
      <w:r w:rsidR="00F90DDA" w:rsidRPr="00391B86">
        <w:rPr>
          <w:rFonts w:ascii="Times New Roman" w:hAnsi="Times New Roman"/>
        </w:rPr>
        <w:t xml:space="preserve">that </w:t>
      </w:r>
      <w:r w:rsidR="00643D23" w:rsidRPr="00391B86">
        <w:rPr>
          <w:rFonts w:ascii="Times New Roman" w:hAnsi="Times New Roman"/>
        </w:rPr>
        <w:t>"</w:t>
      </w:r>
      <w:r w:rsidR="00F90DDA" w:rsidRPr="00391B86">
        <w:rPr>
          <w:rFonts w:ascii="Times New Roman" w:hAnsi="Times New Roman"/>
        </w:rPr>
        <w:t>it is</w:t>
      </w:r>
      <w:r w:rsidR="00643D23" w:rsidRPr="00391B86">
        <w:rPr>
          <w:rFonts w:ascii="Times New Roman" w:hAnsi="Times New Roman"/>
        </w:rPr>
        <w:t xml:space="preserve"> ... </w:t>
      </w:r>
      <w:r w:rsidR="00F90DDA" w:rsidRPr="00391B86">
        <w:rPr>
          <w:rFonts w:ascii="Times New Roman" w:hAnsi="Times New Roman"/>
        </w:rPr>
        <w:t xml:space="preserve">in the interests of justice </w:t>
      </w:r>
      <w:r w:rsidR="002F56F9" w:rsidRPr="00391B86">
        <w:rPr>
          <w:rFonts w:ascii="Times New Roman" w:hAnsi="Times New Roman"/>
        </w:rPr>
        <w:t>that the ... proceeding be determined by the Supreme Court of another State</w:t>
      </w:r>
      <w:r w:rsidR="00233635" w:rsidRPr="00391B86">
        <w:rPr>
          <w:rFonts w:ascii="Times New Roman" w:hAnsi="Times New Roman"/>
        </w:rPr>
        <w:t xml:space="preserve">", the Supreme Court in which </w:t>
      </w:r>
      <w:r w:rsidR="00811D30" w:rsidRPr="00391B86">
        <w:rPr>
          <w:rFonts w:ascii="Times New Roman" w:hAnsi="Times New Roman"/>
        </w:rPr>
        <w:t>the</w:t>
      </w:r>
      <w:r w:rsidR="00233635" w:rsidRPr="00391B86">
        <w:rPr>
          <w:rFonts w:ascii="Times New Roman" w:hAnsi="Times New Roman"/>
        </w:rPr>
        <w:t xml:space="preserve"> proceeding is pending "shall transfer the </w:t>
      </w:r>
      <w:r w:rsidR="008F6E4A" w:rsidRPr="00391B86">
        <w:rPr>
          <w:rFonts w:ascii="Times New Roman" w:hAnsi="Times New Roman"/>
        </w:rPr>
        <w:t xml:space="preserve">... </w:t>
      </w:r>
      <w:r w:rsidR="00233635" w:rsidRPr="00391B86">
        <w:rPr>
          <w:rFonts w:ascii="Times New Roman" w:hAnsi="Times New Roman"/>
        </w:rPr>
        <w:t>proceeding to that other Supreme Court</w:t>
      </w:r>
      <w:r w:rsidR="008F6E4A" w:rsidRPr="00391B86">
        <w:rPr>
          <w:rFonts w:ascii="Times New Roman" w:hAnsi="Times New Roman"/>
        </w:rPr>
        <w:t>".</w:t>
      </w:r>
      <w:r w:rsidR="00F90DDA" w:rsidRPr="00391B86">
        <w:rPr>
          <w:rFonts w:ascii="Times New Roman" w:hAnsi="Times New Roman"/>
        </w:rPr>
        <w:t xml:space="preserve"> </w:t>
      </w:r>
      <w:r w:rsidR="008A2C64" w:rsidRPr="00391B86">
        <w:rPr>
          <w:rFonts w:ascii="Times New Roman" w:hAnsi="Times New Roman"/>
        </w:rPr>
        <w:t>Hence, t</w:t>
      </w:r>
      <w:r w:rsidR="009733D7" w:rsidRPr="00391B86">
        <w:rPr>
          <w:rFonts w:ascii="Times New Roman" w:hAnsi="Times New Roman"/>
        </w:rPr>
        <w:t xml:space="preserve">he </w:t>
      </w:r>
      <w:r w:rsidR="00592427" w:rsidRPr="00391B86">
        <w:rPr>
          <w:rFonts w:ascii="Times New Roman" w:hAnsi="Times New Roman"/>
        </w:rPr>
        <w:t>operation of 5(2)(b)(iii)</w:t>
      </w:r>
      <w:r w:rsidR="00DC0F64" w:rsidRPr="00391B86">
        <w:rPr>
          <w:rFonts w:ascii="Times New Roman" w:hAnsi="Times New Roman"/>
        </w:rPr>
        <w:t xml:space="preserve"> is</w:t>
      </w:r>
      <w:r w:rsidR="008A2C64" w:rsidRPr="00391B86">
        <w:rPr>
          <w:rFonts w:ascii="Times New Roman" w:hAnsi="Times New Roman"/>
        </w:rPr>
        <w:t xml:space="preserve"> t</w:t>
      </w:r>
      <w:r w:rsidR="00D1704F" w:rsidRPr="00391B86">
        <w:rPr>
          <w:rFonts w:ascii="Times New Roman" w:hAnsi="Times New Roman"/>
        </w:rPr>
        <w:t xml:space="preserve">o </w:t>
      </w:r>
      <w:r w:rsidR="004D5F20" w:rsidRPr="00391B86">
        <w:rPr>
          <w:rFonts w:ascii="Times New Roman" w:hAnsi="Times New Roman"/>
        </w:rPr>
        <w:t>require</w:t>
      </w:r>
      <w:r w:rsidR="00D1704F" w:rsidRPr="00391B86">
        <w:rPr>
          <w:rFonts w:ascii="Times New Roman" w:hAnsi="Times New Roman"/>
        </w:rPr>
        <w:t xml:space="preserve"> the Supreme Court in </w:t>
      </w:r>
      <w:r w:rsidR="00D1704F" w:rsidRPr="00391B86">
        <w:rPr>
          <w:rFonts w:ascii="Times New Roman" w:hAnsi="Times New Roman"/>
        </w:rPr>
        <w:lastRenderedPageBreak/>
        <w:t>which</w:t>
      </w:r>
      <w:r w:rsidR="00A94E13" w:rsidRPr="00391B86">
        <w:rPr>
          <w:rFonts w:ascii="Times New Roman" w:hAnsi="Times New Roman"/>
        </w:rPr>
        <w:t xml:space="preserve"> a</w:t>
      </w:r>
      <w:r w:rsidR="00D1704F" w:rsidRPr="00391B86">
        <w:rPr>
          <w:rFonts w:ascii="Times New Roman" w:hAnsi="Times New Roman"/>
        </w:rPr>
        <w:t xml:space="preserve"> proceeding is pending</w:t>
      </w:r>
      <w:r w:rsidR="004D5F20" w:rsidRPr="00391B86">
        <w:rPr>
          <w:rFonts w:ascii="Times New Roman" w:hAnsi="Times New Roman"/>
        </w:rPr>
        <w:t xml:space="preserve"> </w:t>
      </w:r>
      <w:r w:rsidR="00D1704F" w:rsidRPr="00391B86">
        <w:rPr>
          <w:rFonts w:ascii="Times New Roman" w:hAnsi="Times New Roman"/>
        </w:rPr>
        <w:t>"</w:t>
      </w:r>
      <w:r w:rsidR="004D5F20" w:rsidRPr="00391B86">
        <w:rPr>
          <w:rFonts w:ascii="Times New Roman" w:hAnsi="Times New Roman"/>
        </w:rPr>
        <w:t>to ensure</w:t>
      </w:r>
      <w:r w:rsidR="00D1704F" w:rsidRPr="00391B86">
        <w:rPr>
          <w:rFonts w:ascii="Times New Roman" w:hAnsi="Times New Roman"/>
        </w:rPr>
        <w:t>"</w:t>
      </w:r>
      <w:r w:rsidR="004D5F20" w:rsidRPr="00391B86">
        <w:rPr>
          <w:rFonts w:ascii="Times New Roman" w:hAnsi="Times New Roman"/>
        </w:rPr>
        <w:t xml:space="preserve"> that </w:t>
      </w:r>
      <w:r w:rsidR="004978B3" w:rsidRPr="00391B86">
        <w:rPr>
          <w:rFonts w:ascii="Times New Roman" w:hAnsi="Times New Roman"/>
        </w:rPr>
        <w:t>the proceeding</w:t>
      </w:r>
      <w:r w:rsidR="00D1704F" w:rsidRPr="00391B86">
        <w:rPr>
          <w:rFonts w:ascii="Times New Roman" w:hAnsi="Times New Roman"/>
        </w:rPr>
        <w:t xml:space="preserve"> is</w:t>
      </w:r>
      <w:r w:rsidR="004D5F20" w:rsidRPr="00391B86">
        <w:rPr>
          <w:rFonts w:ascii="Times New Roman" w:hAnsi="Times New Roman"/>
        </w:rPr>
        <w:t xml:space="preserve"> </w:t>
      </w:r>
      <w:r w:rsidR="00D1704F" w:rsidRPr="00391B86">
        <w:rPr>
          <w:rFonts w:ascii="Times New Roman" w:hAnsi="Times New Roman"/>
        </w:rPr>
        <w:t>"</w:t>
      </w:r>
      <w:r w:rsidR="004D5F20" w:rsidRPr="00391B86">
        <w:rPr>
          <w:rFonts w:ascii="Times New Roman" w:hAnsi="Times New Roman"/>
        </w:rPr>
        <w:t>heard in the forum dictated by the interests of justice"</w:t>
      </w:r>
      <w:r w:rsidR="00AE19F8" w:rsidRPr="00391B86">
        <w:rPr>
          <w:rFonts w:ascii="Times New Roman" w:hAnsi="Times New Roman"/>
        </w:rPr>
        <w:t>.</w:t>
      </w:r>
      <w:r w:rsidR="00D1704F" w:rsidRPr="00391B86">
        <w:rPr>
          <w:rStyle w:val="FootnoteReference"/>
          <w:rFonts w:ascii="Times New Roman" w:hAnsi="Times New Roman"/>
          <w:sz w:val="24"/>
        </w:rPr>
        <w:footnoteReference w:id="41"/>
      </w:r>
    </w:p>
    <w:p w14:paraId="18BAF691" w14:textId="7A1BCA26" w:rsidR="00792CED" w:rsidRPr="00391B86" w:rsidRDefault="00792CED"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A6666F" w:rsidRPr="00391B86">
        <w:rPr>
          <w:rFonts w:ascii="Times New Roman" w:hAnsi="Times New Roman"/>
        </w:rPr>
        <w:t>The design of s</w:t>
      </w:r>
      <w:r w:rsidRPr="00391B86">
        <w:rPr>
          <w:rFonts w:ascii="Times New Roman" w:hAnsi="Times New Roman"/>
        </w:rPr>
        <w:t xml:space="preserve"> 1337</w:t>
      </w:r>
      <w:proofErr w:type="gramStart"/>
      <w:r w:rsidRPr="00391B86">
        <w:rPr>
          <w:rFonts w:ascii="Times New Roman" w:hAnsi="Times New Roman"/>
        </w:rPr>
        <w:t>H(</w:t>
      </w:r>
      <w:proofErr w:type="gramEnd"/>
      <w:r w:rsidRPr="00391B86">
        <w:rPr>
          <w:rFonts w:ascii="Times New Roman" w:hAnsi="Times New Roman"/>
        </w:rPr>
        <w:t>2) of the Corporations Act</w:t>
      </w:r>
      <w:r w:rsidR="00BF76C7" w:rsidRPr="00391B86">
        <w:rPr>
          <w:rFonts w:ascii="Times New Roman" w:hAnsi="Times New Roman"/>
        </w:rPr>
        <w:t xml:space="preserve">, in contrast, </w:t>
      </w:r>
      <w:r w:rsidR="00946FFB" w:rsidRPr="00391B86">
        <w:rPr>
          <w:rFonts w:ascii="Times New Roman" w:hAnsi="Times New Roman"/>
        </w:rPr>
        <w:t>i</w:t>
      </w:r>
      <w:r w:rsidR="00A6666F" w:rsidRPr="00391B86">
        <w:rPr>
          <w:rFonts w:ascii="Times New Roman" w:hAnsi="Times New Roman"/>
        </w:rPr>
        <w:t>s</w:t>
      </w:r>
      <w:r w:rsidR="0074008C" w:rsidRPr="00391B86">
        <w:rPr>
          <w:rFonts w:ascii="Times New Roman" w:hAnsi="Times New Roman"/>
        </w:rPr>
        <w:t xml:space="preserve"> </w:t>
      </w:r>
      <w:r w:rsidR="002E2EA7" w:rsidRPr="00391B86">
        <w:rPr>
          <w:rFonts w:ascii="Times New Roman" w:hAnsi="Times New Roman"/>
        </w:rPr>
        <w:t xml:space="preserve">both </w:t>
      </w:r>
      <w:r w:rsidR="009D618B" w:rsidRPr="00391B86">
        <w:rPr>
          <w:rFonts w:ascii="Times New Roman" w:hAnsi="Times New Roman"/>
        </w:rPr>
        <w:t>more narrowly focused</w:t>
      </w:r>
      <w:r w:rsidR="002E2EA7" w:rsidRPr="00391B86">
        <w:rPr>
          <w:rFonts w:ascii="Times New Roman" w:hAnsi="Times New Roman"/>
        </w:rPr>
        <w:t xml:space="preserve"> and more flexible. </w:t>
      </w:r>
      <w:r w:rsidR="00452306" w:rsidRPr="00391B86">
        <w:rPr>
          <w:rFonts w:ascii="Times New Roman" w:hAnsi="Times New Roman"/>
        </w:rPr>
        <w:t xml:space="preserve">The design is </w:t>
      </w:r>
      <w:r w:rsidR="0074008C" w:rsidRPr="00391B86">
        <w:rPr>
          <w:rFonts w:ascii="Times New Roman" w:hAnsi="Times New Roman"/>
        </w:rPr>
        <w:t xml:space="preserve">to </w:t>
      </w:r>
      <w:r w:rsidR="00946FFB" w:rsidRPr="00391B86">
        <w:rPr>
          <w:rFonts w:ascii="Times New Roman" w:hAnsi="Times New Roman"/>
        </w:rPr>
        <w:t>facilitate</w:t>
      </w:r>
      <w:r w:rsidR="00591092" w:rsidRPr="00391B86">
        <w:rPr>
          <w:rFonts w:ascii="Times New Roman" w:hAnsi="Times New Roman"/>
        </w:rPr>
        <w:t xml:space="preserve"> the transfer of </w:t>
      </w:r>
      <w:r w:rsidR="003A7093" w:rsidRPr="00391B86">
        <w:rPr>
          <w:rFonts w:ascii="Times New Roman" w:hAnsi="Times New Roman"/>
        </w:rPr>
        <w:t>a proceeding</w:t>
      </w:r>
      <w:r w:rsidR="00452306" w:rsidRPr="00391B86">
        <w:rPr>
          <w:rFonts w:ascii="Times New Roman" w:hAnsi="Times New Roman"/>
        </w:rPr>
        <w:t xml:space="preserve">, </w:t>
      </w:r>
      <w:r w:rsidR="003A7093" w:rsidRPr="00391B86">
        <w:rPr>
          <w:rFonts w:ascii="Times New Roman" w:hAnsi="Times New Roman"/>
        </w:rPr>
        <w:t xml:space="preserve">or </w:t>
      </w:r>
      <w:r w:rsidR="003B23A5" w:rsidRPr="00391B86">
        <w:rPr>
          <w:rFonts w:ascii="Times New Roman" w:hAnsi="Times New Roman"/>
        </w:rPr>
        <w:t xml:space="preserve">of an </w:t>
      </w:r>
      <w:r w:rsidR="003A7093" w:rsidRPr="00391B86">
        <w:rPr>
          <w:rFonts w:ascii="Times New Roman" w:hAnsi="Times New Roman"/>
        </w:rPr>
        <w:t>application in a proceeding</w:t>
      </w:r>
      <w:r w:rsidR="00452306" w:rsidRPr="00391B86">
        <w:rPr>
          <w:rFonts w:ascii="Times New Roman" w:hAnsi="Times New Roman"/>
        </w:rPr>
        <w:t xml:space="preserve">, </w:t>
      </w:r>
      <w:r w:rsidR="00732149" w:rsidRPr="00391B86">
        <w:rPr>
          <w:rFonts w:ascii="Times New Roman" w:hAnsi="Times New Roman"/>
        </w:rPr>
        <w:t xml:space="preserve">with respect to a civil matter arising under the Corporations legislation </w:t>
      </w:r>
      <w:r w:rsidR="00396364" w:rsidRPr="00391B86">
        <w:rPr>
          <w:rFonts w:ascii="Times New Roman" w:hAnsi="Times New Roman"/>
        </w:rPr>
        <w:t xml:space="preserve">between </w:t>
      </w:r>
      <w:r w:rsidR="00F579D9" w:rsidRPr="00391B86">
        <w:rPr>
          <w:rFonts w:ascii="Times New Roman" w:hAnsi="Times New Roman"/>
        </w:rPr>
        <w:t xml:space="preserve">designated </w:t>
      </w:r>
      <w:r w:rsidR="00396364" w:rsidRPr="00391B86">
        <w:rPr>
          <w:rFonts w:ascii="Times New Roman" w:hAnsi="Times New Roman"/>
        </w:rPr>
        <w:t>courts a</w:t>
      </w:r>
      <w:r w:rsidR="003B23A5" w:rsidRPr="00391B86">
        <w:rPr>
          <w:rFonts w:ascii="Times New Roman" w:hAnsi="Times New Roman"/>
        </w:rPr>
        <w:t xml:space="preserve">ll of which </w:t>
      </w:r>
      <w:r w:rsidR="001E5D4A" w:rsidRPr="00391B86">
        <w:rPr>
          <w:rFonts w:ascii="Times New Roman" w:hAnsi="Times New Roman"/>
        </w:rPr>
        <w:t>have the same</w:t>
      </w:r>
      <w:r w:rsidR="00A740CD" w:rsidRPr="00391B86">
        <w:rPr>
          <w:rFonts w:ascii="Times New Roman" w:hAnsi="Times New Roman"/>
        </w:rPr>
        <w:t xml:space="preserve"> federal jurisdiction </w:t>
      </w:r>
      <w:r w:rsidR="006318D3" w:rsidRPr="00391B86">
        <w:rPr>
          <w:rFonts w:ascii="Times New Roman" w:hAnsi="Times New Roman"/>
        </w:rPr>
        <w:t>with</w:t>
      </w:r>
      <w:r w:rsidR="00553EDB" w:rsidRPr="00391B86">
        <w:rPr>
          <w:rFonts w:ascii="Times New Roman" w:hAnsi="Times New Roman"/>
        </w:rPr>
        <w:t xml:space="preserve"> respect to </w:t>
      </w:r>
      <w:r w:rsidR="00F579D9" w:rsidRPr="00391B86">
        <w:rPr>
          <w:rFonts w:ascii="Times New Roman" w:hAnsi="Times New Roman"/>
        </w:rPr>
        <w:t>the</w:t>
      </w:r>
      <w:r w:rsidR="00553EDB" w:rsidRPr="00391B86">
        <w:rPr>
          <w:rFonts w:ascii="Times New Roman" w:hAnsi="Times New Roman"/>
        </w:rPr>
        <w:t xml:space="preserve"> matter </w:t>
      </w:r>
      <w:r w:rsidR="001E5D4A" w:rsidRPr="00391B86">
        <w:rPr>
          <w:rFonts w:ascii="Times New Roman" w:hAnsi="Times New Roman"/>
        </w:rPr>
        <w:t>under</w:t>
      </w:r>
      <w:r w:rsidR="00553EDB" w:rsidRPr="00391B86">
        <w:rPr>
          <w:rFonts w:ascii="Times New Roman" w:hAnsi="Times New Roman"/>
        </w:rPr>
        <w:t xml:space="preserve"> </w:t>
      </w:r>
      <w:r w:rsidR="00CD15D0" w:rsidRPr="00391B86">
        <w:rPr>
          <w:rFonts w:ascii="Times New Roman" w:hAnsi="Times New Roman"/>
        </w:rPr>
        <w:t>s </w:t>
      </w:r>
      <w:r w:rsidR="00553EDB" w:rsidRPr="00391B86">
        <w:rPr>
          <w:rFonts w:ascii="Times New Roman" w:hAnsi="Times New Roman"/>
        </w:rPr>
        <w:t>1337B(1) or (2)</w:t>
      </w:r>
      <w:r w:rsidR="00BB3BC5" w:rsidRPr="00391B86">
        <w:rPr>
          <w:rFonts w:ascii="Times New Roman" w:hAnsi="Times New Roman"/>
        </w:rPr>
        <w:t xml:space="preserve"> of the Corporations Act</w:t>
      </w:r>
      <w:r w:rsidR="00553EDB" w:rsidRPr="00391B86">
        <w:rPr>
          <w:rFonts w:ascii="Times New Roman" w:hAnsi="Times New Roman"/>
        </w:rPr>
        <w:t xml:space="preserve"> </w:t>
      </w:r>
      <w:r w:rsidR="00C77190" w:rsidRPr="00391B86">
        <w:rPr>
          <w:rFonts w:ascii="Times New Roman" w:hAnsi="Times New Roman"/>
        </w:rPr>
        <w:t xml:space="preserve">and </w:t>
      </w:r>
      <w:r w:rsidR="0029136B" w:rsidRPr="00391B86">
        <w:rPr>
          <w:rFonts w:ascii="Times New Roman" w:hAnsi="Times New Roman"/>
        </w:rPr>
        <w:t>each</w:t>
      </w:r>
      <w:r w:rsidR="00C77190" w:rsidRPr="00391B86">
        <w:rPr>
          <w:rFonts w:ascii="Times New Roman" w:hAnsi="Times New Roman"/>
        </w:rPr>
        <w:t xml:space="preserve"> of which </w:t>
      </w:r>
      <w:r w:rsidR="0029136B" w:rsidRPr="00391B86">
        <w:rPr>
          <w:rFonts w:ascii="Times New Roman" w:hAnsi="Times New Roman"/>
        </w:rPr>
        <w:t>is</w:t>
      </w:r>
      <w:r w:rsidR="00C77190" w:rsidRPr="00391B86">
        <w:rPr>
          <w:rFonts w:ascii="Times New Roman" w:hAnsi="Times New Roman"/>
        </w:rPr>
        <w:t xml:space="preserve"> bound</w:t>
      </w:r>
      <w:r w:rsidR="004723BD" w:rsidRPr="00391B86">
        <w:rPr>
          <w:rFonts w:ascii="Times New Roman" w:hAnsi="Times New Roman"/>
        </w:rPr>
        <w:t xml:space="preserve"> in the exercise of that jurisdiction</w:t>
      </w:r>
      <w:r w:rsidR="00C77190" w:rsidRPr="00391B86">
        <w:rPr>
          <w:rFonts w:ascii="Times New Roman" w:hAnsi="Times New Roman"/>
        </w:rPr>
        <w:t xml:space="preserve"> by </w:t>
      </w:r>
      <w:r w:rsidR="00553EDB" w:rsidRPr="00391B86">
        <w:rPr>
          <w:rFonts w:ascii="Times New Roman" w:hAnsi="Times New Roman"/>
        </w:rPr>
        <w:t xml:space="preserve">the text of </w:t>
      </w:r>
      <w:r w:rsidR="0029136B" w:rsidRPr="00391B86">
        <w:rPr>
          <w:rFonts w:ascii="Times New Roman" w:hAnsi="Times New Roman"/>
        </w:rPr>
        <w:t>a</w:t>
      </w:r>
      <w:r w:rsidR="00553EDB" w:rsidRPr="00391B86">
        <w:rPr>
          <w:rFonts w:ascii="Times New Roman" w:hAnsi="Times New Roman"/>
        </w:rPr>
        <w:t xml:space="preserve"> law</w:t>
      </w:r>
      <w:r w:rsidR="0029136B" w:rsidRPr="00391B86">
        <w:rPr>
          <w:rFonts w:ascii="Times New Roman" w:hAnsi="Times New Roman"/>
        </w:rPr>
        <w:t xml:space="preserve"> of </w:t>
      </w:r>
      <w:r w:rsidR="004723BD" w:rsidRPr="00391B86">
        <w:rPr>
          <w:rFonts w:ascii="Times New Roman" w:hAnsi="Times New Roman"/>
        </w:rPr>
        <w:t>the</w:t>
      </w:r>
      <w:r w:rsidR="0029136B" w:rsidRPr="00391B86">
        <w:rPr>
          <w:rFonts w:ascii="Times New Roman" w:hAnsi="Times New Roman"/>
        </w:rPr>
        <w:t xml:space="preserve"> State</w:t>
      </w:r>
      <w:r w:rsidR="00B21F4E" w:rsidRPr="00391B86">
        <w:rPr>
          <w:rFonts w:ascii="Times New Roman" w:hAnsi="Times New Roman"/>
        </w:rPr>
        <w:t xml:space="preserve"> </w:t>
      </w:r>
      <w:r w:rsidR="004723BD" w:rsidRPr="00391B86">
        <w:rPr>
          <w:rFonts w:ascii="Times New Roman" w:hAnsi="Times New Roman"/>
        </w:rPr>
        <w:t xml:space="preserve">in which the exercise of jurisdiction occurs as </w:t>
      </w:r>
      <w:r w:rsidR="00553EDB" w:rsidRPr="00391B86">
        <w:rPr>
          <w:rFonts w:ascii="Times New Roman" w:hAnsi="Times New Roman"/>
        </w:rPr>
        <w:t xml:space="preserve">picked up and applied as </w:t>
      </w:r>
      <w:r w:rsidR="004723BD" w:rsidRPr="00391B86">
        <w:rPr>
          <w:rFonts w:ascii="Times New Roman" w:hAnsi="Times New Roman"/>
        </w:rPr>
        <w:t xml:space="preserve">a </w:t>
      </w:r>
      <w:r w:rsidR="00553EDB" w:rsidRPr="00391B86">
        <w:rPr>
          <w:rFonts w:ascii="Times New Roman" w:hAnsi="Times New Roman"/>
        </w:rPr>
        <w:t>Commonwealth law by s</w:t>
      </w:r>
      <w:r w:rsidR="00F37B1F" w:rsidRPr="00391B86">
        <w:rPr>
          <w:rFonts w:ascii="Times New Roman" w:hAnsi="Times New Roman"/>
        </w:rPr>
        <w:t> </w:t>
      </w:r>
      <w:r w:rsidR="00553EDB" w:rsidRPr="00391B86">
        <w:rPr>
          <w:rFonts w:ascii="Times New Roman" w:hAnsi="Times New Roman"/>
        </w:rPr>
        <w:t>79 of the Judiciary Act</w:t>
      </w:r>
      <w:r w:rsidR="0029136B" w:rsidRPr="00391B86">
        <w:rPr>
          <w:rFonts w:ascii="Times New Roman" w:hAnsi="Times New Roman"/>
        </w:rPr>
        <w:t xml:space="preserve"> except as otherwise provided by the Constitution or </w:t>
      </w:r>
      <w:r w:rsidR="00D63BEF" w:rsidRPr="00391B86">
        <w:rPr>
          <w:rFonts w:ascii="Times New Roman" w:hAnsi="Times New Roman"/>
        </w:rPr>
        <w:t xml:space="preserve">a </w:t>
      </w:r>
      <w:r w:rsidR="0029136B" w:rsidRPr="00391B86">
        <w:rPr>
          <w:rFonts w:ascii="Times New Roman" w:hAnsi="Times New Roman"/>
        </w:rPr>
        <w:t>Commonwealth law</w:t>
      </w:r>
      <w:r w:rsidR="004723BD" w:rsidRPr="00391B86">
        <w:rPr>
          <w:rFonts w:ascii="Times New Roman" w:hAnsi="Times New Roman"/>
        </w:rPr>
        <w:t xml:space="preserve">. </w:t>
      </w:r>
      <w:r w:rsidR="001F4D5D" w:rsidRPr="00391B86">
        <w:rPr>
          <w:rFonts w:ascii="Times New Roman" w:hAnsi="Times New Roman"/>
        </w:rPr>
        <w:t>To that markedly different end, s</w:t>
      </w:r>
      <w:r w:rsidR="00F37B1F" w:rsidRPr="00391B86">
        <w:rPr>
          <w:rFonts w:ascii="Times New Roman" w:hAnsi="Times New Roman"/>
        </w:rPr>
        <w:t> </w:t>
      </w:r>
      <w:r w:rsidR="001F4D5D" w:rsidRPr="00391B86">
        <w:rPr>
          <w:rFonts w:ascii="Times New Roman" w:hAnsi="Times New Roman"/>
        </w:rPr>
        <w:t>1337H(2)</w:t>
      </w:r>
      <w:r w:rsidR="003859AE" w:rsidRPr="00391B86">
        <w:rPr>
          <w:rFonts w:ascii="Times New Roman" w:hAnsi="Times New Roman"/>
        </w:rPr>
        <w:t xml:space="preserve"> </w:t>
      </w:r>
      <w:r w:rsidR="001F4D5D" w:rsidRPr="00391B86">
        <w:rPr>
          <w:rFonts w:ascii="Times New Roman" w:hAnsi="Times New Roman"/>
        </w:rPr>
        <w:t xml:space="preserve">provides that </w:t>
      </w:r>
      <w:r w:rsidR="00923A65" w:rsidRPr="00391B86">
        <w:rPr>
          <w:rFonts w:ascii="Times New Roman" w:hAnsi="Times New Roman"/>
        </w:rPr>
        <w:t>"if it appears</w:t>
      </w:r>
      <w:r w:rsidR="00623672" w:rsidRPr="00391B86">
        <w:rPr>
          <w:rFonts w:ascii="Times New Roman" w:hAnsi="Times New Roman"/>
        </w:rPr>
        <w:t xml:space="preserve">" </w:t>
      </w:r>
      <w:r w:rsidR="006160A1" w:rsidRPr="00391B86">
        <w:rPr>
          <w:rFonts w:ascii="Times New Roman" w:hAnsi="Times New Roman"/>
        </w:rPr>
        <w:t>to one</w:t>
      </w:r>
      <w:r w:rsidR="00840003" w:rsidRPr="00391B86">
        <w:rPr>
          <w:rFonts w:ascii="Times New Roman" w:hAnsi="Times New Roman"/>
        </w:rPr>
        <w:t xml:space="preserve"> such court</w:t>
      </w:r>
      <w:r w:rsidR="006160A1" w:rsidRPr="00391B86">
        <w:rPr>
          <w:rFonts w:ascii="Times New Roman" w:hAnsi="Times New Roman"/>
        </w:rPr>
        <w:t xml:space="preserve"> in which a </w:t>
      </w:r>
      <w:r w:rsidR="00840003" w:rsidRPr="00391B86">
        <w:rPr>
          <w:rFonts w:ascii="Times New Roman" w:hAnsi="Times New Roman"/>
        </w:rPr>
        <w:t>proceeding</w:t>
      </w:r>
      <w:r w:rsidR="00801D72" w:rsidRPr="00391B86">
        <w:rPr>
          <w:rFonts w:ascii="Times New Roman" w:hAnsi="Times New Roman"/>
        </w:rPr>
        <w:t xml:space="preserve"> with respect to such a matter</w:t>
      </w:r>
      <w:r w:rsidR="006160A1" w:rsidRPr="00391B86">
        <w:rPr>
          <w:rFonts w:ascii="Times New Roman" w:hAnsi="Times New Roman"/>
        </w:rPr>
        <w:t xml:space="preserve"> is pending </w:t>
      </w:r>
      <w:r w:rsidR="00240307" w:rsidRPr="00391B86">
        <w:rPr>
          <w:rFonts w:ascii="Times New Roman" w:hAnsi="Times New Roman"/>
        </w:rPr>
        <w:t xml:space="preserve">"that, having regard to the interests of justice, it is more appropriate for </w:t>
      </w:r>
      <w:r w:rsidR="00D939F8" w:rsidRPr="00391B86">
        <w:rPr>
          <w:rFonts w:ascii="Times New Roman" w:hAnsi="Times New Roman"/>
        </w:rPr>
        <w:t>... the relevant pr</w:t>
      </w:r>
      <w:r w:rsidR="00C91CCA" w:rsidRPr="00391B86">
        <w:rPr>
          <w:rFonts w:ascii="Times New Roman" w:hAnsi="Times New Roman"/>
        </w:rPr>
        <w:t>o</w:t>
      </w:r>
      <w:r w:rsidR="00D939F8" w:rsidRPr="00391B86">
        <w:rPr>
          <w:rFonts w:ascii="Times New Roman" w:hAnsi="Times New Roman"/>
        </w:rPr>
        <w:t>c</w:t>
      </w:r>
      <w:r w:rsidR="00C91CCA" w:rsidRPr="00391B86">
        <w:rPr>
          <w:rFonts w:ascii="Times New Roman" w:hAnsi="Times New Roman"/>
        </w:rPr>
        <w:t>e</w:t>
      </w:r>
      <w:r w:rsidR="00D939F8" w:rsidRPr="00391B86">
        <w:rPr>
          <w:rFonts w:ascii="Times New Roman" w:hAnsi="Times New Roman"/>
        </w:rPr>
        <w:t>eding ... or .</w:t>
      </w:r>
      <w:r w:rsidR="00D12040" w:rsidRPr="00391B86">
        <w:rPr>
          <w:rFonts w:ascii="Times New Roman" w:hAnsi="Times New Roman"/>
        </w:rPr>
        <w:t xml:space="preserve">.. </w:t>
      </w:r>
      <w:r w:rsidR="00D939F8" w:rsidRPr="00391B86">
        <w:rPr>
          <w:rFonts w:ascii="Times New Roman" w:hAnsi="Times New Roman"/>
        </w:rPr>
        <w:t xml:space="preserve">application ... </w:t>
      </w:r>
      <w:r w:rsidR="00840003" w:rsidRPr="00391B86">
        <w:rPr>
          <w:rFonts w:ascii="Times New Roman" w:hAnsi="Times New Roman"/>
        </w:rPr>
        <w:t>t</w:t>
      </w:r>
      <w:r w:rsidR="00D12040" w:rsidRPr="00391B86">
        <w:rPr>
          <w:rFonts w:ascii="Times New Roman" w:hAnsi="Times New Roman"/>
        </w:rPr>
        <w:t>o be determined by</w:t>
      </w:r>
      <w:r w:rsidR="00840003" w:rsidRPr="00391B86">
        <w:rPr>
          <w:rFonts w:ascii="Times New Roman" w:hAnsi="Times New Roman"/>
        </w:rPr>
        <w:t xml:space="preserve"> another [such] court"</w:t>
      </w:r>
      <w:r w:rsidR="00A45F56" w:rsidRPr="00391B86">
        <w:rPr>
          <w:rFonts w:ascii="Times New Roman" w:hAnsi="Times New Roman"/>
        </w:rPr>
        <w:t xml:space="preserve"> then "the transfer</w:t>
      </w:r>
      <w:r w:rsidR="00D42669" w:rsidRPr="00391B86">
        <w:rPr>
          <w:rFonts w:ascii="Times New Roman" w:hAnsi="Times New Roman"/>
        </w:rPr>
        <w:t>or</w:t>
      </w:r>
      <w:r w:rsidR="00A45F56" w:rsidRPr="00391B86">
        <w:rPr>
          <w:rFonts w:ascii="Times New Roman" w:hAnsi="Times New Roman"/>
        </w:rPr>
        <w:t xml:space="preserve"> court may transfer the relevant proceeding or application to that other court". </w:t>
      </w:r>
    </w:p>
    <w:p w14:paraId="2B392EB7" w14:textId="446541D3" w:rsidR="00863F09" w:rsidRPr="00391B86" w:rsidRDefault="009266E0" w:rsidP="00391B86">
      <w:pPr>
        <w:pStyle w:val="FixListStyle"/>
        <w:spacing w:after="260" w:line="280" w:lineRule="exact"/>
        <w:ind w:right="0"/>
        <w:jc w:val="both"/>
        <w:rPr>
          <w:rFonts w:ascii="Times New Roman" w:hAnsi="Times New Roman"/>
        </w:rPr>
      </w:pPr>
      <w:r w:rsidRPr="00391B86">
        <w:rPr>
          <w:rFonts w:ascii="Times New Roman" w:hAnsi="Times New Roman"/>
        </w:rPr>
        <w:tab/>
        <w:t xml:space="preserve">Far from requiring </w:t>
      </w:r>
      <w:r w:rsidR="00B70CDA" w:rsidRPr="00391B86">
        <w:rPr>
          <w:rFonts w:ascii="Times New Roman" w:hAnsi="Times New Roman"/>
        </w:rPr>
        <w:t>the</w:t>
      </w:r>
      <w:r w:rsidR="00D7243E" w:rsidRPr="00391B86">
        <w:rPr>
          <w:rFonts w:ascii="Times New Roman" w:hAnsi="Times New Roman"/>
        </w:rPr>
        <w:t xml:space="preserve"> Supreme Court </w:t>
      </w:r>
      <w:r w:rsidR="00D13700" w:rsidRPr="00391B86">
        <w:rPr>
          <w:rFonts w:ascii="Times New Roman" w:hAnsi="Times New Roman"/>
        </w:rPr>
        <w:t xml:space="preserve">of </w:t>
      </w:r>
      <w:r w:rsidR="00035007" w:rsidRPr="00391B86">
        <w:rPr>
          <w:rFonts w:ascii="Times New Roman" w:hAnsi="Times New Roman"/>
        </w:rPr>
        <w:t>one</w:t>
      </w:r>
      <w:r w:rsidR="00D13700" w:rsidRPr="00391B86">
        <w:rPr>
          <w:rFonts w:ascii="Times New Roman" w:hAnsi="Times New Roman"/>
        </w:rPr>
        <w:t xml:space="preserve"> State </w:t>
      </w:r>
      <w:r w:rsidR="00D7243E" w:rsidRPr="00391B86">
        <w:rPr>
          <w:rFonts w:ascii="Times New Roman" w:hAnsi="Times New Roman"/>
        </w:rPr>
        <w:t xml:space="preserve">to ensure that the relevant proceeding </w:t>
      </w:r>
      <w:r w:rsidR="000B72D0" w:rsidRPr="00391B86">
        <w:rPr>
          <w:rFonts w:ascii="Times New Roman" w:hAnsi="Times New Roman"/>
        </w:rPr>
        <w:t xml:space="preserve">or application </w:t>
      </w:r>
      <w:r w:rsidR="00D7243E" w:rsidRPr="00391B86">
        <w:rPr>
          <w:rFonts w:ascii="Times New Roman" w:hAnsi="Times New Roman"/>
        </w:rPr>
        <w:t xml:space="preserve">is heard </w:t>
      </w:r>
      <w:r w:rsidR="00035007" w:rsidRPr="00391B86">
        <w:rPr>
          <w:rFonts w:ascii="Times New Roman" w:hAnsi="Times New Roman"/>
        </w:rPr>
        <w:t xml:space="preserve">in </w:t>
      </w:r>
      <w:r w:rsidR="00097CDB" w:rsidRPr="00391B86">
        <w:rPr>
          <w:rFonts w:ascii="Times New Roman" w:hAnsi="Times New Roman"/>
        </w:rPr>
        <w:t xml:space="preserve">the </w:t>
      </w:r>
      <w:r w:rsidR="00035007" w:rsidRPr="00391B86">
        <w:rPr>
          <w:rFonts w:ascii="Times New Roman" w:hAnsi="Times New Roman"/>
        </w:rPr>
        <w:t xml:space="preserve">Supreme Court of </w:t>
      </w:r>
      <w:r w:rsidR="00097CDB" w:rsidRPr="00391B86">
        <w:rPr>
          <w:rFonts w:ascii="Times New Roman" w:hAnsi="Times New Roman"/>
        </w:rPr>
        <w:t>another</w:t>
      </w:r>
      <w:r w:rsidR="00035007" w:rsidRPr="00391B86">
        <w:rPr>
          <w:rFonts w:ascii="Times New Roman" w:hAnsi="Times New Roman"/>
        </w:rPr>
        <w:t xml:space="preserve"> State </w:t>
      </w:r>
      <w:r w:rsidR="005F54C0" w:rsidRPr="00391B86">
        <w:rPr>
          <w:rFonts w:ascii="Times New Roman" w:hAnsi="Times New Roman"/>
        </w:rPr>
        <w:t xml:space="preserve">if </w:t>
      </w:r>
      <w:r w:rsidR="004C0748" w:rsidRPr="00391B86">
        <w:rPr>
          <w:rFonts w:ascii="Times New Roman" w:hAnsi="Times New Roman"/>
        </w:rPr>
        <w:t>but</w:t>
      </w:r>
      <w:r w:rsidR="005F54C0" w:rsidRPr="00391B86">
        <w:rPr>
          <w:rFonts w:ascii="Times New Roman" w:hAnsi="Times New Roman"/>
        </w:rPr>
        <w:t xml:space="preserve"> </w:t>
      </w:r>
      <w:r w:rsidR="00035007" w:rsidRPr="00391B86">
        <w:rPr>
          <w:rFonts w:ascii="Times New Roman" w:hAnsi="Times New Roman"/>
        </w:rPr>
        <w:t>only if</w:t>
      </w:r>
      <w:r w:rsidR="00D7243E" w:rsidRPr="00391B86">
        <w:rPr>
          <w:rFonts w:ascii="Times New Roman" w:hAnsi="Times New Roman"/>
        </w:rPr>
        <w:t xml:space="preserve"> the </w:t>
      </w:r>
      <w:r w:rsidR="00B81407" w:rsidRPr="00391B86">
        <w:rPr>
          <w:rFonts w:ascii="Times New Roman" w:hAnsi="Times New Roman"/>
        </w:rPr>
        <w:t>i</w:t>
      </w:r>
      <w:r w:rsidR="00D7243E" w:rsidRPr="00391B86">
        <w:rPr>
          <w:rFonts w:ascii="Times New Roman" w:hAnsi="Times New Roman"/>
        </w:rPr>
        <w:t>nterests of justice</w:t>
      </w:r>
      <w:r w:rsidR="005F54C0" w:rsidRPr="00391B86">
        <w:rPr>
          <w:rFonts w:ascii="Times New Roman" w:hAnsi="Times New Roman"/>
        </w:rPr>
        <w:t xml:space="preserve"> </w:t>
      </w:r>
      <w:r w:rsidR="00B81407" w:rsidRPr="00391B86">
        <w:rPr>
          <w:rFonts w:ascii="Times New Roman" w:hAnsi="Times New Roman"/>
        </w:rPr>
        <w:t>"</w:t>
      </w:r>
      <w:r w:rsidR="005F54C0" w:rsidRPr="00391B86">
        <w:rPr>
          <w:rFonts w:ascii="Times New Roman" w:hAnsi="Times New Roman"/>
        </w:rPr>
        <w:t>dictate</w:t>
      </w:r>
      <w:r w:rsidR="006217C0" w:rsidRPr="00391B86">
        <w:rPr>
          <w:rFonts w:ascii="Times New Roman" w:hAnsi="Times New Roman"/>
        </w:rPr>
        <w:t>"</w:t>
      </w:r>
      <w:r w:rsidR="005F54C0" w:rsidRPr="00391B86">
        <w:rPr>
          <w:rFonts w:ascii="Times New Roman" w:hAnsi="Times New Roman"/>
        </w:rPr>
        <w:t xml:space="preserve"> </w:t>
      </w:r>
      <w:r w:rsidR="00097CDB" w:rsidRPr="00391B86">
        <w:rPr>
          <w:rFonts w:ascii="Times New Roman" w:hAnsi="Times New Roman"/>
        </w:rPr>
        <w:t>that it be heard in the Supreme Court of that other State</w:t>
      </w:r>
      <w:r w:rsidR="00D7243E" w:rsidRPr="00391B86">
        <w:rPr>
          <w:rFonts w:ascii="Times New Roman" w:hAnsi="Times New Roman"/>
        </w:rPr>
        <w:t xml:space="preserve">, </w:t>
      </w:r>
      <w:r w:rsidR="00B7652F" w:rsidRPr="00391B86">
        <w:rPr>
          <w:rFonts w:ascii="Times New Roman" w:hAnsi="Times New Roman"/>
        </w:rPr>
        <w:t>s</w:t>
      </w:r>
      <w:r w:rsidR="00F37B1F" w:rsidRPr="00391B86">
        <w:rPr>
          <w:rFonts w:ascii="Times New Roman" w:hAnsi="Times New Roman"/>
        </w:rPr>
        <w:t> </w:t>
      </w:r>
      <w:r w:rsidR="00B7652F" w:rsidRPr="00391B86">
        <w:rPr>
          <w:rFonts w:ascii="Times New Roman" w:hAnsi="Times New Roman"/>
        </w:rPr>
        <w:t>1337</w:t>
      </w:r>
      <w:proofErr w:type="gramStart"/>
      <w:r w:rsidR="00B7652F" w:rsidRPr="00391B86">
        <w:rPr>
          <w:rFonts w:ascii="Times New Roman" w:hAnsi="Times New Roman"/>
        </w:rPr>
        <w:t>H(</w:t>
      </w:r>
      <w:proofErr w:type="gramEnd"/>
      <w:r w:rsidR="00B7652F" w:rsidRPr="00391B86">
        <w:rPr>
          <w:rFonts w:ascii="Times New Roman" w:hAnsi="Times New Roman"/>
        </w:rPr>
        <w:t xml:space="preserve">2) </w:t>
      </w:r>
      <w:r w:rsidR="00863F09" w:rsidRPr="00391B86">
        <w:rPr>
          <w:rFonts w:ascii="Times New Roman" w:hAnsi="Times New Roman"/>
        </w:rPr>
        <w:t xml:space="preserve">of the Corporations Act </w:t>
      </w:r>
      <w:r w:rsidR="00B7652F" w:rsidRPr="00391B86">
        <w:rPr>
          <w:rFonts w:ascii="Times New Roman" w:hAnsi="Times New Roman"/>
        </w:rPr>
        <w:t xml:space="preserve">confers </w:t>
      </w:r>
      <w:r w:rsidR="00EC22EE" w:rsidRPr="00391B86">
        <w:rPr>
          <w:rFonts w:ascii="Times New Roman" w:hAnsi="Times New Roman"/>
        </w:rPr>
        <w:t>on the Supreme Court</w:t>
      </w:r>
      <w:r w:rsidR="000E24C8" w:rsidRPr="00391B86">
        <w:rPr>
          <w:rFonts w:ascii="Times New Roman" w:hAnsi="Times New Roman"/>
        </w:rPr>
        <w:t xml:space="preserve"> a discretion</w:t>
      </w:r>
      <w:r w:rsidR="004C0748" w:rsidRPr="00391B86">
        <w:rPr>
          <w:rFonts w:ascii="Times New Roman" w:hAnsi="Times New Roman"/>
        </w:rPr>
        <w:t xml:space="preserve">. </w:t>
      </w:r>
      <w:r w:rsidR="007C1AE1" w:rsidRPr="00391B86">
        <w:rPr>
          <w:rFonts w:ascii="Times New Roman" w:hAnsi="Times New Roman"/>
        </w:rPr>
        <w:t>The discretion is</w:t>
      </w:r>
      <w:r w:rsidR="00B7652F" w:rsidRPr="00391B86">
        <w:rPr>
          <w:rFonts w:ascii="Times New Roman" w:hAnsi="Times New Roman"/>
        </w:rPr>
        <w:t xml:space="preserve"> connoted by</w:t>
      </w:r>
      <w:r w:rsidR="00EC22EE" w:rsidRPr="00391B86">
        <w:rPr>
          <w:rFonts w:ascii="Times New Roman" w:hAnsi="Times New Roman"/>
        </w:rPr>
        <w:t xml:space="preserve"> use of </w:t>
      </w:r>
      <w:r w:rsidR="00B7652F" w:rsidRPr="00391B86">
        <w:rPr>
          <w:rFonts w:ascii="Times New Roman" w:hAnsi="Times New Roman"/>
        </w:rPr>
        <w:t xml:space="preserve">the </w:t>
      </w:r>
      <w:r w:rsidR="00FC1F01" w:rsidRPr="00391B86">
        <w:rPr>
          <w:rFonts w:ascii="Times New Roman" w:hAnsi="Times New Roman"/>
        </w:rPr>
        <w:t>expression</w:t>
      </w:r>
      <w:r w:rsidR="004809CB" w:rsidRPr="00391B86">
        <w:rPr>
          <w:rFonts w:ascii="Times New Roman" w:hAnsi="Times New Roman"/>
        </w:rPr>
        <w:t xml:space="preserve"> </w:t>
      </w:r>
      <w:r w:rsidR="00B7652F" w:rsidRPr="00391B86">
        <w:rPr>
          <w:rFonts w:ascii="Times New Roman" w:hAnsi="Times New Roman"/>
        </w:rPr>
        <w:t>"may</w:t>
      </w:r>
      <w:r w:rsidR="00FC1F01" w:rsidRPr="00391B86">
        <w:rPr>
          <w:rFonts w:ascii="Times New Roman" w:hAnsi="Times New Roman"/>
        </w:rPr>
        <w:t xml:space="preserve"> transfer</w:t>
      </w:r>
      <w:r w:rsidR="00B7652F" w:rsidRPr="00391B86">
        <w:rPr>
          <w:rFonts w:ascii="Times New Roman" w:hAnsi="Times New Roman"/>
        </w:rPr>
        <w:t>"</w:t>
      </w:r>
      <w:r w:rsidR="00B7652F" w:rsidRPr="00391B86">
        <w:rPr>
          <w:rStyle w:val="FootnoteReference"/>
          <w:rFonts w:ascii="Times New Roman" w:hAnsi="Times New Roman"/>
          <w:sz w:val="24"/>
        </w:rPr>
        <w:footnoteReference w:id="42"/>
      </w:r>
      <w:r w:rsidR="00B7652F" w:rsidRPr="00391B86">
        <w:rPr>
          <w:rFonts w:ascii="Times New Roman" w:hAnsi="Times New Roman"/>
        </w:rPr>
        <w:t xml:space="preserve"> </w:t>
      </w:r>
      <w:r w:rsidR="00FC1F01" w:rsidRPr="00391B86">
        <w:rPr>
          <w:rFonts w:ascii="Times New Roman" w:hAnsi="Times New Roman"/>
        </w:rPr>
        <w:t>in contradistinction to</w:t>
      </w:r>
      <w:r w:rsidR="00B838CF" w:rsidRPr="00391B86">
        <w:rPr>
          <w:rFonts w:ascii="Times New Roman" w:hAnsi="Times New Roman"/>
        </w:rPr>
        <w:t xml:space="preserve"> </w:t>
      </w:r>
      <w:r w:rsidR="00FC1F01" w:rsidRPr="00391B86">
        <w:rPr>
          <w:rFonts w:ascii="Times New Roman" w:hAnsi="Times New Roman"/>
        </w:rPr>
        <w:t xml:space="preserve">the expression </w:t>
      </w:r>
      <w:r w:rsidR="00B838CF" w:rsidRPr="00391B86">
        <w:rPr>
          <w:rFonts w:ascii="Times New Roman" w:hAnsi="Times New Roman"/>
        </w:rPr>
        <w:t>"shall</w:t>
      </w:r>
      <w:r w:rsidR="00FC1F01" w:rsidRPr="00391B86">
        <w:rPr>
          <w:rFonts w:ascii="Times New Roman" w:hAnsi="Times New Roman"/>
        </w:rPr>
        <w:t xml:space="preserve"> transfer</w:t>
      </w:r>
      <w:r w:rsidR="00B838CF" w:rsidRPr="00391B86">
        <w:rPr>
          <w:rFonts w:ascii="Times New Roman" w:hAnsi="Times New Roman"/>
        </w:rPr>
        <w:t>"</w:t>
      </w:r>
      <w:r w:rsidR="00FC1F01" w:rsidRPr="00391B86">
        <w:rPr>
          <w:rFonts w:ascii="Times New Roman" w:hAnsi="Times New Roman"/>
        </w:rPr>
        <w:t xml:space="preserve"> in </w:t>
      </w:r>
      <w:r w:rsidR="00A60F3D" w:rsidRPr="00391B86">
        <w:rPr>
          <w:rFonts w:ascii="Times New Roman" w:hAnsi="Times New Roman"/>
        </w:rPr>
        <w:t>s </w:t>
      </w:r>
      <w:r w:rsidR="00FC1F01" w:rsidRPr="00391B86">
        <w:rPr>
          <w:rFonts w:ascii="Times New Roman" w:hAnsi="Times New Roman"/>
        </w:rPr>
        <w:t>5(2)(b)(iii) of the Cross</w:t>
      </w:r>
      <w:r w:rsidR="00F37B1F" w:rsidRPr="00391B86">
        <w:rPr>
          <w:rFonts w:ascii="Times New Roman" w:hAnsi="Times New Roman"/>
        </w:rPr>
        <w:noBreakHyphen/>
      </w:r>
      <w:r w:rsidR="00FC1F01" w:rsidRPr="00391B86">
        <w:rPr>
          <w:rFonts w:ascii="Times New Roman" w:hAnsi="Times New Roman"/>
        </w:rPr>
        <w:t>vesting Act</w:t>
      </w:r>
      <w:r w:rsidR="006217C0" w:rsidRPr="00391B86">
        <w:rPr>
          <w:rFonts w:ascii="Times New Roman" w:hAnsi="Times New Roman"/>
        </w:rPr>
        <w:t xml:space="preserve">. </w:t>
      </w:r>
      <w:r w:rsidR="00F121F8" w:rsidRPr="00391B86">
        <w:rPr>
          <w:rFonts w:ascii="Times New Roman" w:hAnsi="Times New Roman"/>
        </w:rPr>
        <w:t xml:space="preserve">The discretion is </w:t>
      </w:r>
      <w:r w:rsidR="000B72D0" w:rsidRPr="00391B86">
        <w:rPr>
          <w:rFonts w:ascii="Times New Roman" w:hAnsi="Times New Roman"/>
        </w:rPr>
        <w:t>to transfer the proceeding</w:t>
      </w:r>
      <w:r w:rsidR="003A0122" w:rsidRPr="00391B86">
        <w:rPr>
          <w:rFonts w:ascii="Times New Roman" w:hAnsi="Times New Roman"/>
        </w:rPr>
        <w:t xml:space="preserve"> or</w:t>
      </w:r>
      <w:r w:rsidR="000B72D0" w:rsidRPr="00391B86">
        <w:rPr>
          <w:rFonts w:ascii="Times New Roman" w:hAnsi="Times New Roman"/>
        </w:rPr>
        <w:t xml:space="preserve"> </w:t>
      </w:r>
      <w:r w:rsidR="00F218D6" w:rsidRPr="00391B86">
        <w:rPr>
          <w:rFonts w:ascii="Times New Roman" w:hAnsi="Times New Roman"/>
        </w:rPr>
        <w:t>application</w:t>
      </w:r>
      <w:r w:rsidR="003A0122" w:rsidRPr="00391B86">
        <w:rPr>
          <w:rFonts w:ascii="Times New Roman" w:hAnsi="Times New Roman"/>
        </w:rPr>
        <w:t xml:space="preserve"> to</w:t>
      </w:r>
      <w:r w:rsidR="00A57ED7" w:rsidRPr="00391B86">
        <w:rPr>
          <w:rFonts w:ascii="Times New Roman" w:hAnsi="Times New Roman"/>
        </w:rPr>
        <w:t xml:space="preserve"> </w:t>
      </w:r>
      <w:r w:rsidR="00730B11" w:rsidRPr="00391B86">
        <w:rPr>
          <w:rFonts w:ascii="Times New Roman" w:hAnsi="Times New Roman"/>
        </w:rPr>
        <w:t>such o</w:t>
      </w:r>
      <w:r w:rsidR="00822C16" w:rsidRPr="00391B86">
        <w:rPr>
          <w:rFonts w:ascii="Times New Roman" w:hAnsi="Times New Roman"/>
        </w:rPr>
        <w:t xml:space="preserve">ther court, being </w:t>
      </w:r>
      <w:r w:rsidR="004B690E" w:rsidRPr="00391B86">
        <w:rPr>
          <w:rFonts w:ascii="Times New Roman" w:hAnsi="Times New Roman"/>
        </w:rPr>
        <w:t xml:space="preserve">the Federal Court or </w:t>
      </w:r>
      <w:r w:rsidR="00822C16" w:rsidRPr="00391B86">
        <w:rPr>
          <w:rFonts w:ascii="Times New Roman" w:hAnsi="Times New Roman"/>
        </w:rPr>
        <w:t>an</w:t>
      </w:r>
      <w:r w:rsidR="00A57ED7" w:rsidRPr="00391B86">
        <w:rPr>
          <w:rFonts w:ascii="Times New Roman" w:hAnsi="Times New Roman"/>
        </w:rPr>
        <w:t xml:space="preserve">other </w:t>
      </w:r>
      <w:r w:rsidR="004B690E" w:rsidRPr="00391B86">
        <w:rPr>
          <w:rFonts w:ascii="Times New Roman" w:hAnsi="Times New Roman"/>
        </w:rPr>
        <w:t>Supreme Court</w:t>
      </w:r>
      <w:r w:rsidR="00822C16" w:rsidRPr="00391B86">
        <w:rPr>
          <w:rFonts w:ascii="Times New Roman" w:hAnsi="Times New Roman"/>
        </w:rPr>
        <w:t xml:space="preserve">, </w:t>
      </w:r>
      <w:r w:rsidR="00A57ED7" w:rsidRPr="00391B86">
        <w:rPr>
          <w:rFonts w:ascii="Times New Roman" w:hAnsi="Times New Roman"/>
        </w:rPr>
        <w:t xml:space="preserve">as </w:t>
      </w:r>
      <w:r w:rsidR="00822C16" w:rsidRPr="00391B86">
        <w:rPr>
          <w:rFonts w:ascii="Times New Roman" w:hAnsi="Times New Roman"/>
        </w:rPr>
        <w:t xml:space="preserve">might </w:t>
      </w:r>
      <w:r w:rsidR="00EC22EE" w:rsidRPr="00391B86">
        <w:rPr>
          <w:rFonts w:ascii="Times New Roman" w:hAnsi="Times New Roman"/>
        </w:rPr>
        <w:t xml:space="preserve">appear </w:t>
      </w:r>
      <w:r w:rsidR="00E538B6" w:rsidRPr="00391B86">
        <w:rPr>
          <w:rFonts w:ascii="Times New Roman" w:hAnsi="Times New Roman"/>
        </w:rPr>
        <w:t xml:space="preserve">to the Supreme Court </w:t>
      </w:r>
      <w:r w:rsidR="006217C0" w:rsidRPr="00391B86">
        <w:rPr>
          <w:rFonts w:ascii="Times New Roman" w:hAnsi="Times New Roman"/>
        </w:rPr>
        <w:t xml:space="preserve">as the transferor court </w:t>
      </w:r>
      <w:r w:rsidR="00EC22EE" w:rsidRPr="00391B86">
        <w:rPr>
          <w:rFonts w:ascii="Times New Roman" w:hAnsi="Times New Roman"/>
        </w:rPr>
        <w:t>to be "more appropriate"</w:t>
      </w:r>
      <w:r w:rsidR="00F121F8" w:rsidRPr="00391B86">
        <w:rPr>
          <w:rFonts w:ascii="Times New Roman" w:hAnsi="Times New Roman"/>
        </w:rPr>
        <w:t xml:space="preserve"> to </w:t>
      </w:r>
      <w:r w:rsidR="00EC22EE" w:rsidRPr="00391B86">
        <w:rPr>
          <w:rFonts w:ascii="Times New Roman" w:hAnsi="Times New Roman"/>
        </w:rPr>
        <w:t>determin</w:t>
      </w:r>
      <w:r w:rsidR="00F121F8" w:rsidRPr="00391B86">
        <w:rPr>
          <w:rFonts w:ascii="Times New Roman" w:hAnsi="Times New Roman"/>
        </w:rPr>
        <w:t>e</w:t>
      </w:r>
      <w:r w:rsidR="00EC22EE" w:rsidRPr="00391B86">
        <w:rPr>
          <w:rFonts w:ascii="Times New Roman" w:hAnsi="Times New Roman"/>
        </w:rPr>
        <w:t xml:space="preserve"> </w:t>
      </w:r>
      <w:r w:rsidR="00E538B6" w:rsidRPr="00391B86">
        <w:rPr>
          <w:rFonts w:ascii="Times New Roman" w:hAnsi="Times New Roman"/>
        </w:rPr>
        <w:t xml:space="preserve">the proceeding or application </w:t>
      </w:r>
      <w:r w:rsidR="00EC22EE" w:rsidRPr="00391B86">
        <w:rPr>
          <w:rFonts w:ascii="Times New Roman" w:hAnsi="Times New Roman"/>
        </w:rPr>
        <w:t xml:space="preserve">"having regard" </w:t>
      </w:r>
      <w:r w:rsidR="00116B8A" w:rsidRPr="00391B86">
        <w:rPr>
          <w:rFonts w:ascii="Times New Roman" w:hAnsi="Times New Roman"/>
        </w:rPr>
        <w:t xml:space="preserve">to </w:t>
      </w:r>
      <w:r w:rsidR="00EC22EE" w:rsidRPr="00391B86">
        <w:rPr>
          <w:rFonts w:ascii="Times New Roman" w:hAnsi="Times New Roman"/>
        </w:rPr>
        <w:t xml:space="preserve">the interests of justice </w:t>
      </w:r>
      <w:r w:rsidR="00116B8A" w:rsidRPr="00391B86">
        <w:rPr>
          <w:rFonts w:ascii="Times New Roman" w:hAnsi="Times New Roman"/>
        </w:rPr>
        <w:t>and "having regard" as</w:t>
      </w:r>
      <w:r w:rsidR="00EC22EE" w:rsidRPr="00391B86">
        <w:rPr>
          <w:rFonts w:ascii="Times New Roman" w:hAnsi="Times New Roman"/>
        </w:rPr>
        <w:t xml:space="preserve"> </w:t>
      </w:r>
      <w:r w:rsidR="001E2E71" w:rsidRPr="00391B86">
        <w:rPr>
          <w:rFonts w:ascii="Times New Roman" w:hAnsi="Times New Roman"/>
        </w:rPr>
        <w:t xml:space="preserve">well </w:t>
      </w:r>
      <w:r w:rsidR="00EC22EE" w:rsidRPr="00391B86">
        <w:rPr>
          <w:rFonts w:ascii="Times New Roman" w:hAnsi="Times New Roman"/>
        </w:rPr>
        <w:t>to the mandatory considerations set out in s</w:t>
      </w:r>
      <w:r w:rsidR="00F37B1F" w:rsidRPr="00391B86">
        <w:rPr>
          <w:rFonts w:ascii="Times New Roman" w:hAnsi="Times New Roman"/>
        </w:rPr>
        <w:t> </w:t>
      </w:r>
      <w:r w:rsidR="00EC22EE" w:rsidRPr="00391B86">
        <w:rPr>
          <w:rFonts w:ascii="Times New Roman" w:hAnsi="Times New Roman"/>
        </w:rPr>
        <w:t>1337L.</w:t>
      </w:r>
      <w:r w:rsidR="004B415C" w:rsidRPr="00391B86">
        <w:rPr>
          <w:rFonts w:ascii="Times New Roman" w:hAnsi="Times New Roman"/>
        </w:rPr>
        <w:t xml:space="preserve"> </w:t>
      </w:r>
    </w:p>
    <w:p w14:paraId="66C6D466" w14:textId="5A3617EA" w:rsidR="009266E0" w:rsidRPr="00391B86" w:rsidRDefault="00863F09"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B4638A" w:rsidRPr="00391B86">
        <w:rPr>
          <w:rFonts w:ascii="Times New Roman" w:hAnsi="Times New Roman"/>
        </w:rPr>
        <w:t xml:space="preserve">The requirement </w:t>
      </w:r>
      <w:r w:rsidRPr="00391B86">
        <w:rPr>
          <w:rFonts w:ascii="Times New Roman" w:hAnsi="Times New Roman"/>
        </w:rPr>
        <w:t>of s</w:t>
      </w:r>
      <w:r w:rsidR="00F37B1F" w:rsidRPr="00391B86">
        <w:rPr>
          <w:rFonts w:ascii="Times New Roman" w:hAnsi="Times New Roman"/>
        </w:rPr>
        <w:t> </w:t>
      </w:r>
      <w:r w:rsidRPr="00391B86">
        <w:rPr>
          <w:rFonts w:ascii="Times New Roman" w:hAnsi="Times New Roman"/>
        </w:rPr>
        <w:t>1337</w:t>
      </w:r>
      <w:proofErr w:type="gramStart"/>
      <w:r w:rsidRPr="00391B86">
        <w:rPr>
          <w:rFonts w:ascii="Times New Roman" w:hAnsi="Times New Roman"/>
        </w:rPr>
        <w:t>H(</w:t>
      </w:r>
      <w:proofErr w:type="gramEnd"/>
      <w:r w:rsidRPr="00391B86">
        <w:rPr>
          <w:rFonts w:ascii="Times New Roman" w:hAnsi="Times New Roman"/>
        </w:rPr>
        <w:t xml:space="preserve">2) of the Corporations Act </w:t>
      </w:r>
      <w:r w:rsidR="00B4638A" w:rsidRPr="00391B86">
        <w:rPr>
          <w:rFonts w:ascii="Times New Roman" w:hAnsi="Times New Roman"/>
        </w:rPr>
        <w:t>t</w:t>
      </w:r>
      <w:r w:rsidR="005857B2" w:rsidRPr="00391B86">
        <w:rPr>
          <w:rFonts w:ascii="Times New Roman" w:hAnsi="Times New Roman"/>
        </w:rPr>
        <w:t xml:space="preserve">hat the </w:t>
      </w:r>
      <w:r w:rsidR="00D070EB" w:rsidRPr="00391B86">
        <w:rPr>
          <w:rFonts w:ascii="Times New Roman" w:hAnsi="Times New Roman"/>
        </w:rPr>
        <w:t>transferor court</w:t>
      </w:r>
      <w:r w:rsidR="00B4638A" w:rsidRPr="00391B86">
        <w:rPr>
          <w:rFonts w:ascii="Times New Roman" w:hAnsi="Times New Roman"/>
        </w:rPr>
        <w:t xml:space="preserve"> "have regard" to the interests of justice </w:t>
      </w:r>
      <w:r w:rsidR="005857B2" w:rsidRPr="00391B86">
        <w:rPr>
          <w:rFonts w:ascii="Times New Roman" w:hAnsi="Times New Roman"/>
        </w:rPr>
        <w:t xml:space="preserve">in exercising the discretion to transfer </w:t>
      </w:r>
      <w:r w:rsidR="00004D5A" w:rsidRPr="00391B86">
        <w:rPr>
          <w:rFonts w:ascii="Times New Roman" w:hAnsi="Times New Roman"/>
        </w:rPr>
        <w:t xml:space="preserve">the proceeding or application </w:t>
      </w:r>
      <w:r w:rsidR="00B95DB8" w:rsidRPr="00391B86">
        <w:rPr>
          <w:rFonts w:ascii="Times New Roman" w:hAnsi="Times New Roman"/>
        </w:rPr>
        <w:t xml:space="preserve">to another court </w:t>
      </w:r>
      <w:r w:rsidR="004F11B7" w:rsidRPr="00391B86">
        <w:rPr>
          <w:rFonts w:ascii="Times New Roman" w:hAnsi="Times New Roman"/>
        </w:rPr>
        <w:t xml:space="preserve">requires the transferor court to consider the interests of justice and to treat the interests of justice as "a fundamental </w:t>
      </w:r>
      <w:r w:rsidR="004F11B7" w:rsidRPr="00391B86">
        <w:rPr>
          <w:rFonts w:ascii="Times New Roman" w:hAnsi="Times New Roman"/>
        </w:rPr>
        <w:lastRenderedPageBreak/>
        <w:t>element"</w:t>
      </w:r>
      <w:r w:rsidR="004F11B7" w:rsidRPr="00391B86">
        <w:rPr>
          <w:rStyle w:val="FootnoteReference"/>
          <w:rFonts w:ascii="Times New Roman" w:hAnsi="Times New Roman"/>
          <w:sz w:val="24"/>
        </w:rPr>
        <w:footnoteReference w:id="43"/>
      </w:r>
      <w:r w:rsidR="004F11B7" w:rsidRPr="00391B86">
        <w:rPr>
          <w:rFonts w:ascii="Times New Roman" w:hAnsi="Times New Roman"/>
        </w:rPr>
        <w:t xml:space="preserve"> in exercising the discretion.</w:t>
      </w:r>
      <w:r w:rsidR="00DF5A30" w:rsidRPr="00391B86">
        <w:rPr>
          <w:rFonts w:ascii="Times New Roman" w:hAnsi="Times New Roman"/>
        </w:rPr>
        <w:t xml:space="preserve"> The requirement </w:t>
      </w:r>
      <w:r w:rsidR="00E91579" w:rsidRPr="00391B86">
        <w:rPr>
          <w:rFonts w:ascii="Times New Roman" w:hAnsi="Times New Roman"/>
        </w:rPr>
        <w:t>does not</w:t>
      </w:r>
      <w:r w:rsidR="00336DF0" w:rsidRPr="00391B86">
        <w:rPr>
          <w:rFonts w:ascii="Times New Roman" w:hAnsi="Times New Roman"/>
        </w:rPr>
        <w:t xml:space="preserve"> </w:t>
      </w:r>
      <w:r w:rsidR="00C41AEE" w:rsidRPr="00391B86">
        <w:rPr>
          <w:rFonts w:ascii="Times New Roman" w:hAnsi="Times New Roman"/>
        </w:rPr>
        <w:t xml:space="preserve">confine the considerations </w:t>
      </w:r>
      <w:r w:rsidR="00672DCB" w:rsidRPr="00391B86">
        <w:rPr>
          <w:rFonts w:ascii="Times New Roman" w:hAnsi="Times New Roman"/>
        </w:rPr>
        <w:t xml:space="preserve">able </w:t>
      </w:r>
      <w:r w:rsidR="00C41AEE" w:rsidRPr="00391B86">
        <w:rPr>
          <w:rFonts w:ascii="Times New Roman" w:hAnsi="Times New Roman"/>
        </w:rPr>
        <w:t xml:space="preserve">to be </w:t>
      </w:r>
      <w:proofErr w:type="gramStart"/>
      <w:r w:rsidR="000A11E3" w:rsidRPr="00391B86">
        <w:rPr>
          <w:rFonts w:ascii="Times New Roman" w:hAnsi="Times New Roman"/>
        </w:rPr>
        <w:t>taken into account</w:t>
      </w:r>
      <w:proofErr w:type="gramEnd"/>
      <w:r w:rsidR="00C41AEE" w:rsidRPr="00391B86">
        <w:rPr>
          <w:rFonts w:ascii="Times New Roman" w:hAnsi="Times New Roman"/>
        </w:rPr>
        <w:t xml:space="preserve"> </w:t>
      </w:r>
      <w:r w:rsidR="00944283" w:rsidRPr="00391B86">
        <w:rPr>
          <w:rFonts w:ascii="Times New Roman" w:hAnsi="Times New Roman"/>
        </w:rPr>
        <w:t xml:space="preserve">by the </w:t>
      </w:r>
      <w:r w:rsidR="00B95DB8" w:rsidRPr="00391B86">
        <w:rPr>
          <w:rFonts w:ascii="Times New Roman" w:hAnsi="Times New Roman"/>
        </w:rPr>
        <w:t xml:space="preserve">transferor court </w:t>
      </w:r>
      <w:r w:rsidR="00C41AEE" w:rsidRPr="00391B86">
        <w:rPr>
          <w:rFonts w:ascii="Times New Roman" w:hAnsi="Times New Roman"/>
        </w:rPr>
        <w:t>to the interests of justice</w:t>
      </w:r>
      <w:r w:rsidR="00DF5A30" w:rsidRPr="00391B86">
        <w:rPr>
          <w:rFonts w:ascii="Times New Roman" w:hAnsi="Times New Roman"/>
        </w:rPr>
        <w:t>.</w:t>
      </w:r>
    </w:p>
    <w:p w14:paraId="46976763" w14:textId="5288C7D1" w:rsidR="00541143" w:rsidRPr="00391B86" w:rsidRDefault="00541143"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4B415C" w:rsidRPr="00391B86">
        <w:rPr>
          <w:rFonts w:ascii="Times New Roman" w:hAnsi="Times New Roman"/>
        </w:rPr>
        <w:t xml:space="preserve">Unquestionably, the discretion to transfer </w:t>
      </w:r>
      <w:r w:rsidR="00FA55B9" w:rsidRPr="00391B86">
        <w:rPr>
          <w:rFonts w:ascii="Times New Roman" w:hAnsi="Times New Roman"/>
        </w:rPr>
        <w:t xml:space="preserve">the proceeding or application </w:t>
      </w:r>
      <w:r w:rsidR="00062171" w:rsidRPr="00391B86">
        <w:rPr>
          <w:rFonts w:ascii="Times New Roman" w:hAnsi="Times New Roman"/>
        </w:rPr>
        <w:t xml:space="preserve">conferred by </w:t>
      </w:r>
      <w:r w:rsidR="004B415C" w:rsidRPr="00391B86">
        <w:rPr>
          <w:rFonts w:ascii="Times New Roman" w:hAnsi="Times New Roman"/>
        </w:rPr>
        <w:t>s</w:t>
      </w:r>
      <w:r w:rsidR="00FF023F" w:rsidRPr="00391B86">
        <w:rPr>
          <w:rFonts w:ascii="Times New Roman" w:hAnsi="Times New Roman"/>
        </w:rPr>
        <w:t> </w:t>
      </w:r>
      <w:r w:rsidR="004B415C" w:rsidRPr="00391B86">
        <w:rPr>
          <w:rFonts w:ascii="Times New Roman" w:hAnsi="Times New Roman"/>
        </w:rPr>
        <w:t>1337</w:t>
      </w:r>
      <w:proofErr w:type="gramStart"/>
      <w:r w:rsidR="004B415C" w:rsidRPr="00391B86">
        <w:rPr>
          <w:rFonts w:ascii="Times New Roman" w:hAnsi="Times New Roman"/>
        </w:rPr>
        <w:t>H(</w:t>
      </w:r>
      <w:proofErr w:type="gramEnd"/>
      <w:r w:rsidR="004B415C" w:rsidRPr="00391B86">
        <w:rPr>
          <w:rFonts w:ascii="Times New Roman" w:hAnsi="Times New Roman"/>
        </w:rPr>
        <w:t xml:space="preserve">2) of the Corporations Act </w:t>
      </w:r>
      <w:r w:rsidR="00062171" w:rsidRPr="00391B86">
        <w:rPr>
          <w:rFonts w:ascii="Times New Roman" w:hAnsi="Times New Roman"/>
        </w:rPr>
        <w:t>would not</w:t>
      </w:r>
      <w:r w:rsidR="00DF5A30" w:rsidRPr="00391B86">
        <w:rPr>
          <w:rFonts w:ascii="Times New Roman" w:hAnsi="Times New Roman"/>
        </w:rPr>
        <w:t xml:space="preserve"> </w:t>
      </w:r>
      <w:r w:rsidR="00062171" w:rsidRPr="00391B86">
        <w:rPr>
          <w:rFonts w:ascii="Times New Roman" w:hAnsi="Times New Roman"/>
        </w:rPr>
        <w:t xml:space="preserve">properly </w:t>
      </w:r>
      <w:r w:rsidR="00DF5A30" w:rsidRPr="00391B86">
        <w:rPr>
          <w:rFonts w:ascii="Times New Roman" w:hAnsi="Times New Roman"/>
        </w:rPr>
        <w:t xml:space="preserve">be </w:t>
      </w:r>
      <w:r w:rsidR="00062171" w:rsidRPr="00391B86">
        <w:rPr>
          <w:rFonts w:ascii="Times New Roman" w:hAnsi="Times New Roman"/>
        </w:rPr>
        <w:t xml:space="preserve">exercised </w:t>
      </w:r>
      <w:r w:rsidR="00D815B8" w:rsidRPr="00391B86">
        <w:rPr>
          <w:rFonts w:ascii="Times New Roman" w:hAnsi="Times New Roman"/>
        </w:rPr>
        <w:t>contrary to</w:t>
      </w:r>
      <w:r w:rsidR="00824628" w:rsidRPr="00391B86">
        <w:rPr>
          <w:rFonts w:ascii="Times New Roman" w:hAnsi="Times New Roman"/>
        </w:rPr>
        <w:t xml:space="preserve"> </w:t>
      </w:r>
      <w:r w:rsidR="00B95DB8" w:rsidRPr="00391B86">
        <w:rPr>
          <w:rFonts w:ascii="Times New Roman" w:hAnsi="Times New Roman"/>
        </w:rPr>
        <w:t>the transferor court</w:t>
      </w:r>
      <w:r w:rsidR="00824628" w:rsidRPr="00391B86">
        <w:rPr>
          <w:rFonts w:ascii="Times New Roman" w:hAnsi="Times New Roman"/>
        </w:rPr>
        <w:t>'s</w:t>
      </w:r>
      <w:r w:rsidR="00E560B3" w:rsidRPr="00391B86">
        <w:rPr>
          <w:rFonts w:ascii="Times New Roman" w:hAnsi="Times New Roman"/>
        </w:rPr>
        <w:t xml:space="preserve"> evaluation of</w:t>
      </w:r>
      <w:r w:rsidR="00824628" w:rsidRPr="00391B86">
        <w:rPr>
          <w:rFonts w:ascii="Times New Roman" w:hAnsi="Times New Roman"/>
        </w:rPr>
        <w:t xml:space="preserve"> the interests of justice</w:t>
      </w:r>
      <w:r w:rsidR="00D21B9C" w:rsidRPr="00391B86">
        <w:rPr>
          <w:rFonts w:ascii="Times New Roman" w:hAnsi="Times New Roman"/>
        </w:rPr>
        <w:t xml:space="preserve">. </w:t>
      </w:r>
      <w:r w:rsidR="00043EE2" w:rsidRPr="00391B86">
        <w:rPr>
          <w:rFonts w:ascii="Times New Roman" w:hAnsi="Times New Roman"/>
        </w:rPr>
        <w:t>Where the interests of justice are evaluated</w:t>
      </w:r>
      <w:r w:rsidR="00EF7494" w:rsidRPr="00391B86">
        <w:rPr>
          <w:rFonts w:ascii="Times New Roman" w:hAnsi="Times New Roman"/>
        </w:rPr>
        <w:t xml:space="preserve"> as neutral or equivocal, however, </w:t>
      </w:r>
      <w:r w:rsidR="007B503B" w:rsidRPr="00391B86">
        <w:rPr>
          <w:rFonts w:ascii="Times New Roman" w:hAnsi="Times New Roman"/>
        </w:rPr>
        <w:t xml:space="preserve">the discretion is open to be exercised </w:t>
      </w:r>
      <w:r w:rsidR="00D76A0A" w:rsidRPr="00391B86">
        <w:rPr>
          <w:rFonts w:ascii="Times New Roman" w:hAnsi="Times New Roman"/>
        </w:rPr>
        <w:t>by reference to more pragmatic considerations</w:t>
      </w:r>
      <w:r w:rsidR="00BB2F16" w:rsidRPr="00391B86">
        <w:rPr>
          <w:rFonts w:ascii="Times New Roman" w:hAnsi="Times New Roman"/>
        </w:rPr>
        <w:t xml:space="preserve"> bearing on the</w:t>
      </w:r>
      <w:r w:rsidR="0070139C" w:rsidRPr="00391B86">
        <w:rPr>
          <w:rFonts w:ascii="Times New Roman" w:hAnsi="Times New Roman"/>
        </w:rPr>
        <w:t xml:space="preserve"> appropriateness of transfer which can include</w:t>
      </w:r>
      <w:r w:rsidR="00BB2F16" w:rsidRPr="00391B86">
        <w:rPr>
          <w:rFonts w:ascii="Times New Roman" w:hAnsi="Times New Roman"/>
        </w:rPr>
        <w:t xml:space="preserve"> convenience</w:t>
      </w:r>
      <w:r w:rsidR="00D02712" w:rsidRPr="00391B86">
        <w:rPr>
          <w:rFonts w:ascii="Times New Roman" w:hAnsi="Times New Roman"/>
        </w:rPr>
        <w:t xml:space="preserve"> of the parties o</w:t>
      </w:r>
      <w:r w:rsidR="00B41CAD" w:rsidRPr="00391B86">
        <w:rPr>
          <w:rFonts w:ascii="Times New Roman" w:hAnsi="Times New Roman"/>
        </w:rPr>
        <w:t>r</w:t>
      </w:r>
      <w:r w:rsidR="00D02712" w:rsidRPr="00391B86">
        <w:rPr>
          <w:rFonts w:ascii="Times New Roman" w:hAnsi="Times New Roman"/>
        </w:rPr>
        <w:t xml:space="preserve"> the court</w:t>
      </w:r>
      <w:r w:rsidR="00BB2F16" w:rsidRPr="00391B86">
        <w:rPr>
          <w:rFonts w:ascii="Times New Roman" w:hAnsi="Times New Roman"/>
        </w:rPr>
        <w:t>.</w:t>
      </w:r>
    </w:p>
    <w:p w14:paraId="3AD287DD" w14:textId="0D1B1D72" w:rsidR="00BB2F16" w:rsidRPr="00391B86" w:rsidRDefault="00BB2F16"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CD15D0" w:rsidRPr="00391B86">
        <w:rPr>
          <w:rFonts w:ascii="Times New Roman" w:hAnsi="Times New Roman"/>
        </w:rPr>
        <w:t xml:space="preserve">Even if </w:t>
      </w:r>
      <w:r w:rsidR="00BB489F" w:rsidRPr="00391B86">
        <w:rPr>
          <w:rFonts w:ascii="Times New Roman" w:hAnsi="Times New Roman"/>
        </w:rPr>
        <w:t xml:space="preserve">the consideration that the </w:t>
      </w:r>
      <w:r w:rsidR="00200017" w:rsidRPr="00391B86">
        <w:rPr>
          <w:rFonts w:ascii="Times New Roman" w:hAnsi="Times New Roman"/>
        </w:rPr>
        <w:t xml:space="preserve">Arrium </w:t>
      </w:r>
      <w:r w:rsidR="0025667F" w:rsidRPr="00391B86">
        <w:rPr>
          <w:rFonts w:ascii="Times New Roman" w:hAnsi="Times New Roman"/>
        </w:rPr>
        <w:t>class action</w:t>
      </w:r>
      <w:r w:rsidR="00200017" w:rsidRPr="00391B86">
        <w:rPr>
          <w:rFonts w:ascii="Times New Roman" w:hAnsi="Times New Roman"/>
        </w:rPr>
        <w:t xml:space="preserve"> </w:t>
      </w:r>
      <w:r w:rsidR="00E560B3" w:rsidRPr="00391B86">
        <w:rPr>
          <w:rFonts w:ascii="Times New Roman" w:hAnsi="Times New Roman"/>
        </w:rPr>
        <w:t>GC</w:t>
      </w:r>
      <w:r w:rsidR="00200017" w:rsidRPr="00391B86">
        <w:rPr>
          <w:rFonts w:ascii="Times New Roman" w:hAnsi="Times New Roman"/>
        </w:rPr>
        <w:t>O w</w:t>
      </w:r>
      <w:r w:rsidR="001422D5" w:rsidRPr="00391B86">
        <w:rPr>
          <w:rFonts w:ascii="Times New Roman" w:hAnsi="Times New Roman"/>
        </w:rPr>
        <w:t xml:space="preserve">ould </w:t>
      </w:r>
      <w:r w:rsidR="006832CB" w:rsidRPr="00391B86">
        <w:rPr>
          <w:rFonts w:ascii="Times New Roman" w:hAnsi="Times New Roman"/>
        </w:rPr>
        <w:t xml:space="preserve">continue to </w:t>
      </w:r>
      <w:r w:rsidR="001422D5" w:rsidRPr="00391B86">
        <w:rPr>
          <w:rFonts w:ascii="Times New Roman" w:hAnsi="Times New Roman"/>
        </w:rPr>
        <w:t>have force and effect if</w:t>
      </w:r>
      <w:r w:rsidR="00200017" w:rsidRPr="00391B86">
        <w:rPr>
          <w:rFonts w:ascii="Times New Roman" w:hAnsi="Times New Roman"/>
        </w:rPr>
        <w:t xml:space="preserve"> the Arrium class action </w:t>
      </w:r>
      <w:r w:rsidR="001422D5" w:rsidRPr="00391B86">
        <w:rPr>
          <w:rFonts w:ascii="Times New Roman" w:hAnsi="Times New Roman"/>
        </w:rPr>
        <w:t>remai</w:t>
      </w:r>
      <w:r w:rsidR="00E2572A" w:rsidRPr="00391B86">
        <w:rPr>
          <w:rFonts w:ascii="Times New Roman" w:hAnsi="Times New Roman"/>
        </w:rPr>
        <w:t>ned</w:t>
      </w:r>
      <w:r w:rsidR="001422D5" w:rsidRPr="00391B86">
        <w:rPr>
          <w:rFonts w:ascii="Times New Roman" w:hAnsi="Times New Roman"/>
        </w:rPr>
        <w:t xml:space="preserve"> in the Supreme Court of Victoria but</w:t>
      </w:r>
      <w:r w:rsidR="00B451D1" w:rsidRPr="00391B86">
        <w:rPr>
          <w:rFonts w:ascii="Times New Roman" w:hAnsi="Times New Roman"/>
        </w:rPr>
        <w:t xml:space="preserve"> </w:t>
      </w:r>
      <w:r w:rsidR="00E2572A" w:rsidRPr="00391B86">
        <w:rPr>
          <w:rFonts w:ascii="Times New Roman" w:hAnsi="Times New Roman"/>
        </w:rPr>
        <w:t xml:space="preserve">would have no force or effect </w:t>
      </w:r>
      <w:r w:rsidR="001422D5" w:rsidRPr="00391B86">
        <w:rPr>
          <w:rFonts w:ascii="Times New Roman" w:hAnsi="Times New Roman"/>
        </w:rPr>
        <w:t xml:space="preserve">if the Arrium class action was </w:t>
      </w:r>
      <w:r w:rsidR="00200017" w:rsidRPr="00391B86">
        <w:rPr>
          <w:rFonts w:ascii="Times New Roman" w:hAnsi="Times New Roman"/>
        </w:rPr>
        <w:t>transferred to the Supreme Court of New South Wales</w:t>
      </w:r>
      <w:r w:rsidR="0099256C" w:rsidRPr="00391B86">
        <w:rPr>
          <w:rFonts w:ascii="Times New Roman" w:hAnsi="Times New Roman"/>
        </w:rPr>
        <w:t xml:space="preserve"> </w:t>
      </w:r>
      <w:r w:rsidR="00CD15D0" w:rsidRPr="00391B86">
        <w:rPr>
          <w:rFonts w:ascii="Times New Roman" w:hAnsi="Times New Roman"/>
        </w:rPr>
        <w:t>is</w:t>
      </w:r>
      <w:r w:rsidR="0099256C" w:rsidRPr="00391B86">
        <w:rPr>
          <w:rFonts w:ascii="Times New Roman" w:hAnsi="Times New Roman"/>
        </w:rPr>
        <w:t xml:space="preserve"> left to one side</w:t>
      </w:r>
      <w:r w:rsidR="003B35E7" w:rsidRPr="00391B86">
        <w:rPr>
          <w:rFonts w:ascii="Times New Roman" w:hAnsi="Times New Roman"/>
        </w:rPr>
        <w:t xml:space="preserve">, </w:t>
      </w:r>
      <w:r w:rsidR="00A737F1" w:rsidRPr="00391B86">
        <w:rPr>
          <w:rFonts w:ascii="Times New Roman" w:hAnsi="Times New Roman"/>
        </w:rPr>
        <w:t xml:space="preserve">there would be no basis </w:t>
      </w:r>
      <w:r w:rsidR="003623D1" w:rsidRPr="00391B86">
        <w:rPr>
          <w:rFonts w:ascii="Times New Roman" w:hAnsi="Times New Roman"/>
        </w:rPr>
        <w:t>upon which to conclude</w:t>
      </w:r>
      <w:r w:rsidR="00A737F1" w:rsidRPr="00391B86">
        <w:rPr>
          <w:rFonts w:ascii="Times New Roman" w:hAnsi="Times New Roman"/>
        </w:rPr>
        <w:t xml:space="preserve"> that </w:t>
      </w:r>
      <w:r w:rsidR="003B35E7" w:rsidRPr="00391B86">
        <w:rPr>
          <w:rFonts w:ascii="Times New Roman" w:hAnsi="Times New Roman"/>
        </w:rPr>
        <w:t xml:space="preserve">the </w:t>
      </w:r>
      <w:r w:rsidR="009F7066" w:rsidRPr="00391B86">
        <w:rPr>
          <w:rFonts w:ascii="Times New Roman" w:hAnsi="Times New Roman"/>
        </w:rPr>
        <w:t>interests of justice compelled the</w:t>
      </w:r>
      <w:r w:rsidR="003B35E7" w:rsidRPr="00391B86">
        <w:rPr>
          <w:rFonts w:ascii="Times New Roman" w:hAnsi="Times New Roman"/>
        </w:rPr>
        <w:t xml:space="preserve"> exercise </w:t>
      </w:r>
      <w:r w:rsidR="00F525DF" w:rsidRPr="00391B86">
        <w:rPr>
          <w:rFonts w:ascii="Times New Roman" w:hAnsi="Times New Roman"/>
        </w:rPr>
        <w:t xml:space="preserve">by the Supreme Court of Victoria </w:t>
      </w:r>
      <w:r w:rsidR="003B35E7" w:rsidRPr="00391B86">
        <w:rPr>
          <w:rFonts w:ascii="Times New Roman" w:hAnsi="Times New Roman"/>
        </w:rPr>
        <w:t>of the discretion conferred by s</w:t>
      </w:r>
      <w:r w:rsidR="00FF023F" w:rsidRPr="00391B86">
        <w:rPr>
          <w:rFonts w:ascii="Times New Roman" w:hAnsi="Times New Roman"/>
        </w:rPr>
        <w:t> </w:t>
      </w:r>
      <w:r w:rsidR="003B35E7" w:rsidRPr="00391B86">
        <w:rPr>
          <w:rFonts w:ascii="Times New Roman" w:hAnsi="Times New Roman"/>
        </w:rPr>
        <w:t>1337H(2) of the Corporations Act</w:t>
      </w:r>
      <w:r w:rsidR="00DB4F31" w:rsidRPr="00391B86">
        <w:rPr>
          <w:rFonts w:ascii="Times New Roman" w:hAnsi="Times New Roman"/>
        </w:rPr>
        <w:t xml:space="preserve"> </w:t>
      </w:r>
      <w:r w:rsidR="003623D1" w:rsidRPr="00391B86">
        <w:rPr>
          <w:rFonts w:ascii="Times New Roman" w:hAnsi="Times New Roman"/>
        </w:rPr>
        <w:t xml:space="preserve">one </w:t>
      </w:r>
      <w:r w:rsidR="00DC7698" w:rsidRPr="00391B86">
        <w:rPr>
          <w:rFonts w:ascii="Times New Roman" w:hAnsi="Times New Roman"/>
        </w:rPr>
        <w:t>way</w:t>
      </w:r>
      <w:r w:rsidR="003623D1" w:rsidRPr="00391B86">
        <w:rPr>
          <w:rFonts w:ascii="Times New Roman" w:hAnsi="Times New Roman"/>
        </w:rPr>
        <w:t xml:space="preserve"> or the other</w:t>
      </w:r>
      <w:r w:rsidR="00DC7698" w:rsidRPr="00391B86">
        <w:rPr>
          <w:rFonts w:ascii="Times New Roman" w:hAnsi="Times New Roman"/>
        </w:rPr>
        <w:t xml:space="preserve">. </w:t>
      </w:r>
      <w:r w:rsidR="00B26421" w:rsidRPr="00391B86">
        <w:rPr>
          <w:rFonts w:ascii="Times New Roman" w:hAnsi="Times New Roman"/>
        </w:rPr>
        <w:t xml:space="preserve">There is little in the agreed facts bearing on the </w:t>
      </w:r>
      <w:r w:rsidR="00FA6D8B" w:rsidRPr="00391B86">
        <w:rPr>
          <w:rFonts w:ascii="Times New Roman" w:hAnsi="Times New Roman"/>
        </w:rPr>
        <w:t xml:space="preserve">extent to which transferring the proceeding to the Supreme Court of New South Wales would result in any inconvenience or practical problems </w:t>
      </w:r>
      <w:r w:rsidR="002D6D86" w:rsidRPr="00391B86">
        <w:rPr>
          <w:rFonts w:ascii="Times New Roman" w:hAnsi="Times New Roman"/>
        </w:rPr>
        <w:t xml:space="preserve">for the parties, witnesses or legal representatives. The agreed facts, for example, do not detail </w:t>
      </w:r>
      <w:r w:rsidR="006D6757" w:rsidRPr="00391B86">
        <w:rPr>
          <w:rFonts w:ascii="Times New Roman" w:hAnsi="Times New Roman"/>
        </w:rPr>
        <w:t>the extent of travel that may be required for witnesses or parties, the extent to which evidence could be provided by audio-visual link, the availability of documents in electronic form or the relevance of the location of related proceedings.</w:t>
      </w:r>
      <w:r w:rsidR="006D6757" w:rsidRPr="00391B86">
        <w:rPr>
          <w:rStyle w:val="FootnoteReference"/>
          <w:rFonts w:ascii="Times New Roman" w:hAnsi="Times New Roman"/>
          <w:sz w:val="24"/>
        </w:rPr>
        <w:footnoteReference w:id="44"/>
      </w:r>
      <w:r w:rsidR="006D6757" w:rsidRPr="00391B86">
        <w:rPr>
          <w:rFonts w:ascii="Times New Roman" w:hAnsi="Times New Roman"/>
        </w:rPr>
        <w:t xml:space="preserve"> </w:t>
      </w:r>
      <w:r w:rsidR="0070033E" w:rsidRPr="00391B86">
        <w:rPr>
          <w:rFonts w:ascii="Times New Roman" w:hAnsi="Times New Roman"/>
        </w:rPr>
        <w:t xml:space="preserve">The interests of justice being neutral or equivocal, </w:t>
      </w:r>
      <w:r w:rsidR="00F84772" w:rsidRPr="00391B86">
        <w:rPr>
          <w:rFonts w:ascii="Times New Roman" w:hAnsi="Times New Roman"/>
        </w:rPr>
        <w:t>r</w:t>
      </w:r>
      <w:r w:rsidR="00FF55CC" w:rsidRPr="00391B86">
        <w:rPr>
          <w:rFonts w:ascii="Times New Roman" w:hAnsi="Times New Roman"/>
        </w:rPr>
        <w:t xml:space="preserve">easonable minds might properly assess the </w:t>
      </w:r>
      <w:r w:rsidR="0070139C" w:rsidRPr="00391B86">
        <w:rPr>
          <w:rFonts w:ascii="Times New Roman" w:hAnsi="Times New Roman"/>
        </w:rPr>
        <w:t>appropriateness of transfer</w:t>
      </w:r>
      <w:r w:rsidR="00FF55CC" w:rsidRPr="00391B86">
        <w:rPr>
          <w:rFonts w:ascii="Times New Roman" w:hAnsi="Times New Roman"/>
        </w:rPr>
        <w:t xml:space="preserve"> differently</w:t>
      </w:r>
      <w:r w:rsidR="00C33E81" w:rsidRPr="00391B86">
        <w:rPr>
          <w:rFonts w:ascii="Times New Roman" w:hAnsi="Times New Roman"/>
        </w:rPr>
        <w:t>.</w:t>
      </w:r>
      <w:r w:rsidR="003623D1" w:rsidRPr="00391B86">
        <w:rPr>
          <w:rFonts w:ascii="Times New Roman" w:hAnsi="Times New Roman"/>
        </w:rPr>
        <w:t xml:space="preserve"> </w:t>
      </w:r>
    </w:p>
    <w:p w14:paraId="58C31E3D" w14:textId="14AED621" w:rsidR="00922FEE" w:rsidRPr="00391B86" w:rsidRDefault="00FF55C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5C18BF" w:rsidRPr="00391B86">
        <w:rPr>
          <w:rFonts w:ascii="Times New Roman" w:hAnsi="Times New Roman"/>
        </w:rPr>
        <w:t xml:space="preserve">In the mandatory consideration of the interests of justice </w:t>
      </w:r>
      <w:r w:rsidR="00F33E5A" w:rsidRPr="00391B86">
        <w:rPr>
          <w:rFonts w:ascii="Times New Roman" w:hAnsi="Times New Roman"/>
        </w:rPr>
        <w:t>for the purpose of s</w:t>
      </w:r>
      <w:r w:rsidR="00FF023F" w:rsidRPr="00391B86">
        <w:rPr>
          <w:rFonts w:ascii="Times New Roman" w:hAnsi="Times New Roman"/>
        </w:rPr>
        <w:t> </w:t>
      </w:r>
      <w:r w:rsidR="00F33E5A" w:rsidRPr="00391B86">
        <w:rPr>
          <w:rFonts w:ascii="Times New Roman" w:hAnsi="Times New Roman"/>
        </w:rPr>
        <w:t xml:space="preserve">1337H(2) of the Corporations Act, </w:t>
      </w:r>
      <w:r w:rsidR="00D81B81" w:rsidRPr="00391B86">
        <w:rPr>
          <w:rFonts w:ascii="Times New Roman" w:hAnsi="Times New Roman"/>
        </w:rPr>
        <w:t xml:space="preserve">however, </w:t>
      </w:r>
      <w:r w:rsidR="007B5389" w:rsidRPr="00391B86">
        <w:rPr>
          <w:rFonts w:ascii="Times New Roman" w:hAnsi="Times New Roman"/>
        </w:rPr>
        <w:t xml:space="preserve">the consideration that the Arrium </w:t>
      </w:r>
      <w:r w:rsidR="009150C9" w:rsidRPr="00391B86">
        <w:rPr>
          <w:rFonts w:ascii="Times New Roman" w:hAnsi="Times New Roman"/>
        </w:rPr>
        <w:t xml:space="preserve">class action </w:t>
      </w:r>
      <w:r w:rsidR="00E560B3" w:rsidRPr="00391B86">
        <w:rPr>
          <w:rFonts w:ascii="Times New Roman" w:hAnsi="Times New Roman"/>
        </w:rPr>
        <w:t>GC</w:t>
      </w:r>
      <w:r w:rsidR="007B5389" w:rsidRPr="00391B86">
        <w:rPr>
          <w:rFonts w:ascii="Times New Roman" w:hAnsi="Times New Roman"/>
        </w:rPr>
        <w:t xml:space="preserve">O would have force and effect if the Arrium class action remained in the Supreme Court of Victoria but not if the Arrium class action was transferred to the Supreme Court of New South Wales cannot be </w:t>
      </w:r>
      <w:r w:rsidR="00E560B3" w:rsidRPr="00391B86">
        <w:rPr>
          <w:rFonts w:ascii="Times New Roman" w:hAnsi="Times New Roman"/>
        </w:rPr>
        <w:t>ignored having regard to the facts which have been agreed</w:t>
      </w:r>
      <w:r w:rsidR="007B5389" w:rsidRPr="00391B86">
        <w:rPr>
          <w:rFonts w:ascii="Times New Roman" w:hAnsi="Times New Roman"/>
        </w:rPr>
        <w:t xml:space="preserve">. </w:t>
      </w:r>
    </w:p>
    <w:p w14:paraId="695D1905" w14:textId="4F15F8C4" w:rsidR="00EF1E03" w:rsidRPr="00391B86" w:rsidRDefault="00EF1E03" w:rsidP="00391B86">
      <w:pPr>
        <w:pStyle w:val="FixListStyle"/>
        <w:spacing w:after="260" w:line="280" w:lineRule="exact"/>
        <w:ind w:right="0"/>
        <w:jc w:val="both"/>
        <w:rPr>
          <w:rFonts w:ascii="Times New Roman" w:hAnsi="Times New Roman"/>
        </w:rPr>
      </w:pPr>
      <w:r w:rsidRPr="00391B86">
        <w:rPr>
          <w:rFonts w:ascii="Times New Roman" w:hAnsi="Times New Roman"/>
        </w:rPr>
        <w:tab/>
        <w:t>This is not a case in which differences between the texts of Victorian and New South Wales laws picked up and applied as Commonwealth laws by s</w:t>
      </w:r>
      <w:r w:rsidR="00FF023F" w:rsidRPr="00391B86">
        <w:rPr>
          <w:rFonts w:ascii="Times New Roman" w:hAnsi="Times New Roman"/>
        </w:rPr>
        <w:t> </w:t>
      </w:r>
      <w:r w:rsidRPr="00391B86">
        <w:rPr>
          <w:rFonts w:ascii="Times New Roman" w:hAnsi="Times New Roman"/>
        </w:rPr>
        <w:t xml:space="preserve">79 of </w:t>
      </w:r>
      <w:r w:rsidRPr="00391B86">
        <w:rPr>
          <w:rFonts w:ascii="Times New Roman" w:hAnsi="Times New Roman"/>
        </w:rPr>
        <w:lastRenderedPageBreak/>
        <w:t>the Judiciary Act have been suggested to give rise to differences in the substantive law which would be applied by the Supreme Courts of Victoria and New South Wales in the resolution between parties of a civil matter or matters arising under the Corporations legislation.</w:t>
      </w:r>
      <w:r w:rsidRPr="00391B86">
        <w:rPr>
          <w:rStyle w:val="FootnoteReference"/>
          <w:rFonts w:ascii="Times New Roman" w:hAnsi="Times New Roman"/>
          <w:sz w:val="24"/>
        </w:rPr>
        <w:footnoteReference w:id="45"/>
      </w:r>
      <w:r w:rsidRPr="00391B86">
        <w:rPr>
          <w:rFonts w:ascii="Times New Roman" w:hAnsi="Times New Roman"/>
        </w:rPr>
        <w:t xml:space="preserve"> Rather, it is a case in which differences between the texts of Victorian and New South Wales laws so picked up and applied have resulted in a proceeding with respect to such matters having been instituted and being able to continue in the Supreme Court of Victoria but being unlikely to be able to continue were it to be transferred to the Supreme Court of New South Wales.</w:t>
      </w:r>
    </w:p>
    <w:p w14:paraId="68FB6602" w14:textId="38513C01" w:rsidR="00216F55" w:rsidRPr="00391B86" w:rsidRDefault="000C7DE3"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7A10BB" w:rsidRPr="00391B86">
        <w:rPr>
          <w:rFonts w:ascii="Times New Roman" w:hAnsi="Times New Roman"/>
        </w:rPr>
        <w:t xml:space="preserve">The evaluation undertaken </w:t>
      </w:r>
      <w:r w:rsidR="00BA1B17" w:rsidRPr="00391B86">
        <w:rPr>
          <w:rFonts w:ascii="Times New Roman" w:hAnsi="Times New Roman"/>
        </w:rPr>
        <w:t xml:space="preserve">by Dixon J </w:t>
      </w:r>
      <w:r w:rsidR="0008616A" w:rsidRPr="00391B86">
        <w:rPr>
          <w:rFonts w:ascii="Times New Roman" w:hAnsi="Times New Roman"/>
        </w:rPr>
        <w:t>in considering</w:t>
      </w:r>
      <w:r w:rsidR="00EF49B6" w:rsidRPr="00391B86">
        <w:rPr>
          <w:rFonts w:ascii="Times New Roman" w:hAnsi="Times New Roman"/>
        </w:rPr>
        <w:t xml:space="preserve"> for the purpose of s</w:t>
      </w:r>
      <w:r w:rsidR="00FF023F" w:rsidRPr="00391B86">
        <w:rPr>
          <w:rFonts w:ascii="Times New Roman" w:hAnsi="Times New Roman"/>
        </w:rPr>
        <w:t> </w:t>
      </w:r>
      <w:r w:rsidR="00EF49B6" w:rsidRPr="00391B86">
        <w:rPr>
          <w:rFonts w:ascii="Times New Roman" w:hAnsi="Times New Roman"/>
        </w:rPr>
        <w:t>33</w:t>
      </w:r>
      <w:proofErr w:type="gramStart"/>
      <w:r w:rsidR="00EF49B6" w:rsidRPr="00391B86">
        <w:rPr>
          <w:rFonts w:ascii="Times New Roman" w:hAnsi="Times New Roman"/>
        </w:rPr>
        <w:t>ZDA(</w:t>
      </w:r>
      <w:proofErr w:type="gramEnd"/>
      <w:r w:rsidR="00EF49B6" w:rsidRPr="00391B86">
        <w:rPr>
          <w:rFonts w:ascii="Times New Roman" w:hAnsi="Times New Roman"/>
        </w:rPr>
        <w:t>1) of the Supreme Court Act</w:t>
      </w:r>
      <w:r w:rsidR="0008616A" w:rsidRPr="00391B86">
        <w:rPr>
          <w:rFonts w:ascii="Times New Roman" w:hAnsi="Times New Roman"/>
        </w:rPr>
        <w:t xml:space="preserve"> whether the making of</w:t>
      </w:r>
      <w:r w:rsidR="004C0193" w:rsidRPr="00391B86">
        <w:rPr>
          <w:rFonts w:ascii="Times New Roman" w:hAnsi="Times New Roman"/>
        </w:rPr>
        <w:t xml:space="preserve"> the Arrium </w:t>
      </w:r>
      <w:r w:rsidR="009150C9" w:rsidRPr="00391B86">
        <w:rPr>
          <w:rFonts w:ascii="Times New Roman" w:hAnsi="Times New Roman"/>
        </w:rPr>
        <w:t xml:space="preserve">class action </w:t>
      </w:r>
      <w:r w:rsidR="00E560B3" w:rsidRPr="00391B86">
        <w:rPr>
          <w:rFonts w:ascii="Times New Roman" w:hAnsi="Times New Roman"/>
        </w:rPr>
        <w:t>GC</w:t>
      </w:r>
      <w:r w:rsidR="004C0193" w:rsidRPr="00391B86">
        <w:rPr>
          <w:rFonts w:ascii="Times New Roman" w:hAnsi="Times New Roman"/>
        </w:rPr>
        <w:t xml:space="preserve">O was </w:t>
      </w:r>
      <w:r w:rsidR="00364984" w:rsidRPr="00391B86">
        <w:rPr>
          <w:rFonts w:ascii="Times New Roman" w:hAnsi="Times New Roman"/>
        </w:rPr>
        <w:t>"</w:t>
      </w:r>
      <w:r w:rsidR="00EF49B6" w:rsidRPr="00391B86">
        <w:rPr>
          <w:rFonts w:ascii="Times New Roman" w:hAnsi="Times New Roman"/>
        </w:rPr>
        <w:t xml:space="preserve">appropriate or necessary to ensure that justice is done" in the Arrium </w:t>
      </w:r>
      <w:r w:rsidR="00152AC5" w:rsidRPr="00391B86">
        <w:rPr>
          <w:rFonts w:ascii="Times New Roman" w:hAnsi="Times New Roman"/>
        </w:rPr>
        <w:t xml:space="preserve">class action </w:t>
      </w:r>
      <w:r w:rsidR="00FD45F8" w:rsidRPr="00391B86">
        <w:rPr>
          <w:rFonts w:ascii="Times New Roman" w:hAnsi="Times New Roman"/>
        </w:rPr>
        <w:t xml:space="preserve">cannot simply be transposed to </w:t>
      </w:r>
      <w:r w:rsidR="00A32A96" w:rsidRPr="00391B86">
        <w:rPr>
          <w:rFonts w:ascii="Times New Roman" w:hAnsi="Times New Roman"/>
        </w:rPr>
        <w:t xml:space="preserve">a </w:t>
      </w:r>
      <w:r w:rsidR="00FD45F8" w:rsidRPr="00391B86">
        <w:rPr>
          <w:rFonts w:ascii="Times New Roman" w:hAnsi="Times New Roman"/>
        </w:rPr>
        <w:t>consideration of the interests of justice for the purpose of s</w:t>
      </w:r>
      <w:r w:rsidR="00FF023F" w:rsidRPr="00391B86">
        <w:rPr>
          <w:rFonts w:ascii="Times New Roman" w:hAnsi="Times New Roman"/>
        </w:rPr>
        <w:t> </w:t>
      </w:r>
      <w:r w:rsidR="00FD45F8" w:rsidRPr="00391B86">
        <w:rPr>
          <w:rFonts w:ascii="Times New Roman" w:hAnsi="Times New Roman"/>
        </w:rPr>
        <w:t>1337H(2) of the Corporations Act.</w:t>
      </w:r>
      <w:r w:rsidR="000440A1" w:rsidRPr="00391B86">
        <w:rPr>
          <w:rFonts w:ascii="Times New Roman" w:hAnsi="Times New Roman"/>
        </w:rPr>
        <w:t xml:space="preserve"> </w:t>
      </w:r>
      <w:r w:rsidR="000472C4" w:rsidRPr="00391B86">
        <w:rPr>
          <w:rFonts w:ascii="Times New Roman" w:hAnsi="Times New Roman"/>
        </w:rPr>
        <w:t xml:space="preserve">Given the similarity of the statutory criteria, however, it should be unsurprising that common facts bear on both statutory inquiries. To be recalled is that </w:t>
      </w:r>
      <w:r w:rsidR="007F1A29" w:rsidRPr="00391B86">
        <w:rPr>
          <w:rFonts w:ascii="Times New Roman" w:hAnsi="Times New Roman"/>
        </w:rPr>
        <w:t>the parties are</w:t>
      </w:r>
      <w:r w:rsidR="00DC40E0" w:rsidRPr="00391B86">
        <w:rPr>
          <w:rFonts w:ascii="Times New Roman" w:hAnsi="Times New Roman"/>
        </w:rPr>
        <w:t xml:space="preserve"> agreed that there is a </w:t>
      </w:r>
      <w:r w:rsidR="00671103" w:rsidRPr="00391B86">
        <w:rPr>
          <w:rFonts w:ascii="Times New Roman" w:hAnsi="Times New Roman"/>
        </w:rPr>
        <w:t>"</w:t>
      </w:r>
      <w:r w:rsidR="00DC40E0" w:rsidRPr="00391B86">
        <w:rPr>
          <w:rFonts w:ascii="Times New Roman" w:hAnsi="Times New Roman"/>
        </w:rPr>
        <w:t>probability</w:t>
      </w:r>
      <w:r w:rsidR="00671103" w:rsidRPr="00391B86">
        <w:rPr>
          <w:rFonts w:ascii="Times New Roman" w:hAnsi="Times New Roman"/>
        </w:rPr>
        <w:t>"</w:t>
      </w:r>
      <w:r w:rsidR="00DC40E0" w:rsidRPr="00391B86">
        <w:rPr>
          <w:rFonts w:ascii="Times New Roman" w:hAnsi="Times New Roman"/>
        </w:rPr>
        <w:t xml:space="preserve"> that the Funder will not continue to fund the </w:t>
      </w:r>
      <w:r w:rsidR="007F1A29" w:rsidRPr="00391B86">
        <w:rPr>
          <w:rFonts w:ascii="Times New Roman" w:hAnsi="Times New Roman"/>
        </w:rPr>
        <w:t>Arrium class action absent a GCO</w:t>
      </w:r>
      <w:r w:rsidR="00DC40E0" w:rsidRPr="00391B86">
        <w:rPr>
          <w:rFonts w:ascii="Times New Roman" w:hAnsi="Times New Roman"/>
        </w:rPr>
        <w:t xml:space="preserve"> and that an alternate funder is not a realistic prospect. Together with the agreed fact that the plaintiffs cannot proceed with the Arrium class action without viable funding, these facts bear vitally</w:t>
      </w:r>
      <w:r w:rsidR="00B14670" w:rsidRPr="00391B86">
        <w:rPr>
          <w:rFonts w:ascii="Times New Roman" w:hAnsi="Times New Roman"/>
        </w:rPr>
        <w:t xml:space="preserve"> on the interests of justice</w:t>
      </w:r>
      <w:r w:rsidR="00992FA3" w:rsidRPr="00391B86">
        <w:rPr>
          <w:rFonts w:ascii="Times New Roman" w:hAnsi="Times New Roman"/>
        </w:rPr>
        <w:t xml:space="preserve"> for the purpose of s</w:t>
      </w:r>
      <w:r w:rsidR="00FF023F" w:rsidRPr="00391B86">
        <w:rPr>
          <w:rFonts w:ascii="Times New Roman" w:hAnsi="Times New Roman"/>
        </w:rPr>
        <w:t> </w:t>
      </w:r>
      <w:r w:rsidR="00992FA3" w:rsidRPr="00391B86">
        <w:rPr>
          <w:rFonts w:ascii="Times New Roman" w:hAnsi="Times New Roman"/>
        </w:rPr>
        <w:t>1337</w:t>
      </w:r>
      <w:proofErr w:type="gramStart"/>
      <w:r w:rsidR="00992FA3" w:rsidRPr="00391B86">
        <w:rPr>
          <w:rFonts w:ascii="Times New Roman" w:hAnsi="Times New Roman"/>
        </w:rPr>
        <w:t>H(</w:t>
      </w:r>
      <w:proofErr w:type="gramEnd"/>
      <w:r w:rsidR="00992FA3" w:rsidRPr="00391B86">
        <w:rPr>
          <w:rFonts w:ascii="Times New Roman" w:hAnsi="Times New Roman"/>
        </w:rPr>
        <w:t>2) of the Corporations Act in so far as</w:t>
      </w:r>
      <w:r w:rsidR="00216F55" w:rsidRPr="00391B86">
        <w:rPr>
          <w:rFonts w:ascii="Times New Roman" w:hAnsi="Times New Roman"/>
        </w:rPr>
        <w:t xml:space="preserve"> they </w:t>
      </w:r>
      <w:r w:rsidR="000036FB" w:rsidRPr="00391B86">
        <w:rPr>
          <w:rFonts w:ascii="Times New Roman" w:hAnsi="Times New Roman"/>
        </w:rPr>
        <w:t>bear on</w:t>
      </w:r>
      <w:r w:rsidR="0055121B" w:rsidRPr="00391B86">
        <w:rPr>
          <w:rFonts w:ascii="Times New Roman" w:hAnsi="Times New Roman"/>
        </w:rPr>
        <w:t xml:space="preserve"> </w:t>
      </w:r>
      <w:r w:rsidR="00216F55" w:rsidRPr="00391B86">
        <w:rPr>
          <w:rFonts w:ascii="Times New Roman" w:hAnsi="Times New Roman"/>
        </w:rPr>
        <w:t xml:space="preserve">the </w:t>
      </w:r>
      <w:r w:rsidR="009256DA" w:rsidRPr="00391B86">
        <w:rPr>
          <w:rFonts w:ascii="Times New Roman" w:hAnsi="Times New Roman"/>
        </w:rPr>
        <w:t>capacity</w:t>
      </w:r>
      <w:r w:rsidR="00216F55" w:rsidRPr="00391B86">
        <w:rPr>
          <w:rFonts w:ascii="Times New Roman" w:hAnsi="Times New Roman"/>
        </w:rPr>
        <w:t xml:space="preserve"> of</w:t>
      </w:r>
      <w:r w:rsidR="000036FB" w:rsidRPr="00391B86">
        <w:rPr>
          <w:rFonts w:ascii="Times New Roman" w:hAnsi="Times New Roman"/>
        </w:rPr>
        <w:t xml:space="preserve"> the plaintiffs and group members </w:t>
      </w:r>
      <w:r w:rsidR="009256DA" w:rsidRPr="00391B86">
        <w:rPr>
          <w:rFonts w:ascii="Times New Roman" w:hAnsi="Times New Roman"/>
        </w:rPr>
        <w:t>to</w:t>
      </w:r>
      <w:r w:rsidR="000036FB" w:rsidRPr="00391B86">
        <w:rPr>
          <w:rFonts w:ascii="Times New Roman" w:hAnsi="Times New Roman"/>
        </w:rPr>
        <w:t xml:space="preserve"> obtain</w:t>
      </w:r>
      <w:r w:rsidR="00216F55" w:rsidRPr="00391B86">
        <w:rPr>
          <w:rFonts w:ascii="Times New Roman" w:hAnsi="Times New Roman"/>
        </w:rPr>
        <w:t xml:space="preserve"> access to justice.</w:t>
      </w:r>
      <w:r w:rsidR="0004322B" w:rsidRPr="00391B86">
        <w:rPr>
          <w:rFonts w:ascii="Times New Roman" w:hAnsi="Times New Roman"/>
        </w:rPr>
        <w:t xml:space="preserve"> As is the case with an order for the provision of security for costs, whether a transfer order will "stultify" or frustrate proceedings that have been commenced is a relevant consideration.</w:t>
      </w:r>
      <w:r w:rsidR="0004322B" w:rsidRPr="00391B86">
        <w:rPr>
          <w:rStyle w:val="FootnoteReference"/>
          <w:rFonts w:ascii="Times New Roman" w:hAnsi="Times New Roman"/>
          <w:sz w:val="24"/>
        </w:rPr>
        <w:footnoteReference w:id="46"/>
      </w:r>
    </w:p>
    <w:p w14:paraId="3A598AC1" w14:textId="54A960E1" w:rsidR="00F33E5A" w:rsidRPr="00391B86" w:rsidRDefault="004965AE" w:rsidP="00391B86">
      <w:pPr>
        <w:pStyle w:val="FixListStyle"/>
        <w:spacing w:after="260" w:line="280" w:lineRule="exact"/>
        <w:ind w:right="0"/>
        <w:jc w:val="both"/>
        <w:rPr>
          <w:rFonts w:ascii="Times New Roman" w:hAnsi="Times New Roman"/>
        </w:rPr>
      </w:pPr>
      <w:r w:rsidRPr="00391B86">
        <w:rPr>
          <w:rFonts w:ascii="Times New Roman" w:hAnsi="Times New Roman"/>
        </w:rPr>
        <w:tab/>
        <w:t xml:space="preserve">The Court of Appeal was correct to conclude that the Arrium </w:t>
      </w:r>
      <w:r w:rsidR="00FC1885" w:rsidRPr="00391B86">
        <w:rPr>
          <w:rFonts w:ascii="Times New Roman" w:hAnsi="Times New Roman"/>
        </w:rPr>
        <w:t xml:space="preserve">class action </w:t>
      </w:r>
      <w:r w:rsidRPr="00391B86">
        <w:rPr>
          <w:rFonts w:ascii="Times New Roman" w:hAnsi="Times New Roman"/>
        </w:rPr>
        <w:t>G</w:t>
      </w:r>
      <w:r w:rsidR="00E51B9F" w:rsidRPr="00391B86">
        <w:rPr>
          <w:rFonts w:ascii="Times New Roman" w:hAnsi="Times New Roman"/>
        </w:rPr>
        <w:t>C</w:t>
      </w:r>
      <w:r w:rsidRPr="00391B86">
        <w:rPr>
          <w:rFonts w:ascii="Times New Roman" w:hAnsi="Times New Roman"/>
        </w:rPr>
        <w:t>O weighed decisively against transfer being in the interests of justice given the considerable risk that the Arrium class action would not be able to continue in the absence of the Arrium class action G</w:t>
      </w:r>
      <w:r w:rsidR="00E51B9F" w:rsidRPr="00391B86">
        <w:rPr>
          <w:rFonts w:ascii="Times New Roman" w:hAnsi="Times New Roman"/>
        </w:rPr>
        <w:t>C</w:t>
      </w:r>
      <w:r w:rsidRPr="00391B86">
        <w:rPr>
          <w:rFonts w:ascii="Times New Roman" w:hAnsi="Times New Roman"/>
        </w:rPr>
        <w:t xml:space="preserve">O with the result that the claims of the </w:t>
      </w:r>
      <w:r w:rsidR="00D570F5" w:rsidRPr="00391B86">
        <w:rPr>
          <w:rFonts w:ascii="Times New Roman" w:hAnsi="Times New Roman"/>
        </w:rPr>
        <w:t xml:space="preserve">plaintiffs </w:t>
      </w:r>
      <w:r w:rsidRPr="00391B86">
        <w:rPr>
          <w:rFonts w:ascii="Times New Roman" w:hAnsi="Times New Roman"/>
        </w:rPr>
        <w:t>and group members would have to be abandoned.</w:t>
      </w:r>
    </w:p>
    <w:p w14:paraId="2F41322A" w14:textId="7B4793F2" w:rsidR="006B6EFA" w:rsidRPr="00391B86" w:rsidRDefault="006B6EFA" w:rsidP="00391B86">
      <w:pPr>
        <w:pStyle w:val="HeadingL1"/>
        <w:spacing w:after="260" w:line="280" w:lineRule="exact"/>
        <w:ind w:right="0"/>
        <w:jc w:val="both"/>
        <w:rPr>
          <w:rFonts w:ascii="Times New Roman" w:hAnsi="Times New Roman"/>
        </w:rPr>
      </w:pPr>
      <w:r w:rsidRPr="00391B86">
        <w:rPr>
          <w:rFonts w:ascii="Times New Roman" w:hAnsi="Times New Roman"/>
        </w:rPr>
        <w:lastRenderedPageBreak/>
        <w:t>Conclusion and orders</w:t>
      </w:r>
    </w:p>
    <w:p w14:paraId="301172B5" w14:textId="0F28BAF2" w:rsidR="006B6EFA" w:rsidRPr="00391B86" w:rsidRDefault="00B577B0"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311245" w:rsidRPr="00391B86">
        <w:rPr>
          <w:rFonts w:ascii="Times New Roman" w:hAnsi="Times New Roman"/>
        </w:rPr>
        <w:t>The</w:t>
      </w:r>
      <w:r w:rsidR="00690A89" w:rsidRPr="00391B86">
        <w:rPr>
          <w:rFonts w:ascii="Times New Roman" w:hAnsi="Times New Roman"/>
        </w:rPr>
        <w:t>re will be an order</w:t>
      </w:r>
      <w:r w:rsidR="002D6726" w:rsidRPr="00391B86">
        <w:rPr>
          <w:rFonts w:ascii="Times New Roman" w:hAnsi="Times New Roman"/>
        </w:rPr>
        <w:t xml:space="preserve"> formally answering the</w:t>
      </w:r>
      <w:r w:rsidR="00311245" w:rsidRPr="00391B86">
        <w:rPr>
          <w:rFonts w:ascii="Times New Roman" w:hAnsi="Times New Roman"/>
        </w:rPr>
        <w:t xml:space="preserve"> questions arising on the transfer application, which have been reserved under s 17</w:t>
      </w:r>
      <w:proofErr w:type="gramStart"/>
      <w:r w:rsidR="00311245" w:rsidRPr="00391B86">
        <w:rPr>
          <w:rFonts w:ascii="Times New Roman" w:hAnsi="Times New Roman"/>
        </w:rPr>
        <w:t>B(</w:t>
      </w:r>
      <w:proofErr w:type="gramEnd"/>
      <w:r w:rsidR="00311245" w:rsidRPr="00391B86">
        <w:rPr>
          <w:rFonts w:ascii="Times New Roman" w:hAnsi="Times New Roman"/>
        </w:rPr>
        <w:t xml:space="preserve">2) of the Supreme Court Act and removed under s 40(2) of the Judiciary Act, </w:t>
      </w:r>
      <w:r w:rsidR="007B2796" w:rsidRPr="00391B86">
        <w:rPr>
          <w:rFonts w:ascii="Times New Roman" w:hAnsi="Times New Roman"/>
        </w:rPr>
        <w:t>in the manner proposed by the Court of Appeal: (1) Yes; (2)(a) No; (</w:t>
      </w:r>
      <w:r w:rsidR="00443D87" w:rsidRPr="00391B86">
        <w:rPr>
          <w:rFonts w:ascii="Times New Roman" w:hAnsi="Times New Roman"/>
        </w:rPr>
        <w:t>2)</w:t>
      </w:r>
      <w:r w:rsidR="007B2796" w:rsidRPr="00391B86">
        <w:rPr>
          <w:rFonts w:ascii="Times New Roman" w:hAnsi="Times New Roman"/>
        </w:rPr>
        <w:t>(b) Does not arise; and (3) No.</w:t>
      </w:r>
    </w:p>
    <w:p w14:paraId="6954E754" w14:textId="77777777" w:rsidR="005F3888" w:rsidRDefault="0044496C" w:rsidP="00391B86">
      <w:pPr>
        <w:pStyle w:val="FixListStyle"/>
        <w:spacing w:after="260" w:line="280" w:lineRule="exact"/>
        <w:ind w:right="0"/>
        <w:jc w:val="both"/>
        <w:rPr>
          <w:rFonts w:ascii="Times New Roman" w:hAnsi="Times New Roman"/>
        </w:rPr>
      </w:pPr>
      <w:r w:rsidRPr="00391B86">
        <w:rPr>
          <w:rFonts w:ascii="Times New Roman" w:hAnsi="Times New Roman"/>
        </w:rPr>
        <w:tab/>
      </w:r>
      <w:r w:rsidR="00BC1F9F" w:rsidRPr="00391B86">
        <w:rPr>
          <w:rFonts w:ascii="Times New Roman" w:hAnsi="Times New Roman"/>
        </w:rPr>
        <w:t xml:space="preserve">There will be a further order that </w:t>
      </w:r>
      <w:r w:rsidR="00E41394" w:rsidRPr="00391B86">
        <w:rPr>
          <w:rFonts w:ascii="Times New Roman" w:hAnsi="Times New Roman"/>
        </w:rPr>
        <w:t xml:space="preserve">the </w:t>
      </w:r>
      <w:r w:rsidR="00BC1F9F" w:rsidRPr="00391B86">
        <w:rPr>
          <w:rFonts w:ascii="Times New Roman" w:hAnsi="Times New Roman"/>
        </w:rPr>
        <w:t>defendants pay the plaintiff</w:t>
      </w:r>
      <w:r w:rsidR="00C94518" w:rsidRPr="00391B86">
        <w:rPr>
          <w:rFonts w:ascii="Times New Roman" w:hAnsi="Times New Roman"/>
        </w:rPr>
        <w:t xml:space="preserve">s' costs of the proceeding in this Court, including the </w:t>
      </w:r>
      <w:r w:rsidR="0083357F" w:rsidRPr="00391B86">
        <w:rPr>
          <w:rFonts w:ascii="Times New Roman" w:hAnsi="Times New Roman"/>
        </w:rPr>
        <w:t>removal application.</w:t>
      </w:r>
      <w:r w:rsidR="00A06489" w:rsidRPr="00391B86">
        <w:rPr>
          <w:rFonts w:ascii="Times New Roman" w:hAnsi="Times New Roman"/>
        </w:rPr>
        <w:t xml:space="preserve"> No party sought remittal to the Court of Appeal under s 42 of the Judiciary Act to seek any order as to the costs of the hearing before it. In the absence of such an order, those costs are the parties' costs in the proceeding in the Supreme Court.</w:t>
      </w:r>
      <w:r w:rsidR="00A06489" w:rsidRPr="00391B86">
        <w:rPr>
          <w:rStyle w:val="FootnoteReference"/>
          <w:rFonts w:ascii="Times New Roman" w:hAnsi="Times New Roman"/>
          <w:sz w:val="24"/>
        </w:rPr>
        <w:footnoteReference w:id="47"/>
      </w:r>
    </w:p>
    <w:p w14:paraId="77460B8B" w14:textId="77777777" w:rsidR="005F3888" w:rsidRDefault="005F3888" w:rsidP="00391B86">
      <w:pPr>
        <w:pStyle w:val="FixListStyle"/>
        <w:spacing w:after="260" w:line="280" w:lineRule="exact"/>
        <w:ind w:right="0"/>
        <w:jc w:val="both"/>
        <w:rPr>
          <w:rFonts w:ascii="Times New Roman" w:hAnsi="Times New Roman"/>
        </w:rPr>
        <w:sectPr w:rsidR="005F3888" w:rsidSect="00FC7DC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E44E226" w14:textId="77777777" w:rsidR="005F3888" w:rsidRPr="00D635C0" w:rsidRDefault="005F3888" w:rsidP="00D635C0">
      <w:pPr>
        <w:pStyle w:val="NormalBody"/>
        <w:tabs>
          <w:tab w:val="clear" w:pos="720"/>
          <w:tab w:val="left" w:pos="0"/>
        </w:tabs>
        <w:spacing w:after="260" w:line="280" w:lineRule="exact"/>
        <w:ind w:right="0"/>
        <w:jc w:val="both"/>
        <w:rPr>
          <w:rFonts w:ascii="Times New Roman" w:hAnsi="Times New Roman"/>
        </w:rPr>
      </w:pPr>
      <w:r w:rsidRPr="00D635C0">
        <w:rPr>
          <w:rFonts w:ascii="Times New Roman" w:hAnsi="Times New Roman"/>
        </w:rPr>
        <w:lastRenderedPageBreak/>
        <w:t xml:space="preserve">EDELMAN J.   </w:t>
      </w:r>
    </w:p>
    <w:p w14:paraId="53A49E86" w14:textId="77777777" w:rsidR="005F3888" w:rsidRPr="00D635C0" w:rsidRDefault="005F3888" w:rsidP="00D635C0">
      <w:pPr>
        <w:pStyle w:val="HeadingL1"/>
        <w:tabs>
          <w:tab w:val="clear" w:pos="2880"/>
          <w:tab w:val="clear" w:pos="3600"/>
          <w:tab w:val="clear" w:pos="4320"/>
          <w:tab w:val="clear" w:pos="5040"/>
          <w:tab w:val="clear" w:pos="5760"/>
          <w:tab w:val="clear" w:pos="6480"/>
          <w:tab w:val="clear" w:pos="7200"/>
        </w:tabs>
        <w:spacing w:after="260" w:line="280" w:lineRule="exact"/>
        <w:ind w:right="0"/>
        <w:jc w:val="both"/>
        <w:rPr>
          <w:rFonts w:ascii="Times New Roman" w:hAnsi="Times New Roman"/>
        </w:rPr>
      </w:pPr>
      <w:r w:rsidRPr="00D635C0">
        <w:rPr>
          <w:rFonts w:ascii="Times New Roman" w:hAnsi="Times New Roman"/>
        </w:rPr>
        <w:t>Introduction</w:t>
      </w:r>
    </w:p>
    <w:p w14:paraId="6D6268E6"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The applicants, acting personally and on behalf of members of a group, commenced a class action or "group" proceeding in the Supreme Court of Victoria against four </w:t>
      </w:r>
      <w:r w:rsidRPr="00D635C0" w:rsidDel="008A1666">
        <w:rPr>
          <w:rFonts w:ascii="Times New Roman" w:hAnsi="Times New Roman"/>
        </w:rPr>
        <w:t xml:space="preserve">former </w:t>
      </w:r>
      <w:r w:rsidRPr="00D635C0">
        <w:rPr>
          <w:rFonts w:ascii="Times New Roman" w:hAnsi="Times New Roman"/>
        </w:rPr>
        <w:t>directors of a formerly ASX-listed company ("the Directors") and that company's former auditor ("KPMG"). That proceeding involves allegations of contraventions of various Commonwealth laws. In the Supreme Court of Victoria, the applicants obtained a group costs order ("GCO"). A GCO, presently unique to Victoria, is an order made by the Supreme Court, if "it is appropriate or necessary to ensure that justice is done in the proceeding", which requires, amongst other things, the representative plaintiff's legal costs to be calculated as a percentage of any award or settlement in the proceeding.</w:t>
      </w:r>
      <w:r w:rsidRPr="00D635C0">
        <w:rPr>
          <w:rStyle w:val="FootnoteReference"/>
          <w:rFonts w:ascii="Times New Roman" w:hAnsi="Times New Roman"/>
          <w:sz w:val="24"/>
        </w:rPr>
        <w:footnoteReference w:id="48"/>
      </w:r>
      <w:r w:rsidRPr="00D635C0">
        <w:rPr>
          <w:rFonts w:ascii="Times New Roman" w:hAnsi="Times New Roman"/>
        </w:rPr>
        <w:t xml:space="preserve"> The power for the Supreme Court to make a GCO was first introduced into the Victorian Parliament in 2019,</w:t>
      </w:r>
      <w:r w:rsidRPr="00D635C0">
        <w:rPr>
          <w:rStyle w:val="FootnoteReference"/>
          <w:rFonts w:ascii="Times New Roman" w:hAnsi="Times New Roman"/>
          <w:sz w:val="24"/>
        </w:rPr>
        <w:footnoteReference w:id="49"/>
      </w:r>
      <w:r w:rsidRPr="00D635C0">
        <w:rPr>
          <w:rFonts w:ascii="Times New Roman" w:hAnsi="Times New Roman"/>
        </w:rPr>
        <w:t xml:space="preserve"> as "an important access to justice reform" to "promote greater access to justice".</w:t>
      </w:r>
      <w:r w:rsidRPr="00D635C0">
        <w:rPr>
          <w:rStyle w:val="FootnoteReference"/>
          <w:rFonts w:ascii="Times New Roman" w:hAnsi="Times New Roman"/>
          <w:sz w:val="24"/>
        </w:rPr>
        <w:footnoteReference w:id="50"/>
      </w:r>
      <w:r w:rsidRPr="00D635C0">
        <w:rPr>
          <w:rFonts w:ascii="Times New Roman" w:hAnsi="Times New Roman"/>
        </w:rPr>
        <w:t xml:space="preserve"> It became law in Victoria in 2020.</w:t>
      </w:r>
      <w:r w:rsidRPr="00D635C0">
        <w:rPr>
          <w:rStyle w:val="FootnoteReference"/>
          <w:rFonts w:ascii="Times New Roman" w:hAnsi="Times New Roman"/>
          <w:sz w:val="24"/>
        </w:rPr>
        <w:footnoteReference w:id="51"/>
      </w:r>
    </w:p>
    <w:p w14:paraId="735F20CF"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The proceeding now brought in the original jurisdiction of this Court concerns a proposed transfer of the class action proceeding from the Supreme Court of Victoria to the Supreme Court of New South Wales under Div 1 of Pt 9.6A of the </w:t>
      </w:r>
      <w:r w:rsidRPr="00D635C0">
        <w:rPr>
          <w:rFonts w:ascii="Times New Roman" w:hAnsi="Times New Roman"/>
          <w:i/>
          <w:iCs/>
        </w:rPr>
        <w:t xml:space="preserve">Corporations Act 2001 </w:t>
      </w:r>
      <w:r w:rsidRPr="00D635C0">
        <w:rPr>
          <w:rFonts w:ascii="Times New Roman" w:hAnsi="Times New Roman"/>
        </w:rPr>
        <w:t xml:space="preserve">(Cth). The Court of Appeal of the Supreme Court of Victoria heard argument concerning three questions reserved in relation to that transfer. The essence of those questions concerned: whether the GCO would remain in force if the class action proceeding were transferred to the Supreme Court of New South Wales; if not, whether the absence of a GCO in the Supreme Court of New South Wales was a relevant factor to consider in the determination of the transfer application; and whether the class action proceeding should be transferred. The Court of Appeal decided that the GCO would not remain in force in the Supreme Court of New South Wales in the event of the class action proceeding's transfer, that this absence was a relevant factor to consider in the determination of the transfer application, and that the class action proceeding should not be transferred. After the delivery of reasons by the Court of Appeal, but before the making of formal orders, the proceeding was removed from the Court of Appeal into this Court. </w:t>
      </w:r>
    </w:p>
    <w:p w14:paraId="237A9CB6"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lastRenderedPageBreak/>
        <w:tab/>
        <w:t xml:space="preserve">There was no submission that this Court had no authority to decide the matter due to the contrived </w:t>
      </w:r>
      <w:proofErr w:type="gramStart"/>
      <w:r w:rsidRPr="00D635C0">
        <w:rPr>
          <w:rFonts w:ascii="Times New Roman" w:hAnsi="Times New Roman"/>
        </w:rPr>
        <w:t>manner in which</w:t>
      </w:r>
      <w:proofErr w:type="gramEnd"/>
      <w:r w:rsidRPr="00D635C0">
        <w:rPr>
          <w:rFonts w:ascii="Times New Roman" w:hAnsi="Times New Roman"/>
        </w:rPr>
        <w:t xml:space="preserve"> the application for removal was brought, potentially to subvert the Commonwealth Parliament's prohibition on appeals to this Court from decisions relating to a transfer of a proceeding under Div 1 of Pt 9.6A of the </w:t>
      </w:r>
      <w:r w:rsidRPr="00D635C0">
        <w:rPr>
          <w:rFonts w:ascii="Times New Roman" w:hAnsi="Times New Roman"/>
          <w:i/>
          <w:iCs/>
        </w:rPr>
        <w:t>Corporations Act</w:t>
      </w:r>
      <w:r w:rsidRPr="00D635C0">
        <w:rPr>
          <w:rFonts w:ascii="Times New Roman" w:hAnsi="Times New Roman"/>
        </w:rPr>
        <w:t xml:space="preserve">. It is not necessary in these reasons to express any concluded view on that issue, although that issue does inform the answer to some of the submissions that must be considered. Nor is it necessary to address many of the collateral issues raised by the parties. The essential questions raised by the proceeding removed into this Court reduce to three issues of statutory interpretation. </w:t>
      </w:r>
    </w:p>
    <w:p w14:paraId="31DAC12B"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In a departure from the order in which the questions were presented, but addressing the issues in logical order, the issues are as follows: If the proceeding were transferred to the Supreme Court of New South Wales, would the GCO "remain in force and be capable of being enforced by the Supreme Court of New South Wales, subject to any order of that Court"? Is it a relevant consideration in the assessment of whether the proceeding should be transferred that the GCO does not remain in force or is not capable of being enforced? If the absence of the GCO remaining in force or being capable of being enforced is such a relevant consideration, then should the class action proceeding be transferred to the Supreme Court of New South Wales in circumstances where, in the absence of the GCO, it is probable that the action will no longer be able to continue?</w:t>
      </w:r>
    </w:p>
    <w:p w14:paraId="30315A4D"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In summary, the answers are as follows. First, a GCO does not remain in force in, and is not capable of being enforced by, a court (in this case, the Supreme Court of New South Wales) which has no power to make or enforce the GCO and which is not given any such power. Secondly, the GCO, as an order concerned with access to justice, is plainly relevant to an assessment of whether the proceeding should be transferred. Thirdly, if the proceeding in the Supreme Court of Victoria were transferred to the Supreme Court of New South Wales, the effect of the GCO not remaining in force would probably be to stultify the proceeding. In those circumstances, the weight to be given to the GCO in the assessment of whether to transfer the proceeding is decisive. The proceeding should not be transferred.              </w:t>
      </w:r>
    </w:p>
    <w:p w14:paraId="706200FB" w14:textId="77777777" w:rsidR="005F3888" w:rsidRPr="00D635C0" w:rsidRDefault="005F3888" w:rsidP="00D635C0">
      <w:pPr>
        <w:pStyle w:val="HeadingL1"/>
        <w:spacing w:after="260" w:line="280" w:lineRule="exact"/>
        <w:ind w:right="0"/>
        <w:jc w:val="both"/>
        <w:rPr>
          <w:rFonts w:ascii="Times New Roman" w:hAnsi="Times New Roman"/>
        </w:rPr>
      </w:pPr>
      <w:r w:rsidRPr="00D635C0">
        <w:rPr>
          <w:rFonts w:ascii="Times New Roman" w:hAnsi="Times New Roman"/>
        </w:rPr>
        <w:t xml:space="preserve">The contrived </w:t>
      </w:r>
      <w:proofErr w:type="gramStart"/>
      <w:r w:rsidRPr="00D635C0">
        <w:rPr>
          <w:rFonts w:ascii="Times New Roman" w:hAnsi="Times New Roman"/>
        </w:rPr>
        <w:t>manner in which</w:t>
      </w:r>
      <w:proofErr w:type="gramEnd"/>
      <w:r w:rsidRPr="00D635C0">
        <w:rPr>
          <w:rFonts w:ascii="Times New Roman" w:hAnsi="Times New Roman"/>
        </w:rPr>
        <w:t xml:space="preserve"> this proceeding came to this Court</w:t>
      </w:r>
    </w:p>
    <w:p w14:paraId="7ACC822F"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If the Court of Appeal had made formal orders, then this Court would have had no jurisdiction to hear an appeal from such orders due to an "exception" to the appellate jurisdiction of this Court as permitted by s 73 of the </w:t>
      </w:r>
      <w:r w:rsidRPr="00D635C0">
        <w:rPr>
          <w:rFonts w:ascii="Times New Roman" w:hAnsi="Times New Roman"/>
          <w:i/>
          <w:iCs/>
        </w:rPr>
        <w:t>Constitution</w:t>
      </w:r>
      <w:r w:rsidRPr="00D635C0">
        <w:rPr>
          <w:rFonts w:ascii="Times New Roman" w:hAnsi="Times New Roman"/>
        </w:rPr>
        <w:t xml:space="preserve"> and as prescribed by the Commonwealth Parliament in Div 1 of Pt 9.6A of the </w:t>
      </w:r>
      <w:r w:rsidRPr="00D635C0">
        <w:rPr>
          <w:rFonts w:ascii="Times New Roman" w:hAnsi="Times New Roman"/>
          <w:i/>
          <w:iCs/>
        </w:rPr>
        <w:t>Corporations Act</w:t>
      </w:r>
      <w:r w:rsidRPr="00D635C0">
        <w:rPr>
          <w:rFonts w:ascii="Times New Roman" w:hAnsi="Times New Roman"/>
        </w:rPr>
        <w:t>.</w:t>
      </w:r>
      <w:r w:rsidRPr="00D635C0">
        <w:rPr>
          <w:rStyle w:val="FootnoteReference"/>
          <w:rFonts w:ascii="Times New Roman" w:hAnsi="Times New Roman"/>
          <w:sz w:val="24"/>
        </w:rPr>
        <w:footnoteReference w:id="52"/>
      </w:r>
      <w:r w:rsidRPr="00D635C0">
        <w:rPr>
          <w:rFonts w:ascii="Times New Roman" w:hAnsi="Times New Roman"/>
          <w:i/>
          <w:iCs/>
        </w:rPr>
        <w:t xml:space="preserve"> </w:t>
      </w:r>
      <w:r w:rsidRPr="00D635C0">
        <w:rPr>
          <w:rFonts w:ascii="Times New Roman" w:hAnsi="Times New Roman"/>
        </w:rPr>
        <w:t xml:space="preserve">That exception proscribes appeals from a decision of a court "in relation to the transfer of a proceeding". The origins of the exception lie in s 58 </w:t>
      </w:r>
      <w:r w:rsidRPr="00D635C0">
        <w:rPr>
          <w:rFonts w:ascii="Times New Roman" w:hAnsi="Times New Roman"/>
        </w:rPr>
        <w:lastRenderedPageBreak/>
        <w:t xml:space="preserve">of the </w:t>
      </w:r>
      <w:r w:rsidRPr="00D635C0">
        <w:rPr>
          <w:rFonts w:ascii="Times New Roman" w:hAnsi="Times New Roman"/>
          <w:i/>
          <w:iCs/>
        </w:rPr>
        <w:t xml:space="preserve">Corporations Act 1989 </w:t>
      </w:r>
      <w:r w:rsidRPr="00D635C0">
        <w:rPr>
          <w:rFonts w:ascii="Times New Roman" w:hAnsi="Times New Roman"/>
        </w:rPr>
        <w:t>(Cth),</w:t>
      </w:r>
      <w:r w:rsidRPr="00D635C0">
        <w:rPr>
          <w:rStyle w:val="FootnoteReference"/>
          <w:rFonts w:ascii="Times New Roman" w:hAnsi="Times New Roman"/>
          <w:sz w:val="24"/>
        </w:rPr>
        <w:footnoteReference w:id="53"/>
      </w:r>
      <w:r w:rsidRPr="00D635C0">
        <w:rPr>
          <w:rFonts w:ascii="Times New Roman" w:hAnsi="Times New Roman"/>
        </w:rPr>
        <w:t xml:space="preserve"> which, when introduced, was described in the Explanatory Memorandum as </w:t>
      </w:r>
      <w:proofErr w:type="gramStart"/>
      <w:r w:rsidRPr="00D635C0">
        <w:rPr>
          <w:rFonts w:ascii="Times New Roman" w:hAnsi="Times New Roman"/>
        </w:rPr>
        <w:t>making a decision</w:t>
      </w:r>
      <w:proofErr w:type="gramEnd"/>
      <w:r w:rsidRPr="00D635C0">
        <w:rPr>
          <w:rFonts w:ascii="Times New Roman" w:hAnsi="Times New Roman"/>
        </w:rPr>
        <w:t xml:space="preserve"> of a court about whether a proceeding should be transferred "non-justiciable".</w:t>
      </w:r>
      <w:r w:rsidRPr="00D635C0">
        <w:rPr>
          <w:rStyle w:val="FootnoteReference"/>
          <w:rFonts w:ascii="Times New Roman" w:hAnsi="Times New Roman"/>
          <w:sz w:val="24"/>
        </w:rPr>
        <w:footnoteReference w:id="54"/>
      </w:r>
      <w:r w:rsidRPr="00D635C0">
        <w:rPr>
          <w:rFonts w:ascii="Times New Roman" w:hAnsi="Times New Roman"/>
        </w:rPr>
        <w:t xml:space="preserve">   </w:t>
      </w:r>
    </w:p>
    <w:p w14:paraId="12AB3F96"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The application for removal of this matter into this Court was a device to circumvent the proscription by the Commonwealth Parliament of appeals to this Court by removing the matter into this Court before the making of final orders.</w:t>
      </w:r>
      <w:r w:rsidRPr="00D635C0">
        <w:rPr>
          <w:rStyle w:val="FootnoteReference"/>
          <w:rFonts w:ascii="Times New Roman" w:hAnsi="Times New Roman"/>
          <w:sz w:val="24"/>
        </w:rPr>
        <w:footnoteReference w:id="55"/>
      </w:r>
      <w:r w:rsidRPr="00D635C0">
        <w:rPr>
          <w:rFonts w:ascii="Times New Roman" w:hAnsi="Times New Roman"/>
        </w:rPr>
        <w:t xml:space="preserve"> Hence, the matter was in the original jurisdiction of this Court although the focus of submissions was upon the correctness of the reasoning of the Court of Appeal. Indeed, the applicants relied upon a document described as "In the Nature of a Notice of Contention" to contend that the decision of the Court of Appeal should be "affirmed" on four additional grounds. In oral submissions the applicants simply referred to this as a "notice of contention". </w:t>
      </w:r>
    </w:p>
    <w:p w14:paraId="4EB3105E"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i/>
          <w:iCs/>
        </w:rPr>
        <w:tab/>
      </w:r>
      <w:r w:rsidRPr="00D635C0">
        <w:rPr>
          <w:rFonts w:ascii="Times New Roman" w:hAnsi="Times New Roman"/>
        </w:rPr>
        <w:t xml:space="preserve">KPMG (the applicant in the removal application and the fifth respondent to this proceeding) relied upon the decision in </w:t>
      </w:r>
      <w:r w:rsidRPr="00D635C0">
        <w:rPr>
          <w:rFonts w:ascii="Times New Roman" w:hAnsi="Times New Roman"/>
          <w:i/>
          <w:iCs/>
        </w:rPr>
        <w:t xml:space="preserve">O'Toole v Charles David Pty Ltd </w:t>
      </w:r>
      <w:r w:rsidRPr="00D635C0">
        <w:rPr>
          <w:rFonts w:ascii="Times New Roman" w:hAnsi="Times New Roman"/>
        </w:rPr>
        <w:t>("</w:t>
      </w:r>
      <w:r w:rsidRPr="00D635C0">
        <w:rPr>
          <w:rFonts w:ascii="Times New Roman" w:hAnsi="Times New Roman"/>
          <w:i/>
          <w:iCs/>
        </w:rPr>
        <w:t>O'Toole</w:t>
      </w:r>
      <w:r w:rsidRPr="00D635C0">
        <w:rPr>
          <w:rFonts w:ascii="Times New Roman" w:hAnsi="Times New Roman"/>
        </w:rPr>
        <w:t>")</w:t>
      </w:r>
      <w:r w:rsidRPr="00D635C0">
        <w:rPr>
          <w:rStyle w:val="FootnoteReference"/>
          <w:rFonts w:ascii="Times New Roman" w:hAnsi="Times New Roman"/>
          <w:sz w:val="24"/>
        </w:rPr>
        <w:footnoteReference w:id="56"/>
      </w:r>
      <w:r w:rsidRPr="00D635C0">
        <w:rPr>
          <w:rFonts w:ascii="Times New Roman" w:hAnsi="Times New Roman"/>
          <w:i/>
          <w:iCs/>
        </w:rPr>
        <w:t xml:space="preserve"> </w:t>
      </w:r>
      <w:r w:rsidRPr="00D635C0">
        <w:rPr>
          <w:rFonts w:ascii="Times New Roman" w:hAnsi="Times New Roman"/>
        </w:rPr>
        <w:t xml:space="preserve">as supporting its circumvention device. In </w:t>
      </w:r>
      <w:r w:rsidRPr="00D635C0">
        <w:rPr>
          <w:rFonts w:ascii="Times New Roman" w:hAnsi="Times New Roman"/>
          <w:i/>
          <w:iCs/>
        </w:rPr>
        <w:t>O'Toole</w:t>
      </w:r>
      <w:r w:rsidRPr="00D635C0">
        <w:rPr>
          <w:rFonts w:ascii="Times New Roman" w:hAnsi="Times New Roman"/>
        </w:rPr>
        <w:t>,</w:t>
      </w:r>
      <w:r w:rsidRPr="00D635C0">
        <w:rPr>
          <w:rFonts w:ascii="Times New Roman" w:hAnsi="Times New Roman"/>
          <w:i/>
          <w:iCs/>
        </w:rPr>
        <w:t xml:space="preserve"> </w:t>
      </w:r>
      <w:r w:rsidRPr="00D635C0">
        <w:rPr>
          <w:rFonts w:ascii="Times New Roman" w:hAnsi="Times New Roman"/>
        </w:rPr>
        <w:t xml:space="preserve">the applicant had taken the same approach of seeking to remove proceedings into this Court prior to formal orders being delivered due to a concern that this Court would not have had jurisdiction to hear an appeal. But any lack of jurisdiction in </w:t>
      </w:r>
      <w:r w:rsidRPr="00D635C0">
        <w:rPr>
          <w:rFonts w:ascii="Times New Roman" w:hAnsi="Times New Roman"/>
          <w:i/>
          <w:iCs/>
        </w:rPr>
        <w:t xml:space="preserve">O'Toole </w:t>
      </w:r>
      <w:r w:rsidRPr="00D635C0">
        <w:rPr>
          <w:rFonts w:ascii="Times New Roman" w:hAnsi="Times New Roman"/>
        </w:rPr>
        <w:t xml:space="preserve">would not have been the consequence of a proscription by the Commonwealth Parliament; the lack of jurisdiction depended upon nice questions concerning the presence of a "matter". Further, although this Court decided the removed proceeding in </w:t>
      </w:r>
      <w:r w:rsidRPr="00D635C0">
        <w:rPr>
          <w:rFonts w:ascii="Times New Roman" w:hAnsi="Times New Roman"/>
          <w:i/>
          <w:iCs/>
        </w:rPr>
        <w:t>O'Toole</w:t>
      </w:r>
      <w:r w:rsidRPr="00D635C0">
        <w:rPr>
          <w:rFonts w:ascii="Times New Roman" w:hAnsi="Times New Roman"/>
        </w:rPr>
        <w:t>, it did so in the context of six members of the Court expressing doubt as to the correctness of the previous authority which might have prevented an appeal on the basis of the absence of a matter.</w:t>
      </w:r>
      <w:r w:rsidRPr="00D635C0">
        <w:rPr>
          <w:rStyle w:val="FootnoteReference"/>
          <w:rFonts w:ascii="Times New Roman" w:hAnsi="Times New Roman"/>
          <w:sz w:val="24"/>
        </w:rPr>
        <w:footnoteReference w:id="57"/>
      </w:r>
      <w:r w:rsidRPr="00D635C0">
        <w:rPr>
          <w:rFonts w:ascii="Times New Roman" w:hAnsi="Times New Roman"/>
        </w:rPr>
        <w:t xml:space="preserve"> On no view was the application in </w:t>
      </w:r>
      <w:r w:rsidRPr="00D635C0">
        <w:rPr>
          <w:rFonts w:ascii="Times New Roman" w:hAnsi="Times New Roman"/>
          <w:i/>
          <w:iCs/>
        </w:rPr>
        <w:t xml:space="preserve">O'Toole </w:t>
      </w:r>
      <w:r w:rsidRPr="00D635C0">
        <w:rPr>
          <w:rFonts w:ascii="Times New Roman" w:hAnsi="Times New Roman"/>
        </w:rPr>
        <w:t xml:space="preserve">a deliberate and contrived attempt to circumvent a proscription of the Commonwealth Parliament. </w:t>
      </w:r>
    </w:p>
    <w:p w14:paraId="4687CCCD"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Perhaps because the possibility of removal of this proceeding was initially suggested by this Court during the hearing of an earlier (unsuccessful) removal application, no submission was made in response to KPMG's application to remove the present proceeding that this Court lacked the power to remove the proceeding </w:t>
      </w:r>
      <w:r w:rsidRPr="00D635C0">
        <w:rPr>
          <w:rFonts w:ascii="Times New Roman" w:hAnsi="Times New Roman"/>
        </w:rPr>
        <w:lastRenderedPageBreak/>
        <w:t>or that this Court should decline to exercise any such power because removal was a contrived device to circumvent a proscription by the Commonwealth Parliament. In the absence of any such submissions, the removal application was granted by all members of this Court.</w:t>
      </w:r>
      <w:r w:rsidRPr="00D635C0">
        <w:rPr>
          <w:rStyle w:val="FootnoteReference"/>
          <w:rFonts w:ascii="Times New Roman" w:hAnsi="Times New Roman"/>
          <w:sz w:val="24"/>
        </w:rPr>
        <w:footnoteReference w:id="58"/>
      </w:r>
      <w:r w:rsidRPr="00D635C0">
        <w:rPr>
          <w:rFonts w:ascii="Times New Roman" w:hAnsi="Times New Roman"/>
        </w:rPr>
        <w:t xml:space="preserve"> Nor was any application made to remit this matter to the Court of Appeal without considering the issues raised by removal.</w:t>
      </w:r>
      <w:r w:rsidRPr="00D635C0">
        <w:rPr>
          <w:rStyle w:val="FootnoteReference"/>
          <w:rFonts w:ascii="Times New Roman" w:hAnsi="Times New Roman"/>
          <w:sz w:val="24"/>
        </w:rPr>
        <w:footnoteReference w:id="59"/>
      </w:r>
      <w:r w:rsidRPr="00D635C0">
        <w:rPr>
          <w:rFonts w:ascii="Times New Roman" w:hAnsi="Times New Roman"/>
        </w:rPr>
        <w:t xml:space="preserve"> It is unnecessary, therefore, to say anything further about this issue other than in relation to costs.</w:t>
      </w:r>
    </w:p>
    <w:p w14:paraId="62C8A877" w14:textId="77777777" w:rsidR="005F3888" w:rsidRPr="00D635C0" w:rsidRDefault="005F3888" w:rsidP="00D635C0">
      <w:pPr>
        <w:pStyle w:val="HeadingL1"/>
        <w:spacing w:after="260" w:line="280" w:lineRule="exact"/>
        <w:ind w:right="0"/>
        <w:jc w:val="both"/>
        <w:rPr>
          <w:rFonts w:ascii="Times New Roman" w:hAnsi="Times New Roman"/>
        </w:rPr>
      </w:pPr>
      <w:r w:rsidRPr="00D635C0">
        <w:rPr>
          <w:rFonts w:ascii="Times New Roman" w:hAnsi="Times New Roman"/>
        </w:rPr>
        <w:t>The absence of power for the Supreme Court of New South Wales to make a GCO</w:t>
      </w:r>
    </w:p>
    <w:p w14:paraId="46F3CED2" w14:textId="77777777" w:rsidR="005F3888" w:rsidRPr="00D635C0" w:rsidRDefault="005F3888" w:rsidP="00D635C0">
      <w:pPr>
        <w:pStyle w:val="HeadingL2"/>
        <w:spacing w:after="260" w:line="280" w:lineRule="exact"/>
        <w:ind w:right="0"/>
        <w:jc w:val="both"/>
        <w:rPr>
          <w:rFonts w:ascii="Times New Roman" w:hAnsi="Times New Roman"/>
        </w:rPr>
      </w:pPr>
      <w:r w:rsidRPr="00D635C0">
        <w:rPr>
          <w:rFonts w:ascii="Times New Roman" w:hAnsi="Times New Roman"/>
        </w:rPr>
        <w:t>The proceeding in the Supreme Court of Victoria</w:t>
      </w:r>
    </w:p>
    <w:p w14:paraId="12523638"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The class action in the Supreme Court of Victoria, concerning contravention of Commonwealth legislation, is in federal jurisdiction.</w:t>
      </w:r>
      <w:r w:rsidRPr="00D635C0">
        <w:rPr>
          <w:rStyle w:val="FootnoteReference"/>
          <w:rFonts w:ascii="Times New Roman" w:hAnsi="Times New Roman"/>
          <w:sz w:val="24"/>
        </w:rPr>
        <w:footnoteReference w:id="60"/>
      </w:r>
      <w:r w:rsidRPr="00D635C0">
        <w:rPr>
          <w:rFonts w:ascii="Times New Roman" w:hAnsi="Times New Roman"/>
        </w:rPr>
        <w:t xml:space="preserve"> The authority of the Supreme Court of Victoria in federal jurisdiction, including its ability to adjudicate upon the rights and interests of the parties before it (whatever the source of those rights or interests) and its inextricable ability to make orders consequent upon that adjudication, is federal authority. But a gap arises in exercising that federal authority concerning the relevant common law, State legislation, and federal legislation. The gap arises because State laws cannot govern or regulate the </w:t>
      </w:r>
      <w:proofErr w:type="gramStart"/>
      <w:r w:rsidRPr="00D635C0">
        <w:rPr>
          <w:rFonts w:ascii="Times New Roman" w:hAnsi="Times New Roman"/>
        </w:rPr>
        <w:t>manner in which</w:t>
      </w:r>
      <w:proofErr w:type="gramEnd"/>
      <w:r w:rsidRPr="00D635C0">
        <w:rPr>
          <w:rFonts w:ascii="Times New Roman" w:hAnsi="Times New Roman"/>
        </w:rPr>
        <w:t xml:space="preserve"> federal authority is exercised. That gap is filled by s 79 of the </w:t>
      </w:r>
      <w:r w:rsidRPr="00D635C0">
        <w:rPr>
          <w:rFonts w:ascii="Times New Roman" w:hAnsi="Times New Roman"/>
          <w:i/>
          <w:iCs/>
        </w:rPr>
        <w:t xml:space="preserve">Judiciary Act 1903 </w:t>
      </w:r>
      <w:r w:rsidRPr="00D635C0">
        <w:rPr>
          <w:rFonts w:ascii="Times New Roman" w:hAnsi="Times New Roman"/>
        </w:rPr>
        <w:t>(Cth):</w:t>
      </w:r>
      <w:r w:rsidRPr="00D635C0">
        <w:rPr>
          <w:rStyle w:val="FootnoteReference"/>
          <w:rFonts w:ascii="Times New Roman" w:hAnsi="Times New Roman"/>
          <w:sz w:val="24"/>
        </w:rPr>
        <w:footnoteReference w:id="61"/>
      </w:r>
    </w:p>
    <w:p w14:paraId="76F6B358" w14:textId="77777777" w:rsidR="005F3888" w:rsidRDefault="005F3888" w:rsidP="00D635C0">
      <w:pPr>
        <w:pStyle w:val="LeftrightafterHC"/>
        <w:spacing w:before="0" w:after="260" w:line="280" w:lineRule="exact"/>
        <w:ind w:right="0"/>
        <w:jc w:val="both"/>
        <w:rPr>
          <w:rFonts w:ascii="Times New Roman" w:hAnsi="Times New Roman"/>
        </w:rPr>
      </w:pPr>
      <w:r w:rsidRPr="00D635C0">
        <w:rPr>
          <w:rFonts w:ascii="Times New Roman" w:hAnsi="Times New Roman"/>
        </w:rPr>
        <w:t xml:space="preserve">"Section 79(1) of the </w:t>
      </w:r>
      <w:r w:rsidRPr="00D635C0">
        <w:rPr>
          <w:rFonts w:ascii="Times New Roman" w:hAnsi="Times New Roman"/>
          <w:i/>
          <w:iCs/>
        </w:rPr>
        <w:t>Judiciary Act</w:t>
      </w:r>
      <w:r w:rsidRPr="00D635C0">
        <w:rPr>
          <w:rFonts w:ascii="Times New Roman" w:hAnsi="Times New Roman"/>
        </w:rPr>
        <w:t xml:space="preserve"> applies where there is a gap in the law governing the exercise of federal jurisdiction by picking up [those] State laws which regulate the exercise of State jurisdiction and applying them as Commonwealth laws governing the exercise of federal jurisdiction."</w:t>
      </w:r>
    </w:p>
    <w:p w14:paraId="714B2F3A"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Part 4A of the </w:t>
      </w:r>
      <w:r w:rsidRPr="00D635C0">
        <w:rPr>
          <w:rFonts w:ascii="Times New Roman" w:hAnsi="Times New Roman"/>
          <w:i/>
          <w:iCs/>
        </w:rPr>
        <w:t xml:space="preserve">Supreme Court Act 1986 </w:t>
      </w:r>
      <w:r w:rsidRPr="00D635C0">
        <w:rPr>
          <w:rFonts w:ascii="Times New Roman" w:hAnsi="Times New Roman"/>
        </w:rPr>
        <w:t>(Vic), including the ability to make a GCO,</w:t>
      </w:r>
      <w:r w:rsidRPr="00D635C0">
        <w:rPr>
          <w:rStyle w:val="FootnoteReference"/>
          <w:rFonts w:ascii="Times New Roman" w:hAnsi="Times New Roman"/>
          <w:sz w:val="24"/>
        </w:rPr>
        <w:footnoteReference w:id="62"/>
      </w:r>
      <w:r w:rsidRPr="00D635C0">
        <w:rPr>
          <w:rFonts w:ascii="Times New Roman" w:hAnsi="Times New Roman"/>
        </w:rPr>
        <w:t xml:space="preserve"> concerns the </w:t>
      </w:r>
      <w:proofErr w:type="gramStart"/>
      <w:r w:rsidRPr="00D635C0">
        <w:rPr>
          <w:rFonts w:ascii="Times New Roman" w:hAnsi="Times New Roman"/>
        </w:rPr>
        <w:t>manner in which</w:t>
      </w:r>
      <w:proofErr w:type="gramEnd"/>
      <w:r w:rsidRPr="00D635C0">
        <w:rPr>
          <w:rFonts w:ascii="Times New Roman" w:hAnsi="Times New Roman"/>
        </w:rPr>
        <w:t xml:space="preserve"> the rights and interests of parties are adjudicated. Part 4A contains laws that regulate or govern the exercise or manner of exercising authority by adjudication of the rights of the parties.</w:t>
      </w:r>
      <w:r w:rsidRPr="00D635C0">
        <w:rPr>
          <w:rStyle w:val="FootnoteReference"/>
          <w:rFonts w:ascii="Times New Roman" w:hAnsi="Times New Roman"/>
          <w:sz w:val="24"/>
        </w:rPr>
        <w:footnoteReference w:id="63"/>
      </w:r>
      <w:r w:rsidRPr="00D635C0">
        <w:rPr>
          <w:rFonts w:ascii="Times New Roman" w:hAnsi="Times New Roman"/>
        </w:rPr>
        <w:t xml:space="preserve"> When the </w:t>
      </w:r>
      <w:r w:rsidRPr="00D635C0">
        <w:rPr>
          <w:rFonts w:ascii="Times New Roman" w:hAnsi="Times New Roman"/>
        </w:rPr>
        <w:lastRenderedPageBreak/>
        <w:t xml:space="preserve">Supreme Court of Victoria exercises federal jurisdiction, s 79 of the </w:t>
      </w:r>
      <w:r w:rsidRPr="00D635C0">
        <w:rPr>
          <w:rFonts w:ascii="Times New Roman" w:hAnsi="Times New Roman"/>
          <w:i/>
          <w:iCs/>
        </w:rPr>
        <w:t xml:space="preserve">Judiciary Act </w:t>
      </w:r>
      <w:r w:rsidRPr="00D635C0">
        <w:rPr>
          <w:rFonts w:ascii="Times New Roman" w:hAnsi="Times New Roman"/>
        </w:rPr>
        <w:t xml:space="preserve">operates to "pick up", and apply, Pt 4A in the substantive proceeding, regulating the </w:t>
      </w:r>
      <w:proofErr w:type="gramStart"/>
      <w:r w:rsidRPr="00D635C0">
        <w:rPr>
          <w:rFonts w:ascii="Times New Roman" w:hAnsi="Times New Roman"/>
        </w:rPr>
        <w:t>manner in which</w:t>
      </w:r>
      <w:proofErr w:type="gramEnd"/>
      <w:r w:rsidRPr="00D635C0">
        <w:rPr>
          <w:rFonts w:ascii="Times New Roman" w:hAnsi="Times New Roman"/>
        </w:rPr>
        <w:t xml:space="preserve"> the dispute is to be resolved. But s 79 otherwise leaves, as s 79 finds it, the authority of the Supreme Court of Victoria to declare and resolve the rights and interests of parties, consequent upon the Court's adjudication of a dispute.</w:t>
      </w:r>
    </w:p>
    <w:p w14:paraId="6C5FB270" w14:textId="77777777" w:rsidR="005F3888" w:rsidRPr="00D635C0" w:rsidRDefault="005F3888" w:rsidP="00D635C0">
      <w:pPr>
        <w:pStyle w:val="HeadingL2"/>
        <w:spacing w:after="260" w:line="280" w:lineRule="exact"/>
        <w:ind w:right="0"/>
        <w:jc w:val="both"/>
        <w:rPr>
          <w:rFonts w:ascii="Times New Roman" w:hAnsi="Times New Roman"/>
        </w:rPr>
      </w:pPr>
      <w:r w:rsidRPr="00D635C0">
        <w:rPr>
          <w:rFonts w:ascii="Times New Roman" w:hAnsi="Times New Roman"/>
        </w:rPr>
        <w:t xml:space="preserve">The provisions empowering transfer of the Victorian proceeding   </w:t>
      </w:r>
    </w:p>
    <w:p w14:paraId="2E4D61F5"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The Attorney-General of the Commonwealth effectively submitted that the </w:t>
      </w:r>
      <w:r w:rsidRPr="00D635C0">
        <w:rPr>
          <w:rFonts w:ascii="Times New Roman" w:hAnsi="Times New Roman"/>
          <w:i/>
          <w:iCs/>
        </w:rPr>
        <w:t xml:space="preserve">Corporations Act </w:t>
      </w:r>
      <w:r w:rsidRPr="00D635C0">
        <w:rPr>
          <w:rFonts w:ascii="Times New Roman" w:hAnsi="Times New Roman"/>
        </w:rPr>
        <w:t xml:space="preserve">scheme was designed to ensure a seamless transfer of federal jurisdiction and its exercise from the courts of one State to the courts of another. The difficulty with that submission is that the seamless transfer of jurisdiction from the Supreme Court of one State to the Supreme Court of another would require the Supreme Courts of the two States always to operate in the same way. But that is not how s 79 of the </w:t>
      </w:r>
      <w:r w:rsidRPr="00D635C0">
        <w:rPr>
          <w:rFonts w:ascii="Times New Roman" w:hAnsi="Times New Roman"/>
          <w:i/>
          <w:iCs/>
        </w:rPr>
        <w:t xml:space="preserve">Judiciary Act </w:t>
      </w:r>
      <w:r w:rsidRPr="00D635C0">
        <w:rPr>
          <w:rFonts w:ascii="Times New Roman" w:hAnsi="Times New Roman"/>
        </w:rPr>
        <w:t xml:space="preserve">works. Section 79 regulates the </w:t>
      </w:r>
      <w:proofErr w:type="gramStart"/>
      <w:r w:rsidRPr="00D635C0">
        <w:rPr>
          <w:rFonts w:ascii="Times New Roman" w:hAnsi="Times New Roman"/>
        </w:rPr>
        <w:t>manner in which</w:t>
      </w:r>
      <w:proofErr w:type="gramEnd"/>
      <w:r w:rsidRPr="00D635C0">
        <w:rPr>
          <w:rFonts w:ascii="Times New Roman" w:hAnsi="Times New Roman"/>
        </w:rPr>
        <w:t xml:space="preserve"> State courts exercise their existing power to make orders consequent upon adjudication of the rights and interests of parties before them. It does not turn State courts into federal courts exercising power in the same manner. </w:t>
      </w:r>
    </w:p>
    <w:p w14:paraId="69B3C3CD"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So too, the scheme in Div 1 of Pt 9.6A of the </w:t>
      </w:r>
      <w:r w:rsidRPr="00D635C0">
        <w:rPr>
          <w:rFonts w:ascii="Times New Roman" w:hAnsi="Times New Roman"/>
          <w:i/>
          <w:iCs/>
        </w:rPr>
        <w:t xml:space="preserve">Corporations Act </w:t>
      </w:r>
      <w:r w:rsidRPr="00D635C0">
        <w:rPr>
          <w:rFonts w:ascii="Times New Roman" w:hAnsi="Times New Roman"/>
        </w:rPr>
        <w:t>does not attempt to transfer the powers of one State Supreme Court to another, but also takes the transferee court "as it finds it with all its incidents".</w:t>
      </w:r>
      <w:r w:rsidRPr="00D635C0">
        <w:rPr>
          <w:rStyle w:val="FootnoteReference"/>
          <w:rFonts w:ascii="Times New Roman" w:hAnsi="Times New Roman"/>
          <w:sz w:val="24"/>
        </w:rPr>
        <w:footnoteReference w:id="64"/>
      </w:r>
      <w:r w:rsidRPr="00D635C0">
        <w:rPr>
          <w:rFonts w:ascii="Times New Roman" w:hAnsi="Times New Roman"/>
        </w:rPr>
        <w:t xml:space="preserve"> Within Div 1 of Pt 9.6A of the </w:t>
      </w:r>
      <w:r w:rsidRPr="00D635C0">
        <w:rPr>
          <w:rFonts w:ascii="Times New Roman" w:hAnsi="Times New Roman"/>
          <w:i/>
          <w:iCs/>
        </w:rPr>
        <w:t>Corporations Act</w:t>
      </w:r>
      <w:r w:rsidRPr="00D635C0">
        <w:rPr>
          <w:rFonts w:ascii="Times New Roman" w:hAnsi="Times New Roman"/>
        </w:rPr>
        <w:t xml:space="preserve">, the provision concerning transfer of proceedings is s 1337H. Section 1337H(6) provides that nothing in s 1337H "confers on a court jurisdiction that the court would not otherwise have". And s 1337A(3) relevantly provides that Div 1 of Pt 9.6A "does not limit the operation of the provisions of the </w:t>
      </w:r>
      <w:r w:rsidRPr="00D635C0">
        <w:rPr>
          <w:rFonts w:ascii="Times New Roman" w:hAnsi="Times New Roman"/>
          <w:i/>
          <w:iCs/>
        </w:rPr>
        <w:t>Judiciary Act 1903</w:t>
      </w:r>
      <w:r w:rsidRPr="00D635C0">
        <w:rPr>
          <w:rFonts w:ascii="Times New Roman" w:hAnsi="Times New Roman"/>
        </w:rPr>
        <w:t xml:space="preserve"> other than section 39B". As this Court said in </w:t>
      </w:r>
      <w:r w:rsidRPr="00D635C0">
        <w:rPr>
          <w:rFonts w:ascii="Times New Roman" w:hAnsi="Times New Roman"/>
          <w:i/>
          <w:iCs/>
        </w:rPr>
        <w:t>Grant Samuel Corporate Finance Pty Ltd v Fletcher</w:t>
      </w:r>
      <w:r w:rsidRPr="00D635C0">
        <w:rPr>
          <w:rFonts w:ascii="Times New Roman" w:hAnsi="Times New Roman"/>
        </w:rPr>
        <w:t>,</w:t>
      </w:r>
      <w:r w:rsidRPr="00D635C0">
        <w:rPr>
          <w:rStyle w:val="FootnoteReference"/>
          <w:rFonts w:ascii="Times New Roman" w:hAnsi="Times New Roman"/>
          <w:sz w:val="24"/>
        </w:rPr>
        <w:footnoteReference w:id="65"/>
      </w:r>
      <w:r w:rsidRPr="00D635C0">
        <w:rPr>
          <w:rFonts w:ascii="Times New Roman" w:hAnsi="Times New Roman"/>
          <w:i/>
          <w:iCs/>
        </w:rPr>
        <w:t xml:space="preserve"> </w:t>
      </w:r>
      <w:r w:rsidRPr="00D635C0">
        <w:rPr>
          <w:rFonts w:ascii="Times New Roman" w:hAnsi="Times New Roman"/>
        </w:rPr>
        <w:t xml:space="preserve">"the </w:t>
      </w:r>
      <w:r w:rsidRPr="00D635C0">
        <w:rPr>
          <w:rFonts w:ascii="Times New Roman" w:hAnsi="Times New Roman"/>
          <w:i/>
          <w:iCs/>
        </w:rPr>
        <w:t xml:space="preserve">Corporations Act </w:t>
      </w:r>
      <w:r w:rsidRPr="00D635C0">
        <w:rPr>
          <w:rFonts w:ascii="Times New Roman" w:hAnsi="Times New Roman"/>
        </w:rPr>
        <w:t xml:space="preserve">does not directly impose a universal, federal procedural regime, but rather leaves s 79 of the </w:t>
      </w:r>
      <w:r w:rsidRPr="00D635C0">
        <w:rPr>
          <w:rFonts w:ascii="Times New Roman" w:hAnsi="Times New Roman"/>
          <w:i/>
          <w:iCs/>
        </w:rPr>
        <w:t xml:space="preserve">Judiciary Act </w:t>
      </w:r>
      <w:r w:rsidRPr="00D635C0">
        <w:rPr>
          <w:rFonts w:ascii="Times New Roman" w:hAnsi="Times New Roman"/>
        </w:rPr>
        <w:t xml:space="preserve">to operate according to its terms in the State or Territory concerned". </w:t>
      </w:r>
    </w:p>
    <w:p w14:paraId="306B7A79"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Putting to one side the different operation of the scheme in relation to specified federal courts, the scheme also operates differently in relation to State and Territory courts exercising jurisdiction in matters arising under the </w:t>
      </w:r>
      <w:r w:rsidRPr="00D635C0">
        <w:rPr>
          <w:rFonts w:ascii="Times New Roman" w:hAnsi="Times New Roman"/>
          <w:i/>
          <w:iCs/>
        </w:rPr>
        <w:t xml:space="preserve">Administrative Decisions (Judicial Review) Act 1977 </w:t>
      </w:r>
      <w:r w:rsidRPr="00D635C0">
        <w:rPr>
          <w:rFonts w:ascii="Times New Roman" w:hAnsi="Times New Roman"/>
        </w:rPr>
        <w:t xml:space="preserve">(Cth) involving or related to decisions made, or proposed or required to be made, under "Corporations legislation". In such circumstances, the scheme replaces the operation of s 79 of the </w:t>
      </w:r>
      <w:r w:rsidRPr="00D635C0">
        <w:rPr>
          <w:rFonts w:ascii="Times New Roman" w:hAnsi="Times New Roman"/>
          <w:i/>
          <w:iCs/>
        </w:rPr>
        <w:t xml:space="preserve">Judiciary Act </w:t>
      </w:r>
      <w:r w:rsidRPr="00D635C0">
        <w:rPr>
          <w:rFonts w:ascii="Times New Roman" w:hAnsi="Times New Roman"/>
        </w:rPr>
        <w:t xml:space="preserve">with a more flexible approach. Subject to specific corporations </w:t>
      </w:r>
      <w:r w:rsidRPr="00D635C0">
        <w:rPr>
          <w:rFonts w:ascii="Times New Roman" w:hAnsi="Times New Roman"/>
        </w:rPr>
        <w:lastRenderedPageBreak/>
        <w:t>rules of court established in the Supreme Court of the Australian Capital Territory,</w:t>
      </w:r>
      <w:r w:rsidRPr="00D635C0">
        <w:rPr>
          <w:rStyle w:val="FootnoteReference"/>
          <w:rFonts w:ascii="Times New Roman" w:hAnsi="Times New Roman"/>
          <w:sz w:val="24"/>
        </w:rPr>
        <w:footnoteReference w:id="66"/>
      </w:r>
      <w:r w:rsidRPr="00D635C0">
        <w:rPr>
          <w:rFonts w:ascii="Times New Roman" w:hAnsi="Times New Roman"/>
        </w:rPr>
        <w:t xml:space="preserve"> s 1337P(1), read with s 1337P(3), provides that in such matters arising in State and Territory courts under the </w:t>
      </w:r>
      <w:r w:rsidRPr="00D635C0">
        <w:rPr>
          <w:rFonts w:ascii="Times New Roman" w:hAnsi="Times New Roman"/>
          <w:i/>
          <w:iCs/>
        </w:rPr>
        <w:t>Administrative Decisions (Judicial Review) Act</w:t>
      </w:r>
      <w:r w:rsidRPr="00D635C0">
        <w:rPr>
          <w:rFonts w:ascii="Times New Roman" w:hAnsi="Times New Roman"/>
        </w:rPr>
        <w:t xml:space="preserve">, the "rules of evidence and procedure to be applied in dealing with that matter are to be the rules that: (a) are applied in a superior court in Australia; and (b) the court considers appropriate to be applied in the circumstances". </w:t>
      </w:r>
    </w:p>
    <w:p w14:paraId="2646361F"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Against this background of court powers, s 1337P(2) deals with historical steps that had been taken in a transferor court when proceedings are to be transferred under the scheme of Div 1 of Pt 9.6A. For instance, if a matter were transferred from the Supreme Court of Victoria to the Supreme Court of New South Wales, the scheme would </w:t>
      </w:r>
      <w:r w:rsidRPr="00D635C0">
        <w:rPr>
          <w:rFonts w:ascii="Times New Roman" w:hAnsi="Times New Roman"/>
          <w:i/>
          <w:iCs/>
        </w:rPr>
        <w:t>not</w:t>
      </w:r>
      <w:r w:rsidRPr="00D635C0">
        <w:rPr>
          <w:rFonts w:ascii="Times New Roman" w:hAnsi="Times New Roman"/>
        </w:rPr>
        <w:t xml:space="preserve"> assume that the same laws that governed or regulated the exercise of jurisdiction in the Supreme Court of Victoria, and which were picked up by s 79 of the </w:t>
      </w:r>
      <w:r w:rsidRPr="00D635C0">
        <w:rPr>
          <w:rFonts w:ascii="Times New Roman" w:hAnsi="Times New Roman"/>
          <w:i/>
          <w:iCs/>
        </w:rPr>
        <w:t>Judiciary Act</w:t>
      </w:r>
      <w:r w:rsidRPr="00D635C0">
        <w:rPr>
          <w:rFonts w:ascii="Times New Roman" w:hAnsi="Times New Roman"/>
        </w:rPr>
        <w:t>,</w:t>
      </w:r>
      <w:r w:rsidRPr="00D635C0">
        <w:rPr>
          <w:rFonts w:ascii="Times New Roman" w:hAnsi="Times New Roman"/>
          <w:i/>
          <w:iCs/>
        </w:rPr>
        <w:t xml:space="preserve"> </w:t>
      </w:r>
      <w:r w:rsidRPr="00D635C0">
        <w:rPr>
          <w:rFonts w:ascii="Times New Roman" w:hAnsi="Times New Roman"/>
        </w:rPr>
        <w:t xml:space="preserve">would govern or regulate the adjudication process in the Supreme Court of New South Wales. Rather, consistently with the assumption underlying Div 1 of Pt 9.6A of taking the transferee State court as the scheme finds it, when the proceeding is transferred to the Supreme Court of New South Wales Div 1 of Pt 9.6A operates on, and applies, the body of law applicable in New South Wales, including the laws that govern or regulate the exercise of jurisdiction by the Supreme Court of New South Wales. </w:t>
      </w:r>
    </w:p>
    <w:p w14:paraId="6E9705A5"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Section 1337P(2) addresses the status of past orders made by a transferor court:</w:t>
      </w:r>
    </w:p>
    <w:p w14:paraId="32C08899" w14:textId="77777777" w:rsidR="005F3888" w:rsidRDefault="005F3888" w:rsidP="00D635C0">
      <w:pPr>
        <w:pStyle w:val="LeftrightafterHC"/>
        <w:spacing w:before="0" w:after="260" w:line="280" w:lineRule="exact"/>
        <w:ind w:right="0"/>
        <w:jc w:val="both"/>
        <w:rPr>
          <w:rFonts w:ascii="Times New Roman" w:hAnsi="Times New Roman"/>
        </w:rPr>
      </w:pPr>
      <w:r w:rsidRPr="00D635C0">
        <w:rPr>
          <w:rFonts w:ascii="Times New Roman" w:hAnsi="Times New Roman"/>
        </w:rPr>
        <w:t>"[T]he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14:paraId="1F452096" w14:textId="77777777" w:rsidR="005F3888" w:rsidRPr="00D635C0" w:rsidRDefault="005F3888" w:rsidP="00D635C0">
      <w:pPr>
        <w:pStyle w:val="NormalBody"/>
        <w:spacing w:after="260" w:line="280" w:lineRule="exact"/>
        <w:ind w:right="0"/>
        <w:jc w:val="both"/>
        <w:rPr>
          <w:rFonts w:ascii="Times New Roman" w:hAnsi="Times New Roman"/>
        </w:rPr>
      </w:pPr>
      <w:r w:rsidRPr="00D635C0">
        <w:rPr>
          <w:rFonts w:ascii="Times New Roman" w:hAnsi="Times New Roman"/>
        </w:rPr>
        <w:t xml:space="preserve">Section 1337P(2) is not a cuckoo in the nest of Div 1 of Pt 9.6A. It is not a provision that departs from the assumption underlying the whole of Div 1 of Pt 9.6A that State courts are taken as they are found. Hence, where the transferee court is the Supreme Court of New South Wales, s 1337P(2) operates on the basis of the existing powers of the Supreme Court of New South Wales, including as those powers are regulated and governed, in respect of the exercise of federal jurisdiction, by other Commonwealth laws and by laws of New South Wales picked up by s 79 of the </w:t>
      </w:r>
      <w:r w:rsidRPr="00D635C0">
        <w:rPr>
          <w:rFonts w:ascii="Times New Roman" w:hAnsi="Times New Roman"/>
          <w:i/>
          <w:iCs/>
        </w:rPr>
        <w:t>Judiciary Act</w:t>
      </w:r>
      <w:r w:rsidRPr="00D635C0">
        <w:rPr>
          <w:rFonts w:ascii="Times New Roman" w:hAnsi="Times New Roman"/>
        </w:rPr>
        <w:t xml:space="preserve">. </w:t>
      </w:r>
      <w:r w:rsidRPr="00D635C0">
        <w:rPr>
          <w:rFonts w:ascii="Times New Roman" w:hAnsi="Times New Roman"/>
          <w:i/>
          <w:iCs/>
        </w:rPr>
        <w:t xml:space="preserve"> </w:t>
      </w:r>
    </w:p>
    <w:p w14:paraId="39FFED83"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The fiction in s 1337P(2) does not contradict the assumption underlying the whole of Div 1 of Pt 9.6A by creating entirely new court powers for a transferee State court that the court did not previously have. Instead, it treats steps taken by the transferor court as if those, or similar, steps had been taken by the transferee court in the exercise of the powers of the transferee court. As the Court of Appeal </w:t>
      </w:r>
      <w:r w:rsidRPr="00D635C0">
        <w:rPr>
          <w:rFonts w:ascii="Times New Roman" w:hAnsi="Times New Roman"/>
        </w:rPr>
        <w:lastRenderedPageBreak/>
        <w:t>correctly explained, "[t]he evident purpose of s 1337P is to preserve steps taken in one court so they do not have to be duplicated in the transferee court".</w:t>
      </w:r>
      <w:r w:rsidRPr="00D635C0">
        <w:rPr>
          <w:rStyle w:val="FootnoteReference"/>
          <w:rFonts w:ascii="Times New Roman" w:hAnsi="Times New Roman"/>
          <w:sz w:val="24"/>
        </w:rPr>
        <w:footnoteReference w:id="67"/>
      </w:r>
      <w:r w:rsidRPr="00D635C0">
        <w:rPr>
          <w:rFonts w:ascii="Times New Roman" w:hAnsi="Times New Roman"/>
        </w:rPr>
        <w:t xml:space="preserve"> The limited role for the fiction in s 1337P(2) is also confirmed by the legislative history and context of that provision. As the applicants submitted, part of the context of s 1337P(2) is s 1337N, which relevantly provides that the transferee court ("the other court") "must proceed as if ... the proceeding had been originally instituted in the other court; and ... the same proceedings had been taken in the other court as were taken in the transferor court". This provision was modelled upon the original terms of s 41 of the </w:t>
      </w:r>
      <w:r w:rsidRPr="00D635C0">
        <w:rPr>
          <w:rFonts w:ascii="Times New Roman" w:hAnsi="Times New Roman"/>
          <w:i/>
          <w:iCs/>
        </w:rPr>
        <w:t>Judiciary Act</w:t>
      </w:r>
      <w:r w:rsidRPr="00D635C0">
        <w:rPr>
          <w:rFonts w:ascii="Times New Roman" w:hAnsi="Times New Roman"/>
        </w:rPr>
        <w:t>,</w:t>
      </w:r>
      <w:r w:rsidRPr="00D635C0">
        <w:rPr>
          <w:rFonts w:ascii="Times New Roman" w:hAnsi="Times New Roman"/>
          <w:i/>
          <w:iCs/>
        </w:rPr>
        <w:t xml:space="preserve"> </w:t>
      </w:r>
      <w:r w:rsidRPr="00D635C0">
        <w:rPr>
          <w:rFonts w:ascii="Times New Roman" w:hAnsi="Times New Roman"/>
        </w:rPr>
        <w:t xml:space="preserve">which, as the marginal note to that section provided when the </w:t>
      </w:r>
      <w:r w:rsidRPr="00D635C0">
        <w:rPr>
          <w:rFonts w:ascii="Times New Roman" w:hAnsi="Times New Roman"/>
          <w:i/>
          <w:iCs/>
        </w:rPr>
        <w:t>Judiciary Act</w:t>
      </w:r>
      <w:r w:rsidRPr="00D635C0">
        <w:rPr>
          <w:rFonts w:ascii="Times New Roman" w:hAnsi="Times New Roman"/>
        </w:rPr>
        <w:t xml:space="preserve"> was first passed, was modelled upon United States legislation,</w:t>
      </w:r>
      <w:r w:rsidRPr="00D635C0">
        <w:rPr>
          <w:rStyle w:val="FootnoteReference"/>
          <w:rFonts w:ascii="Times New Roman" w:hAnsi="Times New Roman"/>
          <w:sz w:val="24"/>
        </w:rPr>
        <w:footnoteReference w:id="68"/>
      </w:r>
      <w:r w:rsidRPr="00D635C0">
        <w:rPr>
          <w:rFonts w:ascii="Times New Roman" w:hAnsi="Times New Roman"/>
        </w:rPr>
        <w:t xml:space="preserve"> which had been held to prevent enforcement of an order of a transferor court if the "law governing the [transferee court] gave it no power to make or continue" that which had been ordered.</w:t>
      </w:r>
      <w:r w:rsidRPr="00D635C0">
        <w:rPr>
          <w:rStyle w:val="FootnoteReference"/>
          <w:rFonts w:ascii="Times New Roman" w:hAnsi="Times New Roman"/>
          <w:sz w:val="24"/>
        </w:rPr>
        <w:footnoteReference w:id="69"/>
      </w:r>
    </w:p>
    <w:p w14:paraId="2A479E52"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Consistently with the assumption underlying Div 1 of Pt 9.6A, with the evident purpose of s 1337P(2), and with the legislative history and context of s 1337P(2), s 1337P(2) assumes that there are "steps ... or similar steps" that could be taken by the transferee court. Further, since the steps taken by the transferor court must be capable of being revoked by the transferee court (the transferor court's orders being "subject to any order of the transferee court"), this interpretation also avoids the need to engage in contorted verbal gymnastics that would contrive a further implied power in s 1337P(2) for the transferee court to revoke the exercise of a power that it does not have.  </w:t>
      </w:r>
    </w:p>
    <w:p w14:paraId="18918091" w14:textId="77777777" w:rsidR="005F3888" w:rsidRPr="00D635C0" w:rsidRDefault="005F3888" w:rsidP="00D635C0">
      <w:pPr>
        <w:pStyle w:val="HeadingL1"/>
        <w:spacing w:after="260" w:line="280" w:lineRule="exact"/>
        <w:ind w:right="0"/>
        <w:jc w:val="both"/>
        <w:rPr>
          <w:rFonts w:ascii="Times New Roman" w:hAnsi="Times New Roman"/>
        </w:rPr>
      </w:pPr>
      <w:r w:rsidRPr="00D635C0">
        <w:rPr>
          <w:rFonts w:ascii="Times New Roman" w:hAnsi="Times New Roman"/>
        </w:rPr>
        <w:t xml:space="preserve">Is a transfer of the proceeding to the Supreme Court of New South Wales in the interests of justice? </w:t>
      </w:r>
      <w:r w:rsidRPr="00D635C0">
        <w:rPr>
          <w:rFonts w:ascii="Times New Roman" w:hAnsi="Times New Roman"/>
        </w:rPr>
        <w:tab/>
        <w:t xml:space="preserve">    </w:t>
      </w:r>
    </w:p>
    <w:p w14:paraId="20FDE6D0"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For the reasons above, if the proceeding were transferred from the Supreme Court of Victoria to the Supreme Court of New South Wales, the proceeding would be required to continue without the benefit of the GCO because the Supreme Court of New South Wales has no power to make, or continue in force, a GCO and is prohibited from fixing costs by reference to "contingency fees".</w:t>
      </w:r>
      <w:r w:rsidRPr="00D635C0">
        <w:rPr>
          <w:rStyle w:val="FootnoteReference"/>
          <w:rFonts w:ascii="Times New Roman" w:hAnsi="Times New Roman"/>
          <w:sz w:val="24"/>
        </w:rPr>
        <w:footnoteReference w:id="70"/>
      </w:r>
      <w:r w:rsidRPr="00D635C0">
        <w:rPr>
          <w:rFonts w:ascii="Times New Roman" w:hAnsi="Times New Roman"/>
        </w:rPr>
        <w:t xml:space="preserve"> The GCO was introduced by legislation in Victoria as "an important access to justice reform" to "promote greater access to justice", including in "class actions for silicosis, wage </w:t>
      </w:r>
      <w:r w:rsidRPr="00D635C0">
        <w:rPr>
          <w:rFonts w:ascii="Times New Roman" w:hAnsi="Times New Roman"/>
        </w:rPr>
        <w:lastRenderedPageBreak/>
        <w:t>theft and corporate wrongdoing".</w:t>
      </w:r>
      <w:r w:rsidRPr="00D635C0">
        <w:rPr>
          <w:rStyle w:val="FootnoteReference"/>
          <w:rFonts w:ascii="Times New Roman" w:hAnsi="Times New Roman"/>
          <w:sz w:val="24"/>
        </w:rPr>
        <w:footnoteReference w:id="71"/>
      </w:r>
      <w:r w:rsidRPr="00D635C0">
        <w:rPr>
          <w:rFonts w:ascii="Times New Roman" w:hAnsi="Times New Roman"/>
        </w:rPr>
        <w:t xml:space="preserve"> It follows that the effect of transfer of the proceeding would be to impair the access to justice policy initiative of the Victorian Parliament, as enacted through amendments to the </w:t>
      </w:r>
      <w:r w:rsidRPr="00D635C0">
        <w:rPr>
          <w:rFonts w:ascii="Times New Roman" w:hAnsi="Times New Roman"/>
          <w:i/>
        </w:rPr>
        <w:t xml:space="preserve">Supreme Court Act </w:t>
      </w:r>
      <w:r w:rsidRPr="00D635C0">
        <w:rPr>
          <w:rFonts w:ascii="Times New Roman" w:hAnsi="Times New Roman"/>
        </w:rPr>
        <w:t xml:space="preserve">and picked up by s 79 of the </w:t>
      </w:r>
      <w:r w:rsidRPr="00D635C0">
        <w:rPr>
          <w:rFonts w:ascii="Times New Roman" w:hAnsi="Times New Roman"/>
          <w:i/>
          <w:iCs/>
        </w:rPr>
        <w:t>Judiciary Act</w:t>
      </w:r>
      <w:r w:rsidRPr="00D635C0">
        <w:rPr>
          <w:rFonts w:ascii="Times New Roman" w:hAnsi="Times New Roman"/>
        </w:rPr>
        <w:t xml:space="preserve">.  </w:t>
      </w:r>
    </w:p>
    <w:p w14:paraId="478C6C83"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The further issues necessary to decide in this proceeding are: (</w:t>
      </w:r>
      <w:proofErr w:type="spellStart"/>
      <w:r w:rsidRPr="00D635C0">
        <w:rPr>
          <w:rFonts w:ascii="Times New Roman" w:hAnsi="Times New Roman"/>
        </w:rPr>
        <w:t>i</w:t>
      </w:r>
      <w:proofErr w:type="spellEnd"/>
      <w:r w:rsidRPr="00D635C0">
        <w:rPr>
          <w:rFonts w:ascii="Times New Roman" w:hAnsi="Times New Roman"/>
        </w:rPr>
        <w:t xml:space="preserve">) whether it is relevant to the application to transfer the proceeding that if the proceeding were transferred to the Supreme Court of New South Wales, then the proceeding would be required to continue without a GCO; and (ii) if so, the weight that such a consideration is to be given in the assessment of whether the proceeding should be transferred.  </w:t>
      </w:r>
    </w:p>
    <w:p w14:paraId="712BCB35" w14:textId="77777777" w:rsidR="005F3888" w:rsidRPr="00D635C0" w:rsidRDefault="005F3888" w:rsidP="00D635C0">
      <w:pPr>
        <w:pStyle w:val="HeadingL2"/>
        <w:spacing w:after="260" w:line="280" w:lineRule="exact"/>
        <w:ind w:right="0"/>
        <w:jc w:val="both"/>
        <w:rPr>
          <w:rFonts w:ascii="Times New Roman" w:hAnsi="Times New Roman"/>
        </w:rPr>
      </w:pPr>
      <w:r w:rsidRPr="00D635C0">
        <w:rPr>
          <w:rFonts w:ascii="Times New Roman" w:hAnsi="Times New Roman"/>
        </w:rPr>
        <w:t xml:space="preserve">The scope of the "interests of justice" </w:t>
      </w:r>
    </w:p>
    <w:p w14:paraId="381FA67E"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Section 1337H(2) of the </w:t>
      </w:r>
      <w:r w:rsidRPr="00D635C0">
        <w:rPr>
          <w:rFonts w:ascii="Times New Roman" w:hAnsi="Times New Roman"/>
          <w:i/>
          <w:iCs/>
        </w:rPr>
        <w:t xml:space="preserve">Corporations Act </w:t>
      </w:r>
      <w:r w:rsidRPr="00D635C0">
        <w:rPr>
          <w:rFonts w:ascii="Times New Roman" w:hAnsi="Times New Roman"/>
        </w:rPr>
        <w:t>relevantly provides that, subject to exceptions, "the transferor court may transfer the relevant proceeding or application to [the transferee court]" if, "having regard to the interests of justice, it is more appropriate" for the proceeding to be determined by the transferee court. The "interests of justice" is an extremely broad expression, encompassing not merely matters relevant to the fair resolution of a dispute between parties but also systemic considerations of administration of justice, such as access to justice. Given the breadth of the considerations that arise from the interests of justice, it will be a rare case where a court cannot reach a definitive conclusion in the evaluative task of determining whether the interests of justice make another court more appropriate. In practice, therefore, the "may" in s 1337H(2) will almost always be a "must".</w:t>
      </w:r>
      <w:r w:rsidRPr="00D635C0">
        <w:rPr>
          <w:rStyle w:val="FootnoteReference"/>
          <w:rFonts w:ascii="Times New Roman" w:hAnsi="Times New Roman"/>
          <w:sz w:val="24"/>
        </w:rPr>
        <w:footnoteReference w:id="72"/>
      </w:r>
      <w:r w:rsidRPr="00D635C0">
        <w:rPr>
          <w:rFonts w:ascii="Times New Roman" w:hAnsi="Times New Roman"/>
        </w:rPr>
        <w:t xml:space="preserve">  </w:t>
      </w:r>
    </w:p>
    <w:p w14:paraId="3142FB87"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In </w:t>
      </w:r>
      <w:r w:rsidRPr="00D635C0">
        <w:rPr>
          <w:rFonts w:ascii="Times New Roman" w:hAnsi="Times New Roman"/>
          <w:i/>
          <w:iCs/>
        </w:rPr>
        <w:t>BHP Billiton Ltd v Schultz</w:t>
      </w:r>
      <w:r w:rsidRPr="00D635C0">
        <w:rPr>
          <w:rFonts w:ascii="Times New Roman" w:hAnsi="Times New Roman"/>
        </w:rPr>
        <w:t>,</w:t>
      </w:r>
      <w:r w:rsidRPr="00D635C0">
        <w:rPr>
          <w:rStyle w:val="FootnoteReference"/>
          <w:rFonts w:ascii="Times New Roman" w:hAnsi="Times New Roman"/>
          <w:sz w:val="24"/>
        </w:rPr>
        <w:footnoteReference w:id="73"/>
      </w:r>
      <w:r w:rsidRPr="00D635C0">
        <w:rPr>
          <w:rFonts w:ascii="Times New Roman" w:hAnsi="Times New Roman"/>
        </w:rPr>
        <w:t xml:space="preserve"> Gleeson CJ, McHugh and Heydon JJ described considerations relevant to the "appropriateness of a forum"</w:t>
      </w:r>
      <w:r w:rsidRPr="00D635C0">
        <w:rPr>
          <w:rStyle w:val="FootnoteReference"/>
          <w:rFonts w:ascii="Times New Roman" w:hAnsi="Times New Roman"/>
          <w:sz w:val="24"/>
        </w:rPr>
        <w:footnoteReference w:id="74"/>
      </w:r>
      <w:r w:rsidRPr="00D635C0">
        <w:rPr>
          <w:rFonts w:ascii="Times New Roman" w:hAnsi="Times New Roman"/>
        </w:rPr>
        <w:t xml:space="preserve"> which fall to be considered when evaluating the "interests of justice" in s 5(2)(b)(iii) of the </w:t>
      </w:r>
      <w:r w:rsidRPr="00D635C0">
        <w:rPr>
          <w:rFonts w:ascii="Times New Roman" w:hAnsi="Times New Roman"/>
          <w:i/>
          <w:iCs/>
        </w:rPr>
        <w:t xml:space="preserve">Jurisdiction of Courts (Cross-vesting) Act 1987 </w:t>
      </w:r>
      <w:r w:rsidRPr="00D635C0">
        <w:rPr>
          <w:rFonts w:ascii="Times New Roman" w:hAnsi="Times New Roman"/>
        </w:rPr>
        <w:t>(NSW) ("the Cross-vesting</w:t>
      </w:r>
      <w:r w:rsidRPr="00D635C0">
        <w:rPr>
          <w:rFonts w:ascii="Times New Roman" w:hAnsi="Times New Roman"/>
          <w:i/>
          <w:iCs/>
        </w:rPr>
        <w:t xml:space="preserve"> </w:t>
      </w:r>
      <w:r w:rsidRPr="00D635C0">
        <w:rPr>
          <w:rFonts w:ascii="Times New Roman" w:hAnsi="Times New Roman"/>
        </w:rPr>
        <w:t>Act").</w:t>
      </w:r>
      <w:r w:rsidRPr="00D635C0">
        <w:rPr>
          <w:rStyle w:val="FootnoteReference"/>
          <w:rFonts w:ascii="Times New Roman" w:hAnsi="Times New Roman"/>
          <w:sz w:val="24"/>
        </w:rPr>
        <w:footnoteReference w:id="75"/>
      </w:r>
      <w:r w:rsidRPr="00D635C0">
        <w:rPr>
          <w:rFonts w:ascii="Times New Roman" w:hAnsi="Times New Roman"/>
        </w:rPr>
        <w:t xml:space="preserve"> Those considerations include "matters of convenience and expense, such as availability of witnesses, the places where the parties respectively reside or carry </w:t>
      </w:r>
      <w:r w:rsidRPr="00D635C0">
        <w:rPr>
          <w:rFonts w:ascii="Times New Roman" w:hAnsi="Times New Roman"/>
        </w:rPr>
        <w:lastRenderedPageBreak/>
        <w:t>on business, and the law governing the relevant transaction".</w:t>
      </w:r>
      <w:r w:rsidRPr="00D635C0">
        <w:rPr>
          <w:rStyle w:val="FootnoteReference"/>
          <w:rFonts w:ascii="Times New Roman" w:hAnsi="Times New Roman"/>
          <w:sz w:val="24"/>
        </w:rPr>
        <w:footnoteReference w:id="76"/>
      </w:r>
      <w:r w:rsidRPr="00D635C0">
        <w:rPr>
          <w:rFonts w:ascii="Times New Roman" w:hAnsi="Times New Roman"/>
        </w:rPr>
        <w:t xml:space="preserve"> The expression "interests of justice" was used in the Cross-vesting Act</w:t>
      </w:r>
      <w:r w:rsidRPr="00D635C0">
        <w:rPr>
          <w:rFonts w:ascii="Times New Roman" w:hAnsi="Times New Roman"/>
          <w:i/>
          <w:iCs/>
        </w:rPr>
        <w:t xml:space="preserve"> </w:t>
      </w:r>
      <w:r w:rsidRPr="00D635C0">
        <w:rPr>
          <w:rFonts w:ascii="Times New Roman" w:hAnsi="Times New Roman"/>
        </w:rPr>
        <w:t>in a broad sense which was plainly intended to encompass such considerations of convenience and expense.</w:t>
      </w:r>
      <w:r w:rsidRPr="00D635C0">
        <w:rPr>
          <w:rStyle w:val="FootnoteReference"/>
          <w:rFonts w:ascii="Times New Roman" w:hAnsi="Times New Roman"/>
          <w:sz w:val="24"/>
        </w:rPr>
        <w:footnoteReference w:id="77"/>
      </w:r>
      <w:r w:rsidRPr="00D635C0">
        <w:rPr>
          <w:rFonts w:ascii="Times New Roman" w:hAnsi="Times New Roman"/>
        </w:rPr>
        <w:t xml:space="preserve"> </w:t>
      </w:r>
    </w:p>
    <w:p w14:paraId="71B83604"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As with s 5 of the Cross-vesting Act, the evaluation required by s 1337H(2) of the </w:t>
      </w:r>
      <w:r w:rsidRPr="00D635C0">
        <w:rPr>
          <w:rFonts w:ascii="Times New Roman" w:hAnsi="Times New Roman"/>
          <w:i/>
          <w:iCs/>
        </w:rPr>
        <w:t>Corporations Act</w:t>
      </w:r>
      <w:r w:rsidRPr="00D635C0">
        <w:rPr>
          <w:rFonts w:ascii="Times New Roman" w:hAnsi="Times New Roman"/>
        </w:rPr>
        <w:t xml:space="preserve"> of whether a transfer of a proceeding is "more appropriate", having regard to the "interests of justice", is plainly wide enough to accommodate such considerations of convenience and expense. These are matters which are almost universally considered by courts when issuing rules of court in attempts to progressively develop the interests of justice. At one extreme, considerations including convenience and expense which present only minor impediments or obstacles to access to justice will generally have only a marginal impact on the consideration of appropriateness of the forum. At the other extreme, considerations of great inconvenience might demonstrate an absence of access to justice itself. An example given by Gleeson CJ, McHugh and Heydon JJ in </w:t>
      </w:r>
      <w:r w:rsidRPr="00D635C0">
        <w:rPr>
          <w:rFonts w:ascii="Times New Roman" w:hAnsi="Times New Roman"/>
          <w:i/>
          <w:iCs/>
        </w:rPr>
        <w:t>BHP Billiton Ltd v Schultz</w:t>
      </w:r>
      <w:r w:rsidRPr="00D635C0">
        <w:rPr>
          <w:rStyle w:val="FootnoteReference"/>
          <w:rFonts w:ascii="Times New Roman" w:hAnsi="Times New Roman"/>
          <w:sz w:val="24"/>
        </w:rPr>
        <w:footnoteReference w:id="78"/>
      </w:r>
      <w:r w:rsidRPr="00D635C0">
        <w:rPr>
          <w:rFonts w:ascii="Times New Roman" w:hAnsi="Times New Roman"/>
          <w:i/>
          <w:iCs/>
        </w:rPr>
        <w:t xml:space="preserve"> </w:t>
      </w:r>
      <w:r w:rsidRPr="00D635C0">
        <w:rPr>
          <w:rFonts w:ascii="Times New Roman" w:hAnsi="Times New Roman"/>
        </w:rPr>
        <w:t xml:space="preserve">as being "at the other extreme" is where "a plaintiff is near death, and has a much stronger prospect of an early hearing in one court than in another".    </w:t>
      </w:r>
      <w:r w:rsidRPr="00D635C0">
        <w:rPr>
          <w:rFonts w:ascii="Times New Roman" w:hAnsi="Times New Roman"/>
          <w:i/>
          <w:iCs/>
        </w:rPr>
        <w:t xml:space="preserve"> </w:t>
      </w:r>
    </w:p>
    <w:p w14:paraId="42FD3EB3"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For this reason, and contrary to KPMG's enthusiastic submissions that the GCO is "utterly irrelevant", not only is the GCO relevant but, in this case, it is the most important and fundamental connecting factor in "the interests of justice". The statement of agreed facts in this proceeding, based upon findings by Dixon J,</w:t>
      </w:r>
      <w:r w:rsidRPr="00D635C0">
        <w:rPr>
          <w:rStyle w:val="FootnoteReference"/>
          <w:rFonts w:ascii="Times New Roman" w:hAnsi="Times New Roman"/>
          <w:sz w:val="24"/>
        </w:rPr>
        <w:footnoteReference w:id="79"/>
      </w:r>
      <w:r w:rsidRPr="00D635C0">
        <w:rPr>
          <w:rFonts w:ascii="Times New Roman" w:hAnsi="Times New Roman"/>
        </w:rPr>
        <w:t xml:space="preserve"> records the "probability" that in the absence of a GCO the proceeding will not be funded, with the consequence that the applicants will be unable to continue with the proceeding and that "[j]</w:t>
      </w:r>
      <w:proofErr w:type="spellStart"/>
      <w:r w:rsidRPr="00D635C0">
        <w:rPr>
          <w:rFonts w:ascii="Times New Roman" w:hAnsi="Times New Roman"/>
        </w:rPr>
        <w:t>ustice</w:t>
      </w:r>
      <w:proofErr w:type="spellEnd"/>
      <w:r w:rsidRPr="00D635C0">
        <w:rPr>
          <w:rFonts w:ascii="Times New Roman" w:hAnsi="Times New Roman"/>
        </w:rPr>
        <w:t xml:space="preserve"> cannot be done in the proceeding". The likely inability of the applicants to access justice without a GCO is a fortiori an "extreme" example akin to that of the plaintiff who is near death and has a much stronger prospect of an early hearing in the court to which the transfer is proposed.</w:t>
      </w:r>
      <w:r w:rsidRPr="00D635C0">
        <w:rPr>
          <w:rStyle w:val="FootnoteReference"/>
          <w:rFonts w:ascii="Times New Roman" w:hAnsi="Times New Roman"/>
          <w:sz w:val="24"/>
        </w:rPr>
        <w:footnoteReference w:id="80"/>
      </w:r>
      <w:r w:rsidRPr="00D635C0">
        <w:rPr>
          <w:rFonts w:ascii="Times New Roman" w:hAnsi="Times New Roman"/>
        </w:rPr>
        <w:t xml:space="preserve"> </w:t>
      </w:r>
    </w:p>
    <w:p w14:paraId="085B2DA0"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lastRenderedPageBreak/>
        <w:tab/>
        <w:t xml:space="preserve">Despite the submissions of KPMG and the Directors, there is nothing in the decision of this Court in </w:t>
      </w:r>
      <w:r w:rsidRPr="00D635C0">
        <w:rPr>
          <w:rFonts w:ascii="Times New Roman" w:hAnsi="Times New Roman"/>
          <w:i/>
          <w:iCs/>
        </w:rPr>
        <w:t>BHP Billiton Ltd v Schultz</w:t>
      </w:r>
      <w:r w:rsidRPr="00D635C0">
        <w:rPr>
          <w:rStyle w:val="FootnoteReference"/>
          <w:rFonts w:ascii="Times New Roman" w:hAnsi="Times New Roman"/>
          <w:sz w:val="24"/>
        </w:rPr>
        <w:footnoteReference w:id="81"/>
      </w:r>
      <w:r w:rsidRPr="00D635C0">
        <w:rPr>
          <w:rFonts w:ascii="Times New Roman" w:hAnsi="Times New Roman"/>
          <w:i/>
          <w:iCs/>
        </w:rPr>
        <w:t xml:space="preserve"> </w:t>
      </w:r>
      <w:r w:rsidRPr="00D635C0">
        <w:rPr>
          <w:rFonts w:ascii="Times New Roman" w:hAnsi="Times New Roman"/>
        </w:rPr>
        <w:t>that suggests the contrary. That case concerned a claim for wrongdoing brought in the Dust Diseases Tribunal of New South Wales, against BHP Billiton Ltd, by Mr Schultz, who was a resident of South Australia. The place of the wrongdoing was South Australia (and thus the lex loci delicti was the law of South Australia) and the prospective witnesses generally resided in South Australia, but the civil procedure in New South Wales was more generous for Mr Schultz. This Court held that the Supreme Court of New South Wales erred in concluding that it was not in the "interests of justice" to transfer the proceeding to the Supreme Court of South Australia under s 5(2)(b)(iii) of the Cross-vesting Act.</w:t>
      </w:r>
      <w:r w:rsidRPr="00D635C0">
        <w:rPr>
          <w:rStyle w:val="FootnoteReference"/>
          <w:rFonts w:ascii="Times New Roman" w:hAnsi="Times New Roman"/>
          <w:sz w:val="24"/>
        </w:rPr>
        <w:footnoteReference w:id="82"/>
      </w:r>
    </w:p>
    <w:p w14:paraId="2CF20960"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The reasoning in </w:t>
      </w:r>
      <w:r w:rsidRPr="00D635C0">
        <w:rPr>
          <w:rFonts w:ascii="Times New Roman" w:hAnsi="Times New Roman"/>
          <w:i/>
          <w:iCs/>
        </w:rPr>
        <w:t xml:space="preserve">BHP Billiton Ltd v Schultz </w:t>
      </w:r>
      <w:r w:rsidRPr="00D635C0">
        <w:rPr>
          <w:rFonts w:ascii="Times New Roman" w:hAnsi="Times New Roman"/>
        </w:rPr>
        <w:t xml:space="preserve">concerning the "interests of justice" criterion in an application for transfer of proceedings under s 5(2)(b)(iii) of the Cross-vesting Act is equally applicable to the same criterion in s 1337H(2) of the </w:t>
      </w:r>
      <w:r w:rsidRPr="00D635C0">
        <w:rPr>
          <w:rFonts w:ascii="Times New Roman" w:hAnsi="Times New Roman"/>
          <w:i/>
          <w:iCs/>
        </w:rPr>
        <w:t>Corporations Act</w:t>
      </w:r>
      <w:r w:rsidRPr="00D635C0">
        <w:rPr>
          <w:rFonts w:ascii="Times New Roman" w:hAnsi="Times New Roman"/>
        </w:rPr>
        <w:t xml:space="preserve">. There are some differences in purpose, context, and expression between the two provisions. It is possible that in marginal cases these differences might lead to a different conclusion about whether a transfer is in the interests of justice. But the differences do not alter the considerations that are relevant to the central notion of the "interests of justice" in the transfer of proceedings. In other words, the different contexts in which the interests of justice are assessed might affect the weight to be given to different considerations of justice but justice itself is not an empty vessel waiting to be filled by judicial divination of its interests based upon statutory context and purpose.     </w:t>
      </w:r>
    </w:p>
    <w:p w14:paraId="5C5E6ED5"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KPMG and the Directors thus relied heavily upon the reasoning of this Court in </w:t>
      </w:r>
      <w:r w:rsidRPr="00D635C0">
        <w:rPr>
          <w:rFonts w:ascii="Times New Roman" w:hAnsi="Times New Roman"/>
          <w:i/>
          <w:iCs/>
        </w:rPr>
        <w:t>BHP Billiton Ltd v Schultz</w:t>
      </w:r>
      <w:r w:rsidRPr="00D635C0">
        <w:rPr>
          <w:rStyle w:val="FootnoteReference"/>
          <w:rFonts w:ascii="Times New Roman" w:hAnsi="Times New Roman"/>
          <w:sz w:val="24"/>
        </w:rPr>
        <w:footnoteReference w:id="83"/>
      </w:r>
      <w:r w:rsidRPr="00D635C0">
        <w:rPr>
          <w:rFonts w:ascii="Times New Roman" w:hAnsi="Times New Roman"/>
        </w:rPr>
        <w:t xml:space="preserve"> that the Supreme Court of New South Wales had erred in reasoning that in assessing the "interests of justice", a plaintiff's choice is not lightly to be overridden. In their dissenting reasons (although not on this point), in a passage relied upon by KPMG and the Directors, Gleeson CJ, McHugh and Heydon JJ said:</w:t>
      </w:r>
      <w:r w:rsidRPr="00D635C0">
        <w:rPr>
          <w:rStyle w:val="FootnoteReference"/>
          <w:rFonts w:ascii="Times New Roman" w:hAnsi="Times New Roman"/>
          <w:sz w:val="24"/>
        </w:rPr>
        <w:footnoteReference w:id="84"/>
      </w:r>
    </w:p>
    <w:p w14:paraId="2DCEBBBE" w14:textId="77777777" w:rsidR="005F3888" w:rsidRDefault="005F3888" w:rsidP="00D635C0">
      <w:pPr>
        <w:pStyle w:val="LeftrightafterHC"/>
        <w:spacing w:before="0" w:after="260" w:line="280" w:lineRule="exact"/>
        <w:ind w:right="0"/>
        <w:jc w:val="both"/>
        <w:rPr>
          <w:rFonts w:ascii="Times New Roman" w:hAnsi="Times New Roman"/>
        </w:rPr>
      </w:pPr>
      <w:r w:rsidRPr="00D635C0">
        <w:rPr>
          <w:rFonts w:ascii="Times New Roman" w:hAnsi="Times New Roman"/>
        </w:rPr>
        <w:t xml:space="preserve">"If, in a particular respect, the first respondent's assumed advantage and the appellant's assumed disadvantage are commensurate, the one simply being the converse of the other, then that does not advance the matter. The scales are inappropriately weighted in favour of a plaintiff if a possibility of what </w:t>
      </w:r>
      <w:r w:rsidRPr="00D635C0">
        <w:rPr>
          <w:rFonts w:ascii="Times New Roman" w:hAnsi="Times New Roman"/>
        </w:rPr>
        <w:lastRenderedPageBreak/>
        <w:t>might ultimately turn out to be a higher total award of damages is treated as a consideration of justice which argues against transfer and if, in addition, the plaintiff's choice of venue is treated as a matter not lightly to be overridden ... [T]he problem would be compounded if a judge were to become involved in comparing the respective merits of New South Wales and South Australian legislation. From whose point of view would those merits be judged? How could a judge form a preference between the public policy reflected in an Act of the Parliament of New South Wales and the public policy reflected in an Act of the Parliament of South Australia? If it came to that point, the appropriate course would be for the judge to draw back, and to consider the interests of justice by reference to more neutral factors."</w:t>
      </w:r>
    </w:p>
    <w:p w14:paraId="6F05441C"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The point being made by their Honours in this passage was the same as that made separately by Gummow J, who pointed out that the "interests of justice" are "even-handed",</w:t>
      </w:r>
      <w:r w:rsidRPr="00D635C0">
        <w:rPr>
          <w:rStyle w:val="FootnoteReference"/>
          <w:rFonts w:ascii="Times New Roman" w:hAnsi="Times New Roman"/>
          <w:sz w:val="24"/>
        </w:rPr>
        <w:footnoteReference w:id="85"/>
      </w:r>
      <w:r w:rsidRPr="00D635C0">
        <w:rPr>
          <w:rFonts w:ascii="Times New Roman" w:hAnsi="Times New Roman"/>
        </w:rPr>
        <w:t xml:space="preserve"> and Callinan J, who described the role of courts as doing "equal justice".</w:t>
      </w:r>
      <w:r w:rsidRPr="00D635C0">
        <w:rPr>
          <w:rStyle w:val="FootnoteReference"/>
          <w:rFonts w:ascii="Times New Roman" w:hAnsi="Times New Roman"/>
          <w:sz w:val="24"/>
        </w:rPr>
        <w:footnoteReference w:id="86"/>
      </w:r>
      <w:r w:rsidRPr="00D635C0">
        <w:rPr>
          <w:rFonts w:ascii="Times New Roman" w:hAnsi="Times New Roman"/>
        </w:rPr>
        <w:t xml:space="preserve"> A consideration of the interests of justice does not ordinarily include giving any weight to the preference of a plaintiff for one forum over another, as "an advantage to the plaintiff [arising from the plaintiff's choice of forum] will ordinarily give rise to a comparable disadvantage to the defendant", but subject always to the proviso "that the court is satisfied that substantial justice will be done in the available appropriate forum".</w:t>
      </w:r>
      <w:r w:rsidRPr="00D635C0">
        <w:rPr>
          <w:rStyle w:val="FootnoteReference"/>
          <w:rFonts w:ascii="Times New Roman" w:hAnsi="Times New Roman"/>
          <w:sz w:val="24"/>
        </w:rPr>
        <w:footnoteReference w:id="87"/>
      </w:r>
      <w:r w:rsidRPr="00D635C0">
        <w:rPr>
          <w:rFonts w:ascii="Times New Roman" w:hAnsi="Times New Roman"/>
        </w:rPr>
        <w:t xml:space="preserve"> </w:t>
      </w:r>
    </w:p>
    <w:p w14:paraId="3812C914"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In short, the treatment by KPMG of the "interests of justice" as excluding access to justice involves fundamental error. It confuses the need for judicial even-handedness in the adjudication of the rights and interests of parties with the ability of the parties to access those rights and interests. A defendant has no more a "legitimate interest in not wanting to be sued" by way of a plaintiff's recourse to access to justice provisions, to use KPMG's expression, than a defendant has a legitimate interest in denying another person access to justice by relying upon "certain arbitrary factors—such as class, race, gender, and wealth" to "play a distorting role in determining whether justice is done".</w:t>
      </w:r>
      <w:r w:rsidRPr="00D635C0">
        <w:rPr>
          <w:rStyle w:val="FootnoteReference"/>
          <w:rFonts w:ascii="Times New Roman" w:hAnsi="Times New Roman"/>
          <w:sz w:val="24"/>
        </w:rPr>
        <w:footnoteReference w:id="88"/>
      </w:r>
    </w:p>
    <w:p w14:paraId="43B8D51D"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This conclusion might also be thought sufficient to dispose of KPMG's cart-before-the-horse argument that the Supreme Court of Victoria should have determined the transfer application before it determined the application for a GCO. But that submission is not open to be made in any event. KPMG did not seek leave </w:t>
      </w:r>
      <w:r w:rsidRPr="00D635C0">
        <w:rPr>
          <w:rFonts w:ascii="Times New Roman" w:hAnsi="Times New Roman"/>
        </w:rPr>
        <w:lastRenderedPageBreak/>
        <w:t xml:space="preserve">to appeal from the procedural decision that the application for a GCO should be determined before the application for transfer of the proceeding. That decision stands unchallenged. The analogy sought to be drawn by KPMG between a permissible "complain[t]" about an interlocutory order in an appeal from a final order and the challenge to the procedural order that KPMG makes before this Court is yet another example of subverting the command of the Commonwealth Parliament that there be no appeal from a decision of a court in relation to a transfer of a proceeding, by the institution of proceedings in the original jurisdiction of this Court.  </w:t>
      </w:r>
    </w:p>
    <w:p w14:paraId="24D49300" w14:textId="77777777" w:rsidR="005F3888" w:rsidRPr="00D635C0" w:rsidRDefault="005F3888" w:rsidP="00D635C0">
      <w:pPr>
        <w:pStyle w:val="HeadingL2"/>
        <w:spacing w:after="260" w:line="280" w:lineRule="exact"/>
        <w:ind w:right="0"/>
        <w:jc w:val="both"/>
        <w:rPr>
          <w:rFonts w:ascii="Times New Roman" w:hAnsi="Times New Roman"/>
        </w:rPr>
      </w:pPr>
      <w:r w:rsidRPr="00D635C0">
        <w:rPr>
          <w:rFonts w:ascii="Times New Roman" w:hAnsi="Times New Roman"/>
        </w:rPr>
        <w:t xml:space="preserve">Access to justice and other factors </w:t>
      </w:r>
    </w:p>
    <w:p w14:paraId="0A183C32"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Section 1337L of the </w:t>
      </w:r>
      <w:r w:rsidRPr="00D635C0">
        <w:rPr>
          <w:rFonts w:ascii="Times New Roman" w:hAnsi="Times New Roman"/>
          <w:i/>
          <w:iCs/>
        </w:rPr>
        <w:t xml:space="preserve">Corporations Act </w:t>
      </w:r>
      <w:r w:rsidRPr="00D635C0">
        <w:rPr>
          <w:rFonts w:ascii="Times New Roman" w:hAnsi="Times New Roman"/>
        </w:rPr>
        <w:t xml:space="preserve">provides for three non-exhaustive factors to which a court must have regard when deciding whether to transfer a proceeding under s 1337H: "(a) the principal place of business of </w:t>
      </w:r>
      <w:proofErr w:type="spellStart"/>
      <w:r w:rsidRPr="00D635C0">
        <w:rPr>
          <w:rFonts w:ascii="Times New Roman" w:hAnsi="Times New Roman"/>
        </w:rPr>
        <w:t>any body</w:t>
      </w:r>
      <w:proofErr w:type="spellEnd"/>
      <w:r w:rsidRPr="00D635C0">
        <w:rPr>
          <w:rFonts w:ascii="Times New Roman" w:hAnsi="Times New Roman"/>
        </w:rPr>
        <w:t xml:space="preserve"> corporate concerned in the proceeding or application; and (b) the place or places where the events that are the subject of the proceeding or application took place; and (c) the other courts that have jurisdiction to deal with the proceeding or application." The third mandatory factor includes consideration of the powers of the transferee court relating to access to justice, since the expression "jurisdiction to deal with" does not merely refer (redundantly) to the authority to decide but includes the powers that can be exercised by the transferee court in exercising that authority, thus echoing the reference in s 1337P(2) to the transferee court "deal[</w:t>
      </w:r>
      <w:proofErr w:type="spellStart"/>
      <w:r w:rsidRPr="00D635C0">
        <w:rPr>
          <w:rFonts w:ascii="Times New Roman" w:hAnsi="Times New Roman"/>
        </w:rPr>
        <w:t>ing</w:t>
      </w:r>
      <w:proofErr w:type="spellEnd"/>
      <w:r w:rsidRPr="00D635C0">
        <w:rPr>
          <w:rFonts w:ascii="Times New Roman" w:hAnsi="Times New Roman"/>
        </w:rPr>
        <w:t xml:space="preserve">] with the proceeding".  </w:t>
      </w:r>
    </w:p>
    <w:p w14:paraId="5ECA11CB"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KPMG and the Directors focused heavily upon factors (a) and (b) and matters related to those factors. They submitted that those factors favoured the Supreme Court of New South Wales as the more appropriate forum for the proceeding. For instance, the company about which the proceeding relates had its principal place of business in Sydney, with various officers, including its Chief Financial Officer and Company Secretary, based in Sydney and its "relevant" company meetings held in Sydney. The relevant KPMG partners and team were based in Sydney and continue to reside there. The liquidators of the company, and the company books and records, are located in Sydney. More group members (who have signed a retainer with the applicants' legal representatives) are located in New South Wales than in any other location. Two related proceedings have been decided in the Supreme Court of New South Wales. The litigation funding agreement has a choice of law clause nominating the law of New South Wales as the governing law. </w:t>
      </w:r>
    </w:p>
    <w:p w14:paraId="09198B77"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The connecting factors to which KPMG and the Directors referred might, by themselves, support a conclusion that New South Wales is the more appropriate forum. However, the applicants did also point out that there are connecting factors with Victoria, including: (</w:t>
      </w:r>
      <w:proofErr w:type="spellStart"/>
      <w:r w:rsidRPr="00D635C0">
        <w:rPr>
          <w:rFonts w:ascii="Times New Roman" w:hAnsi="Times New Roman"/>
        </w:rPr>
        <w:t>i</w:t>
      </w:r>
      <w:proofErr w:type="spellEnd"/>
      <w:r w:rsidRPr="00D635C0">
        <w:rPr>
          <w:rFonts w:ascii="Times New Roman" w:hAnsi="Times New Roman"/>
        </w:rPr>
        <w:t xml:space="preserve">) almost a quarter of the group members who have signed a retainer with the applicants' legal representatives residing in Victoria; (ii) two of the Directors residing in Victoria; (iii) KPMG having offices in </w:t>
      </w:r>
      <w:r w:rsidRPr="00D635C0">
        <w:rPr>
          <w:rFonts w:ascii="Times New Roman" w:hAnsi="Times New Roman"/>
        </w:rPr>
        <w:lastRenderedPageBreak/>
        <w:t xml:space="preserve">Melbourne; and (iv) KPMG and the Directors being represented by law firms with offices in Melbourne and by Victorian counsel.  </w:t>
      </w:r>
    </w:p>
    <w:p w14:paraId="34080B3B"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Nevertheless, the factors in the assessment of the interests of justice which were relied upon by KPMG and the Directors do not outweigh the countervailing factor of the absence of the GCO continuing in force, or being enforceable, in the Supreme Court of New South Wales. Rather, those factors pale into insignificance in comparison. The absence of the GCO assumes fundamental importance in a case such as this where that absence would probably mean the denial of access to justice to the applicants and to the group that they represent. </w:t>
      </w:r>
    </w:p>
    <w:p w14:paraId="33A39659"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 xml:space="preserve">In </w:t>
      </w:r>
      <w:proofErr w:type="spellStart"/>
      <w:r w:rsidRPr="00D635C0">
        <w:rPr>
          <w:rFonts w:ascii="Times New Roman" w:hAnsi="Times New Roman"/>
          <w:i/>
          <w:iCs/>
        </w:rPr>
        <w:t>Lungowe</w:t>
      </w:r>
      <w:proofErr w:type="spellEnd"/>
      <w:r w:rsidRPr="00D635C0">
        <w:rPr>
          <w:rFonts w:ascii="Times New Roman" w:hAnsi="Times New Roman"/>
          <w:i/>
          <w:iCs/>
        </w:rPr>
        <w:t xml:space="preserve"> v Vedanta Resources plc (International Commission of Jurists intervening)</w:t>
      </w:r>
      <w:r w:rsidRPr="00D635C0">
        <w:rPr>
          <w:rFonts w:ascii="Times New Roman" w:hAnsi="Times New Roman"/>
        </w:rPr>
        <w:t>,</w:t>
      </w:r>
      <w:r w:rsidRPr="00D635C0">
        <w:rPr>
          <w:rStyle w:val="FootnoteReference"/>
          <w:rFonts w:ascii="Times New Roman" w:hAnsi="Times New Roman"/>
          <w:sz w:val="24"/>
        </w:rPr>
        <w:footnoteReference w:id="89"/>
      </w:r>
      <w:r w:rsidRPr="00D635C0">
        <w:rPr>
          <w:rFonts w:ascii="Times New Roman" w:hAnsi="Times New Roman"/>
        </w:rPr>
        <w:t xml:space="preserve"> Lord Briggs said that "[</w:t>
      </w:r>
      <w:proofErr w:type="spellStart"/>
      <w:r w:rsidRPr="00D635C0">
        <w:rPr>
          <w:rFonts w:ascii="Times New Roman" w:hAnsi="Times New Roman"/>
        </w:rPr>
        <w:t>i</w:t>
      </w:r>
      <w:proofErr w:type="spellEnd"/>
      <w:r w:rsidRPr="00D635C0">
        <w:rPr>
          <w:rFonts w:ascii="Times New Roman" w:hAnsi="Times New Roman"/>
        </w:rPr>
        <w:t xml:space="preserve">]f there is a real risk of the denial of substantial justice in a particular jurisdiction, then it seems to me obvious that it is unlikely to be a forum in which the case can be tried most suitably for the interests of the parties and the ends of justice". The obvious likelihood to which Lord Briggs referred becomes a near certainty that the jurisdiction will be a less appropriate forum where the denial of substantial justice is not merely a risk but a probable outcome.     </w:t>
      </w:r>
      <w:r w:rsidRPr="00D635C0">
        <w:rPr>
          <w:rFonts w:ascii="Times New Roman" w:hAnsi="Times New Roman"/>
          <w:i/>
          <w:iCs/>
        </w:rPr>
        <w:t xml:space="preserve"> </w:t>
      </w:r>
    </w:p>
    <w:p w14:paraId="25CBABDA" w14:textId="77777777" w:rsidR="005F3888" w:rsidRPr="00D635C0" w:rsidRDefault="005F3888" w:rsidP="00D635C0">
      <w:pPr>
        <w:pStyle w:val="HeadingL1"/>
        <w:spacing w:after="260" w:line="280" w:lineRule="exact"/>
        <w:ind w:right="0"/>
        <w:jc w:val="both"/>
        <w:rPr>
          <w:rFonts w:ascii="Times New Roman" w:hAnsi="Times New Roman"/>
        </w:rPr>
      </w:pPr>
      <w:r w:rsidRPr="00D635C0">
        <w:rPr>
          <w:rFonts w:ascii="Times New Roman" w:hAnsi="Times New Roman"/>
        </w:rPr>
        <w:t>Conclusion</w:t>
      </w:r>
    </w:p>
    <w:p w14:paraId="118C83AB" w14:textId="77777777" w:rsidR="005F3888" w:rsidRPr="00D635C0" w:rsidRDefault="005F3888" w:rsidP="00D635C0">
      <w:pPr>
        <w:pStyle w:val="HeadingL2"/>
        <w:spacing w:after="260" w:line="280" w:lineRule="exact"/>
        <w:ind w:right="0"/>
        <w:jc w:val="both"/>
        <w:rPr>
          <w:rFonts w:ascii="Times New Roman" w:hAnsi="Times New Roman"/>
        </w:rPr>
      </w:pPr>
      <w:r w:rsidRPr="00D635C0">
        <w:rPr>
          <w:rFonts w:ascii="Times New Roman" w:hAnsi="Times New Roman"/>
        </w:rPr>
        <w:t>Answers to questions</w:t>
      </w:r>
    </w:p>
    <w:p w14:paraId="56A3F6CF" w14:textId="77777777" w:rsidR="005F3888" w:rsidRPr="00D635C0" w:rsidRDefault="005F3888" w:rsidP="00D635C0">
      <w:pPr>
        <w:pStyle w:val="FixListStyle"/>
        <w:spacing w:after="260" w:line="280" w:lineRule="exact"/>
        <w:ind w:right="0"/>
        <w:jc w:val="both"/>
        <w:rPr>
          <w:rFonts w:ascii="Times New Roman" w:hAnsi="Times New Roman"/>
        </w:rPr>
      </w:pPr>
      <w:r w:rsidRPr="00D635C0">
        <w:rPr>
          <w:rFonts w:ascii="Times New Roman" w:hAnsi="Times New Roman"/>
        </w:rPr>
        <w:tab/>
        <w:t>The Court of Appeal was correct in the answers it gave to the questions before it. Those questions should be answered in the original jurisdiction of this Court in the same way, as follows:</w:t>
      </w:r>
    </w:p>
    <w:p w14:paraId="6B404C2C" w14:textId="77777777" w:rsidR="005F3888" w:rsidRPr="00D635C0" w:rsidRDefault="005F3888" w:rsidP="00D635C0">
      <w:pPr>
        <w:pStyle w:val="LeftrightafterHC"/>
        <w:keepNext/>
        <w:spacing w:before="0" w:after="260" w:line="280" w:lineRule="exact"/>
        <w:ind w:right="0"/>
        <w:jc w:val="both"/>
        <w:rPr>
          <w:rFonts w:ascii="Times New Roman" w:hAnsi="Times New Roman"/>
          <w:b/>
          <w:bCs/>
        </w:rPr>
      </w:pPr>
      <w:r w:rsidRPr="00D635C0">
        <w:rPr>
          <w:rFonts w:ascii="Times New Roman" w:hAnsi="Times New Roman"/>
          <w:b/>
          <w:bCs/>
        </w:rPr>
        <w:t>Question 1</w:t>
      </w:r>
    </w:p>
    <w:p w14:paraId="1CB7202F" w14:textId="77777777" w:rsidR="005F3888" w:rsidRPr="00D635C0" w:rsidRDefault="005F3888" w:rsidP="00D635C0">
      <w:pPr>
        <w:pStyle w:val="LeftrightafterHC"/>
        <w:keepNext/>
        <w:spacing w:before="0" w:after="260" w:line="280" w:lineRule="exact"/>
        <w:ind w:right="0"/>
        <w:jc w:val="both"/>
        <w:rPr>
          <w:rFonts w:ascii="Times New Roman" w:hAnsi="Times New Roman"/>
        </w:rPr>
      </w:pPr>
      <w:r w:rsidRPr="00D635C0">
        <w:rPr>
          <w:rFonts w:ascii="Times New Roman" w:hAnsi="Times New Roman"/>
        </w:rPr>
        <w:t xml:space="preserve">In exercising the discretion to transfer proceedings to another court under s 1337H(2) of the </w:t>
      </w:r>
      <w:r w:rsidRPr="00D635C0">
        <w:rPr>
          <w:rFonts w:ascii="Times New Roman" w:hAnsi="Times New Roman"/>
          <w:i/>
          <w:iCs/>
        </w:rPr>
        <w:t xml:space="preserve">Corporations Act 2001 </w:t>
      </w:r>
      <w:r w:rsidRPr="00D635C0">
        <w:rPr>
          <w:rFonts w:ascii="Times New Roman" w:hAnsi="Times New Roman"/>
        </w:rPr>
        <w:t xml:space="preserve">(Cth), is the fact that the Supreme Court of Victoria has made a group costs order under s 33ZDA of the </w:t>
      </w:r>
      <w:r w:rsidRPr="00D635C0">
        <w:rPr>
          <w:rFonts w:ascii="Times New Roman" w:hAnsi="Times New Roman"/>
          <w:i/>
          <w:iCs/>
        </w:rPr>
        <w:t>Supreme Court Act 1986</w:t>
      </w:r>
      <w:r w:rsidRPr="00D635C0">
        <w:rPr>
          <w:rFonts w:ascii="Times New Roman" w:hAnsi="Times New Roman"/>
        </w:rPr>
        <w:t xml:space="preserve"> (Vic) relevant?</w:t>
      </w:r>
    </w:p>
    <w:p w14:paraId="385A69A4" w14:textId="77777777" w:rsidR="005F3888" w:rsidRPr="00D635C0" w:rsidRDefault="005F3888" w:rsidP="00D635C0">
      <w:pPr>
        <w:pStyle w:val="leftright"/>
        <w:spacing w:before="0" w:after="260" w:line="280" w:lineRule="exact"/>
        <w:ind w:right="0"/>
        <w:jc w:val="both"/>
        <w:rPr>
          <w:rFonts w:ascii="Times New Roman" w:hAnsi="Times New Roman"/>
          <w:b/>
          <w:bCs/>
        </w:rPr>
      </w:pPr>
      <w:r w:rsidRPr="00D635C0">
        <w:rPr>
          <w:rFonts w:ascii="Times New Roman" w:hAnsi="Times New Roman"/>
          <w:b/>
          <w:bCs/>
        </w:rPr>
        <w:t>Answer: Yes.</w:t>
      </w:r>
    </w:p>
    <w:p w14:paraId="7F9385C0" w14:textId="77777777" w:rsidR="005F3888" w:rsidRPr="00D635C0" w:rsidRDefault="005F3888" w:rsidP="00D635C0">
      <w:pPr>
        <w:pStyle w:val="LeftrightafterHC"/>
        <w:spacing w:before="0" w:after="260" w:line="280" w:lineRule="exact"/>
        <w:ind w:right="0"/>
        <w:jc w:val="both"/>
        <w:rPr>
          <w:rFonts w:ascii="Times New Roman" w:hAnsi="Times New Roman"/>
          <w:b/>
          <w:bCs/>
        </w:rPr>
      </w:pPr>
      <w:r w:rsidRPr="00D635C0">
        <w:rPr>
          <w:rFonts w:ascii="Times New Roman" w:hAnsi="Times New Roman"/>
          <w:b/>
          <w:bCs/>
        </w:rPr>
        <w:t>Question 2</w:t>
      </w:r>
    </w:p>
    <w:p w14:paraId="597F1A66" w14:textId="77777777" w:rsidR="005F3888" w:rsidRPr="00D635C0" w:rsidRDefault="005F3888" w:rsidP="00D635C0">
      <w:pPr>
        <w:pStyle w:val="LeftrightafterHC"/>
        <w:spacing w:before="0" w:after="260" w:line="280" w:lineRule="exact"/>
        <w:ind w:right="0"/>
        <w:jc w:val="both"/>
        <w:rPr>
          <w:rFonts w:ascii="Times New Roman" w:hAnsi="Times New Roman"/>
        </w:rPr>
      </w:pPr>
      <w:r w:rsidRPr="00D635C0">
        <w:rPr>
          <w:rFonts w:ascii="Times New Roman" w:hAnsi="Times New Roman"/>
        </w:rPr>
        <w:t>If the proceeding[] [in the Supreme Court of Victoria (S ECI 2020 03281)] [is] transferred to the Supreme Court of New South Wales:</w:t>
      </w:r>
    </w:p>
    <w:p w14:paraId="7C249A6F" w14:textId="77777777" w:rsidR="005F3888" w:rsidRPr="00D635C0" w:rsidRDefault="005F3888" w:rsidP="00D635C0">
      <w:pPr>
        <w:pStyle w:val="LeftrightafterHC"/>
        <w:keepNext/>
        <w:spacing w:before="0" w:after="260" w:line="280" w:lineRule="exact"/>
        <w:ind w:left="1440" w:right="0" w:hanging="720"/>
        <w:jc w:val="both"/>
        <w:rPr>
          <w:rFonts w:ascii="Times New Roman" w:hAnsi="Times New Roman"/>
        </w:rPr>
      </w:pPr>
      <w:r w:rsidRPr="00D635C0">
        <w:rPr>
          <w:rFonts w:ascii="Times New Roman" w:hAnsi="Times New Roman"/>
        </w:rPr>
        <w:lastRenderedPageBreak/>
        <w:t>(a)</w:t>
      </w:r>
      <w:r w:rsidRPr="00D635C0">
        <w:rPr>
          <w:rFonts w:ascii="Times New Roman" w:hAnsi="Times New Roman"/>
        </w:rPr>
        <w:tab/>
        <w:t xml:space="preserve">will the GCO made by the Supreme Court of Victoria on 3 May 2022 remain in force and be capable of being enforced by the Supreme Court of New South Wales, subject to any order of that Court?  </w:t>
      </w:r>
    </w:p>
    <w:p w14:paraId="23459D4C" w14:textId="77777777" w:rsidR="005F3888" w:rsidRPr="00D635C0" w:rsidRDefault="005F3888" w:rsidP="00D635C0">
      <w:pPr>
        <w:pStyle w:val="LeftrightafterHC"/>
        <w:spacing w:before="0" w:after="260" w:line="280" w:lineRule="exact"/>
        <w:ind w:right="0"/>
        <w:jc w:val="both"/>
        <w:rPr>
          <w:rFonts w:ascii="Times New Roman" w:hAnsi="Times New Roman"/>
          <w:b/>
          <w:bCs/>
        </w:rPr>
      </w:pPr>
      <w:r w:rsidRPr="00D635C0">
        <w:rPr>
          <w:rFonts w:ascii="Times New Roman" w:hAnsi="Times New Roman"/>
          <w:b/>
          <w:bCs/>
        </w:rPr>
        <w:tab/>
        <w:t>Answer: No.</w:t>
      </w:r>
    </w:p>
    <w:p w14:paraId="40B02195" w14:textId="77777777" w:rsidR="005F3888" w:rsidRPr="00D635C0" w:rsidRDefault="005F3888" w:rsidP="00D635C0">
      <w:pPr>
        <w:pStyle w:val="LeftrightafterHC"/>
        <w:keepNext/>
        <w:spacing w:before="0" w:after="260" w:line="280" w:lineRule="exact"/>
        <w:ind w:left="1440" w:right="0" w:hanging="720"/>
        <w:jc w:val="both"/>
        <w:rPr>
          <w:rFonts w:ascii="Times New Roman" w:hAnsi="Times New Roman"/>
        </w:rPr>
      </w:pPr>
      <w:r w:rsidRPr="00D635C0">
        <w:rPr>
          <w:rFonts w:ascii="Times New Roman" w:hAnsi="Times New Roman"/>
        </w:rPr>
        <w:t>(b)</w:t>
      </w:r>
      <w:r w:rsidRPr="00D635C0">
        <w:rPr>
          <w:rFonts w:ascii="Times New Roman" w:hAnsi="Times New Roman"/>
        </w:rPr>
        <w:tab/>
        <w:t>if the GCO will remain in force, does the Supreme Court of New South Wales have power to vary or revoke the GCO?</w:t>
      </w:r>
    </w:p>
    <w:p w14:paraId="40053B14" w14:textId="77777777" w:rsidR="005F3888" w:rsidRPr="00D635C0" w:rsidRDefault="005F3888" w:rsidP="00D635C0">
      <w:pPr>
        <w:pStyle w:val="leftright"/>
        <w:spacing w:before="0" w:after="260" w:line="280" w:lineRule="exact"/>
        <w:ind w:right="0"/>
        <w:jc w:val="both"/>
        <w:rPr>
          <w:rFonts w:ascii="Times New Roman" w:hAnsi="Times New Roman"/>
        </w:rPr>
      </w:pPr>
      <w:r w:rsidRPr="00D635C0">
        <w:rPr>
          <w:rFonts w:ascii="Times New Roman" w:hAnsi="Times New Roman"/>
          <w:b/>
          <w:bCs/>
        </w:rPr>
        <w:tab/>
        <w:t>Answer: Does not arise.</w:t>
      </w:r>
    </w:p>
    <w:p w14:paraId="23B841F6" w14:textId="77777777" w:rsidR="005F3888" w:rsidRPr="00D635C0" w:rsidRDefault="005F3888" w:rsidP="00D635C0">
      <w:pPr>
        <w:pStyle w:val="LeftrightafterHC"/>
        <w:keepNext/>
        <w:spacing w:before="0" w:after="260" w:line="280" w:lineRule="exact"/>
        <w:ind w:right="0"/>
        <w:jc w:val="both"/>
        <w:rPr>
          <w:rFonts w:ascii="Times New Roman" w:hAnsi="Times New Roman"/>
          <w:b/>
          <w:bCs/>
        </w:rPr>
      </w:pPr>
      <w:r w:rsidRPr="00D635C0">
        <w:rPr>
          <w:rFonts w:ascii="Times New Roman" w:hAnsi="Times New Roman"/>
          <w:b/>
          <w:bCs/>
        </w:rPr>
        <w:t>Question 3</w:t>
      </w:r>
    </w:p>
    <w:p w14:paraId="6EC75015" w14:textId="77777777" w:rsidR="005F3888" w:rsidRPr="00D635C0" w:rsidRDefault="005F3888" w:rsidP="00D635C0">
      <w:pPr>
        <w:pStyle w:val="LeftrightafterHC"/>
        <w:keepNext/>
        <w:spacing w:before="0" w:after="260" w:line="280" w:lineRule="exact"/>
        <w:ind w:right="0"/>
        <w:jc w:val="both"/>
        <w:rPr>
          <w:rFonts w:ascii="Times New Roman" w:hAnsi="Times New Roman"/>
        </w:rPr>
      </w:pPr>
      <w:r w:rsidRPr="00D635C0">
        <w:rPr>
          <w:rFonts w:ascii="Times New Roman" w:hAnsi="Times New Roman"/>
        </w:rPr>
        <w:t xml:space="preserve">Should [the] proceeding (S ECI 2020 03281) be transferred to the Supreme Court of New South Wales pursuant to s 1337H of the </w:t>
      </w:r>
      <w:r w:rsidRPr="00D635C0">
        <w:rPr>
          <w:rFonts w:ascii="Times New Roman" w:hAnsi="Times New Roman"/>
          <w:i/>
          <w:iCs/>
        </w:rPr>
        <w:t>Corporations Act 2001</w:t>
      </w:r>
      <w:r w:rsidRPr="00D635C0">
        <w:rPr>
          <w:rFonts w:ascii="Times New Roman" w:hAnsi="Times New Roman"/>
        </w:rPr>
        <w:t xml:space="preserve"> (Cth), as sought in prayer 3 of the summons filed by [KPMG] on 26</w:t>
      </w:r>
      <w:r>
        <w:rPr>
          <w:rFonts w:ascii="Times New Roman" w:hAnsi="Times New Roman"/>
        </w:rPr>
        <w:t> </w:t>
      </w:r>
      <w:r w:rsidRPr="00D635C0">
        <w:rPr>
          <w:rFonts w:ascii="Times New Roman" w:hAnsi="Times New Roman"/>
        </w:rPr>
        <w:t>February 2021?</w:t>
      </w:r>
    </w:p>
    <w:p w14:paraId="6F582E09" w14:textId="77777777" w:rsidR="005F3888" w:rsidRDefault="005F3888" w:rsidP="00D635C0">
      <w:pPr>
        <w:pStyle w:val="LeftrightafterHC"/>
        <w:spacing w:before="0" w:after="260" w:line="280" w:lineRule="exact"/>
        <w:ind w:right="0"/>
        <w:jc w:val="both"/>
        <w:rPr>
          <w:rFonts w:ascii="Times New Roman" w:hAnsi="Times New Roman"/>
          <w:b/>
          <w:bCs/>
        </w:rPr>
      </w:pPr>
      <w:r w:rsidRPr="00D635C0">
        <w:rPr>
          <w:rFonts w:ascii="Times New Roman" w:hAnsi="Times New Roman"/>
          <w:b/>
          <w:bCs/>
        </w:rPr>
        <w:t xml:space="preserve">Answer: No. </w:t>
      </w:r>
    </w:p>
    <w:p w14:paraId="24EB0B94" w14:textId="77777777" w:rsidR="005F3888" w:rsidRPr="00D635C0" w:rsidRDefault="005F3888" w:rsidP="00D635C0">
      <w:pPr>
        <w:pStyle w:val="HeadingL2"/>
        <w:spacing w:after="260" w:line="280" w:lineRule="exact"/>
        <w:ind w:right="0"/>
        <w:jc w:val="both"/>
        <w:rPr>
          <w:rFonts w:ascii="Times New Roman" w:hAnsi="Times New Roman"/>
        </w:rPr>
      </w:pPr>
      <w:r w:rsidRPr="00D635C0">
        <w:rPr>
          <w:rFonts w:ascii="Times New Roman" w:hAnsi="Times New Roman"/>
        </w:rPr>
        <w:t>Costs</w:t>
      </w:r>
    </w:p>
    <w:p w14:paraId="6827ED6D" w14:textId="77777777" w:rsidR="005F3888" w:rsidRPr="002E5D74" w:rsidRDefault="005F3888" w:rsidP="00637AED">
      <w:pPr>
        <w:pStyle w:val="FixListStyle"/>
        <w:spacing w:after="260" w:line="280" w:lineRule="exact"/>
        <w:ind w:right="0"/>
        <w:jc w:val="both"/>
        <w:rPr>
          <w:rFonts w:ascii="Times New Roman" w:hAnsi="Times New Roman"/>
        </w:rPr>
      </w:pPr>
      <w:r w:rsidRPr="00D635C0">
        <w:rPr>
          <w:rFonts w:ascii="Times New Roman" w:hAnsi="Times New Roman"/>
        </w:rPr>
        <w:tab/>
      </w:r>
      <w:r w:rsidRPr="002E5D74">
        <w:rPr>
          <w:rFonts w:ascii="Times New Roman" w:hAnsi="Times New Roman"/>
        </w:rPr>
        <w:t>The costs orders concerning the questions reserved in this proceeding would have been simple if the decision of the Court of Appeal had been capable of being appealed to this Court without the necessity of the contrived device of removal to avoid the Commonwealth Parliament's prohibition on appeals. The Court of Appeal would have made orders answering the questions reserved and costs orders</w:t>
      </w:r>
      <w:r>
        <w:rPr>
          <w:rFonts w:ascii="Times New Roman" w:hAnsi="Times New Roman"/>
        </w:rPr>
        <w:t xml:space="preserve"> </w:t>
      </w:r>
      <w:r w:rsidRPr="002E5D74">
        <w:rPr>
          <w:rFonts w:ascii="Times New Roman" w:hAnsi="Times New Roman"/>
        </w:rPr>
        <w:t xml:space="preserve">in relation to the questions reserved. This Court would have dismissed the appeal and ordered that the unsuccessful parties, KPMG and the Directors, pay the costs of the applicants in this Court, including the costs of the special leave application. </w:t>
      </w:r>
    </w:p>
    <w:p w14:paraId="5ECC656F" w14:textId="77777777" w:rsidR="005F3888" w:rsidRPr="002E5D74" w:rsidRDefault="005F3888" w:rsidP="00637AED">
      <w:pPr>
        <w:pStyle w:val="FixListStyle"/>
        <w:spacing w:after="260" w:line="280" w:lineRule="exact"/>
        <w:ind w:right="0"/>
        <w:jc w:val="both"/>
        <w:rPr>
          <w:rFonts w:ascii="Times New Roman" w:hAnsi="Times New Roman"/>
        </w:rPr>
      </w:pPr>
      <w:r w:rsidRPr="002E5D74">
        <w:rPr>
          <w:rFonts w:ascii="Times New Roman" w:hAnsi="Times New Roman"/>
        </w:rPr>
        <w:tab/>
        <w:t>The contrived nature of this proceeding has the effect that the costs orders are not so simple. Since the proceeding was removed from the Court of Appeal before any final orders had been made by the Court of Appeal, no order as to the costs of the questions reserved, or the costs of the summons filed by KPMG, was made in the Court of Appeal. One possible resolution would be for this Court to fill that gap and make the orders that would have been made by the Court of Appeal. But such a resolution of the issue would arguably make more blatant the contrived circumvention of Parliament's proscription against an appeal in a matter of this kind</w:t>
      </w:r>
      <w:r w:rsidRPr="0077577A">
        <w:t xml:space="preserve"> </w:t>
      </w:r>
      <w:r w:rsidRPr="0077577A">
        <w:rPr>
          <w:rFonts w:ascii="Times New Roman" w:hAnsi="Times New Roman"/>
        </w:rPr>
        <w:t>in circumstances where few submissions were made about costs</w:t>
      </w:r>
      <w:r w:rsidRPr="002E5D74">
        <w:rPr>
          <w:rFonts w:ascii="Times New Roman" w:hAnsi="Times New Roman"/>
        </w:rPr>
        <w:t xml:space="preserve">. Apart from seeking its costs in this Court (including costs of the removal application), KPMG sought orders that the "matter should otherwise be remitted to the Court of Appeal to be dealt with in accordance with the reasons of this Court". Neither the applicants nor the Directors made any further submissions about costs or remitter. </w:t>
      </w:r>
    </w:p>
    <w:p w14:paraId="625C304F" w14:textId="77777777" w:rsidR="005F3888" w:rsidRPr="002E5D74" w:rsidRDefault="005F3888" w:rsidP="00637AED">
      <w:pPr>
        <w:pStyle w:val="FixListStyle"/>
        <w:spacing w:after="260" w:line="280" w:lineRule="exact"/>
        <w:ind w:right="0"/>
        <w:jc w:val="both"/>
        <w:rPr>
          <w:rFonts w:ascii="Times New Roman" w:hAnsi="Times New Roman"/>
        </w:rPr>
      </w:pPr>
      <w:r w:rsidRPr="002E5D74">
        <w:rPr>
          <w:rFonts w:ascii="Times New Roman" w:hAnsi="Times New Roman"/>
        </w:rPr>
        <w:tab/>
      </w:r>
      <w:r>
        <w:rPr>
          <w:rFonts w:ascii="Times New Roman" w:hAnsi="Times New Roman"/>
        </w:rPr>
        <w:t>Another</w:t>
      </w:r>
      <w:r w:rsidRPr="002E5D74">
        <w:rPr>
          <w:rFonts w:ascii="Times New Roman" w:hAnsi="Times New Roman"/>
        </w:rPr>
        <w:t xml:space="preserve"> efficient solution could be for this issue of costs in the Court of Appeal to be resolved in this Court, without any submissions from the parties and </w:t>
      </w:r>
      <w:r w:rsidRPr="002E5D74">
        <w:rPr>
          <w:rFonts w:ascii="Times New Roman" w:hAnsi="Times New Roman"/>
        </w:rPr>
        <w:lastRenderedPageBreak/>
        <w:t xml:space="preserve">without remitter, by making the common order, in general terms, to the effect that </w:t>
      </w:r>
      <w:r>
        <w:rPr>
          <w:rFonts w:ascii="Times New Roman" w:hAnsi="Times New Roman"/>
        </w:rPr>
        <w:t>the applicants are</w:t>
      </w:r>
      <w:r w:rsidRPr="002E5D74">
        <w:rPr>
          <w:rFonts w:ascii="Times New Roman" w:hAnsi="Times New Roman"/>
        </w:rPr>
        <w:t xml:space="preserve"> entitled to costs in the proceeding</w:t>
      </w:r>
      <w:r w:rsidRPr="002E5D74">
        <w:rPr>
          <w:rStyle w:val="FootnoteReference"/>
          <w:rFonts w:ascii="Times New Roman" w:hAnsi="Times New Roman"/>
          <w:sz w:val="24"/>
        </w:rPr>
        <w:footnoteReference w:id="90"/>
      </w:r>
      <w:r w:rsidRPr="002E5D74">
        <w:rPr>
          <w:rFonts w:ascii="Times New Roman" w:hAnsi="Times New Roman"/>
        </w:rPr>
        <w:t xml:space="preserve"> and by relying upon r 63.20 of the </w:t>
      </w:r>
      <w:r w:rsidRPr="002E5D74">
        <w:rPr>
          <w:rFonts w:ascii="Times New Roman" w:hAnsi="Times New Roman"/>
          <w:i/>
          <w:iCs/>
        </w:rPr>
        <w:t xml:space="preserve">Supreme Court (General Civil Procedure) Rules 2015 </w:t>
      </w:r>
      <w:r w:rsidRPr="002E5D74">
        <w:rPr>
          <w:rFonts w:ascii="Times New Roman" w:hAnsi="Times New Roman"/>
        </w:rPr>
        <w:t>(Vic)</w:t>
      </w:r>
      <w:r w:rsidRPr="00DE5A3B">
        <w:t xml:space="preserve"> </w:t>
      </w:r>
      <w:r w:rsidRPr="00DE5A3B">
        <w:rPr>
          <w:rFonts w:ascii="Times New Roman" w:hAnsi="Times New Roman"/>
        </w:rPr>
        <w:t>as granting the applicants their costs in the Court of Appeal</w:t>
      </w:r>
      <w:r w:rsidRPr="002E5D74">
        <w:rPr>
          <w:rFonts w:ascii="Times New Roman" w:hAnsi="Times New Roman"/>
        </w:rPr>
        <w:t xml:space="preserve">. That rule makes the costs of an "interlocutory or other application" made in a proceeding in the Supreme Court of Victoria "the parties' costs in the proceeding" where no order is made on the application (or the order made is silent as to costs) and where the Court does not order otherwise. </w:t>
      </w:r>
      <w:r w:rsidRPr="00386A5F">
        <w:rPr>
          <w:rFonts w:ascii="Times New Roman" w:hAnsi="Times New Roman"/>
        </w:rPr>
        <w:t>But even assuming that the questions reserved are an interlocutory or other application within the class action proceeding, rather than a separate proceeding</w:t>
      </w:r>
      <w:r>
        <w:rPr>
          <w:rFonts w:ascii="Times New Roman" w:hAnsi="Times New Roman"/>
        </w:rPr>
        <w:t>,</w:t>
      </w:r>
      <w:r w:rsidRPr="002E5D74">
        <w:rPr>
          <w:rStyle w:val="FootnoteReference"/>
          <w:rFonts w:ascii="Times New Roman" w:hAnsi="Times New Roman"/>
          <w:sz w:val="24"/>
        </w:rPr>
        <w:footnoteReference w:id="91"/>
      </w:r>
      <w:r w:rsidRPr="002E5D74">
        <w:rPr>
          <w:rFonts w:ascii="Times New Roman" w:hAnsi="Times New Roman"/>
        </w:rPr>
        <w:t xml:space="preserve"> it is at least arguable that orders have been made on the application</w:t>
      </w:r>
      <w:r>
        <w:rPr>
          <w:rFonts w:ascii="Times New Roman" w:hAnsi="Times New Roman"/>
        </w:rPr>
        <w:t xml:space="preserve">, noting that </w:t>
      </w:r>
      <w:r w:rsidRPr="002E5D74">
        <w:rPr>
          <w:rFonts w:ascii="Times New Roman" w:hAnsi="Times New Roman"/>
        </w:rPr>
        <w:t xml:space="preserve">orders have been made by this Court and orders were made by Nichols J stating the questions reserved for the Court of Appeal. </w:t>
      </w:r>
      <w:r>
        <w:rPr>
          <w:rFonts w:ascii="Times New Roman" w:hAnsi="Times New Roman"/>
        </w:rPr>
        <w:t>And t</w:t>
      </w:r>
      <w:r w:rsidRPr="002E5D74">
        <w:rPr>
          <w:rFonts w:ascii="Times New Roman" w:hAnsi="Times New Roman"/>
        </w:rPr>
        <w:t xml:space="preserve">his Court's orders are not "silent as to costs". </w:t>
      </w:r>
      <w:r>
        <w:rPr>
          <w:rFonts w:ascii="Times New Roman" w:hAnsi="Times New Roman"/>
        </w:rPr>
        <w:t>Further,</w:t>
      </w:r>
      <w:r w:rsidRPr="002E5D74">
        <w:rPr>
          <w:rFonts w:ascii="Times New Roman" w:hAnsi="Times New Roman"/>
        </w:rPr>
        <w:t xml:space="preserve"> there may be reasons that the Court of Appeal could have been asked to make an order other than an order that KPMG and the Directors jointly bear the applicants' costs of the proceeding in the Court of Appeal. </w:t>
      </w:r>
    </w:p>
    <w:p w14:paraId="04D34248" w14:textId="77777777" w:rsidR="005F3888" w:rsidRDefault="005F3888" w:rsidP="005F3888">
      <w:pPr>
        <w:pStyle w:val="FixListStyle"/>
        <w:spacing w:after="260" w:line="280" w:lineRule="exact"/>
        <w:ind w:right="0"/>
        <w:jc w:val="both"/>
        <w:rPr>
          <w:rFonts w:ascii="Times New Roman" w:hAnsi="Times New Roman"/>
        </w:rPr>
      </w:pPr>
      <w:r w:rsidRPr="002E5D74">
        <w:rPr>
          <w:rFonts w:ascii="Times New Roman" w:hAnsi="Times New Roman"/>
        </w:rPr>
        <w:tab/>
        <w:t xml:space="preserve">Without any submissions on these or any other points as to the costs of the proceeding in the Court of Appeal, and in circumstances in which the applicants appear to have a strong prima facie entitlement to their costs in the Court of Appeal, the better course is for the Court of Appeal to fill the gap itself upon the remittal of this proceeding to the Court of Appeal. The appropriate order in this Court is that KPMG and the Directors should pay the costs of the proceeding in this Court, including the costs of the removal application, and that the matter otherwise be remitted to the Court of Appeal to deal with the remaining issue of costs. </w:t>
      </w:r>
    </w:p>
    <w:p w14:paraId="37A27E27" w14:textId="77777777" w:rsidR="005F3888" w:rsidRDefault="005F3888" w:rsidP="005F3888">
      <w:pPr>
        <w:pStyle w:val="FixListStyle"/>
        <w:spacing w:after="260" w:line="280" w:lineRule="exact"/>
        <w:ind w:right="0"/>
        <w:jc w:val="both"/>
        <w:rPr>
          <w:rFonts w:ascii="Times New Roman" w:hAnsi="Times New Roman"/>
        </w:rPr>
        <w:sectPr w:rsidR="005F3888" w:rsidSect="005F388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00955D5" w14:textId="77777777" w:rsidR="005F3888" w:rsidRPr="00C90DB3" w:rsidRDefault="005F3888" w:rsidP="00C90DB3">
      <w:pPr>
        <w:pStyle w:val="FixListStyle"/>
        <w:tabs>
          <w:tab w:val="clear" w:pos="720"/>
          <w:tab w:val="left" w:pos="0"/>
        </w:tabs>
        <w:spacing w:after="260" w:line="280" w:lineRule="exact"/>
        <w:ind w:right="0"/>
        <w:jc w:val="both"/>
        <w:rPr>
          <w:rFonts w:ascii="Times New Roman" w:hAnsi="Times New Roman"/>
        </w:rPr>
      </w:pPr>
      <w:r w:rsidRPr="00C90DB3">
        <w:rPr>
          <w:rFonts w:ascii="Times New Roman" w:hAnsi="Times New Roman"/>
        </w:rPr>
        <w:lastRenderedPageBreak/>
        <w:t xml:space="preserve">STEWARD J.   I very gratefully adopt the facts set out in the reasons of Gageler CJ, Gordon, Gleeson, Jagot and Beech-Jones JJ and agree with the conclusion concerning the operation of s 1337P of the </w:t>
      </w:r>
      <w:r w:rsidRPr="00C90DB3">
        <w:rPr>
          <w:rFonts w:ascii="Times New Roman" w:hAnsi="Times New Roman"/>
          <w:i/>
          <w:iCs/>
        </w:rPr>
        <w:t>Corporations Act 2001</w:t>
      </w:r>
      <w:r w:rsidRPr="00C90DB3">
        <w:rPr>
          <w:rFonts w:ascii="Times New Roman" w:hAnsi="Times New Roman"/>
        </w:rPr>
        <w:t xml:space="preserve"> (</w:t>
      </w:r>
      <w:proofErr w:type="spellStart"/>
      <w:r w:rsidRPr="00C90DB3">
        <w:rPr>
          <w:rFonts w:ascii="Times New Roman" w:hAnsi="Times New Roman"/>
        </w:rPr>
        <w:t>Cth</w:t>
      </w:r>
      <w:proofErr w:type="spellEnd"/>
      <w:r w:rsidRPr="00C90DB3">
        <w:rPr>
          <w:rFonts w:ascii="Times New Roman" w:hAnsi="Times New Roman"/>
        </w:rPr>
        <w:t xml:space="preserve">) ("the Corporations Act"). I otherwise respectfully disagree with the contention that the Court of Appeal of the Supreme Court of Victoria, in determining that the proceeding should </w:t>
      </w:r>
      <w:r w:rsidRPr="00C90DB3">
        <w:rPr>
          <w:rFonts w:ascii="Times New Roman" w:hAnsi="Times New Roman"/>
          <w:i/>
          <w:iCs/>
        </w:rPr>
        <w:t>not</w:t>
      </w:r>
      <w:r w:rsidRPr="00C90DB3">
        <w:rPr>
          <w:rFonts w:ascii="Times New Roman" w:hAnsi="Times New Roman"/>
        </w:rPr>
        <w:t xml:space="preserve"> be transferred to the Supreme Court of New South Wales pursuant to s 1337H of the Corporations Act, was correct to take into account, in the exercise of that power, the fact that a contingency fee order, known as a group costs order ("GCO"), had been made by Dixon J</w:t>
      </w:r>
      <w:r w:rsidRPr="00C90DB3">
        <w:rPr>
          <w:rStyle w:val="FootnoteReference"/>
          <w:rFonts w:ascii="Times New Roman" w:hAnsi="Times New Roman"/>
          <w:sz w:val="24"/>
        </w:rPr>
        <w:footnoteReference w:id="92"/>
      </w:r>
      <w:r w:rsidRPr="00C90DB3">
        <w:rPr>
          <w:rFonts w:ascii="Times New Roman" w:hAnsi="Times New Roman"/>
        </w:rPr>
        <w:t xml:space="preserve"> in favour of the representative plaintiffs. In circumstances where the GCO is not a factor relevant to the exercise of power under s 1337H of the Corporations Act, and New South Wales is the more appropriate forum, it is, respectfully, in "the interests of justice" that it be so transferred.</w:t>
      </w:r>
    </w:p>
    <w:p w14:paraId="212E9EF4"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Lurking in the background of this matter are two propositions. The first is that it is well-recognised that forum shopping is "an evil".</w:t>
      </w:r>
      <w:r w:rsidRPr="00C90DB3">
        <w:rPr>
          <w:rStyle w:val="FootnoteReference"/>
          <w:rFonts w:ascii="Times New Roman" w:hAnsi="Times New Roman"/>
          <w:sz w:val="24"/>
        </w:rPr>
        <w:footnoteReference w:id="93"/>
      </w:r>
      <w:r w:rsidRPr="00C90DB3">
        <w:rPr>
          <w:rFonts w:ascii="Times New Roman" w:hAnsi="Times New Roman"/>
        </w:rPr>
        <w:t xml:space="preserve"> Below, the Court of Appeal of the Supreme Court of Victoria decided that, but for the issue of the GCO, there were more factors that connected this proceeding to New South Wales than Victoria, and that accordingly, New South Wales was otherwise the more appropriate forum to hear the case.</w:t>
      </w:r>
      <w:r w:rsidRPr="00C90DB3">
        <w:rPr>
          <w:rStyle w:val="FootnoteReference"/>
          <w:rFonts w:ascii="Times New Roman" w:hAnsi="Times New Roman"/>
          <w:sz w:val="24"/>
        </w:rPr>
        <w:footnoteReference w:id="94"/>
      </w:r>
      <w:r w:rsidRPr="00C90DB3">
        <w:rPr>
          <w:rFonts w:ascii="Times New Roman" w:hAnsi="Times New Roman"/>
        </w:rPr>
        <w:t xml:space="preserve"> That assessment of the other connecting factors was plainly correct.</w:t>
      </w:r>
    </w:p>
    <w:p w14:paraId="1494B090"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The second proposition is that the law has long eschewed contingency fee arrangements. That is because of the clear conflict of interest such an arrangement poses for instructing solicitors. That conflict undermines the administration of justice, and is especially invidious in the area of representative actions, where the possibility for "greed and avarice" on the part of lawyers is ever-present.</w:t>
      </w:r>
      <w:r w:rsidRPr="00C90DB3">
        <w:rPr>
          <w:rStyle w:val="FootnoteReference"/>
          <w:rFonts w:ascii="Times New Roman" w:hAnsi="Times New Roman"/>
          <w:sz w:val="24"/>
        </w:rPr>
        <w:footnoteReference w:id="95"/>
      </w:r>
      <w:r w:rsidRPr="00C90DB3">
        <w:rPr>
          <w:rFonts w:ascii="Times New Roman" w:hAnsi="Times New Roman"/>
        </w:rPr>
        <w:t xml:space="preserve"> By Acts of Parliament, the practice is thus nationally banned, save in one statutory instance.</w:t>
      </w:r>
      <w:r w:rsidRPr="00C90DB3">
        <w:rPr>
          <w:rStyle w:val="FootnoteReference"/>
          <w:rFonts w:ascii="Times New Roman" w:hAnsi="Times New Roman"/>
          <w:sz w:val="24"/>
        </w:rPr>
        <w:footnoteReference w:id="96"/>
      </w:r>
      <w:r w:rsidRPr="00C90DB3">
        <w:rPr>
          <w:rFonts w:ascii="Times New Roman" w:hAnsi="Times New Roman"/>
        </w:rPr>
        <w:t xml:space="preserve"> In Victoria, for example, pursuant to s 183(1) of Sch 1 to the </w:t>
      </w:r>
      <w:r w:rsidRPr="00C90DB3">
        <w:rPr>
          <w:rFonts w:ascii="Times New Roman" w:hAnsi="Times New Roman"/>
          <w:i/>
          <w:iCs/>
        </w:rPr>
        <w:t xml:space="preserve">Legal </w:t>
      </w:r>
      <w:r w:rsidRPr="00C90DB3">
        <w:rPr>
          <w:rFonts w:ascii="Times New Roman" w:hAnsi="Times New Roman"/>
          <w:i/>
          <w:iCs/>
        </w:rPr>
        <w:lastRenderedPageBreak/>
        <w:t>Profession Uniform Law Application Act 2014</w:t>
      </w:r>
      <w:r w:rsidRPr="00C90DB3">
        <w:rPr>
          <w:rFonts w:ascii="Times New Roman" w:hAnsi="Times New Roman"/>
        </w:rPr>
        <w:t xml:space="preserve"> (Vic) a "law practice must not enter into a costs agreement under which the amount payable to the law practice, or any part of that amount, is calculated by reference to the amount of any award or settlement or the value of any property that may be recovered in any proceedings to which the agreement relates". A contravention of this provision is "capable of constituting unsatisfactory professional conduct or professional misconduct on the part of" the lawyers involved.</w:t>
      </w:r>
      <w:r w:rsidRPr="00C90DB3">
        <w:rPr>
          <w:rStyle w:val="FootnoteReference"/>
          <w:rFonts w:ascii="Times New Roman" w:hAnsi="Times New Roman"/>
          <w:sz w:val="24"/>
        </w:rPr>
        <w:footnoteReference w:id="97"/>
      </w:r>
    </w:p>
    <w:p w14:paraId="27464773"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However, as already mentioned, in one instance this principle has been overturned by statute. That one instance arises in Victoria, and only in respect of representative actions. The provisions which reverse the usual rule, and render the State of Victoria an outlier, are described in the reasons of Gageler CJ, Gordon, Gleeson, Jagot and Beech-Jones JJ</w:t>
      </w:r>
      <w:r w:rsidRPr="00C90DB3">
        <w:rPr>
          <w:rStyle w:val="FootnoteReference"/>
          <w:rFonts w:ascii="Times New Roman" w:hAnsi="Times New Roman"/>
          <w:sz w:val="24"/>
        </w:rPr>
        <w:footnoteReference w:id="98"/>
      </w:r>
      <w:r w:rsidRPr="00C90DB3">
        <w:rPr>
          <w:rFonts w:ascii="Times New Roman" w:hAnsi="Times New Roman"/>
        </w:rPr>
        <w:t xml:space="preserve"> and need not be repeated.</w:t>
      </w:r>
    </w:p>
    <w:p w14:paraId="4E2FD706"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In the foregoing circumstances, the only issue for determination is whether the Court of Appeal was correct in concluding that it was not in the interests of justice, for the purpose of s 1337H, to transfer this matter to New South Wales because a GCO had been made. The Court of Appeal considered the GCO a decisive factor because, without it, "the probability is that the proceeding will not continue".</w:t>
      </w:r>
      <w:r w:rsidRPr="00C90DB3">
        <w:rPr>
          <w:rStyle w:val="FootnoteReference"/>
          <w:rFonts w:ascii="Times New Roman" w:hAnsi="Times New Roman"/>
          <w:sz w:val="24"/>
        </w:rPr>
        <w:footnoteReference w:id="99"/>
      </w:r>
      <w:r w:rsidRPr="00C90DB3">
        <w:rPr>
          <w:rFonts w:ascii="Times New Roman" w:hAnsi="Times New Roman"/>
        </w:rPr>
        <w:t xml:space="preserve"> In other words, by reason of the risk of stultification, the Court of Appeal found that it was not in the interests of justice to transfer the proceedings to New South Wales. For the reasons given below, that conclusion favoured the interests of the representative plaintiffs </w:t>
      </w:r>
      <w:r w:rsidRPr="00C90DB3">
        <w:rPr>
          <w:rFonts w:ascii="Times New Roman" w:hAnsi="Times New Roman"/>
          <w:i/>
          <w:iCs/>
        </w:rPr>
        <w:t>only</w:t>
      </w:r>
      <w:r w:rsidRPr="00C90DB3">
        <w:rPr>
          <w:rFonts w:ascii="Times New Roman" w:hAnsi="Times New Roman"/>
        </w:rPr>
        <w:t xml:space="preserve"> and should not have been reached.</w:t>
      </w:r>
    </w:p>
    <w:p w14:paraId="1C58EFA0" w14:textId="77777777" w:rsidR="005F3888" w:rsidRPr="00C90DB3" w:rsidRDefault="005F3888" w:rsidP="00C90DB3">
      <w:pPr>
        <w:pStyle w:val="HeadingL1"/>
        <w:spacing w:after="260" w:line="280" w:lineRule="exact"/>
        <w:ind w:right="0"/>
        <w:jc w:val="both"/>
        <w:rPr>
          <w:rFonts w:ascii="Times New Roman" w:hAnsi="Times New Roman"/>
        </w:rPr>
      </w:pPr>
      <w:r w:rsidRPr="00C90DB3">
        <w:rPr>
          <w:rFonts w:ascii="Times New Roman" w:hAnsi="Times New Roman"/>
        </w:rPr>
        <w:t>Competing advantages</w:t>
      </w:r>
    </w:p>
    <w:p w14:paraId="1AED9CED"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Even without the assistance of authority, the role of the GCO in this proceeding should not have weighed in the balance of the factors to be considered for the purposes of s 1337H of the Corporations Act. In that respect, it was not in dispute that it will be in the interests of justice to transfer a proceeding to another forum where that other forum is the "more appropriate" venue.</w:t>
      </w:r>
      <w:r w:rsidRPr="00C90DB3">
        <w:rPr>
          <w:rStyle w:val="FootnoteReference"/>
          <w:rFonts w:ascii="Times New Roman" w:hAnsi="Times New Roman"/>
          <w:sz w:val="24"/>
        </w:rPr>
        <w:footnoteReference w:id="100"/>
      </w:r>
      <w:r w:rsidRPr="00C90DB3">
        <w:rPr>
          <w:rFonts w:ascii="Times New Roman" w:hAnsi="Times New Roman"/>
        </w:rPr>
        <w:t xml:space="preserve"> That issue is tested by a consideration of the "connecting factors" between the cause of action and the forum in issue.</w:t>
      </w:r>
      <w:r w:rsidRPr="00C90DB3">
        <w:rPr>
          <w:rStyle w:val="FootnoteReference"/>
          <w:rFonts w:ascii="Times New Roman" w:hAnsi="Times New Roman"/>
          <w:sz w:val="24"/>
        </w:rPr>
        <w:footnoteReference w:id="101"/>
      </w:r>
      <w:r w:rsidRPr="00C90DB3">
        <w:rPr>
          <w:rFonts w:ascii="Times New Roman" w:hAnsi="Times New Roman"/>
        </w:rPr>
        <w:t xml:space="preserve"> Here, the factors, other than the GCO, are described in </w:t>
      </w:r>
      <w:r w:rsidRPr="00C90DB3">
        <w:rPr>
          <w:rFonts w:ascii="Times New Roman" w:hAnsi="Times New Roman"/>
        </w:rPr>
        <w:lastRenderedPageBreak/>
        <w:t>the reasons of Gageler CJ, Gordon, Gleeson, Jagot and Beech-Jones JJ</w:t>
      </w:r>
      <w:r w:rsidRPr="00C90DB3">
        <w:rPr>
          <w:rStyle w:val="FootnoteReference"/>
          <w:rFonts w:ascii="Times New Roman" w:hAnsi="Times New Roman"/>
          <w:sz w:val="24"/>
        </w:rPr>
        <w:footnoteReference w:id="102"/>
      </w:r>
      <w:r w:rsidRPr="00C90DB3">
        <w:rPr>
          <w:rFonts w:ascii="Times New Roman" w:hAnsi="Times New Roman"/>
        </w:rPr>
        <w:t xml:space="preserve"> and, again, it is unnecessary to repeat them.</w:t>
      </w:r>
    </w:p>
    <w:p w14:paraId="28A9F4BC"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Where, however, a connecting factor is an advantage for one of the parties, whether it be legal or otherwise, which is offered or made available in only one forum and not the other, it would ordinarily be in the "interests of justice" that it be set aside from consideration. That is because</w:t>
      </w:r>
      <w:proofErr w:type="gramStart"/>
      <w:r w:rsidRPr="00C90DB3">
        <w:rPr>
          <w:rFonts w:ascii="Times New Roman" w:hAnsi="Times New Roman"/>
        </w:rPr>
        <w:t>, generally speaking, what</w:t>
      </w:r>
      <w:proofErr w:type="gramEnd"/>
      <w:r w:rsidRPr="00C90DB3">
        <w:rPr>
          <w:rFonts w:ascii="Times New Roman" w:hAnsi="Times New Roman"/>
        </w:rPr>
        <w:t xml:space="preserve"> is an advantage to one party may well be an equivalent disadvantage to the other. In such a case, it is no part of the court's function, at a point prior to final adjudication, to be favouring the interests of one party over another. It should not play favourites. Nor should it adjudge the merits of different policy choices and legislative models made by different jurisdictions which address the same issue. It is as simple as that.</w:t>
      </w:r>
      <w:r w:rsidRPr="00C90DB3">
        <w:rPr>
          <w:rStyle w:val="FootnoteReference"/>
          <w:rFonts w:ascii="Times New Roman" w:hAnsi="Times New Roman"/>
          <w:sz w:val="24"/>
        </w:rPr>
        <w:footnoteReference w:id="103"/>
      </w:r>
    </w:p>
    <w:p w14:paraId="1B1E9276"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Here, the State of Victoria offers the representative plaintiffs a real advantage which is not offered in the State of New South Wales. That advantage is the issue of a GCO. In New South Wales it is illegal for a solicitor to enter into a contingency fee arrangement of that nature with a client.</w:t>
      </w:r>
      <w:r w:rsidRPr="00C90DB3">
        <w:rPr>
          <w:rStyle w:val="FootnoteReference"/>
          <w:rFonts w:ascii="Times New Roman" w:hAnsi="Times New Roman"/>
          <w:sz w:val="24"/>
        </w:rPr>
        <w:footnoteReference w:id="104"/>
      </w:r>
      <w:r w:rsidRPr="00C90DB3">
        <w:rPr>
          <w:rFonts w:ascii="Times New Roman" w:hAnsi="Times New Roman"/>
        </w:rPr>
        <w:t xml:space="preserve"> It was accepted by the parties that, in the absence of a GCO, there is "a considerable risk, indeed a probability", that the funder of the representative plaintiffs' case will conclude that the funding agreement it has entered into "is not financially viable for it and it will not continue to fund the proceeding".</w:t>
      </w:r>
      <w:r w:rsidRPr="00C90DB3">
        <w:rPr>
          <w:rStyle w:val="FootnoteReference"/>
          <w:rFonts w:ascii="Times New Roman" w:hAnsi="Times New Roman"/>
          <w:sz w:val="24"/>
        </w:rPr>
        <w:footnoteReference w:id="105"/>
      </w:r>
      <w:r w:rsidRPr="00C90DB3">
        <w:rPr>
          <w:rFonts w:ascii="Times New Roman" w:hAnsi="Times New Roman"/>
        </w:rPr>
        <w:t xml:space="preserve"> It was not, however, contended that it would have been impossible to obtain alternative funding in New South Wales. Avoiding the risk that the funder would cease to fund the proceeding – which inferentially arises at least in part from the funder's assessment of the likelihood of success in a proceeding described as "complex"</w:t>
      </w:r>
      <w:r w:rsidRPr="00C90DB3">
        <w:rPr>
          <w:rStyle w:val="FootnoteReference"/>
          <w:rFonts w:ascii="Times New Roman" w:hAnsi="Times New Roman"/>
          <w:sz w:val="24"/>
        </w:rPr>
        <w:footnoteReference w:id="106"/>
      </w:r>
      <w:r w:rsidRPr="00C90DB3">
        <w:rPr>
          <w:rFonts w:ascii="Times New Roman" w:hAnsi="Times New Roman"/>
        </w:rPr>
        <w:t xml:space="preserve"> – is an advantage to the representative plaintiffs. But it is also a countervailing and corresponding disadvantage to the defendants. In every other Australian </w:t>
      </w:r>
      <w:proofErr w:type="gramStart"/>
      <w:r w:rsidRPr="00C90DB3">
        <w:rPr>
          <w:rFonts w:ascii="Times New Roman" w:hAnsi="Times New Roman"/>
        </w:rPr>
        <w:t>jurisdiction</w:t>
      </w:r>
      <w:proofErr w:type="gramEnd"/>
      <w:r w:rsidRPr="00C90DB3">
        <w:rPr>
          <w:rFonts w:ascii="Times New Roman" w:hAnsi="Times New Roman"/>
        </w:rPr>
        <w:t xml:space="preserve"> the risk of carrying on proceedings which have not been assessed as having sufficiently high prospects to justify funding, which is now avoided in Victoria, would otherwise have to be faced by the plaintiffs; it is only eliminated in Victoria because of a law found nowhere else. If these proceedings are permitted to remain in Victoria, the defendants will thus suffer this disadvantage. They will be exposed to the cost and </w:t>
      </w:r>
      <w:r w:rsidRPr="00C90DB3">
        <w:rPr>
          <w:rFonts w:ascii="Times New Roman" w:hAnsi="Times New Roman"/>
        </w:rPr>
        <w:lastRenderedPageBreak/>
        <w:t>inconvenience of being sued in a case which otherwise lacks viability in all other Australian jurisdictions. The question is: why should that be so?</w:t>
      </w:r>
    </w:p>
    <w:p w14:paraId="7EE57B40"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The evidence is that retainers issued up to January 2021 by the representative plaintiffs' solicitors anticipated that proceedings would commence in New South Wales. The GCO provisions in the </w:t>
      </w:r>
      <w:r w:rsidRPr="00C90DB3">
        <w:rPr>
          <w:rFonts w:ascii="Times New Roman" w:hAnsi="Times New Roman"/>
          <w:i/>
          <w:iCs/>
        </w:rPr>
        <w:t>Supreme Court Act 1986</w:t>
      </w:r>
      <w:r w:rsidRPr="00C90DB3">
        <w:rPr>
          <w:rFonts w:ascii="Times New Roman" w:hAnsi="Times New Roman"/>
        </w:rPr>
        <w:t xml:space="preserve"> (Vic)</w:t>
      </w:r>
      <w:r w:rsidRPr="00C90DB3">
        <w:rPr>
          <w:rStyle w:val="FootnoteReference"/>
          <w:rFonts w:ascii="Times New Roman" w:hAnsi="Times New Roman"/>
          <w:sz w:val="24"/>
        </w:rPr>
        <w:footnoteReference w:id="107"/>
      </w:r>
      <w:r w:rsidRPr="00C90DB3">
        <w:rPr>
          <w:rFonts w:ascii="Times New Roman" w:hAnsi="Times New Roman"/>
        </w:rPr>
        <w:t xml:space="preserve"> commenced on 1 July 2020. This proceeding was filed in the Supreme Court of Victoria a month and a half later. The evidence of the funder was that it supported the decision to commence proceedings in Victoria "[g]</w:t>
      </w:r>
      <w:proofErr w:type="spellStart"/>
      <w:r w:rsidRPr="00C90DB3">
        <w:rPr>
          <w:rFonts w:ascii="Times New Roman" w:hAnsi="Times New Roman"/>
        </w:rPr>
        <w:t>iven</w:t>
      </w:r>
      <w:proofErr w:type="spellEnd"/>
      <w:r w:rsidRPr="00C90DB3">
        <w:rPr>
          <w:rFonts w:ascii="Times New Roman" w:hAnsi="Times New Roman"/>
        </w:rPr>
        <w:t xml:space="preserve"> the recent enactment of the Group Cost Order provisions" in that State. No other reason for commencing the proceeding in Victoria was proffered. In such circumstances, it should plainly be inferred that the proceeding – which otherwise has more connecting factors with New South Wales (as found by the Court of Appeal below), and which was begun by a law firm that was initially Sydney-based – was commenced in Victoria to take advantage of the availability of GCOs in that jurisdiction. The law should be slow to endorse this type of conduct.</w:t>
      </w:r>
    </w:p>
    <w:p w14:paraId="44B643E8" w14:textId="77777777" w:rsidR="005F3888" w:rsidRPr="00C90DB3" w:rsidRDefault="005F3888" w:rsidP="00C90DB3">
      <w:pPr>
        <w:pStyle w:val="HeadingL1"/>
        <w:spacing w:after="260" w:line="280" w:lineRule="exact"/>
        <w:ind w:right="0"/>
        <w:jc w:val="both"/>
        <w:rPr>
          <w:rFonts w:ascii="Times New Roman" w:hAnsi="Times New Roman"/>
          <w:i/>
          <w:iCs/>
        </w:rPr>
      </w:pPr>
      <w:r w:rsidRPr="00C90DB3">
        <w:rPr>
          <w:rFonts w:ascii="Times New Roman" w:hAnsi="Times New Roman"/>
          <w:i/>
          <w:iCs/>
        </w:rPr>
        <w:t>BHP Billiton Ltd v Schultz</w:t>
      </w:r>
    </w:p>
    <w:p w14:paraId="1F57E649"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The foregoing is mandated by a recent authority of this Court. </w:t>
      </w:r>
      <w:r w:rsidRPr="00C90DB3">
        <w:rPr>
          <w:rFonts w:ascii="Times New Roman" w:hAnsi="Times New Roman"/>
          <w:i/>
          <w:iCs/>
        </w:rPr>
        <w:t>BHP Billiton Ltd v Schultz</w:t>
      </w:r>
      <w:r w:rsidRPr="00C90DB3">
        <w:rPr>
          <w:rFonts w:ascii="Times New Roman" w:hAnsi="Times New Roman"/>
        </w:rPr>
        <w:t xml:space="preserve"> concerned an application in the Supreme Court of New South Wales to transfer a pending proceeding in the Dust Diseases Tribunal of New South Wales to the Supreme Court of South Australia pursuant to s 5(2)(b)(iii) of the </w:t>
      </w:r>
      <w:r w:rsidRPr="00C90DB3">
        <w:rPr>
          <w:rFonts w:ascii="Times New Roman" w:hAnsi="Times New Roman"/>
          <w:i/>
          <w:iCs/>
        </w:rPr>
        <w:t>Jurisdiction of Courts (Cross-vesting) Act 1987</w:t>
      </w:r>
      <w:r w:rsidRPr="00C90DB3">
        <w:rPr>
          <w:rFonts w:ascii="Times New Roman" w:hAnsi="Times New Roman"/>
        </w:rPr>
        <w:t xml:space="preserve"> (NSW). This required, amongst other things, the "interests of justice" to be </w:t>
      </w:r>
      <w:proofErr w:type="gramStart"/>
      <w:r w:rsidRPr="00C90DB3">
        <w:rPr>
          <w:rFonts w:ascii="Times New Roman" w:hAnsi="Times New Roman"/>
        </w:rPr>
        <w:t>taken into account</w:t>
      </w:r>
      <w:proofErr w:type="gramEnd"/>
      <w:r w:rsidRPr="00C90DB3">
        <w:rPr>
          <w:rFonts w:ascii="Times New Roman" w:hAnsi="Times New Roman"/>
        </w:rPr>
        <w:t xml:space="preserve"> in deciding whether to transfer a matter. Mr Schultz was a resident of South Australia and claimed that he had been exposed to asbestos whilst working for BHP Billiton Ltd in one of its shipyards in that State. He sued BHP Billiton Ltd, alleging negligence, breach of contract, and breach of statutory duty. It was not in dispute that the </w:t>
      </w:r>
      <w:r w:rsidRPr="00C90DB3">
        <w:rPr>
          <w:rFonts w:ascii="Times New Roman" w:hAnsi="Times New Roman"/>
          <w:i/>
          <w:iCs/>
        </w:rPr>
        <w:t xml:space="preserve">lex </w:t>
      </w:r>
      <w:proofErr w:type="spellStart"/>
      <w:r w:rsidRPr="00C90DB3">
        <w:rPr>
          <w:rFonts w:ascii="Times New Roman" w:hAnsi="Times New Roman"/>
          <w:i/>
          <w:iCs/>
        </w:rPr>
        <w:t>causae</w:t>
      </w:r>
      <w:proofErr w:type="spellEnd"/>
      <w:r w:rsidRPr="00C90DB3">
        <w:rPr>
          <w:rFonts w:ascii="Times New Roman" w:hAnsi="Times New Roman"/>
        </w:rPr>
        <w:t xml:space="preserve"> for the tort claim was the law of South Australia.</w:t>
      </w:r>
      <w:r w:rsidRPr="00C90DB3">
        <w:rPr>
          <w:rStyle w:val="FootnoteReference"/>
          <w:rFonts w:ascii="Times New Roman" w:hAnsi="Times New Roman"/>
          <w:sz w:val="24"/>
        </w:rPr>
        <w:footnoteReference w:id="108"/>
      </w:r>
    </w:p>
    <w:p w14:paraId="0A2A518B" w14:textId="1411D91E"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Section 11A of the </w:t>
      </w:r>
      <w:r w:rsidRPr="00C90DB3">
        <w:rPr>
          <w:rFonts w:ascii="Times New Roman" w:hAnsi="Times New Roman"/>
          <w:i/>
          <w:iCs/>
        </w:rPr>
        <w:t>Dust Diseases Tribunal Act 1989</w:t>
      </w:r>
      <w:r w:rsidRPr="00C90DB3">
        <w:rPr>
          <w:rFonts w:ascii="Times New Roman" w:hAnsi="Times New Roman"/>
        </w:rPr>
        <w:t xml:space="preserve"> (NSW) ("the Tribunal Act") conferred on the Dust Diseases Tribunal a unique power to award damages in stages. In that respect, Mr Schultz had sought from the Tribunal an order preserving his right to make a future and additional claim for damages should he develop any of the conditions of asbestos-induced lung cancer, asbestos-induced carcinoma of any other organ, pleural mesothelioma, or peritoneal mesothelioma.</w:t>
      </w:r>
      <w:r w:rsidRPr="00C90DB3">
        <w:rPr>
          <w:rStyle w:val="FootnoteReference"/>
          <w:rFonts w:ascii="Times New Roman" w:hAnsi="Times New Roman"/>
          <w:sz w:val="24"/>
        </w:rPr>
        <w:footnoteReference w:id="109"/>
      </w:r>
      <w:r w:rsidRPr="00C90DB3">
        <w:rPr>
          <w:rFonts w:ascii="Times New Roman" w:hAnsi="Times New Roman"/>
        </w:rPr>
        <w:t xml:space="preserve"> In refusing to transfer the proceedings to South Australia, a judge of the Supreme Court observed that it was "important ... to keep open to Mr Schultz </w:t>
      </w:r>
      <w:r w:rsidRPr="00C90DB3">
        <w:rPr>
          <w:rFonts w:ascii="Times New Roman" w:hAnsi="Times New Roman"/>
        </w:rPr>
        <w:lastRenderedPageBreak/>
        <w:t>the very unusual advantages that are conferred by s 11A of the Tribunal Act".</w:t>
      </w:r>
      <w:r w:rsidRPr="00C90DB3">
        <w:rPr>
          <w:rStyle w:val="FootnoteReference"/>
          <w:rFonts w:ascii="Times New Roman" w:hAnsi="Times New Roman"/>
          <w:sz w:val="24"/>
        </w:rPr>
        <w:footnoteReference w:id="110"/>
      </w:r>
      <w:r w:rsidRPr="00C90DB3">
        <w:rPr>
          <w:rFonts w:ascii="Times New Roman" w:hAnsi="Times New Roman"/>
        </w:rPr>
        <w:t xml:space="preserve"> In contrast, a possible analogue of s 11A – s 30B of the </w:t>
      </w:r>
      <w:r w:rsidRPr="00C90DB3">
        <w:rPr>
          <w:rFonts w:ascii="Times New Roman" w:hAnsi="Times New Roman"/>
          <w:i/>
          <w:iCs/>
        </w:rPr>
        <w:t>Supreme Court Act 1935</w:t>
      </w:r>
      <w:r w:rsidRPr="00C90DB3">
        <w:rPr>
          <w:rFonts w:ascii="Times New Roman" w:hAnsi="Times New Roman"/>
        </w:rPr>
        <w:t xml:space="preserve"> (SA)</w:t>
      </w:r>
      <w:r w:rsidR="00BB22CC">
        <w:rPr>
          <w:rFonts w:ascii="Times New Roman" w:hAnsi="Times New Roman"/>
        </w:rPr>
        <w:t> </w:t>
      </w:r>
      <w:r w:rsidRPr="00C90DB3">
        <w:rPr>
          <w:rFonts w:ascii="Times New Roman" w:hAnsi="Times New Roman"/>
        </w:rPr>
        <w:t>– was perceived to possibly favour the interests of BHP Billiton Ltd if the matter were to be tried in South Australia.</w:t>
      </w:r>
      <w:r w:rsidRPr="00C90DB3">
        <w:rPr>
          <w:rStyle w:val="FootnoteReference"/>
          <w:rFonts w:ascii="Times New Roman" w:hAnsi="Times New Roman"/>
          <w:sz w:val="24"/>
        </w:rPr>
        <w:footnoteReference w:id="111"/>
      </w:r>
    </w:p>
    <w:p w14:paraId="1486FEDE"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All of the judges of this Court agreed that the primary judge had erred in taking into account the advantage conferred on Mr Schultz by s 11A, and a majority decided that the proceeding should be transferred to South Australia.</w:t>
      </w:r>
      <w:r w:rsidRPr="00C90DB3">
        <w:rPr>
          <w:rStyle w:val="FootnoteReference"/>
          <w:rFonts w:ascii="Times New Roman" w:hAnsi="Times New Roman"/>
          <w:sz w:val="24"/>
        </w:rPr>
        <w:footnoteReference w:id="112"/>
      </w:r>
      <w:r w:rsidRPr="00C90DB3">
        <w:rPr>
          <w:rFonts w:ascii="Times New Roman" w:hAnsi="Times New Roman"/>
        </w:rPr>
        <w:t xml:space="preserve"> In this matter, no party contended that </w:t>
      </w:r>
      <w:r w:rsidRPr="00C90DB3">
        <w:rPr>
          <w:rFonts w:ascii="Times New Roman" w:hAnsi="Times New Roman"/>
          <w:i/>
          <w:iCs/>
        </w:rPr>
        <w:t>BHP Billiton Ltd v Schultz</w:t>
      </w:r>
      <w:r w:rsidRPr="00C90DB3">
        <w:rPr>
          <w:rFonts w:ascii="Times New Roman" w:hAnsi="Times New Roman"/>
        </w:rPr>
        <w:t xml:space="preserve"> was wrongly decided or that this Court was wrong in deciding that s 11A should not have been taken into account by the primary judge.</w:t>
      </w:r>
    </w:p>
    <w:p w14:paraId="19EC350F"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Gleeson CJ, McHugh and </w:t>
      </w:r>
      <w:proofErr w:type="spellStart"/>
      <w:r w:rsidRPr="00C90DB3">
        <w:rPr>
          <w:rFonts w:ascii="Times New Roman" w:hAnsi="Times New Roman"/>
        </w:rPr>
        <w:t>Heydon</w:t>
      </w:r>
      <w:proofErr w:type="spellEnd"/>
      <w:r w:rsidRPr="00C90DB3">
        <w:rPr>
          <w:rFonts w:ascii="Times New Roman" w:hAnsi="Times New Roman"/>
        </w:rPr>
        <w:t> JJ, whilst in dissent on the ultimate result, expressed the general principle to be applied in a transfer application where one forum, and not the other, confers an advantage on one party only. They observed:</w:t>
      </w:r>
      <w:r w:rsidRPr="00C90DB3">
        <w:rPr>
          <w:rStyle w:val="FootnoteReference"/>
          <w:rFonts w:ascii="Times New Roman" w:hAnsi="Times New Roman"/>
          <w:sz w:val="24"/>
        </w:rPr>
        <w:footnoteReference w:id="113"/>
      </w:r>
    </w:p>
    <w:p w14:paraId="15BC52F3"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t>"[T]here may be conflicting interests of such a kind that justice would not attribute greater weight to one rather than the other. The advantage which a plaintiff might obtain from proceeding in one court might be matched by a corresponding and commensurate disadvantage to a defendant. The reason why a plaintiff commenced proceedings in one court might be the same as the reason why the defendant seeks to have them transferred to another court. In such a case, justice may not dictate a preference for the interests of either party."</w:t>
      </w:r>
    </w:p>
    <w:p w14:paraId="74C6E73A"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The general principle was expressed again in the following language:</w:t>
      </w:r>
      <w:r w:rsidRPr="00C90DB3">
        <w:rPr>
          <w:rStyle w:val="FootnoteReference"/>
          <w:rFonts w:ascii="Times New Roman" w:hAnsi="Times New Roman"/>
          <w:sz w:val="24"/>
        </w:rPr>
        <w:footnoteReference w:id="114"/>
      </w:r>
    </w:p>
    <w:p w14:paraId="0DA189B2"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t>"If, in a particular respect, the first respondent's assumed advantage and the appellant's assumed disadvantage are commensurate, the one simply being the converse of the other, then that does not advance the matter."</w:t>
      </w:r>
    </w:p>
    <w:p w14:paraId="092C1B41"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Consistently with the foregoing expression of principle, Gleeson CJ, McHugh and </w:t>
      </w:r>
      <w:proofErr w:type="spellStart"/>
      <w:r w:rsidRPr="00C90DB3">
        <w:rPr>
          <w:rFonts w:ascii="Times New Roman" w:hAnsi="Times New Roman"/>
        </w:rPr>
        <w:t>Heydon</w:t>
      </w:r>
      <w:proofErr w:type="spellEnd"/>
      <w:r w:rsidRPr="00C90DB3">
        <w:rPr>
          <w:rFonts w:ascii="Times New Roman" w:hAnsi="Times New Roman"/>
        </w:rPr>
        <w:t xml:space="preserve"> JJ decided that there was no warrant for concluding that the interests of justice dictated that Mr Schultz should be given, as against </w:t>
      </w:r>
      <w:r w:rsidRPr="00C90DB3">
        <w:rPr>
          <w:rFonts w:ascii="Times New Roman" w:hAnsi="Times New Roman"/>
        </w:rPr>
        <w:lastRenderedPageBreak/>
        <w:t xml:space="preserve">BHP Billiton Ltd, the benefit of s 11A, or that s 11A should be favoured over s 30B of the </w:t>
      </w:r>
      <w:r w:rsidRPr="00C90DB3">
        <w:rPr>
          <w:rFonts w:ascii="Times New Roman" w:hAnsi="Times New Roman"/>
          <w:i/>
          <w:iCs/>
        </w:rPr>
        <w:t xml:space="preserve">Supreme Court Act 1935 </w:t>
      </w:r>
      <w:r w:rsidRPr="00C90DB3">
        <w:rPr>
          <w:rFonts w:ascii="Times New Roman" w:hAnsi="Times New Roman"/>
        </w:rPr>
        <w:t>(SA).</w:t>
      </w:r>
      <w:r w:rsidRPr="00C90DB3">
        <w:rPr>
          <w:rStyle w:val="FootnoteReference"/>
          <w:rFonts w:ascii="Times New Roman" w:hAnsi="Times New Roman"/>
          <w:sz w:val="24"/>
        </w:rPr>
        <w:footnoteReference w:id="115"/>
      </w:r>
      <w:r w:rsidRPr="00C90DB3">
        <w:rPr>
          <w:rFonts w:ascii="Times New Roman" w:hAnsi="Times New Roman"/>
        </w:rPr>
        <w:t xml:space="preserve"> In that respect they noted:</w:t>
      </w:r>
      <w:r w:rsidRPr="00C90DB3">
        <w:rPr>
          <w:rStyle w:val="FootnoteReference"/>
          <w:rFonts w:ascii="Times New Roman" w:hAnsi="Times New Roman"/>
          <w:sz w:val="24"/>
        </w:rPr>
        <w:footnoteReference w:id="116"/>
      </w:r>
    </w:p>
    <w:p w14:paraId="7C1E38D1"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t>"They are different approaches to a similar problem by two legislatures within the Australian federation."</w:t>
      </w:r>
    </w:p>
    <w:p w14:paraId="2E76B093"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Their Honours noted that </w:t>
      </w:r>
      <w:proofErr w:type="gramStart"/>
      <w:r w:rsidRPr="00C90DB3">
        <w:rPr>
          <w:rFonts w:ascii="Times New Roman" w:hAnsi="Times New Roman"/>
        </w:rPr>
        <w:t>taking into account</w:t>
      </w:r>
      <w:proofErr w:type="gramEnd"/>
      <w:r w:rsidRPr="00C90DB3">
        <w:rPr>
          <w:rFonts w:ascii="Times New Roman" w:hAnsi="Times New Roman"/>
        </w:rPr>
        <w:t xml:space="preserve"> a policy choice made by one State as against another would wrongly require a judge to consider the respective merits of those choices. They said:</w:t>
      </w:r>
      <w:r w:rsidRPr="00C90DB3">
        <w:rPr>
          <w:rStyle w:val="FootnoteReference"/>
          <w:rFonts w:ascii="Times New Roman" w:hAnsi="Times New Roman"/>
          <w:sz w:val="24"/>
        </w:rPr>
        <w:footnoteReference w:id="117"/>
      </w:r>
    </w:p>
    <w:p w14:paraId="1A60BA9E"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t xml:space="preserve">"From whose point of view would those merits be </w:t>
      </w:r>
      <w:proofErr w:type="gramStart"/>
      <w:r w:rsidRPr="00C90DB3">
        <w:rPr>
          <w:rFonts w:ascii="Times New Roman" w:hAnsi="Times New Roman"/>
        </w:rPr>
        <w:t>judged?</w:t>
      </w:r>
      <w:proofErr w:type="gramEnd"/>
      <w:r w:rsidRPr="00C90DB3">
        <w:rPr>
          <w:rFonts w:ascii="Times New Roman" w:hAnsi="Times New Roman"/>
        </w:rPr>
        <w:t xml:space="preserve"> How could a judge form a preference between the public policy reflected in an Act of the Parliament of New South Wales and the public policy reflected in an Act of the Parliament of South Australia? If it came to that point, the appropriate course would be for the judge to draw back, and to consider the interests of justice by reference to more neutral factors."</w:t>
      </w:r>
    </w:p>
    <w:p w14:paraId="0BE3F041"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r>
      <w:proofErr w:type="spellStart"/>
      <w:r w:rsidRPr="00C90DB3">
        <w:rPr>
          <w:rFonts w:ascii="Times New Roman" w:hAnsi="Times New Roman"/>
        </w:rPr>
        <w:t>Gummow</w:t>
      </w:r>
      <w:proofErr w:type="spellEnd"/>
      <w:r w:rsidRPr="00C90DB3">
        <w:rPr>
          <w:rFonts w:ascii="Times New Roman" w:hAnsi="Times New Roman"/>
        </w:rPr>
        <w:t> J, with whom Hayne J agreed,</w:t>
      </w:r>
      <w:r w:rsidRPr="00C90DB3">
        <w:rPr>
          <w:rStyle w:val="FootnoteReference"/>
          <w:rFonts w:ascii="Times New Roman" w:hAnsi="Times New Roman"/>
          <w:sz w:val="24"/>
        </w:rPr>
        <w:footnoteReference w:id="118"/>
      </w:r>
      <w:r w:rsidRPr="00C90DB3">
        <w:rPr>
          <w:rFonts w:ascii="Times New Roman" w:hAnsi="Times New Roman"/>
        </w:rPr>
        <w:t xml:space="preserve"> was also of the view that the primary judge erred in taking into account s 11A.</w:t>
      </w:r>
      <w:r w:rsidRPr="00C90DB3">
        <w:rPr>
          <w:rStyle w:val="FootnoteReference"/>
          <w:rFonts w:ascii="Times New Roman" w:hAnsi="Times New Roman"/>
          <w:sz w:val="24"/>
        </w:rPr>
        <w:footnoteReference w:id="119"/>
      </w:r>
      <w:r w:rsidRPr="00C90DB3">
        <w:rPr>
          <w:rFonts w:ascii="Times New Roman" w:hAnsi="Times New Roman"/>
        </w:rPr>
        <w:t xml:space="preserve"> Taking into account the benefit it conferred, without considering the operation of s 30B upon the interests of both parties, "was to give further effect to the false notion of Mr Schultz's 'venue privilege'".</w:t>
      </w:r>
      <w:r w:rsidRPr="00C90DB3">
        <w:rPr>
          <w:rStyle w:val="FootnoteReference"/>
          <w:rFonts w:ascii="Times New Roman" w:hAnsi="Times New Roman"/>
          <w:sz w:val="24"/>
        </w:rPr>
        <w:footnoteReference w:id="120"/>
      </w:r>
      <w:r w:rsidRPr="00C90DB3">
        <w:rPr>
          <w:rFonts w:ascii="Times New Roman" w:hAnsi="Times New Roman"/>
        </w:rPr>
        <w:t xml:space="preserve"> That privilege – that a plaintiff's own choice of forum ought not lightly to be overridden – was also found to be incorrect.</w:t>
      </w:r>
      <w:r w:rsidRPr="00C90DB3">
        <w:rPr>
          <w:rStyle w:val="FootnoteReference"/>
          <w:rFonts w:ascii="Times New Roman" w:hAnsi="Times New Roman"/>
          <w:sz w:val="24"/>
        </w:rPr>
        <w:footnoteReference w:id="121"/>
      </w:r>
      <w:r w:rsidRPr="00C90DB3">
        <w:rPr>
          <w:rFonts w:ascii="Times New Roman" w:hAnsi="Times New Roman"/>
        </w:rPr>
        <w:t xml:space="preserve"> </w:t>
      </w:r>
      <w:proofErr w:type="spellStart"/>
      <w:r w:rsidRPr="00C90DB3">
        <w:rPr>
          <w:rFonts w:ascii="Times New Roman" w:hAnsi="Times New Roman"/>
        </w:rPr>
        <w:t>Gummow</w:t>
      </w:r>
      <w:proofErr w:type="spellEnd"/>
      <w:r w:rsidRPr="00C90DB3">
        <w:rPr>
          <w:rFonts w:ascii="Times New Roman" w:hAnsi="Times New Roman"/>
        </w:rPr>
        <w:t> J further concluded that a plaintiff cannot obtain an advantage simply by picking the jurisdiction with the most favourable law.</w:t>
      </w:r>
      <w:r w:rsidRPr="00C90DB3">
        <w:rPr>
          <w:rStyle w:val="FootnoteReference"/>
          <w:rFonts w:ascii="Times New Roman" w:hAnsi="Times New Roman"/>
          <w:sz w:val="24"/>
        </w:rPr>
        <w:footnoteReference w:id="122"/>
      </w:r>
      <w:r w:rsidRPr="00C90DB3">
        <w:rPr>
          <w:rFonts w:ascii="Times New Roman" w:hAnsi="Times New Roman"/>
        </w:rPr>
        <w:t xml:space="preserve"> His Honour referred to the following observation of Gibbs CJ, Wilson and Brennan JJ in </w:t>
      </w:r>
      <w:proofErr w:type="spellStart"/>
      <w:r w:rsidRPr="00C90DB3">
        <w:rPr>
          <w:rFonts w:ascii="Times New Roman" w:hAnsi="Times New Roman"/>
          <w:i/>
          <w:iCs/>
        </w:rPr>
        <w:t>Pozniak</w:t>
      </w:r>
      <w:proofErr w:type="spellEnd"/>
      <w:r w:rsidRPr="00C90DB3">
        <w:rPr>
          <w:rFonts w:ascii="Times New Roman" w:hAnsi="Times New Roman"/>
          <w:i/>
          <w:iCs/>
        </w:rPr>
        <w:t xml:space="preserve"> v Smith</w:t>
      </w:r>
      <w:r w:rsidRPr="00C90DB3">
        <w:rPr>
          <w:rFonts w:ascii="Times New Roman" w:hAnsi="Times New Roman"/>
        </w:rPr>
        <w:t>:</w:t>
      </w:r>
      <w:r w:rsidRPr="00C90DB3">
        <w:rPr>
          <w:rStyle w:val="FootnoteReference"/>
          <w:rFonts w:ascii="Times New Roman" w:hAnsi="Times New Roman"/>
          <w:sz w:val="24"/>
        </w:rPr>
        <w:footnoteReference w:id="123"/>
      </w:r>
    </w:p>
    <w:p w14:paraId="4284B193"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lastRenderedPageBreak/>
        <w:t>"The only safe course, in a case where the relevant law in the competing jurisdictions is materially different in its effect on the rights of the parties, is to remit to the State whose law has given rise to the cause of action."</w:t>
      </w:r>
    </w:p>
    <w:p w14:paraId="779D2493"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In the same case Mason J said:</w:t>
      </w:r>
      <w:r w:rsidRPr="00C90DB3">
        <w:rPr>
          <w:rStyle w:val="FootnoteReference"/>
          <w:rFonts w:ascii="Times New Roman" w:hAnsi="Times New Roman"/>
          <w:sz w:val="24"/>
        </w:rPr>
        <w:footnoteReference w:id="124"/>
      </w:r>
    </w:p>
    <w:p w14:paraId="629102E0"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t xml:space="preserve">"I would resist the notion that in determining which court shall hear the case when there is a material difference in the laws of the </w:t>
      </w:r>
      <w:proofErr w:type="gramStart"/>
      <w:r w:rsidRPr="00C90DB3">
        <w:rPr>
          <w:rFonts w:ascii="Times New Roman" w:hAnsi="Times New Roman"/>
        </w:rPr>
        <w:t>States</w:t>
      </w:r>
      <w:proofErr w:type="gramEnd"/>
      <w:r w:rsidRPr="00C90DB3">
        <w:rPr>
          <w:rFonts w:ascii="Times New Roman" w:hAnsi="Times New Roman"/>
        </w:rPr>
        <w:t xml:space="preserve"> we should give effect to the so-called right of the plaintiff to select the place of hearing, subject only to the balance of convenience. It is inconsistent with a just result that the plaintiff should be able to select the forum which applies the law most favourable to his cause, so long as he is not 'forum shopping'."</w:t>
      </w:r>
    </w:p>
    <w:p w14:paraId="702845BB"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r>
      <w:proofErr w:type="spellStart"/>
      <w:r w:rsidRPr="00C90DB3">
        <w:rPr>
          <w:rFonts w:ascii="Times New Roman" w:hAnsi="Times New Roman"/>
        </w:rPr>
        <w:t>Callinan</w:t>
      </w:r>
      <w:proofErr w:type="spellEnd"/>
      <w:r w:rsidRPr="00C90DB3">
        <w:rPr>
          <w:rFonts w:ascii="Times New Roman" w:hAnsi="Times New Roman"/>
        </w:rPr>
        <w:t> J observed that the Tribunal Act contained a "very special and largely unique regime for the assessment and recovery of damages by particular plaintiffs".</w:t>
      </w:r>
      <w:r w:rsidRPr="00C90DB3">
        <w:rPr>
          <w:rStyle w:val="FootnoteReference"/>
          <w:rFonts w:ascii="Times New Roman" w:hAnsi="Times New Roman"/>
          <w:sz w:val="24"/>
        </w:rPr>
        <w:footnoteReference w:id="125"/>
      </w:r>
      <w:r w:rsidRPr="00C90DB3">
        <w:rPr>
          <w:rFonts w:ascii="Times New Roman" w:hAnsi="Times New Roman"/>
        </w:rPr>
        <w:t xml:space="preserve"> But, his Honour noted, it was one thing "for one State to establish such a regime to govern the recovery of damages, and thereby affecting commerce, insurance and other activities and events occurring within it, but altogether a different matter to seek to impose it upon other States".</w:t>
      </w:r>
      <w:r w:rsidRPr="00C90DB3">
        <w:rPr>
          <w:rStyle w:val="FootnoteReference"/>
          <w:rFonts w:ascii="Times New Roman" w:hAnsi="Times New Roman"/>
          <w:sz w:val="24"/>
        </w:rPr>
        <w:footnoteReference w:id="126"/>
      </w:r>
      <w:r w:rsidRPr="00C90DB3">
        <w:rPr>
          <w:rFonts w:ascii="Times New Roman" w:hAnsi="Times New Roman"/>
        </w:rPr>
        <w:t xml:space="preserve"> </w:t>
      </w:r>
      <w:proofErr w:type="spellStart"/>
      <w:r w:rsidRPr="00C90DB3">
        <w:rPr>
          <w:rFonts w:ascii="Times New Roman" w:hAnsi="Times New Roman"/>
        </w:rPr>
        <w:t>Callinan</w:t>
      </w:r>
      <w:proofErr w:type="spellEnd"/>
      <w:r w:rsidRPr="00C90DB3">
        <w:rPr>
          <w:rFonts w:ascii="Times New Roman" w:hAnsi="Times New Roman"/>
        </w:rPr>
        <w:t> J expressly warned against a plaintiff seeking in a "non</w:t>
      </w:r>
      <w:r w:rsidRPr="00C90DB3">
        <w:rPr>
          <w:rFonts w:ascii="Times New Roman" w:hAnsi="Times New Roman"/>
        </w:rPr>
        <w:noBreakHyphen/>
        <w:t>natural forum" to take advantage of "ambitious long-arm legislation" and "the powers of another court of the same polity".</w:t>
      </w:r>
      <w:r w:rsidRPr="00C90DB3">
        <w:rPr>
          <w:rStyle w:val="FootnoteReference"/>
          <w:rFonts w:ascii="Times New Roman" w:hAnsi="Times New Roman"/>
          <w:sz w:val="24"/>
        </w:rPr>
        <w:footnoteReference w:id="127"/>
      </w:r>
      <w:r w:rsidRPr="00C90DB3">
        <w:rPr>
          <w:rFonts w:ascii="Times New Roman" w:hAnsi="Times New Roman"/>
        </w:rPr>
        <w:t xml:space="preserve"> In rejecting the relevance of s 11A, </w:t>
      </w:r>
      <w:proofErr w:type="spellStart"/>
      <w:r w:rsidRPr="00C90DB3">
        <w:rPr>
          <w:rFonts w:ascii="Times New Roman" w:hAnsi="Times New Roman"/>
        </w:rPr>
        <w:t>Callinan</w:t>
      </w:r>
      <w:proofErr w:type="spellEnd"/>
      <w:r w:rsidRPr="00C90DB3">
        <w:rPr>
          <w:rFonts w:ascii="Times New Roman" w:hAnsi="Times New Roman"/>
        </w:rPr>
        <w:t> J, consistently with the expression of principle set out above, also warned against a court favouring one party over another in cases of this kind. His Honour said:</w:t>
      </w:r>
      <w:r w:rsidRPr="00C90DB3">
        <w:rPr>
          <w:rStyle w:val="FootnoteReference"/>
          <w:rFonts w:ascii="Times New Roman" w:hAnsi="Times New Roman"/>
          <w:sz w:val="24"/>
        </w:rPr>
        <w:footnoteReference w:id="128"/>
      </w:r>
    </w:p>
    <w:p w14:paraId="54080886"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t>"[O]</w:t>
      </w:r>
      <w:proofErr w:type="spellStart"/>
      <w:r w:rsidRPr="00C90DB3">
        <w:rPr>
          <w:rFonts w:ascii="Times New Roman" w:hAnsi="Times New Roman"/>
        </w:rPr>
        <w:t>ne</w:t>
      </w:r>
      <w:proofErr w:type="spellEnd"/>
      <w:r w:rsidRPr="00C90DB3">
        <w:rPr>
          <w:rFonts w:ascii="Times New Roman" w:hAnsi="Times New Roman"/>
        </w:rPr>
        <w:t xml:space="preserve"> person's legitimate advantage is another person's disadvantage. There should be no presumption in litigation in favour of any party. Courts are required to do equal justice. It is wrong to say that proceedings should be conducted in the, or indeed any Tribunal because a plaintiff, or for that matter a defendant, is likely to have a better chance of winning or more easily winning there. It seems that here, and the trial judge at first instance accepted, that the first respondent's professional advisers who had had considerable experience with the Tribunal, thought their client had better prospects as to liability and damages in the Tribunal than elsewhere. To give effect to that view if it be correct would not be to do equal justice in the cross-vesting application. Even if it be the case that the legislature of </w:t>
      </w:r>
      <w:r w:rsidRPr="00C90DB3">
        <w:rPr>
          <w:rFonts w:ascii="Times New Roman" w:hAnsi="Times New Roman"/>
        </w:rPr>
        <w:lastRenderedPageBreak/>
        <w:t xml:space="preserve">New South Wales </w:t>
      </w:r>
      <w:proofErr w:type="gramStart"/>
      <w:r w:rsidRPr="00C90DB3">
        <w:rPr>
          <w:rFonts w:ascii="Times New Roman" w:hAnsi="Times New Roman"/>
        </w:rPr>
        <w:t>were</w:t>
      </w:r>
      <w:proofErr w:type="gramEnd"/>
      <w:r w:rsidRPr="00C90DB3">
        <w:rPr>
          <w:rFonts w:ascii="Times New Roman" w:hAnsi="Times New Roman"/>
        </w:rPr>
        <w:t xml:space="preserve"> to think a claimant's advantage over a defendant a legitimate end, that could provide no basis for its imposition on other States and those entitled to litigate in the courts of them."</w:t>
      </w:r>
    </w:p>
    <w:p w14:paraId="533BE49B"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The foregoing passage is, with respect, entirely apt and is applicable here.</w:t>
      </w:r>
    </w:p>
    <w:p w14:paraId="3BBDE5AD" w14:textId="77777777" w:rsidR="005F3888" w:rsidRPr="00C90DB3" w:rsidRDefault="005F3888" w:rsidP="00C90DB3">
      <w:pPr>
        <w:pStyle w:val="HeadingL1"/>
        <w:spacing w:after="260" w:line="280" w:lineRule="exact"/>
        <w:ind w:right="0"/>
        <w:jc w:val="both"/>
        <w:rPr>
          <w:rFonts w:ascii="Times New Roman" w:hAnsi="Times New Roman"/>
        </w:rPr>
      </w:pPr>
      <w:r w:rsidRPr="00C90DB3">
        <w:rPr>
          <w:rFonts w:ascii="Times New Roman" w:hAnsi="Times New Roman"/>
        </w:rPr>
        <w:t>Stultification of proceedings</w:t>
      </w:r>
    </w:p>
    <w:p w14:paraId="7F20EFBE"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In making the GCO in the present proceeding, Dixon J observed that "[j]</w:t>
      </w:r>
      <w:proofErr w:type="spellStart"/>
      <w:r w:rsidRPr="00C90DB3">
        <w:rPr>
          <w:rFonts w:ascii="Times New Roman" w:hAnsi="Times New Roman"/>
        </w:rPr>
        <w:t>ustice</w:t>
      </w:r>
      <w:proofErr w:type="spellEnd"/>
      <w:r w:rsidRPr="00C90DB3">
        <w:rPr>
          <w:rFonts w:ascii="Times New Roman" w:hAnsi="Times New Roman"/>
        </w:rPr>
        <w:t xml:space="preserve"> cannot be done in the proceeding if the plaintiffs and group members are not able to pursue their claims through the proceeding and must abandon them".</w:t>
      </w:r>
      <w:r w:rsidRPr="00C90DB3">
        <w:rPr>
          <w:rStyle w:val="FootnoteReference"/>
          <w:rFonts w:ascii="Times New Roman" w:hAnsi="Times New Roman"/>
          <w:sz w:val="24"/>
        </w:rPr>
        <w:footnoteReference w:id="129"/>
      </w:r>
      <w:r w:rsidRPr="00C90DB3">
        <w:rPr>
          <w:rFonts w:ascii="Times New Roman" w:hAnsi="Times New Roman"/>
        </w:rPr>
        <w:t xml:space="preserve"> That, with respect, perhaps overstates matters. It must otherwise be accepted that if the proceeding does not remain in the Supreme Court of Victoria, with the benefit of the GCO, there is a clear risk that the proceeding may be stultified. It is worth noting that whether that risk is realised turns on commercial decisions which may be made by the funder – the cause of action will otherwise remain entirely intact. But, for </w:t>
      </w:r>
      <w:proofErr w:type="gramStart"/>
      <w:r w:rsidRPr="00C90DB3">
        <w:rPr>
          <w:rFonts w:ascii="Times New Roman" w:hAnsi="Times New Roman"/>
        </w:rPr>
        <w:t>a number of</w:t>
      </w:r>
      <w:proofErr w:type="gramEnd"/>
      <w:r w:rsidRPr="00C90DB3">
        <w:rPr>
          <w:rFonts w:ascii="Times New Roman" w:hAnsi="Times New Roman"/>
        </w:rPr>
        <w:t xml:space="preserve"> reasons, the potential for the stultification of proceedings is not, in the circumstances of this matter, a decisive consideration relevant to the exercise of power under s 1337H of the Corporations Act.</w:t>
      </w:r>
    </w:p>
    <w:p w14:paraId="2D9A3A52"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In the first instance, and for the reasons set out above, Dixon J's conclusion favours the interests of the representative plaintiffs and group members </w:t>
      </w:r>
      <w:r w:rsidRPr="00C90DB3">
        <w:rPr>
          <w:rFonts w:ascii="Times New Roman" w:hAnsi="Times New Roman"/>
          <w:i/>
          <w:iCs/>
        </w:rPr>
        <w:t>over</w:t>
      </w:r>
      <w:r w:rsidRPr="00C90DB3">
        <w:rPr>
          <w:rFonts w:ascii="Times New Roman" w:hAnsi="Times New Roman"/>
        </w:rPr>
        <w:t xml:space="preserve"> the interests of the defendants. In other words, an advantage that the defendants would have enjoyed in New South Wales – the natural forum – is equivalently stultified. In any jurisdiction but Victoria, the defendants might have avoided the cost and inconvenience of being sued in circumstances where the prospects of success of the plaintiffs' claims are such that, in all other jurisdictions where GCOs are not available, including New South Wales, it is likely that no one could have been persuaded to fund the proceeding.</w:t>
      </w:r>
      <w:r w:rsidRPr="00C90DB3">
        <w:rPr>
          <w:rStyle w:val="FootnoteReference"/>
          <w:rFonts w:ascii="Times New Roman" w:hAnsi="Times New Roman"/>
          <w:sz w:val="24"/>
        </w:rPr>
        <w:footnoteReference w:id="130"/>
      </w:r>
      <w:r w:rsidRPr="00C90DB3">
        <w:rPr>
          <w:rFonts w:ascii="Times New Roman" w:hAnsi="Times New Roman"/>
        </w:rPr>
        <w:t xml:space="preserve"> Indeed, inferentially, prior to 1 July 2020, it might not have been possible to commence the proceeding in any jurisdiction. Issues about the concept of access to justice should not be distorted because one jurisdiction has now passed "ambitious long-arm legislation". As this is a case where the plaintiffs' assumed advantage and the defendants' assumed disadvantage are commensurate, the issue of the GCO should have played no part in the reasoning of the Court of Appeal.</w:t>
      </w:r>
    </w:p>
    <w:p w14:paraId="10BC1DA7"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By </w:t>
      </w:r>
      <w:proofErr w:type="gramStart"/>
      <w:r w:rsidRPr="00C90DB3">
        <w:rPr>
          <w:rFonts w:ascii="Times New Roman" w:hAnsi="Times New Roman"/>
        </w:rPr>
        <w:t>taking into account</w:t>
      </w:r>
      <w:proofErr w:type="gramEnd"/>
      <w:r w:rsidRPr="00C90DB3">
        <w:rPr>
          <w:rFonts w:ascii="Times New Roman" w:hAnsi="Times New Roman"/>
        </w:rPr>
        <w:t xml:space="preserve"> the GCO as the decisive factor against transfer, the Court of Appeal has effectively chosen the legislative regime favoured in Victoria in competition with the legislative regime in New South Wales. Necessarily embedded in the observation that without the GCO the proceedings might cease is a preference for the law in Victoria only because it increased the possibility of </w:t>
      </w:r>
      <w:r w:rsidRPr="00C90DB3">
        <w:rPr>
          <w:rFonts w:ascii="Times New Roman" w:hAnsi="Times New Roman"/>
        </w:rPr>
        <w:lastRenderedPageBreak/>
        <w:t xml:space="preserve">success for the representative plaintiffs and group members. Such choices, for the reasons given above, should never have been made. Section 1337H should have been applied by reference to the usual connecting factors without any regard to the issue of the GCO and to the effect on the plaintiffs' case if the proceeding were to be transferred to a forum where such an order cannot be made. </w:t>
      </w:r>
    </w:p>
    <w:p w14:paraId="1BCA5C8C"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Of course, the general principle, as expressed above, will be acutely engaged where the advantage and disadvantage are commensurate. But there will be cases where that is not so. And there will also be cases where – even when the benefit and detriment correspond – it may nonetheless be appropriate to </w:t>
      </w:r>
      <w:proofErr w:type="gramStart"/>
      <w:r w:rsidRPr="00C90DB3">
        <w:rPr>
          <w:rFonts w:ascii="Times New Roman" w:hAnsi="Times New Roman"/>
        </w:rPr>
        <w:t>take into account</w:t>
      </w:r>
      <w:proofErr w:type="gramEnd"/>
      <w:r w:rsidRPr="00C90DB3">
        <w:rPr>
          <w:rFonts w:ascii="Times New Roman" w:hAnsi="Times New Roman"/>
        </w:rPr>
        <w:t xml:space="preserve"> the advantage conferred by one forum as a factor. Ultimately, everything turns upon the interests of justice for the purposes of s 1337H. As Lord Goff of Chieveley wrote in </w:t>
      </w:r>
      <w:proofErr w:type="spellStart"/>
      <w:r w:rsidRPr="00C90DB3">
        <w:rPr>
          <w:rFonts w:ascii="Times New Roman" w:hAnsi="Times New Roman"/>
          <w:i/>
          <w:iCs/>
        </w:rPr>
        <w:t>Spiliada</w:t>
      </w:r>
      <w:proofErr w:type="spellEnd"/>
      <w:r w:rsidRPr="00C90DB3">
        <w:rPr>
          <w:rFonts w:ascii="Times New Roman" w:hAnsi="Times New Roman"/>
          <w:i/>
          <w:iCs/>
        </w:rPr>
        <w:t xml:space="preserve"> Maritime Corporation v </w:t>
      </w:r>
      <w:proofErr w:type="spellStart"/>
      <w:r w:rsidRPr="00C90DB3">
        <w:rPr>
          <w:rFonts w:ascii="Times New Roman" w:hAnsi="Times New Roman"/>
          <w:i/>
          <w:iCs/>
        </w:rPr>
        <w:t>Cansulex</w:t>
      </w:r>
      <w:proofErr w:type="spellEnd"/>
      <w:r w:rsidRPr="00C90DB3">
        <w:rPr>
          <w:rFonts w:ascii="Times New Roman" w:hAnsi="Times New Roman"/>
          <w:i/>
          <w:iCs/>
        </w:rPr>
        <w:t xml:space="preserve"> Ltd</w:t>
      </w:r>
      <w:r w:rsidRPr="00C90DB3">
        <w:rPr>
          <w:rFonts w:ascii="Times New Roman" w:hAnsi="Times New Roman"/>
        </w:rPr>
        <w:t>:</w:t>
      </w:r>
      <w:r w:rsidRPr="00C90DB3">
        <w:rPr>
          <w:rStyle w:val="FootnoteReference"/>
          <w:rFonts w:ascii="Times New Roman" w:hAnsi="Times New Roman"/>
          <w:sz w:val="24"/>
        </w:rPr>
        <w:footnoteReference w:id="131"/>
      </w:r>
      <w:r w:rsidRPr="00C90DB3">
        <w:rPr>
          <w:rFonts w:ascii="Times New Roman" w:hAnsi="Times New Roman"/>
        </w:rPr>
        <w:t xml:space="preserve"> </w:t>
      </w:r>
    </w:p>
    <w:p w14:paraId="3D4D2846" w14:textId="77777777" w:rsidR="005F3888" w:rsidRDefault="005F3888" w:rsidP="00C90DB3">
      <w:pPr>
        <w:pStyle w:val="LeftrightafterHC"/>
        <w:spacing w:before="0" w:after="260" w:line="280" w:lineRule="exact"/>
        <w:ind w:right="0"/>
        <w:jc w:val="both"/>
        <w:rPr>
          <w:rFonts w:ascii="Times New Roman" w:hAnsi="Times New Roman"/>
        </w:rPr>
      </w:pPr>
      <w:r w:rsidRPr="00C90DB3">
        <w:rPr>
          <w:rFonts w:ascii="Times New Roman" w:hAnsi="Times New Roman"/>
        </w:rPr>
        <w:t xml:space="preserve">"If </w:t>
      </w:r>
      <w:proofErr w:type="gramStart"/>
      <w:r w:rsidRPr="00C90DB3">
        <w:rPr>
          <w:rFonts w:ascii="Times New Roman" w:hAnsi="Times New Roman"/>
        </w:rPr>
        <w:t>however</w:t>
      </w:r>
      <w:proofErr w:type="gramEnd"/>
      <w:r w:rsidRPr="00C90DB3">
        <w:rPr>
          <w:rFonts w:ascii="Times New Roman" w:hAnsi="Times New Roman"/>
        </w:rPr>
        <w:t xml:space="preserve"> the court concludes at that stage that there is some other available forum which prima facie is clearly more appropriate for the trial of the action, it will ordinarily grant a stay unless there are circumstances by reason of which justice requires that a stay should nevertheless not be granted. In this inquiry, the court will consider all the circumstances of the case, including circumstances which go beyond those </w:t>
      </w:r>
      <w:proofErr w:type="gramStart"/>
      <w:r w:rsidRPr="00C90DB3">
        <w:rPr>
          <w:rFonts w:ascii="Times New Roman" w:hAnsi="Times New Roman"/>
        </w:rPr>
        <w:t>taken into account</w:t>
      </w:r>
      <w:proofErr w:type="gramEnd"/>
      <w:r w:rsidRPr="00C90DB3">
        <w:rPr>
          <w:rFonts w:ascii="Times New Roman" w:hAnsi="Times New Roman"/>
        </w:rPr>
        <w:t xml:space="preserve"> when considering connecting factors with other jurisdictions. One such factor can be the fact, if established objectively by cogent evidence, that the plaintiff will not obtain justice in the foreign jurisdiction".</w:t>
      </w:r>
    </w:p>
    <w:p w14:paraId="540ECEDC"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This is not a case where the plaintiffs cannot obtain justice in New South Wales. This is not a case like </w:t>
      </w:r>
      <w:proofErr w:type="spellStart"/>
      <w:r w:rsidRPr="00C90DB3">
        <w:rPr>
          <w:rFonts w:ascii="Times New Roman" w:hAnsi="Times New Roman"/>
          <w:i/>
          <w:iCs/>
        </w:rPr>
        <w:t>Lungowe</w:t>
      </w:r>
      <w:proofErr w:type="spellEnd"/>
      <w:r w:rsidRPr="00C90DB3">
        <w:rPr>
          <w:rFonts w:ascii="Times New Roman" w:hAnsi="Times New Roman"/>
          <w:i/>
          <w:iCs/>
        </w:rPr>
        <w:t xml:space="preserve"> v Vedanta Resources plc</w:t>
      </w:r>
      <w:r w:rsidRPr="00C90DB3">
        <w:rPr>
          <w:rFonts w:ascii="Times New Roman" w:hAnsi="Times New Roman"/>
        </w:rPr>
        <w:t>,</w:t>
      </w:r>
      <w:r w:rsidRPr="00C90DB3">
        <w:rPr>
          <w:rFonts w:ascii="Times New Roman" w:hAnsi="Times New Roman"/>
          <w:i/>
          <w:iCs/>
        </w:rPr>
        <w:t xml:space="preserve"> </w:t>
      </w:r>
      <w:r w:rsidRPr="00C90DB3">
        <w:rPr>
          <w:rFonts w:ascii="Times New Roman" w:hAnsi="Times New Roman"/>
        </w:rPr>
        <w:t>where Lord Briggs JSC in the Supreme Court of the United Kingdom concluded that substantial justice would be unavailable in Zambia, because, amongst other things, there was an absence "within Zambia of sufficiently substantial and suitably experienced legal teams".</w:t>
      </w:r>
      <w:r w:rsidRPr="00C90DB3">
        <w:rPr>
          <w:rStyle w:val="FootnoteReference"/>
          <w:rFonts w:ascii="Times New Roman" w:hAnsi="Times New Roman"/>
          <w:sz w:val="24"/>
        </w:rPr>
        <w:footnoteReference w:id="132"/>
      </w:r>
      <w:r w:rsidRPr="00C90DB3">
        <w:rPr>
          <w:rFonts w:ascii="Times New Roman" w:hAnsi="Times New Roman"/>
        </w:rPr>
        <w:t xml:space="preserve"> Here, New South Wales did not cease to be a place where the plaintiffs could obtain substantial justice merely because, from 1 July 2020, Victoria introduced laws permitting contingency fee arrangements. Bearing in mind the national ban on such arrangements, it cannot and should not be concluded that </w:t>
      </w:r>
      <w:proofErr w:type="gramStart"/>
      <w:r w:rsidRPr="00C90DB3">
        <w:rPr>
          <w:rFonts w:ascii="Times New Roman" w:hAnsi="Times New Roman"/>
        </w:rPr>
        <w:t>all of</w:t>
      </w:r>
      <w:proofErr w:type="gramEnd"/>
      <w:r w:rsidRPr="00C90DB3">
        <w:rPr>
          <w:rFonts w:ascii="Times New Roman" w:hAnsi="Times New Roman"/>
        </w:rPr>
        <w:t xml:space="preserve"> those jurisdictions that have adhered faithfully to that ban are not suitable forums for the pursuit of class actions.</w:t>
      </w:r>
    </w:p>
    <w:p w14:paraId="5722A80F" w14:textId="77777777" w:rsidR="005F3888" w:rsidRPr="00C90DB3" w:rsidRDefault="005F3888" w:rsidP="00C90DB3">
      <w:pPr>
        <w:pStyle w:val="FixListStyle"/>
        <w:spacing w:after="260" w:line="280" w:lineRule="exact"/>
        <w:ind w:right="0"/>
        <w:jc w:val="both"/>
        <w:rPr>
          <w:rFonts w:ascii="Times New Roman" w:hAnsi="Times New Roman"/>
        </w:rPr>
      </w:pPr>
      <w:r w:rsidRPr="00C90DB3">
        <w:rPr>
          <w:rFonts w:ascii="Times New Roman" w:hAnsi="Times New Roman"/>
        </w:rPr>
        <w:tab/>
        <w:t xml:space="preserve">Nor is this a case where there are any other factors in play that might tilt the balance in favour of Victoria. This is not a case where the need to secure a remedy is compelling. No claim was made that either of the representative plaintiffs, or any group member, is suffering egregiously because of losses incurred from </w:t>
      </w:r>
      <w:r w:rsidRPr="00C90DB3">
        <w:rPr>
          <w:rFonts w:ascii="Times New Roman" w:hAnsi="Times New Roman"/>
        </w:rPr>
        <w:lastRenderedPageBreak/>
        <w:t>investing in Arrium Ltd during the relevant period. This is not a case where any person has been physically injured, nor is it a case where the plaintiff is suffering from a terminal illness. This is a class action which alleges misleading and deceptive conduct concerning a capital raising and the contents of financial statements. If the group members are successful, the solicitors will become entitled to 40% of the amount of any award or settlement that may be recovered inclusive of GST. At least in part from their perspective, and certainly wholly from the outlook of the funder, this proceeding is nothing less than an investment from which they seek to profit. This vivid commercialisation of class actions should be steadily borne in mind when addressing the more noble issue of access to justice.</w:t>
      </w:r>
      <w:r w:rsidRPr="00C90DB3">
        <w:rPr>
          <w:rStyle w:val="FootnoteReference"/>
          <w:rFonts w:ascii="Times New Roman" w:hAnsi="Times New Roman"/>
          <w:sz w:val="24"/>
        </w:rPr>
        <w:footnoteReference w:id="133"/>
      </w:r>
    </w:p>
    <w:p w14:paraId="679634FE" w14:textId="77777777" w:rsidR="005F3888" w:rsidRPr="00C90DB3" w:rsidRDefault="005F3888" w:rsidP="00C90DB3">
      <w:pPr>
        <w:pStyle w:val="HeadingL1"/>
        <w:spacing w:after="260" w:line="280" w:lineRule="exact"/>
        <w:ind w:right="0"/>
        <w:jc w:val="both"/>
        <w:rPr>
          <w:rFonts w:ascii="Times New Roman" w:hAnsi="Times New Roman"/>
        </w:rPr>
      </w:pPr>
      <w:r w:rsidRPr="00C90DB3">
        <w:rPr>
          <w:rFonts w:ascii="Times New Roman" w:hAnsi="Times New Roman"/>
        </w:rPr>
        <w:t>Disposition</w:t>
      </w:r>
    </w:p>
    <w:p w14:paraId="2DD7E959" w14:textId="76C4362E" w:rsidR="00251343" w:rsidRPr="005F3888" w:rsidRDefault="005F3888" w:rsidP="005F3888">
      <w:pPr>
        <w:pStyle w:val="FixListStyle"/>
        <w:spacing w:after="260" w:line="280" w:lineRule="exact"/>
        <w:ind w:right="0"/>
        <w:jc w:val="both"/>
        <w:rPr>
          <w:rFonts w:ascii="Times New Roman" w:hAnsi="Times New Roman"/>
        </w:rPr>
      </w:pPr>
      <w:r w:rsidRPr="00C90DB3">
        <w:rPr>
          <w:rFonts w:ascii="Times New Roman" w:hAnsi="Times New Roman"/>
        </w:rPr>
        <w:tab/>
        <w:t>I would answer the first question reserved before the Court of Appeal and removed into this Court as follows: No. I would otherwise give the same answers to question 2 as proposed by Gageler CJ, Gordon, Gleeson, Jagot and Beech-Jones JJ. I would remit consideration of question 3 to the Court of Appeal to determine the application for transfer in accordance with these reasons. The plaintiffs should pay the costs of the defendants.</w:t>
      </w:r>
    </w:p>
    <w:sectPr w:rsidR="00251343" w:rsidRPr="005F3888" w:rsidSect="005F3888">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2C61" w14:textId="77777777" w:rsidR="00786677" w:rsidRDefault="00786677">
      <w:pPr>
        <w:spacing w:line="240" w:lineRule="auto"/>
      </w:pPr>
      <w:r>
        <w:separator/>
      </w:r>
    </w:p>
  </w:endnote>
  <w:endnote w:type="continuationSeparator" w:id="0">
    <w:p w14:paraId="2C949886" w14:textId="77777777" w:rsidR="00786677" w:rsidRDefault="00786677">
      <w:pPr>
        <w:spacing w:line="240" w:lineRule="auto"/>
      </w:pPr>
      <w:r>
        <w:continuationSeparator/>
      </w:r>
    </w:p>
  </w:endnote>
  <w:endnote w:type="continuationNotice" w:id="1">
    <w:p w14:paraId="74E73E27" w14:textId="77777777" w:rsidR="00786677" w:rsidRDefault="007866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C136" w14:textId="77777777" w:rsidR="00FC7DC8" w:rsidRDefault="00FC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D6E8" w14:textId="77777777" w:rsidR="00FC7DC8" w:rsidRDefault="00FC7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9D64" w14:textId="77777777" w:rsidR="00FC7DC8" w:rsidRDefault="00FC7D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9CF3" w14:textId="77777777" w:rsidR="00FC7DC8" w:rsidRDefault="00FC7D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D1B6" w14:textId="77777777" w:rsidR="00FC7DC8" w:rsidRDefault="00FC7D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7195" w14:textId="77777777" w:rsidR="00FC7DC8" w:rsidRDefault="00FC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A726" w14:textId="77777777" w:rsidR="00786677" w:rsidRPr="00391B86" w:rsidRDefault="00786677" w:rsidP="00391B86">
      <w:pPr>
        <w:pStyle w:val="Footer"/>
        <w:spacing w:before="120" w:after="20"/>
        <w:ind w:right="0"/>
        <w:rPr>
          <w:rFonts w:ascii="Times New Roman" w:hAnsi="Times New Roman"/>
        </w:rPr>
      </w:pPr>
      <w:r>
        <w:continuationSeparator/>
      </w:r>
    </w:p>
  </w:footnote>
  <w:footnote w:type="continuationSeparator" w:id="0">
    <w:p w14:paraId="35259CA0" w14:textId="77777777" w:rsidR="00786677" w:rsidRPr="00391B86" w:rsidRDefault="00786677" w:rsidP="00391B86">
      <w:pPr>
        <w:pStyle w:val="Footer"/>
        <w:spacing w:before="120" w:after="20"/>
        <w:ind w:right="0"/>
        <w:rPr>
          <w:rFonts w:ascii="Times New Roman" w:hAnsi="Times New Roman"/>
        </w:rPr>
      </w:pPr>
      <w:r w:rsidRPr="00391B86">
        <w:rPr>
          <w:rFonts w:ascii="Times New Roman" w:hAnsi="Times New Roman"/>
        </w:rPr>
        <w:continuationSeparator/>
      </w:r>
    </w:p>
  </w:footnote>
  <w:footnote w:type="continuationNotice" w:id="1">
    <w:p w14:paraId="50532704" w14:textId="77777777" w:rsidR="00786677" w:rsidRPr="005F3888" w:rsidRDefault="00786677">
      <w:pPr>
        <w:jc w:val="right"/>
        <w:rPr>
          <w:rFonts w:ascii="Times New Roman" w:hAnsi="Times New Roman"/>
          <w:sz w:val="24"/>
        </w:rPr>
      </w:pPr>
    </w:p>
  </w:footnote>
  <w:footnote w:id="2">
    <w:p w14:paraId="4FB0E63C" w14:textId="21AF63B0" w:rsidR="00350111" w:rsidRPr="00391B86" w:rsidRDefault="00350111"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361097" w:rsidRPr="00391B86">
        <w:rPr>
          <w:rFonts w:ascii="Times New Roman" w:hAnsi="Times New Roman"/>
          <w:sz w:val="24"/>
        </w:rPr>
        <w:tab/>
        <w:t xml:space="preserve">See </w:t>
      </w:r>
      <w:r w:rsidR="00BE69E2" w:rsidRPr="00391B86">
        <w:rPr>
          <w:rFonts w:ascii="Times New Roman" w:hAnsi="Times New Roman"/>
          <w:i/>
          <w:iCs/>
          <w:sz w:val="24"/>
        </w:rPr>
        <w:t>Legal Profession Uniform Law</w:t>
      </w:r>
      <w:r w:rsidR="00BE69E2" w:rsidRPr="00391B86">
        <w:rPr>
          <w:rFonts w:ascii="Times New Roman" w:hAnsi="Times New Roman"/>
          <w:sz w:val="24"/>
        </w:rPr>
        <w:t xml:space="preserve"> (NSW), s 183; </w:t>
      </w:r>
      <w:r w:rsidR="00361097" w:rsidRPr="00391B86">
        <w:rPr>
          <w:rFonts w:ascii="Times New Roman" w:hAnsi="Times New Roman"/>
          <w:i/>
          <w:iCs/>
          <w:sz w:val="24"/>
        </w:rPr>
        <w:t>Legal Profession Uniform Law</w:t>
      </w:r>
      <w:r w:rsidR="00361097" w:rsidRPr="00391B86">
        <w:rPr>
          <w:rFonts w:ascii="Times New Roman" w:hAnsi="Times New Roman"/>
          <w:sz w:val="24"/>
        </w:rPr>
        <w:t xml:space="preserve"> (Vic)</w:t>
      </w:r>
      <w:r w:rsidR="00CC0B6C" w:rsidRPr="00391B86">
        <w:rPr>
          <w:rFonts w:ascii="Times New Roman" w:hAnsi="Times New Roman"/>
          <w:sz w:val="24"/>
        </w:rPr>
        <w:t>,</w:t>
      </w:r>
      <w:r w:rsidR="00361097" w:rsidRPr="00391B86">
        <w:rPr>
          <w:rFonts w:ascii="Times New Roman" w:hAnsi="Times New Roman"/>
          <w:sz w:val="24"/>
        </w:rPr>
        <w:t xml:space="preserve"> s 183;</w:t>
      </w:r>
      <w:r w:rsidR="00FC1ABE" w:rsidRPr="00391B86">
        <w:rPr>
          <w:rFonts w:ascii="Times New Roman" w:hAnsi="Times New Roman"/>
          <w:sz w:val="24"/>
        </w:rPr>
        <w:t xml:space="preserve"> </w:t>
      </w:r>
      <w:r w:rsidR="00361097" w:rsidRPr="00391B86">
        <w:rPr>
          <w:rFonts w:ascii="Times New Roman" w:hAnsi="Times New Roman"/>
          <w:i/>
          <w:iCs/>
          <w:sz w:val="24"/>
        </w:rPr>
        <w:t xml:space="preserve">Legal Practitioners Act 1981 </w:t>
      </w:r>
      <w:r w:rsidR="00361097" w:rsidRPr="00391B86">
        <w:rPr>
          <w:rFonts w:ascii="Times New Roman" w:hAnsi="Times New Roman"/>
          <w:sz w:val="24"/>
        </w:rPr>
        <w:t>(SA)</w:t>
      </w:r>
      <w:r w:rsidR="00CC0B6C" w:rsidRPr="00391B86">
        <w:rPr>
          <w:rFonts w:ascii="Times New Roman" w:hAnsi="Times New Roman"/>
          <w:sz w:val="24"/>
        </w:rPr>
        <w:t>,</w:t>
      </w:r>
      <w:r w:rsidR="00FA1C0D" w:rsidRPr="00391B86">
        <w:rPr>
          <w:rFonts w:ascii="Times New Roman" w:hAnsi="Times New Roman"/>
          <w:sz w:val="24"/>
        </w:rPr>
        <w:t xml:space="preserve"> Sch </w:t>
      </w:r>
      <w:r w:rsidR="00B07A49" w:rsidRPr="00391B86">
        <w:rPr>
          <w:rFonts w:ascii="Times New Roman" w:hAnsi="Times New Roman"/>
          <w:sz w:val="24"/>
        </w:rPr>
        <w:t>3</w:t>
      </w:r>
      <w:r w:rsidR="00FA1C0D" w:rsidRPr="00391B86">
        <w:rPr>
          <w:rFonts w:ascii="Times New Roman" w:hAnsi="Times New Roman"/>
          <w:sz w:val="24"/>
        </w:rPr>
        <w:t>,</w:t>
      </w:r>
      <w:r w:rsidR="00361097" w:rsidRPr="00391B86">
        <w:rPr>
          <w:rFonts w:ascii="Times New Roman" w:hAnsi="Times New Roman"/>
          <w:sz w:val="24"/>
        </w:rPr>
        <w:t xml:space="preserve"> </w:t>
      </w:r>
      <w:r w:rsidR="00FA1C0D" w:rsidRPr="00391B86">
        <w:rPr>
          <w:rFonts w:ascii="Times New Roman" w:hAnsi="Times New Roman"/>
          <w:sz w:val="24"/>
        </w:rPr>
        <w:t xml:space="preserve">cl </w:t>
      </w:r>
      <w:r w:rsidR="00361097" w:rsidRPr="00391B86">
        <w:rPr>
          <w:rFonts w:ascii="Times New Roman" w:hAnsi="Times New Roman"/>
          <w:sz w:val="24"/>
        </w:rPr>
        <w:t xml:space="preserve">27; </w:t>
      </w:r>
      <w:r w:rsidR="00D43FB9" w:rsidRPr="00391B86">
        <w:rPr>
          <w:rFonts w:ascii="Times New Roman" w:hAnsi="Times New Roman"/>
          <w:i/>
          <w:iCs/>
          <w:sz w:val="24"/>
        </w:rPr>
        <w:t xml:space="preserve">Legal Profession Act 2007 </w:t>
      </w:r>
      <w:r w:rsidR="00D43FB9" w:rsidRPr="00391B86">
        <w:rPr>
          <w:rFonts w:ascii="Times New Roman" w:hAnsi="Times New Roman"/>
          <w:sz w:val="24"/>
        </w:rPr>
        <w:t xml:space="preserve">(Qld), s 325; </w:t>
      </w:r>
      <w:r w:rsidR="00D43FB9" w:rsidRPr="00391B86">
        <w:rPr>
          <w:rFonts w:ascii="Times New Roman" w:hAnsi="Times New Roman"/>
          <w:i/>
          <w:iCs/>
          <w:sz w:val="24"/>
        </w:rPr>
        <w:t>Legal Profession Uniform Law</w:t>
      </w:r>
      <w:r w:rsidR="00D43FB9" w:rsidRPr="00391B86">
        <w:rPr>
          <w:rFonts w:ascii="Times New Roman" w:hAnsi="Times New Roman"/>
          <w:sz w:val="24"/>
        </w:rPr>
        <w:t xml:space="preserve"> (WA), s 183; </w:t>
      </w:r>
      <w:r w:rsidR="00361097" w:rsidRPr="00391B86">
        <w:rPr>
          <w:rFonts w:ascii="Times New Roman" w:hAnsi="Times New Roman"/>
          <w:i/>
          <w:iCs/>
          <w:sz w:val="24"/>
        </w:rPr>
        <w:t>Legal Profession Act 2007</w:t>
      </w:r>
      <w:r w:rsidR="00361097" w:rsidRPr="00391B86">
        <w:rPr>
          <w:rFonts w:ascii="Times New Roman" w:hAnsi="Times New Roman"/>
          <w:sz w:val="24"/>
        </w:rPr>
        <w:t xml:space="preserve"> (Tas)</w:t>
      </w:r>
      <w:r w:rsidR="00CC0B6C" w:rsidRPr="00391B86">
        <w:rPr>
          <w:rFonts w:ascii="Times New Roman" w:hAnsi="Times New Roman"/>
          <w:sz w:val="24"/>
        </w:rPr>
        <w:t>,</w:t>
      </w:r>
      <w:r w:rsidR="00361097" w:rsidRPr="00391B86">
        <w:rPr>
          <w:rFonts w:ascii="Times New Roman" w:hAnsi="Times New Roman"/>
          <w:sz w:val="24"/>
        </w:rPr>
        <w:t xml:space="preserve"> s 309</w:t>
      </w:r>
      <w:r w:rsidR="009D7AA9" w:rsidRPr="00391B86">
        <w:rPr>
          <w:rFonts w:ascii="Times New Roman" w:hAnsi="Times New Roman"/>
          <w:sz w:val="24"/>
        </w:rPr>
        <w:t xml:space="preserve">; </w:t>
      </w:r>
      <w:r w:rsidR="009D7AA9" w:rsidRPr="00391B86">
        <w:rPr>
          <w:rFonts w:ascii="Times New Roman" w:hAnsi="Times New Roman"/>
          <w:i/>
          <w:iCs/>
          <w:sz w:val="24"/>
        </w:rPr>
        <w:t>Legal Profession Act 2006</w:t>
      </w:r>
      <w:r w:rsidR="009D7AA9" w:rsidRPr="00391B86">
        <w:rPr>
          <w:rFonts w:ascii="Times New Roman" w:hAnsi="Times New Roman"/>
          <w:sz w:val="24"/>
        </w:rPr>
        <w:t xml:space="preserve"> (NT), s 320</w:t>
      </w:r>
      <w:r w:rsidR="003254EA" w:rsidRPr="00391B86">
        <w:rPr>
          <w:rFonts w:ascii="Times New Roman" w:hAnsi="Times New Roman"/>
          <w:sz w:val="24"/>
        </w:rPr>
        <w:t>;</w:t>
      </w:r>
      <w:r w:rsidR="003254EA" w:rsidRPr="00391B86">
        <w:rPr>
          <w:rFonts w:ascii="Times New Roman" w:hAnsi="Times New Roman"/>
          <w:i/>
          <w:iCs/>
          <w:sz w:val="24"/>
        </w:rPr>
        <w:t xml:space="preserve"> Legal Profession Act 2006 </w:t>
      </w:r>
      <w:r w:rsidR="003254EA" w:rsidRPr="00391B86">
        <w:rPr>
          <w:rFonts w:ascii="Times New Roman" w:hAnsi="Times New Roman"/>
          <w:sz w:val="24"/>
        </w:rPr>
        <w:t>(ACT), s 285</w:t>
      </w:r>
      <w:r w:rsidR="00361097" w:rsidRPr="00391B86">
        <w:rPr>
          <w:rFonts w:ascii="Times New Roman" w:hAnsi="Times New Roman"/>
          <w:sz w:val="24"/>
        </w:rPr>
        <w:t>.</w:t>
      </w:r>
    </w:p>
  </w:footnote>
  <w:footnote w:id="3">
    <w:p w14:paraId="6E38285A" w14:textId="147B8D30" w:rsidR="00112657" w:rsidRPr="00391B86" w:rsidRDefault="00112657"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BC3149" w:rsidRPr="00391B86">
        <w:rPr>
          <w:rFonts w:ascii="Times New Roman" w:hAnsi="Times New Roman"/>
          <w:sz w:val="24"/>
        </w:rPr>
        <w:tab/>
      </w:r>
      <w:r w:rsidR="00AA3211" w:rsidRPr="00391B86">
        <w:rPr>
          <w:rFonts w:ascii="Times New Roman" w:hAnsi="Times New Roman"/>
          <w:sz w:val="24"/>
        </w:rPr>
        <w:t xml:space="preserve">See </w:t>
      </w:r>
      <w:r w:rsidR="00EE6B96" w:rsidRPr="00391B86">
        <w:rPr>
          <w:rFonts w:ascii="Times New Roman" w:hAnsi="Times New Roman"/>
          <w:i/>
          <w:iCs/>
          <w:sz w:val="24"/>
        </w:rPr>
        <w:t>Corporations (Commonwealth Powers) Act 2001</w:t>
      </w:r>
      <w:r w:rsidR="00EE6B96" w:rsidRPr="00391B86">
        <w:rPr>
          <w:rFonts w:ascii="Times New Roman" w:hAnsi="Times New Roman"/>
          <w:sz w:val="24"/>
        </w:rPr>
        <w:t xml:space="preserve"> (NSW); </w:t>
      </w:r>
      <w:r w:rsidR="008E2757" w:rsidRPr="00391B86">
        <w:rPr>
          <w:rFonts w:ascii="Times New Roman" w:hAnsi="Times New Roman"/>
          <w:i/>
          <w:iCs/>
          <w:sz w:val="24"/>
        </w:rPr>
        <w:t>Corporations (Commonwealth Powers) Act 2001</w:t>
      </w:r>
      <w:r w:rsidR="008E2757" w:rsidRPr="00391B86">
        <w:rPr>
          <w:rFonts w:ascii="Times New Roman" w:hAnsi="Times New Roman"/>
          <w:sz w:val="24"/>
        </w:rPr>
        <w:t xml:space="preserve"> (Vic)</w:t>
      </w:r>
      <w:r w:rsidR="00CA2F1D" w:rsidRPr="00391B86">
        <w:rPr>
          <w:rFonts w:ascii="Times New Roman" w:hAnsi="Times New Roman"/>
          <w:sz w:val="24"/>
        </w:rPr>
        <w:t xml:space="preserve">; </w:t>
      </w:r>
      <w:r w:rsidR="0045711B" w:rsidRPr="00391B86">
        <w:rPr>
          <w:rFonts w:ascii="Times New Roman" w:hAnsi="Times New Roman"/>
          <w:i/>
          <w:iCs/>
          <w:sz w:val="24"/>
        </w:rPr>
        <w:t>Corporations (Commonwealth Powers) Act 2001</w:t>
      </w:r>
      <w:r w:rsidR="0045711B" w:rsidRPr="00391B86">
        <w:rPr>
          <w:rFonts w:ascii="Times New Roman" w:hAnsi="Times New Roman"/>
          <w:sz w:val="24"/>
        </w:rPr>
        <w:t xml:space="preserve"> (SA); </w:t>
      </w:r>
      <w:r w:rsidR="00E96809" w:rsidRPr="00391B86">
        <w:rPr>
          <w:rFonts w:ascii="Times New Roman" w:hAnsi="Times New Roman"/>
          <w:i/>
          <w:iCs/>
          <w:sz w:val="24"/>
        </w:rPr>
        <w:t>Corporations (Commonwealth Powers) Act 2001</w:t>
      </w:r>
      <w:r w:rsidR="00E96809" w:rsidRPr="00391B86">
        <w:rPr>
          <w:rFonts w:ascii="Times New Roman" w:hAnsi="Times New Roman"/>
          <w:sz w:val="24"/>
        </w:rPr>
        <w:t xml:space="preserve"> (Qld); </w:t>
      </w:r>
      <w:r w:rsidR="00DF527B" w:rsidRPr="00391B86">
        <w:rPr>
          <w:rFonts w:ascii="Times New Roman" w:hAnsi="Times New Roman"/>
          <w:i/>
          <w:iCs/>
          <w:sz w:val="24"/>
        </w:rPr>
        <w:t>Corporations (Commonwealth Powers) Act 2001</w:t>
      </w:r>
      <w:r w:rsidR="00DF527B" w:rsidRPr="00391B86">
        <w:rPr>
          <w:rFonts w:ascii="Times New Roman" w:hAnsi="Times New Roman"/>
          <w:sz w:val="24"/>
        </w:rPr>
        <w:t xml:space="preserve"> (WA); </w:t>
      </w:r>
      <w:r w:rsidR="005F28F4" w:rsidRPr="00391B86">
        <w:rPr>
          <w:rFonts w:ascii="Times New Roman" w:hAnsi="Times New Roman"/>
          <w:i/>
          <w:sz w:val="24"/>
        </w:rPr>
        <w:t>Corporations (Commonwealth Powers) Act 2001</w:t>
      </w:r>
      <w:r w:rsidR="005F28F4" w:rsidRPr="00391B86">
        <w:rPr>
          <w:rFonts w:ascii="Times New Roman" w:hAnsi="Times New Roman"/>
          <w:sz w:val="24"/>
        </w:rPr>
        <w:t xml:space="preserve"> (Tas).</w:t>
      </w:r>
    </w:p>
  </w:footnote>
  <w:footnote w:id="4">
    <w:p w14:paraId="16F69814" w14:textId="095B7E07" w:rsidR="0064230A" w:rsidRPr="00391B86" w:rsidRDefault="0064230A"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49348C" w:rsidRPr="00391B86">
        <w:rPr>
          <w:rFonts w:ascii="Times New Roman" w:hAnsi="Times New Roman"/>
          <w:sz w:val="24"/>
        </w:rPr>
        <w:tab/>
        <w:t>Section 3(1) of the Corporations Act.</w:t>
      </w:r>
    </w:p>
  </w:footnote>
  <w:footnote w:id="5">
    <w:p w14:paraId="47F6357E" w14:textId="62E41B70" w:rsidR="00CF3CE8" w:rsidRPr="00391B86" w:rsidRDefault="00CF3CE8"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009515A0" w:rsidRPr="00391B86">
        <w:rPr>
          <w:rFonts w:ascii="Times New Roman" w:hAnsi="Times New Roman"/>
          <w:sz w:val="24"/>
        </w:rPr>
        <w:t>Se</w:t>
      </w:r>
      <w:r w:rsidR="00DA0E86" w:rsidRPr="00391B86">
        <w:rPr>
          <w:rFonts w:ascii="Times New Roman" w:hAnsi="Times New Roman"/>
          <w:sz w:val="24"/>
        </w:rPr>
        <w:t>e s 1337A</w:t>
      </w:r>
      <w:r w:rsidR="00826AA3" w:rsidRPr="00391B86">
        <w:rPr>
          <w:rFonts w:ascii="Times New Roman" w:hAnsi="Times New Roman"/>
          <w:sz w:val="24"/>
        </w:rPr>
        <w:t>(1)(a) and s</w:t>
      </w:r>
      <w:r w:rsidR="009515A0" w:rsidRPr="00391B86">
        <w:rPr>
          <w:rFonts w:ascii="Times New Roman" w:hAnsi="Times New Roman"/>
          <w:sz w:val="24"/>
        </w:rPr>
        <w:t xml:space="preserve"> </w:t>
      </w:r>
      <w:r w:rsidR="007D35D4" w:rsidRPr="00391B86">
        <w:rPr>
          <w:rFonts w:ascii="Times New Roman" w:hAnsi="Times New Roman"/>
          <w:sz w:val="24"/>
        </w:rPr>
        <w:t xml:space="preserve">9 (definition of </w:t>
      </w:r>
      <w:r w:rsidR="00FC3002" w:rsidRPr="00391B86">
        <w:rPr>
          <w:rFonts w:ascii="Times New Roman" w:hAnsi="Times New Roman"/>
          <w:sz w:val="24"/>
        </w:rPr>
        <w:t>"Corporations legislation")</w:t>
      </w:r>
      <w:r w:rsidR="00826AA3" w:rsidRPr="00391B86">
        <w:rPr>
          <w:rFonts w:ascii="Times New Roman" w:hAnsi="Times New Roman"/>
          <w:sz w:val="24"/>
        </w:rPr>
        <w:t xml:space="preserve"> of the Corporations Act</w:t>
      </w:r>
      <w:r w:rsidR="00FC3002" w:rsidRPr="00391B86">
        <w:rPr>
          <w:rFonts w:ascii="Times New Roman" w:hAnsi="Times New Roman"/>
          <w:sz w:val="24"/>
        </w:rPr>
        <w:t>.</w:t>
      </w:r>
    </w:p>
  </w:footnote>
  <w:footnote w:id="6">
    <w:p w14:paraId="3C2BD343" w14:textId="4EEF1CEF" w:rsidR="00EA3C8F" w:rsidRPr="00391B86" w:rsidRDefault="00EA3C8F"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 xml:space="preserve">Section 1337A(1)(a) </w:t>
      </w:r>
      <w:r w:rsidR="003C3480" w:rsidRPr="00391B86">
        <w:rPr>
          <w:rFonts w:ascii="Times New Roman" w:hAnsi="Times New Roman"/>
          <w:sz w:val="24"/>
        </w:rPr>
        <w:t>of the Corporations Act.</w:t>
      </w:r>
    </w:p>
  </w:footnote>
  <w:footnote w:id="7">
    <w:p w14:paraId="02F184F3" w14:textId="6ABDDC71" w:rsidR="003C3480" w:rsidRPr="00391B86" w:rsidRDefault="003C3480"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Section 1337</w:t>
      </w:r>
      <w:r w:rsidRPr="00391B86">
        <w:rPr>
          <w:rFonts w:ascii="Times New Roman" w:hAnsi="Times New Roman"/>
          <w:sz w:val="24"/>
        </w:rPr>
        <w:t>A(2) of the Corporations Act.</w:t>
      </w:r>
    </w:p>
  </w:footnote>
  <w:footnote w:id="8">
    <w:p w14:paraId="60D61436" w14:textId="14D67A70" w:rsidR="00A7726D" w:rsidRPr="00391B86" w:rsidRDefault="00A7726D"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 xml:space="preserve">Gordon v </w:t>
      </w:r>
      <w:r w:rsidRPr="00391B86">
        <w:rPr>
          <w:rFonts w:ascii="Times New Roman" w:hAnsi="Times New Roman"/>
          <w:i/>
          <w:iCs/>
          <w:sz w:val="24"/>
        </w:rPr>
        <w:t>Tolcher</w:t>
      </w:r>
      <w:r w:rsidRPr="00391B86">
        <w:rPr>
          <w:rFonts w:ascii="Times New Roman" w:hAnsi="Times New Roman"/>
          <w:sz w:val="24"/>
        </w:rPr>
        <w:t xml:space="preserve"> (2006) 231 CLR </w:t>
      </w:r>
      <w:r w:rsidR="005B0485" w:rsidRPr="00391B86">
        <w:rPr>
          <w:rFonts w:ascii="Times New Roman" w:hAnsi="Times New Roman"/>
          <w:sz w:val="24"/>
        </w:rPr>
        <w:t>3</w:t>
      </w:r>
      <w:r w:rsidRPr="00391B86">
        <w:rPr>
          <w:rFonts w:ascii="Times New Roman" w:hAnsi="Times New Roman"/>
          <w:sz w:val="24"/>
        </w:rPr>
        <w:t>34 at 345 [29]</w:t>
      </w:r>
      <w:r w:rsidR="001F3D7A" w:rsidRPr="00391B86">
        <w:rPr>
          <w:rFonts w:ascii="Times New Roman" w:hAnsi="Times New Roman"/>
          <w:sz w:val="24"/>
        </w:rPr>
        <w:t xml:space="preserve">, </w:t>
      </w:r>
      <w:r w:rsidR="008B4F54" w:rsidRPr="00391B86">
        <w:rPr>
          <w:rFonts w:ascii="Times New Roman" w:hAnsi="Times New Roman"/>
          <w:sz w:val="24"/>
        </w:rPr>
        <w:t xml:space="preserve">348 [40]; </w:t>
      </w:r>
      <w:r w:rsidR="008B4F54" w:rsidRPr="00391B86">
        <w:rPr>
          <w:rFonts w:ascii="Times New Roman" w:hAnsi="Times New Roman"/>
          <w:i/>
          <w:iCs/>
          <w:sz w:val="24"/>
        </w:rPr>
        <w:t xml:space="preserve">Grant Samuel Corporate Finance </w:t>
      </w:r>
      <w:r w:rsidR="005D77ED" w:rsidRPr="00391B86">
        <w:rPr>
          <w:rFonts w:ascii="Times New Roman" w:hAnsi="Times New Roman"/>
          <w:i/>
          <w:iCs/>
          <w:sz w:val="24"/>
        </w:rPr>
        <w:t xml:space="preserve">Pty </w:t>
      </w:r>
      <w:r w:rsidR="008B4F54" w:rsidRPr="00391B86">
        <w:rPr>
          <w:rFonts w:ascii="Times New Roman" w:hAnsi="Times New Roman"/>
          <w:i/>
          <w:iCs/>
          <w:sz w:val="24"/>
        </w:rPr>
        <w:t>Ltd v Fletcher</w:t>
      </w:r>
      <w:r w:rsidR="008B4F54" w:rsidRPr="00391B86">
        <w:rPr>
          <w:rFonts w:ascii="Times New Roman" w:hAnsi="Times New Roman"/>
          <w:sz w:val="24"/>
        </w:rPr>
        <w:t xml:space="preserve"> </w:t>
      </w:r>
      <w:r w:rsidR="00816059" w:rsidRPr="00391B86">
        <w:rPr>
          <w:rFonts w:ascii="Times New Roman" w:hAnsi="Times New Roman"/>
          <w:sz w:val="24"/>
        </w:rPr>
        <w:t>(2015) 254 CLR 477 at 483 [7].</w:t>
      </w:r>
    </w:p>
  </w:footnote>
  <w:footnote w:id="9">
    <w:p w14:paraId="26B751A4" w14:textId="4090AEE3" w:rsidR="00FB3B42" w:rsidRPr="00391B86" w:rsidRDefault="00FB3B42"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Rizeq v Western Australia</w:t>
      </w:r>
      <w:r w:rsidRPr="00391B86">
        <w:rPr>
          <w:rFonts w:ascii="Times New Roman" w:hAnsi="Times New Roman"/>
          <w:sz w:val="24"/>
        </w:rPr>
        <w:t xml:space="preserve"> (2017) 262 CLR 1 at 26 [61]</w:t>
      </w:r>
      <w:r w:rsidR="00BE7AE2" w:rsidRPr="00391B86">
        <w:rPr>
          <w:rFonts w:ascii="Times New Roman" w:hAnsi="Times New Roman"/>
          <w:sz w:val="24"/>
        </w:rPr>
        <w:t>, [63], 32-33 [81].</w:t>
      </w:r>
    </w:p>
  </w:footnote>
  <w:footnote w:id="10">
    <w:p w14:paraId="2CFA2E87" w14:textId="77777777" w:rsidR="008E19F8" w:rsidRPr="00391B86" w:rsidRDefault="008E19F8"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 xml:space="preserve">See </w:t>
      </w:r>
      <w:r w:rsidRPr="00391B86">
        <w:rPr>
          <w:rFonts w:ascii="Times New Roman" w:hAnsi="Times New Roman"/>
          <w:i/>
          <w:iCs/>
          <w:sz w:val="24"/>
        </w:rPr>
        <w:t>Justice Legislation Miscellaneous Amendments Act 2020</w:t>
      </w:r>
      <w:r w:rsidRPr="00391B86">
        <w:rPr>
          <w:rFonts w:ascii="Times New Roman" w:hAnsi="Times New Roman"/>
          <w:sz w:val="24"/>
        </w:rPr>
        <w:t xml:space="preserve"> (Vic).</w:t>
      </w:r>
    </w:p>
  </w:footnote>
  <w:footnote w:id="11">
    <w:p w14:paraId="4D56E00B" w14:textId="77777777" w:rsidR="0029638C" w:rsidRPr="00391B86" w:rsidRDefault="0029638C"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 xml:space="preserve">See s 4 of the </w:t>
      </w:r>
      <w:r w:rsidRPr="00391B86">
        <w:rPr>
          <w:rFonts w:ascii="Times New Roman" w:hAnsi="Times New Roman"/>
          <w:i/>
          <w:iCs/>
          <w:sz w:val="24"/>
        </w:rPr>
        <w:t>Legal Profession Uniform Law Application Act 2014</w:t>
      </w:r>
      <w:r w:rsidRPr="00391B86">
        <w:rPr>
          <w:rFonts w:ascii="Times New Roman" w:hAnsi="Times New Roman"/>
          <w:sz w:val="24"/>
        </w:rPr>
        <w:t xml:space="preserve"> (NSW).</w:t>
      </w:r>
    </w:p>
  </w:footnote>
  <w:footnote w:id="12">
    <w:p w14:paraId="157C1714" w14:textId="388E511A" w:rsidR="00866F8C" w:rsidRPr="00391B86" w:rsidRDefault="00866F8C"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 xml:space="preserve">Schedule 1 to the </w:t>
      </w:r>
      <w:r w:rsidRPr="00391B86">
        <w:rPr>
          <w:rFonts w:ascii="Times New Roman" w:hAnsi="Times New Roman"/>
          <w:i/>
          <w:iCs/>
          <w:sz w:val="24"/>
        </w:rPr>
        <w:t>Legal Profession Uniform Law Application Act 2014</w:t>
      </w:r>
      <w:r w:rsidRPr="00391B86">
        <w:rPr>
          <w:rFonts w:ascii="Times New Roman" w:hAnsi="Times New Roman"/>
          <w:sz w:val="24"/>
        </w:rPr>
        <w:t xml:space="preserve"> (Vic)</w:t>
      </w:r>
      <w:r w:rsidR="00987958" w:rsidRPr="00391B86">
        <w:rPr>
          <w:rFonts w:ascii="Times New Roman" w:hAnsi="Times New Roman"/>
          <w:sz w:val="24"/>
        </w:rPr>
        <w:t xml:space="preserve">, given force by s 4 of the </w:t>
      </w:r>
      <w:r w:rsidR="00987958" w:rsidRPr="00391B86">
        <w:rPr>
          <w:rFonts w:ascii="Times New Roman" w:hAnsi="Times New Roman"/>
          <w:i/>
          <w:iCs/>
          <w:sz w:val="24"/>
        </w:rPr>
        <w:t>Legal Profession Uniform Law Application Act 2014</w:t>
      </w:r>
      <w:r w:rsidR="00987958" w:rsidRPr="00391B86">
        <w:rPr>
          <w:rFonts w:ascii="Times New Roman" w:hAnsi="Times New Roman"/>
          <w:sz w:val="24"/>
        </w:rPr>
        <w:t xml:space="preserve"> (Vic)</w:t>
      </w:r>
      <w:r w:rsidRPr="00391B86">
        <w:rPr>
          <w:rFonts w:ascii="Times New Roman" w:hAnsi="Times New Roman"/>
          <w:sz w:val="24"/>
        </w:rPr>
        <w:t xml:space="preserve">. </w:t>
      </w:r>
    </w:p>
  </w:footnote>
  <w:footnote w:id="13">
    <w:p w14:paraId="32FF2933" w14:textId="6FCCBCA1" w:rsidR="00BC0E08" w:rsidRPr="00391B86" w:rsidRDefault="00BC0E08"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9D163F" w:rsidRPr="00391B86">
        <w:rPr>
          <w:rFonts w:ascii="Times New Roman" w:hAnsi="Times New Roman"/>
          <w:sz w:val="24"/>
        </w:rPr>
        <w:tab/>
      </w:r>
      <w:r w:rsidR="00AF56BC" w:rsidRPr="00391B86">
        <w:rPr>
          <w:rFonts w:ascii="Times New Roman" w:hAnsi="Times New Roman"/>
          <w:sz w:val="24"/>
        </w:rPr>
        <w:t xml:space="preserve">Section 6(1) </w:t>
      </w:r>
      <w:r w:rsidR="00FB4CBB" w:rsidRPr="00391B86">
        <w:rPr>
          <w:rFonts w:ascii="Times New Roman" w:hAnsi="Times New Roman"/>
          <w:sz w:val="24"/>
        </w:rPr>
        <w:t xml:space="preserve">(definition of "legal costs") </w:t>
      </w:r>
      <w:r w:rsidR="00744C93" w:rsidRPr="00391B86">
        <w:rPr>
          <w:rFonts w:ascii="Times New Roman" w:hAnsi="Times New Roman"/>
          <w:sz w:val="24"/>
        </w:rPr>
        <w:t xml:space="preserve">of the </w:t>
      </w:r>
      <w:r w:rsidR="009D163F" w:rsidRPr="00391B86">
        <w:rPr>
          <w:rFonts w:ascii="Times New Roman" w:hAnsi="Times New Roman"/>
          <w:i/>
          <w:iCs/>
          <w:sz w:val="24"/>
        </w:rPr>
        <w:t>Legal Profession Uniform Law</w:t>
      </w:r>
      <w:r w:rsidR="009D163F" w:rsidRPr="00391B86">
        <w:rPr>
          <w:rFonts w:ascii="Times New Roman" w:hAnsi="Times New Roman"/>
          <w:sz w:val="24"/>
        </w:rPr>
        <w:t xml:space="preserve"> (Vic)</w:t>
      </w:r>
      <w:r w:rsidR="00744C93" w:rsidRPr="00391B86">
        <w:rPr>
          <w:rFonts w:ascii="Times New Roman" w:hAnsi="Times New Roman"/>
          <w:sz w:val="24"/>
        </w:rPr>
        <w:t>.</w:t>
      </w:r>
    </w:p>
  </w:footnote>
  <w:footnote w:id="14">
    <w:p w14:paraId="1ED1719B" w14:textId="1B17184C" w:rsidR="00912786" w:rsidRPr="00391B86" w:rsidRDefault="00912786"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Section 6</w:t>
      </w:r>
      <w:r w:rsidR="00F178CC" w:rsidRPr="00391B86">
        <w:rPr>
          <w:rFonts w:ascii="Times New Roman" w:hAnsi="Times New Roman"/>
          <w:sz w:val="24"/>
        </w:rPr>
        <w:t>(1)</w:t>
      </w:r>
      <w:r w:rsidRPr="00391B86">
        <w:rPr>
          <w:rFonts w:ascii="Times New Roman" w:hAnsi="Times New Roman"/>
          <w:sz w:val="24"/>
        </w:rPr>
        <w:t xml:space="preserve"> </w:t>
      </w:r>
      <w:r w:rsidR="00D44BF8" w:rsidRPr="00391B86">
        <w:rPr>
          <w:rFonts w:ascii="Times New Roman" w:hAnsi="Times New Roman"/>
          <w:sz w:val="24"/>
        </w:rPr>
        <w:t xml:space="preserve">(definition of "client") </w:t>
      </w:r>
      <w:r w:rsidRPr="00391B86">
        <w:rPr>
          <w:rFonts w:ascii="Times New Roman" w:hAnsi="Times New Roman"/>
          <w:sz w:val="24"/>
        </w:rPr>
        <w:t xml:space="preserve">of </w:t>
      </w:r>
      <w:r w:rsidR="009D163F" w:rsidRPr="00391B86">
        <w:rPr>
          <w:rFonts w:ascii="Times New Roman" w:hAnsi="Times New Roman"/>
          <w:sz w:val="24"/>
        </w:rPr>
        <w:t xml:space="preserve">the </w:t>
      </w:r>
      <w:r w:rsidR="00F178CC" w:rsidRPr="00391B86">
        <w:rPr>
          <w:rFonts w:ascii="Times New Roman" w:hAnsi="Times New Roman"/>
          <w:i/>
          <w:iCs/>
          <w:sz w:val="24"/>
        </w:rPr>
        <w:t>Legal Profession Uniform Law</w:t>
      </w:r>
      <w:r w:rsidR="00F178CC" w:rsidRPr="00391B86">
        <w:rPr>
          <w:rFonts w:ascii="Times New Roman" w:hAnsi="Times New Roman"/>
          <w:sz w:val="24"/>
        </w:rPr>
        <w:t xml:space="preserve"> (Vic)</w:t>
      </w:r>
      <w:r w:rsidRPr="00391B86">
        <w:rPr>
          <w:rFonts w:ascii="Times New Roman" w:hAnsi="Times New Roman"/>
          <w:sz w:val="24"/>
        </w:rPr>
        <w:t>.</w:t>
      </w:r>
    </w:p>
  </w:footnote>
  <w:footnote w:id="15">
    <w:p w14:paraId="114B4F52" w14:textId="323EF590" w:rsidR="004E2830" w:rsidRPr="00391B86" w:rsidRDefault="004E2830"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6E2289" w:rsidRPr="00391B86">
        <w:rPr>
          <w:rFonts w:ascii="Times New Roman" w:hAnsi="Times New Roman"/>
          <w:sz w:val="24"/>
        </w:rPr>
        <w:tab/>
        <w:t xml:space="preserve">See s </w:t>
      </w:r>
      <w:r w:rsidR="00D14E72" w:rsidRPr="00391B86">
        <w:rPr>
          <w:rFonts w:ascii="Times New Roman" w:hAnsi="Times New Roman"/>
          <w:sz w:val="24"/>
        </w:rPr>
        <w:t>180.</w:t>
      </w:r>
    </w:p>
  </w:footnote>
  <w:footnote w:id="16">
    <w:p w14:paraId="5CCA1892" w14:textId="7A9DE630" w:rsidR="00D23F29" w:rsidRPr="00391B86" w:rsidRDefault="00D23F29"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E21CE1" w:rsidRPr="00391B86">
        <w:rPr>
          <w:rFonts w:ascii="Times New Roman" w:hAnsi="Times New Roman"/>
          <w:sz w:val="24"/>
        </w:rPr>
        <w:tab/>
        <w:t>Sections 1041H and 1041E.</w:t>
      </w:r>
    </w:p>
  </w:footnote>
  <w:footnote w:id="17">
    <w:p w14:paraId="6EC0E9D8" w14:textId="483DB444" w:rsidR="008B2BC3" w:rsidRPr="00391B86" w:rsidRDefault="008B2BC3"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9417B3" w:rsidRPr="00391B86">
        <w:rPr>
          <w:rFonts w:ascii="Times New Roman" w:hAnsi="Times New Roman"/>
          <w:sz w:val="24"/>
        </w:rPr>
        <w:tab/>
        <w:t>Section 12</w:t>
      </w:r>
      <w:r w:rsidR="00E21CE1" w:rsidRPr="00391B86">
        <w:rPr>
          <w:rFonts w:ascii="Times New Roman" w:hAnsi="Times New Roman"/>
          <w:sz w:val="24"/>
        </w:rPr>
        <w:t>DA(1).</w:t>
      </w:r>
    </w:p>
  </w:footnote>
  <w:footnote w:id="18">
    <w:p w14:paraId="1A54D262" w14:textId="028E146D" w:rsidR="009417B3" w:rsidRPr="00391B86" w:rsidRDefault="009417B3"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Section 18.</w:t>
      </w:r>
    </w:p>
  </w:footnote>
  <w:footnote w:id="19">
    <w:p w14:paraId="3D1D1987" w14:textId="2A1E2CA7" w:rsidR="00D7253C" w:rsidRPr="00391B86" w:rsidRDefault="00D7253C"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00510850" w:rsidRPr="00391B86">
        <w:rPr>
          <w:rFonts w:ascii="Times New Roman" w:hAnsi="Times New Roman"/>
          <w:i/>
          <w:iCs/>
          <w:sz w:val="24"/>
        </w:rPr>
        <w:t xml:space="preserve">Bogan v </w:t>
      </w:r>
      <w:r w:rsidR="00F94C7E" w:rsidRPr="00391B86">
        <w:rPr>
          <w:rFonts w:ascii="Times New Roman" w:hAnsi="Times New Roman"/>
          <w:i/>
          <w:iCs/>
          <w:sz w:val="24"/>
        </w:rPr>
        <w:t xml:space="preserve">The Estate of </w:t>
      </w:r>
      <w:r w:rsidR="007C06B2" w:rsidRPr="00391B86">
        <w:rPr>
          <w:rFonts w:ascii="Times New Roman" w:hAnsi="Times New Roman"/>
          <w:i/>
          <w:iCs/>
          <w:sz w:val="24"/>
        </w:rPr>
        <w:t xml:space="preserve">Peter John Smedley (Deceased) </w:t>
      </w:r>
      <w:r w:rsidR="000E7D30" w:rsidRPr="00391B86">
        <w:rPr>
          <w:rFonts w:ascii="Times New Roman" w:hAnsi="Times New Roman"/>
          <w:sz w:val="24"/>
        </w:rPr>
        <w:t>[2022] VSC 201.</w:t>
      </w:r>
    </w:p>
  </w:footnote>
  <w:footnote w:id="20">
    <w:p w14:paraId="51EC18AC" w14:textId="45106EBB" w:rsidR="00D4774B" w:rsidRPr="00391B86" w:rsidRDefault="00D4774B"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453757" w:rsidRPr="00391B86">
        <w:rPr>
          <w:rFonts w:ascii="Times New Roman" w:hAnsi="Times New Roman"/>
          <w:sz w:val="24"/>
        </w:rPr>
        <w:tab/>
      </w:r>
      <w:r w:rsidR="00453757" w:rsidRPr="00391B86">
        <w:rPr>
          <w:rFonts w:ascii="Times New Roman" w:hAnsi="Times New Roman"/>
          <w:i/>
          <w:iCs/>
          <w:sz w:val="24"/>
        </w:rPr>
        <w:t xml:space="preserve">Bogan v </w:t>
      </w:r>
      <w:r w:rsidR="00BD1BA9" w:rsidRPr="00391B86">
        <w:rPr>
          <w:rFonts w:ascii="Times New Roman" w:hAnsi="Times New Roman"/>
          <w:i/>
          <w:iCs/>
          <w:sz w:val="24"/>
        </w:rPr>
        <w:t xml:space="preserve">Estate of </w:t>
      </w:r>
      <w:r w:rsidR="00453757" w:rsidRPr="00391B86">
        <w:rPr>
          <w:rFonts w:ascii="Times New Roman" w:hAnsi="Times New Roman"/>
          <w:i/>
          <w:iCs/>
          <w:sz w:val="24"/>
        </w:rPr>
        <w:t>Smedley</w:t>
      </w:r>
      <w:r w:rsidR="00453757" w:rsidRPr="00391B86">
        <w:rPr>
          <w:rFonts w:ascii="Times New Roman" w:hAnsi="Times New Roman"/>
          <w:i/>
          <w:sz w:val="24"/>
        </w:rPr>
        <w:t xml:space="preserve"> (</w:t>
      </w:r>
      <w:r w:rsidR="0019180E" w:rsidRPr="00391B86">
        <w:rPr>
          <w:rFonts w:ascii="Times New Roman" w:hAnsi="Times New Roman"/>
          <w:i/>
          <w:iCs/>
          <w:sz w:val="24"/>
        </w:rPr>
        <w:t>Deceased)</w:t>
      </w:r>
      <w:r w:rsidR="00453757" w:rsidRPr="00391B86">
        <w:rPr>
          <w:rFonts w:ascii="Times New Roman" w:hAnsi="Times New Roman"/>
          <w:sz w:val="24"/>
        </w:rPr>
        <w:t xml:space="preserve"> (2023) 72 VR 394 at </w:t>
      </w:r>
      <w:r w:rsidR="007D679F" w:rsidRPr="00391B86">
        <w:rPr>
          <w:rFonts w:ascii="Times New Roman" w:hAnsi="Times New Roman"/>
          <w:sz w:val="24"/>
        </w:rPr>
        <w:t xml:space="preserve">424 [129], </w:t>
      </w:r>
      <w:r w:rsidR="0083408D" w:rsidRPr="00391B86">
        <w:rPr>
          <w:rFonts w:ascii="Times New Roman" w:hAnsi="Times New Roman"/>
          <w:sz w:val="24"/>
        </w:rPr>
        <w:t>428 [158], 432 [175].</w:t>
      </w:r>
    </w:p>
  </w:footnote>
  <w:footnote w:id="21">
    <w:p w14:paraId="7755BA24" w14:textId="67C807D3" w:rsidR="000C5B66" w:rsidRPr="00391B86" w:rsidRDefault="000C5B66"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DA4D32" w:rsidRPr="00391B86">
        <w:rPr>
          <w:rFonts w:ascii="Times New Roman" w:hAnsi="Times New Roman"/>
          <w:sz w:val="24"/>
        </w:rPr>
        <w:tab/>
      </w:r>
      <w:r w:rsidR="0014521B" w:rsidRPr="00391B86">
        <w:rPr>
          <w:rFonts w:ascii="Times New Roman" w:hAnsi="Times New Roman"/>
          <w:i/>
          <w:iCs/>
          <w:sz w:val="24"/>
        </w:rPr>
        <w:t>Bogan v Estate of Smedley</w:t>
      </w:r>
      <w:r w:rsidR="0014521B" w:rsidRPr="00391B86">
        <w:rPr>
          <w:rFonts w:ascii="Times New Roman" w:hAnsi="Times New Roman"/>
          <w:i/>
          <w:sz w:val="24"/>
        </w:rPr>
        <w:t xml:space="preserve"> (</w:t>
      </w:r>
      <w:r w:rsidR="0014521B" w:rsidRPr="00391B86">
        <w:rPr>
          <w:rFonts w:ascii="Times New Roman" w:hAnsi="Times New Roman"/>
          <w:i/>
          <w:iCs/>
          <w:sz w:val="24"/>
        </w:rPr>
        <w:t>Deceased)</w:t>
      </w:r>
      <w:r w:rsidR="0014521B" w:rsidRPr="00391B86">
        <w:rPr>
          <w:rFonts w:ascii="Times New Roman" w:hAnsi="Times New Roman"/>
          <w:sz w:val="24"/>
        </w:rPr>
        <w:t xml:space="preserve"> (2023) 72 VR 394 at 403-404 [35]</w:t>
      </w:r>
      <w:r w:rsidR="00CF254B" w:rsidRPr="00391B86">
        <w:rPr>
          <w:rFonts w:ascii="Times New Roman" w:hAnsi="Times New Roman"/>
          <w:sz w:val="24"/>
        </w:rPr>
        <w:t xml:space="preserve">, referring to </w:t>
      </w:r>
      <w:r w:rsidR="00D848B9" w:rsidRPr="00391B86">
        <w:rPr>
          <w:rFonts w:ascii="Times New Roman" w:hAnsi="Times New Roman"/>
          <w:i/>
          <w:sz w:val="24"/>
        </w:rPr>
        <w:t>Bogan v</w:t>
      </w:r>
      <w:r w:rsidR="00CF254B" w:rsidRPr="00391B86">
        <w:rPr>
          <w:rFonts w:ascii="Times New Roman" w:hAnsi="Times New Roman"/>
          <w:i/>
          <w:sz w:val="24"/>
        </w:rPr>
        <w:t xml:space="preserve"> </w:t>
      </w:r>
      <w:r w:rsidR="00126883" w:rsidRPr="00391B86">
        <w:rPr>
          <w:rFonts w:ascii="Times New Roman" w:hAnsi="Times New Roman"/>
          <w:i/>
          <w:sz w:val="24"/>
        </w:rPr>
        <w:t>The Estate of Peter</w:t>
      </w:r>
      <w:r w:rsidR="00CF254B" w:rsidRPr="00391B86">
        <w:rPr>
          <w:rFonts w:ascii="Times New Roman" w:hAnsi="Times New Roman"/>
          <w:i/>
          <w:sz w:val="24"/>
        </w:rPr>
        <w:t xml:space="preserve"> </w:t>
      </w:r>
      <w:r w:rsidR="009973D4" w:rsidRPr="00391B86">
        <w:rPr>
          <w:rFonts w:ascii="Times New Roman" w:hAnsi="Times New Roman"/>
          <w:i/>
          <w:sz w:val="24"/>
        </w:rPr>
        <w:t>John Smedley</w:t>
      </w:r>
      <w:r w:rsidR="009973D4" w:rsidRPr="00391B86">
        <w:rPr>
          <w:rFonts w:ascii="Times New Roman" w:hAnsi="Times New Roman"/>
          <w:i/>
          <w:iCs/>
          <w:sz w:val="24"/>
        </w:rPr>
        <w:t xml:space="preserve"> </w:t>
      </w:r>
      <w:r w:rsidR="008C11CA" w:rsidRPr="00391B86">
        <w:rPr>
          <w:rFonts w:ascii="Times New Roman" w:hAnsi="Times New Roman"/>
          <w:i/>
          <w:iCs/>
          <w:sz w:val="24"/>
        </w:rPr>
        <w:t>(Dec</w:t>
      </w:r>
      <w:r w:rsidR="00123E10" w:rsidRPr="00391B86">
        <w:rPr>
          <w:rFonts w:ascii="Times New Roman" w:hAnsi="Times New Roman"/>
          <w:i/>
          <w:iCs/>
          <w:sz w:val="24"/>
        </w:rPr>
        <w:t>eased</w:t>
      </w:r>
      <w:r w:rsidR="004C6EB7" w:rsidRPr="00391B86">
        <w:rPr>
          <w:rFonts w:ascii="Times New Roman" w:hAnsi="Times New Roman"/>
          <w:i/>
          <w:iCs/>
          <w:sz w:val="24"/>
        </w:rPr>
        <w:t>)</w:t>
      </w:r>
      <w:r w:rsidR="00123E10" w:rsidRPr="00391B86">
        <w:rPr>
          <w:rFonts w:ascii="Times New Roman" w:hAnsi="Times New Roman"/>
          <w:i/>
          <w:iCs/>
          <w:sz w:val="24"/>
        </w:rPr>
        <w:t xml:space="preserve"> </w:t>
      </w:r>
      <w:r w:rsidR="00066F53" w:rsidRPr="00391B86">
        <w:rPr>
          <w:rFonts w:ascii="Times New Roman" w:hAnsi="Times New Roman"/>
          <w:sz w:val="24"/>
        </w:rPr>
        <w:t>[2022] VSC 201</w:t>
      </w:r>
      <w:r w:rsidR="00461A40" w:rsidRPr="00391B86">
        <w:rPr>
          <w:rFonts w:ascii="Times New Roman" w:hAnsi="Times New Roman"/>
          <w:sz w:val="24"/>
        </w:rPr>
        <w:t xml:space="preserve"> </w:t>
      </w:r>
      <w:r w:rsidR="004F1D0C" w:rsidRPr="00391B86">
        <w:rPr>
          <w:rFonts w:ascii="Times New Roman" w:hAnsi="Times New Roman"/>
          <w:sz w:val="24"/>
        </w:rPr>
        <w:t>at [105].</w:t>
      </w:r>
    </w:p>
  </w:footnote>
  <w:footnote w:id="22">
    <w:p w14:paraId="1DCEBE16" w14:textId="02F5D04F" w:rsidR="00CB0811" w:rsidRPr="00391B86" w:rsidRDefault="00CB0811"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 xml:space="preserve">See </w:t>
      </w:r>
      <w:r w:rsidR="0079055E" w:rsidRPr="00391B86">
        <w:rPr>
          <w:rFonts w:ascii="Times New Roman" w:hAnsi="Times New Roman"/>
          <w:i/>
          <w:iCs/>
          <w:sz w:val="24"/>
        </w:rPr>
        <w:t>Anchorage Capital Master Offshore Ltd v Sparkes</w:t>
      </w:r>
      <w:r w:rsidR="0079055E" w:rsidRPr="00391B86">
        <w:rPr>
          <w:rFonts w:ascii="Times New Roman" w:hAnsi="Times New Roman"/>
          <w:sz w:val="24"/>
        </w:rPr>
        <w:t xml:space="preserve"> (2023) 111 NSWLR 304.</w:t>
      </w:r>
    </w:p>
  </w:footnote>
  <w:footnote w:id="23">
    <w:p w14:paraId="1423E6F7" w14:textId="529037E2" w:rsidR="007F5510" w:rsidRPr="00391B86" w:rsidRDefault="007F5510"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(2022) 275 CLR 508.</w:t>
      </w:r>
    </w:p>
  </w:footnote>
  <w:footnote w:id="24">
    <w:p w14:paraId="5F1FC7C9" w14:textId="28B2F914" w:rsidR="00C37FAB" w:rsidRPr="00391B86" w:rsidRDefault="00C37FAB"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DF158E" w:rsidRPr="00391B86">
        <w:rPr>
          <w:rFonts w:ascii="Times New Roman" w:hAnsi="Times New Roman"/>
          <w:sz w:val="24"/>
        </w:rPr>
        <w:tab/>
      </w:r>
      <w:r w:rsidR="00DF158E" w:rsidRPr="00391B86">
        <w:rPr>
          <w:rFonts w:ascii="Times New Roman" w:hAnsi="Times New Roman"/>
          <w:i/>
          <w:iCs/>
          <w:sz w:val="24"/>
        </w:rPr>
        <w:t>Attorney-General (NSW) v Commonwealth Savings Bank</w:t>
      </w:r>
      <w:r w:rsidR="008C6124" w:rsidRPr="00391B86">
        <w:rPr>
          <w:rFonts w:ascii="Times New Roman" w:hAnsi="Times New Roman"/>
          <w:i/>
          <w:iCs/>
          <w:sz w:val="24"/>
        </w:rPr>
        <w:t xml:space="preserve"> of Australia</w:t>
      </w:r>
      <w:r w:rsidR="00DF158E" w:rsidRPr="00391B86">
        <w:rPr>
          <w:rFonts w:ascii="Times New Roman" w:hAnsi="Times New Roman"/>
          <w:sz w:val="24"/>
        </w:rPr>
        <w:t xml:space="preserve"> (1986) 160 CLR </w:t>
      </w:r>
      <w:r w:rsidR="004E5C4B" w:rsidRPr="00391B86">
        <w:rPr>
          <w:rFonts w:ascii="Times New Roman" w:hAnsi="Times New Roman"/>
          <w:sz w:val="24"/>
        </w:rPr>
        <w:t>315 at 324-325.</w:t>
      </w:r>
    </w:p>
  </w:footnote>
  <w:footnote w:id="25">
    <w:p w14:paraId="2EE44652" w14:textId="7FE126C7" w:rsidR="009F45B0" w:rsidRPr="00391B86" w:rsidRDefault="009F45B0"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O'Toole v Charles David Pty Ltd</w:t>
      </w:r>
      <w:r w:rsidRPr="00391B86">
        <w:rPr>
          <w:rFonts w:ascii="Times New Roman" w:hAnsi="Times New Roman"/>
          <w:sz w:val="24"/>
        </w:rPr>
        <w:t xml:space="preserve"> (199</w:t>
      </w:r>
      <w:r w:rsidR="00A31881" w:rsidRPr="00391B86">
        <w:rPr>
          <w:rFonts w:ascii="Times New Roman" w:hAnsi="Times New Roman"/>
          <w:sz w:val="24"/>
        </w:rPr>
        <w:t>0</w:t>
      </w:r>
      <w:r w:rsidRPr="00391B86">
        <w:rPr>
          <w:rFonts w:ascii="Times New Roman" w:hAnsi="Times New Roman"/>
          <w:sz w:val="24"/>
        </w:rPr>
        <w:t xml:space="preserve">) 171 CLR </w:t>
      </w:r>
      <w:r w:rsidR="00922F4C" w:rsidRPr="00391B86">
        <w:rPr>
          <w:rFonts w:ascii="Times New Roman" w:hAnsi="Times New Roman"/>
          <w:sz w:val="24"/>
        </w:rPr>
        <w:t>232 at 247, 256, 269, 281</w:t>
      </w:r>
      <w:r w:rsidR="00DF158E" w:rsidRPr="00391B86">
        <w:rPr>
          <w:rFonts w:ascii="Times New Roman" w:hAnsi="Times New Roman"/>
          <w:sz w:val="24"/>
        </w:rPr>
        <w:t>.</w:t>
      </w:r>
    </w:p>
  </w:footnote>
  <w:footnote w:id="26">
    <w:p w14:paraId="1241EB14" w14:textId="6FAFF552" w:rsidR="008A3D0B" w:rsidRPr="00391B86" w:rsidRDefault="008A3D0B"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 xml:space="preserve">Bogan v </w:t>
      </w:r>
      <w:r w:rsidR="00F5190F" w:rsidRPr="00391B86">
        <w:rPr>
          <w:rFonts w:ascii="Times New Roman" w:hAnsi="Times New Roman"/>
          <w:i/>
          <w:iCs/>
          <w:sz w:val="24"/>
        </w:rPr>
        <w:t xml:space="preserve">Estate of </w:t>
      </w:r>
      <w:r w:rsidRPr="00391B86">
        <w:rPr>
          <w:rFonts w:ascii="Times New Roman" w:hAnsi="Times New Roman"/>
          <w:i/>
          <w:iCs/>
          <w:sz w:val="24"/>
        </w:rPr>
        <w:t>Smedley</w:t>
      </w:r>
      <w:r w:rsidRPr="00391B86">
        <w:rPr>
          <w:rFonts w:ascii="Times New Roman" w:hAnsi="Times New Roman"/>
          <w:i/>
          <w:sz w:val="24"/>
        </w:rPr>
        <w:t xml:space="preserve"> (</w:t>
      </w:r>
      <w:r w:rsidR="00F5190F" w:rsidRPr="00391B86">
        <w:rPr>
          <w:rFonts w:ascii="Times New Roman" w:hAnsi="Times New Roman"/>
          <w:i/>
          <w:iCs/>
          <w:sz w:val="24"/>
        </w:rPr>
        <w:t>Deceased)</w:t>
      </w:r>
      <w:r w:rsidRPr="00391B86">
        <w:rPr>
          <w:rFonts w:ascii="Times New Roman" w:hAnsi="Times New Roman"/>
          <w:sz w:val="24"/>
        </w:rPr>
        <w:t xml:space="preserve"> (2023) 72 VR 394 at 410 [60], 424 [132].</w:t>
      </w:r>
      <w:r w:rsidR="00DC204D" w:rsidRPr="00391B86">
        <w:rPr>
          <w:rFonts w:ascii="Times New Roman" w:hAnsi="Times New Roman"/>
          <w:sz w:val="24"/>
        </w:rPr>
        <w:t xml:space="preserve"> See also </w:t>
      </w:r>
      <w:r w:rsidR="00AC6917" w:rsidRPr="00391B86">
        <w:rPr>
          <w:rFonts w:ascii="Times New Roman" w:hAnsi="Times New Roman"/>
          <w:sz w:val="24"/>
        </w:rPr>
        <w:t>s</w:t>
      </w:r>
      <w:r w:rsidR="009802FA" w:rsidRPr="00391B86">
        <w:rPr>
          <w:rFonts w:ascii="Times New Roman" w:hAnsi="Times New Roman"/>
          <w:sz w:val="24"/>
        </w:rPr>
        <w:t> </w:t>
      </w:r>
      <w:r w:rsidR="00AC6917" w:rsidRPr="00391B86">
        <w:rPr>
          <w:rFonts w:ascii="Times New Roman" w:hAnsi="Times New Roman"/>
          <w:sz w:val="24"/>
        </w:rPr>
        <w:t>33ZDA</w:t>
      </w:r>
      <w:r w:rsidR="00451001" w:rsidRPr="00391B86">
        <w:rPr>
          <w:rFonts w:ascii="Times New Roman" w:hAnsi="Times New Roman"/>
          <w:sz w:val="24"/>
        </w:rPr>
        <w:t xml:space="preserve"> </w:t>
      </w:r>
      <w:r w:rsidR="001E0196" w:rsidRPr="00391B86">
        <w:rPr>
          <w:rFonts w:ascii="Times New Roman" w:hAnsi="Times New Roman"/>
          <w:sz w:val="24"/>
        </w:rPr>
        <w:t>and</w:t>
      </w:r>
      <w:r w:rsidR="00793C10" w:rsidRPr="00391B86">
        <w:rPr>
          <w:rFonts w:ascii="Times New Roman" w:hAnsi="Times New Roman"/>
          <w:sz w:val="24"/>
        </w:rPr>
        <w:t xml:space="preserve"> s</w:t>
      </w:r>
      <w:r w:rsidR="001E0196" w:rsidRPr="00391B86">
        <w:rPr>
          <w:rFonts w:ascii="Times New Roman" w:hAnsi="Times New Roman"/>
          <w:sz w:val="24"/>
        </w:rPr>
        <w:t xml:space="preserve"> 3(1) (definitions of "Court", "proceeding") </w:t>
      </w:r>
      <w:r w:rsidR="00451001" w:rsidRPr="00391B86">
        <w:rPr>
          <w:rFonts w:ascii="Times New Roman" w:hAnsi="Times New Roman"/>
          <w:sz w:val="24"/>
        </w:rPr>
        <w:t xml:space="preserve">of </w:t>
      </w:r>
      <w:r w:rsidR="00BA18AE" w:rsidRPr="00391B86">
        <w:rPr>
          <w:rFonts w:ascii="Times New Roman" w:hAnsi="Times New Roman"/>
          <w:sz w:val="24"/>
        </w:rPr>
        <w:t xml:space="preserve">the </w:t>
      </w:r>
      <w:r w:rsidR="00DC204D" w:rsidRPr="00391B86">
        <w:rPr>
          <w:rFonts w:ascii="Times New Roman" w:hAnsi="Times New Roman"/>
          <w:sz w:val="24"/>
        </w:rPr>
        <w:t xml:space="preserve">Supreme Court Act </w:t>
      </w:r>
      <w:r w:rsidR="00AC6917" w:rsidRPr="00391B86">
        <w:rPr>
          <w:rFonts w:ascii="Times New Roman" w:hAnsi="Times New Roman"/>
          <w:sz w:val="24"/>
        </w:rPr>
        <w:t xml:space="preserve">and </w:t>
      </w:r>
      <w:r w:rsidR="006E3582" w:rsidRPr="00391B86">
        <w:rPr>
          <w:rFonts w:ascii="Times New Roman" w:hAnsi="Times New Roman"/>
          <w:sz w:val="24"/>
        </w:rPr>
        <w:t>s</w:t>
      </w:r>
      <w:r w:rsidR="009802FA" w:rsidRPr="00391B86">
        <w:rPr>
          <w:rFonts w:ascii="Times New Roman" w:hAnsi="Times New Roman"/>
          <w:sz w:val="24"/>
        </w:rPr>
        <w:t> </w:t>
      </w:r>
      <w:r w:rsidR="006E3582" w:rsidRPr="00391B86">
        <w:rPr>
          <w:rFonts w:ascii="Times New Roman" w:hAnsi="Times New Roman"/>
          <w:sz w:val="24"/>
        </w:rPr>
        <w:t>38</w:t>
      </w:r>
      <w:r w:rsidR="004B43E9" w:rsidRPr="00391B86">
        <w:rPr>
          <w:rFonts w:ascii="Times New Roman" w:hAnsi="Times New Roman"/>
          <w:sz w:val="24"/>
        </w:rPr>
        <w:t xml:space="preserve"> (definition of "Supreme Court")</w:t>
      </w:r>
      <w:r w:rsidR="006E3582" w:rsidRPr="00391B86">
        <w:rPr>
          <w:rFonts w:ascii="Times New Roman" w:hAnsi="Times New Roman"/>
          <w:sz w:val="24"/>
        </w:rPr>
        <w:t xml:space="preserve"> of the </w:t>
      </w:r>
      <w:r w:rsidR="006E3582" w:rsidRPr="00391B86">
        <w:rPr>
          <w:rFonts w:ascii="Times New Roman" w:hAnsi="Times New Roman"/>
          <w:i/>
          <w:iCs/>
          <w:sz w:val="24"/>
        </w:rPr>
        <w:t>Interpretation of Legislation Act 1984</w:t>
      </w:r>
      <w:r w:rsidR="006E3582" w:rsidRPr="00391B86">
        <w:rPr>
          <w:rFonts w:ascii="Times New Roman" w:hAnsi="Times New Roman"/>
          <w:sz w:val="24"/>
        </w:rPr>
        <w:t xml:space="preserve"> (Vic).</w:t>
      </w:r>
    </w:p>
  </w:footnote>
  <w:footnote w:id="27">
    <w:p w14:paraId="31B1A106" w14:textId="56D7D66E" w:rsidR="006F4E7D" w:rsidRPr="00391B86" w:rsidRDefault="006F4E7D"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E452BE" w:rsidRPr="00391B86">
        <w:rPr>
          <w:rFonts w:ascii="Times New Roman" w:hAnsi="Times New Roman"/>
          <w:sz w:val="24"/>
        </w:rPr>
        <w:tab/>
      </w:r>
      <w:r w:rsidR="00E452BE" w:rsidRPr="00391B86">
        <w:rPr>
          <w:rFonts w:ascii="Times New Roman" w:hAnsi="Times New Roman"/>
          <w:i/>
          <w:iCs/>
          <w:sz w:val="24"/>
        </w:rPr>
        <w:t>Rizeq v Western Australia</w:t>
      </w:r>
      <w:r w:rsidR="00E452BE" w:rsidRPr="00391B86">
        <w:rPr>
          <w:rFonts w:ascii="Times New Roman" w:hAnsi="Times New Roman"/>
          <w:sz w:val="24"/>
        </w:rPr>
        <w:t xml:space="preserve"> (2017) 262 CLR 1 at</w:t>
      </w:r>
      <w:r w:rsidR="00A911DA" w:rsidRPr="00391B86">
        <w:rPr>
          <w:rFonts w:ascii="Times New Roman" w:hAnsi="Times New Roman"/>
          <w:sz w:val="24"/>
        </w:rPr>
        <w:t xml:space="preserve"> 34 [84]-[85].</w:t>
      </w:r>
    </w:p>
  </w:footnote>
  <w:footnote w:id="28">
    <w:p w14:paraId="2803DA93" w14:textId="3E9019E6" w:rsidR="009D0B5E" w:rsidRPr="00391B86" w:rsidRDefault="009D0B5E"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F576B6" w:rsidRPr="00391B86">
        <w:rPr>
          <w:rFonts w:ascii="Times New Roman" w:hAnsi="Times New Roman"/>
          <w:sz w:val="24"/>
        </w:rPr>
        <w:tab/>
      </w:r>
      <w:r w:rsidR="00F576B6" w:rsidRPr="00391B86">
        <w:rPr>
          <w:rFonts w:ascii="Times New Roman" w:hAnsi="Times New Roman"/>
          <w:i/>
          <w:iCs/>
          <w:sz w:val="24"/>
        </w:rPr>
        <w:t xml:space="preserve">Bogan v </w:t>
      </w:r>
      <w:r w:rsidR="00A13242" w:rsidRPr="00391B86">
        <w:rPr>
          <w:rFonts w:ascii="Times New Roman" w:hAnsi="Times New Roman"/>
          <w:i/>
          <w:iCs/>
          <w:sz w:val="24"/>
        </w:rPr>
        <w:t xml:space="preserve">Estate of </w:t>
      </w:r>
      <w:r w:rsidR="00F576B6" w:rsidRPr="00391B86">
        <w:rPr>
          <w:rFonts w:ascii="Times New Roman" w:hAnsi="Times New Roman"/>
          <w:i/>
          <w:iCs/>
          <w:sz w:val="24"/>
        </w:rPr>
        <w:t>Smedley</w:t>
      </w:r>
      <w:r w:rsidR="00F576B6" w:rsidRPr="00391B86">
        <w:rPr>
          <w:rFonts w:ascii="Times New Roman" w:hAnsi="Times New Roman"/>
          <w:i/>
          <w:sz w:val="24"/>
        </w:rPr>
        <w:t xml:space="preserve"> (</w:t>
      </w:r>
      <w:r w:rsidR="00A13242" w:rsidRPr="00391B86">
        <w:rPr>
          <w:rFonts w:ascii="Times New Roman" w:hAnsi="Times New Roman"/>
          <w:i/>
          <w:iCs/>
          <w:sz w:val="24"/>
        </w:rPr>
        <w:t>Deceased)</w:t>
      </w:r>
      <w:r w:rsidR="00F576B6" w:rsidRPr="00391B86">
        <w:rPr>
          <w:rFonts w:ascii="Times New Roman" w:hAnsi="Times New Roman"/>
          <w:sz w:val="24"/>
        </w:rPr>
        <w:t xml:space="preserve"> (2023) 72 VR 394 at </w:t>
      </w:r>
      <w:r w:rsidR="00CD6697" w:rsidRPr="00391B86">
        <w:rPr>
          <w:rFonts w:ascii="Times New Roman" w:hAnsi="Times New Roman"/>
          <w:sz w:val="24"/>
        </w:rPr>
        <w:t>428</w:t>
      </w:r>
      <w:r w:rsidR="00F576B6" w:rsidRPr="00391B86">
        <w:rPr>
          <w:rFonts w:ascii="Times New Roman" w:hAnsi="Times New Roman"/>
          <w:sz w:val="24"/>
        </w:rPr>
        <w:t xml:space="preserve"> [1</w:t>
      </w:r>
      <w:r w:rsidR="00CD6697" w:rsidRPr="00391B86">
        <w:rPr>
          <w:rFonts w:ascii="Times New Roman" w:hAnsi="Times New Roman"/>
          <w:sz w:val="24"/>
        </w:rPr>
        <w:t>56</w:t>
      </w:r>
      <w:r w:rsidR="00F576B6" w:rsidRPr="00391B86">
        <w:rPr>
          <w:rFonts w:ascii="Times New Roman" w:hAnsi="Times New Roman"/>
          <w:sz w:val="24"/>
        </w:rPr>
        <w:t>].</w:t>
      </w:r>
    </w:p>
  </w:footnote>
  <w:footnote w:id="29">
    <w:p w14:paraId="2C6D8C9B" w14:textId="4C9F298B" w:rsidR="009D0B5E" w:rsidRPr="00391B86" w:rsidRDefault="009D0B5E"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F576B6" w:rsidRPr="00391B86">
        <w:rPr>
          <w:rFonts w:ascii="Times New Roman" w:hAnsi="Times New Roman"/>
          <w:sz w:val="24"/>
        </w:rPr>
        <w:tab/>
      </w:r>
      <w:r w:rsidR="00F576B6" w:rsidRPr="00391B86">
        <w:rPr>
          <w:rFonts w:ascii="Times New Roman" w:hAnsi="Times New Roman"/>
          <w:i/>
          <w:iCs/>
          <w:sz w:val="24"/>
        </w:rPr>
        <w:t xml:space="preserve">Bogan v </w:t>
      </w:r>
      <w:r w:rsidR="00B34541" w:rsidRPr="00391B86">
        <w:rPr>
          <w:rFonts w:ascii="Times New Roman" w:hAnsi="Times New Roman"/>
          <w:i/>
          <w:iCs/>
          <w:sz w:val="24"/>
        </w:rPr>
        <w:t xml:space="preserve">Estate of </w:t>
      </w:r>
      <w:r w:rsidR="00F576B6" w:rsidRPr="00391B86">
        <w:rPr>
          <w:rFonts w:ascii="Times New Roman" w:hAnsi="Times New Roman"/>
          <w:i/>
          <w:iCs/>
          <w:sz w:val="24"/>
        </w:rPr>
        <w:t>Smedley</w:t>
      </w:r>
      <w:r w:rsidR="00F576B6" w:rsidRPr="00391B86">
        <w:rPr>
          <w:rFonts w:ascii="Times New Roman" w:hAnsi="Times New Roman"/>
          <w:i/>
          <w:sz w:val="24"/>
        </w:rPr>
        <w:t xml:space="preserve"> (</w:t>
      </w:r>
      <w:r w:rsidR="00B34541" w:rsidRPr="00391B86">
        <w:rPr>
          <w:rFonts w:ascii="Times New Roman" w:hAnsi="Times New Roman"/>
          <w:i/>
          <w:iCs/>
          <w:sz w:val="24"/>
        </w:rPr>
        <w:t>Deceased)</w:t>
      </w:r>
      <w:r w:rsidR="00F576B6" w:rsidRPr="00391B86">
        <w:rPr>
          <w:rFonts w:ascii="Times New Roman" w:hAnsi="Times New Roman"/>
          <w:sz w:val="24"/>
        </w:rPr>
        <w:t xml:space="preserve"> (2023) 72 VR 394 at 42</w:t>
      </w:r>
      <w:r w:rsidR="007F66F8" w:rsidRPr="00391B86">
        <w:rPr>
          <w:rFonts w:ascii="Times New Roman" w:hAnsi="Times New Roman"/>
          <w:sz w:val="24"/>
        </w:rPr>
        <w:t>3-424 [124]-[125]</w:t>
      </w:r>
      <w:r w:rsidR="00F576B6" w:rsidRPr="00391B86">
        <w:rPr>
          <w:rFonts w:ascii="Times New Roman" w:hAnsi="Times New Roman"/>
          <w:sz w:val="24"/>
        </w:rPr>
        <w:t>.</w:t>
      </w:r>
    </w:p>
  </w:footnote>
  <w:footnote w:id="30">
    <w:p w14:paraId="1B135141" w14:textId="27DE7629" w:rsidR="009D0B5E" w:rsidRPr="00391B86" w:rsidRDefault="009D0B5E"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F576B6" w:rsidRPr="00391B86">
        <w:rPr>
          <w:rFonts w:ascii="Times New Roman" w:hAnsi="Times New Roman"/>
          <w:sz w:val="24"/>
        </w:rPr>
        <w:tab/>
      </w:r>
      <w:r w:rsidR="00F576B6" w:rsidRPr="00391B86">
        <w:rPr>
          <w:rFonts w:ascii="Times New Roman" w:hAnsi="Times New Roman"/>
          <w:i/>
          <w:iCs/>
          <w:sz w:val="24"/>
        </w:rPr>
        <w:t xml:space="preserve">Bogan v </w:t>
      </w:r>
      <w:r w:rsidR="00B34541" w:rsidRPr="00391B86">
        <w:rPr>
          <w:rFonts w:ascii="Times New Roman" w:hAnsi="Times New Roman"/>
          <w:i/>
          <w:iCs/>
          <w:sz w:val="24"/>
        </w:rPr>
        <w:t xml:space="preserve">Estate of </w:t>
      </w:r>
      <w:r w:rsidR="00F576B6" w:rsidRPr="00391B86">
        <w:rPr>
          <w:rFonts w:ascii="Times New Roman" w:hAnsi="Times New Roman"/>
          <w:i/>
          <w:iCs/>
          <w:sz w:val="24"/>
        </w:rPr>
        <w:t>Smedley</w:t>
      </w:r>
      <w:r w:rsidR="00F576B6" w:rsidRPr="00391B86">
        <w:rPr>
          <w:rFonts w:ascii="Times New Roman" w:hAnsi="Times New Roman"/>
          <w:i/>
          <w:sz w:val="24"/>
        </w:rPr>
        <w:t xml:space="preserve"> (</w:t>
      </w:r>
      <w:r w:rsidR="00B34541" w:rsidRPr="00391B86">
        <w:rPr>
          <w:rFonts w:ascii="Times New Roman" w:hAnsi="Times New Roman"/>
          <w:i/>
          <w:iCs/>
          <w:sz w:val="24"/>
        </w:rPr>
        <w:t>Deceased)</w:t>
      </w:r>
      <w:r w:rsidR="00F576B6" w:rsidRPr="00391B86">
        <w:rPr>
          <w:rFonts w:ascii="Times New Roman" w:hAnsi="Times New Roman"/>
          <w:sz w:val="24"/>
        </w:rPr>
        <w:t xml:space="preserve"> (2023) 72 VR 394 at 4</w:t>
      </w:r>
      <w:r w:rsidR="0020729F" w:rsidRPr="00391B86">
        <w:rPr>
          <w:rFonts w:ascii="Times New Roman" w:hAnsi="Times New Roman"/>
          <w:sz w:val="24"/>
        </w:rPr>
        <w:t>31-432</w:t>
      </w:r>
      <w:r w:rsidR="00F576B6" w:rsidRPr="00391B86">
        <w:rPr>
          <w:rFonts w:ascii="Times New Roman" w:hAnsi="Times New Roman"/>
          <w:sz w:val="24"/>
        </w:rPr>
        <w:t xml:space="preserve"> [1</w:t>
      </w:r>
      <w:r w:rsidR="00FD38E8" w:rsidRPr="00391B86">
        <w:rPr>
          <w:rFonts w:ascii="Times New Roman" w:hAnsi="Times New Roman"/>
          <w:sz w:val="24"/>
        </w:rPr>
        <w:t>70</w:t>
      </w:r>
      <w:r w:rsidR="00F576B6" w:rsidRPr="00391B86">
        <w:rPr>
          <w:rFonts w:ascii="Times New Roman" w:hAnsi="Times New Roman"/>
          <w:sz w:val="24"/>
        </w:rPr>
        <w:t>]</w:t>
      </w:r>
      <w:r w:rsidR="00FD38E8" w:rsidRPr="00391B86">
        <w:rPr>
          <w:rFonts w:ascii="Times New Roman" w:hAnsi="Times New Roman"/>
          <w:sz w:val="24"/>
        </w:rPr>
        <w:t>-[174]</w:t>
      </w:r>
      <w:r w:rsidR="00F576B6" w:rsidRPr="00391B86">
        <w:rPr>
          <w:rFonts w:ascii="Times New Roman" w:hAnsi="Times New Roman"/>
          <w:sz w:val="24"/>
        </w:rPr>
        <w:t>.</w:t>
      </w:r>
    </w:p>
  </w:footnote>
  <w:footnote w:id="31">
    <w:p w14:paraId="65A32C15" w14:textId="2DC10669" w:rsidR="002957F1" w:rsidRPr="00391B86" w:rsidRDefault="002957F1"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See [</w:t>
      </w:r>
      <w:r w:rsidR="00BE63DF" w:rsidRPr="00391B86">
        <w:rPr>
          <w:rFonts w:ascii="Times New Roman" w:hAnsi="Times New Roman"/>
          <w:sz w:val="24"/>
        </w:rPr>
        <w:t>15</w:t>
      </w:r>
      <w:r w:rsidRPr="00391B86">
        <w:rPr>
          <w:rFonts w:ascii="Times New Roman" w:hAnsi="Times New Roman"/>
          <w:sz w:val="24"/>
        </w:rPr>
        <w:t>] above.</w:t>
      </w:r>
    </w:p>
  </w:footnote>
  <w:footnote w:id="32">
    <w:p w14:paraId="7CAE0261" w14:textId="448A71E1" w:rsidR="00E4536D" w:rsidRPr="00391B86" w:rsidRDefault="00E4536D"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FB4897" w:rsidRPr="00391B86">
        <w:rPr>
          <w:rFonts w:ascii="Times New Roman" w:hAnsi="Times New Roman"/>
          <w:sz w:val="24"/>
        </w:rPr>
        <w:tab/>
      </w:r>
      <w:r w:rsidR="004D4ECF" w:rsidRPr="00391B86">
        <w:rPr>
          <w:rFonts w:ascii="Times New Roman" w:hAnsi="Times New Roman"/>
          <w:i/>
          <w:iCs/>
          <w:sz w:val="24"/>
        </w:rPr>
        <w:t xml:space="preserve">Re Macks; Ex </w:t>
      </w:r>
      <w:r w:rsidR="004D4ECF" w:rsidRPr="00391B86">
        <w:rPr>
          <w:rFonts w:ascii="Times New Roman" w:hAnsi="Times New Roman"/>
          <w:i/>
          <w:iCs/>
          <w:sz w:val="24"/>
        </w:rPr>
        <w:t>parte Saint</w:t>
      </w:r>
      <w:r w:rsidR="004D4ECF" w:rsidRPr="00391B86">
        <w:rPr>
          <w:rFonts w:ascii="Times New Roman" w:hAnsi="Times New Roman"/>
          <w:sz w:val="24"/>
        </w:rPr>
        <w:t xml:space="preserve"> (2000) 204 CLR 158 at 203 [115]</w:t>
      </w:r>
      <w:r w:rsidR="001D6E7E" w:rsidRPr="00391B86">
        <w:rPr>
          <w:rFonts w:ascii="Times New Roman" w:hAnsi="Times New Roman"/>
          <w:sz w:val="24"/>
        </w:rPr>
        <w:t xml:space="preserve">; </w:t>
      </w:r>
      <w:r w:rsidR="001D6E7E" w:rsidRPr="00391B86">
        <w:rPr>
          <w:rFonts w:ascii="Times New Roman" w:hAnsi="Times New Roman"/>
          <w:i/>
          <w:iCs/>
          <w:sz w:val="24"/>
        </w:rPr>
        <w:t>Williams v Wreck Bay Aboriginal Community Council</w:t>
      </w:r>
      <w:r w:rsidR="001D6E7E" w:rsidRPr="00391B86">
        <w:rPr>
          <w:rFonts w:ascii="Times New Roman" w:hAnsi="Times New Roman"/>
          <w:sz w:val="24"/>
        </w:rPr>
        <w:t xml:space="preserve"> (2019) 266 CLR </w:t>
      </w:r>
      <w:r w:rsidR="00FA03B6" w:rsidRPr="00391B86">
        <w:rPr>
          <w:rFonts w:ascii="Times New Roman" w:hAnsi="Times New Roman"/>
          <w:sz w:val="24"/>
        </w:rPr>
        <w:t>499 at 535 [101]</w:t>
      </w:r>
      <w:r w:rsidR="002F043F" w:rsidRPr="00391B86">
        <w:rPr>
          <w:rFonts w:ascii="Times New Roman" w:hAnsi="Times New Roman"/>
          <w:sz w:val="24"/>
        </w:rPr>
        <w:t xml:space="preserve">; </w:t>
      </w:r>
      <w:r w:rsidR="003B437A" w:rsidRPr="00391B86">
        <w:rPr>
          <w:rFonts w:ascii="Times New Roman" w:hAnsi="Times New Roman"/>
          <w:i/>
          <w:iCs/>
          <w:sz w:val="24"/>
        </w:rPr>
        <w:t>H</w:t>
      </w:r>
      <w:r w:rsidR="002F043F" w:rsidRPr="00391B86">
        <w:rPr>
          <w:rFonts w:ascii="Times New Roman" w:hAnsi="Times New Roman"/>
          <w:i/>
          <w:iCs/>
          <w:sz w:val="24"/>
        </w:rPr>
        <w:t xml:space="preserve"> Lundbeck A/S v Sandoz Pty Ltd </w:t>
      </w:r>
      <w:r w:rsidR="002F043F" w:rsidRPr="00391B86">
        <w:rPr>
          <w:rFonts w:ascii="Times New Roman" w:hAnsi="Times New Roman"/>
          <w:sz w:val="24"/>
        </w:rPr>
        <w:t>(2022) 276 CLR 170 at 185 [26</w:t>
      </w:r>
      <w:r w:rsidR="00FA03B6" w:rsidRPr="00391B86">
        <w:rPr>
          <w:rFonts w:ascii="Times New Roman" w:hAnsi="Times New Roman"/>
          <w:sz w:val="24"/>
        </w:rPr>
        <w:t>].</w:t>
      </w:r>
    </w:p>
  </w:footnote>
  <w:footnote w:id="33">
    <w:p w14:paraId="064C0C8C" w14:textId="690D2017" w:rsidR="00E44BA1" w:rsidRPr="00391B86" w:rsidRDefault="00E44BA1"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4E15AF" w:rsidRPr="00391B86">
        <w:rPr>
          <w:rFonts w:ascii="Times New Roman" w:hAnsi="Times New Roman"/>
          <w:sz w:val="24"/>
        </w:rPr>
        <w:tab/>
      </w:r>
      <w:r w:rsidR="00D6354D" w:rsidRPr="00391B86">
        <w:rPr>
          <w:rFonts w:ascii="Times New Roman" w:hAnsi="Times New Roman"/>
          <w:i/>
          <w:iCs/>
          <w:sz w:val="24"/>
        </w:rPr>
        <w:t xml:space="preserve">Minister for Immigration and Border Protection v </w:t>
      </w:r>
      <w:r w:rsidR="00D6354D" w:rsidRPr="00391B86">
        <w:rPr>
          <w:rFonts w:ascii="Times New Roman" w:hAnsi="Times New Roman"/>
          <w:i/>
          <w:iCs/>
          <w:sz w:val="24"/>
        </w:rPr>
        <w:t>Makasa</w:t>
      </w:r>
      <w:r w:rsidR="00D6354D" w:rsidRPr="00391B86">
        <w:rPr>
          <w:rFonts w:ascii="Times New Roman" w:hAnsi="Times New Roman"/>
          <w:sz w:val="24"/>
        </w:rPr>
        <w:t xml:space="preserve"> (2021) 270 CLR </w:t>
      </w:r>
      <w:r w:rsidR="00EF555A" w:rsidRPr="00391B86">
        <w:rPr>
          <w:rFonts w:ascii="Times New Roman" w:hAnsi="Times New Roman"/>
          <w:sz w:val="24"/>
        </w:rPr>
        <w:t>430 at 447 [</w:t>
      </w:r>
      <w:r w:rsidR="009003B1" w:rsidRPr="00391B86">
        <w:rPr>
          <w:rFonts w:ascii="Times New Roman" w:hAnsi="Times New Roman"/>
          <w:sz w:val="24"/>
        </w:rPr>
        <w:t xml:space="preserve">51]. </w:t>
      </w:r>
      <w:r w:rsidR="00982A44" w:rsidRPr="00391B86">
        <w:rPr>
          <w:rFonts w:ascii="Times New Roman" w:hAnsi="Times New Roman"/>
          <w:sz w:val="24"/>
        </w:rPr>
        <w:t xml:space="preserve">See also </w:t>
      </w:r>
      <w:r w:rsidR="00982A44" w:rsidRPr="00391B86">
        <w:rPr>
          <w:rFonts w:ascii="Times New Roman" w:hAnsi="Times New Roman"/>
          <w:i/>
          <w:iCs/>
          <w:sz w:val="24"/>
        </w:rPr>
        <w:t>Vunilagi v The Queen</w:t>
      </w:r>
      <w:r w:rsidR="00982A44" w:rsidRPr="00391B86">
        <w:rPr>
          <w:rFonts w:ascii="Times New Roman" w:hAnsi="Times New Roman"/>
          <w:sz w:val="24"/>
        </w:rPr>
        <w:t xml:space="preserve"> (2023) </w:t>
      </w:r>
      <w:r w:rsidR="00AD3FCB" w:rsidRPr="00391B86">
        <w:rPr>
          <w:rFonts w:ascii="Times New Roman" w:hAnsi="Times New Roman"/>
          <w:sz w:val="24"/>
        </w:rPr>
        <w:t xml:space="preserve">97 ALJR 627 at </w:t>
      </w:r>
      <w:r w:rsidR="00C60845" w:rsidRPr="00391B86">
        <w:rPr>
          <w:rFonts w:ascii="Times New Roman" w:hAnsi="Times New Roman"/>
          <w:sz w:val="24"/>
        </w:rPr>
        <w:t xml:space="preserve">645 </w:t>
      </w:r>
      <w:r w:rsidR="00AD3FCB" w:rsidRPr="00391B86">
        <w:rPr>
          <w:rFonts w:ascii="Times New Roman" w:hAnsi="Times New Roman"/>
          <w:sz w:val="24"/>
        </w:rPr>
        <w:t>[71]</w:t>
      </w:r>
      <w:r w:rsidR="0097565A" w:rsidRPr="00391B86">
        <w:rPr>
          <w:rFonts w:ascii="Times New Roman" w:hAnsi="Times New Roman"/>
          <w:sz w:val="24"/>
        </w:rPr>
        <w:t>; 411 ALR 224 at 240</w:t>
      </w:r>
      <w:r w:rsidR="00AD3FCB" w:rsidRPr="00391B86">
        <w:rPr>
          <w:rFonts w:ascii="Times New Roman" w:hAnsi="Times New Roman"/>
          <w:sz w:val="24"/>
        </w:rPr>
        <w:t>.</w:t>
      </w:r>
    </w:p>
  </w:footnote>
  <w:footnote w:id="34">
    <w:p w14:paraId="1B51963C" w14:textId="4B7BB35A" w:rsidR="00DB0431" w:rsidRPr="00391B86" w:rsidRDefault="00DB0431"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00147279" w:rsidRPr="00391B86">
        <w:rPr>
          <w:rFonts w:ascii="Times New Roman" w:hAnsi="Times New Roman"/>
          <w:i/>
          <w:iCs/>
          <w:sz w:val="24"/>
        </w:rPr>
        <w:t xml:space="preserve">Bogan v </w:t>
      </w:r>
      <w:r w:rsidR="00934B89" w:rsidRPr="00391B86">
        <w:rPr>
          <w:rFonts w:ascii="Times New Roman" w:hAnsi="Times New Roman"/>
          <w:i/>
          <w:iCs/>
          <w:sz w:val="24"/>
        </w:rPr>
        <w:t xml:space="preserve">Estate of </w:t>
      </w:r>
      <w:r w:rsidR="00147279" w:rsidRPr="00391B86">
        <w:rPr>
          <w:rFonts w:ascii="Times New Roman" w:hAnsi="Times New Roman"/>
          <w:i/>
          <w:iCs/>
          <w:sz w:val="24"/>
        </w:rPr>
        <w:t>Smedley</w:t>
      </w:r>
      <w:r w:rsidR="00147279" w:rsidRPr="00391B86">
        <w:rPr>
          <w:rFonts w:ascii="Times New Roman" w:hAnsi="Times New Roman"/>
          <w:i/>
          <w:sz w:val="24"/>
        </w:rPr>
        <w:t xml:space="preserve"> (</w:t>
      </w:r>
      <w:r w:rsidR="00934B89" w:rsidRPr="00391B86">
        <w:rPr>
          <w:rFonts w:ascii="Times New Roman" w:hAnsi="Times New Roman"/>
          <w:i/>
          <w:iCs/>
          <w:sz w:val="24"/>
        </w:rPr>
        <w:t>Deceased)</w:t>
      </w:r>
      <w:r w:rsidR="00147279" w:rsidRPr="00391B86">
        <w:rPr>
          <w:rFonts w:ascii="Times New Roman" w:hAnsi="Times New Roman"/>
          <w:sz w:val="24"/>
        </w:rPr>
        <w:t xml:space="preserve"> (2023) 72 VR 394 at 4</w:t>
      </w:r>
      <w:r w:rsidR="00587EB5" w:rsidRPr="00391B86">
        <w:rPr>
          <w:rFonts w:ascii="Times New Roman" w:hAnsi="Times New Roman"/>
          <w:sz w:val="24"/>
        </w:rPr>
        <w:t>26 [142].</w:t>
      </w:r>
    </w:p>
  </w:footnote>
  <w:footnote w:id="35">
    <w:p w14:paraId="55E5077B" w14:textId="10E9BA5A" w:rsidR="00ED3F3E" w:rsidRPr="00391B86" w:rsidRDefault="00ED3F3E"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00AE33A7" w:rsidRPr="00391B86">
        <w:rPr>
          <w:rFonts w:ascii="Times New Roman" w:hAnsi="Times New Roman"/>
          <w:sz w:val="24"/>
        </w:rPr>
        <w:t xml:space="preserve">Act of </w:t>
      </w:r>
      <w:r w:rsidR="00893365" w:rsidRPr="00391B86">
        <w:rPr>
          <w:rFonts w:ascii="Times New Roman" w:hAnsi="Times New Roman"/>
          <w:sz w:val="24"/>
        </w:rPr>
        <w:t xml:space="preserve">3 March 1875, 18 Stat 470, ss </w:t>
      </w:r>
      <w:r w:rsidR="00CA6CD6" w:rsidRPr="00391B86">
        <w:rPr>
          <w:rFonts w:ascii="Times New Roman" w:hAnsi="Times New Roman"/>
          <w:sz w:val="24"/>
        </w:rPr>
        <w:t>4 and 6.</w:t>
      </w:r>
    </w:p>
  </w:footnote>
  <w:footnote w:id="36">
    <w:p w14:paraId="1323AF03" w14:textId="0E3FA71F" w:rsidR="00B12F8B" w:rsidRPr="00391B86" w:rsidRDefault="00B12F8B"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 xml:space="preserve">Ex </w:t>
      </w:r>
      <w:r w:rsidRPr="00391B86">
        <w:rPr>
          <w:rFonts w:ascii="Times New Roman" w:hAnsi="Times New Roman"/>
          <w:i/>
          <w:iCs/>
          <w:sz w:val="24"/>
        </w:rPr>
        <w:t xml:space="preserve">parte Fisk </w:t>
      </w:r>
      <w:r w:rsidRPr="00391B86">
        <w:rPr>
          <w:rFonts w:ascii="Times New Roman" w:hAnsi="Times New Roman"/>
          <w:sz w:val="24"/>
        </w:rPr>
        <w:t>(1</w:t>
      </w:r>
      <w:r w:rsidR="00AD6A92" w:rsidRPr="00391B86">
        <w:rPr>
          <w:rFonts w:ascii="Times New Roman" w:hAnsi="Times New Roman"/>
          <w:sz w:val="24"/>
        </w:rPr>
        <w:t>8</w:t>
      </w:r>
      <w:r w:rsidRPr="00391B86">
        <w:rPr>
          <w:rFonts w:ascii="Times New Roman" w:hAnsi="Times New Roman"/>
          <w:sz w:val="24"/>
        </w:rPr>
        <w:t>85) 113 US 713 at 725.</w:t>
      </w:r>
    </w:p>
  </w:footnote>
  <w:footnote w:id="37">
    <w:p w14:paraId="23B00BF8" w14:textId="31336FDF" w:rsidR="00B12F8B" w:rsidRPr="00391B86" w:rsidRDefault="00B12F8B"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Granny Goose Foods Inc v Teamsters</w:t>
      </w:r>
      <w:r w:rsidRPr="00391B86">
        <w:rPr>
          <w:rFonts w:ascii="Times New Roman" w:hAnsi="Times New Roman"/>
          <w:sz w:val="24"/>
        </w:rPr>
        <w:t xml:space="preserve"> (197</w:t>
      </w:r>
      <w:r w:rsidR="00A5336F" w:rsidRPr="00391B86">
        <w:rPr>
          <w:rFonts w:ascii="Times New Roman" w:hAnsi="Times New Roman"/>
          <w:sz w:val="24"/>
        </w:rPr>
        <w:t>4</w:t>
      </w:r>
      <w:r w:rsidRPr="00391B86">
        <w:rPr>
          <w:rFonts w:ascii="Times New Roman" w:hAnsi="Times New Roman"/>
          <w:sz w:val="24"/>
        </w:rPr>
        <w:t>) 415 US 423 at 437-438.</w:t>
      </w:r>
    </w:p>
  </w:footnote>
  <w:footnote w:id="38">
    <w:p w14:paraId="7D5EFEB3" w14:textId="1508B3BF" w:rsidR="00675BB5" w:rsidRPr="00391B86" w:rsidRDefault="00675BB5"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00BF76C7" w:rsidRPr="00391B86">
        <w:rPr>
          <w:rFonts w:ascii="Times New Roman" w:hAnsi="Times New Roman"/>
          <w:sz w:val="24"/>
        </w:rPr>
        <w:t>(2004) 221 CLR 400.</w:t>
      </w:r>
    </w:p>
  </w:footnote>
  <w:footnote w:id="39">
    <w:p w14:paraId="4AE7BF13" w14:textId="4C0A0B84" w:rsidR="005741A2" w:rsidRPr="00391B86" w:rsidRDefault="005741A2"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9C5209" w:rsidRPr="00391B86">
        <w:rPr>
          <w:rFonts w:ascii="Times New Roman" w:hAnsi="Times New Roman"/>
          <w:sz w:val="24"/>
        </w:rPr>
        <w:tab/>
      </w:r>
      <w:r w:rsidR="00F508BE" w:rsidRPr="00391B86">
        <w:rPr>
          <w:rFonts w:ascii="Times New Roman" w:hAnsi="Times New Roman"/>
          <w:i/>
          <w:iCs/>
          <w:sz w:val="24"/>
        </w:rPr>
        <w:t>Jurisdiction of Courts (Cross-vesting) Act</w:t>
      </w:r>
      <w:r w:rsidR="00F508BE" w:rsidRPr="00391B86">
        <w:rPr>
          <w:rFonts w:ascii="Times New Roman" w:hAnsi="Times New Roman"/>
          <w:sz w:val="24"/>
        </w:rPr>
        <w:t xml:space="preserve"> </w:t>
      </w:r>
      <w:r w:rsidR="001A3FAD" w:rsidRPr="00391B86">
        <w:rPr>
          <w:rFonts w:ascii="Times New Roman" w:hAnsi="Times New Roman"/>
          <w:i/>
          <w:iCs/>
          <w:sz w:val="24"/>
        </w:rPr>
        <w:t xml:space="preserve">1987 </w:t>
      </w:r>
      <w:r w:rsidR="00F508BE" w:rsidRPr="00391B86">
        <w:rPr>
          <w:rFonts w:ascii="Times New Roman" w:hAnsi="Times New Roman"/>
          <w:sz w:val="24"/>
        </w:rPr>
        <w:t>(NSW)</w:t>
      </w:r>
      <w:r w:rsidR="00516869" w:rsidRPr="00391B86">
        <w:rPr>
          <w:rFonts w:ascii="Times New Roman" w:hAnsi="Times New Roman"/>
          <w:sz w:val="24"/>
        </w:rPr>
        <w:t xml:space="preserve">, s 5(2)(b)(iii); </w:t>
      </w:r>
      <w:r w:rsidR="00516869" w:rsidRPr="00391B86">
        <w:rPr>
          <w:rFonts w:ascii="Times New Roman" w:hAnsi="Times New Roman"/>
          <w:i/>
          <w:iCs/>
          <w:sz w:val="24"/>
        </w:rPr>
        <w:t>Jurisdiction of Courts (Cross-vesting) Act</w:t>
      </w:r>
      <w:r w:rsidR="00516869" w:rsidRPr="00391B86">
        <w:rPr>
          <w:rFonts w:ascii="Times New Roman" w:hAnsi="Times New Roman"/>
          <w:sz w:val="24"/>
        </w:rPr>
        <w:t xml:space="preserve"> </w:t>
      </w:r>
      <w:r w:rsidR="00516869" w:rsidRPr="00391B86">
        <w:rPr>
          <w:rFonts w:ascii="Times New Roman" w:hAnsi="Times New Roman"/>
          <w:i/>
          <w:iCs/>
          <w:sz w:val="24"/>
        </w:rPr>
        <w:t xml:space="preserve">1987 </w:t>
      </w:r>
      <w:r w:rsidR="00516869" w:rsidRPr="00391B86">
        <w:rPr>
          <w:rFonts w:ascii="Times New Roman" w:hAnsi="Times New Roman"/>
          <w:sz w:val="24"/>
        </w:rPr>
        <w:t>(Vic), s 5(2)(b)(iii)</w:t>
      </w:r>
      <w:r w:rsidR="00930DDB" w:rsidRPr="00391B86">
        <w:rPr>
          <w:rFonts w:ascii="Times New Roman" w:hAnsi="Times New Roman"/>
          <w:sz w:val="24"/>
        </w:rPr>
        <w:t xml:space="preserve">; </w:t>
      </w:r>
      <w:r w:rsidR="00E86231" w:rsidRPr="00391B86">
        <w:rPr>
          <w:rFonts w:ascii="Times New Roman" w:hAnsi="Times New Roman"/>
          <w:i/>
          <w:iCs/>
          <w:sz w:val="24"/>
        </w:rPr>
        <w:t>Jurisdiction of Courts (Cross-vesting) Act</w:t>
      </w:r>
      <w:r w:rsidR="00E86231" w:rsidRPr="00391B86">
        <w:rPr>
          <w:rFonts w:ascii="Times New Roman" w:hAnsi="Times New Roman"/>
          <w:sz w:val="24"/>
        </w:rPr>
        <w:t xml:space="preserve"> </w:t>
      </w:r>
      <w:r w:rsidR="00E86231" w:rsidRPr="00391B86">
        <w:rPr>
          <w:rFonts w:ascii="Times New Roman" w:hAnsi="Times New Roman"/>
          <w:i/>
          <w:iCs/>
          <w:sz w:val="24"/>
        </w:rPr>
        <w:t xml:space="preserve">1987 </w:t>
      </w:r>
      <w:r w:rsidR="00E86231" w:rsidRPr="00391B86">
        <w:rPr>
          <w:rFonts w:ascii="Times New Roman" w:hAnsi="Times New Roman"/>
          <w:sz w:val="24"/>
        </w:rPr>
        <w:t xml:space="preserve">(SA), s 5(2)(b)(iii); </w:t>
      </w:r>
      <w:r w:rsidR="00930DDB" w:rsidRPr="00391B86">
        <w:rPr>
          <w:rFonts w:ascii="Times New Roman" w:hAnsi="Times New Roman"/>
          <w:i/>
          <w:iCs/>
          <w:sz w:val="24"/>
        </w:rPr>
        <w:t>Jurisdiction of Courts (Cross-vesting) Act</w:t>
      </w:r>
      <w:r w:rsidR="00930DDB" w:rsidRPr="00391B86">
        <w:rPr>
          <w:rFonts w:ascii="Times New Roman" w:hAnsi="Times New Roman"/>
          <w:sz w:val="24"/>
        </w:rPr>
        <w:t xml:space="preserve"> </w:t>
      </w:r>
      <w:r w:rsidR="00930DDB" w:rsidRPr="00391B86">
        <w:rPr>
          <w:rFonts w:ascii="Times New Roman" w:hAnsi="Times New Roman"/>
          <w:i/>
          <w:iCs/>
          <w:sz w:val="24"/>
        </w:rPr>
        <w:t xml:space="preserve">1987 </w:t>
      </w:r>
      <w:r w:rsidR="00930DDB" w:rsidRPr="00391B86">
        <w:rPr>
          <w:rFonts w:ascii="Times New Roman" w:hAnsi="Times New Roman"/>
          <w:sz w:val="24"/>
        </w:rPr>
        <w:t xml:space="preserve">(Qld), s 5(2)(b)(iii); </w:t>
      </w:r>
      <w:r w:rsidR="00F35282" w:rsidRPr="00391B86">
        <w:rPr>
          <w:rFonts w:ascii="Times New Roman" w:hAnsi="Times New Roman"/>
          <w:i/>
          <w:iCs/>
          <w:sz w:val="24"/>
        </w:rPr>
        <w:t>Jurisdiction of Courts (Cross-vesting) Act</w:t>
      </w:r>
      <w:r w:rsidR="00F35282" w:rsidRPr="00391B86">
        <w:rPr>
          <w:rFonts w:ascii="Times New Roman" w:hAnsi="Times New Roman"/>
          <w:sz w:val="24"/>
        </w:rPr>
        <w:t xml:space="preserve"> </w:t>
      </w:r>
      <w:r w:rsidR="00F35282" w:rsidRPr="00391B86">
        <w:rPr>
          <w:rFonts w:ascii="Times New Roman" w:hAnsi="Times New Roman"/>
          <w:i/>
          <w:iCs/>
          <w:sz w:val="24"/>
        </w:rPr>
        <w:t xml:space="preserve">1987 </w:t>
      </w:r>
      <w:r w:rsidR="00F35282" w:rsidRPr="00391B86">
        <w:rPr>
          <w:rFonts w:ascii="Times New Roman" w:hAnsi="Times New Roman"/>
          <w:sz w:val="24"/>
        </w:rPr>
        <w:t>(WA), s 5(2)(b)(iii)</w:t>
      </w:r>
      <w:r w:rsidR="000607E7" w:rsidRPr="00391B86">
        <w:rPr>
          <w:rFonts w:ascii="Times New Roman" w:hAnsi="Times New Roman"/>
          <w:sz w:val="24"/>
        </w:rPr>
        <w:t xml:space="preserve">; </w:t>
      </w:r>
      <w:r w:rsidR="000607E7" w:rsidRPr="00391B86">
        <w:rPr>
          <w:rFonts w:ascii="Times New Roman" w:hAnsi="Times New Roman"/>
          <w:i/>
          <w:iCs/>
          <w:sz w:val="24"/>
        </w:rPr>
        <w:t>Jurisdiction of Courts (Cross-vesting) Act</w:t>
      </w:r>
      <w:r w:rsidR="000607E7" w:rsidRPr="00391B86">
        <w:rPr>
          <w:rFonts w:ascii="Times New Roman" w:hAnsi="Times New Roman"/>
          <w:sz w:val="24"/>
        </w:rPr>
        <w:t xml:space="preserve"> </w:t>
      </w:r>
      <w:r w:rsidR="000607E7" w:rsidRPr="00391B86">
        <w:rPr>
          <w:rFonts w:ascii="Times New Roman" w:hAnsi="Times New Roman"/>
          <w:i/>
          <w:iCs/>
          <w:sz w:val="24"/>
        </w:rPr>
        <w:t xml:space="preserve">1987 </w:t>
      </w:r>
      <w:r w:rsidR="000607E7" w:rsidRPr="00391B86">
        <w:rPr>
          <w:rFonts w:ascii="Times New Roman" w:hAnsi="Times New Roman"/>
          <w:sz w:val="24"/>
        </w:rPr>
        <w:t>(Tas), s 5(2)(b)(iii)</w:t>
      </w:r>
      <w:r w:rsidR="00B66A86" w:rsidRPr="00391B86">
        <w:rPr>
          <w:rFonts w:ascii="Times New Roman" w:hAnsi="Times New Roman"/>
          <w:sz w:val="24"/>
        </w:rPr>
        <w:t>.</w:t>
      </w:r>
    </w:p>
  </w:footnote>
  <w:footnote w:id="40">
    <w:p w14:paraId="48D24063" w14:textId="0C6E3F1D" w:rsidR="002F56F9" w:rsidRPr="00391B86" w:rsidRDefault="002F56F9"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7C6F56" w:rsidRPr="00391B86">
        <w:rPr>
          <w:rFonts w:ascii="Times New Roman" w:hAnsi="Times New Roman"/>
          <w:sz w:val="24"/>
        </w:rPr>
        <w:tab/>
      </w:r>
      <w:r w:rsidR="0065025F" w:rsidRPr="00391B86">
        <w:rPr>
          <w:rFonts w:ascii="Times New Roman" w:hAnsi="Times New Roman"/>
          <w:sz w:val="24"/>
        </w:rPr>
        <w:t>Preamble to the Cross-vesting Act</w:t>
      </w:r>
      <w:r w:rsidR="0023187E" w:rsidRPr="00391B86">
        <w:rPr>
          <w:rFonts w:ascii="Times New Roman" w:hAnsi="Times New Roman"/>
          <w:sz w:val="24"/>
        </w:rPr>
        <w:t>.</w:t>
      </w:r>
    </w:p>
  </w:footnote>
  <w:footnote w:id="41">
    <w:p w14:paraId="1F05576D" w14:textId="284F3044" w:rsidR="00D1704F" w:rsidRPr="00391B86" w:rsidRDefault="00D1704F"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BHP Billiton Ltd v S</w:t>
      </w:r>
      <w:r w:rsidR="007E56BE" w:rsidRPr="00391B86">
        <w:rPr>
          <w:rFonts w:ascii="Times New Roman" w:hAnsi="Times New Roman"/>
          <w:i/>
          <w:iCs/>
          <w:sz w:val="24"/>
        </w:rPr>
        <w:t>c</w:t>
      </w:r>
      <w:r w:rsidRPr="00391B86">
        <w:rPr>
          <w:rFonts w:ascii="Times New Roman" w:hAnsi="Times New Roman"/>
          <w:i/>
          <w:iCs/>
          <w:sz w:val="24"/>
        </w:rPr>
        <w:t xml:space="preserve">hultz </w:t>
      </w:r>
      <w:r w:rsidR="00BF76C7" w:rsidRPr="00391B86">
        <w:rPr>
          <w:rFonts w:ascii="Times New Roman" w:hAnsi="Times New Roman"/>
          <w:sz w:val="24"/>
        </w:rPr>
        <w:t>(2004) 221 CLR 400 at 421 [14].</w:t>
      </w:r>
    </w:p>
  </w:footnote>
  <w:footnote w:id="42">
    <w:p w14:paraId="019D4DCD" w14:textId="504CBB7D" w:rsidR="00B7652F" w:rsidRPr="00391B86" w:rsidRDefault="00B7652F"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00B43EC8" w:rsidRPr="00391B86">
        <w:rPr>
          <w:rFonts w:ascii="Times New Roman" w:hAnsi="Times New Roman"/>
          <w:sz w:val="24"/>
        </w:rPr>
        <w:tab/>
        <w:t>See s 33</w:t>
      </w:r>
      <w:r w:rsidR="002833A4" w:rsidRPr="00391B86">
        <w:rPr>
          <w:rFonts w:ascii="Times New Roman" w:hAnsi="Times New Roman"/>
          <w:sz w:val="24"/>
        </w:rPr>
        <w:t xml:space="preserve">(2A) of the </w:t>
      </w:r>
      <w:r w:rsidR="002833A4" w:rsidRPr="00391B86">
        <w:rPr>
          <w:rFonts w:ascii="Times New Roman" w:hAnsi="Times New Roman"/>
          <w:i/>
          <w:iCs/>
          <w:sz w:val="24"/>
        </w:rPr>
        <w:t>Acts Interpretation Act 1901</w:t>
      </w:r>
      <w:r w:rsidR="002833A4" w:rsidRPr="00391B86">
        <w:rPr>
          <w:rFonts w:ascii="Times New Roman" w:hAnsi="Times New Roman"/>
          <w:sz w:val="24"/>
        </w:rPr>
        <w:t xml:space="preserve"> (</w:t>
      </w:r>
      <w:r w:rsidR="002833A4" w:rsidRPr="00391B86">
        <w:rPr>
          <w:rFonts w:ascii="Times New Roman" w:hAnsi="Times New Roman"/>
          <w:sz w:val="24"/>
        </w:rPr>
        <w:t xml:space="preserve">Cth), </w:t>
      </w:r>
      <w:r w:rsidR="00B838CF" w:rsidRPr="00391B86">
        <w:rPr>
          <w:rFonts w:ascii="Times New Roman" w:hAnsi="Times New Roman"/>
          <w:sz w:val="24"/>
        </w:rPr>
        <w:t xml:space="preserve">inserted by </w:t>
      </w:r>
      <w:r w:rsidR="00273E49" w:rsidRPr="00391B86">
        <w:rPr>
          <w:rFonts w:ascii="Times New Roman" w:hAnsi="Times New Roman"/>
          <w:sz w:val="24"/>
        </w:rPr>
        <w:t xml:space="preserve">Sch 1 to </w:t>
      </w:r>
      <w:r w:rsidR="00B838CF" w:rsidRPr="00391B86">
        <w:rPr>
          <w:rFonts w:ascii="Times New Roman" w:hAnsi="Times New Roman"/>
          <w:sz w:val="24"/>
        </w:rPr>
        <w:t xml:space="preserve">the </w:t>
      </w:r>
      <w:r w:rsidR="00B838CF" w:rsidRPr="00391B86">
        <w:rPr>
          <w:rFonts w:ascii="Times New Roman" w:hAnsi="Times New Roman"/>
          <w:i/>
          <w:iCs/>
          <w:sz w:val="24"/>
        </w:rPr>
        <w:t>Statute Law (Miscellaneous Provisions) Act 1987</w:t>
      </w:r>
      <w:r w:rsidR="00B838CF" w:rsidRPr="00391B86">
        <w:rPr>
          <w:rFonts w:ascii="Times New Roman" w:hAnsi="Times New Roman"/>
          <w:sz w:val="24"/>
        </w:rPr>
        <w:t xml:space="preserve"> (Cth).</w:t>
      </w:r>
    </w:p>
  </w:footnote>
  <w:footnote w:id="43">
    <w:p w14:paraId="6C74F6F0" w14:textId="3AFB16B2" w:rsidR="004F11B7" w:rsidRPr="00391B86" w:rsidRDefault="004F11B7"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00A11749" w:rsidRPr="00391B86">
        <w:rPr>
          <w:rFonts w:ascii="Times New Roman" w:hAnsi="Times New Roman"/>
          <w:i/>
          <w:iCs/>
          <w:sz w:val="24"/>
        </w:rPr>
        <w:t>R</w:t>
      </w:r>
      <w:r w:rsidRPr="00391B86">
        <w:rPr>
          <w:rFonts w:ascii="Times New Roman" w:hAnsi="Times New Roman"/>
          <w:i/>
          <w:iCs/>
          <w:sz w:val="24"/>
        </w:rPr>
        <w:t xml:space="preserve"> v Hunt; Ex </w:t>
      </w:r>
      <w:r w:rsidRPr="00391B86">
        <w:rPr>
          <w:rFonts w:ascii="Times New Roman" w:hAnsi="Times New Roman"/>
          <w:i/>
          <w:iCs/>
          <w:sz w:val="24"/>
        </w:rPr>
        <w:t>parte Sean Investments Pty Ltd</w:t>
      </w:r>
      <w:r w:rsidRPr="00391B86">
        <w:rPr>
          <w:rFonts w:ascii="Times New Roman" w:hAnsi="Times New Roman"/>
          <w:sz w:val="24"/>
        </w:rPr>
        <w:t xml:space="preserve"> (1979) 180 CLR 322 at 329.</w:t>
      </w:r>
    </w:p>
  </w:footnote>
  <w:footnote w:id="44">
    <w:p w14:paraId="19F65F54" w14:textId="3D4C211E" w:rsidR="006D6757" w:rsidRPr="00391B86" w:rsidRDefault="006D6757"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Pr="00391B86">
        <w:rPr>
          <w:rFonts w:ascii="Times New Roman" w:hAnsi="Times New Roman"/>
          <w:i/>
          <w:iCs/>
          <w:sz w:val="24"/>
        </w:rPr>
        <w:t xml:space="preserve">Bogan v Estate of Smedley (Deceased) </w:t>
      </w:r>
      <w:r w:rsidRPr="00391B86">
        <w:rPr>
          <w:rFonts w:ascii="Times New Roman" w:hAnsi="Times New Roman"/>
          <w:sz w:val="24"/>
        </w:rPr>
        <w:t>(2023) 72 VR 394</w:t>
      </w:r>
      <w:r w:rsidR="00B446D7" w:rsidRPr="00391B86">
        <w:rPr>
          <w:rFonts w:ascii="Times New Roman" w:hAnsi="Times New Roman"/>
          <w:sz w:val="24"/>
        </w:rPr>
        <w:t xml:space="preserve"> at 430</w:t>
      </w:r>
      <w:r w:rsidR="006928E8" w:rsidRPr="00391B86">
        <w:rPr>
          <w:rFonts w:ascii="Times New Roman" w:hAnsi="Times New Roman"/>
          <w:sz w:val="24"/>
        </w:rPr>
        <w:t>-431</w:t>
      </w:r>
      <w:r w:rsidR="00B446D7" w:rsidRPr="00391B86">
        <w:rPr>
          <w:rFonts w:ascii="Times New Roman" w:hAnsi="Times New Roman"/>
          <w:sz w:val="24"/>
        </w:rPr>
        <w:t xml:space="preserve"> [166]-[169].</w:t>
      </w:r>
    </w:p>
  </w:footnote>
  <w:footnote w:id="45">
    <w:p w14:paraId="3395C6A2" w14:textId="77777777" w:rsidR="00EF1E03" w:rsidRPr="00391B86" w:rsidRDefault="00EF1E03"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 xml:space="preserve">Compare </w:t>
      </w:r>
      <w:r w:rsidRPr="00391B86">
        <w:rPr>
          <w:rFonts w:ascii="Times New Roman" w:hAnsi="Times New Roman"/>
          <w:i/>
          <w:iCs/>
          <w:sz w:val="24"/>
        </w:rPr>
        <w:t>Masson v Parsons</w:t>
      </w:r>
      <w:r w:rsidRPr="00391B86">
        <w:rPr>
          <w:rFonts w:ascii="Times New Roman" w:hAnsi="Times New Roman"/>
          <w:sz w:val="24"/>
        </w:rPr>
        <w:t xml:space="preserve"> (2019) 266 CLR 554 at 578 [38].</w:t>
      </w:r>
    </w:p>
  </w:footnote>
  <w:footnote w:id="46">
    <w:p w14:paraId="2A8D0EF0" w14:textId="005B61B5" w:rsidR="0004322B" w:rsidRPr="00391B86" w:rsidRDefault="0004322B"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r>
      <w:r w:rsidR="00684827" w:rsidRPr="00391B86">
        <w:rPr>
          <w:rFonts w:ascii="Times New Roman" w:hAnsi="Times New Roman"/>
          <w:i/>
          <w:iCs/>
          <w:sz w:val="24"/>
        </w:rPr>
        <w:t xml:space="preserve">M A Productions Pty Ltd v </w:t>
      </w:r>
      <w:r w:rsidR="00684827" w:rsidRPr="00391B86">
        <w:rPr>
          <w:rFonts w:ascii="Times New Roman" w:hAnsi="Times New Roman"/>
          <w:i/>
          <w:iCs/>
          <w:sz w:val="24"/>
        </w:rPr>
        <w:t xml:space="preserve">Austarama Television Pty Ltd </w:t>
      </w:r>
      <w:r w:rsidR="00684827" w:rsidRPr="00391B86">
        <w:rPr>
          <w:rFonts w:ascii="Times New Roman" w:hAnsi="Times New Roman"/>
          <w:sz w:val="24"/>
        </w:rPr>
        <w:t>(1982) 7 ACLR 97 at 100</w:t>
      </w:r>
      <w:r w:rsidR="000864E2" w:rsidRPr="00391B86">
        <w:rPr>
          <w:rFonts w:ascii="Times New Roman" w:hAnsi="Times New Roman"/>
          <w:sz w:val="24"/>
        </w:rPr>
        <w:t>;</w:t>
      </w:r>
      <w:r w:rsidR="00684827" w:rsidRPr="00391B86">
        <w:rPr>
          <w:rFonts w:ascii="Times New Roman" w:hAnsi="Times New Roman"/>
          <w:sz w:val="24"/>
        </w:rPr>
        <w:t xml:space="preserve"> </w:t>
      </w:r>
      <w:r w:rsidR="000864E2" w:rsidRPr="00391B86">
        <w:rPr>
          <w:rFonts w:ascii="Times New Roman" w:hAnsi="Times New Roman"/>
          <w:i/>
          <w:iCs/>
          <w:sz w:val="24"/>
        </w:rPr>
        <w:t>Yandil Holdings Pty Ltd v Insurance Company of North America</w:t>
      </w:r>
      <w:r w:rsidR="000864E2" w:rsidRPr="00391B86">
        <w:rPr>
          <w:rFonts w:ascii="Times New Roman" w:hAnsi="Times New Roman"/>
          <w:sz w:val="24"/>
        </w:rPr>
        <w:t xml:space="preserve"> (1985) 3 ACLC 542 at 545; </w:t>
      </w:r>
      <w:r w:rsidR="00FB29F8" w:rsidRPr="00391B86">
        <w:rPr>
          <w:rFonts w:ascii="Times New Roman" w:hAnsi="Times New Roman"/>
          <w:i/>
          <w:iCs/>
          <w:sz w:val="24"/>
        </w:rPr>
        <w:t>Madgwick v Kelly</w:t>
      </w:r>
      <w:r w:rsidR="00FB29F8" w:rsidRPr="00391B86">
        <w:rPr>
          <w:rFonts w:ascii="Times New Roman" w:hAnsi="Times New Roman"/>
          <w:sz w:val="24"/>
        </w:rPr>
        <w:t xml:space="preserve"> (2013) 212 FCR 1 at </w:t>
      </w:r>
      <w:r w:rsidR="00090D67" w:rsidRPr="00391B86">
        <w:rPr>
          <w:rFonts w:ascii="Times New Roman" w:hAnsi="Times New Roman"/>
          <w:sz w:val="24"/>
        </w:rPr>
        <w:t>22-23</w:t>
      </w:r>
      <w:r w:rsidR="00FB29F8" w:rsidRPr="00391B86">
        <w:rPr>
          <w:rFonts w:ascii="Times New Roman" w:hAnsi="Times New Roman"/>
          <w:sz w:val="24"/>
        </w:rPr>
        <w:t xml:space="preserve"> [99]</w:t>
      </w:r>
      <w:r w:rsidR="00C1263C" w:rsidRPr="00391B86">
        <w:rPr>
          <w:rFonts w:ascii="Times New Roman" w:hAnsi="Times New Roman"/>
          <w:sz w:val="24"/>
        </w:rPr>
        <w:t>.</w:t>
      </w:r>
    </w:p>
  </w:footnote>
  <w:footnote w:id="47">
    <w:p w14:paraId="482D9BBE" w14:textId="77777777" w:rsidR="00A06489" w:rsidRPr="00391B86" w:rsidRDefault="00A06489" w:rsidP="00391B86">
      <w:pPr>
        <w:pStyle w:val="FootnoteText"/>
        <w:spacing w:line="280" w:lineRule="exact"/>
        <w:ind w:right="0"/>
        <w:jc w:val="both"/>
        <w:rPr>
          <w:rFonts w:ascii="Times New Roman" w:hAnsi="Times New Roman"/>
          <w:sz w:val="24"/>
        </w:rPr>
      </w:pPr>
      <w:r w:rsidRPr="00391B86">
        <w:rPr>
          <w:rStyle w:val="FootnoteReference"/>
          <w:rFonts w:ascii="Times New Roman" w:hAnsi="Times New Roman"/>
          <w:sz w:val="22"/>
          <w:vertAlign w:val="baseline"/>
        </w:rPr>
        <w:footnoteRef/>
      </w:r>
      <w:r w:rsidRPr="00391B86">
        <w:rPr>
          <w:rFonts w:ascii="Times New Roman" w:hAnsi="Times New Roman"/>
          <w:sz w:val="24"/>
        </w:rPr>
        <w:t xml:space="preserve"> </w:t>
      </w:r>
      <w:r w:rsidRPr="00391B86">
        <w:rPr>
          <w:rFonts w:ascii="Times New Roman" w:hAnsi="Times New Roman"/>
          <w:sz w:val="24"/>
        </w:rPr>
        <w:tab/>
        <w:t xml:space="preserve">Rule 63.20 of the </w:t>
      </w:r>
      <w:r w:rsidRPr="00391B86">
        <w:rPr>
          <w:rFonts w:ascii="Times New Roman" w:hAnsi="Times New Roman"/>
          <w:i/>
          <w:iCs/>
          <w:sz w:val="24"/>
        </w:rPr>
        <w:t>Supreme Court (General Civil Procedure) Rules 2015</w:t>
      </w:r>
      <w:r w:rsidRPr="00391B86">
        <w:rPr>
          <w:rFonts w:ascii="Times New Roman" w:hAnsi="Times New Roman"/>
          <w:sz w:val="24"/>
        </w:rPr>
        <w:t xml:space="preserve"> (Vic).</w:t>
      </w:r>
    </w:p>
  </w:footnote>
  <w:footnote w:id="48">
    <w:p w14:paraId="396F6442"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Supreme Court Act 1986 </w:t>
      </w:r>
      <w:r w:rsidRPr="00D635C0">
        <w:rPr>
          <w:rFonts w:ascii="Times New Roman" w:hAnsi="Times New Roman"/>
          <w:sz w:val="24"/>
        </w:rPr>
        <w:t xml:space="preserve">(Vic), s 33ZDA. </w:t>
      </w:r>
    </w:p>
  </w:footnote>
  <w:footnote w:id="49">
    <w:p w14:paraId="016615F1"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Justice Legislation Miscellaneous Amendments Bill 2019 </w:t>
      </w:r>
      <w:r w:rsidRPr="00D635C0">
        <w:rPr>
          <w:rFonts w:ascii="Times New Roman" w:hAnsi="Times New Roman"/>
          <w:sz w:val="24"/>
        </w:rPr>
        <w:t>(Vic), cl 5.</w:t>
      </w:r>
    </w:p>
  </w:footnote>
  <w:footnote w:id="50">
    <w:p w14:paraId="4464697C"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Victoria, Legislative Assembly, </w:t>
      </w:r>
      <w:r w:rsidRPr="00D635C0">
        <w:rPr>
          <w:rFonts w:ascii="Times New Roman" w:hAnsi="Times New Roman"/>
          <w:i/>
          <w:iCs/>
          <w:sz w:val="24"/>
        </w:rPr>
        <w:t xml:space="preserve">Parliamentary Debates </w:t>
      </w:r>
      <w:r w:rsidRPr="00D635C0">
        <w:rPr>
          <w:rFonts w:ascii="Times New Roman" w:hAnsi="Times New Roman"/>
          <w:sz w:val="24"/>
        </w:rPr>
        <w:t>(Hansard), 27 November 2019 at 4590.</w:t>
      </w:r>
    </w:p>
  </w:footnote>
  <w:footnote w:id="51">
    <w:p w14:paraId="5B2F96F5"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Justice Legislation Miscellaneous Amendments Act 2020 </w:t>
      </w:r>
      <w:r w:rsidRPr="00D635C0">
        <w:rPr>
          <w:rFonts w:ascii="Times New Roman" w:hAnsi="Times New Roman"/>
          <w:sz w:val="24"/>
        </w:rPr>
        <w:t>(Vic), s 5.</w:t>
      </w:r>
    </w:p>
  </w:footnote>
  <w:footnote w:id="52">
    <w:p w14:paraId="4BBF234C"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Corporations Act 2001 </w:t>
      </w:r>
      <w:r w:rsidRPr="00D635C0">
        <w:rPr>
          <w:rFonts w:ascii="Times New Roman" w:hAnsi="Times New Roman"/>
          <w:sz w:val="24"/>
        </w:rPr>
        <w:t xml:space="preserve">(Cth), s 1337R. </w:t>
      </w:r>
      <w:r w:rsidRPr="00D635C0">
        <w:rPr>
          <w:rFonts w:ascii="Times New Roman" w:hAnsi="Times New Roman"/>
          <w:sz w:val="24"/>
        </w:rPr>
        <w:tab/>
      </w:r>
    </w:p>
  </w:footnote>
  <w:footnote w:id="53">
    <w:p w14:paraId="7EBA02D5"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Itself based on </w:t>
      </w:r>
      <w:r w:rsidRPr="00D635C0">
        <w:rPr>
          <w:rFonts w:ascii="Times New Roman" w:hAnsi="Times New Roman"/>
          <w:i/>
          <w:iCs/>
          <w:sz w:val="24"/>
        </w:rPr>
        <w:t xml:space="preserve">Jurisdiction of Courts (Cross-vesting) Act 1987 </w:t>
      </w:r>
      <w:r w:rsidRPr="00D635C0">
        <w:rPr>
          <w:rFonts w:ascii="Times New Roman" w:hAnsi="Times New Roman"/>
          <w:sz w:val="24"/>
        </w:rPr>
        <w:t xml:space="preserve">(Cth), s 13. </w:t>
      </w:r>
    </w:p>
  </w:footnote>
  <w:footnote w:id="54">
    <w:p w14:paraId="410B989E"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Australia, House of Representatives, </w:t>
      </w:r>
      <w:r w:rsidRPr="00D635C0">
        <w:rPr>
          <w:rFonts w:ascii="Times New Roman" w:hAnsi="Times New Roman"/>
          <w:i/>
          <w:iCs/>
          <w:sz w:val="24"/>
        </w:rPr>
        <w:t>Corporations Legislation Amendment Bill 1990</w:t>
      </w:r>
      <w:r w:rsidRPr="00D635C0">
        <w:rPr>
          <w:rFonts w:ascii="Times New Roman" w:hAnsi="Times New Roman"/>
          <w:sz w:val="24"/>
        </w:rPr>
        <w:t>, Explanatory Memorandum at 63.</w:t>
      </w:r>
    </w:p>
  </w:footnote>
  <w:footnote w:id="55">
    <w:p w14:paraId="74EACD52"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Attorney-General (NSW) v Commonwealth Savings Bank of Australia</w:t>
      </w:r>
      <w:r w:rsidRPr="00D635C0">
        <w:rPr>
          <w:rFonts w:ascii="Times New Roman" w:hAnsi="Times New Roman"/>
          <w:sz w:val="24"/>
        </w:rPr>
        <w:t xml:space="preserve"> (1986) 160 CLR 315 at 324-325.</w:t>
      </w:r>
    </w:p>
  </w:footnote>
  <w:footnote w:id="56">
    <w:p w14:paraId="6ED3C084"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(1990) 171 CLR 232. </w:t>
      </w:r>
    </w:p>
  </w:footnote>
  <w:footnote w:id="57">
    <w:p w14:paraId="4C8D805D"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O'Toole </w:t>
      </w:r>
      <w:r w:rsidRPr="00D635C0">
        <w:rPr>
          <w:rFonts w:ascii="Times New Roman" w:hAnsi="Times New Roman"/>
          <w:sz w:val="24"/>
        </w:rPr>
        <w:t xml:space="preserve">(1990) 171 CLR 232 at 243-244, 280-285, 296-303, 309. See now </w:t>
      </w:r>
      <w:r w:rsidRPr="00D635C0">
        <w:rPr>
          <w:rFonts w:ascii="Times New Roman" w:hAnsi="Times New Roman"/>
          <w:i/>
          <w:iCs/>
          <w:sz w:val="24"/>
        </w:rPr>
        <w:t xml:space="preserve">Mellifont v Attorney-General (Q) </w:t>
      </w:r>
      <w:r w:rsidRPr="00D635C0">
        <w:rPr>
          <w:rFonts w:ascii="Times New Roman" w:hAnsi="Times New Roman"/>
          <w:sz w:val="24"/>
        </w:rPr>
        <w:t>(1991) 173 CLR 289 at 302-304, 327.</w:t>
      </w:r>
    </w:p>
  </w:footnote>
  <w:footnote w:id="58">
    <w:p w14:paraId="6B8245BA"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KPMG (a firm) v Bogan </w:t>
      </w:r>
      <w:r w:rsidRPr="00D635C0">
        <w:rPr>
          <w:rFonts w:ascii="Times New Roman" w:hAnsi="Times New Roman"/>
          <w:sz w:val="24"/>
        </w:rPr>
        <w:t>[2024] HCASL 55.</w:t>
      </w:r>
    </w:p>
  </w:footnote>
  <w:footnote w:id="59">
    <w:p w14:paraId="7FB9D785"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See </w:t>
      </w:r>
      <w:r w:rsidRPr="00D635C0">
        <w:rPr>
          <w:rFonts w:ascii="Times New Roman" w:hAnsi="Times New Roman"/>
          <w:i/>
          <w:iCs/>
          <w:sz w:val="24"/>
        </w:rPr>
        <w:t xml:space="preserve">Judiciary Act 1903 </w:t>
      </w:r>
      <w:r w:rsidRPr="00D635C0">
        <w:rPr>
          <w:rFonts w:ascii="Times New Roman" w:hAnsi="Times New Roman"/>
          <w:sz w:val="24"/>
        </w:rPr>
        <w:t xml:space="preserve">(Cth), s 42. </w:t>
      </w:r>
    </w:p>
  </w:footnote>
  <w:footnote w:id="60">
    <w:p w14:paraId="178DF956"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Constitution</w:t>
      </w:r>
      <w:r w:rsidRPr="00D635C0">
        <w:rPr>
          <w:rFonts w:ascii="Times New Roman" w:hAnsi="Times New Roman"/>
          <w:sz w:val="24"/>
        </w:rPr>
        <w:t xml:space="preserve">, ss 76(ii), 77(iii); </w:t>
      </w:r>
      <w:r w:rsidRPr="00D635C0">
        <w:rPr>
          <w:rFonts w:ascii="Times New Roman" w:hAnsi="Times New Roman"/>
          <w:i/>
          <w:iCs/>
          <w:sz w:val="24"/>
        </w:rPr>
        <w:t>Judiciary Act</w:t>
      </w:r>
      <w:r w:rsidRPr="00D635C0">
        <w:rPr>
          <w:rFonts w:ascii="Times New Roman" w:hAnsi="Times New Roman"/>
          <w:sz w:val="24"/>
        </w:rPr>
        <w:t xml:space="preserve">, s 39. </w:t>
      </w:r>
    </w:p>
  </w:footnote>
  <w:footnote w:id="61">
    <w:p w14:paraId="3CA32100"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Masson v Parsons </w:t>
      </w:r>
      <w:r w:rsidRPr="00D635C0">
        <w:rPr>
          <w:rFonts w:ascii="Times New Roman" w:hAnsi="Times New Roman"/>
          <w:sz w:val="24"/>
        </w:rPr>
        <w:t>(2019) 266 CLR 554</w:t>
      </w:r>
      <w:r w:rsidRPr="00D635C0">
        <w:rPr>
          <w:rFonts w:ascii="Times New Roman" w:hAnsi="Times New Roman"/>
          <w:i/>
          <w:iCs/>
          <w:sz w:val="24"/>
        </w:rPr>
        <w:t xml:space="preserve"> </w:t>
      </w:r>
      <w:r w:rsidRPr="00D635C0">
        <w:rPr>
          <w:rFonts w:ascii="Times New Roman" w:hAnsi="Times New Roman"/>
          <w:sz w:val="24"/>
        </w:rPr>
        <w:t>at 564 [1].</w:t>
      </w:r>
    </w:p>
  </w:footnote>
  <w:footnote w:id="62">
    <w:p w14:paraId="5935BEC9"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Supreme Court Act 1986 </w:t>
      </w:r>
      <w:r w:rsidRPr="00D635C0">
        <w:rPr>
          <w:rFonts w:ascii="Times New Roman" w:hAnsi="Times New Roman"/>
          <w:sz w:val="24"/>
        </w:rPr>
        <w:t>(Vic), s 33ZDA.</w:t>
      </w:r>
    </w:p>
  </w:footnote>
  <w:footnote w:id="63">
    <w:p w14:paraId="7DE5114A"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See </w:t>
      </w:r>
      <w:r w:rsidRPr="00D635C0">
        <w:rPr>
          <w:rFonts w:ascii="Times New Roman" w:hAnsi="Times New Roman"/>
          <w:i/>
          <w:iCs/>
          <w:sz w:val="24"/>
        </w:rPr>
        <w:t xml:space="preserve">Masson v Parsons </w:t>
      </w:r>
      <w:r w:rsidRPr="00D635C0">
        <w:rPr>
          <w:rFonts w:ascii="Times New Roman" w:hAnsi="Times New Roman"/>
          <w:sz w:val="24"/>
        </w:rPr>
        <w:t>(2019) 266 CLR 554</w:t>
      </w:r>
      <w:r w:rsidRPr="00D635C0">
        <w:rPr>
          <w:rFonts w:ascii="Times New Roman" w:hAnsi="Times New Roman"/>
          <w:i/>
          <w:iCs/>
          <w:sz w:val="24"/>
        </w:rPr>
        <w:t xml:space="preserve"> </w:t>
      </w:r>
      <w:r w:rsidRPr="00D635C0">
        <w:rPr>
          <w:rFonts w:ascii="Times New Roman" w:hAnsi="Times New Roman"/>
          <w:sz w:val="24"/>
        </w:rPr>
        <w:t xml:space="preserve">at 586-587 [59]; </w:t>
      </w:r>
      <w:r w:rsidRPr="00D635C0">
        <w:rPr>
          <w:rFonts w:ascii="Times New Roman" w:hAnsi="Times New Roman"/>
          <w:i/>
          <w:iCs/>
          <w:sz w:val="24"/>
        </w:rPr>
        <w:t xml:space="preserve">Attorney-General (Cth) v Huynh </w:t>
      </w:r>
      <w:r w:rsidRPr="00D635C0">
        <w:rPr>
          <w:rFonts w:ascii="Times New Roman" w:hAnsi="Times New Roman"/>
          <w:sz w:val="24"/>
        </w:rPr>
        <w:t>(2023) 97 ALJR 298 at 343-344 [219]-[224]; 408 ALR 684 at 738-739.</w:t>
      </w:r>
    </w:p>
  </w:footnote>
  <w:footnote w:id="64">
    <w:p w14:paraId="57D52FC7"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Electric Light and Power Supply Corporation Ltd v Electricity Commission of New South Wales </w:t>
      </w:r>
      <w:r w:rsidRPr="00D635C0">
        <w:rPr>
          <w:rFonts w:ascii="Times New Roman" w:hAnsi="Times New Roman"/>
          <w:sz w:val="24"/>
        </w:rPr>
        <w:t xml:space="preserve">(1956) 94 CLR 554 at 560. </w:t>
      </w:r>
    </w:p>
  </w:footnote>
  <w:footnote w:id="65">
    <w:p w14:paraId="2896D4B7"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(2015) 254 CLR 477 at 483 [7]. See also </w:t>
      </w:r>
      <w:r w:rsidRPr="00D635C0">
        <w:rPr>
          <w:rFonts w:ascii="Times New Roman" w:hAnsi="Times New Roman"/>
          <w:i/>
          <w:iCs/>
          <w:sz w:val="24"/>
        </w:rPr>
        <w:t xml:space="preserve">Gordon v </w:t>
      </w:r>
      <w:r w:rsidRPr="00D635C0">
        <w:rPr>
          <w:rFonts w:ascii="Times New Roman" w:hAnsi="Times New Roman"/>
          <w:i/>
          <w:iCs/>
          <w:sz w:val="24"/>
        </w:rPr>
        <w:t xml:space="preserve">Tolcher </w:t>
      </w:r>
      <w:r w:rsidRPr="00D635C0">
        <w:rPr>
          <w:rFonts w:ascii="Times New Roman" w:hAnsi="Times New Roman"/>
          <w:sz w:val="24"/>
        </w:rPr>
        <w:t xml:space="preserve">(2006) 231 CLR 334 at 348 [40]. </w:t>
      </w:r>
    </w:p>
  </w:footnote>
  <w:footnote w:id="66">
    <w:p w14:paraId="3D6B27C7"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Corporations Act</w:t>
      </w:r>
      <w:r w:rsidRPr="00D635C0">
        <w:rPr>
          <w:rFonts w:ascii="Times New Roman" w:hAnsi="Times New Roman"/>
          <w:sz w:val="24"/>
        </w:rPr>
        <w:t xml:space="preserve">, s 1337T. </w:t>
      </w:r>
    </w:p>
  </w:footnote>
  <w:footnote w:id="67">
    <w:p w14:paraId="52E1D914"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Bogan v Estate of Smedley (Deceased)</w:t>
      </w:r>
      <w:r w:rsidRPr="00D635C0">
        <w:rPr>
          <w:rFonts w:ascii="Times New Roman" w:hAnsi="Times New Roman"/>
          <w:sz w:val="24"/>
        </w:rPr>
        <w:t xml:space="preserve"> (2023) 72 VR 394 at 427 [151].</w:t>
      </w:r>
    </w:p>
  </w:footnote>
  <w:footnote w:id="68">
    <w:p w14:paraId="3D51C1A9"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Jurisdiction and Removal Act of 1875</w:t>
      </w:r>
      <w:r w:rsidRPr="00D635C0">
        <w:rPr>
          <w:rFonts w:ascii="Times New Roman" w:hAnsi="Times New Roman"/>
          <w:sz w:val="24"/>
        </w:rPr>
        <w:t xml:space="preserve">, </w:t>
      </w:r>
      <w:r w:rsidRPr="00D635C0">
        <w:rPr>
          <w:rFonts w:ascii="Times New Roman" w:hAnsi="Times New Roman"/>
          <w:sz w:val="24"/>
        </w:rPr>
        <w:t>ch 137, 18 Stat 470, s 6.</w:t>
      </w:r>
    </w:p>
  </w:footnote>
  <w:footnote w:id="69">
    <w:p w14:paraId="047F51BB"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Ex parte Fisk </w:t>
      </w:r>
      <w:r w:rsidRPr="00D635C0">
        <w:rPr>
          <w:rFonts w:ascii="Times New Roman" w:hAnsi="Times New Roman"/>
          <w:sz w:val="24"/>
        </w:rPr>
        <w:t xml:space="preserve">(1885) 113 US 713 at 725. Approved in </w:t>
      </w:r>
      <w:r w:rsidRPr="00D635C0">
        <w:rPr>
          <w:rFonts w:ascii="Times New Roman" w:hAnsi="Times New Roman"/>
          <w:i/>
          <w:iCs/>
          <w:sz w:val="24"/>
        </w:rPr>
        <w:t>Granny Goose Foods Inc v Teamsters</w:t>
      </w:r>
      <w:r w:rsidRPr="00D635C0">
        <w:rPr>
          <w:rFonts w:ascii="Times New Roman" w:hAnsi="Times New Roman"/>
          <w:sz w:val="24"/>
        </w:rPr>
        <w:t xml:space="preserve"> (1974) 415 US 423 at 437-438.</w:t>
      </w:r>
    </w:p>
  </w:footnote>
  <w:footnote w:id="70">
    <w:p w14:paraId="236F248A"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Legal Profession Uniform Law </w:t>
      </w:r>
      <w:r w:rsidRPr="00D635C0">
        <w:rPr>
          <w:rFonts w:ascii="Times New Roman" w:hAnsi="Times New Roman"/>
          <w:sz w:val="24"/>
        </w:rPr>
        <w:t>(NSW), s 183.</w:t>
      </w:r>
    </w:p>
  </w:footnote>
  <w:footnote w:id="71">
    <w:p w14:paraId="79D97F0C"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Victoria, Legislative Assembly, </w:t>
      </w:r>
      <w:r w:rsidRPr="00D635C0">
        <w:rPr>
          <w:rFonts w:ascii="Times New Roman" w:hAnsi="Times New Roman"/>
          <w:i/>
          <w:iCs/>
          <w:sz w:val="24"/>
        </w:rPr>
        <w:t xml:space="preserve">Parliamentary Debates </w:t>
      </w:r>
      <w:r w:rsidRPr="00D635C0">
        <w:rPr>
          <w:rFonts w:ascii="Times New Roman" w:hAnsi="Times New Roman"/>
          <w:sz w:val="24"/>
        </w:rPr>
        <w:t>(Hansard), 27 November 2019 at 4590.</w:t>
      </w:r>
    </w:p>
  </w:footnote>
  <w:footnote w:id="72">
    <w:p w14:paraId="27EBE30D"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See </w:t>
      </w:r>
      <w:r w:rsidRPr="00D635C0">
        <w:rPr>
          <w:rFonts w:ascii="Times New Roman" w:hAnsi="Times New Roman"/>
          <w:i/>
          <w:iCs/>
          <w:sz w:val="24"/>
        </w:rPr>
        <w:t xml:space="preserve">Julius v Lord Bishop of Oxford </w:t>
      </w:r>
      <w:r w:rsidRPr="00D635C0">
        <w:rPr>
          <w:rFonts w:ascii="Times New Roman" w:hAnsi="Times New Roman"/>
          <w:sz w:val="24"/>
        </w:rPr>
        <w:t>(1880) 5 App Cas 214 at 225;</w:t>
      </w:r>
      <w:r w:rsidRPr="00D635C0">
        <w:rPr>
          <w:rFonts w:ascii="Times New Roman" w:hAnsi="Times New Roman"/>
          <w:i/>
          <w:iCs/>
          <w:sz w:val="24"/>
        </w:rPr>
        <w:t xml:space="preserve"> Victorian Building Authority v </w:t>
      </w:r>
      <w:r w:rsidRPr="00D635C0">
        <w:rPr>
          <w:rFonts w:ascii="Times New Roman" w:hAnsi="Times New Roman"/>
          <w:i/>
          <w:iCs/>
          <w:sz w:val="24"/>
        </w:rPr>
        <w:t>Andriotis</w:t>
      </w:r>
      <w:r w:rsidRPr="00D635C0">
        <w:rPr>
          <w:rFonts w:ascii="Times New Roman" w:hAnsi="Times New Roman"/>
          <w:sz w:val="24"/>
        </w:rPr>
        <w:t xml:space="preserve"> (2019) 268 CLR 168 at 201 [108].</w:t>
      </w:r>
    </w:p>
  </w:footnote>
  <w:footnote w:id="73">
    <w:p w14:paraId="1F722E96"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(2004) 221 CLR 400 at 421-422 [15]. </w:t>
      </w:r>
    </w:p>
  </w:footnote>
  <w:footnote w:id="74">
    <w:p w14:paraId="7A71E131"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BHP Billiton Ltd v Schultz</w:t>
      </w:r>
      <w:r w:rsidRPr="00D635C0">
        <w:rPr>
          <w:rFonts w:ascii="Times New Roman" w:hAnsi="Times New Roman"/>
          <w:sz w:val="24"/>
        </w:rPr>
        <w:t xml:space="preserve"> (2004) 221 CLR 400 at 426 [27].</w:t>
      </w:r>
    </w:p>
  </w:footnote>
  <w:footnote w:id="75">
    <w:p w14:paraId="7DD9178C"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See </w:t>
      </w:r>
      <w:r w:rsidRPr="00D635C0">
        <w:rPr>
          <w:rFonts w:ascii="Times New Roman" w:hAnsi="Times New Roman"/>
          <w:i/>
          <w:iCs/>
          <w:sz w:val="24"/>
        </w:rPr>
        <w:t>BHP Billiton Ltd v Schultz</w:t>
      </w:r>
      <w:r w:rsidRPr="00D635C0">
        <w:rPr>
          <w:rFonts w:ascii="Times New Roman" w:hAnsi="Times New Roman"/>
          <w:sz w:val="24"/>
        </w:rPr>
        <w:t xml:space="preserve"> (2004) 221 CLR 400 at 439 [77], 463-464 [161]-[162].</w:t>
      </w:r>
    </w:p>
  </w:footnote>
  <w:footnote w:id="76">
    <w:p w14:paraId="0C6954B7"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BHP Billiton Ltd v Schultz</w:t>
      </w:r>
      <w:r w:rsidRPr="00D635C0">
        <w:rPr>
          <w:rFonts w:ascii="Times New Roman" w:hAnsi="Times New Roman"/>
          <w:sz w:val="24"/>
        </w:rPr>
        <w:t xml:space="preserve"> (2004) 221 CLR 400 at 422 [18], citing </w:t>
      </w:r>
      <w:r w:rsidRPr="00D635C0">
        <w:rPr>
          <w:rFonts w:ascii="Times New Roman" w:hAnsi="Times New Roman"/>
          <w:i/>
          <w:iCs/>
          <w:sz w:val="24"/>
        </w:rPr>
        <w:t xml:space="preserve">Spiliada Maritime Corporation v Cansulex Ltd </w:t>
      </w:r>
      <w:r w:rsidRPr="00D635C0">
        <w:rPr>
          <w:rFonts w:ascii="Times New Roman" w:hAnsi="Times New Roman"/>
          <w:sz w:val="24"/>
        </w:rPr>
        <w:t>[1987] AC 460 at 478.</w:t>
      </w:r>
    </w:p>
  </w:footnote>
  <w:footnote w:id="77">
    <w:p w14:paraId="3FE3B7E3"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New South Wales, </w:t>
      </w:r>
      <w:r w:rsidRPr="00D635C0">
        <w:rPr>
          <w:rFonts w:ascii="Times New Roman" w:hAnsi="Times New Roman"/>
          <w:i/>
          <w:iCs/>
          <w:sz w:val="24"/>
        </w:rPr>
        <w:t>Jurisdiction of Courts (Cross-vesting) Bill 1987</w:t>
      </w:r>
      <w:r w:rsidRPr="00D635C0">
        <w:rPr>
          <w:rFonts w:ascii="Times New Roman" w:hAnsi="Times New Roman"/>
          <w:sz w:val="24"/>
        </w:rPr>
        <w:t xml:space="preserve">, Explanatory Note at 1 [4]. See also Australia, House of Representatives, </w:t>
      </w:r>
      <w:r w:rsidRPr="00D635C0">
        <w:rPr>
          <w:rFonts w:ascii="Times New Roman" w:hAnsi="Times New Roman"/>
          <w:i/>
          <w:iCs/>
          <w:sz w:val="24"/>
        </w:rPr>
        <w:t>Jurisdiction of Courts (Cross-vesting) Bill 1986</w:t>
      </w:r>
      <w:r w:rsidRPr="00D635C0">
        <w:rPr>
          <w:rFonts w:ascii="Times New Roman" w:hAnsi="Times New Roman"/>
          <w:sz w:val="24"/>
        </w:rPr>
        <w:t>,</w:t>
      </w:r>
      <w:r w:rsidRPr="00D635C0">
        <w:rPr>
          <w:rFonts w:ascii="Times New Roman" w:hAnsi="Times New Roman"/>
          <w:i/>
          <w:iCs/>
          <w:sz w:val="24"/>
        </w:rPr>
        <w:t xml:space="preserve"> </w:t>
      </w:r>
      <w:r w:rsidRPr="00D635C0">
        <w:rPr>
          <w:rFonts w:ascii="Times New Roman" w:hAnsi="Times New Roman"/>
          <w:sz w:val="24"/>
        </w:rPr>
        <w:t>Explanatory Memorandum at 2-3 [4].</w:t>
      </w:r>
    </w:p>
  </w:footnote>
  <w:footnote w:id="78">
    <w:p w14:paraId="1E125D47"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(2004) 221 CLR 400 at 421 [15]. </w:t>
      </w:r>
    </w:p>
  </w:footnote>
  <w:footnote w:id="79">
    <w:p w14:paraId="41913027"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Bogan v The Estate of Peter John Smedley (Deceased) </w:t>
      </w:r>
      <w:r w:rsidRPr="00D635C0">
        <w:rPr>
          <w:rFonts w:ascii="Times New Roman" w:hAnsi="Times New Roman"/>
          <w:sz w:val="24"/>
        </w:rPr>
        <w:t xml:space="preserve">[2022] VSC 201 at [105(a)]-[105(e)]. </w:t>
      </w:r>
    </w:p>
  </w:footnote>
  <w:footnote w:id="80">
    <w:p w14:paraId="79F12D51"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BHP Billiton Ltd v Schultz </w:t>
      </w:r>
      <w:r w:rsidRPr="00D635C0">
        <w:rPr>
          <w:rFonts w:ascii="Times New Roman" w:hAnsi="Times New Roman"/>
          <w:sz w:val="24"/>
        </w:rPr>
        <w:t xml:space="preserve">(2004) 221 CLR 400 at 421 [15]. </w:t>
      </w:r>
    </w:p>
  </w:footnote>
  <w:footnote w:id="81">
    <w:p w14:paraId="346484DF"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(2004) 221 CLR 400. </w:t>
      </w:r>
    </w:p>
  </w:footnote>
  <w:footnote w:id="82">
    <w:p w14:paraId="0F4A3003"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BHP Billiton Ltd v Schultz </w:t>
      </w:r>
      <w:r w:rsidRPr="00D635C0">
        <w:rPr>
          <w:rFonts w:ascii="Times New Roman" w:hAnsi="Times New Roman"/>
          <w:sz w:val="24"/>
        </w:rPr>
        <w:t>(2004) 221 CLR 400 at 444 [98], 467-468 [173]-[176], 468 [177], 492-494 [258]-[262].</w:t>
      </w:r>
    </w:p>
  </w:footnote>
  <w:footnote w:id="83">
    <w:p w14:paraId="2C20A421"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(2004) 221 CLR 400 at 425 [25].</w:t>
      </w:r>
    </w:p>
  </w:footnote>
  <w:footnote w:id="84">
    <w:p w14:paraId="7B4552F0"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BHP Billiton Ltd v Schultz</w:t>
      </w:r>
      <w:r w:rsidRPr="00D635C0">
        <w:rPr>
          <w:rFonts w:ascii="Times New Roman" w:hAnsi="Times New Roman"/>
          <w:sz w:val="24"/>
        </w:rPr>
        <w:t xml:space="preserve"> (2004) 221 CLR 400 at 426 [26].</w:t>
      </w:r>
    </w:p>
  </w:footnote>
  <w:footnote w:id="85">
    <w:p w14:paraId="2D8BAFEF"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BHP Billiton Ltd v Schultz</w:t>
      </w:r>
      <w:r w:rsidRPr="00D635C0">
        <w:rPr>
          <w:rFonts w:ascii="Times New Roman" w:hAnsi="Times New Roman"/>
          <w:sz w:val="24"/>
        </w:rPr>
        <w:t xml:space="preserve"> (2004) 221 CLR 400 at 445 [100].</w:t>
      </w:r>
    </w:p>
  </w:footnote>
  <w:footnote w:id="86">
    <w:p w14:paraId="62E92948"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BHP Billiton Ltd v Schultz</w:t>
      </w:r>
      <w:r w:rsidRPr="00D635C0">
        <w:rPr>
          <w:rFonts w:ascii="Times New Roman" w:hAnsi="Times New Roman"/>
          <w:sz w:val="24"/>
        </w:rPr>
        <w:t xml:space="preserve"> (2004) 221 CLR 400 at 492 [258].</w:t>
      </w:r>
    </w:p>
  </w:footnote>
  <w:footnote w:id="87">
    <w:p w14:paraId="25E1979C"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r>
      <w:r w:rsidRPr="00D635C0">
        <w:rPr>
          <w:rFonts w:ascii="Times New Roman" w:hAnsi="Times New Roman"/>
          <w:i/>
          <w:iCs/>
          <w:sz w:val="24"/>
        </w:rPr>
        <w:t xml:space="preserve">Spiliada Maritime Corporation v Cansulex Ltd </w:t>
      </w:r>
      <w:r w:rsidRPr="00D635C0">
        <w:rPr>
          <w:rFonts w:ascii="Times New Roman" w:hAnsi="Times New Roman"/>
          <w:sz w:val="24"/>
        </w:rPr>
        <w:t xml:space="preserve">[1987] AC 460 at 482. </w:t>
      </w:r>
    </w:p>
  </w:footnote>
  <w:footnote w:id="88">
    <w:p w14:paraId="5A81F717"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 xml:space="preserve">Wilmot-Smith, </w:t>
      </w:r>
      <w:r w:rsidRPr="00D635C0">
        <w:rPr>
          <w:rFonts w:ascii="Times New Roman" w:hAnsi="Times New Roman"/>
          <w:i/>
          <w:iCs/>
          <w:sz w:val="24"/>
        </w:rPr>
        <w:t xml:space="preserve">Equal Justice: Fair Legal Systems in an Unfair World </w:t>
      </w:r>
      <w:r w:rsidRPr="00D635C0">
        <w:rPr>
          <w:rFonts w:ascii="Times New Roman" w:hAnsi="Times New Roman"/>
          <w:sz w:val="24"/>
        </w:rPr>
        <w:t>(2019)</w:t>
      </w:r>
      <w:r w:rsidRPr="00D635C0">
        <w:rPr>
          <w:rFonts w:ascii="Times New Roman" w:hAnsi="Times New Roman"/>
          <w:i/>
          <w:iCs/>
          <w:sz w:val="24"/>
        </w:rPr>
        <w:t xml:space="preserve"> </w:t>
      </w:r>
      <w:r w:rsidRPr="00D635C0">
        <w:rPr>
          <w:rFonts w:ascii="Times New Roman" w:hAnsi="Times New Roman"/>
          <w:sz w:val="24"/>
        </w:rPr>
        <w:t xml:space="preserve">at 9. </w:t>
      </w:r>
    </w:p>
  </w:footnote>
  <w:footnote w:id="89">
    <w:p w14:paraId="46F108C5" w14:textId="77777777" w:rsidR="005F3888" w:rsidRPr="00D635C0" w:rsidRDefault="005F3888" w:rsidP="00D635C0">
      <w:pPr>
        <w:pStyle w:val="FootnoteText"/>
        <w:spacing w:line="280" w:lineRule="exact"/>
        <w:ind w:right="0"/>
        <w:jc w:val="both"/>
        <w:rPr>
          <w:rFonts w:ascii="Times New Roman" w:hAnsi="Times New Roman"/>
          <w:sz w:val="24"/>
        </w:rPr>
      </w:pPr>
      <w:r w:rsidRPr="00D635C0">
        <w:rPr>
          <w:rStyle w:val="FootnoteReference"/>
          <w:rFonts w:ascii="Times New Roman" w:hAnsi="Times New Roman"/>
          <w:sz w:val="22"/>
          <w:vertAlign w:val="baseline"/>
        </w:rPr>
        <w:footnoteRef/>
      </w:r>
      <w:r w:rsidRPr="00D635C0">
        <w:rPr>
          <w:rFonts w:ascii="Times New Roman" w:hAnsi="Times New Roman"/>
          <w:sz w:val="24"/>
        </w:rPr>
        <w:t xml:space="preserve"> </w:t>
      </w:r>
      <w:r w:rsidRPr="00D635C0">
        <w:rPr>
          <w:rFonts w:ascii="Times New Roman" w:hAnsi="Times New Roman"/>
          <w:sz w:val="24"/>
        </w:rPr>
        <w:tab/>
        <w:t>[2020] AC 1045 at 1077 [88].</w:t>
      </w:r>
    </w:p>
  </w:footnote>
  <w:footnote w:id="90">
    <w:p w14:paraId="27EA381F" w14:textId="77777777" w:rsidR="005F3888" w:rsidRPr="002E5D74" w:rsidRDefault="005F3888" w:rsidP="00637AED">
      <w:pPr>
        <w:pStyle w:val="FootnoteText"/>
        <w:spacing w:line="280" w:lineRule="exact"/>
        <w:ind w:right="0"/>
        <w:jc w:val="both"/>
        <w:rPr>
          <w:rFonts w:ascii="Times New Roman" w:hAnsi="Times New Roman"/>
          <w:sz w:val="24"/>
        </w:rPr>
      </w:pPr>
      <w:r w:rsidRPr="002E5D74">
        <w:rPr>
          <w:rStyle w:val="FootnoteReference"/>
          <w:rFonts w:ascii="Times New Roman" w:hAnsi="Times New Roman"/>
          <w:sz w:val="22"/>
          <w:vertAlign w:val="baseline"/>
        </w:rPr>
        <w:footnoteRef/>
      </w:r>
      <w:r w:rsidRPr="002E5D74">
        <w:rPr>
          <w:rFonts w:ascii="Times New Roman" w:hAnsi="Times New Roman"/>
          <w:sz w:val="24"/>
        </w:rPr>
        <w:t xml:space="preserve"> </w:t>
      </w:r>
      <w:r w:rsidRPr="002E5D74">
        <w:rPr>
          <w:rFonts w:ascii="Times New Roman" w:hAnsi="Times New Roman"/>
          <w:sz w:val="24"/>
        </w:rPr>
        <w:tab/>
        <w:t xml:space="preserve">See, </w:t>
      </w:r>
      <w:r w:rsidRPr="002E5D74">
        <w:rPr>
          <w:rFonts w:ascii="Times New Roman" w:hAnsi="Times New Roman"/>
          <w:sz w:val="24"/>
        </w:rPr>
        <w:t xml:space="preserve">eg, </w:t>
      </w:r>
      <w:r w:rsidRPr="002E5D74">
        <w:rPr>
          <w:rFonts w:ascii="Times New Roman" w:hAnsi="Times New Roman"/>
          <w:i/>
          <w:iCs/>
          <w:sz w:val="24"/>
        </w:rPr>
        <w:t>Graham v Minister for Immigration and Border Protection</w:t>
      </w:r>
      <w:r w:rsidRPr="002E5D74">
        <w:rPr>
          <w:rFonts w:ascii="Times New Roman" w:hAnsi="Times New Roman"/>
          <w:sz w:val="24"/>
        </w:rPr>
        <w:t xml:space="preserve"> (2017) 263 CLR 1 at 34 [70], 80 [187]; </w:t>
      </w:r>
      <w:r w:rsidRPr="002E5D74">
        <w:rPr>
          <w:rFonts w:ascii="Times New Roman" w:hAnsi="Times New Roman"/>
          <w:i/>
          <w:iCs/>
          <w:sz w:val="24"/>
        </w:rPr>
        <w:t>Clubb v Edwards</w:t>
      </w:r>
      <w:r w:rsidRPr="002E5D74">
        <w:rPr>
          <w:rFonts w:ascii="Times New Roman" w:hAnsi="Times New Roman"/>
          <w:sz w:val="24"/>
        </w:rPr>
        <w:t xml:space="preserve"> (2019) 267 CLR 171 at 210 [104], 215 [130], 241 [215], 292 [349], 310 [405]; </w:t>
      </w:r>
      <w:r w:rsidRPr="002E5D74">
        <w:rPr>
          <w:rFonts w:ascii="Times New Roman" w:hAnsi="Times New Roman"/>
          <w:i/>
          <w:iCs/>
          <w:sz w:val="24"/>
        </w:rPr>
        <w:t>Minister for Home Affairs v Benbrika</w:t>
      </w:r>
      <w:r w:rsidRPr="002E5D74">
        <w:rPr>
          <w:rFonts w:ascii="Times New Roman" w:hAnsi="Times New Roman"/>
          <w:sz w:val="24"/>
        </w:rPr>
        <w:t xml:space="preserve"> (2021) 272 CLR 68 at 104-105 [53].</w:t>
      </w:r>
    </w:p>
  </w:footnote>
  <w:footnote w:id="91">
    <w:p w14:paraId="5F77CCD5" w14:textId="77777777" w:rsidR="005F3888" w:rsidRPr="002E5D74" w:rsidRDefault="005F3888" w:rsidP="00637AED">
      <w:pPr>
        <w:pStyle w:val="FootnoteText"/>
        <w:spacing w:line="280" w:lineRule="exact"/>
        <w:ind w:right="0"/>
        <w:jc w:val="both"/>
        <w:rPr>
          <w:rFonts w:ascii="Times New Roman" w:hAnsi="Times New Roman"/>
          <w:sz w:val="24"/>
        </w:rPr>
      </w:pPr>
      <w:r w:rsidRPr="002E5D74">
        <w:rPr>
          <w:rStyle w:val="FootnoteReference"/>
          <w:rFonts w:ascii="Times New Roman" w:hAnsi="Times New Roman"/>
          <w:sz w:val="22"/>
          <w:vertAlign w:val="baseline"/>
        </w:rPr>
        <w:footnoteRef/>
      </w:r>
      <w:r w:rsidRPr="002E5D74">
        <w:rPr>
          <w:rFonts w:ascii="Times New Roman" w:hAnsi="Times New Roman"/>
          <w:sz w:val="24"/>
        </w:rPr>
        <w:t xml:space="preserve"> </w:t>
      </w:r>
      <w:r w:rsidRPr="002E5D74">
        <w:rPr>
          <w:rFonts w:ascii="Times New Roman" w:hAnsi="Times New Roman"/>
          <w:sz w:val="24"/>
        </w:rPr>
        <w:tab/>
      </w:r>
      <w:r>
        <w:rPr>
          <w:rFonts w:ascii="Times New Roman" w:hAnsi="Times New Roman"/>
          <w:sz w:val="24"/>
        </w:rPr>
        <w:t xml:space="preserve">Compare </w:t>
      </w:r>
      <w:r w:rsidRPr="002E5D74">
        <w:rPr>
          <w:rFonts w:ascii="Times New Roman" w:hAnsi="Times New Roman"/>
          <w:i/>
          <w:iCs/>
          <w:sz w:val="24"/>
        </w:rPr>
        <w:t xml:space="preserve">Supreme Court Act 1986 </w:t>
      </w:r>
      <w:r w:rsidRPr="002E5D74">
        <w:rPr>
          <w:rFonts w:ascii="Times New Roman" w:hAnsi="Times New Roman"/>
          <w:sz w:val="24"/>
        </w:rPr>
        <w:t xml:space="preserve">(Vic), s 17B(2); </w:t>
      </w:r>
      <w:r w:rsidRPr="002E5D74">
        <w:rPr>
          <w:rFonts w:ascii="Times New Roman" w:hAnsi="Times New Roman"/>
          <w:i/>
          <w:iCs/>
          <w:sz w:val="24"/>
        </w:rPr>
        <w:t>Supreme Court (General Civil Procedure) Rules 2015</w:t>
      </w:r>
      <w:r w:rsidRPr="002E5D74">
        <w:rPr>
          <w:rFonts w:ascii="Times New Roman" w:hAnsi="Times New Roman"/>
          <w:sz w:val="24"/>
        </w:rPr>
        <w:t xml:space="preserve"> (Vic), r 1.13(1) (definition of "proceeding"); </w:t>
      </w:r>
      <w:r w:rsidRPr="002E5D74">
        <w:rPr>
          <w:rFonts w:ascii="Times New Roman" w:hAnsi="Times New Roman"/>
          <w:i/>
          <w:iCs/>
          <w:sz w:val="24"/>
        </w:rPr>
        <w:t>Judiciary Act</w:t>
      </w:r>
      <w:r w:rsidRPr="002E5D74">
        <w:rPr>
          <w:rFonts w:ascii="Times New Roman" w:hAnsi="Times New Roman"/>
          <w:sz w:val="24"/>
        </w:rPr>
        <w:t xml:space="preserve">, s 40(2). </w:t>
      </w:r>
    </w:p>
  </w:footnote>
  <w:footnote w:id="92">
    <w:p w14:paraId="13D51B39"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Bogan v The Estate of Peter John Smedley (Deceased)</w:t>
      </w:r>
      <w:r w:rsidRPr="00C90DB3">
        <w:rPr>
          <w:rFonts w:ascii="Times New Roman" w:hAnsi="Times New Roman"/>
          <w:sz w:val="24"/>
        </w:rPr>
        <w:t xml:space="preserve"> [2022] VSC 201.</w:t>
      </w:r>
    </w:p>
  </w:footnote>
  <w:footnote w:id="93">
    <w:p w14:paraId="7182175F"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478 [217].</w:t>
      </w:r>
    </w:p>
  </w:footnote>
  <w:footnote w:id="94">
    <w:p w14:paraId="26C78429"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 xml:space="preserve">Bogan v Estate of Smedley (Deceased) </w:t>
      </w:r>
      <w:r w:rsidRPr="00C90DB3">
        <w:rPr>
          <w:rFonts w:ascii="Times New Roman" w:hAnsi="Times New Roman"/>
          <w:sz w:val="24"/>
        </w:rPr>
        <w:t>(2023) 72 VR 394 at 430 [164], 431 [170].</w:t>
      </w:r>
    </w:p>
  </w:footnote>
  <w:footnote w:id="95">
    <w:p w14:paraId="4F25DB0E"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 xml:space="preserve">Bell, "Opening Keynote Address to Association of Litigation Funders of Australia", 13 August 2024 at [36]; see also </w:t>
      </w:r>
      <w:r w:rsidRPr="00C90DB3">
        <w:rPr>
          <w:rFonts w:ascii="Times New Roman" w:hAnsi="Times New Roman"/>
          <w:i/>
          <w:iCs/>
          <w:sz w:val="24"/>
        </w:rPr>
        <w:t>Bolitho v Banksia Securities Ltd [No 18]</w:t>
      </w:r>
      <w:r w:rsidRPr="00C90DB3">
        <w:rPr>
          <w:rFonts w:ascii="Times New Roman" w:hAnsi="Times New Roman"/>
          <w:sz w:val="24"/>
        </w:rPr>
        <w:t xml:space="preserve"> (2021) 69 VR 28 at 93-96 [1356]-[1366].</w:t>
      </w:r>
    </w:p>
  </w:footnote>
  <w:footnote w:id="96">
    <w:p w14:paraId="7A5190D5"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 xml:space="preserve">Legal Profession Uniform Law </w:t>
      </w:r>
      <w:r w:rsidRPr="00C90DB3">
        <w:rPr>
          <w:rFonts w:ascii="Times New Roman" w:hAnsi="Times New Roman"/>
          <w:sz w:val="24"/>
        </w:rPr>
        <w:t xml:space="preserve">(NSW), s 183; </w:t>
      </w:r>
      <w:r w:rsidRPr="00C90DB3">
        <w:rPr>
          <w:rFonts w:ascii="Times New Roman" w:hAnsi="Times New Roman"/>
          <w:i/>
          <w:iCs/>
          <w:sz w:val="24"/>
        </w:rPr>
        <w:t>Legal Profession Uniform Law Application Act 2014</w:t>
      </w:r>
      <w:r w:rsidRPr="00C90DB3">
        <w:rPr>
          <w:rFonts w:ascii="Times New Roman" w:hAnsi="Times New Roman"/>
          <w:sz w:val="24"/>
        </w:rPr>
        <w:t xml:space="preserve"> (Vic), Sch 1, s 183; </w:t>
      </w:r>
      <w:r w:rsidRPr="00C90DB3">
        <w:rPr>
          <w:rFonts w:ascii="Times New Roman" w:hAnsi="Times New Roman"/>
          <w:i/>
          <w:iCs/>
          <w:sz w:val="24"/>
        </w:rPr>
        <w:t xml:space="preserve">Legal Practitioners Act 1981 </w:t>
      </w:r>
      <w:r w:rsidRPr="00C90DB3">
        <w:rPr>
          <w:rFonts w:ascii="Times New Roman" w:hAnsi="Times New Roman"/>
          <w:sz w:val="24"/>
        </w:rPr>
        <w:t xml:space="preserve">(SA), Sch 3, cl 27; </w:t>
      </w:r>
      <w:r w:rsidRPr="00C90DB3">
        <w:rPr>
          <w:rFonts w:ascii="Times New Roman" w:hAnsi="Times New Roman"/>
          <w:i/>
          <w:iCs/>
          <w:sz w:val="24"/>
        </w:rPr>
        <w:t xml:space="preserve">Legal Profession Act 2007 </w:t>
      </w:r>
      <w:r w:rsidRPr="00C90DB3">
        <w:rPr>
          <w:rFonts w:ascii="Times New Roman" w:hAnsi="Times New Roman"/>
          <w:sz w:val="24"/>
        </w:rPr>
        <w:t xml:space="preserve">(Qld), s 325; </w:t>
      </w:r>
      <w:r w:rsidRPr="00C90DB3">
        <w:rPr>
          <w:rFonts w:ascii="Times New Roman" w:hAnsi="Times New Roman"/>
          <w:i/>
          <w:iCs/>
          <w:sz w:val="24"/>
        </w:rPr>
        <w:t xml:space="preserve">Legal Profession Uniform Law </w:t>
      </w:r>
      <w:r w:rsidRPr="00C90DB3">
        <w:rPr>
          <w:rFonts w:ascii="Times New Roman" w:hAnsi="Times New Roman"/>
          <w:sz w:val="24"/>
        </w:rPr>
        <w:t xml:space="preserve">(WA), s 183; </w:t>
      </w:r>
      <w:r w:rsidRPr="00C90DB3">
        <w:rPr>
          <w:rFonts w:ascii="Times New Roman" w:hAnsi="Times New Roman"/>
          <w:i/>
          <w:iCs/>
          <w:sz w:val="24"/>
        </w:rPr>
        <w:t>Legal Profession Act 2007</w:t>
      </w:r>
      <w:r w:rsidRPr="00C90DB3">
        <w:rPr>
          <w:rFonts w:ascii="Times New Roman" w:hAnsi="Times New Roman"/>
          <w:sz w:val="24"/>
        </w:rPr>
        <w:t xml:space="preserve"> (Tas), s 309; </w:t>
      </w:r>
      <w:r w:rsidRPr="00C90DB3">
        <w:rPr>
          <w:rFonts w:ascii="Times New Roman" w:hAnsi="Times New Roman"/>
          <w:i/>
          <w:iCs/>
          <w:sz w:val="24"/>
        </w:rPr>
        <w:t>Legal Profession Act 2006</w:t>
      </w:r>
      <w:r w:rsidRPr="00C90DB3">
        <w:rPr>
          <w:rFonts w:ascii="Times New Roman" w:hAnsi="Times New Roman"/>
          <w:sz w:val="24"/>
        </w:rPr>
        <w:t xml:space="preserve"> (NT), s 320; </w:t>
      </w:r>
      <w:r w:rsidRPr="00C90DB3">
        <w:rPr>
          <w:rFonts w:ascii="Times New Roman" w:hAnsi="Times New Roman"/>
          <w:i/>
          <w:iCs/>
          <w:sz w:val="24"/>
        </w:rPr>
        <w:t xml:space="preserve">Legal Profession Act 2006 </w:t>
      </w:r>
      <w:r w:rsidRPr="00C90DB3">
        <w:rPr>
          <w:rFonts w:ascii="Times New Roman" w:hAnsi="Times New Roman"/>
          <w:sz w:val="24"/>
        </w:rPr>
        <w:t>(ACT), s 285.</w:t>
      </w:r>
    </w:p>
  </w:footnote>
  <w:footnote w:id="97">
    <w:p w14:paraId="262E3909"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Legal Profession Uniform Law Application Act 2014</w:t>
      </w:r>
      <w:r w:rsidRPr="00C90DB3">
        <w:rPr>
          <w:rFonts w:ascii="Times New Roman" w:hAnsi="Times New Roman"/>
          <w:sz w:val="24"/>
        </w:rPr>
        <w:t xml:space="preserve"> (Vic), Sch 1, s 183(3).</w:t>
      </w:r>
    </w:p>
  </w:footnote>
  <w:footnote w:id="98">
    <w:p w14:paraId="564ED946"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See the reasons of Gageler CJ, Gordon, Gleeson, Jagot and Beech-Jones JJ at [1], [20]-[22].</w:t>
      </w:r>
    </w:p>
  </w:footnote>
  <w:footnote w:id="99">
    <w:p w14:paraId="29F2257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 xml:space="preserve">Bogan v Estate of Smedley (Deceased) </w:t>
      </w:r>
      <w:r w:rsidRPr="00C90DB3">
        <w:rPr>
          <w:rFonts w:ascii="Times New Roman" w:hAnsi="Times New Roman"/>
          <w:sz w:val="24"/>
        </w:rPr>
        <w:t>(2023) 72 VR 394 at 431 [171].</w:t>
      </w:r>
    </w:p>
  </w:footnote>
  <w:footnote w:id="100">
    <w:p w14:paraId="49939082"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421 [14]; see also 429-430 [42], 436 [69], 468 [177].</w:t>
      </w:r>
    </w:p>
  </w:footnote>
  <w:footnote w:id="101">
    <w:p w14:paraId="3D1B9C00"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422 [18], 464 [163].</w:t>
      </w:r>
    </w:p>
  </w:footnote>
  <w:footnote w:id="102">
    <w:p w14:paraId="673C7E7E"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See the reasons of Gageler CJ, Gordon, Gleeson, Jagot and Beech-Jones JJ at [25]-[31].</w:t>
      </w:r>
    </w:p>
  </w:footnote>
  <w:footnote w:id="103">
    <w:p w14:paraId="16CDA77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422 [16], 425-426 [26].</w:t>
      </w:r>
    </w:p>
  </w:footnote>
  <w:footnote w:id="104">
    <w:p w14:paraId="6A9DD465"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 xml:space="preserve">Legal Profession Uniform Law </w:t>
      </w:r>
      <w:r w:rsidRPr="00C90DB3">
        <w:rPr>
          <w:rFonts w:ascii="Times New Roman" w:hAnsi="Times New Roman"/>
          <w:sz w:val="24"/>
        </w:rPr>
        <w:t>(NSW), s 183(1).</w:t>
      </w:r>
    </w:p>
  </w:footnote>
  <w:footnote w:id="105">
    <w:p w14:paraId="43EA1CEE"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 xml:space="preserve">Bogan v Estate of Smedley (Deceased) </w:t>
      </w:r>
      <w:r w:rsidRPr="00C90DB3">
        <w:rPr>
          <w:rFonts w:ascii="Times New Roman" w:hAnsi="Times New Roman"/>
          <w:sz w:val="24"/>
        </w:rPr>
        <w:t>(2023) 72 VR 394 at 403 [35].</w:t>
      </w:r>
    </w:p>
  </w:footnote>
  <w:footnote w:id="106">
    <w:p w14:paraId="0764A211"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Bogan v The Estate of Peter John Smedley (Deceased)</w:t>
      </w:r>
      <w:r w:rsidRPr="00C90DB3">
        <w:rPr>
          <w:rFonts w:ascii="Times New Roman" w:hAnsi="Times New Roman"/>
          <w:sz w:val="24"/>
        </w:rPr>
        <w:t xml:space="preserve"> [2022] VSC 201 at [105(</w:t>
      </w:r>
      <w:r w:rsidRPr="00C90DB3">
        <w:rPr>
          <w:rFonts w:ascii="Times New Roman" w:hAnsi="Times New Roman"/>
          <w:sz w:val="24"/>
        </w:rPr>
        <w:t xml:space="preserve">i)]; </w:t>
      </w:r>
      <w:r w:rsidRPr="00C90DB3">
        <w:rPr>
          <w:rFonts w:ascii="Times New Roman" w:hAnsi="Times New Roman"/>
          <w:i/>
          <w:iCs/>
          <w:sz w:val="24"/>
        </w:rPr>
        <w:t xml:space="preserve">Bogan v Estate of Smedley (Deceased) </w:t>
      </w:r>
      <w:r w:rsidRPr="00C90DB3">
        <w:rPr>
          <w:rFonts w:ascii="Times New Roman" w:hAnsi="Times New Roman"/>
          <w:sz w:val="24"/>
        </w:rPr>
        <w:t>(2023) 72 VR 394 at 403 [35].</w:t>
      </w:r>
    </w:p>
  </w:footnote>
  <w:footnote w:id="107">
    <w:p w14:paraId="3AAA2438"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Pt 4A, Div 6.</w:t>
      </w:r>
    </w:p>
  </w:footnote>
  <w:footnote w:id="108">
    <w:p w14:paraId="2C3C3B1B"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i/>
          <w:iCs/>
          <w:sz w:val="24"/>
        </w:rPr>
        <w:tab/>
        <w:t>BHP Billiton Ltd v Schultz</w:t>
      </w:r>
      <w:r w:rsidRPr="00C90DB3">
        <w:rPr>
          <w:rFonts w:ascii="Times New Roman" w:hAnsi="Times New Roman"/>
          <w:sz w:val="24"/>
        </w:rPr>
        <w:t xml:space="preserve"> (2004) 221 CLR 400 at 418 [2]-[4], 449 [114], 470 [183].</w:t>
      </w:r>
    </w:p>
  </w:footnote>
  <w:footnote w:id="109">
    <w:p w14:paraId="1DB44E95"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418-419 [6].</w:t>
      </w:r>
    </w:p>
  </w:footnote>
  <w:footnote w:id="110">
    <w:p w14:paraId="2937607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425 [23].</w:t>
      </w:r>
    </w:p>
  </w:footnote>
  <w:footnote w:id="111">
    <w:p w14:paraId="4C7C1011"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440 [79].</w:t>
      </w:r>
    </w:p>
  </w:footnote>
  <w:footnote w:id="112">
    <w:p w14:paraId="4E81326B"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 xml:space="preserve">The majority comprised </w:t>
      </w:r>
      <w:r w:rsidRPr="00C90DB3">
        <w:rPr>
          <w:rFonts w:ascii="Times New Roman" w:hAnsi="Times New Roman"/>
          <w:sz w:val="24"/>
        </w:rPr>
        <w:t>Gummow, Kirby, Hayne and Callinan JJ.</w:t>
      </w:r>
    </w:p>
  </w:footnote>
  <w:footnote w:id="113">
    <w:p w14:paraId="4D780F55"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422 [16].</w:t>
      </w:r>
    </w:p>
  </w:footnote>
  <w:footnote w:id="114">
    <w:p w14:paraId="11F10F4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426 [26].</w:t>
      </w:r>
    </w:p>
  </w:footnote>
  <w:footnote w:id="115">
    <w:p w14:paraId="67E35FF2"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425-426 [26].</w:t>
      </w:r>
    </w:p>
  </w:footnote>
  <w:footnote w:id="116">
    <w:p w14:paraId="18E4A241"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426 [26].</w:t>
      </w:r>
    </w:p>
  </w:footnote>
  <w:footnote w:id="117">
    <w:p w14:paraId="16315B3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426 [26].</w:t>
      </w:r>
    </w:p>
  </w:footnote>
  <w:footnote w:id="118">
    <w:p w14:paraId="7E848738"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468 [177].</w:t>
      </w:r>
    </w:p>
  </w:footnote>
  <w:footnote w:id="119">
    <w:p w14:paraId="3D446B6D"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440 [80].</w:t>
      </w:r>
    </w:p>
  </w:footnote>
  <w:footnote w:id="120">
    <w:p w14:paraId="04DA06A6"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440 [80].</w:t>
      </w:r>
    </w:p>
  </w:footnote>
  <w:footnote w:id="121">
    <w:p w14:paraId="3B3DBDCF"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437 [72], 440 [80].</w:t>
      </w:r>
    </w:p>
  </w:footnote>
  <w:footnote w:id="122">
    <w:p w14:paraId="4AA78E2F"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445 [100].</w:t>
      </w:r>
    </w:p>
  </w:footnote>
  <w:footnote w:id="123">
    <w:p w14:paraId="19066EB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(1982) 151 CLR 38 at 47.</w:t>
      </w:r>
    </w:p>
  </w:footnote>
  <w:footnote w:id="124">
    <w:p w14:paraId="26D1A9C3"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Pozniak v Smith</w:t>
      </w:r>
      <w:r w:rsidRPr="00C90DB3">
        <w:rPr>
          <w:rFonts w:ascii="Times New Roman" w:hAnsi="Times New Roman"/>
          <w:sz w:val="24"/>
        </w:rPr>
        <w:t xml:space="preserve"> (1982) 151 CLR 38 at 51.</w:t>
      </w:r>
    </w:p>
  </w:footnote>
  <w:footnote w:id="125">
    <w:p w14:paraId="546A646C"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488 [241].</w:t>
      </w:r>
    </w:p>
  </w:footnote>
  <w:footnote w:id="126">
    <w:p w14:paraId="109B611F"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488 [241].</w:t>
      </w:r>
    </w:p>
  </w:footnote>
  <w:footnote w:id="127">
    <w:p w14:paraId="33E9AC97"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493-494 [261].</w:t>
      </w:r>
    </w:p>
  </w:footnote>
  <w:footnote w:id="128">
    <w:p w14:paraId="268EFDE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BHP Billiton Ltd v Schultz</w:t>
      </w:r>
      <w:r w:rsidRPr="00C90DB3">
        <w:rPr>
          <w:rFonts w:ascii="Times New Roman" w:hAnsi="Times New Roman"/>
          <w:sz w:val="24"/>
        </w:rPr>
        <w:t xml:space="preserve"> (2004) 221 CLR 400 at 492 [258].</w:t>
      </w:r>
    </w:p>
  </w:footnote>
  <w:footnote w:id="129">
    <w:p w14:paraId="56AECFEB"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Bogan v The Estate of Peter John Smedley (Deceased)</w:t>
      </w:r>
      <w:r w:rsidRPr="00C90DB3">
        <w:rPr>
          <w:rFonts w:ascii="Times New Roman" w:hAnsi="Times New Roman"/>
          <w:sz w:val="24"/>
        </w:rPr>
        <w:t xml:space="preserve"> [2022] VSC 201 at [105(e)].</w:t>
      </w:r>
    </w:p>
  </w:footnote>
  <w:footnote w:id="130">
    <w:p w14:paraId="0B6B5E24"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r>
      <w:r w:rsidRPr="00C90DB3">
        <w:rPr>
          <w:rFonts w:ascii="Times New Roman" w:hAnsi="Times New Roman"/>
          <w:i/>
          <w:iCs/>
          <w:sz w:val="24"/>
        </w:rPr>
        <w:t xml:space="preserve">Bogan v Estate of Smedley (Deceased) </w:t>
      </w:r>
      <w:r w:rsidRPr="00C90DB3">
        <w:rPr>
          <w:rFonts w:ascii="Times New Roman" w:hAnsi="Times New Roman"/>
          <w:sz w:val="24"/>
        </w:rPr>
        <w:t>(2023) 72 VR 394 at 403 [35].</w:t>
      </w:r>
    </w:p>
  </w:footnote>
  <w:footnote w:id="131">
    <w:p w14:paraId="3107308B"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 xml:space="preserve">[1987] AC 460 at 478, cited with approval in </w:t>
      </w:r>
      <w:r w:rsidRPr="00C90DB3">
        <w:rPr>
          <w:rFonts w:ascii="Times New Roman" w:hAnsi="Times New Roman"/>
          <w:i/>
          <w:iCs/>
          <w:sz w:val="24"/>
        </w:rPr>
        <w:t>BHP Billiton Ltd</w:t>
      </w:r>
      <w:r w:rsidRPr="00C90DB3">
        <w:rPr>
          <w:rFonts w:ascii="Times New Roman" w:hAnsi="Times New Roman"/>
          <w:sz w:val="24"/>
        </w:rPr>
        <w:t xml:space="preserve"> </w:t>
      </w:r>
      <w:r w:rsidRPr="00C90DB3">
        <w:rPr>
          <w:rFonts w:ascii="Times New Roman" w:hAnsi="Times New Roman"/>
          <w:i/>
          <w:iCs/>
          <w:sz w:val="24"/>
        </w:rPr>
        <w:t>v</w:t>
      </w:r>
      <w:r w:rsidRPr="00C90DB3">
        <w:rPr>
          <w:rFonts w:ascii="Times New Roman" w:hAnsi="Times New Roman"/>
          <w:sz w:val="24"/>
        </w:rPr>
        <w:t xml:space="preserve"> </w:t>
      </w:r>
      <w:r w:rsidRPr="00C90DB3">
        <w:rPr>
          <w:rFonts w:ascii="Times New Roman" w:hAnsi="Times New Roman"/>
          <w:i/>
          <w:iCs/>
          <w:sz w:val="24"/>
        </w:rPr>
        <w:t xml:space="preserve">Schultz </w:t>
      </w:r>
      <w:r w:rsidRPr="00C90DB3">
        <w:rPr>
          <w:rFonts w:ascii="Times New Roman" w:hAnsi="Times New Roman"/>
          <w:sz w:val="24"/>
        </w:rPr>
        <w:t>(2004) 221 CLR 400 at 422-423 [18], 426 [27], 463 [161].</w:t>
      </w:r>
    </w:p>
  </w:footnote>
  <w:footnote w:id="132">
    <w:p w14:paraId="7BDE1770" w14:textId="77777777" w:rsidR="005F3888" w:rsidRPr="00C90DB3" w:rsidRDefault="005F3888" w:rsidP="00C90DB3">
      <w:pPr>
        <w:pStyle w:val="FootnoteText"/>
        <w:spacing w:line="280" w:lineRule="exact"/>
        <w:ind w:right="0"/>
        <w:jc w:val="both"/>
        <w:rPr>
          <w:rFonts w:ascii="Times New Roman" w:hAnsi="Times New Roman"/>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[2020] AC 1045 at 1077 [89], 1079 [94], 1080 [98], 1081 [102].</w:t>
      </w:r>
    </w:p>
  </w:footnote>
  <w:footnote w:id="133">
    <w:p w14:paraId="123626D1" w14:textId="77777777" w:rsidR="005F3888" w:rsidRPr="00C90DB3" w:rsidRDefault="005F3888" w:rsidP="00C90DB3">
      <w:pPr>
        <w:pStyle w:val="FootnoteText"/>
        <w:spacing w:line="280" w:lineRule="exact"/>
        <w:ind w:right="0"/>
        <w:jc w:val="both"/>
        <w:rPr>
          <w:rFonts w:ascii="Times New Roman" w:hAnsi="Times New Roman"/>
          <w:i/>
          <w:iCs/>
          <w:sz w:val="24"/>
        </w:rPr>
      </w:pPr>
      <w:r w:rsidRPr="00C90DB3">
        <w:rPr>
          <w:rStyle w:val="FootnoteReference"/>
          <w:rFonts w:ascii="Times New Roman" w:hAnsi="Times New Roman"/>
          <w:sz w:val="22"/>
          <w:vertAlign w:val="baseline"/>
        </w:rPr>
        <w:footnoteRef/>
      </w:r>
      <w:r w:rsidRPr="00C90DB3">
        <w:rPr>
          <w:rFonts w:ascii="Times New Roman" w:hAnsi="Times New Roman"/>
          <w:sz w:val="24"/>
        </w:rPr>
        <w:t xml:space="preserve"> </w:t>
      </w:r>
      <w:r w:rsidRPr="00C90DB3">
        <w:rPr>
          <w:rFonts w:ascii="Times New Roman" w:hAnsi="Times New Roman"/>
          <w:sz w:val="24"/>
        </w:rPr>
        <w:tab/>
        <w:t xml:space="preserve">The courts should be wary of those class action lawyers and funders who earn profits by "fomenting disputes which ... might never flare into controversy": </w:t>
      </w:r>
      <w:r w:rsidRPr="00C90DB3">
        <w:rPr>
          <w:rFonts w:ascii="Times New Roman" w:hAnsi="Times New Roman"/>
          <w:i/>
          <w:iCs/>
          <w:sz w:val="24"/>
        </w:rPr>
        <w:t>BMW Australia Ltd v Brewster</w:t>
      </w:r>
      <w:r w:rsidRPr="00C90DB3">
        <w:rPr>
          <w:rFonts w:ascii="Times New Roman" w:hAnsi="Times New Roman"/>
          <w:sz w:val="24"/>
        </w:rPr>
        <w:t xml:space="preserve"> (2019) 269 CLR 574 at 625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2E1D" w14:textId="77777777" w:rsidR="00391B86" w:rsidRPr="00FC7DC8" w:rsidRDefault="00391B86" w:rsidP="00FC7D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CE9B" w14:textId="77777777" w:rsidR="00F834F0" w:rsidRDefault="00E47D0C" w:rsidP="00C90DB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2B1F05E" w14:textId="77777777" w:rsidR="00F834F0" w:rsidRDefault="00F834F0" w:rsidP="00C90DB3">
    <w:pPr>
      <w:pStyle w:val="Header"/>
      <w:tabs>
        <w:tab w:val="clear" w:pos="4153"/>
        <w:tab w:val="clear" w:pos="8306"/>
        <w:tab w:val="right" w:pos="1304"/>
      </w:tabs>
      <w:spacing w:line="280" w:lineRule="exact"/>
      <w:ind w:firstLine="0"/>
      <w:rPr>
        <w:rFonts w:ascii="Times New Roman" w:hAnsi="Times New Roman"/>
        <w:i/>
        <w:sz w:val="22"/>
      </w:rPr>
    </w:pPr>
  </w:p>
  <w:p w14:paraId="1F5F1ABF" w14:textId="77777777" w:rsidR="00F834F0" w:rsidRDefault="00E47D0C" w:rsidP="00C90DB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91C7A3" w14:textId="77777777" w:rsidR="00F834F0" w:rsidRPr="00C90DB3" w:rsidRDefault="00F834F0" w:rsidP="00C90DB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955A" w14:textId="77777777" w:rsidR="00F834F0" w:rsidRDefault="00E47D0C" w:rsidP="00C90DB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901536B" w14:textId="77777777" w:rsidR="00F834F0" w:rsidRDefault="00F834F0" w:rsidP="00C90DB3">
    <w:pPr>
      <w:pStyle w:val="Header"/>
      <w:tabs>
        <w:tab w:val="clear" w:pos="4153"/>
        <w:tab w:val="clear" w:pos="8306"/>
        <w:tab w:val="left" w:pos="7200"/>
        <w:tab w:val="right" w:pos="8504"/>
      </w:tabs>
      <w:spacing w:line="280" w:lineRule="exact"/>
      <w:jc w:val="right"/>
      <w:rPr>
        <w:rFonts w:ascii="Times New Roman" w:hAnsi="Times New Roman"/>
        <w:i/>
        <w:sz w:val="22"/>
      </w:rPr>
    </w:pPr>
  </w:p>
  <w:p w14:paraId="72EA12C6" w14:textId="77777777" w:rsidR="00F834F0" w:rsidRDefault="00E47D0C" w:rsidP="00C90DB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8DF2D25" w14:textId="77777777" w:rsidR="00F834F0" w:rsidRPr="00C90DB3" w:rsidRDefault="00F834F0" w:rsidP="00C90DB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6490" w14:textId="77777777" w:rsidR="00F834F0" w:rsidRDefault="00F834F0" w:rsidP="00C90DB3">
    <w:pPr>
      <w:pStyle w:val="Header"/>
      <w:tabs>
        <w:tab w:val="clear" w:pos="4153"/>
        <w:tab w:val="clear" w:pos="8306"/>
        <w:tab w:val="center" w:pos="1134"/>
      </w:tabs>
      <w:spacing w:line="280" w:lineRule="exact"/>
      <w:ind w:firstLine="0"/>
      <w:rPr>
        <w:rFonts w:ascii="Times New Roman" w:hAnsi="Times New Roman"/>
        <w:i/>
        <w:sz w:val="22"/>
      </w:rPr>
    </w:pPr>
  </w:p>
  <w:p w14:paraId="4D5AABD3" w14:textId="77777777" w:rsidR="00F834F0" w:rsidRDefault="00F834F0" w:rsidP="00C90DB3">
    <w:pPr>
      <w:pStyle w:val="Header"/>
      <w:tabs>
        <w:tab w:val="clear" w:pos="4153"/>
        <w:tab w:val="clear" w:pos="8306"/>
        <w:tab w:val="center" w:pos="1134"/>
      </w:tabs>
      <w:spacing w:line="280" w:lineRule="exact"/>
      <w:ind w:firstLine="0"/>
      <w:rPr>
        <w:rFonts w:ascii="Times New Roman" w:hAnsi="Times New Roman"/>
        <w:i/>
        <w:sz w:val="22"/>
      </w:rPr>
    </w:pPr>
  </w:p>
  <w:p w14:paraId="2A7E8A61" w14:textId="77777777" w:rsidR="00F834F0" w:rsidRDefault="00F834F0" w:rsidP="00C90DB3">
    <w:pPr>
      <w:pStyle w:val="Header"/>
      <w:tabs>
        <w:tab w:val="clear" w:pos="4153"/>
        <w:tab w:val="clear" w:pos="8306"/>
        <w:tab w:val="center" w:pos="1134"/>
      </w:tabs>
      <w:spacing w:line="280" w:lineRule="exact"/>
      <w:ind w:firstLine="0"/>
      <w:rPr>
        <w:rFonts w:ascii="Times New Roman" w:hAnsi="Times New Roman"/>
        <w:i/>
        <w:sz w:val="22"/>
      </w:rPr>
    </w:pPr>
  </w:p>
  <w:p w14:paraId="538F8514" w14:textId="77777777" w:rsidR="00F834F0" w:rsidRPr="00C90DB3" w:rsidRDefault="00F834F0" w:rsidP="00C90DB3">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38B0" w14:textId="32F355CC" w:rsidR="00391B86" w:rsidRPr="00FC7DC8" w:rsidRDefault="00FC7DC8" w:rsidP="00FC7DC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E38D2">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E38D2">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EA1" w14:textId="30372E8A" w:rsidR="00D254A0" w:rsidRPr="00FC7DC8" w:rsidRDefault="00D254A0" w:rsidP="00FC7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65B4" w14:textId="77777777" w:rsidR="00FC7DC8" w:rsidRPr="00391B86" w:rsidRDefault="00FC7DC8" w:rsidP="00391B86">
    <w:pPr>
      <w:pStyle w:val="Header"/>
      <w:tabs>
        <w:tab w:val="clear" w:pos="4153"/>
        <w:tab w:val="clear" w:pos="8306"/>
        <w:tab w:val="right" w:pos="1304"/>
      </w:tabs>
      <w:spacing w:line="280" w:lineRule="exact"/>
      <w:ind w:firstLine="0"/>
      <w:rPr>
        <w:rFonts w:ascii="Times New Roman" w:hAnsi="Times New Roman"/>
        <w:i/>
        <w:sz w:val="22"/>
      </w:rPr>
    </w:pPr>
    <w:r w:rsidRPr="00391B86">
      <w:rPr>
        <w:rFonts w:ascii="Times New Roman" w:hAnsi="Times New Roman"/>
        <w:i/>
        <w:sz w:val="22"/>
      </w:rPr>
      <w:t>Gageler</w:t>
    </w:r>
    <w:r w:rsidRPr="00391B86">
      <w:rPr>
        <w:rFonts w:ascii="Times New Roman" w:hAnsi="Times New Roman"/>
        <w:i/>
        <w:sz w:val="22"/>
      </w:rPr>
      <w:tab/>
      <w:t>CJ</w:t>
    </w:r>
  </w:p>
  <w:p w14:paraId="7E578068" w14:textId="77777777" w:rsidR="00FC7DC8" w:rsidRPr="00391B86" w:rsidRDefault="00FC7DC8" w:rsidP="00391B86">
    <w:pPr>
      <w:pStyle w:val="Header"/>
      <w:tabs>
        <w:tab w:val="clear" w:pos="4153"/>
        <w:tab w:val="clear" w:pos="8306"/>
        <w:tab w:val="right" w:pos="1304"/>
      </w:tabs>
      <w:spacing w:line="280" w:lineRule="exact"/>
      <w:ind w:firstLine="0"/>
      <w:rPr>
        <w:rFonts w:ascii="Times New Roman" w:hAnsi="Times New Roman"/>
        <w:i/>
        <w:sz w:val="22"/>
      </w:rPr>
    </w:pPr>
    <w:r w:rsidRPr="00391B86">
      <w:rPr>
        <w:rFonts w:ascii="Times New Roman" w:hAnsi="Times New Roman"/>
        <w:i/>
        <w:sz w:val="22"/>
      </w:rPr>
      <w:t>Gordon</w:t>
    </w:r>
    <w:r w:rsidRPr="00391B86">
      <w:rPr>
        <w:rFonts w:ascii="Times New Roman" w:hAnsi="Times New Roman"/>
        <w:i/>
        <w:sz w:val="22"/>
      </w:rPr>
      <w:tab/>
      <w:t>J</w:t>
    </w:r>
  </w:p>
  <w:p w14:paraId="7DE603B3" w14:textId="77777777" w:rsidR="00FC7DC8" w:rsidRPr="00391B86" w:rsidRDefault="00FC7DC8" w:rsidP="00391B86">
    <w:pPr>
      <w:pStyle w:val="Header"/>
      <w:tabs>
        <w:tab w:val="clear" w:pos="4153"/>
        <w:tab w:val="clear" w:pos="8306"/>
        <w:tab w:val="right" w:pos="1304"/>
      </w:tabs>
      <w:spacing w:line="280" w:lineRule="exact"/>
      <w:ind w:firstLine="0"/>
      <w:rPr>
        <w:rFonts w:ascii="Times New Roman" w:hAnsi="Times New Roman"/>
        <w:i/>
        <w:sz w:val="22"/>
      </w:rPr>
    </w:pPr>
    <w:r w:rsidRPr="00391B86">
      <w:rPr>
        <w:rFonts w:ascii="Times New Roman" w:hAnsi="Times New Roman"/>
        <w:i/>
        <w:sz w:val="22"/>
      </w:rPr>
      <w:t>Gleeson</w:t>
    </w:r>
    <w:r w:rsidRPr="00391B86">
      <w:rPr>
        <w:rFonts w:ascii="Times New Roman" w:hAnsi="Times New Roman"/>
        <w:i/>
        <w:sz w:val="22"/>
      </w:rPr>
      <w:tab/>
      <w:t>J</w:t>
    </w:r>
  </w:p>
  <w:p w14:paraId="7C28D5D9" w14:textId="77777777" w:rsidR="00FC7DC8" w:rsidRPr="00391B86" w:rsidRDefault="00FC7DC8" w:rsidP="00391B86">
    <w:pPr>
      <w:pStyle w:val="Header"/>
      <w:tabs>
        <w:tab w:val="clear" w:pos="4153"/>
        <w:tab w:val="clear" w:pos="8306"/>
        <w:tab w:val="right" w:pos="1304"/>
      </w:tabs>
      <w:spacing w:line="280" w:lineRule="exact"/>
      <w:ind w:firstLine="0"/>
      <w:rPr>
        <w:rFonts w:ascii="Times New Roman" w:hAnsi="Times New Roman"/>
        <w:i/>
        <w:sz w:val="22"/>
      </w:rPr>
    </w:pPr>
    <w:r w:rsidRPr="00391B86">
      <w:rPr>
        <w:rFonts w:ascii="Times New Roman" w:hAnsi="Times New Roman"/>
        <w:i/>
        <w:sz w:val="22"/>
      </w:rPr>
      <w:t>Jagot</w:t>
    </w:r>
    <w:r w:rsidRPr="00391B86">
      <w:rPr>
        <w:rFonts w:ascii="Times New Roman" w:hAnsi="Times New Roman"/>
        <w:i/>
        <w:sz w:val="22"/>
      </w:rPr>
      <w:tab/>
      <w:t>J</w:t>
    </w:r>
  </w:p>
  <w:p w14:paraId="45A0CE5B" w14:textId="77777777" w:rsidR="00FC7DC8" w:rsidRDefault="00FC7DC8" w:rsidP="00391B8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51961E2" w14:textId="77777777" w:rsidR="00FC7DC8" w:rsidRDefault="00FC7DC8" w:rsidP="00391B86">
    <w:pPr>
      <w:pStyle w:val="Header"/>
      <w:tabs>
        <w:tab w:val="clear" w:pos="4153"/>
        <w:tab w:val="clear" w:pos="8306"/>
        <w:tab w:val="right" w:pos="1304"/>
      </w:tabs>
      <w:spacing w:line="280" w:lineRule="exact"/>
      <w:ind w:firstLine="0"/>
      <w:rPr>
        <w:rFonts w:ascii="Times New Roman" w:hAnsi="Times New Roman"/>
        <w:i/>
        <w:sz w:val="22"/>
      </w:rPr>
    </w:pPr>
  </w:p>
  <w:p w14:paraId="79CCF95C" w14:textId="77777777" w:rsidR="00FC7DC8" w:rsidRDefault="00FC7DC8" w:rsidP="00391B8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7872B98" w14:textId="77777777" w:rsidR="00FC7DC8" w:rsidRPr="00391B86" w:rsidRDefault="00FC7DC8" w:rsidP="00391B8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5760" w14:textId="77777777" w:rsidR="00FC7DC8" w:rsidRPr="00391B86" w:rsidRDefault="00FC7DC8" w:rsidP="00391B86">
    <w:pPr>
      <w:pStyle w:val="Header"/>
      <w:tabs>
        <w:tab w:val="clear" w:pos="4153"/>
        <w:tab w:val="clear" w:pos="8306"/>
        <w:tab w:val="left" w:pos="7200"/>
        <w:tab w:val="right" w:pos="8504"/>
      </w:tabs>
      <w:spacing w:line="280" w:lineRule="exact"/>
      <w:jc w:val="right"/>
      <w:rPr>
        <w:rFonts w:ascii="Times New Roman" w:hAnsi="Times New Roman"/>
        <w:i/>
        <w:sz w:val="22"/>
      </w:rPr>
    </w:pPr>
    <w:r w:rsidRPr="00391B86">
      <w:rPr>
        <w:rFonts w:ascii="Times New Roman" w:hAnsi="Times New Roman"/>
        <w:i/>
        <w:sz w:val="22"/>
      </w:rPr>
      <w:tab/>
      <w:t>Gageler</w:t>
    </w:r>
    <w:r w:rsidRPr="00391B86">
      <w:rPr>
        <w:rFonts w:ascii="Times New Roman" w:hAnsi="Times New Roman"/>
        <w:i/>
        <w:sz w:val="22"/>
      </w:rPr>
      <w:tab/>
      <w:t>CJ</w:t>
    </w:r>
  </w:p>
  <w:p w14:paraId="3A5FEAE5" w14:textId="77777777" w:rsidR="00FC7DC8" w:rsidRPr="00391B86" w:rsidRDefault="00FC7DC8" w:rsidP="00391B86">
    <w:pPr>
      <w:pStyle w:val="Header"/>
      <w:tabs>
        <w:tab w:val="clear" w:pos="4153"/>
        <w:tab w:val="clear" w:pos="8306"/>
        <w:tab w:val="left" w:pos="7200"/>
        <w:tab w:val="right" w:pos="8504"/>
      </w:tabs>
      <w:spacing w:line="280" w:lineRule="exact"/>
      <w:jc w:val="right"/>
      <w:rPr>
        <w:rFonts w:ascii="Times New Roman" w:hAnsi="Times New Roman"/>
        <w:i/>
        <w:sz w:val="22"/>
      </w:rPr>
    </w:pPr>
    <w:r w:rsidRPr="00391B86">
      <w:rPr>
        <w:rFonts w:ascii="Times New Roman" w:hAnsi="Times New Roman"/>
        <w:i/>
        <w:sz w:val="22"/>
      </w:rPr>
      <w:tab/>
      <w:t>Gordon</w:t>
    </w:r>
    <w:r w:rsidRPr="00391B86">
      <w:rPr>
        <w:rFonts w:ascii="Times New Roman" w:hAnsi="Times New Roman"/>
        <w:i/>
        <w:sz w:val="22"/>
      </w:rPr>
      <w:tab/>
      <w:t>J</w:t>
    </w:r>
  </w:p>
  <w:p w14:paraId="0CC3380C" w14:textId="77777777" w:rsidR="00FC7DC8" w:rsidRPr="00391B86" w:rsidRDefault="00FC7DC8" w:rsidP="00391B86">
    <w:pPr>
      <w:pStyle w:val="Header"/>
      <w:tabs>
        <w:tab w:val="clear" w:pos="4153"/>
        <w:tab w:val="clear" w:pos="8306"/>
        <w:tab w:val="left" w:pos="7200"/>
        <w:tab w:val="right" w:pos="8504"/>
      </w:tabs>
      <w:spacing w:line="280" w:lineRule="exact"/>
      <w:jc w:val="right"/>
      <w:rPr>
        <w:rFonts w:ascii="Times New Roman" w:hAnsi="Times New Roman"/>
        <w:i/>
        <w:sz w:val="22"/>
      </w:rPr>
    </w:pPr>
    <w:r w:rsidRPr="00391B86">
      <w:rPr>
        <w:rFonts w:ascii="Times New Roman" w:hAnsi="Times New Roman"/>
        <w:i/>
        <w:sz w:val="22"/>
      </w:rPr>
      <w:tab/>
      <w:t>Gleeson</w:t>
    </w:r>
    <w:r w:rsidRPr="00391B86">
      <w:rPr>
        <w:rFonts w:ascii="Times New Roman" w:hAnsi="Times New Roman"/>
        <w:i/>
        <w:sz w:val="22"/>
      </w:rPr>
      <w:tab/>
      <w:t>J</w:t>
    </w:r>
  </w:p>
  <w:p w14:paraId="3849EA91" w14:textId="77777777" w:rsidR="00FC7DC8" w:rsidRPr="00391B86" w:rsidRDefault="00FC7DC8" w:rsidP="00391B86">
    <w:pPr>
      <w:pStyle w:val="Header"/>
      <w:tabs>
        <w:tab w:val="clear" w:pos="4153"/>
        <w:tab w:val="clear" w:pos="8306"/>
        <w:tab w:val="left" w:pos="7200"/>
        <w:tab w:val="right" w:pos="8504"/>
      </w:tabs>
      <w:spacing w:line="280" w:lineRule="exact"/>
      <w:jc w:val="right"/>
      <w:rPr>
        <w:rFonts w:ascii="Times New Roman" w:hAnsi="Times New Roman"/>
        <w:i/>
        <w:sz w:val="22"/>
      </w:rPr>
    </w:pPr>
    <w:r w:rsidRPr="00391B86">
      <w:rPr>
        <w:rFonts w:ascii="Times New Roman" w:hAnsi="Times New Roman"/>
        <w:i/>
        <w:sz w:val="22"/>
      </w:rPr>
      <w:tab/>
      <w:t>Jagot</w:t>
    </w:r>
    <w:r w:rsidRPr="00391B86">
      <w:rPr>
        <w:rFonts w:ascii="Times New Roman" w:hAnsi="Times New Roman"/>
        <w:i/>
        <w:sz w:val="22"/>
      </w:rPr>
      <w:tab/>
      <w:t>J</w:t>
    </w:r>
  </w:p>
  <w:p w14:paraId="06B89E16" w14:textId="77777777" w:rsidR="00FC7DC8" w:rsidRDefault="00FC7DC8" w:rsidP="00391B8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3956A8F" w14:textId="77777777" w:rsidR="00FC7DC8" w:rsidRDefault="00FC7DC8" w:rsidP="00391B86">
    <w:pPr>
      <w:pStyle w:val="Header"/>
      <w:tabs>
        <w:tab w:val="clear" w:pos="4153"/>
        <w:tab w:val="clear" w:pos="8306"/>
        <w:tab w:val="left" w:pos="7200"/>
        <w:tab w:val="right" w:pos="8504"/>
      </w:tabs>
      <w:spacing w:line="280" w:lineRule="exact"/>
      <w:jc w:val="right"/>
      <w:rPr>
        <w:rFonts w:ascii="Times New Roman" w:hAnsi="Times New Roman"/>
        <w:i/>
        <w:sz w:val="22"/>
      </w:rPr>
    </w:pPr>
  </w:p>
  <w:p w14:paraId="4625F579" w14:textId="77777777" w:rsidR="00FC7DC8" w:rsidRDefault="00FC7DC8" w:rsidP="00391B8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946F0CF" w14:textId="77777777" w:rsidR="00FC7DC8" w:rsidRPr="00391B86" w:rsidRDefault="00FC7DC8" w:rsidP="00391B8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55BF" w14:textId="77777777" w:rsidR="00FC7DC8"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p w14:paraId="067276ED" w14:textId="77777777" w:rsidR="00FC7DC8"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p w14:paraId="70492335" w14:textId="77777777" w:rsidR="00FC7DC8"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p w14:paraId="40D8A28A" w14:textId="77777777" w:rsidR="00FC7DC8"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p w14:paraId="51E04C64" w14:textId="77777777" w:rsidR="00FC7DC8"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p w14:paraId="24DF8460" w14:textId="77777777" w:rsidR="00FC7DC8"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p w14:paraId="2DE62DDE" w14:textId="77777777" w:rsidR="00FC7DC8"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p w14:paraId="727A7310" w14:textId="77777777" w:rsidR="00FC7DC8" w:rsidRPr="00391B86" w:rsidRDefault="00FC7DC8" w:rsidP="00391B8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03D7" w14:textId="77777777" w:rsidR="00F834F0" w:rsidRDefault="00E47D0C" w:rsidP="00D635C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F71F744" w14:textId="77777777" w:rsidR="00F834F0" w:rsidRDefault="00F834F0" w:rsidP="00D635C0">
    <w:pPr>
      <w:pStyle w:val="Header"/>
      <w:tabs>
        <w:tab w:val="clear" w:pos="4153"/>
        <w:tab w:val="clear" w:pos="8306"/>
        <w:tab w:val="right" w:pos="1304"/>
      </w:tabs>
      <w:spacing w:line="280" w:lineRule="exact"/>
      <w:ind w:firstLine="0"/>
      <w:rPr>
        <w:rFonts w:ascii="Times New Roman" w:hAnsi="Times New Roman"/>
        <w:i/>
        <w:sz w:val="22"/>
      </w:rPr>
    </w:pPr>
  </w:p>
  <w:p w14:paraId="1227D355" w14:textId="77777777" w:rsidR="00F834F0" w:rsidRDefault="00E47D0C" w:rsidP="00D635C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CE31F60" w14:textId="77777777" w:rsidR="00F834F0" w:rsidRPr="00D635C0" w:rsidRDefault="00F834F0" w:rsidP="00D635C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549F" w14:textId="77777777" w:rsidR="00F834F0" w:rsidRDefault="00E47D0C" w:rsidP="00D635C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5C24E13" w14:textId="77777777" w:rsidR="00F834F0" w:rsidRDefault="00F834F0" w:rsidP="00D635C0">
    <w:pPr>
      <w:pStyle w:val="Header"/>
      <w:tabs>
        <w:tab w:val="clear" w:pos="4153"/>
        <w:tab w:val="clear" w:pos="8306"/>
        <w:tab w:val="left" w:pos="7200"/>
        <w:tab w:val="right" w:pos="8504"/>
      </w:tabs>
      <w:spacing w:line="280" w:lineRule="exact"/>
      <w:jc w:val="right"/>
      <w:rPr>
        <w:rFonts w:ascii="Times New Roman" w:hAnsi="Times New Roman"/>
        <w:i/>
        <w:sz w:val="22"/>
      </w:rPr>
    </w:pPr>
  </w:p>
  <w:p w14:paraId="7A3A018C" w14:textId="77777777" w:rsidR="00F834F0" w:rsidRDefault="00E47D0C" w:rsidP="00D635C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5A3F1D" w14:textId="77777777" w:rsidR="00F834F0" w:rsidRPr="00D635C0" w:rsidRDefault="00F834F0" w:rsidP="00D635C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8396" w14:textId="77777777" w:rsidR="00F834F0" w:rsidRDefault="00F834F0" w:rsidP="00D635C0">
    <w:pPr>
      <w:pStyle w:val="Header"/>
      <w:tabs>
        <w:tab w:val="clear" w:pos="4153"/>
        <w:tab w:val="clear" w:pos="8306"/>
        <w:tab w:val="center" w:pos="1134"/>
      </w:tabs>
      <w:spacing w:line="280" w:lineRule="exact"/>
      <w:ind w:firstLine="0"/>
      <w:rPr>
        <w:rFonts w:ascii="Times New Roman" w:hAnsi="Times New Roman"/>
        <w:i/>
        <w:sz w:val="22"/>
      </w:rPr>
    </w:pPr>
  </w:p>
  <w:p w14:paraId="6A35F42C" w14:textId="77777777" w:rsidR="00F834F0" w:rsidRDefault="00F834F0" w:rsidP="00D635C0">
    <w:pPr>
      <w:pStyle w:val="Header"/>
      <w:tabs>
        <w:tab w:val="clear" w:pos="4153"/>
        <w:tab w:val="clear" w:pos="8306"/>
        <w:tab w:val="center" w:pos="1134"/>
      </w:tabs>
      <w:spacing w:line="280" w:lineRule="exact"/>
      <w:ind w:firstLine="0"/>
      <w:rPr>
        <w:rFonts w:ascii="Times New Roman" w:hAnsi="Times New Roman"/>
        <w:i/>
        <w:sz w:val="22"/>
      </w:rPr>
    </w:pPr>
  </w:p>
  <w:p w14:paraId="32E51E5E" w14:textId="77777777" w:rsidR="00F834F0" w:rsidRDefault="00F834F0" w:rsidP="00D635C0">
    <w:pPr>
      <w:pStyle w:val="Header"/>
      <w:tabs>
        <w:tab w:val="clear" w:pos="4153"/>
        <w:tab w:val="clear" w:pos="8306"/>
        <w:tab w:val="center" w:pos="1134"/>
      </w:tabs>
      <w:spacing w:line="280" w:lineRule="exact"/>
      <w:ind w:firstLine="0"/>
      <w:rPr>
        <w:rFonts w:ascii="Times New Roman" w:hAnsi="Times New Roman"/>
        <w:i/>
        <w:sz w:val="22"/>
      </w:rPr>
    </w:pPr>
  </w:p>
  <w:p w14:paraId="1ACAC295" w14:textId="77777777" w:rsidR="00F834F0" w:rsidRPr="00D635C0" w:rsidRDefault="00F834F0" w:rsidP="00D635C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94D4CED"/>
    <w:multiLevelType w:val="hybridMultilevel"/>
    <w:tmpl w:val="A786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E2721F"/>
    <w:multiLevelType w:val="hybridMultilevel"/>
    <w:tmpl w:val="D638B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D357A4"/>
    <w:multiLevelType w:val="hybridMultilevel"/>
    <w:tmpl w:val="FD32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2851C59"/>
    <w:multiLevelType w:val="hybridMultilevel"/>
    <w:tmpl w:val="766A3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7"/>
  </w:num>
  <w:num w:numId="3" w16cid:durableId="1375159326">
    <w:abstractNumId w:val="21"/>
  </w:num>
  <w:num w:numId="4" w16cid:durableId="1020468450">
    <w:abstractNumId w:val="14"/>
  </w:num>
  <w:num w:numId="5" w16cid:durableId="298609604">
    <w:abstractNumId w:val="19"/>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3"/>
  </w:num>
  <w:num w:numId="17" w16cid:durableId="952325839">
    <w:abstractNumId w:val="18"/>
  </w:num>
  <w:num w:numId="18" w16cid:durableId="586305847">
    <w:abstractNumId w:val="11"/>
  </w:num>
  <w:num w:numId="19" w16cid:durableId="650985869">
    <w:abstractNumId w:val="11"/>
  </w:num>
  <w:num w:numId="20" w16cid:durableId="683671742">
    <w:abstractNumId w:val="15"/>
  </w:num>
  <w:num w:numId="21" w16cid:durableId="652681908">
    <w:abstractNumId w:val="12"/>
  </w:num>
  <w:num w:numId="22" w16cid:durableId="297032144">
    <w:abstractNumId w:val="16"/>
  </w:num>
  <w:num w:numId="23" w16cid:durableId="373578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C5"/>
    <w:rsid w:val="0000061F"/>
    <w:rsid w:val="00000626"/>
    <w:rsid w:val="00001258"/>
    <w:rsid w:val="000013AB"/>
    <w:rsid w:val="000016A3"/>
    <w:rsid w:val="000016E8"/>
    <w:rsid w:val="00002069"/>
    <w:rsid w:val="00002893"/>
    <w:rsid w:val="00002AE8"/>
    <w:rsid w:val="00002B48"/>
    <w:rsid w:val="00002CA1"/>
    <w:rsid w:val="00002CE6"/>
    <w:rsid w:val="0000316A"/>
    <w:rsid w:val="000036FB"/>
    <w:rsid w:val="000037B2"/>
    <w:rsid w:val="0000461D"/>
    <w:rsid w:val="000049B7"/>
    <w:rsid w:val="00004D5A"/>
    <w:rsid w:val="000052E9"/>
    <w:rsid w:val="0000562A"/>
    <w:rsid w:val="000060C7"/>
    <w:rsid w:val="00006D07"/>
    <w:rsid w:val="00006E87"/>
    <w:rsid w:val="0000700B"/>
    <w:rsid w:val="00007183"/>
    <w:rsid w:val="00007BAA"/>
    <w:rsid w:val="000108A1"/>
    <w:rsid w:val="000110EF"/>
    <w:rsid w:val="000115FA"/>
    <w:rsid w:val="00011735"/>
    <w:rsid w:val="000117AF"/>
    <w:rsid w:val="0001191D"/>
    <w:rsid w:val="00011AF6"/>
    <w:rsid w:val="00011ED8"/>
    <w:rsid w:val="00011F1C"/>
    <w:rsid w:val="0001316D"/>
    <w:rsid w:val="000132E7"/>
    <w:rsid w:val="000136EC"/>
    <w:rsid w:val="000141CA"/>
    <w:rsid w:val="00014529"/>
    <w:rsid w:val="00014B34"/>
    <w:rsid w:val="00016352"/>
    <w:rsid w:val="000167D0"/>
    <w:rsid w:val="0001687A"/>
    <w:rsid w:val="000168C9"/>
    <w:rsid w:val="00016C20"/>
    <w:rsid w:val="00016DBB"/>
    <w:rsid w:val="00017144"/>
    <w:rsid w:val="00017A30"/>
    <w:rsid w:val="0002077A"/>
    <w:rsid w:val="00020A92"/>
    <w:rsid w:val="00020C7C"/>
    <w:rsid w:val="00020F7A"/>
    <w:rsid w:val="000210E4"/>
    <w:rsid w:val="00021146"/>
    <w:rsid w:val="00022A53"/>
    <w:rsid w:val="00022CF3"/>
    <w:rsid w:val="0002367B"/>
    <w:rsid w:val="00024831"/>
    <w:rsid w:val="00024839"/>
    <w:rsid w:val="000248E2"/>
    <w:rsid w:val="00024FDE"/>
    <w:rsid w:val="000250AF"/>
    <w:rsid w:val="00025490"/>
    <w:rsid w:val="0002561E"/>
    <w:rsid w:val="00025B17"/>
    <w:rsid w:val="00025EA4"/>
    <w:rsid w:val="000261AB"/>
    <w:rsid w:val="000263FC"/>
    <w:rsid w:val="000268D0"/>
    <w:rsid w:val="000268E1"/>
    <w:rsid w:val="00026AE6"/>
    <w:rsid w:val="00026B74"/>
    <w:rsid w:val="00026C94"/>
    <w:rsid w:val="000272E2"/>
    <w:rsid w:val="0002761F"/>
    <w:rsid w:val="000300A0"/>
    <w:rsid w:val="000321BE"/>
    <w:rsid w:val="000324C8"/>
    <w:rsid w:val="0003305F"/>
    <w:rsid w:val="00033EC9"/>
    <w:rsid w:val="00033F72"/>
    <w:rsid w:val="000341E3"/>
    <w:rsid w:val="00034C12"/>
    <w:rsid w:val="00035007"/>
    <w:rsid w:val="0003575A"/>
    <w:rsid w:val="00035B31"/>
    <w:rsid w:val="000360EB"/>
    <w:rsid w:val="00036832"/>
    <w:rsid w:val="000368D8"/>
    <w:rsid w:val="00036DB4"/>
    <w:rsid w:val="00037A5F"/>
    <w:rsid w:val="00037D87"/>
    <w:rsid w:val="00037ED5"/>
    <w:rsid w:val="00040081"/>
    <w:rsid w:val="000409E7"/>
    <w:rsid w:val="000410D3"/>
    <w:rsid w:val="000411D0"/>
    <w:rsid w:val="00041A96"/>
    <w:rsid w:val="000423D8"/>
    <w:rsid w:val="0004240C"/>
    <w:rsid w:val="00042EF3"/>
    <w:rsid w:val="0004322B"/>
    <w:rsid w:val="000432BE"/>
    <w:rsid w:val="000438CA"/>
    <w:rsid w:val="00043D2C"/>
    <w:rsid w:val="00043E57"/>
    <w:rsid w:val="00043EE2"/>
    <w:rsid w:val="000440A1"/>
    <w:rsid w:val="00044371"/>
    <w:rsid w:val="0004577D"/>
    <w:rsid w:val="000467B1"/>
    <w:rsid w:val="00046812"/>
    <w:rsid w:val="00046C3C"/>
    <w:rsid w:val="000472C4"/>
    <w:rsid w:val="00047316"/>
    <w:rsid w:val="000473A6"/>
    <w:rsid w:val="00050810"/>
    <w:rsid w:val="00050F77"/>
    <w:rsid w:val="00052230"/>
    <w:rsid w:val="0005245D"/>
    <w:rsid w:val="0005497D"/>
    <w:rsid w:val="00054BFE"/>
    <w:rsid w:val="00055129"/>
    <w:rsid w:val="00055ACD"/>
    <w:rsid w:val="00055DA1"/>
    <w:rsid w:val="00055DA2"/>
    <w:rsid w:val="00056F27"/>
    <w:rsid w:val="000571F2"/>
    <w:rsid w:val="000573AF"/>
    <w:rsid w:val="000575B5"/>
    <w:rsid w:val="000600AE"/>
    <w:rsid w:val="00060482"/>
    <w:rsid w:val="000607E7"/>
    <w:rsid w:val="00060920"/>
    <w:rsid w:val="00060E58"/>
    <w:rsid w:val="00060F9F"/>
    <w:rsid w:val="0006122F"/>
    <w:rsid w:val="0006169E"/>
    <w:rsid w:val="00062171"/>
    <w:rsid w:val="00062204"/>
    <w:rsid w:val="000626FD"/>
    <w:rsid w:val="000627DF"/>
    <w:rsid w:val="0006345C"/>
    <w:rsid w:val="0006432B"/>
    <w:rsid w:val="000645DE"/>
    <w:rsid w:val="000649D4"/>
    <w:rsid w:val="000653D4"/>
    <w:rsid w:val="00065581"/>
    <w:rsid w:val="00065FBA"/>
    <w:rsid w:val="00066519"/>
    <w:rsid w:val="00066AA7"/>
    <w:rsid w:val="00066C4C"/>
    <w:rsid w:val="00066F53"/>
    <w:rsid w:val="0006700F"/>
    <w:rsid w:val="0006707D"/>
    <w:rsid w:val="000670FB"/>
    <w:rsid w:val="00070713"/>
    <w:rsid w:val="00070CD7"/>
    <w:rsid w:val="00070F60"/>
    <w:rsid w:val="00071271"/>
    <w:rsid w:val="0007140F"/>
    <w:rsid w:val="00071C35"/>
    <w:rsid w:val="00072499"/>
    <w:rsid w:val="00073401"/>
    <w:rsid w:val="000747F3"/>
    <w:rsid w:val="00074A6E"/>
    <w:rsid w:val="00074AF5"/>
    <w:rsid w:val="000751EF"/>
    <w:rsid w:val="000753D3"/>
    <w:rsid w:val="00075F50"/>
    <w:rsid w:val="000760F4"/>
    <w:rsid w:val="000767A0"/>
    <w:rsid w:val="00076D48"/>
    <w:rsid w:val="00077130"/>
    <w:rsid w:val="0007716A"/>
    <w:rsid w:val="00077208"/>
    <w:rsid w:val="00080BAC"/>
    <w:rsid w:val="00080D77"/>
    <w:rsid w:val="0008142B"/>
    <w:rsid w:val="0008147C"/>
    <w:rsid w:val="000816FA"/>
    <w:rsid w:val="00082F15"/>
    <w:rsid w:val="0008435D"/>
    <w:rsid w:val="0008483F"/>
    <w:rsid w:val="0008558C"/>
    <w:rsid w:val="00085F13"/>
    <w:rsid w:val="0008616A"/>
    <w:rsid w:val="000864E2"/>
    <w:rsid w:val="0008758F"/>
    <w:rsid w:val="00090842"/>
    <w:rsid w:val="0009090D"/>
    <w:rsid w:val="00090D67"/>
    <w:rsid w:val="00090E95"/>
    <w:rsid w:val="00090EBE"/>
    <w:rsid w:val="00090FBF"/>
    <w:rsid w:val="0009162D"/>
    <w:rsid w:val="00092C54"/>
    <w:rsid w:val="00093349"/>
    <w:rsid w:val="0009344D"/>
    <w:rsid w:val="000938AB"/>
    <w:rsid w:val="00093E3A"/>
    <w:rsid w:val="00094ED5"/>
    <w:rsid w:val="0009541F"/>
    <w:rsid w:val="00096130"/>
    <w:rsid w:val="0009628B"/>
    <w:rsid w:val="0009656A"/>
    <w:rsid w:val="00096D91"/>
    <w:rsid w:val="00096E3D"/>
    <w:rsid w:val="000975FA"/>
    <w:rsid w:val="00097860"/>
    <w:rsid w:val="00097C0D"/>
    <w:rsid w:val="00097CDB"/>
    <w:rsid w:val="000A0EA7"/>
    <w:rsid w:val="000A11E3"/>
    <w:rsid w:val="000A1DF0"/>
    <w:rsid w:val="000A22FB"/>
    <w:rsid w:val="000A28D4"/>
    <w:rsid w:val="000A2EB4"/>
    <w:rsid w:val="000A3786"/>
    <w:rsid w:val="000A3DA3"/>
    <w:rsid w:val="000A3EBA"/>
    <w:rsid w:val="000A4D32"/>
    <w:rsid w:val="000A50E8"/>
    <w:rsid w:val="000A51FC"/>
    <w:rsid w:val="000A53F9"/>
    <w:rsid w:val="000A54DA"/>
    <w:rsid w:val="000A5A11"/>
    <w:rsid w:val="000A63C6"/>
    <w:rsid w:val="000B0959"/>
    <w:rsid w:val="000B0E2A"/>
    <w:rsid w:val="000B1190"/>
    <w:rsid w:val="000B1DB6"/>
    <w:rsid w:val="000B2A04"/>
    <w:rsid w:val="000B2C2F"/>
    <w:rsid w:val="000B33EB"/>
    <w:rsid w:val="000B3C68"/>
    <w:rsid w:val="000B4630"/>
    <w:rsid w:val="000B4708"/>
    <w:rsid w:val="000B47A5"/>
    <w:rsid w:val="000B497F"/>
    <w:rsid w:val="000B4E8E"/>
    <w:rsid w:val="000B5DA0"/>
    <w:rsid w:val="000B63D4"/>
    <w:rsid w:val="000B6A13"/>
    <w:rsid w:val="000B710D"/>
    <w:rsid w:val="000B72D0"/>
    <w:rsid w:val="000B7558"/>
    <w:rsid w:val="000B75D4"/>
    <w:rsid w:val="000B79F6"/>
    <w:rsid w:val="000B7E30"/>
    <w:rsid w:val="000C04DC"/>
    <w:rsid w:val="000C0513"/>
    <w:rsid w:val="000C0D98"/>
    <w:rsid w:val="000C1150"/>
    <w:rsid w:val="000C1931"/>
    <w:rsid w:val="000C1E44"/>
    <w:rsid w:val="000C2158"/>
    <w:rsid w:val="000C286E"/>
    <w:rsid w:val="000C3145"/>
    <w:rsid w:val="000C3411"/>
    <w:rsid w:val="000C3C26"/>
    <w:rsid w:val="000C3D80"/>
    <w:rsid w:val="000C419E"/>
    <w:rsid w:val="000C4698"/>
    <w:rsid w:val="000C4843"/>
    <w:rsid w:val="000C53E3"/>
    <w:rsid w:val="000C554F"/>
    <w:rsid w:val="000C5B66"/>
    <w:rsid w:val="000C6166"/>
    <w:rsid w:val="000C6D6E"/>
    <w:rsid w:val="000C6FEE"/>
    <w:rsid w:val="000C7995"/>
    <w:rsid w:val="000C7DE3"/>
    <w:rsid w:val="000D0471"/>
    <w:rsid w:val="000D060F"/>
    <w:rsid w:val="000D0B6A"/>
    <w:rsid w:val="000D154D"/>
    <w:rsid w:val="000D19E5"/>
    <w:rsid w:val="000D1C60"/>
    <w:rsid w:val="000D1CF4"/>
    <w:rsid w:val="000D22F1"/>
    <w:rsid w:val="000D25E6"/>
    <w:rsid w:val="000D2893"/>
    <w:rsid w:val="000D29BC"/>
    <w:rsid w:val="000D3E0B"/>
    <w:rsid w:val="000D44CD"/>
    <w:rsid w:val="000D476F"/>
    <w:rsid w:val="000D5317"/>
    <w:rsid w:val="000D53C8"/>
    <w:rsid w:val="000D591E"/>
    <w:rsid w:val="000D5CC5"/>
    <w:rsid w:val="000D6609"/>
    <w:rsid w:val="000D689A"/>
    <w:rsid w:val="000D69A1"/>
    <w:rsid w:val="000D69D1"/>
    <w:rsid w:val="000D7092"/>
    <w:rsid w:val="000D78BE"/>
    <w:rsid w:val="000E1538"/>
    <w:rsid w:val="000E1B7F"/>
    <w:rsid w:val="000E24C8"/>
    <w:rsid w:val="000E305C"/>
    <w:rsid w:val="000E3D17"/>
    <w:rsid w:val="000E3D30"/>
    <w:rsid w:val="000E4428"/>
    <w:rsid w:val="000E4C5E"/>
    <w:rsid w:val="000E5518"/>
    <w:rsid w:val="000E559A"/>
    <w:rsid w:val="000E65D4"/>
    <w:rsid w:val="000E65F7"/>
    <w:rsid w:val="000E6773"/>
    <w:rsid w:val="000E68D1"/>
    <w:rsid w:val="000E79E0"/>
    <w:rsid w:val="000E7D30"/>
    <w:rsid w:val="000F132E"/>
    <w:rsid w:val="000F1345"/>
    <w:rsid w:val="000F1C0A"/>
    <w:rsid w:val="000F1EAB"/>
    <w:rsid w:val="000F25DE"/>
    <w:rsid w:val="000F2FBD"/>
    <w:rsid w:val="000F3225"/>
    <w:rsid w:val="000F3BB3"/>
    <w:rsid w:val="000F57A6"/>
    <w:rsid w:val="000F62F7"/>
    <w:rsid w:val="000F6387"/>
    <w:rsid w:val="000F6C6F"/>
    <w:rsid w:val="000F6DAE"/>
    <w:rsid w:val="000F760A"/>
    <w:rsid w:val="001001B9"/>
    <w:rsid w:val="0010073B"/>
    <w:rsid w:val="00101897"/>
    <w:rsid w:val="00101DA8"/>
    <w:rsid w:val="00101F66"/>
    <w:rsid w:val="00102152"/>
    <w:rsid w:val="0010224E"/>
    <w:rsid w:val="00102254"/>
    <w:rsid w:val="00102ACD"/>
    <w:rsid w:val="00102E46"/>
    <w:rsid w:val="001039A6"/>
    <w:rsid w:val="00103A76"/>
    <w:rsid w:val="00105F72"/>
    <w:rsid w:val="00105F9E"/>
    <w:rsid w:val="0010607E"/>
    <w:rsid w:val="00106247"/>
    <w:rsid w:val="001063C6"/>
    <w:rsid w:val="0010702C"/>
    <w:rsid w:val="00107587"/>
    <w:rsid w:val="0010785E"/>
    <w:rsid w:val="00110970"/>
    <w:rsid w:val="00110CBE"/>
    <w:rsid w:val="001113A5"/>
    <w:rsid w:val="00111568"/>
    <w:rsid w:val="00111C65"/>
    <w:rsid w:val="001120C0"/>
    <w:rsid w:val="001120F4"/>
    <w:rsid w:val="00112284"/>
    <w:rsid w:val="00112657"/>
    <w:rsid w:val="00112E28"/>
    <w:rsid w:val="0011474E"/>
    <w:rsid w:val="00114D1F"/>
    <w:rsid w:val="001150BF"/>
    <w:rsid w:val="00115A41"/>
    <w:rsid w:val="00115D60"/>
    <w:rsid w:val="00115EB0"/>
    <w:rsid w:val="001168F2"/>
    <w:rsid w:val="00116B8A"/>
    <w:rsid w:val="001170F6"/>
    <w:rsid w:val="00117899"/>
    <w:rsid w:val="00117CF1"/>
    <w:rsid w:val="00117D13"/>
    <w:rsid w:val="00117D3B"/>
    <w:rsid w:val="00117D4A"/>
    <w:rsid w:val="00117E45"/>
    <w:rsid w:val="00120207"/>
    <w:rsid w:val="0012025C"/>
    <w:rsid w:val="001209D4"/>
    <w:rsid w:val="00120D81"/>
    <w:rsid w:val="00120F95"/>
    <w:rsid w:val="00121174"/>
    <w:rsid w:val="0012272F"/>
    <w:rsid w:val="00123616"/>
    <w:rsid w:val="00123C1B"/>
    <w:rsid w:val="00123E10"/>
    <w:rsid w:val="00124CCA"/>
    <w:rsid w:val="00124E77"/>
    <w:rsid w:val="00125E3C"/>
    <w:rsid w:val="00125ED2"/>
    <w:rsid w:val="00126420"/>
    <w:rsid w:val="00126624"/>
    <w:rsid w:val="00126883"/>
    <w:rsid w:val="00126A15"/>
    <w:rsid w:val="001277B1"/>
    <w:rsid w:val="00127FDA"/>
    <w:rsid w:val="0013024A"/>
    <w:rsid w:val="00131164"/>
    <w:rsid w:val="0013137E"/>
    <w:rsid w:val="00131B15"/>
    <w:rsid w:val="00132316"/>
    <w:rsid w:val="001329B3"/>
    <w:rsid w:val="001334A1"/>
    <w:rsid w:val="00133E7E"/>
    <w:rsid w:val="0013427B"/>
    <w:rsid w:val="0013456F"/>
    <w:rsid w:val="00134578"/>
    <w:rsid w:val="00134B5C"/>
    <w:rsid w:val="00135F27"/>
    <w:rsid w:val="00135F7F"/>
    <w:rsid w:val="00136E23"/>
    <w:rsid w:val="00136EEA"/>
    <w:rsid w:val="00136F6E"/>
    <w:rsid w:val="00137CDB"/>
    <w:rsid w:val="00140E1A"/>
    <w:rsid w:val="001412CB"/>
    <w:rsid w:val="0014175C"/>
    <w:rsid w:val="00141EE9"/>
    <w:rsid w:val="00142072"/>
    <w:rsid w:val="001422D5"/>
    <w:rsid w:val="0014299E"/>
    <w:rsid w:val="001430D7"/>
    <w:rsid w:val="00143EE1"/>
    <w:rsid w:val="00143F22"/>
    <w:rsid w:val="00143FCB"/>
    <w:rsid w:val="001443ED"/>
    <w:rsid w:val="00144549"/>
    <w:rsid w:val="00144FEF"/>
    <w:rsid w:val="0014521B"/>
    <w:rsid w:val="00145627"/>
    <w:rsid w:val="00145C46"/>
    <w:rsid w:val="00146982"/>
    <w:rsid w:val="001469DB"/>
    <w:rsid w:val="00146A41"/>
    <w:rsid w:val="00147132"/>
    <w:rsid w:val="00147279"/>
    <w:rsid w:val="00147B53"/>
    <w:rsid w:val="0015031C"/>
    <w:rsid w:val="00151679"/>
    <w:rsid w:val="00151C6B"/>
    <w:rsid w:val="001521F1"/>
    <w:rsid w:val="001522C3"/>
    <w:rsid w:val="00152AC5"/>
    <w:rsid w:val="0015318E"/>
    <w:rsid w:val="001534E2"/>
    <w:rsid w:val="00153C0A"/>
    <w:rsid w:val="00153E5C"/>
    <w:rsid w:val="0015569F"/>
    <w:rsid w:val="0015583C"/>
    <w:rsid w:val="00155B9E"/>
    <w:rsid w:val="001565FA"/>
    <w:rsid w:val="001569DE"/>
    <w:rsid w:val="001572F6"/>
    <w:rsid w:val="001573A7"/>
    <w:rsid w:val="001573D0"/>
    <w:rsid w:val="001573DE"/>
    <w:rsid w:val="0015766B"/>
    <w:rsid w:val="0016017A"/>
    <w:rsid w:val="00160FEC"/>
    <w:rsid w:val="001611A4"/>
    <w:rsid w:val="00161C65"/>
    <w:rsid w:val="0016263C"/>
    <w:rsid w:val="001633BD"/>
    <w:rsid w:val="001636ED"/>
    <w:rsid w:val="0016395D"/>
    <w:rsid w:val="00163A2E"/>
    <w:rsid w:val="00163D92"/>
    <w:rsid w:val="00163F22"/>
    <w:rsid w:val="00164144"/>
    <w:rsid w:val="00164E6C"/>
    <w:rsid w:val="001658C7"/>
    <w:rsid w:val="001659B3"/>
    <w:rsid w:val="00165BCE"/>
    <w:rsid w:val="001661F6"/>
    <w:rsid w:val="0016641C"/>
    <w:rsid w:val="00167B9F"/>
    <w:rsid w:val="00167D16"/>
    <w:rsid w:val="00167FF1"/>
    <w:rsid w:val="00170237"/>
    <w:rsid w:val="0017023D"/>
    <w:rsid w:val="001703BA"/>
    <w:rsid w:val="00170699"/>
    <w:rsid w:val="001708DE"/>
    <w:rsid w:val="001717AD"/>
    <w:rsid w:val="001720A2"/>
    <w:rsid w:val="00172209"/>
    <w:rsid w:val="00172ADE"/>
    <w:rsid w:val="00173FFD"/>
    <w:rsid w:val="0017439C"/>
    <w:rsid w:val="00174906"/>
    <w:rsid w:val="00174AA8"/>
    <w:rsid w:val="00175703"/>
    <w:rsid w:val="001758DE"/>
    <w:rsid w:val="00176AE3"/>
    <w:rsid w:val="00176D25"/>
    <w:rsid w:val="0017700D"/>
    <w:rsid w:val="00177144"/>
    <w:rsid w:val="00177F76"/>
    <w:rsid w:val="00180496"/>
    <w:rsid w:val="00180C1A"/>
    <w:rsid w:val="00180F84"/>
    <w:rsid w:val="001810AA"/>
    <w:rsid w:val="0018173F"/>
    <w:rsid w:val="00181A3F"/>
    <w:rsid w:val="00181D70"/>
    <w:rsid w:val="00182BC7"/>
    <w:rsid w:val="00182D41"/>
    <w:rsid w:val="00182D54"/>
    <w:rsid w:val="0018342E"/>
    <w:rsid w:val="00183A01"/>
    <w:rsid w:val="00183EEF"/>
    <w:rsid w:val="001840C2"/>
    <w:rsid w:val="001841AA"/>
    <w:rsid w:val="00184B46"/>
    <w:rsid w:val="001854BA"/>
    <w:rsid w:val="00185939"/>
    <w:rsid w:val="00185A38"/>
    <w:rsid w:val="00186193"/>
    <w:rsid w:val="001876F6"/>
    <w:rsid w:val="001903FF"/>
    <w:rsid w:val="00190D76"/>
    <w:rsid w:val="0019180E"/>
    <w:rsid w:val="00191C46"/>
    <w:rsid w:val="00191E23"/>
    <w:rsid w:val="00192DC3"/>
    <w:rsid w:val="0019371F"/>
    <w:rsid w:val="00193B01"/>
    <w:rsid w:val="00193E3D"/>
    <w:rsid w:val="00193E7B"/>
    <w:rsid w:val="001953B1"/>
    <w:rsid w:val="00195AA2"/>
    <w:rsid w:val="00196271"/>
    <w:rsid w:val="001963C0"/>
    <w:rsid w:val="001966B4"/>
    <w:rsid w:val="0019684B"/>
    <w:rsid w:val="001971D8"/>
    <w:rsid w:val="00197619"/>
    <w:rsid w:val="00197956"/>
    <w:rsid w:val="001A0C96"/>
    <w:rsid w:val="001A2E06"/>
    <w:rsid w:val="001A388E"/>
    <w:rsid w:val="001A3D09"/>
    <w:rsid w:val="001A3FAD"/>
    <w:rsid w:val="001A409D"/>
    <w:rsid w:val="001A4467"/>
    <w:rsid w:val="001A446E"/>
    <w:rsid w:val="001A517E"/>
    <w:rsid w:val="001A6826"/>
    <w:rsid w:val="001B05FD"/>
    <w:rsid w:val="001B07AF"/>
    <w:rsid w:val="001B1392"/>
    <w:rsid w:val="001B1676"/>
    <w:rsid w:val="001B17A8"/>
    <w:rsid w:val="001B24FB"/>
    <w:rsid w:val="001B2540"/>
    <w:rsid w:val="001B4FB8"/>
    <w:rsid w:val="001B5056"/>
    <w:rsid w:val="001B5059"/>
    <w:rsid w:val="001B534A"/>
    <w:rsid w:val="001B54F3"/>
    <w:rsid w:val="001B55C8"/>
    <w:rsid w:val="001B55E8"/>
    <w:rsid w:val="001B63C6"/>
    <w:rsid w:val="001B65D8"/>
    <w:rsid w:val="001B6FA8"/>
    <w:rsid w:val="001B7021"/>
    <w:rsid w:val="001B7812"/>
    <w:rsid w:val="001C0688"/>
    <w:rsid w:val="001C0A3A"/>
    <w:rsid w:val="001C0D91"/>
    <w:rsid w:val="001C0E91"/>
    <w:rsid w:val="001C0E9D"/>
    <w:rsid w:val="001C176F"/>
    <w:rsid w:val="001C26AF"/>
    <w:rsid w:val="001C3416"/>
    <w:rsid w:val="001C39EB"/>
    <w:rsid w:val="001C4640"/>
    <w:rsid w:val="001C48D4"/>
    <w:rsid w:val="001C4A55"/>
    <w:rsid w:val="001C512C"/>
    <w:rsid w:val="001C52E8"/>
    <w:rsid w:val="001C5601"/>
    <w:rsid w:val="001C5CC0"/>
    <w:rsid w:val="001C6357"/>
    <w:rsid w:val="001C64DF"/>
    <w:rsid w:val="001C6CE3"/>
    <w:rsid w:val="001C76CA"/>
    <w:rsid w:val="001C7C93"/>
    <w:rsid w:val="001D051A"/>
    <w:rsid w:val="001D06C5"/>
    <w:rsid w:val="001D102B"/>
    <w:rsid w:val="001D114A"/>
    <w:rsid w:val="001D1160"/>
    <w:rsid w:val="001D212F"/>
    <w:rsid w:val="001D27A2"/>
    <w:rsid w:val="001D2931"/>
    <w:rsid w:val="001D36CD"/>
    <w:rsid w:val="001D4093"/>
    <w:rsid w:val="001D4771"/>
    <w:rsid w:val="001D4AC2"/>
    <w:rsid w:val="001D4F49"/>
    <w:rsid w:val="001D57BD"/>
    <w:rsid w:val="001D5B60"/>
    <w:rsid w:val="001D5DD8"/>
    <w:rsid w:val="001D64A0"/>
    <w:rsid w:val="001D64B7"/>
    <w:rsid w:val="001D655C"/>
    <w:rsid w:val="001D6814"/>
    <w:rsid w:val="001D6E7E"/>
    <w:rsid w:val="001D70BF"/>
    <w:rsid w:val="001D7554"/>
    <w:rsid w:val="001D793A"/>
    <w:rsid w:val="001D7982"/>
    <w:rsid w:val="001D7B9A"/>
    <w:rsid w:val="001E0196"/>
    <w:rsid w:val="001E0934"/>
    <w:rsid w:val="001E13C8"/>
    <w:rsid w:val="001E13F6"/>
    <w:rsid w:val="001E1634"/>
    <w:rsid w:val="001E1D3D"/>
    <w:rsid w:val="001E2E71"/>
    <w:rsid w:val="001E334D"/>
    <w:rsid w:val="001E33FC"/>
    <w:rsid w:val="001E47D1"/>
    <w:rsid w:val="001E4CE6"/>
    <w:rsid w:val="001E4F5E"/>
    <w:rsid w:val="001E4FF9"/>
    <w:rsid w:val="001E58F7"/>
    <w:rsid w:val="001E5A97"/>
    <w:rsid w:val="001E5D4A"/>
    <w:rsid w:val="001E6209"/>
    <w:rsid w:val="001E63CA"/>
    <w:rsid w:val="001E663F"/>
    <w:rsid w:val="001E6894"/>
    <w:rsid w:val="001E6A64"/>
    <w:rsid w:val="001E738A"/>
    <w:rsid w:val="001E75C5"/>
    <w:rsid w:val="001E769B"/>
    <w:rsid w:val="001F01B2"/>
    <w:rsid w:val="001F02A1"/>
    <w:rsid w:val="001F03FF"/>
    <w:rsid w:val="001F0C8D"/>
    <w:rsid w:val="001F0E03"/>
    <w:rsid w:val="001F1791"/>
    <w:rsid w:val="001F1B5F"/>
    <w:rsid w:val="001F1CC5"/>
    <w:rsid w:val="001F2EA3"/>
    <w:rsid w:val="001F3B80"/>
    <w:rsid w:val="001F3D5E"/>
    <w:rsid w:val="001F3D7A"/>
    <w:rsid w:val="001F3E3E"/>
    <w:rsid w:val="001F3F2A"/>
    <w:rsid w:val="001F4658"/>
    <w:rsid w:val="001F47CD"/>
    <w:rsid w:val="001F4D5D"/>
    <w:rsid w:val="001F69C2"/>
    <w:rsid w:val="001F6E09"/>
    <w:rsid w:val="001F6F8F"/>
    <w:rsid w:val="001F70FC"/>
    <w:rsid w:val="001F7417"/>
    <w:rsid w:val="001F7AF8"/>
    <w:rsid w:val="00200017"/>
    <w:rsid w:val="00200692"/>
    <w:rsid w:val="00200A99"/>
    <w:rsid w:val="00200CAA"/>
    <w:rsid w:val="00201DA0"/>
    <w:rsid w:val="00201FAF"/>
    <w:rsid w:val="00202A2C"/>
    <w:rsid w:val="00202C62"/>
    <w:rsid w:val="0020301F"/>
    <w:rsid w:val="00203AD2"/>
    <w:rsid w:val="00203E9D"/>
    <w:rsid w:val="00204832"/>
    <w:rsid w:val="002048D1"/>
    <w:rsid w:val="002049F2"/>
    <w:rsid w:val="002052E0"/>
    <w:rsid w:val="002053D4"/>
    <w:rsid w:val="00205906"/>
    <w:rsid w:val="00205AFF"/>
    <w:rsid w:val="00205CF4"/>
    <w:rsid w:val="002061A7"/>
    <w:rsid w:val="002065FD"/>
    <w:rsid w:val="00206A1C"/>
    <w:rsid w:val="00206AB7"/>
    <w:rsid w:val="0020729F"/>
    <w:rsid w:val="002079CB"/>
    <w:rsid w:val="00207F93"/>
    <w:rsid w:val="00207FBA"/>
    <w:rsid w:val="00210131"/>
    <w:rsid w:val="0021096E"/>
    <w:rsid w:val="00210C09"/>
    <w:rsid w:val="00210DE8"/>
    <w:rsid w:val="00211120"/>
    <w:rsid w:val="002116E0"/>
    <w:rsid w:val="002119DC"/>
    <w:rsid w:val="00211C52"/>
    <w:rsid w:val="00211C5D"/>
    <w:rsid w:val="00211D73"/>
    <w:rsid w:val="002120E3"/>
    <w:rsid w:val="00212131"/>
    <w:rsid w:val="00212577"/>
    <w:rsid w:val="002125C4"/>
    <w:rsid w:val="0021261B"/>
    <w:rsid w:val="0021286C"/>
    <w:rsid w:val="00212A3E"/>
    <w:rsid w:val="00212D48"/>
    <w:rsid w:val="00212D5D"/>
    <w:rsid w:val="0021348B"/>
    <w:rsid w:val="00214BF2"/>
    <w:rsid w:val="0021510D"/>
    <w:rsid w:val="00215A7F"/>
    <w:rsid w:val="00215DAE"/>
    <w:rsid w:val="00216061"/>
    <w:rsid w:val="00216522"/>
    <w:rsid w:val="002165CD"/>
    <w:rsid w:val="002165F3"/>
    <w:rsid w:val="00216F55"/>
    <w:rsid w:val="00217702"/>
    <w:rsid w:val="00217F80"/>
    <w:rsid w:val="002207BF"/>
    <w:rsid w:val="00220AF8"/>
    <w:rsid w:val="00220E92"/>
    <w:rsid w:val="00221D19"/>
    <w:rsid w:val="00222D62"/>
    <w:rsid w:val="00222D75"/>
    <w:rsid w:val="00222FAD"/>
    <w:rsid w:val="00223C50"/>
    <w:rsid w:val="002241E5"/>
    <w:rsid w:val="0022480F"/>
    <w:rsid w:val="002254B6"/>
    <w:rsid w:val="00225B56"/>
    <w:rsid w:val="0022666B"/>
    <w:rsid w:val="0022734D"/>
    <w:rsid w:val="002275C4"/>
    <w:rsid w:val="00227977"/>
    <w:rsid w:val="00230AB9"/>
    <w:rsid w:val="0023111E"/>
    <w:rsid w:val="00231496"/>
    <w:rsid w:val="0023187E"/>
    <w:rsid w:val="00231D92"/>
    <w:rsid w:val="00232018"/>
    <w:rsid w:val="00232CCE"/>
    <w:rsid w:val="00233635"/>
    <w:rsid w:val="002340FF"/>
    <w:rsid w:val="0023447F"/>
    <w:rsid w:val="002350B3"/>
    <w:rsid w:val="002355BB"/>
    <w:rsid w:val="00235DA7"/>
    <w:rsid w:val="00236686"/>
    <w:rsid w:val="00236764"/>
    <w:rsid w:val="002374BB"/>
    <w:rsid w:val="0023798E"/>
    <w:rsid w:val="002400AB"/>
    <w:rsid w:val="00240307"/>
    <w:rsid w:val="00240779"/>
    <w:rsid w:val="00240F1E"/>
    <w:rsid w:val="002414AD"/>
    <w:rsid w:val="0024153B"/>
    <w:rsid w:val="002424AA"/>
    <w:rsid w:val="00242984"/>
    <w:rsid w:val="00242EE4"/>
    <w:rsid w:val="00242FE5"/>
    <w:rsid w:val="00243162"/>
    <w:rsid w:val="002438E1"/>
    <w:rsid w:val="00243FD3"/>
    <w:rsid w:val="0024462E"/>
    <w:rsid w:val="002449F4"/>
    <w:rsid w:val="0024517C"/>
    <w:rsid w:val="00245212"/>
    <w:rsid w:val="00245558"/>
    <w:rsid w:val="00245B3C"/>
    <w:rsid w:val="00246556"/>
    <w:rsid w:val="0024720E"/>
    <w:rsid w:val="002473BD"/>
    <w:rsid w:val="002474FA"/>
    <w:rsid w:val="002502BD"/>
    <w:rsid w:val="00250CBD"/>
    <w:rsid w:val="00251227"/>
    <w:rsid w:val="00251343"/>
    <w:rsid w:val="0025196E"/>
    <w:rsid w:val="00251D48"/>
    <w:rsid w:val="002521AB"/>
    <w:rsid w:val="00253169"/>
    <w:rsid w:val="002532CE"/>
    <w:rsid w:val="00253493"/>
    <w:rsid w:val="0025353C"/>
    <w:rsid w:val="00253DE9"/>
    <w:rsid w:val="0025424A"/>
    <w:rsid w:val="00254679"/>
    <w:rsid w:val="002548B0"/>
    <w:rsid w:val="00254FC4"/>
    <w:rsid w:val="0025514B"/>
    <w:rsid w:val="0025667F"/>
    <w:rsid w:val="00256CCE"/>
    <w:rsid w:val="00257610"/>
    <w:rsid w:val="00257AFB"/>
    <w:rsid w:val="00260284"/>
    <w:rsid w:val="00260EB7"/>
    <w:rsid w:val="0026160D"/>
    <w:rsid w:val="002618F3"/>
    <w:rsid w:val="0026293D"/>
    <w:rsid w:val="00262B83"/>
    <w:rsid w:val="0026322B"/>
    <w:rsid w:val="00263BC3"/>
    <w:rsid w:val="00264185"/>
    <w:rsid w:val="002642E3"/>
    <w:rsid w:val="00264DCA"/>
    <w:rsid w:val="00264EB2"/>
    <w:rsid w:val="00264FDD"/>
    <w:rsid w:val="00265051"/>
    <w:rsid w:val="0026516E"/>
    <w:rsid w:val="00265982"/>
    <w:rsid w:val="00265A5F"/>
    <w:rsid w:val="00265FA4"/>
    <w:rsid w:val="00266B66"/>
    <w:rsid w:val="00267008"/>
    <w:rsid w:val="00267311"/>
    <w:rsid w:val="002678DC"/>
    <w:rsid w:val="00270154"/>
    <w:rsid w:val="002706B6"/>
    <w:rsid w:val="00270A5C"/>
    <w:rsid w:val="002717C4"/>
    <w:rsid w:val="002718C4"/>
    <w:rsid w:val="00271970"/>
    <w:rsid w:val="00271BB2"/>
    <w:rsid w:val="00271D0E"/>
    <w:rsid w:val="00271D94"/>
    <w:rsid w:val="00271F70"/>
    <w:rsid w:val="0027290C"/>
    <w:rsid w:val="00272D73"/>
    <w:rsid w:val="00273089"/>
    <w:rsid w:val="00273918"/>
    <w:rsid w:val="00273C00"/>
    <w:rsid w:val="00273C42"/>
    <w:rsid w:val="00273E49"/>
    <w:rsid w:val="0027408B"/>
    <w:rsid w:val="002747EF"/>
    <w:rsid w:val="00274A2C"/>
    <w:rsid w:val="00274B31"/>
    <w:rsid w:val="00274EDD"/>
    <w:rsid w:val="0027562E"/>
    <w:rsid w:val="00275809"/>
    <w:rsid w:val="00275C5C"/>
    <w:rsid w:val="00276B56"/>
    <w:rsid w:val="00276B7D"/>
    <w:rsid w:val="00277115"/>
    <w:rsid w:val="00277C5B"/>
    <w:rsid w:val="0028022D"/>
    <w:rsid w:val="002807A0"/>
    <w:rsid w:val="00280F46"/>
    <w:rsid w:val="002819FD"/>
    <w:rsid w:val="00281B23"/>
    <w:rsid w:val="0028299F"/>
    <w:rsid w:val="00282D00"/>
    <w:rsid w:val="00282D45"/>
    <w:rsid w:val="00282D57"/>
    <w:rsid w:val="002833A4"/>
    <w:rsid w:val="00283547"/>
    <w:rsid w:val="00283950"/>
    <w:rsid w:val="002839B4"/>
    <w:rsid w:val="00283BD3"/>
    <w:rsid w:val="00283D0F"/>
    <w:rsid w:val="0028465C"/>
    <w:rsid w:val="0028583A"/>
    <w:rsid w:val="0028596A"/>
    <w:rsid w:val="00285AA9"/>
    <w:rsid w:val="00285D99"/>
    <w:rsid w:val="00286269"/>
    <w:rsid w:val="0028672D"/>
    <w:rsid w:val="0028710F"/>
    <w:rsid w:val="00287368"/>
    <w:rsid w:val="00287873"/>
    <w:rsid w:val="00287EEA"/>
    <w:rsid w:val="00290B58"/>
    <w:rsid w:val="00290E33"/>
    <w:rsid w:val="0029136B"/>
    <w:rsid w:val="002916CC"/>
    <w:rsid w:val="00291E77"/>
    <w:rsid w:val="00292107"/>
    <w:rsid w:val="00292592"/>
    <w:rsid w:val="0029278C"/>
    <w:rsid w:val="00292E65"/>
    <w:rsid w:val="00293ACC"/>
    <w:rsid w:val="00293FD0"/>
    <w:rsid w:val="002944C3"/>
    <w:rsid w:val="00294557"/>
    <w:rsid w:val="00294C85"/>
    <w:rsid w:val="002957F1"/>
    <w:rsid w:val="00295899"/>
    <w:rsid w:val="00295A64"/>
    <w:rsid w:val="00295DC0"/>
    <w:rsid w:val="002961EE"/>
    <w:rsid w:val="0029638C"/>
    <w:rsid w:val="0029695A"/>
    <w:rsid w:val="0029697C"/>
    <w:rsid w:val="00296CE8"/>
    <w:rsid w:val="002971FE"/>
    <w:rsid w:val="0029742F"/>
    <w:rsid w:val="002979F1"/>
    <w:rsid w:val="00297BF9"/>
    <w:rsid w:val="002A0404"/>
    <w:rsid w:val="002A0464"/>
    <w:rsid w:val="002A11E5"/>
    <w:rsid w:val="002A13E1"/>
    <w:rsid w:val="002A2313"/>
    <w:rsid w:val="002A2799"/>
    <w:rsid w:val="002A2FAB"/>
    <w:rsid w:val="002A3248"/>
    <w:rsid w:val="002A408F"/>
    <w:rsid w:val="002A41FB"/>
    <w:rsid w:val="002A4272"/>
    <w:rsid w:val="002A4EA8"/>
    <w:rsid w:val="002A5172"/>
    <w:rsid w:val="002A66C7"/>
    <w:rsid w:val="002A6BE2"/>
    <w:rsid w:val="002A6DF4"/>
    <w:rsid w:val="002A724B"/>
    <w:rsid w:val="002B05B0"/>
    <w:rsid w:val="002B0846"/>
    <w:rsid w:val="002B09F4"/>
    <w:rsid w:val="002B1304"/>
    <w:rsid w:val="002B1B52"/>
    <w:rsid w:val="002B1C83"/>
    <w:rsid w:val="002B203E"/>
    <w:rsid w:val="002B3507"/>
    <w:rsid w:val="002B3940"/>
    <w:rsid w:val="002B52EF"/>
    <w:rsid w:val="002B5303"/>
    <w:rsid w:val="002B53DB"/>
    <w:rsid w:val="002B56C6"/>
    <w:rsid w:val="002B5C03"/>
    <w:rsid w:val="002B6B22"/>
    <w:rsid w:val="002B78E8"/>
    <w:rsid w:val="002B795E"/>
    <w:rsid w:val="002B7C34"/>
    <w:rsid w:val="002C0446"/>
    <w:rsid w:val="002C1041"/>
    <w:rsid w:val="002C1A0A"/>
    <w:rsid w:val="002C1EDE"/>
    <w:rsid w:val="002C22E7"/>
    <w:rsid w:val="002C2A49"/>
    <w:rsid w:val="002C3717"/>
    <w:rsid w:val="002C3BDB"/>
    <w:rsid w:val="002C4210"/>
    <w:rsid w:val="002C4ABA"/>
    <w:rsid w:val="002C56F6"/>
    <w:rsid w:val="002C5981"/>
    <w:rsid w:val="002C5D9F"/>
    <w:rsid w:val="002C5E91"/>
    <w:rsid w:val="002C6446"/>
    <w:rsid w:val="002C7307"/>
    <w:rsid w:val="002C76F8"/>
    <w:rsid w:val="002C77F8"/>
    <w:rsid w:val="002C7A54"/>
    <w:rsid w:val="002C7C27"/>
    <w:rsid w:val="002D0410"/>
    <w:rsid w:val="002D0899"/>
    <w:rsid w:val="002D0F9D"/>
    <w:rsid w:val="002D0FBC"/>
    <w:rsid w:val="002D11EE"/>
    <w:rsid w:val="002D13B0"/>
    <w:rsid w:val="002D1707"/>
    <w:rsid w:val="002D17E2"/>
    <w:rsid w:val="002D2391"/>
    <w:rsid w:val="002D27E4"/>
    <w:rsid w:val="002D2D98"/>
    <w:rsid w:val="002D2E63"/>
    <w:rsid w:val="002D35D1"/>
    <w:rsid w:val="002D3C5C"/>
    <w:rsid w:val="002D3D64"/>
    <w:rsid w:val="002D3F0D"/>
    <w:rsid w:val="002D3F5B"/>
    <w:rsid w:val="002D4122"/>
    <w:rsid w:val="002D4AEB"/>
    <w:rsid w:val="002D4FAC"/>
    <w:rsid w:val="002D5A07"/>
    <w:rsid w:val="002D6726"/>
    <w:rsid w:val="002D6860"/>
    <w:rsid w:val="002D699A"/>
    <w:rsid w:val="002D69BF"/>
    <w:rsid w:val="002D6D86"/>
    <w:rsid w:val="002D6F90"/>
    <w:rsid w:val="002D720A"/>
    <w:rsid w:val="002D72B2"/>
    <w:rsid w:val="002D72C0"/>
    <w:rsid w:val="002D757E"/>
    <w:rsid w:val="002D762C"/>
    <w:rsid w:val="002E0DBA"/>
    <w:rsid w:val="002E0EC8"/>
    <w:rsid w:val="002E0F90"/>
    <w:rsid w:val="002E1DC3"/>
    <w:rsid w:val="002E272F"/>
    <w:rsid w:val="002E278F"/>
    <w:rsid w:val="002E2EA7"/>
    <w:rsid w:val="002E3B4D"/>
    <w:rsid w:val="002E3CB6"/>
    <w:rsid w:val="002E4827"/>
    <w:rsid w:val="002E5B66"/>
    <w:rsid w:val="002E5E66"/>
    <w:rsid w:val="002E6010"/>
    <w:rsid w:val="002E6E48"/>
    <w:rsid w:val="002E7B98"/>
    <w:rsid w:val="002F00FE"/>
    <w:rsid w:val="002F02F6"/>
    <w:rsid w:val="002F043F"/>
    <w:rsid w:val="002F0522"/>
    <w:rsid w:val="002F0734"/>
    <w:rsid w:val="002F0C8A"/>
    <w:rsid w:val="002F1094"/>
    <w:rsid w:val="002F14CD"/>
    <w:rsid w:val="002F1D57"/>
    <w:rsid w:val="002F2261"/>
    <w:rsid w:val="002F2594"/>
    <w:rsid w:val="002F2CAE"/>
    <w:rsid w:val="002F366A"/>
    <w:rsid w:val="002F37AB"/>
    <w:rsid w:val="002F37FC"/>
    <w:rsid w:val="002F39BD"/>
    <w:rsid w:val="002F3D4B"/>
    <w:rsid w:val="002F4104"/>
    <w:rsid w:val="002F476C"/>
    <w:rsid w:val="002F4821"/>
    <w:rsid w:val="002F4BC1"/>
    <w:rsid w:val="002F5074"/>
    <w:rsid w:val="002F56BE"/>
    <w:rsid w:val="002F56F9"/>
    <w:rsid w:val="002F61B8"/>
    <w:rsid w:val="002F68D8"/>
    <w:rsid w:val="002F6D88"/>
    <w:rsid w:val="002F77E1"/>
    <w:rsid w:val="002F7E54"/>
    <w:rsid w:val="0030026A"/>
    <w:rsid w:val="003005C6"/>
    <w:rsid w:val="00300653"/>
    <w:rsid w:val="003010DA"/>
    <w:rsid w:val="0030182B"/>
    <w:rsid w:val="0030182E"/>
    <w:rsid w:val="00301975"/>
    <w:rsid w:val="00301A74"/>
    <w:rsid w:val="003022F5"/>
    <w:rsid w:val="00302A0E"/>
    <w:rsid w:val="00302D91"/>
    <w:rsid w:val="0030314B"/>
    <w:rsid w:val="003032C4"/>
    <w:rsid w:val="00303E84"/>
    <w:rsid w:val="0030478E"/>
    <w:rsid w:val="00304D2E"/>
    <w:rsid w:val="003051D6"/>
    <w:rsid w:val="0030542C"/>
    <w:rsid w:val="00305518"/>
    <w:rsid w:val="003056FA"/>
    <w:rsid w:val="00305B18"/>
    <w:rsid w:val="003064A1"/>
    <w:rsid w:val="0030740E"/>
    <w:rsid w:val="00310418"/>
    <w:rsid w:val="00310484"/>
    <w:rsid w:val="00310B6C"/>
    <w:rsid w:val="00311245"/>
    <w:rsid w:val="003118FF"/>
    <w:rsid w:val="00311AA0"/>
    <w:rsid w:val="0031215A"/>
    <w:rsid w:val="00312B0B"/>
    <w:rsid w:val="00312E2C"/>
    <w:rsid w:val="00312FFC"/>
    <w:rsid w:val="00314173"/>
    <w:rsid w:val="00314182"/>
    <w:rsid w:val="00314EE4"/>
    <w:rsid w:val="003150BF"/>
    <w:rsid w:val="003150CE"/>
    <w:rsid w:val="003150F7"/>
    <w:rsid w:val="00315A63"/>
    <w:rsid w:val="00315E92"/>
    <w:rsid w:val="0031683C"/>
    <w:rsid w:val="003175AE"/>
    <w:rsid w:val="00321072"/>
    <w:rsid w:val="0032159E"/>
    <w:rsid w:val="00322567"/>
    <w:rsid w:val="00322A2F"/>
    <w:rsid w:val="00322C37"/>
    <w:rsid w:val="003239CC"/>
    <w:rsid w:val="00323B9E"/>
    <w:rsid w:val="003241DB"/>
    <w:rsid w:val="00324251"/>
    <w:rsid w:val="0032467B"/>
    <w:rsid w:val="003254EA"/>
    <w:rsid w:val="003258AA"/>
    <w:rsid w:val="0032624A"/>
    <w:rsid w:val="003269AC"/>
    <w:rsid w:val="00330804"/>
    <w:rsid w:val="003310F2"/>
    <w:rsid w:val="00332BE9"/>
    <w:rsid w:val="003339D3"/>
    <w:rsid w:val="00334A6B"/>
    <w:rsid w:val="00334A7B"/>
    <w:rsid w:val="00335C8A"/>
    <w:rsid w:val="003366B2"/>
    <w:rsid w:val="003368BE"/>
    <w:rsid w:val="003368D7"/>
    <w:rsid w:val="00336DF0"/>
    <w:rsid w:val="003379CC"/>
    <w:rsid w:val="00337EE7"/>
    <w:rsid w:val="00340066"/>
    <w:rsid w:val="00340BF2"/>
    <w:rsid w:val="0034122D"/>
    <w:rsid w:val="0034288B"/>
    <w:rsid w:val="00342AB9"/>
    <w:rsid w:val="00342CB7"/>
    <w:rsid w:val="0034332B"/>
    <w:rsid w:val="0034390A"/>
    <w:rsid w:val="00343A9B"/>
    <w:rsid w:val="003450CE"/>
    <w:rsid w:val="00345A3C"/>
    <w:rsid w:val="00345B7B"/>
    <w:rsid w:val="00345C82"/>
    <w:rsid w:val="00345D3E"/>
    <w:rsid w:val="0034681C"/>
    <w:rsid w:val="00346BD7"/>
    <w:rsid w:val="00347512"/>
    <w:rsid w:val="00347B76"/>
    <w:rsid w:val="00350111"/>
    <w:rsid w:val="00350323"/>
    <w:rsid w:val="00350448"/>
    <w:rsid w:val="003505FE"/>
    <w:rsid w:val="003514AD"/>
    <w:rsid w:val="00351F08"/>
    <w:rsid w:val="00352211"/>
    <w:rsid w:val="003525D8"/>
    <w:rsid w:val="0035288F"/>
    <w:rsid w:val="0035340A"/>
    <w:rsid w:val="00353858"/>
    <w:rsid w:val="00353EA1"/>
    <w:rsid w:val="00357904"/>
    <w:rsid w:val="003600A8"/>
    <w:rsid w:val="00361097"/>
    <w:rsid w:val="00361152"/>
    <w:rsid w:val="003614B4"/>
    <w:rsid w:val="003619D4"/>
    <w:rsid w:val="003623D1"/>
    <w:rsid w:val="00362408"/>
    <w:rsid w:val="0036284D"/>
    <w:rsid w:val="003640AA"/>
    <w:rsid w:val="003642D7"/>
    <w:rsid w:val="003648D6"/>
    <w:rsid w:val="00364984"/>
    <w:rsid w:val="00365084"/>
    <w:rsid w:val="003652F7"/>
    <w:rsid w:val="0036609B"/>
    <w:rsid w:val="00366524"/>
    <w:rsid w:val="00366DDB"/>
    <w:rsid w:val="00367960"/>
    <w:rsid w:val="00370074"/>
    <w:rsid w:val="003700C1"/>
    <w:rsid w:val="003707A9"/>
    <w:rsid w:val="00371697"/>
    <w:rsid w:val="00371B2E"/>
    <w:rsid w:val="00371C3A"/>
    <w:rsid w:val="00371F76"/>
    <w:rsid w:val="0037338E"/>
    <w:rsid w:val="00373B7F"/>
    <w:rsid w:val="00373E58"/>
    <w:rsid w:val="00373F6A"/>
    <w:rsid w:val="00374574"/>
    <w:rsid w:val="003757E6"/>
    <w:rsid w:val="00376073"/>
    <w:rsid w:val="00376B1C"/>
    <w:rsid w:val="003771EC"/>
    <w:rsid w:val="00377452"/>
    <w:rsid w:val="003774F1"/>
    <w:rsid w:val="00377623"/>
    <w:rsid w:val="0038002F"/>
    <w:rsid w:val="0038021F"/>
    <w:rsid w:val="0038031E"/>
    <w:rsid w:val="00380B8B"/>
    <w:rsid w:val="00380DC5"/>
    <w:rsid w:val="00381223"/>
    <w:rsid w:val="003812CF"/>
    <w:rsid w:val="00381849"/>
    <w:rsid w:val="003823A0"/>
    <w:rsid w:val="00383099"/>
    <w:rsid w:val="003830DD"/>
    <w:rsid w:val="0038379D"/>
    <w:rsid w:val="00383F12"/>
    <w:rsid w:val="00384753"/>
    <w:rsid w:val="00384B67"/>
    <w:rsid w:val="00384F36"/>
    <w:rsid w:val="00385271"/>
    <w:rsid w:val="0038542B"/>
    <w:rsid w:val="003859AE"/>
    <w:rsid w:val="00386E0C"/>
    <w:rsid w:val="00386FDB"/>
    <w:rsid w:val="00387C4A"/>
    <w:rsid w:val="00390207"/>
    <w:rsid w:val="00390796"/>
    <w:rsid w:val="0039109B"/>
    <w:rsid w:val="0039119E"/>
    <w:rsid w:val="00391B86"/>
    <w:rsid w:val="0039226E"/>
    <w:rsid w:val="0039295E"/>
    <w:rsid w:val="00392CC8"/>
    <w:rsid w:val="00393756"/>
    <w:rsid w:val="00393EB2"/>
    <w:rsid w:val="00393FDD"/>
    <w:rsid w:val="003951E5"/>
    <w:rsid w:val="003953E0"/>
    <w:rsid w:val="003958C4"/>
    <w:rsid w:val="00395A19"/>
    <w:rsid w:val="00395FBA"/>
    <w:rsid w:val="00396364"/>
    <w:rsid w:val="00397376"/>
    <w:rsid w:val="00397708"/>
    <w:rsid w:val="00397A7C"/>
    <w:rsid w:val="003A0122"/>
    <w:rsid w:val="003A0CFA"/>
    <w:rsid w:val="003A0F2F"/>
    <w:rsid w:val="003A1B05"/>
    <w:rsid w:val="003A1FEF"/>
    <w:rsid w:val="003A2017"/>
    <w:rsid w:val="003A2509"/>
    <w:rsid w:val="003A2BAF"/>
    <w:rsid w:val="003A2CD5"/>
    <w:rsid w:val="003A2D04"/>
    <w:rsid w:val="003A2D38"/>
    <w:rsid w:val="003A2DF6"/>
    <w:rsid w:val="003A48CC"/>
    <w:rsid w:val="003A4ADD"/>
    <w:rsid w:val="003A4DE8"/>
    <w:rsid w:val="003A4F6D"/>
    <w:rsid w:val="003A61F5"/>
    <w:rsid w:val="003A61F9"/>
    <w:rsid w:val="003A6333"/>
    <w:rsid w:val="003A6813"/>
    <w:rsid w:val="003A7093"/>
    <w:rsid w:val="003A70C3"/>
    <w:rsid w:val="003A70C5"/>
    <w:rsid w:val="003A72EF"/>
    <w:rsid w:val="003A7569"/>
    <w:rsid w:val="003A761E"/>
    <w:rsid w:val="003A7E21"/>
    <w:rsid w:val="003A7F78"/>
    <w:rsid w:val="003B184E"/>
    <w:rsid w:val="003B1C18"/>
    <w:rsid w:val="003B2390"/>
    <w:rsid w:val="003B239F"/>
    <w:rsid w:val="003B23A5"/>
    <w:rsid w:val="003B2728"/>
    <w:rsid w:val="003B2C1B"/>
    <w:rsid w:val="003B2EFE"/>
    <w:rsid w:val="003B33AA"/>
    <w:rsid w:val="003B35E7"/>
    <w:rsid w:val="003B37C7"/>
    <w:rsid w:val="003B3849"/>
    <w:rsid w:val="003B4363"/>
    <w:rsid w:val="003B437A"/>
    <w:rsid w:val="003B438D"/>
    <w:rsid w:val="003B4EED"/>
    <w:rsid w:val="003B5C4C"/>
    <w:rsid w:val="003B5F20"/>
    <w:rsid w:val="003B6741"/>
    <w:rsid w:val="003B6B2C"/>
    <w:rsid w:val="003B711B"/>
    <w:rsid w:val="003B7CF7"/>
    <w:rsid w:val="003C0909"/>
    <w:rsid w:val="003C098D"/>
    <w:rsid w:val="003C164C"/>
    <w:rsid w:val="003C16A2"/>
    <w:rsid w:val="003C2258"/>
    <w:rsid w:val="003C25D0"/>
    <w:rsid w:val="003C266A"/>
    <w:rsid w:val="003C2DF8"/>
    <w:rsid w:val="003C3480"/>
    <w:rsid w:val="003C348E"/>
    <w:rsid w:val="003C3735"/>
    <w:rsid w:val="003C3E88"/>
    <w:rsid w:val="003C4296"/>
    <w:rsid w:val="003C4E06"/>
    <w:rsid w:val="003C5648"/>
    <w:rsid w:val="003C602A"/>
    <w:rsid w:val="003C6650"/>
    <w:rsid w:val="003C675E"/>
    <w:rsid w:val="003C6D69"/>
    <w:rsid w:val="003C745F"/>
    <w:rsid w:val="003C7665"/>
    <w:rsid w:val="003C7A72"/>
    <w:rsid w:val="003C7FAF"/>
    <w:rsid w:val="003D05AB"/>
    <w:rsid w:val="003D0FA4"/>
    <w:rsid w:val="003D1759"/>
    <w:rsid w:val="003D1896"/>
    <w:rsid w:val="003D255C"/>
    <w:rsid w:val="003D266C"/>
    <w:rsid w:val="003D290F"/>
    <w:rsid w:val="003D2CB1"/>
    <w:rsid w:val="003D39AF"/>
    <w:rsid w:val="003D39E5"/>
    <w:rsid w:val="003D3B14"/>
    <w:rsid w:val="003D4DA5"/>
    <w:rsid w:val="003D500F"/>
    <w:rsid w:val="003D54E2"/>
    <w:rsid w:val="003D62F7"/>
    <w:rsid w:val="003D7244"/>
    <w:rsid w:val="003D77BF"/>
    <w:rsid w:val="003D7E2A"/>
    <w:rsid w:val="003E016C"/>
    <w:rsid w:val="003E06D4"/>
    <w:rsid w:val="003E080E"/>
    <w:rsid w:val="003E092C"/>
    <w:rsid w:val="003E1035"/>
    <w:rsid w:val="003E1079"/>
    <w:rsid w:val="003E12CE"/>
    <w:rsid w:val="003E1681"/>
    <w:rsid w:val="003E17F2"/>
    <w:rsid w:val="003E19F7"/>
    <w:rsid w:val="003E1AFC"/>
    <w:rsid w:val="003E1BE0"/>
    <w:rsid w:val="003E1EB2"/>
    <w:rsid w:val="003E27C4"/>
    <w:rsid w:val="003E2DCA"/>
    <w:rsid w:val="003E3080"/>
    <w:rsid w:val="003E31F0"/>
    <w:rsid w:val="003E3333"/>
    <w:rsid w:val="003E3558"/>
    <w:rsid w:val="003E492C"/>
    <w:rsid w:val="003E4E7B"/>
    <w:rsid w:val="003E4F28"/>
    <w:rsid w:val="003E4FED"/>
    <w:rsid w:val="003E5E9B"/>
    <w:rsid w:val="003E68B5"/>
    <w:rsid w:val="003E69A0"/>
    <w:rsid w:val="003E710D"/>
    <w:rsid w:val="003E7346"/>
    <w:rsid w:val="003E7534"/>
    <w:rsid w:val="003E7A9C"/>
    <w:rsid w:val="003E7FCF"/>
    <w:rsid w:val="003F0970"/>
    <w:rsid w:val="003F328F"/>
    <w:rsid w:val="003F3412"/>
    <w:rsid w:val="003F3618"/>
    <w:rsid w:val="003F3D78"/>
    <w:rsid w:val="003F3DC5"/>
    <w:rsid w:val="003F42CA"/>
    <w:rsid w:val="003F4433"/>
    <w:rsid w:val="003F4C68"/>
    <w:rsid w:val="003F531A"/>
    <w:rsid w:val="003F567B"/>
    <w:rsid w:val="003F6446"/>
    <w:rsid w:val="003F6671"/>
    <w:rsid w:val="003F6B77"/>
    <w:rsid w:val="003F70CE"/>
    <w:rsid w:val="003F7231"/>
    <w:rsid w:val="003F7467"/>
    <w:rsid w:val="003F75E5"/>
    <w:rsid w:val="003F7C9E"/>
    <w:rsid w:val="004020FF"/>
    <w:rsid w:val="004025E8"/>
    <w:rsid w:val="00402768"/>
    <w:rsid w:val="00402AE7"/>
    <w:rsid w:val="00402B3C"/>
    <w:rsid w:val="00403285"/>
    <w:rsid w:val="00403598"/>
    <w:rsid w:val="00403D68"/>
    <w:rsid w:val="004047D9"/>
    <w:rsid w:val="00404994"/>
    <w:rsid w:val="00404B43"/>
    <w:rsid w:val="00404C36"/>
    <w:rsid w:val="004065F3"/>
    <w:rsid w:val="00406F38"/>
    <w:rsid w:val="004100E0"/>
    <w:rsid w:val="004103D9"/>
    <w:rsid w:val="004107CA"/>
    <w:rsid w:val="00410A57"/>
    <w:rsid w:val="00410D77"/>
    <w:rsid w:val="004110CF"/>
    <w:rsid w:val="004111BC"/>
    <w:rsid w:val="004114CB"/>
    <w:rsid w:val="00411D19"/>
    <w:rsid w:val="004125F4"/>
    <w:rsid w:val="004126D4"/>
    <w:rsid w:val="00412C1B"/>
    <w:rsid w:val="00414256"/>
    <w:rsid w:val="0041466E"/>
    <w:rsid w:val="00414703"/>
    <w:rsid w:val="00414ED4"/>
    <w:rsid w:val="00414EFA"/>
    <w:rsid w:val="0041550F"/>
    <w:rsid w:val="00415D2B"/>
    <w:rsid w:val="00416C0A"/>
    <w:rsid w:val="00416DCC"/>
    <w:rsid w:val="00417113"/>
    <w:rsid w:val="00417126"/>
    <w:rsid w:val="0041734F"/>
    <w:rsid w:val="00417897"/>
    <w:rsid w:val="00417E40"/>
    <w:rsid w:val="004202FF"/>
    <w:rsid w:val="0042067D"/>
    <w:rsid w:val="00420C81"/>
    <w:rsid w:val="00421941"/>
    <w:rsid w:val="00421E89"/>
    <w:rsid w:val="004223D1"/>
    <w:rsid w:val="00422B15"/>
    <w:rsid w:val="004233DC"/>
    <w:rsid w:val="00423E21"/>
    <w:rsid w:val="0042428C"/>
    <w:rsid w:val="00424DE2"/>
    <w:rsid w:val="00424FAB"/>
    <w:rsid w:val="004251F6"/>
    <w:rsid w:val="00425503"/>
    <w:rsid w:val="0042569D"/>
    <w:rsid w:val="00426D43"/>
    <w:rsid w:val="0042730C"/>
    <w:rsid w:val="0043052A"/>
    <w:rsid w:val="004305C1"/>
    <w:rsid w:val="00430E6D"/>
    <w:rsid w:val="004315EB"/>
    <w:rsid w:val="004315FC"/>
    <w:rsid w:val="00431885"/>
    <w:rsid w:val="004318E0"/>
    <w:rsid w:val="00432500"/>
    <w:rsid w:val="00432528"/>
    <w:rsid w:val="00432836"/>
    <w:rsid w:val="0043289E"/>
    <w:rsid w:val="00432A96"/>
    <w:rsid w:val="004351B7"/>
    <w:rsid w:val="0043536E"/>
    <w:rsid w:val="004355B2"/>
    <w:rsid w:val="00435D15"/>
    <w:rsid w:val="004364C3"/>
    <w:rsid w:val="004373C6"/>
    <w:rsid w:val="004373D1"/>
    <w:rsid w:val="004374D0"/>
    <w:rsid w:val="0043778D"/>
    <w:rsid w:val="004377E6"/>
    <w:rsid w:val="00437E13"/>
    <w:rsid w:val="00440A9B"/>
    <w:rsid w:val="00441CFF"/>
    <w:rsid w:val="00441D27"/>
    <w:rsid w:val="00441E18"/>
    <w:rsid w:val="0044298C"/>
    <w:rsid w:val="00442CAB"/>
    <w:rsid w:val="00442DC7"/>
    <w:rsid w:val="00443518"/>
    <w:rsid w:val="00443645"/>
    <w:rsid w:val="00443744"/>
    <w:rsid w:val="0044374A"/>
    <w:rsid w:val="004438C8"/>
    <w:rsid w:val="00443D87"/>
    <w:rsid w:val="00444123"/>
    <w:rsid w:val="0044496C"/>
    <w:rsid w:val="004454C2"/>
    <w:rsid w:val="00445F9F"/>
    <w:rsid w:val="00446676"/>
    <w:rsid w:val="004468F2"/>
    <w:rsid w:val="00447347"/>
    <w:rsid w:val="004478E0"/>
    <w:rsid w:val="00447F33"/>
    <w:rsid w:val="0045004E"/>
    <w:rsid w:val="00450A27"/>
    <w:rsid w:val="00450ACC"/>
    <w:rsid w:val="00451001"/>
    <w:rsid w:val="0045129D"/>
    <w:rsid w:val="00451509"/>
    <w:rsid w:val="00451EC2"/>
    <w:rsid w:val="00452306"/>
    <w:rsid w:val="0045243C"/>
    <w:rsid w:val="00453157"/>
    <w:rsid w:val="0045367C"/>
    <w:rsid w:val="00453757"/>
    <w:rsid w:val="00453C4D"/>
    <w:rsid w:val="004543BB"/>
    <w:rsid w:val="004551BD"/>
    <w:rsid w:val="004555BE"/>
    <w:rsid w:val="004555E1"/>
    <w:rsid w:val="00456623"/>
    <w:rsid w:val="00456C74"/>
    <w:rsid w:val="0045711B"/>
    <w:rsid w:val="004571D8"/>
    <w:rsid w:val="004574C6"/>
    <w:rsid w:val="00460A99"/>
    <w:rsid w:val="00460EFF"/>
    <w:rsid w:val="00461A40"/>
    <w:rsid w:val="00462845"/>
    <w:rsid w:val="0046298E"/>
    <w:rsid w:val="00462B66"/>
    <w:rsid w:val="00463357"/>
    <w:rsid w:val="004635DC"/>
    <w:rsid w:val="00463A04"/>
    <w:rsid w:val="00463A87"/>
    <w:rsid w:val="00463EDA"/>
    <w:rsid w:val="00465255"/>
    <w:rsid w:val="00465D44"/>
    <w:rsid w:val="00465E68"/>
    <w:rsid w:val="004661D5"/>
    <w:rsid w:val="00466903"/>
    <w:rsid w:val="004669D3"/>
    <w:rsid w:val="00466D8F"/>
    <w:rsid w:val="00467843"/>
    <w:rsid w:val="00467A2C"/>
    <w:rsid w:val="004700C8"/>
    <w:rsid w:val="004705B0"/>
    <w:rsid w:val="004708BF"/>
    <w:rsid w:val="0047122D"/>
    <w:rsid w:val="004712F5"/>
    <w:rsid w:val="00471C93"/>
    <w:rsid w:val="00471DAC"/>
    <w:rsid w:val="004720B5"/>
    <w:rsid w:val="004723BD"/>
    <w:rsid w:val="004724B3"/>
    <w:rsid w:val="00472F43"/>
    <w:rsid w:val="00473718"/>
    <w:rsid w:val="00473869"/>
    <w:rsid w:val="0047410E"/>
    <w:rsid w:val="004742D0"/>
    <w:rsid w:val="00474335"/>
    <w:rsid w:val="0047454A"/>
    <w:rsid w:val="00477080"/>
    <w:rsid w:val="0048054A"/>
    <w:rsid w:val="0048092D"/>
    <w:rsid w:val="00480962"/>
    <w:rsid w:val="004809CB"/>
    <w:rsid w:val="0048156C"/>
    <w:rsid w:val="004818E8"/>
    <w:rsid w:val="00482F56"/>
    <w:rsid w:val="00482F67"/>
    <w:rsid w:val="00483006"/>
    <w:rsid w:val="004835D2"/>
    <w:rsid w:val="00483954"/>
    <w:rsid w:val="004839E5"/>
    <w:rsid w:val="00484915"/>
    <w:rsid w:val="004852C3"/>
    <w:rsid w:val="004852F6"/>
    <w:rsid w:val="004854E8"/>
    <w:rsid w:val="00485961"/>
    <w:rsid w:val="00485F2D"/>
    <w:rsid w:val="004866EF"/>
    <w:rsid w:val="00486A12"/>
    <w:rsid w:val="00487387"/>
    <w:rsid w:val="004874D8"/>
    <w:rsid w:val="004908B6"/>
    <w:rsid w:val="00490E50"/>
    <w:rsid w:val="004919FD"/>
    <w:rsid w:val="00492613"/>
    <w:rsid w:val="004927E7"/>
    <w:rsid w:val="004927FC"/>
    <w:rsid w:val="0049348C"/>
    <w:rsid w:val="00493607"/>
    <w:rsid w:val="00493B6F"/>
    <w:rsid w:val="0049449D"/>
    <w:rsid w:val="00494758"/>
    <w:rsid w:val="00494E33"/>
    <w:rsid w:val="00495191"/>
    <w:rsid w:val="0049618A"/>
    <w:rsid w:val="004964B1"/>
    <w:rsid w:val="004965AE"/>
    <w:rsid w:val="00496887"/>
    <w:rsid w:val="004969BD"/>
    <w:rsid w:val="0049711F"/>
    <w:rsid w:val="004978B3"/>
    <w:rsid w:val="00497DFA"/>
    <w:rsid w:val="004A0455"/>
    <w:rsid w:val="004A06FC"/>
    <w:rsid w:val="004A08D8"/>
    <w:rsid w:val="004A132C"/>
    <w:rsid w:val="004A23E1"/>
    <w:rsid w:val="004A2715"/>
    <w:rsid w:val="004A3205"/>
    <w:rsid w:val="004A3AC5"/>
    <w:rsid w:val="004A47F8"/>
    <w:rsid w:val="004A5678"/>
    <w:rsid w:val="004A59BC"/>
    <w:rsid w:val="004A5C98"/>
    <w:rsid w:val="004A64E1"/>
    <w:rsid w:val="004A7134"/>
    <w:rsid w:val="004A7B38"/>
    <w:rsid w:val="004B072D"/>
    <w:rsid w:val="004B086C"/>
    <w:rsid w:val="004B1110"/>
    <w:rsid w:val="004B1CDA"/>
    <w:rsid w:val="004B1EE3"/>
    <w:rsid w:val="004B242F"/>
    <w:rsid w:val="004B26D9"/>
    <w:rsid w:val="004B2C5E"/>
    <w:rsid w:val="004B2DBB"/>
    <w:rsid w:val="004B36A8"/>
    <w:rsid w:val="004B382B"/>
    <w:rsid w:val="004B3A41"/>
    <w:rsid w:val="004B3FC7"/>
    <w:rsid w:val="004B415C"/>
    <w:rsid w:val="004B41EC"/>
    <w:rsid w:val="004B43E9"/>
    <w:rsid w:val="004B4D8F"/>
    <w:rsid w:val="004B5C3D"/>
    <w:rsid w:val="004B5C8B"/>
    <w:rsid w:val="004B602E"/>
    <w:rsid w:val="004B690E"/>
    <w:rsid w:val="004B6F98"/>
    <w:rsid w:val="004B715F"/>
    <w:rsid w:val="004B7166"/>
    <w:rsid w:val="004B7354"/>
    <w:rsid w:val="004B774B"/>
    <w:rsid w:val="004B7F41"/>
    <w:rsid w:val="004B7F47"/>
    <w:rsid w:val="004C0193"/>
    <w:rsid w:val="004C0748"/>
    <w:rsid w:val="004C11AB"/>
    <w:rsid w:val="004C298F"/>
    <w:rsid w:val="004C4097"/>
    <w:rsid w:val="004C409B"/>
    <w:rsid w:val="004C4629"/>
    <w:rsid w:val="004C4B71"/>
    <w:rsid w:val="004C61A9"/>
    <w:rsid w:val="004C6555"/>
    <w:rsid w:val="004C6930"/>
    <w:rsid w:val="004C6EB7"/>
    <w:rsid w:val="004C74BA"/>
    <w:rsid w:val="004C7987"/>
    <w:rsid w:val="004D087E"/>
    <w:rsid w:val="004D19DB"/>
    <w:rsid w:val="004D1E88"/>
    <w:rsid w:val="004D2182"/>
    <w:rsid w:val="004D263A"/>
    <w:rsid w:val="004D2734"/>
    <w:rsid w:val="004D2A79"/>
    <w:rsid w:val="004D2CD2"/>
    <w:rsid w:val="004D2F01"/>
    <w:rsid w:val="004D39AA"/>
    <w:rsid w:val="004D3CD7"/>
    <w:rsid w:val="004D4173"/>
    <w:rsid w:val="004D4313"/>
    <w:rsid w:val="004D4ECF"/>
    <w:rsid w:val="004D50B0"/>
    <w:rsid w:val="004D54B2"/>
    <w:rsid w:val="004D54C2"/>
    <w:rsid w:val="004D58DE"/>
    <w:rsid w:val="004D5F20"/>
    <w:rsid w:val="004D632D"/>
    <w:rsid w:val="004D63E2"/>
    <w:rsid w:val="004D695F"/>
    <w:rsid w:val="004D6A8A"/>
    <w:rsid w:val="004D7DE5"/>
    <w:rsid w:val="004E0263"/>
    <w:rsid w:val="004E0685"/>
    <w:rsid w:val="004E09AD"/>
    <w:rsid w:val="004E0AB8"/>
    <w:rsid w:val="004E0F88"/>
    <w:rsid w:val="004E15AF"/>
    <w:rsid w:val="004E2830"/>
    <w:rsid w:val="004E2A25"/>
    <w:rsid w:val="004E32B8"/>
    <w:rsid w:val="004E367F"/>
    <w:rsid w:val="004E3801"/>
    <w:rsid w:val="004E3F30"/>
    <w:rsid w:val="004E44C7"/>
    <w:rsid w:val="004E46F8"/>
    <w:rsid w:val="004E4B0D"/>
    <w:rsid w:val="004E4E5B"/>
    <w:rsid w:val="004E5078"/>
    <w:rsid w:val="004E50C8"/>
    <w:rsid w:val="004E51CE"/>
    <w:rsid w:val="004E5540"/>
    <w:rsid w:val="004E56EB"/>
    <w:rsid w:val="004E5BD2"/>
    <w:rsid w:val="004E5C4B"/>
    <w:rsid w:val="004E6069"/>
    <w:rsid w:val="004E6252"/>
    <w:rsid w:val="004E653E"/>
    <w:rsid w:val="004E65F5"/>
    <w:rsid w:val="004E7A6D"/>
    <w:rsid w:val="004E7E68"/>
    <w:rsid w:val="004E7EBE"/>
    <w:rsid w:val="004F02A2"/>
    <w:rsid w:val="004F0BFC"/>
    <w:rsid w:val="004F0EBC"/>
    <w:rsid w:val="004F1071"/>
    <w:rsid w:val="004F11B7"/>
    <w:rsid w:val="004F1D0C"/>
    <w:rsid w:val="004F2D77"/>
    <w:rsid w:val="004F3C00"/>
    <w:rsid w:val="004F3E28"/>
    <w:rsid w:val="004F45EC"/>
    <w:rsid w:val="004F4908"/>
    <w:rsid w:val="004F4CD9"/>
    <w:rsid w:val="004F54C6"/>
    <w:rsid w:val="004F5926"/>
    <w:rsid w:val="004F5CD5"/>
    <w:rsid w:val="004F621F"/>
    <w:rsid w:val="004F6972"/>
    <w:rsid w:val="004F6AED"/>
    <w:rsid w:val="004F6EEA"/>
    <w:rsid w:val="004F7171"/>
    <w:rsid w:val="004F7426"/>
    <w:rsid w:val="004F7CAF"/>
    <w:rsid w:val="004F7E24"/>
    <w:rsid w:val="004F7E7E"/>
    <w:rsid w:val="005005F5"/>
    <w:rsid w:val="0050081D"/>
    <w:rsid w:val="0050163C"/>
    <w:rsid w:val="00501D1A"/>
    <w:rsid w:val="0050241C"/>
    <w:rsid w:val="00502BEA"/>
    <w:rsid w:val="00502E4B"/>
    <w:rsid w:val="00502EAE"/>
    <w:rsid w:val="00503A1B"/>
    <w:rsid w:val="00503F62"/>
    <w:rsid w:val="005046CE"/>
    <w:rsid w:val="005047EA"/>
    <w:rsid w:val="005048F9"/>
    <w:rsid w:val="0050500F"/>
    <w:rsid w:val="00505168"/>
    <w:rsid w:val="00505279"/>
    <w:rsid w:val="005063E1"/>
    <w:rsid w:val="00506765"/>
    <w:rsid w:val="00506776"/>
    <w:rsid w:val="00507834"/>
    <w:rsid w:val="00507CC5"/>
    <w:rsid w:val="00507D87"/>
    <w:rsid w:val="00510850"/>
    <w:rsid w:val="00510BEF"/>
    <w:rsid w:val="0051176E"/>
    <w:rsid w:val="00511815"/>
    <w:rsid w:val="0051239B"/>
    <w:rsid w:val="005127BF"/>
    <w:rsid w:val="005129CD"/>
    <w:rsid w:val="00512B33"/>
    <w:rsid w:val="00512FAF"/>
    <w:rsid w:val="005148C9"/>
    <w:rsid w:val="005148CA"/>
    <w:rsid w:val="00514AD8"/>
    <w:rsid w:val="00514B20"/>
    <w:rsid w:val="005153FE"/>
    <w:rsid w:val="0051542F"/>
    <w:rsid w:val="00515B6E"/>
    <w:rsid w:val="00516869"/>
    <w:rsid w:val="00516BBB"/>
    <w:rsid w:val="00516D6A"/>
    <w:rsid w:val="00516D77"/>
    <w:rsid w:val="0051705E"/>
    <w:rsid w:val="00517684"/>
    <w:rsid w:val="0051772C"/>
    <w:rsid w:val="00520636"/>
    <w:rsid w:val="00520AA8"/>
    <w:rsid w:val="00520ACD"/>
    <w:rsid w:val="005210FD"/>
    <w:rsid w:val="00521303"/>
    <w:rsid w:val="005217AE"/>
    <w:rsid w:val="0052239D"/>
    <w:rsid w:val="00522740"/>
    <w:rsid w:val="005231A4"/>
    <w:rsid w:val="00523372"/>
    <w:rsid w:val="0052368D"/>
    <w:rsid w:val="00523734"/>
    <w:rsid w:val="00523B22"/>
    <w:rsid w:val="00523E83"/>
    <w:rsid w:val="00523E90"/>
    <w:rsid w:val="005244B5"/>
    <w:rsid w:val="005248BB"/>
    <w:rsid w:val="005248F9"/>
    <w:rsid w:val="0052500A"/>
    <w:rsid w:val="0052655D"/>
    <w:rsid w:val="00526AB0"/>
    <w:rsid w:val="005308A5"/>
    <w:rsid w:val="00531125"/>
    <w:rsid w:val="005314E9"/>
    <w:rsid w:val="005316C5"/>
    <w:rsid w:val="00531723"/>
    <w:rsid w:val="00532701"/>
    <w:rsid w:val="0053275E"/>
    <w:rsid w:val="0053324F"/>
    <w:rsid w:val="005333B4"/>
    <w:rsid w:val="005337E3"/>
    <w:rsid w:val="005339A0"/>
    <w:rsid w:val="00534030"/>
    <w:rsid w:val="005348BF"/>
    <w:rsid w:val="00534A8D"/>
    <w:rsid w:val="00534DAB"/>
    <w:rsid w:val="00534DAF"/>
    <w:rsid w:val="00534E53"/>
    <w:rsid w:val="005359CE"/>
    <w:rsid w:val="00536977"/>
    <w:rsid w:val="0053729D"/>
    <w:rsid w:val="005378BE"/>
    <w:rsid w:val="00540317"/>
    <w:rsid w:val="00540BBA"/>
    <w:rsid w:val="00541143"/>
    <w:rsid w:val="00541794"/>
    <w:rsid w:val="00541E10"/>
    <w:rsid w:val="00541EF9"/>
    <w:rsid w:val="00542347"/>
    <w:rsid w:val="00542C79"/>
    <w:rsid w:val="00542F38"/>
    <w:rsid w:val="005431CF"/>
    <w:rsid w:val="0054331F"/>
    <w:rsid w:val="0054338E"/>
    <w:rsid w:val="00543A9E"/>
    <w:rsid w:val="00543D0A"/>
    <w:rsid w:val="00543F12"/>
    <w:rsid w:val="00544EFB"/>
    <w:rsid w:val="00544FB8"/>
    <w:rsid w:val="005454F3"/>
    <w:rsid w:val="005455E5"/>
    <w:rsid w:val="00545B35"/>
    <w:rsid w:val="00545FBA"/>
    <w:rsid w:val="0054668B"/>
    <w:rsid w:val="0054681B"/>
    <w:rsid w:val="00546CBD"/>
    <w:rsid w:val="00546D98"/>
    <w:rsid w:val="00546F89"/>
    <w:rsid w:val="0054779A"/>
    <w:rsid w:val="00547BA1"/>
    <w:rsid w:val="00547F5A"/>
    <w:rsid w:val="00550231"/>
    <w:rsid w:val="00550700"/>
    <w:rsid w:val="00550D60"/>
    <w:rsid w:val="0055121B"/>
    <w:rsid w:val="005528D2"/>
    <w:rsid w:val="00552F8D"/>
    <w:rsid w:val="00552FAC"/>
    <w:rsid w:val="005531CF"/>
    <w:rsid w:val="00553EDB"/>
    <w:rsid w:val="005549C8"/>
    <w:rsid w:val="00554FA1"/>
    <w:rsid w:val="005550C4"/>
    <w:rsid w:val="00555982"/>
    <w:rsid w:val="00556101"/>
    <w:rsid w:val="00556BA3"/>
    <w:rsid w:val="00557069"/>
    <w:rsid w:val="0055739E"/>
    <w:rsid w:val="00557593"/>
    <w:rsid w:val="00557CB1"/>
    <w:rsid w:val="00557E0F"/>
    <w:rsid w:val="005602F9"/>
    <w:rsid w:val="0056072C"/>
    <w:rsid w:val="0056091E"/>
    <w:rsid w:val="00560DEB"/>
    <w:rsid w:val="00561371"/>
    <w:rsid w:val="00561465"/>
    <w:rsid w:val="005614E2"/>
    <w:rsid w:val="0056172D"/>
    <w:rsid w:val="005618EA"/>
    <w:rsid w:val="00561FE8"/>
    <w:rsid w:val="005634D5"/>
    <w:rsid w:val="005635F3"/>
    <w:rsid w:val="0056411C"/>
    <w:rsid w:val="0056471A"/>
    <w:rsid w:val="0056510C"/>
    <w:rsid w:val="005657A8"/>
    <w:rsid w:val="00565B4C"/>
    <w:rsid w:val="00565DA3"/>
    <w:rsid w:val="005663FF"/>
    <w:rsid w:val="005664EC"/>
    <w:rsid w:val="00566A35"/>
    <w:rsid w:val="00566DDE"/>
    <w:rsid w:val="00567495"/>
    <w:rsid w:val="005677E5"/>
    <w:rsid w:val="005700D2"/>
    <w:rsid w:val="005701A5"/>
    <w:rsid w:val="005703B6"/>
    <w:rsid w:val="00570BA7"/>
    <w:rsid w:val="00570D24"/>
    <w:rsid w:val="00570E05"/>
    <w:rsid w:val="005710FB"/>
    <w:rsid w:val="005713AE"/>
    <w:rsid w:val="005741A2"/>
    <w:rsid w:val="00574A69"/>
    <w:rsid w:val="00574C1A"/>
    <w:rsid w:val="00574DA5"/>
    <w:rsid w:val="00574EAD"/>
    <w:rsid w:val="00574EDB"/>
    <w:rsid w:val="005750F9"/>
    <w:rsid w:val="00575C3E"/>
    <w:rsid w:val="00576266"/>
    <w:rsid w:val="00576611"/>
    <w:rsid w:val="00577E4E"/>
    <w:rsid w:val="00577ECA"/>
    <w:rsid w:val="00580EEB"/>
    <w:rsid w:val="00580FCF"/>
    <w:rsid w:val="00581B88"/>
    <w:rsid w:val="00581E42"/>
    <w:rsid w:val="005825D4"/>
    <w:rsid w:val="00582DCD"/>
    <w:rsid w:val="00582FEC"/>
    <w:rsid w:val="00583673"/>
    <w:rsid w:val="005836F4"/>
    <w:rsid w:val="00583BCC"/>
    <w:rsid w:val="00583D08"/>
    <w:rsid w:val="00583DE2"/>
    <w:rsid w:val="00583F06"/>
    <w:rsid w:val="0058512E"/>
    <w:rsid w:val="005857B2"/>
    <w:rsid w:val="00585CB5"/>
    <w:rsid w:val="005862C5"/>
    <w:rsid w:val="005873B1"/>
    <w:rsid w:val="00587BE7"/>
    <w:rsid w:val="00587CBC"/>
    <w:rsid w:val="00587EB5"/>
    <w:rsid w:val="00590008"/>
    <w:rsid w:val="005903A4"/>
    <w:rsid w:val="00590A85"/>
    <w:rsid w:val="00590BAE"/>
    <w:rsid w:val="00590CAA"/>
    <w:rsid w:val="00591092"/>
    <w:rsid w:val="0059203B"/>
    <w:rsid w:val="00592427"/>
    <w:rsid w:val="005926FF"/>
    <w:rsid w:val="00592F52"/>
    <w:rsid w:val="00593554"/>
    <w:rsid w:val="00593AC7"/>
    <w:rsid w:val="00594ECD"/>
    <w:rsid w:val="005950C4"/>
    <w:rsid w:val="00595213"/>
    <w:rsid w:val="005957C5"/>
    <w:rsid w:val="00595DF1"/>
    <w:rsid w:val="00595F7B"/>
    <w:rsid w:val="00596524"/>
    <w:rsid w:val="00596B13"/>
    <w:rsid w:val="00597D35"/>
    <w:rsid w:val="005A1277"/>
    <w:rsid w:val="005A138D"/>
    <w:rsid w:val="005A1A45"/>
    <w:rsid w:val="005A1DA8"/>
    <w:rsid w:val="005A22A8"/>
    <w:rsid w:val="005A2479"/>
    <w:rsid w:val="005A254A"/>
    <w:rsid w:val="005A3276"/>
    <w:rsid w:val="005A389B"/>
    <w:rsid w:val="005A3BEE"/>
    <w:rsid w:val="005A49FA"/>
    <w:rsid w:val="005A4A36"/>
    <w:rsid w:val="005A6261"/>
    <w:rsid w:val="005A62D6"/>
    <w:rsid w:val="005A648E"/>
    <w:rsid w:val="005A66F1"/>
    <w:rsid w:val="005A6D6D"/>
    <w:rsid w:val="005A6E49"/>
    <w:rsid w:val="005A6EA2"/>
    <w:rsid w:val="005A712A"/>
    <w:rsid w:val="005A71E0"/>
    <w:rsid w:val="005A7264"/>
    <w:rsid w:val="005A72DF"/>
    <w:rsid w:val="005A74E0"/>
    <w:rsid w:val="005A773E"/>
    <w:rsid w:val="005A7ACB"/>
    <w:rsid w:val="005A7B49"/>
    <w:rsid w:val="005A7C91"/>
    <w:rsid w:val="005B013F"/>
    <w:rsid w:val="005B0485"/>
    <w:rsid w:val="005B10A8"/>
    <w:rsid w:val="005B10C0"/>
    <w:rsid w:val="005B1500"/>
    <w:rsid w:val="005B1601"/>
    <w:rsid w:val="005B22E4"/>
    <w:rsid w:val="005B2999"/>
    <w:rsid w:val="005B2C4C"/>
    <w:rsid w:val="005B2DCD"/>
    <w:rsid w:val="005B3B22"/>
    <w:rsid w:val="005B3DB7"/>
    <w:rsid w:val="005B4052"/>
    <w:rsid w:val="005B4295"/>
    <w:rsid w:val="005B4CFC"/>
    <w:rsid w:val="005B52E9"/>
    <w:rsid w:val="005B58B0"/>
    <w:rsid w:val="005B62D8"/>
    <w:rsid w:val="005B64FE"/>
    <w:rsid w:val="005B6D62"/>
    <w:rsid w:val="005B6E0D"/>
    <w:rsid w:val="005B7CC9"/>
    <w:rsid w:val="005C0298"/>
    <w:rsid w:val="005C0316"/>
    <w:rsid w:val="005C0769"/>
    <w:rsid w:val="005C0CE0"/>
    <w:rsid w:val="005C18BF"/>
    <w:rsid w:val="005C1C78"/>
    <w:rsid w:val="005C2BA7"/>
    <w:rsid w:val="005C2BE1"/>
    <w:rsid w:val="005C2F88"/>
    <w:rsid w:val="005C33CD"/>
    <w:rsid w:val="005C360A"/>
    <w:rsid w:val="005C41FD"/>
    <w:rsid w:val="005C4D45"/>
    <w:rsid w:val="005C54DD"/>
    <w:rsid w:val="005C55B2"/>
    <w:rsid w:val="005C5FDD"/>
    <w:rsid w:val="005C6589"/>
    <w:rsid w:val="005C679B"/>
    <w:rsid w:val="005C67C3"/>
    <w:rsid w:val="005C6E12"/>
    <w:rsid w:val="005C6E35"/>
    <w:rsid w:val="005C7D05"/>
    <w:rsid w:val="005C7EE9"/>
    <w:rsid w:val="005D07D4"/>
    <w:rsid w:val="005D12C9"/>
    <w:rsid w:val="005D1B29"/>
    <w:rsid w:val="005D1E5F"/>
    <w:rsid w:val="005D221C"/>
    <w:rsid w:val="005D2914"/>
    <w:rsid w:val="005D2A43"/>
    <w:rsid w:val="005D31D4"/>
    <w:rsid w:val="005D37D4"/>
    <w:rsid w:val="005D4599"/>
    <w:rsid w:val="005D479C"/>
    <w:rsid w:val="005D573E"/>
    <w:rsid w:val="005D58D2"/>
    <w:rsid w:val="005D6EA0"/>
    <w:rsid w:val="005D74E0"/>
    <w:rsid w:val="005D77ED"/>
    <w:rsid w:val="005E0877"/>
    <w:rsid w:val="005E09DF"/>
    <w:rsid w:val="005E0D73"/>
    <w:rsid w:val="005E1013"/>
    <w:rsid w:val="005E1901"/>
    <w:rsid w:val="005E1DD6"/>
    <w:rsid w:val="005E2699"/>
    <w:rsid w:val="005E2E91"/>
    <w:rsid w:val="005E308A"/>
    <w:rsid w:val="005E3188"/>
    <w:rsid w:val="005E394F"/>
    <w:rsid w:val="005E4D31"/>
    <w:rsid w:val="005E615F"/>
    <w:rsid w:val="005E62F9"/>
    <w:rsid w:val="005E6444"/>
    <w:rsid w:val="005E6FD9"/>
    <w:rsid w:val="005E76E2"/>
    <w:rsid w:val="005E7B36"/>
    <w:rsid w:val="005E7F05"/>
    <w:rsid w:val="005E7F44"/>
    <w:rsid w:val="005F0211"/>
    <w:rsid w:val="005F02E6"/>
    <w:rsid w:val="005F10F1"/>
    <w:rsid w:val="005F1716"/>
    <w:rsid w:val="005F1911"/>
    <w:rsid w:val="005F218E"/>
    <w:rsid w:val="005F2356"/>
    <w:rsid w:val="005F2463"/>
    <w:rsid w:val="005F24D0"/>
    <w:rsid w:val="005F28F4"/>
    <w:rsid w:val="005F2C0E"/>
    <w:rsid w:val="005F2CBA"/>
    <w:rsid w:val="005F2D51"/>
    <w:rsid w:val="005F2D94"/>
    <w:rsid w:val="005F3216"/>
    <w:rsid w:val="005F3888"/>
    <w:rsid w:val="005F46C7"/>
    <w:rsid w:val="005F46F0"/>
    <w:rsid w:val="005F4A95"/>
    <w:rsid w:val="005F4DFE"/>
    <w:rsid w:val="005F4EF9"/>
    <w:rsid w:val="005F4F5A"/>
    <w:rsid w:val="005F5406"/>
    <w:rsid w:val="005F54C0"/>
    <w:rsid w:val="005F6271"/>
    <w:rsid w:val="005F6AEE"/>
    <w:rsid w:val="005F7075"/>
    <w:rsid w:val="005F734A"/>
    <w:rsid w:val="005F7E6C"/>
    <w:rsid w:val="00600C04"/>
    <w:rsid w:val="006015AE"/>
    <w:rsid w:val="006017B1"/>
    <w:rsid w:val="00601CDE"/>
    <w:rsid w:val="00601DBC"/>
    <w:rsid w:val="00601EA1"/>
    <w:rsid w:val="00602103"/>
    <w:rsid w:val="00602681"/>
    <w:rsid w:val="006033A4"/>
    <w:rsid w:val="00603A8D"/>
    <w:rsid w:val="00603B0D"/>
    <w:rsid w:val="0060548D"/>
    <w:rsid w:val="00606354"/>
    <w:rsid w:val="0060685F"/>
    <w:rsid w:val="00607066"/>
    <w:rsid w:val="00607197"/>
    <w:rsid w:val="00607371"/>
    <w:rsid w:val="006076CB"/>
    <w:rsid w:val="00607A16"/>
    <w:rsid w:val="00610252"/>
    <w:rsid w:val="00610357"/>
    <w:rsid w:val="006105CD"/>
    <w:rsid w:val="006109F8"/>
    <w:rsid w:val="00610F04"/>
    <w:rsid w:val="006119E3"/>
    <w:rsid w:val="006123A0"/>
    <w:rsid w:val="006125BB"/>
    <w:rsid w:val="006130CF"/>
    <w:rsid w:val="00613ACE"/>
    <w:rsid w:val="00613F12"/>
    <w:rsid w:val="00613F54"/>
    <w:rsid w:val="006145E5"/>
    <w:rsid w:val="006147EA"/>
    <w:rsid w:val="006148D8"/>
    <w:rsid w:val="0061497E"/>
    <w:rsid w:val="00614DE0"/>
    <w:rsid w:val="006154C8"/>
    <w:rsid w:val="006158E9"/>
    <w:rsid w:val="006160A1"/>
    <w:rsid w:val="00616859"/>
    <w:rsid w:val="00616CB0"/>
    <w:rsid w:val="00617178"/>
    <w:rsid w:val="00620751"/>
    <w:rsid w:val="0062106F"/>
    <w:rsid w:val="006217C0"/>
    <w:rsid w:val="00621C60"/>
    <w:rsid w:val="00622EF3"/>
    <w:rsid w:val="00623075"/>
    <w:rsid w:val="00623672"/>
    <w:rsid w:val="00623910"/>
    <w:rsid w:val="00624219"/>
    <w:rsid w:val="00624A27"/>
    <w:rsid w:val="00624D74"/>
    <w:rsid w:val="00626288"/>
    <w:rsid w:val="00626674"/>
    <w:rsid w:val="00626814"/>
    <w:rsid w:val="0062716D"/>
    <w:rsid w:val="00627AF2"/>
    <w:rsid w:val="00627BCF"/>
    <w:rsid w:val="0063016A"/>
    <w:rsid w:val="0063035C"/>
    <w:rsid w:val="00630975"/>
    <w:rsid w:val="00630FC5"/>
    <w:rsid w:val="00631408"/>
    <w:rsid w:val="006318D3"/>
    <w:rsid w:val="006329BC"/>
    <w:rsid w:val="00632A30"/>
    <w:rsid w:val="00632F94"/>
    <w:rsid w:val="0063380A"/>
    <w:rsid w:val="00633F1D"/>
    <w:rsid w:val="0063420C"/>
    <w:rsid w:val="006345A9"/>
    <w:rsid w:val="00634CC6"/>
    <w:rsid w:val="0063518A"/>
    <w:rsid w:val="00635360"/>
    <w:rsid w:val="00635BE2"/>
    <w:rsid w:val="0063632F"/>
    <w:rsid w:val="006365D5"/>
    <w:rsid w:val="00636EB2"/>
    <w:rsid w:val="00640DA6"/>
    <w:rsid w:val="00640E38"/>
    <w:rsid w:val="00640FA2"/>
    <w:rsid w:val="00641554"/>
    <w:rsid w:val="00641F48"/>
    <w:rsid w:val="0064210F"/>
    <w:rsid w:val="0064230A"/>
    <w:rsid w:val="006429C4"/>
    <w:rsid w:val="006436F8"/>
    <w:rsid w:val="00643D23"/>
    <w:rsid w:val="0064444C"/>
    <w:rsid w:val="0064538E"/>
    <w:rsid w:val="00645D3E"/>
    <w:rsid w:val="0064605F"/>
    <w:rsid w:val="00646136"/>
    <w:rsid w:val="0064677A"/>
    <w:rsid w:val="006473E9"/>
    <w:rsid w:val="00647DF2"/>
    <w:rsid w:val="0065025F"/>
    <w:rsid w:val="006502C5"/>
    <w:rsid w:val="00650788"/>
    <w:rsid w:val="00650C56"/>
    <w:rsid w:val="00650D76"/>
    <w:rsid w:val="006512C4"/>
    <w:rsid w:val="006514D6"/>
    <w:rsid w:val="006519AB"/>
    <w:rsid w:val="00651DCB"/>
    <w:rsid w:val="00652858"/>
    <w:rsid w:val="006531D0"/>
    <w:rsid w:val="00653279"/>
    <w:rsid w:val="006535C6"/>
    <w:rsid w:val="006537F3"/>
    <w:rsid w:val="00653DD7"/>
    <w:rsid w:val="00654AB7"/>
    <w:rsid w:val="006558DC"/>
    <w:rsid w:val="00655B07"/>
    <w:rsid w:val="00656B27"/>
    <w:rsid w:val="00657588"/>
    <w:rsid w:val="00657F8B"/>
    <w:rsid w:val="00660401"/>
    <w:rsid w:val="006604DC"/>
    <w:rsid w:val="00661223"/>
    <w:rsid w:val="006618FC"/>
    <w:rsid w:val="006619E7"/>
    <w:rsid w:val="00661A05"/>
    <w:rsid w:val="0066302D"/>
    <w:rsid w:val="0066319A"/>
    <w:rsid w:val="00663542"/>
    <w:rsid w:val="00663601"/>
    <w:rsid w:val="00663D00"/>
    <w:rsid w:val="00663E86"/>
    <w:rsid w:val="00664239"/>
    <w:rsid w:val="00664278"/>
    <w:rsid w:val="0066436B"/>
    <w:rsid w:val="00665133"/>
    <w:rsid w:val="00665467"/>
    <w:rsid w:val="00665B4B"/>
    <w:rsid w:val="0066619A"/>
    <w:rsid w:val="00666519"/>
    <w:rsid w:val="0066692C"/>
    <w:rsid w:val="00667A43"/>
    <w:rsid w:val="00670575"/>
    <w:rsid w:val="00670B15"/>
    <w:rsid w:val="00671103"/>
    <w:rsid w:val="0067194F"/>
    <w:rsid w:val="00671B7E"/>
    <w:rsid w:val="00671BA3"/>
    <w:rsid w:val="00672D7E"/>
    <w:rsid w:val="00672DCB"/>
    <w:rsid w:val="0067354B"/>
    <w:rsid w:val="0067358E"/>
    <w:rsid w:val="00673CE3"/>
    <w:rsid w:val="00674C80"/>
    <w:rsid w:val="00675BB5"/>
    <w:rsid w:val="0067624E"/>
    <w:rsid w:val="006767BC"/>
    <w:rsid w:val="0067687A"/>
    <w:rsid w:val="00676BD0"/>
    <w:rsid w:val="00676C19"/>
    <w:rsid w:val="00676D92"/>
    <w:rsid w:val="00677199"/>
    <w:rsid w:val="00677872"/>
    <w:rsid w:val="0068145C"/>
    <w:rsid w:val="00681A06"/>
    <w:rsid w:val="00681D75"/>
    <w:rsid w:val="00681E83"/>
    <w:rsid w:val="006822E1"/>
    <w:rsid w:val="0068242E"/>
    <w:rsid w:val="006826DD"/>
    <w:rsid w:val="00682710"/>
    <w:rsid w:val="0068319F"/>
    <w:rsid w:val="006832CB"/>
    <w:rsid w:val="00683B9F"/>
    <w:rsid w:val="00683F60"/>
    <w:rsid w:val="00684207"/>
    <w:rsid w:val="00684637"/>
    <w:rsid w:val="00684827"/>
    <w:rsid w:val="006848D2"/>
    <w:rsid w:val="00684BAF"/>
    <w:rsid w:val="00684C54"/>
    <w:rsid w:val="00685FCE"/>
    <w:rsid w:val="00685FE4"/>
    <w:rsid w:val="00687062"/>
    <w:rsid w:val="006875EB"/>
    <w:rsid w:val="00690941"/>
    <w:rsid w:val="00690A89"/>
    <w:rsid w:val="00690D20"/>
    <w:rsid w:val="006914B1"/>
    <w:rsid w:val="0069177F"/>
    <w:rsid w:val="00692238"/>
    <w:rsid w:val="00692821"/>
    <w:rsid w:val="006928E8"/>
    <w:rsid w:val="00692A54"/>
    <w:rsid w:val="00693695"/>
    <w:rsid w:val="0069377E"/>
    <w:rsid w:val="006946C1"/>
    <w:rsid w:val="00694DAE"/>
    <w:rsid w:val="006962DE"/>
    <w:rsid w:val="00696EBB"/>
    <w:rsid w:val="006A02A2"/>
    <w:rsid w:val="006A0BDF"/>
    <w:rsid w:val="006A1ECC"/>
    <w:rsid w:val="006A1F10"/>
    <w:rsid w:val="006A2B5A"/>
    <w:rsid w:val="006A2CEB"/>
    <w:rsid w:val="006A2D74"/>
    <w:rsid w:val="006A4B5D"/>
    <w:rsid w:val="006A4D4E"/>
    <w:rsid w:val="006A744D"/>
    <w:rsid w:val="006B09D2"/>
    <w:rsid w:val="006B0B35"/>
    <w:rsid w:val="006B0CD9"/>
    <w:rsid w:val="006B16A6"/>
    <w:rsid w:val="006B18ED"/>
    <w:rsid w:val="006B1BBE"/>
    <w:rsid w:val="006B2469"/>
    <w:rsid w:val="006B277F"/>
    <w:rsid w:val="006B27A4"/>
    <w:rsid w:val="006B3049"/>
    <w:rsid w:val="006B32B8"/>
    <w:rsid w:val="006B3451"/>
    <w:rsid w:val="006B3945"/>
    <w:rsid w:val="006B3BF3"/>
    <w:rsid w:val="006B5D12"/>
    <w:rsid w:val="006B5F5C"/>
    <w:rsid w:val="006B5FDE"/>
    <w:rsid w:val="006B630A"/>
    <w:rsid w:val="006B634F"/>
    <w:rsid w:val="006B6358"/>
    <w:rsid w:val="006B6746"/>
    <w:rsid w:val="006B6DD8"/>
    <w:rsid w:val="006B6EFA"/>
    <w:rsid w:val="006B6FED"/>
    <w:rsid w:val="006B740F"/>
    <w:rsid w:val="006B7541"/>
    <w:rsid w:val="006B7C24"/>
    <w:rsid w:val="006C0380"/>
    <w:rsid w:val="006C039A"/>
    <w:rsid w:val="006C0B1E"/>
    <w:rsid w:val="006C0E09"/>
    <w:rsid w:val="006C0EB6"/>
    <w:rsid w:val="006C0F92"/>
    <w:rsid w:val="006C10C6"/>
    <w:rsid w:val="006C1577"/>
    <w:rsid w:val="006C174D"/>
    <w:rsid w:val="006C1843"/>
    <w:rsid w:val="006C1A37"/>
    <w:rsid w:val="006C1C21"/>
    <w:rsid w:val="006C1D26"/>
    <w:rsid w:val="006C2BEF"/>
    <w:rsid w:val="006C353C"/>
    <w:rsid w:val="006C41B3"/>
    <w:rsid w:val="006C4341"/>
    <w:rsid w:val="006C5881"/>
    <w:rsid w:val="006C5ACD"/>
    <w:rsid w:val="006C6300"/>
    <w:rsid w:val="006C7046"/>
    <w:rsid w:val="006C704F"/>
    <w:rsid w:val="006C73CB"/>
    <w:rsid w:val="006C791A"/>
    <w:rsid w:val="006D0288"/>
    <w:rsid w:val="006D0D79"/>
    <w:rsid w:val="006D1544"/>
    <w:rsid w:val="006D16C7"/>
    <w:rsid w:val="006D1B41"/>
    <w:rsid w:val="006D22EC"/>
    <w:rsid w:val="006D2A55"/>
    <w:rsid w:val="006D3697"/>
    <w:rsid w:val="006D36B7"/>
    <w:rsid w:val="006D3740"/>
    <w:rsid w:val="006D3A49"/>
    <w:rsid w:val="006D3BAD"/>
    <w:rsid w:val="006D4EDA"/>
    <w:rsid w:val="006D5DB5"/>
    <w:rsid w:val="006D6282"/>
    <w:rsid w:val="006D63E0"/>
    <w:rsid w:val="006D6757"/>
    <w:rsid w:val="006D686D"/>
    <w:rsid w:val="006E0A97"/>
    <w:rsid w:val="006E0C08"/>
    <w:rsid w:val="006E0D40"/>
    <w:rsid w:val="006E1385"/>
    <w:rsid w:val="006E16F1"/>
    <w:rsid w:val="006E1721"/>
    <w:rsid w:val="006E2063"/>
    <w:rsid w:val="006E2289"/>
    <w:rsid w:val="006E259F"/>
    <w:rsid w:val="006E31CF"/>
    <w:rsid w:val="006E3582"/>
    <w:rsid w:val="006E359B"/>
    <w:rsid w:val="006E367C"/>
    <w:rsid w:val="006E36C9"/>
    <w:rsid w:val="006E494C"/>
    <w:rsid w:val="006E561C"/>
    <w:rsid w:val="006E5A4D"/>
    <w:rsid w:val="006E65A3"/>
    <w:rsid w:val="006E6959"/>
    <w:rsid w:val="006E69B8"/>
    <w:rsid w:val="006E6AAE"/>
    <w:rsid w:val="006E6C05"/>
    <w:rsid w:val="006E7077"/>
    <w:rsid w:val="006E72E9"/>
    <w:rsid w:val="006E74D9"/>
    <w:rsid w:val="006E75BF"/>
    <w:rsid w:val="006E7FDC"/>
    <w:rsid w:val="006F09B5"/>
    <w:rsid w:val="006F10B8"/>
    <w:rsid w:val="006F1169"/>
    <w:rsid w:val="006F1349"/>
    <w:rsid w:val="006F201F"/>
    <w:rsid w:val="006F257B"/>
    <w:rsid w:val="006F281A"/>
    <w:rsid w:val="006F2C03"/>
    <w:rsid w:val="006F3390"/>
    <w:rsid w:val="006F3707"/>
    <w:rsid w:val="006F3E2D"/>
    <w:rsid w:val="006F3F76"/>
    <w:rsid w:val="006F3FE3"/>
    <w:rsid w:val="006F4172"/>
    <w:rsid w:val="006F48B3"/>
    <w:rsid w:val="006F48B8"/>
    <w:rsid w:val="006F4ACE"/>
    <w:rsid w:val="006F4E7D"/>
    <w:rsid w:val="006F5140"/>
    <w:rsid w:val="006F553C"/>
    <w:rsid w:val="006F5924"/>
    <w:rsid w:val="006F6258"/>
    <w:rsid w:val="006F6405"/>
    <w:rsid w:val="006F65E1"/>
    <w:rsid w:val="006F7896"/>
    <w:rsid w:val="006F7F8E"/>
    <w:rsid w:val="0070033E"/>
    <w:rsid w:val="007004BF"/>
    <w:rsid w:val="00700726"/>
    <w:rsid w:val="00700965"/>
    <w:rsid w:val="00700B5A"/>
    <w:rsid w:val="00700C9F"/>
    <w:rsid w:val="007011D3"/>
    <w:rsid w:val="0070139C"/>
    <w:rsid w:val="00701552"/>
    <w:rsid w:val="00704300"/>
    <w:rsid w:val="0070454A"/>
    <w:rsid w:val="00704AE6"/>
    <w:rsid w:val="00704B44"/>
    <w:rsid w:val="00704D73"/>
    <w:rsid w:val="00704FDE"/>
    <w:rsid w:val="00705448"/>
    <w:rsid w:val="007055A1"/>
    <w:rsid w:val="00705E9A"/>
    <w:rsid w:val="0070632D"/>
    <w:rsid w:val="007064FC"/>
    <w:rsid w:val="0070681C"/>
    <w:rsid w:val="00706AD9"/>
    <w:rsid w:val="007072EF"/>
    <w:rsid w:val="007078EF"/>
    <w:rsid w:val="00707D81"/>
    <w:rsid w:val="00710280"/>
    <w:rsid w:val="007109A6"/>
    <w:rsid w:val="007122EC"/>
    <w:rsid w:val="007129E8"/>
    <w:rsid w:val="00713C3F"/>
    <w:rsid w:val="00714504"/>
    <w:rsid w:val="0071486F"/>
    <w:rsid w:val="00714E34"/>
    <w:rsid w:val="007151F7"/>
    <w:rsid w:val="00715E30"/>
    <w:rsid w:val="007164B2"/>
    <w:rsid w:val="00716A83"/>
    <w:rsid w:val="00716DB3"/>
    <w:rsid w:val="0071742A"/>
    <w:rsid w:val="007202AC"/>
    <w:rsid w:val="0072113E"/>
    <w:rsid w:val="0072151F"/>
    <w:rsid w:val="00721F38"/>
    <w:rsid w:val="00722562"/>
    <w:rsid w:val="00722954"/>
    <w:rsid w:val="00722A30"/>
    <w:rsid w:val="00723453"/>
    <w:rsid w:val="007234EE"/>
    <w:rsid w:val="00724A9D"/>
    <w:rsid w:val="00724B82"/>
    <w:rsid w:val="00724C70"/>
    <w:rsid w:val="0072526A"/>
    <w:rsid w:val="007259C4"/>
    <w:rsid w:val="00726F1D"/>
    <w:rsid w:val="00727042"/>
    <w:rsid w:val="00727DF6"/>
    <w:rsid w:val="00727EED"/>
    <w:rsid w:val="00730367"/>
    <w:rsid w:val="007306BA"/>
    <w:rsid w:val="0073096E"/>
    <w:rsid w:val="00730B11"/>
    <w:rsid w:val="00730E8F"/>
    <w:rsid w:val="007310D9"/>
    <w:rsid w:val="007317A1"/>
    <w:rsid w:val="00731B94"/>
    <w:rsid w:val="00731D48"/>
    <w:rsid w:val="00732149"/>
    <w:rsid w:val="00732B51"/>
    <w:rsid w:val="00732E3A"/>
    <w:rsid w:val="00733D6C"/>
    <w:rsid w:val="00733D9F"/>
    <w:rsid w:val="00734484"/>
    <w:rsid w:val="00734C21"/>
    <w:rsid w:val="00735407"/>
    <w:rsid w:val="0073558C"/>
    <w:rsid w:val="00735EEA"/>
    <w:rsid w:val="0073614B"/>
    <w:rsid w:val="00736DD1"/>
    <w:rsid w:val="00736FCC"/>
    <w:rsid w:val="00737118"/>
    <w:rsid w:val="0074008C"/>
    <w:rsid w:val="00740872"/>
    <w:rsid w:val="00740F43"/>
    <w:rsid w:val="007410DE"/>
    <w:rsid w:val="00741EB0"/>
    <w:rsid w:val="00742076"/>
    <w:rsid w:val="007423DD"/>
    <w:rsid w:val="007423ED"/>
    <w:rsid w:val="00742E3F"/>
    <w:rsid w:val="00744C93"/>
    <w:rsid w:val="00744F5A"/>
    <w:rsid w:val="00744F8C"/>
    <w:rsid w:val="00745130"/>
    <w:rsid w:val="00745136"/>
    <w:rsid w:val="00745141"/>
    <w:rsid w:val="00745A15"/>
    <w:rsid w:val="00745DD2"/>
    <w:rsid w:val="00746688"/>
    <w:rsid w:val="0074672B"/>
    <w:rsid w:val="007468A5"/>
    <w:rsid w:val="007474F3"/>
    <w:rsid w:val="0074788F"/>
    <w:rsid w:val="00747F43"/>
    <w:rsid w:val="007501DB"/>
    <w:rsid w:val="00750A9F"/>
    <w:rsid w:val="00750C70"/>
    <w:rsid w:val="00751354"/>
    <w:rsid w:val="00751964"/>
    <w:rsid w:val="00752057"/>
    <w:rsid w:val="007526F6"/>
    <w:rsid w:val="00752ED8"/>
    <w:rsid w:val="007535A1"/>
    <w:rsid w:val="007536D8"/>
    <w:rsid w:val="00754563"/>
    <w:rsid w:val="007546F2"/>
    <w:rsid w:val="00754DC3"/>
    <w:rsid w:val="00755AD4"/>
    <w:rsid w:val="00755EB4"/>
    <w:rsid w:val="00756909"/>
    <w:rsid w:val="00756EAE"/>
    <w:rsid w:val="00757D82"/>
    <w:rsid w:val="00757FAD"/>
    <w:rsid w:val="007600E0"/>
    <w:rsid w:val="0076035A"/>
    <w:rsid w:val="00760707"/>
    <w:rsid w:val="00760D10"/>
    <w:rsid w:val="00760F06"/>
    <w:rsid w:val="00761188"/>
    <w:rsid w:val="00762108"/>
    <w:rsid w:val="007629FB"/>
    <w:rsid w:val="007639DB"/>
    <w:rsid w:val="00763B15"/>
    <w:rsid w:val="00764048"/>
    <w:rsid w:val="00765044"/>
    <w:rsid w:val="0076735A"/>
    <w:rsid w:val="007676F8"/>
    <w:rsid w:val="00770E38"/>
    <w:rsid w:val="00770F2F"/>
    <w:rsid w:val="007718CD"/>
    <w:rsid w:val="0077253D"/>
    <w:rsid w:val="007729AF"/>
    <w:rsid w:val="00772FA5"/>
    <w:rsid w:val="00773524"/>
    <w:rsid w:val="00773DF7"/>
    <w:rsid w:val="007743A8"/>
    <w:rsid w:val="007747C6"/>
    <w:rsid w:val="007751DE"/>
    <w:rsid w:val="007765EC"/>
    <w:rsid w:val="00776616"/>
    <w:rsid w:val="00776A5F"/>
    <w:rsid w:val="00776AF1"/>
    <w:rsid w:val="007771C5"/>
    <w:rsid w:val="00777574"/>
    <w:rsid w:val="00777A30"/>
    <w:rsid w:val="00777F24"/>
    <w:rsid w:val="00780852"/>
    <w:rsid w:val="00780BC9"/>
    <w:rsid w:val="0078133D"/>
    <w:rsid w:val="007814A3"/>
    <w:rsid w:val="00781961"/>
    <w:rsid w:val="00781A4F"/>
    <w:rsid w:val="00781E34"/>
    <w:rsid w:val="00783C03"/>
    <w:rsid w:val="0078459D"/>
    <w:rsid w:val="00785785"/>
    <w:rsid w:val="00785EB8"/>
    <w:rsid w:val="00786428"/>
    <w:rsid w:val="00786677"/>
    <w:rsid w:val="00786A79"/>
    <w:rsid w:val="00790391"/>
    <w:rsid w:val="0079055E"/>
    <w:rsid w:val="00791A4D"/>
    <w:rsid w:val="00791B61"/>
    <w:rsid w:val="00791DED"/>
    <w:rsid w:val="00792AA8"/>
    <w:rsid w:val="00792ACA"/>
    <w:rsid w:val="00792C11"/>
    <w:rsid w:val="00792CED"/>
    <w:rsid w:val="00792F01"/>
    <w:rsid w:val="00793175"/>
    <w:rsid w:val="00793418"/>
    <w:rsid w:val="00793AAE"/>
    <w:rsid w:val="00793C10"/>
    <w:rsid w:val="00794972"/>
    <w:rsid w:val="00795ABF"/>
    <w:rsid w:val="00796EE7"/>
    <w:rsid w:val="00797022"/>
    <w:rsid w:val="00797436"/>
    <w:rsid w:val="00797A7E"/>
    <w:rsid w:val="00797F0E"/>
    <w:rsid w:val="007A0074"/>
    <w:rsid w:val="007A0245"/>
    <w:rsid w:val="007A0AA5"/>
    <w:rsid w:val="007A0B38"/>
    <w:rsid w:val="007A10BB"/>
    <w:rsid w:val="007A20AB"/>
    <w:rsid w:val="007A238E"/>
    <w:rsid w:val="007A2947"/>
    <w:rsid w:val="007A2D45"/>
    <w:rsid w:val="007A2ED1"/>
    <w:rsid w:val="007A3ABE"/>
    <w:rsid w:val="007A4189"/>
    <w:rsid w:val="007A446C"/>
    <w:rsid w:val="007A4ABC"/>
    <w:rsid w:val="007A4CB0"/>
    <w:rsid w:val="007A4DC6"/>
    <w:rsid w:val="007A56EF"/>
    <w:rsid w:val="007A5A72"/>
    <w:rsid w:val="007A5B52"/>
    <w:rsid w:val="007A5CC7"/>
    <w:rsid w:val="007A60F8"/>
    <w:rsid w:val="007A62C3"/>
    <w:rsid w:val="007A63E7"/>
    <w:rsid w:val="007A65F5"/>
    <w:rsid w:val="007A6A30"/>
    <w:rsid w:val="007A6D0B"/>
    <w:rsid w:val="007B036F"/>
    <w:rsid w:val="007B0E64"/>
    <w:rsid w:val="007B0E7B"/>
    <w:rsid w:val="007B139B"/>
    <w:rsid w:val="007B2796"/>
    <w:rsid w:val="007B2E40"/>
    <w:rsid w:val="007B2F10"/>
    <w:rsid w:val="007B3043"/>
    <w:rsid w:val="007B3305"/>
    <w:rsid w:val="007B341B"/>
    <w:rsid w:val="007B36A4"/>
    <w:rsid w:val="007B3C02"/>
    <w:rsid w:val="007B3F35"/>
    <w:rsid w:val="007B4102"/>
    <w:rsid w:val="007B42E4"/>
    <w:rsid w:val="007B4B23"/>
    <w:rsid w:val="007B4E59"/>
    <w:rsid w:val="007B503B"/>
    <w:rsid w:val="007B5389"/>
    <w:rsid w:val="007B5788"/>
    <w:rsid w:val="007B58A1"/>
    <w:rsid w:val="007B5A2A"/>
    <w:rsid w:val="007B61F5"/>
    <w:rsid w:val="007B651A"/>
    <w:rsid w:val="007B6648"/>
    <w:rsid w:val="007B6669"/>
    <w:rsid w:val="007B6683"/>
    <w:rsid w:val="007B6A56"/>
    <w:rsid w:val="007B6E65"/>
    <w:rsid w:val="007B72EE"/>
    <w:rsid w:val="007B72FE"/>
    <w:rsid w:val="007B74BC"/>
    <w:rsid w:val="007B7F7E"/>
    <w:rsid w:val="007C06B2"/>
    <w:rsid w:val="007C0A17"/>
    <w:rsid w:val="007C0E99"/>
    <w:rsid w:val="007C0F1E"/>
    <w:rsid w:val="007C1AE1"/>
    <w:rsid w:val="007C311B"/>
    <w:rsid w:val="007C4188"/>
    <w:rsid w:val="007C462E"/>
    <w:rsid w:val="007C506B"/>
    <w:rsid w:val="007C5073"/>
    <w:rsid w:val="007C50D3"/>
    <w:rsid w:val="007C52B9"/>
    <w:rsid w:val="007C5451"/>
    <w:rsid w:val="007C5462"/>
    <w:rsid w:val="007C58CC"/>
    <w:rsid w:val="007C5EAD"/>
    <w:rsid w:val="007C66C6"/>
    <w:rsid w:val="007C6CDF"/>
    <w:rsid w:val="007C6F56"/>
    <w:rsid w:val="007C6F8D"/>
    <w:rsid w:val="007C74D5"/>
    <w:rsid w:val="007D0882"/>
    <w:rsid w:val="007D0986"/>
    <w:rsid w:val="007D1996"/>
    <w:rsid w:val="007D19E5"/>
    <w:rsid w:val="007D26F1"/>
    <w:rsid w:val="007D2BD6"/>
    <w:rsid w:val="007D2C56"/>
    <w:rsid w:val="007D2FDB"/>
    <w:rsid w:val="007D35D4"/>
    <w:rsid w:val="007D39F0"/>
    <w:rsid w:val="007D3BCF"/>
    <w:rsid w:val="007D4CE4"/>
    <w:rsid w:val="007D522B"/>
    <w:rsid w:val="007D59A7"/>
    <w:rsid w:val="007D679F"/>
    <w:rsid w:val="007D698B"/>
    <w:rsid w:val="007D6F9E"/>
    <w:rsid w:val="007D7214"/>
    <w:rsid w:val="007D7BB6"/>
    <w:rsid w:val="007D7C37"/>
    <w:rsid w:val="007E09F4"/>
    <w:rsid w:val="007E139A"/>
    <w:rsid w:val="007E289C"/>
    <w:rsid w:val="007E3AF6"/>
    <w:rsid w:val="007E4D28"/>
    <w:rsid w:val="007E4FD0"/>
    <w:rsid w:val="007E56BE"/>
    <w:rsid w:val="007E5712"/>
    <w:rsid w:val="007E5D35"/>
    <w:rsid w:val="007E66A6"/>
    <w:rsid w:val="007E66DA"/>
    <w:rsid w:val="007E7C1E"/>
    <w:rsid w:val="007E7D3C"/>
    <w:rsid w:val="007E7F51"/>
    <w:rsid w:val="007F01E3"/>
    <w:rsid w:val="007F03D0"/>
    <w:rsid w:val="007F045A"/>
    <w:rsid w:val="007F0825"/>
    <w:rsid w:val="007F090C"/>
    <w:rsid w:val="007F0CC9"/>
    <w:rsid w:val="007F1A29"/>
    <w:rsid w:val="007F25DC"/>
    <w:rsid w:val="007F279D"/>
    <w:rsid w:val="007F29F0"/>
    <w:rsid w:val="007F2B1C"/>
    <w:rsid w:val="007F2EFD"/>
    <w:rsid w:val="007F3598"/>
    <w:rsid w:val="007F4126"/>
    <w:rsid w:val="007F49D2"/>
    <w:rsid w:val="007F4CEB"/>
    <w:rsid w:val="007F52A6"/>
    <w:rsid w:val="007F5510"/>
    <w:rsid w:val="007F5789"/>
    <w:rsid w:val="007F60CA"/>
    <w:rsid w:val="007F61A4"/>
    <w:rsid w:val="007F66F8"/>
    <w:rsid w:val="007F6767"/>
    <w:rsid w:val="007F67A4"/>
    <w:rsid w:val="007F67E4"/>
    <w:rsid w:val="007F68DA"/>
    <w:rsid w:val="007F69B7"/>
    <w:rsid w:val="007F6B54"/>
    <w:rsid w:val="007F6C88"/>
    <w:rsid w:val="007F6C99"/>
    <w:rsid w:val="007F6F40"/>
    <w:rsid w:val="007F72BB"/>
    <w:rsid w:val="007F739F"/>
    <w:rsid w:val="008004E7"/>
    <w:rsid w:val="00800629"/>
    <w:rsid w:val="00800B99"/>
    <w:rsid w:val="00800FBE"/>
    <w:rsid w:val="00801349"/>
    <w:rsid w:val="00801BDB"/>
    <w:rsid w:val="00801D20"/>
    <w:rsid w:val="00801D72"/>
    <w:rsid w:val="008026C5"/>
    <w:rsid w:val="0080276C"/>
    <w:rsid w:val="0080287E"/>
    <w:rsid w:val="00802D08"/>
    <w:rsid w:val="00802E0F"/>
    <w:rsid w:val="00802F3A"/>
    <w:rsid w:val="0080384A"/>
    <w:rsid w:val="00804029"/>
    <w:rsid w:val="008041D9"/>
    <w:rsid w:val="00804929"/>
    <w:rsid w:val="00805211"/>
    <w:rsid w:val="00805E11"/>
    <w:rsid w:val="00805F09"/>
    <w:rsid w:val="008060C8"/>
    <w:rsid w:val="008060DD"/>
    <w:rsid w:val="00806139"/>
    <w:rsid w:val="008062B0"/>
    <w:rsid w:val="00806B3D"/>
    <w:rsid w:val="00806EC6"/>
    <w:rsid w:val="008076A1"/>
    <w:rsid w:val="00810A6F"/>
    <w:rsid w:val="00810F44"/>
    <w:rsid w:val="00810F5C"/>
    <w:rsid w:val="0081127E"/>
    <w:rsid w:val="008116EB"/>
    <w:rsid w:val="008118FF"/>
    <w:rsid w:val="00811D30"/>
    <w:rsid w:val="0081235D"/>
    <w:rsid w:val="00812723"/>
    <w:rsid w:val="00812A53"/>
    <w:rsid w:val="00812DD8"/>
    <w:rsid w:val="008146ED"/>
    <w:rsid w:val="00814844"/>
    <w:rsid w:val="00814A6A"/>
    <w:rsid w:val="00814DFC"/>
    <w:rsid w:val="00814E97"/>
    <w:rsid w:val="00814ED4"/>
    <w:rsid w:val="008152E3"/>
    <w:rsid w:val="0081557C"/>
    <w:rsid w:val="00815608"/>
    <w:rsid w:val="008159B1"/>
    <w:rsid w:val="00816059"/>
    <w:rsid w:val="008164F2"/>
    <w:rsid w:val="008165CE"/>
    <w:rsid w:val="00816BD2"/>
    <w:rsid w:val="00816DF9"/>
    <w:rsid w:val="00816E19"/>
    <w:rsid w:val="008175E5"/>
    <w:rsid w:val="00817BDF"/>
    <w:rsid w:val="00817BFC"/>
    <w:rsid w:val="00817C32"/>
    <w:rsid w:val="00820282"/>
    <w:rsid w:val="00820651"/>
    <w:rsid w:val="0082117F"/>
    <w:rsid w:val="008219CA"/>
    <w:rsid w:val="00821CF6"/>
    <w:rsid w:val="00822278"/>
    <w:rsid w:val="00822C16"/>
    <w:rsid w:val="008232B9"/>
    <w:rsid w:val="00824345"/>
    <w:rsid w:val="00824628"/>
    <w:rsid w:val="00826091"/>
    <w:rsid w:val="0082619C"/>
    <w:rsid w:val="00826481"/>
    <w:rsid w:val="0082682E"/>
    <w:rsid w:val="00826A3F"/>
    <w:rsid w:val="00826AA3"/>
    <w:rsid w:val="00831173"/>
    <w:rsid w:val="008318C1"/>
    <w:rsid w:val="00831A0D"/>
    <w:rsid w:val="00832119"/>
    <w:rsid w:val="008324E1"/>
    <w:rsid w:val="00832605"/>
    <w:rsid w:val="00832AAC"/>
    <w:rsid w:val="0083357F"/>
    <w:rsid w:val="00833E8C"/>
    <w:rsid w:val="0083408D"/>
    <w:rsid w:val="00834364"/>
    <w:rsid w:val="0083481A"/>
    <w:rsid w:val="008349FE"/>
    <w:rsid w:val="00835481"/>
    <w:rsid w:val="00836AD2"/>
    <w:rsid w:val="00837041"/>
    <w:rsid w:val="008373A2"/>
    <w:rsid w:val="00837550"/>
    <w:rsid w:val="008375CC"/>
    <w:rsid w:val="008376FE"/>
    <w:rsid w:val="00837B3A"/>
    <w:rsid w:val="00840003"/>
    <w:rsid w:val="0084018D"/>
    <w:rsid w:val="00840A1C"/>
    <w:rsid w:val="00840DE0"/>
    <w:rsid w:val="00840FCE"/>
    <w:rsid w:val="00841241"/>
    <w:rsid w:val="008415CC"/>
    <w:rsid w:val="00841945"/>
    <w:rsid w:val="00842228"/>
    <w:rsid w:val="00842862"/>
    <w:rsid w:val="00842935"/>
    <w:rsid w:val="00842E99"/>
    <w:rsid w:val="00843655"/>
    <w:rsid w:val="008437CD"/>
    <w:rsid w:val="00844193"/>
    <w:rsid w:val="00844A64"/>
    <w:rsid w:val="00844F3E"/>
    <w:rsid w:val="00845199"/>
    <w:rsid w:val="00845EF4"/>
    <w:rsid w:val="0084615A"/>
    <w:rsid w:val="008469C8"/>
    <w:rsid w:val="00847B59"/>
    <w:rsid w:val="00847DFE"/>
    <w:rsid w:val="00847FEB"/>
    <w:rsid w:val="00850288"/>
    <w:rsid w:val="0085038A"/>
    <w:rsid w:val="00850627"/>
    <w:rsid w:val="00850858"/>
    <w:rsid w:val="00851111"/>
    <w:rsid w:val="008511A6"/>
    <w:rsid w:val="008516FE"/>
    <w:rsid w:val="00851E1D"/>
    <w:rsid w:val="00852411"/>
    <w:rsid w:val="008524FF"/>
    <w:rsid w:val="008525CF"/>
    <w:rsid w:val="00852BDE"/>
    <w:rsid w:val="00853196"/>
    <w:rsid w:val="0085404B"/>
    <w:rsid w:val="008542CC"/>
    <w:rsid w:val="00854EFF"/>
    <w:rsid w:val="008552AA"/>
    <w:rsid w:val="0085572E"/>
    <w:rsid w:val="00856B0F"/>
    <w:rsid w:val="00856D1A"/>
    <w:rsid w:val="00856F9D"/>
    <w:rsid w:val="00856FB6"/>
    <w:rsid w:val="00857BF4"/>
    <w:rsid w:val="00860973"/>
    <w:rsid w:val="00860B77"/>
    <w:rsid w:val="00860BAE"/>
    <w:rsid w:val="00861069"/>
    <w:rsid w:val="00861117"/>
    <w:rsid w:val="0086161C"/>
    <w:rsid w:val="0086183E"/>
    <w:rsid w:val="008626BB"/>
    <w:rsid w:val="00862F6C"/>
    <w:rsid w:val="00863065"/>
    <w:rsid w:val="0086337F"/>
    <w:rsid w:val="00863F09"/>
    <w:rsid w:val="00863FA0"/>
    <w:rsid w:val="008640E8"/>
    <w:rsid w:val="00864647"/>
    <w:rsid w:val="008648B5"/>
    <w:rsid w:val="00865A78"/>
    <w:rsid w:val="0086641A"/>
    <w:rsid w:val="008667AC"/>
    <w:rsid w:val="00866BF5"/>
    <w:rsid w:val="00866F8C"/>
    <w:rsid w:val="00867B07"/>
    <w:rsid w:val="00867F68"/>
    <w:rsid w:val="00870A5E"/>
    <w:rsid w:val="00871A1B"/>
    <w:rsid w:val="00871E49"/>
    <w:rsid w:val="00872083"/>
    <w:rsid w:val="00872B21"/>
    <w:rsid w:val="008737D3"/>
    <w:rsid w:val="00873E0E"/>
    <w:rsid w:val="008741E9"/>
    <w:rsid w:val="00874A0F"/>
    <w:rsid w:val="0087508B"/>
    <w:rsid w:val="00875745"/>
    <w:rsid w:val="00876005"/>
    <w:rsid w:val="008768FB"/>
    <w:rsid w:val="008769C0"/>
    <w:rsid w:val="00876A4A"/>
    <w:rsid w:val="0087746F"/>
    <w:rsid w:val="00877CBF"/>
    <w:rsid w:val="00877FC7"/>
    <w:rsid w:val="00882648"/>
    <w:rsid w:val="00882B92"/>
    <w:rsid w:val="00882D53"/>
    <w:rsid w:val="00883437"/>
    <w:rsid w:val="008834C5"/>
    <w:rsid w:val="008837E9"/>
    <w:rsid w:val="00883C24"/>
    <w:rsid w:val="008853F8"/>
    <w:rsid w:val="00885822"/>
    <w:rsid w:val="008864D4"/>
    <w:rsid w:val="00886FFC"/>
    <w:rsid w:val="0088746B"/>
    <w:rsid w:val="008874D1"/>
    <w:rsid w:val="00887EE9"/>
    <w:rsid w:val="008900A4"/>
    <w:rsid w:val="008903B3"/>
    <w:rsid w:val="0089047A"/>
    <w:rsid w:val="00890861"/>
    <w:rsid w:val="00890DC2"/>
    <w:rsid w:val="00891000"/>
    <w:rsid w:val="008911DE"/>
    <w:rsid w:val="008916EB"/>
    <w:rsid w:val="0089248D"/>
    <w:rsid w:val="00893365"/>
    <w:rsid w:val="0089339F"/>
    <w:rsid w:val="008936B9"/>
    <w:rsid w:val="00894460"/>
    <w:rsid w:val="00894956"/>
    <w:rsid w:val="00894EA1"/>
    <w:rsid w:val="00894F05"/>
    <w:rsid w:val="00895363"/>
    <w:rsid w:val="008953BD"/>
    <w:rsid w:val="0089560F"/>
    <w:rsid w:val="00895802"/>
    <w:rsid w:val="00895BDA"/>
    <w:rsid w:val="00895F25"/>
    <w:rsid w:val="008964CA"/>
    <w:rsid w:val="008A001A"/>
    <w:rsid w:val="008A0898"/>
    <w:rsid w:val="008A152E"/>
    <w:rsid w:val="008A1741"/>
    <w:rsid w:val="008A1828"/>
    <w:rsid w:val="008A185B"/>
    <w:rsid w:val="008A2C64"/>
    <w:rsid w:val="008A313E"/>
    <w:rsid w:val="008A35D4"/>
    <w:rsid w:val="008A3832"/>
    <w:rsid w:val="008A3B5A"/>
    <w:rsid w:val="008A3D0B"/>
    <w:rsid w:val="008A41C6"/>
    <w:rsid w:val="008A420B"/>
    <w:rsid w:val="008A45EF"/>
    <w:rsid w:val="008A4628"/>
    <w:rsid w:val="008A4662"/>
    <w:rsid w:val="008A4885"/>
    <w:rsid w:val="008A4C0A"/>
    <w:rsid w:val="008A5CC4"/>
    <w:rsid w:val="008A6616"/>
    <w:rsid w:val="008B00DD"/>
    <w:rsid w:val="008B0B96"/>
    <w:rsid w:val="008B294F"/>
    <w:rsid w:val="008B2BC3"/>
    <w:rsid w:val="008B2DD6"/>
    <w:rsid w:val="008B308C"/>
    <w:rsid w:val="008B3F8D"/>
    <w:rsid w:val="008B47CB"/>
    <w:rsid w:val="008B48DE"/>
    <w:rsid w:val="008B4F54"/>
    <w:rsid w:val="008B592A"/>
    <w:rsid w:val="008B5D5D"/>
    <w:rsid w:val="008B66FC"/>
    <w:rsid w:val="008B6A6C"/>
    <w:rsid w:val="008B7722"/>
    <w:rsid w:val="008B778A"/>
    <w:rsid w:val="008B7CF8"/>
    <w:rsid w:val="008C068A"/>
    <w:rsid w:val="008C0994"/>
    <w:rsid w:val="008C09F7"/>
    <w:rsid w:val="008C0ACE"/>
    <w:rsid w:val="008C11CA"/>
    <w:rsid w:val="008C15BB"/>
    <w:rsid w:val="008C21BD"/>
    <w:rsid w:val="008C271D"/>
    <w:rsid w:val="008C28E5"/>
    <w:rsid w:val="008C2C22"/>
    <w:rsid w:val="008C30C7"/>
    <w:rsid w:val="008C44F1"/>
    <w:rsid w:val="008C4657"/>
    <w:rsid w:val="008C48CC"/>
    <w:rsid w:val="008C4E5F"/>
    <w:rsid w:val="008C4F0A"/>
    <w:rsid w:val="008C54B4"/>
    <w:rsid w:val="008C5743"/>
    <w:rsid w:val="008C5904"/>
    <w:rsid w:val="008C5A3F"/>
    <w:rsid w:val="008C5D51"/>
    <w:rsid w:val="008C5E08"/>
    <w:rsid w:val="008C6124"/>
    <w:rsid w:val="008C6886"/>
    <w:rsid w:val="008C6A3D"/>
    <w:rsid w:val="008C6C82"/>
    <w:rsid w:val="008C6FB5"/>
    <w:rsid w:val="008C740C"/>
    <w:rsid w:val="008C74BF"/>
    <w:rsid w:val="008C7733"/>
    <w:rsid w:val="008C7ECE"/>
    <w:rsid w:val="008D15F7"/>
    <w:rsid w:val="008D1A7E"/>
    <w:rsid w:val="008D1FDE"/>
    <w:rsid w:val="008D20BA"/>
    <w:rsid w:val="008D263E"/>
    <w:rsid w:val="008D33AC"/>
    <w:rsid w:val="008D351D"/>
    <w:rsid w:val="008D382C"/>
    <w:rsid w:val="008D4F67"/>
    <w:rsid w:val="008D6313"/>
    <w:rsid w:val="008D6444"/>
    <w:rsid w:val="008D64CD"/>
    <w:rsid w:val="008D74A9"/>
    <w:rsid w:val="008D7784"/>
    <w:rsid w:val="008D79AD"/>
    <w:rsid w:val="008D7B2D"/>
    <w:rsid w:val="008D7DDA"/>
    <w:rsid w:val="008E0955"/>
    <w:rsid w:val="008E19F8"/>
    <w:rsid w:val="008E1AB6"/>
    <w:rsid w:val="008E1C45"/>
    <w:rsid w:val="008E1DF0"/>
    <w:rsid w:val="008E1EF0"/>
    <w:rsid w:val="008E22B9"/>
    <w:rsid w:val="008E242E"/>
    <w:rsid w:val="008E2757"/>
    <w:rsid w:val="008E298B"/>
    <w:rsid w:val="008E2D9A"/>
    <w:rsid w:val="008E2F53"/>
    <w:rsid w:val="008E42F1"/>
    <w:rsid w:val="008E43FB"/>
    <w:rsid w:val="008E5640"/>
    <w:rsid w:val="008E5A69"/>
    <w:rsid w:val="008E5C29"/>
    <w:rsid w:val="008E5F8E"/>
    <w:rsid w:val="008E6369"/>
    <w:rsid w:val="008E647B"/>
    <w:rsid w:val="008E6602"/>
    <w:rsid w:val="008E68DE"/>
    <w:rsid w:val="008E7314"/>
    <w:rsid w:val="008E7B61"/>
    <w:rsid w:val="008F010E"/>
    <w:rsid w:val="008F0C84"/>
    <w:rsid w:val="008F0E67"/>
    <w:rsid w:val="008F0E7A"/>
    <w:rsid w:val="008F0EA6"/>
    <w:rsid w:val="008F10B4"/>
    <w:rsid w:val="008F184C"/>
    <w:rsid w:val="008F1A02"/>
    <w:rsid w:val="008F1F91"/>
    <w:rsid w:val="008F247C"/>
    <w:rsid w:val="008F2E9B"/>
    <w:rsid w:val="008F3AE2"/>
    <w:rsid w:val="008F3EE2"/>
    <w:rsid w:val="008F4650"/>
    <w:rsid w:val="008F4D4C"/>
    <w:rsid w:val="008F6221"/>
    <w:rsid w:val="008F6E4A"/>
    <w:rsid w:val="008F6E7C"/>
    <w:rsid w:val="008F7089"/>
    <w:rsid w:val="008F722B"/>
    <w:rsid w:val="008F777B"/>
    <w:rsid w:val="008F7CCE"/>
    <w:rsid w:val="009003B1"/>
    <w:rsid w:val="00900E6F"/>
    <w:rsid w:val="00900F0A"/>
    <w:rsid w:val="00901201"/>
    <w:rsid w:val="00901C6D"/>
    <w:rsid w:val="00901FA1"/>
    <w:rsid w:val="00901FB2"/>
    <w:rsid w:val="0090246C"/>
    <w:rsid w:val="009040C5"/>
    <w:rsid w:val="0090416E"/>
    <w:rsid w:val="00904593"/>
    <w:rsid w:val="00904C7F"/>
    <w:rsid w:val="00904E9F"/>
    <w:rsid w:val="00905475"/>
    <w:rsid w:val="00905A50"/>
    <w:rsid w:val="00905CD0"/>
    <w:rsid w:val="009064E2"/>
    <w:rsid w:val="00906AE3"/>
    <w:rsid w:val="00907337"/>
    <w:rsid w:val="009077C7"/>
    <w:rsid w:val="00910B1F"/>
    <w:rsid w:val="0091166D"/>
    <w:rsid w:val="00911B89"/>
    <w:rsid w:val="009121C6"/>
    <w:rsid w:val="0091220E"/>
    <w:rsid w:val="00912786"/>
    <w:rsid w:val="00913B1C"/>
    <w:rsid w:val="009142B6"/>
    <w:rsid w:val="0091465A"/>
    <w:rsid w:val="00914F01"/>
    <w:rsid w:val="009150C9"/>
    <w:rsid w:val="0091513D"/>
    <w:rsid w:val="0091522B"/>
    <w:rsid w:val="00915F38"/>
    <w:rsid w:val="00915FEA"/>
    <w:rsid w:val="009160BB"/>
    <w:rsid w:val="009171BB"/>
    <w:rsid w:val="00917FE9"/>
    <w:rsid w:val="00920105"/>
    <w:rsid w:val="009201E5"/>
    <w:rsid w:val="00920216"/>
    <w:rsid w:val="00920463"/>
    <w:rsid w:val="0092076E"/>
    <w:rsid w:val="00921410"/>
    <w:rsid w:val="0092151C"/>
    <w:rsid w:val="00921659"/>
    <w:rsid w:val="009216FF"/>
    <w:rsid w:val="0092214B"/>
    <w:rsid w:val="00922B56"/>
    <w:rsid w:val="00922F4C"/>
    <w:rsid w:val="00922FCD"/>
    <w:rsid w:val="00922FEE"/>
    <w:rsid w:val="009231E5"/>
    <w:rsid w:val="00923636"/>
    <w:rsid w:val="009238C7"/>
    <w:rsid w:val="00923A65"/>
    <w:rsid w:val="00923D68"/>
    <w:rsid w:val="00924082"/>
    <w:rsid w:val="009245CA"/>
    <w:rsid w:val="0092464B"/>
    <w:rsid w:val="0092499C"/>
    <w:rsid w:val="00924C73"/>
    <w:rsid w:val="009256DA"/>
    <w:rsid w:val="009266E0"/>
    <w:rsid w:val="00926778"/>
    <w:rsid w:val="00926AF1"/>
    <w:rsid w:val="00926E4D"/>
    <w:rsid w:val="0092717E"/>
    <w:rsid w:val="00930625"/>
    <w:rsid w:val="0093070D"/>
    <w:rsid w:val="009309F2"/>
    <w:rsid w:val="00930DDB"/>
    <w:rsid w:val="00931D5E"/>
    <w:rsid w:val="00932250"/>
    <w:rsid w:val="00932DA3"/>
    <w:rsid w:val="00932ED8"/>
    <w:rsid w:val="0093352D"/>
    <w:rsid w:val="0093381E"/>
    <w:rsid w:val="00934AD2"/>
    <w:rsid w:val="00934B89"/>
    <w:rsid w:val="00934D58"/>
    <w:rsid w:val="0093509D"/>
    <w:rsid w:val="00935C86"/>
    <w:rsid w:val="0093650D"/>
    <w:rsid w:val="00936ED2"/>
    <w:rsid w:val="00936EF1"/>
    <w:rsid w:val="009376FF"/>
    <w:rsid w:val="009379F8"/>
    <w:rsid w:val="00937A1C"/>
    <w:rsid w:val="00940185"/>
    <w:rsid w:val="0094048F"/>
    <w:rsid w:val="009405DB"/>
    <w:rsid w:val="00940785"/>
    <w:rsid w:val="00940BCD"/>
    <w:rsid w:val="00941279"/>
    <w:rsid w:val="009417B3"/>
    <w:rsid w:val="00941891"/>
    <w:rsid w:val="0094231E"/>
    <w:rsid w:val="00942736"/>
    <w:rsid w:val="00942774"/>
    <w:rsid w:val="00943AF3"/>
    <w:rsid w:val="00944003"/>
    <w:rsid w:val="00944283"/>
    <w:rsid w:val="00944C13"/>
    <w:rsid w:val="00945151"/>
    <w:rsid w:val="0094534D"/>
    <w:rsid w:val="009454C3"/>
    <w:rsid w:val="00946035"/>
    <w:rsid w:val="00946298"/>
    <w:rsid w:val="009462D5"/>
    <w:rsid w:val="009464DC"/>
    <w:rsid w:val="00946FFB"/>
    <w:rsid w:val="009506DF"/>
    <w:rsid w:val="00950B4B"/>
    <w:rsid w:val="009515A0"/>
    <w:rsid w:val="00952312"/>
    <w:rsid w:val="00953134"/>
    <w:rsid w:val="00953C6B"/>
    <w:rsid w:val="00953EB6"/>
    <w:rsid w:val="00954050"/>
    <w:rsid w:val="0095419E"/>
    <w:rsid w:val="009542D1"/>
    <w:rsid w:val="0095456C"/>
    <w:rsid w:val="009547B3"/>
    <w:rsid w:val="00954C0F"/>
    <w:rsid w:val="00954D44"/>
    <w:rsid w:val="00955006"/>
    <w:rsid w:val="00955540"/>
    <w:rsid w:val="00955760"/>
    <w:rsid w:val="00956905"/>
    <w:rsid w:val="00957DCC"/>
    <w:rsid w:val="00957F89"/>
    <w:rsid w:val="0096021E"/>
    <w:rsid w:val="00960DD5"/>
    <w:rsid w:val="00961045"/>
    <w:rsid w:val="009614C6"/>
    <w:rsid w:val="00962315"/>
    <w:rsid w:val="0096232B"/>
    <w:rsid w:val="009626A5"/>
    <w:rsid w:val="009626F6"/>
    <w:rsid w:val="00962BFB"/>
    <w:rsid w:val="00962C99"/>
    <w:rsid w:val="00962CA0"/>
    <w:rsid w:val="00962E1C"/>
    <w:rsid w:val="0096333C"/>
    <w:rsid w:val="0096349D"/>
    <w:rsid w:val="00963A44"/>
    <w:rsid w:val="00963E1E"/>
    <w:rsid w:val="00964789"/>
    <w:rsid w:val="00964954"/>
    <w:rsid w:val="009654DB"/>
    <w:rsid w:val="009662F2"/>
    <w:rsid w:val="0096656A"/>
    <w:rsid w:val="00966DEC"/>
    <w:rsid w:val="00967A2E"/>
    <w:rsid w:val="00967B1A"/>
    <w:rsid w:val="00967B32"/>
    <w:rsid w:val="00967D48"/>
    <w:rsid w:val="009701FC"/>
    <w:rsid w:val="00970FA2"/>
    <w:rsid w:val="009733D7"/>
    <w:rsid w:val="00973534"/>
    <w:rsid w:val="00973E4E"/>
    <w:rsid w:val="0097492A"/>
    <w:rsid w:val="00975024"/>
    <w:rsid w:val="0097565A"/>
    <w:rsid w:val="009766A5"/>
    <w:rsid w:val="0097673B"/>
    <w:rsid w:val="009801BF"/>
    <w:rsid w:val="009802FA"/>
    <w:rsid w:val="009818B9"/>
    <w:rsid w:val="00982087"/>
    <w:rsid w:val="00982247"/>
    <w:rsid w:val="009826F0"/>
    <w:rsid w:val="009828D1"/>
    <w:rsid w:val="00982A44"/>
    <w:rsid w:val="009842EC"/>
    <w:rsid w:val="00984BBB"/>
    <w:rsid w:val="00984CBE"/>
    <w:rsid w:val="00985803"/>
    <w:rsid w:val="00986DA8"/>
    <w:rsid w:val="009878DF"/>
    <w:rsid w:val="00987958"/>
    <w:rsid w:val="00987B13"/>
    <w:rsid w:val="00987C7D"/>
    <w:rsid w:val="009901A0"/>
    <w:rsid w:val="00990380"/>
    <w:rsid w:val="00990527"/>
    <w:rsid w:val="00990870"/>
    <w:rsid w:val="00990947"/>
    <w:rsid w:val="0099102F"/>
    <w:rsid w:val="00991225"/>
    <w:rsid w:val="00991595"/>
    <w:rsid w:val="00991F1A"/>
    <w:rsid w:val="009920AB"/>
    <w:rsid w:val="009921DB"/>
    <w:rsid w:val="0099256C"/>
    <w:rsid w:val="00992B35"/>
    <w:rsid w:val="00992B75"/>
    <w:rsid w:val="00992D21"/>
    <w:rsid w:val="00992FA3"/>
    <w:rsid w:val="00993430"/>
    <w:rsid w:val="009934B7"/>
    <w:rsid w:val="0099366C"/>
    <w:rsid w:val="009940CA"/>
    <w:rsid w:val="009940EF"/>
    <w:rsid w:val="00994333"/>
    <w:rsid w:val="0099451E"/>
    <w:rsid w:val="00994791"/>
    <w:rsid w:val="00994A8D"/>
    <w:rsid w:val="00994D06"/>
    <w:rsid w:val="00995217"/>
    <w:rsid w:val="009959C9"/>
    <w:rsid w:val="00995CDB"/>
    <w:rsid w:val="00995CDD"/>
    <w:rsid w:val="0099603B"/>
    <w:rsid w:val="00996566"/>
    <w:rsid w:val="009973D4"/>
    <w:rsid w:val="00997CF0"/>
    <w:rsid w:val="00997ED5"/>
    <w:rsid w:val="009A02A9"/>
    <w:rsid w:val="009A034B"/>
    <w:rsid w:val="009A03F2"/>
    <w:rsid w:val="009A087E"/>
    <w:rsid w:val="009A0BBC"/>
    <w:rsid w:val="009A2989"/>
    <w:rsid w:val="009A2BBA"/>
    <w:rsid w:val="009A2F50"/>
    <w:rsid w:val="009A3C31"/>
    <w:rsid w:val="009A3DDC"/>
    <w:rsid w:val="009A3F65"/>
    <w:rsid w:val="009A461B"/>
    <w:rsid w:val="009A51C7"/>
    <w:rsid w:val="009A552B"/>
    <w:rsid w:val="009A5AFD"/>
    <w:rsid w:val="009A66FE"/>
    <w:rsid w:val="009A67D0"/>
    <w:rsid w:val="009A6B7B"/>
    <w:rsid w:val="009A6D17"/>
    <w:rsid w:val="009A6EFD"/>
    <w:rsid w:val="009A7442"/>
    <w:rsid w:val="009A7958"/>
    <w:rsid w:val="009B03E7"/>
    <w:rsid w:val="009B1215"/>
    <w:rsid w:val="009B1946"/>
    <w:rsid w:val="009B1955"/>
    <w:rsid w:val="009B2568"/>
    <w:rsid w:val="009B2B84"/>
    <w:rsid w:val="009B33EE"/>
    <w:rsid w:val="009B354C"/>
    <w:rsid w:val="009B3610"/>
    <w:rsid w:val="009B36F2"/>
    <w:rsid w:val="009B39DC"/>
    <w:rsid w:val="009B3AE6"/>
    <w:rsid w:val="009B4058"/>
    <w:rsid w:val="009B440A"/>
    <w:rsid w:val="009B4A4F"/>
    <w:rsid w:val="009B4BFF"/>
    <w:rsid w:val="009B5106"/>
    <w:rsid w:val="009B61E7"/>
    <w:rsid w:val="009B6A86"/>
    <w:rsid w:val="009B6D69"/>
    <w:rsid w:val="009B7A14"/>
    <w:rsid w:val="009C0087"/>
    <w:rsid w:val="009C1047"/>
    <w:rsid w:val="009C1743"/>
    <w:rsid w:val="009C2695"/>
    <w:rsid w:val="009C2A9B"/>
    <w:rsid w:val="009C2AF6"/>
    <w:rsid w:val="009C2EC3"/>
    <w:rsid w:val="009C33D5"/>
    <w:rsid w:val="009C3A13"/>
    <w:rsid w:val="009C3F5B"/>
    <w:rsid w:val="009C3FCE"/>
    <w:rsid w:val="009C50AC"/>
    <w:rsid w:val="009C5209"/>
    <w:rsid w:val="009C538F"/>
    <w:rsid w:val="009C5CFC"/>
    <w:rsid w:val="009C6014"/>
    <w:rsid w:val="009C6971"/>
    <w:rsid w:val="009C6B80"/>
    <w:rsid w:val="009C6E72"/>
    <w:rsid w:val="009C7188"/>
    <w:rsid w:val="009D0B5E"/>
    <w:rsid w:val="009D0CD7"/>
    <w:rsid w:val="009D113E"/>
    <w:rsid w:val="009D163F"/>
    <w:rsid w:val="009D19FE"/>
    <w:rsid w:val="009D1B81"/>
    <w:rsid w:val="009D1CD7"/>
    <w:rsid w:val="009D3C14"/>
    <w:rsid w:val="009D3C3F"/>
    <w:rsid w:val="009D4543"/>
    <w:rsid w:val="009D4D67"/>
    <w:rsid w:val="009D502B"/>
    <w:rsid w:val="009D5D5B"/>
    <w:rsid w:val="009D5FE8"/>
    <w:rsid w:val="009D618B"/>
    <w:rsid w:val="009D62A2"/>
    <w:rsid w:val="009D635B"/>
    <w:rsid w:val="009D66DC"/>
    <w:rsid w:val="009D67A1"/>
    <w:rsid w:val="009D6955"/>
    <w:rsid w:val="009D7037"/>
    <w:rsid w:val="009D7AA9"/>
    <w:rsid w:val="009D7AC4"/>
    <w:rsid w:val="009D7C96"/>
    <w:rsid w:val="009D7EAD"/>
    <w:rsid w:val="009D7F4B"/>
    <w:rsid w:val="009D7F6F"/>
    <w:rsid w:val="009E0008"/>
    <w:rsid w:val="009E0393"/>
    <w:rsid w:val="009E06AF"/>
    <w:rsid w:val="009E07D3"/>
    <w:rsid w:val="009E07EE"/>
    <w:rsid w:val="009E10B4"/>
    <w:rsid w:val="009E18EE"/>
    <w:rsid w:val="009E19EA"/>
    <w:rsid w:val="009E1DFD"/>
    <w:rsid w:val="009E1F6D"/>
    <w:rsid w:val="009E2667"/>
    <w:rsid w:val="009E33F5"/>
    <w:rsid w:val="009E48CF"/>
    <w:rsid w:val="009E49E4"/>
    <w:rsid w:val="009E5CD5"/>
    <w:rsid w:val="009E5DBF"/>
    <w:rsid w:val="009E65E9"/>
    <w:rsid w:val="009E689B"/>
    <w:rsid w:val="009E6FB9"/>
    <w:rsid w:val="009E6FF8"/>
    <w:rsid w:val="009E7686"/>
    <w:rsid w:val="009E771F"/>
    <w:rsid w:val="009E7E5E"/>
    <w:rsid w:val="009F0692"/>
    <w:rsid w:val="009F06F2"/>
    <w:rsid w:val="009F0A2C"/>
    <w:rsid w:val="009F0EBA"/>
    <w:rsid w:val="009F1668"/>
    <w:rsid w:val="009F3046"/>
    <w:rsid w:val="009F3814"/>
    <w:rsid w:val="009F3B16"/>
    <w:rsid w:val="009F45B0"/>
    <w:rsid w:val="009F56D8"/>
    <w:rsid w:val="009F58CF"/>
    <w:rsid w:val="009F635E"/>
    <w:rsid w:val="009F64CF"/>
    <w:rsid w:val="009F7066"/>
    <w:rsid w:val="009F7097"/>
    <w:rsid w:val="009F7D02"/>
    <w:rsid w:val="009F7FBE"/>
    <w:rsid w:val="00A003FF"/>
    <w:rsid w:val="00A0055B"/>
    <w:rsid w:val="00A00F5C"/>
    <w:rsid w:val="00A025F3"/>
    <w:rsid w:val="00A02B40"/>
    <w:rsid w:val="00A02C5D"/>
    <w:rsid w:val="00A02F48"/>
    <w:rsid w:val="00A030A3"/>
    <w:rsid w:val="00A04CD9"/>
    <w:rsid w:val="00A0591B"/>
    <w:rsid w:val="00A05A81"/>
    <w:rsid w:val="00A06489"/>
    <w:rsid w:val="00A06503"/>
    <w:rsid w:val="00A070DC"/>
    <w:rsid w:val="00A07546"/>
    <w:rsid w:val="00A07986"/>
    <w:rsid w:val="00A07C2E"/>
    <w:rsid w:val="00A07E6B"/>
    <w:rsid w:val="00A102B8"/>
    <w:rsid w:val="00A10320"/>
    <w:rsid w:val="00A10753"/>
    <w:rsid w:val="00A10AAE"/>
    <w:rsid w:val="00A11749"/>
    <w:rsid w:val="00A11968"/>
    <w:rsid w:val="00A1202D"/>
    <w:rsid w:val="00A12C35"/>
    <w:rsid w:val="00A12E32"/>
    <w:rsid w:val="00A12EBD"/>
    <w:rsid w:val="00A13242"/>
    <w:rsid w:val="00A13909"/>
    <w:rsid w:val="00A140D3"/>
    <w:rsid w:val="00A14403"/>
    <w:rsid w:val="00A1446B"/>
    <w:rsid w:val="00A156E6"/>
    <w:rsid w:val="00A15BC4"/>
    <w:rsid w:val="00A15D79"/>
    <w:rsid w:val="00A1614C"/>
    <w:rsid w:val="00A1668B"/>
    <w:rsid w:val="00A167F2"/>
    <w:rsid w:val="00A16D37"/>
    <w:rsid w:val="00A17561"/>
    <w:rsid w:val="00A17E8B"/>
    <w:rsid w:val="00A17EFE"/>
    <w:rsid w:val="00A17F06"/>
    <w:rsid w:val="00A17F0F"/>
    <w:rsid w:val="00A20C78"/>
    <w:rsid w:val="00A20E6C"/>
    <w:rsid w:val="00A2153A"/>
    <w:rsid w:val="00A218C9"/>
    <w:rsid w:val="00A218D0"/>
    <w:rsid w:val="00A21A20"/>
    <w:rsid w:val="00A22B2F"/>
    <w:rsid w:val="00A2303D"/>
    <w:rsid w:val="00A2312E"/>
    <w:rsid w:val="00A23618"/>
    <w:rsid w:val="00A23CDE"/>
    <w:rsid w:val="00A23F1E"/>
    <w:rsid w:val="00A2410C"/>
    <w:rsid w:val="00A2412B"/>
    <w:rsid w:val="00A24323"/>
    <w:rsid w:val="00A2512C"/>
    <w:rsid w:val="00A2515B"/>
    <w:rsid w:val="00A2588E"/>
    <w:rsid w:val="00A25E4D"/>
    <w:rsid w:val="00A26EDF"/>
    <w:rsid w:val="00A271E8"/>
    <w:rsid w:val="00A2772F"/>
    <w:rsid w:val="00A300D7"/>
    <w:rsid w:val="00A305A0"/>
    <w:rsid w:val="00A31538"/>
    <w:rsid w:val="00A31881"/>
    <w:rsid w:val="00A318E9"/>
    <w:rsid w:val="00A32388"/>
    <w:rsid w:val="00A325F8"/>
    <w:rsid w:val="00A32A96"/>
    <w:rsid w:val="00A32B84"/>
    <w:rsid w:val="00A33A66"/>
    <w:rsid w:val="00A33B23"/>
    <w:rsid w:val="00A342FE"/>
    <w:rsid w:val="00A34789"/>
    <w:rsid w:val="00A348B6"/>
    <w:rsid w:val="00A3529C"/>
    <w:rsid w:val="00A3630E"/>
    <w:rsid w:val="00A36AAB"/>
    <w:rsid w:val="00A36D6A"/>
    <w:rsid w:val="00A36FDB"/>
    <w:rsid w:val="00A37BB8"/>
    <w:rsid w:val="00A37D74"/>
    <w:rsid w:val="00A400A7"/>
    <w:rsid w:val="00A401AB"/>
    <w:rsid w:val="00A408CE"/>
    <w:rsid w:val="00A40C86"/>
    <w:rsid w:val="00A40F80"/>
    <w:rsid w:val="00A41DBB"/>
    <w:rsid w:val="00A41EE2"/>
    <w:rsid w:val="00A41FF8"/>
    <w:rsid w:val="00A423AA"/>
    <w:rsid w:val="00A42924"/>
    <w:rsid w:val="00A42993"/>
    <w:rsid w:val="00A42D87"/>
    <w:rsid w:val="00A42F8B"/>
    <w:rsid w:val="00A440AB"/>
    <w:rsid w:val="00A44343"/>
    <w:rsid w:val="00A44BD3"/>
    <w:rsid w:val="00A44F75"/>
    <w:rsid w:val="00A4521D"/>
    <w:rsid w:val="00A45F56"/>
    <w:rsid w:val="00A46D6F"/>
    <w:rsid w:val="00A473CC"/>
    <w:rsid w:val="00A47C9F"/>
    <w:rsid w:val="00A47F8A"/>
    <w:rsid w:val="00A50E0C"/>
    <w:rsid w:val="00A51C43"/>
    <w:rsid w:val="00A51DAD"/>
    <w:rsid w:val="00A51F0A"/>
    <w:rsid w:val="00A522B1"/>
    <w:rsid w:val="00A5265C"/>
    <w:rsid w:val="00A52800"/>
    <w:rsid w:val="00A5336F"/>
    <w:rsid w:val="00A5412F"/>
    <w:rsid w:val="00A542E8"/>
    <w:rsid w:val="00A54C3F"/>
    <w:rsid w:val="00A54EF2"/>
    <w:rsid w:val="00A554A0"/>
    <w:rsid w:val="00A558FB"/>
    <w:rsid w:val="00A55D48"/>
    <w:rsid w:val="00A577EA"/>
    <w:rsid w:val="00A57BEB"/>
    <w:rsid w:val="00A57ED7"/>
    <w:rsid w:val="00A602DC"/>
    <w:rsid w:val="00A60BD2"/>
    <w:rsid w:val="00A60F3D"/>
    <w:rsid w:val="00A61044"/>
    <w:rsid w:val="00A61673"/>
    <w:rsid w:val="00A61BD1"/>
    <w:rsid w:val="00A62132"/>
    <w:rsid w:val="00A63038"/>
    <w:rsid w:val="00A63136"/>
    <w:rsid w:val="00A6379C"/>
    <w:rsid w:val="00A64597"/>
    <w:rsid w:val="00A64926"/>
    <w:rsid w:val="00A64CB5"/>
    <w:rsid w:val="00A65605"/>
    <w:rsid w:val="00A65F40"/>
    <w:rsid w:val="00A665CF"/>
    <w:rsid w:val="00A6666F"/>
    <w:rsid w:val="00A67980"/>
    <w:rsid w:val="00A67CA7"/>
    <w:rsid w:val="00A70649"/>
    <w:rsid w:val="00A706B7"/>
    <w:rsid w:val="00A714E9"/>
    <w:rsid w:val="00A716A5"/>
    <w:rsid w:val="00A71AB3"/>
    <w:rsid w:val="00A72015"/>
    <w:rsid w:val="00A72084"/>
    <w:rsid w:val="00A725CB"/>
    <w:rsid w:val="00A727AD"/>
    <w:rsid w:val="00A737F1"/>
    <w:rsid w:val="00A73989"/>
    <w:rsid w:val="00A73EE7"/>
    <w:rsid w:val="00A74042"/>
    <w:rsid w:val="00A740CD"/>
    <w:rsid w:val="00A74DF8"/>
    <w:rsid w:val="00A74FB8"/>
    <w:rsid w:val="00A75667"/>
    <w:rsid w:val="00A76704"/>
    <w:rsid w:val="00A7726D"/>
    <w:rsid w:val="00A7752F"/>
    <w:rsid w:val="00A777DA"/>
    <w:rsid w:val="00A81325"/>
    <w:rsid w:val="00A8137A"/>
    <w:rsid w:val="00A81722"/>
    <w:rsid w:val="00A81C04"/>
    <w:rsid w:val="00A82802"/>
    <w:rsid w:val="00A82BBB"/>
    <w:rsid w:val="00A8320C"/>
    <w:rsid w:val="00A832FC"/>
    <w:rsid w:val="00A83831"/>
    <w:rsid w:val="00A8443B"/>
    <w:rsid w:val="00A84445"/>
    <w:rsid w:val="00A844AB"/>
    <w:rsid w:val="00A849AB"/>
    <w:rsid w:val="00A84A04"/>
    <w:rsid w:val="00A8536B"/>
    <w:rsid w:val="00A85C35"/>
    <w:rsid w:val="00A85F41"/>
    <w:rsid w:val="00A8652D"/>
    <w:rsid w:val="00A86725"/>
    <w:rsid w:val="00A867E9"/>
    <w:rsid w:val="00A869DC"/>
    <w:rsid w:val="00A86AF7"/>
    <w:rsid w:val="00A86EA3"/>
    <w:rsid w:val="00A87920"/>
    <w:rsid w:val="00A9039B"/>
    <w:rsid w:val="00A910E8"/>
    <w:rsid w:val="00A911DA"/>
    <w:rsid w:val="00A9120E"/>
    <w:rsid w:val="00A91A62"/>
    <w:rsid w:val="00A91D29"/>
    <w:rsid w:val="00A92061"/>
    <w:rsid w:val="00A9227F"/>
    <w:rsid w:val="00A9230D"/>
    <w:rsid w:val="00A92C3A"/>
    <w:rsid w:val="00A94249"/>
    <w:rsid w:val="00A94B82"/>
    <w:rsid w:val="00A94BC9"/>
    <w:rsid w:val="00A94E13"/>
    <w:rsid w:val="00A9510B"/>
    <w:rsid w:val="00A951B3"/>
    <w:rsid w:val="00A959BC"/>
    <w:rsid w:val="00A95E63"/>
    <w:rsid w:val="00A97213"/>
    <w:rsid w:val="00A97AC2"/>
    <w:rsid w:val="00AA0486"/>
    <w:rsid w:val="00AA04B3"/>
    <w:rsid w:val="00AA055E"/>
    <w:rsid w:val="00AA088B"/>
    <w:rsid w:val="00AA09D7"/>
    <w:rsid w:val="00AA12CB"/>
    <w:rsid w:val="00AA12FE"/>
    <w:rsid w:val="00AA1A01"/>
    <w:rsid w:val="00AA1D85"/>
    <w:rsid w:val="00AA2562"/>
    <w:rsid w:val="00AA276C"/>
    <w:rsid w:val="00AA2770"/>
    <w:rsid w:val="00AA2CE2"/>
    <w:rsid w:val="00AA3211"/>
    <w:rsid w:val="00AA35C2"/>
    <w:rsid w:val="00AA378A"/>
    <w:rsid w:val="00AA3C60"/>
    <w:rsid w:val="00AA437D"/>
    <w:rsid w:val="00AA467A"/>
    <w:rsid w:val="00AA46AC"/>
    <w:rsid w:val="00AA4B0A"/>
    <w:rsid w:val="00AA4F98"/>
    <w:rsid w:val="00AA5DBC"/>
    <w:rsid w:val="00AA67A6"/>
    <w:rsid w:val="00AB051E"/>
    <w:rsid w:val="00AB0D99"/>
    <w:rsid w:val="00AB10FF"/>
    <w:rsid w:val="00AB13E9"/>
    <w:rsid w:val="00AB18C8"/>
    <w:rsid w:val="00AB233B"/>
    <w:rsid w:val="00AB24EB"/>
    <w:rsid w:val="00AB2BC6"/>
    <w:rsid w:val="00AB2FF4"/>
    <w:rsid w:val="00AB3AA6"/>
    <w:rsid w:val="00AB3B7C"/>
    <w:rsid w:val="00AB4650"/>
    <w:rsid w:val="00AB4804"/>
    <w:rsid w:val="00AB550E"/>
    <w:rsid w:val="00AB5F9C"/>
    <w:rsid w:val="00AB60CD"/>
    <w:rsid w:val="00AB6E4F"/>
    <w:rsid w:val="00AC0319"/>
    <w:rsid w:val="00AC0562"/>
    <w:rsid w:val="00AC0930"/>
    <w:rsid w:val="00AC09C1"/>
    <w:rsid w:val="00AC1AD6"/>
    <w:rsid w:val="00AC1B49"/>
    <w:rsid w:val="00AC1C66"/>
    <w:rsid w:val="00AC1F65"/>
    <w:rsid w:val="00AC2133"/>
    <w:rsid w:val="00AC2240"/>
    <w:rsid w:val="00AC22AC"/>
    <w:rsid w:val="00AC2A6D"/>
    <w:rsid w:val="00AC2BFF"/>
    <w:rsid w:val="00AC3436"/>
    <w:rsid w:val="00AC3CE7"/>
    <w:rsid w:val="00AC45E8"/>
    <w:rsid w:val="00AC49CE"/>
    <w:rsid w:val="00AC5B5A"/>
    <w:rsid w:val="00AC5FAC"/>
    <w:rsid w:val="00AC6917"/>
    <w:rsid w:val="00AC6B0F"/>
    <w:rsid w:val="00AC71EF"/>
    <w:rsid w:val="00AC7A8D"/>
    <w:rsid w:val="00AC7E69"/>
    <w:rsid w:val="00AD05D8"/>
    <w:rsid w:val="00AD1491"/>
    <w:rsid w:val="00AD19FF"/>
    <w:rsid w:val="00AD1CC6"/>
    <w:rsid w:val="00AD1DC6"/>
    <w:rsid w:val="00AD1DE5"/>
    <w:rsid w:val="00AD2EC3"/>
    <w:rsid w:val="00AD2EEB"/>
    <w:rsid w:val="00AD3612"/>
    <w:rsid w:val="00AD3875"/>
    <w:rsid w:val="00AD3F6F"/>
    <w:rsid w:val="00AD3FCB"/>
    <w:rsid w:val="00AD4023"/>
    <w:rsid w:val="00AD4A06"/>
    <w:rsid w:val="00AD4BE5"/>
    <w:rsid w:val="00AD4E20"/>
    <w:rsid w:val="00AD58DD"/>
    <w:rsid w:val="00AD6076"/>
    <w:rsid w:val="00AD64DF"/>
    <w:rsid w:val="00AD6A92"/>
    <w:rsid w:val="00AD6B29"/>
    <w:rsid w:val="00AD6E38"/>
    <w:rsid w:val="00AE01F3"/>
    <w:rsid w:val="00AE0A55"/>
    <w:rsid w:val="00AE1025"/>
    <w:rsid w:val="00AE15D9"/>
    <w:rsid w:val="00AE19F8"/>
    <w:rsid w:val="00AE26F6"/>
    <w:rsid w:val="00AE33A7"/>
    <w:rsid w:val="00AE3AAF"/>
    <w:rsid w:val="00AE3F03"/>
    <w:rsid w:val="00AE45E7"/>
    <w:rsid w:val="00AE528A"/>
    <w:rsid w:val="00AE530A"/>
    <w:rsid w:val="00AE64F0"/>
    <w:rsid w:val="00AE6AC0"/>
    <w:rsid w:val="00AE7148"/>
    <w:rsid w:val="00AE76E4"/>
    <w:rsid w:val="00AE7FE3"/>
    <w:rsid w:val="00AF0881"/>
    <w:rsid w:val="00AF17CD"/>
    <w:rsid w:val="00AF1DD9"/>
    <w:rsid w:val="00AF23C8"/>
    <w:rsid w:val="00AF2AE2"/>
    <w:rsid w:val="00AF3112"/>
    <w:rsid w:val="00AF3117"/>
    <w:rsid w:val="00AF3751"/>
    <w:rsid w:val="00AF3AC7"/>
    <w:rsid w:val="00AF43A1"/>
    <w:rsid w:val="00AF4E62"/>
    <w:rsid w:val="00AF4F40"/>
    <w:rsid w:val="00AF5224"/>
    <w:rsid w:val="00AF56BC"/>
    <w:rsid w:val="00AF58E4"/>
    <w:rsid w:val="00AF5F3E"/>
    <w:rsid w:val="00AF6F2A"/>
    <w:rsid w:val="00AF7B0A"/>
    <w:rsid w:val="00B00202"/>
    <w:rsid w:val="00B0044D"/>
    <w:rsid w:val="00B00633"/>
    <w:rsid w:val="00B01196"/>
    <w:rsid w:val="00B01C17"/>
    <w:rsid w:val="00B01C87"/>
    <w:rsid w:val="00B030EF"/>
    <w:rsid w:val="00B0377E"/>
    <w:rsid w:val="00B051D6"/>
    <w:rsid w:val="00B051EA"/>
    <w:rsid w:val="00B059C3"/>
    <w:rsid w:val="00B0655B"/>
    <w:rsid w:val="00B06974"/>
    <w:rsid w:val="00B071A0"/>
    <w:rsid w:val="00B078A1"/>
    <w:rsid w:val="00B07A49"/>
    <w:rsid w:val="00B07BA9"/>
    <w:rsid w:val="00B07FF2"/>
    <w:rsid w:val="00B10055"/>
    <w:rsid w:val="00B105FB"/>
    <w:rsid w:val="00B1141E"/>
    <w:rsid w:val="00B115A2"/>
    <w:rsid w:val="00B11691"/>
    <w:rsid w:val="00B116A3"/>
    <w:rsid w:val="00B1177A"/>
    <w:rsid w:val="00B11E92"/>
    <w:rsid w:val="00B1278B"/>
    <w:rsid w:val="00B12F8B"/>
    <w:rsid w:val="00B13572"/>
    <w:rsid w:val="00B14670"/>
    <w:rsid w:val="00B15470"/>
    <w:rsid w:val="00B158B5"/>
    <w:rsid w:val="00B15E6A"/>
    <w:rsid w:val="00B16949"/>
    <w:rsid w:val="00B16C69"/>
    <w:rsid w:val="00B17295"/>
    <w:rsid w:val="00B17F61"/>
    <w:rsid w:val="00B2053C"/>
    <w:rsid w:val="00B2060B"/>
    <w:rsid w:val="00B20624"/>
    <w:rsid w:val="00B215F5"/>
    <w:rsid w:val="00B21862"/>
    <w:rsid w:val="00B21A63"/>
    <w:rsid w:val="00B21F4E"/>
    <w:rsid w:val="00B2293F"/>
    <w:rsid w:val="00B22CA4"/>
    <w:rsid w:val="00B2322F"/>
    <w:rsid w:val="00B23279"/>
    <w:rsid w:val="00B23A4B"/>
    <w:rsid w:val="00B23E45"/>
    <w:rsid w:val="00B240DF"/>
    <w:rsid w:val="00B244E2"/>
    <w:rsid w:val="00B24553"/>
    <w:rsid w:val="00B25FD6"/>
    <w:rsid w:val="00B26421"/>
    <w:rsid w:val="00B26B62"/>
    <w:rsid w:val="00B26BE2"/>
    <w:rsid w:val="00B2784E"/>
    <w:rsid w:val="00B27A54"/>
    <w:rsid w:val="00B30011"/>
    <w:rsid w:val="00B300BF"/>
    <w:rsid w:val="00B30112"/>
    <w:rsid w:val="00B305B8"/>
    <w:rsid w:val="00B30694"/>
    <w:rsid w:val="00B30783"/>
    <w:rsid w:val="00B310B2"/>
    <w:rsid w:val="00B31236"/>
    <w:rsid w:val="00B31374"/>
    <w:rsid w:val="00B316C8"/>
    <w:rsid w:val="00B3230F"/>
    <w:rsid w:val="00B32B8D"/>
    <w:rsid w:val="00B33149"/>
    <w:rsid w:val="00B33483"/>
    <w:rsid w:val="00B34541"/>
    <w:rsid w:val="00B35002"/>
    <w:rsid w:val="00B368EC"/>
    <w:rsid w:val="00B36D22"/>
    <w:rsid w:val="00B37218"/>
    <w:rsid w:val="00B37DA3"/>
    <w:rsid w:val="00B40381"/>
    <w:rsid w:val="00B408D4"/>
    <w:rsid w:val="00B4175B"/>
    <w:rsid w:val="00B41CAD"/>
    <w:rsid w:val="00B41F0F"/>
    <w:rsid w:val="00B420C3"/>
    <w:rsid w:val="00B42560"/>
    <w:rsid w:val="00B42A18"/>
    <w:rsid w:val="00B42DE8"/>
    <w:rsid w:val="00B43EC8"/>
    <w:rsid w:val="00B446D7"/>
    <w:rsid w:val="00B44761"/>
    <w:rsid w:val="00B45024"/>
    <w:rsid w:val="00B451A8"/>
    <w:rsid w:val="00B451D1"/>
    <w:rsid w:val="00B45594"/>
    <w:rsid w:val="00B455AA"/>
    <w:rsid w:val="00B45778"/>
    <w:rsid w:val="00B457A1"/>
    <w:rsid w:val="00B45D36"/>
    <w:rsid w:val="00B45D49"/>
    <w:rsid w:val="00B4623B"/>
    <w:rsid w:val="00B4630F"/>
    <w:rsid w:val="00B4638A"/>
    <w:rsid w:val="00B464B1"/>
    <w:rsid w:val="00B46777"/>
    <w:rsid w:val="00B468F4"/>
    <w:rsid w:val="00B46EF6"/>
    <w:rsid w:val="00B475B3"/>
    <w:rsid w:val="00B479F1"/>
    <w:rsid w:val="00B47A4A"/>
    <w:rsid w:val="00B47B99"/>
    <w:rsid w:val="00B47F2B"/>
    <w:rsid w:val="00B506F2"/>
    <w:rsid w:val="00B50F61"/>
    <w:rsid w:val="00B510E3"/>
    <w:rsid w:val="00B51699"/>
    <w:rsid w:val="00B521AC"/>
    <w:rsid w:val="00B52702"/>
    <w:rsid w:val="00B53D5B"/>
    <w:rsid w:val="00B5498D"/>
    <w:rsid w:val="00B5501D"/>
    <w:rsid w:val="00B559AC"/>
    <w:rsid w:val="00B56C17"/>
    <w:rsid w:val="00B57578"/>
    <w:rsid w:val="00B577B0"/>
    <w:rsid w:val="00B579AB"/>
    <w:rsid w:val="00B57CE3"/>
    <w:rsid w:val="00B57CE4"/>
    <w:rsid w:val="00B603E9"/>
    <w:rsid w:val="00B60F5C"/>
    <w:rsid w:val="00B61467"/>
    <w:rsid w:val="00B6151E"/>
    <w:rsid w:val="00B62008"/>
    <w:rsid w:val="00B6322F"/>
    <w:rsid w:val="00B634AC"/>
    <w:rsid w:val="00B646B3"/>
    <w:rsid w:val="00B64962"/>
    <w:rsid w:val="00B651FC"/>
    <w:rsid w:val="00B65397"/>
    <w:rsid w:val="00B653C7"/>
    <w:rsid w:val="00B653ED"/>
    <w:rsid w:val="00B65B6B"/>
    <w:rsid w:val="00B66019"/>
    <w:rsid w:val="00B662E0"/>
    <w:rsid w:val="00B663A2"/>
    <w:rsid w:val="00B66430"/>
    <w:rsid w:val="00B66A86"/>
    <w:rsid w:val="00B676EC"/>
    <w:rsid w:val="00B67D1A"/>
    <w:rsid w:val="00B7016C"/>
    <w:rsid w:val="00B7039B"/>
    <w:rsid w:val="00B7043C"/>
    <w:rsid w:val="00B7098E"/>
    <w:rsid w:val="00B70A25"/>
    <w:rsid w:val="00B70CDA"/>
    <w:rsid w:val="00B71D1D"/>
    <w:rsid w:val="00B721C3"/>
    <w:rsid w:val="00B729C4"/>
    <w:rsid w:val="00B74002"/>
    <w:rsid w:val="00B743F5"/>
    <w:rsid w:val="00B74454"/>
    <w:rsid w:val="00B74D1E"/>
    <w:rsid w:val="00B7525A"/>
    <w:rsid w:val="00B7652F"/>
    <w:rsid w:val="00B767DB"/>
    <w:rsid w:val="00B7682A"/>
    <w:rsid w:val="00B76A18"/>
    <w:rsid w:val="00B76E08"/>
    <w:rsid w:val="00B76FF0"/>
    <w:rsid w:val="00B77579"/>
    <w:rsid w:val="00B8042A"/>
    <w:rsid w:val="00B80EFF"/>
    <w:rsid w:val="00B8110B"/>
    <w:rsid w:val="00B81407"/>
    <w:rsid w:val="00B816E3"/>
    <w:rsid w:val="00B81A0E"/>
    <w:rsid w:val="00B8240C"/>
    <w:rsid w:val="00B83544"/>
    <w:rsid w:val="00B836E1"/>
    <w:rsid w:val="00B838CF"/>
    <w:rsid w:val="00B84382"/>
    <w:rsid w:val="00B843A0"/>
    <w:rsid w:val="00B849DD"/>
    <w:rsid w:val="00B84C6C"/>
    <w:rsid w:val="00B84FDD"/>
    <w:rsid w:val="00B8505D"/>
    <w:rsid w:val="00B857CC"/>
    <w:rsid w:val="00B86B78"/>
    <w:rsid w:val="00B87959"/>
    <w:rsid w:val="00B90E2A"/>
    <w:rsid w:val="00B91411"/>
    <w:rsid w:val="00B918EF"/>
    <w:rsid w:val="00B91E2E"/>
    <w:rsid w:val="00B921C6"/>
    <w:rsid w:val="00B92357"/>
    <w:rsid w:val="00B92687"/>
    <w:rsid w:val="00B92DB2"/>
    <w:rsid w:val="00B93096"/>
    <w:rsid w:val="00B94207"/>
    <w:rsid w:val="00B94248"/>
    <w:rsid w:val="00B942A1"/>
    <w:rsid w:val="00B9498B"/>
    <w:rsid w:val="00B94B4F"/>
    <w:rsid w:val="00B94F71"/>
    <w:rsid w:val="00B95233"/>
    <w:rsid w:val="00B955E7"/>
    <w:rsid w:val="00B95832"/>
    <w:rsid w:val="00B95B90"/>
    <w:rsid w:val="00B95DB8"/>
    <w:rsid w:val="00B96208"/>
    <w:rsid w:val="00B96D83"/>
    <w:rsid w:val="00B976F6"/>
    <w:rsid w:val="00B97C28"/>
    <w:rsid w:val="00BA0976"/>
    <w:rsid w:val="00BA0CAC"/>
    <w:rsid w:val="00BA18AE"/>
    <w:rsid w:val="00BA1B17"/>
    <w:rsid w:val="00BA1D86"/>
    <w:rsid w:val="00BA1D8F"/>
    <w:rsid w:val="00BA27F6"/>
    <w:rsid w:val="00BA2CC9"/>
    <w:rsid w:val="00BA3BEB"/>
    <w:rsid w:val="00BA3F9F"/>
    <w:rsid w:val="00BA4D19"/>
    <w:rsid w:val="00BA53E5"/>
    <w:rsid w:val="00BA5A4A"/>
    <w:rsid w:val="00BA5C1C"/>
    <w:rsid w:val="00BA5F41"/>
    <w:rsid w:val="00BA6666"/>
    <w:rsid w:val="00BA6D68"/>
    <w:rsid w:val="00BA7283"/>
    <w:rsid w:val="00BA7385"/>
    <w:rsid w:val="00BA7619"/>
    <w:rsid w:val="00BA7DEA"/>
    <w:rsid w:val="00BB0092"/>
    <w:rsid w:val="00BB018D"/>
    <w:rsid w:val="00BB0BD8"/>
    <w:rsid w:val="00BB12CF"/>
    <w:rsid w:val="00BB187C"/>
    <w:rsid w:val="00BB18BD"/>
    <w:rsid w:val="00BB1A5A"/>
    <w:rsid w:val="00BB1D73"/>
    <w:rsid w:val="00BB1F3F"/>
    <w:rsid w:val="00BB2255"/>
    <w:rsid w:val="00BB22CC"/>
    <w:rsid w:val="00BB268F"/>
    <w:rsid w:val="00BB296B"/>
    <w:rsid w:val="00BB2A9C"/>
    <w:rsid w:val="00BB2F16"/>
    <w:rsid w:val="00BB3622"/>
    <w:rsid w:val="00BB39A5"/>
    <w:rsid w:val="00BB3BC5"/>
    <w:rsid w:val="00BB4210"/>
    <w:rsid w:val="00BB4216"/>
    <w:rsid w:val="00BB4328"/>
    <w:rsid w:val="00BB44E5"/>
    <w:rsid w:val="00BB489F"/>
    <w:rsid w:val="00BB4ABC"/>
    <w:rsid w:val="00BB5515"/>
    <w:rsid w:val="00BB5C7F"/>
    <w:rsid w:val="00BB5FD1"/>
    <w:rsid w:val="00BB6554"/>
    <w:rsid w:val="00BB682C"/>
    <w:rsid w:val="00BB6A3A"/>
    <w:rsid w:val="00BB6B54"/>
    <w:rsid w:val="00BB704D"/>
    <w:rsid w:val="00BB70B9"/>
    <w:rsid w:val="00BB7BCF"/>
    <w:rsid w:val="00BB7CA9"/>
    <w:rsid w:val="00BC04E5"/>
    <w:rsid w:val="00BC0E08"/>
    <w:rsid w:val="00BC1F9F"/>
    <w:rsid w:val="00BC20E6"/>
    <w:rsid w:val="00BC236B"/>
    <w:rsid w:val="00BC2B07"/>
    <w:rsid w:val="00BC2BB4"/>
    <w:rsid w:val="00BC3149"/>
    <w:rsid w:val="00BC3DC0"/>
    <w:rsid w:val="00BC4853"/>
    <w:rsid w:val="00BC51B5"/>
    <w:rsid w:val="00BC65D9"/>
    <w:rsid w:val="00BC66DB"/>
    <w:rsid w:val="00BC6F08"/>
    <w:rsid w:val="00BC6FD2"/>
    <w:rsid w:val="00BC7899"/>
    <w:rsid w:val="00BC7C52"/>
    <w:rsid w:val="00BD037E"/>
    <w:rsid w:val="00BD0671"/>
    <w:rsid w:val="00BD0941"/>
    <w:rsid w:val="00BD0CF6"/>
    <w:rsid w:val="00BD1471"/>
    <w:rsid w:val="00BD14C5"/>
    <w:rsid w:val="00BD196A"/>
    <w:rsid w:val="00BD1BA9"/>
    <w:rsid w:val="00BD2024"/>
    <w:rsid w:val="00BD203F"/>
    <w:rsid w:val="00BD2081"/>
    <w:rsid w:val="00BD2090"/>
    <w:rsid w:val="00BD22CD"/>
    <w:rsid w:val="00BD2311"/>
    <w:rsid w:val="00BD33CE"/>
    <w:rsid w:val="00BD3561"/>
    <w:rsid w:val="00BD39B4"/>
    <w:rsid w:val="00BD459C"/>
    <w:rsid w:val="00BD4953"/>
    <w:rsid w:val="00BD4CA3"/>
    <w:rsid w:val="00BD4E20"/>
    <w:rsid w:val="00BD52A3"/>
    <w:rsid w:val="00BD570B"/>
    <w:rsid w:val="00BD6262"/>
    <w:rsid w:val="00BD6A0B"/>
    <w:rsid w:val="00BD6D70"/>
    <w:rsid w:val="00BD7433"/>
    <w:rsid w:val="00BD7EED"/>
    <w:rsid w:val="00BE0ABC"/>
    <w:rsid w:val="00BE11D0"/>
    <w:rsid w:val="00BE1B22"/>
    <w:rsid w:val="00BE2462"/>
    <w:rsid w:val="00BE2523"/>
    <w:rsid w:val="00BE2D17"/>
    <w:rsid w:val="00BE3161"/>
    <w:rsid w:val="00BE319E"/>
    <w:rsid w:val="00BE319F"/>
    <w:rsid w:val="00BE33AE"/>
    <w:rsid w:val="00BE38D2"/>
    <w:rsid w:val="00BE3B02"/>
    <w:rsid w:val="00BE3B33"/>
    <w:rsid w:val="00BE3B80"/>
    <w:rsid w:val="00BE3FCA"/>
    <w:rsid w:val="00BE4376"/>
    <w:rsid w:val="00BE4754"/>
    <w:rsid w:val="00BE4C30"/>
    <w:rsid w:val="00BE4C48"/>
    <w:rsid w:val="00BE4F43"/>
    <w:rsid w:val="00BE516D"/>
    <w:rsid w:val="00BE524A"/>
    <w:rsid w:val="00BE5E37"/>
    <w:rsid w:val="00BE5EEE"/>
    <w:rsid w:val="00BE60AB"/>
    <w:rsid w:val="00BE61C1"/>
    <w:rsid w:val="00BE63DF"/>
    <w:rsid w:val="00BE64AF"/>
    <w:rsid w:val="00BE6717"/>
    <w:rsid w:val="00BE69E2"/>
    <w:rsid w:val="00BE6B71"/>
    <w:rsid w:val="00BE7674"/>
    <w:rsid w:val="00BE7A99"/>
    <w:rsid w:val="00BE7AE2"/>
    <w:rsid w:val="00BE7C57"/>
    <w:rsid w:val="00BF0381"/>
    <w:rsid w:val="00BF1157"/>
    <w:rsid w:val="00BF1BDE"/>
    <w:rsid w:val="00BF1E5B"/>
    <w:rsid w:val="00BF1F73"/>
    <w:rsid w:val="00BF2107"/>
    <w:rsid w:val="00BF2CB7"/>
    <w:rsid w:val="00BF43B5"/>
    <w:rsid w:val="00BF446E"/>
    <w:rsid w:val="00BF4C5D"/>
    <w:rsid w:val="00BF5474"/>
    <w:rsid w:val="00BF5A99"/>
    <w:rsid w:val="00BF5C80"/>
    <w:rsid w:val="00BF69A8"/>
    <w:rsid w:val="00BF6DE8"/>
    <w:rsid w:val="00BF6E7B"/>
    <w:rsid w:val="00BF76C7"/>
    <w:rsid w:val="00BF7EE2"/>
    <w:rsid w:val="00C0026D"/>
    <w:rsid w:val="00C00B18"/>
    <w:rsid w:val="00C00EF6"/>
    <w:rsid w:val="00C01021"/>
    <w:rsid w:val="00C0141F"/>
    <w:rsid w:val="00C01822"/>
    <w:rsid w:val="00C022CD"/>
    <w:rsid w:val="00C03C34"/>
    <w:rsid w:val="00C04146"/>
    <w:rsid w:val="00C045B0"/>
    <w:rsid w:val="00C048AF"/>
    <w:rsid w:val="00C04B23"/>
    <w:rsid w:val="00C04DED"/>
    <w:rsid w:val="00C04F2C"/>
    <w:rsid w:val="00C05545"/>
    <w:rsid w:val="00C057A0"/>
    <w:rsid w:val="00C06702"/>
    <w:rsid w:val="00C06806"/>
    <w:rsid w:val="00C06D8E"/>
    <w:rsid w:val="00C07705"/>
    <w:rsid w:val="00C077B0"/>
    <w:rsid w:val="00C077E0"/>
    <w:rsid w:val="00C07DE6"/>
    <w:rsid w:val="00C10252"/>
    <w:rsid w:val="00C104D0"/>
    <w:rsid w:val="00C1057B"/>
    <w:rsid w:val="00C10853"/>
    <w:rsid w:val="00C12313"/>
    <w:rsid w:val="00C1263C"/>
    <w:rsid w:val="00C12683"/>
    <w:rsid w:val="00C1314D"/>
    <w:rsid w:val="00C13CFD"/>
    <w:rsid w:val="00C13E37"/>
    <w:rsid w:val="00C15342"/>
    <w:rsid w:val="00C154B5"/>
    <w:rsid w:val="00C15645"/>
    <w:rsid w:val="00C15FC3"/>
    <w:rsid w:val="00C16383"/>
    <w:rsid w:val="00C1642E"/>
    <w:rsid w:val="00C166C6"/>
    <w:rsid w:val="00C16A10"/>
    <w:rsid w:val="00C16D5B"/>
    <w:rsid w:val="00C1725D"/>
    <w:rsid w:val="00C17872"/>
    <w:rsid w:val="00C205E9"/>
    <w:rsid w:val="00C20861"/>
    <w:rsid w:val="00C212FC"/>
    <w:rsid w:val="00C215B4"/>
    <w:rsid w:val="00C2231B"/>
    <w:rsid w:val="00C22B00"/>
    <w:rsid w:val="00C23562"/>
    <w:rsid w:val="00C23BD0"/>
    <w:rsid w:val="00C23E1B"/>
    <w:rsid w:val="00C23F48"/>
    <w:rsid w:val="00C23FCF"/>
    <w:rsid w:val="00C2445D"/>
    <w:rsid w:val="00C2481B"/>
    <w:rsid w:val="00C260D5"/>
    <w:rsid w:val="00C262BD"/>
    <w:rsid w:val="00C26A86"/>
    <w:rsid w:val="00C26C05"/>
    <w:rsid w:val="00C26EC4"/>
    <w:rsid w:val="00C26FA0"/>
    <w:rsid w:val="00C26FD5"/>
    <w:rsid w:val="00C27A28"/>
    <w:rsid w:val="00C305F5"/>
    <w:rsid w:val="00C30920"/>
    <w:rsid w:val="00C30E04"/>
    <w:rsid w:val="00C310C2"/>
    <w:rsid w:val="00C31AF1"/>
    <w:rsid w:val="00C32D80"/>
    <w:rsid w:val="00C333E3"/>
    <w:rsid w:val="00C33C35"/>
    <w:rsid w:val="00C33CD6"/>
    <w:rsid w:val="00C33E81"/>
    <w:rsid w:val="00C347A7"/>
    <w:rsid w:val="00C35F02"/>
    <w:rsid w:val="00C3651B"/>
    <w:rsid w:val="00C36525"/>
    <w:rsid w:val="00C37011"/>
    <w:rsid w:val="00C374B2"/>
    <w:rsid w:val="00C37FAB"/>
    <w:rsid w:val="00C400B5"/>
    <w:rsid w:val="00C40EB3"/>
    <w:rsid w:val="00C419F3"/>
    <w:rsid w:val="00C41AEE"/>
    <w:rsid w:val="00C41BD9"/>
    <w:rsid w:val="00C42613"/>
    <w:rsid w:val="00C434FD"/>
    <w:rsid w:val="00C4350E"/>
    <w:rsid w:val="00C43954"/>
    <w:rsid w:val="00C43AF8"/>
    <w:rsid w:val="00C443C7"/>
    <w:rsid w:val="00C45D87"/>
    <w:rsid w:val="00C46E2E"/>
    <w:rsid w:val="00C471FD"/>
    <w:rsid w:val="00C47AC7"/>
    <w:rsid w:val="00C5015E"/>
    <w:rsid w:val="00C5016C"/>
    <w:rsid w:val="00C5048B"/>
    <w:rsid w:val="00C5050C"/>
    <w:rsid w:val="00C50D52"/>
    <w:rsid w:val="00C50F5D"/>
    <w:rsid w:val="00C5192E"/>
    <w:rsid w:val="00C527EB"/>
    <w:rsid w:val="00C52D56"/>
    <w:rsid w:val="00C52DE6"/>
    <w:rsid w:val="00C53437"/>
    <w:rsid w:val="00C539AF"/>
    <w:rsid w:val="00C55865"/>
    <w:rsid w:val="00C5590E"/>
    <w:rsid w:val="00C56177"/>
    <w:rsid w:val="00C5682E"/>
    <w:rsid w:val="00C56E1E"/>
    <w:rsid w:val="00C5795F"/>
    <w:rsid w:val="00C6016B"/>
    <w:rsid w:val="00C60536"/>
    <w:rsid w:val="00C60845"/>
    <w:rsid w:val="00C60939"/>
    <w:rsid w:val="00C61360"/>
    <w:rsid w:val="00C617DF"/>
    <w:rsid w:val="00C634A7"/>
    <w:rsid w:val="00C638D7"/>
    <w:rsid w:val="00C638DF"/>
    <w:rsid w:val="00C641E4"/>
    <w:rsid w:val="00C643C5"/>
    <w:rsid w:val="00C64720"/>
    <w:rsid w:val="00C649CE"/>
    <w:rsid w:val="00C64A92"/>
    <w:rsid w:val="00C64B34"/>
    <w:rsid w:val="00C64D13"/>
    <w:rsid w:val="00C650F7"/>
    <w:rsid w:val="00C6517F"/>
    <w:rsid w:val="00C66160"/>
    <w:rsid w:val="00C6622D"/>
    <w:rsid w:val="00C668AA"/>
    <w:rsid w:val="00C66952"/>
    <w:rsid w:val="00C66E50"/>
    <w:rsid w:val="00C66F0A"/>
    <w:rsid w:val="00C676BB"/>
    <w:rsid w:val="00C67A8A"/>
    <w:rsid w:val="00C67B8F"/>
    <w:rsid w:val="00C67BA6"/>
    <w:rsid w:val="00C70DA3"/>
    <w:rsid w:val="00C7103E"/>
    <w:rsid w:val="00C71128"/>
    <w:rsid w:val="00C71920"/>
    <w:rsid w:val="00C722FE"/>
    <w:rsid w:val="00C72A63"/>
    <w:rsid w:val="00C73EB3"/>
    <w:rsid w:val="00C73ECB"/>
    <w:rsid w:val="00C74753"/>
    <w:rsid w:val="00C74AA1"/>
    <w:rsid w:val="00C74AEB"/>
    <w:rsid w:val="00C75166"/>
    <w:rsid w:val="00C7599B"/>
    <w:rsid w:val="00C75CC8"/>
    <w:rsid w:val="00C765CA"/>
    <w:rsid w:val="00C76D02"/>
    <w:rsid w:val="00C77190"/>
    <w:rsid w:val="00C77241"/>
    <w:rsid w:val="00C77820"/>
    <w:rsid w:val="00C77A70"/>
    <w:rsid w:val="00C8042A"/>
    <w:rsid w:val="00C80752"/>
    <w:rsid w:val="00C80813"/>
    <w:rsid w:val="00C80AE4"/>
    <w:rsid w:val="00C81110"/>
    <w:rsid w:val="00C811C1"/>
    <w:rsid w:val="00C81805"/>
    <w:rsid w:val="00C81F1F"/>
    <w:rsid w:val="00C824D3"/>
    <w:rsid w:val="00C8290E"/>
    <w:rsid w:val="00C83080"/>
    <w:rsid w:val="00C836DE"/>
    <w:rsid w:val="00C841A0"/>
    <w:rsid w:val="00C841B6"/>
    <w:rsid w:val="00C84890"/>
    <w:rsid w:val="00C848D2"/>
    <w:rsid w:val="00C84A56"/>
    <w:rsid w:val="00C84E31"/>
    <w:rsid w:val="00C857F1"/>
    <w:rsid w:val="00C8682F"/>
    <w:rsid w:val="00C868E4"/>
    <w:rsid w:val="00C86AC6"/>
    <w:rsid w:val="00C86FE4"/>
    <w:rsid w:val="00C871C4"/>
    <w:rsid w:val="00C87AF9"/>
    <w:rsid w:val="00C91563"/>
    <w:rsid w:val="00C91CCA"/>
    <w:rsid w:val="00C91D1D"/>
    <w:rsid w:val="00C9224B"/>
    <w:rsid w:val="00C9384A"/>
    <w:rsid w:val="00C93DDF"/>
    <w:rsid w:val="00C94232"/>
    <w:rsid w:val="00C942A1"/>
    <w:rsid w:val="00C94518"/>
    <w:rsid w:val="00C94875"/>
    <w:rsid w:val="00C95458"/>
    <w:rsid w:val="00C95A90"/>
    <w:rsid w:val="00C95FC0"/>
    <w:rsid w:val="00C960BC"/>
    <w:rsid w:val="00C961E7"/>
    <w:rsid w:val="00C97190"/>
    <w:rsid w:val="00C971FA"/>
    <w:rsid w:val="00C97301"/>
    <w:rsid w:val="00C97B6B"/>
    <w:rsid w:val="00CA0046"/>
    <w:rsid w:val="00CA0414"/>
    <w:rsid w:val="00CA0CFB"/>
    <w:rsid w:val="00CA1130"/>
    <w:rsid w:val="00CA1870"/>
    <w:rsid w:val="00CA24C6"/>
    <w:rsid w:val="00CA25B5"/>
    <w:rsid w:val="00CA2735"/>
    <w:rsid w:val="00CA2F1D"/>
    <w:rsid w:val="00CA3266"/>
    <w:rsid w:val="00CA33F4"/>
    <w:rsid w:val="00CA3B8F"/>
    <w:rsid w:val="00CA3CC7"/>
    <w:rsid w:val="00CA3EC3"/>
    <w:rsid w:val="00CA4092"/>
    <w:rsid w:val="00CA415F"/>
    <w:rsid w:val="00CA4821"/>
    <w:rsid w:val="00CA529D"/>
    <w:rsid w:val="00CA52EF"/>
    <w:rsid w:val="00CA53B1"/>
    <w:rsid w:val="00CA57B5"/>
    <w:rsid w:val="00CA5D77"/>
    <w:rsid w:val="00CA5EA7"/>
    <w:rsid w:val="00CA68E3"/>
    <w:rsid w:val="00CA6AF9"/>
    <w:rsid w:val="00CA6CD6"/>
    <w:rsid w:val="00CA6D7D"/>
    <w:rsid w:val="00CA720E"/>
    <w:rsid w:val="00CA75C4"/>
    <w:rsid w:val="00CA7670"/>
    <w:rsid w:val="00CB026C"/>
    <w:rsid w:val="00CB0811"/>
    <w:rsid w:val="00CB09E3"/>
    <w:rsid w:val="00CB0B47"/>
    <w:rsid w:val="00CB10A9"/>
    <w:rsid w:val="00CB18B3"/>
    <w:rsid w:val="00CB1C1F"/>
    <w:rsid w:val="00CB2051"/>
    <w:rsid w:val="00CB28A1"/>
    <w:rsid w:val="00CB2A5B"/>
    <w:rsid w:val="00CB2C14"/>
    <w:rsid w:val="00CB3BC2"/>
    <w:rsid w:val="00CB4469"/>
    <w:rsid w:val="00CB4541"/>
    <w:rsid w:val="00CB52CF"/>
    <w:rsid w:val="00CB5A49"/>
    <w:rsid w:val="00CB5BC1"/>
    <w:rsid w:val="00CB5C15"/>
    <w:rsid w:val="00CB5F95"/>
    <w:rsid w:val="00CB678B"/>
    <w:rsid w:val="00CB6AD6"/>
    <w:rsid w:val="00CB731B"/>
    <w:rsid w:val="00CB7396"/>
    <w:rsid w:val="00CB74FF"/>
    <w:rsid w:val="00CC003F"/>
    <w:rsid w:val="00CC0B6C"/>
    <w:rsid w:val="00CC1228"/>
    <w:rsid w:val="00CC1A21"/>
    <w:rsid w:val="00CC1C56"/>
    <w:rsid w:val="00CC21C9"/>
    <w:rsid w:val="00CC2451"/>
    <w:rsid w:val="00CC2726"/>
    <w:rsid w:val="00CC2AE0"/>
    <w:rsid w:val="00CC2E98"/>
    <w:rsid w:val="00CC3052"/>
    <w:rsid w:val="00CC34A4"/>
    <w:rsid w:val="00CC3FD0"/>
    <w:rsid w:val="00CC4819"/>
    <w:rsid w:val="00CC4A28"/>
    <w:rsid w:val="00CC4BC9"/>
    <w:rsid w:val="00CC4F97"/>
    <w:rsid w:val="00CC525E"/>
    <w:rsid w:val="00CC57D8"/>
    <w:rsid w:val="00CC5D02"/>
    <w:rsid w:val="00CC66DE"/>
    <w:rsid w:val="00CC6C6C"/>
    <w:rsid w:val="00CC6CDD"/>
    <w:rsid w:val="00CC72DC"/>
    <w:rsid w:val="00CC72F0"/>
    <w:rsid w:val="00CC78F7"/>
    <w:rsid w:val="00CC7C0C"/>
    <w:rsid w:val="00CD1085"/>
    <w:rsid w:val="00CD15D0"/>
    <w:rsid w:val="00CD17C4"/>
    <w:rsid w:val="00CD1C7C"/>
    <w:rsid w:val="00CD29DB"/>
    <w:rsid w:val="00CD3438"/>
    <w:rsid w:val="00CD3B9E"/>
    <w:rsid w:val="00CD3C7F"/>
    <w:rsid w:val="00CD3DD1"/>
    <w:rsid w:val="00CD3EA0"/>
    <w:rsid w:val="00CD3F79"/>
    <w:rsid w:val="00CD47AD"/>
    <w:rsid w:val="00CD47D6"/>
    <w:rsid w:val="00CD548B"/>
    <w:rsid w:val="00CD5694"/>
    <w:rsid w:val="00CD57D9"/>
    <w:rsid w:val="00CD58E5"/>
    <w:rsid w:val="00CD5CFD"/>
    <w:rsid w:val="00CD6113"/>
    <w:rsid w:val="00CD6697"/>
    <w:rsid w:val="00CD6890"/>
    <w:rsid w:val="00CD6CBD"/>
    <w:rsid w:val="00CD74ED"/>
    <w:rsid w:val="00CD75E3"/>
    <w:rsid w:val="00CD7B80"/>
    <w:rsid w:val="00CD7E67"/>
    <w:rsid w:val="00CE0BF7"/>
    <w:rsid w:val="00CE1A84"/>
    <w:rsid w:val="00CE1A8E"/>
    <w:rsid w:val="00CE1F97"/>
    <w:rsid w:val="00CE2477"/>
    <w:rsid w:val="00CE2627"/>
    <w:rsid w:val="00CE280B"/>
    <w:rsid w:val="00CE2854"/>
    <w:rsid w:val="00CE2EB2"/>
    <w:rsid w:val="00CE36DC"/>
    <w:rsid w:val="00CE3C46"/>
    <w:rsid w:val="00CE525D"/>
    <w:rsid w:val="00CE54C5"/>
    <w:rsid w:val="00CE5C99"/>
    <w:rsid w:val="00CE6EBD"/>
    <w:rsid w:val="00CE7BE1"/>
    <w:rsid w:val="00CF0D6F"/>
    <w:rsid w:val="00CF0F6F"/>
    <w:rsid w:val="00CF14B1"/>
    <w:rsid w:val="00CF172E"/>
    <w:rsid w:val="00CF184E"/>
    <w:rsid w:val="00CF23EE"/>
    <w:rsid w:val="00CF254B"/>
    <w:rsid w:val="00CF25A9"/>
    <w:rsid w:val="00CF2A2D"/>
    <w:rsid w:val="00CF3410"/>
    <w:rsid w:val="00CF39F5"/>
    <w:rsid w:val="00CF3CE8"/>
    <w:rsid w:val="00CF3E83"/>
    <w:rsid w:val="00CF41D3"/>
    <w:rsid w:val="00CF496F"/>
    <w:rsid w:val="00CF5404"/>
    <w:rsid w:val="00CF59DD"/>
    <w:rsid w:val="00CF5A96"/>
    <w:rsid w:val="00CF5BAA"/>
    <w:rsid w:val="00CF5D93"/>
    <w:rsid w:val="00CF6DB5"/>
    <w:rsid w:val="00CF7A5D"/>
    <w:rsid w:val="00CF7E52"/>
    <w:rsid w:val="00D003F2"/>
    <w:rsid w:val="00D00B5D"/>
    <w:rsid w:val="00D00E11"/>
    <w:rsid w:val="00D01426"/>
    <w:rsid w:val="00D016A0"/>
    <w:rsid w:val="00D01FDD"/>
    <w:rsid w:val="00D025CD"/>
    <w:rsid w:val="00D02619"/>
    <w:rsid w:val="00D02712"/>
    <w:rsid w:val="00D02713"/>
    <w:rsid w:val="00D028F7"/>
    <w:rsid w:val="00D02A8B"/>
    <w:rsid w:val="00D02C25"/>
    <w:rsid w:val="00D035B8"/>
    <w:rsid w:val="00D03DE7"/>
    <w:rsid w:val="00D03F30"/>
    <w:rsid w:val="00D040F6"/>
    <w:rsid w:val="00D0505C"/>
    <w:rsid w:val="00D05AEB"/>
    <w:rsid w:val="00D06377"/>
    <w:rsid w:val="00D06F59"/>
    <w:rsid w:val="00D070EB"/>
    <w:rsid w:val="00D07574"/>
    <w:rsid w:val="00D10D09"/>
    <w:rsid w:val="00D11357"/>
    <w:rsid w:val="00D115B8"/>
    <w:rsid w:val="00D11741"/>
    <w:rsid w:val="00D12040"/>
    <w:rsid w:val="00D1217F"/>
    <w:rsid w:val="00D12325"/>
    <w:rsid w:val="00D126F7"/>
    <w:rsid w:val="00D1286E"/>
    <w:rsid w:val="00D129F5"/>
    <w:rsid w:val="00D12ED9"/>
    <w:rsid w:val="00D13700"/>
    <w:rsid w:val="00D13D5F"/>
    <w:rsid w:val="00D13D77"/>
    <w:rsid w:val="00D141DD"/>
    <w:rsid w:val="00D1494A"/>
    <w:rsid w:val="00D14C02"/>
    <w:rsid w:val="00D14E72"/>
    <w:rsid w:val="00D15187"/>
    <w:rsid w:val="00D154EF"/>
    <w:rsid w:val="00D16407"/>
    <w:rsid w:val="00D16430"/>
    <w:rsid w:val="00D16A73"/>
    <w:rsid w:val="00D16AAB"/>
    <w:rsid w:val="00D16EBE"/>
    <w:rsid w:val="00D1704F"/>
    <w:rsid w:val="00D20999"/>
    <w:rsid w:val="00D20C2A"/>
    <w:rsid w:val="00D215C3"/>
    <w:rsid w:val="00D2173B"/>
    <w:rsid w:val="00D21887"/>
    <w:rsid w:val="00D21B9C"/>
    <w:rsid w:val="00D21DE4"/>
    <w:rsid w:val="00D232AE"/>
    <w:rsid w:val="00D23B4C"/>
    <w:rsid w:val="00D23C43"/>
    <w:rsid w:val="00D23E0B"/>
    <w:rsid w:val="00D23F29"/>
    <w:rsid w:val="00D254A0"/>
    <w:rsid w:val="00D25557"/>
    <w:rsid w:val="00D25D02"/>
    <w:rsid w:val="00D264A4"/>
    <w:rsid w:val="00D264D8"/>
    <w:rsid w:val="00D266DE"/>
    <w:rsid w:val="00D2691F"/>
    <w:rsid w:val="00D26FB9"/>
    <w:rsid w:val="00D2708F"/>
    <w:rsid w:val="00D272B9"/>
    <w:rsid w:val="00D272D1"/>
    <w:rsid w:val="00D27F01"/>
    <w:rsid w:val="00D30971"/>
    <w:rsid w:val="00D31007"/>
    <w:rsid w:val="00D31689"/>
    <w:rsid w:val="00D325D3"/>
    <w:rsid w:val="00D32661"/>
    <w:rsid w:val="00D326B2"/>
    <w:rsid w:val="00D33134"/>
    <w:rsid w:val="00D33D06"/>
    <w:rsid w:val="00D342FF"/>
    <w:rsid w:val="00D34E6D"/>
    <w:rsid w:val="00D355E8"/>
    <w:rsid w:val="00D3664B"/>
    <w:rsid w:val="00D367F1"/>
    <w:rsid w:val="00D368C1"/>
    <w:rsid w:val="00D36B6D"/>
    <w:rsid w:val="00D36EA4"/>
    <w:rsid w:val="00D37A08"/>
    <w:rsid w:val="00D4025C"/>
    <w:rsid w:val="00D40496"/>
    <w:rsid w:val="00D40B80"/>
    <w:rsid w:val="00D40DC9"/>
    <w:rsid w:val="00D42669"/>
    <w:rsid w:val="00D43CE2"/>
    <w:rsid w:val="00D43DD6"/>
    <w:rsid w:val="00D43FB9"/>
    <w:rsid w:val="00D44BF8"/>
    <w:rsid w:val="00D45060"/>
    <w:rsid w:val="00D453BE"/>
    <w:rsid w:val="00D4543F"/>
    <w:rsid w:val="00D454EC"/>
    <w:rsid w:val="00D45515"/>
    <w:rsid w:val="00D4676A"/>
    <w:rsid w:val="00D46E68"/>
    <w:rsid w:val="00D470EC"/>
    <w:rsid w:val="00D4774B"/>
    <w:rsid w:val="00D47BA8"/>
    <w:rsid w:val="00D47CA1"/>
    <w:rsid w:val="00D47E29"/>
    <w:rsid w:val="00D50563"/>
    <w:rsid w:val="00D51C2C"/>
    <w:rsid w:val="00D52287"/>
    <w:rsid w:val="00D524C8"/>
    <w:rsid w:val="00D52B1C"/>
    <w:rsid w:val="00D52EB8"/>
    <w:rsid w:val="00D5416C"/>
    <w:rsid w:val="00D541D6"/>
    <w:rsid w:val="00D54722"/>
    <w:rsid w:val="00D5586D"/>
    <w:rsid w:val="00D55A36"/>
    <w:rsid w:val="00D5689A"/>
    <w:rsid w:val="00D57072"/>
    <w:rsid w:val="00D570F5"/>
    <w:rsid w:val="00D578D1"/>
    <w:rsid w:val="00D60545"/>
    <w:rsid w:val="00D607DB"/>
    <w:rsid w:val="00D60B40"/>
    <w:rsid w:val="00D60DDC"/>
    <w:rsid w:val="00D61120"/>
    <w:rsid w:val="00D61249"/>
    <w:rsid w:val="00D61AE5"/>
    <w:rsid w:val="00D6236E"/>
    <w:rsid w:val="00D6354D"/>
    <w:rsid w:val="00D63BEF"/>
    <w:rsid w:val="00D63DDC"/>
    <w:rsid w:val="00D64636"/>
    <w:rsid w:val="00D64B54"/>
    <w:rsid w:val="00D64F7B"/>
    <w:rsid w:val="00D65185"/>
    <w:rsid w:val="00D6568C"/>
    <w:rsid w:val="00D65AF4"/>
    <w:rsid w:val="00D65D04"/>
    <w:rsid w:val="00D6666D"/>
    <w:rsid w:val="00D668E4"/>
    <w:rsid w:val="00D672D7"/>
    <w:rsid w:val="00D67466"/>
    <w:rsid w:val="00D6790C"/>
    <w:rsid w:val="00D67B8A"/>
    <w:rsid w:val="00D67CEE"/>
    <w:rsid w:val="00D7047B"/>
    <w:rsid w:val="00D70735"/>
    <w:rsid w:val="00D7175B"/>
    <w:rsid w:val="00D722AC"/>
    <w:rsid w:val="00D7243E"/>
    <w:rsid w:val="00D7253C"/>
    <w:rsid w:val="00D729A9"/>
    <w:rsid w:val="00D72F6C"/>
    <w:rsid w:val="00D73038"/>
    <w:rsid w:val="00D73756"/>
    <w:rsid w:val="00D737D3"/>
    <w:rsid w:val="00D737E4"/>
    <w:rsid w:val="00D741F4"/>
    <w:rsid w:val="00D748D9"/>
    <w:rsid w:val="00D74FEC"/>
    <w:rsid w:val="00D75505"/>
    <w:rsid w:val="00D76695"/>
    <w:rsid w:val="00D76A0A"/>
    <w:rsid w:val="00D77098"/>
    <w:rsid w:val="00D77DAB"/>
    <w:rsid w:val="00D80350"/>
    <w:rsid w:val="00D80998"/>
    <w:rsid w:val="00D80ACF"/>
    <w:rsid w:val="00D80DF2"/>
    <w:rsid w:val="00D815B8"/>
    <w:rsid w:val="00D8175B"/>
    <w:rsid w:val="00D818A8"/>
    <w:rsid w:val="00D81B81"/>
    <w:rsid w:val="00D8228F"/>
    <w:rsid w:val="00D83B57"/>
    <w:rsid w:val="00D83CB1"/>
    <w:rsid w:val="00D840E3"/>
    <w:rsid w:val="00D848B9"/>
    <w:rsid w:val="00D84ADF"/>
    <w:rsid w:val="00D84B27"/>
    <w:rsid w:val="00D85C5A"/>
    <w:rsid w:val="00D862DA"/>
    <w:rsid w:val="00D8640C"/>
    <w:rsid w:val="00D86456"/>
    <w:rsid w:val="00D86E2B"/>
    <w:rsid w:val="00D870BD"/>
    <w:rsid w:val="00D90E4D"/>
    <w:rsid w:val="00D90ED8"/>
    <w:rsid w:val="00D91011"/>
    <w:rsid w:val="00D91992"/>
    <w:rsid w:val="00D926D0"/>
    <w:rsid w:val="00D9280C"/>
    <w:rsid w:val="00D929DB"/>
    <w:rsid w:val="00D92FD5"/>
    <w:rsid w:val="00D930C4"/>
    <w:rsid w:val="00D936C9"/>
    <w:rsid w:val="00D939AC"/>
    <w:rsid w:val="00D939F8"/>
    <w:rsid w:val="00D93C1A"/>
    <w:rsid w:val="00D95393"/>
    <w:rsid w:val="00D9592F"/>
    <w:rsid w:val="00D95A9F"/>
    <w:rsid w:val="00D95D5F"/>
    <w:rsid w:val="00D95FCB"/>
    <w:rsid w:val="00D966E3"/>
    <w:rsid w:val="00DA009B"/>
    <w:rsid w:val="00DA0E86"/>
    <w:rsid w:val="00DA153C"/>
    <w:rsid w:val="00DA1824"/>
    <w:rsid w:val="00DA2033"/>
    <w:rsid w:val="00DA264C"/>
    <w:rsid w:val="00DA2A25"/>
    <w:rsid w:val="00DA34B1"/>
    <w:rsid w:val="00DA3D7B"/>
    <w:rsid w:val="00DA3E3D"/>
    <w:rsid w:val="00DA4D32"/>
    <w:rsid w:val="00DA5F26"/>
    <w:rsid w:val="00DA6721"/>
    <w:rsid w:val="00DA6D9B"/>
    <w:rsid w:val="00DA7189"/>
    <w:rsid w:val="00DA7370"/>
    <w:rsid w:val="00DA79C9"/>
    <w:rsid w:val="00DA7B40"/>
    <w:rsid w:val="00DB024F"/>
    <w:rsid w:val="00DB0431"/>
    <w:rsid w:val="00DB0BF0"/>
    <w:rsid w:val="00DB1190"/>
    <w:rsid w:val="00DB1C22"/>
    <w:rsid w:val="00DB1DC7"/>
    <w:rsid w:val="00DB2EFC"/>
    <w:rsid w:val="00DB374D"/>
    <w:rsid w:val="00DB3A57"/>
    <w:rsid w:val="00DB4594"/>
    <w:rsid w:val="00DB4AA3"/>
    <w:rsid w:val="00DB4F31"/>
    <w:rsid w:val="00DB4F4F"/>
    <w:rsid w:val="00DB512E"/>
    <w:rsid w:val="00DB54FE"/>
    <w:rsid w:val="00DB5AFD"/>
    <w:rsid w:val="00DB6600"/>
    <w:rsid w:val="00DB68FF"/>
    <w:rsid w:val="00DB7230"/>
    <w:rsid w:val="00DB72E1"/>
    <w:rsid w:val="00DB763B"/>
    <w:rsid w:val="00DC00D4"/>
    <w:rsid w:val="00DC03FB"/>
    <w:rsid w:val="00DC0C7D"/>
    <w:rsid w:val="00DC0F64"/>
    <w:rsid w:val="00DC204D"/>
    <w:rsid w:val="00DC301E"/>
    <w:rsid w:val="00DC32BA"/>
    <w:rsid w:val="00DC3F34"/>
    <w:rsid w:val="00DC40E0"/>
    <w:rsid w:val="00DC51EE"/>
    <w:rsid w:val="00DC5C35"/>
    <w:rsid w:val="00DC5FD8"/>
    <w:rsid w:val="00DC6323"/>
    <w:rsid w:val="00DC63D8"/>
    <w:rsid w:val="00DC6644"/>
    <w:rsid w:val="00DC6C41"/>
    <w:rsid w:val="00DC729E"/>
    <w:rsid w:val="00DC74FF"/>
    <w:rsid w:val="00DC7698"/>
    <w:rsid w:val="00DC7CB2"/>
    <w:rsid w:val="00DD0E7D"/>
    <w:rsid w:val="00DD12A7"/>
    <w:rsid w:val="00DD161A"/>
    <w:rsid w:val="00DD2475"/>
    <w:rsid w:val="00DD2840"/>
    <w:rsid w:val="00DD297D"/>
    <w:rsid w:val="00DD3A2C"/>
    <w:rsid w:val="00DD3AE5"/>
    <w:rsid w:val="00DD3E9A"/>
    <w:rsid w:val="00DD41D4"/>
    <w:rsid w:val="00DD4D60"/>
    <w:rsid w:val="00DD5924"/>
    <w:rsid w:val="00DD5BA6"/>
    <w:rsid w:val="00DD6518"/>
    <w:rsid w:val="00DD6537"/>
    <w:rsid w:val="00DD662D"/>
    <w:rsid w:val="00DD6667"/>
    <w:rsid w:val="00DD6B3F"/>
    <w:rsid w:val="00DD74A2"/>
    <w:rsid w:val="00DD7C2A"/>
    <w:rsid w:val="00DE02C7"/>
    <w:rsid w:val="00DE08A2"/>
    <w:rsid w:val="00DE1003"/>
    <w:rsid w:val="00DE1368"/>
    <w:rsid w:val="00DE1B6E"/>
    <w:rsid w:val="00DE1D9F"/>
    <w:rsid w:val="00DE1ECB"/>
    <w:rsid w:val="00DE211A"/>
    <w:rsid w:val="00DE2660"/>
    <w:rsid w:val="00DE2987"/>
    <w:rsid w:val="00DE2A97"/>
    <w:rsid w:val="00DE32BF"/>
    <w:rsid w:val="00DE3357"/>
    <w:rsid w:val="00DE383B"/>
    <w:rsid w:val="00DE3C4C"/>
    <w:rsid w:val="00DE3C89"/>
    <w:rsid w:val="00DE3CD6"/>
    <w:rsid w:val="00DE49BE"/>
    <w:rsid w:val="00DE565E"/>
    <w:rsid w:val="00DE586B"/>
    <w:rsid w:val="00DE6576"/>
    <w:rsid w:val="00DE70A9"/>
    <w:rsid w:val="00DE7183"/>
    <w:rsid w:val="00DE78D1"/>
    <w:rsid w:val="00DE7E16"/>
    <w:rsid w:val="00DF004C"/>
    <w:rsid w:val="00DF09F7"/>
    <w:rsid w:val="00DF158E"/>
    <w:rsid w:val="00DF1C1C"/>
    <w:rsid w:val="00DF28B3"/>
    <w:rsid w:val="00DF3DEB"/>
    <w:rsid w:val="00DF4423"/>
    <w:rsid w:val="00DF4614"/>
    <w:rsid w:val="00DF4E89"/>
    <w:rsid w:val="00DF527B"/>
    <w:rsid w:val="00DF5A30"/>
    <w:rsid w:val="00DF6100"/>
    <w:rsid w:val="00DF6364"/>
    <w:rsid w:val="00DF6D10"/>
    <w:rsid w:val="00DF7B25"/>
    <w:rsid w:val="00E00922"/>
    <w:rsid w:val="00E00B67"/>
    <w:rsid w:val="00E02C31"/>
    <w:rsid w:val="00E033A3"/>
    <w:rsid w:val="00E03700"/>
    <w:rsid w:val="00E03B96"/>
    <w:rsid w:val="00E03BD0"/>
    <w:rsid w:val="00E03E20"/>
    <w:rsid w:val="00E04413"/>
    <w:rsid w:val="00E04840"/>
    <w:rsid w:val="00E04A89"/>
    <w:rsid w:val="00E059D1"/>
    <w:rsid w:val="00E06747"/>
    <w:rsid w:val="00E07742"/>
    <w:rsid w:val="00E112A0"/>
    <w:rsid w:val="00E112EF"/>
    <w:rsid w:val="00E11701"/>
    <w:rsid w:val="00E12DA8"/>
    <w:rsid w:val="00E12F8A"/>
    <w:rsid w:val="00E13188"/>
    <w:rsid w:val="00E13216"/>
    <w:rsid w:val="00E135A1"/>
    <w:rsid w:val="00E141F1"/>
    <w:rsid w:val="00E1496E"/>
    <w:rsid w:val="00E14A86"/>
    <w:rsid w:val="00E14DF2"/>
    <w:rsid w:val="00E153BD"/>
    <w:rsid w:val="00E15A66"/>
    <w:rsid w:val="00E167AE"/>
    <w:rsid w:val="00E16C0D"/>
    <w:rsid w:val="00E16EF1"/>
    <w:rsid w:val="00E1742B"/>
    <w:rsid w:val="00E176DA"/>
    <w:rsid w:val="00E177A0"/>
    <w:rsid w:val="00E17E79"/>
    <w:rsid w:val="00E17F63"/>
    <w:rsid w:val="00E205C1"/>
    <w:rsid w:val="00E20811"/>
    <w:rsid w:val="00E20A3D"/>
    <w:rsid w:val="00E20E65"/>
    <w:rsid w:val="00E2134C"/>
    <w:rsid w:val="00E213B8"/>
    <w:rsid w:val="00E21CE1"/>
    <w:rsid w:val="00E22731"/>
    <w:rsid w:val="00E22755"/>
    <w:rsid w:val="00E229E9"/>
    <w:rsid w:val="00E230E2"/>
    <w:rsid w:val="00E230E3"/>
    <w:rsid w:val="00E232FC"/>
    <w:rsid w:val="00E235C7"/>
    <w:rsid w:val="00E236DD"/>
    <w:rsid w:val="00E23780"/>
    <w:rsid w:val="00E2378F"/>
    <w:rsid w:val="00E23C66"/>
    <w:rsid w:val="00E246DA"/>
    <w:rsid w:val="00E25639"/>
    <w:rsid w:val="00E2572A"/>
    <w:rsid w:val="00E25902"/>
    <w:rsid w:val="00E25961"/>
    <w:rsid w:val="00E26445"/>
    <w:rsid w:val="00E26926"/>
    <w:rsid w:val="00E26979"/>
    <w:rsid w:val="00E26B95"/>
    <w:rsid w:val="00E270F6"/>
    <w:rsid w:val="00E27440"/>
    <w:rsid w:val="00E27563"/>
    <w:rsid w:val="00E27CBD"/>
    <w:rsid w:val="00E31386"/>
    <w:rsid w:val="00E318E1"/>
    <w:rsid w:val="00E3214F"/>
    <w:rsid w:val="00E32B73"/>
    <w:rsid w:val="00E3305B"/>
    <w:rsid w:val="00E330BD"/>
    <w:rsid w:val="00E33261"/>
    <w:rsid w:val="00E33448"/>
    <w:rsid w:val="00E3400E"/>
    <w:rsid w:val="00E34B3A"/>
    <w:rsid w:val="00E3508E"/>
    <w:rsid w:val="00E35F79"/>
    <w:rsid w:val="00E3631A"/>
    <w:rsid w:val="00E368C3"/>
    <w:rsid w:val="00E36BCC"/>
    <w:rsid w:val="00E3764A"/>
    <w:rsid w:val="00E40524"/>
    <w:rsid w:val="00E411D8"/>
    <w:rsid w:val="00E41394"/>
    <w:rsid w:val="00E422BD"/>
    <w:rsid w:val="00E42700"/>
    <w:rsid w:val="00E431C5"/>
    <w:rsid w:val="00E4365F"/>
    <w:rsid w:val="00E43A49"/>
    <w:rsid w:val="00E43C06"/>
    <w:rsid w:val="00E441D7"/>
    <w:rsid w:val="00E449B1"/>
    <w:rsid w:val="00E44BA1"/>
    <w:rsid w:val="00E44BDE"/>
    <w:rsid w:val="00E452BE"/>
    <w:rsid w:val="00E4536D"/>
    <w:rsid w:val="00E457B5"/>
    <w:rsid w:val="00E45ABC"/>
    <w:rsid w:val="00E4642A"/>
    <w:rsid w:val="00E4664F"/>
    <w:rsid w:val="00E467F1"/>
    <w:rsid w:val="00E47B31"/>
    <w:rsid w:val="00E47D0C"/>
    <w:rsid w:val="00E501F7"/>
    <w:rsid w:val="00E5035C"/>
    <w:rsid w:val="00E505D9"/>
    <w:rsid w:val="00E5082D"/>
    <w:rsid w:val="00E50C51"/>
    <w:rsid w:val="00E50CF8"/>
    <w:rsid w:val="00E50D5F"/>
    <w:rsid w:val="00E51ACE"/>
    <w:rsid w:val="00E51B9F"/>
    <w:rsid w:val="00E51C4D"/>
    <w:rsid w:val="00E52221"/>
    <w:rsid w:val="00E5318B"/>
    <w:rsid w:val="00E53320"/>
    <w:rsid w:val="00E53666"/>
    <w:rsid w:val="00E538B6"/>
    <w:rsid w:val="00E53E37"/>
    <w:rsid w:val="00E543D0"/>
    <w:rsid w:val="00E54776"/>
    <w:rsid w:val="00E54AB7"/>
    <w:rsid w:val="00E55B6C"/>
    <w:rsid w:val="00E55BAC"/>
    <w:rsid w:val="00E55F82"/>
    <w:rsid w:val="00E560B3"/>
    <w:rsid w:val="00E56578"/>
    <w:rsid w:val="00E574A9"/>
    <w:rsid w:val="00E574F0"/>
    <w:rsid w:val="00E5797A"/>
    <w:rsid w:val="00E57D19"/>
    <w:rsid w:val="00E603C7"/>
    <w:rsid w:val="00E605DA"/>
    <w:rsid w:val="00E6060C"/>
    <w:rsid w:val="00E60988"/>
    <w:rsid w:val="00E61355"/>
    <w:rsid w:val="00E613BC"/>
    <w:rsid w:val="00E61428"/>
    <w:rsid w:val="00E61C16"/>
    <w:rsid w:val="00E61C2A"/>
    <w:rsid w:val="00E61F1E"/>
    <w:rsid w:val="00E62127"/>
    <w:rsid w:val="00E62895"/>
    <w:rsid w:val="00E629F8"/>
    <w:rsid w:val="00E63117"/>
    <w:rsid w:val="00E64633"/>
    <w:rsid w:val="00E646CE"/>
    <w:rsid w:val="00E656E8"/>
    <w:rsid w:val="00E6578E"/>
    <w:rsid w:val="00E65A14"/>
    <w:rsid w:val="00E65E14"/>
    <w:rsid w:val="00E66758"/>
    <w:rsid w:val="00E66861"/>
    <w:rsid w:val="00E66C3B"/>
    <w:rsid w:val="00E66D55"/>
    <w:rsid w:val="00E66E21"/>
    <w:rsid w:val="00E67063"/>
    <w:rsid w:val="00E67B13"/>
    <w:rsid w:val="00E67C53"/>
    <w:rsid w:val="00E70291"/>
    <w:rsid w:val="00E704C8"/>
    <w:rsid w:val="00E70E90"/>
    <w:rsid w:val="00E70F38"/>
    <w:rsid w:val="00E710FC"/>
    <w:rsid w:val="00E71915"/>
    <w:rsid w:val="00E71B90"/>
    <w:rsid w:val="00E71CF4"/>
    <w:rsid w:val="00E721B8"/>
    <w:rsid w:val="00E7236D"/>
    <w:rsid w:val="00E72A51"/>
    <w:rsid w:val="00E745ED"/>
    <w:rsid w:val="00E74936"/>
    <w:rsid w:val="00E75307"/>
    <w:rsid w:val="00E75659"/>
    <w:rsid w:val="00E758BA"/>
    <w:rsid w:val="00E75A28"/>
    <w:rsid w:val="00E7733E"/>
    <w:rsid w:val="00E77442"/>
    <w:rsid w:val="00E776F4"/>
    <w:rsid w:val="00E77D00"/>
    <w:rsid w:val="00E80916"/>
    <w:rsid w:val="00E80C80"/>
    <w:rsid w:val="00E80F87"/>
    <w:rsid w:val="00E821A4"/>
    <w:rsid w:val="00E829D2"/>
    <w:rsid w:val="00E82E6A"/>
    <w:rsid w:val="00E832FA"/>
    <w:rsid w:val="00E833AD"/>
    <w:rsid w:val="00E835B6"/>
    <w:rsid w:val="00E840DF"/>
    <w:rsid w:val="00E8452A"/>
    <w:rsid w:val="00E84857"/>
    <w:rsid w:val="00E85528"/>
    <w:rsid w:val="00E8560F"/>
    <w:rsid w:val="00E858C4"/>
    <w:rsid w:val="00E858FF"/>
    <w:rsid w:val="00E86231"/>
    <w:rsid w:val="00E863A1"/>
    <w:rsid w:val="00E8780A"/>
    <w:rsid w:val="00E902ED"/>
    <w:rsid w:val="00E90461"/>
    <w:rsid w:val="00E90A3A"/>
    <w:rsid w:val="00E913F6"/>
    <w:rsid w:val="00E91579"/>
    <w:rsid w:val="00E917F7"/>
    <w:rsid w:val="00E92182"/>
    <w:rsid w:val="00E92CD3"/>
    <w:rsid w:val="00E92EF7"/>
    <w:rsid w:val="00E93510"/>
    <w:rsid w:val="00E93AEC"/>
    <w:rsid w:val="00E94395"/>
    <w:rsid w:val="00E9448A"/>
    <w:rsid w:val="00E953D4"/>
    <w:rsid w:val="00E957FC"/>
    <w:rsid w:val="00E958F9"/>
    <w:rsid w:val="00E95DC3"/>
    <w:rsid w:val="00E96809"/>
    <w:rsid w:val="00E971CC"/>
    <w:rsid w:val="00E97B2B"/>
    <w:rsid w:val="00E97C6F"/>
    <w:rsid w:val="00EA0289"/>
    <w:rsid w:val="00EA0E93"/>
    <w:rsid w:val="00EA1858"/>
    <w:rsid w:val="00EA302E"/>
    <w:rsid w:val="00EA310A"/>
    <w:rsid w:val="00EA3567"/>
    <w:rsid w:val="00EA3A44"/>
    <w:rsid w:val="00EA3B9C"/>
    <w:rsid w:val="00EA3C8F"/>
    <w:rsid w:val="00EA470A"/>
    <w:rsid w:val="00EA48D6"/>
    <w:rsid w:val="00EA4A38"/>
    <w:rsid w:val="00EA4ABB"/>
    <w:rsid w:val="00EA5144"/>
    <w:rsid w:val="00EA5521"/>
    <w:rsid w:val="00EA61BB"/>
    <w:rsid w:val="00EA6246"/>
    <w:rsid w:val="00EA65EE"/>
    <w:rsid w:val="00EA6C2D"/>
    <w:rsid w:val="00EB028F"/>
    <w:rsid w:val="00EB11D1"/>
    <w:rsid w:val="00EB181B"/>
    <w:rsid w:val="00EB1B3B"/>
    <w:rsid w:val="00EB1CA4"/>
    <w:rsid w:val="00EB2292"/>
    <w:rsid w:val="00EB2521"/>
    <w:rsid w:val="00EB265A"/>
    <w:rsid w:val="00EB2DEA"/>
    <w:rsid w:val="00EB2F3E"/>
    <w:rsid w:val="00EB305B"/>
    <w:rsid w:val="00EB4D20"/>
    <w:rsid w:val="00EB4D62"/>
    <w:rsid w:val="00EB52EF"/>
    <w:rsid w:val="00EB57DA"/>
    <w:rsid w:val="00EB6584"/>
    <w:rsid w:val="00EB74F1"/>
    <w:rsid w:val="00EB784D"/>
    <w:rsid w:val="00EB78AE"/>
    <w:rsid w:val="00EC05B8"/>
    <w:rsid w:val="00EC13F0"/>
    <w:rsid w:val="00EC1755"/>
    <w:rsid w:val="00EC1BBC"/>
    <w:rsid w:val="00EC1BD9"/>
    <w:rsid w:val="00EC1DB8"/>
    <w:rsid w:val="00EC2240"/>
    <w:rsid w:val="00EC22EE"/>
    <w:rsid w:val="00EC2954"/>
    <w:rsid w:val="00EC2C06"/>
    <w:rsid w:val="00EC341C"/>
    <w:rsid w:val="00EC3D1D"/>
    <w:rsid w:val="00EC3E0A"/>
    <w:rsid w:val="00EC429A"/>
    <w:rsid w:val="00EC45E4"/>
    <w:rsid w:val="00EC6454"/>
    <w:rsid w:val="00EC67AB"/>
    <w:rsid w:val="00EC67E4"/>
    <w:rsid w:val="00EC6A3D"/>
    <w:rsid w:val="00EC6BBC"/>
    <w:rsid w:val="00EC7CB8"/>
    <w:rsid w:val="00EC7D9E"/>
    <w:rsid w:val="00ED046F"/>
    <w:rsid w:val="00ED0ED6"/>
    <w:rsid w:val="00ED1338"/>
    <w:rsid w:val="00ED1657"/>
    <w:rsid w:val="00ED16A6"/>
    <w:rsid w:val="00ED1B4C"/>
    <w:rsid w:val="00ED2562"/>
    <w:rsid w:val="00ED25D9"/>
    <w:rsid w:val="00ED2CCA"/>
    <w:rsid w:val="00ED302A"/>
    <w:rsid w:val="00ED358B"/>
    <w:rsid w:val="00ED3D8A"/>
    <w:rsid w:val="00ED3F3E"/>
    <w:rsid w:val="00ED481E"/>
    <w:rsid w:val="00ED5637"/>
    <w:rsid w:val="00ED622E"/>
    <w:rsid w:val="00ED6618"/>
    <w:rsid w:val="00ED6D5B"/>
    <w:rsid w:val="00EE00D4"/>
    <w:rsid w:val="00EE0B6E"/>
    <w:rsid w:val="00EE1FEE"/>
    <w:rsid w:val="00EE2394"/>
    <w:rsid w:val="00EE2913"/>
    <w:rsid w:val="00EE4B19"/>
    <w:rsid w:val="00EE50C3"/>
    <w:rsid w:val="00EE584D"/>
    <w:rsid w:val="00EE586E"/>
    <w:rsid w:val="00EE58B5"/>
    <w:rsid w:val="00EE5C58"/>
    <w:rsid w:val="00EE5F84"/>
    <w:rsid w:val="00EE6B62"/>
    <w:rsid w:val="00EE6B96"/>
    <w:rsid w:val="00EE71C9"/>
    <w:rsid w:val="00EF00D0"/>
    <w:rsid w:val="00EF0C82"/>
    <w:rsid w:val="00EF17AF"/>
    <w:rsid w:val="00EF1E03"/>
    <w:rsid w:val="00EF222B"/>
    <w:rsid w:val="00EF2B57"/>
    <w:rsid w:val="00EF2EB6"/>
    <w:rsid w:val="00EF352D"/>
    <w:rsid w:val="00EF37BE"/>
    <w:rsid w:val="00EF3B85"/>
    <w:rsid w:val="00EF3CE6"/>
    <w:rsid w:val="00EF3E49"/>
    <w:rsid w:val="00EF426D"/>
    <w:rsid w:val="00EF49B6"/>
    <w:rsid w:val="00EF4AEE"/>
    <w:rsid w:val="00EF5466"/>
    <w:rsid w:val="00EF555A"/>
    <w:rsid w:val="00EF55D1"/>
    <w:rsid w:val="00EF5B7F"/>
    <w:rsid w:val="00EF5D6D"/>
    <w:rsid w:val="00EF6041"/>
    <w:rsid w:val="00EF62B5"/>
    <w:rsid w:val="00EF6E41"/>
    <w:rsid w:val="00EF7494"/>
    <w:rsid w:val="00EF770C"/>
    <w:rsid w:val="00EF790E"/>
    <w:rsid w:val="00EF7E0D"/>
    <w:rsid w:val="00F000B4"/>
    <w:rsid w:val="00F00594"/>
    <w:rsid w:val="00F00EFC"/>
    <w:rsid w:val="00F020FC"/>
    <w:rsid w:val="00F02151"/>
    <w:rsid w:val="00F025DD"/>
    <w:rsid w:val="00F028FF"/>
    <w:rsid w:val="00F02F9F"/>
    <w:rsid w:val="00F03902"/>
    <w:rsid w:val="00F03BF4"/>
    <w:rsid w:val="00F03E5E"/>
    <w:rsid w:val="00F03F3B"/>
    <w:rsid w:val="00F044CD"/>
    <w:rsid w:val="00F050F4"/>
    <w:rsid w:val="00F05533"/>
    <w:rsid w:val="00F05E86"/>
    <w:rsid w:val="00F05FD0"/>
    <w:rsid w:val="00F06270"/>
    <w:rsid w:val="00F07468"/>
    <w:rsid w:val="00F07767"/>
    <w:rsid w:val="00F10443"/>
    <w:rsid w:val="00F11A3F"/>
    <w:rsid w:val="00F11DDC"/>
    <w:rsid w:val="00F11FA8"/>
    <w:rsid w:val="00F12040"/>
    <w:rsid w:val="00F121F8"/>
    <w:rsid w:val="00F1251C"/>
    <w:rsid w:val="00F12DD0"/>
    <w:rsid w:val="00F1302B"/>
    <w:rsid w:val="00F133BB"/>
    <w:rsid w:val="00F13F76"/>
    <w:rsid w:val="00F153C1"/>
    <w:rsid w:val="00F153D2"/>
    <w:rsid w:val="00F15403"/>
    <w:rsid w:val="00F15971"/>
    <w:rsid w:val="00F17572"/>
    <w:rsid w:val="00F178CC"/>
    <w:rsid w:val="00F2027D"/>
    <w:rsid w:val="00F20FAD"/>
    <w:rsid w:val="00F210EE"/>
    <w:rsid w:val="00F21355"/>
    <w:rsid w:val="00F216F5"/>
    <w:rsid w:val="00F2176B"/>
    <w:rsid w:val="00F217E8"/>
    <w:rsid w:val="00F218D6"/>
    <w:rsid w:val="00F219CB"/>
    <w:rsid w:val="00F21ABD"/>
    <w:rsid w:val="00F22275"/>
    <w:rsid w:val="00F22D82"/>
    <w:rsid w:val="00F22FE8"/>
    <w:rsid w:val="00F23510"/>
    <w:rsid w:val="00F23A8E"/>
    <w:rsid w:val="00F246F6"/>
    <w:rsid w:val="00F24950"/>
    <w:rsid w:val="00F24A27"/>
    <w:rsid w:val="00F24AD0"/>
    <w:rsid w:val="00F24E53"/>
    <w:rsid w:val="00F25032"/>
    <w:rsid w:val="00F2532F"/>
    <w:rsid w:val="00F2538F"/>
    <w:rsid w:val="00F25527"/>
    <w:rsid w:val="00F26474"/>
    <w:rsid w:val="00F26BDD"/>
    <w:rsid w:val="00F26D40"/>
    <w:rsid w:val="00F26FD8"/>
    <w:rsid w:val="00F2739E"/>
    <w:rsid w:val="00F274AC"/>
    <w:rsid w:val="00F27D68"/>
    <w:rsid w:val="00F30385"/>
    <w:rsid w:val="00F30400"/>
    <w:rsid w:val="00F3087E"/>
    <w:rsid w:val="00F30BD5"/>
    <w:rsid w:val="00F31541"/>
    <w:rsid w:val="00F318D4"/>
    <w:rsid w:val="00F31BB8"/>
    <w:rsid w:val="00F31C32"/>
    <w:rsid w:val="00F31D99"/>
    <w:rsid w:val="00F321FF"/>
    <w:rsid w:val="00F325EF"/>
    <w:rsid w:val="00F32BBF"/>
    <w:rsid w:val="00F32C47"/>
    <w:rsid w:val="00F33E5A"/>
    <w:rsid w:val="00F340B6"/>
    <w:rsid w:val="00F35282"/>
    <w:rsid w:val="00F353AC"/>
    <w:rsid w:val="00F36034"/>
    <w:rsid w:val="00F36053"/>
    <w:rsid w:val="00F361B7"/>
    <w:rsid w:val="00F3724A"/>
    <w:rsid w:val="00F37B1F"/>
    <w:rsid w:val="00F40BAE"/>
    <w:rsid w:val="00F4118D"/>
    <w:rsid w:val="00F415F4"/>
    <w:rsid w:val="00F41E66"/>
    <w:rsid w:val="00F43A59"/>
    <w:rsid w:val="00F43B02"/>
    <w:rsid w:val="00F43B76"/>
    <w:rsid w:val="00F442FC"/>
    <w:rsid w:val="00F44824"/>
    <w:rsid w:val="00F448FD"/>
    <w:rsid w:val="00F45A7B"/>
    <w:rsid w:val="00F45AAE"/>
    <w:rsid w:val="00F45EBB"/>
    <w:rsid w:val="00F462DD"/>
    <w:rsid w:val="00F46F07"/>
    <w:rsid w:val="00F479DE"/>
    <w:rsid w:val="00F47B8F"/>
    <w:rsid w:val="00F50022"/>
    <w:rsid w:val="00F50505"/>
    <w:rsid w:val="00F508BE"/>
    <w:rsid w:val="00F5115E"/>
    <w:rsid w:val="00F5190F"/>
    <w:rsid w:val="00F51D1C"/>
    <w:rsid w:val="00F520C4"/>
    <w:rsid w:val="00F525DF"/>
    <w:rsid w:val="00F52C0C"/>
    <w:rsid w:val="00F52EC5"/>
    <w:rsid w:val="00F52F93"/>
    <w:rsid w:val="00F531ED"/>
    <w:rsid w:val="00F53B50"/>
    <w:rsid w:val="00F54594"/>
    <w:rsid w:val="00F54608"/>
    <w:rsid w:val="00F54885"/>
    <w:rsid w:val="00F54D06"/>
    <w:rsid w:val="00F54E8C"/>
    <w:rsid w:val="00F552F2"/>
    <w:rsid w:val="00F55582"/>
    <w:rsid w:val="00F55E0A"/>
    <w:rsid w:val="00F55E52"/>
    <w:rsid w:val="00F56AF5"/>
    <w:rsid w:val="00F57368"/>
    <w:rsid w:val="00F576B6"/>
    <w:rsid w:val="00F579D9"/>
    <w:rsid w:val="00F57EF0"/>
    <w:rsid w:val="00F60230"/>
    <w:rsid w:val="00F62068"/>
    <w:rsid w:val="00F6216B"/>
    <w:rsid w:val="00F624B9"/>
    <w:rsid w:val="00F627DA"/>
    <w:rsid w:val="00F627E2"/>
    <w:rsid w:val="00F6298E"/>
    <w:rsid w:val="00F637F8"/>
    <w:rsid w:val="00F63C4F"/>
    <w:rsid w:val="00F64053"/>
    <w:rsid w:val="00F64931"/>
    <w:rsid w:val="00F6555C"/>
    <w:rsid w:val="00F65D02"/>
    <w:rsid w:val="00F669A0"/>
    <w:rsid w:val="00F66D3A"/>
    <w:rsid w:val="00F66DFC"/>
    <w:rsid w:val="00F66FBF"/>
    <w:rsid w:val="00F67010"/>
    <w:rsid w:val="00F676A5"/>
    <w:rsid w:val="00F707C1"/>
    <w:rsid w:val="00F70A71"/>
    <w:rsid w:val="00F71520"/>
    <w:rsid w:val="00F7180D"/>
    <w:rsid w:val="00F71F0B"/>
    <w:rsid w:val="00F7235A"/>
    <w:rsid w:val="00F72413"/>
    <w:rsid w:val="00F72BA9"/>
    <w:rsid w:val="00F72FC0"/>
    <w:rsid w:val="00F742EC"/>
    <w:rsid w:val="00F74723"/>
    <w:rsid w:val="00F74DE1"/>
    <w:rsid w:val="00F74F09"/>
    <w:rsid w:val="00F75339"/>
    <w:rsid w:val="00F75671"/>
    <w:rsid w:val="00F75876"/>
    <w:rsid w:val="00F758AC"/>
    <w:rsid w:val="00F7590F"/>
    <w:rsid w:val="00F75AA5"/>
    <w:rsid w:val="00F75FE2"/>
    <w:rsid w:val="00F7647E"/>
    <w:rsid w:val="00F772CC"/>
    <w:rsid w:val="00F7741A"/>
    <w:rsid w:val="00F776D9"/>
    <w:rsid w:val="00F8012A"/>
    <w:rsid w:val="00F80594"/>
    <w:rsid w:val="00F80A18"/>
    <w:rsid w:val="00F80DF9"/>
    <w:rsid w:val="00F81008"/>
    <w:rsid w:val="00F8137B"/>
    <w:rsid w:val="00F81BA8"/>
    <w:rsid w:val="00F82B5C"/>
    <w:rsid w:val="00F834F0"/>
    <w:rsid w:val="00F83991"/>
    <w:rsid w:val="00F84772"/>
    <w:rsid w:val="00F8569E"/>
    <w:rsid w:val="00F85A14"/>
    <w:rsid w:val="00F866B6"/>
    <w:rsid w:val="00F868D7"/>
    <w:rsid w:val="00F86F39"/>
    <w:rsid w:val="00F8767D"/>
    <w:rsid w:val="00F878FC"/>
    <w:rsid w:val="00F87D83"/>
    <w:rsid w:val="00F90DDA"/>
    <w:rsid w:val="00F90E6A"/>
    <w:rsid w:val="00F90EB0"/>
    <w:rsid w:val="00F90FFE"/>
    <w:rsid w:val="00F913C6"/>
    <w:rsid w:val="00F92482"/>
    <w:rsid w:val="00F9248D"/>
    <w:rsid w:val="00F92F0F"/>
    <w:rsid w:val="00F9336F"/>
    <w:rsid w:val="00F93655"/>
    <w:rsid w:val="00F942FC"/>
    <w:rsid w:val="00F945D7"/>
    <w:rsid w:val="00F94864"/>
    <w:rsid w:val="00F94A35"/>
    <w:rsid w:val="00F94C7E"/>
    <w:rsid w:val="00F94D9C"/>
    <w:rsid w:val="00F94ECF"/>
    <w:rsid w:val="00F95135"/>
    <w:rsid w:val="00F95A31"/>
    <w:rsid w:val="00F95AC7"/>
    <w:rsid w:val="00F95BDD"/>
    <w:rsid w:val="00F95DB6"/>
    <w:rsid w:val="00F96775"/>
    <w:rsid w:val="00F973B0"/>
    <w:rsid w:val="00F97521"/>
    <w:rsid w:val="00F9757E"/>
    <w:rsid w:val="00F97C98"/>
    <w:rsid w:val="00FA02EE"/>
    <w:rsid w:val="00FA03B6"/>
    <w:rsid w:val="00FA049D"/>
    <w:rsid w:val="00FA0579"/>
    <w:rsid w:val="00FA0970"/>
    <w:rsid w:val="00FA13D3"/>
    <w:rsid w:val="00FA1728"/>
    <w:rsid w:val="00FA193F"/>
    <w:rsid w:val="00FA196F"/>
    <w:rsid w:val="00FA1C0D"/>
    <w:rsid w:val="00FA2386"/>
    <w:rsid w:val="00FA2B3B"/>
    <w:rsid w:val="00FA2DE7"/>
    <w:rsid w:val="00FA33A6"/>
    <w:rsid w:val="00FA46AA"/>
    <w:rsid w:val="00FA5354"/>
    <w:rsid w:val="00FA55B9"/>
    <w:rsid w:val="00FA6872"/>
    <w:rsid w:val="00FA6BCC"/>
    <w:rsid w:val="00FA6D8B"/>
    <w:rsid w:val="00FA6E6C"/>
    <w:rsid w:val="00FA72BA"/>
    <w:rsid w:val="00FA7453"/>
    <w:rsid w:val="00FA746A"/>
    <w:rsid w:val="00FA7B80"/>
    <w:rsid w:val="00FB0497"/>
    <w:rsid w:val="00FB05A4"/>
    <w:rsid w:val="00FB0B18"/>
    <w:rsid w:val="00FB0C6A"/>
    <w:rsid w:val="00FB18EA"/>
    <w:rsid w:val="00FB24EB"/>
    <w:rsid w:val="00FB29F8"/>
    <w:rsid w:val="00FB2ACA"/>
    <w:rsid w:val="00FB2B12"/>
    <w:rsid w:val="00FB3165"/>
    <w:rsid w:val="00FB354A"/>
    <w:rsid w:val="00FB3B42"/>
    <w:rsid w:val="00FB3ED8"/>
    <w:rsid w:val="00FB4348"/>
    <w:rsid w:val="00FB43DF"/>
    <w:rsid w:val="00FB4897"/>
    <w:rsid w:val="00FB4942"/>
    <w:rsid w:val="00FB4C79"/>
    <w:rsid w:val="00FB4CBB"/>
    <w:rsid w:val="00FB56DF"/>
    <w:rsid w:val="00FB5C70"/>
    <w:rsid w:val="00FB5EDC"/>
    <w:rsid w:val="00FB673E"/>
    <w:rsid w:val="00FB6EE2"/>
    <w:rsid w:val="00FB7357"/>
    <w:rsid w:val="00FB753B"/>
    <w:rsid w:val="00FC0356"/>
    <w:rsid w:val="00FC1885"/>
    <w:rsid w:val="00FC1ABE"/>
    <w:rsid w:val="00FC1F01"/>
    <w:rsid w:val="00FC2A2E"/>
    <w:rsid w:val="00FC3002"/>
    <w:rsid w:val="00FC3135"/>
    <w:rsid w:val="00FC3D57"/>
    <w:rsid w:val="00FC3EB4"/>
    <w:rsid w:val="00FC4FA4"/>
    <w:rsid w:val="00FC503E"/>
    <w:rsid w:val="00FC51B8"/>
    <w:rsid w:val="00FC56F7"/>
    <w:rsid w:val="00FC5FD1"/>
    <w:rsid w:val="00FC6309"/>
    <w:rsid w:val="00FC65D8"/>
    <w:rsid w:val="00FC6C2D"/>
    <w:rsid w:val="00FC7772"/>
    <w:rsid w:val="00FC7889"/>
    <w:rsid w:val="00FC7A94"/>
    <w:rsid w:val="00FC7D97"/>
    <w:rsid w:val="00FC7DC8"/>
    <w:rsid w:val="00FC7E03"/>
    <w:rsid w:val="00FD0B1C"/>
    <w:rsid w:val="00FD16AB"/>
    <w:rsid w:val="00FD1876"/>
    <w:rsid w:val="00FD199A"/>
    <w:rsid w:val="00FD2E3A"/>
    <w:rsid w:val="00FD34BE"/>
    <w:rsid w:val="00FD3671"/>
    <w:rsid w:val="00FD37A1"/>
    <w:rsid w:val="00FD37BE"/>
    <w:rsid w:val="00FD38DC"/>
    <w:rsid w:val="00FD38E8"/>
    <w:rsid w:val="00FD3AB3"/>
    <w:rsid w:val="00FD3FF9"/>
    <w:rsid w:val="00FD44A9"/>
    <w:rsid w:val="00FD45F8"/>
    <w:rsid w:val="00FD4A56"/>
    <w:rsid w:val="00FD6457"/>
    <w:rsid w:val="00FD68F3"/>
    <w:rsid w:val="00FD6D0A"/>
    <w:rsid w:val="00FD7189"/>
    <w:rsid w:val="00FD7399"/>
    <w:rsid w:val="00FD755E"/>
    <w:rsid w:val="00FD761B"/>
    <w:rsid w:val="00FD776A"/>
    <w:rsid w:val="00FD7CD3"/>
    <w:rsid w:val="00FD7F4D"/>
    <w:rsid w:val="00FD7F87"/>
    <w:rsid w:val="00FE1092"/>
    <w:rsid w:val="00FE128D"/>
    <w:rsid w:val="00FE1778"/>
    <w:rsid w:val="00FE17C3"/>
    <w:rsid w:val="00FE1A95"/>
    <w:rsid w:val="00FE1AEC"/>
    <w:rsid w:val="00FE274D"/>
    <w:rsid w:val="00FE2E4A"/>
    <w:rsid w:val="00FE36B6"/>
    <w:rsid w:val="00FE3738"/>
    <w:rsid w:val="00FE410C"/>
    <w:rsid w:val="00FE4147"/>
    <w:rsid w:val="00FE421D"/>
    <w:rsid w:val="00FE445D"/>
    <w:rsid w:val="00FE44C5"/>
    <w:rsid w:val="00FE46CE"/>
    <w:rsid w:val="00FE4BBE"/>
    <w:rsid w:val="00FE51DD"/>
    <w:rsid w:val="00FE5B8B"/>
    <w:rsid w:val="00FE5E16"/>
    <w:rsid w:val="00FE748D"/>
    <w:rsid w:val="00FF023F"/>
    <w:rsid w:val="00FF078C"/>
    <w:rsid w:val="00FF1021"/>
    <w:rsid w:val="00FF141F"/>
    <w:rsid w:val="00FF163E"/>
    <w:rsid w:val="00FF176E"/>
    <w:rsid w:val="00FF2E2B"/>
    <w:rsid w:val="00FF2F3A"/>
    <w:rsid w:val="00FF323B"/>
    <w:rsid w:val="00FF406D"/>
    <w:rsid w:val="00FF4410"/>
    <w:rsid w:val="00FF4811"/>
    <w:rsid w:val="00FF4975"/>
    <w:rsid w:val="00FF49B7"/>
    <w:rsid w:val="00FF55CC"/>
    <w:rsid w:val="00FF5CE3"/>
    <w:rsid w:val="00FF6051"/>
    <w:rsid w:val="00FF6465"/>
    <w:rsid w:val="00FF6AA6"/>
    <w:rsid w:val="00FF7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3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BE38D2"/>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BE38D2"/>
    <w:pPr>
      <w:keepNext/>
      <w:numPr>
        <w:numId w:val="5"/>
      </w:numPr>
      <w:ind w:right="1296"/>
      <w:outlineLvl w:val="0"/>
    </w:pPr>
    <w:rPr>
      <w:u w:val="single"/>
    </w:rPr>
  </w:style>
  <w:style w:type="paragraph" w:styleId="Heading2">
    <w:name w:val="heading 2"/>
    <w:basedOn w:val="Normal"/>
    <w:next w:val="Normal"/>
    <w:uiPriority w:val="99"/>
    <w:semiHidden/>
    <w:qFormat/>
    <w:locked/>
    <w:rsid w:val="00BE38D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BE38D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BE38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38D2"/>
  </w:style>
  <w:style w:type="paragraph" w:styleId="Footer">
    <w:name w:val="footer"/>
    <w:basedOn w:val="Normal"/>
    <w:link w:val="FooterChar"/>
    <w:uiPriority w:val="43"/>
    <w:locked/>
    <w:rsid w:val="00BE38D2"/>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BE38D2"/>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E38D2"/>
    <w:pPr>
      <w:spacing w:before="240" w:line="240" w:lineRule="exact"/>
      <w:ind w:left="720" w:right="794" w:firstLine="0"/>
    </w:pPr>
  </w:style>
  <w:style w:type="paragraph" w:styleId="FootnoteText">
    <w:name w:val="footnote text"/>
    <w:basedOn w:val="Normal"/>
    <w:uiPriority w:val="53"/>
    <w:locked/>
    <w:rsid w:val="00BE38D2"/>
    <w:pPr>
      <w:spacing w:after="240" w:line="240" w:lineRule="exact"/>
      <w:ind w:left="510" w:hanging="510"/>
    </w:pPr>
  </w:style>
  <w:style w:type="character" w:styleId="FootnoteReference">
    <w:name w:val="footnote reference"/>
    <w:uiPriority w:val="51"/>
    <w:locked/>
    <w:rsid w:val="00BE38D2"/>
    <w:rPr>
      <w:b/>
      <w:sz w:val="28"/>
      <w:vertAlign w:val="superscript"/>
    </w:rPr>
  </w:style>
  <w:style w:type="paragraph" w:customStyle="1" w:styleId="FootIndAgain">
    <w:name w:val="FootIndAgain"/>
    <w:basedOn w:val="FootnoteText"/>
    <w:uiPriority w:val="47"/>
    <w:qFormat/>
    <w:locked/>
    <w:rsid w:val="00BE38D2"/>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BE38D2"/>
    <w:pPr>
      <w:ind w:firstLine="0"/>
    </w:pPr>
  </w:style>
  <w:style w:type="character" w:customStyle="1" w:styleId="Heading1Char">
    <w:name w:val="Heading 1 Char"/>
    <w:uiPriority w:val="99"/>
    <w:semiHidden/>
    <w:locked/>
    <w:rsid w:val="00BE38D2"/>
    <w:rPr>
      <w:rFonts w:ascii="Univers" w:hAnsi="Univers"/>
      <w:sz w:val="26"/>
      <w:u w:val="single"/>
      <w:lang w:val="en-AU"/>
    </w:rPr>
  </w:style>
  <w:style w:type="character" w:customStyle="1" w:styleId="Heading2Char">
    <w:name w:val="Heading 2 Char"/>
    <w:uiPriority w:val="99"/>
    <w:semiHidden/>
    <w:locked/>
    <w:rsid w:val="00BE38D2"/>
    <w:rPr>
      <w:rFonts w:ascii="Arial" w:hAnsi="Arial"/>
      <w:b/>
      <w:i/>
      <w:sz w:val="24"/>
      <w:lang w:val="en-AU"/>
    </w:rPr>
  </w:style>
  <w:style w:type="character" w:customStyle="1" w:styleId="Heading3Char">
    <w:name w:val="Heading 3 Char"/>
    <w:uiPriority w:val="99"/>
    <w:semiHidden/>
    <w:locked/>
    <w:rsid w:val="00BE38D2"/>
    <w:rPr>
      <w:rFonts w:ascii="Arial" w:hAnsi="Arial"/>
      <w:sz w:val="24"/>
      <w:lang w:val="en-AU"/>
    </w:rPr>
  </w:style>
  <w:style w:type="paragraph" w:customStyle="1" w:styleId="NormalHC">
    <w:name w:val="Normal HC"/>
    <w:basedOn w:val="Normal"/>
    <w:uiPriority w:val="27"/>
    <w:qFormat/>
    <w:locked/>
    <w:rsid w:val="00BE38D2"/>
    <w:pPr>
      <w:numPr>
        <w:numId w:val="16"/>
      </w:numPr>
      <w:spacing w:after="480"/>
      <w:ind w:left="0" w:hanging="720"/>
    </w:pPr>
  </w:style>
  <w:style w:type="paragraph" w:customStyle="1" w:styleId="HeadingFirst">
    <w:name w:val="Heading First"/>
    <w:basedOn w:val="NormalHC"/>
    <w:next w:val="HeadingV"/>
    <w:uiPriority w:val="15"/>
    <w:qFormat/>
    <w:locked/>
    <w:rsid w:val="00BE38D2"/>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BE38D2"/>
    <w:pPr>
      <w:keepNext/>
      <w:numPr>
        <w:numId w:val="0"/>
      </w:numPr>
      <w:outlineLvl w:val="2"/>
    </w:pPr>
    <w:rPr>
      <w:b/>
      <w:szCs w:val="20"/>
    </w:rPr>
  </w:style>
  <w:style w:type="paragraph" w:customStyle="1" w:styleId="HeadingL2">
    <w:name w:val="Heading L2"/>
    <w:basedOn w:val="HeadingL1"/>
    <w:next w:val="NormalHC"/>
    <w:uiPriority w:val="23"/>
    <w:qFormat/>
    <w:locked/>
    <w:rsid w:val="00BE38D2"/>
    <w:pPr>
      <w:outlineLvl w:val="3"/>
    </w:pPr>
    <w:rPr>
      <w:b w:val="0"/>
      <w:i/>
    </w:rPr>
  </w:style>
  <w:style w:type="paragraph" w:customStyle="1" w:styleId="HeadingMatter">
    <w:name w:val="Heading Matter"/>
    <w:basedOn w:val="NormalHC"/>
    <w:next w:val="HeadingFirst"/>
    <w:uiPriority w:val="13"/>
    <w:qFormat/>
    <w:locked/>
    <w:rsid w:val="00BE38D2"/>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BE38D2"/>
    <w:pPr>
      <w:keepNext w:val="0"/>
    </w:pPr>
  </w:style>
  <w:style w:type="paragraph" w:customStyle="1" w:styleId="HeadingV">
    <w:name w:val="Heading V"/>
    <w:basedOn w:val="HeadingFirst"/>
    <w:next w:val="HeadingSecond"/>
    <w:uiPriority w:val="17"/>
    <w:qFormat/>
    <w:locked/>
    <w:rsid w:val="00BE38D2"/>
    <w:rPr>
      <w:caps w:val="0"/>
      <w:u w:val="none"/>
    </w:rPr>
  </w:style>
  <w:style w:type="paragraph" w:customStyle="1" w:styleId="LeftrightafterHC">
    <w:name w:val="Leftright after HC"/>
    <w:basedOn w:val="Normal"/>
    <w:next w:val="leftright"/>
    <w:uiPriority w:val="31"/>
    <w:qFormat/>
    <w:locked/>
    <w:rsid w:val="00BE38D2"/>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BE38D2"/>
    <w:pPr>
      <w:ind w:firstLine="720"/>
    </w:pPr>
  </w:style>
  <w:style w:type="paragraph" w:customStyle="1" w:styleId="LeftrightHanging">
    <w:name w:val="LeftrightHanging"/>
    <w:basedOn w:val="NormalHC"/>
    <w:uiPriority w:val="35"/>
    <w:qFormat/>
    <w:locked/>
    <w:rsid w:val="00BE38D2"/>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BE38D2"/>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BE38D2"/>
    <w:pPr>
      <w:spacing w:before="200"/>
      <w:ind w:left="2160"/>
    </w:pPr>
  </w:style>
  <w:style w:type="paragraph" w:customStyle="1" w:styleId="NormalafterHd2nd">
    <w:name w:val="Normal after Hd2nd"/>
    <w:basedOn w:val="NormalHC"/>
    <w:next w:val="NormalHC"/>
    <w:uiPriority w:val="29"/>
    <w:locked/>
    <w:rsid w:val="00BE38D2"/>
    <w:pPr>
      <w:numPr>
        <w:numId w:val="0"/>
      </w:numPr>
      <w:spacing w:before="1000"/>
    </w:pPr>
  </w:style>
  <w:style w:type="character" w:customStyle="1" w:styleId="NormalHCChar">
    <w:name w:val="Normal HC Char"/>
    <w:uiPriority w:val="99"/>
    <w:semiHidden/>
    <w:locked/>
    <w:rsid w:val="00BE38D2"/>
    <w:rPr>
      <w:rFonts w:ascii="Univers" w:hAnsi="Univers"/>
      <w:sz w:val="26"/>
      <w:szCs w:val="26"/>
    </w:rPr>
  </w:style>
  <w:style w:type="character" w:customStyle="1" w:styleId="StyleFootnoteReferenceChar">
    <w:name w:val="Style Footnote Reference Char"/>
    <w:uiPriority w:val="99"/>
    <w:semiHidden/>
    <w:locked/>
    <w:rsid w:val="00BE38D2"/>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BE38D2"/>
  </w:style>
  <w:style w:type="paragraph" w:customStyle="1" w:styleId="HeadingJudgment">
    <w:name w:val="Heading Judgment"/>
    <w:basedOn w:val="Normal"/>
    <w:uiPriority w:val="59"/>
    <w:qFormat/>
    <w:locked/>
    <w:rsid w:val="00BE38D2"/>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BE38D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BE38D2"/>
    <w:pPr>
      <w:outlineLvl w:val="4"/>
    </w:pPr>
    <w:rPr>
      <w:b w:val="0"/>
    </w:rPr>
  </w:style>
  <w:style w:type="character" w:styleId="PageNumber">
    <w:name w:val="page number"/>
    <w:basedOn w:val="DefaultParagraphFont"/>
    <w:uiPriority w:val="57"/>
    <w:locked/>
    <w:rsid w:val="00BE38D2"/>
  </w:style>
  <w:style w:type="paragraph" w:styleId="BalloonText">
    <w:name w:val="Balloon Text"/>
    <w:basedOn w:val="Normal"/>
    <w:link w:val="BalloonTextChar"/>
    <w:semiHidden/>
    <w:locked/>
    <w:rsid w:val="00BE38D2"/>
    <w:rPr>
      <w:rFonts w:ascii="Tahoma" w:hAnsi="Tahoma" w:cs="Tahoma"/>
      <w:sz w:val="16"/>
      <w:szCs w:val="16"/>
      <w:lang w:eastAsia="en-US"/>
    </w:rPr>
  </w:style>
  <w:style w:type="character" w:customStyle="1" w:styleId="BalloonTextChar">
    <w:name w:val="Balloon Text Char"/>
    <w:basedOn w:val="DefaultParagraphFont"/>
    <w:link w:val="BalloonText"/>
    <w:semiHidden/>
    <w:rsid w:val="00BE38D2"/>
    <w:rPr>
      <w:rFonts w:ascii="Tahoma" w:hAnsi="Tahoma" w:cs="Tahoma"/>
      <w:sz w:val="16"/>
      <w:szCs w:val="16"/>
      <w:lang w:eastAsia="en-US"/>
    </w:rPr>
  </w:style>
  <w:style w:type="paragraph" w:customStyle="1" w:styleId="ClosingText">
    <w:name w:val="Closing Text"/>
    <w:basedOn w:val="Normal"/>
    <w:uiPriority w:val="98"/>
    <w:semiHidden/>
    <w:qFormat/>
    <w:locked/>
    <w:rsid w:val="00BE38D2"/>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BE38D2"/>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BE38D2"/>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BE38D2"/>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BE38D2"/>
    <w:rPr>
      <w:szCs w:val="20"/>
      <w:lang w:eastAsia="en-US"/>
    </w:rPr>
  </w:style>
  <w:style w:type="paragraph" w:customStyle="1" w:styleId="NormalBody">
    <w:name w:val="Normal Body"/>
    <w:basedOn w:val="NormalHC"/>
    <w:uiPriority w:val="28"/>
    <w:qFormat/>
    <w:locked/>
    <w:rsid w:val="00BE38D2"/>
    <w:pPr>
      <w:numPr>
        <w:numId w:val="0"/>
      </w:numPr>
    </w:pPr>
    <w:rPr>
      <w:lang w:eastAsia="en-US"/>
    </w:rPr>
  </w:style>
  <w:style w:type="paragraph" w:customStyle="1" w:styleId="StyleFootnoteReference">
    <w:name w:val="Style Footnote Reference"/>
    <w:basedOn w:val="Normal"/>
    <w:next w:val="Normal"/>
    <w:semiHidden/>
    <w:rsid w:val="00BE38D2"/>
    <w:rPr>
      <w:vertAlign w:val="superscript"/>
      <w:lang w:eastAsia="en-US"/>
    </w:rPr>
  </w:style>
  <w:style w:type="paragraph" w:styleId="ListNumber">
    <w:name w:val="List Number"/>
    <w:basedOn w:val="Normal"/>
    <w:uiPriority w:val="56"/>
    <w:locked/>
    <w:rsid w:val="00BE38D2"/>
    <w:pPr>
      <w:numPr>
        <w:numId w:val="11"/>
      </w:numPr>
      <w:contextualSpacing/>
    </w:pPr>
  </w:style>
  <w:style w:type="paragraph" w:customStyle="1" w:styleId="FixListStyle">
    <w:name w:val="FixListStyle"/>
    <w:basedOn w:val="Normal"/>
    <w:uiPriority w:val="99"/>
    <w:qFormat/>
    <w:rsid w:val="00BE38D2"/>
    <w:pPr>
      <w:numPr>
        <w:numId w:val="19"/>
      </w:numPr>
      <w:spacing w:after="480"/>
      <w:ind w:left="0" w:hanging="720"/>
    </w:pPr>
  </w:style>
  <w:style w:type="paragraph" w:customStyle="1" w:styleId="CatchwordsBold">
    <w:name w:val="Catchwords Bold"/>
    <w:basedOn w:val="Normal"/>
    <w:link w:val="CatchwordsBoldChar"/>
    <w:qFormat/>
    <w:rsid w:val="00BE38D2"/>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BE38D2"/>
    <w:rPr>
      <w:rFonts w:ascii="Times New Roman" w:hAnsi="Times New Roman"/>
      <w:b/>
      <w:szCs w:val="20"/>
    </w:rPr>
  </w:style>
  <w:style w:type="paragraph" w:customStyle="1" w:styleId="CatchwordsRight">
    <w:name w:val="Catchwords Right"/>
    <w:basedOn w:val="Normal"/>
    <w:link w:val="CatchwordsRightChar"/>
    <w:qFormat/>
    <w:rsid w:val="00BE38D2"/>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BE38D2"/>
    <w:rPr>
      <w:rFonts w:ascii="Times New Roman" w:hAnsi="Times New Roman"/>
      <w:szCs w:val="20"/>
    </w:rPr>
  </w:style>
  <w:style w:type="paragraph" w:customStyle="1" w:styleId="CatchwordsText">
    <w:name w:val="Catchwords Text"/>
    <w:basedOn w:val="Normal"/>
    <w:link w:val="CatchwordsTextChar"/>
    <w:qFormat/>
    <w:rsid w:val="00BE38D2"/>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BE38D2"/>
    <w:rPr>
      <w:rFonts w:ascii="Times New Roman" w:hAnsi="Times New Roman"/>
      <w:szCs w:val="20"/>
    </w:rPr>
  </w:style>
  <w:style w:type="paragraph" w:customStyle="1" w:styleId="CenteredBorder">
    <w:name w:val="Centered Border"/>
    <w:qFormat/>
    <w:rsid w:val="00BE38D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BE38D2"/>
    <w:pPr>
      <w:jc w:val="center"/>
    </w:pPr>
    <w:rPr>
      <w:rFonts w:ascii="Times New Roman" w:hAnsi="Times New Roman"/>
      <w:b/>
      <w:bCs/>
      <w:szCs w:val="20"/>
      <w:lang w:val="en-GB"/>
    </w:rPr>
  </w:style>
  <w:style w:type="character" w:customStyle="1" w:styleId="OrderCentred">
    <w:name w:val="Order Centred"/>
    <w:semiHidden/>
    <w:rsid w:val="00BE38D2"/>
    <w:rPr>
      <w:b/>
      <w:bCs/>
      <w:sz w:val="26"/>
    </w:rPr>
  </w:style>
  <w:style w:type="paragraph" w:customStyle="1" w:styleId="OrdersTopLine">
    <w:name w:val="Orders TopLine"/>
    <w:qFormat/>
    <w:rsid w:val="00BE38D2"/>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BE38D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BE38D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BE38D2"/>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BE38D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BE38D2"/>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BE38D2"/>
    <w:rPr>
      <w:rFonts w:ascii="Times New Roman" w:hAnsi="Times New Roman"/>
      <w:i/>
      <w:lang w:eastAsia="en-US"/>
    </w:rPr>
  </w:style>
  <w:style w:type="paragraph" w:customStyle="1" w:styleId="OrdersIndentLevel2i">
    <w:name w:val="Orders Indent Level 2 (i)"/>
    <w:basedOn w:val="Normal"/>
    <w:link w:val="OrdersIndentLevel2iChar"/>
    <w:qFormat/>
    <w:rsid w:val="00BE38D2"/>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BE38D2"/>
    <w:rPr>
      <w:rFonts w:ascii="Times New Roman" w:hAnsi="Times New Roman"/>
      <w:i/>
      <w:lang w:eastAsia="en-US"/>
    </w:rPr>
  </w:style>
  <w:style w:type="paragraph" w:customStyle="1" w:styleId="OrdersMatter">
    <w:name w:val="Orders Matter"/>
    <w:basedOn w:val="OrderCentreBold"/>
    <w:link w:val="OrdersMatterChar"/>
    <w:qFormat/>
    <w:rsid w:val="00BE38D2"/>
  </w:style>
  <w:style w:type="character" w:customStyle="1" w:styleId="OrdersMatterChar">
    <w:name w:val="Orders Matter Char"/>
    <w:link w:val="OrdersMatter"/>
    <w:rsid w:val="00BE38D2"/>
    <w:rPr>
      <w:rFonts w:ascii="Times New Roman" w:hAnsi="Times New Roman"/>
      <w:b/>
      <w:bCs/>
      <w:szCs w:val="20"/>
      <w:lang w:val="en-GB"/>
    </w:rPr>
  </w:style>
  <w:style w:type="paragraph" w:customStyle="1" w:styleId="OrdersNotice">
    <w:name w:val="Orders Notice"/>
    <w:rsid w:val="00BE38D2"/>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BE38D2"/>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BE38D2"/>
    <w:rPr>
      <w:rFonts w:ascii="Times New Roman" w:hAnsi="Times New Roman"/>
      <w:szCs w:val="20"/>
      <w:lang w:eastAsia="en-US"/>
    </w:rPr>
  </w:style>
  <w:style w:type="paragraph" w:customStyle="1" w:styleId="OrdersText">
    <w:name w:val="Orders Text"/>
    <w:basedOn w:val="Normal"/>
    <w:link w:val="OrdersTextChar"/>
    <w:qFormat/>
    <w:rsid w:val="00BE38D2"/>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BE38D2"/>
    <w:rPr>
      <w:rFonts w:ascii="Times New Roman" w:hAnsi="Times New Roman"/>
      <w:i/>
      <w:lang w:eastAsia="en-US"/>
    </w:rPr>
  </w:style>
  <w:style w:type="paragraph" w:customStyle="1" w:styleId="OrdersCenteredBorder">
    <w:name w:val="Orders Centered Border"/>
    <w:qFormat/>
    <w:rsid w:val="00BE38D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E38D2"/>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E38D2"/>
    <w:rPr>
      <w:rFonts w:ascii="Times New Roman" w:hAnsi="Times New Roman"/>
      <w:szCs w:val="20"/>
    </w:rPr>
  </w:style>
  <w:style w:type="paragraph" w:customStyle="1" w:styleId="LRHangingafterHC">
    <w:name w:val="LR Hanging after HC"/>
    <w:basedOn w:val="Normal"/>
    <w:next w:val="LeftrightHanging"/>
    <w:uiPriority w:val="99"/>
    <w:qFormat/>
    <w:rsid w:val="00BE38D2"/>
    <w:pPr>
      <w:spacing w:before="720" w:line="240" w:lineRule="exact"/>
      <w:ind w:left="1440" w:right="794" w:hanging="720"/>
    </w:pPr>
  </w:style>
  <w:style w:type="paragraph" w:styleId="Revision">
    <w:name w:val="Revision"/>
    <w:hidden/>
    <w:uiPriority w:val="99"/>
    <w:semiHidden/>
    <w:rsid w:val="00E51B9F"/>
  </w:style>
  <w:style w:type="character" w:styleId="CommentReference">
    <w:name w:val="annotation reference"/>
    <w:basedOn w:val="DefaultParagraphFont"/>
    <w:uiPriority w:val="99"/>
    <w:semiHidden/>
    <w:unhideWhenUsed/>
    <w:locked/>
    <w:rsid w:val="00DA34B1"/>
    <w:rPr>
      <w:sz w:val="16"/>
      <w:szCs w:val="16"/>
    </w:rPr>
  </w:style>
  <w:style w:type="paragraph" w:styleId="CommentText">
    <w:name w:val="annotation text"/>
    <w:basedOn w:val="Normal"/>
    <w:link w:val="CommentTextChar"/>
    <w:uiPriority w:val="99"/>
    <w:unhideWhenUsed/>
    <w:locked/>
    <w:rsid w:val="00DA34B1"/>
    <w:pPr>
      <w:spacing w:line="240" w:lineRule="auto"/>
    </w:pPr>
    <w:rPr>
      <w:sz w:val="20"/>
      <w:szCs w:val="20"/>
    </w:rPr>
  </w:style>
  <w:style w:type="character" w:customStyle="1" w:styleId="CommentTextChar">
    <w:name w:val="Comment Text Char"/>
    <w:basedOn w:val="DefaultParagraphFont"/>
    <w:link w:val="CommentText"/>
    <w:uiPriority w:val="99"/>
    <w:rsid w:val="00DA34B1"/>
    <w:rPr>
      <w:sz w:val="20"/>
      <w:szCs w:val="20"/>
    </w:rPr>
  </w:style>
  <w:style w:type="paragraph" w:styleId="CommentSubject">
    <w:name w:val="annotation subject"/>
    <w:basedOn w:val="CommentText"/>
    <w:next w:val="CommentText"/>
    <w:link w:val="CommentSubjectChar"/>
    <w:uiPriority w:val="99"/>
    <w:semiHidden/>
    <w:unhideWhenUsed/>
    <w:locked/>
    <w:rsid w:val="00DA34B1"/>
    <w:rPr>
      <w:b/>
      <w:bCs/>
    </w:rPr>
  </w:style>
  <w:style w:type="character" w:customStyle="1" w:styleId="CommentSubjectChar">
    <w:name w:val="Comment Subject Char"/>
    <w:basedOn w:val="CommentTextChar"/>
    <w:link w:val="CommentSubject"/>
    <w:uiPriority w:val="99"/>
    <w:semiHidden/>
    <w:rsid w:val="00DA34B1"/>
    <w:rPr>
      <w:b/>
      <w:bCs/>
      <w:sz w:val="20"/>
      <w:szCs w:val="20"/>
    </w:rPr>
  </w:style>
  <w:style w:type="paragraph" w:customStyle="1" w:styleId="pf0">
    <w:name w:val="pf0"/>
    <w:basedOn w:val="Normal"/>
    <w:rsid w:val="005F3888"/>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cf01">
    <w:name w:val="cf01"/>
    <w:basedOn w:val="DefaultParagraphFont"/>
    <w:rsid w:val="005F3888"/>
    <w:rPr>
      <w:rFonts w:ascii="Segoe UI" w:hAnsi="Segoe UI" w:cs="Segoe UI" w:hint="default"/>
      <w:sz w:val="18"/>
      <w:szCs w:val="18"/>
    </w:rPr>
  </w:style>
  <w:style w:type="character" w:customStyle="1" w:styleId="cf11">
    <w:name w:val="cf11"/>
    <w:basedOn w:val="DefaultParagraphFont"/>
    <w:rsid w:val="005F3888"/>
    <w:rPr>
      <w:rFonts w:ascii="Segoe UI" w:hAnsi="Segoe UI" w:cs="Segoe UI" w:hint="default"/>
      <w:sz w:val="18"/>
      <w:szCs w:val="18"/>
    </w:rPr>
  </w:style>
  <w:style w:type="character" w:customStyle="1" w:styleId="cf21">
    <w:name w:val="cf21"/>
    <w:basedOn w:val="DefaultParagraphFont"/>
    <w:rsid w:val="005F3888"/>
    <w:rPr>
      <w:rFonts w:ascii="Segoe UI" w:hAnsi="Segoe UI" w:cs="Segoe UI" w:hint="default"/>
      <w:b/>
      <w:bCs/>
      <w:sz w:val="18"/>
      <w:szCs w:val="18"/>
    </w:rPr>
  </w:style>
  <w:style w:type="character" w:customStyle="1" w:styleId="cf31">
    <w:name w:val="cf31"/>
    <w:basedOn w:val="DefaultParagraphFont"/>
    <w:rsid w:val="005F3888"/>
    <w:rPr>
      <w:rFonts w:ascii="Segoe UI" w:hAnsi="Segoe UI" w:cs="Segoe UI" w:hint="default"/>
      <w:b/>
      <w:bCs/>
      <w:sz w:val="18"/>
      <w:szCs w:val="18"/>
    </w:rPr>
  </w:style>
  <w:style w:type="paragraph" w:customStyle="1" w:styleId="Body">
    <w:name w:val="Body"/>
    <w:basedOn w:val="Normal"/>
    <w:qFormat/>
    <w:rsid w:val="00FC7DC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C7DC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C7DC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C7DC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C7DC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C7DC8"/>
    <w:pPr>
      <w:jc w:val="center"/>
    </w:pPr>
    <w:rPr>
      <w:rFonts w:ascii="Times New Roman" w:hAnsi="Times New Roman"/>
      <w:bCs/>
      <w:szCs w:val="20"/>
      <w:lang w:val="en-GB"/>
    </w:rPr>
  </w:style>
  <w:style w:type="paragraph" w:customStyle="1" w:styleId="Default">
    <w:name w:val="Default"/>
    <w:rsid w:val="00E47D0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B90FEB0F-07E6-4A61-A5D4-A5A5BAC4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57</Pages>
  <Words>19142</Words>
  <Characters>94184</Characters>
  <Application>Microsoft Office Word</Application>
  <DocSecurity>0</DocSecurity>
  <Lines>1681</Lines>
  <Paragraphs>326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2025-03-11T04:12:00Z</dcterms:created>
  <dcterms:modified xsi:type="dcterms:W3CDTF">2025-03-11T22:16:00Z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