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D0C02" w14:textId="77777777" w:rsidR="00B55DBB" w:rsidRPr="00704FF8" w:rsidRDefault="00B55DBB" w:rsidP="00704FF8">
      <w:pPr>
        <w:pStyle w:val="OrdersTopLine"/>
      </w:pPr>
      <w:r w:rsidRPr="00704FF8">
        <w:t>HIGH COURT OF AUSTRALIA</w:t>
      </w:r>
    </w:p>
    <w:p w14:paraId="3E12662B" w14:textId="77777777" w:rsidR="00B55DBB" w:rsidRPr="00704FF8" w:rsidRDefault="00B55DBB" w:rsidP="00704FF8">
      <w:pPr>
        <w:pStyle w:val="OrderCentre"/>
      </w:pPr>
    </w:p>
    <w:p w14:paraId="62E6575D" w14:textId="77777777" w:rsidR="00B55DBB" w:rsidRPr="00C46004" w:rsidRDefault="00B55DBB" w:rsidP="00704FF8">
      <w:pPr>
        <w:pStyle w:val="OrderCentre"/>
        <w:rPr>
          <w:spacing w:val="-4"/>
          <w:sz w:val="24"/>
          <w:szCs w:val="24"/>
        </w:rPr>
      </w:pPr>
      <w:r w:rsidRPr="00C46004">
        <w:rPr>
          <w:spacing w:val="-4"/>
          <w:sz w:val="24"/>
          <w:szCs w:val="24"/>
        </w:rPr>
        <w:t>GAGELER CJ,</w:t>
      </w:r>
    </w:p>
    <w:p w14:paraId="39B264A0" w14:textId="77777777" w:rsidR="00B55DBB" w:rsidRPr="00704FF8" w:rsidRDefault="00B55DBB" w:rsidP="00704FF8">
      <w:pPr>
        <w:pStyle w:val="OrderCentre"/>
      </w:pPr>
      <w:r w:rsidRPr="00C46004">
        <w:rPr>
          <w:spacing w:val="-4"/>
          <w:sz w:val="24"/>
          <w:szCs w:val="24"/>
        </w:rPr>
        <w:t>GORDON, EDELMAN, STEWARD, GLEESON, JAGOT AND BEECH</w:t>
      </w:r>
      <w:r w:rsidRPr="00C46004">
        <w:rPr>
          <w:spacing w:val="-4"/>
          <w:sz w:val="24"/>
          <w:szCs w:val="24"/>
        </w:rPr>
        <w:noBreakHyphen/>
        <w:t>JONES JJ</w:t>
      </w:r>
    </w:p>
    <w:p w14:paraId="0BCB1FCD" w14:textId="77777777" w:rsidR="00B55DBB" w:rsidRPr="00427F3A" w:rsidRDefault="00B55DBB" w:rsidP="00EE5374">
      <w:pPr>
        <w:pStyle w:val="Centre"/>
        <w:rPr>
          <w:lang w:val="en-AU"/>
        </w:rPr>
      </w:pPr>
    </w:p>
    <w:p w14:paraId="0A8FAE81" w14:textId="77777777" w:rsidR="00B55DBB" w:rsidRPr="00704FF8" w:rsidRDefault="00B55DBB" w:rsidP="00704FF8">
      <w:pPr>
        <w:pStyle w:val="OrdersCenteredBorder"/>
      </w:pPr>
    </w:p>
    <w:p w14:paraId="452632BA" w14:textId="77777777" w:rsidR="00B55DBB" w:rsidRPr="00704FF8" w:rsidRDefault="00B55DBB" w:rsidP="0032341F">
      <w:pPr>
        <w:pStyle w:val="OrdersBodyHeading"/>
      </w:pPr>
    </w:p>
    <w:p w14:paraId="6574D552" w14:textId="77777777" w:rsidR="00B55DBB" w:rsidRPr="0032341F" w:rsidRDefault="00B55DBB" w:rsidP="009362E8">
      <w:pPr>
        <w:pStyle w:val="OrdersPartyName"/>
        <w:ind w:right="-1"/>
      </w:pPr>
      <w:r w:rsidRPr="00C940DC">
        <w:t>CCDM HOLDINGS, LLC</w:t>
      </w:r>
      <w:r>
        <w:t xml:space="preserve"> </w:t>
      </w:r>
      <w:r w:rsidRPr="00C940DC">
        <w:t>&amp; ORS</w:t>
      </w:r>
      <w:r w:rsidRPr="0032341F">
        <w:tab/>
        <w:t>APPELLANT</w:t>
      </w:r>
      <w:r>
        <w:t>S</w:t>
      </w:r>
    </w:p>
    <w:p w14:paraId="4E289D21" w14:textId="77777777" w:rsidR="00B55DBB" w:rsidRPr="0032341F" w:rsidRDefault="00B55DBB" w:rsidP="009362E8">
      <w:pPr>
        <w:pStyle w:val="OrdersPartyName"/>
        <w:ind w:right="-1"/>
      </w:pPr>
    </w:p>
    <w:p w14:paraId="0720DBE0" w14:textId="77777777" w:rsidR="00B55DBB" w:rsidRPr="0032341F" w:rsidRDefault="00B55DBB" w:rsidP="009362E8">
      <w:pPr>
        <w:pStyle w:val="OrdersPartyName"/>
        <w:ind w:right="-1"/>
      </w:pPr>
      <w:r w:rsidRPr="0032341F">
        <w:t>AND</w:t>
      </w:r>
    </w:p>
    <w:p w14:paraId="129FCE89" w14:textId="77777777" w:rsidR="00B55DBB" w:rsidRPr="0032341F" w:rsidRDefault="00B55DBB" w:rsidP="009362E8">
      <w:pPr>
        <w:pStyle w:val="OrdersPartyName"/>
        <w:ind w:right="-1"/>
      </w:pPr>
    </w:p>
    <w:p w14:paraId="17C30D0D" w14:textId="77777777" w:rsidR="00B55DBB" w:rsidRPr="0032341F" w:rsidRDefault="00B55DBB" w:rsidP="009362E8">
      <w:pPr>
        <w:pStyle w:val="OrdersPartyName"/>
        <w:ind w:right="-1"/>
      </w:pPr>
      <w:r w:rsidRPr="00C940DC">
        <w:t>THE REPUBLIC OF INDIA</w:t>
      </w:r>
      <w:r w:rsidRPr="0032341F">
        <w:tab/>
        <w:t>RESPONDENT</w:t>
      </w:r>
    </w:p>
    <w:p w14:paraId="30D876CD" w14:textId="77777777" w:rsidR="00B55DBB" w:rsidRPr="00427F3A" w:rsidRDefault="00B55DBB" w:rsidP="00AF0A5E">
      <w:pPr>
        <w:pStyle w:val="BodyHeading"/>
      </w:pPr>
    </w:p>
    <w:p w14:paraId="7B527075" w14:textId="77777777" w:rsidR="00B55DBB" w:rsidRPr="00427F3A" w:rsidRDefault="00B55DBB" w:rsidP="00BE0A6C">
      <w:pPr>
        <w:pStyle w:val="BodyHeading"/>
      </w:pPr>
    </w:p>
    <w:p w14:paraId="24B13E7A" w14:textId="77777777" w:rsidR="00B55DBB" w:rsidRPr="00427F3A" w:rsidRDefault="00B55DBB" w:rsidP="00EE5374">
      <w:pPr>
        <w:pStyle w:val="CentreItalics"/>
      </w:pPr>
      <w:r w:rsidRPr="00C940DC">
        <w:t>CCDM Holdings LLC v The Republic of India</w:t>
      </w:r>
    </w:p>
    <w:p w14:paraId="3EB69F78" w14:textId="77777777" w:rsidR="00B55DBB" w:rsidRPr="00427F3A" w:rsidRDefault="00B55DBB" w:rsidP="00E90E4F">
      <w:pPr>
        <w:pStyle w:val="OrdersCentre"/>
      </w:pPr>
      <w:r>
        <w:t>[2026</w:t>
      </w:r>
      <w:r w:rsidRPr="00427F3A">
        <w:t xml:space="preserve">] HCA </w:t>
      </w:r>
      <w:r>
        <w:t>9</w:t>
      </w:r>
    </w:p>
    <w:p w14:paraId="7F108D91" w14:textId="77777777" w:rsidR="00B55DBB" w:rsidRDefault="00B55DBB" w:rsidP="00E90E4F">
      <w:pPr>
        <w:pStyle w:val="OrdersCentreItalics"/>
      </w:pPr>
      <w:r>
        <w:t xml:space="preserve">Date of Hearing: </w:t>
      </w:r>
      <w:r w:rsidRPr="00C940DC">
        <w:t>4</w:t>
      </w:r>
      <w:r>
        <w:t xml:space="preserve"> &amp; 5</w:t>
      </w:r>
      <w:r w:rsidRPr="00C940DC">
        <w:t xml:space="preserve"> November 2025</w:t>
      </w:r>
    </w:p>
    <w:p w14:paraId="3913DEC0" w14:textId="77777777" w:rsidR="00B55DBB" w:rsidRPr="00427F3A" w:rsidRDefault="00B55DBB" w:rsidP="00E90E4F">
      <w:pPr>
        <w:pStyle w:val="OrdersCentreItalics"/>
      </w:pPr>
      <w:r>
        <w:t>Date of Judgment: 8 April 2026</w:t>
      </w:r>
    </w:p>
    <w:p w14:paraId="4A5534F4" w14:textId="77777777" w:rsidR="00B55DBB" w:rsidRDefault="00B55DBB" w:rsidP="00E90E4F">
      <w:pPr>
        <w:pStyle w:val="OrdersCentre"/>
      </w:pPr>
      <w:r w:rsidRPr="00C940DC">
        <w:t>S90/2025</w:t>
      </w:r>
    </w:p>
    <w:p w14:paraId="41DD603D" w14:textId="77777777" w:rsidR="00B55DBB" w:rsidRPr="00427F3A" w:rsidRDefault="00B55DBB" w:rsidP="00E90E4F">
      <w:pPr>
        <w:pStyle w:val="OrdersCentre"/>
      </w:pPr>
    </w:p>
    <w:p w14:paraId="64C1D7B4" w14:textId="77777777" w:rsidR="00B55DBB" w:rsidRPr="00BE0A6C" w:rsidRDefault="00B55DBB" w:rsidP="00E90E4F">
      <w:pPr>
        <w:pStyle w:val="OrderCentreBold"/>
      </w:pPr>
      <w:r w:rsidRPr="00BE0A6C">
        <w:t>ORDER</w:t>
      </w:r>
    </w:p>
    <w:p w14:paraId="7B7D0288" w14:textId="77777777" w:rsidR="00B55DBB" w:rsidRPr="00427F3A" w:rsidRDefault="00B55DBB" w:rsidP="00736C52">
      <w:pPr>
        <w:pStyle w:val="Centre"/>
        <w:rPr>
          <w:lang w:val="en-AU"/>
        </w:rPr>
      </w:pPr>
    </w:p>
    <w:p w14:paraId="05D71C10" w14:textId="77777777" w:rsidR="00B55DBB" w:rsidRPr="009470E0" w:rsidRDefault="00B55DBB" w:rsidP="00C7072F">
      <w:pPr>
        <w:pStyle w:val="OrdersText"/>
      </w:pPr>
      <w:r>
        <w:t>Appeal dismissed with costs.</w:t>
      </w:r>
    </w:p>
    <w:p w14:paraId="285C40A5" w14:textId="77777777" w:rsidR="00B55DBB" w:rsidRDefault="00B55DBB" w:rsidP="00EE5374">
      <w:pPr>
        <w:pStyle w:val="Body"/>
      </w:pPr>
    </w:p>
    <w:p w14:paraId="7628C192" w14:textId="77777777" w:rsidR="00B55DBB" w:rsidRPr="00427F3A" w:rsidRDefault="00B55DBB" w:rsidP="0032341F">
      <w:pPr>
        <w:pStyle w:val="OrdersBody"/>
      </w:pPr>
      <w:r w:rsidRPr="00427F3A">
        <w:t xml:space="preserve">On appeal from the </w:t>
      </w:r>
      <w:r w:rsidRPr="00C940DC">
        <w:t>Federal Court of Australia</w:t>
      </w:r>
    </w:p>
    <w:p w14:paraId="1496F0C2" w14:textId="77777777" w:rsidR="00B55DBB" w:rsidRDefault="00B55DBB" w:rsidP="00EE5374">
      <w:pPr>
        <w:pStyle w:val="Body"/>
      </w:pPr>
    </w:p>
    <w:p w14:paraId="7D9EF98C" w14:textId="77777777" w:rsidR="00B55DBB" w:rsidRPr="00427F3A" w:rsidRDefault="00B55DBB" w:rsidP="00EE5374">
      <w:pPr>
        <w:pStyle w:val="Body"/>
      </w:pPr>
    </w:p>
    <w:p w14:paraId="56D85D1B" w14:textId="77777777" w:rsidR="00B55DBB" w:rsidRPr="00427F3A" w:rsidRDefault="00B55DBB" w:rsidP="00E90E4F">
      <w:pPr>
        <w:pStyle w:val="OrdersBodyHeading"/>
      </w:pPr>
      <w:r w:rsidRPr="00427F3A">
        <w:t>Representation</w:t>
      </w:r>
    </w:p>
    <w:p w14:paraId="4578A85B" w14:textId="77777777" w:rsidR="00B55DBB" w:rsidRDefault="00B55DBB" w:rsidP="00EE5374">
      <w:pPr>
        <w:pStyle w:val="Body"/>
      </w:pPr>
    </w:p>
    <w:p w14:paraId="40DF72D7" w14:textId="77777777" w:rsidR="00B55DBB" w:rsidRPr="00E41E97" w:rsidRDefault="00B55DBB" w:rsidP="00E90E4F">
      <w:pPr>
        <w:pStyle w:val="OrdersBody"/>
      </w:pPr>
      <w:r w:rsidRPr="00E41E97">
        <w:t xml:space="preserve">B W Walker SC with J </w:t>
      </w:r>
      <w:proofErr w:type="gramStart"/>
      <w:r w:rsidRPr="00E41E97">
        <w:t>A</w:t>
      </w:r>
      <w:proofErr w:type="gramEnd"/>
      <w:r w:rsidRPr="00E41E97">
        <w:t xml:space="preserve"> Hogan-Doran SC and A F Garsia for the appellants (instructed by Norton Rose Fulbright)</w:t>
      </w:r>
    </w:p>
    <w:p w14:paraId="57457C65" w14:textId="77777777" w:rsidR="00B55DBB" w:rsidRPr="00E41E97" w:rsidRDefault="00B55DBB" w:rsidP="001B3C97">
      <w:pPr>
        <w:pStyle w:val="Body"/>
      </w:pPr>
    </w:p>
    <w:p w14:paraId="1FC203D0" w14:textId="77777777" w:rsidR="00B55DBB" w:rsidRPr="00E41E97" w:rsidRDefault="00B55DBB" w:rsidP="00E90E4F">
      <w:pPr>
        <w:pStyle w:val="OrdersBody"/>
      </w:pPr>
      <w:r w:rsidRPr="00E41E97">
        <w:t xml:space="preserve">J T Gleeson SC </w:t>
      </w:r>
      <w:r>
        <w:t>and</w:t>
      </w:r>
      <w:r w:rsidRPr="00E41E97">
        <w:t xml:space="preserve"> F T Roughley SC </w:t>
      </w:r>
      <w:r>
        <w:t>with</w:t>
      </w:r>
      <w:r w:rsidRPr="00E41E97">
        <w:t xml:space="preserve"> C G Winnett for the respondent (instructed White &amp; Case)</w:t>
      </w:r>
    </w:p>
    <w:p w14:paraId="71190339" w14:textId="77777777" w:rsidR="00B55DBB" w:rsidRPr="00733CAD" w:rsidRDefault="00B55DBB" w:rsidP="00A01277">
      <w:pPr>
        <w:pStyle w:val="Body"/>
        <w:rPr>
          <w:highlight w:val="yellow"/>
        </w:rPr>
      </w:pPr>
    </w:p>
    <w:p w14:paraId="679D988B" w14:textId="77777777" w:rsidR="00B55DBB" w:rsidRPr="00E41E97" w:rsidRDefault="00B55DBB" w:rsidP="00EB2770">
      <w:pPr>
        <w:pStyle w:val="OrdersBody"/>
      </w:pPr>
      <w:r w:rsidRPr="00E41E97">
        <w:t xml:space="preserve">S P Donaghue KC, Solicitor-General of the Commonwealth, with C S A Harris and A </w:t>
      </w:r>
      <w:proofErr w:type="spellStart"/>
      <w:r w:rsidRPr="00E41E97">
        <w:t>A</w:t>
      </w:r>
      <w:proofErr w:type="spellEnd"/>
      <w:r w:rsidRPr="00E41E97">
        <w:t xml:space="preserve"> E </w:t>
      </w:r>
      <w:proofErr w:type="spellStart"/>
      <w:r w:rsidRPr="00E41E97">
        <w:t>O'Beid</w:t>
      </w:r>
      <w:proofErr w:type="spellEnd"/>
      <w:r w:rsidRPr="00E41E97">
        <w:t xml:space="preserve"> </w:t>
      </w:r>
      <w:r>
        <w:t>for</w:t>
      </w:r>
      <w:r w:rsidRPr="00E41E97">
        <w:t xml:space="preserve"> the Attorney-General of the Commonwealth, intervening (instructed by Australian Government Solicitor)</w:t>
      </w:r>
    </w:p>
    <w:p w14:paraId="23F1E9A2" w14:textId="77777777" w:rsidR="00B55DBB" w:rsidRDefault="00B55DBB" w:rsidP="00A01277">
      <w:pPr>
        <w:pStyle w:val="Body"/>
      </w:pPr>
    </w:p>
    <w:p w14:paraId="129CBD3A" w14:textId="77777777" w:rsidR="00B55DBB" w:rsidRPr="00427F3A" w:rsidRDefault="00B55DBB" w:rsidP="00F9713B">
      <w:pPr>
        <w:pStyle w:val="Notice"/>
        <w:rPr>
          <w:lang w:val="en-AU"/>
        </w:rPr>
      </w:pPr>
      <w:r w:rsidRPr="00427F3A">
        <w:rPr>
          <w:lang w:val="en-AU"/>
        </w:rPr>
        <w:t>Notice:  This copy of the Court</w:t>
      </w:r>
      <w:bookmarkStart w:id="0" w:name="_Hlk214286115"/>
      <w:r w:rsidRPr="00427F3A">
        <w:rPr>
          <w:lang w:val="en-AU"/>
        </w:rPr>
        <w:t>'</w:t>
      </w:r>
      <w:bookmarkEnd w:id="0"/>
      <w:r w:rsidRPr="00427F3A">
        <w:rPr>
          <w:lang w:val="en-AU"/>
        </w:rPr>
        <w:t>s Reasons for Judgment is subject to formal revision prior to publication in the Commonwealth Law Reports.</w:t>
      </w:r>
    </w:p>
    <w:p w14:paraId="7B366EC9" w14:textId="3109AA1D" w:rsidR="00B55DBB" w:rsidRDefault="00B55DBB">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lang w:eastAsia="en-US"/>
        </w:rPr>
      </w:pPr>
      <w:r>
        <w:rPr>
          <w:rFonts w:ascii="Times New Roman" w:hAnsi="Times New Roman"/>
        </w:rPr>
        <w:br w:type="page"/>
      </w:r>
    </w:p>
    <w:p w14:paraId="5911AE06" w14:textId="77777777" w:rsidR="00CC6D44" w:rsidRDefault="00B55DBB">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rPr>
        <w:sectPr w:rsidR="00CC6D44" w:rsidSect="00B55DBB">
          <w:headerReference w:type="even" r:id="rId11"/>
          <w:headerReference w:type="default" r:id="rId12"/>
          <w:footerReference w:type="even" r:id="rId13"/>
          <w:footerReference w:type="default" r:id="rId14"/>
          <w:headerReference w:type="first" r:id="rId15"/>
          <w:footerReference w:type="first" r:id="rId16"/>
          <w:pgSz w:w="11907" w:h="16839" w:code="9"/>
          <w:pgMar w:top="1440" w:right="1984" w:bottom="1984" w:left="1984" w:header="720" w:footer="720" w:gutter="0"/>
          <w:cols w:space="720"/>
          <w:titlePg/>
          <w:docGrid w:linePitch="354"/>
        </w:sectPr>
      </w:pPr>
      <w:r>
        <w:rPr>
          <w:rFonts w:ascii="Times New Roman" w:hAnsi="Times New Roman"/>
        </w:rPr>
        <w:lastRenderedPageBreak/>
        <w:br w:type="page"/>
      </w:r>
    </w:p>
    <w:p w14:paraId="330465F9" w14:textId="77777777" w:rsidR="00CC6D44" w:rsidRPr="00094A09" w:rsidRDefault="00CC6D44" w:rsidP="00CC6D44">
      <w:pPr>
        <w:pStyle w:val="CatchwordsBold"/>
      </w:pPr>
      <w:r w:rsidRPr="00094A09">
        <w:lastRenderedPageBreak/>
        <w:t>CATCHWORDS</w:t>
      </w:r>
    </w:p>
    <w:p w14:paraId="4AC8C5DE" w14:textId="77777777" w:rsidR="00CC6D44" w:rsidRPr="00094A09" w:rsidRDefault="00CC6D44" w:rsidP="00CC6D44">
      <w:pPr>
        <w:pStyle w:val="CatchwordsBold"/>
      </w:pPr>
    </w:p>
    <w:p w14:paraId="135BA945" w14:textId="77777777" w:rsidR="00CC6D44" w:rsidRPr="00094A09" w:rsidRDefault="00CC6D44" w:rsidP="00CC6D44">
      <w:pPr>
        <w:pStyle w:val="CatchwordsBold"/>
      </w:pPr>
      <w:r>
        <w:t xml:space="preserve">CCDM Holdings LLC v The Republic of India </w:t>
      </w:r>
    </w:p>
    <w:p w14:paraId="3E798AD1" w14:textId="77777777" w:rsidR="00CC6D44" w:rsidRPr="00094A09" w:rsidRDefault="00CC6D44" w:rsidP="00CC6D44">
      <w:pPr>
        <w:pStyle w:val="CatchwordsBold"/>
      </w:pPr>
    </w:p>
    <w:p w14:paraId="57CF4A18" w14:textId="1F4F546B" w:rsidR="00CC6D44" w:rsidRPr="00CC6D44" w:rsidRDefault="00CC6D44" w:rsidP="00CC6D44">
      <w:pPr>
        <w:pStyle w:val="CatchwordsText"/>
      </w:pPr>
      <w:r>
        <w:t xml:space="preserve">Private international law – Foreign State immunity – Immunity from jurisdiction – Proceedings for recognition and enforcement of arbitral award – Where appellants assignees of investors who obtained arbitral award against respondent – Where appellants sought to have award recognised and enforced in Australia under Convention on the Recognition and Enforcement of Foreign Arbitral Awards (1958) ("New York Convention") as implemented by Pt II of </w:t>
      </w:r>
      <w:r w:rsidRPr="06C5EEC3">
        <w:rPr>
          <w:i/>
          <w:iCs/>
        </w:rPr>
        <w:t xml:space="preserve">International Arbitration Act 1974 </w:t>
      </w:r>
      <w:r>
        <w:t>(</w:t>
      </w:r>
      <w:proofErr w:type="spellStart"/>
      <w:r>
        <w:t>Cth</w:t>
      </w:r>
      <w:proofErr w:type="spellEnd"/>
      <w:r>
        <w:t>) – Whether respondent's ratification of New York Convention amounted to waiver of respondent's foreign State immunity from jurisdiction for recognition and enforcement of foreign arbitral award in courts of other State parties to New York Convention – Whether clear and unmistakeable intention that entry into New York Convention involves waiver of foreign State immunity – Whether text and context of New York Convention suggests State ratification intended to constitute waiver of foreign State immunity.</w:t>
      </w:r>
    </w:p>
    <w:p w14:paraId="465A5036" w14:textId="77777777" w:rsidR="00CC6D44" w:rsidRPr="00CC6D44" w:rsidRDefault="00CC6D44" w:rsidP="00CC6D44">
      <w:pPr>
        <w:pStyle w:val="CatchwordsText"/>
      </w:pPr>
    </w:p>
    <w:p w14:paraId="11C40B20" w14:textId="77777777" w:rsidR="00CC6D44" w:rsidRPr="00E15E41" w:rsidRDefault="00CC6D44" w:rsidP="00CC6D44">
      <w:pPr>
        <w:pStyle w:val="CatchwordsText"/>
      </w:pPr>
      <w:r>
        <w:t xml:space="preserve">Words and phrases – "arbitral award", "arbitration", "clear and </w:t>
      </w:r>
      <w:r w:rsidRPr="00CC6D44">
        <w:t>unmistakeable</w:t>
      </w:r>
      <w:r>
        <w:t>", "commercial or private law dispute", "commercial transaction", "common understanding", "enforcement", "express reservation", "foreign arbitral award", "foreign State immunity", "immunity from jurisdiction", "intention", "intention to preserve", "persons, whether physical or legal", "practical effect", "preservation", "presumption", "private party", "ratification", "reciprocity", "recognition", "reservation", "scope", "sovereign equality", "sovereign immunity", "State practice", "submission to jurisdiction", "subsequent practice", "waiver".</w:t>
      </w:r>
    </w:p>
    <w:p w14:paraId="28EB867F" w14:textId="77777777" w:rsidR="00CC6D44" w:rsidRPr="00CC6D44" w:rsidRDefault="00CC6D44" w:rsidP="00CC6D44">
      <w:pPr>
        <w:pStyle w:val="CatchwordsText"/>
      </w:pPr>
    </w:p>
    <w:p w14:paraId="6E936EA1" w14:textId="77777777" w:rsidR="00CC6D44" w:rsidRPr="00354A5D" w:rsidRDefault="00CC6D44" w:rsidP="00CC6D44">
      <w:pPr>
        <w:pStyle w:val="CatchwordsText"/>
      </w:pPr>
      <w:r w:rsidRPr="00CC6D44">
        <w:rPr>
          <w:i/>
          <w:iCs/>
        </w:rPr>
        <w:t>Foreign States Immunities Act 1985</w:t>
      </w:r>
      <w:r>
        <w:t xml:space="preserve"> (</w:t>
      </w:r>
      <w:proofErr w:type="spellStart"/>
      <w:r>
        <w:t>Cth</w:t>
      </w:r>
      <w:proofErr w:type="spellEnd"/>
      <w:r>
        <w:t xml:space="preserve">), ss </w:t>
      </w:r>
      <w:r w:rsidRPr="005B7C16">
        <w:t>9,</w:t>
      </w:r>
      <w:r>
        <w:t xml:space="preserve"> 10, 11, 17.</w:t>
      </w:r>
    </w:p>
    <w:p w14:paraId="2908150B" w14:textId="77777777" w:rsidR="00CC6D44" w:rsidRDefault="00CC6D44" w:rsidP="00CC6D44">
      <w:pPr>
        <w:pStyle w:val="CatchwordsText"/>
      </w:pPr>
      <w:r w:rsidRPr="00CC6D44">
        <w:rPr>
          <w:i/>
          <w:iCs/>
        </w:rPr>
        <w:t>International Arbitration Act 1974</w:t>
      </w:r>
      <w:r>
        <w:t xml:space="preserve"> (</w:t>
      </w:r>
      <w:proofErr w:type="spellStart"/>
      <w:r>
        <w:t>Cth</w:t>
      </w:r>
      <w:proofErr w:type="spellEnd"/>
      <w:r>
        <w:t xml:space="preserve">), ss 8, </w:t>
      </w:r>
      <w:r w:rsidRPr="00E83AFC">
        <w:t>9,</w:t>
      </w:r>
      <w:r>
        <w:t xml:space="preserve"> Sch 1.</w:t>
      </w:r>
    </w:p>
    <w:p w14:paraId="361C18E5" w14:textId="77777777" w:rsidR="00CC6D44" w:rsidRDefault="00CC6D44" w:rsidP="00CC6D44">
      <w:pPr>
        <w:pStyle w:val="CatchwordsText"/>
      </w:pPr>
      <w:r>
        <w:t>Convention on the Recognition and Enforcement of Foreign Arbitral Awards (1958), Arts I, II, III, IV, V, VI, VII, XI, XIII, XIV.</w:t>
      </w:r>
    </w:p>
    <w:p w14:paraId="6EF3D11F" w14:textId="77777777" w:rsidR="00CC6D44" w:rsidRDefault="00CC6D44" w:rsidP="00CC6D44">
      <w:pPr>
        <w:pStyle w:val="CatchwordsText"/>
      </w:pPr>
      <w:r>
        <w:t>Convention on the Settlement of Investment Disputes between States and Nationals of Other States (1965), Arts 53, 54, 55.</w:t>
      </w:r>
    </w:p>
    <w:p w14:paraId="5ACFED54" w14:textId="2EEEEC08" w:rsidR="00B55DBB" w:rsidRDefault="00CC6D44" w:rsidP="00CC6D44">
      <w:pPr>
        <w:pStyle w:val="CatchwordsText"/>
      </w:pPr>
      <w:r>
        <w:t>Vienna Convention on the Law of Treaties (1969), Art 31.</w:t>
      </w:r>
    </w:p>
    <w:p w14:paraId="604B6A86" w14:textId="6A8635BB" w:rsidR="00CC6D44" w:rsidRDefault="00CC6D44">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lang w:eastAsia="en-US"/>
        </w:rPr>
      </w:pPr>
      <w:r>
        <w:rPr>
          <w:rFonts w:ascii="Times New Roman" w:hAnsi="Times New Roman"/>
        </w:rPr>
        <w:br w:type="page"/>
      </w:r>
    </w:p>
    <w:p w14:paraId="39C8414B" w14:textId="527DA579" w:rsidR="00CC6D44" w:rsidRDefault="00CC6D44">
      <w:pPr>
        <w:tabs>
          <w:tab w:val="clear" w:pos="720"/>
          <w:tab w:val="clear" w:pos="1440"/>
          <w:tab w:val="clear" w:pos="2160"/>
          <w:tab w:val="clear" w:pos="2880"/>
          <w:tab w:val="clear" w:pos="3600"/>
          <w:tab w:val="clear" w:pos="4320"/>
          <w:tab w:val="clear" w:pos="5040"/>
          <w:tab w:val="clear" w:pos="5760"/>
          <w:tab w:val="clear" w:pos="6480"/>
          <w:tab w:val="clear" w:pos="7200"/>
        </w:tabs>
        <w:spacing w:line="240" w:lineRule="auto"/>
        <w:ind w:right="0" w:firstLine="0"/>
        <w:rPr>
          <w:rFonts w:ascii="Times New Roman" w:hAnsi="Times New Roman"/>
          <w:lang w:eastAsia="en-US"/>
        </w:rPr>
      </w:pPr>
      <w:r>
        <w:rPr>
          <w:rFonts w:ascii="Times New Roman" w:hAnsi="Times New Roman"/>
        </w:rPr>
        <w:lastRenderedPageBreak/>
        <w:br w:type="page"/>
      </w:r>
    </w:p>
    <w:p w14:paraId="3941FAE2" w14:textId="77777777" w:rsidR="00B55DBB" w:rsidRDefault="00B55DBB" w:rsidP="000E033B">
      <w:pPr>
        <w:pStyle w:val="NormalBody"/>
        <w:tabs>
          <w:tab w:val="clear" w:pos="720"/>
          <w:tab w:val="left" w:pos="0"/>
        </w:tabs>
        <w:spacing w:after="260" w:line="280" w:lineRule="exact"/>
        <w:ind w:right="0"/>
        <w:jc w:val="both"/>
        <w:rPr>
          <w:rFonts w:ascii="Times New Roman" w:hAnsi="Times New Roman"/>
        </w:rPr>
        <w:sectPr w:rsidR="00B55DBB" w:rsidSect="00CC6D44">
          <w:pgSz w:w="11907" w:h="16839" w:code="9"/>
          <w:pgMar w:top="1440" w:right="1701" w:bottom="1984" w:left="1701" w:header="720" w:footer="720" w:gutter="0"/>
          <w:pgNumType w:start="1"/>
          <w:cols w:space="720"/>
          <w:titlePg/>
          <w:docGrid w:linePitch="354"/>
        </w:sectPr>
      </w:pPr>
    </w:p>
    <w:p w14:paraId="08788266" w14:textId="7ECD27BA" w:rsidR="000E033B" w:rsidRPr="000E033B" w:rsidRDefault="000E033B" w:rsidP="000E033B">
      <w:pPr>
        <w:pStyle w:val="NormalBody"/>
        <w:tabs>
          <w:tab w:val="clear" w:pos="720"/>
          <w:tab w:val="left" w:pos="0"/>
        </w:tabs>
        <w:spacing w:after="260" w:line="280" w:lineRule="exact"/>
        <w:ind w:right="0"/>
        <w:jc w:val="both"/>
        <w:rPr>
          <w:rFonts w:ascii="Times New Roman" w:hAnsi="Times New Roman"/>
        </w:rPr>
      </w:pPr>
      <w:r w:rsidRPr="000E033B">
        <w:rPr>
          <w:rFonts w:ascii="Times New Roman" w:hAnsi="Times New Roman"/>
        </w:rPr>
        <w:lastRenderedPageBreak/>
        <w:t xml:space="preserve">GAGELER CJ, GORDON, EDELMAN, STEWARD, GLEESON, JAGOT AND BEECH-JONES JJ.   </w:t>
      </w:r>
    </w:p>
    <w:p w14:paraId="2DFA75CC" w14:textId="2A25D566" w:rsidR="00C843B8" w:rsidRPr="000E033B" w:rsidRDefault="002A3CF7" w:rsidP="000E033B">
      <w:pPr>
        <w:pStyle w:val="HeadingL1"/>
        <w:spacing w:after="260" w:line="280" w:lineRule="exact"/>
        <w:ind w:right="0"/>
        <w:jc w:val="both"/>
        <w:rPr>
          <w:rFonts w:ascii="Times New Roman" w:hAnsi="Times New Roman"/>
        </w:rPr>
      </w:pPr>
      <w:r w:rsidRPr="000E033B">
        <w:rPr>
          <w:rFonts w:ascii="Times New Roman" w:hAnsi="Times New Roman"/>
        </w:rPr>
        <w:t>Introduction</w:t>
      </w:r>
    </w:p>
    <w:p w14:paraId="1BF59A64" w14:textId="2BFF7BE8" w:rsidR="001143D5" w:rsidRPr="000E033B" w:rsidRDefault="001E4451" w:rsidP="000E033B">
      <w:pPr>
        <w:pStyle w:val="FixListStyle"/>
        <w:spacing w:after="260" w:line="280" w:lineRule="exact"/>
        <w:ind w:right="0"/>
        <w:jc w:val="both"/>
        <w:rPr>
          <w:rFonts w:ascii="Times New Roman" w:hAnsi="Times New Roman"/>
        </w:rPr>
      </w:pPr>
      <w:r w:rsidRPr="000E033B">
        <w:rPr>
          <w:rFonts w:ascii="Times New Roman" w:hAnsi="Times New Roman"/>
        </w:rPr>
        <w:tab/>
      </w:r>
      <w:r w:rsidR="001143D5" w:rsidRPr="000E033B">
        <w:rPr>
          <w:rFonts w:ascii="Times New Roman" w:hAnsi="Times New Roman"/>
        </w:rPr>
        <w:t>The appellants are assignees</w:t>
      </w:r>
      <w:r w:rsidR="0079618E" w:rsidRPr="000E033B">
        <w:rPr>
          <w:rFonts w:ascii="Times New Roman" w:hAnsi="Times New Roman"/>
        </w:rPr>
        <w:t xml:space="preserve"> of</w:t>
      </w:r>
      <w:r w:rsidR="003118DE" w:rsidRPr="000E033B">
        <w:rPr>
          <w:rFonts w:ascii="Times New Roman" w:hAnsi="Times New Roman"/>
        </w:rPr>
        <w:t xml:space="preserve">, and </w:t>
      </w:r>
      <w:r w:rsidR="00FD3C80" w:rsidRPr="000E033B">
        <w:rPr>
          <w:rFonts w:ascii="Times New Roman" w:hAnsi="Times New Roman"/>
        </w:rPr>
        <w:t xml:space="preserve">have been </w:t>
      </w:r>
      <w:r w:rsidR="003118DE" w:rsidRPr="000E033B">
        <w:rPr>
          <w:rFonts w:ascii="Times New Roman" w:hAnsi="Times New Roman"/>
        </w:rPr>
        <w:t>substituted as parties</w:t>
      </w:r>
      <w:r w:rsidR="0079618E" w:rsidRPr="000E033B">
        <w:rPr>
          <w:rFonts w:ascii="Times New Roman" w:hAnsi="Times New Roman"/>
        </w:rPr>
        <w:t xml:space="preserve"> for</w:t>
      </w:r>
      <w:r w:rsidR="003118DE" w:rsidRPr="000E033B">
        <w:rPr>
          <w:rFonts w:ascii="Times New Roman" w:hAnsi="Times New Roman"/>
        </w:rPr>
        <w:t>,</w:t>
      </w:r>
      <w:r w:rsidR="005946B5" w:rsidRPr="000E033B">
        <w:rPr>
          <w:rStyle w:val="FootnoteReference"/>
          <w:rFonts w:ascii="Times New Roman" w:hAnsi="Times New Roman"/>
          <w:sz w:val="24"/>
        </w:rPr>
        <w:footnoteReference w:id="2"/>
      </w:r>
      <w:r w:rsidR="001143D5" w:rsidRPr="000E033B">
        <w:rPr>
          <w:rFonts w:ascii="Times New Roman" w:hAnsi="Times New Roman"/>
        </w:rPr>
        <w:t xml:space="preserve"> Mauritian investors who obtained an arbitral award </w:t>
      </w:r>
      <w:r w:rsidR="003229E9" w:rsidRPr="000E033B">
        <w:rPr>
          <w:rFonts w:ascii="Times New Roman" w:hAnsi="Times New Roman"/>
        </w:rPr>
        <w:t xml:space="preserve">in the Netherlands </w:t>
      </w:r>
      <w:r w:rsidR="001143D5" w:rsidRPr="000E033B">
        <w:rPr>
          <w:rFonts w:ascii="Times New Roman" w:hAnsi="Times New Roman"/>
        </w:rPr>
        <w:t>against</w:t>
      </w:r>
      <w:r w:rsidR="00171169" w:rsidRPr="000E033B">
        <w:rPr>
          <w:rFonts w:ascii="Times New Roman" w:hAnsi="Times New Roman"/>
        </w:rPr>
        <w:t xml:space="preserve"> the Republic of</w:t>
      </w:r>
      <w:r w:rsidR="001143D5" w:rsidRPr="000E033B">
        <w:rPr>
          <w:rFonts w:ascii="Times New Roman" w:hAnsi="Times New Roman"/>
        </w:rPr>
        <w:t xml:space="preserve"> India</w:t>
      </w:r>
      <w:r w:rsidR="00A979A0" w:rsidRPr="000E033B">
        <w:rPr>
          <w:rFonts w:ascii="Times New Roman" w:hAnsi="Times New Roman"/>
        </w:rPr>
        <w:t>. The award was</w:t>
      </w:r>
      <w:r w:rsidR="005946B5" w:rsidRPr="000E033B">
        <w:rPr>
          <w:rFonts w:ascii="Times New Roman" w:hAnsi="Times New Roman"/>
        </w:rPr>
        <w:t xml:space="preserve"> </w:t>
      </w:r>
      <w:r w:rsidR="0050512A" w:rsidRPr="000E033B">
        <w:rPr>
          <w:rFonts w:ascii="Times New Roman" w:hAnsi="Times New Roman"/>
        </w:rPr>
        <w:t>for</w:t>
      </w:r>
      <w:r w:rsidR="005946B5" w:rsidRPr="000E033B">
        <w:rPr>
          <w:rFonts w:ascii="Times New Roman" w:hAnsi="Times New Roman"/>
        </w:rPr>
        <w:t xml:space="preserve"> more than US</w:t>
      </w:r>
      <w:r w:rsidR="00775613" w:rsidRPr="000E033B">
        <w:rPr>
          <w:rFonts w:ascii="Times New Roman" w:hAnsi="Times New Roman"/>
        </w:rPr>
        <w:t>$</w:t>
      </w:r>
      <w:r w:rsidR="005946B5" w:rsidRPr="000E033B">
        <w:rPr>
          <w:rFonts w:ascii="Times New Roman" w:hAnsi="Times New Roman"/>
        </w:rPr>
        <w:t>111 million</w:t>
      </w:r>
      <w:r w:rsidR="00517611" w:rsidRPr="000E033B">
        <w:rPr>
          <w:rFonts w:ascii="Times New Roman" w:hAnsi="Times New Roman"/>
        </w:rPr>
        <w:t>.</w:t>
      </w:r>
      <w:r w:rsidR="006C4DF3" w:rsidRPr="000E033B">
        <w:rPr>
          <w:rFonts w:ascii="Times New Roman" w:hAnsi="Times New Roman"/>
        </w:rPr>
        <w:t xml:space="preserve"> </w:t>
      </w:r>
      <w:r w:rsidR="00A979A0" w:rsidRPr="000E033B">
        <w:rPr>
          <w:rFonts w:ascii="Times New Roman" w:hAnsi="Times New Roman"/>
        </w:rPr>
        <w:t>The appellants seek to</w:t>
      </w:r>
      <w:r w:rsidR="00D32495" w:rsidRPr="000E033B">
        <w:rPr>
          <w:rFonts w:ascii="Times New Roman" w:hAnsi="Times New Roman"/>
        </w:rPr>
        <w:t xml:space="preserve"> have their </w:t>
      </w:r>
      <w:r w:rsidR="00A979A0" w:rsidRPr="000E033B">
        <w:rPr>
          <w:rFonts w:ascii="Times New Roman" w:hAnsi="Times New Roman"/>
        </w:rPr>
        <w:t xml:space="preserve">award </w:t>
      </w:r>
      <w:r w:rsidR="00D32495" w:rsidRPr="000E033B">
        <w:rPr>
          <w:rFonts w:ascii="Times New Roman" w:hAnsi="Times New Roman"/>
        </w:rPr>
        <w:t xml:space="preserve">recognised and enforced </w:t>
      </w:r>
      <w:r w:rsidR="00D71501" w:rsidRPr="000E033B">
        <w:rPr>
          <w:rFonts w:ascii="Times New Roman" w:hAnsi="Times New Roman"/>
        </w:rPr>
        <w:t xml:space="preserve">in Australia </w:t>
      </w:r>
      <w:r w:rsidR="00A979A0" w:rsidRPr="000E033B">
        <w:rPr>
          <w:rFonts w:ascii="Times New Roman" w:hAnsi="Times New Roman"/>
        </w:rPr>
        <w:t>under the Convention on the Recognition and Enforcement of Foreign Arbitral Awards</w:t>
      </w:r>
      <w:r w:rsidR="00A979A0" w:rsidRPr="000E033B">
        <w:rPr>
          <w:rFonts w:ascii="Times New Roman" w:hAnsi="Times New Roman"/>
          <w:i/>
          <w:iCs/>
        </w:rPr>
        <w:t xml:space="preserve"> </w:t>
      </w:r>
      <w:r w:rsidR="00A979A0" w:rsidRPr="000E033B">
        <w:rPr>
          <w:rFonts w:ascii="Times New Roman" w:hAnsi="Times New Roman"/>
        </w:rPr>
        <w:t>(1958)</w:t>
      </w:r>
      <w:r w:rsidR="00A979A0" w:rsidRPr="000E033B">
        <w:rPr>
          <w:rStyle w:val="FootnoteReference"/>
          <w:rFonts w:ascii="Times New Roman" w:hAnsi="Times New Roman"/>
          <w:sz w:val="24"/>
        </w:rPr>
        <w:footnoteReference w:id="3"/>
      </w:r>
      <w:r w:rsidR="00A979A0" w:rsidRPr="000E033B">
        <w:rPr>
          <w:rFonts w:ascii="Times New Roman" w:hAnsi="Times New Roman"/>
          <w:i/>
          <w:iCs/>
        </w:rPr>
        <w:t xml:space="preserve"> </w:t>
      </w:r>
      <w:r w:rsidR="00A979A0" w:rsidRPr="000E033B">
        <w:rPr>
          <w:rFonts w:ascii="Times New Roman" w:hAnsi="Times New Roman"/>
        </w:rPr>
        <w:t>(</w:t>
      </w:r>
      <w:r w:rsidR="00A979A0" w:rsidRPr="000E033B" w:rsidDel="008F1194">
        <w:rPr>
          <w:rFonts w:ascii="Times New Roman" w:hAnsi="Times New Roman"/>
        </w:rPr>
        <w:t>"</w:t>
      </w:r>
      <w:r w:rsidR="00A979A0" w:rsidRPr="000E033B">
        <w:rPr>
          <w:rFonts w:ascii="Times New Roman" w:hAnsi="Times New Roman"/>
        </w:rPr>
        <w:t>the New York Convention")</w:t>
      </w:r>
      <w:r w:rsidR="00800A58" w:rsidRPr="000E033B">
        <w:rPr>
          <w:rFonts w:ascii="Times New Roman" w:hAnsi="Times New Roman"/>
        </w:rPr>
        <w:t xml:space="preserve"> as implemented by Pt II of the </w:t>
      </w:r>
      <w:r w:rsidR="00800A58" w:rsidRPr="000E033B">
        <w:rPr>
          <w:rFonts w:ascii="Times New Roman" w:hAnsi="Times New Roman"/>
          <w:i/>
          <w:iCs/>
        </w:rPr>
        <w:t xml:space="preserve">International </w:t>
      </w:r>
      <w:r w:rsidR="006F4620" w:rsidRPr="000E033B">
        <w:rPr>
          <w:rFonts w:ascii="Times New Roman" w:hAnsi="Times New Roman"/>
          <w:i/>
          <w:iCs/>
        </w:rPr>
        <w:t xml:space="preserve">Arbitration Act 1974 </w:t>
      </w:r>
      <w:r w:rsidR="006F4620" w:rsidRPr="000E033B">
        <w:rPr>
          <w:rFonts w:ascii="Times New Roman" w:hAnsi="Times New Roman"/>
        </w:rPr>
        <w:t>(</w:t>
      </w:r>
      <w:proofErr w:type="spellStart"/>
      <w:r w:rsidR="006F4620" w:rsidRPr="000E033B">
        <w:rPr>
          <w:rFonts w:ascii="Times New Roman" w:hAnsi="Times New Roman"/>
        </w:rPr>
        <w:t>Cth</w:t>
      </w:r>
      <w:proofErr w:type="spellEnd"/>
      <w:r w:rsidR="006F4620" w:rsidRPr="000E033B">
        <w:rPr>
          <w:rFonts w:ascii="Times New Roman" w:hAnsi="Times New Roman"/>
        </w:rPr>
        <w:t>)</w:t>
      </w:r>
      <w:r w:rsidR="0018761E" w:rsidRPr="000E033B">
        <w:rPr>
          <w:rFonts w:ascii="Times New Roman" w:hAnsi="Times New Roman"/>
        </w:rPr>
        <w:t>.</w:t>
      </w:r>
    </w:p>
    <w:p w14:paraId="71E2F418" w14:textId="64AAAE07" w:rsidR="000D549A" w:rsidRPr="000E033B" w:rsidRDefault="001143D5" w:rsidP="000E033B">
      <w:pPr>
        <w:pStyle w:val="FixListStyle"/>
        <w:spacing w:after="260" w:line="280" w:lineRule="exact"/>
        <w:ind w:right="0"/>
        <w:jc w:val="both"/>
        <w:rPr>
          <w:rFonts w:ascii="Times New Roman" w:hAnsi="Times New Roman"/>
        </w:rPr>
      </w:pPr>
      <w:r w:rsidRPr="000E033B">
        <w:rPr>
          <w:rFonts w:ascii="Times New Roman" w:hAnsi="Times New Roman"/>
        </w:rPr>
        <w:tab/>
      </w:r>
      <w:r w:rsidR="001E4451" w:rsidRPr="000E033B">
        <w:rPr>
          <w:rFonts w:ascii="Times New Roman" w:hAnsi="Times New Roman"/>
        </w:rPr>
        <w:t xml:space="preserve">The principal </w:t>
      </w:r>
      <w:r w:rsidR="00381D8B" w:rsidRPr="000E033B">
        <w:rPr>
          <w:rFonts w:ascii="Times New Roman" w:hAnsi="Times New Roman"/>
        </w:rPr>
        <w:t xml:space="preserve">question </w:t>
      </w:r>
      <w:r w:rsidR="00D93AFB" w:rsidRPr="000E033B">
        <w:rPr>
          <w:rFonts w:ascii="Times New Roman" w:hAnsi="Times New Roman"/>
        </w:rPr>
        <w:t xml:space="preserve">throughout these proceedings, and the focus of </w:t>
      </w:r>
      <w:r w:rsidR="00A765E6" w:rsidRPr="000E033B">
        <w:rPr>
          <w:rFonts w:ascii="Times New Roman" w:hAnsi="Times New Roman"/>
        </w:rPr>
        <w:t>this appeal</w:t>
      </w:r>
      <w:r w:rsidR="00D93AFB" w:rsidRPr="000E033B">
        <w:rPr>
          <w:rFonts w:ascii="Times New Roman" w:hAnsi="Times New Roman"/>
        </w:rPr>
        <w:t>,</w:t>
      </w:r>
      <w:r w:rsidR="00A765E6" w:rsidRPr="000E033B">
        <w:rPr>
          <w:rFonts w:ascii="Times New Roman" w:hAnsi="Times New Roman"/>
        </w:rPr>
        <w:t xml:space="preserve"> </w:t>
      </w:r>
      <w:r w:rsidR="003A35DF" w:rsidRPr="000E033B">
        <w:rPr>
          <w:rFonts w:ascii="Times New Roman" w:hAnsi="Times New Roman"/>
        </w:rPr>
        <w:t>was</w:t>
      </w:r>
      <w:r w:rsidR="00381D8B" w:rsidRPr="000E033B" w:rsidDel="000E2093">
        <w:rPr>
          <w:rFonts w:ascii="Times New Roman" w:hAnsi="Times New Roman"/>
        </w:rPr>
        <w:t xml:space="preserve"> </w:t>
      </w:r>
      <w:r w:rsidR="007C682C" w:rsidRPr="000E033B">
        <w:rPr>
          <w:rFonts w:ascii="Times New Roman" w:hAnsi="Times New Roman"/>
        </w:rPr>
        <w:t xml:space="preserve">the narrow issue of </w:t>
      </w:r>
      <w:r w:rsidR="00381D8B" w:rsidRPr="000E033B">
        <w:rPr>
          <w:rFonts w:ascii="Times New Roman" w:hAnsi="Times New Roman"/>
        </w:rPr>
        <w:t xml:space="preserve">whether </w:t>
      </w:r>
      <w:r w:rsidR="00460655" w:rsidRPr="000E033B">
        <w:rPr>
          <w:rFonts w:ascii="Times New Roman" w:hAnsi="Times New Roman"/>
        </w:rPr>
        <w:t xml:space="preserve">India's act of ratification of the </w:t>
      </w:r>
      <w:r w:rsidR="00A979A0" w:rsidRPr="000E033B">
        <w:rPr>
          <w:rFonts w:ascii="Times New Roman" w:hAnsi="Times New Roman"/>
          <w:iCs/>
        </w:rPr>
        <w:t xml:space="preserve">New York Convention </w:t>
      </w:r>
      <w:r w:rsidR="00460655" w:rsidRPr="000E033B">
        <w:rPr>
          <w:rFonts w:ascii="Times New Roman" w:hAnsi="Times New Roman"/>
        </w:rPr>
        <w:t xml:space="preserve">amounted to a waiver of foreign State immunity </w:t>
      </w:r>
      <w:r w:rsidR="00C97569" w:rsidRPr="000E033B">
        <w:rPr>
          <w:rFonts w:ascii="Times New Roman" w:hAnsi="Times New Roman"/>
        </w:rPr>
        <w:t>from jurisdiction for</w:t>
      </w:r>
      <w:r w:rsidR="00550E3D" w:rsidRPr="000E033B">
        <w:rPr>
          <w:rFonts w:ascii="Times New Roman" w:hAnsi="Times New Roman"/>
        </w:rPr>
        <w:t xml:space="preserve"> recognition and enforcement of a foreign arbitral award</w:t>
      </w:r>
      <w:r w:rsidR="00C97569" w:rsidRPr="000E033B">
        <w:rPr>
          <w:rFonts w:ascii="Times New Roman" w:hAnsi="Times New Roman"/>
        </w:rPr>
        <w:t xml:space="preserve"> </w:t>
      </w:r>
      <w:r w:rsidR="00BB15C6" w:rsidRPr="000E033B">
        <w:rPr>
          <w:rFonts w:ascii="Times New Roman" w:hAnsi="Times New Roman"/>
        </w:rPr>
        <w:t xml:space="preserve">to which India is a party </w:t>
      </w:r>
      <w:r w:rsidR="00460655" w:rsidRPr="000E033B">
        <w:rPr>
          <w:rFonts w:ascii="Times New Roman" w:hAnsi="Times New Roman"/>
        </w:rPr>
        <w:t xml:space="preserve">in the courts of other State parties to the New York Convention. </w:t>
      </w:r>
      <w:r w:rsidR="00412E3C" w:rsidRPr="000E033B">
        <w:rPr>
          <w:rFonts w:ascii="Times New Roman" w:hAnsi="Times New Roman"/>
        </w:rPr>
        <w:t xml:space="preserve">In answer, India </w:t>
      </w:r>
      <w:r w:rsidR="00B90FC9" w:rsidRPr="000E033B">
        <w:rPr>
          <w:rFonts w:ascii="Times New Roman" w:hAnsi="Times New Roman"/>
        </w:rPr>
        <w:t xml:space="preserve">raised numerous </w:t>
      </w:r>
      <w:r w:rsidR="0018761E" w:rsidRPr="000E033B">
        <w:rPr>
          <w:rFonts w:ascii="Times New Roman" w:hAnsi="Times New Roman"/>
        </w:rPr>
        <w:t xml:space="preserve">other </w:t>
      </w:r>
      <w:r w:rsidR="00C6589B" w:rsidRPr="000E033B">
        <w:rPr>
          <w:rFonts w:ascii="Times New Roman" w:hAnsi="Times New Roman"/>
        </w:rPr>
        <w:t>issues</w:t>
      </w:r>
      <w:r w:rsidR="00B90FC9" w:rsidRPr="000E033B">
        <w:rPr>
          <w:rFonts w:ascii="Times New Roman" w:hAnsi="Times New Roman"/>
        </w:rPr>
        <w:t xml:space="preserve"> </w:t>
      </w:r>
      <w:r w:rsidR="00E01492" w:rsidRPr="000E033B">
        <w:rPr>
          <w:rFonts w:ascii="Times New Roman" w:hAnsi="Times New Roman"/>
        </w:rPr>
        <w:t>including</w:t>
      </w:r>
      <w:r w:rsidR="006102F5" w:rsidRPr="000E033B">
        <w:rPr>
          <w:rFonts w:ascii="Times New Roman" w:hAnsi="Times New Roman"/>
        </w:rPr>
        <w:t>: (</w:t>
      </w:r>
      <w:proofErr w:type="spellStart"/>
      <w:r w:rsidR="006102F5" w:rsidRPr="000E033B">
        <w:rPr>
          <w:rFonts w:ascii="Times New Roman" w:hAnsi="Times New Roman"/>
        </w:rPr>
        <w:t>i</w:t>
      </w:r>
      <w:proofErr w:type="spellEnd"/>
      <w:r w:rsidR="006102F5" w:rsidRPr="000E033B">
        <w:rPr>
          <w:rFonts w:ascii="Times New Roman" w:hAnsi="Times New Roman"/>
        </w:rPr>
        <w:t>)</w:t>
      </w:r>
      <w:r w:rsidR="00AE4B0E" w:rsidRPr="000E033B">
        <w:rPr>
          <w:rFonts w:ascii="Times New Roman" w:hAnsi="Times New Roman"/>
        </w:rPr>
        <w:t> </w:t>
      </w:r>
      <w:r w:rsidR="00E01492" w:rsidRPr="000E033B">
        <w:rPr>
          <w:rFonts w:ascii="Times New Roman" w:hAnsi="Times New Roman"/>
        </w:rPr>
        <w:t>whether</w:t>
      </w:r>
      <w:r w:rsidR="00F151CA" w:rsidRPr="000E033B">
        <w:rPr>
          <w:rFonts w:ascii="Times New Roman" w:hAnsi="Times New Roman"/>
        </w:rPr>
        <w:t xml:space="preserve"> the scope of the New York Convention </w:t>
      </w:r>
      <w:r w:rsidR="006D3D14" w:rsidRPr="000E033B">
        <w:rPr>
          <w:rFonts w:ascii="Times New Roman" w:hAnsi="Times New Roman"/>
        </w:rPr>
        <w:t>extend</w:t>
      </w:r>
      <w:r w:rsidR="00707CA7" w:rsidRPr="000E033B">
        <w:rPr>
          <w:rFonts w:ascii="Times New Roman" w:hAnsi="Times New Roman"/>
        </w:rPr>
        <w:t>s</w:t>
      </w:r>
      <w:r w:rsidR="006D3D14" w:rsidRPr="000E033B">
        <w:rPr>
          <w:rFonts w:ascii="Times New Roman" w:hAnsi="Times New Roman"/>
        </w:rPr>
        <w:t xml:space="preserve"> to arbitrations </w:t>
      </w:r>
      <w:r w:rsidR="008F0FA1" w:rsidRPr="000E033B">
        <w:rPr>
          <w:rFonts w:ascii="Times New Roman" w:hAnsi="Times New Roman"/>
        </w:rPr>
        <w:t>where a State is a party that do not involve a commercial or private law dispute</w:t>
      </w:r>
      <w:r w:rsidR="00F151CA" w:rsidRPr="000E033B">
        <w:rPr>
          <w:rFonts w:ascii="Times New Roman" w:hAnsi="Times New Roman"/>
        </w:rPr>
        <w:t xml:space="preserve">; </w:t>
      </w:r>
      <w:r w:rsidR="006102F5" w:rsidRPr="000E033B">
        <w:rPr>
          <w:rFonts w:ascii="Times New Roman" w:hAnsi="Times New Roman"/>
        </w:rPr>
        <w:t xml:space="preserve">and </w:t>
      </w:r>
      <w:r w:rsidR="00F151CA" w:rsidRPr="000E033B">
        <w:rPr>
          <w:rFonts w:ascii="Times New Roman" w:hAnsi="Times New Roman"/>
        </w:rPr>
        <w:t>(ii)</w:t>
      </w:r>
      <w:r w:rsidR="00AE4B0E" w:rsidRPr="000E033B">
        <w:rPr>
          <w:rFonts w:ascii="Times New Roman" w:hAnsi="Times New Roman"/>
        </w:rPr>
        <w:t> </w:t>
      </w:r>
      <w:r w:rsidR="00A313FA" w:rsidRPr="000E033B">
        <w:rPr>
          <w:rFonts w:ascii="Times New Roman" w:hAnsi="Times New Roman"/>
        </w:rPr>
        <w:t xml:space="preserve">the scope of </w:t>
      </w:r>
      <w:r w:rsidR="004942F3" w:rsidRPr="000E033B">
        <w:rPr>
          <w:rFonts w:ascii="Times New Roman" w:hAnsi="Times New Roman"/>
        </w:rPr>
        <w:t xml:space="preserve">any </w:t>
      </w:r>
      <w:r w:rsidR="00A313FA" w:rsidRPr="000E033B">
        <w:rPr>
          <w:rFonts w:ascii="Times New Roman" w:hAnsi="Times New Roman"/>
        </w:rPr>
        <w:t>waiver of immunity</w:t>
      </w:r>
      <w:r w:rsidR="004942F3" w:rsidRPr="000E033B">
        <w:rPr>
          <w:rFonts w:ascii="Times New Roman" w:hAnsi="Times New Roman"/>
        </w:rPr>
        <w:t xml:space="preserve"> by India</w:t>
      </w:r>
      <w:r w:rsidR="00A313FA" w:rsidRPr="000E033B">
        <w:rPr>
          <w:rFonts w:ascii="Times New Roman" w:hAnsi="Times New Roman"/>
        </w:rPr>
        <w:t xml:space="preserve"> in light of India's reservation to the New York Convention</w:t>
      </w:r>
      <w:r w:rsidR="00642611" w:rsidRPr="000E033B">
        <w:rPr>
          <w:rFonts w:ascii="Times New Roman" w:hAnsi="Times New Roman"/>
        </w:rPr>
        <w:t xml:space="preserve"> </w:t>
      </w:r>
      <w:r w:rsidR="002A6ADF" w:rsidRPr="000E033B">
        <w:rPr>
          <w:rFonts w:ascii="Times New Roman" w:hAnsi="Times New Roman"/>
        </w:rPr>
        <w:t>that it would apply the Convention only to differences arising out of legal relationships which are considered as commercial under the law of India</w:t>
      </w:r>
      <w:r w:rsidR="006102F5" w:rsidRPr="000E033B">
        <w:rPr>
          <w:rFonts w:ascii="Times New Roman" w:hAnsi="Times New Roman"/>
        </w:rPr>
        <w:t>.</w:t>
      </w:r>
      <w:r w:rsidR="00FE0123" w:rsidRPr="000E033B">
        <w:rPr>
          <w:rFonts w:ascii="Times New Roman" w:hAnsi="Times New Roman"/>
        </w:rPr>
        <w:t xml:space="preserve"> The </w:t>
      </w:r>
      <w:r w:rsidR="00491609" w:rsidRPr="000E033B">
        <w:rPr>
          <w:rFonts w:ascii="Times New Roman" w:hAnsi="Times New Roman"/>
        </w:rPr>
        <w:t xml:space="preserve">appellants, </w:t>
      </w:r>
      <w:r w:rsidR="00384463" w:rsidRPr="000E033B">
        <w:rPr>
          <w:rFonts w:ascii="Times New Roman" w:hAnsi="Times New Roman"/>
        </w:rPr>
        <w:t xml:space="preserve">in common with the </w:t>
      </w:r>
      <w:r w:rsidR="00FE0123" w:rsidRPr="000E033B">
        <w:rPr>
          <w:rFonts w:ascii="Times New Roman" w:hAnsi="Times New Roman"/>
        </w:rPr>
        <w:t>Mauritian investors</w:t>
      </w:r>
      <w:r w:rsidR="0054700A" w:rsidRPr="000E033B">
        <w:rPr>
          <w:rFonts w:ascii="Times New Roman" w:hAnsi="Times New Roman"/>
        </w:rPr>
        <w:t xml:space="preserve"> in the arbitration</w:t>
      </w:r>
      <w:r w:rsidR="00384463" w:rsidRPr="000E033B">
        <w:rPr>
          <w:rFonts w:ascii="Times New Roman" w:hAnsi="Times New Roman"/>
        </w:rPr>
        <w:t>,</w:t>
      </w:r>
      <w:r w:rsidR="00FE0123" w:rsidRPr="000E033B">
        <w:rPr>
          <w:rFonts w:ascii="Times New Roman" w:hAnsi="Times New Roman"/>
        </w:rPr>
        <w:t xml:space="preserve"> disclaimed reliance on the parties</w:t>
      </w:r>
      <w:r w:rsidR="00017524" w:rsidRPr="000E033B">
        <w:rPr>
          <w:rFonts w:ascii="Times New Roman" w:hAnsi="Times New Roman"/>
        </w:rPr>
        <w:t>'</w:t>
      </w:r>
      <w:r w:rsidR="00FE0123" w:rsidRPr="000E033B">
        <w:rPr>
          <w:rFonts w:ascii="Times New Roman" w:hAnsi="Times New Roman"/>
        </w:rPr>
        <w:t xml:space="preserve"> agreement to arbitrate as itself being a waiver of foreign State immunity.</w:t>
      </w:r>
    </w:p>
    <w:p w14:paraId="1D0815B6" w14:textId="26666688" w:rsidR="002813A0" w:rsidRPr="000E033B" w:rsidRDefault="00C6589B" w:rsidP="000E033B">
      <w:pPr>
        <w:pStyle w:val="FixListStyle"/>
        <w:spacing w:after="260" w:line="280" w:lineRule="exact"/>
        <w:ind w:right="0"/>
        <w:jc w:val="both"/>
        <w:rPr>
          <w:rFonts w:ascii="Times New Roman" w:hAnsi="Times New Roman"/>
        </w:rPr>
      </w:pPr>
      <w:r w:rsidRPr="000E033B">
        <w:rPr>
          <w:rFonts w:ascii="Times New Roman" w:hAnsi="Times New Roman"/>
        </w:rPr>
        <w:tab/>
      </w:r>
      <w:r w:rsidR="000D549A" w:rsidRPr="000E033B">
        <w:rPr>
          <w:rFonts w:ascii="Times New Roman" w:hAnsi="Times New Roman"/>
        </w:rPr>
        <w:t>T</w:t>
      </w:r>
      <w:r w:rsidR="0085155E" w:rsidRPr="000E033B">
        <w:rPr>
          <w:rFonts w:ascii="Times New Roman" w:hAnsi="Times New Roman"/>
        </w:rPr>
        <w:t xml:space="preserve">he </w:t>
      </w:r>
      <w:r w:rsidR="000D549A" w:rsidRPr="000E033B">
        <w:rPr>
          <w:rFonts w:ascii="Times New Roman" w:hAnsi="Times New Roman"/>
        </w:rPr>
        <w:t>princip</w:t>
      </w:r>
      <w:r w:rsidR="0085155E" w:rsidRPr="000E033B">
        <w:rPr>
          <w:rFonts w:ascii="Times New Roman" w:hAnsi="Times New Roman"/>
        </w:rPr>
        <w:t>al question of waiver arises in this country i</w:t>
      </w:r>
      <w:r w:rsidR="00C64123" w:rsidRPr="000E033B">
        <w:rPr>
          <w:rFonts w:ascii="Times New Roman" w:hAnsi="Times New Roman"/>
        </w:rPr>
        <w:t>n</w:t>
      </w:r>
      <w:r w:rsidR="0085155E" w:rsidRPr="000E033B">
        <w:rPr>
          <w:rFonts w:ascii="Times New Roman" w:hAnsi="Times New Roman"/>
        </w:rPr>
        <w:t xml:space="preserve"> </w:t>
      </w:r>
      <w:r w:rsidRPr="000E033B">
        <w:rPr>
          <w:rFonts w:ascii="Times New Roman" w:hAnsi="Times New Roman"/>
        </w:rPr>
        <w:t>the</w:t>
      </w:r>
      <w:r w:rsidR="00C64123" w:rsidRPr="000E033B">
        <w:rPr>
          <w:rFonts w:ascii="Times New Roman" w:hAnsi="Times New Roman"/>
        </w:rPr>
        <w:t xml:space="preserve"> context of the</w:t>
      </w:r>
      <w:r w:rsidRPr="000E033B">
        <w:rPr>
          <w:rFonts w:ascii="Times New Roman" w:hAnsi="Times New Roman"/>
        </w:rPr>
        <w:t xml:space="preserve"> </w:t>
      </w:r>
      <w:r w:rsidRPr="000E033B">
        <w:rPr>
          <w:rFonts w:ascii="Times New Roman" w:hAnsi="Times New Roman"/>
          <w:i/>
          <w:iCs/>
        </w:rPr>
        <w:t xml:space="preserve">Foreign States Immunities Act 1985 </w:t>
      </w:r>
      <w:r w:rsidRPr="000E033B">
        <w:rPr>
          <w:rFonts w:ascii="Times New Roman" w:hAnsi="Times New Roman"/>
        </w:rPr>
        <w:t>(</w:t>
      </w:r>
      <w:proofErr w:type="spellStart"/>
      <w:r w:rsidRPr="000E033B">
        <w:rPr>
          <w:rFonts w:ascii="Times New Roman" w:hAnsi="Times New Roman"/>
        </w:rPr>
        <w:t>Cth</w:t>
      </w:r>
      <w:proofErr w:type="spellEnd"/>
      <w:r w:rsidRPr="000E033B">
        <w:rPr>
          <w:rFonts w:ascii="Times New Roman" w:hAnsi="Times New Roman"/>
        </w:rPr>
        <w:t>)</w:t>
      </w:r>
      <w:r w:rsidR="00C64123" w:rsidRPr="000E033B">
        <w:rPr>
          <w:rFonts w:ascii="Times New Roman" w:hAnsi="Times New Roman"/>
        </w:rPr>
        <w:t>. Section</w:t>
      </w:r>
      <w:r w:rsidR="00EE6942" w:rsidRPr="000E033B">
        <w:rPr>
          <w:rFonts w:ascii="Times New Roman" w:hAnsi="Times New Roman"/>
        </w:rPr>
        <w:t> </w:t>
      </w:r>
      <w:r w:rsidR="00C64123" w:rsidRPr="000E033B">
        <w:rPr>
          <w:rFonts w:ascii="Times New Roman" w:hAnsi="Times New Roman"/>
        </w:rPr>
        <w:t>9 of that Act provides that "[e]</w:t>
      </w:r>
      <w:proofErr w:type="spellStart"/>
      <w:r w:rsidR="00C64123" w:rsidRPr="000E033B">
        <w:rPr>
          <w:rFonts w:ascii="Times New Roman" w:hAnsi="Times New Roman"/>
        </w:rPr>
        <w:t>xcept</w:t>
      </w:r>
      <w:proofErr w:type="spellEnd"/>
      <w:r w:rsidR="00C64123" w:rsidRPr="000E033B">
        <w:rPr>
          <w:rFonts w:ascii="Times New Roman" w:hAnsi="Times New Roman"/>
        </w:rPr>
        <w:t xml:space="preserve"> as provided by or under this Act, a foreign State is immune from the jurisdiction of the courts of Australia in a proceeding"</w:t>
      </w:r>
      <w:r w:rsidR="00C34FA5" w:rsidRPr="000E033B">
        <w:rPr>
          <w:rFonts w:ascii="Times New Roman" w:hAnsi="Times New Roman"/>
        </w:rPr>
        <w:t>.</w:t>
      </w:r>
      <w:r w:rsidR="00C64123" w:rsidRPr="000E033B">
        <w:rPr>
          <w:rFonts w:ascii="Times New Roman" w:hAnsi="Times New Roman"/>
        </w:rPr>
        <w:t xml:space="preserve"> Section</w:t>
      </w:r>
      <w:r w:rsidR="00EE6942" w:rsidRPr="000E033B">
        <w:rPr>
          <w:rFonts w:ascii="Times New Roman" w:hAnsi="Times New Roman"/>
        </w:rPr>
        <w:t> </w:t>
      </w:r>
      <w:r w:rsidR="00C64123" w:rsidRPr="000E033B">
        <w:rPr>
          <w:rFonts w:ascii="Times New Roman" w:hAnsi="Times New Roman"/>
        </w:rPr>
        <w:t xml:space="preserve">10(1) of that Act </w:t>
      </w:r>
      <w:r w:rsidRPr="000E033B">
        <w:rPr>
          <w:rFonts w:ascii="Times New Roman" w:hAnsi="Times New Roman"/>
        </w:rPr>
        <w:t xml:space="preserve">provides that "[a] foreign State is not immune in a proceeding in which it has submitted to the jurisdiction in accordance with this section". As s 10(2) provides, that submission to jurisdiction can occur at any time </w:t>
      </w:r>
      <w:r w:rsidR="0016235B" w:rsidRPr="000E033B">
        <w:rPr>
          <w:rFonts w:ascii="Times New Roman" w:hAnsi="Times New Roman"/>
        </w:rPr>
        <w:t xml:space="preserve">"by agreement or otherwise" </w:t>
      </w:r>
      <w:r w:rsidRPr="000E033B">
        <w:rPr>
          <w:rFonts w:ascii="Times New Roman" w:hAnsi="Times New Roman"/>
        </w:rPr>
        <w:lastRenderedPageBreak/>
        <w:t>but submission does not occur "by reason only that [the foreign State] is a party to an agreement the proper law of which is the law of Australia".</w:t>
      </w:r>
      <w:r w:rsidR="008A7E0E" w:rsidRPr="000E033B">
        <w:rPr>
          <w:rFonts w:ascii="Times New Roman" w:hAnsi="Times New Roman"/>
        </w:rPr>
        <w:t xml:space="preserve"> </w:t>
      </w:r>
    </w:p>
    <w:p w14:paraId="007A891A" w14:textId="06E691EE" w:rsidR="007C035E" w:rsidRPr="000E033B" w:rsidRDefault="002813A0" w:rsidP="000E033B">
      <w:pPr>
        <w:pStyle w:val="FixListStyle"/>
        <w:spacing w:after="260" w:line="280" w:lineRule="exact"/>
        <w:ind w:right="0"/>
        <w:jc w:val="both"/>
        <w:rPr>
          <w:rFonts w:ascii="Times New Roman" w:hAnsi="Times New Roman"/>
        </w:rPr>
      </w:pPr>
      <w:r w:rsidRPr="000E033B">
        <w:rPr>
          <w:rFonts w:ascii="Times New Roman" w:hAnsi="Times New Roman"/>
        </w:rPr>
        <w:tab/>
      </w:r>
      <w:r w:rsidR="008A7E0E" w:rsidRPr="000E033B">
        <w:rPr>
          <w:rFonts w:ascii="Times New Roman" w:hAnsi="Times New Roman"/>
        </w:rPr>
        <w:t>The primary judge in the Federal Court of Australia</w:t>
      </w:r>
      <w:r w:rsidR="00264024" w:rsidRPr="000E033B">
        <w:rPr>
          <w:rFonts w:ascii="Times New Roman" w:hAnsi="Times New Roman"/>
        </w:rPr>
        <w:t xml:space="preserve"> (Jackman</w:t>
      </w:r>
      <w:r w:rsidR="00980380" w:rsidRPr="000E033B">
        <w:rPr>
          <w:rFonts w:ascii="Times New Roman" w:hAnsi="Times New Roman"/>
        </w:rPr>
        <w:t> </w:t>
      </w:r>
      <w:r w:rsidR="00264024" w:rsidRPr="000E033B">
        <w:rPr>
          <w:rFonts w:ascii="Times New Roman" w:hAnsi="Times New Roman"/>
        </w:rPr>
        <w:t>J)</w:t>
      </w:r>
      <w:r w:rsidR="008A7E0E" w:rsidRPr="000E033B">
        <w:rPr>
          <w:rFonts w:ascii="Times New Roman" w:hAnsi="Times New Roman"/>
        </w:rPr>
        <w:t xml:space="preserve"> concluded that </w:t>
      </w:r>
      <w:r w:rsidR="00CA220D" w:rsidRPr="000E033B">
        <w:rPr>
          <w:rFonts w:ascii="Times New Roman" w:hAnsi="Times New Roman"/>
        </w:rPr>
        <w:t xml:space="preserve">by its act of ratification of the New York Convention </w:t>
      </w:r>
      <w:r w:rsidR="000E397F" w:rsidRPr="000E033B">
        <w:rPr>
          <w:rFonts w:ascii="Times New Roman" w:hAnsi="Times New Roman"/>
        </w:rPr>
        <w:t>India had waived its foreign State immunity</w:t>
      </w:r>
      <w:r w:rsidR="00DC7905" w:rsidRPr="000E033B">
        <w:rPr>
          <w:rFonts w:ascii="Times New Roman" w:hAnsi="Times New Roman"/>
        </w:rPr>
        <w:t xml:space="preserve"> within </w:t>
      </w:r>
      <w:r w:rsidR="00A400B1">
        <w:rPr>
          <w:rFonts w:ascii="Times New Roman" w:hAnsi="Times New Roman"/>
        </w:rPr>
        <w:t>s</w:t>
      </w:r>
      <w:r w:rsidR="00233860" w:rsidRPr="000E033B">
        <w:rPr>
          <w:rFonts w:ascii="Times New Roman" w:hAnsi="Times New Roman"/>
        </w:rPr>
        <w:t>s</w:t>
      </w:r>
      <w:r w:rsidR="00980380" w:rsidRPr="000E033B">
        <w:rPr>
          <w:rFonts w:ascii="Times New Roman" w:hAnsi="Times New Roman"/>
        </w:rPr>
        <w:t> </w:t>
      </w:r>
      <w:r w:rsidR="00DC7905" w:rsidRPr="000E033B">
        <w:rPr>
          <w:rFonts w:ascii="Times New Roman" w:hAnsi="Times New Roman"/>
        </w:rPr>
        <w:t>10(1)</w:t>
      </w:r>
      <w:r w:rsidR="00233860" w:rsidRPr="000E033B">
        <w:rPr>
          <w:rFonts w:ascii="Times New Roman" w:hAnsi="Times New Roman"/>
        </w:rPr>
        <w:t xml:space="preserve"> and </w:t>
      </w:r>
      <w:r w:rsidR="00A400B1">
        <w:rPr>
          <w:rFonts w:ascii="Times New Roman" w:hAnsi="Times New Roman"/>
        </w:rPr>
        <w:t>10</w:t>
      </w:r>
      <w:r w:rsidR="00233860" w:rsidRPr="000E033B">
        <w:rPr>
          <w:rFonts w:ascii="Times New Roman" w:hAnsi="Times New Roman"/>
        </w:rPr>
        <w:t>(2)</w:t>
      </w:r>
      <w:r w:rsidRPr="000E033B">
        <w:rPr>
          <w:rFonts w:ascii="Times New Roman" w:hAnsi="Times New Roman"/>
        </w:rPr>
        <w:t xml:space="preserve">, and </w:t>
      </w:r>
      <w:r w:rsidR="00DC7905" w:rsidRPr="000E033B">
        <w:rPr>
          <w:rFonts w:ascii="Times New Roman" w:hAnsi="Times New Roman"/>
        </w:rPr>
        <w:t xml:space="preserve">had </w:t>
      </w:r>
      <w:r w:rsidRPr="000E033B">
        <w:rPr>
          <w:rFonts w:ascii="Times New Roman" w:hAnsi="Times New Roman"/>
        </w:rPr>
        <w:t xml:space="preserve">submitted to the </w:t>
      </w:r>
      <w:r w:rsidR="000E397F" w:rsidRPr="000E033B">
        <w:rPr>
          <w:rFonts w:ascii="Times New Roman" w:hAnsi="Times New Roman"/>
        </w:rPr>
        <w:t xml:space="preserve">jurisdiction </w:t>
      </w:r>
      <w:r w:rsidRPr="000E033B">
        <w:rPr>
          <w:rFonts w:ascii="Times New Roman" w:hAnsi="Times New Roman"/>
        </w:rPr>
        <w:t>of</w:t>
      </w:r>
      <w:r w:rsidR="000E397F" w:rsidRPr="000E033B">
        <w:rPr>
          <w:rFonts w:ascii="Times New Roman" w:hAnsi="Times New Roman"/>
        </w:rPr>
        <w:t xml:space="preserve"> the courts of any State </w:t>
      </w:r>
      <w:r w:rsidR="00CA220D" w:rsidRPr="000E033B">
        <w:rPr>
          <w:rFonts w:ascii="Times New Roman" w:hAnsi="Times New Roman"/>
        </w:rPr>
        <w:t>party to the New York Convention</w:t>
      </w:r>
      <w:r w:rsidR="00EB5338" w:rsidRPr="000E033B">
        <w:rPr>
          <w:rFonts w:ascii="Times New Roman" w:hAnsi="Times New Roman"/>
        </w:rPr>
        <w:t xml:space="preserve"> in proceedings for the recognition and enforcement of a foreign </w:t>
      </w:r>
      <w:r w:rsidR="00550E3D" w:rsidRPr="000E033B">
        <w:rPr>
          <w:rFonts w:ascii="Times New Roman" w:hAnsi="Times New Roman"/>
        </w:rPr>
        <w:t>arbitral award</w:t>
      </w:r>
      <w:r w:rsidR="008861D9" w:rsidRPr="000E033B">
        <w:rPr>
          <w:rFonts w:ascii="Times New Roman" w:hAnsi="Times New Roman"/>
        </w:rPr>
        <w:t xml:space="preserve"> to which India is a party</w:t>
      </w:r>
      <w:r w:rsidR="00550E3D" w:rsidRPr="000E033B">
        <w:rPr>
          <w:rFonts w:ascii="Times New Roman" w:hAnsi="Times New Roman"/>
        </w:rPr>
        <w:t xml:space="preserve">. </w:t>
      </w:r>
      <w:r w:rsidR="00D6754D" w:rsidRPr="000E033B">
        <w:rPr>
          <w:rFonts w:ascii="Times New Roman" w:hAnsi="Times New Roman"/>
        </w:rPr>
        <w:t xml:space="preserve">The primary judge rejected India's </w:t>
      </w:r>
      <w:r w:rsidR="00FE2D46" w:rsidRPr="000E033B">
        <w:rPr>
          <w:rFonts w:ascii="Times New Roman" w:hAnsi="Times New Roman"/>
        </w:rPr>
        <w:t>answers to the alleg</w:t>
      </w:r>
      <w:r w:rsidR="00DB4A3A" w:rsidRPr="000E033B">
        <w:rPr>
          <w:rFonts w:ascii="Times New Roman" w:hAnsi="Times New Roman"/>
        </w:rPr>
        <w:t xml:space="preserve">ation of </w:t>
      </w:r>
      <w:r w:rsidR="00FE2D46" w:rsidRPr="000E033B">
        <w:rPr>
          <w:rFonts w:ascii="Times New Roman" w:hAnsi="Times New Roman"/>
        </w:rPr>
        <w:t>waiver</w:t>
      </w:r>
      <w:r w:rsidR="00DB4A3A" w:rsidRPr="000E033B">
        <w:rPr>
          <w:rFonts w:ascii="Times New Roman" w:hAnsi="Times New Roman"/>
        </w:rPr>
        <w:t xml:space="preserve">, concluding that the waiver occurred </w:t>
      </w:r>
      <w:r w:rsidR="00575F97" w:rsidRPr="000E033B">
        <w:rPr>
          <w:rFonts w:ascii="Times New Roman" w:hAnsi="Times New Roman"/>
        </w:rPr>
        <w:t>by reason of India's ratification of the New York Convention.</w:t>
      </w:r>
    </w:p>
    <w:p w14:paraId="4F1D726F" w14:textId="3B7CCFD1" w:rsidR="00177784" w:rsidRPr="000E033B" w:rsidRDefault="007C035E" w:rsidP="000E033B">
      <w:pPr>
        <w:pStyle w:val="FixListStyle"/>
        <w:spacing w:after="260" w:line="280" w:lineRule="exact"/>
        <w:ind w:right="0"/>
        <w:jc w:val="both"/>
        <w:rPr>
          <w:rFonts w:ascii="Times New Roman" w:hAnsi="Times New Roman"/>
        </w:rPr>
      </w:pPr>
      <w:r w:rsidRPr="000E033B">
        <w:rPr>
          <w:rFonts w:ascii="Times New Roman" w:hAnsi="Times New Roman"/>
        </w:rPr>
        <w:tab/>
      </w:r>
      <w:r w:rsidR="008F7EE9" w:rsidRPr="000E033B">
        <w:rPr>
          <w:rFonts w:ascii="Times New Roman" w:hAnsi="Times New Roman"/>
        </w:rPr>
        <w:t>The Full Court of the Federal Court</w:t>
      </w:r>
      <w:r w:rsidR="00E5505F" w:rsidRPr="000E033B">
        <w:rPr>
          <w:rFonts w:ascii="Times New Roman" w:hAnsi="Times New Roman"/>
        </w:rPr>
        <w:t xml:space="preserve"> of Australia</w:t>
      </w:r>
      <w:r w:rsidR="008F7EE9" w:rsidRPr="000E033B">
        <w:rPr>
          <w:rFonts w:ascii="Times New Roman" w:hAnsi="Times New Roman"/>
        </w:rPr>
        <w:t xml:space="preserve"> </w:t>
      </w:r>
      <w:r w:rsidR="00EC6583" w:rsidRPr="000E033B">
        <w:rPr>
          <w:rFonts w:ascii="Times New Roman" w:hAnsi="Times New Roman"/>
        </w:rPr>
        <w:t>(Sarah</w:t>
      </w:r>
      <w:r w:rsidR="00381C06" w:rsidRPr="000E033B">
        <w:rPr>
          <w:rFonts w:ascii="Times New Roman" w:hAnsi="Times New Roman"/>
        </w:rPr>
        <w:t> </w:t>
      </w:r>
      <w:r w:rsidR="00EC6583" w:rsidRPr="000E033B">
        <w:rPr>
          <w:rFonts w:ascii="Times New Roman" w:hAnsi="Times New Roman"/>
        </w:rPr>
        <w:t xml:space="preserve">C Derrington, Stewart and </w:t>
      </w:r>
      <w:proofErr w:type="spellStart"/>
      <w:r w:rsidR="00EC6583" w:rsidRPr="000E033B">
        <w:rPr>
          <w:rFonts w:ascii="Times New Roman" w:hAnsi="Times New Roman"/>
        </w:rPr>
        <w:t>Feutrill</w:t>
      </w:r>
      <w:proofErr w:type="spellEnd"/>
      <w:r w:rsidR="00EC6583" w:rsidRPr="000E033B">
        <w:rPr>
          <w:rFonts w:ascii="Times New Roman" w:hAnsi="Times New Roman"/>
        </w:rPr>
        <w:t xml:space="preserve"> JJ) </w:t>
      </w:r>
      <w:r w:rsidR="008F7EE9" w:rsidRPr="000E033B">
        <w:rPr>
          <w:rFonts w:ascii="Times New Roman" w:hAnsi="Times New Roman"/>
        </w:rPr>
        <w:t>considered that there was "much to be said"</w:t>
      </w:r>
      <w:r w:rsidR="0005079F" w:rsidRPr="000E033B">
        <w:rPr>
          <w:rFonts w:ascii="Times New Roman" w:hAnsi="Times New Roman"/>
        </w:rPr>
        <w:t xml:space="preserve"> for the reasoning of the primary judge on</w:t>
      </w:r>
      <w:r w:rsidR="00933719" w:rsidRPr="000E033B">
        <w:rPr>
          <w:rFonts w:ascii="Times New Roman" w:hAnsi="Times New Roman"/>
        </w:rPr>
        <w:t xml:space="preserve"> the principal question of waiver</w:t>
      </w:r>
      <w:r w:rsidR="00FF553B" w:rsidRPr="000E033B">
        <w:rPr>
          <w:rFonts w:ascii="Times New Roman" w:hAnsi="Times New Roman"/>
        </w:rPr>
        <w:t xml:space="preserve"> </w:t>
      </w:r>
      <w:r w:rsidR="00933719" w:rsidRPr="000E033B">
        <w:rPr>
          <w:rFonts w:ascii="Times New Roman" w:hAnsi="Times New Roman"/>
        </w:rPr>
        <w:t xml:space="preserve">but concluded that even </w:t>
      </w:r>
      <w:r w:rsidR="003F0CA1" w:rsidRPr="000E033B">
        <w:rPr>
          <w:rFonts w:ascii="Times New Roman" w:hAnsi="Times New Roman"/>
        </w:rPr>
        <w:t>on th</w:t>
      </w:r>
      <w:r w:rsidR="005E5FFB" w:rsidRPr="000E033B">
        <w:rPr>
          <w:rFonts w:ascii="Times New Roman" w:hAnsi="Times New Roman"/>
        </w:rPr>
        <w:t>e</w:t>
      </w:r>
      <w:r w:rsidR="003F0CA1" w:rsidRPr="000E033B">
        <w:rPr>
          <w:rFonts w:ascii="Times New Roman" w:hAnsi="Times New Roman"/>
        </w:rPr>
        <w:t xml:space="preserve"> assumptio</w:t>
      </w:r>
      <w:r w:rsidR="005E5FFB" w:rsidRPr="000E033B">
        <w:rPr>
          <w:rFonts w:ascii="Times New Roman" w:hAnsi="Times New Roman"/>
        </w:rPr>
        <w:t>n that</w:t>
      </w:r>
      <w:r w:rsidR="00933719" w:rsidRPr="000E033B">
        <w:rPr>
          <w:rFonts w:ascii="Times New Roman" w:hAnsi="Times New Roman"/>
        </w:rPr>
        <w:t xml:space="preserve"> India had waived its foreign State immunity, the </w:t>
      </w:r>
      <w:r w:rsidR="0056287F" w:rsidRPr="000E033B">
        <w:rPr>
          <w:rFonts w:ascii="Times New Roman" w:hAnsi="Times New Roman"/>
        </w:rPr>
        <w:t xml:space="preserve">effect of India's reservation to the New York Convention was that </w:t>
      </w:r>
      <w:r w:rsidR="00687421" w:rsidRPr="000E033B">
        <w:rPr>
          <w:rFonts w:ascii="Times New Roman" w:hAnsi="Times New Roman"/>
        </w:rPr>
        <w:t xml:space="preserve">the content of the obligations of other State parties, including </w:t>
      </w:r>
      <w:r w:rsidR="002A5D7E" w:rsidRPr="000E033B">
        <w:rPr>
          <w:rFonts w:ascii="Times New Roman" w:hAnsi="Times New Roman"/>
        </w:rPr>
        <w:t xml:space="preserve">those of </w:t>
      </w:r>
      <w:r w:rsidR="00687421" w:rsidRPr="000E033B">
        <w:rPr>
          <w:rFonts w:ascii="Times New Roman" w:hAnsi="Times New Roman"/>
        </w:rPr>
        <w:t xml:space="preserve">Australia, </w:t>
      </w:r>
      <w:r w:rsidR="006A7B5F" w:rsidRPr="000E033B">
        <w:rPr>
          <w:rFonts w:ascii="Times New Roman" w:hAnsi="Times New Roman"/>
        </w:rPr>
        <w:t>had been correspondingly reduced</w:t>
      </w:r>
      <w:r w:rsidR="00177784" w:rsidRPr="000E033B">
        <w:rPr>
          <w:rFonts w:ascii="Times New Roman" w:hAnsi="Times New Roman"/>
        </w:rPr>
        <w:t xml:space="preserve"> so that </w:t>
      </w:r>
      <w:r w:rsidR="00F90C51" w:rsidRPr="000E033B">
        <w:rPr>
          <w:rFonts w:ascii="Times New Roman" w:hAnsi="Times New Roman"/>
        </w:rPr>
        <w:t xml:space="preserve">any waiver of foreign State immunity by </w:t>
      </w:r>
      <w:r w:rsidR="00177784" w:rsidRPr="000E033B">
        <w:rPr>
          <w:rFonts w:ascii="Times New Roman" w:hAnsi="Times New Roman"/>
        </w:rPr>
        <w:t xml:space="preserve">India </w:t>
      </w:r>
      <w:r w:rsidR="00C6582E" w:rsidRPr="000E033B">
        <w:rPr>
          <w:rFonts w:ascii="Times New Roman" w:hAnsi="Times New Roman"/>
        </w:rPr>
        <w:t xml:space="preserve">would </w:t>
      </w:r>
      <w:r w:rsidR="00F90C51" w:rsidRPr="000E033B">
        <w:rPr>
          <w:rFonts w:ascii="Times New Roman" w:hAnsi="Times New Roman"/>
        </w:rPr>
        <w:t>extend</w:t>
      </w:r>
      <w:r w:rsidR="00C6582E" w:rsidRPr="000E033B">
        <w:rPr>
          <w:rFonts w:ascii="Times New Roman" w:hAnsi="Times New Roman"/>
        </w:rPr>
        <w:t xml:space="preserve"> only</w:t>
      </w:r>
      <w:r w:rsidR="00F90C51" w:rsidRPr="000E033B">
        <w:rPr>
          <w:rFonts w:ascii="Times New Roman" w:hAnsi="Times New Roman"/>
        </w:rPr>
        <w:t xml:space="preserve"> to </w:t>
      </w:r>
      <w:r w:rsidR="00177784" w:rsidRPr="000E033B">
        <w:rPr>
          <w:rFonts w:ascii="Times New Roman" w:hAnsi="Times New Roman"/>
        </w:rPr>
        <w:t>differences arising out of legal relationships which are</w:t>
      </w:r>
      <w:r w:rsidR="00F90C51" w:rsidRPr="000E033B">
        <w:rPr>
          <w:rFonts w:ascii="Times New Roman" w:hAnsi="Times New Roman"/>
        </w:rPr>
        <w:t xml:space="preserve"> </w:t>
      </w:r>
      <w:r w:rsidR="00177784" w:rsidRPr="000E033B">
        <w:rPr>
          <w:rFonts w:ascii="Times New Roman" w:hAnsi="Times New Roman"/>
        </w:rPr>
        <w:t>considered as commercial under the law of India.</w:t>
      </w:r>
      <w:r w:rsidR="006E31A7" w:rsidRPr="000E033B">
        <w:rPr>
          <w:rFonts w:ascii="Times New Roman" w:hAnsi="Times New Roman"/>
        </w:rPr>
        <w:t xml:space="preserve"> The </w:t>
      </w:r>
      <w:r w:rsidR="00470796" w:rsidRPr="000E033B">
        <w:rPr>
          <w:rFonts w:ascii="Times New Roman" w:hAnsi="Times New Roman"/>
        </w:rPr>
        <w:t xml:space="preserve">arbitral award was held </w:t>
      </w:r>
      <w:r w:rsidR="00C6582E" w:rsidRPr="000E033B">
        <w:rPr>
          <w:rFonts w:ascii="Times New Roman" w:hAnsi="Times New Roman"/>
        </w:rPr>
        <w:t xml:space="preserve">not </w:t>
      </w:r>
      <w:r w:rsidR="00470796" w:rsidRPr="000E033B">
        <w:rPr>
          <w:rFonts w:ascii="Times New Roman" w:hAnsi="Times New Roman"/>
        </w:rPr>
        <w:t xml:space="preserve">to fall within that </w:t>
      </w:r>
      <w:r w:rsidR="00872D13" w:rsidRPr="000E033B">
        <w:rPr>
          <w:rFonts w:ascii="Times New Roman" w:hAnsi="Times New Roman"/>
        </w:rPr>
        <w:t xml:space="preserve">commercial </w:t>
      </w:r>
      <w:r w:rsidR="00470796" w:rsidRPr="000E033B">
        <w:rPr>
          <w:rFonts w:ascii="Times New Roman" w:hAnsi="Times New Roman"/>
        </w:rPr>
        <w:t xml:space="preserve">category. </w:t>
      </w:r>
    </w:p>
    <w:p w14:paraId="6BA52567" w14:textId="4E8E9E12" w:rsidR="00A55714" w:rsidRPr="000E033B" w:rsidRDefault="004F5118" w:rsidP="000E033B">
      <w:pPr>
        <w:pStyle w:val="FixListStyle"/>
        <w:spacing w:after="260" w:line="280" w:lineRule="exact"/>
        <w:ind w:right="0"/>
        <w:jc w:val="both"/>
        <w:rPr>
          <w:rFonts w:ascii="Times New Roman" w:hAnsi="Times New Roman"/>
        </w:rPr>
      </w:pPr>
      <w:r w:rsidRPr="000E033B">
        <w:rPr>
          <w:rFonts w:ascii="Times New Roman" w:hAnsi="Times New Roman"/>
        </w:rPr>
        <w:tab/>
      </w:r>
      <w:r w:rsidR="00AA7AB1" w:rsidRPr="000E033B">
        <w:rPr>
          <w:rFonts w:ascii="Times New Roman" w:hAnsi="Times New Roman"/>
        </w:rPr>
        <w:t xml:space="preserve">This appeal should be decided on the </w:t>
      </w:r>
      <w:r w:rsidR="00EB1C5F" w:rsidRPr="000E033B">
        <w:rPr>
          <w:rFonts w:ascii="Times New Roman" w:hAnsi="Times New Roman"/>
        </w:rPr>
        <w:t>pri</w:t>
      </w:r>
      <w:r w:rsidR="00C6582E" w:rsidRPr="000E033B">
        <w:rPr>
          <w:rFonts w:ascii="Times New Roman" w:hAnsi="Times New Roman"/>
        </w:rPr>
        <w:t>ncipal</w:t>
      </w:r>
      <w:r w:rsidR="00EB1C5F" w:rsidRPr="000E033B">
        <w:rPr>
          <w:rFonts w:ascii="Times New Roman" w:hAnsi="Times New Roman"/>
        </w:rPr>
        <w:t xml:space="preserve">, and </w:t>
      </w:r>
      <w:r w:rsidR="00AA7AB1" w:rsidRPr="000E033B">
        <w:rPr>
          <w:rFonts w:ascii="Times New Roman" w:hAnsi="Times New Roman"/>
        </w:rPr>
        <w:t>narrow</w:t>
      </w:r>
      <w:r w:rsidR="00EB1C5F" w:rsidRPr="000E033B">
        <w:rPr>
          <w:rFonts w:ascii="Times New Roman" w:hAnsi="Times New Roman"/>
        </w:rPr>
        <w:t>,</w:t>
      </w:r>
      <w:r w:rsidR="00AA7AB1" w:rsidRPr="000E033B">
        <w:rPr>
          <w:rFonts w:ascii="Times New Roman" w:hAnsi="Times New Roman"/>
        </w:rPr>
        <w:t xml:space="preserve"> issue</w:t>
      </w:r>
      <w:r w:rsidR="00EB1C5F" w:rsidRPr="000E033B">
        <w:rPr>
          <w:rFonts w:ascii="Times New Roman" w:hAnsi="Times New Roman"/>
        </w:rPr>
        <w:t xml:space="preserve"> of </w:t>
      </w:r>
      <w:r w:rsidR="00C6582E" w:rsidRPr="000E033B">
        <w:rPr>
          <w:rFonts w:ascii="Times New Roman" w:hAnsi="Times New Roman"/>
        </w:rPr>
        <w:t xml:space="preserve">whether the act of ratification of the New York Convention by India was a </w:t>
      </w:r>
      <w:r w:rsidR="00EB1C5F" w:rsidRPr="000E033B">
        <w:rPr>
          <w:rFonts w:ascii="Times New Roman" w:hAnsi="Times New Roman"/>
        </w:rPr>
        <w:t>waiver of</w:t>
      </w:r>
      <w:r w:rsidR="00C6582E" w:rsidRPr="000E033B">
        <w:rPr>
          <w:rFonts w:ascii="Times New Roman" w:hAnsi="Times New Roman"/>
        </w:rPr>
        <w:t xml:space="preserve"> India's</w:t>
      </w:r>
      <w:r w:rsidR="00EB1C5F" w:rsidRPr="000E033B">
        <w:rPr>
          <w:rFonts w:ascii="Times New Roman" w:hAnsi="Times New Roman"/>
        </w:rPr>
        <w:t xml:space="preserve"> foreign State immunity</w:t>
      </w:r>
      <w:r w:rsidR="00225659" w:rsidRPr="000E033B">
        <w:rPr>
          <w:rFonts w:ascii="Times New Roman" w:hAnsi="Times New Roman"/>
        </w:rPr>
        <w:t xml:space="preserve"> from jurisdiction for recognition and enforcement of a foreign arbitral award </w:t>
      </w:r>
      <w:r w:rsidR="003804E0" w:rsidRPr="000E033B">
        <w:rPr>
          <w:rFonts w:ascii="Times New Roman" w:hAnsi="Times New Roman"/>
        </w:rPr>
        <w:t xml:space="preserve">to which India is a party </w:t>
      </w:r>
      <w:r w:rsidR="00225659" w:rsidRPr="000E033B">
        <w:rPr>
          <w:rFonts w:ascii="Times New Roman" w:hAnsi="Times New Roman"/>
        </w:rPr>
        <w:t>in the courts of other State parties to the New York Convention</w:t>
      </w:r>
      <w:r w:rsidR="00AA7AB1" w:rsidRPr="000E033B">
        <w:rPr>
          <w:rFonts w:ascii="Times New Roman" w:hAnsi="Times New Roman"/>
        </w:rPr>
        <w:t xml:space="preserve">. </w:t>
      </w:r>
      <w:r w:rsidR="00441E9E" w:rsidRPr="000E033B">
        <w:rPr>
          <w:rFonts w:ascii="Times New Roman" w:hAnsi="Times New Roman"/>
        </w:rPr>
        <w:t>C</w:t>
      </w:r>
      <w:r w:rsidR="00191459" w:rsidRPr="000E033B">
        <w:rPr>
          <w:rFonts w:ascii="Times New Roman" w:hAnsi="Times New Roman"/>
        </w:rPr>
        <w:t>ontrary to the reasons of the primary judge</w:t>
      </w:r>
      <w:r w:rsidR="004B40DD" w:rsidRPr="000E033B">
        <w:rPr>
          <w:rFonts w:ascii="Times New Roman" w:hAnsi="Times New Roman"/>
        </w:rPr>
        <w:t>,</w:t>
      </w:r>
      <w:r w:rsidR="003F0CA1" w:rsidRPr="000E033B">
        <w:rPr>
          <w:rFonts w:ascii="Times New Roman" w:hAnsi="Times New Roman"/>
        </w:rPr>
        <w:t xml:space="preserve"> and </w:t>
      </w:r>
      <w:r w:rsidR="00F01031" w:rsidRPr="000E033B">
        <w:rPr>
          <w:rFonts w:ascii="Times New Roman" w:hAnsi="Times New Roman"/>
        </w:rPr>
        <w:t xml:space="preserve">contrary to </w:t>
      </w:r>
      <w:r w:rsidR="003F0CA1" w:rsidRPr="000E033B">
        <w:rPr>
          <w:rFonts w:ascii="Times New Roman" w:hAnsi="Times New Roman"/>
        </w:rPr>
        <w:t>the</w:t>
      </w:r>
      <w:r w:rsidR="00A071F3" w:rsidRPr="000E033B">
        <w:rPr>
          <w:rFonts w:ascii="Times New Roman" w:hAnsi="Times New Roman"/>
        </w:rPr>
        <w:t xml:space="preserve"> </w:t>
      </w:r>
      <w:r w:rsidR="003F0CA1" w:rsidRPr="000E033B">
        <w:rPr>
          <w:rFonts w:ascii="Times New Roman" w:hAnsi="Times New Roman"/>
        </w:rPr>
        <w:t>assumption of</w:t>
      </w:r>
      <w:r w:rsidR="00A071F3" w:rsidRPr="000E033B">
        <w:rPr>
          <w:rFonts w:ascii="Times New Roman" w:hAnsi="Times New Roman"/>
        </w:rPr>
        <w:t xml:space="preserve"> the Full Court,</w:t>
      </w:r>
      <w:r w:rsidR="00AA7AB1" w:rsidRPr="000E033B">
        <w:rPr>
          <w:rFonts w:ascii="Times New Roman" w:hAnsi="Times New Roman"/>
        </w:rPr>
        <w:t xml:space="preserve"> </w:t>
      </w:r>
      <w:r w:rsidR="00C90EF3" w:rsidRPr="000E033B">
        <w:rPr>
          <w:rFonts w:ascii="Times New Roman" w:hAnsi="Times New Roman"/>
        </w:rPr>
        <w:t>the New York Convention</w:t>
      </w:r>
      <w:r w:rsidR="005268C4" w:rsidRPr="000E033B">
        <w:rPr>
          <w:rFonts w:ascii="Times New Roman" w:hAnsi="Times New Roman"/>
        </w:rPr>
        <w:t xml:space="preserve"> </w:t>
      </w:r>
      <w:r w:rsidR="00716A29" w:rsidRPr="000E033B">
        <w:rPr>
          <w:rFonts w:ascii="Times New Roman" w:hAnsi="Times New Roman"/>
        </w:rPr>
        <w:t xml:space="preserve">displays </w:t>
      </w:r>
      <w:r w:rsidR="005268C4" w:rsidRPr="000E033B">
        <w:rPr>
          <w:rFonts w:ascii="Times New Roman" w:hAnsi="Times New Roman"/>
        </w:rPr>
        <w:t>n</w:t>
      </w:r>
      <w:r w:rsidR="00D86735" w:rsidRPr="000E033B">
        <w:rPr>
          <w:rFonts w:ascii="Times New Roman" w:hAnsi="Times New Roman"/>
        </w:rPr>
        <w:t>either</w:t>
      </w:r>
      <w:r w:rsidR="005268C4" w:rsidRPr="000E033B">
        <w:rPr>
          <w:rFonts w:ascii="Times New Roman" w:hAnsi="Times New Roman"/>
        </w:rPr>
        <w:t xml:space="preserve"> </w:t>
      </w:r>
      <w:r w:rsidR="00917157" w:rsidRPr="000E033B">
        <w:rPr>
          <w:rFonts w:ascii="Times New Roman" w:hAnsi="Times New Roman"/>
        </w:rPr>
        <w:t xml:space="preserve">a </w:t>
      </w:r>
      <w:r w:rsidR="005268C4" w:rsidRPr="000E033B">
        <w:rPr>
          <w:rFonts w:ascii="Times New Roman" w:hAnsi="Times New Roman"/>
        </w:rPr>
        <w:t xml:space="preserve">clear </w:t>
      </w:r>
      <w:r w:rsidR="00D86735" w:rsidRPr="000E033B">
        <w:rPr>
          <w:rFonts w:ascii="Times New Roman" w:hAnsi="Times New Roman"/>
        </w:rPr>
        <w:t>nor</w:t>
      </w:r>
      <w:r w:rsidR="005268C4" w:rsidRPr="000E033B">
        <w:rPr>
          <w:rFonts w:ascii="Times New Roman" w:hAnsi="Times New Roman"/>
        </w:rPr>
        <w:t xml:space="preserve"> </w:t>
      </w:r>
      <w:r w:rsidR="007D68C3" w:rsidRPr="000E033B">
        <w:rPr>
          <w:rFonts w:ascii="Times New Roman" w:hAnsi="Times New Roman"/>
        </w:rPr>
        <w:t xml:space="preserve">an </w:t>
      </w:r>
      <w:r w:rsidR="005268C4" w:rsidRPr="000E033B">
        <w:rPr>
          <w:rFonts w:ascii="Times New Roman" w:hAnsi="Times New Roman"/>
        </w:rPr>
        <w:t xml:space="preserve">unequivocal </w:t>
      </w:r>
      <w:r w:rsidR="00716A29" w:rsidRPr="000E033B">
        <w:rPr>
          <w:rFonts w:ascii="Times New Roman" w:hAnsi="Times New Roman"/>
        </w:rPr>
        <w:t xml:space="preserve">intention that </w:t>
      </w:r>
      <w:r w:rsidR="0059419B" w:rsidRPr="000E033B">
        <w:rPr>
          <w:rFonts w:ascii="Times New Roman" w:hAnsi="Times New Roman"/>
        </w:rPr>
        <w:t>entry</w:t>
      </w:r>
      <w:r w:rsidR="004B40DD" w:rsidRPr="000E033B">
        <w:rPr>
          <w:rFonts w:ascii="Times New Roman" w:hAnsi="Times New Roman"/>
        </w:rPr>
        <w:t xml:space="preserve"> into the Convention</w:t>
      </w:r>
      <w:r w:rsidR="0059419B" w:rsidRPr="000E033B">
        <w:rPr>
          <w:rFonts w:ascii="Times New Roman" w:hAnsi="Times New Roman"/>
        </w:rPr>
        <w:t xml:space="preserve"> involves </w:t>
      </w:r>
      <w:r w:rsidR="00023B51" w:rsidRPr="000E033B">
        <w:rPr>
          <w:rFonts w:ascii="Times New Roman" w:hAnsi="Times New Roman"/>
        </w:rPr>
        <w:t xml:space="preserve">such </w:t>
      </w:r>
      <w:r w:rsidR="00AA7AB1" w:rsidRPr="000E033B">
        <w:rPr>
          <w:rFonts w:ascii="Times New Roman" w:hAnsi="Times New Roman"/>
        </w:rPr>
        <w:t xml:space="preserve">a waiver. </w:t>
      </w:r>
      <w:r w:rsidR="004B40DD" w:rsidRPr="000E033B">
        <w:rPr>
          <w:rFonts w:ascii="Times New Roman" w:hAnsi="Times New Roman"/>
        </w:rPr>
        <w:t>Rather</w:t>
      </w:r>
      <w:r w:rsidR="0059419B" w:rsidRPr="000E033B">
        <w:rPr>
          <w:rFonts w:ascii="Times New Roman" w:hAnsi="Times New Roman"/>
        </w:rPr>
        <w:t xml:space="preserve">, the </w:t>
      </w:r>
      <w:r w:rsidR="003E175E" w:rsidRPr="000E033B">
        <w:rPr>
          <w:rFonts w:ascii="Times New Roman" w:hAnsi="Times New Roman"/>
        </w:rPr>
        <w:t xml:space="preserve">indications from the text and context of the New York Convention </w:t>
      </w:r>
      <w:r w:rsidR="00844D49" w:rsidRPr="000E033B">
        <w:rPr>
          <w:rFonts w:ascii="Times New Roman" w:hAnsi="Times New Roman"/>
        </w:rPr>
        <w:t>suggest</w:t>
      </w:r>
      <w:r w:rsidR="003E175E" w:rsidRPr="000E033B">
        <w:rPr>
          <w:rFonts w:ascii="Times New Roman" w:hAnsi="Times New Roman"/>
        </w:rPr>
        <w:t xml:space="preserve"> </w:t>
      </w:r>
      <w:r w:rsidR="00C24E3A" w:rsidRPr="000E033B">
        <w:rPr>
          <w:rFonts w:ascii="Times New Roman" w:hAnsi="Times New Roman"/>
        </w:rPr>
        <w:t xml:space="preserve">that State ratification was not intended to constitute, in and of itself, </w:t>
      </w:r>
      <w:r w:rsidR="00A4236C" w:rsidRPr="000E033B">
        <w:rPr>
          <w:rFonts w:ascii="Times New Roman" w:hAnsi="Times New Roman"/>
        </w:rPr>
        <w:t xml:space="preserve">a waiver of </w:t>
      </w:r>
      <w:r w:rsidR="00844D49" w:rsidRPr="000E033B">
        <w:rPr>
          <w:rFonts w:ascii="Times New Roman" w:hAnsi="Times New Roman"/>
        </w:rPr>
        <w:t>foreign State immunity.</w:t>
      </w:r>
    </w:p>
    <w:p w14:paraId="01971C6A" w14:textId="3E3D5A32" w:rsidR="00D921AF" w:rsidRPr="000E033B" w:rsidRDefault="007C2301" w:rsidP="000E033B">
      <w:pPr>
        <w:pStyle w:val="FixListStyle"/>
        <w:spacing w:after="260" w:line="280" w:lineRule="exact"/>
        <w:ind w:right="0"/>
        <w:jc w:val="both"/>
        <w:rPr>
          <w:rFonts w:ascii="Times New Roman" w:hAnsi="Times New Roman"/>
        </w:rPr>
      </w:pPr>
      <w:r w:rsidRPr="000E033B">
        <w:rPr>
          <w:rFonts w:ascii="Times New Roman" w:hAnsi="Times New Roman"/>
        </w:rPr>
        <w:tab/>
        <w:t>The effe</w:t>
      </w:r>
      <w:r w:rsidR="00121317" w:rsidRPr="000E033B">
        <w:rPr>
          <w:rFonts w:ascii="Times New Roman" w:hAnsi="Times New Roman"/>
        </w:rPr>
        <w:t xml:space="preserve">ct of deciding this appeal on this basis is that </w:t>
      </w:r>
      <w:r w:rsidR="00BA4742" w:rsidRPr="000E033B">
        <w:rPr>
          <w:rFonts w:ascii="Times New Roman" w:hAnsi="Times New Roman"/>
        </w:rPr>
        <w:t xml:space="preserve">the </w:t>
      </w:r>
      <w:r w:rsidR="001E1BF6" w:rsidRPr="000E033B">
        <w:rPr>
          <w:rFonts w:ascii="Times New Roman" w:hAnsi="Times New Roman"/>
        </w:rPr>
        <w:t xml:space="preserve">premise upon which the Full Court proceeded (and the conclusion of the primary judge)—that India waived its foreign State immunity merely by ratification of the New York Convention—is not established. </w:t>
      </w:r>
      <w:r w:rsidR="00DE4303" w:rsidRPr="000E033B">
        <w:rPr>
          <w:rFonts w:ascii="Times New Roman" w:hAnsi="Times New Roman"/>
        </w:rPr>
        <w:t xml:space="preserve">The consequential reasoning of the Full Court </w:t>
      </w:r>
      <w:r w:rsidR="00CB541C" w:rsidRPr="000E033B">
        <w:rPr>
          <w:rFonts w:ascii="Times New Roman" w:hAnsi="Times New Roman"/>
        </w:rPr>
        <w:t>which determined</w:t>
      </w:r>
      <w:r w:rsidR="007561C6" w:rsidRPr="000E033B">
        <w:rPr>
          <w:rFonts w:ascii="Times New Roman" w:hAnsi="Times New Roman"/>
        </w:rPr>
        <w:t xml:space="preserve"> the scope of </w:t>
      </w:r>
      <w:r w:rsidR="00CB541C" w:rsidRPr="000E033B">
        <w:rPr>
          <w:rFonts w:ascii="Times New Roman" w:hAnsi="Times New Roman"/>
        </w:rPr>
        <w:t xml:space="preserve">any waiver of foreign State immunity by India </w:t>
      </w:r>
      <w:proofErr w:type="gramStart"/>
      <w:r w:rsidR="00CB541C" w:rsidRPr="000E033B">
        <w:rPr>
          <w:rFonts w:ascii="Times New Roman" w:hAnsi="Times New Roman"/>
        </w:rPr>
        <w:t>in light of</w:t>
      </w:r>
      <w:proofErr w:type="gramEnd"/>
      <w:r w:rsidR="00CB541C" w:rsidRPr="000E033B">
        <w:rPr>
          <w:rFonts w:ascii="Times New Roman" w:hAnsi="Times New Roman"/>
        </w:rPr>
        <w:t xml:space="preserve"> its reservation does not arise. </w:t>
      </w:r>
      <w:r w:rsidR="00970A91" w:rsidRPr="000E033B">
        <w:rPr>
          <w:rFonts w:ascii="Times New Roman" w:hAnsi="Times New Roman"/>
        </w:rPr>
        <w:t xml:space="preserve">Nor is it necessary to decide an issue raised </w:t>
      </w:r>
      <w:r w:rsidR="00970A91" w:rsidRPr="000E033B">
        <w:rPr>
          <w:rFonts w:ascii="Times New Roman" w:hAnsi="Times New Roman"/>
        </w:rPr>
        <w:lastRenderedPageBreak/>
        <w:t>by India in its notice of contention concerning the scope of the New York Convention. As explained at the conclusion of these reasons</w:t>
      </w:r>
      <w:r w:rsidR="00365B2A" w:rsidRPr="000E033B">
        <w:rPr>
          <w:rFonts w:ascii="Times New Roman" w:hAnsi="Times New Roman"/>
        </w:rPr>
        <w:t>, th</w:t>
      </w:r>
      <w:r w:rsidR="00803F0A" w:rsidRPr="000E033B">
        <w:rPr>
          <w:rFonts w:ascii="Times New Roman" w:hAnsi="Times New Roman"/>
        </w:rPr>
        <w:t>e</w:t>
      </w:r>
      <w:r w:rsidR="00365B2A" w:rsidRPr="000E033B">
        <w:rPr>
          <w:rFonts w:ascii="Times New Roman" w:hAnsi="Times New Roman"/>
        </w:rPr>
        <w:t xml:space="preserve"> issue</w:t>
      </w:r>
      <w:r w:rsidR="00803F0A" w:rsidRPr="000E033B">
        <w:rPr>
          <w:rFonts w:ascii="Times New Roman" w:hAnsi="Times New Roman"/>
        </w:rPr>
        <w:t xml:space="preserve"> of the </w:t>
      </w:r>
      <w:r w:rsidR="00A10D23" w:rsidRPr="000E033B">
        <w:rPr>
          <w:rFonts w:ascii="Times New Roman" w:hAnsi="Times New Roman"/>
        </w:rPr>
        <w:t>Convention's scope</w:t>
      </w:r>
      <w:r w:rsidR="00365B2A" w:rsidRPr="000E033B">
        <w:rPr>
          <w:rFonts w:ascii="Times New Roman" w:hAnsi="Times New Roman"/>
        </w:rPr>
        <w:t xml:space="preserve"> should be decided in a case where it is determinative and where the point has been fully argued.</w:t>
      </w:r>
    </w:p>
    <w:p w14:paraId="66076870" w14:textId="484AD33A" w:rsidR="00971BA5" w:rsidRPr="000E033B" w:rsidRDefault="00971BA5" w:rsidP="000E033B">
      <w:pPr>
        <w:pStyle w:val="HeadingL1"/>
        <w:spacing w:after="260" w:line="280" w:lineRule="exact"/>
        <w:ind w:right="0"/>
        <w:jc w:val="both"/>
        <w:rPr>
          <w:rFonts w:ascii="Times New Roman" w:hAnsi="Times New Roman"/>
        </w:rPr>
      </w:pPr>
      <w:r w:rsidRPr="000E033B">
        <w:rPr>
          <w:rFonts w:ascii="Times New Roman" w:hAnsi="Times New Roman"/>
        </w:rPr>
        <w:t>Background</w:t>
      </w:r>
    </w:p>
    <w:p w14:paraId="57FBDACC" w14:textId="01C61910" w:rsidR="00966D4B" w:rsidRPr="000E033B" w:rsidRDefault="002A3CF7" w:rsidP="000E033B">
      <w:pPr>
        <w:pStyle w:val="FixListStyle"/>
        <w:spacing w:after="260" w:line="280" w:lineRule="exact"/>
        <w:ind w:right="0"/>
        <w:jc w:val="both"/>
        <w:rPr>
          <w:rFonts w:ascii="Times New Roman" w:hAnsi="Times New Roman"/>
        </w:rPr>
      </w:pPr>
      <w:r w:rsidRPr="000E033B">
        <w:rPr>
          <w:rFonts w:ascii="Times New Roman" w:hAnsi="Times New Roman"/>
        </w:rPr>
        <w:tab/>
      </w:r>
      <w:r w:rsidR="00CA6214" w:rsidRPr="000E033B">
        <w:rPr>
          <w:rFonts w:ascii="Times New Roman" w:hAnsi="Times New Roman"/>
        </w:rPr>
        <w:t xml:space="preserve">In 1998, </w:t>
      </w:r>
      <w:r w:rsidR="001143D5" w:rsidRPr="000E033B">
        <w:rPr>
          <w:rFonts w:ascii="Times New Roman" w:hAnsi="Times New Roman"/>
        </w:rPr>
        <w:t xml:space="preserve">India </w:t>
      </w:r>
      <w:r w:rsidR="001D2BE4" w:rsidRPr="000E033B">
        <w:rPr>
          <w:rFonts w:ascii="Times New Roman" w:hAnsi="Times New Roman"/>
        </w:rPr>
        <w:t>and the Republic of Mauriti</w:t>
      </w:r>
      <w:r w:rsidR="005F781D" w:rsidRPr="000E033B">
        <w:rPr>
          <w:rFonts w:ascii="Times New Roman" w:hAnsi="Times New Roman"/>
        </w:rPr>
        <w:t>us entered a bilateral investment treaty</w:t>
      </w:r>
      <w:r w:rsidR="00A12746" w:rsidRPr="000E033B">
        <w:rPr>
          <w:rFonts w:ascii="Times New Roman" w:hAnsi="Times New Roman"/>
        </w:rPr>
        <w:t xml:space="preserve"> (</w:t>
      </w:r>
      <w:r w:rsidR="00723A60" w:rsidRPr="000E033B">
        <w:rPr>
          <w:rFonts w:ascii="Times New Roman" w:hAnsi="Times New Roman"/>
        </w:rPr>
        <w:t>"</w:t>
      </w:r>
      <w:r w:rsidR="00B8797F" w:rsidRPr="000E033B">
        <w:rPr>
          <w:rFonts w:ascii="Times New Roman" w:hAnsi="Times New Roman"/>
        </w:rPr>
        <w:t xml:space="preserve">the </w:t>
      </w:r>
      <w:r w:rsidR="00723A60" w:rsidRPr="000E033B">
        <w:rPr>
          <w:rFonts w:ascii="Times New Roman" w:hAnsi="Times New Roman"/>
        </w:rPr>
        <w:t>Bilateral Investment Treaty"</w:t>
      </w:r>
      <w:r w:rsidR="00A12746" w:rsidRPr="000E033B">
        <w:rPr>
          <w:rFonts w:ascii="Times New Roman" w:hAnsi="Times New Roman"/>
        </w:rPr>
        <w:t>)</w:t>
      </w:r>
      <w:r w:rsidR="00F86248" w:rsidRPr="000E033B">
        <w:rPr>
          <w:rFonts w:ascii="Times New Roman" w:hAnsi="Times New Roman"/>
        </w:rPr>
        <w:t>.</w:t>
      </w:r>
      <w:r w:rsidR="00533644" w:rsidRPr="000E033B">
        <w:rPr>
          <w:rStyle w:val="FootnoteReference"/>
          <w:rFonts w:ascii="Times New Roman" w:hAnsi="Times New Roman"/>
          <w:sz w:val="24"/>
        </w:rPr>
        <w:footnoteReference w:id="4"/>
      </w:r>
      <w:r w:rsidR="005F781D" w:rsidRPr="000E033B">
        <w:rPr>
          <w:rFonts w:ascii="Times New Roman" w:hAnsi="Times New Roman"/>
        </w:rPr>
        <w:t xml:space="preserve"> </w:t>
      </w:r>
      <w:r w:rsidR="002809AB" w:rsidRPr="000E033B">
        <w:rPr>
          <w:rFonts w:ascii="Times New Roman" w:hAnsi="Times New Roman"/>
        </w:rPr>
        <w:t xml:space="preserve">The Bilateral Investment Treaty was in force from 20 June 2000 until 22 March 2017. </w:t>
      </w:r>
      <w:r w:rsidR="00411209" w:rsidRPr="000E033B">
        <w:rPr>
          <w:rFonts w:ascii="Times New Roman" w:hAnsi="Times New Roman"/>
        </w:rPr>
        <w:t xml:space="preserve">The </w:t>
      </w:r>
      <w:r w:rsidR="002039C4" w:rsidRPr="000E033B">
        <w:rPr>
          <w:rFonts w:ascii="Times New Roman" w:hAnsi="Times New Roman"/>
        </w:rPr>
        <w:t>B</w:t>
      </w:r>
      <w:r w:rsidR="00411209" w:rsidRPr="000E033B">
        <w:rPr>
          <w:rFonts w:ascii="Times New Roman" w:hAnsi="Times New Roman"/>
        </w:rPr>
        <w:t xml:space="preserve">ilateral </w:t>
      </w:r>
      <w:r w:rsidR="002039C4" w:rsidRPr="000E033B">
        <w:rPr>
          <w:rFonts w:ascii="Times New Roman" w:hAnsi="Times New Roman"/>
        </w:rPr>
        <w:t>I</w:t>
      </w:r>
      <w:r w:rsidR="00411209" w:rsidRPr="000E033B">
        <w:rPr>
          <w:rFonts w:ascii="Times New Roman" w:hAnsi="Times New Roman"/>
        </w:rPr>
        <w:t xml:space="preserve">nvestment </w:t>
      </w:r>
      <w:r w:rsidR="002039C4" w:rsidRPr="000E033B">
        <w:rPr>
          <w:rFonts w:ascii="Times New Roman" w:hAnsi="Times New Roman"/>
        </w:rPr>
        <w:t>T</w:t>
      </w:r>
      <w:r w:rsidR="00411209" w:rsidRPr="000E033B">
        <w:rPr>
          <w:rFonts w:ascii="Times New Roman" w:hAnsi="Times New Roman"/>
        </w:rPr>
        <w:t xml:space="preserve">reaty </w:t>
      </w:r>
      <w:r w:rsidR="001D5E8D" w:rsidRPr="000E033B">
        <w:rPr>
          <w:rFonts w:ascii="Times New Roman" w:hAnsi="Times New Roman"/>
        </w:rPr>
        <w:t xml:space="preserve">was </w:t>
      </w:r>
      <w:r w:rsidR="00670B4D" w:rsidRPr="000E033B">
        <w:rPr>
          <w:rFonts w:ascii="Times New Roman" w:hAnsi="Times New Roman"/>
        </w:rPr>
        <w:t xml:space="preserve">relevantly </w:t>
      </w:r>
      <w:r w:rsidR="001D5E8D" w:rsidRPr="000E033B">
        <w:rPr>
          <w:rFonts w:ascii="Times New Roman" w:hAnsi="Times New Roman"/>
        </w:rPr>
        <w:t xml:space="preserve">expressed to apply to </w:t>
      </w:r>
      <w:r w:rsidR="0033466C" w:rsidRPr="000E033B">
        <w:rPr>
          <w:rFonts w:ascii="Times New Roman" w:hAnsi="Times New Roman"/>
        </w:rPr>
        <w:t>"all investments made by investors of either Contracting Party in the territory of the other Contracting Party</w:t>
      </w:r>
      <w:r w:rsidR="00251D37" w:rsidRPr="000E033B">
        <w:rPr>
          <w:rFonts w:ascii="Times New Roman" w:hAnsi="Times New Roman"/>
        </w:rPr>
        <w:t xml:space="preserve">, accepted as such in accordance with its laws and regulations". </w:t>
      </w:r>
      <w:r w:rsidR="00670B4D" w:rsidRPr="000E033B">
        <w:rPr>
          <w:rFonts w:ascii="Times New Roman" w:hAnsi="Times New Roman"/>
        </w:rPr>
        <w:t xml:space="preserve">The Bilateral Investment Treaty </w:t>
      </w:r>
      <w:r w:rsidR="00FA5C27" w:rsidRPr="000E033B">
        <w:rPr>
          <w:rFonts w:ascii="Times New Roman" w:hAnsi="Times New Roman"/>
        </w:rPr>
        <w:t>provided for arbitration</w:t>
      </w:r>
      <w:r w:rsidR="00472834" w:rsidRPr="000E033B">
        <w:rPr>
          <w:rFonts w:ascii="Times New Roman" w:hAnsi="Times New Roman"/>
        </w:rPr>
        <w:t xml:space="preserve"> </w:t>
      </w:r>
      <w:r w:rsidR="0090094F" w:rsidRPr="000E033B">
        <w:rPr>
          <w:rFonts w:ascii="Times New Roman" w:hAnsi="Times New Roman"/>
        </w:rPr>
        <w:t xml:space="preserve">of disputes </w:t>
      </w:r>
      <w:r w:rsidR="00472834" w:rsidRPr="000E033B">
        <w:rPr>
          <w:rFonts w:ascii="Times New Roman" w:hAnsi="Times New Roman"/>
        </w:rPr>
        <w:t xml:space="preserve">with different </w:t>
      </w:r>
      <w:r w:rsidR="0090094F" w:rsidRPr="000E033B">
        <w:rPr>
          <w:rFonts w:ascii="Times New Roman" w:hAnsi="Times New Roman"/>
        </w:rPr>
        <w:t>possible arbitration regimes</w:t>
      </w:r>
      <w:r w:rsidR="004F32E6" w:rsidRPr="000E033B">
        <w:rPr>
          <w:rFonts w:ascii="Times New Roman" w:hAnsi="Times New Roman"/>
        </w:rPr>
        <w:t xml:space="preserve">. </w:t>
      </w:r>
    </w:p>
    <w:p w14:paraId="1C84E848" w14:textId="10FD8D02" w:rsidR="00CE7EBC" w:rsidRPr="000E033B" w:rsidRDefault="00966D4B" w:rsidP="000E033B">
      <w:pPr>
        <w:pStyle w:val="FixListStyle"/>
        <w:spacing w:after="260" w:line="280" w:lineRule="exact"/>
        <w:ind w:right="0"/>
        <w:jc w:val="both"/>
        <w:rPr>
          <w:rFonts w:ascii="Times New Roman" w:hAnsi="Times New Roman"/>
        </w:rPr>
      </w:pPr>
      <w:r w:rsidRPr="000E033B">
        <w:rPr>
          <w:rFonts w:ascii="Times New Roman" w:hAnsi="Times New Roman"/>
        </w:rPr>
        <w:tab/>
      </w:r>
      <w:r w:rsidR="004F32E6" w:rsidRPr="000E033B">
        <w:rPr>
          <w:rFonts w:ascii="Times New Roman" w:hAnsi="Times New Roman"/>
        </w:rPr>
        <w:t>One</w:t>
      </w:r>
      <w:r w:rsidR="002809AB" w:rsidRPr="000E033B">
        <w:rPr>
          <w:rFonts w:ascii="Times New Roman" w:hAnsi="Times New Roman"/>
        </w:rPr>
        <w:t xml:space="preserve"> arbitration</w:t>
      </w:r>
      <w:r w:rsidR="004F32E6" w:rsidRPr="000E033B">
        <w:rPr>
          <w:rFonts w:ascii="Times New Roman" w:hAnsi="Times New Roman"/>
        </w:rPr>
        <w:t xml:space="preserve"> </w:t>
      </w:r>
      <w:r w:rsidR="0090094F" w:rsidRPr="000E033B">
        <w:rPr>
          <w:rFonts w:ascii="Times New Roman" w:hAnsi="Times New Roman"/>
        </w:rPr>
        <w:t>regime</w:t>
      </w:r>
      <w:r w:rsidR="004F32E6" w:rsidRPr="000E033B">
        <w:rPr>
          <w:rFonts w:ascii="Times New Roman" w:hAnsi="Times New Roman"/>
        </w:rPr>
        <w:t xml:space="preserve"> </w:t>
      </w:r>
      <w:r w:rsidR="002809AB" w:rsidRPr="000E033B">
        <w:rPr>
          <w:rFonts w:ascii="Times New Roman" w:hAnsi="Times New Roman"/>
        </w:rPr>
        <w:t xml:space="preserve">under the Bilateral Investment Treaty </w:t>
      </w:r>
      <w:r w:rsidR="004F32E6" w:rsidRPr="000E033B">
        <w:rPr>
          <w:rFonts w:ascii="Times New Roman" w:hAnsi="Times New Roman"/>
        </w:rPr>
        <w:t>was</w:t>
      </w:r>
      <w:r w:rsidR="004E4AA3" w:rsidRPr="000E033B">
        <w:rPr>
          <w:rFonts w:ascii="Times New Roman" w:hAnsi="Times New Roman"/>
        </w:rPr>
        <w:t xml:space="preserve"> for arbitration under the</w:t>
      </w:r>
      <w:r w:rsidR="002D3FCD" w:rsidRPr="000E033B">
        <w:rPr>
          <w:rFonts w:ascii="Times New Roman" w:hAnsi="Times New Roman"/>
        </w:rPr>
        <w:t xml:space="preserve"> </w:t>
      </w:r>
      <w:r w:rsidR="00AB0A4D" w:rsidRPr="000E033B">
        <w:rPr>
          <w:rFonts w:ascii="Times New Roman" w:hAnsi="Times New Roman"/>
        </w:rPr>
        <w:t xml:space="preserve">Convention on the Settlement of Investment Disputes between States and Nationals of Other States (1965) ("the </w:t>
      </w:r>
      <w:r w:rsidR="002D3FCD" w:rsidRPr="000E033B">
        <w:rPr>
          <w:rFonts w:ascii="Times New Roman" w:hAnsi="Times New Roman"/>
        </w:rPr>
        <w:t>ICSID Convention</w:t>
      </w:r>
      <w:r w:rsidR="00D25510" w:rsidRPr="000E033B">
        <w:rPr>
          <w:rFonts w:ascii="Times New Roman" w:hAnsi="Times New Roman"/>
        </w:rPr>
        <w:t>"</w:t>
      </w:r>
      <w:r w:rsidR="00AB0A4D" w:rsidRPr="000E033B">
        <w:rPr>
          <w:rFonts w:ascii="Times New Roman" w:hAnsi="Times New Roman"/>
        </w:rPr>
        <w:t>)</w:t>
      </w:r>
      <w:r w:rsidR="00EF2EEC" w:rsidRPr="000E033B">
        <w:rPr>
          <w:rStyle w:val="FootnoteReference"/>
          <w:rFonts w:ascii="Times New Roman" w:hAnsi="Times New Roman"/>
          <w:sz w:val="24"/>
        </w:rPr>
        <w:footnoteReference w:id="5"/>
      </w:r>
      <w:r w:rsidR="00A536AB" w:rsidRPr="000E033B">
        <w:rPr>
          <w:rFonts w:ascii="Times New Roman" w:hAnsi="Times New Roman"/>
          <w:i/>
          <w:iCs/>
        </w:rPr>
        <w:t xml:space="preserve"> </w:t>
      </w:r>
      <w:r w:rsidR="00BC1DBD" w:rsidRPr="000E033B">
        <w:rPr>
          <w:rFonts w:ascii="Times New Roman" w:hAnsi="Times New Roman"/>
        </w:rPr>
        <w:t>i</w:t>
      </w:r>
      <w:r w:rsidR="00A75D97" w:rsidRPr="000E033B">
        <w:rPr>
          <w:rFonts w:ascii="Times New Roman" w:hAnsi="Times New Roman"/>
        </w:rPr>
        <w:t>n circumstances which</w:t>
      </w:r>
      <w:r w:rsidR="004F32E6" w:rsidRPr="000E033B">
        <w:rPr>
          <w:rFonts w:ascii="Times New Roman" w:hAnsi="Times New Roman"/>
        </w:rPr>
        <w:t>,</w:t>
      </w:r>
      <w:r w:rsidR="00A75D97" w:rsidRPr="000E033B">
        <w:rPr>
          <w:rFonts w:ascii="Times New Roman" w:hAnsi="Times New Roman"/>
        </w:rPr>
        <w:t xml:space="preserve"> </w:t>
      </w:r>
      <w:r w:rsidR="0056411E" w:rsidRPr="000E033B">
        <w:rPr>
          <w:rFonts w:ascii="Times New Roman" w:hAnsi="Times New Roman"/>
        </w:rPr>
        <w:t>relevantly</w:t>
      </w:r>
      <w:r w:rsidR="004F32E6" w:rsidRPr="000E033B">
        <w:rPr>
          <w:rFonts w:ascii="Times New Roman" w:hAnsi="Times New Roman"/>
        </w:rPr>
        <w:t xml:space="preserve"> to this appeal, required</w:t>
      </w:r>
      <w:r w:rsidR="007C1E62" w:rsidRPr="000E033B">
        <w:rPr>
          <w:rFonts w:ascii="Times New Roman" w:hAnsi="Times New Roman"/>
        </w:rPr>
        <w:t xml:space="preserve"> both India and Mauritius </w:t>
      </w:r>
      <w:r w:rsidR="004F32E6" w:rsidRPr="000E033B">
        <w:rPr>
          <w:rFonts w:ascii="Times New Roman" w:hAnsi="Times New Roman"/>
        </w:rPr>
        <w:t xml:space="preserve">to </w:t>
      </w:r>
      <w:r w:rsidR="007C1E62" w:rsidRPr="000E033B">
        <w:rPr>
          <w:rFonts w:ascii="Times New Roman" w:hAnsi="Times New Roman"/>
        </w:rPr>
        <w:t>be parties to the ICSID Convention</w:t>
      </w:r>
      <w:r w:rsidR="00A536AB" w:rsidRPr="000E033B">
        <w:rPr>
          <w:rFonts w:ascii="Times New Roman" w:hAnsi="Times New Roman"/>
        </w:rPr>
        <w:t>.</w:t>
      </w:r>
      <w:r w:rsidR="00971BB3" w:rsidRPr="000E033B">
        <w:rPr>
          <w:rStyle w:val="FootnoteReference"/>
          <w:rFonts w:ascii="Times New Roman" w:hAnsi="Times New Roman"/>
          <w:sz w:val="24"/>
        </w:rPr>
        <w:footnoteReference w:id="6"/>
      </w:r>
      <w:r w:rsidR="00ED1B82" w:rsidRPr="000E033B">
        <w:rPr>
          <w:rFonts w:ascii="Times New Roman" w:hAnsi="Times New Roman"/>
        </w:rPr>
        <w:t xml:space="preserve"> </w:t>
      </w:r>
      <w:r w:rsidR="00A309F6" w:rsidRPr="000E033B">
        <w:rPr>
          <w:rFonts w:ascii="Times New Roman" w:hAnsi="Times New Roman"/>
        </w:rPr>
        <w:t>India</w:t>
      </w:r>
      <w:r w:rsidRPr="000E033B">
        <w:rPr>
          <w:rFonts w:ascii="Times New Roman" w:hAnsi="Times New Roman"/>
        </w:rPr>
        <w:t xml:space="preserve"> was not a party to the ICSID</w:t>
      </w:r>
      <w:r w:rsidR="00440B4B">
        <w:rPr>
          <w:rFonts w:ascii="Times New Roman" w:hAnsi="Times New Roman"/>
        </w:rPr>
        <w:t> </w:t>
      </w:r>
      <w:r w:rsidRPr="000E033B">
        <w:rPr>
          <w:rFonts w:ascii="Times New Roman" w:hAnsi="Times New Roman"/>
        </w:rPr>
        <w:t xml:space="preserve">Convention. </w:t>
      </w:r>
      <w:r w:rsidR="004F32E6" w:rsidRPr="000E033B">
        <w:rPr>
          <w:rFonts w:ascii="Times New Roman" w:hAnsi="Times New Roman"/>
        </w:rPr>
        <w:t xml:space="preserve">Another </w:t>
      </w:r>
      <w:r w:rsidR="0090094F" w:rsidRPr="000E033B">
        <w:rPr>
          <w:rFonts w:ascii="Times New Roman" w:hAnsi="Times New Roman"/>
        </w:rPr>
        <w:t>regime</w:t>
      </w:r>
      <w:r w:rsidR="004F32E6" w:rsidRPr="000E033B">
        <w:rPr>
          <w:rFonts w:ascii="Times New Roman" w:hAnsi="Times New Roman"/>
        </w:rPr>
        <w:t xml:space="preserve"> was </w:t>
      </w:r>
      <w:r w:rsidR="005C1F5C" w:rsidRPr="000E033B">
        <w:rPr>
          <w:rFonts w:ascii="Times New Roman" w:hAnsi="Times New Roman"/>
        </w:rPr>
        <w:t xml:space="preserve">for </w:t>
      </w:r>
      <w:r w:rsidR="00503C20" w:rsidRPr="000E033B">
        <w:rPr>
          <w:rFonts w:ascii="Times New Roman" w:hAnsi="Times New Roman"/>
        </w:rPr>
        <w:t xml:space="preserve">ad hoc arbitration </w:t>
      </w:r>
      <w:r w:rsidR="0025603D" w:rsidRPr="000E033B">
        <w:rPr>
          <w:rFonts w:ascii="Times New Roman" w:hAnsi="Times New Roman"/>
        </w:rPr>
        <w:t xml:space="preserve">under </w:t>
      </w:r>
      <w:r w:rsidR="007164CB" w:rsidRPr="000E033B">
        <w:rPr>
          <w:rFonts w:ascii="Times New Roman" w:hAnsi="Times New Roman"/>
        </w:rPr>
        <w:t>modified</w:t>
      </w:r>
      <w:r w:rsidR="007164CB" w:rsidRPr="000E033B">
        <w:rPr>
          <w:rStyle w:val="FootnoteReference"/>
          <w:rFonts w:ascii="Times New Roman" w:hAnsi="Times New Roman"/>
          <w:sz w:val="24"/>
        </w:rPr>
        <w:footnoteReference w:id="7"/>
      </w:r>
      <w:r w:rsidR="002D3FCD" w:rsidRPr="000E033B">
        <w:rPr>
          <w:rFonts w:ascii="Times New Roman" w:hAnsi="Times New Roman"/>
        </w:rPr>
        <w:t xml:space="preserve"> UNCITRAL Rules</w:t>
      </w:r>
      <w:r w:rsidR="007164CB" w:rsidRPr="000E033B">
        <w:rPr>
          <w:rFonts w:ascii="Times New Roman" w:hAnsi="Times New Roman"/>
        </w:rPr>
        <w:t>.</w:t>
      </w:r>
      <w:r w:rsidR="00A56112" w:rsidRPr="000E033B">
        <w:rPr>
          <w:rStyle w:val="FootnoteReference"/>
          <w:rFonts w:ascii="Times New Roman" w:hAnsi="Times New Roman"/>
          <w:sz w:val="24"/>
        </w:rPr>
        <w:footnoteReference w:id="8"/>
      </w:r>
      <w:r w:rsidR="00EF2EEC" w:rsidRPr="000E033B">
        <w:rPr>
          <w:rFonts w:ascii="Times New Roman" w:hAnsi="Times New Roman"/>
          <w:i/>
          <w:iCs/>
        </w:rPr>
        <w:t xml:space="preserve"> </w:t>
      </w:r>
    </w:p>
    <w:p w14:paraId="78F729A9" w14:textId="2330D985" w:rsidR="00B23164" w:rsidRPr="000E033B" w:rsidRDefault="00CE7EBC" w:rsidP="000E033B">
      <w:pPr>
        <w:pStyle w:val="FixListStyle"/>
        <w:spacing w:after="260" w:line="280" w:lineRule="exact"/>
        <w:ind w:right="0"/>
        <w:jc w:val="both"/>
        <w:rPr>
          <w:rFonts w:ascii="Times New Roman" w:hAnsi="Times New Roman"/>
        </w:rPr>
      </w:pPr>
      <w:r w:rsidRPr="000E033B">
        <w:rPr>
          <w:rFonts w:ascii="Times New Roman" w:hAnsi="Times New Roman"/>
        </w:rPr>
        <w:tab/>
        <w:t>In J</w:t>
      </w:r>
      <w:r w:rsidR="00F76CAA" w:rsidRPr="000E033B">
        <w:rPr>
          <w:rFonts w:ascii="Times New Roman" w:hAnsi="Times New Roman"/>
        </w:rPr>
        <w:t>u</w:t>
      </w:r>
      <w:r w:rsidRPr="000E033B">
        <w:rPr>
          <w:rFonts w:ascii="Times New Roman" w:hAnsi="Times New Roman"/>
        </w:rPr>
        <w:t xml:space="preserve">ly 2012, </w:t>
      </w:r>
      <w:r w:rsidR="00EC030C" w:rsidRPr="000E033B">
        <w:rPr>
          <w:rFonts w:ascii="Times New Roman" w:hAnsi="Times New Roman"/>
        </w:rPr>
        <w:t xml:space="preserve">three </w:t>
      </w:r>
      <w:r w:rsidR="008E7C1F" w:rsidRPr="000E033B">
        <w:rPr>
          <w:rFonts w:ascii="Times New Roman" w:hAnsi="Times New Roman"/>
        </w:rPr>
        <w:t xml:space="preserve">Mauritian </w:t>
      </w:r>
      <w:r w:rsidR="00C34387" w:rsidRPr="000E033B">
        <w:rPr>
          <w:rFonts w:ascii="Times New Roman" w:hAnsi="Times New Roman"/>
        </w:rPr>
        <w:t xml:space="preserve">investors </w:t>
      </w:r>
      <w:r w:rsidR="00FC5DC2" w:rsidRPr="000E033B">
        <w:rPr>
          <w:rFonts w:ascii="Times New Roman" w:hAnsi="Times New Roman"/>
        </w:rPr>
        <w:t xml:space="preserve">commenced arbitral proceedings against India </w:t>
      </w:r>
      <w:r w:rsidR="00F519B7" w:rsidRPr="000E033B">
        <w:rPr>
          <w:rFonts w:ascii="Times New Roman" w:hAnsi="Times New Roman"/>
        </w:rPr>
        <w:t>as an ad hoc arbitration</w:t>
      </w:r>
      <w:r w:rsidR="001703BB" w:rsidRPr="000E033B">
        <w:rPr>
          <w:rFonts w:ascii="Times New Roman" w:hAnsi="Times New Roman"/>
        </w:rPr>
        <w:t xml:space="preserve"> in the Permanent Court of Arbitration</w:t>
      </w:r>
      <w:r w:rsidR="00F519B7" w:rsidRPr="000E033B">
        <w:rPr>
          <w:rFonts w:ascii="Times New Roman" w:hAnsi="Times New Roman"/>
        </w:rPr>
        <w:t xml:space="preserve"> </w:t>
      </w:r>
      <w:r w:rsidR="00FC5DC2" w:rsidRPr="000E033B">
        <w:rPr>
          <w:rFonts w:ascii="Times New Roman" w:hAnsi="Times New Roman"/>
        </w:rPr>
        <w:t>under the</w:t>
      </w:r>
      <w:r w:rsidR="00997BE4" w:rsidRPr="000E033B">
        <w:rPr>
          <w:rFonts w:ascii="Times New Roman" w:hAnsi="Times New Roman"/>
        </w:rPr>
        <w:t xml:space="preserve"> Bilateral</w:t>
      </w:r>
      <w:r w:rsidR="00FC5DC2" w:rsidRPr="000E033B">
        <w:rPr>
          <w:rFonts w:ascii="Times New Roman" w:hAnsi="Times New Roman"/>
        </w:rPr>
        <w:t xml:space="preserve"> </w:t>
      </w:r>
      <w:r w:rsidR="00997BE4" w:rsidRPr="000E033B">
        <w:rPr>
          <w:rFonts w:ascii="Times New Roman" w:hAnsi="Times New Roman"/>
        </w:rPr>
        <w:t>I</w:t>
      </w:r>
      <w:r w:rsidR="007235DC" w:rsidRPr="000E033B">
        <w:rPr>
          <w:rFonts w:ascii="Times New Roman" w:hAnsi="Times New Roman"/>
        </w:rPr>
        <w:t xml:space="preserve">nvestment </w:t>
      </w:r>
      <w:r w:rsidR="00997BE4" w:rsidRPr="000E033B">
        <w:rPr>
          <w:rFonts w:ascii="Times New Roman" w:hAnsi="Times New Roman"/>
        </w:rPr>
        <w:t>T</w:t>
      </w:r>
      <w:r w:rsidR="007235DC" w:rsidRPr="000E033B">
        <w:rPr>
          <w:rFonts w:ascii="Times New Roman" w:hAnsi="Times New Roman"/>
        </w:rPr>
        <w:t>reaty.</w:t>
      </w:r>
      <w:r w:rsidR="00FF12C3" w:rsidRPr="000E033B">
        <w:rPr>
          <w:rFonts w:ascii="Times New Roman" w:hAnsi="Times New Roman"/>
        </w:rPr>
        <w:t xml:space="preserve"> </w:t>
      </w:r>
      <w:r w:rsidR="009F38CE" w:rsidRPr="000E033B">
        <w:rPr>
          <w:rFonts w:ascii="Times New Roman" w:hAnsi="Times New Roman"/>
        </w:rPr>
        <w:t>Under</w:t>
      </w:r>
      <w:r w:rsidR="007A5232" w:rsidRPr="000E033B">
        <w:rPr>
          <w:rFonts w:ascii="Times New Roman" w:hAnsi="Times New Roman"/>
        </w:rPr>
        <w:t xml:space="preserve"> Art</w:t>
      </w:r>
      <w:r w:rsidR="00185D78" w:rsidRPr="000E033B">
        <w:rPr>
          <w:rFonts w:ascii="Times New Roman" w:hAnsi="Times New Roman"/>
        </w:rPr>
        <w:t> </w:t>
      </w:r>
      <w:r w:rsidR="007A5232" w:rsidRPr="000E033B">
        <w:rPr>
          <w:rFonts w:ascii="Times New Roman" w:hAnsi="Times New Roman"/>
        </w:rPr>
        <w:t>16(1) of</w:t>
      </w:r>
      <w:r w:rsidR="009F38CE" w:rsidRPr="000E033B">
        <w:rPr>
          <w:rFonts w:ascii="Times New Roman" w:hAnsi="Times New Roman"/>
        </w:rPr>
        <w:t xml:space="preserve"> the UNCITRAL Rules</w:t>
      </w:r>
      <w:r w:rsidR="007A5232" w:rsidRPr="000E033B">
        <w:rPr>
          <w:rFonts w:ascii="Times New Roman" w:hAnsi="Times New Roman"/>
        </w:rPr>
        <w:t xml:space="preserve"> </w:t>
      </w:r>
      <w:r w:rsidR="006B2330" w:rsidRPr="000E033B">
        <w:rPr>
          <w:rFonts w:ascii="Times New Roman" w:hAnsi="Times New Roman"/>
        </w:rPr>
        <w:t xml:space="preserve">and the </w:t>
      </w:r>
      <w:r w:rsidR="00144C6C" w:rsidRPr="000E033B">
        <w:rPr>
          <w:rFonts w:ascii="Times New Roman" w:hAnsi="Times New Roman"/>
        </w:rPr>
        <w:t>t</w:t>
      </w:r>
      <w:r w:rsidR="001F17D0" w:rsidRPr="000E033B">
        <w:rPr>
          <w:rFonts w:ascii="Times New Roman" w:hAnsi="Times New Roman"/>
        </w:rPr>
        <w:t xml:space="preserve">erms of </w:t>
      </w:r>
      <w:r w:rsidR="00144C6C" w:rsidRPr="000E033B">
        <w:rPr>
          <w:rFonts w:ascii="Times New Roman" w:hAnsi="Times New Roman"/>
        </w:rPr>
        <w:t>a</w:t>
      </w:r>
      <w:r w:rsidR="001F17D0" w:rsidRPr="000E033B">
        <w:rPr>
          <w:rFonts w:ascii="Times New Roman" w:hAnsi="Times New Roman"/>
        </w:rPr>
        <w:t>ppointment in the arbitration</w:t>
      </w:r>
      <w:r w:rsidR="00645BE9" w:rsidRPr="000E033B">
        <w:rPr>
          <w:rFonts w:ascii="Times New Roman" w:hAnsi="Times New Roman"/>
        </w:rPr>
        <w:t>,</w:t>
      </w:r>
      <w:r w:rsidR="001F17D0" w:rsidRPr="000E033B">
        <w:rPr>
          <w:rFonts w:ascii="Times New Roman" w:hAnsi="Times New Roman"/>
        </w:rPr>
        <w:t xml:space="preserve"> </w:t>
      </w:r>
      <w:r w:rsidR="007A5232" w:rsidRPr="000E033B">
        <w:rPr>
          <w:rFonts w:ascii="Times New Roman" w:hAnsi="Times New Roman"/>
        </w:rPr>
        <w:t>the seat of the arbitration was The Hague, the Netherlands.</w:t>
      </w:r>
      <w:r w:rsidR="003A174A" w:rsidRPr="000E033B">
        <w:rPr>
          <w:rFonts w:ascii="Times New Roman" w:hAnsi="Times New Roman"/>
        </w:rPr>
        <w:t xml:space="preserve"> </w:t>
      </w:r>
      <w:r w:rsidR="008B7AC7" w:rsidRPr="000E033B">
        <w:rPr>
          <w:rFonts w:ascii="Times New Roman" w:hAnsi="Times New Roman"/>
        </w:rPr>
        <w:t>In the Netherlands arbitration, t</w:t>
      </w:r>
      <w:r w:rsidR="008E7C1F" w:rsidRPr="000E033B">
        <w:rPr>
          <w:rFonts w:ascii="Times New Roman" w:hAnsi="Times New Roman"/>
        </w:rPr>
        <w:t xml:space="preserve">he Mauritian investors </w:t>
      </w:r>
      <w:r w:rsidR="002F5DB2" w:rsidRPr="000E033B">
        <w:rPr>
          <w:rFonts w:ascii="Times New Roman" w:hAnsi="Times New Roman"/>
        </w:rPr>
        <w:t xml:space="preserve">alleged that they had made investments in India within </w:t>
      </w:r>
      <w:r w:rsidR="00B33F6A" w:rsidRPr="000E033B">
        <w:rPr>
          <w:rFonts w:ascii="Times New Roman" w:hAnsi="Times New Roman"/>
        </w:rPr>
        <w:t xml:space="preserve">the meaning of </w:t>
      </w:r>
      <w:r w:rsidR="002F5DB2" w:rsidRPr="000E033B">
        <w:rPr>
          <w:rFonts w:ascii="Times New Roman" w:hAnsi="Times New Roman"/>
        </w:rPr>
        <w:t xml:space="preserve">the Bilateral Investment </w:t>
      </w:r>
      <w:r w:rsidR="002F5DB2" w:rsidRPr="000E033B">
        <w:rPr>
          <w:rFonts w:ascii="Times New Roman" w:hAnsi="Times New Roman"/>
        </w:rPr>
        <w:lastRenderedPageBreak/>
        <w:t xml:space="preserve">Treaty </w:t>
      </w:r>
      <w:r w:rsidR="0044631E" w:rsidRPr="000E033B">
        <w:rPr>
          <w:rFonts w:ascii="Times New Roman" w:hAnsi="Times New Roman"/>
        </w:rPr>
        <w:t xml:space="preserve">and that, in breach of the Bilateral Investment Treaty, India had </w:t>
      </w:r>
      <w:r w:rsidR="00505A49" w:rsidRPr="000E033B">
        <w:rPr>
          <w:rFonts w:ascii="Times New Roman" w:hAnsi="Times New Roman"/>
        </w:rPr>
        <w:t xml:space="preserve">expropriated those investments without compensation. </w:t>
      </w:r>
    </w:p>
    <w:p w14:paraId="3565489E" w14:textId="2C845B35" w:rsidR="00E81FE3" w:rsidRPr="000E033B" w:rsidRDefault="00B23164" w:rsidP="000E033B">
      <w:pPr>
        <w:pStyle w:val="FixListStyle"/>
        <w:spacing w:after="260" w:line="280" w:lineRule="exact"/>
        <w:ind w:right="0"/>
        <w:jc w:val="both"/>
        <w:rPr>
          <w:rFonts w:ascii="Times New Roman" w:hAnsi="Times New Roman"/>
        </w:rPr>
      </w:pPr>
      <w:r w:rsidRPr="000E033B">
        <w:rPr>
          <w:rFonts w:ascii="Times New Roman" w:hAnsi="Times New Roman"/>
        </w:rPr>
        <w:tab/>
        <w:t xml:space="preserve">The </w:t>
      </w:r>
      <w:r w:rsidR="003166F9" w:rsidRPr="000E033B">
        <w:rPr>
          <w:rFonts w:ascii="Times New Roman" w:hAnsi="Times New Roman"/>
        </w:rPr>
        <w:t xml:space="preserve">claim by the </w:t>
      </w:r>
      <w:r w:rsidR="00735722" w:rsidRPr="000E033B">
        <w:rPr>
          <w:rFonts w:ascii="Times New Roman" w:hAnsi="Times New Roman"/>
        </w:rPr>
        <w:t xml:space="preserve">Mauritian </w:t>
      </w:r>
      <w:r w:rsidRPr="000E033B">
        <w:rPr>
          <w:rFonts w:ascii="Times New Roman" w:hAnsi="Times New Roman"/>
        </w:rPr>
        <w:t>investors</w:t>
      </w:r>
      <w:r w:rsidR="003166F9" w:rsidRPr="000E033B">
        <w:rPr>
          <w:rFonts w:ascii="Times New Roman" w:hAnsi="Times New Roman"/>
        </w:rPr>
        <w:t xml:space="preserve"> in the Netherlands arbitration </w:t>
      </w:r>
      <w:r w:rsidR="00295362" w:rsidRPr="000E033B">
        <w:rPr>
          <w:rFonts w:ascii="Times New Roman" w:hAnsi="Times New Roman"/>
        </w:rPr>
        <w:t xml:space="preserve">arose from their </w:t>
      </w:r>
      <w:r w:rsidR="00533105" w:rsidRPr="000E033B">
        <w:rPr>
          <w:rFonts w:ascii="Times New Roman" w:hAnsi="Times New Roman"/>
        </w:rPr>
        <w:t xml:space="preserve">status as </w:t>
      </w:r>
      <w:r w:rsidR="005D5AF9" w:rsidRPr="000E033B">
        <w:rPr>
          <w:rFonts w:ascii="Times New Roman" w:hAnsi="Times New Roman"/>
        </w:rPr>
        <w:t xml:space="preserve">shareholders in an Indian company </w:t>
      </w:r>
      <w:r w:rsidR="000068C3" w:rsidRPr="000E033B">
        <w:rPr>
          <w:rFonts w:ascii="Times New Roman" w:hAnsi="Times New Roman"/>
        </w:rPr>
        <w:t>(Devas Multimedia Private Limited)</w:t>
      </w:r>
      <w:r w:rsidR="00822469" w:rsidRPr="000E033B">
        <w:rPr>
          <w:rFonts w:ascii="Times New Roman" w:hAnsi="Times New Roman"/>
        </w:rPr>
        <w:t xml:space="preserve">. </w:t>
      </w:r>
      <w:r w:rsidR="002511A4" w:rsidRPr="000E033B">
        <w:rPr>
          <w:rFonts w:ascii="Times New Roman" w:hAnsi="Times New Roman"/>
        </w:rPr>
        <w:t xml:space="preserve">In 2005, </w:t>
      </w:r>
      <w:r w:rsidR="00822469" w:rsidRPr="000E033B">
        <w:rPr>
          <w:rFonts w:ascii="Times New Roman" w:hAnsi="Times New Roman"/>
        </w:rPr>
        <w:t>Devas Multimedia Private Limited</w:t>
      </w:r>
      <w:r w:rsidR="000068C3" w:rsidRPr="000E033B">
        <w:rPr>
          <w:rFonts w:ascii="Times New Roman" w:hAnsi="Times New Roman"/>
        </w:rPr>
        <w:t xml:space="preserve"> entered an agreement </w:t>
      </w:r>
      <w:r w:rsidR="00EC6A76" w:rsidRPr="000E033B">
        <w:rPr>
          <w:rFonts w:ascii="Times New Roman" w:hAnsi="Times New Roman"/>
        </w:rPr>
        <w:t xml:space="preserve">("the Devas agreement") </w:t>
      </w:r>
      <w:r w:rsidR="000068C3" w:rsidRPr="000E033B">
        <w:rPr>
          <w:rFonts w:ascii="Times New Roman" w:hAnsi="Times New Roman"/>
        </w:rPr>
        <w:t>with an Indian State</w:t>
      </w:r>
      <w:r w:rsidR="007079F1" w:rsidRPr="000E033B">
        <w:rPr>
          <w:rFonts w:ascii="Times New Roman" w:hAnsi="Times New Roman"/>
        </w:rPr>
        <w:t xml:space="preserve">-owned company </w:t>
      </w:r>
      <w:r w:rsidR="001C16BF" w:rsidRPr="000E033B">
        <w:rPr>
          <w:rFonts w:ascii="Times New Roman" w:hAnsi="Times New Roman"/>
        </w:rPr>
        <w:t xml:space="preserve">(Antrix Corporation </w:t>
      </w:r>
      <w:r w:rsidR="00120075" w:rsidRPr="000E033B">
        <w:rPr>
          <w:rFonts w:ascii="Times New Roman" w:hAnsi="Times New Roman"/>
        </w:rPr>
        <w:t xml:space="preserve">Limited) </w:t>
      </w:r>
      <w:r w:rsidR="003E2666" w:rsidRPr="000E033B">
        <w:rPr>
          <w:rFonts w:ascii="Times New Roman" w:hAnsi="Times New Roman"/>
        </w:rPr>
        <w:t xml:space="preserve">to lease part of an electromagnetic spectrum </w:t>
      </w:r>
      <w:r w:rsidR="00DB77CB" w:rsidRPr="000E033B">
        <w:rPr>
          <w:rFonts w:ascii="Times New Roman" w:hAnsi="Times New Roman"/>
        </w:rPr>
        <w:t>on</w:t>
      </w:r>
      <w:r w:rsidR="006A0B7D" w:rsidRPr="000E033B">
        <w:rPr>
          <w:rFonts w:ascii="Times New Roman" w:hAnsi="Times New Roman"/>
        </w:rPr>
        <w:t xml:space="preserve"> </w:t>
      </w:r>
      <w:r w:rsidR="008F3E6E" w:rsidRPr="000E033B">
        <w:rPr>
          <w:rFonts w:ascii="Times New Roman" w:hAnsi="Times New Roman"/>
        </w:rPr>
        <w:t xml:space="preserve">two </w:t>
      </w:r>
      <w:r w:rsidR="006A0B7D" w:rsidRPr="000E033B">
        <w:rPr>
          <w:rFonts w:ascii="Times New Roman" w:hAnsi="Times New Roman"/>
        </w:rPr>
        <w:t xml:space="preserve">satellites </w:t>
      </w:r>
      <w:r w:rsidR="00F741FB" w:rsidRPr="000E033B">
        <w:rPr>
          <w:rFonts w:ascii="Times New Roman" w:hAnsi="Times New Roman"/>
        </w:rPr>
        <w:t>(</w:t>
      </w:r>
      <w:r w:rsidR="00DB77CB" w:rsidRPr="000E033B">
        <w:rPr>
          <w:rFonts w:ascii="Times New Roman" w:hAnsi="Times New Roman"/>
        </w:rPr>
        <w:t xml:space="preserve">to be </w:t>
      </w:r>
      <w:r w:rsidR="00F741FB" w:rsidRPr="000E033B">
        <w:rPr>
          <w:rFonts w:ascii="Times New Roman" w:hAnsi="Times New Roman"/>
        </w:rPr>
        <w:t>built, launched</w:t>
      </w:r>
      <w:r w:rsidR="00DB77CB" w:rsidRPr="000E033B">
        <w:rPr>
          <w:rFonts w:ascii="Times New Roman" w:hAnsi="Times New Roman"/>
        </w:rPr>
        <w:t>,</w:t>
      </w:r>
      <w:r w:rsidR="00F741FB" w:rsidRPr="000E033B">
        <w:rPr>
          <w:rFonts w:ascii="Times New Roman" w:hAnsi="Times New Roman"/>
        </w:rPr>
        <w:t xml:space="preserve"> and operated by the Indian Space Research Organisation)</w:t>
      </w:r>
      <w:r w:rsidR="006A0B7D" w:rsidRPr="000E033B">
        <w:rPr>
          <w:rFonts w:ascii="Times New Roman" w:hAnsi="Times New Roman"/>
        </w:rPr>
        <w:t xml:space="preserve"> </w:t>
      </w:r>
      <w:r w:rsidR="00DA7CBA" w:rsidRPr="000E033B">
        <w:rPr>
          <w:rFonts w:ascii="Times New Roman" w:hAnsi="Times New Roman"/>
        </w:rPr>
        <w:t xml:space="preserve">for the purposes of offering broadband wireless access and audio-video services throughout India. </w:t>
      </w:r>
    </w:p>
    <w:p w14:paraId="1BF7DD25" w14:textId="184AB75A" w:rsidR="00CC0D45" w:rsidRPr="000E033B" w:rsidRDefault="00E81FE3" w:rsidP="000E033B">
      <w:pPr>
        <w:pStyle w:val="FixListStyle"/>
        <w:spacing w:after="260" w:line="280" w:lineRule="exact"/>
        <w:ind w:right="0"/>
        <w:jc w:val="both"/>
        <w:rPr>
          <w:rFonts w:ascii="Times New Roman" w:hAnsi="Times New Roman"/>
        </w:rPr>
      </w:pPr>
      <w:r w:rsidRPr="000E033B">
        <w:rPr>
          <w:rFonts w:ascii="Times New Roman" w:hAnsi="Times New Roman"/>
        </w:rPr>
        <w:tab/>
      </w:r>
      <w:r w:rsidR="002511A4" w:rsidRPr="000E033B">
        <w:rPr>
          <w:rFonts w:ascii="Times New Roman" w:hAnsi="Times New Roman"/>
        </w:rPr>
        <w:t xml:space="preserve">In 2011, </w:t>
      </w:r>
      <w:r w:rsidR="00EC6A76" w:rsidRPr="000E033B">
        <w:rPr>
          <w:rFonts w:ascii="Times New Roman" w:hAnsi="Times New Roman"/>
        </w:rPr>
        <w:t>India</w:t>
      </w:r>
      <w:r w:rsidR="006E4BD1" w:rsidRPr="000E033B">
        <w:rPr>
          <w:rFonts w:ascii="Times New Roman" w:hAnsi="Times New Roman"/>
        </w:rPr>
        <w:t xml:space="preserve"> </w:t>
      </w:r>
      <w:r w:rsidR="00EC6A76" w:rsidRPr="000E033B">
        <w:rPr>
          <w:rFonts w:ascii="Times New Roman" w:hAnsi="Times New Roman"/>
        </w:rPr>
        <w:t>annu</w:t>
      </w:r>
      <w:r w:rsidR="006E4BD1" w:rsidRPr="000E033B">
        <w:rPr>
          <w:rFonts w:ascii="Times New Roman" w:hAnsi="Times New Roman"/>
        </w:rPr>
        <w:t>lled</w:t>
      </w:r>
      <w:r w:rsidR="00EC6A76" w:rsidRPr="000E033B">
        <w:rPr>
          <w:rFonts w:ascii="Times New Roman" w:hAnsi="Times New Roman"/>
        </w:rPr>
        <w:t xml:space="preserve"> the Devas agreement</w:t>
      </w:r>
      <w:r w:rsidR="00CC6B3B" w:rsidRPr="000E033B">
        <w:rPr>
          <w:rFonts w:ascii="Times New Roman" w:hAnsi="Times New Roman"/>
        </w:rPr>
        <w:t xml:space="preserve">. </w:t>
      </w:r>
      <w:r w:rsidR="00CB68CD" w:rsidRPr="000E033B">
        <w:rPr>
          <w:rFonts w:ascii="Times New Roman" w:hAnsi="Times New Roman"/>
        </w:rPr>
        <w:t xml:space="preserve">India </w:t>
      </w:r>
      <w:r w:rsidR="009E215E" w:rsidRPr="000E033B">
        <w:rPr>
          <w:rFonts w:ascii="Times New Roman" w:hAnsi="Times New Roman"/>
        </w:rPr>
        <w:t xml:space="preserve">claimed that the annulment was a policy decision to reserve part of the </w:t>
      </w:r>
      <w:r w:rsidR="00974861" w:rsidRPr="000E033B">
        <w:rPr>
          <w:rFonts w:ascii="Times New Roman" w:hAnsi="Times New Roman"/>
        </w:rPr>
        <w:t>electromagnetic spectrum "for national needs, including for the needs of defence, para-military forces, railways and other public utility services as well as for societal needs</w:t>
      </w:r>
      <w:r w:rsidR="00CC0D45" w:rsidRPr="000E033B">
        <w:rPr>
          <w:rFonts w:ascii="Times New Roman" w:hAnsi="Times New Roman"/>
        </w:rPr>
        <w:t xml:space="preserve">, and having regard to the needs of the country's strategic requirements". </w:t>
      </w:r>
    </w:p>
    <w:p w14:paraId="42C1D8C9" w14:textId="1A5655DA" w:rsidR="00621CA8" w:rsidRPr="000E033B" w:rsidRDefault="00CC0D45" w:rsidP="000E033B">
      <w:pPr>
        <w:pStyle w:val="FixListStyle"/>
        <w:spacing w:after="260" w:line="280" w:lineRule="exact"/>
        <w:ind w:right="0"/>
        <w:jc w:val="both"/>
        <w:rPr>
          <w:rFonts w:ascii="Times New Roman" w:hAnsi="Times New Roman"/>
        </w:rPr>
      </w:pPr>
      <w:r w:rsidRPr="000E033B">
        <w:rPr>
          <w:rFonts w:ascii="Times New Roman" w:hAnsi="Times New Roman"/>
        </w:rPr>
        <w:tab/>
      </w:r>
      <w:r w:rsidR="00BB7A39" w:rsidRPr="000E033B">
        <w:rPr>
          <w:rFonts w:ascii="Times New Roman" w:hAnsi="Times New Roman"/>
        </w:rPr>
        <w:t xml:space="preserve">In the </w:t>
      </w:r>
      <w:r w:rsidR="00D85A11" w:rsidRPr="000E033B">
        <w:rPr>
          <w:rFonts w:ascii="Times New Roman" w:hAnsi="Times New Roman"/>
        </w:rPr>
        <w:t xml:space="preserve">ad hoc </w:t>
      </w:r>
      <w:r w:rsidR="00BB7A39" w:rsidRPr="000E033B">
        <w:rPr>
          <w:rFonts w:ascii="Times New Roman" w:hAnsi="Times New Roman"/>
        </w:rPr>
        <w:t xml:space="preserve">arbitration </w:t>
      </w:r>
      <w:r w:rsidR="00D85A11" w:rsidRPr="000E033B">
        <w:rPr>
          <w:rFonts w:ascii="Times New Roman" w:hAnsi="Times New Roman"/>
        </w:rPr>
        <w:t xml:space="preserve">in the Netherlands, </w:t>
      </w:r>
      <w:r w:rsidR="00BB7A39" w:rsidRPr="000E033B">
        <w:rPr>
          <w:rFonts w:ascii="Times New Roman" w:hAnsi="Times New Roman"/>
        </w:rPr>
        <w:t>the</w:t>
      </w:r>
      <w:r w:rsidR="00653245" w:rsidRPr="000E033B">
        <w:rPr>
          <w:rFonts w:ascii="Times New Roman" w:hAnsi="Times New Roman"/>
        </w:rPr>
        <w:t xml:space="preserve"> Mauritian</w:t>
      </w:r>
      <w:r w:rsidR="00BB7A39" w:rsidRPr="000E033B">
        <w:rPr>
          <w:rFonts w:ascii="Times New Roman" w:hAnsi="Times New Roman"/>
        </w:rPr>
        <w:t xml:space="preserve"> investors alleged that</w:t>
      </w:r>
      <w:r w:rsidR="00825FE6" w:rsidRPr="000E033B">
        <w:rPr>
          <w:rFonts w:ascii="Times New Roman" w:hAnsi="Times New Roman"/>
        </w:rPr>
        <w:t xml:space="preserve"> the policy decision </w:t>
      </w:r>
      <w:r w:rsidR="000721DA" w:rsidRPr="000E033B">
        <w:rPr>
          <w:rFonts w:ascii="Times New Roman" w:hAnsi="Times New Roman"/>
        </w:rPr>
        <w:t xml:space="preserve">made </w:t>
      </w:r>
      <w:r w:rsidR="00825FE6" w:rsidRPr="000E033B">
        <w:rPr>
          <w:rFonts w:ascii="Times New Roman" w:hAnsi="Times New Roman"/>
        </w:rPr>
        <w:t xml:space="preserve">by India </w:t>
      </w:r>
      <w:r w:rsidR="007E4E5C" w:rsidRPr="000E033B">
        <w:rPr>
          <w:rFonts w:ascii="Times New Roman" w:hAnsi="Times New Roman"/>
        </w:rPr>
        <w:t xml:space="preserve">was an expropriation of their investments in India in breach of various terms of the Bilateral Investment Treaty including </w:t>
      </w:r>
      <w:r w:rsidR="00991F34" w:rsidRPr="000E033B">
        <w:rPr>
          <w:rFonts w:ascii="Times New Roman" w:hAnsi="Times New Roman"/>
        </w:rPr>
        <w:t>Art</w:t>
      </w:r>
      <w:r w:rsidR="00F45EFB" w:rsidRPr="000E033B">
        <w:rPr>
          <w:rFonts w:ascii="Times New Roman" w:hAnsi="Times New Roman"/>
        </w:rPr>
        <w:t> </w:t>
      </w:r>
      <w:r w:rsidR="00991F34" w:rsidRPr="000E033B">
        <w:rPr>
          <w:rFonts w:ascii="Times New Roman" w:hAnsi="Times New Roman"/>
        </w:rPr>
        <w:t>3 ("Promotion and Protection of Investments"), Art</w:t>
      </w:r>
      <w:r w:rsidR="00F45EFB" w:rsidRPr="000E033B">
        <w:rPr>
          <w:rFonts w:ascii="Times New Roman" w:hAnsi="Times New Roman"/>
        </w:rPr>
        <w:t> </w:t>
      </w:r>
      <w:r w:rsidR="00991F34" w:rsidRPr="000E033B">
        <w:rPr>
          <w:rFonts w:ascii="Times New Roman" w:hAnsi="Times New Roman"/>
        </w:rPr>
        <w:t>4 ("Treatment of Investments")</w:t>
      </w:r>
      <w:r w:rsidR="00790EE1" w:rsidRPr="000E033B">
        <w:rPr>
          <w:rFonts w:ascii="Times New Roman" w:hAnsi="Times New Roman"/>
        </w:rPr>
        <w:t>,</w:t>
      </w:r>
      <w:r w:rsidR="00991F34" w:rsidRPr="000E033B">
        <w:rPr>
          <w:rFonts w:ascii="Times New Roman" w:hAnsi="Times New Roman"/>
        </w:rPr>
        <w:t xml:space="preserve"> and Art</w:t>
      </w:r>
      <w:r w:rsidR="00F45EFB" w:rsidRPr="000E033B">
        <w:rPr>
          <w:rFonts w:ascii="Times New Roman" w:hAnsi="Times New Roman"/>
        </w:rPr>
        <w:t> </w:t>
      </w:r>
      <w:r w:rsidR="00991F34" w:rsidRPr="000E033B">
        <w:rPr>
          <w:rFonts w:ascii="Times New Roman" w:hAnsi="Times New Roman"/>
        </w:rPr>
        <w:t>6 (</w:t>
      </w:r>
      <w:r w:rsidR="00B657D8" w:rsidRPr="000E033B">
        <w:rPr>
          <w:rFonts w:ascii="Times New Roman" w:hAnsi="Times New Roman"/>
        </w:rPr>
        <w:t>"Expropriation")</w:t>
      </w:r>
      <w:r w:rsidR="00BC3DF9" w:rsidRPr="000E033B">
        <w:rPr>
          <w:rFonts w:ascii="Times New Roman" w:hAnsi="Times New Roman"/>
        </w:rPr>
        <w:t xml:space="preserve">. </w:t>
      </w:r>
      <w:r w:rsidR="005F66B4" w:rsidRPr="000E033B">
        <w:rPr>
          <w:rFonts w:ascii="Times New Roman" w:hAnsi="Times New Roman"/>
        </w:rPr>
        <w:t xml:space="preserve">In the arbitration, </w:t>
      </w:r>
      <w:r w:rsidR="00D62BBB" w:rsidRPr="000E033B">
        <w:rPr>
          <w:rFonts w:ascii="Times New Roman" w:hAnsi="Times New Roman"/>
        </w:rPr>
        <w:t xml:space="preserve">India </w:t>
      </w:r>
      <w:r w:rsidR="00D85A11" w:rsidRPr="000E033B">
        <w:rPr>
          <w:rFonts w:ascii="Times New Roman" w:hAnsi="Times New Roman"/>
        </w:rPr>
        <w:t xml:space="preserve">also </w:t>
      </w:r>
      <w:r w:rsidR="00D62BBB" w:rsidRPr="000E033B">
        <w:rPr>
          <w:rFonts w:ascii="Times New Roman" w:hAnsi="Times New Roman"/>
        </w:rPr>
        <w:t xml:space="preserve">challenged the jurisdiction of the </w:t>
      </w:r>
      <w:r w:rsidR="00670B3B" w:rsidRPr="000E033B">
        <w:rPr>
          <w:rFonts w:ascii="Times New Roman" w:hAnsi="Times New Roman"/>
        </w:rPr>
        <w:t xml:space="preserve">arbitral </w:t>
      </w:r>
      <w:r w:rsidR="00D62BBB" w:rsidRPr="000E033B">
        <w:rPr>
          <w:rFonts w:ascii="Times New Roman" w:hAnsi="Times New Roman"/>
        </w:rPr>
        <w:t xml:space="preserve">tribunal </w:t>
      </w:r>
      <w:r w:rsidR="00670B3B" w:rsidRPr="000E033B">
        <w:rPr>
          <w:rFonts w:ascii="Times New Roman" w:hAnsi="Times New Roman"/>
        </w:rPr>
        <w:t>("</w:t>
      </w:r>
      <w:r w:rsidR="00FA374D" w:rsidRPr="000E033B">
        <w:rPr>
          <w:rFonts w:ascii="Times New Roman" w:hAnsi="Times New Roman"/>
        </w:rPr>
        <w:t xml:space="preserve">the </w:t>
      </w:r>
      <w:r w:rsidR="00670B3B" w:rsidRPr="000E033B">
        <w:rPr>
          <w:rFonts w:ascii="Times New Roman" w:hAnsi="Times New Roman"/>
        </w:rPr>
        <w:t>Tribunal")</w:t>
      </w:r>
      <w:r w:rsidR="002F64C4" w:rsidRPr="000E033B">
        <w:rPr>
          <w:rFonts w:ascii="Times New Roman" w:hAnsi="Times New Roman"/>
        </w:rPr>
        <w:t>.</w:t>
      </w:r>
    </w:p>
    <w:p w14:paraId="7828F728" w14:textId="0BCEFEC8" w:rsidR="00796B93" w:rsidRPr="000E033B" w:rsidRDefault="00621CA8" w:rsidP="000E033B">
      <w:pPr>
        <w:pStyle w:val="FixListStyle"/>
        <w:spacing w:after="260" w:line="280" w:lineRule="exact"/>
        <w:ind w:right="0"/>
        <w:jc w:val="both"/>
        <w:rPr>
          <w:rFonts w:ascii="Times New Roman" w:hAnsi="Times New Roman"/>
        </w:rPr>
      </w:pPr>
      <w:r w:rsidRPr="000E033B">
        <w:rPr>
          <w:rFonts w:ascii="Times New Roman" w:hAnsi="Times New Roman"/>
        </w:rPr>
        <w:tab/>
      </w:r>
      <w:r w:rsidR="00EA4A4D" w:rsidRPr="000E033B">
        <w:rPr>
          <w:rFonts w:ascii="Times New Roman" w:hAnsi="Times New Roman"/>
        </w:rPr>
        <w:t>On 25</w:t>
      </w:r>
      <w:r w:rsidR="002E3B55" w:rsidRPr="000E033B">
        <w:rPr>
          <w:rFonts w:ascii="Times New Roman" w:hAnsi="Times New Roman"/>
        </w:rPr>
        <w:t> </w:t>
      </w:r>
      <w:r w:rsidR="00EA4A4D" w:rsidRPr="000E033B">
        <w:rPr>
          <w:rFonts w:ascii="Times New Roman" w:hAnsi="Times New Roman"/>
        </w:rPr>
        <w:t>July 2016, t</w:t>
      </w:r>
      <w:r w:rsidR="00AF28E8" w:rsidRPr="000E033B">
        <w:rPr>
          <w:rFonts w:ascii="Times New Roman" w:hAnsi="Times New Roman"/>
        </w:rPr>
        <w:t>he Tribunal</w:t>
      </w:r>
      <w:r w:rsidR="00BF76F1" w:rsidRPr="000E033B">
        <w:rPr>
          <w:rFonts w:ascii="Times New Roman" w:hAnsi="Times New Roman"/>
        </w:rPr>
        <w:t xml:space="preserve"> </w:t>
      </w:r>
      <w:r w:rsidR="00720A52" w:rsidRPr="000E033B">
        <w:rPr>
          <w:rFonts w:ascii="Times New Roman" w:hAnsi="Times New Roman"/>
        </w:rPr>
        <w:t>delivered an "</w:t>
      </w:r>
      <w:r w:rsidR="00860C5F" w:rsidRPr="000E033B">
        <w:rPr>
          <w:rFonts w:ascii="Times New Roman" w:hAnsi="Times New Roman"/>
        </w:rPr>
        <w:t xml:space="preserve">Award on Jurisdiction and </w:t>
      </w:r>
      <w:r w:rsidR="00720A52" w:rsidRPr="000E033B">
        <w:rPr>
          <w:rFonts w:ascii="Times New Roman" w:hAnsi="Times New Roman"/>
        </w:rPr>
        <w:t>Merits"</w:t>
      </w:r>
      <w:r w:rsidR="00DB7A97" w:rsidRPr="000E033B">
        <w:rPr>
          <w:rFonts w:ascii="Times New Roman" w:hAnsi="Times New Roman"/>
        </w:rPr>
        <w:t>,</w:t>
      </w:r>
      <w:r w:rsidR="00AB4B16" w:rsidRPr="000E033B">
        <w:rPr>
          <w:rFonts w:ascii="Times New Roman" w:hAnsi="Times New Roman"/>
        </w:rPr>
        <w:t xml:space="preserve"> finding </w:t>
      </w:r>
      <w:r w:rsidR="006239A4" w:rsidRPr="000E033B">
        <w:rPr>
          <w:rFonts w:ascii="Times New Roman" w:hAnsi="Times New Roman"/>
        </w:rPr>
        <w:t xml:space="preserve">(by majority) </w:t>
      </w:r>
      <w:r w:rsidR="00AB4B16" w:rsidRPr="000E033B">
        <w:rPr>
          <w:rFonts w:ascii="Times New Roman" w:hAnsi="Times New Roman"/>
        </w:rPr>
        <w:t xml:space="preserve">that it </w:t>
      </w:r>
      <w:r w:rsidR="00E9562B" w:rsidRPr="000E033B">
        <w:rPr>
          <w:rFonts w:ascii="Times New Roman" w:hAnsi="Times New Roman"/>
        </w:rPr>
        <w:t xml:space="preserve">had jurisdiction in relation to India's decision to annul the </w:t>
      </w:r>
      <w:r w:rsidR="008A6B7B" w:rsidRPr="000E033B">
        <w:rPr>
          <w:rFonts w:ascii="Times New Roman" w:hAnsi="Times New Roman"/>
        </w:rPr>
        <w:t>Devas agreement</w:t>
      </w:r>
      <w:r w:rsidR="00E9562B" w:rsidRPr="000E033B">
        <w:rPr>
          <w:rFonts w:ascii="Times New Roman" w:hAnsi="Times New Roman"/>
        </w:rPr>
        <w:t xml:space="preserve"> other than </w:t>
      </w:r>
      <w:r w:rsidR="000C0E84" w:rsidRPr="000E033B">
        <w:rPr>
          <w:rFonts w:ascii="Times New Roman" w:hAnsi="Times New Roman"/>
        </w:rPr>
        <w:t xml:space="preserve">to the extent that </w:t>
      </w:r>
      <w:r w:rsidR="00A826F2" w:rsidRPr="000E033B">
        <w:rPr>
          <w:rFonts w:ascii="Times New Roman" w:hAnsi="Times New Roman"/>
        </w:rPr>
        <w:t>the decision was directed to protection of India's essential security interests</w:t>
      </w:r>
      <w:r w:rsidR="0065323C" w:rsidRPr="000E033B">
        <w:rPr>
          <w:rFonts w:ascii="Times New Roman" w:hAnsi="Times New Roman"/>
        </w:rPr>
        <w:t xml:space="preserve">. The Tribunal </w:t>
      </w:r>
      <w:r w:rsidR="00E20C91" w:rsidRPr="000E033B">
        <w:rPr>
          <w:rFonts w:ascii="Times New Roman" w:hAnsi="Times New Roman"/>
        </w:rPr>
        <w:t>conclud</w:t>
      </w:r>
      <w:r w:rsidR="0065323C" w:rsidRPr="000E033B">
        <w:rPr>
          <w:rFonts w:ascii="Times New Roman" w:hAnsi="Times New Roman"/>
        </w:rPr>
        <w:t>ed</w:t>
      </w:r>
      <w:r w:rsidR="00E20C91" w:rsidRPr="000E033B">
        <w:rPr>
          <w:rFonts w:ascii="Times New Roman" w:hAnsi="Times New Roman"/>
        </w:rPr>
        <w:t xml:space="preserve"> that India had breached its obligation </w:t>
      </w:r>
      <w:r w:rsidR="0066014B" w:rsidRPr="000E033B">
        <w:rPr>
          <w:rFonts w:ascii="Times New Roman" w:hAnsi="Times New Roman"/>
        </w:rPr>
        <w:t xml:space="preserve">under the provisions of the Bilateral Investment Treaty </w:t>
      </w:r>
      <w:r w:rsidR="00E20C91" w:rsidRPr="000E033B">
        <w:rPr>
          <w:rFonts w:ascii="Times New Roman" w:hAnsi="Times New Roman"/>
        </w:rPr>
        <w:t xml:space="preserve">to accord fair and equitable treatment to the </w:t>
      </w:r>
      <w:r w:rsidR="00CD53F4" w:rsidRPr="000E033B">
        <w:rPr>
          <w:rFonts w:ascii="Times New Roman" w:hAnsi="Times New Roman"/>
        </w:rPr>
        <w:t xml:space="preserve">Mauritian </w:t>
      </w:r>
      <w:r w:rsidR="00E20C91" w:rsidRPr="000E033B">
        <w:rPr>
          <w:rFonts w:ascii="Times New Roman" w:hAnsi="Times New Roman"/>
        </w:rPr>
        <w:t>investors</w:t>
      </w:r>
      <w:r w:rsidR="00AB4B16" w:rsidRPr="000E033B">
        <w:rPr>
          <w:rFonts w:ascii="Times New Roman" w:hAnsi="Times New Roman"/>
        </w:rPr>
        <w:t>.</w:t>
      </w:r>
    </w:p>
    <w:p w14:paraId="6D8F8656" w14:textId="58B28643" w:rsidR="00B51D18" w:rsidRPr="000E033B" w:rsidRDefault="009D7819" w:rsidP="000E033B">
      <w:pPr>
        <w:pStyle w:val="FixListStyle"/>
        <w:spacing w:after="260" w:line="280" w:lineRule="exact"/>
        <w:ind w:right="0"/>
        <w:jc w:val="both"/>
        <w:rPr>
          <w:rFonts w:ascii="Times New Roman" w:hAnsi="Times New Roman"/>
        </w:rPr>
      </w:pPr>
      <w:r w:rsidRPr="000E033B">
        <w:rPr>
          <w:rFonts w:ascii="Times New Roman" w:hAnsi="Times New Roman"/>
        </w:rPr>
        <w:tab/>
      </w:r>
      <w:r w:rsidR="0065323C" w:rsidRPr="000E033B">
        <w:rPr>
          <w:rFonts w:ascii="Times New Roman" w:hAnsi="Times New Roman"/>
        </w:rPr>
        <w:t xml:space="preserve">On 13 October 2020, the Tribunal </w:t>
      </w:r>
      <w:r w:rsidR="00001CF2" w:rsidRPr="000E033B">
        <w:rPr>
          <w:rFonts w:ascii="Times New Roman" w:hAnsi="Times New Roman"/>
        </w:rPr>
        <w:t>issued a</w:t>
      </w:r>
      <w:r w:rsidR="00A92EA0" w:rsidRPr="000E033B">
        <w:rPr>
          <w:rFonts w:ascii="Times New Roman" w:hAnsi="Times New Roman"/>
        </w:rPr>
        <w:t xml:space="preserve"> </w:t>
      </w:r>
      <w:r w:rsidR="00B07CA9" w:rsidRPr="000E033B">
        <w:rPr>
          <w:rFonts w:ascii="Times New Roman" w:hAnsi="Times New Roman"/>
        </w:rPr>
        <w:t xml:space="preserve">Quantum </w:t>
      </w:r>
      <w:r w:rsidR="00B21EA2" w:rsidRPr="000E033B">
        <w:rPr>
          <w:rFonts w:ascii="Times New Roman" w:hAnsi="Times New Roman"/>
        </w:rPr>
        <w:t>Awar</w:t>
      </w:r>
      <w:r w:rsidR="00B07CA9" w:rsidRPr="000E033B">
        <w:rPr>
          <w:rFonts w:ascii="Times New Roman" w:hAnsi="Times New Roman"/>
        </w:rPr>
        <w:t>d</w:t>
      </w:r>
      <w:r w:rsidR="00001CF2" w:rsidRPr="000E033B">
        <w:rPr>
          <w:rFonts w:ascii="Times New Roman" w:hAnsi="Times New Roman"/>
        </w:rPr>
        <w:t xml:space="preserve"> </w:t>
      </w:r>
      <w:r w:rsidR="00206765" w:rsidRPr="000E033B">
        <w:rPr>
          <w:rFonts w:ascii="Times New Roman" w:hAnsi="Times New Roman"/>
        </w:rPr>
        <w:t xml:space="preserve">addressing the extent of India's liability to the </w:t>
      </w:r>
      <w:r w:rsidR="004C6098" w:rsidRPr="000E033B">
        <w:rPr>
          <w:rFonts w:ascii="Times New Roman" w:hAnsi="Times New Roman"/>
        </w:rPr>
        <w:t xml:space="preserve">Mauritian </w:t>
      </w:r>
      <w:r w:rsidR="00206765" w:rsidRPr="000E033B">
        <w:rPr>
          <w:rFonts w:ascii="Times New Roman" w:hAnsi="Times New Roman"/>
        </w:rPr>
        <w:t>investors</w:t>
      </w:r>
      <w:r w:rsidR="00C002B3" w:rsidRPr="000E033B">
        <w:rPr>
          <w:rFonts w:ascii="Times New Roman" w:hAnsi="Times New Roman"/>
        </w:rPr>
        <w:t xml:space="preserve"> including</w:t>
      </w:r>
      <w:r w:rsidR="00206765" w:rsidRPr="000E033B">
        <w:rPr>
          <w:rFonts w:ascii="Times New Roman" w:hAnsi="Times New Roman"/>
        </w:rPr>
        <w:t xml:space="preserve"> </w:t>
      </w:r>
      <w:r w:rsidR="001E5DA8" w:rsidRPr="000E033B">
        <w:rPr>
          <w:rFonts w:ascii="Times New Roman" w:hAnsi="Times New Roman"/>
        </w:rPr>
        <w:t xml:space="preserve">for compensation, compound interest, </w:t>
      </w:r>
      <w:r w:rsidR="00C002B3" w:rsidRPr="000E033B">
        <w:rPr>
          <w:rFonts w:ascii="Times New Roman" w:hAnsi="Times New Roman"/>
        </w:rPr>
        <w:t>and costs.</w:t>
      </w:r>
      <w:r w:rsidR="005E0423" w:rsidRPr="000E033B">
        <w:rPr>
          <w:rFonts w:ascii="Times New Roman" w:hAnsi="Times New Roman"/>
        </w:rPr>
        <w:t xml:space="preserve"> </w:t>
      </w:r>
      <w:r w:rsidR="00130059" w:rsidRPr="000E033B">
        <w:rPr>
          <w:rFonts w:ascii="Times New Roman" w:hAnsi="Times New Roman"/>
        </w:rPr>
        <w:t xml:space="preserve">The Tribunal decided, by majority, that </w:t>
      </w:r>
      <w:r w:rsidR="00686BEF" w:rsidRPr="000E033B">
        <w:rPr>
          <w:rFonts w:ascii="Times New Roman" w:hAnsi="Times New Roman"/>
        </w:rPr>
        <w:t xml:space="preserve">each of the </w:t>
      </w:r>
      <w:r w:rsidR="00AB48DE" w:rsidRPr="000E033B">
        <w:rPr>
          <w:rFonts w:ascii="Times New Roman" w:hAnsi="Times New Roman"/>
        </w:rPr>
        <w:t xml:space="preserve">Mauritian investors </w:t>
      </w:r>
      <w:r w:rsidR="004A0810" w:rsidRPr="000E033B">
        <w:rPr>
          <w:rFonts w:ascii="Times New Roman" w:hAnsi="Times New Roman"/>
        </w:rPr>
        <w:t>was</w:t>
      </w:r>
      <w:r w:rsidR="00EF33DF" w:rsidRPr="000E033B">
        <w:rPr>
          <w:rFonts w:ascii="Times New Roman" w:hAnsi="Times New Roman"/>
        </w:rPr>
        <w:t xml:space="preserve"> entitled</w:t>
      </w:r>
      <w:r w:rsidR="006C7716" w:rsidRPr="000E033B">
        <w:rPr>
          <w:rFonts w:ascii="Times New Roman" w:hAnsi="Times New Roman"/>
        </w:rPr>
        <w:t xml:space="preserve"> to compensation </w:t>
      </w:r>
      <w:r w:rsidR="00982965" w:rsidRPr="000E033B">
        <w:rPr>
          <w:rFonts w:ascii="Times New Roman" w:hAnsi="Times New Roman"/>
        </w:rPr>
        <w:t xml:space="preserve">"in an </w:t>
      </w:r>
      <w:r w:rsidR="00457758" w:rsidRPr="000E033B">
        <w:rPr>
          <w:rFonts w:ascii="Times New Roman" w:hAnsi="Times New Roman"/>
        </w:rPr>
        <w:t>amount co</w:t>
      </w:r>
      <w:r w:rsidR="00787381" w:rsidRPr="000E033B">
        <w:rPr>
          <w:rFonts w:ascii="Times New Roman" w:hAnsi="Times New Roman"/>
        </w:rPr>
        <w:t xml:space="preserve">rresponding to 40% of USD </w:t>
      </w:r>
      <w:r w:rsidR="000F6C8B" w:rsidRPr="000E033B">
        <w:rPr>
          <w:rFonts w:ascii="Times New Roman" w:hAnsi="Times New Roman"/>
        </w:rPr>
        <w:t xml:space="preserve">740 million, multiplied by the percentage of its shareholding". </w:t>
      </w:r>
      <w:r w:rsidR="00B51D18" w:rsidRPr="000E033B">
        <w:rPr>
          <w:rFonts w:ascii="Times New Roman" w:hAnsi="Times New Roman"/>
        </w:rPr>
        <w:t xml:space="preserve">The total </w:t>
      </w:r>
      <w:r w:rsidR="008A6FB9" w:rsidRPr="000E033B">
        <w:rPr>
          <w:rFonts w:ascii="Times New Roman" w:hAnsi="Times New Roman"/>
        </w:rPr>
        <w:t>amount</w:t>
      </w:r>
      <w:r w:rsidR="00B51D18" w:rsidRPr="000E033B">
        <w:rPr>
          <w:rFonts w:ascii="Times New Roman" w:hAnsi="Times New Roman"/>
        </w:rPr>
        <w:t xml:space="preserve"> of </w:t>
      </w:r>
      <w:r w:rsidR="0033374C" w:rsidRPr="000E033B">
        <w:rPr>
          <w:rFonts w:ascii="Times New Roman" w:hAnsi="Times New Roman"/>
        </w:rPr>
        <w:t xml:space="preserve">compensation in </w:t>
      </w:r>
      <w:r w:rsidR="00B51D18" w:rsidRPr="000E033B">
        <w:rPr>
          <w:rFonts w:ascii="Times New Roman" w:hAnsi="Times New Roman"/>
        </w:rPr>
        <w:t xml:space="preserve">the </w:t>
      </w:r>
      <w:r w:rsidR="008A6FB9" w:rsidRPr="000E033B">
        <w:rPr>
          <w:rFonts w:ascii="Times New Roman" w:hAnsi="Times New Roman"/>
        </w:rPr>
        <w:t xml:space="preserve">Quantum </w:t>
      </w:r>
      <w:r w:rsidR="00B51D18" w:rsidRPr="000E033B">
        <w:rPr>
          <w:rFonts w:ascii="Times New Roman" w:hAnsi="Times New Roman"/>
        </w:rPr>
        <w:t>Award was US</w:t>
      </w:r>
      <w:r w:rsidR="00673347" w:rsidRPr="000E033B">
        <w:rPr>
          <w:rFonts w:ascii="Times New Roman" w:hAnsi="Times New Roman"/>
        </w:rPr>
        <w:t>$</w:t>
      </w:r>
      <w:r w:rsidR="00B51D18" w:rsidRPr="000E033B">
        <w:rPr>
          <w:rFonts w:ascii="Times New Roman" w:hAnsi="Times New Roman"/>
        </w:rPr>
        <w:t>111,296,000</w:t>
      </w:r>
      <w:r w:rsidR="00934F7E" w:rsidRPr="000E033B">
        <w:rPr>
          <w:rFonts w:ascii="Times New Roman" w:hAnsi="Times New Roman"/>
        </w:rPr>
        <w:t>.</w:t>
      </w:r>
    </w:p>
    <w:p w14:paraId="24FD1B3C" w14:textId="2CE193F1" w:rsidR="005E0423" w:rsidRPr="000E033B" w:rsidRDefault="00B51D18" w:rsidP="000E033B">
      <w:pPr>
        <w:pStyle w:val="FixListStyle"/>
        <w:spacing w:after="260" w:line="280" w:lineRule="exact"/>
        <w:ind w:right="0"/>
        <w:jc w:val="both"/>
        <w:rPr>
          <w:rFonts w:ascii="Times New Roman" w:hAnsi="Times New Roman"/>
        </w:rPr>
      </w:pPr>
      <w:r w:rsidRPr="000E033B">
        <w:rPr>
          <w:rFonts w:ascii="Times New Roman" w:hAnsi="Times New Roman"/>
        </w:rPr>
        <w:lastRenderedPageBreak/>
        <w:tab/>
      </w:r>
      <w:r w:rsidR="005E0423" w:rsidRPr="000E033B">
        <w:rPr>
          <w:rFonts w:ascii="Times New Roman" w:hAnsi="Times New Roman"/>
        </w:rPr>
        <w:t>After the Quantum</w:t>
      </w:r>
      <w:r w:rsidR="00531A27" w:rsidRPr="000E033B">
        <w:rPr>
          <w:rFonts w:ascii="Times New Roman" w:hAnsi="Times New Roman"/>
        </w:rPr>
        <w:t xml:space="preserve"> Award</w:t>
      </w:r>
      <w:r w:rsidR="00187F56" w:rsidRPr="000E033B">
        <w:rPr>
          <w:rFonts w:ascii="Times New Roman" w:hAnsi="Times New Roman"/>
        </w:rPr>
        <w:t xml:space="preserve"> was issued</w:t>
      </w:r>
      <w:r w:rsidR="00120075" w:rsidRPr="000E033B">
        <w:rPr>
          <w:rFonts w:ascii="Times New Roman" w:hAnsi="Times New Roman"/>
        </w:rPr>
        <w:t>, Antrix Corporation L</w:t>
      </w:r>
      <w:r w:rsidR="00FC6C71" w:rsidRPr="000E033B">
        <w:rPr>
          <w:rFonts w:ascii="Times New Roman" w:hAnsi="Times New Roman"/>
        </w:rPr>
        <w:t>imi</w:t>
      </w:r>
      <w:r w:rsidR="00120075" w:rsidRPr="000E033B">
        <w:rPr>
          <w:rFonts w:ascii="Times New Roman" w:hAnsi="Times New Roman"/>
        </w:rPr>
        <w:t>t</w:t>
      </w:r>
      <w:r w:rsidR="00FC6C71" w:rsidRPr="000E033B">
        <w:rPr>
          <w:rFonts w:ascii="Times New Roman" w:hAnsi="Times New Roman"/>
        </w:rPr>
        <w:t>e</w:t>
      </w:r>
      <w:r w:rsidR="00120075" w:rsidRPr="000E033B">
        <w:rPr>
          <w:rFonts w:ascii="Times New Roman" w:hAnsi="Times New Roman"/>
        </w:rPr>
        <w:t xml:space="preserve">d </w:t>
      </w:r>
      <w:r w:rsidR="003F74D6" w:rsidRPr="000E033B">
        <w:rPr>
          <w:rFonts w:ascii="Times New Roman" w:hAnsi="Times New Roman"/>
        </w:rPr>
        <w:t xml:space="preserve">successfully </w:t>
      </w:r>
      <w:r w:rsidR="005C5222" w:rsidRPr="000E033B">
        <w:rPr>
          <w:rFonts w:ascii="Times New Roman" w:hAnsi="Times New Roman"/>
        </w:rPr>
        <w:t xml:space="preserve">brought a </w:t>
      </w:r>
      <w:r w:rsidR="003F74D6" w:rsidRPr="000E033B">
        <w:rPr>
          <w:rFonts w:ascii="Times New Roman" w:hAnsi="Times New Roman"/>
        </w:rPr>
        <w:t>claim</w:t>
      </w:r>
      <w:r w:rsidR="00192546" w:rsidRPr="000E033B">
        <w:rPr>
          <w:rFonts w:ascii="Times New Roman" w:hAnsi="Times New Roman"/>
        </w:rPr>
        <w:t xml:space="preserve"> in the National Company Law Tribunal (exercising </w:t>
      </w:r>
      <w:r w:rsidR="00A83A31" w:rsidRPr="000E033B">
        <w:rPr>
          <w:rFonts w:ascii="Times New Roman" w:hAnsi="Times New Roman"/>
        </w:rPr>
        <w:t xml:space="preserve">the </w:t>
      </w:r>
      <w:r w:rsidR="00192546" w:rsidRPr="000E033B">
        <w:rPr>
          <w:rFonts w:ascii="Times New Roman" w:hAnsi="Times New Roman"/>
        </w:rPr>
        <w:t>jurisdiction of the High Court of India</w:t>
      </w:r>
      <w:r w:rsidR="00AE63FB" w:rsidRPr="000E033B">
        <w:rPr>
          <w:rFonts w:ascii="Times New Roman" w:hAnsi="Times New Roman"/>
        </w:rPr>
        <w:t xml:space="preserve"> in respect of Indian company law matters</w:t>
      </w:r>
      <w:r w:rsidR="00192546" w:rsidRPr="000E033B">
        <w:rPr>
          <w:rFonts w:ascii="Times New Roman" w:hAnsi="Times New Roman"/>
        </w:rPr>
        <w:t>)</w:t>
      </w:r>
      <w:r w:rsidR="00475DDC" w:rsidRPr="000E033B">
        <w:rPr>
          <w:rFonts w:ascii="Times New Roman" w:hAnsi="Times New Roman"/>
        </w:rPr>
        <w:t xml:space="preserve"> against </w:t>
      </w:r>
      <w:r w:rsidR="005959F0" w:rsidRPr="000E033B">
        <w:rPr>
          <w:rFonts w:ascii="Times New Roman" w:hAnsi="Times New Roman"/>
        </w:rPr>
        <w:t>its counterparty to the Devas agreement, Devas Multimedia Private Limited</w:t>
      </w:r>
      <w:r w:rsidR="00AE63FB" w:rsidRPr="000E033B">
        <w:rPr>
          <w:rFonts w:ascii="Times New Roman" w:hAnsi="Times New Roman"/>
        </w:rPr>
        <w:t xml:space="preserve">. </w:t>
      </w:r>
      <w:r w:rsidR="00B13EED" w:rsidRPr="000E033B">
        <w:rPr>
          <w:rFonts w:ascii="Times New Roman" w:hAnsi="Times New Roman"/>
        </w:rPr>
        <w:t xml:space="preserve">The </w:t>
      </w:r>
      <w:r w:rsidR="005C5222" w:rsidRPr="000E033B">
        <w:rPr>
          <w:rFonts w:ascii="Times New Roman" w:hAnsi="Times New Roman"/>
        </w:rPr>
        <w:t xml:space="preserve">National Company Law Tribunal </w:t>
      </w:r>
      <w:r w:rsidR="003765E5" w:rsidRPr="000E033B">
        <w:rPr>
          <w:rFonts w:ascii="Times New Roman" w:hAnsi="Times New Roman"/>
        </w:rPr>
        <w:t xml:space="preserve">held that </w:t>
      </w:r>
      <w:r w:rsidR="00486674" w:rsidRPr="000E033B">
        <w:rPr>
          <w:rFonts w:ascii="Times New Roman" w:hAnsi="Times New Roman"/>
        </w:rPr>
        <w:t xml:space="preserve">the management of </w:t>
      </w:r>
      <w:r w:rsidR="00AE63FB" w:rsidRPr="000E033B">
        <w:rPr>
          <w:rFonts w:ascii="Times New Roman" w:hAnsi="Times New Roman"/>
        </w:rPr>
        <w:t>Devas Multimedia Private Limited had engaged in fraud</w:t>
      </w:r>
      <w:r w:rsidR="003765E5" w:rsidRPr="000E033B">
        <w:rPr>
          <w:rFonts w:ascii="Times New Roman" w:hAnsi="Times New Roman"/>
        </w:rPr>
        <w:t xml:space="preserve">, </w:t>
      </w:r>
      <w:r w:rsidR="00B85A05" w:rsidRPr="000E033B">
        <w:rPr>
          <w:rFonts w:ascii="Times New Roman" w:hAnsi="Times New Roman"/>
        </w:rPr>
        <w:t xml:space="preserve">that </w:t>
      </w:r>
      <w:r w:rsidR="003765E5" w:rsidRPr="000E033B">
        <w:rPr>
          <w:rFonts w:ascii="Times New Roman" w:hAnsi="Times New Roman"/>
        </w:rPr>
        <w:t>Devas Multimedia Private Limited</w:t>
      </w:r>
      <w:r w:rsidR="00486674" w:rsidRPr="000E033B">
        <w:rPr>
          <w:rFonts w:ascii="Times New Roman" w:hAnsi="Times New Roman"/>
        </w:rPr>
        <w:t xml:space="preserve"> </w:t>
      </w:r>
      <w:r w:rsidR="006D0B7D" w:rsidRPr="000E033B">
        <w:rPr>
          <w:rFonts w:ascii="Times New Roman" w:hAnsi="Times New Roman"/>
        </w:rPr>
        <w:t xml:space="preserve">had been incorporated </w:t>
      </w:r>
      <w:r w:rsidR="00781FD9" w:rsidRPr="000E033B">
        <w:rPr>
          <w:rFonts w:ascii="Times New Roman" w:hAnsi="Times New Roman"/>
        </w:rPr>
        <w:t xml:space="preserve">to enter </w:t>
      </w:r>
      <w:r w:rsidR="00B85A05" w:rsidRPr="000E033B">
        <w:rPr>
          <w:rFonts w:ascii="Times New Roman" w:hAnsi="Times New Roman"/>
        </w:rPr>
        <w:t xml:space="preserve">the Devas </w:t>
      </w:r>
      <w:r w:rsidR="0055644C" w:rsidRPr="000E033B">
        <w:rPr>
          <w:rFonts w:ascii="Times New Roman" w:hAnsi="Times New Roman"/>
        </w:rPr>
        <w:t>a</w:t>
      </w:r>
      <w:r w:rsidR="00B85A05" w:rsidRPr="000E033B">
        <w:rPr>
          <w:rFonts w:ascii="Times New Roman" w:hAnsi="Times New Roman"/>
        </w:rPr>
        <w:t xml:space="preserve">greement </w:t>
      </w:r>
      <w:r w:rsidR="00B74D07" w:rsidRPr="000E033B">
        <w:rPr>
          <w:rFonts w:ascii="Times New Roman" w:hAnsi="Times New Roman"/>
        </w:rPr>
        <w:t>for unlawful purposes</w:t>
      </w:r>
      <w:r w:rsidR="0055644C" w:rsidRPr="000E033B">
        <w:rPr>
          <w:rFonts w:ascii="Times New Roman" w:hAnsi="Times New Roman"/>
        </w:rPr>
        <w:t>,</w:t>
      </w:r>
      <w:r w:rsidR="003765E5" w:rsidRPr="000E033B">
        <w:rPr>
          <w:rFonts w:ascii="Times New Roman" w:hAnsi="Times New Roman"/>
        </w:rPr>
        <w:t xml:space="preserve"> and</w:t>
      </w:r>
      <w:r w:rsidR="00F07F10" w:rsidRPr="000E033B">
        <w:rPr>
          <w:rFonts w:ascii="Times New Roman" w:hAnsi="Times New Roman"/>
        </w:rPr>
        <w:t xml:space="preserve"> that the Devas </w:t>
      </w:r>
      <w:r w:rsidR="0055644C" w:rsidRPr="000E033B">
        <w:rPr>
          <w:rFonts w:ascii="Times New Roman" w:hAnsi="Times New Roman"/>
        </w:rPr>
        <w:t>a</w:t>
      </w:r>
      <w:r w:rsidR="00F07F10" w:rsidRPr="000E033B">
        <w:rPr>
          <w:rFonts w:ascii="Times New Roman" w:hAnsi="Times New Roman"/>
        </w:rPr>
        <w:t>greement was void.</w:t>
      </w:r>
      <w:r w:rsidR="00E504D3" w:rsidRPr="000E033B">
        <w:rPr>
          <w:rFonts w:ascii="Times New Roman" w:hAnsi="Times New Roman"/>
        </w:rPr>
        <w:t xml:space="preserve"> That decision was upheld by the National Company Law Appellate Tribunal and an appeal to the Supreme Court of India was dismissed</w:t>
      </w:r>
      <w:r w:rsidR="00ED225D" w:rsidRPr="000E033B">
        <w:rPr>
          <w:rFonts w:ascii="Times New Roman" w:hAnsi="Times New Roman"/>
        </w:rPr>
        <w:t>.</w:t>
      </w:r>
    </w:p>
    <w:p w14:paraId="74F88C10" w14:textId="4F1698BB" w:rsidR="0079219E" w:rsidRPr="000E033B" w:rsidRDefault="005E0423" w:rsidP="000E033B">
      <w:pPr>
        <w:pStyle w:val="FixListStyle"/>
        <w:spacing w:after="260" w:line="280" w:lineRule="exact"/>
        <w:ind w:right="0"/>
        <w:jc w:val="both"/>
        <w:rPr>
          <w:rFonts w:ascii="Times New Roman" w:hAnsi="Times New Roman"/>
        </w:rPr>
      </w:pPr>
      <w:r w:rsidRPr="000E033B">
        <w:rPr>
          <w:rFonts w:ascii="Times New Roman" w:hAnsi="Times New Roman"/>
        </w:rPr>
        <w:tab/>
      </w:r>
      <w:r w:rsidR="004D3B94" w:rsidRPr="000E033B">
        <w:rPr>
          <w:rFonts w:ascii="Times New Roman" w:hAnsi="Times New Roman"/>
        </w:rPr>
        <w:t>On 21 April</w:t>
      </w:r>
      <w:r w:rsidR="00987322" w:rsidRPr="000E033B">
        <w:rPr>
          <w:rFonts w:ascii="Times New Roman" w:hAnsi="Times New Roman"/>
        </w:rPr>
        <w:t xml:space="preserve"> 2021, these proceedings </w:t>
      </w:r>
      <w:r w:rsidR="0090631A" w:rsidRPr="000E033B">
        <w:rPr>
          <w:rFonts w:ascii="Times New Roman" w:hAnsi="Times New Roman"/>
        </w:rPr>
        <w:t>were commenced</w:t>
      </w:r>
      <w:r w:rsidR="00517611" w:rsidRPr="000E033B">
        <w:rPr>
          <w:rFonts w:ascii="Times New Roman" w:hAnsi="Times New Roman"/>
        </w:rPr>
        <w:t xml:space="preserve"> by the Mauritian investors</w:t>
      </w:r>
      <w:r w:rsidR="00987322" w:rsidRPr="000E033B">
        <w:rPr>
          <w:rFonts w:ascii="Times New Roman" w:hAnsi="Times New Roman"/>
        </w:rPr>
        <w:t xml:space="preserve"> in the Federal Court</w:t>
      </w:r>
      <w:r w:rsidR="0060000F" w:rsidRPr="000E033B">
        <w:rPr>
          <w:rFonts w:ascii="Times New Roman" w:hAnsi="Times New Roman"/>
        </w:rPr>
        <w:t>.</w:t>
      </w:r>
      <w:r w:rsidR="00987322" w:rsidRPr="000E033B">
        <w:rPr>
          <w:rFonts w:ascii="Times New Roman" w:hAnsi="Times New Roman"/>
        </w:rPr>
        <w:t xml:space="preserve"> </w:t>
      </w:r>
      <w:r w:rsidR="007822AF" w:rsidRPr="000E033B">
        <w:rPr>
          <w:rFonts w:ascii="Times New Roman" w:hAnsi="Times New Roman"/>
        </w:rPr>
        <w:t>In their</w:t>
      </w:r>
      <w:r w:rsidR="0060000F" w:rsidRPr="000E033B">
        <w:rPr>
          <w:rFonts w:ascii="Times New Roman" w:hAnsi="Times New Roman"/>
        </w:rPr>
        <w:t xml:space="preserve"> amended originating </w:t>
      </w:r>
      <w:r w:rsidR="0053256C" w:rsidRPr="000E033B">
        <w:rPr>
          <w:rFonts w:ascii="Times New Roman" w:hAnsi="Times New Roman"/>
        </w:rPr>
        <w:t xml:space="preserve">application, </w:t>
      </w:r>
      <w:r w:rsidR="00734E43" w:rsidRPr="000E033B">
        <w:rPr>
          <w:rFonts w:ascii="Times New Roman" w:hAnsi="Times New Roman"/>
        </w:rPr>
        <w:t>the</w:t>
      </w:r>
      <w:r w:rsidR="007822AF" w:rsidRPr="000E033B">
        <w:rPr>
          <w:rFonts w:ascii="Times New Roman" w:hAnsi="Times New Roman"/>
        </w:rPr>
        <w:t xml:space="preserve"> Mauritian investors</w:t>
      </w:r>
      <w:r w:rsidR="00734E43" w:rsidRPr="000E033B">
        <w:rPr>
          <w:rFonts w:ascii="Times New Roman" w:hAnsi="Times New Roman"/>
        </w:rPr>
        <w:t xml:space="preserve"> sought</w:t>
      </w:r>
      <w:r w:rsidR="007822AF" w:rsidRPr="000E033B">
        <w:rPr>
          <w:rFonts w:ascii="Times New Roman" w:hAnsi="Times New Roman"/>
        </w:rPr>
        <w:t xml:space="preserve"> relief including </w:t>
      </w:r>
      <w:r w:rsidR="002435AB" w:rsidRPr="000E033B">
        <w:rPr>
          <w:rFonts w:ascii="Times New Roman" w:hAnsi="Times New Roman"/>
        </w:rPr>
        <w:t xml:space="preserve">an </w:t>
      </w:r>
      <w:r w:rsidR="00D8579A" w:rsidRPr="000E033B">
        <w:rPr>
          <w:rFonts w:ascii="Times New Roman" w:hAnsi="Times New Roman"/>
        </w:rPr>
        <w:t>order under s</w:t>
      </w:r>
      <w:r w:rsidR="000E3D7B" w:rsidRPr="000E033B">
        <w:rPr>
          <w:rFonts w:ascii="Times New Roman" w:hAnsi="Times New Roman"/>
        </w:rPr>
        <w:t> </w:t>
      </w:r>
      <w:r w:rsidR="00D8579A" w:rsidRPr="000E033B">
        <w:rPr>
          <w:rFonts w:ascii="Times New Roman" w:hAnsi="Times New Roman"/>
        </w:rPr>
        <w:t xml:space="preserve">8(3) of the </w:t>
      </w:r>
      <w:r w:rsidR="00D8579A" w:rsidRPr="000E033B">
        <w:rPr>
          <w:rFonts w:ascii="Times New Roman" w:hAnsi="Times New Roman"/>
          <w:i/>
          <w:iCs/>
        </w:rPr>
        <w:t xml:space="preserve">International Arbitration Act </w:t>
      </w:r>
      <w:r w:rsidR="00C20A94" w:rsidRPr="000E033B">
        <w:rPr>
          <w:rFonts w:ascii="Times New Roman" w:hAnsi="Times New Roman"/>
        </w:rPr>
        <w:t xml:space="preserve">that </w:t>
      </w:r>
      <w:r w:rsidR="00C85B8B" w:rsidRPr="000E033B">
        <w:rPr>
          <w:rFonts w:ascii="Times New Roman" w:hAnsi="Times New Roman"/>
        </w:rPr>
        <w:t xml:space="preserve">the </w:t>
      </w:r>
      <w:r w:rsidR="00FB232F" w:rsidRPr="000E033B">
        <w:rPr>
          <w:rFonts w:ascii="Times New Roman" w:hAnsi="Times New Roman"/>
        </w:rPr>
        <w:t xml:space="preserve">Quantum </w:t>
      </w:r>
      <w:r w:rsidR="00B07CA9" w:rsidRPr="000E033B">
        <w:rPr>
          <w:rFonts w:ascii="Times New Roman" w:hAnsi="Times New Roman"/>
        </w:rPr>
        <w:t xml:space="preserve">Award </w:t>
      </w:r>
      <w:r w:rsidR="008935B8" w:rsidRPr="000E033B">
        <w:rPr>
          <w:rFonts w:ascii="Times New Roman" w:hAnsi="Times New Roman"/>
        </w:rPr>
        <w:t xml:space="preserve">may </w:t>
      </w:r>
      <w:r w:rsidR="00FB232F" w:rsidRPr="000E033B">
        <w:rPr>
          <w:rFonts w:ascii="Times New Roman" w:hAnsi="Times New Roman"/>
        </w:rPr>
        <w:t xml:space="preserve">be enforced </w:t>
      </w:r>
      <w:r w:rsidR="00755B89" w:rsidRPr="000E033B">
        <w:rPr>
          <w:rFonts w:ascii="Times New Roman" w:hAnsi="Times New Roman"/>
        </w:rPr>
        <w:t xml:space="preserve">as if it were a judgment of the Court and orders that judgment be entered in amounts </w:t>
      </w:r>
      <w:r w:rsidR="003E5482" w:rsidRPr="000E033B">
        <w:rPr>
          <w:rFonts w:ascii="Times New Roman" w:hAnsi="Times New Roman"/>
        </w:rPr>
        <w:t>giving effect to the Quantum</w:t>
      </w:r>
      <w:r w:rsidR="00B07CA9" w:rsidRPr="000E033B">
        <w:rPr>
          <w:rFonts w:ascii="Times New Roman" w:hAnsi="Times New Roman"/>
        </w:rPr>
        <w:t xml:space="preserve"> Award</w:t>
      </w:r>
      <w:r w:rsidR="003E5482" w:rsidRPr="000E033B">
        <w:rPr>
          <w:rFonts w:ascii="Times New Roman" w:hAnsi="Times New Roman"/>
        </w:rPr>
        <w:t xml:space="preserve">. </w:t>
      </w:r>
    </w:p>
    <w:p w14:paraId="1DA2D515" w14:textId="4E9BB055" w:rsidR="002A3CF7" w:rsidRPr="000E033B" w:rsidRDefault="0079219E" w:rsidP="000E033B">
      <w:pPr>
        <w:pStyle w:val="FixListStyle"/>
        <w:spacing w:after="260" w:line="280" w:lineRule="exact"/>
        <w:ind w:right="0"/>
        <w:jc w:val="both"/>
        <w:rPr>
          <w:rFonts w:ascii="Times New Roman" w:hAnsi="Times New Roman"/>
        </w:rPr>
      </w:pPr>
      <w:r w:rsidRPr="000E033B">
        <w:rPr>
          <w:rFonts w:ascii="Times New Roman" w:hAnsi="Times New Roman"/>
        </w:rPr>
        <w:tab/>
      </w:r>
      <w:r w:rsidR="004D3B94" w:rsidRPr="000E033B">
        <w:rPr>
          <w:rFonts w:ascii="Times New Roman" w:hAnsi="Times New Roman"/>
        </w:rPr>
        <w:t>On 12</w:t>
      </w:r>
      <w:r w:rsidR="00FA7345" w:rsidRPr="000E033B">
        <w:rPr>
          <w:rFonts w:ascii="Times New Roman" w:hAnsi="Times New Roman"/>
        </w:rPr>
        <w:t> </w:t>
      </w:r>
      <w:r w:rsidR="004D3B94" w:rsidRPr="000E033B">
        <w:rPr>
          <w:rFonts w:ascii="Times New Roman" w:hAnsi="Times New Roman"/>
        </w:rPr>
        <w:t xml:space="preserve">April 2022, </w:t>
      </w:r>
      <w:r w:rsidR="004A41C8" w:rsidRPr="000E033B">
        <w:rPr>
          <w:rFonts w:ascii="Times New Roman" w:hAnsi="Times New Roman"/>
        </w:rPr>
        <w:t>India</w:t>
      </w:r>
      <w:r w:rsidR="004D3B94" w:rsidRPr="000E033B">
        <w:rPr>
          <w:rFonts w:ascii="Times New Roman" w:hAnsi="Times New Roman"/>
        </w:rPr>
        <w:t xml:space="preserve"> brought an interlocutory application </w:t>
      </w:r>
      <w:r w:rsidRPr="000E033B">
        <w:rPr>
          <w:rFonts w:ascii="Times New Roman" w:hAnsi="Times New Roman"/>
        </w:rPr>
        <w:t xml:space="preserve">seeking to set aside the enforcement application by the </w:t>
      </w:r>
      <w:r w:rsidR="00E84E1B" w:rsidRPr="000E033B">
        <w:rPr>
          <w:rFonts w:ascii="Times New Roman" w:hAnsi="Times New Roman"/>
        </w:rPr>
        <w:t>Mauritian investors</w:t>
      </w:r>
      <w:r w:rsidRPr="000E033B">
        <w:rPr>
          <w:rFonts w:ascii="Times New Roman" w:hAnsi="Times New Roman"/>
        </w:rPr>
        <w:t xml:space="preserve"> </w:t>
      </w:r>
      <w:r w:rsidR="007C0626" w:rsidRPr="000E033B">
        <w:rPr>
          <w:rFonts w:ascii="Times New Roman" w:hAnsi="Times New Roman"/>
        </w:rPr>
        <w:t>on the ground that India had immunity</w:t>
      </w:r>
      <w:r w:rsidR="003518CA" w:rsidRPr="000E033B">
        <w:rPr>
          <w:rFonts w:ascii="Times New Roman" w:hAnsi="Times New Roman"/>
        </w:rPr>
        <w:t xml:space="preserve"> from the jurisdiction of the Court</w:t>
      </w:r>
      <w:r w:rsidR="007C0626" w:rsidRPr="000E033B">
        <w:rPr>
          <w:rFonts w:ascii="Times New Roman" w:hAnsi="Times New Roman"/>
        </w:rPr>
        <w:t xml:space="preserve"> under s</w:t>
      </w:r>
      <w:r w:rsidR="00FA7345" w:rsidRPr="000E033B">
        <w:rPr>
          <w:rFonts w:ascii="Times New Roman" w:hAnsi="Times New Roman"/>
        </w:rPr>
        <w:t> </w:t>
      </w:r>
      <w:r w:rsidR="007C0626" w:rsidRPr="000E033B">
        <w:rPr>
          <w:rFonts w:ascii="Times New Roman" w:hAnsi="Times New Roman"/>
        </w:rPr>
        <w:t xml:space="preserve">9 of the </w:t>
      </w:r>
      <w:r w:rsidR="007C0626" w:rsidRPr="000E033B">
        <w:rPr>
          <w:rFonts w:ascii="Times New Roman" w:hAnsi="Times New Roman"/>
          <w:i/>
          <w:iCs/>
        </w:rPr>
        <w:t>Foreign State</w:t>
      </w:r>
      <w:r w:rsidR="004F7AAA" w:rsidRPr="000E033B">
        <w:rPr>
          <w:rFonts w:ascii="Times New Roman" w:hAnsi="Times New Roman"/>
          <w:i/>
          <w:iCs/>
        </w:rPr>
        <w:t>s Immunities Act</w:t>
      </w:r>
      <w:r w:rsidR="007F5030" w:rsidRPr="000E033B">
        <w:rPr>
          <w:rFonts w:ascii="Times New Roman" w:hAnsi="Times New Roman"/>
        </w:rPr>
        <w:t>.</w:t>
      </w:r>
      <w:r w:rsidR="005D4BD9" w:rsidRPr="000E033B">
        <w:rPr>
          <w:rFonts w:ascii="Times New Roman" w:hAnsi="Times New Roman"/>
        </w:rPr>
        <w:t xml:space="preserve"> </w:t>
      </w:r>
      <w:r w:rsidR="009562E8" w:rsidRPr="000E033B">
        <w:rPr>
          <w:rFonts w:ascii="Times New Roman" w:hAnsi="Times New Roman"/>
        </w:rPr>
        <w:t xml:space="preserve">The </w:t>
      </w:r>
      <w:r w:rsidR="00E84E1B" w:rsidRPr="000E033B">
        <w:rPr>
          <w:rFonts w:ascii="Times New Roman" w:hAnsi="Times New Roman"/>
        </w:rPr>
        <w:t>Mauritian investors</w:t>
      </w:r>
      <w:r w:rsidR="009562E8" w:rsidRPr="000E033B">
        <w:rPr>
          <w:rFonts w:ascii="Times New Roman" w:hAnsi="Times New Roman"/>
        </w:rPr>
        <w:t xml:space="preserve"> alleged that India had waived its immunity</w:t>
      </w:r>
      <w:r w:rsidR="006A6642" w:rsidRPr="000E033B">
        <w:rPr>
          <w:rFonts w:ascii="Times New Roman" w:hAnsi="Times New Roman"/>
        </w:rPr>
        <w:t xml:space="preserve"> by submi</w:t>
      </w:r>
      <w:r w:rsidR="00A95640" w:rsidRPr="000E033B">
        <w:rPr>
          <w:rFonts w:ascii="Times New Roman" w:hAnsi="Times New Roman"/>
        </w:rPr>
        <w:t>ssion</w:t>
      </w:r>
      <w:r w:rsidR="006A6642" w:rsidRPr="000E033B">
        <w:rPr>
          <w:rFonts w:ascii="Times New Roman" w:hAnsi="Times New Roman"/>
        </w:rPr>
        <w:t xml:space="preserve"> to the jurisdiction </w:t>
      </w:r>
      <w:r w:rsidR="00F535B4" w:rsidRPr="000E033B">
        <w:rPr>
          <w:rFonts w:ascii="Times New Roman" w:hAnsi="Times New Roman"/>
        </w:rPr>
        <w:t>of Australian courts in accordance with s</w:t>
      </w:r>
      <w:r w:rsidR="00FA7345" w:rsidRPr="000E033B">
        <w:rPr>
          <w:rFonts w:ascii="Times New Roman" w:hAnsi="Times New Roman"/>
        </w:rPr>
        <w:t> </w:t>
      </w:r>
      <w:r w:rsidR="00F535B4" w:rsidRPr="000E033B">
        <w:rPr>
          <w:rFonts w:ascii="Times New Roman" w:hAnsi="Times New Roman"/>
        </w:rPr>
        <w:t xml:space="preserve">10 of the </w:t>
      </w:r>
      <w:r w:rsidR="00F535B4" w:rsidRPr="000E033B">
        <w:rPr>
          <w:rFonts w:ascii="Times New Roman" w:hAnsi="Times New Roman"/>
          <w:i/>
          <w:iCs/>
        </w:rPr>
        <w:t>Foreign States Immunities Act</w:t>
      </w:r>
      <w:r w:rsidR="00967323" w:rsidRPr="000E033B">
        <w:rPr>
          <w:rFonts w:ascii="Times New Roman" w:hAnsi="Times New Roman"/>
        </w:rPr>
        <w:t xml:space="preserve">. </w:t>
      </w:r>
      <w:r w:rsidR="00693765" w:rsidRPr="000E033B">
        <w:rPr>
          <w:rFonts w:ascii="Times New Roman" w:hAnsi="Times New Roman"/>
        </w:rPr>
        <w:t xml:space="preserve">The </w:t>
      </w:r>
      <w:r w:rsidR="00B779B8" w:rsidRPr="000E033B">
        <w:rPr>
          <w:rFonts w:ascii="Times New Roman" w:hAnsi="Times New Roman"/>
        </w:rPr>
        <w:t xml:space="preserve">waiver was said to have occurred by India's </w:t>
      </w:r>
      <w:r w:rsidR="00BC235E" w:rsidRPr="000E033B">
        <w:rPr>
          <w:rFonts w:ascii="Times New Roman" w:hAnsi="Times New Roman"/>
        </w:rPr>
        <w:t>ratification of</w:t>
      </w:r>
      <w:r w:rsidR="00B779B8" w:rsidRPr="000E033B">
        <w:rPr>
          <w:rFonts w:ascii="Times New Roman" w:hAnsi="Times New Roman"/>
        </w:rPr>
        <w:t xml:space="preserve"> the New York Convention</w:t>
      </w:r>
      <w:r w:rsidR="00BC6D03" w:rsidRPr="000E033B">
        <w:rPr>
          <w:rFonts w:ascii="Times New Roman" w:hAnsi="Times New Roman"/>
        </w:rPr>
        <w:t>, "in circumstances where the [</w:t>
      </w:r>
      <w:r w:rsidR="00A145B6" w:rsidRPr="000E033B">
        <w:rPr>
          <w:rFonts w:ascii="Times New Roman" w:hAnsi="Times New Roman"/>
        </w:rPr>
        <w:t>Mauritian investors</w:t>
      </w:r>
      <w:r w:rsidR="00BC6D03" w:rsidRPr="000E033B">
        <w:rPr>
          <w:rFonts w:ascii="Times New Roman" w:hAnsi="Times New Roman"/>
        </w:rPr>
        <w:t>] tender a copy of the award together with what appears on its face to be an agreement to arbitrate the underlying dispute"</w:t>
      </w:r>
      <w:r w:rsidR="00173041" w:rsidRPr="000E033B">
        <w:rPr>
          <w:rFonts w:ascii="Times New Roman" w:hAnsi="Times New Roman"/>
        </w:rPr>
        <w:t>.</w:t>
      </w:r>
      <w:r w:rsidR="00173041" w:rsidRPr="000E033B">
        <w:rPr>
          <w:rFonts w:ascii="Times New Roman" w:hAnsi="Times New Roman"/>
          <w:b/>
          <w:bCs/>
        </w:rPr>
        <w:t xml:space="preserve"> </w:t>
      </w:r>
      <w:r w:rsidR="002562DD" w:rsidRPr="000E033B">
        <w:rPr>
          <w:rFonts w:ascii="Times New Roman" w:hAnsi="Times New Roman"/>
        </w:rPr>
        <w:t>The Mauritian investors did not rely on the arbitration agreement in the Bilateral Investment Agreement as an agreement to submit to the Court</w:t>
      </w:r>
      <w:r w:rsidR="007F54E3" w:rsidRPr="000E033B">
        <w:rPr>
          <w:rFonts w:ascii="Times New Roman" w:hAnsi="Times New Roman"/>
        </w:rPr>
        <w:t>'</w:t>
      </w:r>
      <w:r w:rsidR="002562DD" w:rsidRPr="000E033B">
        <w:rPr>
          <w:rFonts w:ascii="Times New Roman" w:hAnsi="Times New Roman"/>
        </w:rPr>
        <w:t xml:space="preserve">s jurisdiction, or as a </w:t>
      </w:r>
      <w:r w:rsidR="001D2DF7" w:rsidRPr="000E033B">
        <w:rPr>
          <w:rFonts w:ascii="Times New Roman" w:hAnsi="Times New Roman"/>
        </w:rPr>
        <w:t xml:space="preserve">separate </w:t>
      </w:r>
      <w:r w:rsidR="002562DD" w:rsidRPr="000E033B">
        <w:rPr>
          <w:rFonts w:ascii="Times New Roman" w:hAnsi="Times New Roman"/>
        </w:rPr>
        <w:t xml:space="preserve">basis for invoking the arbitration exception to immunity in s 17 of the </w:t>
      </w:r>
      <w:r w:rsidR="002562DD" w:rsidRPr="000E033B">
        <w:rPr>
          <w:rFonts w:ascii="Times New Roman" w:hAnsi="Times New Roman"/>
          <w:i/>
          <w:iCs/>
        </w:rPr>
        <w:t>Foreign States Immunities Act</w:t>
      </w:r>
      <w:r w:rsidR="002562DD" w:rsidRPr="000E033B">
        <w:rPr>
          <w:rFonts w:ascii="Times New Roman" w:hAnsi="Times New Roman"/>
        </w:rPr>
        <w:t>.</w:t>
      </w:r>
    </w:p>
    <w:p w14:paraId="2B7E69A7" w14:textId="70B9247A" w:rsidR="00985DCF" w:rsidRPr="000E033B" w:rsidRDefault="00985DCF" w:rsidP="000E033B">
      <w:pPr>
        <w:pStyle w:val="HeadingL1"/>
        <w:spacing w:after="260" w:line="280" w:lineRule="exact"/>
        <w:ind w:right="0"/>
        <w:jc w:val="both"/>
        <w:rPr>
          <w:rFonts w:ascii="Times New Roman" w:hAnsi="Times New Roman"/>
        </w:rPr>
      </w:pPr>
      <w:r w:rsidRPr="000E033B">
        <w:rPr>
          <w:rFonts w:ascii="Times New Roman" w:hAnsi="Times New Roman"/>
        </w:rPr>
        <w:t>The New York Convention</w:t>
      </w:r>
      <w:r w:rsidR="004A1372" w:rsidRPr="000E033B">
        <w:rPr>
          <w:rFonts w:ascii="Times New Roman" w:hAnsi="Times New Roman"/>
        </w:rPr>
        <w:t xml:space="preserve"> and </w:t>
      </w:r>
      <w:r w:rsidR="00333EB4" w:rsidRPr="000E033B">
        <w:rPr>
          <w:rFonts w:ascii="Times New Roman" w:hAnsi="Times New Roman"/>
        </w:rPr>
        <w:t>India's reservation to it</w:t>
      </w:r>
    </w:p>
    <w:p w14:paraId="3EA4B69B" w14:textId="45C87EED" w:rsidR="002D4649" w:rsidRPr="000E033B" w:rsidRDefault="002D4649" w:rsidP="000E033B">
      <w:pPr>
        <w:pStyle w:val="FixListStyle"/>
        <w:spacing w:after="260" w:line="280" w:lineRule="exact"/>
        <w:ind w:right="0"/>
        <w:jc w:val="both"/>
        <w:rPr>
          <w:rFonts w:ascii="Times New Roman" w:hAnsi="Times New Roman"/>
        </w:rPr>
      </w:pPr>
      <w:r w:rsidRPr="000E033B">
        <w:rPr>
          <w:rFonts w:ascii="Times New Roman" w:hAnsi="Times New Roman"/>
        </w:rPr>
        <w:tab/>
        <w:t xml:space="preserve">The New York Convention has 172 State parties; 22 States have not signed the New York Convention to date. </w:t>
      </w:r>
      <w:r w:rsidRPr="000E033B" w:rsidDel="00D603CA">
        <w:rPr>
          <w:rFonts w:ascii="Times New Roman" w:hAnsi="Times New Roman"/>
        </w:rPr>
        <w:t xml:space="preserve">Each of Mauritius </w:t>
      </w:r>
      <w:r w:rsidR="001F2DE6" w:rsidRPr="000E033B">
        <w:rPr>
          <w:rFonts w:ascii="Times New Roman" w:hAnsi="Times New Roman"/>
        </w:rPr>
        <w:t>(</w:t>
      </w:r>
      <w:r w:rsidR="008E1796" w:rsidRPr="000E033B">
        <w:rPr>
          <w:rFonts w:ascii="Times New Roman" w:hAnsi="Times New Roman"/>
        </w:rPr>
        <w:t>which w</w:t>
      </w:r>
      <w:r w:rsidR="001F2DE6" w:rsidRPr="000E033B">
        <w:rPr>
          <w:rFonts w:ascii="Times New Roman" w:hAnsi="Times New Roman"/>
        </w:rPr>
        <w:t xml:space="preserve">as the nationality of the investor parties to the arbitration) </w:t>
      </w:r>
      <w:r w:rsidRPr="000E033B" w:rsidDel="00D603CA">
        <w:rPr>
          <w:rFonts w:ascii="Times New Roman" w:hAnsi="Times New Roman"/>
        </w:rPr>
        <w:t xml:space="preserve">and India (as </w:t>
      </w:r>
      <w:r w:rsidR="001F2DE6" w:rsidRPr="000E033B">
        <w:rPr>
          <w:rFonts w:ascii="Times New Roman" w:hAnsi="Times New Roman"/>
        </w:rPr>
        <w:t xml:space="preserve">a </w:t>
      </w:r>
      <w:r w:rsidRPr="000E033B" w:rsidDel="00D603CA">
        <w:rPr>
          <w:rFonts w:ascii="Times New Roman" w:hAnsi="Times New Roman"/>
        </w:rPr>
        <w:t>part</w:t>
      </w:r>
      <w:r w:rsidR="001F2DE6" w:rsidRPr="000E033B">
        <w:rPr>
          <w:rFonts w:ascii="Times New Roman" w:hAnsi="Times New Roman"/>
        </w:rPr>
        <w:t>y</w:t>
      </w:r>
      <w:r w:rsidRPr="000E033B" w:rsidDel="00D603CA">
        <w:rPr>
          <w:rFonts w:ascii="Times New Roman" w:hAnsi="Times New Roman"/>
        </w:rPr>
        <w:t xml:space="preserve"> to the arbitration), the Netherlands (as the seat of the arbitration and location in which the Quantum Award was made), and Australia (as the venue in which enforcement is sought) is a party to the New York Convention.</w:t>
      </w:r>
    </w:p>
    <w:p w14:paraId="7D29E6CC" w14:textId="4C32A576" w:rsidR="0005419A" w:rsidRPr="000E033B" w:rsidRDefault="002D4649" w:rsidP="000E033B">
      <w:pPr>
        <w:pStyle w:val="FixListStyle"/>
        <w:spacing w:after="260" w:line="280" w:lineRule="exact"/>
        <w:ind w:right="0"/>
        <w:jc w:val="both"/>
        <w:rPr>
          <w:rFonts w:ascii="Times New Roman" w:hAnsi="Times New Roman"/>
        </w:rPr>
      </w:pPr>
      <w:r w:rsidRPr="000E033B">
        <w:rPr>
          <w:rFonts w:ascii="Times New Roman" w:hAnsi="Times New Roman"/>
        </w:rPr>
        <w:lastRenderedPageBreak/>
        <w:tab/>
      </w:r>
      <w:r w:rsidR="0087440B" w:rsidRPr="000E033B">
        <w:rPr>
          <w:rFonts w:ascii="Times New Roman" w:hAnsi="Times New Roman"/>
        </w:rPr>
        <w:t xml:space="preserve">The </w:t>
      </w:r>
      <w:r w:rsidR="000063FA" w:rsidRPr="000E033B">
        <w:rPr>
          <w:rFonts w:ascii="Times New Roman" w:hAnsi="Times New Roman"/>
        </w:rPr>
        <w:t xml:space="preserve">New York </w:t>
      </w:r>
      <w:r w:rsidR="0087440B" w:rsidRPr="000E033B">
        <w:rPr>
          <w:rFonts w:ascii="Times New Roman" w:hAnsi="Times New Roman"/>
        </w:rPr>
        <w:t>Convention</w:t>
      </w:r>
      <w:r w:rsidR="002A3CF7" w:rsidRPr="000E033B">
        <w:rPr>
          <w:rFonts w:ascii="Times New Roman" w:hAnsi="Times New Roman"/>
        </w:rPr>
        <w:t xml:space="preserve"> is s</w:t>
      </w:r>
      <w:r w:rsidR="00C51294" w:rsidRPr="000E033B">
        <w:rPr>
          <w:rFonts w:ascii="Times New Roman" w:hAnsi="Times New Roman"/>
        </w:rPr>
        <w:t>et out in Sch</w:t>
      </w:r>
      <w:r w:rsidR="005351FA" w:rsidRPr="000E033B">
        <w:rPr>
          <w:rFonts w:ascii="Times New Roman" w:hAnsi="Times New Roman"/>
        </w:rPr>
        <w:t> </w:t>
      </w:r>
      <w:r w:rsidR="00C51294" w:rsidRPr="000E033B">
        <w:rPr>
          <w:rFonts w:ascii="Times New Roman" w:hAnsi="Times New Roman"/>
        </w:rPr>
        <w:t xml:space="preserve">1 to the </w:t>
      </w:r>
      <w:r w:rsidR="006C6004" w:rsidRPr="000E033B">
        <w:rPr>
          <w:rFonts w:ascii="Times New Roman" w:hAnsi="Times New Roman"/>
          <w:i/>
          <w:iCs/>
        </w:rPr>
        <w:t>International Arbitration Act</w:t>
      </w:r>
      <w:r w:rsidR="00FC388C" w:rsidRPr="000E033B">
        <w:rPr>
          <w:rFonts w:ascii="Times New Roman" w:hAnsi="Times New Roman"/>
        </w:rPr>
        <w:t>,</w:t>
      </w:r>
      <w:r w:rsidR="002A3CF7" w:rsidRPr="000E033B">
        <w:rPr>
          <w:rFonts w:ascii="Times New Roman" w:hAnsi="Times New Roman"/>
        </w:rPr>
        <w:t xml:space="preserve"> and</w:t>
      </w:r>
      <w:r w:rsidR="006D008A" w:rsidRPr="000E033B">
        <w:rPr>
          <w:rFonts w:ascii="Times New Roman" w:hAnsi="Times New Roman"/>
        </w:rPr>
        <w:t xml:space="preserve"> </w:t>
      </w:r>
      <w:r w:rsidR="003D7FF8" w:rsidRPr="000E033B">
        <w:rPr>
          <w:rFonts w:ascii="Times New Roman" w:hAnsi="Times New Roman"/>
        </w:rPr>
        <w:t>provides as follows in</w:t>
      </w:r>
      <w:r w:rsidR="006D008A" w:rsidRPr="000E033B">
        <w:rPr>
          <w:rFonts w:ascii="Times New Roman" w:hAnsi="Times New Roman"/>
        </w:rPr>
        <w:t xml:space="preserve"> </w:t>
      </w:r>
      <w:r w:rsidR="00E34421" w:rsidRPr="000E033B">
        <w:rPr>
          <w:rFonts w:ascii="Times New Roman" w:hAnsi="Times New Roman"/>
        </w:rPr>
        <w:t>Art</w:t>
      </w:r>
      <w:r w:rsidR="00313F94" w:rsidRPr="000E033B">
        <w:rPr>
          <w:rFonts w:ascii="Times New Roman" w:hAnsi="Times New Roman"/>
        </w:rPr>
        <w:t>s I-</w:t>
      </w:r>
      <w:r w:rsidR="00B01F0C" w:rsidRPr="000E033B">
        <w:rPr>
          <w:rFonts w:ascii="Times New Roman" w:hAnsi="Times New Roman"/>
        </w:rPr>
        <w:t>III</w:t>
      </w:r>
      <w:r w:rsidR="000C081C" w:rsidRPr="000E033B">
        <w:rPr>
          <w:rFonts w:ascii="Times New Roman" w:hAnsi="Times New Roman"/>
        </w:rPr>
        <w:t>:</w:t>
      </w:r>
      <w:r w:rsidR="002C442D" w:rsidRPr="000E033B">
        <w:rPr>
          <w:rFonts w:ascii="Times New Roman" w:hAnsi="Times New Roman"/>
        </w:rPr>
        <w:t xml:space="preserve"> </w:t>
      </w:r>
    </w:p>
    <w:p w14:paraId="52B6A248" w14:textId="0B8AFC34" w:rsidR="0005419A" w:rsidRPr="000E033B" w:rsidRDefault="009370F8" w:rsidP="00F41B89">
      <w:pPr>
        <w:pStyle w:val="LeftrightafterHC"/>
        <w:spacing w:before="0" w:after="260" w:line="280" w:lineRule="exact"/>
        <w:ind w:right="0"/>
        <w:jc w:val="center"/>
        <w:rPr>
          <w:rFonts w:ascii="Times New Roman" w:hAnsi="Times New Roman"/>
        </w:rPr>
      </w:pPr>
      <w:r w:rsidRPr="000E033B">
        <w:rPr>
          <w:rFonts w:ascii="Times New Roman" w:hAnsi="Times New Roman"/>
        </w:rPr>
        <w:t>"</w:t>
      </w:r>
      <w:r w:rsidR="0005419A" w:rsidRPr="000E033B">
        <w:rPr>
          <w:rFonts w:ascii="Times New Roman" w:hAnsi="Times New Roman"/>
        </w:rPr>
        <w:t>ARTICLE I</w:t>
      </w:r>
    </w:p>
    <w:p w14:paraId="437C8B55" w14:textId="5D4F4A45" w:rsidR="0005419A" w:rsidRPr="000E033B" w:rsidRDefault="0005419A" w:rsidP="000E033B">
      <w:pPr>
        <w:pStyle w:val="LeftrightafterHC"/>
        <w:spacing w:before="0" w:after="260" w:line="280" w:lineRule="exact"/>
        <w:ind w:right="0"/>
        <w:jc w:val="both"/>
        <w:rPr>
          <w:rFonts w:ascii="Times New Roman" w:hAnsi="Times New Roman"/>
        </w:rPr>
      </w:pPr>
      <w:r w:rsidRPr="000E033B">
        <w:rPr>
          <w:rFonts w:ascii="Times New Roman" w:hAnsi="Times New Roman"/>
        </w:rPr>
        <w:t>1. This Convention shall apply to the recognition and</w:t>
      </w:r>
      <w:r w:rsidR="00D33B3C" w:rsidRPr="000E033B">
        <w:rPr>
          <w:rFonts w:ascii="Times New Roman" w:hAnsi="Times New Roman"/>
        </w:rPr>
        <w:t xml:space="preserve"> </w:t>
      </w:r>
      <w:r w:rsidRPr="000E033B">
        <w:rPr>
          <w:rFonts w:ascii="Times New Roman" w:hAnsi="Times New Roman"/>
        </w:rPr>
        <w:t>enforcement of arbitral awards made in the territory of a State other than the State where the recognition and enforcement of such awards are sought, and arising out of differences</w:t>
      </w:r>
      <w:r w:rsidR="00D33B3C" w:rsidRPr="000E033B">
        <w:rPr>
          <w:rFonts w:ascii="Times New Roman" w:hAnsi="Times New Roman"/>
        </w:rPr>
        <w:t xml:space="preserve"> </w:t>
      </w:r>
      <w:r w:rsidRPr="000E033B">
        <w:rPr>
          <w:rFonts w:ascii="Times New Roman" w:hAnsi="Times New Roman"/>
        </w:rPr>
        <w:t>between persons, whether physical or legal. It shall also apply</w:t>
      </w:r>
      <w:r w:rsidR="00D33B3C" w:rsidRPr="000E033B">
        <w:rPr>
          <w:rFonts w:ascii="Times New Roman" w:hAnsi="Times New Roman"/>
        </w:rPr>
        <w:t xml:space="preserve"> </w:t>
      </w:r>
      <w:r w:rsidRPr="000E033B">
        <w:rPr>
          <w:rFonts w:ascii="Times New Roman" w:hAnsi="Times New Roman"/>
        </w:rPr>
        <w:t>to arbitral awards not considered as domestic awards in the</w:t>
      </w:r>
      <w:r w:rsidR="00D33B3C" w:rsidRPr="000E033B">
        <w:rPr>
          <w:rFonts w:ascii="Times New Roman" w:hAnsi="Times New Roman"/>
        </w:rPr>
        <w:t xml:space="preserve"> </w:t>
      </w:r>
      <w:r w:rsidRPr="000E033B">
        <w:rPr>
          <w:rFonts w:ascii="Times New Roman" w:hAnsi="Times New Roman"/>
        </w:rPr>
        <w:t xml:space="preserve">State where their recognition and enforcement are sought. </w:t>
      </w:r>
    </w:p>
    <w:p w14:paraId="1BFA1A4B" w14:textId="5E391EEC" w:rsidR="0005419A" w:rsidRPr="000E033B" w:rsidRDefault="0005419A" w:rsidP="000E033B">
      <w:pPr>
        <w:pStyle w:val="LeftrightafterHC"/>
        <w:spacing w:before="0" w:after="260" w:line="280" w:lineRule="exact"/>
        <w:ind w:right="0"/>
        <w:jc w:val="both"/>
        <w:rPr>
          <w:rFonts w:ascii="Times New Roman" w:hAnsi="Times New Roman"/>
        </w:rPr>
      </w:pPr>
      <w:r w:rsidRPr="000E033B">
        <w:rPr>
          <w:rFonts w:ascii="Times New Roman" w:hAnsi="Times New Roman"/>
        </w:rPr>
        <w:t xml:space="preserve">2. The term </w:t>
      </w:r>
      <w:r w:rsidR="00A770E6" w:rsidRPr="000E033B">
        <w:rPr>
          <w:rFonts w:ascii="Times New Roman" w:hAnsi="Times New Roman"/>
        </w:rPr>
        <w:t>'</w:t>
      </w:r>
      <w:r w:rsidRPr="000E033B">
        <w:rPr>
          <w:rFonts w:ascii="Times New Roman" w:hAnsi="Times New Roman"/>
        </w:rPr>
        <w:t>arbitral awards</w:t>
      </w:r>
      <w:r w:rsidR="00A770E6" w:rsidRPr="000E033B">
        <w:rPr>
          <w:rFonts w:ascii="Times New Roman" w:hAnsi="Times New Roman"/>
        </w:rPr>
        <w:t>'</w:t>
      </w:r>
      <w:r w:rsidRPr="000E033B">
        <w:rPr>
          <w:rFonts w:ascii="Times New Roman" w:hAnsi="Times New Roman"/>
        </w:rPr>
        <w:t xml:space="preserve"> shall include not only awards made by arbitrators appointed for each case but also those made by permanent arbitral bodies to which the parties have submitted. </w:t>
      </w:r>
    </w:p>
    <w:p w14:paraId="5DE7E6E5" w14:textId="77777777" w:rsidR="000E033B" w:rsidRDefault="0005419A" w:rsidP="000E033B">
      <w:pPr>
        <w:pStyle w:val="LeftrightafterHC"/>
        <w:spacing w:before="0" w:after="260" w:line="280" w:lineRule="exact"/>
        <w:ind w:right="0"/>
        <w:jc w:val="both"/>
        <w:rPr>
          <w:rFonts w:ascii="Times New Roman" w:hAnsi="Times New Roman"/>
        </w:rPr>
      </w:pPr>
      <w:r w:rsidRPr="000E033B">
        <w:rPr>
          <w:rFonts w:ascii="Times New Roman" w:hAnsi="Times New Roman"/>
        </w:rPr>
        <w:t xml:space="preserve">3. When signing, ratifying or acceding to this Convention, or notifying extensions under article X hereof, any State may </w:t>
      </w:r>
      <w:proofErr w:type="gramStart"/>
      <w:r w:rsidRPr="000E033B">
        <w:rPr>
          <w:rFonts w:ascii="Times New Roman" w:hAnsi="Times New Roman"/>
        </w:rPr>
        <w:t>on the basis of</w:t>
      </w:r>
      <w:proofErr w:type="gramEnd"/>
      <w:r w:rsidRPr="000E033B">
        <w:rPr>
          <w:rFonts w:ascii="Times New Roman" w:hAnsi="Times New Roman"/>
        </w:rPr>
        <w:t xml:space="preserve"> reciprocity declare that it will apply the Convention to the recognition and enforcement of awards made only in the territory of another Contracting State. It may also declare that it will apply the Convention only to differences arising out of legal relationships, whether contractual or not, which are considered as commercial under the national law of the State making such declaration.</w:t>
      </w:r>
    </w:p>
    <w:p w14:paraId="754B23FD" w14:textId="2E0055CA" w:rsidR="00F25F3D" w:rsidRPr="000E033B" w:rsidRDefault="00F25F3D" w:rsidP="00F41B89">
      <w:pPr>
        <w:pStyle w:val="LeftrightafterHC"/>
        <w:spacing w:before="0" w:after="260" w:line="280" w:lineRule="exact"/>
        <w:ind w:right="0"/>
        <w:jc w:val="center"/>
        <w:rPr>
          <w:rFonts w:ascii="Times New Roman" w:hAnsi="Times New Roman"/>
        </w:rPr>
      </w:pPr>
      <w:r w:rsidRPr="000E033B">
        <w:rPr>
          <w:rFonts w:ascii="Times New Roman" w:hAnsi="Times New Roman"/>
        </w:rPr>
        <w:t>ARTICLE II</w:t>
      </w:r>
    </w:p>
    <w:p w14:paraId="5EB086E3" w14:textId="06088355" w:rsidR="00F25F3D" w:rsidRPr="000E033B" w:rsidRDefault="00F25F3D" w:rsidP="000E033B">
      <w:pPr>
        <w:pStyle w:val="LeftrightafterHC"/>
        <w:spacing w:before="0" w:after="260" w:line="280" w:lineRule="exact"/>
        <w:ind w:right="0"/>
        <w:jc w:val="both"/>
        <w:rPr>
          <w:rFonts w:ascii="Times New Roman" w:hAnsi="Times New Roman"/>
        </w:rPr>
      </w:pPr>
      <w:r w:rsidRPr="000E033B">
        <w:rPr>
          <w:rFonts w:ascii="Times New Roman" w:hAnsi="Times New Roman"/>
        </w:rPr>
        <w:t xml:space="preserve">1. Each Contracting State shall recognize an agreement in writing under which the parties undertake to submit to arbitration all or any differences which have arisen or which may arise between them in respect of a defined legal relationship, whether contractual or not, concerning a subject matter capable of settlement by arbitration. </w:t>
      </w:r>
    </w:p>
    <w:p w14:paraId="0877F79B" w14:textId="4CD86377" w:rsidR="00F307AB" w:rsidRPr="000E033B" w:rsidRDefault="00F25F3D" w:rsidP="000E033B">
      <w:pPr>
        <w:pStyle w:val="LeftrightafterHC"/>
        <w:spacing w:before="0" w:after="260" w:line="280" w:lineRule="exact"/>
        <w:ind w:right="0"/>
        <w:jc w:val="both"/>
        <w:rPr>
          <w:rFonts w:ascii="Times New Roman" w:hAnsi="Times New Roman"/>
        </w:rPr>
      </w:pPr>
      <w:r w:rsidRPr="000E033B">
        <w:rPr>
          <w:rFonts w:ascii="Times New Roman" w:hAnsi="Times New Roman"/>
        </w:rPr>
        <w:t xml:space="preserve">2. The term </w:t>
      </w:r>
      <w:r w:rsidR="00A770E6" w:rsidRPr="000E033B">
        <w:rPr>
          <w:rFonts w:ascii="Times New Roman" w:hAnsi="Times New Roman"/>
        </w:rPr>
        <w:t>'</w:t>
      </w:r>
      <w:r w:rsidRPr="000E033B">
        <w:rPr>
          <w:rFonts w:ascii="Times New Roman" w:hAnsi="Times New Roman"/>
        </w:rPr>
        <w:t>agreement in writing</w:t>
      </w:r>
      <w:r w:rsidR="00A770E6" w:rsidRPr="000E033B">
        <w:rPr>
          <w:rFonts w:ascii="Times New Roman" w:hAnsi="Times New Roman"/>
        </w:rPr>
        <w:t>'</w:t>
      </w:r>
      <w:r w:rsidRPr="000E033B">
        <w:rPr>
          <w:rFonts w:ascii="Times New Roman" w:hAnsi="Times New Roman"/>
        </w:rPr>
        <w:t xml:space="preserve"> shall include an arbitral clause in a contract or an arbitration agreement, signed by the parties or contained in an exchange of letters or telegrams. </w:t>
      </w:r>
    </w:p>
    <w:p w14:paraId="5FE38979" w14:textId="77777777" w:rsidR="000E033B" w:rsidRDefault="00F25F3D" w:rsidP="000E033B">
      <w:pPr>
        <w:pStyle w:val="LeftrightafterHC"/>
        <w:spacing w:before="0" w:after="260" w:line="280" w:lineRule="exact"/>
        <w:ind w:right="0"/>
        <w:jc w:val="both"/>
        <w:rPr>
          <w:rFonts w:ascii="Times New Roman" w:hAnsi="Times New Roman"/>
        </w:rPr>
      </w:pPr>
      <w:r w:rsidRPr="000E033B">
        <w:rPr>
          <w:rFonts w:ascii="Times New Roman" w:hAnsi="Times New Roman"/>
        </w:rPr>
        <w:t>3. The court of a Contracting State, when seized of an action in a matter in respect of which the parties have made an agreement within the meaning of this article, shall, at the request of one of the parties, refer the parties to arbitration, unless it finds that the said agreement is null and void, inoperative or incapable of being performed.</w:t>
      </w:r>
    </w:p>
    <w:p w14:paraId="0B2DE6F1" w14:textId="3607AF79" w:rsidR="001D1565" w:rsidRPr="000E033B" w:rsidRDefault="00F25F3D" w:rsidP="00F41B89">
      <w:pPr>
        <w:pStyle w:val="LeftrightafterHC"/>
        <w:spacing w:before="0" w:after="260" w:line="280" w:lineRule="exact"/>
        <w:ind w:right="0"/>
        <w:jc w:val="center"/>
        <w:rPr>
          <w:rFonts w:ascii="Times New Roman" w:hAnsi="Times New Roman"/>
        </w:rPr>
      </w:pPr>
      <w:r w:rsidRPr="000E033B">
        <w:rPr>
          <w:rFonts w:ascii="Times New Roman" w:hAnsi="Times New Roman"/>
        </w:rPr>
        <w:lastRenderedPageBreak/>
        <w:t>ARTICLE III</w:t>
      </w:r>
    </w:p>
    <w:p w14:paraId="0A4C6F35" w14:textId="77777777" w:rsidR="000E033B" w:rsidRDefault="00F25F3D" w:rsidP="000E033B">
      <w:pPr>
        <w:pStyle w:val="LeftrightafterHC"/>
        <w:spacing w:before="0" w:after="260" w:line="280" w:lineRule="exact"/>
        <w:ind w:right="0"/>
        <w:jc w:val="both"/>
        <w:rPr>
          <w:rFonts w:ascii="Times New Roman" w:hAnsi="Times New Roman"/>
        </w:rPr>
      </w:pPr>
      <w:r w:rsidRPr="000E033B">
        <w:rPr>
          <w:rFonts w:ascii="Times New Roman" w:hAnsi="Times New Roman"/>
        </w:rPr>
        <w:t>Each Contracting State shall recognize arbitral awards as binding and enforce them in accordance with the rules of procedure of the territory where the award is relied upon, under the conditions laid down in the following articles. There shall not be imposed substantially more onerous conditions or higher fees or charges on the recognition or enforcement of arbitral awards to which this Convention applies than are imposed on the recognition or enforcement of domestic arbitral awards</w:t>
      </w:r>
      <w:r w:rsidR="00653542" w:rsidRPr="000E033B">
        <w:rPr>
          <w:rFonts w:ascii="Times New Roman" w:hAnsi="Times New Roman"/>
        </w:rPr>
        <w:t>.</w:t>
      </w:r>
      <w:r w:rsidR="00DF38C1" w:rsidRPr="000E033B">
        <w:rPr>
          <w:rFonts w:ascii="Times New Roman" w:hAnsi="Times New Roman"/>
        </w:rPr>
        <w:t>"</w:t>
      </w:r>
      <w:r w:rsidR="004B038A" w:rsidRPr="000E033B">
        <w:rPr>
          <w:rFonts w:ascii="Times New Roman" w:hAnsi="Times New Roman"/>
        </w:rPr>
        <w:t xml:space="preserve"> </w:t>
      </w:r>
    </w:p>
    <w:p w14:paraId="47595874" w14:textId="06306983" w:rsidR="000871A4" w:rsidRPr="000E033B" w:rsidRDefault="00297004" w:rsidP="000E033B">
      <w:pPr>
        <w:pStyle w:val="FixListStyle"/>
        <w:spacing w:after="260" w:line="280" w:lineRule="exact"/>
        <w:ind w:right="0"/>
        <w:jc w:val="both"/>
        <w:rPr>
          <w:rFonts w:ascii="Times New Roman" w:hAnsi="Times New Roman"/>
        </w:rPr>
      </w:pPr>
      <w:r w:rsidRPr="000E033B">
        <w:rPr>
          <w:rFonts w:ascii="Times New Roman" w:hAnsi="Times New Roman"/>
        </w:rPr>
        <w:tab/>
      </w:r>
      <w:r w:rsidR="00653542" w:rsidRPr="000E033B">
        <w:rPr>
          <w:rFonts w:ascii="Times New Roman" w:hAnsi="Times New Roman"/>
        </w:rPr>
        <w:t xml:space="preserve">The </w:t>
      </w:r>
      <w:r w:rsidR="00DE4675" w:rsidRPr="000E033B">
        <w:rPr>
          <w:rFonts w:ascii="Times New Roman" w:hAnsi="Times New Roman"/>
        </w:rPr>
        <w:t>mechanics of the recognition process to which reference is made in Art</w:t>
      </w:r>
      <w:r w:rsidR="0047381B" w:rsidRPr="000E033B">
        <w:rPr>
          <w:rFonts w:ascii="Times New Roman" w:hAnsi="Times New Roman"/>
        </w:rPr>
        <w:t> </w:t>
      </w:r>
      <w:r w:rsidR="00DE4675" w:rsidRPr="000E033B">
        <w:rPr>
          <w:rFonts w:ascii="Times New Roman" w:hAnsi="Times New Roman"/>
        </w:rPr>
        <w:t xml:space="preserve">III </w:t>
      </w:r>
      <w:r w:rsidR="00643C15" w:rsidRPr="000E033B">
        <w:rPr>
          <w:rFonts w:ascii="Times New Roman" w:hAnsi="Times New Roman"/>
        </w:rPr>
        <w:t>are provided by Arts</w:t>
      </w:r>
      <w:r w:rsidR="0047381B" w:rsidRPr="000E033B">
        <w:rPr>
          <w:rFonts w:ascii="Times New Roman" w:hAnsi="Times New Roman"/>
        </w:rPr>
        <w:t> </w:t>
      </w:r>
      <w:r w:rsidR="00653542" w:rsidRPr="000E033B">
        <w:rPr>
          <w:rFonts w:ascii="Times New Roman" w:hAnsi="Times New Roman"/>
        </w:rPr>
        <w:t>IV and V</w:t>
      </w:r>
      <w:r w:rsidR="000871A4" w:rsidRPr="000E033B">
        <w:rPr>
          <w:rFonts w:ascii="Times New Roman" w:hAnsi="Times New Roman"/>
        </w:rPr>
        <w:t>. Art</w:t>
      </w:r>
      <w:r w:rsidR="00DD5FD0" w:rsidRPr="000E033B">
        <w:rPr>
          <w:rFonts w:ascii="Times New Roman" w:hAnsi="Times New Roman"/>
        </w:rPr>
        <w:t>icle</w:t>
      </w:r>
      <w:r w:rsidR="0047381B" w:rsidRPr="000E033B">
        <w:rPr>
          <w:rFonts w:ascii="Times New Roman" w:hAnsi="Times New Roman"/>
        </w:rPr>
        <w:t> </w:t>
      </w:r>
      <w:r w:rsidR="000871A4" w:rsidRPr="000E033B">
        <w:rPr>
          <w:rFonts w:ascii="Times New Roman" w:hAnsi="Times New Roman"/>
        </w:rPr>
        <w:t xml:space="preserve">IV, </w:t>
      </w:r>
      <w:r w:rsidR="000E1CAF" w:rsidRPr="000E033B">
        <w:rPr>
          <w:rFonts w:ascii="Times New Roman" w:hAnsi="Times New Roman"/>
        </w:rPr>
        <w:t xml:space="preserve">to </w:t>
      </w:r>
      <w:r w:rsidR="000871A4" w:rsidRPr="000E033B">
        <w:rPr>
          <w:rFonts w:ascii="Times New Roman" w:hAnsi="Times New Roman"/>
        </w:rPr>
        <w:t xml:space="preserve">which </w:t>
      </w:r>
      <w:r w:rsidR="002D5427" w:rsidRPr="000E033B">
        <w:rPr>
          <w:rFonts w:ascii="Times New Roman" w:hAnsi="Times New Roman"/>
        </w:rPr>
        <w:t xml:space="preserve">s 9 of the </w:t>
      </w:r>
      <w:r w:rsidR="002D5427" w:rsidRPr="000E033B">
        <w:rPr>
          <w:rFonts w:ascii="Times New Roman" w:hAnsi="Times New Roman"/>
          <w:i/>
          <w:iCs/>
        </w:rPr>
        <w:t>International Arbitration Act</w:t>
      </w:r>
      <w:r w:rsidR="002D5427" w:rsidRPr="000E033B">
        <w:rPr>
          <w:rFonts w:ascii="Times New Roman" w:hAnsi="Times New Roman"/>
        </w:rPr>
        <w:t xml:space="preserve"> gives effect</w:t>
      </w:r>
      <w:r w:rsidR="000871A4" w:rsidRPr="000E033B">
        <w:rPr>
          <w:rFonts w:ascii="Times New Roman" w:hAnsi="Times New Roman"/>
        </w:rPr>
        <w:t xml:space="preserve">, provides </w:t>
      </w:r>
      <w:r w:rsidR="00A96AE4" w:rsidRPr="000E033B">
        <w:rPr>
          <w:rFonts w:ascii="Times New Roman" w:hAnsi="Times New Roman"/>
        </w:rPr>
        <w:t>for the process</w:t>
      </w:r>
      <w:r w:rsidR="000871A4" w:rsidRPr="000E033B">
        <w:rPr>
          <w:rFonts w:ascii="Times New Roman" w:hAnsi="Times New Roman"/>
        </w:rPr>
        <w:t xml:space="preserve"> to obtain recognition and enforcement</w:t>
      </w:r>
      <w:r w:rsidR="00A96AE4" w:rsidRPr="000E033B">
        <w:rPr>
          <w:rFonts w:ascii="Times New Roman" w:hAnsi="Times New Roman"/>
        </w:rPr>
        <w:t>. T</w:t>
      </w:r>
      <w:r w:rsidR="000871A4" w:rsidRPr="000E033B">
        <w:rPr>
          <w:rFonts w:ascii="Times New Roman" w:hAnsi="Times New Roman"/>
        </w:rPr>
        <w:t>h</w:t>
      </w:r>
      <w:r w:rsidR="00977BE5" w:rsidRPr="000E033B">
        <w:rPr>
          <w:rFonts w:ascii="Times New Roman" w:hAnsi="Times New Roman"/>
        </w:rPr>
        <w:t>is includes that the</w:t>
      </w:r>
      <w:r w:rsidR="000871A4" w:rsidRPr="000E033B">
        <w:rPr>
          <w:rFonts w:ascii="Times New Roman" w:hAnsi="Times New Roman"/>
        </w:rPr>
        <w:t xml:space="preserve"> party seeking recognition and enforcement</w:t>
      </w:r>
      <w:r w:rsidR="00A96AE4" w:rsidRPr="000E033B">
        <w:rPr>
          <w:rFonts w:ascii="Times New Roman" w:hAnsi="Times New Roman"/>
        </w:rPr>
        <w:t xml:space="preserve"> must</w:t>
      </w:r>
      <w:r w:rsidR="000871A4" w:rsidRPr="000E033B">
        <w:rPr>
          <w:rFonts w:ascii="Times New Roman" w:hAnsi="Times New Roman"/>
        </w:rPr>
        <w:t xml:space="preserve"> "supply </w:t>
      </w:r>
      <w:r w:rsidR="00C15974" w:rsidRPr="000E033B">
        <w:rPr>
          <w:rFonts w:ascii="Times New Roman" w:hAnsi="Times New Roman"/>
        </w:rPr>
        <w:t xml:space="preserve">... </w:t>
      </w:r>
      <w:r w:rsidR="000871A4" w:rsidRPr="000E033B">
        <w:rPr>
          <w:rFonts w:ascii="Times New Roman" w:hAnsi="Times New Roman"/>
        </w:rPr>
        <w:t>[t]he duly authenticated original award or a duly certified copy thereof" and "[t]he original agreement referred to in article</w:t>
      </w:r>
      <w:r w:rsidR="005B5B1A" w:rsidRPr="000E033B">
        <w:rPr>
          <w:rFonts w:ascii="Times New Roman" w:hAnsi="Times New Roman"/>
        </w:rPr>
        <w:t> </w:t>
      </w:r>
      <w:r w:rsidR="000871A4" w:rsidRPr="000E033B">
        <w:rPr>
          <w:rFonts w:ascii="Times New Roman" w:hAnsi="Times New Roman"/>
        </w:rPr>
        <w:t>II or a duly certified copy thereof". Art</w:t>
      </w:r>
      <w:r w:rsidR="00DD5FD0" w:rsidRPr="000E033B">
        <w:rPr>
          <w:rFonts w:ascii="Times New Roman" w:hAnsi="Times New Roman"/>
        </w:rPr>
        <w:t>icle</w:t>
      </w:r>
      <w:r w:rsidR="0047381B" w:rsidRPr="000E033B">
        <w:rPr>
          <w:rFonts w:ascii="Times New Roman" w:hAnsi="Times New Roman"/>
        </w:rPr>
        <w:t> </w:t>
      </w:r>
      <w:r w:rsidR="000871A4" w:rsidRPr="000E033B">
        <w:rPr>
          <w:rFonts w:ascii="Times New Roman" w:hAnsi="Times New Roman"/>
        </w:rPr>
        <w:t xml:space="preserve">V, </w:t>
      </w:r>
      <w:r w:rsidR="00313D04" w:rsidRPr="000E033B">
        <w:rPr>
          <w:rFonts w:ascii="Times New Roman" w:hAnsi="Times New Roman"/>
        </w:rPr>
        <w:t xml:space="preserve">to </w:t>
      </w:r>
      <w:r w:rsidR="000871A4" w:rsidRPr="000E033B">
        <w:rPr>
          <w:rFonts w:ascii="Times New Roman" w:hAnsi="Times New Roman"/>
        </w:rPr>
        <w:t xml:space="preserve">which </w:t>
      </w:r>
      <w:r w:rsidR="002D5427" w:rsidRPr="000E033B">
        <w:rPr>
          <w:rFonts w:ascii="Times New Roman" w:hAnsi="Times New Roman"/>
        </w:rPr>
        <w:t xml:space="preserve">s 8 of the </w:t>
      </w:r>
      <w:r w:rsidR="002D5427" w:rsidRPr="000E033B">
        <w:rPr>
          <w:rFonts w:ascii="Times New Roman" w:hAnsi="Times New Roman"/>
          <w:i/>
          <w:iCs/>
        </w:rPr>
        <w:t>International Arbitration Act</w:t>
      </w:r>
      <w:r w:rsidR="002D5427" w:rsidRPr="000E033B">
        <w:rPr>
          <w:rFonts w:ascii="Times New Roman" w:hAnsi="Times New Roman"/>
        </w:rPr>
        <w:t xml:space="preserve"> gives </w:t>
      </w:r>
      <w:r w:rsidR="00313D04" w:rsidRPr="000E033B">
        <w:rPr>
          <w:rFonts w:ascii="Times New Roman" w:hAnsi="Times New Roman"/>
        </w:rPr>
        <w:t>effect</w:t>
      </w:r>
      <w:r w:rsidR="00977BE5" w:rsidRPr="000E033B">
        <w:rPr>
          <w:rFonts w:ascii="Times New Roman" w:hAnsi="Times New Roman"/>
        </w:rPr>
        <w:t>,</w:t>
      </w:r>
      <w:r w:rsidR="000871A4" w:rsidRPr="000E033B">
        <w:rPr>
          <w:rFonts w:ascii="Times New Roman" w:hAnsi="Times New Roman"/>
        </w:rPr>
        <w:t xml:space="preserve"> provides for defences by the party against whom enforcement is sought.</w:t>
      </w:r>
      <w:r w:rsidR="00717AB7" w:rsidRPr="000E033B">
        <w:rPr>
          <w:rFonts w:ascii="Times New Roman" w:hAnsi="Times New Roman"/>
        </w:rPr>
        <w:t xml:space="preserve"> Relevantly, under Art</w:t>
      </w:r>
      <w:r w:rsidR="0047381B" w:rsidRPr="000E033B">
        <w:rPr>
          <w:rFonts w:ascii="Times New Roman" w:hAnsi="Times New Roman"/>
        </w:rPr>
        <w:t> </w:t>
      </w:r>
      <w:r w:rsidR="00717AB7" w:rsidRPr="000E033B">
        <w:rPr>
          <w:rFonts w:ascii="Times New Roman" w:hAnsi="Times New Roman"/>
        </w:rPr>
        <w:t>V</w:t>
      </w:r>
      <w:r w:rsidR="004A1372" w:rsidRPr="000E033B">
        <w:rPr>
          <w:rFonts w:ascii="Times New Roman" w:hAnsi="Times New Roman"/>
        </w:rPr>
        <w:t>(</w:t>
      </w:r>
      <w:r w:rsidR="00D10DE1" w:rsidRPr="000E033B">
        <w:rPr>
          <w:rFonts w:ascii="Times New Roman" w:hAnsi="Times New Roman"/>
        </w:rPr>
        <w:t>1)</w:t>
      </w:r>
      <w:r w:rsidR="004A1372" w:rsidRPr="000E033B">
        <w:rPr>
          <w:rFonts w:ascii="Times New Roman" w:hAnsi="Times New Roman"/>
        </w:rPr>
        <w:t>(a)</w:t>
      </w:r>
      <w:r w:rsidR="00717AB7" w:rsidRPr="000E033B">
        <w:rPr>
          <w:rFonts w:ascii="Times New Roman" w:hAnsi="Times New Roman"/>
        </w:rPr>
        <w:t>,</w:t>
      </w:r>
      <w:r w:rsidR="00264752" w:rsidRPr="000E033B">
        <w:rPr>
          <w:rFonts w:ascii="Times New Roman" w:hAnsi="Times New Roman"/>
        </w:rPr>
        <w:t xml:space="preserve"> the party against whom</w:t>
      </w:r>
      <w:r w:rsidR="00717AB7" w:rsidRPr="000E033B">
        <w:rPr>
          <w:rFonts w:ascii="Times New Roman" w:hAnsi="Times New Roman"/>
        </w:rPr>
        <w:t xml:space="preserve"> recognition and enforcement of the award </w:t>
      </w:r>
      <w:r w:rsidR="003C05D7" w:rsidRPr="000E033B">
        <w:rPr>
          <w:rFonts w:ascii="Times New Roman" w:hAnsi="Times New Roman"/>
        </w:rPr>
        <w:t>is sought may request that the recognition or enforcement be refused</w:t>
      </w:r>
      <w:r w:rsidR="00FD0311" w:rsidRPr="000E033B">
        <w:rPr>
          <w:rFonts w:ascii="Times New Roman" w:hAnsi="Times New Roman"/>
        </w:rPr>
        <w:t xml:space="preserve"> by furnishing </w:t>
      </w:r>
      <w:r w:rsidR="0045022F" w:rsidRPr="000E033B">
        <w:rPr>
          <w:rFonts w:ascii="Times New Roman" w:hAnsi="Times New Roman"/>
        </w:rPr>
        <w:t>"</w:t>
      </w:r>
      <w:r w:rsidR="00C943F4" w:rsidRPr="000E033B">
        <w:rPr>
          <w:rFonts w:ascii="Times New Roman" w:hAnsi="Times New Roman"/>
        </w:rPr>
        <w:t xml:space="preserve">to the </w:t>
      </w:r>
      <w:r w:rsidR="0045022F" w:rsidRPr="000E033B">
        <w:rPr>
          <w:rFonts w:ascii="Times New Roman" w:hAnsi="Times New Roman"/>
        </w:rPr>
        <w:t>competent authority where the recognition and enforcement is sought</w:t>
      </w:r>
      <w:r w:rsidR="001162D0" w:rsidRPr="000E033B">
        <w:rPr>
          <w:rFonts w:ascii="Times New Roman" w:hAnsi="Times New Roman"/>
        </w:rPr>
        <w:t xml:space="preserve"> ...</w:t>
      </w:r>
      <w:r w:rsidR="0045022F" w:rsidRPr="000E033B">
        <w:rPr>
          <w:rFonts w:ascii="Times New Roman" w:hAnsi="Times New Roman"/>
        </w:rPr>
        <w:t xml:space="preserve"> proof that"</w:t>
      </w:r>
      <w:r w:rsidR="004220CA" w:rsidRPr="000E033B">
        <w:rPr>
          <w:rFonts w:ascii="Times New Roman" w:hAnsi="Times New Roman"/>
        </w:rPr>
        <w:t xml:space="preserve"> the </w:t>
      </w:r>
      <w:r w:rsidR="00E37D05" w:rsidRPr="000E033B">
        <w:rPr>
          <w:rFonts w:ascii="Times New Roman" w:hAnsi="Times New Roman"/>
        </w:rPr>
        <w:t xml:space="preserve">arbitration agreement "is not valid under the law to which the parties have </w:t>
      </w:r>
      <w:r w:rsidR="004A1372" w:rsidRPr="000E033B">
        <w:rPr>
          <w:rFonts w:ascii="Times New Roman" w:hAnsi="Times New Roman"/>
        </w:rPr>
        <w:t>subjected it".</w:t>
      </w:r>
    </w:p>
    <w:p w14:paraId="3FFE70DB" w14:textId="7C64AA93" w:rsidR="00187B83" w:rsidRPr="000E033B" w:rsidRDefault="00653542" w:rsidP="000E033B">
      <w:pPr>
        <w:pStyle w:val="FixListStyle"/>
        <w:spacing w:after="260" w:line="280" w:lineRule="exact"/>
        <w:ind w:right="0"/>
        <w:jc w:val="both"/>
        <w:rPr>
          <w:rFonts w:ascii="Times New Roman" w:hAnsi="Times New Roman"/>
        </w:rPr>
      </w:pPr>
      <w:r w:rsidRPr="000E033B">
        <w:rPr>
          <w:rFonts w:ascii="Times New Roman" w:hAnsi="Times New Roman"/>
        </w:rPr>
        <w:tab/>
      </w:r>
      <w:r w:rsidR="00484546" w:rsidRPr="000E033B">
        <w:rPr>
          <w:rFonts w:ascii="Times New Roman" w:hAnsi="Times New Roman"/>
        </w:rPr>
        <w:t>By instrument of ratification deposited 13</w:t>
      </w:r>
      <w:r w:rsidR="003C695E" w:rsidRPr="000E033B">
        <w:rPr>
          <w:rFonts w:ascii="Times New Roman" w:hAnsi="Times New Roman"/>
        </w:rPr>
        <w:t> </w:t>
      </w:r>
      <w:r w:rsidR="00484546" w:rsidRPr="000E033B">
        <w:rPr>
          <w:rFonts w:ascii="Times New Roman" w:hAnsi="Times New Roman"/>
        </w:rPr>
        <w:t>July 1960, with effect on 11</w:t>
      </w:r>
      <w:r w:rsidR="008A56D4">
        <w:rPr>
          <w:rFonts w:ascii="Times New Roman" w:hAnsi="Times New Roman"/>
        </w:rPr>
        <w:t> </w:t>
      </w:r>
      <w:r w:rsidR="00484546" w:rsidRPr="000E033B">
        <w:rPr>
          <w:rFonts w:ascii="Times New Roman" w:hAnsi="Times New Roman"/>
        </w:rPr>
        <w:t>October 1960</w:t>
      </w:r>
      <w:r w:rsidR="00187B83" w:rsidRPr="000E033B">
        <w:rPr>
          <w:rFonts w:ascii="Times New Roman" w:hAnsi="Times New Roman"/>
        </w:rPr>
        <w:t xml:space="preserve">, India </w:t>
      </w:r>
      <w:r w:rsidR="00D06415" w:rsidRPr="000E033B">
        <w:rPr>
          <w:rFonts w:ascii="Times New Roman" w:hAnsi="Times New Roman"/>
        </w:rPr>
        <w:t>ratified</w:t>
      </w:r>
      <w:r w:rsidR="00187B83" w:rsidRPr="000E033B">
        <w:rPr>
          <w:rFonts w:ascii="Times New Roman" w:hAnsi="Times New Roman"/>
        </w:rPr>
        <w:t xml:space="preserve"> the New York Convention with the following reservation</w:t>
      </w:r>
      <w:r w:rsidR="007051E2" w:rsidRPr="000E033B">
        <w:rPr>
          <w:rFonts w:ascii="Times New Roman" w:hAnsi="Times New Roman"/>
        </w:rPr>
        <w:t>s</w:t>
      </w:r>
      <w:r w:rsidR="00187B83" w:rsidRPr="000E033B">
        <w:rPr>
          <w:rFonts w:ascii="Times New Roman" w:hAnsi="Times New Roman"/>
        </w:rPr>
        <w:t>:</w:t>
      </w:r>
    </w:p>
    <w:p w14:paraId="7697A8D8" w14:textId="77777777" w:rsidR="000E033B" w:rsidRDefault="00D0525B" w:rsidP="000E033B">
      <w:pPr>
        <w:pStyle w:val="LeftrightafterHC"/>
        <w:spacing w:before="0" w:after="260" w:line="280" w:lineRule="exact"/>
        <w:ind w:right="0"/>
        <w:jc w:val="both"/>
        <w:rPr>
          <w:rFonts w:ascii="Times New Roman" w:hAnsi="Times New Roman"/>
        </w:rPr>
      </w:pPr>
      <w:r w:rsidRPr="000E033B">
        <w:rPr>
          <w:rFonts w:ascii="Times New Roman" w:hAnsi="Times New Roman"/>
        </w:rPr>
        <w:t>"</w:t>
      </w:r>
      <w:r w:rsidR="00E14DAA" w:rsidRPr="000E033B">
        <w:rPr>
          <w:rFonts w:ascii="Times New Roman" w:hAnsi="Times New Roman"/>
        </w:rPr>
        <w:t>In accordance with Article</w:t>
      </w:r>
      <w:r w:rsidR="004D4059" w:rsidRPr="000E033B">
        <w:rPr>
          <w:rFonts w:ascii="Times New Roman" w:hAnsi="Times New Roman"/>
        </w:rPr>
        <w:t> </w:t>
      </w:r>
      <w:r w:rsidR="00AE5572" w:rsidRPr="000E033B">
        <w:rPr>
          <w:rFonts w:ascii="Times New Roman" w:hAnsi="Times New Roman"/>
        </w:rPr>
        <w:t xml:space="preserve">I </w:t>
      </w:r>
      <w:r w:rsidR="00E14DAA" w:rsidRPr="000E033B">
        <w:rPr>
          <w:rFonts w:ascii="Times New Roman" w:hAnsi="Times New Roman"/>
        </w:rPr>
        <w:t>of the Convention, the Government of India declare that they will apply the Convention to the recognition and enforcement of awards made only in the territory of a State</w:t>
      </w:r>
      <w:r w:rsidR="00052872" w:rsidRPr="000E033B">
        <w:rPr>
          <w:rFonts w:ascii="Times New Roman" w:hAnsi="Times New Roman"/>
        </w:rPr>
        <w:t>,</w:t>
      </w:r>
      <w:r w:rsidR="00E14DAA" w:rsidRPr="000E033B">
        <w:rPr>
          <w:rFonts w:ascii="Times New Roman" w:hAnsi="Times New Roman"/>
        </w:rPr>
        <w:t xml:space="preserve"> party to this Convention. They further declare that they will apply the Convention only to differences arising out of legal relationships, whether contractual or not, which are considered as commercial under the Law of India.</w:t>
      </w:r>
      <w:r w:rsidRPr="000E033B">
        <w:rPr>
          <w:rFonts w:ascii="Times New Roman" w:hAnsi="Times New Roman"/>
        </w:rPr>
        <w:t>"</w:t>
      </w:r>
    </w:p>
    <w:p w14:paraId="7D7B34FF" w14:textId="77777777" w:rsidR="000E033B" w:rsidRDefault="002E12A6" w:rsidP="000E033B">
      <w:pPr>
        <w:pStyle w:val="NormalBody"/>
        <w:spacing w:after="260" w:line="280" w:lineRule="exact"/>
        <w:ind w:right="0"/>
        <w:jc w:val="both"/>
        <w:rPr>
          <w:rFonts w:ascii="Times New Roman" w:hAnsi="Times New Roman"/>
        </w:rPr>
      </w:pPr>
      <w:r w:rsidRPr="000E033B">
        <w:rPr>
          <w:rFonts w:ascii="Times New Roman" w:hAnsi="Times New Roman"/>
        </w:rPr>
        <w:t xml:space="preserve">No such reservation was made by </w:t>
      </w:r>
      <w:r w:rsidR="00E17217" w:rsidRPr="000E033B">
        <w:rPr>
          <w:rFonts w:ascii="Times New Roman" w:hAnsi="Times New Roman"/>
        </w:rPr>
        <w:t xml:space="preserve">the Netherlands, Australia or Mauritius upon entry into the New York Convention. </w:t>
      </w:r>
    </w:p>
    <w:p w14:paraId="7BB334AE" w14:textId="1BD60B46" w:rsidR="00E34550" w:rsidRPr="000E033B" w:rsidRDefault="00333EB4" w:rsidP="000E033B">
      <w:pPr>
        <w:pStyle w:val="HeadingL1"/>
        <w:spacing w:after="260" w:line="280" w:lineRule="exact"/>
        <w:ind w:right="0"/>
        <w:jc w:val="both"/>
        <w:rPr>
          <w:rFonts w:ascii="Times New Roman" w:hAnsi="Times New Roman"/>
        </w:rPr>
      </w:pPr>
      <w:r w:rsidRPr="000E033B">
        <w:rPr>
          <w:rFonts w:ascii="Times New Roman" w:hAnsi="Times New Roman"/>
        </w:rPr>
        <w:lastRenderedPageBreak/>
        <w:t>P</w:t>
      </w:r>
      <w:r w:rsidR="006E2A21" w:rsidRPr="000E033B">
        <w:rPr>
          <w:rFonts w:ascii="Times New Roman" w:hAnsi="Times New Roman"/>
        </w:rPr>
        <w:t xml:space="preserve">roceedings </w:t>
      </w:r>
      <w:r w:rsidR="00DA23C7" w:rsidRPr="000E033B">
        <w:rPr>
          <w:rFonts w:ascii="Times New Roman" w:hAnsi="Times New Roman"/>
        </w:rPr>
        <w:t>in the Federal Court and Full Court</w:t>
      </w:r>
      <w:r w:rsidRPr="000E033B">
        <w:rPr>
          <w:rFonts w:ascii="Times New Roman" w:hAnsi="Times New Roman"/>
        </w:rPr>
        <w:t xml:space="preserve"> of the Federal Court</w:t>
      </w:r>
    </w:p>
    <w:p w14:paraId="21FABA56" w14:textId="3C62807C" w:rsidR="00EE6C79" w:rsidRPr="000E033B" w:rsidRDefault="00333EB4" w:rsidP="000E033B">
      <w:pPr>
        <w:pStyle w:val="FixListStyle"/>
        <w:spacing w:after="260" w:line="280" w:lineRule="exact"/>
        <w:ind w:right="0"/>
        <w:jc w:val="both"/>
        <w:rPr>
          <w:rFonts w:ascii="Times New Roman" w:hAnsi="Times New Roman"/>
        </w:rPr>
      </w:pPr>
      <w:r w:rsidRPr="000E033B">
        <w:rPr>
          <w:rFonts w:ascii="Times New Roman" w:hAnsi="Times New Roman"/>
        </w:rPr>
        <w:tab/>
      </w:r>
      <w:r w:rsidR="00FE1CAB" w:rsidRPr="000E033B">
        <w:rPr>
          <w:rFonts w:ascii="Times New Roman" w:hAnsi="Times New Roman"/>
        </w:rPr>
        <w:t>Before t</w:t>
      </w:r>
      <w:r w:rsidR="00DD4A6A" w:rsidRPr="000E033B">
        <w:rPr>
          <w:rFonts w:ascii="Times New Roman" w:hAnsi="Times New Roman"/>
        </w:rPr>
        <w:t xml:space="preserve">he primary judge </w:t>
      </w:r>
      <w:r w:rsidR="00C84238" w:rsidRPr="000E033B">
        <w:rPr>
          <w:rFonts w:ascii="Times New Roman" w:hAnsi="Times New Roman"/>
        </w:rPr>
        <w:t>in the Federal Court</w:t>
      </w:r>
      <w:r w:rsidR="00AF5967" w:rsidRPr="000E033B">
        <w:rPr>
          <w:rFonts w:ascii="Times New Roman" w:hAnsi="Times New Roman"/>
        </w:rPr>
        <w:t>, the principal issue</w:t>
      </w:r>
      <w:r w:rsidR="00C84238" w:rsidRPr="000E033B">
        <w:rPr>
          <w:rFonts w:ascii="Times New Roman" w:hAnsi="Times New Roman"/>
        </w:rPr>
        <w:t xml:space="preserve"> </w:t>
      </w:r>
      <w:r w:rsidR="001353FE" w:rsidRPr="000E033B">
        <w:rPr>
          <w:rFonts w:ascii="Times New Roman" w:hAnsi="Times New Roman"/>
        </w:rPr>
        <w:t xml:space="preserve">was whether </w:t>
      </w:r>
      <w:r w:rsidR="00316414" w:rsidRPr="000E033B">
        <w:rPr>
          <w:rFonts w:ascii="Times New Roman" w:hAnsi="Times New Roman"/>
        </w:rPr>
        <w:t>"by signin</w:t>
      </w:r>
      <w:r w:rsidR="00CF44A8" w:rsidRPr="000E033B">
        <w:rPr>
          <w:rFonts w:ascii="Times New Roman" w:hAnsi="Times New Roman"/>
        </w:rPr>
        <w:t>g</w:t>
      </w:r>
      <w:r w:rsidR="00316414" w:rsidRPr="000E033B">
        <w:rPr>
          <w:rFonts w:ascii="Times New Roman" w:hAnsi="Times New Roman"/>
        </w:rPr>
        <w:t xml:space="preserve"> the New York Convention"</w:t>
      </w:r>
      <w:r w:rsidR="00CF44A8" w:rsidRPr="000E033B">
        <w:rPr>
          <w:rFonts w:ascii="Times New Roman" w:hAnsi="Times New Roman"/>
        </w:rPr>
        <w:t xml:space="preserve"> India had </w:t>
      </w:r>
      <w:r w:rsidR="003E3507" w:rsidRPr="000E033B">
        <w:rPr>
          <w:rFonts w:ascii="Times New Roman" w:hAnsi="Times New Roman"/>
        </w:rPr>
        <w:t xml:space="preserve">submitted to the jurisdiction of the Federal Court, within the meaning of </w:t>
      </w:r>
      <w:r w:rsidR="00A400B1">
        <w:rPr>
          <w:rFonts w:ascii="Times New Roman" w:hAnsi="Times New Roman"/>
        </w:rPr>
        <w:t>s</w:t>
      </w:r>
      <w:r w:rsidR="003E3507" w:rsidRPr="000E033B">
        <w:rPr>
          <w:rFonts w:ascii="Times New Roman" w:hAnsi="Times New Roman"/>
        </w:rPr>
        <w:t>s</w:t>
      </w:r>
      <w:r w:rsidR="00946BF2" w:rsidRPr="000E033B">
        <w:rPr>
          <w:rFonts w:ascii="Times New Roman" w:hAnsi="Times New Roman"/>
        </w:rPr>
        <w:t> </w:t>
      </w:r>
      <w:r w:rsidR="003E3507" w:rsidRPr="000E033B">
        <w:rPr>
          <w:rFonts w:ascii="Times New Roman" w:hAnsi="Times New Roman"/>
        </w:rPr>
        <w:t xml:space="preserve">10(1) and </w:t>
      </w:r>
      <w:r w:rsidR="00A400B1">
        <w:rPr>
          <w:rFonts w:ascii="Times New Roman" w:hAnsi="Times New Roman"/>
        </w:rPr>
        <w:t>10</w:t>
      </w:r>
      <w:r w:rsidR="003E3507" w:rsidRPr="000E033B">
        <w:rPr>
          <w:rFonts w:ascii="Times New Roman" w:hAnsi="Times New Roman"/>
        </w:rPr>
        <w:t xml:space="preserve">(2) of the </w:t>
      </w:r>
      <w:r w:rsidR="00D35213" w:rsidRPr="000E033B">
        <w:rPr>
          <w:rFonts w:ascii="Times New Roman" w:hAnsi="Times New Roman"/>
          <w:i/>
          <w:iCs/>
        </w:rPr>
        <w:t>Foreign States Immunities Act</w:t>
      </w:r>
      <w:r w:rsidR="0058706C" w:rsidRPr="000E033B">
        <w:rPr>
          <w:rFonts w:ascii="Times New Roman" w:hAnsi="Times New Roman"/>
        </w:rPr>
        <w:t xml:space="preserve">. </w:t>
      </w:r>
      <w:r w:rsidR="00FA687B" w:rsidRPr="000E033B">
        <w:rPr>
          <w:rFonts w:ascii="Times New Roman" w:hAnsi="Times New Roman"/>
        </w:rPr>
        <w:t xml:space="preserve">Since </w:t>
      </w:r>
      <w:r w:rsidR="000E109F" w:rsidRPr="000E033B">
        <w:rPr>
          <w:rFonts w:ascii="Times New Roman" w:hAnsi="Times New Roman"/>
        </w:rPr>
        <w:t xml:space="preserve">a submission to the jurisdiction by </w:t>
      </w:r>
      <w:r w:rsidR="00615A05" w:rsidRPr="000E033B">
        <w:rPr>
          <w:rFonts w:ascii="Times New Roman" w:hAnsi="Times New Roman"/>
        </w:rPr>
        <w:t>India</w:t>
      </w:r>
      <w:r w:rsidR="00FA687B" w:rsidRPr="000E033B">
        <w:rPr>
          <w:rFonts w:ascii="Times New Roman" w:hAnsi="Times New Roman"/>
        </w:rPr>
        <w:t xml:space="preserve"> </w:t>
      </w:r>
      <w:r w:rsidR="00615A05" w:rsidRPr="000E033B">
        <w:rPr>
          <w:rFonts w:ascii="Times New Roman" w:hAnsi="Times New Roman"/>
        </w:rPr>
        <w:t>c</w:t>
      </w:r>
      <w:r w:rsidR="008C21DF" w:rsidRPr="000E033B">
        <w:rPr>
          <w:rFonts w:ascii="Times New Roman" w:hAnsi="Times New Roman"/>
        </w:rPr>
        <w:t xml:space="preserve">ould only give rise to </w:t>
      </w:r>
      <w:r w:rsidR="00217258" w:rsidRPr="000E033B">
        <w:rPr>
          <w:rFonts w:ascii="Times New Roman" w:hAnsi="Times New Roman"/>
        </w:rPr>
        <w:t xml:space="preserve">rights of enforcement by the appellants </w:t>
      </w:r>
      <w:r w:rsidR="00852478" w:rsidRPr="000E033B">
        <w:rPr>
          <w:rFonts w:ascii="Times New Roman" w:hAnsi="Times New Roman"/>
        </w:rPr>
        <w:t>in accordance with the mechanics of Art</w:t>
      </w:r>
      <w:r w:rsidR="00946BF2" w:rsidRPr="000E033B">
        <w:rPr>
          <w:rFonts w:ascii="Times New Roman" w:hAnsi="Times New Roman"/>
        </w:rPr>
        <w:t> </w:t>
      </w:r>
      <w:r w:rsidR="00852478" w:rsidRPr="000E033B">
        <w:rPr>
          <w:rFonts w:ascii="Times New Roman" w:hAnsi="Times New Roman"/>
        </w:rPr>
        <w:t xml:space="preserve">IV, </w:t>
      </w:r>
      <w:r w:rsidR="00615A05" w:rsidRPr="000E033B">
        <w:rPr>
          <w:rFonts w:ascii="Times New Roman" w:hAnsi="Times New Roman"/>
        </w:rPr>
        <w:t>the appellants</w:t>
      </w:r>
      <w:r w:rsidR="006B2876" w:rsidRPr="000E033B">
        <w:rPr>
          <w:rFonts w:ascii="Times New Roman" w:hAnsi="Times New Roman"/>
        </w:rPr>
        <w:t xml:space="preserve"> relied upon the</w:t>
      </w:r>
      <w:r w:rsidR="00CE5275" w:rsidRPr="000E033B">
        <w:rPr>
          <w:rFonts w:ascii="Times New Roman" w:hAnsi="Times New Roman"/>
        </w:rPr>
        <w:t xml:space="preserve"> signing </w:t>
      </w:r>
      <w:r w:rsidR="001F3B4F" w:rsidRPr="000E033B">
        <w:rPr>
          <w:rFonts w:ascii="Times New Roman" w:hAnsi="Times New Roman"/>
        </w:rPr>
        <w:t xml:space="preserve">of </w:t>
      </w:r>
      <w:r w:rsidR="00CE5275" w:rsidRPr="000E033B">
        <w:rPr>
          <w:rFonts w:ascii="Times New Roman" w:hAnsi="Times New Roman"/>
        </w:rPr>
        <w:t xml:space="preserve">the New York Convention </w:t>
      </w:r>
      <w:r w:rsidR="005C38C5" w:rsidRPr="000E033B">
        <w:rPr>
          <w:rFonts w:ascii="Times New Roman" w:hAnsi="Times New Roman"/>
        </w:rPr>
        <w:t>in circumstances</w:t>
      </w:r>
      <w:r w:rsidR="007C44A3" w:rsidRPr="000E033B">
        <w:rPr>
          <w:rFonts w:ascii="Times New Roman" w:hAnsi="Times New Roman"/>
        </w:rPr>
        <w:t>,</w:t>
      </w:r>
      <w:r w:rsidR="00877313" w:rsidRPr="000E033B">
        <w:rPr>
          <w:rFonts w:ascii="Times New Roman" w:hAnsi="Times New Roman"/>
        </w:rPr>
        <w:t xml:space="preserve"> within Art</w:t>
      </w:r>
      <w:r w:rsidR="00946BF2" w:rsidRPr="000E033B">
        <w:rPr>
          <w:rFonts w:ascii="Times New Roman" w:hAnsi="Times New Roman"/>
        </w:rPr>
        <w:t> </w:t>
      </w:r>
      <w:r w:rsidR="00877313" w:rsidRPr="000E033B">
        <w:rPr>
          <w:rFonts w:ascii="Times New Roman" w:hAnsi="Times New Roman"/>
        </w:rPr>
        <w:t>IV</w:t>
      </w:r>
      <w:r w:rsidR="007C44A3" w:rsidRPr="000E033B">
        <w:rPr>
          <w:rFonts w:ascii="Times New Roman" w:hAnsi="Times New Roman"/>
        </w:rPr>
        <w:t>,</w:t>
      </w:r>
      <w:r w:rsidR="008C1298" w:rsidRPr="000E033B">
        <w:rPr>
          <w:rStyle w:val="FootnoteReference"/>
          <w:rFonts w:ascii="Times New Roman" w:hAnsi="Times New Roman"/>
          <w:sz w:val="24"/>
        </w:rPr>
        <w:footnoteReference w:id="9"/>
      </w:r>
      <w:r w:rsidR="005C38C5" w:rsidRPr="000E033B">
        <w:rPr>
          <w:rFonts w:ascii="Times New Roman" w:hAnsi="Times New Roman"/>
        </w:rPr>
        <w:t xml:space="preserve"> </w:t>
      </w:r>
      <w:r w:rsidR="0058706C" w:rsidRPr="000E033B">
        <w:rPr>
          <w:rFonts w:ascii="Times New Roman" w:hAnsi="Times New Roman"/>
        </w:rPr>
        <w:t>"</w:t>
      </w:r>
      <w:r w:rsidR="007F5665" w:rsidRPr="000E033B">
        <w:rPr>
          <w:rFonts w:ascii="Times New Roman" w:hAnsi="Times New Roman"/>
        </w:rPr>
        <w:t xml:space="preserve">where </w:t>
      </w:r>
      <w:r w:rsidR="00415CCE" w:rsidRPr="000E033B">
        <w:rPr>
          <w:rFonts w:ascii="Times New Roman" w:hAnsi="Times New Roman"/>
        </w:rPr>
        <w:t>the [appellants]</w:t>
      </w:r>
      <w:r w:rsidR="00F461E9" w:rsidRPr="000E033B">
        <w:rPr>
          <w:rFonts w:ascii="Times New Roman" w:hAnsi="Times New Roman"/>
        </w:rPr>
        <w:t xml:space="preserve"> </w:t>
      </w:r>
      <w:r w:rsidR="0058706C" w:rsidRPr="000E033B">
        <w:rPr>
          <w:rFonts w:ascii="Times New Roman" w:hAnsi="Times New Roman"/>
        </w:rPr>
        <w:t>have tendered a copy of the award to which India was a</w:t>
      </w:r>
      <w:r w:rsidR="00F461E9" w:rsidRPr="000E033B">
        <w:rPr>
          <w:rFonts w:ascii="Times New Roman" w:hAnsi="Times New Roman"/>
        </w:rPr>
        <w:t xml:space="preserve"> </w:t>
      </w:r>
      <w:r w:rsidR="0058706C" w:rsidRPr="000E033B">
        <w:rPr>
          <w:rFonts w:ascii="Times New Roman" w:hAnsi="Times New Roman"/>
        </w:rPr>
        <w:t>party together with what appears on its face to be an agreement with India to arbitrate the</w:t>
      </w:r>
      <w:r w:rsidR="00F461E9" w:rsidRPr="000E033B">
        <w:rPr>
          <w:rFonts w:ascii="Times New Roman" w:hAnsi="Times New Roman"/>
        </w:rPr>
        <w:t xml:space="preserve"> </w:t>
      </w:r>
      <w:r w:rsidR="0058706C" w:rsidRPr="000E033B">
        <w:rPr>
          <w:rFonts w:ascii="Times New Roman" w:hAnsi="Times New Roman"/>
        </w:rPr>
        <w:t>underlying dispute</w:t>
      </w:r>
      <w:r w:rsidR="00F461E9" w:rsidRPr="000E033B">
        <w:rPr>
          <w:rFonts w:ascii="Times New Roman" w:hAnsi="Times New Roman"/>
        </w:rPr>
        <w:t>".</w:t>
      </w:r>
      <w:r w:rsidR="00C66373" w:rsidRPr="000E033B">
        <w:rPr>
          <w:rStyle w:val="FootnoteReference"/>
          <w:rFonts w:ascii="Times New Roman" w:hAnsi="Times New Roman"/>
          <w:sz w:val="24"/>
        </w:rPr>
        <w:footnoteReference w:id="10"/>
      </w:r>
      <w:r w:rsidR="009A376D" w:rsidRPr="000E033B">
        <w:rPr>
          <w:rFonts w:ascii="Times New Roman" w:hAnsi="Times New Roman"/>
        </w:rPr>
        <w:t xml:space="preserve"> </w:t>
      </w:r>
    </w:p>
    <w:p w14:paraId="32124309" w14:textId="5F1B8D34" w:rsidR="00A12E4B" w:rsidRPr="000E033B" w:rsidRDefault="00EE6C79" w:rsidP="000E033B">
      <w:pPr>
        <w:pStyle w:val="FixListStyle"/>
        <w:spacing w:after="260" w:line="280" w:lineRule="exact"/>
        <w:ind w:right="0"/>
        <w:jc w:val="both"/>
        <w:rPr>
          <w:rFonts w:ascii="Times New Roman" w:hAnsi="Times New Roman"/>
        </w:rPr>
      </w:pPr>
      <w:r w:rsidRPr="000E033B">
        <w:rPr>
          <w:rFonts w:ascii="Times New Roman" w:hAnsi="Times New Roman"/>
        </w:rPr>
        <w:tab/>
      </w:r>
      <w:r w:rsidR="00902EBA" w:rsidRPr="000E033B">
        <w:rPr>
          <w:rFonts w:ascii="Times New Roman" w:hAnsi="Times New Roman"/>
        </w:rPr>
        <w:t>T</w:t>
      </w:r>
      <w:r w:rsidR="000F1DA9" w:rsidRPr="000E033B">
        <w:rPr>
          <w:rFonts w:ascii="Times New Roman" w:hAnsi="Times New Roman"/>
        </w:rPr>
        <w:t xml:space="preserve">he primary judge </w:t>
      </w:r>
      <w:r w:rsidR="00DD2881" w:rsidRPr="000E033B">
        <w:rPr>
          <w:rFonts w:ascii="Times New Roman" w:hAnsi="Times New Roman"/>
        </w:rPr>
        <w:t>explained</w:t>
      </w:r>
      <w:r w:rsidR="000F1DA9" w:rsidRPr="000E033B">
        <w:rPr>
          <w:rFonts w:ascii="Times New Roman" w:hAnsi="Times New Roman"/>
        </w:rPr>
        <w:t xml:space="preserve"> that if</w:t>
      </w:r>
      <w:r w:rsidR="00285E33" w:rsidRPr="000E033B">
        <w:rPr>
          <w:rFonts w:ascii="Times New Roman" w:hAnsi="Times New Roman"/>
        </w:rPr>
        <w:t xml:space="preserve"> the</w:t>
      </w:r>
      <w:r w:rsidR="00C07FE3" w:rsidRPr="000E033B">
        <w:rPr>
          <w:rFonts w:ascii="Times New Roman" w:hAnsi="Times New Roman"/>
        </w:rPr>
        <w:t xml:space="preserve"> signing</w:t>
      </w:r>
      <w:r w:rsidR="0084528F" w:rsidRPr="000E033B">
        <w:rPr>
          <w:rFonts w:ascii="Times New Roman" w:hAnsi="Times New Roman"/>
        </w:rPr>
        <w:t>, and</w:t>
      </w:r>
      <w:r w:rsidR="00834E52" w:rsidRPr="000E033B">
        <w:rPr>
          <w:rFonts w:ascii="Times New Roman" w:hAnsi="Times New Roman"/>
        </w:rPr>
        <w:t xml:space="preserve"> thereby the</w:t>
      </w:r>
      <w:r w:rsidR="0084528F" w:rsidRPr="000E033B">
        <w:rPr>
          <w:rFonts w:ascii="Times New Roman" w:hAnsi="Times New Roman"/>
        </w:rPr>
        <w:t xml:space="preserve"> ratification,</w:t>
      </w:r>
      <w:r w:rsidR="00C07FE3" w:rsidRPr="000E033B">
        <w:rPr>
          <w:rFonts w:ascii="Times New Roman" w:hAnsi="Times New Roman"/>
        </w:rPr>
        <w:t xml:space="preserve"> of the New York Convention </w:t>
      </w:r>
      <w:r w:rsidR="00800EB9" w:rsidRPr="000E033B">
        <w:rPr>
          <w:rFonts w:ascii="Times New Roman" w:hAnsi="Times New Roman"/>
        </w:rPr>
        <w:t xml:space="preserve">were </w:t>
      </w:r>
      <w:r w:rsidR="00285E33" w:rsidRPr="000E033B">
        <w:rPr>
          <w:rFonts w:ascii="Times New Roman" w:hAnsi="Times New Roman"/>
        </w:rPr>
        <w:t xml:space="preserve">a </w:t>
      </w:r>
      <w:r w:rsidR="00C07FE3" w:rsidRPr="000E033B">
        <w:rPr>
          <w:rFonts w:ascii="Times New Roman" w:hAnsi="Times New Roman"/>
        </w:rPr>
        <w:t xml:space="preserve">submission by India to the jurisdiction of the Federal Court, </w:t>
      </w:r>
      <w:r w:rsidRPr="000E033B">
        <w:rPr>
          <w:rFonts w:ascii="Times New Roman" w:hAnsi="Times New Roman"/>
        </w:rPr>
        <w:t>and thus</w:t>
      </w:r>
      <w:r w:rsidR="007C44A3" w:rsidRPr="000E033B">
        <w:rPr>
          <w:rFonts w:ascii="Times New Roman" w:hAnsi="Times New Roman"/>
        </w:rPr>
        <w:t xml:space="preserve"> a</w:t>
      </w:r>
      <w:r w:rsidRPr="000E033B">
        <w:rPr>
          <w:rFonts w:ascii="Times New Roman" w:hAnsi="Times New Roman"/>
        </w:rPr>
        <w:t xml:space="preserve"> waiver of India's sovereign immunity,</w:t>
      </w:r>
      <w:r w:rsidR="000F1DA9" w:rsidRPr="000E033B">
        <w:rPr>
          <w:rFonts w:ascii="Times New Roman" w:hAnsi="Times New Roman"/>
        </w:rPr>
        <w:t xml:space="preserve"> then</w:t>
      </w:r>
      <w:r w:rsidRPr="000E033B">
        <w:rPr>
          <w:rFonts w:ascii="Times New Roman" w:hAnsi="Times New Roman"/>
        </w:rPr>
        <w:t xml:space="preserve"> </w:t>
      </w:r>
      <w:proofErr w:type="gramStart"/>
      <w:r w:rsidR="003455C8" w:rsidRPr="000E033B">
        <w:rPr>
          <w:rFonts w:ascii="Times New Roman" w:hAnsi="Times New Roman"/>
        </w:rPr>
        <w:t>a number of</w:t>
      </w:r>
      <w:proofErr w:type="gramEnd"/>
      <w:r w:rsidR="003455C8" w:rsidRPr="000E033B">
        <w:rPr>
          <w:rFonts w:ascii="Times New Roman" w:hAnsi="Times New Roman"/>
        </w:rPr>
        <w:t xml:space="preserve"> </w:t>
      </w:r>
      <w:r w:rsidR="00C07FE3" w:rsidRPr="000E033B">
        <w:rPr>
          <w:rFonts w:ascii="Times New Roman" w:hAnsi="Times New Roman"/>
        </w:rPr>
        <w:t>subsidiary issues w</w:t>
      </w:r>
      <w:r w:rsidR="000F1DA9" w:rsidRPr="000E033B">
        <w:rPr>
          <w:rFonts w:ascii="Times New Roman" w:hAnsi="Times New Roman"/>
        </w:rPr>
        <w:t>ould</w:t>
      </w:r>
      <w:r w:rsidR="00C07FE3" w:rsidRPr="000E033B">
        <w:rPr>
          <w:rFonts w:ascii="Times New Roman" w:hAnsi="Times New Roman"/>
        </w:rPr>
        <w:t xml:space="preserve"> arise</w:t>
      </w:r>
      <w:r w:rsidRPr="000E033B">
        <w:rPr>
          <w:rFonts w:ascii="Times New Roman" w:hAnsi="Times New Roman"/>
        </w:rPr>
        <w:t xml:space="preserve">. One </w:t>
      </w:r>
      <w:r w:rsidR="00084772" w:rsidRPr="000E033B">
        <w:rPr>
          <w:rFonts w:ascii="Times New Roman" w:hAnsi="Times New Roman"/>
        </w:rPr>
        <w:t xml:space="preserve">issue, </w:t>
      </w:r>
      <w:r w:rsidR="006B2876" w:rsidRPr="000E033B">
        <w:rPr>
          <w:rFonts w:ascii="Times New Roman" w:hAnsi="Times New Roman"/>
        </w:rPr>
        <w:t xml:space="preserve">described as subsidiary but </w:t>
      </w:r>
      <w:r w:rsidR="00B61ADC" w:rsidRPr="000E033B">
        <w:rPr>
          <w:rFonts w:ascii="Times New Roman" w:hAnsi="Times New Roman"/>
        </w:rPr>
        <w:t>in fact anterior to the issue of submission</w:t>
      </w:r>
      <w:r w:rsidR="003E2636" w:rsidRPr="000E033B">
        <w:rPr>
          <w:rFonts w:ascii="Times New Roman" w:hAnsi="Times New Roman"/>
        </w:rPr>
        <w:t xml:space="preserve"> to jurisdiction</w:t>
      </w:r>
      <w:r w:rsidR="00B61ADC" w:rsidRPr="000E033B">
        <w:rPr>
          <w:rFonts w:ascii="Times New Roman" w:hAnsi="Times New Roman"/>
        </w:rPr>
        <w:t xml:space="preserve"> by India, was whether the </w:t>
      </w:r>
      <w:r w:rsidR="00ED22F8" w:rsidRPr="000E033B">
        <w:rPr>
          <w:rFonts w:ascii="Times New Roman" w:hAnsi="Times New Roman"/>
        </w:rPr>
        <w:t xml:space="preserve">scope of the </w:t>
      </w:r>
      <w:r w:rsidR="009A376D" w:rsidRPr="000E033B">
        <w:rPr>
          <w:rFonts w:ascii="Times New Roman" w:hAnsi="Times New Roman"/>
        </w:rPr>
        <w:t xml:space="preserve">New York Convention </w:t>
      </w:r>
      <w:r w:rsidR="00ED22F8" w:rsidRPr="000E033B">
        <w:rPr>
          <w:rFonts w:ascii="Times New Roman" w:hAnsi="Times New Roman"/>
        </w:rPr>
        <w:t xml:space="preserve">was limited to </w:t>
      </w:r>
      <w:r w:rsidR="0032205D" w:rsidRPr="000E033B">
        <w:rPr>
          <w:rFonts w:ascii="Times New Roman" w:hAnsi="Times New Roman"/>
        </w:rPr>
        <w:t>"awards involving a commercial or private law dispute (as opposed to disputes concerning the conduct of the State acting in its governmental capacity)</w:t>
      </w:r>
      <w:r w:rsidR="00D03E0E" w:rsidRPr="000E033B">
        <w:rPr>
          <w:rFonts w:ascii="Times New Roman" w:hAnsi="Times New Roman"/>
        </w:rPr>
        <w:t>"</w:t>
      </w:r>
      <w:r w:rsidR="008E606A" w:rsidRPr="000E033B">
        <w:rPr>
          <w:rFonts w:ascii="Times New Roman" w:hAnsi="Times New Roman"/>
        </w:rPr>
        <w:t>.</w:t>
      </w:r>
      <w:r w:rsidR="008E606A" w:rsidRPr="000E033B">
        <w:rPr>
          <w:rStyle w:val="FootnoteReference"/>
          <w:rFonts w:ascii="Times New Roman" w:hAnsi="Times New Roman"/>
          <w:sz w:val="24"/>
        </w:rPr>
        <w:footnoteReference w:id="11"/>
      </w:r>
      <w:r w:rsidR="00217B40" w:rsidRPr="000E033B">
        <w:rPr>
          <w:rFonts w:ascii="Times New Roman" w:hAnsi="Times New Roman"/>
        </w:rPr>
        <w:t xml:space="preserve"> </w:t>
      </w:r>
      <w:r w:rsidR="00084772" w:rsidRPr="000E033B">
        <w:rPr>
          <w:rFonts w:ascii="Times New Roman" w:hAnsi="Times New Roman"/>
        </w:rPr>
        <w:t xml:space="preserve">Another issue was whether </w:t>
      </w:r>
      <w:r w:rsidR="00AE17EB" w:rsidRPr="000E033B">
        <w:rPr>
          <w:rFonts w:ascii="Times New Roman" w:hAnsi="Times New Roman"/>
        </w:rPr>
        <w:t>the</w:t>
      </w:r>
      <w:r w:rsidR="00084772" w:rsidRPr="000E033B">
        <w:rPr>
          <w:rFonts w:ascii="Times New Roman" w:hAnsi="Times New Roman"/>
        </w:rPr>
        <w:t xml:space="preserve"> </w:t>
      </w:r>
      <w:r w:rsidR="005642B0" w:rsidRPr="000E033B">
        <w:rPr>
          <w:rFonts w:ascii="Times New Roman" w:hAnsi="Times New Roman"/>
        </w:rPr>
        <w:t xml:space="preserve">extent of </w:t>
      </w:r>
      <w:r w:rsidR="00084772" w:rsidRPr="000E033B">
        <w:rPr>
          <w:rFonts w:ascii="Times New Roman" w:hAnsi="Times New Roman"/>
        </w:rPr>
        <w:t xml:space="preserve">waiver of immunity by </w:t>
      </w:r>
      <w:r w:rsidR="009B2CAF" w:rsidRPr="000E033B">
        <w:rPr>
          <w:rFonts w:ascii="Times New Roman" w:hAnsi="Times New Roman"/>
        </w:rPr>
        <w:t>ratification of</w:t>
      </w:r>
      <w:r w:rsidR="00084772" w:rsidRPr="000E033B">
        <w:rPr>
          <w:rFonts w:ascii="Times New Roman" w:hAnsi="Times New Roman"/>
        </w:rPr>
        <w:t xml:space="preserve"> the New York Convention w</w:t>
      </w:r>
      <w:r w:rsidR="00013E5F" w:rsidRPr="000E033B">
        <w:rPr>
          <w:rFonts w:ascii="Times New Roman" w:hAnsi="Times New Roman"/>
        </w:rPr>
        <w:t xml:space="preserve">as limited </w:t>
      </w:r>
      <w:r w:rsidR="00022167" w:rsidRPr="000E033B">
        <w:rPr>
          <w:rFonts w:ascii="Times New Roman" w:hAnsi="Times New Roman"/>
        </w:rPr>
        <w:t xml:space="preserve">to circumstances in which an award was made </w:t>
      </w:r>
      <w:r w:rsidR="005A3780" w:rsidRPr="000E033B">
        <w:rPr>
          <w:rFonts w:ascii="Times New Roman" w:hAnsi="Times New Roman"/>
        </w:rPr>
        <w:t xml:space="preserve">in </w:t>
      </w:r>
      <w:r w:rsidR="00084772" w:rsidRPr="000E033B">
        <w:rPr>
          <w:rFonts w:ascii="Times New Roman" w:hAnsi="Times New Roman"/>
        </w:rPr>
        <w:t>arbitral proceedings to which the foreign State had voluntarily submitted.</w:t>
      </w:r>
      <w:r w:rsidR="00EF0BB4" w:rsidRPr="000E033B">
        <w:rPr>
          <w:rStyle w:val="FootnoteReference"/>
          <w:rFonts w:ascii="Times New Roman" w:hAnsi="Times New Roman"/>
          <w:sz w:val="24"/>
        </w:rPr>
        <w:footnoteReference w:id="12"/>
      </w:r>
      <w:r w:rsidR="00EF0BB4" w:rsidRPr="000E033B">
        <w:rPr>
          <w:rFonts w:ascii="Times New Roman" w:hAnsi="Times New Roman"/>
        </w:rPr>
        <w:t xml:space="preserve"> </w:t>
      </w:r>
      <w:r w:rsidR="00084772" w:rsidRPr="000E033B">
        <w:rPr>
          <w:rFonts w:ascii="Times New Roman" w:hAnsi="Times New Roman"/>
        </w:rPr>
        <w:t>If that were the case, the</w:t>
      </w:r>
      <w:r w:rsidR="00022167" w:rsidRPr="000E033B">
        <w:rPr>
          <w:rFonts w:ascii="Times New Roman" w:hAnsi="Times New Roman"/>
        </w:rPr>
        <w:t xml:space="preserve">n </w:t>
      </w:r>
      <w:r w:rsidR="00323927" w:rsidRPr="000E033B">
        <w:rPr>
          <w:rFonts w:ascii="Times New Roman" w:hAnsi="Times New Roman"/>
        </w:rPr>
        <w:t xml:space="preserve">questions would arise as to whether </w:t>
      </w:r>
      <w:r w:rsidR="008376FB" w:rsidRPr="000E033B">
        <w:rPr>
          <w:rFonts w:ascii="Times New Roman" w:hAnsi="Times New Roman"/>
        </w:rPr>
        <w:t xml:space="preserve">the appellants could </w:t>
      </w:r>
      <w:r w:rsidR="00C06068" w:rsidRPr="000E033B">
        <w:rPr>
          <w:rFonts w:ascii="Times New Roman" w:hAnsi="Times New Roman"/>
        </w:rPr>
        <w:t xml:space="preserve">establish that India had voluntarily submitted to arbitral proceedings </w:t>
      </w:r>
      <w:r w:rsidR="0046783F" w:rsidRPr="000E033B">
        <w:rPr>
          <w:rFonts w:ascii="Times New Roman" w:hAnsi="Times New Roman"/>
        </w:rPr>
        <w:t xml:space="preserve">without </w:t>
      </w:r>
      <w:r w:rsidR="00E21C70" w:rsidRPr="000E033B">
        <w:rPr>
          <w:rFonts w:ascii="Times New Roman" w:hAnsi="Times New Roman"/>
        </w:rPr>
        <w:t>at th</w:t>
      </w:r>
      <w:r w:rsidR="00CC2490" w:rsidRPr="000E033B">
        <w:rPr>
          <w:rFonts w:ascii="Times New Roman" w:hAnsi="Times New Roman"/>
        </w:rPr>
        <w:t>at</w:t>
      </w:r>
      <w:r w:rsidR="00E21C70" w:rsidRPr="000E033B">
        <w:rPr>
          <w:rFonts w:ascii="Times New Roman" w:hAnsi="Times New Roman"/>
        </w:rPr>
        <w:t xml:space="preserve"> stage </w:t>
      </w:r>
      <w:r w:rsidR="00701EE6" w:rsidRPr="000E033B">
        <w:rPr>
          <w:rFonts w:ascii="Times New Roman" w:hAnsi="Times New Roman"/>
        </w:rPr>
        <w:t xml:space="preserve">resolving </w:t>
      </w:r>
      <w:r w:rsidR="007E4CBD" w:rsidRPr="000E033B">
        <w:rPr>
          <w:rFonts w:ascii="Times New Roman" w:hAnsi="Times New Roman"/>
        </w:rPr>
        <w:t>issues of alleged fraud and disputes about the validity of that agreement</w:t>
      </w:r>
      <w:r w:rsidR="00BB354A" w:rsidRPr="000E033B">
        <w:rPr>
          <w:rFonts w:ascii="Times New Roman" w:hAnsi="Times New Roman"/>
        </w:rPr>
        <w:t xml:space="preserve"> in favour of the appellants</w:t>
      </w:r>
      <w:r w:rsidR="00084772" w:rsidRPr="000E033B">
        <w:rPr>
          <w:rFonts w:ascii="Times New Roman" w:hAnsi="Times New Roman"/>
        </w:rPr>
        <w:t>.</w:t>
      </w:r>
      <w:r w:rsidR="007E4CBD" w:rsidRPr="000E033B">
        <w:rPr>
          <w:rStyle w:val="FootnoteReference"/>
          <w:rFonts w:ascii="Times New Roman" w:hAnsi="Times New Roman"/>
          <w:sz w:val="24"/>
        </w:rPr>
        <w:footnoteReference w:id="13"/>
      </w:r>
      <w:r w:rsidR="00084772" w:rsidRPr="000E033B">
        <w:rPr>
          <w:rFonts w:ascii="Times New Roman" w:hAnsi="Times New Roman"/>
        </w:rPr>
        <w:t xml:space="preserve"> </w:t>
      </w:r>
    </w:p>
    <w:p w14:paraId="545ADDC5" w14:textId="424B5380" w:rsidR="004C7808" w:rsidRPr="000E033B" w:rsidRDefault="00A12E4B" w:rsidP="000E033B">
      <w:pPr>
        <w:pStyle w:val="FixListStyle"/>
        <w:spacing w:after="260" w:line="280" w:lineRule="exact"/>
        <w:ind w:right="0"/>
        <w:jc w:val="both"/>
        <w:rPr>
          <w:rFonts w:ascii="Times New Roman" w:hAnsi="Times New Roman"/>
        </w:rPr>
      </w:pPr>
      <w:r w:rsidRPr="000E033B">
        <w:rPr>
          <w:rFonts w:ascii="Times New Roman" w:hAnsi="Times New Roman"/>
        </w:rPr>
        <w:lastRenderedPageBreak/>
        <w:tab/>
      </w:r>
      <w:r w:rsidR="00217B40" w:rsidRPr="000E033B">
        <w:rPr>
          <w:rFonts w:ascii="Times New Roman" w:hAnsi="Times New Roman"/>
        </w:rPr>
        <w:t xml:space="preserve">A </w:t>
      </w:r>
      <w:r w:rsidR="00147E0B" w:rsidRPr="000E033B">
        <w:rPr>
          <w:rFonts w:ascii="Times New Roman" w:hAnsi="Times New Roman"/>
        </w:rPr>
        <w:t>separate</w:t>
      </w:r>
      <w:r w:rsidR="00217B40" w:rsidRPr="000E033B">
        <w:rPr>
          <w:rFonts w:ascii="Times New Roman" w:hAnsi="Times New Roman"/>
        </w:rPr>
        <w:t xml:space="preserve"> issue was</w:t>
      </w:r>
      <w:r w:rsidR="00040B32" w:rsidRPr="000E033B">
        <w:rPr>
          <w:rFonts w:ascii="Times New Roman" w:hAnsi="Times New Roman"/>
        </w:rPr>
        <w:t xml:space="preserve"> </w:t>
      </w:r>
      <w:r w:rsidR="002E0F5D" w:rsidRPr="000E033B">
        <w:rPr>
          <w:rFonts w:ascii="Times New Roman" w:hAnsi="Times New Roman"/>
        </w:rPr>
        <w:t>whether an</w:t>
      </w:r>
      <w:r w:rsidR="00E05D2F" w:rsidRPr="000E033B">
        <w:rPr>
          <w:rFonts w:ascii="Times New Roman" w:hAnsi="Times New Roman"/>
        </w:rPr>
        <w:t>y other</w:t>
      </w:r>
      <w:r w:rsidR="002E0F5D" w:rsidRPr="000E033B">
        <w:rPr>
          <w:rFonts w:ascii="Times New Roman" w:hAnsi="Times New Roman"/>
        </w:rPr>
        <w:t xml:space="preserve"> exception to </w:t>
      </w:r>
      <w:r w:rsidR="00040B32" w:rsidRPr="000E033B">
        <w:rPr>
          <w:rFonts w:ascii="Times New Roman" w:hAnsi="Times New Roman"/>
        </w:rPr>
        <w:t xml:space="preserve">foreign State immunity </w:t>
      </w:r>
      <w:r w:rsidR="002E0F5D" w:rsidRPr="000E033B">
        <w:rPr>
          <w:rFonts w:ascii="Times New Roman" w:hAnsi="Times New Roman"/>
        </w:rPr>
        <w:t>applied</w:t>
      </w:r>
      <w:r w:rsidR="00040B32" w:rsidRPr="000E033B">
        <w:rPr>
          <w:rFonts w:ascii="Times New Roman" w:hAnsi="Times New Roman"/>
        </w:rPr>
        <w:t xml:space="preserve">. </w:t>
      </w:r>
      <w:r w:rsidR="000E4033" w:rsidRPr="000E033B">
        <w:rPr>
          <w:rFonts w:ascii="Times New Roman" w:hAnsi="Times New Roman"/>
        </w:rPr>
        <w:t xml:space="preserve">The </w:t>
      </w:r>
      <w:r w:rsidR="0093033A" w:rsidRPr="000E033B">
        <w:rPr>
          <w:rFonts w:ascii="Times New Roman" w:hAnsi="Times New Roman"/>
        </w:rPr>
        <w:t>appellants</w:t>
      </w:r>
      <w:r w:rsidR="000E4033" w:rsidRPr="000E033B">
        <w:rPr>
          <w:rFonts w:ascii="Times New Roman" w:hAnsi="Times New Roman"/>
        </w:rPr>
        <w:t xml:space="preserve"> argued that</w:t>
      </w:r>
      <w:r w:rsidR="00622487" w:rsidRPr="000E033B">
        <w:rPr>
          <w:rFonts w:ascii="Times New Roman" w:hAnsi="Times New Roman"/>
        </w:rPr>
        <w:t xml:space="preserve"> </w:t>
      </w:r>
      <w:r w:rsidR="00217B40" w:rsidRPr="000E033B">
        <w:rPr>
          <w:rFonts w:ascii="Times New Roman" w:hAnsi="Times New Roman"/>
        </w:rPr>
        <w:t xml:space="preserve">India's annulment of the Devas agreement (but not </w:t>
      </w:r>
      <w:r w:rsidR="00A93996" w:rsidRPr="000E033B">
        <w:rPr>
          <w:rFonts w:ascii="Times New Roman" w:hAnsi="Times New Roman"/>
        </w:rPr>
        <w:t xml:space="preserve">mere </w:t>
      </w:r>
      <w:r w:rsidR="00306E47" w:rsidRPr="000E033B">
        <w:rPr>
          <w:rFonts w:ascii="Times New Roman" w:hAnsi="Times New Roman"/>
        </w:rPr>
        <w:t xml:space="preserve">entry into </w:t>
      </w:r>
      <w:r w:rsidR="00217B40" w:rsidRPr="000E033B">
        <w:rPr>
          <w:rFonts w:ascii="Times New Roman" w:hAnsi="Times New Roman"/>
        </w:rPr>
        <w:t xml:space="preserve">the Devas agreement or the </w:t>
      </w:r>
      <w:r w:rsidR="00355DB4" w:rsidRPr="000E033B">
        <w:rPr>
          <w:rFonts w:ascii="Times New Roman" w:hAnsi="Times New Roman"/>
        </w:rPr>
        <w:t>B</w:t>
      </w:r>
      <w:r w:rsidR="00217B40" w:rsidRPr="000E033B">
        <w:rPr>
          <w:rFonts w:ascii="Times New Roman" w:hAnsi="Times New Roman"/>
        </w:rPr>
        <w:t xml:space="preserve">ilateral </w:t>
      </w:r>
      <w:r w:rsidR="00355DB4" w:rsidRPr="000E033B">
        <w:rPr>
          <w:rFonts w:ascii="Times New Roman" w:hAnsi="Times New Roman"/>
        </w:rPr>
        <w:t>I</w:t>
      </w:r>
      <w:r w:rsidR="00217B40" w:rsidRPr="000E033B">
        <w:rPr>
          <w:rFonts w:ascii="Times New Roman" w:hAnsi="Times New Roman"/>
        </w:rPr>
        <w:t xml:space="preserve">nvestment </w:t>
      </w:r>
      <w:r w:rsidR="00355DB4" w:rsidRPr="000E033B">
        <w:rPr>
          <w:rFonts w:ascii="Times New Roman" w:hAnsi="Times New Roman"/>
        </w:rPr>
        <w:t>T</w:t>
      </w:r>
      <w:r w:rsidR="00217B40" w:rsidRPr="000E033B">
        <w:rPr>
          <w:rFonts w:ascii="Times New Roman" w:hAnsi="Times New Roman"/>
        </w:rPr>
        <w:t xml:space="preserve">reaty) was a "commercial transaction" within the exception to foreign </w:t>
      </w:r>
      <w:r w:rsidR="00542EE4" w:rsidRPr="000E033B">
        <w:rPr>
          <w:rFonts w:ascii="Times New Roman" w:hAnsi="Times New Roman"/>
        </w:rPr>
        <w:t>S</w:t>
      </w:r>
      <w:r w:rsidR="00217B40" w:rsidRPr="000E033B">
        <w:rPr>
          <w:rFonts w:ascii="Times New Roman" w:hAnsi="Times New Roman"/>
        </w:rPr>
        <w:t xml:space="preserve">tate immunity in s 11 of the </w:t>
      </w:r>
      <w:r w:rsidR="00217B40" w:rsidRPr="000E033B">
        <w:rPr>
          <w:rFonts w:ascii="Times New Roman" w:hAnsi="Times New Roman"/>
          <w:i/>
          <w:iCs/>
        </w:rPr>
        <w:t>Foreign States Immunities Act</w:t>
      </w:r>
      <w:r w:rsidR="00217B40" w:rsidRPr="000E033B">
        <w:rPr>
          <w:rFonts w:ascii="Times New Roman" w:hAnsi="Times New Roman"/>
        </w:rPr>
        <w:t>.</w:t>
      </w:r>
      <w:r w:rsidR="00DF58A2" w:rsidRPr="000E033B">
        <w:rPr>
          <w:rStyle w:val="FootnoteReference"/>
          <w:rFonts w:ascii="Times New Roman" w:hAnsi="Times New Roman"/>
          <w:sz w:val="24"/>
        </w:rPr>
        <w:footnoteReference w:id="14"/>
      </w:r>
      <w:r w:rsidR="001353FE" w:rsidRPr="000E033B">
        <w:rPr>
          <w:rFonts w:ascii="Times New Roman" w:hAnsi="Times New Roman"/>
        </w:rPr>
        <w:t xml:space="preserve"> </w:t>
      </w:r>
      <w:r w:rsidR="00AD4F85" w:rsidRPr="000E033B">
        <w:rPr>
          <w:rFonts w:ascii="Times New Roman" w:hAnsi="Times New Roman"/>
        </w:rPr>
        <w:t xml:space="preserve">That issue can </w:t>
      </w:r>
      <w:r w:rsidR="003F2240" w:rsidRPr="000E033B">
        <w:rPr>
          <w:rFonts w:ascii="Times New Roman" w:hAnsi="Times New Roman"/>
        </w:rPr>
        <w:t xml:space="preserve">be put to one side because the primary judge concluded that the annulment was not a commercial transaction </w:t>
      </w:r>
      <w:r w:rsidR="007A424A" w:rsidRPr="000E033B">
        <w:rPr>
          <w:rFonts w:ascii="Times New Roman" w:hAnsi="Times New Roman"/>
        </w:rPr>
        <w:t>within the meaning of s 11</w:t>
      </w:r>
      <w:r w:rsidR="001C190F" w:rsidRPr="000E033B">
        <w:rPr>
          <w:rFonts w:ascii="Times New Roman" w:hAnsi="Times New Roman"/>
        </w:rPr>
        <w:t>,</w:t>
      </w:r>
      <w:r w:rsidR="007A424A" w:rsidRPr="000E033B">
        <w:rPr>
          <w:rStyle w:val="FootnoteReference"/>
          <w:rFonts w:ascii="Times New Roman" w:hAnsi="Times New Roman"/>
          <w:sz w:val="24"/>
        </w:rPr>
        <w:footnoteReference w:id="15"/>
      </w:r>
      <w:r w:rsidR="001C190F" w:rsidRPr="000E033B">
        <w:rPr>
          <w:rFonts w:ascii="Times New Roman" w:hAnsi="Times New Roman"/>
        </w:rPr>
        <w:t xml:space="preserve"> and</w:t>
      </w:r>
      <w:r w:rsidR="002920D0" w:rsidRPr="000E033B">
        <w:rPr>
          <w:rFonts w:ascii="Times New Roman" w:hAnsi="Times New Roman"/>
        </w:rPr>
        <w:t xml:space="preserve"> the appellants did not press</w:t>
      </w:r>
      <w:r w:rsidR="001C190F" w:rsidRPr="000E033B">
        <w:rPr>
          <w:rFonts w:ascii="Times New Roman" w:hAnsi="Times New Roman"/>
        </w:rPr>
        <w:t xml:space="preserve"> a notice </w:t>
      </w:r>
      <w:r w:rsidR="0075328A" w:rsidRPr="000E033B">
        <w:rPr>
          <w:rFonts w:ascii="Times New Roman" w:hAnsi="Times New Roman"/>
        </w:rPr>
        <w:t>of contention in the Full Court disputing this conclusion.</w:t>
      </w:r>
    </w:p>
    <w:p w14:paraId="2258D443" w14:textId="7B49A2A6" w:rsidR="00DA23C7" w:rsidRPr="000E033B" w:rsidRDefault="004C7808" w:rsidP="000E033B">
      <w:pPr>
        <w:pStyle w:val="FixListStyle"/>
        <w:spacing w:after="260" w:line="280" w:lineRule="exact"/>
        <w:ind w:right="0"/>
        <w:jc w:val="both"/>
        <w:rPr>
          <w:rFonts w:ascii="Times New Roman" w:hAnsi="Times New Roman"/>
        </w:rPr>
      </w:pPr>
      <w:r w:rsidRPr="000E033B">
        <w:rPr>
          <w:rFonts w:ascii="Times New Roman" w:hAnsi="Times New Roman"/>
        </w:rPr>
        <w:tab/>
      </w:r>
      <w:r w:rsidR="001353FE" w:rsidRPr="000E033B">
        <w:rPr>
          <w:rFonts w:ascii="Times New Roman" w:hAnsi="Times New Roman"/>
        </w:rPr>
        <w:t>The primary judge held that</w:t>
      </w:r>
      <w:r w:rsidR="004D7798" w:rsidRPr="000E033B">
        <w:rPr>
          <w:rFonts w:ascii="Times New Roman" w:hAnsi="Times New Roman"/>
        </w:rPr>
        <w:t xml:space="preserve">, consistently with the </w:t>
      </w:r>
      <w:r w:rsidR="0008315E" w:rsidRPr="000E033B">
        <w:rPr>
          <w:rFonts w:ascii="Times New Roman" w:hAnsi="Times New Roman"/>
        </w:rPr>
        <w:t>test recognised</w:t>
      </w:r>
      <w:r w:rsidR="00F640B5" w:rsidRPr="000E033B">
        <w:rPr>
          <w:rFonts w:ascii="Times New Roman" w:hAnsi="Times New Roman"/>
        </w:rPr>
        <w:t xml:space="preserve"> by this Court in</w:t>
      </w:r>
      <w:r w:rsidR="000647B8" w:rsidRPr="000E033B">
        <w:rPr>
          <w:rFonts w:ascii="Times New Roman" w:hAnsi="Times New Roman"/>
        </w:rPr>
        <w:t xml:space="preserve"> </w:t>
      </w:r>
      <w:r w:rsidR="00052D26" w:rsidRPr="000E033B">
        <w:rPr>
          <w:rFonts w:ascii="Times New Roman" w:hAnsi="Times New Roman"/>
          <w:i/>
          <w:iCs/>
        </w:rPr>
        <w:t>Kingdom of Spain</w:t>
      </w:r>
      <w:r w:rsidR="00FD1193" w:rsidRPr="000E033B">
        <w:rPr>
          <w:rFonts w:ascii="Times New Roman" w:hAnsi="Times New Roman"/>
          <w:i/>
          <w:iCs/>
        </w:rPr>
        <w:t xml:space="preserve"> v Infrastructure Services Luxembou</w:t>
      </w:r>
      <w:r w:rsidR="00B926D9" w:rsidRPr="000E033B">
        <w:rPr>
          <w:rFonts w:ascii="Times New Roman" w:hAnsi="Times New Roman"/>
          <w:i/>
          <w:iCs/>
        </w:rPr>
        <w:t xml:space="preserve">rg </w:t>
      </w:r>
      <w:proofErr w:type="spellStart"/>
      <w:r w:rsidR="00B926D9" w:rsidRPr="000E033B">
        <w:rPr>
          <w:rFonts w:ascii="Times New Roman" w:hAnsi="Times New Roman"/>
          <w:i/>
          <w:iCs/>
        </w:rPr>
        <w:t>S</w:t>
      </w:r>
      <w:r w:rsidR="002069D3" w:rsidRPr="000E033B">
        <w:rPr>
          <w:rFonts w:ascii="Times New Roman" w:hAnsi="Times New Roman"/>
          <w:i/>
          <w:iCs/>
        </w:rPr>
        <w:t>à</w:t>
      </w:r>
      <w:r w:rsidR="0008315E" w:rsidRPr="000E033B">
        <w:rPr>
          <w:rFonts w:ascii="Times New Roman" w:hAnsi="Times New Roman"/>
          <w:i/>
          <w:iCs/>
        </w:rPr>
        <w:t>rl</w:t>
      </w:r>
      <w:proofErr w:type="spellEnd"/>
      <w:r w:rsidR="00052D26" w:rsidRPr="000E033B">
        <w:rPr>
          <w:rStyle w:val="FootnoteReference"/>
          <w:rFonts w:ascii="Times New Roman" w:hAnsi="Times New Roman"/>
          <w:sz w:val="24"/>
        </w:rPr>
        <w:footnoteReference w:id="16"/>
      </w:r>
      <w:r w:rsidR="007C3D89" w:rsidRPr="000E033B">
        <w:rPr>
          <w:rFonts w:ascii="Times New Roman" w:hAnsi="Times New Roman"/>
          <w:i/>
          <w:iCs/>
        </w:rPr>
        <w:t xml:space="preserve"> </w:t>
      </w:r>
      <w:r w:rsidR="007C3D89" w:rsidRPr="000E033B">
        <w:rPr>
          <w:rFonts w:ascii="Times New Roman" w:hAnsi="Times New Roman"/>
        </w:rPr>
        <w:t xml:space="preserve">for a waiver of foreign State immunity within </w:t>
      </w:r>
      <w:r w:rsidR="00B62CD5" w:rsidRPr="000E033B">
        <w:rPr>
          <w:rFonts w:ascii="Times New Roman" w:hAnsi="Times New Roman"/>
        </w:rPr>
        <w:t>s</w:t>
      </w:r>
      <w:r w:rsidR="00A400B1">
        <w:rPr>
          <w:rFonts w:ascii="Times New Roman" w:hAnsi="Times New Roman"/>
        </w:rPr>
        <w:t>s</w:t>
      </w:r>
      <w:r w:rsidR="00DF248B" w:rsidRPr="000E033B">
        <w:rPr>
          <w:rFonts w:ascii="Times New Roman" w:hAnsi="Times New Roman"/>
        </w:rPr>
        <w:t> </w:t>
      </w:r>
      <w:r w:rsidR="007C3D89" w:rsidRPr="000E033B">
        <w:rPr>
          <w:rFonts w:ascii="Times New Roman" w:hAnsi="Times New Roman"/>
        </w:rPr>
        <w:t xml:space="preserve">10(1) </w:t>
      </w:r>
      <w:r w:rsidR="00B62CD5" w:rsidRPr="000E033B">
        <w:rPr>
          <w:rFonts w:ascii="Times New Roman" w:hAnsi="Times New Roman"/>
        </w:rPr>
        <w:t xml:space="preserve">and </w:t>
      </w:r>
      <w:r w:rsidR="00A400B1">
        <w:rPr>
          <w:rFonts w:ascii="Times New Roman" w:hAnsi="Times New Roman"/>
        </w:rPr>
        <w:t>10</w:t>
      </w:r>
      <w:r w:rsidR="00B62CD5" w:rsidRPr="000E033B">
        <w:rPr>
          <w:rFonts w:ascii="Times New Roman" w:hAnsi="Times New Roman"/>
        </w:rPr>
        <w:t xml:space="preserve">(2) </w:t>
      </w:r>
      <w:r w:rsidR="007C3D89" w:rsidRPr="000E033B">
        <w:rPr>
          <w:rFonts w:ascii="Times New Roman" w:hAnsi="Times New Roman"/>
        </w:rPr>
        <w:t xml:space="preserve">of the </w:t>
      </w:r>
      <w:r w:rsidR="007C3D89" w:rsidRPr="000E033B">
        <w:rPr>
          <w:rFonts w:ascii="Times New Roman" w:hAnsi="Times New Roman"/>
          <w:i/>
          <w:iCs/>
        </w:rPr>
        <w:t>Foreign State</w:t>
      </w:r>
      <w:r w:rsidR="0007458F" w:rsidRPr="000E033B">
        <w:rPr>
          <w:rFonts w:ascii="Times New Roman" w:hAnsi="Times New Roman"/>
          <w:i/>
        </w:rPr>
        <w:t>s</w:t>
      </w:r>
      <w:r w:rsidR="007C3D89" w:rsidRPr="000E033B">
        <w:rPr>
          <w:rFonts w:ascii="Times New Roman" w:hAnsi="Times New Roman"/>
          <w:i/>
          <w:iCs/>
        </w:rPr>
        <w:t xml:space="preserve"> Immunities Act</w:t>
      </w:r>
      <w:r w:rsidR="007C3D89" w:rsidRPr="000E033B">
        <w:rPr>
          <w:rFonts w:ascii="Times New Roman" w:hAnsi="Times New Roman"/>
        </w:rPr>
        <w:t>,</w:t>
      </w:r>
      <w:r w:rsidR="00052D26" w:rsidRPr="000E033B">
        <w:rPr>
          <w:rFonts w:ascii="Times New Roman" w:hAnsi="Times New Roman"/>
        </w:rPr>
        <w:t xml:space="preserve"> </w:t>
      </w:r>
      <w:r w:rsidR="007641B3" w:rsidRPr="000E033B">
        <w:rPr>
          <w:rFonts w:ascii="Times New Roman" w:hAnsi="Times New Roman"/>
        </w:rPr>
        <w:t>th</w:t>
      </w:r>
      <w:r w:rsidR="00BF14F7" w:rsidRPr="000E033B">
        <w:rPr>
          <w:rFonts w:ascii="Times New Roman" w:hAnsi="Times New Roman"/>
        </w:rPr>
        <w:t>ere was a "clear"</w:t>
      </w:r>
      <w:r w:rsidR="00506D34" w:rsidRPr="000E033B">
        <w:rPr>
          <w:rStyle w:val="FootnoteReference"/>
          <w:rFonts w:ascii="Times New Roman" w:hAnsi="Times New Roman"/>
          <w:sz w:val="24"/>
        </w:rPr>
        <w:footnoteReference w:id="17"/>
      </w:r>
      <w:r w:rsidR="00BF14F7" w:rsidRPr="000E033B">
        <w:rPr>
          <w:rFonts w:ascii="Times New Roman" w:hAnsi="Times New Roman"/>
        </w:rPr>
        <w:t xml:space="preserve"> and "unmistakable"</w:t>
      </w:r>
      <w:r w:rsidR="007B6910" w:rsidRPr="000E033B">
        <w:rPr>
          <w:rStyle w:val="FootnoteReference"/>
          <w:rFonts w:ascii="Times New Roman" w:hAnsi="Times New Roman"/>
          <w:sz w:val="24"/>
        </w:rPr>
        <w:footnoteReference w:id="18"/>
      </w:r>
      <w:r w:rsidR="00BF14F7" w:rsidRPr="000E033B">
        <w:rPr>
          <w:rFonts w:ascii="Times New Roman" w:hAnsi="Times New Roman"/>
        </w:rPr>
        <w:t xml:space="preserve"> </w:t>
      </w:r>
      <w:r w:rsidR="000B05BE" w:rsidRPr="000E033B">
        <w:rPr>
          <w:rFonts w:ascii="Times New Roman" w:hAnsi="Times New Roman"/>
        </w:rPr>
        <w:t>implication from the New York Convention</w:t>
      </w:r>
      <w:r w:rsidR="002942B9" w:rsidRPr="000E033B">
        <w:rPr>
          <w:rFonts w:ascii="Times New Roman" w:hAnsi="Times New Roman"/>
        </w:rPr>
        <w:t>, particularly Art</w:t>
      </w:r>
      <w:r w:rsidR="00983C05" w:rsidRPr="000E033B">
        <w:rPr>
          <w:rFonts w:ascii="Times New Roman" w:hAnsi="Times New Roman"/>
        </w:rPr>
        <w:t> </w:t>
      </w:r>
      <w:r w:rsidR="002942B9" w:rsidRPr="000E033B">
        <w:rPr>
          <w:rFonts w:ascii="Times New Roman" w:hAnsi="Times New Roman"/>
        </w:rPr>
        <w:t>III</w:t>
      </w:r>
      <w:r w:rsidR="00A2657A" w:rsidRPr="000E033B">
        <w:rPr>
          <w:rFonts w:ascii="Times New Roman" w:hAnsi="Times New Roman"/>
        </w:rPr>
        <w:t xml:space="preserve"> (interpreted in the context of Art</w:t>
      </w:r>
      <w:r w:rsidR="004773CD" w:rsidRPr="000E033B">
        <w:rPr>
          <w:rFonts w:ascii="Times New Roman" w:hAnsi="Times New Roman"/>
        </w:rPr>
        <w:t>s</w:t>
      </w:r>
      <w:r w:rsidR="00A2657A" w:rsidRPr="000E033B">
        <w:rPr>
          <w:rFonts w:ascii="Times New Roman" w:hAnsi="Times New Roman"/>
        </w:rPr>
        <w:t xml:space="preserve"> I(1) and II(</w:t>
      </w:r>
      <w:r w:rsidR="007E644C" w:rsidRPr="000E033B">
        <w:rPr>
          <w:rFonts w:ascii="Times New Roman" w:hAnsi="Times New Roman"/>
        </w:rPr>
        <w:t>1</w:t>
      </w:r>
      <w:r w:rsidR="00A2657A" w:rsidRPr="000E033B">
        <w:rPr>
          <w:rFonts w:ascii="Times New Roman" w:hAnsi="Times New Roman"/>
        </w:rPr>
        <w:t>))</w:t>
      </w:r>
      <w:r w:rsidR="002942B9" w:rsidRPr="000E033B">
        <w:rPr>
          <w:rFonts w:ascii="Times New Roman" w:hAnsi="Times New Roman"/>
        </w:rPr>
        <w:t>,</w:t>
      </w:r>
      <w:r w:rsidR="000B05BE" w:rsidRPr="000E033B">
        <w:rPr>
          <w:rFonts w:ascii="Times New Roman" w:hAnsi="Times New Roman"/>
        </w:rPr>
        <w:t xml:space="preserve"> </w:t>
      </w:r>
      <w:r w:rsidR="00B34ACE" w:rsidRPr="000E033B">
        <w:rPr>
          <w:rFonts w:ascii="Times New Roman" w:hAnsi="Times New Roman"/>
        </w:rPr>
        <w:t xml:space="preserve">that </w:t>
      </w:r>
      <w:r w:rsidR="003E2275" w:rsidRPr="000E033B">
        <w:rPr>
          <w:rFonts w:ascii="Times New Roman" w:hAnsi="Times New Roman"/>
        </w:rPr>
        <w:t>ratification of</w:t>
      </w:r>
      <w:r w:rsidR="003123C2" w:rsidRPr="000E033B">
        <w:rPr>
          <w:rFonts w:ascii="Times New Roman" w:hAnsi="Times New Roman"/>
        </w:rPr>
        <w:t xml:space="preserve"> that Convention </w:t>
      </w:r>
      <w:r w:rsidR="00B8335C" w:rsidRPr="000E033B">
        <w:rPr>
          <w:rFonts w:ascii="Times New Roman" w:hAnsi="Times New Roman"/>
        </w:rPr>
        <w:t xml:space="preserve">by a State party </w:t>
      </w:r>
      <w:r w:rsidR="00453AED" w:rsidRPr="000E033B">
        <w:rPr>
          <w:rFonts w:ascii="Times New Roman" w:hAnsi="Times New Roman"/>
        </w:rPr>
        <w:t>involved</w:t>
      </w:r>
      <w:r w:rsidR="00B8335C" w:rsidRPr="000E033B">
        <w:rPr>
          <w:rFonts w:ascii="Times New Roman" w:hAnsi="Times New Roman"/>
        </w:rPr>
        <w:t xml:space="preserve"> waive</w:t>
      </w:r>
      <w:r w:rsidR="00453AED" w:rsidRPr="000E033B">
        <w:rPr>
          <w:rFonts w:ascii="Times New Roman" w:hAnsi="Times New Roman"/>
        </w:rPr>
        <w:t>r</w:t>
      </w:r>
      <w:r w:rsidR="00B8335C" w:rsidRPr="000E033B">
        <w:rPr>
          <w:rFonts w:ascii="Times New Roman" w:hAnsi="Times New Roman"/>
        </w:rPr>
        <w:t xml:space="preserve"> </w:t>
      </w:r>
      <w:r w:rsidR="00453AED" w:rsidRPr="000E033B">
        <w:rPr>
          <w:rFonts w:ascii="Times New Roman" w:hAnsi="Times New Roman"/>
        </w:rPr>
        <w:t xml:space="preserve">of </w:t>
      </w:r>
      <w:r w:rsidR="00B8335C" w:rsidRPr="000E033B">
        <w:rPr>
          <w:rFonts w:ascii="Times New Roman" w:hAnsi="Times New Roman"/>
        </w:rPr>
        <w:t>the foreign State immunity of that party</w:t>
      </w:r>
      <w:r w:rsidR="00814AFD" w:rsidRPr="000E033B">
        <w:rPr>
          <w:rFonts w:ascii="Times New Roman" w:hAnsi="Times New Roman"/>
        </w:rPr>
        <w:t>,</w:t>
      </w:r>
      <w:r w:rsidR="00B8335C" w:rsidRPr="000E033B">
        <w:rPr>
          <w:rFonts w:ascii="Times New Roman" w:hAnsi="Times New Roman"/>
        </w:rPr>
        <w:t xml:space="preserve"> </w:t>
      </w:r>
      <w:r w:rsidR="00453AED" w:rsidRPr="000E033B">
        <w:rPr>
          <w:rFonts w:ascii="Times New Roman" w:hAnsi="Times New Roman"/>
        </w:rPr>
        <w:t xml:space="preserve">and hence </w:t>
      </w:r>
      <w:r w:rsidR="005960FE" w:rsidRPr="000E033B">
        <w:rPr>
          <w:rFonts w:ascii="Times New Roman" w:hAnsi="Times New Roman"/>
        </w:rPr>
        <w:t>submission to the jurisdiction of other State parties for the purposes of the Convention</w:t>
      </w:r>
      <w:r w:rsidR="00287399" w:rsidRPr="000E033B">
        <w:rPr>
          <w:rFonts w:ascii="Times New Roman" w:hAnsi="Times New Roman"/>
        </w:rPr>
        <w:t>.</w:t>
      </w:r>
      <w:r w:rsidR="003963B0" w:rsidRPr="000E033B">
        <w:rPr>
          <w:rFonts w:ascii="Times New Roman" w:hAnsi="Times New Roman"/>
        </w:rPr>
        <w:t xml:space="preserve"> </w:t>
      </w:r>
      <w:r w:rsidR="00287399" w:rsidRPr="000E033B">
        <w:rPr>
          <w:rFonts w:ascii="Times New Roman" w:hAnsi="Times New Roman"/>
        </w:rPr>
        <w:t>This was</w:t>
      </w:r>
      <w:r w:rsidR="00814AFD" w:rsidRPr="000E033B">
        <w:rPr>
          <w:rFonts w:ascii="Times New Roman" w:hAnsi="Times New Roman"/>
        </w:rPr>
        <w:t xml:space="preserve"> in circumstances </w:t>
      </w:r>
      <w:r w:rsidR="0043282E" w:rsidRPr="000E033B">
        <w:rPr>
          <w:rFonts w:ascii="Times New Roman" w:hAnsi="Times New Roman"/>
        </w:rPr>
        <w:t xml:space="preserve">where the State party is apparently a party to an award made under </w:t>
      </w:r>
      <w:r w:rsidR="008D7ADE" w:rsidRPr="000E033B">
        <w:rPr>
          <w:rFonts w:ascii="Times New Roman" w:hAnsi="Times New Roman"/>
        </w:rPr>
        <w:t xml:space="preserve">an arbitration agreement irrespective of the validity of that agreement </w:t>
      </w:r>
      <w:r w:rsidR="00DF5CEE" w:rsidRPr="000E033B">
        <w:rPr>
          <w:rFonts w:ascii="Times New Roman" w:hAnsi="Times New Roman"/>
        </w:rPr>
        <w:t>or its application to the dispute the subject of the award</w:t>
      </w:r>
      <w:r w:rsidR="005960FE" w:rsidRPr="000E033B">
        <w:rPr>
          <w:rFonts w:ascii="Times New Roman" w:hAnsi="Times New Roman"/>
        </w:rPr>
        <w:t>.</w:t>
      </w:r>
      <w:r w:rsidR="00453AED" w:rsidRPr="000E033B">
        <w:rPr>
          <w:rStyle w:val="FootnoteReference"/>
          <w:rFonts w:ascii="Times New Roman" w:hAnsi="Times New Roman"/>
          <w:sz w:val="24"/>
        </w:rPr>
        <w:footnoteReference w:id="19"/>
      </w:r>
      <w:r w:rsidR="005960FE" w:rsidRPr="000E033B">
        <w:rPr>
          <w:rFonts w:ascii="Times New Roman" w:hAnsi="Times New Roman"/>
        </w:rPr>
        <w:t xml:space="preserve"> </w:t>
      </w:r>
      <w:r w:rsidR="000647B8" w:rsidRPr="000E033B">
        <w:rPr>
          <w:rFonts w:ascii="Times New Roman" w:hAnsi="Times New Roman"/>
        </w:rPr>
        <w:t xml:space="preserve">His Honour concluded that any defences to recognition and enforcement that India might have, consistently with Art V of the New York Convention, </w:t>
      </w:r>
      <w:r w:rsidR="00F26B5D" w:rsidRPr="000E033B">
        <w:rPr>
          <w:rFonts w:ascii="Times New Roman" w:hAnsi="Times New Roman"/>
        </w:rPr>
        <w:t>were to be determined at a later stage of the proceeding</w:t>
      </w:r>
      <w:r w:rsidR="009C28D3" w:rsidRPr="000E033B">
        <w:rPr>
          <w:rFonts w:ascii="Times New Roman" w:hAnsi="Times New Roman"/>
        </w:rPr>
        <w:t xml:space="preserve"> </w:t>
      </w:r>
      <w:r w:rsidR="00977F4A" w:rsidRPr="000E033B">
        <w:rPr>
          <w:rFonts w:ascii="Times New Roman" w:hAnsi="Times New Roman"/>
        </w:rPr>
        <w:t>in</w:t>
      </w:r>
      <w:r w:rsidR="009C28D3" w:rsidRPr="000E033B">
        <w:rPr>
          <w:rFonts w:ascii="Times New Roman" w:hAnsi="Times New Roman"/>
        </w:rPr>
        <w:t xml:space="preserve"> which India was found to have submitted</w:t>
      </w:r>
      <w:r w:rsidR="00977F4A" w:rsidRPr="000E033B">
        <w:rPr>
          <w:rFonts w:ascii="Times New Roman" w:hAnsi="Times New Roman"/>
        </w:rPr>
        <w:t xml:space="preserve"> to the jurisdiction</w:t>
      </w:r>
      <w:r w:rsidR="009C28D3" w:rsidRPr="000E033B">
        <w:rPr>
          <w:rFonts w:ascii="Times New Roman" w:hAnsi="Times New Roman"/>
        </w:rPr>
        <w:t>.</w:t>
      </w:r>
      <w:r w:rsidR="009C28D3" w:rsidRPr="000E033B">
        <w:rPr>
          <w:rStyle w:val="FootnoteReference"/>
          <w:rFonts w:ascii="Times New Roman" w:hAnsi="Times New Roman"/>
          <w:sz w:val="24"/>
        </w:rPr>
        <w:footnoteReference w:id="20"/>
      </w:r>
      <w:r w:rsidR="00A84835" w:rsidRPr="000E033B">
        <w:rPr>
          <w:rFonts w:ascii="Times New Roman" w:hAnsi="Times New Roman"/>
        </w:rPr>
        <w:t xml:space="preserve"> </w:t>
      </w:r>
      <w:r w:rsidR="003E2636" w:rsidRPr="000E033B">
        <w:rPr>
          <w:rFonts w:ascii="Times New Roman" w:hAnsi="Times New Roman"/>
        </w:rPr>
        <w:t xml:space="preserve">His Honour held </w:t>
      </w:r>
      <w:r w:rsidR="003E2636" w:rsidRPr="000E033B">
        <w:rPr>
          <w:rFonts w:ascii="Times New Roman" w:hAnsi="Times New Roman"/>
        </w:rPr>
        <w:lastRenderedPageBreak/>
        <w:t>that n</w:t>
      </w:r>
      <w:r w:rsidR="00A84835" w:rsidRPr="000E033B">
        <w:rPr>
          <w:rFonts w:ascii="Times New Roman" w:hAnsi="Times New Roman"/>
        </w:rPr>
        <w:t xml:space="preserve">one of the subsidiary issues detracted from </w:t>
      </w:r>
      <w:r w:rsidR="00454B5E" w:rsidRPr="000E033B">
        <w:rPr>
          <w:rFonts w:ascii="Times New Roman" w:hAnsi="Times New Roman"/>
        </w:rPr>
        <w:t xml:space="preserve">the </w:t>
      </w:r>
      <w:r w:rsidR="00A84835" w:rsidRPr="000E033B">
        <w:rPr>
          <w:rFonts w:ascii="Times New Roman" w:hAnsi="Times New Roman"/>
        </w:rPr>
        <w:t>waiver of foreign State immunity</w:t>
      </w:r>
      <w:r w:rsidR="00D075B7" w:rsidRPr="000E033B">
        <w:rPr>
          <w:rFonts w:ascii="Times New Roman" w:hAnsi="Times New Roman"/>
        </w:rPr>
        <w:t xml:space="preserve"> which gave rise to prima facie rights of recognition and enforcement in Australian courts as the </w:t>
      </w:r>
      <w:r w:rsidR="003F7516" w:rsidRPr="000E033B">
        <w:rPr>
          <w:rFonts w:ascii="Times New Roman" w:hAnsi="Times New Roman"/>
        </w:rPr>
        <w:t>conditions of Art</w:t>
      </w:r>
      <w:r w:rsidR="00DA532C" w:rsidRPr="000E033B">
        <w:rPr>
          <w:rFonts w:ascii="Times New Roman" w:hAnsi="Times New Roman"/>
        </w:rPr>
        <w:t> </w:t>
      </w:r>
      <w:r w:rsidR="003F7516" w:rsidRPr="000E033B">
        <w:rPr>
          <w:rFonts w:ascii="Times New Roman" w:hAnsi="Times New Roman"/>
        </w:rPr>
        <w:t>IV had been met</w:t>
      </w:r>
      <w:r w:rsidR="0068400D" w:rsidRPr="000E033B">
        <w:rPr>
          <w:rFonts w:ascii="Times New Roman" w:hAnsi="Times New Roman"/>
        </w:rPr>
        <w:t>.</w:t>
      </w:r>
      <w:r w:rsidR="003F7516" w:rsidRPr="000E033B">
        <w:rPr>
          <w:rStyle w:val="FootnoteReference"/>
          <w:rFonts w:ascii="Times New Roman" w:hAnsi="Times New Roman"/>
          <w:sz w:val="24"/>
        </w:rPr>
        <w:footnoteReference w:id="21"/>
      </w:r>
    </w:p>
    <w:p w14:paraId="4B22DFE5" w14:textId="059F41C4" w:rsidR="00146EF3" w:rsidRPr="000E033B" w:rsidRDefault="00EA1C2C" w:rsidP="000E033B">
      <w:pPr>
        <w:pStyle w:val="FixListStyle"/>
        <w:spacing w:after="260" w:line="280" w:lineRule="exact"/>
        <w:ind w:right="0"/>
        <w:jc w:val="both"/>
        <w:rPr>
          <w:rFonts w:ascii="Times New Roman" w:hAnsi="Times New Roman"/>
        </w:rPr>
      </w:pPr>
      <w:r w:rsidRPr="000E033B">
        <w:rPr>
          <w:rFonts w:ascii="Times New Roman" w:hAnsi="Times New Roman"/>
        </w:rPr>
        <w:tab/>
      </w:r>
      <w:r w:rsidR="00E212A5" w:rsidRPr="000E033B">
        <w:rPr>
          <w:rFonts w:ascii="Times New Roman" w:hAnsi="Times New Roman"/>
        </w:rPr>
        <w:t xml:space="preserve">The primary judge considered that the "clear" and "unmistakable" implication of waiver of foreign State immunity arose </w:t>
      </w:r>
      <w:r w:rsidR="00D371DA" w:rsidRPr="000E033B">
        <w:rPr>
          <w:rFonts w:ascii="Times New Roman" w:hAnsi="Times New Roman"/>
        </w:rPr>
        <w:t>given that Art I</w:t>
      </w:r>
      <w:r w:rsidR="008E4B29" w:rsidRPr="000E033B">
        <w:rPr>
          <w:rFonts w:ascii="Times New Roman" w:hAnsi="Times New Roman"/>
        </w:rPr>
        <w:t>(1)</w:t>
      </w:r>
      <w:r w:rsidR="00D371DA" w:rsidRPr="000E033B">
        <w:rPr>
          <w:rFonts w:ascii="Times New Roman" w:hAnsi="Times New Roman"/>
        </w:rPr>
        <w:t xml:space="preserve"> refers in broad and general terms to "</w:t>
      </w:r>
      <w:r w:rsidR="00106D56" w:rsidRPr="000E033B">
        <w:rPr>
          <w:rFonts w:ascii="Times New Roman" w:hAnsi="Times New Roman"/>
        </w:rPr>
        <w:t>differences between persons, whether physical or legal" and Art II</w:t>
      </w:r>
      <w:r w:rsidR="008E4B29" w:rsidRPr="000E033B">
        <w:rPr>
          <w:rFonts w:ascii="Times New Roman" w:hAnsi="Times New Roman"/>
        </w:rPr>
        <w:t>(1)</w:t>
      </w:r>
      <w:r w:rsidR="00106D56" w:rsidRPr="000E033B">
        <w:rPr>
          <w:rFonts w:ascii="Times New Roman" w:hAnsi="Times New Roman"/>
        </w:rPr>
        <w:t xml:space="preserve"> refers to differences "</w:t>
      </w:r>
      <w:r w:rsidR="006E10E7" w:rsidRPr="000E033B">
        <w:rPr>
          <w:rFonts w:ascii="Times New Roman" w:hAnsi="Times New Roman"/>
        </w:rPr>
        <w:t xml:space="preserve">concerning a subject matter capable of </w:t>
      </w:r>
      <w:r w:rsidR="003F5FB8" w:rsidRPr="000E033B">
        <w:rPr>
          <w:rFonts w:ascii="Times New Roman" w:hAnsi="Times New Roman"/>
        </w:rPr>
        <w:t xml:space="preserve">settlement by </w:t>
      </w:r>
      <w:r w:rsidR="006E10E7" w:rsidRPr="000E033B">
        <w:rPr>
          <w:rFonts w:ascii="Times New Roman" w:hAnsi="Times New Roman"/>
        </w:rPr>
        <w:t>arbitration".</w:t>
      </w:r>
      <w:r w:rsidR="006E10E7" w:rsidRPr="000E033B">
        <w:rPr>
          <w:rStyle w:val="FootnoteReference"/>
          <w:rFonts w:ascii="Times New Roman" w:hAnsi="Times New Roman"/>
          <w:sz w:val="24"/>
        </w:rPr>
        <w:footnoteReference w:id="22"/>
      </w:r>
      <w:r w:rsidR="00854C7A" w:rsidRPr="000E033B">
        <w:rPr>
          <w:rFonts w:ascii="Times New Roman" w:hAnsi="Times New Roman"/>
        </w:rPr>
        <w:t xml:space="preserve"> As India accepted that "legal persons" could include States</w:t>
      </w:r>
      <w:r w:rsidR="00DA1395" w:rsidRPr="000E033B">
        <w:rPr>
          <w:rFonts w:ascii="Times New Roman" w:hAnsi="Times New Roman"/>
        </w:rPr>
        <w:t xml:space="preserve"> and did not suggest that the "difference</w:t>
      </w:r>
      <w:r w:rsidR="009E13F2" w:rsidRPr="000E033B">
        <w:rPr>
          <w:rFonts w:ascii="Times New Roman" w:hAnsi="Times New Roman"/>
        </w:rPr>
        <w:t>s</w:t>
      </w:r>
      <w:r w:rsidR="00DA1395" w:rsidRPr="000E033B">
        <w:rPr>
          <w:rFonts w:ascii="Times New Roman" w:hAnsi="Times New Roman"/>
        </w:rPr>
        <w:t xml:space="preserve">" </w:t>
      </w:r>
      <w:r w:rsidR="00FB3EDB" w:rsidRPr="000E033B">
        <w:rPr>
          <w:rFonts w:ascii="Times New Roman" w:hAnsi="Times New Roman"/>
        </w:rPr>
        <w:t xml:space="preserve">between it and the Mauritian investors </w:t>
      </w:r>
      <w:r w:rsidR="005B02B9" w:rsidRPr="000E033B">
        <w:rPr>
          <w:rFonts w:ascii="Times New Roman" w:hAnsi="Times New Roman"/>
        </w:rPr>
        <w:t>were</w:t>
      </w:r>
      <w:r w:rsidR="00FB3EDB" w:rsidRPr="000E033B">
        <w:rPr>
          <w:rFonts w:ascii="Times New Roman" w:hAnsi="Times New Roman"/>
        </w:rPr>
        <w:t xml:space="preserve"> a subject incapable of </w:t>
      </w:r>
      <w:r w:rsidR="009000B8" w:rsidRPr="000E033B">
        <w:rPr>
          <w:rFonts w:ascii="Times New Roman" w:hAnsi="Times New Roman"/>
        </w:rPr>
        <w:t xml:space="preserve">settlement by </w:t>
      </w:r>
      <w:r w:rsidR="00FB3EDB" w:rsidRPr="000E033B">
        <w:rPr>
          <w:rFonts w:ascii="Times New Roman" w:hAnsi="Times New Roman"/>
        </w:rPr>
        <w:t>arbitration</w:t>
      </w:r>
      <w:r w:rsidR="00F936B7" w:rsidRPr="000E033B">
        <w:rPr>
          <w:rFonts w:ascii="Times New Roman" w:hAnsi="Times New Roman"/>
        </w:rPr>
        <w:t xml:space="preserve">, the primary judge considered that the relevant issue was whether </w:t>
      </w:r>
      <w:r w:rsidR="00A3226D" w:rsidRPr="000E033B">
        <w:rPr>
          <w:rFonts w:ascii="Times New Roman" w:hAnsi="Times New Roman"/>
        </w:rPr>
        <w:t xml:space="preserve">the text of the New York Convention supported </w:t>
      </w:r>
      <w:r w:rsidR="00E175C6" w:rsidRPr="000E033B">
        <w:rPr>
          <w:rFonts w:ascii="Times New Roman" w:hAnsi="Times New Roman"/>
        </w:rPr>
        <w:t>India's proposed</w:t>
      </w:r>
      <w:r w:rsidR="00A3226D" w:rsidRPr="000E033B">
        <w:rPr>
          <w:rFonts w:ascii="Times New Roman" w:hAnsi="Times New Roman"/>
        </w:rPr>
        <w:t xml:space="preserve"> confinement </w:t>
      </w:r>
      <w:r w:rsidR="00E175C6" w:rsidRPr="000E033B">
        <w:rPr>
          <w:rFonts w:ascii="Times New Roman" w:hAnsi="Times New Roman"/>
        </w:rPr>
        <w:t xml:space="preserve">of </w:t>
      </w:r>
      <w:r w:rsidR="00B25887" w:rsidRPr="000E033B">
        <w:rPr>
          <w:rFonts w:ascii="Times New Roman" w:hAnsi="Times New Roman"/>
        </w:rPr>
        <w:t xml:space="preserve">any waiver of foreign State immunity to any "differences" </w:t>
      </w:r>
      <w:r w:rsidR="006106A2" w:rsidRPr="000E033B">
        <w:rPr>
          <w:rFonts w:ascii="Times New Roman" w:hAnsi="Times New Roman"/>
        </w:rPr>
        <w:t>involving States under "commercial" or "private" law</w:t>
      </w:r>
      <w:r w:rsidR="004149B2" w:rsidRPr="000E033B">
        <w:rPr>
          <w:rFonts w:ascii="Times New Roman" w:hAnsi="Times New Roman"/>
        </w:rPr>
        <w:t>. The primary judge could not "see any textual basis for that supposed limitation".</w:t>
      </w:r>
      <w:r w:rsidR="004149B2" w:rsidRPr="000E033B">
        <w:rPr>
          <w:rStyle w:val="FootnoteReference"/>
          <w:rFonts w:ascii="Times New Roman" w:hAnsi="Times New Roman"/>
          <w:sz w:val="24"/>
        </w:rPr>
        <w:footnoteReference w:id="23"/>
      </w:r>
    </w:p>
    <w:p w14:paraId="51764B37" w14:textId="497ADDC7" w:rsidR="00A46DDD" w:rsidRPr="000E033B" w:rsidRDefault="00EA1C2C" w:rsidP="000E033B">
      <w:pPr>
        <w:pStyle w:val="FixListStyle"/>
        <w:spacing w:after="260" w:line="280" w:lineRule="exact"/>
        <w:ind w:right="0"/>
        <w:jc w:val="both"/>
        <w:rPr>
          <w:rFonts w:ascii="Times New Roman" w:hAnsi="Times New Roman"/>
        </w:rPr>
      </w:pPr>
      <w:r w:rsidRPr="000E033B">
        <w:rPr>
          <w:rFonts w:ascii="Times New Roman" w:hAnsi="Times New Roman"/>
        </w:rPr>
        <w:tab/>
      </w:r>
      <w:r w:rsidR="00A46DDD" w:rsidRPr="000E033B">
        <w:rPr>
          <w:rFonts w:ascii="Times New Roman" w:hAnsi="Times New Roman"/>
        </w:rPr>
        <w:t xml:space="preserve">The primary judge also considered that the reference in Art III </w:t>
      </w:r>
      <w:r w:rsidR="001C6A0A" w:rsidRPr="000E033B">
        <w:rPr>
          <w:rFonts w:ascii="Times New Roman" w:hAnsi="Times New Roman"/>
        </w:rPr>
        <w:t>to the recognition and enforcement of arbitral awards "</w:t>
      </w:r>
      <w:r w:rsidR="003A295C" w:rsidRPr="000E033B">
        <w:rPr>
          <w:rFonts w:ascii="Times New Roman" w:hAnsi="Times New Roman"/>
        </w:rPr>
        <w:t xml:space="preserve">in accordance with the rules of procedure of the territory where the award is relied upon" </w:t>
      </w:r>
      <w:r w:rsidR="001C3205" w:rsidRPr="000E033B">
        <w:rPr>
          <w:rFonts w:ascii="Times New Roman" w:hAnsi="Times New Roman"/>
        </w:rPr>
        <w:t xml:space="preserve">did not convey any intention to preserve foreign State immunity of a State </w:t>
      </w:r>
      <w:r w:rsidR="006F5E89" w:rsidRPr="000E033B">
        <w:rPr>
          <w:rFonts w:ascii="Times New Roman" w:hAnsi="Times New Roman"/>
        </w:rPr>
        <w:t xml:space="preserve">which was a party to an award. The primary judge accepted the appellants' argument that as the </w:t>
      </w:r>
      <w:r w:rsidR="00BB55E8" w:rsidRPr="000E033B">
        <w:rPr>
          <w:rFonts w:ascii="Times New Roman" w:hAnsi="Times New Roman"/>
        </w:rPr>
        <w:t>"</w:t>
      </w:r>
      <w:r w:rsidR="006F5E89" w:rsidRPr="000E033B">
        <w:rPr>
          <w:rFonts w:ascii="Times New Roman" w:hAnsi="Times New Roman"/>
        </w:rPr>
        <w:t>very question</w:t>
      </w:r>
      <w:r w:rsidR="00BB55E8" w:rsidRPr="000E033B">
        <w:rPr>
          <w:rFonts w:ascii="Times New Roman" w:hAnsi="Times New Roman"/>
        </w:rPr>
        <w:t>" of waiver of foreign</w:t>
      </w:r>
      <w:r w:rsidR="006759E3" w:rsidRPr="000E033B">
        <w:rPr>
          <w:rFonts w:ascii="Times New Roman" w:hAnsi="Times New Roman"/>
        </w:rPr>
        <w:t xml:space="preserve"> State</w:t>
      </w:r>
      <w:r w:rsidR="00BB55E8" w:rsidRPr="000E033B">
        <w:rPr>
          <w:rFonts w:ascii="Times New Roman" w:hAnsi="Times New Roman"/>
        </w:rPr>
        <w:t xml:space="preserve"> immunity had to be </w:t>
      </w:r>
      <w:r w:rsidR="001A7FC9" w:rsidRPr="000E033B">
        <w:rPr>
          <w:rFonts w:ascii="Times New Roman" w:hAnsi="Times New Roman"/>
        </w:rPr>
        <w:t xml:space="preserve">decided, whether the "rules of procedure" in Art III </w:t>
      </w:r>
      <w:r w:rsidR="003C27D0" w:rsidRPr="000E033B">
        <w:rPr>
          <w:rFonts w:ascii="Times New Roman" w:hAnsi="Times New Roman"/>
        </w:rPr>
        <w:t>included foreign State immunity was an "arid point of taxonomy".</w:t>
      </w:r>
      <w:r w:rsidR="003C27D0" w:rsidRPr="000E033B">
        <w:rPr>
          <w:rStyle w:val="FootnoteReference"/>
          <w:rFonts w:ascii="Times New Roman" w:hAnsi="Times New Roman"/>
          <w:sz w:val="24"/>
        </w:rPr>
        <w:footnoteReference w:id="24"/>
      </w:r>
      <w:r w:rsidR="006F5E89" w:rsidRPr="000E033B">
        <w:rPr>
          <w:rFonts w:ascii="Times New Roman" w:hAnsi="Times New Roman"/>
        </w:rPr>
        <w:t xml:space="preserve"> </w:t>
      </w:r>
    </w:p>
    <w:p w14:paraId="7A87E8C7" w14:textId="399AE524" w:rsidR="00A17F01" w:rsidRPr="000E033B" w:rsidRDefault="008B09FF" w:rsidP="000E033B">
      <w:pPr>
        <w:pStyle w:val="FixListStyle"/>
        <w:spacing w:after="260" w:line="280" w:lineRule="exact"/>
        <w:ind w:right="0"/>
        <w:jc w:val="both"/>
        <w:rPr>
          <w:rFonts w:ascii="Times New Roman" w:hAnsi="Times New Roman"/>
        </w:rPr>
      </w:pPr>
      <w:r w:rsidRPr="000E033B">
        <w:rPr>
          <w:rFonts w:ascii="Times New Roman" w:hAnsi="Times New Roman"/>
        </w:rPr>
        <w:tab/>
      </w:r>
      <w:r w:rsidR="00587C68" w:rsidRPr="000E033B">
        <w:rPr>
          <w:rFonts w:ascii="Times New Roman" w:hAnsi="Times New Roman"/>
        </w:rPr>
        <w:t>An</w:t>
      </w:r>
      <w:r w:rsidR="008373F3" w:rsidRPr="000E033B">
        <w:rPr>
          <w:rFonts w:ascii="Times New Roman" w:hAnsi="Times New Roman"/>
        </w:rPr>
        <w:t xml:space="preserve"> appeal</w:t>
      </w:r>
      <w:r w:rsidR="00587C68" w:rsidRPr="000E033B">
        <w:rPr>
          <w:rFonts w:ascii="Times New Roman" w:hAnsi="Times New Roman"/>
        </w:rPr>
        <w:t xml:space="preserve"> to</w:t>
      </w:r>
      <w:r w:rsidR="008373F3" w:rsidRPr="000E033B">
        <w:rPr>
          <w:rFonts w:ascii="Times New Roman" w:hAnsi="Times New Roman"/>
        </w:rPr>
        <w:t xml:space="preserve"> t</w:t>
      </w:r>
      <w:r w:rsidR="00052D26" w:rsidRPr="000E033B">
        <w:rPr>
          <w:rFonts w:ascii="Times New Roman" w:hAnsi="Times New Roman"/>
        </w:rPr>
        <w:t xml:space="preserve">he Full Court of the Federal Court </w:t>
      </w:r>
      <w:r w:rsidR="00587C68" w:rsidRPr="000E033B">
        <w:rPr>
          <w:rFonts w:ascii="Times New Roman" w:hAnsi="Times New Roman"/>
        </w:rPr>
        <w:t>was allowed. I</w:t>
      </w:r>
      <w:r w:rsidR="005035F9" w:rsidRPr="000E033B">
        <w:rPr>
          <w:rFonts w:ascii="Times New Roman" w:hAnsi="Times New Roman"/>
        </w:rPr>
        <w:t>n a joint judgment,</w:t>
      </w:r>
      <w:r w:rsidR="00522320" w:rsidRPr="000E033B">
        <w:rPr>
          <w:rFonts w:ascii="Times New Roman" w:hAnsi="Times New Roman"/>
        </w:rPr>
        <w:t xml:space="preserve"> </w:t>
      </w:r>
      <w:r w:rsidR="00587C68" w:rsidRPr="000E033B">
        <w:rPr>
          <w:rFonts w:ascii="Times New Roman" w:hAnsi="Times New Roman"/>
        </w:rPr>
        <w:t>t</w:t>
      </w:r>
      <w:r w:rsidR="00F013E2" w:rsidRPr="000E033B">
        <w:rPr>
          <w:rFonts w:ascii="Times New Roman" w:hAnsi="Times New Roman"/>
        </w:rPr>
        <w:t>he Full Court assumed</w:t>
      </w:r>
      <w:r w:rsidR="00210D9C" w:rsidRPr="000E033B">
        <w:rPr>
          <w:rFonts w:ascii="Times New Roman" w:hAnsi="Times New Roman"/>
        </w:rPr>
        <w:t>, without deciding,</w:t>
      </w:r>
      <w:r w:rsidR="00F013E2" w:rsidRPr="000E033B">
        <w:rPr>
          <w:rFonts w:ascii="Times New Roman" w:hAnsi="Times New Roman"/>
        </w:rPr>
        <w:t xml:space="preserve"> that </w:t>
      </w:r>
      <w:r w:rsidR="00210D9C" w:rsidRPr="000E033B">
        <w:rPr>
          <w:rFonts w:ascii="Times New Roman" w:hAnsi="Times New Roman"/>
        </w:rPr>
        <w:t xml:space="preserve">the primary judge was correct that the scope of the New York Convention </w:t>
      </w:r>
      <w:r w:rsidR="00817BD3" w:rsidRPr="000E033B">
        <w:rPr>
          <w:rFonts w:ascii="Times New Roman" w:hAnsi="Times New Roman"/>
        </w:rPr>
        <w:t>was not limited to</w:t>
      </w:r>
      <w:r w:rsidR="001C475E" w:rsidRPr="000E033B">
        <w:rPr>
          <w:rFonts w:ascii="Times New Roman" w:hAnsi="Times New Roman"/>
        </w:rPr>
        <w:t xml:space="preserve"> awards </w:t>
      </w:r>
      <w:r w:rsidR="00C56E9D" w:rsidRPr="000E033B">
        <w:rPr>
          <w:rFonts w:ascii="Times New Roman" w:hAnsi="Times New Roman"/>
        </w:rPr>
        <w:lastRenderedPageBreak/>
        <w:t xml:space="preserve">involving a commercial or private law dispute </w:t>
      </w:r>
      <w:r w:rsidR="001C475E" w:rsidRPr="000E033B">
        <w:rPr>
          <w:rFonts w:ascii="Times New Roman" w:hAnsi="Times New Roman"/>
        </w:rPr>
        <w:t>to which a State was a party</w:t>
      </w:r>
      <w:r w:rsidR="00C56E9D" w:rsidRPr="000E033B">
        <w:rPr>
          <w:rFonts w:ascii="Times New Roman" w:hAnsi="Times New Roman"/>
        </w:rPr>
        <w:t>.</w:t>
      </w:r>
      <w:r w:rsidR="00C56E9D" w:rsidRPr="000E033B">
        <w:rPr>
          <w:rStyle w:val="FootnoteReference"/>
          <w:rFonts w:ascii="Times New Roman" w:hAnsi="Times New Roman"/>
          <w:sz w:val="24"/>
        </w:rPr>
        <w:footnoteReference w:id="25"/>
      </w:r>
      <w:r w:rsidR="001C475E" w:rsidRPr="000E033B">
        <w:rPr>
          <w:rFonts w:ascii="Times New Roman" w:hAnsi="Times New Roman"/>
        </w:rPr>
        <w:t xml:space="preserve"> </w:t>
      </w:r>
      <w:r w:rsidR="004A7EF9" w:rsidRPr="000E033B">
        <w:rPr>
          <w:rFonts w:ascii="Times New Roman" w:hAnsi="Times New Roman"/>
        </w:rPr>
        <w:t xml:space="preserve">On the "principal issue", </w:t>
      </w:r>
      <w:r w:rsidR="005035F9" w:rsidRPr="000E033B">
        <w:rPr>
          <w:rFonts w:ascii="Times New Roman" w:hAnsi="Times New Roman"/>
        </w:rPr>
        <w:t xml:space="preserve">the Full Court </w:t>
      </w:r>
      <w:r w:rsidR="00B61C50" w:rsidRPr="000E033B">
        <w:rPr>
          <w:rFonts w:ascii="Times New Roman" w:hAnsi="Times New Roman"/>
        </w:rPr>
        <w:t>considered, without deciding,</w:t>
      </w:r>
      <w:r w:rsidR="008C1E29" w:rsidRPr="000E033B">
        <w:rPr>
          <w:rFonts w:ascii="Times New Roman" w:hAnsi="Times New Roman"/>
        </w:rPr>
        <w:t xml:space="preserve"> that</w:t>
      </w:r>
      <w:r w:rsidR="00890D14" w:rsidRPr="000E033B">
        <w:rPr>
          <w:rFonts w:ascii="Times New Roman" w:hAnsi="Times New Roman"/>
        </w:rPr>
        <w:t xml:space="preserve"> "essentially for the reasons </w:t>
      </w:r>
      <w:r w:rsidR="00A5437F" w:rsidRPr="000E033B">
        <w:rPr>
          <w:rFonts w:ascii="Times New Roman" w:hAnsi="Times New Roman"/>
        </w:rPr>
        <w:t>that</w:t>
      </w:r>
      <w:r w:rsidR="00890D14" w:rsidRPr="000E033B">
        <w:rPr>
          <w:rFonts w:ascii="Times New Roman" w:hAnsi="Times New Roman"/>
        </w:rPr>
        <w:t xml:space="preserve"> the primary judge</w:t>
      </w:r>
      <w:r w:rsidR="00A5437F" w:rsidRPr="000E033B">
        <w:rPr>
          <w:rFonts w:ascii="Times New Roman" w:hAnsi="Times New Roman"/>
        </w:rPr>
        <w:t xml:space="preserve"> gave</w:t>
      </w:r>
      <w:r w:rsidR="00890D14" w:rsidRPr="000E033B">
        <w:rPr>
          <w:rFonts w:ascii="Times New Roman" w:hAnsi="Times New Roman"/>
        </w:rPr>
        <w:t>"</w:t>
      </w:r>
      <w:r w:rsidR="00BF3C28" w:rsidRPr="000E033B">
        <w:rPr>
          <w:rFonts w:ascii="Times New Roman" w:hAnsi="Times New Roman"/>
        </w:rPr>
        <w:t>,</w:t>
      </w:r>
      <w:r w:rsidR="008C1E29" w:rsidRPr="000E033B">
        <w:rPr>
          <w:rFonts w:ascii="Times New Roman" w:hAnsi="Times New Roman"/>
        </w:rPr>
        <w:t xml:space="preserve"> there was </w:t>
      </w:r>
      <w:r w:rsidR="00890D14" w:rsidRPr="000E033B">
        <w:rPr>
          <w:rFonts w:ascii="Times New Roman" w:hAnsi="Times New Roman"/>
        </w:rPr>
        <w:t>"</w:t>
      </w:r>
      <w:r w:rsidR="00D709A2" w:rsidRPr="000E033B">
        <w:rPr>
          <w:rFonts w:ascii="Times New Roman" w:hAnsi="Times New Roman"/>
        </w:rPr>
        <w:t>much to be said in support of a conclusion that by ratifying the Convention India waived immunity in respect of awards that are within India</w:t>
      </w:r>
      <w:r w:rsidR="00A15C29" w:rsidRPr="000E033B">
        <w:rPr>
          <w:rFonts w:ascii="Times New Roman" w:hAnsi="Times New Roman"/>
        </w:rPr>
        <w:t>'</w:t>
      </w:r>
      <w:r w:rsidR="00D709A2" w:rsidRPr="000E033B">
        <w:rPr>
          <w:rFonts w:ascii="Times New Roman" w:hAnsi="Times New Roman"/>
        </w:rPr>
        <w:t>s commercial reservation</w:t>
      </w:r>
      <w:r w:rsidR="00890D14" w:rsidRPr="000E033B">
        <w:rPr>
          <w:rFonts w:ascii="Times New Roman" w:hAnsi="Times New Roman"/>
        </w:rPr>
        <w:t>".</w:t>
      </w:r>
      <w:r w:rsidR="00A715C6" w:rsidRPr="000E033B">
        <w:rPr>
          <w:rStyle w:val="FootnoteReference"/>
          <w:rFonts w:ascii="Times New Roman" w:hAnsi="Times New Roman"/>
          <w:sz w:val="24"/>
        </w:rPr>
        <w:footnoteReference w:id="26"/>
      </w:r>
      <w:r w:rsidR="005B577C" w:rsidRPr="000E033B">
        <w:rPr>
          <w:rFonts w:ascii="Times New Roman" w:hAnsi="Times New Roman"/>
        </w:rPr>
        <w:t xml:space="preserve"> </w:t>
      </w:r>
    </w:p>
    <w:p w14:paraId="487A3BCC" w14:textId="38C0959E" w:rsidR="00052D26" w:rsidRPr="000E033B" w:rsidRDefault="00A17F01" w:rsidP="000E033B">
      <w:pPr>
        <w:pStyle w:val="FixListStyle"/>
        <w:spacing w:after="260" w:line="280" w:lineRule="exact"/>
        <w:ind w:right="0"/>
        <w:jc w:val="both"/>
        <w:rPr>
          <w:rFonts w:ascii="Times New Roman" w:hAnsi="Times New Roman"/>
        </w:rPr>
      </w:pPr>
      <w:r w:rsidRPr="000E033B">
        <w:rPr>
          <w:rFonts w:ascii="Times New Roman" w:hAnsi="Times New Roman"/>
        </w:rPr>
        <w:tab/>
      </w:r>
      <w:r w:rsidR="005B577C" w:rsidRPr="000E033B">
        <w:rPr>
          <w:rFonts w:ascii="Times New Roman" w:hAnsi="Times New Roman"/>
        </w:rPr>
        <w:t xml:space="preserve">The Full Court </w:t>
      </w:r>
      <w:r w:rsidR="00BB474E" w:rsidRPr="000E033B">
        <w:rPr>
          <w:rFonts w:ascii="Times New Roman" w:hAnsi="Times New Roman"/>
        </w:rPr>
        <w:t xml:space="preserve">nevertheless </w:t>
      </w:r>
      <w:r w:rsidR="005B577C" w:rsidRPr="000E033B">
        <w:rPr>
          <w:rFonts w:ascii="Times New Roman" w:hAnsi="Times New Roman"/>
        </w:rPr>
        <w:t>held</w:t>
      </w:r>
      <w:r w:rsidR="0054054F" w:rsidRPr="000E033B">
        <w:rPr>
          <w:rFonts w:ascii="Times New Roman" w:hAnsi="Times New Roman"/>
        </w:rPr>
        <w:t xml:space="preserve"> that the primary judge</w:t>
      </w:r>
      <w:r w:rsidR="00BB474E" w:rsidRPr="000E033B">
        <w:rPr>
          <w:rFonts w:ascii="Times New Roman" w:hAnsi="Times New Roman"/>
        </w:rPr>
        <w:t xml:space="preserve"> had erred</w:t>
      </w:r>
      <w:r w:rsidR="005B577C" w:rsidRPr="000E033B">
        <w:rPr>
          <w:rFonts w:ascii="Times New Roman" w:hAnsi="Times New Roman"/>
        </w:rPr>
        <w:t xml:space="preserve"> </w:t>
      </w:r>
      <w:r w:rsidR="00950280" w:rsidRPr="000E033B">
        <w:rPr>
          <w:rFonts w:ascii="Times New Roman" w:hAnsi="Times New Roman"/>
        </w:rPr>
        <w:t xml:space="preserve">in concluding that </w:t>
      </w:r>
      <w:r w:rsidR="00552CFB" w:rsidRPr="000E033B">
        <w:rPr>
          <w:rFonts w:ascii="Times New Roman" w:hAnsi="Times New Roman"/>
        </w:rPr>
        <w:t>Art</w:t>
      </w:r>
      <w:r w:rsidR="003B16FA" w:rsidRPr="000E033B">
        <w:rPr>
          <w:rFonts w:ascii="Times New Roman" w:hAnsi="Times New Roman"/>
        </w:rPr>
        <w:t> </w:t>
      </w:r>
      <w:r w:rsidR="00552CFB" w:rsidRPr="000E033B">
        <w:rPr>
          <w:rFonts w:ascii="Times New Roman" w:hAnsi="Times New Roman"/>
        </w:rPr>
        <w:t xml:space="preserve">III of the New York Convention </w:t>
      </w:r>
      <w:r w:rsidR="005A50AB" w:rsidRPr="000E033B">
        <w:rPr>
          <w:rFonts w:ascii="Times New Roman" w:hAnsi="Times New Roman"/>
        </w:rPr>
        <w:t>required Australia to enforce an award within the sc</w:t>
      </w:r>
      <w:r w:rsidR="004C32E2" w:rsidRPr="000E033B">
        <w:rPr>
          <w:rFonts w:ascii="Times New Roman" w:hAnsi="Times New Roman"/>
        </w:rPr>
        <w:t>ope of the Convention on a basis that was broader than</w:t>
      </w:r>
      <w:r w:rsidR="004648A4" w:rsidRPr="000E033B">
        <w:rPr>
          <w:rFonts w:ascii="Times New Roman" w:hAnsi="Times New Roman"/>
        </w:rPr>
        <w:t xml:space="preserve"> the terms of</w:t>
      </w:r>
      <w:r w:rsidR="004C32E2" w:rsidRPr="000E033B">
        <w:rPr>
          <w:rFonts w:ascii="Times New Roman" w:hAnsi="Times New Roman"/>
        </w:rPr>
        <w:t xml:space="preserve"> India's reservation.</w:t>
      </w:r>
      <w:r w:rsidR="00486278" w:rsidRPr="000E033B">
        <w:rPr>
          <w:rStyle w:val="FootnoteReference"/>
          <w:rFonts w:ascii="Times New Roman" w:hAnsi="Times New Roman"/>
          <w:sz w:val="24"/>
        </w:rPr>
        <w:footnoteReference w:id="27"/>
      </w:r>
      <w:r w:rsidR="004C32E2" w:rsidRPr="000E033B">
        <w:rPr>
          <w:rFonts w:ascii="Times New Roman" w:hAnsi="Times New Roman"/>
        </w:rPr>
        <w:t xml:space="preserve"> </w:t>
      </w:r>
      <w:r w:rsidR="005E18E0" w:rsidRPr="000E033B">
        <w:rPr>
          <w:rFonts w:ascii="Times New Roman" w:hAnsi="Times New Roman"/>
        </w:rPr>
        <w:t xml:space="preserve">The Full Court considered that </w:t>
      </w:r>
      <w:r w:rsidR="000C5615" w:rsidRPr="000E033B">
        <w:rPr>
          <w:rFonts w:ascii="Times New Roman" w:hAnsi="Times New Roman"/>
        </w:rPr>
        <w:t>the "reciprocal"</w:t>
      </w:r>
      <w:r w:rsidR="00552A9B" w:rsidRPr="000E033B">
        <w:rPr>
          <w:rFonts w:ascii="Times New Roman" w:hAnsi="Times New Roman"/>
        </w:rPr>
        <w:t xml:space="preserve"> effect of India's reservation was to reduce the content of </w:t>
      </w:r>
      <w:r w:rsidR="002D4A07" w:rsidRPr="000E033B">
        <w:rPr>
          <w:rFonts w:ascii="Times New Roman" w:hAnsi="Times New Roman"/>
        </w:rPr>
        <w:t xml:space="preserve">the obligations of </w:t>
      </w:r>
      <w:r w:rsidR="00552A9B" w:rsidRPr="000E033B">
        <w:rPr>
          <w:rFonts w:ascii="Times New Roman" w:hAnsi="Times New Roman"/>
        </w:rPr>
        <w:t xml:space="preserve">other </w:t>
      </w:r>
      <w:r w:rsidR="004510B8" w:rsidRPr="000E033B">
        <w:rPr>
          <w:rFonts w:ascii="Times New Roman" w:hAnsi="Times New Roman"/>
        </w:rPr>
        <w:t>State parties to the New York Convention.</w:t>
      </w:r>
      <w:r w:rsidR="00C34ABA" w:rsidRPr="000E033B">
        <w:rPr>
          <w:rStyle w:val="FootnoteReference"/>
          <w:rFonts w:ascii="Times New Roman" w:hAnsi="Times New Roman"/>
          <w:sz w:val="24"/>
        </w:rPr>
        <w:footnoteReference w:id="28"/>
      </w:r>
      <w:r w:rsidR="000C5615" w:rsidRPr="000E033B">
        <w:rPr>
          <w:rFonts w:ascii="Times New Roman" w:hAnsi="Times New Roman"/>
        </w:rPr>
        <w:t xml:space="preserve"> </w:t>
      </w:r>
      <w:r w:rsidR="00913B1A" w:rsidRPr="000E033B">
        <w:rPr>
          <w:rFonts w:ascii="Times New Roman" w:hAnsi="Times New Roman"/>
        </w:rPr>
        <w:t>In effect, t</w:t>
      </w:r>
      <w:r w:rsidR="004C32E2" w:rsidRPr="000E033B">
        <w:rPr>
          <w:rFonts w:ascii="Times New Roman" w:hAnsi="Times New Roman"/>
        </w:rPr>
        <w:t xml:space="preserve">he Full Court </w:t>
      </w:r>
      <w:r w:rsidR="00120170" w:rsidRPr="000E033B">
        <w:rPr>
          <w:rFonts w:ascii="Times New Roman" w:hAnsi="Times New Roman"/>
        </w:rPr>
        <w:t xml:space="preserve">treated India's reservation as </w:t>
      </w:r>
      <w:r w:rsidR="00FF1085" w:rsidRPr="000E033B">
        <w:rPr>
          <w:rFonts w:ascii="Times New Roman" w:hAnsi="Times New Roman"/>
        </w:rPr>
        <w:t xml:space="preserve">to how </w:t>
      </w:r>
      <w:r w:rsidR="00FF1085" w:rsidRPr="000E033B">
        <w:rPr>
          <w:rFonts w:ascii="Times New Roman" w:hAnsi="Times New Roman"/>
          <w:i/>
          <w:iCs/>
        </w:rPr>
        <w:t>India</w:t>
      </w:r>
      <w:r w:rsidR="00FF1085" w:rsidRPr="000E033B">
        <w:rPr>
          <w:rFonts w:ascii="Times New Roman" w:hAnsi="Times New Roman"/>
        </w:rPr>
        <w:t xml:space="preserve"> would apply the New York Convention</w:t>
      </w:r>
      <w:r w:rsidR="00E323B5" w:rsidRPr="000E033B">
        <w:rPr>
          <w:rFonts w:ascii="Times New Roman" w:hAnsi="Times New Roman"/>
        </w:rPr>
        <w:t xml:space="preserve"> in its territory</w:t>
      </w:r>
      <w:r w:rsidR="00FF1085" w:rsidRPr="000E033B">
        <w:rPr>
          <w:rFonts w:ascii="Times New Roman" w:hAnsi="Times New Roman"/>
        </w:rPr>
        <w:t xml:space="preserve"> as reducing the obligations </w:t>
      </w:r>
      <w:r w:rsidR="0040007B" w:rsidRPr="000E033B">
        <w:rPr>
          <w:rFonts w:ascii="Times New Roman" w:hAnsi="Times New Roman"/>
        </w:rPr>
        <w:t>of</w:t>
      </w:r>
      <w:r w:rsidR="00FF1085" w:rsidRPr="000E033B">
        <w:rPr>
          <w:rFonts w:ascii="Times New Roman" w:hAnsi="Times New Roman"/>
        </w:rPr>
        <w:t xml:space="preserve"> other States to apply the New York Convention</w:t>
      </w:r>
      <w:r w:rsidR="0004190C" w:rsidRPr="000E033B">
        <w:rPr>
          <w:rFonts w:ascii="Times New Roman" w:hAnsi="Times New Roman"/>
        </w:rPr>
        <w:t xml:space="preserve"> when India was a party</w:t>
      </w:r>
      <w:r w:rsidR="008D3F74" w:rsidRPr="000E033B">
        <w:rPr>
          <w:rFonts w:ascii="Times New Roman" w:hAnsi="Times New Roman"/>
        </w:rPr>
        <w:t xml:space="preserve"> </w:t>
      </w:r>
      <w:r w:rsidR="00506737" w:rsidRPr="000E033B">
        <w:rPr>
          <w:rFonts w:ascii="Times New Roman" w:hAnsi="Times New Roman"/>
        </w:rPr>
        <w:t>to an arbitral award</w:t>
      </w:r>
      <w:r w:rsidR="0099313B" w:rsidRPr="000E033B">
        <w:rPr>
          <w:rFonts w:ascii="Times New Roman" w:hAnsi="Times New Roman"/>
        </w:rPr>
        <w:t>,</w:t>
      </w:r>
      <w:r w:rsidR="0040007B" w:rsidRPr="000E033B">
        <w:rPr>
          <w:rFonts w:ascii="Times New Roman" w:hAnsi="Times New Roman"/>
        </w:rPr>
        <w:t xml:space="preserve"> thus </w:t>
      </w:r>
      <w:r w:rsidR="0004190C" w:rsidRPr="000E033B">
        <w:rPr>
          <w:rFonts w:ascii="Times New Roman" w:hAnsi="Times New Roman"/>
        </w:rPr>
        <w:t>reducing the extent of India's waiver of immunity</w:t>
      </w:r>
      <w:r w:rsidR="00217592" w:rsidRPr="000E033B">
        <w:rPr>
          <w:rFonts w:ascii="Times New Roman" w:hAnsi="Times New Roman"/>
        </w:rPr>
        <w:t xml:space="preserve"> from the jurisdiction of </w:t>
      </w:r>
      <w:r w:rsidR="00941BBD" w:rsidRPr="000E033B">
        <w:rPr>
          <w:rFonts w:ascii="Times New Roman" w:hAnsi="Times New Roman"/>
        </w:rPr>
        <w:t>courts of the other State parties to the Convention</w:t>
      </w:r>
      <w:r w:rsidR="0004190C" w:rsidRPr="000E033B">
        <w:rPr>
          <w:rFonts w:ascii="Times New Roman" w:hAnsi="Times New Roman"/>
        </w:rPr>
        <w:t>.</w:t>
      </w:r>
      <w:r w:rsidR="001926A0" w:rsidRPr="000E033B">
        <w:rPr>
          <w:rStyle w:val="FootnoteReference"/>
          <w:rFonts w:ascii="Times New Roman" w:hAnsi="Times New Roman"/>
          <w:sz w:val="24"/>
        </w:rPr>
        <w:footnoteReference w:id="29"/>
      </w:r>
      <w:r w:rsidRPr="000E033B">
        <w:rPr>
          <w:rFonts w:ascii="Times New Roman" w:hAnsi="Times New Roman"/>
        </w:rPr>
        <w:t xml:space="preserve"> </w:t>
      </w:r>
      <w:r w:rsidR="00F90AB0" w:rsidRPr="000E033B">
        <w:rPr>
          <w:rFonts w:ascii="Times New Roman" w:hAnsi="Times New Roman"/>
        </w:rPr>
        <w:t xml:space="preserve">In the absence of any evidence of Indian law, the Full Court </w:t>
      </w:r>
      <w:r w:rsidR="00983E7E" w:rsidRPr="000E033B">
        <w:rPr>
          <w:rFonts w:ascii="Times New Roman" w:hAnsi="Times New Roman"/>
        </w:rPr>
        <w:t xml:space="preserve">further </w:t>
      </w:r>
      <w:r w:rsidR="00F90AB0" w:rsidRPr="000E033B">
        <w:rPr>
          <w:rFonts w:ascii="Times New Roman" w:hAnsi="Times New Roman"/>
        </w:rPr>
        <w:lastRenderedPageBreak/>
        <w:t>reasoned that Australian law should be applied to determine whether t</w:t>
      </w:r>
      <w:r w:rsidRPr="000E033B">
        <w:rPr>
          <w:rFonts w:ascii="Times New Roman" w:hAnsi="Times New Roman"/>
        </w:rPr>
        <w:t xml:space="preserve">he </w:t>
      </w:r>
      <w:r w:rsidR="00F90AB0" w:rsidRPr="000E033B">
        <w:rPr>
          <w:rFonts w:ascii="Times New Roman" w:hAnsi="Times New Roman"/>
        </w:rPr>
        <w:t xml:space="preserve">circumstances of the arbitral award were </w:t>
      </w:r>
      <w:r w:rsidR="00983E7E" w:rsidRPr="000E033B">
        <w:rPr>
          <w:rFonts w:ascii="Times New Roman" w:hAnsi="Times New Roman"/>
        </w:rPr>
        <w:t>"</w:t>
      </w:r>
      <w:r w:rsidR="00F90AB0" w:rsidRPr="000E033B">
        <w:rPr>
          <w:rFonts w:ascii="Times New Roman" w:hAnsi="Times New Roman"/>
        </w:rPr>
        <w:t>commercial</w:t>
      </w:r>
      <w:r w:rsidR="00983E7E" w:rsidRPr="000E033B">
        <w:rPr>
          <w:rFonts w:ascii="Times New Roman" w:hAnsi="Times New Roman"/>
        </w:rPr>
        <w:t>"</w:t>
      </w:r>
      <w:r w:rsidR="00F90AB0" w:rsidRPr="000E033B">
        <w:rPr>
          <w:rFonts w:ascii="Times New Roman" w:hAnsi="Times New Roman"/>
        </w:rPr>
        <w:t xml:space="preserve"> within the meaning of India's reservation.</w:t>
      </w:r>
      <w:r w:rsidR="00891BAF" w:rsidRPr="000E033B">
        <w:rPr>
          <w:rStyle w:val="FootnoteReference"/>
          <w:rFonts w:ascii="Times New Roman" w:hAnsi="Times New Roman"/>
          <w:sz w:val="24"/>
        </w:rPr>
        <w:footnoteReference w:id="30"/>
      </w:r>
      <w:r w:rsidR="00F90AB0" w:rsidRPr="000E033B">
        <w:rPr>
          <w:rFonts w:ascii="Times New Roman" w:hAnsi="Times New Roman"/>
        </w:rPr>
        <w:t xml:space="preserve"> </w:t>
      </w:r>
      <w:r w:rsidR="00455782" w:rsidRPr="000E033B">
        <w:rPr>
          <w:rFonts w:ascii="Times New Roman" w:hAnsi="Times New Roman"/>
        </w:rPr>
        <w:t xml:space="preserve">The Full Court held that </w:t>
      </w:r>
      <w:r w:rsidR="00432C5E" w:rsidRPr="000E033B">
        <w:rPr>
          <w:rFonts w:ascii="Times New Roman" w:hAnsi="Times New Roman"/>
        </w:rPr>
        <w:t xml:space="preserve">the circumstances were not </w:t>
      </w:r>
      <w:r w:rsidR="00983E7E" w:rsidRPr="000E033B">
        <w:rPr>
          <w:rFonts w:ascii="Times New Roman" w:hAnsi="Times New Roman"/>
        </w:rPr>
        <w:t>"</w:t>
      </w:r>
      <w:r w:rsidR="00432C5E" w:rsidRPr="000E033B">
        <w:rPr>
          <w:rFonts w:ascii="Times New Roman" w:hAnsi="Times New Roman"/>
        </w:rPr>
        <w:t>commercial</w:t>
      </w:r>
      <w:r w:rsidR="00983E7E" w:rsidRPr="000E033B">
        <w:rPr>
          <w:rFonts w:ascii="Times New Roman" w:hAnsi="Times New Roman"/>
        </w:rPr>
        <w:t>"</w:t>
      </w:r>
      <w:r w:rsidR="00432C5E" w:rsidRPr="000E033B">
        <w:rPr>
          <w:rFonts w:ascii="Times New Roman" w:hAnsi="Times New Roman"/>
        </w:rPr>
        <w:t xml:space="preserve">. The scope of any waiver of foreign State immunity by India was therefore considered not to </w:t>
      </w:r>
      <w:r w:rsidR="006242F6" w:rsidRPr="000E033B">
        <w:rPr>
          <w:rFonts w:ascii="Times New Roman" w:hAnsi="Times New Roman"/>
        </w:rPr>
        <w:t xml:space="preserve">extend to </w:t>
      </w:r>
      <w:r w:rsidR="00432C5E" w:rsidRPr="000E033B">
        <w:rPr>
          <w:rFonts w:ascii="Times New Roman" w:hAnsi="Times New Roman"/>
        </w:rPr>
        <w:t>th</w:t>
      </w:r>
      <w:r w:rsidR="00891BAF" w:rsidRPr="000E033B">
        <w:rPr>
          <w:rFonts w:ascii="Times New Roman" w:hAnsi="Times New Roman"/>
        </w:rPr>
        <w:t>e</w:t>
      </w:r>
      <w:r w:rsidR="00432C5E" w:rsidRPr="000E033B">
        <w:rPr>
          <w:rFonts w:ascii="Times New Roman" w:hAnsi="Times New Roman"/>
        </w:rPr>
        <w:t xml:space="preserve"> circumstances</w:t>
      </w:r>
      <w:r w:rsidR="006242F6" w:rsidRPr="000E033B">
        <w:rPr>
          <w:rFonts w:ascii="Times New Roman" w:hAnsi="Times New Roman"/>
        </w:rPr>
        <w:t xml:space="preserve"> upon which the appellants relied</w:t>
      </w:r>
      <w:r w:rsidR="00432C5E" w:rsidRPr="000E033B">
        <w:rPr>
          <w:rFonts w:ascii="Times New Roman" w:hAnsi="Times New Roman"/>
        </w:rPr>
        <w:t>.</w:t>
      </w:r>
      <w:r w:rsidR="006448A0" w:rsidRPr="000E033B">
        <w:rPr>
          <w:rStyle w:val="FootnoteReference"/>
          <w:rFonts w:ascii="Times New Roman" w:hAnsi="Times New Roman"/>
          <w:sz w:val="24"/>
        </w:rPr>
        <w:footnoteReference w:id="31"/>
      </w:r>
      <w:r w:rsidR="00F90AB0" w:rsidRPr="000E033B">
        <w:rPr>
          <w:rFonts w:ascii="Times New Roman" w:hAnsi="Times New Roman"/>
        </w:rPr>
        <w:t xml:space="preserve"> </w:t>
      </w:r>
    </w:p>
    <w:p w14:paraId="61AB7ABE" w14:textId="2D17A07A" w:rsidR="003F4FE6" w:rsidRPr="000E033B" w:rsidRDefault="00E34550" w:rsidP="000E033B">
      <w:pPr>
        <w:pStyle w:val="FixListStyle"/>
        <w:spacing w:after="260" w:line="280" w:lineRule="exact"/>
        <w:ind w:right="0"/>
        <w:jc w:val="both"/>
        <w:rPr>
          <w:rFonts w:ascii="Times New Roman" w:hAnsi="Times New Roman"/>
        </w:rPr>
      </w:pPr>
      <w:r w:rsidRPr="000E033B">
        <w:rPr>
          <w:rFonts w:ascii="Times New Roman" w:hAnsi="Times New Roman"/>
        </w:rPr>
        <w:tab/>
      </w:r>
      <w:r w:rsidR="00965165" w:rsidRPr="000E033B">
        <w:rPr>
          <w:rFonts w:ascii="Times New Roman" w:hAnsi="Times New Roman"/>
        </w:rPr>
        <w:t>The same principal issue</w:t>
      </w:r>
      <w:r w:rsidR="002C4671" w:rsidRPr="000E033B">
        <w:rPr>
          <w:rFonts w:ascii="Times New Roman" w:hAnsi="Times New Roman"/>
        </w:rPr>
        <w:t xml:space="preserve"> </w:t>
      </w:r>
      <w:r w:rsidR="00965165" w:rsidRPr="000E033B">
        <w:rPr>
          <w:rFonts w:ascii="Times New Roman" w:hAnsi="Times New Roman"/>
        </w:rPr>
        <w:t>raised by the parties in</w:t>
      </w:r>
      <w:r w:rsidR="002C4671" w:rsidRPr="000E033B">
        <w:rPr>
          <w:rFonts w:ascii="Times New Roman" w:hAnsi="Times New Roman"/>
        </w:rPr>
        <w:t xml:space="preserve"> the courts below was reagitated in</w:t>
      </w:r>
      <w:r w:rsidR="00965165" w:rsidRPr="000E033B">
        <w:rPr>
          <w:rFonts w:ascii="Times New Roman" w:hAnsi="Times New Roman"/>
        </w:rPr>
        <w:t xml:space="preserve"> this Court</w:t>
      </w:r>
      <w:r w:rsidR="002C4671" w:rsidRPr="000E033B">
        <w:rPr>
          <w:rFonts w:ascii="Times New Roman" w:hAnsi="Times New Roman"/>
        </w:rPr>
        <w:t xml:space="preserve"> by</w:t>
      </w:r>
      <w:r w:rsidR="00965165" w:rsidRPr="000E033B">
        <w:rPr>
          <w:rFonts w:ascii="Times New Roman" w:hAnsi="Times New Roman"/>
        </w:rPr>
        <w:t xml:space="preserve"> </w:t>
      </w:r>
      <w:r w:rsidR="002C4671" w:rsidRPr="000E033B">
        <w:rPr>
          <w:rFonts w:ascii="Times New Roman" w:hAnsi="Times New Roman"/>
        </w:rPr>
        <w:t>g</w:t>
      </w:r>
      <w:r w:rsidRPr="000E033B">
        <w:rPr>
          <w:rFonts w:ascii="Times New Roman" w:hAnsi="Times New Roman"/>
        </w:rPr>
        <w:t xml:space="preserve">round </w:t>
      </w:r>
      <w:r w:rsidR="006705BF" w:rsidRPr="000E033B">
        <w:rPr>
          <w:rFonts w:ascii="Times New Roman" w:hAnsi="Times New Roman"/>
        </w:rPr>
        <w:t>four</w:t>
      </w:r>
      <w:r w:rsidRPr="000E033B">
        <w:rPr>
          <w:rFonts w:ascii="Times New Roman" w:hAnsi="Times New Roman"/>
        </w:rPr>
        <w:t xml:space="preserve"> </w:t>
      </w:r>
      <w:r w:rsidR="00DA23C7" w:rsidRPr="000E033B">
        <w:rPr>
          <w:rFonts w:ascii="Times New Roman" w:hAnsi="Times New Roman"/>
        </w:rPr>
        <w:t xml:space="preserve">of </w:t>
      </w:r>
      <w:r w:rsidR="00AB007C" w:rsidRPr="000E033B">
        <w:rPr>
          <w:rFonts w:ascii="Times New Roman" w:hAnsi="Times New Roman"/>
        </w:rPr>
        <w:t>the appellants' notice of appeal</w:t>
      </w:r>
      <w:r w:rsidR="002C4671" w:rsidRPr="000E033B">
        <w:rPr>
          <w:rFonts w:ascii="Times New Roman" w:hAnsi="Times New Roman"/>
        </w:rPr>
        <w:t>. That ground</w:t>
      </w:r>
      <w:r w:rsidR="0005359B" w:rsidRPr="000E033B">
        <w:rPr>
          <w:rFonts w:ascii="Times New Roman" w:hAnsi="Times New Roman"/>
        </w:rPr>
        <w:t xml:space="preserve"> was </w:t>
      </w:r>
      <w:r w:rsidR="000569FE" w:rsidRPr="000E033B">
        <w:rPr>
          <w:rFonts w:ascii="Times New Roman" w:hAnsi="Times New Roman"/>
        </w:rPr>
        <w:t>that "[t]he Full Court erred in finding that India</w:t>
      </w:r>
      <w:r w:rsidR="00407D6A" w:rsidRPr="000E033B">
        <w:rPr>
          <w:rFonts w:ascii="Times New Roman" w:hAnsi="Times New Roman"/>
        </w:rPr>
        <w:t>'</w:t>
      </w:r>
      <w:r w:rsidR="000569FE" w:rsidRPr="000E033B">
        <w:rPr>
          <w:rFonts w:ascii="Times New Roman" w:hAnsi="Times New Roman"/>
        </w:rPr>
        <w:t>s ratification of the [New York Convention] was not a waiver of</w:t>
      </w:r>
      <w:r w:rsidR="00E4105C" w:rsidRPr="000E033B">
        <w:rPr>
          <w:rFonts w:ascii="Times New Roman" w:hAnsi="Times New Roman"/>
        </w:rPr>
        <w:t xml:space="preserve"> </w:t>
      </w:r>
      <w:r w:rsidR="00F5097C" w:rsidRPr="000E033B">
        <w:rPr>
          <w:rFonts w:ascii="Times New Roman" w:hAnsi="Times New Roman"/>
        </w:rPr>
        <w:t>[</w:t>
      </w:r>
      <w:r w:rsidR="00E4105C" w:rsidRPr="000E033B">
        <w:rPr>
          <w:rFonts w:ascii="Times New Roman" w:hAnsi="Times New Roman"/>
        </w:rPr>
        <w:t>foreign State</w:t>
      </w:r>
      <w:r w:rsidR="008D394F" w:rsidRPr="000E033B">
        <w:rPr>
          <w:rFonts w:ascii="Times New Roman" w:hAnsi="Times New Roman"/>
        </w:rPr>
        <w:t>]</w:t>
      </w:r>
      <w:r w:rsidR="000569FE" w:rsidRPr="000E033B">
        <w:rPr>
          <w:rFonts w:ascii="Times New Roman" w:hAnsi="Times New Roman"/>
        </w:rPr>
        <w:t xml:space="preserve"> immunity for the purposes of s 10(2) [of the] </w:t>
      </w:r>
      <w:r w:rsidR="000569FE" w:rsidRPr="000E033B">
        <w:rPr>
          <w:rFonts w:ascii="Times New Roman" w:hAnsi="Times New Roman"/>
          <w:i/>
          <w:iCs/>
        </w:rPr>
        <w:t>Foreign States Immunities Act</w:t>
      </w:r>
      <w:r w:rsidR="000569FE" w:rsidRPr="000E033B">
        <w:rPr>
          <w:rFonts w:ascii="Times New Roman" w:hAnsi="Times New Roman"/>
        </w:rPr>
        <w:t xml:space="preserve"> </w:t>
      </w:r>
      <w:r w:rsidR="000569FE" w:rsidRPr="000E033B">
        <w:rPr>
          <w:rFonts w:ascii="Times New Roman" w:hAnsi="Times New Roman"/>
          <w:i/>
          <w:iCs/>
        </w:rPr>
        <w:t xml:space="preserve">1985 </w:t>
      </w:r>
      <w:r w:rsidR="000569FE" w:rsidRPr="000E033B">
        <w:rPr>
          <w:rFonts w:ascii="Times New Roman" w:hAnsi="Times New Roman"/>
        </w:rPr>
        <w:t>(</w:t>
      </w:r>
      <w:proofErr w:type="spellStart"/>
      <w:r w:rsidR="000569FE" w:rsidRPr="000E033B">
        <w:rPr>
          <w:rFonts w:ascii="Times New Roman" w:hAnsi="Times New Roman"/>
        </w:rPr>
        <w:t>Cth</w:t>
      </w:r>
      <w:proofErr w:type="spellEnd"/>
      <w:r w:rsidR="000569FE" w:rsidRPr="000E033B">
        <w:rPr>
          <w:rFonts w:ascii="Times New Roman" w:hAnsi="Times New Roman"/>
        </w:rPr>
        <w:t xml:space="preserve">) in proceedings to enforce the Award". </w:t>
      </w:r>
      <w:r w:rsidR="00CF314D" w:rsidRPr="000E033B">
        <w:rPr>
          <w:rFonts w:ascii="Times New Roman" w:hAnsi="Times New Roman"/>
        </w:rPr>
        <w:t>As the appellants put the point in written submissions</w:t>
      </w:r>
      <w:r w:rsidR="008D2945" w:rsidRPr="000E033B">
        <w:rPr>
          <w:rFonts w:ascii="Times New Roman" w:hAnsi="Times New Roman"/>
        </w:rPr>
        <w:t xml:space="preserve">, the question was whether "ratification of the [New York] Convention [was] sufficient to be a waiver of </w:t>
      </w:r>
      <w:r w:rsidR="00E4105C" w:rsidRPr="000E033B">
        <w:rPr>
          <w:rFonts w:ascii="Times New Roman" w:hAnsi="Times New Roman"/>
        </w:rPr>
        <w:t xml:space="preserve">immunity". </w:t>
      </w:r>
      <w:r w:rsidR="005C2FB3" w:rsidRPr="000E033B">
        <w:rPr>
          <w:rFonts w:ascii="Times New Roman" w:hAnsi="Times New Roman"/>
        </w:rPr>
        <w:t>Within the New York Convention the waiver was said to arise from Art</w:t>
      </w:r>
      <w:r w:rsidR="001648F2" w:rsidRPr="000E033B">
        <w:rPr>
          <w:rFonts w:ascii="Times New Roman" w:hAnsi="Times New Roman"/>
        </w:rPr>
        <w:t> </w:t>
      </w:r>
      <w:r w:rsidR="005C2FB3" w:rsidRPr="000E033B">
        <w:rPr>
          <w:rFonts w:ascii="Times New Roman" w:hAnsi="Times New Roman"/>
        </w:rPr>
        <w:t>III</w:t>
      </w:r>
      <w:r w:rsidR="003D3E2B" w:rsidRPr="000E033B">
        <w:rPr>
          <w:rFonts w:ascii="Times New Roman" w:hAnsi="Times New Roman"/>
        </w:rPr>
        <w:t>, in the context of the New York Convention as a whole.</w:t>
      </w:r>
    </w:p>
    <w:p w14:paraId="32ABCA5D" w14:textId="2F2F845C" w:rsidR="00F977DE" w:rsidRPr="000E033B" w:rsidRDefault="00F977DE" w:rsidP="000E033B">
      <w:pPr>
        <w:pStyle w:val="HeadingL1"/>
        <w:spacing w:after="260" w:line="280" w:lineRule="exact"/>
        <w:ind w:right="0"/>
        <w:jc w:val="both"/>
        <w:rPr>
          <w:rFonts w:ascii="Times New Roman" w:hAnsi="Times New Roman"/>
        </w:rPr>
      </w:pPr>
      <w:r w:rsidRPr="000E033B">
        <w:rPr>
          <w:rFonts w:ascii="Times New Roman" w:hAnsi="Times New Roman"/>
        </w:rPr>
        <w:t>No waiver of immunity by ratification of the New York Convention</w:t>
      </w:r>
    </w:p>
    <w:p w14:paraId="037F111B" w14:textId="1A17886F" w:rsidR="00F977DE" w:rsidRPr="000E033B" w:rsidRDefault="00F977DE" w:rsidP="000E033B">
      <w:pPr>
        <w:pStyle w:val="HeadingL2"/>
        <w:spacing w:after="260" w:line="280" w:lineRule="exact"/>
        <w:ind w:right="0"/>
        <w:jc w:val="both"/>
        <w:rPr>
          <w:rFonts w:ascii="Times New Roman" w:hAnsi="Times New Roman"/>
        </w:rPr>
      </w:pPr>
      <w:r w:rsidRPr="000E033B">
        <w:rPr>
          <w:rFonts w:ascii="Times New Roman" w:hAnsi="Times New Roman"/>
        </w:rPr>
        <w:t>The strength of the presumption of foreign State immunity</w:t>
      </w:r>
    </w:p>
    <w:p w14:paraId="3CBFE415" w14:textId="69C36B5B" w:rsidR="00F977DE" w:rsidRPr="000E033B" w:rsidRDefault="00F977DE" w:rsidP="000E033B">
      <w:pPr>
        <w:pStyle w:val="FixListStyle"/>
        <w:spacing w:after="260" w:line="280" w:lineRule="exact"/>
        <w:ind w:right="0"/>
        <w:jc w:val="both"/>
        <w:rPr>
          <w:rFonts w:ascii="Times New Roman" w:hAnsi="Times New Roman"/>
        </w:rPr>
      </w:pPr>
      <w:r w:rsidRPr="000E033B">
        <w:rPr>
          <w:rFonts w:ascii="Times New Roman" w:hAnsi="Times New Roman"/>
        </w:rPr>
        <w:tab/>
        <w:t>Sovereign immunity—the immunity of a State from the exercise of authority by the courts of a foreign State—has been described by the International Court of Justice as a general rule of customary international law.</w:t>
      </w:r>
      <w:r w:rsidRPr="000E033B">
        <w:rPr>
          <w:rStyle w:val="FootnoteReference"/>
          <w:rFonts w:ascii="Times New Roman" w:hAnsi="Times New Roman"/>
          <w:sz w:val="24"/>
        </w:rPr>
        <w:footnoteReference w:id="32"/>
      </w:r>
      <w:r w:rsidRPr="000E033B">
        <w:rPr>
          <w:rFonts w:ascii="Times New Roman" w:hAnsi="Times New Roman"/>
        </w:rPr>
        <w:t xml:space="preserve"> That general rule derives in part from the principle of sovereign equality of States, "one of the fundamental principles of the international legal order".</w:t>
      </w:r>
      <w:r w:rsidRPr="000E033B">
        <w:rPr>
          <w:rStyle w:val="FootnoteReference"/>
          <w:rFonts w:ascii="Times New Roman" w:hAnsi="Times New Roman"/>
          <w:sz w:val="24"/>
        </w:rPr>
        <w:footnoteReference w:id="33"/>
      </w:r>
      <w:r w:rsidRPr="000E033B">
        <w:rPr>
          <w:rFonts w:ascii="Times New Roman" w:hAnsi="Times New Roman"/>
        </w:rPr>
        <w:t xml:space="preserve"> As this Court des</w:t>
      </w:r>
      <w:r w:rsidR="00C04BA2" w:rsidRPr="000E033B">
        <w:rPr>
          <w:rFonts w:ascii="Times New Roman" w:hAnsi="Times New Roman"/>
        </w:rPr>
        <w:t>c</w:t>
      </w:r>
      <w:r w:rsidRPr="000E033B">
        <w:rPr>
          <w:rFonts w:ascii="Times New Roman" w:hAnsi="Times New Roman"/>
        </w:rPr>
        <w:t xml:space="preserve">ribed </w:t>
      </w:r>
      <w:r w:rsidRPr="000E033B">
        <w:rPr>
          <w:rFonts w:ascii="Times New Roman" w:hAnsi="Times New Roman"/>
        </w:rPr>
        <w:lastRenderedPageBreak/>
        <w:t xml:space="preserve">the principle of sovereign equality in </w:t>
      </w:r>
      <w:r w:rsidRPr="000E033B">
        <w:rPr>
          <w:rFonts w:ascii="Times New Roman" w:hAnsi="Times New Roman"/>
          <w:i/>
          <w:iCs/>
        </w:rPr>
        <w:t>Kingdom of Spain</w:t>
      </w:r>
      <w:r w:rsidR="00C44B4C" w:rsidRPr="000E033B">
        <w:rPr>
          <w:rFonts w:ascii="Times New Roman" w:hAnsi="Times New Roman"/>
        </w:rPr>
        <w:t>,</w:t>
      </w:r>
      <w:r w:rsidRPr="000E033B">
        <w:rPr>
          <w:rStyle w:val="FootnoteReference"/>
          <w:rFonts w:ascii="Times New Roman" w:hAnsi="Times New Roman"/>
          <w:sz w:val="24"/>
        </w:rPr>
        <w:footnoteReference w:id="34"/>
      </w:r>
      <w:r w:rsidRPr="000E033B">
        <w:rPr>
          <w:rFonts w:ascii="Times New Roman" w:hAnsi="Times New Roman"/>
        </w:rPr>
        <w:t xml:space="preserve"> it is a "political principle that those who are independent and autonomous cannot, except by consent, exercise authority over, or establish an external source of authority over, others of independent and autonomous status".</w:t>
      </w:r>
    </w:p>
    <w:p w14:paraId="289DBC5B" w14:textId="5082B65C" w:rsidR="00F977DE" w:rsidRPr="000E033B" w:rsidRDefault="00F977DE" w:rsidP="000E033B">
      <w:pPr>
        <w:pStyle w:val="FixListStyle"/>
        <w:spacing w:after="260" w:line="280" w:lineRule="exact"/>
        <w:ind w:right="0"/>
        <w:jc w:val="both"/>
        <w:rPr>
          <w:rFonts w:ascii="Times New Roman" w:hAnsi="Times New Roman"/>
        </w:rPr>
      </w:pPr>
      <w:r w:rsidRPr="000E033B">
        <w:rPr>
          <w:rFonts w:ascii="Times New Roman" w:hAnsi="Times New Roman"/>
        </w:rPr>
        <w:tab/>
        <w:t>In many States, including Australia, foreign State immunity is not absolute but is subject to a range of exceptions where the courts of the local State retain some jurisdiction</w:t>
      </w:r>
      <w:r w:rsidR="00247E8D" w:rsidRPr="000E033B">
        <w:rPr>
          <w:rFonts w:ascii="Times New Roman" w:hAnsi="Times New Roman"/>
        </w:rPr>
        <w:t xml:space="preserve"> over the foreign State</w:t>
      </w:r>
      <w:r w:rsidRPr="000E033B">
        <w:rPr>
          <w:rFonts w:ascii="Times New Roman" w:hAnsi="Times New Roman"/>
        </w:rPr>
        <w:t xml:space="preserve"> as </w:t>
      </w:r>
      <w:r w:rsidR="006D1252" w:rsidRPr="000E033B">
        <w:rPr>
          <w:rFonts w:ascii="Times New Roman" w:hAnsi="Times New Roman"/>
        </w:rPr>
        <w:t>part of the</w:t>
      </w:r>
      <w:r w:rsidRPr="000E033B">
        <w:rPr>
          <w:rFonts w:ascii="Times New Roman" w:hAnsi="Times New Roman"/>
        </w:rPr>
        <w:t xml:space="preserve"> local State's territorial sovereignty.</w:t>
      </w:r>
      <w:r w:rsidRPr="000E033B">
        <w:rPr>
          <w:rStyle w:val="FootnoteReference"/>
          <w:rFonts w:ascii="Times New Roman" w:hAnsi="Times New Roman"/>
          <w:sz w:val="24"/>
        </w:rPr>
        <w:footnoteReference w:id="35"/>
      </w:r>
      <w:r w:rsidRPr="000E033B">
        <w:rPr>
          <w:rFonts w:ascii="Times New Roman" w:hAnsi="Times New Roman"/>
        </w:rPr>
        <w:t xml:space="preserve"> But within the preserved area of immunity, there is a strong presumption that a foreign State has not abandoned its independence and autonomy by waiving </w:t>
      </w:r>
      <w:r w:rsidR="00C37B80" w:rsidRPr="000E033B">
        <w:rPr>
          <w:rFonts w:ascii="Times New Roman" w:hAnsi="Times New Roman"/>
        </w:rPr>
        <w:t xml:space="preserve">that otherwise preserved </w:t>
      </w:r>
      <w:r w:rsidRPr="000E033B">
        <w:rPr>
          <w:rFonts w:ascii="Times New Roman" w:hAnsi="Times New Roman"/>
        </w:rPr>
        <w:t>immunity.</w:t>
      </w:r>
      <w:r w:rsidRPr="000E033B">
        <w:rPr>
          <w:rStyle w:val="FootnoteReference"/>
          <w:rFonts w:ascii="Times New Roman" w:hAnsi="Times New Roman"/>
          <w:sz w:val="24"/>
        </w:rPr>
        <w:footnoteReference w:id="36"/>
      </w:r>
      <w:r w:rsidRPr="000E033B">
        <w:rPr>
          <w:rFonts w:ascii="Times New Roman" w:hAnsi="Times New Roman"/>
        </w:rPr>
        <w:t xml:space="preserve"> As Marshall</w:t>
      </w:r>
      <w:r w:rsidR="00CD6790" w:rsidRPr="000E033B">
        <w:rPr>
          <w:rFonts w:ascii="Times New Roman" w:hAnsi="Times New Roman"/>
        </w:rPr>
        <w:t> </w:t>
      </w:r>
      <w:r w:rsidRPr="000E033B">
        <w:rPr>
          <w:rFonts w:ascii="Times New Roman" w:hAnsi="Times New Roman"/>
        </w:rPr>
        <w:t xml:space="preserve">CJ said in </w:t>
      </w:r>
      <w:r w:rsidRPr="000E033B">
        <w:rPr>
          <w:rFonts w:ascii="Times New Roman" w:hAnsi="Times New Roman"/>
          <w:i/>
          <w:iCs/>
        </w:rPr>
        <w:t xml:space="preserve">The Schooner Exchange v </w:t>
      </w:r>
      <w:proofErr w:type="spellStart"/>
      <w:r w:rsidRPr="000E033B">
        <w:rPr>
          <w:rFonts w:ascii="Times New Roman" w:hAnsi="Times New Roman"/>
          <w:i/>
          <w:iCs/>
        </w:rPr>
        <w:t>McFaddon</w:t>
      </w:r>
      <w:proofErr w:type="spellEnd"/>
      <w:r w:rsidRPr="000E033B">
        <w:rPr>
          <w:rFonts w:ascii="Times New Roman" w:hAnsi="Times New Roman"/>
        </w:rPr>
        <w:t>:</w:t>
      </w:r>
      <w:r w:rsidRPr="000E033B">
        <w:rPr>
          <w:rStyle w:val="FootnoteReference"/>
          <w:rFonts w:ascii="Times New Roman" w:hAnsi="Times New Roman"/>
          <w:sz w:val="24"/>
        </w:rPr>
        <w:footnoteReference w:id="37"/>
      </w:r>
      <w:r w:rsidRPr="000E033B">
        <w:rPr>
          <w:rFonts w:ascii="Times New Roman" w:hAnsi="Times New Roman"/>
        </w:rPr>
        <w:t xml:space="preserve"> </w:t>
      </w:r>
    </w:p>
    <w:p w14:paraId="09603F6D" w14:textId="77777777" w:rsidR="000E033B" w:rsidRDefault="00F977DE" w:rsidP="000E033B">
      <w:pPr>
        <w:pStyle w:val="LeftrightafterHC"/>
        <w:spacing w:before="0" w:after="260" w:line="280" w:lineRule="exact"/>
        <w:ind w:right="0"/>
        <w:jc w:val="both"/>
        <w:rPr>
          <w:rFonts w:ascii="Times New Roman" w:hAnsi="Times New Roman"/>
        </w:rPr>
      </w:pPr>
      <w:r w:rsidRPr="000E033B">
        <w:rPr>
          <w:rFonts w:ascii="Times New Roman" w:hAnsi="Times New Roman"/>
        </w:rPr>
        <w:t>"One sovereign being in no respect amenable to another, and being bound by obligations of the highest character not to degrade the dignity of his nation, by placing himself or its sovereign rights within the jurisdiction of another, can be supposed to enter a foreign territory only under an express license, or in the confidence that the immunities belonging to his independent sovereign station, though not expressly stipulated, are reserved by implication, and will be extended to him."</w:t>
      </w:r>
    </w:p>
    <w:p w14:paraId="798E02C1" w14:textId="274E7EB9" w:rsidR="00F977DE" w:rsidRPr="000E033B" w:rsidRDefault="00F977DE" w:rsidP="000E033B">
      <w:pPr>
        <w:pStyle w:val="FixListStyle"/>
        <w:spacing w:after="260" w:line="280" w:lineRule="exact"/>
        <w:ind w:right="0"/>
        <w:jc w:val="both"/>
        <w:rPr>
          <w:rFonts w:ascii="Times New Roman" w:hAnsi="Times New Roman"/>
        </w:rPr>
      </w:pPr>
      <w:r w:rsidRPr="000E033B">
        <w:rPr>
          <w:rFonts w:ascii="Times New Roman" w:hAnsi="Times New Roman"/>
        </w:rPr>
        <w:tab/>
        <w:t>The strength of the presumption that foreign State immunity has not been waived is the primary reason for the principle that any waiver of foreign State immunity in an international agreement must be clear</w:t>
      </w:r>
      <w:r w:rsidR="00ED7C8E" w:rsidRPr="000E033B">
        <w:rPr>
          <w:rFonts w:ascii="Times New Roman" w:hAnsi="Times New Roman"/>
        </w:rPr>
        <w:t xml:space="preserve"> and </w:t>
      </w:r>
      <w:r w:rsidRPr="000E033B">
        <w:rPr>
          <w:rFonts w:ascii="Times New Roman" w:hAnsi="Times New Roman"/>
        </w:rPr>
        <w:t>unmistakeable</w:t>
      </w:r>
      <w:r w:rsidR="00AC61E8" w:rsidRPr="000E033B">
        <w:rPr>
          <w:rFonts w:ascii="Times New Roman" w:hAnsi="Times New Roman"/>
        </w:rPr>
        <w:t xml:space="preserve">. Such </w:t>
      </w:r>
      <w:r w:rsidR="00AC61E8" w:rsidRPr="000E033B">
        <w:rPr>
          <w:rFonts w:ascii="Times New Roman" w:hAnsi="Times New Roman"/>
        </w:rPr>
        <w:lastRenderedPageBreak/>
        <w:t>waiver must be</w:t>
      </w:r>
      <w:r w:rsidRPr="000E033B">
        <w:rPr>
          <w:rFonts w:ascii="Times New Roman" w:hAnsi="Times New Roman"/>
        </w:rPr>
        <w:t xml:space="preserve"> derived from </w:t>
      </w:r>
      <w:r w:rsidR="00753328" w:rsidRPr="000E033B">
        <w:rPr>
          <w:rFonts w:ascii="Times New Roman" w:hAnsi="Times New Roman"/>
        </w:rPr>
        <w:t xml:space="preserve">the </w:t>
      </w:r>
      <w:r w:rsidRPr="000E033B">
        <w:rPr>
          <w:rFonts w:ascii="Times New Roman" w:hAnsi="Times New Roman"/>
        </w:rPr>
        <w:t>express words of the agreement (including necessary implications from those words).</w:t>
      </w:r>
      <w:r w:rsidRPr="000E033B">
        <w:rPr>
          <w:rStyle w:val="FootnoteReference"/>
          <w:rFonts w:ascii="Times New Roman" w:hAnsi="Times New Roman"/>
          <w:sz w:val="24"/>
        </w:rPr>
        <w:footnoteReference w:id="38"/>
      </w:r>
      <w:r w:rsidRPr="000E033B">
        <w:rPr>
          <w:rFonts w:ascii="Times New Roman" w:hAnsi="Times New Roman"/>
        </w:rPr>
        <w:t xml:space="preserve"> </w:t>
      </w:r>
    </w:p>
    <w:p w14:paraId="7CD756C0" w14:textId="77777777" w:rsidR="000372B4" w:rsidRPr="000E033B" w:rsidRDefault="000372B4" w:rsidP="000E033B">
      <w:pPr>
        <w:pStyle w:val="HeadingL2"/>
        <w:spacing w:after="260" w:line="280" w:lineRule="exact"/>
        <w:ind w:right="0"/>
        <w:jc w:val="both"/>
        <w:rPr>
          <w:rFonts w:ascii="Times New Roman" w:hAnsi="Times New Roman"/>
        </w:rPr>
      </w:pPr>
      <w:r w:rsidRPr="000E033B">
        <w:rPr>
          <w:rFonts w:ascii="Times New Roman" w:hAnsi="Times New Roman"/>
        </w:rPr>
        <w:t>The presumption of foreign State immunity was not overcome</w:t>
      </w:r>
    </w:p>
    <w:p w14:paraId="02C2A1A0" w14:textId="4A9B2957" w:rsidR="009A3C0C" w:rsidRPr="000E033B" w:rsidRDefault="000372B4" w:rsidP="000E033B">
      <w:pPr>
        <w:pStyle w:val="FixListStyle"/>
        <w:spacing w:after="260" w:line="280" w:lineRule="exact"/>
        <w:ind w:right="0"/>
        <w:jc w:val="both"/>
        <w:rPr>
          <w:rFonts w:ascii="Times New Roman" w:hAnsi="Times New Roman"/>
        </w:rPr>
      </w:pPr>
      <w:r w:rsidRPr="000E033B">
        <w:rPr>
          <w:rFonts w:ascii="Times New Roman" w:hAnsi="Times New Roman"/>
        </w:rPr>
        <w:tab/>
      </w:r>
      <w:r w:rsidR="00826DBD" w:rsidRPr="000E033B">
        <w:rPr>
          <w:rFonts w:ascii="Times New Roman" w:hAnsi="Times New Roman"/>
        </w:rPr>
        <w:t xml:space="preserve">The </w:t>
      </w:r>
      <w:r w:rsidR="00FD6EB8" w:rsidRPr="000E033B">
        <w:rPr>
          <w:rFonts w:ascii="Times New Roman" w:hAnsi="Times New Roman"/>
        </w:rPr>
        <w:t xml:space="preserve">starting point in assessing whether the presumption of foreign State immunity is overcome in the New York Convention is that </w:t>
      </w:r>
      <w:r w:rsidR="00962A42" w:rsidRPr="000E033B">
        <w:rPr>
          <w:rFonts w:ascii="Times New Roman" w:hAnsi="Times New Roman"/>
        </w:rPr>
        <w:t xml:space="preserve">the text of the Convention contains no express reference to foreign State immunity. </w:t>
      </w:r>
      <w:r w:rsidR="003C423B" w:rsidRPr="000E033B">
        <w:rPr>
          <w:rFonts w:ascii="Times New Roman" w:hAnsi="Times New Roman"/>
        </w:rPr>
        <w:t>So too there is limited</w:t>
      </w:r>
      <w:r w:rsidR="009B3158" w:rsidRPr="000E033B">
        <w:rPr>
          <w:rFonts w:ascii="Times New Roman" w:hAnsi="Times New Roman"/>
        </w:rPr>
        <w:t xml:space="preserve"> and potentially conflicting</w:t>
      </w:r>
      <w:r w:rsidR="003C423B" w:rsidRPr="000E033B">
        <w:rPr>
          <w:rFonts w:ascii="Times New Roman" w:hAnsi="Times New Roman"/>
        </w:rPr>
        <w:t xml:space="preserve"> consideration of foreign State immunity in the travaux </w:t>
      </w:r>
      <w:proofErr w:type="spellStart"/>
      <w:r w:rsidR="002E669A" w:rsidRPr="000E033B">
        <w:rPr>
          <w:rFonts w:ascii="Times New Roman" w:hAnsi="Times New Roman"/>
        </w:rPr>
        <w:t>préparatoires</w:t>
      </w:r>
      <w:proofErr w:type="spellEnd"/>
      <w:r w:rsidR="002E669A" w:rsidRPr="000E033B">
        <w:rPr>
          <w:rFonts w:ascii="Times New Roman" w:hAnsi="Times New Roman"/>
        </w:rPr>
        <w:t xml:space="preserve"> to the New York Convention.</w:t>
      </w:r>
      <w:r w:rsidR="001A4F02" w:rsidRPr="000E033B">
        <w:rPr>
          <w:rFonts w:ascii="Times New Roman" w:hAnsi="Times New Roman"/>
        </w:rPr>
        <w:t xml:space="preserve"> </w:t>
      </w:r>
      <w:r w:rsidR="00FD6EB8" w:rsidRPr="000E033B">
        <w:rPr>
          <w:rFonts w:ascii="Times New Roman" w:hAnsi="Times New Roman"/>
        </w:rPr>
        <w:t>This is an inauspicious start for any submission that ratification of the New York Convention was a clear, unmistakeable, and unequivocal waiver of foreign State immunity.</w:t>
      </w:r>
    </w:p>
    <w:p w14:paraId="57AC3A85" w14:textId="578866D0" w:rsidR="009A3C0C" w:rsidRPr="000E033B" w:rsidRDefault="009A3C0C" w:rsidP="000E033B">
      <w:pPr>
        <w:pStyle w:val="FixListStyle"/>
        <w:spacing w:after="260" w:line="280" w:lineRule="exact"/>
        <w:ind w:right="0"/>
        <w:jc w:val="both"/>
        <w:rPr>
          <w:rFonts w:ascii="Times New Roman" w:hAnsi="Times New Roman"/>
        </w:rPr>
      </w:pPr>
      <w:r w:rsidRPr="000E033B">
        <w:rPr>
          <w:rFonts w:ascii="Times New Roman" w:hAnsi="Times New Roman"/>
        </w:rPr>
        <w:tab/>
      </w:r>
      <w:r w:rsidR="0022129C" w:rsidRPr="000E033B">
        <w:rPr>
          <w:rFonts w:ascii="Times New Roman" w:hAnsi="Times New Roman"/>
        </w:rPr>
        <w:t>The absence of any express mention of foreign State immunity in the text of the New York Convention read in the context of the limited</w:t>
      </w:r>
      <w:r w:rsidR="009B3158" w:rsidRPr="000E033B">
        <w:rPr>
          <w:rFonts w:ascii="Times New Roman" w:hAnsi="Times New Roman"/>
        </w:rPr>
        <w:t xml:space="preserve"> and ambiguous</w:t>
      </w:r>
      <w:r w:rsidR="0022129C" w:rsidRPr="000E033B">
        <w:rPr>
          <w:rFonts w:ascii="Times New Roman" w:hAnsi="Times New Roman"/>
        </w:rPr>
        <w:t xml:space="preserve"> consideration of foreign State immunity in the travaux </w:t>
      </w:r>
      <w:proofErr w:type="spellStart"/>
      <w:r w:rsidR="0022129C" w:rsidRPr="000E033B">
        <w:rPr>
          <w:rFonts w:ascii="Times New Roman" w:hAnsi="Times New Roman"/>
        </w:rPr>
        <w:t>préparatoires</w:t>
      </w:r>
      <w:proofErr w:type="spellEnd"/>
      <w:r w:rsidR="0022129C" w:rsidRPr="000E033B">
        <w:rPr>
          <w:rFonts w:ascii="Times New Roman" w:hAnsi="Times New Roman"/>
        </w:rPr>
        <w:t xml:space="preserve"> is unsurprising</w:t>
      </w:r>
      <w:r w:rsidRPr="000E033B">
        <w:rPr>
          <w:rFonts w:ascii="Times New Roman" w:hAnsi="Times New Roman"/>
        </w:rPr>
        <w:t>. As Professor Sanders, the "father of the New York Convention",</w:t>
      </w:r>
      <w:r w:rsidRPr="000E033B">
        <w:rPr>
          <w:rStyle w:val="FootnoteReference"/>
          <w:rFonts w:ascii="Times New Roman" w:hAnsi="Times New Roman"/>
          <w:sz w:val="24"/>
        </w:rPr>
        <w:footnoteReference w:id="39"/>
      </w:r>
      <w:r w:rsidRPr="000E033B">
        <w:rPr>
          <w:rFonts w:ascii="Times New Roman" w:hAnsi="Times New Roman"/>
        </w:rPr>
        <w:t xml:space="preserve"> observed, it was hoped that "as large a number of States as possible will adhere to the Convention".</w:t>
      </w:r>
      <w:r w:rsidRPr="000E033B">
        <w:rPr>
          <w:rStyle w:val="FootnoteReference"/>
          <w:rFonts w:ascii="Times New Roman" w:hAnsi="Times New Roman"/>
          <w:sz w:val="24"/>
        </w:rPr>
        <w:footnoteReference w:id="40"/>
      </w:r>
      <w:r w:rsidRPr="000E033B">
        <w:rPr>
          <w:rFonts w:ascii="Times New Roman" w:hAnsi="Times New Roman"/>
        </w:rPr>
        <w:t xml:space="preserve"> In light of the importance of the fundamental principle of sovereign immunity, an inclusion </w:t>
      </w:r>
      <w:r w:rsidR="00A5688A" w:rsidRPr="000E033B">
        <w:rPr>
          <w:rFonts w:ascii="Times New Roman" w:hAnsi="Times New Roman"/>
        </w:rPr>
        <w:t>o</w:t>
      </w:r>
      <w:r w:rsidR="005E6A3F" w:rsidRPr="000E033B">
        <w:rPr>
          <w:rFonts w:ascii="Times New Roman" w:hAnsi="Times New Roman"/>
        </w:rPr>
        <w:t>f express waiver</w:t>
      </w:r>
      <w:r w:rsidR="00C309AC" w:rsidRPr="000E033B">
        <w:rPr>
          <w:rFonts w:ascii="Times New Roman" w:hAnsi="Times New Roman"/>
        </w:rPr>
        <w:t xml:space="preserve"> of sovereign immunity</w:t>
      </w:r>
      <w:r w:rsidR="005E6A3F" w:rsidRPr="000E033B">
        <w:rPr>
          <w:rFonts w:ascii="Times New Roman" w:hAnsi="Times New Roman"/>
        </w:rPr>
        <w:t xml:space="preserve"> </w:t>
      </w:r>
      <w:r w:rsidRPr="000E033B">
        <w:rPr>
          <w:rFonts w:ascii="Times New Roman" w:hAnsi="Times New Roman"/>
        </w:rPr>
        <w:t>would have been highly contentious and would have been the subject of considerable debate and controversy. Hence, Professor Bjorklund remarked that it is "clear ... based on the negotiating history of the Convention, that the delegates did not intend to preclude an immunity-based argument in enforcement actions against states".</w:t>
      </w:r>
      <w:r w:rsidRPr="000E033B">
        <w:rPr>
          <w:rStyle w:val="FootnoteReference"/>
          <w:rFonts w:ascii="Times New Roman" w:hAnsi="Times New Roman"/>
          <w:sz w:val="24"/>
        </w:rPr>
        <w:footnoteReference w:id="41"/>
      </w:r>
    </w:p>
    <w:p w14:paraId="60B26A0E" w14:textId="06774AC0" w:rsidR="00826DBD" w:rsidRPr="000E033B" w:rsidRDefault="009A3C0C" w:rsidP="000E033B">
      <w:pPr>
        <w:pStyle w:val="FixListStyle"/>
        <w:spacing w:after="260" w:line="280" w:lineRule="exact"/>
        <w:ind w:right="0"/>
        <w:jc w:val="both"/>
        <w:rPr>
          <w:rFonts w:ascii="Times New Roman" w:hAnsi="Times New Roman"/>
        </w:rPr>
      </w:pPr>
      <w:r w:rsidRPr="000E033B">
        <w:rPr>
          <w:rFonts w:ascii="Times New Roman" w:hAnsi="Times New Roman"/>
        </w:rPr>
        <w:lastRenderedPageBreak/>
        <w:tab/>
      </w:r>
      <w:r w:rsidR="00070A23" w:rsidRPr="000E033B">
        <w:rPr>
          <w:rFonts w:ascii="Times New Roman" w:hAnsi="Times New Roman"/>
        </w:rPr>
        <w:t xml:space="preserve">To the </w:t>
      </w:r>
      <w:r w:rsidR="00B359B5" w:rsidRPr="000E033B">
        <w:rPr>
          <w:rFonts w:ascii="Times New Roman" w:hAnsi="Times New Roman"/>
        </w:rPr>
        <w:t xml:space="preserve">limited </w:t>
      </w:r>
      <w:r w:rsidR="00070A23" w:rsidRPr="000E033B">
        <w:rPr>
          <w:rFonts w:ascii="Times New Roman" w:hAnsi="Times New Roman"/>
        </w:rPr>
        <w:t xml:space="preserve">extent that there is </w:t>
      </w:r>
      <w:r w:rsidR="001858E0" w:rsidRPr="000E033B">
        <w:rPr>
          <w:rFonts w:ascii="Times New Roman" w:hAnsi="Times New Roman"/>
        </w:rPr>
        <w:t xml:space="preserve">consideration of foreign State immunity in the travaux </w:t>
      </w:r>
      <w:proofErr w:type="spellStart"/>
      <w:r w:rsidR="001858E0" w:rsidRPr="000E033B">
        <w:rPr>
          <w:rFonts w:ascii="Times New Roman" w:hAnsi="Times New Roman"/>
        </w:rPr>
        <w:t>préparatoires</w:t>
      </w:r>
      <w:proofErr w:type="spellEnd"/>
      <w:r w:rsidR="001858E0" w:rsidRPr="000E033B">
        <w:rPr>
          <w:rFonts w:ascii="Times New Roman" w:hAnsi="Times New Roman"/>
        </w:rPr>
        <w:t>, that consideration demonstrates an intention to preserve foreign State immunity in the courts of other States.</w:t>
      </w:r>
      <w:r w:rsidR="000963CD" w:rsidRPr="000E033B">
        <w:rPr>
          <w:rFonts w:ascii="Times New Roman" w:hAnsi="Times New Roman"/>
        </w:rPr>
        <w:t xml:space="preserve"> </w:t>
      </w:r>
      <w:r w:rsidR="00976541" w:rsidRPr="000E033B">
        <w:rPr>
          <w:rFonts w:ascii="Times New Roman" w:hAnsi="Times New Roman"/>
        </w:rPr>
        <w:t xml:space="preserve">The </w:t>
      </w:r>
      <w:r w:rsidR="00382899" w:rsidRPr="000E033B">
        <w:rPr>
          <w:rFonts w:ascii="Times New Roman" w:hAnsi="Times New Roman"/>
        </w:rPr>
        <w:t xml:space="preserve">travaux </w:t>
      </w:r>
      <w:proofErr w:type="spellStart"/>
      <w:r w:rsidR="00382899" w:rsidRPr="000E033B">
        <w:rPr>
          <w:rFonts w:ascii="Times New Roman" w:hAnsi="Times New Roman"/>
        </w:rPr>
        <w:t>préparatoires</w:t>
      </w:r>
      <w:proofErr w:type="spellEnd"/>
      <w:r w:rsidR="00382899" w:rsidRPr="000E033B">
        <w:rPr>
          <w:rFonts w:ascii="Times New Roman" w:hAnsi="Times New Roman"/>
        </w:rPr>
        <w:t xml:space="preserve"> include a report of a committee </w:t>
      </w:r>
      <w:r w:rsidR="00976541" w:rsidRPr="000E033B">
        <w:rPr>
          <w:rFonts w:ascii="Times New Roman" w:hAnsi="Times New Roman"/>
        </w:rPr>
        <w:t xml:space="preserve">appointed by the United Nations Economic and Social Council ("the Ad Hoc Committee") to address problems with </w:t>
      </w:r>
      <w:r w:rsidR="00DA59B9" w:rsidRPr="000E033B">
        <w:rPr>
          <w:rFonts w:ascii="Times New Roman" w:hAnsi="Times New Roman"/>
        </w:rPr>
        <w:t>two earlier conventions ("</w:t>
      </w:r>
      <w:r w:rsidR="00976541" w:rsidRPr="000E033B">
        <w:rPr>
          <w:rFonts w:ascii="Times New Roman" w:hAnsi="Times New Roman"/>
        </w:rPr>
        <w:t>the Geneva Arbitration Conventions</w:t>
      </w:r>
      <w:r w:rsidR="00DA59B9" w:rsidRPr="000E033B">
        <w:rPr>
          <w:rFonts w:ascii="Times New Roman" w:hAnsi="Times New Roman"/>
        </w:rPr>
        <w:t>")</w:t>
      </w:r>
      <w:r w:rsidR="00DA59B9" w:rsidRPr="000E033B">
        <w:rPr>
          <w:rStyle w:val="FootnoteReference"/>
          <w:rFonts w:ascii="Times New Roman" w:hAnsi="Times New Roman"/>
          <w:sz w:val="24"/>
        </w:rPr>
        <w:footnoteReference w:id="42"/>
      </w:r>
      <w:r w:rsidR="00976541" w:rsidRPr="000E033B">
        <w:rPr>
          <w:rFonts w:ascii="Times New Roman" w:hAnsi="Times New Roman"/>
        </w:rPr>
        <w:t xml:space="preserve"> and to consider a draft of a proposed new convention ("</w:t>
      </w:r>
      <w:r w:rsidR="00756002" w:rsidRPr="000E033B">
        <w:rPr>
          <w:rFonts w:ascii="Times New Roman" w:hAnsi="Times New Roman"/>
        </w:rPr>
        <w:t xml:space="preserve">the </w:t>
      </w:r>
      <w:r w:rsidR="00976541" w:rsidRPr="000E033B">
        <w:rPr>
          <w:rFonts w:ascii="Times New Roman" w:hAnsi="Times New Roman"/>
        </w:rPr>
        <w:t>ICC Draft Convention") by the International Chamber of Commerce ("the ICC") Committee on International Commercial Arbitration.</w:t>
      </w:r>
      <w:r w:rsidR="006B06EA" w:rsidRPr="000E033B">
        <w:rPr>
          <w:rFonts w:ascii="Times New Roman" w:hAnsi="Times New Roman"/>
        </w:rPr>
        <w:t xml:space="preserve"> The </w:t>
      </w:r>
      <w:r w:rsidR="000963CD" w:rsidRPr="000E033B">
        <w:rPr>
          <w:rFonts w:ascii="Times New Roman" w:hAnsi="Times New Roman"/>
        </w:rPr>
        <w:t>Ad Hoc Committee</w:t>
      </w:r>
      <w:r w:rsidR="00E94525" w:rsidRPr="000E033B">
        <w:rPr>
          <w:rFonts w:ascii="Times New Roman" w:hAnsi="Times New Roman"/>
        </w:rPr>
        <w:t xml:space="preserve"> report record</w:t>
      </w:r>
      <w:r w:rsidR="00997DAA" w:rsidRPr="000E033B">
        <w:rPr>
          <w:rFonts w:ascii="Times New Roman" w:hAnsi="Times New Roman"/>
        </w:rPr>
        <w:t>ed</w:t>
      </w:r>
      <w:r w:rsidR="00E94525" w:rsidRPr="000E033B">
        <w:rPr>
          <w:rFonts w:ascii="Times New Roman" w:hAnsi="Times New Roman"/>
        </w:rPr>
        <w:t xml:space="preserve"> that "the Committee concluded </w:t>
      </w:r>
      <w:r w:rsidR="00E80C2A" w:rsidRPr="000E033B">
        <w:rPr>
          <w:rFonts w:ascii="Times New Roman" w:hAnsi="Times New Roman"/>
        </w:rPr>
        <w:t>that it would be desirable to establish a new convention which while going further than the Geneva Convention</w:t>
      </w:r>
      <w:r w:rsidR="00FE4373" w:rsidRPr="000E033B">
        <w:rPr>
          <w:rFonts w:ascii="Times New Roman" w:hAnsi="Times New Roman"/>
        </w:rPr>
        <w:t xml:space="preserve"> [of 1927]</w:t>
      </w:r>
      <w:r w:rsidR="00F33ACC" w:rsidRPr="000E033B">
        <w:rPr>
          <w:rFonts w:ascii="Times New Roman" w:hAnsi="Times New Roman"/>
        </w:rPr>
        <w:t xml:space="preserve"> in facilitating the enforcement of foreign arbitral awards, would at the same time maintain generally recognized principles of justice and respect the sovereign rights of States".</w:t>
      </w:r>
      <w:r w:rsidR="00F33ACC" w:rsidRPr="000E033B">
        <w:rPr>
          <w:rStyle w:val="FootnoteReference"/>
          <w:rFonts w:ascii="Times New Roman" w:hAnsi="Times New Roman"/>
          <w:sz w:val="24"/>
        </w:rPr>
        <w:footnoteReference w:id="43"/>
      </w:r>
      <w:r w:rsidR="003D53F8" w:rsidRPr="000E033B">
        <w:rPr>
          <w:rFonts w:ascii="Times New Roman" w:hAnsi="Times New Roman"/>
        </w:rPr>
        <w:t xml:space="preserve"> </w:t>
      </w:r>
    </w:p>
    <w:p w14:paraId="3DFBFCD0" w14:textId="496C1AFC" w:rsidR="000372B4" w:rsidRPr="000E033B" w:rsidRDefault="009A3C0C" w:rsidP="000E033B">
      <w:pPr>
        <w:pStyle w:val="FixListStyle"/>
        <w:spacing w:after="260" w:line="280" w:lineRule="exact"/>
        <w:ind w:right="0"/>
        <w:jc w:val="both"/>
        <w:rPr>
          <w:rFonts w:ascii="Times New Roman" w:hAnsi="Times New Roman"/>
        </w:rPr>
      </w:pPr>
      <w:r w:rsidRPr="000E033B">
        <w:rPr>
          <w:rFonts w:ascii="Times New Roman" w:hAnsi="Times New Roman"/>
        </w:rPr>
        <w:tab/>
      </w:r>
      <w:r w:rsidR="00422BA4" w:rsidRPr="000E033B">
        <w:rPr>
          <w:rFonts w:ascii="Times New Roman" w:hAnsi="Times New Roman"/>
        </w:rPr>
        <w:t xml:space="preserve">As </w:t>
      </w:r>
      <w:r w:rsidR="00AD5AE6" w:rsidRPr="000E033B">
        <w:rPr>
          <w:rFonts w:ascii="Times New Roman" w:hAnsi="Times New Roman"/>
        </w:rPr>
        <w:t>for</w:t>
      </w:r>
      <w:r w:rsidR="00422BA4" w:rsidRPr="000E033B">
        <w:rPr>
          <w:rFonts w:ascii="Times New Roman" w:hAnsi="Times New Roman"/>
        </w:rPr>
        <w:t xml:space="preserve"> the text of </w:t>
      </w:r>
      <w:r w:rsidR="000372B4" w:rsidRPr="000E033B">
        <w:rPr>
          <w:rFonts w:ascii="Times New Roman" w:hAnsi="Times New Roman"/>
        </w:rPr>
        <w:t>the New York Convention</w:t>
      </w:r>
      <w:r w:rsidR="00422BA4" w:rsidRPr="000E033B">
        <w:rPr>
          <w:rFonts w:ascii="Times New Roman" w:hAnsi="Times New Roman"/>
        </w:rPr>
        <w:t>,</w:t>
      </w:r>
      <w:r w:rsidR="00A034BF" w:rsidRPr="000E033B">
        <w:rPr>
          <w:rFonts w:ascii="Times New Roman" w:hAnsi="Times New Roman"/>
        </w:rPr>
        <w:t xml:space="preserve"> the apparent breadth </w:t>
      </w:r>
      <w:r w:rsidR="004520ED" w:rsidRPr="000E033B">
        <w:rPr>
          <w:rFonts w:ascii="Times New Roman" w:hAnsi="Times New Roman"/>
        </w:rPr>
        <w:t xml:space="preserve">and generality of Arts </w:t>
      </w:r>
      <w:proofErr w:type="gramStart"/>
      <w:r w:rsidR="004520ED" w:rsidRPr="000E033B">
        <w:rPr>
          <w:rFonts w:ascii="Times New Roman" w:hAnsi="Times New Roman"/>
        </w:rPr>
        <w:t>I(</w:t>
      </w:r>
      <w:proofErr w:type="gramEnd"/>
      <w:r w:rsidR="004520ED" w:rsidRPr="000E033B">
        <w:rPr>
          <w:rFonts w:ascii="Times New Roman" w:hAnsi="Times New Roman"/>
        </w:rPr>
        <w:t xml:space="preserve">1) and </w:t>
      </w:r>
      <w:proofErr w:type="gramStart"/>
      <w:r w:rsidR="004520ED" w:rsidRPr="000E033B">
        <w:rPr>
          <w:rFonts w:ascii="Times New Roman" w:hAnsi="Times New Roman"/>
        </w:rPr>
        <w:t>II(</w:t>
      </w:r>
      <w:proofErr w:type="gramEnd"/>
      <w:r w:rsidR="004520ED" w:rsidRPr="000E033B">
        <w:rPr>
          <w:rFonts w:ascii="Times New Roman" w:hAnsi="Times New Roman"/>
        </w:rPr>
        <w:t>1) are to be considered in the context of Art III.</w:t>
      </w:r>
      <w:r w:rsidR="00422BA4" w:rsidRPr="000E033B">
        <w:rPr>
          <w:rFonts w:ascii="Times New Roman" w:hAnsi="Times New Roman"/>
        </w:rPr>
        <w:t xml:space="preserve"> </w:t>
      </w:r>
      <w:r w:rsidR="000441A3" w:rsidRPr="000E033B">
        <w:rPr>
          <w:rFonts w:ascii="Times New Roman" w:hAnsi="Times New Roman"/>
        </w:rPr>
        <w:t>Art</w:t>
      </w:r>
      <w:r w:rsidR="0099423E" w:rsidRPr="000E033B">
        <w:rPr>
          <w:rFonts w:ascii="Times New Roman" w:hAnsi="Times New Roman"/>
        </w:rPr>
        <w:t>icle</w:t>
      </w:r>
      <w:r w:rsidR="000441A3" w:rsidRPr="000E033B">
        <w:rPr>
          <w:rFonts w:ascii="Times New Roman" w:hAnsi="Times New Roman"/>
        </w:rPr>
        <w:t xml:space="preserve"> III, </w:t>
      </w:r>
      <w:r w:rsidR="000372B4" w:rsidRPr="000E033B">
        <w:rPr>
          <w:rFonts w:ascii="Times New Roman" w:hAnsi="Times New Roman"/>
        </w:rPr>
        <w:t>the provision principally relied upon by the appellants as establishing a waiver of foreign State immunity</w:t>
      </w:r>
      <w:r w:rsidR="00C21A92" w:rsidRPr="000E033B">
        <w:rPr>
          <w:rFonts w:ascii="Times New Roman" w:hAnsi="Times New Roman"/>
        </w:rPr>
        <w:t xml:space="preserve"> by State parties</w:t>
      </w:r>
      <w:r w:rsidR="001F5F6E" w:rsidRPr="000E033B">
        <w:rPr>
          <w:rFonts w:ascii="Times New Roman" w:hAnsi="Times New Roman"/>
        </w:rPr>
        <w:t xml:space="preserve"> to the New York Convention</w:t>
      </w:r>
      <w:r w:rsidR="000372B4" w:rsidRPr="000E033B">
        <w:rPr>
          <w:rFonts w:ascii="Times New Roman" w:hAnsi="Times New Roman"/>
        </w:rPr>
        <w:t>,</w:t>
      </w:r>
      <w:r w:rsidR="00951E93" w:rsidRPr="000E033B">
        <w:rPr>
          <w:rFonts w:ascii="Times New Roman" w:hAnsi="Times New Roman"/>
        </w:rPr>
        <w:t xml:space="preserve"> implies </w:t>
      </w:r>
      <w:r w:rsidR="00043615" w:rsidRPr="000E033B">
        <w:rPr>
          <w:rFonts w:ascii="Times New Roman" w:hAnsi="Times New Roman"/>
        </w:rPr>
        <w:t>the</w:t>
      </w:r>
      <w:r w:rsidR="00951E93" w:rsidRPr="000E033B">
        <w:rPr>
          <w:rFonts w:ascii="Times New Roman" w:hAnsi="Times New Roman"/>
        </w:rPr>
        <w:t xml:space="preserve"> preservation of foreign State immunity. In Art</w:t>
      </w:r>
      <w:r w:rsidR="00C51C59" w:rsidRPr="000E033B">
        <w:rPr>
          <w:rFonts w:ascii="Times New Roman" w:hAnsi="Times New Roman"/>
        </w:rPr>
        <w:t> </w:t>
      </w:r>
      <w:r w:rsidR="00951E93" w:rsidRPr="000E033B">
        <w:rPr>
          <w:rFonts w:ascii="Times New Roman" w:hAnsi="Times New Roman"/>
        </w:rPr>
        <w:t>III,</w:t>
      </w:r>
      <w:r w:rsidR="000441A3" w:rsidRPr="000E033B">
        <w:rPr>
          <w:rFonts w:ascii="Times New Roman" w:hAnsi="Times New Roman"/>
        </w:rPr>
        <w:t xml:space="preserve"> </w:t>
      </w:r>
      <w:r w:rsidR="000372B4" w:rsidRPr="000E033B">
        <w:rPr>
          <w:rFonts w:ascii="Times New Roman" w:hAnsi="Times New Roman"/>
        </w:rPr>
        <w:t xml:space="preserve">the obligation of </w:t>
      </w:r>
      <w:r w:rsidR="00A72A25" w:rsidRPr="000E033B">
        <w:rPr>
          <w:rFonts w:ascii="Times New Roman" w:hAnsi="Times New Roman"/>
        </w:rPr>
        <w:t>c</w:t>
      </w:r>
      <w:r w:rsidR="000372B4" w:rsidRPr="000E033B">
        <w:rPr>
          <w:rFonts w:ascii="Times New Roman" w:hAnsi="Times New Roman"/>
        </w:rPr>
        <w:t xml:space="preserve">ontracting States to enforce arbitral awards is expressed to be "in accordance with the rules of procedure of the territory where the award is relied upon". </w:t>
      </w:r>
      <w:r w:rsidR="0099423E" w:rsidRPr="000E033B">
        <w:rPr>
          <w:rFonts w:ascii="Times New Roman" w:hAnsi="Times New Roman"/>
        </w:rPr>
        <w:t xml:space="preserve">Contrary to the conclusion of the primary judge and the submissions </w:t>
      </w:r>
      <w:r w:rsidR="00CA3CBF" w:rsidRPr="000E033B">
        <w:rPr>
          <w:rFonts w:ascii="Times New Roman" w:hAnsi="Times New Roman"/>
        </w:rPr>
        <w:t>for</w:t>
      </w:r>
      <w:r w:rsidR="0099423E" w:rsidRPr="000E033B">
        <w:rPr>
          <w:rFonts w:ascii="Times New Roman" w:hAnsi="Times New Roman"/>
        </w:rPr>
        <w:t xml:space="preserve"> the appellants</w:t>
      </w:r>
      <w:r w:rsidR="00CA3CBF" w:rsidRPr="000E033B">
        <w:rPr>
          <w:rFonts w:ascii="Times New Roman" w:hAnsi="Times New Roman"/>
        </w:rPr>
        <w:t xml:space="preserve">, that recognition and enforcement of an arbitral </w:t>
      </w:r>
      <w:r w:rsidR="00117586" w:rsidRPr="000E033B">
        <w:rPr>
          <w:rFonts w:ascii="Times New Roman" w:hAnsi="Times New Roman"/>
        </w:rPr>
        <w:t xml:space="preserve">award is to be "in accordance with the rules of procedure of </w:t>
      </w:r>
      <w:r w:rsidR="00AB02C5" w:rsidRPr="000E033B">
        <w:rPr>
          <w:rFonts w:ascii="Times New Roman" w:hAnsi="Times New Roman"/>
        </w:rPr>
        <w:t>the territory" where the recognition and enforcement</w:t>
      </w:r>
      <w:r w:rsidR="0096018E" w:rsidRPr="000E033B">
        <w:rPr>
          <w:rFonts w:ascii="Times New Roman" w:hAnsi="Times New Roman"/>
        </w:rPr>
        <w:t xml:space="preserve"> that is</w:t>
      </w:r>
      <w:r w:rsidR="00AB02C5" w:rsidRPr="000E033B">
        <w:rPr>
          <w:rFonts w:ascii="Times New Roman" w:hAnsi="Times New Roman"/>
        </w:rPr>
        <w:t xml:space="preserve"> sought is relevant </w:t>
      </w:r>
      <w:r w:rsidR="000C5F33" w:rsidRPr="000E033B">
        <w:rPr>
          <w:rFonts w:ascii="Times New Roman" w:hAnsi="Times New Roman"/>
        </w:rPr>
        <w:t>to the question whether a State's ratification of the New York Convention involved a waiver of foreign State immunity by that State.</w:t>
      </w:r>
      <w:r w:rsidR="0099423E" w:rsidRPr="000E033B">
        <w:rPr>
          <w:rFonts w:ascii="Times New Roman" w:hAnsi="Times New Roman"/>
        </w:rPr>
        <w:t xml:space="preserve"> </w:t>
      </w:r>
      <w:r w:rsidR="000372B4" w:rsidRPr="000E033B">
        <w:rPr>
          <w:rFonts w:ascii="Times New Roman" w:hAnsi="Times New Roman"/>
        </w:rPr>
        <w:t xml:space="preserve">Contrary to the submission of the </w:t>
      </w:r>
      <w:r w:rsidR="00920132" w:rsidRPr="000E033B">
        <w:rPr>
          <w:rFonts w:ascii="Times New Roman" w:hAnsi="Times New Roman"/>
        </w:rPr>
        <w:t xml:space="preserve">Attorney-General of the </w:t>
      </w:r>
      <w:r w:rsidR="000372B4" w:rsidRPr="000E033B">
        <w:rPr>
          <w:rFonts w:ascii="Times New Roman" w:hAnsi="Times New Roman"/>
        </w:rPr>
        <w:t xml:space="preserve">Commonwealth, there is no suggestion in the travaux </w:t>
      </w:r>
      <w:proofErr w:type="spellStart"/>
      <w:r w:rsidR="000372B4" w:rsidRPr="000E033B">
        <w:rPr>
          <w:rFonts w:ascii="Times New Roman" w:hAnsi="Times New Roman"/>
        </w:rPr>
        <w:t>préparatoires</w:t>
      </w:r>
      <w:proofErr w:type="spellEnd"/>
      <w:r w:rsidR="000372B4" w:rsidRPr="000E033B">
        <w:rPr>
          <w:rFonts w:ascii="Times New Roman" w:hAnsi="Times New Roman"/>
        </w:rPr>
        <w:t xml:space="preserve"> that some narrower, confined approach, such as rules concerning </w:t>
      </w:r>
      <w:r w:rsidR="0011465F" w:rsidRPr="000E033B">
        <w:rPr>
          <w:rFonts w:ascii="Times New Roman" w:hAnsi="Times New Roman"/>
        </w:rPr>
        <w:t xml:space="preserve">the </w:t>
      </w:r>
      <w:r w:rsidR="000372B4" w:rsidRPr="000E033B">
        <w:rPr>
          <w:rFonts w:ascii="Times New Roman" w:hAnsi="Times New Roman"/>
        </w:rPr>
        <w:t>presentation of documents and translations, was intended by the reference to rules of procedure in Art</w:t>
      </w:r>
      <w:r w:rsidR="00E972AF" w:rsidRPr="000E033B">
        <w:rPr>
          <w:rFonts w:ascii="Times New Roman" w:hAnsi="Times New Roman"/>
        </w:rPr>
        <w:t> </w:t>
      </w:r>
      <w:r w:rsidR="000372B4" w:rsidRPr="000E033B">
        <w:rPr>
          <w:rFonts w:ascii="Times New Roman" w:hAnsi="Times New Roman"/>
        </w:rPr>
        <w:t xml:space="preserve">III. Rather, it is widely </w:t>
      </w:r>
      <w:r w:rsidR="000372B4" w:rsidRPr="000E033B">
        <w:rPr>
          <w:rFonts w:ascii="Times New Roman" w:hAnsi="Times New Roman"/>
        </w:rPr>
        <w:lastRenderedPageBreak/>
        <w:t>accepted that the rules of procedure also include defences to a claim such as limitation periods.</w:t>
      </w:r>
      <w:r w:rsidR="000372B4" w:rsidRPr="000E033B">
        <w:rPr>
          <w:rStyle w:val="FootnoteReference"/>
          <w:rFonts w:ascii="Times New Roman" w:hAnsi="Times New Roman"/>
          <w:sz w:val="24"/>
        </w:rPr>
        <w:footnoteReference w:id="44"/>
      </w:r>
      <w:r w:rsidR="000372B4" w:rsidRPr="000E033B">
        <w:rPr>
          <w:rFonts w:ascii="Times New Roman" w:hAnsi="Times New Roman"/>
        </w:rPr>
        <w:t xml:space="preserve"> So too, the rules of foreign State immunity, although jurisdictional, are treated at international law as rules of procedure.</w:t>
      </w:r>
      <w:r w:rsidR="000372B4" w:rsidRPr="000E033B">
        <w:rPr>
          <w:rStyle w:val="FootnoteReference"/>
          <w:rFonts w:ascii="Times New Roman" w:hAnsi="Times New Roman"/>
          <w:sz w:val="24"/>
        </w:rPr>
        <w:footnoteReference w:id="45"/>
      </w:r>
    </w:p>
    <w:p w14:paraId="071E7B9A" w14:textId="0A51FA7E" w:rsidR="000372B4" w:rsidRPr="000E033B" w:rsidRDefault="000372B4" w:rsidP="000E033B">
      <w:pPr>
        <w:pStyle w:val="FixListStyle"/>
        <w:spacing w:after="260" w:line="280" w:lineRule="exact"/>
        <w:ind w:right="0"/>
        <w:jc w:val="both"/>
        <w:rPr>
          <w:rFonts w:ascii="Times New Roman" w:hAnsi="Times New Roman"/>
        </w:rPr>
      </w:pPr>
      <w:r w:rsidRPr="000E033B">
        <w:rPr>
          <w:rFonts w:ascii="Times New Roman" w:hAnsi="Times New Roman"/>
        </w:rPr>
        <w:tab/>
        <w:t>Art</w:t>
      </w:r>
      <w:r w:rsidR="003C2A34" w:rsidRPr="000E033B">
        <w:rPr>
          <w:rFonts w:ascii="Times New Roman" w:hAnsi="Times New Roman"/>
        </w:rPr>
        <w:t>icle</w:t>
      </w:r>
      <w:r w:rsidR="00C16F27" w:rsidRPr="000E033B">
        <w:rPr>
          <w:rFonts w:ascii="Times New Roman" w:hAnsi="Times New Roman"/>
        </w:rPr>
        <w:t> </w:t>
      </w:r>
      <w:r w:rsidRPr="000E033B">
        <w:rPr>
          <w:rFonts w:ascii="Times New Roman" w:hAnsi="Times New Roman"/>
        </w:rPr>
        <w:t xml:space="preserve">III thus qualifies the obligation of </w:t>
      </w:r>
      <w:r w:rsidR="00D849F1" w:rsidRPr="000E033B">
        <w:rPr>
          <w:rFonts w:ascii="Times New Roman" w:hAnsi="Times New Roman"/>
        </w:rPr>
        <w:t>c</w:t>
      </w:r>
      <w:r w:rsidRPr="000E033B">
        <w:rPr>
          <w:rFonts w:ascii="Times New Roman" w:hAnsi="Times New Roman"/>
        </w:rPr>
        <w:t>ontracting States to enforce arbitral awards by reference to whatever rules of foreign State immunity are adopted by the territory where the award is relied upon. That qualification is inconsistent with a waiver of foreign State immunity having occurred merely by ratification of the New York Convention, which would have left no role for the rules of foreign State immunity in the territory where the award is relied upon. Consistently with this reasoning, Professor Bermann, the</w:t>
      </w:r>
      <w:r w:rsidR="00D54E41" w:rsidRPr="000E033B">
        <w:rPr>
          <w:rFonts w:ascii="Times New Roman" w:hAnsi="Times New Roman"/>
        </w:rPr>
        <w:t xml:space="preserve"> R</w:t>
      </w:r>
      <w:r w:rsidRPr="000E033B">
        <w:rPr>
          <w:rFonts w:ascii="Times New Roman" w:hAnsi="Times New Roman"/>
        </w:rPr>
        <w:t xml:space="preserve">eporter </w:t>
      </w:r>
      <w:r w:rsidR="00D54E41" w:rsidRPr="000E033B">
        <w:rPr>
          <w:rFonts w:ascii="Times New Roman" w:hAnsi="Times New Roman"/>
        </w:rPr>
        <w:t>for</w:t>
      </w:r>
      <w:r w:rsidRPr="000E033B">
        <w:rPr>
          <w:rFonts w:ascii="Times New Roman" w:hAnsi="Times New Roman"/>
        </w:rPr>
        <w:t xml:space="preserve"> the </w:t>
      </w:r>
      <w:r w:rsidRPr="000E033B">
        <w:rPr>
          <w:rFonts w:ascii="Times New Roman" w:hAnsi="Times New Roman"/>
          <w:i/>
          <w:iCs/>
        </w:rPr>
        <w:t xml:space="preserve">Restatement </w:t>
      </w:r>
      <w:r w:rsidR="00DE6A33" w:rsidRPr="000E033B">
        <w:rPr>
          <w:rFonts w:ascii="Times New Roman" w:hAnsi="Times New Roman"/>
          <w:i/>
          <w:iCs/>
        </w:rPr>
        <w:t xml:space="preserve">of the US Law of International Commercial and Investor-State </w:t>
      </w:r>
      <w:r w:rsidRPr="000E033B">
        <w:rPr>
          <w:rFonts w:ascii="Times New Roman" w:hAnsi="Times New Roman"/>
          <w:i/>
          <w:iCs/>
        </w:rPr>
        <w:t>Arbitration</w:t>
      </w:r>
      <w:r w:rsidR="0062134C" w:rsidRPr="000E033B">
        <w:rPr>
          <w:rFonts w:ascii="Times New Roman" w:hAnsi="Times New Roman"/>
        </w:rPr>
        <w:t>,</w:t>
      </w:r>
      <w:r w:rsidRPr="000E033B">
        <w:rPr>
          <w:rStyle w:val="FootnoteReference"/>
          <w:rFonts w:ascii="Times New Roman" w:hAnsi="Times New Roman"/>
          <w:sz w:val="24"/>
        </w:rPr>
        <w:footnoteReference w:id="46"/>
      </w:r>
      <w:r w:rsidRPr="000E033B">
        <w:rPr>
          <w:rFonts w:ascii="Times New Roman" w:hAnsi="Times New Roman"/>
        </w:rPr>
        <w:t xml:space="preserve"> expressed the view that "</w:t>
      </w:r>
      <w:proofErr w:type="gramStart"/>
      <w:r w:rsidRPr="000E033B">
        <w:rPr>
          <w:rFonts w:ascii="Times New Roman" w:hAnsi="Times New Roman"/>
        </w:rPr>
        <w:t>Art[</w:t>
      </w:r>
      <w:proofErr w:type="gramEnd"/>
      <w:r w:rsidRPr="000E033B">
        <w:rPr>
          <w:rFonts w:ascii="Times New Roman" w:hAnsi="Times New Roman"/>
        </w:rPr>
        <w:t xml:space="preserve">] Ill preserves sovereign immunity as a jurisdictional </w:t>
      </w:r>
      <w:proofErr w:type="spellStart"/>
      <w:r w:rsidRPr="000E033B">
        <w:rPr>
          <w:rFonts w:ascii="Times New Roman" w:hAnsi="Times New Roman"/>
        </w:rPr>
        <w:t>defense</w:t>
      </w:r>
      <w:proofErr w:type="spellEnd"/>
      <w:r w:rsidRPr="000E033B">
        <w:rPr>
          <w:rFonts w:ascii="Times New Roman" w:hAnsi="Times New Roman"/>
        </w:rPr>
        <w:t xml:space="preserve"> under national law, to the extent it exists"</w:t>
      </w:r>
      <w:r w:rsidR="00E02BB8" w:rsidRPr="000E033B">
        <w:rPr>
          <w:rFonts w:ascii="Times New Roman" w:hAnsi="Times New Roman"/>
        </w:rPr>
        <w:t>.</w:t>
      </w:r>
      <w:r w:rsidRPr="000E033B">
        <w:rPr>
          <w:rStyle w:val="FootnoteReference"/>
          <w:rFonts w:ascii="Times New Roman" w:hAnsi="Times New Roman"/>
          <w:sz w:val="24"/>
        </w:rPr>
        <w:footnoteReference w:id="47"/>
      </w:r>
      <w:r w:rsidRPr="000E033B">
        <w:rPr>
          <w:rFonts w:ascii="Times New Roman" w:hAnsi="Times New Roman"/>
        </w:rPr>
        <w:t xml:space="preserve"> The same approach is taken by other leading commentators.</w:t>
      </w:r>
      <w:r w:rsidRPr="000E033B">
        <w:rPr>
          <w:rStyle w:val="FootnoteReference"/>
          <w:rFonts w:ascii="Times New Roman" w:hAnsi="Times New Roman"/>
          <w:sz w:val="24"/>
        </w:rPr>
        <w:footnoteReference w:id="48"/>
      </w:r>
      <w:r w:rsidRPr="000E033B">
        <w:rPr>
          <w:rFonts w:ascii="Times New Roman" w:hAnsi="Times New Roman"/>
        </w:rPr>
        <w:t xml:space="preserve"> </w:t>
      </w:r>
    </w:p>
    <w:p w14:paraId="3DA21327" w14:textId="7B453ECD" w:rsidR="00713935" w:rsidRPr="000E033B" w:rsidRDefault="000372B4" w:rsidP="000E033B">
      <w:pPr>
        <w:pStyle w:val="FixListStyle"/>
        <w:spacing w:after="260" w:line="280" w:lineRule="exact"/>
        <w:ind w:right="0"/>
        <w:jc w:val="both"/>
        <w:rPr>
          <w:rFonts w:ascii="Times New Roman" w:hAnsi="Times New Roman"/>
        </w:rPr>
      </w:pPr>
      <w:r w:rsidRPr="000E033B">
        <w:rPr>
          <w:rFonts w:ascii="Times New Roman" w:hAnsi="Times New Roman"/>
        </w:rPr>
        <w:lastRenderedPageBreak/>
        <w:tab/>
      </w:r>
      <w:r w:rsidR="005D1DB7" w:rsidRPr="000E033B">
        <w:rPr>
          <w:rFonts w:ascii="Times New Roman" w:hAnsi="Times New Roman"/>
        </w:rPr>
        <w:t>Th</w:t>
      </w:r>
      <w:r w:rsidR="00241ECC" w:rsidRPr="000E033B">
        <w:rPr>
          <w:rFonts w:ascii="Times New Roman" w:hAnsi="Times New Roman"/>
        </w:rPr>
        <w:t xml:space="preserve">is </w:t>
      </w:r>
      <w:r w:rsidR="005D1DB7" w:rsidRPr="000E033B">
        <w:rPr>
          <w:rFonts w:ascii="Times New Roman" w:hAnsi="Times New Roman"/>
        </w:rPr>
        <w:t xml:space="preserve">interpretation of the New York Convention </w:t>
      </w:r>
      <w:r w:rsidR="00241ECC" w:rsidRPr="000E033B">
        <w:rPr>
          <w:rFonts w:ascii="Times New Roman" w:hAnsi="Times New Roman"/>
        </w:rPr>
        <w:t>is</w:t>
      </w:r>
      <w:r w:rsidR="005D1DB7" w:rsidRPr="000E033B">
        <w:rPr>
          <w:rFonts w:ascii="Times New Roman" w:hAnsi="Times New Roman"/>
        </w:rPr>
        <w:t xml:space="preserve"> </w:t>
      </w:r>
      <w:r w:rsidR="00713935" w:rsidRPr="000E033B">
        <w:rPr>
          <w:rFonts w:ascii="Times New Roman" w:hAnsi="Times New Roman"/>
        </w:rPr>
        <w:t>not inconsistent</w:t>
      </w:r>
      <w:r w:rsidR="005D1DB7" w:rsidRPr="000E033B">
        <w:rPr>
          <w:rFonts w:ascii="Times New Roman" w:hAnsi="Times New Roman"/>
        </w:rPr>
        <w:t xml:space="preserve"> with the limited State practice to which this Court was referred. </w:t>
      </w:r>
      <w:r w:rsidR="005A424C" w:rsidRPr="000E033B">
        <w:rPr>
          <w:rFonts w:ascii="Times New Roman" w:hAnsi="Times New Roman"/>
        </w:rPr>
        <w:t xml:space="preserve">Considerable time and effort in the submissions of the parties and the </w:t>
      </w:r>
      <w:r w:rsidR="00F83F94" w:rsidRPr="000E033B">
        <w:rPr>
          <w:rFonts w:ascii="Times New Roman" w:hAnsi="Times New Roman"/>
        </w:rPr>
        <w:t xml:space="preserve">Attorney-General of the </w:t>
      </w:r>
      <w:r w:rsidR="005A424C" w:rsidRPr="000E033B">
        <w:rPr>
          <w:rFonts w:ascii="Times New Roman" w:hAnsi="Times New Roman"/>
        </w:rPr>
        <w:t>Commonwealth w</w:t>
      </w:r>
      <w:r w:rsidR="00CB518F" w:rsidRPr="000E033B">
        <w:rPr>
          <w:rFonts w:ascii="Times New Roman" w:hAnsi="Times New Roman"/>
        </w:rPr>
        <w:t>ere</w:t>
      </w:r>
      <w:r w:rsidR="005A424C" w:rsidRPr="000E033B">
        <w:rPr>
          <w:rFonts w:ascii="Times New Roman" w:hAnsi="Times New Roman"/>
        </w:rPr>
        <w:t xml:space="preserve"> devoted to analysis of authorities</w:t>
      </w:r>
      <w:r w:rsidR="000D2749" w:rsidRPr="000E033B">
        <w:rPr>
          <w:rFonts w:ascii="Times New Roman" w:hAnsi="Times New Roman"/>
        </w:rPr>
        <w:t xml:space="preserve"> in the United States,</w:t>
      </w:r>
      <w:r w:rsidR="005A424C" w:rsidRPr="000E033B">
        <w:rPr>
          <w:rFonts w:ascii="Times New Roman" w:hAnsi="Times New Roman"/>
        </w:rPr>
        <w:t xml:space="preserve"> </w:t>
      </w:r>
      <w:r w:rsidR="005A424C" w:rsidRPr="000E033B" w:rsidDel="004A7421">
        <w:rPr>
          <w:rFonts w:ascii="Times New Roman" w:hAnsi="Times New Roman"/>
        </w:rPr>
        <w:t xml:space="preserve">as </w:t>
      </w:r>
      <w:r w:rsidR="0059171A" w:rsidRPr="000E033B">
        <w:rPr>
          <w:rFonts w:ascii="Times New Roman" w:hAnsi="Times New Roman"/>
        </w:rPr>
        <w:t xml:space="preserve">representing </w:t>
      </w:r>
      <w:r w:rsidR="005A424C" w:rsidRPr="000E033B">
        <w:rPr>
          <w:rFonts w:ascii="Times New Roman" w:hAnsi="Times New Roman"/>
        </w:rPr>
        <w:t>State practice concerning issues of foreign State immunity in the context of the New York Convention. In considering the United States</w:t>
      </w:r>
      <w:r w:rsidR="000D2749" w:rsidRPr="000E033B">
        <w:rPr>
          <w:rFonts w:ascii="Times New Roman" w:hAnsi="Times New Roman"/>
        </w:rPr>
        <w:t xml:space="preserve"> authorities</w:t>
      </w:r>
      <w:r w:rsidR="005A424C" w:rsidRPr="000E033B">
        <w:rPr>
          <w:rFonts w:ascii="Times New Roman" w:hAnsi="Times New Roman"/>
        </w:rPr>
        <w:t>, Sir William Blair concluded that "a State does not waive immunity (or submit to the jurisdiction) merely by becoming party to the [New York Convention]".</w:t>
      </w:r>
      <w:r w:rsidR="005A424C" w:rsidRPr="000E033B">
        <w:rPr>
          <w:rStyle w:val="FootnoteReference"/>
          <w:rFonts w:ascii="Times New Roman" w:hAnsi="Times New Roman"/>
          <w:sz w:val="24"/>
        </w:rPr>
        <w:footnoteReference w:id="49"/>
      </w:r>
      <w:r w:rsidR="005A424C" w:rsidRPr="000E033B">
        <w:rPr>
          <w:rFonts w:ascii="Times New Roman" w:hAnsi="Times New Roman"/>
        </w:rPr>
        <w:t xml:space="preserve"> The same position was </w:t>
      </w:r>
      <w:r w:rsidR="00895C6D" w:rsidRPr="000E033B">
        <w:rPr>
          <w:rFonts w:ascii="Times New Roman" w:hAnsi="Times New Roman"/>
        </w:rPr>
        <w:t>recognised</w:t>
      </w:r>
      <w:r w:rsidR="005A424C" w:rsidRPr="000E033B">
        <w:rPr>
          <w:rFonts w:ascii="Times New Roman" w:hAnsi="Times New Roman"/>
        </w:rPr>
        <w:t xml:space="preserve"> in the</w:t>
      </w:r>
      <w:r w:rsidR="00CD76F4" w:rsidRPr="000E033B">
        <w:rPr>
          <w:rFonts w:ascii="Times New Roman" w:hAnsi="Times New Roman"/>
        </w:rPr>
        <w:t xml:space="preserve"> application of English law in the</w:t>
      </w:r>
      <w:r w:rsidR="005A424C" w:rsidRPr="000E033B">
        <w:rPr>
          <w:rFonts w:ascii="Times New Roman" w:hAnsi="Times New Roman"/>
        </w:rPr>
        <w:t xml:space="preserve"> United Kingdom.</w:t>
      </w:r>
      <w:r w:rsidR="005A424C" w:rsidRPr="000E033B">
        <w:rPr>
          <w:rStyle w:val="FootnoteReference"/>
          <w:rFonts w:ascii="Times New Roman" w:hAnsi="Times New Roman"/>
          <w:sz w:val="24"/>
        </w:rPr>
        <w:footnoteReference w:id="50"/>
      </w:r>
      <w:r w:rsidR="005A424C" w:rsidRPr="000E033B">
        <w:rPr>
          <w:rFonts w:ascii="Times New Roman" w:hAnsi="Times New Roman"/>
        </w:rPr>
        <w:t xml:space="preserve"> </w:t>
      </w:r>
    </w:p>
    <w:p w14:paraId="6C1671F4" w14:textId="53541814" w:rsidR="005A424C" w:rsidRPr="000E033B" w:rsidRDefault="00713935" w:rsidP="000E033B">
      <w:pPr>
        <w:pStyle w:val="FixListStyle"/>
        <w:spacing w:after="260" w:line="280" w:lineRule="exact"/>
        <w:ind w:right="0"/>
        <w:jc w:val="both"/>
        <w:rPr>
          <w:rFonts w:ascii="Times New Roman" w:hAnsi="Times New Roman"/>
        </w:rPr>
      </w:pPr>
      <w:r w:rsidRPr="000E033B">
        <w:rPr>
          <w:rFonts w:ascii="Times New Roman" w:hAnsi="Times New Roman"/>
        </w:rPr>
        <w:tab/>
        <w:t>T</w:t>
      </w:r>
      <w:r w:rsidR="005A424C" w:rsidRPr="000E033B">
        <w:rPr>
          <w:rFonts w:ascii="Times New Roman" w:hAnsi="Times New Roman"/>
        </w:rPr>
        <w:t xml:space="preserve">he appellants and the </w:t>
      </w:r>
      <w:r w:rsidR="00417896" w:rsidRPr="000E033B">
        <w:rPr>
          <w:rFonts w:ascii="Times New Roman" w:hAnsi="Times New Roman"/>
        </w:rPr>
        <w:t xml:space="preserve">Attorney-General of the </w:t>
      </w:r>
      <w:r w:rsidR="005A424C" w:rsidRPr="000E033B">
        <w:rPr>
          <w:rFonts w:ascii="Times New Roman" w:hAnsi="Times New Roman"/>
        </w:rPr>
        <w:t>Commonwealth submitted that</w:t>
      </w:r>
      <w:r w:rsidRPr="000E033B">
        <w:rPr>
          <w:rFonts w:ascii="Times New Roman" w:hAnsi="Times New Roman"/>
        </w:rPr>
        <w:t>, contrary to the view of Sir William Blair, the</w:t>
      </w:r>
      <w:r w:rsidR="005A424C" w:rsidRPr="000E033B">
        <w:rPr>
          <w:rFonts w:ascii="Times New Roman" w:hAnsi="Times New Roman"/>
        </w:rPr>
        <w:t xml:space="preserve"> United States authority was an example of State practice</w:t>
      </w:r>
      <w:r w:rsidR="00894864" w:rsidRPr="000E033B">
        <w:rPr>
          <w:rFonts w:ascii="Times New Roman" w:hAnsi="Times New Roman"/>
        </w:rPr>
        <w:t xml:space="preserve"> that recognised that a State waive</w:t>
      </w:r>
      <w:r w:rsidR="005952E2" w:rsidRPr="000E033B">
        <w:rPr>
          <w:rFonts w:ascii="Times New Roman" w:hAnsi="Times New Roman"/>
        </w:rPr>
        <w:t>d</w:t>
      </w:r>
      <w:r w:rsidR="00894864" w:rsidRPr="000E033B">
        <w:rPr>
          <w:rFonts w:ascii="Times New Roman" w:hAnsi="Times New Roman"/>
        </w:rPr>
        <w:t xml:space="preserve"> foreign State immunity by ratification of the New York Convention</w:t>
      </w:r>
      <w:r w:rsidR="005A424C" w:rsidRPr="000E033B">
        <w:rPr>
          <w:rFonts w:ascii="Times New Roman" w:hAnsi="Times New Roman"/>
        </w:rPr>
        <w:t xml:space="preserve">. It is unnecessary to consider in </w:t>
      </w:r>
      <w:r w:rsidR="00CB786E" w:rsidRPr="000E033B">
        <w:rPr>
          <w:rFonts w:ascii="Times New Roman" w:hAnsi="Times New Roman"/>
        </w:rPr>
        <w:t xml:space="preserve">any </w:t>
      </w:r>
      <w:r w:rsidR="005A424C" w:rsidRPr="000E033B">
        <w:rPr>
          <w:rFonts w:ascii="Times New Roman" w:hAnsi="Times New Roman"/>
        </w:rPr>
        <w:t>detail th</w:t>
      </w:r>
      <w:r w:rsidR="000F4B8D" w:rsidRPr="000E033B">
        <w:rPr>
          <w:rFonts w:ascii="Times New Roman" w:hAnsi="Times New Roman"/>
        </w:rPr>
        <w:t>is submission concerning the</w:t>
      </w:r>
      <w:r w:rsidR="005A424C" w:rsidRPr="000E033B">
        <w:rPr>
          <w:rFonts w:ascii="Times New Roman" w:hAnsi="Times New Roman"/>
        </w:rPr>
        <w:t xml:space="preserve"> present position in the United State</w:t>
      </w:r>
      <w:r w:rsidR="000F4B8D" w:rsidRPr="000E033B">
        <w:rPr>
          <w:rFonts w:ascii="Times New Roman" w:hAnsi="Times New Roman"/>
        </w:rPr>
        <w:t>s</w:t>
      </w:r>
      <w:r w:rsidR="005A424C" w:rsidRPr="000E033B">
        <w:rPr>
          <w:rFonts w:ascii="Times New Roman" w:hAnsi="Times New Roman"/>
        </w:rPr>
        <w:t>. Art</w:t>
      </w:r>
      <w:r w:rsidR="00E85E0D" w:rsidRPr="000E033B">
        <w:rPr>
          <w:rFonts w:ascii="Times New Roman" w:hAnsi="Times New Roman"/>
        </w:rPr>
        <w:t>icle</w:t>
      </w:r>
      <w:r w:rsidR="00C44EA3" w:rsidRPr="000E033B">
        <w:rPr>
          <w:rFonts w:ascii="Times New Roman" w:hAnsi="Times New Roman"/>
        </w:rPr>
        <w:t> </w:t>
      </w:r>
      <w:r w:rsidR="005A424C" w:rsidRPr="000E033B">
        <w:rPr>
          <w:rFonts w:ascii="Times New Roman" w:hAnsi="Times New Roman"/>
        </w:rPr>
        <w:t>31(3)(b) of the Vienna Convention on the Law of Treaties</w:t>
      </w:r>
      <w:r w:rsidR="005A424C" w:rsidRPr="000E033B">
        <w:rPr>
          <w:rFonts w:ascii="Times New Roman" w:hAnsi="Times New Roman"/>
          <w:i/>
          <w:iCs/>
        </w:rPr>
        <w:t xml:space="preserve"> </w:t>
      </w:r>
      <w:r w:rsidR="005A424C" w:rsidRPr="000E033B">
        <w:rPr>
          <w:rFonts w:ascii="Times New Roman" w:hAnsi="Times New Roman"/>
        </w:rPr>
        <w:t>(1969)</w:t>
      </w:r>
      <w:r w:rsidR="005A424C" w:rsidRPr="000E033B">
        <w:rPr>
          <w:rStyle w:val="FootnoteReference"/>
          <w:rFonts w:ascii="Times New Roman" w:hAnsi="Times New Roman"/>
          <w:sz w:val="24"/>
        </w:rPr>
        <w:footnoteReference w:id="51"/>
      </w:r>
      <w:r w:rsidR="005A424C" w:rsidRPr="000E033B">
        <w:rPr>
          <w:rFonts w:ascii="Times New Roman" w:hAnsi="Times New Roman"/>
        </w:rPr>
        <w:t xml:space="preserve"> provides that the context for interpretation of a treaty includes "[a]</w:t>
      </w:r>
      <w:proofErr w:type="spellStart"/>
      <w:r w:rsidR="005A424C" w:rsidRPr="000E033B">
        <w:rPr>
          <w:rFonts w:ascii="Times New Roman" w:hAnsi="Times New Roman"/>
        </w:rPr>
        <w:t>ny</w:t>
      </w:r>
      <w:proofErr w:type="spellEnd"/>
      <w:r w:rsidR="005A424C" w:rsidRPr="000E033B">
        <w:rPr>
          <w:rFonts w:ascii="Times New Roman" w:hAnsi="Times New Roman"/>
        </w:rPr>
        <w:t xml:space="preserve"> subsequent practice in the application of the treaty which establishes the agreement of the parties regarding its interpretation". </w:t>
      </w:r>
      <w:r w:rsidR="00AA6D61" w:rsidRPr="000E033B">
        <w:rPr>
          <w:rFonts w:ascii="Times New Roman" w:hAnsi="Times New Roman"/>
        </w:rPr>
        <w:t>T</w:t>
      </w:r>
      <w:r w:rsidR="005A424C" w:rsidRPr="000E033B">
        <w:rPr>
          <w:rFonts w:ascii="Times New Roman" w:hAnsi="Times New Roman"/>
        </w:rPr>
        <w:t xml:space="preserve">he subsequent practice must show </w:t>
      </w:r>
      <w:r w:rsidR="009816C0" w:rsidRPr="000E033B">
        <w:rPr>
          <w:rFonts w:ascii="Times New Roman" w:hAnsi="Times New Roman"/>
        </w:rPr>
        <w:t>a</w:t>
      </w:r>
      <w:r w:rsidR="005A424C" w:rsidRPr="000E033B">
        <w:rPr>
          <w:rFonts w:ascii="Times New Roman" w:hAnsi="Times New Roman"/>
        </w:rPr>
        <w:t xml:space="preserve"> "common understanding of the parties as to the meaning of the terms",</w:t>
      </w:r>
      <w:r w:rsidR="005A424C" w:rsidRPr="000E033B">
        <w:rPr>
          <w:rStyle w:val="FootnoteReference"/>
          <w:rFonts w:ascii="Times New Roman" w:hAnsi="Times New Roman"/>
          <w:sz w:val="24"/>
        </w:rPr>
        <w:footnoteReference w:id="52"/>
      </w:r>
      <w:r w:rsidR="004E5951" w:rsidRPr="000E033B">
        <w:rPr>
          <w:rFonts w:ascii="Times New Roman" w:hAnsi="Times New Roman"/>
        </w:rPr>
        <w:t xml:space="preserve"> </w:t>
      </w:r>
      <w:r w:rsidR="005A424C" w:rsidRPr="000E033B">
        <w:rPr>
          <w:rFonts w:ascii="Times New Roman" w:hAnsi="Times New Roman"/>
        </w:rPr>
        <w:t xml:space="preserve">with the force of the State practice depending on the extent to which the practice is </w:t>
      </w:r>
      <w:r w:rsidR="005A424C" w:rsidRPr="000E033B">
        <w:rPr>
          <w:rFonts w:ascii="Times New Roman" w:hAnsi="Times New Roman"/>
        </w:rPr>
        <w:lastRenderedPageBreak/>
        <w:t>"concordant, common and consistent".</w:t>
      </w:r>
      <w:r w:rsidR="005A424C" w:rsidRPr="000E033B">
        <w:rPr>
          <w:rStyle w:val="FootnoteReference"/>
          <w:rFonts w:ascii="Times New Roman" w:hAnsi="Times New Roman"/>
          <w:sz w:val="24"/>
        </w:rPr>
        <w:footnoteReference w:id="53"/>
      </w:r>
      <w:r w:rsidR="005A424C" w:rsidRPr="000E033B">
        <w:rPr>
          <w:rFonts w:ascii="Times New Roman" w:hAnsi="Times New Roman"/>
        </w:rPr>
        <w:t xml:space="preserve"> Even if the appellants and the </w:t>
      </w:r>
      <w:r w:rsidR="004C5D5B" w:rsidRPr="000E033B">
        <w:rPr>
          <w:rFonts w:ascii="Times New Roman" w:hAnsi="Times New Roman"/>
        </w:rPr>
        <w:t xml:space="preserve">Attorney-General of the </w:t>
      </w:r>
      <w:r w:rsidR="005A424C" w:rsidRPr="000E033B">
        <w:rPr>
          <w:rFonts w:ascii="Times New Roman" w:hAnsi="Times New Roman"/>
        </w:rPr>
        <w:t xml:space="preserve">Commonwealth were correct that the present authority in the United States supports ratification of the New York Convention as </w:t>
      </w:r>
      <w:r w:rsidR="00830455" w:rsidRPr="000E033B">
        <w:rPr>
          <w:rFonts w:ascii="Times New Roman" w:hAnsi="Times New Roman"/>
        </w:rPr>
        <w:t xml:space="preserve">being </w:t>
      </w:r>
      <w:r w:rsidR="005A424C" w:rsidRPr="000E033B">
        <w:rPr>
          <w:rFonts w:ascii="Times New Roman" w:hAnsi="Times New Roman"/>
        </w:rPr>
        <w:t xml:space="preserve">an act of waiver, that </w:t>
      </w:r>
      <w:r w:rsidR="00F873AB" w:rsidRPr="000E033B">
        <w:rPr>
          <w:rFonts w:ascii="Times New Roman" w:hAnsi="Times New Roman"/>
        </w:rPr>
        <w:t>would</w:t>
      </w:r>
      <w:r w:rsidR="005A424C" w:rsidRPr="000E033B">
        <w:rPr>
          <w:rFonts w:ascii="Times New Roman" w:hAnsi="Times New Roman"/>
        </w:rPr>
        <w:t xml:space="preserve"> plainly not</w:t>
      </w:r>
      <w:r w:rsidR="00F873AB" w:rsidRPr="000E033B">
        <w:rPr>
          <w:rFonts w:ascii="Times New Roman" w:hAnsi="Times New Roman"/>
        </w:rPr>
        <w:t xml:space="preserve"> be</w:t>
      </w:r>
      <w:r w:rsidR="005A424C" w:rsidRPr="000E033B">
        <w:rPr>
          <w:rFonts w:ascii="Times New Roman" w:hAnsi="Times New Roman"/>
        </w:rPr>
        <w:t xml:space="preserve"> </w:t>
      </w:r>
      <w:r w:rsidR="00F873AB" w:rsidRPr="000E033B">
        <w:rPr>
          <w:rFonts w:ascii="Times New Roman" w:hAnsi="Times New Roman"/>
        </w:rPr>
        <w:t xml:space="preserve">sufficient to establish </w:t>
      </w:r>
      <w:r w:rsidR="005A424C" w:rsidRPr="000E033B">
        <w:rPr>
          <w:rFonts w:ascii="Times New Roman" w:hAnsi="Times New Roman"/>
        </w:rPr>
        <w:t>a</w:t>
      </w:r>
      <w:r w:rsidR="009816C0" w:rsidRPr="000E033B">
        <w:rPr>
          <w:rFonts w:ascii="Times New Roman" w:hAnsi="Times New Roman"/>
        </w:rPr>
        <w:t>ny substantial degree of</w:t>
      </w:r>
      <w:r w:rsidR="005A424C" w:rsidRPr="000E033B">
        <w:rPr>
          <w:rFonts w:ascii="Times New Roman" w:hAnsi="Times New Roman"/>
        </w:rPr>
        <w:t xml:space="preserve"> common understanding</w:t>
      </w:r>
      <w:r w:rsidR="00233BF8" w:rsidRPr="000E033B">
        <w:rPr>
          <w:rFonts w:ascii="Times New Roman" w:hAnsi="Times New Roman"/>
        </w:rPr>
        <w:t xml:space="preserve"> across the </w:t>
      </w:r>
      <w:r w:rsidR="00F873AB" w:rsidRPr="000E033B">
        <w:rPr>
          <w:rFonts w:ascii="Times New Roman" w:hAnsi="Times New Roman"/>
        </w:rPr>
        <w:t xml:space="preserve">172 State </w:t>
      </w:r>
      <w:r w:rsidR="00233BF8" w:rsidRPr="000E033B">
        <w:rPr>
          <w:rFonts w:ascii="Times New Roman" w:hAnsi="Times New Roman"/>
        </w:rPr>
        <w:t xml:space="preserve">parties </w:t>
      </w:r>
      <w:r w:rsidR="00F873AB" w:rsidRPr="000E033B">
        <w:rPr>
          <w:rFonts w:ascii="Times New Roman" w:hAnsi="Times New Roman"/>
        </w:rPr>
        <w:t>to the Convention</w:t>
      </w:r>
      <w:r w:rsidR="005A424C" w:rsidRPr="000E033B">
        <w:rPr>
          <w:rFonts w:ascii="Times New Roman" w:hAnsi="Times New Roman"/>
        </w:rPr>
        <w:t>.</w:t>
      </w:r>
    </w:p>
    <w:p w14:paraId="22FC6390" w14:textId="507E03E4" w:rsidR="000372B4" w:rsidRPr="000E033B" w:rsidRDefault="005A424C" w:rsidP="000E033B">
      <w:pPr>
        <w:pStyle w:val="FixListStyle"/>
        <w:spacing w:after="260" w:line="280" w:lineRule="exact"/>
        <w:ind w:right="0"/>
        <w:jc w:val="both"/>
        <w:rPr>
          <w:rFonts w:ascii="Times New Roman" w:hAnsi="Times New Roman"/>
        </w:rPr>
      </w:pPr>
      <w:r w:rsidRPr="000E033B">
        <w:rPr>
          <w:rFonts w:ascii="Times New Roman" w:hAnsi="Times New Roman"/>
        </w:rPr>
        <w:tab/>
        <w:t xml:space="preserve">It is, </w:t>
      </w:r>
      <w:r w:rsidR="00C205C8" w:rsidRPr="000E033B">
        <w:rPr>
          <w:rFonts w:ascii="Times New Roman" w:hAnsi="Times New Roman"/>
        </w:rPr>
        <w:t xml:space="preserve">in any event, </w:t>
      </w:r>
      <w:r w:rsidRPr="000E033B">
        <w:rPr>
          <w:rFonts w:ascii="Times New Roman" w:hAnsi="Times New Roman"/>
        </w:rPr>
        <w:t xml:space="preserve">at least arguable that </w:t>
      </w:r>
      <w:r w:rsidR="006C1F9C" w:rsidRPr="000E033B">
        <w:rPr>
          <w:rFonts w:ascii="Times New Roman" w:hAnsi="Times New Roman"/>
        </w:rPr>
        <w:t>to the extent that any degree of</w:t>
      </w:r>
      <w:r w:rsidRPr="000E033B">
        <w:rPr>
          <w:rFonts w:ascii="Times New Roman" w:hAnsi="Times New Roman"/>
        </w:rPr>
        <w:t xml:space="preserve"> common understanding </w:t>
      </w:r>
      <w:r w:rsidR="006C1F9C" w:rsidRPr="000E033B">
        <w:rPr>
          <w:rFonts w:ascii="Times New Roman" w:hAnsi="Times New Roman"/>
        </w:rPr>
        <w:t xml:space="preserve">can be discerned from </w:t>
      </w:r>
      <w:r w:rsidRPr="000E033B">
        <w:rPr>
          <w:rFonts w:ascii="Times New Roman" w:hAnsi="Times New Roman"/>
        </w:rPr>
        <w:t>the present authority in the United States,</w:t>
      </w:r>
      <w:r w:rsidRPr="000E033B">
        <w:rPr>
          <w:rStyle w:val="FootnoteReference"/>
          <w:rFonts w:ascii="Times New Roman" w:hAnsi="Times New Roman"/>
          <w:sz w:val="24"/>
        </w:rPr>
        <w:footnoteReference w:id="54"/>
      </w:r>
      <w:r w:rsidRPr="000E033B">
        <w:rPr>
          <w:rFonts w:ascii="Times New Roman" w:hAnsi="Times New Roman"/>
        </w:rPr>
        <w:t xml:space="preserve"> </w:t>
      </w:r>
      <w:r w:rsidR="00541BD4" w:rsidRPr="000E033B">
        <w:rPr>
          <w:rFonts w:ascii="Times New Roman" w:hAnsi="Times New Roman"/>
        </w:rPr>
        <w:t>considered alongside</w:t>
      </w:r>
      <w:r w:rsidR="004A241B" w:rsidRPr="000E033B">
        <w:rPr>
          <w:rFonts w:ascii="Times New Roman" w:hAnsi="Times New Roman"/>
        </w:rPr>
        <w:t xml:space="preserve"> authority in</w:t>
      </w:r>
      <w:r w:rsidRPr="000E033B">
        <w:rPr>
          <w:rFonts w:ascii="Times New Roman" w:hAnsi="Times New Roman"/>
        </w:rPr>
        <w:t xml:space="preserve"> the United Kingdom</w:t>
      </w:r>
      <w:r w:rsidRPr="000E033B">
        <w:rPr>
          <w:rStyle w:val="FootnoteReference"/>
          <w:rFonts w:ascii="Times New Roman" w:hAnsi="Times New Roman"/>
          <w:sz w:val="24"/>
        </w:rPr>
        <w:footnoteReference w:id="55"/>
      </w:r>
      <w:r w:rsidRPr="000E033B">
        <w:rPr>
          <w:rFonts w:ascii="Times New Roman" w:hAnsi="Times New Roman"/>
        </w:rPr>
        <w:t xml:space="preserve"> and Canada,</w:t>
      </w:r>
      <w:r w:rsidRPr="000E033B">
        <w:rPr>
          <w:rStyle w:val="FootnoteReference"/>
          <w:rFonts w:ascii="Times New Roman" w:hAnsi="Times New Roman"/>
          <w:sz w:val="24"/>
        </w:rPr>
        <w:footnoteReference w:id="56"/>
      </w:r>
      <w:r w:rsidRPr="000E033B">
        <w:rPr>
          <w:rFonts w:ascii="Times New Roman" w:hAnsi="Times New Roman"/>
        </w:rPr>
        <w:t xml:space="preserve"> </w:t>
      </w:r>
      <w:r w:rsidR="006C1F9C" w:rsidRPr="000E033B">
        <w:rPr>
          <w:rFonts w:ascii="Times New Roman" w:hAnsi="Times New Roman"/>
        </w:rPr>
        <w:t xml:space="preserve">that understanding </w:t>
      </w:r>
      <w:r w:rsidRPr="000E033B">
        <w:rPr>
          <w:rFonts w:ascii="Times New Roman" w:hAnsi="Times New Roman"/>
        </w:rPr>
        <w:t xml:space="preserve">is that ratification of the New York Convention, by itself, is not a sufficient act of waiver of </w:t>
      </w:r>
      <w:r w:rsidR="0044261D" w:rsidRPr="000E033B">
        <w:rPr>
          <w:rFonts w:ascii="Times New Roman" w:hAnsi="Times New Roman"/>
        </w:rPr>
        <w:t xml:space="preserve">foreign </w:t>
      </w:r>
      <w:r w:rsidRPr="000E033B">
        <w:rPr>
          <w:rFonts w:ascii="Times New Roman" w:hAnsi="Times New Roman"/>
        </w:rPr>
        <w:t xml:space="preserve">State immunity. Indeed, </w:t>
      </w:r>
      <w:r w:rsidR="001F2616" w:rsidRPr="000E033B">
        <w:rPr>
          <w:rFonts w:ascii="Times New Roman" w:hAnsi="Times New Roman"/>
        </w:rPr>
        <w:t>the</w:t>
      </w:r>
      <w:r w:rsidRPr="000E033B">
        <w:rPr>
          <w:rFonts w:ascii="Times New Roman" w:hAnsi="Times New Roman"/>
        </w:rPr>
        <w:t xml:space="preserve"> assertion of</w:t>
      </w:r>
      <w:r w:rsidR="001F2616" w:rsidRPr="000E033B">
        <w:rPr>
          <w:rFonts w:ascii="Times New Roman" w:hAnsi="Times New Roman"/>
        </w:rPr>
        <w:t xml:space="preserve"> the appellants and the Attorney-General</w:t>
      </w:r>
      <w:r w:rsidR="00027D7A" w:rsidRPr="000E033B">
        <w:rPr>
          <w:rFonts w:ascii="Times New Roman" w:hAnsi="Times New Roman"/>
        </w:rPr>
        <w:t xml:space="preserve"> of</w:t>
      </w:r>
      <w:r w:rsidRPr="000E033B">
        <w:rPr>
          <w:rFonts w:ascii="Times New Roman" w:hAnsi="Times New Roman"/>
        </w:rPr>
        <w:t xml:space="preserve"> </w:t>
      </w:r>
      <w:r w:rsidR="00E13818" w:rsidRPr="000E033B">
        <w:rPr>
          <w:rFonts w:ascii="Times New Roman" w:hAnsi="Times New Roman"/>
        </w:rPr>
        <w:t xml:space="preserve">the Commonwealth about </w:t>
      </w:r>
      <w:r w:rsidRPr="000E033B">
        <w:rPr>
          <w:rFonts w:ascii="Times New Roman" w:hAnsi="Times New Roman"/>
        </w:rPr>
        <w:t>prese</w:t>
      </w:r>
      <w:r w:rsidR="0096257D" w:rsidRPr="000E033B">
        <w:rPr>
          <w:rFonts w:ascii="Times New Roman" w:hAnsi="Times New Roman"/>
        </w:rPr>
        <w:t>nt S</w:t>
      </w:r>
      <w:r w:rsidRPr="000E033B">
        <w:rPr>
          <w:rFonts w:ascii="Times New Roman" w:hAnsi="Times New Roman"/>
        </w:rPr>
        <w:t>tate practice</w:t>
      </w:r>
      <w:r w:rsidR="0096257D" w:rsidRPr="000E033B">
        <w:rPr>
          <w:rFonts w:ascii="Times New Roman" w:hAnsi="Times New Roman"/>
        </w:rPr>
        <w:t xml:space="preserve"> in the United States</w:t>
      </w:r>
      <w:r w:rsidRPr="000E033B">
        <w:rPr>
          <w:rFonts w:ascii="Times New Roman" w:hAnsi="Times New Roman"/>
        </w:rPr>
        <w:t xml:space="preserve"> to the contrary </w:t>
      </w:r>
      <w:r w:rsidR="00027D7A" w:rsidRPr="000E033B">
        <w:rPr>
          <w:rFonts w:ascii="Times New Roman" w:hAnsi="Times New Roman"/>
        </w:rPr>
        <w:t xml:space="preserve">is in tension with </w:t>
      </w:r>
      <w:r w:rsidRPr="000E033B">
        <w:rPr>
          <w:rFonts w:ascii="Times New Roman" w:hAnsi="Times New Roman"/>
        </w:rPr>
        <w:t>the present position of the United States executive, which is itself an act of State practice.</w:t>
      </w:r>
      <w:r w:rsidRPr="000E033B">
        <w:rPr>
          <w:rStyle w:val="FootnoteReference"/>
          <w:rFonts w:ascii="Times New Roman" w:hAnsi="Times New Roman"/>
          <w:sz w:val="24"/>
        </w:rPr>
        <w:footnoteReference w:id="57"/>
      </w:r>
      <w:r w:rsidRPr="000E033B">
        <w:rPr>
          <w:rFonts w:ascii="Times New Roman" w:hAnsi="Times New Roman"/>
        </w:rPr>
        <w:t xml:space="preserve"> In a brief to the </w:t>
      </w:r>
      <w:r w:rsidR="00A701BB" w:rsidRPr="000E033B">
        <w:rPr>
          <w:rFonts w:ascii="Times New Roman" w:hAnsi="Times New Roman"/>
        </w:rPr>
        <w:t>United States Court of Appeals</w:t>
      </w:r>
      <w:r w:rsidR="00470859" w:rsidRPr="000E033B">
        <w:rPr>
          <w:rFonts w:ascii="Times New Roman" w:hAnsi="Times New Roman"/>
        </w:rPr>
        <w:t xml:space="preserve"> for the District of Columbia Circuit</w:t>
      </w:r>
      <w:r w:rsidRPr="000E033B">
        <w:rPr>
          <w:rFonts w:ascii="Times New Roman" w:hAnsi="Times New Roman"/>
        </w:rPr>
        <w:t xml:space="preserve">, the executive of the United States has argued that ratification of the New York </w:t>
      </w:r>
      <w:r w:rsidRPr="000E033B">
        <w:rPr>
          <w:rFonts w:ascii="Times New Roman" w:hAnsi="Times New Roman"/>
        </w:rPr>
        <w:lastRenderedPageBreak/>
        <w:t>Convention is not sufficient for a waiver of immunity and, although an agreement to arbitrate would be a necessary condition for such a waiver</w:t>
      </w:r>
      <w:r w:rsidR="0035538C" w:rsidRPr="000E033B">
        <w:rPr>
          <w:rFonts w:ascii="Times New Roman" w:hAnsi="Times New Roman"/>
        </w:rPr>
        <w:t>,</w:t>
      </w:r>
      <w:r w:rsidRPr="000E033B">
        <w:rPr>
          <w:rFonts w:ascii="Times New Roman" w:hAnsi="Times New Roman"/>
        </w:rPr>
        <w:t xml:space="preserve"> "it is far from clear </w:t>
      </w:r>
      <w:r w:rsidR="00BB0563" w:rsidRPr="000E033B">
        <w:rPr>
          <w:rFonts w:ascii="Times New Roman" w:hAnsi="Times New Roman"/>
        </w:rPr>
        <w:t xml:space="preserve">that </w:t>
      </w:r>
      <w:r w:rsidRPr="000E033B">
        <w:rPr>
          <w:rFonts w:ascii="Times New Roman" w:hAnsi="Times New Roman"/>
        </w:rPr>
        <w:t>the waiver exception could apply at all in such actions" and that courts should rely on the United States legislation providing for a "specific arbitration exception rather than the more general waiver exception".</w:t>
      </w:r>
      <w:r w:rsidRPr="000E033B">
        <w:rPr>
          <w:rStyle w:val="FootnoteReference"/>
          <w:rFonts w:ascii="Times New Roman" w:hAnsi="Times New Roman"/>
          <w:sz w:val="24"/>
        </w:rPr>
        <w:footnoteReference w:id="58"/>
      </w:r>
    </w:p>
    <w:p w14:paraId="497AF19A" w14:textId="4FA50472" w:rsidR="001A33ED" w:rsidRPr="000E033B" w:rsidRDefault="001A33ED" w:rsidP="000E033B">
      <w:pPr>
        <w:pStyle w:val="BodyText"/>
        <w:spacing w:after="260" w:line="280" w:lineRule="exact"/>
        <w:jc w:val="both"/>
        <w:rPr>
          <w:rFonts w:ascii="Times New Roman" w:hAnsi="Times New Roman" w:cs="Times New Roman"/>
          <w:i/>
          <w:iCs/>
        </w:rPr>
      </w:pPr>
      <w:r w:rsidRPr="000E033B">
        <w:rPr>
          <w:rFonts w:ascii="Times New Roman" w:hAnsi="Times New Roman" w:cs="Times New Roman"/>
          <w:i/>
          <w:iCs/>
        </w:rPr>
        <w:t>A broader basis for waiver?</w:t>
      </w:r>
    </w:p>
    <w:p w14:paraId="0C937970" w14:textId="30EE2543" w:rsidR="001A33ED" w:rsidRPr="000E033B" w:rsidRDefault="001A33ED" w:rsidP="000E033B">
      <w:pPr>
        <w:pStyle w:val="FixListStyle"/>
        <w:spacing w:after="260" w:line="280" w:lineRule="exact"/>
        <w:ind w:right="0"/>
        <w:jc w:val="both"/>
        <w:rPr>
          <w:rFonts w:ascii="Times New Roman" w:hAnsi="Times New Roman"/>
        </w:rPr>
      </w:pPr>
      <w:r w:rsidRPr="000E033B">
        <w:rPr>
          <w:rFonts w:ascii="Times New Roman" w:hAnsi="Times New Roman"/>
          <w:b/>
        </w:rPr>
        <w:tab/>
      </w:r>
      <w:r w:rsidRPr="000E033B">
        <w:rPr>
          <w:rFonts w:ascii="Times New Roman" w:hAnsi="Times New Roman"/>
        </w:rPr>
        <w:t xml:space="preserve">Consistently with the appellants' notice of appeal, the appellants maintained throughout this appeal, as they did in the courts below, that </w:t>
      </w:r>
      <w:r w:rsidR="00A0492D" w:rsidRPr="000E033B">
        <w:rPr>
          <w:rFonts w:ascii="Times New Roman" w:hAnsi="Times New Roman"/>
        </w:rPr>
        <w:t>because ratification of the New York Convention was sufficient to be a waiver of immunity</w:t>
      </w:r>
      <w:bookmarkStart w:id="1" w:name="_bookmark51"/>
      <w:bookmarkStart w:id="2" w:name="_bookmark52"/>
      <w:bookmarkStart w:id="3" w:name="_bookmark53"/>
      <w:bookmarkStart w:id="4" w:name="_bookmark54"/>
      <w:bookmarkEnd w:id="1"/>
      <w:bookmarkEnd w:id="2"/>
      <w:bookmarkEnd w:id="3"/>
      <w:bookmarkEnd w:id="4"/>
      <w:r w:rsidR="00A0492D" w:rsidRPr="000E033B">
        <w:rPr>
          <w:rFonts w:ascii="Times New Roman" w:hAnsi="Times New Roman"/>
        </w:rPr>
        <w:t xml:space="preserve">, </w:t>
      </w:r>
      <w:r w:rsidRPr="000E033B">
        <w:rPr>
          <w:rFonts w:ascii="Times New Roman" w:hAnsi="Times New Roman"/>
        </w:rPr>
        <w:t>the entry by India into the Bilateral Investment Treaty and the consequent Quantum Award were merely circumstances which engaged Art IV and gave the waiver practical effect</w:t>
      </w:r>
      <w:r w:rsidR="0024489F" w:rsidRPr="000E033B">
        <w:rPr>
          <w:rFonts w:ascii="Times New Roman" w:hAnsi="Times New Roman"/>
        </w:rPr>
        <w:t xml:space="preserve">. </w:t>
      </w:r>
      <w:r w:rsidRPr="000E033B">
        <w:rPr>
          <w:rFonts w:ascii="Times New Roman" w:hAnsi="Times New Roman"/>
        </w:rPr>
        <w:t>Hence, the appellants submitted in this Court that the Bilateral Investment Treaty was no more than "part of the setting in which one considers that question" of waiver</w:t>
      </w:r>
      <w:r w:rsidR="0024489F" w:rsidRPr="000E033B">
        <w:rPr>
          <w:rFonts w:ascii="Times New Roman" w:hAnsi="Times New Roman"/>
        </w:rPr>
        <w:t xml:space="preserve"> </w:t>
      </w:r>
      <w:r w:rsidRPr="000E033B">
        <w:rPr>
          <w:rFonts w:ascii="Times New Roman" w:hAnsi="Times New Roman"/>
        </w:rPr>
        <w:t xml:space="preserve">so that even an express reservation of State immunity in a later bilateral investment treaty could not negate the waiver of immunity that was said to arise from earlier ratification of the New York Convention. So too, the Attorney-General of the Commonwealth submitted in this Court that the circumstances of entry into the Bilateral Investment Treaty were </w:t>
      </w:r>
      <w:r w:rsidR="00716422" w:rsidRPr="000E033B">
        <w:rPr>
          <w:rFonts w:ascii="Times New Roman" w:hAnsi="Times New Roman"/>
        </w:rPr>
        <w:t xml:space="preserve">merely </w:t>
      </w:r>
      <w:r w:rsidRPr="000E033B">
        <w:rPr>
          <w:rFonts w:ascii="Times New Roman" w:hAnsi="Times New Roman"/>
        </w:rPr>
        <w:t xml:space="preserve">facts upon which the waiver of foreign State immunity would </w:t>
      </w:r>
      <w:proofErr w:type="gramStart"/>
      <w:r w:rsidRPr="000E033B">
        <w:rPr>
          <w:rFonts w:ascii="Times New Roman" w:hAnsi="Times New Roman"/>
        </w:rPr>
        <w:t>operate:</w:t>
      </w:r>
      <w:proofErr w:type="gramEnd"/>
      <w:r w:rsidRPr="000E033B">
        <w:rPr>
          <w:rFonts w:ascii="Times New Roman" w:hAnsi="Times New Roman"/>
        </w:rPr>
        <w:t xml:space="preserve"> for the waiver to have effect "you need to have an arbitration agreement that can meet Article IV". </w:t>
      </w:r>
      <w:r w:rsidR="00152DEC" w:rsidRPr="000E033B">
        <w:rPr>
          <w:rFonts w:ascii="Times New Roman" w:hAnsi="Times New Roman"/>
        </w:rPr>
        <w:t xml:space="preserve">The primary judge's conclusion that the validity of the arbitration agreement </w:t>
      </w:r>
      <w:r w:rsidR="00CE5CCE" w:rsidRPr="000E033B">
        <w:rPr>
          <w:rFonts w:ascii="Times New Roman" w:hAnsi="Times New Roman"/>
        </w:rPr>
        <w:t xml:space="preserve">and its application to the dispute were immaterial to the question of waiver of immunity (but </w:t>
      </w:r>
      <w:r w:rsidR="002049D6" w:rsidRPr="000E033B">
        <w:rPr>
          <w:rFonts w:ascii="Times New Roman" w:hAnsi="Times New Roman"/>
        </w:rPr>
        <w:t>could be raised subsequently by India as a ground for refusing enforcement of the award)</w:t>
      </w:r>
      <w:r w:rsidR="00690B5F" w:rsidRPr="000E033B">
        <w:rPr>
          <w:rFonts w:ascii="Times New Roman" w:hAnsi="Times New Roman"/>
        </w:rPr>
        <w:t xml:space="preserve"> </w:t>
      </w:r>
      <w:r w:rsidR="000F5A38" w:rsidRPr="000E033B">
        <w:rPr>
          <w:rFonts w:ascii="Times New Roman" w:hAnsi="Times New Roman"/>
        </w:rPr>
        <w:t>reflected the appellants</w:t>
      </w:r>
      <w:r w:rsidR="00B1729D" w:rsidRPr="000E033B">
        <w:rPr>
          <w:rFonts w:ascii="Times New Roman" w:hAnsi="Times New Roman"/>
        </w:rPr>
        <w:t>'</w:t>
      </w:r>
      <w:r w:rsidR="000F5A38" w:rsidRPr="000E033B">
        <w:rPr>
          <w:rFonts w:ascii="Times New Roman" w:hAnsi="Times New Roman"/>
        </w:rPr>
        <w:t xml:space="preserve"> argument </w:t>
      </w:r>
      <w:r w:rsidR="00174DFF" w:rsidRPr="000E033B">
        <w:rPr>
          <w:rFonts w:ascii="Times New Roman" w:hAnsi="Times New Roman"/>
        </w:rPr>
        <w:t>that waiver was effected by India having ratified the New York Convention</w:t>
      </w:r>
      <w:r w:rsidR="00B81156" w:rsidRPr="000E033B">
        <w:rPr>
          <w:rFonts w:ascii="Times New Roman" w:hAnsi="Times New Roman"/>
        </w:rPr>
        <w:t xml:space="preserve"> (and not by any agreement to arbitrate in the Bilateral Investment Treaty)</w:t>
      </w:r>
      <w:r w:rsidR="00210AAD" w:rsidRPr="000E033B">
        <w:rPr>
          <w:rFonts w:ascii="Times New Roman" w:hAnsi="Times New Roman"/>
        </w:rPr>
        <w:t xml:space="preserve">. </w:t>
      </w:r>
      <w:r w:rsidR="00B81156" w:rsidRPr="000E033B">
        <w:rPr>
          <w:rFonts w:ascii="Times New Roman" w:hAnsi="Times New Roman"/>
        </w:rPr>
        <w:t>It was only argued that t</w:t>
      </w:r>
      <w:r w:rsidR="00210AAD" w:rsidRPr="000E033B">
        <w:rPr>
          <w:rFonts w:ascii="Times New Roman" w:hAnsi="Times New Roman"/>
        </w:rPr>
        <w:t xml:space="preserve">he arbitration agreement and the award were no more than </w:t>
      </w:r>
      <w:r w:rsidR="009E2F1A" w:rsidRPr="000E033B">
        <w:rPr>
          <w:rFonts w:ascii="Times New Roman" w:hAnsi="Times New Roman"/>
        </w:rPr>
        <w:t xml:space="preserve">the </w:t>
      </w:r>
      <w:r w:rsidR="00210AAD" w:rsidRPr="000E033B">
        <w:rPr>
          <w:rFonts w:ascii="Times New Roman" w:hAnsi="Times New Roman"/>
        </w:rPr>
        <w:t xml:space="preserve">facts or circumstances </w:t>
      </w:r>
      <w:r w:rsidR="009E2F1A" w:rsidRPr="000E033B">
        <w:rPr>
          <w:rFonts w:ascii="Times New Roman" w:hAnsi="Times New Roman"/>
        </w:rPr>
        <w:t xml:space="preserve">necessary to give practical effect to the waiver. </w:t>
      </w:r>
      <w:r w:rsidRPr="000E033B">
        <w:rPr>
          <w:rFonts w:ascii="Times New Roman" w:hAnsi="Times New Roman"/>
        </w:rPr>
        <w:t>O</w:t>
      </w:r>
      <w:r w:rsidR="00D835A8" w:rsidRPr="000E033B">
        <w:rPr>
          <w:rFonts w:ascii="Times New Roman" w:hAnsi="Times New Roman"/>
        </w:rPr>
        <w:t>ther o</w:t>
      </w:r>
      <w:r w:rsidRPr="000E033B">
        <w:rPr>
          <w:rFonts w:ascii="Times New Roman" w:hAnsi="Times New Roman"/>
        </w:rPr>
        <w:t>bservations of the primary judge and the Full Court which might be construed as suggesting that the Bilateral Investment Treaty or the Quantum Award added anything further to the appellants</w:t>
      </w:r>
      <w:r w:rsidR="001319E3" w:rsidRPr="000E033B">
        <w:rPr>
          <w:rFonts w:ascii="Times New Roman" w:eastAsiaTheme="minorHAnsi" w:hAnsi="Times New Roman"/>
        </w:rPr>
        <w:t>'</w:t>
      </w:r>
      <w:r w:rsidRPr="000E033B">
        <w:rPr>
          <w:rFonts w:ascii="Times New Roman" w:hAnsi="Times New Roman"/>
        </w:rPr>
        <w:t xml:space="preserve"> waiver argument need to be understood </w:t>
      </w:r>
      <w:proofErr w:type="gramStart"/>
      <w:r w:rsidRPr="000E033B">
        <w:rPr>
          <w:rFonts w:ascii="Times New Roman" w:hAnsi="Times New Roman"/>
        </w:rPr>
        <w:t>in light of</w:t>
      </w:r>
      <w:proofErr w:type="gramEnd"/>
      <w:r w:rsidRPr="000E033B">
        <w:rPr>
          <w:rFonts w:ascii="Times New Roman" w:hAnsi="Times New Roman"/>
        </w:rPr>
        <w:t xml:space="preserve"> how the case was run before those courts.</w:t>
      </w:r>
    </w:p>
    <w:p w14:paraId="26F6F304" w14:textId="4C071E88" w:rsidR="001A33ED" w:rsidRPr="000E033B" w:rsidRDefault="001A33ED" w:rsidP="000E033B">
      <w:pPr>
        <w:pStyle w:val="FixListStyle"/>
        <w:spacing w:after="260" w:line="280" w:lineRule="exact"/>
        <w:ind w:right="0"/>
        <w:jc w:val="both"/>
        <w:rPr>
          <w:rFonts w:ascii="Times New Roman" w:hAnsi="Times New Roman"/>
        </w:rPr>
      </w:pPr>
      <w:r w:rsidRPr="000E033B">
        <w:rPr>
          <w:rFonts w:ascii="Times New Roman" w:hAnsi="Times New Roman"/>
        </w:rPr>
        <w:tab/>
        <w:t>In</w:t>
      </w:r>
      <w:r w:rsidRPr="000E033B">
        <w:rPr>
          <w:rFonts w:ascii="Times New Roman" w:hAnsi="Times New Roman"/>
          <w:spacing w:val="-4"/>
        </w:rPr>
        <w:t xml:space="preserve"> </w:t>
      </w:r>
      <w:r w:rsidRPr="000E033B">
        <w:rPr>
          <w:rFonts w:ascii="Times New Roman" w:hAnsi="Times New Roman"/>
        </w:rPr>
        <w:t>the</w:t>
      </w:r>
      <w:r w:rsidRPr="000E033B">
        <w:rPr>
          <w:rFonts w:ascii="Times New Roman" w:hAnsi="Times New Roman"/>
          <w:spacing w:val="-4"/>
        </w:rPr>
        <w:t xml:space="preserve"> </w:t>
      </w:r>
      <w:r w:rsidRPr="000E033B">
        <w:rPr>
          <w:rFonts w:ascii="Times New Roman" w:hAnsi="Times New Roman"/>
        </w:rPr>
        <w:t>oral</w:t>
      </w:r>
      <w:r w:rsidRPr="000E033B">
        <w:rPr>
          <w:rFonts w:ascii="Times New Roman" w:hAnsi="Times New Roman"/>
          <w:spacing w:val="-4"/>
        </w:rPr>
        <w:t xml:space="preserve"> </w:t>
      </w:r>
      <w:r w:rsidRPr="000E033B">
        <w:rPr>
          <w:rFonts w:ascii="Times New Roman" w:hAnsi="Times New Roman"/>
        </w:rPr>
        <w:t>submissions</w:t>
      </w:r>
      <w:r w:rsidRPr="000E033B">
        <w:rPr>
          <w:rFonts w:ascii="Times New Roman" w:hAnsi="Times New Roman"/>
          <w:spacing w:val="-4"/>
        </w:rPr>
        <w:t xml:space="preserve"> </w:t>
      </w:r>
      <w:r w:rsidR="00552DD7" w:rsidRPr="000E033B">
        <w:rPr>
          <w:rFonts w:ascii="Times New Roman" w:hAnsi="Times New Roman"/>
          <w:spacing w:val="-4"/>
        </w:rPr>
        <w:t>for</w:t>
      </w:r>
      <w:r w:rsidRPr="000E033B">
        <w:rPr>
          <w:rFonts w:ascii="Times New Roman" w:hAnsi="Times New Roman"/>
          <w:spacing w:val="-4"/>
        </w:rPr>
        <w:t xml:space="preserve"> </w:t>
      </w:r>
      <w:r w:rsidRPr="000E033B">
        <w:rPr>
          <w:rFonts w:ascii="Times New Roman" w:hAnsi="Times New Roman"/>
        </w:rPr>
        <w:t>the</w:t>
      </w:r>
      <w:r w:rsidRPr="000E033B">
        <w:rPr>
          <w:rFonts w:ascii="Times New Roman" w:hAnsi="Times New Roman"/>
          <w:spacing w:val="-4"/>
        </w:rPr>
        <w:t xml:space="preserve"> </w:t>
      </w:r>
      <w:r w:rsidRPr="000E033B">
        <w:rPr>
          <w:rFonts w:ascii="Times New Roman" w:hAnsi="Times New Roman"/>
        </w:rPr>
        <w:t>Attorney-General</w:t>
      </w:r>
      <w:r w:rsidRPr="000E033B">
        <w:rPr>
          <w:rFonts w:ascii="Times New Roman" w:hAnsi="Times New Roman"/>
          <w:spacing w:val="-2"/>
        </w:rPr>
        <w:t xml:space="preserve"> </w:t>
      </w:r>
      <w:r w:rsidRPr="000E033B">
        <w:rPr>
          <w:rFonts w:ascii="Times New Roman" w:hAnsi="Times New Roman"/>
        </w:rPr>
        <w:t>of</w:t>
      </w:r>
      <w:r w:rsidRPr="000E033B">
        <w:rPr>
          <w:rFonts w:ascii="Times New Roman" w:hAnsi="Times New Roman"/>
          <w:spacing w:val="-4"/>
        </w:rPr>
        <w:t xml:space="preserve"> </w:t>
      </w:r>
      <w:r w:rsidRPr="000E033B">
        <w:rPr>
          <w:rFonts w:ascii="Times New Roman" w:hAnsi="Times New Roman"/>
        </w:rPr>
        <w:t>the Commonwealth</w:t>
      </w:r>
      <w:r w:rsidR="00B83000" w:rsidRPr="000E033B">
        <w:rPr>
          <w:rFonts w:ascii="Times New Roman" w:hAnsi="Times New Roman"/>
        </w:rPr>
        <w:t xml:space="preserve"> in this Court</w:t>
      </w:r>
      <w:r w:rsidRPr="000E033B">
        <w:rPr>
          <w:rFonts w:ascii="Times New Roman" w:hAnsi="Times New Roman"/>
        </w:rPr>
        <w:t xml:space="preserve">, however, there was a faint attempt to broaden the scope of the grounds </w:t>
      </w:r>
      <w:r w:rsidRPr="000E033B">
        <w:rPr>
          <w:rFonts w:ascii="Times New Roman" w:hAnsi="Times New Roman"/>
        </w:rPr>
        <w:lastRenderedPageBreak/>
        <w:t xml:space="preserve">of appeal and contention. The Attorney-General appeared to submit that if ratification of the New York Convention did not amount to a waiver of foreign State </w:t>
      </w:r>
      <w:proofErr w:type="gramStart"/>
      <w:r w:rsidRPr="000E033B">
        <w:rPr>
          <w:rFonts w:ascii="Times New Roman" w:hAnsi="Times New Roman"/>
        </w:rPr>
        <w:t>immunity</w:t>
      </w:r>
      <w:proofErr w:type="gramEnd"/>
      <w:r w:rsidRPr="000E033B">
        <w:rPr>
          <w:rFonts w:ascii="Times New Roman" w:hAnsi="Times New Roman"/>
        </w:rPr>
        <w:t xml:space="preserve"> then (</w:t>
      </w:r>
      <w:proofErr w:type="spellStart"/>
      <w:r w:rsidRPr="000E033B">
        <w:rPr>
          <w:rFonts w:ascii="Times New Roman" w:hAnsi="Times New Roman"/>
        </w:rPr>
        <w:t>i</w:t>
      </w:r>
      <w:proofErr w:type="spellEnd"/>
      <w:r w:rsidRPr="000E033B">
        <w:rPr>
          <w:rFonts w:ascii="Times New Roman" w:hAnsi="Times New Roman"/>
        </w:rPr>
        <w:t>) the ratification of the New York Convention by India, together with (ii)</w:t>
      </w:r>
      <w:r w:rsidRPr="000E033B">
        <w:rPr>
          <w:rFonts w:ascii="Times New Roman" w:hAnsi="Times New Roman"/>
          <w:spacing w:val="-8"/>
        </w:rPr>
        <w:t xml:space="preserve"> </w:t>
      </w:r>
      <w:r w:rsidRPr="000E033B">
        <w:rPr>
          <w:rFonts w:ascii="Times New Roman" w:hAnsi="Times New Roman"/>
        </w:rPr>
        <w:t>entry</w:t>
      </w:r>
      <w:r w:rsidRPr="000E033B">
        <w:rPr>
          <w:rFonts w:ascii="Times New Roman" w:hAnsi="Times New Roman"/>
          <w:spacing w:val="-7"/>
        </w:rPr>
        <w:t xml:space="preserve"> </w:t>
      </w:r>
      <w:r w:rsidRPr="000E033B">
        <w:rPr>
          <w:rFonts w:ascii="Times New Roman" w:hAnsi="Times New Roman"/>
        </w:rPr>
        <w:t>by</w:t>
      </w:r>
      <w:r w:rsidRPr="000E033B">
        <w:rPr>
          <w:rFonts w:ascii="Times New Roman" w:hAnsi="Times New Roman"/>
          <w:spacing w:val="-7"/>
        </w:rPr>
        <w:t xml:space="preserve"> </w:t>
      </w:r>
      <w:r w:rsidRPr="000E033B">
        <w:rPr>
          <w:rFonts w:ascii="Times New Roman" w:hAnsi="Times New Roman"/>
        </w:rPr>
        <w:t>India</w:t>
      </w:r>
      <w:r w:rsidRPr="000E033B">
        <w:rPr>
          <w:rFonts w:ascii="Times New Roman" w:hAnsi="Times New Roman"/>
          <w:spacing w:val="-7"/>
        </w:rPr>
        <w:t xml:space="preserve"> </w:t>
      </w:r>
      <w:r w:rsidRPr="000E033B">
        <w:rPr>
          <w:rFonts w:ascii="Times New Roman" w:hAnsi="Times New Roman"/>
        </w:rPr>
        <w:t>into</w:t>
      </w:r>
      <w:r w:rsidRPr="000E033B">
        <w:rPr>
          <w:rFonts w:ascii="Times New Roman" w:hAnsi="Times New Roman"/>
          <w:spacing w:val="-7"/>
        </w:rPr>
        <w:t xml:space="preserve"> </w:t>
      </w:r>
      <w:r w:rsidRPr="000E033B">
        <w:rPr>
          <w:rFonts w:ascii="Times New Roman" w:hAnsi="Times New Roman"/>
        </w:rPr>
        <w:t>an</w:t>
      </w:r>
      <w:r w:rsidRPr="000E033B">
        <w:rPr>
          <w:rFonts w:ascii="Times New Roman" w:hAnsi="Times New Roman"/>
          <w:spacing w:val="-7"/>
        </w:rPr>
        <w:t xml:space="preserve"> </w:t>
      </w:r>
      <w:r w:rsidRPr="000E033B">
        <w:rPr>
          <w:rFonts w:ascii="Times New Roman" w:hAnsi="Times New Roman"/>
        </w:rPr>
        <w:t>arbitration</w:t>
      </w:r>
      <w:r w:rsidRPr="000E033B">
        <w:rPr>
          <w:rFonts w:ascii="Times New Roman" w:hAnsi="Times New Roman"/>
          <w:spacing w:val="-7"/>
        </w:rPr>
        <w:t xml:space="preserve"> </w:t>
      </w:r>
      <w:r w:rsidRPr="000E033B">
        <w:rPr>
          <w:rFonts w:ascii="Times New Roman" w:hAnsi="Times New Roman"/>
        </w:rPr>
        <w:t>agreement,</w:t>
      </w:r>
      <w:r w:rsidRPr="000E033B">
        <w:rPr>
          <w:rFonts w:ascii="Times New Roman" w:hAnsi="Times New Roman"/>
          <w:spacing w:val="-7"/>
        </w:rPr>
        <w:t xml:space="preserve"> </w:t>
      </w:r>
      <w:proofErr w:type="gramStart"/>
      <w:r w:rsidRPr="000E033B">
        <w:rPr>
          <w:rFonts w:ascii="Times New Roman" w:hAnsi="Times New Roman"/>
        </w:rPr>
        <w:t>was</w:t>
      </w:r>
      <w:r w:rsidRPr="000E033B">
        <w:rPr>
          <w:rFonts w:ascii="Times New Roman" w:hAnsi="Times New Roman"/>
          <w:spacing w:val="-8"/>
        </w:rPr>
        <w:t xml:space="preserve"> </w:t>
      </w:r>
      <w:r w:rsidRPr="000E033B">
        <w:rPr>
          <w:rFonts w:ascii="Times New Roman" w:hAnsi="Times New Roman"/>
        </w:rPr>
        <w:t>capable</w:t>
      </w:r>
      <w:r w:rsidRPr="000E033B">
        <w:rPr>
          <w:rFonts w:ascii="Times New Roman" w:hAnsi="Times New Roman"/>
          <w:spacing w:val="-9"/>
        </w:rPr>
        <w:t xml:space="preserve"> </w:t>
      </w:r>
      <w:r w:rsidRPr="000E033B">
        <w:rPr>
          <w:rFonts w:ascii="Times New Roman" w:hAnsi="Times New Roman"/>
          <w:spacing w:val="-5"/>
        </w:rPr>
        <w:t xml:space="preserve">of </w:t>
      </w:r>
      <w:r w:rsidRPr="000E033B">
        <w:rPr>
          <w:rFonts w:ascii="Times New Roman" w:hAnsi="Times New Roman"/>
        </w:rPr>
        <w:t>amounting</w:t>
      </w:r>
      <w:proofErr w:type="gramEnd"/>
      <w:r w:rsidRPr="000E033B">
        <w:rPr>
          <w:rFonts w:ascii="Times New Roman" w:hAnsi="Times New Roman"/>
        </w:rPr>
        <w:t xml:space="preserve"> to a waiver. Such a submission should not be entertained, not merely because it lies beyond the scope of the grounds of appeal and was not addressed by the courts below but</w:t>
      </w:r>
      <w:r w:rsidRPr="000E033B">
        <w:rPr>
          <w:rFonts w:ascii="Times New Roman" w:hAnsi="Times New Roman"/>
          <w:spacing w:val="-5"/>
        </w:rPr>
        <w:t xml:space="preserve"> </w:t>
      </w:r>
      <w:r w:rsidRPr="000E033B">
        <w:rPr>
          <w:rFonts w:ascii="Times New Roman" w:hAnsi="Times New Roman"/>
        </w:rPr>
        <w:t>also</w:t>
      </w:r>
      <w:r w:rsidRPr="000E033B">
        <w:rPr>
          <w:rFonts w:ascii="Times New Roman" w:hAnsi="Times New Roman"/>
          <w:spacing w:val="-4"/>
        </w:rPr>
        <w:t xml:space="preserve"> </w:t>
      </w:r>
      <w:r w:rsidRPr="000E033B">
        <w:rPr>
          <w:rFonts w:ascii="Times New Roman" w:hAnsi="Times New Roman"/>
        </w:rPr>
        <w:t>because</w:t>
      </w:r>
      <w:r w:rsidRPr="000E033B">
        <w:rPr>
          <w:rFonts w:ascii="Times New Roman" w:hAnsi="Times New Roman"/>
          <w:spacing w:val="-4"/>
        </w:rPr>
        <w:t xml:space="preserve"> </w:t>
      </w:r>
      <w:r w:rsidRPr="000E033B">
        <w:rPr>
          <w:rFonts w:ascii="Times New Roman" w:hAnsi="Times New Roman"/>
        </w:rPr>
        <w:t>the</w:t>
      </w:r>
      <w:r w:rsidRPr="000E033B">
        <w:rPr>
          <w:rFonts w:ascii="Times New Roman" w:hAnsi="Times New Roman"/>
          <w:spacing w:val="-4"/>
        </w:rPr>
        <w:t xml:space="preserve"> </w:t>
      </w:r>
      <w:r w:rsidRPr="000E033B">
        <w:rPr>
          <w:rFonts w:ascii="Times New Roman" w:hAnsi="Times New Roman"/>
        </w:rPr>
        <w:t>submission</w:t>
      </w:r>
      <w:r w:rsidRPr="000E033B">
        <w:rPr>
          <w:rFonts w:ascii="Times New Roman" w:hAnsi="Times New Roman"/>
          <w:spacing w:val="-4"/>
        </w:rPr>
        <w:t xml:space="preserve"> </w:t>
      </w:r>
      <w:r w:rsidRPr="000E033B">
        <w:rPr>
          <w:rFonts w:ascii="Times New Roman" w:hAnsi="Times New Roman"/>
        </w:rPr>
        <w:t>raises</w:t>
      </w:r>
      <w:r w:rsidRPr="000E033B">
        <w:rPr>
          <w:rFonts w:ascii="Times New Roman" w:hAnsi="Times New Roman"/>
          <w:spacing w:val="-6"/>
        </w:rPr>
        <w:t xml:space="preserve"> </w:t>
      </w:r>
      <w:r w:rsidRPr="000E033B">
        <w:rPr>
          <w:rFonts w:ascii="Times New Roman" w:hAnsi="Times New Roman"/>
        </w:rPr>
        <w:t>a</w:t>
      </w:r>
      <w:r w:rsidRPr="000E033B">
        <w:rPr>
          <w:rFonts w:ascii="Times New Roman" w:hAnsi="Times New Roman"/>
          <w:spacing w:val="-4"/>
        </w:rPr>
        <w:t xml:space="preserve"> </w:t>
      </w:r>
      <w:r w:rsidRPr="000E033B">
        <w:rPr>
          <w:rFonts w:ascii="Times New Roman" w:hAnsi="Times New Roman"/>
        </w:rPr>
        <w:t>number</w:t>
      </w:r>
      <w:r w:rsidRPr="000E033B">
        <w:rPr>
          <w:rFonts w:ascii="Times New Roman" w:hAnsi="Times New Roman"/>
          <w:spacing w:val="-5"/>
        </w:rPr>
        <w:t xml:space="preserve"> </w:t>
      </w:r>
      <w:r w:rsidRPr="000E033B">
        <w:rPr>
          <w:rFonts w:ascii="Times New Roman" w:hAnsi="Times New Roman"/>
        </w:rPr>
        <w:t>of</w:t>
      </w:r>
      <w:r w:rsidRPr="000E033B">
        <w:rPr>
          <w:rFonts w:ascii="Times New Roman" w:hAnsi="Times New Roman"/>
          <w:spacing w:val="-5"/>
        </w:rPr>
        <w:t xml:space="preserve"> </w:t>
      </w:r>
      <w:r w:rsidRPr="000E033B">
        <w:rPr>
          <w:rFonts w:ascii="Times New Roman" w:hAnsi="Times New Roman"/>
        </w:rPr>
        <w:t>issues</w:t>
      </w:r>
      <w:r w:rsidRPr="000E033B">
        <w:rPr>
          <w:rFonts w:ascii="Times New Roman" w:hAnsi="Times New Roman"/>
          <w:spacing w:val="-6"/>
        </w:rPr>
        <w:t xml:space="preserve"> </w:t>
      </w:r>
      <w:r w:rsidRPr="000E033B">
        <w:rPr>
          <w:rFonts w:ascii="Times New Roman" w:hAnsi="Times New Roman"/>
        </w:rPr>
        <w:t>that</w:t>
      </w:r>
      <w:r w:rsidRPr="000E033B">
        <w:rPr>
          <w:rFonts w:ascii="Times New Roman" w:hAnsi="Times New Roman"/>
          <w:spacing w:val="-4"/>
        </w:rPr>
        <w:t xml:space="preserve"> </w:t>
      </w:r>
      <w:r w:rsidRPr="000E033B">
        <w:rPr>
          <w:rFonts w:ascii="Times New Roman" w:hAnsi="Times New Roman"/>
        </w:rPr>
        <w:t>were not</w:t>
      </w:r>
      <w:r w:rsidRPr="000E033B">
        <w:rPr>
          <w:rFonts w:ascii="Times New Roman" w:hAnsi="Times New Roman"/>
          <w:spacing w:val="-2"/>
        </w:rPr>
        <w:t xml:space="preserve"> </w:t>
      </w:r>
      <w:r w:rsidRPr="000E033B">
        <w:rPr>
          <w:rFonts w:ascii="Times New Roman" w:hAnsi="Times New Roman"/>
        </w:rPr>
        <w:t>explored</w:t>
      </w:r>
      <w:r w:rsidRPr="000E033B">
        <w:rPr>
          <w:rFonts w:ascii="Times New Roman" w:hAnsi="Times New Roman"/>
          <w:spacing w:val="-2"/>
        </w:rPr>
        <w:t xml:space="preserve"> </w:t>
      </w:r>
      <w:r w:rsidRPr="000E033B">
        <w:rPr>
          <w:rFonts w:ascii="Times New Roman" w:hAnsi="Times New Roman"/>
        </w:rPr>
        <w:t>in</w:t>
      </w:r>
      <w:r w:rsidRPr="000E033B">
        <w:rPr>
          <w:rFonts w:ascii="Times New Roman" w:hAnsi="Times New Roman"/>
          <w:spacing w:val="-2"/>
        </w:rPr>
        <w:t xml:space="preserve"> </w:t>
      </w:r>
      <w:r w:rsidRPr="000E033B">
        <w:rPr>
          <w:rFonts w:ascii="Times New Roman" w:hAnsi="Times New Roman"/>
        </w:rPr>
        <w:t>this</w:t>
      </w:r>
      <w:r w:rsidRPr="000E033B">
        <w:rPr>
          <w:rFonts w:ascii="Times New Roman" w:hAnsi="Times New Roman"/>
          <w:spacing w:val="-5"/>
        </w:rPr>
        <w:t xml:space="preserve"> </w:t>
      </w:r>
      <w:r w:rsidRPr="000E033B">
        <w:rPr>
          <w:rFonts w:ascii="Times New Roman" w:hAnsi="Times New Roman"/>
        </w:rPr>
        <w:t>Court</w:t>
      </w:r>
      <w:r w:rsidRPr="000E033B">
        <w:rPr>
          <w:rFonts w:ascii="Times New Roman" w:hAnsi="Times New Roman"/>
          <w:spacing w:val="-2"/>
        </w:rPr>
        <w:t xml:space="preserve"> </w:t>
      </w:r>
      <w:r w:rsidRPr="000E033B">
        <w:rPr>
          <w:rFonts w:ascii="Times New Roman" w:hAnsi="Times New Roman"/>
        </w:rPr>
        <w:t>including:</w:t>
      </w:r>
      <w:r w:rsidRPr="000E033B">
        <w:rPr>
          <w:rFonts w:ascii="Times New Roman" w:hAnsi="Times New Roman"/>
          <w:spacing w:val="-2"/>
        </w:rPr>
        <w:t xml:space="preserve"> </w:t>
      </w:r>
      <w:r w:rsidRPr="000E033B">
        <w:rPr>
          <w:rFonts w:ascii="Times New Roman" w:hAnsi="Times New Roman"/>
        </w:rPr>
        <w:t>(</w:t>
      </w:r>
      <w:proofErr w:type="spellStart"/>
      <w:r w:rsidRPr="000E033B">
        <w:rPr>
          <w:rFonts w:ascii="Times New Roman" w:hAnsi="Times New Roman"/>
        </w:rPr>
        <w:t>i</w:t>
      </w:r>
      <w:proofErr w:type="spellEnd"/>
      <w:r w:rsidRPr="000E033B">
        <w:rPr>
          <w:rFonts w:ascii="Times New Roman" w:hAnsi="Times New Roman"/>
        </w:rPr>
        <w:t>)</w:t>
      </w:r>
      <w:r w:rsidR="00755111" w:rsidRPr="000E033B">
        <w:rPr>
          <w:rFonts w:ascii="Times New Roman" w:hAnsi="Times New Roman"/>
          <w:spacing w:val="-4"/>
        </w:rPr>
        <w:t> </w:t>
      </w:r>
      <w:r w:rsidRPr="000E033B">
        <w:rPr>
          <w:rFonts w:ascii="Times New Roman" w:hAnsi="Times New Roman"/>
        </w:rPr>
        <w:t>whether</w:t>
      </w:r>
      <w:r w:rsidRPr="000E033B">
        <w:rPr>
          <w:rFonts w:ascii="Times New Roman" w:hAnsi="Times New Roman"/>
          <w:spacing w:val="-1"/>
        </w:rPr>
        <w:t xml:space="preserve"> </w:t>
      </w:r>
      <w:r w:rsidRPr="000E033B">
        <w:rPr>
          <w:rFonts w:ascii="Times New Roman" w:hAnsi="Times New Roman"/>
        </w:rPr>
        <w:t>India's</w:t>
      </w:r>
      <w:r w:rsidRPr="000E033B">
        <w:rPr>
          <w:rFonts w:ascii="Times New Roman" w:hAnsi="Times New Roman"/>
          <w:spacing w:val="-2"/>
        </w:rPr>
        <w:t xml:space="preserve"> </w:t>
      </w:r>
      <w:r w:rsidRPr="000E033B">
        <w:rPr>
          <w:rFonts w:ascii="Times New Roman" w:hAnsi="Times New Roman"/>
        </w:rPr>
        <w:t>waiver</w:t>
      </w:r>
      <w:r w:rsidRPr="000E033B">
        <w:rPr>
          <w:rFonts w:ascii="Times New Roman" w:hAnsi="Times New Roman"/>
          <w:spacing w:val="-1"/>
        </w:rPr>
        <w:t xml:space="preserve"> </w:t>
      </w:r>
      <w:r w:rsidRPr="000E033B">
        <w:rPr>
          <w:rFonts w:ascii="Times New Roman" w:hAnsi="Times New Roman"/>
        </w:rPr>
        <w:t xml:space="preserve">would operate in relation to States other than Mauritius, which was the only other party to the relevant arbitration agreement; and (ii) the relationship between the provision concerning waiver of foreign State immunity, s 10, and the "arbitration exception" to foreign State immunity in s 17(2) of the </w:t>
      </w:r>
      <w:r w:rsidRPr="000E033B">
        <w:rPr>
          <w:rFonts w:ascii="Times New Roman" w:hAnsi="Times New Roman"/>
          <w:i/>
        </w:rPr>
        <w:t>Foreign States Immunities Act</w:t>
      </w:r>
      <w:r w:rsidRPr="000E033B">
        <w:rPr>
          <w:rFonts w:ascii="Times New Roman" w:hAnsi="Times New Roman"/>
        </w:rPr>
        <w:t>.</w:t>
      </w:r>
    </w:p>
    <w:p w14:paraId="47845F9B" w14:textId="1E8D1F50" w:rsidR="000372B4" w:rsidRPr="000E033B" w:rsidRDefault="000372B4" w:rsidP="000E033B">
      <w:pPr>
        <w:pStyle w:val="HeadingL2"/>
        <w:spacing w:after="260" w:line="280" w:lineRule="exact"/>
        <w:ind w:right="0"/>
        <w:jc w:val="both"/>
        <w:rPr>
          <w:rFonts w:ascii="Times New Roman" w:hAnsi="Times New Roman"/>
          <w:i w:val="0"/>
          <w:iCs/>
        </w:rPr>
      </w:pPr>
      <w:r w:rsidRPr="000E033B">
        <w:rPr>
          <w:rFonts w:ascii="Times New Roman" w:hAnsi="Times New Roman"/>
        </w:rPr>
        <w:t>No analogy can be drawn with the</w:t>
      </w:r>
      <w:r w:rsidR="001F50C9" w:rsidRPr="000E033B">
        <w:rPr>
          <w:rFonts w:ascii="Times New Roman" w:hAnsi="Times New Roman"/>
        </w:rPr>
        <w:t xml:space="preserve"> ICSID Convention</w:t>
      </w:r>
    </w:p>
    <w:p w14:paraId="3C54A469" w14:textId="482B2B10" w:rsidR="000372B4" w:rsidRPr="000E033B" w:rsidRDefault="000372B4" w:rsidP="000E033B">
      <w:pPr>
        <w:pStyle w:val="FixListStyle"/>
        <w:spacing w:after="260" w:line="280" w:lineRule="exact"/>
        <w:ind w:right="0"/>
        <w:jc w:val="both"/>
        <w:rPr>
          <w:rFonts w:ascii="Times New Roman" w:hAnsi="Times New Roman"/>
        </w:rPr>
      </w:pPr>
      <w:r w:rsidRPr="000E033B">
        <w:rPr>
          <w:rFonts w:ascii="Times New Roman" w:hAnsi="Times New Roman"/>
        </w:rPr>
        <w:tab/>
        <w:t xml:space="preserve">In </w:t>
      </w:r>
      <w:r w:rsidRPr="000E033B">
        <w:rPr>
          <w:rFonts w:ascii="Times New Roman" w:hAnsi="Times New Roman"/>
          <w:i/>
          <w:iCs/>
        </w:rPr>
        <w:t>Kingdom of Spain</w:t>
      </w:r>
      <w:r w:rsidRPr="000E033B">
        <w:rPr>
          <w:rFonts w:ascii="Times New Roman" w:hAnsi="Times New Roman"/>
        </w:rPr>
        <w:t>,</w:t>
      </w:r>
      <w:r w:rsidR="00776ABF" w:rsidRPr="000E033B">
        <w:rPr>
          <w:rStyle w:val="FootnoteReference"/>
          <w:rFonts w:ascii="Times New Roman" w:hAnsi="Times New Roman"/>
          <w:sz w:val="24"/>
        </w:rPr>
        <w:footnoteReference w:id="59"/>
      </w:r>
      <w:r w:rsidRPr="000E033B">
        <w:rPr>
          <w:rFonts w:ascii="Times New Roman" w:hAnsi="Times New Roman"/>
        </w:rPr>
        <w:t xml:space="preserve"> this Court held that the Kingdom of Spain had waived its foreign State immunity</w:t>
      </w:r>
      <w:r w:rsidR="001D154D" w:rsidRPr="000E033B">
        <w:rPr>
          <w:rFonts w:ascii="Times New Roman" w:hAnsi="Times New Roman"/>
        </w:rPr>
        <w:t xml:space="preserve"> from recognition and enforcement of foreign arbitral awards</w:t>
      </w:r>
      <w:r w:rsidRPr="000E033B">
        <w:rPr>
          <w:rFonts w:ascii="Times New Roman" w:hAnsi="Times New Roman"/>
        </w:rPr>
        <w:t xml:space="preserve"> by ent</w:t>
      </w:r>
      <w:r w:rsidR="00821233" w:rsidRPr="000E033B">
        <w:rPr>
          <w:rFonts w:ascii="Times New Roman" w:hAnsi="Times New Roman"/>
        </w:rPr>
        <w:t>e</w:t>
      </w:r>
      <w:r w:rsidRPr="000E033B">
        <w:rPr>
          <w:rFonts w:ascii="Times New Roman" w:hAnsi="Times New Roman"/>
        </w:rPr>
        <w:t>r</w:t>
      </w:r>
      <w:r w:rsidR="00821233" w:rsidRPr="000E033B">
        <w:rPr>
          <w:rFonts w:ascii="Times New Roman" w:hAnsi="Times New Roman"/>
        </w:rPr>
        <w:t>ing</w:t>
      </w:r>
      <w:r w:rsidRPr="000E033B">
        <w:rPr>
          <w:rFonts w:ascii="Times New Roman" w:hAnsi="Times New Roman"/>
        </w:rPr>
        <w:t xml:space="preserve"> into </w:t>
      </w:r>
      <w:r w:rsidR="00F0467B" w:rsidRPr="000E033B">
        <w:rPr>
          <w:rFonts w:ascii="Times New Roman" w:hAnsi="Times New Roman"/>
        </w:rPr>
        <w:t xml:space="preserve">the </w:t>
      </w:r>
      <w:r w:rsidRPr="000E033B">
        <w:rPr>
          <w:rFonts w:ascii="Times New Roman" w:hAnsi="Times New Roman"/>
        </w:rPr>
        <w:t>ICSID Convention and becoming bound by Arts 53, 54 and 55 of that Convention.</w:t>
      </w:r>
      <w:r w:rsidR="004C232C" w:rsidRPr="000E033B">
        <w:rPr>
          <w:rStyle w:val="FootnoteReference"/>
          <w:rFonts w:ascii="Times New Roman" w:hAnsi="Times New Roman"/>
          <w:sz w:val="24"/>
        </w:rPr>
        <w:footnoteReference w:id="60"/>
      </w:r>
      <w:r w:rsidRPr="000E033B">
        <w:rPr>
          <w:rFonts w:ascii="Times New Roman" w:hAnsi="Times New Roman"/>
        </w:rPr>
        <w:t xml:space="preserve"> The appellants and the </w:t>
      </w:r>
      <w:r w:rsidR="006A42BB" w:rsidRPr="000E033B">
        <w:rPr>
          <w:rFonts w:ascii="Times New Roman" w:hAnsi="Times New Roman"/>
        </w:rPr>
        <w:t xml:space="preserve">Attorney-General of the </w:t>
      </w:r>
      <w:r w:rsidRPr="000E033B">
        <w:rPr>
          <w:rFonts w:ascii="Times New Roman" w:hAnsi="Times New Roman"/>
        </w:rPr>
        <w:t>Commonwealth</w:t>
      </w:r>
      <w:r w:rsidR="00B87509" w:rsidRPr="000E033B">
        <w:rPr>
          <w:rFonts w:ascii="Times New Roman" w:hAnsi="Times New Roman"/>
        </w:rPr>
        <w:t xml:space="preserve"> (intervening)</w:t>
      </w:r>
      <w:r w:rsidRPr="000E033B">
        <w:rPr>
          <w:rFonts w:ascii="Times New Roman" w:hAnsi="Times New Roman"/>
        </w:rPr>
        <w:t xml:space="preserve"> in this proceeding sought to draw an analogy between the waiver of foreign State immunity by entry into the ICSID Convention and the asserted waiver of foreign State immunity by entry into the New York Convention. At every point, the asserted analogy fails. </w:t>
      </w:r>
    </w:p>
    <w:p w14:paraId="16342797" w14:textId="2861D437" w:rsidR="000372B4" w:rsidRPr="000E033B" w:rsidRDefault="000372B4" w:rsidP="000E033B">
      <w:pPr>
        <w:pStyle w:val="FixListStyle"/>
        <w:spacing w:after="260" w:line="280" w:lineRule="exact"/>
        <w:ind w:right="0"/>
        <w:jc w:val="both"/>
        <w:rPr>
          <w:rFonts w:ascii="Times New Roman" w:hAnsi="Times New Roman"/>
        </w:rPr>
      </w:pPr>
      <w:r w:rsidRPr="000E033B">
        <w:rPr>
          <w:rFonts w:ascii="Times New Roman" w:hAnsi="Times New Roman"/>
        </w:rPr>
        <w:tab/>
        <w:t>First, unlike the New York Convention, which is concerned with "persons, whether physical or legal", the ICSID Convention is expressly concerned with disputes to which a State is a party.</w:t>
      </w:r>
      <w:r w:rsidRPr="000E033B">
        <w:rPr>
          <w:rStyle w:val="FootnoteReference"/>
          <w:rFonts w:ascii="Times New Roman" w:hAnsi="Times New Roman"/>
          <w:sz w:val="24"/>
        </w:rPr>
        <w:footnoteReference w:id="61"/>
      </w:r>
      <w:r w:rsidRPr="000E033B">
        <w:rPr>
          <w:rFonts w:ascii="Times New Roman" w:hAnsi="Times New Roman"/>
        </w:rPr>
        <w:t xml:space="preserve"> Unsurprisingly, therefore, the travaux </w:t>
      </w:r>
      <w:proofErr w:type="spellStart"/>
      <w:r w:rsidRPr="000E033B">
        <w:rPr>
          <w:rFonts w:ascii="Times New Roman" w:hAnsi="Times New Roman"/>
        </w:rPr>
        <w:t>préparatoires</w:t>
      </w:r>
      <w:proofErr w:type="spellEnd"/>
      <w:r w:rsidRPr="000E033B">
        <w:rPr>
          <w:rFonts w:ascii="Times New Roman" w:hAnsi="Times New Roman"/>
        </w:rPr>
        <w:t xml:space="preserve"> for the ICSID Convention, unlike the New York Convention, </w:t>
      </w:r>
      <w:r w:rsidRPr="000E033B">
        <w:rPr>
          <w:rFonts w:ascii="Times New Roman" w:hAnsi="Times New Roman"/>
        </w:rPr>
        <w:lastRenderedPageBreak/>
        <w:t xml:space="preserve">involved detailed consideration </w:t>
      </w:r>
      <w:r w:rsidR="002F3617" w:rsidRPr="000E033B">
        <w:rPr>
          <w:rFonts w:ascii="Times New Roman" w:hAnsi="Times New Roman"/>
        </w:rPr>
        <w:t xml:space="preserve">of </w:t>
      </w:r>
      <w:r w:rsidRPr="000E033B">
        <w:rPr>
          <w:rFonts w:ascii="Times New Roman" w:hAnsi="Times New Roman"/>
        </w:rPr>
        <w:t>the existence and scope of foreign State immunity.</w:t>
      </w:r>
      <w:r w:rsidRPr="000E033B">
        <w:rPr>
          <w:rStyle w:val="FootnoteReference"/>
          <w:rFonts w:ascii="Times New Roman" w:hAnsi="Times New Roman"/>
          <w:sz w:val="24"/>
        </w:rPr>
        <w:footnoteReference w:id="62"/>
      </w:r>
    </w:p>
    <w:p w14:paraId="69DF7E5B" w14:textId="32150ABE" w:rsidR="000372B4" w:rsidRPr="000E033B" w:rsidRDefault="000372B4" w:rsidP="000E033B">
      <w:pPr>
        <w:pStyle w:val="FixListStyle"/>
        <w:spacing w:after="260" w:line="280" w:lineRule="exact"/>
        <w:ind w:right="0"/>
        <w:jc w:val="both"/>
        <w:rPr>
          <w:rFonts w:ascii="Times New Roman" w:hAnsi="Times New Roman"/>
        </w:rPr>
      </w:pPr>
      <w:r w:rsidRPr="000E033B">
        <w:rPr>
          <w:rFonts w:ascii="Times New Roman" w:hAnsi="Times New Roman"/>
        </w:rPr>
        <w:tab/>
        <w:t>Secondly, unlike the New York Convention, the issue of foreign State immunity was the subject of the express provision in Art</w:t>
      </w:r>
      <w:r w:rsidR="001C4571" w:rsidRPr="000E033B">
        <w:rPr>
          <w:rFonts w:ascii="Times New Roman" w:hAnsi="Times New Roman"/>
        </w:rPr>
        <w:t> </w:t>
      </w:r>
      <w:r w:rsidRPr="000E033B">
        <w:rPr>
          <w:rFonts w:ascii="Times New Roman" w:hAnsi="Times New Roman"/>
        </w:rPr>
        <w:t>55 of the ICSID Convention. Art</w:t>
      </w:r>
      <w:r w:rsidR="002F3617" w:rsidRPr="000E033B">
        <w:rPr>
          <w:rFonts w:ascii="Times New Roman" w:hAnsi="Times New Roman"/>
        </w:rPr>
        <w:t>icle</w:t>
      </w:r>
      <w:r w:rsidR="001C4571" w:rsidRPr="000E033B">
        <w:rPr>
          <w:rFonts w:ascii="Times New Roman" w:hAnsi="Times New Roman"/>
        </w:rPr>
        <w:t> </w:t>
      </w:r>
      <w:r w:rsidRPr="000E033B">
        <w:rPr>
          <w:rFonts w:ascii="Times New Roman" w:hAnsi="Times New Roman"/>
        </w:rPr>
        <w:t>55 was inserted to preserve State immunity only from execution.</w:t>
      </w:r>
      <w:r w:rsidRPr="000E033B">
        <w:rPr>
          <w:rStyle w:val="FootnoteReference"/>
          <w:rFonts w:ascii="Times New Roman" w:hAnsi="Times New Roman"/>
          <w:sz w:val="24"/>
        </w:rPr>
        <w:footnoteReference w:id="63"/>
      </w:r>
      <w:r w:rsidRPr="000E033B">
        <w:rPr>
          <w:rFonts w:ascii="Times New Roman" w:hAnsi="Times New Roman"/>
        </w:rPr>
        <w:t xml:space="preserve"> The express words of Art</w:t>
      </w:r>
      <w:r w:rsidR="001C4571" w:rsidRPr="000E033B">
        <w:rPr>
          <w:rFonts w:ascii="Times New Roman" w:hAnsi="Times New Roman"/>
        </w:rPr>
        <w:t> </w:t>
      </w:r>
      <w:r w:rsidRPr="000E033B">
        <w:rPr>
          <w:rFonts w:ascii="Times New Roman" w:hAnsi="Times New Roman"/>
        </w:rPr>
        <w:t>55, when read with Art</w:t>
      </w:r>
      <w:r w:rsidR="001C4571" w:rsidRPr="000E033B">
        <w:rPr>
          <w:rFonts w:ascii="Times New Roman" w:hAnsi="Times New Roman"/>
        </w:rPr>
        <w:t> </w:t>
      </w:r>
      <w:r w:rsidRPr="000E033B">
        <w:rPr>
          <w:rFonts w:ascii="Times New Roman" w:hAnsi="Times New Roman"/>
        </w:rPr>
        <w:t xml:space="preserve">54, were a basis for the conclusion in United States authority that </w:t>
      </w:r>
      <w:r w:rsidR="00BF30C8" w:rsidRPr="000E033B">
        <w:rPr>
          <w:rFonts w:ascii="Times New Roman" w:hAnsi="Times New Roman"/>
        </w:rPr>
        <w:t xml:space="preserve">ratification of </w:t>
      </w:r>
      <w:r w:rsidRPr="000E033B">
        <w:rPr>
          <w:rFonts w:ascii="Times New Roman" w:hAnsi="Times New Roman"/>
        </w:rPr>
        <w:t>the ICSID Convention involved a waiver of foreign State immunity from jurisdiction.</w:t>
      </w:r>
      <w:r w:rsidRPr="000E033B">
        <w:rPr>
          <w:rStyle w:val="FootnoteReference"/>
          <w:rFonts w:ascii="Times New Roman" w:hAnsi="Times New Roman"/>
          <w:sz w:val="24"/>
        </w:rPr>
        <w:footnoteReference w:id="64"/>
      </w:r>
      <w:r w:rsidRPr="000E033B">
        <w:rPr>
          <w:rFonts w:ascii="Times New Roman" w:hAnsi="Times New Roman"/>
        </w:rPr>
        <w:t xml:space="preserve"> By contrast,</w:t>
      </w:r>
      <w:r w:rsidR="009D32C0" w:rsidRPr="000E033B">
        <w:rPr>
          <w:rFonts w:ascii="Times New Roman" w:hAnsi="Times New Roman"/>
        </w:rPr>
        <w:t xml:space="preserve"> and as explained above,</w:t>
      </w:r>
      <w:r w:rsidRPr="000E033B">
        <w:rPr>
          <w:rFonts w:ascii="Times New Roman" w:hAnsi="Times New Roman"/>
        </w:rPr>
        <w:t xml:space="preserve"> the express words of Art III of the New York Convention, "in accordance with the rules of procedure of the territory where the award is relied upon"</w:t>
      </w:r>
      <w:r w:rsidR="000114DA" w:rsidRPr="000E033B">
        <w:rPr>
          <w:rFonts w:ascii="Times New Roman" w:hAnsi="Times New Roman"/>
        </w:rPr>
        <w:t>,</w:t>
      </w:r>
      <w:r w:rsidRPr="000E033B">
        <w:rPr>
          <w:rFonts w:ascii="Times New Roman" w:hAnsi="Times New Roman"/>
        </w:rPr>
        <w:t xml:space="preserve"> support the preservation of foreign State immunity from jurisdiction.</w:t>
      </w:r>
      <w:r w:rsidRPr="000E033B">
        <w:rPr>
          <w:rStyle w:val="FootnoteReference"/>
          <w:rFonts w:ascii="Times New Roman" w:hAnsi="Times New Roman"/>
          <w:sz w:val="24"/>
        </w:rPr>
        <w:footnoteReference w:id="65"/>
      </w:r>
      <w:r w:rsidRPr="000E033B">
        <w:rPr>
          <w:rFonts w:ascii="Times New Roman" w:hAnsi="Times New Roman"/>
        </w:rPr>
        <w:t xml:space="preserve"> </w:t>
      </w:r>
    </w:p>
    <w:p w14:paraId="3DFF533C" w14:textId="4E465A04" w:rsidR="000372B4" w:rsidRPr="000E033B" w:rsidRDefault="000372B4" w:rsidP="000E033B">
      <w:pPr>
        <w:pStyle w:val="FixListStyle"/>
        <w:spacing w:after="260" w:line="280" w:lineRule="exact"/>
        <w:ind w:right="0"/>
        <w:jc w:val="both"/>
        <w:rPr>
          <w:rFonts w:ascii="Times New Roman" w:hAnsi="Times New Roman"/>
        </w:rPr>
      </w:pPr>
      <w:r w:rsidRPr="000E033B">
        <w:rPr>
          <w:rFonts w:ascii="Times New Roman" w:hAnsi="Times New Roman"/>
        </w:rPr>
        <w:tab/>
        <w:t>Thirdly, on proper analysis</w:t>
      </w:r>
      <w:r w:rsidR="000114DA" w:rsidRPr="000E033B">
        <w:rPr>
          <w:rFonts w:ascii="Times New Roman" w:hAnsi="Times New Roman"/>
        </w:rPr>
        <w:t>,</w:t>
      </w:r>
      <w:r w:rsidRPr="000E033B">
        <w:rPr>
          <w:rFonts w:ascii="Times New Roman" w:hAnsi="Times New Roman"/>
        </w:rPr>
        <w:t xml:space="preserve"> the analogy sought by the appellants</w:t>
      </w:r>
      <w:r w:rsidR="00F14990" w:rsidRPr="000E033B">
        <w:rPr>
          <w:rFonts w:ascii="Times New Roman" w:hAnsi="Times New Roman"/>
        </w:rPr>
        <w:t xml:space="preserve"> and the Attorney-General of the Commonwealth</w:t>
      </w:r>
      <w:r w:rsidRPr="000E033B">
        <w:rPr>
          <w:rFonts w:ascii="Times New Roman" w:hAnsi="Times New Roman"/>
        </w:rPr>
        <w:t xml:space="preserve"> is not supported by a reference in </w:t>
      </w:r>
      <w:r w:rsidRPr="000E033B">
        <w:rPr>
          <w:rFonts w:ascii="Times New Roman" w:hAnsi="Times New Roman"/>
          <w:i/>
          <w:iCs/>
        </w:rPr>
        <w:t>Kingdom of Spain</w:t>
      </w:r>
      <w:r w:rsidRPr="000E033B">
        <w:rPr>
          <w:rStyle w:val="FootnoteReference"/>
          <w:rFonts w:ascii="Times New Roman" w:hAnsi="Times New Roman"/>
          <w:sz w:val="24"/>
        </w:rPr>
        <w:footnoteReference w:id="66"/>
      </w:r>
      <w:r w:rsidRPr="000E033B">
        <w:rPr>
          <w:rFonts w:ascii="Times New Roman" w:hAnsi="Times New Roman"/>
          <w:i/>
          <w:iCs/>
        </w:rPr>
        <w:t xml:space="preserve"> </w:t>
      </w:r>
      <w:r w:rsidRPr="000E033B">
        <w:rPr>
          <w:rFonts w:ascii="Times New Roman" w:hAnsi="Times New Roman"/>
        </w:rPr>
        <w:t xml:space="preserve">to a footnote in commentary by the International Law Commission. In that footnote the International Law Commission referred to a source which included the ICSID Convention as an example of State practice where a State has "previously expressed its consent to </w:t>
      </w:r>
      <w:r w:rsidR="00C46408" w:rsidRPr="000E033B">
        <w:rPr>
          <w:rFonts w:ascii="Times New Roman" w:hAnsi="Times New Roman"/>
        </w:rPr>
        <w:t>...</w:t>
      </w:r>
      <w:r w:rsidRPr="000E033B">
        <w:rPr>
          <w:rFonts w:ascii="Times New Roman" w:hAnsi="Times New Roman"/>
        </w:rPr>
        <w:t xml:space="preserve"> jurisdiction in the </w:t>
      </w:r>
      <w:r w:rsidRPr="000E033B">
        <w:rPr>
          <w:rFonts w:ascii="Times New Roman" w:hAnsi="Times New Roman"/>
        </w:rPr>
        <w:lastRenderedPageBreak/>
        <w:t xml:space="preserve">provision of a treaty or </w:t>
      </w:r>
      <w:r w:rsidR="009C1D53" w:rsidRPr="000E033B">
        <w:rPr>
          <w:rFonts w:ascii="Times New Roman" w:hAnsi="Times New Roman"/>
        </w:rPr>
        <w:t xml:space="preserve">an </w:t>
      </w:r>
      <w:r w:rsidRPr="000E033B">
        <w:rPr>
          <w:rFonts w:ascii="Times New Roman" w:hAnsi="Times New Roman"/>
        </w:rPr>
        <w:t>international agreement".</w:t>
      </w:r>
      <w:r w:rsidR="0087458B" w:rsidRPr="000E033B">
        <w:rPr>
          <w:rStyle w:val="FootnoteReference"/>
          <w:rFonts w:ascii="Times New Roman" w:hAnsi="Times New Roman"/>
          <w:sz w:val="24"/>
        </w:rPr>
        <w:footnoteReference w:id="67"/>
      </w:r>
      <w:r w:rsidRPr="000E033B">
        <w:rPr>
          <w:rFonts w:ascii="Times New Roman" w:hAnsi="Times New Roman"/>
        </w:rPr>
        <w:t xml:space="preserve"> As the appellants</w:t>
      </w:r>
      <w:r w:rsidR="00F14990" w:rsidRPr="000E033B">
        <w:rPr>
          <w:rFonts w:ascii="Times New Roman" w:hAnsi="Times New Roman"/>
        </w:rPr>
        <w:t xml:space="preserve"> and the Attorney-General of the Commonwealth</w:t>
      </w:r>
      <w:r w:rsidRPr="000E033B">
        <w:rPr>
          <w:rFonts w:ascii="Times New Roman" w:hAnsi="Times New Roman"/>
        </w:rPr>
        <w:t xml:space="preserve"> submitted, the same source included the New York Convention as another example.</w:t>
      </w:r>
      <w:r w:rsidR="00122CC4" w:rsidRPr="000E033B">
        <w:rPr>
          <w:rFonts w:ascii="Times New Roman" w:hAnsi="Times New Roman"/>
        </w:rPr>
        <w:t xml:space="preserve"> </w:t>
      </w:r>
      <w:r w:rsidRPr="000E033B">
        <w:rPr>
          <w:rFonts w:ascii="Times New Roman" w:hAnsi="Times New Roman"/>
        </w:rPr>
        <w:t>The appellants</w:t>
      </w:r>
      <w:r w:rsidR="007F5723" w:rsidRPr="000E033B">
        <w:rPr>
          <w:rFonts w:ascii="Times New Roman" w:hAnsi="Times New Roman"/>
        </w:rPr>
        <w:t xml:space="preserve"> </w:t>
      </w:r>
      <w:r w:rsidRPr="000E033B">
        <w:rPr>
          <w:rFonts w:ascii="Times New Roman" w:hAnsi="Times New Roman"/>
        </w:rPr>
        <w:t>submitted that that footnote had therefore equated the approach taken by the ICSID Convention and the New York Convention as examples of waiver of foreign State immunity.</w:t>
      </w:r>
    </w:p>
    <w:p w14:paraId="0728E70A" w14:textId="654B1717" w:rsidR="000372B4" w:rsidRPr="000E033B" w:rsidRDefault="000372B4" w:rsidP="000E033B">
      <w:pPr>
        <w:pStyle w:val="FixListStyle"/>
        <w:spacing w:after="260" w:line="280" w:lineRule="exact"/>
        <w:ind w:right="0"/>
        <w:jc w:val="both"/>
        <w:rPr>
          <w:rFonts w:ascii="Times New Roman" w:hAnsi="Times New Roman"/>
        </w:rPr>
      </w:pPr>
      <w:r w:rsidRPr="000E033B">
        <w:rPr>
          <w:rFonts w:ascii="Times New Roman" w:hAnsi="Times New Roman"/>
        </w:rPr>
        <w:tab/>
        <w:t xml:space="preserve">The provisions of the ICSID Convention to which reference was made </w:t>
      </w:r>
      <w:r w:rsidR="00C237DD" w:rsidRPr="000E033B">
        <w:rPr>
          <w:rFonts w:ascii="Times New Roman" w:hAnsi="Times New Roman"/>
        </w:rPr>
        <w:t xml:space="preserve">in the source cited </w:t>
      </w:r>
      <w:r w:rsidRPr="000E033B">
        <w:rPr>
          <w:rFonts w:ascii="Times New Roman" w:hAnsi="Times New Roman"/>
        </w:rPr>
        <w:t>by the International Law Commission in support of the suggestion of waiver of immunity by entry into the ICSID Convention were Arts</w:t>
      </w:r>
      <w:r w:rsidR="001C4571" w:rsidRPr="000E033B">
        <w:rPr>
          <w:rFonts w:ascii="Times New Roman" w:hAnsi="Times New Roman"/>
        </w:rPr>
        <w:t> </w:t>
      </w:r>
      <w:r w:rsidRPr="000E033B">
        <w:rPr>
          <w:rFonts w:ascii="Times New Roman" w:hAnsi="Times New Roman"/>
        </w:rPr>
        <w:t>53, 54 and 55,</w:t>
      </w:r>
      <w:r w:rsidR="00773B0E" w:rsidRPr="000E033B">
        <w:rPr>
          <w:rStyle w:val="FootnoteReference"/>
          <w:rFonts w:ascii="Times New Roman" w:hAnsi="Times New Roman"/>
          <w:sz w:val="24"/>
        </w:rPr>
        <w:footnoteReference w:id="68"/>
      </w:r>
      <w:r w:rsidRPr="000E033B">
        <w:rPr>
          <w:rFonts w:ascii="Times New Roman" w:hAnsi="Times New Roman"/>
        </w:rPr>
        <w:t xml:space="preserve"> which were the very articles in issue in </w:t>
      </w:r>
      <w:r w:rsidRPr="000E033B">
        <w:rPr>
          <w:rFonts w:ascii="Times New Roman" w:hAnsi="Times New Roman"/>
          <w:i/>
          <w:iCs/>
        </w:rPr>
        <w:t>Kingdom of Spain</w:t>
      </w:r>
      <w:r w:rsidRPr="000E033B">
        <w:rPr>
          <w:rFonts w:ascii="Times New Roman" w:hAnsi="Times New Roman"/>
        </w:rPr>
        <w:t>. By contrast, the provisions of the New York Convention to which reference was made in support of the assertion of waiver were Arts</w:t>
      </w:r>
      <w:r w:rsidR="001C4571" w:rsidRPr="000E033B">
        <w:rPr>
          <w:rFonts w:ascii="Times New Roman" w:hAnsi="Times New Roman"/>
        </w:rPr>
        <w:t> </w:t>
      </w:r>
      <w:r w:rsidRPr="000E033B">
        <w:rPr>
          <w:rFonts w:ascii="Times New Roman" w:hAnsi="Times New Roman"/>
        </w:rPr>
        <w:t>II, III, V, VI, VII, XI, XIII and XIV.</w:t>
      </w:r>
      <w:r w:rsidR="007548F7" w:rsidRPr="000E033B">
        <w:rPr>
          <w:rStyle w:val="FootnoteReference"/>
          <w:rFonts w:ascii="Times New Roman" w:hAnsi="Times New Roman"/>
          <w:sz w:val="24"/>
        </w:rPr>
        <w:footnoteReference w:id="69"/>
      </w:r>
      <w:r w:rsidRPr="000E033B">
        <w:rPr>
          <w:rFonts w:ascii="Times New Roman" w:hAnsi="Times New Roman"/>
        </w:rPr>
        <w:t xml:space="preserve"> It is unclear, therefore, whether the basis of the suggestion by the International Law Commission was that a waiver of foreign State immunity arose from Art III or, for example, from Art II, which might be seen, at least in part, as corresponding </w:t>
      </w:r>
      <w:r w:rsidR="00163B01" w:rsidRPr="000E033B">
        <w:rPr>
          <w:rFonts w:ascii="Times New Roman" w:hAnsi="Times New Roman"/>
        </w:rPr>
        <w:t>to</w:t>
      </w:r>
      <w:r w:rsidRPr="000E033B">
        <w:rPr>
          <w:rFonts w:ascii="Times New Roman" w:hAnsi="Times New Roman"/>
        </w:rPr>
        <w:t xml:space="preserve"> the arbitration exception to foreign State immunity. That arbitration exception is contained in provisions such as s</w:t>
      </w:r>
      <w:r w:rsidR="001C4571" w:rsidRPr="000E033B">
        <w:rPr>
          <w:rFonts w:ascii="Times New Roman" w:hAnsi="Times New Roman"/>
        </w:rPr>
        <w:t> </w:t>
      </w:r>
      <w:r w:rsidRPr="000E033B">
        <w:rPr>
          <w:rFonts w:ascii="Times New Roman" w:hAnsi="Times New Roman"/>
        </w:rPr>
        <w:t>17</w:t>
      </w:r>
      <w:r w:rsidR="00C47206" w:rsidRPr="000E033B">
        <w:rPr>
          <w:rFonts w:ascii="Times New Roman" w:hAnsi="Times New Roman"/>
        </w:rPr>
        <w:t>(2)</w:t>
      </w:r>
      <w:r w:rsidRPr="000E033B">
        <w:rPr>
          <w:rFonts w:ascii="Times New Roman" w:hAnsi="Times New Roman"/>
        </w:rPr>
        <w:t xml:space="preserve"> of the </w:t>
      </w:r>
      <w:r w:rsidRPr="000E033B">
        <w:rPr>
          <w:rFonts w:ascii="Times New Roman" w:hAnsi="Times New Roman"/>
          <w:i/>
          <w:iCs/>
        </w:rPr>
        <w:t>Foreign States Immunit</w:t>
      </w:r>
      <w:r w:rsidR="00C85DBD" w:rsidRPr="000E033B">
        <w:rPr>
          <w:rFonts w:ascii="Times New Roman" w:hAnsi="Times New Roman"/>
          <w:i/>
          <w:iCs/>
        </w:rPr>
        <w:t>ies</w:t>
      </w:r>
      <w:r w:rsidRPr="000E033B">
        <w:rPr>
          <w:rFonts w:ascii="Times New Roman" w:hAnsi="Times New Roman"/>
          <w:i/>
          <w:iCs/>
        </w:rPr>
        <w:t xml:space="preserve"> Act </w:t>
      </w:r>
      <w:r w:rsidRPr="000E033B">
        <w:rPr>
          <w:rFonts w:ascii="Times New Roman" w:hAnsi="Times New Roman"/>
        </w:rPr>
        <w:t>and its counterpart in other States.</w:t>
      </w:r>
      <w:r w:rsidRPr="000E033B">
        <w:rPr>
          <w:rStyle w:val="FootnoteReference"/>
          <w:rFonts w:ascii="Times New Roman" w:hAnsi="Times New Roman"/>
          <w:sz w:val="24"/>
        </w:rPr>
        <w:footnoteReference w:id="70"/>
      </w:r>
      <w:r w:rsidRPr="000E033B">
        <w:rPr>
          <w:rFonts w:ascii="Times New Roman" w:hAnsi="Times New Roman"/>
        </w:rPr>
        <w:t xml:space="preserve"> The appellants did not rely upon s</w:t>
      </w:r>
      <w:r w:rsidR="001C4571" w:rsidRPr="000E033B">
        <w:rPr>
          <w:rFonts w:ascii="Times New Roman" w:hAnsi="Times New Roman"/>
        </w:rPr>
        <w:t> </w:t>
      </w:r>
      <w:r w:rsidRPr="000E033B">
        <w:rPr>
          <w:rFonts w:ascii="Times New Roman" w:hAnsi="Times New Roman"/>
        </w:rPr>
        <w:t>17</w:t>
      </w:r>
      <w:r w:rsidR="00C47206" w:rsidRPr="000E033B">
        <w:rPr>
          <w:rFonts w:ascii="Times New Roman" w:hAnsi="Times New Roman"/>
        </w:rPr>
        <w:t>(2)</w:t>
      </w:r>
      <w:r w:rsidRPr="000E033B">
        <w:rPr>
          <w:rFonts w:ascii="Times New Roman" w:hAnsi="Times New Roman"/>
        </w:rPr>
        <w:t xml:space="preserve"> at any stage in these proceedings.</w:t>
      </w:r>
    </w:p>
    <w:p w14:paraId="7B740A7C" w14:textId="77777777" w:rsidR="00365B2A" w:rsidRPr="000E033B" w:rsidRDefault="00365B2A" w:rsidP="000E033B">
      <w:pPr>
        <w:pStyle w:val="HeadingL1"/>
        <w:spacing w:after="260" w:line="280" w:lineRule="exact"/>
        <w:ind w:right="0"/>
        <w:jc w:val="both"/>
        <w:rPr>
          <w:rFonts w:ascii="Times New Roman" w:hAnsi="Times New Roman"/>
        </w:rPr>
      </w:pPr>
      <w:r w:rsidRPr="000E033B">
        <w:rPr>
          <w:rFonts w:ascii="Times New Roman" w:hAnsi="Times New Roman"/>
        </w:rPr>
        <w:lastRenderedPageBreak/>
        <w:t>The scope of the New York Convention</w:t>
      </w:r>
    </w:p>
    <w:p w14:paraId="2DC32E7C" w14:textId="7DDA3D38" w:rsidR="00365B2A" w:rsidRPr="000E033B" w:rsidRDefault="00365B2A" w:rsidP="000E033B">
      <w:pPr>
        <w:pStyle w:val="FixListStyle"/>
        <w:spacing w:after="260" w:line="280" w:lineRule="exact"/>
        <w:ind w:right="0"/>
        <w:jc w:val="both"/>
        <w:rPr>
          <w:rFonts w:ascii="Times New Roman" w:hAnsi="Times New Roman"/>
        </w:rPr>
      </w:pPr>
      <w:r w:rsidRPr="000E033B">
        <w:rPr>
          <w:rFonts w:ascii="Times New Roman" w:hAnsi="Times New Roman"/>
        </w:rPr>
        <w:tab/>
        <w:t>Other than two issues in India's notice of contention which were abandoned by India, India relied upon a contention that "[</w:t>
      </w:r>
      <w:proofErr w:type="spellStart"/>
      <w:r w:rsidRPr="000E033B">
        <w:rPr>
          <w:rFonts w:ascii="Times New Roman" w:hAnsi="Times New Roman"/>
        </w:rPr>
        <w:t>i</w:t>
      </w:r>
      <w:proofErr w:type="spellEnd"/>
      <w:r w:rsidRPr="000E033B">
        <w:rPr>
          <w:rFonts w:ascii="Times New Roman" w:hAnsi="Times New Roman"/>
        </w:rPr>
        <w:t>]</w:t>
      </w:r>
      <w:proofErr w:type="spellStart"/>
      <w:r w:rsidRPr="000E033B">
        <w:rPr>
          <w:rFonts w:ascii="Times New Roman" w:hAnsi="Times New Roman"/>
        </w:rPr>
        <w:t>nsofar</w:t>
      </w:r>
      <w:proofErr w:type="spellEnd"/>
      <w:r w:rsidRPr="000E033B">
        <w:rPr>
          <w:rFonts w:ascii="Times New Roman" w:hAnsi="Times New Roman"/>
        </w:rPr>
        <w:t xml:space="preserve"> as the [New York</w:t>
      </w:r>
      <w:r w:rsidR="00981453" w:rsidRPr="000E033B">
        <w:rPr>
          <w:rFonts w:ascii="Times New Roman" w:hAnsi="Times New Roman"/>
        </w:rPr>
        <w:t>]</w:t>
      </w:r>
      <w:r w:rsidRPr="000E033B">
        <w:rPr>
          <w:rFonts w:ascii="Times New Roman" w:hAnsi="Times New Roman"/>
        </w:rPr>
        <w:t xml:space="preserve"> Convention applies to awards in which a State is a party, it only applies to awards involving a commercial or private law dispute, and the dispute the subject of the Quantum Award is not of that character". An instance of this limit was initially said by India to be the "exclusionary category" of inter-State disputes.</w:t>
      </w:r>
    </w:p>
    <w:p w14:paraId="767C88A8" w14:textId="3EE91CDA" w:rsidR="00365B2A" w:rsidRPr="000E033B" w:rsidRDefault="00365B2A" w:rsidP="000E033B">
      <w:pPr>
        <w:pStyle w:val="FixListStyle"/>
        <w:spacing w:after="260" w:line="280" w:lineRule="exact"/>
        <w:ind w:right="0"/>
        <w:jc w:val="both"/>
        <w:rPr>
          <w:rFonts w:ascii="Times New Roman" w:hAnsi="Times New Roman"/>
        </w:rPr>
      </w:pPr>
      <w:r w:rsidRPr="000E033B">
        <w:rPr>
          <w:rFonts w:ascii="Times New Roman" w:hAnsi="Times New Roman"/>
        </w:rPr>
        <w:tab/>
      </w:r>
      <w:r w:rsidR="00C8048D" w:rsidRPr="000E033B">
        <w:rPr>
          <w:rFonts w:ascii="Times New Roman" w:hAnsi="Times New Roman"/>
        </w:rPr>
        <w:t>T</w:t>
      </w:r>
      <w:r w:rsidRPr="000E033B">
        <w:rPr>
          <w:rFonts w:ascii="Times New Roman" w:hAnsi="Times New Roman"/>
        </w:rPr>
        <w:t>h</w:t>
      </w:r>
      <w:r w:rsidR="00C8048D" w:rsidRPr="000E033B">
        <w:rPr>
          <w:rFonts w:ascii="Times New Roman" w:hAnsi="Times New Roman"/>
        </w:rPr>
        <w:t>is</w:t>
      </w:r>
      <w:r w:rsidRPr="000E033B">
        <w:rPr>
          <w:rFonts w:ascii="Times New Roman" w:hAnsi="Times New Roman"/>
        </w:rPr>
        <w:t xml:space="preserve"> </w:t>
      </w:r>
      <w:r w:rsidR="00C8048D" w:rsidRPr="000E033B">
        <w:rPr>
          <w:rFonts w:ascii="Times New Roman" w:hAnsi="Times New Roman"/>
        </w:rPr>
        <w:t xml:space="preserve">issue of the </w:t>
      </w:r>
      <w:r w:rsidRPr="000E033B">
        <w:rPr>
          <w:rFonts w:ascii="Times New Roman" w:hAnsi="Times New Roman"/>
        </w:rPr>
        <w:t xml:space="preserve">scope of the New York Convention is anterior to </w:t>
      </w:r>
      <w:r w:rsidR="00A26DD4" w:rsidRPr="000E033B">
        <w:rPr>
          <w:rFonts w:ascii="Times New Roman" w:hAnsi="Times New Roman"/>
        </w:rPr>
        <w:t xml:space="preserve">the </w:t>
      </w:r>
      <w:r w:rsidRPr="000E033B">
        <w:rPr>
          <w:rFonts w:ascii="Times New Roman" w:hAnsi="Times New Roman"/>
        </w:rPr>
        <w:t>question of whether India waived its foreign State immunity by ratification of the New York Convention</w:t>
      </w:r>
      <w:r w:rsidR="00C8048D" w:rsidRPr="000E033B">
        <w:rPr>
          <w:rFonts w:ascii="Times New Roman" w:hAnsi="Times New Roman"/>
        </w:rPr>
        <w:t xml:space="preserve"> since </w:t>
      </w:r>
      <w:r w:rsidR="000B384A" w:rsidRPr="000E033B">
        <w:rPr>
          <w:rFonts w:ascii="Times New Roman" w:hAnsi="Times New Roman"/>
        </w:rPr>
        <w:t xml:space="preserve">the inapplicability of the New York Convention would mean that </w:t>
      </w:r>
      <w:r w:rsidRPr="000E033B">
        <w:rPr>
          <w:rFonts w:ascii="Times New Roman" w:hAnsi="Times New Roman"/>
        </w:rPr>
        <w:t>no issue would arise in th</w:t>
      </w:r>
      <w:r w:rsidR="005342F0" w:rsidRPr="000E033B">
        <w:rPr>
          <w:rFonts w:ascii="Times New Roman" w:hAnsi="Times New Roman"/>
        </w:rPr>
        <w:t>is</w:t>
      </w:r>
      <w:r w:rsidRPr="000E033B">
        <w:rPr>
          <w:rFonts w:ascii="Times New Roman" w:hAnsi="Times New Roman"/>
        </w:rPr>
        <w:t xml:space="preserve"> proceeding concerning any waiver of its foreign State immunity or the scope of such waiver. </w:t>
      </w:r>
      <w:r w:rsidR="00E94A2B" w:rsidRPr="000E033B">
        <w:rPr>
          <w:rFonts w:ascii="Times New Roman" w:hAnsi="Times New Roman"/>
        </w:rPr>
        <w:t xml:space="preserve">Nevertheless, the issue </w:t>
      </w:r>
      <w:r w:rsidR="00713E3E" w:rsidRPr="000E033B">
        <w:rPr>
          <w:rFonts w:ascii="Times New Roman" w:hAnsi="Times New Roman"/>
        </w:rPr>
        <w:t xml:space="preserve">of scope </w:t>
      </w:r>
      <w:r w:rsidR="00E94A2B" w:rsidRPr="000E033B">
        <w:rPr>
          <w:rFonts w:ascii="Times New Roman" w:hAnsi="Times New Roman"/>
        </w:rPr>
        <w:t xml:space="preserve">was raised only as an alternative submission. </w:t>
      </w:r>
      <w:r w:rsidR="00B81CA2" w:rsidRPr="000E033B">
        <w:rPr>
          <w:rFonts w:ascii="Times New Roman" w:hAnsi="Times New Roman"/>
        </w:rPr>
        <w:t xml:space="preserve">The issue </w:t>
      </w:r>
      <w:r w:rsidRPr="000E033B">
        <w:rPr>
          <w:rFonts w:ascii="Times New Roman" w:hAnsi="Times New Roman"/>
        </w:rPr>
        <w:t>involves difficult questions of non-textual limits to the scope of the New York Convention which were not raised by the facts of this appeal and thus not fully explored in the submissions of the parties.</w:t>
      </w:r>
      <w:r w:rsidR="00D25C67" w:rsidRPr="000E033B">
        <w:rPr>
          <w:rFonts w:ascii="Times New Roman" w:hAnsi="Times New Roman"/>
        </w:rPr>
        <w:t xml:space="preserve"> </w:t>
      </w:r>
    </w:p>
    <w:p w14:paraId="1D6781F4" w14:textId="70CB4A07" w:rsidR="001B6FB7" w:rsidRPr="000E033B" w:rsidRDefault="00365B2A" w:rsidP="000E033B">
      <w:pPr>
        <w:pStyle w:val="FixListStyle"/>
        <w:spacing w:after="260" w:line="280" w:lineRule="exact"/>
        <w:ind w:right="0"/>
        <w:jc w:val="both"/>
        <w:rPr>
          <w:rFonts w:ascii="Times New Roman" w:hAnsi="Times New Roman"/>
        </w:rPr>
      </w:pPr>
      <w:r w:rsidRPr="000E033B">
        <w:rPr>
          <w:rFonts w:ascii="Times New Roman" w:hAnsi="Times New Roman"/>
        </w:rPr>
        <w:tab/>
        <w:t xml:space="preserve">An example of the difficult </w:t>
      </w:r>
      <w:r w:rsidR="003E58FE" w:rsidRPr="000E033B">
        <w:rPr>
          <w:rFonts w:ascii="Times New Roman" w:hAnsi="Times New Roman"/>
        </w:rPr>
        <w:t>questions</w:t>
      </w:r>
      <w:r w:rsidRPr="000E033B">
        <w:rPr>
          <w:rFonts w:ascii="Times New Roman" w:hAnsi="Times New Roman"/>
        </w:rPr>
        <w:t xml:space="preserve"> concerning scope is the extent to which, if at all, the New York Convention applies to inter-State disputes. The New York Convention developed from the Geneva Arbitration Conventions which, as the New York Convention provided, would cease to have effect between contracting States when those States became bound by the New York Convention.</w:t>
      </w:r>
      <w:r w:rsidRPr="000E033B">
        <w:rPr>
          <w:rStyle w:val="FootnoteReference"/>
          <w:rFonts w:ascii="Times New Roman" w:hAnsi="Times New Roman"/>
          <w:sz w:val="24"/>
        </w:rPr>
        <w:footnoteReference w:id="71"/>
      </w:r>
      <w:r w:rsidRPr="000E033B">
        <w:rPr>
          <w:rFonts w:ascii="Times New Roman" w:hAnsi="Times New Roman"/>
        </w:rPr>
        <w:t xml:space="preserve"> The Geneva Arbitration Conventions applied to persons who were subject to the jurisdiction of the contracting States rather than the contracting States themselves.</w:t>
      </w:r>
      <w:r w:rsidRPr="000E033B">
        <w:rPr>
          <w:rStyle w:val="FootnoteReference"/>
          <w:rFonts w:ascii="Times New Roman" w:hAnsi="Times New Roman"/>
          <w:sz w:val="24"/>
        </w:rPr>
        <w:footnoteReference w:id="72"/>
      </w:r>
      <w:r w:rsidRPr="000E033B">
        <w:rPr>
          <w:rFonts w:ascii="Times New Roman" w:hAnsi="Times New Roman"/>
        </w:rPr>
        <w:t xml:space="preserve"> Those Conventions did not apply to inter-State disputes. </w:t>
      </w:r>
    </w:p>
    <w:p w14:paraId="339E8B21" w14:textId="25E5EF95" w:rsidR="00365B2A" w:rsidRPr="000E033B" w:rsidRDefault="007807BD" w:rsidP="000E033B">
      <w:pPr>
        <w:pStyle w:val="FixListStyle"/>
        <w:spacing w:after="260" w:line="280" w:lineRule="exact"/>
        <w:ind w:right="0"/>
        <w:jc w:val="both"/>
        <w:rPr>
          <w:rFonts w:ascii="Times New Roman" w:hAnsi="Times New Roman"/>
        </w:rPr>
      </w:pPr>
      <w:r w:rsidRPr="000E033B">
        <w:rPr>
          <w:rFonts w:ascii="Times New Roman" w:hAnsi="Times New Roman"/>
        </w:rPr>
        <w:tab/>
      </w:r>
      <w:r w:rsidR="00F21121" w:rsidRPr="000E033B">
        <w:rPr>
          <w:rFonts w:ascii="Times New Roman" w:hAnsi="Times New Roman"/>
        </w:rPr>
        <w:t xml:space="preserve">Although </w:t>
      </w:r>
      <w:r w:rsidR="00365B2A" w:rsidRPr="000E033B">
        <w:rPr>
          <w:rFonts w:ascii="Times New Roman" w:hAnsi="Times New Roman"/>
        </w:rPr>
        <w:t xml:space="preserve">the text of Art I(1) of the New York Convention did not expressly confine the meaning of differences between "persons, whether physical or legal" </w:t>
      </w:r>
      <w:r w:rsidR="00AD523E" w:rsidRPr="000E033B">
        <w:rPr>
          <w:rFonts w:ascii="Times New Roman" w:hAnsi="Times New Roman"/>
        </w:rPr>
        <w:t xml:space="preserve">either </w:t>
      </w:r>
      <w:r w:rsidR="00365B2A" w:rsidRPr="000E033B">
        <w:rPr>
          <w:rFonts w:ascii="Times New Roman" w:hAnsi="Times New Roman"/>
        </w:rPr>
        <w:t>to non-State parties or to commercial or private law disputes</w:t>
      </w:r>
      <w:r w:rsidR="00B718E3" w:rsidRPr="000E033B">
        <w:rPr>
          <w:rFonts w:ascii="Times New Roman" w:hAnsi="Times New Roman"/>
        </w:rPr>
        <w:t xml:space="preserve">, </w:t>
      </w:r>
      <w:r w:rsidR="00AF64FB" w:rsidRPr="000E033B">
        <w:rPr>
          <w:rFonts w:ascii="Times New Roman" w:hAnsi="Times New Roman"/>
        </w:rPr>
        <w:t xml:space="preserve">the New York </w:t>
      </w:r>
      <w:r w:rsidR="00AF64FB" w:rsidRPr="000E033B">
        <w:rPr>
          <w:rFonts w:ascii="Times New Roman" w:hAnsi="Times New Roman"/>
        </w:rPr>
        <w:lastRenderedPageBreak/>
        <w:t>Convention predated bilateral investment treaties and investor-State arbitrations</w:t>
      </w:r>
      <w:r w:rsidR="00067C70" w:rsidRPr="000E033B">
        <w:rPr>
          <w:rFonts w:ascii="Times New Roman" w:hAnsi="Times New Roman"/>
        </w:rPr>
        <w:t>.</w:t>
      </w:r>
      <w:r w:rsidR="00AF64FB" w:rsidRPr="000E033B">
        <w:rPr>
          <w:rStyle w:val="FootnoteReference"/>
          <w:rFonts w:ascii="Times New Roman" w:hAnsi="Times New Roman"/>
          <w:sz w:val="24"/>
        </w:rPr>
        <w:footnoteReference w:id="73"/>
      </w:r>
      <w:r w:rsidR="00AF64FB" w:rsidRPr="000E033B">
        <w:rPr>
          <w:rFonts w:ascii="Times New Roman" w:hAnsi="Times New Roman"/>
        </w:rPr>
        <w:t xml:space="preserve"> </w:t>
      </w:r>
      <w:r w:rsidR="00067C70" w:rsidRPr="000E033B">
        <w:rPr>
          <w:rFonts w:ascii="Times New Roman" w:hAnsi="Times New Roman"/>
        </w:rPr>
        <w:t>In addition,</w:t>
      </w:r>
      <w:r w:rsidR="00E57E0A" w:rsidRPr="000E033B">
        <w:rPr>
          <w:rFonts w:ascii="Times New Roman" w:hAnsi="Times New Roman"/>
        </w:rPr>
        <w:t xml:space="preserve"> </w:t>
      </w:r>
      <w:r w:rsidR="00365B2A" w:rsidRPr="000E033B">
        <w:rPr>
          <w:rFonts w:ascii="Times New Roman" w:hAnsi="Times New Roman"/>
        </w:rPr>
        <w:t>a proposed amendment by Yugoslavia to restrict the scope of the New York Convention, in the same way as the Geneva Arbitration Conventions, to persons subject to the jurisdiction of a contracting State</w:t>
      </w:r>
      <w:r w:rsidR="00EE2DDD" w:rsidRPr="000E033B">
        <w:rPr>
          <w:rFonts w:ascii="Times New Roman" w:hAnsi="Times New Roman"/>
        </w:rPr>
        <w:t xml:space="preserve"> </w:t>
      </w:r>
      <w:r w:rsidR="00365B2A" w:rsidRPr="000E033B">
        <w:rPr>
          <w:rFonts w:ascii="Times New Roman" w:hAnsi="Times New Roman"/>
        </w:rPr>
        <w:t>was supported by a majority</w:t>
      </w:r>
      <w:r w:rsidR="00A60CBC" w:rsidRPr="000E033B">
        <w:rPr>
          <w:rFonts w:ascii="Times New Roman" w:hAnsi="Times New Roman"/>
        </w:rPr>
        <w:t>, although</w:t>
      </w:r>
      <w:r w:rsidR="00365B2A" w:rsidRPr="000E033B">
        <w:rPr>
          <w:rFonts w:ascii="Times New Roman" w:hAnsi="Times New Roman"/>
        </w:rPr>
        <w:t xml:space="preserve"> not by the required two-thirds majority.</w:t>
      </w:r>
      <w:r w:rsidR="00365B2A" w:rsidRPr="000E033B">
        <w:rPr>
          <w:rStyle w:val="FootnoteReference"/>
          <w:rFonts w:ascii="Times New Roman" w:hAnsi="Times New Roman"/>
          <w:sz w:val="24"/>
        </w:rPr>
        <w:footnoteReference w:id="74"/>
      </w:r>
      <w:r w:rsidR="00365B2A" w:rsidRPr="000E033B">
        <w:rPr>
          <w:rFonts w:ascii="Times New Roman" w:hAnsi="Times New Roman"/>
        </w:rPr>
        <w:t xml:space="preserve"> </w:t>
      </w:r>
      <w:r w:rsidR="001B6FB7" w:rsidRPr="000E033B">
        <w:rPr>
          <w:rFonts w:ascii="Times New Roman" w:hAnsi="Times New Roman"/>
        </w:rPr>
        <w:t xml:space="preserve">Some commentators </w:t>
      </w:r>
      <w:r w:rsidR="00A745F3" w:rsidRPr="000E033B">
        <w:rPr>
          <w:rFonts w:ascii="Times New Roman" w:hAnsi="Times New Roman"/>
        </w:rPr>
        <w:t>have</w:t>
      </w:r>
      <w:r w:rsidR="001B6FB7" w:rsidRPr="000E033B">
        <w:rPr>
          <w:rFonts w:ascii="Times New Roman" w:hAnsi="Times New Roman"/>
        </w:rPr>
        <w:t xml:space="preserve"> pointed to passages in the travaux </w:t>
      </w:r>
      <w:proofErr w:type="spellStart"/>
      <w:r w:rsidR="001B6FB7" w:rsidRPr="000E033B">
        <w:rPr>
          <w:rFonts w:ascii="Times New Roman" w:hAnsi="Times New Roman"/>
        </w:rPr>
        <w:t>préparatoires</w:t>
      </w:r>
      <w:proofErr w:type="spellEnd"/>
      <w:r w:rsidR="001B6FB7" w:rsidRPr="000E033B">
        <w:rPr>
          <w:rFonts w:ascii="Times New Roman" w:hAnsi="Times New Roman"/>
        </w:rPr>
        <w:t xml:space="preserve"> which might reveal an intention to exclude awards between States</w:t>
      </w:r>
      <w:r w:rsidR="00043029" w:rsidRPr="000E033B">
        <w:rPr>
          <w:rFonts w:ascii="Times New Roman" w:hAnsi="Times New Roman"/>
        </w:rPr>
        <w:t>,</w:t>
      </w:r>
      <w:r w:rsidR="001B6FB7" w:rsidRPr="000E033B">
        <w:rPr>
          <w:rStyle w:val="FootnoteReference"/>
          <w:rFonts w:ascii="Times New Roman" w:hAnsi="Times New Roman"/>
          <w:sz w:val="24"/>
        </w:rPr>
        <w:footnoteReference w:id="75"/>
      </w:r>
      <w:r w:rsidR="00A60CBC" w:rsidRPr="000E033B">
        <w:rPr>
          <w:rFonts w:ascii="Times New Roman" w:hAnsi="Times New Roman"/>
        </w:rPr>
        <w:t xml:space="preserve"> including </w:t>
      </w:r>
      <w:r w:rsidR="001B6FB7" w:rsidRPr="000E033B">
        <w:rPr>
          <w:rFonts w:ascii="Times New Roman" w:hAnsi="Times New Roman"/>
        </w:rPr>
        <w:t>a view expressed by the Ad Hoc Committee that the ICC Draft Convention did not "deal with arbitration between States, but with the recognition and enforcement in one country of arbitral awards made in another country".</w:t>
      </w:r>
      <w:r w:rsidR="001B6FB7" w:rsidRPr="000E033B">
        <w:rPr>
          <w:rStyle w:val="FootnoteReference"/>
          <w:rFonts w:ascii="Times New Roman" w:hAnsi="Times New Roman"/>
          <w:sz w:val="24"/>
        </w:rPr>
        <w:footnoteReference w:id="76"/>
      </w:r>
      <w:r w:rsidR="001B6FB7" w:rsidRPr="000E033B">
        <w:rPr>
          <w:rFonts w:ascii="Times New Roman" w:hAnsi="Times New Roman"/>
        </w:rPr>
        <w:t xml:space="preserve"> </w:t>
      </w:r>
      <w:r w:rsidR="00B718E3" w:rsidRPr="000E033B">
        <w:rPr>
          <w:rFonts w:ascii="Times New Roman" w:hAnsi="Times New Roman"/>
        </w:rPr>
        <w:t xml:space="preserve">On the other hand, </w:t>
      </w:r>
      <w:r w:rsidR="00A745F3" w:rsidRPr="000E033B">
        <w:rPr>
          <w:rFonts w:ascii="Times New Roman" w:hAnsi="Times New Roman"/>
        </w:rPr>
        <w:t xml:space="preserve">other </w:t>
      </w:r>
      <w:r w:rsidR="00057581" w:rsidRPr="000E033B">
        <w:rPr>
          <w:rFonts w:ascii="Times New Roman" w:hAnsi="Times New Roman"/>
        </w:rPr>
        <w:t xml:space="preserve">commentators such as </w:t>
      </w:r>
      <w:r w:rsidR="00CE3E9F" w:rsidRPr="000E033B">
        <w:rPr>
          <w:rFonts w:ascii="Times New Roman" w:hAnsi="Times New Roman"/>
        </w:rPr>
        <w:t>Mr</w:t>
      </w:r>
      <w:r w:rsidR="00D66ACB" w:rsidRPr="000E033B">
        <w:rPr>
          <w:rFonts w:ascii="Times New Roman" w:hAnsi="Times New Roman"/>
        </w:rPr>
        <w:t> </w:t>
      </w:r>
      <w:r w:rsidR="00CE3E9F" w:rsidRPr="000E033B">
        <w:rPr>
          <w:rFonts w:ascii="Times New Roman" w:hAnsi="Times New Roman"/>
        </w:rPr>
        <w:t xml:space="preserve">Contini, </w:t>
      </w:r>
      <w:r w:rsidR="00EE2DDD" w:rsidRPr="000E033B">
        <w:rPr>
          <w:rFonts w:ascii="Times New Roman" w:hAnsi="Times New Roman"/>
        </w:rPr>
        <w:t xml:space="preserve">who was </w:t>
      </w:r>
      <w:r w:rsidR="00CE3E9F" w:rsidRPr="000E033B">
        <w:rPr>
          <w:rFonts w:ascii="Times New Roman" w:hAnsi="Times New Roman"/>
        </w:rPr>
        <w:t xml:space="preserve">the Secretary of the Ad Hoc Committee, </w:t>
      </w:r>
      <w:r w:rsidR="00D66ACB" w:rsidRPr="000E033B">
        <w:rPr>
          <w:rFonts w:ascii="Times New Roman" w:hAnsi="Times New Roman"/>
        </w:rPr>
        <w:t xml:space="preserve">and Professor Crawford </w:t>
      </w:r>
      <w:r w:rsidR="00365B2A" w:rsidRPr="000E033B">
        <w:rPr>
          <w:rFonts w:ascii="Times New Roman" w:hAnsi="Times New Roman"/>
        </w:rPr>
        <w:t xml:space="preserve">considered there </w:t>
      </w:r>
      <w:r w:rsidR="00A745F3" w:rsidRPr="000E033B">
        <w:rPr>
          <w:rFonts w:ascii="Times New Roman" w:hAnsi="Times New Roman"/>
        </w:rPr>
        <w:t>to be</w:t>
      </w:r>
      <w:r w:rsidR="00365B2A" w:rsidRPr="000E033B">
        <w:rPr>
          <w:rFonts w:ascii="Times New Roman" w:hAnsi="Times New Roman"/>
        </w:rPr>
        <w:t xml:space="preserve"> a degree of support in the travaux </w:t>
      </w:r>
      <w:proofErr w:type="spellStart"/>
      <w:r w:rsidR="00365B2A" w:rsidRPr="000E033B">
        <w:rPr>
          <w:rFonts w:ascii="Times New Roman" w:hAnsi="Times New Roman"/>
        </w:rPr>
        <w:t>préparatoires</w:t>
      </w:r>
      <w:proofErr w:type="spellEnd"/>
      <w:r w:rsidR="00365B2A" w:rsidRPr="000E033B">
        <w:rPr>
          <w:rFonts w:ascii="Times New Roman" w:hAnsi="Times New Roman"/>
        </w:rPr>
        <w:t xml:space="preserve"> for the inclusion of States in their capacity as entities with rights and duties under private law</w:t>
      </w:r>
      <w:r w:rsidR="00CE3E9F" w:rsidRPr="000E033B">
        <w:rPr>
          <w:rFonts w:ascii="Times New Roman" w:hAnsi="Times New Roman"/>
        </w:rPr>
        <w:t>.</w:t>
      </w:r>
      <w:r w:rsidR="00365B2A" w:rsidRPr="000E033B">
        <w:rPr>
          <w:rStyle w:val="FootnoteReference"/>
          <w:rFonts w:ascii="Times New Roman" w:hAnsi="Times New Roman"/>
          <w:sz w:val="24"/>
        </w:rPr>
        <w:footnoteReference w:id="77"/>
      </w:r>
      <w:r w:rsidR="00AC791A" w:rsidRPr="000E033B">
        <w:rPr>
          <w:rFonts w:ascii="Times New Roman" w:hAnsi="Times New Roman"/>
        </w:rPr>
        <w:t xml:space="preserve"> </w:t>
      </w:r>
    </w:p>
    <w:p w14:paraId="644C3E2A" w14:textId="695E8E28" w:rsidR="00365B2A" w:rsidRPr="000E033B" w:rsidRDefault="00365B2A" w:rsidP="000E033B">
      <w:pPr>
        <w:pStyle w:val="FixListStyle"/>
        <w:spacing w:after="260" w:line="280" w:lineRule="exact"/>
        <w:ind w:right="0"/>
        <w:jc w:val="both"/>
        <w:rPr>
          <w:rFonts w:ascii="Times New Roman" w:hAnsi="Times New Roman"/>
        </w:rPr>
      </w:pPr>
      <w:r w:rsidRPr="000E033B">
        <w:rPr>
          <w:rFonts w:ascii="Times New Roman" w:hAnsi="Times New Roman"/>
        </w:rPr>
        <w:lastRenderedPageBreak/>
        <w:tab/>
        <w:t>Another difficulty and further conflicting views arise in relation to the extent to which the New York Convention applies between a State and a private party. In support of its ground of contention that the scope of the New York Convention is limited to commercial or private law disputes, India pointed to the express purpose of the ICC Draft Convention as being "to facilitate the enforcement of awards relating to international commercial disputes"</w:t>
      </w:r>
      <w:r w:rsidRPr="000E033B">
        <w:rPr>
          <w:rStyle w:val="FootnoteReference"/>
          <w:rFonts w:ascii="Times New Roman" w:hAnsi="Times New Roman"/>
          <w:sz w:val="24"/>
        </w:rPr>
        <w:footnoteReference w:id="78"/>
      </w:r>
      <w:r w:rsidR="00424AD8" w:rsidRPr="000E033B">
        <w:rPr>
          <w:rFonts w:ascii="Times New Roman" w:hAnsi="Times New Roman"/>
        </w:rPr>
        <w:t xml:space="preserve"> </w:t>
      </w:r>
      <w:r w:rsidRPr="000E033B">
        <w:rPr>
          <w:rFonts w:ascii="Times New Roman" w:hAnsi="Times New Roman"/>
        </w:rPr>
        <w:t xml:space="preserve">and the purpose of the Conference of Plenipotentiaries, convened by resolution of the United Nations Economic and Social Council after the publication of the Ad Hoc Committee report, </w:t>
      </w:r>
      <w:r w:rsidR="00A34D7A" w:rsidRPr="000E033B">
        <w:rPr>
          <w:rFonts w:ascii="Times New Roman" w:hAnsi="Times New Roman"/>
        </w:rPr>
        <w:t xml:space="preserve">as being </w:t>
      </w:r>
      <w:r w:rsidRPr="000E033B">
        <w:rPr>
          <w:rFonts w:ascii="Times New Roman" w:hAnsi="Times New Roman"/>
        </w:rPr>
        <w:t>to consider "other possible measures for increasing the effectiveness of arbitration in the settlement of private law disputes".</w:t>
      </w:r>
      <w:r w:rsidRPr="000E033B">
        <w:rPr>
          <w:rStyle w:val="FootnoteReference"/>
          <w:rFonts w:ascii="Times New Roman" w:hAnsi="Times New Roman"/>
          <w:sz w:val="24"/>
        </w:rPr>
        <w:footnoteReference w:id="79"/>
      </w:r>
    </w:p>
    <w:p w14:paraId="5BF9AE8B" w14:textId="77777777" w:rsidR="00365B2A" w:rsidRPr="000E033B" w:rsidRDefault="00365B2A" w:rsidP="000E033B">
      <w:pPr>
        <w:pStyle w:val="FixListStyle"/>
        <w:spacing w:after="260" w:line="280" w:lineRule="exact"/>
        <w:ind w:right="0"/>
        <w:jc w:val="both"/>
        <w:rPr>
          <w:rFonts w:ascii="Times New Roman" w:hAnsi="Times New Roman"/>
        </w:rPr>
      </w:pPr>
      <w:r w:rsidRPr="000E033B">
        <w:rPr>
          <w:rFonts w:ascii="Times New Roman" w:hAnsi="Times New Roman"/>
        </w:rPr>
        <w:tab/>
        <w:t>By contrast, however, in the discussion of the ICC Draft Convention in 1958, the United Kingdom representative observed that the difficulty with a Swiss proposal that the title refer to "arbitral awards in private law" was that "the Convention might apply to public arbitral bodies".</w:t>
      </w:r>
      <w:r w:rsidRPr="000E033B">
        <w:rPr>
          <w:rStyle w:val="FootnoteReference"/>
          <w:rFonts w:ascii="Times New Roman" w:hAnsi="Times New Roman"/>
          <w:sz w:val="24"/>
        </w:rPr>
        <w:footnoteReference w:id="80"/>
      </w:r>
      <w:r w:rsidRPr="000E033B">
        <w:rPr>
          <w:rFonts w:ascii="Times New Roman" w:hAnsi="Times New Roman"/>
        </w:rPr>
        <w:t xml:space="preserve"> Further, as the ICC itself observed, in relation to Art I of the Ad Hoc Committee's draft convention, not all national systems of law "provide for a distinct commercial law" so "their dissimilarity makes it difficult to limit the scope of the Convention to commercial disputes."</w:t>
      </w:r>
      <w:r w:rsidRPr="000E033B">
        <w:rPr>
          <w:rStyle w:val="FootnoteReference"/>
          <w:rFonts w:ascii="Times New Roman" w:hAnsi="Times New Roman"/>
          <w:sz w:val="24"/>
        </w:rPr>
        <w:footnoteReference w:id="81"/>
      </w:r>
      <w:r w:rsidRPr="000E033B">
        <w:rPr>
          <w:rFonts w:ascii="Times New Roman" w:hAnsi="Times New Roman"/>
        </w:rPr>
        <w:t xml:space="preserve"> </w:t>
      </w:r>
    </w:p>
    <w:p w14:paraId="14A9E9CF" w14:textId="77777777" w:rsidR="00365B2A" w:rsidRPr="000E033B" w:rsidRDefault="00365B2A" w:rsidP="000E033B">
      <w:pPr>
        <w:pStyle w:val="FixListStyle"/>
        <w:spacing w:after="260" w:line="280" w:lineRule="exact"/>
        <w:ind w:right="0"/>
        <w:jc w:val="both"/>
        <w:rPr>
          <w:rFonts w:ascii="Times New Roman" w:hAnsi="Times New Roman"/>
        </w:rPr>
      </w:pPr>
      <w:r w:rsidRPr="000E033B">
        <w:rPr>
          <w:rFonts w:ascii="Times New Roman" w:hAnsi="Times New Roman"/>
        </w:rPr>
        <w:tab/>
        <w:t xml:space="preserve">The complexity of the issue concerning the scope of the New York Convention is not limited to the presence of potentially conflicting views in the travaux </w:t>
      </w:r>
      <w:proofErr w:type="spellStart"/>
      <w:r w:rsidRPr="000E033B">
        <w:rPr>
          <w:rFonts w:ascii="Times New Roman" w:hAnsi="Times New Roman"/>
        </w:rPr>
        <w:t>préparatoires</w:t>
      </w:r>
      <w:proofErr w:type="spellEnd"/>
      <w:r w:rsidRPr="000E033B">
        <w:rPr>
          <w:rFonts w:ascii="Times New Roman" w:hAnsi="Times New Roman"/>
        </w:rPr>
        <w:t xml:space="preserve"> to, and commentary on, the New York Convention. The issue of scope might also intersect with the difficult distinction involved in questions of </w:t>
      </w:r>
      <w:r w:rsidRPr="000E033B">
        <w:rPr>
          <w:rFonts w:ascii="Times New Roman" w:hAnsi="Times New Roman"/>
        </w:rPr>
        <w:lastRenderedPageBreak/>
        <w:t>restrictive State immunity,</w:t>
      </w:r>
      <w:r w:rsidRPr="000E033B">
        <w:rPr>
          <w:rStyle w:val="FootnoteReference"/>
          <w:rFonts w:ascii="Times New Roman" w:hAnsi="Times New Roman"/>
          <w:sz w:val="24"/>
        </w:rPr>
        <w:footnoteReference w:id="82"/>
      </w:r>
      <w:r w:rsidRPr="000E033B">
        <w:rPr>
          <w:rFonts w:ascii="Times New Roman" w:hAnsi="Times New Roman"/>
        </w:rPr>
        <w:t xml:space="preserve"> described by the International Court of Justice as being between whether "the acts in question fall to be assessed by reference to the law governing the exercise of sovereign power (</w:t>
      </w:r>
      <w:r w:rsidRPr="000E033B">
        <w:rPr>
          <w:rFonts w:ascii="Times New Roman" w:hAnsi="Times New Roman"/>
          <w:i/>
          <w:iCs/>
        </w:rPr>
        <w:t xml:space="preserve">ius </w:t>
      </w:r>
      <w:proofErr w:type="spellStart"/>
      <w:r w:rsidRPr="000E033B">
        <w:rPr>
          <w:rFonts w:ascii="Times New Roman" w:hAnsi="Times New Roman"/>
          <w:i/>
          <w:iCs/>
        </w:rPr>
        <w:t>imperii</w:t>
      </w:r>
      <w:proofErr w:type="spellEnd"/>
      <w:r w:rsidRPr="000E033B">
        <w:rPr>
          <w:rFonts w:ascii="Times New Roman" w:hAnsi="Times New Roman"/>
        </w:rPr>
        <w:t>) or the law concerning non-sovereign activities of a State, especially private and commercial activities (</w:t>
      </w:r>
      <w:r w:rsidRPr="000E033B">
        <w:rPr>
          <w:rFonts w:ascii="Times New Roman" w:hAnsi="Times New Roman"/>
          <w:i/>
          <w:iCs/>
        </w:rPr>
        <w:t xml:space="preserve">ius </w:t>
      </w:r>
      <w:proofErr w:type="spellStart"/>
      <w:r w:rsidRPr="000E033B">
        <w:rPr>
          <w:rFonts w:ascii="Times New Roman" w:hAnsi="Times New Roman"/>
          <w:i/>
          <w:iCs/>
        </w:rPr>
        <w:t>gestionis</w:t>
      </w:r>
      <w:proofErr w:type="spellEnd"/>
      <w:r w:rsidRPr="000E033B">
        <w:rPr>
          <w:rFonts w:ascii="Times New Roman" w:hAnsi="Times New Roman"/>
        </w:rPr>
        <w:t>)".</w:t>
      </w:r>
      <w:r w:rsidRPr="000E033B">
        <w:rPr>
          <w:rStyle w:val="FootnoteReference"/>
          <w:rFonts w:ascii="Times New Roman" w:hAnsi="Times New Roman"/>
          <w:sz w:val="24"/>
        </w:rPr>
        <w:footnoteReference w:id="83"/>
      </w:r>
      <w:r w:rsidRPr="000E033B">
        <w:rPr>
          <w:rFonts w:ascii="Times New Roman" w:hAnsi="Times New Roman"/>
        </w:rPr>
        <w:t xml:space="preserve"> </w:t>
      </w:r>
    </w:p>
    <w:p w14:paraId="557B5F79" w14:textId="01FEB288" w:rsidR="00365B2A" w:rsidRPr="000E033B" w:rsidRDefault="00365B2A" w:rsidP="000E033B">
      <w:pPr>
        <w:pStyle w:val="FixListStyle"/>
        <w:spacing w:after="260" w:line="280" w:lineRule="exact"/>
        <w:ind w:right="0"/>
        <w:jc w:val="both"/>
        <w:rPr>
          <w:rFonts w:ascii="Times New Roman" w:hAnsi="Times New Roman"/>
        </w:rPr>
      </w:pPr>
      <w:r w:rsidRPr="000E033B">
        <w:rPr>
          <w:rFonts w:ascii="Times New Roman" w:hAnsi="Times New Roman"/>
        </w:rPr>
        <w:tab/>
        <w:t>Since</w:t>
      </w:r>
      <w:r w:rsidR="00AC11EE" w:rsidRPr="000E033B">
        <w:rPr>
          <w:rFonts w:ascii="Times New Roman" w:hAnsi="Times New Roman"/>
        </w:rPr>
        <w:t xml:space="preserve"> </w:t>
      </w:r>
      <w:r w:rsidRPr="000E033B">
        <w:rPr>
          <w:rFonts w:ascii="Times New Roman" w:hAnsi="Times New Roman"/>
        </w:rPr>
        <w:t>India cannot be said to have waived its foreign State immunity by ratifying the New York Convention, it is unnecessary to determine the scope of the New York Convention in this case. The issues concerning scope of the New York Convention should be decided in a case where they are determinative and where those</w:t>
      </w:r>
      <w:r w:rsidRPr="000E033B" w:rsidDel="00A1751E">
        <w:rPr>
          <w:rFonts w:ascii="Times New Roman" w:hAnsi="Times New Roman"/>
        </w:rPr>
        <w:t xml:space="preserve"> issues</w:t>
      </w:r>
      <w:r w:rsidRPr="000E033B">
        <w:rPr>
          <w:rFonts w:ascii="Times New Roman" w:hAnsi="Times New Roman"/>
        </w:rPr>
        <w:t xml:space="preserve"> have been fully explored. It suffices in this case to say that any indications that the New York Convention might not extend to disputes concerning the exercise of the sovereign power of a State provide further support for the conclusion that if those disputes are within the scope of the New York Convention then the ratification of the New York Convention does not involve a waiver of foreign State immunity. </w:t>
      </w:r>
    </w:p>
    <w:p w14:paraId="47340DA0" w14:textId="77777777" w:rsidR="000372B4" w:rsidRPr="000E033B" w:rsidRDefault="000372B4" w:rsidP="000E033B">
      <w:pPr>
        <w:pStyle w:val="HeadingL1"/>
        <w:spacing w:after="260" w:line="280" w:lineRule="exact"/>
        <w:ind w:right="0"/>
        <w:jc w:val="both"/>
        <w:rPr>
          <w:rFonts w:ascii="Times New Roman" w:hAnsi="Times New Roman"/>
        </w:rPr>
      </w:pPr>
      <w:r w:rsidRPr="000E033B">
        <w:rPr>
          <w:rFonts w:ascii="Times New Roman" w:hAnsi="Times New Roman"/>
        </w:rPr>
        <w:t>Conclusion</w:t>
      </w:r>
    </w:p>
    <w:p w14:paraId="56CCA457" w14:textId="77777777" w:rsidR="000E17D0" w:rsidRDefault="008D2EB8" w:rsidP="000E033B">
      <w:pPr>
        <w:pStyle w:val="FixListStyle"/>
        <w:spacing w:after="260" w:line="280" w:lineRule="exact"/>
        <w:ind w:right="0"/>
        <w:jc w:val="both"/>
        <w:rPr>
          <w:rFonts w:ascii="Times New Roman" w:hAnsi="Times New Roman"/>
        </w:rPr>
      </w:pPr>
      <w:r w:rsidRPr="000E033B">
        <w:rPr>
          <w:rFonts w:ascii="Times New Roman" w:hAnsi="Times New Roman"/>
        </w:rPr>
        <w:tab/>
        <w:t xml:space="preserve">The appeal must be dismissed with costs. </w:t>
      </w:r>
    </w:p>
    <w:p w14:paraId="24935CC0" w14:textId="77777777" w:rsidR="004211A5" w:rsidRDefault="004211A5" w:rsidP="000E033B">
      <w:pPr>
        <w:pStyle w:val="FixListStyle"/>
        <w:spacing w:after="260" w:line="280" w:lineRule="exact"/>
        <w:ind w:right="0"/>
        <w:jc w:val="both"/>
        <w:rPr>
          <w:rFonts w:ascii="Times New Roman" w:hAnsi="Times New Roman"/>
        </w:rPr>
        <w:sectPr w:rsidR="004211A5" w:rsidSect="00B55DBB">
          <w:headerReference w:type="even" r:id="rId17"/>
          <w:headerReference w:type="default" r:id="rId18"/>
          <w:footerReference w:type="even" r:id="rId19"/>
          <w:footerReference w:type="default" r:id="rId20"/>
          <w:headerReference w:type="first" r:id="rId21"/>
          <w:footerReference w:type="first" r:id="rId22"/>
          <w:pgSz w:w="11907" w:h="16839" w:code="9"/>
          <w:pgMar w:top="1440" w:right="1701" w:bottom="1984" w:left="1701" w:header="720" w:footer="720" w:gutter="0"/>
          <w:pgNumType w:start="1"/>
          <w:cols w:space="720"/>
          <w:titlePg/>
          <w:docGrid w:linePitch="354"/>
        </w:sectPr>
      </w:pPr>
    </w:p>
    <w:p w14:paraId="0721BF57" w14:textId="69748391" w:rsidR="008D2EB8" w:rsidRPr="000E033B" w:rsidRDefault="008D2EB8" w:rsidP="000E17D0">
      <w:pPr>
        <w:pStyle w:val="NormalBody"/>
      </w:pPr>
    </w:p>
    <w:sectPr w:rsidR="008D2EB8" w:rsidRPr="000E033B" w:rsidSect="000E17D0">
      <w:headerReference w:type="first" r:id="rId23"/>
      <w:pgSz w:w="11907" w:h="16839" w:code="9"/>
      <w:pgMar w:top="1440" w:right="1701" w:bottom="1984" w:left="1701" w:header="720" w:footer="720" w:gutter="0"/>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99683" w14:textId="77777777" w:rsidR="00EB51FA" w:rsidRDefault="00EB51FA">
      <w:pPr>
        <w:spacing w:line="240" w:lineRule="auto"/>
      </w:pPr>
      <w:r>
        <w:separator/>
      </w:r>
    </w:p>
  </w:endnote>
  <w:endnote w:type="continuationSeparator" w:id="0">
    <w:p w14:paraId="6F319447" w14:textId="77777777" w:rsidR="00EB51FA" w:rsidRDefault="00EB51FA">
      <w:pPr>
        <w:spacing w:line="240" w:lineRule="auto"/>
      </w:pPr>
      <w:r>
        <w:continuationSeparator/>
      </w:r>
    </w:p>
  </w:endnote>
  <w:endnote w:type="continuationNotice" w:id="1">
    <w:p w14:paraId="4A0420B0" w14:textId="77777777" w:rsidR="00EB51FA" w:rsidRDefault="00EB51F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Univers"/>
    <w:panose1 w:val="020B0603020202030204"/>
    <w:charset w:val="00"/>
    <w:family w:val="swiss"/>
    <w:pitch w:val="variable"/>
    <w:sig w:usb0="8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5B701" w14:textId="77777777" w:rsidR="00B55DBB" w:rsidRDefault="00B55D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C296D" w14:textId="77777777" w:rsidR="00B55DBB" w:rsidRDefault="00B55D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0F926" w14:textId="77777777" w:rsidR="00B55DBB" w:rsidRDefault="00B55DB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97982" w14:textId="77777777" w:rsidR="00B55DBB" w:rsidRDefault="00B55DB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EDF87" w14:textId="77777777" w:rsidR="00B55DBB" w:rsidRDefault="00B55DB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71BB8" w14:textId="77777777" w:rsidR="00B55DBB" w:rsidRDefault="00B55D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DC1E7F" w14:textId="77777777" w:rsidR="00EB51FA" w:rsidRPr="000E033B" w:rsidRDefault="00EB51FA" w:rsidP="000E033B">
      <w:pPr>
        <w:pStyle w:val="Footer"/>
        <w:spacing w:before="120" w:after="20"/>
        <w:ind w:right="0"/>
        <w:rPr>
          <w:rFonts w:ascii="Times New Roman" w:hAnsi="Times New Roman"/>
        </w:rPr>
      </w:pPr>
      <w:r>
        <w:continuationSeparator/>
      </w:r>
    </w:p>
  </w:footnote>
  <w:footnote w:type="continuationSeparator" w:id="0">
    <w:p w14:paraId="12DCB068" w14:textId="77777777" w:rsidR="00EB51FA" w:rsidRPr="000E033B" w:rsidRDefault="00EB51FA" w:rsidP="000E033B">
      <w:pPr>
        <w:pStyle w:val="Footer"/>
        <w:spacing w:before="120" w:after="20"/>
        <w:ind w:right="0"/>
        <w:rPr>
          <w:rFonts w:ascii="Times New Roman" w:hAnsi="Times New Roman"/>
        </w:rPr>
      </w:pPr>
      <w:r w:rsidRPr="000E033B">
        <w:rPr>
          <w:rFonts w:ascii="Times New Roman" w:hAnsi="Times New Roman"/>
        </w:rPr>
        <w:continuationSeparator/>
      </w:r>
    </w:p>
  </w:footnote>
  <w:footnote w:type="continuationNotice" w:id="1">
    <w:p w14:paraId="37C4E3FB" w14:textId="77777777" w:rsidR="00EB51FA" w:rsidRPr="000E17D0" w:rsidRDefault="00EB51FA">
      <w:pPr>
        <w:jc w:val="right"/>
        <w:rPr>
          <w:rFonts w:ascii="Times New Roman" w:hAnsi="Times New Roman"/>
          <w:sz w:val="24"/>
        </w:rPr>
      </w:pPr>
    </w:p>
  </w:footnote>
  <w:footnote w:id="2">
    <w:p w14:paraId="13BB2DE2" w14:textId="77777777" w:rsidR="005946B5" w:rsidRPr="000E033B" w:rsidRDefault="005946B5"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r>
      <w:r w:rsidRPr="000E033B">
        <w:rPr>
          <w:rFonts w:ascii="Times New Roman" w:hAnsi="Times New Roman"/>
          <w:i/>
          <w:iCs/>
          <w:sz w:val="24"/>
        </w:rPr>
        <w:t>CC/Devas (Mauritius) Ltd v Republic of India [No 2]</w:t>
      </w:r>
      <w:r w:rsidRPr="000E033B">
        <w:rPr>
          <w:rFonts w:ascii="Times New Roman" w:hAnsi="Times New Roman"/>
          <w:sz w:val="24"/>
        </w:rPr>
        <w:t xml:space="preserve"> [2023] FCA 527.</w:t>
      </w:r>
    </w:p>
  </w:footnote>
  <w:footnote w:id="3">
    <w:p w14:paraId="1D5F4E93" w14:textId="77777777" w:rsidR="00A979A0" w:rsidRPr="000E033B" w:rsidRDefault="00A979A0"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t xml:space="preserve">330 UNTS 3. </w:t>
      </w:r>
    </w:p>
  </w:footnote>
  <w:footnote w:id="4">
    <w:p w14:paraId="76803EA9" w14:textId="52DC966E" w:rsidR="00533644" w:rsidRPr="000E033B" w:rsidRDefault="00533644"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r>
      <w:r w:rsidR="00EF2847" w:rsidRPr="000E033B">
        <w:rPr>
          <w:rFonts w:ascii="Times New Roman" w:hAnsi="Times New Roman"/>
          <w:sz w:val="24"/>
        </w:rPr>
        <w:t xml:space="preserve">Agreement between the Government of the Republic of India and the Government of the Republic of Mauritius for the Promotion and Protection of Investments. </w:t>
      </w:r>
    </w:p>
  </w:footnote>
  <w:footnote w:id="5">
    <w:p w14:paraId="42D515B7" w14:textId="3A9B5024" w:rsidR="00EF2EEC" w:rsidRPr="000E033B" w:rsidRDefault="00EF2EEC"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t>575 UNTS 159</w:t>
      </w:r>
      <w:r w:rsidR="00A536AB" w:rsidRPr="000E033B">
        <w:rPr>
          <w:rFonts w:ascii="Times New Roman" w:hAnsi="Times New Roman"/>
          <w:sz w:val="24"/>
        </w:rPr>
        <w:t xml:space="preserve">. </w:t>
      </w:r>
    </w:p>
  </w:footnote>
  <w:footnote w:id="6">
    <w:p w14:paraId="59156CD0" w14:textId="34B2D6F8" w:rsidR="00971BB3" w:rsidRPr="000E033B" w:rsidRDefault="00971BB3"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t xml:space="preserve">Bilateral Investment Treaty, </w:t>
      </w:r>
      <w:r w:rsidR="003F6C1E" w:rsidRPr="000E033B">
        <w:rPr>
          <w:rFonts w:ascii="Times New Roman" w:hAnsi="Times New Roman"/>
          <w:sz w:val="24"/>
        </w:rPr>
        <w:t>Art</w:t>
      </w:r>
      <w:r w:rsidRPr="000E033B">
        <w:rPr>
          <w:rFonts w:ascii="Times New Roman" w:hAnsi="Times New Roman"/>
          <w:sz w:val="24"/>
        </w:rPr>
        <w:t xml:space="preserve"> 8(2)(b).</w:t>
      </w:r>
    </w:p>
  </w:footnote>
  <w:footnote w:id="7">
    <w:p w14:paraId="4E5C80F4" w14:textId="63EA3F1E" w:rsidR="007164CB" w:rsidRPr="000E033B" w:rsidRDefault="007164CB"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t xml:space="preserve">Bilateral Investment Treaty, </w:t>
      </w:r>
      <w:r w:rsidR="003F6C1E" w:rsidRPr="000E033B">
        <w:rPr>
          <w:rFonts w:ascii="Times New Roman" w:hAnsi="Times New Roman"/>
          <w:sz w:val="24"/>
        </w:rPr>
        <w:t>Art</w:t>
      </w:r>
      <w:r w:rsidRPr="000E033B">
        <w:rPr>
          <w:rFonts w:ascii="Times New Roman" w:hAnsi="Times New Roman"/>
          <w:sz w:val="24"/>
        </w:rPr>
        <w:t xml:space="preserve"> 8(2)(d).</w:t>
      </w:r>
    </w:p>
  </w:footnote>
  <w:footnote w:id="8">
    <w:p w14:paraId="7357D1CD" w14:textId="48BF6932" w:rsidR="00A56112" w:rsidRPr="000E033B" w:rsidRDefault="00A56112"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t>United Nations Commission on International Trade Law Arbitration Rules</w:t>
      </w:r>
      <w:r w:rsidRPr="000E033B">
        <w:rPr>
          <w:rFonts w:ascii="Times New Roman" w:hAnsi="Times New Roman"/>
          <w:i/>
          <w:iCs/>
          <w:sz w:val="24"/>
        </w:rPr>
        <w:t xml:space="preserve"> </w:t>
      </w:r>
      <w:r w:rsidR="0034181B" w:rsidRPr="000E033B">
        <w:rPr>
          <w:rFonts w:ascii="Times New Roman" w:hAnsi="Times New Roman"/>
          <w:sz w:val="24"/>
        </w:rPr>
        <w:t>(</w:t>
      </w:r>
      <w:r w:rsidRPr="000E033B">
        <w:rPr>
          <w:rFonts w:ascii="Times New Roman" w:hAnsi="Times New Roman"/>
          <w:sz w:val="24"/>
        </w:rPr>
        <w:t>1976</w:t>
      </w:r>
      <w:r w:rsidR="00E204DC" w:rsidRPr="000E033B">
        <w:rPr>
          <w:rFonts w:ascii="Times New Roman" w:hAnsi="Times New Roman"/>
          <w:sz w:val="24"/>
        </w:rPr>
        <w:t>)</w:t>
      </w:r>
      <w:r w:rsidRPr="000E033B">
        <w:rPr>
          <w:rFonts w:ascii="Times New Roman" w:hAnsi="Times New Roman"/>
          <w:sz w:val="24"/>
        </w:rPr>
        <w:t>.</w:t>
      </w:r>
    </w:p>
  </w:footnote>
  <w:footnote w:id="9">
    <w:p w14:paraId="633D452E" w14:textId="46D76A75" w:rsidR="008C1298" w:rsidRPr="000E033B" w:rsidRDefault="008C1298"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r>
      <w:r w:rsidRPr="000E033B">
        <w:rPr>
          <w:rFonts w:ascii="Times New Roman" w:hAnsi="Times New Roman"/>
          <w:i/>
          <w:iCs/>
          <w:sz w:val="24"/>
        </w:rPr>
        <w:t xml:space="preserve">CCDM Holdings LLC v Republic of India </w:t>
      </w:r>
      <w:r w:rsidR="004021B6" w:rsidRPr="000E033B">
        <w:rPr>
          <w:rFonts w:ascii="Times New Roman" w:hAnsi="Times New Roman"/>
          <w:i/>
          <w:iCs/>
          <w:sz w:val="24"/>
        </w:rPr>
        <w:t>[</w:t>
      </w:r>
      <w:r w:rsidRPr="000E033B">
        <w:rPr>
          <w:rFonts w:ascii="Times New Roman" w:hAnsi="Times New Roman"/>
          <w:i/>
          <w:iCs/>
          <w:sz w:val="24"/>
        </w:rPr>
        <w:t>No 3</w:t>
      </w:r>
      <w:r w:rsidR="004021B6" w:rsidRPr="000E033B">
        <w:rPr>
          <w:rFonts w:ascii="Times New Roman" w:hAnsi="Times New Roman"/>
          <w:i/>
          <w:iCs/>
          <w:sz w:val="24"/>
        </w:rPr>
        <w:t>]</w:t>
      </w:r>
      <w:r w:rsidRPr="000E033B">
        <w:rPr>
          <w:rFonts w:ascii="Times New Roman" w:hAnsi="Times New Roman"/>
          <w:i/>
          <w:iCs/>
          <w:sz w:val="24"/>
        </w:rPr>
        <w:t xml:space="preserve"> </w:t>
      </w:r>
      <w:r w:rsidRPr="000E033B">
        <w:rPr>
          <w:rFonts w:ascii="Times New Roman" w:hAnsi="Times New Roman"/>
          <w:sz w:val="24"/>
        </w:rPr>
        <w:t>[2023] FCA 1266 at [44]</w:t>
      </w:r>
      <w:r w:rsidR="00523CE5" w:rsidRPr="000E033B">
        <w:rPr>
          <w:rFonts w:ascii="Times New Roman" w:hAnsi="Times New Roman"/>
          <w:sz w:val="24"/>
        </w:rPr>
        <w:t>, [98]</w:t>
      </w:r>
      <w:r w:rsidRPr="000E033B">
        <w:rPr>
          <w:rFonts w:ascii="Times New Roman" w:hAnsi="Times New Roman"/>
          <w:sz w:val="24"/>
        </w:rPr>
        <w:t xml:space="preserve">. </w:t>
      </w:r>
    </w:p>
  </w:footnote>
  <w:footnote w:id="10">
    <w:p w14:paraId="30239196" w14:textId="7910DBA6" w:rsidR="00C66373" w:rsidRPr="000E033B" w:rsidRDefault="00C66373"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r>
      <w:r w:rsidRPr="000E033B">
        <w:rPr>
          <w:rFonts w:ascii="Times New Roman" w:hAnsi="Times New Roman"/>
          <w:i/>
          <w:iCs/>
          <w:sz w:val="24"/>
        </w:rPr>
        <w:t xml:space="preserve">CCDM Holdings LLC v Republic of India </w:t>
      </w:r>
      <w:r w:rsidR="004021B6" w:rsidRPr="000E033B">
        <w:rPr>
          <w:rFonts w:ascii="Times New Roman" w:hAnsi="Times New Roman"/>
          <w:i/>
          <w:iCs/>
          <w:sz w:val="24"/>
        </w:rPr>
        <w:t>[</w:t>
      </w:r>
      <w:r w:rsidRPr="000E033B">
        <w:rPr>
          <w:rFonts w:ascii="Times New Roman" w:hAnsi="Times New Roman"/>
          <w:i/>
          <w:iCs/>
          <w:sz w:val="24"/>
        </w:rPr>
        <w:t>No 3</w:t>
      </w:r>
      <w:r w:rsidR="004021B6" w:rsidRPr="000E033B">
        <w:rPr>
          <w:rFonts w:ascii="Times New Roman" w:hAnsi="Times New Roman"/>
          <w:i/>
          <w:iCs/>
          <w:sz w:val="24"/>
        </w:rPr>
        <w:t>]</w:t>
      </w:r>
      <w:r w:rsidRPr="000E033B">
        <w:rPr>
          <w:rFonts w:ascii="Times New Roman" w:hAnsi="Times New Roman"/>
          <w:i/>
          <w:iCs/>
          <w:sz w:val="24"/>
        </w:rPr>
        <w:t xml:space="preserve"> </w:t>
      </w:r>
      <w:r w:rsidRPr="000E033B">
        <w:rPr>
          <w:rFonts w:ascii="Times New Roman" w:hAnsi="Times New Roman"/>
          <w:sz w:val="24"/>
        </w:rPr>
        <w:t>[2023] FCA 1266</w:t>
      </w:r>
      <w:r w:rsidR="007F5665" w:rsidRPr="000E033B">
        <w:rPr>
          <w:rFonts w:ascii="Times New Roman" w:hAnsi="Times New Roman"/>
          <w:sz w:val="24"/>
        </w:rPr>
        <w:t xml:space="preserve"> at [31]</w:t>
      </w:r>
      <w:r w:rsidRPr="000E033B">
        <w:rPr>
          <w:rFonts w:ascii="Times New Roman" w:hAnsi="Times New Roman"/>
          <w:sz w:val="24"/>
        </w:rPr>
        <w:t xml:space="preserve">. </w:t>
      </w:r>
    </w:p>
  </w:footnote>
  <w:footnote w:id="11">
    <w:p w14:paraId="56403F16" w14:textId="734181AD" w:rsidR="008E606A" w:rsidRPr="000E033B" w:rsidRDefault="008E606A"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r>
      <w:r w:rsidRPr="000E033B">
        <w:rPr>
          <w:rFonts w:ascii="Times New Roman" w:hAnsi="Times New Roman"/>
          <w:i/>
          <w:iCs/>
          <w:sz w:val="24"/>
        </w:rPr>
        <w:t xml:space="preserve">CCDM Holdings LLC v Republic of India </w:t>
      </w:r>
      <w:r w:rsidR="004021B6" w:rsidRPr="000E033B">
        <w:rPr>
          <w:rFonts w:ascii="Times New Roman" w:hAnsi="Times New Roman"/>
          <w:i/>
          <w:iCs/>
          <w:sz w:val="24"/>
        </w:rPr>
        <w:t>[</w:t>
      </w:r>
      <w:r w:rsidRPr="000E033B">
        <w:rPr>
          <w:rFonts w:ascii="Times New Roman" w:hAnsi="Times New Roman"/>
          <w:i/>
          <w:iCs/>
          <w:sz w:val="24"/>
        </w:rPr>
        <w:t>No 3</w:t>
      </w:r>
      <w:r w:rsidR="004021B6" w:rsidRPr="000E033B">
        <w:rPr>
          <w:rFonts w:ascii="Times New Roman" w:hAnsi="Times New Roman"/>
          <w:i/>
          <w:iCs/>
          <w:sz w:val="24"/>
        </w:rPr>
        <w:t>]</w:t>
      </w:r>
      <w:r w:rsidRPr="000E033B">
        <w:rPr>
          <w:rFonts w:ascii="Times New Roman" w:hAnsi="Times New Roman"/>
          <w:i/>
          <w:iCs/>
          <w:sz w:val="24"/>
        </w:rPr>
        <w:t xml:space="preserve"> </w:t>
      </w:r>
      <w:r w:rsidRPr="000E033B">
        <w:rPr>
          <w:rFonts w:ascii="Times New Roman" w:hAnsi="Times New Roman"/>
          <w:sz w:val="24"/>
        </w:rPr>
        <w:t xml:space="preserve">[2023] FCA 1266 at </w:t>
      </w:r>
      <w:r w:rsidR="00CC02E7" w:rsidRPr="000E033B">
        <w:rPr>
          <w:rFonts w:ascii="Times New Roman" w:hAnsi="Times New Roman"/>
          <w:sz w:val="24"/>
        </w:rPr>
        <w:t>[32(b)]</w:t>
      </w:r>
      <w:r w:rsidR="00B36D5E" w:rsidRPr="000E033B">
        <w:rPr>
          <w:rFonts w:ascii="Times New Roman" w:hAnsi="Times New Roman"/>
          <w:sz w:val="24"/>
        </w:rPr>
        <w:t>;</w:t>
      </w:r>
      <w:r w:rsidR="00D5658C" w:rsidRPr="000E033B">
        <w:rPr>
          <w:rFonts w:ascii="Times New Roman" w:hAnsi="Times New Roman"/>
          <w:sz w:val="24"/>
        </w:rPr>
        <w:t xml:space="preserve"> </w:t>
      </w:r>
      <w:r w:rsidR="00B36D5E" w:rsidRPr="000E033B">
        <w:rPr>
          <w:rFonts w:ascii="Times New Roman" w:hAnsi="Times New Roman"/>
          <w:sz w:val="24"/>
        </w:rPr>
        <w:t>s</w:t>
      </w:r>
      <w:r w:rsidR="00D5658C" w:rsidRPr="000E033B">
        <w:rPr>
          <w:rFonts w:ascii="Times New Roman" w:hAnsi="Times New Roman"/>
          <w:sz w:val="24"/>
        </w:rPr>
        <w:t>ee also at [58]</w:t>
      </w:r>
      <w:r w:rsidR="001D15BB" w:rsidRPr="000E033B">
        <w:rPr>
          <w:rFonts w:ascii="Times New Roman" w:hAnsi="Times New Roman"/>
          <w:sz w:val="24"/>
        </w:rPr>
        <w:t>.</w:t>
      </w:r>
    </w:p>
  </w:footnote>
  <w:footnote w:id="12">
    <w:p w14:paraId="39F74822" w14:textId="7B5690E5" w:rsidR="00EF0BB4" w:rsidRPr="000E033B" w:rsidRDefault="00EF0BB4"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r>
      <w:r w:rsidRPr="000E033B">
        <w:rPr>
          <w:rFonts w:ascii="Times New Roman" w:hAnsi="Times New Roman"/>
          <w:i/>
          <w:iCs/>
          <w:sz w:val="24"/>
        </w:rPr>
        <w:t xml:space="preserve">CCDM Holdings LLC v Republic of India [No 3] </w:t>
      </w:r>
      <w:r w:rsidRPr="000E033B">
        <w:rPr>
          <w:rFonts w:ascii="Times New Roman" w:hAnsi="Times New Roman"/>
          <w:sz w:val="24"/>
        </w:rPr>
        <w:t>[2023] FCA 1266 at [32(d)].</w:t>
      </w:r>
    </w:p>
  </w:footnote>
  <w:footnote w:id="13">
    <w:p w14:paraId="12184E1F" w14:textId="6D64A320" w:rsidR="007E4CBD" w:rsidRPr="000E033B" w:rsidRDefault="007E4CBD"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r>
      <w:r w:rsidRPr="000E033B">
        <w:rPr>
          <w:rFonts w:ascii="Times New Roman" w:hAnsi="Times New Roman"/>
          <w:i/>
          <w:iCs/>
          <w:sz w:val="24"/>
        </w:rPr>
        <w:t xml:space="preserve">CCDM Holdings LLC v Republic of India [No 3] </w:t>
      </w:r>
      <w:r w:rsidRPr="000E033B">
        <w:rPr>
          <w:rFonts w:ascii="Times New Roman" w:hAnsi="Times New Roman"/>
          <w:sz w:val="24"/>
        </w:rPr>
        <w:t>[2023] FCA 1266 at [97]-[98]</w:t>
      </w:r>
      <w:r w:rsidR="009D1C7D" w:rsidRPr="000E033B">
        <w:rPr>
          <w:rFonts w:ascii="Times New Roman" w:hAnsi="Times New Roman"/>
          <w:sz w:val="24"/>
        </w:rPr>
        <w:t>;</w:t>
      </w:r>
      <w:r w:rsidR="00F92DEF" w:rsidRPr="000E033B">
        <w:rPr>
          <w:rFonts w:ascii="Times New Roman" w:hAnsi="Times New Roman"/>
          <w:sz w:val="24"/>
        </w:rPr>
        <w:t xml:space="preserve"> </w:t>
      </w:r>
      <w:r w:rsidR="009D1C7D" w:rsidRPr="000E033B">
        <w:rPr>
          <w:rFonts w:ascii="Times New Roman" w:hAnsi="Times New Roman"/>
          <w:sz w:val="24"/>
        </w:rPr>
        <w:t>s</w:t>
      </w:r>
      <w:r w:rsidR="00F92DEF" w:rsidRPr="000E033B">
        <w:rPr>
          <w:rFonts w:ascii="Times New Roman" w:hAnsi="Times New Roman"/>
          <w:sz w:val="24"/>
        </w:rPr>
        <w:t>ee also at [101]</w:t>
      </w:r>
      <w:r w:rsidR="001F1A72" w:rsidRPr="000E033B">
        <w:rPr>
          <w:rFonts w:ascii="Times New Roman" w:hAnsi="Times New Roman"/>
          <w:sz w:val="24"/>
        </w:rPr>
        <w:t>-[102].</w:t>
      </w:r>
    </w:p>
  </w:footnote>
  <w:footnote w:id="14">
    <w:p w14:paraId="4C30226F" w14:textId="31529A88" w:rsidR="00DF58A2" w:rsidRPr="000E033B" w:rsidRDefault="00DF58A2"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00356E59" w:rsidRPr="000E033B">
        <w:rPr>
          <w:rFonts w:ascii="Times New Roman" w:hAnsi="Times New Roman"/>
          <w:sz w:val="24"/>
        </w:rPr>
        <w:tab/>
      </w:r>
      <w:r w:rsidR="00356E59" w:rsidRPr="000E033B">
        <w:rPr>
          <w:rFonts w:ascii="Times New Roman" w:hAnsi="Times New Roman"/>
          <w:i/>
          <w:sz w:val="24"/>
        </w:rPr>
        <w:t xml:space="preserve">CCDM Holdings LLC v Republic of India [No 3] </w:t>
      </w:r>
      <w:r w:rsidR="00356E59" w:rsidRPr="000E033B">
        <w:rPr>
          <w:rFonts w:ascii="Times New Roman" w:hAnsi="Times New Roman"/>
          <w:sz w:val="24"/>
        </w:rPr>
        <w:t>[2023] FCA 1266 at [33].</w:t>
      </w:r>
    </w:p>
  </w:footnote>
  <w:footnote w:id="15">
    <w:p w14:paraId="761CCDEC" w14:textId="244EC00C" w:rsidR="007A424A" w:rsidRPr="000E033B" w:rsidRDefault="007A424A"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r>
      <w:r w:rsidR="00690121" w:rsidRPr="000E033B">
        <w:rPr>
          <w:rFonts w:ascii="Times New Roman" w:hAnsi="Times New Roman"/>
          <w:i/>
          <w:sz w:val="24"/>
        </w:rPr>
        <w:t xml:space="preserve">CCDM Holdings LLC v Republic of India [No 3] </w:t>
      </w:r>
      <w:r w:rsidR="00690121" w:rsidRPr="000E033B">
        <w:rPr>
          <w:rFonts w:ascii="Times New Roman" w:hAnsi="Times New Roman"/>
          <w:sz w:val="24"/>
        </w:rPr>
        <w:t>[2023] FCA 1266 at [120].</w:t>
      </w:r>
    </w:p>
  </w:footnote>
  <w:footnote w:id="16">
    <w:p w14:paraId="5FF504F5" w14:textId="15F78331" w:rsidR="00052D26" w:rsidRPr="000E033B" w:rsidRDefault="00052D26"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t>(2023) 275 CLR 292.</w:t>
      </w:r>
    </w:p>
  </w:footnote>
  <w:footnote w:id="17">
    <w:p w14:paraId="2B03441C" w14:textId="3DC52171" w:rsidR="00506D34" w:rsidRPr="000E033B" w:rsidRDefault="00506D34"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r>
      <w:r w:rsidR="009E77EB" w:rsidRPr="000E033B">
        <w:rPr>
          <w:rFonts w:ascii="Times New Roman" w:hAnsi="Times New Roman"/>
          <w:i/>
          <w:iCs/>
          <w:sz w:val="24"/>
        </w:rPr>
        <w:t>Kingdom of Spain v Infrastructure Services Luxembourg Sàrl</w:t>
      </w:r>
      <w:r w:rsidR="009E77EB" w:rsidRPr="000E033B">
        <w:rPr>
          <w:rFonts w:ascii="Times New Roman" w:hAnsi="Times New Roman"/>
          <w:sz w:val="24"/>
        </w:rPr>
        <w:t xml:space="preserve"> </w:t>
      </w:r>
      <w:r w:rsidRPr="000E033B">
        <w:rPr>
          <w:rFonts w:ascii="Times New Roman" w:hAnsi="Times New Roman"/>
          <w:sz w:val="24"/>
        </w:rPr>
        <w:t>(2023) 275 CLR 292 at 3</w:t>
      </w:r>
      <w:r w:rsidR="00A24847" w:rsidRPr="000E033B">
        <w:rPr>
          <w:rFonts w:ascii="Times New Roman" w:hAnsi="Times New Roman"/>
          <w:sz w:val="24"/>
        </w:rPr>
        <w:t>1</w:t>
      </w:r>
      <w:r w:rsidRPr="000E033B">
        <w:rPr>
          <w:rFonts w:ascii="Times New Roman" w:hAnsi="Times New Roman"/>
          <w:sz w:val="24"/>
        </w:rPr>
        <w:t>1 [</w:t>
      </w:r>
      <w:r w:rsidR="00A24847" w:rsidRPr="000E033B">
        <w:rPr>
          <w:rFonts w:ascii="Times New Roman" w:hAnsi="Times New Roman"/>
          <w:sz w:val="24"/>
        </w:rPr>
        <w:t>26</w:t>
      </w:r>
      <w:r w:rsidRPr="000E033B">
        <w:rPr>
          <w:rFonts w:ascii="Times New Roman" w:hAnsi="Times New Roman"/>
          <w:sz w:val="24"/>
        </w:rPr>
        <w:t>].</w:t>
      </w:r>
    </w:p>
  </w:footnote>
  <w:footnote w:id="18">
    <w:p w14:paraId="054E65FF" w14:textId="38802CBE" w:rsidR="007B6910" w:rsidRPr="000E033B" w:rsidRDefault="007B6910"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r>
      <w:r w:rsidR="009E77EB" w:rsidRPr="000E033B">
        <w:rPr>
          <w:rFonts w:ascii="Times New Roman" w:hAnsi="Times New Roman"/>
          <w:i/>
          <w:iCs/>
          <w:sz w:val="24"/>
        </w:rPr>
        <w:t>Kingdom of Spain v Infrastructure Services Luxembourg Sàrl</w:t>
      </w:r>
      <w:r w:rsidR="009E77EB" w:rsidRPr="000E033B">
        <w:rPr>
          <w:rFonts w:ascii="Times New Roman" w:hAnsi="Times New Roman"/>
          <w:sz w:val="24"/>
        </w:rPr>
        <w:t xml:space="preserve"> </w:t>
      </w:r>
      <w:r w:rsidRPr="000E033B">
        <w:rPr>
          <w:rFonts w:ascii="Times New Roman" w:hAnsi="Times New Roman"/>
          <w:sz w:val="24"/>
        </w:rPr>
        <w:t>(2023) 275 CLR 292 at 3</w:t>
      </w:r>
      <w:r w:rsidR="00B06C51" w:rsidRPr="000E033B">
        <w:rPr>
          <w:rFonts w:ascii="Times New Roman" w:hAnsi="Times New Roman"/>
          <w:sz w:val="24"/>
        </w:rPr>
        <w:t>13</w:t>
      </w:r>
      <w:r w:rsidRPr="000E033B">
        <w:rPr>
          <w:rFonts w:ascii="Times New Roman" w:hAnsi="Times New Roman"/>
          <w:sz w:val="24"/>
        </w:rPr>
        <w:t xml:space="preserve"> [</w:t>
      </w:r>
      <w:r w:rsidR="00B06C51" w:rsidRPr="000E033B">
        <w:rPr>
          <w:rFonts w:ascii="Times New Roman" w:hAnsi="Times New Roman"/>
          <w:sz w:val="24"/>
        </w:rPr>
        <w:t>29</w:t>
      </w:r>
      <w:r w:rsidRPr="000E033B">
        <w:rPr>
          <w:rFonts w:ascii="Times New Roman" w:hAnsi="Times New Roman"/>
          <w:sz w:val="24"/>
        </w:rPr>
        <w:t>].</w:t>
      </w:r>
    </w:p>
  </w:footnote>
  <w:footnote w:id="19">
    <w:p w14:paraId="34E59FB2" w14:textId="22240C38" w:rsidR="00453AED" w:rsidRPr="000E033B" w:rsidRDefault="00453AED"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r>
      <w:r w:rsidRPr="000E033B">
        <w:rPr>
          <w:rFonts w:ascii="Times New Roman" w:hAnsi="Times New Roman"/>
          <w:i/>
          <w:iCs/>
          <w:sz w:val="24"/>
        </w:rPr>
        <w:t xml:space="preserve">CCDM Holdings LLC v Republic of India </w:t>
      </w:r>
      <w:r w:rsidR="004021B6" w:rsidRPr="000E033B">
        <w:rPr>
          <w:rFonts w:ascii="Times New Roman" w:hAnsi="Times New Roman"/>
          <w:i/>
          <w:iCs/>
          <w:sz w:val="24"/>
        </w:rPr>
        <w:t>[</w:t>
      </w:r>
      <w:r w:rsidRPr="000E033B">
        <w:rPr>
          <w:rFonts w:ascii="Times New Roman" w:hAnsi="Times New Roman"/>
          <w:i/>
          <w:iCs/>
          <w:sz w:val="24"/>
        </w:rPr>
        <w:t>No 3</w:t>
      </w:r>
      <w:r w:rsidR="004021B6" w:rsidRPr="000E033B">
        <w:rPr>
          <w:rFonts w:ascii="Times New Roman" w:hAnsi="Times New Roman"/>
          <w:i/>
          <w:iCs/>
          <w:sz w:val="24"/>
        </w:rPr>
        <w:t>]</w:t>
      </w:r>
      <w:r w:rsidRPr="000E033B">
        <w:rPr>
          <w:rFonts w:ascii="Times New Roman" w:hAnsi="Times New Roman"/>
          <w:i/>
          <w:iCs/>
          <w:sz w:val="24"/>
        </w:rPr>
        <w:t xml:space="preserve"> </w:t>
      </w:r>
      <w:r w:rsidRPr="000E033B">
        <w:rPr>
          <w:rFonts w:ascii="Times New Roman" w:hAnsi="Times New Roman"/>
          <w:sz w:val="24"/>
        </w:rPr>
        <w:t xml:space="preserve">[2023] FCA 1266 at </w:t>
      </w:r>
      <w:r w:rsidR="003D1C3D" w:rsidRPr="000E033B">
        <w:rPr>
          <w:rFonts w:ascii="Times New Roman" w:hAnsi="Times New Roman"/>
          <w:sz w:val="24"/>
        </w:rPr>
        <w:t>[43]</w:t>
      </w:r>
      <w:r w:rsidR="00EC36CE" w:rsidRPr="000E033B">
        <w:rPr>
          <w:rFonts w:ascii="Times New Roman" w:hAnsi="Times New Roman"/>
          <w:sz w:val="24"/>
        </w:rPr>
        <w:t>-</w:t>
      </w:r>
      <w:r w:rsidR="007E644C" w:rsidRPr="000E033B">
        <w:rPr>
          <w:rFonts w:ascii="Times New Roman" w:hAnsi="Times New Roman"/>
          <w:sz w:val="24"/>
        </w:rPr>
        <w:t>[44],</w:t>
      </w:r>
      <w:r w:rsidR="003D1C3D" w:rsidRPr="000E033B">
        <w:rPr>
          <w:rFonts w:ascii="Times New Roman" w:hAnsi="Times New Roman"/>
          <w:sz w:val="24"/>
        </w:rPr>
        <w:t xml:space="preserve"> </w:t>
      </w:r>
      <w:r w:rsidRPr="000E033B">
        <w:rPr>
          <w:rFonts w:ascii="Times New Roman" w:hAnsi="Times New Roman"/>
          <w:sz w:val="24"/>
        </w:rPr>
        <w:t>[51].</w:t>
      </w:r>
    </w:p>
  </w:footnote>
  <w:footnote w:id="20">
    <w:p w14:paraId="62C00A3C" w14:textId="75044316" w:rsidR="009C28D3" w:rsidRPr="000E033B" w:rsidRDefault="009C28D3"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r>
      <w:r w:rsidRPr="000E033B">
        <w:rPr>
          <w:rFonts w:ascii="Times New Roman" w:hAnsi="Times New Roman"/>
          <w:i/>
          <w:iCs/>
          <w:sz w:val="24"/>
        </w:rPr>
        <w:t xml:space="preserve">CCDM Holdings LLC v Republic of India </w:t>
      </w:r>
      <w:r w:rsidR="004021B6" w:rsidRPr="000E033B">
        <w:rPr>
          <w:rFonts w:ascii="Times New Roman" w:hAnsi="Times New Roman"/>
          <w:i/>
          <w:iCs/>
          <w:sz w:val="24"/>
        </w:rPr>
        <w:t>[</w:t>
      </w:r>
      <w:r w:rsidRPr="000E033B">
        <w:rPr>
          <w:rFonts w:ascii="Times New Roman" w:hAnsi="Times New Roman"/>
          <w:i/>
          <w:iCs/>
          <w:sz w:val="24"/>
        </w:rPr>
        <w:t>No 3</w:t>
      </w:r>
      <w:r w:rsidR="004021B6" w:rsidRPr="000E033B">
        <w:rPr>
          <w:rFonts w:ascii="Times New Roman" w:hAnsi="Times New Roman"/>
          <w:i/>
          <w:iCs/>
          <w:sz w:val="24"/>
        </w:rPr>
        <w:t>]</w:t>
      </w:r>
      <w:r w:rsidRPr="000E033B">
        <w:rPr>
          <w:rFonts w:ascii="Times New Roman" w:hAnsi="Times New Roman"/>
          <w:i/>
          <w:iCs/>
          <w:sz w:val="24"/>
        </w:rPr>
        <w:t xml:space="preserve"> </w:t>
      </w:r>
      <w:r w:rsidRPr="000E033B">
        <w:rPr>
          <w:rFonts w:ascii="Times New Roman" w:hAnsi="Times New Roman"/>
          <w:sz w:val="24"/>
        </w:rPr>
        <w:t xml:space="preserve">[2023] FCA 1266 at [44]. </w:t>
      </w:r>
    </w:p>
  </w:footnote>
  <w:footnote w:id="21">
    <w:p w14:paraId="734720FC" w14:textId="23A0DEBA" w:rsidR="003F7516" w:rsidRPr="000E033B" w:rsidRDefault="003F7516"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r>
      <w:r w:rsidRPr="000E033B">
        <w:rPr>
          <w:rFonts w:ascii="Times New Roman" w:hAnsi="Times New Roman"/>
          <w:i/>
          <w:iCs/>
          <w:sz w:val="24"/>
        </w:rPr>
        <w:t xml:space="preserve">CCDM Holdings LLC v Republic of India </w:t>
      </w:r>
      <w:r w:rsidR="004021B6" w:rsidRPr="000E033B">
        <w:rPr>
          <w:rFonts w:ascii="Times New Roman" w:hAnsi="Times New Roman"/>
          <w:i/>
          <w:iCs/>
          <w:sz w:val="24"/>
        </w:rPr>
        <w:t>[</w:t>
      </w:r>
      <w:r w:rsidRPr="000E033B">
        <w:rPr>
          <w:rFonts w:ascii="Times New Roman" w:hAnsi="Times New Roman"/>
          <w:i/>
          <w:iCs/>
          <w:sz w:val="24"/>
        </w:rPr>
        <w:t>No 3</w:t>
      </w:r>
      <w:r w:rsidR="004021B6" w:rsidRPr="000E033B">
        <w:rPr>
          <w:rFonts w:ascii="Times New Roman" w:hAnsi="Times New Roman"/>
          <w:i/>
          <w:iCs/>
          <w:sz w:val="24"/>
        </w:rPr>
        <w:t xml:space="preserve">] </w:t>
      </w:r>
      <w:r w:rsidRPr="000E033B">
        <w:rPr>
          <w:rFonts w:ascii="Times New Roman" w:hAnsi="Times New Roman"/>
          <w:sz w:val="24"/>
        </w:rPr>
        <w:t>[2023] FCA 1266 at [</w:t>
      </w:r>
      <w:r w:rsidR="001C4684" w:rsidRPr="000E033B">
        <w:rPr>
          <w:rFonts w:ascii="Times New Roman" w:hAnsi="Times New Roman"/>
          <w:sz w:val="24"/>
        </w:rPr>
        <w:t>102]-</w:t>
      </w:r>
      <w:r w:rsidRPr="000E033B">
        <w:rPr>
          <w:rFonts w:ascii="Times New Roman" w:hAnsi="Times New Roman"/>
          <w:sz w:val="24"/>
        </w:rPr>
        <w:t>[</w:t>
      </w:r>
      <w:r w:rsidR="002D1290" w:rsidRPr="000E033B">
        <w:rPr>
          <w:rFonts w:ascii="Times New Roman" w:hAnsi="Times New Roman"/>
          <w:sz w:val="24"/>
        </w:rPr>
        <w:t>103</w:t>
      </w:r>
      <w:r w:rsidRPr="000E033B">
        <w:rPr>
          <w:rFonts w:ascii="Times New Roman" w:hAnsi="Times New Roman"/>
          <w:sz w:val="24"/>
        </w:rPr>
        <w:t>]</w:t>
      </w:r>
      <w:r w:rsidR="00A137C1" w:rsidRPr="000E033B">
        <w:rPr>
          <w:rFonts w:ascii="Times New Roman" w:hAnsi="Times New Roman"/>
          <w:sz w:val="24"/>
        </w:rPr>
        <w:t>, [121]</w:t>
      </w:r>
      <w:r w:rsidRPr="000E033B">
        <w:rPr>
          <w:rFonts w:ascii="Times New Roman" w:hAnsi="Times New Roman"/>
          <w:sz w:val="24"/>
        </w:rPr>
        <w:t>.</w:t>
      </w:r>
    </w:p>
  </w:footnote>
  <w:footnote w:id="22">
    <w:p w14:paraId="27FF908D" w14:textId="5B554A0A" w:rsidR="006E10E7" w:rsidRPr="000E033B" w:rsidRDefault="006E10E7"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r>
      <w:r w:rsidR="00E602E1" w:rsidRPr="000E033B">
        <w:rPr>
          <w:rFonts w:ascii="Times New Roman" w:hAnsi="Times New Roman"/>
          <w:i/>
          <w:iCs/>
          <w:sz w:val="24"/>
        </w:rPr>
        <w:t xml:space="preserve">CCDM Holdings LLC v Republic of India [No 3] </w:t>
      </w:r>
      <w:r w:rsidR="00E602E1" w:rsidRPr="000E033B">
        <w:rPr>
          <w:rFonts w:ascii="Times New Roman" w:hAnsi="Times New Roman"/>
          <w:sz w:val="24"/>
        </w:rPr>
        <w:t>[2023] FCA 1266 at [42].</w:t>
      </w:r>
    </w:p>
  </w:footnote>
  <w:footnote w:id="23">
    <w:p w14:paraId="567FA8AD" w14:textId="25BF1D2E" w:rsidR="004149B2" w:rsidRPr="000E033B" w:rsidRDefault="004149B2"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r>
      <w:r w:rsidRPr="000E033B">
        <w:rPr>
          <w:rFonts w:ascii="Times New Roman" w:hAnsi="Times New Roman"/>
          <w:i/>
          <w:iCs/>
          <w:sz w:val="24"/>
        </w:rPr>
        <w:t xml:space="preserve">CCDM Holdings LLC v Republic of India [No 3] </w:t>
      </w:r>
      <w:r w:rsidRPr="000E033B">
        <w:rPr>
          <w:rFonts w:ascii="Times New Roman" w:hAnsi="Times New Roman"/>
          <w:sz w:val="24"/>
        </w:rPr>
        <w:t>[2023] FCA 1266 at [</w:t>
      </w:r>
      <w:r w:rsidR="00110EEB" w:rsidRPr="000E033B">
        <w:rPr>
          <w:rFonts w:ascii="Times New Roman" w:hAnsi="Times New Roman"/>
          <w:sz w:val="24"/>
        </w:rPr>
        <w:t>58]</w:t>
      </w:r>
      <w:r w:rsidR="004129BE" w:rsidRPr="000E033B">
        <w:rPr>
          <w:rFonts w:ascii="Times New Roman" w:hAnsi="Times New Roman"/>
          <w:sz w:val="24"/>
        </w:rPr>
        <w:t>;</w:t>
      </w:r>
      <w:r w:rsidR="00110EEB" w:rsidRPr="000E033B">
        <w:rPr>
          <w:rFonts w:ascii="Times New Roman" w:hAnsi="Times New Roman"/>
          <w:sz w:val="24"/>
        </w:rPr>
        <w:t xml:space="preserve"> </w:t>
      </w:r>
      <w:r w:rsidR="004129BE" w:rsidRPr="000E033B">
        <w:rPr>
          <w:rFonts w:ascii="Times New Roman" w:hAnsi="Times New Roman"/>
          <w:sz w:val="24"/>
        </w:rPr>
        <w:t>s</w:t>
      </w:r>
      <w:r w:rsidR="00110EEB" w:rsidRPr="000E033B">
        <w:rPr>
          <w:rFonts w:ascii="Times New Roman" w:hAnsi="Times New Roman"/>
          <w:sz w:val="24"/>
        </w:rPr>
        <w:t>ee also at [59].</w:t>
      </w:r>
    </w:p>
  </w:footnote>
  <w:footnote w:id="24">
    <w:p w14:paraId="12A76AFF" w14:textId="0B6D2D0F" w:rsidR="003C27D0" w:rsidRPr="000E033B" w:rsidRDefault="003C27D0"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r>
      <w:r w:rsidRPr="000E033B">
        <w:rPr>
          <w:rFonts w:ascii="Times New Roman" w:hAnsi="Times New Roman"/>
          <w:i/>
          <w:iCs/>
          <w:sz w:val="24"/>
        </w:rPr>
        <w:t xml:space="preserve">CCDM Holdings LLC v Republic of India [No 3] </w:t>
      </w:r>
      <w:r w:rsidRPr="000E033B">
        <w:rPr>
          <w:rFonts w:ascii="Times New Roman" w:hAnsi="Times New Roman"/>
          <w:sz w:val="24"/>
        </w:rPr>
        <w:t>[2023] FCA 1266 at [96].</w:t>
      </w:r>
    </w:p>
  </w:footnote>
  <w:footnote w:id="25">
    <w:p w14:paraId="355E61C9" w14:textId="614D6AF0" w:rsidR="00C56E9D" w:rsidRPr="000E033B" w:rsidRDefault="00C56E9D"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r>
      <w:r w:rsidRPr="000E033B">
        <w:rPr>
          <w:rFonts w:ascii="Times New Roman" w:hAnsi="Times New Roman"/>
          <w:i/>
          <w:iCs/>
          <w:sz w:val="24"/>
        </w:rPr>
        <w:t xml:space="preserve">Republic of India v CCDM Holdings LLC </w:t>
      </w:r>
      <w:r w:rsidR="00C54CBF" w:rsidRPr="000E033B">
        <w:rPr>
          <w:rFonts w:ascii="Times New Roman" w:hAnsi="Times New Roman"/>
          <w:sz w:val="24"/>
        </w:rPr>
        <w:t>(</w:t>
      </w:r>
      <w:r w:rsidRPr="000E033B">
        <w:rPr>
          <w:rFonts w:ascii="Times New Roman" w:hAnsi="Times New Roman"/>
          <w:sz w:val="24"/>
        </w:rPr>
        <w:t>2025</w:t>
      </w:r>
      <w:r w:rsidR="00C54CBF" w:rsidRPr="000E033B">
        <w:rPr>
          <w:rFonts w:ascii="Times New Roman" w:hAnsi="Times New Roman"/>
          <w:sz w:val="24"/>
        </w:rPr>
        <w:t xml:space="preserve">) </w:t>
      </w:r>
      <w:r w:rsidR="002868DF" w:rsidRPr="000E033B">
        <w:rPr>
          <w:rFonts w:ascii="Times New Roman" w:hAnsi="Times New Roman"/>
          <w:sz w:val="24"/>
        </w:rPr>
        <w:t xml:space="preserve">307 </w:t>
      </w:r>
      <w:r w:rsidR="00C54CBF" w:rsidRPr="000E033B">
        <w:rPr>
          <w:rFonts w:ascii="Times New Roman" w:hAnsi="Times New Roman"/>
          <w:sz w:val="24"/>
        </w:rPr>
        <w:t>FCR</w:t>
      </w:r>
      <w:r w:rsidRPr="000E033B">
        <w:rPr>
          <w:rFonts w:ascii="Times New Roman" w:hAnsi="Times New Roman"/>
          <w:sz w:val="24"/>
        </w:rPr>
        <w:t xml:space="preserve"> </w:t>
      </w:r>
      <w:r w:rsidR="002868DF" w:rsidRPr="000E033B">
        <w:rPr>
          <w:rFonts w:ascii="Times New Roman" w:hAnsi="Times New Roman"/>
          <w:sz w:val="24"/>
        </w:rPr>
        <w:t>308</w:t>
      </w:r>
      <w:r w:rsidRPr="000E033B">
        <w:rPr>
          <w:rFonts w:ascii="Times New Roman" w:hAnsi="Times New Roman"/>
          <w:sz w:val="24"/>
        </w:rPr>
        <w:t xml:space="preserve"> at </w:t>
      </w:r>
      <w:r w:rsidR="006533DC" w:rsidRPr="000E033B">
        <w:rPr>
          <w:rFonts w:ascii="Times New Roman" w:hAnsi="Times New Roman"/>
          <w:sz w:val="24"/>
        </w:rPr>
        <w:t>317</w:t>
      </w:r>
      <w:r w:rsidRPr="000E033B">
        <w:rPr>
          <w:rFonts w:ascii="Times New Roman" w:hAnsi="Times New Roman"/>
          <w:sz w:val="24"/>
        </w:rPr>
        <w:t xml:space="preserve"> [</w:t>
      </w:r>
      <w:r w:rsidR="009D05A5" w:rsidRPr="000E033B">
        <w:rPr>
          <w:rFonts w:ascii="Times New Roman" w:hAnsi="Times New Roman"/>
          <w:sz w:val="24"/>
        </w:rPr>
        <w:t>53</w:t>
      </w:r>
      <w:r w:rsidRPr="000E033B">
        <w:rPr>
          <w:rFonts w:ascii="Times New Roman" w:hAnsi="Times New Roman"/>
          <w:sz w:val="24"/>
        </w:rPr>
        <w:t>].</w:t>
      </w:r>
    </w:p>
  </w:footnote>
  <w:footnote w:id="26">
    <w:p w14:paraId="2303C86C" w14:textId="50C45A17" w:rsidR="00A715C6" w:rsidRPr="000E033B" w:rsidRDefault="00A715C6"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r>
      <w:r w:rsidRPr="000E033B">
        <w:rPr>
          <w:rFonts w:ascii="Times New Roman" w:hAnsi="Times New Roman"/>
          <w:i/>
          <w:iCs/>
          <w:sz w:val="24"/>
        </w:rPr>
        <w:t xml:space="preserve">Republic of India v CCDM Holdings LLC </w:t>
      </w:r>
      <w:r w:rsidR="006533DC" w:rsidRPr="000E033B">
        <w:rPr>
          <w:rFonts w:ascii="Times New Roman" w:hAnsi="Times New Roman"/>
          <w:sz w:val="24"/>
        </w:rPr>
        <w:t>(</w:t>
      </w:r>
      <w:r w:rsidRPr="000E033B">
        <w:rPr>
          <w:rFonts w:ascii="Times New Roman" w:hAnsi="Times New Roman"/>
          <w:sz w:val="24"/>
        </w:rPr>
        <w:t>2025</w:t>
      </w:r>
      <w:r w:rsidR="006533DC" w:rsidRPr="000E033B">
        <w:rPr>
          <w:rFonts w:ascii="Times New Roman" w:hAnsi="Times New Roman"/>
          <w:sz w:val="24"/>
        </w:rPr>
        <w:t xml:space="preserve">) </w:t>
      </w:r>
      <w:r w:rsidR="00922F8B" w:rsidRPr="000E033B">
        <w:rPr>
          <w:rFonts w:ascii="Times New Roman" w:hAnsi="Times New Roman"/>
          <w:sz w:val="24"/>
        </w:rPr>
        <w:t>307 FCR 308</w:t>
      </w:r>
      <w:r w:rsidR="00AF5EB3" w:rsidRPr="000E033B">
        <w:rPr>
          <w:rFonts w:ascii="Times New Roman" w:hAnsi="Times New Roman"/>
          <w:sz w:val="24"/>
        </w:rPr>
        <w:t xml:space="preserve"> </w:t>
      </w:r>
      <w:r w:rsidR="0065503A" w:rsidRPr="000E033B">
        <w:rPr>
          <w:rFonts w:ascii="Times New Roman" w:hAnsi="Times New Roman"/>
          <w:sz w:val="24"/>
        </w:rPr>
        <w:t xml:space="preserve">at </w:t>
      </w:r>
      <w:r w:rsidR="00922F8B" w:rsidRPr="000E033B">
        <w:rPr>
          <w:rFonts w:ascii="Times New Roman" w:hAnsi="Times New Roman"/>
          <w:sz w:val="24"/>
        </w:rPr>
        <w:t xml:space="preserve">317 </w:t>
      </w:r>
      <w:r w:rsidR="001F375F" w:rsidRPr="000E033B">
        <w:rPr>
          <w:rFonts w:ascii="Times New Roman" w:hAnsi="Times New Roman"/>
          <w:sz w:val="24"/>
        </w:rPr>
        <w:t xml:space="preserve">[52], </w:t>
      </w:r>
      <w:r w:rsidR="00922F8B" w:rsidRPr="000E033B">
        <w:rPr>
          <w:rFonts w:ascii="Times New Roman" w:hAnsi="Times New Roman"/>
          <w:sz w:val="24"/>
        </w:rPr>
        <w:t xml:space="preserve">321 </w:t>
      </w:r>
      <w:r w:rsidR="0065503A" w:rsidRPr="000E033B">
        <w:rPr>
          <w:rFonts w:ascii="Times New Roman" w:hAnsi="Times New Roman"/>
          <w:sz w:val="24"/>
        </w:rPr>
        <w:t>[</w:t>
      </w:r>
      <w:r w:rsidR="00873252" w:rsidRPr="000E033B">
        <w:rPr>
          <w:rFonts w:ascii="Times New Roman" w:hAnsi="Times New Roman"/>
          <w:sz w:val="24"/>
        </w:rPr>
        <w:t>72</w:t>
      </w:r>
      <w:r w:rsidR="0065503A" w:rsidRPr="000E033B">
        <w:rPr>
          <w:rFonts w:ascii="Times New Roman" w:hAnsi="Times New Roman"/>
          <w:sz w:val="24"/>
        </w:rPr>
        <w:t xml:space="preserve">]. </w:t>
      </w:r>
    </w:p>
  </w:footnote>
  <w:footnote w:id="27">
    <w:p w14:paraId="67B68F5D" w14:textId="4945D996" w:rsidR="00486278" w:rsidRPr="000E033B" w:rsidRDefault="00486278"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r>
      <w:r w:rsidRPr="000E033B">
        <w:rPr>
          <w:rFonts w:ascii="Times New Roman" w:hAnsi="Times New Roman"/>
          <w:i/>
          <w:iCs/>
          <w:sz w:val="24"/>
        </w:rPr>
        <w:t xml:space="preserve">Republic of India v CCDM Holdings LLC </w:t>
      </w:r>
      <w:r w:rsidR="00EF155A" w:rsidRPr="000E033B">
        <w:rPr>
          <w:rFonts w:ascii="Times New Roman" w:hAnsi="Times New Roman"/>
          <w:sz w:val="24"/>
        </w:rPr>
        <w:t>(2025) 307 FCR 308</w:t>
      </w:r>
      <w:r w:rsidR="00A52333" w:rsidRPr="000E033B" w:rsidDel="00A52333">
        <w:rPr>
          <w:rFonts w:ascii="Times New Roman" w:hAnsi="Times New Roman"/>
          <w:sz w:val="24"/>
        </w:rPr>
        <w:t xml:space="preserve"> </w:t>
      </w:r>
      <w:r w:rsidRPr="000E033B">
        <w:rPr>
          <w:rFonts w:ascii="Times New Roman" w:hAnsi="Times New Roman"/>
          <w:sz w:val="24"/>
        </w:rPr>
        <w:t xml:space="preserve">at </w:t>
      </w:r>
      <w:r w:rsidR="00EF155A" w:rsidRPr="000E033B">
        <w:rPr>
          <w:rFonts w:ascii="Times New Roman" w:hAnsi="Times New Roman"/>
          <w:sz w:val="24"/>
        </w:rPr>
        <w:t>320-321</w:t>
      </w:r>
      <w:r w:rsidRPr="000E033B">
        <w:rPr>
          <w:rFonts w:ascii="Times New Roman" w:hAnsi="Times New Roman"/>
          <w:sz w:val="24"/>
        </w:rPr>
        <w:t xml:space="preserve"> [70].</w:t>
      </w:r>
    </w:p>
  </w:footnote>
  <w:footnote w:id="28">
    <w:p w14:paraId="5A4DBBBD" w14:textId="7202FFD1" w:rsidR="00C34ABA" w:rsidRPr="000E033B" w:rsidRDefault="00C34ABA"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r>
      <w:r w:rsidRPr="000E033B">
        <w:rPr>
          <w:rFonts w:ascii="Times New Roman" w:hAnsi="Times New Roman"/>
          <w:i/>
          <w:iCs/>
          <w:sz w:val="24"/>
        </w:rPr>
        <w:t xml:space="preserve">Republic of India v CCDM Holdings LLC </w:t>
      </w:r>
      <w:r w:rsidR="00EF155A" w:rsidRPr="000E033B">
        <w:rPr>
          <w:rFonts w:ascii="Times New Roman" w:hAnsi="Times New Roman"/>
          <w:sz w:val="24"/>
        </w:rPr>
        <w:t>(2025) 307 FCR 308</w:t>
      </w:r>
      <w:r w:rsidR="00F97D91" w:rsidRPr="000E033B">
        <w:rPr>
          <w:rFonts w:ascii="Times New Roman" w:hAnsi="Times New Roman"/>
          <w:sz w:val="24"/>
        </w:rPr>
        <w:t xml:space="preserve"> </w:t>
      </w:r>
      <w:r w:rsidRPr="000E033B">
        <w:rPr>
          <w:rFonts w:ascii="Times New Roman" w:hAnsi="Times New Roman"/>
          <w:sz w:val="24"/>
        </w:rPr>
        <w:t xml:space="preserve">at </w:t>
      </w:r>
      <w:r w:rsidR="00EF155A" w:rsidRPr="000E033B">
        <w:rPr>
          <w:rFonts w:ascii="Times New Roman" w:hAnsi="Times New Roman"/>
          <w:sz w:val="24"/>
        </w:rPr>
        <w:t>319-320</w:t>
      </w:r>
      <w:r w:rsidRPr="000E033B">
        <w:rPr>
          <w:rFonts w:ascii="Times New Roman" w:hAnsi="Times New Roman"/>
          <w:sz w:val="24"/>
        </w:rPr>
        <w:t xml:space="preserve"> [6</w:t>
      </w:r>
      <w:r w:rsidR="00812400" w:rsidRPr="000E033B">
        <w:rPr>
          <w:rFonts w:ascii="Times New Roman" w:hAnsi="Times New Roman"/>
          <w:sz w:val="24"/>
        </w:rPr>
        <w:t>4</w:t>
      </w:r>
      <w:r w:rsidRPr="000E033B">
        <w:rPr>
          <w:rFonts w:ascii="Times New Roman" w:hAnsi="Times New Roman"/>
          <w:sz w:val="24"/>
        </w:rPr>
        <w:t>]-[6</w:t>
      </w:r>
      <w:r w:rsidR="00812400" w:rsidRPr="000E033B">
        <w:rPr>
          <w:rFonts w:ascii="Times New Roman" w:hAnsi="Times New Roman"/>
          <w:sz w:val="24"/>
        </w:rPr>
        <w:t>8</w:t>
      </w:r>
      <w:r w:rsidRPr="000E033B">
        <w:rPr>
          <w:rFonts w:ascii="Times New Roman" w:hAnsi="Times New Roman"/>
          <w:sz w:val="24"/>
        </w:rPr>
        <w:t xml:space="preserve">], referring to International Law Commission, </w:t>
      </w:r>
      <w:r w:rsidR="0041772D" w:rsidRPr="000E033B">
        <w:rPr>
          <w:rFonts w:ascii="Times New Roman" w:hAnsi="Times New Roman"/>
          <w:i/>
          <w:iCs/>
          <w:sz w:val="24"/>
        </w:rPr>
        <w:t>Report of the International Law Commission</w:t>
      </w:r>
      <w:r w:rsidR="00F65E4E" w:rsidRPr="000E033B">
        <w:rPr>
          <w:rFonts w:ascii="Times New Roman" w:hAnsi="Times New Roman"/>
          <w:i/>
          <w:iCs/>
          <w:sz w:val="24"/>
        </w:rPr>
        <w:t xml:space="preserve"> on the work of its </w:t>
      </w:r>
      <w:r w:rsidR="00E56450" w:rsidRPr="000E033B">
        <w:rPr>
          <w:rFonts w:ascii="Times New Roman" w:hAnsi="Times New Roman"/>
          <w:i/>
          <w:iCs/>
          <w:sz w:val="24"/>
        </w:rPr>
        <w:t>sixty-third session</w:t>
      </w:r>
      <w:r w:rsidR="00202E26" w:rsidRPr="000E033B">
        <w:rPr>
          <w:rFonts w:ascii="Times New Roman" w:hAnsi="Times New Roman"/>
          <w:i/>
          <w:iCs/>
          <w:sz w:val="24"/>
        </w:rPr>
        <w:t xml:space="preserve"> (26</w:t>
      </w:r>
      <w:r w:rsidR="009B0743" w:rsidRPr="000E033B">
        <w:rPr>
          <w:rFonts w:ascii="Times New Roman" w:hAnsi="Times New Roman"/>
          <w:i/>
          <w:iCs/>
          <w:sz w:val="24"/>
        </w:rPr>
        <w:t> </w:t>
      </w:r>
      <w:r w:rsidR="00202E26" w:rsidRPr="000E033B">
        <w:rPr>
          <w:rFonts w:ascii="Times New Roman" w:hAnsi="Times New Roman"/>
          <w:i/>
          <w:iCs/>
          <w:sz w:val="24"/>
        </w:rPr>
        <w:t>April</w:t>
      </w:r>
      <w:r w:rsidR="00770D03" w:rsidRPr="000E033B">
        <w:rPr>
          <w:rFonts w:ascii="Times New Roman" w:hAnsi="Times New Roman"/>
          <w:i/>
          <w:iCs/>
          <w:sz w:val="24"/>
        </w:rPr>
        <w:t>–</w:t>
      </w:r>
      <w:r w:rsidR="000E45F7" w:rsidRPr="000E033B">
        <w:rPr>
          <w:rFonts w:ascii="Times New Roman" w:hAnsi="Times New Roman"/>
          <w:i/>
          <w:iCs/>
          <w:sz w:val="24"/>
        </w:rPr>
        <w:t>3</w:t>
      </w:r>
      <w:r w:rsidR="009B0743" w:rsidRPr="000E033B">
        <w:rPr>
          <w:rFonts w:ascii="Times New Roman" w:hAnsi="Times New Roman"/>
          <w:i/>
          <w:iCs/>
          <w:sz w:val="24"/>
        </w:rPr>
        <w:t> </w:t>
      </w:r>
      <w:r w:rsidR="000E45F7" w:rsidRPr="000E033B">
        <w:rPr>
          <w:rFonts w:ascii="Times New Roman" w:hAnsi="Times New Roman"/>
          <w:i/>
          <w:iCs/>
          <w:sz w:val="24"/>
        </w:rPr>
        <w:t xml:space="preserve">June and </w:t>
      </w:r>
      <w:r w:rsidR="00845797" w:rsidRPr="000E033B">
        <w:rPr>
          <w:rFonts w:ascii="Times New Roman" w:hAnsi="Times New Roman"/>
          <w:i/>
          <w:iCs/>
          <w:sz w:val="24"/>
        </w:rPr>
        <w:t>4</w:t>
      </w:r>
      <w:r w:rsidR="009B0743" w:rsidRPr="000E033B">
        <w:rPr>
          <w:rFonts w:ascii="Times New Roman" w:hAnsi="Times New Roman"/>
          <w:i/>
          <w:iCs/>
          <w:sz w:val="24"/>
        </w:rPr>
        <w:t> </w:t>
      </w:r>
      <w:r w:rsidR="00A439FA" w:rsidRPr="000E033B">
        <w:rPr>
          <w:rFonts w:ascii="Times New Roman" w:hAnsi="Times New Roman"/>
          <w:i/>
          <w:iCs/>
          <w:sz w:val="24"/>
        </w:rPr>
        <w:t>July–</w:t>
      </w:r>
      <w:r w:rsidR="009B0743" w:rsidRPr="000E033B">
        <w:rPr>
          <w:rFonts w:ascii="Times New Roman" w:hAnsi="Times New Roman"/>
          <w:i/>
          <w:iCs/>
          <w:sz w:val="24"/>
        </w:rPr>
        <w:t>12 August 2011)</w:t>
      </w:r>
      <w:r w:rsidR="009B0743" w:rsidRPr="000E033B">
        <w:rPr>
          <w:rFonts w:ascii="Times New Roman" w:hAnsi="Times New Roman"/>
          <w:sz w:val="24"/>
        </w:rPr>
        <w:t>,</w:t>
      </w:r>
      <w:r w:rsidR="00770D03" w:rsidRPr="000E033B">
        <w:rPr>
          <w:rFonts w:ascii="Times New Roman" w:hAnsi="Times New Roman"/>
          <w:i/>
          <w:iCs/>
          <w:sz w:val="24"/>
        </w:rPr>
        <w:t xml:space="preserve"> </w:t>
      </w:r>
      <w:r w:rsidR="00357E5C" w:rsidRPr="000E033B">
        <w:rPr>
          <w:rFonts w:ascii="Times New Roman" w:hAnsi="Times New Roman"/>
          <w:sz w:val="24"/>
        </w:rPr>
        <w:t xml:space="preserve">UN Doc </w:t>
      </w:r>
      <w:r w:rsidR="001D587D" w:rsidRPr="000E033B">
        <w:rPr>
          <w:rFonts w:ascii="Times New Roman" w:hAnsi="Times New Roman"/>
          <w:sz w:val="24"/>
        </w:rPr>
        <w:t>A/66/10</w:t>
      </w:r>
      <w:r w:rsidR="003E2778" w:rsidRPr="000E033B">
        <w:rPr>
          <w:rFonts w:ascii="Times New Roman" w:hAnsi="Times New Roman"/>
          <w:sz w:val="24"/>
        </w:rPr>
        <w:t>/Add.1</w:t>
      </w:r>
      <w:r w:rsidR="00D76083" w:rsidRPr="000E033B">
        <w:rPr>
          <w:rFonts w:ascii="Times New Roman" w:hAnsi="Times New Roman"/>
          <w:sz w:val="24"/>
        </w:rPr>
        <w:t xml:space="preserve">, in </w:t>
      </w:r>
      <w:r w:rsidR="00A404C6" w:rsidRPr="000E033B">
        <w:rPr>
          <w:rFonts w:ascii="Times New Roman" w:hAnsi="Times New Roman"/>
          <w:sz w:val="24"/>
        </w:rPr>
        <w:t>[2011]</w:t>
      </w:r>
      <w:r w:rsidR="00A5287E" w:rsidRPr="000E033B">
        <w:rPr>
          <w:rFonts w:ascii="Times New Roman" w:hAnsi="Times New Roman"/>
          <w:sz w:val="24"/>
        </w:rPr>
        <w:t xml:space="preserve"> </w:t>
      </w:r>
      <w:r w:rsidR="00A5287E" w:rsidRPr="000E033B">
        <w:rPr>
          <w:rFonts w:ascii="Times New Roman" w:hAnsi="Times New Roman"/>
          <w:i/>
          <w:sz w:val="24"/>
        </w:rPr>
        <w:t>Yearbook of the International Law Commission</w:t>
      </w:r>
      <w:r w:rsidR="003A5AA0" w:rsidRPr="000E033B">
        <w:rPr>
          <w:rFonts w:ascii="Times New Roman" w:hAnsi="Times New Roman"/>
          <w:sz w:val="24"/>
        </w:rPr>
        <w:t>, vol 2, 1</w:t>
      </w:r>
      <w:r w:rsidR="00DF14F4" w:rsidRPr="000E033B">
        <w:rPr>
          <w:rFonts w:ascii="Times New Roman" w:hAnsi="Times New Roman"/>
          <w:sz w:val="24"/>
        </w:rPr>
        <w:t xml:space="preserve"> </w:t>
      </w:r>
      <w:r w:rsidRPr="000E033B">
        <w:rPr>
          <w:rFonts w:ascii="Times New Roman" w:hAnsi="Times New Roman"/>
          <w:sz w:val="24"/>
        </w:rPr>
        <w:t xml:space="preserve">at </w:t>
      </w:r>
      <w:r w:rsidR="00C56901" w:rsidRPr="000E033B">
        <w:rPr>
          <w:rFonts w:ascii="Times New Roman" w:hAnsi="Times New Roman"/>
          <w:sz w:val="24"/>
        </w:rPr>
        <w:t xml:space="preserve">34 </w:t>
      </w:r>
      <w:r w:rsidRPr="000E033B">
        <w:rPr>
          <w:rFonts w:ascii="Times New Roman" w:hAnsi="Times New Roman"/>
          <w:sz w:val="24"/>
        </w:rPr>
        <w:t>[4.2.4]</w:t>
      </w:r>
      <w:r w:rsidR="00DF14F4" w:rsidRPr="000E033B">
        <w:rPr>
          <w:rFonts w:ascii="Times New Roman" w:hAnsi="Times New Roman"/>
          <w:sz w:val="24"/>
        </w:rPr>
        <w:t xml:space="preserve"> ("</w:t>
      </w:r>
      <w:r w:rsidR="00DF14F4" w:rsidRPr="000E033B">
        <w:rPr>
          <w:rFonts w:ascii="Times New Roman" w:hAnsi="Times New Roman"/>
          <w:i/>
          <w:iCs/>
          <w:sz w:val="24"/>
        </w:rPr>
        <w:t>Guide to Practice on Reservations to Treaties</w:t>
      </w:r>
      <w:r w:rsidR="00DF14F4" w:rsidRPr="000E033B">
        <w:rPr>
          <w:rFonts w:ascii="Times New Roman" w:hAnsi="Times New Roman"/>
          <w:sz w:val="24"/>
        </w:rPr>
        <w:t>")</w:t>
      </w:r>
      <w:r w:rsidRPr="000E033B">
        <w:rPr>
          <w:rFonts w:ascii="Times New Roman" w:hAnsi="Times New Roman"/>
          <w:sz w:val="24"/>
        </w:rPr>
        <w:t>; Vienna Convention on the Law of Treaties</w:t>
      </w:r>
      <w:r w:rsidRPr="000E033B">
        <w:rPr>
          <w:rFonts w:ascii="Times New Roman" w:hAnsi="Times New Roman"/>
          <w:i/>
          <w:iCs/>
          <w:sz w:val="24"/>
        </w:rPr>
        <w:t xml:space="preserve"> </w:t>
      </w:r>
      <w:r w:rsidRPr="000E033B">
        <w:rPr>
          <w:rFonts w:ascii="Times New Roman" w:hAnsi="Times New Roman"/>
          <w:sz w:val="24"/>
        </w:rPr>
        <w:t>(1969) 1155 UNTS 331, Art</w:t>
      </w:r>
      <w:r w:rsidR="006279AB" w:rsidRPr="000E033B">
        <w:rPr>
          <w:rFonts w:ascii="Times New Roman" w:hAnsi="Times New Roman"/>
          <w:sz w:val="24"/>
        </w:rPr>
        <w:t>s</w:t>
      </w:r>
      <w:r w:rsidR="002D696F">
        <w:rPr>
          <w:rFonts w:ascii="Times New Roman" w:hAnsi="Times New Roman"/>
          <w:sz w:val="24"/>
        </w:rPr>
        <w:t> </w:t>
      </w:r>
      <w:r w:rsidR="006279AB" w:rsidRPr="000E033B">
        <w:rPr>
          <w:rFonts w:ascii="Times New Roman" w:hAnsi="Times New Roman"/>
          <w:sz w:val="24"/>
        </w:rPr>
        <w:t>2(1)(d),</w:t>
      </w:r>
      <w:r w:rsidRPr="000E033B">
        <w:rPr>
          <w:rFonts w:ascii="Times New Roman" w:hAnsi="Times New Roman"/>
          <w:sz w:val="24"/>
        </w:rPr>
        <w:t xml:space="preserve"> 21. But see International Law Commission, </w:t>
      </w:r>
      <w:r w:rsidRPr="000E033B">
        <w:rPr>
          <w:rFonts w:ascii="Times New Roman" w:hAnsi="Times New Roman"/>
          <w:i/>
          <w:iCs/>
          <w:sz w:val="24"/>
        </w:rPr>
        <w:t>Guide to Practice on Reservations to Treaties</w:t>
      </w:r>
      <w:r w:rsidRPr="000E033B">
        <w:rPr>
          <w:rFonts w:ascii="Times New Roman" w:hAnsi="Times New Roman"/>
          <w:sz w:val="24"/>
        </w:rPr>
        <w:t xml:space="preserve"> at </w:t>
      </w:r>
      <w:r w:rsidR="00790861" w:rsidRPr="000E033B">
        <w:rPr>
          <w:rFonts w:ascii="Times New Roman" w:hAnsi="Times New Roman"/>
          <w:sz w:val="24"/>
        </w:rPr>
        <w:t xml:space="preserve">34 </w:t>
      </w:r>
      <w:r w:rsidRPr="000E033B">
        <w:rPr>
          <w:rFonts w:ascii="Times New Roman" w:hAnsi="Times New Roman"/>
          <w:sz w:val="24"/>
        </w:rPr>
        <w:t>[4.2.5].</w:t>
      </w:r>
    </w:p>
  </w:footnote>
  <w:footnote w:id="29">
    <w:p w14:paraId="3B8B1AE0" w14:textId="602C1209" w:rsidR="001926A0" w:rsidRPr="000E033B" w:rsidRDefault="001926A0"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00E72359" w:rsidRPr="000E033B">
        <w:rPr>
          <w:rFonts w:ascii="Times New Roman" w:hAnsi="Times New Roman"/>
          <w:sz w:val="24"/>
        </w:rPr>
        <w:tab/>
      </w:r>
      <w:r w:rsidRPr="000E033B">
        <w:rPr>
          <w:rFonts w:ascii="Times New Roman" w:hAnsi="Times New Roman"/>
          <w:i/>
          <w:iCs/>
          <w:sz w:val="24"/>
        </w:rPr>
        <w:t xml:space="preserve">Republic of India v CCDM Holdings LLC </w:t>
      </w:r>
      <w:r w:rsidR="00EF155A" w:rsidRPr="000E033B">
        <w:rPr>
          <w:rFonts w:ascii="Times New Roman" w:hAnsi="Times New Roman"/>
          <w:sz w:val="24"/>
        </w:rPr>
        <w:t>(2025) 307 FCR 308</w:t>
      </w:r>
      <w:r w:rsidR="00A52333" w:rsidRPr="000E033B" w:rsidDel="00A52333">
        <w:rPr>
          <w:rFonts w:ascii="Times New Roman" w:hAnsi="Times New Roman"/>
          <w:sz w:val="24"/>
        </w:rPr>
        <w:t xml:space="preserve"> </w:t>
      </w:r>
      <w:r w:rsidRPr="000E033B">
        <w:rPr>
          <w:rFonts w:ascii="Times New Roman" w:hAnsi="Times New Roman"/>
          <w:sz w:val="24"/>
        </w:rPr>
        <w:t xml:space="preserve">at </w:t>
      </w:r>
      <w:r w:rsidR="00EF155A" w:rsidRPr="000E033B">
        <w:rPr>
          <w:rFonts w:ascii="Times New Roman" w:hAnsi="Times New Roman"/>
          <w:sz w:val="24"/>
        </w:rPr>
        <w:t xml:space="preserve">319 </w:t>
      </w:r>
      <w:r w:rsidR="00813E56" w:rsidRPr="000E033B">
        <w:rPr>
          <w:rFonts w:ascii="Times New Roman" w:hAnsi="Times New Roman"/>
          <w:sz w:val="24"/>
        </w:rPr>
        <w:t>[6</w:t>
      </w:r>
      <w:r w:rsidR="00812400" w:rsidRPr="000E033B">
        <w:rPr>
          <w:rFonts w:ascii="Times New Roman" w:hAnsi="Times New Roman"/>
          <w:sz w:val="24"/>
        </w:rPr>
        <w:t>4</w:t>
      </w:r>
      <w:r w:rsidR="00813E56" w:rsidRPr="000E033B">
        <w:rPr>
          <w:rFonts w:ascii="Times New Roman" w:hAnsi="Times New Roman"/>
          <w:sz w:val="24"/>
        </w:rPr>
        <w:t xml:space="preserve">], </w:t>
      </w:r>
      <w:r w:rsidR="00EF155A" w:rsidRPr="000E033B">
        <w:rPr>
          <w:rFonts w:ascii="Times New Roman" w:hAnsi="Times New Roman"/>
          <w:sz w:val="24"/>
        </w:rPr>
        <w:t xml:space="preserve">320 </w:t>
      </w:r>
      <w:r w:rsidR="00C04173" w:rsidRPr="000E033B">
        <w:rPr>
          <w:rFonts w:ascii="Times New Roman" w:hAnsi="Times New Roman"/>
          <w:sz w:val="24"/>
        </w:rPr>
        <w:t>[68]-</w:t>
      </w:r>
      <w:r w:rsidR="00CD5E62" w:rsidRPr="000E033B">
        <w:rPr>
          <w:rFonts w:ascii="Times New Roman" w:hAnsi="Times New Roman"/>
          <w:sz w:val="24"/>
        </w:rPr>
        <w:t xml:space="preserve">[69], </w:t>
      </w:r>
      <w:r w:rsidR="00EF155A" w:rsidRPr="000E033B">
        <w:rPr>
          <w:rFonts w:ascii="Times New Roman" w:hAnsi="Times New Roman"/>
          <w:sz w:val="24"/>
        </w:rPr>
        <w:t>321</w:t>
      </w:r>
      <w:r w:rsidR="00CD5E62" w:rsidRPr="000E033B">
        <w:rPr>
          <w:rFonts w:ascii="Times New Roman" w:hAnsi="Times New Roman"/>
          <w:sz w:val="24"/>
        </w:rPr>
        <w:t xml:space="preserve"> </w:t>
      </w:r>
      <w:r w:rsidRPr="000E033B">
        <w:rPr>
          <w:rFonts w:ascii="Times New Roman" w:hAnsi="Times New Roman"/>
          <w:sz w:val="24"/>
        </w:rPr>
        <w:t>[73].</w:t>
      </w:r>
      <w:r w:rsidR="0061482F" w:rsidRPr="000E033B">
        <w:rPr>
          <w:rFonts w:ascii="Times New Roman" w:hAnsi="Times New Roman"/>
          <w:sz w:val="24"/>
        </w:rPr>
        <w:t xml:space="preserve"> Compare Gaja, "Problems of </w:t>
      </w:r>
      <w:r w:rsidR="00CA38A3" w:rsidRPr="000E033B">
        <w:rPr>
          <w:rFonts w:ascii="Times New Roman" w:hAnsi="Times New Roman"/>
          <w:sz w:val="24"/>
        </w:rPr>
        <w:t>a</w:t>
      </w:r>
      <w:r w:rsidR="0061482F" w:rsidRPr="000E033B">
        <w:rPr>
          <w:rFonts w:ascii="Times New Roman" w:hAnsi="Times New Roman"/>
          <w:sz w:val="24"/>
        </w:rPr>
        <w:t xml:space="preserve">pplicability of International Conventions on Commercial Arbitration", in </w:t>
      </w:r>
      <w:r w:rsidR="00F572A3" w:rsidRPr="000E033B">
        <w:rPr>
          <w:rFonts w:ascii="Times New Roman" w:hAnsi="Times New Roman"/>
          <w:sz w:val="24"/>
        </w:rPr>
        <w:t>L'Asso</w:t>
      </w:r>
      <w:r w:rsidR="007F4773" w:rsidRPr="000E033B">
        <w:rPr>
          <w:rFonts w:ascii="Times New Roman" w:hAnsi="Times New Roman"/>
          <w:sz w:val="24"/>
        </w:rPr>
        <w:t>ciaz</w:t>
      </w:r>
      <w:r w:rsidR="00DD7965" w:rsidRPr="000E033B">
        <w:rPr>
          <w:rFonts w:ascii="Times New Roman" w:hAnsi="Times New Roman"/>
          <w:sz w:val="24"/>
        </w:rPr>
        <w:t>i</w:t>
      </w:r>
      <w:r w:rsidR="007F4773" w:rsidRPr="000E033B">
        <w:rPr>
          <w:rFonts w:ascii="Times New Roman" w:hAnsi="Times New Roman"/>
          <w:sz w:val="24"/>
        </w:rPr>
        <w:t xml:space="preserve">one </w:t>
      </w:r>
      <w:r w:rsidR="00D6560F" w:rsidRPr="000E033B">
        <w:rPr>
          <w:rFonts w:ascii="Times New Roman" w:hAnsi="Times New Roman"/>
          <w:sz w:val="24"/>
        </w:rPr>
        <w:t>Italiana per l'A</w:t>
      </w:r>
      <w:r w:rsidR="00AE25B5" w:rsidRPr="000E033B">
        <w:rPr>
          <w:rFonts w:ascii="Times New Roman" w:hAnsi="Times New Roman"/>
          <w:sz w:val="24"/>
        </w:rPr>
        <w:t>rbitrato</w:t>
      </w:r>
      <w:r w:rsidR="0079333E" w:rsidRPr="000E033B">
        <w:rPr>
          <w:rFonts w:ascii="Times New Roman" w:hAnsi="Times New Roman"/>
          <w:sz w:val="24"/>
        </w:rPr>
        <w:t xml:space="preserve"> (ed), </w:t>
      </w:r>
      <w:r w:rsidR="0061482F" w:rsidRPr="000E033B">
        <w:rPr>
          <w:rFonts w:ascii="Times New Roman" w:hAnsi="Times New Roman"/>
          <w:i/>
          <w:iCs/>
          <w:sz w:val="24"/>
        </w:rPr>
        <w:t xml:space="preserve">Commercial Arbitration: Essays in </w:t>
      </w:r>
      <w:r w:rsidR="00DD7965" w:rsidRPr="000E033B">
        <w:rPr>
          <w:rFonts w:ascii="Times New Roman" w:hAnsi="Times New Roman"/>
          <w:i/>
          <w:iCs/>
          <w:sz w:val="24"/>
        </w:rPr>
        <w:t>m</w:t>
      </w:r>
      <w:r w:rsidR="0061482F" w:rsidRPr="000E033B">
        <w:rPr>
          <w:rFonts w:ascii="Times New Roman" w:hAnsi="Times New Roman"/>
          <w:i/>
          <w:iCs/>
          <w:sz w:val="24"/>
        </w:rPr>
        <w:t>emoriam Eugenio Minoli</w:t>
      </w:r>
      <w:r w:rsidR="0061482F" w:rsidRPr="000E033B">
        <w:rPr>
          <w:rFonts w:ascii="Times New Roman" w:hAnsi="Times New Roman"/>
          <w:sz w:val="24"/>
        </w:rPr>
        <w:t xml:space="preserve"> (1974) </w:t>
      </w:r>
      <w:r w:rsidR="006C184E" w:rsidRPr="000E033B">
        <w:rPr>
          <w:rFonts w:ascii="Times New Roman" w:hAnsi="Times New Roman"/>
          <w:sz w:val="24"/>
        </w:rPr>
        <w:t>191 at 210-211.</w:t>
      </w:r>
    </w:p>
  </w:footnote>
  <w:footnote w:id="30">
    <w:p w14:paraId="6C5B3CF5" w14:textId="419C4659" w:rsidR="00891BAF" w:rsidRPr="000E033B" w:rsidRDefault="00891BAF"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r>
      <w:r w:rsidRPr="000E033B">
        <w:rPr>
          <w:rFonts w:ascii="Times New Roman" w:hAnsi="Times New Roman"/>
          <w:i/>
          <w:iCs/>
          <w:sz w:val="24"/>
        </w:rPr>
        <w:t xml:space="preserve">Republic of India v CCDM Holdings LLC </w:t>
      </w:r>
      <w:r w:rsidRPr="000E033B">
        <w:rPr>
          <w:rFonts w:ascii="Times New Roman" w:hAnsi="Times New Roman"/>
          <w:sz w:val="24"/>
        </w:rPr>
        <w:t>(2025) 307 FCR 308</w:t>
      </w:r>
      <w:r w:rsidRPr="000E033B" w:rsidDel="00A52333">
        <w:rPr>
          <w:rFonts w:ascii="Times New Roman" w:hAnsi="Times New Roman"/>
          <w:sz w:val="24"/>
        </w:rPr>
        <w:t xml:space="preserve"> </w:t>
      </w:r>
      <w:r w:rsidRPr="000E033B">
        <w:rPr>
          <w:rFonts w:ascii="Times New Roman" w:hAnsi="Times New Roman"/>
          <w:sz w:val="24"/>
        </w:rPr>
        <w:t xml:space="preserve">at </w:t>
      </w:r>
      <w:r w:rsidR="004F0771" w:rsidRPr="000E033B">
        <w:rPr>
          <w:rFonts w:ascii="Times New Roman" w:hAnsi="Times New Roman"/>
          <w:sz w:val="24"/>
        </w:rPr>
        <w:t xml:space="preserve">322 </w:t>
      </w:r>
      <w:r w:rsidR="00691C9E" w:rsidRPr="000E033B">
        <w:rPr>
          <w:rFonts w:ascii="Times New Roman" w:hAnsi="Times New Roman"/>
          <w:sz w:val="24"/>
        </w:rPr>
        <w:t>[</w:t>
      </w:r>
      <w:r w:rsidR="005309D5" w:rsidRPr="000E033B">
        <w:rPr>
          <w:rFonts w:ascii="Times New Roman" w:hAnsi="Times New Roman"/>
          <w:sz w:val="24"/>
        </w:rPr>
        <w:t>77]</w:t>
      </w:r>
      <w:r w:rsidR="006448A0" w:rsidRPr="000E033B">
        <w:rPr>
          <w:rFonts w:ascii="Times New Roman" w:hAnsi="Times New Roman"/>
          <w:sz w:val="24"/>
        </w:rPr>
        <w:t>.</w:t>
      </w:r>
    </w:p>
  </w:footnote>
  <w:footnote w:id="31">
    <w:p w14:paraId="6E929D44" w14:textId="42BD06A4" w:rsidR="006448A0" w:rsidRPr="000E033B" w:rsidRDefault="006448A0"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r>
      <w:r w:rsidRPr="000E033B">
        <w:rPr>
          <w:rFonts w:ascii="Times New Roman" w:hAnsi="Times New Roman"/>
          <w:i/>
          <w:iCs/>
          <w:sz w:val="24"/>
        </w:rPr>
        <w:t xml:space="preserve">Republic of India v CCDM Holdings LLC </w:t>
      </w:r>
      <w:r w:rsidRPr="000E033B">
        <w:rPr>
          <w:rFonts w:ascii="Times New Roman" w:hAnsi="Times New Roman"/>
          <w:sz w:val="24"/>
        </w:rPr>
        <w:t>(2025) 307 FCR 308</w:t>
      </w:r>
      <w:r w:rsidRPr="000E033B" w:rsidDel="00A52333">
        <w:rPr>
          <w:rFonts w:ascii="Times New Roman" w:hAnsi="Times New Roman"/>
          <w:sz w:val="24"/>
        </w:rPr>
        <w:t xml:space="preserve"> </w:t>
      </w:r>
      <w:r w:rsidRPr="000E033B">
        <w:rPr>
          <w:rFonts w:ascii="Times New Roman" w:hAnsi="Times New Roman"/>
          <w:sz w:val="24"/>
        </w:rPr>
        <w:t xml:space="preserve">at </w:t>
      </w:r>
      <w:r w:rsidR="008839CE" w:rsidRPr="000E033B">
        <w:rPr>
          <w:rFonts w:ascii="Times New Roman" w:hAnsi="Times New Roman"/>
          <w:sz w:val="24"/>
        </w:rPr>
        <w:t xml:space="preserve">323 </w:t>
      </w:r>
      <w:r w:rsidR="005309D5" w:rsidRPr="000E033B">
        <w:rPr>
          <w:rFonts w:ascii="Times New Roman" w:hAnsi="Times New Roman"/>
          <w:sz w:val="24"/>
        </w:rPr>
        <w:t>[</w:t>
      </w:r>
      <w:r w:rsidR="00C47E21" w:rsidRPr="000E033B">
        <w:rPr>
          <w:rFonts w:ascii="Times New Roman" w:hAnsi="Times New Roman"/>
          <w:sz w:val="24"/>
        </w:rPr>
        <w:t>82]-[83]</w:t>
      </w:r>
      <w:r w:rsidRPr="000E033B">
        <w:rPr>
          <w:rFonts w:ascii="Times New Roman" w:hAnsi="Times New Roman"/>
          <w:sz w:val="24"/>
        </w:rPr>
        <w:t>.</w:t>
      </w:r>
    </w:p>
  </w:footnote>
  <w:footnote w:id="32">
    <w:p w14:paraId="580CAB56" w14:textId="22970578" w:rsidR="00F977DE" w:rsidRPr="000E033B" w:rsidRDefault="00F977DE"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r>
      <w:r w:rsidRPr="000E033B">
        <w:rPr>
          <w:rFonts w:ascii="Times New Roman" w:hAnsi="Times New Roman"/>
          <w:i/>
          <w:iCs/>
          <w:sz w:val="24"/>
        </w:rPr>
        <w:t>Jurisdictional Immunities of the State (Germany v Italy: Greece intervening)</w:t>
      </w:r>
      <w:r w:rsidRPr="000E033B">
        <w:rPr>
          <w:rFonts w:ascii="Times New Roman" w:hAnsi="Times New Roman"/>
          <w:sz w:val="24"/>
        </w:rPr>
        <w:t xml:space="preserve"> [2012] ICJ Rep 99 at 123 [56]. </w:t>
      </w:r>
    </w:p>
  </w:footnote>
  <w:footnote w:id="33">
    <w:p w14:paraId="7915DA94" w14:textId="76F4521A" w:rsidR="00F977DE" w:rsidRPr="000E033B" w:rsidRDefault="00F977DE"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r>
      <w:r w:rsidRPr="000E033B">
        <w:rPr>
          <w:rFonts w:ascii="Times New Roman" w:hAnsi="Times New Roman"/>
          <w:i/>
          <w:iCs/>
          <w:sz w:val="24"/>
        </w:rPr>
        <w:t>Jurisdictional Immunities of the State (Germany v Italy: Greece intervening)</w:t>
      </w:r>
      <w:r w:rsidRPr="000E033B">
        <w:rPr>
          <w:rFonts w:ascii="Times New Roman" w:hAnsi="Times New Roman"/>
          <w:sz w:val="24"/>
        </w:rPr>
        <w:t xml:space="preserve"> [2012] ICJ Rep 99 at 123 [57]</w:t>
      </w:r>
      <w:r w:rsidR="006870AA" w:rsidRPr="000E033B">
        <w:rPr>
          <w:rFonts w:ascii="Times New Roman" w:hAnsi="Times New Roman"/>
          <w:sz w:val="24"/>
        </w:rPr>
        <w:t>,</w:t>
      </w:r>
      <w:r w:rsidRPr="000E033B">
        <w:rPr>
          <w:rFonts w:ascii="Times New Roman" w:hAnsi="Times New Roman"/>
          <w:sz w:val="24"/>
        </w:rPr>
        <w:t xml:space="preserve"> referring to Charter of the United Nations</w:t>
      </w:r>
      <w:r w:rsidR="00D70EFC" w:rsidRPr="000E033B">
        <w:rPr>
          <w:rFonts w:ascii="Times New Roman" w:hAnsi="Times New Roman"/>
          <w:i/>
          <w:iCs/>
          <w:sz w:val="24"/>
        </w:rPr>
        <w:t xml:space="preserve"> </w:t>
      </w:r>
      <w:r w:rsidR="00D70EFC" w:rsidRPr="000E033B">
        <w:rPr>
          <w:rFonts w:ascii="Times New Roman" w:hAnsi="Times New Roman"/>
          <w:sz w:val="24"/>
        </w:rPr>
        <w:t>(1945)</w:t>
      </w:r>
      <w:r w:rsidRPr="000E033B">
        <w:rPr>
          <w:rFonts w:ascii="Times New Roman" w:hAnsi="Times New Roman"/>
          <w:sz w:val="24"/>
        </w:rPr>
        <w:t>, Art 2</w:t>
      </w:r>
      <w:r w:rsidR="003F4A97" w:rsidRPr="000E033B">
        <w:rPr>
          <w:rFonts w:ascii="Times New Roman" w:hAnsi="Times New Roman"/>
          <w:sz w:val="24"/>
        </w:rPr>
        <w:t>(1)</w:t>
      </w:r>
      <w:r w:rsidRPr="000E033B">
        <w:rPr>
          <w:rFonts w:ascii="Times New Roman" w:hAnsi="Times New Roman"/>
          <w:sz w:val="24"/>
        </w:rPr>
        <w:t xml:space="preserve">. </w:t>
      </w:r>
    </w:p>
  </w:footnote>
  <w:footnote w:id="34">
    <w:p w14:paraId="566F65E3" w14:textId="520D46B5" w:rsidR="00F977DE" w:rsidRPr="000E033B" w:rsidRDefault="00F977DE"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t>(2023) 275 CLR 292 at 312 [26]</w:t>
      </w:r>
      <w:r w:rsidR="00CD6790" w:rsidRPr="000E033B">
        <w:rPr>
          <w:rFonts w:ascii="Times New Roman" w:hAnsi="Times New Roman"/>
          <w:sz w:val="24"/>
        </w:rPr>
        <w:t>,</w:t>
      </w:r>
      <w:r w:rsidRPr="000E033B">
        <w:rPr>
          <w:rFonts w:ascii="Times New Roman" w:hAnsi="Times New Roman"/>
          <w:sz w:val="24"/>
        </w:rPr>
        <w:t xml:space="preserve"> quoting </w:t>
      </w:r>
      <w:r w:rsidRPr="000E033B">
        <w:rPr>
          <w:rFonts w:ascii="Times New Roman" w:hAnsi="Times New Roman"/>
          <w:i/>
          <w:iCs/>
          <w:sz w:val="24"/>
        </w:rPr>
        <w:t>Li v Zhou</w:t>
      </w:r>
      <w:r w:rsidRPr="000E033B">
        <w:rPr>
          <w:rFonts w:ascii="Times New Roman" w:hAnsi="Times New Roman"/>
          <w:sz w:val="24"/>
        </w:rPr>
        <w:t xml:space="preserve"> (2014) 87 NSWLR 20 at 30 [37], </w:t>
      </w:r>
      <w:r w:rsidR="008F38C2" w:rsidRPr="000E033B">
        <w:rPr>
          <w:rFonts w:ascii="Times New Roman" w:hAnsi="Times New Roman"/>
          <w:sz w:val="24"/>
        </w:rPr>
        <w:t xml:space="preserve">in turn </w:t>
      </w:r>
      <w:r w:rsidRPr="000E033B">
        <w:rPr>
          <w:rFonts w:ascii="Times New Roman" w:hAnsi="Times New Roman"/>
          <w:sz w:val="24"/>
        </w:rPr>
        <w:t xml:space="preserve">referring to Charlesworth and Chinkin, </w:t>
      </w:r>
      <w:r w:rsidRPr="000E033B">
        <w:rPr>
          <w:rFonts w:ascii="Times New Roman" w:hAnsi="Times New Roman"/>
          <w:i/>
          <w:iCs/>
          <w:sz w:val="24"/>
        </w:rPr>
        <w:t>The Boundaries of International Law: A Feminist Analysis</w:t>
      </w:r>
      <w:r w:rsidRPr="000E033B">
        <w:rPr>
          <w:rFonts w:ascii="Times New Roman" w:hAnsi="Times New Roman"/>
          <w:sz w:val="24"/>
        </w:rPr>
        <w:t xml:space="preserve"> (2000) at 124, 145.</w:t>
      </w:r>
    </w:p>
  </w:footnote>
  <w:footnote w:id="35">
    <w:p w14:paraId="0AA494B4" w14:textId="77777777" w:rsidR="00F977DE" w:rsidRPr="000E033B" w:rsidRDefault="00F977DE"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t xml:space="preserve">See </w:t>
      </w:r>
      <w:r w:rsidRPr="000E033B">
        <w:rPr>
          <w:rFonts w:ascii="Times New Roman" w:hAnsi="Times New Roman"/>
          <w:i/>
          <w:iCs/>
          <w:sz w:val="24"/>
        </w:rPr>
        <w:t>Jurisdictional Immunities of the State (Germany v Italy: Greece intervening)</w:t>
      </w:r>
      <w:r w:rsidRPr="000E033B">
        <w:rPr>
          <w:rFonts w:ascii="Times New Roman" w:hAnsi="Times New Roman"/>
          <w:sz w:val="24"/>
        </w:rPr>
        <w:t xml:space="preserve"> [2012] ICJ Rep 99 at 124 [57].</w:t>
      </w:r>
    </w:p>
  </w:footnote>
  <w:footnote w:id="36">
    <w:p w14:paraId="66E96BB2" w14:textId="77777777" w:rsidR="00F977DE" w:rsidRPr="000E033B" w:rsidRDefault="00F977DE"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t xml:space="preserve">See Yang, </w:t>
      </w:r>
      <w:r w:rsidRPr="000E033B">
        <w:rPr>
          <w:rFonts w:ascii="Times New Roman" w:hAnsi="Times New Roman"/>
          <w:i/>
          <w:iCs/>
          <w:sz w:val="24"/>
        </w:rPr>
        <w:t xml:space="preserve">State Immunity in International Law </w:t>
      </w:r>
      <w:r w:rsidRPr="000E033B">
        <w:rPr>
          <w:rFonts w:ascii="Times New Roman" w:hAnsi="Times New Roman"/>
          <w:sz w:val="24"/>
        </w:rPr>
        <w:t xml:space="preserve">(2012) at 37. </w:t>
      </w:r>
    </w:p>
  </w:footnote>
  <w:footnote w:id="37">
    <w:p w14:paraId="23D56F3F" w14:textId="77777777" w:rsidR="00F977DE" w:rsidRPr="000E033B" w:rsidRDefault="00F977DE"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t>(1812) 11 US 116 at 137.</w:t>
      </w:r>
    </w:p>
  </w:footnote>
  <w:footnote w:id="38">
    <w:p w14:paraId="4E1986B9" w14:textId="1283CC57" w:rsidR="00F977DE" w:rsidRPr="000E033B" w:rsidRDefault="00F977DE"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r>
      <w:r w:rsidRPr="000E033B">
        <w:rPr>
          <w:rFonts w:ascii="Times New Roman" w:hAnsi="Times New Roman"/>
          <w:i/>
          <w:iCs/>
          <w:sz w:val="24"/>
        </w:rPr>
        <w:t>Kingdom of Spain v Infrastructure Services Luxembourg Sàrl</w:t>
      </w:r>
      <w:r w:rsidRPr="000E033B">
        <w:rPr>
          <w:rFonts w:ascii="Times New Roman" w:hAnsi="Times New Roman"/>
          <w:sz w:val="24"/>
        </w:rPr>
        <w:t xml:space="preserve"> (2023) 275 CLR 292 at 308-312 [19]-[26]</w:t>
      </w:r>
      <w:r w:rsidR="00ED7C8E" w:rsidRPr="000E033B">
        <w:rPr>
          <w:rFonts w:ascii="Times New Roman" w:hAnsi="Times New Roman"/>
          <w:sz w:val="24"/>
        </w:rPr>
        <w:t>, 313 [29]</w:t>
      </w:r>
      <w:r w:rsidRPr="000E033B">
        <w:rPr>
          <w:rFonts w:ascii="Times New Roman" w:hAnsi="Times New Roman"/>
          <w:sz w:val="24"/>
        </w:rPr>
        <w:t>.</w:t>
      </w:r>
    </w:p>
  </w:footnote>
  <w:footnote w:id="39">
    <w:p w14:paraId="40FC0704" w14:textId="59D870E3" w:rsidR="009A3C0C" w:rsidRPr="000E033B" w:rsidRDefault="009A3C0C"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t xml:space="preserve">Ross, "Pieter Sanders 1912-2012" </w:t>
      </w:r>
      <w:r w:rsidR="007C2FDE" w:rsidRPr="000E033B">
        <w:rPr>
          <w:rFonts w:ascii="Times New Roman" w:hAnsi="Times New Roman"/>
          <w:sz w:val="24"/>
        </w:rPr>
        <w:t xml:space="preserve">(2012) </w:t>
      </w:r>
      <w:r w:rsidR="0057105E" w:rsidRPr="000E033B">
        <w:rPr>
          <w:rFonts w:ascii="Times New Roman" w:hAnsi="Times New Roman"/>
          <w:sz w:val="24"/>
        </w:rPr>
        <w:t>7</w:t>
      </w:r>
      <w:r w:rsidR="00113099" w:rsidRPr="000E033B">
        <w:rPr>
          <w:rFonts w:ascii="Times New Roman" w:hAnsi="Times New Roman"/>
          <w:sz w:val="24"/>
        </w:rPr>
        <w:t>(5)</w:t>
      </w:r>
      <w:r w:rsidR="0057105E" w:rsidRPr="000E033B">
        <w:rPr>
          <w:rFonts w:ascii="Times New Roman" w:hAnsi="Times New Roman"/>
          <w:sz w:val="24"/>
        </w:rPr>
        <w:t xml:space="preserve"> </w:t>
      </w:r>
      <w:r w:rsidR="0057105E" w:rsidRPr="000E033B">
        <w:rPr>
          <w:rFonts w:ascii="Times New Roman" w:hAnsi="Times New Roman"/>
          <w:i/>
          <w:iCs/>
          <w:sz w:val="24"/>
        </w:rPr>
        <w:t xml:space="preserve">Global Arbitration Review </w:t>
      </w:r>
      <w:r w:rsidR="0057105E" w:rsidRPr="000E033B">
        <w:rPr>
          <w:rFonts w:ascii="Times New Roman" w:hAnsi="Times New Roman"/>
          <w:sz w:val="24"/>
        </w:rPr>
        <w:t>13</w:t>
      </w:r>
      <w:r w:rsidRPr="000E033B">
        <w:rPr>
          <w:rFonts w:ascii="Times New Roman" w:hAnsi="Times New Roman"/>
          <w:sz w:val="24"/>
        </w:rPr>
        <w:t>.</w:t>
      </w:r>
    </w:p>
  </w:footnote>
  <w:footnote w:id="40">
    <w:p w14:paraId="1FA5E951" w14:textId="77777777" w:rsidR="009A3C0C" w:rsidRPr="000E033B" w:rsidRDefault="009A3C0C"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t xml:space="preserve">Sanders, "The New York Convention", in Union Internationale des Avocats (ed), </w:t>
      </w:r>
      <w:r w:rsidRPr="000E033B">
        <w:rPr>
          <w:rFonts w:ascii="Times New Roman" w:hAnsi="Times New Roman"/>
          <w:i/>
          <w:iCs/>
          <w:sz w:val="24"/>
        </w:rPr>
        <w:t xml:space="preserve">International Commercial Arbitration </w:t>
      </w:r>
      <w:r w:rsidRPr="000E033B">
        <w:rPr>
          <w:rFonts w:ascii="Times New Roman" w:hAnsi="Times New Roman"/>
          <w:sz w:val="24"/>
        </w:rPr>
        <w:t>(1960)</w:t>
      </w:r>
      <w:r w:rsidRPr="000E033B">
        <w:rPr>
          <w:rFonts w:ascii="Times New Roman" w:hAnsi="Times New Roman"/>
          <w:i/>
          <w:iCs/>
          <w:sz w:val="24"/>
        </w:rPr>
        <w:t xml:space="preserve"> </w:t>
      </w:r>
      <w:r w:rsidRPr="000E033B">
        <w:rPr>
          <w:rFonts w:ascii="Times New Roman" w:hAnsi="Times New Roman"/>
          <w:sz w:val="24"/>
        </w:rPr>
        <w:t>292 at 327.</w:t>
      </w:r>
    </w:p>
  </w:footnote>
  <w:footnote w:id="41">
    <w:p w14:paraId="3AF47921" w14:textId="77777777" w:rsidR="009A3C0C" w:rsidRPr="000E033B" w:rsidRDefault="009A3C0C"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t xml:space="preserve">Bjorklund, "Sovereign Immunity as a Barrier to the Enforcement of Investor-State Arbitral Awards: The Re-Politization of International Investment Disputes" (2010) 21 </w:t>
      </w:r>
      <w:r w:rsidRPr="000E033B">
        <w:rPr>
          <w:rFonts w:ascii="Times New Roman" w:hAnsi="Times New Roman"/>
          <w:i/>
          <w:iCs/>
          <w:sz w:val="24"/>
        </w:rPr>
        <w:t xml:space="preserve">American Review of International Arbitration </w:t>
      </w:r>
      <w:r w:rsidRPr="000E033B">
        <w:rPr>
          <w:rFonts w:ascii="Times New Roman" w:hAnsi="Times New Roman"/>
          <w:sz w:val="24"/>
        </w:rPr>
        <w:t xml:space="preserve">211 at 219, referring, inter alia, to Fox, "State Immunity and the New York Convention", in Gaillard and Di Pietro (eds), </w:t>
      </w:r>
      <w:r w:rsidRPr="000E033B">
        <w:rPr>
          <w:rFonts w:ascii="Times New Roman" w:hAnsi="Times New Roman"/>
          <w:i/>
          <w:iCs/>
          <w:sz w:val="24"/>
        </w:rPr>
        <w:t>Enforcement of Arbitration Agreements and International Arbitral Awards: The New York Convention in Practice</w:t>
      </w:r>
      <w:r w:rsidRPr="000E033B">
        <w:rPr>
          <w:rFonts w:ascii="Times New Roman" w:hAnsi="Times New Roman"/>
          <w:sz w:val="24"/>
        </w:rPr>
        <w:t xml:space="preserve"> (2008) 829 at 830-831.</w:t>
      </w:r>
    </w:p>
  </w:footnote>
  <w:footnote w:id="42">
    <w:p w14:paraId="52028946" w14:textId="77777777" w:rsidR="00DA59B9" w:rsidRPr="000E033B" w:rsidRDefault="00DA59B9"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t xml:space="preserve">Protocol on Arbitration Clauses (1923) 27 LNTS 157; Convention on the Execution of Foreign Arbitral Awards (1927) 92 LNTS 301. </w:t>
      </w:r>
    </w:p>
  </w:footnote>
  <w:footnote w:id="43">
    <w:p w14:paraId="0BABB831" w14:textId="49A242FA" w:rsidR="00F33ACC" w:rsidRPr="000E033B" w:rsidRDefault="00F33ACC"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t xml:space="preserve">United Nations Economic and Social Council, </w:t>
      </w:r>
      <w:r w:rsidRPr="000E033B">
        <w:rPr>
          <w:rFonts w:ascii="Times New Roman" w:hAnsi="Times New Roman"/>
          <w:i/>
          <w:iCs/>
          <w:sz w:val="24"/>
        </w:rPr>
        <w:t>Report of the Committee on the Enforcement of International Arbitral Awards</w:t>
      </w:r>
      <w:r w:rsidRPr="000E033B">
        <w:rPr>
          <w:rFonts w:ascii="Times New Roman" w:hAnsi="Times New Roman"/>
          <w:sz w:val="24"/>
        </w:rPr>
        <w:t>,</w:t>
      </w:r>
      <w:r w:rsidRPr="000E033B">
        <w:rPr>
          <w:rFonts w:ascii="Times New Roman" w:hAnsi="Times New Roman"/>
          <w:i/>
          <w:iCs/>
          <w:sz w:val="24"/>
        </w:rPr>
        <w:t xml:space="preserve"> </w:t>
      </w:r>
      <w:r w:rsidRPr="000E033B">
        <w:rPr>
          <w:rFonts w:ascii="Times New Roman" w:hAnsi="Times New Roman"/>
          <w:sz w:val="24"/>
        </w:rPr>
        <w:t>UN Doc E/2704 (1955) at 5</w:t>
      </w:r>
      <w:r w:rsidR="00B528FB" w:rsidRPr="000E033B">
        <w:rPr>
          <w:rFonts w:ascii="Times New Roman" w:hAnsi="Times New Roman"/>
          <w:sz w:val="24"/>
        </w:rPr>
        <w:t xml:space="preserve"> [14].</w:t>
      </w:r>
    </w:p>
  </w:footnote>
  <w:footnote w:id="44">
    <w:p w14:paraId="79451260" w14:textId="670B2649" w:rsidR="000372B4" w:rsidRPr="000E033B" w:rsidRDefault="000372B4"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t xml:space="preserve">Gaillard and Bermann (eds), </w:t>
      </w:r>
      <w:r w:rsidR="00C40383" w:rsidRPr="000E033B">
        <w:rPr>
          <w:rFonts w:ascii="Times New Roman" w:hAnsi="Times New Roman"/>
          <w:i/>
          <w:sz w:val="24"/>
        </w:rPr>
        <w:t>UNCITRAL Secretariat</w:t>
      </w:r>
      <w:r w:rsidR="00C40383" w:rsidRPr="000E033B">
        <w:rPr>
          <w:rFonts w:ascii="Times New Roman" w:hAnsi="Times New Roman"/>
          <w:i/>
          <w:iCs/>
          <w:sz w:val="24"/>
        </w:rPr>
        <w:t xml:space="preserve"> </w:t>
      </w:r>
      <w:r w:rsidRPr="000E033B">
        <w:rPr>
          <w:rFonts w:ascii="Times New Roman" w:hAnsi="Times New Roman"/>
          <w:i/>
          <w:iCs/>
          <w:sz w:val="24"/>
        </w:rPr>
        <w:t>Guide on the Convention on the Recognition and Enforcement of Foreign Arbitral Awards</w:t>
      </w:r>
      <w:r w:rsidR="00D0706E" w:rsidRPr="000E033B">
        <w:rPr>
          <w:rFonts w:ascii="Times New Roman" w:hAnsi="Times New Roman"/>
          <w:i/>
          <w:iCs/>
          <w:sz w:val="24"/>
        </w:rPr>
        <w:t xml:space="preserve">: </w:t>
      </w:r>
      <w:r w:rsidR="000742F5" w:rsidRPr="000E033B">
        <w:rPr>
          <w:rFonts w:ascii="Times New Roman" w:hAnsi="Times New Roman"/>
          <w:i/>
          <w:iCs/>
          <w:sz w:val="24"/>
        </w:rPr>
        <w:t xml:space="preserve">New York, 1958 </w:t>
      </w:r>
      <w:r w:rsidRPr="000E033B">
        <w:rPr>
          <w:rFonts w:ascii="Times New Roman" w:hAnsi="Times New Roman"/>
          <w:sz w:val="24"/>
        </w:rPr>
        <w:t>(</w:t>
      </w:r>
      <w:r w:rsidR="00401D83" w:rsidRPr="000E033B">
        <w:rPr>
          <w:rFonts w:ascii="Times New Roman" w:hAnsi="Times New Roman"/>
          <w:sz w:val="24"/>
        </w:rPr>
        <w:t>201</w:t>
      </w:r>
      <w:r w:rsidR="007A2C70" w:rsidRPr="000E033B">
        <w:rPr>
          <w:rFonts w:ascii="Times New Roman" w:hAnsi="Times New Roman"/>
          <w:sz w:val="24"/>
        </w:rPr>
        <w:t>7</w:t>
      </w:r>
      <w:r w:rsidRPr="000E033B">
        <w:rPr>
          <w:rFonts w:ascii="Times New Roman" w:hAnsi="Times New Roman"/>
          <w:sz w:val="24"/>
        </w:rPr>
        <w:t xml:space="preserve">) at </w:t>
      </w:r>
      <w:r w:rsidR="007A2C70" w:rsidRPr="000E033B">
        <w:rPr>
          <w:rFonts w:ascii="Times New Roman" w:hAnsi="Times New Roman"/>
          <w:sz w:val="24"/>
        </w:rPr>
        <w:t>96</w:t>
      </w:r>
      <w:r w:rsidR="00DD3D33" w:rsidRPr="000E033B">
        <w:rPr>
          <w:rFonts w:ascii="Times New Roman" w:hAnsi="Times New Roman"/>
          <w:sz w:val="24"/>
        </w:rPr>
        <w:t>-97</w:t>
      </w:r>
      <w:r w:rsidRPr="000E033B">
        <w:rPr>
          <w:rFonts w:ascii="Times New Roman" w:hAnsi="Times New Roman"/>
          <w:sz w:val="24"/>
        </w:rPr>
        <w:t xml:space="preserve"> [30].</w:t>
      </w:r>
    </w:p>
  </w:footnote>
  <w:footnote w:id="45">
    <w:p w14:paraId="69DEE582" w14:textId="0B22512C" w:rsidR="000372B4" w:rsidRPr="000E033B" w:rsidRDefault="000372B4"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r>
      <w:r w:rsidRPr="000E033B">
        <w:rPr>
          <w:rFonts w:ascii="Times New Roman" w:hAnsi="Times New Roman"/>
          <w:i/>
          <w:iCs/>
          <w:sz w:val="24"/>
        </w:rPr>
        <w:t xml:space="preserve">Case Concerning the Arrest Warrant of 11 April 2000 (Democratic Republic of the Congo v Belgium) </w:t>
      </w:r>
      <w:r w:rsidRPr="000E033B">
        <w:rPr>
          <w:rFonts w:ascii="Times New Roman" w:hAnsi="Times New Roman"/>
          <w:sz w:val="24"/>
        </w:rPr>
        <w:t xml:space="preserve">[2002] ICJ Rep 3 at 25 [60]; </w:t>
      </w:r>
      <w:r w:rsidRPr="000E033B">
        <w:rPr>
          <w:rFonts w:ascii="Times New Roman" w:hAnsi="Times New Roman"/>
          <w:i/>
          <w:iCs/>
          <w:sz w:val="24"/>
        </w:rPr>
        <w:t xml:space="preserve">Jurisdictional Immunities of the State (Germany v Italy: Greece intervening) </w:t>
      </w:r>
      <w:r w:rsidRPr="000E033B">
        <w:rPr>
          <w:rFonts w:ascii="Times New Roman" w:hAnsi="Times New Roman"/>
          <w:sz w:val="24"/>
        </w:rPr>
        <w:t>[2012] ICJ Rep 99 at 124 [</w:t>
      </w:r>
      <w:r w:rsidR="009E42F5" w:rsidRPr="000E033B">
        <w:rPr>
          <w:rFonts w:ascii="Times New Roman" w:hAnsi="Times New Roman"/>
          <w:sz w:val="24"/>
        </w:rPr>
        <w:t>58</w:t>
      </w:r>
      <w:r w:rsidRPr="000E033B">
        <w:rPr>
          <w:rFonts w:ascii="Times New Roman" w:hAnsi="Times New Roman"/>
          <w:sz w:val="24"/>
        </w:rPr>
        <w:t>]</w:t>
      </w:r>
      <w:r w:rsidR="001D5772" w:rsidRPr="000E033B">
        <w:rPr>
          <w:rFonts w:ascii="Times New Roman" w:hAnsi="Times New Roman"/>
          <w:sz w:val="24"/>
        </w:rPr>
        <w:t>, 140 [9</w:t>
      </w:r>
      <w:r w:rsidR="007D0BA6" w:rsidRPr="000E033B">
        <w:rPr>
          <w:rFonts w:ascii="Times New Roman" w:hAnsi="Times New Roman"/>
          <w:sz w:val="24"/>
        </w:rPr>
        <w:t>3</w:t>
      </w:r>
      <w:r w:rsidR="001D5772" w:rsidRPr="000E033B">
        <w:rPr>
          <w:rFonts w:ascii="Times New Roman" w:hAnsi="Times New Roman"/>
          <w:sz w:val="24"/>
        </w:rPr>
        <w:t>]</w:t>
      </w:r>
      <w:r w:rsidRPr="000E033B">
        <w:rPr>
          <w:rFonts w:ascii="Times New Roman" w:hAnsi="Times New Roman"/>
          <w:sz w:val="24"/>
        </w:rPr>
        <w:t>.</w:t>
      </w:r>
    </w:p>
  </w:footnote>
  <w:footnote w:id="46">
    <w:p w14:paraId="27179727" w14:textId="446D4968" w:rsidR="000372B4" w:rsidRPr="000E033B" w:rsidRDefault="000372B4"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r>
      <w:r w:rsidR="00384791" w:rsidRPr="000E033B">
        <w:rPr>
          <w:rFonts w:ascii="Times New Roman" w:hAnsi="Times New Roman"/>
          <w:sz w:val="24"/>
        </w:rPr>
        <w:t xml:space="preserve">American Law Institute, </w:t>
      </w:r>
      <w:r w:rsidR="00D42143" w:rsidRPr="000E033B">
        <w:rPr>
          <w:rFonts w:ascii="Times New Roman" w:hAnsi="Times New Roman"/>
          <w:i/>
          <w:iCs/>
          <w:sz w:val="24"/>
        </w:rPr>
        <w:t xml:space="preserve">Restatement of the </w:t>
      </w:r>
      <w:r w:rsidR="00CD0953" w:rsidRPr="000E033B">
        <w:rPr>
          <w:rFonts w:ascii="Times New Roman" w:hAnsi="Times New Roman"/>
          <w:i/>
          <w:iCs/>
          <w:sz w:val="24"/>
        </w:rPr>
        <w:t xml:space="preserve">US Law of International Commercial and Investor-State Arbitration </w:t>
      </w:r>
      <w:r w:rsidR="00CD0953" w:rsidRPr="000E033B">
        <w:rPr>
          <w:rFonts w:ascii="Times New Roman" w:hAnsi="Times New Roman"/>
          <w:sz w:val="24"/>
        </w:rPr>
        <w:t>(2023)</w:t>
      </w:r>
      <w:r w:rsidRPr="000E033B">
        <w:rPr>
          <w:rFonts w:ascii="Times New Roman" w:hAnsi="Times New Roman"/>
          <w:sz w:val="24"/>
        </w:rPr>
        <w:t>.</w:t>
      </w:r>
    </w:p>
  </w:footnote>
  <w:footnote w:id="47">
    <w:p w14:paraId="4F0E6E5C" w14:textId="17D561BE" w:rsidR="000372B4" w:rsidRPr="000E033B" w:rsidRDefault="000372B4"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t>Bermann</w:t>
      </w:r>
      <w:r w:rsidR="002D787D" w:rsidRPr="000E033B">
        <w:rPr>
          <w:rFonts w:ascii="Times New Roman" w:hAnsi="Times New Roman"/>
          <w:sz w:val="24"/>
        </w:rPr>
        <w:t>,</w:t>
      </w:r>
      <w:r w:rsidRPr="000E033B">
        <w:rPr>
          <w:rFonts w:ascii="Times New Roman" w:hAnsi="Times New Roman"/>
          <w:sz w:val="24"/>
        </w:rPr>
        <w:t xml:space="preserve"> "Procedures for the Enforcement of New York Convention Awards"</w:t>
      </w:r>
      <w:r w:rsidR="00B64E37" w:rsidRPr="000E033B">
        <w:rPr>
          <w:rFonts w:ascii="Times New Roman" w:hAnsi="Times New Roman"/>
          <w:sz w:val="24"/>
        </w:rPr>
        <w:t>,</w:t>
      </w:r>
      <w:r w:rsidRPr="000E033B">
        <w:rPr>
          <w:rFonts w:ascii="Times New Roman" w:hAnsi="Times New Roman"/>
          <w:sz w:val="24"/>
        </w:rPr>
        <w:t xml:space="preserve"> in Ferrari and Rosenfeld (eds), </w:t>
      </w:r>
      <w:r w:rsidRPr="000E033B">
        <w:rPr>
          <w:rFonts w:ascii="Times New Roman" w:hAnsi="Times New Roman"/>
          <w:i/>
          <w:iCs/>
          <w:sz w:val="24"/>
        </w:rPr>
        <w:t>Autonomous Versus Domestic Concepts under the New York Convention</w:t>
      </w:r>
      <w:r w:rsidRPr="000E033B">
        <w:rPr>
          <w:rFonts w:ascii="Times New Roman" w:hAnsi="Times New Roman"/>
          <w:sz w:val="24"/>
        </w:rPr>
        <w:t xml:space="preserve"> (2021) 55 at 74. </w:t>
      </w:r>
    </w:p>
  </w:footnote>
  <w:footnote w:id="48">
    <w:p w14:paraId="77ACAC4A" w14:textId="4DA0B67A" w:rsidR="000372B4" w:rsidRPr="000E033B" w:rsidRDefault="000372B4"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t xml:space="preserve">Bjorklund, "Sovereign Immunity as a </w:t>
      </w:r>
      <w:r w:rsidR="002C75AA" w:rsidRPr="000E033B">
        <w:rPr>
          <w:rFonts w:ascii="Times New Roman" w:hAnsi="Times New Roman"/>
          <w:sz w:val="24"/>
        </w:rPr>
        <w:t>B</w:t>
      </w:r>
      <w:r w:rsidRPr="000E033B">
        <w:rPr>
          <w:rFonts w:ascii="Times New Roman" w:hAnsi="Times New Roman"/>
          <w:sz w:val="24"/>
        </w:rPr>
        <w:t xml:space="preserve">arrier to the </w:t>
      </w:r>
      <w:r w:rsidR="006A6B3F" w:rsidRPr="000E033B">
        <w:rPr>
          <w:rFonts w:ascii="Times New Roman" w:hAnsi="Times New Roman"/>
          <w:sz w:val="24"/>
        </w:rPr>
        <w:t>E</w:t>
      </w:r>
      <w:r w:rsidRPr="000E033B">
        <w:rPr>
          <w:rFonts w:ascii="Times New Roman" w:hAnsi="Times New Roman"/>
          <w:sz w:val="24"/>
        </w:rPr>
        <w:t xml:space="preserve">nforcement of Investor-State Arbitral Awards: The Re-Politization of International Investment Disputes" (2010) 21 </w:t>
      </w:r>
      <w:r w:rsidRPr="000E033B">
        <w:rPr>
          <w:rFonts w:ascii="Times New Roman" w:hAnsi="Times New Roman"/>
          <w:i/>
          <w:iCs/>
          <w:sz w:val="24"/>
        </w:rPr>
        <w:t xml:space="preserve">American Review of International Arbitration </w:t>
      </w:r>
      <w:r w:rsidRPr="000E033B">
        <w:rPr>
          <w:rFonts w:ascii="Times New Roman" w:hAnsi="Times New Roman"/>
          <w:sz w:val="24"/>
        </w:rPr>
        <w:t>211 at 219</w:t>
      </w:r>
      <w:r w:rsidR="003554B6" w:rsidRPr="000E033B">
        <w:rPr>
          <w:rFonts w:ascii="Times New Roman" w:hAnsi="Times New Roman"/>
          <w:sz w:val="24"/>
        </w:rPr>
        <w:t>; Olmedo</w:t>
      </w:r>
      <w:r w:rsidR="00E33428" w:rsidRPr="000E033B">
        <w:rPr>
          <w:rFonts w:ascii="Times New Roman" w:hAnsi="Times New Roman"/>
          <w:sz w:val="24"/>
        </w:rPr>
        <w:t>, "Immu</w:t>
      </w:r>
      <w:r w:rsidR="00144CDE" w:rsidRPr="000E033B">
        <w:rPr>
          <w:rFonts w:ascii="Times New Roman" w:hAnsi="Times New Roman"/>
          <w:sz w:val="24"/>
        </w:rPr>
        <w:t>nity Defences</w:t>
      </w:r>
      <w:r w:rsidR="00705543" w:rsidRPr="000E033B">
        <w:rPr>
          <w:rFonts w:ascii="Times New Roman" w:hAnsi="Times New Roman"/>
          <w:sz w:val="24"/>
        </w:rPr>
        <w:t xml:space="preserve"> and the Enforcement of Awards in Investor-State Disputes"</w:t>
      </w:r>
      <w:r w:rsidR="007D7870" w:rsidRPr="000E033B">
        <w:rPr>
          <w:rFonts w:ascii="Times New Roman" w:hAnsi="Times New Roman"/>
          <w:sz w:val="24"/>
        </w:rPr>
        <w:t>, in Gore</w:t>
      </w:r>
      <w:r w:rsidR="004757CE" w:rsidRPr="000E033B">
        <w:rPr>
          <w:rFonts w:ascii="Times New Roman" w:hAnsi="Times New Roman"/>
          <w:sz w:val="24"/>
        </w:rPr>
        <w:t xml:space="preserve"> et al</w:t>
      </w:r>
      <w:r w:rsidR="00397DFF" w:rsidRPr="000E033B">
        <w:rPr>
          <w:rFonts w:ascii="Times New Roman" w:hAnsi="Times New Roman"/>
          <w:sz w:val="24"/>
        </w:rPr>
        <w:t xml:space="preserve"> (eds)</w:t>
      </w:r>
      <w:r w:rsidR="004757CE" w:rsidRPr="000E033B">
        <w:rPr>
          <w:rFonts w:ascii="Times New Roman" w:hAnsi="Times New Roman"/>
          <w:sz w:val="24"/>
        </w:rPr>
        <w:t xml:space="preserve">, </w:t>
      </w:r>
      <w:r w:rsidR="004331C4" w:rsidRPr="000E033B">
        <w:rPr>
          <w:rFonts w:ascii="Times New Roman" w:hAnsi="Times New Roman"/>
          <w:i/>
          <w:iCs/>
          <w:sz w:val="24"/>
        </w:rPr>
        <w:t>International Investment Law and Investor-State Disputes in Central Asia: Emerging Issues</w:t>
      </w:r>
      <w:r w:rsidR="000067AC" w:rsidRPr="000E033B">
        <w:rPr>
          <w:rFonts w:ascii="Times New Roman" w:hAnsi="Times New Roman"/>
          <w:sz w:val="24"/>
        </w:rPr>
        <w:t xml:space="preserve"> (2022) 333 at 341</w:t>
      </w:r>
      <w:r w:rsidRPr="000E033B">
        <w:rPr>
          <w:rFonts w:ascii="Times New Roman" w:hAnsi="Times New Roman"/>
          <w:sz w:val="24"/>
        </w:rPr>
        <w:t>.</w:t>
      </w:r>
      <w:r w:rsidR="0057003B" w:rsidRPr="000E033B">
        <w:rPr>
          <w:rFonts w:ascii="Times New Roman" w:hAnsi="Times New Roman"/>
          <w:sz w:val="24"/>
        </w:rPr>
        <w:t xml:space="preserve"> See also Crawford, "A Foreign State Immunities Act for Australia?"</w:t>
      </w:r>
      <w:r w:rsidR="0057003B" w:rsidRPr="000E033B">
        <w:rPr>
          <w:rFonts w:ascii="Times New Roman" w:hAnsi="Times New Roman"/>
          <w:i/>
          <w:iCs/>
          <w:sz w:val="24"/>
        </w:rPr>
        <w:t xml:space="preserve"> </w:t>
      </w:r>
      <w:r w:rsidR="0057003B" w:rsidRPr="000E033B">
        <w:rPr>
          <w:rFonts w:ascii="Times New Roman" w:hAnsi="Times New Roman"/>
          <w:sz w:val="24"/>
        </w:rPr>
        <w:t>(</w:t>
      </w:r>
      <w:r w:rsidR="00D046C6" w:rsidRPr="000E033B">
        <w:rPr>
          <w:rFonts w:ascii="Times New Roman" w:hAnsi="Times New Roman"/>
          <w:sz w:val="24"/>
        </w:rPr>
        <w:t>1978</w:t>
      </w:r>
      <w:r w:rsidR="00D10520" w:rsidRPr="000E033B">
        <w:rPr>
          <w:rFonts w:ascii="Times New Roman" w:hAnsi="Times New Roman"/>
          <w:sz w:val="24"/>
        </w:rPr>
        <w:t>-</w:t>
      </w:r>
      <w:r w:rsidR="0057003B" w:rsidRPr="000E033B">
        <w:rPr>
          <w:rFonts w:ascii="Times New Roman" w:hAnsi="Times New Roman"/>
          <w:sz w:val="24"/>
        </w:rPr>
        <w:t xml:space="preserve">1980) 8 </w:t>
      </w:r>
      <w:r w:rsidR="0057003B" w:rsidRPr="000E033B">
        <w:rPr>
          <w:rFonts w:ascii="Times New Roman" w:hAnsi="Times New Roman"/>
          <w:i/>
          <w:iCs/>
          <w:sz w:val="24"/>
        </w:rPr>
        <w:t xml:space="preserve">Australian Year Book of International Law </w:t>
      </w:r>
      <w:r w:rsidR="0057003B" w:rsidRPr="000E033B">
        <w:rPr>
          <w:rFonts w:ascii="Times New Roman" w:hAnsi="Times New Roman"/>
          <w:sz w:val="24"/>
        </w:rPr>
        <w:t>71 at 102</w:t>
      </w:r>
      <w:r w:rsidR="00DE04E3" w:rsidRPr="000E033B">
        <w:rPr>
          <w:rFonts w:ascii="Times New Roman" w:hAnsi="Times New Roman"/>
          <w:sz w:val="24"/>
        </w:rPr>
        <w:t>,</w:t>
      </w:r>
      <w:r w:rsidR="0057003B" w:rsidRPr="000E033B">
        <w:rPr>
          <w:rFonts w:ascii="Times New Roman" w:hAnsi="Times New Roman"/>
          <w:sz w:val="24"/>
        </w:rPr>
        <w:t xml:space="preserve"> fn 42.</w:t>
      </w:r>
    </w:p>
  </w:footnote>
  <w:footnote w:id="49">
    <w:p w14:paraId="2955178C" w14:textId="645B2485" w:rsidR="005A424C" w:rsidRPr="000E033B" w:rsidRDefault="005A424C"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r>
      <w:r w:rsidRPr="000E033B">
        <w:rPr>
          <w:rFonts w:ascii="Times New Roman" w:hAnsi="Times New Roman"/>
          <w:i/>
          <w:iCs/>
          <w:sz w:val="24"/>
        </w:rPr>
        <w:t xml:space="preserve">CC/Devas (Mauritius) Ltd v Republic of India </w:t>
      </w:r>
      <w:r w:rsidRPr="000E033B">
        <w:rPr>
          <w:rFonts w:ascii="Times New Roman" w:hAnsi="Times New Roman"/>
          <w:sz w:val="24"/>
        </w:rPr>
        <w:t>[2025]</w:t>
      </w:r>
      <w:r w:rsidR="00D147E2" w:rsidRPr="000E033B">
        <w:rPr>
          <w:rFonts w:ascii="Times New Roman" w:hAnsi="Times New Roman"/>
          <w:sz w:val="24"/>
        </w:rPr>
        <w:t xml:space="preserve"> 1 WLR</w:t>
      </w:r>
      <w:r w:rsidR="008004A7" w:rsidRPr="000E033B">
        <w:rPr>
          <w:rFonts w:ascii="Times New Roman" w:hAnsi="Times New Roman"/>
          <w:sz w:val="24"/>
        </w:rPr>
        <w:t xml:space="preserve"> 4287</w:t>
      </w:r>
      <w:r w:rsidRPr="000E033B">
        <w:rPr>
          <w:rFonts w:ascii="Times New Roman" w:hAnsi="Times New Roman"/>
          <w:sz w:val="24"/>
        </w:rPr>
        <w:t xml:space="preserve"> at </w:t>
      </w:r>
      <w:r w:rsidR="008004A7" w:rsidRPr="000E033B">
        <w:rPr>
          <w:rFonts w:ascii="Times New Roman" w:hAnsi="Times New Roman"/>
          <w:sz w:val="24"/>
        </w:rPr>
        <w:t xml:space="preserve">4303 </w:t>
      </w:r>
      <w:r w:rsidRPr="000E033B">
        <w:rPr>
          <w:rFonts w:ascii="Times New Roman" w:hAnsi="Times New Roman"/>
          <w:sz w:val="24"/>
        </w:rPr>
        <w:t xml:space="preserve">[55]. </w:t>
      </w:r>
    </w:p>
  </w:footnote>
  <w:footnote w:id="50">
    <w:p w14:paraId="40751CF7" w14:textId="5426A5A1" w:rsidR="005A424C" w:rsidRPr="000E033B" w:rsidRDefault="005A424C"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r>
      <w:r w:rsidRPr="000E033B">
        <w:rPr>
          <w:rFonts w:ascii="Times New Roman" w:hAnsi="Times New Roman"/>
          <w:i/>
          <w:iCs/>
          <w:sz w:val="24"/>
        </w:rPr>
        <w:t xml:space="preserve">CC/Devas (Mauritius) Ltd v Republic of India </w:t>
      </w:r>
      <w:r w:rsidRPr="000E033B">
        <w:rPr>
          <w:rFonts w:ascii="Times New Roman" w:hAnsi="Times New Roman"/>
          <w:sz w:val="24"/>
        </w:rPr>
        <w:t>[2025]</w:t>
      </w:r>
      <w:r w:rsidR="00C67918" w:rsidRPr="000E033B">
        <w:rPr>
          <w:rFonts w:ascii="Times New Roman" w:hAnsi="Times New Roman"/>
          <w:sz w:val="24"/>
        </w:rPr>
        <w:t xml:space="preserve"> 1 WLR </w:t>
      </w:r>
      <w:r w:rsidR="00D878E2" w:rsidRPr="000E033B">
        <w:rPr>
          <w:rFonts w:ascii="Times New Roman" w:hAnsi="Times New Roman"/>
          <w:sz w:val="24"/>
        </w:rPr>
        <w:t>4287</w:t>
      </w:r>
      <w:r w:rsidRPr="000E033B">
        <w:rPr>
          <w:rFonts w:ascii="Times New Roman" w:hAnsi="Times New Roman"/>
          <w:sz w:val="24"/>
        </w:rPr>
        <w:t xml:space="preserve"> at </w:t>
      </w:r>
      <w:r w:rsidR="00D878E2" w:rsidRPr="000E033B">
        <w:rPr>
          <w:rFonts w:ascii="Times New Roman" w:hAnsi="Times New Roman"/>
          <w:sz w:val="24"/>
        </w:rPr>
        <w:t xml:space="preserve">4309 </w:t>
      </w:r>
      <w:r w:rsidRPr="000E033B">
        <w:rPr>
          <w:rFonts w:ascii="Times New Roman" w:hAnsi="Times New Roman"/>
          <w:sz w:val="24"/>
        </w:rPr>
        <w:t>[81].</w:t>
      </w:r>
    </w:p>
  </w:footnote>
  <w:footnote w:id="51">
    <w:p w14:paraId="67E51807" w14:textId="77777777" w:rsidR="005A424C" w:rsidRPr="000E033B" w:rsidRDefault="005A424C"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t>1155 UNTS 331.</w:t>
      </w:r>
    </w:p>
  </w:footnote>
  <w:footnote w:id="52">
    <w:p w14:paraId="21BDAF68" w14:textId="6445252C" w:rsidR="005A424C" w:rsidRPr="000E033B" w:rsidRDefault="005A424C"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t xml:space="preserve">Gardiner, </w:t>
      </w:r>
      <w:r w:rsidRPr="000E033B">
        <w:rPr>
          <w:rFonts w:ascii="Times New Roman" w:hAnsi="Times New Roman"/>
          <w:i/>
          <w:iCs/>
          <w:sz w:val="24"/>
        </w:rPr>
        <w:t>Treaty Interpretation</w:t>
      </w:r>
      <w:r w:rsidRPr="000E033B">
        <w:rPr>
          <w:rFonts w:ascii="Times New Roman" w:hAnsi="Times New Roman"/>
          <w:sz w:val="24"/>
        </w:rPr>
        <w:t>, 2nd ed (2015)</w:t>
      </w:r>
      <w:r w:rsidR="004B5378" w:rsidRPr="000E033B">
        <w:rPr>
          <w:rFonts w:ascii="Times New Roman" w:hAnsi="Times New Roman"/>
          <w:sz w:val="24"/>
        </w:rPr>
        <w:t xml:space="preserve"> at </w:t>
      </w:r>
      <w:r w:rsidR="000B17D3" w:rsidRPr="000E033B">
        <w:rPr>
          <w:rFonts w:ascii="Times New Roman" w:hAnsi="Times New Roman"/>
          <w:sz w:val="24"/>
        </w:rPr>
        <w:t>256</w:t>
      </w:r>
      <w:r w:rsidR="00592110" w:rsidRPr="000E033B">
        <w:rPr>
          <w:rFonts w:ascii="Times New Roman" w:hAnsi="Times New Roman"/>
          <w:sz w:val="24"/>
        </w:rPr>
        <w:t>,</w:t>
      </w:r>
      <w:r w:rsidRPr="000E033B">
        <w:rPr>
          <w:rFonts w:ascii="Times New Roman" w:hAnsi="Times New Roman"/>
          <w:sz w:val="24"/>
        </w:rPr>
        <w:t xml:space="preserve"> </w:t>
      </w:r>
      <w:r w:rsidR="005C2423" w:rsidRPr="000E033B">
        <w:rPr>
          <w:rFonts w:ascii="Times New Roman" w:hAnsi="Times New Roman"/>
          <w:sz w:val="24"/>
        </w:rPr>
        <w:t>quoting</w:t>
      </w:r>
      <w:r w:rsidRPr="000E033B">
        <w:rPr>
          <w:rFonts w:ascii="Times New Roman" w:hAnsi="Times New Roman"/>
          <w:sz w:val="24"/>
        </w:rPr>
        <w:t xml:space="preserve"> [1966] </w:t>
      </w:r>
      <w:r w:rsidRPr="000E033B">
        <w:rPr>
          <w:rFonts w:ascii="Times New Roman" w:hAnsi="Times New Roman"/>
          <w:i/>
          <w:iCs/>
          <w:sz w:val="24"/>
        </w:rPr>
        <w:t>Yearbook of the International Law Commission</w:t>
      </w:r>
      <w:r w:rsidRPr="000E033B">
        <w:rPr>
          <w:rFonts w:ascii="Times New Roman" w:hAnsi="Times New Roman"/>
          <w:sz w:val="24"/>
        </w:rPr>
        <w:t xml:space="preserve">, vol </w:t>
      </w:r>
      <w:r w:rsidR="005A542B">
        <w:rPr>
          <w:rFonts w:ascii="Times New Roman" w:hAnsi="Times New Roman"/>
          <w:sz w:val="24"/>
        </w:rPr>
        <w:t>2</w:t>
      </w:r>
      <w:r w:rsidRPr="000E033B">
        <w:rPr>
          <w:rFonts w:ascii="Times New Roman" w:hAnsi="Times New Roman"/>
          <w:sz w:val="24"/>
        </w:rPr>
        <w:t xml:space="preserve"> at 222 [15] and </w:t>
      </w:r>
      <w:r w:rsidR="00B2629B" w:rsidRPr="000E033B">
        <w:rPr>
          <w:rFonts w:ascii="Times New Roman" w:hAnsi="Times New Roman"/>
          <w:sz w:val="24"/>
        </w:rPr>
        <w:t xml:space="preserve">citing </w:t>
      </w:r>
      <w:r w:rsidRPr="000E033B">
        <w:rPr>
          <w:rFonts w:ascii="Times New Roman" w:hAnsi="Times New Roman"/>
          <w:sz w:val="24"/>
        </w:rPr>
        <w:t xml:space="preserve">earlier references at [1964] </w:t>
      </w:r>
      <w:r w:rsidRPr="000E033B">
        <w:rPr>
          <w:rFonts w:ascii="Times New Roman" w:hAnsi="Times New Roman"/>
          <w:i/>
          <w:iCs/>
          <w:sz w:val="24"/>
        </w:rPr>
        <w:t>Yearbook of the International Law Commission</w:t>
      </w:r>
      <w:r w:rsidRPr="000E033B">
        <w:rPr>
          <w:rFonts w:ascii="Times New Roman" w:hAnsi="Times New Roman"/>
          <w:sz w:val="24"/>
        </w:rPr>
        <w:t xml:space="preserve">, vol </w:t>
      </w:r>
      <w:r w:rsidR="00B6440E">
        <w:rPr>
          <w:rFonts w:ascii="Times New Roman" w:hAnsi="Times New Roman"/>
          <w:sz w:val="24"/>
        </w:rPr>
        <w:t>1</w:t>
      </w:r>
      <w:r w:rsidRPr="000E033B">
        <w:rPr>
          <w:rFonts w:ascii="Times New Roman" w:hAnsi="Times New Roman"/>
          <w:sz w:val="24"/>
        </w:rPr>
        <w:t xml:space="preserve"> at 282 [3], [5], 296 [39], 298 [56]-[57], 299 [64]</w:t>
      </w:r>
      <w:r w:rsidR="005E47FD" w:rsidRPr="000E033B">
        <w:rPr>
          <w:rFonts w:ascii="Times New Roman" w:hAnsi="Times New Roman"/>
          <w:sz w:val="24"/>
        </w:rPr>
        <w:t xml:space="preserve"> and</w:t>
      </w:r>
      <w:r w:rsidRPr="000E033B">
        <w:rPr>
          <w:rFonts w:ascii="Times New Roman" w:hAnsi="Times New Roman"/>
          <w:sz w:val="24"/>
        </w:rPr>
        <w:t xml:space="preserve"> [1964] </w:t>
      </w:r>
      <w:r w:rsidRPr="000E033B">
        <w:rPr>
          <w:rFonts w:ascii="Times New Roman" w:hAnsi="Times New Roman"/>
          <w:i/>
          <w:iCs/>
          <w:sz w:val="24"/>
        </w:rPr>
        <w:t>Yearbook of the International Law Commission</w:t>
      </w:r>
      <w:r w:rsidRPr="000E033B">
        <w:rPr>
          <w:rFonts w:ascii="Times New Roman" w:hAnsi="Times New Roman"/>
          <w:sz w:val="24"/>
        </w:rPr>
        <w:t xml:space="preserve">, vol </w:t>
      </w:r>
      <w:r w:rsidR="00B6440E">
        <w:rPr>
          <w:rFonts w:ascii="Times New Roman" w:hAnsi="Times New Roman"/>
          <w:sz w:val="24"/>
        </w:rPr>
        <w:t>2</w:t>
      </w:r>
      <w:r w:rsidRPr="000E033B">
        <w:rPr>
          <w:rFonts w:ascii="Times New Roman" w:hAnsi="Times New Roman"/>
          <w:i/>
          <w:iCs/>
          <w:sz w:val="24"/>
        </w:rPr>
        <w:t xml:space="preserve"> </w:t>
      </w:r>
      <w:r w:rsidRPr="000E033B">
        <w:rPr>
          <w:rFonts w:ascii="Times New Roman" w:hAnsi="Times New Roman"/>
          <w:sz w:val="24"/>
        </w:rPr>
        <w:t xml:space="preserve">at 204 [13]. </w:t>
      </w:r>
    </w:p>
  </w:footnote>
  <w:footnote w:id="53">
    <w:p w14:paraId="04FEF297" w14:textId="6138153B" w:rsidR="005A424C" w:rsidRPr="000E033B" w:rsidRDefault="005A424C"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t xml:space="preserve">Gardiner, </w:t>
      </w:r>
      <w:r w:rsidRPr="000E033B">
        <w:rPr>
          <w:rFonts w:ascii="Times New Roman" w:hAnsi="Times New Roman"/>
          <w:i/>
          <w:iCs/>
          <w:sz w:val="24"/>
        </w:rPr>
        <w:t>Treaty Interpretation</w:t>
      </w:r>
      <w:r w:rsidRPr="000E033B">
        <w:rPr>
          <w:rFonts w:ascii="Times New Roman" w:hAnsi="Times New Roman"/>
          <w:sz w:val="24"/>
        </w:rPr>
        <w:t>, 2nd ed (2015) at 25</w:t>
      </w:r>
      <w:r w:rsidR="00736F0C" w:rsidRPr="000E033B">
        <w:rPr>
          <w:rFonts w:ascii="Times New Roman" w:hAnsi="Times New Roman"/>
          <w:sz w:val="24"/>
        </w:rPr>
        <w:t>6</w:t>
      </w:r>
      <w:r w:rsidR="002F2621" w:rsidRPr="000E033B">
        <w:rPr>
          <w:rFonts w:ascii="Times New Roman" w:hAnsi="Times New Roman"/>
          <w:sz w:val="24"/>
        </w:rPr>
        <w:t>-257</w:t>
      </w:r>
      <w:r w:rsidRPr="000E033B">
        <w:rPr>
          <w:rFonts w:ascii="Times New Roman" w:hAnsi="Times New Roman"/>
          <w:sz w:val="24"/>
        </w:rPr>
        <w:t xml:space="preserve">. See also Sinclair, </w:t>
      </w:r>
      <w:r w:rsidRPr="000E033B">
        <w:rPr>
          <w:rFonts w:ascii="Times New Roman" w:hAnsi="Times New Roman"/>
          <w:i/>
          <w:iCs/>
          <w:sz w:val="24"/>
        </w:rPr>
        <w:t>The Vienna Convention on the Law of Treaties</w:t>
      </w:r>
      <w:r w:rsidRPr="000E033B">
        <w:rPr>
          <w:rFonts w:ascii="Times New Roman" w:hAnsi="Times New Roman"/>
          <w:sz w:val="24"/>
        </w:rPr>
        <w:t xml:space="preserve">, 2nd ed (1984) at 137. </w:t>
      </w:r>
    </w:p>
  </w:footnote>
  <w:footnote w:id="54">
    <w:p w14:paraId="43AD3B1C" w14:textId="6027A2AA" w:rsidR="005A424C" w:rsidRPr="000E033B" w:rsidRDefault="005A424C"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r>
      <w:r w:rsidRPr="000E033B">
        <w:rPr>
          <w:rFonts w:ascii="Times New Roman" w:hAnsi="Times New Roman"/>
          <w:i/>
          <w:iCs/>
          <w:sz w:val="24"/>
        </w:rPr>
        <w:t>Seetransport Wiking Trader Schiffarhtsgesellschaft M</w:t>
      </w:r>
      <w:r w:rsidR="006B1362" w:rsidRPr="000E033B">
        <w:rPr>
          <w:rFonts w:ascii="Times New Roman" w:hAnsi="Times New Roman"/>
          <w:i/>
          <w:iCs/>
          <w:sz w:val="24"/>
        </w:rPr>
        <w:t>BH</w:t>
      </w:r>
      <w:r w:rsidRPr="000E033B">
        <w:rPr>
          <w:rFonts w:ascii="Times New Roman" w:hAnsi="Times New Roman"/>
          <w:i/>
          <w:iCs/>
          <w:sz w:val="24"/>
        </w:rPr>
        <w:t xml:space="preserve"> &amp; Co v Navimpex Centrala Navala </w:t>
      </w:r>
      <w:r w:rsidRPr="000E033B">
        <w:rPr>
          <w:rFonts w:ascii="Times New Roman" w:hAnsi="Times New Roman"/>
          <w:sz w:val="24"/>
        </w:rPr>
        <w:t>(1993) 989 F 2d 572</w:t>
      </w:r>
      <w:r w:rsidRPr="000E033B">
        <w:rPr>
          <w:rFonts w:ascii="Times New Roman" w:hAnsi="Times New Roman"/>
          <w:i/>
          <w:iCs/>
          <w:sz w:val="24"/>
        </w:rPr>
        <w:t xml:space="preserve"> </w:t>
      </w:r>
      <w:r w:rsidRPr="000E033B">
        <w:rPr>
          <w:rFonts w:ascii="Times New Roman" w:hAnsi="Times New Roman"/>
          <w:sz w:val="24"/>
        </w:rPr>
        <w:t xml:space="preserve">at 578-579, distinguishing </w:t>
      </w:r>
      <w:r w:rsidRPr="000E033B">
        <w:rPr>
          <w:rFonts w:ascii="Times New Roman" w:hAnsi="Times New Roman"/>
          <w:i/>
          <w:iCs/>
          <w:sz w:val="24"/>
        </w:rPr>
        <w:t xml:space="preserve">Frolova v Union of Soviet Socialist Republics </w:t>
      </w:r>
      <w:r w:rsidRPr="000E033B">
        <w:rPr>
          <w:rFonts w:ascii="Times New Roman" w:hAnsi="Times New Roman"/>
          <w:sz w:val="24"/>
        </w:rPr>
        <w:t xml:space="preserve">(1985) 761 F 2d 370 at 376-378; </w:t>
      </w:r>
      <w:r w:rsidRPr="000E033B">
        <w:rPr>
          <w:rFonts w:ascii="Times New Roman" w:hAnsi="Times New Roman"/>
          <w:i/>
          <w:iCs/>
          <w:sz w:val="24"/>
        </w:rPr>
        <w:t xml:space="preserve">Process </w:t>
      </w:r>
      <w:r w:rsidR="00CD0796" w:rsidRPr="000E033B">
        <w:rPr>
          <w:rFonts w:ascii="Times New Roman" w:hAnsi="Times New Roman"/>
          <w:i/>
          <w:iCs/>
          <w:sz w:val="24"/>
        </w:rPr>
        <w:t>and</w:t>
      </w:r>
      <w:r w:rsidRPr="000E033B">
        <w:rPr>
          <w:rFonts w:ascii="Times New Roman" w:hAnsi="Times New Roman"/>
          <w:i/>
          <w:iCs/>
          <w:sz w:val="24"/>
        </w:rPr>
        <w:t xml:space="preserve"> Industrial Developments Ltd v Federal Republic of Nigeria </w:t>
      </w:r>
      <w:r w:rsidRPr="000E033B">
        <w:rPr>
          <w:rFonts w:ascii="Times New Roman" w:hAnsi="Times New Roman"/>
          <w:sz w:val="24"/>
        </w:rPr>
        <w:t>(2020) 506 F Supp 3d 1 at 7 [8], not addressed on appeal</w:t>
      </w:r>
      <w:r w:rsidR="007252D7" w:rsidRPr="000E033B">
        <w:rPr>
          <w:rFonts w:ascii="Times New Roman" w:hAnsi="Times New Roman"/>
          <w:sz w:val="24"/>
        </w:rPr>
        <w:t xml:space="preserve"> in</w:t>
      </w:r>
      <w:r w:rsidRPr="000E033B">
        <w:rPr>
          <w:rFonts w:ascii="Times New Roman" w:hAnsi="Times New Roman"/>
          <w:sz w:val="24"/>
        </w:rPr>
        <w:t xml:space="preserve"> </w:t>
      </w:r>
      <w:r w:rsidRPr="000E033B">
        <w:rPr>
          <w:rFonts w:ascii="Times New Roman" w:hAnsi="Times New Roman"/>
          <w:i/>
          <w:iCs/>
          <w:sz w:val="24"/>
        </w:rPr>
        <w:t xml:space="preserve">Process </w:t>
      </w:r>
      <w:r w:rsidR="00170650" w:rsidRPr="000E033B">
        <w:rPr>
          <w:rFonts w:ascii="Times New Roman" w:hAnsi="Times New Roman"/>
          <w:i/>
          <w:sz w:val="24"/>
        </w:rPr>
        <w:t>and</w:t>
      </w:r>
      <w:r w:rsidRPr="000E033B">
        <w:rPr>
          <w:rFonts w:ascii="Times New Roman" w:hAnsi="Times New Roman"/>
          <w:i/>
          <w:iCs/>
          <w:sz w:val="24"/>
        </w:rPr>
        <w:t xml:space="preserve"> Industrial Developments Ltd v Federal Republic of Nigeria </w:t>
      </w:r>
      <w:r w:rsidRPr="000E033B">
        <w:rPr>
          <w:rFonts w:ascii="Times New Roman" w:hAnsi="Times New Roman"/>
          <w:sz w:val="24"/>
        </w:rPr>
        <w:t>(2022) 27 F 4th 771</w:t>
      </w:r>
      <w:r w:rsidRPr="000E033B">
        <w:rPr>
          <w:rFonts w:ascii="Times New Roman" w:hAnsi="Times New Roman"/>
          <w:i/>
          <w:iCs/>
          <w:sz w:val="24"/>
        </w:rPr>
        <w:t xml:space="preserve"> </w:t>
      </w:r>
      <w:r w:rsidRPr="000E033B">
        <w:rPr>
          <w:rFonts w:ascii="Times New Roman" w:hAnsi="Times New Roman"/>
          <w:sz w:val="24"/>
        </w:rPr>
        <w:t xml:space="preserve">at 775 [4]; </w:t>
      </w:r>
      <w:r w:rsidRPr="000E033B">
        <w:rPr>
          <w:rFonts w:ascii="Times New Roman" w:hAnsi="Times New Roman"/>
          <w:i/>
          <w:iCs/>
          <w:sz w:val="24"/>
        </w:rPr>
        <w:t>Preble-Rish Haiti</w:t>
      </w:r>
      <w:r w:rsidR="00096595" w:rsidRPr="000E033B">
        <w:rPr>
          <w:rFonts w:ascii="Times New Roman" w:hAnsi="Times New Roman"/>
          <w:i/>
          <w:iCs/>
          <w:sz w:val="24"/>
        </w:rPr>
        <w:t>,</w:t>
      </w:r>
      <w:r w:rsidRPr="000E033B">
        <w:rPr>
          <w:rFonts w:ascii="Times New Roman" w:hAnsi="Times New Roman"/>
          <w:i/>
          <w:iCs/>
          <w:sz w:val="24"/>
        </w:rPr>
        <w:t xml:space="preserve"> SA v Republic of Haiti</w:t>
      </w:r>
      <w:r w:rsidRPr="000E033B">
        <w:rPr>
          <w:rFonts w:ascii="Times New Roman" w:hAnsi="Times New Roman"/>
          <w:sz w:val="24"/>
        </w:rPr>
        <w:t xml:space="preserve"> (</w:t>
      </w:r>
      <w:r w:rsidR="008036BE" w:rsidRPr="000E033B">
        <w:rPr>
          <w:rFonts w:ascii="Times New Roman" w:hAnsi="Times New Roman"/>
          <w:sz w:val="24"/>
        </w:rPr>
        <w:t>unreported, United States District Court for the Southern District of New York</w:t>
      </w:r>
      <w:r w:rsidR="006C2A2A" w:rsidRPr="000E033B">
        <w:rPr>
          <w:rFonts w:ascii="Times New Roman" w:hAnsi="Times New Roman"/>
          <w:sz w:val="24"/>
        </w:rPr>
        <w:t xml:space="preserve">, </w:t>
      </w:r>
      <w:r w:rsidR="00B91B5D" w:rsidRPr="000E033B">
        <w:rPr>
          <w:rFonts w:ascii="Times New Roman" w:hAnsi="Times New Roman"/>
          <w:sz w:val="24"/>
        </w:rPr>
        <w:t xml:space="preserve">29 June </w:t>
      </w:r>
      <w:r w:rsidRPr="000E033B">
        <w:rPr>
          <w:rFonts w:ascii="Times New Roman" w:hAnsi="Times New Roman"/>
          <w:sz w:val="24"/>
        </w:rPr>
        <w:t>2023) at 18</w:t>
      </w:r>
      <w:r w:rsidR="00852844" w:rsidRPr="000E033B">
        <w:rPr>
          <w:rFonts w:ascii="Times New Roman" w:hAnsi="Times New Roman"/>
          <w:sz w:val="24"/>
        </w:rPr>
        <w:t xml:space="preserve">; </w:t>
      </w:r>
      <w:r w:rsidR="00852844" w:rsidRPr="000E033B">
        <w:rPr>
          <w:rFonts w:ascii="Times New Roman" w:hAnsi="Times New Roman"/>
          <w:i/>
          <w:iCs/>
          <w:sz w:val="24"/>
        </w:rPr>
        <w:t xml:space="preserve">Global Voice Group SA v Republic of Guinea </w:t>
      </w:r>
      <w:r w:rsidR="00852844" w:rsidRPr="000E033B">
        <w:rPr>
          <w:rFonts w:ascii="Times New Roman" w:hAnsi="Times New Roman"/>
          <w:sz w:val="24"/>
        </w:rPr>
        <w:t>(unreported, United States District Court for the District of Columbia, 18 February 2025) at 42-43</w:t>
      </w:r>
      <w:r w:rsidRPr="000E033B">
        <w:rPr>
          <w:rFonts w:ascii="Times New Roman" w:hAnsi="Times New Roman"/>
          <w:sz w:val="24"/>
        </w:rPr>
        <w:t xml:space="preserve">. Compare </w:t>
      </w:r>
      <w:r w:rsidRPr="000E033B">
        <w:rPr>
          <w:rFonts w:ascii="Times New Roman" w:hAnsi="Times New Roman"/>
          <w:i/>
          <w:iCs/>
          <w:sz w:val="24"/>
        </w:rPr>
        <w:t xml:space="preserve">Creighton Ltd v Government of the State of Qatar </w:t>
      </w:r>
      <w:r w:rsidRPr="000E033B">
        <w:rPr>
          <w:rFonts w:ascii="Times New Roman" w:hAnsi="Times New Roman"/>
          <w:sz w:val="24"/>
        </w:rPr>
        <w:t>(1999) 181 F 3d 118 at 123</w:t>
      </w:r>
      <w:r w:rsidR="00743076" w:rsidRPr="000E033B">
        <w:rPr>
          <w:rFonts w:ascii="Times New Roman" w:hAnsi="Times New Roman"/>
          <w:sz w:val="24"/>
        </w:rPr>
        <w:t xml:space="preserve"> [4]</w:t>
      </w:r>
      <w:r w:rsidRPr="000E033B">
        <w:rPr>
          <w:rFonts w:ascii="Times New Roman" w:hAnsi="Times New Roman"/>
          <w:sz w:val="24"/>
        </w:rPr>
        <w:t xml:space="preserve">; </w:t>
      </w:r>
      <w:r w:rsidRPr="000E033B">
        <w:rPr>
          <w:rFonts w:ascii="Times New Roman" w:hAnsi="Times New Roman"/>
          <w:i/>
          <w:iCs/>
          <w:sz w:val="24"/>
        </w:rPr>
        <w:t>Next</w:t>
      </w:r>
      <w:r w:rsidR="002C37E6" w:rsidRPr="000E033B">
        <w:rPr>
          <w:rFonts w:ascii="Times New Roman" w:hAnsi="Times New Roman"/>
          <w:i/>
          <w:iCs/>
          <w:sz w:val="24"/>
        </w:rPr>
        <w:t>E</w:t>
      </w:r>
      <w:r w:rsidRPr="000E033B">
        <w:rPr>
          <w:rFonts w:ascii="Times New Roman" w:hAnsi="Times New Roman"/>
          <w:i/>
          <w:iCs/>
          <w:sz w:val="24"/>
        </w:rPr>
        <w:t xml:space="preserve">ra Energy </w:t>
      </w:r>
      <w:r w:rsidR="009B2E83" w:rsidRPr="000E033B">
        <w:rPr>
          <w:rFonts w:ascii="Times New Roman" w:hAnsi="Times New Roman"/>
          <w:i/>
          <w:iCs/>
          <w:sz w:val="24"/>
        </w:rPr>
        <w:t>Global</w:t>
      </w:r>
      <w:r w:rsidRPr="000E033B">
        <w:rPr>
          <w:rFonts w:ascii="Times New Roman" w:hAnsi="Times New Roman"/>
          <w:i/>
          <w:iCs/>
          <w:sz w:val="24"/>
        </w:rPr>
        <w:t xml:space="preserve"> Holdings BV v Kingdom of Spain </w:t>
      </w:r>
      <w:r w:rsidRPr="000E033B">
        <w:rPr>
          <w:rFonts w:ascii="Times New Roman" w:hAnsi="Times New Roman"/>
          <w:sz w:val="24"/>
        </w:rPr>
        <w:t>(2024) 112 F 4th 1088 at 1100</w:t>
      </w:r>
      <w:r w:rsidR="002A1B36" w:rsidRPr="000E033B">
        <w:rPr>
          <w:rFonts w:ascii="Times New Roman" w:hAnsi="Times New Roman"/>
          <w:sz w:val="24"/>
        </w:rPr>
        <w:t xml:space="preserve">; </w:t>
      </w:r>
      <w:r w:rsidR="008C3F5A" w:rsidRPr="000E033B">
        <w:rPr>
          <w:rFonts w:ascii="Times New Roman" w:hAnsi="Times New Roman"/>
          <w:i/>
          <w:iCs/>
          <w:sz w:val="24"/>
        </w:rPr>
        <w:t xml:space="preserve">Stabil LLC v Russian Federation </w:t>
      </w:r>
      <w:r w:rsidR="008C3F5A" w:rsidRPr="000E033B">
        <w:rPr>
          <w:rFonts w:ascii="Times New Roman" w:hAnsi="Times New Roman"/>
          <w:sz w:val="24"/>
        </w:rPr>
        <w:t>(</w:t>
      </w:r>
      <w:r w:rsidR="00E81BF7" w:rsidRPr="000E033B">
        <w:rPr>
          <w:rFonts w:ascii="Times New Roman" w:hAnsi="Times New Roman"/>
          <w:sz w:val="24"/>
        </w:rPr>
        <w:t xml:space="preserve">2026) </w:t>
      </w:r>
      <w:r w:rsidR="00882A61" w:rsidRPr="000E033B">
        <w:rPr>
          <w:rFonts w:ascii="Times New Roman" w:hAnsi="Times New Roman"/>
          <w:sz w:val="24"/>
        </w:rPr>
        <w:t xml:space="preserve">167 F 4th </w:t>
      </w:r>
      <w:r w:rsidR="005E3A51" w:rsidRPr="000E033B">
        <w:rPr>
          <w:rFonts w:ascii="Times New Roman" w:hAnsi="Times New Roman"/>
          <w:sz w:val="24"/>
        </w:rPr>
        <w:t xml:space="preserve">506 </w:t>
      </w:r>
      <w:r w:rsidR="000E70BB" w:rsidRPr="000E033B">
        <w:rPr>
          <w:rFonts w:ascii="Times New Roman" w:hAnsi="Times New Roman"/>
          <w:sz w:val="24"/>
        </w:rPr>
        <w:t xml:space="preserve">at 523 </w:t>
      </w:r>
      <w:r w:rsidR="002A1B36" w:rsidRPr="000E033B">
        <w:rPr>
          <w:rFonts w:ascii="Times New Roman" w:hAnsi="Times New Roman"/>
          <w:sz w:val="24"/>
        </w:rPr>
        <w:t>(not deciding)</w:t>
      </w:r>
      <w:r w:rsidRPr="000E033B">
        <w:rPr>
          <w:rFonts w:ascii="Times New Roman" w:hAnsi="Times New Roman"/>
          <w:sz w:val="24"/>
        </w:rPr>
        <w:t>.</w:t>
      </w:r>
    </w:p>
  </w:footnote>
  <w:footnote w:id="55">
    <w:p w14:paraId="67C17A1C" w14:textId="230748A3" w:rsidR="005A424C" w:rsidRPr="000E033B" w:rsidRDefault="005A424C"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r>
      <w:r w:rsidRPr="000E033B">
        <w:rPr>
          <w:rFonts w:ascii="Times New Roman" w:hAnsi="Times New Roman"/>
          <w:i/>
          <w:iCs/>
          <w:sz w:val="24"/>
        </w:rPr>
        <w:t xml:space="preserve">CC/Devas (Mauritius) Ltd v Republic of India </w:t>
      </w:r>
      <w:r w:rsidRPr="000E033B">
        <w:rPr>
          <w:rFonts w:ascii="Times New Roman" w:hAnsi="Times New Roman"/>
          <w:sz w:val="24"/>
        </w:rPr>
        <w:t xml:space="preserve">[2025] </w:t>
      </w:r>
      <w:r w:rsidR="003A2C45" w:rsidRPr="000E033B">
        <w:rPr>
          <w:rFonts w:ascii="Times New Roman" w:hAnsi="Times New Roman"/>
          <w:sz w:val="24"/>
        </w:rPr>
        <w:t>1 WLR 4287</w:t>
      </w:r>
      <w:r w:rsidRPr="000E033B">
        <w:rPr>
          <w:rFonts w:ascii="Times New Roman" w:hAnsi="Times New Roman"/>
          <w:sz w:val="24"/>
        </w:rPr>
        <w:t xml:space="preserve">. </w:t>
      </w:r>
    </w:p>
  </w:footnote>
  <w:footnote w:id="56">
    <w:p w14:paraId="04767551" w14:textId="66EB4EDE" w:rsidR="005A424C" w:rsidRPr="000E033B" w:rsidRDefault="005A424C"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r>
      <w:r w:rsidRPr="000E033B">
        <w:rPr>
          <w:rFonts w:ascii="Times New Roman" w:hAnsi="Times New Roman"/>
          <w:i/>
          <w:iCs/>
          <w:sz w:val="24"/>
        </w:rPr>
        <w:t>Republic of India v CCDM Holdings</w:t>
      </w:r>
      <w:r w:rsidR="00F034A2" w:rsidRPr="000E033B">
        <w:rPr>
          <w:rFonts w:ascii="Times New Roman" w:hAnsi="Times New Roman"/>
          <w:i/>
          <w:iCs/>
          <w:sz w:val="24"/>
        </w:rPr>
        <w:t>,</w:t>
      </w:r>
      <w:r w:rsidRPr="000E033B">
        <w:rPr>
          <w:rFonts w:ascii="Times New Roman" w:hAnsi="Times New Roman"/>
          <w:i/>
          <w:iCs/>
          <w:sz w:val="24"/>
        </w:rPr>
        <w:t xml:space="preserve"> LLC </w:t>
      </w:r>
      <w:r w:rsidRPr="000E033B">
        <w:rPr>
          <w:rFonts w:ascii="Times New Roman" w:hAnsi="Times New Roman"/>
          <w:sz w:val="24"/>
        </w:rPr>
        <w:t>[2024] QCCA 1620 at [80].</w:t>
      </w:r>
    </w:p>
  </w:footnote>
  <w:footnote w:id="57">
    <w:p w14:paraId="4F7F628A" w14:textId="77777777" w:rsidR="005A424C" w:rsidRPr="000E033B" w:rsidRDefault="005A424C"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t xml:space="preserve">Gardiner, </w:t>
      </w:r>
      <w:r w:rsidRPr="000E033B">
        <w:rPr>
          <w:rFonts w:ascii="Times New Roman" w:hAnsi="Times New Roman"/>
          <w:i/>
          <w:iCs/>
          <w:sz w:val="24"/>
        </w:rPr>
        <w:t>Treaty Interpretation</w:t>
      </w:r>
      <w:r w:rsidRPr="000E033B">
        <w:rPr>
          <w:rFonts w:ascii="Times New Roman" w:hAnsi="Times New Roman"/>
          <w:sz w:val="24"/>
        </w:rPr>
        <w:t>, 2nd ed (2015) at 257.</w:t>
      </w:r>
    </w:p>
  </w:footnote>
  <w:footnote w:id="58">
    <w:p w14:paraId="64F43839" w14:textId="4361EAB4" w:rsidR="005A424C" w:rsidRPr="000E033B" w:rsidRDefault="005A424C"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r>
      <w:r w:rsidRPr="000E033B">
        <w:rPr>
          <w:rFonts w:ascii="Times New Roman" w:hAnsi="Times New Roman"/>
          <w:i/>
          <w:iCs/>
          <w:sz w:val="24"/>
        </w:rPr>
        <w:t>Next</w:t>
      </w:r>
      <w:r w:rsidR="00BD76BB" w:rsidRPr="000E033B">
        <w:rPr>
          <w:rFonts w:ascii="Times New Roman" w:hAnsi="Times New Roman"/>
          <w:i/>
          <w:iCs/>
          <w:sz w:val="24"/>
        </w:rPr>
        <w:t>E</w:t>
      </w:r>
      <w:r w:rsidRPr="000E033B">
        <w:rPr>
          <w:rFonts w:ascii="Times New Roman" w:hAnsi="Times New Roman"/>
          <w:i/>
          <w:iCs/>
          <w:sz w:val="24"/>
        </w:rPr>
        <w:t xml:space="preserve">ra Energy </w:t>
      </w:r>
      <w:r w:rsidR="00692EBA" w:rsidRPr="000E033B">
        <w:rPr>
          <w:rFonts w:ascii="Times New Roman" w:hAnsi="Times New Roman"/>
          <w:i/>
          <w:iCs/>
          <w:sz w:val="24"/>
        </w:rPr>
        <w:t>Global</w:t>
      </w:r>
      <w:r w:rsidRPr="000E033B">
        <w:rPr>
          <w:rFonts w:ascii="Times New Roman" w:hAnsi="Times New Roman"/>
          <w:i/>
          <w:iCs/>
          <w:sz w:val="24"/>
        </w:rPr>
        <w:t xml:space="preserve"> Holdings BV v Kingdom of Spain</w:t>
      </w:r>
      <w:r w:rsidRPr="000E033B">
        <w:rPr>
          <w:rFonts w:ascii="Times New Roman" w:hAnsi="Times New Roman"/>
          <w:sz w:val="24"/>
        </w:rPr>
        <w:t xml:space="preserve">, Brief for the United States as Amicus Curiae (2024) at 19, 22. </w:t>
      </w:r>
    </w:p>
  </w:footnote>
  <w:footnote w:id="59">
    <w:p w14:paraId="7A51CBF2" w14:textId="1EAB591A" w:rsidR="00776ABF" w:rsidRPr="000E033B" w:rsidRDefault="00776ABF"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r>
      <w:r w:rsidRPr="000E033B">
        <w:rPr>
          <w:rFonts w:ascii="Times New Roman" w:hAnsi="Times New Roman"/>
          <w:i/>
          <w:iCs/>
          <w:sz w:val="24"/>
        </w:rPr>
        <w:t>Kingdom of Spain v Infrastructure Services Luxembourg Sàrl</w:t>
      </w:r>
      <w:r w:rsidRPr="000E033B">
        <w:rPr>
          <w:rFonts w:ascii="Times New Roman" w:hAnsi="Times New Roman"/>
          <w:sz w:val="24"/>
        </w:rPr>
        <w:t xml:space="preserve"> (2023) 275 CLR 292</w:t>
      </w:r>
      <w:r w:rsidR="004B130A" w:rsidRPr="000E033B">
        <w:rPr>
          <w:rFonts w:ascii="Times New Roman" w:hAnsi="Times New Roman"/>
          <w:sz w:val="24"/>
        </w:rPr>
        <w:t>.</w:t>
      </w:r>
    </w:p>
  </w:footnote>
  <w:footnote w:id="60">
    <w:p w14:paraId="39505126" w14:textId="7ACA646F" w:rsidR="00CC366E" w:rsidRPr="000E033B" w:rsidRDefault="004C232C"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t xml:space="preserve">See also </w:t>
      </w:r>
      <w:r w:rsidR="00573BC3" w:rsidRPr="000E033B">
        <w:rPr>
          <w:rFonts w:ascii="Times New Roman" w:hAnsi="Times New Roman"/>
          <w:i/>
          <w:iCs/>
          <w:sz w:val="24"/>
        </w:rPr>
        <w:t xml:space="preserve">The </w:t>
      </w:r>
      <w:r w:rsidR="00CC366E" w:rsidRPr="000E033B">
        <w:rPr>
          <w:rFonts w:ascii="Times New Roman" w:hAnsi="Times New Roman"/>
          <w:i/>
          <w:iCs/>
          <w:sz w:val="24"/>
        </w:rPr>
        <w:t>Kingdom of Spain v Infrastructure Services Luxembourg S.À.R.L.</w:t>
      </w:r>
      <w:r w:rsidR="00CC366E" w:rsidRPr="000E033B">
        <w:rPr>
          <w:rFonts w:ascii="Times New Roman" w:hAnsi="Times New Roman"/>
          <w:sz w:val="24"/>
        </w:rPr>
        <w:t xml:space="preserve"> [2026] UKSC 9.</w:t>
      </w:r>
    </w:p>
  </w:footnote>
  <w:footnote w:id="61">
    <w:p w14:paraId="40392569" w14:textId="4FD43D24" w:rsidR="000372B4" w:rsidRPr="000E033B" w:rsidRDefault="000372B4"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r>
      <w:r w:rsidRPr="000E033B">
        <w:rPr>
          <w:rFonts w:ascii="Times New Roman" w:hAnsi="Times New Roman"/>
          <w:i/>
          <w:iCs/>
          <w:sz w:val="24"/>
        </w:rPr>
        <w:t>Kingdom of Spain v Infrastructure Services Luxembourg Sàrl</w:t>
      </w:r>
      <w:r w:rsidRPr="000E033B">
        <w:rPr>
          <w:rFonts w:ascii="Times New Roman" w:hAnsi="Times New Roman"/>
          <w:sz w:val="24"/>
        </w:rPr>
        <w:t xml:space="preserve"> (2023) 275 CLR 292 at 303-304 [1]</w:t>
      </w:r>
      <w:r w:rsidR="005E2BAB" w:rsidRPr="000E033B">
        <w:rPr>
          <w:rFonts w:ascii="Times New Roman" w:hAnsi="Times New Roman"/>
          <w:sz w:val="24"/>
        </w:rPr>
        <w:t>, citing ICSID Convention</w:t>
      </w:r>
      <w:r w:rsidR="00466C9C" w:rsidRPr="000E033B">
        <w:rPr>
          <w:rFonts w:ascii="Times New Roman" w:hAnsi="Times New Roman"/>
          <w:sz w:val="24"/>
        </w:rPr>
        <w:t>, Art </w:t>
      </w:r>
      <w:r w:rsidR="00215639" w:rsidRPr="000E033B">
        <w:rPr>
          <w:rFonts w:ascii="Times New Roman" w:hAnsi="Times New Roman"/>
          <w:sz w:val="24"/>
        </w:rPr>
        <w:t>36</w:t>
      </w:r>
      <w:r w:rsidRPr="000E033B">
        <w:rPr>
          <w:rFonts w:ascii="Times New Roman" w:hAnsi="Times New Roman"/>
          <w:sz w:val="24"/>
        </w:rPr>
        <w:t>.</w:t>
      </w:r>
    </w:p>
  </w:footnote>
  <w:footnote w:id="62">
    <w:p w14:paraId="6B5D131F" w14:textId="7038DF97" w:rsidR="000372B4" w:rsidRPr="000E033B" w:rsidRDefault="000372B4"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r>
      <w:r w:rsidRPr="000E033B">
        <w:rPr>
          <w:rFonts w:ascii="Times New Roman" w:hAnsi="Times New Roman"/>
          <w:i/>
          <w:iCs/>
          <w:sz w:val="24"/>
        </w:rPr>
        <w:t>Kingdom of Spain v Infrastructure Services Luxembourg Sàrl</w:t>
      </w:r>
      <w:r w:rsidRPr="000E033B">
        <w:rPr>
          <w:rFonts w:ascii="Times New Roman" w:hAnsi="Times New Roman"/>
          <w:sz w:val="24"/>
        </w:rPr>
        <w:t xml:space="preserve"> (2023) 275 CLR 292 at 322-325 [51]-[58]. See Bjorklund, "Sovereign Immunity as a </w:t>
      </w:r>
      <w:r w:rsidR="00E93C01" w:rsidRPr="000E033B">
        <w:rPr>
          <w:rFonts w:ascii="Times New Roman" w:hAnsi="Times New Roman"/>
          <w:sz w:val="24"/>
        </w:rPr>
        <w:t>B</w:t>
      </w:r>
      <w:r w:rsidRPr="000E033B">
        <w:rPr>
          <w:rFonts w:ascii="Times New Roman" w:hAnsi="Times New Roman"/>
          <w:sz w:val="24"/>
        </w:rPr>
        <w:t xml:space="preserve">arrier to the </w:t>
      </w:r>
      <w:r w:rsidR="00E93C01" w:rsidRPr="000E033B">
        <w:rPr>
          <w:rFonts w:ascii="Times New Roman" w:hAnsi="Times New Roman"/>
          <w:sz w:val="24"/>
        </w:rPr>
        <w:t>E</w:t>
      </w:r>
      <w:r w:rsidRPr="000E033B">
        <w:rPr>
          <w:rFonts w:ascii="Times New Roman" w:hAnsi="Times New Roman"/>
          <w:sz w:val="24"/>
        </w:rPr>
        <w:t xml:space="preserve">nforcement of Investor-State Arbitral Awards: The Re-Politization of International Investment Disputes" (2010) 21 </w:t>
      </w:r>
      <w:r w:rsidRPr="000E033B">
        <w:rPr>
          <w:rFonts w:ascii="Times New Roman" w:hAnsi="Times New Roman"/>
          <w:i/>
          <w:iCs/>
          <w:sz w:val="24"/>
        </w:rPr>
        <w:t xml:space="preserve">American Review of International Arbitration </w:t>
      </w:r>
      <w:r w:rsidRPr="000E033B">
        <w:rPr>
          <w:rFonts w:ascii="Times New Roman" w:hAnsi="Times New Roman"/>
          <w:sz w:val="24"/>
        </w:rPr>
        <w:t>211 at 219-220.</w:t>
      </w:r>
    </w:p>
  </w:footnote>
  <w:footnote w:id="63">
    <w:p w14:paraId="6CB36E44" w14:textId="77777777" w:rsidR="000372B4" w:rsidRPr="000E033B" w:rsidRDefault="000372B4"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r>
      <w:r w:rsidRPr="000E033B">
        <w:rPr>
          <w:rFonts w:ascii="Times New Roman" w:hAnsi="Times New Roman"/>
          <w:i/>
          <w:iCs/>
          <w:sz w:val="24"/>
        </w:rPr>
        <w:t>Kingdom of Spain v Infrastructure Services Luxembourg Sàrl</w:t>
      </w:r>
      <w:r w:rsidRPr="000E033B">
        <w:rPr>
          <w:rFonts w:ascii="Times New Roman" w:hAnsi="Times New Roman"/>
          <w:sz w:val="24"/>
        </w:rPr>
        <w:t xml:space="preserve"> (2023) 275 CLR 292 at 324 [55]. </w:t>
      </w:r>
    </w:p>
  </w:footnote>
  <w:footnote w:id="64">
    <w:p w14:paraId="3A9A1705" w14:textId="77777777" w:rsidR="000372B4" w:rsidRPr="000E033B" w:rsidRDefault="000372B4"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i/>
          <w:iCs/>
          <w:sz w:val="24"/>
        </w:rPr>
        <w:tab/>
        <w:t xml:space="preserve">Liberian Eastern Timber Corporation v Government of the Republic of Liberia </w:t>
      </w:r>
      <w:r w:rsidRPr="000E033B">
        <w:rPr>
          <w:rFonts w:ascii="Times New Roman" w:hAnsi="Times New Roman"/>
          <w:sz w:val="24"/>
        </w:rPr>
        <w:t xml:space="preserve">(1986) 650 F Supp 73 at 76; </w:t>
      </w:r>
      <w:r w:rsidRPr="000E033B">
        <w:rPr>
          <w:rFonts w:ascii="Times New Roman" w:hAnsi="Times New Roman"/>
          <w:i/>
          <w:iCs/>
          <w:sz w:val="24"/>
        </w:rPr>
        <w:t xml:space="preserve">Mobil Cerro Negro Ltd v Bolivarian Republic of Venezuela </w:t>
      </w:r>
      <w:r w:rsidRPr="000E033B">
        <w:rPr>
          <w:rFonts w:ascii="Times New Roman" w:hAnsi="Times New Roman"/>
          <w:sz w:val="24"/>
        </w:rPr>
        <w:t xml:space="preserve">(2017) 863 F (3d) 96 at 102. See also </w:t>
      </w:r>
      <w:r w:rsidRPr="000E033B">
        <w:rPr>
          <w:rFonts w:ascii="Times New Roman" w:hAnsi="Times New Roman"/>
          <w:i/>
          <w:iCs/>
          <w:sz w:val="24"/>
        </w:rPr>
        <w:t>Kingdom of Spain v Infrastructure Services Luxembourg Sàrl</w:t>
      </w:r>
      <w:r w:rsidRPr="000E033B">
        <w:rPr>
          <w:rFonts w:ascii="Times New Roman" w:hAnsi="Times New Roman"/>
          <w:sz w:val="24"/>
        </w:rPr>
        <w:t xml:space="preserve"> (2023) 275 CLR 292 at 330-331 [74].</w:t>
      </w:r>
    </w:p>
  </w:footnote>
  <w:footnote w:id="65">
    <w:p w14:paraId="4471FF72" w14:textId="7701CD91" w:rsidR="000372B4" w:rsidRPr="000E033B" w:rsidRDefault="000372B4"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t xml:space="preserve">See also </w:t>
      </w:r>
      <w:r w:rsidRPr="000E033B">
        <w:rPr>
          <w:rFonts w:ascii="Times New Roman" w:hAnsi="Times New Roman"/>
          <w:i/>
          <w:iCs/>
          <w:sz w:val="24"/>
        </w:rPr>
        <w:t xml:space="preserve">Infrastructure Services Luxembourg </w:t>
      </w:r>
      <w:r w:rsidR="00891567" w:rsidRPr="000E033B">
        <w:rPr>
          <w:rFonts w:ascii="Times New Roman" w:hAnsi="Times New Roman"/>
          <w:i/>
          <w:iCs/>
          <w:sz w:val="24"/>
        </w:rPr>
        <w:t>SARL</w:t>
      </w:r>
      <w:r w:rsidRPr="000E033B">
        <w:rPr>
          <w:rFonts w:ascii="Times New Roman" w:hAnsi="Times New Roman"/>
          <w:sz w:val="24"/>
        </w:rPr>
        <w:t xml:space="preserve"> </w:t>
      </w:r>
      <w:r w:rsidRPr="000E033B">
        <w:rPr>
          <w:rFonts w:ascii="Times New Roman" w:hAnsi="Times New Roman"/>
          <w:i/>
          <w:iCs/>
          <w:sz w:val="24"/>
        </w:rPr>
        <w:t>v Kingdom of Spain</w:t>
      </w:r>
      <w:r w:rsidRPr="000E033B">
        <w:rPr>
          <w:rFonts w:ascii="Times New Roman" w:hAnsi="Times New Roman"/>
          <w:sz w:val="24"/>
        </w:rPr>
        <w:t xml:space="preserve"> </w:t>
      </w:r>
      <w:r w:rsidR="00FC4BC7" w:rsidRPr="000E033B">
        <w:rPr>
          <w:rFonts w:ascii="Times New Roman" w:hAnsi="Times New Roman"/>
          <w:sz w:val="24"/>
        </w:rPr>
        <w:t>[2025] 2 WLR 621</w:t>
      </w:r>
      <w:r w:rsidRPr="000E033B">
        <w:rPr>
          <w:rFonts w:ascii="Times New Roman" w:hAnsi="Times New Roman"/>
          <w:sz w:val="24"/>
        </w:rPr>
        <w:t xml:space="preserve"> at </w:t>
      </w:r>
      <w:r w:rsidR="00E40454" w:rsidRPr="000E033B">
        <w:rPr>
          <w:rFonts w:ascii="Times New Roman" w:hAnsi="Times New Roman"/>
          <w:sz w:val="24"/>
        </w:rPr>
        <w:t xml:space="preserve">660 </w:t>
      </w:r>
      <w:r w:rsidRPr="000E033B">
        <w:rPr>
          <w:rFonts w:ascii="Times New Roman" w:hAnsi="Times New Roman"/>
          <w:sz w:val="24"/>
        </w:rPr>
        <w:t>[102(i)]</w:t>
      </w:r>
      <w:r w:rsidR="00E40454" w:rsidRPr="000E033B">
        <w:rPr>
          <w:rFonts w:ascii="Times New Roman" w:hAnsi="Times New Roman"/>
          <w:sz w:val="24"/>
        </w:rPr>
        <w:t xml:space="preserve">; </w:t>
      </w:r>
      <w:r w:rsidR="00603E8D" w:rsidRPr="000E033B">
        <w:rPr>
          <w:rFonts w:ascii="Times New Roman" w:hAnsi="Times New Roman"/>
          <w:sz w:val="24"/>
        </w:rPr>
        <w:t xml:space="preserve">[2025] 2 All ER 693 at </w:t>
      </w:r>
      <w:r w:rsidR="007947FE" w:rsidRPr="000E033B">
        <w:rPr>
          <w:rFonts w:ascii="Times New Roman" w:hAnsi="Times New Roman"/>
          <w:sz w:val="24"/>
        </w:rPr>
        <w:t>727</w:t>
      </w:r>
      <w:r w:rsidRPr="000E033B">
        <w:rPr>
          <w:rFonts w:ascii="Times New Roman" w:hAnsi="Times New Roman"/>
          <w:sz w:val="24"/>
        </w:rPr>
        <w:t xml:space="preserve">. </w:t>
      </w:r>
    </w:p>
  </w:footnote>
  <w:footnote w:id="66">
    <w:p w14:paraId="64619014" w14:textId="176CCA9F" w:rsidR="000372B4" w:rsidRPr="000E033B" w:rsidRDefault="000372B4"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t>(2023) 275 CLR 292 at 331 [75].</w:t>
      </w:r>
    </w:p>
  </w:footnote>
  <w:footnote w:id="67">
    <w:p w14:paraId="6F27ADC7" w14:textId="00C5784D" w:rsidR="0087458B" w:rsidRPr="000E033B" w:rsidRDefault="0087458B"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r>
      <w:r w:rsidR="00204AF3" w:rsidRPr="000E033B">
        <w:rPr>
          <w:rFonts w:ascii="Times New Roman" w:hAnsi="Times New Roman"/>
          <w:sz w:val="24"/>
        </w:rPr>
        <w:t>International Law Commission</w:t>
      </w:r>
      <w:r w:rsidRPr="000E033B">
        <w:rPr>
          <w:rFonts w:ascii="Times New Roman" w:hAnsi="Times New Roman"/>
          <w:sz w:val="24"/>
        </w:rPr>
        <w:t xml:space="preserve">, </w:t>
      </w:r>
      <w:r w:rsidRPr="000E033B">
        <w:rPr>
          <w:rFonts w:ascii="Times New Roman" w:hAnsi="Times New Roman"/>
          <w:i/>
          <w:iCs/>
          <w:sz w:val="24"/>
        </w:rPr>
        <w:t>Report of the International Law Commission on the work of its forty-third session</w:t>
      </w:r>
      <w:r w:rsidR="00621817" w:rsidRPr="000E033B">
        <w:rPr>
          <w:rFonts w:ascii="Times New Roman" w:hAnsi="Times New Roman"/>
          <w:i/>
          <w:iCs/>
          <w:sz w:val="24"/>
        </w:rPr>
        <w:t xml:space="preserve"> (</w:t>
      </w:r>
      <w:r w:rsidR="00B73B43" w:rsidRPr="000E033B">
        <w:rPr>
          <w:rFonts w:ascii="Times New Roman" w:hAnsi="Times New Roman"/>
          <w:i/>
          <w:iCs/>
          <w:sz w:val="24"/>
        </w:rPr>
        <w:t>29 April–19 July 1991)</w:t>
      </w:r>
      <w:r w:rsidR="00621817" w:rsidRPr="000E033B">
        <w:rPr>
          <w:rFonts w:ascii="Times New Roman" w:hAnsi="Times New Roman"/>
          <w:sz w:val="24"/>
        </w:rPr>
        <w:t>, UN Doc A/46/10</w:t>
      </w:r>
      <w:r w:rsidR="00D44629" w:rsidRPr="000E033B">
        <w:rPr>
          <w:rFonts w:ascii="Times New Roman" w:hAnsi="Times New Roman"/>
          <w:sz w:val="24"/>
        </w:rPr>
        <w:t xml:space="preserve"> (1991)</w:t>
      </w:r>
      <w:r w:rsidRPr="000E033B">
        <w:rPr>
          <w:rFonts w:ascii="Times New Roman" w:hAnsi="Times New Roman"/>
          <w:sz w:val="24"/>
        </w:rPr>
        <w:t xml:space="preserve"> at 52</w:t>
      </w:r>
      <w:r w:rsidR="000F04EF" w:rsidRPr="000E033B">
        <w:rPr>
          <w:rFonts w:ascii="Times New Roman" w:hAnsi="Times New Roman"/>
          <w:sz w:val="24"/>
        </w:rPr>
        <w:t>,</w:t>
      </w:r>
      <w:r w:rsidRPr="000E033B">
        <w:rPr>
          <w:rFonts w:ascii="Times New Roman" w:hAnsi="Times New Roman"/>
          <w:sz w:val="24"/>
        </w:rPr>
        <w:t xml:space="preserve"> fn</w:t>
      </w:r>
      <w:r w:rsidR="00D44629" w:rsidRPr="000E033B">
        <w:rPr>
          <w:rFonts w:ascii="Times New Roman" w:hAnsi="Times New Roman"/>
          <w:sz w:val="24"/>
        </w:rPr>
        <w:t> </w:t>
      </w:r>
      <w:r w:rsidRPr="000E033B">
        <w:rPr>
          <w:rFonts w:ascii="Times New Roman" w:hAnsi="Times New Roman"/>
          <w:sz w:val="24"/>
        </w:rPr>
        <w:t xml:space="preserve">89, referring to United Nations, </w:t>
      </w:r>
      <w:r w:rsidRPr="000E033B">
        <w:rPr>
          <w:rFonts w:ascii="Times New Roman" w:hAnsi="Times New Roman"/>
          <w:i/>
          <w:iCs/>
          <w:sz w:val="24"/>
        </w:rPr>
        <w:t>Materials on Jurisdictional Immunities of States and their Property</w:t>
      </w:r>
      <w:r w:rsidRPr="000E033B">
        <w:rPr>
          <w:rFonts w:ascii="Times New Roman" w:hAnsi="Times New Roman"/>
          <w:sz w:val="24"/>
        </w:rPr>
        <w:t xml:space="preserve"> (1982) at 150-178.</w:t>
      </w:r>
    </w:p>
  </w:footnote>
  <w:footnote w:id="68">
    <w:p w14:paraId="398E8E78" w14:textId="54BFBCEC" w:rsidR="00773B0E" w:rsidRPr="000E033B" w:rsidRDefault="00773B0E"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t xml:space="preserve">United Nations, </w:t>
      </w:r>
      <w:r w:rsidRPr="000E033B">
        <w:rPr>
          <w:rFonts w:ascii="Times New Roman" w:hAnsi="Times New Roman"/>
          <w:i/>
          <w:iCs/>
          <w:sz w:val="24"/>
        </w:rPr>
        <w:t>Materials on Jurisdictional Immunities of States and their Property</w:t>
      </w:r>
      <w:r w:rsidRPr="000E033B">
        <w:rPr>
          <w:rFonts w:ascii="Times New Roman" w:hAnsi="Times New Roman"/>
          <w:sz w:val="24"/>
        </w:rPr>
        <w:t xml:space="preserve"> (1982) at 155-156.</w:t>
      </w:r>
    </w:p>
  </w:footnote>
  <w:footnote w:id="69">
    <w:p w14:paraId="53C43D43" w14:textId="4D5415E7" w:rsidR="007548F7" w:rsidRPr="000E033B" w:rsidRDefault="007548F7"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t xml:space="preserve">United Nations, </w:t>
      </w:r>
      <w:r w:rsidRPr="000E033B">
        <w:rPr>
          <w:rFonts w:ascii="Times New Roman" w:hAnsi="Times New Roman"/>
          <w:i/>
          <w:iCs/>
          <w:sz w:val="24"/>
        </w:rPr>
        <w:t>Materials on Jurisdictional Immunities of States and their Property</w:t>
      </w:r>
      <w:r w:rsidRPr="000E033B">
        <w:rPr>
          <w:rFonts w:ascii="Times New Roman" w:hAnsi="Times New Roman"/>
          <w:sz w:val="24"/>
        </w:rPr>
        <w:t xml:space="preserve"> (1982) at 151-153.</w:t>
      </w:r>
    </w:p>
  </w:footnote>
  <w:footnote w:id="70">
    <w:p w14:paraId="14EF6015" w14:textId="7D9F0005" w:rsidR="000372B4" w:rsidRPr="000E033B" w:rsidRDefault="000372B4"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t xml:space="preserve">See, eg, </w:t>
      </w:r>
      <w:r w:rsidRPr="000E033B">
        <w:rPr>
          <w:rFonts w:ascii="Times New Roman" w:hAnsi="Times New Roman"/>
          <w:i/>
          <w:iCs/>
          <w:sz w:val="24"/>
        </w:rPr>
        <w:t>Foreign Sovereign Immunities Act</w:t>
      </w:r>
      <w:r w:rsidR="006B7B4C" w:rsidRPr="000E033B">
        <w:rPr>
          <w:rFonts w:ascii="Times New Roman" w:hAnsi="Times New Roman"/>
          <w:i/>
          <w:iCs/>
          <w:sz w:val="24"/>
        </w:rPr>
        <w:t xml:space="preserve"> of 1976</w:t>
      </w:r>
      <w:r w:rsidRPr="000E033B">
        <w:rPr>
          <w:rFonts w:ascii="Times New Roman" w:hAnsi="Times New Roman"/>
          <w:sz w:val="24"/>
        </w:rPr>
        <w:t xml:space="preserve"> 28 USC §1605(a)(6); </w:t>
      </w:r>
      <w:r w:rsidRPr="000E033B">
        <w:rPr>
          <w:rFonts w:ascii="Times New Roman" w:hAnsi="Times New Roman"/>
          <w:i/>
          <w:iCs/>
          <w:sz w:val="24"/>
        </w:rPr>
        <w:t xml:space="preserve">State Immunity Act 1978 </w:t>
      </w:r>
      <w:r w:rsidRPr="000E033B">
        <w:rPr>
          <w:rFonts w:ascii="Times New Roman" w:hAnsi="Times New Roman"/>
          <w:sz w:val="24"/>
        </w:rPr>
        <w:t xml:space="preserve">(UK), s 9; </w:t>
      </w:r>
      <w:r w:rsidRPr="000E033B">
        <w:rPr>
          <w:rFonts w:ascii="Times New Roman" w:hAnsi="Times New Roman"/>
          <w:i/>
          <w:iCs/>
          <w:sz w:val="24"/>
        </w:rPr>
        <w:t>State Immunity Act</w:t>
      </w:r>
      <w:r w:rsidRPr="000E033B">
        <w:rPr>
          <w:rFonts w:ascii="Times New Roman" w:hAnsi="Times New Roman"/>
          <w:sz w:val="24"/>
        </w:rPr>
        <w:t xml:space="preserve"> </w:t>
      </w:r>
      <w:r w:rsidRPr="000E033B">
        <w:rPr>
          <w:rFonts w:ascii="Times New Roman" w:hAnsi="Times New Roman"/>
          <w:i/>
          <w:iCs/>
          <w:sz w:val="24"/>
        </w:rPr>
        <w:t>1979</w:t>
      </w:r>
      <w:r w:rsidRPr="000E033B">
        <w:rPr>
          <w:rFonts w:ascii="Times New Roman" w:hAnsi="Times New Roman"/>
          <w:sz w:val="24"/>
        </w:rPr>
        <w:t xml:space="preserve"> (Singapore), s 11; </w:t>
      </w:r>
      <w:r w:rsidRPr="000E033B">
        <w:rPr>
          <w:rFonts w:ascii="Times New Roman" w:hAnsi="Times New Roman"/>
          <w:i/>
          <w:iCs/>
          <w:sz w:val="24"/>
        </w:rPr>
        <w:t>State Immunity Ordinance 1981</w:t>
      </w:r>
      <w:r w:rsidRPr="000E033B">
        <w:rPr>
          <w:rFonts w:ascii="Times New Roman" w:hAnsi="Times New Roman"/>
          <w:sz w:val="24"/>
        </w:rPr>
        <w:t xml:space="preserve"> (Pakistan), s 10; </w:t>
      </w:r>
      <w:r w:rsidRPr="000E033B">
        <w:rPr>
          <w:rFonts w:ascii="Times New Roman" w:hAnsi="Times New Roman"/>
          <w:i/>
          <w:iCs/>
          <w:sz w:val="24"/>
        </w:rPr>
        <w:t>Foreign States Immunities Act 1981</w:t>
      </w:r>
      <w:r w:rsidRPr="000E033B">
        <w:rPr>
          <w:rFonts w:ascii="Times New Roman" w:hAnsi="Times New Roman"/>
          <w:sz w:val="24"/>
        </w:rPr>
        <w:t xml:space="preserve"> (South Africa), s 10.</w:t>
      </w:r>
    </w:p>
  </w:footnote>
  <w:footnote w:id="71">
    <w:p w14:paraId="2386C015" w14:textId="77777777" w:rsidR="00365B2A" w:rsidRPr="000E033B" w:rsidRDefault="00365B2A"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t>New York Convention, Art VII(2).</w:t>
      </w:r>
    </w:p>
  </w:footnote>
  <w:footnote w:id="72">
    <w:p w14:paraId="0383BCED" w14:textId="77777777" w:rsidR="00365B2A" w:rsidRPr="000E033B" w:rsidRDefault="00365B2A"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t>Protocol on Arbitration Clauses (1923) 27 LNTS 157, Art 1; Convention on the Execution of Foreign Arbitral Awards (1927) 92 LNTS 301, Art 1.</w:t>
      </w:r>
    </w:p>
  </w:footnote>
  <w:footnote w:id="73">
    <w:p w14:paraId="5E6A127B" w14:textId="093C6855" w:rsidR="00AF64FB" w:rsidRPr="000E033B" w:rsidRDefault="00AF64FB"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t xml:space="preserve">See Vandevelde, "A Brief History of International Investment Agreements" (2005) 12 </w:t>
      </w:r>
      <w:r w:rsidRPr="000E033B">
        <w:rPr>
          <w:rFonts w:ascii="Times New Roman" w:hAnsi="Times New Roman"/>
          <w:i/>
          <w:iCs/>
          <w:sz w:val="24"/>
        </w:rPr>
        <w:t xml:space="preserve">UC Davis Journal of International Law </w:t>
      </w:r>
      <w:r w:rsidR="00054601" w:rsidRPr="000E033B">
        <w:rPr>
          <w:rFonts w:ascii="Times New Roman" w:hAnsi="Times New Roman"/>
          <w:i/>
          <w:iCs/>
          <w:sz w:val="24"/>
        </w:rPr>
        <w:t>&amp;</w:t>
      </w:r>
      <w:r w:rsidRPr="000E033B">
        <w:rPr>
          <w:rFonts w:ascii="Times New Roman" w:hAnsi="Times New Roman"/>
          <w:i/>
          <w:iCs/>
          <w:sz w:val="24"/>
        </w:rPr>
        <w:t xml:space="preserve"> Policy</w:t>
      </w:r>
      <w:r w:rsidRPr="000E033B">
        <w:rPr>
          <w:rFonts w:ascii="Times New Roman" w:hAnsi="Times New Roman"/>
          <w:sz w:val="24"/>
        </w:rPr>
        <w:t xml:space="preserve"> 157 at 169, 174.</w:t>
      </w:r>
    </w:p>
  </w:footnote>
  <w:footnote w:id="74">
    <w:p w14:paraId="6FF374A9" w14:textId="697A2A47" w:rsidR="00365B2A" w:rsidRPr="000E033B" w:rsidRDefault="00365B2A"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t>Crawford, "A Foreign State Immunities Act for Australia?" (</w:t>
      </w:r>
      <w:r w:rsidR="00F445E3" w:rsidRPr="000E033B">
        <w:rPr>
          <w:rFonts w:ascii="Times New Roman" w:hAnsi="Times New Roman"/>
          <w:sz w:val="24"/>
        </w:rPr>
        <w:t>1978-</w:t>
      </w:r>
      <w:r w:rsidRPr="000E033B">
        <w:rPr>
          <w:rFonts w:ascii="Times New Roman" w:hAnsi="Times New Roman"/>
          <w:sz w:val="24"/>
        </w:rPr>
        <w:t xml:space="preserve">1980) 8 </w:t>
      </w:r>
      <w:r w:rsidRPr="000E033B">
        <w:rPr>
          <w:rFonts w:ascii="Times New Roman" w:hAnsi="Times New Roman"/>
          <w:i/>
          <w:iCs/>
          <w:sz w:val="24"/>
        </w:rPr>
        <w:t xml:space="preserve">Australian Year Book of International Law </w:t>
      </w:r>
      <w:r w:rsidRPr="000E033B">
        <w:rPr>
          <w:rFonts w:ascii="Times New Roman" w:hAnsi="Times New Roman"/>
          <w:sz w:val="24"/>
        </w:rPr>
        <w:t xml:space="preserve">71 at 101; Gaja, </w:t>
      </w:r>
      <w:r w:rsidRPr="000E033B">
        <w:rPr>
          <w:rFonts w:ascii="Times New Roman" w:hAnsi="Times New Roman"/>
          <w:i/>
          <w:sz w:val="24"/>
        </w:rPr>
        <w:t xml:space="preserve">International Commercial Arbitration: New York Convention </w:t>
      </w:r>
      <w:r w:rsidRPr="000E033B">
        <w:rPr>
          <w:rFonts w:ascii="Times New Roman" w:hAnsi="Times New Roman"/>
          <w:sz w:val="24"/>
        </w:rPr>
        <w:t>(</w:t>
      </w:r>
      <w:r w:rsidR="00147ADD" w:rsidRPr="000E033B">
        <w:rPr>
          <w:rFonts w:ascii="Times New Roman" w:hAnsi="Times New Roman"/>
          <w:sz w:val="24"/>
        </w:rPr>
        <w:t>1978</w:t>
      </w:r>
      <w:r w:rsidRPr="000E033B">
        <w:rPr>
          <w:rFonts w:ascii="Times New Roman" w:hAnsi="Times New Roman"/>
          <w:sz w:val="24"/>
        </w:rPr>
        <w:t>) at III.C.134.</w:t>
      </w:r>
    </w:p>
  </w:footnote>
  <w:footnote w:id="75">
    <w:p w14:paraId="6ACFB1A5" w14:textId="2D131E56" w:rsidR="001B6FB7" w:rsidRPr="000E033B" w:rsidRDefault="001B6FB7"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t xml:space="preserve">See </w:t>
      </w:r>
      <w:r w:rsidR="00751D3E" w:rsidRPr="000E033B">
        <w:rPr>
          <w:rFonts w:ascii="Times New Roman" w:hAnsi="Times New Roman"/>
          <w:sz w:val="24"/>
        </w:rPr>
        <w:t>van</w:t>
      </w:r>
      <w:r w:rsidRPr="000E033B">
        <w:rPr>
          <w:rFonts w:ascii="Times New Roman" w:hAnsi="Times New Roman"/>
          <w:sz w:val="24"/>
        </w:rPr>
        <w:t xml:space="preserve"> den Berg, </w:t>
      </w:r>
      <w:r w:rsidRPr="000E033B">
        <w:rPr>
          <w:rFonts w:ascii="Times New Roman" w:hAnsi="Times New Roman"/>
          <w:i/>
          <w:iCs/>
          <w:sz w:val="24"/>
        </w:rPr>
        <w:t xml:space="preserve">The New York Arbitration Convention of 1958 </w:t>
      </w:r>
      <w:r w:rsidRPr="000E033B">
        <w:rPr>
          <w:rFonts w:ascii="Times New Roman" w:hAnsi="Times New Roman"/>
          <w:sz w:val="24"/>
        </w:rPr>
        <w:t xml:space="preserve">(1981) at 282, citing Cappelli-Perciballi, "The Application of the New York Convention of 1958 to Disputes Between States and Between State Entities and Private Individuals: The Problem of Sovereign Immunity" (1978) 12 </w:t>
      </w:r>
      <w:r w:rsidRPr="000E033B">
        <w:rPr>
          <w:rFonts w:ascii="Times New Roman" w:hAnsi="Times New Roman"/>
          <w:i/>
          <w:sz w:val="24"/>
        </w:rPr>
        <w:t xml:space="preserve">International Lawyer </w:t>
      </w:r>
      <w:r w:rsidRPr="000E033B">
        <w:rPr>
          <w:rFonts w:ascii="Times New Roman" w:hAnsi="Times New Roman"/>
          <w:sz w:val="24"/>
        </w:rPr>
        <w:t xml:space="preserve">197 at 199, citing in turn United Nations Economic and Social Council, </w:t>
      </w:r>
      <w:r w:rsidRPr="000E033B">
        <w:rPr>
          <w:rFonts w:ascii="Times New Roman" w:hAnsi="Times New Roman"/>
          <w:i/>
          <w:sz w:val="24"/>
        </w:rPr>
        <w:t>United Nations Conference on International Commercial Arbitration: Summary Record of the Sixteenth Meeting</w:t>
      </w:r>
      <w:r w:rsidRPr="000E033B">
        <w:rPr>
          <w:rFonts w:ascii="Times New Roman" w:hAnsi="Times New Roman"/>
          <w:sz w:val="24"/>
        </w:rPr>
        <w:t>, UN Doc E/CONF.26/SR.16 (1958) at 5.</w:t>
      </w:r>
    </w:p>
  </w:footnote>
  <w:footnote w:id="76">
    <w:p w14:paraId="50088BE2" w14:textId="77777777" w:rsidR="001B6FB7" w:rsidRPr="000E033B" w:rsidRDefault="001B6FB7"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t xml:space="preserve">United Nations Economic and Social Council, </w:t>
      </w:r>
      <w:r w:rsidRPr="000E033B">
        <w:rPr>
          <w:rFonts w:ascii="Times New Roman" w:hAnsi="Times New Roman"/>
          <w:i/>
          <w:iCs/>
          <w:sz w:val="24"/>
        </w:rPr>
        <w:t>Report of the Committee on the Enforcement of International Arbitral Awards</w:t>
      </w:r>
      <w:r w:rsidRPr="000E033B">
        <w:rPr>
          <w:rFonts w:ascii="Times New Roman" w:hAnsi="Times New Roman"/>
          <w:sz w:val="24"/>
        </w:rPr>
        <w:t>,</w:t>
      </w:r>
      <w:r w:rsidRPr="000E033B">
        <w:rPr>
          <w:rFonts w:ascii="Times New Roman" w:hAnsi="Times New Roman"/>
          <w:i/>
          <w:iCs/>
          <w:sz w:val="24"/>
        </w:rPr>
        <w:t xml:space="preserve"> </w:t>
      </w:r>
      <w:r w:rsidRPr="000E033B">
        <w:rPr>
          <w:rFonts w:ascii="Times New Roman" w:hAnsi="Times New Roman"/>
          <w:sz w:val="24"/>
        </w:rPr>
        <w:t xml:space="preserve">UN Doc E/2704 (1955) at 5 [17]. </w:t>
      </w:r>
    </w:p>
  </w:footnote>
  <w:footnote w:id="77">
    <w:p w14:paraId="551B1220" w14:textId="4E0631D9" w:rsidR="00365B2A" w:rsidRPr="000E033B" w:rsidRDefault="00365B2A"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r>
      <w:r w:rsidR="00D66ACB" w:rsidRPr="000E033B">
        <w:rPr>
          <w:rFonts w:ascii="Times New Roman" w:hAnsi="Times New Roman"/>
          <w:sz w:val="24"/>
        </w:rPr>
        <w:t xml:space="preserve">Contini, "The United Nations Convention on the Recognition and Enforcement of Foreign Arbitral Awards" (1959) 8 </w:t>
      </w:r>
      <w:r w:rsidR="00D66ACB" w:rsidRPr="000E033B">
        <w:rPr>
          <w:rFonts w:ascii="Times New Roman" w:hAnsi="Times New Roman"/>
          <w:i/>
          <w:iCs/>
          <w:sz w:val="24"/>
        </w:rPr>
        <w:t xml:space="preserve">The American Journal of Comparative Law </w:t>
      </w:r>
      <w:r w:rsidR="00D66ACB" w:rsidRPr="000E033B">
        <w:rPr>
          <w:rFonts w:ascii="Times New Roman" w:hAnsi="Times New Roman"/>
          <w:sz w:val="24"/>
        </w:rPr>
        <w:t xml:space="preserve">283 at 294; </w:t>
      </w:r>
      <w:r w:rsidRPr="000E033B">
        <w:rPr>
          <w:rFonts w:ascii="Times New Roman" w:hAnsi="Times New Roman"/>
          <w:sz w:val="24"/>
        </w:rPr>
        <w:t xml:space="preserve">Crawford, "A Foreign State Immunities Act for Australia?" (1978-1980) 8 </w:t>
      </w:r>
      <w:r w:rsidRPr="000E033B">
        <w:rPr>
          <w:rFonts w:ascii="Times New Roman" w:hAnsi="Times New Roman"/>
          <w:i/>
          <w:iCs/>
          <w:sz w:val="24"/>
        </w:rPr>
        <w:t xml:space="preserve">Australian Year Book of International Law </w:t>
      </w:r>
      <w:r w:rsidRPr="000E033B">
        <w:rPr>
          <w:rFonts w:ascii="Times New Roman" w:hAnsi="Times New Roman"/>
          <w:sz w:val="24"/>
        </w:rPr>
        <w:t>71 at 101</w:t>
      </w:r>
      <w:r w:rsidR="00CE3E9F" w:rsidRPr="000E033B">
        <w:rPr>
          <w:rFonts w:ascii="Times New Roman" w:hAnsi="Times New Roman"/>
          <w:sz w:val="24"/>
        </w:rPr>
        <w:t>.</w:t>
      </w:r>
    </w:p>
  </w:footnote>
  <w:footnote w:id="78">
    <w:p w14:paraId="723B2CAC" w14:textId="77777777" w:rsidR="00365B2A" w:rsidRPr="000E033B" w:rsidRDefault="00365B2A"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t xml:space="preserve">Committee on Non-Governmental Organisations, </w:t>
      </w:r>
      <w:r w:rsidRPr="000E033B">
        <w:rPr>
          <w:rFonts w:ascii="Times New Roman" w:hAnsi="Times New Roman"/>
          <w:i/>
          <w:sz w:val="24"/>
        </w:rPr>
        <w:t>Enforcement of International Arbitral Awards: Statement submitted by the International Chamber of Commerce</w:t>
      </w:r>
      <w:r w:rsidRPr="000E033B">
        <w:rPr>
          <w:rFonts w:ascii="Times New Roman" w:hAnsi="Times New Roman"/>
          <w:sz w:val="24"/>
        </w:rPr>
        <w:t>,</w:t>
      </w:r>
      <w:r w:rsidRPr="000E033B">
        <w:rPr>
          <w:rFonts w:ascii="Times New Roman" w:hAnsi="Times New Roman"/>
          <w:i/>
          <w:sz w:val="24"/>
        </w:rPr>
        <w:t xml:space="preserve"> </w:t>
      </w:r>
      <w:r w:rsidRPr="000E033B">
        <w:rPr>
          <w:rFonts w:ascii="Times New Roman" w:hAnsi="Times New Roman"/>
          <w:sz w:val="24"/>
        </w:rPr>
        <w:t xml:space="preserve">UN Doc E/C.2/373 (1953) at 8. </w:t>
      </w:r>
    </w:p>
  </w:footnote>
  <w:footnote w:id="79">
    <w:p w14:paraId="632DAA42" w14:textId="601C3048" w:rsidR="00365B2A" w:rsidRPr="000E033B" w:rsidRDefault="00365B2A"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r>
      <w:r w:rsidRPr="000E033B">
        <w:rPr>
          <w:rFonts w:ascii="Times New Roman" w:hAnsi="Times New Roman"/>
          <w:i/>
          <w:sz w:val="24"/>
        </w:rPr>
        <w:t>Recognition and enforcement of foreign arbitral awards</w:t>
      </w:r>
      <w:r w:rsidRPr="000E033B">
        <w:rPr>
          <w:rFonts w:ascii="Times New Roman" w:hAnsi="Times New Roman"/>
          <w:sz w:val="24"/>
        </w:rPr>
        <w:t>,</w:t>
      </w:r>
      <w:r w:rsidRPr="000E033B">
        <w:rPr>
          <w:rFonts w:ascii="Times New Roman" w:hAnsi="Times New Roman"/>
          <w:i/>
          <w:sz w:val="24"/>
        </w:rPr>
        <w:t xml:space="preserve"> </w:t>
      </w:r>
      <w:r w:rsidRPr="000E033B">
        <w:rPr>
          <w:rFonts w:ascii="Times New Roman" w:hAnsi="Times New Roman"/>
          <w:sz w:val="24"/>
        </w:rPr>
        <w:t>ESC Res 604 (XXI), UN</w:t>
      </w:r>
      <w:r w:rsidR="00B6440E">
        <w:rPr>
          <w:rFonts w:ascii="Times New Roman" w:hAnsi="Times New Roman"/>
          <w:sz w:val="24"/>
        </w:rPr>
        <w:t> </w:t>
      </w:r>
      <w:r w:rsidRPr="000E033B">
        <w:rPr>
          <w:rFonts w:ascii="Times New Roman" w:hAnsi="Times New Roman"/>
          <w:sz w:val="24"/>
        </w:rPr>
        <w:t>Doc E/2889 (1956), cl 1(a)(ii).</w:t>
      </w:r>
    </w:p>
  </w:footnote>
  <w:footnote w:id="80">
    <w:p w14:paraId="69E995D8" w14:textId="77777777" w:rsidR="00365B2A" w:rsidRPr="000E033B" w:rsidRDefault="00365B2A" w:rsidP="000E033B">
      <w:pPr>
        <w:pStyle w:val="FootnoteText"/>
        <w:spacing w:line="280" w:lineRule="exact"/>
        <w:ind w:right="0"/>
        <w:jc w:val="both"/>
        <w:rPr>
          <w:rFonts w:ascii="Times New Roman" w:hAnsi="Times New Roman"/>
          <w:b/>
          <w:bCs/>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t xml:space="preserve">United Nations Economic and Social Council, </w:t>
      </w:r>
      <w:r w:rsidRPr="000E033B">
        <w:rPr>
          <w:rFonts w:ascii="Times New Roman" w:hAnsi="Times New Roman"/>
          <w:i/>
          <w:sz w:val="24"/>
        </w:rPr>
        <w:t>United Nations Conference on International Commercial Arbitration: Summary Record of the Twenty-Third Meeting</w:t>
      </w:r>
      <w:r w:rsidRPr="000E033B">
        <w:rPr>
          <w:rFonts w:ascii="Times New Roman" w:hAnsi="Times New Roman"/>
          <w:sz w:val="24"/>
        </w:rPr>
        <w:t>, UN Doc E/CONF.26/SR.23 (1958)</w:t>
      </w:r>
      <w:r w:rsidRPr="000E033B">
        <w:rPr>
          <w:rFonts w:ascii="Times New Roman" w:hAnsi="Times New Roman"/>
          <w:i/>
          <w:sz w:val="24"/>
        </w:rPr>
        <w:t xml:space="preserve"> </w:t>
      </w:r>
      <w:r w:rsidRPr="000E033B">
        <w:rPr>
          <w:rFonts w:ascii="Times New Roman" w:hAnsi="Times New Roman"/>
          <w:sz w:val="24"/>
        </w:rPr>
        <w:t>at 5.</w:t>
      </w:r>
      <w:r w:rsidRPr="000E033B">
        <w:rPr>
          <w:rFonts w:ascii="Times New Roman" w:hAnsi="Times New Roman"/>
          <w:b/>
          <w:bCs/>
          <w:sz w:val="24"/>
        </w:rPr>
        <w:t xml:space="preserve"> </w:t>
      </w:r>
    </w:p>
  </w:footnote>
  <w:footnote w:id="81">
    <w:p w14:paraId="41266093" w14:textId="6A120501" w:rsidR="00365B2A" w:rsidRPr="000E033B" w:rsidRDefault="00365B2A"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t xml:space="preserve">United Nations Economic and Social Council, </w:t>
      </w:r>
      <w:r w:rsidRPr="000E033B">
        <w:rPr>
          <w:rFonts w:ascii="Times New Roman" w:hAnsi="Times New Roman"/>
          <w:i/>
          <w:sz w:val="24"/>
        </w:rPr>
        <w:t>Recognition and Enforcement of Foreign Arbitral Awards: Report by the Secretary-General</w:t>
      </w:r>
      <w:r w:rsidRPr="000E033B">
        <w:rPr>
          <w:rFonts w:ascii="Times New Roman" w:hAnsi="Times New Roman"/>
          <w:sz w:val="24"/>
        </w:rPr>
        <w:t>, UN Doc E/2822 (1956)</w:t>
      </w:r>
      <w:r w:rsidR="007A5801" w:rsidRPr="000E033B">
        <w:rPr>
          <w:rFonts w:ascii="Times New Roman" w:hAnsi="Times New Roman"/>
          <w:sz w:val="24"/>
        </w:rPr>
        <w:t>,</w:t>
      </w:r>
      <w:r w:rsidRPr="000E033B">
        <w:rPr>
          <w:rFonts w:ascii="Times New Roman" w:hAnsi="Times New Roman"/>
          <w:sz w:val="24"/>
        </w:rPr>
        <w:t xml:space="preserve"> annex 2 at 7.</w:t>
      </w:r>
    </w:p>
  </w:footnote>
  <w:footnote w:id="82">
    <w:p w14:paraId="7853D0D3" w14:textId="77777777" w:rsidR="00365B2A" w:rsidRPr="000E033B" w:rsidRDefault="00365B2A" w:rsidP="000E033B">
      <w:pPr>
        <w:pStyle w:val="FootnoteText"/>
        <w:spacing w:line="280" w:lineRule="exact"/>
        <w:ind w:right="0"/>
        <w:jc w:val="both"/>
        <w:rPr>
          <w:rFonts w:ascii="Times New Roman" w:hAnsi="Times New Roman"/>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t xml:space="preserve">Crawford, "International Law and Foreign Sovereigns: Distinguishing Immune Transactions" (1983) 54 </w:t>
      </w:r>
      <w:r w:rsidRPr="000E033B">
        <w:rPr>
          <w:rFonts w:ascii="Times New Roman" w:hAnsi="Times New Roman"/>
          <w:i/>
          <w:iCs/>
          <w:sz w:val="24"/>
        </w:rPr>
        <w:t xml:space="preserve">British Year </w:t>
      </w:r>
      <w:r w:rsidRPr="000E033B">
        <w:rPr>
          <w:rFonts w:ascii="Times New Roman" w:hAnsi="Times New Roman"/>
          <w:i/>
          <w:sz w:val="24"/>
        </w:rPr>
        <w:t>B</w:t>
      </w:r>
      <w:r w:rsidRPr="000E033B">
        <w:rPr>
          <w:rFonts w:ascii="Times New Roman" w:hAnsi="Times New Roman"/>
          <w:i/>
          <w:iCs/>
          <w:sz w:val="24"/>
        </w:rPr>
        <w:t>ook of International Law</w:t>
      </w:r>
      <w:r w:rsidRPr="000E033B">
        <w:rPr>
          <w:rFonts w:ascii="Times New Roman" w:hAnsi="Times New Roman"/>
          <w:sz w:val="24"/>
        </w:rPr>
        <w:t xml:space="preserve"> 75; Fox and Webb, </w:t>
      </w:r>
      <w:r w:rsidRPr="000E033B">
        <w:rPr>
          <w:rFonts w:ascii="Times New Roman" w:hAnsi="Times New Roman"/>
          <w:i/>
          <w:sz w:val="24"/>
        </w:rPr>
        <w:t>The Law of State Immunity</w:t>
      </w:r>
      <w:r w:rsidRPr="000E033B">
        <w:rPr>
          <w:rFonts w:ascii="Times New Roman" w:hAnsi="Times New Roman"/>
          <w:sz w:val="24"/>
        </w:rPr>
        <w:t xml:space="preserve">, 3rd ed (2013) at 35. See also Lauterpacht, "The Problem of Jurisdictional Immunities of Foreign States" (1951) 28 </w:t>
      </w:r>
      <w:r w:rsidRPr="000E033B">
        <w:rPr>
          <w:rFonts w:ascii="Times New Roman" w:hAnsi="Times New Roman"/>
          <w:i/>
          <w:sz w:val="24"/>
        </w:rPr>
        <w:t xml:space="preserve">British Year Book of International Law </w:t>
      </w:r>
      <w:r w:rsidRPr="000E033B">
        <w:rPr>
          <w:rFonts w:ascii="Times New Roman" w:hAnsi="Times New Roman"/>
          <w:sz w:val="24"/>
        </w:rPr>
        <w:t>220.</w:t>
      </w:r>
    </w:p>
  </w:footnote>
  <w:footnote w:id="83">
    <w:p w14:paraId="427F1E4C" w14:textId="77777777" w:rsidR="00365B2A" w:rsidRPr="000E033B" w:rsidRDefault="00365B2A" w:rsidP="000E033B">
      <w:pPr>
        <w:pStyle w:val="FootnoteText"/>
        <w:spacing w:line="280" w:lineRule="exact"/>
        <w:ind w:right="0"/>
        <w:jc w:val="both"/>
        <w:rPr>
          <w:rFonts w:ascii="Times New Roman" w:hAnsi="Times New Roman"/>
          <w:i/>
          <w:iCs/>
          <w:sz w:val="24"/>
        </w:rPr>
      </w:pPr>
      <w:r w:rsidRPr="000E033B">
        <w:rPr>
          <w:rStyle w:val="FootnoteReference"/>
          <w:rFonts w:ascii="Times New Roman" w:hAnsi="Times New Roman"/>
          <w:sz w:val="22"/>
          <w:vertAlign w:val="baseline"/>
        </w:rPr>
        <w:footnoteRef/>
      </w:r>
      <w:r w:rsidRPr="000E033B">
        <w:rPr>
          <w:rFonts w:ascii="Times New Roman" w:hAnsi="Times New Roman"/>
          <w:sz w:val="24"/>
        </w:rPr>
        <w:t xml:space="preserve"> </w:t>
      </w:r>
      <w:r w:rsidRPr="000E033B">
        <w:rPr>
          <w:rFonts w:ascii="Times New Roman" w:hAnsi="Times New Roman"/>
          <w:sz w:val="24"/>
        </w:rPr>
        <w:tab/>
      </w:r>
      <w:r w:rsidRPr="000E033B">
        <w:rPr>
          <w:rFonts w:ascii="Times New Roman" w:hAnsi="Times New Roman"/>
          <w:i/>
          <w:iCs/>
          <w:sz w:val="24"/>
        </w:rPr>
        <w:t xml:space="preserve">Jurisdictional Immunities of the State (Germany v Italy: Greece intervening) </w:t>
      </w:r>
      <w:r w:rsidRPr="000E033B">
        <w:rPr>
          <w:rFonts w:ascii="Times New Roman" w:hAnsi="Times New Roman"/>
          <w:sz w:val="24"/>
        </w:rPr>
        <w:t xml:space="preserve">[2012] ICJ Rep 99 at 125 [60]. See also </w:t>
      </w:r>
      <w:r w:rsidRPr="000E033B">
        <w:rPr>
          <w:rFonts w:ascii="Times New Roman" w:hAnsi="Times New Roman"/>
          <w:i/>
          <w:iCs/>
          <w:sz w:val="24"/>
        </w:rPr>
        <w:t>PT Garuda Indonesia Ltd v Australian Competition and Consumer Commission</w:t>
      </w:r>
      <w:r w:rsidRPr="000E033B">
        <w:rPr>
          <w:rFonts w:ascii="Times New Roman" w:hAnsi="Times New Roman"/>
          <w:sz w:val="24"/>
        </w:rPr>
        <w:t xml:space="preserve"> (2012) 247 CLR 240 at 244 [5]-[6]; </w:t>
      </w:r>
      <w:r w:rsidRPr="000E033B">
        <w:rPr>
          <w:rFonts w:ascii="Times New Roman" w:hAnsi="Times New Roman"/>
          <w:i/>
          <w:sz w:val="24"/>
        </w:rPr>
        <w:t>Argentum Exploration Ltd v The Silver</w:t>
      </w:r>
      <w:r w:rsidRPr="000E033B">
        <w:rPr>
          <w:rFonts w:ascii="Times New Roman" w:hAnsi="Times New Roman"/>
          <w:sz w:val="24"/>
        </w:rPr>
        <w:t xml:space="preserve"> [2025] AC 555 at 594 [102].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DE114" w14:textId="77777777" w:rsidR="000E033B" w:rsidRPr="00B55DBB" w:rsidRDefault="000E033B" w:rsidP="00B55D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7DEA" w14:textId="4ABF41F5" w:rsidR="000E033B" w:rsidRPr="00B55DBB" w:rsidRDefault="00B55DBB" w:rsidP="00B55DBB">
    <w:pPr>
      <w:pStyle w:val="Header"/>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 (</w:instrText>
    </w:r>
    <w:r>
      <w:rPr>
        <w:rFonts w:ascii="Times New Roman" w:hAnsi="Times New Roman"/>
        <w:sz w:val="22"/>
      </w:rPr>
      <w:fldChar w:fldCharType="begin"/>
    </w:r>
    <w:r>
      <w:rPr>
        <w:rFonts w:ascii="Times New Roman" w:hAnsi="Times New Roman"/>
        <w:sz w:val="22"/>
      </w:rPr>
      <w:instrText xml:space="preserve"> page </w:instrText>
    </w:r>
    <w:r>
      <w:rPr>
        <w:rFonts w:ascii="Times New Roman" w:hAnsi="Times New Roman"/>
        <w:sz w:val="22"/>
      </w:rPr>
      <w:fldChar w:fldCharType="end"/>
    </w:r>
    <w:r>
      <w:rPr>
        <w:rFonts w:ascii="Times New Roman" w:hAnsi="Times New Roman"/>
        <w:sz w:val="22"/>
      </w:rPr>
      <w:instrText xml:space="preserve"> + 1)/2 </w:instrText>
    </w:r>
    <w:r>
      <w:rPr>
        <w:rFonts w:ascii="Times New Roman" w:hAnsi="Times New Roman"/>
        <w:sz w:val="22"/>
      </w:rPr>
      <w:fldChar w:fldCharType="end"/>
    </w:r>
    <w:r>
      <w:rPr>
        <w:rFonts w:ascii="Times New Roman" w:hAnsi="Times New Roman"/>
        <w:sz w:val="22"/>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5F513" w14:textId="4C97BD37" w:rsidR="007B2099" w:rsidRPr="00B55DBB" w:rsidRDefault="007B2099" w:rsidP="00B55D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3047B" w14:textId="77777777" w:rsidR="00B55DBB" w:rsidRPr="005D1AE3" w:rsidRDefault="00B55DBB" w:rsidP="000E033B">
    <w:pPr>
      <w:pStyle w:val="Header"/>
      <w:tabs>
        <w:tab w:val="clear" w:pos="4153"/>
        <w:tab w:val="clear" w:pos="8306"/>
        <w:tab w:val="right" w:pos="1304"/>
      </w:tabs>
      <w:spacing w:line="280" w:lineRule="exact"/>
      <w:ind w:firstLine="0"/>
      <w:rPr>
        <w:rFonts w:ascii="Times New Roman" w:hAnsi="Times New Roman"/>
        <w:i/>
        <w:sz w:val="22"/>
        <w:lang w:val="de-AT"/>
      </w:rPr>
    </w:pPr>
    <w:r w:rsidRPr="005D1AE3">
      <w:rPr>
        <w:rFonts w:ascii="Times New Roman" w:hAnsi="Times New Roman"/>
        <w:i/>
        <w:sz w:val="22"/>
        <w:lang w:val="de-AT"/>
      </w:rPr>
      <w:t>Gageler</w:t>
    </w:r>
    <w:r w:rsidRPr="005D1AE3">
      <w:rPr>
        <w:rFonts w:ascii="Times New Roman" w:hAnsi="Times New Roman"/>
        <w:i/>
        <w:sz w:val="22"/>
        <w:lang w:val="de-AT"/>
      </w:rPr>
      <w:tab/>
      <w:t>CJ</w:t>
    </w:r>
  </w:p>
  <w:p w14:paraId="027FB4BC" w14:textId="77777777" w:rsidR="00B55DBB" w:rsidRPr="005D1AE3" w:rsidRDefault="00B55DBB" w:rsidP="000E033B">
    <w:pPr>
      <w:pStyle w:val="Header"/>
      <w:tabs>
        <w:tab w:val="clear" w:pos="4153"/>
        <w:tab w:val="clear" w:pos="8306"/>
        <w:tab w:val="right" w:pos="1304"/>
      </w:tabs>
      <w:spacing w:line="280" w:lineRule="exact"/>
      <w:ind w:firstLine="0"/>
      <w:rPr>
        <w:rFonts w:ascii="Times New Roman" w:hAnsi="Times New Roman"/>
        <w:i/>
        <w:sz w:val="22"/>
        <w:lang w:val="de-AT"/>
      </w:rPr>
    </w:pPr>
    <w:r w:rsidRPr="005D1AE3">
      <w:rPr>
        <w:rFonts w:ascii="Times New Roman" w:hAnsi="Times New Roman"/>
        <w:i/>
        <w:sz w:val="22"/>
        <w:lang w:val="de-AT"/>
      </w:rPr>
      <w:t>Gordon</w:t>
    </w:r>
    <w:r w:rsidRPr="005D1AE3">
      <w:rPr>
        <w:rFonts w:ascii="Times New Roman" w:hAnsi="Times New Roman"/>
        <w:i/>
        <w:sz w:val="22"/>
        <w:lang w:val="de-AT"/>
      </w:rPr>
      <w:tab/>
      <w:t>J</w:t>
    </w:r>
  </w:p>
  <w:p w14:paraId="78453FCC" w14:textId="77777777" w:rsidR="00B55DBB" w:rsidRPr="005D1AE3" w:rsidRDefault="00B55DBB" w:rsidP="000E033B">
    <w:pPr>
      <w:pStyle w:val="Header"/>
      <w:tabs>
        <w:tab w:val="clear" w:pos="4153"/>
        <w:tab w:val="clear" w:pos="8306"/>
        <w:tab w:val="right" w:pos="1304"/>
      </w:tabs>
      <w:spacing w:line="280" w:lineRule="exact"/>
      <w:ind w:firstLine="0"/>
      <w:rPr>
        <w:rFonts w:ascii="Times New Roman" w:hAnsi="Times New Roman"/>
        <w:i/>
        <w:sz w:val="22"/>
        <w:lang w:val="de-AT"/>
      </w:rPr>
    </w:pPr>
    <w:r w:rsidRPr="005D1AE3">
      <w:rPr>
        <w:rFonts w:ascii="Times New Roman" w:hAnsi="Times New Roman"/>
        <w:i/>
        <w:sz w:val="22"/>
        <w:lang w:val="de-AT"/>
      </w:rPr>
      <w:t>Edelman</w:t>
    </w:r>
    <w:r w:rsidRPr="005D1AE3">
      <w:rPr>
        <w:rFonts w:ascii="Times New Roman" w:hAnsi="Times New Roman"/>
        <w:i/>
        <w:sz w:val="22"/>
        <w:lang w:val="de-AT"/>
      </w:rPr>
      <w:tab/>
      <w:t>J</w:t>
    </w:r>
  </w:p>
  <w:p w14:paraId="13AD7B76" w14:textId="77777777" w:rsidR="00B55DBB" w:rsidRPr="000E033B" w:rsidRDefault="00B55DBB" w:rsidP="000E033B">
    <w:pPr>
      <w:pStyle w:val="Header"/>
      <w:tabs>
        <w:tab w:val="clear" w:pos="4153"/>
        <w:tab w:val="clear" w:pos="8306"/>
        <w:tab w:val="right" w:pos="1304"/>
      </w:tabs>
      <w:spacing w:line="280" w:lineRule="exact"/>
      <w:ind w:firstLine="0"/>
      <w:rPr>
        <w:rFonts w:ascii="Times New Roman" w:hAnsi="Times New Roman"/>
        <w:i/>
        <w:sz w:val="22"/>
      </w:rPr>
    </w:pPr>
    <w:r w:rsidRPr="000E033B">
      <w:rPr>
        <w:rFonts w:ascii="Times New Roman" w:hAnsi="Times New Roman"/>
        <w:i/>
        <w:sz w:val="22"/>
      </w:rPr>
      <w:t>Steward</w:t>
    </w:r>
    <w:r w:rsidRPr="000E033B">
      <w:rPr>
        <w:rFonts w:ascii="Times New Roman" w:hAnsi="Times New Roman"/>
        <w:i/>
        <w:sz w:val="22"/>
      </w:rPr>
      <w:tab/>
      <w:t>J</w:t>
    </w:r>
  </w:p>
  <w:p w14:paraId="01661C23" w14:textId="77777777" w:rsidR="00B55DBB" w:rsidRPr="000E033B" w:rsidRDefault="00B55DBB" w:rsidP="000E033B">
    <w:pPr>
      <w:pStyle w:val="Header"/>
      <w:tabs>
        <w:tab w:val="clear" w:pos="4153"/>
        <w:tab w:val="clear" w:pos="8306"/>
        <w:tab w:val="right" w:pos="1304"/>
      </w:tabs>
      <w:spacing w:line="280" w:lineRule="exact"/>
      <w:ind w:firstLine="0"/>
      <w:rPr>
        <w:rFonts w:ascii="Times New Roman" w:hAnsi="Times New Roman"/>
        <w:i/>
        <w:sz w:val="22"/>
      </w:rPr>
    </w:pPr>
    <w:r w:rsidRPr="000E033B">
      <w:rPr>
        <w:rFonts w:ascii="Times New Roman" w:hAnsi="Times New Roman"/>
        <w:i/>
        <w:sz w:val="22"/>
      </w:rPr>
      <w:t>Gleeson</w:t>
    </w:r>
    <w:r w:rsidRPr="000E033B">
      <w:rPr>
        <w:rFonts w:ascii="Times New Roman" w:hAnsi="Times New Roman"/>
        <w:i/>
        <w:sz w:val="22"/>
      </w:rPr>
      <w:tab/>
      <w:t>J</w:t>
    </w:r>
  </w:p>
  <w:p w14:paraId="45521C05" w14:textId="77777777" w:rsidR="00B55DBB" w:rsidRPr="000E033B" w:rsidRDefault="00B55DBB" w:rsidP="000E033B">
    <w:pPr>
      <w:pStyle w:val="Header"/>
      <w:tabs>
        <w:tab w:val="clear" w:pos="4153"/>
        <w:tab w:val="clear" w:pos="8306"/>
        <w:tab w:val="right" w:pos="1304"/>
      </w:tabs>
      <w:spacing w:line="280" w:lineRule="exact"/>
      <w:ind w:firstLine="0"/>
      <w:rPr>
        <w:rFonts w:ascii="Times New Roman" w:hAnsi="Times New Roman"/>
        <w:i/>
        <w:sz w:val="22"/>
      </w:rPr>
    </w:pPr>
    <w:r w:rsidRPr="000E033B">
      <w:rPr>
        <w:rFonts w:ascii="Times New Roman" w:hAnsi="Times New Roman"/>
        <w:i/>
        <w:sz w:val="22"/>
      </w:rPr>
      <w:t>Jagot</w:t>
    </w:r>
    <w:r w:rsidRPr="000E033B">
      <w:rPr>
        <w:rFonts w:ascii="Times New Roman" w:hAnsi="Times New Roman"/>
        <w:i/>
        <w:sz w:val="22"/>
      </w:rPr>
      <w:tab/>
      <w:t>J</w:t>
    </w:r>
  </w:p>
  <w:p w14:paraId="7A09B339" w14:textId="77777777" w:rsidR="00B55DBB" w:rsidRDefault="00B55DBB" w:rsidP="000E033B">
    <w:pPr>
      <w:pStyle w:val="Header"/>
      <w:tabs>
        <w:tab w:val="clear" w:pos="4153"/>
        <w:tab w:val="clear" w:pos="8306"/>
        <w:tab w:val="right" w:pos="1304"/>
      </w:tabs>
      <w:spacing w:line="280" w:lineRule="exact"/>
      <w:ind w:firstLine="0"/>
      <w:rPr>
        <w:rFonts w:ascii="Times New Roman" w:hAnsi="Times New Roman"/>
        <w:i/>
        <w:sz w:val="22"/>
      </w:rPr>
    </w:pPr>
    <w:r>
      <w:rPr>
        <w:rFonts w:ascii="Times New Roman" w:hAnsi="Times New Roman"/>
        <w:i/>
        <w:sz w:val="22"/>
      </w:rPr>
      <w:t>Beech-Jones</w:t>
    </w:r>
    <w:r>
      <w:rPr>
        <w:rFonts w:ascii="Times New Roman" w:hAnsi="Times New Roman"/>
        <w:i/>
        <w:sz w:val="22"/>
      </w:rPr>
      <w:tab/>
      <w:t>J</w:t>
    </w:r>
  </w:p>
  <w:p w14:paraId="612D7AFB" w14:textId="77777777" w:rsidR="00B55DBB" w:rsidRDefault="00B55DBB" w:rsidP="000E033B">
    <w:pPr>
      <w:pStyle w:val="Header"/>
      <w:tabs>
        <w:tab w:val="clear" w:pos="4153"/>
        <w:tab w:val="clear" w:pos="8306"/>
        <w:tab w:val="right" w:pos="1304"/>
      </w:tabs>
      <w:spacing w:line="280" w:lineRule="exact"/>
      <w:ind w:firstLine="0"/>
      <w:rPr>
        <w:rFonts w:ascii="Times New Roman" w:hAnsi="Times New Roman"/>
        <w:i/>
        <w:sz w:val="22"/>
      </w:rPr>
    </w:pPr>
  </w:p>
  <w:p w14:paraId="28D3D0F7" w14:textId="77777777" w:rsidR="00B55DBB" w:rsidRDefault="00B55DBB" w:rsidP="000E033B">
    <w:pPr>
      <w:pStyle w:val="Header"/>
      <w:tabs>
        <w:tab w:val="clear" w:pos="4153"/>
        <w:tab w:val="clear" w:pos="8306"/>
        <w:tab w:val="right" w:pos="1304"/>
      </w:tabs>
      <w:spacing w:line="280" w:lineRule="exact"/>
      <w:ind w:firstLine="0"/>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61046F24" w14:textId="77777777" w:rsidR="00B55DBB" w:rsidRPr="000E033B" w:rsidRDefault="00B55DBB" w:rsidP="000E033B">
    <w:pPr>
      <w:pStyle w:val="Header"/>
      <w:tabs>
        <w:tab w:val="clear" w:pos="4153"/>
        <w:tab w:val="clear" w:pos="8306"/>
        <w:tab w:val="right" w:pos="1304"/>
      </w:tabs>
      <w:spacing w:line="280" w:lineRule="exact"/>
      <w:ind w:firstLine="0"/>
      <w:jc w:val="center"/>
      <w:rPr>
        <w:rFonts w:ascii="Times New Roman" w:hAnsi="Times New Roman"/>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457E0" w14:textId="77777777" w:rsidR="00B55DBB" w:rsidRPr="005D1AE3" w:rsidRDefault="00B55DBB" w:rsidP="000E033B">
    <w:pPr>
      <w:pStyle w:val="Header"/>
      <w:tabs>
        <w:tab w:val="clear" w:pos="4153"/>
        <w:tab w:val="clear" w:pos="8306"/>
        <w:tab w:val="left" w:pos="7200"/>
        <w:tab w:val="right" w:pos="8504"/>
      </w:tabs>
      <w:spacing w:line="280" w:lineRule="exact"/>
      <w:jc w:val="right"/>
      <w:rPr>
        <w:rFonts w:ascii="Times New Roman" w:hAnsi="Times New Roman"/>
        <w:i/>
        <w:sz w:val="22"/>
        <w:lang w:val="de-AT"/>
      </w:rPr>
    </w:pPr>
    <w:r w:rsidRPr="000E033B">
      <w:rPr>
        <w:rFonts w:ascii="Times New Roman" w:hAnsi="Times New Roman"/>
        <w:i/>
        <w:sz w:val="22"/>
      </w:rPr>
      <w:tab/>
    </w:r>
    <w:r w:rsidRPr="005D1AE3">
      <w:rPr>
        <w:rFonts w:ascii="Times New Roman" w:hAnsi="Times New Roman"/>
        <w:i/>
        <w:sz w:val="22"/>
        <w:lang w:val="de-AT"/>
      </w:rPr>
      <w:t>Gageler</w:t>
    </w:r>
    <w:r w:rsidRPr="005D1AE3">
      <w:rPr>
        <w:rFonts w:ascii="Times New Roman" w:hAnsi="Times New Roman"/>
        <w:i/>
        <w:sz w:val="22"/>
        <w:lang w:val="de-AT"/>
      </w:rPr>
      <w:tab/>
      <w:t>CJ</w:t>
    </w:r>
  </w:p>
  <w:p w14:paraId="5F3BFC9F" w14:textId="77777777" w:rsidR="00B55DBB" w:rsidRPr="005D1AE3" w:rsidRDefault="00B55DBB" w:rsidP="000E033B">
    <w:pPr>
      <w:pStyle w:val="Header"/>
      <w:tabs>
        <w:tab w:val="clear" w:pos="4153"/>
        <w:tab w:val="clear" w:pos="8306"/>
        <w:tab w:val="left" w:pos="7200"/>
        <w:tab w:val="right" w:pos="8504"/>
      </w:tabs>
      <w:spacing w:line="280" w:lineRule="exact"/>
      <w:jc w:val="right"/>
      <w:rPr>
        <w:rFonts w:ascii="Times New Roman" w:hAnsi="Times New Roman"/>
        <w:i/>
        <w:sz w:val="22"/>
        <w:lang w:val="de-AT"/>
      </w:rPr>
    </w:pPr>
    <w:r w:rsidRPr="005D1AE3">
      <w:rPr>
        <w:rFonts w:ascii="Times New Roman" w:hAnsi="Times New Roman"/>
        <w:i/>
        <w:sz w:val="22"/>
        <w:lang w:val="de-AT"/>
      </w:rPr>
      <w:tab/>
      <w:t>Gordon</w:t>
    </w:r>
    <w:r w:rsidRPr="005D1AE3">
      <w:rPr>
        <w:rFonts w:ascii="Times New Roman" w:hAnsi="Times New Roman"/>
        <w:i/>
        <w:sz w:val="22"/>
        <w:lang w:val="de-AT"/>
      </w:rPr>
      <w:tab/>
      <w:t>J</w:t>
    </w:r>
  </w:p>
  <w:p w14:paraId="1B574E35" w14:textId="77777777" w:rsidR="00B55DBB" w:rsidRPr="005D1AE3" w:rsidRDefault="00B55DBB" w:rsidP="000E033B">
    <w:pPr>
      <w:pStyle w:val="Header"/>
      <w:tabs>
        <w:tab w:val="clear" w:pos="4153"/>
        <w:tab w:val="clear" w:pos="8306"/>
        <w:tab w:val="left" w:pos="7200"/>
        <w:tab w:val="right" w:pos="8504"/>
      </w:tabs>
      <w:spacing w:line="280" w:lineRule="exact"/>
      <w:jc w:val="right"/>
      <w:rPr>
        <w:rFonts w:ascii="Times New Roman" w:hAnsi="Times New Roman"/>
        <w:i/>
        <w:sz w:val="22"/>
        <w:lang w:val="de-AT"/>
      </w:rPr>
    </w:pPr>
    <w:r w:rsidRPr="005D1AE3">
      <w:rPr>
        <w:rFonts w:ascii="Times New Roman" w:hAnsi="Times New Roman"/>
        <w:i/>
        <w:sz w:val="22"/>
        <w:lang w:val="de-AT"/>
      </w:rPr>
      <w:tab/>
      <w:t>Edelman</w:t>
    </w:r>
    <w:r w:rsidRPr="005D1AE3">
      <w:rPr>
        <w:rFonts w:ascii="Times New Roman" w:hAnsi="Times New Roman"/>
        <w:i/>
        <w:sz w:val="22"/>
        <w:lang w:val="de-AT"/>
      </w:rPr>
      <w:tab/>
      <w:t>J</w:t>
    </w:r>
  </w:p>
  <w:p w14:paraId="7F60170D" w14:textId="77777777" w:rsidR="00B55DBB" w:rsidRPr="000E033B" w:rsidRDefault="00B55DBB" w:rsidP="000E033B">
    <w:pPr>
      <w:pStyle w:val="Header"/>
      <w:tabs>
        <w:tab w:val="clear" w:pos="4153"/>
        <w:tab w:val="clear" w:pos="8306"/>
        <w:tab w:val="left" w:pos="7200"/>
        <w:tab w:val="right" w:pos="8504"/>
      </w:tabs>
      <w:spacing w:line="280" w:lineRule="exact"/>
      <w:jc w:val="right"/>
      <w:rPr>
        <w:rFonts w:ascii="Times New Roman" w:hAnsi="Times New Roman"/>
        <w:i/>
        <w:sz w:val="22"/>
      </w:rPr>
    </w:pPr>
    <w:r w:rsidRPr="005D1AE3">
      <w:rPr>
        <w:rFonts w:ascii="Times New Roman" w:hAnsi="Times New Roman"/>
        <w:i/>
        <w:sz w:val="22"/>
        <w:lang w:val="de-AT"/>
      </w:rPr>
      <w:tab/>
    </w:r>
    <w:r w:rsidRPr="000E033B">
      <w:rPr>
        <w:rFonts w:ascii="Times New Roman" w:hAnsi="Times New Roman"/>
        <w:i/>
        <w:sz w:val="22"/>
      </w:rPr>
      <w:t>Steward</w:t>
    </w:r>
    <w:r w:rsidRPr="000E033B">
      <w:rPr>
        <w:rFonts w:ascii="Times New Roman" w:hAnsi="Times New Roman"/>
        <w:i/>
        <w:sz w:val="22"/>
      </w:rPr>
      <w:tab/>
      <w:t>J</w:t>
    </w:r>
  </w:p>
  <w:p w14:paraId="246138B9" w14:textId="77777777" w:rsidR="00B55DBB" w:rsidRPr="000E033B" w:rsidRDefault="00B55DBB" w:rsidP="000E033B">
    <w:pPr>
      <w:pStyle w:val="Header"/>
      <w:tabs>
        <w:tab w:val="clear" w:pos="4153"/>
        <w:tab w:val="clear" w:pos="8306"/>
        <w:tab w:val="left" w:pos="7200"/>
        <w:tab w:val="right" w:pos="8504"/>
      </w:tabs>
      <w:spacing w:line="280" w:lineRule="exact"/>
      <w:jc w:val="right"/>
      <w:rPr>
        <w:rFonts w:ascii="Times New Roman" w:hAnsi="Times New Roman"/>
        <w:i/>
        <w:sz w:val="22"/>
      </w:rPr>
    </w:pPr>
    <w:r w:rsidRPr="000E033B">
      <w:rPr>
        <w:rFonts w:ascii="Times New Roman" w:hAnsi="Times New Roman"/>
        <w:i/>
        <w:sz w:val="22"/>
      </w:rPr>
      <w:tab/>
      <w:t>Gleeson</w:t>
    </w:r>
    <w:r w:rsidRPr="000E033B">
      <w:rPr>
        <w:rFonts w:ascii="Times New Roman" w:hAnsi="Times New Roman"/>
        <w:i/>
        <w:sz w:val="22"/>
      </w:rPr>
      <w:tab/>
      <w:t>J</w:t>
    </w:r>
  </w:p>
  <w:p w14:paraId="40C9D35E" w14:textId="77777777" w:rsidR="00B55DBB" w:rsidRPr="000E033B" w:rsidRDefault="00B55DBB" w:rsidP="000E033B">
    <w:pPr>
      <w:pStyle w:val="Header"/>
      <w:tabs>
        <w:tab w:val="clear" w:pos="4153"/>
        <w:tab w:val="clear" w:pos="8306"/>
        <w:tab w:val="left" w:pos="7200"/>
        <w:tab w:val="right" w:pos="8504"/>
      </w:tabs>
      <w:spacing w:line="280" w:lineRule="exact"/>
      <w:jc w:val="right"/>
      <w:rPr>
        <w:rFonts w:ascii="Times New Roman" w:hAnsi="Times New Roman"/>
        <w:i/>
        <w:sz w:val="22"/>
      </w:rPr>
    </w:pPr>
    <w:r w:rsidRPr="000E033B">
      <w:rPr>
        <w:rFonts w:ascii="Times New Roman" w:hAnsi="Times New Roman"/>
        <w:i/>
        <w:sz w:val="22"/>
      </w:rPr>
      <w:tab/>
      <w:t>Jagot</w:t>
    </w:r>
    <w:r w:rsidRPr="000E033B">
      <w:rPr>
        <w:rFonts w:ascii="Times New Roman" w:hAnsi="Times New Roman"/>
        <w:i/>
        <w:sz w:val="22"/>
      </w:rPr>
      <w:tab/>
      <w:t>J</w:t>
    </w:r>
  </w:p>
  <w:p w14:paraId="19BEA5E7" w14:textId="77777777" w:rsidR="00B55DBB" w:rsidRDefault="00B55DBB" w:rsidP="000E033B">
    <w:pPr>
      <w:pStyle w:val="Header"/>
      <w:tabs>
        <w:tab w:val="clear" w:pos="4153"/>
        <w:tab w:val="clear" w:pos="8306"/>
        <w:tab w:val="left" w:pos="7200"/>
        <w:tab w:val="right" w:pos="8504"/>
      </w:tabs>
      <w:spacing w:line="280" w:lineRule="exact"/>
      <w:jc w:val="right"/>
      <w:rPr>
        <w:rFonts w:ascii="Times New Roman" w:hAnsi="Times New Roman"/>
        <w:i/>
        <w:sz w:val="22"/>
      </w:rPr>
    </w:pPr>
    <w:r>
      <w:rPr>
        <w:rFonts w:ascii="Times New Roman" w:hAnsi="Times New Roman"/>
        <w:i/>
        <w:sz w:val="22"/>
      </w:rPr>
      <w:tab/>
      <w:t>Beech-Jones</w:t>
    </w:r>
    <w:r>
      <w:rPr>
        <w:rFonts w:ascii="Times New Roman" w:hAnsi="Times New Roman"/>
        <w:i/>
        <w:sz w:val="22"/>
      </w:rPr>
      <w:tab/>
      <w:t>J</w:t>
    </w:r>
  </w:p>
  <w:p w14:paraId="41EF3FD9" w14:textId="77777777" w:rsidR="00B55DBB" w:rsidRDefault="00B55DBB" w:rsidP="000E033B">
    <w:pPr>
      <w:pStyle w:val="Header"/>
      <w:tabs>
        <w:tab w:val="clear" w:pos="4153"/>
        <w:tab w:val="clear" w:pos="8306"/>
        <w:tab w:val="left" w:pos="7200"/>
        <w:tab w:val="right" w:pos="8504"/>
      </w:tabs>
      <w:spacing w:line="280" w:lineRule="exact"/>
      <w:jc w:val="right"/>
      <w:rPr>
        <w:rFonts w:ascii="Times New Roman" w:hAnsi="Times New Roman"/>
        <w:i/>
        <w:sz w:val="22"/>
      </w:rPr>
    </w:pPr>
  </w:p>
  <w:p w14:paraId="127132C3" w14:textId="77777777" w:rsidR="00B55DBB" w:rsidRDefault="00B55DBB" w:rsidP="000E033B">
    <w:pPr>
      <w:pStyle w:val="Header"/>
      <w:tabs>
        <w:tab w:val="clear" w:pos="4153"/>
        <w:tab w:val="clear" w:pos="8306"/>
        <w:tab w:val="left" w:pos="7200"/>
        <w:tab w:val="right" w:pos="8504"/>
      </w:tabs>
      <w:spacing w:line="280" w:lineRule="exact"/>
      <w:jc w:val="center"/>
      <w:rPr>
        <w:rFonts w:ascii="Times New Roman" w:hAnsi="Times New Roman"/>
        <w:sz w:val="22"/>
      </w:rPr>
    </w:pPr>
    <w:r>
      <w:rPr>
        <w:rFonts w:ascii="Times New Roman" w:hAnsi="Times New Roman"/>
        <w:sz w:val="22"/>
      </w:rPr>
      <w:fldChar w:fldCharType="begin"/>
    </w:r>
    <w:r>
      <w:rPr>
        <w:rFonts w:ascii="Times New Roman" w:hAnsi="Times New Roman"/>
        <w:sz w:val="22"/>
      </w:rPr>
      <w:instrText xml:space="preserve"> PAGE  \* MERGEFORMAT </w:instrText>
    </w:r>
    <w:r>
      <w:rPr>
        <w:rFonts w:ascii="Times New Roman" w:hAnsi="Times New Roman"/>
        <w:sz w:val="22"/>
      </w:rPr>
      <w:fldChar w:fldCharType="separate"/>
    </w:r>
    <w:r>
      <w:rPr>
        <w:rFonts w:ascii="Times New Roman" w:hAnsi="Times New Roman"/>
        <w:noProof/>
        <w:sz w:val="22"/>
      </w:rPr>
      <w:t>1</w:t>
    </w:r>
    <w:r>
      <w:rPr>
        <w:rFonts w:ascii="Times New Roman" w:hAnsi="Times New Roman"/>
        <w:sz w:val="22"/>
      </w:rPr>
      <w:fldChar w:fldCharType="end"/>
    </w:r>
    <w:r>
      <w:rPr>
        <w:rFonts w:ascii="Times New Roman" w:hAnsi="Times New Roman"/>
        <w:sz w:val="22"/>
      </w:rPr>
      <w:t>.</w:t>
    </w:r>
  </w:p>
  <w:p w14:paraId="1BB52EE5" w14:textId="77777777" w:rsidR="00B55DBB" w:rsidRPr="000E033B" w:rsidRDefault="00B55DBB" w:rsidP="000E033B">
    <w:pPr>
      <w:pStyle w:val="Header"/>
      <w:tabs>
        <w:tab w:val="clear" w:pos="4153"/>
        <w:tab w:val="clear" w:pos="8306"/>
        <w:tab w:val="left" w:pos="7200"/>
        <w:tab w:val="right" w:pos="8504"/>
      </w:tabs>
      <w:spacing w:line="280" w:lineRule="exact"/>
      <w:jc w:val="center"/>
      <w:rPr>
        <w:rFonts w:ascii="Times New Roman" w:hAnsi="Times New Roman"/>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5A231" w14:textId="77777777" w:rsidR="00B55DBB" w:rsidRDefault="00B55DBB" w:rsidP="000E033B">
    <w:pPr>
      <w:pStyle w:val="Header"/>
      <w:tabs>
        <w:tab w:val="clear" w:pos="4153"/>
        <w:tab w:val="clear" w:pos="8306"/>
        <w:tab w:val="center" w:pos="1134"/>
      </w:tabs>
      <w:spacing w:line="280" w:lineRule="exact"/>
      <w:ind w:firstLine="0"/>
      <w:rPr>
        <w:rFonts w:ascii="Times New Roman" w:hAnsi="Times New Roman"/>
        <w:i/>
        <w:sz w:val="22"/>
      </w:rPr>
    </w:pPr>
  </w:p>
  <w:p w14:paraId="4FBC269D" w14:textId="77777777" w:rsidR="00B55DBB" w:rsidRDefault="00B55DBB" w:rsidP="000E033B">
    <w:pPr>
      <w:pStyle w:val="Header"/>
      <w:tabs>
        <w:tab w:val="clear" w:pos="4153"/>
        <w:tab w:val="clear" w:pos="8306"/>
        <w:tab w:val="center" w:pos="1134"/>
      </w:tabs>
      <w:spacing w:line="280" w:lineRule="exact"/>
      <w:ind w:firstLine="0"/>
      <w:rPr>
        <w:rFonts w:ascii="Times New Roman" w:hAnsi="Times New Roman"/>
        <w:i/>
        <w:sz w:val="22"/>
      </w:rPr>
    </w:pPr>
  </w:p>
  <w:p w14:paraId="002235B2" w14:textId="77777777" w:rsidR="00B55DBB" w:rsidRDefault="00B55DBB" w:rsidP="000E033B">
    <w:pPr>
      <w:pStyle w:val="Header"/>
      <w:tabs>
        <w:tab w:val="clear" w:pos="4153"/>
        <w:tab w:val="clear" w:pos="8306"/>
        <w:tab w:val="center" w:pos="1134"/>
      </w:tabs>
      <w:spacing w:line="280" w:lineRule="exact"/>
      <w:ind w:firstLine="0"/>
      <w:rPr>
        <w:rFonts w:ascii="Times New Roman" w:hAnsi="Times New Roman"/>
        <w:i/>
        <w:sz w:val="22"/>
      </w:rPr>
    </w:pPr>
  </w:p>
  <w:p w14:paraId="3B72AD47" w14:textId="77777777" w:rsidR="00B55DBB" w:rsidRDefault="00B55DBB" w:rsidP="000E033B">
    <w:pPr>
      <w:pStyle w:val="Header"/>
      <w:tabs>
        <w:tab w:val="clear" w:pos="4153"/>
        <w:tab w:val="clear" w:pos="8306"/>
        <w:tab w:val="center" w:pos="1134"/>
      </w:tabs>
      <w:spacing w:line="280" w:lineRule="exact"/>
      <w:ind w:firstLine="0"/>
      <w:rPr>
        <w:rFonts w:ascii="Times New Roman" w:hAnsi="Times New Roman"/>
        <w:i/>
        <w:sz w:val="22"/>
      </w:rPr>
    </w:pPr>
  </w:p>
  <w:p w14:paraId="396E5ECD" w14:textId="77777777" w:rsidR="00B55DBB" w:rsidRDefault="00B55DBB" w:rsidP="000E033B">
    <w:pPr>
      <w:pStyle w:val="Header"/>
      <w:tabs>
        <w:tab w:val="clear" w:pos="4153"/>
        <w:tab w:val="clear" w:pos="8306"/>
        <w:tab w:val="center" w:pos="1134"/>
      </w:tabs>
      <w:spacing w:line="280" w:lineRule="exact"/>
      <w:ind w:firstLine="0"/>
      <w:rPr>
        <w:rFonts w:ascii="Times New Roman" w:hAnsi="Times New Roman"/>
        <w:i/>
        <w:sz w:val="22"/>
      </w:rPr>
    </w:pPr>
  </w:p>
  <w:p w14:paraId="5A37B6D0" w14:textId="77777777" w:rsidR="00B55DBB" w:rsidRDefault="00B55DBB" w:rsidP="000E033B">
    <w:pPr>
      <w:pStyle w:val="Header"/>
      <w:tabs>
        <w:tab w:val="clear" w:pos="4153"/>
        <w:tab w:val="clear" w:pos="8306"/>
        <w:tab w:val="center" w:pos="1134"/>
      </w:tabs>
      <w:spacing w:line="280" w:lineRule="exact"/>
      <w:ind w:firstLine="0"/>
      <w:rPr>
        <w:rFonts w:ascii="Times New Roman" w:hAnsi="Times New Roman"/>
        <w:i/>
        <w:sz w:val="22"/>
      </w:rPr>
    </w:pPr>
  </w:p>
  <w:p w14:paraId="266D2953" w14:textId="77777777" w:rsidR="00B55DBB" w:rsidRDefault="00B55DBB" w:rsidP="000E033B">
    <w:pPr>
      <w:pStyle w:val="Header"/>
      <w:tabs>
        <w:tab w:val="clear" w:pos="4153"/>
        <w:tab w:val="clear" w:pos="8306"/>
        <w:tab w:val="center" w:pos="1134"/>
      </w:tabs>
      <w:spacing w:line="280" w:lineRule="exact"/>
      <w:ind w:firstLine="0"/>
      <w:rPr>
        <w:rFonts w:ascii="Times New Roman" w:hAnsi="Times New Roman"/>
        <w:i/>
        <w:sz w:val="22"/>
      </w:rPr>
    </w:pPr>
  </w:p>
  <w:p w14:paraId="44D70DE0" w14:textId="77777777" w:rsidR="00B55DBB" w:rsidRDefault="00B55DBB" w:rsidP="000E033B">
    <w:pPr>
      <w:pStyle w:val="Header"/>
      <w:tabs>
        <w:tab w:val="clear" w:pos="4153"/>
        <w:tab w:val="clear" w:pos="8306"/>
        <w:tab w:val="center" w:pos="1134"/>
      </w:tabs>
      <w:spacing w:line="280" w:lineRule="exact"/>
      <w:ind w:firstLine="0"/>
      <w:rPr>
        <w:rFonts w:ascii="Times New Roman" w:hAnsi="Times New Roman"/>
        <w:i/>
        <w:sz w:val="22"/>
      </w:rPr>
    </w:pPr>
  </w:p>
  <w:p w14:paraId="093C111C" w14:textId="77777777" w:rsidR="00B55DBB" w:rsidRDefault="00B55DBB" w:rsidP="000E033B">
    <w:pPr>
      <w:pStyle w:val="Header"/>
      <w:tabs>
        <w:tab w:val="clear" w:pos="4153"/>
        <w:tab w:val="clear" w:pos="8306"/>
        <w:tab w:val="center" w:pos="1134"/>
      </w:tabs>
      <w:spacing w:line="280" w:lineRule="exact"/>
      <w:ind w:firstLine="0"/>
      <w:rPr>
        <w:rFonts w:ascii="Times New Roman" w:hAnsi="Times New Roman"/>
        <w:i/>
        <w:sz w:val="22"/>
      </w:rPr>
    </w:pPr>
  </w:p>
  <w:p w14:paraId="606924A1" w14:textId="77777777" w:rsidR="00B55DBB" w:rsidRPr="000E033B" w:rsidRDefault="00B55DBB" w:rsidP="000E033B">
    <w:pPr>
      <w:pStyle w:val="Header"/>
      <w:tabs>
        <w:tab w:val="clear" w:pos="4153"/>
        <w:tab w:val="clear" w:pos="8306"/>
        <w:tab w:val="center" w:pos="1134"/>
      </w:tabs>
      <w:spacing w:line="280" w:lineRule="exact"/>
      <w:ind w:firstLine="0"/>
      <w:rPr>
        <w:rFonts w:ascii="Times New Roman" w:hAnsi="Times New Roman"/>
        <w:i/>
        <w:sz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A70CE" w14:textId="77777777" w:rsidR="000E17D0" w:rsidRPr="000E17D0" w:rsidRDefault="000E17D0" w:rsidP="000E17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7682C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F0807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7496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64B1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BA88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A2BE7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F827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08F1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202F9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56C1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D158E9"/>
    <w:multiLevelType w:val="hybridMultilevel"/>
    <w:tmpl w:val="F2E28A58"/>
    <w:lvl w:ilvl="0" w:tplc="3F84F7E0">
      <w:start w:val="1"/>
      <w:numFmt w:val="decimal"/>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1" w15:restartNumberingAfterBreak="0">
    <w:nsid w:val="0CA83894"/>
    <w:multiLevelType w:val="hybridMultilevel"/>
    <w:tmpl w:val="6CA696CA"/>
    <w:lvl w:ilvl="0" w:tplc="2542D178">
      <w:start w:val="1"/>
      <w:numFmt w:val="decimal"/>
      <w:pStyle w:val="FixListStyle"/>
      <w:lvlText w:val="%1"/>
      <w:lvlJc w:val="left"/>
      <w:pPr>
        <w:ind w:left="-360" w:hanging="360"/>
      </w:pPr>
      <w:rPr>
        <w:rFonts w:ascii="Times New Roman" w:hAnsi="Times New Roman" w:hint="default"/>
        <w:b w:val="0"/>
        <w:i w:val="0"/>
        <w:sz w:val="2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1BE26F82"/>
    <w:multiLevelType w:val="hybridMultilevel"/>
    <w:tmpl w:val="256CF0DE"/>
    <w:lvl w:ilvl="0" w:tplc="F82A2A72">
      <w:start w:val="1"/>
      <w:numFmt w:val="lowerRoman"/>
      <w:lvlText w:val="%1)"/>
      <w:lvlJc w:val="right"/>
      <w:pPr>
        <w:ind w:left="1020" w:hanging="360"/>
      </w:pPr>
    </w:lvl>
    <w:lvl w:ilvl="1" w:tplc="BA8C1A80">
      <w:start w:val="1"/>
      <w:numFmt w:val="lowerRoman"/>
      <w:lvlText w:val="%2)"/>
      <w:lvlJc w:val="right"/>
      <w:pPr>
        <w:ind w:left="1020" w:hanging="360"/>
      </w:pPr>
    </w:lvl>
    <w:lvl w:ilvl="2" w:tplc="FD76214A">
      <w:start w:val="1"/>
      <w:numFmt w:val="lowerRoman"/>
      <w:lvlText w:val="%3)"/>
      <w:lvlJc w:val="right"/>
      <w:pPr>
        <w:ind w:left="1020" w:hanging="360"/>
      </w:pPr>
    </w:lvl>
    <w:lvl w:ilvl="3" w:tplc="8E16755C">
      <w:start w:val="1"/>
      <w:numFmt w:val="lowerRoman"/>
      <w:lvlText w:val="%4)"/>
      <w:lvlJc w:val="right"/>
      <w:pPr>
        <w:ind w:left="1020" w:hanging="360"/>
      </w:pPr>
    </w:lvl>
    <w:lvl w:ilvl="4" w:tplc="CE4600F4">
      <w:start w:val="1"/>
      <w:numFmt w:val="lowerRoman"/>
      <w:lvlText w:val="%5)"/>
      <w:lvlJc w:val="right"/>
      <w:pPr>
        <w:ind w:left="1020" w:hanging="360"/>
      </w:pPr>
    </w:lvl>
    <w:lvl w:ilvl="5" w:tplc="F28A3C90">
      <w:start w:val="1"/>
      <w:numFmt w:val="lowerRoman"/>
      <w:lvlText w:val="%6)"/>
      <w:lvlJc w:val="right"/>
      <w:pPr>
        <w:ind w:left="1020" w:hanging="360"/>
      </w:pPr>
    </w:lvl>
    <w:lvl w:ilvl="6" w:tplc="CC346ED8">
      <w:start w:val="1"/>
      <w:numFmt w:val="lowerRoman"/>
      <w:lvlText w:val="%7)"/>
      <w:lvlJc w:val="right"/>
      <w:pPr>
        <w:ind w:left="1020" w:hanging="360"/>
      </w:pPr>
    </w:lvl>
    <w:lvl w:ilvl="7" w:tplc="EDD0011A">
      <w:start w:val="1"/>
      <w:numFmt w:val="lowerRoman"/>
      <w:lvlText w:val="%8)"/>
      <w:lvlJc w:val="right"/>
      <w:pPr>
        <w:ind w:left="1020" w:hanging="360"/>
      </w:pPr>
    </w:lvl>
    <w:lvl w:ilvl="8" w:tplc="7A1622CA">
      <w:start w:val="1"/>
      <w:numFmt w:val="lowerRoman"/>
      <w:lvlText w:val="%9)"/>
      <w:lvlJc w:val="right"/>
      <w:pPr>
        <w:ind w:left="1020" w:hanging="360"/>
      </w:pPr>
    </w:lvl>
  </w:abstractNum>
  <w:abstractNum w:abstractNumId="13" w15:restartNumberingAfterBreak="0">
    <w:nsid w:val="1DF62F24"/>
    <w:multiLevelType w:val="hybridMultilevel"/>
    <w:tmpl w:val="5F0E36AE"/>
    <w:lvl w:ilvl="0" w:tplc="202ED61A">
      <w:start w:val="1"/>
      <w:numFmt w:val="decimal"/>
      <w:lvlText w:val="%1."/>
      <w:lvlJc w:val="left"/>
      <w:pPr>
        <w:ind w:left="720" w:hanging="360"/>
      </w:pPr>
    </w:lvl>
    <w:lvl w:ilvl="1" w:tplc="5498DCDA">
      <w:start w:val="1"/>
      <w:numFmt w:val="decimal"/>
      <w:lvlText w:val="%2."/>
      <w:lvlJc w:val="left"/>
      <w:pPr>
        <w:ind w:left="720" w:hanging="360"/>
      </w:pPr>
    </w:lvl>
    <w:lvl w:ilvl="2" w:tplc="1A36C908">
      <w:start w:val="1"/>
      <w:numFmt w:val="decimal"/>
      <w:lvlText w:val="%3."/>
      <w:lvlJc w:val="left"/>
      <w:pPr>
        <w:ind w:left="720" w:hanging="360"/>
      </w:pPr>
    </w:lvl>
    <w:lvl w:ilvl="3" w:tplc="E9223CD8">
      <w:start w:val="1"/>
      <w:numFmt w:val="decimal"/>
      <w:lvlText w:val="%4."/>
      <w:lvlJc w:val="left"/>
      <w:pPr>
        <w:ind w:left="720" w:hanging="360"/>
      </w:pPr>
    </w:lvl>
    <w:lvl w:ilvl="4" w:tplc="7F4E6352">
      <w:start w:val="1"/>
      <w:numFmt w:val="decimal"/>
      <w:lvlText w:val="%5."/>
      <w:lvlJc w:val="left"/>
      <w:pPr>
        <w:ind w:left="720" w:hanging="360"/>
      </w:pPr>
    </w:lvl>
    <w:lvl w:ilvl="5" w:tplc="D8B89DD8">
      <w:start w:val="1"/>
      <w:numFmt w:val="decimal"/>
      <w:lvlText w:val="%6."/>
      <w:lvlJc w:val="left"/>
      <w:pPr>
        <w:ind w:left="720" w:hanging="360"/>
      </w:pPr>
    </w:lvl>
    <w:lvl w:ilvl="6" w:tplc="F2B21A7E">
      <w:start w:val="1"/>
      <w:numFmt w:val="decimal"/>
      <w:lvlText w:val="%7."/>
      <w:lvlJc w:val="left"/>
      <w:pPr>
        <w:ind w:left="720" w:hanging="360"/>
      </w:pPr>
    </w:lvl>
    <w:lvl w:ilvl="7" w:tplc="AA0AF182">
      <w:start w:val="1"/>
      <w:numFmt w:val="decimal"/>
      <w:lvlText w:val="%8."/>
      <w:lvlJc w:val="left"/>
      <w:pPr>
        <w:ind w:left="720" w:hanging="360"/>
      </w:pPr>
    </w:lvl>
    <w:lvl w:ilvl="8" w:tplc="AD9E145E">
      <w:start w:val="1"/>
      <w:numFmt w:val="decimal"/>
      <w:lvlText w:val="%9."/>
      <w:lvlJc w:val="left"/>
      <w:pPr>
        <w:ind w:left="720" w:hanging="360"/>
      </w:pPr>
    </w:lvl>
  </w:abstractNum>
  <w:abstractNum w:abstractNumId="14" w15:restartNumberingAfterBreak="0">
    <w:nsid w:val="1EF5578A"/>
    <w:multiLevelType w:val="hybridMultilevel"/>
    <w:tmpl w:val="1576A010"/>
    <w:lvl w:ilvl="0" w:tplc="97AE9906">
      <w:start w:val="1"/>
      <w:numFmt w:val="decimal"/>
      <w:pStyle w:val="NormalHC"/>
      <w:lvlText w:val="%1."/>
      <w:lvlJc w:val="left"/>
      <w:pPr>
        <w:ind w:left="720" w:hanging="144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25C94BC6"/>
    <w:multiLevelType w:val="hybridMultilevel"/>
    <w:tmpl w:val="7534A57A"/>
    <w:lvl w:ilvl="0" w:tplc="AD4EF8F8">
      <w:start w:val="1"/>
      <w:numFmt w:val="decimal"/>
      <w:lvlText w:val="%1."/>
      <w:lvlJc w:val="left"/>
      <w:pPr>
        <w:ind w:left="720" w:hanging="360"/>
      </w:pPr>
    </w:lvl>
    <w:lvl w:ilvl="1" w:tplc="DE949644">
      <w:start w:val="1"/>
      <w:numFmt w:val="decimal"/>
      <w:lvlText w:val="%2."/>
      <w:lvlJc w:val="left"/>
      <w:pPr>
        <w:ind w:left="720" w:hanging="360"/>
      </w:pPr>
    </w:lvl>
    <w:lvl w:ilvl="2" w:tplc="178214D2">
      <w:start w:val="1"/>
      <w:numFmt w:val="decimal"/>
      <w:lvlText w:val="%3."/>
      <w:lvlJc w:val="left"/>
      <w:pPr>
        <w:ind w:left="720" w:hanging="360"/>
      </w:pPr>
    </w:lvl>
    <w:lvl w:ilvl="3" w:tplc="290642A2">
      <w:start w:val="1"/>
      <w:numFmt w:val="decimal"/>
      <w:lvlText w:val="%4."/>
      <w:lvlJc w:val="left"/>
      <w:pPr>
        <w:ind w:left="720" w:hanging="360"/>
      </w:pPr>
    </w:lvl>
    <w:lvl w:ilvl="4" w:tplc="C43CCB82">
      <w:start w:val="1"/>
      <w:numFmt w:val="decimal"/>
      <w:lvlText w:val="%5."/>
      <w:lvlJc w:val="left"/>
      <w:pPr>
        <w:ind w:left="720" w:hanging="360"/>
      </w:pPr>
    </w:lvl>
    <w:lvl w:ilvl="5" w:tplc="D61440BE">
      <w:start w:val="1"/>
      <w:numFmt w:val="decimal"/>
      <w:lvlText w:val="%6."/>
      <w:lvlJc w:val="left"/>
      <w:pPr>
        <w:ind w:left="720" w:hanging="360"/>
      </w:pPr>
    </w:lvl>
    <w:lvl w:ilvl="6" w:tplc="295E77D4">
      <w:start w:val="1"/>
      <w:numFmt w:val="decimal"/>
      <w:lvlText w:val="%7."/>
      <w:lvlJc w:val="left"/>
      <w:pPr>
        <w:ind w:left="720" w:hanging="360"/>
      </w:pPr>
    </w:lvl>
    <w:lvl w:ilvl="7" w:tplc="6E1E1186">
      <w:start w:val="1"/>
      <w:numFmt w:val="decimal"/>
      <w:lvlText w:val="%8."/>
      <w:lvlJc w:val="left"/>
      <w:pPr>
        <w:ind w:left="720" w:hanging="360"/>
      </w:pPr>
    </w:lvl>
    <w:lvl w:ilvl="8" w:tplc="8126EE5E">
      <w:start w:val="1"/>
      <w:numFmt w:val="decimal"/>
      <w:lvlText w:val="%9."/>
      <w:lvlJc w:val="left"/>
      <w:pPr>
        <w:ind w:left="720" w:hanging="360"/>
      </w:pPr>
    </w:lvl>
  </w:abstractNum>
  <w:abstractNum w:abstractNumId="16" w15:restartNumberingAfterBreak="0">
    <w:nsid w:val="2E8C6A0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8A1E9B"/>
    <w:multiLevelType w:val="hybridMultilevel"/>
    <w:tmpl w:val="92AC6F4C"/>
    <w:lvl w:ilvl="0" w:tplc="3FD6544A">
      <w:start w:val="1"/>
      <w:numFmt w:val="decimal"/>
      <w:lvlText w:val="%1."/>
      <w:lvlJc w:val="left"/>
      <w:pPr>
        <w:ind w:left="720" w:hanging="360"/>
      </w:pPr>
    </w:lvl>
    <w:lvl w:ilvl="1" w:tplc="2E386C16">
      <w:start w:val="1"/>
      <w:numFmt w:val="decimal"/>
      <w:lvlText w:val="%2."/>
      <w:lvlJc w:val="left"/>
      <w:pPr>
        <w:ind w:left="720" w:hanging="360"/>
      </w:pPr>
    </w:lvl>
    <w:lvl w:ilvl="2" w:tplc="FE5E0CA6">
      <w:start w:val="1"/>
      <w:numFmt w:val="decimal"/>
      <w:lvlText w:val="%3."/>
      <w:lvlJc w:val="left"/>
      <w:pPr>
        <w:ind w:left="720" w:hanging="360"/>
      </w:pPr>
    </w:lvl>
    <w:lvl w:ilvl="3" w:tplc="A9B62A20">
      <w:start w:val="1"/>
      <w:numFmt w:val="decimal"/>
      <w:lvlText w:val="%4."/>
      <w:lvlJc w:val="left"/>
      <w:pPr>
        <w:ind w:left="720" w:hanging="360"/>
      </w:pPr>
    </w:lvl>
    <w:lvl w:ilvl="4" w:tplc="88EAF774">
      <w:start w:val="1"/>
      <w:numFmt w:val="decimal"/>
      <w:lvlText w:val="%5."/>
      <w:lvlJc w:val="left"/>
      <w:pPr>
        <w:ind w:left="720" w:hanging="360"/>
      </w:pPr>
    </w:lvl>
    <w:lvl w:ilvl="5" w:tplc="CBC0F902">
      <w:start w:val="1"/>
      <w:numFmt w:val="decimal"/>
      <w:lvlText w:val="%6."/>
      <w:lvlJc w:val="left"/>
      <w:pPr>
        <w:ind w:left="720" w:hanging="360"/>
      </w:pPr>
    </w:lvl>
    <w:lvl w:ilvl="6" w:tplc="69E88168">
      <w:start w:val="1"/>
      <w:numFmt w:val="decimal"/>
      <w:lvlText w:val="%7."/>
      <w:lvlJc w:val="left"/>
      <w:pPr>
        <w:ind w:left="720" w:hanging="360"/>
      </w:pPr>
    </w:lvl>
    <w:lvl w:ilvl="7" w:tplc="0C8CA48E">
      <w:start w:val="1"/>
      <w:numFmt w:val="decimal"/>
      <w:lvlText w:val="%8."/>
      <w:lvlJc w:val="left"/>
      <w:pPr>
        <w:ind w:left="720" w:hanging="360"/>
      </w:pPr>
    </w:lvl>
    <w:lvl w:ilvl="8" w:tplc="6C94DE2E">
      <w:start w:val="1"/>
      <w:numFmt w:val="decimal"/>
      <w:lvlText w:val="%9."/>
      <w:lvlJc w:val="left"/>
      <w:pPr>
        <w:ind w:left="720" w:hanging="360"/>
      </w:pPr>
    </w:lvl>
  </w:abstractNum>
  <w:abstractNum w:abstractNumId="18" w15:restartNumberingAfterBreak="0">
    <w:nsid w:val="3AC30625"/>
    <w:multiLevelType w:val="hybridMultilevel"/>
    <w:tmpl w:val="DEFA9E18"/>
    <w:lvl w:ilvl="0" w:tplc="7396A1B4">
      <w:start w:val="1"/>
      <w:numFmt w:val="decimal"/>
      <w:lvlText w:val="%1."/>
      <w:lvlJc w:val="left"/>
      <w:pPr>
        <w:ind w:left="720" w:hanging="360"/>
      </w:pPr>
    </w:lvl>
    <w:lvl w:ilvl="1" w:tplc="FAAC3740">
      <w:start w:val="1"/>
      <w:numFmt w:val="decimal"/>
      <w:lvlText w:val="%2."/>
      <w:lvlJc w:val="left"/>
      <w:pPr>
        <w:ind w:left="720" w:hanging="360"/>
      </w:pPr>
    </w:lvl>
    <w:lvl w:ilvl="2" w:tplc="1304C1FA">
      <w:start w:val="1"/>
      <w:numFmt w:val="decimal"/>
      <w:lvlText w:val="%3."/>
      <w:lvlJc w:val="left"/>
      <w:pPr>
        <w:ind w:left="720" w:hanging="360"/>
      </w:pPr>
    </w:lvl>
    <w:lvl w:ilvl="3" w:tplc="3E6C21F4">
      <w:start w:val="1"/>
      <w:numFmt w:val="decimal"/>
      <w:lvlText w:val="%4."/>
      <w:lvlJc w:val="left"/>
      <w:pPr>
        <w:ind w:left="720" w:hanging="360"/>
      </w:pPr>
    </w:lvl>
    <w:lvl w:ilvl="4" w:tplc="F12810E0">
      <w:start w:val="1"/>
      <w:numFmt w:val="decimal"/>
      <w:lvlText w:val="%5."/>
      <w:lvlJc w:val="left"/>
      <w:pPr>
        <w:ind w:left="720" w:hanging="360"/>
      </w:pPr>
    </w:lvl>
    <w:lvl w:ilvl="5" w:tplc="C6FE9FB2">
      <w:start w:val="1"/>
      <w:numFmt w:val="decimal"/>
      <w:lvlText w:val="%6."/>
      <w:lvlJc w:val="left"/>
      <w:pPr>
        <w:ind w:left="720" w:hanging="360"/>
      </w:pPr>
    </w:lvl>
    <w:lvl w:ilvl="6" w:tplc="0172DC82">
      <w:start w:val="1"/>
      <w:numFmt w:val="decimal"/>
      <w:lvlText w:val="%7."/>
      <w:lvlJc w:val="left"/>
      <w:pPr>
        <w:ind w:left="720" w:hanging="360"/>
      </w:pPr>
    </w:lvl>
    <w:lvl w:ilvl="7" w:tplc="F4A4BC4C">
      <w:start w:val="1"/>
      <w:numFmt w:val="decimal"/>
      <w:lvlText w:val="%8."/>
      <w:lvlJc w:val="left"/>
      <w:pPr>
        <w:ind w:left="720" w:hanging="360"/>
      </w:pPr>
    </w:lvl>
    <w:lvl w:ilvl="8" w:tplc="3F2870A2">
      <w:start w:val="1"/>
      <w:numFmt w:val="decimal"/>
      <w:lvlText w:val="%9."/>
      <w:lvlJc w:val="left"/>
      <w:pPr>
        <w:ind w:left="720" w:hanging="360"/>
      </w:pPr>
    </w:lvl>
  </w:abstractNum>
  <w:abstractNum w:abstractNumId="19" w15:restartNumberingAfterBreak="0">
    <w:nsid w:val="3D151F96"/>
    <w:multiLevelType w:val="hybridMultilevel"/>
    <w:tmpl w:val="CA222870"/>
    <w:lvl w:ilvl="0" w:tplc="3F84F7E0">
      <w:start w:val="1"/>
      <w:numFmt w:val="decimal"/>
      <w:lvlText w:val="%1."/>
      <w:lvlJc w:val="left"/>
      <w:pPr>
        <w:tabs>
          <w:tab w:val="num" w:pos="2160"/>
        </w:tabs>
        <w:ind w:left="2160" w:hanging="72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20" w15:restartNumberingAfterBreak="0">
    <w:nsid w:val="46DD4DB7"/>
    <w:multiLevelType w:val="hybridMultilevel"/>
    <w:tmpl w:val="59742482"/>
    <w:lvl w:ilvl="0" w:tplc="18748DC4">
      <w:start w:val="1"/>
      <w:numFmt w:val="lowerRoman"/>
      <w:lvlText w:val="%1)"/>
      <w:lvlJc w:val="right"/>
      <w:pPr>
        <w:ind w:left="1020" w:hanging="360"/>
      </w:pPr>
    </w:lvl>
    <w:lvl w:ilvl="1" w:tplc="1C12202C">
      <w:start w:val="1"/>
      <w:numFmt w:val="lowerRoman"/>
      <w:lvlText w:val="%2)"/>
      <w:lvlJc w:val="right"/>
      <w:pPr>
        <w:ind w:left="1020" w:hanging="360"/>
      </w:pPr>
    </w:lvl>
    <w:lvl w:ilvl="2" w:tplc="B4BC4928">
      <w:start w:val="1"/>
      <w:numFmt w:val="lowerRoman"/>
      <w:lvlText w:val="%3)"/>
      <w:lvlJc w:val="right"/>
      <w:pPr>
        <w:ind w:left="1020" w:hanging="360"/>
      </w:pPr>
    </w:lvl>
    <w:lvl w:ilvl="3" w:tplc="D612F28A">
      <w:start w:val="1"/>
      <w:numFmt w:val="lowerRoman"/>
      <w:lvlText w:val="%4)"/>
      <w:lvlJc w:val="right"/>
      <w:pPr>
        <w:ind w:left="1020" w:hanging="360"/>
      </w:pPr>
    </w:lvl>
    <w:lvl w:ilvl="4" w:tplc="6090F930">
      <w:start w:val="1"/>
      <w:numFmt w:val="lowerRoman"/>
      <w:lvlText w:val="%5)"/>
      <w:lvlJc w:val="right"/>
      <w:pPr>
        <w:ind w:left="1020" w:hanging="360"/>
      </w:pPr>
    </w:lvl>
    <w:lvl w:ilvl="5" w:tplc="38800FB6">
      <w:start w:val="1"/>
      <w:numFmt w:val="lowerRoman"/>
      <w:lvlText w:val="%6)"/>
      <w:lvlJc w:val="right"/>
      <w:pPr>
        <w:ind w:left="1020" w:hanging="360"/>
      </w:pPr>
    </w:lvl>
    <w:lvl w:ilvl="6" w:tplc="10026502">
      <w:start w:val="1"/>
      <w:numFmt w:val="lowerRoman"/>
      <w:lvlText w:val="%7)"/>
      <w:lvlJc w:val="right"/>
      <w:pPr>
        <w:ind w:left="1020" w:hanging="360"/>
      </w:pPr>
    </w:lvl>
    <w:lvl w:ilvl="7" w:tplc="9996A050">
      <w:start w:val="1"/>
      <w:numFmt w:val="lowerRoman"/>
      <w:lvlText w:val="%8)"/>
      <w:lvlJc w:val="right"/>
      <w:pPr>
        <w:ind w:left="1020" w:hanging="360"/>
      </w:pPr>
    </w:lvl>
    <w:lvl w:ilvl="8" w:tplc="BB58A2AC">
      <w:start w:val="1"/>
      <w:numFmt w:val="lowerRoman"/>
      <w:lvlText w:val="%9)"/>
      <w:lvlJc w:val="right"/>
      <w:pPr>
        <w:ind w:left="1020" w:hanging="360"/>
      </w:pPr>
    </w:lvl>
  </w:abstractNum>
  <w:abstractNum w:abstractNumId="21" w15:restartNumberingAfterBreak="0">
    <w:nsid w:val="46FB42D6"/>
    <w:multiLevelType w:val="hybridMultilevel"/>
    <w:tmpl w:val="B326428E"/>
    <w:lvl w:ilvl="0" w:tplc="BE08BF72">
      <w:start w:val="1"/>
      <w:numFmt w:val="decimal"/>
      <w:lvlText w:val="%1."/>
      <w:lvlJc w:val="left"/>
      <w:pPr>
        <w:ind w:left="1020" w:hanging="360"/>
      </w:pPr>
    </w:lvl>
    <w:lvl w:ilvl="1" w:tplc="ED2668F0">
      <w:start w:val="1"/>
      <w:numFmt w:val="decimal"/>
      <w:lvlText w:val="%2."/>
      <w:lvlJc w:val="left"/>
      <w:pPr>
        <w:ind w:left="1020" w:hanging="360"/>
      </w:pPr>
    </w:lvl>
    <w:lvl w:ilvl="2" w:tplc="22CA211E">
      <w:start w:val="1"/>
      <w:numFmt w:val="decimal"/>
      <w:lvlText w:val="%3."/>
      <w:lvlJc w:val="left"/>
      <w:pPr>
        <w:ind w:left="1020" w:hanging="360"/>
      </w:pPr>
    </w:lvl>
    <w:lvl w:ilvl="3" w:tplc="FC00324C">
      <w:start w:val="1"/>
      <w:numFmt w:val="decimal"/>
      <w:lvlText w:val="%4."/>
      <w:lvlJc w:val="left"/>
      <w:pPr>
        <w:ind w:left="1020" w:hanging="360"/>
      </w:pPr>
    </w:lvl>
    <w:lvl w:ilvl="4" w:tplc="E718270A">
      <w:start w:val="1"/>
      <w:numFmt w:val="decimal"/>
      <w:lvlText w:val="%5."/>
      <w:lvlJc w:val="left"/>
      <w:pPr>
        <w:ind w:left="1020" w:hanging="360"/>
      </w:pPr>
    </w:lvl>
    <w:lvl w:ilvl="5" w:tplc="108AC74C">
      <w:start w:val="1"/>
      <w:numFmt w:val="decimal"/>
      <w:lvlText w:val="%6."/>
      <w:lvlJc w:val="left"/>
      <w:pPr>
        <w:ind w:left="1020" w:hanging="360"/>
      </w:pPr>
    </w:lvl>
    <w:lvl w:ilvl="6" w:tplc="2384D376">
      <w:start w:val="1"/>
      <w:numFmt w:val="decimal"/>
      <w:lvlText w:val="%7."/>
      <w:lvlJc w:val="left"/>
      <w:pPr>
        <w:ind w:left="1020" w:hanging="360"/>
      </w:pPr>
    </w:lvl>
    <w:lvl w:ilvl="7" w:tplc="F78E84EE">
      <w:start w:val="1"/>
      <w:numFmt w:val="decimal"/>
      <w:lvlText w:val="%8."/>
      <w:lvlJc w:val="left"/>
      <w:pPr>
        <w:ind w:left="1020" w:hanging="360"/>
      </w:pPr>
    </w:lvl>
    <w:lvl w:ilvl="8" w:tplc="0B82D7C2">
      <w:start w:val="1"/>
      <w:numFmt w:val="decimal"/>
      <w:lvlText w:val="%9."/>
      <w:lvlJc w:val="left"/>
      <w:pPr>
        <w:ind w:left="1020" w:hanging="360"/>
      </w:pPr>
    </w:lvl>
  </w:abstractNum>
  <w:abstractNum w:abstractNumId="22" w15:restartNumberingAfterBreak="0">
    <w:nsid w:val="4A7943C2"/>
    <w:multiLevelType w:val="hybridMultilevel"/>
    <w:tmpl w:val="77D8FB18"/>
    <w:lvl w:ilvl="0" w:tplc="108C3F1C">
      <w:start w:val="1"/>
      <w:numFmt w:val="decimal"/>
      <w:lvlText w:val="%1"/>
      <w:lvlJc w:val="left"/>
      <w:pPr>
        <w:ind w:left="-360" w:hanging="360"/>
      </w:pPr>
      <w:rPr>
        <w:rFonts w:ascii="Univers" w:hAnsi="Univers" w:hint="default"/>
        <w:b w:val="0"/>
        <w:i w:val="0"/>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57C4EEB"/>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C1847ED"/>
    <w:multiLevelType w:val="hybridMultilevel"/>
    <w:tmpl w:val="1A3A7A60"/>
    <w:lvl w:ilvl="0" w:tplc="497A20B8">
      <w:start w:val="1"/>
      <w:numFmt w:val="decimal"/>
      <w:lvlText w:val="%1."/>
      <w:lvlJc w:val="left"/>
      <w:pPr>
        <w:ind w:left="720" w:hanging="360"/>
      </w:pPr>
    </w:lvl>
    <w:lvl w:ilvl="1" w:tplc="A76C518A">
      <w:start w:val="1"/>
      <w:numFmt w:val="decimal"/>
      <w:lvlText w:val="%2."/>
      <w:lvlJc w:val="left"/>
      <w:pPr>
        <w:ind w:left="720" w:hanging="360"/>
      </w:pPr>
    </w:lvl>
    <w:lvl w:ilvl="2" w:tplc="80247D0C">
      <w:start w:val="1"/>
      <w:numFmt w:val="decimal"/>
      <w:lvlText w:val="%3."/>
      <w:lvlJc w:val="left"/>
      <w:pPr>
        <w:ind w:left="720" w:hanging="360"/>
      </w:pPr>
    </w:lvl>
    <w:lvl w:ilvl="3" w:tplc="9488969E">
      <w:start w:val="1"/>
      <w:numFmt w:val="decimal"/>
      <w:lvlText w:val="%4."/>
      <w:lvlJc w:val="left"/>
      <w:pPr>
        <w:ind w:left="720" w:hanging="360"/>
      </w:pPr>
    </w:lvl>
    <w:lvl w:ilvl="4" w:tplc="D2B4F136">
      <w:start w:val="1"/>
      <w:numFmt w:val="decimal"/>
      <w:lvlText w:val="%5."/>
      <w:lvlJc w:val="left"/>
      <w:pPr>
        <w:ind w:left="720" w:hanging="360"/>
      </w:pPr>
    </w:lvl>
    <w:lvl w:ilvl="5" w:tplc="60C83A78">
      <w:start w:val="1"/>
      <w:numFmt w:val="decimal"/>
      <w:lvlText w:val="%6."/>
      <w:lvlJc w:val="left"/>
      <w:pPr>
        <w:ind w:left="720" w:hanging="360"/>
      </w:pPr>
    </w:lvl>
    <w:lvl w:ilvl="6" w:tplc="81146202">
      <w:start w:val="1"/>
      <w:numFmt w:val="decimal"/>
      <w:lvlText w:val="%7."/>
      <w:lvlJc w:val="left"/>
      <w:pPr>
        <w:ind w:left="720" w:hanging="360"/>
      </w:pPr>
    </w:lvl>
    <w:lvl w:ilvl="7" w:tplc="6D76A488">
      <w:start w:val="1"/>
      <w:numFmt w:val="decimal"/>
      <w:lvlText w:val="%8."/>
      <w:lvlJc w:val="left"/>
      <w:pPr>
        <w:ind w:left="720" w:hanging="360"/>
      </w:pPr>
    </w:lvl>
    <w:lvl w:ilvl="8" w:tplc="6E74CEFC">
      <w:start w:val="1"/>
      <w:numFmt w:val="decimal"/>
      <w:lvlText w:val="%9."/>
      <w:lvlJc w:val="left"/>
      <w:pPr>
        <w:ind w:left="720" w:hanging="360"/>
      </w:pPr>
    </w:lvl>
  </w:abstractNum>
  <w:abstractNum w:abstractNumId="25" w15:restartNumberingAfterBreak="0">
    <w:nsid w:val="63114422"/>
    <w:multiLevelType w:val="hybridMultilevel"/>
    <w:tmpl w:val="FFD663C4"/>
    <w:lvl w:ilvl="0" w:tplc="C95EAA22">
      <w:start w:val="1"/>
      <w:numFmt w:val="decimal"/>
      <w:lvlText w:val="%1."/>
      <w:lvlJc w:val="left"/>
      <w:pPr>
        <w:ind w:left="1769" w:hanging="1441"/>
      </w:pPr>
      <w:rPr>
        <w:rFonts w:ascii="Univers" w:eastAsia="Univers" w:hAnsi="Univers" w:cs="Univers" w:hint="default"/>
        <w:b w:val="0"/>
        <w:bCs w:val="0"/>
        <w:i w:val="0"/>
        <w:iCs w:val="0"/>
        <w:spacing w:val="0"/>
        <w:w w:val="99"/>
        <w:sz w:val="26"/>
        <w:szCs w:val="26"/>
        <w:lang w:val="en-US" w:eastAsia="en-US" w:bidi="ar-SA"/>
      </w:rPr>
    </w:lvl>
    <w:lvl w:ilvl="1" w:tplc="6F1E2B42">
      <w:start w:val="1"/>
      <w:numFmt w:val="decimal"/>
      <w:lvlText w:val="%2"/>
      <w:lvlJc w:val="left"/>
      <w:pPr>
        <w:ind w:left="2280" w:hanging="512"/>
      </w:pPr>
      <w:rPr>
        <w:rFonts w:ascii="Univers" w:eastAsia="Univers" w:hAnsi="Univers" w:cs="Univers" w:hint="default"/>
        <w:b/>
        <w:bCs/>
        <w:i w:val="0"/>
        <w:iCs w:val="0"/>
        <w:spacing w:val="0"/>
        <w:w w:val="99"/>
        <w:sz w:val="20"/>
        <w:szCs w:val="20"/>
        <w:lang w:val="en-US" w:eastAsia="en-US" w:bidi="ar-SA"/>
      </w:rPr>
    </w:lvl>
    <w:lvl w:ilvl="2" w:tplc="ED94E77E">
      <w:numFmt w:val="bullet"/>
      <w:lvlText w:val="•"/>
      <w:lvlJc w:val="left"/>
      <w:pPr>
        <w:ind w:left="3165" w:hanging="512"/>
      </w:pPr>
      <w:rPr>
        <w:rFonts w:hint="default"/>
        <w:lang w:val="en-US" w:eastAsia="en-US" w:bidi="ar-SA"/>
      </w:rPr>
    </w:lvl>
    <w:lvl w:ilvl="3" w:tplc="5190643A">
      <w:numFmt w:val="bullet"/>
      <w:lvlText w:val="•"/>
      <w:lvlJc w:val="left"/>
      <w:pPr>
        <w:ind w:left="4053" w:hanging="512"/>
      </w:pPr>
      <w:rPr>
        <w:rFonts w:hint="default"/>
        <w:lang w:val="en-US" w:eastAsia="en-US" w:bidi="ar-SA"/>
      </w:rPr>
    </w:lvl>
    <w:lvl w:ilvl="4" w:tplc="A50C608C">
      <w:numFmt w:val="bullet"/>
      <w:lvlText w:val="•"/>
      <w:lvlJc w:val="left"/>
      <w:pPr>
        <w:ind w:left="4942" w:hanging="512"/>
      </w:pPr>
      <w:rPr>
        <w:rFonts w:hint="default"/>
        <w:lang w:val="en-US" w:eastAsia="en-US" w:bidi="ar-SA"/>
      </w:rPr>
    </w:lvl>
    <w:lvl w:ilvl="5" w:tplc="3EA23D78">
      <w:numFmt w:val="bullet"/>
      <w:lvlText w:val="•"/>
      <w:lvlJc w:val="left"/>
      <w:pPr>
        <w:ind w:left="5830" w:hanging="512"/>
      </w:pPr>
      <w:rPr>
        <w:rFonts w:hint="default"/>
        <w:lang w:val="en-US" w:eastAsia="en-US" w:bidi="ar-SA"/>
      </w:rPr>
    </w:lvl>
    <w:lvl w:ilvl="6" w:tplc="A7A0358C">
      <w:numFmt w:val="bullet"/>
      <w:lvlText w:val="•"/>
      <w:lvlJc w:val="left"/>
      <w:pPr>
        <w:ind w:left="6719" w:hanging="512"/>
      </w:pPr>
      <w:rPr>
        <w:rFonts w:hint="default"/>
        <w:lang w:val="en-US" w:eastAsia="en-US" w:bidi="ar-SA"/>
      </w:rPr>
    </w:lvl>
    <w:lvl w:ilvl="7" w:tplc="8B4AF708">
      <w:numFmt w:val="bullet"/>
      <w:lvlText w:val="•"/>
      <w:lvlJc w:val="left"/>
      <w:pPr>
        <w:ind w:left="7607" w:hanging="512"/>
      </w:pPr>
      <w:rPr>
        <w:rFonts w:hint="default"/>
        <w:lang w:val="en-US" w:eastAsia="en-US" w:bidi="ar-SA"/>
      </w:rPr>
    </w:lvl>
    <w:lvl w:ilvl="8" w:tplc="8B022CEA">
      <w:numFmt w:val="bullet"/>
      <w:lvlText w:val="•"/>
      <w:lvlJc w:val="left"/>
      <w:pPr>
        <w:ind w:left="8496" w:hanging="512"/>
      </w:pPr>
      <w:rPr>
        <w:rFonts w:hint="default"/>
        <w:lang w:val="en-US" w:eastAsia="en-US" w:bidi="ar-SA"/>
      </w:rPr>
    </w:lvl>
  </w:abstractNum>
  <w:abstractNum w:abstractNumId="26" w15:restartNumberingAfterBreak="0">
    <w:nsid w:val="77D32ACC"/>
    <w:multiLevelType w:val="hybridMultilevel"/>
    <w:tmpl w:val="2684FE5E"/>
    <w:lvl w:ilvl="0" w:tplc="F69C5A10">
      <w:start w:val="1"/>
      <w:numFmt w:val="decimal"/>
      <w:lvlText w:val="%1."/>
      <w:lvlJc w:val="left"/>
      <w:pPr>
        <w:ind w:left="1020" w:hanging="360"/>
      </w:pPr>
    </w:lvl>
    <w:lvl w:ilvl="1" w:tplc="8384D868">
      <w:start w:val="1"/>
      <w:numFmt w:val="decimal"/>
      <w:lvlText w:val="%2."/>
      <w:lvlJc w:val="left"/>
      <w:pPr>
        <w:ind w:left="1020" w:hanging="360"/>
      </w:pPr>
    </w:lvl>
    <w:lvl w:ilvl="2" w:tplc="BA502672">
      <w:start w:val="1"/>
      <w:numFmt w:val="decimal"/>
      <w:lvlText w:val="%3."/>
      <w:lvlJc w:val="left"/>
      <w:pPr>
        <w:ind w:left="1020" w:hanging="360"/>
      </w:pPr>
    </w:lvl>
    <w:lvl w:ilvl="3" w:tplc="316EB726">
      <w:start w:val="1"/>
      <w:numFmt w:val="decimal"/>
      <w:lvlText w:val="%4."/>
      <w:lvlJc w:val="left"/>
      <w:pPr>
        <w:ind w:left="1020" w:hanging="360"/>
      </w:pPr>
    </w:lvl>
    <w:lvl w:ilvl="4" w:tplc="D27A4980">
      <w:start w:val="1"/>
      <w:numFmt w:val="decimal"/>
      <w:lvlText w:val="%5."/>
      <w:lvlJc w:val="left"/>
      <w:pPr>
        <w:ind w:left="1020" w:hanging="360"/>
      </w:pPr>
    </w:lvl>
    <w:lvl w:ilvl="5" w:tplc="2E443D4C">
      <w:start w:val="1"/>
      <w:numFmt w:val="decimal"/>
      <w:lvlText w:val="%6."/>
      <w:lvlJc w:val="left"/>
      <w:pPr>
        <w:ind w:left="1020" w:hanging="360"/>
      </w:pPr>
    </w:lvl>
    <w:lvl w:ilvl="6" w:tplc="0E343D5A">
      <w:start w:val="1"/>
      <w:numFmt w:val="decimal"/>
      <w:lvlText w:val="%7."/>
      <w:lvlJc w:val="left"/>
      <w:pPr>
        <w:ind w:left="1020" w:hanging="360"/>
      </w:pPr>
    </w:lvl>
    <w:lvl w:ilvl="7" w:tplc="2ED05982">
      <w:start w:val="1"/>
      <w:numFmt w:val="decimal"/>
      <w:lvlText w:val="%8."/>
      <w:lvlJc w:val="left"/>
      <w:pPr>
        <w:ind w:left="1020" w:hanging="360"/>
      </w:pPr>
    </w:lvl>
    <w:lvl w:ilvl="8" w:tplc="5936CDA8">
      <w:start w:val="1"/>
      <w:numFmt w:val="decimal"/>
      <w:lvlText w:val="%9."/>
      <w:lvlJc w:val="left"/>
      <w:pPr>
        <w:ind w:left="1020" w:hanging="360"/>
      </w:pPr>
    </w:lvl>
  </w:abstractNum>
  <w:abstractNum w:abstractNumId="27" w15:restartNumberingAfterBreak="0">
    <w:nsid w:val="7FD97D7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2596476">
    <w:abstractNumId w:val="10"/>
  </w:num>
  <w:num w:numId="2" w16cid:durableId="375815310">
    <w:abstractNumId w:val="19"/>
  </w:num>
  <w:num w:numId="3" w16cid:durableId="1375159326">
    <w:abstractNumId w:val="27"/>
  </w:num>
  <w:num w:numId="4" w16cid:durableId="1020468450">
    <w:abstractNumId w:val="16"/>
  </w:num>
  <w:num w:numId="5" w16cid:durableId="298609604">
    <w:abstractNumId w:val="23"/>
  </w:num>
  <w:num w:numId="6" w16cid:durableId="1668483507">
    <w:abstractNumId w:val="6"/>
  </w:num>
  <w:num w:numId="7" w16cid:durableId="1277131474">
    <w:abstractNumId w:val="9"/>
  </w:num>
  <w:num w:numId="8" w16cid:durableId="720982448">
    <w:abstractNumId w:val="7"/>
  </w:num>
  <w:num w:numId="9" w16cid:durableId="880166639">
    <w:abstractNumId w:val="5"/>
  </w:num>
  <w:num w:numId="10" w16cid:durableId="1552577615">
    <w:abstractNumId w:val="4"/>
  </w:num>
  <w:num w:numId="11" w16cid:durableId="822114542">
    <w:abstractNumId w:val="8"/>
  </w:num>
  <w:num w:numId="12" w16cid:durableId="868374538">
    <w:abstractNumId w:val="3"/>
  </w:num>
  <w:num w:numId="13" w16cid:durableId="935400494">
    <w:abstractNumId w:val="2"/>
  </w:num>
  <w:num w:numId="14" w16cid:durableId="1552810459">
    <w:abstractNumId w:val="1"/>
  </w:num>
  <w:num w:numId="15" w16cid:durableId="788087333">
    <w:abstractNumId w:val="0"/>
  </w:num>
  <w:num w:numId="16" w16cid:durableId="92282540">
    <w:abstractNumId w:val="14"/>
  </w:num>
  <w:num w:numId="17" w16cid:durableId="952325839">
    <w:abstractNumId w:val="22"/>
  </w:num>
  <w:num w:numId="18" w16cid:durableId="586305847">
    <w:abstractNumId w:val="11"/>
  </w:num>
  <w:num w:numId="19" w16cid:durableId="650985869">
    <w:abstractNumId w:val="11"/>
  </w:num>
  <w:num w:numId="20" w16cid:durableId="1994135694">
    <w:abstractNumId w:val="21"/>
  </w:num>
  <w:num w:numId="21" w16cid:durableId="660502178">
    <w:abstractNumId w:val="18"/>
  </w:num>
  <w:num w:numId="22" w16cid:durableId="785122541">
    <w:abstractNumId w:val="26"/>
  </w:num>
  <w:num w:numId="23" w16cid:durableId="1263608297">
    <w:abstractNumId w:val="13"/>
  </w:num>
  <w:num w:numId="24" w16cid:durableId="223491316">
    <w:abstractNumId w:val="24"/>
  </w:num>
  <w:num w:numId="25" w16cid:durableId="583536961">
    <w:abstractNumId w:val="15"/>
  </w:num>
  <w:num w:numId="26" w16cid:durableId="342972170">
    <w:abstractNumId w:val="17"/>
  </w:num>
  <w:num w:numId="27" w16cid:durableId="517890492">
    <w:abstractNumId w:val="20"/>
  </w:num>
  <w:num w:numId="28" w16cid:durableId="1247036748">
    <w:abstractNumId w:val="25"/>
  </w:num>
  <w:num w:numId="29" w16cid:durableId="19976830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attachedTemplate r:id="rId1"/>
  <w:linkStyl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411"/>
    <w:rsid w:val="00000329"/>
    <w:rsid w:val="0000082A"/>
    <w:rsid w:val="00000AA0"/>
    <w:rsid w:val="00000E5A"/>
    <w:rsid w:val="00000F41"/>
    <w:rsid w:val="000010D7"/>
    <w:rsid w:val="0000145A"/>
    <w:rsid w:val="000014A3"/>
    <w:rsid w:val="00001684"/>
    <w:rsid w:val="00001CF2"/>
    <w:rsid w:val="00002069"/>
    <w:rsid w:val="000020B1"/>
    <w:rsid w:val="00002751"/>
    <w:rsid w:val="00002CE6"/>
    <w:rsid w:val="0000316A"/>
    <w:rsid w:val="0000378E"/>
    <w:rsid w:val="00003AB7"/>
    <w:rsid w:val="00003B97"/>
    <w:rsid w:val="00004013"/>
    <w:rsid w:val="00004049"/>
    <w:rsid w:val="000049B7"/>
    <w:rsid w:val="00004A09"/>
    <w:rsid w:val="00004BA0"/>
    <w:rsid w:val="00005D89"/>
    <w:rsid w:val="00006256"/>
    <w:rsid w:val="000063FA"/>
    <w:rsid w:val="000067AC"/>
    <w:rsid w:val="000068C3"/>
    <w:rsid w:val="000069D2"/>
    <w:rsid w:val="00006B26"/>
    <w:rsid w:val="00006EB5"/>
    <w:rsid w:val="00010231"/>
    <w:rsid w:val="00010266"/>
    <w:rsid w:val="00010B0D"/>
    <w:rsid w:val="00010DBE"/>
    <w:rsid w:val="00011084"/>
    <w:rsid w:val="000110AF"/>
    <w:rsid w:val="000112DE"/>
    <w:rsid w:val="000114DA"/>
    <w:rsid w:val="000119FD"/>
    <w:rsid w:val="00011E7F"/>
    <w:rsid w:val="00011F96"/>
    <w:rsid w:val="00012219"/>
    <w:rsid w:val="00012253"/>
    <w:rsid w:val="00012950"/>
    <w:rsid w:val="000129EA"/>
    <w:rsid w:val="0001336B"/>
    <w:rsid w:val="0001391B"/>
    <w:rsid w:val="00013DE2"/>
    <w:rsid w:val="00013E5F"/>
    <w:rsid w:val="00013EDD"/>
    <w:rsid w:val="000141CA"/>
    <w:rsid w:val="000144C9"/>
    <w:rsid w:val="00014879"/>
    <w:rsid w:val="000149A0"/>
    <w:rsid w:val="00014A34"/>
    <w:rsid w:val="00014A36"/>
    <w:rsid w:val="00014A4C"/>
    <w:rsid w:val="00014B34"/>
    <w:rsid w:val="00014D0D"/>
    <w:rsid w:val="00014E6D"/>
    <w:rsid w:val="00015115"/>
    <w:rsid w:val="00015351"/>
    <w:rsid w:val="00015434"/>
    <w:rsid w:val="000156BA"/>
    <w:rsid w:val="00015A0F"/>
    <w:rsid w:val="00015CB7"/>
    <w:rsid w:val="00015CC9"/>
    <w:rsid w:val="00015D9E"/>
    <w:rsid w:val="0001621B"/>
    <w:rsid w:val="000162B5"/>
    <w:rsid w:val="000168C9"/>
    <w:rsid w:val="00016C20"/>
    <w:rsid w:val="00016DBB"/>
    <w:rsid w:val="00016E95"/>
    <w:rsid w:val="00017144"/>
    <w:rsid w:val="00017524"/>
    <w:rsid w:val="00017AD0"/>
    <w:rsid w:val="000215A7"/>
    <w:rsid w:val="000218AA"/>
    <w:rsid w:val="00021911"/>
    <w:rsid w:val="00021955"/>
    <w:rsid w:val="00021B81"/>
    <w:rsid w:val="00022167"/>
    <w:rsid w:val="000224D4"/>
    <w:rsid w:val="0002256E"/>
    <w:rsid w:val="00022629"/>
    <w:rsid w:val="000228D2"/>
    <w:rsid w:val="00022A53"/>
    <w:rsid w:val="00022AAC"/>
    <w:rsid w:val="000237DF"/>
    <w:rsid w:val="00023B51"/>
    <w:rsid w:val="00023D93"/>
    <w:rsid w:val="0002405E"/>
    <w:rsid w:val="00024C22"/>
    <w:rsid w:val="00024F78"/>
    <w:rsid w:val="00025048"/>
    <w:rsid w:val="000250AF"/>
    <w:rsid w:val="00025362"/>
    <w:rsid w:val="00025490"/>
    <w:rsid w:val="00025528"/>
    <w:rsid w:val="0002561E"/>
    <w:rsid w:val="00025BD1"/>
    <w:rsid w:val="00025BD7"/>
    <w:rsid w:val="000263D3"/>
    <w:rsid w:val="000268E1"/>
    <w:rsid w:val="00027107"/>
    <w:rsid w:val="00027287"/>
    <w:rsid w:val="00027D7A"/>
    <w:rsid w:val="00027E8E"/>
    <w:rsid w:val="00030059"/>
    <w:rsid w:val="000300B8"/>
    <w:rsid w:val="00030134"/>
    <w:rsid w:val="000301EB"/>
    <w:rsid w:val="0003050B"/>
    <w:rsid w:val="00030599"/>
    <w:rsid w:val="00031531"/>
    <w:rsid w:val="0003179E"/>
    <w:rsid w:val="00031C0E"/>
    <w:rsid w:val="0003248E"/>
    <w:rsid w:val="00032A6F"/>
    <w:rsid w:val="00032EB6"/>
    <w:rsid w:val="00033260"/>
    <w:rsid w:val="00033373"/>
    <w:rsid w:val="00033453"/>
    <w:rsid w:val="00033DE8"/>
    <w:rsid w:val="00034043"/>
    <w:rsid w:val="0003452F"/>
    <w:rsid w:val="0003575A"/>
    <w:rsid w:val="00035C65"/>
    <w:rsid w:val="00035D70"/>
    <w:rsid w:val="00035FC2"/>
    <w:rsid w:val="000360EB"/>
    <w:rsid w:val="000363E1"/>
    <w:rsid w:val="0003658D"/>
    <w:rsid w:val="0003729A"/>
    <w:rsid w:val="000372B4"/>
    <w:rsid w:val="00037A5F"/>
    <w:rsid w:val="00037AFF"/>
    <w:rsid w:val="00037C4D"/>
    <w:rsid w:val="00037D87"/>
    <w:rsid w:val="00040422"/>
    <w:rsid w:val="00040468"/>
    <w:rsid w:val="00040AAC"/>
    <w:rsid w:val="00040B32"/>
    <w:rsid w:val="00040CDD"/>
    <w:rsid w:val="00040D98"/>
    <w:rsid w:val="00041418"/>
    <w:rsid w:val="0004190B"/>
    <w:rsid w:val="0004190C"/>
    <w:rsid w:val="000419F2"/>
    <w:rsid w:val="00041D4F"/>
    <w:rsid w:val="000421CF"/>
    <w:rsid w:val="000425E5"/>
    <w:rsid w:val="000426F2"/>
    <w:rsid w:val="00042841"/>
    <w:rsid w:val="00042EF3"/>
    <w:rsid w:val="00043029"/>
    <w:rsid w:val="00043615"/>
    <w:rsid w:val="00043D2C"/>
    <w:rsid w:val="00043E1B"/>
    <w:rsid w:val="00043E5F"/>
    <w:rsid w:val="000441A3"/>
    <w:rsid w:val="00044449"/>
    <w:rsid w:val="000446CA"/>
    <w:rsid w:val="00044D20"/>
    <w:rsid w:val="0004554F"/>
    <w:rsid w:val="00045CE9"/>
    <w:rsid w:val="00045EE0"/>
    <w:rsid w:val="0004608F"/>
    <w:rsid w:val="0004610F"/>
    <w:rsid w:val="00046520"/>
    <w:rsid w:val="000466B4"/>
    <w:rsid w:val="000467A4"/>
    <w:rsid w:val="00046812"/>
    <w:rsid w:val="00046870"/>
    <w:rsid w:val="0004697C"/>
    <w:rsid w:val="00046C87"/>
    <w:rsid w:val="00046E87"/>
    <w:rsid w:val="000470C4"/>
    <w:rsid w:val="000473DE"/>
    <w:rsid w:val="000473E2"/>
    <w:rsid w:val="0004783C"/>
    <w:rsid w:val="00047B88"/>
    <w:rsid w:val="00047F07"/>
    <w:rsid w:val="00047FEE"/>
    <w:rsid w:val="00050126"/>
    <w:rsid w:val="000501DD"/>
    <w:rsid w:val="0005079F"/>
    <w:rsid w:val="000508EB"/>
    <w:rsid w:val="0005142E"/>
    <w:rsid w:val="00051539"/>
    <w:rsid w:val="00051693"/>
    <w:rsid w:val="00051741"/>
    <w:rsid w:val="00051982"/>
    <w:rsid w:val="00051E2E"/>
    <w:rsid w:val="00051EB7"/>
    <w:rsid w:val="000524F5"/>
    <w:rsid w:val="000525C8"/>
    <w:rsid w:val="00052872"/>
    <w:rsid w:val="00052D26"/>
    <w:rsid w:val="0005359B"/>
    <w:rsid w:val="00053D12"/>
    <w:rsid w:val="0005419A"/>
    <w:rsid w:val="0005439B"/>
    <w:rsid w:val="00054459"/>
    <w:rsid w:val="0005446F"/>
    <w:rsid w:val="000545DB"/>
    <w:rsid w:val="00054601"/>
    <w:rsid w:val="00054DEA"/>
    <w:rsid w:val="00055759"/>
    <w:rsid w:val="000557CA"/>
    <w:rsid w:val="00055A23"/>
    <w:rsid w:val="00055ACD"/>
    <w:rsid w:val="00056080"/>
    <w:rsid w:val="00056474"/>
    <w:rsid w:val="000569FE"/>
    <w:rsid w:val="00056B9B"/>
    <w:rsid w:val="00056F27"/>
    <w:rsid w:val="00057099"/>
    <w:rsid w:val="000573AF"/>
    <w:rsid w:val="00057581"/>
    <w:rsid w:val="000576BC"/>
    <w:rsid w:val="00057A8D"/>
    <w:rsid w:val="00057ACC"/>
    <w:rsid w:val="00057BB5"/>
    <w:rsid w:val="000600DE"/>
    <w:rsid w:val="000600F2"/>
    <w:rsid w:val="00060231"/>
    <w:rsid w:val="00060316"/>
    <w:rsid w:val="00060431"/>
    <w:rsid w:val="00060F15"/>
    <w:rsid w:val="000610E4"/>
    <w:rsid w:val="0006141B"/>
    <w:rsid w:val="0006169E"/>
    <w:rsid w:val="000619F7"/>
    <w:rsid w:val="00061ACF"/>
    <w:rsid w:val="000626FD"/>
    <w:rsid w:val="0006346F"/>
    <w:rsid w:val="00063588"/>
    <w:rsid w:val="00063851"/>
    <w:rsid w:val="0006432B"/>
    <w:rsid w:val="000647B8"/>
    <w:rsid w:val="00064E50"/>
    <w:rsid w:val="00064FC5"/>
    <w:rsid w:val="000653D4"/>
    <w:rsid w:val="0006553E"/>
    <w:rsid w:val="00065E0B"/>
    <w:rsid w:val="00066105"/>
    <w:rsid w:val="000665AD"/>
    <w:rsid w:val="00066742"/>
    <w:rsid w:val="000668A7"/>
    <w:rsid w:val="0006696F"/>
    <w:rsid w:val="00066BBC"/>
    <w:rsid w:val="000670F8"/>
    <w:rsid w:val="000676A8"/>
    <w:rsid w:val="000676DD"/>
    <w:rsid w:val="00067837"/>
    <w:rsid w:val="00067873"/>
    <w:rsid w:val="00067C70"/>
    <w:rsid w:val="00067FEA"/>
    <w:rsid w:val="0007014B"/>
    <w:rsid w:val="000703A9"/>
    <w:rsid w:val="000706FA"/>
    <w:rsid w:val="000709EF"/>
    <w:rsid w:val="00070A23"/>
    <w:rsid w:val="00070DC0"/>
    <w:rsid w:val="000714E4"/>
    <w:rsid w:val="00071C35"/>
    <w:rsid w:val="00071F3D"/>
    <w:rsid w:val="000721DA"/>
    <w:rsid w:val="0007226A"/>
    <w:rsid w:val="000725A2"/>
    <w:rsid w:val="00072D25"/>
    <w:rsid w:val="00073014"/>
    <w:rsid w:val="000734C4"/>
    <w:rsid w:val="00073FFF"/>
    <w:rsid w:val="000742F5"/>
    <w:rsid w:val="0007434F"/>
    <w:rsid w:val="00074584"/>
    <w:rsid w:val="0007458F"/>
    <w:rsid w:val="00074B70"/>
    <w:rsid w:val="000752A8"/>
    <w:rsid w:val="0007583F"/>
    <w:rsid w:val="00075930"/>
    <w:rsid w:val="00075F50"/>
    <w:rsid w:val="00076846"/>
    <w:rsid w:val="00076919"/>
    <w:rsid w:val="000773EC"/>
    <w:rsid w:val="00077446"/>
    <w:rsid w:val="00077560"/>
    <w:rsid w:val="000776E5"/>
    <w:rsid w:val="000776E9"/>
    <w:rsid w:val="00077C5F"/>
    <w:rsid w:val="000801AA"/>
    <w:rsid w:val="0008079F"/>
    <w:rsid w:val="000808DC"/>
    <w:rsid w:val="00080AF4"/>
    <w:rsid w:val="00080BA4"/>
    <w:rsid w:val="00080D77"/>
    <w:rsid w:val="00081149"/>
    <w:rsid w:val="00082460"/>
    <w:rsid w:val="00082496"/>
    <w:rsid w:val="000824A1"/>
    <w:rsid w:val="00082E50"/>
    <w:rsid w:val="00083078"/>
    <w:rsid w:val="0008315E"/>
    <w:rsid w:val="00083759"/>
    <w:rsid w:val="00083FC6"/>
    <w:rsid w:val="0008435D"/>
    <w:rsid w:val="00084772"/>
    <w:rsid w:val="00084A63"/>
    <w:rsid w:val="00084B21"/>
    <w:rsid w:val="00084EFC"/>
    <w:rsid w:val="0008509F"/>
    <w:rsid w:val="00085374"/>
    <w:rsid w:val="0008558C"/>
    <w:rsid w:val="00085598"/>
    <w:rsid w:val="00085F13"/>
    <w:rsid w:val="00085FC5"/>
    <w:rsid w:val="0008602E"/>
    <w:rsid w:val="000862BF"/>
    <w:rsid w:val="00086513"/>
    <w:rsid w:val="00086710"/>
    <w:rsid w:val="0008691E"/>
    <w:rsid w:val="000869FE"/>
    <w:rsid w:val="00086BF4"/>
    <w:rsid w:val="000871A4"/>
    <w:rsid w:val="00090AB6"/>
    <w:rsid w:val="00090D12"/>
    <w:rsid w:val="00090E6B"/>
    <w:rsid w:val="000910D5"/>
    <w:rsid w:val="00091104"/>
    <w:rsid w:val="00091605"/>
    <w:rsid w:val="0009166C"/>
    <w:rsid w:val="000919A5"/>
    <w:rsid w:val="000922FA"/>
    <w:rsid w:val="0009242C"/>
    <w:rsid w:val="00092638"/>
    <w:rsid w:val="00092837"/>
    <w:rsid w:val="000928D7"/>
    <w:rsid w:val="0009293C"/>
    <w:rsid w:val="00092D11"/>
    <w:rsid w:val="0009326E"/>
    <w:rsid w:val="0009381A"/>
    <w:rsid w:val="00093A32"/>
    <w:rsid w:val="00093AB6"/>
    <w:rsid w:val="00093C6E"/>
    <w:rsid w:val="0009495C"/>
    <w:rsid w:val="00094C3F"/>
    <w:rsid w:val="00094DA4"/>
    <w:rsid w:val="00095AF8"/>
    <w:rsid w:val="00095B91"/>
    <w:rsid w:val="000963CD"/>
    <w:rsid w:val="0009646C"/>
    <w:rsid w:val="00096595"/>
    <w:rsid w:val="000969C8"/>
    <w:rsid w:val="00097137"/>
    <w:rsid w:val="0009774A"/>
    <w:rsid w:val="000A02B1"/>
    <w:rsid w:val="000A05D9"/>
    <w:rsid w:val="000A0AC7"/>
    <w:rsid w:val="000A0B34"/>
    <w:rsid w:val="000A10E7"/>
    <w:rsid w:val="000A1A14"/>
    <w:rsid w:val="000A1B45"/>
    <w:rsid w:val="000A28AC"/>
    <w:rsid w:val="000A28D4"/>
    <w:rsid w:val="000A2EB4"/>
    <w:rsid w:val="000A34A0"/>
    <w:rsid w:val="000A3DA3"/>
    <w:rsid w:val="000A3F2F"/>
    <w:rsid w:val="000A40C0"/>
    <w:rsid w:val="000A45DB"/>
    <w:rsid w:val="000A4847"/>
    <w:rsid w:val="000A5708"/>
    <w:rsid w:val="000A63C6"/>
    <w:rsid w:val="000A6462"/>
    <w:rsid w:val="000A6C0A"/>
    <w:rsid w:val="000A6D16"/>
    <w:rsid w:val="000A6DEA"/>
    <w:rsid w:val="000A763A"/>
    <w:rsid w:val="000A7DA8"/>
    <w:rsid w:val="000A7FAC"/>
    <w:rsid w:val="000B05BE"/>
    <w:rsid w:val="000B0A19"/>
    <w:rsid w:val="000B0D89"/>
    <w:rsid w:val="000B12AC"/>
    <w:rsid w:val="000B12E0"/>
    <w:rsid w:val="000B14DB"/>
    <w:rsid w:val="000B17D3"/>
    <w:rsid w:val="000B1B3F"/>
    <w:rsid w:val="000B1C16"/>
    <w:rsid w:val="000B232B"/>
    <w:rsid w:val="000B23B7"/>
    <w:rsid w:val="000B2458"/>
    <w:rsid w:val="000B2704"/>
    <w:rsid w:val="000B297A"/>
    <w:rsid w:val="000B384A"/>
    <w:rsid w:val="000B3AEB"/>
    <w:rsid w:val="000B454B"/>
    <w:rsid w:val="000B4630"/>
    <w:rsid w:val="000B497F"/>
    <w:rsid w:val="000B4D0A"/>
    <w:rsid w:val="000B540F"/>
    <w:rsid w:val="000B550F"/>
    <w:rsid w:val="000B5725"/>
    <w:rsid w:val="000B587C"/>
    <w:rsid w:val="000B5FA9"/>
    <w:rsid w:val="000B6799"/>
    <w:rsid w:val="000B6C71"/>
    <w:rsid w:val="000B710D"/>
    <w:rsid w:val="000B7558"/>
    <w:rsid w:val="000B75E7"/>
    <w:rsid w:val="000B774F"/>
    <w:rsid w:val="000B789F"/>
    <w:rsid w:val="000B78F2"/>
    <w:rsid w:val="000B7921"/>
    <w:rsid w:val="000C04DC"/>
    <w:rsid w:val="000C05FD"/>
    <w:rsid w:val="000C081C"/>
    <w:rsid w:val="000C0A48"/>
    <w:rsid w:val="000C0ADC"/>
    <w:rsid w:val="000C0D98"/>
    <w:rsid w:val="000C0E84"/>
    <w:rsid w:val="000C0EA8"/>
    <w:rsid w:val="000C173D"/>
    <w:rsid w:val="000C1A45"/>
    <w:rsid w:val="000C2607"/>
    <w:rsid w:val="000C2AE2"/>
    <w:rsid w:val="000C2F20"/>
    <w:rsid w:val="000C376A"/>
    <w:rsid w:val="000C39B8"/>
    <w:rsid w:val="000C4687"/>
    <w:rsid w:val="000C4C19"/>
    <w:rsid w:val="000C4D23"/>
    <w:rsid w:val="000C53F2"/>
    <w:rsid w:val="000C5615"/>
    <w:rsid w:val="000C571C"/>
    <w:rsid w:val="000C5782"/>
    <w:rsid w:val="000C5F33"/>
    <w:rsid w:val="000C601D"/>
    <w:rsid w:val="000C6152"/>
    <w:rsid w:val="000C6747"/>
    <w:rsid w:val="000C6A94"/>
    <w:rsid w:val="000C6AED"/>
    <w:rsid w:val="000C6EC8"/>
    <w:rsid w:val="000C7BC5"/>
    <w:rsid w:val="000C7E06"/>
    <w:rsid w:val="000C7F84"/>
    <w:rsid w:val="000D03D4"/>
    <w:rsid w:val="000D06FB"/>
    <w:rsid w:val="000D07F4"/>
    <w:rsid w:val="000D0826"/>
    <w:rsid w:val="000D0A11"/>
    <w:rsid w:val="000D12D0"/>
    <w:rsid w:val="000D16C6"/>
    <w:rsid w:val="000D1B58"/>
    <w:rsid w:val="000D1F7A"/>
    <w:rsid w:val="000D25E6"/>
    <w:rsid w:val="000D2749"/>
    <w:rsid w:val="000D27C1"/>
    <w:rsid w:val="000D2B16"/>
    <w:rsid w:val="000D2F9F"/>
    <w:rsid w:val="000D3094"/>
    <w:rsid w:val="000D3484"/>
    <w:rsid w:val="000D3497"/>
    <w:rsid w:val="000D4141"/>
    <w:rsid w:val="000D42EC"/>
    <w:rsid w:val="000D4698"/>
    <w:rsid w:val="000D4F04"/>
    <w:rsid w:val="000D5036"/>
    <w:rsid w:val="000D53C8"/>
    <w:rsid w:val="000D549A"/>
    <w:rsid w:val="000D5647"/>
    <w:rsid w:val="000D60EC"/>
    <w:rsid w:val="000D67B8"/>
    <w:rsid w:val="000D6E0D"/>
    <w:rsid w:val="000D7AC6"/>
    <w:rsid w:val="000E0328"/>
    <w:rsid w:val="000E033B"/>
    <w:rsid w:val="000E0653"/>
    <w:rsid w:val="000E0784"/>
    <w:rsid w:val="000E07D0"/>
    <w:rsid w:val="000E0B9D"/>
    <w:rsid w:val="000E0F8A"/>
    <w:rsid w:val="000E109F"/>
    <w:rsid w:val="000E10BE"/>
    <w:rsid w:val="000E17D0"/>
    <w:rsid w:val="000E1CAF"/>
    <w:rsid w:val="000E2093"/>
    <w:rsid w:val="000E2190"/>
    <w:rsid w:val="000E2915"/>
    <w:rsid w:val="000E2A35"/>
    <w:rsid w:val="000E2B79"/>
    <w:rsid w:val="000E2BB4"/>
    <w:rsid w:val="000E2E45"/>
    <w:rsid w:val="000E2E89"/>
    <w:rsid w:val="000E3329"/>
    <w:rsid w:val="000E3420"/>
    <w:rsid w:val="000E351B"/>
    <w:rsid w:val="000E369A"/>
    <w:rsid w:val="000E397F"/>
    <w:rsid w:val="000E3C0C"/>
    <w:rsid w:val="000E3D7B"/>
    <w:rsid w:val="000E4033"/>
    <w:rsid w:val="000E415C"/>
    <w:rsid w:val="000E442A"/>
    <w:rsid w:val="000E45F7"/>
    <w:rsid w:val="000E49AB"/>
    <w:rsid w:val="000E4AFC"/>
    <w:rsid w:val="000E4F82"/>
    <w:rsid w:val="000E4FAF"/>
    <w:rsid w:val="000E516A"/>
    <w:rsid w:val="000E5691"/>
    <w:rsid w:val="000E56F7"/>
    <w:rsid w:val="000E5FB7"/>
    <w:rsid w:val="000E62BD"/>
    <w:rsid w:val="000E6313"/>
    <w:rsid w:val="000E65F7"/>
    <w:rsid w:val="000E678F"/>
    <w:rsid w:val="000E6B44"/>
    <w:rsid w:val="000E6E49"/>
    <w:rsid w:val="000E6FD0"/>
    <w:rsid w:val="000E70BB"/>
    <w:rsid w:val="000E7417"/>
    <w:rsid w:val="000E76B3"/>
    <w:rsid w:val="000E7E6A"/>
    <w:rsid w:val="000F0276"/>
    <w:rsid w:val="000F038F"/>
    <w:rsid w:val="000F04EF"/>
    <w:rsid w:val="000F0982"/>
    <w:rsid w:val="000F0AA9"/>
    <w:rsid w:val="000F1121"/>
    <w:rsid w:val="000F11D1"/>
    <w:rsid w:val="000F1345"/>
    <w:rsid w:val="000F1B18"/>
    <w:rsid w:val="000F1DA9"/>
    <w:rsid w:val="000F2178"/>
    <w:rsid w:val="000F2474"/>
    <w:rsid w:val="000F25C7"/>
    <w:rsid w:val="000F2859"/>
    <w:rsid w:val="000F2DBC"/>
    <w:rsid w:val="000F2F36"/>
    <w:rsid w:val="000F31E9"/>
    <w:rsid w:val="000F32F2"/>
    <w:rsid w:val="000F347A"/>
    <w:rsid w:val="000F37F6"/>
    <w:rsid w:val="000F3835"/>
    <w:rsid w:val="000F3A2E"/>
    <w:rsid w:val="000F3BB3"/>
    <w:rsid w:val="000F4760"/>
    <w:rsid w:val="000F4783"/>
    <w:rsid w:val="000F479E"/>
    <w:rsid w:val="000F47B3"/>
    <w:rsid w:val="000F4B8D"/>
    <w:rsid w:val="000F4F5A"/>
    <w:rsid w:val="000F530A"/>
    <w:rsid w:val="000F5A38"/>
    <w:rsid w:val="000F6025"/>
    <w:rsid w:val="000F6C8B"/>
    <w:rsid w:val="000F6C91"/>
    <w:rsid w:val="000F6DD0"/>
    <w:rsid w:val="000F73E6"/>
    <w:rsid w:val="000F7A4A"/>
    <w:rsid w:val="000F7B69"/>
    <w:rsid w:val="000F7FC5"/>
    <w:rsid w:val="0010007A"/>
    <w:rsid w:val="001001B9"/>
    <w:rsid w:val="00100848"/>
    <w:rsid w:val="00100FC0"/>
    <w:rsid w:val="0010105C"/>
    <w:rsid w:val="00101086"/>
    <w:rsid w:val="001010F8"/>
    <w:rsid w:val="001013EA"/>
    <w:rsid w:val="0010151D"/>
    <w:rsid w:val="00101C70"/>
    <w:rsid w:val="00101DAA"/>
    <w:rsid w:val="00101EA0"/>
    <w:rsid w:val="00102254"/>
    <w:rsid w:val="001022E6"/>
    <w:rsid w:val="0010237E"/>
    <w:rsid w:val="00102595"/>
    <w:rsid w:val="00102BB7"/>
    <w:rsid w:val="00103AF2"/>
    <w:rsid w:val="00103CDF"/>
    <w:rsid w:val="00104456"/>
    <w:rsid w:val="00104EA6"/>
    <w:rsid w:val="00105052"/>
    <w:rsid w:val="001053A6"/>
    <w:rsid w:val="001063BD"/>
    <w:rsid w:val="001063C5"/>
    <w:rsid w:val="0010640D"/>
    <w:rsid w:val="001064BB"/>
    <w:rsid w:val="00106782"/>
    <w:rsid w:val="001068DE"/>
    <w:rsid w:val="00106A79"/>
    <w:rsid w:val="00106ADC"/>
    <w:rsid w:val="00106D56"/>
    <w:rsid w:val="00106F85"/>
    <w:rsid w:val="0010702C"/>
    <w:rsid w:val="00107175"/>
    <w:rsid w:val="00107267"/>
    <w:rsid w:val="001072CC"/>
    <w:rsid w:val="00107371"/>
    <w:rsid w:val="0010744B"/>
    <w:rsid w:val="00107912"/>
    <w:rsid w:val="00107936"/>
    <w:rsid w:val="00107BA6"/>
    <w:rsid w:val="00107ED8"/>
    <w:rsid w:val="0011007E"/>
    <w:rsid w:val="00110970"/>
    <w:rsid w:val="00110A6E"/>
    <w:rsid w:val="00110EEB"/>
    <w:rsid w:val="00111203"/>
    <w:rsid w:val="00111213"/>
    <w:rsid w:val="0011135F"/>
    <w:rsid w:val="0011149F"/>
    <w:rsid w:val="00111568"/>
    <w:rsid w:val="0011184C"/>
    <w:rsid w:val="00111BAD"/>
    <w:rsid w:val="00111FE9"/>
    <w:rsid w:val="001120C0"/>
    <w:rsid w:val="00112252"/>
    <w:rsid w:val="00112932"/>
    <w:rsid w:val="00112946"/>
    <w:rsid w:val="00113099"/>
    <w:rsid w:val="001130F2"/>
    <w:rsid w:val="001132E5"/>
    <w:rsid w:val="0011372A"/>
    <w:rsid w:val="001139C1"/>
    <w:rsid w:val="00113B73"/>
    <w:rsid w:val="00113F27"/>
    <w:rsid w:val="00114204"/>
    <w:rsid w:val="001143D5"/>
    <w:rsid w:val="00114426"/>
    <w:rsid w:val="001144C3"/>
    <w:rsid w:val="0011465F"/>
    <w:rsid w:val="00114BAD"/>
    <w:rsid w:val="00114ED7"/>
    <w:rsid w:val="00114EFE"/>
    <w:rsid w:val="001150BF"/>
    <w:rsid w:val="0011511F"/>
    <w:rsid w:val="00115B2C"/>
    <w:rsid w:val="00115EB0"/>
    <w:rsid w:val="001162D0"/>
    <w:rsid w:val="00116804"/>
    <w:rsid w:val="001168F2"/>
    <w:rsid w:val="001172ED"/>
    <w:rsid w:val="00117586"/>
    <w:rsid w:val="001176FB"/>
    <w:rsid w:val="00117CBE"/>
    <w:rsid w:val="00117CEE"/>
    <w:rsid w:val="00120075"/>
    <w:rsid w:val="00120170"/>
    <w:rsid w:val="00120207"/>
    <w:rsid w:val="00120212"/>
    <w:rsid w:val="001204C6"/>
    <w:rsid w:val="00120686"/>
    <w:rsid w:val="0012072A"/>
    <w:rsid w:val="001207DA"/>
    <w:rsid w:val="001208EE"/>
    <w:rsid w:val="00121317"/>
    <w:rsid w:val="00121431"/>
    <w:rsid w:val="00121A60"/>
    <w:rsid w:val="00122114"/>
    <w:rsid w:val="00122231"/>
    <w:rsid w:val="00122420"/>
    <w:rsid w:val="00122690"/>
    <w:rsid w:val="00122BE1"/>
    <w:rsid w:val="00122CC4"/>
    <w:rsid w:val="00123192"/>
    <w:rsid w:val="00123331"/>
    <w:rsid w:val="00123AB2"/>
    <w:rsid w:val="00123C1B"/>
    <w:rsid w:val="00124426"/>
    <w:rsid w:val="00124835"/>
    <w:rsid w:val="00124C91"/>
    <w:rsid w:val="00124FD4"/>
    <w:rsid w:val="00125102"/>
    <w:rsid w:val="00125647"/>
    <w:rsid w:val="00125881"/>
    <w:rsid w:val="0012599C"/>
    <w:rsid w:val="00125BE9"/>
    <w:rsid w:val="00125CB2"/>
    <w:rsid w:val="00125D15"/>
    <w:rsid w:val="00125E3C"/>
    <w:rsid w:val="00125FD5"/>
    <w:rsid w:val="001260CA"/>
    <w:rsid w:val="001264D6"/>
    <w:rsid w:val="00126795"/>
    <w:rsid w:val="001267FC"/>
    <w:rsid w:val="00126879"/>
    <w:rsid w:val="00126C7C"/>
    <w:rsid w:val="00126CB9"/>
    <w:rsid w:val="00127018"/>
    <w:rsid w:val="001271B8"/>
    <w:rsid w:val="0012723D"/>
    <w:rsid w:val="00127A0F"/>
    <w:rsid w:val="00127E53"/>
    <w:rsid w:val="00127F3C"/>
    <w:rsid w:val="00127FC0"/>
    <w:rsid w:val="00130059"/>
    <w:rsid w:val="001302D4"/>
    <w:rsid w:val="0013043F"/>
    <w:rsid w:val="001319E3"/>
    <w:rsid w:val="001325B1"/>
    <w:rsid w:val="0013267A"/>
    <w:rsid w:val="00132833"/>
    <w:rsid w:val="00132CE4"/>
    <w:rsid w:val="0013311C"/>
    <w:rsid w:val="00133311"/>
    <w:rsid w:val="001337BD"/>
    <w:rsid w:val="00133E7E"/>
    <w:rsid w:val="00133F5B"/>
    <w:rsid w:val="0013400E"/>
    <w:rsid w:val="0013456F"/>
    <w:rsid w:val="00134A15"/>
    <w:rsid w:val="00134BE9"/>
    <w:rsid w:val="00134E37"/>
    <w:rsid w:val="001351C7"/>
    <w:rsid w:val="001353FE"/>
    <w:rsid w:val="00135561"/>
    <w:rsid w:val="0013581F"/>
    <w:rsid w:val="00135C0A"/>
    <w:rsid w:val="00135C25"/>
    <w:rsid w:val="00136344"/>
    <w:rsid w:val="001368BA"/>
    <w:rsid w:val="00136DBF"/>
    <w:rsid w:val="00137307"/>
    <w:rsid w:val="0013794D"/>
    <w:rsid w:val="00140139"/>
    <w:rsid w:val="0014021D"/>
    <w:rsid w:val="0014041A"/>
    <w:rsid w:val="00140AAA"/>
    <w:rsid w:val="001411BB"/>
    <w:rsid w:val="001417B2"/>
    <w:rsid w:val="00141DF9"/>
    <w:rsid w:val="00141F83"/>
    <w:rsid w:val="00142072"/>
    <w:rsid w:val="001421AB"/>
    <w:rsid w:val="001429E6"/>
    <w:rsid w:val="00142E1F"/>
    <w:rsid w:val="00142E93"/>
    <w:rsid w:val="00142FD4"/>
    <w:rsid w:val="00143128"/>
    <w:rsid w:val="00143462"/>
    <w:rsid w:val="00143B83"/>
    <w:rsid w:val="00143D8F"/>
    <w:rsid w:val="00143FCB"/>
    <w:rsid w:val="00144150"/>
    <w:rsid w:val="0014423C"/>
    <w:rsid w:val="00144663"/>
    <w:rsid w:val="00144841"/>
    <w:rsid w:val="00144B97"/>
    <w:rsid w:val="00144BF4"/>
    <w:rsid w:val="00144C6C"/>
    <w:rsid w:val="00144CDE"/>
    <w:rsid w:val="00144F1B"/>
    <w:rsid w:val="00144FEF"/>
    <w:rsid w:val="00145328"/>
    <w:rsid w:val="00145627"/>
    <w:rsid w:val="00145841"/>
    <w:rsid w:val="00145E3D"/>
    <w:rsid w:val="0014616E"/>
    <w:rsid w:val="0014691D"/>
    <w:rsid w:val="00146A41"/>
    <w:rsid w:val="00146EF3"/>
    <w:rsid w:val="00147177"/>
    <w:rsid w:val="001476E2"/>
    <w:rsid w:val="00147ADD"/>
    <w:rsid w:val="00147E0B"/>
    <w:rsid w:val="00147F51"/>
    <w:rsid w:val="0015031C"/>
    <w:rsid w:val="00150AD0"/>
    <w:rsid w:val="00150CC4"/>
    <w:rsid w:val="00150DFD"/>
    <w:rsid w:val="00151328"/>
    <w:rsid w:val="00151679"/>
    <w:rsid w:val="00151875"/>
    <w:rsid w:val="00151B3F"/>
    <w:rsid w:val="001523F3"/>
    <w:rsid w:val="001526D8"/>
    <w:rsid w:val="00152853"/>
    <w:rsid w:val="00152DEC"/>
    <w:rsid w:val="001530E9"/>
    <w:rsid w:val="0015311D"/>
    <w:rsid w:val="0015318E"/>
    <w:rsid w:val="001538C5"/>
    <w:rsid w:val="00153A76"/>
    <w:rsid w:val="00153CEF"/>
    <w:rsid w:val="00154205"/>
    <w:rsid w:val="00154590"/>
    <w:rsid w:val="001546F8"/>
    <w:rsid w:val="00154A22"/>
    <w:rsid w:val="00154B4A"/>
    <w:rsid w:val="00154D73"/>
    <w:rsid w:val="00154FC7"/>
    <w:rsid w:val="001552C1"/>
    <w:rsid w:val="0015540B"/>
    <w:rsid w:val="00155F52"/>
    <w:rsid w:val="00156766"/>
    <w:rsid w:val="0015713C"/>
    <w:rsid w:val="00157A37"/>
    <w:rsid w:val="001607AC"/>
    <w:rsid w:val="00160AE1"/>
    <w:rsid w:val="00160CA0"/>
    <w:rsid w:val="00160DDD"/>
    <w:rsid w:val="00160F6F"/>
    <w:rsid w:val="00161452"/>
    <w:rsid w:val="001618BB"/>
    <w:rsid w:val="001618CE"/>
    <w:rsid w:val="0016194E"/>
    <w:rsid w:val="0016235B"/>
    <w:rsid w:val="0016267E"/>
    <w:rsid w:val="001629FB"/>
    <w:rsid w:val="00162AE0"/>
    <w:rsid w:val="0016307F"/>
    <w:rsid w:val="0016347F"/>
    <w:rsid w:val="00163561"/>
    <w:rsid w:val="00163B01"/>
    <w:rsid w:val="00163D92"/>
    <w:rsid w:val="00164144"/>
    <w:rsid w:val="00164439"/>
    <w:rsid w:val="00164800"/>
    <w:rsid w:val="001648F2"/>
    <w:rsid w:val="00164D18"/>
    <w:rsid w:val="00165B1F"/>
    <w:rsid w:val="00165E4A"/>
    <w:rsid w:val="001660B9"/>
    <w:rsid w:val="0016640E"/>
    <w:rsid w:val="00166CA1"/>
    <w:rsid w:val="00166DB4"/>
    <w:rsid w:val="00166EC6"/>
    <w:rsid w:val="001675DA"/>
    <w:rsid w:val="001677A0"/>
    <w:rsid w:val="00167C7E"/>
    <w:rsid w:val="00170023"/>
    <w:rsid w:val="00170291"/>
    <w:rsid w:val="001703BB"/>
    <w:rsid w:val="00170650"/>
    <w:rsid w:val="00170898"/>
    <w:rsid w:val="001708DE"/>
    <w:rsid w:val="00170E57"/>
    <w:rsid w:val="00171169"/>
    <w:rsid w:val="0017167E"/>
    <w:rsid w:val="001717FC"/>
    <w:rsid w:val="001725D1"/>
    <w:rsid w:val="00172ADE"/>
    <w:rsid w:val="00173041"/>
    <w:rsid w:val="00173E6A"/>
    <w:rsid w:val="00173F24"/>
    <w:rsid w:val="001749E5"/>
    <w:rsid w:val="00174BFF"/>
    <w:rsid w:val="00174DFF"/>
    <w:rsid w:val="00175187"/>
    <w:rsid w:val="00175703"/>
    <w:rsid w:val="0017573A"/>
    <w:rsid w:val="001758DE"/>
    <w:rsid w:val="00175BD3"/>
    <w:rsid w:val="00176178"/>
    <w:rsid w:val="00176D25"/>
    <w:rsid w:val="00177784"/>
    <w:rsid w:val="00177FEC"/>
    <w:rsid w:val="0018035C"/>
    <w:rsid w:val="0018075E"/>
    <w:rsid w:val="001808D3"/>
    <w:rsid w:val="00180FA9"/>
    <w:rsid w:val="00181076"/>
    <w:rsid w:val="00181098"/>
    <w:rsid w:val="00181135"/>
    <w:rsid w:val="0018122C"/>
    <w:rsid w:val="0018143F"/>
    <w:rsid w:val="001819F6"/>
    <w:rsid w:val="00181A13"/>
    <w:rsid w:val="00181F25"/>
    <w:rsid w:val="0018254A"/>
    <w:rsid w:val="00182568"/>
    <w:rsid w:val="00182D6D"/>
    <w:rsid w:val="00182F87"/>
    <w:rsid w:val="00182FB9"/>
    <w:rsid w:val="001832E1"/>
    <w:rsid w:val="00183385"/>
    <w:rsid w:val="001833B8"/>
    <w:rsid w:val="0018342E"/>
    <w:rsid w:val="00183AA1"/>
    <w:rsid w:val="001840C2"/>
    <w:rsid w:val="00184484"/>
    <w:rsid w:val="001844F9"/>
    <w:rsid w:val="001849E8"/>
    <w:rsid w:val="00184B1A"/>
    <w:rsid w:val="00184B46"/>
    <w:rsid w:val="0018556D"/>
    <w:rsid w:val="001858E0"/>
    <w:rsid w:val="00185939"/>
    <w:rsid w:val="00185D78"/>
    <w:rsid w:val="00185F22"/>
    <w:rsid w:val="00186321"/>
    <w:rsid w:val="001864A7"/>
    <w:rsid w:val="00186BAA"/>
    <w:rsid w:val="00186DA4"/>
    <w:rsid w:val="00186E8E"/>
    <w:rsid w:val="00187115"/>
    <w:rsid w:val="0018761E"/>
    <w:rsid w:val="001876F6"/>
    <w:rsid w:val="00187875"/>
    <w:rsid w:val="00187885"/>
    <w:rsid w:val="00187B83"/>
    <w:rsid w:val="00187F56"/>
    <w:rsid w:val="00190B8B"/>
    <w:rsid w:val="001913A4"/>
    <w:rsid w:val="00191459"/>
    <w:rsid w:val="00191A27"/>
    <w:rsid w:val="00191C84"/>
    <w:rsid w:val="00191E23"/>
    <w:rsid w:val="00191F3D"/>
    <w:rsid w:val="0019210C"/>
    <w:rsid w:val="00192475"/>
    <w:rsid w:val="00192483"/>
    <w:rsid w:val="001924E2"/>
    <w:rsid w:val="00192546"/>
    <w:rsid w:val="001926A0"/>
    <w:rsid w:val="00193732"/>
    <w:rsid w:val="001937C2"/>
    <w:rsid w:val="00193C35"/>
    <w:rsid w:val="00193CF9"/>
    <w:rsid w:val="00194B9C"/>
    <w:rsid w:val="00194E5D"/>
    <w:rsid w:val="00195190"/>
    <w:rsid w:val="001953B1"/>
    <w:rsid w:val="001954C9"/>
    <w:rsid w:val="00195EEC"/>
    <w:rsid w:val="001963C0"/>
    <w:rsid w:val="001964C5"/>
    <w:rsid w:val="00196861"/>
    <w:rsid w:val="00197956"/>
    <w:rsid w:val="00197D8A"/>
    <w:rsid w:val="001A0397"/>
    <w:rsid w:val="001A0FF0"/>
    <w:rsid w:val="001A1487"/>
    <w:rsid w:val="001A17A8"/>
    <w:rsid w:val="001A19D5"/>
    <w:rsid w:val="001A1B3F"/>
    <w:rsid w:val="001A21B4"/>
    <w:rsid w:val="001A2203"/>
    <w:rsid w:val="001A269F"/>
    <w:rsid w:val="001A26CB"/>
    <w:rsid w:val="001A3293"/>
    <w:rsid w:val="001A3313"/>
    <w:rsid w:val="001A33ED"/>
    <w:rsid w:val="001A3862"/>
    <w:rsid w:val="001A3AF0"/>
    <w:rsid w:val="001A409D"/>
    <w:rsid w:val="001A446E"/>
    <w:rsid w:val="001A452B"/>
    <w:rsid w:val="001A492F"/>
    <w:rsid w:val="001A4B3A"/>
    <w:rsid w:val="001A4E9B"/>
    <w:rsid w:val="001A4F02"/>
    <w:rsid w:val="001A4F33"/>
    <w:rsid w:val="001A4FDA"/>
    <w:rsid w:val="001A568F"/>
    <w:rsid w:val="001A56F4"/>
    <w:rsid w:val="001A57E9"/>
    <w:rsid w:val="001A58D8"/>
    <w:rsid w:val="001A5A20"/>
    <w:rsid w:val="001A612A"/>
    <w:rsid w:val="001A65D3"/>
    <w:rsid w:val="001A6ABC"/>
    <w:rsid w:val="001A758F"/>
    <w:rsid w:val="001A75B9"/>
    <w:rsid w:val="001A7FC9"/>
    <w:rsid w:val="001B0010"/>
    <w:rsid w:val="001B0352"/>
    <w:rsid w:val="001B06E0"/>
    <w:rsid w:val="001B07C7"/>
    <w:rsid w:val="001B0F2B"/>
    <w:rsid w:val="001B1676"/>
    <w:rsid w:val="001B17A8"/>
    <w:rsid w:val="001B1BE7"/>
    <w:rsid w:val="001B1FDD"/>
    <w:rsid w:val="001B23AB"/>
    <w:rsid w:val="001B2CF5"/>
    <w:rsid w:val="001B328E"/>
    <w:rsid w:val="001B339E"/>
    <w:rsid w:val="001B369D"/>
    <w:rsid w:val="001B3C2F"/>
    <w:rsid w:val="001B3E87"/>
    <w:rsid w:val="001B498A"/>
    <w:rsid w:val="001B55C8"/>
    <w:rsid w:val="001B5982"/>
    <w:rsid w:val="001B63C6"/>
    <w:rsid w:val="001B6FB7"/>
    <w:rsid w:val="001B756B"/>
    <w:rsid w:val="001B7736"/>
    <w:rsid w:val="001B7D15"/>
    <w:rsid w:val="001C0222"/>
    <w:rsid w:val="001C0748"/>
    <w:rsid w:val="001C0782"/>
    <w:rsid w:val="001C098B"/>
    <w:rsid w:val="001C13E2"/>
    <w:rsid w:val="001C16BF"/>
    <w:rsid w:val="001C190F"/>
    <w:rsid w:val="001C1A8C"/>
    <w:rsid w:val="001C1BAB"/>
    <w:rsid w:val="001C1DD0"/>
    <w:rsid w:val="001C2183"/>
    <w:rsid w:val="001C21BD"/>
    <w:rsid w:val="001C26B9"/>
    <w:rsid w:val="001C2B0A"/>
    <w:rsid w:val="001C2C44"/>
    <w:rsid w:val="001C3205"/>
    <w:rsid w:val="001C33DA"/>
    <w:rsid w:val="001C3682"/>
    <w:rsid w:val="001C3806"/>
    <w:rsid w:val="001C384A"/>
    <w:rsid w:val="001C3F1B"/>
    <w:rsid w:val="001C408C"/>
    <w:rsid w:val="001C44A3"/>
    <w:rsid w:val="001C4571"/>
    <w:rsid w:val="001C4684"/>
    <w:rsid w:val="001C475E"/>
    <w:rsid w:val="001C48D4"/>
    <w:rsid w:val="001C5096"/>
    <w:rsid w:val="001C5793"/>
    <w:rsid w:val="001C5C8E"/>
    <w:rsid w:val="001C6151"/>
    <w:rsid w:val="001C6A0A"/>
    <w:rsid w:val="001C6B28"/>
    <w:rsid w:val="001C75B8"/>
    <w:rsid w:val="001C7C27"/>
    <w:rsid w:val="001C7C81"/>
    <w:rsid w:val="001C7C93"/>
    <w:rsid w:val="001C7EDD"/>
    <w:rsid w:val="001D0054"/>
    <w:rsid w:val="001D0514"/>
    <w:rsid w:val="001D0CE6"/>
    <w:rsid w:val="001D0F6F"/>
    <w:rsid w:val="001D13DF"/>
    <w:rsid w:val="001D146D"/>
    <w:rsid w:val="001D154D"/>
    <w:rsid w:val="001D1565"/>
    <w:rsid w:val="001D15BB"/>
    <w:rsid w:val="001D1627"/>
    <w:rsid w:val="001D24FF"/>
    <w:rsid w:val="001D2BE4"/>
    <w:rsid w:val="001D2DF7"/>
    <w:rsid w:val="001D355E"/>
    <w:rsid w:val="001D36CD"/>
    <w:rsid w:val="001D36EE"/>
    <w:rsid w:val="001D3810"/>
    <w:rsid w:val="001D3991"/>
    <w:rsid w:val="001D407F"/>
    <w:rsid w:val="001D4310"/>
    <w:rsid w:val="001D4660"/>
    <w:rsid w:val="001D4949"/>
    <w:rsid w:val="001D4970"/>
    <w:rsid w:val="001D4CC2"/>
    <w:rsid w:val="001D4F49"/>
    <w:rsid w:val="001D54AC"/>
    <w:rsid w:val="001D5772"/>
    <w:rsid w:val="001D587D"/>
    <w:rsid w:val="001D5E8D"/>
    <w:rsid w:val="001D605A"/>
    <w:rsid w:val="001D6191"/>
    <w:rsid w:val="001D625A"/>
    <w:rsid w:val="001D67F6"/>
    <w:rsid w:val="001D6CAC"/>
    <w:rsid w:val="001D6D86"/>
    <w:rsid w:val="001D6E7F"/>
    <w:rsid w:val="001D7071"/>
    <w:rsid w:val="001D74C0"/>
    <w:rsid w:val="001D7982"/>
    <w:rsid w:val="001D7D96"/>
    <w:rsid w:val="001D7DFD"/>
    <w:rsid w:val="001E0E27"/>
    <w:rsid w:val="001E0F8E"/>
    <w:rsid w:val="001E0FDE"/>
    <w:rsid w:val="001E11E2"/>
    <w:rsid w:val="001E12C1"/>
    <w:rsid w:val="001E16DE"/>
    <w:rsid w:val="001E1BF6"/>
    <w:rsid w:val="001E1D3D"/>
    <w:rsid w:val="001E1DF4"/>
    <w:rsid w:val="001E2D50"/>
    <w:rsid w:val="001E2D7C"/>
    <w:rsid w:val="001E2EDC"/>
    <w:rsid w:val="001E3B3F"/>
    <w:rsid w:val="001E4451"/>
    <w:rsid w:val="001E46B8"/>
    <w:rsid w:val="001E47D1"/>
    <w:rsid w:val="001E4BF0"/>
    <w:rsid w:val="001E581F"/>
    <w:rsid w:val="001E5DA8"/>
    <w:rsid w:val="001E5FF8"/>
    <w:rsid w:val="001E64F9"/>
    <w:rsid w:val="001E6825"/>
    <w:rsid w:val="001E69A1"/>
    <w:rsid w:val="001E6A64"/>
    <w:rsid w:val="001E6EA3"/>
    <w:rsid w:val="001E7443"/>
    <w:rsid w:val="001E75C5"/>
    <w:rsid w:val="001E7924"/>
    <w:rsid w:val="001F0095"/>
    <w:rsid w:val="001F0925"/>
    <w:rsid w:val="001F0A2A"/>
    <w:rsid w:val="001F0B3E"/>
    <w:rsid w:val="001F1026"/>
    <w:rsid w:val="001F1443"/>
    <w:rsid w:val="001F17D0"/>
    <w:rsid w:val="001F1A72"/>
    <w:rsid w:val="001F1B5F"/>
    <w:rsid w:val="001F1C46"/>
    <w:rsid w:val="001F1CE0"/>
    <w:rsid w:val="001F1D7B"/>
    <w:rsid w:val="001F20B3"/>
    <w:rsid w:val="001F24F3"/>
    <w:rsid w:val="001F2616"/>
    <w:rsid w:val="001F267E"/>
    <w:rsid w:val="001F2758"/>
    <w:rsid w:val="001F2B31"/>
    <w:rsid w:val="001F2C02"/>
    <w:rsid w:val="001F2DE6"/>
    <w:rsid w:val="001F3459"/>
    <w:rsid w:val="001F375F"/>
    <w:rsid w:val="001F399B"/>
    <w:rsid w:val="001F3A12"/>
    <w:rsid w:val="001F3A3D"/>
    <w:rsid w:val="001F3B4F"/>
    <w:rsid w:val="001F3E9E"/>
    <w:rsid w:val="001F3F2A"/>
    <w:rsid w:val="001F4399"/>
    <w:rsid w:val="001F44D6"/>
    <w:rsid w:val="001F48E4"/>
    <w:rsid w:val="001F4903"/>
    <w:rsid w:val="001F50C9"/>
    <w:rsid w:val="001F51E1"/>
    <w:rsid w:val="001F5603"/>
    <w:rsid w:val="001F59C1"/>
    <w:rsid w:val="001F5AD0"/>
    <w:rsid w:val="001F5E7B"/>
    <w:rsid w:val="001F5F6E"/>
    <w:rsid w:val="001F68BC"/>
    <w:rsid w:val="001F69C2"/>
    <w:rsid w:val="001F6CC7"/>
    <w:rsid w:val="001F703A"/>
    <w:rsid w:val="002001C2"/>
    <w:rsid w:val="00200595"/>
    <w:rsid w:val="00200B07"/>
    <w:rsid w:val="00200CA0"/>
    <w:rsid w:val="0020132D"/>
    <w:rsid w:val="0020149E"/>
    <w:rsid w:val="002014C6"/>
    <w:rsid w:val="002016AD"/>
    <w:rsid w:val="00201914"/>
    <w:rsid w:val="00201F70"/>
    <w:rsid w:val="00202015"/>
    <w:rsid w:val="00202E26"/>
    <w:rsid w:val="00202F1B"/>
    <w:rsid w:val="00202FF5"/>
    <w:rsid w:val="00203572"/>
    <w:rsid w:val="002039C4"/>
    <w:rsid w:val="00204622"/>
    <w:rsid w:val="002048D1"/>
    <w:rsid w:val="002049D6"/>
    <w:rsid w:val="00204AF3"/>
    <w:rsid w:val="00204B9F"/>
    <w:rsid w:val="00204C6F"/>
    <w:rsid w:val="00204FFB"/>
    <w:rsid w:val="0020510F"/>
    <w:rsid w:val="00205256"/>
    <w:rsid w:val="0020545A"/>
    <w:rsid w:val="00205706"/>
    <w:rsid w:val="002058BD"/>
    <w:rsid w:val="002058D1"/>
    <w:rsid w:val="00205ABE"/>
    <w:rsid w:val="00205D52"/>
    <w:rsid w:val="00205E5A"/>
    <w:rsid w:val="002060C4"/>
    <w:rsid w:val="00206765"/>
    <w:rsid w:val="00206819"/>
    <w:rsid w:val="002069D3"/>
    <w:rsid w:val="00206BAB"/>
    <w:rsid w:val="00206E34"/>
    <w:rsid w:val="00207562"/>
    <w:rsid w:val="00207701"/>
    <w:rsid w:val="002079CB"/>
    <w:rsid w:val="002079EE"/>
    <w:rsid w:val="00207F62"/>
    <w:rsid w:val="00207FC3"/>
    <w:rsid w:val="0021096E"/>
    <w:rsid w:val="00210AAD"/>
    <w:rsid w:val="00210D9C"/>
    <w:rsid w:val="00210DE8"/>
    <w:rsid w:val="00210E83"/>
    <w:rsid w:val="00211088"/>
    <w:rsid w:val="00211271"/>
    <w:rsid w:val="00211BDF"/>
    <w:rsid w:val="00211D73"/>
    <w:rsid w:val="00211F9C"/>
    <w:rsid w:val="002128AA"/>
    <w:rsid w:val="00212A3E"/>
    <w:rsid w:val="00213046"/>
    <w:rsid w:val="00213183"/>
    <w:rsid w:val="00213264"/>
    <w:rsid w:val="00213E52"/>
    <w:rsid w:val="0021471E"/>
    <w:rsid w:val="00214BF2"/>
    <w:rsid w:val="00215639"/>
    <w:rsid w:val="00215A7F"/>
    <w:rsid w:val="00215B81"/>
    <w:rsid w:val="00215C93"/>
    <w:rsid w:val="00216398"/>
    <w:rsid w:val="002164FA"/>
    <w:rsid w:val="00216522"/>
    <w:rsid w:val="00216A17"/>
    <w:rsid w:val="00216AFB"/>
    <w:rsid w:val="00216D2A"/>
    <w:rsid w:val="00216E55"/>
    <w:rsid w:val="00217258"/>
    <w:rsid w:val="00217508"/>
    <w:rsid w:val="00217592"/>
    <w:rsid w:val="00217615"/>
    <w:rsid w:val="0021787F"/>
    <w:rsid w:val="00217927"/>
    <w:rsid w:val="00217B40"/>
    <w:rsid w:val="00217D2A"/>
    <w:rsid w:val="00217DDF"/>
    <w:rsid w:val="00220658"/>
    <w:rsid w:val="0022129C"/>
    <w:rsid w:val="00221370"/>
    <w:rsid w:val="00221A4D"/>
    <w:rsid w:val="00221BEE"/>
    <w:rsid w:val="00221D19"/>
    <w:rsid w:val="00221E73"/>
    <w:rsid w:val="00222168"/>
    <w:rsid w:val="002222FC"/>
    <w:rsid w:val="00222692"/>
    <w:rsid w:val="002234EE"/>
    <w:rsid w:val="00223D84"/>
    <w:rsid w:val="002240DF"/>
    <w:rsid w:val="00224373"/>
    <w:rsid w:val="0022446F"/>
    <w:rsid w:val="002248F0"/>
    <w:rsid w:val="00224B84"/>
    <w:rsid w:val="00224EB3"/>
    <w:rsid w:val="00224FD6"/>
    <w:rsid w:val="00225067"/>
    <w:rsid w:val="00225659"/>
    <w:rsid w:val="00226327"/>
    <w:rsid w:val="0022649E"/>
    <w:rsid w:val="0022662F"/>
    <w:rsid w:val="0022666B"/>
    <w:rsid w:val="00226D84"/>
    <w:rsid w:val="0022704A"/>
    <w:rsid w:val="0022734D"/>
    <w:rsid w:val="002277EF"/>
    <w:rsid w:val="00227995"/>
    <w:rsid w:val="0022799E"/>
    <w:rsid w:val="002279C2"/>
    <w:rsid w:val="00227AA0"/>
    <w:rsid w:val="00227BE5"/>
    <w:rsid w:val="002300EE"/>
    <w:rsid w:val="002308ED"/>
    <w:rsid w:val="00230CB3"/>
    <w:rsid w:val="0023119F"/>
    <w:rsid w:val="002317DE"/>
    <w:rsid w:val="00231BBB"/>
    <w:rsid w:val="00231F15"/>
    <w:rsid w:val="002325A7"/>
    <w:rsid w:val="002327ED"/>
    <w:rsid w:val="00232E10"/>
    <w:rsid w:val="00233860"/>
    <w:rsid w:val="00233BF8"/>
    <w:rsid w:val="0023416A"/>
    <w:rsid w:val="0023420C"/>
    <w:rsid w:val="0023447F"/>
    <w:rsid w:val="0023478A"/>
    <w:rsid w:val="002347B8"/>
    <w:rsid w:val="002349B7"/>
    <w:rsid w:val="00234DBA"/>
    <w:rsid w:val="00234F24"/>
    <w:rsid w:val="002350B3"/>
    <w:rsid w:val="00235A39"/>
    <w:rsid w:val="00235C0D"/>
    <w:rsid w:val="00235D05"/>
    <w:rsid w:val="0023623C"/>
    <w:rsid w:val="00236E4D"/>
    <w:rsid w:val="002374B3"/>
    <w:rsid w:val="002377B5"/>
    <w:rsid w:val="0023798E"/>
    <w:rsid w:val="00237A9D"/>
    <w:rsid w:val="00237B05"/>
    <w:rsid w:val="002405EF"/>
    <w:rsid w:val="00240722"/>
    <w:rsid w:val="00240C18"/>
    <w:rsid w:val="00240C80"/>
    <w:rsid w:val="00240D62"/>
    <w:rsid w:val="0024109D"/>
    <w:rsid w:val="002411E4"/>
    <w:rsid w:val="002414AE"/>
    <w:rsid w:val="00241812"/>
    <w:rsid w:val="00241ECC"/>
    <w:rsid w:val="00241EFA"/>
    <w:rsid w:val="00241F4D"/>
    <w:rsid w:val="002421B2"/>
    <w:rsid w:val="00242560"/>
    <w:rsid w:val="002425DB"/>
    <w:rsid w:val="0024279D"/>
    <w:rsid w:val="002429D3"/>
    <w:rsid w:val="00242EE4"/>
    <w:rsid w:val="00242F34"/>
    <w:rsid w:val="00242F99"/>
    <w:rsid w:val="00242FC8"/>
    <w:rsid w:val="00243221"/>
    <w:rsid w:val="002435AB"/>
    <w:rsid w:val="002436E6"/>
    <w:rsid w:val="00243C92"/>
    <w:rsid w:val="00244073"/>
    <w:rsid w:val="002441B4"/>
    <w:rsid w:val="002445C7"/>
    <w:rsid w:val="0024462E"/>
    <w:rsid w:val="002446BD"/>
    <w:rsid w:val="00244805"/>
    <w:rsid w:val="0024489F"/>
    <w:rsid w:val="00244997"/>
    <w:rsid w:val="00244E8B"/>
    <w:rsid w:val="0024545E"/>
    <w:rsid w:val="002459F7"/>
    <w:rsid w:val="00246189"/>
    <w:rsid w:val="002461DF"/>
    <w:rsid w:val="0024652D"/>
    <w:rsid w:val="00246791"/>
    <w:rsid w:val="002467A5"/>
    <w:rsid w:val="00246954"/>
    <w:rsid w:val="00246EB9"/>
    <w:rsid w:val="00247210"/>
    <w:rsid w:val="002474D8"/>
    <w:rsid w:val="002474FA"/>
    <w:rsid w:val="00247932"/>
    <w:rsid w:val="00247A06"/>
    <w:rsid w:val="00247E8D"/>
    <w:rsid w:val="00247EF8"/>
    <w:rsid w:val="00250242"/>
    <w:rsid w:val="00250A35"/>
    <w:rsid w:val="00250E64"/>
    <w:rsid w:val="00251113"/>
    <w:rsid w:val="002511A4"/>
    <w:rsid w:val="00251506"/>
    <w:rsid w:val="0025178F"/>
    <w:rsid w:val="00251B77"/>
    <w:rsid w:val="00251D37"/>
    <w:rsid w:val="00251D50"/>
    <w:rsid w:val="00251E3C"/>
    <w:rsid w:val="002520CE"/>
    <w:rsid w:val="00252438"/>
    <w:rsid w:val="00252830"/>
    <w:rsid w:val="00253093"/>
    <w:rsid w:val="00253493"/>
    <w:rsid w:val="002535F9"/>
    <w:rsid w:val="00253B8D"/>
    <w:rsid w:val="00253C86"/>
    <w:rsid w:val="00253DE9"/>
    <w:rsid w:val="00253FDE"/>
    <w:rsid w:val="00255034"/>
    <w:rsid w:val="00255269"/>
    <w:rsid w:val="0025540A"/>
    <w:rsid w:val="00255D1D"/>
    <w:rsid w:val="0025603D"/>
    <w:rsid w:val="0025623C"/>
    <w:rsid w:val="002562DD"/>
    <w:rsid w:val="00256472"/>
    <w:rsid w:val="00256800"/>
    <w:rsid w:val="00256999"/>
    <w:rsid w:val="00256F31"/>
    <w:rsid w:val="00257212"/>
    <w:rsid w:val="002573C7"/>
    <w:rsid w:val="00257AFB"/>
    <w:rsid w:val="00257B9F"/>
    <w:rsid w:val="00257C5C"/>
    <w:rsid w:val="002608A0"/>
    <w:rsid w:val="00260BF2"/>
    <w:rsid w:val="0026185F"/>
    <w:rsid w:val="002619ED"/>
    <w:rsid w:val="00262052"/>
    <w:rsid w:val="00262076"/>
    <w:rsid w:val="0026242B"/>
    <w:rsid w:val="00262657"/>
    <w:rsid w:val="00262864"/>
    <w:rsid w:val="00262889"/>
    <w:rsid w:val="0026293D"/>
    <w:rsid w:val="00262A62"/>
    <w:rsid w:val="00263251"/>
    <w:rsid w:val="00263842"/>
    <w:rsid w:val="002638E9"/>
    <w:rsid w:val="00263BEF"/>
    <w:rsid w:val="00264024"/>
    <w:rsid w:val="00264436"/>
    <w:rsid w:val="00264752"/>
    <w:rsid w:val="00264941"/>
    <w:rsid w:val="00264A9F"/>
    <w:rsid w:val="00264E40"/>
    <w:rsid w:val="00265982"/>
    <w:rsid w:val="00266291"/>
    <w:rsid w:val="00266304"/>
    <w:rsid w:val="00266407"/>
    <w:rsid w:val="0026643E"/>
    <w:rsid w:val="00266D24"/>
    <w:rsid w:val="0026745D"/>
    <w:rsid w:val="002675F3"/>
    <w:rsid w:val="002676F2"/>
    <w:rsid w:val="00267B20"/>
    <w:rsid w:val="00267CE1"/>
    <w:rsid w:val="00267DBF"/>
    <w:rsid w:val="00267F28"/>
    <w:rsid w:val="00270154"/>
    <w:rsid w:val="0027046F"/>
    <w:rsid w:val="002705CC"/>
    <w:rsid w:val="002706A7"/>
    <w:rsid w:val="00270770"/>
    <w:rsid w:val="002709D0"/>
    <w:rsid w:val="00270B9B"/>
    <w:rsid w:val="00270C51"/>
    <w:rsid w:val="002710AF"/>
    <w:rsid w:val="002711F2"/>
    <w:rsid w:val="00271AC7"/>
    <w:rsid w:val="00271C93"/>
    <w:rsid w:val="00271E48"/>
    <w:rsid w:val="00271F70"/>
    <w:rsid w:val="00272129"/>
    <w:rsid w:val="002722F1"/>
    <w:rsid w:val="002725B9"/>
    <w:rsid w:val="00272848"/>
    <w:rsid w:val="00272A55"/>
    <w:rsid w:val="00272BF7"/>
    <w:rsid w:val="00272DFB"/>
    <w:rsid w:val="0027318B"/>
    <w:rsid w:val="0027408B"/>
    <w:rsid w:val="0027431E"/>
    <w:rsid w:val="00274A7F"/>
    <w:rsid w:val="00274BE4"/>
    <w:rsid w:val="00274BFE"/>
    <w:rsid w:val="002751EE"/>
    <w:rsid w:val="002753CF"/>
    <w:rsid w:val="002759DB"/>
    <w:rsid w:val="0027605E"/>
    <w:rsid w:val="00276389"/>
    <w:rsid w:val="0027670B"/>
    <w:rsid w:val="00276B56"/>
    <w:rsid w:val="00277416"/>
    <w:rsid w:val="00277460"/>
    <w:rsid w:val="0027759C"/>
    <w:rsid w:val="0028071B"/>
    <w:rsid w:val="00280731"/>
    <w:rsid w:val="002808D8"/>
    <w:rsid w:val="002809AB"/>
    <w:rsid w:val="002809BF"/>
    <w:rsid w:val="002809E4"/>
    <w:rsid w:val="00280F46"/>
    <w:rsid w:val="00281048"/>
    <w:rsid w:val="002813A0"/>
    <w:rsid w:val="00281550"/>
    <w:rsid w:val="002815F5"/>
    <w:rsid w:val="00281684"/>
    <w:rsid w:val="002816C6"/>
    <w:rsid w:val="00281718"/>
    <w:rsid w:val="002819FD"/>
    <w:rsid w:val="00281B6E"/>
    <w:rsid w:val="00281F54"/>
    <w:rsid w:val="00282587"/>
    <w:rsid w:val="0028271A"/>
    <w:rsid w:val="00282A14"/>
    <w:rsid w:val="00282F22"/>
    <w:rsid w:val="00283096"/>
    <w:rsid w:val="002834F8"/>
    <w:rsid w:val="0028366E"/>
    <w:rsid w:val="00283990"/>
    <w:rsid w:val="00283BDD"/>
    <w:rsid w:val="00283EE4"/>
    <w:rsid w:val="00283F25"/>
    <w:rsid w:val="0028469F"/>
    <w:rsid w:val="00284B78"/>
    <w:rsid w:val="0028583A"/>
    <w:rsid w:val="0028594A"/>
    <w:rsid w:val="00285E33"/>
    <w:rsid w:val="00286431"/>
    <w:rsid w:val="002865FF"/>
    <w:rsid w:val="00286731"/>
    <w:rsid w:val="002868DF"/>
    <w:rsid w:val="002869C7"/>
    <w:rsid w:val="00287368"/>
    <w:rsid w:val="00287399"/>
    <w:rsid w:val="0028739F"/>
    <w:rsid w:val="0028764E"/>
    <w:rsid w:val="002877E6"/>
    <w:rsid w:val="00287873"/>
    <w:rsid w:val="00287F8C"/>
    <w:rsid w:val="002906D2"/>
    <w:rsid w:val="002916CC"/>
    <w:rsid w:val="00291727"/>
    <w:rsid w:val="002920D0"/>
    <w:rsid w:val="002920D3"/>
    <w:rsid w:val="002921DF"/>
    <w:rsid w:val="00292460"/>
    <w:rsid w:val="0029278C"/>
    <w:rsid w:val="002928CD"/>
    <w:rsid w:val="0029291F"/>
    <w:rsid w:val="00292E65"/>
    <w:rsid w:val="00293082"/>
    <w:rsid w:val="00293B1A"/>
    <w:rsid w:val="00293CAE"/>
    <w:rsid w:val="00293E04"/>
    <w:rsid w:val="002941AB"/>
    <w:rsid w:val="0029426C"/>
    <w:rsid w:val="002942B9"/>
    <w:rsid w:val="0029444F"/>
    <w:rsid w:val="00294BFB"/>
    <w:rsid w:val="00295089"/>
    <w:rsid w:val="00295318"/>
    <w:rsid w:val="00295362"/>
    <w:rsid w:val="00295592"/>
    <w:rsid w:val="00295C39"/>
    <w:rsid w:val="00295DE5"/>
    <w:rsid w:val="002963DB"/>
    <w:rsid w:val="0029697C"/>
    <w:rsid w:val="00296ACF"/>
    <w:rsid w:val="00296BF0"/>
    <w:rsid w:val="00297004"/>
    <w:rsid w:val="00297657"/>
    <w:rsid w:val="002979F1"/>
    <w:rsid w:val="00297BF9"/>
    <w:rsid w:val="00297E69"/>
    <w:rsid w:val="002A03D2"/>
    <w:rsid w:val="002A03EA"/>
    <w:rsid w:val="002A05C4"/>
    <w:rsid w:val="002A101A"/>
    <w:rsid w:val="002A1057"/>
    <w:rsid w:val="002A13E1"/>
    <w:rsid w:val="002A1B36"/>
    <w:rsid w:val="002A21B8"/>
    <w:rsid w:val="002A22B3"/>
    <w:rsid w:val="002A2507"/>
    <w:rsid w:val="002A28B2"/>
    <w:rsid w:val="002A2B60"/>
    <w:rsid w:val="002A2EDD"/>
    <w:rsid w:val="002A3111"/>
    <w:rsid w:val="002A3248"/>
    <w:rsid w:val="002A32E8"/>
    <w:rsid w:val="002A34C7"/>
    <w:rsid w:val="002A358F"/>
    <w:rsid w:val="002A36C1"/>
    <w:rsid w:val="002A38D5"/>
    <w:rsid w:val="002A3B59"/>
    <w:rsid w:val="002A3CF7"/>
    <w:rsid w:val="002A3E0F"/>
    <w:rsid w:val="002A3F69"/>
    <w:rsid w:val="002A4317"/>
    <w:rsid w:val="002A4446"/>
    <w:rsid w:val="002A458E"/>
    <w:rsid w:val="002A5698"/>
    <w:rsid w:val="002A5D7E"/>
    <w:rsid w:val="002A6ADF"/>
    <w:rsid w:val="002A6F16"/>
    <w:rsid w:val="002A7DAD"/>
    <w:rsid w:val="002A7DCA"/>
    <w:rsid w:val="002A7E6A"/>
    <w:rsid w:val="002A7EDB"/>
    <w:rsid w:val="002A7FF3"/>
    <w:rsid w:val="002B0028"/>
    <w:rsid w:val="002B0846"/>
    <w:rsid w:val="002B0D5E"/>
    <w:rsid w:val="002B0EF8"/>
    <w:rsid w:val="002B11EC"/>
    <w:rsid w:val="002B1304"/>
    <w:rsid w:val="002B13D7"/>
    <w:rsid w:val="002B2507"/>
    <w:rsid w:val="002B292F"/>
    <w:rsid w:val="002B2EA0"/>
    <w:rsid w:val="002B372B"/>
    <w:rsid w:val="002B37B1"/>
    <w:rsid w:val="002B37E9"/>
    <w:rsid w:val="002B42BC"/>
    <w:rsid w:val="002B4351"/>
    <w:rsid w:val="002B49A5"/>
    <w:rsid w:val="002B4F8B"/>
    <w:rsid w:val="002B51CC"/>
    <w:rsid w:val="002B529F"/>
    <w:rsid w:val="002B5522"/>
    <w:rsid w:val="002B5A87"/>
    <w:rsid w:val="002B5F80"/>
    <w:rsid w:val="002B5F8D"/>
    <w:rsid w:val="002B61E8"/>
    <w:rsid w:val="002B67A1"/>
    <w:rsid w:val="002B6AD2"/>
    <w:rsid w:val="002B6B4A"/>
    <w:rsid w:val="002B7B0A"/>
    <w:rsid w:val="002B7FD2"/>
    <w:rsid w:val="002C0203"/>
    <w:rsid w:val="002C0B58"/>
    <w:rsid w:val="002C1034"/>
    <w:rsid w:val="002C1EDE"/>
    <w:rsid w:val="002C1FEF"/>
    <w:rsid w:val="002C2E43"/>
    <w:rsid w:val="002C3383"/>
    <w:rsid w:val="002C37A9"/>
    <w:rsid w:val="002C37E6"/>
    <w:rsid w:val="002C3830"/>
    <w:rsid w:val="002C442D"/>
    <w:rsid w:val="002C4552"/>
    <w:rsid w:val="002C4671"/>
    <w:rsid w:val="002C48B1"/>
    <w:rsid w:val="002C494F"/>
    <w:rsid w:val="002C5135"/>
    <w:rsid w:val="002C5652"/>
    <w:rsid w:val="002C5981"/>
    <w:rsid w:val="002C5CFE"/>
    <w:rsid w:val="002C5E6C"/>
    <w:rsid w:val="002C64B0"/>
    <w:rsid w:val="002C7307"/>
    <w:rsid w:val="002C743D"/>
    <w:rsid w:val="002C75AA"/>
    <w:rsid w:val="002C7BDD"/>
    <w:rsid w:val="002C7CEE"/>
    <w:rsid w:val="002C7E85"/>
    <w:rsid w:val="002C7F9C"/>
    <w:rsid w:val="002D0410"/>
    <w:rsid w:val="002D0899"/>
    <w:rsid w:val="002D0A68"/>
    <w:rsid w:val="002D102D"/>
    <w:rsid w:val="002D10AF"/>
    <w:rsid w:val="002D1258"/>
    <w:rsid w:val="002D1290"/>
    <w:rsid w:val="002D16B1"/>
    <w:rsid w:val="002D1707"/>
    <w:rsid w:val="002D17E2"/>
    <w:rsid w:val="002D18E4"/>
    <w:rsid w:val="002D1C32"/>
    <w:rsid w:val="002D21D5"/>
    <w:rsid w:val="002D27E5"/>
    <w:rsid w:val="002D3BAB"/>
    <w:rsid w:val="002D3F5B"/>
    <w:rsid w:val="002D3FCD"/>
    <w:rsid w:val="002D445B"/>
    <w:rsid w:val="002D4649"/>
    <w:rsid w:val="002D466B"/>
    <w:rsid w:val="002D4A07"/>
    <w:rsid w:val="002D4BCE"/>
    <w:rsid w:val="002D5367"/>
    <w:rsid w:val="002D5427"/>
    <w:rsid w:val="002D5931"/>
    <w:rsid w:val="002D6189"/>
    <w:rsid w:val="002D6947"/>
    <w:rsid w:val="002D696F"/>
    <w:rsid w:val="002D7672"/>
    <w:rsid w:val="002D787D"/>
    <w:rsid w:val="002D797D"/>
    <w:rsid w:val="002D7A2F"/>
    <w:rsid w:val="002D7A44"/>
    <w:rsid w:val="002D7BB3"/>
    <w:rsid w:val="002D7D56"/>
    <w:rsid w:val="002E0C49"/>
    <w:rsid w:val="002E0D4F"/>
    <w:rsid w:val="002E0EC8"/>
    <w:rsid w:val="002E0F5D"/>
    <w:rsid w:val="002E0FD6"/>
    <w:rsid w:val="002E11A3"/>
    <w:rsid w:val="002E12A6"/>
    <w:rsid w:val="002E1405"/>
    <w:rsid w:val="002E15C5"/>
    <w:rsid w:val="002E20CA"/>
    <w:rsid w:val="002E278F"/>
    <w:rsid w:val="002E2E88"/>
    <w:rsid w:val="002E2FA1"/>
    <w:rsid w:val="002E3B4D"/>
    <w:rsid w:val="002E3B55"/>
    <w:rsid w:val="002E3BEF"/>
    <w:rsid w:val="002E43A9"/>
    <w:rsid w:val="002E45DB"/>
    <w:rsid w:val="002E4645"/>
    <w:rsid w:val="002E4994"/>
    <w:rsid w:val="002E4DC0"/>
    <w:rsid w:val="002E4F4A"/>
    <w:rsid w:val="002E50CA"/>
    <w:rsid w:val="002E5A2D"/>
    <w:rsid w:val="002E5BA2"/>
    <w:rsid w:val="002E5C09"/>
    <w:rsid w:val="002E6473"/>
    <w:rsid w:val="002E669A"/>
    <w:rsid w:val="002E67C0"/>
    <w:rsid w:val="002E69F7"/>
    <w:rsid w:val="002E6AFD"/>
    <w:rsid w:val="002E7033"/>
    <w:rsid w:val="002E72D3"/>
    <w:rsid w:val="002E7C40"/>
    <w:rsid w:val="002F00B8"/>
    <w:rsid w:val="002F0247"/>
    <w:rsid w:val="002F0325"/>
    <w:rsid w:val="002F0522"/>
    <w:rsid w:val="002F0734"/>
    <w:rsid w:val="002F0E0A"/>
    <w:rsid w:val="002F16D9"/>
    <w:rsid w:val="002F182E"/>
    <w:rsid w:val="002F1F49"/>
    <w:rsid w:val="002F2621"/>
    <w:rsid w:val="002F2E71"/>
    <w:rsid w:val="002F310F"/>
    <w:rsid w:val="002F3617"/>
    <w:rsid w:val="002F3ACC"/>
    <w:rsid w:val="002F417E"/>
    <w:rsid w:val="002F4708"/>
    <w:rsid w:val="002F4739"/>
    <w:rsid w:val="002F4F92"/>
    <w:rsid w:val="002F59DB"/>
    <w:rsid w:val="002F5DB2"/>
    <w:rsid w:val="002F64C4"/>
    <w:rsid w:val="002F794C"/>
    <w:rsid w:val="002F7A97"/>
    <w:rsid w:val="0030026A"/>
    <w:rsid w:val="00300365"/>
    <w:rsid w:val="0030048B"/>
    <w:rsid w:val="003004D4"/>
    <w:rsid w:val="00300D13"/>
    <w:rsid w:val="003013CA"/>
    <w:rsid w:val="00301975"/>
    <w:rsid w:val="00301AFC"/>
    <w:rsid w:val="00301C23"/>
    <w:rsid w:val="00302006"/>
    <w:rsid w:val="00302443"/>
    <w:rsid w:val="0030255D"/>
    <w:rsid w:val="00302894"/>
    <w:rsid w:val="00302DD6"/>
    <w:rsid w:val="003030ED"/>
    <w:rsid w:val="00303258"/>
    <w:rsid w:val="00303475"/>
    <w:rsid w:val="00303518"/>
    <w:rsid w:val="00303E45"/>
    <w:rsid w:val="0030441A"/>
    <w:rsid w:val="00304825"/>
    <w:rsid w:val="00304B29"/>
    <w:rsid w:val="00304F50"/>
    <w:rsid w:val="00304F6C"/>
    <w:rsid w:val="00305103"/>
    <w:rsid w:val="0030542C"/>
    <w:rsid w:val="00305C0D"/>
    <w:rsid w:val="00305C14"/>
    <w:rsid w:val="00305D2F"/>
    <w:rsid w:val="00305E6B"/>
    <w:rsid w:val="00306349"/>
    <w:rsid w:val="00306B31"/>
    <w:rsid w:val="00306B3F"/>
    <w:rsid w:val="00306E47"/>
    <w:rsid w:val="003079A1"/>
    <w:rsid w:val="00310033"/>
    <w:rsid w:val="0031031C"/>
    <w:rsid w:val="00310418"/>
    <w:rsid w:val="00310627"/>
    <w:rsid w:val="0031096A"/>
    <w:rsid w:val="00310E43"/>
    <w:rsid w:val="00311216"/>
    <w:rsid w:val="003113F6"/>
    <w:rsid w:val="003115B7"/>
    <w:rsid w:val="003118DE"/>
    <w:rsid w:val="003120B8"/>
    <w:rsid w:val="003123C2"/>
    <w:rsid w:val="00312AD5"/>
    <w:rsid w:val="00312B3C"/>
    <w:rsid w:val="00312FFC"/>
    <w:rsid w:val="00313252"/>
    <w:rsid w:val="00313823"/>
    <w:rsid w:val="00313927"/>
    <w:rsid w:val="00313C27"/>
    <w:rsid w:val="00313C39"/>
    <w:rsid w:val="00313C77"/>
    <w:rsid w:val="00313D04"/>
    <w:rsid w:val="00313E57"/>
    <w:rsid w:val="00313F94"/>
    <w:rsid w:val="00314006"/>
    <w:rsid w:val="00314185"/>
    <w:rsid w:val="0031450F"/>
    <w:rsid w:val="00314AB5"/>
    <w:rsid w:val="0031505E"/>
    <w:rsid w:val="003150BF"/>
    <w:rsid w:val="003150CE"/>
    <w:rsid w:val="003152B4"/>
    <w:rsid w:val="0031541A"/>
    <w:rsid w:val="00315E4D"/>
    <w:rsid w:val="00315E92"/>
    <w:rsid w:val="00315EC0"/>
    <w:rsid w:val="00316414"/>
    <w:rsid w:val="003166F9"/>
    <w:rsid w:val="00316829"/>
    <w:rsid w:val="003172C3"/>
    <w:rsid w:val="0031742A"/>
    <w:rsid w:val="00320075"/>
    <w:rsid w:val="00320198"/>
    <w:rsid w:val="003204BB"/>
    <w:rsid w:val="003208EB"/>
    <w:rsid w:val="00320C89"/>
    <w:rsid w:val="00320F6A"/>
    <w:rsid w:val="00320F7F"/>
    <w:rsid w:val="0032109D"/>
    <w:rsid w:val="003215B5"/>
    <w:rsid w:val="003215C8"/>
    <w:rsid w:val="00321B6A"/>
    <w:rsid w:val="00321DFC"/>
    <w:rsid w:val="00322031"/>
    <w:rsid w:val="0032205D"/>
    <w:rsid w:val="003220B6"/>
    <w:rsid w:val="00322446"/>
    <w:rsid w:val="003229AE"/>
    <w:rsid w:val="003229E9"/>
    <w:rsid w:val="00322F63"/>
    <w:rsid w:val="00322FA2"/>
    <w:rsid w:val="003231DE"/>
    <w:rsid w:val="00323869"/>
    <w:rsid w:val="00323927"/>
    <w:rsid w:val="00323AA4"/>
    <w:rsid w:val="00323B9E"/>
    <w:rsid w:val="003246C3"/>
    <w:rsid w:val="00324BAF"/>
    <w:rsid w:val="0032549A"/>
    <w:rsid w:val="00325929"/>
    <w:rsid w:val="0032608A"/>
    <w:rsid w:val="0032653F"/>
    <w:rsid w:val="00326FA1"/>
    <w:rsid w:val="00326FDF"/>
    <w:rsid w:val="00327810"/>
    <w:rsid w:val="00327A25"/>
    <w:rsid w:val="00327BAC"/>
    <w:rsid w:val="00327BCF"/>
    <w:rsid w:val="00330176"/>
    <w:rsid w:val="00330575"/>
    <w:rsid w:val="00330804"/>
    <w:rsid w:val="00330B1E"/>
    <w:rsid w:val="003314DE"/>
    <w:rsid w:val="0033150D"/>
    <w:rsid w:val="0033158D"/>
    <w:rsid w:val="003315B7"/>
    <w:rsid w:val="00331A52"/>
    <w:rsid w:val="0033214F"/>
    <w:rsid w:val="00332662"/>
    <w:rsid w:val="00332AD2"/>
    <w:rsid w:val="00332F92"/>
    <w:rsid w:val="00333323"/>
    <w:rsid w:val="0033350D"/>
    <w:rsid w:val="0033374C"/>
    <w:rsid w:val="003339A7"/>
    <w:rsid w:val="00333C5C"/>
    <w:rsid w:val="00333EB4"/>
    <w:rsid w:val="0033466C"/>
    <w:rsid w:val="00334A6B"/>
    <w:rsid w:val="00334CF7"/>
    <w:rsid w:val="00334D67"/>
    <w:rsid w:val="00334E16"/>
    <w:rsid w:val="0033522C"/>
    <w:rsid w:val="00335268"/>
    <w:rsid w:val="0033549D"/>
    <w:rsid w:val="003355F8"/>
    <w:rsid w:val="00335677"/>
    <w:rsid w:val="00335B8B"/>
    <w:rsid w:val="003363C5"/>
    <w:rsid w:val="00336522"/>
    <w:rsid w:val="003366B2"/>
    <w:rsid w:val="00336F67"/>
    <w:rsid w:val="00337554"/>
    <w:rsid w:val="003376EC"/>
    <w:rsid w:val="00337E47"/>
    <w:rsid w:val="00340066"/>
    <w:rsid w:val="0034060D"/>
    <w:rsid w:val="00340BC5"/>
    <w:rsid w:val="00340F83"/>
    <w:rsid w:val="0034122D"/>
    <w:rsid w:val="0034181B"/>
    <w:rsid w:val="0034183E"/>
    <w:rsid w:val="00341849"/>
    <w:rsid w:val="00341F57"/>
    <w:rsid w:val="003424B8"/>
    <w:rsid w:val="0034288B"/>
    <w:rsid w:val="00342974"/>
    <w:rsid w:val="003429CB"/>
    <w:rsid w:val="00342D2E"/>
    <w:rsid w:val="0034332B"/>
    <w:rsid w:val="0034392C"/>
    <w:rsid w:val="00343F60"/>
    <w:rsid w:val="0034468A"/>
    <w:rsid w:val="003447AC"/>
    <w:rsid w:val="00344AFB"/>
    <w:rsid w:val="00344EFC"/>
    <w:rsid w:val="00344F06"/>
    <w:rsid w:val="00344F60"/>
    <w:rsid w:val="003451EF"/>
    <w:rsid w:val="0034521E"/>
    <w:rsid w:val="003455C8"/>
    <w:rsid w:val="00345607"/>
    <w:rsid w:val="003459F7"/>
    <w:rsid w:val="00345B0A"/>
    <w:rsid w:val="00345DD8"/>
    <w:rsid w:val="00345E04"/>
    <w:rsid w:val="00345FD5"/>
    <w:rsid w:val="00346240"/>
    <w:rsid w:val="0034681C"/>
    <w:rsid w:val="003502D0"/>
    <w:rsid w:val="00350561"/>
    <w:rsid w:val="00350E73"/>
    <w:rsid w:val="00351482"/>
    <w:rsid w:val="003516F1"/>
    <w:rsid w:val="003518CA"/>
    <w:rsid w:val="003518E6"/>
    <w:rsid w:val="003521B2"/>
    <w:rsid w:val="0035221E"/>
    <w:rsid w:val="00352510"/>
    <w:rsid w:val="00352B9C"/>
    <w:rsid w:val="00352EC7"/>
    <w:rsid w:val="00352F1C"/>
    <w:rsid w:val="00353031"/>
    <w:rsid w:val="0035334B"/>
    <w:rsid w:val="003539BE"/>
    <w:rsid w:val="00354329"/>
    <w:rsid w:val="003549FF"/>
    <w:rsid w:val="00354A00"/>
    <w:rsid w:val="00354A8A"/>
    <w:rsid w:val="00354E81"/>
    <w:rsid w:val="00354EDE"/>
    <w:rsid w:val="0035538C"/>
    <w:rsid w:val="003554B6"/>
    <w:rsid w:val="0035550D"/>
    <w:rsid w:val="00355DB4"/>
    <w:rsid w:val="00355E8C"/>
    <w:rsid w:val="00355EF5"/>
    <w:rsid w:val="003561FE"/>
    <w:rsid w:val="00356345"/>
    <w:rsid w:val="00356BEC"/>
    <w:rsid w:val="00356E3B"/>
    <w:rsid w:val="00356E59"/>
    <w:rsid w:val="00356ED2"/>
    <w:rsid w:val="00357081"/>
    <w:rsid w:val="003573DD"/>
    <w:rsid w:val="003577C1"/>
    <w:rsid w:val="00357E5C"/>
    <w:rsid w:val="003600A8"/>
    <w:rsid w:val="00360824"/>
    <w:rsid w:val="00360958"/>
    <w:rsid w:val="00360ADF"/>
    <w:rsid w:val="00360DC0"/>
    <w:rsid w:val="00360F43"/>
    <w:rsid w:val="00361065"/>
    <w:rsid w:val="00361482"/>
    <w:rsid w:val="00362139"/>
    <w:rsid w:val="0036241D"/>
    <w:rsid w:val="003624C8"/>
    <w:rsid w:val="0036284D"/>
    <w:rsid w:val="003628B7"/>
    <w:rsid w:val="00362BF0"/>
    <w:rsid w:val="00363018"/>
    <w:rsid w:val="00363278"/>
    <w:rsid w:val="00363A30"/>
    <w:rsid w:val="003646D8"/>
    <w:rsid w:val="003647F8"/>
    <w:rsid w:val="00364961"/>
    <w:rsid w:val="003655D8"/>
    <w:rsid w:val="00365796"/>
    <w:rsid w:val="00365893"/>
    <w:rsid w:val="00365B2A"/>
    <w:rsid w:val="00365BCF"/>
    <w:rsid w:val="003660FB"/>
    <w:rsid w:val="003664E2"/>
    <w:rsid w:val="003664F2"/>
    <w:rsid w:val="00366524"/>
    <w:rsid w:val="00366781"/>
    <w:rsid w:val="00366D38"/>
    <w:rsid w:val="00366E70"/>
    <w:rsid w:val="00367F98"/>
    <w:rsid w:val="003708D2"/>
    <w:rsid w:val="00370AFA"/>
    <w:rsid w:val="00371099"/>
    <w:rsid w:val="0037122B"/>
    <w:rsid w:val="00371307"/>
    <w:rsid w:val="003714B6"/>
    <w:rsid w:val="00371504"/>
    <w:rsid w:val="00371F1D"/>
    <w:rsid w:val="00371FE9"/>
    <w:rsid w:val="00372012"/>
    <w:rsid w:val="0037269B"/>
    <w:rsid w:val="003726A8"/>
    <w:rsid w:val="003726FA"/>
    <w:rsid w:val="003730B8"/>
    <w:rsid w:val="0037311A"/>
    <w:rsid w:val="00373287"/>
    <w:rsid w:val="0037345D"/>
    <w:rsid w:val="00373944"/>
    <w:rsid w:val="00373C57"/>
    <w:rsid w:val="00373C8D"/>
    <w:rsid w:val="00373E58"/>
    <w:rsid w:val="003740CD"/>
    <w:rsid w:val="00374377"/>
    <w:rsid w:val="00374E43"/>
    <w:rsid w:val="00374E55"/>
    <w:rsid w:val="00375570"/>
    <w:rsid w:val="00375796"/>
    <w:rsid w:val="00375EDF"/>
    <w:rsid w:val="00376073"/>
    <w:rsid w:val="003765E5"/>
    <w:rsid w:val="00376602"/>
    <w:rsid w:val="00376A97"/>
    <w:rsid w:val="00376DFF"/>
    <w:rsid w:val="0037701D"/>
    <w:rsid w:val="00377024"/>
    <w:rsid w:val="00377452"/>
    <w:rsid w:val="003774E2"/>
    <w:rsid w:val="00377EC1"/>
    <w:rsid w:val="003804E0"/>
    <w:rsid w:val="00380B6B"/>
    <w:rsid w:val="0038114C"/>
    <w:rsid w:val="00381223"/>
    <w:rsid w:val="0038160F"/>
    <w:rsid w:val="003817D6"/>
    <w:rsid w:val="00381849"/>
    <w:rsid w:val="00381C06"/>
    <w:rsid w:val="00381D8B"/>
    <w:rsid w:val="00381E50"/>
    <w:rsid w:val="003823A0"/>
    <w:rsid w:val="00382899"/>
    <w:rsid w:val="0038339B"/>
    <w:rsid w:val="003837BD"/>
    <w:rsid w:val="00384463"/>
    <w:rsid w:val="0038478B"/>
    <w:rsid w:val="00384791"/>
    <w:rsid w:val="003849B1"/>
    <w:rsid w:val="00384F36"/>
    <w:rsid w:val="00385125"/>
    <w:rsid w:val="00385271"/>
    <w:rsid w:val="0038542D"/>
    <w:rsid w:val="003857DA"/>
    <w:rsid w:val="00386241"/>
    <w:rsid w:val="00386C5F"/>
    <w:rsid w:val="0038711B"/>
    <w:rsid w:val="003873AF"/>
    <w:rsid w:val="0038751A"/>
    <w:rsid w:val="0038772C"/>
    <w:rsid w:val="003879F4"/>
    <w:rsid w:val="00387B01"/>
    <w:rsid w:val="00387B7E"/>
    <w:rsid w:val="00387BB9"/>
    <w:rsid w:val="00387C3D"/>
    <w:rsid w:val="0039000D"/>
    <w:rsid w:val="0039026B"/>
    <w:rsid w:val="00390444"/>
    <w:rsid w:val="003905DA"/>
    <w:rsid w:val="003906E1"/>
    <w:rsid w:val="00390A08"/>
    <w:rsid w:val="00390B9D"/>
    <w:rsid w:val="003912D8"/>
    <w:rsid w:val="003913D7"/>
    <w:rsid w:val="00391BA0"/>
    <w:rsid w:val="0039221C"/>
    <w:rsid w:val="0039226E"/>
    <w:rsid w:val="00392A64"/>
    <w:rsid w:val="00392CC8"/>
    <w:rsid w:val="00392E75"/>
    <w:rsid w:val="00392FBB"/>
    <w:rsid w:val="00394639"/>
    <w:rsid w:val="003947B7"/>
    <w:rsid w:val="00394F1E"/>
    <w:rsid w:val="00395006"/>
    <w:rsid w:val="00395325"/>
    <w:rsid w:val="00395822"/>
    <w:rsid w:val="00395A74"/>
    <w:rsid w:val="00395B5A"/>
    <w:rsid w:val="00395EA6"/>
    <w:rsid w:val="00395F25"/>
    <w:rsid w:val="003963B0"/>
    <w:rsid w:val="003963EA"/>
    <w:rsid w:val="003967C9"/>
    <w:rsid w:val="00396E17"/>
    <w:rsid w:val="00397708"/>
    <w:rsid w:val="0039798C"/>
    <w:rsid w:val="003979AD"/>
    <w:rsid w:val="00397CDE"/>
    <w:rsid w:val="00397DFF"/>
    <w:rsid w:val="00397F0A"/>
    <w:rsid w:val="003A070D"/>
    <w:rsid w:val="003A07F0"/>
    <w:rsid w:val="003A0C91"/>
    <w:rsid w:val="003A1013"/>
    <w:rsid w:val="003A1523"/>
    <w:rsid w:val="003A174A"/>
    <w:rsid w:val="003A17CC"/>
    <w:rsid w:val="003A1D73"/>
    <w:rsid w:val="003A1D8E"/>
    <w:rsid w:val="003A1F5F"/>
    <w:rsid w:val="003A2017"/>
    <w:rsid w:val="003A20A3"/>
    <w:rsid w:val="003A20E4"/>
    <w:rsid w:val="003A21C6"/>
    <w:rsid w:val="003A231A"/>
    <w:rsid w:val="003A295C"/>
    <w:rsid w:val="003A2C45"/>
    <w:rsid w:val="003A2E17"/>
    <w:rsid w:val="003A316F"/>
    <w:rsid w:val="003A336B"/>
    <w:rsid w:val="003A349E"/>
    <w:rsid w:val="003A35DF"/>
    <w:rsid w:val="003A3BB1"/>
    <w:rsid w:val="003A3CCB"/>
    <w:rsid w:val="003A48CC"/>
    <w:rsid w:val="003A4B2A"/>
    <w:rsid w:val="003A4C00"/>
    <w:rsid w:val="003A5155"/>
    <w:rsid w:val="003A5591"/>
    <w:rsid w:val="003A5AA0"/>
    <w:rsid w:val="003A5E18"/>
    <w:rsid w:val="003A69EA"/>
    <w:rsid w:val="003A6A57"/>
    <w:rsid w:val="003A6E13"/>
    <w:rsid w:val="003A6F93"/>
    <w:rsid w:val="003A72EF"/>
    <w:rsid w:val="003A796D"/>
    <w:rsid w:val="003A7E21"/>
    <w:rsid w:val="003B16FA"/>
    <w:rsid w:val="003B1A06"/>
    <w:rsid w:val="003B1EE2"/>
    <w:rsid w:val="003B21C7"/>
    <w:rsid w:val="003B237A"/>
    <w:rsid w:val="003B2466"/>
    <w:rsid w:val="003B24BF"/>
    <w:rsid w:val="003B2D7F"/>
    <w:rsid w:val="003B380E"/>
    <w:rsid w:val="003B39E9"/>
    <w:rsid w:val="003B3E10"/>
    <w:rsid w:val="003B4AA5"/>
    <w:rsid w:val="003B4E18"/>
    <w:rsid w:val="003B4EED"/>
    <w:rsid w:val="003B50E5"/>
    <w:rsid w:val="003B5254"/>
    <w:rsid w:val="003B6054"/>
    <w:rsid w:val="003B6A37"/>
    <w:rsid w:val="003B6B2C"/>
    <w:rsid w:val="003B7065"/>
    <w:rsid w:val="003B70CA"/>
    <w:rsid w:val="003B7911"/>
    <w:rsid w:val="003B7C20"/>
    <w:rsid w:val="003B7C6E"/>
    <w:rsid w:val="003B7F6D"/>
    <w:rsid w:val="003C0246"/>
    <w:rsid w:val="003C02F8"/>
    <w:rsid w:val="003C0432"/>
    <w:rsid w:val="003C059A"/>
    <w:rsid w:val="003C05D7"/>
    <w:rsid w:val="003C0B30"/>
    <w:rsid w:val="003C1464"/>
    <w:rsid w:val="003C15D9"/>
    <w:rsid w:val="003C1786"/>
    <w:rsid w:val="003C19CA"/>
    <w:rsid w:val="003C1A74"/>
    <w:rsid w:val="003C1E65"/>
    <w:rsid w:val="003C2303"/>
    <w:rsid w:val="003C266A"/>
    <w:rsid w:val="003C273F"/>
    <w:rsid w:val="003C27D0"/>
    <w:rsid w:val="003C27F2"/>
    <w:rsid w:val="003C282B"/>
    <w:rsid w:val="003C282D"/>
    <w:rsid w:val="003C298B"/>
    <w:rsid w:val="003C2A34"/>
    <w:rsid w:val="003C2FFA"/>
    <w:rsid w:val="003C34B9"/>
    <w:rsid w:val="003C34FD"/>
    <w:rsid w:val="003C423B"/>
    <w:rsid w:val="003C4387"/>
    <w:rsid w:val="003C4925"/>
    <w:rsid w:val="003C4AA4"/>
    <w:rsid w:val="003C506D"/>
    <w:rsid w:val="003C536C"/>
    <w:rsid w:val="003C602A"/>
    <w:rsid w:val="003C60AC"/>
    <w:rsid w:val="003C62E1"/>
    <w:rsid w:val="003C656B"/>
    <w:rsid w:val="003C695E"/>
    <w:rsid w:val="003C703A"/>
    <w:rsid w:val="003C7AB3"/>
    <w:rsid w:val="003C7E08"/>
    <w:rsid w:val="003D0209"/>
    <w:rsid w:val="003D052D"/>
    <w:rsid w:val="003D0785"/>
    <w:rsid w:val="003D07C3"/>
    <w:rsid w:val="003D1759"/>
    <w:rsid w:val="003D1896"/>
    <w:rsid w:val="003D1C3D"/>
    <w:rsid w:val="003D1D61"/>
    <w:rsid w:val="003D22E6"/>
    <w:rsid w:val="003D23EE"/>
    <w:rsid w:val="003D2D87"/>
    <w:rsid w:val="003D2E82"/>
    <w:rsid w:val="003D33F9"/>
    <w:rsid w:val="003D3608"/>
    <w:rsid w:val="003D36A7"/>
    <w:rsid w:val="003D3B14"/>
    <w:rsid w:val="003D3B35"/>
    <w:rsid w:val="003D3E2B"/>
    <w:rsid w:val="003D3F16"/>
    <w:rsid w:val="003D43C3"/>
    <w:rsid w:val="003D4455"/>
    <w:rsid w:val="003D44E6"/>
    <w:rsid w:val="003D4571"/>
    <w:rsid w:val="003D4759"/>
    <w:rsid w:val="003D4FAC"/>
    <w:rsid w:val="003D5012"/>
    <w:rsid w:val="003D5398"/>
    <w:rsid w:val="003D53F8"/>
    <w:rsid w:val="003D5669"/>
    <w:rsid w:val="003D5965"/>
    <w:rsid w:val="003D59FD"/>
    <w:rsid w:val="003D5E6B"/>
    <w:rsid w:val="003D625D"/>
    <w:rsid w:val="003D62F7"/>
    <w:rsid w:val="003D64B0"/>
    <w:rsid w:val="003D66DD"/>
    <w:rsid w:val="003D78BB"/>
    <w:rsid w:val="003D79A7"/>
    <w:rsid w:val="003D7A46"/>
    <w:rsid w:val="003D7E60"/>
    <w:rsid w:val="003D7FF8"/>
    <w:rsid w:val="003E01E4"/>
    <w:rsid w:val="003E03E0"/>
    <w:rsid w:val="003E06E0"/>
    <w:rsid w:val="003E0BBE"/>
    <w:rsid w:val="003E0BC9"/>
    <w:rsid w:val="003E0E28"/>
    <w:rsid w:val="003E0FC5"/>
    <w:rsid w:val="003E1035"/>
    <w:rsid w:val="003E175E"/>
    <w:rsid w:val="003E17F2"/>
    <w:rsid w:val="003E181B"/>
    <w:rsid w:val="003E19F7"/>
    <w:rsid w:val="003E1DED"/>
    <w:rsid w:val="003E1EB2"/>
    <w:rsid w:val="003E1EFB"/>
    <w:rsid w:val="003E206A"/>
    <w:rsid w:val="003E210F"/>
    <w:rsid w:val="003E2275"/>
    <w:rsid w:val="003E2557"/>
    <w:rsid w:val="003E2636"/>
    <w:rsid w:val="003E2666"/>
    <w:rsid w:val="003E2778"/>
    <w:rsid w:val="003E28F5"/>
    <w:rsid w:val="003E2CB1"/>
    <w:rsid w:val="003E3095"/>
    <w:rsid w:val="003E3507"/>
    <w:rsid w:val="003E3708"/>
    <w:rsid w:val="003E3735"/>
    <w:rsid w:val="003E3F2B"/>
    <w:rsid w:val="003E4206"/>
    <w:rsid w:val="003E42BD"/>
    <w:rsid w:val="003E442A"/>
    <w:rsid w:val="003E4865"/>
    <w:rsid w:val="003E492C"/>
    <w:rsid w:val="003E4AF7"/>
    <w:rsid w:val="003E521A"/>
    <w:rsid w:val="003E5482"/>
    <w:rsid w:val="003E56B5"/>
    <w:rsid w:val="003E582D"/>
    <w:rsid w:val="003E58FE"/>
    <w:rsid w:val="003E5AD9"/>
    <w:rsid w:val="003E5F0F"/>
    <w:rsid w:val="003E608A"/>
    <w:rsid w:val="003E65D0"/>
    <w:rsid w:val="003E6779"/>
    <w:rsid w:val="003E6F58"/>
    <w:rsid w:val="003E6F68"/>
    <w:rsid w:val="003E710D"/>
    <w:rsid w:val="003E7779"/>
    <w:rsid w:val="003E7A9C"/>
    <w:rsid w:val="003E7C6A"/>
    <w:rsid w:val="003E7F49"/>
    <w:rsid w:val="003F0CA1"/>
    <w:rsid w:val="003F1FB5"/>
    <w:rsid w:val="003F2240"/>
    <w:rsid w:val="003F237A"/>
    <w:rsid w:val="003F26AB"/>
    <w:rsid w:val="003F293A"/>
    <w:rsid w:val="003F2EBA"/>
    <w:rsid w:val="003F328F"/>
    <w:rsid w:val="003F3299"/>
    <w:rsid w:val="003F3986"/>
    <w:rsid w:val="003F3B09"/>
    <w:rsid w:val="003F3FFA"/>
    <w:rsid w:val="003F40A8"/>
    <w:rsid w:val="003F44C5"/>
    <w:rsid w:val="003F4718"/>
    <w:rsid w:val="003F4A97"/>
    <w:rsid w:val="003F4FE6"/>
    <w:rsid w:val="003F531A"/>
    <w:rsid w:val="003F53F7"/>
    <w:rsid w:val="003F554A"/>
    <w:rsid w:val="003F56B9"/>
    <w:rsid w:val="003F5E4A"/>
    <w:rsid w:val="003F5FB8"/>
    <w:rsid w:val="003F6375"/>
    <w:rsid w:val="003F637E"/>
    <w:rsid w:val="003F6B69"/>
    <w:rsid w:val="003F6C1E"/>
    <w:rsid w:val="003F74D6"/>
    <w:rsid w:val="003F7516"/>
    <w:rsid w:val="003F75EE"/>
    <w:rsid w:val="003F7C53"/>
    <w:rsid w:val="003F7C9E"/>
    <w:rsid w:val="0040007B"/>
    <w:rsid w:val="00400782"/>
    <w:rsid w:val="00400A93"/>
    <w:rsid w:val="00400D2E"/>
    <w:rsid w:val="00401143"/>
    <w:rsid w:val="004017EF"/>
    <w:rsid w:val="004019C7"/>
    <w:rsid w:val="00401B18"/>
    <w:rsid w:val="00401D83"/>
    <w:rsid w:val="004021B6"/>
    <w:rsid w:val="004025E8"/>
    <w:rsid w:val="00402768"/>
    <w:rsid w:val="00402FA5"/>
    <w:rsid w:val="00402FDC"/>
    <w:rsid w:val="004030EE"/>
    <w:rsid w:val="0040362B"/>
    <w:rsid w:val="00403ADF"/>
    <w:rsid w:val="00403B8D"/>
    <w:rsid w:val="00404135"/>
    <w:rsid w:val="00404554"/>
    <w:rsid w:val="00404C36"/>
    <w:rsid w:val="00404CE7"/>
    <w:rsid w:val="00404D96"/>
    <w:rsid w:val="00404FFD"/>
    <w:rsid w:val="00405758"/>
    <w:rsid w:val="004059E9"/>
    <w:rsid w:val="004062FB"/>
    <w:rsid w:val="00406511"/>
    <w:rsid w:val="0040692F"/>
    <w:rsid w:val="00406CCA"/>
    <w:rsid w:val="00406F38"/>
    <w:rsid w:val="004070DD"/>
    <w:rsid w:val="00407641"/>
    <w:rsid w:val="00407D6A"/>
    <w:rsid w:val="00407DF9"/>
    <w:rsid w:val="00407E0C"/>
    <w:rsid w:val="00407F85"/>
    <w:rsid w:val="0041051E"/>
    <w:rsid w:val="004106DF"/>
    <w:rsid w:val="00410733"/>
    <w:rsid w:val="004107CA"/>
    <w:rsid w:val="00410BAE"/>
    <w:rsid w:val="004111BC"/>
    <w:rsid w:val="00411209"/>
    <w:rsid w:val="0041122D"/>
    <w:rsid w:val="0041148E"/>
    <w:rsid w:val="004114CB"/>
    <w:rsid w:val="0041160C"/>
    <w:rsid w:val="00411C7D"/>
    <w:rsid w:val="004122B0"/>
    <w:rsid w:val="00412564"/>
    <w:rsid w:val="004125F4"/>
    <w:rsid w:val="004126D4"/>
    <w:rsid w:val="004129BE"/>
    <w:rsid w:val="00412E3C"/>
    <w:rsid w:val="00413384"/>
    <w:rsid w:val="004137C7"/>
    <w:rsid w:val="00413D44"/>
    <w:rsid w:val="00413D8D"/>
    <w:rsid w:val="00413E6B"/>
    <w:rsid w:val="00413F24"/>
    <w:rsid w:val="00414175"/>
    <w:rsid w:val="00414192"/>
    <w:rsid w:val="004143D3"/>
    <w:rsid w:val="00414422"/>
    <w:rsid w:val="00414703"/>
    <w:rsid w:val="004148FB"/>
    <w:rsid w:val="004149B2"/>
    <w:rsid w:val="004149D9"/>
    <w:rsid w:val="00414C3D"/>
    <w:rsid w:val="00414E68"/>
    <w:rsid w:val="00414EC2"/>
    <w:rsid w:val="00415295"/>
    <w:rsid w:val="00415653"/>
    <w:rsid w:val="00415762"/>
    <w:rsid w:val="00415898"/>
    <w:rsid w:val="00415CB7"/>
    <w:rsid w:val="00415CCE"/>
    <w:rsid w:val="00415D2B"/>
    <w:rsid w:val="00415EFB"/>
    <w:rsid w:val="00416023"/>
    <w:rsid w:val="004160D6"/>
    <w:rsid w:val="0041648B"/>
    <w:rsid w:val="004167E9"/>
    <w:rsid w:val="004169F8"/>
    <w:rsid w:val="00416C0A"/>
    <w:rsid w:val="00416F3F"/>
    <w:rsid w:val="0041772D"/>
    <w:rsid w:val="00417807"/>
    <w:rsid w:val="00417896"/>
    <w:rsid w:val="00417A63"/>
    <w:rsid w:val="00417D2E"/>
    <w:rsid w:val="00420099"/>
    <w:rsid w:val="004207F0"/>
    <w:rsid w:val="00420EE1"/>
    <w:rsid w:val="00421196"/>
    <w:rsid w:val="004211A5"/>
    <w:rsid w:val="004213E0"/>
    <w:rsid w:val="00421432"/>
    <w:rsid w:val="00421941"/>
    <w:rsid w:val="00421C86"/>
    <w:rsid w:val="00421DA4"/>
    <w:rsid w:val="004220CA"/>
    <w:rsid w:val="0042247F"/>
    <w:rsid w:val="004224FA"/>
    <w:rsid w:val="004226D5"/>
    <w:rsid w:val="00422A37"/>
    <w:rsid w:val="00422B2E"/>
    <w:rsid w:val="00422BA4"/>
    <w:rsid w:val="00422C6A"/>
    <w:rsid w:val="00422E4A"/>
    <w:rsid w:val="0042311A"/>
    <w:rsid w:val="00423362"/>
    <w:rsid w:val="00423810"/>
    <w:rsid w:val="00423868"/>
    <w:rsid w:val="00423DF4"/>
    <w:rsid w:val="00423F8C"/>
    <w:rsid w:val="00423F9A"/>
    <w:rsid w:val="00424364"/>
    <w:rsid w:val="004245A8"/>
    <w:rsid w:val="004248BD"/>
    <w:rsid w:val="00424AD8"/>
    <w:rsid w:val="00424DE2"/>
    <w:rsid w:val="00425B0F"/>
    <w:rsid w:val="00425E33"/>
    <w:rsid w:val="00426050"/>
    <w:rsid w:val="0042620A"/>
    <w:rsid w:val="00426F20"/>
    <w:rsid w:val="004274BF"/>
    <w:rsid w:val="00427740"/>
    <w:rsid w:val="00427FC5"/>
    <w:rsid w:val="004307F1"/>
    <w:rsid w:val="004308A7"/>
    <w:rsid w:val="00430B9F"/>
    <w:rsid w:val="00430C0F"/>
    <w:rsid w:val="0043141F"/>
    <w:rsid w:val="00431658"/>
    <w:rsid w:val="00431A78"/>
    <w:rsid w:val="00431C2C"/>
    <w:rsid w:val="00431E4A"/>
    <w:rsid w:val="00432367"/>
    <w:rsid w:val="00432528"/>
    <w:rsid w:val="00432606"/>
    <w:rsid w:val="004326F0"/>
    <w:rsid w:val="0043282E"/>
    <w:rsid w:val="00432836"/>
    <w:rsid w:val="00432C5E"/>
    <w:rsid w:val="00432E4B"/>
    <w:rsid w:val="004331C4"/>
    <w:rsid w:val="0043354E"/>
    <w:rsid w:val="00433589"/>
    <w:rsid w:val="0043468B"/>
    <w:rsid w:val="00434FA4"/>
    <w:rsid w:val="00435043"/>
    <w:rsid w:val="004350BA"/>
    <w:rsid w:val="00435AD7"/>
    <w:rsid w:val="00436477"/>
    <w:rsid w:val="00436608"/>
    <w:rsid w:val="00436AB8"/>
    <w:rsid w:val="00436BD8"/>
    <w:rsid w:val="00436D1F"/>
    <w:rsid w:val="0043731F"/>
    <w:rsid w:val="004373D1"/>
    <w:rsid w:val="0043778D"/>
    <w:rsid w:val="00437AF0"/>
    <w:rsid w:val="00437B1F"/>
    <w:rsid w:val="00440291"/>
    <w:rsid w:val="00440387"/>
    <w:rsid w:val="004404FD"/>
    <w:rsid w:val="00440589"/>
    <w:rsid w:val="00440B4B"/>
    <w:rsid w:val="00441107"/>
    <w:rsid w:val="0044118F"/>
    <w:rsid w:val="004412B5"/>
    <w:rsid w:val="00441532"/>
    <w:rsid w:val="004416FB"/>
    <w:rsid w:val="00441BB9"/>
    <w:rsid w:val="00441E9E"/>
    <w:rsid w:val="004420F0"/>
    <w:rsid w:val="004422BA"/>
    <w:rsid w:val="0044261D"/>
    <w:rsid w:val="00442626"/>
    <w:rsid w:val="004428B9"/>
    <w:rsid w:val="004428FC"/>
    <w:rsid w:val="00442F3B"/>
    <w:rsid w:val="00443111"/>
    <w:rsid w:val="00444451"/>
    <w:rsid w:val="00444D4C"/>
    <w:rsid w:val="004451DC"/>
    <w:rsid w:val="00445356"/>
    <w:rsid w:val="004454C2"/>
    <w:rsid w:val="00445AAF"/>
    <w:rsid w:val="00445B9B"/>
    <w:rsid w:val="00445BAB"/>
    <w:rsid w:val="00445CCE"/>
    <w:rsid w:val="00445FF0"/>
    <w:rsid w:val="00446173"/>
    <w:rsid w:val="0044631E"/>
    <w:rsid w:val="00446985"/>
    <w:rsid w:val="00446BD6"/>
    <w:rsid w:val="004470A0"/>
    <w:rsid w:val="00447347"/>
    <w:rsid w:val="00447D97"/>
    <w:rsid w:val="00447F33"/>
    <w:rsid w:val="0045022F"/>
    <w:rsid w:val="0045044E"/>
    <w:rsid w:val="00450A27"/>
    <w:rsid w:val="00450D52"/>
    <w:rsid w:val="00450EB1"/>
    <w:rsid w:val="004510B8"/>
    <w:rsid w:val="004519CF"/>
    <w:rsid w:val="00451EC2"/>
    <w:rsid w:val="00451F75"/>
    <w:rsid w:val="004520ED"/>
    <w:rsid w:val="0045290A"/>
    <w:rsid w:val="00452B7F"/>
    <w:rsid w:val="00452C79"/>
    <w:rsid w:val="00452DD3"/>
    <w:rsid w:val="00452F3E"/>
    <w:rsid w:val="00452F76"/>
    <w:rsid w:val="00453A94"/>
    <w:rsid w:val="00453AED"/>
    <w:rsid w:val="00453F7F"/>
    <w:rsid w:val="00454127"/>
    <w:rsid w:val="004542AB"/>
    <w:rsid w:val="004542E5"/>
    <w:rsid w:val="00454B5E"/>
    <w:rsid w:val="00455406"/>
    <w:rsid w:val="00455782"/>
    <w:rsid w:val="0045643A"/>
    <w:rsid w:val="00456D87"/>
    <w:rsid w:val="004571A1"/>
    <w:rsid w:val="00457753"/>
    <w:rsid w:val="00457758"/>
    <w:rsid w:val="004578B0"/>
    <w:rsid w:val="004578C0"/>
    <w:rsid w:val="004579D3"/>
    <w:rsid w:val="00460655"/>
    <w:rsid w:val="004606ED"/>
    <w:rsid w:val="00460783"/>
    <w:rsid w:val="004610C3"/>
    <w:rsid w:val="00461446"/>
    <w:rsid w:val="004617DD"/>
    <w:rsid w:val="00461EC1"/>
    <w:rsid w:val="004624DB"/>
    <w:rsid w:val="0046290D"/>
    <w:rsid w:val="0046291E"/>
    <w:rsid w:val="00462E47"/>
    <w:rsid w:val="0046318F"/>
    <w:rsid w:val="00463357"/>
    <w:rsid w:val="0046335C"/>
    <w:rsid w:val="0046365C"/>
    <w:rsid w:val="00463A04"/>
    <w:rsid w:val="0046418F"/>
    <w:rsid w:val="004648A4"/>
    <w:rsid w:val="00465255"/>
    <w:rsid w:val="00465293"/>
    <w:rsid w:val="004653F2"/>
    <w:rsid w:val="00465512"/>
    <w:rsid w:val="0046568D"/>
    <w:rsid w:val="004659A1"/>
    <w:rsid w:val="00465A9D"/>
    <w:rsid w:val="00465AA4"/>
    <w:rsid w:val="004660BE"/>
    <w:rsid w:val="004663C1"/>
    <w:rsid w:val="004669A4"/>
    <w:rsid w:val="00466C9C"/>
    <w:rsid w:val="00466E37"/>
    <w:rsid w:val="00467553"/>
    <w:rsid w:val="00467789"/>
    <w:rsid w:val="004677B8"/>
    <w:rsid w:val="0046783F"/>
    <w:rsid w:val="00467848"/>
    <w:rsid w:val="00470148"/>
    <w:rsid w:val="00470491"/>
    <w:rsid w:val="004705EA"/>
    <w:rsid w:val="00470796"/>
    <w:rsid w:val="00470859"/>
    <w:rsid w:val="00470C11"/>
    <w:rsid w:val="00471785"/>
    <w:rsid w:val="00472834"/>
    <w:rsid w:val="00472851"/>
    <w:rsid w:val="00472EB0"/>
    <w:rsid w:val="00473718"/>
    <w:rsid w:val="0047373A"/>
    <w:rsid w:val="0047381B"/>
    <w:rsid w:val="00473869"/>
    <w:rsid w:val="00473D4E"/>
    <w:rsid w:val="0047410E"/>
    <w:rsid w:val="0047479D"/>
    <w:rsid w:val="00474C52"/>
    <w:rsid w:val="00474E3C"/>
    <w:rsid w:val="0047511B"/>
    <w:rsid w:val="004757CE"/>
    <w:rsid w:val="00475B22"/>
    <w:rsid w:val="00475DDC"/>
    <w:rsid w:val="00475EEA"/>
    <w:rsid w:val="00476BF1"/>
    <w:rsid w:val="004773CD"/>
    <w:rsid w:val="00477A29"/>
    <w:rsid w:val="00477FD8"/>
    <w:rsid w:val="00480328"/>
    <w:rsid w:val="004804F1"/>
    <w:rsid w:val="0048054A"/>
    <w:rsid w:val="00480D7D"/>
    <w:rsid w:val="004818E8"/>
    <w:rsid w:val="00481D77"/>
    <w:rsid w:val="004824D4"/>
    <w:rsid w:val="00482511"/>
    <w:rsid w:val="004825F2"/>
    <w:rsid w:val="004825F5"/>
    <w:rsid w:val="00482B45"/>
    <w:rsid w:val="00482F67"/>
    <w:rsid w:val="00483006"/>
    <w:rsid w:val="0048366F"/>
    <w:rsid w:val="004840DC"/>
    <w:rsid w:val="004841AE"/>
    <w:rsid w:val="00484546"/>
    <w:rsid w:val="00484720"/>
    <w:rsid w:val="00484915"/>
    <w:rsid w:val="00484B26"/>
    <w:rsid w:val="00484BF0"/>
    <w:rsid w:val="004855EA"/>
    <w:rsid w:val="00485961"/>
    <w:rsid w:val="004861A5"/>
    <w:rsid w:val="00486278"/>
    <w:rsid w:val="00486674"/>
    <w:rsid w:val="00486BF5"/>
    <w:rsid w:val="00487118"/>
    <w:rsid w:val="00487387"/>
    <w:rsid w:val="00487666"/>
    <w:rsid w:val="00487AB6"/>
    <w:rsid w:val="00487D93"/>
    <w:rsid w:val="00487EC1"/>
    <w:rsid w:val="004900E2"/>
    <w:rsid w:val="0049013B"/>
    <w:rsid w:val="00490677"/>
    <w:rsid w:val="00490C24"/>
    <w:rsid w:val="00490E50"/>
    <w:rsid w:val="00491609"/>
    <w:rsid w:val="004919FD"/>
    <w:rsid w:val="00491DF1"/>
    <w:rsid w:val="0049215C"/>
    <w:rsid w:val="004927C7"/>
    <w:rsid w:val="0049295E"/>
    <w:rsid w:val="00492EF2"/>
    <w:rsid w:val="00492F34"/>
    <w:rsid w:val="00493120"/>
    <w:rsid w:val="0049388E"/>
    <w:rsid w:val="00493DAB"/>
    <w:rsid w:val="004942F3"/>
    <w:rsid w:val="00494773"/>
    <w:rsid w:val="004949A1"/>
    <w:rsid w:val="004949AC"/>
    <w:rsid w:val="00494B7A"/>
    <w:rsid w:val="00494ECB"/>
    <w:rsid w:val="004950CB"/>
    <w:rsid w:val="00495481"/>
    <w:rsid w:val="00495BAF"/>
    <w:rsid w:val="00495D03"/>
    <w:rsid w:val="00495F72"/>
    <w:rsid w:val="00496405"/>
    <w:rsid w:val="0049667F"/>
    <w:rsid w:val="004967F2"/>
    <w:rsid w:val="0049682E"/>
    <w:rsid w:val="0049687A"/>
    <w:rsid w:val="0049714B"/>
    <w:rsid w:val="00497389"/>
    <w:rsid w:val="004973D8"/>
    <w:rsid w:val="0049765B"/>
    <w:rsid w:val="00497F63"/>
    <w:rsid w:val="00497F74"/>
    <w:rsid w:val="004A0242"/>
    <w:rsid w:val="004A06FC"/>
    <w:rsid w:val="004A0810"/>
    <w:rsid w:val="004A0968"/>
    <w:rsid w:val="004A132C"/>
    <w:rsid w:val="004A1372"/>
    <w:rsid w:val="004A1811"/>
    <w:rsid w:val="004A1C18"/>
    <w:rsid w:val="004A1D88"/>
    <w:rsid w:val="004A1E85"/>
    <w:rsid w:val="004A241B"/>
    <w:rsid w:val="004A2FFD"/>
    <w:rsid w:val="004A3024"/>
    <w:rsid w:val="004A3585"/>
    <w:rsid w:val="004A3C02"/>
    <w:rsid w:val="004A3FA0"/>
    <w:rsid w:val="004A40DA"/>
    <w:rsid w:val="004A41C8"/>
    <w:rsid w:val="004A47C8"/>
    <w:rsid w:val="004A47F8"/>
    <w:rsid w:val="004A51BC"/>
    <w:rsid w:val="004A5459"/>
    <w:rsid w:val="004A5588"/>
    <w:rsid w:val="004A5707"/>
    <w:rsid w:val="004A57D6"/>
    <w:rsid w:val="004A5864"/>
    <w:rsid w:val="004A58B0"/>
    <w:rsid w:val="004A5C45"/>
    <w:rsid w:val="004A6795"/>
    <w:rsid w:val="004A6EEE"/>
    <w:rsid w:val="004A70AB"/>
    <w:rsid w:val="004A70D7"/>
    <w:rsid w:val="004A7421"/>
    <w:rsid w:val="004A7C6C"/>
    <w:rsid w:val="004A7EF9"/>
    <w:rsid w:val="004B0322"/>
    <w:rsid w:val="004B0346"/>
    <w:rsid w:val="004B038A"/>
    <w:rsid w:val="004B0443"/>
    <w:rsid w:val="004B072A"/>
    <w:rsid w:val="004B08D1"/>
    <w:rsid w:val="004B130A"/>
    <w:rsid w:val="004B13F7"/>
    <w:rsid w:val="004B1DD3"/>
    <w:rsid w:val="004B22DD"/>
    <w:rsid w:val="004B23D9"/>
    <w:rsid w:val="004B26D9"/>
    <w:rsid w:val="004B2734"/>
    <w:rsid w:val="004B2976"/>
    <w:rsid w:val="004B2C5E"/>
    <w:rsid w:val="004B2FD8"/>
    <w:rsid w:val="004B30C8"/>
    <w:rsid w:val="004B3581"/>
    <w:rsid w:val="004B3669"/>
    <w:rsid w:val="004B40DD"/>
    <w:rsid w:val="004B47FC"/>
    <w:rsid w:val="004B4BA4"/>
    <w:rsid w:val="004B4FE9"/>
    <w:rsid w:val="004B5378"/>
    <w:rsid w:val="004B58C0"/>
    <w:rsid w:val="004B5CC1"/>
    <w:rsid w:val="004B5F01"/>
    <w:rsid w:val="004B5FA9"/>
    <w:rsid w:val="004B6AE1"/>
    <w:rsid w:val="004B6FBA"/>
    <w:rsid w:val="004B774B"/>
    <w:rsid w:val="004B783D"/>
    <w:rsid w:val="004C0266"/>
    <w:rsid w:val="004C0370"/>
    <w:rsid w:val="004C03FA"/>
    <w:rsid w:val="004C06F6"/>
    <w:rsid w:val="004C0843"/>
    <w:rsid w:val="004C0C21"/>
    <w:rsid w:val="004C0C28"/>
    <w:rsid w:val="004C0CA1"/>
    <w:rsid w:val="004C0DEC"/>
    <w:rsid w:val="004C107B"/>
    <w:rsid w:val="004C1283"/>
    <w:rsid w:val="004C14A1"/>
    <w:rsid w:val="004C2077"/>
    <w:rsid w:val="004C232C"/>
    <w:rsid w:val="004C24DE"/>
    <w:rsid w:val="004C2512"/>
    <w:rsid w:val="004C2A0B"/>
    <w:rsid w:val="004C2A84"/>
    <w:rsid w:val="004C32E2"/>
    <w:rsid w:val="004C33D5"/>
    <w:rsid w:val="004C3456"/>
    <w:rsid w:val="004C3CF9"/>
    <w:rsid w:val="004C3D56"/>
    <w:rsid w:val="004C403C"/>
    <w:rsid w:val="004C45AD"/>
    <w:rsid w:val="004C4629"/>
    <w:rsid w:val="004C4829"/>
    <w:rsid w:val="004C4A54"/>
    <w:rsid w:val="004C4B71"/>
    <w:rsid w:val="004C52E2"/>
    <w:rsid w:val="004C5761"/>
    <w:rsid w:val="004C5D5B"/>
    <w:rsid w:val="004C5E4E"/>
    <w:rsid w:val="004C6057"/>
    <w:rsid w:val="004C6098"/>
    <w:rsid w:val="004C60F8"/>
    <w:rsid w:val="004C61DF"/>
    <w:rsid w:val="004C65ED"/>
    <w:rsid w:val="004C662A"/>
    <w:rsid w:val="004C6664"/>
    <w:rsid w:val="004C6916"/>
    <w:rsid w:val="004C6B21"/>
    <w:rsid w:val="004C6C95"/>
    <w:rsid w:val="004C6D1E"/>
    <w:rsid w:val="004C6EE4"/>
    <w:rsid w:val="004C7254"/>
    <w:rsid w:val="004C7307"/>
    <w:rsid w:val="004C7720"/>
    <w:rsid w:val="004C7808"/>
    <w:rsid w:val="004C7A4E"/>
    <w:rsid w:val="004D00C2"/>
    <w:rsid w:val="004D03B4"/>
    <w:rsid w:val="004D050E"/>
    <w:rsid w:val="004D0871"/>
    <w:rsid w:val="004D087E"/>
    <w:rsid w:val="004D0A02"/>
    <w:rsid w:val="004D10BB"/>
    <w:rsid w:val="004D1659"/>
    <w:rsid w:val="004D19DB"/>
    <w:rsid w:val="004D1BD4"/>
    <w:rsid w:val="004D1C18"/>
    <w:rsid w:val="004D1E53"/>
    <w:rsid w:val="004D1E88"/>
    <w:rsid w:val="004D1ED3"/>
    <w:rsid w:val="004D21D7"/>
    <w:rsid w:val="004D3929"/>
    <w:rsid w:val="004D3B6E"/>
    <w:rsid w:val="004D3B85"/>
    <w:rsid w:val="004D3B94"/>
    <w:rsid w:val="004D3CD7"/>
    <w:rsid w:val="004D3FA9"/>
    <w:rsid w:val="004D4059"/>
    <w:rsid w:val="004D4214"/>
    <w:rsid w:val="004D5200"/>
    <w:rsid w:val="004D58DE"/>
    <w:rsid w:val="004D619E"/>
    <w:rsid w:val="004D63E2"/>
    <w:rsid w:val="004D63E8"/>
    <w:rsid w:val="004D6FE2"/>
    <w:rsid w:val="004D7706"/>
    <w:rsid w:val="004D7798"/>
    <w:rsid w:val="004D77D8"/>
    <w:rsid w:val="004D792F"/>
    <w:rsid w:val="004E01AD"/>
    <w:rsid w:val="004E0919"/>
    <w:rsid w:val="004E0B7C"/>
    <w:rsid w:val="004E10F1"/>
    <w:rsid w:val="004E23E3"/>
    <w:rsid w:val="004E29A2"/>
    <w:rsid w:val="004E2B78"/>
    <w:rsid w:val="004E3585"/>
    <w:rsid w:val="004E3F30"/>
    <w:rsid w:val="004E4030"/>
    <w:rsid w:val="004E46D8"/>
    <w:rsid w:val="004E46F8"/>
    <w:rsid w:val="004E4AA3"/>
    <w:rsid w:val="004E4C12"/>
    <w:rsid w:val="004E50C8"/>
    <w:rsid w:val="004E5951"/>
    <w:rsid w:val="004E6469"/>
    <w:rsid w:val="004E64B5"/>
    <w:rsid w:val="004E653E"/>
    <w:rsid w:val="004E65F5"/>
    <w:rsid w:val="004E68FF"/>
    <w:rsid w:val="004E7557"/>
    <w:rsid w:val="004E76FD"/>
    <w:rsid w:val="004E7B3E"/>
    <w:rsid w:val="004F006C"/>
    <w:rsid w:val="004F027F"/>
    <w:rsid w:val="004F064F"/>
    <w:rsid w:val="004F0771"/>
    <w:rsid w:val="004F07F0"/>
    <w:rsid w:val="004F0EE3"/>
    <w:rsid w:val="004F1C1A"/>
    <w:rsid w:val="004F2580"/>
    <w:rsid w:val="004F292D"/>
    <w:rsid w:val="004F2988"/>
    <w:rsid w:val="004F29CB"/>
    <w:rsid w:val="004F2AB8"/>
    <w:rsid w:val="004F2C29"/>
    <w:rsid w:val="004F2D77"/>
    <w:rsid w:val="004F32E6"/>
    <w:rsid w:val="004F33FE"/>
    <w:rsid w:val="004F396D"/>
    <w:rsid w:val="004F3A4F"/>
    <w:rsid w:val="004F3A85"/>
    <w:rsid w:val="004F3C00"/>
    <w:rsid w:val="004F3E28"/>
    <w:rsid w:val="004F3FF2"/>
    <w:rsid w:val="004F43F8"/>
    <w:rsid w:val="004F492F"/>
    <w:rsid w:val="004F50B6"/>
    <w:rsid w:val="004F510A"/>
    <w:rsid w:val="004F5118"/>
    <w:rsid w:val="004F525C"/>
    <w:rsid w:val="004F5547"/>
    <w:rsid w:val="004F57F3"/>
    <w:rsid w:val="004F5A38"/>
    <w:rsid w:val="004F5C28"/>
    <w:rsid w:val="004F621F"/>
    <w:rsid w:val="004F62C5"/>
    <w:rsid w:val="004F6FF4"/>
    <w:rsid w:val="004F74F3"/>
    <w:rsid w:val="004F7A3F"/>
    <w:rsid w:val="004F7AAA"/>
    <w:rsid w:val="004F7B58"/>
    <w:rsid w:val="0050026A"/>
    <w:rsid w:val="0050085B"/>
    <w:rsid w:val="00500AF8"/>
    <w:rsid w:val="00501ACE"/>
    <w:rsid w:val="00501C91"/>
    <w:rsid w:val="00501CA1"/>
    <w:rsid w:val="00501E16"/>
    <w:rsid w:val="00502068"/>
    <w:rsid w:val="00502384"/>
    <w:rsid w:val="00502CCB"/>
    <w:rsid w:val="00502EAE"/>
    <w:rsid w:val="005035F9"/>
    <w:rsid w:val="00503A1B"/>
    <w:rsid w:val="00503A76"/>
    <w:rsid w:val="00503B38"/>
    <w:rsid w:val="00503C20"/>
    <w:rsid w:val="00503C88"/>
    <w:rsid w:val="0050410D"/>
    <w:rsid w:val="0050485A"/>
    <w:rsid w:val="0050500F"/>
    <w:rsid w:val="0050512A"/>
    <w:rsid w:val="00505279"/>
    <w:rsid w:val="00505563"/>
    <w:rsid w:val="00505702"/>
    <w:rsid w:val="0050591A"/>
    <w:rsid w:val="0050597E"/>
    <w:rsid w:val="00505A49"/>
    <w:rsid w:val="00505F91"/>
    <w:rsid w:val="005063E1"/>
    <w:rsid w:val="00506670"/>
    <w:rsid w:val="00506737"/>
    <w:rsid w:val="0050673D"/>
    <w:rsid w:val="00506D34"/>
    <w:rsid w:val="00507087"/>
    <w:rsid w:val="005077EC"/>
    <w:rsid w:val="00507BA4"/>
    <w:rsid w:val="00507CC5"/>
    <w:rsid w:val="005100E5"/>
    <w:rsid w:val="005102A5"/>
    <w:rsid w:val="00510854"/>
    <w:rsid w:val="00510B68"/>
    <w:rsid w:val="00510E62"/>
    <w:rsid w:val="00510EB8"/>
    <w:rsid w:val="00510EBF"/>
    <w:rsid w:val="005112B5"/>
    <w:rsid w:val="00511E6E"/>
    <w:rsid w:val="00511F9C"/>
    <w:rsid w:val="005122F7"/>
    <w:rsid w:val="0051239B"/>
    <w:rsid w:val="00512FA5"/>
    <w:rsid w:val="00513443"/>
    <w:rsid w:val="0051371B"/>
    <w:rsid w:val="005137E1"/>
    <w:rsid w:val="005146B5"/>
    <w:rsid w:val="005148A0"/>
    <w:rsid w:val="0051510A"/>
    <w:rsid w:val="00515636"/>
    <w:rsid w:val="005156F1"/>
    <w:rsid w:val="00515F48"/>
    <w:rsid w:val="00515F9D"/>
    <w:rsid w:val="00516714"/>
    <w:rsid w:val="0051697D"/>
    <w:rsid w:val="00516B9A"/>
    <w:rsid w:val="00516BBB"/>
    <w:rsid w:val="00516C09"/>
    <w:rsid w:val="00517611"/>
    <w:rsid w:val="005201D9"/>
    <w:rsid w:val="005205DA"/>
    <w:rsid w:val="00520640"/>
    <w:rsid w:val="00521BB7"/>
    <w:rsid w:val="00521E8E"/>
    <w:rsid w:val="00521F8E"/>
    <w:rsid w:val="00521FEB"/>
    <w:rsid w:val="00522319"/>
    <w:rsid w:val="00522320"/>
    <w:rsid w:val="00522C00"/>
    <w:rsid w:val="00523518"/>
    <w:rsid w:val="00523A91"/>
    <w:rsid w:val="00523CE5"/>
    <w:rsid w:val="00523D1D"/>
    <w:rsid w:val="00523E83"/>
    <w:rsid w:val="005240F6"/>
    <w:rsid w:val="00524845"/>
    <w:rsid w:val="005248BB"/>
    <w:rsid w:val="00524A6F"/>
    <w:rsid w:val="005250AF"/>
    <w:rsid w:val="0052522D"/>
    <w:rsid w:val="00525286"/>
    <w:rsid w:val="00525AC7"/>
    <w:rsid w:val="005260E3"/>
    <w:rsid w:val="005261DA"/>
    <w:rsid w:val="00526248"/>
    <w:rsid w:val="0052661B"/>
    <w:rsid w:val="005268C4"/>
    <w:rsid w:val="00527096"/>
    <w:rsid w:val="00527232"/>
    <w:rsid w:val="0052746F"/>
    <w:rsid w:val="00530474"/>
    <w:rsid w:val="0053059F"/>
    <w:rsid w:val="005308A5"/>
    <w:rsid w:val="005309D5"/>
    <w:rsid w:val="00530E1D"/>
    <w:rsid w:val="0053116A"/>
    <w:rsid w:val="005311D6"/>
    <w:rsid w:val="005314E9"/>
    <w:rsid w:val="00531723"/>
    <w:rsid w:val="00531A27"/>
    <w:rsid w:val="0053256C"/>
    <w:rsid w:val="0053275E"/>
    <w:rsid w:val="00532B81"/>
    <w:rsid w:val="00532D3F"/>
    <w:rsid w:val="00533105"/>
    <w:rsid w:val="0053324F"/>
    <w:rsid w:val="00533644"/>
    <w:rsid w:val="0053380C"/>
    <w:rsid w:val="00533889"/>
    <w:rsid w:val="00533B17"/>
    <w:rsid w:val="00533B64"/>
    <w:rsid w:val="005340AF"/>
    <w:rsid w:val="005342F0"/>
    <w:rsid w:val="005348BF"/>
    <w:rsid w:val="00534985"/>
    <w:rsid w:val="005351FA"/>
    <w:rsid w:val="00535592"/>
    <w:rsid w:val="005357F2"/>
    <w:rsid w:val="005358A3"/>
    <w:rsid w:val="00536073"/>
    <w:rsid w:val="005360C3"/>
    <w:rsid w:val="0053618B"/>
    <w:rsid w:val="00536455"/>
    <w:rsid w:val="005369AA"/>
    <w:rsid w:val="00536C47"/>
    <w:rsid w:val="00536E25"/>
    <w:rsid w:val="00540042"/>
    <w:rsid w:val="00540286"/>
    <w:rsid w:val="0054054F"/>
    <w:rsid w:val="005405DB"/>
    <w:rsid w:val="005410AD"/>
    <w:rsid w:val="005411B0"/>
    <w:rsid w:val="005414D6"/>
    <w:rsid w:val="005415E3"/>
    <w:rsid w:val="005416CB"/>
    <w:rsid w:val="00541A06"/>
    <w:rsid w:val="00541BD4"/>
    <w:rsid w:val="00541DB7"/>
    <w:rsid w:val="00541E10"/>
    <w:rsid w:val="00541EF9"/>
    <w:rsid w:val="0054293D"/>
    <w:rsid w:val="00542AFB"/>
    <w:rsid w:val="00542CB2"/>
    <w:rsid w:val="00542EE4"/>
    <w:rsid w:val="0054315E"/>
    <w:rsid w:val="005431A7"/>
    <w:rsid w:val="005431CF"/>
    <w:rsid w:val="00543611"/>
    <w:rsid w:val="00543820"/>
    <w:rsid w:val="00543D0A"/>
    <w:rsid w:val="00544017"/>
    <w:rsid w:val="005445D7"/>
    <w:rsid w:val="00544AB1"/>
    <w:rsid w:val="00544EC3"/>
    <w:rsid w:val="00544EFB"/>
    <w:rsid w:val="005454F3"/>
    <w:rsid w:val="005455B4"/>
    <w:rsid w:val="005455E5"/>
    <w:rsid w:val="00545BCA"/>
    <w:rsid w:val="00545D99"/>
    <w:rsid w:val="00545DDE"/>
    <w:rsid w:val="0054617D"/>
    <w:rsid w:val="0054681B"/>
    <w:rsid w:val="0054693A"/>
    <w:rsid w:val="0054700A"/>
    <w:rsid w:val="005470FB"/>
    <w:rsid w:val="0054779A"/>
    <w:rsid w:val="00547BA1"/>
    <w:rsid w:val="00550085"/>
    <w:rsid w:val="0055014D"/>
    <w:rsid w:val="005502CD"/>
    <w:rsid w:val="005506FA"/>
    <w:rsid w:val="00550803"/>
    <w:rsid w:val="00550D43"/>
    <w:rsid w:val="00550E3D"/>
    <w:rsid w:val="00551341"/>
    <w:rsid w:val="00551F97"/>
    <w:rsid w:val="005521B2"/>
    <w:rsid w:val="00552602"/>
    <w:rsid w:val="005526A3"/>
    <w:rsid w:val="00552836"/>
    <w:rsid w:val="00552A9B"/>
    <w:rsid w:val="00552CFB"/>
    <w:rsid w:val="00552DD7"/>
    <w:rsid w:val="00552EBD"/>
    <w:rsid w:val="00553136"/>
    <w:rsid w:val="0055314F"/>
    <w:rsid w:val="005533FF"/>
    <w:rsid w:val="005537F7"/>
    <w:rsid w:val="00553D8A"/>
    <w:rsid w:val="00553DD8"/>
    <w:rsid w:val="0055443B"/>
    <w:rsid w:val="00554554"/>
    <w:rsid w:val="00554B39"/>
    <w:rsid w:val="00554DC0"/>
    <w:rsid w:val="005552D3"/>
    <w:rsid w:val="005554C9"/>
    <w:rsid w:val="0055561E"/>
    <w:rsid w:val="005559C2"/>
    <w:rsid w:val="00555D15"/>
    <w:rsid w:val="00556101"/>
    <w:rsid w:val="005563A1"/>
    <w:rsid w:val="0055644C"/>
    <w:rsid w:val="00556538"/>
    <w:rsid w:val="00556F32"/>
    <w:rsid w:val="00556F6A"/>
    <w:rsid w:val="0055728F"/>
    <w:rsid w:val="00557413"/>
    <w:rsid w:val="00557CB1"/>
    <w:rsid w:val="00557E56"/>
    <w:rsid w:val="00560062"/>
    <w:rsid w:val="0056072C"/>
    <w:rsid w:val="005607DD"/>
    <w:rsid w:val="0056091E"/>
    <w:rsid w:val="0056111E"/>
    <w:rsid w:val="00561371"/>
    <w:rsid w:val="0056172D"/>
    <w:rsid w:val="0056237A"/>
    <w:rsid w:val="0056287F"/>
    <w:rsid w:val="005628E7"/>
    <w:rsid w:val="00562F6E"/>
    <w:rsid w:val="00563424"/>
    <w:rsid w:val="005635F3"/>
    <w:rsid w:val="0056368D"/>
    <w:rsid w:val="0056411C"/>
    <w:rsid w:val="0056411E"/>
    <w:rsid w:val="00564133"/>
    <w:rsid w:val="00564144"/>
    <w:rsid w:val="005642B0"/>
    <w:rsid w:val="00564B8A"/>
    <w:rsid w:val="00565141"/>
    <w:rsid w:val="005655A8"/>
    <w:rsid w:val="00565B4C"/>
    <w:rsid w:val="00565C87"/>
    <w:rsid w:val="00565F84"/>
    <w:rsid w:val="005663FF"/>
    <w:rsid w:val="0056666C"/>
    <w:rsid w:val="00566A19"/>
    <w:rsid w:val="00567084"/>
    <w:rsid w:val="005671AF"/>
    <w:rsid w:val="005677E5"/>
    <w:rsid w:val="00567B0F"/>
    <w:rsid w:val="0057003B"/>
    <w:rsid w:val="00570256"/>
    <w:rsid w:val="005702AC"/>
    <w:rsid w:val="005705D5"/>
    <w:rsid w:val="00570832"/>
    <w:rsid w:val="00570D24"/>
    <w:rsid w:val="0057105E"/>
    <w:rsid w:val="005718C8"/>
    <w:rsid w:val="00571ABF"/>
    <w:rsid w:val="005729CA"/>
    <w:rsid w:val="00572FFF"/>
    <w:rsid w:val="00573042"/>
    <w:rsid w:val="0057316E"/>
    <w:rsid w:val="005732F6"/>
    <w:rsid w:val="0057352B"/>
    <w:rsid w:val="0057358C"/>
    <w:rsid w:val="00573BC3"/>
    <w:rsid w:val="00574238"/>
    <w:rsid w:val="00574282"/>
    <w:rsid w:val="00574407"/>
    <w:rsid w:val="00574449"/>
    <w:rsid w:val="0057455C"/>
    <w:rsid w:val="005747F0"/>
    <w:rsid w:val="00574BD5"/>
    <w:rsid w:val="00574C1A"/>
    <w:rsid w:val="005754C6"/>
    <w:rsid w:val="00575516"/>
    <w:rsid w:val="005758FE"/>
    <w:rsid w:val="00575B37"/>
    <w:rsid w:val="00575E25"/>
    <w:rsid w:val="00575F97"/>
    <w:rsid w:val="00576360"/>
    <w:rsid w:val="00576390"/>
    <w:rsid w:val="005768AD"/>
    <w:rsid w:val="00576E13"/>
    <w:rsid w:val="00576EB5"/>
    <w:rsid w:val="00577992"/>
    <w:rsid w:val="00577A34"/>
    <w:rsid w:val="00577E4E"/>
    <w:rsid w:val="00580495"/>
    <w:rsid w:val="00580A9E"/>
    <w:rsid w:val="00580B3B"/>
    <w:rsid w:val="00580EEB"/>
    <w:rsid w:val="00580FCF"/>
    <w:rsid w:val="005812CB"/>
    <w:rsid w:val="005813C3"/>
    <w:rsid w:val="005814E0"/>
    <w:rsid w:val="005823D1"/>
    <w:rsid w:val="0058252C"/>
    <w:rsid w:val="00583237"/>
    <w:rsid w:val="00583379"/>
    <w:rsid w:val="00583673"/>
    <w:rsid w:val="00583680"/>
    <w:rsid w:val="00583B62"/>
    <w:rsid w:val="00583D08"/>
    <w:rsid w:val="00583F4E"/>
    <w:rsid w:val="00584726"/>
    <w:rsid w:val="00584BBE"/>
    <w:rsid w:val="00584CC8"/>
    <w:rsid w:val="00584CDE"/>
    <w:rsid w:val="005850B8"/>
    <w:rsid w:val="00585836"/>
    <w:rsid w:val="005858B9"/>
    <w:rsid w:val="005860D7"/>
    <w:rsid w:val="0058670E"/>
    <w:rsid w:val="00586784"/>
    <w:rsid w:val="005869A9"/>
    <w:rsid w:val="00586FA6"/>
    <w:rsid w:val="0058706C"/>
    <w:rsid w:val="005879BD"/>
    <w:rsid w:val="00587BE7"/>
    <w:rsid w:val="00587C68"/>
    <w:rsid w:val="00587CBC"/>
    <w:rsid w:val="00587E11"/>
    <w:rsid w:val="00590117"/>
    <w:rsid w:val="0059083F"/>
    <w:rsid w:val="00590BC7"/>
    <w:rsid w:val="005910AE"/>
    <w:rsid w:val="0059171A"/>
    <w:rsid w:val="00591944"/>
    <w:rsid w:val="00592110"/>
    <w:rsid w:val="00592871"/>
    <w:rsid w:val="00593054"/>
    <w:rsid w:val="005930FD"/>
    <w:rsid w:val="00593633"/>
    <w:rsid w:val="005936E6"/>
    <w:rsid w:val="00593894"/>
    <w:rsid w:val="00594160"/>
    <w:rsid w:val="0059419B"/>
    <w:rsid w:val="005944CF"/>
    <w:rsid w:val="005946B5"/>
    <w:rsid w:val="00595089"/>
    <w:rsid w:val="005952E2"/>
    <w:rsid w:val="005959F0"/>
    <w:rsid w:val="00595DF1"/>
    <w:rsid w:val="005960FE"/>
    <w:rsid w:val="00596524"/>
    <w:rsid w:val="005977D6"/>
    <w:rsid w:val="00597D00"/>
    <w:rsid w:val="00597D35"/>
    <w:rsid w:val="00597F64"/>
    <w:rsid w:val="00597FBA"/>
    <w:rsid w:val="005A01EA"/>
    <w:rsid w:val="005A01F2"/>
    <w:rsid w:val="005A0480"/>
    <w:rsid w:val="005A07C1"/>
    <w:rsid w:val="005A08FD"/>
    <w:rsid w:val="005A1DD0"/>
    <w:rsid w:val="005A1F8F"/>
    <w:rsid w:val="005A2104"/>
    <w:rsid w:val="005A2301"/>
    <w:rsid w:val="005A265A"/>
    <w:rsid w:val="005A29A6"/>
    <w:rsid w:val="005A31F3"/>
    <w:rsid w:val="005A355E"/>
    <w:rsid w:val="005A3780"/>
    <w:rsid w:val="005A3BFE"/>
    <w:rsid w:val="005A3C26"/>
    <w:rsid w:val="005A424C"/>
    <w:rsid w:val="005A4A36"/>
    <w:rsid w:val="005A50AB"/>
    <w:rsid w:val="005A542B"/>
    <w:rsid w:val="005A545F"/>
    <w:rsid w:val="005A5A12"/>
    <w:rsid w:val="005A6137"/>
    <w:rsid w:val="005A64FC"/>
    <w:rsid w:val="005A65A7"/>
    <w:rsid w:val="005A6A47"/>
    <w:rsid w:val="005A6D6D"/>
    <w:rsid w:val="005A71D9"/>
    <w:rsid w:val="005A7264"/>
    <w:rsid w:val="005A77B9"/>
    <w:rsid w:val="005A78C1"/>
    <w:rsid w:val="005A7F82"/>
    <w:rsid w:val="005A7FA2"/>
    <w:rsid w:val="005A7FFC"/>
    <w:rsid w:val="005B02B9"/>
    <w:rsid w:val="005B0A71"/>
    <w:rsid w:val="005B0D10"/>
    <w:rsid w:val="005B154F"/>
    <w:rsid w:val="005B1601"/>
    <w:rsid w:val="005B1972"/>
    <w:rsid w:val="005B1B36"/>
    <w:rsid w:val="005B1F65"/>
    <w:rsid w:val="005B29DB"/>
    <w:rsid w:val="005B2ACA"/>
    <w:rsid w:val="005B2FE5"/>
    <w:rsid w:val="005B349B"/>
    <w:rsid w:val="005B40AD"/>
    <w:rsid w:val="005B41DC"/>
    <w:rsid w:val="005B436C"/>
    <w:rsid w:val="005B4914"/>
    <w:rsid w:val="005B4CFC"/>
    <w:rsid w:val="005B4DC5"/>
    <w:rsid w:val="005B4F54"/>
    <w:rsid w:val="005B54B4"/>
    <w:rsid w:val="005B577C"/>
    <w:rsid w:val="005B58B0"/>
    <w:rsid w:val="005B599A"/>
    <w:rsid w:val="005B5B1A"/>
    <w:rsid w:val="005B6A39"/>
    <w:rsid w:val="005B6B55"/>
    <w:rsid w:val="005B6E0D"/>
    <w:rsid w:val="005B6F93"/>
    <w:rsid w:val="005B7252"/>
    <w:rsid w:val="005B75F7"/>
    <w:rsid w:val="005C0019"/>
    <w:rsid w:val="005C00B1"/>
    <w:rsid w:val="005C0298"/>
    <w:rsid w:val="005C060B"/>
    <w:rsid w:val="005C0769"/>
    <w:rsid w:val="005C1237"/>
    <w:rsid w:val="005C143D"/>
    <w:rsid w:val="005C1B98"/>
    <w:rsid w:val="005C1F5C"/>
    <w:rsid w:val="005C2151"/>
    <w:rsid w:val="005C225A"/>
    <w:rsid w:val="005C22CE"/>
    <w:rsid w:val="005C2423"/>
    <w:rsid w:val="005C2A09"/>
    <w:rsid w:val="005C2B3E"/>
    <w:rsid w:val="005C2C4D"/>
    <w:rsid w:val="005C2FB3"/>
    <w:rsid w:val="005C3233"/>
    <w:rsid w:val="005C3518"/>
    <w:rsid w:val="005C360A"/>
    <w:rsid w:val="005C36B0"/>
    <w:rsid w:val="005C3733"/>
    <w:rsid w:val="005C38C5"/>
    <w:rsid w:val="005C3C90"/>
    <w:rsid w:val="005C44D5"/>
    <w:rsid w:val="005C4780"/>
    <w:rsid w:val="005C4857"/>
    <w:rsid w:val="005C48D9"/>
    <w:rsid w:val="005C4B0B"/>
    <w:rsid w:val="005C4C17"/>
    <w:rsid w:val="005C4F61"/>
    <w:rsid w:val="005C4FDB"/>
    <w:rsid w:val="005C51A2"/>
    <w:rsid w:val="005C5207"/>
    <w:rsid w:val="005C5222"/>
    <w:rsid w:val="005C5761"/>
    <w:rsid w:val="005C600A"/>
    <w:rsid w:val="005C627F"/>
    <w:rsid w:val="005C65EF"/>
    <w:rsid w:val="005C6708"/>
    <w:rsid w:val="005C7423"/>
    <w:rsid w:val="005C7545"/>
    <w:rsid w:val="005C7EE9"/>
    <w:rsid w:val="005D0177"/>
    <w:rsid w:val="005D0193"/>
    <w:rsid w:val="005D0AF0"/>
    <w:rsid w:val="005D0BA1"/>
    <w:rsid w:val="005D0BDD"/>
    <w:rsid w:val="005D0F33"/>
    <w:rsid w:val="005D127B"/>
    <w:rsid w:val="005D14D6"/>
    <w:rsid w:val="005D1A5A"/>
    <w:rsid w:val="005D1AE3"/>
    <w:rsid w:val="005D1DB7"/>
    <w:rsid w:val="005D1F70"/>
    <w:rsid w:val="005D221C"/>
    <w:rsid w:val="005D2408"/>
    <w:rsid w:val="005D2A43"/>
    <w:rsid w:val="005D2ED7"/>
    <w:rsid w:val="005D2EFE"/>
    <w:rsid w:val="005D35EF"/>
    <w:rsid w:val="005D3C6A"/>
    <w:rsid w:val="005D3DE5"/>
    <w:rsid w:val="005D3FA8"/>
    <w:rsid w:val="005D46AD"/>
    <w:rsid w:val="005D4786"/>
    <w:rsid w:val="005D47C3"/>
    <w:rsid w:val="005D4BD9"/>
    <w:rsid w:val="005D4CED"/>
    <w:rsid w:val="005D5352"/>
    <w:rsid w:val="005D5AF9"/>
    <w:rsid w:val="005D6328"/>
    <w:rsid w:val="005D65E5"/>
    <w:rsid w:val="005D67AF"/>
    <w:rsid w:val="005D6CA5"/>
    <w:rsid w:val="005D6D40"/>
    <w:rsid w:val="005D6EA0"/>
    <w:rsid w:val="005D6F07"/>
    <w:rsid w:val="005D7144"/>
    <w:rsid w:val="005D773B"/>
    <w:rsid w:val="005D782D"/>
    <w:rsid w:val="005D79D2"/>
    <w:rsid w:val="005D7BBB"/>
    <w:rsid w:val="005D7DEB"/>
    <w:rsid w:val="005E0219"/>
    <w:rsid w:val="005E0423"/>
    <w:rsid w:val="005E058E"/>
    <w:rsid w:val="005E0C18"/>
    <w:rsid w:val="005E0ED7"/>
    <w:rsid w:val="005E1171"/>
    <w:rsid w:val="005E1482"/>
    <w:rsid w:val="005E17B9"/>
    <w:rsid w:val="005E18E0"/>
    <w:rsid w:val="005E1C25"/>
    <w:rsid w:val="005E1E64"/>
    <w:rsid w:val="005E2944"/>
    <w:rsid w:val="005E2BAB"/>
    <w:rsid w:val="005E2E18"/>
    <w:rsid w:val="005E2F9D"/>
    <w:rsid w:val="005E3188"/>
    <w:rsid w:val="005E3761"/>
    <w:rsid w:val="005E3A51"/>
    <w:rsid w:val="005E3AE0"/>
    <w:rsid w:val="005E4196"/>
    <w:rsid w:val="005E427A"/>
    <w:rsid w:val="005E47FD"/>
    <w:rsid w:val="005E4D7A"/>
    <w:rsid w:val="005E4E88"/>
    <w:rsid w:val="005E4EEB"/>
    <w:rsid w:val="005E5FFB"/>
    <w:rsid w:val="005E632A"/>
    <w:rsid w:val="005E64B8"/>
    <w:rsid w:val="005E6542"/>
    <w:rsid w:val="005E67C9"/>
    <w:rsid w:val="005E681A"/>
    <w:rsid w:val="005E6A12"/>
    <w:rsid w:val="005E6A3F"/>
    <w:rsid w:val="005E6AD8"/>
    <w:rsid w:val="005E6F57"/>
    <w:rsid w:val="005E75C9"/>
    <w:rsid w:val="005E76E2"/>
    <w:rsid w:val="005E78FA"/>
    <w:rsid w:val="005E7A2B"/>
    <w:rsid w:val="005E7B36"/>
    <w:rsid w:val="005E7B9B"/>
    <w:rsid w:val="005F0054"/>
    <w:rsid w:val="005F0224"/>
    <w:rsid w:val="005F02E6"/>
    <w:rsid w:val="005F03DF"/>
    <w:rsid w:val="005F0524"/>
    <w:rsid w:val="005F0AE2"/>
    <w:rsid w:val="005F0EC6"/>
    <w:rsid w:val="005F10A8"/>
    <w:rsid w:val="005F10F1"/>
    <w:rsid w:val="005F1140"/>
    <w:rsid w:val="005F1202"/>
    <w:rsid w:val="005F1627"/>
    <w:rsid w:val="005F1911"/>
    <w:rsid w:val="005F2A3D"/>
    <w:rsid w:val="005F2CBA"/>
    <w:rsid w:val="005F2F0E"/>
    <w:rsid w:val="005F3216"/>
    <w:rsid w:val="005F355D"/>
    <w:rsid w:val="005F4022"/>
    <w:rsid w:val="005F43F9"/>
    <w:rsid w:val="005F483F"/>
    <w:rsid w:val="005F4DFE"/>
    <w:rsid w:val="005F4EF9"/>
    <w:rsid w:val="005F5109"/>
    <w:rsid w:val="005F5410"/>
    <w:rsid w:val="005F5540"/>
    <w:rsid w:val="005F58CD"/>
    <w:rsid w:val="005F5D3E"/>
    <w:rsid w:val="005F6636"/>
    <w:rsid w:val="005F66B4"/>
    <w:rsid w:val="005F6803"/>
    <w:rsid w:val="005F6966"/>
    <w:rsid w:val="005F6C3B"/>
    <w:rsid w:val="005F6D79"/>
    <w:rsid w:val="005F6DE5"/>
    <w:rsid w:val="005F70D5"/>
    <w:rsid w:val="005F713E"/>
    <w:rsid w:val="005F7238"/>
    <w:rsid w:val="005F7385"/>
    <w:rsid w:val="005F781D"/>
    <w:rsid w:val="005F7A6F"/>
    <w:rsid w:val="005F7D5C"/>
    <w:rsid w:val="005F7ECD"/>
    <w:rsid w:val="0060000F"/>
    <w:rsid w:val="006002FA"/>
    <w:rsid w:val="00600402"/>
    <w:rsid w:val="006010B3"/>
    <w:rsid w:val="0060149D"/>
    <w:rsid w:val="00601518"/>
    <w:rsid w:val="006015AE"/>
    <w:rsid w:val="006017B1"/>
    <w:rsid w:val="00601875"/>
    <w:rsid w:val="00601B1C"/>
    <w:rsid w:val="00601B51"/>
    <w:rsid w:val="00601EE2"/>
    <w:rsid w:val="00602314"/>
    <w:rsid w:val="00602B6E"/>
    <w:rsid w:val="00602BC9"/>
    <w:rsid w:val="00602FEA"/>
    <w:rsid w:val="006034BA"/>
    <w:rsid w:val="0060356C"/>
    <w:rsid w:val="00603720"/>
    <w:rsid w:val="00603E8D"/>
    <w:rsid w:val="00603FBA"/>
    <w:rsid w:val="00603FBC"/>
    <w:rsid w:val="0060446E"/>
    <w:rsid w:val="00604B96"/>
    <w:rsid w:val="00604DD1"/>
    <w:rsid w:val="006053E7"/>
    <w:rsid w:val="00605514"/>
    <w:rsid w:val="00605786"/>
    <w:rsid w:val="0060584A"/>
    <w:rsid w:val="0060593B"/>
    <w:rsid w:val="00605A1B"/>
    <w:rsid w:val="00605F4B"/>
    <w:rsid w:val="00606592"/>
    <w:rsid w:val="00606669"/>
    <w:rsid w:val="00606841"/>
    <w:rsid w:val="0060685F"/>
    <w:rsid w:val="00606976"/>
    <w:rsid w:val="00607066"/>
    <w:rsid w:val="00607197"/>
    <w:rsid w:val="006072D0"/>
    <w:rsid w:val="00607A16"/>
    <w:rsid w:val="006102F5"/>
    <w:rsid w:val="006104E2"/>
    <w:rsid w:val="006106A2"/>
    <w:rsid w:val="006109EF"/>
    <w:rsid w:val="006109F8"/>
    <w:rsid w:val="00610E80"/>
    <w:rsid w:val="00610FAF"/>
    <w:rsid w:val="00611454"/>
    <w:rsid w:val="00611455"/>
    <w:rsid w:val="00611952"/>
    <w:rsid w:val="00611E91"/>
    <w:rsid w:val="00611FED"/>
    <w:rsid w:val="00612196"/>
    <w:rsid w:val="00612394"/>
    <w:rsid w:val="00612C9B"/>
    <w:rsid w:val="0061358F"/>
    <w:rsid w:val="006139B4"/>
    <w:rsid w:val="00613D5B"/>
    <w:rsid w:val="00614048"/>
    <w:rsid w:val="006147EA"/>
    <w:rsid w:val="0061482F"/>
    <w:rsid w:val="006149C2"/>
    <w:rsid w:val="00614C95"/>
    <w:rsid w:val="00615593"/>
    <w:rsid w:val="00615A05"/>
    <w:rsid w:val="00615A4D"/>
    <w:rsid w:val="006160DC"/>
    <w:rsid w:val="00616331"/>
    <w:rsid w:val="00616DCE"/>
    <w:rsid w:val="0061764B"/>
    <w:rsid w:val="00617D38"/>
    <w:rsid w:val="00617F2E"/>
    <w:rsid w:val="00620178"/>
    <w:rsid w:val="00620242"/>
    <w:rsid w:val="00620805"/>
    <w:rsid w:val="0062095B"/>
    <w:rsid w:val="00620FDD"/>
    <w:rsid w:val="00621105"/>
    <w:rsid w:val="0062134C"/>
    <w:rsid w:val="00621817"/>
    <w:rsid w:val="0062187C"/>
    <w:rsid w:val="00621B13"/>
    <w:rsid w:val="00621CA8"/>
    <w:rsid w:val="00621E39"/>
    <w:rsid w:val="00621EC3"/>
    <w:rsid w:val="00622487"/>
    <w:rsid w:val="0062256A"/>
    <w:rsid w:val="00622641"/>
    <w:rsid w:val="006226F0"/>
    <w:rsid w:val="006227C9"/>
    <w:rsid w:val="006229B8"/>
    <w:rsid w:val="00622AE0"/>
    <w:rsid w:val="00622C9A"/>
    <w:rsid w:val="00622E07"/>
    <w:rsid w:val="00623075"/>
    <w:rsid w:val="00623910"/>
    <w:rsid w:val="006239A4"/>
    <w:rsid w:val="00623D2C"/>
    <w:rsid w:val="00623E85"/>
    <w:rsid w:val="006242F6"/>
    <w:rsid w:val="00624432"/>
    <w:rsid w:val="00624546"/>
    <w:rsid w:val="00624631"/>
    <w:rsid w:val="00624A27"/>
    <w:rsid w:val="00624D74"/>
    <w:rsid w:val="00624F01"/>
    <w:rsid w:val="006250C8"/>
    <w:rsid w:val="00625525"/>
    <w:rsid w:val="00625543"/>
    <w:rsid w:val="006258C8"/>
    <w:rsid w:val="00625BE6"/>
    <w:rsid w:val="00625E26"/>
    <w:rsid w:val="00625E33"/>
    <w:rsid w:val="0062627E"/>
    <w:rsid w:val="00626511"/>
    <w:rsid w:val="00627061"/>
    <w:rsid w:val="0062716D"/>
    <w:rsid w:val="006271EA"/>
    <w:rsid w:val="0062729D"/>
    <w:rsid w:val="00627549"/>
    <w:rsid w:val="0062763D"/>
    <w:rsid w:val="00627846"/>
    <w:rsid w:val="006279AB"/>
    <w:rsid w:val="00627AF2"/>
    <w:rsid w:val="00627B1E"/>
    <w:rsid w:val="00627C2A"/>
    <w:rsid w:val="006301F6"/>
    <w:rsid w:val="0063087A"/>
    <w:rsid w:val="00630EDC"/>
    <w:rsid w:val="00631839"/>
    <w:rsid w:val="00631FCA"/>
    <w:rsid w:val="006320B5"/>
    <w:rsid w:val="006328FA"/>
    <w:rsid w:val="00632F94"/>
    <w:rsid w:val="0063395F"/>
    <w:rsid w:val="00633CAC"/>
    <w:rsid w:val="006341A0"/>
    <w:rsid w:val="006343FF"/>
    <w:rsid w:val="00634B05"/>
    <w:rsid w:val="006351CE"/>
    <w:rsid w:val="006356B5"/>
    <w:rsid w:val="00635C59"/>
    <w:rsid w:val="00636014"/>
    <w:rsid w:val="0063632F"/>
    <w:rsid w:val="00636402"/>
    <w:rsid w:val="00636425"/>
    <w:rsid w:val="00636689"/>
    <w:rsid w:val="00636AD6"/>
    <w:rsid w:val="00636CCC"/>
    <w:rsid w:val="00637370"/>
    <w:rsid w:val="00637527"/>
    <w:rsid w:val="0063771D"/>
    <w:rsid w:val="00637BEE"/>
    <w:rsid w:val="00640603"/>
    <w:rsid w:val="00640A55"/>
    <w:rsid w:val="00640E38"/>
    <w:rsid w:val="00641455"/>
    <w:rsid w:val="0064169D"/>
    <w:rsid w:val="00641A13"/>
    <w:rsid w:val="00641E07"/>
    <w:rsid w:val="00641E3F"/>
    <w:rsid w:val="0064208C"/>
    <w:rsid w:val="0064251A"/>
    <w:rsid w:val="00642611"/>
    <w:rsid w:val="006426F3"/>
    <w:rsid w:val="00642CC9"/>
    <w:rsid w:val="00642D38"/>
    <w:rsid w:val="00642F3D"/>
    <w:rsid w:val="0064306F"/>
    <w:rsid w:val="0064355A"/>
    <w:rsid w:val="00643713"/>
    <w:rsid w:val="00643948"/>
    <w:rsid w:val="00643A32"/>
    <w:rsid w:val="00643C15"/>
    <w:rsid w:val="00643E84"/>
    <w:rsid w:val="0064437B"/>
    <w:rsid w:val="006448A0"/>
    <w:rsid w:val="00645193"/>
    <w:rsid w:val="0064561B"/>
    <w:rsid w:val="006458AE"/>
    <w:rsid w:val="00645BE9"/>
    <w:rsid w:val="006461D1"/>
    <w:rsid w:val="006469A7"/>
    <w:rsid w:val="00646C6C"/>
    <w:rsid w:val="006473CF"/>
    <w:rsid w:val="00647B24"/>
    <w:rsid w:val="0065071E"/>
    <w:rsid w:val="006507EF"/>
    <w:rsid w:val="00650C56"/>
    <w:rsid w:val="00650EAF"/>
    <w:rsid w:val="00651028"/>
    <w:rsid w:val="006517ED"/>
    <w:rsid w:val="00651A4A"/>
    <w:rsid w:val="006521D4"/>
    <w:rsid w:val="0065225F"/>
    <w:rsid w:val="00652858"/>
    <w:rsid w:val="00652A20"/>
    <w:rsid w:val="00652C5E"/>
    <w:rsid w:val="0065323C"/>
    <w:rsid w:val="00653245"/>
    <w:rsid w:val="006533DC"/>
    <w:rsid w:val="00653542"/>
    <w:rsid w:val="006536FA"/>
    <w:rsid w:val="006537EA"/>
    <w:rsid w:val="00653AF8"/>
    <w:rsid w:val="0065405E"/>
    <w:rsid w:val="006549A2"/>
    <w:rsid w:val="00654F6A"/>
    <w:rsid w:val="0065503A"/>
    <w:rsid w:val="00655411"/>
    <w:rsid w:val="006558DC"/>
    <w:rsid w:val="00655E89"/>
    <w:rsid w:val="0065632F"/>
    <w:rsid w:val="006566CD"/>
    <w:rsid w:val="00656A58"/>
    <w:rsid w:val="00656B27"/>
    <w:rsid w:val="00657944"/>
    <w:rsid w:val="006579C4"/>
    <w:rsid w:val="00657F8B"/>
    <w:rsid w:val="00657FAC"/>
    <w:rsid w:val="006600A3"/>
    <w:rsid w:val="0066014B"/>
    <w:rsid w:val="00660401"/>
    <w:rsid w:val="00660C75"/>
    <w:rsid w:val="00660D1F"/>
    <w:rsid w:val="0066110E"/>
    <w:rsid w:val="006615C7"/>
    <w:rsid w:val="006618FC"/>
    <w:rsid w:val="0066200A"/>
    <w:rsid w:val="00662E80"/>
    <w:rsid w:val="00663D00"/>
    <w:rsid w:val="00663E86"/>
    <w:rsid w:val="00664402"/>
    <w:rsid w:val="00664945"/>
    <w:rsid w:val="00665568"/>
    <w:rsid w:val="00665BEE"/>
    <w:rsid w:val="00666115"/>
    <w:rsid w:val="00666570"/>
    <w:rsid w:val="0066695F"/>
    <w:rsid w:val="00666A31"/>
    <w:rsid w:val="00667393"/>
    <w:rsid w:val="00667572"/>
    <w:rsid w:val="006677A2"/>
    <w:rsid w:val="00667813"/>
    <w:rsid w:val="006705BF"/>
    <w:rsid w:val="00670850"/>
    <w:rsid w:val="00670A29"/>
    <w:rsid w:val="00670B3B"/>
    <w:rsid w:val="00670B4D"/>
    <w:rsid w:val="006714DF"/>
    <w:rsid w:val="00671600"/>
    <w:rsid w:val="006716EA"/>
    <w:rsid w:val="00671869"/>
    <w:rsid w:val="00671B7E"/>
    <w:rsid w:val="0067235E"/>
    <w:rsid w:val="00672893"/>
    <w:rsid w:val="00672DFF"/>
    <w:rsid w:val="00672E32"/>
    <w:rsid w:val="00672E4B"/>
    <w:rsid w:val="00673347"/>
    <w:rsid w:val="0067340B"/>
    <w:rsid w:val="00673612"/>
    <w:rsid w:val="0067390A"/>
    <w:rsid w:val="006739CB"/>
    <w:rsid w:val="00673C51"/>
    <w:rsid w:val="00673D1B"/>
    <w:rsid w:val="00674181"/>
    <w:rsid w:val="006747CC"/>
    <w:rsid w:val="00675366"/>
    <w:rsid w:val="006758BF"/>
    <w:rsid w:val="006759E3"/>
    <w:rsid w:val="00675B8C"/>
    <w:rsid w:val="00676100"/>
    <w:rsid w:val="00676669"/>
    <w:rsid w:val="006767BC"/>
    <w:rsid w:val="00676835"/>
    <w:rsid w:val="00676989"/>
    <w:rsid w:val="00676AB1"/>
    <w:rsid w:val="00676B6E"/>
    <w:rsid w:val="006776B3"/>
    <w:rsid w:val="006778AD"/>
    <w:rsid w:val="00677CB0"/>
    <w:rsid w:val="006800C0"/>
    <w:rsid w:val="006803D7"/>
    <w:rsid w:val="006807B7"/>
    <w:rsid w:val="006808B5"/>
    <w:rsid w:val="0068090B"/>
    <w:rsid w:val="00680B2E"/>
    <w:rsid w:val="00680F75"/>
    <w:rsid w:val="006811A3"/>
    <w:rsid w:val="00681D75"/>
    <w:rsid w:val="00681D94"/>
    <w:rsid w:val="0068242E"/>
    <w:rsid w:val="00682BF7"/>
    <w:rsid w:val="00683011"/>
    <w:rsid w:val="00683C2A"/>
    <w:rsid w:val="00683E57"/>
    <w:rsid w:val="0068400D"/>
    <w:rsid w:val="00684172"/>
    <w:rsid w:val="0068428E"/>
    <w:rsid w:val="00684957"/>
    <w:rsid w:val="006849E2"/>
    <w:rsid w:val="00684BAF"/>
    <w:rsid w:val="006857E1"/>
    <w:rsid w:val="00685EA1"/>
    <w:rsid w:val="00686BEF"/>
    <w:rsid w:val="00686CD6"/>
    <w:rsid w:val="00686E58"/>
    <w:rsid w:val="006870AA"/>
    <w:rsid w:val="0068735E"/>
    <w:rsid w:val="00687421"/>
    <w:rsid w:val="006878D3"/>
    <w:rsid w:val="00687BFC"/>
    <w:rsid w:val="00687DF0"/>
    <w:rsid w:val="00690121"/>
    <w:rsid w:val="0069040B"/>
    <w:rsid w:val="00690B5F"/>
    <w:rsid w:val="00691167"/>
    <w:rsid w:val="006914DC"/>
    <w:rsid w:val="006915C8"/>
    <w:rsid w:val="00691C9E"/>
    <w:rsid w:val="006923E0"/>
    <w:rsid w:val="0069248D"/>
    <w:rsid w:val="00692739"/>
    <w:rsid w:val="0069280E"/>
    <w:rsid w:val="00692BC9"/>
    <w:rsid w:val="00692EBA"/>
    <w:rsid w:val="00693765"/>
    <w:rsid w:val="00693F20"/>
    <w:rsid w:val="0069418B"/>
    <w:rsid w:val="006947EE"/>
    <w:rsid w:val="00694888"/>
    <w:rsid w:val="0069556F"/>
    <w:rsid w:val="006956DB"/>
    <w:rsid w:val="0069594E"/>
    <w:rsid w:val="00695ED9"/>
    <w:rsid w:val="00696298"/>
    <w:rsid w:val="00696303"/>
    <w:rsid w:val="00696404"/>
    <w:rsid w:val="0069671A"/>
    <w:rsid w:val="0069678E"/>
    <w:rsid w:val="00696DC5"/>
    <w:rsid w:val="00696EBB"/>
    <w:rsid w:val="006A01BA"/>
    <w:rsid w:val="006A09D0"/>
    <w:rsid w:val="006A0AC6"/>
    <w:rsid w:val="006A0B6A"/>
    <w:rsid w:val="006A0B7D"/>
    <w:rsid w:val="006A0F13"/>
    <w:rsid w:val="006A0FBA"/>
    <w:rsid w:val="006A1063"/>
    <w:rsid w:val="006A11D3"/>
    <w:rsid w:val="006A12CE"/>
    <w:rsid w:val="006A12D9"/>
    <w:rsid w:val="006A1705"/>
    <w:rsid w:val="006A1827"/>
    <w:rsid w:val="006A1E59"/>
    <w:rsid w:val="006A1F10"/>
    <w:rsid w:val="006A2115"/>
    <w:rsid w:val="006A22A6"/>
    <w:rsid w:val="006A23A0"/>
    <w:rsid w:val="006A3095"/>
    <w:rsid w:val="006A390C"/>
    <w:rsid w:val="006A3ADC"/>
    <w:rsid w:val="006A3DA3"/>
    <w:rsid w:val="006A41FE"/>
    <w:rsid w:val="006A425D"/>
    <w:rsid w:val="006A42A6"/>
    <w:rsid w:val="006A42BB"/>
    <w:rsid w:val="006A456C"/>
    <w:rsid w:val="006A4C11"/>
    <w:rsid w:val="006A4D4E"/>
    <w:rsid w:val="006A4D60"/>
    <w:rsid w:val="006A5D48"/>
    <w:rsid w:val="006A634E"/>
    <w:rsid w:val="006A659A"/>
    <w:rsid w:val="006A6642"/>
    <w:rsid w:val="006A6B2B"/>
    <w:rsid w:val="006A6B3F"/>
    <w:rsid w:val="006A6C28"/>
    <w:rsid w:val="006A6CEC"/>
    <w:rsid w:val="006A6F3C"/>
    <w:rsid w:val="006A7327"/>
    <w:rsid w:val="006A7397"/>
    <w:rsid w:val="006A73AA"/>
    <w:rsid w:val="006A7918"/>
    <w:rsid w:val="006A791A"/>
    <w:rsid w:val="006A7B5F"/>
    <w:rsid w:val="006A7F2C"/>
    <w:rsid w:val="006B0475"/>
    <w:rsid w:val="006B06EA"/>
    <w:rsid w:val="006B07DC"/>
    <w:rsid w:val="006B0AE7"/>
    <w:rsid w:val="006B0C05"/>
    <w:rsid w:val="006B1182"/>
    <w:rsid w:val="006B135E"/>
    <w:rsid w:val="006B1362"/>
    <w:rsid w:val="006B13D6"/>
    <w:rsid w:val="006B1D5C"/>
    <w:rsid w:val="006B1FD8"/>
    <w:rsid w:val="006B2330"/>
    <w:rsid w:val="006B2745"/>
    <w:rsid w:val="006B2876"/>
    <w:rsid w:val="006B29E0"/>
    <w:rsid w:val="006B300C"/>
    <w:rsid w:val="006B30D6"/>
    <w:rsid w:val="006B3762"/>
    <w:rsid w:val="006B3DA4"/>
    <w:rsid w:val="006B4015"/>
    <w:rsid w:val="006B4695"/>
    <w:rsid w:val="006B56AC"/>
    <w:rsid w:val="006B630A"/>
    <w:rsid w:val="006B6331"/>
    <w:rsid w:val="006B6385"/>
    <w:rsid w:val="006B6ACA"/>
    <w:rsid w:val="006B6CC3"/>
    <w:rsid w:val="006B6CEE"/>
    <w:rsid w:val="006B70F7"/>
    <w:rsid w:val="006B7991"/>
    <w:rsid w:val="006B7B4C"/>
    <w:rsid w:val="006B7BD1"/>
    <w:rsid w:val="006B7C24"/>
    <w:rsid w:val="006B7D73"/>
    <w:rsid w:val="006C02B9"/>
    <w:rsid w:val="006C0671"/>
    <w:rsid w:val="006C07AD"/>
    <w:rsid w:val="006C0BFA"/>
    <w:rsid w:val="006C1577"/>
    <w:rsid w:val="006C184E"/>
    <w:rsid w:val="006C1A37"/>
    <w:rsid w:val="006C1F9C"/>
    <w:rsid w:val="006C2A2A"/>
    <w:rsid w:val="006C2C80"/>
    <w:rsid w:val="006C2DA3"/>
    <w:rsid w:val="006C2EE6"/>
    <w:rsid w:val="006C2FDE"/>
    <w:rsid w:val="006C30FF"/>
    <w:rsid w:val="006C3290"/>
    <w:rsid w:val="006C40D4"/>
    <w:rsid w:val="006C43DC"/>
    <w:rsid w:val="006C44FE"/>
    <w:rsid w:val="006C4A80"/>
    <w:rsid w:val="006C4DF3"/>
    <w:rsid w:val="006C5A2C"/>
    <w:rsid w:val="006C5ACD"/>
    <w:rsid w:val="006C6004"/>
    <w:rsid w:val="006C6300"/>
    <w:rsid w:val="006C643A"/>
    <w:rsid w:val="006C650D"/>
    <w:rsid w:val="006C6698"/>
    <w:rsid w:val="006C73F1"/>
    <w:rsid w:val="006C751C"/>
    <w:rsid w:val="006C7716"/>
    <w:rsid w:val="006C7BAB"/>
    <w:rsid w:val="006D008A"/>
    <w:rsid w:val="006D04E3"/>
    <w:rsid w:val="006D0562"/>
    <w:rsid w:val="006D0855"/>
    <w:rsid w:val="006D0B7D"/>
    <w:rsid w:val="006D0DD7"/>
    <w:rsid w:val="006D0F4D"/>
    <w:rsid w:val="006D1252"/>
    <w:rsid w:val="006D12E5"/>
    <w:rsid w:val="006D1544"/>
    <w:rsid w:val="006D15E0"/>
    <w:rsid w:val="006D1C0E"/>
    <w:rsid w:val="006D1CE3"/>
    <w:rsid w:val="006D1DC1"/>
    <w:rsid w:val="006D2245"/>
    <w:rsid w:val="006D2469"/>
    <w:rsid w:val="006D2473"/>
    <w:rsid w:val="006D2D58"/>
    <w:rsid w:val="006D2FDF"/>
    <w:rsid w:val="006D30F8"/>
    <w:rsid w:val="006D32F7"/>
    <w:rsid w:val="006D36B7"/>
    <w:rsid w:val="006D39AE"/>
    <w:rsid w:val="006D3A49"/>
    <w:rsid w:val="006D3BAC"/>
    <w:rsid w:val="006D3D14"/>
    <w:rsid w:val="006D4DC3"/>
    <w:rsid w:val="006D4DE2"/>
    <w:rsid w:val="006D4FAC"/>
    <w:rsid w:val="006D5316"/>
    <w:rsid w:val="006D5810"/>
    <w:rsid w:val="006D5B65"/>
    <w:rsid w:val="006D5BB6"/>
    <w:rsid w:val="006D60E5"/>
    <w:rsid w:val="006D67E8"/>
    <w:rsid w:val="006D680D"/>
    <w:rsid w:val="006D682E"/>
    <w:rsid w:val="006D686D"/>
    <w:rsid w:val="006D68C6"/>
    <w:rsid w:val="006D6B69"/>
    <w:rsid w:val="006D6BA6"/>
    <w:rsid w:val="006D6BD6"/>
    <w:rsid w:val="006D7CAA"/>
    <w:rsid w:val="006E074F"/>
    <w:rsid w:val="006E0A50"/>
    <w:rsid w:val="006E0F55"/>
    <w:rsid w:val="006E10E7"/>
    <w:rsid w:val="006E115B"/>
    <w:rsid w:val="006E11A7"/>
    <w:rsid w:val="006E11C4"/>
    <w:rsid w:val="006E13BD"/>
    <w:rsid w:val="006E16F1"/>
    <w:rsid w:val="006E1959"/>
    <w:rsid w:val="006E1AF0"/>
    <w:rsid w:val="006E1FD7"/>
    <w:rsid w:val="006E246B"/>
    <w:rsid w:val="006E2A21"/>
    <w:rsid w:val="006E2B47"/>
    <w:rsid w:val="006E2E32"/>
    <w:rsid w:val="006E30C7"/>
    <w:rsid w:val="006E30E6"/>
    <w:rsid w:val="006E31A7"/>
    <w:rsid w:val="006E3368"/>
    <w:rsid w:val="006E359B"/>
    <w:rsid w:val="006E3A51"/>
    <w:rsid w:val="006E3BE0"/>
    <w:rsid w:val="006E41B1"/>
    <w:rsid w:val="006E4301"/>
    <w:rsid w:val="006E455D"/>
    <w:rsid w:val="006E459D"/>
    <w:rsid w:val="006E47CF"/>
    <w:rsid w:val="006E48B6"/>
    <w:rsid w:val="006E4BD1"/>
    <w:rsid w:val="006E4D19"/>
    <w:rsid w:val="006E4E1F"/>
    <w:rsid w:val="006E511E"/>
    <w:rsid w:val="006E52D4"/>
    <w:rsid w:val="006E535A"/>
    <w:rsid w:val="006E5766"/>
    <w:rsid w:val="006E5BE1"/>
    <w:rsid w:val="006E5F8C"/>
    <w:rsid w:val="006E61C1"/>
    <w:rsid w:val="006E65B0"/>
    <w:rsid w:val="006E6686"/>
    <w:rsid w:val="006E66CA"/>
    <w:rsid w:val="006E6EDE"/>
    <w:rsid w:val="006E714E"/>
    <w:rsid w:val="006E75BF"/>
    <w:rsid w:val="006E7706"/>
    <w:rsid w:val="006E7A2D"/>
    <w:rsid w:val="006E7B6F"/>
    <w:rsid w:val="006E7CF2"/>
    <w:rsid w:val="006F06B6"/>
    <w:rsid w:val="006F09B5"/>
    <w:rsid w:val="006F0EA1"/>
    <w:rsid w:val="006F1349"/>
    <w:rsid w:val="006F1426"/>
    <w:rsid w:val="006F176F"/>
    <w:rsid w:val="006F1A0C"/>
    <w:rsid w:val="006F201F"/>
    <w:rsid w:val="006F2C03"/>
    <w:rsid w:val="006F2DAB"/>
    <w:rsid w:val="006F2ED7"/>
    <w:rsid w:val="006F2F07"/>
    <w:rsid w:val="006F3153"/>
    <w:rsid w:val="006F31BD"/>
    <w:rsid w:val="006F3C7A"/>
    <w:rsid w:val="006F433B"/>
    <w:rsid w:val="006F4620"/>
    <w:rsid w:val="006F48B3"/>
    <w:rsid w:val="006F48B8"/>
    <w:rsid w:val="006F49F7"/>
    <w:rsid w:val="006F4ACE"/>
    <w:rsid w:val="006F4CD8"/>
    <w:rsid w:val="006F4DAF"/>
    <w:rsid w:val="006F4E92"/>
    <w:rsid w:val="006F5278"/>
    <w:rsid w:val="006F553C"/>
    <w:rsid w:val="006F5680"/>
    <w:rsid w:val="006F5924"/>
    <w:rsid w:val="006F59B0"/>
    <w:rsid w:val="006F5CBF"/>
    <w:rsid w:val="006F5E89"/>
    <w:rsid w:val="006F6258"/>
    <w:rsid w:val="006F62C6"/>
    <w:rsid w:val="006F65E1"/>
    <w:rsid w:val="006F69E4"/>
    <w:rsid w:val="006F6BD6"/>
    <w:rsid w:val="006F763A"/>
    <w:rsid w:val="006F78D8"/>
    <w:rsid w:val="006F7EB8"/>
    <w:rsid w:val="006F7F8E"/>
    <w:rsid w:val="00700005"/>
    <w:rsid w:val="007000BB"/>
    <w:rsid w:val="00700AF3"/>
    <w:rsid w:val="00701552"/>
    <w:rsid w:val="00701747"/>
    <w:rsid w:val="00701EE6"/>
    <w:rsid w:val="00702358"/>
    <w:rsid w:val="007025BB"/>
    <w:rsid w:val="00702AE4"/>
    <w:rsid w:val="00703159"/>
    <w:rsid w:val="0070389E"/>
    <w:rsid w:val="00704212"/>
    <w:rsid w:val="00704C4A"/>
    <w:rsid w:val="00704FDE"/>
    <w:rsid w:val="007051E2"/>
    <w:rsid w:val="00705206"/>
    <w:rsid w:val="00705249"/>
    <w:rsid w:val="00705448"/>
    <w:rsid w:val="00705543"/>
    <w:rsid w:val="007058B2"/>
    <w:rsid w:val="00705C5A"/>
    <w:rsid w:val="00705D0F"/>
    <w:rsid w:val="00706AE5"/>
    <w:rsid w:val="00706E99"/>
    <w:rsid w:val="007073DB"/>
    <w:rsid w:val="0070756D"/>
    <w:rsid w:val="007078E3"/>
    <w:rsid w:val="007079F1"/>
    <w:rsid w:val="00707BD7"/>
    <w:rsid w:val="00707CA7"/>
    <w:rsid w:val="00707CC9"/>
    <w:rsid w:val="00710400"/>
    <w:rsid w:val="00710752"/>
    <w:rsid w:val="00710B43"/>
    <w:rsid w:val="00710BFB"/>
    <w:rsid w:val="00710D46"/>
    <w:rsid w:val="00710E42"/>
    <w:rsid w:val="00711673"/>
    <w:rsid w:val="00711BB8"/>
    <w:rsid w:val="00711E0E"/>
    <w:rsid w:val="007122EC"/>
    <w:rsid w:val="00712319"/>
    <w:rsid w:val="00712693"/>
    <w:rsid w:val="00712994"/>
    <w:rsid w:val="00713935"/>
    <w:rsid w:val="00713E3E"/>
    <w:rsid w:val="00713E60"/>
    <w:rsid w:val="00713EEE"/>
    <w:rsid w:val="00714504"/>
    <w:rsid w:val="007148C6"/>
    <w:rsid w:val="00714DA3"/>
    <w:rsid w:val="00714F4D"/>
    <w:rsid w:val="00714F74"/>
    <w:rsid w:val="00715F2A"/>
    <w:rsid w:val="00716422"/>
    <w:rsid w:val="00716487"/>
    <w:rsid w:val="007164CB"/>
    <w:rsid w:val="00716A29"/>
    <w:rsid w:val="00716B8F"/>
    <w:rsid w:val="00716CB5"/>
    <w:rsid w:val="00716CBE"/>
    <w:rsid w:val="00716FAC"/>
    <w:rsid w:val="007171A1"/>
    <w:rsid w:val="0071742A"/>
    <w:rsid w:val="00717AB7"/>
    <w:rsid w:val="00717E66"/>
    <w:rsid w:val="00720458"/>
    <w:rsid w:val="00720518"/>
    <w:rsid w:val="0072088F"/>
    <w:rsid w:val="00720A52"/>
    <w:rsid w:val="00720E2E"/>
    <w:rsid w:val="00720E41"/>
    <w:rsid w:val="0072118D"/>
    <w:rsid w:val="007213F1"/>
    <w:rsid w:val="00721496"/>
    <w:rsid w:val="00721758"/>
    <w:rsid w:val="00721C94"/>
    <w:rsid w:val="00721D34"/>
    <w:rsid w:val="00721DC8"/>
    <w:rsid w:val="00721DD8"/>
    <w:rsid w:val="0072262A"/>
    <w:rsid w:val="0072271B"/>
    <w:rsid w:val="00722933"/>
    <w:rsid w:val="007229C5"/>
    <w:rsid w:val="00722DAC"/>
    <w:rsid w:val="00722E6D"/>
    <w:rsid w:val="007235DC"/>
    <w:rsid w:val="00723A0B"/>
    <w:rsid w:val="00723A60"/>
    <w:rsid w:val="00724416"/>
    <w:rsid w:val="0072482C"/>
    <w:rsid w:val="00724CD4"/>
    <w:rsid w:val="00724EA2"/>
    <w:rsid w:val="007252D7"/>
    <w:rsid w:val="00725650"/>
    <w:rsid w:val="0072580B"/>
    <w:rsid w:val="0072583B"/>
    <w:rsid w:val="00725928"/>
    <w:rsid w:val="00725DFA"/>
    <w:rsid w:val="00726033"/>
    <w:rsid w:val="0072617B"/>
    <w:rsid w:val="00726B97"/>
    <w:rsid w:val="00726E55"/>
    <w:rsid w:val="007301A5"/>
    <w:rsid w:val="007303E7"/>
    <w:rsid w:val="007306D3"/>
    <w:rsid w:val="007306E9"/>
    <w:rsid w:val="00730AF7"/>
    <w:rsid w:val="00730E8F"/>
    <w:rsid w:val="00731120"/>
    <w:rsid w:val="00731266"/>
    <w:rsid w:val="00731D48"/>
    <w:rsid w:val="0073202E"/>
    <w:rsid w:val="00732139"/>
    <w:rsid w:val="00732707"/>
    <w:rsid w:val="007331D2"/>
    <w:rsid w:val="007332B4"/>
    <w:rsid w:val="00733D9F"/>
    <w:rsid w:val="007341B8"/>
    <w:rsid w:val="00734484"/>
    <w:rsid w:val="007348A3"/>
    <w:rsid w:val="00734D85"/>
    <w:rsid w:val="00734E43"/>
    <w:rsid w:val="00734FCF"/>
    <w:rsid w:val="007356D3"/>
    <w:rsid w:val="00735722"/>
    <w:rsid w:val="0073586B"/>
    <w:rsid w:val="00735A7E"/>
    <w:rsid w:val="00735DB1"/>
    <w:rsid w:val="00736512"/>
    <w:rsid w:val="007367BE"/>
    <w:rsid w:val="007367F5"/>
    <w:rsid w:val="00736BCB"/>
    <w:rsid w:val="00736C50"/>
    <w:rsid w:val="00736D6C"/>
    <w:rsid w:val="00736E0E"/>
    <w:rsid w:val="00736F0C"/>
    <w:rsid w:val="0073710E"/>
    <w:rsid w:val="00737696"/>
    <w:rsid w:val="0073783B"/>
    <w:rsid w:val="00737982"/>
    <w:rsid w:val="00737C26"/>
    <w:rsid w:val="00737DC7"/>
    <w:rsid w:val="00740199"/>
    <w:rsid w:val="007419B4"/>
    <w:rsid w:val="00742076"/>
    <w:rsid w:val="00742091"/>
    <w:rsid w:val="00742A55"/>
    <w:rsid w:val="00742D0C"/>
    <w:rsid w:val="00743076"/>
    <w:rsid w:val="007430BD"/>
    <w:rsid w:val="00743570"/>
    <w:rsid w:val="00743A4F"/>
    <w:rsid w:val="00743AD1"/>
    <w:rsid w:val="00743FDB"/>
    <w:rsid w:val="007441C9"/>
    <w:rsid w:val="00744499"/>
    <w:rsid w:val="007447BD"/>
    <w:rsid w:val="00744806"/>
    <w:rsid w:val="00744E0C"/>
    <w:rsid w:val="00744E39"/>
    <w:rsid w:val="00744EDE"/>
    <w:rsid w:val="00745136"/>
    <w:rsid w:val="00745326"/>
    <w:rsid w:val="0074544E"/>
    <w:rsid w:val="00745A15"/>
    <w:rsid w:val="00745DD2"/>
    <w:rsid w:val="00746644"/>
    <w:rsid w:val="00746DC2"/>
    <w:rsid w:val="0074745F"/>
    <w:rsid w:val="00747840"/>
    <w:rsid w:val="007478FF"/>
    <w:rsid w:val="00747DF3"/>
    <w:rsid w:val="00747DFD"/>
    <w:rsid w:val="00750713"/>
    <w:rsid w:val="00750EFA"/>
    <w:rsid w:val="0075102F"/>
    <w:rsid w:val="00751354"/>
    <w:rsid w:val="00751464"/>
    <w:rsid w:val="007514AA"/>
    <w:rsid w:val="00751670"/>
    <w:rsid w:val="00751996"/>
    <w:rsid w:val="00751B56"/>
    <w:rsid w:val="00751D3E"/>
    <w:rsid w:val="00751E5D"/>
    <w:rsid w:val="0075211E"/>
    <w:rsid w:val="00752389"/>
    <w:rsid w:val="00752B77"/>
    <w:rsid w:val="00752F51"/>
    <w:rsid w:val="0075328A"/>
    <w:rsid w:val="00753328"/>
    <w:rsid w:val="007535F9"/>
    <w:rsid w:val="007537D4"/>
    <w:rsid w:val="0075393B"/>
    <w:rsid w:val="00753E3A"/>
    <w:rsid w:val="007548F7"/>
    <w:rsid w:val="00754B7E"/>
    <w:rsid w:val="00754EA0"/>
    <w:rsid w:val="00755111"/>
    <w:rsid w:val="007558AF"/>
    <w:rsid w:val="00755B89"/>
    <w:rsid w:val="00755C7F"/>
    <w:rsid w:val="00755D29"/>
    <w:rsid w:val="00756002"/>
    <w:rsid w:val="0075617F"/>
    <w:rsid w:val="007561C6"/>
    <w:rsid w:val="0075651B"/>
    <w:rsid w:val="00756909"/>
    <w:rsid w:val="0075716A"/>
    <w:rsid w:val="00757A57"/>
    <w:rsid w:val="00757F5E"/>
    <w:rsid w:val="0076047E"/>
    <w:rsid w:val="0076068F"/>
    <w:rsid w:val="00760838"/>
    <w:rsid w:val="00760917"/>
    <w:rsid w:val="00760C02"/>
    <w:rsid w:val="00760D10"/>
    <w:rsid w:val="00760FA0"/>
    <w:rsid w:val="007610FE"/>
    <w:rsid w:val="00761295"/>
    <w:rsid w:val="007618B4"/>
    <w:rsid w:val="0076206E"/>
    <w:rsid w:val="00762108"/>
    <w:rsid w:val="00762288"/>
    <w:rsid w:val="0076241F"/>
    <w:rsid w:val="00762935"/>
    <w:rsid w:val="00762AA0"/>
    <w:rsid w:val="00762E03"/>
    <w:rsid w:val="00763187"/>
    <w:rsid w:val="00763AE7"/>
    <w:rsid w:val="007641B3"/>
    <w:rsid w:val="00764310"/>
    <w:rsid w:val="007643A5"/>
    <w:rsid w:val="007649FA"/>
    <w:rsid w:val="00765DD4"/>
    <w:rsid w:val="0076675A"/>
    <w:rsid w:val="007668C6"/>
    <w:rsid w:val="00766F94"/>
    <w:rsid w:val="00767454"/>
    <w:rsid w:val="00767521"/>
    <w:rsid w:val="00767705"/>
    <w:rsid w:val="00767B32"/>
    <w:rsid w:val="00767D17"/>
    <w:rsid w:val="007702F8"/>
    <w:rsid w:val="007709C8"/>
    <w:rsid w:val="007709DA"/>
    <w:rsid w:val="00770D03"/>
    <w:rsid w:val="00770D52"/>
    <w:rsid w:val="00770E38"/>
    <w:rsid w:val="00770F97"/>
    <w:rsid w:val="007711B4"/>
    <w:rsid w:val="0077150E"/>
    <w:rsid w:val="0077171A"/>
    <w:rsid w:val="00771BAF"/>
    <w:rsid w:val="00771E48"/>
    <w:rsid w:val="00772313"/>
    <w:rsid w:val="00772592"/>
    <w:rsid w:val="00772AC0"/>
    <w:rsid w:val="00773B0E"/>
    <w:rsid w:val="00773BF8"/>
    <w:rsid w:val="00774208"/>
    <w:rsid w:val="00774313"/>
    <w:rsid w:val="00774B57"/>
    <w:rsid w:val="007751DE"/>
    <w:rsid w:val="0077524A"/>
    <w:rsid w:val="00775613"/>
    <w:rsid w:val="00775760"/>
    <w:rsid w:val="00775CAF"/>
    <w:rsid w:val="00775E06"/>
    <w:rsid w:val="00775F2A"/>
    <w:rsid w:val="007761D5"/>
    <w:rsid w:val="007768AF"/>
    <w:rsid w:val="00776ABF"/>
    <w:rsid w:val="00776AF1"/>
    <w:rsid w:val="00777830"/>
    <w:rsid w:val="00777B87"/>
    <w:rsid w:val="0078049D"/>
    <w:rsid w:val="007807BD"/>
    <w:rsid w:val="007809F8"/>
    <w:rsid w:val="007812AF"/>
    <w:rsid w:val="0078133D"/>
    <w:rsid w:val="007816B5"/>
    <w:rsid w:val="00781942"/>
    <w:rsid w:val="00781E34"/>
    <w:rsid w:val="00781E3D"/>
    <w:rsid w:val="00781F2F"/>
    <w:rsid w:val="00781FD9"/>
    <w:rsid w:val="007822AF"/>
    <w:rsid w:val="0078233A"/>
    <w:rsid w:val="00782DCD"/>
    <w:rsid w:val="0078332F"/>
    <w:rsid w:val="0078344F"/>
    <w:rsid w:val="0078381C"/>
    <w:rsid w:val="00783CE0"/>
    <w:rsid w:val="00784362"/>
    <w:rsid w:val="0078441D"/>
    <w:rsid w:val="00784BCD"/>
    <w:rsid w:val="00785048"/>
    <w:rsid w:val="00785451"/>
    <w:rsid w:val="007856A2"/>
    <w:rsid w:val="00785779"/>
    <w:rsid w:val="00785785"/>
    <w:rsid w:val="00785B89"/>
    <w:rsid w:val="00785E7E"/>
    <w:rsid w:val="0078609C"/>
    <w:rsid w:val="007863E4"/>
    <w:rsid w:val="00787096"/>
    <w:rsid w:val="00787381"/>
    <w:rsid w:val="00787436"/>
    <w:rsid w:val="00787931"/>
    <w:rsid w:val="00787BD4"/>
    <w:rsid w:val="00787F28"/>
    <w:rsid w:val="00790861"/>
    <w:rsid w:val="007909CA"/>
    <w:rsid w:val="00790B29"/>
    <w:rsid w:val="00790BCF"/>
    <w:rsid w:val="00790D74"/>
    <w:rsid w:val="00790EE1"/>
    <w:rsid w:val="00791094"/>
    <w:rsid w:val="007912FF"/>
    <w:rsid w:val="00791BB8"/>
    <w:rsid w:val="00791DED"/>
    <w:rsid w:val="00791DF7"/>
    <w:rsid w:val="00791F3E"/>
    <w:rsid w:val="0079219E"/>
    <w:rsid w:val="00792AA8"/>
    <w:rsid w:val="00792F22"/>
    <w:rsid w:val="0079333E"/>
    <w:rsid w:val="00793A25"/>
    <w:rsid w:val="00793AAE"/>
    <w:rsid w:val="00793B8A"/>
    <w:rsid w:val="00794696"/>
    <w:rsid w:val="007947FE"/>
    <w:rsid w:val="00794938"/>
    <w:rsid w:val="00794972"/>
    <w:rsid w:val="007951A8"/>
    <w:rsid w:val="007953B5"/>
    <w:rsid w:val="0079571D"/>
    <w:rsid w:val="00795783"/>
    <w:rsid w:val="00795D5C"/>
    <w:rsid w:val="0079618E"/>
    <w:rsid w:val="00796438"/>
    <w:rsid w:val="007964B3"/>
    <w:rsid w:val="0079662E"/>
    <w:rsid w:val="0079664C"/>
    <w:rsid w:val="00796740"/>
    <w:rsid w:val="00796B93"/>
    <w:rsid w:val="00796E03"/>
    <w:rsid w:val="00796EBE"/>
    <w:rsid w:val="00796EE7"/>
    <w:rsid w:val="00797022"/>
    <w:rsid w:val="007977EF"/>
    <w:rsid w:val="007A0454"/>
    <w:rsid w:val="007A0468"/>
    <w:rsid w:val="007A04E1"/>
    <w:rsid w:val="007A0F1F"/>
    <w:rsid w:val="007A14A9"/>
    <w:rsid w:val="007A1965"/>
    <w:rsid w:val="007A1A8E"/>
    <w:rsid w:val="007A1CDA"/>
    <w:rsid w:val="007A1CDF"/>
    <w:rsid w:val="007A1D68"/>
    <w:rsid w:val="007A2328"/>
    <w:rsid w:val="007A2A92"/>
    <w:rsid w:val="007A2C70"/>
    <w:rsid w:val="007A2D33"/>
    <w:rsid w:val="007A3390"/>
    <w:rsid w:val="007A36BD"/>
    <w:rsid w:val="007A38D2"/>
    <w:rsid w:val="007A3ABE"/>
    <w:rsid w:val="007A3E7D"/>
    <w:rsid w:val="007A3EFE"/>
    <w:rsid w:val="007A424A"/>
    <w:rsid w:val="007A480B"/>
    <w:rsid w:val="007A4CB0"/>
    <w:rsid w:val="007A4CBC"/>
    <w:rsid w:val="007A4ED9"/>
    <w:rsid w:val="007A5232"/>
    <w:rsid w:val="007A5801"/>
    <w:rsid w:val="007A5B52"/>
    <w:rsid w:val="007A5E5B"/>
    <w:rsid w:val="007A60F8"/>
    <w:rsid w:val="007A62C3"/>
    <w:rsid w:val="007A650A"/>
    <w:rsid w:val="007A67CC"/>
    <w:rsid w:val="007A7A89"/>
    <w:rsid w:val="007A7EE8"/>
    <w:rsid w:val="007B0854"/>
    <w:rsid w:val="007B1488"/>
    <w:rsid w:val="007B14F0"/>
    <w:rsid w:val="007B1E1D"/>
    <w:rsid w:val="007B1EFB"/>
    <w:rsid w:val="007B2099"/>
    <w:rsid w:val="007B23AD"/>
    <w:rsid w:val="007B2B67"/>
    <w:rsid w:val="007B304C"/>
    <w:rsid w:val="007B32A2"/>
    <w:rsid w:val="007B341B"/>
    <w:rsid w:val="007B37CC"/>
    <w:rsid w:val="007B4102"/>
    <w:rsid w:val="007B43E4"/>
    <w:rsid w:val="007B4463"/>
    <w:rsid w:val="007B4578"/>
    <w:rsid w:val="007B48A3"/>
    <w:rsid w:val="007B59BC"/>
    <w:rsid w:val="007B6126"/>
    <w:rsid w:val="007B6204"/>
    <w:rsid w:val="007B651A"/>
    <w:rsid w:val="007B6584"/>
    <w:rsid w:val="007B6648"/>
    <w:rsid w:val="007B6669"/>
    <w:rsid w:val="007B688D"/>
    <w:rsid w:val="007B6910"/>
    <w:rsid w:val="007B7049"/>
    <w:rsid w:val="007B7229"/>
    <w:rsid w:val="007B7255"/>
    <w:rsid w:val="007B7530"/>
    <w:rsid w:val="007B7B0B"/>
    <w:rsid w:val="007B7B23"/>
    <w:rsid w:val="007B7E27"/>
    <w:rsid w:val="007C022E"/>
    <w:rsid w:val="007C0321"/>
    <w:rsid w:val="007C035E"/>
    <w:rsid w:val="007C04A9"/>
    <w:rsid w:val="007C0626"/>
    <w:rsid w:val="007C06EC"/>
    <w:rsid w:val="007C0CD6"/>
    <w:rsid w:val="007C0D16"/>
    <w:rsid w:val="007C0ED6"/>
    <w:rsid w:val="007C0F21"/>
    <w:rsid w:val="007C131F"/>
    <w:rsid w:val="007C132F"/>
    <w:rsid w:val="007C1E62"/>
    <w:rsid w:val="007C225F"/>
    <w:rsid w:val="007C2301"/>
    <w:rsid w:val="007C243A"/>
    <w:rsid w:val="007C24F2"/>
    <w:rsid w:val="007C2878"/>
    <w:rsid w:val="007C2FDE"/>
    <w:rsid w:val="007C311B"/>
    <w:rsid w:val="007C3D36"/>
    <w:rsid w:val="007C3D89"/>
    <w:rsid w:val="007C44A3"/>
    <w:rsid w:val="007C462E"/>
    <w:rsid w:val="007C5063"/>
    <w:rsid w:val="007C506B"/>
    <w:rsid w:val="007C5659"/>
    <w:rsid w:val="007C56FD"/>
    <w:rsid w:val="007C5CC1"/>
    <w:rsid w:val="007C5CE9"/>
    <w:rsid w:val="007C682C"/>
    <w:rsid w:val="007C69DA"/>
    <w:rsid w:val="007C7086"/>
    <w:rsid w:val="007C79E5"/>
    <w:rsid w:val="007C7C2C"/>
    <w:rsid w:val="007D0327"/>
    <w:rsid w:val="007D033D"/>
    <w:rsid w:val="007D034B"/>
    <w:rsid w:val="007D034D"/>
    <w:rsid w:val="007D0986"/>
    <w:rsid w:val="007D0A63"/>
    <w:rsid w:val="007D0BA6"/>
    <w:rsid w:val="007D0F82"/>
    <w:rsid w:val="007D11BD"/>
    <w:rsid w:val="007D138D"/>
    <w:rsid w:val="007D16F8"/>
    <w:rsid w:val="007D19E5"/>
    <w:rsid w:val="007D243B"/>
    <w:rsid w:val="007D2608"/>
    <w:rsid w:val="007D36EB"/>
    <w:rsid w:val="007D390F"/>
    <w:rsid w:val="007D3930"/>
    <w:rsid w:val="007D3A1C"/>
    <w:rsid w:val="007D4223"/>
    <w:rsid w:val="007D42F2"/>
    <w:rsid w:val="007D4475"/>
    <w:rsid w:val="007D465A"/>
    <w:rsid w:val="007D4E7F"/>
    <w:rsid w:val="007D5243"/>
    <w:rsid w:val="007D59A7"/>
    <w:rsid w:val="007D5C3C"/>
    <w:rsid w:val="007D6141"/>
    <w:rsid w:val="007D61B3"/>
    <w:rsid w:val="007D658E"/>
    <w:rsid w:val="007D67B1"/>
    <w:rsid w:val="007D67CF"/>
    <w:rsid w:val="007D68C3"/>
    <w:rsid w:val="007D6925"/>
    <w:rsid w:val="007D698B"/>
    <w:rsid w:val="007D6B8A"/>
    <w:rsid w:val="007D7010"/>
    <w:rsid w:val="007D71C3"/>
    <w:rsid w:val="007D737B"/>
    <w:rsid w:val="007D7870"/>
    <w:rsid w:val="007D7BB6"/>
    <w:rsid w:val="007E0837"/>
    <w:rsid w:val="007E0C18"/>
    <w:rsid w:val="007E0C4C"/>
    <w:rsid w:val="007E0CBF"/>
    <w:rsid w:val="007E0F0D"/>
    <w:rsid w:val="007E2963"/>
    <w:rsid w:val="007E29EF"/>
    <w:rsid w:val="007E2AFB"/>
    <w:rsid w:val="007E328F"/>
    <w:rsid w:val="007E3478"/>
    <w:rsid w:val="007E3698"/>
    <w:rsid w:val="007E38A9"/>
    <w:rsid w:val="007E3C0B"/>
    <w:rsid w:val="007E3C14"/>
    <w:rsid w:val="007E3C5A"/>
    <w:rsid w:val="007E4BDF"/>
    <w:rsid w:val="007E4CBD"/>
    <w:rsid w:val="007E4D44"/>
    <w:rsid w:val="007E4DA6"/>
    <w:rsid w:val="007E4E5C"/>
    <w:rsid w:val="007E5319"/>
    <w:rsid w:val="007E5D35"/>
    <w:rsid w:val="007E627A"/>
    <w:rsid w:val="007E644C"/>
    <w:rsid w:val="007E64B3"/>
    <w:rsid w:val="007E698D"/>
    <w:rsid w:val="007E6A15"/>
    <w:rsid w:val="007E6AE1"/>
    <w:rsid w:val="007E6B0D"/>
    <w:rsid w:val="007E6C9D"/>
    <w:rsid w:val="007E6EA3"/>
    <w:rsid w:val="007E7459"/>
    <w:rsid w:val="007E7A77"/>
    <w:rsid w:val="007E7C18"/>
    <w:rsid w:val="007E7CFE"/>
    <w:rsid w:val="007E7E16"/>
    <w:rsid w:val="007F00E8"/>
    <w:rsid w:val="007F0192"/>
    <w:rsid w:val="007F0610"/>
    <w:rsid w:val="007F07C5"/>
    <w:rsid w:val="007F0BA9"/>
    <w:rsid w:val="007F0CC0"/>
    <w:rsid w:val="007F0E34"/>
    <w:rsid w:val="007F1035"/>
    <w:rsid w:val="007F15D7"/>
    <w:rsid w:val="007F164E"/>
    <w:rsid w:val="007F1A0E"/>
    <w:rsid w:val="007F1B7B"/>
    <w:rsid w:val="007F1E6D"/>
    <w:rsid w:val="007F2398"/>
    <w:rsid w:val="007F2651"/>
    <w:rsid w:val="007F4465"/>
    <w:rsid w:val="007F4673"/>
    <w:rsid w:val="007F4773"/>
    <w:rsid w:val="007F4A87"/>
    <w:rsid w:val="007F4F30"/>
    <w:rsid w:val="007F5030"/>
    <w:rsid w:val="007F52A6"/>
    <w:rsid w:val="007F5303"/>
    <w:rsid w:val="007F54E3"/>
    <w:rsid w:val="007F5506"/>
    <w:rsid w:val="007F5665"/>
    <w:rsid w:val="007F56B8"/>
    <w:rsid w:val="007F5723"/>
    <w:rsid w:val="007F5789"/>
    <w:rsid w:val="007F5A95"/>
    <w:rsid w:val="007F5AB8"/>
    <w:rsid w:val="007F5B76"/>
    <w:rsid w:val="007F5DE4"/>
    <w:rsid w:val="007F5FA4"/>
    <w:rsid w:val="007F64B2"/>
    <w:rsid w:val="007F68DA"/>
    <w:rsid w:val="007F6BA7"/>
    <w:rsid w:val="007F73AE"/>
    <w:rsid w:val="007F79AD"/>
    <w:rsid w:val="007F7F59"/>
    <w:rsid w:val="007F7F67"/>
    <w:rsid w:val="0080005E"/>
    <w:rsid w:val="008004A7"/>
    <w:rsid w:val="008004E7"/>
    <w:rsid w:val="00800A35"/>
    <w:rsid w:val="00800A58"/>
    <w:rsid w:val="00800DC9"/>
    <w:rsid w:val="00800E84"/>
    <w:rsid w:val="00800EB9"/>
    <w:rsid w:val="00801673"/>
    <w:rsid w:val="0080230E"/>
    <w:rsid w:val="0080236F"/>
    <w:rsid w:val="008025DF"/>
    <w:rsid w:val="0080276C"/>
    <w:rsid w:val="00802870"/>
    <w:rsid w:val="0080296B"/>
    <w:rsid w:val="00802EFC"/>
    <w:rsid w:val="00803460"/>
    <w:rsid w:val="00803531"/>
    <w:rsid w:val="008036A1"/>
    <w:rsid w:val="008036BE"/>
    <w:rsid w:val="00803C5E"/>
    <w:rsid w:val="00803DE1"/>
    <w:rsid w:val="00803F0A"/>
    <w:rsid w:val="00803F6D"/>
    <w:rsid w:val="0080400B"/>
    <w:rsid w:val="008045AA"/>
    <w:rsid w:val="008045F9"/>
    <w:rsid w:val="0080486F"/>
    <w:rsid w:val="008049F5"/>
    <w:rsid w:val="00804DDD"/>
    <w:rsid w:val="00804E21"/>
    <w:rsid w:val="008050CC"/>
    <w:rsid w:val="00805628"/>
    <w:rsid w:val="00805858"/>
    <w:rsid w:val="008059AB"/>
    <w:rsid w:val="00805AB0"/>
    <w:rsid w:val="00805E0B"/>
    <w:rsid w:val="008060C8"/>
    <w:rsid w:val="008061D0"/>
    <w:rsid w:val="008065F9"/>
    <w:rsid w:val="0080662B"/>
    <w:rsid w:val="00807322"/>
    <w:rsid w:val="00807533"/>
    <w:rsid w:val="008077E8"/>
    <w:rsid w:val="008078A2"/>
    <w:rsid w:val="008100BE"/>
    <w:rsid w:val="00810208"/>
    <w:rsid w:val="00810503"/>
    <w:rsid w:val="00810563"/>
    <w:rsid w:val="0081067D"/>
    <w:rsid w:val="00810995"/>
    <w:rsid w:val="00810B7A"/>
    <w:rsid w:val="00810F5C"/>
    <w:rsid w:val="00811093"/>
    <w:rsid w:val="00811205"/>
    <w:rsid w:val="008116EB"/>
    <w:rsid w:val="00811B4D"/>
    <w:rsid w:val="00811F72"/>
    <w:rsid w:val="0081204F"/>
    <w:rsid w:val="00812091"/>
    <w:rsid w:val="0081213B"/>
    <w:rsid w:val="00812400"/>
    <w:rsid w:val="008126DC"/>
    <w:rsid w:val="00812723"/>
    <w:rsid w:val="00813145"/>
    <w:rsid w:val="008132D2"/>
    <w:rsid w:val="00813383"/>
    <w:rsid w:val="00813443"/>
    <w:rsid w:val="00813E56"/>
    <w:rsid w:val="00814A6A"/>
    <w:rsid w:val="00814AFD"/>
    <w:rsid w:val="00814B6D"/>
    <w:rsid w:val="00814ED4"/>
    <w:rsid w:val="00814F0B"/>
    <w:rsid w:val="00814FFA"/>
    <w:rsid w:val="00815054"/>
    <w:rsid w:val="008151BC"/>
    <w:rsid w:val="008152E3"/>
    <w:rsid w:val="00815423"/>
    <w:rsid w:val="0081557C"/>
    <w:rsid w:val="00815801"/>
    <w:rsid w:val="008159B1"/>
    <w:rsid w:val="0081634A"/>
    <w:rsid w:val="0081658A"/>
    <w:rsid w:val="0081670B"/>
    <w:rsid w:val="00816862"/>
    <w:rsid w:val="00816E90"/>
    <w:rsid w:val="0081726D"/>
    <w:rsid w:val="008175E4"/>
    <w:rsid w:val="00817625"/>
    <w:rsid w:val="00817A81"/>
    <w:rsid w:val="00817BD3"/>
    <w:rsid w:val="00817F1A"/>
    <w:rsid w:val="00817F3B"/>
    <w:rsid w:val="00820149"/>
    <w:rsid w:val="00820282"/>
    <w:rsid w:val="00820628"/>
    <w:rsid w:val="00820651"/>
    <w:rsid w:val="008208CE"/>
    <w:rsid w:val="00820BA5"/>
    <w:rsid w:val="008210F8"/>
    <w:rsid w:val="0082117F"/>
    <w:rsid w:val="00821198"/>
    <w:rsid w:val="00821233"/>
    <w:rsid w:val="00821328"/>
    <w:rsid w:val="008217FF"/>
    <w:rsid w:val="00821B09"/>
    <w:rsid w:val="00821FCB"/>
    <w:rsid w:val="00822469"/>
    <w:rsid w:val="00822762"/>
    <w:rsid w:val="008228D8"/>
    <w:rsid w:val="00822CB7"/>
    <w:rsid w:val="008232E3"/>
    <w:rsid w:val="00823399"/>
    <w:rsid w:val="00823954"/>
    <w:rsid w:val="008239E9"/>
    <w:rsid w:val="00823A35"/>
    <w:rsid w:val="00823AE3"/>
    <w:rsid w:val="00823DA4"/>
    <w:rsid w:val="008240B7"/>
    <w:rsid w:val="00824350"/>
    <w:rsid w:val="008246AB"/>
    <w:rsid w:val="0082487E"/>
    <w:rsid w:val="008248D3"/>
    <w:rsid w:val="00824A78"/>
    <w:rsid w:val="00824B31"/>
    <w:rsid w:val="00824C1F"/>
    <w:rsid w:val="00824E8D"/>
    <w:rsid w:val="00825660"/>
    <w:rsid w:val="008256E4"/>
    <w:rsid w:val="00825B5A"/>
    <w:rsid w:val="00825DE7"/>
    <w:rsid w:val="00825FE6"/>
    <w:rsid w:val="0082619C"/>
    <w:rsid w:val="00826BFA"/>
    <w:rsid w:val="00826DBD"/>
    <w:rsid w:val="00827381"/>
    <w:rsid w:val="00827DD7"/>
    <w:rsid w:val="0083039C"/>
    <w:rsid w:val="00830455"/>
    <w:rsid w:val="008307BC"/>
    <w:rsid w:val="0083123D"/>
    <w:rsid w:val="00831A0D"/>
    <w:rsid w:val="00831E5E"/>
    <w:rsid w:val="00833209"/>
    <w:rsid w:val="0083393B"/>
    <w:rsid w:val="008345E5"/>
    <w:rsid w:val="00834735"/>
    <w:rsid w:val="00834E52"/>
    <w:rsid w:val="00835703"/>
    <w:rsid w:val="00835C6A"/>
    <w:rsid w:val="00835CE6"/>
    <w:rsid w:val="00836849"/>
    <w:rsid w:val="0083690F"/>
    <w:rsid w:val="00836AD2"/>
    <w:rsid w:val="00836C32"/>
    <w:rsid w:val="00836C45"/>
    <w:rsid w:val="00836EAE"/>
    <w:rsid w:val="008370E3"/>
    <w:rsid w:val="008373F3"/>
    <w:rsid w:val="008375CC"/>
    <w:rsid w:val="008376FB"/>
    <w:rsid w:val="008404DD"/>
    <w:rsid w:val="008407E6"/>
    <w:rsid w:val="0084081C"/>
    <w:rsid w:val="008408ED"/>
    <w:rsid w:val="0084099E"/>
    <w:rsid w:val="008409AB"/>
    <w:rsid w:val="00840CF2"/>
    <w:rsid w:val="00840D70"/>
    <w:rsid w:val="00841170"/>
    <w:rsid w:val="008415CC"/>
    <w:rsid w:val="008417A6"/>
    <w:rsid w:val="00841CF2"/>
    <w:rsid w:val="00841FA6"/>
    <w:rsid w:val="00842141"/>
    <w:rsid w:val="00842434"/>
    <w:rsid w:val="008425F3"/>
    <w:rsid w:val="00842862"/>
    <w:rsid w:val="00842FF3"/>
    <w:rsid w:val="008434D2"/>
    <w:rsid w:val="0084362E"/>
    <w:rsid w:val="00843A41"/>
    <w:rsid w:val="00843D78"/>
    <w:rsid w:val="00843EE4"/>
    <w:rsid w:val="008445D8"/>
    <w:rsid w:val="00844A64"/>
    <w:rsid w:val="00844D49"/>
    <w:rsid w:val="00845199"/>
    <w:rsid w:val="0084528F"/>
    <w:rsid w:val="008453F5"/>
    <w:rsid w:val="00845797"/>
    <w:rsid w:val="00845D55"/>
    <w:rsid w:val="00846C88"/>
    <w:rsid w:val="00847191"/>
    <w:rsid w:val="008472DA"/>
    <w:rsid w:val="00847445"/>
    <w:rsid w:val="00847DFE"/>
    <w:rsid w:val="00850521"/>
    <w:rsid w:val="00850A7F"/>
    <w:rsid w:val="00850D5B"/>
    <w:rsid w:val="00850F2C"/>
    <w:rsid w:val="00851111"/>
    <w:rsid w:val="0085155E"/>
    <w:rsid w:val="00851AA0"/>
    <w:rsid w:val="00851EB3"/>
    <w:rsid w:val="00852092"/>
    <w:rsid w:val="00852478"/>
    <w:rsid w:val="008525CF"/>
    <w:rsid w:val="0085263A"/>
    <w:rsid w:val="00852808"/>
    <w:rsid w:val="00852844"/>
    <w:rsid w:val="00852A7E"/>
    <w:rsid w:val="00852E7C"/>
    <w:rsid w:val="008539AF"/>
    <w:rsid w:val="0085412A"/>
    <w:rsid w:val="008542CC"/>
    <w:rsid w:val="00854393"/>
    <w:rsid w:val="00854C7A"/>
    <w:rsid w:val="00854E8A"/>
    <w:rsid w:val="00855554"/>
    <w:rsid w:val="00855E87"/>
    <w:rsid w:val="00855E89"/>
    <w:rsid w:val="008565E4"/>
    <w:rsid w:val="008567AF"/>
    <w:rsid w:val="00856AB4"/>
    <w:rsid w:val="00856B6B"/>
    <w:rsid w:val="008579D9"/>
    <w:rsid w:val="00857C93"/>
    <w:rsid w:val="0086028D"/>
    <w:rsid w:val="00860973"/>
    <w:rsid w:val="00860B77"/>
    <w:rsid w:val="00860C5F"/>
    <w:rsid w:val="00860DC1"/>
    <w:rsid w:val="00861063"/>
    <w:rsid w:val="00861117"/>
    <w:rsid w:val="0086112D"/>
    <w:rsid w:val="00861459"/>
    <w:rsid w:val="008616B7"/>
    <w:rsid w:val="0086183E"/>
    <w:rsid w:val="0086260A"/>
    <w:rsid w:val="0086277C"/>
    <w:rsid w:val="008631BF"/>
    <w:rsid w:val="0086323F"/>
    <w:rsid w:val="0086343A"/>
    <w:rsid w:val="008637B0"/>
    <w:rsid w:val="00863AC5"/>
    <w:rsid w:val="00863F83"/>
    <w:rsid w:val="0086401F"/>
    <w:rsid w:val="0086436E"/>
    <w:rsid w:val="008646FA"/>
    <w:rsid w:val="008648B5"/>
    <w:rsid w:val="00864B72"/>
    <w:rsid w:val="00864FFE"/>
    <w:rsid w:val="00865A78"/>
    <w:rsid w:val="00865CC0"/>
    <w:rsid w:val="00865CF2"/>
    <w:rsid w:val="00866134"/>
    <w:rsid w:val="0086617B"/>
    <w:rsid w:val="0086641A"/>
    <w:rsid w:val="00866797"/>
    <w:rsid w:val="00866D9D"/>
    <w:rsid w:val="00866FC1"/>
    <w:rsid w:val="00867A02"/>
    <w:rsid w:val="00867F68"/>
    <w:rsid w:val="0087065D"/>
    <w:rsid w:val="00870CE7"/>
    <w:rsid w:val="00871D57"/>
    <w:rsid w:val="00872254"/>
    <w:rsid w:val="008729CE"/>
    <w:rsid w:val="008729F8"/>
    <w:rsid w:val="00872D13"/>
    <w:rsid w:val="00872F24"/>
    <w:rsid w:val="00873106"/>
    <w:rsid w:val="00873252"/>
    <w:rsid w:val="0087365C"/>
    <w:rsid w:val="008737D3"/>
    <w:rsid w:val="008739EE"/>
    <w:rsid w:val="00873E0E"/>
    <w:rsid w:val="0087435F"/>
    <w:rsid w:val="0087440B"/>
    <w:rsid w:val="0087458B"/>
    <w:rsid w:val="0087487A"/>
    <w:rsid w:val="00874A47"/>
    <w:rsid w:val="00874D28"/>
    <w:rsid w:val="00874E30"/>
    <w:rsid w:val="008752CC"/>
    <w:rsid w:val="00875AD6"/>
    <w:rsid w:val="00875AD9"/>
    <w:rsid w:val="00875D89"/>
    <w:rsid w:val="00875FEF"/>
    <w:rsid w:val="008765CE"/>
    <w:rsid w:val="00876AAA"/>
    <w:rsid w:val="00876C83"/>
    <w:rsid w:val="00876D28"/>
    <w:rsid w:val="00876E64"/>
    <w:rsid w:val="00877313"/>
    <w:rsid w:val="008776B7"/>
    <w:rsid w:val="00877CBF"/>
    <w:rsid w:val="008802A1"/>
    <w:rsid w:val="0088072F"/>
    <w:rsid w:val="00880B7F"/>
    <w:rsid w:val="00880F2A"/>
    <w:rsid w:val="00881378"/>
    <w:rsid w:val="008823F1"/>
    <w:rsid w:val="008827B1"/>
    <w:rsid w:val="008829F4"/>
    <w:rsid w:val="00882A61"/>
    <w:rsid w:val="00882D0F"/>
    <w:rsid w:val="00882D53"/>
    <w:rsid w:val="008831FE"/>
    <w:rsid w:val="00883277"/>
    <w:rsid w:val="00883437"/>
    <w:rsid w:val="008834C5"/>
    <w:rsid w:val="008838DE"/>
    <w:rsid w:val="008839CE"/>
    <w:rsid w:val="00883C24"/>
    <w:rsid w:val="00883D79"/>
    <w:rsid w:val="008841B1"/>
    <w:rsid w:val="008845CE"/>
    <w:rsid w:val="00884AC6"/>
    <w:rsid w:val="00884DCC"/>
    <w:rsid w:val="00884E0E"/>
    <w:rsid w:val="00884E77"/>
    <w:rsid w:val="00885014"/>
    <w:rsid w:val="008853F8"/>
    <w:rsid w:val="008855C8"/>
    <w:rsid w:val="008857FA"/>
    <w:rsid w:val="00885B48"/>
    <w:rsid w:val="008861D9"/>
    <w:rsid w:val="0088625D"/>
    <w:rsid w:val="00886782"/>
    <w:rsid w:val="008867FC"/>
    <w:rsid w:val="00886DCB"/>
    <w:rsid w:val="00887DC0"/>
    <w:rsid w:val="008902D9"/>
    <w:rsid w:val="008908C8"/>
    <w:rsid w:val="008908E8"/>
    <w:rsid w:val="00890AE6"/>
    <w:rsid w:val="00890CAC"/>
    <w:rsid w:val="00890D14"/>
    <w:rsid w:val="008910D8"/>
    <w:rsid w:val="008911B8"/>
    <w:rsid w:val="00891567"/>
    <w:rsid w:val="00891A25"/>
    <w:rsid w:val="00891BAF"/>
    <w:rsid w:val="0089267C"/>
    <w:rsid w:val="008927F1"/>
    <w:rsid w:val="00892921"/>
    <w:rsid w:val="00892B62"/>
    <w:rsid w:val="00892E69"/>
    <w:rsid w:val="008934B0"/>
    <w:rsid w:val="008935B8"/>
    <w:rsid w:val="008939D4"/>
    <w:rsid w:val="00894864"/>
    <w:rsid w:val="00894D22"/>
    <w:rsid w:val="0089530B"/>
    <w:rsid w:val="008953BD"/>
    <w:rsid w:val="00895C6D"/>
    <w:rsid w:val="00895F34"/>
    <w:rsid w:val="00896013"/>
    <w:rsid w:val="0089606B"/>
    <w:rsid w:val="0089686F"/>
    <w:rsid w:val="00896A27"/>
    <w:rsid w:val="00896F76"/>
    <w:rsid w:val="0089776B"/>
    <w:rsid w:val="00897955"/>
    <w:rsid w:val="008979CD"/>
    <w:rsid w:val="00897A8A"/>
    <w:rsid w:val="00897B11"/>
    <w:rsid w:val="00897D24"/>
    <w:rsid w:val="008A0172"/>
    <w:rsid w:val="008A0C17"/>
    <w:rsid w:val="008A1234"/>
    <w:rsid w:val="008A13BA"/>
    <w:rsid w:val="008A18A9"/>
    <w:rsid w:val="008A1F6D"/>
    <w:rsid w:val="008A1FFB"/>
    <w:rsid w:val="008A204B"/>
    <w:rsid w:val="008A25B5"/>
    <w:rsid w:val="008A3A6F"/>
    <w:rsid w:val="008A4095"/>
    <w:rsid w:val="008A4628"/>
    <w:rsid w:val="008A4E20"/>
    <w:rsid w:val="008A56D4"/>
    <w:rsid w:val="008A572F"/>
    <w:rsid w:val="008A5820"/>
    <w:rsid w:val="008A5ACE"/>
    <w:rsid w:val="008A5BE8"/>
    <w:rsid w:val="008A6324"/>
    <w:rsid w:val="008A6B7B"/>
    <w:rsid w:val="008A6FB9"/>
    <w:rsid w:val="008A70E9"/>
    <w:rsid w:val="008A7BEC"/>
    <w:rsid w:val="008A7C9D"/>
    <w:rsid w:val="008A7E0E"/>
    <w:rsid w:val="008A7EB5"/>
    <w:rsid w:val="008B0048"/>
    <w:rsid w:val="008B0375"/>
    <w:rsid w:val="008B09FF"/>
    <w:rsid w:val="008B0A4E"/>
    <w:rsid w:val="008B0B13"/>
    <w:rsid w:val="008B0B9B"/>
    <w:rsid w:val="008B0D32"/>
    <w:rsid w:val="008B0F54"/>
    <w:rsid w:val="008B0FCD"/>
    <w:rsid w:val="008B1FF6"/>
    <w:rsid w:val="008B2BC3"/>
    <w:rsid w:val="008B3000"/>
    <w:rsid w:val="008B344A"/>
    <w:rsid w:val="008B3975"/>
    <w:rsid w:val="008B3C3B"/>
    <w:rsid w:val="008B3D39"/>
    <w:rsid w:val="008B46F5"/>
    <w:rsid w:val="008B47CB"/>
    <w:rsid w:val="008B4AE8"/>
    <w:rsid w:val="008B4B65"/>
    <w:rsid w:val="008B5D84"/>
    <w:rsid w:val="008B5DBE"/>
    <w:rsid w:val="008B5E34"/>
    <w:rsid w:val="008B68A3"/>
    <w:rsid w:val="008B6928"/>
    <w:rsid w:val="008B6A6C"/>
    <w:rsid w:val="008B7AC7"/>
    <w:rsid w:val="008B7D0F"/>
    <w:rsid w:val="008B7FD2"/>
    <w:rsid w:val="008C0C48"/>
    <w:rsid w:val="008C0F32"/>
    <w:rsid w:val="008C1298"/>
    <w:rsid w:val="008C150C"/>
    <w:rsid w:val="008C15A2"/>
    <w:rsid w:val="008C15BB"/>
    <w:rsid w:val="008C1637"/>
    <w:rsid w:val="008C16DC"/>
    <w:rsid w:val="008C1841"/>
    <w:rsid w:val="008C1B1B"/>
    <w:rsid w:val="008C1D39"/>
    <w:rsid w:val="008C1E29"/>
    <w:rsid w:val="008C21DF"/>
    <w:rsid w:val="008C27C6"/>
    <w:rsid w:val="008C28E5"/>
    <w:rsid w:val="008C31AF"/>
    <w:rsid w:val="008C324F"/>
    <w:rsid w:val="008C325C"/>
    <w:rsid w:val="008C365A"/>
    <w:rsid w:val="008C3DD1"/>
    <w:rsid w:val="008C3ECA"/>
    <w:rsid w:val="008C3F5A"/>
    <w:rsid w:val="008C47D0"/>
    <w:rsid w:val="008C490F"/>
    <w:rsid w:val="008C4E5F"/>
    <w:rsid w:val="008C51CE"/>
    <w:rsid w:val="008C52C3"/>
    <w:rsid w:val="008C58BA"/>
    <w:rsid w:val="008C652C"/>
    <w:rsid w:val="008C6886"/>
    <w:rsid w:val="008C6BD2"/>
    <w:rsid w:val="008C6C82"/>
    <w:rsid w:val="008C70AF"/>
    <w:rsid w:val="008C7AD5"/>
    <w:rsid w:val="008C7C09"/>
    <w:rsid w:val="008D006A"/>
    <w:rsid w:val="008D0678"/>
    <w:rsid w:val="008D097F"/>
    <w:rsid w:val="008D09D7"/>
    <w:rsid w:val="008D15F7"/>
    <w:rsid w:val="008D197D"/>
    <w:rsid w:val="008D1CA6"/>
    <w:rsid w:val="008D1E86"/>
    <w:rsid w:val="008D1FDE"/>
    <w:rsid w:val="008D2121"/>
    <w:rsid w:val="008D25FB"/>
    <w:rsid w:val="008D264D"/>
    <w:rsid w:val="008D2665"/>
    <w:rsid w:val="008D26D5"/>
    <w:rsid w:val="008D27CD"/>
    <w:rsid w:val="008D2945"/>
    <w:rsid w:val="008D2A4E"/>
    <w:rsid w:val="008D2D99"/>
    <w:rsid w:val="008D2EB8"/>
    <w:rsid w:val="008D307A"/>
    <w:rsid w:val="008D3320"/>
    <w:rsid w:val="008D351D"/>
    <w:rsid w:val="008D394F"/>
    <w:rsid w:val="008D3BC7"/>
    <w:rsid w:val="008D3F74"/>
    <w:rsid w:val="008D4512"/>
    <w:rsid w:val="008D49F1"/>
    <w:rsid w:val="008D4A92"/>
    <w:rsid w:val="008D4CAB"/>
    <w:rsid w:val="008D5173"/>
    <w:rsid w:val="008D5427"/>
    <w:rsid w:val="008D573E"/>
    <w:rsid w:val="008D58B8"/>
    <w:rsid w:val="008D5B93"/>
    <w:rsid w:val="008D5CFD"/>
    <w:rsid w:val="008D5E8B"/>
    <w:rsid w:val="008D5F61"/>
    <w:rsid w:val="008D6026"/>
    <w:rsid w:val="008D69BC"/>
    <w:rsid w:val="008D6FE2"/>
    <w:rsid w:val="008D73FC"/>
    <w:rsid w:val="008D74B6"/>
    <w:rsid w:val="008D78CA"/>
    <w:rsid w:val="008D7ADE"/>
    <w:rsid w:val="008D7DC7"/>
    <w:rsid w:val="008E003D"/>
    <w:rsid w:val="008E0154"/>
    <w:rsid w:val="008E0D7B"/>
    <w:rsid w:val="008E14BF"/>
    <w:rsid w:val="008E1543"/>
    <w:rsid w:val="008E15B5"/>
    <w:rsid w:val="008E172B"/>
    <w:rsid w:val="008E1796"/>
    <w:rsid w:val="008E1ADA"/>
    <w:rsid w:val="008E1C45"/>
    <w:rsid w:val="008E1D8C"/>
    <w:rsid w:val="008E200D"/>
    <w:rsid w:val="008E227F"/>
    <w:rsid w:val="008E242E"/>
    <w:rsid w:val="008E272C"/>
    <w:rsid w:val="008E2869"/>
    <w:rsid w:val="008E34E4"/>
    <w:rsid w:val="008E3A0D"/>
    <w:rsid w:val="008E3C56"/>
    <w:rsid w:val="008E409D"/>
    <w:rsid w:val="008E416C"/>
    <w:rsid w:val="008E435E"/>
    <w:rsid w:val="008E457B"/>
    <w:rsid w:val="008E4B29"/>
    <w:rsid w:val="008E5447"/>
    <w:rsid w:val="008E55CA"/>
    <w:rsid w:val="008E5963"/>
    <w:rsid w:val="008E5F99"/>
    <w:rsid w:val="008E606A"/>
    <w:rsid w:val="008E61FA"/>
    <w:rsid w:val="008E647B"/>
    <w:rsid w:val="008E675A"/>
    <w:rsid w:val="008E6970"/>
    <w:rsid w:val="008E7B61"/>
    <w:rsid w:val="008E7C1F"/>
    <w:rsid w:val="008F053F"/>
    <w:rsid w:val="008F0970"/>
    <w:rsid w:val="008F0DA5"/>
    <w:rsid w:val="008F0F15"/>
    <w:rsid w:val="008F0FA1"/>
    <w:rsid w:val="008F113B"/>
    <w:rsid w:val="008F1194"/>
    <w:rsid w:val="008F131A"/>
    <w:rsid w:val="008F151F"/>
    <w:rsid w:val="008F1E2E"/>
    <w:rsid w:val="008F2274"/>
    <w:rsid w:val="008F26ED"/>
    <w:rsid w:val="008F2834"/>
    <w:rsid w:val="008F2A6D"/>
    <w:rsid w:val="008F2D63"/>
    <w:rsid w:val="008F3333"/>
    <w:rsid w:val="008F33F8"/>
    <w:rsid w:val="008F38C2"/>
    <w:rsid w:val="008F3970"/>
    <w:rsid w:val="008F3AE2"/>
    <w:rsid w:val="008F3D26"/>
    <w:rsid w:val="008F3D4F"/>
    <w:rsid w:val="008F3E6E"/>
    <w:rsid w:val="008F4256"/>
    <w:rsid w:val="008F521D"/>
    <w:rsid w:val="008F5266"/>
    <w:rsid w:val="008F5334"/>
    <w:rsid w:val="008F57C7"/>
    <w:rsid w:val="008F5CB1"/>
    <w:rsid w:val="008F612E"/>
    <w:rsid w:val="008F6221"/>
    <w:rsid w:val="008F64A2"/>
    <w:rsid w:val="008F67DB"/>
    <w:rsid w:val="008F6991"/>
    <w:rsid w:val="008F6AAF"/>
    <w:rsid w:val="008F6D0D"/>
    <w:rsid w:val="008F6F00"/>
    <w:rsid w:val="008F722B"/>
    <w:rsid w:val="008F7331"/>
    <w:rsid w:val="008F762D"/>
    <w:rsid w:val="008F777B"/>
    <w:rsid w:val="008F790D"/>
    <w:rsid w:val="008F7CCE"/>
    <w:rsid w:val="008F7D81"/>
    <w:rsid w:val="008F7EE9"/>
    <w:rsid w:val="009000B8"/>
    <w:rsid w:val="0090094F"/>
    <w:rsid w:val="00900BDB"/>
    <w:rsid w:val="00901416"/>
    <w:rsid w:val="009023C1"/>
    <w:rsid w:val="00902465"/>
    <w:rsid w:val="00902EBA"/>
    <w:rsid w:val="0090354D"/>
    <w:rsid w:val="00903905"/>
    <w:rsid w:val="0090479C"/>
    <w:rsid w:val="009048F4"/>
    <w:rsid w:val="00904974"/>
    <w:rsid w:val="00904D2C"/>
    <w:rsid w:val="0090563C"/>
    <w:rsid w:val="00905A37"/>
    <w:rsid w:val="00905D6C"/>
    <w:rsid w:val="0090631A"/>
    <w:rsid w:val="009064E2"/>
    <w:rsid w:val="00906B0A"/>
    <w:rsid w:val="00906E5C"/>
    <w:rsid w:val="00906E86"/>
    <w:rsid w:val="00907012"/>
    <w:rsid w:val="009077C7"/>
    <w:rsid w:val="009105DA"/>
    <w:rsid w:val="00910E0A"/>
    <w:rsid w:val="00910E99"/>
    <w:rsid w:val="00911465"/>
    <w:rsid w:val="00911860"/>
    <w:rsid w:val="00911DF4"/>
    <w:rsid w:val="0091220E"/>
    <w:rsid w:val="00912516"/>
    <w:rsid w:val="0091255D"/>
    <w:rsid w:val="009126F5"/>
    <w:rsid w:val="00913485"/>
    <w:rsid w:val="0091375A"/>
    <w:rsid w:val="00913B1A"/>
    <w:rsid w:val="00914264"/>
    <w:rsid w:val="0091465A"/>
    <w:rsid w:val="009150DF"/>
    <w:rsid w:val="009151ED"/>
    <w:rsid w:val="00915368"/>
    <w:rsid w:val="009155E2"/>
    <w:rsid w:val="0091596E"/>
    <w:rsid w:val="009161A1"/>
    <w:rsid w:val="00917140"/>
    <w:rsid w:val="00917157"/>
    <w:rsid w:val="009173BD"/>
    <w:rsid w:val="00917DCF"/>
    <w:rsid w:val="00920132"/>
    <w:rsid w:val="00920216"/>
    <w:rsid w:val="0092028B"/>
    <w:rsid w:val="00920463"/>
    <w:rsid w:val="00920494"/>
    <w:rsid w:val="009205BC"/>
    <w:rsid w:val="00920722"/>
    <w:rsid w:val="009208F0"/>
    <w:rsid w:val="00920903"/>
    <w:rsid w:val="00920A5C"/>
    <w:rsid w:val="00920B68"/>
    <w:rsid w:val="00920C20"/>
    <w:rsid w:val="00920C61"/>
    <w:rsid w:val="0092116A"/>
    <w:rsid w:val="0092144B"/>
    <w:rsid w:val="0092177D"/>
    <w:rsid w:val="009218AD"/>
    <w:rsid w:val="00921C84"/>
    <w:rsid w:val="00921DF5"/>
    <w:rsid w:val="0092257A"/>
    <w:rsid w:val="009228CD"/>
    <w:rsid w:val="00922F1A"/>
    <w:rsid w:val="00922F8B"/>
    <w:rsid w:val="009231E5"/>
    <w:rsid w:val="0092357E"/>
    <w:rsid w:val="009238C7"/>
    <w:rsid w:val="00923D68"/>
    <w:rsid w:val="00924108"/>
    <w:rsid w:val="009245CA"/>
    <w:rsid w:val="009253C7"/>
    <w:rsid w:val="0092582D"/>
    <w:rsid w:val="009258EE"/>
    <w:rsid w:val="00925A4A"/>
    <w:rsid w:val="00925D61"/>
    <w:rsid w:val="0092617A"/>
    <w:rsid w:val="00926E4D"/>
    <w:rsid w:val="009272A0"/>
    <w:rsid w:val="00927477"/>
    <w:rsid w:val="00930019"/>
    <w:rsid w:val="0093033A"/>
    <w:rsid w:val="00930A10"/>
    <w:rsid w:val="00930C77"/>
    <w:rsid w:val="0093118B"/>
    <w:rsid w:val="0093122C"/>
    <w:rsid w:val="00931244"/>
    <w:rsid w:val="0093154E"/>
    <w:rsid w:val="00931B67"/>
    <w:rsid w:val="00931DEB"/>
    <w:rsid w:val="00931EF3"/>
    <w:rsid w:val="009324F9"/>
    <w:rsid w:val="00932923"/>
    <w:rsid w:val="00932BD8"/>
    <w:rsid w:val="00932D99"/>
    <w:rsid w:val="00932E76"/>
    <w:rsid w:val="00932F23"/>
    <w:rsid w:val="00933185"/>
    <w:rsid w:val="0093339B"/>
    <w:rsid w:val="009333A2"/>
    <w:rsid w:val="00933500"/>
    <w:rsid w:val="0093352D"/>
    <w:rsid w:val="00933664"/>
    <w:rsid w:val="00933719"/>
    <w:rsid w:val="00933B0C"/>
    <w:rsid w:val="00933C79"/>
    <w:rsid w:val="009346D3"/>
    <w:rsid w:val="00934DEE"/>
    <w:rsid w:val="00934F7E"/>
    <w:rsid w:val="00935447"/>
    <w:rsid w:val="009357EC"/>
    <w:rsid w:val="009358F0"/>
    <w:rsid w:val="00935AD9"/>
    <w:rsid w:val="00935ADD"/>
    <w:rsid w:val="0093638C"/>
    <w:rsid w:val="0093674B"/>
    <w:rsid w:val="00936D6E"/>
    <w:rsid w:val="00936DB3"/>
    <w:rsid w:val="009370F8"/>
    <w:rsid w:val="009376FF"/>
    <w:rsid w:val="0093791A"/>
    <w:rsid w:val="00937A6B"/>
    <w:rsid w:val="00937FA5"/>
    <w:rsid w:val="0094000C"/>
    <w:rsid w:val="00940185"/>
    <w:rsid w:val="0094076E"/>
    <w:rsid w:val="00940925"/>
    <w:rsid w:val="00940BCD"/>
    <w:rsid w:val="00941279"/>
    <w:rsid w:val="00941858"/>
    <w:rsid w:val="00941AF1"/>
    <w:rsid w:val="00941BBD"/>
    <w:rsid w:val="00941E74"/>
    <w:rsid w:val="00942163"/>
    <w:rsid w:val="00942517"/>
    <w:rsid w:val="009428DF"/>
    <w:rsid w:val="00942C72"/>
    <w:rsid w:val="00942D94"/>
    <w:rsid w:val="0094341D"/>
    <w:rsid w:val="009436FF"/>
    <w:rsid w:val="00944817"/>
    <w:rsid w:val="009453AD"/>
    <w:rsid w:val="00945941"/>
    <w:rsid w:val="00945BC5"/>
    <w:rsid w:val="009461AC"/>
    <w:rsid w:val="009462D5"/>
    <w:rsid w:val="009466B1"/>
    <w:rsid w:val="00946BF2"/>
    <w:rsid w:val="009470F3"/>
    <w:rsid w:val="009475AB"/>
    <w:rsid w:val="009476F7"/>
    <w:rsid w:val="009477C2"/>
    <w:rsid w:val="00947AE1"/>
    <w:rsid w:val="0095013C"/>
    <w:rsid w:val="00950280"/>
    <w:rsid w:val="009503DD"/>
    <w:rsid w:val="00950565"/>
    <w:rsid w:val="00950729"/>
    <w:rsid w:val="00950D43"/>
    <w:rsid w:val="00950EDA"/>
    <w:rsid w:val="00951A1F"/>
    <w:rsid w:val="00951E7B"/>
    <w:rsid w:val="00951E93"/>
    <w:rsid w:val="0095203B"/>
    <w:rsid w:val="0095226D"/>
    <w:rsid w:val="009529E0"/>
    <w:rsid w:val="00952B0D"/>
    <w:rsid w:val="0095350F"/>
    <w:rsid w:val="00953989"/>
    <w:rsid w:val="00953A1D"/>
    <w:rsid w:val="00953EB6"/>
    <w:rsid w:val="0095456C"/>
    <w:rsid w:val="00954692"/>
    <w:rsid w:val="009547B3"/>
    <w:rsid w:val="00954AB5"/>
    <w:rsid w:val="009558B7"/>
    <w:rsid w:val="00955977"/>
    <w:rsid w:val="00955A5A"/>
    <w:rsid w:val="00955AFB"/>
    <w:rsid w:val="00955CF3"/>
    <w:rsid w:val="00955EAF"/>
    <w:rsid w:val="00955F2B"/>
    <w:rsid w:val="00956238"/>
    <w:rsid w:val="009562E8"/>
    <w:rsid w:val="009567EB"/>
    <w:rsid w:val="009568C0"/>
    <w:rsid w:val="00956905"/>
    <w:rsid w:val="00957091"/>
    <w:rsid w:val="009578F9"/>
    <w:rsid w:val="00957A6C"/>
    <w:rsid w:val="00957AFF"/>
    <w:rsid w:val="00957CAF"/>
    <w:rsid w:val="0096018E"/>
    <w:rsid w:val="009612F5"/>
    <w:rsid w:val="009614C6"/>
    <w:rsid w:val="009618E3"/>
    <w:rsid w:val="0096257D"/>
    <w:rsid w:val="00962A42"/>
    <w:rsid w:val="00962A86"/>
    <w:rsid w:val="00962BFB"/>
    <w:rsid w:val="00962E1C"/>
    <w:rsid w:val="0096342E"/>
    <w:rsid w:val="0096349D"/>
    <w:rsid w:val="0096358B"/>
    <w:rsid w:val="009635F7"/>
    <w:rsid w:val="00963CE4"/>
    <w:rsid w:val="00964954"/>
    <w:rsid w:val="009649CE"/>
    <w:rsid w:val="009649FA"/>
    <w:rsid w:val="00964AE8"/>
    <w:rsid w:val="00965165"/>
    <w:rsid w:val="00965213"/>
    <w:rsid w:val="0096523B"/>
    <w:rsid w:val="00965D05"/>
    <w:rsid w:val="00966625"/>
    <w:rsid w:val="00966B7C"/>
    <w:rsid w:val="00966D4B"/>
    <w:rsid w:val="00966DC5"/>
    <w:rsid w:val="00966DEC"/>
    <w:rsid w:val="0096723C"/>
    <w:rsid w:val="00967323"/>
    <w:rsid w:val="009704AD"/>
    <w:rsid w:val="009704C4"/>
    <w:rsid w:val="00970A91"/>
    <w:rsid w:val="00970E7C"/>
    <w:rsid w:val="00970EB2"/>
    <w:rsid w:val="00970FB8"/>
    <w:rsid w:val="00971725"/>
    <w:rsid w:val="009717BA"/>
    <w:rsid w:val="00971BA5"/>
    <w:rsid w:val="00971BB3"/>
    <w:rsid w:val="00971EE8"/>
    <w:rsid w:val="0097211D"/>
    <w:rsid w:val="00972A98"/>
    <w:rsid w:val="00972CE5"/>
    <w:rsid w:val="00972EC5"/>
    <w:rsid w:val="009733F0"/>
    <w:rsid w:val="0097449F"/>
    <w:rsid w:val="00974861"/>
    <w:rsid w:val="00974AAC"/>
    <w:rsid w:val="00974AD0"/>
    <w:rsid w:val="00974BEC"/>
    <w:rsid w:val="009753AB"/>
    <w:rsid w:val="00975991"/>
    <w:rsid w:val="009759D0"/>
    <w:rsid w:val="00975AE1"/>
    <w:rsid w:val="0097611C"/>
    <w:rsid w:val="00976284"/>
    <w:rsid w:val="00976541"/>
    <w:rsid w:val="00976577"/>
    <w:rsid w:val="0097673B"/>
    <w:rsid w:val="009767F9"/>
    <w:rsid w:val="0097683E"/>
    <w:rsid w:val="009768EC"/>
    <w:rsid w:val="00977046"/>
    <w:rsid w:val="00977BE5"/>
    <w:rsid w:val="00977F4A"/>
    <w:rsid w:val="00980380"/>
    <w:rsid w:val="00980CD4"/>
    <w:rsid w:val="00980EDE"/>
    <w:rsid w:val="00980F44"/>
    <w:rsid w:val="0098124C"/>
    <w:rsid w:val="00981453"/>
    <w:rsid w:val="009816C0"/>
    <w:rsid w:val="00981ECA"/>
    <w:rsid w:val="00982965"/>
    <w:rsid w:val="00983216"/>
    <w:rsid w:val="0098336A"/>
    <w:rsid w:val="0098350A"/>
    <w:rsid w:val="00983B44"/>
    <w:rsid w:val="00983C05"/>
    <w:rsid w:val="00983E1E"/>
    <w:rsid w:val="00983E7E"/>
    <w:rsid w:val="0098492B"/>
    <w:rsid w:val="00984C49"/>
    <w:rsid w:val="00984C55"/>
    <w:rsid w:val="00984D08"/>
    <w:rsid w:val="009850C2"/>
    <w:rsid w:val="00985545"/>
    <w:rsid w:val="009859DC"/>
    <w:rsid w:val="00985B20"/>
    <w:rsid w:val="00985D67"/>
    <w:rsid w:val="00985DCF"/>
    <w:rsid w:val="0098641E"/>
    <w:rsid w:val="00986540"/>
    <w:rsid w:val="0098660D"/>
    <w:rsid w:val="00986816"/>
    <w:rsid w:val="00987322"/>
    <w:rsid w:val="00987879"/>
    <w:rsid w:val="00987A12"/>
    <w:rsid w:val="00987A82"/>
    <w:rsid w:val="00987C7D"/>
    <w:rsid w:val="00987D13"/>
    <w:rsid w:val="00990380"/>
    <w:rsid w:val="009908C2"/>
    <w:rsid w:val="00990A81"/>
    <w:rsid w:val="00990A8E"/>
    <w:rsid w:val="00990AA1"/>
    <w:rsid w:val="00990C72"/>
    <w:rsid w:val="0099102F"/>
    <w:rsid w:val="0099111F"/>
    <w:rsid w:val="009913B1"/>
    <w:rsid w:val="00991B5D"/>
    <w:rsid w:val="00991D55"/>
    <w:rsid w:val="00991F34"/>
    <w:rsid w:val="009921DB"/>
    <w:rsid w:val="0099313B"/>
    <w:rsid w:val="00993E7B"/>
    <w:rsid w:val="009940EF"/>
    <w:rsid w:val="0099423E"/>
    <w:rsid w:val="00994A8D"/>
    <w:rsid w:val="00994D06"/>
    <w:rsid w:val="00994EEF"/>
    <w:rsid w:val="00994FCD"/>
    <w:rsid w:val="009952D0"/>
    <w:rsid w:val="00995A53"/>
    <w:rsid w:val="00995B55"/>
    <w:rsid w:val="00995BB3"/>
    <w:rsid w:val="00995EF4"/>
    <w:rsid w:val="009961A2"/>
    <w:rsid w:val="00996610"/>
    <w:rsid w:val="00996B0D"/>
    <w:rsid w:val="00997162"/>
    <w:rsid w:val="00997A3F"/>
    <w:rsid w:val="00997BE4"/>
    <w:rsid w:val="00997CF0"/>
    <w:rsid w:val="00997D1B"/>
    <w:rsid w:val="00997DAA"/>
    <w:rsid w:val="009A0BBC"/>
    <w:rsid w:val="009A0E8E"/>
    <w:rsid w:val="009A0E90"/>
    <w:rsid w:val="009A1B30"/>
    <w:rsid w:val="009A1C74"/>
    <w:rsid w:val="009A2098"/>
    <w:rsid w:val="009A2666"/>
    <w:rsid w:val="009A28E2"/>
    <w:rsid w:val="009A376D"/>
    <w:rsid w:val="009A38A4"/>
    <w:rsid w:val="009A3C0C"/>
    <w:rsid w:val="009A3E43"/>
    <w:rsid w:val="009A4081"/>
    <w:rsid w:val="009A41AD"/>
    <w:rsid w:val="009A45D8"/>
    <w:rsid w:val="009A4ECF"/>
    <w:rsid w:val="009A50D1"/>
    <w:rsid w:val="009A5634"/>
    <w:rsid w:val="009A5AFD"/>
    <w:rsid w:val="009A5BBD"/>
    <w:rsid w:val="009A6485"/>
    <w:rsid w:val="009A65EC"/>
    <w:rsid w:val="009A6965"/>
    <w:rsid w:val="009A6E1E"/>
    <w:rsid w:val="009A6E6D"/>
    <w:rsid w:val="009A6EFD"/>
    <w:rsid w:val="009A709A"/>
    <w:rsid w:val="009A70A5"/>
    <w:rsid w:val="009A77CE"/>
    <w:rsid w:val="009B017B"/>
    <w:rsid w:val="009B027B"/>
    <w:rsid w:val="009B063B"/>
    <w:rsid w:val="009B0743"/>
    <w:rsid w:val="009B0B7A"/>
    <w:rsid w:val="009B1004"/>
    <w:rsid w:val="009B10EF"/>
    <w:rsid w:val="009B11A9"/>
    <w:rsid w:val="009B2795"/>
    <w:rsid w:val="009B2859"/>
    <w:rsid w:val="009B2941"/>
    <w:rsid w:val="009B2985"/>
    <w:rsid w:val="009B2CAF"/>
    <w:rsid w:val="009B2E78"/>
    <w:rsid w:val="009B2E83"/>
    <w:rsid w:val="009B3158"/>
    <w:rsid w:val="009B3272"/>
    <w:rsid w:val="009B3351"/>
    <w:rsid w:val="009B35CB"/>
    <w:rsid w:val="009B36D9"/>
    <w:rsid w:val="009B38EB"/>
    <w:rsid w:val="009B39DC"/>
    <w:rsid w:val="009B427E"/>
    <w:rsid w:val="009B4967"/>
    <w:rsid w:val="009B4BC5"/>
    <w:rsid w:val="009B4FCB"/>
    <w:rsid w:val="009B545F"/>
    <w:rsid w:val="009B5493"/>
    <w:rsid w:val="009B55AF"/>
    <w:rsid w:val="009B59E3"/>
    <w:rsid w:val="009B5B60"/>
    <w:rsid w:val="009B5E40"/>
    <w:rsid w:val="009B61E7"/>
    <w:rsid w:val="009B6208"/>
    <w:rsid w:val="009B62EE"/>
    <w:rsid w:val="009B6541"/>
    <w:rsid w:val="009B66D4"/>
    <w:rsid w:val="009B6811"/>
    <w:rsid w:val="009B69F2"/>
    <w:rsid w:val="009B6ADE"/>
    <w:rsid w:val="009B6DDA"/>
    <w:rsid w:val="009B6E12"/>
    <w:rsid w:val="009B7709"/>
    <w:rsid w:val="009B7BB0"/>
    <w:rsid w:val="009C0087"/>
    <w:rsid w:val="009C010F"/>
    <w:rsid w:val="009C07FD"/>
    <w:rsid w:val="009C081E"/>
    <w:rsid w:val="009C0D97"/>
    <w:rsid w:val="009C0F89"/>
    <w:rsid w:val="009C0FA2"/>
    <w:rsid w:val="009C0FD7"/>
    <w:rsid w:val="009C13CF"/>
    <w:rsid w:val="009C16D5"/>
    <w:rsid w:val="009C1D53"/>
    <w:rsid w:val="009C2546"/>
    <w:rsid w:val="009C2588"/>
    <w:rsid w:val="009C28D3"/>
    <w:rsid w:val="009C2B67"/>
    <w:rsid w:val="009C2C5F"/>
    <w:rsid w:val="009C3474"/>
    <w:rsid w:val="009C3508"/>
    <w:rsid w:val="009C4091"/>
    <w:rsid w:val="009C4716"/>
    <w:rsid w:val="009C4760"/>
    <w:rsid w:val="009C5204"/>
    <w:rsid w:val="009C5389"/>
    <w:rsid w:val="009C5437"/>
    <w:rsid w:val="009C5AE2"/>
    <w:rsid w:val="009C5C7C"/>
    <w:rsid w:val="009C60C4"/>
    <w:rsid w:val="009C6198"/>
    <w:rsid w:val="009C6E72"/>
    <w:rsid w:val="009C71AF"/>
    <w:rsid w:val="009C7F93"/>
    <w:rsid w:val="009D00E2"/>
    <w:rsid w:val="009D0376"/>
    <w:rsid w:val="009D0487"/>
    <w:rsid w:val="009D05A5"/>
    <w:rsid w:val="009D0FE5"/>
    <w:rsid w:val="009D1104"/>
    <w:rsid w:val="009D1146"/>
    <w:rsid w:val="009D11D5"/>
    <w:rsid w:val="009D17F2"/>
    <w:rsid w:val="009D1C7D"/>
    <w:rsid w:val="009D1DE1"/>
    <w:rsid w:val="009D1E69"/>
    <w:rsid w:val="009D1F86"/>
    <w:rsid w:val="009D2286"/>
    <w:rsid w:val="009D22F5"/>
    <w:rsid w:val="009D25ED"/>
    <w:rsid w:val="009D26E8"/>
    <w:rsid w:val="009D2B00"/>
    <w:rsid w:val="009D2C35"/>
    <w:rsid w:val="009D2ED6"/>
    <w:rsid w:val="009D30CE"/>
    <w:rsid w:val="009D32C0"/>
    <w:rsid w:val="009D3603"/>
    <w:rsid w:val="009D3770"/>
    <w:rsid w:val="009D3C3F"/>
    <w:rsid w:val="009D3C9D"/>
    <w:rsid w:val="009D3DB3"/>
    <w:rsid w:val="009D43FA"/>
    <w:rsid w:val="009D4D67"/>
    <w:rsid w:val="009D5785"/>
    <w:rsid w:val="009D57E7"/>
    <w:rsid w:val="009D5A09"/>
    <w:rsid w:val="009D5AE5"/>
    <w:rsid w:val="009D635B"/>
    <w:rsid w:val="009D66DC"/>
    <w:rsid w:val="009D6C54"/>
    <w:rsid w:val="009D6D0A"/>
    <w:rsid w:val="009D6DA2"/>
    <w:rsid w:val="009D74E4"/>
    <w:rsid w:val="009D7819"/>
    <w:rsid w:val="009D7F6F"/>
    <w:rsid w:val="009E0393"/>
    <w:rsid w:val="009E07D3"/>
    <w:rsid w:val="009E13F2"/>
    <w:rsid w:val="009E1AA4"/>
    <w:rsid w:val="009E1C70"/>
    <w:rsid w:val="009E1E7F"/>
    <w:rsid w:val="009E215E"/>
    <w:rsid w:val="009E2249"/>
    <w:rsid w:val="009E22C8"/>
    <w:rsid w:val="009E26BD"/>
    <w:rsid w:val="009E2B24"/>
    <w:rsid w:val="009E2F1A"/>
    <w:rsid w:val="009E371F"/>
    <w:rsid w:val="009E39AC"/>
    <w:rsid w:val="009E3AAF"/>
    <w:rsid w:val="009E3CCC"/>
    <w:rsid w:val="009E42F5"/>
    <w:rsid w:val="009E495B"/>
    <w:rsid w:val="009E4D66"/>
    <w:rsid w:val="009E5412"/>
    <w:rsid w:val="009E5E2F"/>
    <w:rsid w:val="009E61B4"/>
    <w:rsid w:val="009E68B8"/>
    <w:rsid w:val="009E77EB"/>
    <w:rsid w:val="009F0582"/>
    <w:rsid w:val="009F06F2"/>
    <w:rsid w:val="009F0792"/>
    <w:rsid w:val="009F0C3E"/>
    <w:rsid w:val="009F1129"/>
    <w:rsid w:val="009F11FD"/>
    <w:rsid w:val="009F1356"/>
    <w:rsid w:val="009F1CDA"/>
    <w:rsid w:val="009F238C"/>
    <w:rsid w:val="009F23D4"/>
    <w:rsid w:val="009F29C4"/>
    <w:rsid w:val="009F2FAA"/>
    <w:rsid w:val="009F2FAE"/>
    <w:rsid w:val="009F30AD"/>
    <w:rsid w:val="009F31BF"/>
    <w:rsid w:val="009F38CE"/>
    <w:rsid w:val="009F3C70"/>
    <w:rsid w:val="009F41C9"/>
    <w:rsid w:val="009F431A"/>
    <w:rsid w:val="009F4943"/>
    <w:rsid w:val="009F4BE0"/>
    <w:rsid w:val="009F4C81"/>
    <w:rsid w:val="009F508F"/>
    <w:rsid w:val="009F55DB"/>
    <w:rsid w:val="009F5ACD"/>
    <w:rsid w:val="009F5C3C"/>
    <w:rsid w:val="009F6297"/>
    <w:rsid w:val="009F6323"/>
    <w:rsid w:val="009F635E"/>
    <w:rsid w:val="009F65F4"/>
    <w:rsid w:val="009F684C"/>
    <w:rsid w:val="009F694D"/>
    <w:rsid w:val="009F6B1D"/>
    <w:rsid w:val="009F727C"/>
    <w:rsid w:val="009F7812"/>
    <w:rsid w:val="009F795E"/>
    <w:rsid w:val="009F7DD6"/>
    <w:rsid w:val="00A00187"/>
    <w:rsid w:val="00A00815"/>
    <w:rsid w:val="00A00DD9"/>
    <w:rsid w:val="00A00FA5"/>
    <w:rsid w:val="00A0171D"/>
    <w:rsid w:val="00A01D09"/>
    <w:rsid w:val="00A0257B"/>
    <w:rsid w:val="00A02736"/>
    <w:rsid w:val="00A02937"/>
    <w:rsid w:val="00A02C5D"/>
    <w:rsid w:val="00A03090"/>
    <w:rsid w:val="00A034BF"/>
    <w:rsid w:val="00A035CC"/>
    <w:rsid w:val="00A03C0A"/>
    <w:rsid w:val="00A03FF6"/>
    <w:rsid w:val="00A040FE"/>
    <w:rsid w:val="00A04659"/>
    <w:rsid w:val="00A0492D"/>
    <w:rsid w:val="00A05561"/>
    <w:rsid w:val="00A06278"/>
    <w:rsid w:val="00A0664F"/>
    <w:rsid w:val="00A06813"/>
    <w:rsid w:val="00A06E5F"/>
    <w:rsid w:val="00A06ED9"/>
    <w:rsid w:val="00A070ED"/>
    <w:rsid w:val="00A071F3"/>
    <w:rsid w:val="00A073FC"/>
    <w:rsid w:val="00A0773F"/>
    <w:rsid w:val="00A07801"/>
    <w:rsid w:val="00A07B44"/>
    <w:rsid w:val="00A07DE5"/>
    <w:rsid w:val="00A1004B"/>
    <w:rsid w:val="00A10900"/>
    <w:rsid w:val="00A10C51"/>
    <w:rsid w:val="00A10D23"/>
    <w:rsid w:val="00A10DF2"/>
    <w:rsid w:val="00A10ED4"/>
    <w:rsid w:val="00A110A6"/>
    <w:rsid w:val="00A115F5"/>
    <w:rsid w:val="00A1171E"/>
    <w:rsid w:val="00A12746"/>
    <w:rsid w:val="00A12880"/>
    <w:rsid w:val="00A12E4B"/>
    <w:rsid w:val="00A137C1"/>
    <w:rsid w:val="00A13910"/>
    <w:rsid w:val="00A13DB2"/>
    <w:rsid w:val="00A140D3"/>
    <w:rsid w:val="00A14379"/>
    <w:rsid w:val="00A1446B"/>
    <w:rsid w:val="00A145B6"/>
    <w:rsid w:val="00A14609"/>
    <w:rsid w:val="00A149CE"/>
    <w:rsid w:val="00A14EF0"/>
    <w:rsid w:val="00A153E5"/>
    <w:rsid w:val="00A155C0"/>
    <w:rsid w:val="00A15C29"/>
    <w:rsid w:val="00A15F13"/>
    <w:rsid w:val="00A16369"/>
    <w:rsid w:val="00A167F2"/>
    <w:rsid w:val="00A16A53"/>
    <w:rsid w:val="00A16C4E"/>
    <w:rsid w:val="00A1734F"/>
    <w:rsid w:val="00A1751E"/>
    <w:rsid w:val="00A17ABD"/>
    <w:rsid w:val="00A17EFE"/>
    <w:rsid w:val="00A17F01"/>
    <w:rsid w:val="00A2017F"/>
    <w:rsid w:val="00A201B4"/>
    <w:rsid w:val="00A20C78"/>
    <w:rsid w:val="00A20EF1"/>
    <w:rsid w:val="00A2136A"/>
    <w:rsid w:val="00A215DC"/>
    <w:rsid w:val="00A21648"/>
    <w:rsid w:val="00A21DBE"/>
    <w:rsid w:val="00A21F53"/>
    <w:rsid w:val="00A22086"/>
    <w:rsid w:val="00A22304"/>
    <w:rsid w:val="00A22B05"/>
    <w:rsid w:val="00A22B58"/>
    <w:rsid w:val="00A2312E"/>
    <w:rsid w:val="00A23538"/>
    <w:rsid w:val="00A23692"/>
    <w:rsid w:val="00A2387A"/>
    <w:rsid w:val="00A23CC1"/>
    <w:rsid w:val="00A23D05"/>
    <w:rsid w:val="00A24254"/>
    <w:rsid w:val="00A24261"/>
    <w:rsid w:val="00A24323"/>
    <w:rsid w:val="00A24411"/>
    <w:rsid w:val="00A24847"/>
    <w:rsid w:val="00A2487A"/>
    <w:rsid w:val="00A249CF"/>
    <w:rsid w:val="00A24C52"/>
    <w:rsid w:val="00A2508D"/>
    <w:rsid w:val="00A2512C"/>
    <w:rsid w:val="00A2515B"/>
    <w:rsid w:val="00A2588E"/>
    <w:rsid w:val="00A258FC"/>
    <w:rsid w:val="00A2657A"/>
    <w:rsid w:val="00A2678B"/>
    <w:rsid w:val="00A269B8"/>
    <w:rsid w:val="00A26DD4"/>
    <w:rsid w:val="00A26EDF"/>
    <w:rsid w:val="00A271EC"/>
    <w:rsid w:val="00A27277"/>
    <w:rsid w:val="00A27424"/>
    <w:rsid w:val="00A2778B"/>
    <w:rsid w:val="00A27B51"/>
    <w:rsid w:val="00A27E8C"/>
    <w:rsid w:val="00A30034"/>
    <w:rsid w:val="00A307EC"/>
    <w:rsid w:val="00A308EA"/>
    <w:rsid w:val="00A3092D"/>
    <w:rsid w:val="00A309F0"/>
    <w:rsid w:val="00A309F6"/>
    <w:rsid w:val="00A313FA"/>
    <w:rsid w:val="00A31892"/>
    <w:rsid w:val="00A31E56"/>
    <w:rsid w:val="00A3226D"/>
    <w:rsid w:val="00A3265C"/>
    <w:rsid w:val="00A326E7"/>
    <w:rsid w:val="00A32708"/>
    <w:rsid w:val="00A33532"/>
    <w:rsid w:val="00A34161"/>
    <w:rsid w:val="00A34789"/>
    <w:rsid w:val="00A34D7A"/>
    <w:rsid w:val="00A352D0"/>
    <w:rsid w:val="00A35577"/>
    <w:rsid w:val="00A3604B"/>
    <w:rsid w:val="00A3630E"/>
    <w:rsid w:val="00A3633A"/>
    <w:rsid w:val="00A36D7F"/>
    <w:rsid w:val="00A3706A"/>
    <w:rsid w:val="00A37091"/>
    <w:rsid w:val="00A37BB8"/>
    <w:rsid w:val="00A37C6E"/>
    <w:rsid w:val="00A37D4C"/>
    <w:rsid w:val="00A37D74"/>
    <w:rsid w:val="00A400B1"/>
    <w:rsid w:val="00A40234"/>
    <w:rsid w:val="00A404C6"/>
    <w:rsid w:val="00A40567"/>
    <w:rsid w:val="00A409A4"/>
    <w:rsid w:val="00A410E3"/>
    <w:rsid w:val="00A41630"/>
    <w:rsid w:val="00A41EC4"/>
    <w:rsid w:val="00A41FF8"/>
    <w:rsid w:val="00A4201E"/>
    <w:rsid w:val="00A4236C"/>
    <w:rsid w:val="00A428F6"/>
    <w:rsid w:val="00A42B16"/>
    <w:rsid w:val="00A42D87"/>
    <w:rsid w:val="00A42E03"/>
    <w:rsid w:val="00A42F59"/>
    <w:rsid w:val="00A43306"/>
    <w:rsid w:val="00A437BA"/>
    <w:rsid w:val="00A439FA"/>
    <w:rsid w:val="00A43EF0"/>
    <w:rsid w:val="00A44243"/>
    <w:rsid w:val="00A44BD3"/>
    <w:rsid w:val="00A450C0"/>
    <w:rsid w:val="00A4521D"/>
    <w:rsid w:val="00A45E68"/>
    <w:rsid w:val="00A45E7A"/>
    <w:rsid w:val="00A460FA"/>
    <w:rsid w:val="00A4638D"/>
    <w:rsid w:val="00A465B8"/>
    <w:rsid w:val="00A46861"/>
    <w:rsid w:val="00A46D6F"/>
    <w:rsid w:val="00A46DDD"/>
    <w:rsid w:val="00A4748F"/>
    <w:rsid w:val="00A47618"/>
    <w:rsid w:val="00A47C3B"/>
    <w:rsid w:val="00A50039"/>
    <w:rsid w:val="00A500D2"/>
    <w:rsid w:val="00A50460"/>
    <w:rsid w:val="00A50D33"/>
    <w:rsid w:val="00A50E87"/>
    <w:rsid w:val="00A516D9"/>
    <w:rsid w:val="00A516E8"/>
    <w:rsid w:val="00A51F0A"/>
    <w:rsid w:val="00A52333"/>
    <w:rsid w:val="00A5287E"/>
    <w:rsid w:val="00A528E9"/>
    <w:rsid w:val="00A52C32"/>
    <w:rsid w:val="00A5339B"/>
    <w:rsid w:val="00A536AB"/>
    <w:rsid w:val="00A53838"/>
    <w:rsid w:val="00A53A22"/>
    <w:rsid w:val="00A542D7"/>
    <w:rsid w:val="00A5437F"/>
    <w:rsid w:val="00A54D38"/>
    <w:rsid w:val="00A54EF2"/>
    <w:rsid w:val="00A55175"/>
    <w:rsid w:val="00A55512"/>
    <w:rsid w:val="00A55714"/>
    <w:rsid w:val="00A557B4"/>
    <w:rsid w:val="00A55B0B"/>
    <w:rsid w:val="00A55D48"/>
    <w:rsid w:val="00A55FD6"/>
    <w:rsid w:val="00A560D9"/>
    <w:rsid w:val="00A560EF"/>
    <w:rsid w:val="00A56112"/>
    <w:rsid w:val="00A567DD"/>
    <w:rsid w:val="00A5688A"/>
    <w:rsid w:val="00A56F2D"/>
    <w:rsid w:val="00A57BEB"/>
    <w:rsid w:val="00A57C2C"/>
    <w:rsid w:val="00A601A0"/>
    <w:rsid w:val="00A6032E"/>
    <w:rsid w:val="00A60CBC"/>
    <w:rsid w:val="00A61673"/>
    <w:rsid w:val="00A61BE4"/>
    <w:rsid w:val="00A61DCF"/>
    <w:rsid w:val="00A61E05"/>
    <w:rsid w:val="00A6223B"/>
    <w:rsid w:val="00A62578"/>
    <w:rsid w:val="00A627F2"/>
    <w:rsid w:val="00A63059"/>
    <w:rsid w:val="00A63BB3"/>
    <w:rsid w:val="00A6403D"/>
    <w:rsid w:val="00A64385"/>
    <w:rsid w:val="00A64926"/>
    <w:rsid w:val="00A64EDF"/>
    <w:rsid w:val="00A65015"/>
    <w:rsid w:val="00A650A1"/>
    <w:rsid w:val="00A65252"/>
    <w:rsid w:val="00A654DE"/>
    <w:rsid w:val="00A65F1D"/>
    <w:rsid w:val="00A65F98"/>
    <w:rsid w:val="00A665CF"/>
    <w:rsid w:val="00A66A0C"/>
    <w:rsid w:val="00A66BF2"/>
    <w:rsid w:val="00A66BF9"/>
    <w:rsid w:val="00A67209"/>
    <w:rsid w:val="00A6745F"/>
    <w:rsid w:val="00A6746F"/>
    <w:rsid w:val="00A67B5E"/>
    <w:rsid w:val="00A67CA7"/>
    <w:rsid w:val="00A67CC2"/>
    <w:rsid w:val="00A701BB"/>
    <w:rsid w:val="00A701EC"/>
    <w:rsid w:val="00A70E70"/>
    <w:rsid w:val="00A70F8F"/>
    <w:rsid w:val="00A710FA"/>
    <w:rsid w:val="00A715C6"/>
    <w:rsid w:val="00A715E3"/>
    <w:rsid w:val="00A72084"/>
    <w:rsid w:val="00A725D0"/>
    <w:rsid w:val="00A72A25"/>
    <w:rsid w:val="00A73531"/>
    <w:rsid w:val="00A73832"/>
    <w:rsid w:val="00A73989"/>
    <w:rsid w:val="00A73A32"/>
    <w:rsid w:val="00A745F3"/>
    <w:rsid w:val="00A750E0"/>
    <w:rsid w:val="00A75338"/>
    <w:rsid w:val="00A75B36"/>
    <w:rsid w:val="00A75BB6"/>
    <w:rsid w:val="00A75D97"/>
    <w:rsid w:val="00A75F59"/>
    <w:rsid w:val="00A76020"/>
    <w:rsid w:val="00A76120"/>
    <w:rsid w:val="00A761A2"/>
    <w:rsid w:val="00A765E6"/>
    <w:rsid w:val="00A76896"/>
    <w:rsid w:val="00A76A34"/>
    <w:rsid w:val="00A770E6"/>
    <w:rsid w:val="00A7722A"/>
    <w:rsid w:val="00A77392"/>
    <w:rsid w:val="00A7752F"/>
    <w:rsid w:val="00A77EEF"/>
    <w:rsid w:val="00A802D3"/>
    <w:rsid w:val="00A806FD"/>
    <w:rsid w:val="00A8087D"/>
    <w:rsid w:val="00A80977"/>
    <w:rsid w:val="00A80ACC"/>
    <w:rsid w:val="00A81873"/>
    <w:rsid w:val="00A81DE1"/>
    <w:rsid w:val="00A826F2"/>
    <w:rsid w:val="00A82904"/>
    <w:rsid w:val="00A82B3D"/>
    <w:rsid w:val="00A83A31"/>
    <w:rsid w:val="00A84011"/>
    <w:rsid w:val="00A84021"/>
    <w:rsid w:val="00A84436"/>
    <w:rsid w:val="00A8465D"/>
    <w:rsid w:val="00A84835"/>
    <w:rsid w:val="00A84BB5"/>
    <w:rsid w:val="00A85617"/>
    <w:rsid w:val="00A85729"/>
    <w:rsid w:val="00A85B73"/>
    <w:rsid w:val="00A85BA7"/>
    <w:rsid w:val="00A85C35"/>
    <w:rsid w:val="00A85EC3"/>
    <w:rsid w:val="00A866D2"/>
    <w:rsid w:val="00A8677F"/>
    <w:rsid w:val="00A86860"/>
    <w:rsid w:val="00A86A34"/>
    <w:rsid w:val="00A86C7C"/>
    <w:rsid w:val="00A86D4F"/>
    <w:rsid w:val="00A86D7A"/>
    <w:rsid w:val="00A87385"/>
    <w:rsid w:val="00A9002C"/>
    <w:rsid w:val="00A90A32"/>
    <w:rsid w:val="00A90EF7"/>
    <w:rsid w:val="00A91087"/>
    <w:rsid w:val="00A914EE"/>
    <w:rsid w:val="00A91653"/>
    <w:rsid w:val="00A91756"/>
    <w:rsid w:val="00A9201E"/>
    <w:rsid w:val="00A92061"/>
    <w:rsid w:val="00A92EA0"/>
    <w:rsid w:val="00A9350C"/>
    <w:rsid w:val="00A93996"/>
    <w:rsid w:val="00A94249"/>
    <w:rsid w:val="00A9424D"/>
    <w:rsid w:val="00A94595"/>
    <w:rsid w:val="00A94921"/>
    <w:rsid w:val="00A94BC9"/>
    <w:rsid w:val="00A94BE3"/>
    <w:rsid w:val="00A9562C"/>
    <w:rsid w:val="00A95640"/>
    <w:rsid w:val="00A957D3"/>
    <w:rsid w:val="00A959BC"/>
    <w:rsid w:val="00A95AE0"/>
    <w:rsid w:val="00A95B86"/>
    <w:rsid w:val="00A95E46"/>
    <w:rsid w:val="00A96883"/>
    <w:rsid w:val="00A96AE4"/>
    <w:rsid w:val="00A96FDF"/>
    <w:rsid w:val="00A9737A"/>
    <w:rsid w:val="00A9739A"/>
    <w:rsid w:val="00A97469"/>
    <w:rsid w:val="00A979A0"/>
    <w:rsid w:val="00AA013D"/>
    <w:rsid w:val="00AA0222"/>
    <w:rsid w:val="00AA039D"/>
    <w:rsid w:val="00AA133E"/>
    <w:rsid w:val="00AA1A20"/>
    <w:rsid w:val="00AA1AE6"/>
    <w:rsid w:val="00AA1D2F"/>
    <w:rsid w:val="00AA2562"/>
    <w:rsid w:val="00AA28FB"/>
    <w:rsid w:val="00AA2B90"/>
    <w:rsid w:val="00AA2CBD"/>
    <w:rsid w:val="00AA2D1F"/>
    <w:rsid w:val="00AA2D3F"/>
    <w:rsid w:val="00AA2EE2"/>
    <w:rsid w:val="00AA330C"/>
    <w:rsid w:val="00AA35CA"/>
    <w:rsid w:val="00AA3959"/>
    <w:rsid w:val="00AA3BF6"/>
    <w:rsid w:val="00AA3C60"/>
    <w:rsid w:val="00AA3F29"/>
    <w:rsid w:val="00AA3F76"/>
    <w:rsid w:val="00AA4266"/>
    <w:rsid w:val="00AA473F"/>
    <w:rsid w:val="00AA4951"/>
    <w:rsid w:val="00AA49CC"/>
    <w:rsid w:val="00AA4AB1"/>
    <w:rsid w:val="00AA4BC8"/>
    <w:rsid w:val="00AA501B"/>
    <w:rsid w:val="00AA5480"/>
    <w:rsid w:val="00AA5B9A"/>
    <w:rsid w:val="00AA5C24"/>
    <w:rsid w:val="00AA5CB9"/>
    <w:rsid w:val="00AA5F05"/>
    <w:rsid w:val="00AA6137"/>
    <w:rsid w:val="00AA63BA"/>
    <w:rsid w:val="00AA63BC"/>
    <w:rsid w:val="00AA685E"/>
    <w:rsid w:val="00AA6C57"/>
    <w:rsid w:val="00AA6D61"/>
    <w:rsid w:val="00AA7AB1"/>
    <w:rsid w:val="00AA7E07"/>
    <w:rsid w:val="00AB007C"/>
    <w:rsid w:val="00AB02C5"/>
    <w:rsid w:val="00AB0852"/>
    <w:rsid w:val="00AB0A4D"/>
    <w:rsid w:val="00AB0BAA"/>
    <w:rsid w:val="00AB0BE2"/>
    <w:rsid w:val="00AB0CF1"/>
    <w:rsid w:val="00AB135A"/>
    <w:rsid w:val="00AB167E"/>
    <w:rsid w:val="00AB16D7"/>
    <w:rsid w:val="00AB1DB8"/>
    <w:rsid w:val="00AB1FBA"/>
    <w:rsid w:val="00AB2540"/>
    <w:rsid w:val="00AB2596"/>
    <w:rsid w:val="00AB26EA"/>
    <w:rsid w:val="00AB2C02"/>
    <w:rsid w:val="00AB2FF4"/>
    <w:rsid w:val="00AB3F1F"/>
    <w:rsid w:val="00AB4409"/>
    <w:rsid w:val="00AB4559"/>
    <w:rsid w:val="00AB45B7"/>
    <w:rsid w:val="00AB45C2"/>
    <w:rsid w:val="00AB48DE"/>
    <w:rsid w:val="00AB4B16"/>
    <w:rsid w:val="00AB4FCE"/>
    <w:rsid w:val="00AB509B"/>
    <w:rsid w:val="00AB5708"/>
    <w:rsid w:val="00AB5F9C"/>
    <w:rsid w:val="00AB60F9"/>
    <w:rsid w:val="00AB62AF"/>
    <w:rsid w:val="00AB67D5"/>
    <w:rsid w:val="00AB6EDF"/>
    <w:rsid w:val="00AB70AD"/>
    <w:rsid w:val="00AB7231"/>
    <w:rsid w:val="00AB7E06"/>
    <w:rsid w:val="00AC080B"/>
    <w:rsid w:val="00AC0AC6"/>
    <w:rsid w:val="00AC0B1F"/>
    <w:rsid w:val="00AC0C9C"/>
    <w:rsid w:val="00AC1034"/>
    <w:rsid w:val="00AC11EE"/>
    <w:rsid w:val="00AC14C9"/>
    <w:rsid w:val="00AC1AD6"/>
    <w:rsid w:val="00AC2521"/>
    <w:rsid w:val="00AC2573"/>
    <w:rsid w:val="00AC2DE4"/>
    <w:rsid w:val="00AC2F5C"/>
    <w:rsid w:val="00AC2FC6"/>
    <w:rsid w:val="00AC314B"/>
    <w:rsid w:val="00AC31CF"/>
    <w:rsid w:val="00AC3A1D"/>
    <w:rsid w:val="00AC3A61"/>
    <w:rsid w:val="00AC3C70"/>
    <w:rsid w:val="00AC3EE6"/>
    <w:rsid w:val="00AC455B"/>
    <w:rsid w:val="00AC4582"/>
    <w:rsid w:val="00AC4622"/>
    <w:rsid w:val="00AC4787"/>
    <w:rsid w:val="00AC4C98"/>
    <w:rsid w:val="00AC5366"/>
    <w:rsid w:val="00AC53B3"/>
    <w:rsid w:val="00AC5559"/>
    <w:rsid w:val="00AC61E8"/>
    <w:rsid w:val="00AC6378"/>
    <w:rsid w:val="00AC64FC"/>
    <w:rsid w:val="00AC69D1"/>
    <w:rsid w:val="00AC721A"/>
    <w:rsid w:val="00AC791A"/>
    <w:rsid w:val="00AC79B6"/>
    <w:rsid w:val="00AD01B0"/>
    <w:rsid w:val="00AD0269"/>
    <w:rsid w:val="00AD0291"/>
    <w:rsid w:val="00AD0404"/>
    <w:rsid w:val="00AD072F"/>
    <w:rsid w:val="00AD0B5D"/>
    <w:rsid w:val="00AD118C"/>
    <w:rsid w:val="00AD1212"/>
    <w:rsid w:val="00AD1A12"/>
    <w:rsid w:val="00AD1BA7"/>
    <w:rsid w:val="00AD1EF0"/>
    <w:rsid w:val="00AD2310"/>
    <w:rsid w:val="00AD23EB"/>
    <w:rsid w:val="00AD2582"/>
    <w:rsid w:val="00AD2733"/>
    <w:rsid w:val="00AD275F"/>
    <w:rsid w:val="00AD27EB"/>
    <w:rsid w:val="00AD316B"/>
    <w:rsid w:val="00AD3466"/>
    <w:rsid w:val="00AD34E5"/>
    <w:rsid w:val="00AD3A9F"/>
    <w:rsid w:val="00AD3B10"/>
    <w:rsid w:val="00AD3E72"/>
    <w:rsid w:val="00AD40AE"/>
    <w:rsid w:val="00AD422B"/>
    <w:rsid w:val="00AD44CC"/>
    <w:rsid w:val="00AD4C6D"/>
    <w:rsid w:val="00AD4D03"/>
    <w:rsid w:val="00AD4F85"/>
    <w:rsid w:val="00AD523E"/>
    <w:rsid w:val="00AD55F8"/>
    <w:rsid w:val="00AD571C"/>
    <w:rsid w:val="00AD57A1"/>
    <w:rsid w:val="00AD5973"/>
    <w:rsid w:val="00AD5AE6"/>
    <w:rsid w:val="00AD5B64"/>
    <w:rsid w:val="00AD61AD"/>
    <w:rsid w:val="00AD630D"/>
    <w:rsid w:val="00AD63D5"/>
    <w:rsid w:val="00AD64DF"/>
    <w:rsid w:val="00AD6532"/>
    <w:rsid w:val="00AD6567"/>
    <w:rsid w:val="00AD68ED"/>
    <w:rsid w:val="00AD6F50"/>
    <w:rsid w:val="00AD7EFD"/>
    <w:rsid w:val="00AE0328"/>
    <w:rsid w:val="00AE041F"/>
    <w:rsid w:val="00AE1025"/>
    <w:rsid w:val="00AE131D"/>
    <w:rsid w:val="00AE1568"/>
    <w:rsid w:val="00AE16A3"/>
    <w:rsid w:val="00AE173B"/>
    <w:rsid w:val="00AE17EB"/>
    <w:rsid w:val="00AE1D92"/>
    <w:rsid w:val="00AE1ED2"/>
    <w:rsid w:val="00AE2564"/>
    <w:rsid w:val="00AE25B5"/>
    <w:rsid w:val="00AE2A7B"/>
    <w:rsid w:val="00AE3B08"/>
    <w:rsid w:val="00AE3C5B"/>
    <w:rsid w:val="00AE3F03"/>
    <w:rsid w:val="00AE439B"/>
    <w:rsid w:val="00AE4561"/>
    <w:rsid w:val="00AE45EC"/>
    <w:rsid w:val="00AE49F8"/>
    <w:rsid w:val="00AE4B0E"/>
    <w:rsid w:val="00AE52E5"/>
    <w:rsid w:val="00AE5453"/>
    <w:rsid w:val="00AE5572"/>
    <w:rsid w:val="00AE55F4"/>
    <w:rsid w:val="00AE59B8"/>
    <w:rsid w:val="00AE5A36"/>
    <w:rsid w:val="00AE63FB"/>
    <w:rsid w:val="00AE64F0"/>
    <w:rsid w:val="00AE6905"/>
    <w:rsid w:val="00AE6BCE"/>
    <w:rsid w:val="00AE6D4A"/>
    <w:rsid w:val="00AE77A8"/>
    <w:rsid w:val="00AE79AF"/>
    <w:rsid w:val="00AF00CB"/>
    <w:rsid w:val="00AF04A2"/>
    <w:rsid w:val="00AF0577"/>
    <w:rsid w:val="00AF07DA"/>
    <w:rsid w:val="00AF0971"/>
    <w:rsid w:val="00AF0B6A"/>
    <w:rsid w:val="00AF148C"/>
    <w:rsid w:val="00AF1DED"/>
    <w:rsid w:val="00AF2310"/>
    <w:rsid w:val="00AF2340"/>
    <w:rsid w:val="00AF23C8"/>
    <w:rsid w:val="00AF2477"/>
    <w:rsid w:val="00AF24BD"/>
    <w:rsid w:val="00AF28E8"/>
    <w:rsid w:val="00AF2AE2"/>
    <w:rsid w:val="00AF2E79"/>
    <w:rsid w:val="00AF32D8"/>
    <w:rsid w:val="00AF3AF7"/>
    <w:rsid w:val="00AF40C8"/>
    <w:rsid w:val="00AF4891"/>
    <w:rsid w:val="00AF4FFC"/>
    <w:rsid w:val="00AF5967"/>
    <w:rsid w:val="00AF5B0D"/>
    <w:rsid w:val="00AF5C01"/>
    <w:rsid w:val="00AF5EB3"/>
    <w:rsid w:val="00AF64FB"/>
    <w:rsid w:val="00AF6633"/>
    <w:rsid w:val="00AF728B"/>
    <w:rsid w:val="00AF72B0"/>
    <w:rsid w:val="00AF7A50"/>
    <w:rsid w:val="00AF7BB8"/>
    <w:rsid w:val="00AF7E25"/>
    <w:rsid w:val="00AF7F40"/>
    <w:rsid w:val="00B0035E"/>
    <w:rsid w:val="00B00ABC"/>
    <w:rsid w:val="00B00C80"/>
    <w:rsid w:val="00B0119C"/>
    <w:rsid w:val="00B014F3"/>
    <w:rsid w:val="00B01908"/>
    <w:rsid w:val="00B01B13"/>
    <w:rsid w:val="00B01F0C"/>
    <w:rsid w:val="00B0255A"/>
    <w:rsid w:val="00B02B9E"/>
    <w:rsid w:val="00B034FA"/>
    <w:rsid w:val="00B0377E"/>
    <w:rsid w:val="00B039DA"/>
    <w:rsid w:val="00B03B66"/>
    <w:rsid w:val="00B03F9A"/>
    <w:rsid w:val="00B03FCF"/>
    <w:rsid w:val="00B03FE7"/>
    <w:rsid w:val="00B046E4"/>
    <w:rsid w:val="00B04F64"/>
    <w:rsid w:val="00B05078"/>
    <w:rsid w:val="00B0555A"/>
    <w:rsid w:val="00B0580C"/>
    <w:rsid w:val="00B0585A"/>
    <w:rsid w:val="00B05ADF"/>
    <w:rsid w:val="00B05D89"/>
    <w:rsid w:val="00B06105"/>
    <w:rsid w:val="00B06C51"/>
    <w:rsid w:val="00B06DC3"/>
    <w:rsid w:val="00B071B6"/>
    <w:rsid w:val="00B071D8"/>
    <w:rsid w:val="00B07209"/>
    <w:rsid w:val="00B07244"/>
    <w:rsid w:val="00B07796"/>
    <w:rsid w:val="00B07BA9"/>
    <w:rsid w:val="00B07CA9"/>
    <w:rsid w:val="00B07D19"/>
    <w:rsid w:val="00B10055"/>
    <w:rsid w:val="00B10301"/>
    <w:rsid w:val="00B108E7"/>
    <w:rsid w:val="00B10EAC"/>
    <w:rsid w:val="00B11120"/>
    <w:rsid w:val="00B1141E"/>
    <w:rsid w:val="00B117F3"/>
    <w:rsid w:val="00B11AD9"/>
    <w:rsid w:val="00B11C19"/>
    <w:rsid w:val="00B11E6C"/>
    <w:rsid w:val="00B1209C"/>
    <w:rsid w:val="00B12309"/>
    <w:rsid w:val="00B123EB"/>
    <w:rsid w:val="00B1278B"/>
    <w:rsid w:val="00B12D20"/>
    <w:rsid w:val="00B12DB7"/>
    <w:rsid w:val="00B1319F"/>
    <w:rsid w:val="00B131B6"/>
    <w:rsid w:val="00B13525"/>
    <w:rsid w:val="00B13B5B"/>
    <w:rsid w:val="00B13EED"/>
    <w:rsid w:val="00B14011"/>
    <w:rsid w:val="00B14D67"/>
    <w:rsid w:val="00B15049"/>
    <w:rsid w:val="00B152B6"/>
    <w:rsid w:val="00B158CA"/>
    <w:rsid w:val="00B15ED6"/>
    <w:rsid w:val="00B160A8"/>
    <w:rsid w:val="00B164D3"/>
    <w:rsid w:val="00B16518"/>
    <w:rsid w:val="00B16A95"/>
    <w:rsid w:val="00B16F93"/>
    <w:rsid w:val="00B17077"/>
    <w:rsid w:val="00B17295"/>
    <w:rsid w:val="00B1729D"/>
    <w:rsid w:val="00B176E0"/>
    <w:rsid w:val="00B17FFC"/>
    <w:rsid w:val="00B206BA"/>
    <w:rsid w:val="00B2080A"/>
    <w:rsid w:val="00B20A0C"/>
    <w:rsid w:val="00B212AB"/>
    <w:rsid w:val="00B212C4"/>
    <w:rsid w:val="00B21309"/>
    <w:rsid w:val="00B21552"/>
    <w:rsid w:val="00B21592"/>
    <w:rsid w:val="00B215F5"/>
    <w:rsid w:val="00B219C6"/>
    <w:rsid w:val="00B21E5E"/>
    <w:rsid w:val="00B21EA2"/>
    <w:rsid w:val="00B22826"/>
    <w:rsid w:val="00B228E3"/>
    <w:rsid w:val="00B229EA"/>
    <w:rsid w:val="00B22AF3"/>
    <w:rsid w:val="00B22D5C"/>
    <w:rsid w:val="00B230F6"/>
    <w:rsid w:val="00B23164"/>
    <w:rsid w:val="00B23755"/>
    <w:rsid w:val="00B23E0E"/>
    <w:rsid w:val="00B240C3"/>
    <w:rsid w:val="00B24386"/>
    <w:rsid w:val="00B2459E"/>
    <w:rsid w:val="00B246A3"/>
    <w:rsid w:val="00B24971"/>
    <w:rsid w:val="00B24D02"/>
    <w:rsid w:val="00B25157"/>
    <w:rsid w:val="00B25406"/>
    <w:rsid w:val="00B25856"/>
    <w:rsid w:val="00B25887"/>
    <w:rsid w:val="00B2629B"/>
    <w:rsid w:val="00B2647E"/>
    <w:rsid w:val="00B26B62"/>
    <w:rsid w:val="00B26BA3"/>
    <w:rsid w:val="00B26CB0"/>
    <w:rsid w:val="00B26ED6"/>
    <w:rsid w:val="00B270ED"/>
    <w:rsid w:val="00B27692"/>
    <w:rsid w:val="00B27A54"/>
    <w:rsid w:val="00B27C40"/>
    <w:rsid w:val="00B27E24"/>
    <w:rsid w:val="00B27E9E"/>
    <w:rsid w:val="00B27FCB"/>
    <w:rsid w:val="00B30354"/>
    <w:rsid w:val="00B303B3"/>
    <w:rsid w:val="00B30555"/>
    <w:rsid w:val="00B30783"/>
    <w:rsid w:val="00B30DBC"/>
    <w:rsid w:val="00B30E11"/>
    <w:rsid w:val="00B30EB6"/>
    <w:rsid w:val="00B3136B"/>
    <w:rsid w:val="00B31BAA"/>
    <w:rsid w:val="00B31F3D"/>
    <w:rsid w:val="00B32899"/>
    <w:rsid w:val="00B32ECA"/>
    <w:rsid w:val="00B332B5"/>
    <w:rsid w:val="00B33766"/>
    <w:rsid w:val="00B33897"/>
    <w:rsid w:val="00B33F5C"/>
    <w:rsid w:val="00B33F6A"/>
    <w:rsid w:val="00B34230"/>
    <w:rsid w:val="00B34ACE"/>
    <w:rsid w:val="00B34B42"/>
    <w:rsid w:val="00B34C26"/>
    <w:rsid w:val="00B355FB"/>
    <w:rsid w:val="00B359B5"/>
    <w:rsid w:val="00B35CB6"/>
    <w:rsid w:val="00B35F33"/>
    <w:rsid w:val="00B36139"/>
    <w:rsid w:val="00B3659C"/>
    <w:rsid w:val="00B36ABF"/>
    <w:rsid w:val="00B36D5E"/>
    <w:rsid w:val="00B37001"/>
    <w:rsid w:val="00B37325"/>
    <w:rsid w:val="00B378B9"/>
    <w:rsid w:val="00B37C9D"/>
    <w:rsid w:val="00B37E66"/>
    <w:rsid w:val="00B37FAC"/>
    <w:rsid w:val="00B403EC"/>
    <w:rsid w:val="00B405D5"/>
    <w:rsid w:val="00B40697"/>
    <w:rsid w:val="00B406CF"/>
    <w:rsid w:val="00B4089F"/>
    <w:rsid w:val="00B4099B"/>
    <w:rsid w:val="00B40A0E"/>
    <w:rsid w:val="00B40CFA"/>
    <w:rsid w:val="00B40D60"/>
    <w:rsid w:val="00B419BB"/>
    <w:rsid w:val="00B41C64"/>
    <w:rsid w:val="00B41F0F"/>
    <w:rsid w:val="00B41FB2"/>
    <w:rsid w:val="00B42560"/>
    <w:rsid w:val="00B43466"/>
    <w:rsid w:val="00B43A67"/>
    <w:rsid w:val="00B43BF6"/>
    <w:rsid w:val="00B43DA7"/>
    <w:rsid w:val="00B44D8E"/>
    <w:rsid w:val="00B455AA"/>
    <w:rsid w:val="00B45778"/>
    <w:rsid w:val="00B457A1"/>
    <w:rsid w:val="00B45B7C"/>
    <w:rsid w:val="00B46275"/>
    <w:rsid w:val="00B4630F"/>
    <w:rsid w:val="00B464B1"/>
    <w:rsid w:val="00B46AED"/>
    <w:rsid w:val="00B46C68"/>
    <w:rsid w:val="00B47142"/>
    <w:rsid w:val="00B47170"/>
    <w:rsid w:val="00B4743F"/>
    <w:rsid w:val="00B47653"/>
    <w:rsid w:val="00B47A4A"/>
    <w:rsid w:val="00B47B4B"/>
    <w:rsid w:val="00B47B99"/>
    <w:rsid w:val="00B47BBD"/>
    <w:rsid w:val="00B47D4F"/>
    <w:rsid w:val="00B504B1"/>
    <w:rsid w:val="00B506F2"/>
    <w:rsid w:val="00B50E68"/>
    <w:rsid w:val="00B510A3"/>
    <w:rsid w:val="00B510E3"/>
    <w:rsid w:val="00B511FF"/>
    <w:rsid w:val="00B5139C"/>
    <w:rsid w:val="00B51780"/>
    <w:rsid w:val="00B51B8C"/>
    <w:rsid w:val="00B51C77"/>
    <w:rsid w:val="00B51D18"/>
    <w:rsid w:val="00B51F5C"/>
    <w:rsid w:val="00B520BD"/>
    <w:rsid w:val="00B521AC"/>
    <w:rsid w:val="00B52702"/>
    <w:rsid w:val="00B528FB"/>
    <w:rsid w:val="00B52E66"/>
    <w:rsid w:val="00B5356F"/>
    <w:rsid w:val="00B5395C"/>
    <w:rsid w:val="00B53CCA"/>
    <w:rsid w:val="00B53FB1"/>
    <w:rsid w:val="00B54928"/>
    <w:rsid w:val="00B5498D"/>
    <w:rsid w:val="00B5501D"/>
    <w:rsid w:val="00B55A0F"/>
    <w:rsid w:val="00B55C91"/>
    <w:rsid w:val="00B55D3A"/>
    <w:rsid w:val="00B55DBB"/>
    <w:rsid w:val="00B566CB"/>
    <w:rsid w:val="00B5670B"/>
    <w:rsid w:val="00B56DE2"/>
    <w:rsid w:val="00B56F61"/>
    <w:rsid w:val="00B57BA5"/>
    <w:rsid w:val="00B57D06"/>
    <w:rsid w:val="00B57E25"/>
    <w:rsid w:val="00B57E76"/>
    <w:rsid w:val="00B6088A"/>
    <w:rsid w:val="00B60A61"/>
    <w:rsid w:val="00B60EE7"/>
    <w:rsid w:val="00B61203"/>
    <w:rsid w:val="00B612E1"/>
    <w:rsid w:val="00B61349"/>
    <w:rsid w:val="00B613B9"/>
    <w:rsid w:val="00B6151E"/>
    <w:rsid w:val="00B61ADC"/>
    <w:rsid w:val="00B61C50"/>
    <w:rsid w:val="00B620B2"/>
    <w:rsid w:val="00B62C70"/>
    <w:rsid w:val="00B62CD5"/>
    <w:rsid w:val="00B62EAB"/>
    <w:rsid w:val="00B63354"/>
    <w:rsid w:val="00B637D9"/>
    <w:rsid w:val="00B639DD"/>
    <w:rsid w:val="00B63D33"/>
    <w:rsid w:val="00B6411C"/>
    <w:rsid w:val="00B6440E"/>
    <w:rsid w:val="00B644D4"/>
    <w:rsid w:val="00B64962"/>
    <w:rsid w:val="00B64A4F"/>
    <w:rsid w:val="00B64C94"/>
    <w:rsid w:val="00B64E37"/>
    <w:rsid w:val="00B65305"/>
    <w:rsid w:val="00B657D8"/>
    <w:rsid w:val="00B6588C"/>
    <w:rsid w:val="00B6638F"/>
    <w:rsid w:val="00B668FD"/>
    <w:rsid w:val="00B66A92"/>
    <w:rsid w:val="00B66F60"/>
    <w:rsid w:val="00B676EC"/>
    <w:rsid w:val="00B67CBE"/>
    <w:rsid w:val="00B67DD3"/>
    <w:rsid w:val="00B67DDE"/>
    <w:rsid w:val="00B7016C"/>
    <w:rsid w:val="00B7039B"/>
    <w:rsid w:val="00B70A60"/>
    <w:rsid w:val="00B70D8B"/>
    <w:rsid w:val="00B713BF"/>
    <w:rsid w:val="00B7153E"/>
    <w:rsid w:val="00B718E3"/>
    <w:rsid w:val="00B72325"/>
    <w:rsid w:val="00B7238E"/>
    <w:rsid w:val="00B72455"/>
    <w:rsid w:val="00B7258A"/>
    <w:rsid w:val="00B725BA"/>
    <w:rsid w:val="00B72F15"/>
    <w:rsid w:val="00B732EB"/>
    <w:rsid w:val="00B738DA"/>
    <w:rsid w:val="00B73A99"/>
    <w:rsid w:val="00B73B43"/>
    <w:rsid w:val="00B7431F"/>
    <w:rsid w:val="00B74576"/>
    <w:rsid w:val="00B74C1C"/>
    <w:rsid w:val="00B74D07"/>
    <w:rsid w:val="00B74D1E"/>
    <w:rsid w:val="00B756C8"/>
    <w:rsid w:val="00B75EE9"/>
    <w:rsid w:val="00B76A18"/>
    <w:rsid w:val="00B76AE2"/>
    <w:rsid w:val="00B76CC0"/>
    <w:rsid w:val="00B76CF1"/>
    <w:rsid w:val="00B775B5"/>
    <w:rsid w:val="00B779B8"/>
    <w:rsid w:val="00B77B4C"/>
    <w:rsid w:val="00B80421"/>
    <w:rsid w:val="00B80C8E"/>
    <w:rsid w:val="00B81156"/>
    <w:rsid w:val="00B811FB"/>
    <w:rsid w:val="00B81C95"/>
    <w:rsid w:val="00B81CA2"/>
    <w:rsid w:val="00B81EA7"/>
    <w:rsid w:val="00B82D57"/>
    <w:rsid w:val="00B82DB0"/>
    <w:rsid w:val="00B83000"/>
    <w:rsid w:val="00B8335C"/>
    <w:rsid w:val="00B84167"/>
    <w:rsid w:val="00B8416C"/>
    <w:rsid w:val="00B8441E"/>
    <w:rsid w:val="00B8475A"/>
    <w:rsid w:val="00B84962"/>
    <w:rsid w:val="00B84C6C"/>
    <w:rsid w:val="00B85182"/>
    <w:rsid w:val="00B85A05"/>
    <w:rsid w:val="00B85F33"/>
    <w:rsid w:val="00B86573"/>
    <w:rsid w:val="00B86A72"/>
    <w:rsid w:val="00B87509"/>
    <w:rsid w:val="00B8797F"/>
    <w:rsid w:val="00B901BA"/>
    <w:rsid w:val="00B9027B"/>
    <w:rsid w:val="00B9068B"/>
    <w:rsid w:val="00B90A0F"/>
    <w:rsid w:val="00B90A7B"/>
    <w:rsid w:val="00B90FC9"/>
    <w:rsid w:val="00B910BB"/>
    <w:rsid w:val="00B915B5"/>
    <w:rsid w:val="00B91B5D"/>
    <w:rsid w:val="00B92432"/>
    <w:rsid w:val="00B92521"/>
    <w:rsid w:val="00B92687"/>
    <w:rsid w:val="00B926B5"/>
    <w:rsid w:val="00B926D9"/>
    <w:rsid w:val="00B92912"/>
    <w:rsid w:val="00B92CBA"/>
    <w:rsid w:val="00B92F2C"/>
    <w:rsid w:val="00B93283"/>
    <w:rsid w:val="00B9333F"/>
    <w:rsid w:val="00B93435"/>
    <w:rsid w:val="00B93AE2"/>
    <w:rsid w:val="00B93B65"/>
    <w:rsid w:val="00B93DE3"/>
    <w:rsid w:val="00B9406F"/>
    <w:rsid w:val="00B94248"/>
    <w:rsid w:val="00B942A1"/>
    <w:rsid w:val="00B94511"/>
    <w:rsid w:val="00B94B4F"/>
    <w:rsid w:val="00B9607D"/>
    <w:rsid w:val="00B96450"/>
    <w:rsid w:val="00B966D6"/>
    <w:rsid w:val="00B969A4"/>
    <w:rsid w:val="00B96A83"/>
    <w:rsid w:val="00B96BC6"/>
    <w:rsid w:val="00B976F6"/>
    <w:rsid w:val="00B9778D"/>
    <w:rsid w:val="00B978C6"/>
    <w:rsid w:val="00B97F5B"/>
    <w:rsid w:val="00BA0750"/>
    <w:rsid w:val="00BA1673"/>
    <w:rsid w:val="00BA16E0"/>
    <w:rsid w:val="00BA3310"/>
    <w:rsid w:val="00BA33AE"/>
    <w:rsid w:val="00BA3579"/>
    <w:rsid w:val="00BA3614"/>
    <w:rsid w:val="00BA39B4"/>
    <w:rsid w:val="00BA3A12"/>
    <w:rsid w:val="00BA3B0F"/>
    <w:rsid w:val="00BA4736"/>
    <w:rsid w:val="00BA4742"/>
    <w:rsid w:val="00BA478E"/>
    <w:rsid w:val="00BA50C2"/>
    <w:rsid w:val="00BA5A9F"/>
    <w:rsid w:val="00BA5DE3"/>
    <w:rsid w:val="00BA5F41"/>
    <w:rsid w:val="00BA6279"/>
    <w:rsid w:val="00BA6321"/>
    <w:rsid w:val="00BA66B0"/>
    <w:rsid w:val="00BA6997"/>
    <w:rsid w:val="00BA6B4E"/>
    <w:rsid w:val="00BA71CB"/>
    <w:rsid w:val="00BA7385"/>
    <w:rsid w:val="00BA7576"/>
    <w:rsid w:val="00BA75B0"/>
    <w:rsid w:val="00BA7848"/>
    <w:rsid w:val="00BA7BAE"/>
    <w:rsid w:val="00BA7E5D"/>
    <w:rsid w:val="00BB01BB"/>
    <w:rsid w:val="00BB0563"/>
    <w:rsid w:val="00BB05B0"/>
    <w:rsid w:val="00BB0BF0"/>
    <w:rsid w:val="00BB1178"/>
    <w:rsid w:val="00BB123F"/>
    <w:rsid w:val="00BB146F"/>
    <w:rsid w:val="00BB15C6"/>
    <w:rsid w:val="00BB176C"/>
    <w:rsid w:val="00BB187C"/>
    <w:rsid w:val="00BB1AA4"/>
    <w:rsid w:val="00BB1BCE"/>
    <w:rsid w:val="00BB1CBE"/>
    <w:rsid w:val="00BB1DDF"/>
    <w:rsid w:val="00BB1EF5"/>
    <w:rsid w:val="00BB209C"/>
    <w:rsid w:val="00BB21BC"/>
    <w:rsid w:val="00BB230A"/>
    <w:rsid w:val="00BB296B"/>
    <w:rsid w:val="00BB2A9C"/>
    <w:rsid w:val="00BB2ED6"/>
    <w:rsid w:val="00BB346B"/>
    <w:rsid w:val="00BB354A"/>
    <w:rsid w:val="00BB3622"/>
    <w:rsid w:val="00BB36B6"/>
    <w:rsid w:val="00BB41E6"/>
    <w:rsid w:val="00BB474E"/>
    <w:rsid w:val="00BB5186"/>
    <w:rsid w:val="00BB520F"/>
    <w:rsid w:val="00BB52C9"/>
    <w:rsid w:val="00BB55E8"/>
    <w:rsid w:val="00BB582B"/>
    <w:rsid w:val="00BB5EFC"/>
    <w:rsid w:val="00BB6334"/>
    <w:rsid w:val="00BB682C"/>
    <w:rsid w:val="00BB68AD"/>
    <w:rsid w:val="00BB6F28"/>
    <w:rsid w:val="00BB734C"/>
    <w:rsid w:val="00BB7A39"/>
    <w:rsid w:val="00BB7CA9"/>
    <w:rsid w:val="00BC0569"/>
    <w:rsid w:val="00BC0AAB"/>
    <w:rsid w:val="00BC0D70"/>
    <w:rsid w:val="00BC0FAB"/>
    <w:rsid w:val="00BC1045"/>
    <w:rsid w:val="00BC162F"/>
    <w:rsid w:val="00BC1B9E"/>
    <w:rsid w:val="00BC1D8A"/>
    <w:rsid w:val="00BC1DBD"/>
    <w:rsid w:val="00BC1F26"/>
    <w:rsid w:val="00BC1FBC"/>
    <w:rsid w:val="00BC235E"/>
    <w:rsid w:val="00BC236B"/>
    <w:rsid w:val="00BC25A0"/>
    <w:rsid w:val="00BC266C"/>
    <w:rsid w:val="00BC2880"/>
    <w:rsid w:val="00BC2BB4"/>
    <w:rsid w:val="00BC2F1D"/>
    <w:rsid w:val="00BC36CD"/>
    <w:rsid w:val="00BC3D2A"/>
    <w:rsid w:val="00BC3DF9"/>
    <w:rsid w:val="00BC4118"/>
    <w:rsid w:val="00BC48FB"/>
    <w:rsid w:val="00BC4FBC"/>
    <w:rsid w:val="00BC5207"/>
    <w:rsid w:val="00BC5B95"/>
    <w:rsid w:val="00BC60C2"/>
    <w:rsid w:val="00BC649E"/>
    <w:rsid w:val="00BC65D9"/>
    <w:rsid w:val="00BC6D03"/>
    <w:rsid w:val="00BC6E96"/>
    <w:rsid w:val="00BC7079"/>
    <w:rsid w:val="00BC7BF0"/>
    <w:rsid w:val="00BC7C52"/>
    <w:rsid w:val="00BD03AD"/>
    <w:rsid w:val="00BD085F"/>
    <w:rsid w:val="00BD0CF6"/>
    <w:rsid w:val="00BD0D80"/>
    <w:rsid w:val="00BD0F80"/>
    <w:rsid w:val="00BD119E"/>
    <w:rsid w:val="00BD12A6"/>
    <w:rsid w:val="00BD1408"/>
    <w:rsid w:val="00BD1471"/>
    <w:rsid w:val="00BD14C5"/>
    <w:rsid w:val="00BD164F"/>
    <w:rsid w:val="00BD196A"/>
    <w:rsid w:val="00BD2081"/>
    <w:rsid w:val="00BD2311"/>
    <w:rsid w:val="00BD23E4"/>
    <w:rsid w:val="00BD39F3"/>
    <w:rsid w:val="00BD3E85"/>
    <w:rsid w:val="00BD43F0"/>
    <w:rsid w:val="00BD4739"/>
    <w:rsid w:val="00BD47C1"/>
    <w:rsid w:val="00BD4C4D"/>
    <w:rsid w:val="00BD52E7"/>
    <w:rsid w:val="00BD534E"/>
    <w:rsid w:val="00BD53AE"/>
    <w:rsid w:val="00BD53EC"/>
    <w:rsid w:val="00BD5406"/>
    <w:rsid w:val="00BD582D"/>
    <w:rsid w:val="00BD5DFD"/>
    <w:rsid w:val="00BD61B9"/>
    <w:rsid w:val="00BD6262"/>
    <w:rsid w:val="00BD66F7"/>
    <w:rsid w:val="00BD76BB"/>
    <w:rsid w:val="00BD784F"/>
    <w:rsid w:val="00BD7EED"/>
    <w:rsid w:val="00BE01DD"/>
    <w:rsid w:val="00BE099A"/>
    <w:rsid w:val="00BE0BB9"/>
    <w:rsid w:val="00BE0C21"/>
    <w:rsid w:val="00BE1629"/>
    <w:rsid w:val="00BE162B"/>
    <w:rsid w:val="00BE1966"/>
    <w:rsid w:val="00BE29F5"/>
    <w:rsid w:val="00BE2D52"/>
    <w:rsid w:val="00BE2E34"/>
    <w:rsid w:val="00BE3585"/>
    <w:rsid w:val="00BE3A61"/>
    <w:rsid w:val="00BE3F56"/>
    <w:rsid w:val="00BE4048"/>
    <w:rsid w:val="00BE4541"/>
    <w:rsid w:val="00BE4C48"/>
    <w:rsid w:val="00BE5413"/>
    <w:rsid w:val="00BE541A"/>
    <w:rsid w:val="00BE5949"/>
    <w:rsid w:val="00BE61C1"/>
    <w:rsid w:val="00BE64AF"/>
    <w:rsid w:val="00BE6717"/>
    <w:rsid w:val="00BE67B1"/>
    <w:rsid w:val="00BE7012"/>
    <w:rsid w:val="00BE71DA"/>
    <w:rsid w:val="00BE7463"/>
    <w:rsid w:val="00BE7A7E"/>
    <w:rsid w:val="00BE7D91"/>
    <w:rsid w:val="00BF0219"/>
    <w:rsid w:val="00BF0381"/>
    <w:rsid w:val="00BF0901"/>
    <w:rsid w:val="00BF0D17"/>
    <w:rsid w:val="00BF0DB1"/>
    <w:rsid w:val="00BF142D"/>
    <w:rsid w:val="00BF14F7"/>
    <w:rsid w:val="00BF1B71"/>
    <w:rsid w:val="00BF1F27"/>
    <w:rsid w:val="00BF20DF"/>
    <w:rsid w:val="00BF211B"/>
    <w:rsid w:val="00BF22A6"/>
    <w:rsid w:val="00BF2A26"/>
    <w:rsid w:val="00BF30C8"/>
    <w:rsid w:val="00BF3224"/>
    <w:rsid w:val="00BF34CA"/>
    <w:rsid w:val="00BF3568"/>
    <w:rsid w:val="00BF37DB"/>
    <w:rsid w:val="00BF3A16"/>
    <w:rsid w:val="00BF3BC8"/>
    <w:rsid w:val="00BF3C28"/>
    <w:rsid w:val="00BF3C4D"/>
    <w:rsid w:val="00BF3F69"/>
    <w:rsid w:val="00BF406F"/>
    <w:rsid w:val="00BF446E"/>
    <w:rsid w:val="00BF4876"/>
    <w:rsid w:val="00BF5062"/>
    <w:rsid w:val="00BF5388"/>
    <w:rsid w:val="00BF55A8"/>
    <w:rsid w:val="00BF5768"/>
    <w:rsid w:val="00BF5856"/>
    <w:rsid w:val="00BF59DE"/>
    <w:rsid w:val="00BF6140"/>
    <w:rsid w:val="00BF6348"/>
    <w:rsid w:val="00BF693B"/>
    <w:rsid w:val="00BF6C67"/>
    <w:rsid w:val="00BF6D4F"/>
    <w:rsid w:val="00BF6E7B"/>
    <w:rsid w:val="00BF712B"/>
    <w:rsid w:val="00BF73D8"/>
    <w:rsid w:val="00BF74BB"/>
    <w:rsid w:val="00BF75E4"/>
    <w:rsid w:val="00BF76F1"/>
    <w:rsid w:val="00BF79F6"/>
    <w:rsid w:val="00C002B3"/>
    <w:rsid w:val="00C01021"/>
    <w:rsid w:val="00C0141F"/>
    <w:rsid w:val="00C01758"/>
    <w:rsid w:val="00C017BB"/>
    <w:rsid w:val="00C01B3A"/>
    <w:rsid w:val="00C0208B"/>
    <w:rsid w:val="00C0227A"/>
    <w:rsid w:val="00C023AB"/>
    <w:rsid w:val="00C02563"/>
    <w:rsid w:val="00C02F0B"/>
    <w:rsid w:val="00C03366"/>
    <w:rsid w:val="00C0393B"/>
    <w:rsid w:val="00C039B7"/>
    <w:rsid w:val="00C03A6C"/>
    <w:rsid w:val="00C03B0D"/>
    <w:rsid w:val="00C04173"/>
    <w:rsid w:val="00C048AF"/>
    <w:rsid w:val="00C04BA2"/>
    <w:rsid w:val="00C0535D"/>
    <w:rsid w:val="00C053D0"/>
    <w:rsid w:val="00C05CD5"/>
    <w:rsid w:val="00C06068"/>
    <w:rsid w:val="00C0621F"/>
    <w:rsid w:val="00C06D0B"/>
    <w:rsid w:val="00C06DC3"/>
    <w:rsid w:val="00C0744E"/>
    <w:rsid w:val="00C077E0"/>
    <w:rsid w:val="00C07DE6"/>
    <w:rsid w:val="00C07FE3"/>
    <w:rsid w:val="00C108E8"/>
    <w:rsid w:val="00C10DA6"/>
    <w:rsid w:val="00C1108B"/>
    <w:rsid w:val="00C110E1"/>
    <w:rsid w:val="00C11504"/>
    <w:rsid w:val="00C1191C"/>
    <w:rsid w:val="00C11C25"/>
    <w:rsid w:val="00C11F40"/>
    <w:rsid w:val="00C1262D"/>
    <w:rsid w:val="00C13665"/>
    <w:rsid w:val="00C1369A"/>
    <w:rsid w:val="00C150BE"/>
    <w:rsid w:val="00C151DE"/>
    <w:rsid w:val="00C151E9"/>
    <w:rsid w:val="00C15337"/>
    <w:rsid w:val="00C154B5"/>
    <w:rsid w:val="00C15974"/>
    <w:rsid w:val="00C159D9"/>
    <w:rsid w:val="00C160C1"/>
    <w:rsid w:val="00C16277"/>
    <w:rsid w:val="00C16F27"/>
    <w:rsid w:val="00C17105"/>
    <w:rsid w:val="00C17224"/>
    <w:rsid w:val="00C17264"/>
    <w:rsid w:val="00C1766E"/>
    <w:rsid w:val="00C17843"/>
    <w:rsid w:val="00C17872"/>
    <w:rsid w:val="00C17C37"/>
    <w:rsid w:val="00C17ED2"/>
    <w:rsid w:val="00C201BA"/>
    <w:rsid w:val="00C201C2"/>
    <w:rsid w:val="00C20535"/>
    <w:rsid w:val="00C205C8"/>
    <w:rsid w:val="00C205E9"/>
    <w:rsid w:val="00C2086C"/>
    <w:rsid w:val="00C20A94"/>
    <w:rsid w:val="00C20ACF"/>
    <w:rsid w:val="00C20C71"/>
    <w:rsid w:val="00C20C7B"/>
    <w:rsid w:val="00C20E8A"/>
    <w:rsid w:val="00C21221"/>
    <w:rsid w:val="00C212FC"/>
    <w:rsid w:val="00C217D2"/>
    <w:rsid w:val="00C21A92"/>
    <w:rsid w:val="00C21CDA"/>
    <w:rsid w:val="00C22071"/>
    <w:rsid w:val="00C226B9"/>
    <w:rsid w:val="00C22AB8"/>
    <w:rsid w:val="00C22E45"/>
    <w:rsid w:val="00C232C2"/>
    <w:rsid w:val="00C2349D"/>
    <w:rsid w:val="00C237DD"/>
    <w:rsid w:val="00C23C01"/>
    <w:rsid w:val="00C23F13"/>
    <w:rsid w:val="00C23F48"/>
    <w:rsid w:val="00C23F4E"/>
    <w:rsid w:val="00C24466"/>
    <w:rsid w:val="00C246CF"/>
    <w:rsid w:val="00C24846"/>
    <w:rsid w:val="00C24CD6"/>
    <w:rsid w:val="00C24DA6"/>
    <w:rsid w:val="00C24E3A"/>
    <w:rsid w:val="00C2518C"/>
    <w:rsid w:val="00C25991"/>
    <w:rsid w:val="00C25B5B"/>
    <w:rsid w:val="00C262BD"/>
    <w:rsid w:val="00C26BAA"/>
    <w:rsid w:val="00C274ED"/>
    <w:rsid w:val="00C27508"/>
    <w:rsid w:val="00C2769C"/>
    <w:rsid w:val="00C27BC1"/>
    <w:rsid w:val="00C306F7"/>
    <w:rsid w:val="00C309AC"/>
    <w:rsid w:val="00C30E04"/>
    <w:rsid w:val="00C30EE0"/>
    <w:rsid w:val="00C310C2"/>
    <w:rsid w:val="00C31636"/>
    <w:rsid w:val="00C31D06"/>
    <w:rsid w:val="00C3280B"/>
    <w:rsid w:val="00C330FF"/>
    <w:rsid w:val="00C33D93"/>
    <w:rsid w:val="00C33DDE"/>
    <w:rsid w:val="00C33F5D"/>
    <w:rsid w:val="00C3423A"/>
    <w:rsid w:val="00C34387"/>
    <w:rsid w:val="00C34884"/>
    <w:rsid w:val="00C34ABA"/>
    <w:rsid w:val="00C34BA2"/>
    <w:rsid w:val="00C34FA5"/>
    <w:rsid w:val="00C35485"/>
    <w:rsid w:val="00C355B1"/>
    <w:rsid w:val="00C35B8F"/>
    <w:rsid w:val="00C36525"/>
    <w:rsid w:val="00C369FD"/>
    <w:rsid w:val="00C36E9D"/>
    <w:rsid w:val="00C3743B"/>
    <w:rsid w:val="00C3751B"/>
    <w:rsid w:val="00C377B6"/>
    <w:rsid w:val="00C37B80"/>
    <w:rsid w:val="00C37C0F"/>
    <w:rsid w:val="00C37D57"/>
    <w:rsid w:val="00C37FEA"/>
    <w:rsid w:val="00C40383"/>
    <w:rsid w:val="00C407B4"/>
    <w:rsid w:val="00C40B21"/>
    <w:rsid w:val="00C40EB3"/>
    <w:rsid w:val="00C413F2"/>
    <w:rsid w:val="00C41BD9"/>
    <w:rsid w:val="00C420DA"/>
    <w:rsid w:val="00C428AE"/>
    <w:rsid w:val="00C42D5B"/>
    <w:rsid w:val="00C42EF2"/>
    <w:rsid w:val="00C434FD"/>
    <w:rsid w:val="00C4350E"/>
    <w:rsid w:val="00C43906"/>
    <w:rsid w:val="00C43CD2"/>
    <w:rsid w:val="00C43D77"/>
    <w:rsid w:val="00C43F77"/>
    <w:rsid w:val="00C449ED"/>
    <w:rsid w:val="00C44A4C"/>
    <w:rsid w:val="00C44B4C"/>
    <w:rsid w:val="00C44EA3"/>
    <w:rsid w:val="00C45ADE"/>
    <w:rsid w:val="00C45E32"/>
    <w:rsid w:val="00C46147"/>
    <w:rsid w:val="00C461CE"/>
    <w:rsid w:val="00C4635D"/>
    <w:rsid w:val="00C46408"/>
    <w:rsid w:val="00C47118"/>
    <w:rsid w:val="00C47206"/>
    <w:rsid w:val="00C47766"/>
    <w:rsid w:val="00C47AC7"/>
    <w:rsid w:val="00C47E21"/>
    <w:rsid w:val="00C47E5F"/>
    <w:rsid w:val="00C500ED"/>
    <w:rsid w:val="00C5023F"/>
    <w:rsid w:val="00C5071D"/>
    <w:rsid w:val="00C507DD"/>
    <w:rsid w:val="00C50E3F"/>
    <w:rsid w:val="00C50E61"/>
    <w:rsid w:val="00C51294"/>
    <w:rsid w:val="00C513AF"/>
    <w:rsid w:val="00C51883"/>
    <w:rsid w:val="00C5192E"/>
    <w:rsid w:val="00C519D2"/>
    <w:rsid w:val="00C51C59"/>
    <w:rsid w:val="00C522B9"/>
    <w:rsid w:val="00C526A5"/>
    <w:rsid w:val="00C52DE6"/>
    <w:rsid w:val="00C53211"/>
    <w:rsid w:val="00C53A49"/>
    <w:rsid w:val="00C54ADA"/>
    <w:rsid w:val="00C54CBF"/>
    <w:rsid w:val="00C54E93"/>
    <w:rsid w:val="00C5514E"/>
    <w:rsid w:val="00C55391"/>
    <w:rsid w:val="00C567F2"/>
    <w:rsid w:val="00C56901"/>
    <w:rsid w:val="00C56E9D"/>
    <w:rsid w:val="00C56FE7"/>
    <w:rsid w:val="00C5722A"/>
    <w:rsid w:val="00C574E0"/>
    <w:rsid w:val="00C57B9E"/>
    <w:rsid w:val="00C6016B"/>
    <w:rsid w:val="00C6035E"/>
    <w:rsid w:val="00C61374"/>
    <w:rsid w:val="00C61AEB"/>
    <w:rsid w:val="00C61CE7"/>
    <w:rsid w:val="00C6213A"/>
    <w:rsid w:val="00C62145"/>
    <w:rsid w:val="00C62460"/>
    <w:rsid w:val="00C6274F"/>
    <w:rsid w:val="00C62964"/>
    <w:rsid w:val="00C62BA2"/>
    <w:rsid w:val="00C63029"/>
    <w:rsid w:val="00C634A7"/>
    <w:rsid w:val="00C638D7"/>
    <w:rsid w:val="00C638DF"/>
    <w:rsid w:val="00C63D0E"/>
    <w:rsid w:val="00C64123"/>
    <w:rsid w:val="00C64720"/>
    <w:rsid w:val="00C64BFC"/>
    <w:rsid w:val="00C64C6F"/>
    <w:rsid w:val="00C64E5A"/>
    <w:rsid w:val="00C64F59"/>
    <w:rsid w:val="00C6517F"/>
    <w:rsid w:val="00C6539C"/>
    <w:rsid w:val="00C65636"/>
    <w:rsid w:val="00C6582E"/>
    <w:rsid w:val="00C6589B"/>
    <w:rsid w:val="00C6624B"/>
    <w:rsid w:val="00C6629F"/>
    <w:rsid w:val="00C66373"/>
    <w:rsid w:val="00C66439"/>
    <w:rsid w:val="00C66739"/>
    <w:rsid w:val="00C66986"/>
    <w:rsid w:val="00C66A45"/>
    <w:rsid w:val="00C66EED"/>
    <w:rsid w:val="00C67918"/>
    <w:rsid w:val="00C67BA6"/>
    <w:rsid w:val="00C67C83"/>
    <w:rsid w:val="00C70542"/>
    <w:rsid w:val="00C7063A"/>
    <w:rsid w:val="00C707B2"/>
    <w:rsid w:val="00C70906"/>
    <w:rsid w:val="00C7092F"/>
    <w:rsid w:val="00C70DA3"/>
    <w:rsid w:val="00C71490"/>
    <w:rsid w:val="00C71834"/>
    <w:rsid w:val="00C71920"/>
    <w:rsid w:val="00C72493"/>
    <w:rsid w:val="00C725C2"/>
    <w:rsid w:val="00C725CC"/>
    <w:rsid w:val="00C72875"/>
    <w:rsid w:val="00C72A63"/>
    <w:rsid w:val="00C72E15"/>
    <w:rsid w:val="00C73285"/>
    <w:rsid w:val="00C73723"/>
    <w:rsid w:val="00C73B51"/>
    <w:rsid w:val="00C73C95"/>
    <w:rsid w:val="00C73ECB"/>
    <w:rsid w:val="00C7458A"/>
    <w:rsid w:val="00C74652"/>
    <w:rsid w:val="00C74CD5"/>
    <w:rsid w:val="00C750CE"/>
    <w:rsid w:val="00C75555"/>
    <w:rsid w:val="00C7561C"/>
    <w:rsid w:val="00C75808"/>
    <w:rsid w:val="00C7609F"/>
    <w:rsid w:val="00C76200"/>
    <w:rsid w:val="00C7626B"/>
    <w:rsid w:val="00C76315"/>
    <w:rsid w:val="00C76481"/>
    <w:rsid w:val="00C7650A"/>
    <w:rsid w:val="00C76897"/>
    <w:rsid w:val="00C76C70"/>
    <w:rsid w:val="00C76F42"/>
    <w:rsid w:val="00C770B7"/>
    <w:rsid w:val="00C773E0"/>
    <w:rsid w:val="00C7746F"/>
    <w:rsid w:val="00C77A70"/>
    <w:rsid w:val="00C77DBA"/>
    <w:rsid w:val="00C77F20"/>
    <w:rsid w:val="00C80180"/>
    <w:rsid w:val="00C8026B"/>
    <w:rsid w:val="00C8048D"/>
    <w:rsid w:val="00C804B3"/>
    <w:rsid w:val="00C809B5"/>
    <w:rsid w:val="00C80AE4"/>
    <w:rsid w:val="00C80C29"/>
    <w:rsid w:val="00C811FC"/>
    <w:rsid w:val="00C8137D"/>
    <w:rsid w:val="00C8140F"/>
    <w:rsid w:val="00C816E2"/>
    <w:rsid w:val="00C82537"/>
    <w:rsid w:val="00C8267F"/>
    <w:rsid w:val="00C82D8B"/>
    <w:rsid w:val="00C82F9B"/>
    <w:rsid w:val="00C84238"/>
    <w:rsid w:val="00C843B8"/>
    <w:rsid w:val="00C84656"/>
    <w:rsid w:val="00C8469D"/>
    <w:rsid w:val="00C84AD5"/>
    <w:rsid w:val="00C84EF3"/>
    <w:rsid w:val="00C85025"/>
    <w:rsid w:val="00C85074"/>
    <w:rsid w:val="00C8534F"/>
    <w:rsid w:val="00C857F1"/>
    <w:rsid w:val="00C85B8B"/>
    <w:rsid w:val="00C85DBD"/>
    <w:rsid w:val="00C87186"/>
    <w:rsid w:val="00C871C4"/>
    <w:rsid w:val="00C8726A"/>
    <w:rsid w:val="00C875A6"/>
    <w:rsid w:val="00C875FF"/>
    <w:rsid w:val="00C877DE"/>
    <w:rsid w:val="00C87BA3"/>
    <w:rsid w:val="00C9016C"/>
    <w:rsid w:val="00C90198"/>
    <w:rsid w:val="00C90EF3"/>
    <w:rsid w:val="00C91000"/>
    <w:rsid w:val="00C9101C"/>
    <w:rsid w:val="00C91378"/>
    <w:rsid w:val="00C91EF1"/>
    <w:rsid w:val="00C939B7"/>
    <w:rsid w:val="00C943F4"/>
    <w:rsid w:val="00C94752"/>
    <w:rsid w:val="00C9475E"/>
    <w:rsid w:val="00C952B0"/>
    <w:rsid w:val="00C9645A"/>
    <w:rsid w:val="00C965AB"/>
    <w:rsid w:val="00C966AA"/>
    <w:rsid w:val="00C96B94"/>
    <w:rsid w:val="00C96D33"/>
    <w:rsid w:val="00C97301"/>
    <w:rsid w:val="00C97569"/>
    <w:rsid w:val="00C97696"/>
    <w:rsid w:val="00C97944"/>
    <w:rsid w:val="00C979AF"/>
    <w:rsid w:val="00C97ABE"/>
    <w:rsid w:val="00C97B36"/>
    <w:rsid w:val="00CA0515"/>
    <w:rsid w:val="00CA07BD"/>
    <w:rsid w:val="00CA07FA"/>
    <w:rsid w:val="00CA1130"/>
    <w:rsid w:val="00CA1747"/>
    <w:rsid w:val="00CA1B20"/>
    <w:rsid w:val="00CA1DE4"/>
    <w:rsid w:val="00CA1F39"/>
    <w:rsid w:val="00CA220D"/>
    <w:rsid w:val="00CA2EF1"/>
    <w:rsid w:val="00CA31B5"/>
    <w:rsid w:val="00CA3584"/>
    <w:rsid w:val="00CA38A3"/>
    <w:rsid w:val="00CA3CBF"/>
    <w:rsid w:val="00CA415F"/>
    <w:rsid w:val="00CA41CD"/>
    <w:rsid w:val="00CA4264"/>
    <w:rsid w:val="00CA4923"/>
    <w:rsid w:val="00CA4F8D"/>
    <w:rsid w:val="00CA511F"/>
    <w:rsid w:val="00CA529D"/>
    <w:rsid w:val="00CA539D"/>
    <w:rsid w:val="00CA57BF"/>
    <w:rsid w:val="00CA5EA7"/>
    <w:rsid w:val="00CA6214"/>
    <w:rsid w:val="00CA6267"/>
    <w:rsid w:val="00CA64EE"/>
    <w:rsid w:val="00CA6A8F"/>
    <w:rsid w:val="00CA6E96"/>
    <w:rsid w:val="00CA7087"/>
    <w:rsid w:val="00CA7469"/>
    <w:rsid w:val="00CA7880"/>
    <w:rsid w:val="00CA7BD7"/>
    <w:rsid w:val="00CB026C"/>
    <w:rsid w:val="00CB063B"/>
    <w:rsid w:val="00CB0D1F"/>
    <w:rsid w:val="00CB0DAA"/>
    <w:rsid w:val="00CB11B1"/>
    <w:rsid w:val="00CB1369"/>
    <w:rsid w:val="00CB16DA"/>
    <w:rsid w:val="00CB171C"/>
    <w:rsid w:val="00CB1E55"/>
    <w:rsid w:val="00CB2345"/>
    <w:rsid w:val="00CB2AC0"/>
    <w:rsid w:val="00CB2C14"/>
    <w:rsid w:val="00CB2FC8"/>
    <w:rsid w:val="00CB33A4"/>
    <w:rsid w:val="00CB3F4F"/>
    <w:rsid w:val="00CB42A6"/>
    <w:rsid w:val="00CB4F78"/>
    <w:rsid w:val="00CB5096"/>
    <w:rsid w:val="00CB518F"/>
    <w:rsid w:val="00CB5306"/>
    <w:rsid w:val="00CB538F"/>
    <w:rsid w:val="00CB541C"/>
    <w:rsid w:val="00CB54F4"/>
    <w:rsid w:val="00CB5A49"/>
    <w:rsid w:val="00CB5B07"/>
    <w:rsid w:val="00CB5C15"/>
    <w:rsid w:val="00CB678B"/>
    <w:rsid w:val="00CB6824"/>
    <w:rsid w:val="00CB68CD"/>
    <w:rsid w:val="00CB6F8D"/>
    <w:rsid w:val="00CB73F4"/>
    <w:rsid w:val="00CB786E"/>
    <w:rsid w:val="00CB7BCA"/>
    <w:rsid w:val="00CC01F3"/>
    <w:rsid w:val="00CC02E7"/>
    <w:rsid w:val="00CC03AD"/>
    <w:rsid w:val="00CC07EB"/>
    <w:rsid w:val="00CC09DE"/>
    <w:rsid w:val="00CC0BE3"/>
    <w:rsid w:val="00CC0D45"/>
    <w:rsid w:val="00CC10B0"/>
    <w:rsid w:val="00CC10DA"/>
    <w:rsid w:val="00CC1228"/>
    <w:rsid w:val="00CC171C"/>
    <w:rsid w:val="00CC197B"/>
    <w:rsid w:val="00CC1A21"/>
    <w:rsid w:val="00CC1B25"/>
    <w:rsid w:val="00CC1C43"/>
    <w:rsid w:val="00CC1CC3"/>
    <w:rsid w:val="00CC2406"/>
    <w:rsid w:val="00CC2490"/>
    <w:rsid w:val="00CC2757"/>
    <w:rsid w:val="00CC29F7"/>
    <w:rsid w:val="00CC2AAF"/>
    <w:rsid w:val="00CC2B98"/>
    <w:rsid w:val="00CC2F29"/>
    <w:rsid w:val="00CC35DD"/>
    <w:rsid w:val="00CC366E"/>
    <w:rsid w:val="00CC36FA"/>
    <w:rsid w:val="00CC37BD"/>
    <w:rsid w:val="00CC38F1"/>
    <w:rsid w:val="00CC39C8"/>
    <w:rsid w:val="00CC40BF"/>
    <w:rsid w:val="00CC4306"/>
    <w:rsid w:val="00CC46D1"/>
    <w:rsid w:val="00CC46EC"/>
    <w:rsid w:val="00CC49D6"/>
    <w:rsid w:val="00CC4DF7"/>
    <w:rsid w:val="00CC5B8D"/>
    <w:rsid w:val="00CC5FFC"/>
    <w:rsid w:val="00CC60FE"/>
    <w:rsid w:val="00CC611F"/>
    <w:rsid w:val="00CC6218"/>
    <w:rsid w:val="00CC66DE"/>
    <w:rsid w:val="00CC6B0D"/>
    <w:rsid w:val="00CC6B3B"/>
    <w:rsid w:val="00CC6D44"/>
    <w:rsid w:val="00CC74BB"/>
    <w:rsid w:val="00CC7C0C"/>
    <w:rsid w:val="00CC7C81"/>
    <w:rsid w:val="00CD0796"/>
    <w:rsid w:val="00CD0953"/>
    <w:rsid w:val="00CD0976"/>
    <w:rsid w:val="00CD09DA"/>
    <w:rsid w:val="00CD0BDD"/>
    <w:rsid w:val="00CD0F31"/>
    <w:rsid w:val="00CD1C65"/>
    <w:rsid w:val="00CD211B"/>
    <w:rsid w:val="00CD2227"/>
    <w:rsid w:val="00CD3141"/>
    <w:rsid w:val="00CD3A82"/>
    <w:rsid w:val="00CD3BF0"/>
    <w:rsid w:val="00CD3E6A"/>
    <w:rsid w:val="00CD3ED4"/>
    <w:rsid w:val="00CD40A2"/>
    <w:rsid w:val="00CD43A3"/>
    <w:rsid w:val="00CD456A"/>
    <w:rsid w:val="00CD4A1D"/>
    <w:rsid w:val="00CD5193"/>
    <w:rsid w:val="00CD53F4"/>
    <w:rsid w:val="00CD5694"/>
    <w:rsid w:val="00CD5A68"/>
    <w:rsid w:val="00CD5B2A"/>
    <w:rsid w:val="00CD5DFD"/>
    <w:rsid w:val="00CD5E62"/>
    <w:rsid w:val="00CD6790"/>
    <w:rsid w:val="00CD6B03"/>
    <w:rsid w:val="00CD71DD"/>
    <w:rsid w:val="00CD75E3"/>
    <w:rsid w:val="00CD76F4"/>
    <w:rsid w:val="00CD7845"/>
    <w:rsid w:val="00CD7949"/>
    <w:rsid w:val="00CD7BF9"/>
    <w:rsid w:val="00CD7DE0"/>
    <w:rsid w:val="00CE0CD9"/>
    <w:rsid w:val="00CE1078"/>
    <w:rsid w:val="00CE1A12"/>
    <w:rsid w:val="00CE1C37"/>
    <w:rsid w:val="00CE2000"/>
    <w:rsid w:val="00CE247D"/>
    <w:rsid w:val="00CE2627"/>
    <w:rsid w:val="00CE2EB2"/>
    <w:rsid w:val="00CE303E"/>
    <w:rsid w:val="00CE3E9F"/>
    <w:rsid w:val="00CE47B3"/>
    <w:rsid w:val="00CE48A5"/>
    <w:rsid w:val="00CE496C"/>
    <w:rsid w:val="00CE4A7B"/>
    <w:rsid w:val="00CE4CCA"/>
    <w:rsid w:val="00CE507E"/>
    <w:rsid w:val="00CE51B4"/>
    <w:rsid w:val="00CE525D"/>
    <w:rsid w:val="00CE5275"/>
    <w:rsid w:val="00CE550D"/>
    <w:rsid w:val="00CE55F0"/>
    <w:rsid w:val="00CE596C"/>
    <w:rsid w:val="00CE5B4A"/>
    <w:rsid w:val="00CE5C99"/>
    <w:rsid w:val="00CE5CCE"/>
    <w:rsid w:val="00CE65FA"/>
    <w:rsid w:val="00CE6E3A"/>
    <w:rsid w:val="00CE7135"/>
    <w:rsid w:val="00CE727B"/>
    <w:rsid w:val="00CE7D4F"/>
    <w:rsid w:val="00CE7EBC"/>
    <w:rsid w:val="00CF01E9"/>
    <w:rsid w:val="00CF0A12"/>
    <w:rsid w:val="00CF0A32"/>
    <w:rsid w:val="00CF1240"/>
    <w:rsid w:val="00CF137C"/>
    <w:rsid w:val="00CF154A"/>
    <w:rsid w:val="00CF15A1"/>
    <w:rsid w:val="00CF1A99"/>
    <w:rsid w:val="00CF216A"/>
    <w:rsid w:val="00CF23EE"/>
    <w:rsid w:val="00CF2557"/>
    <w:rsid w:val="00CF30AD"/>
    <w:rsid w:val="00CF314D"/>
    <w:rsid w:val="00CF39E5"/>
    <w:rsid w:val="00CF4040"/>
    <w:rsid w:val="00CF41D3"/>
    <w:rsid w:val="00CF422E"/>
    <w:rsid w:val="00CF4440"/>
    <w:rsid w:val="00CF447B"/>
    <w:rsid w:val="00CF44A8"/>
    <w:rsid w:val="00CF459C"/>
    <w:rsid w:val="00CF473D"/>
    <w:rsid w:val="00CF47FF"/>
    <w:rsid w:val="00CF4EE2"/>
    <w:rsid w:val="00CF5399"/>
    <w:rsid w:val="00CF5748"/>
    <w:rsid w:val="00CF5C61"/>
    <w:rsid w:val="00CF705D"/>
    <w:rsid w:val="00CF75ED"/>
    <w:rsid w:val="00CF78ED"/>
    <w:rsid w:val="00CF7C64"/>
    <w:rsid w:val="00D00384"/>
    <w:rsid w:val="00D00C44"/>
    <w:rsid w:val="00D010B7"/>
    <w:rsid w:val="00D012F4"/>
    <w:rsid w:val="00D016C5"/>
    <w:rsid w:val="00D01765"/>
    <w:rsid w:val="00D01C5E"/>
    <w:rsid w:val="00D02436"/>
    <w:rsid w:val="00D02475"/>
    <w:rsid w:val="00D02537"/>
    <w:rsid w:val="00D0296E"/>
    <w:rsid w:val="00D030F6"/>
    <w:rsid w:val="00D033FB"/>
    <w:rsid w:val="00D03712"/>
    <w:rsid w:val="00D03E0E"/>
    <w:rsid w:val="00D03F26"/>
    <w:rsid w:val="00D045EE"/>
    <w:rsid w:val="00D046C6"/>
    <w:rsid w:val="00D04F8F"/>
    <w:rsid w:val="00D0525B"/>
    <w:rsid w:val="00D0540D"/>
    <w:rsid w:val="00D057E5"/>
    <w:rsid w:val="00D05EE3"/>
    <w:rsid w:val="00D06415"/>
    <w:rsid w:val="00D06752"/>
    <w:rsid w:val="00D06E23"/>
    <w:rsid w:val="00D0706E"/>
    <w:rsid w:val="00D07086"/>
    <w:rsid w:val="00D074C4"/>
    <w:rsid w:val="00D075B7"/>
    <w:rsid w:val="00D10520"/>
    <w:rsid w:val="00D10809"/>
    <w:rsid w:val="00D10DE1"/>
    <w:rsid w:val="00D10F44"/>
    <w:rsid w:val="00D110D9"/>
    <w:rsid w:val="00D11357"/>
    <w:rsid w:val="00D1163C"/>
    <w:rsid w:val="00D11AB9"/>
    <w:rsid w:val="00D11DD7"/>
    <w:rsid w:val="00D11E36"/>
    <w:rsid w:val="00D124FB"/>
    <w:rsid w:val="00D12635"/>
    <w:rsid w:val="00D126F7"/>
    <w:rsid w:val="00D129F5"/>
    <w:rsid w:val="00D12CA5"/>
    <w:rsid w:val="00D12ED3"/>
    <w:rsid w:val="00D12ED9"/>
    <w:rsid w:val="00D13054"/>
    <w:rsid w:val="00D13062"/>
    <w:rsid w:val="00D133CF"/>
    <w:rsid w:val="00D137A5"/>
    <w:rsid w:val="00D141DD"/>
    <w:rsid w:val="00D143D1"/>
    <w:rsid w:val="00D14464"/>
    <w:rsid w:val="00D14709"/>
    <w:rsid w:val="00D147E2"/>
    <w:rsid w:val="00D14907"/>
    <w:rsid w:val="00D1494A"/>
    <w:rsid w:val="00D14A41"/>
    <w:rsid w:val="00D14CA4"/>
    <w:rsid w:val="00D14E2D"/>
    <w:rsid w:val="00D14EDC"/>
    <w:rsid w:val="00D153B7"/>
    <w:rsid w:val="00D15764"/>
    <w:rsid w:val="00D15BDD"/>
    <w:rsid w:val="00D15C47"/>
    <w:rsid w:val="00D15D17"/>
    <w:rsid w:val="00D15F2E"/>
    <w:rsid w:val="00D1605B"/>
    <w:rsid w:val="00D16331"/>
    <w:rsid w:val="00D16594"/>
    <w:rsid w:val="00D16B3F"/>
    <w:rsid w:val="00D16C62"/>
    <w:rsid w:val="00D16FC7"/>
    <w:rsid w:val="00D1763B"/>
    <w:rsid w:val="00D17797"/>
    <w:rsid w:val="00D2055E"/>
    <w:rsid w:val="00D20682"/>
    <w:rsid w:val="00D20830"/>
    <w:rsid w:val="00D21184"/>
    <w:rsid w:val="00D21887"/>
    <w:rsid w:val="00D21CE2"/>
    <w:rsid w:val="00D225D9"/>
    <w:rsid w:val="00D228BD"/>
    <w:rsid w:val="00D22BDB"/>
    <w:rsid w:val="00D22D8C"/>
    <w:rsid w:val="00D23567"/>
    <w:rsid w:val="00D2360A"/>
    <w:rsid w:val="00D239D4"/>
    <w:rsid w:val="00D23DCF"/>
    <w:rsid w:val="00D24695"/>
    <w:rsid w:val="00D25141"/>
    <w:rsid w:val="00D25219"/>
    <w:rsid w:val="00D2545C"/>
    <w:rsid w:val="00D25510"/>
    <w:rsid w:val="00D256AE"/>
    <w:rsid w:val="00D25989"/>
    <w:rsid w:val="00D25C67"/>
    <w:rsid w:val="00D266DE"/>
    <w:rsid w:val="00D26A31"/>
    <w:rsid w:val="00D27203"/>
    <w:rsid w:val="00D275C0"/>
    <w:rsid w:val="00D276E1"/>
    <w:rsid w:val="00D27F10"/>
    <w:rsid w:val="00D30133"/>
    <w:rsid w:val="00D304AD"/>
    <w:rsid w:val="00D30E57"/>
    <w:rsid w:val="00D31689"/>
    <w:rsid w:val="00D316AC"/>
    <w:rsid w:val="00D316BC"/>
    <w:rsid w:val="00D31782"/>
    <w:rsid w:val="00D3193B"/>
    <w:rsid w:val="00D31B68"/>
    <w:rsid w:val="00D31BD9"/>
    <w:rsid w:val="00D3220F"/>
    <w:rsid w:val="00D3248C"/>
    <w:rsid w:val="00D32495"/>
    <w:rsid w:val="00D325D3"/>
    <w:rsid w:val="00D3284F"/>
    <w:rsid w:val="00D32976"/>
    <w:rsid w:val="00D32ADD"/>
    <w:rsid w:val="00D33065"/>
    <w:rsid w:val="00D33223"/>
    <w:rsid w:val="00D336E0"/>
    <w:rsid w:val="00D33B3C"/>
    <w:rsid w:val="00D33B75"/>
    <w:rsid w:val="00D33D7E"/>
    <w:rsid w:val="00D34196"/>
    <w:rsid w:val="00D342E3"/>
    <w:rsid w:val="00D34425"/>
    <w:rsid w:val="00D35213"/>
    <w:rsid w:val="00D35233"/>
    <w:rsid w:val="00D35321"/>
    <w:rsid w:val="00D355E8"/>
    <w:rsid w:val="00D357BD"/>
    <w:rsid w:val="00D35989"/>
    <w:rsid w:val="00D35A60"/>
    <w:rsid w:val="00D35C28"/>
    <w:rsid w:val="00D36360"/>
    <w:rsid w:val="00D36558"/>
    <w:rsid w:val="00D365C7"/>
    <w:rsid w:val="00D36A96"/>
    <w:rsid w:val="00D371DA"/>
    <w:rsid w:val="00D374DF"/>
    <w:rsid w:val="00D377A9"/>
    <w:rsid w:val="00D37AF1"/>
    <w:rsid w:val="00D40392"/>
    <w:rsid w:val="00D41E30"/>
    <w:rsid w:val="00D41FD7"/>
    <w:rsid w:val="00D42143"/>
    <w:rsid w:val="00D42870"/>
    <w:rsid w:val="00D42C5A"/>
    <w:rsid w:val="00D42E64"/>
    <w:rsid w:val="00D42FBB"/>
    <w:rsid w:val="00D43565"/>
    <w:rsid w:val="00D43DD6"/>
    <w:rsid w:val="00D43EAF"/>
    <w:rsid w:val="00D44629"/>
    <w:rsid w:val="00D4463B"/>
    <w:rsid w:val="00D447EB"/>
    <w:rsid w:val="00D44F60"/>
    <w:rsid w:val="00D451E9"/>
    <w:rsid w:val="00D45418"/>
    <w:rsid w:val="00D454EC"/>
    <w:rsid w:val="00D4585F"/>
    <w:rsid w:val="00D46606"/>
    <w:rsid w:val="00D47761"/>
    <w:rsid w:val="00D478C1"/>
    <w:rsid w:val="00D47B51"/>
    <w:rsid w:val="00D47FAC"/>
    <w:rsid w:val="00D5085B"/>
    <w:rsid w:val="00D50862"/>
    <w:rsid w:val="00D5123A"/>
    <w:rsid w:val="00D51C2C"/>
    <w:rsid w:val="00D51E25"/>
    <w:rsid w:val="00D52CFC"/>
    <w:rsid w:val="00D52D50"/>
    <w:rsid w:val="00D53092"/>
    <w:rsid w:val="00D53621"/>
    <w:rsid w:val="00D54D8E"/>
    <w:rsid w:val="00D54E41"/>
    <w:rsid w:val="00D5536A"/>
    <w:rsid w:val="00D5541B"/>
    <w:rsid w:val="00D559E8"/>
    <w:rsid w:val="00D55A36"/>
    <w:rsid w:val="00D55BA7"/>
    <w:rsid w:val="00D56178"/>
    <w:rsid w:val="00D56305"/>
    <w:rsid w:val="00D5658C"/>
    <w:rsid w:val="00D5689A"/>
    <w:rsid w:val="00D56AEF"/>
    <w:rsid w:val="00D56B56"/>
    <w:rsid w:val="00D56BFE"/>
    <w:rsid w:val="00D57072"/>
    <w:rsid w:val="00D570E1"/>
    <w:rsid w:val="00D573CE"/>
    <w:rsid w:val="00D60271"/>
    <w:rsid w:val="00D60337"/>
    <w:rsid w:val="00D603CA"/>
    <w:rsid w:val="00D6052A"/>
    <w:rsid w:val="00D6083B"/>
    <w:rsid w:val="00D60B60"/>
    <w:rsid w:val="00D60C53"/>
    <w:rsid w:val="00D61249"/>
    <w:rsid w:val="00D617A4"/>
    <w:rsid w:val="00D61828"/>
    <w:rsid w:val="00D61AE5"/>
    <w:rsid w:val="00D61C9A"/>
    <w:rsid w:val="00D61E83"/>
    <w:rsid w:val="00D625CE"/>
    <w:rsid w:val="00D62BBB"/>
    <w:rsid w:val="00D62BC6"/>
    <w:rsid w:val="00D631CD"/>
    <w:rsid w:val="00D64483"/>
    <w:rsid w:val="00D6462C"/>
    <w:rsid w:val="00D64636"/>
    <w:rsid w:val="00D64E09"/>
    <w:rsid w:val="00D64F20"/>
    <w:rsid w:val="00D65552"/>
    <w:rsid w:val="00D6560F"/>
    <w:rsid w:val="00D656EB"/>
    <w:rsid w:val="00D6578E"/>
    <w:rsid w:val="00D65951"/>
    <w:rsid w:val="00D65BAB"/>
    <w:rsid w:val="00D662BC"/>
    <w:rsid w:val="00D66840"/>
    <w:rsid w:val="00D668E4"/>
    <w:rsid w:val="00D66ACB"/>
    <w:rsid w:val="00D66ECD"/>
    <w:rsid w:val="00D67466"/>
    <w:rsid w:val="00D6754D"/>
    <w:rsid w:val="00D67BCD"/>
    <w:rsid w:val="00D67D32"/>
    <w:rsid w:val="00D67F7F"/>
    <w:rsid w:val="00D703FA"/>
    <w:rsid w:val="00D7047B"/>
    <w:rsid w:val="00D706EC"/>
    <w:rsid w:val="00D70735"/>
    <w:rsid w:val="00D709A2"/>
    <w:rsid w:val="00D70B28"/>
    <w:rsid w:val="00D70EFC"/>
    <w:rsid w:val="00D713CB"/>
    <w:rsid w:val="00D71501"/>
    <w:rsid w:val="00D71E68"/>
    <w:rsid w:val="00D729A9"/>
    <w:rsid w:val="00D729C5"/>
    <w:rsid w:val="00D72D02"/>
    <w:rsid w:val="00D73054"/>
    <w:rsid w:val="00D734B6"/>
    <w:rsid w:val="00D7353E"/>
    <w:rsid w:val="00D73D6B"/>
    <w:rsid w:val="00D741F4"/>
    <w:rsid w:val="00D74363"/>
    <w:rsid w:val="00D7449A"/>
    <w:rsid w:val="00D74FEC"/>
    <w:rsid w:val="00D75235"/>
    <w:rsid w:val="00D75505"/>
    <w:rsid w:val="00D75C47"/>
    <w:rsid w:val="00D76057"/>
    <w:rsid w:val="00D76083"/>
    <w:rsid w:val="00D76498"/>
    <w:rsid w:val="00D76695"/>
    <w:rsid w:val="00D76BE4"/>
    <w:rsid w:val="00D76C39"/>
    <w:rsid w:val="00D76C51"/>
    <w:rsid w:val="00D76DAF"/>
    <w:rsid w:val="00D77956"/>
    <w:rsid w:val="00D77A18"/>
    <w:rsid w:val="00D77DAB"/>
    <w:rsid w:val="00D77DAD"/>
    <w:rsid w:val="00D80497"/>
    <w:rsid w:val="00D805FB"/>
    <w:rsid w:val="00D80862"/>
    <w:rsid w:val="00D80998"/>
    <w:rsid w:val="00D812F5"/>
    <w:rsid w:val="00D8153A"/>
    <w:rsid w:val="00D81868"/>
    <w:rsid w:val="00D81E8E"/>
    <w:rsid w:val="00D82282"/>
    <w:rsid w:val="00D8228F"/>
    <w:rsid w:val="00D82616"/>
    <w:rsid w:val="00D826DF"/>
    <w:rsid w:val="00D8292E"/>
    <w:rsid w:val="00D82E92"/>
    <w:rsid w:val="00D83458"/>
    <w:rsid w:val="00D835A8"/>
    <w:rsid w:val="00D835D6"/>
    <w:rsid w:val="00D837BD"/>
    <w:rsid w:val="00D83926"/>
    <w:rsid w:val="00D83CB1"/>
    <w:rsid w:val="00D83D02"/>
    <w:rsid w:val="00D83FA1"/>
    <w:rsid w:val="00D84529"/>
    <w:rsid w:val="00D8489E"/>
    <w:rsid w:val="00D8491A"/>
    <w:rsid w:val="00D849F1"/>
    <w:rsid w:val="00D84B8F"/>
    <w:rsid w:val="00D84E4C"/>
    <w:rsid w:val="00D84F2F"/>
    <w:rsid w:val="00D853EF"/>
    <w:rsid w:val="00D856C1"/>
    <w:rsid w:val="00D8579A"/>
    <w:rsid w:val="00D85A11"/>
    <w:rsid w:val="00D85A9B"/>
    <w:rsid w:val="00D85AF6"/>
    <w:rsid w:val="00D85D0F"/>
    <w:rsid w:val="00D85E29"/>
    <w:rsid w:val="00D860A3"/>
    <w:rsid w:val="00D862DA"/>
    <w:rsid w:val="00D8640C"/>
    <w:rsid w:val="00D86456"/>
    <w:rsid w:val="00D86735"/>
    <w:rsid w:val="00D869CF"/>
    <w:rsid w:val="00D86CDD"/>
    <w:rsid w:val="00D86E14"/>
    <w:rsid w:val="00D87091"/>
    <w:rsid w:val="00D870BD"/>
    <w:rsid w:val="00D8734F"/>
    <w:rsid w:val="00D878E2"/>
    <w:rsid w:val="00D87946"/>
    <w:rsid w:val="00D87B39"/>
    <w:rsid w:val="00D9033D"/>
    <w:rsid w:val="00D90581"/>
    <w:rsid w:val="00D909B3"/>
    <w:rsid w:val="00D90CA5"/>
    <w:rsid w:val="00D90ED8"/>
    <w:rsid w:val="00D90F51"/>
    <w:rsid w:val="00D91013"/>
    <w:rsid w:val="00D91917"/>
    <w:rsid w:val="00D91B53"/>
    <w:rsid w:val="00D91C98"/>
    <w:rsid w:val="00D920F5"/>
    <w:rsid w:val="00D921AF"/>
    <w:rsid w:val="00D922B2"/>
    <w:rsid w:val="00D9239A"/>
    <w:rsid w:val="00D923F5"/>
    <w:rsid w:val="00D927B3"/>
    <w:rsid w:val="00D92F54"/>
    <w:rsid w:val="00D93196"/>
    <w:rsid w:val="00D936C9"/>
    <w:rsid w:val="00D9392C"/>
    <w:rsid w:val="00D93AFB"/>
    <w:rsid w:val="00D9460D"/>
    <w:rsid w:val="00D949EB"/>
    <w:rsid w:val="00D94B70"/>
    <w:rsid w:val="00D95208"/>
    <w:rsid w:val="00D96179"/>
    <w:rsid w:val="00D96EB1"/>
    <w:rsid w:val="00D96F7E"/>
    <w:rsid w:val="00D970E8"/>
    <w:rsid w:val="00D97A51"/>
    <w:rsid w:val="00DA0267"/>
    <w:rsid w:val="00DA0299"/>
    <w:rsid w:val="00DA0334"/>
    <w:rsid w:val="00DA073D"/>
    <w:rsid w:val="00DA0B2C"/>
    <w:rsid w:val="00DA104D"/>
    <w:rsid w:val="00DA1395"/>
    <w:rsid w:val="00DA15FD"/>
    <w:rsid w:val="00DA17D5"/>
    <w:rsid w:val="00DA2195"/>
    <w:rsid w:val="00DA23C7"/>
    <w:rsid w:val="00DA2F3F"/>
    <w:rsid w:val="00DA3663"/>
    <w:rsid w:val="00DA3AF5"/>
    <w:rsid w:val="00DA3B3C"/>
    <w:rsid w:val="00DA3D7B"/>
    <w:rsid w:val="00DA3E72"/>
    <w:rsid w:val="00DA3F7D"/>
    <w:rsid w:val="00DA3FA7"/>
    <w:rsid w:val="00DA45E1"/>
    <w:rsid w:val="00DA4DD0"/>
    <w:rsid w:val="00DA532C"/>
    <w:rsid w:val="00DA53DC"/>
    <w:rsid w:val="00DA59B9"/>
    <w:rsid w:val="00DA5B02"/>
    <w:rsid w:val="00DA5D6C"/>
    <w:rsid w:val="00DA5E53"/>
    <w:rsid w:val="00DA638A"/>
    <w:rsid w:val="00DA6531"/>
    <w:rsid w:val="00DA670D"/>
    <w:rsid w:val="00DA6721"/>
    <w:rsid w:val="00DA6C6B"/>
    <w:rsid w:val="00DA6CA5"/>
    <w:rsid w:val="00DA7179"/>
    <w:rsid w:val="00DA7189"/>
    <w:rsid w:val="00DA7370"/>
    <w:rsid w:val="00DA7700"/>
    <w:rsid w:val="00DA7712"/>
    <w:rsid w:val="00DA7A60"/>
    <w:rsid w:val="00DA7CBA"/>
    <w:rsid w:val="00DA7E18"/>
    <w:rsid w:val="00DA7EFC"/>
    <w:rsid w:val="00DB092A"/>
    <w:rsid w:val="00DB0AEE"/>
    <w:rsid w:val="00DB0D04"/>
    <w:rsid w:val="00DB1190"/>
    <w:rsid w:val="00DB131C"/>
    <w:rsid w:val="00DB16C2"/>
    <w:rsid w:val="00DB1756"/>
    <w:rsid w:val="00DB1B7A"/>
    <w:rsid w:val="00DB1E1C"/>
    <w:rsid w:val="00DB1EC7"/>
    <w:rsid w:val="00DB20E4"/>
    <w:rsid w:val="00DB34EE"/>
    <w:rsid w:val="00DB368C"/>
    <w:rsid w:val="00DB36A0"/>
    <w:rsid w:val="00DB376D"/>
    <w:rsid w:val="00DB3FC4"/>
    <w:rsid w:val="00DB4178"/>
    <w:rsid w:val="00DB440C"/>
    <w:rsid w:val="00DB4594"/>
    <w:rsid w:val="00DB46F8"/>
    <w:rsid w:val="00DB4A3A"/>
    <w:rsid w:val="00DB4AA3"/>
    <w:rsid w:val="00DB4C96"/>
    <w:rsid w:val="00DB4F2C"/>
    <w:rsid w:val="00DB58FB"/>
    <w:rsid w:val="00DB5FAC"/>
    <w:rsid w:val="00DB6139"/>
    <w:rsid w:val="00DB64BF"/>
    <w:rsid w:val="00DB68FF"/>
    <w:rsid w:val="00DB7230"/>
    <w:rsid w:val="00DB7367"/>
    <w:rsid w:val="00DB74A7"/>
    <w:rsid w:val="00DB778D"/>
    <w:rsid w:val="00DB77CB"/>
    <w:rsid w:val="00DB795F"/>
    <w:rsid w:val="00DB7A97"/>
    <w:rsid w:val="00DC0005"/>
    <w:rsid w:val="00DC0105"/>
    <w:rsid w:val="00DC03C4"/>
    <w:rsid w:val="00DC05D7"/>
    <w:rsid w:val="00DC097F"/>
    <w:rsid w:val="00DC0A3D"/>
    <w:rsid w:val="00DC0F1A"/>
    <w:rsid w:val="00DC1035"/>
    <w:rsid w:val="00DC1587"/>
    <w:rsid w:val="00DC17D1"/>
    <w:rsid w:val="00DC187B"/>
    <w:rsid w:val="00DC2E59"/>
    <w:rsid w:val="00DC31C3"/>
    <w:rsid w:val="00DC32BA"/>
    <w:rsid w:val="00DC384E"/>
    <w:rsid w:val="00DC3C36"/>
    <w:rsid w:val="00DC3DA3"/>
    <w:rsid w:val="00DC439C"/>
    <w:rsid w:val="00DC44F5"/>
    <w:rsid w:val="00DC489F"/>
    <w:rsid w:val="00DC4EA1"/>
    <w:rsid w:val="00DC51BE"/>
    <w:rsid w:val="00DC5654"/>
    <w:rsid w:val="00DC58EE"/>
    <w:rsid w:val="00DC5A03"/>
    <w:rsid w:val="00DC5CF6"/>
    <w:rsid w:val="00DC5FD8"/>
    <w:rsid w:val="00DC608F"/>
    <w:rsid w:val="00DC6310"/>
    <w:rsid w:val="00DC6467"/>
    <w:rsid w:val="00DC7327"/>
    <w:rsid w:val="00DC7905"/>
    <w:rsid w:val="00DC7ED8"/>
    <w:rsid w:val="00DD0657"/>
    <w:rsid w:val="00DD17DF"/>
    <w:rsid w:val="00DD1B2F"/>
    <w:rsid w:val="00DD21DB"/>
    <w:rsid w:val="00DD23BD"/>
    <w:rsid w:val="00DD24F0"/>
    <w:rsid w:val="00DD2881"/>
    <w:rsid w:val="00DD29DB"/>
    <w:rsid w:val="00DD2B9A"/>
    <w:rsid w:val="00DD3D33"/>
    <w:rsid w:val="00DD4A6A"/>
    <w:rsid w:val="00DD4AA6"/>
    <w:rsid w:val="00DD4C54"/>
    <w:rsid w:val="00DD528C"/>
    <w:rsid w:val="00DD54E6"/>
    <w:rsid w:val="00DD55C6"/>
    <w:rsid w:val="00DD5940"/>
    <w:rsid w:val="00DD5D8E"/>
    <w:rsid w:val="00DD5EA5"/>
    <w:rsid w:val="00DD5FD0"/>
    <w:rsid w:val="00DD6518"/>
    <w:rsid w:val="00DD6537"/>
    <w:rsid w:val="00DD6667"/>
    <w:rsid w:val="00DD6EE5"/>
    <w:rsid w:val="00DD6FAD"/>
    <w:rsid w:val="00DD6FEC"/>
    <w:rsid w:val="00DD74A2"/>
    <w:rsid w:val="00DD7965"/>
    <w:rsid w:val="00DD7997"/>
    <w:rsid w:val="00DD7FB2"/>
    <w:rsid w:val="00DE0339"/>
    <w:rsid w:val="00DE04E3"/>
    <w:rsid w:val="00DE05AB"/>
    <w:rsid w:val="00DE0EB2"/>
    <w:rsid w:val="00DE1110"/>
    <w:rsid w:val="00DE1999"/>
    <w:rsid w:val="00DE211A"/>
    <w:rsid w:val="00DE2172"/>
    <w:rsid w:val="00DE2298"/>
    <w:rsid w:val="00DE2797"/>
    <w:rsid w:val="00DE27AF"/>
    <w:rsid w:val="00DE2BAE"/>
    <w:rsid w:val="00DE33EE"/>
    <w:rsid w:val="00DE3473"/>
    <w:rsid w:val="00DE383B"/>
    <w:rsid w:val="00DE391C"/>
    <w:rsid w:val="00DE3A45"/>
    <w:rsid w:val="00DE419B"/>
    <w:rsid w:val="00DE4303"/>
    <w:rsid w:val="00DE4675"/>
    <w:rsid w:val="00DE4898"/>
    <w:rsid w:val="00DE49BE"/>
    <w:rsid w:val="00DE5276"/>
    <w:rsid w:val="00DE5427"/>
    <w:rsid w:val="00DE5A17"/>
    <w:rsid w:val="00DE6576"/>
    <w:rsid w:val="00DE6A33"/>
    <w:rsid w:val="00DE7316"/>
    <w:rsid w:val="00DE7378"/>
    <w:rsid w:val="00DE7E84"/>
    <w:rsid w:val="00DF0BC9"/>
    <w:rsid w:val="00DF0C9A"/>
    <w:rsid w:val="00DF0F82"/>
    <w:rsid w:val="00DF120D"/>
    <w:rsid w:val="00DF13EB"/>
    <w:rsid w:val="00DF1408"/>
    <w:rsid w:val="00DF14B6"/>
    <w:rsid w:val="00DF14F4"/>
    <w:rsid w:val="00DF1694"/>
    <w:rsid w:val="00DF2116"/>
    <w:rsid w:val="00DF21DB"/>
    <w:rsid w:val="00DF248B"/>
    <w:rsid w:val="00DF24D2"/>
    <w:rsid w:val="00DF2701"/>
    <w:rsid w:val="00DF38C1"/>
    <w:rsid w:val="00DF3CDA"/>
    <w:rsid w:val="00DF3E5B"/>
    <w:rsid w:val="00DF3ECF"/>
    <w:rsid w:val="00DF4614"/>
    <w:rsid w:val="00DF46E9"/>
    <w:rsid w:val="00DF58A2"/>
    <w:rsid w:val="00DF5B0D"/>
    <w:rsid w:val="00DF5CEE"/>
    <w:rsid w:val="00DF6371"/>
    <w:rsid w:val="00DF63D6"/>
    <w:rsid w:val="00DF6B70"/>
    <w:rsid w:val="00DF6D10"/>
    <w:rsid w:val="00DF6DC0"/>
    <w:rsid w:val="00DF78E3"/>
    <w:rsid w:val="00DF7B25"/>
    <w:rsid w:val="00E0007C"/>
    <w:rsid w:val="00E00850"/>
    <w:rsid w:val="00E00B67"/>
    <w:rsid w:val="00E00DDF"/>
    <w:rsid w:val="00E01492"/>
    <w:rsid w:val="00E01609"/>
    <w:rsid w:val="00E0166C"/>
    <w:rsid w:val="00E01883"/>
    <w:rsid w:val="00E01B79"/>
    <w:rsid w:val="00E01C04"/>
    <w:rsid w:val="00E02094"/>
    <w:rsid w:val="00E02B62"/>
    <w:rsid w:val="00E02BB8"/>
    <w:rsid w:val="00E02D50"/>
    <w:rsid w:val="00E0354F"/>
    <w:rsid w:val="00E036AE"/>
    <w:rsid w:val="00E037FA"/>
    <w:rsid w:val="00E03AF9"/>
    <w:rsid w:val="00E03C98"/>
    <w:rsid w:val="00E03DC8"/>
    <w:rsid w:val="00E03DFD"/>
    <w:rsid w:val="00E045AE"/>
    <w:rsid w:val="00E046C5"/>
    <w:rsid w:val="00E04840"/>
    <w:rsid w:val="00E048C9"/>
    <w:rsid w:val="00E04934"/>
    <w:rsid w:val="00E04E59"/>
    <w:rsid w:val="00E04ED5"/>
    <w:rsid w:val="00E05002"/>
    <w:rsid w:val="00E05D2A"/>
    <w:rsid w:val="00E05D2F"/>
    <w:rsid w:val="00E05D4C"/>
    <w:rsid w:val="00E05EF7"/>
    <w:rsid w:val="00E06956"/>
    <w:rsid w:val="00E06A5A"/>
    <w:rsid w:val="00E06CFB"/>
    <w:rsid w:val="00E07258"/>
    <w:rsid w:val="00E07B5E"/>
    <w:rsid w:val="00E07DE8"/>
    <w:rsid w:val="00E07FD2"/>
    <w:rsid w:val="00E10499"/>
    <w:rsid w:val="00E106B0"/>
    <w:rsid w:val="00E10AD6"/>
    <w:rsid w:val="00E11172"/>
    <w:rsid w:val="00E11436"/>
    <w:rsid w:val="00E11B0B"/>
    <w:rsid w:val="00E11E97"/>
    <w:rsid w:val="00E12278"/>
    <w:rsid w:val="00E12434"/>
    <w:rsid w:val="00E12462"/>
    <w:rsid w:val="00E124CD"/>
    <w:rsid w:val="00E127F7"/>
    <w:rsid w:val="00E12A98"/>
    <w:rsid w:val="00E12C51"/>
    <w:rsid w:val="00E12CA7"/>
    <w:rsid w:val="00E135A1"/>
    <w:rsid w:val="00E13818"/>
    <w:rsid w:val="00E13E5D"/>
    <w:rsid w:val="00E13FE0"/>
    <w:rsid w:val="00E140AF"/>
    <w:rsid w:val="00E145A9"/>
    <w:rsid w:val="00E14660"/>
    <w:rsid w:val="00E1475D"/>
    <w:rsid w:val="00E147E6"/>
    <w:rsid w:val="00E1496E"/>
    <w:rsid w:val="00E14B77"/>
    <w:rsid w:val="00E14C62"/>
    <w:rsid w:val="00E14C69"/>
    <w:rsid w:val="00E14DAA"/>
    <w:rsid w:val="00E14ED2"/>
    <w:rsid w:val="00E15065"/>
    <w:rsid w:val="00E151A7"/>
    <w:rsid w:val="00E1553E"/>
    <w:rsid w:val="00E1575A"/>
    <w:rsid w:val="00E15908"/>
    <w:rsid w:val="00E15933"/>
    <w:rsid w:val="00E15941"/>
    <w:rsid w:val="00E16BD5"/>
    <w:rsid w:val="00E16DFE"/>
    <w:rsid w:val="00E16EF1"/>
    <w:rsid w:val="00E17217"/>
    <w:rsid w:val="00E175C6"/>
    <w:rsid w:val="00E177A0"/>
    <w:rsid w:val="00E17F63"/>
    <w:rsid w:val="00E204DC"/>
    <w:rsid w:val="00E20C91"/>
    <w:rsid w:val="00E210ED"/>
    <w:rsid w:val="00E210EE"/>
    <w:rsid w:val="00E212A5"/>
    <w:rsid w:val="00E212DD"/>
    <w:rsid w:val="00E21349"/>
    <w:rsid w:val="00E213F7"/>
    <w:rsid w:val="00E21525"/>
    <w:rsid w:val="00E21C70"/>
    <w:rsid w:val="00E21DC2"/>
    <w:rsid w:val="00E22832"/>
    <w:rsid w:val="00E22C8A"/>
    <w:rsid w:val="00E23228"/>
    <w:rsid w:val="00E23717"/>
    <w:rsid w:val="00E238FB"/>
    <w:rsid w:val="00E23960"/>
    <w:rsid w:val="00E23E11"/>
    <w:rsid w:val="00E2405B"/>
    <w:rsid w:val="00E248EA"/>
    <w:rsid w:val="00E2494F"/>
    <w:rsid w:val="00E24B44"/>
    <w:rsid w:val="00E24FE9"/>
    <w:rsid w:val="00E253F1"/>
    <w:rsid w:val="00E257B9"/>
    <w:rsid w:val="00E2589F"/>
    <w:rsid w:val="00E25BBC"/>
    <w:rsid w:val="00E25CDC"/>
    <w:rsid w:val="00E25DCA"/>
    <w:rsid w:val="00E261F8"/>
    <w:rsid w:val="00E265AF"/>
    <w:rsid w:val="00E265D3"/>
    <w:rsid w:val="00E26CE0"/>
    <w:rsid w:val="00E26F5B"/>
    <w:rsid w:val="00E274D8"/>
    <w:rsid w:val="00E278E7"/>
    <w:rsid w:val="00E30034"/>
    <w:rsid w:val="00E3028B"/>
    <w:rsid w:val="00E30AB0"/>
    <w:rsid w:val="00E31074"/>
    <w:rsid w:val="00E315F0"/>
    <w:rsid w:val="00E318BF"/>
    <w:rsid w:val="00E31DE1"/>
    <w:rsid w:val="00E32125"/>
    <w:rsid w:val="00E323B5"/>
    <w:rsid w:val="00E3243C"/>
    <w:rsid w:val="00E33428"/>
    <w:rsid w:val="00E33446"/>
    <w:rsid w:val="00E33A1B"/>
    <w:rsid w:val="00E33BA5"/>
    <w:rsid w:val="00E34048"/>
    <w:rsid w:val="00E3406E"/>
    <w:rsid w:val="00E34421"/>
    <w:rsid w:val="00E34550"/>
    <w:rsid w:val="00E34870"/>
    <w:rsid w:val="00E34983"/>
    <w:rsid w:val="00E34B6D"/>
    <w:rsid w:val="00E34B86"/>
    <w:rsid w:val="00E34DA4"/>
    <w:rsid w:val="00E34F8E"/>
    <w:rsid w:val="00E350EA"/>
    <w:rsid w:val="00E35676"/>
    <w:rsid w:val="00E35D45"/>
    <w:rsid w:val="00E364E3"/>
    <w:rsid w:val="00E366B1"/>
    <w:rsid w:val="00E368C3"/>
    <w:rsid w:val="00E3694A"/>
    <w:rsid w:val="00E36D0B"/>
    <w:rsid w:val="00E3764A"/>
    <w:rsid w:val="00E37D05"/>
    <w:rsid w:val="00E37D59"/>
    <w:rsid w:val="00E4011B"/>
    <w:rsid w:val="00E403D5"/>
    <w:rsid w:val="00E40454"/>
    <w:rsid w:val="00E40EAC"/>
    <w:rsid w:val="00E40F8E"/>
    <w:rsid w:val="00E4105C"/>
    <w:rsid w:val="00E412BF"/>
    <w:rsid w:val="00E412FE"/>
    <w:rsid w:val="00E419AB"/>
    <w:rsid w:val="00E41A1E"/>
    <w:rsid w:val="00E41FDE"/>
    <w:rsid w:val="00E42255"/>
    <w:rsid w:val="00E429CD"/>
    <w:rsid w:val="00E42C33"/>
    <w:rsid w:val="00E43101"/>
    <w:rsid w:val="00E4361F"/>
    <w:rsid w:val="00E43C06"/>
    <w:rsid w:val="00E43D6E"/>
    <w:rsid w:val="00E43F52"/>
    <w:rsid w:val="00E44401"/>
    <w:rsid w:val="00E44430"/>
    <w:rsid w:val="00E448AC"/>
    <w:rsid w:val="00E449B1"/>
    <w:rsid w:val="00E44B76"/>
    <w:rsid w:val="00E44CC1"/>
    <w:rsid w:val="00E44CCD"/>
    <w:rsid w:val="00E44EE1"/>
    <w:rsid w:val="00E44FCA"/>
    <w:rsid w:val="00E454C0"/>
    <w:rsid w:val="00E45645"/>
    <w:rsid w:val="00E46B1A"/>
    <w:rsid w:val="00E4716F"/>
    <w:rsid w:val="00E471EE"/>
    <w:rsid w:val="00E4757F"/>
    <w:rsid w:val="00E4786E"/>
    <w:rsid w:val="00E47B31"/>
    <w:rsid w:val="00E47B82"/>
    <w:rsid w:val="00E47F85"/>
    <w:rsid w:val="00E501F7"/>
    <w:rsid w:val="00E504D3"/>
    <w:rsid w:val="00E5082D"/>
    <w:rsid w:val="00E508F2"/>
    <w:rsid w:val="00E50F05"/>
    <w:rsid w:val="00E51178"/>
    <w:rsid w:val="00E513A2"/>
    <w:rsid w:val="00E516A0"/>
    <w:rsid w:val="00E5242A"/>
    <w:rsid w:val="00E52FC0"/>
    <w:rsid w:val="00E54121"/>
    <w:rsid w:val="00E54206"/>
    <w:rsid w:val="00E5437C"/>
    <w:rsid w:val="00E547CD"/>
    <w:rsid w:val="00E5490F"/>
    <w:rsid w:val="00E54FC2"/>
    <w:rsid w:val="00E5505F"/>
    <w:rsid w:val="00E556A9"/>
    <w:rsid w:val="00E55CCF"/>
    <w:rsid w:val="00E55DA4"/>
    <w:rsid w:val="00E5614F"/>
    <w:rsid w:val="00E5616A"/>
    <w:rsid w:val="00E56450"/>
    <w:rsid w:val="00E56573"/>
    <w:rsid w:val="00E56762"/>
    <w:rsid w:val="00E56E24"/>
    <w:rsid w:val="00E57025"/>
    <w:rsid w:val="00E574A9"/>
    <w:rsid w:val="00E57C8C"/>
    <w:rsid w:val="00E57E0A"/>
    <w:rsid w:val="00E60182"/>
    <w:rsid w:val="00E602E1"/>
    <w:rsid w:val="00E60775"/>
    <w:rsid w:val="00E608E1"/>
    <w:rsid w:val="00E61355"/>
    <w:rsid w:val="00E613BC"/>
    <w:rsid w:val="00E61AFF"/>
    <w:rsid w:val="00E61F1E"/>
    <w:rsid w:val="00E62E40"/>
    <w:rsid w:val="00E62EBF"/>
    <w:rsid w:val="00E63A8D"/>
    <w:rsid w:val="00E64107"/>
    <w:rsid w:val="00E65153"/>
    <w:rsid w:val="00E65180"/>
    <w:rsid w:val="00E65655"/>
    <w:rsid w:val="00E65F77"/>
    <w:rsid w:val="00E66861"/>
    <w:rsid w:val="00E66E21"/>
    <w:rsid w:val="00E67063"/>
    <w:rsid w:val="00E70094"/>
    <w:rsid w:val="00E7049A"/>
    <w:rsid w:val="00E70A7C"/>
    <w:rsid w:val="00E70C6B"/>
    <w:rsid w:val="00E70D8B"/>
    <w:rsid w:val="00E70F38"/>
    <w:rsid w:val="00E710FC"/>
    <w:rsid w:val="00E7176B"/>
    <w:rsid w:val="00E71798"/>
    <w:rsid w:val="00E71852"/>
    <w:rsid w:val="00E71915"/>
    <w:rsid w:val="00E7208D"/>
    <w:rsid w:val="00E72359"/>
    <w:rsid w:val="00E73C71"/>
    <w:rsid w:val="00E74200"/>
    <w:rsid w:val="00E74807"/>
    <w:rsid w:val="00E74B2D"/>
    <w:rsid w:val="00E75703"/>
    <w:rsid w:val="00E75BAD"/>
    <w:rsid w:val="00E75E41"/>
    <w:rsid w:val="00E76103"/>
    <w:rsid w:val="00E7650E"/>
    <w:rsid w:val="00E76561"/>
    <w:rsid w:val="00E7671A"/>
    <w:rsid w:val="00E7674B"/>
    <w:rsid w:val="00E76A58"/>
    <w:rsid w:val="00E77042"/>
    <w:rsid w:val="00E7726F"/>
    <w:rsid w:val="00E779AE"/>
    <w:rsid w:val="00E77B2D"/>
    <w:rsid w:val="00E80916"/>
    <w:rsid w:val="00E80C2A"/>
    <w:rsid w:val="00E80D36"/>
    <w:rsid w:val="00E81995"/>
    <w:rsid w:val="00E81BF7"/>
    <w:rsid w:val="00E81FE3"/>
    <w:rsid w:val="00E82217"/>
    <w:rsid w:val="00E829ED"/>
    <w:rsid w:val="00E82BFC"/>
    <w:rsid w:val="00E83453"/>
    <w:rsid w:val="00E83A7A"/>
    <w:rsid w:val="00E83B6A"/>
    <w:rsid w:val="00E83CBD"/>
    <w:rsid w:val="00E8408C"/>
    <w:rsid w:val="00E840DF"/>
    <w:rsid w:val="00E843F0"/>
    <w:rsid w:val="00E8452A"/>
    <w:rsid w:val="00E84E0F"/>
    <w:rsid w:val="00E84E1B"/>
    <w:rsid w:val="00E84F02"/>
    <w:rsid w:val="00E8535B"/>
    <w:rsid w:val="00E8560F"/>
    <w:rsid w:val="00E85BEE"/>
    <w:rsid w:val="00E85D6C"/>
    <w:rsid w:val="00E85E0D"/>
    <w:rsid w:val="00E860D8"/>
    <w:rsid w:val="00E864E6"/>
    <w:rsid w:val="00E8653D"/>
    <w:rsid w:val="00E869EC"/>
    <w:rsid w:val="00E86C51"/>
    <w:rsid w:val="00E86EC4"/>
    <w:rsid w:val="00E87555"/>
    <w:rsid w:val="00E8780A"/>
    <w:rsid w:val="00E879CB"/>
    <w:rsid w:val="00E87D8C"/>
    <w:rsid w:val="00E90042"/>
    <w:rsid w:val="00E90600"/>
    <w:rsid w:val="00E90B9C"/>
    <w:rsid w:val="00E91117"/>
    <w:rsid w:val="00E91294"/>
    <w:rsid w:val="00E91EAF"/>
    <w:rsid w:val="00E922CA"/>
    <w:rsid w:val="00E92767"/>
    <w:rsid w:val="00E92C88"/>
    <w:rsid w:val="00E92DDD"/>
    <w:rsid w:val="00E93274"/>
    <w:rsid w:val="00E93287"/>
    <w:rsid w:val="00E93C01"/>
    <w:rsid w:val="00E94153"/>
    <w:rsid w:val="00E94168"/>
    <w:rsid w:val="00E94525"/>
    <w:rsid w:val="00E947F1"/>
    <w:rsid w:val="00E94A2B"/>
    <w:rsid w:val="00E94CA5"/>
    <w:rsid w:val="00E9550A"/>
    <w:rsid w:val="00E955C7"/>
    <w:rsid w:val="00E9562B"/>
    <w:rsid w:val="00E95788"/>
    <w:rsid w:val="00E957FC"/>
    <w:rsid w:val="00E95E41"/>
    <w:rsid w:val="00E96891"/>
    <w:rsid w:val="00E968BB"/>
    <w:rsid w:val="00E969DB"/>
    <w:rsid w:val="00E96AD5"/>
    <w:rsid w:val="00E96CE4"/>
    <w:rsid w:val="00E972AF"/>
    <w:rsid w:val="00E975A3"/>
    <w:rsid w:val="00E97A26"/>
    <w:rsid w:val="00E97A81"/>
    <w:rsid w:val="00E97DE5"/>
    <w:rsid w:val="00EA0221"/>
    <w:rsid w:val="00EA0289"/>
    <w:rsid w:val="00EA03E6"/>
    <w:rsid w:val="00EA0793"/>
    <w:rsid w:val="00EA0D48"/>
    <w:rsid w:val="00EA1041"/>
    <w:rsid w:val="00EA1B16"/>
    <w:rsid w:val="00EA1C2C"/>
    <w:rsid w:val="00EA1CFD"/>
    <w:rsid w:val="00EA1E41"/>
    <w:rsid w:val="00EA2CDA"/>
    <w:rsid w:val="00EA2D8F"/>
    <w:rsid w:val="00EA3066"/>
    <w:rsid w:val="00EA30B2"/>
    <w:rsid w:val="00EA31E5"/>
    <w:rsid w:val="00EA358B"/>
    <w:rsid w:val="00EA4A4D"/>
    <w:rsid w:val="00EA4DBC"/>
    <w:rsid w:val="00EA53E3"/>
    <w:rsid w:val="00EA57DF"/>
    <w:rsid w:val="00EA5F15"/>
    <w:rsid w:val="00EA602A"/>
    <w:rsid w:val="00EA68E2"/>
    <w:rsid w:val="00EA6A59"/>
    <w:rsid w:val="00EA6AEC"/>
    <w:rsid w:val="00EA6C8F"/>
    <w:rsid w:val="00EA74AE"/>
    <w:rsid w:val="00EA7C09"/>
    <w:rsid w:val="00EB0122"/>
    <w:rsid w:val="00EB01BA"/>
    <w:rsid w:val="00EB0AA3"/>
    <w:rsid w:val="00EB0ACC"/>
    <w:rsid w:val="00EB0AD3"/>
    <w:rsid w:val="00EB0BAE"/>
    <w:rsid w:val="00EB11D1"/>
    <w:rsid w:val="00EB140E"/>
    <w:rsid w:val="00EB181B"/>
    <w:rsid w:val="00EB18AA"/>
    <w:rsid w:val="00EB199F"/>
    <w:rsid w:val="00EB1AAB"/>
    <w:rsid w:val="00EB1C5F"/>
    <w:rsid w:val="00EB1CA4"/>
    <w:rsid w:val="00EB1EEF"/>
    <w:rsid w:val="00EB1FF1"/>
    <w:rsid w:val="00EB203F"/>
    <w:rsid w:val="00EB2388"/>
    <w:rsid w:val="00EB2698"/>
    <w:rsid w:val="00EB2B29"/>
    <w:rsid w:val="00EB2DEA"/>
    <w:rsid w:val="00EB2F3B"/>
    <w:rsid w:val="00EB32BA"/>
    <w:rsid w:val="00EB35FB"/>
    <w:rsid w:val="00EB3674"/>
    <w:rsid w:val="00EB3D94"/>
    <w:rsid w:val="00EB480C"/>
    <w:rsid w:val="00EB4B15"/>
    <w:rsid w:val="00EB4FF3"/>
    <w:rsid w:val="00EB51FA"/>
    <w:rsid w:val="00EB5338"/>
    <w:rsid w:val="00EB6F88"/>
    <w:rsid w:val="00EB7006"/>
    <w:rsid w:val="00EB75E2"/>
    <w:rsid w:val="00EC030C"/>
    <w:rsid w:val="00EC0319"/>
    <w:rsid w:val="00EC03BA"/>
    <w:rsid w:val="00EC07A6"/>
    <w:rsid w:val="00EC0D7E"/>
    <w:rsid w:val="00EC10DF"/>
    <w:rsid w:val="00EC1BD5"/>
    <w:rsid w:val="00EC1BD8"/>
    <w:rsid w:val="00EC1F2E"/>
    <w:rsid w:val="00EC22B0"/>
    <w:rsid w:val="00EC265A"/>
    <w:rsid w:val="00EC2D42"/>
    <w:rsid w:val="00EC2F39"/>
    <w:rsid w:val="00EC341C"/>
    <w:rsid w:val="00EC36CE"/>
    <w:rsid w:val="00EC3C3C"/>
    <w:rsid w:val="00EC3FFE"/>
    <w:rsid w:val="00EC464F"/>
    <w:rsid w:val="00EC4A9F"/>
    <w:rsid w:val="00EC4AEC"/>
    <w:rsid w:val="00EC4FCD"/>
    <w:rsid w:val="00EC5230"/>
    <w:rsid w:val="00EC52DB"/>
    <w:rsid w:val="00EC52FA"/>
    <w:rsid w:val="00EC566D"/>
    <w:rsid w:val="00EC5689"/>
    <w:rsid w:val="00EC5770"/>
    <w:rsid w:val="00EC5781"/>
    <w:rsid w:val="00EC5819"/>
    <w:rsid w:val="00EC59E4"/>
    <w:rsid w:val="00EC61E0"/>
    <w:rsid w:val="00EC6422"/>
    <w:rsid w:val="00EC6553"/>
    <w:rsid w:val="00EC6583"/>
    <w:rsid w:val="00EC6739"/>
    <w:rsid w:val="00EC6890"/>
    <w:rsid w:val="00EC6A76"/>
    <w:rsid w:val="00EC6C41"/>
    <w:rsid w:val="00EC7128"/>
    <w:rsid w:val="00EC743B"/>
    <w:rsid w:val="00EC75E1"/>
    <w:rsid w:val="00EC7798"/>
    <w:rsid w:val="00ED075D"/>
    <w:rsid w:val="00ED0B3C"/>
    <w:rsid w:val="00ED0DC4"/>
    <w:rsid w:val="00ED1078"/>
    <w:rsid w:val="00ED1161"/>
    <w:rsid w:val="00ED131C"/>
    <w:rsid w:val="00ED1495"/>
    <w:rsid w:val="00ED161E"/>
    <w:rsid w:val="00ED1657"/>
    <w:rsid w:val="00ED1699"/>
    <w:rsid w:val="00ED1706"/>
    <w:rsid w:val="00ED1B82"/>
    <w:rsid w:val="00ED1BFA"/>
    <w:rsid w:val="00ED1D25"/>
    <w:rsid w:val="00ED21F9"/>
    <w:rsid w:val="00ED225D"/>
    <w:rsid w:val="00ED22F8"/>
    <w:rsid w:val="00ED25E3"/>
    <w:rsid w:val="00ED26C1"/>
    <w:rsid w:val="00ED3180"/>
    <w:rsid w:val="00ED33E9"/>
    <w:rsid w:val="00ED3520"/>
    <w:rsid w:val="00ED3591"/>
    <w:rsid w:val="00ED388E"/>
    <w:rsid w:val="00ED38AB"/>
    <w:rsid w:val="00ED3B1F"/>
    <w:rsid w:val="00ED4F0D"/>
    <w:rsid w:val="00ED5006"/>
    <w:rsid w:val="00ED5637"/>
    <w:rsid w:val="00ED56A4"/>
    <w:rsid w:val="00ED62E9"/>
    <w:rsid w:val="00ED6618"/>
    <w:rsid w:val="00ED6691"/>
    <w:rsid w:val="00ED669D"/>
    <w:rsid w:val="00ED6A59"/>
    <w:rsid w:val="00ED6ACD"/>
    <w:rsid w:val="00ED7175"/>
    <w:rsid w:val="00ED7435"/>
    <w:rsid w:val="00ED76DD"/>
    <w:rsid w:val="00ED79E3"/>
    <w:rsid w:val="00ED7C8E"/>
    <w:rsid w:val="00EE09F9"/>
    <w:rsid w:val="00EE1693"/>
    <w:rsid w:val="00EE1A1D"/>
    <w:rsid w:val="00EE1E87"/>
    <w:rsid w:val="00EE205C"/>
    <w:rsid w:val="00EE2282"/>
    <w:rsid w:val="00EE2930"/>
    <w:rsid w:val="00EE2B9A"/>
    <w:rsid w:val="00EE2DDD"/>
    <w:rsid w:val="00EE30DA"/>
    <w:rsid w:val="00EE3242"/>
    <w:rsid w:val="00EE3632"/>
    <w:rsid w:val="00EE48AB"/>
    <w:rsid w:val="00EE4BF0"/>
    <w:rsid w:val="00EE4CA4"/>
    <w:rsid w:val="00EE4F2E"/>
    <w:rsid w:val="00EE50DE"/>
    <w:rsid w:val="00EE586E"/>
    <w:rsid w:val="00EE5BD6"/>
    <w:rsid w:val="00EE65E2"/>
    <w:rsid w:val="00EE6942"/>
    <w:rsid w:val="00EE699A"/>
    <w:rsid w:val="00EE6C79"/>
    <w:rsid w:val="00EE6F06"/>
    <w:rsid w:val="00EE6FED"/>
    <w:rsid w:val="00EE71C9"/>
    <w:rsid w:val="00EE7364"/>
    <w:rsid w:val="00EE76EA"/>
    <w:rsid w:val="00EE7D95"/>
    <w:rsid w:val="00EE7FF6"/>
    <w:rsid w:val="00EF0003"/>
    <w:rsid w:val="00EF0A5E"/>
    <w:rsid w:val="00EF0BB4"/>
    <w:rsid w:val="00EF0FA5"/>
    <w:rsid w:val="00EF155A"/>
    <w:rsid w:val="00EF1D0F"/>
    <w:rsid w:val="00EF1E64"/>
    <w:rsid w:val="00EF259A"/>
    <w:rsid w:val="00EF2847"/>
    <w:rsid w:val="00EF2A9E"/>
    <w:rsid w:val="00EF2AC2"/>
    <w:rsid w:val="00EF2E34"/>
    <w:rsid w:val="00EF2EEC"/>
    <w:rsid w:val="00EF30BE"/>
    <w:rsid w:val="00EF3274"/>
    <w:rsid w:val="00EF33DF"/>
    <w:rsid w:val="00EF352D"/>
    <w:rsid w:val="00EF3D0F"/>
    <w:rsid w:val="00EF479A"/>
    <w:rsid w:val="00EF4AEE"/>
    <w:rsid w:val="00EF4BDD"/>
    <w:rsid w:val="00EF4C89"/>
    <w:rsid w:val="00EF53B5"/>
    <w:rsid w:val="00EF55E4"/>
    <w:rsid w:val="00EF5BB6"/>
    <w:rsid w:val="00EF6BD3"/>
    <w:rsid w:val="00EF6C0B"/>
    <w:rsid w:val="00EF6DA8"/>
    <w:rsid w:val="00EF6E41"/>
    <w:rsid w:val="00EF7359"/>
    <w:rsid w:val="00EF7442"/>
    <w:rsid w:val="00EF78DD"/>
    <w:rsid w:val="00EF78F3"/>
    <w:rsid w:val="00EF79A6"/>
    <w:rsid w:val="00EF7F19"/>
    <w:rsid w:val="00EF7F7E"/>
    <w:rsid w:val="00F00109"/>
    <w:rsid w:val="00F00B4F"/>
    <w:rsid w:val="00F00E64"/>
    <w:rsid w:val="00F01031"/>
    <w:rsid w:val="00F01225"/>
    <w:rsid w:val="00F013E2"/>
    <w:rsid w:val="00F01525"/>
    <w:rsid w:val="00F0280B"/>
    <w:rsid w:val="00F0286E"/>
    <w:rsid w:val="00F02DA4"/>
    <w:rsid w:val="00F02E53"/>
    <w:rsid w:val="00F02E8C"/>
    <w:rsid w:val="00F03167"/>
    <w:rsid w:val="00F0327E"/>
    <w:rsid w:val="00F034A2"/>
    <w:rsid w:val="00F03726"/>
    <w:rsid w:val="00F03BF4"/>
    <w:rsid w:val="00F03C01"/>
    <w:rsid w:val="00F03F3B"/>
    <w:rsid w:val="00F0419B"/>
    <w:rsid w:val="00F042D8"/>
    <w:rsid w:val="00F0467B"/>
    <w:rsid w:val="00F04D7F"/>
    <w:rsid w:val="00F04E1A"/>
    <w:rsid w:val="00F04F24"/>
    <w:rsid w:val="00F051DF"/>
    <w:rsid w:val="00F0528A"/>
    <w:rsid w:val="00F05546"/>
    <w:rsid w:val="00F066E2"/>
    <w:rsid w:val="00F06894"/>
    <w:rsid w:val="00F06B59"/>
    <w:rsid w:val="00F06DB1"/>
    <w:rsid w:val="00F06E01"/>
    <w:rsid w:val="00F07468"/>
    <w:rsid w:val="00F07F10"/>
    <w:rsid w:val="00F104CB"/>
    <w:rsid w:val="00F10C2B"/>
    <w:rsid w:val="00F10FB1"/>
    <w:rsid w:val="00F10FFC"/>
    <w:rsid w:val="00F11042"/>
    <w:rsid w:val="00F113B1"/>
    <w:rsid w:val="00F1156B"/>
    <w:rsid w:val="00F11ACD"/>
    <w:rsid w:val="00F11DDC"/>
    <w:rsid w:val="00F11DE0"/>
    <w:rsid w:val="00F12152"/>
    <w:rsid w:val="00F12408"/>
    <w:rsid w:val="00F1270C"/>
    <w:rsid w:val="00F1302B"/>
    <w:rsid w:val="00F1372A"/>
    <w:rsid w:val="00F1388D"/>
    <w:rsid w:val="00F13BEA"/>
    <w:rsid w:val="00F13F76"/>
    <w:rsid w:val="00F143AC"/>
    <w:rsid w:val="00F14564"/>
    <w:rsid w:val="00F1460B"/>
    <w:rsid w:val="00F14990"/>
    <w:rsid w:val="00F1499C"/>
    <w:rsid w:val="00F14A8D"/>
    <w:rsid w:val="00F14C23"/>
    <w:rsid w:val="00F14CAB"/>
    <w:rsid w:val="00F151CA"/>
    <w:rsid w:val="00F153C1"/>
    <w:rsid w:val="00F155A9"/>
    <w:rsid w:val="00F15830"/>
    <w:rsid w:val="00F15B0C"/>
    <w:rsid w:val="00F15FE6"/>
    <w:rsid w:val="00F161BA"/>
    <w:rsid w:val="00F16509"/>
    <w:rsid w:val="00F16A42"/>
    <w:rsid w:val="00F16A69"/>
    <w:rsid w:val="00F17293"/>
    <w:rsid w:val="00F172E7"/>
    <w:rsid w:val="00F1739E"/>
    <w:rsid w:val="00F1785E"/>
    <w:rsid w:val="00F17CD9"/>
    <w:rsid w:val="00F2040D"/>
    <w:rsid w:val="00F20898"/>
    <w:rsid w:val="00F20A78"/>
    <w:rsid w:val="00F20C64"/>
    <w:rsid w:val="00F20F4B"/>
    <w:rsid w:val="00F21121"/>
    <w:rsid w:val="00F2148D"/>
    <w:rsid w:val="00F21606"/>
    <w:rsid w:val="00F2176B"/>
    <w:rsid w:val="00F21788"/>
    <w:rsid w:val="00F217E8"/>
    <w:rsid w:val="00F218A2"/>
    <w:rsid w:val="00F22494"/>
    <w:rsid w:val="00F2257D"/>
    <w:rsid w:val="00F22D82"/>
    <w:rsid w:val="00F22FE8"/>
    <w:rsid w:val="00F23729"/>
    <w:rsid w:val="00F23A8E"/>
    <w:rsid w:val="00F2422C"/>
    <w:rsid w:val="00F2429D"/>
    <w:rsid w:val="00F2450C"/>
    <w:rsid w:val="00F245DB"/>
    <w:rsid w:val="00F251BA"/>
    <w:rsid w:val="00F25394"/>
    <w:rsid w:val="00F254B5"/>
    <w:rsid w:val="00F25B90"/>
    <w:rsid w:val="00F25D20"/>
    <w:rsid w:val="00F25F3D"/>
    <w:rsid w:val="00F2623C"/>
    <w:rsid w:val="00F26502"/>
    <w:rsid w:val="00F2686E"/>
    <w:rsid w:val="00F26B5D"/>
    <w:rsid w:val="00F26D40"/>
    <w:rsid w:val="00F272B5"/>
    <w:rsid w:val="00F272B8"/>
    <w:rsid w:val="00F274F3"/>
    <w:rsid w:val="00F27802"/>
    <w:rsid w:val="00F3069D"/>
    <w:rsid w:val="00F307AB"/>
    <w:rsid w:val="00F30D48"/>
    <w:rsid w:val="00F31450"/>
    <w:rsid w:val="00F314EE"/>
    <w:rsid w:val="00F317F1"/>
    <w:rsid w:val="00F3191C"/>
    <w:rsid w:val="00F31B19"/>
    <w:rsid w:val="00F326DD"/>
    <w:rsid w:val="00F32DB5"/>
    <w:rsid w:val="00F32EAA"/>
    <w:rsid w:val="00F33A64"/>
    <w:rsid w:val="00F33ACC"/>
    <w:rsid w:val="00F33C35"/>
    <w:rsid w:val="00F33F1D"/>
    <w:rsid w:val="00F33F6B"/>
    <w:rsid w:val="00F340B6"/>
    <w:rsid w:val="00F34701"/>
    <w:rsid w:val="00F348CC"/>
    <w:rsid w:val="00F34A62"/>
    <w:rsid w:val="00F34D8D"/>
    <w:rsid w:val="00F34EFE"/>
    <w:rsid w:val="00F35157"/>
    <w:rsid w:val="00F35C81"/>
    <w:rsid w:val="00F361B7"/>
    <w:rsid w:val="00F365BE"/>
    <w:rsid w:val="00F36C91"/>
    <w:rsid w:val="00F36C9C"/>
    <w:rsid w:val="00F36EAE"/>
    <w:rsid w:val="00F36F41"/>
    <w:rsid w:val="00F37082"/>
    <w:rsid w:val="00F37405"/>
    <w:rsid w:val="00F37860"/>
    <w:rsid w:val="00F37EDD"/>
    <w:rsid w:val="00F37F78"/>
    <w:rsid w:val="00F4018C"/>
    <w:rsid w:val="00F40375"/>
    <w:rsid w:val="00F40BAE"/>
    <w:rsid w:val="00F40EE9"/>
    <w:rsid w:val="00F4108D"/>
    <w:rsid w:val="00F41182"/>
    <w:rsid w:val="00F41557"/>
    <w:rsid w:val="00F41712"/>
    <w:rsid w:val="00F41B89"/>
    <w:rsid w:val="00F41FEF"/>
    <w:rsid w:val="00F428A4"/>
    <w:rsid w:val="00F42956"/>
    <w:rsid w:val="00F42B33"/>
    <w:rsid w:val="00F42EA2"/>
    <w:rsid w:val="00F43277"/>
    <w:rsid w:val="00F437DE"/>
    <w:rsid w:val="00F44263"/>
    <w:rsid w:val="00F44333"/>
    <w:rsid w:val="00F445E3"/>
    <w:rsid w:val="00F4461C"/>
    <w:rsid w:val="00F44C79"/>
    <w:rsid w:val="00F44F6C"/>
    <w:rsid w:val="00F457F8"/>
    <w:rsid w:val="00F45EFB"/>
    <w:rsid w:val="00F461E9"/>
    <w:rsid w:val="00F4635F"/>
    <w:rsid w:val="00F46491"/>
    <w:rsid w:val="00F4687E"/>
    <w:rsid w:val="00F469A8"/>
    <w:rsid w:val="00F46B61"/>
    <w:rsid w:val="00F46F7B"/>
    <w:rsid w:val="00F4729E"/>
    <w:rsid w:val="00F47300"/>
    <w:rsid w:val="00F473A8"/>
    <w:rsid w:val="00F47A5C"/>
    <w:rsid w:val="00F47CD6"/>
    <w:rsid w:val="00F47D00"/>
    <w:rsid w:val="00F508CE"/>
    <w:rsid w:val="00F5097C"/>
    <w:rsid w:val="00F50A67"/>
    <w:rsid w:val="00F50BAA"/>
    <w:rsid w:val="00F50EF6"/>
    <w:rsid w:val="00F513FF"/>
    <w:rsid w:val="00F519B7"/>
    <w:rsid w:val="00F51F9E"/>
    <w:rsid w:val="00F5228E"/>
    <w:rsid w:val="00F52340"/>
    <w:rsid w:val="00F52ABD"/>
    <w:rsid w:val="00F52D30"/>
    <w:rsid w:val="00F52F93"/>
    <w:rsid w:val="00F531ED"/>
    <w:rsid w:val="00F53394"/>
    <w:rsid w:val="00F535B4"/>
    <w:rsid w:val="00F5366C"/>
    <w:rsid w:val="00F536FD"/>
    <w:rsid w:val="00F53B44"/>
    <w:rsid w:val="00F542EC"/>
    <w:rsid w:val="00F54608"/>
    <w:rsid w:val="00F54A23"/>
    <w:rsid w:val="00F54B69"/>
    <w:rsid w:val="00F552F2"/>
    <w:rsid w:val="00F553C2"/>
    <w:rsid w:val="00F5542A"/>
    <w:rsid w:val="00F557FA"/>
    <w:rsid w:val="00F55828"/>
    <w:rsid w:val="00F55E52"/>
    <w:rsid w:val="00F55EE2"/>
    <w:rsid w:val="00F56837"/>
    <w:rsid w:val="00F57024"/>
    <w:rsid w:val="00F572A3"/>
    <w:rsid w:val="00F5738F"/>
    <w:rsid w:val="00F573C0"/>
    <w:rsid w:val="00F57775"/>
    <w:rsid w:val="00F57B4F"/>
    <w:rsid w:val="00F57C7A"/>
    <w:rsid w:val="00F57EF0"/>
    <w:rsid w:val="00F60489"/>
    <w:rsid w:val="00F6116A"/>
    <w:rsid w:val="00F61511"/>
    <w:rsid w:val="00F61783"/>
    <w:rsid w:val="00F61902"/>
    <w:rsid w:val="00F61AA0"/>
    <w:rsid w:val="00F61B7C"/>
    <w:rsid w:val="00F61C13"/>
    <w:rsid w:val="00F62309"/>
    <w:rsid w:val="00F62537"/>
    <w:rsid w:val="00F627E2"/>
    <w:rsid w:val="00F6299E"/>
    <w:rsid w:val="00F62AF2"/>
    <w:rsid w:val="00F6306E"/>
    <w:rsid w:val="00F63390"/>
    <w:rsid w:val="00F6373A"/>
    <w:rsid w:val="00F63BB1"/>
    <w:rsid w:val="00F63D20"/>
    <w:rsid w:val="00F63D75"/>
    <w:rsid w:val="00F640B5"/>
    <w:rsid w:val="00F64510"/>
    <w:rsid w:val="00F649CB"/>
    <w:rsid w:val="00F64B90"/>
    <w:rsid w:val="00F64E7E"/>
    <w:rsid w:val="00F65017"/>
    <w:rsid w:val="00F65928"/>
    <w:rsid w:val="00F65B74"/>
    <w:rsid w:val="00F65C11"/>
    <w:rsid w:val="00F65E4E"/>
    <w:rsid w:val="00F66106"/>
    <w:rsid w:val="00F66A1A"/>
    <w:rsid w:val="00F66DFC"/>
    <w:rsid w:val="00F66F24"/>
    <w:rsid w:val="00F67084"/>
    <w:rsid w:val="00F670C7"/>
    <w:rsid w:val="00F675C3"/>
    <w:rsid w:val="00F67C8C"/>
    <w:rsid w:val="00F67CCF"/>
    <w:rsid w:val="00F708B3"/>
    <w:rsid w:val="00F708C6"/>
    <w:rsid w:val="00F712EE"/>
    <w:rsid w:val="00F71520"/>
    <w:rsid w:val="00F7255A"/>
    <w:rsid w:val="00F72CBF"/>
    <w:rsid w:val="00F72E19"/>
    <w:rsid w:val="00F72EE8"/>
    <w:rsid w:val="00F73034"/>
    <w:rsid w:val="00F733A5"/>
    <w:rsid w:val="00F73D70"/>
    <w:rsid w:val="00F73E08"/>
    <w:rsid w:val="00F741FB"/>
    <w:rsid w:val="00F7423D"/>
    <w:rsid w:val="00F74527"/>
    <w:rsid w:val="00F748CB"/>
    <w:rsid w:val="00F74B42"/>
    <w:rsid w:val="00F7501B"/>
    <w:rsid w:val="00F75183"/>
    <w:rsid w:val="00F75424"/>
    <w:rsid w:val="00F7590F"/>
    <w:rsid w:val="00F759F9"/>
    <w:rsid w:val="00F75A26"/>
    <w:rsid w:val="00F75FE2"/>
    <w:rsid w:val="00F761B4"/>
    <w:rsid w:val="00F76920"/>
    <w:rsid w:val="00F76CAA"/>
    <w:rsid w:val="00F772CC"/>
    <w:rsid w:val="00F77472"/>
    <w:rsid w:val="00F7766B"/>
    <w:rsid w:val="00F7771B"/>
    <w:rsid w:val="00F77887"/>
    <w:rsid w:val="00F77B90"/>
    <w:rsid w:val="00F77C3C"/>
    <w:rsid w:val="00F804E3"/>
    <w:rsid w:val="00F805EB"/>
    <w:rsid w:val="00F807EF"/>
    <w:rsid w:val="00F811AC"/>
    <w:rsid w:val="00F811FC"/>
    <w:rsid w:val="00F812EA"/>
    <w:rsid w:val="00F81722"/>
    <w:rsid w:val="00F81869"/>
    <w:rsid w:val="00F81E69"/>
    <w:rsid w:val="00F8206C"/>
    <w:rsid w:val="00F8215D"/>
    <w:rsid w:val="00F82543"/>
    <w:rsid w:val="00F82551"/>
    <w:rsid w:val="00F82626"/>
    <w:rsid w:val="00F82863"/>
    <w:rsid w:val="00F82911"/>
    <w:rsid w:val="00F836C0"/>
    <w:rsid w:val="00F837D4"/>
    <w:rsid w:val="00F83F94"/>
    <w:rsid w:val="00F84255"/>
    <w:rsid w:val="00F84FF2"/>
    <w:rsid w:val="00F8525F"/>
    <w:rsid w:val="00F8569E"/>
    <w:rsid w:val="00F857A8"/>
    <w:rsid w:val="00F85935"/>
    <w:rsid w:val="00F85A14"/>
    <w:rsid w:val="00F85E47"/>
    <w:rsid w:val="00F86221"/>
    <w:rsid w:val="00F86248"/>
    <w:rsid w:val="00F86883"/>
    <w:rsid w:val="00F86C1B"/>
    <w:rsid w:val="00F873AB"/>
    <w:rsid w:val="00F87412"/>
    <w:rsid w:val="00F87771"/>
    <w:rsid w:val="00F87C09"/>
    <w:rsid w:val="00F87C75"/>
    <w:rsid w:val="00F87E65"/>
    <w:rsid w:val="00F87EE3"/>
    <w:rsid w:val="00F90106"/>
    <w:rsid w:val="00F90924"/>
    <w:rsid w:val="00F909BE"/>
    <w:rsid w:val="00F90AB0"/>
    <w:rsid w:val="00F90C51"/>
    <w:rsid w:val="00F90EB0"/>
    <w:rsid w:val="00F913C6"/>
    <w:rsid w:val="00F91B2F"/>
    <w:rsid w:val="00F9205E"/>
    <w:rsid w:val="00F92343"/>
    <w:rsid w:val="00F92400"/>
    <w:rsid w:val="00F925BB"/>
    <w:rsid w:val="00F926AF"/>
    <w:rsid w:val="00F92DEF"/>
    <w:rsid w:val="00F92F12"/>
    <w:rsid w:val="00F92FB6"/>
    <w:rsid w:val="00F92FE7"/>
    <w:rsid w:val="00F9345B"/>
    <w:rsid w:val="00F936B7"/>
    <w:rsid w:val="00F93AE5"/>
    <w:rsid w:val="00F93B9D"/>
    <w:rsid w:val="00F93DA1"/>
    <w:rsid w:val="00F93EEE"/>
    <w:rsid w:val="00F943C6"/>
    <w:rsid w:val="00F943FD"/>
    <w:rsid w:val="00F947BA"/>
    <w:rsid w:val="00F94864"/>
    <w:rsid w:val="00F950E4"/>
    <w:rsid w:val="00F957D0"/>
    <w:rsid w:val="00F95B1D"/>
    <w:rsid w:val="00F95BDD"/>
    <w:rsid w:val="00F95CFE"/>
    <w:rsid w:val="00F9601F"/>
    <w:rsid w:val="00F965CE"/>
    <w:rsid w:val="00F96A96"/>
    <w:rsid w:val="00F96F45"/>
    <w:rsid w:val="00F977DE"/>
    <w:rsid w:val="00F979A7"/>
    <w:rsid w:val="00F97D91"/>
    <w:rsid w:val="00FA02EE"/>
    <w:rsid w:val="00FA0649"/>
    <w:rsid w:val="00FA0FFF"/>
    <w:rsid w:val="00FA143F"/>
    <w:rsid w:val="00FA14BC"/>
    <w:rsid w:val="00FA14C2"/>
    <w:rsid w:val="00FA1F54"/>
    <w:rsid w:val="00FA26FD"/>
    <w:rsid w:val="00FA2938"/>
    <w:rsid w:val="00FA2A09"/>
    <w:rsid w:val="00FA33A6"/>
    <w:rsid w:val="00FA374D"/>
    <w:rsid w:val="00FA3C03"/>
    <w:rsid w:val="00FA480E"/>
    <w:rsid w:val="00FA4CC8"/>
    <w:rsid w:val="00FA507E"/>
    <w:rsid w:val="00FA509B"/>
    <w:rsid w:val="00FA517F"/>
    <w:rsid w:val="00FA51AD"/>
    <w:rsid w:val="00FA54E9"/>
    <w:rsid w:val="00FA552E"/>
    <w:rsid w:val="00FA5560"/>
    <w:rsid w:val="00FA5658"/>
    <w:rsid w:val="00FA5C27"/>
    <w:rsid w:val="00FA5EF1"/>
    <w:rsid w:val="00FA5F64"/>
    <w:rsid w:val="00FA6041"/>
    <w:rsid w:val="00FA6120"/>
    <w:rsid w:val="00FA64A5"/>
    <w:rsid w:val="00FA65BD"/>
    <w:rsid w:val="00FA687B"/>
    <w:rsid w:val="00FA6CAA"/>
    <w:rsid w:val="00FA7345"/>
    <w:rsid w:val="00FA73C7"/>
    <w:rsid w:val="00FA7B80"/>
    <w:rsid w:val="00FA7D97"/>
    <w:rsid w:val="00FA7EE8"/>
    <w:rsid w:val="00FB020C"/>
    <w:rsid w:val="00FB02AF"/>
    <w:rsid w:val="00FB03AD"/>
    <w:rsid w:val="00FB087E"/>
    <w:rsid w:val="00FB0933"/>
    <w:rsid w:val="00FB0B18"/>
    <w:rsid w:val="00FB0E1E"/>
    <w:rsid w:val="00FB127C"/>
    <w:rsid w:val="00FB15EE"/>
    <w:rsid w:val="00FB18EA"/>
    <w:rsid w:val="00FB1CA2"/>
    <w:rsid w:val="00FB21BC"/>
    <w:rsid w:val="00FB21F4"/>
    <w:rsid w:val="00FB223E"/>
    <w:rsid w:val="00FB232F"/>
    <w:rsid w:val="00FB245E"/>
    <w:rsid w:val="00FB24B9"/>
    <w:rsid w:val="00FB2A94"/>
    <w:rsid w:val="00FB2ACA"/>
    <w:rsid w:val="00FB2BF9"/>
    <w:rsid w:val="00FB2DED"/>
    <w:rsid w:val="00FB30ED"/>
    <w:rsid w:val="00FB3439"/>
    <w:rsid w:val="00FB371F"/>
    <w:rsid w:val="00FB3751"/>
    <w:rsid w:val="00FB38DB"/>
    <w:rsid w:val="00FB3AEE"/>
    <w:rsid w:val="00FB3EDB"/>
    <w:rsid w:val="00FB4116"/>
    <w:rsid w:val="00FB433B"/>
    <w:rsid w:val="00FB44C9"/>
    <w:rsid w:val="00FB451F"/>
    <w:rsid w:val="00FB4867"/>
    <w:rsid w:val="00FB4AC9"/>
    <w:rsid w:val="00FB4FD9"/>
    <w:rsid w:val="00FB562E"/>
    <w:rsid w:val="00FB5640"/>
    <w:rsid w:val="00FB6617"/>
    <w:rsid w:val="00FB673E"/>
    <w:rsid w:val="00FB6B35"/>
    <w:rsid w:val="00FB6B3A"/>
    <w:rsid w:val="00FB6BCF"/>
    <w:rsid w:val="00FB7516"/>
    <w:rsid w:val="00FB753B"/>
    <w:rsid w:val="00FB7864"/>
    <w:rsid w:val="00FC030A"/>
    <w:rsid w:val="00FC03C9"/>
    <w:rsid w:val="00FC0812"/>
    <w:rsid w:val="00FC0893"/>
    <w:rsid w:val="00FC1C39"/>
    <w:rsid w:val="00FC1E17"/>
    <w:rsid w:val="00FC1E54"/>
    <w:rsid w:val="00FC224D"/>
    <w:rsid w:val="00FC228E"/>
    <w:rsid w:val="00FC2290"/>
    <w:rsid w:val="00FC2328"/>
    <w:rsid w:val="00FC258A"/>
    <w:rsid w:val="00FC2846"/>
    <w:rsid w:val="00FC2B5C"/>
    <w:rsid w:val="00FC2E53"/>
    <w:rsid w:val="00FC2EA0"/>
    <w:rsid w:val="00FC3083"/>
    <w:rsid w:val="00FC34F7"/>
    <w:rsid w:val="00FC3537"/>
    <w:rsid w:val="00FC35CC"/>
    <w:rsid w:val="00FC372E"/>
    <w:rsid w:val="00FC388C"/>
    <w:rsid w:val="00FC3CBA"/>
    <w:rsid w:val="00FC3D57"/>
    <w:rsid w:val="00FC3D70"/>
    <w:rsid w:val="00FC3EB4"/>
    <w:rsid w:val="00FC4082"/>
    <w:rsid w:val="00FC435E"/>
    <w:rsid w:val="00FC4BC7"/>
    <w:rsid w:val="00FC51B8"/>
    <w:rsid w:val="00FC5939"/>
    <w:rsid w:val="00FC5B13"/>
    <w:rsid w:val="00FC5BA8"/>
    <w:rsid w:val="00FC5DC2"/>
    <w:rsid w:val="00FC5FD1"/>
    <w:rsid w:val="00FC6025"/>
    <w:rsid w:val="00FC62F9"/>
    <w:rsid w:val="00FC6321"/>
    <w:rsid w:val="00FC6641"/>
    <w:rsid w:val="00FC691A"/>
    <w:rsid w:val="00FC6937"/>
    <w:rsid w:val="00FC6C2D"/>
    <w:rsid w:val="00FC6C71"/>
    <w:rsid w:val="00FC7008"/>
    <w:rsid w:val="00FC70B4"/>
    <w:rsid w:val="00FC7270"/>
    <w:rsid w:val="00FC746D"/>
    <w:rsid w:val="00FC7F43"/>
    <w:rsid w:val="00FD0138"/>
    <w:rsid w:val="00FD0311"/>
    <w:rsid w:val="00FD07FA"/>
    <w:rsid w:val="00FD0A24"/>
    <w:rsid w:val="00FD1193"/>
    <w:rsid w:val="00FD16AB"/>
    <w:rsid w:val="00FD1742"/>
    <w:rsid w:val="00FD17BA"/>
    <w:rsid w:val="00FD1E54"/>
    <w:rsid w:val="00FD277D"/>
    <w:rsid w:val="00FD299C"/>
    <w:rsid w:val="00FD2E3A"/>
    <w:rsid w:val="00FD2E58"/>
    <w:rsid w:val="00FD3800"/>
    <w:rsid w:val="00FD38DC"/>
    <w:rsid w:val="00FD3C31"/>
    <w:rsid w:val="00FD3C80"/>
    <w:rsid w:val="00FD432F"/>
    <w:rsid w:val="00FD4F89"/>
    <w:rsid w:val="00FD5000"/>
    <w:rsid w:val="00FD5A4E"/>
    <w:rsid w:val="00FD6342"/>
    <w:rsid w:val="00FD6457"/>
    <w:rsid w:val="00FD66FD"/>
    <w:rsid w:val="00FD673F"/>
    <w:rsid w:val="00FD6908"/>
    <w:rsid w:val="00FD69D3"/>
    <w:rsid w:val="00FD6EB8"/>
    <w:rsid w:val="00FD7111"/>
    <w:rsid w:val="00FD7129"/>
    <w:rsid w:val="00FD73A1"/>
    <w:rsid w:val="00FD73C6"/>
    <w:rsid w:val="00FD755E"/>
    <w:rsid w:val="00FD7CD3"/>
    <w:rsid w:val="00FD7E3B"/>
    <w:rsid w:val="00FD7F7F"/>
    <w:rsid w:val="00FE0123"/>
    <w:rsid w:val="00FE028C"/>
    <w:rsid w:val="00FE0582"/>
    <w:rsid w:val="00FE0FE2"/>
    <w:rsid w:val="00FE10FB"/>
    <w:rsid w:val="00FE14D2"/>
    <w:rsid w:val="00FE1CAB"/>
    <w:rsid w:val="00FE2C85"/>
    <w:rsid w:val="00FE2D46"/>
    <w:rsid w:val="00FE2FB6"/>
    <w:rsid w:val="00FE35A9"/>
    <w:rsid w:val="00FE410C"/>
    <w:rsid w:val="00FE42DC"/>
    <w:rsid w:val="00FE4373"/>
    <w:rsid w:val="00FE44C5"/>
    <w:rsid w:val="00FE4C14"/>
    <w:rsid w:val="00FE519A"/>
    <w:rsid w:val="00FE51F8"/>
    <w:rsid w:val="00FE542E"/>
    <w:rsid w:val="00FE5B61"/>
    <w:rsid w:val="00FE5EC9"/>
    <w:rsid w:val="00FE632F"/>
    <w:rsid w:val="00FE65C2"/>
    <w:rsid w:val="00FE65C4"/>
    <w:rsid w:val="00FE665E"/>
    <w:rsid w:val="00FE6AEC"/>
    <w:rsid w:val="00FE6D6A"/>
    <w:rsid w:val="00FE72A5"/>
    <w:rsid w:val="00FE73C6"/>
    <w:rsid w:val="00FF03A2"/>
    <w:rsid w:val="00FF08F1"/>
    <w:rsid w:val="00FF0FEA"/>
    <w:rsid w:val="00FF1021"/>
    <w:rsid w:val="00FF1085"/>
    <w:rsid w:val="00FF12C3"/>
    <w:rsid w:val="00FF13E4"/>
    <w:rsid w:val="00FF141F"/>
    <w:rsid w:val="00FF1BFC"/>
    <w:rsid w:val="00FF1C30"/>
    <w:rsid w:val="00FF1F3E"/>
    <w:rsid w:val="00FF21A7"/>
    <w:rsid w:val="00FF2258"/>
    <w:rsid w:val="00FF26C1"/>
    <w:rsid w:val="00FF296B"/>
    <w:rsid w:val="00FF2BD2"/>
    <w:rsid w:val="00FF2D2B"/>
    <w:rsid w:val="00FF2F69"/>
    <w:rsid w:val="00FF2FF0"/>
    <w:rsid w:val="00FF3302"/>
    <w:rsid w:val="00FF3454"/>
    <w:rsid w:val="00FF3CFB"/>
    <w:rsid w:val="00FF3EB8"/>
    <w:rsid w:val="00FF406D"/>
    <w:rsid w:val="00FF457C"/>
    <w:rsid w:val="00FF4694"/>
    <w:rsid w:val="00FF4E0C"/>
    <w:rsid w:val="00FF4EE5"/>
    <w:rsid w:val="00FF517E"/>
    <w:rsid w:val="00FF5449"/>
    <w:rsid w:val="00FF5454"/>
    <w:rsid w:val="00FF553B"/>
    <w:rsid w:val="00FF5590"/>
    <w:rsid w:val="00FF5CE3"/>
    <w:rsid w:val="00FF6193"/>
    <w:rsid w:val="00FF61AE"/>
    <w:rsid w:val="00FF6B3F"/>
    <w:rsid w:val="00FF720E"/>
    <w:rsid w:val="00FF7250"/>
    <w:rsid w:val="00FF7346"/>
    <w:rsid w:val="00FF75D2"/>
    <w:rsid w:val="00FF79F6"/>
    <w:rsid w:val="00FF7F6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A2B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Univers" w:eastAsia="Times New Roman" w:hAnsi="Univers" w:cs="Times New Roman"/>
        <w:sz w:val="26"/>
        <w:szCs w:val="26"/>
        <w:lang w:val="en-AU" w:eastAsia="en-AU"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uiPriority="9" w:qFormat="1"/>
    <w:lsdException w:name="heading 3" w:uiPriority="9"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5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56"/>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99"/>
    <w:semiHidden/>
    <w:qFormat/>
    <w:rsid w:val="000110AF"/>
    <w:pPr>
      <w:tabs>
        <w:tab w:val="left" w:pos="720"/>
        <w:tab w:val="left" w:pos="1440"/>
        <w:tab w:val="left" w:pos="2160"/>
        <w:tab w:val="left" w:pos="2880"/>
        <w:tab w:val="left" w:pos="3600"/>
        <w:tab w:val="left" w:pos="4320"/>
        <w:tab w:val="left" w:pos="5040"/>
        <w:tab w:val="left" w:pos="5760"/>
        <w:tab w:val="left" w:pos="6480"/>
        <w:tab w:val="left" w:pos="7200"/>
      </w:tabs>
      <w:spacing w:line="480" w:lineRule="exact"/>
      <w:ind w:right="130" w:firstLine="720"/>
    </w:pPr>
  </w:style>
  <w:style w:type="paragraph" w:styleId="Heading1">
    <w:name w:val="heading 1"/>
    <w:basedOn w:val="Normal"/>
    <w:next w:val="Normal"/>
    <w:uiPriority w:val="99"/>
    <w:semiHidden/>
    <w:qFormat/>
    <w:locked/>
    <w:rsid w:val="000110AF"/>
    <w:pPr>
      <w:keepNext/>
      <w:numPr>
        <w:numId w:val="5"/>
      </w:numPr>
      <w:ind w:right="1296"/>
      <w:outlineLvl w:val="0"/>
    </w:pPr>
    <w:rPr>
      <w:u w:val="single"/>
    </w:rPr>
  </w:style>
  <w:style w:type="paragraph" w:styleId="Heading2">
    <w:name w:val="heading 2"/>
    <w:basedOn w:val="Normal"/>
    <w:next w:val="Normal"/>
    <w:uiPriority w:val="99"/>
    <w:semiHidden/>
    <w:qFormat/>
    <w:locked/>
    <w:rsid w:val="000110AF"/>
    <w:pPr>
      <w:keepNext/>
      <w:numPr>
        <w:ilvl w:val="1"/>
        <w:numId w:val="5"/>
      </w:numPr>
      <w:spacing w:before="240" w:after="60"/>
      <w:outlineLvl w:val="1"/>
    </w:pPr>
    <w:rPr>
      <w:rFonts w:ascii="Arial" w:hAnsi="Arial"/>
      <w:b/>
      <w:i/>
      <w:sz w:val="24"/>
    </w:rPr>
  </w:style>
  <w:style w:type="paragraph" w:styleId="Heading3">
    <w:name w:val="heading 3"/>
    <w:basedOn w:val="Normal"/>
    <w:next w:val="Normal"/>
    <w:uiPriority w:val="99"/>
    <w:semiHidden/>
    <w:qFormat/>
    <w:locked/>
    <w:rsid w:val="000110AF"/>
    <w:pPr>
      <w:keepNext/>
      <w:numPr>
        <w:ilvl w:val="2"/>
        <w:numId w:val="5"/>
      </w:numPr>
      <w:spacing w:before="240" w:after="60"/>
      <w:outlineLvl w:val="2"/>
    </w:pPr>
    <w:rPr>
      <w:rFonts w:ascii="Arial" w:hAnsi="Arial"/>
      <w:sz w:val="24"/>
    </w:rPr>
  </w:style>
  <w:style w:type="character" w:default="1" w:styleId="DefaultParagraphFont">
    <w:name w:val="Default Paragraph Font"/>
    <w:uiPriority w:val="1"/>
    <w:semiHidden/>
    <w:unhideWhenUsed/>
    <w:rsid w:val="000110A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110AF"/>
  </w:style>
  <w:style w:type="paragraph" w:styleId="Footer">
    <w:name w:val="footer"/>
    <w:basedOn w:val="Normal"/>
    <w:link w:val="FooterChar"/>
    <w:uiPriority w:val="43"/>
    <w:locked/>
    <w:rsid w:val="000110AF"/>
    <w:pPr>
      <w:tabs>
        <w:tab w:val="center" w:pos="4153"/>
        <w:tab w:val="right" w:pos="8306"/>
      </w:tabs>
      <w:spacing w:after="240" w:line="240" w:lineRule="exact"/>
      <w:ind w:firstLine="0"/>
    </w:pPr>
  </w:style>
  <w:style w:type="paragraph" w:customStyle="1" w:styleId="FootInd">
    <w:name w:val="FootInd"/>
    <w:basedOn w:val="FootnoteText"/>
    <w:uiPriority w:val="45"/>
    <w:qFormat/>
    <w:locked/>
    <w:rsid w:val="000110AF"/>
    <w:pPr>
      <w:tabs>
        <w:tab w:val="clear" w:pos="720"/>
        <w:tab w:val="clear" w:pos="1440"/>
        <w:tab w:val="clear" w:pos="2160"/>
        <w:tab w:val="clear" w:pos="2880"/>
        <w:tab w:val="clear" w:pos="3600"/>
        <w:tab w:val="clear" w:pos="4320"/>
        <w:tab w:val="clear" w:pos="5040"/>
        <w:tab w:val="clear" w:pos="5760"/>
        <w:tab w:val="clear" w:pos="6480"/>
        <w:tab w:val="clear" w:pos="7200"/>
      </w:tabs>
      <w:ind w:left="1440" w:right="1077" w:firstLine="0"/>
    </w:pPr>
  </w:style>
  <w:style w:type="paragraph" w:customStyle="1" w:styleId="leftright">
    <w:name w:val="leftright"/>
    <w:basedOn w:val="Normal"/>
    <w:uiPriority w:val="33"/>
    <w:qFormat/>
    <w:locked/>
    <w:rsid w:val="000110AF"/>
    <w:pPr>
      <w:spacing w:before="240" w:line="240" w:lineRule="exact"/>
      <w:ind w:left="720" w:right="794" w:firstLine="0"/>
    </w:pPr>
  </w:style>
  <w:style w:type="paragraph" w:styleId="FootnoteText">
    <w:name w:val="footnote text"/>
    <w:basedOn w:val="Normal"/>
    <w:uiPriority w:val="53"/>
    <w:locked/>
    <w:rsid w:val="000110AF"/>
    <w:pPr>
      <w:spacing w:after="240" w:line="240" w:lineRule="exact"/>
      <w:ind w:left="510" w:hanging="510"/>
    </w:pPr>
  </w:style>
  <w:style w:type="character" w:styleId="FootnoteReference">
    <w:name w:val="footnote reference"/>
    <w:uiPriority w:val="51"/>
    <w:locked/>
    <w:rsid w:val="000110AF"/>
    <w:rPr>
      <w:b/>
      <w:sz w:val="28"/>
      <w:vertAlign w:val="superscript"/>
    </w:rPr>
  </w:style>
  <w:style w:type="paragraph" w:customStyle="1" w:styleId="FootIndAgain">
    <w:name w:val="FootIndAgain"/>
    <w:basedOn w:val="FootnoteText"/>
    <w:uiPriority w:val="47"/>
    <w:qFormat/>
    <w:locked/>
    <w:rsid w:val="000110AF"/>
    <w:pPr>
      <w:tabs>
        <w:tab w:val="clear" w:pos="720"/>
        <w:tab w:val="clear" w:pos="1440"/>
        <w:tab w:val="clear" w:pos="2160"/>
        <w:tab w:val="clear" w:pos="2880"/>
        <w:tab w:val="clear" w:pos="3600"/>
        <w:tab w:val="clear" w:pos="4320"/>
        <w:tab w:val="clear" w:pos="5040"/>
        <w:tab w:val="clear" w:pos="5760"/>
        <w:tab w:val="clear" w:pos="6480"/>
        <w:tab w:val="clear" w:pos="7200"/>
      </w:tabs>
      <w:ind w:left="2160" w:right="1077" w:firstLine="0"/>
    </w:pPr>
  </w:style>
  <w:style w:type="paragraph" w:customStyle="1" w:styleId="FootNorm">
    <w:name w:val="FootNorm"/>
    <w:basedOn w:val="FootnoteText"/>
    <w:uiPriority w:val="49"/>
    <w:qFormat/>
    <w:locked/>
    <w:rsid w:val="000110AF"/>
    <w:pPr>
      <w:ind w:firstLine="0"/>
    </w:pPr>
  </w:style>
  <w:style w:type="character" w:customStyle="1" w:styleId="Heading1Char">
    <w:name w:val="Heading 1 Char"/>
    <w:uiPriority w:val="99"/>
    <w:semiHidden/>
    <w:locked/>
    <w:rsid w:val="000110AF"/>
    <w:rPr>
      <w:rFonts w:ascii="Univers" w:hAnsi="Univers"/>
      <w:sz w:val="26"/>
      <w:u w:val="single"/>
      <w:lang w:val="en-AU"/>
    </w:rPr>
  </w:style>
  <w:style w:type="character" w:customStyle="1" w:styleId="Heading2Char">
    <w:name w:val="Heading 2 Char"/>
    <w:uiPriority w:val="99"/>
    <w:semiHidden/>
    <w:locked/>
    <w:rsid w:val="000110AF"/>
    <w:rPr>
      <w:rFonts w:ascii="Arial" w:hAnsi="Arial"/>
      <w:b/>
      <w:i/>
      <w:sz w:val="24"/>
      <w:lang w:val="en-AU"/>
    </w:rPr>
  </w:style>
  <w:style w:type="character" w:customStyle="1" w:styleId="Heading3Char">
    <w:name w:val="Heading 3 Char"/>
    <w:uiPriority w:val="99"/>
    <w:semiHidden/>
    <w:locked/>
    <w:rsid w:val="000110AF"/>
    <w:rPr>
      <w:rFonts w:ascii="Arial" w:hAnsi="Arial"/>
      <w:sz w:val="24"/>
      <w:lang w:val="en-AU"/>
    </w:rPr>
  </w:style>
  <w:style w:type="paragraph" w:customStyle="1" w:styleId="NormalHC">
    <w:name w:val="Normal HC"/>
    <w:basedOn w:val="Normal"/>
    <w:uiPriority w:val="27"/>
    <w:qFormat/>
    <w:locked/>
    <w:rsid w:val="000110AF"/>
    <w:pPr>
      <w:numPr>
        <w:numId w:val="16"/>
      </w:numPr>
      <w:spacing w:after="480"/>
      <w:ind w:left="0" w:hanging="720"/>
    </w:pPr>
  </w:style>
  <w:style w:type="paragraph" w:customStyle="1" w:styleId="HeadingFirst">
    <w:name w:val="Heading First"/>
    <w:basedOn w:val="NormalHC"/>
    <w:next w:val="HeadingV"/>
    <w:uiPriority w:val="15"/>
    <w:qFormat/>
    <w:locked/>
    <w:rsid w:val="000110AF"/>
    <w:pPr>
      <w:keepNext/>
      <w:numPr>
        <w:numId w:val="0"/>
      </w:numPr>
      <w:jc w:val="center"/>
      <w:outlineLvl w:val="1"/>
    </w:pPr>
    <w:rPr>
      <w:caps/>
      <w:u w:val="single"/>
    </w:rPr>
  </w:style>
  <w:style w:type="paragraph" w:customStyle="1" w:styleId="HeadingL1">
    <w:name w:val="Heading L1"/>
    <w:basedOn w:val="NormalHC"/>
    <w:next w:val="NormalHC"/>
    <w:uiPriority w:val="21"/>
    <w:qFormat/>
    <w:locked/>
    <w:rsid w:val="000110AF"/>
    <w:pPr>
      <w:keepNext/>
      <w:numPr>
        <w:numId w:val="0"/>
      </w:numPr>
      <w:outlineLvl w:val="2"/>
    </w:pPr>
    <w:rPr>
      <w:b/>
      <w:szCs w:val="20"/>
    </w:rPr>
  </w:style>
  <w:style w:type="paragraph" w:customStyle="1" w:styleId="HeadingL2">
    <w:name w:val="Heading L2"/>
    <w:basedOn w:val="HeadingL1"/>
    <w:next w:val="NormalHC"/>
    <w:uiPriority w:val="23"/>
    <w:qFormat/>
    <w:locked/>
    <w:rsid w:val="000110AF"/>
    <w:pPr>
      <w:outlineLvl w:val="3"/>
    </w:pPr>
    <w:rPr>
      <w:b w:val="0"/>
      <w:i/>
    </w:rPr>
  </w:style>
  <w:style w:type="paragraph" w:customStyle="1" w:styleId="HeadingMatter">
    <w:name w:val="Heading Matter"/>
    <w:basedOn w:val="NormalHC"/>
    <w:next w:val="HeadingFirst"/>
    <w:uiPriority w:val="13"/>
    <w:qFormat/>
    <w:locked/>
    <w:rsid w:val="000110AF"/>
    <w:pPr>
      <w:keepNext/>
      <w:numPr>
        <w:numId w:val="0"/>
      </w:numPr>
      <w:spacing w:after="0"/>
      <w:outlineLvl w:val="0"/>
    </w:pPr>
    <w:rPr>
      <w:u w:val="single"/>
    </w:rPr>
  </w:style>
  <w:style w:type="paragraph" w:customStyle="1" w:styleId="HeadingSecond">
    <w:name w:val="Heading Second"/>
    <w:basedOn w:val="HeadingFirst"/>
    <w:next w:val="NormalHC"/>
    <w:uiPriority w:val="19"/>
    <w:qFormat/>
    <w:locked/>
    <w:rsid w:val="000110AF"/>
    <w:pPr>
      <w:keepNext w:val="0"/>
    </w:pPr>
  </w:style>
  <w:style w:type="paragraph" w:customStyle="1" w:styleId="HeadingV">
    <w:name w:val="Heading V"/>
    <w:basedOn w:val="HeadingFirst"/>
    <w:next w:val="HeadingSecond"/>
    <w:uiPriority w:val="17"/>
    <w:qFormat/>
    <w:locked/>
    <w:rsid w:val="000110AF"/>
    <w:rPr>
      <w:caps w:val="0"/>
      <w:u w:val="none"/>
    </w:rPr>
  </w:style>
  <w:style w:type="paragraph" w:customStyle="1" w:styleId="LeftrightafterHC">
    <w:name w:val="Leftright after HC"/>
    <w:basedOn w:val="Normal"/>
    <w:next w:val="leftright"/>
    <w:uiPriority w:val="31"/>
    <w:qFormat/>
    <w:locked/>
    <w:rsid w:val="000110AF"/>
    <w:pPr>
      <w:spacing w:before="720" w:line="240" w:lineRule="exact"/>
      <w:ind w:left="720" w:right="794" w:firstLine="0"/>
    </w:pPr>
  </w:style>
  <w:style w:type="paragraph" w:customStyle="1" w:styleId="LRIndentafterHC">
    <w:name w:val="LR Indent after HC"/>
    <w:basedOn w:val="LeftrightafterHC"/>
    <w:next w:val="leftright"/>
    <w:uiPriority w:val="39"/>
    <w:qFormat/>
    <w:locked/>
    <w:rsid w:val="000110AF"/>
    <w:pPr>
      <w:ind w:firstLine="720"/>
    </w:pPr>
  </w:style>
  <w:style w:type="paragraph" w:customStyle="1" w:styleId="LeftrightHanging">
    <w:name w:val="LeftrightHanging"/>
    <w:basedOn w:val="NormalHC"/>
    <w:uiPriority w:val="35"/>
    <w:qFormat/>
    <w:locked/>
    <w:rsid w:val="000110AF"/>
    <w:pPr>
      <w:numPr>
        <w:numId w:val="0"/>
      </w:numPr>
      <w:spacing w:before="240" w:after="0" w:line="240" w:lineRule="exact"/>
      <w:ind w:left="1440" w:right="794" w:hanging="720"/>
    </w:pPr>
    <w:rPr>
      <w:szCs w:val="20"/>
    </w:rPr>
  </w:style>
  <w:style w:type="paragraph" w:customStyle="1" w:styleId="LRIndent">
    <w:name w:val="LR Indent"/>
    <w:basedOn w:val="Normal"/>
    <w:uiPriority w:val="41"/>
    <w:qFormat/>
    <w:locked/>
    <w:rsid w:val="000110AF"/>
    <w:pPr>
      <w:tabs>
        <w:tab w:val="clear" w:pos="720"/>
        <w:tab w:val="clear" w:pos="1440"/>
        <w:tab w:val="clear" w:pos="2160"/>
        <w:tab w:val="clear" w:pos="2880"/>
        <w:tab w:val="clear" w:pos="3600"/>
        <w:tab w:val="clear" w:pos="4320"/>
        <w:tab w:val="clear" w:pos="5040"/>
        <w:tab w:val="clear" w:pos="5760"/>
        <w:tab w:val="clear" w:pos="6480"/>
        <w:tab w:val="clear" w:pos="7200"/>
      </w:tabs>
      <w:spacing w:before="240" w:line="240" w:lineRule="exact"/>
      <w:ind w:left="720" w:right="794"/>
    </w:pPr>
  </w:style>
  <w:style w:type="paragraph" w:customStyle="1" w:styleId="LRHangingMore">
    <w:name w:val="LRHangingMore"/>
    <w:basedOn w:val="LeftrightHanging"/>
    <w:uiPriority w:val="37"/>
    <w:qFormat/>
    <w:locked/>
    <w:rsid w:val="000110AF"/>
    <w:pPr>
      <w:spacing w:before="200"/>
      <w:ind w:left="2160"/>
    </w:pPr>
  </w:style>
  <w:style w:type="paragraph" w:customStyle="1" w:styleId="NormalafterHd2nd">
    <w:name w:val="Normal after Hd2nd"/>
    <w:basedOn w:val="NormalHC"/>
    <w:next w:val="NormalHC"/>
    <w:uiPriority w:val="29"/>
    <w:locked/>
    <w:rsid w:val="000110AF"/>
    <w:pPr>
      <w:numPr>
        <w:numId w:val="0"/>
      </w:numPr>
      <w:spacing w:before="1000"/>
    </w:pPr>
  </w:style>
  <w:style w:type="character" w:customStyle="1" w:styleId="NormalHCChar">
    <w:name w:val="Normal HC Char"/>
    <w:uiPriority w:val="99"/>
    <w:semiHidden/>
    <w:locked/>
    <w:rsid w:val="000110AF"/>
    <w:rPr>
      <w:rFonts w:ascii="Univers" w:hAnsi="Univers"/>
      <w:sz w:val="26"/>
      <w:szCs w:val="26"/>
    </w:rPr>
  </w:style>
  <w:style w:type="character" w:customStyle="1" w:styleId="StyleFootnoteReferenceChar">
    <w:name w:val="Style Footnote Reference Char"/>
    <w:uiPriority w:val="99"/>
    <w:semiHidden/>
    <w:locked/>
    <w:rsid w:val="000110AF"/>
    <w:rPr>
      <w:rFonts w:ascii="Univers" w:hAnsi="Univers"/>
      <w:sz w:val="26"/>
      <w:szCs w:val="26"/>
      <w:vertAlign w:val="superscript"/>
      <w:lang w:val="en-AU" w:eastAsia="en-AU" w:bidi="ar-SA"/>
    </w:rPr>
  </w:style>
  <w:style w:type="character" w:customStyle="1" w:styleId="FooterChar">
    <w:name w:val="Footer Char"/>
    <w:basedOn w:val="DefaultParagraphFont"/>
    <w:link w:val="Footer"/>
    <w:uiPriority w:val="43"/>
    <w:rsid w:val="000110AF"/>
  </w:style>
  <w:style w:type="paragraph" w:customStyle="1" w:styleId="HeadingJudgment">
    <w:name w:val="Heading Judgment"/>
    <w:basedOn w:val="Normal"/>
    <w:uiPriority w:val="59"/>
    <w:qFormat/>
    <w:locked/>
    <w:rsid w:val="000110AF"/>
    <w:pPr>
      <w:tabs>
        <w:tab w:val="clear" w:pos="720"/>
        <w:tab w:val="clear" w:pos="1440"/>
        <w:tab w:val="clear" w:pos="2160"/>
        <w:tab w:val="clear" w:pos="2880"/>
        <w:tab w:val="clear" w:pos="3600"/>
        <w:tab w:val="clear" w:pos="4320"/>
        <w:tab w:val="clear" w:pos="5040"/>
        <w:tab w:val="clear" w:pos="5760"/>
        <w:tab w:val="clear" w:pos="6480"/>
        <w:tab w:val="clear" w:pos="7200"/>
        <w:tab w:val="left" w:pos="6237"/>
      </w:tabs>
      <w:spacing w:line="240" w:lineRule="auto"/>
      <w:ind w:right="0" w:firstLine="0"/>
    </w:pPr>
  </w:style>
  <w:style w:type="paragraph" w:customStyle="1" w:styleId="ClosingTextSign">
    <w:name w:val="Closing Text Sign"/>
    <w:basedOn w:val="Normal"/>
    <w:uiPriority w:val="99"/>
    <w:semiHidden/>
    <w:qFormat/>
    <w:locked/>
    <w:rsid w:val="000110AF"/>
    <w:pPr>
      <w:tabs>
        <w:tab w:val="clear" w:pos="720"/>
        <w:tab w:val="clear" w:pos="1440"/>
        <w:tab w:val="clear" w:pos="2160"/>
        <w:tab w:val="clear" w:pos="2880"/>
        <w:tab w:val="clear" w:pos="3600"/>
        <w:tab w:val="clear" w:pos="4320"/>
        <w:tab w:val="clear" w:pos="5040"/>
        <w:tab w:val="clear" w:pos="5760"/>
        <w:tab w:val="clear" w:pos="6480"/>
        <w:tab w:val="clear" w:pos="7200"/>
        <w:tab w:val="right" w:leader="underscore" w:pos="8505"/>
      </w:tabs>
      <w:spacing w:line="840" w:lineRule="exact"/>
      <w:ind w:left="2268" w:right="0" w:firstLine="0"/>
      <w:jc w:val="both"/>
    </w:pPr>
    <w:rPr>
      <w:sz w:val="20"/>
    </w:rPr>
  </w:style>
  <w:style w:type="paragraph" w:customStyle="1" w:styleId="HeadingL3">
    <w:name w:val="Heading L3"/>
    <w:basedOn w:val="HeadingL1"/>
    <w:next w:val="NormalHC"/>
    <w:uiPriority w:val="25"/>
    <w:qFormat/>
    <w:locked/>
    <w:rsid w:val="000110AF"/>
    <w:pPr>
      <w:outlineLvl w:val="4"/>
    </w:pPr>
    <w:rPr>
      <w:b w:val="0"/>
    </w:rPr>
  </w:style>
  <w:style w:type="character" w:styleId="PageNumber">
    <w:name w:val="page number"/>
    <w:basedOn w:val="DefaultParagraphFont"/>
    <w:uiPriority w:val="57"/>
    <w:locked/>
    <w:rsid w:val="000110AF"/>
  </w:style>
  <w:style w:type="paragraph" w:styleId="BalloonText">
    <w:name w:val="Balloon Text"/>
    <w:basedOn w:val="Normal"/>
    <w:link w:val="BalloonTextChar"/>
    <w:semiHidden/>
    <w:locked/>
    <w:rsid w:val="000110AF"/>
    <w:rPr>
      <w:rFonts w:ascii="Tahoma" w:hAnsi="Tahoma" w:cs="Tahoma"/>
      <w:sz w:val="16"/>
      <w:szCs w:val="16"/>
      <w:lang w:eastAsia="en-US"/>
    </w:rPr>
  </w:style>
  <w:style w:type="character" w:customStyle="1" w:styleId="BalloonTextChar">
    <w:name w:val="Balloon Text Char"/>
    <w:basedOn w:val="DefaultParagraphFont"/>
    <w:link w:val="BalloonText"/>
    <w:semiHidden/>
    <w:rsid w:val="000110AF"/>
    <w:rPr>
      <w:rFonts w:ascii="Tahoma" w:hAnsi="Tahoma" w:cs="Tahoma"/>
      <w:sz w:val="16"/>
      <w:szCs w:val="16"/>
      <w:lang w:eastAsia="en-US"/>
    </w:rPr>
  </w:style>
  <w:style w:type="paragraph" w:customStyle="1" w:styleId="ClosingText">
    <w:name w:val="Closing Text"/>
    <w:basedOn w:val="Normal"/>
    <w:uiPriority w:val="98"/>
    <w:semiHidden/>
    <w:qFormat/>
    <w:locked/>
    <w:rsid w:val="000110AF"/>
    <w:pPr>
      <w:spacing w:line="240" w:lineRule="auto"/>
      <w:ind w:left="2268" w:right="0" w:firstLine="0"/>
      <w:jc w:val="both"/>
    </w:pPr>
    <w:rPr>
      <w:sz w:val="20"/>
      <w:szCs w:val="20"/>
      <w:lang w:eastAsia="en-US"/>
    </w:rPr>
  </w:style>
  <w:style w:type="paragraph" w:styleId="EnvelopeAddress">
    <w:name w:val="envelope address"/>
    <w:basedOn w:val="Normal"/>
    <w:uiPriority w:val="99"/>
    <w:semiHidden/>
    <w:unhideWhenUsed/>
    <w:locked/>
    <w:rsid w:val="000110AF"/>
    <w:pPr>
      <w:framePr w:w="7920" w:h="1980" w:hRule="exact" w:hSpace="180" w:wrap="auto" w:hAnchor="page" w:xAlign="center" w:yAlign="bottom"/>
      <w:spacing w:line="240" w:lineRule="auto"/>
      <w:ind w:left="2880"/>
    </w:pPr>
    <w:rPr>
      <w:rFonts w:ascii="Cambria" w:hAnsi="Cambria"/>
      <w:sz w:val="24"/>
      <w:szCs w:val="24"/>
      <w:lang w:eastAsia="en-US"/>
    </w:rPr>
  </w:style>
  <w:style w:type="paragraph" w:styleId="EnvelopeReturn">
    <w:name w:val="envelope return"/>
    <w:basedOn w:val="Normal"/>
    <w:uiPriority w:val="99"/>
    <w:semiHidden/>
    <w:unhideWhenUsed/>
    <w:locked/>
    <w:rsid w:val="000110AF"/>
    <w:pPr>
      <w:spacing w:line="240" w:lineRule="auto"/>
    </w:pPr>
    <w:rPr>
      <w:rFonts w:ascii="Cambria" w:hAnsi="Cambria"/>
      <w:sz w:val="20"/>
      <w:szCs w:val="20"/>
      <w:lang w:eastAsia="en-US"/>
    </w:rPr>
  </w:style>
  <w:style w:type="paragraph" w:styleId="Header">
    <w:name w:val="header"/>
    <w:basedOn w:val="Normal"/>
    <w:link w:val="HeaderChar"/>
    <w:uiPriority w:val="98"/>
    <w:semiHidden/>
    <w:locked/>
    <w:rsid w:val="000110AF"/>
    <w:pPr>
      <w:tabs>
        <w:tab w:val="clear" w:pos="720"/>
        <w:tab w:val="clear" w:pos="1440"/>
        <w:tab w:val="clear" w:pos="2160"/>
        <w:tab w:val="clear" w:pos="2880"/>
        <w:tab w:val="clear" w:pos="3600"/>
        <w:tab w:val="clear" w:pos="4320"/>
        <w:tab w:val="clear" w:pos="5040"/>
        <w:tab w:val="clear" w:pos="5760"/>
        <w:tab w:val="clear" w:pos="6480"/>
        <w:tab w:val="clear" w:pos="7200"/>
        <w:tab w:val="center" w:pos="4153"/>
        <w:tab w:val="right" w:pos="8306"/>
      </w:tabs>
    </w:pPr>
    <w:rPr>
      <w:szCs w:val="20"/>
      <w:lang w:eastAsia="en-US"/>
    </w:rPr>
  </w:style>
  <w:style w:type="character" w:customStyle="1" w:styleId="HeaderChar">
    <w:name w:val="Header Char"/>
    <w:link w:val="Header"/>
    <w:uiPriority w:val="98"/>
    <w:semiHidden/>
    <w:rsid w:val="000110AF"/>
    <w:rPr>
      <w:szCs w:val="20"/>
      <w:lang w:eastAsia="en-US"/>
    </w:rPr>
  </w:style>
  <w:style w:type="paragraph" w:customStyle="1" w:styleId="NormalBody">
    <w:name w:val="Normal Body"/>
    <w:basedOn w:val="NormalHC"/>
    <w:uiPriority w:val="28"/>
    <w:qFormat/>
    <w:locked/>
    <w:rsid w:val="000110AF"/>
    <w:pPr>
      <w:numPr>
        <w:numId w:val="0"/>
      </w:numPr>
    </w:pPr>
    <w:rPr>
      <w:lang w:eastAsia="en-US"/>
    </w:rPr>
  </w:style>
  <w:style w:type="paragraph" w:customStyle="1" w:styleId="StyleFootnoteReference">
    <w:name w:val="Style Footnote Reference"/>
    <w:basedOn w:val="Normal"/>
    <w:next w:val="Normal"/>
    <w:semiHidden/>
    <w:rsid w:val="000110AF"/>
    <w:rPr>
      <w:vertAlign w:val="superscript"/>
      <w:lang w:eastAsia="en-US"/>
    </w:rPr>
  </w:style>
  <w:style w:type="paragraph" w:styleId="ListNumber">
    <w:name w:val="List Number"/>
    <w:basedOn w:val="Normal"/>
    <w:uiPriority w:val="56"/>
    <w:locked/>
    <w:rsid w:val="000110AF"/>
    <w:pPr>
      <w:numPr>
        <w:numId w:val="11"/>
      </w:numPr>
      <w:contextualSpacing/>
    </w:pPr>
  </w:style>
  <w:style w:type="paragraph" w:customStyle="1" w:styleId="FixListStyle">
    <w:name w:val="FixListStyle"/>
    <w:basedOn w:val="Normal"/>
    <w:uiPriority w:val="99"/>
    <w:qFormat/>
    <w:rsid w:val="000110AF"/>
    <w:pPr>
      <w:numPr>
        <w:numId w:val="19"/>
      </w:numPr>
      <w:spacing w:after="480"/>
      <w:ind w:left="0" w:hanging="720"/>
    </w:pPr>
  </w:style>
  <w:style w:type="paragraph" w:customStyle="1" w:styleId="CatchwordsBold">
    <w:name w:val="Catchwords Bold"/>
    <w:basedOn w:val="Normal"/>
    <w:link w:val="CatchwordsBoldChar"/>
    <w:qFormat/>
    <w:rsid w:val="000110AF"/>
    <w:pPr>
      <w:tabs>
        <w:tab w:val="clear" w:pos="4320"/>
        <w:tab w:val="clear" w:pos="5040"/>
        <w:tab w:val="clear" w:pos="5760"/>
        <w:tab w:val="clear" w:pos="7200"/>
      </w:tabs>
      <w:spacing w:line="280" w:lineRule="exact"/>
      <w:ind w:right="0" w:firstLine="0"/>
      <w:jc w:val="both"/>
    </w:pPr>
    <w:rPr>
      <w:rFonts w:ascii="Times New Roman" w:hAnsi="Times New Roman"/>
      <w:b/>
      <w:szCs w:val="20"/>
    </w:rPr>
  </w:style>
  <w:style w:type="character" w:customStyle="1" w:styleId="CatchwordsBoldChar">
    <w:name w:val="Catchwords Bold Char"/>
    <w:link w:val="CatchwordsBold"/>
    <w:rsid w:val="000110AF"/>
    <w:rPr>
      <w:rFonts w:ascii="Times New Roman" w:hAnsi="Times New Roman"/>
      <w:b/>
      <w:szCs w:val="20"/>
    </w:rPr>
  </w:style>
  <w:style w:type="paragraph" w:customStyle="1" w:styleId="CatchwordsRight">
    <w:name w:val="Catchwords Right"/>
    <w:basedOn w:val="Normal"/>
    <w:link w:val="CatchwordsRightChar"/>
    <w:qFormat/>
    <w:rsid w:val="000110AF"/>
    <w:pPr>
      <w:tabs>
        <w:tab w:val="clear" w:pos="4320"/>
        <w:tab w:val="clear" w:pos="5040"/>
        <w:tab w:val="clear" w:pos="5760"/>
        <w:tab w:val="clear" w:pos="7200"/>
      </w:tabs>
      <w:spacing w:line="280" w:lineRule="exact"/>
      <w:ind w:right="0" w:firstLine="0"/>
      <w:jc w:val="right"/>
    </w:pPr>
    <w:rPr>
      <w:rFonts w:ascii="Times New Roman" w:hAnsi="Times New Roman"/>
      <w:szCs w:val="20"/>
    </w:rPr>
  </w:style>
  <w:style w:type="character" w:customStyle="1" w:styleId="CatchwordsRightChar">
    <w:name w:val="Catchwords Right Char"/>
    <w:link w:val="CatchwordsRight"/>
    <w:rsid w:val="000110AF"/>
    <w:rPr>
      <w:rFonts w:ascii="Times New Roman" w:hAnsi="Times New Roman"/>
      <w:szCs w:val="20"/>
    </w:rPr>
  </w:style>
  <w:style w:type="paragraph" w:customStyle="1" w:styleId="CatchwordsText">
    <w:name w:val="Catchwords Text"/>
    <w:basedOn w:val="Normal"/>
    <w:link w:val="CatchwordsTextChar"/>
    <w:qFormat/>
    <w:rsid w:val="000110AF"/>
    <w:pPr>
      <w:tabs>
        <w:tab w:val="clear" w:pos="4320"/>
        <w:tab w:val="clear" w:pos="5040"/>
        <w:tab w:val="clear" w:pos="5760"/>
        <w:tab w:val="clear" w:pos="7200"/>
      </w:tabs>
      <w:spacing w:line="240" w:lineRule="auto"/>
      <w:ind w:right="0" w:firstLine="0"/>
      <w:jc w:val="both"/>
    </w:pPr>
    <w:rPr>
      <w:rFonts w:ascii="Times New Roman" w:hAnsi="Times New Roman"/>
      <w:szCs w:val="20"/>
    </w:rPr>
  </w:style>
  <w:style w:type="character" w:customStyle="1" w:styleId="CatchwordsTextChar">
    <w:name w:val="Catchwords Text Char"/>
    <w:link w:val="CatchwordsText"/>
    <w:rsid w:val="000110AF"/>
    <w:rPr>
      <w:rFonts w:ascii="Times New Roman" w:hAnsi="Times New Roman"/>
      <w:szCs w:val="20"/>
    </w:rPr>
  </w:style>
  <w:style w:type="paragraph" w:customStyle="1" w:styleId="CenteredBorder">
    <w:name w:val="Centered Border"/>
    <w:qFormat/>
    <w:rsid w:val="000110AF"/>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CentreBold">
    <w:name w:val="Order Centre Bold"/>
    <w:rsid w:val="000110AF"/>
    <w:pPr>
      <w:jc w:val="center"/>
    </w:pPr>
    <w:rPr>
      <w:rFonts w:ascii="Times New Roman" w:hAnsi="Times New Roman"/>
      <w:b/>
      <w:bCs/>
      <w:szCs w:val="20"/>
      <w:lang w:val="en-GB"/>
    </w:rPr>
  </w:style>
  <w:style w:type="character" w:customStyle="1" w:styleId="OrderCentred">
    <w:name w:val="Order Centred"/>
    <w:semiHidden/>
    <w:rsid w:val="000110AF"/>
    <w:rPr>
      <w:b/>
      <w:bCs/>
      <w:sz w:val="26"/>
    </w:rPr>
  </w:style>
  <w:style w:type="paragraph" w:customStyle="1" w:styleId="OrdersTopLine">
    <w:name w:val="Orders TopLine"/>
    <w:qFormat/>
    <w:rsid w:val="000110AF"/>
    <w:pPr>
      <w:spacing w:line="240" w:lineRule="atLeast"/>
      <w:ind w:right="17"/>
      <w:jc w:val="center"/>
      <w:outlineLvl w:val="0"/>
    </w:pPr>
    <w:rPr>
      <w:rFonts w:ascii="Times New Roman" w:hAnsi="Times New Roman"/>
      <w:b/>
      <w:bCs/>
      <w:kern w:val="28"/>
      <w:sz w:val="48"/>
      <w:szCs w:val="20"/>
      <w:lang w:val="en-GB" w:eastAsia="en-US"/>
    </w:rPr>
  </w:style>
  <w:style w:type="paragraph" w:customStyle="1" w:styleId="OrdersBody">
    <w:name w:val="Orders Body"/>
    <w:basedOn w:val="Normal"/>
    <w:qFormat/>
    <w:rsid w:val="000110AF"/>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lang w:val="en-GB"/>
    </w:rPr>
  </w:style>
  <w:style w:type="paragraph" w:customStyle="1" w:styleId="OrdersBodyHeading">
    <w:name w:val="Orders Body Heading"/>
    <w:basedOn w:val="Normal"/>
    <w:qFormat/>
    <w:rsid w:val="000110AF"/>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lang w:val="en-GB"/>
    </w:rPr>
  </w:style>
  <w:style w:type="paragraph" w:customStyle="1" w:styleId="OrdersCentre">
    <w:name w:val="Orders Centre"/>
    <w:qFormat/>
    <w:rsid w:val="000110AF"/>
    <w:pPr>
      <w:tabs>
        <w:tab w:val="left" w:pos="720"/>
        <w:tab w:val="left" w:pos="1440"/>
      </w:tabs>
      <w:ind w:right="17"/>
      <w:jc w:val="center"/>
    </w:pPr>
    <w:rPr>
      <w:rFonts w:ascii="Times New Roman" w:hAnsi="Times New Roman"/>
      <w:szCs w:val="20"/>
      <w:lang w:val="en-GB"/>
    </w:rPr>
  </w:style>
  <w:style w:type="paragraph" w:customStyle="1" w:styleId="OrdersCentreItalics">
    <w:name w:val="Orders Centre Italics"/>
    <w:basedOn w:val="Normal"/>
    <w:qFormat/>
    <w:rsid w:val="000110AF"/>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lang w:val="en-GB"/>
    </w:rPr>
  </w:style>
  <w:style w:type="paragraph" w:customStyle="1" w:styleId="OrdersIndentLevel1a">
    <w:name w:val="Orders Indent Level 1 (a)"/>
    <w:basedOn w:val="Normal"/>
    <w:link w:val="OrdersIndentLevel1aChar"/>
    <w:qFormat/>
    <w:rsid w:val="000110AF"/>
    <w:pPr>
      <w:tabs>
        <w:tab w:val="clear" w:pos="720"/>
        <w:tab w:val="clear" w:pos="1440"/>
        <w:tab w:val="clear" w:pos="2160"/>
        <w:tab w:val="clear" w:pos="4320"/>
        <w:tab w:val="clear" w:pos="5040"/>
        <w:tab w:val="clear" w:pos="5760"/>
        <w:tab w:val="clear" w:pos="7200"/>
        <w:tab w:val="left" w:pos="709"/>
        <w:tab w:val="left" w:pos="1418"/>
      </w:tabs>
      <w:spacing w:line="240" w:lineRule="auto"/>
      <w:ind w:left="1418" w:right="0" w:hanging="709"/>
      <w:jc w:val="both"/>
    </w:pPr>
    <w:rPr>
      <w:rFonts w:ascii="Times New Roman" w:hAnsi="Times New Roman"/>
      <w:i/>
      <w:lang w:eastAsia="en-US"/>
    </w:rPr>
  </w:style>
  <w:style w:type="character" w:customStyle="1" w:styleId="OrdersIndentLevel1aChar">
    <w:name w:val="Orders Indent Level 1 (a) Char"/>
    <w:link w:val="OrdersIndentLevel1a"/>
    <w:rsid w:val="000110AF"/>
    <w:rPr>
      <w:rFonts w:ascii="Times New Roman" w:hAnsi="Times New Roman"/>
      <w:i/>
      <w:lang w:eastAsia="en-US"/>
    </w:rPr>
  </w:style>
  <w:style w:type="paragraph" w:customStyle="1" w:styleId="OrdersIndentLevel2i">
    <w:name w:val="Orders Indent Level 2 (i)"/>
    <w:basedOn w:val="Normal"/>
    <w:link w:val="OrdersIndentLevel2iChar"/>
    <w:qFormat/>
    <w:rsid w:val="000110AF"/>
    <w:pPr>
      <w:tabs>
        <w:tab w:val="clear" w:pos="720"/>
        <w:tab w:val="clear" w:pos="1440"/>
        <w:tab w:val="clear" w:pos="4320"/>
        <w:tab w:val="clear" w:pos="5040"/>
        <w:tab w:val="clear" w:pos="5760"/>
        <w:tab w:val="clear" w:pos="7200"/>
      </w:tabs>
      <w:spacing w:line="240" w:lineRule="auto"/>
      <w:ind w:left="2836" w:right="0" w:hanging="1418"/>
      <w:jc w:val="both"/>
    </w:pPr>
    <w:rPr>
      <w:rFonts w:ascii="Times New Roman" w:hAnsi="Times New Roman"/>
      <w:i/>
      <w:lang w:eastAsia="en-US"/>
    </w:rPr>
  </w:style>
  <w:style w:type="character" w:customStyle="1" w:styleId="OrdersIndentLevel2iChar">
    <w:name w:val="Orders Indent Level 2 (i) Char"/>
    <w:link w:val="OrdersIndentLevel2i"/>
    <w:rsid w:val="000110AF"/>
    <w:rPr>
      <w:rFonts w:ascii="Times New Roman" w:hAnsi="Times New Roman"/>
      <w:i/>
      <w:lang w:eastAsia="en-US"/>
    </w:rPr>
  </w:style>
  <w:style w:type="paragraph" w:customStyle="1" w:styleId="OrdersMatter">
    <w:name w:val="Orders Matter"/>
    <w:basedOn w:val="OrderCentreBold"/>
    <w:link w:val="OrdersMatterChar"/>
    <w:qFormat/>
    <w:rsid w:val="000110AF"/>
  </w:style>
  <w:style w:type="character" w:customStyle="1" w:styleId="OrdersMatterChar">
    <w:name w:val="Orders Matter Char"/>
    <w:link w:val="OrdersMatter"/>
    <w:rsid w:val="000110AF"/>
    <w:rPr>
      <w:rFonts w:ascii="Times New Roman" w:hAnsi="Times New Roman"/>
      <w:b/>
      <w:bCs/>
      <w:szCs w:val="20"/>
      <w:lang w:val="en-GB"/>
    </w:rPr>
  </w:style>
  <w:style w:type="paragraph" w:customStyle="1" w:styleId="OrdersNotice">
    <w:name w:val="Orders Notice"/>
    <w:rsid w:val="000110AF"/>
    <w:pPr>
      <w:tabs>
        <w:tab w:val="left" w:pos="5103"/>
        <w:tab w:val="right" w:pos="7797"/>
      </w:tabs>
      <w:ind w:left="851" w:right="17"/>
    </w:pPr>
    <w:rPr>
      <w:rFonts w:ascii="Times New Roman" w:hAnsi="Times New Roman"/>
      <w:szCs w:val="20"/>
      <w:lang w:val="en-GB"/>
    </w:rPr>
  </w:style>
  <w:style w:type="paragraph" w:customStyle="1" w:styleId="OrdersRight">
    <w:name w:val="Orders Right"/>
    <w:basedOn w:val="Normal"/>
    <w:link w:val="OrdersRightChar"/>
    <w:qFormat/>
    <w:rsid w:val="000110AF"/>
    <w:pPr>
      <w:tabs>
        <w:tab w:val="clear" w:pos="4320"/>
        <w:tab w:val="clear" w:pos="5040"/>
        <w:tab w:val="clear" w:pos="5760"/>
        <w:tab w:val="clear" w:pos="7200"/>
      </w:tabs>
      <w:spacing w:line="240" w:lineRule="auto"/>
      <w:ind w:right="0" w:firstLine="0"/>
      <w:jc w:val="right"/>
    </w:pPr>
    <w:rPr>
      <w:rFonts w:ascii="Times New Roman" w:hAnsi="Times New Roman"/>
      <w:szCs w:val="20"/>
      <w:lang w:eastAsia="en-US"/>
    </w:rPr>
  </w:style>
  <w:style w:type="character" w:customStyle="1" w:styleId="OrdersRightChar">
    <w:name w:val="Orders Right Char"/>
    <w:link w:val="OrdersRight"/>
    <w:rsid w:val="000110AF"/>
    <w:rPr>
      <w:rFonts w:ascii="Times New Roman" w:hAnsi="Times New Roman"/>
      <w:szCs w:val="20"/>
      <w:lang w:eastAsia="en-US"/>
    </w:rPr>
  </w:style>
  <w:style w:type="paragraph" w:customStyle="1" w:styleId="OrdersText">
    <w:name w:val="Orders Text"/>
    <w:basedOn w:val="Normal"/>
    <w:link w:val="OrdersTextChar"/>
    <w:qFormat/>
    <w:rsid w:val="000110AF"/>
    <w:pPr>
      <w:spacing w:line="240" w:lineRule="auto"/>
      <w:ind w:left="709" w:right="0" w:hanging="709"/>
      <w:jc w:val="both"/>
    </w:pPr>
    <w:rPr>
      <w:rFonts w:ascii="Times New Roman" w:hAnsi="Times New Roman"/>
      <w:i/>
      <w:lang w:eastAsia="en-US"/>
    </w:rPr>
  </w:style>
  <w:style w:type="character" w:customStyle="1" w:styleId="OrdersTextChar">
    <w:name w:val="Orders Text Char"/>
    <w:link w:val="OrdersText"/>
    <w:rsid w:val="000110AF"/>
    <w:rPr>
      <w:rFonts w:ascii="Times New Roman" w:hAnsi="Times New Roman"/>
      <w:i/>
      <w:lang w:eastAsia="en-US"/>
    </w:rPr>
  </w:style>
  <w:style w:type="paragraph" w:customStyle="1" w:styleId="OrdersCenteredBorder">
    <w:name w:val="Orders Centered Border"/>
    <w:qFormat/>
    <w:rsid w:val="000110AF"/>
    <w:pPr>
      <w:pBdr>
        <w:top w:val="single" w:sz="12" w:space="1" w:color="auto"/>
      </w:pBdr>
      <w:tabs>
        <w:tab w:val="left" w:pos="720"/>
        <w:tab w:val="left" w:pos="1440"/>
        <w:tab w:val="left" w:pos="5103"/>
      </w:tabs>
      <w:ind w:left="1440" w:right="1457"/>
    </w:pPr>
    <w:rPr>
      <w:rFonts w:ascii="Times New Roman" w:hAnsi="Times New Roman"/>
      <w:szCs w:val="20"/>
      <w:lang w:val="en-GB"/>
    </w:rPr>
  </w:style>
  <w:style w:type="paragraph" w:customStyle="1" w:styleId="OrdersPartyName">
    <w:name w:val="Orders PartyName"/>
    <w:basedOn w:val="Normal"/>
    <w:link w:val="OrdersPartyNameChar"/>
    <w:qFormat/>
    <w:rsid w:val="000110AF"/>
    <w:pPr>
      <w:tabs>
        <w:tab w:val="clear" w:pos="720"/>
        <w:tab w:val="clear" w:pos="1440"/>
        <w:tab w:val="clear" w:pos="2160"/>
        <w:tab w:val="clear" w:pos="2880"/>
        <w:tab w:val="clear" w:pos="3600"/>
        <w:tab w:val="clear" w:pos="4320"/>
        <w:tab w:val="clear" w:pos="5040"/>
        <w:tab w:val="clear" w:pos="5760"/>
        <w:tab w:val="clear" w:pos="6480"/>
        <w:tab w:val="clear" w:pos="7200"/>
        <w:tab w:val="right" w:pos="7938"/>
      </w:tabs>
      <w:spacing w:line="240" w:lineRule="auto"/>
      <w:ind w:right="2125" w:firstLine="0"/>
      <w:jc w:val="both"/>
    </w:pPr>
    <w:rPr>
      <w:rFonts w:ascii="Times New Roman" w:hAnsi="Times New Roman"/>
      <w:szCs w:val="20"/>
    </w:rPr>
  </w:style>
  <w:style w:type="character" w:customStyle="1" w:styleId="OrdersPartyNameChar">
    <w:name w:val="Orders PartyName Char"/>
    <w:link w:val="OrdersPartyName"/>
    <w:rsid w:val="000110AF"/>
    <w:rPr>
      <w:rFonts w:ascii="Times New Roman" w:hAnsi="Times New Roman"/>
      <w:szCs w:val="20"/>
    </w:rPr>
  </w:style>
  <w:style w:type="paragraph" w:customStyle="1" w:styleId="LRHangingafterHC">
    <w:name w:val="LR Hanging after HC"/>
    <w:basedOn w:val="Normal"/>
    <w:next w:val="LeftrightHanging"/>
    <w:uiPriority w:val="99"/>
    <w:qFormat/>
    <w:rsid w:val="000110AF"/>
    <w:pPr>
      <w:spacing w:before="720" w:line="240" w:lineRule="exact"/>
      <w:ind w:left="1440" w:right="794" w:hanging="720"/>
    </w:pPr>
  </w:style>
  <w:style w:type="paragraph" w:styleId="Revision">
    <w:name w:val="Revision"/>
    <w:hidden/>
    <w:uiPriority w:val="99"/>
    <w:semiHidden/>
    <w:rsid w:val="000D6E0D"/>
  </w:style>
  <w:style w:type="character" w:styleId="CommentReference">
    <w:name w:val="annotation reference"/>
    <w:basedOn w:val="DefaultParagraphFont"/>
    <w:uiPriority w:val="99"/>
    <w:semiHidden/>
    <w:unhideWhenUsed/>
    <w:locked/>
    <w:rsid w:val="005B436C"/>
    <w:rPr>
      <w:sz w:val="16"/>
      <w:szCs w:val="16"/>
    </w:rPr>
  </w:style>
  <w:style w:type="paragraph" w:styleId="CommentText">
    <w:name w:val="annotation text"/>
    <w:basedOn w:val="Normal"/>
    <w:link w:val="CommentTextChar"/>
    <w:uiPriority w:val="99"/>
    <w:unhideWhenUsed/>
    <w:locked/>
    <w:rsid w:val="005B436C"/>
    <w:pPr>
      <w:spacing w:line="240" w:lineRule="auto"/>
    </w:pPr>
    <w:rPr>
      <w:sz w:val="20"/>
      <w:szCs w:val="20"/>
    </w:rPr>
  </w:style>
  <w:style w:type="character" w:customStyle="1" w:styleId="CommentTextChar">
    <w:name w:val="Comment Text Char"/>
    <w:basedOn w:val="DefaultParagraphFont"/>
    <w:link w:val="CommentText"/>
    <w:uiPriority w:val="99"/>
    <w:rsid w:val="005B436C"/>
    <w:rPr>
      <w:sz w:val="20"/>
      <w:szCs w:val="20"/>
    </w:rPr>
  </w:style>
  <w:style w:type="paragraph" w:styleId="CommentSubject">
    <w:name w:val="annotation subject"/>
    <w:basedOn w:val="CommentText"/>
    <w:next w:val="CommentText"/>
    <w:link w:val="CommentSubjectChar"/>
    <w:uiPriority w:val="99"/>
    <w:semiHidden/>
    <w:unhideWhenUsed/>
    <w:locked/>
    <w:rsid w:val="005B436C"/>
    <w:rPr>
      <w:b/>
      <w:bCs/>
    </w:rPr>
  </w:style>
  <w:style w:type="character" w:customStyle="1" w:styleId="CommentSubjectChar">
    <w:name w:val="Comment Subject Char"/>
    <w:basedOn w:val="CommentTextChar"/>
    <w:link w:val="CommentSubject"/>
    <w:uiPriority w:val="99"/>
    <w:semiHidden/>
    <w:rsid w:val="005B436C"/>
    <w:rPr>
      <w:b/>
      <w:bCs/>
      <w:sz w:val="20"/>
      <w:szCs w:val="20"/>
    </w:rPr>
  </w:style>
  <w:style w:type="character" w:styleId="Hyperlink">
    <w:name w:val="Hyperlink"/>
    <w:basedOn w:val="DefaultParagraphFont"/>
    <w:uiPriority w:val="99"/>
    <w:unhideWhenUsed/>
    <w:locked/>
    <w:rsid w:val="00E80D36"/>
    <w:rPr>
      <w:color w:val="0000FF" w:themeColor="hyperlink"/>
      <w:u w:val="single"/>
    </w:rPr>
  </w:style>
  <w:style w:type="character" w:styleId="UnresolvedMention">
    <w:name w:val="Unresolved Mention"/>
    <w:basedOn w:val="DefaultParagraphFont"/>
    <w:uiPriority w:val="99"/>
    <w:semiHidden/>
    <w:unhideWhenUsed/>
    <w:rsid w:val="00E80D36"/>
    <w:rPr>
      <w:color w:val="605E5C"/>
      <w:shd w:val="clear" w:color="auto" w:fill="E1DFDD"/>
    </w:rPr>
  </w:style>
  <w:style w:type="paragraph" w:styleId="ListParagraph">
    <w:name w:val="List Paragraph"/>
    <w:basedOn w:val="Normal"/>
    <w:uiPriority w:val="1"/>
    <w:qFormat/>
    <w:locked/>
    <w:rsid w:val="00EB3D94"/>
    <w:pPr>
      <w:tabs>
        <w:tab w:val="clear" w:pos="720"/>
        <w:tab w:val="clear" w:pos="1440"/>
        <w:tab w:val="clear" w:pos="2160"/>
        <w:tab w:val="clear" w:pos="2880"/>
        <w:tab w:val="clear" w:pos="3600"/>
        <w:tab w:val="clear" w:pos="4320"/>
        <w:tab w:val="clear" w:pos="5040"/>
        <w:tab w:val="clear" w:pos="5760"/>
        <w:tab w:val="clear" w:pos="6480"/>
        <w:tab w:val="clear" w:pos="7200"/>
      </w:tabs>
      <w:spacing w:after="160" w:line="278" w:lineRule="auto"/>
      <w:ind w:left="720" w:right="0" w:firstLine="0"/>
      <w:contextualSpacing/>
    </w:pPr>
    <w:rPr>
      <w:rFonts w:asciiTheme="minorHAnsi" w:eastAsiaTheme="minorHAnsi" w:hAnsiTheme="minorHAnsi" w:cstheme="minorBidi"/>
      <w:kern w:val="2"/>
      <w:sz w:val="24"/>
      <w:szCs w:val="24"/>
      <w:lang w:eastAsia="en-US"/>
      <w14:ligatures w14:val="standardContextual"/>
    </w:rPr>
  </w:style>
  <w:style w:type="paragraph" w:styleId="BodyText">
    <w:name w:val="Body Text"/>
    <w:basedOn w:val="Normal"/>
    <w:link w:val="BodyTextChar"/>
    <w:uiPriority w:val="1"/>
    <w:qFormat/>
    <w:locked/>
    <w:rsid w:val="00EB3D94"/>
    <w:pPr>
      <w:tabs>
        <w:tab w:val="clear" w:pos="720"/>
        <w:tab w:val="clear" w:pos="1440"/>
        <w:tab w:val="clear" w:pos="2160"/>
        <w:tab w:val="clear" w:pos="2880"/>
        <w:tab w:val="clear" w:pos="3600"/>
        <w:tab w:val="clear" w:pos="4320"/>
        <w:tab w:val="clear" w:pos="5040"/>
        <w:tab w:val="clear" w:pos="5760"/>
        <w:tab w:val="clear" w:pos="6480"/>
        <w:tab w:val="clear" w:pos="7200"/>
      </w:tabs>
      <w:spacing w:after="160" w:line="278" w:lineRule="auto"/>
      <w:ind w:right="0" w:firstLine="0"/>
    </w:pPr>
    <w:rPr>
      <w:rFonts w:asciiTheme="minorHAnsi" w:eastAsiaTheme="minorHAnsi" w:hAnsiTheme="minorHAnsi" w:cstheme="minorBidi"/>
      <w:kern w:val="2"/>
      <w:lang w:eastAsia="en-US"/>
      <w14:ligatures w14:val="standardContextual"/>
    </w:rPr>
  </w:style>
  <w:style w:type="character" w:customStyle="1" w:styleId="BodyTextChar">
    <w:name w:val="Body Text Char"/>
    <w:basedOn w:val="DefaultParagraphFont"/>
    <w:link w:val="BodyText"/>
    <w:uiPriority w:val="1"/>
    <w:rsid w:val="00EB3D94"/>
    <w:rPr>
      <w:rFonts w:asciiTheme="minorHAnsi" w:eastAsiaTheme="minorHAnsi" w:hAnsiTheme="minorHAnsi" w:cstheme="minorBidi"/>
      <w:kern w:val="2"/>
      <w:lang w:eastAsia="en-US"/>
      <w14:ligatures w14:val="standardContextual"/>
    </w:rPr>
  </w:style>
  <w:style w:type="paragraph" w:customStyle="1" w:styleId="Body">
    <w:name w:val="Body"/>
    <w:basedOn w:val="Normal"/>
    <w:qFormat/>
    <w:rsid w:val="00B55DBB"/>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szCs w:val="20"/>
    </w:rPr>
  </w:style>
  <w:style w:type="paragraph" w:customStyle="1" w:styleId="BodyHeading">
    <w:name w:val="Body Heading"/>
    <w:basedOn w:val="Normal"/>
    <w:qFormat/>
    <w:rsid w:val="00B55DBB"/>
    <w:pPr>
      <w:tabs>
        <w:tab w:val="clear" w:pos="2160"/>
        <w:tab w:val="clear" w:pos="2880"/>
        <w:tab w:val="clear" w:pos="3600"/>
        <w:tab w:val="clear" w:pos="4320"/>
        <w:tab w:val="clear" w:pos="5040"/>
        <w:tab w:val="clear" w:pos="5760"/>
        <w:tab w:val="clear" w:pos="6480"/>
        <w:tab w:val="clear" w:pos="7200"/>
      </w:tabs>
      <w:spacing w:line="240" w:lineRule="auto"/>
      <w:ind w:right="17" w:firstLine="0"/>
      <w:jc w:val="both"/>
    </w:pPr>
    <w:rPr>
      <w:rFonts w:ascii="Times New Roman" w:hAnsi="Times New Roman"/>
      <w:b/>
      <w:bCs/>
      <w:szCs w:val="20"/>
    </w:rPr>
  </w:style>
  <w:style w:type="paragraph" w:customStyle="1" w:styleId="Centre">
    <w:name w:val="Centre"/>
    <w:qFormat/>
    <w:rsid w:val="00B55DBB"/>
    <w:pPr>
      <w:tabs>
        <w:tab w:val="left" w:pos="720"/>
        <w:tab w:val="left" w:pos="1440"/>
      </w:tabs>
      <w:ind w:right="17"/>
      <w:jc w:val="center"/>
    </w:pPr>
    <w:rPr>
      <w:rFonts w:ascii="Times New Roman" w:hAnsi="Times New Roman"/>
      <w:szCs w:val="20"/>
      <w:lang w:val="en-GB"/>
    </w:rPr>
  </w:style>
  <w:style w:type="paragraph" w:customStyle="1" w:styleId="CentreItalics">
    <w:name w:val="Centre Italics"/>
    <w:basedOn w:val="Normal"/>
    <w:qFormat/>
    <w:rsid w:val="00B55DBB"/>
    <w:pPr>
      <w:tabs>
        <w:tab w:val="clear" w:pos="2160"/>
        <w:tab w:val="clear" w:pos="2880"/>
        <w:tab w:val="clear" w:pos="3600"/>
        <w:tab w:val="clear" w:pos="4320"/>
        <w:tab w:val="clear" w:pos="5040"/>
        <w:tab w:val="clear" w:pos="5760"/>
        <w:tab w:val="clear" w:pos="6480"/>
        <w:tab w:val="clear" w:pos="7200"/>
      </w:tabs>
      <w:spacing w:line="240" w:lineRule="auto"/>
      <w:ind w:right="17" w:firstLine="0"/>
      <w:jc w:val="center"/>
    </w:pPr>
    <w:rPr>
      <w:rFonts w:ascii="Times New Roman" w:hAnsi="Times New Roman"/>
      <w:i/>
      <w:iCs/>
      <w:szCs w:val="20"/>
    </w:rPr>
  </w:style>
  <w:style w:type="paragraph" w:customStyle="1" w:styleId="Notice">
    <w:name w:val="Notice"/>
    <w:rsid w:val="00B55DBB"/>
    <w:pPr>
      <w:tabs>
        <w:tab w:val="left" w:pos="5103"/>
        <w:tab w:val="right" w:pos="7797"/>
      </w:tabs>
      <w:ind w:left="851" w:right="17"/>
      <w:jc w:val="both"/>
    </w:pPr>
    <w:rPr>
      <w:rFonts w:ascii="Times New Roman" w:hAnsi="Times New Roman"/>
      <w:szCs w:val="20"/>
      <w:lang w:val="en-GB"/>
    </w:rPr>
  </w:style>
  <w:style w:type="paragraph" w:customStyle="1" w:styleId="OrderCentre">
    <w:name w:val="Order Centre"/>
    <w:rsid w:val="00B55DBB"/>
    <w:pPr>
      <w:jc w:val="center"/>
    </w:pPr>
    <w:rPr>
      <w:rFonts w:ascii="Times New Roman" w:hAnsi="Times New Roman"/>
      <w:bCs/>
      <w:szCs w:val="20"/>
      <w:lang w:val="en-GB"/>
    </w:rPr>
  </w:style>
  <w:style w:type="paragraph" w:customStyle="1" w:styleId="Default">
    <w:name w:val="Default"/>
    <w:rsid w:val="00CC6D44"/>
    <w:pPr>
      <w:autoSpaceDE w:val="0"/>
      <w:autoSpaceDN w:val="0"/>
      <w:adjustRightInd w:val="0"/>
    </w:pPr>
    <w:rPr>
      <w:rFonts w:ascii="Times New Roman" w:eastAsia="Calibr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hca.local\shares\MasterTemplates\Chambers\Chambers%20V1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bc5b7fd-636f-49ec-b8cc-eb8a3f2ba19e" xsi:nil="true"/>
    <lcf76f155ced4ddcb4097134ff3c332f xmlns="3cc3f26d-d9cc-46f3-89c7-f1482de8c8f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32D2EC4F8DE44A8C0C478B82839881" ma:contentTypeVersion="17" ma:contentTypeDescription="Create a new document." ma:contentTypeScope="" ma:versionID="d3d0a8378352b5763bc515572bd2d873">
  <xsd:schema xmlns:xsd="http://www.w3.org/2001/XMLSchema" xmlns:xs="http://www.w3.org/2001/XMLSchema" xmlns:p="http://schemas.microsoft.com/office/2006/metadata/properties" xmlns:ns2="cbc5b7fd-636f-49ec-b8cc-eb8a3f2ba19e" xmlns:ns3="3cc3f26d-d9cc-46f3-89c7-f1482de8c8f1" targetNamespace="http://schemas.microsoft.com/office/2006/metadata/properties" ma:root="true" ma:fieldsID="45eda7b729c33eeb9e4c121fa375b4d1" ns2:_="" ns3:_="">
    <xsd:import namespace="cbc5b7fd-636f-49ec-b8cc-eb8a3f2ba19e"/>
    <xsd:import namespace="3cc3f26d-d9cc-46f3-89c7-f1482de8c8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DateTaken"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c5b7fd-636f-49ec-b8cc-eb8a3f2ba1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3917a95-3fa1-418e-808a-c77197b9d2d6}" ma:internalName="TaxCatchAll" ma:showField="CatchAllData" ma:web="cbc5b7fd-636f-49ec-b8cc-eb8a3f2ba1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c3f26d-d9cc-46f3-89c7-f1482de8c8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5e3044c-c92f-4775-8f51-280d1277677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51E2A-5120-49B8-B8A9-580B46FA2AC5}">
  <ds:schemaRefs>
    <ds:schemaRef ds:uri="http://schemas.microsoft.com/sharepoint/v3/contenttype/forms"/>
  </ds:schemaRefs>
</ds:datastoreItem>
</file>

<file path=customXml/itemProps2.xml><?xml version="1.0" encoding="utf-8"?>
<ds:datastoreItem xmlns:ds="http://schemas.openxmlformats.org/officeDocument/2006/customXml" ds:itemID="{CC7DD54D-5AB1-4084-B29D-C530544F59D2}">
  <ds:schemaRefs>
    <ds:schemaRef ds:uri="http://schemas.microsoft.com/office/2006/metadata/properties"/>
    <ds:schemaRef ds:uri="http://schemas.microsoft.com/office/infopath/2007/PartnerControls"/>
    <ds:schemaRef ds:uri="cbc5b7fd-636f-49ec-b8cc-eb8a3f2ba19e"/>
    <ds:schemaRef ds:uri="3cc3f26d-d9cc-46f3-89c7-f1482de8c8f1"/>
  </ds:schemaRefs>
</ds:datastoreItem>
</file>

<file path=customXml/itemProps3.xml><?xml version="1.0" encoding="utf-8"?>
<ds:datastoreItem xmlns:ds="http://schemas.openxmlformats.org/officeDocument/2006/customXml" ds:itemID="{8AAEA8EE-AC46-4786-9796-FC15FAFE9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c5b7fd-636f-49ec-b8cc-eb8a3f2ba19e"/>
    <ds:schemaRef ds:uri="3cc3f26d-d9cc-46f3-89c7-f1482de8c8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EC6EDD-F216-48FC-9330-62E6B57D5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Chambers V11</Template>
  <TotalTime>0</TotalTime>
  <Pages>31</Pages>
  <Words>7997</Words>
  <Characters>41827</Characters>
  <Application>Microsoft Office Word</Application>
  <DocSecurity>0</DocSecurity>
  <Lines>721</Lines>
  <Paragraphs>131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2026-04-06T23:09:00Z</dcterms:created>
  <dcterms:modified xsi:type="dcterms:W3CDTF">2026-04-07T06:49:00Z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0x0101001F32D2EC4F8DE44A8C0C478B82839881</vt:lpwstr>
  </property>
  <property fmtid="{D5CDD505-2E9C-101B-9397-08002B2CF9AE}" pid="3" name="MediaServiceImageTags">
    <vt:lpwstr/>
  </property>
</Properties>
</file>