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0B70" w14:textId="77777777" w:rsidR="00580BF2" w:rsidRPr="00704FF8" w:rsidRDefault="00580BF2" w:rsidP="00704FF8">
      <w:pPr>
        <w:pStyle w:val="OrdersTopLine"/>
      </w:pPr>
      <w:r w:rsidRPr="00704FF8">
        <w:t>HIGH COURT OF AUSTRALIA</w:t>
      </w:r>
    </w:p>
    <w:p w14:paraId="31C4CC16" w14:textId="77777777" w:rsidR="00580BF2" w:rsidRPr="00704FF8" w:rsidRDefault="00580BF2" w:rsidP="00704FF8">
      <w:pPr>
        <w:pStyle w:val="OrderCentre"/>
      </w:pPr>
    </w:p>
    <w:p w14:paraId="65D64055" w14:textId="77777777" w:rsidR="00580BF2" w:rsidRPr="00C46004" w:rsidRDefault="00580BF2" w:rsidP="00704FF8">
      <w:pPr>
        <w:pStyle w:val="OrderCentre"/>
        <w:rPr>
          <w:spacing w:val="-4"/>
          <w:sz w:val="24"/>
          <w:szCs w:val="24"/>
        </w:rPr>
      </w:pPr>
      <w:r w:rsidRPr="00C46004">
        <w:rPr>
          <w:spacing w:val="-4"/>
          <w:sz w:val="24"/>
          <w:szCs w:val="24"/>
        </w:rPr>
        <w:t>GAGELER CJ,</w:t>
      </w:r>
    </w:p>
    <w:p w14:paraId="676EDCA3" w14:textId="77777777" w:rsidR="00580BF2" w:rsidRPr="00704FF8" w:rsidRDefault="00580BF2"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2313384D" w14:textId="77777777" w:rsidR="00580BF2" w:rsidRPr="00427F3A" w:rsidRDefault="00580BF2" w:rsidP="00EE5374">
      <w:pPr>
        <w:pStyle w:val="Centre"/>
        <w:rPr>
          <w:lang w:val="en-AU"/>
        </w:rPr>
      </w:pPr>
    </w:p>
    <w:p w14:paraId="3363A8B5" w14:textId="77777777" w:rsidR="00580BF2" w:rsidRPr="00704FF8" w:rsidRDefault="00580BF2" w:rsidP="00704FF8">
      <w:pPr>
        <w:pStyle w:val="OrdersCenteredBorder"/>
      </w:pPr>
    </w:p>
    <w:p w14:paraId="114BED37" w14:textId="77777777" w:rsidR="00580BF2" w:rsidRPr="00704FF8" w:rsidRDefault="00580BF2" w:rsidP="0032341F">
      <w:pPr>
        <w:pStyle w:val="OrdersBodyHeading"/>
      </w:pPr>
    </w:p>
    <w:p w14:paraId="28D81912" w14:textId="77777777" w:rsidR="00580BF2" w:rsidRPr="0032341F" w:rsidRDefault="00580BF2" w:rsidP="009362E8">
      <w:pPr>
        <w:pStyle w:val="OrdersPartyName"/>
        <w:ind w:right="-1"/>
      </w:pPr>
      <w:r w:rsidRPr="00AD7AE3">
        <w:t>PAUL HOPPER &amp; ANOR</w:t>
      </w:r>
      <w:r w:rsidRPr="0032341F">
        <w:tab/>
      </w:r>
      <w:r w:rsidRPr="00AD7AE3">
        <w:t>PLAINTIFF</w:t>
      </w:r>
      <w:r>
        <w:t>S</w:t>
      </w:r>
    </w:p>
    <w:p w14:paraId="054682F6" w14:textId="77777777" w:rsidR="00580BF2" w:rsidRPr="0032341F" w:rsidRDefault="00580BF2" w:rsidP="009362E8">
      <w:pPr>
        <w:pStyle w:val="OrdersPartyName"/>
        <w:ind w:right="-1"/>
      </w:pPr>
    </w:p>
    <w:p w14:paraId="7D1ACC6A" w14:textId="77777777" w:rsidR="00580BF2" w:rsidRPr="0032341F" w:rsidRDefault="00580BF2" w:rsidP="009362E8">
      <w:pPr>
        <w:pStyle w:val="OrdersPartyName"/>
        <w:ind w:right="-1"/>
      </w:pPr>
      <w:r w:rsidRPr="0032341F">
        <w:t>AND</w:t>
      </w:r>
    </w:p>
    <w:p w14:paraId="0820EF6E" w14:textId="77777777" w:rsidR="00580BF2" w:rsidRPr="0032341F" w:rsidRDefault="00580BF2" w:rsidP="009362E8">
      <w:pPr>
        <w:pStyle w:val="OrdersPartyName"/>
        <w:ind w:right="-1"/>
      </w:pPr>
    </w:p>
    <w:p w14:paraId="728DF83E" w14:textId="77777777" w:rsidR="00580BF2" w:rsidRPr="0032341F" w:rsidRDefault="00580BF2" w:rsidP="009362E8">
      <w:pPr>
        <w:pStyle w:val="OrdersPartyName"/>
        <w:ind w:right="-1"/>
      </w:pPr>
      <w:r w:rsidRPr="00AD7AE3">
        <w:t>STATE OF VICTORIA</w:t>
      </w:r>
      <w:r w:rsidRPr="0032341F">
        <w:tab/>
      </w:r>
      <w:r w:rsidRPr="00AD7AE3">
        <w:t>DEFENDANT</w:t>
      </w:r>
    </w:p>
    <w:p w14:paraId="4B7965F3" w14:textId="77777777" w:rsidR="00580BF2" w:rsidRPr="00427F3A" w:rsidRDefault="00580BF2" w:rsidP="00AF0A5E">
      <w:pPr>
        <w:pStyle w:val="BodyHeading"/>
      </w:pPr>
    </w:p>
    <w:p w14:paraId="0B48E5D6" w14:textId="77777777" w:rsidR="00580BF2" w:rsidRPr="00427F3A" w:rsidRDefault="00580BF2" w:rsidP="00BE0A6C">
      <w:pPr>
        <w:pStyle w:val="BodyHeading"/>
      </w:pPr>
    </w:p>
    <w:p w14:paraId="06A5EBF5" w14:textId="77777777" w:rsidR="00580BF2" w:rsidRPr="00427F3A" w:rsidRDefault="00580BF2" w:rsidP="00EE5374">
      <w:pPr>
        <w:pStyle w:val="CentreItalics"/>
      </w:pPr>
      <w:r w:rsidRPr="00AD7AE3">
        <w:t>Hopper v Victoria</w:t>
      </w:r>
    </w:p>
    <w:p w14:paraId="2659C5BC" w14:textId="77777777" w:rsidR="00580BF2" w:rsidRPr="00427F3A" w:rsidRDefault="00580BF2" w:rsidP="00E90E4F">
      <w:pPr>
        <w:pStyle w:val="OrdersCentre"/>
      </w:pPr>
      <w:r>
        <w:t>[2026</w:t>
      </w:r>
      <w:r w:rsidRPr="00427F3A">
        <w:t xml:space="preserve">] HCA </w:t>
      </w:r>
      <w:r>
        <w:t>11</w:t>
      </w:r>
    </w:p>
    <w:p w14:paraId="5D038BD2" w14:textId="77777777" w:rsidR="00580BF2" w:rsidRDefault="00580BF2" w:rsidP="00E90E4F">
      <w:pPr>
        <w:pStyle w:val="OrdersCentreItalics"/>
      </w:pPr>
      <w:r>
        <w:t xml:space="preserve">Date of Hearing: </w:t>
      </w:r>
      <w:r w:rsidRPr="00AD7AE3">
        <w:t>3</w:t>
      </w:r>
      <w:r>
        <w:t xml:space="preserve"> &amp; 4</w:t>
      </w:r>
      <w:r w:rsidRPr="00AD7AE3">
        <w:t xml:space="preserve"> February 2026</w:t>
      </w:r>
    </w:p>
    <w:p w14:paraId="6C17DEEA" w14:textId="77777777" w:rsidR="00580BF2" w:rsidRPr="00427F3A" w:rsidRDefault="00580BF2" w:rsidP="00E90E4F">
      <w:pPr>
        <w:pStyle w:val="OrdersCentreItalics"/>
      </w:pPr>
      <w:r>
        <w:t>Date of Judgment: 15 April 2026</w:t>
      </w:r>
    </w:p>
    <w:p w14:paraId="6ACF98DD" w14:textId="77777777" w:rsidR="00580BF2" w:rsidRDefault="00580BF2" w:rsidP="00E90E4F">
      <w:pPr>
        <w:pStyle w:val="OrdersCentre"/>
      </w:pPr>
      <w:r w:rsidRPr="00AD7AE3">
        <w:t>M10/2025</w:t>
      </w:r>
    </w:p>
    <w:p w14:paraId="392838D1" w14:textId="77777777" w:rsidR="00580BF2" w:rsidRPr="00427F3A" w:rsidRDefault="00580BF2" w:rsidP="00E90E4F">
      <w:pPr>
        <w:pStyle w:val="OrdersCentre"/>
      </w:pPr>
    </w:p>
    <w:p w14:paraId="57187E5E" w14:textId="77777777" w:rsidR="00580BF2" w:rsidRPr="00BE0A6C" w:rsidRDefault="00580BF2" w:rsidP="00E90E4F">
      <w:pPr>
        <w:pStyle w:val="OrderCentreBold"/>
      </w:pPr>
      <w:r w:rsidRPr="00BE0A6C">
        <w:t>ORDER</w:t>
      </w:r>
    </w:p>
    <w:p w14:paraId="61B4D12F" w14:textId="77777777" w:rsidR="00580BF2" w:rsidRPr="00427F3A" w:rsidRDefault="00580BF2" w:rsidP="00736C52">
      <w:pPr>
        <w:pStyle w:val="Centre"/>
        <w:rPr>
          <w:lang w:val="en-AU"/>
        </w:rPr>
      </w:pPr>
    </w:p>
    <w:p w14:paraId="70C9EDA2" w14:textId="77777777" w:rsidR="00580BF2" w:rsidRDefault="00580BF2" w:rsidP="00AC399D">
      <w:pPr>
        <w:pStyle w:val="OrdersText"/>
        <w:ind w:left="0" w:firstLine="0"/>
      </w:pPr>
      <w:r w:rsidRPr="00DC11D7">
        <w:t xml:space="preserve">The questions stated for the opinion of the Full Court in the special case filed on </w:t>
      </w:r>
      <w:r>
        <w:t>22 September 2025</w:t>
      </w:r>
      <w:r w:rsidRPr="00DC11D7">
        <w:t xml:space="preserve"> be answered as follows:</w:t>
      </w:r>
    </w:p>
    <w:p w14:paraId="0DAE5FD5" w14:textId="77777777" w:rsidR="00580BF2" w:rsidRDefault="00580BF2" w:rsidP="00C74134">
      <w:pPr>
        <w:pStyle w:val="OrdersText"/>
      </w:pPr>
    </w:p>
    <w:p w14:paraId="759F2B25" w14:textId="77777777" w:rsidR="00580BF2" w:rsidRPr="00BE7E10" w:rsidRDefault="00580BF2" w:rsidP="00C14375">
      <w:pPr>
        <w:pStyle w:val="OrdersText"/>
        <w:ind w:left="1440" w:hanging="1440"/>
      </w:pPr>
      <w:r>
        <w:t>Question 1:</w:t>
      </w:r>
      <w:r>
        <w:tab/>
        <w:t xml:space="preserve">Is Pt 12 of the </w:t>
      </w:r>
      <w:r w:rsidRPr="00C14375">
        <w:rPr>
          <w:i w:val="0"/>
        </w:rPr>
        <w:t>Electoral Act 2002</w:t>
      </w:r>
      <w:r>
        <w:rPr>
          <w:iCs/>
        </w:rPr>
        <w:t xml:space="preserve"> </w:t>
      </w:r>
      <w:r w:rsidRPr="0033686E">
        <w:t>(Vic)</w:t>
      </w:r>
      <w:r>
        <w:t xml:space="preserve">, operating with the nominated entity exception in para (j) of the definition of "gift" in s 206(1) of the </w:t>
      </w:r>
      <w:r w:rsidRPr="00C14375">
        <w:rPr>
          <w:i w:val="0"/>
        </w:rPr>
        <w:t>Electoral Act 2002</w:t>
      </w:r>
      <w:r>
        <w:rPr>
          <w:iCs/>
        </w:rPr>
        <w:t xml:space="preserve"> </w:t>
      </w:r>
      <w:r>
        <w:t xml:space="preserve">(Vic), invalid (in whole or in part and, if in part, to what extent) because it impermissibly burdens the implied freedom of political communication, contrary to the Commonwealth </w:t>
      </w:r>
      <w:r w:rsidRPr="00474C22">
        <w:rPr>
          <w:i w:val="0"/>
        </w:rPr>
        <w:t>Constitution</w:t>
      </w:r>
      <w:r>
        <w:t>?</w:t>
      </w:r>
    </w:p>
    <w:p w14:paraId="76471031" w14:textId="77777777" w:rsidR="00580BF2" w:rsidRPr="001A2E47" w:rsidRDefault="00580BF2" w:rsidP="00C74134">
      <w:pPr>
        <w:pStyle w:val="OrdersText"/>
      </w:pPr>
    </w:p>
    <w:p w14:paraId="1F451B6B" w14:textId="77777777" w:rsidR="00580BF2" w:rsidRDefault="00580BF2" w:rsidP="00C74134">
      <w:pPr>
        <w:pStyle w:val="OrdersText"/>
      </w:pPr>
      <w:r w:rsidRPr="001A2E47">
        <w:t xml:space="preserve">Answer: </w:t>
      </w:r>
      <w:r>
        <w:tab/>
        <w:t>Yes, in whole.</w:t>
      </w:r>
    </w:p>
    <w:p w14:paraId="393995D6" w14:textId="77777777" w:rsidR="00580BF2" w:rsidRPr="001A2E47" w:rsidRDefault="00580BF2" w:rsidP="00C74134">
      <w:pPr>
        <w:pStyle w:val="OrdersText"/>
      </w:pPr>
    </w:p>
    <w:p w14:paraId="713614E5" w14:textId="77777777" w:rsidR="00580BF2" w:rsidRDefault="00580BF2" w:rsidP="00C74134">
      <w:pPr>
        <w:pStyle w:val="OrdersText"/>
      </w:pPr>
      <w:r>
        <w:t>Question 2:</w:t>
      </w:r>
      <w:r w:rsidRPr="001A2E47">
        <w:t xml:space="preserve"> </w:t>
      </w:r>
      <w:r>
        <w:tab/>
        <w:t>What, if any, relief should be granted to the plaintiffs?</w:t>
      </w:r>
    </w:p>
    <w:p w14:paraId="42CC9372" w14:textId="77777777" w:rsidR="00580BF2" w:rsidRPr="001A2E47" w:rsidRDefault="00580BF2" w:rsidP="00C74134">
      <w:pPr>
        <w:pStyle w:val="OrdersText"/>
      </w:pPr>
    </w:p>
    <w:p w14:paraId="3D4158CD" w14:textId="77777777" w:rsidR="00580BF2" w:rsidRPr="001A2E47" w:rsidRDefault="00580BF2" w:rsidP="00474C22">
      <w:pPr>
        <w:pStyle w:val="OrdersText"/>
        <w:ind w:left="1440" w:hanging="1440"/>
      </w:pPr>
      <w:r w:rsidRPr="001A2E47">
        <w:t xml:space="preserve">Answer: </w:t>
      </w:r>
      <w:r>
        <w:tab/>
        <w:t xml:space="preserve">It should be declared that Pt 12 of the </w:t>
      </w:r>
      <w:r w:rsidRPr="00474C22">
        <w:rPr>
          <w:i w:val="0"/>
        </w:rPr>
        <w:t>Electoral Act 2002</w:t>
      </w:r>
      <w:r>
        <w:rPr>
          <w:iCs/>
        </w:rPr>
        <w:t xml:space="preserve"> </w:t>
      </w:r>
      <w:r>
        <w:t>(Vic)</w:t>
      </w:r>
      <w:r>
        <w:rPr>
          <w:iCs/>
        </w:rPr>
        <w:t xml:space="preserve"> </w:t>
      </w:r>
      <w:r>
        <w:t>is invalid.</w:t>
      </w:r>
    </w:p>
    <w:p w14:paraId="0EF888E4" w14:textId="77777777" w:rsidR="00580BF2" w:rsidRPr="001A2E47" w:rsidRDefault="00580BF2" w:rsidP="00C74134">
      <w:pPr>
        <w:pStyle w:val="OrdersText"/>
      </w:pPr>
    </w:p>
    <w:p w14:paraId="6FA85330" w14:textId="77777777" w:rsidR="00580BF2" w:rsidRDefault="00580BF2" w:rsidP="00C74134">
      <w:pPr>
        <w:pStyle w:val="OrdersText"/>
      </w:pPr>
      <w:r>
        <w:t>Question 3:</w:t>
      </w:r>
      <w:r w:rsidRPr="001A2E47">
        <w:t xml:space="preserve"> </w:t>
      </w:r>
      <w:r>
        <w:tab/>
      </w:r>
      <w:r w:rsidRPr="001A2E47">
        <w:t xml:space="preserve">Who should pay the costs of the </w:t>
      </w:r>
      <w:r>
        <w:t>s</w:t>
      </w:r>
      <w:r w:rsidRPr="001A2E47">
        <w:t xml:space="preserve">pecial </w:t>
      </w:r>
      <w:r>
        <w:t>c</w:t>
      </w:r>
      <w:r w:rsidRPr="001A2E47">
        <w:t>ase?</w:t>
      </w:r>
    </w:p>
    <w:p w14:paraId="278C59C4" w14:textId="77777777" w:rsidR="00580BF2" w:rsidRDefault="00580BF2" w:rsidP="00C74134">
      <w:pPr>
        <w:pStyle w:val="OrdersText"/>
      </w:pPr>
    </w:p>
    <w:p w14:paraId="4E5C7B76" w14:textId="77777777" w:rsidR="00580BF2" w:rsidRPr="00D858A4" w:rsidRDefault="00580BF2" w:rsidP="00C74134">
      <w:pPr>
        <w:pStyle w:val="OrdersText"/>
      </w:pPr>
      <w:r w:rsidRPr="0003023E">
        <w:t xml:space="preserve">Answer: </w:t>
      </w:r>
      <w:r>
        <w:tab/>
        <w:t xml:space="preserve">The defendant. </w:t>
      </w:r>
    </w:p>
    <w:p w14:paraId="4CF92DBE" w14:textId="77777777" w:rsidR="00580BF2" w:rsidRDefault="00580BF2" w:rsidP="00EE5374">
      <w:pPr>
        <w:pStyle w:val="Body"/>
      </w:pPr>
    </w:p>
    <w:p w14:paraId="0E5C9DA1" w14:textId="65CF6BD2" w:rsidR="00580BF2" w:rsidRDefault="00580BF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616841AF" w14:textId="77ACD413" w:rsidR="00580BF2" w:rsidRDefault="00580BF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1217E788" w14:textId="77777777" w:rsidR="00580BF2" w:rsidRPr="00427F3A" w:rsidRDefault="00580BF2" w:rsidP="00E90E4F">
      <w:pPr>
        <w:pStyle w:val="OrdersBodyHeading"/>
      </w:pPr>
      <w:r w:rsidRPr="00427F3A">
        <w:lastRenderedPageBreak/>
        <w:t>Representation</w:t>
      </w:r>
    </w:p>
    <w:p w14:paraId="3A1A0F2B" w14:textId="77777777" w:rsidR="00580BF2" w:rsidRDefault="00580BF2" w:rsidP="00EE5374">
      <w:pPr>
        <w:pStyle w:val="Body"/>
      </w:pPr>
    </w:p>
    <w:p w14:paraId="14C4B865" w14:textId="77777777" w:rsidR="00580BF2" w:rsidRPr="0054738D" w:rsidRDefault="00580BF2" w:rsidP="00E90E4F">
      <w:pPr>
        <w:pStyle w:val="OrdersBody"/>
      </w:pPr>
      <w:r w:rsidRPr="0054738D">
        <w:t>R Merkel SC and B K Lim SC with L G Moretti for the plaintiffs (instructed by Ripple Legal Pty Ltd)</w:t>
      </w:r>
    </w:p>
    <w:p w14:paraId="59E2B103" w14:textId="77777777" w:rsidR="00580BF2" w:rsidRPr="0054738D" w:rsidRDefault="00580BF2" w:rsidP="001B3C97">
      <w:pPr>
        <w:pStyle w:val="Body"/>
      </w:pPr>
    </w:p>
    <w:p w14:paraId="68ADB460" w14:textId="77777777" w:rsidR="00580BF2" w:rsidRPr="0054738D" w:rsidRDefault="00580BF2" w:rsidP="00E90E4F">
      <w:pPr>
        <w:pStyle w:val="OrdersBody"/>
      </w:pPr>
      <w:r w:rsidRPr="0054738D">
        <w:t>A D Pound SC, Solicitor-General for the State of Victoria, with T M Wood and J A Vogan for the defendant (instructed by Victorian Government Solicitor)</w:t>
      </w:r>
    </w:p>
    <w:p w14:paraId="6AEDC37A" w14:textId="77777777" w:rsidR="00580BF2" w:rsidRPr="0054738D" w:rsidRDefault="00580BF2" w:rsidP="00A01277">
      <w:pPr>
        <w:pStyle w:val="Body"/>
      </w:pPr>
    </w:p>
    <w:p w14:paraId="3E712225" w14:textId="77777777" w:rsidR="00580BF2" w:rsidRPr="0054738D" w:rsidRDefault="00580BF2" w:rsidP="00EB2770">
      <w:pPr>
        <w:pStyle w:val="OrdersBody"/>
      </w:pPr>
      <w:r w:rsidRPr="0054738D">
        <w:t>R C A Higgins SC</w:t>
      </w:r>
      <w:r>
        <w:t xml:space="preserve"> </w:t>
      </w:r>
      <w:r w:rsidRPr="0054738D">
        <w:t>with N</w:t>
      </w:r>
      <w:r>
        <w:t xml:space="preserve"> </w:t>
      </w:r>
      <w:r w:rsidRPr="0054738D">
        <w:t>A</w:t>
      </w:r>
      <w:r>
        <w:t xml:space="preserve"> </w:t>
      </w:r>
      <w:r w:rsidRPr="0054738D">
        <w:t xml:space="preserve">Wootton and J Forrest </w:t>
      </w:r>
      <w:r>
        <w:t>for</w:t>
      </w:r>
      <w:r w:rsidRPr="0054738D">
        <w:t xml:space="preserve"> the Attorney-General of the Commonwealth, intervening (instructed by Australian Government Solicitor)</w:t>
      </w:r>
    </w:p>
    <w:p w14:paraId="1537C4FA" w14:textId="77777777" w:rsidR="00580BF2" w:rsidRDefault="00580BF2" w:rsidP="00A01277">
      <w:pPr>
        <w:pStyle w:val="Body"/>
      </w:pPr>
    </w:p>
    <w:p w14:paraId="178C7501" w14:textId="77777777" w:rsidR="00580BF2" w:rsidRDefault="00580BF2" w:rsidP="00A01277">
      <w:pPr>
        <w:pStyle w:val="Body"/>
      </w:pPr>
    </w:p>
    <w:p w14:paraId="02715419" w14:textId="77777777" w:rsidR="00580BF2" w:rsidRDefault="00580BF2" w:rsidP="00A01277">
      <w:pPr>
        <w:pStyle w:val="Body"/>
      </w:pPr>
    </w:p>
    <w:p w14:paraId="50B4076A" w14:textId="77777777" w:rsidR="00580BF2" w:rsidRDefault="00580BF2" w:rsidP="00A01277">
      <w:pPr>
        <w:pStyle w:val="Body"/>
      </w:pPr>
    </w:p>
    <w:p w14:paraId="258D6087" w14:textId="77777777" w:rsidR="00580BF2" w:rsidRDefault="00580BF2" w:rsidP="00A01277">
      <w:pPr>
        <w:pStyle w:val="Body"/>
      </w:pPr>
    </w:p>
    <w:p w14:paraId="3BBCDE8E" w14:textId="77777777" w:rsidR="00580BF2" w:rsidRDefault="00580BF2" w:rsidP="00A01277">
      <w:pPr>
        <w:pStyle w:val="Body"/>
      </w:pPr>
    </w:p>
    <w:p w14:paraId="57B2BA50" w14:textId="77777777" w:rsidR="00580BF2" w:rsidRDefault="00580BF2" w:rsidP="00A01277">
      <w:pPr>
        <w:pStyle w:val="Body"/>
      </w:pPr>
    </w:p>
    <w:p w14:paraId="7EA268E6" w14:textId="77777777" w:rsidR="00580BF2" w:rsidRDefault="00580BF2" w:rsidP="00A01277">
      <w:pPr>
        <w:pStyle w:val="Body"/>
      </w:pPr>
    </w:p>
    <w:p w14:paraId="379F3797" w14:textId="77777777" w:rsidR="00580BF2" w:rsidRDefault="00580BF2" w:rsidP="00A01277">
      <w:pPr>
        <w:pStyle w:val="Body"/>
      </w:pPr>
    </w:p>
    <w:p w14:paraId="72247564" w14:textId="77777777" w:rsidR="00580BF2" w:rsidRDefault="00580BF2" w:rsidP="00A01277">
      <w:pPr>
        <w:pStyle w:val="Body"/>
      </w:pPr>
    </w:p>
    <w:p w14:paraId="7BB87FDA" w14:textId="77777777" w:rsidR="00580BF2" w:rsidRDefault="00580BF2" w:rsidP="00A01277">
      <w:pPr>
        <w:pStyle w:val="Body"/>
      </w:pPr>
    </w:p>
    <w:p w14:paraId="700DB837" w14:textId="77777777" w:rsidR="00580BF2" w:rsidRDefault="00580BF2" w:rsidP="00A01277">
      <w:pPr>
        <w:pStyle w:val="Body"/>
      </w:pPr>
    </w:p>
    <w:p w14:paraId="59611715" w14:textId="77777777" w:rsidR="00580BF2" w:rsidRDefault="00580BF2" w:rsidP="00A01277">
      <w:pPr>
        <w:pStyle w:val="Body"/>
      </w:pPr>
    </w:p>
    <w:p w14:paraId="7CBF5944" w14:textId="77777777" w:rsidR="00580BF2" w:rsidRDefault="00580BF2" w:rsidP="00A01277">
      <w:pPr>
        <w:pStyle w:val="Body"/>
      </w:pPr>
    </w:p>
    <w:p w14:paraId="53D08155" w14:textId="77777777" w:rsidR="00580BF2" w:rsidRDefault="00580BF2" w:rsidP="00A01277">
      <w:pPr>
        <w:pStyle w:val="Body"/>
      </w:pPr>
    </w:p>
    <w:p w14:paraId="00FE8EFF" w14:textId="77777777" w:rsidR="00580BF2" w:rsidRDefault="00580BF2" w:rsidP="00A01277">
      <w:pPr>
        <w:pStyle w:val="Body"/>
      </w:pPr>
    </w:p>
    <w:p w14:paraId="40C07C71" w14:textId="77777777" w:rsidR="00580BF2" w:rsidRDefault="00580BF2" w:rsidP="00A01277">
      <w:pPr>
        <w:pStyle w:val="Body"/>
      </w:pPr>
    </w:p>
    <w:p w14:paraId="3372D08C" w14:textId="77777777" w:rsidR="00580BF2" w:rsidRDefault="00580BF2" w:rsidP="00A01277">
      <w:pPr>
        <w:pStyle w:val="Body"/>
      </w:pPr>
    </w:p>
    <w:p w14:paraId="56B75377" w14:textId="77777777" w:rsidR="00580BF2" w:rsidRDefault="00580BF2" w:rsidP="00A01277">
      <w:pPr>
        <w:pStyle w:val="Body"/>
      </w:pPr>
    </w:p>
    <w:p w14:paraId="5209D671" w14:textId="77777777" w:rsidR="00580BF2" w:rsidRDefault="00580BF2" w:rsidP="00A01277">
      <w:pPr>
        <w:pStyle w:val="Body"/>
      </w:pPr>
    </w:p>
    <w:p w14:paraId="5E74A190" w14:textId="77777777" w:rsidR="00580BF2" w:rsidRDefault="00580BF2" w:rsidP="00A01277">
      <w:pPr>
        <w:pStyle w:val="Body"/>
      </w:pPr>
    </w:p>
    <w:p w14:paraId="429585FE" w14:textId="77777777" w:rsidR="00580BF2" w:rsidRDefault="00580BF2" w:rsidP="00A01277">
      <w:pPr>
        <w:pStyle w:val="Body"/>
      </w:pPr>
    </w:p>
    <w:p w14:paraId="2FF4A42B" w14:textId="77777777" w:rsidR="00580BF2" w:rsidRDefault="00580BF2" w:rsidP="00A01277">
      <w:pPr>
        <w:pStyle w:val="Body"/>
      </w:pPr>
    </w:p>
    <w:p w14:paraId="3B66FC76" w14:textId="77777777" w:rsidR="00580BF2" w:rsidRDefault="00580BF2" w:rsidP="00A01277">
      <w:pPr>
        <w:pStyle w:val="Body"/>
      </w:pPr>
    </w:p>
    <w:p w14:paraId="78F00AF6" w14:textId="77777777" w:rsidR="00580BF2" w:rsidRDefault="00580BF2" w:rsidP="00A01277">
      <w:pPr>
        <w:pStyle w:val="Body"/>
      </w:pPr>
    </w:p>
    <w:p w14:paraId="2BE1863D" w14:textId="77777777" w:rsidR="00580BF2" w:rsidRDefault="00580BF2" w:rsidP="00A01277">
      <w:pPr>
        <w:pStyle w:val="Body"/>
      </w:pPr>
    </w:p>
    <w:p w14:paraId="05E7AA34" w14:textId="77777777" w:rsidR="00580BF2" w:rsidRPr="00427F3A" w:rsidRDefault="00580BF2" w:rsidP="00EE5374">
      <w:pPr>
        <w:pStyle w:val="Body"/>
      </w:pPr>
    </w:p>
    <w:p w14:paraId="237950C7" w14:textId="77777777" w:rsidR="00580BF2" w:rsidRPr="00427F3A" w:rsidRDefault="00580BF2" w:rsidP="00F9713B">
      <w:pPr>
        <w:pStyle w:val="Notice"/>
        <w:rPr>
          <w:lang w:val="en-AU"/>
        </w:rPr>
      </w:pPr>
      <w:r w:rsidRPr="00427F3A">
        <w:rPr>
          <w:lang w:val="en-AU"/>
        </w:rPr>
        <w:t>Notice:  This copy of the Court's Reasons for Judgment is subject to formal revision prior to publication in the Commonwealth Law Reports.</w:t>
      </w:r>
    </w:p>
    <w:p w14:paraId="5845274D" w14:textId="31EF5ADC" w:rsidR="00580BF2" w:rsidRDefault="00580BF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7657750" w14:textId="77777777" w:rsidR="003736E5" w:rsidRDefault="00580BF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3736E5" w:rsidSect="00580BF2">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0BC08348" w14:textId="77777777" w:rsidR="003736E5" w:rsidRDefault="003736E5" w:rsidP="003736E5">
      <w:pPr>
        <w:pStyle w:val="CatchwordsBold"/>
      </w:pPr>
      <w:r w:rsidRPr="00B9489E">
        <w:lastRenderedPageBreak/>
        <w:t>CATCHWORDS</w:t>
      </w:r>
    </w:p>
    <w:p w14:paraId="73790D23" w14:textId="77777777" w:rsidR="003736E5" w:rsidRPr="00B9489E" w:rsidRDefault="003736E5" w:rsidP="003736E5">
      <w:pPr>
        <w:pStyle w:val="CatchwordsBold"/>
      </w:pPr>
    </w:p>
    <w:p w14:paraId="05F9E976" w14:textId="77777777" w:rsidR="003736E5" w:rsidRPr="00B9489E" w:rsidRDefault="003736E5" w:rsidP="003736E5">
      <w:pPr>
        <w:pStyle w:val="CatchwordsBold"/>
      </w:pPr>
      <w:r>
        <w:t xml:space="preserve">Hopper v Victoria </w:t>
      </w:r>
    </w:p>
    <w:p w14:paraId="5F7DFD27" w14:textId="77777777" w:rsidR="003736E5" w:rsidRPr="00B9489E" w:rsidRDefault="003736E5" w:rsidP="003736E5">
      <w:pPr>
        <w:pStyle w:val="CatchwordsBold"/>
      </w:pPr>
    </w:p>
    <w:p w14:paraId="7F659E3A" w14:textId="77777777" w:rsidR="003736E5" w:rsidRDefault="003736E5" w:rsidP="003736E5">
      <w:pPr>
        <w:pStyle w:val="CatchwordsText"/>
      </w:pPr>
      <w:r w:rsidRPr="003736E5">
        <w:t>Constitutional</w:t>
      </w:r>
      <w:r>
        <w:t xml:space="preserve"> law (</w:t>
      </w:r>
      <w:proofErr w:type="spellStart"/>
      <w:r>
        <w:t>Cth</w:t>
      </w:r>
      <w:proofErr w:type="spellEnd"/>
      <w:r>
        <w:t xml:space="preserve">) – Implied freedom of communication about government or political matters – Where certain provisions of Pt 12 of </w:t>
      </w:r>
      <w:r w:rsidRPr="4181EF5A">
        <w:rPr>
          <w:i/>
          <w:iCs/>
        </w:rPr>
        <w:t>Electoral Act 2002</w:t>
      </w:r>
      <w:r>
        <w:t xml:space="preserve"> (Vic) imposed general cap on political donations from a single donor within election period with exception for gifts between registered political party and nominated entity of registered political party ("nominated entity exception") – Where s 222F of </w:t>
      </w:r>
      <w:r w:rsidRPr="4181EF5A">
        <w:rPr>
          <w:i/>
          <w:iCs/>
        </w:rPr>
        <w:t>Electoral Act</w:t>
      </w:r>
      <w:r>
        <w:t xml:space="preserve"> permitted registered political party to appoint nominated entity on two alternative sets of eligibility criteria – Where second set of eligibility criteria only available if first appointment of entity as nominated entity made before 1 July 2020 ("time limitation in s 222F(3)") – Where only major parties appointed entities as nominated entities before 1 July 2020 – Where nominated entities of major parties well-capitalised prior to operation of general cap – Where assets of nominated entities of major parties significantly exceed what could lawfully be raised by individual candidate or uncapitalised nominated entity subject to general cap – Where defendant conceded time limitation in s 222F(3) invalid – Whether Pt 12 in operation with nominated entity exception invalid – Whether aspects of Pt 12 severable.</w:t>
      </w:r>
    </w:p>
    <w:p w14:paraId="787407D6" w14:textId="77777777" w:rsidR="003736E5" w:rsidRPr="003736E5" w:rsidRDefault="003736E5" w:rsidP="003736E5">
      <w:pPr>
        <w:pStyle w:val="CatchwordsText"/>
      </w:pPr>
    </w:p>
    <w:p w14:paraId="165D84D2" w14:textId="77777777" w:rsidR="003736E5" w:rsidRDefault="003736E5" w:rsidP="003736E5">
      <w:pPr>
        <w:pStyle w:val="CatchwordsText"/>
      </w:pPr>
      <w:r>
        <w:t>Words and phrases – "candidate", "constitutionally prescribed system of representative and responsible government", "differential burden", "effective burden", "effective constraint", "election", "eligibility criteria", "general cap", "gift", "illegitimate purpose", "implied freedom of political communication", "impugned law", "impugned provisions", "indirect burden", "inextricable connection", "justified", "law", "legacy parties", "legal rule", "legislative purpose", "legitimate purpose", "level of generality", "major parties", "nominated entity", "nominated entity exception", "political donation", "political expenditure", "proper objective", "proportionality", "provision", "reasonably appropriate and adapted", "registered political party", "regulated person or entity", "risk of corruption and undue influence", "severance".</w:t>
      </w:r>
    </w:p>
    <w:p w14:paraId="1CBD2B4E" w14:textId="77777777" w:rsidR="003736E5" w:rsidRPr="003736E5" w:rsidRDefault="003736E5" w:rsidP="003736E5">
      <w:pPr>
        <w:pStyle w:val="CatchwordsText"/>
      </w:pPr>
    </w:p>
    <w:p w14:paraId="20331FF6" w14:textId="77777777" w:rsidR="003736E5" w:rsidRDefault="003736E5" w:rsidP="003736E5">
      <w:pPr>
        <w:pStyle w:val="CatchwordsText"/>
      </w:pPr>
      <w:r w:rsidRPr="4181EF5A">
        <w:rPr>
          <w:i/>
          <w:iCs/>
        </w:rPr>
        <w:t xml:space="preserve">Electoral Act 2002 </w:t>
      </w:r>
      <w:r>
        <w:t>(Vic), ss 3, 45(2)(c), 50(1)(a)(ii), 69A, Pt 4, Pt 12.</w:t>
      </w:r>
    </w:p>
    <w:p w14:paraId="645DE4ED" w14:textId="77777777" w:rsidR="003736E5" w:rsidRPr="001E2DCC" w:rsidRDefault="003736E5" w:rsidP="003736E5">
      <w:pPr>
        <w:pStyle w:val="CatchwordsText"/>
        <w:rPr>
          <w:iCs/>
        </w:rPr>
      </w:pPr>
      <w:r w:rsidRPr="003736E5">
        <w:rPr>
          <w:i/>
          <w:iCs/>
        </w:rPr>
        <w:t>Electoral Legislation Amendment Act 2018</w:t>
      </w:r>
      <w:r>
        <w:rPr>
          <w:iCs/>
        </w:rPr>
        <w:t xml:space="preserve"> (Vic), s 1(a)(ii).</w:t>
      </w:r>
    </w:p>
    <w:p w14:paraId="012439A9" w14:textId="77777777" w:rsidR="003736E5" w:rsidRDefault="003736E5" w:rsidP="003736E5">
      <w:pPr>
        <w:pStyle w:val="CatchwordsText"/>
      </w:pPr>
      <w:r w:rsidRPr="003736E5">
        <w:rPr>
          <w:i/>
          <w:iCs/>
        </w:rPr>
        <w:t>Interpretation of Legislation Act 1984</w:t>
      </w:r>
      <w:r w:rsidRPr="4181EF5A">
        <w:t xml:space="preserve"> </w:t>
      </w:r>
      <w:r>
        <w:t>(Vic), ss 4(1)(a), 6(1), 38.</w:t>
      </w:r>
    </w:p>
    <w:p w14:paraId="467D6963" w14:textId="6672E3C1" w:rsidR="00580BF2" w:rsidRDefault="003736E5" w:rsidP="003736E5">
      <w:pPr>
        <w:pStyle w:val="CatchwordsText"/>
      </w:pPr>
      <w:r w:rsidRPr="003736E5">
        <w:rPr>
          <w:i/>
          <w:iCs/>
        </w:rPr>
        <w:t>Corporations Act 2001</w:t>
      </w:r>
      <w:r w:rsidRPr="4181EF5A">
        <w:t xml:space="preserve"> (</w:t>
      </w:r>
      <w:proofErr w:type="spellStart"/>
      <w:r w:rsidRPr="4181EF5A">
        <w:t>Cth</w:t>
      </w:r>
      <w:proofErr w:type="spellEnd"/>
      <w:r w:rsidRPr="4181EF5A">
        <w:t>), s 50AA.</w:t>
      </w:r>
    </w:p>
    <w:p w14:paraId="55535E77" w14:textId="645430A5" w:rsidR="003736E5" w:rsidRDefault="003736E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CDB293F" w14:textId="4ECA20AA" w:rsidR="003736E5" w:rsidRDefault="003736E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3B53FE3D" w14:textId="77777777" w:rsidR="00580BF2" w:rsidRDefault="00580BF2" w:rsidP="00D900FF">
      <w:pPr>
        <w:pStyle w:val="FixListStyle"/>
        <w:tabs>
          <w:tab w:val="clear" w:pos="720"/>
          <w:tab w:val="left" w:pos="0"/>
        </w:tabs>
        <w:spacing w:after="260" w:line="280" w:lineRule="exact"/>
        <w:ind w:right="0"/>
        <w:jc w:val="both"/>
        <w:rPr>
          <w:rFonts w:ascii="Times New Roman" w:hAnsi="Times New Roman"/>
        </w:rPr>
        <w:sectPr w:rsidR="00580BF2" w:rsidSect="003736E5">
          <w:pgSz w:w="11907" w:h="16839" w:code="9"/>
          <w:pgMar w:top="1440" w:right="1701" w:bottom="1984" w:left="1701" w:header="720" w:footer="720" w:gutter="0"/>
          <w:pgNumType w:start="1"/>
          <w:cols w:space="720"/>
          <w:titlePg/>
          <w:docGrid w:linePitch="354"/>
        </w:sectPr>
      </w:pPr>
    </w:p>
    <w:p w14:paraId="5B18C955" w14:textId="6B691E3D" w:rsidR="00FA7435" w:rsidRPr="00D900FF" w:rsidRDefault="00D900FF" w:rsidP="00D900FF">
      <w:pPr>
        <w:pStyle w:val="FixListStyle"/>
        <w:tabs>
          <w:tab w:val="clear" w:pos="720"/>
          <w:tab w:val="left" w:pos="0"/>
        </w:tabs>
        <w:spacing w:after="260" w:line="280" w:lineRule="exact"/>
        <w:ind w:right="0"/>
        <w:jc w:val="both"/>
        <w:rPr>
          <w:rFonts w:ascii="Times New Roman" w:hAnsi="Times New Roman"/>
        </w:rPr>
      </w:pPr>
      <w:r w:rsidRPr="00D900FF">
        <w:rPr>
          <w:rFonts w:ascii="Times New Roman" w:hAnsi="Times New Roman"/>
        </w:rPr>
        <w:lastRenderedPageBreak/>
        <w:t xml:space="preserve">GAGELER CJ, GORDON, JAGOT AND BEECH-JONES JJ.   </w:t>
      </w:r>
      <w:r w:rsidR="00587CBA" w:rsidRPr="00D900FF">
        <w:rPr>
          <w:rFonts w:ascii="Times New Roman" w:hAnsi="Times New Roman"/>
        </w:rPr>
        <w:t>The plaintiffs</w:t>
      </w:r>
      <w:r w:rsidR="00402933" w:rsidRPr="00D900FF">
        <w:rPr>
          <w:rFonts w:ascii="Times New Roman" w:hAnsi="Times New Roman"/>
        </w:rPr>
        <w:t xml:space="preserve"> </w:t>
      </w:r>
      <w:r w:rsidR="00587CBA" w:rsidRPr="00D900FF">
        <w:rPr>
          <w:rFonts w:ascii="Times New Roman" w:hAnsi="Times New Roman"/>
        </w:rPr>
        <w:t>contested the 2022 Victorian State election</w:t>
      </w:r>
      <w:r w:rsidR="00402933" w:rsidRPr="00D900FF">
        <w:rPr>
          <w:rFonts w:ascii="Times New Roman" w:hAnsi="Times New Roman"/>
        </w:rPr>
        <w:t xml:space="preserve"> </w:t>
      </w:r>
      <w:r w:rsidR="00993918" w:rsidRPr="00D900FF">
        <w:rPr>
          <w:rFonts w:ascii="Times New Roman" w:hAnsi="Times New Roman"/>
        </w:rPr>
        <w:t>as</w:t>
      </w:r>
      <w:r w:rsidR="00402933" w:rsidRPr="00D900FF">
        <w:rPr>
          <w:rFonts w:ascii="Times New Roman" w:hAnsi="Times New Roman"/>
        </w:rPr>
        <w:t xml:space="preserve"> independent candidates</w:t>
      </w:r>
      <w:r w:rsidR="004F6C65" w:rsidRPr="00D900FF">
        <w:rPr>
          <w:rFonts w:ascii="Times New Roman" w:hAnsi="Times New Roman"/>
        </w:rPr>
        <w:t>, in</w:t>
      </w:r>
      <w:r w:rsidR="004B12C6">
        <w:rPr>
          <w:rFonts w:ascii="Times New Roman" w:hAnsi="Times New Roman"/>
        </w:rPr>
        <w:t> </w:t>
      </w:r>
      <w:r w:rsidR="004F6C65" w:rsidRPr="00D900FF">
        <w:rPr>
          <w:rFonts w:ascii="Times New Roman" w:hAnsi="Times New Roman"/>
        </w:rPr>
        <w:t>the</w:t>
      </w:r>
      <w:r w:rsidR="004B12C6">
        <w:rPr>
          <w:rFonts w:ascii="Times New Roman" w:hAnsi="Times New Roman"/>
        </w:rPr>
        <w:t> </w:t>
      </w:r>
      <w:r w:rsidR="004F6C65" w:rsidRPr="00D900FF">
        <w:rPr>
          <w:rFonts w:ascii="Times New Roman" w:hAnsi="Times New Roman"/>
        </w:rPr>
        <w:t>districts of Werribee and Hawthorn respectively</w:t>
      </w:r>
      <w:r w:rsidR="00587CBA" w:rsidRPr="00D900FF">
        <w:rPr>
          <w:rFonts w:ascii="Times New Roman" w:hAnsi="Times New Roman"/>
        </w:rPr>
        <w:t>.</w:t>
      </w:r>
      <w:r w:rsidR="00BF4362" w:rsidRPr="00D900FF">
        <w:rPr>
          <w:rFonts w:ascii="Times New Roman" w:hAnsi="Times New Roman"/>
        </w:rPr>
        <w:t xml:space="preserve"> </w:t>
      </w:r>
      <w:r w:rsidR="000F3B51" w:rsidRPr="00D900FF">
        <w:rPr>
          <w:rFonts w:ascii="Times New Roman" w:hAnsi="Times New Roman"/>
        </w:rPr>
        <w:t xml:space="preserve">The </w:t>
      </w:r>
      <w:r w:rsidR="00576C36" w:rsidRPr="00D900FF">
        <w:rPr>
          <w:rFonts w:ascii="Times New Roman" w:hAnsi="Times New Roman"/>
        </w:rPr>
        <w:t>f</w:t>
      </w:r>
      <w:r w:rsidR="000F3B51" w:rsidRPr="00D900FF">
        <w:rPr>
          <w:rFonts w:ascii="Times New Roman" w:hAnsi="Times New Roman"/>
        </w:rPr>
        <w:t xml:space="preserve">irst </w:t>
      </w:r>
      <w:r w:rsidR="00576C36" w:rsidRPr="00D900FF">
        <w:rPr>
          <w:rFonts w:ascii="Times New Roman" w:hAnsi="Times New Roman"/>
        </w:rPr>
        <w:t>p</w:t>
      </w:r>
      <w:r w:rsidR="000F3B51" w:rsidRPr="00D900FF">
        <w:rPr>
          <w:rFonts w:ascii="Times New Roman" w:hAnsi="Times New Roman"/>
        </w:rPr>
        <w:t>laintif</w:t>
      </w:r>
      <w:r w:rsidR="00C56EAD" w:rsidRPr="00D900FF">
        <w:rPr>
          <w:rFonts w:ascii="Times New Roman" w:hAnsi="Times New Roman"/>
        </w:rPr>
        <w:t>f, Mr Paul Ho</w:t>
      </w:r>
      <w:r w:rsidR="0046555E" w:rsidRPr="00D900FF">
        <w:rPr>
          <w:rFonts w:ascii="Times New Roman" w:hAnsi="Times New Roman"/>
        </w:rPr>
        <w:t>p</w:t>
      </w:r>
      <w:r w:rsidR="00C56EAD" w:rsidRPr="00D900FF">
        <w:rPr>
          <w:rFonts w:ascii="Times New Roman" w:hAnsi="Times New Roman"/>
        </w:rPr>
        <w:t>per,</w:t>
      </w:r>
      <w:r w:rsidR="000F3B51" w:rsidRPr="00D900FF">
        <w:rPr>
          <w:rFonts w:ascii="Times New Roman" w:hAnsi="Times New Roman"/>
        </w:rPr>
        <w:t xml:space="preserve"> also contested the 2025 State byelection in the district of Werribee. He</w:t>
      </w:r>
      <w:r w:rsidR="006B277D" w:rsidRPr="00D900FF">
        <w:rPr>
          <w:rFonts w:ascii="Times New Roman" w:hAnsi="Times New Roman"/>
        </w:rPr>
        <w:t> </w:t>
      </w:r>
      <w:r w:rsidR="000F3B51" w:rsidRPr="00D900FF">
        <w:rPr>
          <w:rFonts w:ascii="Times New Roman" w:hAnsi="Times New Roman"/>
        </w:rPr>
        <w:t>has established a political party, The West Party Inc</w:t>
      </w:r>
      <w:r w:rsidR="009778CA" w:rsidRPr="00D900FF">
        <w:rPr>
          <w:rFonts w:ascii="Times New Roman" w:hAnsi="Times New Roman"/>
        </w:rPr>
        <w:t xml:space="preserve"> ("</w:t>
      </w:r>
      <w:r w:rsidR="00A32A1C" w:rsidRPr="00D900FF">
        <w:rPr>
          <w:rFonts w:ascii="Times New Roman" w:hAnsi="Times New Roman"/>
        </w:rPr>
        <w:t xml:space="preserve">the </w:t>
      </w:r>
      <w:r w:rsidR="009778CA" w:rsidRPr="00D900FF">
        <w:rPr>
          <w:rFonts w:ascii="Times New Roman" w:hAnsi="Times New Roman"/>
        </w:rPr>
        <w:t>West Party")</w:t>
      </w:r>
      <w:r w:rsidR="000F3B51" w:rsidRPr="00D900FF">
        <w:rPr>
          <w:rFonts w:ascii="Times New Roman" w:hAnsi="Times New Roman"/>
        </w:rPr>
        <w:t>, which aims</w:t>
      </w:r>
      <w:r w:rsidR="000B4387" w:rsidRPr="00D900FF">
        <w:rPr>
          <w:rFonts w:ascii="Times New Roman" w:hAnsi="Times New Roman"/>
        </w:rPr>
        <w:t xml:space="preserve"> </w:t>
      </w:r>
      <w:r w:rsidR="000F3B51" w:rsidRPr="00D900FF">
        <w:rPr>
          <w:rFonts w:ascii="Times New Roman" w:hAnsi="Times New Roman"/>
        </w:rPr>
        <w:t xml:space="preserve">to be registered as a </w:t>
      </w:r>
      <w:r w:rsidR="00BB4C80" w:rsidRPr="00D900FF">
        <w:rPr>
          <w:rFonts w:ascii="Times New Roman" w:hAnsi="Times New Roman"/>
        </w:rPr>
        <w:t>"</w:t>
      </w:r>
      <w:r w:rsidR="00153527" w:rsidRPr="00D900FF">
        <w:rPr>
          <w:rFonts w:ascii="Times New Roman" w:hAnsi="Times New Roman"/>
        </w:rPr>
        <w:t>registered political party</w:t>
      </w:r>
      <w:r w:rsidR="00BB4C80" w:rsidRPr="00D900FF">
        <w:rPr>
          <w:rFonts w:ascii="Times New Roman" w:hAnsi="Times New Roman"/>
        </w:rPr>
        <w:t>"</w:t>
      </w:r>
      <w:r w:rsidR="000B4387" w:rsidRPr="00D900FF">
        <w:rPr>
          <w:rFonts w:ascii="Times New Roman" w:hAnsi="Times New Roman"/>
        </w:rPr>
        <w:t xml:space="preserve"> </w:t>
      </w:r>
      <w:r w:rsidR="000F3B51" w:rsidRPr="00D900FF">
        <w:rPr>
          <w:rFonts w:ascii="Times New Roman" w:hAnsi="Times New Roman"/>
        </w:rPr>
        <w:t xml:space="preserve">under </w:t>
      </w:r>
      <w:r w:rsidR="009E08B4" w:rsidRPr="00D900FF">
        <w:rPr>
          <w:rFonts w:ascii="Times New Roman" w:hAnsi="Times New Roman"/>
        </w:rPr>
        <w:t xml:space="preserve">Pt 4 of </w:t>
      </w:r>
      <w:r w:rsidR="000F3B51" w:rsidRPr="00D900FF">
        <w:rPr>
          <w:rFonts w:ascii="Times New Roman" w:hAnsi="Times New Roman"/>
        </w:rPr>
        <w:t xml:space="preserve">the </w:t>
      </w:r>
      <w:r w:rsidR="000F3B51" w:rsidRPr="00D900FF">
        <w:rPr>
          <w:rFonts w:ascii="Times New Roman" w:hAnsi="Times New Roman"/>
          <w:i/>
          <w:iCs/>
        </w:rPr>
        <w:t>Electoral Act</w:t>
      </w:r>
      <w:r w:rsidR="000F3B51" w:rsidRPr="00D900FF">
        <w:rPr>
          <w:rFonts w:ascii="Times New Roman" w:hAnsi="Times New Roman"/>
        </w:rPr>
        <w:t xml:space="preserve"> </w:t>
      </w:r>
      <w:r w:rsidR="00226A8D" w:rsidRPr="00D900FF">
        <w:rPr>
          <w:rFonts w:ascii="Times New Roman" w:hAnsi="Times New Roman"/>
          <w:i/>
          <w:iCs/>
        </w:rPr>
        <w:t xml:space="preserve">2002 </w:t>
      </w:r>
      <w:r w:rsidR="00226A8D" w:rsidRPr="00D900FF">
        <w:rPr>
          <w:rFonts w:ascii="Times New Roman" w:hAnsi="Times New Roman"/>
        </w:rPr>
        <w:t xml:space="preserve">(Vic) </w:t>
      </w:r>
      <w:r w:rsidR="000F3B51" w:rsidRPr="00D900FF">
        <w:rPr>
          <w:rFonts w:ascii="Times New Roman" w:hAnsi="Times New Roman"/>
        </w:rPr>
        <w:t>and to run</w:t>
      </w:r>
      <w:r w:rsidR="000B4387" w:rsidRPr="00D900FF">
        <w:rPr>
          <w:rFonts w:ascii="Times New Roman" w:hAnsi="Times New Roman"/>
        </w:rPr>
        <w:t xml:space="preserve"> </w:t>
      </w:r>
      <w:r w:rsidR="000F3B51" w:rsidRPr="00D900FF">
        <w:rPr>
          <w:rFonts w:ascii="Times New Roman" w:hAnsi="Times New Roman"/>
        </w:rPr>
        <w:t>candidates in all of the western metropolitan districts of Melbourne in the 2026 State</w:t>
      </w:r>
      <w:r w:rsidR="0005028D" w:rsidRPr="00D900FF">
        <w:rPr>
          <w:rFonts w:ascii="Times New Roman" w:hAnsi="Times New Roman"/>
        </w:rPr>
        <w:t xml:space="preserve"> </w:t>
      </w:r>
      <w:r w:rsidR="000F3B51" w:rsidRPr="00D900FF">
        <w:rPr>
          <w:rFonts w:ascii="Times New Roman" w:hAnsi="Times New Roman"/>
        </w:rPr>
        <w:t>election. His nomination as the</w:t>
      </w:r>
      <w:r w:rsidR="00A4210D" w:rsidRPr="00D900FF">
        <w:rPr>
          <w:rFonts w:ascii="Times New Roman" w:hAnsi="Times New Roman"/>
        </w:rPr>
        <w:t> </w:t>
      </w:r>
      <w:r w:rsidR="000F3B51" w:rsidRPr="00D900FF">
        <w:rPr>
          <w:rFonts w:ascii="Times New Roman" w:hAnsi="Times New Roman"/>
        </w:rPr>
        <w:t>West Party</w:t>
      </w:r>
      <w:r w:rsidR="0005028D" w:rsidRPr="00D900FF">
        <w:rPr>
          <w:rFonts w:ascii="Times New Roman" w:hAnsi="Times New Roman"/>
        </w:rPr>
        <w:t>'</w:t>
      </w:r>
      <w:r w:rsidR="000F3B51" w:rsidRPr="00D900FF">
        <w:rPr>
          <w:rFonts w:ascii="Times New Roman" w:hAnsi="Times New Roman"/>
        </w:rPr>
        <w:t>s candidate in the district of</w:t>
      </w:r>
      <w:r w:rsidR="0005028D" w:rsidRPr="00D900FF">
        <w:rPr>
          <w:rFonts w:ascii="Times New Roman" w:hAnsi="Times New Roman"/>
        </w:rPr>
        <w:t xml:space="preserve"> </w:t>
      </w:r>
      <w:r w:rsidR="000F3B51" w:rsidRPr="00D900FF">
        <w:rPr>
          <w:rFonts w:ascii="Times New Roman" w:hAnsi="Times New Roman"/>
        </w:rPr>
        <w:t>Werribee in the 2026 State election has been accepted by the</w:t>
      </w:r>
      <w:r w:rsidR="007A2AC3">
        <w:rPr>
          <w:rFonts w:ascii="Times New Roman" w:hAnsi="Times New Roman"/>
        </w:rPr>
        <w:t> </w:t>
      </w:r>
      <w:r w:rsidR="000F3B51" w:rsidRPr="00D900FF">
        <w:rPr>
          <w:rFonts w:ascii="Times New Roman" w:hAnsi="Times New Roman"/>
        </w:rPr>
        <w:t>members of the West Party. The</w:t>
      </w:r>
      <w:r w:rsidR="00DD53FE" w:rsidRPr="00D900FF">
        <w:rPr>
          <w:rFonts w:ascii="Times New Roman" w:hAnsi="Times New Roman"/>
        </w:rPr>
        <w:t> </w:t>
      </w:r>
      <w:r w:rsidR="00B93763" w:rsidRPr="00D900FF">
        <w:rPr>
          <w:rFonts w:ascii="Times New Roman" w:hAnsi="Times New Roman"/>
        </w:rPr>
        <w:t>s</w:t>
      </w:r>
      <w:r w:rsidR="000F3B51" w:rsidRPr="00D900FF">
        <w:rPr>
          <w:rFonts w:ascii="Times New Roman" w:hAnsi="Times New Roman"/>
        </w:rPr>
        <w:t xml:space="preserve">econd </w:t>
      </w:r>
      <w:r w:rsidR="00B93763" w:rsidRPr="00D900FF">
        <w:rPr>
          <w:rFonts w:ascii="Times New Roman" w:hAnsi="Times New Roman"/>
        </w:rPr>
        <w:t>p</w:t>
      </w:r>
      <w:r w:rsidR="000F3B51" w:rsidRPr="00D900FF">
        <w:rPr>
          <w:rFonts w:ascii="Times New Roman" w:hAnsi="Times New Roman"/>
        </w:rPr>
        <w:t>laintiff</w:t>
      </w:r>
      <w:r w:rsidR="00226A8D" w:rsidRPr="00D900FF">
        <w:rPr>
          <w:rFonts w:ascii="Times New Roman" w:hAnsi="Times New Roman"/>
        </w:rPr>
        <w:t>, Ms Melissa Lowe,</w:t>
      </w:r>
      <w:r w:rsidR="000F3B51" w:rsidRPr="00D900FF">
        <w:rPr>
          <w:rFonts w:ascii="Times New Roman" w:hAnsi="Times New Roman"/>
        </w:rPr>
        <w:t xml:space="preserve"> has</w:t>
      </w:r>
      <w:r w:rsidR="007A2AC3">
        <w:rPr>
          <w:rFonts w:ascii="Times New Roman" w:hAnsi="Times New Roman"/>
        </w:rPr>
        <w:t> </w:t>
      </w:r>
      <w:r w:rsidR="000F3B51" w:rsidRPr="00D900FF">
        <w:rPr>
          <w:rFonts w:ascii="Times New Roman" w:hAnsi="Times New Roman"/>
        </w:rPr>
        <w:t>publicly announced her intention to again be an</w:t>
      </w:r>
      <w:r w:rsidR="0001485C" w:rsidRPr="00D900FF">
        <w:rPr>
          <w:rFonts w:ascii="Times New Roman" w:hAnsi="Times New Roman"/>
        </w:rPr>
        <w:t xml:space="preserve"> </w:t>
      </w:r>
      <w:r w:rsidR="000F3B51" w:rsidRPr="00D900FF">
        <w:rPr>
          <w:rFonts w:ascii="Times New Roman" w:hAnsi="Times New Roman"/>
        </w:rPr>
        <w:t>independent candidate in the</w:t>
      </w:r>
      <w:r w:rsidR="007A2AC3">
        <w:rPr>
          <w:rFonts w:ascii="Times New Roman" w:hAnsi="Times New Roman"/>
        </w:rPr>
        <w:t> </w:t>
      </w:r>
      <w:r w:rsidR="000F3B51" w:rsidRPr="00D900FF">
        <w:rPr>
          <w:rFonts w:ascii="Times New Roman" w:hAnsi="Times New Roman"/>
        </w:rPr>
        <w:t>2026 State election in the district of Hawthorn. Each</w:t>
      </w:r>
      <w:r w:rsidR="0001485C" w:rsidRPr="00D900FF">
        <w:rPr>
          <w:rFonts w:ascii="Times New Roman" w:hAnsi="Times New Roman"/>
        </w:rPr>
        <w:t xml:space="preserve"> </w:t>
      </w:r>
      <w:r w:rsidR="00C13C21" w:rsidRPr="00D900FF">
        <w:rPr>
          <w:rFonts w:ascii="Times New Roman" w:hAnsi="Times New Roman"/>
        </w:rPr>
        <w:t>p</w:t>
      </w:r>
      <w:r w:rsidR="000F3B51" w:rsidRPr="00D900FF">
        <w:rPr>
          <w:rFonts w:ascii="Times New Roman" w:hAnsi="Times New Roman"/>
        </w:rPr>
        <w:t xml:space="preserve">laintiff is a </w:t>
      </w:r>
      <w:r w:rsidR="0001485C" w:rsidRPr="00D900FF">
        <w:rPr>
          <w:rFonts w:ascii="Times New Roman" w:hAnsi="Times New Roman"/>
        </w:rPr>
        <w:t>"</w:t>
      </w:r>
      <w:r w:rsidR="000F3B51" w:rsidRPr="00D900FF">
        <w:rPr>
          <w:rFonts w:ascii="Times New Roman" w:hAnsi="Times New Roman"/>
        </w:rPr>
        <w:t>candidate</w:t>
      </w:r>
      <w:r w:rsidR="0001485C" w:rsidRPr="00D900FF">
        <w:rPr>
          <w:rFonts w:ascii="Times New Roman" w:hAnsi="Times New Roman"/>
        </w:rPr>
        <w:t>"</w:t>
      </w:r>
      <w:r w:rsidR="000F3B51" w:rsidRPr="00D900FF">
        <w:rPr>
          <w:rFonts w:ascii="Times New Roman" w:hAnsi="Times New Roman"/>
        </w:rPr>
        <w:t xml:space="preserve"> as defined in s</w:t>
      </w:r>
      <w:r w:rsidR="0001485C" w:rsidRPr="00D900FF">
        <w:rPr>
          <w:rFonts w:ascii="Times New Roman" w:hAnsi="Times New Roman"/>
        </w:rPr>
        <w:t> </w:t>
      </w:r>
      <w:r w:rsidR="000F3B51" w:rsidRPr="00D900FF">
        <w:rPr>
          <w:rFonts w:ascii="Times New Roman" w:hAnsi="Times New Roman"/>
        </w:rPr>
        <w:t xml:space="preserve">206(1) </w:t>
      </w:r>
      <w:r w:rsidR="00B05339" w:rsidRPr="00D900FF">
        <w:rPr>
          <w:rFonts w:ascii="Times New Roman" w:hAnsi="Times New Roman"/>
        </w:rPr>
        <w:t xml:space="preserve">of the </w:t>
      </w:r>
      <w:r w:rsidR="00B05339" w:rsidRPr="00D900FF">
        <w:rPr>
          <w:rFonts w:ascii="Times New Roman" w:hAnsi="Times New Roman"/>
          <w:i/>
          <w:iCs/>
        </w:rPr>
        <w:t xml:space="preserve">Electoral Act </w:t>
      </w:r>
      <w:r w:rsidR="000F3B51" w:rsidRPr="00D900FF">
        <w:rPr>
          <w:rFonts w:ascii="Times New Roman" w:hAnsi="Times New Roman"/>
        </w:rPr>
        <w:t>and is under an obligation to</w:t>
      </w:r>
      <w:r w:rsidR="0001485C" w:rsidRPr="00D900FF">
        <w:rPr>
          <w:rFonts w:ascii="Times New Roman" w:hAnsi="Times New Roman"/>
        </w:rPr>
        <w:t xml:space="preserve"> </w:t>
      </w:r>
      <w:r w:rsidR="000F3B51" w:rsidRPr="00D900FF">
        <w:rPr>
          <w:rFonts w:ascii="Times New Roman" w:hAnsi="Times New Roman"/>
        </w:rPr>
        <w:t>comply with Pt</w:t>
      </w:r>
      <w:r w:rsidR="00205FEE" w:rsidRPr="00D900FF">
        <w:rPr>
          <w:rFonts w:ascii="Times New Roman" w:hAnsi="Times New Roman"/>
        </w:rPr>
        <w:t> </w:t>
      </w:r>
      <w:r w:rsidR="000F3B51" w:rsidRPr="00D900FF">
        <w:rPr>
          <w:rFonts w:ascii="Times New Roman" w:hAnsi="Times New Roman"/>
        </w:rPr>
        <w:t>12 of th</w:t>
      </w:r>
      <w:r w:rsidR="00B05339" w:rsidRPr="00D900FF">
        <w:rPr>
          <w:rFonts w:ascii="Times New Roman" w:hAnsi="Times New Roman"/>
        </w:rPr>
        <w:t>at Act</w:t>
      </w:r>
      <w:r w:rsidR="000F3B51" w:rsidRPr="00D900FF">
        <w:rPr>
          <w:rFonts w:ascii="Times New Roman" w:hAnsi="Times New Roman"/>
        </w:rPr>
        <w:t>.</w:t>
      </w:r>
    </w:p>
    <w:p w14:paraId="26BAD070" w14:textId="1A3DB81E" w:rsidR="007E30A6" w:rsidRPr="00D900FF" w:rsidRDefault="004F11A6"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226A8D" w:rsidRPr="00D900FF">
        <w:rPr>
          <w:rFonts w:ascii="Times New Roman" w:hAnsi="Times New Roman"/>
        </w:rPr>
        <w:t xml:space="preserve">Part 12 of the </w:t>
      </w:r>
      <w:r w:rsidR="00226A8D" w:rsidRPr="00D900FF">
        <w:rPr>
          <w:rFonts w:ascii="Times New Roman" w:hAnsi="Times New Roman"/>
          <w:i/>
          <w:iCs/>
        </w:rPr>
        <w:t xml:space="preserve">Electoral Act </w:t>
      </w:r>
      <w:r w:rsidR="00226A8D" w:rsidRPr="00D900FF">
        <w:rPr>
          <w:rFonts w:ascii="Times New Roman" w:hAnsi="Times New Roman"/>
        </w:rPr>
        <w:t>regulates political donations and election expenditure.</w:t>
      </w:r>
      <w:r w:rsidR="002F1B76" w:rsidRPr="00D900FF">
        <w:rPr>
          <w:rFonts w:ascii="Times New Roman" w:hAnsi="Times New Roman"/>
        </w:rPr>
        <w:t xml:space="preserve"> </w:t>
      </w:r>
      <w:r w:rsidR="00226A8D" w:rsidRPr="00D900FF">
        <w:rPr>
          <w:rFonts w:ascii="Times New Roman" w:hAnsi="Times New Roman"/>
        </w:rPr>
        <w:t xml:space="preserve">This proceeding concerns the </w:t>
      </w:r>
      <w:r w:rsidR="00D133F6" w:rsidRPr="00D900FF">
        <w:rPr>
          <w:rFonts w:ascii="Times New Roman" w:hAnsi="Times New Roman"/>
        </w:rPr>
        <w:t xml:space="preserve">plaintiffs' contention that </w:t>
      </w:r>
      <w:r w:rsidR="00226A8D" w:rsidRPr="00D900FF">
        <w:rPr>
          <w:rFonts w:ascii="Times New Roman" w:hAnsi="Times New Roman"/>
        </w:rPr>
        <w:t xml:space="preserve">those provisions of Pt 12 that place a </w:t>
      </w:r>
      <w:r w:rsidR="00E40470" w:rsidRPr="00D900FF">
        <w:rPr>
          <w:rFonts w:ascii="Times New Roman" w:hAnsi="Times New Roman"/>
        </w:rPr>
        <w:t xml:space="preserve">general </w:t>
      </w:r>
      <w:r w:rsidR="00226A8D" w:rsidRPr="00D900FF">
        <w:rPr>
          <w:rFonts w:ascii="Times New Roman" w:hAnsi="Times New Roman"/>
        </w:rPr>
        <w:t xml:space="preserve">cap on political donations </w:t>
      </w:r>
      <w:r w:rsidR="004C625C" w:rsidRPr="00D900FF">
        <w:rPr>
          <w:rFonts w:ascii="Times New Roman" w:hAnsi="Times New Roman"/>
        </w:rPr>
        <w:t xml:space="preserve">and provide for </w:t>
      </w:r>
      <w:r w:rsidR="00226A8D" w:rsidRPr="00D900FF">
        <w:rPr>
          <w:rFonts w:ascii="Times New Roman" w:hAnsi="Times New Roman"/>
        </w:rPr>
        <w:t xml:space="preserve">its operation with an exception that permits a </w:t>
      </w:r>
      <w:r w:rsidR="00153527" w:rsidRPr="00D900FF">
        <w:rPr>
          <w:rFonts w:ascii="Times New Roman" w:hAnsi="Times New Roman"/>
        </w:rPr>
        <w:t>registered political party</w:t>
      </w:r>
      <w:r w:rsidR="00226A8D" w:rsidRPr="00D900FF">
        <w:rPr>
          <w:rFonts w:ascii="Times New Roman" w:hAnsi="Times New Roman"/>
        </w:rPr>
        <w:t xml:space="preserve"> with a</w:t>
      </w:r>
      <w:r w:rsidR="007A2AC3">
        <w:rPr>
          <w:rFonts w:ascii="Times New Roman" w:hAnsi="Times New Roman"/>
        </w:rPr>
        <w:t> </w:t>
      </w:r>
      <w:r w:rsidR="00226A8D" w:rsidRPr="00D900FF">
        <w:rPr>
          <w:rFonts w:ascii="Times New Roman" w:hAnsi="Times New Roman"/>
        </w:rPr>
        <w:t xml:space="preserve">"nominated entity" to receive unlimited funds from </w:t>
      </w:r>
      <w:r w:rsidR="00281657" w:rsidRPr="00D900FF">
        <w:rPr>
          <w:rFonts w:ascii="Times New Roman" w:hAnsi="Times New Roman"/>
        </w:rPr>
        <w:t xml:space="preserve">its </w:t>
      </w:r>
      <w:r w:rsidR="00226A8D" w:rsidRPr="00D900FF">
        <w:rPr>
          <w:rFonts w:ascii="Times New Roman" w:hAnsi="Times New Roman"/>
        </w:rPr>
        <w:t>nominated entity ("the</w:t>
      </w:r>
      <w:r w:rsidR="007A2AC3">
        <w:rPr>
          <w:rFonts w:ascii="Times New Roman" w:hAnsi="Times New Roman"/>
        </w:rPr>
        <w:t> </w:t>
      </w:r>
      <w:r w:rsidR="00226A8D" w:rsidRPr="00D900FF">
        <w:rPr>
          <w:rFonts w:ascii="Times New Roman" w:hAnsi="Times New Roman"/>
        </w:rPr>
        <w:t>nominated entity exception")</w:t>
      </w:r>
      <w:r w:rsidR="00F26103" w:rsidRPr="00D900FF">
        <w:rPr>
          <w:rFonts w:ascii="Times New Roman" w:hAnsi="Times New Roman"/>
        </w:rPr>
        <w:t xml:space="preserve"> are invalid because they impermissibly burden the implied freedom of political communication</w:t>
      </w:r>
      <w:r w:rsidR="006913CB" w:rsidRPr="00D900FF">
        <w:rPr>
          <w:rFonts w:ascii="Times New Roman" w:hAnsi="Times New Roman"/>
        </w:rPr>
        <w:t xml:space="preserve">. </w:t>
      </w:r>
      <w:r w:rsidR="0016107F" w:rsidRPr="00D900FF">
        <w:rPr>
          <w:rFonts w:ascii="Times New Roman" w:hAnsi="Times New Roman"/>
        </w:rPr>
        <w:t>By the nominated entity exception, t</w:t>
      </w:r>
      <w:r w:rsidR="006913CB" w:rsidRPr="00D900FF">
        <w:rPr>
          <w:rFonts w:ascii="Times New Roman" w:hAnsi="Times New Roman"/>
        </w:rPr>
        <w:t>he</w:t>
      </w:r>
      <w:r w:rsidR="000F3AEC" w:rsidRPr="00D900FF">
        <w:rPr>
          <w:rFonts w:ascii="Times New Roman" w:hAnsi="Times New Roman"/>
        </w:rPr>
        <w:t> </w:t>
      </w:r>
      <w:r w:rsidR="006913CB" w:rsidRPr="00D900FF">
        <w:rPr>
          <w:rFonts w:ascii="Times New Roman" w:hAnsi="Times New Roman"/>
        </w:rPr>
        <w:t>fun</w:t>
      </w:r>
      <w:r w:rsidR="00CE6C22" w:rsidRPr="00D900FF">
        <w:rPr>
          <w:rFonts w:ascii="Times New Roman" w:hAnsi="Times New Roman"/>
        </w:rPr>
        <w:t>ds</w:t>
      </w:r>
      <w:r w:rsidR="00FE1027" w:rsidRPr="00D900FF">
        <w:rPr>
          <w:rFonts w:ascii="Times New Roman" w:hAnsi="Times New Roman"/>
        </w:rPr>
        <w:t xml:space="preserve"> </w:t>
      </w:r>
      <w:r w:rsidR="008F79BC" w:rsidRPr="00D900FF">
        <w:rPr>
          <w:rFonts w:ascii="Times New Roman" w:hAnsi="Times New Roman"/>
        </w:rPr>
        <w:t xml:space="preserve">flowing to a </w:t>
      </w:r>
      <w:r w:rsidR="00153527" w:rsidRPr="00D900FF">
        <w:rPr>
          <w:rFonts w:ascii="Times New Roman" w:hAnsi="Times New Roman"/>
        </w:rPr>
        <w:t>registered political party</w:t>
      </w:r>
      <w:r w:rsidR="008F79BC" w:rsidRPr="00D900FF">
        <w:rPr>
          <w:rFonts w:ascii="Times New Roman" w:hAnsi="Times New Roman"/>
        </w:rPr>
        <w:t xml:space="preserve"> from </w:t>
      </w:r>
      <w:r w:rsidR="00281657" w:rsidRPr="00D900FF">
        <w:rPr>
          <w:rFonts w:ascii="Times New Roman" w:hAnsi="Times New Roman"/>
        </w:rPr>
        <w:t xml:space="preserve">its </w:t>
      </w:r>
      <w:r w:rsidR="008F79BC" w:rsidRPr="00D900FF">
        <w:rPr>
          <w:rFonts w:ascii="Times New Roman" w:hAnsi="Times New Roman"/>
        </w:rPr>
        <w:t>nominated entity</w:t>
      </w:r>
      <w:r w:rsidR="00FE1027" w:rsidRPr="00D900FF">
        <w:rPr>
          <w:rFonts w:ascii="Times New Roman" w:hAnsi="Times New Roman"/>
        </w:rPr>
        <w:t xml:space="preserve"> </w:t>
      </w:r>
      <w:r w:rsidR="00841E46" w:rsidRPr="00D900FF">
        <w:rPr>
          <w:rFonts w:ascii="Times New Roman" w:hAnsi="Times New Roman"/>
        </w:rPr>
        <w:t xml:space="preserve">are not subject to the general cap and </w:t>
      </w:r>
      <w:r w:rsidR="003C0196" w:rsidRPr="00D900FF">
        <w:rPr>
          <w:rFonts w:ascii="Times New Roman" w:hAnsi="Times New Roman"/>
        </w:rPr>
        <w:t xml:space="preserve">may </w:t>
      </w:r>
      <w:r w:rsidR="00E90B91" w:rsidRPr="00D900FF">
        <w:rPr>
          <w:rFonts w:ascii="Times New Roman" w:hAnsi="Times New Roman"/>
        </w:rPr>
        <w:t xml:space="preserve">be </w:t>
      </w:r>
      <w:r w:rsidR="003C0196" w:rsidRPr="00D900FF">
        <w:rPr>
          <w:rFonts w:ascii="Times New Roman" w:hAnsi="Times New Roman"/>
        </w:rPr>
        <w:t>use</w:t>
      </w:r>
      <w:r w:rsidR="00E90B91" w:rsidRPr="00D900FF">
        <w:rPr>
          <w:rFonts w:ascii="Times New Roman" w:hAnsi="Times New Roman"/>
        </w:rPr>
        <w:t>d</w:t>
      </w:r>
      <w:r w:rsidR="003C0196" w:rsidRPr="00D900FF">
        <w:rPr>
          <w:rFonts w:ascii="Times New Roman" w:hAnsi="Times New Roman"/>
        </w:rPr>
        <w:t xml:space="preserve"> </w:t>
      </w:r>
      <w:r w:rsidR="00E90B91" w:rsidRPr="00D900FF">
        <w:rPr>
          <w:rFonts w:ascii="Times New Roman" w:hAnsi="Times New Roman"/>
        </w:rPr>
        <w:t>by</w:t>
      </w:r>
      <w:r w:rsidR="003C0196" w:rsidRPr="00D900FF">
        <w:rPr>
          <w:rFonts w:ascii="Times New Roman" w:hAnsi="Times New Roman"/>
        </w:rPr>
        <w:t xml:space="preserve"> the </w:t>
      </w:r>
      <w:r w:rsidR="00153527" w:rsidRPr="00D900FF">
        <w:rPr>
          <w:rFonts w:ascii="Times New Roman" w:hAnsi="Times New Roman"/>
        </w:rPr>
        <w:t>registered political party</w:t>
      </w:r>
      <w:r w:rsidR="003C0196" w:rsidRPr="00D900FF">
        <w:rPr>
          <w:rFonts w:ascii="Times New Roman" w:hAnsi="Times New Roman"/>
        </w:rPr>
        <w:t xml:space="preserve"> for political expenditure. </w:t>
      </w:r>
      <w:r w:rsidR="00702FD3" w:rsidRPr="00D900FF">
        <w:rPr>
          <w:rFonts w:ascii="Times New Roman" w:hAnsi="Times New Roman"/>
        </w:rPr>
        <w:t xml:space="preserve">The </w:t>
      </w:r>
      <w:r w:rsidR="00D344AC" w:rsidRPr="00D900FF">
        <w:rPr>
          <w:rFonts w:ascii="Times New Roman" w:hAnsi="Times New Roman"/>
        </w:rPr>
        <w:t xml:space="preserve">eligibility </w:t>
      </w:r>
      <w:r w:rsidR="00702FD3" w:rsidRPr="00D900FF">
        <w:rPr>
          <w:rFonts w:ascii="Times New Roman" w:hAnsi="Times New Roman"/>
        </w:rPr>
        <w:t>criteria for appointment of a</w:t>
      </w:r>
      <w:r w:rsidR="007A2AC3">
        <w:rPr>
          <w:rFonts w:ascii="Times New Roman" w:hAnsi="Times New Roman"/>
        </w:rPr>
        <w:t> </w:t>
      </w:r>
      <w:r w:rsidR="00702FD3" w:rsidRPr="00D900FF">
        <w:rPr>
          <w:rFonts w:ascii="Times New Roman" w:hAnsi="Times New Roman"/>
        </w:rPr>
        <w:t xml:space="preserve">nominated entity by a </w:t>
      </w:r>
      <w:r w:rsidR="00153527" w:rsidRPr="00D900FF">
        <w:rPr>
          <w:rFonts w:ascii="Times New Roman" w:hAnsi="Times New Roman"/>
        </w:rPr>
        <w:t>registered political party</w:t>
      </w:r>
      <w:r w:rsidR="00702FD3" w:rsidRPr="00D900FF">
        <w:rPr>
          <w:rFonts w:ascii="Times New Roman" w:hAnsi="Times New Roman"/>
        </w:rPr>
        <w:t xml:space="preserve"> differ between </w:t>
      </w:r>
      <w:r w:rsidR="002B159D" w:rsidRPr="00D900FF">
        <w:rPr>
          <w:rFonts w:ascii="Times New Roman" w:hAnsi="Times New Roman"/>
        </w:rPr>
        <w:t xml:space="preserve">nominated </w:t>
      </w:r>
      <w:r w:rsidR="00702FD3" w:rsidRPr="00D900FF">
        <w:rPr>
          <w:rFonts w:ascii="Times New Roman" w:hAnsi="Times New Roman"/>
        </w:rPr>
        <w:t xml:space="preserve">entities appointed </w:t>
      </w:r>
      <w:r w:rsidR="00751D22" w:rsidRPr="00D900FF">
        <w:rPr>
          <w:rFonts w:ascii="Times New Roman" w:hAnsi="Times New Roman"/>
        </w:rPr>
        <w:t>at any time</w:t>
      </w:r>
      <w:r w:rsidR="00751D22" w:rsidRPr="00D900FF">
        <w:rPr>
          <w:rStyle w:val="FootnoteReference"/>
          <w:rFonts w:ascii="Times New Roman" w:hAnsi="Times New Roman"/>
          <w:sz w:val="24"/>
        </w:rPr>
        <w:footnoteReference w:id="2"/>
      </w:r>
      <w:r w:rsidR="00751D22" w:rsidRPr="00D900FF">
        <w:rPr>
          <w:rFonts w:ascii="Times New Roman" w:hAnsi="Times New Roman"/>
        </w:rPr>
        <w:t xml:space="preserve"> </w:t>
      </w:r>
      <w:r w:rsidR="00524CCF" w:rsidRPr="00D900FF">
        <w:rPr>
          <w:rFonts w:ascii="Times New Roman" w:hAnsi="Times New Roman"/>
        </w:rPr>
        <w:t>and e</w:t>
      </w:r>
      <w:r w:rsidR="00BA7ABE" w:rsidRPr="00D900FF">
        <w:rPr>
          <w:rFonts w:ascii="Times New Roman" w:hAnsi="Times New Roman"/>
        </w:rPr>
        <w:t>ntities first appointed</w:t>
      </w:r>
      <w:r w:rsidR="000646CA" w:rsidRPr="00D900FF">
        <w:rPr>
          <w:rFonts w:ascii="Times New Roman" w:hAnsi="Times New Roman"/>
        </w:rPr>
        <w:t xml:space="preserve"> </w:t>
      </w:r>
      <w:r w:rsidR="00702FD3" w:rsidRPr="00D900FF">
        <w:rPr>
          <w:rFonts w:ascii="Times New Roman" w:hAnsi="Times New Roman"/>
        </w:rPr>
        <w:t>before 1 July 2020</w:t>
      </w:r>
      <w:r w:rsidR="00751D22" w:rsidRPr="00D900FF">
        <w:rPr>
          <w:rStyle w:val="FootnoteReference"/>
          <w:rFonts w:ascii="Times New Roman" w:hAnsi="Times New Roman"/>
          <w:sz w:val="24"/>
        </w:rPr>
        <w:footnoteReference w:id="3"/>
      </w:r>
      <w:r w:rsidR="00751D22" w:rsidRPr="00D900FF">
        <w:rPr>
          <w:rFonts w:ascii="Times New Roman" w:hAnsi="Times New Roman"/>
        </w:rPr>
        <w:t xml:space="preserve"> </w:t>
      </w:r>
      <w:r w:rsidR="004272C1" w:rsidRPr="00D900FF">
        <w:rPr>
          <w:rFonts w:ascii="Times New Roman" w:hAnsi="Times New Roman"/>
        </w:rPr>
        <w:t>("the</w:t>
      </w:r>
      <w:r w:rsidR="00727886" w:rsidRPr="00D900FF">
        <w:rPr>
          <w:rFonts w:ascii="Times New Roman" w:hAnsi="Times New Roman"/>
        </w:rPr>
        <w:t> </w:t>
      </w:r>
      <w:r w:rsidR="004272C1" w:rsidRPr="00D900FF">
        <w:rPr>
          <w:rFonts w:ascii="Times New Roman" w:hAnsi="Times New Roman"/>
        </w:rPr>
        <w:t xml:space="preserve">time </w:t>
      </w:r>
      <w:r w:rsidR="0016107F" w:rsidRPr="00D900FF">
        <w:rPr>
          <w:rFonts w:ascii="Times New Roman" w:hAnsi="Times New Roman"/>
        </w:rPr>
        <w:t>limitation</w:t>
      </w:r>
      <w:r w:rsidR="006A2FC1" w:rsidRPr="00D900FF">
        <w:rPr>
          <w:rFonts w:ascii="Times New Roman" w:hAnsi="Times New Roman"/>
        </w:rPr>
        <w:t xml:space="preserve"> in s 222F(3)</w:t>
      </w:r>
      <w:r w:rsidR="004272C1" w:rsidRPr="00D900FF">
        <w:rPr>
          <w:rFonts w:ascii="Times New Roman" w:hAnsi="Times New Roman"/>
        </w:rPr>
        <w:t>")</w:t>
      </w:r>
      <w:r w:rsidR="00702FD3" w:rsidRPr="00D900FF">
        <w:rPr>
          <w:rFonts w:ascii="Times New Roman" w:hAnsi="Times New Roman"/>
        </w:rPr>
        <w:t>.</w:t>
      </w:r>
    </w:p>
    <w:p w14:paraId="2BA9D761" w14:textId="7A1DBBE3" w:rsidR="00040BCC" w:rsidRPr="00D900FF" w:rsidRDefault="00D778F7"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040BCC" w:rsidRPr="00D900FF">
        <w:rPr>
          <w:rFonts w:ascii="Times New Roman" w:hAnsi="Times New Roman"/>
        </w:rPr>
        <w:t xml:space="preserve">The </w:t>
      </w:r>
      <w:r w:rsidR="00ED3FEE" w:rsidRPr="00D900FF">
        <w:rPr>
          <w:rFonts w:ascii="Times New Roman" w:hAnsi="Times New Roman"/>
        </w:rPr>
        <w:t>d</w:t>
      </w:r>
      <w:r w:rsidR="00040BCC" w:rsidRPr="00D900FF">
        <w:rPr>
          <w:rFonts w:ascii="Times New Roman" w:hAnsi="Times New Roman"/>
        </w:rPr>
        <w:t>efendant, Victoria,</w:t>
      </w:r>
      <w:r w:rsidR="002B159D" w:rsidRPr="00D900FF">
        <w:rPr>
          <w:rFonts w:ascii="Times New Roman" w:hAnsi="Times New Roman"/>
        </w:rPr>
        <w:t xml:space="preserve"> conceded that</w:t>
      </w:r>
      <w:r w:rsidR="00732CF5" w:rsidRPr="00D900FF">
        <w:rPr>
          <w:rFonts w:ascii="Times New Roman" w:hAnsi="Times New Roman"/>
        </w:rPr>
        <w:t xml:space="preserve"> the</w:t>
      </w:r>
      <w:r w:rsidR="005D3FC0" w:rsidRPr="00D900FF">
        <w:rPr>
          <w:rFonts w:ascii="Times New Roman" w:hAnsi="Times New Roman"/>
        </w:rPr>
        <w:t xml:space="preserve"> time limit</w:t>
      </w:r>
      <w:r w:rsidR="00FB2420" w:rsidRPr="00D900FF">
        <w:rPr>
          <w:rFonts w:ascii="Times New Roman" w:hAnsi="Times New Roman"/>
        </w:rPr>
        <w:t xml:space="preserve">ation </w:t>
      </w:r>
      <w:r w:rsidR="006A2FC1" w:rsidRPr="00D900FF">
        <w:rPr>
          <w:rFonts w:ascii="Times New Roman" w:hAnsi="Times New Roman"/>
        </w:rPr>
        <w:t xml:space="preserve">in s 222F(3) </w:t>
      </w:r>
      <w:r w:rsidR="00091543" w:rsidRPr="00D900FF">
        <w:rPr>
          <w:rFonts w:ascii="Times New Roman" w:hAnsi="Times New Roman"/>
        </w:rPr>
        <w:t>could not</w:t>
      </w:r>
      <w:r w:rsidR="00FC3E35" w:rsidRPr="00D900FF">
        <w:rPr>
          <w:rFonts w:ascii="Times New Roman" w:hAnsi="Times New Roman"/>
        </w:rPr>
        <w:t xml:space="preserve"> be </w:t>
      </w:r>
      <w:r w:rsidR="00B46CAA" w:rsidRPr="00D900FF">
        <w:rPr>
          <w:rFonts w:ascii="Times New Roman" w:hAnsi="Times New Roman"/>
        </w:rPr>
        <w:t>justified and is invalid</w:t>
      </w:r>
      <w:r w:rsidR="00350F1A" w:rsidRPr="00D900FF">
        <w:rPr>
          <w:rFonts w:ascii="Times New Roman" w:hAnsi="Times New Roman"/>
        </w:rPr>
        <w:t xml:space="preserve"> </w:t>
      </w:r>
      <w:r w:rsidR="0053393C" w:rsidRPr="00D900FF">
        <w:rPr>
          <w:rFonts w:ascii="Times New Roman" w:hAnsi="Times New Roman"/>
        </w:rPr>
        <w:t>because it impermi</w:t>
      </w:r>
      <w:r w:rsidR="00DA02B4" w:rsidRPr="00D900FF">
        <w:rPr>
          <w:rFonts w:ascii="Times New Roman" w:hAnsi="Times New Roman"/>
        </w:rPr>
        <w:t>ssibly burden</w:t>
      </w:r>
      <w:r w:rsidR="0057105F" w:rsidRPr="00D900FF">
        <w:rPr>
          <w:rFonts w:ascii="Times New Roman" w:hAnsi="Times New Roman"/>
        </w:rPr>
        <w:t>s</w:t>
      </w:r>
      <w:r w:rsidR="00DA02B4" w:rsidRPr="00D900FF">
        <w:rPr>
          <w:rFonts w:ascii="Times New Roman" w:hAnsi="Times New Roman"/>
        </w:rPr>
        <w:t xml:space="preserve"> the implied freedom of political communication </w:t>
      </w:r>
      <w:r w:rsidR="00350F1A" w:rsidRPr="00D900FF">
        <w:rPr>
          <w:rFonts w:ascii="Times New Roman" w:hAnsi="Times New Roman"/>
        </w:rPr>
        <w:t>but contende</w:t>
      </w:r>
      <w:r w:rsidR="00C401F8" w:rsidRPr="00D900FF">
        <w:rPr>
          <w:rFonts w:ascii="Times New Roman" w:hAnsi="Times New Roman"/>
        </w:rPr>
        <w:t>d</w:t>
      </w:r>
      <w:r w:rsidR="00DA02B4" w:rsidRPr="00D900FF">
        <w:rPr>
          <w:rFonts w:ascii="Times New Roman" w:hAnsi="Times New Roman"/>
        </w:rPr>
        <w:t>,</w:t>
      </w:r>
      <w:r w:rsidR="00350F1A" w:rsidRPr="00D900FF">
        <w:rPr>
          <w:rFonts w:ascii="Times New Roman" w:hAnsi="Times New Roman"/>
        </w:rPr>
        <w:t xml:space="preserve"> </w:t>
      </w:r>
      <w:r w:rsidR="00F55930" w:rsidRPr="00D900FF">
        <w:rPr>
          <w:rFonts w:ascii="Times New Roman" w:hAnsi="Times New Roman"/>
        </w:rPr>
        <w:t xml:space="preserve">save to that extent, </w:t>
      </w:r>
      <w:r w:rsidR="00ED7EA0" w:rsidRPr="00D900FF">
        <w:rPr>
          <w:rFonts w:ascii="Times New Roman" w:hAnsi="Times New Roman"/>
        </w:rPr>
        <w:t xml:space="preserve">that </w:t>
      </w:r>
      <w:r w:rsidR="000D2348" w:rsidRPr="00D900FF">
        <w:rPr>
          <w:rFonts w:ascii="Times New Roman" w:hAnsi="Times New Roman"/>
        </w:rPr>
        <w:t>the</w:t>
      </w:r>
      <w:r w:rsidR="007A2AC3">
        <w:rPr>
          <w:rFonts w:ascii="Times New Roman" w:hAnsi="Times New Roman"/>
        </w:rPr>
        <w:t> </w:t>
      </w:r>
      <w:r w:rsidR="000D2348" w:rsidRPr="00D900FF">
        <w:rPr>
          <w:rFonts w:ascii="Times New Roman" w:hAnsi="Times New Roman"/>
        </w:rPr>
        <w:t>general cap</w:t>
      </w:r>
      <w:r w:rsidR="00F04250" w:rsidRPr="00D900FF">
        <w:rPr>
          <w:rFonts w:ascii="Times New Roman" w:hAnsi="Times New Roman"/>
        </w:rPr>
        <w:t xml:space="preserve"> on political donations in its operation with the nominated entity exception </w:t>
      </w:r>
      <w:r w:rsidR="00112554" w:rsidRPr="00D900FF">
        <w:rPr>
          <w:rFonts w:ascii="Times New Roman" w:hAnsi="Times New Roman"/>
        </w:rPr>
        <w:t xml:space="preserve">in Pt 12 </w:t>
      </w:r>
      <w:r w:rsidR="00D36D7C" w:rsidRPr="00D900FF">
        <w:rPr>
          <w:rFonts w:ascii="Times New Roman" w:hAnsi="Times New Roman"/>
        </w:rPr>
        <w:t>impose</w:t>
      </w:r>
      <w:r w:rsidR="00F7226A" w:rsidRPr="00D900FF">
        <w:rPr>
          <w:rFonts w:ascii="Times New Roman" w:hAnsi="Times New Roman"/>
        </w:rPr>
        <w:t>s</w:t>
      </w:r>
      <w:r w:rsidR="00D36D7C" w:rsidRPr="00D900FF">
        <w:rPr>
          <w:rFonts w:ascii="Times New Roman" w:hAnsi="Times New Roman"/>
        </w:rPr>
        <w:t xml:space="preserve"> a justified burden </w:t>
      </w:r>
      <w:r w:rsidR="00030CD0" w:rsidRPr="00D900FF">
        <w:rPr>
          <w:rFonts w:ascii="Times New Roman" w:hAnsi="Times New Roman"/>
        </w:rPr>
        <w:t xml:space="preserve">on the implied freedom of political communication </w:t>
      </w:r>
      <w:r w:rsidR="00AD1B0D" w:rsidRPr="00D900FF">
        <w:rPr>
          <w:rFonts w:ascii="Times New Roman" w:hAnsi="Times New Roman"/>
        </w:rPr>
        <w:t xml:space="preserve">in pursuit of </w:t>
      </w:r>
      <w:r w:rsidR="00AA0E00" w:rsidRPr="00D900FF">
        <w:rPr>
          <w:rFonts w:ascii="Times New Roman" w:hAnsi="Times New Roman"/>
        </w:rPr>
        <w:t xml:space="preserve">a </w:t>
      </w:r>
      <w:r w:rsidR="00AD1B0D" w:rsidRPr="00D900FF">
        <w:rPr>
          <w:rFonts w:ascii="Times New Roman" w:hAnsi="Times New Roman"/>
        </w:rPr>
        <w:t>legitimate purpose</w:t>
      </w:r>
      <w:r w:rsidR="00F02F45" w:rsidRPr="00D900FF">
        <w:rPr>
          <w:rFonts w:ascii="Times New Roman" w:hAnsi="Times New Roman"/>
        </w:rPr>
        <w:t>.</w:t>
      </w:r>
      <w:r w:rsidR="00040BCC" w:rsidRPr="00D900FF">
        <w:rPr>
          <w:rFonts w:ascii="Times New Roman" w:hAnsi="Times New Roman"/>
        </w:rPr>
        <w:t xml:space="preserve"> </w:t>
      </w:r>
      <w:r w:rsidR="00F02F45" w:rsidRPr="00D900FF">
        <w:rPr>
          <w:rFonts w:ascii="Times New Roman" w:hAnsi="Times New Roman"/>
        </w:rPr>
        <w:t>The A</w:t>
      </w:r>
      <w:r w:rsidR="00027E85" w:rsidRPr="00D900FF">
        <w:rPr>
          <w:rFonts w:ascii="Times New Roman" w:hAnsi="Times New Roman"/>
        </w:rPr>
        <w:t>ttorney-General of the</w:t>
      </w:r>
      <w:r w:rsidR="007A2AC3">
        <w:rPr>
          <w:rFonts w:ascii="Times New Roman" w:hAnsi="Times New Roman"/>
        </w:rPr>
        <w:t> </w:t>
      </w:r>
      <w:r w:rsidR="00027E85" w:rsidRPr="00D900FF">
        <w:rPr>
          <w:rFonts w:ascii="Times New Roman" w:hAnsi="Times New Roman"/>
        </w:rPr>
        <w:t>Commonwealth</w:t>
      </w:r>
      <w:r w:rsidR="003766B5" w:rsidRPr="00D900FF">
        <w:rPr>
          <w:rFonts w:ascii="Times New Roman" w:hAnsi="Times New Roman"/>
        </w:rPr>
        <w:t>,</w:t>
      </w:r>
      <w:r w:rsidR="00027E85" w:rsidRPr="00D900FF">
        <w:rPr>
          <w:rFonts w:ascii="Times New Roman" w:hAnsi="Times New Roman"/>
        </w:rPr>
        <w:t xml:space="preserve"> interven</w:t>
      </w:r>
      <w:r w:rsidR="003766B5" w:rsidRPr="00D900FF">
        <w:rPr>
          <w:rFonts w:ascii="Times New Roman" w:hAnsi="Times New Roman"/>
        </w:rPr>
        <w:t xml:space="preserve">ing, made confined submissions on </w:t>
      </w:r>
      <w:r w:rsidR="00544688" w:rsidRPr="00D900FF">
        <w:rPr>
          <w:rFonts w:ascii="Times New Roman" w:hAnsi="Times New Roman"/>
        </w:rPr>
        <w:t>aspects of the</w:t>
      </w:r>
      <w:r w:rsidR="00F70A37">
        <w:rPr>
          <w:rFonts w:ascii="Times New Roman" w:hAnsi="Times New Roman"/>
        </w:rPr>
        <w:t> </w:t>
      </w:r>
      <w:r w:rsidR="00544688" w:rsidRPr="00D900FF">
        <w:rPr>
          <w:rFonts w:ascii="Times New Roman" w:hAnsi="Times New Roman"/>
        </w:rPr>
        <w:t>implied freedom analysis</w:t>
      </w:r>
      <w:r w:rsidR="00C141F9" w:rsidRPr="00D900FF">
        <w:rPr>
          <w:rFonts w:ascii="Times New Roman" w:hAnsi="Times New Roman"/>
        </w:rPr>
        <w:t>.</w:t>
      </w:r>
    </w:p>
    <w:p w14:paraId="79AE2D84" w14:textId="08D7EC9F" w:rsidR="00FA7435" w:rsidRPr="00D900FF" w:rsidRDefault="00040BCC" w:rsidP="00D900FF">
      <w:pPr>
        <w:pStyle w:val="FixListStyle"/>
        <w:spacing w:after="260" w:line="280" w:lineRule="exact"/>
        <w:ind w:right="0"/>
        <w:jc w:val="both"/>
        <w:rPr>
          <w:rFonts w:ascii="Times New Roman" w:hAnsi="Times New Roman"/>
        </w:rPr>
      </w:pPr>
      <w:r w:rsidRPr="00D900FF">
        <w:rPr>
          <w:rFonts w:ascii="Times New Roman" w:hAnsi="Times New Roman"/>
        </w:rPr>
        <w:lastRenderedPageBreak/>
        <w:tab/>
      </w:r>
      <w:r w:rsidR="00C5410C" w:rsidRPr="00D900FF">
        <w:rPr>
          <w:rFonts w:ascii="Times New Roman" w:hAnsi="Times New Roman"/>
        </w:rPr>
        <w:t>The</w:t>
      </w:r>
      <w:r w:rsidR="00BD5EFF" w:rsidRPr="00D900FF">
        <w:rPr>
          <w:rFonts w:ascii="Times New Roman" w:hAnsi="Times New Roman"/>
        </w:rPr>
        <w:t> </w:t>
      </w:r>
      <w:r w:rsidR="00C5410C" w:rsidRPr="00D900FF">
        <w:rPr>
          <w:rFonts w:ascii="Times New Roman" w:hAnsi="Times New Roman"/>
        </w:rPr>
        <w:t xml:space="preserve">parties agreed a special case and agreed in stating questions </w:t>
      </w:r>
      <w:r w:rsidR="00CB48B1" w:rsidRPr="00D900FF">
        <w:rPr>
          <w:rFonts w:ascii="Times New Roman" w:hAnsi="Times New Roman"/>
        </w:rPr>
        <w:t xml:space="preserve">of law </w:t>
      </w:r>
      <w:r w:rsidR="00C5410C" w:rsidRPr="00D900FF">
        <w:rPr>
          <w:rFonts w:ascii="Times New Roman" w:hAnsi="Times New Roman"/>
        </w:rPr>
        <w:t>for the opinion of the Full Court. The</w:t>
      </w:r>
      <w:r w:rsidR="005E15E9" w:rsidRPr="00D900FF">
        <w:rPr>
          <w:rFonts w:ascii="Times New Roman" w:hAnsi="Times New Roman"/>
        </w:rPr>
        <w:t> </w:t>
      </w:r>
      <w:r w:rsidR="00C5410C" w:rsidRPr="00D900FF">
        <w:rPr>
          <w:rFonts w:ascii="Times New Roman" w:hAnsi="Times New Roman"/>
        </w:rPr>
        <w:t>questions</w:t>
      </w:r>
      <w:r w:rsidR="003F5D82" w:rsidRPr="00D900FF">
        <w:rPr>
          <w:rFonts w:ascii="Times New Roman" w:hAnsi="Times New Roman"/>
        </w:rPr>
        <w:t>,</w:t>
      </w:r>
      <w:r w:rsidR="00C5410C" w:rsidRPr="00D900FF">
        <w:rPr>
          <w:rFonts w:ascii="Times New Roman" w:hAnsi="Times New Roman"/>
        </w:rPr>
        <w:t xml:space="preserve"> and the </w:t>
      </w:r>
      <w:r w:rsidR="005E15E9" w:rsidRPr="00D900FF">
        <w:rPr>
          <w:rFonts w:ascii="Times New Roman" w:hAnsi="Times New Roman"/>
        </w:rPr>
        <w:t>answers</w:t>
      </w:r>
      <w:r w:rsidR="003F5D82" w:rsidRPr="00D900FF">
        <w:rPr>
          <w:rFonts w:ascii="Times New Roman" w:hAnsi="Times New Roman"/>
        </w:rPr>
        <w:t xml:space="preserve"> to those questions,</w:t>
      </w:r>
      <w:r w:rsidR="005E15E9" w:rsidRPr="00D900FF">
        <w:rPr>
          <w:rFonts w:ascii="Times New Roman" w:hAnsi="Times New Roman"/>
        </w:rPr>
        <w:t xml:space="preserve"> </w:t>
      </w:r>
      <w:r w:rsidR="00C5410C" w:rsidRPr="00D900FF">
        <w:rPr>
          <w:rFonts w:ascii="Times New Roman" w:hAnsi="Times New Roman"/>
        </w:rPr>
        <w:t>are as follows:</w:t>
      </w:r>
    </w:p>
    <w:p w14:paraId="3FE96095" w14:textId="3E05B2DA" w:rsidR="005E15E9" w:rsidRPr="00D900FF" w:rsidRDefault="00BB5DD4" w:rsidP="00D900FF">
      <w:pPr>
        <w:pStyle w:val="leftright"/>
        <w:spacing w:before="0" w:after="260" w:line="280" w:lineRule="exact"/>
        <w:ind w:left="1440" w:right="0" w:hanging="720"/>
        <w:jc w:val="both"/>
        <w:rPr>
          <w:rFonts w:ascii="Times New Roman" w:hAnsi="Times New Roman"/>
        </w:rPr>
      </w:pPr>
      <w:r w:rsidRPr="00D900FF">
        <w:rPr>
          <w:rFonts w:ascii="Times New Roman" w:hAnsi="Times New Roman"/>
        </w:rPr>
        <w:t>(1)</w:t>
      </w:r>
      <w:r w:rsidRPr="00D900FF">
        <w:rPr>
          <w:rFonts w:ascii="Times New Roman" w:hAnsi="Times New Roman"/>
        </w:rPr>
        <w:tab/>
        <w:t xml:space="preserve">Is Pt 12 of the </w:t>
      </w:r>
      <w:r w:rsidRPr="00D900FF">
        <w:rPr>
          <w:rFonts w:ascii="Times New Roman" w:hAnsi="Times New Roman"/>
          <w:i/>
          <w:iCs/>
        </w:rPr>
        <w:t>Electoral Act</w:t>
      </w:r>
      <w:r w:rsidRPr="00D900FF">
        <w:rPr>
          <w:rFonts w:ascii="Times New Roman" w:hAnsi="Times New Roman"/>
        </w:rPr>
        <w:t>, operating with the nominated entity exception in para (j) of the definition of "gift" in s 206(1) of the</w:t>
      </w:r>
      <w:r w:rsidR="007A2AC3">
        <w:rPr>
          <w:rFonts w:ascii="Times New Roman" w:hAnsi="Times New Roman"/>
        </w:rPr>
        <w:t> </w:t>
      </w:r>
      <w:r w:rsidRPr="00D900FF">
        <w:rPr>
          <w:rFonts w:ascii="Times New Roman" w:hAnsi="Times New Roman"/>
          <w:i/>
          <w:iCs/>
        </w:rPr>
        <w:t>Electoral</w:t>
      </w:r>
      <w:r w:rsidR="005314C5" w:rsidRPr="00D900FF">
        <w:rPr>
          <w:rFonts w:ascii="Times New Roman" w:hAnsi="Times New Roman"/>
          <w:i/>
          <w:iCs/>
        </w:rPr>
        <w:t> </w:t>
      </w:r>
      <w:r w:rsidRPr="00D900FF">
        <w:rPr>
          <w:rFonts w:ascii="Times New Roman" w:hAnsi="Times New Roman"/>
          <w:i/>
          <w:iCs/>
        </w:rPr>
        <w:t>Act</w:t>
      </w:r>
      <w:r w:rsidR="00BD4E43" w:rsidRPr="00D900FF">
        <w:rPr>
          <w:rFonts w:ascii="Times New Roman" w:hAnsi="Times New Roman"/>
        </w:rPr>
        <w:t xml:space="preserve">, invalid (in whole or in part and, if in part, to what extent) because it impermissibly burdens the implied freedom of political communication, contrary to the Commonwealth </w:t>
      </w:r>
      <w:r w:rsidR="00BD4E43" w:rsidRPr="00D900FF">
        <w:rPr>
          <w:rFonts w:ascii="Times New Roman" w:hAnsi="Times New Roman"/>
          <w:i/>
          <w:iCs/>
        </w:rPr>
        <w:t>Constitution</w:t>
      </w:r>
      <w:r w:rsidR="00BD4E43" w:rsidRPr="00D900FF">
        <w:rPr>
          <w:rFonts w:ascii="Times New Roman" w:hAnsi="Times New Roman"/>
        </w:rPr>
        <w:t>?</w:t>
      </w:r>
    </w:p>
    <w:p w14:paraId="3065CF8C" w14:textId="44A7C4C4" w:rsidR="00BD4E43" w:rsidRPr="00D900FF" w:rsidRDefault="00BD4E43" w:rsidP="00D900FF">
      <w:pPr>
        <w:pStyle w:val="leftright"/>
        <w:spacing w:before="0" w:after="260" w:line="280" w:lineRule="exact"/>
        <w:ind w:left="2160" w:right="0" w:hanging="1440"/>
        <w:jc w:val="both"/>
        <w:rPr>
          <w:rFonts w:ascii="Times New Roman" w:hAnsi="Times New Roman"/>
        </w:rPr>
      </w:pPr>
      <w:r w:rsidRPr="00D900FF">
        <w:rPr>
          <w:rFonts w:ascii="Times New Roman" w:hAnsi="Times New Roman"/>
        </w:rPr>
        <w:t>Answer</w:t>
      </w:r>
      <w:r w:rsidR="00D46BEE" w:rsidRPr="00D900FF">
        <w:rPr>
          <w:rFonts w:ascii="Times New Roman" w:hAnsi="Times New Roman"/>
        </w:rPr>
        <w:t xml:space="preserve">: </w:t>
      </w:r>
      <w:r w:rsidR="007439CB" w:rsidRPr="00D900FF">
        <w:rPr>
          <w:rFonts w:ascii="Times New Roman" w:hAnsi="Times New Roman"/>
        </w:rPr>
        <w:tab/>
      </w:r>
      <w:r w:rsidR="00C51A73" w:rsidRPr="00D900FF">
        <w:rPr>
          <w:rFonts w:ascii="Times New Roman" w:hAnsi="Times New Roman"/>
        </w:rPr>
        <w:t xml:space="preserve">Yes, in </w:t>
      </w:r>
      <w:r w:rsidR="001338B4" w:rsidRPr="00D900FF">
        <w:rPr>
          <w:rFonts w:ascii="Times New Roman" w:hAnsi="Times New Roman"/>
        </w:rPr>
        <w:t>whole</w:t>
      </w:r>
      <w:r w:rsidR="00C51A73" w:rsidRPr="00D900FF">
        <w:rPr>
          <w:rFonts w:ascii="Times New Roman" w:hAnsi="Times New Roman"/>
        </w:rPr>
        <w:t xml:space="preserve">. </w:t>
      </w:r>
    </w:p>
    <w:p w14:paraId="110B179E" w14:textId="2F3CD17F" w:rsidR="00BD4E43" w:rsidRPr="00D900FF" w:rsidRDefault="00BD4E43" w:rsidP="00D900FF">
      <w:pPr>
        <w:pStyle w:val="leftright"/>
        <w:keepNext/>
        <w:spacing w:before="0" w:after="260" w:line="280" w:lineRule="exact"/>
        <w:ind w:left="1440" w:right="0" w:hanging="720"/>
        <w:jc w:val="both"/>
        <w:rPr>
          <w:rFonts w:ascii="Times New Roman" w:hAnsi="Times New Roman"/>
        </w:rPr>
      </w:pPr>
      <w:r w:rsidRPr="00D900FF">
        <w:rPr>
          <w:rFonts w:ascii="Times New Roman" w:hAnsi="Times New Roman"/>
        </w:rPr>
        <w:t>(2)</w:t>
      </w:r>
      <w:r w:rsidRPr="00D900FF">
        <w:rPr>
          <w:rFonts w:ascii="Times New Roman" w:hAnsi="Times New Roman"/>
        </w:rPr>
        <w:tab/>
      </w:r>
      <w:r w:rsidR="00D46BEE" w:rsidRPr="00D900FF">
        <w:rPr>
          <w:rFonts w:ascii="Times New Roman" w:hAnsi="Times New Roman"/>
        </w:rPr>
        <w:t xml:space="preserve">What, if any, relief should be granted to the </w:t>
      </w:r>
      <w:r w:rsidR="00E128AC" w:rsidRPr="00D900FF">
        <w:rPr>
          <w:rFonts w:ascii="Times New Roman" w:hAnsi="Times New Roman"/>
        </w:rPr>
        <w:t>p</w:t>
      </w:r>
      <w:r w:rsidR="00D46BEE" w:rsidRPr="00D900FF">
        <w:rPr>
          <w:rFonts w:ascii="Times New Roman" w:hAnsi="Times New Roman"/>
        </w:rPr>
        <w:t>laintiffs?</w:t>
      </w:r>
    </w:p>
    <w:p w14:paraId="23C3302E" w14:textId="0939468B" w:rsidR="00D46BEE" w:rsidRPr="00D900FF" w:rsidRDefault="00D46BEE" w:rsidP="00D900FF">
      <w:pPr>
        <w:pStyle w:val="leftright"/>
        <w:spacing w:before="0" w:after="260" w:line="280" w:lineRule="exact"/>
        <w:ind w:left="2160" w:right="0" w:hanging="1440"/>
        <w:jc w:val="both"/>
        <w:rPr>
          <w:rFonts w:ascii="Times New Roman" w:hAnsi="Times New Roman"/>
        </w:rPr>
      </w:pPr>
      <w:r w:rsidRPr="00D900FF">
        <w:rPr>
          <w:rFonts w:ascii="Times New Roman" w:hAnsi="Times New Roman"/>
        </w:rPr>
        <w:t xml:space="preserve">Answer: </w:t>
      </w:r>
      <w:r w:rsidR="0094455E" w:rsidRPr="00D900FF">
        <w:rPr>
          <w:rFonts w:ascii="Times New Roman" w:hAnsi="Times New Roman"/>
        </w:rPr>
        <w:tab/>
      </w:r>
      <w:r w:rsidR="005D5B53" w:rsidRPr="00D900FF">
        <w:rPr>
          <w:rFonts w:ascii="Times New Roman" w:hAnsi="Times New Roman"/>
        </w:rPr>
        <w:t>It should be declared</w:t>
      </w:r>
      <w:r w:rsidR="0072379D" w:rsidRPr="00D900FF">
        <w:rPr>
          <w:rFonts w:ascii="Times New Roman" w:hAnsi="Times New Roman"/>
        </w:rPr>
        <w:t xml:space="preserve"> </w:t>
      </w:r>
      <w:r w:rsidR="00596A87" w:rsidRPr="00D900FF">
        <w:rPr>
          <w:rFonts w:ascii="Times New Roman" w:hAnsi="Times New Roman"/>
        </w:rPr>
        <w:t xml:space="preserve">that </w:t>
      </w:r>
      <w:r w:rsidR="0094455E" w:rsidRPr="00D900FF">
        <w:rPr>
          <w:rFonts w:ascii="Times New Roman" w:hAnsi="Times New Roman"/>
        </w:rPr>
        <w:t>Pt</w:t>
      </w:r>
      <w:r w:rsidR="00182501" w:rsidRPr="00D900FF">
        <w:rPr>
          <w:rFonts w:ascii="Times New Roman" w:hAnsi="Times New Roman"/>
        </w:rPr>
        <w:t> </w:t>
      </w:r>
      <w:r w:rsidR="0094455E" w:rsidRPr="00D900FF">
        <w:rPr>
          <w:rFonts w:ascii="Times New Roman" w:hAnsi="Times New Roman"/>
        </w:rPr>
        <w:t xml:space="preserve">12 of the </w:t>
      </w:r>
      <w:r w:rsidR="0094455E" w:rsidRPr="00D900FF">
        <w:rPr>
          <w:rFonts w:ascii="Times New Roman" w:hAnsi="Times New Roman"/>
          <w:i/>
          <w:iCs/>
        </w:rPr>
        <w:t>Electoral Act</w:t>
      </w:r>
      <w:r w:rsidR="0094455E" w:rsidRPr="00D900FF">
        <w:rPr>
          <w:rFonts w:ascii="Times New Roman" w:hAnsi="Times New Roman"/>
        </w:rPr>
        <w:t xml:space="preserve"> </w:t>
      </w:r>
      <w:r w:rsidR="001338B4" w:rsidRPr="00D900FF">
        <w:rPr>
          <w:rFonts w:ascii="Times New Roman" w:hAnsi="Times New Roman"/>
        </w:rPr>
        <w:t xml:space="preserve">is </w:t>
      </w:r>
      <w:r w:rsidR="006261C4" w:rsidRPr="00D900FF">
        <w:rPr>
          <w:rFonts w:ascii="Times New Roman" w:hAnsi="Times New Roman"/>
        </w:rPr>
        <w:t>invalid</w:t>
      </w:r>
      <w:r w:rsidR="00685B52" w:rsidRPr="00D900FF">
        <w:rPr>
          <w:rFonts w:ascii="Times New Roman" w:hAnsi="Times New Roman"/>
        </w:rPr>
        <w:t>.</w:t>
      </w:r>
    </w:p>
    <w:p w14:paraId="20904BE4" w14:textId="6CE6322C" w:rsidR="00D46BEE" w:rsidRPr="00D900FF" w:rsidRDefault="00D46BEE" w:rsidP="00D900FF">
      <w:pPr>
        <w:pStyle w:val="leftright"/>
        <w:keepNext/>
        <w:spacing w:before="0" w:after="260" w:line="280" w:lineRule="exact"/>
        <w:ind w:left="1440" w:right="0" w:hanging="720"/>
        <w:jc w:val="both"/>
        <w:rPr>
          <w:rFonts w:ascii="Times New Roman" w:hAnsi="Times New Roman"/>
        </w:rPr>
      </w:pPr>
      <w:r w:rsidRPr="00D900FF">
        <w:rPr>
          <w:rFonts w:ascii="Times New Roman" w:hAnsi="Times New Roman"/>
        </w:rPr>
        <w:t>(3)</w:t>
      </w:r>
      <w:r w:rsidRPr="00D900FF">
        <w:rPr>
          <w:rFonts w:ascii="Times New Roman" w:hAnsi="Times New Roman"/>
        </w:rPr>
        <w:tab/>
      </w:r>
      <w:r w:rsidR="00554A08" w:rsidRPr="00D900FF">
        <w:rPr>
          <w:rFonts w:ascii="Times New Roman" w:hAnsi="Times New Roman"/>
        </w:rPr>
        <w:t xml:space="preserve">Who should pay the costs of the </w:t>
      </w:r>
      <w:r w:rsidR="00591566" w:rsidRPr="00D900FF">
        <w:rPr>
          <w:rFonts w:ascii="Times New Roman" w:hAnsi="Times New Roman"/>
        </w:rPr>
        <w:t>s</w:t>
      </w:r>
      <w:r w:rsidR="00554A08" w:rsidRPr="00D900FF">
        <w:rPr>
          <w:rFonts w:ascii="Times New Roman" w:hAnsi="Times New Roman"/>
        </w:rPr>
        <w:t xml:space="preserve">pecial </w:t>
      </w:r>
      <w:r w:rsidR="00591566" w:rsidRPr="00D900FF">
        <w:rPr>
          <w:rFonts w:ascii="Times New Roman" w:hAnsi="Times New Roman"/>
        </w:rPr>
        <w:t>c</w:t>
      </w:r>
      <w:r w:rsidR="00554A08" w:rsidRPr="00D900FF">
        <w:rPr>
          <w:rFonts w:ascii="Times New Roman" w:hAnsi="Times New Roman"/>
        </w:rPr>
        <w:t>ase?</w:t>
      </w:r>
    </w:p>
    <w:p w14:paraId="55E0F948" w14:textId="77777777" w:rsidR="00D900FF" w:rsidRDefault="00554A08" w:rsidP="00D900FF">
      <w:pPr>
        <w:pStyle w:val="leftright"/>
        <w:spacing w:before="0" w:after="260" w:line="280" w:lineRule="exact"/>
        <w:ind w:left="1440" w:right="0" w:hanging="720"/>
        <w:jc w:val="both"/>
        <w:rPr>
          <w:rFonts w:ascii="Times New Roman" w:hAnsi="Times New Roman"/>
        </w:rPr>
      </w:pPr>
      <w:r w:rsidRPr="00D900FF">
        <w:rPr>
          <w:rFonts w:ascii="Times New Roman" w:hAnsi="Times New Roman"/>
        </w:rPr>
        <w:t xml:space="preserve">Answer: </w:t>
      </w:r>
      <w:r w:rsidR="009E6C13" w:rsidRPr="00D900FF">
        <w:rPr>
          <w:rFonts w:ascii="Times New Roman" w:hAnsi="Times New Roman"/>
        </w:rPr>
        <w:tab/>
      </w:r>
      <w:r w:rsidRPr="00D900FF">
        <w:rPr>
          <w:rFonts w:ascii="Times New Roman" w:hAnsi="Times New Roman"/>
        </w:rPr>
        <w:t xml:space="preserve">The </w:t>
      </w:r>
      <w:r w:rsidR="00E128AC" w:rsidRPr="00D900FF">
        <w:rPr>
          <w:rFonts w:ascii="Times New Roman" w:hAnsi="Times New Roman"/>
        </w:rPr>
        <w:t>d</w:t>
      </w:r>
      <w:r w:rsidRPr="00D900FF">
        <w:rPr>
          <w:rFonts w:ascii="Times New Roman" w:hAnsi="Times New Roman"/>
        </w:rPr>
        <w:t xml:space="preserve">efendant. </w:t>
      </w:r>
      <w:r w:rsidR="00CF12F9" w:rsidRPr="00D900FF">
        <w:rPr>
          <w:rFonts w:ascii="Times New Roman" w:hAnsi="Times New Roman"/>
        </w:rPr>
        <w:t xml:space="preserve"> </w:t>
      </w:r>
    </w:p>
    <w:p w14:paraId="715980D3" w14:textId="1BF30A5B" w:rsidR="00F2059D" w:rsidRPr="00D900FF" w:rsidRDefault="0001063F"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8326EE" w:rsidRPr="00D900FF">
        <w:rPr>
          <w:rFonts w:ascii="Times New Roman" w:hAnsi="Times New Roman"/>
        </w:rPr>
        <w:t>Q</w:t>
      </w:r>
      <w:r w:rsidR="00822C0B" w:rsidRPr="00D900FF">
        <w:rPr>
          <w:rFonts w:ascii="Times New Roman" w:hAnsi="Times New Roman"/>
        </w:rPr>
        <w:t>uestion (1) reflects that although it was common ground</w:t>
      </w:r>
      <w:r w:rsidR="00F2059D" w:rsidRPr="00D900FF">
        <w:rPr>
          <w:rFonts w:ascii="Times New Roman" w:hAnsi="Times New Roman"/>
        </w:rPr>
        <w:t>, consistent with this Court's decisions</w:t>
      </w:r>
      <w:r w:rsidR="00947374" w:rsidRPr="00D900FF">
        <w:rPr>
          <w:rFonts w:ascii="Times New Roman" w:hAnsi="Times New Roman"/>
        </w:rPr>
        <w:t>,</w:t>
      </w:r>
      <w:r w:rsidR="00AE35DF" w:rsidRPr="00D900FF">
        <w:rPr>
          <w:rFonts w:ascii="Times New Roman" w:hAnsi="Times New Roman"/>
        </w:rPr>
        <w:t xml:space="preserve"> </w:t>
      </w:r>
      <w:r w:rsidR="00F2059D" w:rsidRPr="00D900FF">
        <w:rPr>
          <w:rFonts w:ascii="Times New Roman" w:hAnsi="Times New Roman"/>
        </w:rPr>
        <w:t>that a cap on political donations may be imposed without infringing the implied freedom</w:t>
      </w:r>
      <w:r w:rsidR="006D78E9" w:rsidRPr="00D900FF">
        <w:rPr>
          <w:rFonts w:ascii="Times New Roman" w:hAnsi="Times New Roman"/>
        </w:rPr>
        <w:t xml:space="preserve"> of political communication</w:t>
      </w:r>
      <w:r w:rsidR="00F2059D" w:rsidRPr="00D900FF">
        <w:rPr>
          <w:rFonts w:ascii="Times New Roman" w:hAnsi="Times New Roman"/>
        </w:rPr>
        <w:t>,</w:t>
      </w:r>
      <w:r w:rsidR="00AE35DF" w:rsidRPr="00D900FF">
        <w:rPr>
          <w:rStyle w:val="FootnoteReference"/>
          <w:rFonts w:ascii="Times New Roman" w:hAnsi="Times New Roman"/>
          <w:sz w:val="24"/>
        </w:rPr>
        <w:footnoteReference w:id="4"/>
      </w:r>
      <w:r w:rsidR="00AE35DF" w:rsidRPr="00D900FF">
        <w:rPr>
          <w:rFonts w:ascii="Times New Roman" w:hAnsi="Times New Roman"/>
        </w:rPr>
        <w:t xml:space="preserve"> </w:t>
      </w:r>
      <w:r w:rsidR="00F2059D" w:rsidRPr="00D900FF">
        <w:rPr>
          <w:rFonts w:ascii="Times New Roman" w:hAnsi="Times New Roman"/>
        </w:rPr>
        <w:t xml:space="preserve">the plaintiffs </w:t>
      </w:r>
      <w:r w:rsidR="00F12B47" w:rsidRPr="00D900FF">
        <w:rPr>
          <w:rFonts w:ascii="Times New Roman" w:hAnsi="Times New Roman"/>
        </w:rPr>
        <w:t>contended</w:t>
      </w:r>
      <w:r w:rsidR="003A49E6" w:rsidRPr="00D900FF">
        <w:rPr>
          <w:rFonts w:ascii="Times New Roman" w:hAnsi="Times New Roman"/>
        </w:rPr>
        <w:t xml:space="preserve"> </w:t>
      </w:r>
      <w:r w:rsidR="00822C0B" w:rsidRPr="00D900FF">
        <w:rPr>
          <w:rFonts w:ascii="Times New Roman" w:hAnsi="Times New Roman"/>
        </w:rPr>
        <w:t>that</w:t>
      </w:r>
      <w:r w:rsidR="00BB7DF0" w:rsidRPr="00D900FF">
        <w:rPr>
          <w:rFonts w:ascii="Times New Roman" w:hAnsi="Times New Roman"/>
        </w:rPr>
        <w:t xml:space="preserve"> in Pt 12</w:t>
      </w:r>
      <w:r w:rsidR="00822C0B" w:rsidRPr="00D900FF">
        <w:rPr>
          <w:rFonts w:ascii="Times New Roman" w:hAnsi="Times New Roman"/>
        </w:rPr>
        <w:t xml:space="preserve"> </w:t>
      </w:r>
      <w:r w:rsidR="00BB7DF0" w:rsidRPr="00D900FF">
        <w:rPr>
          <w:rFonts w:ascii="Times New Roman" w:hAnsi="Times New Roman"/>
        </w:rPr>
        <w:t xml:space="preserve">of the </w:t>
      </w:r>
      <w:r w:rsidR="00BB7DF0" w:rsidRPr="00D900FF">
        <w:rPr>
          <w:rFonts w:ascii="Times New Roman" w:hAnsi="Times New Roman"/>
          <w:i/>
          <w:iCs/>
        </w:rPr>
        <w:t xml:space="preserve">Electoral Act </w:t>
      </w:r>
      <w:r w:rsidR="00822C0B" w:rsidRPr="00D900FF">
        <w:rPr>
          <w:rFonts w:ascii="Times New Roman" w:hAnsi="Times New Roman"/>
        </w:rPr>
        <w:t xml:space="preserve">it </w:t>
      </w:r>
      <w:r w:rsidR="007E5FF3" w:rsidRPr="00D900FF">
        <w:rPr>
          <w:rFonts w:ascii="Times New Roman" w:hAnsi="Times New Roman"/>
        </w:rPr>
        <w:t xml:space="preserve">is </w:t>
      </w:r>
      <w:r w:rsidR="00822C0B" w:rsidRPr="00D900FF">
        <w:rPr>
          <w:rFonts w:ascii="Times New Roman" w:hAnsi="Times New Roman"/>
        </w:rPr>
        <w:t xml:space="preserve">the general cap in its operation with </w:t>
      </w:r>
      <w:r w:rsidR="00F2059D" w:rsidRPr="00D900FF">
        <w:rPr>
          <w:rFonts w:ascii="Times New Roman" w:hAnsi="Times New Roman"/>
        </w:rPr>
        <w:t xml:space="preserve">the nominated entity exception </w:t>
      </w:r>
      <w:r w:rsidR="00BF4220" w:rsidRPr="00D900FF">
        <w:rPr>
          <w:rFonts w:ascii="Times New Roman" w:hAnsi="Times New Roman"/>
        </w:rPr>
        <w:t xml:space="preserve">that </w:t>
      </w:r>
      <w:r w:rsidR="007E5FF3" w:rsidRPr="00D900FF">
        <w:rPr>
          <w:rFonts w:ascii="Times New Roman" w:hAnsi="Times New Roman"/>
        </w:rPr>
        <w:t xml:space="preserve">gives </w:t>
      </w:r>
      <w:r w:rsidR="00F2059D" w:rsidRPr="00D900FF">
        <w:rPr>
          <w:rFonts w:ascii="Times New Roman" w:hAnsi="Times New Roman"/>
        </w:rPr>
        <w:t xml:space="preserve">rise to an impermissible burden on the </w:t>
      </w:r>
      <w:r w:rsidR="006D78E9" w:rsidRPr="00D900FF">
        <w:rPr>
          <w:rFonts w:ascii="Times New Roman" w:hAnsi="Times New Roman"/>
        </w:rPr>
        <w:t xml:space="preserve">implied </w:t>
      </w:r>
      <w:r w:rsidR="00F2059D" w:rsidRPr="00D900FF">
        <w:rPr>
          <w:rFonts w:ascii="Times New Roman" w:hAnsi="Times New Roman"/>
        </w:rPr>
        <w:t xml:space="preserve">freedom. </w:t>
      </w:r>
    </w:p>
    <w:p w14:paraId="7FEDFB05" w14:textId="31A09709" w:rsidR="0097581E" w:rsidRPr="00D900FF" w:rsidRDefault="00F2059D"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312428" w:rsidRPr="00D900FF">
        <w:rPr>
          <w:rFonts w:ascii="Times New Roman" w:hAnsi="Times New Roman"/>
        </w:rPr>
        <w:t xml:space="preserve">Only Pt 12 </w:t>
      </w:r>
      <w:r w:rsidR="00264ACF" w:rsidRPr="00D900FF">
        <w:rPr>
          <w:rFonts w:ascii="Times New Roman" w:hAnsi="Times New Roman"/>
        </w:rPr>
        <w:t xml:space="preserve">of the </w:t>
      </w:r>
      <w:r w:rsidR="00264ACF" w:rsidRPr="00D900FF">
        <w:rPr>
          <w:rFonts w:ascii="Times New Roman" w:hAnsi="Times New Roman"/>
          <w:i/>
          <w:iCs/>
        </w:rPr>
        <w:t>Electoral Act</w:t>
      </w:r>
      <w:r w:rsidR="00264ACF" w:rsidRPr="00D900FF">
        <w:rPr>
          <w:rFonts w:ascii="Times New Roman" w:hAnsi="Times New Roman"/>
        </w:rPr>
        <w:t xml:space="preserve"> refers to nominated entities</w:t>
      </w:r>
      <w:r w:rsidR="000457A6" w:rsidRPr="00D900FF">
        <w:rPr>
          <w:rFonts w:ascii="Times New Roman" w:hAnsi="Times New Roman"/>
        </w:rPr>
        <w:t>.</w:t>
      </w:r>
      <w:r w:rsidR="005F198F" w:rsidRPr="00D900FF">
        <w:rPr>
          <w:rFonts w:ascii="Times New Roman" w:hAnsi="Times New Roman"/>
        </w:rPr>
        <w:t xml:space="preserve"> </w:t>
      </w:r>
      <w:r w:rsidR="000457A6" w:rsidRPr="00D900FF">
        <w:rPr>
          <w:rFonts w:ascii="Times New Roman" w:hAnsi="Times New Roman"/>
        </w:rPr>
        <w:t>Th</w:t>
      </w:r>
      <w:r w:rsidR="00312428" w:rsidRPr="00D900FF">
        <w:rPr>
          <w:rFonts w:ascii="Times New Roman" w:hAnsi="Times New Roman"/>
        </w:rPr>
        <w:t>at</w:t>
      </w:r>
      <w:r w:rsidR="000457A6" w:rsidRPr="00D900FF">
        <w:rPr>
          <w:rFonts w:ascii="Times New Roman" w:hAnsi="Times New Roman"/>
        </w:rPr>
        <w:t xml:space="preserve"> Part</w:t>
      </w:r>
      <w:r w:rsidRPr="00D900FF">
        <w:rPr>
          <w:rFonts w:ascii="Times New Roman" w:hAnsi="Times New Roman"/>
        </w:rPr>
        <w:t xml:space="preserve"> </w:t>
      </w:r>
      <w:r w:rsidR="00FC4A32" w:rsidRPr="00D900FF">
        <w:rPr>
          <w:rFonts w:ascii="Times New Roman" w:hAnsi="Times New Roman"/>
        </w:rPr>
        <w:t xml:space="preserve">does </w:t>
      </w:r>
      <w:r w:rsidRPr="00D900FF">
        <w:rPr>
          <w:rFonts w:ascii="Times New Roman" w:hAnsi="Times New Roman"/>
        </w:rPr>
        <w:t xml:space="preserve">not </w:t>
      </w:r>
      <w:r w:rsidR="00720A7C" w:rsidRPr="00D900FF">
        <w:rPr>
          <w:rFonts w:ascii="Times New Roman" w:hAnsi="Times New Roman"/>
        </w:rPr>
        <w:t xml:space="preserve">provide for </w:t>
      </w:r>
      <w:r w:rsidRPr="00D900FF">
        <w:rPr>
          <w:rFonts w:ascii="Times New Roman" w:hAnsi="Times New Roman"/>
        </w:rPr>
        <w:t>a</w:t>
      </w:r>
      <w:r w:rsidR="00720A7C" w:rsidRPr="00D900FF">
        <w:rPr>
          <w:rFonts w:ascii="Times New Roman" w:hAnsi="Times New Roman"/>
        </w:rPr>
        <w:t xml:space="preserve"> </w:t>
      </w:r>
      <w:r w:rsidR="000457A6" w:rsidRPr="00D900FF">
        <w:rPr>
          <w:rFonts w:ascii="Times New Roman" w:hAnsi="Times New Roman"/>
        </w:rPr>
        <w:t>standalone</w:t>
      </w:r>
      <w:r w:rsidR="00EE4A80" w:rsidRPr="00D900FF">
        <w:rPr>
          <w:rFonts w:ascii="Times New Roman" w:hAnsi="Times New Roman"/>
        </w:rPr>
        <w:t xml:space="preserve"> </w:t>
      </w:r>
      <w:r w:rsidRPr="00D900FF">
        <w:rPr>
          <w:rFonts w:ascii="Times New Roman" w:hAnsi="Times New Roman"/>
        </w:rPr>
        <w:t>"nominated entity exception" but create</w:t>
      </w:r>
      <w:r w:rsidR="00FC4A32" w:rsidRPr="00D900FF">
        <w:rPr>
          <w:rFonts w:ascii="Times New Roman" w:hAnsi="Times New Roman"/>
        </w:rPr>
        <w:t>s</w:t>
      </w:r>
      <w:r w:rsidRPr="00D900FF">
        <w:rPr>
          <w:rFonts w:ascii="Times New Roman" w:hAnsi="Times New Roman"/>
        </w:rPr>
        <w:t xml:space="preserve"> a </w:t>
      </w:r>
      <w:r w:rsidR="005F198F" w:rsidRPr="00D900FF">
        <w:rPr>
          <w:rFonts w:ascii="Times New Roman" w:hAnsi="Times New Roman"/>
        </w:rPr>
        <w:t xml:space="preserve">scheme </w:t>
      </w:r>
      <w:r w:rsidRPr="00D900FF">
        <w:rPr>
          <w:rFonts w:ascii="Times New Roman" w:hAnsi="Times New Roman"/>
        </w:rPr>
        <w:t xml:space="preserve">which </w:t>
      </w:r>
      <w:r w:rsidR="00EE4A80" w:rsidRPr="00D900FF">
        <w:rPr>
          <w:rFonts w:ascii="Times New Roman" w:hAnsi="Times New Roman"/>
        </w:rPr>
        <w:t>identifie</w:t>
      </w:r>
      <w:r w:rsidR="00FC4A32" w:rsidRPr="00D900FF">
        <w:rPr>
          <w:rFonts w:ascii="Times New Roman" w:hAnsi="Times New Roman"/>
        </w:rPr>
        <w:t>s</w:t>
      </w:r>
      <w:r w:rsidR="00EE4A80" w:rsidRPr="00D900FF">
        <w:rPr>
          <w:rFonts w:ascii="Times New Roman" w:hAnsi="Times New Roman"/>
        </w:rPr>
        <w:t xml:space="preserve"> the criteria for an entity to be</w:t>
      </w:r>
      <w:r w:rsidR="004B09E7" w:rsidRPr="00D900FF">
        <w:rPr>
          <w:rFonts w:ascii="Times New Roman" w:hAnsi="Times New Roman"/>
        </w:rPr>
        <w:t xml:space="preserve"> appointed</w:t>
      </w:r>
      <w:r w:rsidR="00EE4A80" w:rsidRPr="00D900FF">
        <w:rPr>
          <w:rFonts w:ascii="Times New Roman" w:hAnsi="Times New Roman"/>
        </w:rPr>
        <w:t xml:space="preserve"> </w:t>
      </w:r>
      <w:r w:rsidR="004E5C31" w:rsidRPr="00D900FF">
        <w:rPr>
          <w:rFonts w:ascii="Times New Roman" w:hAnsi="Times New Roman"/>
        </w:rPr>
        <w:t>the</w:t>
      </w:r>
      <w:r w:rsidR="00EE4A80" w:rsidRPr="00D900FF">
        <w:rPr>
          <w:rFonts w:ascii="Times New Roman" w:hAnsi="Times New Roman"/>
        </w:rPr>
        <w:t xml:space="preserve"> </w:t>
      </w:r>
      <w:r w:rsidRPr="00D900FF">
        <w:rPr>
          <w:rFonts w:ascii="Times New Roman" w:hAnsi="Times New Roman"/>
        </w:rPr>
        <w:t>nominated entit</w:t>
      </w:r>
      <w:r w:rsidR="00EE4A80" w:rsidRPr="00D900FF">
        <w:rPr>
          <w:rFonts w:ascii="Times New Roman" w:hAnsi="Times New Roman"/>
        </w:rPr>
        <w:t>y of a</w:t>
      </w:r>
      <w:r w:rsidR="007A2AC3">
        <w:rPr>
          <w:rFonts w:ascii="Times New Roman" w:hAnsi="Times New Roman"/>
        </w:rPr>
        <w:t> </w:t>
      </w:r>
      <w:r w:rsidR="00EE4A80" w:rsidRPr="00D900FF">
        <w:rPr>
          <w:rFonts w:ascii="Times New Roman" w:hAnsi="Times New Roman"/>
        </w:rPr>
        <w:t>registered political party</w:t>
      </w:r>
      <w:r w:rsidR="008B73E8" w:rsidRPr="00D900FF">
        <w:rPr>
          <w:rFonts w:ascii="Times New Roman" w:hAnsi="Times New Roman"/>
        </w:rPr>
        <w:t xml:space="preserve">, </w:t>
      </w:r>
      <w:r w:rsidR="00BB465B" w:rsidRPr="00D900FF">
        <w:rPr>
          <w:rFonts w:ascii="Times New Roman" w:hAnsi="Times New Roman"/>
        </w:rPr>
        <w:t>set</w:t>
      </w:r>
      <w:r w:rsidR="00FC4A32" w:rsidRPr="00D900FF">
        <w:rPr>
          <w:rFonts w:ascii="Times New Roman" w:hAnsi="Times New Roman"/>
        </w:rPr>
        <w:t>s</w:t>
      </w:r>
      <w:r w:rsidR="00BB465B" w:rsidRPr="00D900FF">
        <w:rPr>
          <w:rFonts w:ascii="Times New Roman" w:hAnsi="Times New Roman"/>
        </w:rPr>
        <w:t xml:space="preserve"> out </w:t>
      </w:r>
      <w:r w:rsidR="00EE4A80" w:rsidRPr="00D900FF">
        <w:rPr>
          <w:rFonts w:ascii="Times New Roman" w:hAnsi="Times New Roman"/>
        </w:rPr>
        <w:t xml:space="preserve">the </w:t>
      </w:r>
      <w:r w:rsidR="008B73E8" w:rsidRPr="00D900FF">
        <w:rPr>
          <w:rFonts w:ascii="Times New Roman" w:hAnsi="Times New Roman"/>
        </w:rPr>
        <w:t xml:space="preserve">process for </w:t>
      </w:r>
      <w:r w:rsidR="00EE4A80" w:rsidRPr="00D900FF">
        <w:rPr>
          <w:rFonts w:ascii="Times New Roman" w:hAnsi="Times New Roman"/>
        </w:rPr>
        <w:t>appointment of such an entity by a registered political party</w:t>
      </w:r>
      <w:r w:rsidR="001A61AD" w:rsidRPr="00D900FF">
        <w:rPr>
          <w:rFonts w:ascii="Times New Roman" w:hAnsi="Times New Roman"/>
        </w:rPr>
        <w:t>,</w:t>
      </w:r>
      <w:r w:rsidR="00EE4A80" w:rsidRPr="00D900FF">
        <w:rPr>
          <w:rFonts w:ascii="Times New Roman" w:hAnsi="Times New Roman"/>
        </w:rPr>
        <w:t xml:space="preserve"> and then </w:t>
      </w:r>
      <w:r w:rsidRPr="00D900FF">
        <w:rPr>
          <w:rFonts w:ascii="Times New Roman" w:hAnsi="Times New Roman"/>
        </w:rPr>
        <w:t>subject</w:t>
      </w:r>
      <w:r w:rsidR="00FC4A32" w:rsidRPr="00D900FF">
        <w:rPr>
          <w:rFonts w:ascii="Times New Roman" w:hAnsi="Times New Roman"/>
        </w:rPr>
        <w:t>s</w:t>
      </w:r>
      <w:r w:rsidRPr="00D900FF">
        <w:rPr>
          <w:rFonts w:ascii="Times New Roman" w:hAnsi="Times New Roman"/>
        </w:rPr>
        <w:t xml:space="preserve"> those entities to regulation.</w:t>
      </w:r>
      <w:r w:rsidR="00D31048" w:rsidRPr="00D900FF">
        <w:rPr>
          <w:rStyle w:val="FootnoteReference"/>
          <w:rFonts w:ascii="Times New Roman" w:hAnsi="Times New Roman"/>
          <w:sz w:val="24"/>
        </w:rPr>
        <w:footnoteReference w:id="5"/>
      </w:r>
      <w:r w:rsidRPr="00D900FF">
        <w:rPr>
          <w:rFonts w:ascii="Times New Roman" w:hAnsi="Times New Roman"/>
        </w:rPr>
        <w:t xml:space="preserve"> </w:t>
      </w:r>
      <w:r w:rsidR="0014195A" w:rsidRPr="00D900FF">
        <w:rPr>
          <w:rFonts w:ascii="Times New Roman" w:hAnsi="Times New Roman"/>
        </w:rPr>
        <w:t>The</w:t>
      </w:r>
      <w:r w:rsidR="007A2AC3">
        <w:rPr>
          <w:rFonts w:ascii="Times New Roman" w:hAnsi="Times New Roman"/>
        </w:rPr>
        <w:t> </w:t>
      </w:r>
      <w:r w:rsidR="00002730" w:rsidRPr="00D900FF">
        <w:rPr>
          <w:rFonts w:ascii="Times New Roman" w:hAnsi="Times New Roman"/>
        </w:rPr>
        <w:t xml:space="preserve">exception </w:t>
      </w:r>
      <w:r w:rsidR="0014195A" w:rsidRPr="00D900FF">
        <w:rPr>
          <w:rFonts w:ascii="Times New Roman" w:hAnsi="Times New Roman"/>
        </w:rPr>
        <w:t xml:space="preserve">from the general cap </w:t>
      </w:r>
      <w:r w:rsidR="009C66F7" w:rsidRPr="00D900FF">
        <w:rPr>
          <w:rFonts w:ascii="Times New Roman" w:hAnsi="Times New Roman"/>
        </w:rPr>
        <w:t>for</w:t>
      </w:r>
      <w:r w:rsidR="00143828" w:rsidRPr="00D900FF">
        <w:rPr>
          <w:rFonts w:ascii="Times New Roman" w:hAnsi="Times New Roman"/>
        </w:rPr>
        <w:t xml:space="preserve"> the flow of funds </w:t>
      </w:r>
      <w:r w:rsidR="00002730" w:rsidRPr="00D900FF">
        <w:rPr>
          <w:rFonts w:ascii="Times New Roman" w:hAnsi="Times New Roman"/>
        </w:rPr>
        <w:t xml:space="preserve">between a nominated </w:t>
      </w:r>
      <w:r w:rsidR="00002730" w:rsidRPr="00D900FF">
        <w:rPr>
          <w:rFonts w:ascii="Times New Roman" w:hAnsi="Times New Roman"/>
        </w:rPr>
        <w:lastRenderedPageBreak/>
        <w:t xml:space="preserve">entity and its registered political party </w:t>
      </w:r>
      <w:r w:rsidR="00FC4A32" w:rsidRPr="00D900FF">
        <w:rPr>
          <w:rFonts w:ascii="Times New Roman" w:hAnsi="Times New Roman"/>
        </w:rPr>
        <w:t xml:space="preserve">is </w:t>
      </w:r>
      <w:r w:rsidR="00002730" w:rsidRPr="00D900FF">
        <w:rPr>
          <w:rFonts w:ascii="Times New Roman" w:hAnsi="Times New Roman"/>
        </w:rPr>
        <w:t xml:space="preserve">not effected by any particular </w:t>
      </w:r>
      <w:r w:rsidR="00B23398" w:rsidRPr="00D900FF">
        <w:rPr>
          <w:rFonts w:ascii="Times New Roman" w:hAnsi="Times New Roman"/>
        </w:rPr>
        <w:t xml:space="preserve">substantive </w:t>
      </w:r>
      <w:r w:rsidR="00002730" w:rsidRPr="00D900FF">
        <w:rPr>
          <w:rFonts w:ascii="Times New Roman" w:hAnsi="Times New Roman"/>
        </w:rPr>
        <w:t>section or sub</w:t>
      </w:r>
      <w:r w:rsidR="00B23398" w:rsidRPr="00D900FF">
        <w:rPr>
          <w:rFonts w:ascii="Times New Roman" w:hAnsi="Times New Roman"/>
        </w:rPr>
        <w:t>-</w:t>
      </w:r>
      <w:r w:rsidR="00002730" w:rsidRPr="00D900FF">
        <w:rPr>
          <w:rFonts w:ascii="Times New Roman" w:hAnsi="Times New Roman"/>
        </w:rPr>
        <w:t xml:space="preserve">section, but rather through </w:t>
      </w:r>
      <w:r w:rsidR="004013AD" w:rsidRPr="00D900FF">
        <w:rPr>
          <w:rFonts w:ascii="Times New Roman" w:hAnsi="Times New Roman"/>
        </w:rPr>
        <w:t xml:space="preserve">the </w:t>
      </w:r>
      <w:r w:rsidR="00D31048" w:rsidRPr="00D900FF">
        <w:rPr>
          <w:rFonts w:ascii="Times New Roman" w:hAnsi="Times New Roman"/>
        </w:rPr>
        <w:t>definition</w:t>
      </w:r>
      <w:r w:rsidR="0048663C" w:rsidRPr="00D900FF">
        <w:rPr>
          <w:rFonts w:ascii="Times New Roman" w:hAnsi="Times New Roman"/>
        </w:rPr>
        <w:t>s</w:t>
      </w:r>
      <w:r w:rsidR="00D31048" w:rsidRPr="00D900FF">
        <w:rPr>
          <w:rFonts w:ascii="Times New Roman" w:hAnsi="Times New Roman"/>
        </w:rPr>
        <w:t xml:space="preserve"> of </w:t>
      </w:r>
      <w:r w:rsidR="001620BC" w:rsidRPr="00D900FF">
        <w:rPr>
          <w:rFonts w:ascii="Times New Roman" w:hAnsi="Times New Roman"/>
        </w:rPr>
        <w:t xml:space="preserve">"gift" and </w:t>
      </w:r>
      <w:r w:rsidR="00002730" w:rsidRPr="00D900FF">
        <w:rPr>
          <w:rFonts w:ascii="Times New Roman" w:hAnsi="Times New Roman"/>
        </w:rPr>
        <w:t>"political donation"</w:t>
      </w:r>
      <w:r w:rsidR="00935B1E" w:rsidRPr="00D900FF">
        <w:rPr>
          <w:rFonts w:ascii="Times New Roman" w:hAnsi="Times New Roman"/>
        </w:rPr>
        <w:t>,</w:t>
      </w:r>
      <w:r w:rsidR="00356CF0" w:rsidRPr="00D900FF">
        <w:rPr>
          <w:rFonts w:ascii="Times New Roman" w:hAnsi="Times New Roman"/>
        </w:rPr>
        <w:t xml:space="preserve"> </w:t>
      </w:r>
      <w:r w:rsidR="00037580" w:rsidRPr="00D900FF">
        <w:rPr>
          <w:rFonts w:ascii="Times New Roman" w:hAnsi="Times New Roman"/>
        </w:rPr>
        <w:t>which provide an aid to the construction of the substantive provisions in Pt 12</w:t>
      </w:r>
      <w:r w:rsidR="0097368C" w:rsidRPr="00D900FF">
        <w:rPr>
          <w:rFonts w:ascii="Times New Roman" w:hAnsi="Times New Roman"/>
        </w:rPr>
        <w:t>.</w:t>
      </w:r>
      <w:r w:rsidR="00FC722F" w:rsidRPr="00D900FF">
        <w:rPr>
          <w:rStyle w:val="FootnoteReference"/>
          <w:rFonts w:ascii="Times New Roman" w:hAnsi="Times New Roman"/>
          <w:sz w:val="24"/>
        </w:rPr>
        <w:footnoteReference w:id="6"/>
      </w:r>
      <w:r w:rsidR="006B6864" w:rsidRPr="00D900FF">
        <w:rPr>
          <w:rFonts w:ascii="Times New Roman" w:hAnsi="Times New Roman"/>
        </w:rPr>
        <w:t xml:space="preserve"> </w:t>
      </w:r>
      <w:r w:rsidR="008A4860" w:rsidRPr="00D900FF">
        <w:rPr>
          <w:rFonts w:ascii="Times New Roman" w:hAnsi="Times New Roman"/>
        </w:rPr>
        <w:t>The nominated entity exception c</w:t>
      </w:r>
      <w:r w:rsidR="00234BB5" w:rsidRPr="00D900FF">
        <w:rPr>
          <w:rFonts w:ascii="Times New Roman" w:hAnsi="Times New Roman"/>
        </w:rPr>
        <w:t>an</w:t>
      </w:r>
      <w:r w:rsidR="008A4860" w:rsidRPr="00D900FF">
        <w:rPr>
          <w:rFonts w:ascii="Times New Roman" w:hAnsi="Times New Roman"/>
        </w:rPr>
        <w:t xml:space="preserve"> therefore only be understood in the</w:t>
      </w:r>
      <w:r w:rsidR="007A2AC3">
        <w:rPr>
          <w:rFonts w:ascii="Times New Roman" w:hAnsi="Times New Roman"/>
        </w:rPr>
        <w:t> </w:t>
      </w:r>
      <w:r w:rsidR="008A4860" w:rsidRPr="00D900FF">
        <w:rPr>
          <w:rFonts w:ascii="Times New Roman" w:hAnsi="Times New Roman"/>
        </w:rPr>
        <w:t xml:space="preserve">context in which it appears </w:t>
      </w:r>
      <w:r w:rsidR="00B119FA" w:rsidRPr="00D900FF">
        <w:rPr>
          <w:rFonts w:ascii="Times New Roman" w:hAnsi="Times New Roman"/>
        </w:rPr>
        <w:t>– Pt 12</w:t>
      </w:r>
      <w:r w:rsidR="006500B1" w:rsidRPr="00D900FF">
        <w:rPr>
          <w:rFonts w:ascii="Times New Roman" w:hAnsi="Times New Roman"/>
        </w:rPr>
        <w:t xml:space="preserve"> and, specifically, the general ca</w:t>
      </w:r>
      <w:r w:rsidR="00CE4332" w:rsidRPr="00D900FF">
        <w:rPr>
          <w:rFonts w:ascii="Times New Roman" w:hAnsi="Times New Roman"/>
        </w:rPr>
        <w:t xml:space="preserve">p. </w:t>
      </w:r>
      <w:r w:rsidR="00332955" w:rsidRPr="00D900FF">
        <w:rPr>
          <w:rFonts w:ascii="Times New Roman" w:hAnsi="Times New Roman"/>
        </w:rPr>
        <w:t>The extent to which the nominated entity exception burden</w:t>
      </w:r>
      <w:r w:rsidR="00FC4A32" w:rsidRPr="00D900FF">
        <w:rPr>
          <w:rFonts w:ascii="Times New Roman" w:hAnsi="Times New Roman"/>
        </w:rPr>
        <w:t>s</w:t>
      </w:r>
      <w:r w:rsidR="00332955" w:rsidRPr="00D900FF">
        <w:rPr>
          <w:rFonts w:ascii="Times New Roman" w:hAnsi="Times New Roman"/>
        </w:rPr>
        <w:t xml:space="preserve"> the implied freedom,</w:t>
      </w:r>
      <w:r w:rsidR="00B119FA" w:rsidRPr="00D900FF">
        <w:rPr>
          <w:rFonts w:ascii="Times New Roman" w:hAnsi="Times New Roman"/>
        </w:rPr>
        <w:t xml:space="preserve"> </w:t>
      </w:r>
      <w:r w:rsidR="006500B1" w:rsidRPr="00D900FF">
        <w:rPr>
          <w:rFonts w:ascii="Times New Roman" w:hAnsi="Times New Roman"/>
        </w:rPr>
        <w:t>and</w:t>
      </w:r>
      <w:r w:rsidR="007A2AC3">
        <w:rPr>
          <w:rFonts w:ascii="Times New Roman" w:hAnsi="Times New Roman"/>
        </w:rPr>
        <w:t> </w:t>
      </w:r>
      <w:r w:rsidR="004927CF" w:rsidRPr="00D900FF">
        <w:rPr>
          <w:rFonts w:ascii="Times New Roman" w:hAnsi="Times New Roman"/>
        </w:rPr>
        <w:t>the</w:t>
      </w:r>
      <w:r w:rsidR="007A2AC3">
        <w:rPr>
          <w:rFonts w:ascii="Times New Roman" w:hAnsi="Times New Roman"/>
        </w:rPr>
        <w:t> </w:t>
      </w:r>
      <w:r w:rsidR="00BE07EB" w:rsidRPr="00D900FF">
        <w:rPr>
          <w:rFonts w:ascii="Times New Roman" w:hAnsi="Times New Roman"/>
        </w:rPr>
        <w:t>purpose</w:t>
      </w:r>
      <w:r w:rsidR="006500B1" w:rsidRPr="00D900FF">
        <w:rPr>
          <w:rFonts w:ascii="Times New Roman" w:hAnsi="Times New Roman"/>
        </w:rPr>
        <w:t xml:space="preserve"> </w:t>
      </w:r>
      <w:r w:rsidR="004927CF" w:rsidRPr="00D900FF">
        <w:rPr>
          <w:rFonts w:ascii="Times New Roman" w:hAnsi="Times New Roman"/>
        </w:rPr>
        <w:t>it serves</w:t>
      </w:r>
      <w:r w:rsidR="002662C9" w:rsidRPr="00D900FF">
        <w:rPr>
          <w:rFonts w:ascii="Times New Roman" w:hAnsi="Times New Roman"/>
        </w:rPr>
        <w:t>,</w:t>
      </w:r>
      <w:r w:rsidR="004927CF" w:rsidRPr="00D900FF">
        <w:rPr>
          <w:rFonts w:ascii="Times New Roman" w:hAnsi="Times New Roman"/>
        </w:rPr>
        <w:t xml:space="preserve"> </w:t>
      </w:r>
      <w:r w:rsidR="008131F9" w:rsidRPr="00D900FF">
        <w:rPr>
          <w:rFonts w:ascii="Times New Roman" w:hAnsi="Times New Roman"/>
        </w:rPr>
        <w:t>can</w:t>
      </w:r>
      <w:r w:rsidR="006500B1" w:rsidRPr="00D900FF">
        <w:rPr>
          <w:rFonts w:ascii="Times New Roman" w:hAnsi="Times New Roman"/>
        </w:rPr>
        <w:t xml:space="preserve">not be explained independently of that context. </w:t>
      </w:r>
    </w:p>
    <w:p w14:paraId="4CC42280" w14:textId="7D379C3F" w:rsidR="00F72769" w:rsidRPr="00D900FF" w:rsidRDefault="00F72769" w:rsidP="00D900FF">
      <w:pPr>
        <w:pStyle w:val="HeadingL1"/>
        <w:spacing w:after="260" w:line="280" w:lineRule="exact"/>
        <w:ind w:right="0"/>
        <w:jc w:val="both"/>
        <w:rPr>
          <w:rFonts w:ascii="Times New Roman" w:hAnsi="Times New Roman"/>
        </w:rPr>
      </w:pPr>
      <w:r w:rsidRPr="00D900FF">
        <w:rPr>
          <w:rFonts w:ascii="Times New Roman" w:hAnsi="Times New Roman"/>
        </w:rPr>
        <w:t xml:space="preserve">Part 12 of the </w:t>
      </w:r>
      <w:r w:rsidRPr="00D900FF">
        <w:rPr>
          <w:rFonts w:ascii="Times New Roman" w:hAnsi="Times New Roman"/>
          <w:i/>
          <w:iCs/>
        </w:rPr>
        <w:t>Electoral Act</w:t>
      </w:r>
    </w:p>
    <w:p w14:paraId="69B605EE" w14:textId="374C5D27" w:rsidR="004C1C8D" w:rsidRPr="00D900FF" w:rsidRDefault="00F72769" w:rsidP="00D900FF">
      <w:pPr>
        <w:pStyle w:val="FixListStyle"/>
        <w:spacing w:after="260" w:line="280" w:lineRule="exact"/>
        <w:ind w:right="0"/>
        <w:jc w:val="both"/>
        <w:rPr>
          <w:rFonts w:ascii="Times New Roman" w:hAnsi="Times New Roman"/>
        </w:rPr>
      </w:pPr>
      <w:r w:rsidRPr="00D900FF">
        <w:rPr>
          <w:rFonts w:ascii="Times New Roman" w:hAnsi="Times New Roman"/>
        </w:rPr>
        <w:tab/>
        <w:t xml:space="preserve">Part 12 of the </w:t>
      </w:r>
      <w:r w:rsidRPr="00D900FF">
        <w:rPr>
          <w:rFonts w:ascii="Times New Roman" w:hAnsi="Times New Roman"/>
          <w:i/>
          <w:iCs/>
        </w:rPr>
        <w:t>Electoral Act</w:t>
      </w:r>
      <w:r w:rsidRPr="00D900FF">
        <w:rPr>
          <w:rFonts w:ascii="Times New Roman" w:hAnsi="Times New Roman"/>
        </w:rPr>
        <w:t xml:space="preserve"> </w:t>
      </w:r>
      <w:r w:rsidR="009E3793" w:rsidRPr="00D900FF">
        <w:rPr>
          <w:rFonts w:ascii="Times New Roman" w:hAnsi="Times New Roman"/>
        </w:rPr>
        <w:t>was amended by the</w:t>
      </w:r>
      <w:r w:rsidRPr="00D900FF">
        <w:rPr>
          <w:rFonts w:ascii="Times New Roman" w:hAnsi="Times New Roman"/>
        </w:rPr>
        <w:t xml:space="preserve"> </w:t>
      </w:r>
      <w:r w:rsidR="00CE3102" w:rsidRPr="00D900FF">
        <w:rPr>
          <w:rFonts w:ascii="Times New Roman" w:hAnsi="Times New Roman"/>
          <w:i/>
          <w:iCs/>
        </w:rPr>
        <w:t>Electoral Legislation Amendment Act 2018</w:t>
      </w:r>
      <w:r w:rsidR="00CE3102" w:rsidRPr="00D900FF">
        <w:rPr>
          <w:rFonts w:ascii="Times New Roman" w:hAnsi="Times New Roman"/>
        </w:rPr>
        <w:t xml:space="preserve"> (Vic) ("the 2018 Amendment Act")</w:t>
      </w:r>
      <w:r w:rsidR="00182501" w:rsidRPr="00D900FF">
        <w:rPr>
          <w:rFonts w:ascii="Times New Roman" w:hAnsi="Times New Roman"/>
        </w:rPr>
        <w:t xml:space="preserve"> </w:t>
      </w:r>
      <w:r w:rsidR="009E3793" w:rsidRPr="00D900FF">
        <w:rPr>
          <w:rFonts w:ascii="Times New Roman" w:hAnsi="Times New Roman"/>
        </w:rPr>
        <w:t xml:space="preserve">to </w:t>
      </w:r>
      <w:r w:rsidRPr="00D900FF">
        <w:rPr>
          <w:rFonts w:ascii="Times New Roman" w:hAnsi="Times New Roman"/>
        </w:rPr>
        <w:t xml:space="preserve">introduce a scheme regulating political donations and political expenditure. </w:t>
      </w:r>
      <w:r w:rsidR="00ED0BD9" w:rsidRPr="00D900FF">
        <w:rPr>
          <w:rFonts w:ascii="Times New Roman" w:hAnsi="Times New Roman"/>
        </w:rPr>
        <w:t>A</w:t>
      </w:r>
      <w:r w:rsidRPr="00D900FF">
        <w:rPr>
          <w:rFonts w:ascii="Times New Roman" w:hAnsi="Times New Roman"/>
        </w:rPr>
        <w:t xml:space="preserve"> </w:t>
      </w:r>
      <w:r w:rsidR="00C26E2F" w:rsidRPr="00D900FF">
        <w:rPr>
          <w:rFonts w:ascii="Times New Roman" w:hAnsi="Times New Roman"/>
        </w:rPr>
        <w:t>stated</w:t>
      </w:r>
      <w:r w:rsidRPr="00D900FF">
        <w:rPr>
          <w:rFonts w:ascii="Times New Roman" w:hAnsi="Times New Roman"/>
        </w:rPr>
        <w:t xml:space="preserve"> purpose of the</w:t>
      </w:r>
      <w:r w:rsidR="007A2AC3">
        <w:rPr>
          <w:rFonts w:ascii="Times New Roman" w:hAnsi="Times New Roman"/>
        </w:rPr>
        <w:t> </w:t>
      </w:r>
      <w:r w:rsidRPr="00D900FF">
        <w:rPr>
          <w:rFonts w:ascii="Times New Roman" w:hAnsi="Times New Roman"/>
        </w:rPr>
        <w:t>2018 Amendment Act was to "enhance the integrity of the electoral system by prohibiting political donations from certain sources and introducing a political donations disclosure and reporting scheme".</w:t>
      </w:r>
      <w:r w:rsidR="00F71F8B" w:rsidRPr="00D900FF">
        <w:rPr>
          <w:rStyle w:val="FootnoteReference"/>
          <w:rFonts w:ascii="Times New Roman" w:hAnsi="Times New Roman"/>
          <w:sz w:val="24"/>
        </w:rPr>
        <w:footnoteReference w:id="7"/>
      </w:r>
      <w:r w:rsidRPr="00D900FF">
        <w:rPr>
          <w:rFonts w:ascii="Times New Roman" w:hAnsi="Times New Roman"/>
        </w:rPr>
        <w:t xml:space="preserve"> </w:t>
      </w:r>
      <w:r w:rsidR="004C1C8D" w:rsidRPr="00D900FF">
        <w:rPr>
          <w:rFonts w:ascii="Times New Roman" w:hAnsi="Times New Roman"/>
        </w:rPr>
        <w:t>There are a number of elements in the legislative scheme</w:t>
      </w:r>
      <w:r w:rsidR="00E30386" w:rsidRPr="00D900FF">
        <w:rPr>
          <w:rFonts w:ascii="Times New Roman" w:hAnsi="Times New Roman"/>
        </w:rPr>
        <w:t xml:space="preserve"> which must be explained</w:t>
      </w:r>
      <w:r w:rsidR="004C1C8D" w:rsidRPr="00D900FF">
        <w:rPr>
          <w:rFonts w:ascii="Times New Roman" w:hAnsi="Times New Roman"/>
        </w:rPr>
        <w:t>.</w:t>
      </w:r>
    </w:p>
    <w:p w14:paraId="6F167E19" w14:textId="3596BEAD" w:rsidR="00CC0EFD" w:rsidRPr="00D900FF" w:rsidRDefault="004C1C8D"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F044D9" w:rsidRPr="00D900FF">
        <w:rPr>
          <w:rFonts w:ascii="Times New Roman" w:hAnsi="Times New Roman"/>
        </w:rPr>
        <w:t>Part 12 place</w:t>
      </w:r>
      <w:r w:rsidR="00436F1B" w:rsidRPr="00D900FF">
        <w:rPr>
          <w:rFonts w:ascii="Times New Roman" w:hAnsi="Times New Roman"/>
        </w:rPr>
        <w:t>s</w:t>
      </w:r>
      <w:r w:rsidR="00F044D9" w:rsidRPr="00D900FF">
        <w:rPr>
          <w:rFonts w:ascii="Times New Roman" w:hAnsi="Times New Roman"/>
        </w:rPr>
        <w:t xml:space="preserve"> restrictions and obligations </w:t>
      </w:r>
      <w:r w:rsidR="00AA5227" w:rsidRPr="00D900FF">
        <w:rPr>
          <w:rFonts w:ascii="Times New Roman" w:hAnsi="Times New Roman"/>
        </w:rPr>
        <w:t xml:space="preserve">on </w:t>
      </w:r>
      <w:r w:rsidR="000D0315" w:rsidRPr="00D900FF">
        <w:rPr>
          <w:rFonts w:ascii="Times New Roman" w:hAnsi="Times New Roman"/>
        </w:rPr>
        <w:t xml:space="preserve">the following persons or entities </w:t>
      </w:r>
      <w:r w:rsidR="00BA5EE5" w:rsidRPr="00D900FF">
        <w:rPr>
          <w:rFonts w:ascii="Times New Roman" w:hAnsi="Times New Roman"/>
        </w:rPr>
        <w:t>("</w:t>
      </w:r>
      <w:r w:rsidR="00D20086" w:rsidRPr="00D900FF">
        <w:rPr>
          <w:rFonts w:ascii="Times New Roman" w:hAnsi="Times New Roman"/>
          <w:bCs/>
        </w:rPr>
        <w:t>regulated persons or entities</w:t>
      </w:r>
      <w:r w:rsidR="00236179" w:rsidRPr="00D900FF">
        <w:rPr>
          <w:rFonts w:ascii="Times New Roman" w:hAnsi="Times New Roman"/>
        </w:rPr>
        <w:t>"</w:t>
      </w:r>
      <w:r w:rsidR="00D20086" w:rsidRPr="00D900FF">
        <w:rPr>
          <w:rFonts w:ascii="Times New Roman" w:hAnsi="Times New Roman"/>
        </w:rPr>
        <w:t>):</w:t>
      </w:r>
      <w:r w:rsidR="003E519D" w:rsidRPr="00D900FF">
        <w:rPr>
          <w:rFonts w:ascii="Times New Roman" w:hAnsi="Times New Roman"/>
        </w:rPr>
        <w:t xml:space="preserve"> </w:t>
      </w:r>
      <w:r w:rsidR="00B26ABB" w:rsidRPr="00D900FF">
        <w:rPr>
          <w:rFonts w:ascii="Times New Roman" w:hAnsi="Times New Roman"/>
        </w:rPr>
        <w:t xml:space="preserve">a </w:t>
      </w:r>
      <w:r w:rsidR="00153527" w:rsidRPr="00D900FF">
        <w:rPr>
          <w:rFonts w:ascii="Times New Roman" w:hAnsi="Times New Roman"/>
        </w:rPr>
        <w:t>registered political party</w:t>
      </w:r>
      <w:r w:rsidR="003F2380" w:rsidRPr="00D900FF">
        <w:rPr>
          <w:rFonts w:ascii="Times New Roman" w:hAnsi="Times New Roman"/>
        </w:rPr>
        <w:t>,</w:t>
      </w:r>
      <w:r w:rsidR="00B26ABB" w:rsidRPr="00D900FF">
        <w:rPr>
          <w:rStyle w:val="FootnoteReference"/>
          <w:rFonts w:ascii="Times New Roman" w:hAnsi="Times New Roman"/>
          <w:sz w:val="24"/>
        </w:rPr>
        <w:footnoteReference w:id="8"/>
      </w:r>
      <w:r w:rsidR="00092BCF" w:rsidRPr="00D900FF">
        <w:rPr>
          <w:rFonts w:ascii="Times New Roman" w:hAnsi="Times New Roman"/>
        </w:rPr>
        <w:t xml:space="preserve"> </w:t>
      </w:r>
      <w:r w:rsidR="008D0190" w:rsidRPr="00D900FF">
        <w:rPr>
          <w:rFonts w:ascii="Times New Roman" w:hAnsi="Times New Roman"/>
        </w:rPr>
        <w:t xml:space="preserve">a candidate, </w:t>
      </w:r>
      <w:r w:rsidR="003472ED" w:rsidRPr="00D900FF">
        <w:rPr>
          <w:rFonts w:ascii="Times New Roman" w:hAnsi="Times New Roman"/>
        </w:rPr>
        <w:lastRenderedPageBreak/>
        <w:t>a group</w:t>
      </w:r>
      <w:r w:rsidR="003F2380" w:rsidRPr="00D900FF">
        <w:rPr>
          <w:rFonts w:ascii="Times New Roman" w:hAnsi="Times New Roman"/>
        </w:rPr>
        <w:t>,</w:t>
      </w:r>
      <w:r w:rsidR="005A60A5" w:rsidRPr="00D900FF">
        <w:rPr>
          <w:rStyle w:val="FootnoteReference"/>
          <w:rFonts w:ascii="Times New Roman" w:hAnsi="Times New Roman"/>
          <w:sz w:val="24"/>
        </w:rPr>
        <w:footnoteReference w:id="9"/>
      </w:r>
      <w:r w:rsidR="003E519D" w:rsidRPr="00D900FF">
        <w:rPr>
          <w:rFonts w:ascii="Times New Roman" w:hAnsi="Times New Roman"/>
        </w:rPr>
        <w:t xml:space="preserve"> </w:t>
      </w:r>
      <w:r w:rsidR="00CA3F36" w:rsidRPr="00D900FF">
        <w:rPr>
          <w:rFonts w:ascii="Times New Roman" w:hAnsi="Times New Roman"/>
        </w:rPr>
        <w:t>an elected member, a nominated entity</w:t>
      </w:r>
      <w:r w:rsidR="00EC2981" w:rsidRPr="00D900FF">
        <w:rPr>
          <w:rFonts w:ascii="Times New Roman" w:hAnsi="Times New Roman"/>
        </w:rPr>
        <w:t xml:space="preserve"> of a </w:t>
      </w:r>
      <w:r w:rsidR="00153527" w:rsidRPr="00D900FF">
        <w:rPr>
          <w:rFonts w:ascii="Times New Roman" w:hAnsi="Times New Roman"/>
        </w:rPr>
        <w:t>registered political party</w:t>
      </w:r>
      <w:r w:rsidR="00F56298" w:rsidRPr="00D900FF">
        <w:rPr>
          <w:rFonts w:ascii="Times New Roman" w:hAnsi="Times New Roman"/>
        </w:rPr>
        <w:t>,</w:t>
      </w:r>
      <w:r w:rsidR="00620CD9" w:rsidRPr="00D900FF">
        <w:rPr>
          <w:rStyle w:val="FootnoteReference"/>
          <w:rFonts w:ascii="Times New Roman" w:hAnsi="Times New Roman"/>
          <w:sz w:val="24"/>
        </w:rPr>
        <w:footnoteReference w:id="10"/>
      </w:r>
      <w:r w:rsidR="00F56298" w:rsidRPr="00D900FF">
        <w:rPr>
          <w:rFonts w:ascii="Times New Roman" w:hAnsi="Times New Roman"/>
        </w:rPr>
        <w:t xml:space="preserve"> an</w:t>
      </w:r>
      <w:r w:rsidR="0066404A">
        <w:rPr>
          <w:rFonts w:ascii="Times New Roman" w:hAnsi="Times New Roman"/>
        </w:rPr>
        <w:t> </w:t>
      </w:r>
      <w:r w:rsidR="00F56298" w:rsidRPr="00D900FF">
        <w:rPr>
          <w:rFonts w:ascii="Times New Roman" w:hAnsi="Times New Roman"/>
        </w:rPr>
        <w:t>associated entity</w:t>
      </w:r>
      <w:r w:rsidR="000E7A6F" w:rsidRPr="00D900FF">
        <w:rPr>
          <w:rStyle w:val="FootnoteReference"/>
          <w:rFonts w:ascii="Times New Roman" w:hAnsi="Times New Roman"/>
          <w:sz w:val="24"/>
        </w:rPr>
        <w:footnoteReference w:id="11"/>
      </w:r>
      <w:r w:rsidR="007A2537" w:rsidRPr="00D900FF">
        <w:rPr>
          <w:rFonts w:ascii="Times New Roman" w:hAnsi="Times New Roman"/>
        </w:rPr>
        <w:t xml:space="preserve"> and a third party campaigner.</w:t>
      </w:r>
      <w:r w:rsidR="007A2537" w:rsidRPr="00D900FF">
        <w:rPr>
          <w:rStyle w:val="FootnoteReference"/>
          <w:rFonts w:ascii="Times New Roman" w:hAnsi="Times New Roman"/>
          <w:sz w:val="24"/>
        </w:rPr>
        <w:footnoteReference w:id="12"/>
      </w:r>
      <w:r w:rsidR="00B6179E" w:rsidRPr="00D900FF">
        <w:rPr>
          <w:rFonts w:ascii="Times New Roman" w:hAnsi="Times New Roman"/>
        </w:rPr>
        <w:t xml:space="preserve"> </w:t>
      </w:r>
    </w:p>
    <w:p w14:paraId="2F2FE90F" w14:textId="77777777" w:rsidR="005779E8" w:rsidRPr="00D900FF" w:rsidRDefault="005779E8" w:rsidP="00D900FF">
      <w:pPr>
        <w:pStyle w:val="HeadingL2"/>
        <w:spacing w:after="260" w:line="280" w:lineRule="exact"/>
        <w:ind w:right="0"/>
        <w:jc w:val="both"/>
        <w:rPr>
          <w:rFonts w:ascii="Times New Roman" w:hAnsi="Times New Roman"/>
        </w:rPr>
      </w:pPr>
      <w:r w:rsidRPr="00D900FF">
        <w:rPr>
          <w:rFonts w:ascii="Times New Roman" w:hAnsi="Times New Roman"/>
        </w:rPr>
        <w:t>Political donation</w:t>
      </w:r>
    </w:p>
    <w:p w14:paraId="2EA25712" w14:textId="7FB3F049" w:rsidR="005779E8" w:rsidRPr="00D900FF" w:rsidRDefault="005779E8" w:rsidP="00D900FF">
      <w:pPr>
        <w:pStyle w:val="FixListStyle"/>
        <w:spacing w:after="260" w:line="280" w:lineRule="exact"/>
        <w:ind w:right="0"/>
        <w:jc w:val="both"/>
        <w:rPr>
          <w:rFonts w:ascii="Times New Roman" w:hAnsi="Times New Roman"/>
        </w:rPr>
      </w:pPr>
      <w:r w:rsidRPr="00D900FF">
        <w:rPr>
          <w:rFonts w:ascii="Times New Roman" w:hAnsi="Times New Roman"/>
        </w:rPr>
        <w:tab/>
        <w:t>A central element upon which Pt 12 operates is a "political donation", defined</w:t>
      </w:r>
      <w:r w:rsidRPr="00D900FF">
        <w:rPr>
          <w:rStyle w:val="FootnoteReference"/>
          <w:rFonts w:ascii="Times New Roman" w:hAnsi="Times New Roman"/>
          <w:sz w:val="24"/>
        </w:rPr>
        <w:footnoteReference w:id="13"/>
      </w:r>
      <w:r w:rsidRPr="00D900FF">
        <w:rPr>
          <w:rFonts w:ascii="Times New Roman" w:hAnsi="Times New Roman"/>
        </w:rPr>
        <w:t xml:space="preserve"> as a "gift" to a regulated person or entity.</w:t>
      </w:r>
      <w:r w:rsidRPr="00D900FF">
        <w:rPr>
          <w:rStyle w:val="FootnoteReference"/>
          <w:rFonts w:ascii="Times New Roman" w:hAnsi="Times New Roman"/>
          <w:sz w:val="24"/>
        </w:rPr>
        <w:footnoteReference w:id="14"/>
      </w:r>
      <w:r w:rsidRPr="00D900FF">
        <w:rPr>
          <w:rFonts w:ascii="Times New Roman" w:hAnsi="Times New Roman"/>
        </w:rPr>
        <w:t xml:space="preserve"> A "gift" is defined as "any</w:t>
      </w:r>
      <w:r w:rsidR="0066404A">
        <w:rPr>
          <w:rFonts w:ascii="Times New Roman" w:hAnsi="Times New Roman"/>
        </w:rPr>
        <w:t> </w:t>
      </w:r>
      <w:r w:rsidRPr="00D900FF">
        <w:rPr>
          <w:rFonts w:ascii="Times New Roman" w:hAnsi="Times New Roman"/>
        </w:rPr>
        <w:t>disposition of property</w:t>
      </w:r>
      <w:r w:rsidRPr="00D900FF">
        <w:rPr>
          <w:rFonts w:ascii="Times New Roman" w:hAnsi="Times New Roman"/>
          <w:sz w:val="24"/>
          <w:vertAlign w:val="superscript"/>
        </w:rPr>
        <w:t>[</w:t>
      </w:r>
      <w:r w:rsidRPr="00D900FF">
        <w:rPr>
          <w:rStyle w:val="FootnoteReference"/>
          <w:rFonts w:ascii="Times New Roman" w:hAnsi="Times New Roman"/>
          <w:sz w:val="24"/>
        </w:rPr>
        <w:footnoteReference w:id="15"/>
      </w:r>
      <w:r w:rsidRPr="00D900FF">
        <w:rPr>
          <w:rFonts w:ascii="Times New Roman" w:hAnsi="Times New Roman"/>
          <w:sz w:val="24"/>
          <w:vertAlign w:val="superscript"/>
        </w:rPr>
        <w:t>]</w:t>
      </w:r>
      <w:r w:rsidRPr="00D900FF">
        <w:rPr>
          <w:rFonts w:ascii="Times New Roman" w:hAnsi="Times New Roman"/>
        </w:rPr>
        <w:t xml:space="preserve"> otherwise than by will made by a person to another person without consideration in money or money's worth or with inadequate consideration"</w:t>
      </w:r>
      <w:r w:rsidRPr="00D900FF">
        <w:rPr>
          <w:rStyle w:val="FootnoteReference"/>
          <w:rFonts w:ascii="Times New Roman" w:hAnsi="Times New Roman"/>
          <w:sz w:val="24"/>
        </w:rPr>
        <w:footnoteReference w:id="16"/>
      </w:r>
      <w:r w:rsidRPr="00D900FF">
        <w:rPr>
          <w:rFonts w:ascii="Times New Roman" w:hAnsi="Times New Roman"/>
        </w:rPr>
        <w:t xml:space="preserve"> and includes, for example, the provision of a service.</w:t>
      </w:r>
      <w:r w:rsidRPr="00D900FF">
        <w:rPr>
          <w:rStyle w:val="FootnoteReference"/>
          <w:rFonts w:ascii="Times New Roman" w:hAnsi="Times New Roman"/>
          <w:sz w:val="24"/>
        </w:rPr>
        <w:footnoteReference w:id="17"/>
      </w:r>
      <w:r w:rsidRPr="00D900FF">
        <w:rPr>
          <w:rFonts w:ascii="Times New Roman" w:hAnsi="Times New Roman"/>
        </w:rPr>
        <w:t xml:space="preserve"> The</w:t>
      </w:r>
      <w:r w:rsidR="0066404A">
        <w:rPr>
          <w:rFonts w:ascii="Times New Roman" w:hAnsi="Times New Roman"/>
        </w:rPr>
        <w:t> </w:t>
      </w:r>
      <w:r w:rsidRPr="00D900FF">
        <w:rPr>
          <w:rFonts w:ascii="Times New Roman" w:hAnsi="Times New Roman"/>
        </w:rPr>
        <w:t>definition also contains a list of exceptions.</w:t>
      </w:r>
      <w:r w:rsidRPr="00D900FF">
        <w:rPr>
          <w:rStyle w:val="FootnoteReference"/>
          <w:rFonts w:ascii="Times New Roman" w:hAnsi="Times New Roman"/>
          <w:sz w:val="24"/>
        </w:rPr>
        <w:footnoteReference w:id="18"/>
      </w:r>
      <w:r w:rsidRPr="00D900FF">
        <w:rPr>
          <w:rFonts w:ascii="Times New Roman" w:hAnsi="Times New Roman"/>
        </w:rPr>
        <w:t xml:space="preserve"> One exception from the</w:t>
      </w:r>
      <w:r w:rsidR="0066404A">
        <w:rPr>
          <w:rFonts w:ascii="Times New Roman" w:hAnsi="Times New Roman"/>
        </w:rPr>
        <w:t> </w:t>
      </w:r>
      <w:r w:rsidRPr="00D900FF">
        <w:rPr>
          <w:rFonts w:ascii="Times New Roman" w:hAnsi="Times New Roman"/>
        </w:rPr>
        <w:t>definition of "political donation", by para (j) of the definition of "gift", is "a</w:t>
      </w:r>
      <w:r w:rsidR="0066404A">
        <w:rPr>
          <w:rFonts w:ascii="Times New Roman" w:hAnsi="Times New Roman"/>
        </w:rPr>
        <w:t> </w:t>
      </w:r>
      <w:r w:rsidRPr="00D900FF">
        <w:rPr>
          <w:rFonts w:ascii="Times New Roman" w:hAnsi="Times New Roman"/>
        </w:rPr>
        <w:t xml:space="preserve">gift made by a registered political party to the nominated entity of the registered </w:t>
      </w:r>
      <w:r w:rsidRPr="00D900FF">
        <w:rPr>
          <w:rFonts w:ascii="Times New Roman" w:hAnsi="Times New Roman"/>
        </w:rPr>
        <w:lastRenderedPageBreak/>
        <w:t xml:space="preserve">political party or received by a registered political party from the nominated entity of the registered political party". </w:t>
      </w:r>
    </w:p>
    <w:p w14:paraId="4CE817E2" w14:textId="7BA9590B" w:rsidR="00115083" w:rsidRPr="00D900FF" w:rsidRDefault="00115083" w:rsidP="00D900FF">
      <w:pPr>
        <w:pStyle w:val="HeadingL2"/>
        <w:spacing w:after="260" w:line="280" w:lineRule="exact"/>
        <w:ind w:right="0"/>
        <w:jc w:val="both"/>
        <w:rPr>
          <w:rFonts w:ascii="Times New Roman" w:hAnsi="Times New Roman"/>
        </w:rPr>
      </w:pPr>
      <w:r w:rsidRPr="00D900FF">
        <w:rPr>
          <w:rFonts w:ascii="Times New Roman" w:hAnsi="Times New Roman"/>
        </w:rPr>
        <w:t>General cap</w:t>
      </w:r>
    </w:p>
    <w:p w14:paraId="45E36FBC" w14:textId="47894BE3" w:rsidR="00AE2139" w:rsidRPr="00D900FF" w:rsidRDefault="00CC0EFD"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59556C" w:rsidRPr="00D900FF">
        <w:rPr>
          <w:rFonts w:ascii="Times New Roman" w:hAnsi="Times New Roman"/>
        </w:rPr>
        <w:t>The</w:t>
      </w:r>
      <w:r w:rsidR="004F3486" w:rsidRPr="00D900FF">
        <w:rPr>
          <w:rFonts w:ascii="Times New Roman" w:hAnsi="Times New Roman"/>
        </w:rPr>
        <w:t xml:space="preserve"> "general cap" on political donations in s </w:t>
      </w:r>
      <w:r w:rsidR="00F72769" w:rsidRPr="00D900FF">
        <w:rPr>
          <w:rFonts w:ascii="Times New Roman" w:hAnsi="Times New Roman"/>
        </w:rPr>
        <w:t xml:space="preserve">217D </w:t>
      </w:r>
      <w:r w:rsidR="00DE1E71" w:rsidRPr="00D900FF">
        <w:rPr>
          <w:rFonts w:ascii="Times New Roman" w:hAnsi="Times New Roman"/>
        </w:rPr>
        <w:t>in Div 3B</w:t>
      </w:r>
      <w:r w:rsidR="00601FEC" w:rsidRPr="00D900FF">
        <w:rPr>
          <w:rFonts w:ascii="Times New Roman" w:hAnsi="Times New Roman"/>
        </w:rPr>
        <w:t xml:space="preserve"> of Pt 12</w:t>
      </w:r>
      <w:r w:rsidR="00C81E90" w:rsidRPr="00D900FF">
        <w:rPr>
          <w:rFonts w:ascii="Times New Roman" w:hAnsi="Times New Roman"/>
        </w:rPr>
        <w:t xml:space="preserve"> </w:t>
      </w:r>
      <w:r w:rsidR="002C26CF" w:rsidRPr="00D900FF">
        <w:rPr>
          <w:rFonts w:ascii="Times New Roman" w:hAnsi="Times New Roman"/>
        </w:rPr>
        <w:t>provides that "</w:t>
      </w:r>
      <w:r w:rsidR="00433963" w:rsidRPr="00D900FF">
        <w:rPr>
          <w:rFonts w:ascii="Times New Roman" w:hAnsi="Times New Roman"/>
        </w:rPr>
        <w:t>[</w:t>
      </w:r>
      <w:r w:rsidR="002C26CF" w:rsidRPr="00D900FF">
        <w:rPr>
          <w:rFonts w:ascii="Times New Roman" w:hAnsi="Times New Roman"/>
        </w:rPr>
        <w:t>a</w:t>
      </w:r>
      <w:r w:rsidR="00433963" w:rsidRPr="00D900FF">
        <w:rPr>
          <w:rFonts w:ascii="Times New Roman" w:hAnsi="Times New Roman"/>
        </w:rPr>
        <w:t>]</w:t>
      </w:r>
      <w:r w:rsidR="002C26CF" w:rsidRPr="00D900FF">
        <w:rPr>
          <w:rFonts w:ascii="Times New Roman" w:hAnsi="Times New Roman"/>
        </w:rPr>
        <w:t xml:space="preserve"> political donation made to</w:t>
      </w:r>
      <w:r w:rsidR="00711670" w:rsidRPr="00D900FF">
        <w:rPr>
          <w:rFonts w:ascii="Times New Roman" w:hAnsi="Times New Roman"/>
        </w:rPr>
        <w:t>, or for the benefit of</w:t>
      </w:r>
      <w:r w:rsidR="000E2704" w:rsidRPr="00D900FF">
        <w:rPr>
          <w:rFonts w:ascii="Times New Roman" w:hAnsi="Times New Roman"/>
        </w:rPr>
        <w:t>,</w:t>
      </w:r>
      <w:r w:rsidR="003F558A" w:rsidRPr="00D900FF">
        <w:rPr>
          <w:rFonts w:ascii="Times New Roman" w:hAnsi="Times New Roman"/>
        </w:rPr>
        <w:t>" any regulated person or entit</w:t>
      </w:r>
      <w:r w:rsidR="0071559E" w:rsidRPr="00D900FF">
        <w:rPr>
          <w:rFonts w:ascii="Times New Roman" w:hAnsi="Times New Roman"/>
        </w:rPr>
        <w:t>y</w:t>
      </w:r>
      <w:r w:rsidR="002F4394" w:rsidRPr="00D900FF">
        <w:rPr>
          <w:rFonts w:ascii="Times New Roman" w:hAnsi="Times New Roman"/>
        </w:rPr>
        <w:t xml:space="preserve"> "must not </w:t>
      </w:r>
      <w:r w:rsidR="00EB4DC5" w:rsidRPr="00D900FF">
        <w:rPr>
          <w:rFonts w:ascii="Times New Roman" w:hAnsi="Times New Roman"/>
        </w:rPr>
        <w:t>exceed</w:t>
      </w:r>
      <w:r w:rsidR="002F4394" w:rsidRPr="00D900FF">
        <w:rPr>
          <w:rFonts w:ascii="Times New Roman" w:hAnsi="Times New Roman"/>
        </w:rPr>
        <w:t xml:space="preserve"> the general</w:t>
      </w:r>
      <w:r w:rsidR="00DD4914" w:rsidRPr="00D900FF">
        <w:rPr>
          <w:rFonts w:ascii="Times New Roman" w:hAnsi="Times New Roman"/>
        </w:rPr>
        <w:t xml:space="preserve"> cap for the election period"</w:t>
      </w:r>
      <w:r w:rsidR="0007386D" w:rsidRPr="00D900FF">
        <w:rPr>
          <w:rFonts w:ascii="Times New Roman" w:hAnsi="Times New Roman"/>
        </w:rPr>
        <w:t>.</w:t>
      </w:r>
      <w:r w:rsidR="00F72769" w:rsidRPr="00D900FF">
        <w:rPr>
          <w:rFonts w:ascii="Times New Roman" w:hAnsi="Times New Roman"/>
        </w:rPr>
        <w:t xml:space="preserve"> The</w:t>
      </w:r>
      <w:r w:rsidR="003C073C" w:rsidRPr="00D900FF">
        <w:rPr>
          <w:rFonts w:ascii="Times New Roman" w:hAnsi="Times New Roman"/>
        </w:rPr>
        <w:t> </w:t>
      </w:r>
      <w:r w:rsidR="00F72769" w:rsidRPr="00D900FF">
        <w:rPr>
          <w:rFonts w:ascii="Times New Roman" w:hAnsi="Times New Roman"/>
        </w:rPr>
        <w:t>general cap is $4,000</w:t>
      </w:r>
      <w:r w:rsidR="000405B1" w:rsidRPr="00D900FF">
        <w:rPr>
          <w:rFonts w:ascii="Times New Roman" w:hAnsi="Times New Roman"/>
        </w:rPr>
        <w:t>,</w:t>
      </w:r>
      <w:r w:rsidR="00EF6047" w:rsidRPr="00D900FF">
        <w:rPr>
          <w:rStyle w:val="FootnoteReference"/>
          <w:rFonts w:ascii="Times New Roman" w:hAnsi="Times New Roman"/>
          <w:sz w:val="24"/>
        </w:rPr>
        <w:footnoteReference w:id="19"/>
      </w:r>
      <w:r w:rsidR="00F4268B" w:rsidRPr="00D900FF">
        <w:rPr>
          <w:rFonts w:ascii="Times New Roman" w:hAnsi="Times New Roman"/>
        </w:rPr>
        <w:t xml:space="preserve"> indexed each year</w:t>
      </w:r>
      <w:r w:rsidR="001216F3" w:rsidRPr="00D900FF">
        <w:rPr>
          <w:rFonts w:ascii="Times New Roman" w:hAnsi="Times New Roman"/>
        </w:rPr>
        <w:t xml:space="preserve">. </w:t>
      </w:r>
      <w:r w:rsidR="00384120" w:rsidRPr="00D900FF">
        <w:rPr>
          <w:rFonts w:ascii="Times New Roman" w:hAnsi="Times New Roman"/>
        </w:rPr>
        <w:t>For the 2025-</w:t>
      </w:r>
      <w:r w:rsidR="005160D8" w:rsidRPr="00D900FF">
        <w:rPr>
          <w:rFonts w:ascii="Times New Roman" w:hAnsi="Times New Roman"/>
        </w:rPr>
        <w:t>20</w:t>
      </w:r>
      <w:r w:rsidR="00384120" w:rsidRPr="00D900FF">
        <w:rPr>
          <w:rFonts w:ascii="Times New Roman" w:hAnsi="Times New Roman"/>
        </w:rPr>
        <w:t>26 financial year, it</w:t>
      </w:r>
      <w:r w:rsidR="001216F3" w:rsidRPr="00D900FF">
        <w:rPr>
          <w:rFonts w:ascii="Times New Roman" w:hAnsi="Times New Roman"/>
        </w:rPr>
        <w:t xml:space="preserve"> is $4,970.</w:t>
      </w:r>
      <w:r w:rsidR="001216F3" w:rsidRPr="00D900FF">
        <w:rPr>
          <w:rStyle w:val="FootnoteReference"/>
          <w:rFonts w:ascii="Times New Roman" w:hAnsi="Times New Roman"/>
          <w:sz w:val="24"/>
        </w:rPr>
        <w:footnoteReference w:id="20"/>
      </w:r>
      <w:r w:rsidR="001216F3" w:rsidRPr="00D900FF">
        <w:rPr>
          <w:rFonts w:ascii="Times New Roman" w:hAnsi="Times New Roman"/>
        </w:rPr>
        <w:t xml:space="preserve"> </w:t>
      </w:r>
      <w:r w:rsidR="00AC2277" w:rsidRPr="00D900FF">
        <w:rPr>
          <w:rFonts w:ascii="Times New Roman" w:hAnsi="Times New Roman"/>
        </w:rPr>
        <w:t xml:space="preserve">The </w:t>
      </w:r>
      <w:r w:rsidR="00FF6FC3" w:rsidRPr="00D900FF">
        <w:rPr>
          <w:rFonts w:ascii="Times New Roman" w:hAnsi="Times New Roman"/>
        </w:rPr>
        <w:t>"election period</w:t>
      </w:r>
      <w:r w:rsidR="00CA013A" w:rsidRPr="00D900FF">
        <w:rPr>
          <w:rFonts w:ascii="Times New Roman" w:hAnsi="Times New Roman"/>
        </w:rPr>
        <w:t xml:space="preserve">" is the period commencing on </w:t>
      </w:r>
      <w:r w:rsidR="006374F3" w:rsidRPr="00D900FF">
        <w:rPr>
          <w:rFonts w:ascii="Times New Roman" w:hAnsi="Times New Roman"/>
        </w:rPr>
        <w:t>the day after the</w:t>
      </w:r>
      <w:r w:rsidR="003A0670">
        <w:rPr>
          <w:rFonts w:ascii="Times New Roman" w:hAnsi="Times New Roman"/>
        </w:rPr>
        <w:t> </w:t>
      </w:r>
      <w:r w:rsidR="006374F3" w:rsidRPr="00D900FF">
        <w:rPr>
          <w:rFonts w:ascii="Times New Roman" w:hAnsi="Times New Roman"/>
        </w:rPr>
        <w:t xml:space="preserve">general election </w:t>
      </w:r>
      <w:r w:rsidR="000F444F" w:rsidRPr="00D900FF">
        <w:rPr>
          <w:rFonts w:ascii="Times New Roman" w:hAnsi="Times New Roman"/>
        </w:rPr>
        <w:t xml:space="preserve">in Victoria and ending on the </w:t>
      </w:r>
      <w:r w:rsidR="00662DAD" w:rsidRPr="00D900FF">
        <w:rPr>
          <w:rFonts w:ascii="Times New Roman" w:hAnsi="Times New Roman"/>
        </w:rPr>
        <w:t xml:space="preserve">next </w:t>
      </w:r>
      <w:r w:rsidR="009A03EE" w:rsidRPr="00D900FF">
        <w:rPr>
          <w:rFonts w:ascii="Times New Roman" w:hAnsi="Times New Roman"/>
        </w:rPr>
        <w:t>general election day</w:t>
      </w:r>
      <w:r w:rsidR="00662DAD" w:rsidRPr="00D900FF">
        <w:rPr>
          <w:rFonts w:ascii="Times New Roman" w:hAnsi="Times New Roman"/>
        </w:rPr>
        <w:t>.</w:t>
      </w:r>
      <w:r w:rsidR="00662DAD" w:rsidRPr="00D900FF">
        <w:rPr>
          <w:rStyle w:val="FootnoteReference"/>
          <w:rFonts w:ascii="Times New Roman" w:hAnsi="Times New Roman"/>
          <w:sz w:val="24"/>
        </w:rPr>
        <w:footnoteReference w:id="21"/>
      </w:r>
      <w:r w:rsidR="00627FF3" w:rsidRPr="00D900FF">
        <w:rPr>
          <w:rFonts w:ascii="Times New Roman" w:hAnsi="Times New Roman"/>
        </w:rPr>
        <w:t xml:space="preserve"> </w:t>
      </w:r>
      <w:r w:rsidR="00032A11" w:rsidRPr="00D900FF">
        <w:rPr>
          <w:rFonts w:ascii="Times New Roman" w:hAnsi="Times New Roman"/>
        </w:rPr>
        <w:t>A</w:t>
      </w:r>
      <w:r w:rsidR="0066404A">
        <w:rPr>
          <w:rFonts w:ascii="Times New Roman" w:hAnsi="Times New Roman"/>
        </w:rPr>
        <w:t> </w:t>
      </w:r>
      <w:r w:rsidR="00032A11" w:rsidRPr="00D900FF">
        <w:rPr>
          <w:rFonts w:ascii="Times New Roman" w:hAnsi="Times New Roman"/>
        </w:rPr>
        <w:t>political donation to a candidate</w:t>
      </w:r>
      <w:r w:rsidR="00D24B74" w:rsidRPr="00D900FF">
        <w:rPr>
          <w:rFonts w:ascii="Times New Roman" w:hAnsi="Times New Roman"/>
        </w:rPr>
        <w:t>, elected member</w:t>
      </w:r>
      <w:r w:rsidR="00032A11" w:rsidRPr="00D900FF">
        <w:rPr>
          <w:rFonts w:ascii="Times New Roman" w:hAnsi="Times New Roman"/>
        </w:rPr>
        <w:t xml:space="preserve"> or group endorsed by a</w:t>
      </w:r>
      <w:r w:rsidR="0066404A">
        <w:rPr>
          <w:rFonts w:ascii="Times New Roman" w:hAnsi="Times New Roman"/>
        </w:rPr>
        <w:t> </w:t>
      </w:r>
      <w:r w:rsidR="00153527" w:rsidRPr="00D900FF">
        <w:rPr>
          <w:rFonts w:ascii="Times New Roman" w:hAnsi="Times New Roman"/>
        </w:rPr>
        <w:t>registered political party</w:t>
      </w:r>
      <w:r w:rsidR="000A4903" w:rsidRPr="00D900FF">
        <w:rPr>
          <w:rFonts w:ascii="Times New Roman" w:hAnsi="Times New Roman"/>
        </w:rPr>
        <w:t xml:space="preserve">, or to a nominated entity of a </w:t>
      </w:r>
      <w:r w:rsidR="00153527" w:rsidRPr="00D900FF">
        <w:rPr>
          <w:rFonts w:ascii="Times New Roman" w:hAnsi="Times New Roman"/>
        </w:rPr>
        <w:t>registered political party</w:t>
      </w:r>
      <w:r w:rsidR="00196301" w:rsidRPr="00D900FF">
        <w:rPr>
          <w:rFonts w:ascii="Times New Roman" w:hAnsi="Times New Roman"/>
        </w:rPr>
        <w:t xml:space="preserve">, is </w:t>
      </w:r>
      <w:r w:rsidR="00ED0C89" w:rsidRPr="00D900FF">
        <w:rPr>
          <w:rFonts w:ascii="Times New Roman" w:hAnsi="Times New Roman"/>
        </w:rPr>
        <w:t>counted</w:t>
      </w:r>
      <w:r w:rsidR="00196301" w:rsidRPr="00D900FF">
        <w:rPr>
          <w:rFonts w:ascii="Times New Roman" w:hAnsi="Times New Roman"/>
        </w:rPr>
        <w:t xml:space="preserve"> as a </w:t>
      </w:r>
      <w:r w:rsidR="0085541B" w:rsidRPr="00D900FF">
        <w:rPr>
          <w:rFonts w:ascii="Times New Roman" w:hAnsi="Times New Roman"/>
        </w:rPr>
        <w:t xml:space="preserve">donation to the </w:t>
      </w:r>
      <w:r w:rsidR="00153527" w:rsidRPr="00D900FF">
        <w:rPr>
          <w:rFonts w:ascii="Times New Roman" w:hAnsi="Times New Roman"/>
        </w:rPr>
        <w:t>registered political party</w:t>
      </w:r>
      <w:r w:rsidR="0085541B" w:rsidRPr="00D900FF">
        <w:rPr>
          <w:rFonts w:ascii="Times New Roman" w:hAnsi="Times New Roman"/>
        </w:rPr>
        <w:t xml:space="preserve"> for the purposes of the</w:t>
      </w:r>
      <w:r w:rsidR="0066404A">
        <w:rPr>
          <w:rFonts w:ascii="Times New Roman" w:hAnsi="Times New Roman"/>
        </w:rPr>
        <w:t> </w:t>
      </w:r>
      <w:r w:rsidR="0085541B" w:rsidRPr="00D900FF">
        <w:rPr>
          <w:rFonts w:ascii="Times New Roman" w:hAnsi="Times New Roman"/>
        </w:rPr>
        <w:t>general cap.</w:t>
      </w:r>
      <w:r w:rsidR="0085541B" w:rsidRPr="00D900FF">
        <w:rPr>
          <w:rStyle w:val="FootnoteReference"/>
          <w:rFonts w:ascii="Times New Roman" w:hAnsi="Times New Roman"/>
          <w:sz w:val="24"/>
        </w:rPr>
        <w:footnoteReference w:id="22"/>
      </w:r>
      <w:r w:rsidR="0085541B" w:rsidRPr="00D900FF">
        <w:rPr>
          <w:rFonts w:ascii="Times New Roman" w:hAnsi="Times New Roman"/>
        </w:rPr>
        <w:t xml:space="preserve"> </w:t>
      </w:r>
      <w:r w:rsidR="004351DB" w:rsidRPr="00D900FF">
        <w:rPr>
          <w:rFonts w:ascii="Times New Roman" w:hAnsi="Times New Roman"/>
        </w:rPr>
        <w:t>A</w:t>
      </w:r>
      <w:r w:rsidR="00AA12CE" w:rsidRPr="00D900FF">
        <w:rPr>
          <w:rFonts w:ascii="Times New Roman" w:hAnsi="Times New Roman"/>
        </w:rPr>
        <w:t xml:space="preserve"> contribution by a candidate at an election or an elected member to their own election campaign is </w:t>
      </w:r>
      <w:r w:rsidR="00AA12CE" w:rsidRPr="00D900FF">
        <w:rPr>
          <w:rFonts w:ascii="Times New Roman" w:hAnsi="Times New Roman"/>
          <w:i/>
          <w:iCs/>
        </w:rPr>
        <w:t>not</w:t>
      </w:r>
      <w:r w:rsidR="00AA12CE" w:rsidRPr="00D900FF">
        <w:rPr>
          <w:rFonts w:ascii="Times New Roman" w:hAnsi="Times New Roman"/>
        </w:rPr>
        <w:t xml:space="preserve"> included in the general cap.</w:t>
      </w:r>
      <w:r w:rsidR="00EB289E" w:rsidRPr="00D900FF">
        <w:rPr>
          <w:rStyle w:val="FootnoteReference"/>
          <w:rFonts w:ascii="Times New Roman" w:hAnsi="Times New Roman"/>
          <w:sz w:val="24"/>
        </w:rPr>
        <w:footnoteReference w:id="23"/>
      </w:r>
      <w:r w:rsidR="00F72769" w:rsidRPr="00D900FF">
        <w:rPr>
          <w:rFonts w:ascii="Times New Roman" w:hAnsi="Times New Roman"/>
        </w:rPr>
        <w:t xml:space="preserve"> </w:t>
      </w:r>
      <w:r w:rsidR="00950C92" w:rsidRPr="00D900FF">
        <w:rPr>
          <w:rFonts w:ascii="Times New Roman" w:hAnsi="Times New Roman"/>
        </w:rPr>
        <w:t>"</w:t>
      </w:r>
      <w:r w:rsidR="000B14DB" w:rsidRPr="00D900FF">
        <w:rPr>
          <w:rFonts w:ascii="Times New Roman" w:hAnsi="Times New Roman"/>
        </w:rPr>
        <w:t>Small</w:t>
      </w:r>
      <w:r w:rsidR="0066404A">
        <w:rPr>
          <w:rFonts w:ascii="Times New Roman" w:hAnsi="Times New Roman"/>
        </w:rPr>
        <w:t> </w:t>
      </w:r>
      <w:r w:rsidR="00950C92" w:rsidRPr="00D900FF">
        <w:rPr>
          <w:rFonts w:ascii="Times New Roman" w:hAnsi="Times New Roman"/>
        </w:rPr>
        <w:t>contributions"</w:t>
      </w:r>
      <w:r w:rsidR="00AE3C15" w:rsidRPr="00D900FF">
        <w:rPr>
          <w:rFonts w:ascii="Times New Roman" w:hAnsi="Times New Roman"/>
        </w:rPr>
        <w:t xml:space="preserve">, defined as a </w:t>
      </w:r>
      <w:r w:rsidR="00596CA2" w:rsidRPr="00D900FF">
        <w:rPr>
          <w:rFonts w:ascii="Times New Roman" w:hAnsi="Times New Roman"/>
        </w:rPr>
        <w:t>political</w:t>
      </w:r>
      <w:r w:rsidR="003E64EA" w:rsidRPr="00D900FF">
        <w:rPr>
          <w:rFonts w:ascii="Times New Roman" w:hAnsi="Times New Roman"/>
        </w:rPr>
        <w:t xml:space="preserve"> donation</w:t>
      </w:r>
      <w:r w:rsidR="00E07F2E" w:rsidRPr="00D900FF">
        <w:rPr>
          <w:rFonts w:ascii="Times New Roman" w:hAnsi="Times New Roman"/>
        </w:rPr>
        <w:t xml:space="preserve"> </w:t>
      </w:r>
      <w:r w:rsidR="00A007ED" w:rsidRPr="00D900FF">
        <w:rPr>
          <w:rFonts w:ascii="Times New Roman" w:hAnsi="Times New Roman"/>
        </w:rPr>
        <w:t>of $</w:t>
      </w:r>
      <w:r w:rsidR="00DA63E6" w:rsidRPr="00D900FF">
        <w:rPr>
          <w:rFonts w:ascii="Times New Roman" w:hAnsi="Times New Roman"/>
        </w:rPr>
        <w:t>5</w:t>
      </w:r>
      <w:r w:rsidR="00A007ED" w:rsidRPr="00D900FF">
        <w:rPr>
          <w:rFonts w:ascii="Times New Roman" w:hAnsi="Times New Roman"/>
        </w:rPr>
        <w:t>0 or less</w:t>
      </w:r>
      <w:r w:rsidR="00DA63E6" w:rsidRPr="00D900FF">
        <w:rPr>
          <w:rFonts w:ascii="Times New Roman" w:hAnsi="Times New Roman"/>
        </w:rPr>
        <w:t xml:space="preserve"> (indexed)</w:t>
      </w:r>
      <w:r w:rsidR="00F85D75" w:rsidRPr="00D900FF">
        <w:rPr>
          <w:rFonts w:ascii="Times New Roman" w:hAnsi="Times New Roman"/>
        </w:rPr>
        <w:t>,</w:t>
      </w:r>
      <w:r w:rsidR="00DA63E6" w:rsidRPr="00D900FF">
        <w:rPr>
          <w:rFonts w:ascii="Times New Roman" w:hAnsi="Times New Roman"/>
        </w:rPr>
        <w:t xml:space="preserve"> </w:t>
      </w:r>
      <w:r w:rsidR="00437B8C" w:rsidRPr="00D900FF">
        <w:rPr>
          <w:rFonts w:ascii="Times New Roman" w:hAnsi="Times New Roman"/>
        </w:rPr>
        <w:t>are</w:t>
      </w:r>
      <w:r w:rsidR="0066404A">
        <w:rPr>
          <w:rFonts w:ascii="Times New Roman" w:hAnsi="Times New Roman"/>
        </w:rPr>
        <w:t> </w:t>
      </w:r>
      <w:r w:rsidR="00437B8C" w:rsidRPr="00D900FF">
        <w:rPr>
          <w:rFonts w:ascii="Times New Roman" w:hAnsi="Times New Roman"/>
        </w:rPr>
        <w:t>disregarded</w:t>
      </w:r>
      <w:r w:rsidR="003228A7" w:rsidRPr="00D900FF">
        <w:rPr>
          <w:rFonts w:ascii="Times New Roman" w:hAnsi="Times New Roman"/>
        </w:rPr>
        <w:t xml:space="preserve"> in determining whether the general cap has been exceeded</w:t>
      </w:r>
      <w:r w:rsidR="00437B8C" w:rsidRPr="00D900FF">
        <w:rPr>
          <w:rFonts w:ascii="Times New Roman" w:hAnsi="Times New Roman"/>
        </w:rPr>
        <w:t>.</w:t>
      </w:r>
      <w:r w:rsidR="00437B8C" w:rsidRPr="00D900FF">
        <w:rPr>
          <w:rStyle w:val="FootnoteReference"/>
          <w:rFonts w:ascii="Times New Roman" w:hAnsi="Times New Roman"/>
          <w:sz w:val="24"/>
        </w:rPr>
        <w:footnoteReference w:id="24"/>
      </w:r>
      <w:r w:rsidR="004558B7" w:rsidRPr="00D900FF">
        <w:rPr>
          <w:rFonts w:ascii="Times New Roman" w:hAnsi="Times New Roman"/>
        </w:rPr>
        <w:t xml:space="preserve"> </w:t>
      </w:r>
    </w:p>
    <w:p w14:paraId="4EE8D739" w14:textId="520FD1BF" w:rsidR="00F72769" w:rsidRPr="00D900FF" w:rsidRDefault="00AE2139"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AF03A8" w:rsidRPr="00D900FF">
        <w:rPr>
          <w:rFonts w:ascii="Times New Roman" w:hAnsi="Times New Roman"/>
        </w:rPr>
        <w:t>It is unlawful for a regulated person or entity to accept a political donation if the donation would, or would when aggregated with other donations made by the same donor to the same regulated person or entity within the election period,</w:t>
      </w:r>
      <w:r w:rsidR="00AF03A8" w:rsidRPr="00D900FF">
        <w:rPr>
          <w:rStyle w:val="FootnoteReference"/>
          <w:rFonts w:ascii="Times New Roman" w:hAnsi="Times New Roman"/>
          <w:sz w:val="24"/>
        </w:rPr>
        <w:footnoteReference w:id="25"/>
      </w:r>
      <w:r w:rsidR="00AF03A8" w:rsidRPr="00D900FF">
        <w:rPr>
          <w:rFonts w:ascii="Times New Roman" w:hAnsi="Times New Roman"/>
        </w:rPr>
        <w:t xml:space="preserve"> exceed the general cap.</w:t>
      </w:r>
      <w:r w:rsidR="00AF03A8" w:rsidRPr="00D900FF">
        <w:rPr>
          <w:rStyle w:val="FootnoteReference"/>
          <w:rFonts w:ascii="Times New Roman" w:hAnsi="Times New Roman"/>
          <w:sz w:val="24"/>
        </w:rPr>
        <w:footnoteReference w:id="26"/>
      </w:r>
      <w:r w:rsidR="00AF03A8" w:rsidRPr="00D900FF">
        <w:rPr>
          <w:rFonts w:ascii="Times New Roman" w:hAnsi="Times New Roman"/>
        </w:rPr>
        <w:t xml:space="preserve"> </w:t>
      </w:r>
      <w:r w:rsidR="005345EE" w:rsidRPr="00D900FF">
        <w:rPr>
          <w:rFonts w:ascii="Times New Roman" w:hAnsi="Times New Roman"/>
        </w:rPr>
        <w:t>A</w:t>
      </w:r>
      <w:r w:rsidR="00AA6B85" w:rsidRPr="00D900FF">
        <w:rPr>
          <w:rFonts w:ascii="Times New Roman" w:hAnsi="Times New Roman"/>
        </w:rPr>
        <w:t> </w:t>
      </w:r>
      <w:r w:rsidR="005345EE" w:rsidRPr="00D900FF">
        <w:rPr>
          <w:rFonts w:ascii="Times New Roman" w:hAnsi="Times New Roman"/>
        </w:rPr>
        <w:t xml:space="preserve">person who </w:t>
      </w:r>
      <w:r w:rsidR="00846C7C" w:rsidRPr="00D900FF">
        <w:rPr>
          <w:rFonts w:ascii="Times New Roman" w:hAnsi="Times New Roman"/>
        </w:rPr>
        <w:t>knowingly</w:t>
      </w:r>
      <w:r w:rsidR="00C2689B" w:rsidRPr="00D900FF">
        <w:rPr>
          <w:rFonts w:ascii="Times New Roman" w:hAnsi="Times New Roman"/>
        </w:rPr>
        <w:t xml:space="preserve"> makes</w:t>
      </w:r>
      <w:r w:rsidR="00846C7C" w:rsidRPr="00D900FF">
        <w:rPr>
          <w:rFonts w:ascii="Times New Roman" w:hAnsi="Times New Roman"/>
        </w:rPr>
        <w:t xml:space="preserve"> or accepts a political </w:t>
      </w:r>
      <w:r w:rsidR="00846C7C" w:rsidRPr="00D900FF">
        <w:rPr>
          <w:rFonts w:ascii="Times New Roman" w:hAnsi="Times New Roman"/>
        </w:rPr>
        <w:lastRenderedPageBreak/>
        <w:t>donation that is unlawful is guilty of an offence.</w:t>
      </w:r>
      <w:r w:rsidR="00846C7C" w:rsidRPr="00D900FF">
        <w:rPr>
          <w:rStyle w:val="FootnoteReference"/>
          <w:rFonts w:ascii="Times New Roman" w:hAnsi="Times New Roman"/>
          <w:sz w:val="24"/>
        </w:rPr>
        <w:footnoteReference w:id="27"/>
      </w:r>
      <w:r w:rsidR="00832CA8" w:rsidRPr="00D900FF">
        <w:rPr>
          <w:rFonts w:ascii="Times New Roman" w:hAnsi="Times New Roman"/>
        </w:rPr>
        <w:t xml:space="preserve"> A political donation that is </w:t>
      </w:r>
      <w:r w:rsidR="00CC7EC3" w:rsidRPr="00D900FF">
        <w:rPr>
          <w:rFonts w:ascii="Times New Roman" w:hAnsi="Times New Roman"/>
        </w:rPr>
        <w:t>accepted in contravention of Div </w:t>
      </w:r>
      <w:r w:rsidR="00305861" w:rsidRPr="00D900FF">
        <w:rPr>
          <w:rFonts w:ascii="Times New Roman" w:hAnsi="Times New Roman"/>
        </w:rPr>
        <w:t>3B</w:t>
      </w:r>
      <w:r w:rsidR="0096271F" w:rsidRPr="00D900FF">
        <w:rPr>
          <w:rFonts w:ascii="Times New Roman" w:hAnsi="Times New Roman"/>
        </w:rPr>
        <w:t xml:space="preserve"> is forfeited to the State</w:t>
      </w:r>
      <w:r w:rsidR="00334266" w:rsidRPr="00D900FF">
        <w:rPr>
          <w:rFonts w:ascii="Times New Roman" w:hAnsi="Times New Roman"/>
        </w:rPr>
        <w:t>.</w:t>
      </w:r>
      <w:r w:rsidR="00334266" w:rsidRPr="00D900FF">
        <w:rPr>
          <w:rStyle w:val="FootnoteReference"/>
          <w:rFonts w:ascii="Times New Roman" w:hAnsi="Times New Roman"/>
          <w:sz w:val="24"/>
        </w:rPr>
        <w:footnoteReference w:id="28"/>
      </w:r>
    </w:p>
    <w:p w14:paraId="41D4B3C6" w14:textId="10F2B06B" w:rsidR="00115083" w:rsidRPr="00D900FF" w:rsidRDefault="00115083" w:rsidP="00D900FF">
      <w:pPr>
        <w:pStyle w:val="HeadingL2"/>
        <w:spacing w:after="260" w:line="280" w:lineRule="exact"/>
        <w:ind w:right="0"/>
        <w:jc w:val="both"/>
        <w:rPr>
          <w:rFonts w:ascii="Times New Roman" w:hAnsi="Times New Roman"/>
        </w:rPr>
      </w:pPr>
      <w:r w:rsidRPr="00D900FF">
        <w:rPr>
          <w:rFonts w:ascii="Times New Roman" w:hAnsi="Times New Roman"/>
        </w:rPr>
        <w:t>State campaign account</w:t>
      </w:r>
    </w:p>
    <w:p w14:paraId="1F1C6568" w14:textId="4C47B832" w:rsidR="0020036B" w:rsidRPr="00D900FF" w:rsidRDefault="00792A4C"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20036B" w:rsidRPr="00D900FF">
        <w:rPr>
          <w:rFonts w:ascii="Times New Roman" w:hAnsi="Times New Roman"/>
        </w:rPr>
        <w:t>E</w:t>
      </w:r>
      <w:r w:rsidR="00904C8E" w:rsidRPr="00D900FF">
        <w:rPr>
          <w:rFonts w:ascii="Times New Roman" w:hAnsi="Times New Roman"/>
        </w:rPr>
        <w:t>ach regulated person or entity, by their</w:t>
      </w:r>
      <w:r w:rsidR="008164EF" w:rsidRPr="00D900FF">
        <w:rPr>
          <w:rFonts w:ascii="Times New Roman" w:hAnsi="Times New Roman"/>
        </w:rPr>
        <w:t xml:space="preserve"> registered officer </w:t>
      </w:r>
      <w:r w:rsidR="002B086B" w:rsidRPr="00D900FF">
        <w:rPr>
          <w:rFonts w:ascii="Times New Roman" w:hAnsi="Times New Roman"/>
        </w:rPr>
        <w:t>or</w:t>
      </w:r>
      <w:r w:rsidR="008164EF" w:rsidRPr="00D900FF">
        <w:rPr>
          <w:rFonts w:ascii="Times New Roman" w:hAnsi="Times New Roman"/>
        </w:rPr>
        <w:t xml:space="preserve"> registered agent</w:t>
      </w:r>
      <w:r w:rsidR="002B086B" w:rsidRPr="00D900FF">
        <w:rPr>
          <w:rFonts w:ascii="Times New Roman" w:hAnsi="Times New Roman"/>
        </w:rPr>
        <w:t>,</w:t>
      </w:r>
      <w:r w:rsidR="000604B9" w:rsidRPr="00D900FF">
        <w:rPr>
          <w:rStyle w:val="FootnoteReference"/>
          <w:rFonts w:ascii="Times New Roman" w:hAnsi="Times New Roman"/>
          <w:sz w:val="24"/>
        </w:rPr>
        <w:footnoteReference w:id="29"/>
      </w:r>
      <w:r w:rsidR="008164EF" w:rsidRPr="00D900FF">
        <w:rPr>
          <w:rFonts w:ascii="Times New Roman" w:hAnsi="Times New Roman"/>
        </w:rPr>
        <w:t xml:space="preserve"> must keep a "State campaign account"</w:t>
      </w:r>
      <w:r w:rsidR="008164EF" w:rsidRPr="00D900FF">
        <w:rPr>
          <w:rStyle w:val="FootnoteReference"/>
          <w:rFonts w:ascii="Times New Roman" w:hAnsi="Times New Roman"/>
          <w:sz w:val="24"/>
        </w:rPr>
        <w:footnoteReference w:id="30"/>
      </w:r>
      <w:r w:rsidR="008164EF" w:rsidRPr="00D900FF">
        <w:rPr>
          <w:rFonts w:ascii="Times New Roman" w:hAnsi="Times New Roman"/>
        </w:rPr>
        <w:t xml:space="preserve"> for the purpose of State elections.</w:t>
      </w:r>
      <w:r w:rsidR="008164EF" w:rsidRPr="00D900FF">
        <w:rPr>
          <w:rStyle w:val="FootnoteReference"/>
          <w:rFonts w:ascii="Times New Roman" w:hAnsi="Times New Roman"/>
          <w:sz w:val="24"/>
        </w:rPr>
        <w:footnoteReference w:id="31"/>
      </w:r>
      <w:r w:rsidR="008164EF" w:rsidRPr="00D900FF">
        <w:rPr>
          <w:rFonts w:ascii="Times New Roman" w:hAnsi="Times New Roman"/>
        </w:rPr>
        <w:t xml:space="preserve"> </w:t>
      </w:r>
      <w:r w:rsidR="002873F9" w:rsidRPr="00D900FF">
        <w:rPr>
          <w:rFonts w:ascii="Times New Roman" w:hAnsi="Times New Roman"/>
        </w:rPr>
        <w:t>Each</w:t>
      </w:r>
      <w:r w:rsidR="008164EF" w:rsidRPr="00D900FF">
        <w:rPr>
          <w:rFonts w:ascii="Times New Roman" w:hAnsi="Times New Roman"/>
        </w:rPr>
        <w:t xml:space="preserve"> of those persons and entities "must ensure that each political donation" received under Div 3 of Pt 12 is paid into the regulated person or entity's </w:t>
      </w:r>
      <w:r w:rsidR="008164EF" w:rsidRPr="00384B36">
        <w:rPr>
          <w:rFonts w:ascii="Times New Roman" w:hAnsi="Times New Roman"/>
          <w:spacing w:val="2"/>
        </w:rPr>
        <w:t>State campaign account,</w:t>
      </w:r>
      <w:r w:rsidR="008164EF" w:rsidRPr="00384B36">
        <w:rPr>
          <w:rStyle w:val="FootnoteReference"/>
          <w:rFonts w:ascii="Times New Roman" w:hAnsi="Times New Roman"/>
          <w:spacing w:val="2"/>
          <w:sz w:val="24"/>
        </w:rPr>
        <w:footnoteReference w:id="32"/>
      </w:r>
      <w:r w:rsidR="008164EF" w:rsidRPr="00384B36">
        <w:rPr>
          <w:rFonts w:ascii="Times New Roman" w:hAnsi="Times New Roman"/>
          <w:spacing w:val="2"/>
        </w:rPr>
        <w:t xml:space="preserve"> </w:t>
      </w:r>
      <w:r w:rsidR="00AD500D" w:rsidRPr="00384B36">
        <w:rPr>
          <w:rFonts w:ascii="Times New Roman" w:hAnsi="Times New Roman"/>
          <w:spacing w:val="2"/>
        </w:rPr>
        <w:t xml:space="preserve">as well as public funding in relation to </w:t>
      </w:r>
      <w:r w:rsidR="006E3C01" w:rsidRPr="00384B36">
        <w:rPr>
          <w:rFonts w:ascii="Times New Roman" w:hAnsi="Times New Roman"/>
          <w:spacing w:val="2"/>
        </w:rPr>
        <w:t>political expenditure and electoral expenditure paid under Div 2</w:t>
      </w:r>
      <w:r w:rsidR="002750CD" w:rsidRPr="00384B36">
        <w:rPr>
          <w:rFonts w:ascii="Times New Roman" w:hAnsi="Times New Roman"/>
          <w:spacing w:val="2"/>
        </w:rPr>
        <w:t xml:space="preserve"> of </w:t>
      </w:r>
      <w:r w:rsidR="00334E8A" w:rsidRPr="00384B36">
        <w:rPr>
          <w:rFonts w:ascii="Times New Roman" w:hAnsi="Times New Roman"/>
          <w:spacing w:val="2"/>
        </w:rPr>
        <w:t>Pt 12</w:t>
      </w:r>
      <w:r w:rsidR="006E3C01" w:rsidRPr="00384B36">
        <w:rPr>
          <w:rFonts w:ascii="Times New Roman" w:hAnsi="Times New Roman"/>
          <w:spacing w:val="2"/>
        </w:rPr>
        <w:t>.</w:t>
      </w:r>
      <w:r w:rsidR="006E3C01" w:rsidRPr="00384B36">
        <w:rPr>
          <w:rStyle w:val="FootnoteReference"/>
          <w:rFonts w:ascii="Times New Roman" w:hAnsi="Times New Roman"/>
          <w:spacing w:val="2"/>
          <w:sz w:val="24"/>
        </w:rPr>
        <w:footnoteReference w:id="33"/>
      </w:r>
      <w:r w:rsidR="00FD2E04" w:rsidRPr="00384B36">
        <w:rPr>
          <w:rFonts w:ascii="Times New Roman" w:hAnsi="Times New Roman"/>
          <w:spacing w:val="2"/>
        </w:rPr>
        <w:t xml:space="preserve"> Certain</w:t>
      </w:r>
      <w:r w:rsidR="00384B36">
        <w:rPr>
          <w:rFonts w:ascii="Times New Roman" w:hAnsi="Times New Roman"/>
          <w:spacing w:val="2"/>
        </w:rPr>
        <w:t> </w:t>
      </w:r>
      <w:r w:rsidR="00FD2E04" w:rsidRPr="00384B36">
        <w:rPr>
          <w:rFonts w:ascii="Times New Roman" w:hAnsi="Times New Roman"/>
          <w:spacing w:val="2"/>
        </w:rPr>
        <w:t xml:space="preserve">amounts </w:t>
      </w:r>
      <w:r w:rsidR="008F7592" w:rsidRPr="00384B36">
        <w:rPr>
          <w:rFonts w:ascii="Times New Roman" w:hAnsi="Times New Roman"/>
          <w:spacing w:val="2"/>
        </w:rPr>
        <w:t>are prohibited from being paid into the State camp</w:t>
      </w:r>
      <w:r w:rsidR="00DB0947" w:rsidRPr="00384B36">
        <w:rPr>
          <w:rFonts w:ascii="Times New Roman" w:hAnsi="Times New Roman"/>
          <w:spacing w:val="2"/>
        </w:rPr>
        <w:t>aign account</w:t>
      </w:r>
      <w:r w:rsidR="00AE645C" w:rsidRPr="00384B36">
        <w:rPr>
          <w:rFonts w:ascii="Times New Roman" w:hAnsi="Times New Roman"/>
          <w:spacing w:val="2"/>
        </w:rPr>
        <w:t>,</w:t>
      </w:r>
      <w:r w:rsidR="00DB0947" w:rsidRPr="00384B36">
        <w:rPr>
          <w:rFonts w:ascii="Times New Roman" w:hAnsi="Times New Roman"/>
          <w:spacing w:val="2"/>
        </w:rPr>
        <w:t xml:space="preserve"> including </w:t>
      </w:r>
      <w:r w:rsidR="00B77AE3" w:rsidRPr="00384B36">
        <w:rPr>
          <w:rFonts w:ascii="Times New Roman" w:hAnsi="Times New Roman"/>
          <w:spacing w:val="2"/>
        </w:rPr>
        <w:t>"any amount kept in any account for Commonwealth electoral purposes</w:t>
      </w:r>
      <w:r w:rsidR="0084362D" w:rsidRPr="00384B36">
        <w:rPr>
          <w:rFonts w:ascii="Times New Roman" w:hAnsi="Times New Roman"/>
          <w:spacing w:val="2"/>
        </w:rPr>
        <w:t xml:space="preserve">" by </w:t>
      </w:r>
      <w:r w:rsidR="00A133EE" w:rsidRPr="00384B36">
        <w:rPr>
          <w:rFonts w:ascii="Times New Roman" w:hAnsi="Times New Roman"/>
          <w:spacing w:val="2"/>
        </w:rPr>
        <w:t>a</w:t>
      </w:r>
      <w:r w:rsidR="00B026F9" w:rsidRPr="00384B36">
        <w:rPr>
          <w:rFonts w:ascii="Times New Roman" w:hAnsi="Times New Roman"/>
          <w:spacing w:val="2"/>
        </w:rPr>
        <w:t xml:space="preserve"> regulated</w:t>
      </w:r>
      <w:r w:rsidR="00B026F9" w:rsidRPr="00D900FF">
        <w:rPr>
          <w:rFonts w:ascii="Times New Roman" w:hAnsi="Times New Roman"/>
        </w:rPr>
        <w:t xml:space="preserve"> person or entity,</w:t>
      </w:r>
      <w:r w:rsidR="00B026F9" w:rsidRPr="00D900FF">
        <w:rPr>
          <w:rStyle w:val="FootnoteReference"/>
          <w:rFonts w:ascii="Times New Roman" w:hAnsi="Times New Roman"/>
          <w:sz w:val="24"/>
        </w:rPr>
        <w:footnoteReference w:id="34"/>
      </w:r>
      <w:r w:rsidR="00373854" w:rsidRPr="00D900FF">
        <w:rPr>
          <w:rFonts w:ascii="Times New Roman" w:hAnsi="Times New Roman"/>
        </w:rPr>
        <w:t xml:space="preserve"> </w:t>
      </w:r>
      <w:r w:rsidR="00A25C89" w:rsidRPr="00D900FF">
        <w:rPr>
          <w:rFonts w:ascii="Times New Roman" w:hAnsi="Times New Roman"/>
        </w:rPr>
        <w:t xml:space="preserve">and </w:t>
      </w:r>
      <w:r w:rsidR="00BB3405" w:rsidRPr="00D900FF">
        <w:rPr>
          <w:rFonts w:ascii="Times New Roman" w:hAnsi="Times New Roman"/>
        </w:rPr>
        <w:t>annual subscription</w:t>
      </w:r>
      <w:r w:rsidR="00F83A29" w:rsidRPr="00D900FF">
        <w:rPr>
          <w:rFonts w:ascii="Times New Roman" w:hAnsi="Times New Roman"/>
        </w:rPr>
        <w:t>s</w:t>
      </w:r>
      <w:r w:rsidR="00BB3405" w:rsidRPr="00D900FF">
        <w:rPr>
          <w:rFonts w:ascii="Times New Roman" w:hAnsi="Times New Roman"/>
        </w:rPr>
        <w:t>, affiliations</w:t>
      </w:r>
      <w:r w:rsidR="00345870">
        <w:rPr>
          <w:rFonts w:ascii="Times New Roman" w:hAnsi="Times New Roman"/>
        </w:rPr>
        <w:t> </w:t>
      </w:r>
      <w:r w:rsidR="00BB3405" w:rsidRPr="00D900FF">
        <w:rPr>
          <w:rFonts w:ascii="Times New Roman" w:hAnsi="Times New Roman"/>
        </w:rPr>
        <w:t>and levies paid to registered political parties</w:t>
      </w:r>
      <w:r w:rsidR="00A25C89" w:rsidRPr="00D900FF">
        <w:rPr>
          <w:rFonts w:ascii="Times New Roman" w:hAnsi="Times New Roman"/>
        </w:rPr>
        <w:t>.</w:t>
      </w:r>
      <w:r w:rsidR="00BB3405" w:rsidRPr="00D900FF">
        <w:rPr>
          <w:rStyle w:val="FootnoteReference"/>
          <w:rFonts w:ascii="Times New Roman" w:hAnsi="Times New Roman"/>
          <w:sz w:val="24"/>
        </w:rPr>
        <w:footnoteReference w:id="35"/>
      </w:r>
      <w:r w:rsidR="00BB3405" w:rsidRPr="00D900FF">
        <w:rPr>
          <w:rFonts w:ascii="Times New Roman" w:hAnsi="Times New Roman"/>
        </w:rPr>
        <w:t xml:space="preserve"> </w:t>
      </w:r>
    </w:p>
    <w:p w14:paraId="09D9162F" w14:textId="2069C69F" w:rsidR="008164EF" w:rsidRPr="00D900FF" w:rsidRDefault="0020036B"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2957F4" w:rsidRPr="00D900FF">
        <w:rPr>
          <w:rFonts w:ascii="Times New Roman" w:hAnsi="Times New Roman"/>
        </w:rPr>
        <w:t>N</w:t>
      </w:r>
      <w:r w:rsidR="008164EF" w:rsidRPr="00D900FF">
        <w:rPr>
          <w:rFonts w:ascii="Times New Roman" w:hAnsi="Times New Roman"/>
        </w:rPr>
        <w:t xml:space="preserve">o amount of money for </w:t>
      </w:r>
      <w:r w:rsidR="004E7E64" w:rsidRPr="00D900FF">
        <w:rPr>
          <w:rFonts w:ascii="Times New Roman" w:hAnsi="Times New Roman"/>
        </w:rPr>
        <w:t>"</w:t>
      </w:r>
      <w:r w:rsidR="008164EF" w:rsidRPr="00D900FF">
        <w:rPr>
          <w:rFonts w:ascii="Times New Roman" w:hAnsi="Times New Roman"/>
        </w:rPr>
        <w:t>political expenditure</w:t>
      </w:r>
      <w:r w:rsidR="004E7E64" w:rsidRPr="00D900FF">
        <w:rPr>
          <w:rFonts w:ascii="Times New Roman" w:hAnsi="Times New Roman"/>
        </w:rPr>
        <w:t>"</w:t>
      </w:r>
      <w:r w:rsidR="008164EF" w:rsidRPr="00D900FF">
        <w:rPr>
          <w:rFonts w:ascii="Times New Roman" w:hAnsi="Times New Roman"/>
        </w:rPr>
        <w:t xml:space="preserve"> is to be paid </w:t>
      </w:r>
      <w:r w:rsidR="0048387D" w:rsidRPr="00D900FF">
        <w:rPr>
          <w:rFonts w:ascii="Times New Roman" w:hAnsi="Times New Roman"/>
        </w:rPr>
        <w:t xml:space="preserve">by a regulated person or entity </w:t>
      </w:r>
      <w:r w:rsidR="008164EF" w:rsidRPr="00D900FF">
        <w:rPr>
          <w:rFonts w:ascii="Times New Roman" w:hAnsi="Times New Roman"/>
        </w:rPr>
        <w:t>unless the amount is paid from the State campaign account.</w:t>
      </w:r>
      <w:r w:rsidR="008164EF" w:rsidRPr="00D900FF">
        <w:rPr>
          <w:rStyle w:val="FootnoteReference"/>
          <w:rFonts w:ascii="Times New Roman" w:hAnsi="Times New Roman"/>
          <w:sz w:val="24"/>
        </w:rPr>
        <w:footnoteReference w:id="36"/>
      </w:r>
      <w:r w:rsidR="008164EF" w:rsidRPr="00D900FF">
        <w:rPr>
          <w:rFonts w:ascii="Times New Roman" w:hAnsi="Times New Roman"/>
        </w:rPr>
        <w:t xml:space="preserve"> </w:t>
      </w:r>
      <w:r w:rsidR="004E7E64" w:rsidRPr="00D900FF">
        <w:rPr>
          <w:rFonts w:ascii="Times New Roman" w:hAnsi="Times New Roman"/>
        </w:rPr>
        <w:t>"Political expenditure"</w:t>
      </w:r>
      <w:r w:rsidR="004E7E64" w:rsidRPr="00D900FF">
        <w:rPr>
          <w:rStyle w:val="FootnoteReference"/>
          <w:rFonts w:ascii="Times New Roman" w:hAnsi="Times New Roman"/>
          <w:sz w:val="24"/>
        </w:rPr>
        <w:footnoteReference w:id="37"/>
      </w:r>
      <w:r w:rsidR="004E7E64" w:rsidRPr="00D900FF">
        <w:rPr>
          <w:rFonts w:ascii="Times New Roman" w:hAnsi="Times New Roman"/>
        </w:rPr>
        <w:t xml:space="preserve"> is </w:t>
      </w:r>
      <w:r w:rsidR="00A6299B" w:rsidRPr="00D900FF">
        <w:rPr>
          <w:rFonts w:ascii="Times New Roman" w:hAnsi="Times New Roman"/>
        </w:rPr>
        <w:t xml:space="preserve">relevantly </w:t>
      </w:r>
      <w:r w:rsidR="004E7E64" w:rsidRPr="00D900FF">
        <w:rPr>
          <w:rFonts w:ascii="Times New Roman" w:hAnsi="Times New Roman"/>
        </w:rPr>
        <w:t xml:space="preserve">defined as "any </w:t>
      </w:r>
      <w:r w:rsidR="00D972A0" w:rsidRPr="00D900FF">
        <w:rPr>
          <w:rFonts w:ascii="Times New Roman" w:hAnsi="Times New Roman"/>
        </w:rPr>
        <w:t xml:space="preserve">expenditure for the dominant purpose of directing how a person should vote at an election, by promoting or </w:t>
      </w:r>
      <w:r w:rsidR="00D972A0" w:rsidRPr="00D900FF">
        <w:rPr>
          <w:rFonts w:ascii="Times New Roman" w:hAnsi="Times New Roman"/>
        </w:rPr>
        <w:lastRenderedPageBreak/>
        <w:t xml:space="preserve">opposing </w:t>
      </w:r>
      <w:r w:rsidR="00761C1D" w:rsidRPr="00D900FF">
        <w:rPr>
          <w:rFonts w:ascii="Times New Roman" w:hAnsi="Times New Roman"/>
        </w:rPr>
        <w:t xml:space="preserve">... </w:t>
      </w:r>
      <w:r w:rsidR="00D972A0" w:rsidRPr="00D900FF">
        <w:rPr>
          <w:rFonts w:ascii="Times New Roman" w:hAnsi="Times New Roman"/>
        </w:rPr>
        <w:t xml:space="preserve">(a) the election of any candidate at the election; or (b) a </w:t>
      </w:r>
      <w:r w:rsidR="00153527" w:rsidRPr="00D900FF">
        <w:rPr>
          <w:rFonts w:ascii="Times New Roman" w:hAnsi="Times New Roman"/>
        </w:rPr>
        <w:t>registered political party</w:t>
      </w:r>
      <w:r w:rsidR="00D972A0" w:rsidRPr="00D900FF">
        <w:rPr>
          <w:rFonts w:ascii="Times New Roman" w:hAnsi="Times New Roman"/>
        </w:rPr>
        <w:t>; or (c) an elected member</w:t>
      </w:r>
      <w:r w:rsidR="00A6299B" w:rsidRPr="00D900FF">
        <w:rPr>
          <w:rFonts w:ascii="Times New Roman" w:hAnsi="Times New Roman"/>
        </w:rPr>
        <w:t>"</w:t>
      </w:r>
      <w:r w:rsidR="00D972A0" w:rsidRPr="00D900FF">
        <w:rPr>
          <w:rFonts w:ascii="Times New Roman" w:hAnsi="Times New Roman"/>
        </w:rPr>
        <w:t>.</w:t>
      </w:r>
    </w:p>
    <w:p w14:paraId="15E1CB72" w14:textId="4689B950" w:rsidR="00746C55" w:rsidRPr="00D900FF" w:rsidRDefault="00746C55" w:rsidP="00D900FF">
      <w:pPr>
        <w:pStyle w:val="HeadingL2"/>
        <w:spacing w:after="260" w:line="280" w:lineRule="exact"/>
        <w:ind w:right="0"/>
        <w:jc w:val="both"/>
        <w:rPr>
          <w:rFonts w:ascii="Times New Roman" w:hAnsi="Times New Roman"/>
        </w:rPr>
      </w:pPr>
      <w:r w:rsidRPr="00D900FF">
        <w:rPr>
          <w:rFonts w:ascii="Times New Roman" w:hAnsi="Times New Roman"/>
        </w:rPr>
        <w:t>Real-time disclosure regime</w:t>
      </w:r>
    </w:p>
    <w:p w14:paraId="53D51394" w14:textId="758D6A97" w:rsidR="008164EF" w:rsidRPr="00D900FF" w:rsidRDefault="008164EF" w:rsidP="00D900FF">
      <w:pPr>
        <w:pStyle w:val="FixListStyle"/>
        <w:spacing w:after="260" w:line="280" w:lineRule="exact"/>
        <w:ind w:right="0"/>
        <w:jc w:val="both"/>
        <w:rPr>
          <w:rFonts w:ascii="Times New Roman" w:hAnsi="Times New Roman"/>
        </w:rPr>
      </w:pPr>
      <w:r w:rsidRPr="00D900FF">
        <w:rPr>
          <w:rFonts w:ascii="Times New Roman" w:hAnsi="Times New Roman"/>
        </w:rPr>
        <w:tab/>
        <w:t xml:space="preserve">Division 3 </w:t>
      </w:r>
      <w:r w:rsidR="00505DCD" w:rsidRPr="00D900FF">
        <w:rPr>
          <w:rFonts w:ascii="Times New Roman" w:hAnsi="Times New Roman"/>
        </w:rPr>
        <w:t>of Pt 12</w:t>
      </w:r>
      <w:r w:rsidRPr="00D900FF">
        <w:rPr>
          <w:rFonts w:ascii="Times New Roman" w:hAnsi="Times New Roman"/>
        </w:rPr>
        <w:t xml:space="preserve"> provides a "real-time disclosure regime" for political donations. </w:t>
      </w:r>
      <w:r w:rsidR="00BC076D" w:rsidRPr="00D900FF">
        <w:rPr>
          <w:rFonts w:ascii="Times New Roman" w:hAnsi="Times New Roman"/>
        </w:rPr>
        <w:t>Each p</w:t>
      </w:r>
      <w:r w:rsidR="00D75668" w:rsidRPr="00D900FF">
        <w:rPr>
          <w:rFonts w:ascii="Times New Roman" w:hAnsi="Times New Roman"/>
        </w:rPr>
        <w:t xml:space="preserve">olitical donation </w:t>
      </w:r>
      <w:r w:rsidRPr="00D900FF">
        <w:rPr>
          <w:rFonts w:ascii="Times New Roman" w:hAnsi="Times New Roman"/>
        </w:rPr>
        <w:t>equal to or exceeding the disclosure threshold ($1,000, indexed at $1,240 for the 2025-</w:t>
      </w:r>
      <w:r w:rsidR="003534BE" w:rsidRPr="00D900FF">
        <w:rPr>
          <w:rFonts w:ascii="Times New Roman" w:hAnsi="Times New Roman"/>
        </w:rPr>
        <w:t>20</w:t>
      </w:r>
      <w:r w:rsidRPr="00D900FF">
        <w:rPr>
          <w:rFonts w:ascii="Times New Roman" w:hAnsi="Times New Roman"/>
        </w:rPr>
        <w:t>26 financial year</w:t>
      </w:r>
      <w:r w:rsidR="00D75668" w:rsidRPr="00D900FF">
        <w:rPr>
          <w:rFonts w:ascii="Times New Roman" w:hAnsi="Times New Roman"/>
        </w:rPr>
        <w:t xml:space="preserve">) </w:t>
      </w:r>
      <w:r w:rsidR="00E612CE" w:rsidRPr="00D900FF">
        <w:rPr>
          <w:rFonts w:ascii="Times New Roman" w:hAnsi="Times New Roman"/>
        </w:rPr>
        <w:t xml:space="preserve">during a financial year </w:t>
      </w:r>
      <w:r w:rsidR="0053238B" w:rsidRPr="00D900FF">
        <w:rPr>
          <w:rFonts w:ascii="Times New Roman" w:hAnsi="Times New Roman"/>
        </w:rPr>
        <w:t>must be the subject of</w:t>
      </w:r>
      <w:r w:rsidRPr="00D900FF">
        <w:rPr>
          <w:rFonts w:ascii="Times New Roman" w:hAnsi="Times New Roman"/>
        </w:rPr>
        <w:t xml:space="preserve"> a disclosure return </w:t>
      </w:r>
      <w:r w:rsidR="001D6789" w:rsidRPr="00D900FF">
        <w:rPr>
          <w:rFonts w:ascii="Times New Roman" w:hAnsi="Times New Roman"/>
        </w:rPr>
        <w:t>by both the donor</w:t>
      </w:r>
      <w:r w:rsidR="003D12B5" w:rsidRPr="00D900FF">
        <w:rPr>
          <w:rFonts w:ascii="Times New Roman" w:hAnsi="Times New Roman"/>
        </w:rPr>
        <w:t xml:space="preserve"> </w:t>
      </w:r>
      <w:r w:rsidR="001D6789" w:rsidRPr="00D900FF">
        <w:rPr>
          <w:rFonts w:ascii="Times New Roman" w:hAnsi="Times New Roman"/>
        </w:rPr>
        <w:t>and the rec</w:t>
      </w:r>
      <w:r w:rsidR="004A1BB3" w:rsidRPr="00D900FF">
        <w:rPr>
          <w:rFonts w:ascii="Times New Roman" w:hAnsi="Times New Roman"/>
        </w:rPr>
        <w:t xml:space="preserve">ipient </w:t>
      </w:r>
      <w:r w:rsidRPr="00D900FF">
        <w:rPr>
          <w:rFonts w:ascii="Times New Roman" w:hAnsi="Times New Roman"/>
        </w:rPr>
        <w:t xml:space="preserve">to the Victorian Electoral Commission ("the Commission") </w:t>
      </w:r>
      <w:r w:rsidR="00B00715" w:rsidRPr="00D900FF">
        <w:rPr>
          <w:rFonts w:ascii="Times New Roman" w:hAnsi="Times New Roman"/>
        </w:rPr>
        <w:t>within 21 days</w:t>
      </w:r>
      <w:r w:rsidR="007A176D" w:rsidRPr="00D900FF">
        <w:rPr>
          <w:rFonts w:ascii="Times New Roman" w:hAnsi="Times New Roman"/>
        </w:rPr>
        <w:t xml:space="preserve"> of the</w:t>
      </w:r>
      <w:r w:rsidR="00265A40">
        <w:rPr>
          <w:rFonts w:ascii="Times New Roman" w:hAnsi="Times New Roman"/>
        </w:rPr>
        <w:t> </w:t>
      </w:r>
      <w:r w:rsidR="007A176D" w:rsidRPr="00D900FF">
        <w:rPr>
          <w:rFonts w:ascii="Times New Roman" w:hAnsi="Times New Roman"/>
        </w:rPr>
        <w:t>making of the</w:t>
      </w:r>
      <w:r w:rsidRPr="00D900FF">
        <w:rPr>
          <w:rFonts w:ascii="Times New Roman" w:hAnsi="Times New Roman"/>
        </w:rPr>
        <w:t xml:space="preserve"> political donation</w:t>
      </w:r>
      <w:r w:rsidR="00B00715" w:rsidRPr="00D900FF">
        <w:rPr>
          <w:rFonts w:ascii="Times New Roman" w:hAnsi="Times New Roman"/>
        </w:rPr>
        <w:t>.</w:t>
      </w:r>
      <w:r w:rsidR="003D12B5" w:rsidRPr="00D900FF">
        <w:rPr>
          <w:rStyle w:val="FootnoteReference"/>
          <w:rFonts w:ascii="Times New Roman" w:hAnsi="Times New Roman"/>
          <w:sz w:val="24"/>
        </w:rPr>
        <w:footnoteReference w:id="38"/>
      </w:r>
      <w:r w:rsidR="00A85CBC" w:rsidRPr="00D900FF">
        <w:rPr>
          <w:rFonts w:ascii="Times New Roman" w:hAnsi="Times New Roman"/>
        </w:rPr>
        <w:t xml:space="preserve"> </w:t>
      </w:r>
      <w:r w:rsidR="00AF344B" w:rsidRPr="00D900FF">
        <w:rPr>
          <w:rFonts w:ascii="Times New Roman" w:hAnsi="Times New Roman"/>
        </w:rPr>
        <w:t>The Commission must publish a</w:t>
      </w:r>
      <w:r w:rsidR="00F96104" w:rsidRPr="00D900FF">
        <w:rPr>
          <w:rFonts w:ascii="Times New Roman" w:hAnsi="Times New Roman"/>
        </w:rPr>
        <w:t xml:space="preserve"> d</w:t>
      </w:r>
      <w:r w:rsidR="00A85CBC" w:rsidRPr="00D900FF">
        <w:rPr>
          <w:rFonts w:ascii="Times New Roman" w:hAnsi="Times New Roman"/>
        </w:rPr>
        <w:t xml:space="preserve">isclosure </w:t>
      </w:r>
      <w:r w:rsidR="00242315" w:rsidRPr="00D900FF">
        <w:rPr>
          <w:rFonts w:ascii="Times New Roman" w:hAnsi="Times New Roman"/>
        </w:rPr>
        <w:t xml:space="preserve">return </w:t>
      </w:r>
      <w:r w:rsidR="00704310" w:rsidRPr="00D900FF">
        <w:rPr>
          <w:rFonts w:ascii="Times New Roman" w:hAnsi="Times New Roman"/>
        </w:rPr>
        <w:t xml:space="preserve">of a </w:t>
      </w:r>
      <w:r w:rsidR="003B5621" w:rsidRPr="00D900FF">
        <w:rPr>
          <w:rFonts w:ascii="Times New Roman" w:hAnsi="Times New Roman"/>
        </w:rPr>
        <w:t xml:space="preserve">political donation </w:t>
      </w:r>
      <w:r w:rsidR="00440066" w:rsidRPr="00D900FF">
        <w:rPr>
          <w:rFonts w:ascii="Times New Roman" w:hAnsi="Times New Roman"/>
        </w:rPr>
        <w:t>on its website</w:t>
      </w:r>
      <w:r w:rsidR="00472317" w:rsidRPr="00D900FF">
        <w:rPr>
          <w:rFonts w:ascii="Times New Roman" w:hAnsi="Times New Roman"/>
        </w:rPr>
        <w:t xml:space="preserve"> within seven days of receiving</w:t>
      </w:r>
      <w:r w:rsidRPr="00D900FF">
        <w:rPr>
          <w:rFonts w:ascii="Times New Roman" w:hAnsi="Times New Roman"/>
        </w:rPr>
        <w:t xml:space="preserve"> the</w:t>
      </w:r>
      <w:r w:rsidR="00265A40">
        <w:rPr>
          <w:rFonts w:ascii="Times New Roman" w:hAnsi="Times New Roman"/>
        </w:rPr>
        <w:t> </w:t>
      </w:r>
      <w:r w:rsidR="00FB0834" w:rsidRPr="00D900FF">
        <w:rPr>
          <w:rFonts w:ascii="Times New Roman" w:hAnsi="Times New Roman"/>
        </w:rPr>
        <w:t>return.</w:t>
      </w:r>
      <w:r w:rsidR="00FB0834" w:rsidRPr="00D900FF">
        <w:rPr>
          <w:rStyle w:val="FootnoteReference"/>
          <w:rFonts w:ascii="Times New Roman" w:hAnsi="Times New Roman"/>
          <w:sz w:val="24"/>
        </w:rPr>
        <w:footnoteReference w:id="39"/>
      </w:r>
      <w:r w:rsidR="00F96104" w:rsidRPr="00D900FF">
        <w:rPr>
          <w:rFonts w:ascii="Times New Roman" w:hAnsi="Times New Roman"/>
        </w:rPr>
        <w:t xml:space="preserve"> </w:t>
      </w:r>
    </w:p>
    <w:p w14:paraId="61BCD273" w14:textId="732FC629" w:rsidR="00746C55" w:rsidRPr="00D900FF" w:rsidRDefault="00746C55" w:rsidP="00D900FF">
      <w:pPr>
        <w:pStyle w:val="HeadingL2"/>
        <w:spacing w:after="260" w:line="280" w:lineRule="exact"/>
        <w:ind w:right="0"/>
        <w:jc w:val="both"/>
        <w:rPr>
          <w:rFonts w:ascii="Times New Roman" w:hAnsi="Times New Roman"/>
        </w:rPr>
      </w:pPr>
      <w:r w:rsidRPr="00D900FF">
        <w:rPr>
          <w:rFonts w:ascii="Times New Roman" w:hAnsi="Times New Roman"/>
        </w:rPr>
        <w:t>Public funding</w:t>
      </w:r>
    </w:p>
    <w:p w14:paraId="3C5143A4" w14:textId="187A83C0" w:rsidR="00EF3E4E" w:rsidRPr="00D900FF" w:rsidRDefault="00746C55" w:rsidP="00D900FF">
      <w:pPr>
        <w:pStyle w:val="FixListStyle"/>
        <w:spacing w:after="260" w:line="280" w:lineRule="exact"/>
        <w:ind w:right="0"/>
        <w:jc w:val="both"/>
        <w:rPr>
          <w:rFonts w:ascii="Times New Roman" w:hAnsi="Times New Roman"/>
        </w:rPr>
      </w:pPr>
      <w:r w:rsidRPr="00D900FF">
        <w:rPr>
          <w:rFonts w:ascii="Times New Roman" w:hAnsi="Times New Roman"/>
        </w:rPr>
        <w:tab/>
        <w:t>Division</w:t>
      </w:r>
      <w:r w:rsidR="00153527" w:rsidRPr="00D900FF">
        <w:rPr>
          <w:rFonts w:ascii="Times New Roman" w:hAnsi="Times New Roman"/>
        </w:rPr>
        <w:t xml:space="preserve"> </w:t>
      </w:r>
      <w:r w:rsidR="00EF3E4E" w:rsidRPr="00D900FF">
        <w:rPr>
          <w:rFonts w:ascii="Times New Roman" w:hAnsi="Times New Roman"/>
        </w:rPr>
        <w:t xml:space="preserve">2 of Pt 12 provides </w:t>
      </w:r>
      <w:r w:rsidR="00F93E9D" w:rsidRPr="00D900FF">
        <w:rPr>
          <w:rFonts w:ascii="Times New Roman" w:hAnsi="Times New Roman"/>
        </w:rPr>
        <w:t xml:space="preserve">for </w:t>
      </w:r>
      <w:r w:rsidR="00EF3E4E" w:rsidRPr="00D900FF">
        <w:rPr>
          <w:rFonts w:ascii="Times New Roman" w:hAnsi="Times New Roman"/>
        </w:rPr>
        <w:t xml:space="preserve">public funding of political </w:t>
      </w:r>
      <w:r w:rsidR="00CD75AC" w:rsidRPr="00D900FF">
        <w:rPr>
          <w:rFonts w:ascii="Times New Roman" w:hAnsi="Times New Roman"/>
        </w:rPr>
        <w:t xml:space="preserve">expenditure </w:t>
      </w:r>
      <w:r w:rsidR="00EF3E4E" w:rsidRPr="00D900FF">
        <w:rPr>
          <w:rFonts w:ascii="Times New Roman" w:hAnsi="Times New Roman"/>
        </w:rPr>
        <w:t>and electoral expenditure</w:t>
      </w:r>
      <w:r w:rsidR="00E75561" w:rsidRPr="00D900FF">
        <w:rPr>
          <w:rFonts w:ascii="Times New Roman" w:hAnsi="Times New Roman"/>
        </w:rPr>
        <w:t xml:space="preserve">. </w:t>
      </w:r>
      <w:r w:rsidR="00396C4A" w:rsidRPr="00D900FF">
        <w:rPr>
          <w:rFonts w:ascii="Times New Roman" w:hAnsi="Times New Roman"/>
        </w:rPr>
        <w:t>P</w:t>
      </w:r>
      <w:r w:rsidR="00E75561" w:rsidRPr="00D900FF">
        <w:rPr>
          <w:rFonts w:ascii="Times New Roman" w:hAnsi="Times New Roman"/>
        </w:rPr>
        <w:t>ublic funding</w:t>
      </w:r>
      <w:r w:rsidR="00EF3E4E" w:rsidRPr="00D900FF">
        <w:rPr>
          <w:rFonts w:ascii="Times New Roman" w:hAnsi="Times New Roman"/>
        </w:rPr>
        <w:t xml:space="preserve"> is </w:t>
      </w:r>
      <w:r w:rsidR="0054284E" w:rsidRPr="00D900FF">
        <w:rPr>
          <w:rFonts w:ascii="Times New Roman" w:hAnsi="Times New Roman"/>
        </w:rPr>
        <w:t xml:space="preserve">available </w:t>
      </w:r>
      <w:r w:rsidR="00EF3E4E" w:rsidRPr="00D900FF">
        <w:rPr>
          <w:rFonts w:ascii="Times New Roman" w:hAnsi="Times New Roman"/>
        </w:rPr>
        <w:t>to registered political parties</w:t>
      </w:r>
      <w:r w:rsidR="005E3324" w:rsidRPr="00D900FF">
        <w:rPr>
          <w:rFonts w:ascii="Times New Roman" w:hAnsi="Times New Roman"/>
        </w:rPr>
        <w:t xml:space="preserve"> in respect of candidates endorsed by the party,</w:t>
      </w:r>
      <w:r w:rsidR="00EF3E4E" w:rsidRPr="00D900FF">
        <w:rPr>
          <w:rFonts w:ascii="Times New Roman" w:hAnsi="Times New Roman"/>
        </w:rPr>
        <w:t xml:space="preserve"> </w:t>
      </w:r>
      <w:r w:rsidR="005E3324" w:rsidRPr="00D900FF">
        <w:rPr>
          <w:rFonts w:ascii="Times New Roman" w:hAnsi="Times New Roman"/>
        </w:rPr>
        <w:t>as well as</w:t>
      </w:r>
      <w:r w:rsidR="00EF3E4E" w:rsidRPr="00D900FF">
        <w:rPr>
          <w:rFonts w:ascii="Times New Roman" w:hAnsi="Times New Roman"/>
        </w:rPr>
        <w:t xml:space="preserve"> candidates not endorsed by a </w:t>
      </w:r>
      <w:r w:rsidR="00153527" w:rsidRPr="00D900FF">
        <w:rPr>
          <w:rFonts w:ascii="Times New Roman" w:hAnsi="Times New Roman"/>
        </w:rPr>
        <w:t>registered political party</w:t>
      </w:r>
      <w:r w:rsidR="0054284E" w:rsidRPr="00D900FF">
        <w:rPr>
          <w:rFonts w:ascii="Times New Roman" w:hAnsi="Times New Roman"/>
        </w:rPr>
        <w:t>, where</w:t>
      </w:r>
      <w:r w:rsidR="005E3324" w:rsidRPr="00D900FF">
        <w:rPr>
          <w:rFonts w:ascii="Times New Roman" w:hAnsi="Times New Roman"/>
        </w:rPr>
        <w:t xml:space="preserve"> the</w:t>
      </w:r>
      <w:r w:rsidR="0054284E" w:rsidRPr="00D900FF">
        <w:rPr>
          <w:rFonts w:ascii="Times New Roman" w:hAnsi="Times New Roman"/>
        </w:rPr>
        <w:t xml:space="preserve"> </w:t>
      </w:r>
      <w:r w:rsidR="00153527" w:rsidRPr="00D900FF">
        <w:rPr>
          <w:rFonts w:ascii="Times New Roman" w:hAnsi="Times New Roman"/>
        </w:rPr>
        <w:t xml:space="preserve">relevant </w:t>
      </w:r>
      <w:r w:rsidR="0054284E" w:rsidRPr="00D900FF">
        <w:rPr>
          <w:rFonts w:ascii="Times New Roman" w:hAnsi="Times New Roman"/>
        </w:rPr>
        <w:t>candidate received at least four</w:t>
      </w:r>
      <w:r w:rsidR="00265A40">
        <w:rPr>
          <w:rFonts w:ascii="Times New Roman" w:hAnsi="Times New Roman"/>
        </w:rPr>
        <w:t> </w:t>
      </w:r>
      <w:r w:rsidR="0054284E" w:rsidRPr="00D900FF">
        <w:rPr>
          <w:rFonts w:ascii="Times New Roman" w:hAnsi="Times New Roman"/>
        </w:rPr>
        <w:t>per</w:t>
      </w:r>
      <w:r w:rsidR="00265A40">
        <w:rPr>
          <w:rFonts w:ascii="Times New Roman" w:hAnsi="Times New Roman"/>
        </w:rPr>
        <w:t> </w:t>
      </w:r>
      <w:r w:rsidR="0054284E" w:rsidRPr="00D900FF">
        <w:rPr>
          <w:rFonts w:ascii="Times New Roman" w:hAnsi="Times New Roman"/>
        </w:rPr>
        <w:t>cent of the total number of first preference votes, or was elected, in</w:t>
      </w:r>
      <w:r w:rsidR="0099187B">
        <w:rPr>
          <w:rFonts w:ascii="Times New Roman" w:hAnsi="Times New Roman"/>
        </w:rPr>
        <w:t> </w:t>
      </w:r>
      <w:r w:rsidR="0054284E" w:rsidRPr="00D900FF">
        <w:rPr>
          <w:rFonts w:ascii="Times New Roman" w:hAnsi="Times New Roman"/>
        </w:rPr>
        <w:t>the</w:t>
      </w:r>
      <w:r w:rsidR="0099187B">
        <w:rPr>
          <w:rFonts w:ascii="Times New Roman" w:hAnsi="Times New Roman"/>
        </w:rPr>
        <w:t> </w:t>
      </w:r>
      <w:r w:rsidR="0054284E" w:rsidRPr="00D900FF">
        <w:rPr>
          <w:rFonts w:ascii="Times New Roman" w:hAnsi="Times New Roman"/>
        </w:rPr>
        <w:t>election</w:t>
      </w:r>
      <w:r w:rsidR="00EF3E4E" w:rsidRPr="00D900FF">
        <w:rPr>
          <w:rFonts w:ascii="Times New Roman" w:hAnsi="Times New Roman"/>
        </w:rPr>
        <w:t>.</w:t>
      </w:r>
      <w:r w:rsidR="005E3324" w:rsidRPr="00D900FF">
        <w:rPr>
          <w:rStyle w:val="FootnoteReference"/>
          <w:rFonts w:ascii="Times New Roman" w:hAnsi="Times New Roman"/>
          <w:sz w:val="24"/>
        </w:rPr>
        <w:footnoteReference w:id="40"/>
      </w:r>
      <w:r w:rsidR="00606415" w:rsidRPr="00D900FF">
        <w:rPr>
          <w:rFonts w:ascii="Times New Roman" w:hAnsi="Times New Roman"/>
        </w:rPr>
        <w:t xml:space="preserve"> </w:t>
      </w:r>
      <w:r w:rsidR="002279AD" w:rsidRPr="00D900FF">
        <w:rPr>
          <w:rFonts w:ascii="Times New Roman" w:hAnsi="Times New Roman"/>
        </w:rPr>
        <w:t>The amount of public funding is calculated by reference to the</w:t>
      </w:r>
      <w:r w:rsidR="0099187B">
        <w:rPr>
          <w:rFonts w:ascii="Times New Roman" w:hAnsi="Times New Roman"/>
        </w:rPr>
        <w:t> </w:t>
      </w:r>
      <w:r w:rsidR="002279AD" w:rsidRPr="00D900FF">
        <w:rPr>
          <w:rFonts w:ascii="Times New Roman" w:hAnsi="Times New Roman"/>
        </w:rPr>
        <w:t>number of first preference votes given for the candidate in the election.</w:t>
      </w:r>
      <w:r w:rsidR="002279AD" w:rsidRPr="00D900FF">
        <w:rPr>
          <w:rStyle w:val="FootnoteReference"/>
          <w:rFonts w:ascii="Times New Roman" w:hAnsi="Times New Roman"/>
          <w:sz w:val="24"/>
        </w:rPr>
        <w:footnoteReference w:id="41"/>
      </w:r>
      <w:r w:rsidR="00396C4A" w:rsidRPr="00D900FF">
        <w:rPr>
          <w:rFonts w:ascii="Times New Roman" w:hAnsi="Times New Roman"/>
        </w:rPr>
        <w:t xml:space="preserve"> </w:t>
      </w:r>
      <w:r w:rsidR="00C46F33" w:rsidRPr="00D900FF">
        <w:rPr>
          <w:rFonts w:ascii="Times New Roman" w:hAnsi="Times New Roman"/>
        </w:rPr>
        <w:t>A</w:t>
      </w:r>
      <w:r w:rsidR="005F4FAE" w:rsidRPr="00D900FF">
        <w:rPr>
          <w:rFonts w:ascii="Times New Roman" w:hAnsi="Times New Roman"/>
        </w:rPr>
        <w:t>n</w:t>
      </w:r>
      <w:r w:rsidR="0099187B">
        <w:rPr>
          <w:rFonts w:ascii="Times New Roman" w:hAnsi="Times New Roman"/>
        </w:rPr>
        <w:t> </w:t>
      </w:r>
      <w:r w:rsidR="005F4FAE" w:rsidRPr="00D900FF">
        <w:rPr>
          <w:rFonts w:ascii="Times New Roman" w:hAnsi="Times New Roman"/>
        </w:rPr>
        <w:t>"eligible"</w:t>
      </w:r>
      <w:r w:rsidR="00FF1AF6" w:rsidRPr="00D900FF">
        <w:rPr>
          <w:rFonts w:ascii="Times New Roman" w:hAnsi="Times New Roman"/>
        </w:rPr>
        <w:t xml:space="preserve"> </w:t>
      </w:r>
      <w:r w:rsidR="00A33885" w:rsidRPr="00D900FF">
        <w:rPr>
          <w:rFonts w:ascii="Times New Roman" w:hAnsi="Times New Roman"/>
        </w:rPr>
        <w:t xml:space="preserve">recipient, being a </w:t>
      </w:r>
      <w:r w:rsidR="00153527" w:rsidRPr="00D900FF">
        <w:rPr>
          <w:rFonts w:ascii="Times New Roman" w:hAnsi="Times New Roman"/>
        </w:rPr>
        <w:t>registered political party</w:t>
      </w:r>
      <w:r w:rsidR="00A33885" w:rsidRPr="00D900FF">
        <w:rPr>
          <w:rFonts w:ascii="Times New Roman" w:hAnsi="Times New Roman"/>
        </w:rPr>
        <w:t xml:space="preserve"> or independent candidate who received public funding in the immediately preceding general election,</w:t>
      </w:r>
      <w:r w:rsidR="00C46F33" w:rsidRPr="00D900FF">
        <w:rPr>
          <w:rFonts w:ascii="Times New Roman" w:hAnsi="Times New Roman"/>
        </w:rPr>
        <w:t xml:space="preserve"> may</w:t>
      </w:r>
      <w:r w:rsidR="0099187B">
        <w:rPr>
          <w:rFonts w:ascii="Times New Roman" w:hAnsi="Times New Roman"/>
        </w:rPr>
        <w:t> </w:t>
      </w:r>
      <w:r w:rsidR="00C46F33" w:rsidRPr="00D900FF">
        <w:rPr>
          <w:rFonts w:ascii="Times New Roman" w:hAnsi="Times New Roman"/>
        </w:rPr>
        <w:t xml:space="preserve">also </w:t>
      </w:r>
      <w:r w:rsidR="00981569" w:rsidRPr="00D900FF">
        <w:rPr>
          <w:rFonts w:ascii="Times New Roman" w:hAnsi="Times New Roman"/>
        </w:rPr>
        <w:t xml:space="preserve">receive </w:t>
      </w:r>
      <w:r w:rsidR="001511C2" w:rsidRPr="00D900FF">
        <w:rPr>
          <w:rFonts w:ascii="Times New Roman" w:hAnsi="Times New Roman"/>
        </w:rPr>
        <w:t>"</w:t>
      </w:r>
      <w:r w:rsidR="005F4FAE" w:rsidRPr="00D900FF">
        <w:rPr>
          <w:rFonts w:ascii="Times New Roman" w:hAnsi="Times New Roman"/>
        </w:rPr>
        <w:t>advance</w:t>
      </w:r>
      <w:r w:rsidR="001511C2" w:rsidRPr="00D900FF">
        <w:rPr>
          <w:rFonts w:ascii="Times New Roman" w:hAnsi="Times New Roman"/>
        </w:rPr>
        <w:t>"</w:t>
      </w:r>
      <w:r w:rsidR="005F4FAE" w:rsidRPr="00D900FF">
        <w:rPr>
          <w:rFonts w:ascii="Times New Roman" w:hAnsi="Times New Roman"/>
        </w:rPr>
        <w:t xml:space="preserve"> payment of an amount equal to their </w:t>
      </w:r>
      <w:r w:rsidR="00FB1B3D" w:rsidRPr="00D900FF">
        <w:rPr>
          <w:rFonts w:ascii="Times New Roman" w:hAnsi="Times New Roman"/>
        </w:rPr>
        <w:t xml:space="preserve">public funding entitlement </w:t>
      </w:r>
      <w:r w:rsidR="006A2A1B" w:rsidRPr="00D900FF">
        <w:rPr>
          <w:rFonts w:ascii="Times New Roman" w:hAnsi="Times New Roman"/>
        </w:rPr>
        <w:t xml:space="preserve">in that preceding general election </w:t>
      </w:r>
      <w:r w:rsidR="00FB1B3D" w:rsidRPr="00D900FF">
        <w:rPr>
          <w:rFonts w:ascii="Times New Roman" w:hAnsi="Times New Roman"/>
        </w:rPr>
        <w:t xml:space="preserve">for the </w:t>
      </w:r>
      <w:r w:rsidR="00F51C7A" w:rsidRPr="00D900FF">
        <w:rPr>
          <w:rFonts w:ascii="Times New Roman" w:hAnsi="Times New Roman"/>
        </w:rPr>
        <w:t>following</w:t>
      </w:r>
      <w:r w:rsidR="00FB1B3D" w:rsidRPr="00D900FF">
        <w:rPr>
          <w:rFonts w:ascii="Times New Roman" w:hAnsi="Times New Roman"/>
        </w:rPr>
        <w:t xml:space="preserve"> general election.</w:t>
      </w:r>
      <w:r w:rsidR="00FB1B3D" w:rsidRPr="00D900FF">
        <w:rPr>
          <w:rStyle w:val="FootnoteReference"/>
          <w:rFonts w:ascii="Times New Roman" w:hAnsi="Times New Roman"/>
          <w:sz w:val="24"/>
        </w:rPr>
        <w:footnoteReference w:id="42"/>
      </w:r>
    </w:p>
    <w:p w14:paraId="1164B840" w14:textId="27ADFD24" w:rsidR="00746C55" w:rsidRPr="00D900FF" w:rsidDel="00861409" w:rsidRDefault="00746C55" w:rsidP="00D900FF">
      <w:pPr>
        <w:pStyle w:val="HeadingL2"/>
        <w:spacing w:after="260" w:line="280" w:lineRule="exact"/>
        <w:ind w:right="0"/>
        <w:jc w:val="both"/>
        <w:rPr>
          <w:rFonts w:ascii="Times New Roman" w:hAnsi="Times New Roman"/>
        </w:rPr>
      </w:pPr>
      <w:r w:rsidRPr="00D900FF">
        <w:rPr>
          <w:rFonts w:ascii="Times New Roman" w:hAnsi="Times New Roman"/>
        </w:rPr>
        <w:t xml:space="preserve">Nominated </w:t>
      </w:r>
      <w:r w:rsidR="00607819" w:rsidRPr="00D900FF">
        <w:rPr>
          <w:rFonts w:ascii="Times New Roman" w:hAnsi="Times New Roman"/>
        </w:rPr>
        <w:t>entity</w:t>
      </w:r>
    </w:p>
    <w:p w14:paraId="08F9D8A7" w14:textId="641BF59D" w:rsidR="00413379" w:rsidRPr="00D900FF" w:rsidRDefault="00850194"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B630CE" w:rsidRPr="00D900FF">
        <w:rPr>
          <w:rFonts w:ascii="Times New Roman" w:hAnsi="Times New Roman"/>
        </w:rPr>
        <w:t>A</w:t>
      </w:r>
      <w:r w:rsidR="00F72769" w:rsidRPr="00D900FF">
        <w:rPr>
          <w:rFonts w:ascii="Times New Roman" w:hAnsi="Times New Roman"/>
        </w:rPr>
        <w:t xml:space="preserve">ppointment of </w:t>
      </w:r>
      <w:r w:rsidR="00C96B6B" w:rsidRPr="00D900FF">
        <w:rPr>
          <w:rFonts w:ascii="Times New Roman" w:hAnsi="Times New Roman"/>
        </w:rPr>
        <w:t xml:space="preserve">a </w:t>
      </w:r>
      <w:r w:rsidR="00F72769" w:rsidRPr="00D900FF">
        <w:rPr>
          <w:rFonts w:ascii="Times New Roman" w:hAnsi="Times New Roman"/>
        </w:rPr>
        <w:t>nominated entit</w:t>
      </w:r>
      <w:r w:rsidR="00C96B6B" w:rsidRPr="00D900FF">
        <w:rPr>
          <w:rFonts w:ascii="Times New Roman" w:hAnsi="Times New Roman"/>
        </w:rPr>
        <w:t>y</w:t>
      </w:r>
      <w:r w:rsidR="007C6AA3" w:rsidRPr="00D900FF">
        <w:rPr>
          <w:rFonts w:ascii="Times New Roman" w:hAnsi="Times New Roman"/>
        </w:rPr>
        <w:t xml:space="preserve"> </w:t>
      </w:r>
      <w:r w:rsidR="00705981" w:rsidRPr="00D900FF">
        <w:rPr>
          <w:rFonts w:ascii="Times New Roman" w:hAnsi="Times New Roman"/>
        </w:rPr>
        <w:t>by</w:t>
      </w:r>
      <w:r w:rsidR="007C6AA3" w:rsidRPr="00D900FF">
        <w:rPr>
          <w:rFonts w:ascii="Times New Roman" w:hAnsi="Times New Roman"/>
        </w:rPr>
        <w:t xml:space="preserve"> a </w:t>
      </w:r>
      <w:r w:rsidR="00153527" w:rsidRPr="00D900FF">
        <w:rPr>
          <w:rFonts w:ascii="Times New Roman" w:hAnsi="Times New Roman"/>
        </w:rPr>
        <w:t>registered political party</w:t>
      </w:r>
      <w:r w:rsidR="00B630CE" w:rsidRPr="00D900FF">
        <w:rPr>
          <w:rFonts w:ascii="Times New Roman" w:hAnsi="Times New Roman"/>
        </w:rPr>
        <w:t xml:space="preserve"> </w:t>
      </w:r>
      <w:r w:rsidR="005760B3" w:rsidRPr="00D900FF">
        <w:rPr>
          <w:rFonts w:ascii="Times New Roman" w:hAnsi="Times New Roman"/>
        </w:rPr>
        <w:t>and the</w:t>
      </w:r>
      <w:r w:rsidR="0099187B">
        <w:rPr>
          <w:rFonts w:ascii="Times New Roman" w:hAnsi="Times New Roman"/>
        </w:rPr>
        <w:t> </w:t>
      </w:r>
      <w:r w:rsidR="005760B3" w:rsidRPr="00D900FF">
        <w:rPr>
          <w:rFonts w:ascii="Times New Roman" w:hAnsi="Times New Roman"/>
        </w:rPr>
        <w:t xml:space="preserve">entry of </w:t>
      </w:r>
      <w:r w:rsidR="00705981" w:rsidRPr="00D900FF">
        <w:rPr>
          <w:rFonts w:ascii="Times New Roman" w:hAnsi="Times New Roman"/>
        </w:rPr>
        <w:t xml:space="preserve">a nominated entity of a </w:t>
      </w:r>
      <w:r w:rsidR="00153527" w:rsidRPr="00D900FF">
        <w:rPr>
          <w:rFonts w:ascii="Times New Roman" w:hAnsi="Times New Roman"/>
        </w:rPr>
        <w:t>registered political party</w:t>
      </w:r>
      <w:r w:rsidR="00705981" w:rsidRPr="00D900FF">
        <w:rPr>
          <w:rFonts w:ascii="Times New Roman" w:hAnsi="Times New Roman"/>
        </w:rPr>
        <w:t xml:space="preserve"> on the </w:t>
      </w:r>
      <w:r w:rsidR="00487460" w:rsidRPr="00D900FF">
        <w:rPr>
          <w:rFonts w:ascii="Times New Roman" w:hAnsi="Times New Roman"/>
        </w:rPr>
        <w:t>Register of Nominated Entities ("the </w:t>
      </w:r>
      <w:r w:rsidR="00D6472A" w:rsidRPr="00D900FF">
        <w:rPr>
          <w:rFonts w:ascii="Times New Roman" w:hAnsi="Times New Roman"/>
        </w:rPr>
        <w:t>R</w:t>
      </w:r>
      <w:r w:rsidR="00487460" w:rsidRPr="00D900FF">
        <w:rPr>
          <w:rFonts w:ascii="Times New Roman" w:hAnsi="Times New Roman"/>
        </w:rPr>
        <w:t xml:space="preserve">egister") </w:t>
      </w:r>
      <w:r w:rsidR="00B630CE" w:rsidRPr="00D900FF">
        <w:rPr>
          <w:rFonts w:ascii="Times New Roman" w:hAnsi="Times New Roman"/>
        </w:rPr>
        <w:t xml:space="preserve">is addressed in </w:t>
      </w:r>
      <w:proofErr w:type="spellStart"/>
      <w:r w:rsidR="00B630CE" w:rsidRPr="00D900FF">
        <w:rPr>
          <w:rFonts w:ascii="Times New Roman" w:hAnsi="Times New Roman"/>
        </w:rPr>
        <w:t>Subdiv</w:t>
      </w:r>
      <w:proofErr w:type="spellEnd"/>
      <w:r w:rsidR="00B630CE" w:rsidRPr="00D900FF">
        <w:rPr>
          <w:rFonts w:ascii="Times New Roman" w:hAnsi="Times New Roman"/>
        </w:rPr>
        <w:t xml:space="preserve"> 2 of Div 4A of Pt 12</w:t>
      </w:r>
      <w:r w:rsidR="00ED511B" w:rsidRPr="00D900FF">
        <w:rPr>
          <w:rFonts w:ascii="Times New Roman" w:hAnsi="Times New Roman"/>
        </w:rPr>
        <w:t xml:space="preserve">. </w:t>
      </w:r>
      <w:r w:rsidR="00F72769" w:rsidRPr="00D900FF">
        <w:rPr>
          <w:rFonts w:ascii="Times New Roman" w:hAnsi="Times New Roman"/>
        </w:rPr>
        <w:lastRenderedPageBreak/>
        <w:t>Section 222F</w:t>
      </w:r>
      <w:r w:rsidR="00C00880" w:rsidRPr="00D900FF">
        <w:rPr>
          <w:rFonts w:ascii="Times New Roman" w:hAnsi="Times New Roman"/>
        </w:rPr>
        <w:t>(1)</w:t>
      </w:r>
      <w:r w:rsidR="00F72769" w:rsidRPr="00D900FF">
        <w:rPr>
          <w:rFonts w:ascii="Times New Roman" w:hAnsi="Times New Roman"/>
        </w:rPr>
        <w:t xml:space="preserve"> permits a </w:t>
      </w:r>
      <w:r w:rsidR="00153527" w:rsidRPr="00D900FF">
        <w:rPr>
          <w:rFonts w:ascii="Times New Roman" w:hAnsi="Times New Roman"/>
        </w:rPr>
        <w:t>registered political party</w:t>
      </w:r>
      <w:r w:rsidR="00F72769" w:rsidRPr="00D900FF">
        <w:rPr>
          <w:rFonts w:ascii="Times New Roman" w:hAnsi="Times New Roman"/>
        </w:rPr>
        <w:t xml:space="preserve"> to appoint an entity as its nominated entity</w:t>
      </w:r>
      <w:r w:rsidR="00AD765E" w:rsidRPr="00D900FF">
        <w:rPr>
          <w:rFonts w:ascii="Times New Roman" w:hAnsi="Times New Roman"/>
        </w:rPr>
        <w:t xml:space="preserve">. </w:t>
      </w:r>
      <w:r w:rsidR="008A3D21" w:rsidRPr="00D900FF">
        <w:rPr>
          <w:rFonts w:ascii="Times New Roman" w:hAnsi="Times New Roman"/>
        </w:rPr>
        <w:t xml:space="preserve">An independent candidate cannot appoint a nominated entity. </w:t>
      </w:r>
      <w:r w:rsidR="00825887" w:rsidRPr="00D900FF">
        <w:rPr>
          <w:rFonts w:ascii="Times New Roman" w:hAnsi="Times New Roman"/>
        </w:rPr>
        <w:t xml:space="preserve">Each </w:t>
      </w:r>
      <w:r w:rsidR="00153527" w:rsidRPr="00D900FF">
        <w:rPr>
          <w:rFonts w:ascii="Times New Roman" w:hAnsi="Times New Roman"/>
        </w:rPr>
        <w:t>registered political party</w:t>
      </w:r>
      <w:r w:rsidR="00825887" w:rsidRPr="00D900FF">
        <w:rPr>
          <w:rFonts w:ascii="Times New Roman" w:hAnsi="Times New Roman"/>
        </w:rPr>
        <w:t xml:space="preserve"> may only </w:t>
      </w:r>
      <w:r w:rsidR="00F43C0B" w:rsidRPr="00D900FF">
        <w:rPr>
          <w:rFonts w:ascii="Times New Roman" w:hAnsi="Times New Roman"/>
        </w:rPr>
        <w:t xml:space="preserve">have </w:t>
      </w:r>
      <w:r w:rsidR="00825887" w:rsidRPr="00D900FF">
        <w:rPr>
          <w:rFonts w:ascii="Times New Roman" w:hAnsi="Times New Roman"/>
        </w:rPr>
        <w:t>one nominated entity</w:t>
      </w:r>
      <w:r w:rsidR="00F84E28" w:rsidRPr="00D900FF">
        <w:rPr>
          <w:rFonts w:ascii="Times New Roman" w:hAnsi="Times New Roman"/>
        </w:rPr>
        <w:t xml:space="preserve"> </w:t>
      </w:r>
      <w:r w:rsidR="00732F79" w:rsidRPr="00D900FF">
        <w:rPr>
          <w:rFonts w:ascii="Times New Roman" w:hAnsi="Times New Roman"/>
        </w:rPr>
        <w:t xml:space="preserve">appointed </w:t>
      </w:r>
      <w:r w:rsidR="00F84E28" w:rsidRPr="00D900FF">
        <w:rPr>
          <w:rFonts w:ascii="Times New Roman" w:hAnsi="Times New Roman"/>
        </w:rPr>
        <w:t>at a</w:t>
      </w:r>
      <w:r w:rsidR="00732F79" w:rsidRPr="00D900FF">
        <w:rPr>
          <w:rFonts w:ascii="Times New Roman" w:hAnsi="Times New Roman"/>
        </w:rPr>
        <w:t>ny</w:t>
      </w:r>
      <w:r w:rsidR="00F84E28" w:rsidRPr="00D900FF">
        <w:rPr>
          <w:rFonts w:ascii="Times New Roman" w:hAnsi="Times New Roman"/>
        </w:rPr>
        <w:t xml:space="preserve"> time</w:t>
      </w:r>
      <w:r w:rsidR="00825887" w:rsidRPr="00D900FF">
        <w:rPr>
          <w:rFonts w:ascii="Times New Roman" w:hAnsi="Times New Roman"/>
        </w:rPr>
        <w:t xml:space="preserve">, and nominated entities </w:t>
      </w:r>
      <w:r w:rsidR="0039350E" w:rsidRPr="00D900FF">
        <w:rPr>
          <w:rFonts w:ascii="Times New Roman" w:hAnsi="Times New Roman"/>
        </w:rPr>
        <w:t>may not</w:t>
      </w:r>
      <w:r w:rsidR="00825887" w:rsidRPr="00D900FF">
        <w:rPr>
          <w:rFonts w:ascii="Times New Roman" w:hAnsi="Times New Roman"/>
        </w:rPr>
        <w:t xml:space="preserve"> be shared between political parties.</w:t>
      </w:r>
      <w:r w:rsidR="006F28B6" w:rsidRPr="00D900FF">
        <w:rPr>
          <w:rStyle w:val="FootnoteReference"/>
          <w:rFonts w:ascii="Times New Roman" w:hAnsi="Times New Roman"/>
          <w:sz w:val="24"/>
        </w:rPr>
        <w:footnoteReference w:id="43"/>
      </w:r>
      <w:r w:rsidR="00825887" w:rsidRPr="00D900FF">
        <w:rPr>
          <w:rFonts w:ascii="Times New Roman" w:hAnsi="Times New Roman"/>
        </w:rPr>
        <w:t xml:space="preserve"> </w:t>
      </w:r>
      <w:r w:rsidR="00AB6D4E" w:rsidRPr="00D900FF">
        <w:rPr>
          <w:rFonts w:ascii="Times New Roman" w:hAnsi="Times New Roman"/>
        </w:rPr>
        <w:t>An</w:t>
      </w:r>
      <w:r w:rsidR="001B1A18">
        <w:rPr>
          <w:rFonts w:ascii="Times New Roman" w:hAnsi="Times New Roman"/>
        </w:rPr>
        <w:t> </w:t>
      </w:r>
      <w:r w:rsidR="00AB6D4E" w:rsidRPr="00D900FF">
        <w:rPr>
          <w:rFonts w:ascii="Times New Roman" w:hAnsi="Times New Roman"/>
        </w:rPr>
        <w:t xml:space="preserve">entity </w:t>
      </w:r>
      <w:r w:rsidR="00D3452A" w:rsidRPr="00D900FF">
        <w:rPr>
          <w:rFonts w:ascii="Times New Roman" w:hAnsi="Times New Roman"/>
        </w:rPr>
        <w:t>may not</w:t>
      </w:r>
      <w:r w:rsidR="00AB6D4E" w:rsidRPr="00D900FF">
        <w:rPr>
          <w:rFonts w:ascii="Times New Roman" w:hAnsi="Times New Roman"/>
        </w:rPr>
        <w:t xml:space="preserve"> be appointed as the nominated entity of a registered political party if the entity, or one of its officers, </w:t>
      </w:r>
      <w:r w:rsidR="005F70AF" w:rsidRPr="00D900FF">
        <w:rPr>
          <w:rFonts w:ascii="Times New Roman" w:hAnsi="Times New Roman"/>
        </w:rPr>
        <w:t>has been convicted of an offence under Pt</w:t>
      </w:r>
      <w:r w:rsidR="001B1A18">
        <w:rPr>
          <w:rFonts w:ascii="Times New Roman" w:hAnsi="Times New Roman"/>
        </w:rPr>
        <w:t> </w:t>
      </w:r>
      <w:r w:rsidR="005F70AF" w:rsidRPr="00D900FF">
        <w:rPr>
          <w:rFonts w:ascii="Times New Roman" w:hAnsi="Times New Roman"/>
        </w:rPr>
        <w:t>12.</w:t>
      </w:r>
      <w:r w:rsidR="005F70AF" w:rsidRPr="00D900FF">
        <w:rPr>
          <w:rStyle w:val="FootnoteReference"/>
          <w:rFonts w:ascii="Times New Roman" w:hAnsi="Times New Roman"/>
          <w:sz w:val="24"/>
        </w:rPr>
        <w:footnoteReference w:id="44"/>
      </w:r>
      <w:r w:rsidR="005F70AF" w:rsidRPr="00D900FF">
        <w:rPr>
          <w:rFonts w:ascii="Times New Roman" w:hAnsi="Times New Roman"/>
        </w:rPr>
        <w:t xml:space="preserve"> </w:t>
      </w:r>
    </w:p>
    <w:p w14:paraId="21F2A773" w14:textId="61B2397C" w:rsidR="00675584" w:rsidRPr="00D900FF" w:rsidRDefault="00413379"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0D38FD" w:rsidRPr="00D900FF">
        <w:rPr>
          <w:rFonts w:ascii="Times New Roman" w:hAnsi="Times New Roman"/>
        </w:rPr>
        <w:t>As stated earlier, t</w:t>
      </w:r>
      <w:r w:rsidR="0011131A" w:rsidRPr="00D900FF">
        <w:rPr>
          <w:rFonts w:ascii="Times New Roman" w:hAnsi="Times New Roman"/>
        </w:rPr>
        <w:t>here are two alternative</w:t>
      </w:r>
      <w:r w:rsidR="00147071" w:rsidRPr="00D900FF">
        <w:rPr>
          <w:rFonts w:ascii="Times New Roman" w:hAnsi="Times New Roman"/>
        </w:rPr>
        <w:t xml:space="preserve"> sets of</w:t>
      </w:r>
      <w:r w:rsidR="0011131A" w:rsidRPr="00D900FF">
        <w:rPr>
          <w:rFonts w:ascii="Times New Roman" w:hAnsi="Times New Roman"/>
        </w:rPr>
        <w:t xml:space="preserve"> </w:t>
      </w:r>
      <w:r w:rsidR="00F72769" w:rsidRPr="00D900FF">
        <w:rPr>
          <w:rFonts w:ascii="Times New Roman" w:hAnsi="Times New Roman"/>
        </w:rPr>
        <w:t>eligibility criteria</w:t>
      </w:r>
      <w:r w:rsidR="0011131A" w:rsidRPr="00D900FF">
        <w:rPr>
          <w:rFonts w:ascii="Times New Roman" w:hAnsi="Times New Roman"/>
        </w:rPr>
        <w:t xml:space="preserve"> for the</w:t>
      </w:r>
      <w:r w:rsidR="001B1A18">
        <w:rPr>
          <w:rFonts w:ascii="Times New Roman" w:hAnsi="Times New Roman"/>
        </w:rPr>
        <w:t> </w:t>
      </w:r>
      <w:r w:rsidR="0011131A" w:rsidRPr="00D900FF">
        <w:rPr>
          <w:rFonts w:ascii="Times New Roman" w:hAnsi="Times New Roman"/>
        </w:rPr>
        <w:t>appointment of a nominated entity</w:t>
      </w:r>
      <w:r w:rsidR="00AC44E8" w:rsidRPr="00D900FF">
        <w:rPr>
          <w:rFonts w:ascii="Times New Roman" w:hAnsi="Times New Roman"/>
        </w:rPr>
        <w:t xml:space="preserve"> of a </w:t>
      </w:r>
      <w:r w:rsidR="00153527" w:rsidRPr="00D900FF">
        <w:rPr>
          <w:rFonts w:ascii="Times New Roman" w:hAnsi="Times New Roman"/>
        </w:rPr>
        <w:t>registered political party</w:t>
      </w:r>
      <w:r w:rsidR="00876DC5" w:rsidRPr="00D900FF">
        <w:rPr>
          <w:rFonts w:ascii="Times New Roman" w:hAnsi="Times New Roman"/>
        </w:rPr>
        <w:t>.</w:t>
      </w:r>
      <w:r w:rsidR="00427924" w:rsidRPr="00D900FF">
        <w:rPr>
          <w:rFonts w:ascii="Times New Roman" w:hAnsi="Times New Roman"/>
        </w:rPr>
        <w:t xml:space="preserve"> The first set of eligibility criteria is in s 222F(2), which is expressed to operate "[s]</w:t>
      </w:r>
      <w:proofErr w:type="spellStart"/>
      <w:r w:rsidR="00427924" w:rsidRPr="00D900FF">
        <w:rPr>
          <w:rFonts w:ascii="Times New Roman" w:hAnsi="Times New Roman"/>
        </w:rPr>
        <w:t>ubject</w:t>
      </w:r>
      <w:proofErr w:type="spellEnd"/>
      <w:r w:rsidR="00427924" w:rsidRPr="00D900FF">
        <w:rPr>
          <w:rFonts w:ascii="Times New Roman" w:hAnsi="Times New Roman"/>
        </w:rPr>
        <w:t xml:space="preserve"> to subsection (3)".</w:t>
      </w:r>
      <w:r w:rsidR="00876DC5" w:rsidRPr="00D900FF">
        <w:rPr>
          <w:rFonts w:ascii="Times New Roman" w:hAnsi="Times New Roman"/>
        </w:rPr>
        <w:t xml:space="preserve"> </w:t>
      </w:r>
      <w:r w:rsidR="007259B1" w:rsidRPr="00D900FF">
        <w:rPr>
          <w:rFonts w:ascii="Times New Roman" w:hAnsi="Times New Roman"/>
        </w:rPr>
        <w:t>Under s</w:t>
      </w:r>
      <w:r w:rsidR="00487460" w:rsidRPr="00D900FF">
        <w:rPr>
          <w:rFonts w:ascii="Times New Roman" w:hAnsi="Times New Roman"/>
        </w:rPr>
        <w:t> </w:t>
      </w:r>
      <w:r w:rsidR="007259B1" w:rsidRPr="00D900FF">
        <w:rPr>
          <w:rFonts w:ascii="Times New Roman" w:hAnsi="Times New Roman"/>
        </w:rPr>
        <w:t>222F(2), an entity is eligible for appointment if it is an</w:t>
      </w:r>
      <w:r w:rsidR="001B1A18">
        <w:rPr>
          <w:rFonts w:ascii="Times New Roman" w:hAnsi="Times New Roman"/>
        </w:rPr>
        <w:t> </w:t>
      </w:r>
      <w:r w:rsidR="007259B1" w:rsidRPr="00D900FF">
        <w:rPr>
          <w:rFonts w:ascii="Times New Roman" w:hAnsi="Times New Roman"/>
        </w:rPr>
        <w:t>incorporated body that: (a) is controlled, within the meaning of s</w:t>
      </w:r>
      <w:r w:rsidR="008A54C7" w:rsidRPr="00D900FF">
        <w:rPr>
          <w:rFonts w:ascii="Times New Roman" w:hAnsi="Times New Roman"/>
        </w:rPr>
        <w:t> </w:t>
      </w:r>
      <w:r w:rsidR="007259B1" w:rsidRPr="00D900FF">
        <w:rPr>
          <w:rFonts w:ascii="Times New Roman" w:hAnsi="Times New Roman"/>
        </w:rPr>
        <w:t>50AA of the</w:t>
      </w:r>
      <w:r w:rsidR="001B1A18">
        <w:rPr>
          <w:rFonts w:ascii="Times New Roman" w:hAnsi="Times New Roman"/>
        </w:rPr>
        <w:t> </w:t>
      </w:r>
      <w:r w:rsidR="007259B1" w:rsidRPr="00D900FF">
        <w:rPr>
          <w:rFonts w:ascii="Times New Roman" w:hAnsi="Times New Roman"/>
          <w:i/>
          <w:iCs/>
        </w:rPr>
        <w:t>Corporations Act</w:t>
      </w:r>
      <w:r w:rsidR="007259B1" w:rsidRPr="00D900FF">
        <w:rPr>
          <w:rFonts w:ascii="Times New Roman" w:hAnsi="Times New Roman"/>
        </w:rPr>
        <w:t xml:space="preserve"> </w:t>
      </w:r>
      <w:r w:rsidR="007259B1" w:rsidRPr="00D900FF">
        <w:rPr>
          <w:rFonts w:ascii="Times New Roman" w:hAnsi="Times New Roman"/>
          <w:i/>
          <w:iCs/>
        </w:rPr>
        <w:t>2001</w:t>
      </w:r>
      <w:r w:rsidR="008A54C7" w:rsidRPr="00D900FF">
        <w:rPr>
          <w:rFonts w:ascii="Times New Roman" w:hAnsi="Times New Roman"/>
        </w:rPr>
        <w:t xml:space="preserve"> </w:t>
      </w:r>
      <w:r w:rsidR="007259B1" w:rsidRPr="00D900FF">
        <w:rPr>
          <w:rFonts w:ascii="Times New Roman" w:hAnsi="Times New Roman"/>
        </w:rPr>
        <w:t>(</w:t>
      </w:r>
      <w:proofErr w:type="spellStart"/>
      <w:r w:rsidR="007259B1" w:rsidRPr="00D900FF">
        <w:rPr>
          <w:rFonts w:ascii="Times New Roman" w:hAnsi="Times New Roman"/>
        </w:rPr>
        <w:t>Cth</w:t>
      </w:r>
      <w:proofErr w:type="spellEnd"/>
      <w:r w:rsidR="007259B1" w:rsidRPr="00D900FF">
        <w:rPr>
          <w:rFonts w:ascii="Times New Roman" w:hAnsi="Times New Roman"/>
        </w:rPr>
        <w:t>), by the</w:t>
      </w:r>
      <w:r w:rsidR="007C7CB0" w:rsidRPr="00D900FF">
        <w:rPr>
          <w:rFonts w:ascii="Times New Roman" w:hAnsi="Times New Roman"/>
        </w:rPr>
        <w:t xml:space="preserv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 (b)</w:t>
      </w:r>
      <w:r w:rsidR="0048012E" w:rsidRPr="00D900FF">
        <w:rPr>
          <w:rFonts w:ascii="Times New Roman" w:hAnsi="Times New Roman"/>
        </w:rPr>
        <w:t> </w:t>
      </w:r>
      <w:r w:rsidR="007259B1" w:rsidRPr="00D900FF">
        <w:rPr>
          <w:rFonts w:ascii="Times New Roman" w:hAnsi="Times New Roman"/>
        </w:rPr>
        <w:t xml:space="preserve">operates for the sole benefit of the members of the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 or</w:t>
      </w:r>
      <w:r w:rsidR="007C7CB0" w:rsidRPr="00D900FF">
        <w:rPr>
          <w:rFonts w:ascii="Times New Roman" w:hAnsi="Times New Roman"/>
        </w:rPr>
        <w:t xml:space="preserve"> </w:t>
      </w:r>
      <w:r w:rsidR="007259B1" w:rsidRPr="00D900FF">
        <w:rPr>
          <w:rFonts w:ascii="Times New Roman" w:hAnsi="Times New Roman"/>
        </w:rPr>
        <w:t>is established and maintained, or is the trustee of a trust established and</w:t>
      </w:r>
      <w:r w:rsidR="007C7CB0" w:rsidRPr="00D900FF">
        <w:rPr>
          <w:rFonts w:ascii="Times New Roman" w:hAnsi="Times New Roman"/>
        </w:rPr>
        <w:t xml:space="preserve"> </w:t>
      </w:r>
      <w:r w:rsidR="007259B1" w:rsidRPr="00D900FF">
        <w:rPr>
          <w:rFonts w:ascii="Times New Roman" w:hAnsi="Times New Roman"/>
        </w:rPr>
        <w:t xml:space="preserve">maintained, for the sole benefit of the members of the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 and (c) does not have</w:t>
      </w:r>
      <w:r w:rsidR="007C7CB0" w:rsidRPr="00D900FF">
        <w:rPr>
          <w:rFonts w:ascii="Times New Roman" w:hAnsi="Times New Roman"/>
        </w:rPr>
        <w:t xml:space="preserve"> </w:t>
      </w:r>
      <w:r w:rsidR="007259B1" w:rsidRPr="00D900FF">
        <w:rPr>
          <w:rFonts w:ascii="Times New Roman" w:hAnsi="Times New Roman"/>
        </w:rPr>
        <w:t xml:space="preserve">voting rights in the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w:t>
      </w:r>
      <w:r w:rsidR="007C7CB0" w:rsidRPr="00D900FF">
        <w:rPr>
          <w:rFonts w:ascii="Times New Roman" w:hAnsi="Times New Roman"/>
        </w:rPr>
        <w:t xml:space="preserve"> </w:t>
      </w:r>
    </w:p>
    <w:p w14:paraId="3C0A5809" w14:textId="19E9583A" w:rsidR="00F72769" w:rsidRPr="00D900FF" w:rsidRDefault="00675584"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27924" w:rsidRPr="00D900FF">
        <w:rPr>
          <w:rFonts w:ascii="Times New Roman" w:hAnsi="Times New Roman"/>
        </w:rPr>
        <w:t>The second set of eligibility criteria is in s </w:t>
      </w:r>
      <w:r w:rsidR="003520B3" w:rsidRPr="00D900FF">
        <w:rPr>
          <w:rFonts w:ascii="Times New Roman" w:hAnsi="Times New Roman"/>
        </w:rPr>
        <w:t>222F(3)</w:t>
      </w:r>
      <w:r w:rsidR="00427924" w:rsidRPr="00D900FF">
        <w:rPr>
          <w:rFonts w:ascii="Times New Roman" w:hAnsi="Times New Roman"/>
        </w:rPr>
        <w:t>, which</w:t>
      </w:r>
      <w:r w:rsidR="003520B3" w:rsidRPr="00D900FF">
        <w:rPr>
          <w:rFonts w:ascii="Times New Roman" w:hAnsi="Times New Roman"/>
        </w:rPr>
        <w:t xml:space="preserve"> is expressed to operate "[d]</w:t>
      </w:r>
      <w:proofErr w:type="spellStart"/>
      <w:r w:rsidR="003520B3" w:rsidRPr="00D900FF">
        <w:rPr>
          <w:rFonts w:ascii="Times New Roman" w:hAnsi="Times New Roman"/>
        </w:rPr>
        <w:t>espite</w:t>
      </w:r>
      <w:proofErr w:type="spellEnd"/>
      <w:r w:rsidR="003520B3" w:rsidRPr="00D900FF">
        <w:rPr>
          <w:rFonts w:ascii="Times New Roman" w:hAnsi="Times New Roman"/>
        </w:rPr>
        <w:t xml:space="preserve"> subsection</w:t>
      </w:r>
      <w:r w:rsidR="001A1C22" w:rsidRPr="00D900FF">
        <w:rPr>
          <w:rFonts w:ascii="Times New Roman" w:hAnsi="Times New Roman"/>
        </w:rPr>
        <w:t> </w:t>
      </w:r>
      <w:r w:rsidR="003520B3" w:rsidRPr="00D900FF">
        <w:rPr>
          <w:rFonts w:ascii="Times New Roman" w:hAnsi="Times New Roman"/>
        </w:rPr>
        <w:t>(2)"</w:t>
      </w:r>
      <w:r w:rsidR="00427924" w:rsidRPr="00D900FF">
        <w:rPr>
          <w:rFonts w:ascii="Times New Roman" w:hAnsi="Times New Roman"/>
        </w:rPr>
        <w:t>, and is only available "if the first appointment of an entity as the nominated entity of a registered political party is made before 1</w:t>
      </w:r>
      <w:r w:rsidR="001B1A18">
        <w:rPr>
          <w:rFonts w:ascii="Times New Roman" w:hAnsi="Times New Roman"/>
        </w:rPr>
        <w:t> </w:t>
      </w:r>
      <w:r w:rsidR="00427924" w:rsidRPr="00D900FF">
        <w:rPr>
          <w:rFonts w:ascii="Times New Roman" w:hAnsi="Times New Roman"/>
        </w:rPr>
        <w:t>July 2020" (namely, the time limitation in s 222F(3))</w:t>
      </w:r>
      <w:r w:rsidR="003520B3" w:rsidRPr="00D900FF">
        <w:rPr>
          <w:rFonts w:ascii="Times New Roman" w:hAnsi="Times New Roman"/>
        </w:rPr>
        <w:t xml:space="preserve">. </w:t>
      </w:r>
      <w:r w:rsidR="007259B1" w:rsidRPr="00D900FF">
        <w:rPr>
          <w:rFonts w:ascii="Times New Roman" w:hAnsi="Times New Roman"/>
        </w:rPr>
        <w:t>Under s</w:t>
      </w:r>
      <w:r w:rsidR="007C7CB0" w:rsidRPr="00D900FF">
        <w:rPr>
          <w:rFonts w:ascii="Times New Roman" w:hAnsi="Times New Roman"/>
        </w:rPr>
        <w:t> </w:t>
      </w:r>
      <w:r w:rsidR="007259B1" w:rsidRPr="00D900FF">
        <w:rPr>
          <w:rFonts w:ascii="Times New Roman" w:hAnsi="Times New Roman"/>
        </w:rPr>
        <w:t>222F(3)</w:t>
      </w:r>
      <w:r w:rsidR="00427924" w:rsidRPr="00D900FF">
        <w:rPr>
          <w:rFonts w:ascii="Times New Roman" w:hAnsi="Times New Roman"/>
        </w:rPr>
        <w:t>,</w:t>
      </w:r>
      <w:r w:rsidR="007259B1" w:rsidRPr="00D900FF" w:rsidDel="00427924">
        <w:rPr>
          <w:rFonts w:ascii="Times New Roman" w:hAnsi="Times New Roman"/>
        </w:rPr>
        <w:t xml:space="preserve"> </w:t>
      </w:r>
      <w:r w:rsidR="007259B1" w:rsidRPr="00D900FF">
        <w:rPr>
          <w:rFonts w:ascii="Times New Roman" w:hAnsi="Times New Roman"/>
        </w:rPr>
        <w:t>an entity is eligible if it is an</w:t>
      </w:r>
      <w:r w:rsidR="007C7CB0" w:rsidRPr="00D900FF">
        <w:rPr>
          <w:rFonts w:ascii="Times New Roman" w:hAnsi="Times New Roman"/>
        </w:rPr>
        <w:t xml:space="preserve"> </w:t>
      </w:r>
      <w:r w:rsidR="007259B1" w:rsidRPr="00D900FF">
        <w:rPr>
          <w:rFonts w:ascii="Times New Roman" w:hAnsi="Times New Roman"/>
        </w:rPr>
        <w:t>incorporated body that: (a)</w:t>
      </w:r>
      <w:r w:rsidR="005877AA" w:rsidRPr="00D900FF">
        <w:rPr>
          <w:rFonts w:ascii="Times New Roman" w:hAnsi="Times New Roman"/>
        </w:rPr>
        <w:t> </w:t>
      </w:r>
      <w:r w:rsidR="007259B1" w:rsidRPr="00D900FF">
        <w:rPr>
          <w:rFonts w:ascii="Times New Roman" w:hAnsi="Times New Roman"/>
        </w:rPr>
        <w:t>operates for the principal</w:t>
      </w:r>
      <w:r w:rsidR="00EE209B" w:rsidRPr="00D900FF">
        <w:rPr>
          <w:rFonts w:ascii="Times New Roman" w:hAnsi="Times New Roman"/>
        </w:rPr>
        <w:t>,</w:t>
      </w:r>
      <w:r w:rsidR="007259B1" w:rsidRPr="00D900FF">
        <w:rPr>
          <w:rFonts w:ascii="Times New Roman" w:hAnsi="Times New Roman"/>
        </w:rPr>
        <w:t xml:space="preserve"> </w:t>
      </w:r>
      <w:r w:rsidR="00131187" w:rsidRPr="00D900FF">
        <w:rPr>
          <w:rFonts w:ascii="Times New Roman" w:hAnsi="Times New Roman"/>
        </w:rPr>
        <w:t>rather</w:t>
      </w:r>
      <w:r w:rsidR="006A728D">
        <w:rPr>
          <w:rFonts w:ascii="Times New Roman" w:hAnsi="Times New Roman"/>
        </w:rPr>
        <w:t> </w:t>
      </w:r>
      <w:r w:rsidR="00131187" w:rsidRPr="00D900FF">
        <w:rPr>
          <w:rFonts w:ascii="Times New Roman" w:hAnsi="Times New Roman"/>
        </w:rPr>
        <w:t xml:space="preserve">than </w:t>
      </w:r>
      <w:r w:rsidR="008C62BB" w:rsidRPr="00D900FF">
        <w:rPr>
          <w:rFonts w:ascii="Times New Roman" w:hAnsi="Times New Roman"/>
        </w:rPr>
        <w:t>s</w:t>
      </w:r>
      <w:r w:rsidR="00131187" w:rsidRPr="00D900FF">
        <w:rPr>
          <w:rFonts w:ascii="Times New Roman" w:hAnsi="Times New Roman"/>
        </w:rPr>
        <w:t>ole</w:t>
      </w:r>
      <w:r w:rsidR="00EE209B" w:rsidRPr="00D900FF">
        <w:rPr>
          <w:rFonts w:ascii="Times New Roman" w:hAnsi="Times New Roman"/>
        </w:rPr>
        <w:t>,</w:t>
      </w:r>
      <w:r w:rsidR="00131187" w:rsidRPr="00D900FF">
        <w:rPr>
          <w:rFonts w:ascii="Times New Roman" w:hAnsi="Times New Roman"/>
        </w:rPr>
        <w:t xml:space="preserve"> </w:t>
      </w:r>
      <w:r w:rsidR="007259B1" w:rsidRPr="00D900FF">
        <w:rPr>
          <w:rFonts w:ascii="Times New Roman" w:hAnsi="Times New Roman"/>
        </w:rPr>
        <w:t>benefit of the members of</w:t>
      </w:r>
      <w:r w:rsidR="007C7CB0" w:rsidRPr="00D900FF">
        <w:rPr>
          <w:rFonts w:ascii="Times New Roman" w:hAnsi="Times New Roman"/>
        </w:rPr>
        <w:t xml:space="preserve"> </w:t>
      </w:r>
      <w:r w:rsidR="007259B1" w:rsidRPr="00D900FF">
        <w:rPr>
          <w:rFonts w:ascii="Times New Roman" w:hAnsi="Times New Roman"/>
        </w:rPr>
        <w:t xml:space="preserve">the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 or is established and maintained, or is the trustee of a trust established</w:t>
      </w:r>
      <w:r w:rsidR="007C7CB0" w:rsidRPr="00D900FF">
        <w:rPr>
          <w:rFonts w:ascii="Times New Roman" w:hAnsi="Times New Roman"/>
        </w:rPr>
        <w:t xml:space="preserve"> </w:t>
      </w:r>
      <w:r w:rsidR="007259B1" w:rsidRPr="00D900FF">
        <w:rPr>
          <w:rFonts w:ascii="Times New Roman" w:hAnsi="Times New Roman"/>
        </w:rPr>
        <w:t xml:space="preserve">and maintained, for the principal benefit of the members of the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 and</w:t>
      </w:r>
      <w:r w:rsidR="006A728D">
        <w:rPr>
          <w:rFonts w:ascii="Times New Roman" w:hAnsi="Times New Roman"/>
        </w:rPr>
        <w:t> </w:t>
      </w:r>
      <w:r w:rsidR="007259B1" w:rsidRPr="00D900FF">
        <w:rPr>
          <w:rFonts w:ascii="Times New Roman" w:hAnsi="Times New Roman"/>
        </w:rPr>
        <w:t>(b)</w:t>
      </w:r>
      <w:r w:rsidR="006A728D">
        <w:rPr>
          <w:rFonts w:ascii="Times New Roman" w:hAnsi="Times New Roman"/>
        </w:rPr>
        <w:t> </w:t>
      </w:r>
      <w:r w:rsidR="007259B1" w:rsidRPr="00D900FF">
        <w:rPr>
          <w:rFonts w:ascii="Times New Roman" w:hAnsi="Times New Roman"/>
        </w:rPr>
        <w:t xml:space="preserve">does not have voting rights in the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w:t>
      </w:r>
      <w:r w:rsidRPr="00D900FF">
        <w:rPr>
          <w:rFonts w:ascii="Times New Roman" w:hAnsi="Times New Roman"/>
        </w:rPr>
        <w:t xml:space="preserve"> </w:t>
      </w:r>
      <w:r w:rsidR="007259B1" w:rsidRPr="00D900FF">
        <w:rPr>
          <w:rFonts w:ascii="Times New Roman" w:hAnsi="Times New Roman"/>
        </w:rPr>
        <w:t xml:space="preserve">There is no requirement that </w:t>
      </w:r>
      <w:r w:rsidR="00A54E6E" w:rsidRPr="00D900FF">
        <w:rPr>
          <w:rFonts w:ascii="Times New Roman" w:hAnsi="Times New Roman"/>
        </w:rPr>
        <w:t>a</w:t>
      </w:r>
      <w:r w:rsidR="007259B1" w:rsidRPr="00D900FF">
        <w:rPr>
          <w:rFonts w:ascii="Times New Roman" w:hAnsi="Times New Roman"/>
        </w:rPr>
        <w:t xml:space="preserve"> nominated entity </w:t>
      </w:r>
      <w:r w:rsidR="00A54E6E" w:rsidRPr="00D900FF">
        <w:rPr>
          <w:rFonts w:ascii="Times New Roman" w:hAnsi="Times New Roman"/>
        </w:rPr>
        <w:t xml:space="preserve">appointed by a </w:t>
      </w:r>
      <w:r w:rsidR="0021774C" w:rsidRPr="00D900FF">
        <w:rPr>
          <w:rFonts w:ascii="Times New Roman" w:hAnsi="Times New Roman"/>
        </w:rPr>
        <w:t>r</w:t>
      </w:r>
      <w:r w:rsidR="00153527" w:rsidRPr="00D900FF">
        <w:rPr>
          <w:rFonts w:ascii="Times New Roman" w:hAnsi="Times New Roman"/>
        </w:rPr>
        <w:t>egistered political party</w:t>
      </w:r>
      <w:r w:rsidR="00A54E6E" w:rsidRPr="00D900FF">
        <w:rPr>
          <w:rFonts w:ascii="Times New Roman" w:hAnsi="Times New Roman"/>
        </w:rPr>
        <w:t xml:space="preserve"> before 1 July 2020 </w:t>
      </w:r>
      <w:r w:rsidR="007259B1" w:rsidRPr="00D900FF">
        <w:rPr>
          <w:rFonts w:ascii="Times New Roman" w:hAnsi="Times New Roman"/>
        </w:rPr>
        <w:t>be controlled</w:t>
      </w:r>
      <w:r w:rsidRPr="00D900FF">
        <w:rPr>
          <w:rFonts w:ascii="Times New Roman" w:hAnsi="Times New Roman"/>
        </w:rPr>
        <w:t xml:space="preserve"> </w:t>
      </w:r>
      <w:r w:rsidR="007259B1" w:rsidRPr="00D900FF">
        <w:rPr>
          <w:rFonts w:ascii="Times New Roman" w:hAnsi="Times New Roman"/>
        </w:rPr>
        <w:t xml:space="preserve">by the </w:t>
      </w:r>
      <w:r w:rsidR="0021774C" w:rsidRPr="00D900FF">
        <w:rPr>
          <w:rFonts w:ascii="Times New Roman" w:hAnsi="Times New Roman"/>
        </w:rPr>
        <w:t>r</w:t>
      </w:r>
      <w:r w:rsidR="00153527" w:rsidRPr="00D900FF">
        <w:rPr>
          <w:rFonts w:ascii="Times New Roman" w:hAnsi="Times New Roman"/>
        </w:rPr>
        <w:t>egistered political party</w:t>
      </w:r>
      <w:r w:rsidR="007259B1" w:rsidRPr="00D900FF">
        <w:rPr>
          <w:rFonts w:ascii="Times New Roman" w:hAnsi="Times New Roman"/>
        </w:rPr>
        <w:t>.</w:t>
      </w:r>
    </w:p>
    <w:p w14:paraId="0BB8372A" w14:textId="4F1CB79C" w:rsidR="00421613" w:rsidRPr="00D900FF" w:rsidRDefault="00421613" w:rsidP="00D900FF">
      <w:pPr>
        <w:pStyle w:val="FixListStyle"/>
        <w:spacing w:after="260" w:line="280" w:lineRule="exact"/>
        <w:ind w:right="0"/>
        <w:jc w:val="both"/>
        <w:rPr>
          <w:rFonts w:ascii="Times New Roman" w:hAnsi="Times New Roman"/>
        </w:rPr>
      </w:pPr>
      <w:r w:rsidRPr="00D900FF">
        <w:rPr>
          <w:rFonts w:ascii="Times New Roman" w:hAnsi="Times New Roman"/>
        </w:rPr>
        <w:tab/>
        <w:t>One further matter may be observed about the</w:t>
      </w:r>
      <w:r w:rsidR="00CF22CD" w:rsidRPr="00D900FF">
        <w:rPr>
          <w:rFonts w:ascii="Times New Roman" w:hAnsi="Times New Roman"/>
        </w:rPr>
        <w:t xml:space="preserve"> </w:t>
      </w:r>
      <w:r w:rsidRPr="00D900FF">
        <w:rPr>
          <w:rFonts w:ascii="Times New Roman" w:hAnsi="Times New Roman"/>
        </w:rPr>
        <w:t>eligibility criteria for nominated entities. An "associated entity", also regulated by Pt 12, is defined to include</w:t>
      </w:r>
      <w:r w:rsidR="007F1CD1" w:rsidRPr="00D900FF">
        <w:rPr>
          <w:rFonts w:ascii="Times New Roman" w:hAnsi="Times New Roman"/>
        </w:rPr>
        <w:t xml:space="preserve"> </w:t>
      </w:r>
      <w:r w:rsidR="00F92303" w:rsidRPr="00D900FF">
        <w:rPr>
          <w:rFonts w:ascii="Times New Roman" w:hAnsi="Times New Roman"/>
        </w:rPr>
        <w:t>"</w:t>
      </w:r>
      <w:r w:rsidRPr="00D900FF">
        <w:rPr>
          <w:rFonts w:ascii="Times New Roman" w:hAnsi="Times New Roman"/>
        </w:rPr>
        <w:t>an entity that is controlled by one or more registered political parties</w:t>
      </w:r>
      <w:r w:rsidR="00F92303" w:rsidRPr="00D900FF">
        <w:rPr>
          <w:rFonts w:ascii="Times New Roman" w:hAnsi="Times New Roman"/>
        </w:rPr>
        <w:t>" and</w:t>
      </w:r>
      <w:r w:rsidR="00A408B7">
        <w:rPr>
          <w:rFonts w:ascii="Times New Roman" w:hAnsi="Times New Roman"/>
        </w:rPr>
        <w:t> </w:t>
      </w:r>
      <w:r w:rsidR="00F92303" w:rsidRPr="00D900FF">
        <w:rPr>
          <w:rFonts w:ascii="Times New Roman" w:hAnsi="Times New Roman"/>
        </w:rPr>
        <w:t>"</w:t>
      </w:r>
      <w:r w:rsidR="007F1CD1" w:rsidRPr="00D900FF">
        <w:rPr>
          <w:rFonts w:ascii="Times New Roman" w:hAnsi="Times New Roman"/>
        </w:rPr>
        <w:t>an entity that operates wholly, or to a significant extent, for the benefit of one or more registered political parties"</w:t>
      </w:r>
      <w:r w:rsidR="00F92303" w:rsidRPr="00D900FF">
        <w:rPr>
          <w:rFonts w:ascii="Times New Roman" w:hAnsi="Times New Roman"/>
        </w:rPr>
        <w:t xml:space="preserve">, but </w:t>
      </w:r>
      <w:r w:rsidR="008B0C45" w:rsidRPr="00D900FF">
        <w:rPr>
          <w:rFonts w:ascii="Times New Roman" w:hAnsi="Times New Roman"/>
        </w:rPr>
        <w:t xml:space="preserve">does </w:t>
      </w:r>
      <w:r w:rsidR="00F92303" w:rsidRPr="00D900FF">
        <w:rPr>
          <w:rFonts w:ascii="Times New Roman" w:hAnsi="Times New Roman"/>
        </w:rPr>
        <w:t xml:space="preserve">not include "a nominated entity of </w:t>
      </w:r>
      <w:r w:rsidR="00F92303" w:rsidRPr="00D900FF">
        <w:rPr>
          <w:rFonts w:ascii="Times New Roman" w:hAnsi="Times New Roman"/>
        </w:rPr>
        <w:lastRenderedPageBreak/>
        <w:t>a</w:t>
      </w:r>
      <w:r w:rsidR="006A728D">
        <w:rPr>
          <w:rFonts w:ascii="Times New Roman" w:hAnsi="Times New Roman"/>
        </w:rPr>
        <w:t> </w:t>
      </w:r>
      <w:r w:rsidR="00F92303" w:rsidRPr="00D900FF">
        <w:rPr>
          <w:rFonts w:ascii="Times New Roman" w:hAnsi="Times New Roman"/>
        </w:rPr>
        <w:t>registered political party".</w:t>
      </w:r>
      <w:r w:rsidR="00CB27D4" w:rsidRPr="00D900FF">
        <w:rPr>
          <w:rStyle w:val="FootnoteReference"/>
          <w:rFonts w:ascii="Times New Roman" w:hAnsi="Times New Roman"/>
          <w:sz w:val="24"/>
        </w:rPr>
        <w:footnoteReference w:id="45"/>
      </w:r>
      <w:r w:rsidR="00F92303" w:rsidRPr="00D900FF">
        <w:rPr>
          <w:rFonts w:ascii="Times New Roman" w:hAnsi="Times New Roman"/>
        </w:rPr>
        <w:t xml:space="preserve"> It may be observed that, without that express exclusion, the definition of "associated entity" would </w:t>
      </w:r>
      <w:r w:rsidR="00B9446D" w:rsidRPr="00D900FF">
        <w:rPr>
          <w:rFonts w:ascii="Times New Roman" w:hAnsi="Times New Roman"/>
        </w:rPr>
        <w:t xml:space="preserve">likely </w:t>
      </w:r>
      <w:r w:rsidR="002561F9" w:rsidRPr="00D900FF">
        <w:rPr>
          <w:rFonts w:ascii="Times New Roman" w:hAnsi="Times New Roman"/>
        </w:rPr>
        <w:t xml:space="preserve">otherwise in its terms apply to a "nominated entity". </w:t>
      </w:r>
      <w:r w:rsidR="00180B7F" w:rsidRPr="00D900FF">
        <w:rPr>
          <w:rFonts w:ascii="Times New Roman" w:hAnsi="Times New Roman"/>
        </w:rPr>
        <w:t xml:space="preserve">Part 12 also defines </w:t>
      </w:r>
      <w:r w:rsidR="00226A6A" w:rsidRPr="00D900FF">
        <w:rPr>
          <w:rFonts w:ascii="Times New Roman" w:hAnsi="Times New Roman"/>
        </w:rPr>
        <w:t>a "third party campaigner" as</w:t>
      </w:r>
      <w:r w:rsidR="000C1D1A">
        <w:rPr>
          <w:rFonts w:ascii="Times New Roman" w:hAnsi="Times New Roman"/>
        </w:rPr>
        <w:t xml:space="preserve"> </w:t>
      </w:r>
      <w:r w:rsidR="00226A6A" w:rsidRPr="00D900FF">
        <w:rPr>
          <w:rFonts w:ascii="Times New Roman" w:hAnsi="Times New Roman"/>
        </w:rPr>
        <w:t xml:space="preserve">any "other" entity that receives political donations or incurs political expenditure in excess of $4,000 </w:t>
      </w:r>
      <w:r w:rsidR="00FC52E2" w:rsidRPr="00D900FF">
        <w:rPr>
          <w:rFonts w:ascii="Times New Roman" w:hAnsi="Times New Roman"/>
        </w:rPr>
        <w:t xml:space="preserve">(indexed) </w:t>
      </w:r>
      <w:r w:rsidR="00226A6A" w:rsidRPr="00D900FF">
        <w:rPr>
          <w:rFonts w:ascii="Times New Roman" w:hAnsi="Times New Roman"/>
        </w:rPr>
        <w:t>in a financial year.</w:t>
      </w:r>
      <w:r w:rsidR="00F92303" w:rsidRPr="00D900FF">
        <w:rPr>
          <w:rFonts w:ascii="Times New Roman" w:hAnsi="Times New Roman"/>
        </w:rPr>
        <w:t xml:space="preserve"> </w:t>
      </w:r>
      <w:r w:rsidR="00CF2344" w:rsidRPr="00D900FF">
        <w:rPr>
          <w:rFonts w:ascii="Times New Roman" w:hAnsi="Times New Roman"/>
        </w:rPr>
        <w:t>Consequently</w:t>
      </w:r>
      <w:r w:rsidR="00C26ECA" w:rsidRPr="00D900FF">
        <w:rPr>
          <w:rFonts w:ascii="Times New Roman" w:hAnsi="Times New Roman"/>
        </w:rPr>
        <w:t xml:space="preserve">, an entity eligible </w:t>
      </w:r>
      <w:r w:rsidR="007C47AD" w:rsidRPr="00D900FF">
        <w:rPr>
          <w:rFonts w:ascii="Times New Roman" w:hAnsi="Times New Roman"/>
        </w:rPr>
        <w:t>for appointment as</w:t>
      </w:r>
      <w:r w:rsidR="00C26ECA" w:rsidRPr="00D900FF">
        <w:rPr>
          <w:rFonts w:ascii="Times New Roman" w:hAnsi="Times New Roman"/>
        </w:rPr>
        <w:t xml:space="preserve"> a nominated entity is regulated</w:t>
      </w:r>
      <w:r w:rsidR="002B187C" w:rsidRPr="00D900FF">
        <w:rPr>
          <w:rFonts w:ascii="Times New Roman" w:hAnsi="Times New Roman"/>
        </w:rPr>
        <w:t xml:space="preserve"> </w:t>
      </w:r>
      <w:r w:rsidR="00C26ECA" w:rsidRPr="00D900FF">
        <w:rPr>
          <w:rFonts w:ascii="Times New Roman" w:hAnsi="Times New Roman"/>
        </w:rPr>
        <w:t>as an associated entity</w:t>
      </w:r>
      <w:r w:rsidR="0068629C" w:rsidRPr="00D900FF">
        <w:rPr>
          <w:rFonts w:ascii="Times New Roman" w:hAnsi="Times New Roman"/>
        </w:rPr>
        <w:t xml:space="preserve"> (or,</w:t>
      </w:r>
      <w:r w:rsidR="006464E7">
        <w:rPr>
          <w:rFonts w:ascii="Times New Roman" w:hAnsi="Times New Roman"/>
        </w:rPr>
        <w:t> </w:t>
      </w:r>
      <w:r w:rsidR="0068629C" w:rsidRPr="00D900FF">
        <w:rPr>
          <w:rFonts w:ascii="Times New Roman" w:hAnsi="Times New Roman"/>
        </w:rPr>
        <w:t xml:space="preserve">failing that, </w:t>
      </w:r>
      <w:r w:rsidR="00EA355F" w:rsidRPr="00D900FF">
        <w:rPr>
          <w:rFonts w:ascii="Times New Roman" w:hAnsi="Times New Roman"/>
        </w:rPr>
        <w:t>possibly</w:t>
      </w:r>
      <w:r w:rsidR="0068629C" w:rsidRPr="00D900FF">
        <w:rPr>
          <w:rFonts w:ascii="Times New Roman" w:hAnsi="Times New Roman"/>
        </w:rPr>
        <w:t xml:space="preserve"> a third party campaigner)</w:t>
      </w:r>
      <w:r w:rsidR="008406B8" w:rsidRPr="00D900FF">
        <w:rPr>
          <w:rFonts w:ascii="Times New Roman" w:hAnsi="Times New Roman"/>
        </w:rPr>
        <w:t xml:space="preserve"> unless it is appointed a</w:t>
      </w:r>
      <w:r w:rsidR="006464E7">
        <w:rPr>
          <w:rFonts w:ascii="Times New Roman" w:hAnsi="Times New Roman"/>
        </w:rPr>
        <w:t> </w:t>
      </w:r>
      <w:r w:rsidR="008406B8" w:rsidRPr="00D900FF">
        <w:rPr>
          <w:rFonts w:ascii="Times New Roman" w:hAnsi="Times New Roman"/>
        </w:rPr>
        <w:t>nominated entity</w:t>
      </w:r>
      <w:r w:rsidR="00C26ECA" w:rsidRPr="00D900FF">
        <w:rPr>
          <w:rFonts w:ascii="Times New Roman" w:hAnsi="Times New Roman"/>
        </w:rPr>
        <w:t xml:space="preserve">. </w:t>
      </w:r>
    </w:p>
    <w:p w14:paraId="5D0BDA9C" w14:textId="364D18AA" w:rsidR="00270E0B" w:rsidRPr="00D900FF" w:rsidRDefault="00270E0B" w:rsidP="00D900FF">
      <w:pPr>
        <w:pStyle w:val="FixListStyle"/>
        <w:spacing w:after="260" w:line="280" w:lineRule="exact"/>
        <w:ind w:right="0"/>
        <w:jc w:val="both"/>
        <w:rPr>
          <w:rFonts w:ascii="Times New Roman" w:hAnsi="Times New Roman"/>
        </w:rPr>
      </w:pPr>
      <w:r w:rsidRPr="00D900FF" w:rsidDel="005779E8">
        <w:rPr>
          <w:rFonts w:ascii="Times New Roman" w:hAnsi="Times New Roman"/>
        </w:rPr>
        <w:tab/>
      </w:r>
      <w:r w:rsidR="000C609C" w:rsidRPr="00D900FF">
        <w:rPr>
          <w:rFonts w:ascii="Times New Roman" w:hAnsi="Times New Roman"/>
        </w:rPr>
        <w:t>Since a</w:t>
      </w:r>
      <w:r w:rsidR="000903E3" w:rsidRPr="00D900FF">
        <w:rPr>
          <w:rFonts w:ascii="Times New Roman" w:hAnsi="Times New Roman"/>
        </w:rPr>
        <w:t>mounts received by a registered political party from its nominated entity are not</w:t>
      </w:r>
      <w:r w:rsidR="000C609C" w:rsidRPr="00D900FF">
        <w:rPr>
          <w:rFonts w:ascii="Times New Roman" w:hAnsi="Times New Roman"/>
        </w:rPr>
        <w:t xml:space="preserve"> "political donations", they are not</w:t>
      </w:r>
      <w:r w:rsidR="000903E3" w:rsidRPr="00D900FF">
        <w:rPr>
          <w:rFonts w:ascii="Times New Roman" w:hAnsi="Times New Roman"/>
        </w:rPr>
        <w:t xml:space="preserve"> captured by the general cap </w:t>
      </w:r>
      <w:r w:rsidR="000C609C" w:rsidRPr="00D900FF">
        <w:rPr>
          <w:rFonts w:ascii="Times New Roman" w:hAnsi="Times New Roman"/>
        </w:rPr>
        <w:t>and</w:t>
      </w:r>
      <w:r w:rsidR="000903E3" w:rsidRPr="00D900FF">
        <w:rPr>
          <w:rFonts w:ascii="Times New Roman" w:hAnsi="Times New Roman"/>
        </w:rPr>
        <w:t xml:space="preserve"> the real-time disclosure regime</w:t>
      </w:r>
      <w:r w:rsidR="00A653A7" w:rsidRPr="00D900FF">
        <w:rPr>
          <w:rFonts w:ascii="Times New Roman" w:hAnsi="Times New Roman"/>
        </w:rPr>
        <w:t>,</w:t>
      </w:r>
      <w:r w:rsidR="000903E3" w:rsidRPr="00D900FF">
        <w:rPr>
          <w:rFonts w:ascii="Times New Roman" w:hAnsi="Times New Roman"/>
        </w:rPr>
        <w:t xml:space="preserve"> </w:t>
      </w:r>
      <w:r w:rsidR="000C609C" w:rsidRPr="00D900FF">
        <w:rPr>
          <w:rFonts w:ascii="Times New Roman" w:hAnsi="Times New Roman"/>
        </w:rPr>
        <w:t xml:space="preserve">and are not required to be paid into the </w:t>
      </w:r>
      <w:r w:rsidR="00D020F7" w:rsidRPr="00D900FF">
        <w:rPr>
          <w:rFonts w:ascii="Times New Roman" w:hAnsi="Times New Roman"/>
        </w:rPr>
        <w:t>party's State campaign account. However</w:t>
      </w:r>
      <w:r w:rsidRPr="00D900FF">
        <w:rPr>
          <w:rFonts w:ascii="Times New Roman" w:hAnsi="Times New Roman"/>
        </w:rPr>
        <w:t xml:space="preserve">, there is </w:t>
      </w:r>
      <w:r w:rsidR="00D020F7" w:rsidRPr="00D900FF">
        <w:rPr>
          <w:rFonts w:ascii="Times New Roman" w:hAnsi="Times New Roman"/>
        </w:rPr>
        <w:t xml:space="preserve">also </w:t>
      </w:r>
      <w:r w:rsidRPr="00D900FF">
        <w:rPr>
          <w:rFonts w:ascii="Times New Roman" w:hAnsi="Times New Roman"/>
        </w:rPr>
        <w:t xml:space="preserve">no prohibition on </w:t>
      </w:r>
      <w:r w:rsidR="00622689" w:rsidRPr="00D900FF">
        <w:rPr>
          <w:rFonts w:ascii="Times New Roman" w:hAnsi="Times New Roman"/>
        </w:rPr>
        <w:t xml:space="preserve">the party paying those amounts into its </w:t>
      </w:r>
      <w:r w:rsidRPr="00D900FF">
        <w:rPr>
          <w:rFonts w:ascii="Times New Roman" w:hAnsi="Times New Roman"/>
        </w:rPr>
        <w:t xml:space="preserve">State campaign account. </w:t>
      </w:r>
    </w:p>
    <w:p w14:paraId="274FEDE4" w14:textId="32C12B05" w:rsidR="004F769F" w:rsidRPr="00D900FF" w:rsidRDefault="004400E3"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CE4DAC" w:rsidRPr="00D900FF">
        <w:rPr>
          <w:rFonts w:ascii="Times New Roman" w:hAnsi="Times New Roman"/>
        </w:rPr>
        <w:t>There are anti-avoidance provisions</w:t>
      </w:r>
      <w:r w:rsidR="009120D9" w:rsidRPr="00D900FF">
        <w:rPr>
          <w:rFonts w:ascii="Times New Roman" w:hAnsi="Times New Roman"/>
        </w:rPr>
        <w:t xml:space="preserve"> </w:t>
      </w:r>
      <w:r w:rsidR="00D47BCF" w:rsidRPr="00D900FF">
        <w:rPr>
          <w:rFonts w:ascii="Times New Roman" w:hAnsi="Times New Roman"/>
        </w:rPr>
        <w:t xml:space="preserve">in Pt 12 which apply </w:t>
      </w:r>
      <w:r w:rsidR="009120D9" w:rsidRPr="00D900FF">
        <w:rPr>
          <w:rFonts w:ascii="Times New Roman" w:hAnsi="Times New Roman"/>
        </w:rPr>
        <w:t>to nominated entities</w:t>
      </w:r>
      <w:r w:rsidR="00CE4DAC" w:rsidRPr="00D900FF">
        <w:rPr>
          <w:rFonts w:ascii="Times New Roman" w:hAnsi="Times New Roman"/>
        </w:rPr>
        <w:t xml:space="preserve">. </w:t>
      </w:r>
      <w:r w:rsidR="004F769F" w:rsidRPr="00D900FF">
        <w:rPr>
          <w:rFonts w:ascii="Times New Roman" w:hAnsi="Times New Roman"/>
        </w:rPr>
        <w:t xml:space="preserve">Section 218B(1) provides that it is an offence to </w:t>
      </w:r>
      <w:r w:rsidR="004B308B" w:rsidRPr="00D900FF">
        <w:rPr>
          <w:rFonts w:ascii="Times New Roman" w:hAnsi="Times New Roman"/>
        </w:rPr>
        <w:t>"</w:t>
      </w:r>
      <w:r w:rsidR="004F769F" w:rsidRPr="00D900FF">
        <w:rPr>
          <w:rFonts w:ascii="Times New Roman" w:hAnsi="Times New Roman"/>
        </w:rPr>
        <w:t>enter into, or carry out, a scheme, whether alone or with any other person, with the intention of circumventing a prohibition or requirement</w:t>
      </w:r>
      <w:r w:rsidR="004B308B" w:rsidRPr="00D900FF">
        <w:rPr>
          <w:rFonts w:ascii="Times New Roman" w:hAnsi="Times New Roman"/>
        </w:rPr>
        <w:t>"</w:t>
      </w:r>
      <w:r w:rsidR="004F769F" w:rsidRPr="00D900FF">
        <w:rPr>
          <w:rFonts w:ascii="Times New Roman" w:hAnsi="Times New Roman"/>
        </w:rPr>
        <w:t xml:space="preserve"> under Pt 12. This is given specific application in relation to </w:t>
      </w:r>
      <w:r w:rsidR="00787D2F" w:rsidRPr="00D900FF">
        <w:rPr>
          <w:rFonts w:ascii="Times New Roman" w:hAnsi="Times New Roman"/>
        </w:rPr>
        <w:t xml:space="preserve">appointing </w:t>
      </w:r>
      <w:r w:rsidR="004F769F" w:rsidRPr="00D900FF">
        <w:rPr>
          <w:rFonts w:ascii="Times New Roman" w:hAnsi="Times New Roman"/>
        </w:rPr>
        <w:t>a nominated entity by s</w:t>
      </w:r>
      <w:r w:rsidR="00C24B15" w:rsidRPr="00D900FF">
        <w:rPr>
          <w:rFonts w:ascii="Times New Roman" w:hAnsi="Times New Roman"/>
        </w:rPr>
        <w:t> </w:t>
      </w:r>
      <w:r w:rsidR="004F769F" w:rsidRPr="00D900FF">
        <w:rPr>
          <w:rFonts w:ascii="Times New Roman" w:hAnsi="Times New Roman"/>
        </w:rPr>
        <w:t>218B(2), which</w:t>
      </w:r>
      <w:r w:rsidR="006464E7">
        <w:rPr>
          <w:rFonts w:ascii="Times New Roman" w:hAnsi="Times New Roman"/>
        </w:rPr>
        <w:t> </w:t>
      </w:r>
      <w:r w:rsidR="004F769F" w:rsidRPr="00D900FF">
        <w:rPr>
          <w:rFonts w:ascii="Times New Roman" w:hAnsi="Times New Roman"/>
        </w:rPr>
        <w:t>provides that a person commits an offence under s</w:t>
      </w:r>
      <w:r w:rsidR="00BC325A" w:rsidRPr="00D900FF">
        <w:rPr>
          <w:rFonts w:ascii="Times New Roman" w:hAnsi="Times New Roman"/>
        </w:rPr>
        <w:t> </w:t>
      </w:r>
      <w:r w:rsidR="004F769F" w:rsidRPr="00D900FF">
        <w:rPr>
          <w:rFonts w:ascii="Times New Roman" w:hAnsi="Times New Roman"/>
        </w:rPr>
        <w:t xml:space="preserve">218B(1) if the person enters into or carries out a scheme under which </w:t>
      </w:r>
      <w:r w:rsidR="00ED65CF" w:rsidRPr="00D900FF">
        <w:rPr>
          <w:rFonts w:ascii="Times New Roman" w:hAnsi="Times New Roman"/>
        </w:rPr>
        <w:t xml:space="preserve">(a) </w:t>
      </w:r>
      <w:r w:rsidR="00C529B9" w:rsidRPr="00D900FF">
        <w:rPr>
          <w:rFonts w:ascii="Times New Roman" w:hAnsi="Times New Roman"/>
        </w:rPr>
        <w:t>"</w:t>
      </w:r>
      <w:r w:rsidR="004F769F" w:rsidRPr="00D900FF">
        <w:rPr>
          <w:rFonts w:ascii="Times New Roman" w:hAnsi="Times New Roman"/>
        </w:rPr>
        <w:t xml:space="preserve">an entity </w:t>
      </w:r>
      <w:r w:rsidR="00A47FF7" w:rsidRPr="00D900FF">
        <w:rPr>
          <w:rFonts w:ascii="Times New Roman" w:hAnsi="Times New Roman"/>
        </w:rPr>
        <w:t>that is not a</w:t>
      </w:r>
      <w:r w:rsidR="006464E7">
        <w:rPr>
          <w:rFonts w:ascii="Times New Roman" w:hAnsi="Times New Roman"/>
        </w:rPr>
        <w:t> </w:t>
      </w:r>
      <w:r w:rsidR="00A47FF7" w:rsidRPr="00D900FF">
        <w:rPr>
          <w:rFonts w:ascii="Times New Roman" w:hAnsi="Times New Roman"/>
        </w:rPr>
        <w:t xml:space="preserve">nominated entity of a registered political party </w:t>
      </w:r>
      <w:r w:rsidR="004F769F" w:rsidRPr="00D900FF">
        <w:rPr>
          <w:rFonts w:ascii="Times New Roman" w:hAnsi="Times New Roman"/>
        </w:rPr>
        <w:t>receive</w:t>
      </w:r>
      <w:r w:rsidR="00A47FF7" w:rsidRPr="00D900FF">
        <w:rPr>
          <w:rFonts w:ascii="Times New Roman" w:hAnsi="Times New Roman"/>
        </w:rPr>
        <w:t>s</w:t>
      </w:r>
      <w:r w:rsidR="004F769F" w:rsidRPr="00D900FF">
        <w:rPr>
          <w:rFonts w:ascii="Times New Roman" w:hAnsi="Times New Roman"/>
        </w:rPr>
        <w:t xml:space="preserve"> one or more gifts at a</w:t>
      </w:r>
      <w:r w:rsidR="006464E7">
        <w:rPr>
          <w:rFonts w:ascii="Times New Roman" w:hAnsi="Times New Roman"/>
        </w:rPr>
        <w:t> </w:t>
      </w:r>
      <w:r w:rsidR="004F769F" w:rsidRPr="00D900FF">
        <w:rPr>
          <w:rFonts w:ascii="Times New Roman" w:hAnsi="Times New Roman"/>
        </w:rPr>
        <w:t>particular time</w:t>
      </w:r>
      <w:r w:rsidR="00C529B9" w:rsidRPr="00D900FF">
        <w:rPr>
          <w:rFonts w:ascii="Times New Roman" w:hAnsi="Times New Roman"/>
        </w:rPr>
        <w:t>"</w:t>
      </w:r>
      <w:r w:rsidR="004F769F" w:rsidRPr="00D900FF">
        <w:rPr>
          <w:rFonts w:ascii="Times New Roman" w:hAnsi="Times New Roman"/>
        </w:rPr>
        <w:t xml:space="preserve">; </w:t>
      </w:r>
      <w:r w:rsidR="00ED65CF" w:rsidRPr="00D900FF">
        <w:rPr>
          <w:rFonts w:ascii="Times New Roman" w:hAnsi="Times New Roman"/>
        </w:rPr>
        <w:t xml:space="preserve">(b) </w:t>
      </w:r>
      <w:r w:rsidR="00C529B9" w:rsidRPr="00D900FF">
        <w:rPr>
          <w:rFonts w:ascii="Times New Roman" w:hAnsi="Times New Roman"/>
        </w:rPr>
        <w:t>"</w:t>
      </w:r>
      <w:r w:rsidR="004F769F" w:rsidRPr="00D900FF">
        <w:rPr>
          <w:rFonts w:ascii="Times New Roman" w:hAnsi="Times New Roman"/>
        </w:rPr>
        <w:t>after receiving the gift</w:t>
      </w:r>
      <w:r w:rsidR="002B3A93" w:rsidRPr="00D900FF">
        <w:rPr>
          <w:rFonts w:ascii="Times New Roman" w:hAnsi="Times New Roman"/>
        </w:rPr>
        <w:t xml:space="preserve"> or gifts</w:t>
      </w:r>
      <w:r w:rsidR="004F769F" w:rsidRPr="00D900FF">
        <w:rPr>
          <w:rFonts w:ascii="Times New Roman" w:hAnsi="Times New Roman"/>
        </w:rPr>
        <w:t>, the entity becomes the</w:t>
      </w:r>
      <w:r w:rsidR="006464E7">
        <w:rPr>
          <w:rFonts w:ascii="Times New Roman" w:hAnsi="Times New Roman"/>
        </w:rPr>
        <w:t> </w:t>
      </w:r>
      <w:r w:rsidR="004F769F" w:rsidRPr="00D900FF">
        <w:rPr>
          <w:rFonts w:ascii="Times New Roman" w:hAnsi="Times New Roman"/>
        </w:rPr>
        <w:t xml:space="preserve">nominated entity of a </w:t>
      </w:r>
      <w:r w:rsidR="0021774C" w:rsidRPr="00D900FF">
        <w:rPr>
          <w:rFonts w:ascii="Times New Roman" w:hAnsi="Times New Roman"/>
        </w:rPr>
        <w:t>r</w:t>
      </w:r>
      <w:r w:rsidR="00153527" w:rsidRPr="00D900FF">
        <w:rPr>
          <w:rFonts w:ascii="Times New Roman" w:hAnsi="Times New Roman"/>
        </w:rPr>
        <w:t>egistered political party</w:t>
      </w:r>
      <w:r w:rsidR="00C529B9" w:rsidRPr="00D900FF">
        <w:rPr>
          <w:rFonts w:ascii="Times New Roman" w:hAnsi="Times New Roman"/>
        </w:rPr>
        <w:t>"</w:t>
      </w:r>
      <w:r w:rsidR="004F769F" w:rsidRPr="00D900FF">
        <w:rPr>
          <w:rFonts w:ascii="Times New Roman" w:hAnsi="Times New Roman"/>
        </w:rPr>
        <w:t xml:space="preserve">; </w:t>
      </w:r>
      <w:r w:rsidR="00ED65CF" w:rsidRPr="00D900FF">
        <w:rPr>
          <w:rFonts w:ascii="Times New Roman" w:hAnsi="Times New Roman"/>
        </w:rPr>
        <w:t xml:space="preserve">(c) </w:t>
      </w:r>
      <w:r w:rsidR="004F769F" w:rsidRPr="00D900FF">
        <w:rPr>
          <w:rFonts w:ascii="Times New Roman" w:hAnsi="Times New Roman"/>
        </w:rPr>
        <w:t xml:space="preserve">"the receiving of the gift or gifts by the entity would have constituted an offence against </w:t>
      </w:r>
      <w:r w:rsidR="00777556" w:rsidRPr="00D900FF">
        <w:rPr>
          <w:rFonts w:ascii="Times New Roman" w:hAnsi="Times New Roman"/>
        </w:rPr>
        <w:t>[Pt 12]</w:t>
      </w:r>
      <w:r w:rsidR="004F769F" w:rsidRPr="00D900FF">
        <w:rPr>
          <w:rFonts w:ascii="Times New Roman" w:hAnsi="Times New Roman"/>
        </w:rPr>
        <w:t xml:space="preserve"> if the entity had been the nominated entity of the </w:t>
      </w:r>
      <w:r w:rsidR="00153527" w:rsidRPr="00D900FF">
        <w:rPr>
          <w:rFonts w:ascii="Times New Roman" w:hAnsi="Times New Roman"/>
        </w:rPr>
        <w:t>registered political party</w:t>
      </w:r>
      <w:r w:rsidR="004F769F" w:rsidRPr="00D900FF">
        <w:rPr>
          <w:rFonts w:ascii="Times New Roman" w:hAnsi="Times New Roman"/>
        </w:rPr>
        <w:t xml:space="preserve"> at the time the gift or gifts were received"; and </w:t>
      </w:r>
      <w:r w:rsidR="00ED65CF" w:rsidRPr="00D900FF">
        <w:rPr>
          <w:rFonts w:ascii="Times New Roman" w:hAnsi="Times New Roman"/>
        </w:rPr>
        <w:t xml:space="preserve">(d) </w:t>
      </w:r>
      <w:r w:rsidR="004F769F" w:rsidRPr="00D900FF">
        <w:rPr>
          <w:rFonts w:ascii="Times New Roman" w:hAnsi="Times New Roman"/>
        </w:rPr>
        <w:t>"the person entered into the scheme with the</w:t>
      </w:r>
      <w:r w:rsidR="006464E7">
        <w:rPr>
          <w:rFonts w:ascii="Times New Roman" w:hAnsi="Times New Roman"/>
        </w:rPr>
        <w:t> </w:t>
      </w:r>
      <w:r w:rsidR="004F769F" w:rsidRPr="00D900FF">
        <w:rPr>
          <w:rFonts w:ascii="Times New Roman" w:hAnsi="Times New Roman"/>
        </w:rPr>
        <w:t xml:space="preserve">intention of circumventing a prohibition or requirement under </w:t>
      </w:r>
      <w:r w:rsidR="002C2C10" w:rsidRPr="00D900FF">
        <w:rPr>
          <w:rFonts w:ascii="Times New Roman" w:hAnsi="Times New Roman"/>
        </w:rPr>
        <w:t>[Pt 12]</w:t>
      </w:r>
      <w:r w:rsidR="004F769F" w:rsidRPr="00D900FF">
        <w:rPr>
          <w:rFonts w:ascii="Times New Roman" w:hAnsi="Times New Roman"/>
        </w:rPr>
        <w:t xml:space="preserve">". </w:t>
      </w:r>
      <w:r w:rsidR="00BD0BFB" w:rsidRPr="00D900FF">
        <w:rPr>
          <w:rFonts w:ascii="Times New Roman" w:hAnsi="Times New Roman"/>
        </w:rPr>
        <w:t>Section</w:t>
      </w:r>
      <w:r w:rsidR="006464E7">
        <w:rPr>
          <w:rFonts w:ascii="Times New Roman" w:hAnsi="Times New Roman"/>
        </w:rPr>
        <w:t> </w:t>
      </w:r>
      <w:r w:rsidR="004F769F" w:rsidRPr="00D900FF">
        <w:rPr>
          <w:rFonts w:ascii="Times New Roman" w:hAnsi="Times New Roman"/>
        </w:rPr>
        <w:t xml:space="preserve">218B </w:t>
      </w:r>
      <w:r w:rsidR="00BD0BFB" w:rsidRPr="00D900FF">
        <w:rPr>
          <w:rFonts w:ascii="Times New Roman" w:hAnsi="Times New Roman"/>
        </w:rPr>
        <w:t xml:space="preserve">thus </w:t>
      </w:r>
      <w:r w:rsidR="004F769F" w:rsidRPr="00D900FF">
        <w:rPr>
          <w:rFonts w:ascii="Times New Roman" w:hAnsi="Times New Roman"/>
        </w:rPr>
        <w:t>makes it an offence to attempt to avoid the general cap by "pre</w:t>
      </w:r>
      <w:r w:rsidR="006464E7">
        <w:rPr>
          <w:rFonts w:ascii="Times New Roman" w:hAnsi="Times New Roman"/>
        </w:rPr>
        <w:noBreakHyphen/>
      </w:r>
      <w:r w:rsidR="004F769F" w:rsidRPr="00D900FF">
        <w:rPr>
          <w:rFonts w:ascii="Times New Roman" w:hAnsi="Times New Roman"/>
        </w:rPr>
        <w:t xml:space="preserve">capitalising" an entity by way of gifts exceeding the general cap and then seeking that entity's appointment as a nominated entity. </w:t>
      </w:r>
    </w:p>
    <w:p w14:paraId="4691EEE4" w14:textId="324E55C0" w:rsidR="00F1100D" w:rsidRPr="00D900FF" w:rsidRDefault="00F1100D" w:rsidP="00D900FF">
      <w:pPr>
        <w:pStyle w:val="HeadingL1"/>
        <w:spacing w:after="260" w:line="280" w:lineRule="exact"/>
        <w:ind w:right="0"/>
        <w:jc w:val="both"/>
        <w:rPr>
          <w:rFonts w:ascii="Times New Roman" w:hAnsi="Times New Roman"/>
        </w:rPr>
      </w:pPr>
      <w:r w:rsidRPr="00D900FF">
        <w:rPr>
          <w:rFonts w:ascii="Times New Roman" w:hAnsi="Times New Roman"/>
        </w:rPr>
        <w:t>Nominated Entities</w:t>
      </w:r>
    </w:p>
    <w:p w14:paraId="6B66F6F5" w14:textId="526F4444" w:rsidR="0011551A" w:rsidRPr="00D900FF" w:rsidRDefault="00720FA2"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9B62FB" w:rsidRPr="00D900FF">
        <w:rPr>
          <w:rFonts w:ascii="Times New Roman" w:hAnsi="Times New Roman"/>
        </w:rPr>
        <w:t>Only three registered political parties</w:t>
      </w:r>
      <w:r w:rsidR="00845360" w:rsidRPr="00D900FF">
        <w:rPr>
          <w:rFonts w:ascii="Times New Roman" w:hAnsi="Times New Roman"/>
        </w:rPr>
        <w:t xml:space="preserve"> ("the major parties")</w:t>
      </w:r>
      <w:r w:rsidR="009B62FB" w:rsidRPr="00D900FF">
        <w:rPr>
          <w:rFonts w:ascii="Times New Roman" w:hAnsi="Times New Roman"/>
        </w:rPr>
        <w:t xml:space="preserve"> appointed a</w:t>
      </w:r>
      <w:r w:rsidR="006464E7">
        <w:rPr>
          <w:rFonts w:ascii="Times New Roman" w:hAnsi="Times New Roman"/>
        </w:rPr>
        <w:t> </w:t>
      </w:r>
      <w:r w:rsidR="009B62FB" w:rsidRPr="00D900FF">
        <w:rPr>
          <w:rFonts w:ascii="Times New Roman" w:hAnsi="Times New Roman"/>
        </w:rPr>
        <w:t xml:space="preserve">nominated entity before 1 July 2020, and each of those entities </w:t>
      </w:r>
      <w:r w:rsidR="00BC6929" w:rsidRPr="00D900FF">
        <w:rPr>
          <w:rFonts w:ascii="Times New Roman" w:hAnsi="Times New Roman"/>
        </w:rPr>
        <w:t xml:space="preserve">("the Nominated Entities") </w:t>
      </w:r>
      <w:r w:rsidR="00A4126A" w:rsidRPr="00D900FF">
        <w:rPr>
          <w:rFonts w:ascii="Times New Roman" w:hAnsi="Times New Roman"/>
        </w:rPr>
        <w:t>was</w:t>
      </w:r>
      <w:r w:rsidR="009B62FB" w:rsidRPr="00D900FF">
        <w:rPr>
          <w:rFonts w:ascii="Times New Roman" w:hAnsi="Times New Roman"/>
        </w:rPr>
        <w:t xml:space="preserve"> capitalised before </w:t>
      </w:r>
      <w:r w:rsidR="00947A00" w:rsidRPr="00D900FF">
        <w:rPr>
          <w:rFonts w:ascii="Times New Roman" w:hAnsi="Times New Roman"/>
        </w:rPr>
        <w:t>ss 218B and 22</w:t>
      </w:r>
      <w:r w:rsidR="00F80D39" w:rsidRPr="00D900FF">
        <w:rPr>
          <w:rFonts w:ascii="Times New Roman" w:hAnsi="Times New Roman"/>
        </w:rPr>
        <w:t>2</w:t>
      </w:r>
      <w:r w:rsidR="00947A00" w:rsidRPr="00D900FF">
        <w:rPr>
          <w:rFonts w:ascii="Times New Roman" w:hAnsi="Times New Roman"/>
        </w:rPr>
        <w:t>F</w:t>
      </w:r>
      <w:r w:rsidR="009B62FB" w:rsidRPr="00D900FF">
        <w:rPr>
          <w:rFonts w:ascii="Times New Roman" w:hAnsi="Times New Roman"/>
        </w:rPr>
        <w:t xml:space="preserve"> commenced. </w:t>
      </w:r>
      <w:r w:rsidR="00A82FD4" w:rsidRPr="00D900FF">
        <w:rPr>
          <w:rFonts w:ascii="Times New Roman" w:hAnsi="Times New Roman"/>
        </w:rPr>
        <w:t xml:space="preserve">The assets and funds of the Nominated Entities significantly exceed what could be lawfully raised by any individual candidate through political donations up to the amount of </w:t>
      </w:r>
      <w:r w:rsidR="00A82FD4" w:rsidRPr="00D900FF">
        <w:rPr>
          <w:rFonts w:ascii="Times New Roman" w:hAnsi="Times New Roman"/>
        </w:rPr>
        <w:lastRenderedPageBreak/>
        <w:t>the</w:t>
      </w:r>
      <w:r w:rsidR="006464E7">
        <w:rPr>
          <w:rFonts w:ascii="Times New Roman" w:hAnsi="Times New Roman"/>
        </w:rPr>
        <w:t> </w:t>
      </w:r>
      <w:r w:rsidR="00A82FD4" w:rsidRPr="00D900FF">
        <w:rPr>
          <w:rFonts w:ascii="Times New Roman" w:hAnsi="Times New Roman"/>
        </w:rPr>
        <w:t>general cap. To varying degrees</w:t>
      </w:r>
      <w:r w:rsidR="006401D5" w:rsidRPr="00D900FF">
        <w:rPr>
          <w:rFonts w:ascii="Times New Roman" w:hAnsi="Times New Roman"/>
        </w:rPr>
        <w:t>,</w:t>
      </w:r>
      <w:r w:rsidR="00A82FD4" w:rsidRPr="00D900FF">
        <w:rPr>
          <w:rFonts w:ascii="Times New Roman" w:hAnsi="Times New Roman"/>
        </w:rPr>
        <w:t xml:space="preserve"> the assets of the Nominated Entities significantly exceed what could be realistically raised over one or more electoral cycles by an uncapitalised </w:t>
      </w:r>
      <w:r w:rsidR="00124D34" w:rsidRPr="00D900FF">
        <w:rPr>
          <w:rFonts w:ascii="Times New Roman" w:hAnsi="Times New Roman"/>
        </w:rPr>
        <w:t>n</w:t>
      </w:r>
      <w:r w:rsidR="00A82FD4" w:rsidRPr="00D900FF">
        <w:rPr>
          <w:rFonts w:ascii="Times New Roman" w:hAnsi="Times New Roman"/>
        </w:rPr>
        <w:t xml:space="preserve">ominated </w:t>
      </w:r>
      <w:r w:rsidR="00124D34" w:rsidRPr="00D900FF">
        <w:rPr>
          <w:rFonts w:ascii="Times New Roman" w:hAnsi="Times New Roman"/>
        </w:rPr>
        <w:t>e</w:t>
      </w:r>
      <w:r w:rsidR="00A82FD4" w:rsidRPr="00D900FF">
        <w:rPr>
          <w:rFonts w:ascii="Times New Roman" w:hAnsi="Times New Roman"/>
        </w:rPr>
        <w:t>ntity subject to the general cap.</w:t>
      </w:r>
    </w:p>
    <w:p w14:paraId="074773A5" w14:textId="148EA3C9" w:rsidR="00A5209D" w:rsidRPr="00D900FF" w:rsidRDefault="0011551A"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F72769" w:rsidRPr="00D900FF">
        <w:rPr>
          <w:rFonts w:ascii="Times New Roman" w:hAnsi="Times New Roman"/>
        </w:rPr>
        <w:t>Labor Services &amp; Holdings Pty Ltd as trustee for Labor Services &amp; Holdings Trust</w:t>
      </w:r>
      <w:r w:rsidR="0021481E" w:rsidRPr="00D900FF">
        <w:rPr>
          <w:rFonts w:ascii="Times New Roman" w:hAnsi="Times New Roman"/>
        </w:rPr>
        <w:t xml:space="preserve"> ("the LSH Trust")</w:t>
      </w:r>
      <w:r w:rsidR="00F72769" w:rsidRPr="00D900FF">
        <w:rPr>
          <w:rFonts w:ascii="Times New Roman" w:hAnsi="Times New Roman"/>
        </w:rPr>
        <w:t>, the</w:t>
      </w:r>
      <w:r w:rsidR="0021481E" w:rsidRPr="00D900FF">
        <w:rPr>
          <w:rFonts w:ascii="Times New Roman" w:hAnsi="Times New Roman"/>
        </w:rPr>
        <w:t> </w:t>
      </w:r>
      <w:r w:rsidR="00F72769" w:rsidRPr="00D900FF">
        <w:rPr>
          <w:rFonts w:ascii="Times New Roman" w:hAnsi="Times New Roman"/>
        </w:rPr>
        <w:t>nominated entity of the Australian Labor Party – Victorian Branch, was entered on the Register on or around 8 October 2019</w:t>
      </w:r>
      <w:r w:rsidR="002A574C" w:rsidRPr="00D900FF">
        <w:rPr>
          <w:rFonts w:ascii="Times New Roman" w:hAnsi="Times New Roman"/>
        </w:rPr>
        <w:t>.</w:t>
      </w:r>
      <w:r w:rsidR="00F72769" w:rsidRPr="00D900FF">
        <w:rPr>
          <w:rFonts w:ascii="Times New Roman" w:hAnsi="Times New Roman"/>
        </w:rPr>
        <w:t xml:space="preserve"> Pilliwinks Pty Ltd</w:t>
      </w:r>
      <w:r w:rsidR="00B13A5F" w:rsidRPr="00D900FF">
        <w:rPr>
          <w:rFonts w:ascii="Times New Roman" w:hAnsi="Times New Roman"/>
        </w:rPr>
        <w:t xml:space="preserve"> ("Pilliwinks")</w:t>
      </w:r>
      <w:r w:rsidR="00F72769" w:rsidRPr="00D900FF">
        <w:rPr>
          <w:rFonts w:ascii="Times New Roman" w:hAnsi="Times New Roman"/>
        </w:rPr>
        <w:t xml:space="preserve">, the nominated entity of the National Party of Australia – Victoria, was </w:t>
      </w:r>
      <w:r w:rsidR="00E877F3" w:rsidRPr="00D900FF">
        <w:rPr>
          <w:rFonts w:ascii="Times New Roman" w:hAnsi="Times New Roman"/>
        </w:rPr>
        <w:t xml:space="preserve">also </w:t>
      </w:r>
      <w:r w:rsidR="00F72769" w:rsidRPr="00D900FF">
        <w:rPr>
          <w:rFonts w:ascii="Times New Roman" w:hAnsi="Times New Roman"/>
        </w:rPr>
        <w:t>entered on the Register on or around 8 October 2019</w:t>
      </w:r>
      <w:r w:rsidR="00426A0B" w:rsidRPr="00D900FF">
        <w:rPr>
          <w:rFonts w:ascii="Times New Roman" w:hAnsi="Times New Roman"/>
        </w:rPr>
        <w:t>.</w:t>
      </w:r>
      <w:r w:rsidR="00F80D39" w:rsidRPr="00D900FF">
        <w:rPr>
          <w:rFonts w:ascii="Times New Roman" w:hAnsi="Times New Roman"/>
        </w:rPr>
        <w:t xml:space="preserve"> </w:t>
      </w:r>
      <w:r w:rsidR="00E877F3" w:rsidRPr="00D900FF">
        <w:rPr>
          <w:rFonts w:ascii="Times New Roman" w:hAnsi="Times New Roman"/>
        </w:rPr>
        <w:t>Cormack Foundation Pty Ltd ("the Cormack Foundation"), the nominated entity of the Liberal Party of Australia (Victorian Division), was entered on the</w:t>
      </w:r>
      <w:r w:rsidR="006464E7">
        <w:rPr>
          <w:rFonts w:ascii="Times New Roman" w:hAnsi="Times New Roman"/>
        </w:rPr>
        <w:t> </w:t>
      </w:r>
      <w:r w:rsidR="00E877F3" w:rsidRPr="00D900FF">
        <w:rPr>
          <w:rFonts w:ascii="Times New Roman" w:hAnsi="Times New Roman"/>
        </w:rPr>
        <w:t>Register on or around 22</w:t>
      </w:r>
      <w:r w:rsidR="00255EDE" w:rsidRPr="00D900FF">
        <w:rPr>
          <w:rFonts w:ascii="Times New Roman" w:hAnsi="Times New Roman"/>
        </w:rPr>
        <w:t> </w:t>
      </w:r>
      <w:r w:rsidR="00E877F3" w:rsidRPr="00D900FF">
        <w:rPr>
          <w:rFonts w:ascii="Times New Roman" w:hAnsi="Times New Roman"/>
        </w:rPr>
        <w:t xml:space="preserve">April 2020. </w:t>
      </w:r>
      <w:r w:rsidR="006476C8" w:rsidRPr="00D900FF">
        <w:rPr>
          <w:rFonts w:ascii="Times New Roman" w:hAnsi="Times New Roman"/>
        </w:rPr>
        <w:t>The</w:t>
      </w:r>
      <w:r w:rsidR="00D67A04" w:rsidRPr="00D900FF">
        <w:rPr>
          <w:rFonts w:ascii="Times New Roman" w:hAnsi="Times New Roman"/>
        </w:rPr>
        <w:t> </w:t>
      </w:r>
      <w:r w:rsidR="00426A0B" w:rsidRPr="00D900FF">
        <w:rPr>
          <w:rFonts w:ascii="Times New Roman" w:hAnsi="Times New Roman"/>
        </w:rPr>
        <w:t>N</w:t>
      </w:r>
      <w:r w:rsidR="007C7EF5" w:rsidRPr="00D900FF">
        <w:rPr>
          <w:rFonts w:ascii="Times New Roman" w:hAnsi="Times New Roman"/>
        </w:rPr>
        <w:t xml:space="preserve">ominated </w:t>
      </w:r>
      <w:r w:rsidR="00426A0B" w:rsidRPr="00D900FF">
        <w:rPr>
          <w:rFonts w:ascii="Times New Roman" w:hAnsi="Times New Roman"/>
        </w:rPr>
        <w:t>E</w:t>
      </w:r>
      <w:r w:rsidR="007C7EF5" w:rsidRPr="00D900FF">
        <w:rPr>
          <w:rFonts w:ascii="Times New Roman" w:hAnsi="Times New Roman"/>
        </w:rPr>
        <w:t>ntities</w:t>
      </w:r>
      <w:r w:rsidR="00786690" w:rsidRPr="00D900FF">
        <w:rPr>
          <w:rFonts w:ascii="Times New Roman" w:hAnsi="Times New Roman"/>
        </w:rPr>
        <w:t>, having been appointed before 1</w:t>
      </w:r>
      <w:r w:rsidR="0098458C" w:rsidRPr="00D900FF">
        <w:rPr>
          <w:rFonts w:ascii="Times New Roman" w:hAnsi="Times New Roman"/>
        </w:rPr>
        <w:t> </w:t>
      </w:r>
      <w:r w:rsidR="00786690" w:rsidRPr="00D900FF">
        <w:rPr>
          <w:rFonts w:ascii="Times New Roman" w:hAnsi="Times New Roman"/>
        </w:rPr>
        <w:t>July 2020,</w:t>
      </w:r>
      <w:r w:rsidR="007C7EF5" w:rsidRPr="00D900FF">
        <w:rPr>
          <w:rFonts w:ascii="Times New Roman" w:hAnsi="Times New Roman"/>
        </w:rPr>
        <w:t xml:space="preserve"> </w:t>
      </w:r>
      <w:r w:rsidR="00DA65E0" w:rsidRPr="00D900FF">
        <w:rPr>
          <w:rFonts w:ascii="Times New Roman" w:hAnsi="Times New Roman"/>
        </w:rPr>
        <w:t>qualified for registration by the operation of the</w:t>
      </w:r>
      <w:r w:rsidR="006464E7">
        <w:rPr>
          <w:rFonts w:ascii="Times New Roman" w:hAnsi="Times New Roman"/>
        </w:rPr>
        <w:t> </w:t>
      </w:r>
      <w:r w:rsidR="00C83945" w:rsidRPr="00D900FF">
        <w:rPr>
          <w:rFonts w:ascii="Times New Roman" w:hAnsi="Times New Roman"/>
        </w:rPr>
        <w:t>eligibility criteria</w:t>
      </w:r>
      <w:r w:rsidR="00DC221E" w:rsidRPr="00D900FF">
        <w:rPr>
          <w:rFonts w:ascii="Times New Roman" w:hAnsi="Times New Roman"/>
        </w:rPr>
        <w:t xml:space="preserve"> in s 222F(3)</w:t>
      </w:r>
      <w:r w:rsidR="00DA65E0" w:rsidRPr="00D900FF">
        <w:rPr>
          <w:rFonts w:ascii="Times New Roman" w:hAnsi="Times New Roman"/>
        </w:rPr>
        <w:t>.</w:t>
      </w:r>
      <w:r w:rsidR="00786690" w:rsidRPr="00D900FF">
        <w:rPr>
          <w:rStyle w:val="FootnoteReference"/>
          <w:rFonts w:ascii="Times New Roman" w:hAnsi="Times New Roman"/>
          <w:sz w:val="24"/>
        </w:rPr>
        <w:footnoteReference w:id="46"/>
      </w:r>
      <w:r w:rsidR="00DA65E0" w:rsidRPr="00D900FF">
        <w:rPr>
          <w:rFonts w:ascii="Times New Roman" w:hAnsi="Times New Roman"/>
        </w:rPr>
        <w:t xml:space="preserve"> </w:t>
      </w:r>
      <w:r w:rsidR="003F37DD" w:rsidRPr="00D900FF">
        <w:rPr>
          <w:rFonts w:ascii="Times New Roman" w:hAnsi="Times New Roman"/>
        </w:rPr>
        <w:t>Other than the Nominated Entities, no other entity has at any time been entered on the Register.</w:t>
      </w:r>
    </w:p>
    <w:p w14:paraId="004A8CA7" w14:textId="40254106" w:rsidR="00AC7F69" w:rsidRPr="00D900FF" w:rsidRDefault="00A5209D"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DA65E0" w:rsidRPr="00D900FF">
        <w:rPr>
          <w:rFonts w:ascii="Times New Roman" w:hAnsi="Times New Roman"/>
        </w:rPr>
        <w:t>At all material times</w:t>
      </w:r>
      <w:r w:rsidR="00E964D9" w:rsidRPr="00D900FF">
        <w:rPr>
          <w:rFonts w:ascii="Times New Roman" w:hAnsi="Times New Roman"/>
        </w:rPr>
        <w:t>,</w:t>
      </w:r>
      <w:r w:rsidR="00DA65E0" w:rsidRPr="00D900FF">
        <w:rPr>
          <w:rFonts w:ascii="Times New Roman" w:hAnsi="Times New Roman"/>
        </w:rPr>
        <w:t xml:space="preserve"> each Nominated</w:t>
      </w:r>
      <w:r w:rsidR="00100F0B" w:rsidRPr="00D900FF">
        <w:rPr>
          <w:rFonts w:ascii="Times New Roman" w:hAnsi="Times New Roman"/>
        </w:rPr>
        <w:t xml:space="preserve"> </w:t>
      </w:r>
      <w:r w:rsidR="00DA65E0" w:rsidRPr="00D900FF">
        <w:rPr>
          <w:rFonts w:ascii="Times New Roman" w:hAnsi="Times New Roman"/>
        </w:rPr>
        <w:t>Entit</w:t>
      </w:r>
      <w:r w:rsidR="008A304C" w:rsidRPr="00D900FF">
        <w:rPr>
          <w:rFonts w:ascii="Times New Roman" w:hAnsi="Times New Roman"/>
        </w:rPr>
        <w:t>y</w:t>
      </w:r>
      <w:r w:rsidR="00DA65E0" w:rsidRPr="00D900FF">
        <w:rPr>
          <w:rFonts w:ascii="Times New Roman" w:hAnsi="Times New Roman"/>
        </w:rPr>
        <w:t xml:space="preserve"> had substantial assets and funds that </w:t>
      </w:r>
      <w:r w:rsidR="000B423A" w:rsidRPr="00D900FF">
        <w:rPr>
          <w:rFonts w:ascii="Times New Roman" w:hAnsi="Times New Roman"/>
        </w:rPr>
        <w:t xml:space="preserve">could </w:t>
      </w:r>
      <w:r w:rsidR="00DA65E0" w:rsidRPr="00D900FF">
        <w:rPr>
          <w:rFonts w:ascii="Times New Roman" w:hAnsi="Times New Roman"/>
        </w:rPr>
        <w:t>be given – and were in fact given – to</w:t>
      </w:r>
      <w:r w:rsidR="00100F0B" w:rsidRPr="00D900FF">
        <w:rPr>
          <w:rFonts w:ascii="Times New Roman" w:hAnsi="Times New Roman"/>
        </w:rPr>
        <w:t xml:space="preserve"> </w:t>
      </w:r>
      <w:r w:rsidR="00BD021C" w:rsidRPr="00D900FF">
        <w:rPr>
          <w:rFonts w:ascii="Times New Roman" w:hAnsi="Times New Roman"/>
        </w:rPr>
        <w:t xml:space="preserve">its </w:t>
      </w:r>
      <w:r w:rsidR="0021774C" w:rsidRPr="00D900FF">
        <w:rPr>
          <w:rFonts w:ascii="Times New Roman" w:hAnsi="Times New Roman"/>
        </w:rPr>
        <w:t>r</w:t>
      </w:r>
      <w:r w:rsidR="00153527" w:rsidRPr="00D900FF">
        <w:rPr>
          <w:rFonts w:ascii="Times New Roman" w:hAnsi="Times New Roman"/>
        </w:rPr>
        <w:t>egistered political party</w:t>
      </w:r>
      <w:r w:rsidR="00DA65E0" w:rsidRPr="00D900FF">
        <w:rPr>
          <w:rFonts w:ascii="Times New Roman" w:hAnsi="Times New Roman"/>
        </w:rPr>
        <w:t>.</w:t>
      </w:r>
      <w:r w:rsidR="00100F0B" w:rsidRPr="00D900FF">
        <w:rPr>
          <w:rFonts w:ascii="Times New Roman" w:hAnsi="Times New Roman"/>
        </w:rPr>
        <w:t xml:space="preserve"> </w:t>
      </w:r>
      <w:r w:rsidR="002F5CFC" w:rsidRPr="00D900FF">
        <w:rPr>
          <w:rFonts w:ascii="Times New Roman" w:hAnsi="Times New Roman"/>
        </w:rPr>
        <w:t xml:space="preserve">The </w:t>
      </w:r>
      <w:r w:rsidR="00DA65E0" w:rsidRPr="00D900FF">
        <w:rPr>
          <w:rFonts w:ascii="Times New Roman" w:hAnsi="Times New Roman"/>
        </w:rPr>
        <w:t>Cormack Foundation had net assets of $89,656,938 as at 30 June 2024</w:t>
      </w:r>
      <w:r w:rsidR="00055143" w:rsidRPr="00D900FF">
        <w:rPr>
          <w:rFonts w:ascii="Times New Roman" w:hAnsi="Times New Roman"/>
        </w:rPr>
        <w:t>.</w:t>
      </w:r>
      <w:r w:rsidR="00DA65E0" w:rsidRPr="00D900FF">
        <w:rPr>
          <w:rFonts w:ascii="Times New Roman" w:hAnsi="Times New Roman"/>
        </w:rPr>
        <w:t xml:space="preserve"> In</w:t>
      </w:r>
      <w:r w:rsidR="00055143" w:rsidRPr="00D900FF">
        <w:rPr>
          <w:rFonts w:ascii="Times New Roman" w:hAnsi="Times New Roman"/>
        </w:rPr>
        <w:t xml:space="preserve"> </w:t>
      </w:r>
      <w:r w:rsidR="00DA65E0" w:rsidRPr="00D900FF">
        <w:rPr>
          <w:rFonts w:ascii="Times New Roman" w:hAnsi="Times New Roman"/>
        </w:rPr>
        <w:t>each of the 20</w:t>
      </w:r>
      <w:r w:rsidR="00716C39" w:rsidRPr="00D900FF">
        <w:rPr>
          <w:rFonts w:ascii="Times New Roman" w:hAnsi="Times New Roman"/>
        </w:rPr>
        <w:t>17-</w:t>
      </w:r>
      <w:r w:rsidR="00B8007A" w:rsidRPr="00D900FF">
        <w:rPr>
          <w:rFonts w:ascii="Times New Roman" w:hAnsi="Times New Roman"/>
        </w:rPr>
        <w:t>20</w:t>
      </w:r>
      <w:r w:rsidR="00DA65E0" w:rsidRPr="00D900FF">
        <w:rPr>
          <w:rFonts w:ascii="Times New Roman" w:hAnsi="Times New Roman"/>
        </w:rPr>
        <w:t>18 to 20</w:t>
      </w:r>
      <w:r w:rsidR="00716C39" w:rsidRPr="00D900FF">
        <w:rPr>
          <w:rFonts w:ascii="Times New Roman" w:hAnsi="Times New Roman"/>
        </w:rPr>
        <w:t>23-</w:t>
      </w:r>
      <w:r w:rsidR="00B8007A" w:rsidRPr="00D900FF">
        <w:rPr>
          <w:rFonts w:ascii="Times New Roman" w:hAnsi="Times New Roman"/>
        </w:rPr>
        <w:t>20</w:t>
      </w:r>
      <w:r w:rsidR="00DA65E0" w:rsidRPr="00D900FF">
        <w:rPr>
          <w:rFonts w:ascii="Times New Roman" w:hAnsi="Times New Roman"/>
        </w:rPr>
        <w:t>24 financial years, it had revenue of between $3,073,409 and</w:t>
      </w:r>
      <w:r w:rsidR="00055143" w:rsidRPr="00D900FF">
        <w:rPr>
          <w:rFonts w:ascii="Times New Roman" w:hAnsi="Times New Roman"/>
        </w:rPr>
        <w:t xml:space="preserve"> </w:t>
      </w:r>
      <w:r w:rsidR="00DA65E0" w:rsidRPr="00D900FF">
        <w:rPr>
          <w:rFonts w:ascii="Times New Roman" w:hAnsi="Times New Roman"/>
        </w:rPr>
        <w:t>$6,184,785, of which the majority comprised ordinary dividends</w:t>
      </w:r>
      <w:r w:rsidR="00055143" w:rsidRPr="00D900FF">
        <w:rPr>
          <w:rFonts w:ascii="Times New Roman" w:hAnsi="Times New Roman"/>
        </w:rPr>
        <w:t>.</w:t>
      </w:r>
      <w:r w:rsidR="00DA65E0" w:rsidRPr="00D900FF">
        <w:rPr>
          <w:rFonts w:ascii="Times New Roman" w:hAnsi="Times New Roman"/>
        </w:rPr>
        <w:t xml:space="preserve"> The</w:t>
      </w:r>
      <w:r w:rsidR="00055143" w:rsidRPr="00D900FF">
        <w:rPr>
          <w:rFonts w:ascii="Times New Roman" w:hAnsi="Times New Roman"/>
        </w:rPr>
        <w:t xml:space="preserve"> </w:t>
      </w:r>
      <w:r w:rsidR="00DA65E0" w:rsidRPr="00D900FF">
        <w:rPr>
          <w:rFonts w:ascii="Times New Roman" w:hAnsi="Times New Roman"/>
        </w:rPr>
        <w:t>Cormack Foundation donated substantial sums to the Liberal Party of Australia (Victorian</w:t>
      </w:r>
      <w:r w:rsidR="004E7420" w:rsidRPr="00D900FF">
        <w:rPr>
          <w:rFonts w:ascii="Times New Roman" w:hAnsi="Times New Roman"/>
        </w:rPr>
        <w:t xml:space="preserve"> </w:t>
      </w:r>
      <w:r w:rsidR="00DA65E0" w:rsidRPr="00D900FF">
        <w:rPr>
          <w:rFonts w:ascii="Times New Roman" w:hAnsi="Times New Roman"/>
        </w:rPr>
        <w:t>Division): for example, in the 20</w:t>
      </w:r>
      <w:r w:rsidR="001632F5" w:rsidRPr="00D900FF">
        <w:rPr>
          <w:rFonts w:ascii="Times New Roman" w:hAnsi="Times New Roman"/>
        </w:rPr>
        <w:t>22-</w:t>
      </w:r>
      <w:r w:rsidR="00B8007A" w:rsidRPr="00D900FF">
        <w:rPr>
          <w:rFonts w:ascii="Times New Roman" w:hAnsi="Times New Roman"/>
        </w:rPr>
        <w:t>20</w:t>
      </w:r>
      <w:r w:rsidR="00DA65E0" w:rsidRPr="00D900FF">
        <w:rPr>
          <w:rFonts w:ascii="Times New Roman" w:hAnsi="Times New Roman"/>
        </w:rPr>
        <w:t>23 financial year (encompassing the 2022 State election</w:t>
      </w:r>
      <w:r w:rsidR="004E7420" w:rsidRPr="00D900FF">
        <w:rPr>
          <w:rFonts w:ascii="Times New Roman" w:hAnsi="Times New Roman"/>
        </w:rPr>
        <w:t xml:space="preserve"> </w:t>
      </w:r>
      <w:r w:rsidR="00DA65E0" w:rsidRPr="00D900FF">
        <w:rPr>
          <w:rFonts w:ascii="Times New Roman" w:hAnsi="Times New Roman"/>
        </w:rPr>
        <w:t>held on 26 November 2022), it donated</w:t>
      </w:r>
      <w:r w:rsidR="00216D49" w:rsidRPr="00D900FF">
        <w:rPr>
          <w:rStyle w:val="FootnoteReference"/>
          <w:rFonts w:ascii="Times New Roman" w:hAnsi="Times New Roman"/>
          <w:sz w:val="24"/>
        </w:rPr>
        <w:footnoteReference w:id="47"/>
      </w:r>
      <w:r w:rsidR="00DA65E0" w:rsidRPr="00D900FF">
        <w:rPr>
          <w:rFonts w:ascii="Times New Roman" w:hAnsi="Times New Roman"/>
        </w:rPr>
        <w:t xml:space="preserve"> $1,500,000. The</w:t>
      </w:r>
      <w:r w:rsidR="00456B5E" w:rsidRPr="00D900FF">
        <w:rPr>
          <w:rFonts w:ascii="Times New Roman" w:hAnsi="Times New Roman"/>
        </w:rPr>
        <w:t xml:space="preserve"> </w:t>
      </w:r>
      <w:r w:rsidR="00DA65E0" w:rsidRPr="00D900FF">
        <w:rPr>
          <w:rFonts w:ascii="Times New Roman" w:hAnsi="Times New Roman"/>
        </w:rPr>
        <w:t>constitution of the Cormack Foundation does not refer to the</w:t>
      </w:r>
      <w:r w:rsidR="006464E7">
        <w:rPr>
          <w:rFonts w:ascii="Times New Roman" w:hAnsi="Times New Roman"/>
        </w:rPr>
        <w:t> </w:t>
      </w:r>
      <w:r w:rsidR="00DA65E0" w:rsidRPr="00D900FF">
        <w:rPr>
          <w:rFonts w:ascii="Times New Roman" w:hAnsi="Times New Roman"/>
        </w:rPr>
        <w:t>Liberal Party</w:t>
      </w:r>
      <w:r w:rsidR="00E96287" w:rsidRPr="00D900FF">
        <w:rPr>
          <w:rFonts w:ascii="Times New Roman" w:hAnsi="Times New Roman"/>
        </w:rPr>
        <w:t xml:space="preserve"> of Australia (Victoria</w:t>
      </w:r>
      <w:r w:rsidR="00F42E08" w:rsidRPr="00D900FF">
        <w:rPr>
          <w:rFonts w:ascii="Times New Roman" w:hAnsi="Times New Roman"/>
        </w:rPr>
        <w:t>n</w:t>
      </w:r>
      <w:r w:rsidR="00E96287" w:rsidRPr="00D900FF">
        <w:rPr>
          <w:rFonts w:ascii="Times New Roman" w:hAnsi="Times New Roman"/>
        </w:rPr>
        <w:t xml:space="preserve"> Division)</w:t>
      </w:r>
      <w:r w:rsidR="00DA65E0" w:rsidRPr="00D900FF">
        <w:rPr>
          <w:rFonts w:ascii="Times New Roman" w:hAnsi="Times New Roman"/>
        </w:rPr>
        <w:t>, and at most only one quarter of the shares in the Cormack</w:t>
      </w:r>
      <w:r w:rsidR="00456B5E" w:rsidRPr="00D900FF">
        <w:rPr>
          <w:rFonts w:ascii="Times New Roman" w:hAnsi="Times New Roman"/>
        </w:rPr>
        <w:t xml:space="preserve"> </w:t>
      </w:r>
      <w:r w:rsidR="00DA65E0" w:rsidRPr="00D900FF">
        <w:rPr>
          <w:rFonts w:ascii="Times New Roman" w:hAnsi="Times New Roman"/>
        </w:rPr>
        <w:t>Foundation are held on trust for the party.</w:t>
      </w:r>
      <w:r w:rsidR="0083254B" w:rsidRPr="00D900FF">
        <w:rPr>
          <w:rStyle w:val="FootnoteReference"/>
          <w:rFonts w:ascii="Times New Roman" w:hAnsi="Times New Roman"/>
          <w:sz w:val="24"/>
        </w:rPr>
        <w:footnoteReference w:id="48"/>
      </w:r>
      <w:r w:rsidR="00DA65E0" w:rsidRPr="00D900FF">
        <w:rPr>
          <w:rFonts w:ascii="Times New Roman" w:hAnsi="Times New Roman"/>
        </w:rPr>
        <w:t xml:space="preserve"> In</w:t>
      </w:r>
      <w:r w:rsidR="006464E7">
        <w:rPr>
          <w:rFonts w:ascii="Times New Roman" w:hAnsi="Times New Roman"/>
        </w:rPr>
        <w:t> </w:t>
      </w:r>
      <w:r w:rsidR="00DA65E0" w:rsidRPr="00D900FF">
        <w:rPr>
          <w:rFonts w:ascii="Times New Roman" w:hAnsi="Times New Roman"/>
        </w:rPr>
        <w:t>the</w:t>
      </w:r>
      <w:r w:rsidR="006464E7">
        <w:rPr>
          <w:rFonts w:ascii="Times New Roman" w:hAnsi="Times New Roman"/>
        </w:rPr>
        <w:t> </w:t>
      </w:r>
      <w:r w:rsidR="00F64248" w:rsidRPr="00D900FF">
        <w:rPr>
          <w:rFonts w:ascii="Times New Roman" w:hAnsi="Times New Roman"/>
        </w:rPr>
        <w:t>2017-</w:t>
      </w:r>
      <w:r w:rsidR="00DA65E0" w:rsidRPr="00D900FF">
        <w:rPr>
          <w:rFonts w:ascii="Times New Roman" w:hAnsi="Times New Roman"/>
        </w:rPr>
        <w:t xml:space="preserve">2018 to </w:t>
      </w:r>
      <w:r w:rsidR="00F64248" w:rsidRPr="00D900FF">
        <w:rPr>
          <w:rFonts w:ascii="Times New Roman" w:hAnsi="Times New Roman"/>
        </w:rPr>
        <w:t>2023-</w:t>
      </w:r>
      <w:r w:rsidR="00DA65E0" w:rsidRPr="00D900FF">
        <w:rPr>
          <w:rFonts w:ascii="Times New Roman" w:hAnsi="Times New Roman"/>
        </w:rPr>
        <w:t>2024 financial</w:t>
      </w:r>
      <w:r w:rsidR="00AC7F69" w:rsidRPr="00D900FF">
        <w:rPr>
          <w:rFonts w:ascii="Times New Roman" w:hAnsi="Times New Roman"/>
        </w:rPr>
        <w:t xml:space="preserve"> </w:t>
      </w:r>
      <w:r w:rsidR="00DA65E0" w:rsidRPr="00D900FF">
        <w:rPr>
          <w:rFonts w:ascii="Times New Roman" w:hAnsi="Times New Roman"/>
        </w:rPr>
        <w:t>years, between zero and 47</w:t>
      </w:r>
      <w:r w:rsidR="00F42E08" w:rsidRPr="00D900FF">
        <w:rPr>
          <w:rFonts w:ascii="Times New Roman" w:hAnsi="Times New Roman"/>
        </w:rPr>
        <w:t xml:space="preserve"> per</w:t>
      </w:r>
      <w:r w:rsidR="00D9001B" w:rsidRPr="00D900FF">
        <w:rPr>
          <w:rFonts w:ascii="Times New Roman" w:hAnsi="Times New Roman"/>
        </w:rPr>
        <w:t xml:space="preserve"> </w:t>
      </w:r>
      <w:r w:rsidR="00F42E08" w:rsidRPr="00D900FF">
        <w:rPr>
          <w:rFonts w:ascii="Times New Roman" w:hAnsi="Times New Roman"/>
        </w:rPr>
        <w:t xml:space="preserve">cent </w:t>
      </w:r>
      <w:r w:rsidR="00DA65E0" w:rsidRPr="00D900FF">
        <w:rPr>
          <w:rFonts w:ascii="Times New Roman" w:hAnsi="Times New Roman"/>
        </w:rPr>
        <w:t xml:space="preserve">of the Cormack </w:t>
      </w:r>
      <w:r w:rsidR="00F42E08" w:rsidRPr="00D900FF">
        <w:rPr>
          <w:rFonts w:ascii="Times New Roman" w:hAnsi="Times New Roman"/>
        </w:rPr>
        <w:t xml:space="preserve">Foundation's </w:t>
      </w:r>
      <w:r w:rsidR="00DA65E0" w:rsidRPr="00D900FF">
        <w:rPr>
          <w:rFonts w:ascii="Times New Roman" w:hAnsi="Times New Roman"/>
        </w:rPr>
        <w:t>donations each year were</w:t>
      </w:r>
      <w:r w:rsidR="00AC7F69" w:rsidRPr="00D900FF">
        <w:rPr>
          <w:rFonts w:ascii="Times New Roman" w:hAnsi="Times New Roman"/>
        </w:rPr>
        <w:t xml:space="preserve"> </w:t>
      </w:r>
      <w:r w:rsidR="00DA65E0" w:rsidRPr="00D900FF">
        <w:rPr>
          <w:rFonts w:ascii="Times New Roman" w:hAnsi="Times New Roman"/>
        </w:rPr>
        <w:t>made to the Liberal Party</w:t>
      </w:r>
      <w:r w:rsidR="00947CD3" w:rsidRPr="00D900FF">
        <w:rPr>
          <w:rFonts w:ascii="Times New Roman" w:hAnsi="Times New Roman"/>
        </w:rPr>
        <w:t xml:space="preserve"> of Australia (Victorian Division)</w:t>
      </w:r>
      <w:r w:rsidR="00DA65E0" w:rsidRPr="00D900FF">
        <w:rPr>
          <w:rFonts w:ascii="Times New Roman" w:hAnsi="Times New Roman"/>
        </w:rPr>
        <w:t>.</w:t>
      </w:r>
    </w:p>
    <w:p w14:paraId="40E3EFF9" w14:textId="0AC30455" w:rsidR="007A2F82" w:rsidRPr="00D900FF" w:rsidRDefault="00AC7F69"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DA65E0" w:rsidRPr="00D900FF">
        <w:rPr>
          <w:rFonts w:ascii="Times New Roman" w:hAnsi="Times New Roman"/>
        </w:rPr>
        <w:t>The LSH Trust, as at 30 June 2024, had a net asset value of $3,125,665, including cash</w:t>
      </w:r>
      <w:r w:rsidRPr="00D900FF">
        <w:rPr>
          <w:rFonts w:ascii="Times New Roman" w:hAnsi="Times New Roman"/>
        </w:rPr>
        <w:t xml:space="preserve"> </w:t>
      </w:r>
      <w:r w:rsidR="00DA65E0" w:rsidRPr="00D900FF">
        <w:rPr>
          <w:rFonts w:ascii="Times New Roman" w:hAnsi="Times New Roman"/>
        </w:rPr>
        <w:t xml:space="preserve">of $8,585,320 and liabilities including </w:t>
      </w:r>
      <w:r w:rsidRPr="00D900FF">
        <w:rPr>
          <w:rFonts w:ascii="Times New Roman" w:hAnsi="Times New Roman"/>
        </w:rPr>
        <w:t>"</w:t>
      </w:r>
      <w:r w:rsidR="00DA65E0" w:rsidRPr="00D900FF">
        <w:rPr>
          <w:rFonts w:ascii="Times New Roman" w:hAnsi="Times New Roman"/>
        </w:rPr>
        <w:t xml:space="preserve">unpaid distributions to </w:t>
      </w:r>
      <w:r w:rsidR="00DA65E0" w:rsidRPr="00D900FF">
        <w:rPr>
          <w:rFonts w:ascii="Times New Roman" w:hAnsi="Times New Roman"/>
        </w:rPr>
        <w:lastRenderedPageBreak/>
        <w:t>beneficiaries</w:t>
      </w:r>
      <w:r w:rsidRPr="00D900FF">
        <w:rPr>
          <w:rFonts w:ascii="Times New Roman" w:hAnsi="Times New Roman"/>
        </w:rPr>
        <w:t>"</w:t>
      </w:r>
      <w:r w:rsidR="00DA65E0" w:rsidRPr="00D900FF">
        <w:rPr>
          <w:rFonts w:ascii="Times New Roman" w:hAnsi="Times New Roman"/>
        </w:rPr>
        <w:t xml:space="preserve"> of</w:t>
      </w:r>
      <w:r w:rsidRPr="00D900FF">
        <w:rPr>
          <w:rFonts w:ascii="Times New Roman" w:hAnsi="Times New Roman"/>
        </w:rPr>
        <w:t xml:space="preserve"> </w:t>
      </w:r>
      <w:r w:rsidR="00DA65E0" w:rsidRPr="00D900FF">
        <w:rPr>
          <w:rFonts w:ascii="Times New Roman" w:hAnsi="Times New Roman"/>
        </w:rPr>
        <w:t>$6,159,170. The beneficiaries of the LSH Trust are all members of the</w:t>
      </w:r>
      <w:r w:rsidR="007C1F2D" w:rsidRPr="00D900FF">
        <w:rPr>
          <w:rFonts w:ascii="Times New Roman" w:hAnsi="Times New Roman"/>
        </w:rPr>
        <w:t xml:space="preserve"> </w:t>
      </w:r>
      <w:r w:rsidR="00DA65E0" w:rsidRPr="00D900FF">
        <w:rPr>
          <w:rFonts w:ascii="Times New Roman" w:hAnsi="Times New Roman"/>
        </w:rPr>
        <w:t xml:space="preserve">Australian Labor Party – Victorian Branch, and the </w:t>
      </w:r>
      <w:r w:rsidR="00E71288" w:rsidRPr="00D900FF">
        <w:rPr>
          <w:rFonts w:ascii="Times New Roman" w:hAnsi="Times New Roman"/>
        </w:rPr>
        <w:t>t</w:t>
      </w:r>
      <w:r w:rsidR="00DA65E0" w:rsidRPr="00D900FF">
        <w:rPr>
          <w:rFonts w:ascii="Times New Roman" w:hAnsi="Times New Roman"/>
        </w:rPr>
        <w:t>rustee</w:t>
      </w:r>
      <w:r w:rsidR="007C1F2D" w:rsidRPr="00D900FF">
        <w:rPr>
          <w:rFonts w:ascii="Times New Roman" w:hAnsi="Times New Roman"/>
        </w:rPr>
        <w:t>'</w:t>
      </w:r>
      <w:r w:rsidR="00DA65E0" w:rsidRPr="00D900FF">
        <w:rPr>
          <w:rFonts w:ascii="Times New Roman" w:hAnsi="Times New Roman"/>
        </w:rPr>
        <w:t>s directors are required to be</w:t>
      </w:r>
      <w:r w:rsidR="007C1F2D" w:rsidRPr="00D900FF">
        <w:rPr>
          <w:rFonts w:ascii="Times New Roman" w:hAnsi="Times New Roman"/>
        </w:rPr>
        <w:t xml:space="preserve"> </w:t>
      </w:r>
      <w:r w:rsidR="00DA65E0" w:rsidRPr="00D900FF">
        <w:rPr>
          <w:rFonts w:ascii="Times New Roman" w:hAnsi="Times New Roman"/>
        </w:rPr>
        <w:t>the President</w:t>
      </w:r>
      <w:r w:rsidR="00F45017" w:rsidRPr="00D900FF">
        <w:rPr>
          <w:rFonts w:ascii="Times New Roman" w:hAnsi="Times New Roman"/>
        </w:rPr>
        <w:t>, Senior Vice President and Junior Vice President</w:t>
      </w:r>
      <w:r w:rsidR="00DA65E0" w:rsidRPr="00D900FF">
        <w:rPr>
          <w:rFonts w:ascii="Times New Roman" w:hAnsi="Times New Roman"/>
        </w:rPr>
        <w:t xml:space="preserve"> of the Australian Labor Party – Victorian Branch and others determined by</w:t>
      </w:r>
      <w:r w:rsidR="007C1F2D" w:rsidRPr="00D900FF">
        <w:rPr>
          <w:rFonts w:ascii="Times New Roman" w:hAnsi="Times New Roman"/>
        </w:rPr>
        <w:t xml:space="preserve"> </w:t>
      </w:r>
      <w:r w:rsidR="00DA65E0" w:rsidRPr="00D900FF">
        <w:rPr>
          <w:rFonts w:ascii="Times New Roman" w:hAnsi="Times New Roman"/>
        </w:rPr>
        <w:t xml:space="preserve">the party. The LSH Trust had similarly substantial </w:t>
      </w:r>
      <w:r w:rsidR="00085635" w:rsidRPr="00D900FF">
        <w:rPr>
          <w:rFonts w:ascii="Times New Roman" w:hAnsi="Times New Roman"/>
        </w:rPr>
        <w:t xml:space="preserve">net </w:t>
      </w:r>
      <w:r w:rsidR="00DA65E0" w:rsidRPr="00D900FF">
        <w:rPr>
          <w:rFonts w:ascii="Times New Roman" w:hAnsi="Times New Roman"/>
        </w:rPr>
        <w:t>assets in each financial</w:t>
      </w:r>
      <w:r w:rsidR="00505CEC" w:rsidRPr="00D900FF">
        <w:rPr>
          <w:rFonts w:ascii="Times New Roman" w:hAnsi="Times New Roman"/>
        </w:rPr>
        <w:t xml:space="preserve"> </w:t>
      </w:r>
      <w:r w:rsidR="00DA65E0" w:rsidRPr="00D900FF">
        <w:rPr>
          <w:rFonts w:ascii="Times New Roman" w:hAnsi="Times New Roman"/>
        </w:rPr>
        <w:t xml:space="preserve">year between </w:t>
      </w:r>
      <w:r w:rsidR="00F35B24" w:rsidRPr="00D900FF">
        <w:rPr>
          <w:rFonts w:ascii="Times New Roman" w:hAnsi="Times New Roman"/>
        </w:rPr>
        <w:t>2017-</w:t>
      </w:r>
      <w:r w:rsidR="00DA65E0" w:rsidRPr="00D900FF">
        <w:rPr>
          <w:rFonts w:ascii="Times New Roman" w:hAnsi="Times New Roman"/>
        </w:rPr>
        <w:t xml:space="preserve">2018 and </w:t>
      </w:r>
      <w:r w:rsidR="00F35B24" w:rsidRPr="00D900FF">
        <w:rPr>
          <w:rFonts w:ascii="Times New Roman" w:hAnsi="Times New Roman"/>
        </w:rPr>
        <w:t>2023-</w:t>
      </w:r>
      <w:r w:rsidR="00DA65E0" w:rsidRPr="00D900FF">
        <w:rPr>
          <w:rFonts w:ascii="Times New Roman" w:hAnsi="Times New Roman"/>
        </w:rPr>
        <w:t xml:space="preserve">2024. In the </w:t>
      </w:r>
      <w:r w:rsidR="00F07509" w:rsidRPr="00D900FF">
        <w:rPr>
          <w:rFonts w:ascii="Times New Roman" w:hAnsi="Times New Roman"/>
        </w:rPr>
        <w:t>2022-</w:t>
      </w:r>
      <w:r w:rsidR="00DA65E0" w:rsidRPr="00D900FF">
        <w:rPr>
          <w:rFonts w:ascii="Times New Roman" w:hAnsi="Times New Roman"/>
        </w:rPr>
        <w:t>2023 financial year (encompassing the</w:t>
      </w:r>
      <w:r w:rsidR="006464E7">
        <w:rPr>
          <w:rFonts w:ascii="Times New Roman" w:hAnsi="Times New Roman"/>
        </w:rPr>
        <w:t> </w:t>
      </w:r>
      <w:r w:rsidR="00DA65E0" w:rsidRPr="00D900FF">
        <w:rPr>
          <w:rFonts w:ascii="Times New Roman" w:hAnsi="Times New Roman"/>
        </w:rPr>
        <w:t>2022</w:t>
      </w:r>
      <w:r w:rsidR="00505CEC" w:rsidRPr="00D900FF">
        <w:rPr>
          <w:rFonts w:ascii="Times New Roman" w:hAnsi="Times New Roman"/>
        </w:rPr>
        <w:t xml:space="preserve"> </w:t>
      </w:r>
      <w:r w:rsidR="00DA65E0" w:rsidRPr="00D900FF">
        <w:rPr>
          <w:rFonts w:ascii="Times New Roman" w:hAnsi="Times New Roman"/>
        </w:rPr>
        <w:t>State election), the Australian Labor Party – Victorian Branch received amounts totalling</w:t>
      </w:r>
      <w:r w:rsidR="00505CEC" w:rsidRPr="00D900FF">
        <w:rPr>
          <w:rFonts w:ascii="Times New Roman" w:hAnsi="Times New Roman"/>
        </w:rPr>
        <w:t xml:space="preserve"> </w:t>
      </w:r>
      <w:r w:rsidR="00DA65E0" w:rsidRPr="00D900FF">
        <w:rPr>
          <w:rFonts w:ascii="Times New Roman" w:hAnsi="Times New Roman"/>
        </w:rPr>
        <w:t>$4,598,000 from Labor Services &amp; Holdings</w:t>
      </w:r>
      <w:r w:rsidR="00516444" w:rsidRPr="00D900FF">
        <w:rPr>
          <w:rFonts w:ascii="Times New Roman" w:hAnsi="Times New Roman"/>
        </w:rPr>
        <w:t xml:space="preserve"> Pty Ltd as trustee for the LSH Trust</w:t>
      </w:r>
      <w:r w:rsidR="00DA65E0" w:rsidRPr="00D900FF">
        <w:rPr>
          <w:rFonts w:ascii="Times New Roman" w:hAnsi="Times New Roman"/>
        </w:rPr>
        <w:t>.</w:t>
      </w:r>
    </w:p>
    <w:p w14:paraId="6E9FAD09" w14:textId="3E3F2767" w:rsidR="00864D6F" w:rsidRPr="00D900FF" w:rsidRDefault="007A2F82"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DA65E0" w:rsidRPr="00D900FF">
        <w:rPr>
          <w:rFonts w:ascii="Times New Roman" w:hAnsi="Times New Roman"/>
        </w:rPr>
        <w:t>Pilliwinks is governed by a memorandum of association that does not refer to the National</w:t>
      </w:r>
      <w:r w:rsidR="00070DCD" w:rsidRPr="00D900FF">
        <w:rPr>
          <w:rFonts w:ascii="Times New Roman" w:hAnsi="Times New Roman"/>
        </w:rPr>
        <w:t xml:space="preserve"> </w:t>
      </w:r>
      <w:r w:rsidR="00DA65E0" w:rsidRPr="00D900FF">
        <w:rPr>
          <w:rFonts w:ascii="Times New Roman" w:hAnsi="Times New Roman"/>
        </w:rPr>
        <w:t>Party of Australia – Victoria. Pilliwinks is the trustee of the</w:t>
      </w:r>
      <w:r w:rsidR="005818B9">
        <w:rPr>
          <w:rFonts w:ascii="Times New Roman" w:hAnsi="Times New Roman"/>
        </w:rPr>
        <w:t> </w:t>
      </w:r>
      <w:r w:rsidR="00DA65E0" w:rsidRPr="00D900FF">
        <w:rPr>
          <w:rFonts w:ascii="Times New Roman" w:hAnsi="Times New Roman"/>
        </w:rPr>
        <w:t>National Party</w:t>
      </w:r>
      <w:r w:rsidR="00F91DEE" w:rsidRPr="00D900FF">
        <w:rPr>
          <w:rFonts w:ascii="Times New Roman" w:hAnsi="Times New Roman"/>
        </w:rPr>
        <w:t xml:space="preserve"> </w:t>
      </w:r>
      <w:r w:rsidR="00DA65E0" w:rsidRPr="00D900FF">
        <w:rPr>
          <w:rFonts w:ascii="Times New Roman" w:hAnsi="Times New Roman"/>
        </w:rPr>
        <w:t>Foundation</w:t>
      </w:r>
      <w:r w:rsidR="00F91DEE" w:rsidRPr="00D900FF">
        <w:rPr>
          <w:rFonts w:ascii="Times New Roman" w:hAnsi="Times New Roman"/>
        </w:rPr>
        <w:t xml:space="preserve"> </w:t>
      </w:r>
      <w:r w:rsidR="007F10B4" w:rsidRPr="00D900FF">
        <w:rPr>
          <w:rFonts w:ascii="Times New Roman" w:hAnsi="Times New Roman"/>
        </w:rPr>
        <w:t>t</w:t>
      </w:r>
      <w:r w:rsidR="000D3ED1" w:rsidRPr="00D900FF">
        <w:rPr>
          <w:rFonts w:ascii="Times New Roman" w:hAnsi="Times New Roman"/>
        </w:rPr>
        <w:t>rust</w:t>
      </w:r>
      <w:r w:rsidR="00DA65E0" w:rsidRPr="00D900FF">
        <w:rPr>
          <w:rFonts w:ascii="Times New Roman" w:hAnsi="Times New Roman"/>
        </w:rPr>
        <w:t>. The beneficiaries of that trust are wide</w:t>
      </w:r>
      <w:r w:rsidR="00265DC9" w:rsidRPr="00D900FF">
        <w:rPr>
          <w:rFonts w:ascii="Times New Roman" w:hAnsi="Times New Roman"/>
        </w:rPr>
        <w:noBreakHyphen/>
      </w:r>
      <w:r w:rsidR="00DA65E0" w:rsidRPr="00D900FF">
        <w:rPr>
          <w:rFonts w:ascii="Times New Roman" w:hAnsi="Times New Roman"/>
        </w:rPr>
        <w:t>ranging, including not</w:t>
      </w:r>
      <w:r w:rsidR="0013109A" w:rsidRPr="00D900FF">
        <w:rPr>
          <w:rFonts w:ascii="Times New Roman" w:hAnsi="Times New Roman"/>
        </w:rPr>
        <w:t xml:space="preserve"> </w:t>
      </w:r>
      <w:r w:rsidR="00DA65E0" w:rsidRPr="00D900FF">
        <w:rPr>
          <w:rFonts w:ascii="Times New Roman" w:hAnsi="Times New Roman"/>
        </w:rPr>
        <w:t>only the National Party of Australia – Victoria, but</w:t>
      </w:r>
      <w:r w:rsidR="005818B9">
        <w:rPr>
          <w:rFonts w:ascii="Times New Roman" w:hAnsi="Times New Roman"/>
        </w:rPr>
        <w:t> </w:t>
      </w:r>
      <w:r w:rsidR="00DA65E0" w:rsidRPr="00D900FF">
        <w:rPr>
          <w:rFonts w:ascii="Times New Roman" w:hAnsi="Times New Roman"/>
        </w:rPr>
        <w:t>nine other entities,</w:t>
      </w:r>
      <w:r w:rsidR="005459E8" w:rsidRPr="00D900FF">
        <w:rPr>
          <w:rFonts w:ascii="Times New Roman" w:hAnsi="Times New Roman"/>
        </w:rPr>
        <w:t xml:space="preserve"> </w:t>
      </w:r>
      <w:r w:rsidR="009A1810" w:rsidRPr="00D900FF">
        <w:rPr>
          <w:rFonts w:ascii="Times New Roman" w:hAnsi="Times New Roman"/>
        </w:rPr>
        <w:t>any "duly endorsed" candidate for election to, or elected member of, the Commonwealth, State and Territory Parliaments</w:t>
      </w:r>
      <w:r w:rsidR="00310751" w:rsidRPr="00D900FF">
        <w:rPr>
          <w:rFonts w:ascii="Times New Roman" w:hAnsi="Times New Roman"/>
        </w:rPr>
        <w:t xml:space="preserve"> representing the</w:t>
      </w:r>
      <w:r w:rsidR="005818B9">
        <w:rPr>
          <w:rFonts w:ascii="Times New Roman" w:hAnsi="Times New Roman"/>
        </w:rPr>
        <w:t> </w:t>
      </w:r>
      <w:r w:rsidR="00310751" w:rsidRPr="00D900FF">
        <w:rPr>
          <w:rFonts w:ascii="Times New Roman" w:hAnsi="Times New Roman"/>
        </w:rPr>
        <w:t xml:space="preserve">National Party of Australia, </w:t>
      </w:r>
      <w:r w:rsidR="00847391" w:rsidRPr="00D900FF">
        <w:rPr>
          <w:rFonts w:ascii="Times New Roman" w:hAnsi="Times New Roman"/>
        </w:rPr>
        <w:t>"or the spouse of any such person"</w:t>
      </w:r>
      <w:r w:rsidR="00310751" w:rsidRPr="00D900FF">
        <w:rPr>
          <w:rFonts w:ascii="Times New Roman" w:hAnsi="Times New Roman"/>
        </w:rPr>
        <w:t>,</w:t>
      </w:r>
      <w:r w:rsidR="00DA65E0" w:rsidRPr="00D900FF">
        <w:rPr>
          <w:rFonts w:ascii="Times New Roman" w:hAnsi="Times New Roman"/>
        </w:rPr>
        <w:t xml:space="preserve"> </w:t>
      </w:r>
      <w:r w:rsidR="0013109A" w:rsidRPr="00D900FF">
        <w:rPr>
          <w:rFonts w:ascii="Times New Roman" w:hAnsi="Times New Roman"/>
        </w:rPr>
        <w:t>"</w:t>
      </w:r>
      <w:r w:rsidR="00DA65E0" w:rsidRPr="00D900FF">
        <w:rPr>
          <w:rFonts w:ascii="Times New Roman" w:hAnsi="Times New Roman"/>
        </w:rPr>
        <w:t>any charitable</w:t>
      </w:r>
      <w:r w:rsidR="0013109A" w:rsidRPr="00D900FF">
        <w:rPr>
          <w:rFonts w:ascii="Times New Roman" w:hAnsi="Times New Roman"/>
        </w:rPr>
        <w:t xml:space="preserve"> </w:t>
      </w:r>
      <w:r w:rsidR="00DA65E0" w:rsidRPr="00D900FF">
        <w:rPr>
          <w:rFonts w:ascii="Times New Roman" w:hAnsi="Times New Roman"/>
        </w:rPr>
        <w:t>institutions, bodies or organisations</w:t>
      </w:r>
      <w:r w:rsidR="0013109A" w:rsidRPr="00D900FF">
        <w:rPr>
          <w:rFonts w:ascii="Times New Roman" w:hAnsi="Times New Roman"/>
        </w:rPr>
        <w:t>"</w:t>
      </w:r>
      <w:r w:rsidR="00DA65E0" w:rsidRPr="00D900FF">
        <w:rPr>
          <w:rFonts w:ascii="Times New Roman" w:hAnsi="Times New Roman"/>
        </w:rPr>
        <w:t xml:space="preserve">, and certain Victorian incorporated associations. In the </w:t>
      </w:r>
      <w:r w:rsidR="00F258B4" w:rsidRPr="00D900FF">
        <w:rPr>
          <w:rFonts w:ascii="Times New Roman" w:hAnsi="Times New Roman"/>
        </w:rPr>
        <w:t>2017-</w:t>
      </w:r>
      <w:r w:rsidR="00DA65E0" w:rsidRPr="00D900FF">
        <w:rPr>
          <w:rFonts w:ascii="Times New Roman" w:hAnsi="Times New Roman"/>
        </w:rPr>
        <w:t xml:space="preserve">2018 to </w:t>
      </w:r>
      <w:r w:rsidR="00F258B4" w:rsidRPr="00D900FF">
        <w:rPr>
          <w:rFonts w:ascii="Times New Roman" w:hAnsi="Times New Roman"/>
        </w:rPr>
        <w:t>2023-</w:t>
      </w:r>
      <w:r w:rsidR="00DA65E0" w:rsidRPr="00D900FF">
        <w:rPr>
          <w:rFonts w:ascii="Times New Roman" w:hAnsi="Times New Roman"/>
        </w:rPr>
        <w:t xml:space="preserve">2024 financial years, Pilliwinks had total receipts of </w:t>
      </w:r>
      <w:r w:rsidR="0013109A" w:rsidRPr="00D900FF">
        <w:rPr>
          <w:rFonts w:ascii="Times New Roman" w:hAnsi="Times New Roman"/>
        </w:rPr>
        <w:t>$</w:t>
      </w:r>
      <w:r w:rsidR="00DA65E0" w:rsidRPr="00D900FF">
        <w:rPr>
          <w:rFonts w:ascii="Times New Roman" w:hAnsi="Times New Roman"/>
        </w:rPr>
        <w:t>2,583,799</w:t>
      </w:r>
      <w:r w:rsidR="0013109A" w:rsidRPr="00D900FF">
        <w:rPr>
          <w:rFonts w:ascii="Times New Roman" w:hAnsi="Times New Roman"/>
        </w:rPr>
        <w:t xml:space="preserve"> </w:t>
      </w:r>
      <w:r w:rsidR="00DA65E0" w:rsidRPr="00D900FF">
        <w:rPr>
          <w:rFonts w:ascii="Times New Roman" w:hAnsi="Times New Roman"/>
        </w:rPr>
        <w:t>from Morgan Stanley Wealth Management Australia Pty Ltd</w:t>
      </w:r>
      <w:r w:rsidR="000D3ED1" w:rsidRPr="00D900FF">
        <w:rPr>
          <w:rFonts w:ascii="Times New Roman" w:hAnsi="Times New Roman"/>
        </w:rPr>
        <w:t>.</w:t>
      </w:r>
      <w:r w:rsidR="00DA65E0" w:rsidRPr="00D900FF">
        <w:rPr>
          <w:rFonts w:ascii="Times New Roman" w:hAnsi="Times New Roman"/>
        </w:rPr>
        <w:t xml:space="preserve"> In the </w:t>
      </w:r>
      <w:r w:rsidR="00D4277C" w:rsidRPr="00D900FF">
        <w:rPr>
          <w:rFonts w:ascii="Times New Roman" w:hAnsi="Times New Roman"/>
        </w:rPr>
        <w:t>2021</w:t>
      </w:r>
      <w:r w:rsidR="00CC6DFA" w:rsidRPr="00D900FF">
        <w:rPr>
          <w:rFonts w:ascii="Times New Roman" w:hAnsi="Times New Roman"/>
        </w:rPr>
        <w:noBreakHyphen/>
      </w:r>
      <w:r w:rsidR="00DA65E0" w:rsidRPr="00D900FF">
        <w:rPr>
          <w:rFonts w:ascii="Times New Roman" w:hAnsi="Times New Roman"/>
        </w:rPr>
        <w:t>2022</w:t>
      </w:r>
      <w:r w:rsidR="000D3ED1" w:rsidRPr="00D900FF">
        <w:rPr>
          <w:rFonts w:ascii="Times New Roman" w:hAnsi="Times New Roman"/>
        </w:rPr>
        <w:t xml:space="preserve"> </w:t>
      </w:r>
      <w:r w:rsidR="00DA65E0" w:rsidRPr="00D900FF">
        <w:rPr>
          <w:rFonts w:ascii="Times New Roman" w:hAnsi="Times New Roman"/>
        </w:rPr>
        <w:t>financial year, the National Party of Australia – Victoria received $200,000 from</w:t>
      </w:r>
      <w:r w:rsidR="000D3ED1" w:rsidRPr="00D900FF">
        <w:rPr>
          <w:rFonts w:ascii="Times New Roman" w:hAnsi="Times New Roman"/>
        </w:rPr>
        <w:t xml:space="preserve"> </w:t>
      </w:r>
      <w:r w:rsidR="00DA65E0" w:rsidRPr="00D900FF">
        <w:rPr>
          <w:rFonts w:ascii="Times New Roman" w:hAnsi="Times New Roman"/>
        </w:rPr>
        <w:t>Pilliwinks.</w:t>
      </w:r>
    </w:p>
    <w:p w14:paraId="6E447DAD" w14:textId="72EDC50D" w:rsidR="00D55325" w:rsidRPr="00D900FF" w:rsidRDefault="00F531B4" w:rsidP="00D900FF">
      <w:pPr>
        <w:pStyle w:val="HeadingL1"/>
        <w:spacing w:after="260" w:line="280" w:lineRule="exact"/>
        <w:ind w:right="0"/>
        <w:jc w:val="both"/>
        <w:rPr>
          <w:rFonts w:ascii="Times New Roman" w:hAnsi="Times New Roman"/>
        </w:rPr>
      </w:pPr>
      <w:r w:rsidRPr="00D900FF">
        <w:rPr>
          <w:rFonts w:ascii="Times New Roman" w:hAnsi="Times New Roman"/>
        </w:rPr>
        <w:t>Implied freedom of political communication</w:t>
      </w:r>
    </w:p>
    <w:p w14:paraId="4FD14B7A" w14:textId="3E35296D" w:rsidR="00263D9B" w:rsidRPr="00D900FF" w:rsidRDefault="00F531B4"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263D9B" w:rsidRPr="00D900FF">
        <w:rPr>
          <w:rFonts w:ascii="Times New Roman" w:hAnsi="Times New Roman"/>
        </w:rPr>
        <w:t xml:space="preserve">Whether </w:t>
      </w:r>
      <w:r w:rsidR="00260A8C" w:rsidRPr="00D900FF">
        <w:rPr>
          <w:rFonts w:ascii="Times New Roman" w:hAnsi="Times New Roman"/>
        </w:rPr>
        <w:t>an impugned law</w:t>
      </w:r>
      <w:r w:rsidR="00263D9B" w:rsidRPr="00D900FF">
        <w:rPr>
          <w:rFonts w:ascii="Times New Roman" w:hAnsi="Times New Roman"/>
        </w:rPr>
        <w:t xml:space="preserve"> </w:t>
      </w:r>
      <w:r w:rsidR="00353B42" w:rsidRPr="00D900FF">
        <w:rPr>
          <w:rFonts w:ascii="Times New Roman" w:hAnsi="Times New Roman"/>
        </w:rPr>
        <w:t xml:space="preserve">is </w:t>
      </w:r>
      <w:r w:rsidR="00263D9B" w:rsidRPr="00D900FF">
        <w:rPr>
          <w:rFonts w:ascii="Times New Roman" w:hAnsi="Times New Roman"/>
        </w:rPr>
        <w:t>invalid for impermissibly burdening the</w:t>
      </w:r>
      <w:r w:rsidR="005818B9">
        <w:rPr>
          <w:rFonts w:ascii="Times New Roman" w:hAnsi="Times New Roman"/>
        </w:rPr>
        <w:t> </w:t>
      </w:r>
      <w:r w:rsidR="00263D9B" w:rsidRPr="00D900FF">
        <w:rPr>
          <w:rFonts w:ascii="Times New Roman" w:hAnsi="Times New Roman"/>
        </w:rPr>
        <w:t xml:space="preserve">implied freedom </w:t>
      </w:r>
      <w:r w:rsidR="00791D31" w:rsidRPr="00D900FF">
        <w:rPr>
          <w:rFonts w:ascii="Times New Roman" w:hAnsi="Times New Roman"/>
        </w:rPr>
        <w:t xml:space="preserve">of political communication </w:t>
      </w:r>
      <w:r w:rsidR="00263D9B" w:rsidRPr="00D900FF">
        <w:rPr>
          <w:rFonts w:ascii="Times New Roman" w:hAnsi="Times New Roman"/>
        </w:rPr>
        <w:t>falls to be assessed by reference to three well-established questions:</w:t>
      </w:r>
      <w:r w:rsidR="00263D9B" w:rsidRPr="00D900FF">
        <w:rPr>
          <w:rStyle w:val="FootnoteReference"/>
          <w:rFonts w:ascii="Times New Roman" w:hAnsi="Times New Roman"/>
          <w:sz w:val="24"/>
        </w:rPr>
        <w:footnoteReference w:id="49"/>
      </w:r>
      <w:r w:rsidR="00263D9B" w:rsidRPr="00D900FF">
        <w:rPr>
          <w:rFonts w:ascii="Times New Roman" w:hAnsi="Times New Roman"/>
        </w:rPr>
        <w:t xml:space="preserve"> (1)</w:t>
      </w:r>
      <w:r w:rsidR="00FC281C" w:rsidRPr="00D900FF">
        <w:rPr>
          <w:rFonts w:ascii="Times New Roman" w:hAnsi="Times New Roman"/>
        </w:rPr>
        <w:t> </w:t>
      </w:r>
      <w:r w:rsidR="00263D9B" w:rsidRPr="00D900FF">
        <w:rPr>
          <w:rFonts w:ascii="Times New Roman" w:hAnsi="Times New Roman"/>
        </w:rPr>
        <w:t>Do</w:t>
      </w:r>
      <w:r w:rsidR="002819AB" w:rsidRPr="00D900FF">
        <w:rPr>
          <w:rFonts w:ascii="Times New Roman" w:hAnsi="Times New Roman"/>
        </w:rPr>
        <w:t>es</w:t>
      </w:r>
      <w:r w:rsidR="00263D9B" w:rsidRPr="00D900FF">
        <w:rPr>
          <w:rFonts w:ascii="Times New Roman" w:hAnsi="Times New Roman"/>
        </w:rPr>
        <w:t xml:space="preserve"> the impugned </w:t>
      </w:r>
      <w:r w:rsidR="002819AB" w:rsidRPr="00D900FF">
        <w:rPr>
          <w:rFonts w:ascii="Times New Roman" w:hAnsi="Times New Roman"/>
        </w:rPr>
        <w:t xml:space="preserve">law </w:t>
      </w:r>
      <w:r w:rsidR="00263D9B" w:rsidRPr="00D900FF">
        <w:rPr>
          <w:rFonts w:ascii="Times New Roman" w:hAnsi="Times New Roman"/>
        </w:rPr>
        <w:t>effectively burden freedom of communication</w:t>
      </w:r>
      <w:r w:rsidR="00F2396F" w:rsidRPr="00D900FF">
        <w:rPr>
          <w:rFonts w:ascii="Times New Roman" w:hAnsi="Times New Roman"/>
        </w:rPr>
        <w:t xml:space="preserve"> about governmental </w:t>
      </w:r>
      <w:r w:rsidR="00EB16F5" w:rsidRPr="00D900FF">
        <w:rPr>
          <w:rFonts w:ascii="Times New Roman" w:hAnsi="Times New Roman"/>
        </w:rPr>
        <w:t>or political matters in its terms, operation or effect</w:t>
      </w:r>
      <w:r w:rsidR="00263D9B" w:rsidRPr="00D900FF">
        <w:rPr>
          <w:rFonts w:ascii="Times New Roman" w:hAnsi="Times New Roman"/>
        </w:rPr>
        <w:t>? (2)</w:t>
      </w:r>
      <w:r w:rsidR="00EB16F5" w:rsidRPr="00D900FF">
        <w:rPr>
          <w:rFonts w:ascii="Times New Roman" w:hAnsi="Times New Roman"/>
        </w:rPr>
        <w:t> </w:t>
      </w:r>
      <w:r w:rsidR="00263D9B" w:rsidRPr="00D900FF">
        <w:rPr>
          <w:rFonts w:ascii="Times New Roman" w:hAnsi="Times New Roman"/>
        </w:rPr>
        <w:t xml:space="preserve">Is the purpose of the </w:t>
      </w:r>
      <w:r w:rsidR="00EB16F5" w:rsidRPr="00D900FF">
        <w:rPr>
          <w:rFonts w:ascii="Times New Roman" w:hAnsi="Times New Roman"/>
        </w:rPr>
        <w:t>law</w:t>
      </w:r>
      <w:r w:rsidR="00263D9B" w:rsidRPr="00D900FF">
        <w:rPr>
          <w:rFonts w:ascii="Times New Roman" w:hAnsi="Times New Roman"/>
        </w:rPr>
        <w:t xml:space="preserve"> legitimate, in the sense that it is </w:t>
      </w:r>
      <w:r w:rsidR="00CA2ADB" w:rsidRPr="00D900FF">
        <w:rPr>
          <w:rFonts w:ascii="Times New Roman" w:hAnsi="Times New Roman"/>
        </w:rPr>
        <w:t xml:space="preserve">compatible </w:t>
      </w:r>
      <w:r w:rsidR="00263D9B" w:rsidRPr="00D900FF">
        <w:rPr>
          <w:rFonts w:ascii="Times New Roman" w:hAnsi="Times New Roman"/>
        </w:rPr>
        <w:t xml:space="preserve">with the maintenance of the constitutionally prescribed system of </w:t>
      </w:r>
      <w:r w:rsidR="00EA2938" w:rsidRPr="00D900FF">
        <w:rPr>
          <w:rFonts w:ascii="Times New Roman" w:hAnsi="Times New Roman"/>
        </w:rPr>
        <w:t>representative and responsible</w:t>
      </w:r>
      <w:r w:rsidR="00263D9B" w:rsidRPr="00D900FF">
        <w:rPr>
          <w:rFonts w:ascii="Times New Roman" w:hAnsi="Times New Roman"/>
        </w:rPr>
        <w:t xml:space="preserve"> government? (3)</w:t>
      </w:r>
      <w:r w:rsidR="002F1EE5" w:rsidRPr="00D900FF">
        <w:rPr>
          <w:rFonts w:ascii="Times New Roman" w:hAnsi="Times New Roman"/>
        </w:rPr>
        <w:t> </w:t>
      </w:r>
      <w:r w:rsidR="002819AB" w:rsidRPr="00D900FF">
        <w:rPr>
          <w:rFonts w:ascii="Times New Roman" w:hAnsi="Times New Roman"/>
        </w:rPr>
        <w:t xml:space="preserve">Is </w:t>
      </w:r>
      <w:r w:rsidR="00263D9B" w:rsidRPr="00D900FF">
        <w:rPr>
          <w:rFonts w:ascii="Times New Roman" w:hAnsi="Times New Roman"/>
        </w:rPr>
        <w:t xml:space="preserve">the impugned </w:t>
      </w:r>
      <w:r w:rsidR="002819AB" w:rsidRPr="00D900FF">
        <w:rPr>
          <w:rFonts w:ascii="Times New Roman" w:hAnsi="Times New Roman"/>
        </w:rPr>
        <w:t xml:space="preserve">law </w:t>
      </w:r>
      <w:r w:rsidR="00263D9B" w:rsidRPr="00D900FF">
        <w:rPr>
          <w:rFonts w:ascii="Times New Roman" w:hAnsi="Times New Roman"/>
        </w:rPr>
        <w:t xml:space="preserve">reasonably appropriate and adapted to advance that purpose in a manner </w:t>
      </w:r>
      <w:r w:rsidR="0064757E" w:rsidRPr="00D900FF">
        <w:rPr>
          <w:rFonts w:ascii="Times New Roman" w:hAnsi="Times New Roman"/>
        </w:rPr>
        <w:t xml:space="preserve">that is compatible </w:t>
      </w:r>
      <w:r w:rsidR="00263D9B" w:rsidRPr="00D900FF">
        <w:rPr>
          <w:rFonts w:ascii="Times New Roman" w:hAnsi="Times New Roman"/>
        </w:rPr>
        <w:t>with the maintenance of th</w:t>
      </w:r>
      <w:r w:rsidR="00B00D41" w:rsidRPr="00D900FF">
        <w:rPr>
          <w:rFonts w:ascii="Times New Roman" w:hAnsi="Times New Roman"/>
        </w:rPr>
        <w:t>at</w:t>
      </w:r>
      <w:r w:rsidR="00263D9B" w:rsidRPr="00D900FF">
        <w:rPr>
          <w:rFonts w:ascii="Times New Roman" w:hAnsi="Times New Roman"/>
        </w:rPr>
        <w:t xml:space="preserve"> constitutionally prescribed system of government? </w:t>
      </w:r>
    </w:p>
    <w:p w14:paraId="06591F9B" w14:textId="0C4B4693" w:rsidR="00535208" w:rsidRPr="00D900FF" w:rsidRDefault="008D513B" w:rsidP="00D900FF">
      <w:pPr>
        <w:pStyle w:val="HeadingL1"/>
        <w:spacing w:after="260" w:line="280" w:lineRule="exact"/>
        <w:ind w:right="0"/>
        <w:jc w:val="both"/>
        <w:rPr>
          <w:rFonts w:ascii="Times New Roman" w:hAnsi="Times New Roman"/>
        </w:rPr>
      </w:pPr>
      <w:r w:rsidRPr="00D900FF">
        <w:rPr>
          <w:rFonts w:ascii="Times New Roman" w:hAnsi="Times New Roman"/>
        </w:rPr>
        <w:lastRenderedPageBreak/>
        <w:t>Effective b</w:t>
      </w:r>
      <w:r w:rsidR="00535208" w:rsidRPr="00D900FF">
        <w:rPr>
          <w:rFonts w:ascii="Times New Roman" w:hAnsi="Times New Roman"/>
        </w:rPr>
        <w:t>urden</w:t>
      </w:r>
    </w:p>
    <w:p w14:paraId="0EF435ED" w14:textId="783DD826" w:rsidR="00D477ED" w:rsidRPr="00D900FF" w:rsidRDefault="00535208" w:rsidP="00D900FF">
      <w:pPr>
        <w:pStyle w:val="FixListStyle"/>
        <w:spacing w:after="260" w:line="280" w:lineRule="exact"/>
        <w:ind w:right="0"/>
        <w:jc w:val="both"/>
        <w:rPr>
          <w:rFonts w:ascii="Times New Roman" w:hAnsi="Times New Roman"/>
        </w:rPr>
      </w:pPr>
      <w:r w:rsidRPr="00D900FF">
        <w:rPr>
          <w:rFonts w:ascii="Times New Roman" w:hAnsi="Times New Roman"/>
        </w:rPr>
        <w:tab/>
      </w:r>
      <w:bookmarkStart w:id="0" w:name="_Ref220504535"/>
      <w:r w:rsidR="005A7D9C" w:rsidRPr="00D900FF">
        <w:rPr>
          <w:rFonts w:ascii="Times New Roman" w:hAnsi="Times New Roman"/>
        </w:rPr>
        <w:t xml:space="preserve">It is appropriate to consider the nature and extent of the burden imposed by the impugned </w:t>
      </w:r>
      <w:r w:rsidR="00545B99" w:rsidRPr="00D900FF">
        <w:rPr>
          <w:rFonts w:ascii="Times New Roman" w:hAnsi="Times New Roman"/>
        </w:rPr>
        <w:t xml:space="preserve">law </w:t>
      </w:r>
      <w:r w:rsidR="005A7D9C" w:rsidRPr="00D900FF">
        <w:rPr>
          <w:rFonts w:ascii="Times New Roman" w:hAnsi="Times New Roman"/>
        </w:rPr>
        <w:t xml:space="preserve">by reference to the legal effect and practical operation of Pt 12 in its operation with the nominated entity exception before considering whether the burden is justified, as this "serves to focus and </w:t>
      </w:r>
      <w:r w:rsidR="007F1AB3" w:rsidRPr="00D900FF">
        <w:rPr>
          <w:rFonts w:ascii="Times New Roman" w:hAnsi="Times New Roman"/>
        </w:rPr>
        <w:t xml:space="preserve">to </w:t>
      </w:r>
      <w:r w:rsidR="005A7D9C" w:rsidRPr="00D900FF">
        <w:rPr>
          <w:rFonts w:ascii="Times New Roman" w:hAnsi="Times New Roman"/>
        </w:rPr>
        <w:t xml:space="preserve">calibrate the inquiry" as to whether the impugned </w:t>
      </w:r>
      <w:r w:rsidR="00E155F4" w:rsidRPr="00D900FF">
        <w:rPr>
          <w:rFonts w:ascii="Times New Roman" w:hAnsi="Times New Roman"/>
        </w:rPr>
        <w:t>law is</w:t>
      </w:r>
      <w:r w:rsidR="005A7D9C" w:rsidRPr="00D900FF">
        <w:rPr>
          <w:rFonts w:ascii="Times New Roman" w:hAnsi="Times New Roman"/>
        </w:rPr>
        <w:t xml:space="preserve"> reasonably appropriate and adapted</w:t>
      </w:r>
      <w:r w:rsidR="00FD5304" w:rsidRPr="00D900FF">
        <w:rPr>
          <w:rFonts w:ascii="Times New Roman" w:hAnsi="Times New Roman"/>
        </w:rPr>
        <w:t xml:space="preserve"> </w:t>
      </w:r>
      <w:r w:rsidR="009C5819" w:rsidRPr="00D900FF">
        <w:rPr>
          <w:rFonts w:ascii="Times New Roman" w:hAnsi="Times New Roman"/>
        </w:rPr>
        <w:t>to serve a</w:t>
      </w:r>
      <w:r w:rsidR="005818B9">
        <w:rPr>
          <w:rFonts w:ascii="Times New Roman" w:hAnsi="Times New Roman"/>
        </w:rPr>
        <w:t> </w:t>
      </w:r>
      <w:r w:rsidR="009C5819" w:rsidRPr="00D900FF">
        <w:rPr>
          <w:rFonts w:ascii="Times New Roman" w:hAnsi="Times New Roman"/>
        </w:rPr>
        <w:t>legitimate end</w:t>
      </w:r>
      <w:r w:rsidR="005A7D9C" w:rsidRPr="00D900FF">
        <w:rPr>
          <w:rFonts w:ascii="Times New Roman" w:hAnsi="Times New Roman"/>
        </w:rPr>
        <w:t>.</w:t>
      </w:r>
      <w:r w:rsidR="005A7D9C" w:rsidRPr="00D900FF">
        <w:rPr>
          <w:rStyle w:val="FootnoteReference"/>
          <w:rFonts w:ascii="Times New Roman" w:hAnsi="Times New Roman"/>
          <w:sz w:val="24"/>
        </w:rPr>
        <w:footnoteReference w:id="50"/>
      </w:r>
      <w:r w:rsidR="005A7D9C" w:rsidRPr="00D900FF">
        <w:rPr>
          <w:rFonts w:ascii="Times New Roman" w:hAnsi="Times New Roman"/>
        </w:rPr>
        <w:t xml:space="preserve"> </w:t>
      </w:r>
      <w:r w:rsidR="00DC2DFD" w:rsidRPr="00D900FF">
        <w:rPr>
          <w:rFonts w:ascii="Times New Roman" w:hAnsi="Times New Roman"/>
        </w:rPr>
        <w:t>C</w:t>
      </w:r>
      <w:r w:rsidR="00762706" w:rsidRPr="00D900FF">
        <w:rPr>
          <w:rFonts w:ascii="Times New Roman" w:hAnsi="Times New Roman"/>
        </w:rPr>
        <w:t>onsideration of the constitutional validity of the nominated entity exception cannot be considered separate to</w:t>
      </w:r>
      <w:r w:rsidR="0026025C" w:rsidRPr="00D900FF">
        <w:rPr>
          <w:rFonts w:ascii="Times New Roman" w:hAnsi="Times New Roman"/>
        </w:rPr>
        <w:t>,</w:t>
      </w:r>
      <w:r w:rsidR="00762706" w:rsidRPr="00D900FF">
        <w:rPr>
          <w:rFonts w:ascii="Times New Roman" w:hAnsi="Times New Roman"/>
        </w:rPr>
        <w:t xml:space="preserve"> or divorced from</w:t>
      </w:r>
      <w:r w:rsidR="00C44EB5" w:rsidRPr="00D900FF">
        <w:rPr>
          <w:rFonts w:ascii="Times New Roman" w:hAnsi="Times New Roman"/>
        </w:rPr>
        <w:t>,</w:t>
      </w:r>
      <w:r w:rsidR="00762706" w:rsidRPr="00D900FF">
        <w:rPr>
          <w:rFonts w:ascii="Times New Roman" w:hAnsi="Times New Roman"/>
        </w:rPr>
        <w:t xml:space="preserve"> Pt 12.</w:t>
      </w:r>
      <w:r w:rsidR="000D1209" w:rsidRPr="00D900FF">
        <w:rPr>
          <w:rFonts w:ascii="Times New Roman" w:hAnsi="Times New Roman"/>
        </w:rPr>
        <w:t xml:space="preserve"> </w:t>
      </w:r>
      <w:bookmarkEnd w:id="0"/>
    </w:p>
    <w:p w14:paraId="1EEBCECC" w14:textId="274DF60A" w:rsidR="000B2170" w:rsidRPr="00D900FF" w:rsidRDefault="00D477ED"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171255" w:rsidRPr="00D900FF">
        <w:rPr>
          <w:rFonts w:ascii="Times New Roman" w:hAnsi="Times New Roman"/>
        </w:rPr>
        <w:t>The key provisions in Pt 12 that burden the implied freedom are ss 217D (the general cap) and 217E (the aggregation provision).</w:t>
      </w:r>
      <w:r w:rsidRPr="00D900FF">
        <w:rPr>
          <w:rFonts w:ascii="Times New Roman" w:hAnsi="Times New Roman"/>
        </w:rPr>
        <w:t xml:space="preserve"> </w:t>
      </w:r>
      <w:r w:rsidR="00171255" w:rsidRPr="00D900FF">
        <w:rPr>
          <w:rFonts w:ascii="Times New Roman" w:hAnsi="Times New Roman"/>
        </w:rPr>
        <w:t xml:space="preserve">Those sections </w:t>
      </w:r>
      <w:r w:rsidRPr="00D900FF">
        <w:rPr>
          <w:rFonts w:ascii="Times New Roman" w:hAnsi="Times New Roman"/>
        </w:rPr>
        <w:t xml:space="preserve">together produce the effect that </w:t>
      </w:r>
      <w:r w:rsidR="008C5F98" w:rsidRPr="00D900FF">
        <w:rPr>
          <w:rFonts w:ascii="Times New Roman" w:hAnsi="Times New Roman"/>
        </w:rPr>
        <w:t>a</w:t>
      </w:r>
      <w:r w:rsidRPr="00D900FF">
        <w:rPr>
          <w:rFonts w:ascii="Times New Roman" w:hAnsi="Times New Roman"/>
        </w:rPr>
        <w:t xml:space="preserve"> regulated </w:t>
      </w:r>
      <w:r w:rsidR="008C5F98" w:rsidRPr="00D900FF">
        <w:rPr>
          <w:rFonts w:ascii="Times New Roman" w:hAnsi="Times New Roman"/>
        </w:rPr>
        <w:t>person</w:t>
      </w:r>
      <w:r w:rsidRPr="00D900FF">
        <w:rPr>
          <w:rFonts w:ascii="Times New Roman" w:hAnsi="Times New Roman"/>
        </w:rPr>
        <w:t xml:space="preserve"> </w:t>
      </w:r>
      <w:r w:rsidR="008C5F98" w:rsidRPr="00D900FF">
        <w:rPr>
          <w:rFonts w:ascii="Times New Roman" w:hAnsi="Times New Roman"/>
        </w:rPr>
        <w:t xml:space="preserve">or </w:t>
      </w:r>
      <w:r w:rsidR="00182501" w:rsidRPr="00D900FF">
        <w:rPr>
          <w:rFonts w:ascii="Times New Roman" w:hAnsi="Times New Roman"/>
        </w:rPr>
        <w:t>entity</w:t>
      </w:r>
      <w:r w:rsidRPr="00D900FF">
        <w:rPr>
          <w:rFonts w:ascii="Times New Roman" w:hAnsi="Times New Roman"/>
        </w:rPr>
        <w:t xml:space="preserve"> can only receive political donations up to the amount of the general cap</w:t>
      </w:r>
      <w:r w:rsidR="00350E57" w:rsidRPr="00D900FF">
        <w:rPr>
          <w:rFonts w:ascii="Times New Roman" w:hAnsi="Times New Roman"/>
        </w:rPr>
        <w:t xml:space="preserve"> from a single donor</w:t>
      </w:r>
      <w:r w:rsidR="004071E8" w:rsidRPr="00D900FF">
        <w:rPr>
          <w:rFonts w:ascii="Times New Roman" w:hAnsi="Times New Roman"/>
        </w:rPr>
        <w:t xml:space="preserve"> (or source)</w:t>
      </w:r>
      <w:r w:rsidRPr="00D900FF">
        <w:rPr>
          <w:rFonts w:ascii="Times New Roman" w:hAnsi="Times New Roman"/>
        </w:rPr>
        <w:t>. A</w:t>
      </w:r>
      <w:r w:rsidR="005818B9">
        <w:rPr>
          <w:rFonts w:ascii="Times New Roman" w:hAnsi="Times New Roman"/>
        </w:rPr>
        <w:t> </w:t>
      </w:r>
      <w:r w:rsidRPr="00D900FF">
        <w:rPr>
          <w:rFonts w:ascii="Times New Roman" w:hAnsi="Times New Roman"/>
        </w:rPr>
        <w:t>cap on the amount in political donations from a single donor</w:t>
      </w:r>
      <w:r w:rsidR="00181BB2" w:rsidRPr="00D900FF">
        <w:rPr>
          <w:rFonts w:ascii="Times New Roman" w:hAnsi="Times New Roman"/>
        </w:rPr>
        <w:t xml:space="preserve"> </w:t>
      </w:r>
      <w:r w:rsidR="00873C39" w:rsidRPr="00D900FF">
        <w:rPr>
          <w:rFonts w:ascii="Times New Roman" w:hAnsi="Times New Roman"/>
        </w:rPr>
        <w:t>(</w:t>
      </w:r>
      <w:r w:rsidR="00181BB2" w:rsidRPr="00D900FF">
        <w:rPr>
          <w:rFonts w:ascii="Times New Roman" w:hAnsi="Times New Roman"/>
        </w:rPr>
        <w:t xml:space="preserve">or </w:t>
      </w:r>
      <w:r w:rsidRPr="00D900FF">
        <w:rPr>
          <w:rFonts w:ascii="Times New Roman" w:hAnsi="Times New Roman"/>
        </w:rPr>
        <w:t>source</w:t>
      </w:r>
      <w:r w:rsidR="00873C39" w:rsidRPr="00D900FF">
        <w:rPr>
          <w:rFonts w:ascii="Times New Roman" w:hAnsi="Times New Roman"/>
        </w:rPr>
        <w:t>)</w:t>
      </w:r>
      <w:r w:rsidRPr="00D900FF">
        <w:rPr>
          <w:rFonts w:ascii="Times New Roman" w:hAnsi="Times New Roman"/>
        </w:rPr>
        <w:t xml:space="preserve"> naturally corresponds with a reduction in the amounts </w:t>
      </w:r>
      <w:r w:rsidR="00B66B29" w:rsidRPr="00D900FF">
        <w:rPr>
          <w:rFonts w:ascii="Times New Roman" w:hAnsi="Times New Roman"/>
        </w:rPr>
        <w:t xml:space="preserve">to be </w:t>
      </w:r>
      <w:r w:rsidR="008C0627" w:rsidRPr="00D900FF">
        <w:rPr>
          <w:rFonts w:ascii="Times New Roman" w:hAnsi="Times New Roman"/>
        </w:rPr>
        <w:t>paid into the</w:t>
      </w:r>
      <w:r w:rsidRPr="00D900FF">
        <w:rPr>
          <w:rFonts w:ascii="Times New Roman" w:hAnsi="Times New Roman"/>
        </w:rPr>
        <w:t xml:space="preserve"> State </w:t>
      </w:r>
      <w:r w:rsidR="00883AEB" w:rsidRPr="00D900FF">
        <w:rPr>
          <w:rFonts w:ascii="Times New Roman" w:hAnsi="Times New Roman"/>
        </w:rPr>
        <w:t>c</w:t>
      </w:r>
      <w:r w:rsidRPr="00D900FF">
        <w:rPr>
          <w:rFonts w:ascii="Times New Roman" w:hAnsi="Times New Roman"/>
        </w:rPr>
        <w:t>ampaign account</w:t>
      </w:r>
      <w:r w:rsidR="00552D38" w:rsidRPr="00D900FF">
        <w:rPr>
          <w:rFonts w:ascii="Times New Roman" w:hAnsi="Times New Roman"/>
        </w:rPr>
        <w:t xml:space="preserve"> of that regulated person or entity</w:t>
      </w:r>
      <w:r w:rsidR="0034724F" w:rsidRPr="00D900FF">
        <w:rPr>
          <w:rFonts w:ascii="Times New Roman" w:hAnsi="Times New Roman"/>
        </w:rPr>
        <w:t>,</w:t>
      </w:r>
      <w:r w:rsidR="00B67229" w:rsidRPr="00D900FF">
        <w:rPr>
          <w:rStyle w:val="FootnoteReference"/>
          <w:rFonts w:ascii="Times New Roman" w:hAnsi="Times New Roman"/>
          <w:sz w:val="24"/>
        </w:rPr>
        <w:footnoteReference w:id="51"/>
      </w:r>
      <w:r w:rsidR="0034724F" w:rsidRPr="00D900FF">
        <w:rPr>
          <w:rFonts w:ascii="Times New Roman" w:hAnsi="Times New Roman"/>
        </w:rPr>
        <w:t xml:space="preserve"> t</w:t>
      </w:r>
      <w:r w:rsidR="00DA7B90" w:rsidRPr="00D900FF">
        <w:rPr>
          <w:rFonts w:ascii="Times New Roman" w:hAnsi="Times New Roman"/>
        </w:rPr>
        <w:t xml:space="preserve">he </w:t>
      </w:r>
      <w:r w:rsidRPr="00D900FF">
        <w:rPr>
          <w:rFonts w:ascii="Times New Roman" w:hAnsi="Times New Roman"/>
        </w:rPr>
        <w:t xml:space="preserve">assumption being that, without that limit, some donors may be inclined to donate more than the cap. </w:t>
      </w:r>
      <w:r w:rsidR="00D1216C" w:rsidRPr="00D900FF">
        <w:rPr>
          <w:rFonts w:ascii="Times New Roman" w:hAnsi="Times New Roman"/>
        </w:rPr>
        <w:t>The</w:t>
      </w:r>
      <w:r w:rsidR="005818B9">
        <w:rPr>
          <w:rFonts w:ascii="Times New Roman" w:hAnsi="Times New Roman"/>
        </w:rPr>
        <w:t> </w:t>
      </w:r>
      <w:r w:rsidR="00F4120F" w:rsidRPr="00D900FF">
        <w:rPr>
          <w:rFonts w:ascii="Times New Roman" w:hAnsi="Times New Roman"/>
        </w:rPr>
        <w:t>regulated person or entity therefore has</w:t>
      </w:r>
      <w:r w:rsidRPr="00D900FF">
        <w:rPr>
          <w:rFonts w:ascii="Times New Roman" w:hAnsi="Times New Roman"/>
        </w:rPr>
        <w:t xml:space="preserve"> less funds available for the purposes of political expenditure.</w:t>
      </w:r>
      <w:r w:rsidR="0011437D" w:rsidRPr="00D900FF">
        <w:rPr>
          <w:rStyle w:val="FootnoteReference"/>
          <w:rFonts w:ascii="Times New Roman" w:hAnsi="Times New Roman"/>
          <w:sz w:val="24"/>
        </w:rPr>
        <w:footnoteReference w:id="52"/>
      </w:r>
      <w:r w:rsidRPr="00D900FF">
        <w:rPr>
          <w:rFonts w:ascii="Times New Roman" w:hAnsi="Times New Roman"/>
        </w:rPr>
        <w:t xml:space="preserve"> </w:t>
      </w:r>
      <w:r w:rsidR="003F04FE" w:rsidRPr="00D900FF">
        <w:rPr>
          <w:rFonts w:ascii="Times New Roman" w:hAnsi="Times New Roman"/>
        </w:rPr>
        <w:t xml:space="preserve">In sum, the </w:t>
      </w:r>
      <w:r w:rsidR="002A36E0" w:rsidRPr="00D900FF">
        <w:rPr>
          <w:rFonts w:ascii="Times New Roman" w:hAnsi="Times New Roman"/>
        </w:rPr>
        <w:t>cap effects</w:t>
      </w:r>
      <w:r w:rsidR="00171255" w:rsidRPr="00D900FF">
        <w:rPr>
          <w:rFonts w:ascii="Times New Roman" w:hAnsi="Times New Roman"/>
        </w:rPr>
        <w:t xml:space="preserve"> "a restriction upon the funds available to </w:t>
      </w:r>
      <w:r w:rsidR="003A75BA" w:rsidRPr="00D900FF">
        <w:rPr>
          <w:rFonts w:ascii="Times New Roman" w:hAnsi="Times New Roman"/>
        </w:rPr>
        <w:t>[regulated persons or entities]</w:t>
      </w:r>
      <w:r w:rsidR="00171255" w:rsidRPr="00D900FF">
        <w:rPr>
          <w:rFonts w:ascii="Times New Roman" w:hAnsi="Times New Roman"/>
        </w:rPr>
        <w:t xml:space="preserve"> to meet the costs of political communication" by restricting the amounts that can be donated.</w:t>
      </w:r>
      <w:r w:rsidR="00171255" w:rsidRPr="00D900FF">
        <w:rPr>
          <w:rStyle w:val="FootnoteReference"/>
          <w:rFonts w:ascii="Times New Roman" w:hAnsi="Times New Roman"/>
          <w:sz w:val="24"/>
        </w:rPr>
        <w:footnoteReference w:id="53"/>
      </w:r>
    </w:p>
    <w:p w14:paraId="35EAEFD2" w14:textId="0323685E" w:rsidR="007453C2" w:rsidRPr="00D900FF" w:rsidRDefault="000B2170"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537F99" w:rsidRPr="00D900FF">
        <w:rPr>
          <w:rFonts w:ascii="Times New Roman" w:hAnsi="Times New Roman"/>
        </w:rPr>
        <w:t>The burden imposed by a cap on political donations is indirect.</w:t>
      </w:r>
      <w:r w:rsidR="00537F99" w:rsidRPr="00D900FF">
        <w:rPr>
          <w:rStyle w:val="FootnoteReference"/>
          <w:rFonts w:ascii="Times New Roman" w:hAnsi="Times New Roman"/>
          <w:sz w:val="24"/>
        </w:rPr>
        <w:footnoteReference w:id="54"/>
      </w:r>
      <w:r w:rsidR="00537F99" w:rsidRPr="00D900FF">
        <w:rPr>
          <w:rFonts w:ascii="Times New Roman" w:hAnsi="Times New Roman"/>
        </w:rPr>
        <w:t xml:space="preserve"> </w:t>
      </w:r>
      <w:r w:rsidR="00D16C86" w:rsidRPr="00D900FF">
        <w:rPr>
          <w:rFonts w:ascii="Times New Roman" w:hAnsi="Times New Roman"/>
        </w:rPr>
        <w:t>N</w:t>
      </w:r>
      <w:r w:rsidRPr="00D900FF">
        <w:rPr>
          <w:rFonts w:ascii="Times New Roman" w:hAnsi="Times New Roman"/>
        </w:rPr>
        <w:t>either</w:t>
      </w:r>
      <w:r w:rsidR="005818B9">
        <w:rPr>
          <w:rFonts w:ascii="Times New Roman" w:hAnsi="Times New Roman"/>
        </w:rPr>
        <w:t> </w:t>
      </w:r>
      <w:r w:rsidRPr="00D900FF">
        <w:rPr>
          <w:rFonts w:ascii="Times New Roman" w:hAnsi="Times New Roman"/>
        </w:rPr>
        <w:t xml:space="preserve">s 217D </w:t>
      </w:r>
      <w:r w:rsidR="007D2F35" w:rsidRPr="00D900FF">
        <w:rPr>
          <w:rFonts w:ascii="Times New Roman" w:hAnsi="Times New Roman"/>
        </w:rPr>
        <w:t>n</w:t>
      </w:r>
      <w:r w:rsidRPr="00D900FF">
        <w:rPr>
          <w:rFonts w:ascii="Times New Roman" w:hAnsi="Times New Roman"/>
        </w:rPr>
        <w:t xml:space="preserve">or </w:t>
      </w:r>
      <w:r w:rsidR="007D2F35" w:rsidRPr="00D900FF">
        <w:rPr>
          <w:rFonts w:ascii="Times New Roman" w:hAnsi="Times New Roman"/>
        </w:rPr>
        <w:t>s </w:t>
      </w:r>
      <w:r w:rsidRPr="00D900FF">
        <w:rPr>
          <w:rFonts w:ascii="Times New Roman" w:hAnsi="Times New Roman"/>
        </w:rPr>
        <w:t>217E is "in terms directed to communications or publications about governmental or political matters"</w:t>
      </w:r>
      <w:r w:rsidR="00873666" w:rsidRPr="00D900FF">
        <w:rPr>
          <w:rFonts w:ascii="Times New Roman" w:hAnsi="Times New Roman"/>
        </w:rPr>
        <w:t xml:space="preserve">, because neither is directed to </w:t>
      </w:r>
      <w:r w:rsidR="00873666" w:rsidRPr="00D900FF">
        <w:rPr>
          <w:rFonts w:ascii="Times New Roman" w:hAnsi="Times New Roman"/>
        </w:rPr>
        <w:lastRenderedPageBreak/>
        <w:t>communications at all</w:t>
      </w:r>
      <w:r w:rsidRPr="00D900FF">
        <w:rPr>
          <w:rFonts w:ascii="Times New Roman" w:hAnsi="Times New Roman"/>
        </w:rPr>
        <w:t>.</w:t>
      </w:r>
      <w:r w:rsidRPr="00D900FF">
        <w:rPr>
          <w:rStyle w:val="FootnoteReference"/>
          <w:rFonts w:ascii="Times New Roman" w:hAnsi="Times New Roman"/>
          <w:sz w:val="24"/>
        </w:rPr>
        <w:footnoteReference w:id="55"/>
      </w:r>
      <w:r w:rsidRPr="00D900FF">
        <w:rPr>
          <w:rFonts w:ascii="Times New Roman" w:hAnsi="Times New Roman"/>
        </w:rPr>
        <w:t xml:space="preserve"> The</w:t>
      </w:r>
      <w:r w:rsidR="007C6977" w:rsidRPr="00D900FF">
        <w:rPr>
          <w:rFonts w:ascii="Times New Roman" w:hAnsi="Times New Roman"/>
        </w:rPr>
        <w:t> </w:t>
      </w:r>
      <w:r w:rsidRPr="00D900FF">
        <w:rPr>
          <w:rFonts w:ascii="Times New Roman" w:hAnsi="Times New Roman"/>
        </w:rPr>
        <w:t xml:space="preserve">act of making a political donation is not </w:t>
      </w:r>
      <w:r w:rsidRPr="00D900FF">
        <w:rPr>
          <w:rFonts w:ascii="Times New Roman" w:hAnsi="Times New Roman"/>
          <w:i/>
          <w:iCs/>
        </w:rPr>
        <w:t>itself</w:t>
      </w:r>
      <w:r w:rsidRPr="00D900FF">
        <w:rPr>
          <w:rFonts w:ascii="Times New Roman" w:hAnsi="Times New Roman"/>
        </w:rPr>
        <w:t xml:space="preserve"> an act of communication.</w:t>
      </w:r>
      <w:r w:rsidRPr="00D900FF">
        <w:rPr>
          <w:rStyle w:val="FootnoteReference"/>
          <w:rFonts w:ascii="Times New Roman" w:hAnsi="Times New Roman"/>
          <w:sz w:val="24"/>
        </w:rPr>
        <w:footnoteReference w:id="56"/>
      </w:r>
      <w:r w:rsidRPr="00D900FF">
        <w:rPr>
          <w:rFonts w:ascii="Times New Roman" w:hAnsi="Times New Roman"/>
        </w:rPr>
        <w:t xml:space="preserve"> </w:t>
      </w:r>
    </w:p>
    <w:p w14:paraId="36C6D7FA" w14:textId="38553B85" w:rsidR="007453C2" w:rsidRPr="00D900FF" w:rsidRDefault="007453C2"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7B1597" w:rsidRPr="00D900FF">
        <w:rPr>
          <w:rFonts w:ascii="Times New Roman" w:hAnsi="Times New Roman"/>
        </w:rPr>
        <w:t>C</w:t>
      </w:r>
      <w:r w:rsidRPr="00D900FF">
        <w:rPr>
          <w:rFonts w:ascii="Times New Roman" w:hAnsi="Times New Roman"/>
        </w:rPr>
        <w:t>ontrary to the plaintiffs' submissions, the combined operation of the</w:t>
      </w:r>
      <w:r w:rsidR="005818B9">
        <w:rPr>
          <w:rFonts w:ascii="Times New Roman" w:hAnsi="Times New Roman"/>
        </w:rPr>
        <w:t> </w:t>
      </w:r>
      <w:r w:rsidRPr="00D900FF">
        <w:rPr>
          <w:rFonts w:ascii="Times New Roman" w:hAnsi="Times New Roman"/>
        </w:rPr>
        <w:t>general cap (s 217D) and the requirement that political expenditure be paid from a State campaign account (s 207F</w:t>
      </w:r>
      <w:r w:rsidR="00DB74C6" w:rsidRPr="00D900FF">
        <w:rPr>
          <w:rFonts w:ascii="Times New Roman" w:hAnsi="Times New Roman"/>
        </w:rPr>
        <w:t>(6)</w:t>
      </w:r>
      <w:r w:rsidRPr="00D900FF">
        <w:rPr>
          <w:rFonts w:ascii="Times New Roman" w:hAnsi="Times New Roman"/>
        </w:rPr>
        <w:t>) does not alter the characterisation of th</w:t>
      </w:r>
      <w:r w:rsidR="00C84594" w:rsidRPr="00D900FF">
        <w:rPr>
          <w:rFonts w:ascii="Times New Roman" w:hAnsi="Times New Roman"/>
        </w:rPr>
        <w:t xml:space="preserve">e burden imposed </w:t>
      </w:r>
      <w:r w:rsidRPr="00D900FF">
        <w:rPr>
          <w:rFonts w:ascii="Times New Roman" w:hAnsi="Times New Roman"/>
        </w:rPr>
        <w:t>as indirect. The</w:t>
      </w:r>
      <w:r w:rsidR="007C6977" w:rsidRPr="00D900FF">
        <w:rPr>
          <w:rFonts w:ascii="Times New Roman" w:hAnsi="Times New Roman"/>
        </w:rPr>
        <w:t> </w:t>
      </w:r>
      <w:r w:rsidRPr="00D900FF">
        <w:rPr>
          <w:rFonts w:ascii="Times New Roman" w:hAnsi="Times New Roman"/>
        </w:rPr>
        <w:t>plaintiffs contended</w:t>
      </w:r>
      <w:r w:rsidR="00DF7F6E" w:rsidRPr="00D900FF">
        <w:rPr>
          <w:rFonts w:ascii="Times New Roman" w:hAnsi="Times New Roman"/>
        </w:rPr>
        <w:t>, and Victoria did not seek to contradict,</w:t>
      </w:r>
      <w:r w:rsidRPr="00D900FF">
        <w:rPr>
          <w:rFonts w:ascii="Times New Roman" w:hAnsi="Times New Roman"/>
        </w:rPr>
        <w:t xml:space="preserve"> that the combined operation of those provisions </w:t>
      </w:r>
      <w:r w:rsidR="00344266" w:rsidRPr="00D900FF">
        <w:rPr>
          <w:rFonts w:ascii="Times New Roman" w:hAnsi="Times New Roman"/>
        </w:rPr>
        <w:t>i</w:t>
      </w:r>
      <w:r w:rsidRPr="00D900FF">
        <w:rPr>
          <w:rFonts w:ascii="Times New Roman" w:hAnsi="Times New Roman"/>
        </w:rPr>
        <w:t xml:space="preserve">s an "effective constraint" </w:t>
      </w:r>
      <w:r w:rsidR="00DF7F6E" w:rsidRPr="00D900FF">
        <w:rPr>
          <w:rFonts w:ascii="Times New Roman" w:hAnsi="Times New Roman"/>
        </w:rPr>
        <w:t xml:space="preserve">or limit </w:t>
      </w:r>
      <w:r w:rsidRPr="00D900FF">
        <w:rPr>
          <w:rFonts w:ascii="Times New Roman" w:hAnsi="Times New Roman"/>
        </w:rPr>
        <w:t xml:space="preserve">on </w:t>
      </w:r>
      <w:r w:rsidR="00DF7F6E" w:rsidRPr="00D900FF">
        <w:rPr>
          <w:rFonts w:ascii="Times New Roman" w:hAnsi="Times New Roman"/>
        </w:rPr>
        <w:t xml:space="preserve">political </w:t>
      </w:r>
      <w:r w:rsidRPr="00D900FF">
        <w:rPr>
          <w:rFonts w:ascii="Times New Roman" w:hAnsi="Times New Roman"/>
        </w:rPr>
        <w:t xml:space="preserve">expenditure. </w:t>
      </w:r>
      <w:r w:rsidR="00382859" w:rsidRPr="00D900FF">
        <w:rPr>
          <w:rFonts w:ascii="Times New Roman" w:hAnsi="Times New Roman"/>
        </w:rPr>
        <w:t>However, s </w:t>
      </w:r>
      <w:r w:rsidR="00020EB0" w:rsidRPr="00D900FF">
        <w:rPr>
          <w:rFonts w:ascii="Times New Roman" w:hAnsi="Times New Roman"/>
        </w:rPr>
        <w:t>207F does not impose a</w:t>
      </w:r>
      <w:r w:rsidR="005818B9">
        <w:rPr>
          <w:rFonts w:ascii="Times New Roman" w:hAnsi="Times New Roman"/>
        </w:rPr>
        <w:t> </w:t>
      </w:r>
      <w:r w:rsidR="00020EB0" w:rsidRPr="00D900FF">
        <w:rPr>
          <w:rFonts w:ascii="Times New Roman" w:hAnsi="Times New Roman"/>
        </w:rPr>
        <w:t>"de facto cap" on political expenditure</w:t>
      </w:r>
      <w:r w:rsidR="00382859" w:rsidRPr="00D900FF">
        <w:rPr>
          <w:rFonts w:ascii="Times New Roman" w:hAnsi="Times New Roman"/>
        </w:rPr>
        <w:t xml:space="preserve"> like the </w:t>
      </w:r>
      <w:r w:rsidR="00020EB0" w:rsidRPr="00D900FF">
        <w:rPr>
          <w:rFonts w:ascii="Times New Roman" w:hAnsi="Times New Roman"/>
        </w:rPr>
        <w:t>direct caps on electoral expenditure</w:t>
      </w:r>
      <w:r w:rsidR="006F4367" w:rsidRPr="00D900FF">
        <w:rPr>
          <w:rFonts w:ascii="Times New Roman" w:hAnsi="Times New Roman"/>
        </w:rPr>
        <w:t xml:space="preserve"> previously considered by this Court.</w:t>
      </w:r>
      <w:r w:rsidR="006F4367" w:rsidRPr="00D900FF">
        <w:rPr>
          <w:rStyle w:val="FootnoteReference"/>
          <w:rFonts w:ascii="Times New Roman" w:hAnsi="Times New Roman"/>
          <w:sz w:val="24"/>
        </w:rPr>
        <w:footnoteReference w:id="57"/>
      </w:r>
      <w:r w:rsidR="00020EB0" w:rsidRPr="00D900FF">
        <w:rPr>
          <w:rFonts w:ascii="Times New Roman" w:hAnsi="Times New Roman"/>
        </w:rPr>
        <w:t xml:space="preserve"> </w:t>
      </w:r>
      <w:r w:rsidR="00D045D6" w:rsidRPr="00D900FF">
        <w:rPr>
          <w:rFonts w:ascii="Times New Roman" w:hAnsi="Times New Roman"/>
        </w:rPr>
        <w:t xml:space="preserve">The </w:t>
      </w:r>
      <w:r w:rsidR="00D045D6" w:rsidRPr="00D900FF">
        <w:rPr>
          <w:rFonts w:ascii="Times New Roman" w:hAnsi="Times New Roman"/>
          <w:i/>
          <w:iCs/>
        </w:rPr>
        <w:t>Electoral Act</w:t>
      </w:r>
      <w:r w:rsidR="00D045D6" w:rsidRPr="00D900FF">
        <w:rPr>
          <w:rFonts w:ascii="Times New Roman" w:hAnsi="Times New Roman"/>
        </w:rPr>
        <w:t xml:space="preserve"> prescribes no </w:t>
      </w:r>
      <w:r w:rsidR="00444BAC" w:rsidRPr="00D900FF">
        <w:rPr>
          <w:rFonts w:ascii="Times New Roman" w:hAnsi="Times New Roman"/>
        </w:rPr>
        <w:t>ceiling on the amount</w:t>
      </w:r>
      <w:r w:rsidR="00D045D6" w:rsidRPr="00D900FF">
        <w:rPr>
          <w:rFonts w:ascii="Times New Roman" w:hAnsi="Times New Roman"/>
        </w:rPr>
        <w:t xml:space="preserve"> a regulated person or entity may spend</w:t>
      </w:r>
      <w:r w:rsidR="00BF483F" w:rsidRPr="00D900FF">
        <w:rPr>
          <w:rFonts w:ascii="Times New Roman" w:hAnsi="Times New Roman"/>
        </w:rPr>
        <w:t xml:space="preserve"> on political expenditure</w:t>
      </w:r>
      <w:r w:rsidR="00D045D6" w:rsidRPr="00D900FF">
        <w:rPr>
          <w:rFonts w:ascii="Times New Roman" w:hAnsi="Times New Roman"/>
        </w:rPr>
        <w:t>;</w:t>
      </w:r>
      <w:r w:rsidR="00713338" w:rsidRPr="00D900FF">
        <w:rPr>
          <w:rFonts w:ascii="Times New Roman" w:hAnsi="Times New Roman"/>
        </w:rPr>
        <w:t xml:space="preserve"> </w:t>
      </w:r>
      <w:r w:rsidR="00DF3BAD" w:rsidRPr="00D900FF">
        <w:rPr>
          <w:rFonts w:ascii="Times New Roman" w:hAnsi="Times New Roman"/>
        </w:rPr>
        <w:t>the</w:t>
      </w:r>
      <w:r w:rsidR="00D045D6" w:rsidRPr="00D900FF">
        <w:rPr>
          <w:rFonts w:ascii="Times New Roman" w:hAnsi="Times New Roman"/>
        </w:rPr>
        <w:t xml:space="preserve"> restriction </w:t>
      </w:r>
      <w:r w:rsidR="007F73CB" w:rsidRPr="00D900FF">
        <w:rPr>
          <w:rFonts w:ascii="Times New Roman" w:hAnsi="Times New Roman"/>
        </w:rPr>
        <w:t>on the funds available to a regulated person or entity arises, as explained above, by the operation of the general cap</w:t>
      </w:r>
      <w:r w:rsidR="00C7206B" w:rsidRPr="00D900FF">
        <w:rPr>
          <w:rFonts w:ascii="Times New Roman" w:hAnsi="Times New Roman"/>
        </w:rPr>
        <w:t>.</w:t>
      </w:r>
      <w:r w:rsidRPr="00D900FF">
        <w:rPr>
          <w:rStyle w:val="FootnoteReference"/>
          <w:rFonts w:ascii="Times New Roman" w:hAnsi="Times New Roman"/>
          <w:sz w:val="24"/>
        </w:rPr>
        <w:footnoteReference w:id="58"/>
      </w:r>
    </w:p>
    <w:p w14:paraId="437D1467" w14:textId="61650079" w:rsidR="000A10AE" w:rsidRPr="00D900FF" w:rsidRDefault="00C84594" w:rsidP="00D900FF">
      <w:pPr>
        <w:pStyle w:val="FixListStyle"/>
        <w:spacing w:after="260" w:line="280" w:lineRule="exact"/>
        <w:ind w:right="0"/>
        <w:jc w:val="both"/>
        <w:rPr>
          <w:rFonts w:ascii="Times New Roman" w:hAnsi="Times New Roman"/>
        </w:rPr>
      </w:pPr>
      <w:r w:rsidRPr="00D900FF">
        <w:rPr>
          <w:rFonts w:ascii="Times New Roman" w:hAnsi="Times New Roman"/>
        </w:rPr>
        <w:tab/>
        <w:t>Th</w:t>
      </w:r>
      <w:r w:rsidR="00A97934" w:rsidRPr="00D900FF">
        <w:rPr>
          <w:rFonts w:ascii="Times New Roman" w:hAnsi="Times New Roman"/>
        </w:rPr>
        <w:t>at</w:t>
      </w:r>
      <w:r w:rsidRPr="00D900FF">
        <w:rPr>
          <w:rFonts w:ascii="Times New Roman" w:hAnsi="Times New Roman"/>
        </w:rPr>
        <w:t xml:space="preserve"> burden is not insubstantial. </w:t>
      </w:r>
      <w:r w:rsidR="007B15A7" w:rsidRPr="00D900FF">
        <w:rPr>
          <w:rFonts w:ascii="Times New Roman" w:hAnsi="Times New Roman"/>
        </w:rPr>
        <w:t>T</w:t>
      </w:r>
      <w:r w:rsidR="003A7C18" w:rsidRPr="00D900FF">
        <w:rPr>
          <w:rFonts w:ascii="Times New Roman" w:hAnsi="Times New Roman"/>
        </w:rPr>
        <w:t>he general cap, as indexed, is $4,970</w:t>
      </w:r>
      <w:r w:rsidR="00BB6450" w:rsidRPr="00D900FF">
        <w:rPr>
          <w:rFonts w:ascii="Times New Roman" w:hAnsi="Times New Roman"/>
        </w:rPr>
        <w:t xml:space="preserve"> for the 2025-</w:t>
      </w:r>
      <w:r w:rsidR="00352E95" w:rsidRPr="00D900FF">
        <w:rPr>
          <w:rFonts w:ascii="Times New Roman" w:hAnsi="Times New Roman"/>
        </w:rPr>
        <w:t>20</w:t>
      </w:r>
      <w:r w:rsidR="00BB6450" w:rsidRPr="00D900FF">
        <w:rPr>
          <w:rFonts w:ascii="Times New Roman" w:hAnsi="Times New Roman"/>
        </w:rPr>
        <w:t>26 financial year</w:t>
      </w:r>
      <w:r w:rsidR="003A7C18" w:rsidRPr="00D900FF">
        <w:rPr>
          <w:rFonts w:ascii="Times New Roman" w:hAnsi="Times New Roman"/>
        </w:rPr>
        <w:t>.</w:t>
      </w:r>
      <w:r w:rsidR="003A7C18" w:rsidRPr="00D900FF">
        <w:rPr>
          <w:rStyle w:val="FootnoteReference"/>
          <w:rFonts w:ascii="Times New Roman" w:hAnsi="Times New Roman"/>
          <w:sz w:val="24"/>
        </w:rPr>
        <w:footnoteReference w:id="59"/>
      </w:r>
      <w:r w:rsidR="00987F95" w:rsidRPr="00D900FF">
        <w:rPr>
          <w:rFonts w:ascii="Times New Roman" w:hAnsi="Times New Roman"/>
        </w:rPr>
        <w:t xml:space="preserve"> </w:t>
      </w:r>
      <w:r w:rsidR="001F2E8B" w:rsidRPr="00D900FF">
        <w:rPr>
          <w:rFonts w:ascii="Times New Roman" w:hAnsi="Times New Roman"/>
        </w:rPr>
        <w:t xml:space="preserve">Prior to the introduction of the cap, </w:t>
      </w:r>
      <w:r w:rsidR="00903710" w:rsidRPr="00D900FF">
        <w:rPr>
          <w:rFonts w:ascii="Times New Roman" w:hAnsi="Times New Roman"/>
        </w:rPr>
        <w:t>the</w:t>
      </w:r>
      <w:r w:rsidR="007D5276">
        <w:rPr>
          <w:rFonts w:ascii="Times New Roman" w:hAnsi="Times New Roman"/>
        </w:rPr>
        <w:t> </w:t>
      </w:r>
      <w:r w:rsidR="00903710" w:rsidRPr="00D900FF">
        <w:rPr>
          <w:rFonts w:ascii="Times New Roman" w:hAnsi="Times New Roman"/>
          <w:i/>
          <w:iCs/>
        </w:rPr>
        <w:t>Electoral</w:t>
      </w:r>
      <w:r w:rsidR="007D5276">
        <w:rPr>
          <w:rFonts w:ascii="Times New Roman" w:hAnsi="Times New Roman"/>
          <w:i/>
          <w:iCs/>
        </w:rPr>
        <w:t> </w:t>
      </w:r>
      <w:r w:rsidR="00903710" w:rsidRPr="00D900FF">
        <w:rPr>
          <w:rFonts w:ascii="Times New Roman" w:hAnsi="Times New Roman"/>
          <w:i/>
          <w:iCs/>
        </w:rPr>
        <w:t>Act</w:t>
      </w:r>
      <w:r w:rsidR="00903710" w:rsidRPr="00D900FF">
        <w:rPr>
          <w:rFonts w:ascii="Times New Roman" w:hAnsi="Times New Roman"/>
        </w:rPr>
        <w:t xml:space="preserve"> only </w:t>
      </w:r>
      <w:r w:rsidR="00497352" w:rsidRPr="00D900FF">
        <w:rPr>
          <w:rFonts w:ascii="Times New Roman" w:hAnsi="Times New Roman"/>
        </w:rPr>
        <w:t xml:space="preserve">imposed a </w:t>
      </w:r>
      <w:r w:rsidR="00331F5D" w:rsidRPr="00D900FF">
        <w:rPr>
          <w:rFonts w:ascii="Times New Roman" w:hAnsi="Times New Roman"/>
        </w:rPr>
        <w:t>restriction</w:t>
      </w:r>
      <w:r w:rsidR="00497352" w:rsidRPr="00D900FF">
        <w:rPr>
          <w:rFonts w:ascii="Times New Roman" w:hAnsi="Times New Roman"/>
        </w:rPr>
        <w:t xml:space="preserve"> on</w:t>
      </w:r>
      <w:r w:rsidR="00903710" w:rsidRPr="00D900FF">
        <w:rPr>
          <w:rFonts w:ascii="Times New Roman" w:hAnsi="Times New Roman"/>
        </w:rPr>
        <w:t xml:space="preserve"> donations from </w:t>
      </w:r>
      <w:r w:rsidR="00646049" w:rsidRPr="00D900FF">
        <w:rPr>
          <w:rFonts w:ascii="Times New Roman" w:hAnsi="Times New Roman"/>
        </w:rPr>
        <w:t>certain casino and gambling licence holders</w:t>
      </w:r>
      <w:r w:rsidR="00331F5D" w:rsidRPr="00D900FF">
        <w:rPr>
          <w:rFonts w:ascii="Times New Roman" w:hAnsi="Times New Roman"/>
        </w:rPr>
        <w:t>, which were capped at $50,000</w:t>
      </w:r>
      <w:r w:rsidR="00646049" w:rsidRPr="00D900FF">
        <w:rPr>
          <w:rFonts w:ascii="Times New Roman" w:hAnsi="Times New Roman"/>
        </w:rPr>
        <w:t>.</w:t>
      </w:r>
      <w:r w:rsidR="00646049" w:rsidRPr="00D900FF">
        <w:rPr>
          <w:rStyle w:val="FootnoteReference"/>
          <w:rFonts w:ascii="Times New Roman" w:hAnsi="Times New Roman"/>
          <w:sz w:val="24"/>
        </w:rPr>
        <w:footnoteReference w:id="60"/>
      </w:r>
      <w:r w:rsidR="00903710" w:rsidRPr="00D900FF">
        <w:rPr>
          <w:rFonts w:ascii="Times New Roman" w:hAnsi="Times New Roman"/>
        </w:rPr>
        <w:t xml:space="preserve"> </w:t>
      </w:r>
      <w:r w:rsidR="0037130E" w:rsidRPr="00D900FF">
        <w:rPr>
          <w:rFonts w:ascii="Times New Roman" w:hAnsi="Times New Roman"/>
        </w:rPr>
        <w:t>Political donations were otherwise uncapped.</w:t>
      </w:r>
      <w:r w:rsidR="00246484" w:rsidRPr="00D900FF">
        <w:rPr>
          <w:rFonts w:ascii="Times New Roman" w:hAnsi="Times New Roman"/>
        </w:rPr>
        <w:t xml:space="preserve"> </w:t>
      </w:r>
      <w:r w:rsidR="00F91F7E" w:rsidRPr="00D900FF">
        <w:rPr>
          <w:rFonts w:ascii="Times New Roman" w:hAnsi="Times New Roman"/>
        </w:rPr>
        <w:t xml:space="preserve">The </w:t>
      </w:r>
      <w:r w:rsidR="00CD7661" w:rsidRPr="00D900FF">
        <w:rPr>
          <w:rFonts w:ascii="Times New Roman" w:hAnsi="Times New Roman"/>
        </w:rPr>
        <w:t>result</w:t>
      </w:r>
      <w:r w:rsidR="00F91F7E" w:rsidRPr="00D900FF">
        <w:rPr>
          <w:rFonts w:ascii="Times New Roman" w:hAnsi="Times New Roman"/>
        </w:rPr>
        <w:t xml:space="preserve"> </w:t>
      </w:r>
      <w:r w:rsidR="00F1276D" w:rsidRPr="00D900FF">
        <w:rPr>
          <w:rFonts w:ascii="Times New Roman" w:hAnsi="Times New Roman"/>
        </w:rPr>
        <w:t xml:space="preserve">of the general cap </w:t>
      </w:r>
      <w:r w:rsidR="00D62D00" w:rsidRPr="00D900FF">
        <w:rPr>
          <w:rFonts w:ascii="Times New Roman" w:hAnsi="Times New Roman"/>
        </w:rPr>
        <w:t xml:space="preserve">is </w:t>
      </w:r>
      <w:r w:rsidR="00F1276D" w:rsidRPr="00D900FF">
        <w:rPr>
          <w:rFonts w:ascii="Times New Roman" w:hAnsi="Times New Roman"/>
        </w:rPr>
        <w:t>that a regulated person or entity</w:t>
      </w:r>
      <w:r w:rsidR="0084129F" w:rsidRPr="00D900FF">
        <w:rPr>
          <w:rFonts w:ascii="Times New Roman" w:hAnsi="Times New Roman"/>
        </w:rPr>
        <w:t>, who could previously lawfully receive uncapped political donations</w:t>
      </w:r>
      <w:r w:rsidR="00665FD2" w:rsidRPr="00D900FF">
        <w:rPr>
          <w:rFonts w:ascii="Times New Roman" w:hAnsi="Times New Roman"/>
        </w:rPr>
        <w:t xml:space="preserve"> from almost any source</w:t>
      </w:r>
      <w:r w:rsidR="005A6B73" w:rsidRPr="00D900FF">
        <w:rPr>
          <w:rFonts w:ascii="Times New Roman" w:hAnsi="Times New Roman"/>
        </w:rPr>
        <w:t xml:space="preserve">, became subject to a </w:t>
      </w:r>
      <w:r w:rsidR="004B5AEF" w:rsidRPr="00D900FF">
        <w:rPr>
          <w:rFonts w:ascii="Times New Roman" w:hAnsi="Times New Roman"/>
        </w:rPr>
        <w:t>$4,000</w:t>
      </w:r>
      <w:r w:rsidR="009C5E3C" w:rsidRPr="00D900FF">
        <w:rPr>
          <w:rFonts w:ascii="Times New Roman" w:hAnsi="Times New Roman"/>
        </w:rPr>
        <w:t xml:space="preserve"> (indexed)</w:t>
      </w:r>
      <w:r w:rsidR="00665FD2" w:rsidRPr="00D900FF">
        <w:rPr>
          <w:rFonts w:ascii="Times New Roman" w:hAnsi="Times New Roman"/>
        </w:rPr>
        <w:t xml:space="preserve"> c</w:t>
      </w:r>
      <w:r w:rsidR="00153365" w:rsidRPr="00D900FF">
        <w:rPr>
          <w:rFonts w:ascii="Times New Roman" w:hAnsi="Times New Roman"/>
        </w:rPr>
        <w:t xml:space="preserve">ap </w:t>
      </w:r>
      <w:r w:rsidR="00CC52CB" w:rsidRPr="00D900FF">
        <w:rPr>
          <w:rFonts w:ascii="Times New Roman" w:hAnsi="Times New Roman"/>
        </w:rPr>
        <w:t>on donations from a</w:t>
      </w:r>
      <w:r w:rsidR="007D5276">
        <w:rPr>
          <w:rFonts w:ascii="Times New Roman" w:hAnsi="Times New Roman"/>
        </w:rPr>
        <w:t> </w:t>
      </w:r>
      <w:r w:rsidR="00CC52CB" w:rsidRPr="00D900FF">
        <w:rPr>
          <w:rFonts w:ascii="Times New Roman" w:hAnsi="Times New Roman"/>
        </w:rPr>
        <w:t>single donor</w:t>
      </w:r>
      <w:r w:rsidR="00153365" w:rsidRPr="00D900FF">
        <w:rPr>
          <w:rFonts w:ascii="Times New Roman" w:hAnsi="Times New Roman"/>
        </w:rPr>
        <w:t xml:space="preserve">, </w:t>
      </w:r>
      <w:r w:rsidR="00CC52CB" w:rsidRPr="00D900FF">
        <w:rPr>
          <w:rFonts w:ascii="Times New Roman" w:hAnsi="Times New Roman"/>
        </w:rPr>
        <w:t>which applies</w:t>
      </w:r>
      <w:r w:rsidR="00153365" w:rsidRPr="00D900FF">
        <w:rPr>
          <w:rFonts w:ascii="Times New Roman" w:hAnsi="Times New Roman"/>
        </w:rPr>
        <w:t xml:space="preserve"> over a multi-year period</w:t>
      </w:r>
      <w:r w:rsidR="00665FD2" w:rsidRPr="00D900FF">
        <w:rPr>
          <w:rFonts w:ascii="Times New Roman" w:hAnsi="Times New Roman"/>
        </w:rPr>
        <w:t>.</w:t>
      </w:r>
      <w:r w:rsidR="0084129F" w:rsidRPr="00D900FF">
        <w:rPr>
          <w:rFonts w:ascii="Times New Roman" w:hAnsi="Times New Roman"/>
        </w:rPr>
        <w:t xml:space="preserve"> </w:t>
      </w:r>
      <w:r w:rsidR="00B4290C" w:rsidRPr="00D900FF">
        <w:rPr>
          <w:rFonts w:ascii="Times New Roman" w:hAnsi="Times New Roman"/>
        </w:rPr>
        <w:t xml:space="preserve">Bearing out the substantial change effected by the </w:t>
      </w:r>
      <w:r w:rsidR="00825152" w:rsidRPr="00D900FF">
        <w:rPr>
          <w:rFonts w:ascii="Times New Roman" w:hAnsi="Times New Roman"/>
        </w:rPr>
        <w:t xml:space="preserve">general </w:t>
      </w:r>
      <w:r w:rsidR="00B4290C" w:rsidRPr="00D900FF">
        <w:rPr>
          <w:rFonts w:ascii="Times New Roman" w:hAnsi="Times New Roman"/>
        </w:rPr>
        <w:t>cap, i</w:t>
      </w:r>
      <w:r w:rsidR="00550856" w:rsidRPr="00D900FF">
        <w:rPr>
          <w:rFonts w:ascii="Times New Roman" w:hAnsi="Times New Roman"/>
        </w:rPr>
        <w:t>t was an agreed fact that</w:t>
      </w:r>
      <w:r w:rsidR="001E1C0B" w:rsidRPr="00D900FF">
        <w:rPr>
          <w:rFonts w:ascii="Times New Roman" w:hAnsi="Times New Roman"/>
        </w:rPr>
        <w:t>, in the 2022 State election</w:t>
      </w:r>
      <w:r w:rsidR="00550856" w:rsidRPr="00D900FF">
        <w:rPr>
          <w:rFonts w:ascii="Times New Roman" w:hAnsi="Times New Roman"/>
        </w:rPr>
        <w:t>, the second plaintiff would have received donations in excess of the</w:t>
      </w:r>
      <w:r w:rsidR="007D5276">
        <w:rPr>
          <w:rFonts w:ascii="Times New Roman" w:hAnsi="Times New Roman"/>
        </w:rPr>
        <w:t> </w:t>
      </w:r>
      <w:r w:rsidR="00550856" w:rsidRPr="00D900FF">
        <w:rPr>
          <w:rFonts w:ascii="Times New Roman" w:hAnsi="Times New Roman"/>
        </w:rPr>
        <w:t>general cap i</w:t>
      </w:r>
      <w:r w:rsidR="001E1C0B" w:rsidRPr="00D900FF">
        <w:rPr>
          <w:rFonts w:ascii="Times New Roman" w:hAnsi="Times New Roman"/>
        </w:rPr>
        <w:t xml:space="preserve">f lawfully permitted to do so, including donations </w:t>
      </w:r>
      <w:r w:rsidR="0050308C" w:rsidRPr="00D900FF">
        <w:rPr>
          <w:rFonts w:ascii="Times New Roman" w:hAnsi="Times New Roman"/>
        </w:rPr>
        <w:t xml:space="preserve">and "in-kind campaign support" </w:t>
      </w:r>
      <w:r w:rsidR="00341B64" w:rsidRPr="00D900FF">
        <w:rPr>
          <w:rFonts w:ascii="Times New Roman" w:hAnsi="Times New Roman"/>
        </w:rPr>
        <w:t xml:space="preserve">totalling between $50,000 and $200,000 </w:t>
      </w:r>
      <w:r w:rsidR="001E1C0B" w:rsidRPr="00D900FF">
        <w:rPr>
          <w:rFonts w:ascii="Times New Roman" w:hAnsi="Times New Roman"/>
        </w:rPr>
        <w:t xml:space="preserve">from </w:t>
      </w:r>
      <w:r w:rsidR="009F2A75" w:rsidRPr="00D900FF">
        <w:rPr>
          <w:rFonts w:ascii="Times New Roman" w:hAnsi="Times New Roman"/>
        </w:rPr>
        <w:t xml:space="preserve">Climate 200, </w:t>
      </w:r>
      <w:r w:rsidR="0050308C" w:rsidRPr="00D900FF">
        <w:rPr>
          <w:rFonts w:ascii="Times New Roman" w:hAnsi="Times New Roman"/>
        </w:rPr>
        <w:lastRenderedPageBreak/>
        <w:t>a</w:t>
      </w:r>
      <w:r w:rsidR="007D5276">
        <w:rPr>
          <w:rFonts w:ascii="Times New Roman" w:hAnsi="Times New Roman"/>
        </w:rPr>
        <w:t> </w:t>
      </w:r>
      <w:r w:rsidR="0050308C" w:rsidRPr="00D900FF">
        <w:rPr>
          <w:rFonts w:ascii="Times New Roman" w:hAnsi="Times New Roman"/>
        </w:rPr>
        <w:t xml:space="preserve">community crowd-funded initiative which provides support to federal and State independent candidates, </w:t>
      </w:r>
      <w:r w:rsidR="006613F4" w:rsidRPr="00D900FF">
        <w:rPr>
          <w:rFonts w:ascii="Times New Roman" w:hAnsi="Times New Roman"/>
        </w:rPr>
        <w:t>as well as</w:t>
      </w:r>
      <w:r w:rsidR="00F70CBB" w:rsidRPr="00D900FF">
        <w:rPr>
          <w:rFonts w:ascii="Times New Roman" w:hAnsi="Times New Roman"/>
        </w:rPr>
        <w:t xml:space="preserve"> donations from individual donors</w:t>
      </w:r>
      <w:r w:rsidR="0050308C" w:rsidRPr="00D900FF">
        <w:rPr>
          <w:rFonts w:ascii="Times New Roman" w:hAnsi="Times New Roman"/>
        </w:rPr>
        <w:t>.</w:t>
      </w:r>
    </w:p>
    <w:p w14:paraId="0BC94E80" w14:textId="46B63F4F" w:rsidR="00F531B4" w:rsidRPr="00D900FF" w:rsidRDefault="000A10AE"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867ECF" w:rsidRPr="00D900FF">
        <w:rPr>
          <w:rFonts w:ascii="Times New Roman" w:hAnsi="Times New Roman"/>
        </w:rPr>
        <w:t xml:space="preserve">Victoria submitted, and it may be accepted, </w:t>
      </w:r>
      <w:r w:rsidR="00C84594" w:rsidRPr="00D900FF">
        <w:rPr>
          <w:rFonts w:ascii="Times New Roman" w:hAnsi="Times New Roman"/>
        </w:rPr>
        <w:t>that the burden imposed by the</w:t>
      </w:r>
      <w:r w:rsidR="007D5276">
        <w:rPr>
          <w:rFonts w:ascii="Times New Roman" w:hAnsi="Times New Roman"/>
        </w:rPr>
        <w:t> </w:t>
      </w:r>
      <w:r w:rsidR="00C84594" w:rsidRPr="00D900FF">
        <w:rPr>
          <w:rFonts w:ascii="Times New Roman" w:hAnsi="Times New Roman"/>
        </w:rPr>
        <w:t>general cap is ameliorated to some extent by public fundin</w:t>
      </w:r>
      <w:r w:rsidR="00D424B3" w:rsidRPr="00D900FF">
        <w:rPr>
          <w:rFonts w:ascii="Times New Roman" w:hAnsi="Times New Roman"/>
        </w:rPr>
        <w:t>g</w:t>
      </w:r>
      <w:r w:rsidR="00D219BC" w:rsidRPr="00D900FF">
        <w:rPr>
          <w:rFonts w:ascii="Times New Roman" w:hAnsi="Times New Roman"/>
        </w:rPr>
        <w:t>, and that the</w:t>
      </w:r>
      <w:r w:rsidR="007D5276">
        <w:rPr>
          <w:rFonts w:ascii="Times New Roman" w:hAnsi="Times New Roman"/>
        </w:rPr>
        <w:t> </w:t>
      </w:r>
      <w:r w:rsidR="00D219BC" w:rsidRPr="00D900FF">
        <w:rPr>
          <w:rFonts w:ascii="Times New Roman" w:hAnsi="Times New Roman"/>
        </w:rPr>
        <w:t>2018</w:t>
      </w:r>
      <w:r w:rsidR="007D5276">
        <w:rPr>
          <w:rFonts w:ascii="Times New Roman" w:hAnsi="Times New Roman"/>
        </w:rPr>
        <w:t> </w:t>
      </w:r>
      <w:r w:rsidR="00D219BC" w:rsidRPr="00D900FF">
        <w:rPr>
          <w:rFonts w:ascii="Times New Roman" w:hAnsi="Times New Roman"/>
        </w:rPr>
        <w:t>Amendment Act increased the amount of public funding available</w:t>
      </w:r>
      <w:r w:rsidR="00ED5EDF" w:rsidRPr="00D900FF">
        <w:rPr>
          <w:rFonts w:ascii="Times New Roman" w:hAnsi="Times New Roman"/>
        </w:rPr>
        <w:t xml:space="preserve"> at least partly</w:t>
      </w:r>
      <w:r w:rsidR="00D219BC" w:rsidRPr="00D900FF">
        <w:rPr>
          <w:rFonts w:ascii="Times New Roman" w:hAnsi="Times New Roman"/>
        </w:rPr>
        <w:t xml:space="preserve"> in recognition of the effect of the general cap</w:t>
      </w:r>
      <w:r w:rsidR="00170274" w:rsidRPr="00D900FF">
        <w:rPr>
          <w:rFonts w:ascii="Times New Roman" w:hAnsi="Times New Roman"/>
        </w:rPr>
        <w:t>.</w:t>
      </w:r>
      <w:r w:rsidR="004055BF" w:rsidRPr="00D900FF">
        <w:rPr>
          <w:rStyle w:val="FootnoteReference"/>
          <w:rFonts w:ascii="Times New Roman" w:hAnsi="Times New Roman"/>
          <w:sz w:val="24"/>
        </w:rPr>
        <w:footnoteReference w:id="61"/>
      </w:r>
      <w:r w:rsidR="00170274" w:rsidRPr="00D900FF">
        <w:rPr>
          <w:rFonts w:ascii="Times New Roman" w:hAnsi="Times New Roman"/>
        </w:rPr>
        <w:t xml:space="preserve"> </w:t>
      </w:r>
      <w:r w:rsidR="00383320" w:rsidRPr="00D900FF">
        <w:rPr>
          <w:rFonts w:ascii="Times New Roman" w:hAnsi="Times New Roman"/>
        </w:rPr>
        <w:t>Ho</w:t>
      </w:r>
      <w:r w:rsidR="00862054" w:rsidRPr="00D900FF">
        <w:rPr>
          <w:rFonts w:ascii="Times New Roman" w:hAnsi="Times New Roman"/>
        </w:rPr>
        <w:t xml:space="preserve">wever, </w:t>
      </w:r>
      <w:r w:rsidR="00964362" w:rsidRPr="00D900FF">
        <w:rPr>
          <w:rFonts w:ascii="Times New Roman" w:hAnsi="Times New Roman"/>
        </w:rPr>
        <w:t xml:space="preserve">and despite that increase, </w:t>
      </w:r>
      <w:r w:rsidR="00C570E3" w:rsidRPr="00D900FF">
        <w:rPr>
          <w:rFonts w:ascii="Times New Roman" w:hAnsi="Times New Roman"/>
        </w:rPr>
        <w:t xml:space="preserve">the public funding </w:t>
      </w:r>
      <w:r w:rsidR="008654BD" w:rsidRPr="00D900FF">
        <w:rPr>
          <w:rFonts w:ascii="Times New Roman" w:hAnsi="Times New Roman"/>
        </w:rPr>
        <w:t>provided</w:t>
      </w:r>
      <w:r w:rsidR="005560E6" w:rsidRPr="00D900FF">
        <w:rPr>
          <w:rFonts w:ascii="Times New Roman" w:hAnsi="Times New Roman"/>
        </w:rPr>
        <w:t xml:space="preserve"> by the </w:t>
      </w:r>
      <w:r w:rsidR="005560E6" w:rsidRPr="00D900FF">
        <w:rPr>
          <w:rFonts w:ascii="Times New Roman" w:hAnsi="Times New Roman"/>
          <w:i/>
          <w:iCs/>
        </w:rPr>
        <w:t>Electoral Act</w:t>
      </w:r>
      <w:r w:rsidR="00481669" w:rsidRPr="00D900FF">
        <w:rPr>
          <w:rFonts w:ascii="Times New Roman" w:hAnsi="Times New Roman"/>
        </w:rPr>
        <w:t>:</w:t>
      </w:r>
      <w:r w:rsidR="0085766B" w:rsidRPr="00D900FF">
        <w:rPr>
          <w:rFonts w:ascii="Times New Roman" w:hAnsi="Times New Roman"/>
        </w:rPr>
        <w:t xml:space="preserve"> </w:t>
      </w:r>
      <w:r w:rsidR="007F728F" w:rsidRPr="00D900FF">
        <w:rPr>
          <w:rFonts w:ascii="Times New Roman" w:hAnsi="Times New Roman"/>
        </w:rPr>
        <w:t>(</w:t>
      </w:r>
      <w:proofErr w:type="spellStart"/>
      <w:r w:rsidR="007F728F" w:rsidRPr="00D900FF">
        <w:rPr>
          <w:rFonts w:ascii="Times New Roman" w:hAnsi="Times New Roman"/>
        </w:rPr>
        <w:t>i</w:t>
      </w:r>
      <w:proofErr w:type="spellEnd"/>
      <w:r w:rsidR="00CC1EDA" w:rsidRPr="00D900FF">
        <w:rPr>
          <w:rFonts w:ascii="Times New Roman" w:hAnsi="Times New Roman"/>
        </w:rPr>
        <w:t>)</w:t>
      </w:r>
      <w:r w:rsidR="008654BD" w:rsidRPr="00D900FF">
        <w:rPr>
          <w:rFonts w:ascii="Times New Roman" w:hAnsi="Times New Roman"/>
        </w:rPr>
        <w:t xml:space="preserve"> </w:t>
      </w:r>
      <w:r w:rsidR="00E15062" w:rsidRPr="00D900FF">
        <w:rPr>
          <w:rFonts w:ascii="Times New Roman" w:hAnsi="Times New Roman"/>
        </w:rPr>
        <w:t>is</w:t>
      </w:r>
      <w:r w:rsidR="001329FA" w:rsidRPr="00D900FF">
        <w:rPr>
          <w:rFonts w:ascii="Times New Roman" w:hAnsi="Times New Roman"/>
        </w:rPr>
        <w:t xml:space="preserve"> not necessarily equivalent to the amount a </w:t>
      </w:r>
      <w:r w:rsidR="00153527" w:rsidRPr="00D900FF">
        <w:rPr>
          <w:rFonts w:ascii="Times New Roman" w:hAnsi="Times New Roman"/>
        </w:rPr>
        <w:t>registered political party</w:t>
      </w:r>
      <w:r w:rsidR="001329FA" w:rsidRPr="00D900FF">
        <w:rPr>
          <w:rFonts w:ascii="Times New Roman" w:hAnsi="Times New Roman"/>
        </w:rPr>
        <w:t xml:space="preserve"> or candidate might otherwise have raised by way of political donations prior to the imposition of the </w:t>
      </w:r>
      <w:r w:rsidR="00BA76D8" w:rsidRPr="00D900FF">
        <w:rPr>
          <w:rFonts w:ascii="Times New Roman" w:hAnsi="Times New Roman"/>
        </w:rPr>
        <w:t xml:space="preserve">general </w:t>
      </w:r>
      <w:r w:rsidR="001329FA" w:rsidRPr="00D900FF">
        <w:rPr>
          <w:rFonts w:ascii="Times New Roman" w:hAnsi="Times New Roman"/>
        </w:rPr>
        <w:t>cap</w:t>
      </w:r>
      <w:r w:rsidR="007F728F" w:rsidRPr="00D900FF">
        <w:rPr>
          <w:rFonts w:ascii="Times New Roman" w:hAnsi="Times New Roman"/>
        </w:rPr>
        <w:t>; (ii)</w:t>
      </w:r>
      <w:r w:rsidR="002B50A1" w:rsidRPr="00D900FF">
        <w:rPr>
          <w:rFonts w:ascii="Times New Roman" w:hAnsi="Times New Roman"/>
        </w:rPr>
        <w:t> </w:t>
      </w:r>
      <w:r w:rsidR="00E15062" w:rsidRPr="00D900FF">
        <w:rPr>
          <w:rFonts w:ascii="Times New Roman" w:hAnsi="Times New Roman"/>
        </w:rPr>
        <w:t xml:space="preserve">is </w:t>
      </w:r>
      <w:r w:rsidR="007F728F" w:rsidRPr="00D900FF">
        <w:rPr>
          <w:rFonts w:ascii="Times New Roman" w:hAnsi="Times New Roman"/>
        </w:rPr>
        <w:t>generally paid in arrears</w:t>
      </w:r>
      <w:r w:rsidR="00E15062" w:rsidRPr="00D900FF">
        <w:rPr>
          <w:rFonts w:ascii="Times New Roman" w:hAnsi="Times New Roman"/>
        </w:rPr>
        <w:t>;</w:t>
      </w:r>
      <w:r w:rsidR="007F728F" w:rsidRPr="00D900FF">
        <w:rPr>
          <w:rFonts w:ascii="Times New Roman" w:hAnsi="Times New Roman"/>
        </w:rPr>
        <w:t xml:space="preserve"> and (iii)</w:t>
      </w:r>
      <w:r w:rsidR="002B50A1" w:rsidRPr="00D900FF">
        <w:rPr>
          <w:rFonts w:ascii="Times New Roman" w:hAnsi="Times New Roman"/>
        </w:rPr>
        <w:t> </w:t>
      </w:r>
      <w:r w:rsidR="003764B5" w:rsidRPr="00D900FF">
        <w:rPr>
          <w:rFonts w:ascii="Times New Roman" w:hAnsi="Times New Roman"/>
        </w:rPr>
        <w:t xml:space="preserve">has no impact on the burden in respect of regulated </w:t>
      </w:r>
      <w:r w:rsidR="009629DE" w:rsidRPr="00D900FF">
        <w:rPr>
          <w:rFonts w:ascii="Times New Roman" w:hAnsi="Times New Roman"/>
        </w:rPr>
        <w:t xml:space="preserve">persons and </w:t>
      </w:r>
      <w:r w:rsidR="003764B5" w:rsidRPr="00D900FF">
        <w:rPr>
          <w:rFonts w:ascii="Times New Roman" w:hAnsi="Times New Roman"/>
        </w:rPr>
        <w:t xml:space="preserve">entities </w:t>
      </w:r>
      <w:r w:rsidR="00990E72" w:rsidRPr="00D900FF">
        <w:rPr>
          <w:rFonts w:ascii="Times New Roman" w:hAnsi="Times New Roman"/>
        </w:rPr>
        <w:t>other than</w:t>
      </w:r>
      <w:r w:rsidR="003764B5" w:rsidRPr="00D900FF">
        <w:rPr>
          <w:rFonts w:ascii="Times New Roman" w:hAnsi="Times New Roman"/>
        </w:rPr>
        <w:t xml:space="preserve"> registered political parties or </w:t>
      </w:r>
      <w:r w:rsidR="00F6640D" w:rsidRPr="00D900FF">
        <w:rPr>
          <w:rFonts w:ascii="Times New Roman" w:hAnsi="Times New Roman"/>
        </w:rPr>
        <w:t xml:space="preserve">independent </w:t>
      </w:r>
      <w:r w:rsidR="003764B5" w:rsidRPr="00D900FF">
        <w:rPr>
          <w:rFonts w:ascii="Times New Roman" w:hAnsi="Times New Roman"/>
        </w:rPr>
        <w:t>candidates</w:t>
      </w:r>
      <w:r w:rsidR="0084134D" w:rsidRPr="00D900FF">
        <w:rPr>
          <w:rFonts w:ascii="Times New Roman" w:hAnsi="Times New Roman"/>
        </w:rPr>
        <w:t xml:space="preserve"> who satisfy the </w:t>
      </w:r>
      <w:r w:rsidR="00A53DCA" w:rsidRPr="00D900FF">
        <w:rPr>
          <w:rFonts w:ascii="Times New Roman" w:hAnsi="Times New Roman"/>
        </w:rPr>
        <w:t>eligibility criteria</w:t>
      </w:r>
      <w:r w:rsidR="003764B5" w:rsidRPr="00D900FF" w:rsidDel="00D01D89">
        <w:rPr>
          <w:rFonts w:ascii="Times New Roman" w:hAnsi="Times New Roman"/>
        </w:rPr>
        <w:t>.</w:t>
      </w:r>
      <w:r w:rsidR="008654BD" w:rsidRPr="00D900FF">
        <w:rPr>
          <w:rStyle w:val="FootnoteReference"/>
          <w:rFonts w:ascii="Times New Roman" w:hAnsi="Times New Roman"/>
          <w:sz w:val="24"/>
        </w:rPr>
        <w:footnoteReference w:id="62"/>
      </w:r>
      <w:r w:rsidR="00D01D89" w:rsidRPr="00D900FF">
        <w:rPr>
          <w:rFonts w:ascii="Times New Roman" w:hAnsi="Times New Roman"/>
        </w:rPr>
        <w:t xml:space="preserve"> </w:t>
      </w:r>
      <w:r w:rsidR="005F2CE7" w:rsidRPr="00D900FF">
        <w:rPr>
          <w:rFonts w:ascii="Times New Roman" w:hAnsi="Times New Roman"/>
        </w:rPr>
        <w:t xml:space="preserve">It follows that the </w:t>
      </w:r>
      <w:r w:rsidR="00BA76D8" w:rsidRPr="00D900FF">
        <w:rPr>
          <w:rFonts w:ascii="Times New Roman" w:hAnsi="Times New Roman"/>
        </w:rPr>
        <w:t xml:space="preserve">implied </w:t>
      </w:r>
      <w:r w:rsidR="005F2CE7" w:rsidRPr="00D900FF">
        <w:rPr>
          <w:rFonts w:ascii="Times New Roman" w:hAnsi="Times New Roman"/>
        </w:rPr>
        <w:t xml:space="preserve">freedom remains effectively </w:t>
      </w:r>
      <w:r w:rsidR="00BA76D8" w:rsidRPr="00D900FF">
        <w:rPr>
          <w:rFonts w:ascii="Times New Roman" w:hAnsi="Times New Roman"/>
        </w:rPr>
        <w:t xml:space="preserve">indirectly and not insubstantially </w:t>
      </w:r>
      <w:r w:rsidR="005F2CE7" w:rsidRPr="00D900FF">
        <w:rPr>
          <w:rFonts w:ascii="Times New Roman" w:hAnsi="Times New Roman"/>
        </w:rPr>
        <w:t>burdened by the general cap.</w:t>
      </w:r>
    </w:p>
    <w:p w14:paraId="05EACD7B" w14:textId="027F2CA8" w:rsidR="004358A9" w:rsidRPr="00D900FF" w:rsidRDefault="004358A9" w:rsidP="00D900FF">
      <w:pPr>
        <w:pStyle w:val="HeadingL2"/>
        <w:spacing w:after="260" w:line="280" w:lineRule="exact"/>
        <w:ind w:right="0"/>
        <w:jc w:val="both"/>
        <w:rPr>
          <w:rFonts w:ascii="Times New Roman" w:hAnsi="Times New Roman"/>
        </w:rPr>
      </w:pPr>
      <w:r w:rsidRPr="00D900FF">
        <w:rPr>
          <w:rFonts w:ascii="Times New Roman" w:hAnsi="Times New Roman"/>
        </w:rPr>
        <w:t>Differential burden</w:t>
      </w:r>
    </w:p>
    <w:p w14:paraId="0B71C3C2" w14:textId="63E7DDCD" w:rsidR="00F06773" w:rsidRPr="00D900FF" w:rsidRDefault="004358A9"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7B15A7" w:rsidRPr="00D900FF">
        <w:rPr>
          <w:rFonts w:ascii="Times New Roman" w:hAnsi="Times New Roman"/>
        </w:rPr>
        <w:t>I</w:t>
      </w:r>
      <w:r w:rsidR="00CE3D81" w:rsidRPr="00D900FF">
        <w:rPr>
          <w:rFonts w:ascii="Times New Roman" w:hAnsi="Times New Roman"/>
        </w:rPr>
        <w:t xml:space="preserve">t </w:t>
      </w:r>
      <w:r w:rsidR="007E5FF3" w:rsidRPr="00D900FF">
        <w:rPr>
          <w:rFonts w:ascii="Times New Roman" w:hAnsi="Times New Roman"/>
        </w:rPr>
        <w:t>i</w:t>
      </w:r>
      <w:r w:rsidR="00CE3D81" w:rsidRPr="00D900FF">
        <w:rPr>
          <w:rFonts w:ascii="Times New Roman" w:hAnsi="Times New Roman"/>
        </w:rPr>
        <w:t>s the existence of the nominated entity exception</w:t>
      </w:r>
      <w:r w:rsidR="00BD619F" w:rsidRPr="00D900FF">
        <w:rPr>
          <w:rFonts w:ascii="Times New Roman" w:hAnsi="Times New Roman"/>
        </w:rPr>
        <w:t xml:space="preserve"> </w:t>
      </w:r>
      <w:r w:rsidR="00CE3D81" w:rsidRPr="00D900FF">
        <w:rPr>
          <w:rFonts w:ascii="Times New Roman" w:hAnsi="Times New Roman"/>
        </w:rPr>
        <w:t xml:space="preserve">to which the plaintiffs </w:t>
      </w:r>
      <w:r w:rsidR="007E5FF3" w:rsidRPr="00D900FF">
        <w:rPr>
          <w:rFonts w:ascii="Times New Roman" w:hAnsi="Times New Roman"/>
        </w:rPr>
        <w:t xml:space="preserve">take </w:t>
      </w:r>
      <w:r w:rsidR="00CE3D81" w:rsidRPr="00D900FF">
        <w:rPr>
          <w:rFonts w:ascii="Times New Roman" w:hAnsi="Times New Roman"/>
        </w:rPr>
        <w:t xml:space="preserve">issue, and it </w:t>
      </w:r>
      <w:r w:rsidR="007E5FF3" w:rsidRPr="00D900FF">
        <w:rPr>
          <w:rFonts w:ascii="Times New Roman" w:hAnsi="Times New Roman"/>
        </w:rPr>
        <w:t xml:space="preserve">is </w:t>
      </w:r>
      <w:r w:rsidR="00CE3D81" w:rsidRPr="00D900FF">
        <w:rPr>
          <w:rFonts w:ascii="Times New Roman" w:hAnsi="Times New Roman"/>
        </w:rPr>
        <w:t xml:space="preserve">the general cap </w:t>
      </w:r>
      <w:r w:rsidR="00CE3D81" w:rsidRPr="00D900FF">
        <w:rPr>
          <w:rFonts w:ascii="Times New Roman" w:hAnsi="Times New Roman"/>
          <w:i/>
          <w:iCs/>
        </w:rPr>
        <w:t>in its operation with</w:t>
      </w:r>
      <w:r w:rsidR="00CE3D81" w:rsidRPr="00D900FF">
        <w:rPr>
          <w:rFonts w:ascii="Times New Roman" w:hAnsi="Times New Roman"/>
        </w:rPr>
        <w:t xml:space="preserve"> the nominated entity exception th</w:t>
      </w:r>
      <w:r w:rsidR="0018436D" w:rsidRPr="00D900FF">
        <w:rPr>
          <w:rFonts w:ascii="Times New Roman" w:hAnsi="Times New Roman"/>
        </w:rPr>
        <w:t xml:space="preserve">at, in the plaintiffs' submission, </w:t>
      </w:r>
      <w:r w:rsidR="00D62D00" w:rsidRPr="00D900FF">
        <w:rPr>
          <w:rFonts w:ascii="Times New Roman" w:hAnsi="Times New Roman"/>
        </w:rPr>
        <w:t xml:space="preserve">gives </w:t>
      </w:r>
      <w:r w:rsidR="0018436D" w:rsidRPr="00D900FF">
        <w:rPr>
          <w:rFonts w:ascii="Times New Roman" w:hAnsi="Times New Roman"/>
        </w:rPr>
        <w:t>rise to an impermissible burden on the implied freedom.</w:t>
      </w:r>
    </w:p>
    <w:p w14:paraId="7A7BEDFF" w14:textId="2E2A79F2" w:rsidR="00DF1C46" w:rsidRPr="00D900FF" w:rsidRDefault="00F06773"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358A9" w:rsidRPr="00D900FF">
        <w:rPr>
          <w:rFonts w:ascii="Times New Roman" w:hAnsi="Times New Roman"/>
        </w:rPr>
        <w:t xml:space="preserve">In its legal and practical operation, the general cap </w:t>
      </w:r>
      <w:r w:rsidR="0021556B" w:rsidRPr="00D900FF">
        <w:rPr>
          <w:rFonts w:ascii="Times New Roman" w:hAnsi="Times New Roman"/>
        </w:rPr>
        <w:t xml:space="preserve">in its operation </w:t>
      </w:r>
      <w:r w:rsidR="004358A9" w:rsidRPr="00D900FF">
        <w:rPr>
          <w:rFonts w:ascii="Times New Roman" w:hAnsi="Times New Roman"/>
        </w:rPr>
        <w:t>with the</w:t>
      </w:r>
      <w:r w:rsidR="007D5276">
        <w:rPr>
          <w:rFonts w:ascii="Times New Roman" w:hAnsi="Times New Roman"/>
        </w:rPr>
        <w:t> </w:t>
      </w:r>
      <w:r w:rsidR="004358A9" w:rsidRPr="00D900FF">
        <w:rPr>
          <w:rFonts w:ascii="Times New Roman" w:hAnsi="Times New Roman"/>
        </w:rPr>
        <w:t xml:space="preserve">nominated entity exception imposes a differential burden </w:t>
      </w:r>
      <w:r w:rsidR="007F0635" w:rsidRPr="00D900FF">
        <w:rPr>
          <w:rFonts w:ascii="Times New Roman" w:hAnsi="Times New Roman"/>
        </w:rPr>
        <w:t>on the implied freedom</w:t>
      </w:r>
      <w:r w:rsidR="004358A9" w:rsidRPr="00D900FF">
        <w:rPr>
          <w:rFonts w:ascii="Times New Roman" w:hAnsi="Times New Roman"/>
        </w:rPr>
        <w:t xml:space="preserve">. The differential nature of the burden has multiple aspects, each of which can incrementally contribute to a </w:t>
      </w:r>
      <w:r w:rsidR="00153527" w:rsidRPr="00D900FF">
        <w:rPr>
          <w:rFonts w:ascii="Times New Roman" w:hAnsi="Times New Roman"/>
        </w:rPr>
        <w:t>registered political party</w:t>
      </w:r>
      <w:r w:rsidR="00F97ACD" w:rsidRPr="00D900FF">
        <w:rPr>
          <w:rFonts w:ascii="Times New Roman" w:hAnsi="Times New Roman"/>
        </w:rPr>
        <w:t xml:space="preserve"> with a nominated entity</w:t>
      </w:r>
      <w:r w:rsidR="004358A9" w:rsidRPr="00D900FF">
        <w:rPr>
          <w:rFonts w:ascii="Times New Roman" w:hAnsi="Times New Roman"/>
        </w:rPr>
        <w:t xml:space="preserve"> </w:t>
      </w:r>
      <w:r w:rsidR="0046764A" w:rsidRPr="00D900FF">
        <w:rPr>
          <w:rFonts w:ascii="Times New Roman" w:hAnsi="Times New Roman"/>
        </w:rPr>
        <w:t xml:space="preserve">obtaining a substantial benefit </w:t>
      </w:r>
      <w:r w:rsidR="00F03E69" w:rsidRPr="00D900FF">
        <w:rPr>
          <w:rFonts w:ascii="Times New Roman" w:hAnsi="Times New Roman"/>
        </w:rPr>
        <w:t>from the nominated entity exception</w:t>
      </w:r>
      <w:r w:rsidR="00DB2A8F" w:rsidRPr="00D900FF">
        <w:rPr>
          <w:rFonts w:ascii="Times New Roman" w:hAnsi="Times New Roman"/>
        </w:rPr>
        <w:t xml:space="preserve"> not obtainable by other regulated persons or entit</w:t>
      </w:r>
      <w:r w:rsidR="006B3753" w:rsidRPr="00D900FF">
        <w:rPr>
          <w:rFonts w:ascii="Times New Roman" w:hAnsi="Times New Roman"/>
        </w:rPr>
        <w:t>ies</w:t>
      </w:r>
      <w:r w:rsidR="004358A9" w:rsidRPr="00D900FF">
        <w:rPr>
          <w:rFonts w:ascii="Times New Roman" w:hAnsi="Times New Roman"/>
        </w:rPr>
        <w:t>.</w:t>
      </w:r>
    </w:p>
    <w:p w14:paraId="5D672A66" w14:textId="27568F4A" w:rsidR="00DF1C46" w:rsidRPr="00D900FF" w:rsidRDefault="00206A6E"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358A9" w:rsidRPr="00D900FF">
        <w:rPr>
          <w:rFonts w:ascii="Times New Roman" w:hAnsi="Times New Roman"/>
        </w:rPr>
        <w:t xml:space="preserve">The first aspect of the differential burden arises from the </w:t>
      </w:r>
      <w:r w:rsidR="00D62D00" w:rsidRPr="00D900FF">
        <w:rPr>
          <w:rFonts w:ascii="Times New Roman" w:hAnsi="Times New Roman"/>
        </w:rPr>
        <w:t xml:space="preserve">nominated entity </w:t>
      </w:r>
      <w:r w:rsidR="004358A9" w:rsidRPr="00D900FF">
        <w:rPr>
          <w:rFonts w:ascii="Times New Roman" w:hAnsi="Times New Roman"/>
        </w:rPr>
        <w:t>exception itself.</w:t>
      </w:r>
      <w:r w:rsidR="00D97C13" w:rsidRPr="00D900FF">
        <w:rPr>
          <w:rFonts w:ascii="Times New Roman" w:hAnsi="Times New Roman"/>
        </w:rPr>
        <w:t xml:space="preserve"> The effect of the exception is to permit a registered political party, and no other regulated person or entity, to appoint an entity</w:t>
      </w:r>
      <w:r w:rsidR="00894E94" w:rsidRPr="00D900FF">
        <w:rPr>
          <w:rFonts w:ascii="Times New Roman" w:hAnsi="Times New Roman"/>
        </w:rPr>
        <w:t xml:space="preserve"> (which satisfies the</w:t>
      </w:r>
      <w:r w:rsidR="007D5276">
        <w:rPr>
          <w:rFonts w:ascii="Times New Roman" w:hAnsi="Times New Roman"/>
        </w:rPr>
        <w:t> </w:t>
      </w:r>
      <w:r w:rsidR="00894E94" w:rsidRPr="00D900FF">
        <w:rPr>
          <w:rFonts w:ascii="Times New Roman" w:hAnsi="Times New Roman"/>
        </w:rPr>
        <w:t>eligibility criteria</w:t>
      </w:r>
      <w:r w:rsidR="003B7607" w:rsidRPr="00D900FF">
        <w:rPr>
          <w:rFonts w:ascii="Times New Roman" w:hAnsi="Times New Roman"/>
        </w:rPr>
        <w:t xml:space="preserve"> in s 222F</w:t>
      </w:r>
      <w:r w:rsidR="00894E94" w:rsidRPr="00D900FF">
        <w:rPr>
          <w:rFonts w:ascii="Times New Roman" w:hAnsi="Times New Roman"/>
        </w:rPr>
        <w:t>)</w:t>
      </w:r>
      <w:r w:rsidR="00D97C13" w:rsidRPr="00D900FF">
        <w:rPr>
          <w:rFonts w:ascii="Times New Roman" w:hAnsi="Times New Roman"/>
        </w:rPr>
        <w:t xml:space="preserve"> from whom the party may receive uncapped funding.</w:t>
      </w:r>
    </w:p>
    <w:p w14:paraId="22D718F0" w14:textId="448EAD9B" w:rsidR="00024967" w:rsidRPr="00D900FF" w:rsidRDefault="00206A6E"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358A9" w:rsidRPr="00D900FF">
        <w:rPr>
          <w:rFonts w:ascii="Times New Roman" w:hAnsi="Times New Roman"/>
        </w:rPr>
        <w:t xml:space="preserve">The second aspect of the differential burden arises from the </w:t>
      </w:r>
      <w:r w:rsidR="000C589A" w:rsidRPr="00D900FF">
        <w:rPr>
          <w:rFonts w:ascii="Times New Roman" w:hAnsi="Times New Roman"/>
        </w:rPr>
        <w:t>time limita</w:t>
      </w:r>
      <w:r w:rsidR="00727886" w:rsidRPr="00D900FF">
        <w:rPr>
          <w:rFonts w:ascii="Times New Roman" w:hAnsi="Times New Roman"/>
        </w:rPr>
        <w:t>tion</w:t>
      </w:r>
      <w:r w:rsidR="004358A9" w:rsidRPr="00D900FF">
        <w:rPr>
          <w:rFonts w:ascii="Times New Roman" w:hAnsi="Times New Roman"/>
        </w:rPr>
        <w:t xml:space="preserve"> in s 222F(3). A nominated entity appointed prior to 1</w:t>
      </w:r>
      <w:r w:rsidR="00EC47F7" w:rsidRPr="00D900FF">
        <w:rPr>
          <w:rFonts w:ascii="Times New Roman" w:hAnsi="Times New Roman"/>
        </w:rPr>
        <w:t> </w:t>
      </w:r>
      <w:r w:rsidR="004358A9" w:rsidRPr="00D900FF">
        <w:rPr>
          <w:rFonts w:ascii="Times New Roman" w:hAnsi="Times New Roman"/>
        </w:rPr>
        <w:t xml:space="preserve">July 2020 did not have to </w:t>
      </w:r>
      <w:r w:rsidR="004358A9" w:rsidRPr="00D900FF">
        <w:rPr>
          <w:rFonts w:ascii="Times New Roman" w:hAnsi="Times New Roman"/>
        </w:rPr>
        <w:lastRenderedPageBreak/>
        <w:t>satisfy the more stringent criteria in s 222F(2).</w:t>
      </w:r>
      <w:r w:rsidR="006310BD" w:rsidRPr="00D900FF">
        <w:rPr>
          <w:rFonts w:ascii="Times New Roman" w:hAnsi="Times New Roman"/>
        </w:rPr>
        <w:t xml:space="preserve"> Section</w:t>
      </w:r>
      <w:r w:rsidR="00447080" w:rsidRPr="00D900FF">
        <w:rPr>
          <w:rFonts w:ascii="Times New Roman" w:hAnsi="Times New Roman"/>
        </w:rPr>
        <w:t> </w:t>
      </w:r>
      <w:r w:rsidR="006310BD" w:rsidRPr="00D900FF">
        <w:rPr>
          <w:rFonts w:ascii="Times New Roman" w:hAnsi="Times New Roman"/>
        </w:rPr>
        <w:t xml:space="preserve">222F therefore treated registered political parties which had appointed a nominated entity before 1 July 2020 ("pre-July 2020 parties") differently </w:t>
      </w:r>
      <w:r w:rsidR="00D62D00" w:rsidRPr="00D900FF">
        <w:rPr>
          <w:rFonts w:ascii="Times New Roman" w:hAnsi="Times New Roman"/>
        </w:rPr>
        <w:t xml:space="preserve">from </w:t>
      </w:r>
      <w:r w:rsidR="006310BD" w:rsidRPr="00D900FF">
        <w:rPr>
          <w:rFonts w:ascii="Times New Roman" w:hAnsi="Times New Roman"/>
        </w:rPr>
        <w:t xml:space="preserve">registered political parties seeking to appoint a nominated entity after that date ("post-July 2020 parties"). The result of that differential treatment </w:t>
      </w:r>
      <w:r w:rsidR="00DB2A8F" w:rsidRPr="00D900FF">
        <w:rPr>
          <w:rFonts w:ascii="Times New Roman" w:hAnsi="Times New Roman"/>
        </w:rPr>
        <w:t xml:space="preserve">is </w:t>
      </w:r>
      <w:r w:rsidR="006310BD" w:rsidRPr="00D900FF">
        <w:rPr>
          <w:rFonts w:ascii="Times New Roman" w:hAnsi="Times New Roman"/>
        </w:rPr>
        <w:t xml:space="preserve">that the nominated entity exception operated differently for the pre-July 2020 parties and post-July 2020 parties, and therefore the general cap operated differently for </w:t>
      </w:r>
      <w:r w:rsidR="003C0BC0" w:rsidRPr="00D900FF">
        <w:rPr>
          <w:rFonts w:ascii="Times New Roman" w:hAnsi="Times New Roman"/>
        </w:rPr>
        <w:t xml:space="preserve">nominated entities appointed prior to </w:t>
      </w:r>
      <w:r w:rsidR="005E236B" w:rsidRPr="00D900FF">
        <w:rPr>
          <w:rFonts w:ascii="Times New Roman" w:hAnsi="Times New Roman"/>
        </w:rPr>
        <w:t>1</w:t>
      </w:r>
      <w:r w:rsidR="00371364" w:rsidRPr="00D900FF">
        <w:rPr>
          <w:rFonts w:ascii="Times New Roman" w:hAnsi="Times New Roman"/>
        </w:rPr>
        <w:t> </w:t>
      </w:r>
      <w:r w:rsidR="006310BD" w:rsidRPr="00D900FF">
        <w:rPr>
          <w:rFonts w:ascii="Times New Roman" w:hAnsi="Times New Roman"/>
        </w:rPr>
        <w:t xml:space="preserve">July 2020 and </w:t>
      </w:r>
      <w:r w:rsidR="003C0BC0" w:rsidRPr="00D900FF">
        <w:rPr>
          <w:rFonts w:ascii="Times New Roman" w:hAnsi="Times New Roman"/>
        </w:rPr>
        <w:t xml:space="preserve">those </w:t>
      </w:r>
      <w:r w:rsidR="00B1193C" w:rsidRPr="00D900FF">
        <w:rPr>
          <w:rFonts w:ascii="Times New Roman" w:hAnsi="Times New Roman"/>
        </w:rPr>
        <w:t xml:space="preserve">appointed </w:t>
      </w:r>
      <w:r w:rsidR="003C0BC0" w:rsidRPr="00D900FF">
        <w:rPr>
          <w:rFonts w:ascii="Times New Roman" w:hAnsi="Times New Roman"/>
        </w:rPr>
        <w:t xml:space="preserve">after </w:t>
      </w:r>
      <w:r w:rsidR="005E236B" w:rsidRPr="00D900FF">
        <w:rPr>
          <w:rFonts w:ascii="Times New Roman" w:hAnsi="Times New Roman"/>
        </w:rPr>
        <w:t>1</w:t>
      </w:r>
      <w:r w:rsidR="00371364" w:rsidRPr="00D900FF">
        <w:rPr>
          <w:rFonts w:ascii="Times New Roman" w:hAnsi="Times New Roman"/>
        </w:rPr>
        <w:t> </w:t>
      </w:r>
      <w:r w:rsidR="006310BD" w:rsidRPr="00D900FF">
        <w:rPr>
          <w:rFonts w:ascii="Times New Roman" w:hAnsi="Times New Roman"/>
        </w:rPr>
        <w:t>July 2020.</w:t>
      </w:r>
      <w:r w:rsidR="004358A9" w:rsidRPr="00D900FF">
        <w:rPr>
          <w:rFonts w:ascii="Times New Roman" w:hAnsi="Times New Roman"/>
        </w:rPr>
        <w:t xml:space="preserve"> </w:t>
      </w:r>
      <w:r w:rsidR="0028584F" w:rsidRPr="00D900FF">
        <w:rPr>
          <w:rFonts w:ascii="Times New Roman" w:hAnsi="Times New Roman"/>
        </w:rPr>
        <w:t>Victoria accepted each of these aspects of the differential burden.</w:t>
      </w:r>
    </w:p>
    <w:p w14:paraId="5366E3B7" w14:textId="3236E8EA" w:rsidR="00A319EA" w:rsidRPr="00D900FF" w:rsidRDefault="00024967"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358A9" w:rsidRPr="00D900FF">
        <w:rPr>
          <w:rFonts w:ascii="Times New Roman" w:hAnsi="Times New Roman"/>
        </w:rPr>
        <w:t xml:space="preserve">The third aspect of the differential burden arises, as a matter of practical operation, from the existing assets of the </w:t>
      </w:r>
      <w:r w:rsidR="003266DA" w:rsidRPr="00D900FF">
        <w:rPr>
          <w:rFonts w:ascii="Times New Roman" w:hAnsi="Times New Roman"/>
        </w:rPr>
        <w:t>entity</w:t>
      </w:r>
      <w:r w:rsidR="006B3753" w:rsidRPr="00D900FF">
        <w:rPr>
          <w:rFonts w:ascii="Times New Roman" w:hAnsi="Times New Roman"/>
        </w:rPr>
        <w:t xml:space="preserve"> appointed as a nominated entity</w:t>
      </w:r>
      <w:r w:rsidR="004358A9" w:rsidRPr="00D900FF">
        <w:rPr>
          <w:rFonts w:ascii="Times New Roman" w:hAnsi="Times New Roman"/>
        </w:rPr>
        <w:t xml:space="preserve">. </w:t>
      </w:r>
      <w:r w:rsidR="00F138BA" w:rsidRPr="00D900FF">
        <w:rPr>
          <w:rFonts w:ascii="Times New Roman" w:hAnsi="Times New Roman"/>
        </w:rPr>
        <w:t xml:space="preserve">While, in its legal operation, the nominated entity exception </w:t>
      </w:r>
      <w:r w:rsidR="00700637" w:rsidRPr="00D900FF">
        <w:rPr>
          <w:rFonts w:ascii="Times New Roman" w:hAnsi="Times New Roman"/>
        </w:rPr>
        <w:t>permits</w:t>
      </w:r>
      <w:r w:rsidR="00F138BA" w:rsidRPr="00D900FF">
        <w:rPr>
          <w:rFonts w:ascii="Times New Roman" w:hAnsi="Times New Roman"/>
        </w:rPr>
        <w:t xml:space="preserve"> a registered political party access to uncapped funding from a nominated entity, that access to uncapped funding only </w:t>
      </w:r>
      <w:r w:rsidR="004E1FF1" w:rsidRPr="00D900FF">
        <w:rPr>
          <w:rFonts w:ascii="Times New Roman" w:hAnsi="Times New Roman"/>
        </w:rPr>
        <w:t>makes a difference</w:t>
      </w:r>
      <w:r w:rsidR="00F138BA" w:rsidRPr="00D900FF">
        <w:rPr>
          <w:rFonts w:ascii="Times New Roman" w:hAnsi="Times New Roman"/>
        </w:rPr>
        <w:t xml:space="preserve"> if the nominated entity has</w:t>
      </w:r>
      <w:r w:rsidR="00D52529" w:rsidRPr="00D900FF">
        <w:rPr>
          <w:rFonts w:ascii="Times New Roman" w:hAnsi="Times New Roman"/>
        </w:rPr>
        <w:t xml:space="preserve"> significant </w:t>
      </w:r>
      <w:r w:rsidR="00F138BA" w:rsidRPr="00D900FF">
        <w:rPr>
          <w:rFonts w:ascii="Times New Roman" w:hAnsi="Times New Roman"/>
        </w:rPr>
        <w:t xml:space="preserve">funds to contribute to the party. </w:t>
      </w:r>
      <w:r w:rsidR="00241902" w:rsidRPr="00D900FF">
        <w:rPr>
          <w:rFonts w:ascii="Times New Roman" w:hAnsi="Times New Roman"/>
        </w:rPr>
        <w:t>F</w:t>
      </w:r>
      <w:r w:rsidR="004358A9" w:rsidRPr="00D900FF">
        <w:rPr>
          <w:rFonts w:ascii="Times New Roman" w:hAnsi="Times New Roman"/>
        </w:rPr>
        <w:t>ollowing the commencement of the</w:t>
      </w:r>
      <w:r w:rsidR="007D5276">
        <w:rPr>
          <w:rFonts w:ascii="Times New Roman" w:hAnsi="Times New Roman"/>
        </w:rPr>
        <w:t> </w:t>
      </w:r>
      <w:r w:rsidR="004358A9" w:rsidRPr="00D900FF">
        <w:rPr>
          <w:rFonts w:ascii="Times New Roman" w:hAnsi="Times New Roman"/>
        </w:rPr>
        <w:t>2018</w:t>
      </w:r>
      <w:r w:rsidR="007D5276">
        <w:rPr>
          <w:rFonts w:ascii="Times New Roman" w:hAnsi="Times New Roman"/>
        </w:rPr>
        <w:t> </w:t>
      </w:r>
      <w:r w:rsidR="008D7D1C" w:rsidRPr="00D900FF">
        <w:rPr>
          <w:rFonts w:ascii="Times New Roman" w:hAnsi="Times New Roman"/>
        </w:rPr>
        <w:t>A</w:t>
      </w:r>
      <w:r w:rsidR="004358A9" w:rsidRPr="00D900FF">
        <w:rPr>
          <w:rFonts w:ascii="Times New Roman" w:hAnsi="Times New Roman"/>
        </w:rPr>
        <w:t>mendment</w:t>
      </w:r>
      <w:r w:rsidR="008D7D1C" w:rsidRPr="00D900FF">
        <w:rPr>
          <w:rFonts w:ascii="Times New Roman" w:hAnsi="Times New Roman"/>
        </w:rPr>
        <w:t xml:space="preserve"> Act</w:t>
      </w:r>
      <w:r w:rsidR="004358A9" w:rsidRPr="00D900FF">
        <w:rPr>
          <w:rFonts w:ascii="Times New Roman" w:hAnsi="Times New Roman"/>
        </w:rPr>
        <w:t>,</w:t>
      </w:r>
      <w:r w:rsidR="00CA4839" w:rsidRPr="00D900FF">
        <w:rPr>
          <w:rFonts w:ascii="Times New Roman" w:hAnsi="Times New Roman"/>
        </w:rPr>
        <w:t xml:space="preserve"> </w:t>
      </w:r>
      <w:r w:rsidR="00611EE0" w:rsidRPr="00D900FF">
        <w:rPr>
          <w:rFonts w:ascii="Times New Roman" w:hAnsi="Times New Roman"/>
        </w:rPr>
        <w:t>by</w:t>
      </w:r>
      <w:r w:rsidR="00CA4839" w:rsidRPr="00D900FF">
        <w:rPr>
          <w:rFonts w:ascii="Times New Roman" w:hAnsi="Times New Roman"/>
        </w:rPr>
        <w:t xml:space="preserve"> s 218B</w:t>
      </w:r>
      <w:r w:rsidR="004358A9" w:rsidRPr="00D900FF">
        <w:rPr>
          <w:rFonts w:ascii="Times New Roman" w:hAnsi="Times New Roman"/>
        </w:rPr>
        <w:t xml:space="preserve"> it was no longer </w:t>
      </w:r>
      <w:r w:rsidR="004353CB" w:rsidRPr="00D900FF">
        <w:rPr>
          <w:rFonts w:ascii="Times New Roman" w:hAnsi="Times New Roman"/>
        </w:rPr>
        <w:t xml:space="preserve">possible for </w:t>
      </w:r>
      <w:r w:rsidR="004358A9" w:rsidRPr="00D900FF">
        <w:rPr>
          <w:rFonts w:ascii="Times New Roman" w:hAnsi="Times New Roman"/>
        </w:rPr>
        <w:t xml:space="preserve">a </w:t>
      </w:r>
      <w:r w:rsidR="00153527" w:rsidRPr="00D900FF">
        <w:rPr>
          <w:rFonts w:ascii="Times New Roman" w:hAnsi="Times New Roman"/>
        </w:rPr>
        <w:t>registered political party</w:t>
      </w:r>
      <w:r w:rsidR="004358A9" w:rsidRPr="00D900FF">
        <w:rPr>
          <w:rFonts w:ascii="Times New Roman" w:hAnsi="Times New Roman"/>
        </w:rPr>
        <w:t xml:space="preserve"> to create and capitalise a new entity, and then appoint that entity as a nominated entity. </w:t>
      </w:r>
      <w:r w:rsidR="000B35D6" w:rsidRPr="00D900FF">
        <w:rPr>
          <w:rFonts w:ascii="Times New Roman" w:hAnsi="Times New Roman"/>
        </w:rPr>
        <w:t>It was possible for a party to nominate an uncapitalised entity but, as noted, that entity would be subject to the general cap on the receipt of donations</w:t>
      </w:r>
      <w:r w:rsidR="00701259" w:rsidRPr="00D900FF">
        <w:rPr>
          <w:rFonts w:ascii="Times New Roman" w:hAnsi="Times New Roman"/>
        </w:rPr>
        <w:t>,</w:t>
      </w:r>
      <w:r w:rsidR="000B35D6" w:rsidRPr="00D900FF">
        <w:rPr>
          <w:rFonts w:ascii="Times New Roman" w:hAnsi="Times New Roman"/>
        </w:rPr>
        <w:t xml:space="preserve"> restricting its capacity to raise funds. </w:t>
      </w:r>
      <w:r w:rsidR="004358A9" w:rsidRPr="00D900FF">
        <w:rPr>
          <w:rFonts w:ascii="Times New Roman" w:hAnsi="Times New Roman"/>
        </w:rPr>
        <w:t xml:space="preserve">In that way, s 218B </w:t>
      </w:r>
      <w:r w:rsidR="00D805D6" w:rsidRPr="00D900FF">
        <w:rPr>
          <w:rFonts w:ascii="Times New Roman" w:hAnsi="Times New Roman"/>
        </w:rPr>
        <w:t>contributes</w:t>
      </w:r>
      <w:r w:rsidR="004358A9" w:rsidRPr="00D900FF">
        <w:rPr>
          <w:rFonts w:ascii="Times New Roman" w:hAnsi="Times New Roman"/>
        </w:rPr>
        <w:t xml:space="preserve"> to the </w:t>
      </w:r>
      <w:r w:rsidR="004358A9" w:rsidRPr="00D900FF">
        <w:rPr>
          <w:rFonts w:ascii="Times New Roman" w:hAnsi="Times New Roman"/>
          <w:i/>
          <w:iCs/>
        </w:rPr>
        <w:t>practical</w:t>
      </w:r>
      <w:r w:rsidR="004358A9" w:rsidRPr="00D900FF">
        <w:rPr>
          <w:rFonts w:ascii="Times New Roman" w:hAnsi="Times New Roman"/>
        </w:rPr>
        <w:t xml:space="preserve"> burden presented by the nominated entity exception. A </w:t>
      </w:r>
      <w:r w:rsidR="00153527" w:rsidRPr="00D900FF">
        <w:rPr>
          <w:rFonts w:ascii="Times New Roman" w:hAnsi="Times New Roman"/>
        </w:rPr>
        <w:t>registered political party</w:t>
      </w:r>
      <w:r w:rsidR="004358A9" w:rsidRPr="00D900FF">
        <w:rPr>
          <w:rFonts w:ascii="Times New Roman" w:hAnsi="Times New Roman"/>
        </w:rPr>
        <w:t xml:space="preserve"> with a "pre</w:t>
      </w:r>
      <w:r w:rsidR="002F745E" w:rsidRPr="00D900FF">
        <w:rPr>
          <w:rFonts w:ascii="Times New Roman" w:hAnsi="Times New Roman"/>
        </w:rPr>
        <w:noBreakHyphen/>
      </w:r>
      <w:r w:rsidR="004358A9" w:rsidRPr="00D900FF">
        <w:rPr>
          <w:rFonts w:ascii="Times New Roman" w:hAnsi="Times New Roman"/>
        </w:rPr>
        <w:t>capitalised" entity eligible for appointment when the</w:t>
      </w:r>
      <w:r w:rsidR="007D5276">
        <w:rPr>
          <w:rFonts w:ascii="Times New Roman" w:hAnsi="Times New Roman"/>
        </w:rPr>
        <w:t> </w:t>
      </w:r>
      <w:r w:rsidR="004358A9" w:rsidRPr="00D900FF">
        <w:rPr>
          <w:rFonts w:ascii="Times New Roman" w:hAnsi="Times New Roman"/>
        </w:rPr>
        <w:t xml:space="preserve">2018 </w:t>
      </w:r>
      <w:r w:rsidR="002257C1" w:rsidRPr="00D900FF">
        <w:rPr>
          <w:rFonts w:ascii="Times New Roman" w:hAnsi="Times New Roman"/>
        </w:rPr>
        <w:t>A</w:t>
      </w:r>
      <w:r w:rsidR="004358A9" w:rsidRPr="00D900FF">
        <w:rPr>
          <w:rFonts w:ascii="Times New Roman" w:hAnsi="Times New Roman"/>
        </w:rPr>
        <w:t>mendment</w:t>
      </w:r>
      <w:r w:rsidR="002257C1" w:rsidRPr="00D900FF">
        <w:rPr>
          <w:rFonts w:ascii="Times New Roman" w:hAnsi="Times New Roman"/>
        </w:rPr>
        <w:t xml:space="preserve"> Act</w:t>
      </w:r>
      <w:r w:rsidR="004358A9" w:rsidRPr="00D900FF">
        <w:rPr>
          <w:rFonts w:ascii="Times New Roman" w:hAnsi="Times New Roman"/>
        </w:rPr>
        <w:t xml:space="preserve"> commenced could appoint that entity </w:t>
      </w:r>
      <w:r w:rsidR="00396379" w:rsidRPr="00D900FF">
        <w:rPr>
          <w:rFonts w:ascii="Times New Roman" w:hAnsi="Times New Roman"/>
        </w:rPr>
        <w:t xml:space="preserve">as its nominated entity </w:t>
      </w:r>
      <w:r w:rsidR="004358A9" w:rsidRPr="00D900FF">
        <w:rPr>
          <w:rFonts w:ascii="Times New Roman" w:hAnsi="Times New Roman"/>
        </w:rPr>
        <w:t>and receive uncapped transfers from the existing assets of that entity (</w:t>
      </w:r>
      <w:r w:rsidR="00DD4F65" w:rsidRPr="00D900FF">
        <w:rPr>
          <w:rFonts w:ascii="Times New Roman" w:hAnsi="Times New Roman"/>
        </w:rPr>
        <w:t>which</w:t>
      </w:r>
      <w:r w:rsidR="007D5276">
        <w:rPr>
          <w:rFonts w:ascii="Times New Roman" w:hAnsi="Times New Roman"/>
        </w:rPr>
        <w:t> </w:t>
      </w:r>
      <w:r w:rsidR="00DD4F65" w:rsidRPr="00D900FF">
        <w:rPr>
          <w:rFonts w:ascii="Times New Roman" w:hAnsi="Times New Roman"/>
        </w:rPr>
        <w:t xml:space="preserve">had been </w:t>
      </w:r>
      <w:r w:rsidR="0058471A" w:rsidRPr="00D900FF">
        <w:rPr>
          <w:rFonts w:ascii="Times New Roman" w:hAnsi="Times New Roman"/>
        </w:rPr>
        <w:t xml:space="preserve">accumulated </w:t>
      </w:r>
      <w:r w:rsidR="00EE2866" w:rsidRPr="00D900FF">
        <w:rPr>
          <w:rFonts w:ascii="Times New Roman" w:hAnsi="Times New Roman"/>
        </w:rPr>
        <w:t>without being subject to</w:t>
      </w:r>
      <w:r w:rsidR="00185E07" w:rsidRPr="00D900FF">
        <w:rPr>
          <w:rFonts w:ascii="Times New Roman" w:hAnsi="Times New Roman"/>
        </w:rPr>
        <w:t xml:space="preserve"> the general cap</w:t>
      </w:r>
      <w:r w:rsidR="004358A9" w:rsidRPr="00D900FF">
        <w:rPr>
          <w:rFonts w:ascii="Times New Roman" w:hAnsi="Times New Roman"/>
        </w:rPr>
        <w:t xml:space="preserve">). </w:t>
      </w:r>
    </w:p>
    <w:p w14:paraId="0CBFC497" w14:textId="4348DEC9" w:rsidR="00F048AE" w:rsidRPr="00D900FF" w:rsidRDefault="00A319EA"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358A9" w:rsidRPr="00D900FF">
        <w:rPr>
          <w:rFonts w:ascii="Times New Roman" w:hAnsi="Times New Roman"/>
        </w:rPr>
        <w:t xml:space="preserve">As a matter of practical operation, </w:t>
      </w:r>
      <w:r w:rsidR="00356E10" w:rsidRPr="00D900FF">
        <w:rPr>
          <w:rFonts w:ascii="Times New Roman" w:hAnsi="Times New Roman"/>
        </w:rPr>
        <w:t xml:space="preserve">there is no dispute that </w:t>
      </w:r>
      <w:r w:rsidR="004358A9" w:rsidRPr="00D900FF">
        <w:rPr>
          <w:rFonts w:ascii="Times New Roman" w:hAnsi="Times New Roman"/>
        </w:rPr>
        <w:t xml:space="preserve">only three parties have obtained the benefit of the nominated entity exception </w:t>
      </w:r>
      <w:r w:rsidR="00EE2866" w:rsidRPr="00D900FF">
        <w:rPr>
          <w:rFonts w:ascii="Times New Roman" w:hAnsi="Times New Roman"/>
        </w:rPr>
        <w:t>–</w:t>
      </w:r>
      <w:r w:rsidR="004358A9" w:rsidRPr="00D900FF">
        <w:rPr>
          <w:rFonts w:ascii="Times New Roman" w:hAnsi="Times New Roman"/>
        </w:rPr>
        <w:t xml:space="preserve"> the major parties.</w:t>
      </w:r>
      <w:r w:rsidR="009A6443" w:rsidRPr="00D900FF">
        <w:rPr>
          <w:rStyle w:val="FootnoteReference"/>
          <w:rFonts w:ascii="Times New Roman" w:hAnsi="Times New Roman"/>
          <w:sz w:val="24"/>
        </w:rPr>
        <w:footnoteReference w:id="63"/>
      </w:r>
      <w:r w:rsidR="004358A9" w:rsidRPr="00D900FF">
        <w:rPr>
          <w:rFonts w:ascii="Times New Roman" w:hAnsi="Times New Roman"/>
        </w:rPr>
        <w:t xml:space="preserve"> All three parties appointed their nominated entities prior to 1 July 2020, and</w:t>
      </w:r>
      <w:r w:rsidR="007D5276">
        <w:rPr>
          <w:rFonts w:ascii="Times New Roman" w:hAnsi="Times New Roman"/>
        </w:rPr>
        <w:t> </w:t>
      </w:r>
      <w:r w:rsidR="004358A9" w:rsidRPr="00D900FF">
        <w:rPr>
          <w:rFonts w:ascii="Times New Roman" w:hAnsi="Times New Roman"/>
        </w:rPr>
        <w:t>therefore could benefit from the broader criteria in s 222F(3)</w:t>
      </w:r>
      <w:r w:rsidR="00396379" w:rsidRPr="00D900FF">
        <w:rPr>
          <w:rFonts w:ascii="Times New Roman" w:hAnsi="Times New Roman"/>
        </w:rPr>
        <w:t xml:space="preserve"> (although they did not necessarily do so</w:t>
      </w:r>
      <w:r w:rsidR="00164E2B" w:rsidRPr="00D900FF">
        <w:rPr>
          <w:rStyle w:val="FootnoteReference"/>
          <w:rFonts w:ascii="Times New Roman" w:hAnsi="Times New Roman"/>
          <w:sz w:val="24"/>
        </w:rPr>
        <w:footnoteReference w:id="64"/>
      </w:r>
      <w:r w:rsidR="00396379" w:rsidRPr="00D900FF">
        <w:rPr>
          <w:rFonts w:ascii="Times New Roman" w:hAnsi="Times New Roman"/>
        </w:rPr>
        <w:t>)</w:t>
      </w:r>
      <w:r w:rsidR="00FA1608" w:rsidRPr="00D900FF">
        <w:rPr>
          <w:rFonts w:ascii="Times New Roman" w:hAnsi="Times New Roman"/>
        </w:rPr>
        <w:t>.</w:t>
      </w:r>
      <w:r w:rsidR="004358A9" w:rsidRPr="00D900FF">
        <w:rPr>
          <w:rFonts w:ascii="Times New Roman" w:hAnsi="Times New Roman"/>
        </w:rPr>
        <w:t xml:space="preserve"> All three parties also had </w:t>
      </w:r>
      <w:r w:rsidR="008C096C" w:rsidRPr="00D900FF">
        <w:rPr>
          <w:rFonts w:ascii="Times New Roman" w:hAnsi="Times New Roman"/>
        </w:rPr>
        <w:t xml:space="preserve">relationships with </w:t>
      </w:r>
      <w:r w:rsidR="004358A9" w:rsidRPr="00D900FF">
        <w:rPr>
          <w:rFonts w:ascii="Times New Roman" w:hAnsi="Times New Roman"/>
        </w:rPr>
        <w:t>entities</w:t>
      </w:r>
      <w:r w:rsidR="00481CDF" w:rsidRPr="00D900FF">
        <w:rPr>
          <w:rFonts w:ascii="Times New Roman" w:hAnsi="Times New Roman"/>
        </w:rPr>
        <w:t xml:space="preserve"> that were</w:t>
      </w:r>
      <w:r w:rsidR="004358A9" w:rsidRPr="00D900FF">
        <w:rPr>
          <w:rFonts w:ascii="Times New Roman" w:hAnsi="Times New Roman"/>
        </w:rPr>
        <w:t xml:space="preserve"> eligible for appointment</w:t>
      </w:r>
      <w:r w:rsidR="00FB5EED" w:rsidRPr="00D900FF">
        <w:rPr>
          <w:rFonts w:ascii="Times New Roman" w:hAnsi="Times New Roman"/>
        </w:rPr>
        <w:t xml:space="preserve"> as nominated entities</w:t>
      </w:r>
      <w:r w:rsidR="0097235A" w:rsidRPr="00D900FF">
        <w:rPr>
          <w:rFonts w:ascii="Times New Roman" w:hAnsi="Times New Roman"/>
        </w:rPr>
        <w:t>, and those entities each had substantial existing assets</w:t>
      </w:r>
      <w:r w:rsidR="004358A9" w:rsidRPr="00D900FF">
        <w:rPr>
          <w:rFonts w:ascii="Times New Roman" w:hAnsi="Times New Roman"/>
        </w:rPr>
        <w:t>. In other words, the major parties obtained the</w:t>
      </w:r>
      <w:r w:rsidR="007D5276">
        <w:rPr>
          <w:rFonts w:ascii="Times New Roman" w:hAnsi="Times New Roman"/>
        </w:rPr>
        <w:t> </w:t>
      </w:r>
      <w:r w:rsidR="004358A9" w:rsidRPr="00D900FF">
        <w:rPr>
          <w:rFonts w:ascii="Times New Roman" w:hAnsi="Times New Roman"/>
        </w:rPr>
        <w:t xml:space="preserve">benefit of all three aspects of the differential burden. </w:t>
      </w:r>
    </w:p>
    <w:p w14:paraId="06F4F58C" w14:textId="27628A2D" w:rsidR="008658A3" w:rsidRPr="00D900FF" w:rsidRDefault="008658A3" w:rsidP="00D900FF">
      <w:pPr>
        <w:pStyle w:val="FixListStyle"/>
        <w:spacing w:after="260" w:line="280" w:lineRule="exact"/>
        <w:ind w:right="0"/>
        <w:jc w:val="both"/>
        <w:rPr>
          <w:rFonts w:ascii="Times New Roman" w:hAnsi="Times New Roman"/>
        </w:rPr>
      </w:pPr>
      <w:r w:rsidRPr="00D900FF">
        <w:rPr>
          <w:rFonts w:ascii="Times New Roman" w:hAnsi="Times New Roman"/>
        </w:rPr>
        <w:lastRenderedPageBreak/>
        <w:tab/>
      </w:r>
      <w:r w:rsidR="00A975BA" w:rsidRPr="00D900FF">
        <w:rPr>
          <w:rFonts w:ascii="Times New Roman" w:hAnsi="Times New Roman"/>
        </w:rPr>
        <w:t xml:space="preserve">The burden imposed by </w:t>
      </w:r>
      <w:r w:rsidR="001B1E92" w:rsidRPr="00D900FF">
        <w:rPr>
          <w:rFonts w:ascii="Times New Roman" w:hAnsi="Times New Roman"/>
        </w:rPr>
        <w:t xml:space="preserve">Pt 12, through the imposition of </w:t>
      </w:r>
      <w:r w:rsidR="00A975BA" w:rsidRPr="00D900FF">
        <w:rPr>
          <w:rFonts w:ascii="Times New Roman" w:hAnsi="Times New Roman"/>
        </w:rPr>
        <w:t>the general cap</w:t>
      </w:r>
      <w:r w:rsidR="0073289F" w:rsidRPr="00D900FF">
        <w:rPr>
          <w:rFonts w:ascii="Times New Roman" w:hAnsi="Times New Roman"/>
        </w:rPr>
        <w:t xml:space="preserve"> </w:t>
      </w:r>
      <w:r w:rsidR="004F5988" w:rsidRPr="00D900FF">
        <w:rPr>
          <w:rFonts w:ascii="Times New Roman" w:hAnsi="Times New Roman"/>
        </w:rPr>
        <w:t>operating with the nominated entity exception</w:t>
      </w:r>
      <w:r w:rsidR="001B1E92" w:rsidRPr="00D900FF">
        <w:rPr>
          <w:rFonts w:ascii="Times New Roman" w:hAnsi="Times New Roman"/>
        </w:rPr>
        <w:t>,</w:t>
      </w:r>
      <w:r w:rsidR="00A975BA" w:rsidRPr="00D900FF">
        <w:rPr>
          <w:rFonts w:ascii="Times New Roman" w:hAnsi="Times New Roman"/>
        </w:rPr>
        <w:t xml:space="preserve"> is indirect and not insubstantial. </w:t>
      </w:r>
      <w:r w:rsidR="003E258A" w:rsidRPr="00D900FF">
        <w:rPr>
          <w:rFonts w:ascii="Times New Roman" w:hAnsi="Times New Roman"/>
        </w:rPr>
        <w:t xml:space="preserve">The differential effect of the </w:t>
      </w:r>
      <w:r w:rsidR="00E21E04" w:rsidRPr="00D900FF">
        <w:rPr>
          <w:rFonts w:ascii="Times New Roman" w:hAnsi="Times New Roman"/>
        </w:rPr>
        <w:t>general cap in its operation with</w:t>
      </w:r>
      <w:r w:rsidR="003E258A" w:rsidRPr="00D900FF">
        <w:rPr>
          <w:rFonts w:ascii="Times New Roman" w:hAnsi="Times New Roman"/>
        </w:rPr>
        <w:t xml:space="preserve"> the nominated entity exception also mean</w:t>
      </w:r>
      <w:r w:rsidR="00972E60" w:rsidRPr="00D900FF">
        <w:rPr>
          <w:rFonts w:ascii="Times New Roman" w:hAnsi="Times New Roman"/>
        </w:rPr>
        <w:t>s</w:t>
      </w:r>
      <w:r w:rsidR="003E258A" w:rsidRPr="00D900FF">
        <w:rPr>
          <w:rFonts w:ascii="Times New Roman" w:hAnsi="Times New Roman"/>
        </w:rPr>
        <w:t xml:space="preserve"> that the burden </w:t>
      </w:r>
      <w:r w:rsidR="00972E60" w:rsidRPr="00D900FF">
        <w:rPr>
          <w:rFonts w:ascii="Times New Roman" w:hAnsi="Times New Roman"/>
        </w:rPr>
        <w:t>is</w:t>
      </w:r>
      <w:r w:rsidR="003E258A" w:rsidRPr="00D900FF">
        <w:rPr>
          <w:rFonts w:ascii="Times New Roman" w:hAnsi="Times New Roman"/>
        </w:rPr>
        <w:t>, itself, differential</w:t>
      </w:r>
      <w:r w:rsidR="00A42231" w:rsidRPr="00D900FF">
        <w:rPr>
          <w:rFonts w:ascii="Times New Roman" w:hAnsi="Times New Roman"/>
        </w:rPr>
        <w:t xml:space="preserve"> in nature</w:t>
      </w:r>
      <w:r w:rsidR="003E258A" w:rsidRPr="00D900FF">
        <w:rPr>
          <w:rFonts w:ascii="Times New Roman" w:hAnsi="Times New Roman"/>
        </w:rPr>
        <w:t xml:space="preserve">. </w:t>
      </w:r>
      <w:r w:rsidR="00BD3B78" w:rsidRPr="00D900FF">
        <w:rPr>
          <w:rFonts w:ascii="Times New Roman" w:hAnsi="Times New Roman"/>
        </w:rPr>
        <w:t>However, a</w:t>
      </w:r>
      <w:r w:rsidR="007D5276">
        <w:rPr>
          <w:rFonts w:ascii="Times New Roman" w:hAnsi="Times New Roman"/>
        </w:rPr>
        <w:t> </w:t>
      </w:r>
      <w:r w:rsidR="00E00D15" w:rsidRPr="00D900FF">
        <w:rPr>
          <w:rFonts w:ascii="Times New Roman" w:hAnsi="Times New Roman"/>
        </w:rPr>
        <w:t xml:space="preserve">law effecting a differential burden on the freedom is not, for that reason alone, invalid; nor does a law effecting a differential burden </w:t>
      </w:r>
      <w:r w:rsidR="00CD2D7E" w:rsidRPr="00D900FF">
        <w:rPr>
          <w:rFonts w:ascii="Times New Roman" w:hAnsi="Times New Roman"/>
        </w:rPr>
        <w:t>necessarily effect a greater burden on the freedom.</w:t>
      </w:r>
      <w:r w:rsidR="000E7FAC" w:rsidRPr="00D900FF">
        <w:rPr>
          <w:rStyle w:val="FootnoteReference"/>
          <w:rFonts w:ascii="Times New Roman" w:hAnsi="Times New Roman"/>
          <w:sz w:val="24"/>
        </w:rPr>
        <w:footnoteReference w:id="65"/>
      </w:r>
      <w:r w:rsidR="00CD2D7E" w:rsidRPr="00D900FF">
        <w:rPr>
          <w:rFonts w:ascii="Times New Roman" w:hAnsi="Times New Roman"/>
        </w:rPr>
        <w:t xml:space="preserve"> </w:t>
      </w:r>
      <w:r w:rsidR="00F2045A" w:rsidRPr="00D900FF">
        <w:rPr>
          <w:rFonts w:ascii="Times New Roman" w:hAnsi="Times New Roman"/>
        </w:rPr>
        <w:t>Rather, the differential operation of a law "serve</w:t>
      </w:r>
      <w:r w:rsidR="009F7285" w:rsidRPr="00D900FF">
        <w:rPr>
          <w:rFonts w:ascii="Times New Roman" w:hAnsi="Times New Roman"/>
        </w:rPr>
        <w:t>[</w:t>
      </w:r>
      <w:r w:rsidR="00F2045A" w:rsidRPr="00D900FF">
        <w:rPr>
          <w:rFonts w:ascii="Times New Roman" w:hAnsi="Times New Roman"/>
        </w:rPr>
        <w:t>s</w:t>
      </w:r>
      <w:r w:rsidR="009F7285" w:rsidRPr="00D900FF">
        <w:rPr>
          <w:rFonts w:ascii="Times New Roman" w:hAnsi="Times New Roman"/>
        </w:rPr>
        <w:t>]</w:t>
      </w:r>
      <w:r w:rsidR="00F2045A" w:rsidRPr="00D900FF">
        <w:rPr>
          <w:rFonts w:ascii="Times New Roman" w:hAnsi="Times New Roman"/>
        </w:rPr>
        <w:t xml:space="preserve"> to identify the group targeted by [the] law and informs the assessment of the</w:t>
      </w:r>
      <w:r w:rsidR="007D5276">
        <w:rPr>
          <w:rFonts w:ascii="Times New Roman" w:hAnsi="Times New Roman"/>
        </w:rPr>
        <w:t> </w:t>
      </w:r>
      <w:r w:rsidR="00F2045A" w:rsidRPr="00D900FF">
        <w:rPr>
          <w:rFonts w:ascii="Times New Roman" w:hAnsi="Times New Roman"/>
        </w:rPr>
        <w:t>restrictions imposed by the law upon the ability of those persons to communicate on matters of politics and government".</w:t>
      </w:r>
      <w:r w:rsidR="00F2045A" w:rsidRPr="00D900FF">
        <w:rPr>
          <w:rStyle w:val="FootnoteReference"/>
          <w:rFonts w:ascii="Times New Roman" w:hAnsi="Times New Roman"/>
          <w:sz w:val="24"/>
        </w:rPr>
        <w:footnoteReference w:id="66"/>
      </w:r>
    </w:p>
    <w:p w14:paraId="75433FB7" w14:textId="61944FD2" w:rsidR="004730FE" w:rsidRPr="00D900FF" w:rsidRDefault="00462F74" w:rsidP="00D900FF">
      <w:pPr>
        <w:pStyle w:val="HeadingL1"/>
        <w:spacing w:after="260" w:line="280" w:lineRule="exact"/>
        <w:ind w:right="0"/>
        <w:jc w:val="both"/>
        <w:rPr>
          <w:rFonts w:ascii="Times New Roman" w:hAnsi="Times New Roman"/>
        </w:rPr>
      </w:pPr>
      <w:r w:rsidRPr="00D900FF">
        <w:rPr>
          <w:rFonts w:ascii="Times New Roman" w:hAnsi="Times New Roman"/>
        </w:rPr>
        <w:t xml:space="preserve">Legitimate </w:t>
      </w:r>
      <w:r w:rsidR="004F0809" w:rsidRPr="00D900FF">
        <w:rPr>
          <w:rFonts w:ascii="Times New Roman" w:hAnsi="Times New Roman"/>
        </w:rPr>
        <w:t>p</w:t>
      </w:r>
      <w:r w:rsidR="004730FE" w:rsidRPr="00D900FF">
        <w:rPr>
          <w:rFonts w:ascii="Times New Roman" w:hAnsi="Times New Roman"/>
        </w:rPr>
        <w:t>urpose</w:t>
      </w:r>
    </w:p>
    <w:p w14:paraId="4D8103EA" w14:textId="78DDB951" w:rsidR="0075075C" w:rsidRPr="00D900FF" w:rsidRDefault="008658A3"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5405B4" w:rsidRPr="00D900FF">
        <w:rPr>
          <w:rFonts w:ascii="Times New Roman" w:hAnsi="Times New Roman"/>
        </w:rPr>
        <w:t xml:space="preserve">The next question is whether the </w:t>
      </w:r>
      <w:r w:rsidR="004248DD" w:rsidRPr="00D900FF">
        <w:rPr>
          <w:rFonts w:ascii="Times New Roman" w:hAnsi="Times New Roman"/>
        </w:rPr>
        <w:t xml:space="preserve">purpose of </w:t>
      </w:r>
      <w:r w:rsidR="00D834E2" w:rsidRPr="00D900FF">
        <w:rPr>
          <w:rFonts w:ascii="Times New Roman" w:hAnsi="Times New Roman"/>
        </w:rPr>
        <w:t xml:space="preserve">the general cap operating with the nominated entity exception </w:t>
      </w:r>
      <w:r w:rsidR="009821B3" w:rsidRPr="00D900FF">
        <w:rPr>
          <w:rFonts w:ascii="Times New Roman" w:hAnsi="Times New Roman"/>
        </w:rPr>
        <w:t xml:space="preserve">is constitutionally legitimate, in the sense that it is compatible with the </w:t>
      </w:r>
      <w:r w:rsidR="002E72D9" w:rsidRPr="00D900FF">
        <w:rPr>
          <w:rFonts w:ascii="Times New Roman" w:hAnsi="Times New Roman"/>
        </w:rPr>
        <w:t xml:space="preserve">maintenance of the constitutionally prescribed system of government. </w:t>
      </w:r>
      <w:r w:rsidR="00E5495E" w:rsidRPr="00D900FF">
        <w:rPr>
          <w:rFonts w:ascii="Times New Roman" w:hAnsi="Times New Roman"/>
        </w:rPr>
        <w:t>The purpose of Pt 12</w:t>
      </w:r>
      <w:r w:rsidR="008741A9" w:rsidRPr="00D900FF">
        <w:rPr>
          <w:rFonts w:ascii="Times New Roman" w:hAnsi="Times New Roman"/>
        </w:rPr>
        <w:t xml:space="preserve"> of the </w:t>
      </w:r>
      <w:r w:rsidR="008741A9" w:rsidRPr="00D900FF">
        <w:rPr>
          <w:rFonts w:ascii="Times New Roman" w:hAnsi="Times New Roman"/>
          <w:i/>
          <w:iCs/>
        </w:rPr>
        <w:t>Electoral Act</w:t>
      </w:r>
      <w:r w:rsidR="00E5495E" w:rsidRPr="00D900FF">
        <w:rPr>
          <w:rFonts w:ascii="Times New Roman" w:hAnsi="Times New Roman"/>
        </w:rPr>
        <w:t xml:space="preserve"> can be discerned from one of the purposes of the</w:t>
      </w:r>
      <w:r w:rsidR="0097321B" w:rsidRPr="00D900FF">
        <w:rPr>
          <w:rFonts w:ascii="Times New Roman" w:hAnsi="Times New Roman"/>
        </w:rPr>
        <w:t> </w:t>
      </w:r>
      <w:r w:rsidR="00E5495E" w:rsidRPr="00D900FF">
        <w:rPr>
          <w:rFonts w:ascii="Times New Roman" w:hAnsi="Times New Roman"/>
        </w:rPr>
        <w:t>2018</w:t>
      </w:r>
      <w:r w:rsidR="0097321B" w:rsidRPr="00D900FF">
        <w:rPr>
          <w:rFonts w:ascii="Times New Roman" w:hAnsi="Times New Roman"/>
        </w:rPr>
        <w:t> </w:t>
      </w:r>
      <w:r w:rsidR="00E5495E" w:rsidRPr="00D900FF">
        <w:rPr>
          <w:rFonts w:ascii="Times New Roman" w:hAnsi="Times New Roman"/>
        </w:rPr>
        <w:t xml:space="preserve">Amendment Act: </w:t>
      </w:r>
      <w:r w:rsidR="0075075C" w:rsidRPr="00D900FF">
        <w:rPr>
          <w:rFonts w:ascii="Times New Roman" w:hAnsi="Times New Roman"/>
        </w:rPr>
        <w:t xml:space="preserve">to </w:t>
      </w:r>
      <w:r w:rsidR="00347605" w:rsidRPr="00D900FF">
        <w:rPr>
          <w:rFonts w:ascii="Times New Roman" w:hAnsi="Times New Roman"/>
        </w:rPr>
        <w:t>"enhance the integrity of the</w:t>
      </w:r>
      <w:r w:rsidR="007D5276">
        <w:rPr>
          <w:rFonts w:ascii="Times New Roman" w:hAnsi="Times New Roman"/>
        </w:rPr>
        <w:t> </w:t>
      </w:r>
      <w:r w:rsidR="00347605" w:rsidRPr="00D900FF">
        <w:rPr>
          <w:rFonts w:ascii="Times New Roman" w:hAnsi="Times New Roman"/>
        </w:rPr>
        <w:t>electoral system</w:t>
      </w:r>
      <w:r w:rsidR="00B73C43" w:rsidRPr="00D900FF">
        <w:rPr>
          <w:rFonts w:ascii="Times New Roman" w:hAnsi="Times New Roman"/>
        </w:rPr>
        <w:t xml:space="preserve"> by prohibiting</w:t>
      </w:r>
      <w:r w:rsidR="00BE2E36" w:rsidRPr="00D900FF">
        <w:rPr>
          <w:rFonts w:ascii="Times New Roman" w:hAnsi="Times New Roman"/>
        </w:rPr>
        <w:t xml:space="preserve"> political donations from certain sources and introducing a political donations disclosure and reporting scheme</w:t>
      </w:r>
      <w:r w:rsidR="00347605" w:rsidRPr="00D900FF">
        <w:rPr>
          <w:rFonts w:ascii="Times New Roman" w:hAnsi="Times New Roman"/>
        </w:rPr>
        <w:t>".</w:t>
      </w:r>
      <w:r w:rsidR="00347605" w:rsidRPr="00D900FF">
        <w:rPr>
          <w:rStyle w:val="FootnoteReference"/>
          <w:rFonts w:ascii="Times New Roman" w:hAnsi="Times New Roman"/>
          <w:sz w:val="24"/>
        </w:rPr>
        <w:footnoteReference w:id="67"/>
      </w:r>
      <w:r w:rsidR="00347605" w:rsidRPr="00D900FF">
        <w:rPr>
          <w:rFonts w:ascii="Times New Roman" w:hAnsi="Times New Roman"/>
        </w:rPr>
        <w:t xml:space="preserve"> </w:t>
      </w:r>
    </w:p>
    <w:p w14:paraId="7834A398" w14:textId="4C12AF66" w:rsidR="001D699F" w:rsidRPr="00D900FF" w:rsidRDefault="0075075C"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A75719" w:rsidRPr="00D900FF">
        <w:rPr>
          <w:rFonts w:ascii="Times New Roman" w:hAnsi="Times New Roman"/>
        </w:rPr>
        <w:t xml:space="preserve">Within that scheme, </w:t>
      </w:r>
      <w:r w:rsidR="00347605" w:rsidRPr="00D900FF">
        <w:rPr>
          <w:rFonts w:ascii="Times New Roman" w:hAnsi="Times New Roman"/>
        </w:rPr>
        <w:t xml:space="preserve">Victoria submitted that </w:t>
      </w:r>
      <w:r w:rsidR="001A2991" w:rsidRPr="00D900FF">
        <w:rPr>
          <w:rFonts w:ascii="Times New Roman" w:hAnsi="Times New Roman"/>
        </w:rPr>
        <w:t>the general cap in</w:t>
      </w:r>
      <w:r w:rsidR="00347605" w:rsidRPr="00D900FF">
        <w:rPr>
          <w:rFonts w:ascii="Times New Roman" w:hAnsi="Times New Roman"/>
        </w:rPr>
        <w:t xml:space="preserve"> s 217D serve</w:t>
      </w:r>
      <w:r w:rsidR="00293514" w:rsidRPr="00D900FF">
        <w:rPr>
          <w:rFonts w:ascii="Times New Roman" w:hAnsi="Times New Roman"/>
        </w:rPr>
        <w:t>s</w:t>
      </w:r>
      <w:r w:rsidR="00347605" w:rsidRPr="00D900FF">
        <w:rPr>
          <w:rFonts w:ascii="Times New Roman" w:hAnsi="Times New Roman"/>
        </w:rPr>
        <w:t xml:space="preserve"> the purpose of reducing </w:t>
      </w:r>
      <w:r w:rsidR="00971942" w:rsidRPr="00D900FF">
        <w:rPr>
          <w:rFonts w:ascii="Times New Roman" w:hAnsi="Times New Roman"/>
        </w:rPr>
        <w:t>"</w:t>
      </w:r>
      <w:r w:rsidR="00347605" w:rsidRPr="00D900FF">
        <w:rPr>
          <w:rFonts w:ascii="Times New Roman" w:hAnsi="Times New Roman"/>
        </w:rPr>
        <w:t>the risk of corruption or undue influence in the</w:t>
      </w:r>
      <w:r w:rsidR="007D5276">
        <w:rPr>
          <w:rFonts w:ascii="Times New Roman" w:hAnsi="Times New Roman"/>
        </w:rPr>
        <w:t> </w:t>
      </w:r>
      <w:r w:rsidR="00347605" w:rsidRPr="00D900FF">
        <w:rPr>
          <w:rFonts w:ascii="Times New Roman" w:hAnsi="Times New Roman"/>
        </w:rPr>
        <w:t xml:space="preserve">government of the State which can arise from elected office holders finding themselves beholden to those </w:t>
      </w:r>
      <w:r w:rsidR="002C1A18" w:rsidRPr="00D900FF">
        <w:rPr>
          <w:rFonts w:ascii="Times New Roman" w:hAnsi="Times New Roman"/>
        </w:rPr>
        <w:t>[</w:t>
      </w:r>
      <w:r w:rsidR="00347605" w:rsidRPr="00D900FF">
        <w:rPr>
          <w:rFonts w:ascii="Times New Roman" w:hAnsi="Times New Roman"/>
        </w:rPr>
        <w:t>persons or entities</w:t>
      </w:r>
      <w:r w:rsidR="002C1A18" w:rsidRPr="00D900FF">
        <w:rPr>
          <w:rFonts w:ascii="Times New Roman" w:hAnsi="Times New Roman"/>
        </w:rPr>
        <w:t>]</w:t>
      </w:r>
      <w:r w:rsidR="00347605" w:rsidRPr="00D900FF">
        <w:rPr>
          <w:rFonts w:ascii="Times New Roman" w:hAnsi="Times New Roman"/>
        </w:rPr>
        <w:t xml:space="preserve"> whose funding, or whose withholding of funding, contributed to the office holders' electoral success"</w:t>
      </w:r>
      <w:r w:rsidR="00AF0ACB" w:rsidRPr="00D900FF">
        <w:rPr>
          <w:rFonts w:ascii="Times New Roman" w:hAnsi="Times New Roman"/>
        </w:rPr>
        <w:t xml:space="preserve"> </w:t>
      </w:r>
      <w:r w:rsidR="00E0355C" w:rsidRPr="00D900FF">
        <w:rPr>
          <w:rFonts w:ascii="Times New Roman" w:hAnsi="Times New Roman"/>
        </w:rPr>
        <w:t>(the</w:t>
      </w:r>
      <w:r w:rsidR="007D5276">
        <w:rPr>
          <w:rFonts w:ascii="Times New Roman" w:hAnsi="Times New Roman"/>
        </w:rPr>
        <w:t> </w:t>
      </w:r>
      <w:r w:rsidR="00E0355C" w:rsidRPr="00D900FF">
        <w:rPr>
          <w:rFonts w:ascii="Times New Roman" w:hAnsi="Times New Roman"/>
        </w:rPr>
        <w:t>"anti-corruption purpose")</w:t>
      </w:r>
      <w:r w:rsidR="00347605" w:rsidRPr="00D900FF">
        <w:rPr>
          <w:rFonts w:ascii="Times New Roman" w:hAnsi="Times New Roman"/>
        </w:rPr>
        <w:t>.</w:t>
      </w:r>
      <w:r w:rsidR="00F64A24" w:rsidRPr="00D900FF">
        <w:rPr>
          <w:rStyle w:val="FootnoteReference"/>
          <w:rFonts w:ascii="Times New Roman" w:hAnsi="Times New Roman"/>
          <w:sz w:val="24"/>
        </w:rPr>
        <w:footnoteReference w:id="68"/>
      </w:r>
      <w:r w:rsidR="00A007CD" w:rsidRPr="00D900FF">
        <w:rPr>
          <w:rFonts w:ascii="Times New Roman" w:hAnsi="Times New Roman"/>
        </w:rPr>
        <w:t xml:space="preserve"> </w:t>
      </w:r>
      <w:r w:rsidR="001D699F" w:rsidRPr="00D900FF">
        <w:rPr>
          <w:rFonts w:ascii="Times New Roman" w:hAnsi="Times New Roman"/>
        </w:rPr>
        <w:t>That</w:t>
      </w:r>
      <w:r w:rsidR="0073274A" w:rsidRPr="00D900FF">
        <w:rPr>
          <w:rFonts w:ascii="Times New Roman" w:hAnsi="Times New Roman"/>
        </w:rPr>
        <w:t> </w:t>
      </w:r>
      <w:r w:rsidR="001D699F" w:rsidRPr="00D900FF">
        <w:rPr>
          <w:rFonts w:ascii="Times New Roman" w:hAnsi="Times New Roman"/>
        </w:rPr>
        <w:t xml:space="preserve">conclusion is reinforced by the extrinsic materials to the 2018 Amendment Act. The Explanatory Memorandum stated that </w:t>
      </w:r>
      <w:r w:rsidR="001D699F" w:rsidRPr="00D900FF">
        <w:rPr>
          <w:rFonts w:ascii="Times New Roman" w:hAnsi="Times New Roman"/>
        </w:rPr>
        <w:lastRenderedPageBreak/>
        <w:t xml:space="preserve">the purpose of the general cap </w:t>
      </w:r>
      <w:r w:rsidR="00293514" w:rsidRPr="00D900FF">
        <w:rPr>
          <w:rFonts w:ascii="Times New Roman" w:hAnsi="Times New Roman"/>
        </w:rPr>
        <w:t xml:space="preserve">is </w:t>
      </w:r>
      <w:r w:rsidR="001D699F" w:rsidRPr="00D900FF">
        <w:rPr>
          <w:rFonts w:ascii="Times New Roman" w:hAnsi="Times New Roman"/>
        </w:rPr>
        <w:t>"to minimise the influence of single donors",</w:t>
      </w:r>
      <w:r w:rsidR="001D699F" w:rsidRPr="00D900FF">
        <w:rPr>
          <w:rStyle w:val="FootnoteReference"/>
          <w:rFonts w:ascii="Times New Roman" w:hAnsi="Times New Roman"/>
          <w:sz w:val="24"/>
        </w:rPr>
        <w:footnoteReference w:id="69"/>
      </w:r>
      <w:r w:rsidR="001D699F" w:rsidRPr="00D900FF">
        <w:rPr>
          <w:rFonts w:ascii="Times New Roman" w:hAnsi="Times New Roman"/>
        </w:rPr>
        <w:t xml:space="preserve"> and the second reading speech explained that the cap "will ensure a level playing field and provide equal participation in the electoral process, reducing the potential for those with 'deep pockets' to try and exert greater influence".</w:t>
      </w:r>
      <w:r w:rsidR="001D699F" w:rsidRPr="00D900FF">
        <w:rPr>
          <w:rStyle w:val="FootnoteReference"/>
          <w:rFonts w:ascii="Times New Roman" w:hAnsi="Times New Roman"/>
          <w:sz w:val="24"/>
        </w:rPr>
        <w:footnoteReference w:id="70"/>
      </w:r>
      <w:r w:rsidR="001D699F" w:rsidRPr="00D900FF">
        <w:rPr>
          <w:rFonts w:ascii="Times New Roman" w:hAnsi="Times New Roman"/>
        </w:rPr>
        <w:t xml:space="preserve"> </w:t>
      </w:r>
    </w:p>
    <w:p w14:paraId="5A75DAC8" w14:textId="12981C10" w:rsidR="00F07CEB" w:rsidRPr="00D900FF" w:rsidRDefault="00D55B99" w:rsidP="00D900FF">
      <w:pPr>
        <w:pStyle w:val="FixListStyle"/>
        <w:spacing w:after="260" w:line="280" w:lineRule="exact"/>
        <w:ind w:right="0"/>
        <w:jc w:val="both"/>
        <w:rPr>
          <w:rFonts w:ascii="Times New Roman" w:hAnsi="Times New Roman"/>
        </w:rPr>
      </w:pPr>
      <w:r w:rsidRPr="00D900FF">
        <w:rPr>
          <w:rFonts w:ascii="Times New Roman" w:hAnsi="Times New Roman"/>
        </w:rPr>
        <w:tab/>
        <w:t xml:space="preserve">As was explained by a majority of this Court in </w:t>
      </w:r>
      <w:r w:rsidRPr="00D900FF">
        <w:rPr>
          <w:rFonts w:ascii="Times New Roman" w:hAnsi="Times New Roman"/>
          <w:i/>
          <w:iCs/>
        </w:rPr>
        <w:t>Unions</w:t>
      </w:r>
      <w:r w:rsidR="002879B3" w:rsidRPr="00D900FF">
        <w:rPr>
          <w:rFonts w:ascii="Times New Roman" w:hAnsi="Times New Roman"/>
          <w:i/>
          <w:iCs/>
        </w:rPr>
        <w:t xml:space="preserve"> NSW v New South Wales</w:t>
      </w:r>
      <w:r w:rsidR="002879B3" w:rsidRPr="00D900FF">
        <w:rPr>
          <w:rFonts w:ascii="Times New Roman" w:hAnsi="Times New Roman"/>
        </w:rPr>
        <w:t xml:space="preserve"> ("</w:t>
      </w:r>
      <w:r w:rsidR="002879B3" w:rsidRPr="00D900FF">
        <w:rPr>
          <w:rFonts w:ascii="Times New Roman" w:hAnsi="Times New Roman"/>
          <w:i/>
          <w:iCs/>
        </w:rPr>
        <w:t>Unions NSW</w:t>
      </w:r>
      <w:r w:rsidRPr="00D900FF">
        <w:rPr>
          <w:rFonts w:ascii="Times New Roman" w:hAnsi="Times New Roman"/>
          <w:i/>
          <w:iCs/>
        </w:rPr>
        <w:t xml:space="preserve"> </w:t>
      </w:r>
      <w:r w:rsidR="0070269F" w:rsidRPr="00D900FF">
        <w:rPr>
          <w:rFonts w:ascii="Times New Roman" w:hAnsi="Times New Roman"/>
          <w:i/>
          <w:iCs/>
        </w:rPr>
        <w:t>[No 1]</w:t>
      </w:r>
      <w:r w:rsidR="002879B3" w:rsidRPr="00D900FF">
        <w:rPr>
          <w:rFonts w:ascii="Times New Roman" w:hAnsi="Times New Roman"/>
        </w:rPr>
        <w:t>")</w:t>
      </w:r>
      <w:r w:rsidRPr="00D900FF">
        <w:rPr>
          <w:rFonts w:ascii="Times New Roman" w:hAnsi="Times New Roman"/>
        </w:rPr>
        <w:t>, "[t]here is an obvious connection between the need to fund advertising and other methods of communication in connection with election campaigns, and political donations".</w:t>
      </w:r>
      <w:r w:rsidRPr="00D900FF">
        <w:rPr>
          <w:rStyle w:val="FootnoteReference"/>
          <w:rFonts w:ascii="Times New Roman" w:hAnsi="Times New Roman"/>
          <w:sz w:val="24"/>
        </w:rPr>
        <w:footnoteReference w:id="71"/>
      </w:r>
      <w:r w:rsidRPr="00D900FF">
        <w:rPr>
          <w:rFonts w:ascii="Times New Roman" w:hAnsi="Times New Roman"/>
        </w:rPr>
        <w:t xml:space="preserve"> "It is large-scale donations which are most likely to </w:t>
      </w:r>
      <w:proofErr w:type="spellStart"/>
      <w:r w:rsidRPr="00D900FF">
        <w:rPr>
          <w:rFonts w:ascii="Times New Roman" w:hAnsi="Times New Roman"/>
        </w:rPr>
        <w:t>effect</w:t>
      </w:r>
      <w:proofErr w:type="spellEnd"/>
      <w:r w:rsidRPr="00D900FF">
        <w:rPr>
          <w:rFonts w:ascii="Times New Roman" w:hAnsi="Times New Roman"/>
        </w:rPr>
        <w:t xml:space="preserve"> influence, or be used to bring pressure to bear, upon</w:t>
      </w:r>
      <w:r w:rsidR="007D5276">
        <w:rPr>
          <w:rFonts w:ascii="Times New Roman" w:hAnsi="Times New Roman"/>
        </w:rPr>
        <w:t> </w:t>
      </w:r>
      <w:r w:rsidRPr="00D900FF">
        <w:rPr>
          <w:rFonts w:ascii="Times New Roman" w:hAnsi="Times New Roman"/>
        </w:rPr>
        <w:t>a</w:t>
      </w:r>
      <w:r w:rsidR="007D5276">
        <w:rPr>
          <w:rFonts w:ascii="Times New Roman" w:hAnsi="Times New Roman"/>
        </w:rPr>
        <w:t> </w:t>
      </w:r>
      <w:r w:rsidRPr="00D900FF">
        <w:rPr>
          <w:rFonts w:ascii="Times New Roman" w:hAnsi="Times New Roman"/>
        </w:rPr>
        <w:t>recipient</w:t>
      </w:r>
      <w:r w:rsidR="001D5335" w:rsidRPr="00D900FF">
        <w:rPr>
          <w:rFonts w:ascii="Times New Roman" w:hAnsi="Times New Roman"/>
        </w:rPr>
        <w:t>.</w:t>
      </w:r>
      <w:r w:rsidRPr="00D900FF">
        <w:rPr>
          <w:rFonts w:ascii="Times New Roman" w:hAnsi="Times New Roman"/>
        </w:rPr>
        <w:t>"</w:t>
      </w:r>
      <w:r w:rsidRPr="00D900FF">
        <w:rPr>
          <w:rStyle w:val="FootnoteReference"/>
          <w:rFonts w:ascii="Times New Roman" w:hAnsi="Times New Roman"/>
          <w:sz w:val="24"/>
        </w:rPr>
        <w:footnoteReference w:id="72"/>
      </w:r>
      <w:r w:rsidRPr="00D900FF">
        <w:rPr>
          <w:rFonts w:ascii="Times New Roman" w:hAnsi="Times New Roman"/>
        </w:rPr>
        <w:t xml:space="preserve"> A cap on political donations is directed to the mischief involved in powerful donors exercising undue influence over elected officials by contributing substantial funds to their election campaigns. </w:t>
      </w:r>
      <w:r w:rsidR="00F07CEB" w:rsidRPr="00D900FF">
        <w:rPr>
          <w:rFonts w:ascii="Times New Roman" w:hAnsi="Times New Roman"/>
        </w:rPr>
        <w:t>A purpose of reducing the risk of corruption and undue influence is a legitimate purpose.</w:t>
      </w:r>
      <w:r w:rsidR="00F07CEB" w:rsidRPr="00D900FF">
        <w:rPr>
          <w:rStyle w:val="FootnoteReference"/>
          <w:rFonts w:ascii="Times New Roman" w:hAnsi="Times New Roman"/>
          <w:sz w:val="24"/>
        </w:rPr>
        <w:footnoteReference w:id="73"/>
      </w:r>
    </w:p>
    <w:p w14:paraId="45F55061" w14:textId="7860EE2C" w:rsidR="007C3C62" w:rsidRPr="00D900FF" w:rsidRDefault="00D21D23"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DD3500" w:rsidRPr="00D900FF">
        <w:rPr>
          <w:rFonts w:ascii="Times New Roman" w:hAnsi="Times New Roman"/>
        </w:rPr>
        <w:t>Unsurprisingly</w:t>
      </w:r>
      <w:r w:rsidR="007C4B0C" w:rsidRPr="00D900FF">
        <w:rPr>
          <w:rFonts w:ascii="Times New Roman" w:hAnsi="Times New Roman"/>
        </w:rPr>
        <w:t xml:space="preserve">, </w:t>
      </w:r>
      <w:r w:rsidR="00DD3500" w:rsidRPr="00D900FF">
        <w:rPr>
          <w:rFonts w:ascii="Times New Roman" w:hAnsi="Times New Roman"/>
        </w:rPr>
        <w:t>t</w:t>
      </w:r>
      <w:r w:rsidR="00347605" w:rsidRPr="00D900FF">
        <w:rPr>
          <w:rFonts w:ascii="Times New Roman" w:hAnsi="Times New Roman"/>
        </w:rPr>
        <w:t xml:space="preserve">he plaintiffs accepted that such a purpose </w:t>
      </w:r>
      <w:r w:rsidR="00F07CEB" w:rsidRPr="00D900FF">
        <w:rPr>
          <w:rFonts w:ascii="Times New Roman" w:hAnsi="Times New Roman"/>
        </w:rPr>
        <w:t>is</w:t>
      </w:r>
      <w:r w:rsidR="00347605" w:rsidRPr="00D900FF">
        <w:rPr>
          <w:rFonts w:ascii="Times New Roman" w:hAnsi="Times New Roman"/>
        </w:rPr>
        <w:t xml:space="preserve"> legitimate. They submitted, however, </w:t>
      </w:r>
      <w:r w:rsidR="00341B64" w:rsidRPr="00D900FF">
        <w:rPr>
          <w:rFonts w:ascii="Times New Roman" w:hAnsi="Times New Roman"/>
        </w:rPr>
        <w:t xml:space="preserve">that </w:t>
      </w:r>
      <w:r w:rsidR="00347605" w:rsidRPr="00D900FF">
        <w:rPr>
          <w:rFonts w:ascii="Times New Roman" w:hAnsi="Times New Roman"/>
        </w:rPr>
        <w:t xml:space="preserve">in its legal operation, the purpose of the general cap </w:t>
      </w:r>
      <w:r w:rsidR="00487D8A" w:rsidRPr="00D900FF">
        <w:rPr>
          <w:rFonts w:ascii="Times New Roman" w:hAnsi="Times New Roman"/>
        </w:rPr>
        <w:t xml:space="preserve">in its operation with </w:t>
      </w:r>
      <w:r w:rsidR="00347605" w:rsidRPr="00D900FF">
        <w:rPr>
          <w:rFonts w:ascii="Times New Roman" w:hAnsi="Times New Roman"/>
        </w:rPr>
        <w:t xml:space="preserve">the nominated entity exception </w:t>
      </w:r>
      <w:r w:rsidR="00293514" w:rsidRPr="00D900FF">
        <w:rPr>
          <w:rFonts w:ascii="Times New Roman" w:hAnsi="Times New Roman"/>
        </w:rPr>
        <w:t xml:space="preserve">is </w:t>
      </w:r>
      <w:r w:rsidR="00347605" w:rsidRPr="00D900FF">
        <w:rPr>
          <w:rFonts w:ascii="Times New Roman" w:hAnsi="Times New Roman"/>
        </w:rPr>
        <w:t xml:space="preserve">to place the major parties in a privileged position over independent candidates or new registered political parties in respect of the sources of funds available to be used for political expenditure, which </w:t>
      </w:r>
      <w:r w:rsidR="00293514" w:rsidRPr="00D900FF">
        <w:rPr>
          <w:rFonts w:ascii="Times New Roman" w:hAnsi="Times New Roman"/>
        </w:rPr>
        <w:t>the plainti</w:t>
      </w:r>
      <w:r w:rsidR="00580F3D" w:rsidRPr="00D900FF">
        <w:rPr>
          <w:rFonts w:ascii="Times New Roman" w:hAnsi="Times New Roman"/>
        </w:rPr>
        <w:t>f</w:t>
      </w:r>
      <w:r w:rsidR="00293514" w:rsidRPr="00D900FF">
        <w:rPr>
          <w:rFonts w:ascii="Times New Roman" w:hAnsi="Times New Roman"/>
        </w:rPr>
        <w:t xml:space="preserve">fs </w:t>
      </w:r>
      <w:r w:rsidR="00347605" w:rsidRPr="00D900FF">
        <w:rPr>
          <w:rFonts w:ascii="Times New Roman" w:hAnsi="Times New Roman"/>
        </w:rPr>
        <w:t>said involve</w:t>
      </w:r>
      <w:r w:rsidR="00580F3D" w:rsidRPr="00D900FF">
        <w:rPr>
          <w:rFonts w:ascii="Times New Roman" w:hAnsi="Times New Roman"/>
        </w:rPr>
        <w:t>s</w:t>
      </w:r>
      <w:r w:rsidR="00347605" w:rsidRPr="00D900FF">
        <w:rPr>
          <w:rFonts w:ascii="Times New Roman" w:hAnsi="Times New Roman"/>
        </w:rPr>
        <w:t xml:space="preserve"> an "abuse of incumbency"</w:t>
      </w:r>
      <w:r w:rsidR="00CB7F1B" w:rsidRPr="00D900FF">
        <w:rPr>
          <w:rFonts w:ascii="Times New Roman" w:hAnsi="Times New Roman"/>
        </w:rPr>
        <w:t>,</w:t>
      </w:r>
      <w:r w:rsidR="00347605" w:rsidRPr="00D900FF">
        <w:rPr>
          <w:rStyle w:val="FootnoteReference"/>
          <w:rFonts w:ascii="Times New Roman" w:hAnsi="Times New Roman"/>
          <w:sz w:val="24"/>
        </w:rPr>
        <w:footnoteReference w:id="74"/>
      </w:r>
      <w:r w:rsidR="00347605" w:rsidRPr="00D900FF">
        <w:rPr>
          <w:rFonts w:ascii="Times New Roman" w:hAnsi="Times New Roman"/>
        </w:rPr>
        <w:t xml:space="preserve"> and</w:t>
      </w:r>
      <w:r w:rsidR="007D5276">
        <w:rPr>
          <w:rFonts w:ascii="Times New Roman" w:hAnsi="Times New Roman"/>
        </w:rPr>
        <w:t> </w:t>
      </w:r>
      <w:r w:rsidR="00336334" w:rsidRPr="00D900FF">
        <w:rPr>
          <w:rFonts w:ascii="Times New Roman" w:hAnsi="Times New Roman"/>
        </w:rPr>
        <w:t xml:space="preserve">that </w:t>
      </w:r>
      <w:r w:rsidR="008842C3" w:rsidRPr="00D900FF">
        <w:rPr>
          <w:rFonts w:ascii="Times New Roman" w:hAnsi="Times New Roman"/>
        </w:rPr>
        <w:t xml:space="preserve">that </w:t>
      </w:r>
      <w:r w:rsidR="00336334" w:rsidRPr="00D900FF">
        <w:rPr>
          <w:rFonts w:ascii="Times New Roman" w:hAnsi="Times New Roman"/>
        </w:rPr>
        <w:t xml:space="preserve">purpose </w:t>
      </w:r>
      <w:r w:rsidR="00580F3D" w:rsidRPr="00D900FF">
        <w:rPr>
          <w:rFonts w:ascii="Times New Roman" w:hAnsi="Times New Roman"/>
        </w:rPr>
        <w:t xml:space="preserve">is </w:t>
      </w:r>
      <w:r w:rsidR="00347605" w:rsidRPr="00D900FF">
        <w:rPr>
          <w:rFonts w:ascii="Times New Roman" w:hAnsi="Times New Roman"/>
        </w:rPr>
        <w:t xml:space="preserve">illegitimate. </w:t>
      </w:r>
    </w:p>
    <w:p w14:paraId="744D57D4" w14:textId="46D57CBA" w:rsidR="00C30415" w:rsidRPr="00D900FF" w:rsidRDefault="007C3C62" w:rsidP="00D900FF">
      <w:pPr>
        <w:pStyle w:val="FixListStyle"/>
        <w:spacing w:after="260" w:line="280" w:lineRule="exact"/>
        <w:ind w:right="0"/>
        <w:jc w:val="both"/>
        <w:rPr>
          <w:rFonts w:ascii="Times New Roman" w:hAnsi="Times New Roman"/>
        </w:rPr>
      </w:pPr>
      <w:r w:rsidRPr="00D900FF">
        <w:rPr>
          <w:rFonts w:ascii="Times New Roman" w:hAnsi="Times New Roman"/>
        </w:rPr>
        <w:lastRenderedPageBreak/>
        <w:tab/>
      </w:r>
      <w:r w:rsidR="00347605" w:rsidRPr="00D900FF">
        <w:rPr>
          <w:rFonts w:ascii="Times New Roman" w:hAnsi="Times New Roman"/>
        </w:rPr>
        <w:t xml:space="preserve">The identification of the purpose of a law </w:t>
      </w:r>
      <w:r w:rsidR="0066337E" w:rsidRPr="00D900FF">
        <w:rPr>
          <w:rFonts w:ascii="Times New Roman" w:hAnsi="Times New Roman"/>
        </w:rPr>
        <w:t xml:space="preserve">is a </w:t>
      </w:r>
      <w:r w:rsidR="00347605" w:rsidRPr="00D900FF">
        <w:rPr>
          <w:rFonts w:ascii="Times New Roman" w:hAnsi="Times New Roman"/>
        </w:rPr>
        <w:t>process of construction.</w:t>
      </w:r>
      <w:r w:rsidR="00347605" w:rsidRPr="00D900FF">
        <w:rPr>
          <w:rStyle w:val="FootnoteReference"/>
          <w:rFonts w:ascii="Times New Roman" w:hAnsi="Times New Roman"/>
          <w:sz w:val="24"/>
        </w:rPr>
        <w:footnoteReference w:id="75"/>
      </w:r>
      <w:r w:rsidR="00347605" w:rsidRPr="00D900FF">
        <w:rPr>
          <w:rFonts w:ascii="Times New Roman" w:hAnsi="Times New Roman"/>
        </w:rPr>
        <w:t xml:space="preserve"> The</w:t>
      </w:r>
      <w:r w:rsidR="007D5276">
        <w:rPr>
          <w:rFonts w:ascii="Times New Roman" w:hAnsi="Times New Roman"/>
        </w:rPr>
        <w:t> </w:t>
      </w:r>
      <w:r w:rsidR="00347605" w:rsidRPr="00D900FF">
        <w:rPr>
          <w:rFonts w:ascii="Times New Roman" w:hAnsi="Times New Roman"/>
        </w:rPr>
        <w:t>purpose should be identified at a higher level of generality than the meaning of the words of the provision, focusing instead on the "mischief" to which the</w:t>
      </w:r>
      <w:r w:rsidR="007D5276">
        <w:rPr>
          <w:rFonts w:ascii="Times New Roman" w:hAnsi="Times New Roman"/>
        </w:rPr>
        <w:t> </w:t>
      </w:r>
      <w:r w:rsidR="00347605" w:rsidRPr="00D900FF">
        <w:rPr>
          <w:rFonts w:ascii="Times New Roman" w:hAnsi="Times New Roman"/>
        </w:rPr>
        <w:t>provisions are directed.</w:t>
      </w:r>
      <w:r w:rsidR="00347605" w:rsidRPr="00D900FF">
        <w:rPr>
          <w:rStyle w:val="FootnoteReference"/>
          <w:rFonts w:ascii="Times New Roman" w:hAnsi="Times New Roman"/>
          <w:sz w:val="24"/>
        </w:rPr>
        <w:footnoteReference w:id="76"/>
      </w:r>
      <w:r w:rsidR="00347605" w:rsidRPr="00D900FF">
        <w:rPr>
          <w:rFonts w:ascii="Times New Roman" w:hAnsi="Times New Roman"/>
        </w:rPr>
        <w:t xml:space="preserve"> </w:t>
      </w:r>
      <w:r w:rsidR="004D4F95" w:rsidRPr="00D900FF">
        <w:rPr>
          <w:rFonts w:ascii="Times New Roman" w:hAnsi="Times New Roman"/>
        </w:rPr>
        <w:t>T</w:t>
      </w:r>
      <w:r w:rsidR="00347605" w:rsidRPr="00D900FF">
        <w:rPr>
          <w:rFonts w:ascii="Times New Roman" w:hAnsi="Times New Roman"/>
        </w:rPr>
        <w:t xml:space="preserve">here is </w:t>
      </w:r>
      <w:r w:rsidR="004D4F95" w:rsidRPr="00D900FF">
        <w:rPr>
          <w:rFonts w:ascii="Times New Roman" w:hAnsi="Times New Roman"/>
        </w:rPr>
        <w:t xml:space="preserve">also, as a general proposition, </w:t>
      </w:r>
      <w:r w:rsidR="00347605" w:rsidRPr="00D900FF">
        <w:rPr>
          <w:rFonts w:ascii="Times New Roman" w:hAnsi="Times New Roman"/>
        </w:rPr>
        <w:t>a distinction between the purpose of a law and the specific means utilised to give effect to that purpose.</w:t>
      </w:r>
      <w:r w:rsidR="00347605" w:rsidRPr="00D900FF">
        <w:rPr>
          <w:rStyle w:val="FootnoteReference"/>
          <w:rFonts w:ascii="Times New Roman" w:hAnsi="Times New Roman"/>
          <w:sz w:val="24"/>
        </w:rPr>
        <w:footnoteReference w:id="77"/>
      </w:r>
      <w:r w:rsidR="00347605" w:rsidRPr="00D900FF">
        <w:rPr>
          <w:rFonts w:ascii="Times New Roman" w:hAnsi="Times New Roman"/>
        </w:rPr>
        <w:t xml:space="preserve"> </w:t>
      </w:r>
      <w:r w:rsidR="00561A8B" w:rsidRPr="00D900FF">
        <w:rPr>
          <w:rFonts w:ascii="Times New Roman" w:hAnsi="Times New Roman"/>
        </w:rPr>
        <w:t>Further, and rele</w:t>
      </w:r>
      <w:r w:rsidR="006B4121" w:rsidRPr="00D900FF">
        <w:rPr>
          <w:rFonts w:ascii="Times New Roman" w:hAnsi="Times New Roman"/>
        </w:rPr>
        <w:t>vantly, t</w:t>
      </w:r>
      <w:r w:rsidR="00347605" w:rsidRPr="00D900FF">
        <w:rPr>
          <w:rFonts w:ascii="Times New Roman" w:hAnsi="Times New Roman"/>
        </w:rPr>
        <w:t>hat a law includes "an additional object that is not only unexpressed but also constitutionally impermissible should not lightly be inferred".</w:t>
      </w:r>
      <w:r w:rsidR="00347605" w:rsidRPr="00D900FF">
        <w:rPr>
          <w:rStyle w:val="FootnoteReference"/>
          <w:rFonts w:ascii="Times New Roman" w:hAnsi="Times New Roman"/>
          <w:sz w:val="24"/>
        </w:rPr>
        <w:footnoteReference w:id="78"/>
      </w:r>
    </w:p>
    <w:p w14:paraId="49BDA5A6" w14:textId="006127FA" w:rsidR="00D8312D" w:rsidRPr="00D900FF" w:rsidRDefault="00C30415" w:rsidP="00D900FF">
      <w:pPr>
        <w:pStyle w:val="FixListStyle"/>
        <w:spacing w:after="260" w:line="280" w:lineRule="exact"/>
        <w:ind w:right="0"/>
        <w:jc w:val="both"/>
        <w:rPr>
          <w:rFonts w:ascii="Times New Roman" w:hAnsi="Times New Roman"/>
        </w:rPr>
      </w:pPr>
      <w:r w:rsidRPr="00D900FF">
        <w:rPr>
          <w:rFonts w:ascii="Times New Roman" w:hAnsi="Times New Roman"/>
        </w:rPr>
        <w:tab/>
        <w:t>The relevant statutory purpose is the purpose of the general cap</w:t>
      </w:r>
      <w:r w:rsidR="00F61953" w:rsidRPr="00D900FF">
        <w:rPr>
          <w:rFonts w:ascii="Times New Roman" w:hAnsi="Times New Roman"/>
        </w:rPr>
        <w:t>.</w:t>
      </w:r>
      <w:r w:rsidRPr="00D900FF">
        <w:rPr>
          <w:rFonts w:ascii="Times New Roman" w:hAnsi="Times New Roman"/>
        </w:rPr>
        <w:t xml:space="preserve"> </w:t>
      </w:r>
      <w:r w:rsidR="005D20A1" w:rsidRPr="00D900FF">
        <w:rPr>
          <w:rFonts w:ascii="Times New Roman" w:hAnsi="Times New Roman"/>
        </w:rPr>
        <w:t xml:space="preserve">Once it is accepted that a law effectively burdens the freedom </w:t>
      </w:r>
      <w:r w:rsidR="00580F3D" w:rsidRPr="00D900FF">
        <w:rPr>
          <w:rFonts w:ascii="Times New Roman" w:hAnsi="Times New Roman"/>
        </w:rPr>
        <w:t xml:space="preserve">of political communication </w:t>
      </w:r>
      <w:r w:rsidR="005D20A1" w:rsidRPr="00D900FF">
        <w:rPr>
          <w:rFonts w:ascii="Times New Roman" w:hAnsi="Times New Roman"/>
        </w:rPr>
        <w:t xml:space="preserve">in its terms, operation or effect, it is the purpose of </w:t>
      </w:r>
      <w:r w:rsidR="005D20A1" w:rsidRPr="00D900FF">
        <w:rPr>
          <w:rFonts w:ascii="Times New Roman" w:hAnsi="Times New Roman"/>
          <w:i/>
          <w:iCs/>
        </w:rPr>
        <w:t>that law</w:t>
      </w:r>
      <w:r w:rsidR="005D20A1" w:rsidRPr="00D900FF">
        <w:rPr>
          <w:rFonts w:ascii="Times New Roman" w:hAnsi="Times New Roman"/>
        </w:rPr>
        <w:t xml:space="preserve"> that must be compatible with the constitutionally prescribed system.</w:t>
      </w:r>
      <w:r w:rsidR="005D20A1" w:rsidRPr="00D900FF">
        <w:rPr>
          <w:rStyle w:val="FootnoteReference"/>
          <w:rFonts w:ascii="Times New Roman" w:hAnsi="Times New Roman"/>
          <w:sz w:val="24"/>
        </w:rPr>
        <w:footnoteReference w:id="79"/>
      </w:r>
      <w:r w:rsidR="005D20A1" w:rsidRPr="00D900FF">
        <w:rPr>
          <w:rFonts w:ascii="Times New Roman" w:hAnsi="Times New Roman"/>
        </w:rPr>
        <w:t xml:space="preserve"> </w:t>
      </w:r>
      <w:r w:rsidR="00DC2DFD" w:rsidRPr="00D900FF">
        <w:rPr>
          <w:rFonts w:ascii="Times New Roman" w:hAnsi="Times New Roman"/>
        </w:rPr>
        <w:t>I</w:t>
      </w:r>
      <w:r w:rsidR="005C767B" w:rsidRPr="00D900FF">
        <w:rPr>
          <w:rFonts w:ascii="Times New Roman" w:hAnsi="Times New Roman"/>
        </w:rPr>
        <w:t xml:space="preserve">t is the general cap that imposes an effective </w:t>
      </w:r>
      <w:r w:rsidR="00F22AE5" w:rsidRPr="00D900FF">
        <w:rPr>
          <w:rFonts w:ascii="Times New Roman" w:hAnsi="Times New Roman"/>
        </w:rPr>
        <w:t xml:space="preserve">and </w:t>
      </w:r>
      <w:r w:rsidR="00F84881" w:rsidRPr="00D900FF">
        <w:rPr>
          <w:rFonts w:ascii="Times New Roman" w:hAnsi="Times New Roman"/>
        </w:rPr>
        <w:t xml:space="preserve">differential </w:t>
      </w:r>
      <w:r w:rsidR="005C767B" w:rsidRPr="00D900FF">
        <w:rPr>
          <w:rFonts w:ascii="Times New Roman" w:hAnsi="Times New Roman"/>
        </w:rPr>
        <w:t>burden on the implied freedom.</w:t>
      </w:r>
      <w:r w:rsidR="00597FF2" w:rsidRPr="00D900FF">
        <w:rPr>
          <w:rFonts w:ascii="Times New Roman" w:hAnsi="Times New Roman"/>
        </w:rPr>
        <w:t xml:space="preserve"> </w:t>
      </w:r>
      <w:r w:rsidR="000456A9" w:rsidRPr="00D900FF">
        <w:rPr>
          <w:rFonts w:ascii="Times New Roman" w:hAnsi="Times New Roman"/>
        </w:rPr>
        <w:t>While</w:t>
      </w:r>
      <w:r w:rsidR="005B3B94" w:rsidRPr="00D900FF">
        <w:rPr>
          <w:rFonts w:ascii="Times New Roman" w:hAnsi="Times New Roman"/>
        </w:rPr>
        <w:t xml:space="preserve"> </w:t>
      </w:r>
      <w:r w:rsidR="00F84881" w:rsidRPr="00D900FF">
        <w:rPr>
          <w:rFonts w:ascii="Times New Roman" w:hAnsi="Times New Roman"/>
        </w:rPr>
        <w:t>other provisions</w:t>
      </w:r>
      <w:r w:rsidR="00DE43B4" w:rsidRPr="00D900FF">
        <w:rPr>
          <w:rFonts w:ascii="Times New Roman" w:hAnsi="Times New Roman"/>
        </w:rPr>
        <w:t xml:space="preserve"> in Pt 12</w:t>
      </w:r>
      <w:r w:rsidR="00F84881" w:rsidRPr="00D900FF">
        <w:rPr>
          <w:rFonts w:ascii="Times New Roman" w:hAnsi="Times New Roman"/>
        </w:rPr>
        <w:t xml:space="preserve"> may </w:t>
      </w:r>
      <w:r w:rsidR="00FB39D2" w:rsidRPr="00D900FF">
        <w:rPr>
          <w:rFonts w:ascii="Times New Roman" w:hAnsi="Times New Roman"/>
        </w:rPr>
        <w:t>contribute</w:t>
      </w:r>
      <w:r w:rsidR="00F84881" w:rsidRPr="00D900FF">
        <w:rPr>
          <w:rFonts w:ascii="Times New Roman" w:hAnsi="Times New Roman"/>
        </w:rPr>
        <w:t xml:space="preserve"> to the imposition of </w:t>
      </w:r>
      <w:r w:rsidR="00EC3DD2" w:rsidRPr="00D900FF">
        <w:rPr>
          <w:rFonts w:ascii="Times New Roman" w:hAnsi="Times New Roman"/>
        </w:rPr>
        <w:t xml:space="preserve">the </w:t>
      </w:r>
      <w:r w:rsidR="00F84881" w:rsidRPr="00D900FF">
        <w:rPr>
          <w:rFonts w:ascii="Times New Roman" w:hAnsi="Times New Roman"/>
        </w:rPr>
        <w:t>differential burden – namely,</w:t>
      </w:r>
      <w:r w:rsidR="007D5276">
        <w:rPr>
          <w:rFonts w:ascii="Times New Roman" w:hAnsi="Times New Roman"/>
        </w:rPr>
        <w:t> </w:t>
      </w:r>
      <w:r w:rsidR="00F84881" w:rsidRPr="00D900FF">
        <w:rPr>
          <w:rFonts w:ascii="Times New Roman" w:hAnsi="Times New Roman"/>
        </w:rPr>
        <w:t>para</w:t>
      </w:r>
      <w:r w:rsidR="007D5276">
        <w:rPr>
          <w:rFonts w:ascii="Times New Roman" w:hAnsi="Times New Roman"/>
        </w:rPr>
        <w:t> </w:t>
      </w:r>
      <w:r w:rsidR="00F84881" w:rsidRPr="00D900FF">
        <w:rPr>
          <w:rFonts w:ascii="Times New Roman" w:hAnsi="Times New Roman"/>
        </w:rPr>
        <w:t>(j) of the definition of "gift",</w:t>
      </w:r>
      <w:r w:rsidR="00B33AA1" w:rsidRPr="00D900FF">
        <w:rPr>
          <w:rFonts w:ascii="Times New Roman" w:hAnsi="Times New Roman"/>
        </w:rPr>
        <w:t xml:space="preserve"> the anti-avoidance offence in s 218B and</w:t>
      </w:r>
      <w:r w:rsidR="00F84881" w:rsidRPr="00D900FF">
        <w:rPr>
          <w:rFonts w:ascii="Times New Roman" w:hAnsi="Times New Roman"/>
        </w:rPr>
        <w:t xml:space="preserve"> </w:t>
      </w:r>
      <w:r w:rsidR="00B33AA1" w:rsidRPr="00D900FF">
        <w:rPr>
          <w:rFonts w:ascii="Times New Roman" w:hAnsi="Times New Roman"/>
        </w:rPr>
        <w:t xml:space="preserve">the time </w:t>
      </w:r>
      <w:r w:rsidR="00854F26" w:rsidRPr="00D900FF">
        <w:rPr>
          <w:rFonts w:ascii="Times New Roman" w:hAnsi="Times New Roman"/>
        </w:rPr>
        <w:t>limitation</w:t>
      </w:r>
      <w:r w:rsidR="00B33AA1" w:rsidRPr="00D900FF">
        <w:rPr>
          <w:rFonts w:ascii="Times New Roman" w:hAnsi="Times New Roman"/>
        </w:rPr>
        <w:t xml:space="preserve"> in </w:t>
      </w:r>
      <w:r w:rsidR="00F84881" w:rsidRPr="00D900FF">
        <w:rPr>
          <w:rFonts w:ascii="Times New Roman" w:hAnsi="Times New Roman"/>
        </w:rPr>
        <w:t>s 222F(3)</w:t>
      </w:r>
      <w:r w:rsidR="00B33AA1" w:rsidRPr="00D900FF">
        <w:rPr>
          <w:rStyle w:val="FootnoteReference"/>
          <w:rFonts w:ascii="Times New Roman" w:hAnsi="Times New Roman"/>
          <w:sz w:val="24"/>
        </w:rPr>
        <w:footnoteReference w:id="80"/>
      </w:r>
      <w:r w:rsidR="00F84881" w:rsidRPr="00D900FF">
        <w:rPr>
          <w:rFonts w:ascii="Times New Roman" w:hAnsi="Times New Roman"/>
        </w:rPr>
        <w:t xml:space="preserve"> </w:t>
      </w:r>
      <w:r w:rsidR="00B33AA1" w:rsidRPr="00D900FF">
        <w:rPr>
          <w:rFonts w:ascii="Times New Roman" w:hAnsi="Times New Roman"/>
        </w:rPr>
        <w:t xml:space="preserve">– </w:t>
      </w:r>
      <w:r w:rsidR="00FB39D2" w:rsidRPr="00D900FF">
        <w:rPr>
          <w:rFonts w:ascii="Times New Roman" w:hAnsi="Times New Roman"/>
        </w:rPr>
        <w:t>they contribute to the imposition of the</w:t>
      </w:r>
      <w:r w:rsidR="00E22423">
        <w:rPr>
          <w:rFonts w:ascii="Times New Roman" w:hAnsi="Times New Roman"/>
        </w:rPr>
        <w:t> </w:t>
      </w:r>
      <w:r w:rsidR="00FB39D2" w:rsidRPr="00D900FF">
        <w:rPr>
          <w:rFonts w:ascii="Times New Roman" w:hAnsi="Times New Roman"/>
        </w:rPr>
        <w:t xml:space="preserve">differential burden </w:t>
      </w:r>
      <w:r w:rsidR="00FB39D2" w:rsidRPr="00D900FF">
        <w:rPr>
          <w:rFonts w:ascii="Times New Roman" w:hAnsi="Times New Roman"/>
          <w:i/>
          <w:iCs/>
        </w:rPr>
        <w:t>by</w:t>
      </w:r>
      <w:r w:rsidR="00FB39D2" w:rsidRPr="00D900FF">
        <w:rPr>
          <w:rFonts w:ascii="Times New Roman" w:hAnsi="Times New Roman"/>
        </w:rPr>
        <w:t xml:space="preserve"> the general cap. </w:t>
      </w:r>
    </w:p>
    <w:p w14:paraId="11BE0CA2" w14:textId="3674FBB2" w:rsidR="00376E98" w:rsidRPr="00D900FF" w:rsidRDefault="007B73C6"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170707" w:rsidRPr="00D900FF">
        <w:rPr>
          <w:rFonts w:ascii="Times New Roman" w:hAnsi="Times New Roman"/>
        </w:rPr>
        <w:t>Once the relevant statutory purpose is</w:t>
      </w:r>
      <w:r w:rsidR="00D37F54" w:rsidRPr="00D900FF">
        <w:rPr>
          <w:rFonts w:ascii="Times New Roman" w:hAnsi="Times New Roman"/>
        </w:rPr>
        <w:t xml:space="preserve"> </w:t>
      </w:r>
      <w:r w:rsidR="00C57242" w:rsidRPr="00D900FF">
        <w:rPr>
          <w:rFonts w:ascii="Times New Roman" w:hAnsi="Times New Roman"/>
        </w:rPr>
        <w:t>identified</w:t>
      </w:r>
      <w:r w:rsidR="00170707" w:rsidRPr="00D900FF">
        <w:rPr>
          <w:rFonts w:ascii="Times New Roman" w:hAnsi="Times New Roman"/>
        </w:rPr>
        <w:t>, a</w:t>
      </w:r>
      <w:r w:rsidRPr="00D900FF">
        <w:rPr>
          <w:rFonts w:ascii="Times New Roman" w:hAnsi="Times New Roman"/>
        </w:rPr>
        <w:t xml:space="preserve"> distinction must </w:t>
      </w:r>
      <w:r w:rsidR="00F650B8" w:rsidRPr="00D900FF">
        <w:rPr>
          <w:rFonts w:ascii="Times New Roman" w:hAnsi="Times New Roman"/>
        </w:rPr>
        <w:t>also</w:t>
      </w:r>
      <w:r w:rsidR="00541B8E" w:rsidRPr="00D900FF">
        <w:rPr>
          <w:rFonts w:ascii="Times New Roman" w:hAnsi="Times New Roman"/>
        </w:rPr>
        <w:t xml:space="preserve"> </w:t>
      </w:r>
      <w:r w:rsidRPr="00D900FF">
        <w:rPr>
          <w:rFonts w:ascii="Times New Roman" w:hAnsi="Times New Roman"/>
        </w:rPr>
        <w:t>be drawn between the end the law seeks to achieve (the</w:t>
      </w:r>
      <w:r w:rsidR="004F4352" w:rsidRPr="00D900FF">
        <w:rPr>
          <w:rFonts w:ascii="Times New Roman" w:hAnsi="Times New Roman"/>
        </w:rPr>
        <w:t> </w:t>
      </w:r>
      <w:r w:rsidR="004F38B7" w:rsidRPr="00D900FF">
        <w:rPr>
          <w:rFonts w:ascii="Times New Roman" w:hAnsi="Times New Roman"/>
        </w:rPr>
        <w:t>anti-</w:t>
      </w:r>
      <w:r w:rsidRPr="00D900FF">
        <w:rPr>
          <w:rFonts w:ascii="Times New Roman" w:hAnsi="Times New Roman"/>
        </w:rPr>
        <w:t xml:space="preserve">corruption </w:t>
      </w:r>
      <w:r w:rsidR="004F38B7" w:rsidRPr="00D900FF">
        <w:rPr>
          <w:rFonts w:ascii="Times New Roman" w:hAnsi="Times New Roman"/>
        </w:rPr>
        <w:t>purpose</w:t>
      </w:r>
      <w:r w:rsidRPr="00D900FF">
        <w:rPr>
          <w:rFonts w:ascii="Times New Roman" w:hAnsi="Times New Roman"/>
        </w:rPr>
        <w:t xml:space="preserve">) and the means adopted in pursuit of that end (defining a "political donation" so as to </w:t>
      </w:r>
      <w:r w:rsidRPr="00D900FF">
        <w:rPr>
          <w:rFonts w:ascii="Times New Roman" w:hAnsi="Times New Roman"/>
        </w:rPr>
        <w:lastRenderedPageBreak/>
        <w:t xml:space="preserve">exclude certain kinds of transfers, including transfers between a </w:t>
      </w:r>
      <w:r w:rsidR="00153527" w:rsidRPr="00D900FF">
        <w:rPr>
          <w:rFonts w:ascii="Times New Roman" w:hAnsi="Times New Roman"/>
        </w:rPr>
        <w:t>registered political party</w:t>
      </w:r>
      <w:r w:rsidRPr="00D900FF">
        <w:rPr>
          <w:rFonts w:ascii="Times New Roman" w:hAnsi="Times New Roman"/>
        </w:rPr>
        <w:t xml:space="preserve"> and its nominated entity). This </w:t>
      </w:r>
      <w:r w:rsidR="00FE36E3" w:rsidRPr="00D900FF">
        <w:rPr>
          <w:rFonts w:ascii="Times New Roman" w:hAnsi="Times New Roman"/>
        </w:rPr>
        <w:t xml:space="preserve">is </w:t>
      </w:r>
      <w:r w:rsidRPr="00D900FF">
        <w:rPr>
          <w:rFonts w:ascii="Times New Roman" w:hAnsi="Times New Roman"/>
        </w:rPr>
        <w:t>not a case where the general cap ha</w:t>
      </w:r>
      <w:r w:rsidR="00FE36E3" w:rsidRPr="00D900FF">
        <w:rPr>
          <w:rFonts w:ascii="Times New Roman" w:hAnsi="Times New Roman"/>
        </w:rPr>
        <w:t>s</w:t>
      </w:r>
      <w:r w:rsidRPr="00D900FF">
        <w:rPr>
          <w:rFonts w:ascii="Times New Roman" w:hAnsi="Times New Roman"/>
        </w:rPr>
        <w:t xml:space="preserve"> "no</w:t>
      </w:r>
      <w:r w:rsidR="00FE36E3" w:rsidRPr="00D900FF">
        <w:rPr>
          <w:rFonts w:ascii="Times New Roman" w:hAnsi="Times New Roman"/>
        </w:rPr>
        <w:t> </w:t>
      </w:r>
      <w:r w:rsidRPr="00D900FF">
        <w:rPr>
          <w:rFonts w:ascii="Times New Roman" w:hAnsi="Times New Roman"/>
        </w:rPr>
        <w:t>rational connection" to the asserted legitimate purpose.</w:t>
      </w:r>
      <w:r w:rsidRPr="00D900FF">
        <w:rPr>
          <w:rStyle w:val="FootnoteReference"/>
          <w:rFonts w:ascii="Times New Roman" w:hAnsi="Times New Roman"/>
          <w:sz w:val="24"/>
        </w:rPr>
        <w:footnoteReference w:id="81"/>
      </w:r>
      <w:r w:rsidRPr="00D900FF">
        <w:rPr>
          <w:rFonts w:ascii="Times New Roman" w:hAnsi="Times New Roman"/>
        </w:rPr>
        <w:t xml:space="preserve"> </w:t>
      </w:r>
    </w:p>
    <w:p w14:paraId="359B2DFA" w14:textId="4635063C" w:rsidR="00504A05" w:rsidRPr="00D900FF" w:rsidRDefault="00376E98"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26775B" w:rsidRPr="00D900FF">
        <w:rPr>
          <w:rFonts w:ascii="Times New Roman" w:hAnsi="Times New Roman"/>
        </w:rPr>
        <w:t>A</w:t>
      </w:r>
      <w:r w:rsidR="00504A05" w:rsidRPr="00D900FF">
        <w:rPr>
          <w:rFonts w:ascii="Times New Roman" w:hAnsi="Times New Roman"/>
        </w:rPr>
        <w:t xml:space="preserve"> conclusion about the purpose</w:t>
      </w:r>
      <w:r w:rsidR="00106139" w:rsidRPr="00D900FF">
        <w:rPr>
          <w:rFonts w:ascii="Times New Roman" w:hAnsi="Times New Roman"/>
        </w:rPr>
        <w:t xml:space="preserve"> or purpose</w:t>
      </w:r>
      <w:r w:rsidR="00504A05" w:rsidRPr="00D900FF">
        <w:rPr>
          <w:rFonts w:ascii="Times New Roman" w:hAnsi="Times New Roman"/>
        </w:rPr>
        <w:t>s of the nominated entity exception, being one exception to the general cap, or a conclusion about the</w:t>
      </w:r>
      <w:r w:rsidR="00E22423">
        <w:rPr>
          <w:rFonts w:ascii="Times New Roman" w:hAnsi="Times New Roman"/>
        </w:rPr>
        <w:t> </w:t>
      </w:r>
      <w:r w:rsidR="00504A05" w:rsidRPr="00D900FF">
        <w:rPr>
          <w:rFonts w:ascii="Times New Roman" w:hAnsi="Times New Roman"/>
        </w:rPr>
        <w:t xml:space="preserve">purposes of particular provisions with respect to nominated entities, does not ultimately assist the Court to identify the end sought to be achieved by the general cap. That end </w:t>
      </w:r>
      <w:r w:rsidR="00E41FDA">
        <w:rPr>
          <w:rFonts w:ascii="Times New Roman" w:hAnsi="Times New Roman"/>
        </w:rPr>
        <w:t>–</w:t>
      </w:r>
      <w:r w:rsidR="00D83990" w:rsidRPr="00D900FF">
        <w:rPr>
          <w:rFonts w:ascii="Times New Roman" w:hAnsi="Times New Roman"/>
        </w:rPr>
        <w:t xml:space="preserve"> the anti-corruption purpose</w:t>
      </w:r>
      <w:r w:rsidR="00E41FDA">
        <w:rPr>
          <w:rFonts w:ascii="Times New Roman" w:hAnsi="Times New Roman"/>
        </w:rPr>
        <w:t xml:space="preserve"> – </w:t>
      </w:r>
      <w:r w:rsidR="00504A05" w:rsidRPr="00D900FF">
        <w:rPr>
          <w:rFonts w:ascii="Times New Roman" w:hAnsi="Times New Roman"/>
        </w:rPr>
        <w:t>has been identified, and it is legitimate</w:t>
      </w:r>
      <w:r w:rsidR="008D0D65" w:rsidRPr="00D900FF">
        <w:rPr>
          <w:rFonts w:ascii="Times New Roman" w:hAnsi="Times New Roman"/>
        </w:rPr>
        <w:t xml:space="preserve">. </w:t>
      </w:r>
      <w:r w:rsidR="00504A05" w:rsidRPr="00D900FF">
        <w:rPr>
          <w:rFonts w:ascii="Times New Roman" w:hAnsi="Times New Roman"/>
        </w:rPr>
        <w:t xml:space="preserve">Further questions as to </w:t>
      </w:r>
      <w:r w:rsidR="00885C32" w:rsidRPr="00D900FF">
        <w:rPr>
          <w:rFonts w:ascii="Times New Roman" w:hAnsi="Times New Roman"/>
        </w:rPr>
        <w:t>any asserted disconformity between the</w:t>
      </w:r>
      <w:r w:rsidR="00E22423">
        <w:rPr>
          <w:rFonts w:ascii="Times New Roman" w:hAnsi="Times New Roman"/>
        </w:rPr>
        <w:t> </w:t>
      </w:r>
      <w:r w:rsidR="00885C32" w:rsidRPr="00D900FF">
        <w:rPr>
          <w:rFonts w:ascii="Times New Roman" w:hAnsi="Times New Roman"/>
        </w:rPr>
        <w:t xml:space="preserve">legitimate anti-corruption purpose of the cap on the one hand, and the </w:t>
      </w:r>
      <w:r w:rsidR="00513E7C" w:rsidRPr="00D900FF">
        <w:rPr>
          <w:rFonts w:ascii="Times New Roman" w:hAnsi="Times New Roman"/>
        </w:rPr>
        <w:t>operation</w:t>
      </w:r>
      <w:r w:rsidR="00885C32" w:rsidRPr="00D900FF">
        <w:rPr>
          <w:rFonts w:ascii="Times New Roman" w:hAnsi="Times New Roman"/>
        </w:rPr>
        <w:t xml:space="preserve"> of the nominated entity exception </w:t>
      </w:r>
      <w:r w:rsidR="006915A2" w:rsidRPr="00D900FF">
        <w:rPr>
          <w:rFonts w:ascii="Times New Roman" w:hAnsi="Times New Roman"/>
        </w:rPr>
        <w:t xml:space="preserve">(including </w:t>
      </w:r>
      <w:r w:rsidR="00504A05" w:rsidRPr="00D900FF">
        <w:rPr>
          <w:rFonts w:ascii="Times New Roman" w:hAnsi="Times New Roman"/>
        </w:rPr>
        <w:t>the eligibility criteria in s 222F</w:t>
      </w:r>
      <w:r w:rsidR="006915A2" w:rsidRPr="00D900FF">
        <w:rPr>
          <w:rFonts w:ascii="Times New Roman" w:hAnsi="Times New Roman"/>
        </w:rPr>
        <w:t>)</w:t>
      </w:r>
      <w:r w:rsidR="00885C32" w:rsidRPr="00D900FF">
        <w:rPr>
          <w:rFonts w:ascii="Times New Roman" w:hAnsi="Times New Roman"/>
        </w:rPr>
        <w:t xml:space="preserve"> on the other</w:t>
      </w:r>
      <w:r w:rsidR="00504A05" w:rsidRPr="00D900FF">
        <w:rPr>
          <w:rFonts w:ascii="Times New Roman" w:hAnsi="Times New Roman"/>
        </w:rPr>
        <w:t>, are appropriately left to the justification stage.</w:t>
      </w:r>
      <w:r w:rsidR="00504A05" w:rsidRPr="00D900FF">
        <w:rPr>
          <w:rStyle w:val="FootnoteReference"/>
          <w:rFonts w:ascii="Times New Roman" w:hAnsi="Times New Roman"/>
          <w:sz w:val="24"/>
        </w:rPr>
        <w:footnoteReference w:id="82"/>
      </w:r>
      <w:r w:rsidR="00504A05" w:rsidRPr="00D900FF">
        <w:rPr>
          <w:rFonts w:ascii="Times New Roman" w:hAnsi="Times New Roman"/>
        </w:rPr>
        <w:t xml:space="preserve"> </w:t>
      </w:r>
    </w:p>
    <w:p w14:paraId="32CA4B0E" w14:textId="11116858" w:rsidR="008658A3" w:rsidRPr="00D900FF" w:rsidRDefault="005D1F82" w:rsidP="00D900FF">
      <w:pPr>
        <w:pStyle w:val="HeadingL1"/>
        <w:spacing w:after="260" w:line="280" w:lineRule="exact"/>
        <w:ind w:right="0"/>
        <w:jc w:val="both"/>
        <w:rPr>
          <w:rFonts w:ascii="Times New Roman" w:hAnsi="Times New Roman"/>
        </w:rPr>
      </w:pPr>
      <w:r w:rsidRPr="00D900FF">
        <w:rPr>
          <w:rFonts w:ascii="Times New Roman" w:hAnsi="Times New Roman"/>
        </w:rPr>
        <w:t>Justification</w:t>
      </w:r>
    </w:p>
    <w:p w14:paraId="2E7E6D8C" w14:textId="5422B7B8" w:rsidR="00653354" w:rsidRPr="00D900FF" w:rsidRDefault="005D1F82"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1017A1" w:rsidRPr="00D900FF">
        <w:rPr>
          <w:rFonts w:ascii="Times New Roman" w:hAnsi="Times New Roman"/>
        </w:rPr>
        <w:t>That leaves the third question: can the law be justified?</w:t>
      </w:r>
      <w:r w:rsidR="00457DF4" w:rsidRPr="00D900FF">
        <w:rPr>
          <w:rFonts w:ascii="Times New Roman" w:hAnsi="Times New Roman"/>
        </w:rPr>
        <w:t xml:space="preserve"> Is</w:t>
      </w:r>
      <w:r w:rsidR="00AA1A9A" w:rsidRPr="00D900FF">
        <w:rPr>
          <w:rFonts w:ascii="Times New Roman" w:hAnsi="Times New Roman"/>
        </w:rPr>
        <w:t> </w:t>
      </w:r>
      <w:r w:rsidR="00F01E8A" w:rsidRPr="00D900FF">
        <w:rPr>
          <w:rFonts w:ascii="Times New Roman" w:hAnsi="Times New Roman"/>
        </w:rPr>
        <w:t xml:space="preserve">the general cap in </w:t>
      </w:r>
      <w:r w:rsidR="00457DF4" w:rsidRPr="00D900FF">
        <w:rPr>
          <w:rFonts w:ascii="Times New Roman" w:hAnsi="Times New Roman"/>
        </w:rPr>
        <w:t xml:space="preserve">Pt 12 in its operation with the nominated </w:t>
      </w:r>
      <w:r w:rsidR="002E796A" w:rsidRPr="00D900FF">
        <w:rPr>
          <w:rFonts w:ascii="Times New Roman" w:hAnsi="Times New Roman"/>
        </w:rPr>
        <w:t xml:space="preserve">entity exception reasonably appropriate </w:t>
      </w:r>
      <w:r w:rsidR="0039275D" w:rsidRPr="00D900FF">
        <w:rPr>
          <w:rFonts w:ascii="Times New Roman" w:hAnsi="Times New Roman"/>
        </w:rPr>
        <w:t>and adapted to advance th</w:t>
      </w:r>
      <w:r w:rsidR="009D1D4C" w:rsidRPr="00D900FF">
        <w:rPr>
          <w:rFonts w:ascii="Times New Roman" w:hAnsi="Times New Roman"/>
        </w:rPr>
        <w:t>e</w:t>
      </w:r>
      <w:r w:rsidR="0039275D" w:rsidRPr="00D900FF">
        <w:rPr>
          <w:rFonts w:ascii="Times New Roman" w:hAnsi="Times New Roman"/>
        </w:rPr>
        <w:t xml:space="preserve"> </w:t>
      </w:r>
      <w:r w:rsidR="00EC5AE2" w:rsidRPr="00D900FF">
        <w:rPr>
          <w:rFonts w:ascii="Times New Roman" w:hAnsi="Times New Roman"/>
        </w:rPr>
        <w:t xml:space="preserve">legitimate </w:t>
      </w:r>
      <w:r w:rsidR="004F1362" w:rsidRPr="00D900FF">
        <w:rPr>
          <w:rFonts w:ascii="Times New Roman" w:hAnsi="Times New Roman"/>
        </w:rPr>
        <w:t xml:space="preserve">anti-corruption </w:t>
      </w:r>
      <w:r w:rsidR="00EC5AE2" w:rsidRPr="00D900FF">
        <w:rPr>
          <w:rFonts w:ascii="Times New Roman" w:hAnsi="Times New Roman"/>
        </w:rPr>
        <w:t xml:space="preserve">purpose in </w:t>
      </w:r>
      <w:r w:rsidR="00490494" w:rsidRPr="00D900FF">
        <w:rPr>
          <w:rFonts w:ascii="Times New Roman" w:hAnsi="Times New Roman"/>
        </w:rPr>
        <w:t xml:space="preserve">a manner that is compatible with the maintenance of the constitutionally </w:t>
      </w:r>
      <w:r w:rsidR="00BE5899" w:rsidRPr="00D900FF">
        <w:rPr>
          <w:rFonts w:ascii="Times New Roman" w:hAnsi="Times New Roman"/>
        </w:rPr>
        <w:t>prescribed system o</w:t>
      </w:r>
      <w:r w:rsidR="00F56665" w:rsidRPr="00D900FF">
        <w:rPr>
          <w:rFonts w:ascii="Times New Roman" w:hAnsi="Times New Roman"/>
        </w:rPr>
        <w:t>f</w:t>
      </w:r>
      <w:r w:rsidR="00BE5899" w:rsidRPr="00D900FF">
        <w:rPr>
          <w:rFonts w:ascii="Times New Roman" w:hAnsi="Times New Roman"/>
        </w:rPr>
        <w:t xml:space="preserve"> government which the </w:t>
      </w:r>
      <w:r w:rsidR="00277DFE" w:rsidRPr="00D900FF">
        <w:rPr>
          <w:rFonts w:ascii="Times New Roman" w:hAnsi="Times New Roman"/>
        </w:rPr>
        <w:t xml:space="preserve">implied </w:t>
      </w:r>
      <w:r w:rsidR="00BE5899" w:rsidRPr="00D900FF">
        <w:rPr>
          <w:rFonts w:ascii="Times New Roman" w:hAnsi="Times New Roman"/>
        </w:rPr>
        <w:t>freedom exists to protect</w:t>
      </w:r>
      <w:r w:rsidR="0008218D" w:rsidRPr="00D900FF">
        <w:rPr>
          <w:rFonts w:ascii="Times New Roman" w:hAnsi="Times New Roman"/>
        </w:rPr>
        <w:t>?</w:t>
      </w:r>
      <w:r w:rsidR="009D1D4C" w:rsidRPr="00D900FF">
        <w:rPr>
          <w:rFonts w:ascii="Times New Roman" w:hAnsi="Times New Roman"/>
        </w:rPr>
        <w:t xml:space="preserve"> </w:t>
      </w:r>
      <w:r w:rsidR="00936CA5" w:rsidRPr="00D900FF">
        <w:rPr>
          <w:rFonts w:ascii="Times New Roman" w:hAnsi="Times New Roman"/>
        </w:rPr>
        <w:t>It was common ground that Victoria, as the polity imposing the burden</w:t>
      </w:r>
      <w:r w:rsidR="00DB0FFC" w:rsidRPr="00D900FF">
        <w:rPr>
          <w:rFonts w:ascii="Times New Roman" w:hAnsi="Times New Roman"/>
        </w:rPr>
        <w:t xml:space="preserve"> on the implied freedom</w:t>
      </w:r>
      <w:r w:rsidR="00936CA5" w:rsidRPr="00D900FF">
        <w:rPr>
          <w:rFonts w:ascii="Times New Roman" w:hAnsi="Times New Roman"/>
        </w:rPr>
        <w:t xml:space="preserve">, </w:t>
      </w:r>
      <w:r w:rsidR="00DD087B" w:rsidRPr="00D900FF">
        <w:rPr>
          <w:rFonts w:ascii="Times New Roman" w:hAnsi="Times New Roman"/>
        </w:rPr>
        <w:t>bore</w:t>
      </w:r>
      <w:r w:rsidR="00E22423">
        <w:rPr>
          <w:rFonts w:ascii="Times New Roman" w:hAnsi="Times New Roman"/>
        </w:rPr>
        <w:t> </w:t>
      </w:r>
      <w:r w:rsidR="00936CA5" w:rsidRPr="00D900FF">
        <w:rPr>
          <w:rFonts w:ascii="Times New Roman" w:hAnsi="Times New Roman"/>
        </w:rPr>
        <w:t>the</w:t>
      </w:r>
      <w:r w:rsidR="00E22423">
        <w:rPr>
          <w:rFonts w:ascii="Times New Roman" w:hAnsi="Times New Roman"/>
        </w:rPr>
        <w:t> </w:t>
      </w:r>
      <w:r w:rsidR="00936CA5" w:rsidRPr="00D900FF">
        <w:rPr>
          <w:rFonts w:ascii="Times New Roman" w:hAnsi="Times New Roman"/>
        </w:rPr>
        <w:t>persuasive onus of establishing th</w:t>
      </w:r>
      <w:r w:rsidR="0008218D" w:rsidRPr="00D900FF">
        <w:rPr>
          <w:rFonts w:ascii="Times New Roman" w:hAnsi="Times New Roman"/>
        </w:rPr>
        <w:t>at</w:t>
      </w:r>
      <w:r w:rsidR="00936CA5" w:rsidRPr="00D900FF">
        <w:rPr>
          <w:rFonts w:ascii="Times New Roman" w:hAnsi="Times New Roman"/>
        </w:rPr>
        <w:t xml:space="preserve"> </w:t>
      </w:r>
      <w:r w:rsidR="005E07B3" w:rsidRPr="00D900FF">
        <w:rPr>
          <w:rFonts w:ascii="Times New Roman" w:hAnsi="Times New Roman"/>
        </w:rPr>
        <w:t xml:space="preserve">the </w:t>
      </w:r>
      <w:r w:rsidR="006C2CCB" w:rsidRPr="00D900FF">
        <w:rPr>
          <w:rFonts w:ascii="Times New Roman" w:hAnsi="Times New Roman"/>
        </w:rPr>
        <w:t xml:space="preserve">identified </w:t>
      </w:r>
      <w:r w:rsidR="00936CA5" w:rsidRPr="00D900FF">
        <w:rPr>
          <w:rFonts w:ascii="Times New Roman" w:hAnsi="Times New Roman"/>
        </w:rPr>
        <w:t>burden</w:t>
      </w:r>
      <w:r w:rsidR="006C2CCB" w:rsidRPr="00D900FF">
        <w:rPr>
          <w:rFonts w:ascii="Times New Roman" w:hAnsi="Times New Roman"/>
        </w:rPr>
        <w:t xml:space="preserve"> </w:t>
      </w:r>
      <w:r w:rsidR="00364347" w:rsidRPr="00D900FF">
        <w:rPr>
          <w:rFonts w:ascii="Times New Roman" w:hAnsi="Times New Roman"/>
        </w:rPr>
        <w:t>–</w:t>
      </w:r>
      <w:r w:rsidR="008A1BF2" w:rsidRPr="00D900FF">
        <w:rPr>
          <w:rFonts w:ascii="Times New Roman" w:hAnsi="Times New Roman"/>
        </w:rPr>
        <w:t xml:space="preserve"> </w:t>
      </w:r>
      <w:r w:rsidR="00D11366" w:rsidRPr="00D900FF">
        <w:rPr>
          <w:rFonts w:ascii="Times New Roman" w:hAnsi="Times New Roman"/>
        </w:rPr>
        <w:t xml:space="preserve">indirect and </w:t>
      </w:r>
      <w:r w:rsidR="006C2CCB" w:rsidRPr="00D900FF">
        <w:rPr>
          <w:rFonts w:ascii="Times New Roman" w:hAnsi="Times New Roman"/>
        </w:rPr>
        <w:t>not insubstantial</w:t>
      </w:r>
      <w:r w:rsidR="00AD481F" w:rsidRPr="00D900FF">
        <w:rPr>
          <w:rStyle w:val="FootnoteReference"/>
          <w:rFonts w:ascii="Times New Roman" w:hAnsi="Times New Roman"/>
          <w:sz w:val="24"/>
        </w:rPr>
        <w:footnoteReference w:id="83"/>
      </w:r>
      <w:r w:rsidR="00721F33" w:rsidRPr="00D900FF">
        <w:rPr>
          <w:rFonts w:ascii="Times New Roman" w:hAnsi="Times New Roman"/>
        </w:rPr>
        <w:t xml:space="preserve"> </w:t>
      </w:r>
      <w:r w:rsidR="00976C61" w:rsidRPr="00D900FF">
        <w:rPr>
          <w:rFonts w:ascii="Times New Roman" w:hAnsi="Times New Roman"/>
        </w:rPr>
        <w:t>–</w:t>
      </w:r>
      <w:r w:rsidR="00721F33" w:rsidRPr="00D900FF">
        <w:rPr>
          <w:rFonts w:ascii="Times New Roman" w:hAnsi="Times New Roman"/>
        </w:rPr>
        <w:t xml:space="preserve"> </w:t>
      </w:r>
      <w:r w:rsidR="000944EC" w:rsidRPr="00D900FF">
        <w:rPr>
          <w:rFonts w:ascii="Times New Roman" w:hAnsi="Times New Roman"/>
        </w:rPr>
        <w:t>i</w:t>
      </w:r>
      <w:r w:rsidR="00653354" w:rsidRPr="00D900FF">
        <w:rPr>
          <w:rFonts w:ascii="Times New Roman" w:hAnsi="Times New Roman"/>
        </w:rPr>
        <w:t>s</w:t>
      </w:r>
      <w:r w:rsidR="00936CA5" w:rsidRPr="00D900FF">
        <w:rPr>
          <w:rFonts w:ascii="Times New Roman" w:hAnsi="Times New Roman"/>
        </w:rPr>
        <w:t xml:space="preserve"> justified.</w:t>
      </w:r>
      <w:r w:rsidR="00936CA5" w:rsidRPr="00D900FF">
        <w:rPr>
          <w:rStyle w:val="FootnoteReference"/>
          <w:rFonts w:ascii="Times New Roman" w:hAnsi="Times New Roman"/>
          <w:sz w:val="24"/>
        </w:rPr>
        <w:footnoteReference w:id="84"/>
      </w:r>
    </w:p>
    <w:p w14:paraId="3D41E379" w14:textId="4A42E1E6" w:rsidR="00FD0921" w:rsidRPr="00D900FF" w:rsidRDefault="00653354"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936CA5" w:rsidRPr="00D900FF">
        <w:rPr>
          <w:rFonts w:ascii="Times New Roman" w:hAnsi="Times New Roman"/>
        </w:rPr>
        <w:t xml:space="preserve">Victoria did not seek to justify the burden in its entirety. Rather, Victoria conceded that </w:t>
      </w:r>
      <w:r w:rsidR="00FA7D81" w:rsidRPr="00D900FF">
        <w:rPr>
          <w:rFonts w:ascii="Times New Roman" w:hAnsi="Times New Roman"/>
        </w:rPr>
        <w:t xml:space="preserve">an aspect of the differential burden </w:t>
      </w:r>
      <w:r w:rsidR="00936CA5" w:rsidRPr="00D900FF">
        <w:rPr>
          <w:rFonts w:ascii="Times New Roman" w:hAnsi="Times New Roman"/>
        </w:rPr>
        <w:t xml:space="preserve">could not be justified: </w:t>
      </w:r>
      <w:r w:rsidR="00F0711B" w:rsidRPr="00D900FF">
        <w:rPr>
          <w:rFonts w:ascii="Times New Roman" w:hAnsi="Times New Roman"/>
        </w:rPr>
        <w:t>specifically</w:t>
      </w:r>
      <w:r w:rsidR="00936CA5" w:rsidRPr="00D900FF">
        <w:rPr>
          <w:rFonts w:ascii="Times New Roman" w:hAnsi="Times New Roman"/>
        </w:rPr>
        <w:t xml:space="preserve">, that aspect of s 222F(3) which imposed a </w:t>
      </w:r>
      <w:r w:rsidR="00E142F0" w:rsidRPr="00D900FF">
        <w:rPr>
          <w:rFonts w:ascii="Times New Roman" w:hAnsi="Times New Roman"/>
        </w:rPr>
        <w:t>time</w:t>
      </w:r>
      <w:r w:rsidR="001513EB" w:rsidRPr="00D900FF">
        <w:rPr>
          <w:rFonts w:ascii="Times New Roman" w:hAnsi="Times New Roman"/>
        </w:rPr>
        <w:t xml:space="preserve"> </w:t>
      </w:r>
      <w:r w:rsidR="00936CA5" w:rsidRPr="00D900FF">
        <w:rPr>
          <w:rFonts w:ascii="Times New Roman" w:hAnsi="Times New Roman"/>
        </w:rPr>
        <w:t>limitation on the</w:t>
      </w:r>
      <w:r w:rsidR="007F7DC3">
        <w:rPr>
          <w:rFonts w:ascii="Times New Roman" w:hAnsi="Times New Roman"/>
        </w:rPr>
        <w:t> </w:t>
      </w:r>
      <w:r w:rsidR="00936CA5" w:rsidRPr="00D900FF">
        <w:rPr>
          <w:rFonts w:ascii="Times New Roman" w:hAnsi="Times New Roman"/>
        </w:rPr>
        <w:t>appointment of a nominated entity on the eligibility criteria in that sub-section</w:t>
      </w:r>
      <w:r w:rsidR="002F25F2" w:rsidRPr="00D900FF">
        <w:rPr>
          <w:rFonts w:ascii="Times New Roman" w:hAnsi="Times New Roman"/>
        </w:rPr>
        <w:t xml:space="preserve"> (in other words, the time limitation</w:t>
      </w:r>
      <w:r w:rsidR="00BA78E1" w:rsidRPr="00D900FF">
        <w:rPr>
          <w:rFonts w:ascii="Times New Roman" w:hAnsi="Times New Roman"/>
        </w:rPr>
        <w:t xml:space="preserve"> in s 222F(3)</w:t>
      </w:r>
      <w:r w:rsidR="002F25F2" w:rsidRPr="00D900FF">
        <w:rPr>
          <w:rFonts w:ascii="Times New Roman" w:hAnsi="Times New Roman"/>
        </w:rPr>
        <w:t>)</w:t>
      </w:r>
      <w:r w:rsidR="00DB1FA5" w:rsidRPr="00D900FF">
        <w:rPr>
          <w:rFonts w:ascii="Times New Roman" w:hAnsi="Times New Roman"/>
        </w:rPr>
        <w:t>.</w:t>
      </w:r>
      <w:r w:rsidR="00936CA5" w:rsidRPr="00D900FF">
        <w:rPr>
          <w:rFonts w:ascii="Times New Roman" w:hAnsi="Times New Roman"/>
        </w:rPr>
        <w:t xml:space="preserve"> </w:t>
      </w:r>
      <w:r w:rsidR="002A229A" w:rsidRPr="00D900FF">
        <w:rPr>
          <w:rFonts w:ascii="Times New Roman" w:hAnsi="Times New Roman"/>
        </w:rPr>
        <w:t xml:space="preserve">The </w:t>
      </w:r>
      <w:r w:rsidR="00204FBB" w:rsidRPr="00D900FF">
        <w:rPr>
          <w:rFonts w:ascii="Times New Roman" w:hAnsi="Times New Roman"/>
        </w:rPr>
        <w:t xml:space="preserve">time limitation </w:t>
      </w:r>
      <w:r w:rsidR="00BA78E1" w:rsidRPr="00D900FF">
        <w:rPr>
          <w:rFonts w:ascii="Times New Roman" w:hAnsi="Times New Roman"/>
        </w:rPr>
        <w:t xml:space="preserve">in s 222F(3) </w:t>
      </w:r>
      <w:r w:rsidR="00FE36E3" w:rsidRPr="00D900FF">
        <w:rPr>
          <w:rFonts w:ascii="Times New Roman" w:hAnsi="Times New Roman"/>
        </w:rPr>
        <w:t xml:space="preserve">gives </w:t>
      </w:r>
      <w:r w:rsidR="00204FBB" w:rsidRPr="00D900FF">
        <w:rPr>
          <w:rFonts w:ascii="Times New Roman" w:hAnsi="Times New Roman"/>
        </w:rPr>
        <w:t>rise to the second aspect of the differential burden discussed above</w:t>
      </w:r>
      <w:r w:rsidR="001F77CE" w:rsidRPr="00D900FF">
        <w:rPr>
          <w:rFonts w:ascii="Times New Roman" w:hAnsi="Times New Roman"/>
        </w:rPr>
        <w:t>:</w:t>
      </w:r>
      <w:r w:rsidR="00204FBB" w:rsidRPr="00D900FF">
        <w:rPr>
          <w:rStyle w:val="FootnoteReference"/>
          <w:rFonts w:ascii="Times New Roman" w:hAnsi="Times New Roman"/>
          <w:sz w:val="24"/>
        </w:rPr>
        <w:footnoteReference w:id="85"/>
      </w:r>
      <w:r w:rsidR="002A229A" w:rsidRPr="00D900FF">
        <w:rPr>
          <w:rFonts w:ascii="Times New Roman" w:hAnsi="Times New Roman"/>
        </w:rPr>
        <w:t xml:space="preserve"> </w:t>
      </w:r>
      <w:r w:rsidR="001F77CE" w:rsidRPr="00D900FF">
        <w:rPr>
          <w:rFonts w:ascii="Times New Roman" w:hAnsi="Times New Roman"/>
        </w:rPr>
        <w:t>the</w:t>
      </w:r>
      <w:r w:rsidR="007F7DC3">
        <w:rPr>
          <w:rFonts w:ascii="Times New Roman" w:hAnsi="Times New Roman"/>
        </w:rPr>
        <w:t> </w:t>
      </w:r>
      <w:r w:rsidR="005314E7" w:rsidRPr="00D900FF">
        <w:rPr>
          <w:rFonts w:ascii="Times New Roman" w:hAnsi="Times New Roman"/>
        </w:rPr>
        <w:t xml:space="preserve">nominated entity exception, and therefore </w:t>
      </w:r>
      <w:r w:rsidR="00546DBF" w:rsidRPr="00D900FF">
        <w:rPr>
          <w:rFonts w:ascii="Times New Roman" w:hAnsi="Times New Roman"/>
        </w:rPr>
        <w:t xml:space="preserve">the </w:t>
      </w:r>
      <w:r w:rsidR="001F77CE" w:rsidRPr="00D900FF">
        <w:rPr>
          <w:rFonts w:ascii="Times New Roman" w:hAnsi="Times New Roman"/>
        </w:rPr>
        <w:t>general cap</w:t>
      </w:r>
      <w:r w:rsidR="009F6D6D" w:rsidRPr="00D900FF">
        <w:rPr>
          <w:rFonts w:ascii="Times New Roman" w:hAnsi="Times New Roman"/>
        </w:rPr>
        <w:t>,</w:t>
      </w:r>
      <w:r w:rsidR="001F77CE" w:rsidRPr="00D900FF">
        <w:rPr>
          <w:rFonts w:ascii="Times New Roman" w:hAnsi="Times New Roman"/>
        </w:rPr>
        <w:t xml:space="preserve"> operated differently </w:t>
      </w:r>
      <w:r w:rsidR="001F77CE" w:rsidRPr="00D900FF">
        <w:rPr>
          <w:rFonts w:ascii="Times New Roman" w:hAnsi="Times New Roman"/>
        </w:rPr>
        <w:lastRenderedPageBreak/>
        <w:t xml:space="preserve">for </w:t>
      </w:r>
      <w:r w:rsidR="002250BB" w:rsidRPr="00D900FF">
        <w:rPr>
          <w:rFonts w:ascii="Times New Roman" w:hAnsi="Times New Roman"/>
        </w:rPr>
        <w:t xml:space="preserve">political parties that appointed nominated entities prior to </w:t>
      </w:r>
      <w:r w:rsidR="0019642B" w:rsidRPr="00D900FF">
        <w:rPr>
          <w:rFonts w:ascii="Times New Roman" w:hAnsi="Times New Roman"/>
        </w:rPr>
        <w:t>1 </w:t>
      </w:r>
      <w:r w:rsidR="002250BB" w:rsidRPr="00D900FF">
        <w:rPr>
          <w:rFonts w:ascii="Times New Roman" w:hAnsi="Times New Roman"/>
        </w:rPr>
        <w:t xml:space="preserve">July 2020 compared to political parties that </w:t>
      </w:r>
      <w:r w:rsidR="009C787F" w:rsidRPr="00D900FF">
        <w:rPr>
          <w:rFonts w:ascii="Times New Roman" w:hAnsi="Times New Roman"/>
        </w:rPr>
        <w:t xml:space="preserve">appointed </w:t>
      </w:r>
      <w:r w:rsidR="002250BB" w:rsidRPr="00D900FF">
        <w:rPr>
          <w:rFonts w:ascii="Times New Roman" w:hAnsi="Times New Roman"/>
        </w:rPr>
        <w:t xml:space="preserve">nominated </w:t>
      </w:r>
      <w:r w:rsidR="009C787F" w:rsidRPr="00D900FF">
        <w:rPr>
          <w:rFonts w:ascii="Times New Roman" w:hAnsi="Times New Roman"/>
        </w:rPr>
        <w:t xml:space="preserve">entities </w:t>
      </w:r>
      <w:r w:rsidR="002250BB" w:rsidRPr="00D900FF">
        <w:rPr>
          <w:rFonts w:ascii="Times New Roman" w:hAnsi="Times New Roman"/>
        </w:rPr>
        <w:t xml:space="preserve">after </w:t>
      </w:r>
      <w:r w:rsidR="0019642B" w:rsidRPr="00D900FF">
        <w:rPr>
          <w:rFonts w:ascii="Times New Roman" w:hAnsi="Times New Roman"/>
        </w:rPr>
        <w:t>1 </w:t>
      </w:r>
      <w:r w:rsidR="002250BB" w:rsidRPr="00D900FF">
        <w:rPr>
          <w:rFonts w:ascii="Times New Roman" w:hAnsi="Times New Roman"/>
        </w:rPr>
        <w:t>July 2020. The former were able to take advantage of more relaxed criteria for appointing an</w:t>
      </w:r>
      <w:r w:rsidR="007F7DC3">
        <w:rPr>
          <w:rFonts w:ascii="Times New Roman" w:hAnsi="Times New Roman"/>
        </w:rPr>
        <w:t> </w:t>
      </w:r>
      <w:r w:rsidR="002250BB" w:rsidRPr="00D900FF">
        <w:rPr>
          <w:rFonts w:ascii="Times New Roman" w:hAnsi="Times New Roman"/>
        </w:rPr>
        <w:t>entity from which they could receive donations that were not the subject of the</w:t>
      </w:r>
      <w:r w:rsidR="007F7DC3">
        <w:rPr>
          <w:rFonts w:ascii="Times New Roman" w:hAnsi="Times New Roman"/>
        </w:rPr>
        <w:t> </w:t>
      </w:r>
      <w:r w:rsidR="002250BB" w:rsidRPr="00D900FF">
        <w:rPr>
          <w:rFonts w:ascii="Times New Roman" w:hAnsi="Times New Roman"/>
        </w:rPr>
        <w:t>general cap.</w:t>
      </w:r>
    </w:p>
    <w:p w14:paraId="1886E4A1" w14:textId="74B72506" w:rsidR="000F514D" w:rsidRPr="00D900FF" w:rsidRDefault="00FD0921"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936CA5" w:rsidRPr="00D900FF">
        <w:rPr>
          <w:rFonts w:ascii="Times New Roman" w:hAnsi="Times New Roman"/>
        </w:rPr>
        <w:t xml:space="preserve">Victoria accepted that there were no facts in the </w:t>
      </w:r>
      <w:r w:rsidR="00816636" w:rsidRPr="00D900FF">
        <w:rPr>
          <w:rFonts w:ascii="Times New Roman" w:hAnsi="Times New Roman"/>
        </w:rPr>
        <w:t>s</w:t>
      </w:r>
      <w:r w:rsidR="00936CA5" w:rsidRPr="00D900FF">
        <w:rPr>
          <w:rFonts w:ascii="Times New Roman" w:hAnsi="Times New Roman"/>
        </w:rPr>
        <w:t xml:space="preserve">pecial </w:t>
      </w:r>
      <w:r w:rsidR="001A6AAB" w:rsidRPr="00D900FF">
        <w:rPr>
          <w:rFonts w:ascii="Times New Roman" w:hAnsi="Times New Roman"/>
        </w:rPr>
        <w:t>c</w:t>
      </w:r>
      <w:r w:rsidR="00936CA5" w:rsidRPr="00D900FF">
        <w:rPr>
          <w:rFonts w:ascii="Times New Roman" w:hAnsi="Times New Roman"/>
        </w:rPr>
        <w:t xml:space="preserve">ase that would enable this Court to conclude that </w:t>
      </w:r>
      <w:r w:rsidR="00FE36E3" w:rsidRPr="00D900FF">
        <w:rPr>
          <w:rFonts w:ascii="Times New Roman" w:hAnsi="Times New Roman"/>
        </w:rPr>
        <w:t xml:space="preserve">this </w:t>
      </w:r>
      <w:r w:rsidR="00936CA5" w:rsidRPr="00D900FF">
        <w:rPr>
          <w:rFonts w:ascii="Times New Roman" w:hAnsi="Times New Roman"/>
        </w:rPr>
        <w:t xml:space="preserve">differential </w:t>
      </w:r>
      <w:r w:rsidR="00FE36E3" w:rsidRPr="00D900FF">
        <w:rPr>
          <w:rFonts w:ascii="Times New Roman" w:hAnsi="Times New Roman"/>
        </w:rPr>
        <w:t xml:space="preserve">burden </w:t>
      </w:r>
      <w:r w:rsidR="008C2F6F" w:rsidRPr="00D900FF">
        <w:rPr>
          <w:rFonts w:ascii="Times New Roman" w:hAnsi="Times New Roman"/>
        </w:rPr>
        <w:t xml:space="preserve">results from </w:t>
      </w:r>
      <w:r w:rsidR="00936CA5" w:rsidRPr="00D900FF">
        <w:rPr>
          <w:rFonts w:ascii="Times New Roman" w:hAnsi="Times New Roman"/>
        </w:rPr>
        <w:t xml:space="preserve">a distinction appropriate and adapted to the attainment of </w:t>
      </w:r>
      <w:r w:rsidR="00182A41" w:rsidRPr="00D900FF">
        <w:rPr>
          <w:rFonts w:ascii="Times New Roman" w:hAnsi="Times New Roman"/>
        </w:rPr>
        <w:t xml:space="preserve">the identified legitimate </w:t>
      </w:r>
      <w:r w:rsidRPr="00D900FF">
        <w:rPr>
          <w:rFonts w:ascii="Times New Roman" w:hAnsi="Times New Roman"/>
        </w:rPr>
        <w:t>purpose</w:t>
      </w:r>
      <w:r w:rsidR="00936CA5" w:rsidRPr="00D900FF">
        <w:rPr>
          <w:rFonts w:ascii="Times New Roman" w:hAnsi="Times New Roman"/>
        </w:rPr>
        <w:t xml:space="preserve">. </w:t>
      </w:r>
      <w:r w:rsidRPr="00D900FF">
        <w:rPr>
          <w:rFonts w:ascii="Times New Roman" w:hAnsi="Times New Roman"/>
        </w:rPr>
        <w:t>I</w:t>
      </w:r>
      <w:r w:rsidR="00936CA5" w:rsidRPr="00D900FF">
        <w:rPr>
          <w:rFonts w:ascii="Times New Roman" w:hAnsi="Times New Roman"/>
        </w:rPr>
        <w:t>n</w:t>
      </w:r>
      <w:r w:rsidR="007F7DC3">
        <w:rPr>
          <w:rFonts w:ascii="Times New Roman" w:hAnsi="Times New Roman"/>
        </w:rPr>
        <w:t> </w:t>
      </w:r>
      <w:r w:rsidR="00936CA5" w:rsidRPr="00D900FF">
        <w:rPr>
          <w:rFonts w:ascii="Times New Roman" w:hAnsi="Times New Roman"/>
          <w:i/>
          <w:iCs/>
        </w:rPr>
        <w:t>Unions</w:t>
      </w:r>
      <w:r w:rsidR="000B2840" w:rsidRPr="00D900FF">
        <w:rPr>
          <w:rFonts w:ascii="Times New Roman" w:hAnsi="Times New Roman"/>
          <w:i/>
          <w:iCs/>
        </w:rPr>
        <w:t xml:space="preserve"> NSW v New South Wales (Unions NSW</w:t>
      </w:r>
      <w:r w:rsidR="00936CA5" w:rsidRPr="00D900FF">
        <w:rPr>
          <w:rFonts w:ascii="Times New Roman" w:hAnsi="Times New Roman"/>
          <w:i/>
          <w:iCs/>
        </w:rPr>
        <w:t xml:space="preserve"> [No 3]</w:t>
      </w:r>
      <w:r w:rsidR="000B2840" w:rsidRPr="00D900FF">
        <w:rPr>
          <w:rFonts w:ascii="Times New Roman" w:hAnsi="Times New Roman"/>
          <w:i/>
          <w:iCs/>
        </w:rPr>
        <w:t>)</w:t>
      </w:r>
      <w:r w:rsidR="00936CA5" w:rsidRPr="00D900FF">
        <w:rPr>
          <w:rFonts w:ascii="Times New Roman" w:hAnsi="Times New Roman"/>
        </w:rPr>
        <w:t xml:space="preserve">, a majority of this Court held s 29(11) of the </w:t>
      </w:r>
      <w:r w:rsidR="00936CA5" w:rsidRPr="00D900FF">
        <w:rPr>
          <w:rFonts w:ascii="Times New Roman" w:hAnsi="Times New Roman"/>
          <w:i/>
          <w:iCs/>
        </w:rPr>
        <w:t>Electoral Funding Act 2018</w:t>
      </w:r>
      <w:r w:rsidR="00936CA5" w:rsidRPr="00D900FF">
        <w:rPr>
          <w:rFonts w:ascii="Times New Roman" w:hAnsi="Times New Roman"/>
        </w:rPr>
        <w:t xml:space="preserve"> (NSW) to be invalid where the</w:t>
      </w:r>
      <w:r w:rsidR="007F7DC3">
        <w:rPr>
          <w:rFonts w:ascii="Times New Roman" w:hAnsi="Times New Roman"/>
        </w:rPr>
        <w:t> </w:t>
      </w:r>
      <w:r w:rsidR="00936CA5" w:rsidRPr="00D900FF">
        <w:rPr>
          <w:rFonts w:ascii="Times New Roman" w:hAnsi="Times New Roman"/>
        </w:rPr>
        <w:t>State of New South Wales accepted its invalidity, on the basis that the State no longer sought to justify the burden imposed by the law.</w:t>
      </w:r>
      <w:r w:rsidR="00936CA5" w:rsidRPr="00D900FF">
        <w:rPr>
          <w:rStyle w:val="FootnoteReference"/>
          <w:rFonts w:ascii="Times New Roman" w:hAnsi="Times New Roman"/>
          <w:sz w:val="24"/>
        </w:rPr>
        <w:footnoteReference w:id="86"/>
      </w:r>
      <w:r w:rsidR="00936CA5" w:rsidRPr="00D900FF">
        <w:rPr>
          <w:rFonts w:ascii="Times New Roman" w:hAnsi="Times New Roman"/>
        </w:rPr>
        <w:t xml:space="preserve"> While questions of the</w:t>
      </w:r>
      <w:r w:rsidR="007F7DC3">
        <w:rPr>
          <w:rFonts w:ascii="Times New Roman" w:hAnsi="Times New Roman"/>
        </w:rPr>
        <w:t> </w:t>
      </w:r>
      <w:r w:rsidR="00936CA5" w:rsidRPr="00D900FF">
        <w:rPr>
          <w:rFonts w:ascii="Times New Roman" w:hAnsi="Times New Roman"/>
        </w:rPr>
        <w:t>validity of a law cannot be decided by agreement of the parties,</w:t>
      </w:r>
      <w:r w:rsidR="00BA1785" w:rsidRPr="00D900FF">
        <w:rPr>
          <w:rFonts w:ascii="Times New Roman" w:hAnsi="Times New Roman"/>
        </w:rPr>
        <w:t xml:space="preserve"> it is of significance, </w:t>
      </w:r>
      <w:r w:rsidR="00870E9A" w:rsidRPr="00D900FF">
        <w:rPr>
          <w:rFonts w:ascii="Times New Roman" w:hAnsi="Times New Roman"/>
        </w:rPr>
        <w:t>consistently with</w:t>
      </w:r>
      <w:r w:rsidR="00BA1785" w:rsidRPr="00D900FF">
        <w:rPr>
          <w:rFonts w:ascii="Times New Roman" w:hAnsi="Times New Roman"/>
        </w:rPr>
        <w:t xml:space="preserve"> </w:t>
      </w:r>
      <w:r w:rsidR="00BA1785" w:rsidRPr="00D900FF">
        <w:rPr>
          <w:rFonts w:ascii="Times New Roman" w:hAnsi="Times New Roman"/>
          <w:i/>
          <w:iCs/>
        </w:rPr>
        <w:t>Unions NSW [No 3]</w:t>
      </w:r>
      <w:r w:rsidR="00BA1785" w:rsidRPr="00D900FF">
        <w:rPr>
          <w:rFonts w:ascii="Times New Roman" w:hAnsi="Times New Roman"/>
        </w:rPr>
        <w:t>,</w:t>
      </w:r>
      <w:r w:rsidR="00936CA5" w:rsidRPr="00D900FF">
        <w:rPr>
          <w:rStyle w:val="FootnoteReference"/>
          <w:rFonts w:ascii="Times New Roman" w:hAnsi="Times New Roman"/>
          <w:sz w:val="24"/>
        </w:rPr>
        <w:footnoteReference w:id="87"/>
      </w:r>
      <w:r w:rsidR="00866054" w:rsidRPr="00D900FF">
        <w:rPr>
          <w:rFonts w:ascii="Times New Roman" w:hAnsi="Times New Roman"/>
        </w:rPr>
        <w:t xml:space="preserve"> that</w:t>
      </w:r>
      <w:r w:rsidR="00936CA5" w:rsidRPr="00D900FF">
        <w:rPr>
          <w:rFonts w:ascii="Times New Roman" w:hAnsi="Times New Roman"/>
        </w:rPr>
        <w:t xml:space="preserve"> Victoria </w:t>
      </w:r>
      <w:r w:rsidR="00696EB7" w:rsidRPr="00D900FF">
        <w:rPr>
          <w:rFonts w:ascii="Times New Roman" w:hAnsi="Times New Roman"/>
        </w:rPr>
        <w:t xml:space="preserve">did </w:t>
      </w:r>
      <w:r w:rsidR="00936CA5" w:rsidRPr="00D900FF">
        <w:rPr>
          <w:rFonts w:ascii="Times New Roman" w:hAnsi="Times New Roman"/>
        </w:rPr>
        <w:t xml:space="preserve">not seek to discharge its persuasive onus of justifying </w:t>
      </w:r>
      <w:r w:rsidR="00FB2F96" w:rsidRPr="00D900FF">
        <w:rPr>
          <w:rFonts w:ascii="Times New Roman" w:hAnsi="Times New Roman"/>
        </w:rPr>
        <w:t xml:space="preserve">the </w:t>
      </w:r>
      <w:r w:rsidR="00936CA5" w:rsidRPr="00D900FF">
        <w:rPr>
          <w:rFonts w:ascii="Times New Roman" w:hAnsi="Times New Roman"/>
        </w:rPr>
        <w:t>burden</w:t>
      </w:r>
      <w:r w:rsidR="00FB2F96" w:rsidRPr="00D900FF">
        <w:rPr>
          <w:rFonts w:ascii="Times New Roman" w:hAnsi="Times New Roman"/>
        </w:rPr>
        <w:t xml:space="preserve"> imposed </w:t>
      </w:r>
      <w:r w:rsidR="008B496E" w:rsidRPr="00D900FF">
        <w:rPr>
          <w:rFonts w:ascii="Times New Roman" w:hAnsi="Times New Roman"/>
        </w:rPr>
        <w:t xml:space="preserve">by </w:t>
      </w:r>
      <w:r w:rsidR="0077782D" w:rsidRPr="00D900FF">
        <w:rPr>
          <w:rFonts w:ascii="Times New Roman" w:hAnsi="Times New Roman"/>
        </w:rPr>
        <w:t>the impugned law</w:t>
      </w:r>
      <w:r w:rsidR="00FB2F96" w:rsidRPr="00D900FF">
        <w:rPr>
          <w:rFonts w:ascii="Times New Roman" w:hAnsi="Times New Roman"/>
        </w:rPr>
        <w:t xml:space="preserve"> </w:t>
      </w:r>
      <w:r w:rsidR="007B0234" w:rsidRPr="00D900FF">
        <w:rPr>
          <w:rFonts w:ascii="Times New Roman" w:hAnsi="Times New Roman"/>
        </w:rPr>
        <w:t xml:space="preserve">to the extent </w:t>
      </w:r>
      <w:r w:rsidR="00FB2F96" w:rsidRPr="00D900FF">
        <w:rPr>
          <w:rFonts w:ascii="Times New Roman" w:hAnsi="Times New Roman"/>
        </w:rPr>
        <w:t>the time limitation</w:t>
      </w:r>
      <w:r w:rsidR="0077782D" w:rsidRPr="00D900FF">
        <w:rPr>
          <w:rFonts w:ascii="Times New Roman" w:hAnsi="Times New Roman"/>
        </w:rPr>
        <w:t xml:space="preserve"> </w:t>
      </w:r>
      <w:r w:rsidR="000C37A9" w:rsidRPr="00D900FF">
        <w:rPr>
          <w:rFonts w:ascii="Times New Roman" w:hAnsi="Times New Roman"/>
        </w:rPr>
        <w:t xml:space="preserve">in s 222F(3) </w:t>
      </w:r>
      <w:r w:rsidR="0077782D" w:rsidRPr="00D900FF">
        <w:rPr>
          <w:rFonts w:ascii="Times New Roman" w:hAnsi="Times New Roman"/>
        </w:rPr>
        <w:t>applie</w:t>
      </w:r>
      <w:r w:rsidR="00893712" w:rsidRPr="00D900FF">
        <w:rPr>
          <w:rFonts w:ascii="Times New Roman" w:hAnsi="Times New Roman"/>
        </w:rPr>
        <w:t>s</w:t>
      </w:r>
      <w:r w:rsidR="00936CA5" w:rsidRPr="00D900FF">
        <w:rPr>
          <w:rFonts w:ascii="Times New Roman" w:hAnsi="Times New Roman"/>
        </w:rPr>
        <w:t>. It</w:t>
      </w:r>
      <w:r w:rsidR="00AE7066" w:rsidRPr="00D900FF">
        <w:rPr>
          <w:rFonts w:ascii="Times New Roman" w:hAnsi="Times New Roman"/>
        </w:rPr>
        <w:t> </w:t>
      </w:r>
      <w:r w:rsidR="00936CA5" w:rsidRPr="00D900FF">
        <w:rPr>
          <w:rFonts w:ascii="Times New Roman" w:hAnsi="Times New Roman"/>
        </w:rPr>
        <w:t xml:space="preserve">did not identify any facts on which this Court could be satisfied that the </w:t>
      </w:r>
      <w:r w:rsidR="00E142F0" w:rsidRPr="00D900FF">
        <w:rPr>
          <w:rFonts w:ascii="Times New Roman" w:hAnsi="Times New Roman"/>
        </w:rPr>
        <w:t>time</w:t>
      </w:r>
      <w:r w:rsidR="00936CA5" w:rsidRPr="00D900FF">
        <w:rPr>
          <w:rFonts w:ascii="Times New Roman" w:hAnsi="Times New Roman"/>
        </w:rPr>
        <w:t xml:space="preserve"> limitation </w:t>
      </w:r>
      <w:r w:rsidR="000C37A9" w:rsidRPr="00D900FF">
        <w:rPr>
          <w:rFonts w:ascii="Times New Roman" w:hAnsi="Times New Roman"/>
        </w:rPr>
        <w:t xml:space="preserve">in s 222F(3) </w:t>
      </w:r>
      <w:r w:rsidR="00936CA5" w:rsidRPr="00D900FF">
        <w:rPr>
          <w:rFonts w:ascii="Times New Roman" w:hAnsi="Times New Roman"/>
        </w:rPr>
        <w:t>could be justified.</w:t>
      </w:r>
      <w:r w:rsidR="00936CA5" w:rsidRPr="00D900FF">
        <w:rPr>
          <w:rStyle w:val="FootnoteReference"/>
          <w:rFonts w:ascii="Times New Roman" w:hAnsi="Times New Roman"/>
          <w:sz w:val="24"/>
        </w:rPr>
        <w:footnoteReference w:id="88"/>
      </w:r>
      <w:r w:rsidR="00F308D9" w:rsidRPr="00D900FF">
        <w:rPr>
          <w:rFonts w:ascii="Times New Roman" w:hAnsi="Times New Roman"/>
        </w:rPr>
        <w:t xml:space="preserve"> In this case, having identified that the general cap in its operation with the nominated entity exception imposes a burden on the implied freedom and that the general cap operating with the nominated entity exception serves a legitimate purpose, this Court </w:t>
      </w:r>
      <w:r w:rsidR="00796117" w:rsidRPr="00D900FF">
        <w:rPr>
          <w:rFonts w:ascii="Times New Roman" w:hAnsi="Times New Roman"/>
        </w:rPr>
        <w:t>cannot</w:t>
      </w:r>
      <w:r w:rsidR="007F43C2" w:rsidRPr="00D900FF">
        <w:rPr>
          <w:rFonts w:ascii="Times New Roman" w:hAnsi="Times New Roman"/>
        </w:rPr>
        <w:t xml:space="preserve"> be</w:t>
      </w:r>
      <w:r w:rsidR="00F308D9" w:rsidRPr="00D900FF">
        <w:rPr>
          <w:rFonts w:ascii="Times New Roman" w:hAnsi="Times New Roman"/>
        </w:rPr>
        <w:t xml:space="preserve"> satisfied that the time limitation in s 222F(3) can be justified by reference to that legitimate purpose.</w:t>
      </w:r>
    </w:p>
    <w:p w14:paraId="134D944A" w14:textId="611F2CC0" w:rsidR="00936CA5" w:rsidRPr="00D900FF" w:rsidRDefault="000F514D"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936CA5" w:rsidRPr="00D900FF">
        <w:rPr>
          <w:rFonts w:ascii="Times New Roman" w:hAnsi="Times New Roman"/>
        </w:rPr>
        <w:t xml:space="preserve">The </w:t>
      </w:r>
      <w:r w:rsidR="00E142F0" w:rsidRPr="00D900FF">
        <w:rPr>
          <w:rFonts w:ascii="Times New Roman" w:hAnsi="Times New Roman"/>
        </w:rPr>
        <w:t>time</w:t>
      </w:r>
      <w:r w:rsidR="00936CA5" w:rsidRPr="00D900FF">
        <w:rPr>
          <w:rFonts w:ascii="Times New Roman" w:hAnsi="Times New Roman"/>
        </w:rPr>
        <w:t xml:space="preserve"> limitation in s 222F(3) not being justified</w:t>
      </w:r>
      <w:r w:rsidR="005E6B2F" w:rsidRPr="00D900FF">
        <w:rPr>
          <w:rFonts w:ascii="Times New Roman" w:hAnsi="Times New Roman"/>
        </w:rPr>
        <w:t xml:space="preserve">, this Court's conclusion must be that the general cap impermissibly infringes the implied freedom in its operation with the nominated entity exception to the extent </w:t>
      </w:r>
      <w:r w:rsidR="007B0234" w:rsidRPr="00D900FF">
        <w:rPr>
          <w:rFonts w:ascii="Times New Roman" w:hAnsi="Times New Roman"/>
        </w:rPr>
        <w:t xml:space="preserve">that </w:t>
      </w:r>
      <w:r w:rsidR="00FC4995" w:rsidRPr="00D900FF">
        <w:rPr>
          <w:rFonts w:ascii="Times New Roman" w:hAnsi="Times New Roman"/>
        </w:rPr>
        <w:t>the time limitation</w:t>
      </w:r>
      <w:r w:rsidR="007F366D" w:rsidRPr="00D900FF">
        <w:rPr>
          <w:rFonts w:ascii="Times New Roman" w:hAnsi="Times New Roman"/>
        </w:rPr>
        <w:t xml:space="preserve"> </w:t>
      </w:r>
      <w:r w:rsidR="000C37A9" w:rsidRPr="00D900FF">
        <w:rPr>
          <w:rFonts w:ascii="Times New Roman" w:hAnsi="Times New Roman"/>
        </w:rPr>
        <w:t xml:space="preserve">in s 222F(3) </w:t>
      </w:r>
      <w:r w:rsidR="007F366D" w:rsidRPr="00D900FF">
        <w:rPr>
          <w:rFonts w:ascii="Times New Roman" w:hAnsi="Times New Roman"/>
        </w:rPr>
        <w:t>applies</w:t>
      </w:r>
      <w:r w:rsidR="00FC4995" w:rsidRPr="00D900FF">
        <w:rPr>
          <w:rFonts w:ascii="Times New Roman" w:hAnsi="Times New Roman"/>
        </w:rPr>
        <w:t xml:space="preserve">, namely </w:t>
      </w:r>
      <w:r w:rsidR="00E16894" w:rsidRPr="00D900FF">
        <w:rPr>
          <w:rFonts w:ascii="Times New Roman" w:hAnsi="Times New Roman"/>
        </w:rPr>
        <w:t xml:space="preserve">to the extent </w:t>
      </w:r>
      <w:r w:rsidR="005E6B2F" w:rsidRPr="00D900FF">
        <w:rPr>
          <w:rFonts w:ascii="Times New Roman" w:hAnsi="Times New Roman"/>
        </w:rPr>
        <w:t xml:space="preserve">that </w:t>
      </w:r>
      <w:r w:rsidR="00936CA5" w:rsidRPr="00D900FF">
        <w:rPr>
          <w:rFonts w:ascii="Times New Roman" w:hAnsi="Times New Roman"/>
        </w:rPr>
        <w:t>different eligibility criteria were prescribed for the appointment of a nominated entity before and after 1 July 2020.</w:t>
      </w:r>
      <w:r w:rsidR="006975CC" w:rsidRPr="00D900FF">
        <w:rPr>
          <w:rFonts w:ascii="Times New Roman" w:hAnsi="Times New Roman"/>
        </w:rPr>
        <w:t xml:space="preserve"> </w:t>
      </w:r>
    </w:p>
    <w:p w14:paraId="7BBF85C1" w14:textId="50CD5175" w:rsidR="009B66D8" w:rsidRPr="00D900FF" w:rsidRDefault="000F514D" w:rsidP="00D900FF">
      <w:pPr>
        <w:pStyle w:val="HeadingL1"/>
        <w:spacing w:after="260" w:line="280" w:lineRule="exact"/>
        <w:ind w:right="0"/>
        <w:jc w:val="both"/>
        <w:rPr>
          <w:rFonts w:ascii="Times New Roman" w:hAnsi="Times New Roman"/>
        </w:rPr>
      </w:pPr>
      <w:r w:rsidRPr="00D900FF">
        <w:rPr>
          <w:rFonts w:ascii="Times New Roman" w:hAnsi="Times New Roman"/>
        </w:rPr>
        <w:t>Consequence of invalidity</w:t>
      </w:r>
    </w:p>
    <w:p w14:paraId="258DFE05" w14:textId="745061C2" w:rsidR="00966614" w:rsidRPr="00D900FF" w:rsidRDefault="009B66D8"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F6057" w:rsidRPr="00D900FF" w:rsidDel="006D75DF">
        <w:rPr>
          <w:rFonts w:ascii="Times New Roman" w:hAnsi="Times New Roman"/>
        </w:rPr>
        <w:t xml:space="preserve">The question </w:t>
      </w:r>
      <w:r w:rsidR="00C413F3" w:rsidRPr="00D900FF">
        <w:rPr>
          <w:rFonts w:ascii="Times New Roman" w:hAnsi="Times New Roman"/>
        </w:rPr>
        <w:t>that remains</w:t>
      </w:r>
      <w:r w:rsidR="004F6057" w:rsidRPr="00D900FF" w:rsidDel="006D75DF">
        <w:rPr>
          <w:rFonts w:ascii="Times New Roman" w:hAnsi="Times New Roman"/>
        </w:rPr>
        <w:t xml:space="preserve"> is the consequence of that invalidity</w:t>
      </w:r>
      <w:r w:rsidR="00C92476" w:rsidRPr="00D900FF">
        <w:rPr>
          <w:rFonts w:ascii="Times New Roman" w:hAnsi="Times New Roman"/>
        </w:rPr>
        <w:t xml:space="preserve">. </w:t>
      </w:r>
      <w:r w:rsidR="00966614" w:rsidRPr="00D900FF">
        <w:rPr>
          <w:rFonts w:ascii="Times New Roman" w:hAnsi="Times New Roman"/>
        </w:rPr>
        <w:t xml:space="preserve">Section 6(1) </w:t>
      </w:r>
      <w:r w:rsidR="00C17E83" w:rsidRPr="00D900FF">
        <w:rPr>
          <w:rFonts w:ascii="Times New Roman" w:hAnsi="Times New Roman"/>
        </w:rPr>
        <w:t xml:space="preserve">of the </w:t>
      </w:r>
      <w:r w:rsidR="00C17E83" w:rsidRPr="00D900FF">
        <w:rPr>
          <w:rFonts w:ascii="Times New Roman" w:hAnsi="Times New Roman"/>
          <w:i/>
          <w:iCs/>
        </w:rPr>
        <w:t xml:space="preserve">Interpretation of Legislation Act 1984 </w:t>
      </w:r>
      <w:r w:rsidR="00C17E83" w:rsidRPr="00D900FF">
        <w:rPr>
          <w:rFonts w:ascii="Times New Roman" w:hAnsi="Times New Roman"/>
        </w:rPr>
        <w:t xml:space="preserve">(Vic) ("the Interpretation Act") </w:t>
      </w:r>
      <w:r w:rsidR="00DE7FBA" w:rsidRPr="00D900FF">
        <w:rPr>
          <w:rFonts w:ascii="Times New Roman" w:hAnsi="Times New Roman"/>
        </w:rPr>
        <w:t>is a</w:t>
      </w:r>
      <w:r w:rsidR="007F7DC3">
        <w:rPr>
          <w:rFonts w:ascii="Times New Roman" w:hAnsi="Times New Roman"/>
        </w:rPr>
        <w:t> </w:t>
      </w:r>
      <w:r w:rsidR="00DE7FBA" w:rsidRPr="00D900FF">
        <w:rPr>
          <w:rFonts w:ascii="Times New Roman" w:hAnsi="Times New Roman"/>
        </w:rPr>
        <w:t xml:space="preserve">severance clause that </w:t>
      </w:r>
      <w:r w:rsidR="00966614" w:rsidRPr="00D900FF">
        <w:rPr>
          <w:rFonts w:ascii="Times New Roman" w:hAnsi="Times New Roman"/>
        </w:rPr>
        <w:t xml:space="preserve">applies to every Victorian Act "unless a contrary intention </w:t>
      </w:r>
      <w:r w:rsidR="00966614" w:rsidRPr="00D900FF">
        <w:rPr>
          <w:rFonts w:ascii="Times New Roman" w:hAnsi="Times New Roman"/>
        </w:rPr>
        <w:lastRenderedPageBreak/>
        <w:t>appears".</w:t>
      </w:r>
      <w:r w:rsidR="00966614" w:rsidRPr="00D900FF">
        <w:rPr>
          <w:rStyle w:val="FootnoteReference"/>
          <w:rFonts w:ascii="Times New Roman" w:hAnsi="Times New Roman"/>
          <w:sz w:val="24"/>
        </w:rPr>
        <w:footnoteReference w:id="89"/>
      </w:r>
      <w:r w:rsidR="00966614" w:rsidRPr="00D900FF">
        <w:rPr>
          <w:rFonts w:ascii="Times New Roman" w:hAnsi="Times New Roman"/>
        </w:rPr>
        <w:t xml:space="preserve"> Its effect is to "reverse the presumption that a statute is to operate as a</w:t>
      </w:r>
      <w:r w:rsidR="007F7DC3">
        <w:rPr>
          <w:rFonts w:ascii="Times New Roman" w:hAnsi="Times New Roman"/>
        </w:rPr>
        <w:t> </w:t>
      </w:r>
      <w:r w:rsidR="00966614" w:rsidRPr="00D900FF">
        <w:rPr>
          <w:rFonts w:ascii="Times New Roman" w:hAnsi="Times New Roman"/>
        </w:rPr>
        <w:t xml:space="preserve">whole, so that the intention of the legislature is to be taken prima facie to be that the enactment should </w:t>
      </w:r>
      <w:r w:rsidR="00E542E2" w:rsidRPr="00D900FF">
        <w:rPr>
          <w:rFonts w:ascii="Times New Roman" w:hAnsi="Times New Roman"/>
        </w:rPr>
        <w:t xml:space="preserve">be </w:t>
      </w:r>
      <w:r w:rsidR="00966614" w:rsidRPr="00D900FF">
        <w:rPr>
          <w:rFonts w:ascii="Times New Roman" w:hAnsi="Times New Roman"/>
        </w:rPr>
        <w:t>divisible and that any parts found constitutionally unobjectionable should be carried into effect independently of those which fail".</w:t>
      </w:r>
      <w:r w:rsidR="00966614" w:rsidRPr="00D900FF">
        <w:rPr>
          <w:rStyle w:val="FootnoteReference"/>
          <w:rFonts w:ascii="Times New Roman" w:hAnsi="Times New Roman"/>
          <w:sz w:val="24"/>
        </w:rPr>
        <w:footnoteReference w:id="90"/>
      </w:r>
      <w:r w:rsidR="00823869" w:rsidRPr="00D900FF">
        <w:rPr>
          <w:rFonts w:ascii="Times New Roman" w:hAnsi="Times New Roman"/>
        </w:rPr>
        <w:t xml:space="preserve"> </w:t>
      </w:r>
      <w:r w:rsidR="00FA11EF" w:rsidRPr="00D900FF">
        <w:rPr>
          <w:rFonts w:ascii="Times New Roman" w:hAnsi="Times New Roman"/>
        </w:rPr>
        <w:t>N</w:t>
      </w:r>
      <w:r w:rsidR="00E71D90" w:rsidRPr="00D900FF">
        <w:rPr>
          <w:rFonts w:ascii="Times New Roman" w:hAnsi="Times New Roman"/>
        </w:rPr>
        <w:t>ever</w:t>
      </w:r>
      <w:r w:rsidR="00FA11EF" w:rsidRPr="00D900FF">
        <w:rPr>
          <w:rFonts w:ascii="Times New Roman" w:hAnsi="Times New Roman"/>
        </w:rPr>
        <w:t>theless</w:t>
      </w:r>
      <w:r w:rsidR="00E257CD" w:rsidRPr="00D900FF">
        <w:rPr>
          <w:rFonts w:ascii="Times New Roman" w:hAnsi="Times New Roman"/>
        </w:rPr>
        <w:t>, s 6(1) is "an interpretation provision to be applied strictly within the</w:t>
      </w:r>
      <w:r w:rsidR="007F7DC3">
        <w:rPr>
          <w:rFonts w:ascii="Times New Roman" w:hAnsi="Times New Roman"/>
        </w:rPr>
        <w:t> </w:t>
      </w:r>
      <w:r w:rsidR="00E257CD" w:rsidRPr="00D900FF">
        <w:rPr>
          <w:rFonts w:ascii="Times New Roman" w:hAnsi="Times New Roman"/>
        </w:rPr>
        <w:t>limits of judicial power".</w:t>
      </w:r>
      <w:r w:rsidR="00E257CD" w:rsidRPr="00D900FF">
        <w:rPr>
          <w:rStyle w:val="FootnoteReference"/>
          <w:rFonts w:ascii="Times New Roman" w:hAnsi="Times New Roman"/>
          <w:sz w:val="24"/>
        </w:rPr>
        <w:footnoteReference w:id="91"/>
      </w:r>
      <w:r w:rsidR="00E257CD" w:rsidRPr="00D900FF">
        <w:rPr>
          <w:rFonts w:ascii="Times New Roman" w:hAnsi="Times New Roman"/>
        </w:rPr>
        <w:t xml:space="preserve"> It does not "authorize the Court, by adopting a</w:t>
      </w:r>
      <w:r w:rsidR="007F7DC3">
        <w:rPr>
          <w:rFonts w:ascii="Times New Roman" w:hAnsi="Times New Roman"/>
        </w:rPr>
        <w:t> </w:t>
      </w:r>
      <w:r w:rsidR="00E257CD" w:rsidRPr="00D900FF">
        <w:rPr>
          <w:rFonts w:ascii="Times New Roman" w:hAnsi="Times New Roman"/>
        </w:rPr>
        <w:t>standard criterion or test merely selected by itself, to redraft a statute or regulation so as to bring it within power and so preserve its validity".</w:t>
      </w:r>
      <w:r w:rsidR="00E257CD" w:rsidRPr="00D900FF">
        <w:rPr>
          <w:rStyle w:val="FootnoteReference"/>
          <w:rFonts w:ascii="Times New Roman" w:hAnsi="Times New Roman"/>
          <w:sz w:val="24"/>
        </w:rPr>
        <w:footnoteReference w:id="92"/>
      </w:r>
      <w:r w:rsidR="00E257CD" w:rsidRPr="00D900FF">
        <w:rPr>
          <w:rFonts w:ascii="Times New Roman" w:hAnsi="Times New Roman"/>
        </w:rPr>
        <w:t xml:space="preserve"> Nor does it permit the Court to submit a statute to "major surgery",</w:t>
      </w:r>
      <w:r w:rsidR="00E257CD" w:rsidRPr="00D900FF">
        <w:rPr>
          <w:rStyle w:val="FootnoteReference"/>
          <w:rFonts w:ascii="Times New Roman" w:hAnsi="Times New Roman"/>
          <w:sz w:val="24"/>
        </w:rPr>
        <w:footnoteReference w:id="93"/>
      </w:r>
      <w:r w:rsidR="00E257CD" w:rsidRPr="00D900FF">
        <w:rPr>
          <w:rFonts w:ascii="Times New Roman" w:hAnsi="Times New Roman"/>
        </w:rPr>
        <w:t xml:space="preserve"> in order to separate the</w:t>
      </w:r>
      <w:r w:rsidR="007F7DC3">
        <w:rPr>
          <w:rFonts w:ascii="Times New Roman" w:hAnsi="Times New Roman"/>
        </w:rPr>
        <w:t> </w:t>
      </w:r>
      <w:r w:rsidR="00E257CD" w:rsidRPr="00D900FF">
        <w:rPr>
          <w:rFonts w:ascii="Times New Roman" w:hAnsi="Times New Roman"/>
        </w:rPr>
        <w:t>"woof from the warp" and "manufacture a new web".</w:t>
      </w:r>
      <w:r w:rsidR="00E257CD" w:rsidRPr="00D900FF">
        <w:rPr>
          <w:rStyle w:val="FootnoteReference"/>
          <w:rFonts w:ascii="Times New Roman" w:hAnsi="Times New Roman"/>
          <w:sz w:val="24"/>
        </w:rPr>
        <w:footnoteReference w:id="94"/>
      </w:r>
    </w:p>
    <w:p w14:paraId="1E55E188" w14:textId="3E71C849" w:rsidR="000661FC" w:rsidRPr="00D900FF" w:rsidRDefault="00ED6274"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EB4607" w:rsidRPr="00D900FF">
        <w:rPr>
          <w:rFonts w:ascii="Times New Roman" w:hAnsi="Times New Roman"/>
        </w:rPr>
        <w:t>Having regard to s 6(1), t</w:t>
      </w:r>
      <w:r w:rsidR="003C358C" w:rsidRPr="00D900FF">
        <w:rPr>
          <w:rFonts w:ascii="Times New Roman" w:hAnsi="Times New Roman"/>
        </w:rPr>
        <w:t xml:space="preserve">he relief sought by the plaintiffs </w:t>
      </w:r>
      <w:r w:rsidR="00EE7B43" w:rsidRPr="00D900FF">
        <w:rPr>
          <w:rFonts w:ascii="Times New Roman" w:hAnsi="Times New Roman"/>
        </w:rPr>
        <w:t>include</w:t>
      </w:r>
      <w:r w:rsidR="006D5F78" w:rsidRPr="00D900FF">
        <w:rPr>
          <w:rFonts w:ascii="Times New Roman" w:hAnsi="Times New Roman"/>
        </w:rPr>
        <w:t>s</w:t>
      </w:r>
      <w:r w:rsidR="00EE7B43" w:rsidRPr="00D900FF">
        <w:rPr>
          <w:rFonts w:ascii="Times New Roman" w:hAnsi="Times New Roman"/>
        </w:rPr>
        <w:t xml:space="preserve">, but </w:t>
      </w:r>
      <w:r w:rsidR="008C2F6F" w:rsidRPr="00D900FF">
        <w:rPr>
          <w:rFonts w:ascii="Times New Roman" w:hAnsi="Times New Roman"/>
        </w:rPr>
        <w:t xml:space="preserve">is </w:t>
      </w:r>
      <w:r w:rsidR="00EE7B43" w:rsidRPr="00D900FF">
        <w:rPr>
          <w:rFonts w:ascii="Times New Roman" w:hAnsi="Times New Roman"/>
        </w:rPr>
        <w:t xml:space="preserve">not limited to, </w:t>
      </w:r>
      <w:r w:rsidR="00DD20F9" w:rsidRPr="00D900FF">
        <w:rPr>
          <w:rFonts w:ascii="Times New Roman" w:hAnsi="Times New Roman"/>
        </w:rPr>
        <w:t xml:space="preserve">severance of </w:t>
      </w:r>
      <w:r w:rsidR="00D77289" w:rsidRPr="00D900FF">
        <w:rPr>
          <w:rFonts w:ascii="Times New Roman" w:hAnsi="Times New Roman"/>
        </w:rPr>
        <w:t>aspects</w:t>
      </w:r>
      <w:r w:rsidR="00DD20F9" w:rsidRPr="00D900FF">
        <w:rPr>
          <w:rFonts w:ascii="Times New Roman" w:hAnsi="Times New Roman"/>
        </w:rPr>
        <w:t xml:space="preserve"> of Pt 12</w:t>
      </w:r>
      <w:r w:rsidR="00A76E16" w:rsidRPr="00D900FF">
        <w:rPr>
          <w:rFonts w:ascii="Times New Roman" w:hAnsi="Times New Roman"/>
        </w:rPr>
        <w:t xml:space="preserve">, including </w:t>
      </w:r>
      <w:r w:rsidR="004C1D6D" w:rsidRPr="00D900FF">
        <w:rPr>
          <w:rFonts w:ascii="Times New Roman" w:hAnsi="Times New Roman"/>
        </w:rPr>
        <w:t>if</w:t>
      </w:r>
      <w:r w:rsidR="0040509E" w:rsidRPr="00D900FF">
        <w:rPr>
          <w:rFonts w:ascii="Times New Roman" w:hAnsi="Times New Roman"/>
        </w:rPr>
        <w:t xml:space="preserve"> invalidity ar</w:t>
      </w:r>
      <w:r w:rsidR="00875D9F" w:rsidRPr="00D900FF">
        <w:rPr>
          <w:rFonts w:ascii="Times New Roman" w:hAnsi="Times New Roman"/>
        </w:rPr>
        <w:t>o</w:t>
      </w:r>
      <w:r w:rsidR="0040509E" w:rsidRPr="00D900FF">
        <w:rPr>
          <w:rFonts w:ascii="Times New Roman" w:hAnsi="Times New Roman"/>
        </w:rPr>
        <w:t>se only</w:t>
      </w:r>
      <w:r w:rsidR="005435ED" w:rsidRPr="00D900FF">
        <w:rPr>
          <w:rFonts w:ascii="Times New Roman" w:hAnsi="Times New Roman"/>
        </w:rPr>
        <w:t xml:space="preserve"> </w:t>
      </w:r>
      <w:r w:rsidR="00A76E16" w:rsidRPr="00D900FF">
        <w:rPr>
          <w:rFonts w:ascii="Times New Roman" w:hAnsi="Times New Roman"/>
        </w:rPr>
        <w:t xml:space="preserve">from </w:t>
      </w:r>
      <w:r w:rsidR="00470F4F" w:rsidRPr="00D900FF">
        <w:rPr>
          <w:rFonts w:ascii="Times New Roman" w:hAnsi="Times New Roman"/>
        </w:rPr>
        <w:t xml:space="preserve">Victoria's </w:t>
      </w:r>
      <w:r w:rsidR="00A76E16" w:rsidRPr="00D900FF">
        <w:rPr>
          <w:rFonts w:ascii="Times New Roman" w:hAnsi="Times New Roman"/>
        </w:rPr>
        <w:t>concession.</w:t>
      </w:r>
      <w:r w:rsidR="005435ED" w:rsidRPr="00D900FF">
        <w:rPr>
          <w:rFonts w:ascii="Times New Roman" w:hAnsi="Times New Roman"/>
        </w:rPr>
        <w:t xml:space="preserve"> </w:t>
      </w:r>
      <w:r w:rsidR="00EE7B43" w:rsidRPr="00D900FF">
        <w:rPr>
          <w:rFonts w:ascii="Times New Roman" w:hAnsi="Times New Roman"/>
        </w:rPr>
        <w:t>However,</w:t>
      </w:r>
      <w:r w:rsidR="00EB57D3" w:rsidRPr="00D900FF">
        <w:rPr>
          <w:rFonts w:ascii="Times New Roman" w:hAnsi="Times New Roman"/>
        </w:rPr>
        <w:t xml:space="preserve"> the plaintiffs also submitted that</w:t>
      </w:r>
      <w:r w:rsidR="00EE7B43" w:rsidRPr="00D900FF">
        <w:rPr>
          <w:rFonts w:ascii="Times New Roman" w:hAnsi="Times New Roman"/>
        </w:rPr>
        <w:t xml:space="preserve">, if </w:t>
      </w:r>
      <w:r w:rsidR="008030AD" w:rsidRPr="00D900FF">
        <w:rPr>
          <w:rFonts w:ascii="Times New Roman" w:hAnsi="Times New Roman"/>
        </w:rPr>
        <w:t>no aspects</w:t>
      </w:r>
      <w:r w:rsidR="00FE16B4" w:rsidRPr="00D900FF">
        <w:rPr>
          <w:rFonts w:ascii="Times New Roman" w:hAnsi="Times New Roman"/>
        </w:rPr>
        <w:t xml:space="preserve"> </w:t>
      </w:r>
      <w:r w:rsidR="008030AD" w:rsidRPr="00D900FF">
        <w:rPr>
          <w:rFonts w:ascii="Times New Roman" w:hAnsi="Times New Roman"/>
        </w:rPr>
        <w:t xml:space="preserve">of Pt 12 </w:t>
      </w:r>
      <w:r w:rsidR="00FE16B4" w:rsidRPr="00D900FF">
        <w:rPr>
          <w:rFonts w:ascii="Times New Roman" w:hAnsi="Times New Roman"/>
        </w:rPr>
        <w:t>could be severed, th</w:t>
      </w:r>
      <w:r w:rsidR="00050450" w:rsidRPr="00D900FF">
        <w:rPr>
          <w:rFonts w:ascii="Times New Roman" w:hAnsi="Times New Roman"/>
        </w:rPr>
        <w:t>e</w:t>
      </w:r>
      <w:r w:rsidR="00FE16B4" w:rsidRPr="00D900FF">
        <w:rPr>
          <w:rFonts w:ascii="Times New Roman" w:hAnsi="Times New Roman"/>
        </w:rPr>
        <w:t xml:space="preserve"> Court could and should strike down Pt 12 in its entirety. </w:t>
      </w:r>
    </w:p>
    <w:p w14:paraId="6E6B5DA7" w14:textId="785D0CE9" w:rsidR="004F6057" w:rsidRPr="00D900FF" w:rsidRDefault="000661FC"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973B33" w:rsidRPr="00D900FF">
        <w:rPr>
          <w:rFonts w:ascii="Times New Roman" w:hAnsi="Times New Roman"/>
        </w:rPr>
        <w:t xml:space="preserve">For the reasons </w:t>
      </w:r>
      <w:r w:rsidR="005435ED" w:rsidRPr="00D900FF">
        <w:rPr>
          <w:rFonts w:ascii="Times New Roman" w:hAnsi="Times New Roman"/>
        </w:rPr>
        <w:t>that follow</w:t>
      </w:r>
      <w:r w:rsidR="00512043" w:rsidRPr="00D900FF">
        <w:rPr>
          <w:rFonts w:ascii="Times New Roman" w:hAnsi="Times New Roman"/>
        </w:rPr>
        <w:t xml:space="preserve">, </w:t>
      </w:r>
      <w:r w:rsidR="005435ED" w:rsidRPr="00D900FF">
        <w:rPr>
          <w:rFonts w:ascii="Times New Roman" w:hAnsi="Times New Roman"/>
        </w:rPr>
        <w:t xml:space="preserve">the whole of </w:t>
      </w:r>
      <w:r w:rsidR="00512043" w:rsidRPr="00D900FF">
        <w:rPr>
          <w:rFonts w:ascii="Times New Roman" w:hAnsi="Times New Roman"/>
        </w:rPr>
        <w:t xml:space="preserve">Pt 12 </w:t>
      </w:r>
      <w:r w:rsidR="00480AAF" w:rsidRPr="00D900FF">
        <w:rPr>
          <w:rFonts w:ascii="Times New Roman" w:hAnsi="Times New Roman"/>
        </w:rPr>
        <w:t>is invalid</w:t>
      </w:r>
      <w:r w:rsidR="000B0BD0" w:rsidRPr="00D900FF">
        <w:rPr>
          <w:rFonts w:ascii="Times New Roman" w:hAnsi="Times New Roman"/>
        </w:rPr>
        <w:t>.</w:t>
      </w:r>
      <w:r w:rsidR="00B7540C" w:rsidRPr="00D900FF">
        <w:rPr>
          <w:rFonts w:ascii="Times New Roman" w:hAnsi="Times New Roman"/>
        </w:rPr>
        <w:t xml:space="preserve"> </w:t>
      </w:r>
      <w:r w:rsidR="005D51EF" w:rsidRPr="00D900FF">
        <w:rPr>
          <w:rFonts w:ascii="Times New Roman" w:hAnsi="Times New Roman"/>
        </w:rPr>
        <w:t>The unworkability of the parties' proposed options – severing parts of the eligibility criteria for nominated entities in s 222F, severing para</w:t>
      </w:r>
      <w:r w:rsidR="00E17D01" w:rsidRPr="00D900FF">
        <w:rPr>
          <w:rFonts w:ascii="Times New Roman" w:hAnsi="Times New Roman"/>
        </w:rPr>
        <w:t> </w:t>
      </w:r>
      <w:r w:rsidR="005D51EF" w:rsidRPr="00D900FF">
        <w:rPr>
          <w:rFonts w:ascii="Times New Roman" w:hAnsi="Times New Roman"/>
        </w:rPr>
        <w:t>(j) of the definition of "gift", or even severing the general cap itself –</w:t>
      </w:r>
      <w:r w:rsidR="005D51EF" w:rsidRPr="00D900FF" w:rsidDel="007B7BF4">
        <w:rPr>
          <w:rFonts w:ascii="Times New Roman" w:hAnsi="Times New Roman"/>
        </w:rPr>
        <w:t xml:space="preserve"> </w:t>
      </w:r>
      <w:r w:rsidR="005D51EF" w:rsidRPr="00D900FF">
        <w:rPr>
          <w:rFonts w:ascii="Times New Roman" w:hAnsi="Times New Roman"/>
        </w:rPr>
        <w:t>serves to demonstrate that, as a matter of construction, those provisions "form[] part of an inseparable context".</w:t>
      </w:r>
      <w:r w:rsidR="005D51EF" w:rsidRPr="00D900FF">
        <w:rPr>
          <w:rStyle w:val="FootnoteReference"/>
          <w:rFonts w:ascii="Times New Roman" w:hAnsi="Times New Roman"/>
          <w:sz w:val="24"/>
        </w:rPr>
        <w:footnoteReference w:id="95"/>
      </w:r>
      <w:r w:rsidR="005D51EF" w:rsidRPr="00D900FF">
        <w:rPr>
          <w:rFonts w:ascii="Times New Roman" w:hAnsi="Times New Roman"/>
        </w:rPr>
        <w:t xml:space="preserve"> The</w:t>
      </w:r>
      <w:r w:rsidR="007F7DC3">
        <w:rPr>
          <w:rFonts w:ascii="Times New Roman" w:hAnsi="Times New Roman"/>
        </w:rPr>
        <w:t> </w:t>
      </w:r>
      <w:r w:rsidR="005D51EF" w:rsidRPr="00D900FF">
        <w:rPr>
          <w:rFonts w:ascii="Times New Roman" w:hAnsi="Times New Roman"/>
        </w:rPr>
        <w:t>provisions that give rise to the invalidity</w:t>
      </w:r>
      <w:r w:rsidR="00D647D2" w:rsidRPr="00D900FF">
        <w:rPr>
          <w:rFonts w:ascii="Times New Roman" w:hAnsi="Times New Roman"/>
        </w:rPr>
        <w:t xml:space="preserve"> arising from Victoria's concession</w:t>
      </w:r>
      <w:r w:rsidR="005D51EF" w:rsidRPr="00D900FF">
        <w:rPr>
          <w:rFonts w:ascii="Times New Roman" w:hAnsi="Times New Roman"/>
        </w:rPr>
        <w:t xml:space="preserve"> are related through a series of definitions that are used throughout Pt 12, </w:t>
      </w:r>
      <w:r w:rsidR="005D51EF" w:rsidRPr="00D900FF">
        <w:rPr>
          <w:rFonts w:ascii="Times New Roman" w:hAnsi="Times New Roman"/>
        </w:rPr>
        <w:lastRenderedPageBreak/>
        <w:t>making</w:t>
      </w:r>
      <w:r w:rsidR="007F7DC3">
        <w:rPr>
          <w:rFonts w:ascii="Times New Roman" w:hAnsi="Times New Roman"/>
        </w:rPr>
        <w:t> </w:t>
      </w:r>
      <w:r w:rsidR="005D51EF" w:rsidRPr="00D900FF">
        <w:rPr>
          <w:rFonts w:ascii="Times New Roman" w:hAnsi="Times New Roman"/>
        </w:rPr>
        <w:t xml:space="preserve">them </w:t>
      </w:r>
      <w:r w:rsidR="00E95C59" w:rsidRPr="00D900FF">
        <w:rPr>
          <w:rFonts w:ascii="Times New Roman" w:hAnsi="Times New Roman"/>
        </w:rPr>
        <w:t xml:space="preserve">impossible </w:t>
      </w:r>
      <w:r w:rsidR="005D51EF" w:rsidRPr="00D900FF">
        <w:rPr>
          <w:rFonts w:ascii="Times New Roman" w:hAnsi="Times New Roman"/>
        </w:rPr>
        <w:t xml:space="preserve">to </w:t>
      </w:r>
      <w:r w:rsidR="00E95C59" w:rsidRPr="00D900FF">
        <w:rPr>
          <w:rFonts w:ascii="Times New Roman" w:hAnsi="Times New Roman"/>
        </w:rPr>
        <w:t>sever</w:t>
      </w:r>
      <w:r w:rsidR="005D51EF" w:rsidRPr="00D900FF">
        <w:rPr>
          <w:rFonts w:ascii="Times New Roman" w:hAnsi="Times New Roman"/>
        </w:rPr>
        <w:t xml:space="preserve"> without altering the operation of </w:t>
      </w:r>
      <w:r w:rsidR="00880EFD" w:rsidRPr="00D900FF">
        <w:rPr>
          <w:rFonts w:ascii="Times New Roman" w:hAnsi="Times New Roman"/>
        </w:rPr>
        <w:t xml:space="preserve">the </w:t>
      </w:r>
      <w:r w:rsidR="005D51EF" w:rsidRPr="00D900FF">
        <w:rPr>
          <w:rFonts w:ascii="Times New Roman" w:hAnsi="Times New Roman"/>
        </w:rPr>
        <w:t xml:space="preserve">remaining provisions in the Part. </w:t>
      </w:r>
    </w:p>
    <w:p w14:paraId="206B9EA2" w14:textId="1A7080E1" w:rsidR="00FA54C1" w:rsidRPr="00D900FF" w:rsidRDefault="00FA54C1" w:rsidP="00D900FF">
      <w:pPr>
        <w:pStyle w:val="HeadingL2"/>
        <w:spacing w:after="260" w:line="280" w:lineRule="exact"/>
        <w:ind w:right="0"/>
        <w:jc w:val="both"/>
        <w:rPr>
          <w:rFonts w:ascii="Times New Roman" w:hAnsi="Times New Roman"/>
        </w:rPr>
      </w:pPr>
      <w:r w:rsidRPr="00D900FF">
        <w:rPr>
          <w:rFonts w:ascii="Times New Roman" w:hAnsi="Times New Roman"/>
        </w:rPr>
        <w:t>(1)</w:t>
      </w:r>
      <w:r w:rsidRPr="00D900FF">
        <w:rPr>
          <w:rFonts w:ascii="Times New Roman" w:hAnsi="Times New Roman"/>
        </w:rPr>
        <w:tab/>
      </w:r>
      <w:r w:rsidR="00F86292" w:rsidRPr="00D900FF">
        <w:rPr>
          <w:rFonts w:ascii="Times New Roman" w:hAnsi="Times New Roman"/>
        </w:rPr>
        <w:t>T</w:t>
      </w:r>
      <w:r w:rsidRPr="00D900FF">
        <w:rPr>
          <w:rFonts w:ascii="Times New Roman" w:hAnsi="Times New Roman"/>
        </w:rPr>
        <w:t xml:space="preserve">he </w:t>
      </w:r>
      <w:r w:rsidR="00F86292" w:rsidRPr="00D900FF">
        <w:rPr>
          <w:rFonts w:ascii="Times New Roman" w:hAnsi="Times New Roman"/>
        </w:rPr>
        <w:t xml:space="preserve">time </w:t>
      </w:r>
      <w:r w:rsidR="00BE297F" w:rsidRPr="00D900FF">
        <w:rPr>
          <w:rFonts w:ascii="Times New Roman" w:hAnsi="Times New Roman"/>
        </w:rPr>
        <w:t>limitation</w:t>
      </w:r>
      <w:r w:rsidR="00F86292" w:rsidRPr="00D900FF">
        <w:rPr>
          <w:rFonts w:ascii="Times New Roman" w:hAnsi="Times New Roman"/>
        </w:rPr>
        <w:t xml:space="preserve"> </w:t>
      </w:r>
      <w:r w:rsidR="001E43B1" w:rsidRPr="00D900FF">
        <w:rPr>
          <w:rFonts w:ascii="Times New Roman" w:hAnsi="Times New Roman"/>
        </w:rPr>
        <w:t>in s 222F(3)</w:t>
      </w:r>
    </w:p>
    <w:p w14:paraId="4AFF4BC5" w14:textId="6FB7BE46" w:rsidR="00FC07C7" w:rsidRPr="00D900FF" w:rsidRDefault="00C01D1D"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DC33C2" w:rsidRPr="00D900FF">
        <w:rPr>
          <w:rFonts w:ascii="Times New Roman" w:hAnsi="Times New Roman"/>
        </w:rPr>
        <w:t xml:space="preserve">It is appropriate to </w:t>
      </w:r>
      <w:r w:rsidR="001E6E16" w:rsidRPr="00D900FF">
        <w:rPr>
          <w:rFonts w:ascii="Times New Roman" w:hAnsi="Times New Roman"/>
        </w:rPr>
        <w:t>commence</w:t>
      </w:r>
      <w:r w:rsidR="00DC33C2" w:rsidRPr="00D900FF">
        <w:rPr>
          <w:rFonts w:ascii="Times New Roman" w:hAnsi="Times New Roman"/>
        </w:rPr>
        <w:t xml:space="preserve"> with Victoria's submission on </w:t>
      </w:r>
      <w:r w:rsidR="009B0BCD" w:rsidRPr="00D900FF">
        <w:rPr>
          <w:rFonts w:ascii="Times New Roman" w:hAnsi="Times New Roman"/>
        </w:rPr>
        <w:t>the</w:t>
      </w:r>
      <w:r w:rsidR="007F7DC3">
        <w:rPr>
          <w:rFonts w:ascii="Times New Roman" w:hAnsi="Times New Roman"/>
        </w:rPr>
        <w:t> </w:t>
      </w:r>
      <w:r w:rsidR="009B0BCD" w:rsidRPr="00D900FF">
        <w:rPr>
          <w:rFonts w:ascii="Times New Roman" w:hAnsi="Times New Roman"/>
        </w:rPr>
        <w:t>consequences of</w:t>
      </w:r>
      <w:r w:rsidR="00ED01D5" w:rsidRPr="00D900FF">
        <w:rPr>
          <w:rFonts w:ascii="Times New Roman" w:hAnsi="Times New Roman"/>
        </w:rPr>
        <w:t xml:space="preserve"> the invalidity arising from its concession</w:t>
      </w:r>
      <w:r w:rsidR="00A24F6E" w:rsidRPr="00D900FF">
        <w:rPr>
          <w:rFonts w:ascii="Times New Roman" w:hAnsi="Times New Roman"/>
        </w:rPr>
        <w:t xml:space="preserve">, </w:t>
      </w:r>
      <w:r w:rsidR="001E6E16" w:rsidRPr="00D900FF">
        <w:rPr>
          <w:rFonts w:ascii="Times New Roman" w:hAnsi="Times New Roman"/>
        </w:rPr>
        <w:t xml:space="preserve">a </w:t>
      </w:r>
      <w:r w:rsidR="00A24F6E" w:rsidRPr="00D900FF">
        <w:rPr>
          <w:rFonts w:ascii="Times New Roman" w:hAnsi="Times New Roman"/>
        </w:rPr>
        <w:t>basis of invalidity accepted by the Court</w:t>
      </w:r>
      <w:r w:rsidR="00ED01D5" w:rsidRPr="00D900FF">
        <w:rPr>
          <w:rFonts w:ascii="Times New Roman" w:hAnsi="Times New Roman"/>
        </w:rPr>
        <w:t>.</w:t>
      </w:r>
      <w:r w:rsidR="00DC33C2" w:rsidRPr="00D900FF">
        <w:rPr>
          <w:rFonts w:ascii="Times New Roman" w:hAnsi="Times New Roman"/>
        </w:rPr>
        <w:t xml:space="preserve"> </w:t>
      </w:r>
      <w:r w:rsidR="00AA54D9" w:rsidRPr="00D900FF">
        <w:rPr>
          <w:rFonts w:ascii="Times New Roman" w:hAnsi="Times New Roman"/>
        </w:rPr>
        <w:t xml:space="preserve">Victoria submitted that the </w:t>
      </w:r>
      <w:r w:rsidR="007D743B" w:rsidRPr="00D900FF">
        <w:rPr>
          <w:rFonts w:ascii="Times New Roman" w:hAnsi="Times New Roman"/>
        </w:rPr>
        <w:t>time limitation</w:t>
      </w:r>
      <w:r w:rsidR="001E43B1" w:rsidRPr="00D900FF">
        <w:rPr>
          <w:rFonts w:ascii="Times New Roman" w:hAnsi="Times New Roman"/>
        </w:rPr>
        <w:t xml:space="preserve"> in s 222F(3)</w:t>
      </w:r>
      <w:r w:rsidR="00B506F3" w:rsidRPr="00D900FF">
        <w:rPr>
          <w:rFonts w:ascii="Times New Roman" w:hAnsi="Times New Roman"/>
        </w:rPr>
        <w:t xml:space="preserve"> itself</w:t>
      </w:r>
      <w:r w:rsidR="007D743B" w:rsidRPr="00D900FF">
        <w:rPr>
          <w:rFonts w:ascii="Times New Roman" w:hAnsi="Times New Roman"/>
        </w:rPr>
        <w:t xml:space="preserve"> </w:t>
      </w:r>
      <w:r w:rsidR="00B506F3" w:rsidRPr="00D900FF">
        <w:rPr>
          <w:rFonts w:ascii="Times New Roman" w:hAnsi="Times New Roman"/>
        </w:rPr>
        <w:t>–</w:t>
      </w:r>
      <w:r w:rsidR="007D743B" w:rsidRPr="00D900FF">
        <w:rPr>
          <w:rFonts w:ascii="Times New Roman" w:hAnsi="Times New Roman"/>
        </w:rPr>
        <w:t xml:space="preserve"> </w:t>
      </w:r>
      <w:r w:rsidR="00B506F3" w:rsidRPr="00D900FF">
        <w:rPr>
          <w:rFonts w:ascii="Times New Roman" w:hAnsi="Times New Roman"/>
        </w:rPr>
        <w:t xml:space="preserve">namely, </w:t>
      </w:r>
      <w:r w:rsidR="00AA54D9" w:rsidRPr="00D900FF">
        <w:rPr>
          <w:rFonts w:ascii="Times New Roman" w:hAnsi="Times New Roman"/>
        </w:rPr>
        <w:t xml:space="preserve">the words "if the first appointment of an entity as the nominated entity of a </w:t>
      </w:r>
      <w:r w:rsidR="00153527" w:rsidRPr="00D900FF">
        <w:rPr>
          <w:rFonts w:ascii="Times New Roman" w:hAnsi="Times New Roman"/>
        </w:rPr>
        <w:t>registered political party</w:t>
      </w:r>
      <w:r w:rsidR="00A05263" w:rsidRPr="00D900FF">
        <w:rPr>
          <w:rFonts w:ascii="Times New Roman" w:hAnsi="Times New Roman"/>
        </w:rPr>
        <w:t xml:space="preserve"> </w:t>
      </w:r>
      <w:r w:rsidR="00AA54D9" w:rsidRPr="00D900FF">
        <w:rPr>
          <w:rFonts w:ascii="Times New Roman" w:hAnsi="Times New Roman"/>
        </w:rPr>
        <w:t xml:space="preserve">is made before 1 July 2020" </w:t>
      </w:r>
      <w:r w:rsidR="00B506F3" w:rsidRPr="00D900FF">
        <w:rPr>
          <w:rFonts w:ascii="Times New Roman" w:hAnsi="Times New Roman"/>
        </w:rPr>
        <w:t>–</w:t>
      </w:r>
      <w:r w:rsidR="00AA54D9" w:rsidRPr="00D900FF">
        <w:rPr>
          <w:rFonts w:ascii="Times New Roman" w:hAnsi="Times New Roman"/>
        </w:rPr>
        <w:t xml:space="preserve"> </w:t>
      </w:r>
      <w:r w:rsidR="00B506F3" w:rsidRPr="00D900FF">
        <w:rPr>
          <w:rFonts w:ascii="Times New Roman" w:hAnsi="Times New Roman"/>
        </w:rPr>
        <w:t>is</w:t>
      </w:r>
      <w:r w:rsidR="00AA54D9" w:rsidRPr="00D900FF">
        <w:rPr>
          <w:rFonts w:ascii="Times New Roman" w:hAnsi="Times New Roman"/>
        </w:rPr>
        <w:t xml:space="preserve"> severable, such that the remainder of Pt 12 could be upheld. </w:t>
      </w:r>
      <w:r w:rsidR="006025F2" w:rsidRPr="00D900FF">
        <w:rPr>
          <w:rFonts w:ascii="Times New Roman" w:hAnsi="Times New Roman"/>
        </w:rPr>
        <w:t>That contention must be rejected. M</w:t>
      </w:r>
      <w:r w:rsidR="00E97B26" w:rsidRPr="00D900FF">
        <w:rPr>
          <w:rFonts w:ascii="Times New Roman" w:hAnsi="Times New Roman"/>
        </w:rPr>
        <w:t>erely s</w:t>
      </w:r>
      <w:r w:rsidR="006B0E40" w:rsidRPr="00D900FF">
        <w:rPr>
          <w:rFonts w:ascii="Times New Roman" w:hAnsi="Times New Roman"/>
        </w:rPr>
        <w:t xml:space="preserve">evering the </w:t>
      </w:r>
      <w:r w:rsidR="00E142F0" w:rsidRPr="00D900FF">
        <w:rPr>
          <w:rFonts w:ascii="Times New Roman" w:hAnsi="Times New Roman"/>
        </w:rPr>
        <w:t>time</w:t>
      </w:r>
      <w:r w:rsidR="006B0E40" w:rsidRPr="00D900FF">
        <w:rPr>
          <w:rFonts w:ascii="Times New Roman" w:hAnsi="Times New Roman"/>
        </w:rPr>
        <w:t xml:space="preserve"> limitation in s 222F(3) would not leave the operation of the remaining parts of the law unchanged.</w:t>
      </w:r>
      <w:r w:rsidR="00160DF5" w:rsidRPr="00D900FF">
        <w:rPr>
          <w:rStyle w:val="FootnoteReference"/>
          <w:rFonts w:ascii="Times New Roman" w:hAnsi="Times New Roman"/>
          <w:sz w:val="24"/>
        </w:rPr>
        <w:footnoteReference w:id="96"/>
      </w:r>
      <w:r w:rsidR="006B0E40" w:rsidRPr="00D900FF">
        <w:rPr>
          <w:rFonts w:ascii="Times New Roman" w:hAnsi="Times New Roman"/>
        </w:rPr>
        <w:t xml:space="preserve"> Were s 222F(3) to be severed in the</w:t>
      </w:r>
      <w:r w:rsidR="007F7DC3">
        <w:rPr>
          <w:rFonts w:ascii="Times New Roman" w:hAnsi="Times New Roman"/>
        </w:rPr>
        <w:t> </w:t>
      </w:r>
      <w:r w:rsidR="006B0E40" w:rsidRPr="00D900FF">
        <w:rPr>
          <w:rFonts w:ascii="Times New Roman" w:hAnsi="Times New Roman"/>
        </w:rPr>
        <w:t>way Victoria contends, s 222F(2)</w:t>
      </w:r>
      <w:r w:rsidR="00115BA9" w:rsidRPr="00D900FF">
        <w:rPr>
          <w:rFonts w:ascii="Times New Roman" w:hAnsi="Times New Roman"/>
        </w:rPr>
        <w:t xml:space="preserve"> and </w:t>
      </w:r>
      <w:r w:rsidR="003C3783" w:rsidRPr="00D900FF">
        <w:rPr>
          <w:rFonts w:ascii="Times New Roman" w:hAnsi="Times New Roman"/>
        </w:rPr>
        <w:t>s</w:t>
      </w:r>
      <w:r w:rsidR="001C6D29" w:rsidRPr="00D900FF">
        <w:rPr>
          <w:rFonts w:ascii="Times New Roman" w:hAnsi="Times New Roman"/>
        </w:rPr>
        <w:t> </w:t>
      </w:r>
      <w:r w:rsidR="00115BA9" w:rsidRPr="00D900FF">
        <w:rPr>
          <w:rFonts w:ascii="Times New Roman" w:hAnsi="Times New Roman"/>
        </w:rPr>
        <w:t>222F</w:t>
      </w:r>
      <w:r w:rsidR="006B0E40" w:rsidRPr="00D900FF">
        <w:rPr>
          <w:rFonts w:ascii="Times New Roman" w:hAnsi="Times New Roman"/>
        </w:rPr>
        <w:t xml:space="preserve">(3) would effectively provide for two </w:t>
      </w:r>
      <w:r w:rsidR="00A42450" w:rsidRPr="00D900FF">
        <w:rPr>
          <w:rFonts w:ascii="Times New Roman" w:hAnsi="Times New Roman"/>
        </w:rPr>
        <w:t xml:space="preserve">different </w:t>
      </w:r>
      <w:r w:rsidR="006B0E40" w:rsidRPr="00D900FF">
        <w:rPr>
          <w:rFonts w:ascii="Times New Roman" w:hAnsi="Times New Roman"/>
        </w:rPr>
        <w:t xml:space="preserve">sets of eligibility criteria for a nominated entity, both of which apply at all times, and one of which is more stringent than the other. That is, s 222F(3) </w:t>
      </w:r>
      <w:r w:rsidR="001D0DAD" w:rsidRPr="00D900FF">
        <w:rPr>
          <w:rFonts w:ascii="Times New Roman" w:hAnsi="Times New Roman"/>
        </w:rPr>
        <w:t xml:space="preserve">would </w:t>
      </w:r>
      <w:r w:rsidR="006B0E40" w:rsidRPr="00D900FF">
        <w:rPr>
          <w:rFonts w:ascii="Times New Roman" w:hAnsi="Times New Roman"/>
        </w:rPr>
        <w:t>require that the entity be an incorporated body that "operates for the</w:t>
      </w:r>
      <w:r w:rsidR="007F7DC3">
        <w:rPr>
          <w:rFonts w:ascii="Times New Roman" w:hAnsi="Times New Roman"/>
        </w:rPr>
        <w:t> </w:t>
      </w:r>
      <w:r w:rsidR="006B0E40" w:rsidRPr="00D900FF">
        <w:rPr>
          <w:rFonts w:ascii="Times New Roman" w:hAnsi="Times New Roman"/>
          <w:i/>
          <w:iCs/>
        </w:rPr>
        <w:t>principal</w:t>
      </w:r>
      <w:r w:rsidR="006B0E40" w:rsidRPr="00D900FF">
        <w:rPr>
          <w:rFonts w:ascii="Times New Roman" w:hAnsi="Times New Roman"/>
        </w:rPr>
        <w:t xml:space="preserve"> benefit of the members of the </w:t>
      </w:r>
      <w:r w:rsidR="00153527" w:rsidRPr="00D900FF">
        <w:rPr>
          <w:rFonts w:ascii="Times New Roman" w:hAnsi="Times New Roman"/>
        </w:rPr>
        <w:t>registered political party</w:t>
      </w:r>
      <w:r w:rsidR="006B0E40" w:rsidRPr="00D900FF">
        <w:rPr>
          <w:rFonts w:ascii="Times New Roman" w:hAnsi="Times New Roman"/>
        </w:rPr>
        <w:t>; or</w:t>
      </w:r>
      <w:r w:rsidR="00880A32" w:rsidRPr="00D900FF">
        <w:rPr>
          <w:rFonts w:ascii="Times New Roman" w:hAnsi="Times New Roman"/>
        </w:rPr>
        <w:t xml:space="preserve"> ...</w:t>
      </w:r>
      <w:r w:rsidR="006B0E40" w:rsidRPr="00D900FF">
        <w:rPr>
          <w:rFonts w:ascii="Times New Roman" w:hAnsi="Times New Roman"/>
        </w:rPr>
        <w:t xml:space="preserve"> is established and maintained ... for the </w:t>
      </w:r>
      <w:r w:rsidR="006B0E40" w:rsidRPr="00D900FF">
        <w:rPr>
          <w:rFonts w:ascii="Times New Roman" w:hAnsi="Times New Roman"/>
          <w:i/>
          <w:iCs/>
        </w:rPr>
        <w:t>principal</w:t>
      </w:r>
      <w:r w:rsidR="006B0E40" w:rsidRPr="00D900FF">
        <w:rPr>
          <w:rFonts w:ascii="Times New Roman" w:hAnsi="Times New Roman"/>
        </w:rPr>
        <w:t xml:space="preserve"> benefit of the members of the</w:t>
      </w:r>
      <w:r w:rsidR="007F7DC3">
        <w:rPr>
          <w:rFonts w:ascii="Times New Roman" w:hAnsi="Times New Roman"/>
        </w:rPr>
        <w:t> </w:t>
      </w:r>
      <w:r w:rsidR="00153527" w:rsidRPr="00D900FF">
        <w:rPr>
          <w:rFonts w:ascii="Times New Roman" w:hAnsi="Times New Roman"/>
        </w:rPr>
        <w:t>registered political party</w:t>
      </w:r>
      <w:r w:rsidR="006B0E40" w:rsidRPr="00D900FF">
        <w:rPr>
          <w:rFonts w:ascii="Times New Roman" w:hAnsi="Times New Roman"/>
        </w:rPr>
        <w:t xml:space="preserve">" (emphasis added). Section 222F(2), on the other </w:t>
      </w:r>
      <w:r w:rsidR="006B0E40" w:rsidRPr="007F7DC3">
        <w:rPr>
          <w:rFonts w:ascii="Times New Roman" w:hAnsi="Times New Roman"/>
          <w:spacing w:val="2"/>
        </w:rPr>
        <w:t xml:space="preserve">hand, </w:t>
      </w:r>
      <w:r w:rsidR="001D0DAD" w:rsidRPr="007F7DC3">
        <w:rPr>
          <w:rFonts w:ascii="Times New Roman" w:hAnsi="Times New Roman"/>
          <w:spacing w:val="2"/>
        </w:rPr>
        <w:t xml:space="preserve">would </w:t>
      </w:r>
      <w:r w:rsidR="006B0E40" w:rsidRPr="007F7DC3">
        <w:rPr>
          <w:rFonts w:ascii="Times New Roman" w:hAnsi="Times New Roman"/>
          <w:spacing w:val="2"/>
        </w:rPr>
        <w:t>require that the entity be an incorporated body that "operates for the</w:t>
      </w:r>
      <w:r w:rsidR="007F7DC3" w:rsidRPr="007F7DC3">
        <w:rPr>
          <w:rFonts w:ascii="Times New Roman" w:hAnsi="Times New Roman"/>
          <w:spacing w:val="2"/>
        </w:rPr>
        <w:t> </w:t>
      </w:r>
      <w:r w:rsidR="006B0E40" w:rsidRPr="007F7DC3">
        <w:rPr>
          <w:rFonts w:ascii="Times New Roman" w:hAnsi="Times New Roman"/>
          <w:i/>
          <w:iCs/>
          <w:spacing w:val="2"/>
        </w:rPr>
        <w:t>sole</w:t>
      </w:r>
      <w:r w:rsidR="006B0E40" w:rsidRPr="007F7DC3">
        <w:rPr>
          <w:rFonts w:ascii="Times New Roman" w:hAnsi="Times New Roman"/>
          <w:spacing w:val="2"/>
        </w:rPr>
        <w:t xml:space="preserve"> benefit of the members of the </w:t>
      </w:r>
      <w:r w:rsidR="00153527" w:rsidRPr="007F7DC3">
        <w:rPr>
          <w:rFonts w:ascii="Times New Roman" w:hAnsi="Times New Roman"/>
          <w:spacing w:val="2"/>
        </w:rPr>
        <w:t>registered political party</w:t>
      </w:r>
      <w:r w:rsidR="006B0E40" w:rsidRPr="007F7DC3">
        <w:rPr>
          <w:rFonts w:ascii="Times New Roman" w:hAnsi="Times New Roman"/>
          <w:spacing w:val="2"/>
        </w:rPr>
        <w:t xml:space="preserve">; or </w:t>
      </w:r>
      <w:r w:rsidR="00080978" w:rsidRPr="007F7DC3">
        <w:rPr>
          <w:rFonts w:ascii="Times New Roman" w:hAnsi="Times New Roman"/>
          <w:spacing w:val="2"/>
        </w:rPr>
        <w:t xml:space="preserve">... </w:t>
      </w:r>
      <w:r w:rsidR="006B0E40" w:rsidRPr="007F7DC3">
        <w:rPr>
          <w:rFonts w:ascii="Times New Roman" w:hAnsi="Times New Roman"/>
          <w:spacing w:val="2"/>
        </w:rPr>
        <w:t>is</w:t>
      </w:r>
      <w:r w:rsidR="00373E16">
        <w:rPr>
          <w:rFonts w:ascii="Times New Roman" w:hAnsi="Times New Roman"/>
          <w:spacing w:val="2"/>
        </w:rPr>
        <w:t> </w:t>
      </w:r>
      <w:r w:rsidR="006B0E40" w:rsidRPr="007F7DC3">
        <w:rPr>
          <w:rFonts w:ascii="Times New Roman" w:hAnsi="Times New Roman"/>
          <w:spacing w:val="2"/>
        </w:rPr>
        <w:t xml:space="preserve">established and maintained ... for the </w:t>
      </w:r>
      <w:r w:rsidR="006B0E40" w:rsidRPr="007F7DC3">
        <w:rPr>
          <w:rFonts w:ascii="Times New Roman" w:hAnsi="Times New Roman"/>
          <w:i/>
          <w:iCs/>
          <w:spacing w:val="2"/>
        </w:rPr>
        <w:t>sole</w:t>
      </w:r>
      <w:r w:rsidR="006B0E40" w:rsidRPr="007F7DC3">
        <w:rPr>
          <w:rFonts w:ascii="Times New Roman" w:hAnsi="Times New Roman"/>
          <w:spacing w:val="2"/>
        </w:rPr>
        <w:t xml:space="preserve"> benefit of the members of the</w:t>
      </w:r>
      <w:r w:rsidR="00373E16">
        <w:rPr>
          <w:rFonts w:ascii="Times New Roman" w:hAnsi="Times New Roman"/>
          <w:spacing w:val="2"/>
        </w:rPr>
        <w:t> </w:t>
      </w:r>
      <w:r w:rsidR="00153527" w:rsidRPr="007F7DC3">
        <w:rPr>
          <w:rFonts w:ascii="Times New Roman" w:hAnsi="Times New Roman"/>
          <w:spacing w:val="2"/>
        </w:rPr>
        <w:t>registered political party</w:t>
      </w:r>
      <w:r w:rsidR="006B0E40" w:rsidRPr="007F7DC3">
        <w:rPr>
          <w:rFonts w:ascii="Times New Roman" w:hAnsi="Times New Roman"/>
          <w:spacing w:val="2"/>
        </w:rPr>
        <w:t>" (emphasis added). Section 222F(2) also imposes a</w:t>
      </w:r>
      <w:r w:rsidR="00373E16">
        <w:rPr>
          <w:rFonts w:ascii="Times New Roman" w:hAnsi="Times New Roman"/>
          <w:spacing w:val="2"/>
        </w:rPr>
        <w:t> </w:t>
      </w:r>
      <w:r w:rsidR="006B0E40" w:rsidRPr="007F7DC3">
        <w:rPr>
          <w:rFonts w:ascii="Times New Roman" w:hAnsi="Times New Roman"/>
          <w:spacing w:val="2"/>
        </w:rPr>
        <w:t>further requirement that the body be "controlled, within the meaning of section</w:t>
      </w:r>
      <w:r w:rsidR="00373E16">
        <w:rPr>
          <w:rFonts w:ascii="Times New Roman" w:hAnsi="Times New Roman"/>
          <w:spacing w:val="2"/>
        </w:rPr>
        <w:t> </w:t>
      </w:r>
      <w:r w:rsidR="006B0E40" w:rsidRPr="007F7DC3">
        <w:rPr>
          <w:rFonts w:ascii="Times New Roman" w:hAnsi="Times New Roman"/>
          <w:spacing w:val="2"/>
        </w:rPr>
        <w:t>50AA of the [</w:t>
      </w:r>
      <w:r w:rsidR="006B0E40" w:rsidRPr="007F7DC3">
        <w:rPr>
          <w:rFonts w:ascii="Times New Roman" w:hAnsi="Times New Roman"/>
          <w:i/>
          <w:iCs/>
          <w:spacing w:val="2"/>
        </w:rPr>
        <w:t>Corporations</w:t>
      </w:r>
      <w:r w:rsidR="007F7DC3" w:rsidRPr="007F7DC3">
        <w:rPr>
          <w:rFonts w:ascii="Times New Roman" w:hAnsi="Times New Roman"/>
          <w:i/>
          <w:iCs/>
          <w:spacing w:val="2"/>
        </w:rPr>
        <w:t> </w:t>
      </w:r>
      <w:r w:rsidR="006B0E40" w:rsidRPr="007F7DC3">
        <w:rPr>
          <w:rFonts w:ascii="Times New Roman" w:hAnsi="Times New Roman"/>
          <w:i/>
          <w:iCs/>
          <w:spacing w:val="2"/>
        </w:rPr>
        <w:t>Act 20</w:t>
      </w:r>
      <w:r w:rsidR="006A2BE5" w:rsidRPr="007F7DC3">
        <w:rPr>
          <w:rFonts w:ascii="Times New Roman" w:hAnsi="Times New Roman"/>
          <w:i/>
          <w:iCs/>
          <w:spacing w:val="2"/>
        </w:rPr>
        <w:t>01</w:t>
      </w:r>
      <w:r w:rsidR="006B0E40" w:rsidRPr="007F7DC3">
        <w:rPr>
          <w:rFonts w:ascii="Times New Roman" w:hAnsi="Times New Roman"/>
          <w:spacing w:val="2"/>
        </w:rPr>
        <w:t xml:space="preserve"> (</w:t>
      </w:r>
      <w:proofErr w:type="spellStart"/>
      <w:r w:rsidR="006B0E40" w:rsidRPr="007F7DC3">
        <w:rPr>
          <w:rFonts w:ascii="Times New Roman" w:hAnsi="Times New Roman"/>
          <w:spacing w:val="2"/>
        </w:rPr>
        <w:t>Cth</w:t>
      </w:r>
      <w:proofErr w:type="spellEnd"/>
      <w:r w:rsidR="006B0E40" w:rsidRPr="007F7DC3">
        <w:rPr>
          <w:rFonts w:ascii="Times New Roman" w:hAnsi="Times New Roman"/>
          <w:spacing w:val="2"/>
        </w:rPr>
        <w:t xml:space="preserve">)], by the </w:t>
      </w:r>
      <w:r w:rsidR="00153527" w:rsidRPr="007F7DC3">
        <w:rPr>
          <w:rFonts w:ascii="Times New Roman" w:hAnsi="Times New Roman"/>
          <w:spacing w:val="2"/>
        </w:rPr>
        <w:t>registered political party</w:t>
      </w:r>
      <w:r w:rsidR="006B0E40" w:rsidRPr="007F7DC3">
        <w:rPr>
          <w:rFonts w:ascii="Times New Roman" w:hAnsi="Times New Roman"/>
          <w:spacing w:val="2"/>
        </w:rPr>
        <w:t>"</w:t>
      </w:r>
      <w:r w:rsidR="003F6365" w:rsidRPr="007F7DC3">
        <w:rPr>
          <w:rFonts w:ascii="Times New Roman" w:hAnsi="Times New Roman"/>
          <w:spacing w:val="2"/>
        </w:rPr>
        <w:t>, a requirement</w:t>
      </w:r>
      <w:r w:rsidR="001D0DAD" w:rsidRPr="00D900FF">
        <w:rPr>
          <w:rFonts w:ascii="Times New Roman" w:hAnsi="Times New Roman"/>
        </w:rPr>
        <w:t xml:space="preserve"> which is absent from s 222F(3)</w:t>
      </w:r>
      <w:r w:rsidR="006B0E40" w:rsidRPr="00D900FF">
        <w:rPr>
          <w:rFonts w:ascii="Times New Roman" w:hAnsi="Times New Roman"/>
        </w:rPr>
        <w:t>. In other words, the</w:t>
      </w:r>
      <w:r w:rsidR="00373E16">
        <w:rPr>
          <w:rFonts w:ascii="Times New Roman" w:hAnsi="Times New Roman"/>
        </w:rPr>
        <w:t> </w:t>
      </w:r>
      <w:r w:rsidR="005754BA" w:rsidRPr="00D900FF">
        <w:rPr>
          <w:rFonts w:ascii="Times New Roman" w:hAnsi="Times New Roman"/>
        </w:rPr>
        <w:t xml:space="preserve">eligibility </w:t>
      </w:r>
      <w:r w:rsidR="006B0E40" w:rsidRPr="00D900FF">
        <w:rPr>
          <w:rFonts w:ascii="Times New Roman" w:hAnsi="Times New Roman"/>
        </w:rPr>
        <w:t xml:space="preserve">criteria for a nominated entity in s 222F(2) would be </w:t>
      </w:r>
      <w:r w:rsidR="003F6365" w:rsidRPr="00D900FF">
        <w:rPr>
          <w:rFonts w:ascii="Times New Roman" w:hAnsi="Times New Roman"/>
        </w:rPr>
        <w:t xml:space="preserve">different from and contrary to </w:t>
      </w:r>
      <w:r w:rsidR="006B0E40" w:rsidRPr="00D900FF">
        <w:rPr>
          <w:rFonts w:ascii="Times New Roman" w:hAnsi="Times New Roman"/>
        </w:rPr>
        <w:t xml:space="preserve">the criteria in s 222F(3). </w:t>
      </w:r>
      <w:r w:rsidR="00FE77D4" w:rsidRPr="00D900FF">
        <w:rPr>
          <w:rFonts w:ascii="Times New Roman" w:hAnsi="Times New Roman"/>
        </w:rPr>
        <w:t>M</w:t>
      </w:r>
      <w:r w:rsidR="00B65CF7" w:rsidRPr="00D900FF">
        <w:rPr>
          <w:rFonts w:ascii="Times New Roman" w:hAnsi="Times New Roman"/>
        </w:rPr>
        <w:t xml:space="preserve">erely severing the </w:t>
      </w:r>
      <w:r w:rsidR="00E142F0" w:rsidRPr="00D900FF">
        <w:rPr>
          <w:rFonts w:ascii="Times New Roman" w:hAnsi="Times New Roman"/>
        </w:rPr>
        <w:t>time</w:t>
      </w:r>
      <w:r w:rsidR="00B65CF7" w:rsidRPr="00D900FF">
        <w:rPr>
          <w:rFonts w:ascii="Times New Roman" w:hAnsi="Times New Roman"/>
        </w:rPr>
        <w:t xml:space="preserve"> limitation </w:t>
      </w:r>
      <w:r w:rsidR="00504DBA" w:rsidRPr="00D900FF">
        <w:rPr>
          <w:rFonts w:ascii="Times New Roman" w:hAnsi="Times New Roman"/>
        </w:rPr>
        <w:t xml:space="preserve">in s 222F(3) </w:t>
      </w:r>
      <w:r w:rsidR="00B65CF7" w:rsidRPr="00D900FF">
        <w:rPr>
          <w:rFonts w:ascii="Times New Roman" w:hAnsi="Times New Roman"/>
        </w:rPr>
        <w:t xml:space="preserve">would leave in force two inconsistent </w:t>
      </w:r>
      <w:r w:rsidR="007C7A9E" w:rsidRPr="00D900FF">
        <w:rPr>
          <w:rFonts w:ascii="Times New Roman" w:hAnsi="Times New Roman"/>
        </w:rPr>
        <w:t xml:space="preserve">criteria for a nominated entity. </w:t>
      </w:r>
      <w:r w:rsidR="00916E2A" w:rsidRPr="00D900FF">
        <w:rPr>
          <w:rFonts w:ascii="Times New Roman" w:hAnsi="Times New Roman"/>
        </w:rPr>
        <w:t xml:space="preserve">That is sufficient reason to conclude that </w:t>
      </w:r>
      <w:r w:rsidR="006B0E40" w:rsidRPr="00D900FF">
        <w:rPr>
          <w:rFonts w:ascii="Times New Roman" w:hAnsi="Times New Roman"/>
        </w:rPr>
        <w:t xml:space="preserve">the </w:t>
      </w:r>
      <w:r w:rsidR="00E142F0" w:rsidRPr="00D900FF">
        <w:rPr>
          <w:rFonts w:ascii="Times New Roman" w:hAnsi="Times New Roman"/>
        </w:rPr>
        <w:t>time</w:t>
      </w:r>
      <w:r w:rsidR="006B0E40" w:rsidRPr="00D900FF">
        <w:rPr>
          <w:rFonts w:ascii="Times New Roman" w:hAnsi="Times New Roman"/>
        </w:rPr>
        <w:t xml:space="preserve"> limitation in s 222F(3) is not capable of severance. </w:t>
      </w:r>
    </w:p>
    <w:p w14:paraId="6EAB4F55" w14:textId="3FF35294" w:rsidR="0049628C" w:rsidRPr="00D900FF" w:rsidRDefault="00FC07C7"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A9117F" w:rsidRPr="00D900FF">
        <w:rPr>
          <w:rFonts w:ascii="Times New Roman" w:hAnsi="Times New Roman"/>
        </w:rPr>
        <w:t>Nor could it be said</w:t>
      </w:r>
      <w:r w:rsidR="00377326" w:rsidRPr="00D900FF">
        <w:rPr>
          <w:rFonts w:ascii="Times New Roman" w:hAnsi="Times New Roman"/>
        </w:rPr>
        <w:t xml:space="preserve"> that</w:t>
      </w:r>
      <w:r w:rsidR="00A9117F" w:rsidRPr="00D900FF">
        <w:rPr>
          <w:rFonts w:ascii="Times New Roman" w:hAnsi="Times New Roman"/>
        </w:rPr>
        <w:t>,</w:t>
      </w:r>
      <w:r w:rsidR="00377326" w:rsidRPr="00D900FF">
        <w:rPr>
          <w:rFonts w:ascii="Times New Roman" w:hAnsi="Times New Roman"/>
        </w:rPr>
        <w:t xml:space="preserve"> </w:t>
      </w:r>
      <w:r w:rsidR="00A9117F" w:rsidRPr="00D900FF">
        <w:rPr>
          <w:rFonts w:ascii="Times New Roman" w:hAnsi="Times New Roman"/>
        </w:rPr>
        <w:t xml:space="preserve">given </w:t>
      </w:r>
      <w:r w:rsidR="00377326" w:rsidRPr="00D900FF">
        <w:rPr>
          <w:rFonts w:ascii="Times New Roman" w:hAnsi="Times New Roman"/>
        </w:rPr>
        <w:t xml:space="preserve">the </w:t>
      </w:r>
      <w:r w:rsidR="00E142F0" w:rsidRPr="00D900FF">
        <w:rPr>
          <w:rFonts w:ascii="Times New Roman" w:hAnsi="Times New Roman"/>
        </w:rPr>
        <w:t>time</w:t>
      </w:r>
      <w:r w:rsidR="00377326" w:rsidRPr="00D900FF">
        <w:rPr>
          <w:rFonts w:ascii="Times New Roman" w:hAnsi="Times New Roman"/>
        </w:rPr>
        <w:t xml:space="preserve"> limitation </w:t>
      </w:r>
      <w:r w:rsidR="00504DBA" w:rsidRPr="00D900FF">
        <w:rPr>
          <w:rFonts w:ascii="Times New Roman" w:hAnsi="Times New Roman"/>
        </w:rPr>
        <w:t xml:space="preserve">in s 222F(3) </w:t>
      </w:r>
      <w:r w:rsidR="00377326" w:rsidRPr="00D900FF">
        <w:rPr>
          <w:rFonts w:ascii="Times New Roman" w:hAnsi="Times New Roman"/>
        </w:rPr>
        <w:t xml:space="preserve">cannot be severed, s 222F(3) is invalid in its entirety and </w:t>
      </w:r>
      <w:r w:rsidR="007D7E05" w:rsidRPr="00D900FF">
        <w:rPr>
          <w:rFonts w:ascii="Times New Roman" w:hAnsi="Times New Roman"/>
        </w:rPr>
        <w:t>could</w:t>
      </w:r>
      <w:r w:rsidR="00377326" w:rsidRPr="00D900FF">
        <w:rPr>
          <w:rFonts w:ascii="Times New Roman" w:hAnsi="Times New Roman"/>
        </w:rPr>
        <w:t xml:space="preserve"> be severed.</w:t>
      </w:r>
      <w:r w:rsidR="00377326" w:rsidRPr="00D900FF" w:rsidDel="003602DC">
        <w:rPr>
          <w:rFonts w:ascii="Times New Roman" w:hAnsi="Times New Roman"/>
        </w:rPr>
        <w:t xml:space="preserve"> </w:t>
      </w:r>
      <w:r w:rsidR="00377326" w:rsidRPr="00D900FF">
        <w:rPr>
          <w:rFonts w:ascii="Times New Roman" w:hAnsi="Times New Roman"/>
        </w:rPr>
        <w:t xml:space="preserve">Section 222F(2) and </w:t>
      </w:r>
      <w:r w:rsidR="00D342E4" w:rsidRPr="00D900FF">
        <w:rPr>
          <w:rFonts w:ascii="Times New Roman" w:hAnsi="Times New Roman"/>
        </w:rPr>
        <w:t>s 222F</w:t>
      </w:r>
      <w:r w:rsidR="00377326" w:rsidRPr="00D900FF">
        <w:rPr>
          <w:rFonts w:ascii="Times New Roman" w:hAnsi="Times New Roman"/>
        </w:rPr>
        <w:t>(3) are in terms interlinked: s</w:t>
      </w:r>
      <w:r w:rsidRPr="00D900FF">
        <w:rPr>
          <w:rFonts w:ascii="Times New Roman" w:hAnsi="Times New Roman"/>
        </w:rPr>
        <w:t> </w:t>
      </w:r>
      <w:r w:rsidR="00377326" w:rsidRPr="00D900FF">
        <w:rPr>
          <w:rFonts w:ascii="Times New Roman" w:hAnsi="Times New Roman"/>
        </w:rPr>
        <w:t>222F(2) provides that it is "[s]</w:t>
      </w:r>
      <w:proofErr w:type="spellStart"/>
      <w:r w:rsidR="00377326" w:rsidRPr="00D900FF">
        <w:rPr>
          <w:rFonts w:ascii="Times New Roman" w:hAnsi="Times New Roman"/>
        </w:rPr>
        <w:t>ubject</w:t>
      </w:r>
      <w:proofErr w:type="spellEnd"/>
      <w:r w:rsidR="00377326" w:rsidRPr="00D900FF">
        <w:rPr>
          <w:rFonts w:ascii="Times New Roman" w:hAnsi="Times New Roman"/>
        </w:rPr>
        <w:t xml:space="preserve"> to subsection (3)", and s 222F(3) provides that it operates "[d]</w:t>
      </w:r>
      <w:proofErr w:type="spellStart"/>
      <w:r w:rsidR="00377326" w:rsidRPr="00D900FF">
        <w:rPr>
          <w:rFonts w:ascii="Times New Roman" w:hAnsi="Times New Roman"/>
        </w:rPr>
        <w:t>espite</w:t>
      </w:r>
      <w:proofErr w:type="spellEnd"/>
      <w:r w:rsidR="00377326" w:rsidRPr="00D900FF">
        <w:rPr>
          <w:rFonts w:ascii="Times New Roman" w:hAnsi="Times New Roman"/>
        </w:rPr>
        <w:t xml:space="preserve"> subsection (2)". The express </w:t>
      </w:r>
      <w:r w:rsidR="00BA453D" w:rsidRPr="00D900FF">
        <w:rPr>
          <w:rFonts w:ascii="Times New Roman" w:hAnsi="Times New Roman"/>
        </w:rPr>
        <w:t>terms of the sub-sections</w:t>
      </w:r>
      <w:r w:rsidR="0088509B" w:rsidRPr="00D900FF">
        <w:rPr>
          <w:rFonts w:ascii="Times New Roman" w:hAnsi="Times New Roman"/>
        </w:rPr>
        <w:t xml:space="preserve">, together with the history of the passage of </w:t>
      </w:r>
      <w:r w:rsidR="0088509B" w:rsidRPr="00D900FF">
        <w:rPr>
          <w:rFonts w:ascii="Times New Roman" w:hAnsi="Times New Roman"/>
        </w:rPr>
        <w:lastRenderedPageBreak/>
        <w:t>the 2018 Amendment Ac</w:t>
      </w:r>
      <w:r w:rsidR="0057261B" w:rsidRPr="00D900FF">
        <w:rPr>
          <w:rFonts w:ascii="Times New Roman" w:hAnsi="Times New Roman"/>
        </w:rPr>
        <w:t>t</w:t>
      </w:r>
      <w:r w:rsidR="0088509B" w:rsidRPr="00D900FF">
        <w:rPr>
          <w:rFonts w:ascii="Times New Roman" w:hAnsi="Times New Roman"/>
        </w:rPr>
        <w:t xml:space="preserve"> through Parliament,</w:t>
      </w:r>
      <w:r w:rsidR="0088509B" w:rsidRPr="00D900FF">
        <w:rPr>
          <w:rStyle w:val="FootnoteReference"/>
          <w:rFonts w:ascii="Times New Roman" w:hAnsi="Times New Roman"/>
          <w:sz w:val="24"/>
        </w:rPr>
        <w:footnoteReference w:id="97"/>
      </w:r>
      <w:r w:rsidR="00377326" w:rsidRPr="00D900FF">
        <w:rPr>
          <w:rFonts w:ascii="Times New Roman" w:hAnsi="Times New Roman"/>
        </w:rPr>
        <w:t xml:space="preserve"> disclose that the provisions were intended to stand as a package. And while it may be accepted that s 222F(2) and s 222F(3) </w:t>
      </w:r>
      <w:r w:rsidR="00262B37" w:rsidRPr="00D900FF">
        <w:rPr>
          <w:rFonts w:ascii="Times New Roman" w:hAnsi="Times New Roman"/>
        </w:rPr>
        <w:t xml:space="preserve">might </w:t>
      </w:r>
      <w:r w:rsidR="00377326" w:rsidRPr="00D900FF">
        <w:rPr>
          <w:rFonts w:ascii="Times New Roman" w:hAnsi="Times New Roman"/>
        </w:rPr>
        <w:t xml:space="preserve">have operated in precisely the same way even without those introductory words, </w:t>
      </w:r>
      <w:r w:rsidR="002F0B46" w:rsidRPr="00D900FF">
        <w:rPr>
          <w:rFonts w:ascii="Times New Roman" w:hAnsi="Times New Roman"/>
        </w:rPr>
        <w:t>t</w:t>
      </w:r>
      <w:r w:rsidR="00BC3A5C" w:rsidRPr="00D900FF">
        <w:rPr>
          <w:rFonts w:ascii="Times New Roman" w:hAnsi="Times New Roman"/>
        </w:rPr>
        <w:t>he plaintiffs also correctly observed that Victoria did not separately seek to justify the burden imposed on the implied freedom if s 222F(3) were severed. In other words, the</w:t>
      </w:r>
      <w:r w:rsidR="008C191A" w:rsidRPr="00D900FF">
        <w:rPr>
          <w:rFonts w:ascii="Times New Roman" w:hAnsi="Times New Roman"/>
        </w:rPr>
        <w:t xml:space="preserve"> practical effect of allowing s 222F(2) to stand alone might </w:t>
      </w:r>
      <w:r w:rsidR="00A42C95" w:rsidRPr="00D900FF">
        <w:rPr>
          <w:rFonts w:ascii="Times New Roman" w:hAnsi="Times New Roman"/>
        </w:rPr>
        <w:t>be</w:t>
      </w:r>
      <w:r w:rsidR="008C191A" w:rsidRPr="00D900FF">
        <w:rPr>
          <w:rFonts w:ascii="Times New Roman" w:hAnsi="Times New Roman"/>
        </w:rPr>
        <w:t xml:space="preserve"> a different differential burden that the State had not sought to justify. </w:t>
      </w:r>
      <w:r w:rsidR="00BC3A5C" w:rsidRPr="00D900FF">
        <w:rPr>
          <w:rFonts w:ascii="Times New Roman" w:hAnsi="Times New Roman"/>
        </w:rPr>
        <w:t xml:space="preserve">Section 222F(3) </w:t>
      </w:r>
      <w:r w:rsidR="00B61EA5" w:rsidRPr="00D900FF">
        <w:rPr>
          <w:rFonts w:ascii="Times New Roman" w:hAnsi="Times New Roman"/>
        </w:rPr>
        <w:t>cannot be separately excised</w:t>
      </w:r>
      <w:r w:rsidR="00E51133" w:rsidRPr="00D900FF">
        <w:rPr>
          <w:rFonts w:ascii="Times New Roman" w:hAnsi="Times New Roman"/>
        </w:rPr>
        <w:t>.</w:t>
      </w:r>
      <w:r w:rsidR="0049628C" w:rsidRPr="00D900FF">
        <w:rPr>
          <w:rFonts w:ascii="Times New Roman" w:hAnsi="Times New Roman"/>
        </w:rPr>
        <w:t xml:space="preserve"> </w:t>
      </w:r>
    </w:p>
    <w:p w14:paraId="2A2BEBEA" w14:textId="5219B072" w:rsidR="00FA54C1" w:rsidRPr="00D900FF" w:rsidRDefault="00FA54C1" w:rsidP="00D900FF">
      <w:pPr>
        <w:pStyle w:val="HeadingL2"/>
        <w:spacing w:after="260" w:line="280" w:lineRule="exact"/>
        <w:ind w:right="0"/>
        <w:jc w:val="both"/>
        <w:rPr>
          <w:rFonts w:ascii="Times New Roman" w:hAnsi="Times New Roman"/>
        </w:rPr>
      </w:pPr>
      <w:r w:rsidRPr="00D900FF">
        <w:rPr>
          <w:rFonts w:ascii="Times New Roman" w:hAnsi="Times New Roman"/>
        </w:rPr>
        <w:t>(2)</w:t>
      </w:r>
      <w:r w:rsidRPr="00D900FF">
        <w:rPr>
          <w:rFonts w:ascii="Times New Roman" w:hAnsi="Times New Roman"/>
        </w:rPr>
        <w:tab/>
      </w:r>
      <w:r w:rsidR="00805F1F" w:rsidRPr="00D900FF">
        <w:rPr>
          <w:rFonts w:ascii="Times New Roman" w:hAnsi="Times New Roman"/>
        </w:rPr>
        <w:t>Par</w:t>
      </w:r>
      <w:r w:rsidRPr="00D900FF">
        <w:rPr>
          <w:rFonts w:ascii="Times New Roman" w:hAnsi="Times New Roman"/>
        </w:rPr>
        <w:t>a</w:t>
      </w:r>
      <w:r w:rsidR="0068052F" w:rsidRPr="00D900FF">
        <w:rPr>
          <w:rFonts w:ascii="Times New Roman" w:hAnsi="Times New Roman"/>
        </w:rPr>
        <w:t>graph</w:t>
      </w:r>
      <w:r w:rsidRPr="00D900FF">
        <w:rPr>
          <w:rFonts w:ascii="Times New Roman" w:hAnsi="Times New Roman"/>
        </w:rPr>
        <w:t xml:space="preserve"> (j) </w:t>
      </w:r>
      <w:r w:rsidR="00DE7AF5" w:rsidRPr="00D900FF">
        <w:rPr>
          <w:rFonts w:ascii="Times New Roman" w:hAnsi="Times New Roman"/>
        </w:rPr>
        <w:t>of</w:t>
      </w:r>
      <w:r w:rsidR="005854F9" w:rsidRPr="00D900FF">
        <w:rPr>
          <w:rFonts w:ascii="Times New Roman" w:hAnsi="Times New Roman"/>
        </w:rPr>
        <w:t xml:space="preserve"> </w:t>
      </w:r>
      <w:r w:rsidRPr="00D900FF">
        <w:rPr>
          <w:rFonts w:ascii="Times New Roman" w:hAnsi="Times New Roman"/>
        </w:rPr>
        <w:t>the definition of "gift"</w:t>
      </w:r>
    </w:p>
    <w:p w14:paraId="7C0210FE" w14:textId="29201F6B" w:rsidR="00BB6FF7" w:rsidRPr="00D900FF" w:rsidRDefault="00735C44"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F3120E" w:rsidRPr="00D900FF">
        <w:rPr>
          <w:rFonts w:ascii="Times New Roman" w:hAnsi="Times New Roman"/>
        </w:rPr>
        <w:t xml:space="preserve">A </w:t>
      </w:r>
      <w:r w:rsidR="00B27089" w:rsidRPr="00D900FF">
        <w:rPr>
          <w:rFonts w:ascii="Times New Roman" w:hAnsi="Times New Roman"/>
        </w:rPr>
        <w:t>second</w:t>
      </w:r>
      <w:r w:rsidR="00F3120E" w:rsidRPr="00D900FF">
        <w:rPr>
          <w:rFonts w:ascii="Times New Roman" w:hAnsi="Times New Roman"/>
        </w:rPr>
        <w:t xml:space="preserve"> option canvassed by the parties was severing para (j) </w:t>
      </w:r>
      <w:r w:rsidR="00DE7AF5" w:rsidRPr="00D900FF">
        <w:rPr>
          <w:rFonts w:ascii="Times New Roman" w:hAnsi="Times New Roman"/>
        </w:rPr>
        <w:t xml:space="preserve">of </w:t>
      </w:r>
      <w:r w:rsidR="00F3120E" w:rsidRPr="00D900FF">
        <w:rPr>
          <w:rFonts w:ascii="Times New Roman" w:hAnsi="Times New Roman"/>
        </w:rPr>
        <w:t>the</w:t>
      </w:r>
      <w:r w:rsidR="00373E16">
        <w:rPr>
          <w:rFonts w:ascii="Times New Roman" w:hAnsi="Times New Roman"/>
        </w:rPr>
        <w:t> </w:t>
      </w:r>
      <w:r w:rsidR="00F3120E" w:rsidRPr="00D900FF">
        <w:rPr>
          <w:rFonts w:ascii="Times New Roman" w:hAnsi="Times New Roman"/>
        </w:rPr>
        <w:t>definition of "gift".</w:t>
      </w:r>
      <w:r w:rsidR="00F3120E" w:rsidRPr="00D900FF">
        <w:rPr>
          <w:rStyle w:val="FootnoteReference"/>
          <w:rFonts w:ascii="Times New Roman" w:hAnsi="Times New Roman"/>
          <w:sz w:val="24"/>
        </w:rPr>
        <w:footnoteReference w:id="98"/>
      </w:r>
      <w:r w:rsidR="00F3120E" w:rsidRPr="00D900FF">
        <w:rPr>
          <w:rFonts w:ascii="Times New Roman" w:hAnsi="Times New Roman"/>
        </w:rPr>
        <w:t xml:space="preserve"> </w:t>
      </w:r>
      <w:r w:rsidRPr="00D900FF">
        <w:rPr>
          <w:rFonts w:ascii="Times New Roman" w:hAnsi="Times New Roman"/>
        </w:rPr>
        <w:t xml:space="preserve">Severing the exception </w:t>
      </w:r>
      <w:r w:rsidR="00AB61C5" w:rsidRPr="00D900FF">
        <w:rPr>
          <w:rFonts w:ascii="Times New Roman" w:hAnsi="Times New Roman"/>
        </w:rPr>
        <w:t>provided by</w:t>
      </w:r>
      <w:r w:rsidRPr="00D900FF">
        <w:rPr>
          <w:rFonts w:ascii="Times New Roman" w:hAnsi="Times New Roman"/>
        </w:rPr>
        <w:t xml:space="preserve"> par</w:t>
      </w:r>
      <w:r w:rsidR="00C45DE5" w:rsidRPr="00D900FF">
        <w:rPr>
          <w:rFonts w:ascii="Times New Roman" w:hAnsi="Times New Roman"/>
        </w:rPr>
        <w:t>a</w:t>
      </w:r>
      <w:r w:rsidR="00EB66EF" w:rsidRPr="00D900FF">
        <w:rPr>
          <w:rFonts w:ascii="Times New Roman" w:hAnsi="Times New Roman"/>
        </w:rPr>
        <w:t> </w:t>
      </w:r>
      <w:r w:rsidRPr="00D900FF">
        <w:rPr>
          <w:rFonts w:ascii="Times New Roman" w:hAnsi="Times New Roman"/>
        </w:rPr>
        <w:t xml:space="preserve">(j) would </w:t>
      </w:r>
      <w:r w:rsidR="0034711B" w:rsidRPr="00D900FF">
        <w:rPr>
          <w:rFonts w:ascii="Times New Roman" w:hAnsi="Times New Roman"/>
        </w:rPr>
        <w:t xml:space="preserve">render </w:t>
      </w:r>
      <w:r w:rsidR="00817DE1" w:rsidRPr="00D900FF">
        <w:rPr>
          <w:rFonts w:ascii="Times New Roman" w:hAnsi="Times New Roman"/>
        </w:rPr>
        <w:t xml:space="preserve">a </w:t>
      </w:r>
      <w:r w:rsidR="00D30AA6" w:rsidRPr="00D900FF">
        <w:rPr>
          <w:rFonts w:ascii="Times New Roman" w:hAnsi="Times New Roman"/>
        </w:rPr>
        <w:t>gift</w:t>
      </w:r>
      <w:r w:rsidR="00817DE1" w:rsidRPr="00D900FF">
        <w:rPr>
          <w:rFonts w:ascii="Times New Roman" w:hAnsi="Times New Roman"/>
        </w:rPr>
        <w:t xml:space="preserve"> </w:t>
      </w:r>
      <w:r w:rsidR="00D30AA6" w:rsidRPr="00D900FF">
        <w:rPr>
          <w:rFonts w:ascii="Times New Roman" w:hAnsi="Times New Roman"/>
        </w:rPr>
        <w:t xml:space="preserve">by </w:t>
      </w:r>
      <w:r w:rsidR="00817DE1" w:rsidRPr="00D900FF">
        <w:rPr>
          <w:rFonts w:ascii="Times New Roman" w:hAnsi="Times New Roman"/>
        </w:rPr>
        <w:t xml:space="preserve">a </w:t>
      </w:r>
      <w:r w:rsidR="00D30AA6" w:rsidRPr="00D900FF">
        <w:rPr>
          <w:rFonts w:ascii="Times New Roman" w:hAnsi="Times New Roman"/>
        </w:rPr>
        <w:t>nominated entit</w:t>
      </w:r>
      <w:r w:rsidR="00817DE1" w:rsidRPr="00D900FF">
        <w:rPr>
          <w:rFonts w:ascii="Times New Roman" w:hAnsi="Times New Roman"/>
        </w:rPr>
        <w:t xml:space="preserve">y </w:t>
      </w:r>
      <w:r w:rsidR="0034711B" w:rsidRPr="00D900FF">
        <w:rPr>
          <w:rFonts w:ascii="Times New Roman" w:hAnsi="Times New Roman"/>
        </w:rPr>
        <w:t xml:space="preserve">to </w:t>
      </w:r>
      <w:r w:rsidR="00DC3F5A" w:rsidRPr="00D900FF">
        <w:rPr>
          <w:rFonts w:ascii="Times New Roman" w:hAnsi="Times New Roman"/>
        </w:rPr>
        <w:t xml:space="preserve">its </w:t>
      </w:r>
      <w:r w:rsidR="0034711B" w:rsidRPr="00D900FF">
        <w:rPr>
          <w:rFonts w:ascii="Times New Roman" w:hAnsi="Times New Roman"/>
        </w:rPr>
        <w:t>registered political part</w:t>
      </w:r>
      <w:r w:rsidR="00817DE1" w:rsidRPr="00D900FF">
        <w:rPr>
          <w:rFonts w:ascii="Times New Roman" w:hAnsi="Times New Roman"/>
        </w:rPr>
        <w:t xml:space="preserve">y </w:t>
      </w:r>
      <w:r w:rsidR="0034711B" w:rsidRPr="00D900FF">
        <w:rPr>
          <w:rFonts w:ascii="Times New Roman" w:hAnsi="Times New Roman"/>
        </w:rPr>
        <w:t xml:space="preserve">(and vice versa) </w:t>
      </w:r>
      <w:r w:rsidR="00817DE1" w:rsidRPr="00D900FF">
        <w:rPr>
          <w:rFonts w:ascii="Times New Roman" w:hAnsi="Times New Roman"/>
        </w:rPr>
        <w:t>a</w:t>
      </w:r>
      <w:r w:rsidR="00373E16">
        <w:rPr>
          <w:rFonts w:ascii="Times New Roman" w:hAnsi="Times New Roman"/>
        </w:rPr>
        <w:t> </w:t>
      </w:r>
      <w:r w:rsidR="0034711B" w:rsidRPr="00D900FF">
        <w:rPr>
          <w:rFonts w:ascii="Times New Roman" w:hAnsi="Times New Roman"/>
        </w:rPr>
        <w:t>"political donation" for the purposes of Pt</w:t>
      </w:r>
      <w:r w:rsidR="00B6452B" w:rsidRPr="00D900FF">
        <w:rPr>
          <w:rFonts w:ascii="Times New Roman" w:hAnsi="Times New Roman"/>
        </w:rPr>
        <w:t> </w:t>
      </w:r>
      <w:r w:rsidR="0034711B" w:rsidRPr="00D900FF">
        <w:rPr>
          <w:rFonts w:ascii="Times New Roman" w:hAnsi="Times New Roman"/>
        </w:rPr>
        <w:t>12, and therefore</w:t>
      </w:r>
      <w:r w:rsidR="00D30AA6" w:rsidRPr="00D900FF">
        <w:rPr>
          <w:rFonts w:ascii="Times New Roman" w:hAnsi="Times New Roman"/>
        </w:rPr>
        <w:t xml:space="preserve"> subject to the general cap. </w:t>
      </w:r>
      <w:r w:rsidR="007B7E85" w:rsidRPr="00D900FF">
        <w:rPr>
          <w:rFonts w:ascii="Times New Roman" w:hAnsi="Times New Roman"/>
        </w:rPr>
        <w:t>That is, severance of that kind would</w:t>
      </w:r>
      <w:r w:rsidR="0021718E" w:rsidRPr="00D900FF">
        <w:rPr>
          <w:rFonts w:ascii="Times New Roman" w:hAnsi="Times New Roman"/>
        </w:rPr>
        <w:t xml:space="preserve">, in effect, </w:t>
      </w:r>
      <w:r w:rsidR="005C4E11" w:rsidRPr="00D900FF">
        <w:rPr>
          <w:rFonts w:ascii="Times New Roman" w:hAnsi="Times New Roman"/>
        </w:rPr>
        <w:t>eliminate the nominated entity exception.</w:t>
      </w:r>
      <w:r w:rsidR="007B7E85" w:rsidRPr="00D900FF">
        <w:rPr>
          <w:rFonts w:ascii="Times New Roman" w:hAnsi="Times New Roman"/>
        </w:rPr>
        <w:t xml:space="preserve"> </w:t>
      </w:r>
    </w:p>
    <w:p w14:paraId="5A66098F" w14:textId="2E95794C" w:rsidR="00685F07" w:rsidRPr="00D900FF" w:rsidRDefault="005C7B01"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811BA5" w:rsidRPr="00D900FF">
        <w:rPr>
          <w:rFonts w:ascii="Times New Roman" w:hAnsi="Times New Roman"/>
        </w:rPr>
        <w:t xml:space="preserve">Severing para (j) </w:t>
      </w:r>
      <w:r w:rsidR="00A125A9" w:rsidRPr="00D900FF">
        <w:rPr>
          <w:rFonts w:ascii="Times New Roman" w:hAnsi="Times New Roman"/>
        </w:rPr>
        <w:t xml:space="preserve">of the definition of "gift" </w:t>
      </w:r>
      <w:r w:rsidR="007A06FB" w:rsidRPr="00D900FF">
        <w:rPr>
          <w:rFonts w:ascii="Times New Roman" w:hAnsi="Times New Roman"/>
        </w:rPr>
        <w:t>is</w:t>
      </w:r>
      <w:r w:rsidR="00811BA5" w:rsidRPr="00D900FF">
        <w:rPr>
          <w:rFonts w:ascii="Times New Roman" w:hAnsi="Times New Roman"/>
        </w:rPr>
        <w:t xml:space="preserve"> also not without its </w:t>
      </w:r>
      <w:r w:rsidR="001E2F57" w:rsidRPr="00D900FF">
        <w:rPr>
          <w:rFonts w:ascii="Times New Roman" w:hAnsi="Times New Roman"/>
        </w:rPr>
        <w:t xml:space="preserve">difficulties. </w:t>
      </w:r>
      <w:r w:rsidR="007A06FB" w:rsidRPr="00D900FF">
        <w:rPr>
          <w:rFonts w:ascii="Times New Roman" w:hAnsi="Times New Roman"/>
        </w:rPr>
        <w:t>Th</w:t>
      </w:r>
      <w:r w:rsidR="00246737" w:rsidRPr="00D900FF">
        <w:rPr>
          <w:rFonts w:ascii="Times New Roman" w:hAnsi="Times New Roman"/>
        </w:rPr>
        <w:t xml:space="preserve">e first difficulty is that </w:t>
      </w:r>
      <w:r w:rsidR="003C5681" w:rsidRPr="00D900FF">
        <w:rPr>
          <w:rFonts w:ascii="Times New Roman" w:hAnsi="Times New Roman"/>
        </w:rPr>
        <w:t xml:space="preserve">subjecting </w:t>
      </w:r>
      <w:r w:rsidR="003B57DF" w:rsidRPr="00D900FF">
        <w:rPr>
          <w:rFonts w:ascii="Times New Roman" w:hAnsi="Times New Roman"/>
        </w:rPr>
        <w:t>a "</w:t>
      </w:r>
      <w:r w:rsidR="00CE76F7" w:rsidRPr="00D900FF">
        <w:rPr>
          <w:rFonts w:ascii="Times New Roman" w:hAnsi="Times New Roman"/>
        </w:rPr>
        <w:t>gift</w:t>
      </w:r>
      <w:r w:rsidR="003B57DF" w:rsidRPr="00D900FF">
        <w:rPr>
          <w:rFonts w:ascii="Times New Roman" w:hAnsi="Times New Roman"/>
        </w:rPr>
        <w:t>"</w:t>
      </w:r>
      <w:r w:rsidR="00CE76F7" w:rsidRPr="00D900FF">
        <w:rPr>
          <w:rFonts w:ascii="Times New Roman" w:hAnsi="Times New Roman"/>
        </w:rPr>
        <w:t xml:space="preserve"> between a nominated entity and its </w:t>
      </w:r>
      <w:r w:rsidR="00153527" w:rsidRPr="00D900FF">
        <w:rPr>
          <w:rFonts w:ascii="Times New Roman" w:hAnsi="Times New Roman"/>
        </w:rPr>
        <w:t>registered political party</w:t>
      </w:r>
      <w:r w:rsidR="00CE76F7" w:rsidRPr="00D900FF">
        <w:rPr>
          <w:rFonts w:ascii="Times New Roman" w:hAnsi="Times New Roman"/>
        </w:rPr>
        <w:t xml:space="preserve"> </w:t>
      </w:r>
      <w:r w:rsidR="003C5681" w:rsidRPr="00D900FF">
        <w:rPr>
          <w:rFonts w:ascii="Times New Roman" w:hAnsi="Times New Roman"/>
        </w:rPr>
        <w:t>to</w:t>
      </w:r>
      <w:r w:rsidR="00CE76F7" w:rsidRPr="00D900FF">
        <w:rPr>
          <w:rFonts w:ascii="Times New Roman" w:hAnsi="Times New Roman"/>
        </w:rPr>
        <w:t xml:space="preserve"> the general cap </w:t>
      </w:r>
      <w:r w:rsidR="00B33FCC" w:rsidRPr="00D900FF">
        <w:rPr>
          <w:rFonts w:ascii="Times New Roman" w:hAnsi="Times New Roman"/>
        </w:rPr>
        <w:t xml:space="preserve">would </w:t>
      </w:r>
      <w:r w:rsidR="004C0A64" w:rsidRPr="00D900FF">
        <w:rPr>
          <w:rFonts w:ascii="Times New Roman" w:hAnsi="Times New Roman"/>
        </w:rPr>
        <w:t>withdraw the incentive for a</w:t>
      </w:r>
      <w:r w:rsidR="00373E16">
        <w:rPr>
          <w:rFonts w:ascii="Times New Roman" w:hAnsi="Times New Roman"/>
        </w:rPr>
        <w:t> </w:t>
      </w:r>
      <w:r w:rsidR="00153527" w:rsidRPr="00D900FF">
        <w:rPr>
          <w:rFonts w:ascii="Times New Roman" w:hAnsi="Times New Roman"/>
        </w:rPr>
        <w:t>registered political party</w:t>
      </w:r>
      <w:r w:rsidR="004C0A64" w:rsidRPr="00D900FF">
        <w:rPr>
          <w:rFonts w:ascii="Times New Roman" w:hAnsi="Times New Roman"/>
        </w:rPr>
        <w:t xml:space="preserve"> to appoint a nominated entity</w:t>
      </w:r>
      <w:r w:rsidR="00863BBE" w:rsidRPr="00D900FF">
        <w:rPr>
          <w:rFonts w:ascii="Times New Roman" w:hAnsi="Times New Roman"/>
        </w:rPr>
        <w:t xml:space="preserve">, but </w:t>
      </w:r>
      <w:r w:rsidR="009D1412" w:rsidRPr="00D900FF">
        <w:rPr>
          <w:rFonts w:ascii="Times New Roman" w:hAnsi="Times New Roman"/>
        </w:rPr>
        <w:t xml:space="preserve">retain the scheme of regulation of </w:t>
      </w:r>
      <w:r w:rsidR="004C0A64" w:rsidRPr="00D900FF">
        <w:rPr>
          <w:rFonts w:ascii="Times New Roman" w:hAnsi="Times New Roman"/>
        </w:rPr>
        <w:t>nominated entities</w:t>
      </w:r>
      <w:r w:rsidR="00FF19BC" w:rsidRPr="00D900FF">
        <w:rPr>
          <w:rFonts w:ascii="Times New Roman" w:hAnsi="Times New Roman"/>
        </w:rPr>
        <w:t>.</w:t>
      </w:r>
      <w:r w:rsidR="00E26709" w:rsidRPr="00D900FF">
        <w:rPr>
          <w:rFonts w:ascii="Times New Roman" w:hAnsi="Times New Roman"/>
        </w:rPr>
        <w:t xml:space="preserve"> A registered political party would </w:t>
      </w:r>
      <w:r w:rsidR="001C7642" w:rsidRPr="00D900FF">
        <w:rPr>
          <w:rFonts w:ascii="Times New Roman" w:hAnsi="Times New Roman"/>
        </w:rPr>
        <w:t xml:space="preserve">still </w:t>
      </w:r>
      <w:r w:rsidR="00E26709" w:rsidRPr="00D900FF">
        <w:rPr>
          <w:rFonts w:ascii="Times New Roman" w:hAnsi="Times New Roman"/>
        </w:rPr>
        <w:t>have the</w:t>
      </w:r>
      <w:r w:rsidR="00373E16">
        <w:rPr>
          <w:rFonts w:ascii="Times New Roman" w:hAnsi="Times New Roman"/>
        </w:rPr>
        <w:t> </w:t>
      </w:r>
      <w:r w:rsidR="00E26709" w:rsidRPr="00D900FF">
        <w:rPr>
          <w:rFonts w:ascii="Times New Roman" w:hAnsi="Times New Roman"/>
        </w:rPr>
        <w:t>facility to appoint a nominated entity.</w:t>
      </w:r>
      <w:r w:rsidR="004C0A64" w:rsidRPr="00D900FF">
        <w:rPr>
          <w:rFonts w:ascii="Times New Roman" w:hAnsi="Times New Roman"/>
        </w:rPr>
        <w:t xml:space="preserve"> </w:t>
      </w:r>
      <w:r w:rsidR="00C465A5" w:rsidRPr="00D900FF">
        <w:rPr>
          <w:rFonts w:ascii="Times New Roman" w:hAnsi="Times New Roman"/>
        </w:rPr>
        <w:t>By s 217D(6), a</w:t>
      </w:r>
      <w:r w:rsidR="0062558C" w:rsidRPr="00D900FF">
        <w:rPr>
          <w:rFonts w:ascii="Times New Roman" w:hAnsi="Times New Roman"/>
        </w:rPr>
        <w:t xml:space="preserve"> </w:t>
      </w:r>
      <w:r w:rsidR="00533D21" w:rsidRPr="00D900FF">
        <w:rPr>
          <w:rFonts w:ascii="Times New Roman" w:hAnsi="Times New Roman"/>
        </w:rPr>
        <w:t xml:space="preserve">political </w:t>
      </w:r>
      <w:r w:rsidR="0062558C" w:rsidRPr="00D900FF">
        <w:rPr>
          <w:rFonts w:ascii="Times New Roman" w:hAnsi="Times New Roman"/>
        </w:rPr>
        <w:t>donation to the</w:t>
      </w:r>
      <w:r w:rsidR="00373E16">
        <w:rPr>
          <w:rFonts w:ascii="Times New Roman" w:hAnsi="Times New Roman"/>
        </w:rPr>
        <w:t> </w:t>
      </w:r>
      <w:r w:rsidR="0062558C" w:rsidRPr="00D900FF">
        <w:rPr>
          <w:rFonts w:ascii="Times New Roman" w:hAnsi="Times New Roman"/>
        </w:rPr>
        <w:t xml:space="preserve">nominated entity would still </w:t>
      </w:r>
      <w:r w:rsidR="007C1363" w:rsidRPr="00D900FF">
        <w:rPr>
          <w:rFonts w:ascii="Times New Roman" w:hAnsi="Times New Roman"/>
        </w:rPr>
        <w:t xml:space="preserve">be considered a donation to the </w:t>
      </w:r>
      <w:r w:rsidR="00153527" w:rsidRPr="00D900FF">
        <w:rPr>
          <w:rFonts w:ascii="Times New Roman" w:hAnsi="Times New Roman"/>
        </w:rPr>
        <w:t>registered political party</w:t>
      </w:r>
      <w:r w:rsidR="007C1363" w:rsidRPr="00D900FF">
        <w:rPr>
          <w:rFonts w:ascii="Times New Roman" w:hAnsi="Times New Roman"/>
        </w:rPr>
        <w:t xml:space="preserve"> for the purposes of the general cap.</w:t>
      </w:r>
      <w:r w:rsidR="00A56962" w:rsidRPr="00D900FF">
        <w:rPr>
          <w:rFonts w:ascii="Times New Roman" w:hAnsi="Times New Roman"/>
        </w:rPr>
        <w:t xml:space="preserve"> </w:t>
      </w:r>
      <w:r w:rsidR="0046487C" w:rsidRPr="00D900FF">
        <w:rPr>
          <w:rFonts w:ascii="Times New Roman" w:hAnsi="Times New Roman"/>
        </w:rPr>
        <w:t>Put another way, the appointment of the</w:t>
      </w:r>
      <w:r w:rsidR="00373E16">
        <w:rPr>
          <w:rFonts w:ascii="Times New Roman" w:hAnsi="Times New Roman"/>
        </w:rPr>
        <w:t> </w:t>
      </w:r>
      <w:r w:rsidR="0046487C" w:rsidRPr="00D900FF">
        <w:rPr>
          <w:rFonts w:ascii="Times New Roman" w:hAnsi="Times New Roman"/>
        </w:rPr>
        <w:t>entity as a nominated entity exposes the entity (and its registered political party) to the application of s 217D(6).</w:t>
      </w:r>
    </w:p>
    <w:p w14:paraId="209B85C4" w14:textId="6E0FC9A0" w:rsidR="003020E7" w:rsidRPr="00D900FF" w:rsidRDefault="00685F07"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3A1B97" w:rsidRPr="00D900FF">
        <w:rPr>
          <w:rFonts w:ascii="Times New Roman" w:hAnsi="Times New Roman"/>
        </w:rPr>
        <w:t>In the result</w:t>
      </w:r>
      <w:r w:rsidR="004E462C" w:rsidRPr="00D900FF">
        <w:rPr>
          <w:rFonts w:ascii="Times New Roman" w:hAnsi="Times New Roman"/>
        </w:rPr>
        <w:t xml:space="preserve">, </w:t>
      </w:r>
      <w:r w:rsidR="00231E3F" w:rsidRPr="00D900FF">
        <w:rPr>
          <w:rFonts w:ascii="Times New Roman" w:hAnsi="Times New Roman"/>
        </w:rPr>
        <w:t xml:space="preserve">the "carrot" of </w:t>
      </w:r>
      <w:r w:rsidR="00257E2C" w:rsidRPr="00D900FF">
        <w:rPr>
          <w:rFonts w:ascii="Times New Roman" w:hAnsi="Times New Roman"/>
        </w:rPr>
        <w:t xml:space="preserve">a nominated </w:t>
      </w:r>
      <w:r w:rsidR="00231E3F" w:rsidRPr="00D900FF">
        <w:rPr>
          <w:rFonts w:ascii="Times New Roman" w:hAnsi="Times New Roman"/>
        </w:rPr>
        <w:t xml:space="preserve">entity's </w:t>
      </w:r>
      <w:r w:rsidR="00B14DF2" w:rsidRPr="00D900FF">
        <w:rPr>
          <w:rFonts w:ascii="Times New Roman" w:hAnsi="Times New Roman"/>
        </w:rPr>
        <w:t xml:space="preserve">exception </w:t>
      </w:r>
      <w:r w:rsidR="00231E3F" w:rsidRPr="00D900FF">
        <w:rPr>
          <w:rFonts w:ascii="Times New Roman" w:hAnsi="Times New Roman"/>
        </w:rPr>
        <w:t>from the general cap would be removed</w:t>
      </w:r>
      <w:r w:rsidR="00277213" w:rsidRPr="00D900FF">
        <w:rPr>
          <w:rFonts w:ascii="Times New Roman" w:hAnsi="Times New Roman"/>
        </w:rPr>
        <w:t>, and the appointment of a nominated entity would</w:t>
      </w:r>
      <w:r w:rsidR="00D63F09" w:rsidRPr="00D900FF">
        <w:rPr>
          <w:rFonts w:ascii="Times New Roman" w:hAnsi="Times New Roman"/>
        </w:rPr>
        <w:t xml:space="preserve"> become</w:t>
      </w:r>
      <w:r w:rsidR="00277213" w:rsidRPr="00D900FF">
        <w:rPr>
          <w:rFonts w:ascii="Times New Roman" w:hAnsi="Times New Roman"/>
        </w:rPr>
        <w:t xml:space="preserve"> </w:t>
      </w:r>
      <w:r w:rsidR="00277213" w:rsidRPr="00D900FF">
        <w:rPr>
          <w:rFonts w:ascii="Times New Roman" w:hAnsi="Times New Roman"/>
          <w:i/>
          <w:iCs/>
        </w:rPr>
        <w:t>detrimental</w:t>
      </w:r>
      <w:r w:rsidR="00277213" w:rsidRPr="00D900FF">
        <w:rPr>
          <w:rFonts w:ascii="Times New Roman" w:hAnsi="Times New Roman"/>
        </w:rPr>
        <w:t xml:space="preserve"> to a </w:t>
      </w:r>
      <w:r w:rsidR="00153527" w:rsidRPr="00D900FF">
        <w:rPr>
          <w:rFonts w:ascii="Times New Roman" w:hAnsi="Times New Roman"/>
        </w:rPr>
        <w:t>registered political party</w:t>
      </w:r>
      <w:r w:rsidR="00277213" w:rsidRPr="00D900FF">
        <w:rPr>
          <w:rFonts w:ascii="Times New Roman" w:hAnsi="Times New Roman"/>
        </w:rPr>
        <w:t xml:space="preserve">'s interests (as </w:t>
      </w:r>
      <w:r w:rsidR="003440BB" w:rsidRPr="00D900FF">
        <w:rPr>
          <w:rFonts w:ascii="Times New Roman" w:hAnsi="Times New Roman"/>
        </w:rPr>
        <w:t>donations to that entity would</w:t>
      </w:r>
      <w:r w:rsidR="00C2702D" w:rsidRPr="00D900FF">
        <w:rPr>
          <w:rFonts w:ascii="Times New Roman" w:hAnsi="Times New Roman"/>
        </w:rPr>
        <w:t xml:space="preserve"> thereafter</w:t>
      </w:r>
      <w:r w:rsidR="003440BB" w:rsidRPr="00D900FF">
        <w:rPr>
          <w:rFonts w:ascii="Times New Roman" w:hAnsi="Times New Roman"/>
        </w:rPr>
        <w:t xml:space="preserve"> be considered donations to the party</w:t>
      </w:r>
      <w:r w:rsidR="00835823" w:rsidRPr="00D900FF">
        <w:rPr>
          <w:rFonts w:ascii="Times New Roman" w:hAnsi="Times New Roman"/>
        </w:rPr>
        <w:t xml:space="preserve"> for the purposes of </w:t>
      </w:r>
      <w:r w:rsidR="00835823" w:rsidRPr="00D900FF">
        <w:rPr>
          <w:rFonts w:ascii="Times New Roman" w:hAnsi="Times New Roman"/>
        </w:rPr>
        <w:lastRenderedPageBreak/>
        <w:t>the</w:t>
      </w:r>
      <w:r w:rsidR="00373E16">
        <w:rPr>
          <w:rFonts w:ascii="Times New Roman" w:hAnsi="Times New Roman"/>
        </w:rPr>
        <w:t> </w:t>
      </w:r>
      <w:r w:rsidR="00185165" w:rsidRPr="00D900FF">
        <w:rPr>
          <w:rFonts w:ascii="Times New Roman" w:hAnsi="Times New Roman"/>
        </w:rPr>
        <w:t xml:space="preserve">general </w:t>
      </w:r>
      <w:r w:rsidR="00835823" w:rsidRPr="00D900FF">
        <w:rPr>
          <w:rFonts w:ascii="Times New Roman" w:hAnsi="Times New Roman"/>
        </w:rPr>
        <w:t>cap</w:t>
      </w:r>
      <w:r w:rsidR="003440BB" w:rsidRPr="00D900FF">
        <w:rPr>
          <w:rFonts w:ascii="Times New Roman" w:hAnsi="Times New Roman"/>
        </w:rPr>
        <w:t>)</w:t>
      </w:r>
      <w:r w:rsidR="00231E3F" w:rsidRPr="00D900FF">
        <w:rPr>
          <w:rFonts w:ascii="Times New Roman" w:hAnsi="Times New Roman"/>
        </w:rPr>
        <w:t xml:space="preserve">. </w:t>
      </w:r>
      <w:r w:rsidR="00166671" w:rsidRPr="00D900FF">
        <w:rPr>
          <w:rFonts w:ascii="Times New Roman" w:hAnsi="Times New Roman"/>
        </w:rPr>
        <w:t>As a matter of practical effect, the nominated entity regime would become redundant.</w:t>
      </w:r>
      <w:r w:rsidR="00CD3118" w:rsidRPr="00D900FF">
        <w:rPr>
          <w:rStyle w:val="FootnoteReference"/>
          <w:rFonts w:ascii="Times New Roman" w:hAnsi="Times New Roman"/>
          <w:sz w:val="24"/>
        </w:rPr>
        <w:footnoteReference w:id="99"/>
      </w:r>
      <w:r w:rsidR="00166671" w:rsidRPr="00D900FF">
        <w:rPr>
          <w:rFonts w:ascii="Times New Roman" w:hAnsi="Times New Roman"/>
        </w:rPr>
        <w:t xml:space="preserve"> </w:t>
      </w:r>
    </w:p>
    <w:p w14:paraId="06723E3E" w14:textId="27C5DDE2" w:rsidR="009B6C75" w:rsidRPr="00D900FF" w:rsidRDefault="00F63714" w:rsidP="00D900FF">
      <w:pPr>
        <w:pStyle w:val="FixListStyle"/>
        <w:spacing w:after="260" w:line="280" w:lineRule="exact"/>
        <w:ind w:right="0"/>
        <w:jc w:val="both"/>
        <w:rPr>
          <w:rFonts w:ascii="Times New Roman" w:hAnsi="Times New Roman"/>
        </w:rPr>
      </w:pPr>
      <w:r w:rsidRPr="00D900FF">
        <w:rPr>
          <w:rFonts w:ascii="Times New Roman" w:hAnsi="Times New Roman"/>
        </w:rPr>
        <w:tab/>
        <w:t xml:space="preserve">The </w:t>
      </w:r>
      <w:r w:rsidR="00250637" w:rsidRPr="00D900FF">
        <w:rPr>
          <w:rFonts w:ascii="Times New Roman" w:hAnsi="Times New Roman"/>
        </w:rPr>
        <w:t xml:space="preserve">second difficulty is </w:t>
      </w:r>
      <w:r w:rsidR="00402A66" w:rsidRPr="00D900FF">
        <w:rPr>
          <w:rFonts w:ascii="Times New Roman" w:hAnsi="Times New Roman"/>
        </w:rPr>
        <w:t>that severing</w:t>
      </w:r>
      <w:r w:rsidR="0090799C" w:rsidRPr="00D900FF">
        <w:rPr>
          <w:rFonts w:ascii="Times New Roman" w:hAnsi="Times New Roman"/>
        </w:rPr>
        <w:t xml:space="preserve"> para (j) </w:t>
      </w:r>
      <w:r w:rsidR="0087216E" w:rsidRPr="00D900FF">
        <w:rPr>
          <w:rFonts w:ascii="Times New Roman" w:hAnsi="Times New Roman"/>
        </w:rPr>
        <w:t>of</w:t>
      </w:r>
      <w:r w:rsidR="005A562B" w:rsidRPr="00D900FF">
        <w:rPr>
          <w:rFonts w:ascii="Times New Roman" w:hAnsi="Times New Roman"/>
        </w:rPr>
        <w:t xml:space="preserve"> </w:t>
      </w:r>
      <w:r w:rsidR="0090799C" w:rsidRPr="00D900FF">
        <w:rPr>
          <w:rFonts w:ascii="Times New Roman" w:hAnsi="Times New Roman"/>
        </w:rPr>
        <w:t>the definition of "gift</w:t>
      </w:r>
      <w:r w:rsidR="00402A66" w:rsidRPr="00D900FF">
        <w:rPr>
          <w:rFonts w:ascii="Times New Roman" w:hAnsi="Times New Roman"/>
        </w:rPr>
        <w:t>", and</w:t>
      </w:r>
      <w:r w:rsidR="00373E16">
        <w:rPr>
          <w:rFonts w:ascii="Times New Roman" w:hAnsi="Times New Roman"/>
        </w:rPr>
        <w:t> </w:t>
      </w:r>
      <w:r w:rsidR="00402A66" w:rsidRPr="00D900FF">
        <w:rPr>
          <w:rFonts w:ascii="Times New Roman" w:hAnsi="Times New Roman"/>
        </w:rPr>
        <w:t xml:space="preserve">its consequential effect on the definition of "political donation", </w:t>
      </w:r>
      <w:r w:rsidR="00054323" w:rsidRPr="00D900FF">
        <w:rPr>
          <w:rFonts w:ascii="Times New Roman" w:hAnsi="Times New Roman"/>
        </w:rPr>
        <w:t>would have</w:t>
      </w:r>
      <w:r w:rsidR="00402A66" w:rsidRPr="00D900FF">
        <w:rPr>
          <w:rFonts w:ascii="Times New Roman" w:hAnsi="Times New Roman"/>
        </w:rPr>
        <w:t xml:space="preserve"> a</w:t>
      </w:r>
      <w:r w:rsidR="00373E16">
        <w:rPr>
          <w:rFonts w:ascii="Times New Roman" w:hAnsi="Times New Roman"/>
        </w:rPr>
        <w:t> </w:t>
      </w:r>
      <w:r w:rsidR="00FE392A" w:rsidRPr="00D900FF">
        <w:rPr>
          <w:rFonts w:ascii="Times New Roman" w:hAnsi="Times New Roman"/>
        </w:rPr>
        <w:t xml:space="preserve">widespread </w:t>
      </w:r>
      <w:r w:rsidR="00402A66" w:rsidRPr="00D900FF">
        <w:rPr>
          <w:rFonts w:ascii="Times New Roman" w:hAnsi="Times New Roman"/>
        </w:rPr>
        <w:t>impact on the operation of Pt</w:t>
      </w:r>
      <w:r w:rsidR="00D90107" w:rsidRPr="00D900FF">
        <w:rPr>
          <w:rFonts w:ascii="Times New Roman" w:hAnsi="Times New Roman"/>
        </w:rPr>
        <w:t> </w:t>
      </w:r>
      <w:r w:rsidR="00402A66" w:rsidRPr="00D900FF">
        <w:rPr>
          <w:rFonts w:ascii="Times New Roman" w:hAnsi="Times New Roman"/>
        </w:rPr>
        <w:t xml:space="preserve">12 </w:t>
      </w:r>
      <w:r w:rsidR="0084640C" w:rsidRPr="00D900FF">
        <w:rPr>
          <w:rFonts w:ascii="Times New Roman" w:hAnsi="Times New Roman"/>
        </w:rPr>
        <w:t>(including but not limited to</w:t>
      </w:r>
      <w:r w:rsidR="006E2DF0" w:rsidRPr="00D900FF">
        <w:rPr>
          <w:rFonts w:ascii="Times New Roman" w:hAnsi="Times New Roman"/>
        </w:rPr>
        <w:t xml:space="preserve"> the</w:t>
      </w:r>
      <w:r w:rsidR="00373E16">
        <w:rPr>
          <w:rFonts w:ascii="Times New Roman" w:hAnsi="Times New Roman"/>
        </w:rPr>
        <w:t> </w:t>
      </w:r>
      <w:r w:rsidR="006E2DF0" w:rsidRPr="00D900FF">
        <w:rPr>
          <w:rFonts w:ascii="Times New Roman" w:hAnsi="Times New Roman"/>
        </w:rPr>
        <w:t>provisions imposing the general cap</w:t>
      </w:r>
      <w:r w:rsidR="00AC3615" w:rsidRPr="00D900FF">
        <w:rPr>
          <w:rFonts w:ascii="Times New Roman" w:hAnsi="Times New Roman"/>
        </w:rPr>
        <w:t>)</w:t>
      </w:r>
      <w:r w:rsidR="00402A66" w:rsidRPr="00D900FF">
        <w:rPr>
          <w:rFonts w:ascii="Times New Roman" w:hAnsi="Times New Roman"/>
        </w:rPr>
        <w:t>.</w:t>
      </w:r>
      <w:r w:rsidR="00156CD8" w:rsidRPr="00D900FF">
        <w:rPr>
          <w:rFonts w:ascii="Times New Roman" w:hAnsi="Times New Roman"/>
        </w:rPr>
        <w:t xml:space="preserve"> For example</w:t>
      </w:r>
      <w:r w:rsidR="00421C25" w:rsidRPr="00D900FF">
        <w:rPr>
          <w:rFonts w:ascii="Times New Roman" w:hAnsi="Times New Roman"/>
        </w:rPr>
        <w:t>, donations from a registered political party to its nominated entity, or from a nominated entity to its registered political party, would be required to be disclosed pursuant to the real-time disclosure regime.</w:t>
      </w:r>
      <w:r w:rsidR="00F332CD" w:rsidRPr="00D900FF">
        <w:rPr>
          <w:rFonts w:ascii="Times New Roman" w:hAnsi="Times New Roman"/>
        </w:rPr>
        <w:t xml:space="preserve"> That is not what Parliament intended.</w:t>
      </w:r>
      <w:r w:rsidR="00402A66" w:rsidRPr="00D900FF">
        <w:rPr>
          <w:rFonts w:ascii="Times New Roman" w:hAnsi="Times New Roman"/>
        </w:rPr>
        <w:t xml:space="preserve"> </w:t>
      </w:r>
    </w:p>
    <w:p w14:paraId="492BE436" w14:textId="189554BB" w:rsidR="00F63714" w:rsidRPr="00D900FF" w:rsidRDefault="009B6C75"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3F52BD" w:rsidRPr="00D900FF">
        <w:rPr>
          <w:rFonts w:ascii="Times New Roman" w:hAnsi="Times New Roman"/>
        </w:rPr>
        <w:t xml:space="preserve">The </w:t>
      </w:r>
      <w:r w:rsidR="00B017DB" w:rsidRPr="00D900FF">
        <w:rPr>
          <w:rFonts w:ascii="Times New Roman" w:hAnsi="Times New Roman"/>
        </w:rPr>
        <w:t>third</w:t>
      </w:r>
      <w:r w:rsidR="003F52BD" w:rsidRPr="00D900FF">
        <w:rPr>
          <w:rFonts w:ascii="Times New Roman" w:hAnsi="Times New Roman"/>
        </w:rPr>
        <w:t xml:space="preserve"> difficulty is that t</w:t>
      </w:r>
      <w:r w:rsidR="006E2DF0" w:rsidRPr="00D900FF">
        <w:rPr>
          <w:rFonts w:ascii="Times New Roman" w:hAnsi="Times New Roman"/>
        </w:rPr>
        <w:t xml:space="preserve">he terms "gift" and "political donation" appear </w:t>
      </w:r>
      <w:r w:rsidR="00F63968" w:rsidRPr="00D900FF">
        <w:rPr>
          <w:rFonts w:ascii="Times New Roman" w:hAnsi="Times New Roman"/>
        </w:rPr>
        <w:t>throughout Pt 12.</w:t>
      </w:r>
      <w:r w:rsidR="00886E9C" w:rsidRPr="00D900FF">
        <w:rPr>
          <w:rStyle w:val="FootnoteReference"/>
          <w:rFonts w:ascii="Times New Roman" w:hAnsi="Times New Roman"/>
          <w:sz w:val="24"/>
        </w:rPr>
        <w:footnoteReference w:id="100"/>
      </w:r>
      <w:r w:rsidR="006E2DF0" w:rsidRPr="00D900FF">
        <w:rPr>
          <w:rFonts w:ascii="Times New Roman" w:hAnsi="Times New Roman"/>
        </w:rPr>
        <w:t xml:space="preserve"> </w:t>
      </w:r>
      <w:r w:rsidR="00D165FB" w:rsidRPr="00D900FF">
        <w:rPr>
          <w:rFonts w:ascii="Times New Roman" w:hAnsi="Times New Roman"/>
        </w:rPr>
        <w:t xml:space="preserve">Severing para (j) of the definition of "gift" </w:t>
      </w:r>
      <w:r w:rsidR="005A562B" w:rsidRPr="00D900FF">
        <w:rPr>
          <w:rFonts w:ascii="Times New Roman" w:hAnsi="Times New Roman"/>
        </w:rPr>
        <w:t xml:space="preserve">would </w:t>
      </w:r>
      <w:r w:rsidR="00D165FB" w:rsidRPr="00D900FF">
        <w:rPr>
          <w:rFonts w:ascii="Times New Roman" w:hAnsi="Times New Roman"/>
        </w:rPr>
        <w:t xml:space="preserve">amount to </w:t>
      </w:r>
      <w:r w:rsidR="00C75C21" w:rsidRPr="00D900FF">
        <w:rPr>
          <w:rFonts w:ascii="Times New Roman" w:hAnsi="Times New Roman"/>
        </w:rPr>
        <w:t xml:space="preserve">judicial </w:t>
      </w:r>
      <w:r w:rsidR="005B1175" w:rsidRPr="00D900FF">
        <w:rPr>
          <w:rFonts w:ascii="Times New Roman" w:hAnsi="Times New Roman"/>
        </w:rPr>
        <w:t>recrafting</w:t>
      </w:r>
      <w:r w:rsidR="00C75C21" w:rsidRPr="00D900FF">
        <w:rPr>
          <w:rFonts w:ascii="Times New Roman" w:hAnsi="Times New Roman"/>
        </w:rPr>
        <w:t xml:space="preserve"> of </w:t>
      </w:r>
      <w:r w:rsidR="005A562B" w:rsidRPr="00D900FF">
        <w:rPr>
          <w:rFonts w:ascii="Times New Roman" w:hAnsi="Times New Roman"/>
        </w:rPr>
        <w:t xml:space="preserve">each </w:t>
      </w:r>
      <w:r w:rsidR="00C75C21" w:rsidRPr="00D900FF">
        <w:rPr>
          <w:rFonts w:ascii="Times New Roman" w:hAnsi="Times New Roman"/>
        </w:rPr>
        <w:t>of those provisions</w:t>
      </w:r>
      <w:r w:rsidR="005F2A5B" w:rsidRPr="00D900FF">
        <w:rPr>
          <w:rFonts w:ascii="Times New Roman" w:hAnsi="Times New Roman"/>
        </w:rPr>
        <w:t xml:space="preserve"> and, at a fundamental level, </w:t>
      </w:r>
      <w:r w:rsidR="009D65BE" w:rsidRPr="00D900FF">
        <w:rPr>
          <w:rFonts w:ascii="Times New Roman" w:hAnsi="Times New Roman"/>
        </w:rPr>
        <w:t>would</w:t>
      </w:r>
      <w:r w:rsidR="00373E16">
        <w:rPr>
          <w:rFonts w:ascii="Times New Roman" w:hAnsi="Times New Roman"/>
        </w:rPr>
        <w:t> </w:t>
      </w:r>
      <w:r w:rsidR="009D65BE" w:rsidRPr="00D900FF">
        <w:rPr>
          <w:rFonts w:ascii="Times New Roman" w:hAnsi="Times New Roman"/>
        </w:rPr>
        <w:t xml:space="preserve">invert the roles of the Court and the legislator: </w:t>
      </w:r>
      <w:r w:rsidR="00471531" w:rsidRPr="00D900FF">
        <w:rPr>
          <w:rFonts w:ascii="Times New Roman" w:hAnsi="Times New Roman"/>
        </w:rPr>
        <w:t xml:space="preserve">the Court would be redrafting Pt 12, and </w:t>
      </w:r>
      <w:r w:rsidR="009D65BE" w:rsidRPr="00D900FF">
        <w:rPr>
          <w:rFonts w:ascii="Times New Roman" w:hAnsi="Times New Roman"/>
        </w:rPr>
        <w:t xml:space="preserve">Parliament and administrators of the </w:t>
      </w:r>
      <w:r w:rsidR="009D65BE" w:rsidRPr="00D900FF">
        <w:rPr>
          <w:rFonts w:ascii="Times New Roman" w:hAnsi="Times New Roman"/>
          <w:i/>
          <w:iCs/>
        </w:rPr>
        <w:t>Electoral Act</w:t>
      </w:r>
      <w:r w:rsidR="009D65BE" w:rsidRPr="00D900FF">
        <w:rPr>
          <w:rFonts w:ascii="Times New Roman" w:hAnsi="Times New Roman"/>
          <w:iCs/>
        </w:rPr>
        <w:t xml:space="preserve"> would be left to "reinterpret" Pt 12 in accordance </w:t>
      </w:r>
      <w:r w:rsidR="00471531" w:rsidRPr="00D900FF">
        <w:rPr>
          <w:rFonts w:ascii="Times New Roman" w:hAnsi="Times New Roman"/>
          <w:iCs/>
        </w:rPr>
        <w:t>with the Court's declaration.</w:t>
      </w:r>
      <w:r w:rsidR="00922123" w:rsidRPr="00D900FF">
        <w:rPr>
          <w:rStyle w:val="FootnoteReference"/>
          <w:rFonts w:ascii="Times New Roman" w:hAnsi="Times New Roman"/>
          <w:iCs/>
          <w:sz w:val="24"/>
        </w:rPr>
        <w:footnoteReference w:id="101"/>
      </w:r>
      <w:r w:rsidR="00471531" w:rsidRPr="00D900FF">
        <w:rPr>
          <w:rFonts w:ascii="Times New Roman" w:hAnsi="Times New Roman"/>
          <w:iCs/>
        </w:rPr>
        <w:t xml:space="preserve"> </w:t>
      </w:r>
    </w:p>
    <w:p w14:paraId="0560760A" w14:textId="3D6FAD81" w:rsidR="00997190" w:rsidRPr="00D900FF" w:rsidRDefault="00997190" w:rsidP="00D900FF">
      <w:pPr>
        <w:pStyle w:val="FixListStyle"/>
        <w:spacing w:after="260" w:line="280" w:lineRule="exact"/>
        <w:ind w:right="0"/>
        <w:jc w:val="both"/>
        <w:rPr>
          <w:rFonts w:ascii="Times New Roman" w:hAnsi="Times New Roman"/>
        </w:rPr>
      </w:pPr>
      <w:r w:rsidRPr="00D900FF">
        <w:rPr>
          <w:rFonts w:ascii="Times New Roman" w:hAnsi="Times New Roman"/>
          <w:iCs/>
        </w:rPr>
        <w:tab/>
      </w:r>
      <w:r w:rsidR="00922123" w:rsidRPr="00D900FF">
        <w:rPr>
          <w:rFonts w:ascii="Times New Roman" w:hAnsi="Times New Roman"/>
          <w:iCs/>
        </w:rPr>
        <w:t xml:space="preserve">A further </w:t>
      </w:r>
      <w:r w:rsidRPr="00D900FF">
        <w:rPr>
          <w:rFonts w:ascii="Times New Roman" w:hAnsi="Times New Roman"/>
          <w:iCs/>
        </w:rPr>
        <w:t xml:space="preserve">difficulty </w:t>
      </w:r>
      <w:r w:rsidR="00922123" w:rsidRPr="00D900FF">
        <w:rPr>
          <w:rFonts w:ascii="Times New Roman" w:hAnsi="Times New Roman"/>
          <w:iCs/>
        </w:rPr>
        <w:t xml:space="preserve">in </w:t>
      </w:r>
      <w:r w:rsidRPr="00D900FF">
        <w:rPr>
          <w:rFonts w:ascii="Times New Roman" w:hAnsi="Times New Roman"/>
          <w:iCs/>
        </w:rPr>
        <w:t xml:space="preserve">severing para (j) </w:t>
      </w:r>
      <w:r w:rsidR="00D7094C" w:rsidRPr="00D900FF">
        <w:rPr>
          <w:rFonts w:ascii="Times New Roman" w:hAnsi="Times New Roman"/>
          <w:iCs/>
        </w:rPr>
        <w:t xml:space="preserve">of </w:t>
      </w:r>
      <w:r w:rsidRPr="00D900FF">
        <w:rPr>
          <w:rFonts w:ascii="Times New Roman" w:hAnsi="Times New Roman"/>
          <w:iCs/>
        </w:rPr>
        <w:t xml:space="preserve">the definition of "gift" </w:t>
      </w:r>
      <w:r w:rsidR="00922123" w:rsidRPr="00D900FF">
        <w:rPr>
          <w:rFonts w:ascii="Times New Roman" w:hAnsi="Times New Roman"/>
          <w:iCs/>
        </w:rPr>
        <w:t xml:space="preserve">is that it </w:t>
      </w:r>
      <w:r w:rsidRPr="00D900FF">
        <w:rPr>
          <w:rFonts w:ascii="Times New Roman" w:hAnsi="Times New Roman"/>
          <w:iCs/>
        </w:rPr>
        <w:t xml:space="preserve">would </w:t>
      </w:r>
      <w:r w:rsidR="00753648" w:rsidRPr="00D900FF">
        <w:rPr>
          <w:rFonts w:ascii="Times New Roman" w:hAnsi="Times New Roman"/>
          <w:iCs/>
        </w:rPr>
        <w:t xml:space="preserve">not </w:t>
      </w:r>
      <w:r w:rsidRPr="00D900FF">
        <w:rPr>
          <w:rFonts w:ascii="Times New Roman" w:hAnsi="Times New Roman"/>
          <w:iCs/>
        </w:rPr>
        <w:t>leave "the remainder of the Act</w:t>
      </w:r>
      <w:r w:rsidR="00A07436" w:rsidRPr="00D900FF">
        <w:rPr>
          <w:rFonts w:ascii="Times New Roman" w:hAnsi="Times New Roman"/>
          <w:iCs/>
        </w:rPr>
        <w:t xml:space="preserve"> and the application of that provision to other persons, subject-matters or circumstances" unaffected.</w:t>
      </w:r>
      <w:r w:rsidR="00A07436" w:rsidRPr="00D900FF">
        <w:rPr>
          <w:rStyle w:val="FootnoteReference"/>
          <w:rFonts w:ascii="Times New Roman" w:hAnsi="Times New Roman"/>
          <w:iCs/>
          <w:sz w:val="24"/>
        </w:rPr>
        <w:footnoteReference w:id="102"/>
      </w:r>
      <w:r w:rsidR="001C4CC1" w:rsidRPr="00D900FF">
        <w:rPr>
          <w:rFonts w:ascii="Times New Roman" w:hAnsi="Times New Roman"/>
          <w:iCs/>
        </w:rPr>
        <w:t xml:space="preserve"> </w:t>
      </w:r>
      <w:r w:rsidR="0073289F" w:rsidRPr="00D900FF">
        <w:rPr>
          <w:rFonts w:ascii="Times New Roman" w:hAnsi="Times New Roman"/>
          <w:iCs/>
        </w:rPr>
        <w:t>P</w:t>
      </w:r>
      <w:r w:rsidR="00410C3E" w:rsidRPr="00D900FF">
        <w:rPr>
          <w:rFonts w:ascii="Times New Roman" w:hAnsi="Times New Roman"/>
          <w:iCs/>
        </w:rPr>
        <w:t>ar</w:t>
      </w:r>
      <w:r w:rsidR="0073289F" w:rsidRPr="00D900FF">
        <w:rPr>
          <w:rFonts w:ascii="Times New Roman" w:hAnsi="Times New Roman"/>
          <w:iCs/>
        </w:rPr>
        <w:t>t 12 impose</w:t>
      </w:r>
      <w:r w:rsidR="00D644E4" w:rsidRPr="00D900FF">
        <w:rPr>
          <w:rFonts w:ascii="Times New Roman" w:hAnsi="Times New Roman"/>
          <w:iCs/>
        </w:rPr>
        <w:t>s</w:t>
      </w:r>
      <w:r w:rsidR="0073289F" w:rsidRPr="00D900FF">
        <w:rPr>
          <w:rFonts w:ascii="Times New Roman" w:hAnsi="Times New Roman"/>
          <w:iCs/>
        </w:rPr>
        <w:t xml:space="preserve"> a</w:t>
      </w:r>
      <w:r w:rsidR="00373E16">
        <w:rPr>
          <w:rFonts w:ascii="Times New Roman" w:hAnsi="Times New Roman"/>
          <w:iCs/>
        </w:rPr>
        <w:t> </w:t>
      </w:r>
      <w:r w:rsidR="0073289F" w:rsidRPr="00D900FF">
        <w:rPr>
          <w:rFonts w:ascii="Times New Roman" w:hAnsi="Times New Roman"/>
          <w:iCs/>
        </w:rPr>
        <w:t>burden on the implied freedom by way of the general cap</w:t>
      </w:r>
      <w:r w:rsidR="0011147F" w:rsidRPr="00D900FF">
        <w:rPr>
          <w:rFonts w:ascii="Times New Roman" w:hAnsi="Times New Roman"/>
          <w:iCs/>
        </w:rPr>
        <w:t xml:space="preserve"> (the operation of which </w:t>
      </w:r>
      <w:r w:rsidR="00D644E4" w:rsidRPr="00D900FF">
        <w:rPr>
          <w:rFonts w:ascii="Times New Roman" w:hAnsi="Times New Roman"/>
          <w:iCs/>
        </w:rPr>
        <w:t>i</w:t>
      </w:r>
      <w:r w:rsidR="0011147F" w:rsidRPr="00D900FF">
        <w:rPr>
          <w:rFonts w:ascii="Times New Roman" w:hAnsi="Times New Roman"/>
          <w:iCs/>
        </w:rPr>
        <w:t>s affected by other provisions concerning nominated entities)</w:t>
      </w:r>
      <w:r w:rsidR="004D5EA7" w:rsidRPr="00D900FF">
        <w:rPr>
          <w:rFonts w:ascii="Times New Roman" w:hAnsi="Times New Roman"/>
          <w:iCs/>
        </w:rPr>
        <w:t>,</w:t>
      </w:r>
      <w:r w:rsidR="00EC4FC8" w:rsidRPr="00D900FF">
        <w:rPr>
          <w:rFonts w:ascii="Times New Roman" w:hAnsi="Times New Roman"/>
          <w:iCs/>
        </w:rPr>
        <w:t xml:space="preserve"> and</w:t>
      </w:r>
      <w:r w:rsidR="004D5EA7" w:rsidRPr="00D900FF">
        <w:rPr>
          <w:rFonts w:ascii="Times New Roman" w:hAnsi="Times New Roman"/>
          <w:iCs/>
        </w:rPr>
        <w:t xml:space="preserve"> the differential aspect of </w:t>
      </w:r>
      <w:r w:rsidR="00EC4FC8" w:rsidRPr="00D900FF">
        <w:rPr>
          <w:rFonts w:ascii="Times New Roman" w:hAnsi="Times New Roman"/>
          <w:iCs/>
        </w:rPr>
        <w:t>that burden</w:t>
      </w:r>
      <w:r w:rsidR="0075382B" w:rsidRPr="00D900FF">
        <w:rPr>
          <w:rFonts w:ascii="Times New Roman" w:hAnsi="Times New Roman"/>
          <w:iCs/>
        </w:rPr>
        <w:t xml:space="preserve"> arising from the time limitation</w:t>
      </w:r>
      <w:r w:rsidR="004D5EA7" w:rsidRPr="00D900FF">
        <w:rPr>
          <w:rFonts w:ascii="Times New Roman" w:hAnsi="Times New Roman"/>
          <w:iCs/>
        </w:rPr>
        <w:t xml:space="preserve"> </w:t>
      </w:r>
      <w:r w:rsidR="005163F8" w:rsidRPr="00D900FF">
        <w:rPr>
          <w:rFonts w:ascii="Times New Roman" w:hAnsi="Times New Roman"/>
          <w:iCs/>
        </w:rPr>
        <w:t xml:space="preserve">in s 222F(3) </w:t>
      </w:r>
      <w:r w:rsidR="004D5EA7" w:rsidRPr="00D900FF">
        <w:rPr>
          <w:rFonts w:ascii="Times New Roman" w:hAnsi="Times New Roman"/>
          <w:iCs/>
        </w:rPr>
        <w:t>could not be justified</w:t>
      </w:r>
      <w:r w:rsidR="0073289F" w:rsidRPr="00D900FF">
        <w:rPr>
          <w:rFonts w:ascii="Times New Roman" w:hAnsi="Times New Roman"/>
          <w:iCs/>
        </w:rPr>
        <w:t>.</w:t>
      </w:r>
      <w:r w:rsidR="0015227E" w:rsidRPr="00D900FF">
        <w:rPr>
          <w:rFonts w:ascii="Times New Roman" w:hAnsi="Times New Roman"/>
          <w:iCs/>
        </w:rPr>
        <w:t xml:space="preserve"> The plaintiffs did not </w:t>
      </w:r>
      <w:r w:rsidR="006C6A7E" w:rsidRPr="00D900FF">
        <w:rPr>
          <w:rFonts w:ascii="Times New Roman" w:hAnsi="Times New Roman"/>
          <w:iCs/>
        </w:rPr>
        <w:t xml:space="preserve">separately </w:t>
      </w:r>
      <w:r w:rsidR="0015227E" w:rsidRPr="00D900FF">
        <w:rPr>
          <w:rFonts w:ascii="Times New Roman" w:hAnsi="Times New Roman"/>
          <w:iCs/>
        </w:rPr>
        <w:t>contend, for example, that the real-time disclosure regime impose</w:t>
      </w:r>
      <w:r w:rsidR="00D644E4" w:rsidRPr="00D900FF">
        <w:rPr>
          <w:rFonts w:ascii="Times New Roman" w:hAnsi="Times New Roman"/>
          <w:iCs/>
        </w:rPr>
        <w:t>s</w:t>
      </w:r>
      <w:r w:rsidR="0015227E" w:rsidRPr="00D900FF">
        <w:rPr>
          <w:rFonts w:ascii="Times New Roman" w:hAnsi="Times New Roman"/>
          <w:iCs/>
        </w:rPr>
        <w:t xml:space="preserve"> a burden on the implied freedom that could not be justified. Altering the definition of "gift" therefore </w:t>
      </w:r>
      <w:r w:rsidR="00CD3560" w:rsidRPr="00D900FF">
        <w:rPr>
          <w:rFonts w:ascii="Times New Roman" w:hAnsi="Times New Roman"/>
          <w:iCs/>
        </w:rPr>
        <w:t xml:space="preserve">would </w:t>
      </w:r>
      <w:r w:rsidR="00393A05" w:rsidRPr="00D900FF">
        <w:rPr>
          <w:rFonts w:ascii="Times New Roman" w:hAnsi="Times New Roman"/>
          <w:iCs/>
        </w:rPr>
        <w:t>impact the operation of</w:t>
      </w:r>
      <w:r w:rsidR="0015227E" w:rsidRPr="00D900FF">
        <w:rPr>
          <w:rFonts w:ascii="Times New Roman" w:hAnsi="Times New Roman"/>
          <w:iCs/>
        </w:rPr>
        <w:t xml:space="preserve"> provisions of Pt 12 which </w:t>
      </w:r>
      <w:r w:rsidR="008C2F6F" w:rsidRPr="00D900FF">
        <w:rPr>
          <w:rFonts w:ascii="Times New Roman" w:hAnsi="Times New Roman"/>
          <w:iCs/>
        </w:rPr>
        <w:t xml:space="preserve">are </w:t>
      </w:r>
      <w:r w:rsidR="0015227E" w:rsidRPr="00D900FF">
        <w:rPr>
          <w:rFonts w:ascii="Times New Roman" w:hAnsi="Times New Roman"/>
          <w:iCs/>
        </w:rPr>
        <w:t>not, of themselves, impugned.</w:t>
      </w:r>
    </w:p>
    <w:p w14:paraId="5AA1E9E4" w14:textId="56AB9B31" w:rsidR="00FA54C1" w:rsidRPr="00D900FF" w:rsidRDefault="00FA54C1" w:rsidP="00D900FF">
      <w:pPr>
        <w:pStyle w:val="HeadingL2"/>
        <w:spacing w:after="260" w:line="280" w:lineRule="exact"/>
        <w:ind w:right="0"/>
        <w:jc w:val="both"/>
        <w:rPr>
          <w:rFonts w:ascii="Times New Roman" w:hAnsi="Times New Roman"/>
        </w:rPr>
      </w:pPr>
      <w:r w:rsidRPr="00D900FF">
        <w:rPr>
          <w:rFonts w:ascii="Times New Roman" w:hAnsi="Times New Roman"/>
        </w:rPr>
        <w:lastRenderedPageBreak/>
        <w:t>(3)</w:t>
      </w:r>
      <w:r w:rsidRPr="00D900FF">
        <w:rPr>
          <w:rFonts w:ascii="Times New Roman" w:hAnsi="Times New Roman"/>
        </w:rPr>
        <w:tab/>
      </w:r>
      <w:r w:rsidR="00B34ABF" w:rsidRPr="00D900FF">
        <w:rPr>
          <w:rFonts w:ascii="Times New Roman" w:hAnsi="Times New Roman"/>
        </w:rPr>
        <w:t>The</w:t>
      </w:r>
      <w:r w:rsidRPr="00D900FF">
        <w:rPr>
          <w:rFonts w:ascii="Times New Roman" w:hAnsi="Times New Roman"/>
        </w:rPr>
        <w:t xml:space="preserve"> nominated entities provisions</w:t>
      </w:r>
    </w:p>
    <w:p w14:paraId="0AB933FE" w14:textId="008A0541" w:rsidR="0025069D" w:rsidRPr="00D900FF" w:rsidRDefault="0025069D" w:rsidP="00D900FF">
      <w:pPr>
        <w:pStyle w:val="FixListStyle"/>
        <w:spacing w:after="260" w:line="280" w:lineRule="exact"/>
        <w:ind w:right="0"/>
        <w:jc w:val="both"/>
        <w:rPr>
          <w:rFonts w:ascii="Times New Roman" w:hAnsi="Times New Roman"/>
        </w:rPr>
      </w:pPr>
      <w:r w:rsidRPr="00D900FF">
        <w:rPr>
          <w:rFonts w:ascii="Times New Roman" w:hAnsi="Times New Roman"/>
          <w:iCs/>
        </w:rPr>
        <w:tab/>
      </w:r>
      <w:r w:rsidR="001510F1" w:rsidRPr="00D900FF">
        <w:rPr>
          <w:rFonts w:ascii="Times New Roman" w:hAnsi="Times New Roman"/>
          <w:iCs/>
        </w:rPr>
        <w:t xml:space="preserve">During the hearing, </w:t>
      </w:r>
      <w:r w:rsidR="0025670E" w:rsidRPr="00D900FF">
        <w:rPr>
          <w:rFonts w:ascii="Times New Roman" w:hAnsi="Times New Roman"/>
          <w:iCs/>
        </w:rPr>
        <w:t>the parties</w:t>
      </w:r>
      <w:r w:rsidR="001510F1" w:rsidRPr="00D900FF">
        <w:rPr>
          <w:rFonts w:ascii="Times New Roman" w:hAnsi="Times New Roman"/>
          <w:iCs/>
        </w:rPr>
        <w:t xml:space="preserve"> </w:t>
      </w:r>
      <w:r w:rsidR="007B2C1C" w:rsidRPr="00D900FF">
        <w:rPr>
          <w:rFonts w:ascii="Times New Roman" w:hAnsi="Times New Roman"/>
          <w:iCs/>
        </w:rPr>
        <w:t xml:space="preserve">suggested that the Court might need to go further than severing para (j) </w:t>
      </w:r>
      <w:r w:rsidR="00306768" w:rsidRPr="00D900FF">
        <w:rPr>
          <w:rFonts w:ascii="Times New Roman" w:hAnsi="Times New Roman"/>
          <w:iCs/>
        </w:rPr>
        <w:t xml:space="preserve">of </w:t>
      </w:r>
      <w:r w:rsidR="007A7F88" w:rsidRPr="00D900FF">
        <w:rPr>
          <w:rFonts w:ascii="Times New Roman" w:hAnsi="Times New Roman"/>
          <w:iCs/>
        </w:rPr>
        <w:t>the definition of "</w:t>
      </w:r>
      <w:r w:rsidR="00C41B4C" w:rsidRPr="00D900FF">
        <w:rPr>
          <w:rFonts w:ascii="Times New Roman" w:hAnsi="Times New Roman"/>
          <w:iCs/>
        </w:rPr>
        <w:t>gift</w:t>
      </w:r>
      <w:r w:rsidR="007A7F88" w:rsidRPr="00D900FF">
        <w:rPr>
          <w:rFonts w:ascii="Times New Roman" w:hAnsi="Times New Roman"/>
          <w:iCs/>
        </w:rPr>
        <w:t xml:space="preserve">" </w:t>
      </w:r>
      <w:r w:rsidR="007B2C1C" w:rsidRPr="00D900FF">
        <w:rPr>
          <w:rFonts w:ascii="Times New Roman" w:hAnsi="Times New Roman"/>
          <w:iCs/>
        </w:rPr>
        <w:t xml:space="preserve">to </w:t>
      </w:r>
      <w:r w:rsidR="007A7F88" w:rsidRPr="00D900FF">
        <w:rPr>
          <w:rFonts w:ascii="Times New Roman" w:hAnsi="Times New Roman"/>
          <w:iCs/>
        </w:rPr>
        <w:t xml:space="preserve">address </w:t>
      </w:r>
      <w:r w:rsidR="007B2C1C" w:rsidRPr="00D900FF">
        <w:rPr>
          <w:rFonts w:ascii="Times New Roman" w:hAnsi="Times New Roman"/>
          <w:iCs/>
        </w:rPr>
        <w:t xml:space="preserve">the </w:t>
      </w:r>
      <w:r w:rsidR="007A7F88" w:rsidRPr="00D900FF">
        <w:rPr>
          <w:rFonts w:ascii="Times New Roman" w:hAnsi="Times New Roman"/>
          <w:iCs/>
        </w:rPr>
        <w:t xml:space="preserve">invalidity </w:t>
      </w:r>
      <w:r w:rsidR="007B2C1C" w:rsidRPr="00D900FF">
        <w:rPr>
          <w:rFonts w:ascii="Times New Roman" w:hAnsi="Times New Roman"/>
          <w:iCs/>
        </w:rPr>
        <w:t>in Pt 12. The plaintiffs</w:t>
      </w:r>
      <w:r w:rsidR="00A315E9" w:rsidRPr="00D900FF">
        <w:rPr>
          <w:rFonts w:ascii="Times New Roman" w:hAnsi="Times New Roman"/>
          <w:iCs/>
        </w:rPr>
        <w:t xml:space="preserve">' contention </w:t>
      </w:r>
      <w:r w:rsidR="006076E3" w:rsidRPr="00D900FF">
        <w:rPr>
          <w:rFonts w:ascii="Times New Roman" w:hAnsi="Times New Roman"/>
          <w:iCs/>
        </w:rPr>
        <w:t xml:space="preserve">was that the regime for nominated entities might be considered an inseparable package of obligations, such that </w:t>
      </w:r>
      <w:r w:rsidR="00F45628" w:rsidRPr="00D900FF">
        <w:rPr>
          <w:rFonts w:ascii="Times New Roman" w:hAnsi="Times New Roman"/>
          <w:iCs/>
        </w:rPr>
        <w:t xml:space="preserve">it would be necessary to sever </w:t>
      </w:r>
      <w:r w:rsidR="00C852D0" w:rsidRPr="00D900FF">
        <w:rPr>
          <w:rFonts w:ascii="Times New Roman" w:hAnsi="Times New Roman"/>
          <w:iCs/>
        </w:rPr>
        <w:t xml:space="preserve">not only </w:t>
      </w:r>
      <w:r w:rsidR="00F45628" w:rsidRPr="00D900FF">
        <w:rPr>
          <w:rFonts w:ascii="Times New Roman" w:hAnsi="Times New Roman"/>
          <w:iCs/>
        </w:rPr>
        <w:t xml:space="preserve">para (j) of the definition of "gift", but all references to a "nominated entity" in Pt 12. </w:t>
      </w:r>
      <w:r w:rsidR="00067E2E" w:rsidRPr="00D900FF">
        <w:rPr>
          <w:rFonts w:ascii="Times New Roman" w:hAnsi="Times New Roman"/>
        </w:rPr>
        <w:t>T</w:t>
      </w:r>
      <w:r w:rsidR="00BD448F" w:rsidRPr="00D900FF">
        <w:rPr>
          <w:rFonts w:ascii="Times New Roman" w:hAnsi="Times New Roman"/>
        </w:rPr>
        <w:t>he parties filed a joint note identifying those provisions or parts of provisions of Pt 12 that would be declared invalid if the</w:t>
      </w:r>
      <w:r w:rsidR="00373E16">
        <w:rPr>
          <w:rFonts w:ascii="Times New Roman" w:hAnsi="Times New Roman"/>
        </w:rPr>
        <w:t> </w:t>
      </w:r>
      <w:r w:rsidR="00BD448F" w:rsidRPr="00D900FF">
        <w:rPr>
          <w:rFonts w:ascii="Times New Roman" w:hAnsi="Times New Roman"/>
        </w:rPr>
        <w:t xml:space="preserve">severable part of the </w:t>
      </w:r>
      <w:r w:rsidR="00BD448F" w:rsidRPr="00D900FF">
        <w:rPr>
          <w:rFonts w:ascii="Times New Roman" w:hAnsi="Times New Roman"/>
          <w:i/>
        </w:rPr>
        <w:t>Electoral Act</w:t>
      </w:r>
      <w:r w:rsidR="00BD448F" w:rsidRPr="00D900FF">
        <w:rPr>
          <w:rFonts w:ascii="Times New Roman" w:hAnsi="Times New Roman"/>
        </w:rPr>
        <w:t xml:space="preserve"> was no less than the whole of the nominated </w:t>
      </w:r>
      <w:r w:rsidR="009F1651" w:rsidRPr="00D900FF">
        <w:rPr>
          <w:rFonts w:ascii="Times New Roman" w:hAnsi="Times New Roman"/>
        </w:rPr>
        <w:t xml:space="preserve">entity </w:t>
      </w:r>
      <w:r w:rsidR="00BD448F" w:rsidRPr="00D900FF">
        <w:rPr>
          <w:rFonts w:ascii="Times New Roman" w:hAnsi="Times New Roman"/>
        </w:rPr>
        <w:t>exception.</w:t>
      </w:r>
      <w:r w:rsidR="008B4187" w:rsidRPr="00D900FF">
        <w:rPr>
          <w:rFonts w:ascii="Times New Roman" w:hAnsi="Times New Roman"/>
        </w:rPr>
        <w:t xml:space="preserve"> </w:t>
      </w:r>
      <w:r w:rsidR="00CD6BBE" w:rsidRPr="00D900FF">
        <w:rPr>
          <w:rFonts w:ascii="Times New Roman" w:hAnsi="Times New Roman"/>
        </w:rPr>
        <w:t>That note identified</w:t>
      </w:r>
      <w:r w:rsidR="00A568F7" w:rsidRPr="00D900FF">
        <w:rPr>
          <w:rFonts w:ascii="Times New Roman" w:hAnsi="Times New Roman"/>
        </w:rPr>
        <w:t xml:space="preserve"> numerous</w:t>
      </w:r>
      <w:r w:rsidR="00E01DC5" w:rsidRPr="00D900FF">
        <w:rPr>
          <w:rFonts w:ascii="Times New Roman" w:hAnsi="Times New Roman"/>
        </w:rPr>
        <w:t xml:space="preserve"> provisions </w:t>
      </w:r>
      <w:r w:rsidR="00A568F7" w:rsidRPr="00D900FF">
        <w:rPr>
          <w:rFonts w:ascii="Times New Roman" w:hAnsi="Times New Roman"/>
        </w:rPr>
        <w:t xml:space="preserve">in Pt 12 </w:t>
      </w:r>
      <w:r w:rsidR="00E01DC5" w:rsidRPr="00D900FF">
        <w:rPr>
          <w:rFonts w:ascii="Times New Roman" w:hAnsi="Times New Roman"/>
        </w:rPr>
        <w:t xml:space="preserve">that would </w:t>
      </w:r>
      <w:r w:rsidR="000E25BD" w:rsidRPr="00D900FF">
        <w:rPr>
          <w:rFonts w:ascii="Times New Roman" w:hAnsi="Times New Roman"/>
        </w:rPr>
        <w:t>be affected</w:t>
      </w:r>
      <w:r w:rsidR="00072827" w:rsidRPr="00D900FF">
        <w:rPr>
          <w:rFonts w:ascii="Times New Roman" w:hAnsi="Times New Roman"/>
        </w:rPr>
        <w:t>.</w:t>
      </w:r>
      <w:r w:rsidR="00072827" w:rsidRPr="00D900FF">
        <w:rPr>
          <w:rStyle w:val="FootnoteReference"/>
          <w:rFonts w:ascii="Times New Roman" w:hAnsi="Times New Roman"/>
          <w:sz w:val="24"/>
        </w:rPr>
        <w:footnoteReference w:id="103"/>
      </w:r>
      <w:r w:rsidR="00072827" w:rsidRPr="00D900FF">
        <w:rPr>
          <w:rFonts w:ascii="Times New Roman" w:hAnsi="Times New Roman"/>
        </w:rPr>
        <w:t xml:space="preserve"> In</w:t>
      </w:r>
      <w:r w:rsidR="0083303C" w:rsidRPr="00D900FF">
        <w:rPr>
          <w:rFonts w:ascii="Times New Roman" w:hAnsi="Times New Roman"/>
        </w:rPr>
        <w:t> </w:t>
      </w:r>
      <w:r w:rsidR="00072827" w:rsidRPr="00D900FF">
        <w:rPr>
          <w:rFonts w:ascii="Times New Roman" w:hAnsi="Times New Roman"/>
        </w:rPr>
        <w:t>some</w:t>
      </w:r>
      <w:r w:rsidR="001D3266" w:rsidRPr="00D900FF">
        <w:rPr>
          <w:rFonts w:ascii="Times New Roman" w:hAnsi="Times New Roman"/>
        </w:rPr>
        <w:t xml:space="preserve"> cases</w:t>
      </w:r>
      <w:r w:rsidR="00072827" w:rsidRPr="00D900FF">
        <w:rPr>
          <w:rFonts w:ascii="Times New Roman" w:hAnsi="Times New Roman"/>
        </w:rPr>
        <w:t xml:space="preserve">, it would merely be necessary to pencil out the words "nominated entity". In others, </w:t>
      </w:r>
      <w:r w:rsidR="001D3266" w:rsidRPr="00D900FF">
        <w:rPr>
          <w:rFonts w:ascii="Times New Roman" w:hAnsi="Times New Roman"/>
        </w:rPr>
        <w:t xml:space="preserve">entire </w:t>
      </w:r>
      <w:r w:rsidR="0022198F" w:rsidRPr="00D900FF">
        <w:rPr>
          <w:rFonts w:ascii="Times New Roman" w:hAnsi="Times New Roman"/>
        </w:rPr>
        <w:t xml:space="preserve">sections, </w:t>
      </w:r>
      <w:r w:rsidR="001D3266" w:rsidRPr="00D900FF">
        <w:rPr>
          <w:rFonts w:ascii="Times New Roman" w:hAnsi="Times New Roman"/>
        </w:rPr>
        <w:t xml:space="preserve">sub-sections or paragraphs would need to be excised. Subdivision 2 of Div 4A would </w:t>
      </w:r>
      <w:r w:rsidR="00153C0E" w:rsidRPr="00D900FF">
        <w:rPr>
          <w:rFonts w:ascii="Times New Roman" w:hAnsi="Times New Roman"/>
        </w:rPr>
        <w:t>need</w:t>
      </w:r>
      <w:r w:rsidR="00651A93" w:rsidRPr="00D900FF">
        <w:rPr>
          <w:rFonts w:ascii="Times New Roman" w:hAnsi="Times New Roman"/>
        </w:rPr>
        <w:t xml:space="preserve"> to be </w:t>
      </w:r>
      <w:r w:rsidR="00ED3C76" w:rsidRPr="00D900FF">
        <w:rPr>
          <w:rFonts w:ascii="Times New Roman" w:hAnsi="Times New Roman"/>
        </w:rPr>
        <w:t>wholly omitted.</w:t>
      </w:r>
    </w:p>
    <w:p w14:paraId="677B0BDB" w14:textId="120C85CC" w:rsidR="008B4187" w:rsidRPr="00D900FF" w:rsidRDefault="008B4187"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A32B5" w:rsidRPr="00D900FF">
        <w:rPr>
          <w:rFonts w:ascii="Times New Roman" w:hAnsi="Times New Roman"/>
        </w:rPr>
        <w:t>On one view, this approach cure</w:t>
      </w:r>
      <w:r w:rsidR="00CD3560" w:rsidRPr="00D900FF">
        <w:rPr>
          <w:rFonts w:ascii="Times New Roman" w:hAnsi="Times New Roman"/>
        </w:rPr>
        <w:t>s</w:t>
      </w:r>
      <w:r w:rsidR="004A32B5" w:rsidRPr="00D900FF">
        <w:rPr>
          <w:rFonts w:ascii="Times New Roman" w:hAnsi="Times New Roman"/>
        </w:rPr>
        <w:t xml:space="preserve"> the defect</w:t>
      </w:r>
      <w:r w:rsidR="00025EAC" w:rsidRPr="00D900FF">
        <w:rPr>
          <w:rFonts w:ascii="Times New Roman" w:hAnsi="Times New Roman"/>
        </w:rPr>
        <w:t xml:space="preserve">s </w:t>
      </w:r>
      <w:r w:rsidR="00D74E0C" w:rsidRPr="00D900FF">
        <w:rPr>
          <w:rFonts w:ascii="Times New Roman" w:hAnsi="Times New Roman"/>
        </w:rPr>
        <w:t xml:space="preserve">in, </w:t>
      </w:r>
      <w:r w:rsidR="00025EAC" w:rsidRPr="00D900FF">
        <w:rPr>
          <w:rFonts w:ascii="Times New Roman" w:hAnsi="Times New Roman"/>
        </w:rPr>
        <w:t>or difficulties</w:t>
      </w:r>
      <w:r w:rsidR="00D74E0C" w:rsidRPr="00D900FF">
        <w:rPr>
          <w:rFonts w:ascii="Times New Roman" w:hAnsi="Times New Roman"/>
        </w:rPr>
        <w:t xml:space="preserve"> with, the</w:t>
      </w:r>
      <w:r w:rsidR="00373E16">
        <w:rPr>
          <w:rFonts w:ascii="Times New Roman" w:hAnsi="Times New Roman"/>
        </w:rPr>
        <w:t> </w:t>
      </w:r>
      <w:r w:rsidR="00D74E0C" w:rsidRPr="00D900FF">
        <w:rPr>
          <w:rFonts w:ascii="Times New Roman" w:hAnsi="Times New Roman"/>
        </w:rPr>
        <w:t>option of severing</w:t>
      </w:r>
      <w:r w:rsidR="004A32B5" w:rsidRPr="00D900FF">
        <w:rPr>
          <w:rFonts w:ascii="Times New Roman" w:hAnsi="Times New Roman"/>
        </w:rPr>
        <w:t xml:space="preserve"> para</w:t>
      </w:r>
      <w:r w:rsidR="00D74E0C" w:rsidRPr="00D900FF">
        <w:rPr>
          <w:rFonts w:ascii="Times New Roman" w:hAnsi="Times New Roman"/>
        </w:rPr>
        <w:t> </w:t>
      </w:r>
      <w:r w:rsidR="004A32B5" w:rsidRPr="00D900FF">
        <w:rPr>
          <w:rFonts w:ascii="Times New Roman" w:hAnsi="Times New Roman"/>
        </w:rPr>
        <w:t xml:space="preserve">(j) of the definition of "gift". No redundant provisions would remain – </w:t>
      </w:r>
      <w:r w:rsidR="00A67D48" w:rsidRPr="00D900FF">
        <w:rPr>
          <w:rFonts w:ascii="Times New Roman" w:hAnsi="Times New Roman"/>
        </w:rPr>
        <w:t xml:space="preserve">all the provisions with respect to nominated entities would be severed. </w:t>
      </w:r>
      <w:r w:rsidR="00313552" w:rsidRPr="00D900FF">
        <w:rPr>
          <w:rFonts w:ascii="Times New Roman" w:hAnsi="Times New Roman"/>
        </w:rPr>
        <w:t xml:space="preserve">However, </w:t>
      </w:r>
      <w:r w:rsidR="005E7470" w:rsidRPr="00D900FF">
        <w:rPr>
          <w:rFonts w:ascii="Times New Roman" w:hAnsi="Times New Roman"/>
        </w:rPr>
        <w:t xml:space="preserve">given </w:t>
      </w:r>
      <w:r w:rsidR="00313552" w:rsidRPr="00D900FF">
        <w:rPr>
          <w:rFonts w:ascii="Times New Roman" w:hAnsi="Times New Roman"/>
        </w:rPr>
        <w:t xml:space="preserve">the </w:t>
      </w:r>
      <w:r w:rsidR="00A86351" w:rsidRPr="00D900FF">
        <w:rPr>
          <w:rFonts w:ascii="Times New Roman" w:hAnsi="Times New Roman"/>
        </w:rPr>
        <w:t>extent of</w:t>
      </w:r>
      <w:r w:rsidR="00313552" w:rsidRPr="00D900FF">
        <w:rPr>
          <w:rFonts w:ascii="Times New Roman" w:hAnsi="Times New Roman"/>
        </w:rPr>
        <w:t xml:space="preserve"> the changes, </w:t>
      </w:r>
      <w:r w:rsidR="007A75CB" w:rsidRPr="00D900FF">
        <w:rPr>
          <w:rFonts w:ascii="Times New Roman" w:hAnsi="Times New Roman"/>
        </w:rPr>
        <w:t>excising the nominated entity exception would amount to "major surgery"</w:t>
      </w:r>
      <w:r w:rsidR="007712EC" w:rsidRPr="00D900FF">
        <w:rPr>
          <w:rStyle w:val="FootnoteReference"/>
          <w:rFonts w:ascii="Times New Roman" w:hAnsi="Times New Roman"/>
          <w:sz w:val="24"/>
        </w:rPr>
        <w:footnoteReference w:id="104"/>
      </w:r>
      <w:r w:rsidR="003B6D63" w:rsidRPr="00D900FF">
        <w:rPr>
          <w:rFonts w:ascii="Times New Roman" w:hAnsi="Times New Roman"/>
        </w:rPr>
        <w:t xml:space="preserve"> </w:t>
      </w:r>
      <w:r w:rsidR="00544492" w:rsidRPr="00D900FF">
        <w:rPr>
          <w:rFonts w:ascii="Times New Roman" w:hAnsi="Times New Roman"/>
        </w:rPr>
        <w:t xml:space="preserve">which </w:t>
      </w:r>
      <w:r w:rsidR="000A1157" w:rsidRPr="00D900FF">
        <w:rPr>
          <w:rFonts w:ascii="Times New Roman" w:hAnsi="Times New Roman"/>
        </w:rPr>
        <w:t xml:space="preserve">would have the Court impermissibly </w:t>
      </w:r>
      <w:r w:rsidR="00BD6D4F" w:rsidRPr="00D900FF">
        <w:rPr>
          <w:rFonts w:ascii="Times New Roman" w:hAnsi="Times New Roman"/>
        </w:rPr>
        <w:t>separate the "woof from the warp" and "manufacture a new web".</w:t>
      </w:r>
      <w:r w:rsidR="00BD6D4F" w:rsidRPr="00D900FF">
        <w:rPr>
          <w:rStyle w:val="FootnoteReference"/>
          <w:rFonts w:ascii="Times New Roman" w:hAnsi="Times New Roman"/>
          <w:sz w:val="24"/>
        </w:rPr>
        <w:footnoteReference w:id="105"/>
      </w:r>
      <w:r w:rsidR="00544492" w:rsidRPr="00D900FF">
        <w:rPr>
          <w:rFonts w:ascii="Times New Roman" w:hAnsi="Times New Roman"/>
        </w:rPr>
        <w:t xml:space="preserve"> </w:t>
      </w:r>
      <w:r w:rsidR="00261B60" w:rsidRPr="00D900FF">
        <w:rPr>
          <w:rFonts w:ascii="Times New Roman" w:hAnsi="Times New Roman"/>
        </w:rPr>
        <w:t>That "new web" would have the Court</w:t>
      </w:r>
      <w:r w:rsidR="00D74847" w:rsidRPr="00D900FF">
        <w:rPr>
          <w:rFonts w:ascii="Times New Roman" w:hAnsi="Times New Roman"/>
        </w:rPr>
        <w:t>,</w:t>
      </w:r>
      <w:r w:rsidR="00261B60" w:rsidRPr="00D900FF">
        <w:rPr>
          <w:rFonts w:ascii="Times New Roman" w:hAnsi="Times New Roman"/>
        </w:rPr>
        <w:t xml:space="preserve"> impermissibly</w:t>
      </w:r>
      <w:r w:rsidR="00D74847" w:rsidRPr="00D900FF">
        <w:rPr>
          <w:rFonts w:ascii="Times New Roman" w:hAnsi="Times New Roman"/>
        </w:rPr>
        <w:t>,</w:t>
      </w:r>
      <w:r w:rsidR="00261B60" w:rsidRPr="00D900FF">
        <w:rPr>
          <w:rFonts w:ascii="Times New Roman" w:hAnsi="Times New Roman"/>
        </w:rPr>
        <w:t xml:space="preserve"> restructure and reorder the</w:t>
      </w:r>
      <w:r w:rsidR="00373E16">
        <w:rPr>
          <w:rFonts w:ascii="Times New Roman" w:hAnsi="Times New Roman"/>
        </w:rPr>
        <w:t> </w:t>
      </w:r>
      <w:r w:rsidR="00261B60" w:rsidRPr="00D900FF">
        <w:rPr>
          <w:rFonts w:ascii="Times New Roman" w:hAnsi="Times New Roman"/>
        </w:rPr>
        <w:t xml:space="preserve">balance that the 2018 Amendment Act had struck in relation to nominated entities, and require the Court to assume (without any basis) that Parliament would have enacted the same scheme </w:t>
      </w:r>
      <w:r w:rsidR="00261B60" w:rsidRPr="00D900FF">
        <w:rPr>
          <w:rFonts w:ascii="Times New Roman" w:hAnsi="Times New Roman"/>
          <w:i/>
          <w:iCs/>
        </w:rPr>
        <w:t>without</w:t>
      </w:r>
      <w:r w:rsidR="00261B60" w:rsidRPr="00D900FF">
        <w:rPr>
          <w:rFonts w:ascii="Times New Roman" w:hAnsi="Times New Roman"/>
        </w:rPr>
        <w:t xml:space="preserve"> the nominated entities regime.</w:t>
      </w:r>
    </w:p>
    <w:p w14:paraId="41540B39" w14:textId="0997DBC2" w:rsidR="00CE3671" w:rsidRPr="00D900FF" w:rsidRDefault="00CE3671" w:rsidP="00D900FF">
      <w:pPr>
        <w:pStyle w:val="FixListStyle"/>
        <w:spacing w:after="260" w:line="280" w:lineRule="exact"/>
        <w:ind w:right="0"/>
        <w:jc w:val="both"/>
        <w:rPr>
          <w:rFonts w:ascii="Times New Roman" w:hAnsi="Times New Roman"/>
        </w:rPr>
      </w:pPr>
      <w:r w:rsidRPr="00D900FF">
        <w:rPr>
          <w:rFonts w:ascii="Times New Roman" w:hAnsi="Times New Roman"/>
        </w:rPr>
        <w:tab/>
        <w:t xml:space="preserve">Put another way, if the Court were to sever all references to nominated entities, then </w:t>
      </w:r>
      <w:r w:rsidR="008E3DC1" w:rsidRPr="00D900FF">
        <w:rPr>
          <w:rFonts w:ascii="Times New Roman" w:hAnsi="Times New Roman"/>
        </w:rPr>
        <w:t xml:space="preserve">each of </w:t>
      </w:r>
      <w:r w:rsidRPr="00D900FF">
        <w:rPr>
          <w:rFonts w:ascii="Times New Roman" w:hAnsi="Times New Roman"/>
        </w:rPr>
        <w:t xml:space="preserve">the </w:t>
      </w:r>
      <w:r w:rsidR="002635DC" w:rsidRPr="00D900FF">
        <w:rPr>
          <w:rFonts w:ascii="Times New Roman" w:hAnsi="Times New Roman"/>
        </w:rPr>
        <w:t>N</w:t>
      </w:r>
      <w:r w:rsidRPr="00D900FF">
        <w:rPr>
          <w:rFonts w:ascii="Times New Roman" w:hAnsi="Times New Roman"/>
        </w:rPr>
        <w:t xml:space="preserve">ominated </w:t>
      </w:r>
      <w:r w:rsidR="002635DC" w:rsidRPr="00D900FF">
        <w:rPr>
          <w:rFonts w:ascii="Times New Roman" w:hAnsi="Times New Roman"/>
        </w:rPr>
        <w:t>E</w:t>
      </w:r>
      <w:r w:rsidRPr="00D900FF">
        <w:rPr>
          <w:rFonts w:ascii="Times New Roman" w:hAnsi="Times New Roman"/>
        </w:rPr>
        <w:t xml:space="preserve">ntities </w:t>
      </w:r>
      <w:r w:rsidR="00F07F05" w:rsidRPr="00D900FF">
        <w:rPr>
          <w:rFonts w:ascii="Times New Roman" w:hAnsi="Times New Roman"/>
        </w:rPr>
        <w:t>will likely</w:t>
      </w:r>
      <w:r w:rsidRPr="00D900FF">
        <w:rPr>
          <w:rFonts w:ascii="Times New Roman" w:hAnsi="Times New Roman"/>
        </w:rPr>
        <w:t xml:space="preserve"> fall within the definition of </w:t>
      </w:r>
      <w:r w:rsidR="002C38A4" w:rsidRPr="00D900FF">
        <w:rPr>
          <w:rFonts w:ascii="Times New Roman" w:hAnsi="Times New Roman"/>
        </w:rPr>
        <w:t xml:space="preserve">an </w:t>
      </w:r>
      <w:r w:rsidRPr="00D900FF">
        <w:rPr>
          <w:rFonts w:ascii="Times New Roman" w:hAnsi="Times New Roman"/>
        </w:rPr>
        <w:t>"associated enti</w:t>
      </w:r>
      <w:r w:rsidR="002C38A4" w:rsidRPr="00D900FF">
        <w:rPr>
          <w:rFonts w:ascii="Times New Roman" w:hAnsi="Times New Roman"/>
        </w:rPr>
        <w:t>ty</w:t>
      </w:r>
      <w:r w:rsidRPr="00D900FF">
        <w:rPr>
          <w:rFonts w:ascii="Times New Roman" w:hAnsi="Times New Roman"/>
        </w:rPr>
        <w:t>"</w:t>
      </w:r>
      <w:r w:rsidR="00F07F05" w:rsidRPr="00D900FF">
        <w:rPr>
          <w:rFonts w:ascii="Times New Roman" w:hAnsi="Times New Roman"/>
        </w:rPr>
        <w:t xml:space="preserve">, or failing that potentially be </w:t>
      </w:r>
      <w:r w:rsidR="002C38A4" w:rsidRPr="00D900FF">
        <w:rPr>
          <w:rFonts w:ascii="Times New Roman" w:hAnsi="Times New Roman"/>
        </w:rPr>
        <w:t xml:space="preserve">a </w:t>
      </w:r>
      <w:r w:rsidR="00F07F05" w:rsidRPr="00D900FF">
        <w:rPr>
          <w:rFonts w:ascii="Times New Roman" w:hAnsi="Times New Roman"/>
        </w:rPr>
        <w:t xml:space="preserve">"third party campaigner". If </w:t>
      </w:r>
      <w:r w:rsidR="002C38A4" w:rsidRPr="00D900FF">
        <w:rPr>
          <w:rFonts w:ascii="Times New Roman" w:hAnsi="Times New Roman"/>
        </w:rPr>
        <w:t>that were to be the result</w:t>
      </w:r>
      <w:r w:rsidR="00BF181C" w:rsidRPr="00D900FF">
        <w:rPr>
          <w:rFonts w:ascii="Times New Roman" w:hAnsi="Times New Roman"/>
        </w:rPr>
        <w:t xml:space="preserve">, then the Court will have </w:t>
      </w:r>
      <w:r w:rsidR="000C76AB" w:rsidRPr="00D900FF">
        <w:rPr>
          <w:rFonts w:ascii="Times New Roman" w:hAnsi="Times New Roman"/>
        </w:rPr>
        <w:t xml:space="preserve">exposed </w:t>
      </w:r>
      <w:r w:rsidR="006B1F81" w:rsidRPr="00D900FF">
        <w:rPr>
          <w:rFonts w:ascii="Times New Roman" w:hAnsi="Times New Roman"/>
        </w:rPr>
        <w:t xml:space="preserve">each of </w:t>
      </w:r>
      <w:r w:rsidR="000C76AB" w:rsidRPr="00D900FF">
        <w:rPr>
          <w:rFonts w:ascii="Times New Roman" w:hAnsi="Times New Roman"/>
        </w:rPr>
        <w:t>the</w:t>
      </w:r>
      <w:r w:rsidR="00373E16">
        <w:rPr>
          <w:rFonts w:ascii="Times New Roman" w:hAnsi="Times New Roman"/>
        </w:rPr>
        <w:t> </w:t>
      </w:r>
      <w:r w:rsidR="002635DC" w:rsidRPr="00D900FF">
        <w:rPr>
          <w:rFonts w:ascii="Times New Roman" w:hAnsi="Times New Roman"/>
        </w:rPr>
        <w:t>N</w:t>
      </w:r>
      <w:r w:rsidR="000C76AB" w:rsidRPr="00D900FF">
        <w:rPr>
          <w:rFonts w:ascii="Times New Roman" w:hAnsi="Times New Roman"/>
        </w:rPr>
        <w:t xml:space="preserve">ominated </w:t>
      </w:r>
      <w:r w:rsidR="002635DC" w:rsidRPr="00D900FF">
        <w:rPr>
          <w:rFonts w:ascii="Times New Roman" w:hAnsi="Times New Roman"/>
        </w:rPr>
        <w:t>E</w:t>
      </w:r>
      <w:r w:rsidR="000C76AB" w:rsidRPr="00D900FF">
        <w:rPr>
          <w:rFonts w:ascii="Times New Roman" w:hAnsi="Times New Roman"/>
        </w:rPr>
        <w:t xml:space="preserve">ntities to regulation as </w:t>
      </w:r>
      <w:r w:rsidR="00D93524" w:rsidRPr="00D900FF">
        <w:rPr>
          <w:rFonts w:ascii="Times New Roman" w:hAnsi="Times New Roman"/>
        </w:rPr>
        <w:t xml:space="preserve">an associated entity or possibly a third party campaigner when that was </w:t>
      </w:r>
      <w:r w:rsidR="00C2769A" w:rsidRPr="00D900FF">
        <w:rPr>
          <w:rFonts w:ascii="Times New Roman" w:hAnsi="Times New Roman"/>
        </w:rPr>
        <w:t>the opposite of</w:t>
      </w:r>
      <w:r w:rsidR="00FE6A92" w:rsidRPr="00D900FF">
        <w:rPr>
          <w:rFonts w:ascii="Times New Roman" w:hAnsi="Times New Roman"/>
        </w:rPr>
        <w:t xml:space="preserve"> what Parliament </w:t>
      </w:r>
      <w:r w:rsidR="007360B0" w:rsidRPr="00D900FF">
        <w:rPr>
          <w:rFonts w:ascii="Times New Roman" w:hAnsi="Times New Roman"/>
        </w:rPr>
        <w:t>intended</w:t>
      </w:r>
      <w:r w:rsidR="00BF181C" w:rsidRPr="00D900FF">
        <w:rPr>
          <w:rFonts w:ascii="Times New Roman" w:hAnsi="Times New Roman"/>
        </w:rPr>
        <w:t>.</w:t>
      </w:r>
    </w:p>
    <w:p w14:paraId="7DDAA0E6" w14:textId="05DE1770" w:rsidR="00FA54C1" w:rsidRPr="00D900FF" w:rsidRDefault="00FA54C1" w:rsidP="00D900FF">
      <w:pPr>
        <w:pStyle w:val="HeadingL2"/>
        <w:spacing w:after="260" w:line="280" w:lineRule="exact"/>
        <w:ind w:right="0"/>
        <w:jc w:val="both"/>
        <w:rPr>
          <w:rFonts w:ascii="Times New Roman" w:hAnsi="Times New Roman"/>
        </w:rPr>
      </w:pPr>
      <w:r w:rsidRPr="00D900FF">
        <w:rPr>
          <w:rFonts w:ascii="Times New Roman" w:hAnsi="Times New Roman"/>
        </w:rPr>
        <w:lastRenderedPageBreak/>
        <w:t>(4)</w:t>
      </w:r>
      <w:r w:rsidRPr="00D900FF">
        <w:rPr>
          <w:rFonts w:ascii="Times New Roman" w:hAnsi="Times New Roman"/>
        </w:rPr>
        <w:tab/>
      </w:r>
      <w:r w:rsidR="00A60C8A" w:rsidRPr="00D900FF">
        <w:rPr>
          <w:rFonts w:ascii="Times New Roman" w:hAnsi="Times New Roman"/>
        </w:rPr>
        <w:t>Div</w:t>
      </w:r>
      <w:r w:rsidR="00FF6A84" w:rsidRPr="00D900FF">
        <w:rPr>
          <w:rFonts w:ascii="Times New Roman" w:hAnsi="Times New Roman"/>
        </w:rPr>
        <w:t>ision</w:t>
      </w:r>
      <w:r w:rsidR="00A60C8A" w:rsidRPr="00D900FF">
        <w:rPr>
          <w:rFonts w:ascii="Times New Roman" w:hAnsi="Times New Roman"/>
        </w:rPr>
        <w:t xml:space="preserve"> 3B</w:t>
      </w:r>
    </w:p>
    <w:p w14:paraId="2A475C29" w14:textId="3CBD1531" w:rsidR="00892EA6" w:rsidRPr="00D900FF" w:rsidRDefault="00892EA6"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D40315" w:rsidRPr="00D900FF">
        <w:rPr>
          <w:rFonts w:ascii="Times New Roman" w:hAnsi="Times New Roman"/>
        </w:rPr>
        <w:t>The plaintiffs'</w:t>
      </w:r>
      <w:r w:rsidR="005D3991" w:rsidRPr="00D900FF">
        <w:rPr>
          <w:rFonts w:ascii="Times New Roman" w:hAnsi="Times New Roman"/>
        </w:rPr>
        <w:t xml:space="preserve"> </w:t>
      </w:r>
      <w:r w:rsidR="00025EAC" w:rsidRPr="00D900FF">
        <w:rPr>
          <w:rFonts w:ascii="Times New Roman" w:hAnsi="Times New Roman"/>
        </w:rPr>
        <w:t xml:space="preserve">final </w:t>
      </w:r>
      <w:r w:rsidR="00E710E6" w:rsidRPr="00D900FF">
        <w:rPr>
          <w:rFonts w:ascii="Times New Roman" w:hAnsi="Times New Roman"/>
        </w:rPr>
        <w:t xml:space="preserve">option </w:t>
      </w:r>
      <w:r w:rsidR="00D40315" w:rsidRPr="00D900FF">
        <w:rPr>
          <w:rFonts w:ascii="Times New Roman" w:hAnsi="Times New Roman"/>
        </w:rPr>
        <w:t>was</w:t>
      </w:r>
      <w:r w:rsidR="00C6715B" w:rsidRPr="00D900FF">
        <w:rPr>
          <w:rFonts w:ascii="Times New Roman" w:hAnsi="Times New Roman"/>
        </w:rPr>
        <w:t xml:space="preserve"> </w:t>
      </w:r>
      <w:r w:rsidR="00E710E6" w:rsidRPr="00D900FF">
        <w:rPr>
          <w:rFonts w:ascii="Times New Roman" w:hAnsi="Times New Roman"/>
        </w:rPr>
        <w:t xml:space="preserve">to </w:t>
      </w:r>
      <w:r w:rsidR="00C6715B" w:rsidRPr="00D900FF">
        <w:rPr>
          <w:rFonts w:ascii="Times New Roman" w:hAnsi="Times New Roman"/>
        </w:rPr>
        <w:t>sever</w:t>
      </w:r>
      <w:r w:rsidR="00E710E6" w:rsidRPr="00D900FF">
        <w:rPr>
          <w:rFonts w:ascii="Times New Roman" w:hAnsi="Times New Roman"/>
        </w:rPr>
        <w:t xml:space="preserve"> </w:t>
      </w:r>
      <w:r w:rsidR="00144221" w:rsidRPr="00D900FF">
        <w:rPr>
          <w:rFonts w:ascii="Times New Roman" w:hAnsi="Times New Roman"/>
        </w:rPr>
        <w:t>Div 3B</w:t>
      </w:r>
      <w:r w:rsidR="0018733B" w:rsidRPr="00D900FF">
        <w:rPr>
          <w:rFonts w:ascii="Times New Roman" w:hAnsi="Times New Roman"/>
        </w:rPr>
        <w:t xml:space="preserve"> – the Division that imposes the general cap</w:t>
      </w:r>
      <w:r w:rsidR="00E710E6" w:rsidRPr="00D900FF">
        <w:rPr>
          <w:rFonts w:ascii="Times New Roman" w:hAnsi="Times New Roman"/>
        </w:rPr>
        <w:t>.</w:t>
      </w:r>
      <w:r w:rsidR="007B7F9A" w:rsidRPr="00D900FF">
        <w:rPr>
          <w:rStyle w:val="FootnoteReference"/>
          <w:rFonts w:ascii="Times New Roman" w:hAnsi="Times New Roman"/>
          <w:sz w:val="24"/>
        </w:rPr>
        <w:footnoteReference w:id="106"/>
      </w:r>
      <w:r w:rsidR="00E710E6" w:rsidRPr="00D900FF">
        <w:rPr>
          <w:rFonts w:ascii="Times New Roman" w:hAnsi="Times New Roman"/>
        </w:rPr>
        <w:t xml:space="preserve"> That submission </w:t>
      </w:r>
      <w:r w:rsidR="004F512C" w:rsidRPr="00D900FF">
        <w:rPr>
          <w:rFonts w:ascii="Times New Roman" w:hAnsi="Times New Roman"/>
        </w:rPr>
        <w:t>cannot be accepted</w:t>
      </w:r>
      <w:r w:rsidRPr="00D900FF">
        <w:rPr>
          <w:rFonts w:ascii="Times New Roman" w:hAnsi="Times New Roman"/>
        </w:rPr>
        <w:t xml:space="preserve">. </w:t>
      </w:r>
      <w:r w:rsidR="00EB0472" w:rsidRPr="00D900FF">
        <w:rPr>
          <w:rFonts w:ascii="Times New Roman" w:hAnsi="Times New Roman"/>
        </w:rPr>
        <w:t>Severance of Div 3B</w:t>
      </w:r>
      <w:r w:rsidR="007B7F9A" w:rsidRPr="00D900FF">
        <w:rPr>
          <w:rFonts w:ascii="Times New Roman" w:hAnsi="Times New Roman"/>
        </w:rPr>
        <w:t xml:space="preserve"> </w:t>
      </w:r>
      <w:r w:rsidR="00623675" w:rsidRPr="00D900FF">
        <w:rPr>
          <w:rFonts w:ascii="Times New Roman" w:hAnsi="Times New Roman"/>
        </w:rPr>
        <w:t xml:space="preserve">is </w:t>
      </w:r>
      <w:r w:rsidR="00EB0472" w:rsidRPr="00D900FF">
        <w:rPr>
          <w:rFonts w:ascii="Times New Roman" w:hAnsi="Times New Roman"/>
        </w:rPr>
        <w:t>not possible where</w:t>
      </w:r>
      <w:r w:rsidR="0035177F" w:rsidRPr="00D900FF">
        <w:rPr>
          <w:rFonts w:ascii="Times New Roman" w:hAnsi="Times New Roman"/>
        </w:rPr>
        <w:t xml:space="preserve"> </w:t>
      </w:r>
      <w:r w:rsidR="00FE6D01" w:rsidRPr="00D900FF">
        <w:rPr>
          <w:rFonts w:ascii="Times New Roman" w:hAnsi="Times New Roman"/>
        </w:rPr>
        <w:t>provisions for</w:t>
      </w:r>
      <w:r w:rsidR="00285CCB" w:rsidRPr="00D900FF">
        <w:rPr>
          <w:rFonts w:ascii="Times New Roman" w:hAnsi="Times New Roman"/>
        </w:rPr>
        <w:t xml:space="preserve"> </w:t>
      </w:r>
      <w:r w:rsidR="0024457E" w:rsidRPr="00D900FF">
        <w:rPr>
          <w:rFonts w:ascii="Times New Roman" w:hAnsi="Times New Roman"/>
        </w:rPr>
        <w:t xml:space="preserve">increased </w:t>
      </w:r>
      <w:r w:rsidR="00FE6D01" w:rsidRPr="00D900FF">
        <w:rPr>
          <w:rFonts w:ascii="Times New Roman" w:hAnsi="Times New Roman"/>
        </w:rPr>
        <w:t xml:space="preserve">public </w:t>
      </w:r>
      <w:r w:rsidR="0024457E" w:rsidRPr="00D900FF">
        <w:rPr>
          <w:rFonts w:ascii="Times New Roman" w:hAnsi="Times New Roman"/>
        </w:rPr>
        <w:t>funding</w:t>
      </w:r>
      <w:r w:rsidR="00FE6D01" w:rsidRPr="00D900FF">
        <w:rPr>
          <w:rFonts w:ascii="Times New Roman" w:hAnsi="Times New Roman"/>
        </w:rPr>
        <w:t>,</w:t>
      </w:r>
      <w:r w:rsidR="00D11E92" w:rsidRPr="00D900FF">
        <w:rPr>
          <w:rStyle w:val="FootnoteReference"/>
          <w:rFonts w:ascii="Times New Roman" w:hAnsi="Times New Roman"/>
          <w:sz w:val="24"/>
        </w:rPr>
        <w:footnoteReference w:id="107"/>
      </w:r>
      <w:r w:rsidR="00437F26" w:rsidRPr="00D900FF">
        <w:rPr>
          <w:rFonts w:ascii="Times New Roman" w:hAnsi="Times New Roman"/>
        </w:rPr>
        <w:t xml:space="preserve"> as </w:t>
      </w:r>
      <w:r w:rsidR="00FE6D01" w:rsidRPr="00D900FF">
        <w:rPr>
          <w:rFonts w:ascii="Times New Roman" w:hAnsi="Times New Roman"/>
        </w:rPr>
        <w:t>well as</w:t>
      </w:r>
      <w:r w:rsidR="00437F26" w:rsidRPr="00D900FF">
        <w:rPr>
          <w:rFonts w:ascii="Times New Roman" w:hAnsi="Times New Roman"/>
        </w:rPr>
        <w:t xml:space="preserve"> the nominated entity exception</w:t>
      </w:r>
      <w:r w:rsidR="00FE6D01" w:rsidRPr="00D900FF">
        <w:rPr>
          <w:rFonts w:ascii="Times New Roman" w:hAnsi="Times New Roman"/>
        </w:rPr>
        <w:t xml:space="preserve"> itself, "constitute part of, and were intended only to operate in</w:t>
      </w:r>
      <w:r w:rsidR="00631B85" w:rsidRPr="00D900FF">
        <w:rPr>
          <w:rFonts w:ascii="Times New Roman" w:hAnsi="Times New Roman"/>
        </w:rPr>
        <w:t>,</w:t>
      </w:r>
      <w:r w:rsidR="00FE6D01" w:rsidRPr="00D900FF">
        <w:rPr>
          <w:rFonts w:ascii="Times New Roman" w:hAnsi="Times New Roman"/>
        </w:rPr>
        <w:t>" the wider regime of a cap on political donations.</w:t>
      </w:r>
      <w:r w:rsidR="00FE6D01" w:rsidRPr="00D900FF">
        <w:rPr>
          <w:rStyle w:val="FootnoteReference"/>
          <w:rFonts w:ascii="Times New Roman" w:hAnsi="Times New Roman"/>
          <w:sz w:val="24"/>
        </w:rPr>
        <w:footnoteReference w:id="108"/>
      </w:r>
      <w:r w:rsidR="00B84FE5" w:rsidRPr="00D900FF">
        <w:rPr>
          <w:rFonts w:ascii="Times New Roman" w:hAnsi="Times New Roman"/>
        </w:rPr>
        <w:t xml:space="preserve"> </w:t>
      </w:r>
    </w:p>
    <w:p w14:paraId="499D279A" w14:textId="38D000C4" w:rsidR="005508E1" w:rsidRPr="00D900FF" w:rsidRDefault="00DC5AA7" w:rsidP="00D900FF">
      <w:pPr>
        <w:pStyle w:val="HeadingL2"/>
        <w:spacing w:after="260" w:line="280" w:lineRule="exact"/>
        <w:ind w:right="0"/>
        <w:jc w:val="both"/>
        <w:rPr>
          <w:rFonts w:ascii="Times New Roman" w:hAnsi="Times New Roman"/>
          <w:iCs/>
        </w:rPr>
      </w:pPr>
      <w:r w:rsidRPr="00D900FF">
        <w:rPr>
          <w:rFonts w:ascii="Times New Roman" w:hAnsi="Times New Roman"/>
        </w:rPr>
        <w:t>(5)</w:t>
      </w:r>
      <w:r w:rsidRPr="00D900FF">
        <w:rPr>
          <w:rFonts w:ascii="Times New Roman" w:hAnsi="Times New Roman"/>
        </w:rPr>
        <w:tab/>
      </w:r>
      <w:r w:rsidR="00683D63" w:rsidRPr="00D900FF">
        <w:rPr>
          <w:rFonts w:ascii="Times New Roman" w:hAnsi="Times New Roman"/>
        </w:rPr>
        <w:t>P</w:t>
      </w:r>
      <w:r w:rsidR="00A73CDC" w:rsidRPr="00D900FF">
        <w:rPr>
          <w:rFonts w:ascii="Times New Roman" w:hAnsi="Times New Roman"/>
        </w:rPr>
        <w:t>ar</w:t>
      </w:r>
      <w:r w:rsidR="00683D63" w:rsidRPr="00D900FF">
        <w:rPr>
          <w:rFonts w:ascii="Times New Roman" w:hAnsi="Times New Roman"/>
        </w:rPr>
        <w:t>t 12</w:t>
      </w:r>
    </w:p>
    <w:p w14:paraId="25CDE0AE" w14:textId="17620CEE" w:rsidR="00E833A2" w:rsidRPr="00D900FF" w:rsidRDefault="005508E1"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D57D90" w:rsidRPr="00D900FF">
        <w:rPr>
          <w:rFonts w:ascii="Times New Roman" w:hAnsi="Times New Roman"/>
        </w:rPr>
        <w:t xml:space="preserve">It not being </w:t>
      </w:r>
      <w:r w:rsidR="005E7259" w:rsidRPr="00D900FF">
        <w:rPr>
          <w:rFonts w:ascii="Times New Roman" w:hAnsi="Times New Roman"/>
        </w:rPr>
        <w:t>permissible</w:t>
      </w:r>
      <w:r w:rsidR="00D57D90" w:rsidRPr="00D900FF">
        <w:rPr>
          <w:rFonts w:ascii="Times New Roman" w:hAnsi="Times New Roman"/>
        </w:rPr>
        <w:t xml:space="preserve"> to sever a</w:t>
      </w:r>
      <w:r w:rsidR="00B52214" w:rsidRPr="00D900FF">
        <w:rPr>
          <w:rFonts w:ascii="Times New Roman" w:hAnsi="Times New Roman"/>
        </w:rPr>
        <w:t>ny</w:t>
      </w:r>
      <w:r w:rsidR="003808A7" w:rsidRPr="00D900FF">
        <w:rPr>
          <w:rFonts w:ascii="Times New Roman" w:hAnsi="Times New Roman"/>
        </w:rPr>
        <w:t xml:space="preserve"> </w:t>
      </w:r>
      <w:r w:rsidR="009E6520" w:rsidRPr="00D900FF">
        <w:rPr>
          <w:rFonts w:ascii="Times New Roman" w:hAnsi="Times New Roman"/>
        </w:rPr>
        <w:t>provision</w:t>
      </w:r>
      <w:r w:rsidR="008A61CF" w:rsidRPr="00D900FF">
        <w:rPr>
          <w:rFonts w:ascii="Times New Roman" w:hAnsi="Times New Roman"/>
        </w:rPr>
        <w:t>s</w:t>
      </w:r>
      <w:r w:rsidR="009E6520" w:rsidRPr="00D900FF">
        <w:rPr>
          <w:rFonts w:ascii="Times New Roman" w:hAnsi="Times New Roman"/>
        </w:rPr>
        <w:t xml:space="preserve">, </w:t>
      </w:r>
      <w:r w:rsidR="008A61CF" w:rsidRPr="00D900FF">
        <w:rPr>
          <w:rFonts w:ascii="Times New Roman" w:hAnsi="Times New Roman"/>
        </w:rPr>
        <w:t xml:space="preserve">parts of </w:t>
      </w:r>
      <w:r w:rsidR="009E6520" w:rsidRPr="00D900FF">
        <w:rPr>
          <w:rFonts w:ascii="Times New Roman" w:hAnsi="Times New Roman"/>
        </w:rPr>
        <w:t>provisions</w:t>
      </w:r>
      <w:r w:rsidR="00B52214" w:rsidRPr="00D900FF">
        <w:rPr>
          <w:rFonts w:ascii="Times New Roman" w:hAnsi="Times New Roman"/>
        </w:rPr>
        <w:t xml:space="preserve">, </w:t>
      </w:r>
      <w:r w:rsidR="00B71253" w:rsidRPr="00D900FF">
        <w:rPr>
          <w:rFonts w:ascii="Times New Roman" w:hAnsi="Times New Roman"/>
        </w:rPr>
        <w:t xml:space="preserve">Divisions or </w:t>
      </w:r>
      <w:r w:rsidR="00F02677" w:rsidRPr="00D900FF">
        <w:rPr>
          <w:rFonts w:ascii="Times New Roman" w:hAnsi="Times New Roman"/>
        </w:rPr>
        <w:t>Subd</w:t>
      </w:r>
      <w:r w:rsidR="00B52214" w:rsidRPr="00D900FF">
        <w:rPr>
          <w:rFonts w:ascii="Times New Roman" w:hAnsi="Times New Roman"/>
        </w:rPr>
        <w:t>ivisions</w:t>
      </w:r>
      <w:r w:rsidR="009E6520" w:rsidRPr="00D900FF">
        <w:rPr>
          <w:rFonts w:ascii="Times New Roman" w:hAnsi="Times New Roman"/>
        </w:rPr>
        <w:t xml:space="preserve"> </w:t>
      </w:r>
      <w:r w:rsidR="00D57D90" w:rsidRPr="00D900FF">
        <w:rPr>
          <w:rFonts w:ascii="Times New Roman" w:hAnsi="Times New Roman"/>
        </w:rPr>
        <w:t xml:space="preserve">of Pt 12 to preserve its validity, </w:t>
      </w:r>
      <w:r w:rsidR="005E5E3F" w:rsidRPr="00D900FF">
        <w:rPr>
          <w:rFonts w:ascii="Times New Roman" w:hAnsi="Times New Roman"/>
        </w:rPr>
        <w:t xml:space="preserve">Pt 12 is wholly </w:t>
      </w:r>
      <w:r w:rsidR="00D57D90" w:rsidRPr="00D900FF">
        <w:rPr>
          <w:rFonts w:ascii="Times New Roman" w:hAnsi="Times New Roman"/>
        </w:rPr>
        <w:t xml:space="preserve">invalid. </w:t>
      </w:r>
      <w:r w:rsidR="00B05907" w:rsidRPr="00D900FF">
        <w:rPr>
          <w:rFonts w:ascii="Times New Roman" w:hAnsi="Times New Roman"/>
        </w:rPr>
        <w:t>It is not a step that the Court takes lightly</w:t>
      </w:r>
      <w:r w:rsidR="007B1E56" w:rsidRPr="00D900FF">
        <w:rPr>
          <w:rFonts w:ascii="Times New Roman" w:hAnsi="Times New Roman"/>
        </w:rPr>
        <w:t xml:space="preserve"> in seeking to determine how the Court recognises and reflects the invalidity in the relief that it grants</w:t>
      </w:r>
      <w:r w:rsidR="00505BEA" w:rsidRPr="00D900FF">
        <w:rPr>
          <w:rFonts w:ascii="Times New Roman" w:hAnsi="Times New Roman"/>
        </w:rPr>
        <w:t>,</w:t>
      </w:r>
      <w:r w:rsidR="00B05907" w:rsidRPr="00D900FF">
        <w:rPr>
          <w:rFonts w:ascii="Times New Roman" w:hAnsi="Times New Roman"/>
        </w:rPr>
        <w:t xml:space="preserve"> but the</w:t>
      </w:r>
      <w:r w:rsidR="00432D2A" w:rsidRPr="00D900FF">
        <w:rPr>
          <w:rFonts w:ascii="Times New Roman" w:hAnsi="Times New Roman"/>
        </w:rPr>
        <w:t> </w:t>
      </w:r>
      <w:r w:rsidR="00B05907" w:rsidRPr="00D900FF">
        <w:rPr>
          <w:rFonts w:ascii="Times New Roman" w:hAnsi="Times New Roman"/>
        </w:rPr>
        <w:t xml:space="preserve">structure and content of Pt 12 compel that result. </w:t>
      </w:r>
      <w:r w:rsidR="00942276" w:rsidRPr="00D900FF">
        <w:rPr>
          <w:rFonts w:ascii="Times New Roman" w:hAnsi="Times New Roman"/>
        </w:rPr>
        <w:t>As</w:t>
      </w:r>
      <w:r w:rsidR="00432D2A" w:rsidRPr="00D900FF">
        <w:rPr>
          <w:rFonts w:ascii="Times New Roman" w:hAnsi="Times New Roman"/>
        </w:rPr>
        <w:t> </w:t>
      </w:r>
      <w:r w:rsidR="00912A7B" w:rsidRPr="00D900FF">
        <w:rPr>
          <w:rFonts w:ascii="Times New Roman" w:hAnsi="Times New Roman"/>
        </w:rPr>
        <w:t xml:space="preserve">Gageler J affirmed in </w:t>
      </w:r>
      <w:r w:rsidR="00912A7B" w:rsidRPr="00D900FF">
        <w:rPr>
          <w:rFonts w:ascii="Times New Roman" w:hAnsi="Times New Roman"/>
          <w:i/>
          <w:iCs/>
        </w:rPr>
        <w:t>Clubb v Edwards</w:t>
      </w:r>
      <w:r w:rsidR="00912A7B" w:rsidRPr="00D900FF">
        <w:rPr>
          <w:rFonts w:ascii="Times New Roman" w:hAnsi="Times New Roman"/>
        </w:rPr>
        <w:t>, "[c]</w:t>
      </w:r>
      <w:proofErr w:type="spellStart"/>
      <w:r w:rsidR="00912A7B" w:rsidRPr="00D900FF">
        <w:rPr>
          <w:rFonts w:ascii="Times New Roman" w:hAnsi="Times New Roman"/>
        </w:rPr>
        <w:t>omplexity</w:t>
      </w:r>
      <w:proofErr w:type="spellEnd"/>
      <w:r w:rsidR="00912A7B" w:rsidRPr="00D900FF">
        <w:rPr>
          <w:rFonts w:ascii="Times New Roman" w:hAnsi="Times New Roman"/>
        </w:rPr>
        <w:t xml:space="preserve"> can arise where severance might be effected in a variety of ways, the choice between which is argued to lie in the borderland between legislative and judicial power".</w:t>
      </w:r>
      <w:r w:rsidR="00670F63" w:rsidRPr="00D900FF">
        <w:rPr>
          <w:rStyle w:val="FootnoteReference"/>
          <w:rFonts w:ascii="Times New Roman" w:hAnsi="Times New Roman"/>
          <w:sz w:val="24"/>
        </w:rPr>
        <w:footnoteReference w:id="109"/>
      </w:r>
      <w:r w:rsidR="00F426FE" w:rsidRPr="00D900FF">
        <w:rPr>
          <w:rFonts w:ascii="Times New Roman" w:hAnsi="Times New Roman"/>
        </w:rPr>
        <w:t xml:space="preserve"> That is this case.</w:t>
      </w:r>
    </w:p>
    <w:p w14:paraId="78478BFA" w14:textId="7F8B8081" w:rsidR="000F514D" w:rsidRPr="00D900FF" w:rsidRDefault="000F5266" w:rsidP="00D900FF">
      <w:pPr>
        <w:pStyle w:val="HeadingL1"/>
        <w:spacing w:after="260" w:line="280" w:lineRule="exact"/>
        <w:ind w:right="0"/>
        <w:jc w:val="both"/>
        <w:rPr>
          <w:rFonts w:ascii="Times New Roman" w:hAnsi="Times New Roman"/>
        </w:rPr>
      </w:pPr>
      <w:r w:rsidRPr="00D900FF">
        <w:rPr>
          <w:rFonts w:ascii="Times New Roman" w:hAnsi="Times New Roman"/>
        </w:rPr>
        <w:t>Conclusion</w:t>
      </w:r>
    </w:p>
    <w:p w14:paraId="22C66B80" w14:textId="1D01EBCD" w:rsidR="000F5266" w:rsidRPr="00D900FF" w:rsidRDefault="000F5266" w:rsidP="00D900FF">
      <w:pPr>
        <w:pStyle w:val="FixListStyle"/>
        <w:spacing w:after="260" w:line="280" w:lineRule="exact"/>
        <w:ind w:right="0"/>
        <w:jc w:val="both"/>
        <w:rPr>
          <w:rFonts w:ascii="Times New Roman" w:hAnsi="Times New Roman"/>
        </w:rPr>
      </w:pPr>
      <w:r w:rsidRPr="00D900FF">
        <w:rPr>
          <w:rFonts w:ascii="Times New Roman" w:hAnsi="Times New Roman"/>
        </w:rPr>
        <w:tab/>
      </w:r>
      <w:r w:rsidR="00404755" w:rsidRPr="00D900FF">
        <w:rPr>
          <w:rFonts w:ascii="Times New Roman" w:hAnsi="Times New Roman"/>
        </w:rPr>
        <w:t xml:space="preserve">The plaintiffs are entitled </w:t>
      </w:r>
      <w:r w:rsidR="00A83DA6" w:rsidRPr="00D900FF">
        <w:rPr>
          <w:rFonts w:ascii="Times New Roman" w:hAnsi="Times New Roman"/>
        </w:rPr>
        <w:t>to</w:t>
      </w:r>
      <w:r w:rsidR="00404755" w:rsidRPr="00D900FF">
        <w:rPr>
          <w:rFonts w:ascii="Times New Roman" w:hAnsi="Times New Roman"/>
        </w:rPr>
        <w:t xml:space="preserve"> a declaration that Pt 12 of the </w:t>
      </w:r>
      <w:r w:rsidR="00404755" w:rsidRPr="00D900FF">
        <w:rPr>
          <w:rFonts w:ascii="Times New Roman" w:hAnsi="Times New Roman"/>
          <w:i/>
          <w:iCs/>
        </w:rPr>
        <w:t>Electoral Act</w:t>
      </w:r>
      <w:r w:rsidR="00404755" w:rsidRPr="00D900FF">
        <w:rPr>
          <w:rFonts w:ascii="Times New Roman" w:hAnsi="Times New Roman"/>
        </w:rPr>
        <w:t xml:space="preserve"> is invalid. </w:t>
      </w:r>
      <w:r w:rsidRPr="00D900FF">
        <w:rPr>
          <w:rFonts w:ascii="Times New Roman" w:hAnsi="Times New Roman"/>
        </w:rPr>
        <w:t xml:space="preserve">The </w:t>
      </w:r>
      <w:r w:rsidR="00EB1333" w:rsidRPr="00D900FF">
        <w:rPr>
          <w:rFonts w:ascii="Times New Roman" w:hAnsi="Times New Roman"/>
        </w:rPr>
        <w:t>questions of law stated for the opinion of the Full Court should be answered in the terms set out above.</w:t>
      </w:r>
    </w:p>
    <w:p w14:paraId="73959791" w14:textId="77777777" w:rsidR="00544492" w:rsidRPr="00D900FF" w:rsidRDefault="00544492" w:rsidP="00D900FF">
      <w:pPr>
        <w:tabs>
          <w:tab w:val="clear" w:pos="720"/>
          <w:tab w:val="clear" w:pos="1440"/>
          <w:tab w:val="clear" w:pos="2160"/>
          <w:tab w:val="clear" w:pos="2880"/>
          <w:tab w:val="clear" w:pos="3600"/>
          <w:tab w:val="clear" w:pos="4320"/>
          <w:tab w:val="clear" w:pos="5040"/>
          <w:tab w:val="clear" w:pos="5760"/>
          <w:tab w:val="clear" w:pos="6480"/>
          <w:tab w:val="clear" w:pos="7200"/>
        </w:tabs>
        <w:spacing w:after="260" w:line="280" w:lineRule="exact"/>
        <w:ind w:right="0" w:firstLine="0"/>
        <w:jc w:val="both"/>
        <w:rPr>
          <w:rFonts w:ascii="Times New Roman" w:hAnsi="Times New Roman"/>
          <w:b/>
          <w:bCs/>
          <w:u w:val="single"/>
        </w:rPr>
      </w:pPr>
      <w:r w:rsidRPr="00D900FF">
        <w:rPr>
          <w:rFonts w:ascii="Times New Roman" w:hAnsi="Times New Roman"/>
          <w:b/>
          <w:bCs/>
          <w:u w:val="single"/>
        </w:rPr>
        <w:br w:type="page"/>
      </w:r>
    </w:p>
    <w:p w14:paraId="74CEB81D" w14:textId="6B2E8AF4" w:rsidR="00981511" w:rsidRPr="00D900FF" w:rsidRDefault="00486DA5" w:rsidP="00EE0B8C">
      <w:pPr>
        <w:pStyle w:val="NormalBody"/>
        <w:spacing w:after="260" w:line="280" w:lineRule="exact"/>
        <w:ind w:right="0"/>
        <w:jc w:val="center"/>
        <w:rPr>
          <w:rFonts w:ascii="Times New Roman" w:hAnsi="Times New Roman"/>
          <w:b/>
          <w:bCs/>
          <w:u w:val="single"/>
        </w:rPr>
      </w:pPr>
      <w:r w:rsidRPr="00D900FF">
        <w:rPr>
          <w:rFonts w:ascii="Times New Roman" w:hAnsi="Times New Roman"/>
          <w:b/>
          <w:bCs/>
          <w:u w:val="single"/>
        </w:rPr>
        <w:lastRenderedPageBreak/>
        <w:t>ANNEXURE</w:t>
      </w:r>
    </w:p>
    <w:tbl>
      <w:tblPr>
        <w:tblStyle w:val="TableGrid"/>
        <w:tblW w:w="9498" w:type="dxa"/>
        <w:tblInd w:w="-572" w:type="dxa"/>
        <w:tblLook w:val="04A0" w:firstRow="1" w:lastRow="0" w:firstColumn="1" w:lastColumn="0" w:noHBand="0" w:noVBand="1"/>
      </w:tblPr>
      <w:tblGrid>
        <w:gridCol w:w="4678"/>
        <w:gridCol w:w="4820"/>
      </w:tblGrid>
      <w:tr w:rsidR="00090FC9" w:rsidRPr="009E07B6" w14:paraId="08D05598" w14:textId="77777777" w:rsidTr="008579A8">
        <w:trPr>
          <w:tblHeader/>
        </w:trPr>
        <w:tc>
          <w:tcPr>
            <w:tcW w:w="4678" w:type="dxa"/>
          </w:tcPr>
          <w:p w14:paraId="1E91A3E2" w14:textId="3DB1AB25" w:rsidR="00090FC9" w:rsidRPr="009E07B6" w:rsidRDefault="001E2072" w:rsidP="00D67CB5">
            <w:pPr>
              <w:pStyle w:val="NormalBody"/>
              <w:spacing w:after="260" w:line="280" w:lineRule="exact"/>
              <w:rPr>
                <w:rFonts w:ascii="Times New Roman" w:hAnsi="Times New Roman"/>
                <w:b/>
                <w:bCs/>
                <w:sz w:val="22"/>
                <w:szCs w:val="22"/>
              </w:rPr>
            </w:pPr>
            <w:r w:rsidRPr="009E07B6">
              <w:rPr>
                <w:rFonts w:ascii="Times New Roman" w:hAnsi="Times New Roman"/>
                <w:b/>
                <w:bCs/>
                <w:sz w:val="22"/>
                <w:szCs w:val="22"/>
              </w:rPr>
              <w:t>Provision</w:t>
            </w:r>
            <w:r w:rsidR="00D922E1" w:rsidRPr="009E07B6">
              <w:rPr>
                <w:rFonts w:ascii="Times New Roman" w:hAnsi="Times New Roman"/>
                <w:b/>
                <w:bCs/>
                <w:sz w:val="22"/>
                <w:szCs w:val="22"/>
              </w:rPr>
              <w:t xml:space="preserve"> of Pt 12 of the </w:t>
            </w:r>
            <w:r w:rsidR="00D922E1" w:rsidRPr="009E07B6">
              <w:rPr>
                <w:rFonts w:ascii="Times New Roman" w:hAnsi="Times New Roman"/>
                <w:b/>
                <w:bCs/>
                <w:i/>
                <w:iCs/>
                <w:sz w:val="22"/>
                <w:szCs w:val="22"/>
              </w:rPr>
              <w:t>Electoral Act</w:t>
            </w:r>
          </w:p>
        </w:tc>
        <w:tc>
          <w:tcPr>
            <w:tcW w:w="4820" w:type="dxa"/>
          </w:tcPr>
          <w:p w14:paraId="5448D2EB" w14:textId="33F71FEF" w:rsidR="00090FC9" w:rsidRPr="009E07B6" w:rsidRDefault="00090FC9" w:rsidP="00D67CB5">
            <w:pPr>
              <w:pStyle w:val="NormalBody"/>
              <w:spacing w:after="260" w:line="280" w:lineRule="exact"/>
              <w:rPr>
                <w:rFonts w:ascii="Times New Roman" w:hAnsi="Times New Roman"/>
                <w:b/>
                <w:bCs/>
                <w:sz w:val="22"/>
                <w:szCs w:val="22"/>
              </w:rPr>
            </w:pPr>
            <w:r w:rsidRPr="009E07B6">
              <w:rPr>
                <w:rFonts w:ascii="Times New Roman" w:hAnsi="Times New Roman"/>
                <w:b/>
                <w:bCs/>
                <w:sz w:val="22"/>
                <w:szCs w:val="22"/>
              </w:rPr>
              <w:t>Words</w:t>
            </w:r>
            <w:r w:rsidR="00944B37" w:rsidRPr="009E07B6">
              <w:rPr>
                <w:rFonts w:ascii="Times New Roman" w:hAnsi="Times New Roman"/>
                <w:b/>
                <w:bCs/>
                <w:sz w:val="22"/>
                <w:szCs w:val="22"/>
              </w:rPr>
              <w:t xml:space="preserve"> or aspects</w:t>
            </w:r>
            <w:r w:rsidRPr="009E07B6">
              <w:rPr>
                <w:rFonts w:ascii="Times New Roman" w:hAnsi="Times New Roman"/>
                <w:b/>
                <w:bCs/>
                <w:sz w:val="22"/>
                <w:szCs w:val="22"/>
              </w:rPr>
              <w:t xml:space="preserve"> to be severed</w:t>
            </w:r>
          </w:p>
        </w:tc>
      </w:tr>
      <w:tr w:rsidR="00C844E5" w:rsidRPr="009E07B6" w14:paraId="2DF46F60" w14:textId="77777777" w:rsidTr="008579A8">
        <w:tc>
          <w:tcPr>
            <w:tcW w:w="4678" w:type="dxa"/>
          </w:tcPr>
          <w:p w14:paraId="4AE2E6F2" w14:textId="11646C8A" w:rsidR="00C844E5" w:rsidRPr="00E41B91" w:rsidRDefault="00C844E5" w:rsidP="00D67CB5">
            <w:pPr>
              <w:pStyle w:val="NormalBody"/>
              <w:spacing w:after="260" w:line="280" w:lineRule="exact"/>
              <w:rPr>
                <w:rFonts w:ascii="Times New Roman" w:hAnsi="Times New Roman"/>
                <w:b/>
                <w:bCs/>
                <w:sz w:val="22"/>
                <w:szCs w:val="22"/>
              </w:rPr>
            </w:pPr>
            <w:r w:rsidRPr="00E41B91">
              <w:rPr>
                <w:rFonts w:ascii="Times New Roman" w:hAnsi="Times New Roman"/>
                <w:b/>
                <w:bCs/>
                <w:sz w:val="22"/>
                <w:szCs w:val="22"/>
              </w:rPr>
              <w:t>Division 1</w:t>
            </w:r>
            <w:r w:rsidR="00BA523D" w:rsidRPr="00E41B91">
              <w:rPr>
                <w:rFonts w:ascii="Times New Roman" w:hAnsi="Times New Roman"/>
                <w:b/>
                <w:bCs/>
                <w:sz w:val="22"/>
                <w:szCs w:val="22"/>
              </w:rPr>
              <w:t xml:space="preserve"> – </w:t>
            </w:r>
            <w:r w:rsidRPr="00E41B91">
              <w:rPr>
                <w:rFonts w:ascii="Times New Roman" w:hAnsi="Times New Roman"/>
                <w:b/>
                <w:bCs/>
                <w:sz w:val="22"/>
                <w:szCs w:val="22"/>
              </w:rPr>
              <w:t>Preliminary</w:t>
            </w:r>
          </w:p>
        </w:tc>
        <w:tc>
          <w:tcPr>
            <w:tcW w:w="4820" w:type="dxa"/>
          </w:tcPr>
          <w:p w14:paraId="7DC29C55" w14:textId="77777777" w:rsidR="00C844E5" w:rsidRPr="009E07B6" w:rsidRDefault="00C844E5" w:rsidP="00D67CB5">
            <w:pPr>
              <w:pStyle w:val="NormalBody"/>
              <w:spacing w:after="260" w:line="280" w:lineRule="exact"/>
              <w:rPr>
                <w:rFonts w:ascii="Times New Roman" w:hAnsi="Times New Roman"/>
                <w:sz w:val="22"/>
                <w:szCs w:val="22"/>
              </w:rPr>
            </w:pPr>
          </w:p>
        </w:tc>
      </w:tr>
      <w:tr w:rsidR="00090FC9" w:rsidRPr="009E07B6" w14:paraId="07A7B473" w14:textId="77777777" w:rsidTr="008579A8">
        <w:tc>
          <w:tcPr>
            <w:tcW w:w="4678" w:type="dxa"/>
          </w:tcPr>
          <w:p w14:paraId="3B7061FD" w14:textId="7F78DB16" w:rsidR="00090FC9" w:rsidRPr="009E07B6" w:rsidRDefault="00770FB3"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w:t>
            </w:r>
            <w:r w:rsidR="00090FC9" w:rsidRPr="009E07B6">
              <w:rPr>
                <w:rFonts w:ascii="Times New Roman" w:hAnsi="Times New Roman"/>
                <w:sz w:val="22"/>
                <w:szCs w:val="22"/>
              </w:rPr>
              <w:t>206</w:t>
            </w:r>
            <w:r w:rsidR="001E2CAF" w:rsidRPr="009E07B6">
              <w:rPr>
                <w:rFonts w:ascii="Times New Roman" w:hAnsi="Times New Roman"/>
                <w:sz w:val="22"/>
                <w:szCs w:val="22"/>
              </w:rPr>
              <w:t>(1)</w:t>
            </w:r>
            <w:r w:rsidR="008312E0" w:rsidRPr="009E07B6">
              <w:rPr>
                <w:rFonts w:ascii="Times New Roman" w:hAnsi="Times New Roman"/>
                <w:sz w:val="22"/>
                <w:szCs w:val="22"/>
              </w:rPr>
              <w:t xml:space="preserve"> definition of "associated entity"</w:t>
            </w:r>
          </w:p>
        </w:tc>
        <w:tc>
          <w:tcPr>
            <w:tcW w:w="4820" w:type="dxa"/>
          </w:tcPr>
          <w:p w14:paraId="616C0279" w14:textId="14CB285B" w:rsidR="00090FC9" w:rsidRPr="009E07B6" w:rsidRDefault="00AA480C"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 xml:space="preserve">"but does not include a nominated entity of a </w:t>
            </w:r>
            <w:r w:rsidR="00153527" w:rsidRPr="009E07B6">
              <w:rPr>
                <w:rFonts w:ascii="Times New Roman" w:hAnsi="Times New Roman"/>
                <w:sz w:val="22"/>
                <w:szCs w:val="22"/>
              </w:rPr>
              <w:t>registered political party</w:t>
            </w:r>
            <w:r w:rsidRPr="009E07B6">
              <w:rPr>
                <w:rFonts w:ascii="Times New Roman" w:hAnsi="Times New Roman"/>
                <w:sz w:val="22"/>
                <w:szCs w:val="22"/>
              </w:rPr>
              <w:t>"</w:t>
            </w:r>
          </w:p>
        </w:tc>
      </w:tr>
      <w:tr w:rsidR="001C2838" w:rsidRPr="009E07B6" w14:paraId="2ECAE17A" w14:textId="77777777" w:rsidTr="008579A8">
        <w:tc>
          <w:tcPr>
            <w:tcW w:w="4678" w:type="dxa"/>
          </w:tcPr>
          <w:p w14:paraId="51C8C556" w14:textId="03A9D6D5" w:rsidR="001C2838" w:rsidRPr="009E07B6" w:rsidRDefault="00AA480C"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206</w:t>
            </w:r>
            <w:r w:rsidR="007D23CC" w:rsidRPr="009E07B6">
              <w:rPr>
                <w:rFonts w:ascii="Times New Roman" w:hAnsi="Times New Roman"/>
                <w:sz w:val="22"/>
                <w:szCs w:val="22"/>
              </w:rPr>
              <w:t>(1)</w:t>
            </w:r>
            <w:r w:rsidRPr="009E07B6">
              <w:rPr>
                <w:rFonts w:ascii="Times New Roman" w:hAnsi="Times New Roman"/>
                <w:sz w:val="22"/>
                <w:szCs w:val="22"/>
              </w:rPr>
              <w:t xml:space="preserve"> definition of "gift"</w:t>
            </w:r>
          </w:p>
        </w:tc>
        <w:tc>
          <w:tcPr>
            <w:tcW w:w="4820" w:type="dxa"/>
          </w:tcPr>
          <w:p w14:paraId="1E474265" w14:textId="4E30AC58" w:rsidR="001C2838" w:rsidRPr="009E07B6" w:rsidRDefault="00F34E89"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Paragraph</w:t>
            </w:r>
            <w:r w:rsidR="005965DB" w:rsidRPr="009E07B6">
              <w:rPr>
                <w:rFonts w:ascii="Times New Roman" w:hAnsi="Times New Roman"/>
                <w:sz w:val="22"/>
                <w:szCs w:val="22"/>
              </w:rPr>
              <w:t xml:space="preserve"> (j)</w:t>
            </w:r>
          </w:p>
        </w:tc>
      </w:tr>
      <w:tr w:rsidR="005965DB" w:rsidRPr="009E07B6" w14:paraId="55F5EFC4" w14:textId="77777777" w:rsidTr="008579A8">
        <w:tc>
          <w:tcPr>
            <w:tcW w:w="4678" w:type="dxa"/>
          </w:tcPr>
          <w:p w14:paraId="26D1D5A4" w14:textId="2698073C" w:rsidR="005965DB" w:rsidRPr="009E07B6" w:rsidRDefault="008F1E40"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206</w:t>
            </w:r>
            <w:r w:rsidR="007D23CC" w:rsidRPr="009E07B6">
              <w:rPr>
                <w:rFonts w:ascii="Times New Roman" w:hAnsi="Times New Roman"/>
                <w:sz w:val="22"/>
                <w:szCs w:val="22"/>
              </w:rPr>
              <w:t>(1)</w:t>
            </w:r>
            <w:r w:rsidRPr="009E07B6">
              <w:rPr>
                <w:rFonts w:ascii="Times New Roman" w:hAnsi="Times New Roman"/>
                <w:sz w:val="22"/>
                <w:szCs w:val="22"/>
              </w:rPr>
              <w:t xml:space="preserve"> definition of "nominated entity"</w:t>
            </w:r>
          </w:p>
        </w:tc>
        <w:tc>
          <w:tcPr>
            <w:tcW w:w="4820" w:type="dxa"/>
          </w:tcPr>
          <w:p w14:paraId="5AFDCEDE" w14:textId="58AD8756" w:rsidR="005965DB" w:rsidRPr="009E07B6" w:rsidRDefault="001A7728"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Whole definition</w:t>
            </w:r>
          </w:p>
        </w:tc>
      </w:tr>
      <w:tr w:rsidR="001A7728" w:rsidRPr="009E07B6" w14:paraId="5A9F1234" w14:textId="77777777" w:rsidTr="008579A8">
        <w:tc>
          <w:tcPr>
            <w:tcW w:w="4678" w:type="dxa"/>
          </w:tcPr>
          <w:p w14:paraId="251B41A8" w14:textId="5A4F76C4" w:rsidR="001A7728" w:rsidRPr="009E07B6" w:rsidRDefault="00740649"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206</w:t>
            </w:r>
            <w:r w:rsidR="007D23CC" w:rsidRPr="009E07B6">
              <w:rPr>
                <w:rFonts w:ascii="Times New Roman" w:hAnsi="Times New Roman"/>
                <w:sz w:val="22"/>
                <w:szCs w:val="22"/>
              </w:rPr>
              <w:t>(1)</w:t>
            </w:r>
            <w:r w:rsidRPr="009E07B6">
              <w:rPr>
                <w:rFonts w:ascii="Times New Roman" w:hAnsi="Times New Roman"/>
                <w:sz w:val="22"/>
                <w:szCs w:val="22"/>
              </w:rPr>
              <w:t xml:space="preserve"> definition of "political donation"</w:t>
            </w:r>
          </w:p>
        </w:tc>
        <w:tc>
          <w:tcPr>
            <w:tcW w:w="4820" w:type="dxa"/>
          </w:tcPr>
          <w:p w14:paraId="21B29230" w14:textId="47000F3D" w:rsidR="001A7728" w:rsidRPr="009E07B6" w:rsidRDefault="00F6294A"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Paragraph</w:t>
            </w:r>
            <w:r w:rsidR="00E97417" w:rsidRPr="009E07B6">
              <w:rPr>
                <w:rFonts w:ascii="Times New Roman" w:hAnsi="Times New Roman"/>
                <w:sz w:val="22"/>
                <w:szCs w:val="22"/>
              </w:rPr>
              <w:t xml:space="preserve"> (g)</w:t>
            </w:r>
          </w:p>
        </w:tc>
      </w:tr>
      <w:tr w:rsidR="00E97417" w:rsidRPr="009E07B6" w14:paraId="6646CFBF" w14:textId="77777777" w:rsidTr="008579A8">
        <w:tc>
          <w:tcPr>
            <w:tcW w:w="4678" w:type="dxa"/>
          </w:tcPr>
          <w:p w14:paraId="414C6FCA" w14:textId="68870E32" w:rsidR="00E97417" w:rsidRPr="009E07B6" w:rsidRDefault="006D04EA"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206</w:t>
            </w:r>
            <w:r w:rsidR="007D23CC" w:rsidRPr="009E07B6">
              <w:rPr>
                <w:rFonts w:ascii="Times New Roman" w:hAnsi="Times New Roman"/>
                <w:sz w:val="22"/>
                <w:szCs w:val="22"/>
              </w:rPr>
              <w:t>(1)</w:t>
            </w:r>
            <w:r w:rsidRPr="009E07B6">
              <w:rPr>
                <w:rFonts w:ascii="Times New Roman" w:hAnsi="Times New Roman"/>
                <w:sz w:val="22"/>
                <w:szCs w:val="22"/>
              </w:rPr>
              <w:t xml:space="preserve"> definition of "Register of Nominated Entities"</w:t>
            </w:r>
          </w:p>
        </w:tc>
        <w:tc>
          <w:tcPr>
            <w:tcW w:w="4820" w:type="dxa"/>
          </w:tcPr>
          <w:p w14:paraId="2C697F56" w14:textId="6EB62AC9" w:rsidR="00E97417" w:rsidRPr="009E07B6" w:rsidRDefault="006D04EA"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Whole definition</w:t>
            </w:r>
          </w:p>
        </w:tc>
      </w:tr>
      <w:tr w:rsidR="006D04EA" w:rsidRPr="009E07B6" w14:paraId="14232419" w14:textId="77777777" w:rsidTr="008579A8">
        <w:tc>
          <w:tcPr>
            <w:tcW w:w="4678" w:type="dxa"/>
          </w:tcPr>
          <w:p w14:paraId="411F80AC" w14:textId="1BCD4079" w:rsidR="006D04EA" w:rsidRPr="009E07B6" w:rsidRDefault="00C2414A"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206(1) definition of "</w:t>
            </w:r>
            <w:r w:rsidR="00DF7488" w:rsidRPr="009E07B6">
              <w:rPr>
                <w:rFonts w:ascii="Times New Roman" w:hAnsi="Times New Roman"/>
                <w:sz w:val="22"/>
                <w:szCs w:val="22"/>
              </w:rPr>
              <w:t>r</w:t>
            </w:r>
            <w:r w:rsidRPr="009E07B6">
              <w:rPr>
                <w:rFonts w:ascii="Times New Roman" w:hAnsi="Times New Roman"/>
                <w:sz w:val="22"/>
                <w:szCs w:val="22"/>
              </w:rPr>
              <w:t>egister</w:t>
            </w:r>
            <w:r w:rsidR="00DF7488" w:rsidRPr="009E07B6">
              <w:rPr>
                <w:rFonts w:ascii="Times New Roman" w:hAnsi="Times New Roman"/>
                <w:sz w:val="22"/>
                <w:szCs w:val="22"/>
              </w:rPr>
              <w:t>ed agent</w:t>
            </w:r>
            <w:r w:rsidRPr="009E07B6">
              <w:rPr>
                <w:rFonts w:ascii="Times New Roman" w:hAnsi="Times New Roman"/>
                <w:sz w:val="22"/>
                <w:szCs w:val="22"/>
              </w:rPr>
              <w:t>"</w:t>
            </w:r>
          </w:p>
        </w:tc>
        <w:tc>
          <w:tcPr>
            <w:tcW w:w="4820" w:type="dxa"/>
          </w:tcPr>
          <w:p w14:paraId="70980C77" w14:textId="7E3D8F8E" w:rsidR="006D04EA" w:rsidRPr="009E07B6" w:rsidRDefault="00C443A0"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"a nominated entity</w:t>
            </w:r>
            <w:r w:rsidR="007479B3" w:rsidRPr="009E07B6">
              <w:rPr>
                <w:rFonts w:ascii="Times New Roman" w:hAnsi="Times New Roman"/>
                <w:sz w:val="22"/>
                <w:szCs w:val="22"/>
              </w:rPr>
              <w:t>,</w:t>
            </w:r>
            <w:r w:rsidR="00897ECA" w:rsidRPr="009E07B6">
              <w:rPr>
                <w:rFonts w:ascii="Times New Roman" w:hAnsi="Times New Roman"/>
                <w:sz w:val="22"/>
                <w:szCs w:val="22"/>
              </w:rPr>
              <w:t>"</w:t>
            </w:r>
            <w:r w:rsidRPr="009E07B6">
              <w:rPr>
                <w:rFonts w:ascii="Times New Roman" w:hAnsi="Times New Roman"/>
                <w:sz w:val="22"/>
                <w:szCs w:val="22"/>
              </w:rPr>
              <w:t xml:space="preserve"> in </w:t>
            </w:r>
            <w:r w:rsidR="00D46B85" w:rsidRPr="009E07B6">
              <w:rPr>
                <w:rFonts w:ascii="Times New Roman" w:hAnsi="Times New Roman"/>
                <w:sz w:val="22"/>
                <w:szCs w:val="22"/>
              </w:rPr>
              <w:t>pa</w:t>
            </w:r>
            <w:r w:rsidR="00695CEB" w:rsidRPr="009E07B6">
              <w:rPr>
                <w:rFonts w:ascii="Times New Roman" w:hAnsi="Times New Roman"/>
                <w:sz w:val="22"/>
                <w:szCs w:val="22"/>
              </w:rPr>
              <w:t>ra</w:t>
            </w:r>
            <w:r w:rsidRPr="009E07B6">
              <w:rPr>
                <w:rFonts w:ascii="Times New Roman" w:hAnsi="Times New Roman"/>
                <w:sz w:val="22"/>
                <w:szCs w:val="22"/>
              </w:rPr>
              <w:t xml:space="preserve"> (b)</w:t>
            </w:r>
          </w:p>
        </w:tc>
      </w:tr>
      <w:tr w:rsidR="00C443A0" w:rsidRPr="009E07B6" w14:paraId="2030AB55" w14:textId="77777777" w:rsidTr="008579A8">
        <w:tc>
          <w:tcPr>
            <w:tcW w:w="4678" w:type="dxa"/>
          </w:tcPr>
          <w:p w14:paraId="4D9C919F" w14:textId="237FB9A7" w:rsidR="00C443A0" w:rsidRPr="009E07B6" w:rsidRDefault="00554CBE"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206(1) definition of "third party campaigner"</w:t>
            </w:r>
          </w:p>
        </w:tc>
        <w:tc>
          <w:tcPr>
            <w:tcW w:w="4820" w:type="dxa"/>
          </w:tcPr>
          <w:p w14:paraId="0A8B61B9" w14:textId="369BA340" w:rsidR="00C443A0" w:rsidRPr="009E07B6" w:rsidRDefault="0036272E"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Paragraph</w:t>
            </w:r>
            <w:r w:rsidR="00E379A3" w:rsidRPr="009E07B6">
              <w:rPr>
                <w:rFonts w:ascii="Times New Roman" w:hAnsi="Times New Roman"/>
                <w:sz w:val="22"/>
                <w:szCs w:val="22"/>
              </w:rPr>
              <w:t xml:space="preserve"> (f)</w:t>
            </w:r>
          </w:p>
        </w:tc>
      </w:tr>
      <w:tr w:rsidR="008B4041" w:rsidRPr="009E07B6" w14:paraId="390B3456" w14:textId="77777777" w:rsidTr="008579A8">
        <w:tc>
          <w:tcPr>
            <w:tcW w:w="4678" w:type="dxa"/>
          </w:tcPr>
          <w:p w14:paraId="4878358E" w14:textId="2E40922D" w:rsidR="008B4041" w:rsidRPr="00E41B91" w:rsidRDefault="00075597" w:rsidP="00D67CB5">
            <w:pPr>
              <w:pStyle w:val="NormalBody"/>
              <w:spacing w:after="260" w:line="280" w:lineRule="exact"/>
              <w:rPr>
                <w:rFonts w:ascii="Times New Roman" w:hAnsi="Times New Roman"/>
                <w:b/>
                <w:bCs/>
                <w:sz w:val="22"/>
                <w:szCs w:val="22"/>
              </w:rPr>
            </w:pPr>
            <w:r w:rsidRPr="00E41B91">
              <w:rPr>
                <w:rFonts w:ascii="Times New Roman" w:hAnsi="Times New Roman"/>
                <w:b/>
                <w:bCs/>
                <w:sz w:val="22"/>
                <w:szCs w:val="22"/>
              </w:rPr>
              <w:t>Division</w:t>
            </w:r>
            <w:r w:rsidR="008B4041" w:rsidRPr="00E41B91">
              <w:rPr>
                <w:rFonts w:ascii="Times New Roman" w:hAnsi="Times New Roman"/>
                <w:b/>
                <w:bCs/>
                <w:sz w:val="22"/>
                <w:szCs w:val="22"/>
              </w:rPr>
              <w:t xml:space="preserve"> 1A</w:t>
            </w:r>
            <w:r w:rsidR="007A1852" w:rsidRPr="00E41B91">
              <w:rPr>
                <w:rFonts w:ascii="Times New Roman" w:hAnsi="Times New Roman"/>
                <w:b/>
                <w:bCs/>
                <w:sz w:val="22"/>
                <w:szCs w:val="22"/>
              </w:rPr>
              <w:t xml:space="preserve"> – </w:t>
            </w:r>
            <w:r w:rsidR="008B4041" w:rsidRPr="00E41B91">
              <w:rPr>
                <w:rFonts w:ascii="Times New Roman" w:hAnsi="Times New Roman"/>
                <w:b/>
                <w:bCs/>
                <w:sz w:val="22"/>
                <w:szCs w:val="22"/>
              </w:rPr>
              <w:t>Register of Agents</w:t>
            </w:r>
          </w:p>
        </w:tc>
        <w:tc>
          <w:tcPr>
            <w:tcW w:w="4820" w:type="dxa"/>
          </w:tcPr>
          <w:p w14:paraId="46AB69EB" w14:textId="77777777" w:rsidR="008B4041" w:rsidRPr="009E07B6" w:rsidRDefault="008B4041" w:rsidP="00D67CB5">
            <w:pPr>
              <w:pStyle w:val="NormalBody"/>
              <w:spacing w:after="260" w:line="280" w:lineRule="exact"/>
              <w:rPr>
                <w:rFonts w:ascii="Times New Roman" w:hAnsi="Times New Roman"/>
                <w:sz w:val="22"/>
                <w:szCs w:val="22"/>
              </w:rPr>
            </w:pPr>
          </w:p>
        </w:tc>
      </w:tr>
      <w:tr w:rsidR="00CD13F8" w:rsidRPr="009E07B6" w14:paraId="37F916D3" w14:textId="77777777" w:rsidTr="008579A8">
        <w:tc>
          <w:tcPr>
            <w:tcW w:w="4678" w:type="dxa"/>
          </w:tcPr>
          <w:p w14:paraId="1A10724D" w14:textId="6F391DFA" w:rsidR="00CD13F8" w:rsidRPr="009E07B6" w:rsidRDefault="00CD13F8"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207C</w:t>
            </w:r>
          </w:p>
        </w:tc>
        <w:tc>
          <w:tcPr>
            <w:tcW w:w="4820" w:type="dxa"/>
          </w:tcPr>
          <w:p w14:paraId="03FDBAEF" w14:textId="6986C0CA" w:rsidR="00CD13F8" w:rsidRPr="009E07B6" w:rsidRDefault="00CD13F8"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"or nominated entity" in the heading</w:t>
            </w:r>
          </w:p>
        </w:tc>
      </w:tr>
      <w:tr w:rsidR="00090FC9" w:rsidRPr="009E07B6" w14:paraId="2E4184F0" w14:textId="77777777" w:rsidTr="008579A8">
        <w:tc>
          <w:tcPr>
            <w:tcW w:w="4678" w:type="dxa"/>
          </w:tcPr>
          <w:p w14:paraId="47C2671C" w14:textId="00EDEB0A" w:rsidR="00090FC9" w:rsidRPr="009E07B6" w:rsidRDefault="00770FB3"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w:t>
            </w:r>
            <w:r w:rsidR="00DA3F86" w:rsidRPr="009E07B6">
              <w:rPr>
                <w:rFonts w:ascii="Times New Roman" w:hAnsi="Times New Roman"/>
                <w:sz w:val="22"/>
                <w:szCs w:val="22"/>
              </w:rPr>
              <w:t>207C</w:t>
            </w:r>
            <w:r w:rsidR="00CD13F8" w:rsidRPr="009E07B6">
              <w:rPr>
                <w:rFonts w:ascii="Times New Roman" w:hAnsi="Times New Roman"/>
                <w:sz w:val="22"/>
                <w:szCs w:val="22"/>
              </w:rPr>
              <w:t>(5)</w:t>
            </w:r>
          </w:p>
        </w:tc>
        <w:tc>
          <w:tcPr>
            <w:tcW w:w="4820" w:type="dxa"/>
          </w:tcPr>
          <w:p w14:paraId="07FA7404" w14:textId="520A2F8E" w:rsidR="00090FC9" w:rsidRPr="009E07B6" w:rsidRDefault="00A81FE6"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Whole s</w:t>
            </w:r>
            <w:r w:rsidR="00CD13F8" w:rsidRPr="009E07B6">
              <w:rPr>
                <w:rFonts w:ascii="Times New Roman" w:hAnsi="Times New Roman"/>
                <w:sz w:val="22"/>
                <w:szCs w:val="22"/>
              </w:rPr>
              <w:t>ub-section</w:t>
            </w:r>
          </w:p>
        </w:tc>
      </w:tr>
      <w:tr w:rsidR="00075597" w:rsidRPr="009E07B6" w14:paraId="4D03F774" w14:textId="77777777" w:rsidTr="008579A8">
        <w:tc>
          <w:tcPr>
            <w:tcW w:w="4678" w:type="dxa"/>
          </w:tcPr>
          <w:p w14:paraId="05BF089A" w14:textId="4EE1CB36" w:rsidR="00075597" w:rsidRPr="00E41B91" w:rsidRDefault="00075597" w:rsidP="00D67CB5">
            <w:pPr>
              <w:pStyle w:val="NormalBody"/>
              <w:spacing w:after="260" w:line="280" w:lineRule="exact"/>
              <w:rPr>
                <w:rFonts w:ascii="Times New Roman" w:hAnsi="Times New Roman"/>
                <w:b/>
                <w:bCs/>
                <w:sz w:val="22"/>
                <w:szCs w:val="22"/>
              </w:rPr>
            </w:pPr>
            <w:r w:rsidRPr="00E41B91">
              <w:rPr>
                <w:rFonts w:ascii="Times New Roman" w:hAnsi="Times New Roman"/>
                <w:b/>
                <w:bCs/>
                <w:sz w:val="22"/>
                <w:szCs w:val="22"/>
              </w:rPr>
              <w:t>Division 1B</w:t>
            </w:r>
            <w:r w:rsidR="00E722E2" w:rsidRPr="00E41B91">
              <w:rPr>
                <w:rFonts w:ascii="Times New Roman" w:hAnsi="Times New Roman"/>
                <w:b/>
                <w:bCs/>
                <w:sz w:val="22"/>
                <w:szCs w:val="22"/>
              </w:rPr>
              <w:t xml:space="preserve"> – </w:t>
            </w:r>
            <w:r w:rsidRPr="00E41B91">
              <w:rPr>
                <w:rFonts w:ascii="Times New Roman" w:hAnsi="Times New Roman"/>
                <w:b/>
                <w:bCs/>
                <w:sz w:val="22"/>
                <w:szCs w:val="22"/>
              </w:rPr>
              <w:t>State campaign account</w:t>
            </w:r>
          </w:p>
        </w:tc>
        <w:tc>
          <w:tcPr>
            <w:tcW w:w="4820" w:type="dxa"/>
          </w:tcPr>
          <w:p w14:paraId="0CB9BFE9" w14:textId="77777777" w:rsidR="00075597" w:rsidRPr="009E07B6" w:rsidRDefault="00075597" w:rsidP="00D67CB5">
            <w:pPr>
              <w:pStyle w:val="NormalBody"/>
              <w:spacing w:after="260" w:line="280" w:lineRule="exact"/>
              <w:rPr>
                <w:rFonts w:ascii="Times New Roman" w:hAnsi="Times New Roman"/>
                <w:sz w:val="22"/>
                <w:szCs w:val="22"/>
              </w:rPr>
            </w:pPr>
          </w:p>
        </w:tc>
      </w:tr>
      <w:tr w:rsidR="00090FC9" w:rsidRPr="009E07B6" w14:paraId="0A700664" w14:textId="77777777" w:rsidTr="008579A8">
        <w:tc>
          <w:tcPr>
            <w:tcW w:w="4678" w:type="dxa"/>
          </w:tcPr>
          <w:p w14:paraId="2295A99B" w14:textId="16540A49" w:rsidR="00090FC9" w:rsidRPr="009E07B6" w:rsidRDefault="00770FB3"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w:t>
            </w:r>
            <w:r w:rsidR="00F1366A" w:rsidRPr="009E07B6">
              <w:rPr>
                <w:rFonts w:ascii="Times New Roman" w:hAnsi="Times New Roman"/>
                <w:sz w:val="22"/>
                <w:szCs w:val="22"/>
              </w:rPr>
              <w:t>207F</w:t>
            </w:r>
            <w:r w:rsidR="001A7869" w:rsidRPr="009E07B6">
              <w:rPr>
                <w:rFonts w:ascii="Times New Roman" w:hAnsi="Times New Roman"/>
                <w:sz w:val="22"/>
                <w:szCs w:val="22"/>
              </w:rPr>
              <w:t>(1), (2), (3)</w:t>
            </w:r>
            <w:r w:rsidRPr="009E07B6">
              <w:rPr>
                <w:rFonts w:ascii="Times New Roman" w:hAnsi="Times New Roman"/>
                <w:sz w:val="22"/>
                <w:szCs w:val="22"/>
              </w:rPr>
              <w:t xml:space="preserve"> </w:t>
            </w:r>
            <w:r w:rsidR="001A7869" w:rsidRPr="009E07B6">
              <w:rPr>
                <w:rFonts w:ascii="Times New Roman" w:hAnsi="Times New Roman"/>
                <w:sz w:val="22"/>
                <w:szCs w:val="22"/>
              </w:rPr>
              <w:t xml:space="preserve">and </w:t>
            </w:r>
            <w:r w:rsidRPr="009E07B6">
              <w:rPr>
                <w:rFonts w:ascii="Times New Roman" w:hAnsi="Times New Roman"/>
                <w:sz w:val="22"/>
                <w:szCs w:val="22"/>
              </w:rPr>
              <w:t>(6)</w:t>
            </w:r>
          </w:p>
        </w:tc>
        <w:tc>
          <w:tcPr>
            <w:tcW w:w="4820" w:type="dxa"/>
          </w:tcPr>
          <w:p w14:paraId="62985E8C" w14:textId="17D571A2" w:rsidR="00090FC9" w:rsidRPr="009E07B6" w:rsidRDefault="00705041"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CB1F2C" w:rsidRPr="009E07B6">
              <w:rPr>
                <w:rFonts w:ascii="Times New Roman" w:hAnsi="Times New Roman"/>
                <w:sz w:val="22"/>
                <w:szCs w:val="22"/>
              </w:rPr>
              <w:t>,</w:t>
            </w:r>
            <w:r w:rsidR="00897ECA" w:rsidRPr="009E07B6">
              <w:rPr>
                <w:rFonts w:ascii="Times New Roman" w:hAnsi="Times New Roman"/>
                <w:sz w:val="22"/>
                <w:szCs w:val="22"/>
              </w:rPr>
              <w:t>"</w:t>
            </w:r>
            <w:r w:rsidRPr="009E07B6">
              <w:rPr>
                <w:rFonts w:ascii="Times New Roman" w:hAnsi="Times New Roman"/>
                <w:sz w:val="22"/>
                <w:szCs w:val="22"/>
              </w:rPr>
              <w:t xml:space="preserve"> wherever </w:t>
            </w:r>
            <w:r w:rsidR="001A7869" w:rsidRPr="009E07B6">
              <w:rPr>
                <w:rFonts w:ascii="Times New Roman" w:hAnsi="Times New Roman"/>
                <w:sz w:val="22"/>
                <w:szCs w:val="22"/>
              </w:rPr>
              <w:t>appearing</w:t>
            </w:r>
          </w:p>
        </w:tc>
      </w:tr>
      <w:tr w:rsidR="00166B90" w:rsidRPr="009E07B6" w14:paraId="3C03C45F" w14:textId="77777777" w:rsidTr="008579A8">
        <w:tc>
          <w:tcPr>
            <w:tcW w:w="4678" w:type="dxa"/>
          </w:tcPr>
          <w:p w14:paraId="65360672" w14:textId="08DA17DB" w:rsidR="00166B90" w:rsidRPr="00E41B91" w:rsidRDefault="00166B90" w:rsidP="00D67CB5">
            <w:pPr>
              <w:pStyle w:val="NormalBody"/>
              <w:spacing w:after="260" w:line="280" w:lineRule="exact"/>
              <w:rPr>
                <w:rFonts w:ascii="Times New Roman" w:hAnsi="Times New Roman"/>
                <w:b/>
                <w:bCs/>
                <w:sz w:val="22"/>
                <w:szCs w:val="22"/>
              </w:rPr>
            </w:pPr>
            <w:r w:rsidRPr="00E41B91">
              <w:rPr>
                <w:rFonts w:ascii="Times New Roman" w:hAnsi="Times New Roman"/>
                <w:b/>
                <w:bCs/>
                <w:sz w:val="22"/>
                <w:szCs w:val="22"/>
              </w:rPr>
              <w:t>Division 3</w:t>
            </w:r>
            <w:r w:rsidR="0065739C" w:rsidRPr="00E41B91">
              <w:rPr>
                <w:rFonts w:ascii="Times New Roman" w:hAnsi="Times New Roman"/>
                <w:b/>
                <w:bCs/>
                <w:sz w:val="22"/>
                <w:szCs w:val="22"/>
              </w:rPr>
              <w:t xml:space="preserve"> – </w:t>
            </w:r>
            <w:r w:rsidRPr="00E41B91">
              <w:rPr>
                <w:rFonts w:ascii="Times New Roman" w:hAnsi="Times New Roman"/>
                <w:b/>
                <w:bCs/>
                <w:sz w:val="22"/>
                <w:szCs w:val="22"/>
              </w:rPr>
              <w:t>Disclosure of political donations</w:t>
            </w:r>
          </w:p>
        </w:tc>
        <w:tc>
          <w:tcPr>
            <w:tcW w:w="4820" w:type="dxa"/>
          </w:tcPr>
          <w:p w14:paraId="64A228CA" w14:textId="77777777" w:rsidR="00166B90" w:rsidRPr="009E07B6" w:rsidRDefault="00166B90" w:rsidP="00D67CB5">
            <w:pPr>
              <w:pStyle w:val="NormalBody"/>
              <w:spacing w:after="260" w:line="280" w:lineRule="exact"/>
              <w:rPr>
                <w:rFonts w:ascii="Times New Roman" w:hAnsi="Times New Roman"/>
                <w:sz w:val="22"/>
                <w:szCs w:val="22"/>
              </w:rPr>
            </w:pPr>
          </w:p>
        </w:tc>
      </w:tr>
      <w:tr w:rsidR="00090FC9" w:rsidRPr="009E07B6" w14:paraId="0E42D8BB" w14:textId="77777777" w:rsidTr="008579A8">
        <w:tc>
          <w:tcPr>
            <w:tcW w:w="4678" w:type="dxa"/>
          </w:tcPr>
          <w:p w14:paraId="06B1E287" w14:textId="2B3EBFB2" w:rsidR="00090FC9" w:rsidRPr="009E07B6" w:rsidRDefault="00770FB3"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216(2), (3), (5)(d</w:t>
            </w:r>
            <w:r w:rsidR="00897ECA" w:rsidRPr="009E07B6">
              <w:rPr>
                <w:rFonts w:ascii="Times New Roman" w:hAnsi="Times New Roman"/>
                <w:sz w:val="22"/>
                <w:szCs w:val="22"/>
              </w:rPr>
              <w:t>)</w:t>
            </w:r>
            <w:r w:rsidR="00B317C0" w:rsidRPr="009E07B6">
              <w:rPr>
                <w:rFonts w:ascii="Times New Roman" w:hAnsi="Times New Roman"/>
                <w:sz w:val="22"/>
                <w:szCs w:val="22"/>
              </w:rPr>
              <w:t xml:space="preserve"> and </w:t>
            </w:r>
            <w:r w:rsidR="002A02F2" w:rsidRPr="009E07B6">
              <w:rPr>
                <w:rFonts w:ascii="Times New Roman" w:hAnsi="Times New Roman"/>
                <w:sz w:val="22"/>
                <w:szCs w:val="22"/>
              </w:rPr>
              <w:t>(7)</w:t>
            </w:r>
          </w:p>
        </w:tc>
        <w:tc>
          <w:tcPr>
            <w:tcW w:w="4820" w:type="dxa"/>
          </w:tcPr>
          <w:p w14:paraId="714C115C" w14:textId="7063A614" w:rsidR="00090FC9" w:rsidRPr="009E07B6" w:rsidRDefault="00770FB3"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D42F8D" w:rsidRPr="009E07B6">
              <w:rPr>
                <w:rFonts w:ascii="Times New Roman" w:hAnsi="Times New Roman"/>
                <w:sz w:val="22"/>
                <w:szCs w:val="22"/>
              </w:rPr>
              <w:t>,</w:t>
            </w:r>
            <w:r w:rsidR="00EE6C92" w:rsidRPr="009E07B6">
              <w:rPr>
                <w:rFonts w:ascii="Times New Roman" w:hAnsi="Times New Roman"/>
                <w:sz w:val="22"/>
                <w:szCs w:val="22"/>
              </w:rPr>
              <w:t>"</w:t>
            </w:r>
            <w:r w:rsidR="003C0700" w:rsidRPr="009E07B6">
              <w:rPr>
                <w:rFonts w:ascii="Times New Roman" w:hAnsi="Times New Roman"/>
                <w:sz w:val="22"/>
                <w:szCs w:val="22"/>
              </w:rPr>
              <w:t xml:space="preserve"> </w:t>
            </w:r>
            <w:r w:rsidRPr="009E07B6">
              <w:rPr>
                <w:rFonts w:ascii="Times New Roman" w:hAnsi="Times New Roman"/>
                <w:sz w:val="22"/>
                <w:szCs w:val="22"/>
              </w:rPr>
              <w:t>wherever appearing</w:t>
            </w:r>
          </w:p>
        </w:tc>
      </w:tr>
      <w:tr w:rsidR="00DA6714" w:rsidRPr="009E07B6" w14:paraId="6447A699" w14:textId="77777777" w:rsidTr="008579A8">
        <w:tc>
          <w:tcPr>
            <w:tcW w:w="4678" w:type="dxa"/>
          </w:tcPr>
          <w:p w14:paraId="365791E1" w14:textId="33B13E5E" w:rsidR="00DA6714" w:rsidRPr="009E07B6" w:rsidRDefault="00DA6714"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216(4)</w:t>
            </w:r>
          </w:p>
        </w:tc>
        <w:tc>
          <w:tcPr>
            <w:tcW w:w="4820" w:type="dxa"/>
          </w:tcPr>
          <w:p w14:paraId="58843DE7" w14:textId="1644A488" w:rsidR="00DA6714" w:rsidRPr="009E07B6" w:rsidRDefault="00DA6714"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w:t>
            </w:r>
            <w:r w:rsidR="00B032BA" w:rsidRPr="009E07B6">
              <w:rPr>
                <w:rFonts w:ascii="Times New Roman" w:hAnsi="Times New Roman"/>
                <w:sz w:val="22"/>
                <w:szCs w:val="22"/>
              </w:rPr>
              <w:t xml:space="preserve">a </w:t>
            </w:r>
            <w:r w:rsidRPr="009E07B6">
              <w:rPr>
                <w:rFonts w:ascii="Times New Roman" w:hAnsi="Times New Roman"/>
                <w:sz w:val="22"/>
                <w:szCs w:val="22"/>
              </w:rPr>
              <w:t>nominated entity"</w:t>
            </w:r>
            <w:r w:rsidR="002D1C7D" w:rsidRPr="009E07B6">
              <w:rPr>
                <w:rFonts w:ascii="Times New Roman" w:hAnsi="Times New Roman"/>
                <w:sz w:val="22"/>
                <w:szCs w:val="22"/>
              </w:rPr>
              <w:t xml:space="preserve"> and "nominated entity,"</w:t>
            </w:r>
          </w:p>
        </w:tc>
      </w:tr>
      <w:tr w:rsidR="00F5731F" w:rsidRPr="009E07B6" w14:paraId="39BD06BA" w14:textId="77777777" w:rsidTr="008579A8">
        <w:tc>
          <w:tcPr>
            <w:tcW w:w="4678" w:type="dxa"/>
          </w:tcPr>
          <w:p w14:paraId="03059164" w14:textId="486E1637" w:rsidR="00F5731F" w:rsidRPr="009E07B6" w:rsidRDefault="00B317C0"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216</w:t>
            </w:r>
            <w:r w:rsidR="005E7FCB" w:rsidRPr="009E07B6">
              <w:rPr>
                <w:rFonts w:ascii="Times New Roman" w:hAnsi="Times New Roman"/>
                <w:sz w:val="22"/>
                <w:szCs w:val="22"/>
              </w:rPr>
              <w:t>(8)</w:t>
            </w:r>
          </w:p>
        </w:tc>
        <w:tc>
          <w:tcPr>
            <w:tcW w:w="4820" w:type="dxa"/>
          </w:tcPr>
          <w:p w14:paraId="07A756E3" w14:textId="364B5FFC" w:rsidR="00F5731F" w:rsidRPr="009E07B6" w:rsidRDefault="00B213DD"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"a nominated entity</w:t>
            </w:r>
            <w:r w:rsidR="0032788D" w:rsidRPr="009E07B6">
              <w:rPr>
                <w:rFonts w:ascii="Times New Roman" w:hAnsi="Times New Roman"/>
                <w:sz w:val="22"/>
                <w:szCs w:val="22"/>
              </w:rPr>
              <w:t>,"</w:t>
            </w:r>
          </w:p>
        </w:tc>
      </w:tr>
      <w:tr w:rsidR="00F0339B" w:rsidRPr="009E07B6" w14:paraId="465D5C93" w14:textId="77777777" w:rsidTr="008579A8">
        <w:tc>
          <w:tcPr>
            <w:tcW w:w="4678" w:type="dxa"/>
          </w:tcPr>
          <w:p w14:paraId="06EDBD85" w14:textId="53A5C0D0" w:rsidR="00F0339B" w:rsidRPr="00E41B91" w:rsidRDefault="00F0339B" w:rsidP="00D67CB5">
            <w:pPr>
              <w:pStyle w:val="NormalBody"/>
              <w:spacing w:after="260" w:line="280" w:lineRule="exact"/>
              <w:rPr>
                <w:rFonts w:ascii="Times New Roman" w:hAnsi="Times New Roman"/>
                <w:b/>
                <w:bCs/>
                <w:sz w:val="22"/>
                <w:szCs w:val="22"/>
              </w:rPr>
            </w:pPr>
            <w:r w:rsidRPr="00E41B91">
              <w:rPr>
                <w:rFonts w:ascii="Times New Roman" w:hAnsi="Times New Roman"/>
                <w:b/>
                <w:bCs/>
                <w:sz w:val="22"/>
                <w:szCs w:val="22"/>
              </w:rPr>
              <w:t>Division 3A</w:t>
            </w:r>
            <w:r w:rsidR="00644316" w:rsidRPr="00E41B91">
              <w:rPr>
                <w:rFonts w:ascii="Times New Roman" w:hAnsi="Times New Roman"/>
                <w:b/>
                <w:bCs/>
                <w:sz w:val="22"/>
                <w:szCs w:val="22"/>
              </w:rPr>
              <w:t xml:space="preserve"> – </w:t>
            </w:r>
            <w:r w:rsidR="00461479" w:rsidRPr="00E41B91">
              <w:rPr>
                <w:rFonts w:ascii="Times New Roman" w:hAnsi="Times New Roman"/>
                <w:b/>
                <w:bCs/>
                <w:sz w:val="22"/>
                <w:szCs w:val="22"/>
              </w:rPr>
              <w:t>Prohibited political donations</w:t>
            </w:r>
          </w:p>
        </w:tc>
        <w:tc>
          <w:tcPr>
            <w:tcW w:w="4820" w:type="dxa"/>
          </w:tcPr>
          <w:p w14:paraId="698C4C70" w14:textId="77777777" w:rsidR="00F0339B" w:rsidRPr="009E07B6" w:rsidRDefault="00F0339B" w:rsidP="00D67CB5">
            <w:pPr>
              <w:pStyle w:val="NormalBody"/>
              <w:spacing w:after="260" w:line="280" w:lineRule="exact"/>
              <w:rPr>
                <w:rFonts w:ascii="Times New Roman" w:hAnsi="Times New Roman"/>
                <w:sz w:val="22"/>
                <w:szCs w:val="22"/>
              </w:rPr>
            </w:pPr>
          </w:p>
        </w:tc>
      </w:tr>
      <w:tr w:rsidR="00090FC9" w:rsidRPr="009E07B6" w14:paraId="10180BD3" w14:textId="77777777" w:rsidTr="008579A8">
        <w:tc>
          <w:tcPr>
            <w:tcW w:w="4678" w:type="dxa"/>
          </w:tcPr>
          <w:p w14:paraId="35813D66" w14:textId="30010EB9" w:rsidR="00090FC9" w:rsidRPr="009E07B6" w:rsidRDefault="002A02F2"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217A</w:t>
            </w:r>
          </w:p>
        </w:tc>
        <w:tc>
          <w:tcPr>
            <w:tcW w:w="4820" w:type="dxa"/>
          </w:tcPr>
          <w:p w14:paraId="3A1D4620" w14:textId="71895822" w:rsidR="00090FC9" w:rsidRPr="009E07B6" w:rsidRDefault="00D91076"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"a nominated entity</w:t>
            </w:r>
            <w:r w:rsidR="00317643" w:rsidRPr="009E07B6">
              <w:rPr>
                <w:rFonts w:ascii="Times New Roman" w:hAnsi="Times New Roman"/>
                <w:sz w:val="22"/>
                <w:szCs w:val="22"/>
              </w:rPr>
              <w:t>,</w:t>
            </w:r>
            <w:r w:rsidR="00897ECA" w:rsidRPr="009E07B6">
              <w:rPr>
                <w:rFonts w:ascii="Times New Roman" w:hAnsi="Times New Roman"/>
                <w:sz w:val="22"/>
                <w:szCs w:val="22"/>
              </w:rPr>
              <w:t>"</w:t>
            </w:r>
          </w:p>
        </w:tc>
      </w:tr>
      <w:tr w:rsidR="008A1C6E" w:rsidRPr="009E07B6" w14:paraId="2CD3B36C" w14:textId="77777777" w:rsidTr="008579A8">
        <w:tc>
          <w:tcPr>
            <w:tcW w:w="4678" w:type="dxa"/>
          </w:tcPr>
          <w:p w14:paraId="5ED9C626" w14:textId="73CD0EBE" w:rsidR="008A1C6E" w:rsidRPr="009E07B6" w:rsidRDefault="00A7602C"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lastRenderedPageBreak/>
              <w:t>s 217B</w:t>
            </w:r>
          </w:p>
        </w:tc>
        <w:tc>
          <w:tcPr>
            <w:tcW w:w="4820" w:type="dxa"/>
          </w:tcPr>
          <w:p w14:paraId="63938149" w14:textId="427A2FCD" w:rsidR="008A1C6E" w:rsidRPr="009E07B6" w:rsidRDefault="00A7602C"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BE7C06" w:rsidRPr="009E07B6">
              <w:rPr>
                <w:rFonts w:ascii="Times New Roman" w:hAnsi="Times New Roman"/>
                <w:sz w:val="22"/>
                <w:szCs w:val="22"/>
              </w:rPr>
              <w:t>,</w:t>
            </w:r>
            <w:r w:rsidR="00897ECA" w:rsidRPr="009E07B6">
              <w:rPr>
                <w:rFonts w:ascii="Times New Roman" w:hAnsi="Times New Roman"/>
                <w:sz w:val="22"/>
                <w:szCs w:val="22"/>
              </w:rPr>
              <w:t>"</w:t>
            </w:r>
            <w:r w:rsidRPr="009E07B6">
              <w:rPr>
                <w:rFonts w:ascii="Times New Roman" w:hAnsi="Times New Roman"/>
                <w:sz w:val="22"/>
                <w:szCs w:val="22"/>
              </w:rPr>
              <w:t xml:space="preserve"> or "a nominated entity</w:t>
            </w:r>
            <w:r w:rsidR="0078173C" w:rsidRPr="009E07B6">
              <w:rPr>
                <w:rFonts w:ascii="Times New Roman" w:hAnsi="Times New Roman"/>
                <w:sz w:val="22"/>
                <w:szCs w:val="22"/>
              </w:rPr>
              <w:t>,</w:t>
            </w:r>
            <w:r w:rsidR="00897ECA" w:rsidRPr="009E07B6">
              <w:rPr>
                <w:rFonts w:ascii="Times New Roman" w:hAnsi="Times New Roman"/>
                <w:sz w:val="22"/>
                <w:szCs w:val="22"/>
              </w:rPr>
              <w:t>"</w:t>
            </w:r>
            <w:r w:rsidRPr="009E07B6">
              <w:rPr>
                <w:rFonts w:ascii="Times New Roman" w:hAnsi="Times New Roman"/>
                <w:sz w:val="22"/>
                <w:szCs w:val="22"/>
              </w:rPr>
              <w:t xml:space="preserve"> wherever appearing</w:t>
            </w:r>
          </w:p>
        </w:tc>
      </w:tr>
      <w:tr w:rsidR="00A7602C" w:rsidRPr="009E07B6" w14:paraId="4A1F89DD" w14:textId="77777777" w:rsidTr="008579A8">
        <w:tc>
          <w:tcPr>
            <w:tcW w:w="4678" w:type="dxa"/>
          </w:tcPr>
          <w:p w14:paraId="2D86FCCA" w14:textId="2CDDDF8C" w:rsidR="00A7602C" w:rsidRPr="009E07B6" w:rsidRDefault="008C43CD"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217C(2)</w:t>
            </w:r>
          </w:p>
        </w:tc>
        <w:tc>
          <w:tcPr>
            <w:tcW w:w="4820" w:type="dxa"/>
          </w:tcPr>
          <w:p w14:paraId="2E9CA2D5" w14:textId="4BBA5189" w:rsidR="00A7602C" w:rsidRPr="009E07B6" w:rsidRDefault="008C43CD"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5B10A1" w:rsidRPr="009E07B6">
              <w:rPr>
                <w:rFonts w:ascii="Times New Roman" w:hAnsi="Times New Roman"/>
                <w:sz w:val="22"/>
                <w:szCs w:val="22"/>
              </w:rPr>
              <w:t>,</w:t>
            </w:r>
            <w:r w:rsidR="00897ECA" w:rsidRPr="009E07B6">
              <w:rPr>
                <w:rFonts w:ascii="Times New Roman" w:hAnsi="Times New Roman"/>
                <w:sz w:val="22"/>
                <w:szCs w:val="22"/>
              </w:rPr>
              <w:t>"</w:t>
            </w:r>
          </w:p>
        </w:tc>
      </w:tr>
      <w:tr w:rsidR="005234FD" w:rsidRPr="009E07B6" w14:paraId="740146B4" w14:textId="77777777" w:rsidTr="008579A8">
        <w:tc>
          <w:tcPr>
            <w:tcW w:w="4678" w:type="dxa"/>
          </w:tcPr>
          <w:p w14:paraId="634FAD4D" w14:textId="3FCF61FD" w:rsidR="005234FD" w:rsidRPr="00E41B91" w:rsidRDefault="005234FD" w:rsidP="00D67CB5">
            <w:pPr>
              <w:pStyle w:val="NormalBody"/>
              <w:spacing w:after="260" w:line="280" w:lineRule="exact"/>
              <w:rPr>
                <w:rFonts w:ascii="Times New Roman" w:hAnsi="Times New Roman"/>
                <w:b/>
                <w:bCs/>
                <w:sz w:val="22"/>
                <w:szCs w:val="22"/>
              </w:rPr>
            </w:pPr>
            <w:r w:rsidRPr="00E41B91">
              <w:rPr>
                <w:rFonts w:ascii="Times New Roman" w:hAnsi="Times New Roman"/>
                <w:b/>
                <w:bCs/>
                <w:sz w:val="22"/>
                <w:szCs w:val="22"/>
              </w:rPr>
              <w:t>Division 3B</w:t>
            </w:r>
            <w:r w:rsidR="001D0151" w:rsidRPr="00E41B91">
              <w:rPr>
                <w:rFonts w:ascii="Times New Roman" w:hAnsi="Times New Roman"/>
                <w:b/>
                <w:bCs/>
                <w:sz w:val="22"/>
                <w:szCs w:val="22"/>
              </w:rPr>
              <w:t xml:space="preserve"> – </w:t>
            </w:r>
            <w:r w:rsidRPr="00E41B91">
              <w:rPr>
                <w:rFonts w:ascii="Times New Roman" w:hAnsi="Times New Roman"/>
                <w:b/>
                <w:bCs/>
                <w:sz w:val="22"/>
                <w:szCs w:val="22"/>
              </w:rPr>
              <w:t>General cap on donations</w:t>
            </w:r>
          </w:p>
        </w:tc>
        <w:tc>
          <w:tcPr>
            <w:tcW w:w="4820" w:type="dxa"/>
          </w:tcPr>
          <w:p w14:paraId="02B850D2" w14:textId="77777777" w:rsidR="005234FD" w:rsidRPr="009E07B6" w:rsidRDefault="005234FD" w:rsidP="00D67CB5">
            <w:pPr>
              <w:pStyle w:val="NormalBody"/>
              <w:spacing w:after="260" w:line="280" w:lineRule="exact"/>
              <w:rPr>
                <w:rFonts w:ascii="Times New Roman" w:hAnsi="Times New Roman"/>
                <w:sz w:val="22"/>
                <w:szCs w:val="22"/>
              </w:rPr>
            </w:pPr>
          </w:p>
        </w:tc>
      </w:tr>
      <w:tr w:rsidR="008C43CD" w:rsidRPr="009E07B6" w14:paraId="692E693F" w14:textId="77777777" w:rsidTr="008579A8">
        <w:tc>
          <w:tcPr>
            <w:tcW w:w="4678" w:type="dxa"/>
          </w:tcPr>
          <w:p w14:paraId="75469135" w14:textId="41C52E1E" w:rsidR="008C43CD" w:rsidRPr="009E07B6" w:rsidRDefault="008C43CD"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w:t>
            </w:r>
            <w:r w:rsidR="00A81FE6" w:rsidRPr="009E07B6">
              <w:rPr>
                <w:rFonts w:ascii="Times New Roman" w:hAnsi="Times New Roman"/>
                <w:sz w:val="22"/>
                <w:szCs w:val="22"/>
              </w:rPr>
              <w:t> </w:t>
            </w:r>
            <w:r w:rsidRPr="009E07B6">
              <w:rPr>
                <w:rFonts w:ascii="Times New Roman" w:hAnsi="Times New Roman"/>
                <w:sz w:val="22"/>
                <w:szCs w:val="22"/>
              </w:rPr>
              <w:t>217D</w:t>
            </w:r>
            <w:r w:rsidR="00435C5A" w:rsidRPr="009E07B6">
              <w:rPr>
                <w:rFonts w:ascii="Times New Roman" w:hAnsi="Times New Roman"/>
                <w:sz w:val="22"/>
                <w:szCs w:val="22"/>
              </w:rPr>
              <w:t>(1)(g)</w:t>
            </w:r>
          </w:p>
        </w:tc>
        <w:tc>
          <w:tcPr>
            <w:tcW w:w="4820" w:type="dxa"/>
          </w:tcPr>
          <w:p w14:paraId="2F3D994A" w14:textId="32381DA8" w:rsidR="008C43CD" w:rsidRPr="009E07B6" w:rsidRDefault="00A81FE6"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 xml:space="preserve">Whole </w:t>
            </w:r>
            <w:r w:rsidR="00272AB3" w:rsidRPr="009E07B6">
              <w:rPr>
                <w:rFonts w:ascii="Times New Roman" w:hAnsi="Times New Roman"/>
                <w:sz w:val="22"/>
                <w:szCs w:val="22"/>
              </w:rPr>
              <w:t>paragraph</w:t>
            </w:r>
          </w:p>
        </w:tc>
      </w:tr>
      <w:tr w:rsidR="00A81FE6" w:rsidRPr="009E07B6" w14:paraId="64B316A1" w14:textId="77777777" w:rsidTr="008579A8">
        <w:tc>
          <w:tcPr>
            <w:tcW w:w="4678" w:type="dxa"/>
          </w:tcPr>
          <w:p w14:paraId="540D1842" w14:textId="0993CA96" w:rsidR="00A81FE6" w:rsidRPr="009E07B6" w:rsidRDefault="00B83DD0"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217D(6)(d)</w:t>
            </w:r>
          </w:p>
        </w:tc>
        <w:tc>
          <w:tcPr>
            <w:tcW w:w="4820" w:type="dxa"/>
          </w:tcPr>
          <w:p w14:paraId="15687DE9" w14:textId="2CCF7B1F" w:rsidR="00A81FE6" w:rsidRPr="009E07B6" w:rsidRDefault="00B83DD0"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 xml:space="preserve">Whole </w:t>
            </w:r>
            <w:r w:rsidR="00272AB3" w:rsidRPr="009E07B6">
              <w:rPr>
                <w:rFonts w:ascii="Times New Roman" w:hAnsi="Times New Roman"/>
                <w:sz w:val="22"/>
                <w:szCs w:val="22"/>
              </w:rPr>
              <w:t>paragraph</w:t>
            </w:r>
          </w:p>
        </w:tc>
      </w:tr>
      <w:tr w:rsidR="00B83DD0" w:rsidRPr="009E07B6" w14:paraId="22A99F5A" w14:textId="77777777" w:rsidTr="008579A8">
        <w:tc>
          <w:tcPr>
            <w:tcW w:w="4678" w:type="dxa"/>
          </w:tcPr>
          <w:p w14:paraId="0CB05BD4" w14:textId="617F0DA0" w:rsidR="00B83DD0" w:rsidRPr="009E07B6" w:rsidRDefault="005D6BAB"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217D(2),(3), (9) and (10)</w:t>
            </w:r>
          </w:p>
        </w:tc>
        <w:tc>
          <w:tcPr>
            <w:tcW w:w="4820" w:type="dxa"/>
          </w:tcPr>
          <w:p w14:paraId="64BF86F7" w14:textId="4A57DE37" w:rsidR="00B83DD0" w:rsidRPr="009E07B6" w:rsidRDefault="00B86029"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EE5D93" w:rsidRPr="009E07B6">
              <w:rPr>
                <w:rFonts w:ascii="Times New Roman" w:hAnsi="Times New Roman"/>
                <w:sz w:val="22"/>
                <w:szCs w:val="22"/>
              </w:rPr>
              <w:t>,</w:t>
            </w:r>
            <w:r w:rsidR="00897ECA" w:rsidRPr="009E07B6">
              <w:rPr>
                <w:rFonts w:ascii="Times New Roman" w:hAnsi="Times New Roman"/>
                <w:sz w:val="22"/>
                <w:szCs w:val="22"/>
              </w:rPr>
              <w:t>"</w:t>
            </w:r>
            <w:r w:rsidR="00E155F8" w:rsidRPr="009E07B6">
              <w:rPr>
                <w:rFonts w:ascii="Times New Roman" w:hAnsi="Times New Roman"/>
                <w:sz w:val="22"/>
                <w:szCs w:val="22"/>
              </w:rPr>
              <w:t xml:space="preserve"> wherever appearing</w:t>
            </w:r>
          </w:p>
        </w:tc>
      </w:tr>
      <w:tr w:rsidR="00B86029" w:rsidRPr="009E07B6" w14:paraId="15D7FB15" w14:textId="77777777" w:rsidTr="008579A8">
        <w:tc>
          <w:tcPr>
            <w:tcW w:w="4678" w:type="dxa"/>
          </w:tcPr>
          <w:p w14:paraId="0FE218DD" w14:textId="5A38CA24" w:rsidR="00B86029" w:rsidRPr="009E07B6" w:rsidRDefault="003E15FC"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w:t>
            </w:r>
            <w:r w:rsidR="00D71225" w:rsidRPr="009E07B6">
              <w:rPr>
                <w:rFonts w:ascii="Times New Roman" w:hAnsi="Times New Roman"/>
                <w:sz w:val="22"/>
                <w:szCs w:val="22"/>
              </w:rPr>
              <w:t> </w:t>
            </w:r>
            <w:r w:rsidRPr="009E07B6">
              <w:rPr>
                <w:rFonts w:ascii="Times New Roman" w:hAnsi="Times New Roman"/>
                <w:sz w:val="22"/>
                <w:szCs w:val="22"/>
              </w:rPr>
              <w:t>217E(2) and (5)</w:t>
            </w:r>
          </w:p>
        </w:tc>
        <w:tc>
          <w:tcPr>
            <w:tcW w:w="4820" w:type="dxa"/>
          </w:tcPr>
          <w:p w14:paraId="6FE09599" w14:textId="0C2CBB91" w:rsidR="00B86029" w:rsidRPr="009E07B6" w:rsidRDefault="00D71225"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B75475" w:rsidRPr="009E07B6">
              <w:rPr>
                <w:rFonts w:ascii="Times New Roman" w:hAnsi="Times New Roman"/>
                <w:sz w:val="22"/>
                <w:szCs w:val="22"/>
              </w:rPr>
              <w:t>,</w:t>
            </w:r>
            <w:r w:rsidR="00897ECA" w:rsidRPr="009E07B6">
              <w:rPr>
                <w:rFonts w:ascii="Times New Roman" w:hAnsi="Times New Roman"/>
                <w:sz w:val="22"/>
                <w:szCs w:val="22"/>
              </w:rPr>
              <w:t>"</w:t>
            </w:r>
            <w:r w:rsidR="00DB29FB" w:rsidRPr="009E07B6">
              <w:rPr>
                <w:rFonts w:ascii="Times New Roman" w:hAnsi="Times New Roman"/>
                <w:sz w:val="22"/>
                <w:szCs w:val="22"/>
              </w:rPr>
              <w:t xml:space="preserve"> wherever appearing</w:t>
            </w:r>
          </w:p>
        </w:tc>
      </w:tr>
      <w:tr w:rsidR="00D71225" w:rsidRPr="009E07B6" w14:paraId="6A84708B" w14:textId="77777777" w:rsidTr="008579A8">
        <w:tc>
          <w:tcPr>
            <w:tcW w:w="4678" w:type="dxa"/>
          </w:tcPr>
          <w:p w14:paraId="7419CD6B" w14:textId="20E0E47A" w:rsidR="00D71225" w:rsidRPr="009E07B6" w:rsidRDefault="00D71225"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217G(2)</w:t>
            </w:r>
          </w:p>
        </w:tc>
        <w:tc>
          <w:tcPr>
            <w:tcW w:w="4820" w:type="dxa"/>
          </w:tcPr>
          <w:p w14:paraId="1CEA7B2F" w14:textId="4CAC4A35" w:rsidR="00D71225" w:rsidRPr="009E07B6" w:rsidRDefault="00D71225"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06554D" w:rsidRPr="009E07B6">
              <w:rPr>
                <w:rFonts w:ascii="Times New Roman" w:hAnsi="Times New Roman"/>
                <w:sz w:val="22"/>
                <w:szCs w:val="22"/>
              </w:rPr>
              <w:t>,</w:t>
            </w:r>
            <w:r w:rsidR="00897ECA" w:rsidRPr="009E07B6">
              <w:rPr>
                <w:rFonts w:ascii="Times New Roman" w:hAnsi="Times New Roman"/>
                <w:sz w:val="22"/>
                <w:szCs w:val="22"/>
              </w:rPr>
              <w:t>"</w:t>
            </w:r>
          </w:p>
        </w:tc>
      </w:tr>
      <w:tr w:rsidR="000C526E" w:rsidRPr="009E07B6" w14:paraId="20B9790D" w14:textId="77777777" w:rsidTr="008579A8">
        <w:tc>
          <w:tcPr>
            <w:tcW w:w="4678" w:type="dxa"/>
          </w:tcPr>
          <w:p w14:paraId="09AAAE54" w14:textId="04A0190F" w:rsidR="000C526E" w:rsidRPr="00B32A4C" w:rsidRDefault="000C526E" w:rsidP="00D67CB5">
            <w:pPr>
              <w:pStyle w:val="NormalBody"/>
              <w:spacing w:after="260" w:line="280" w:lineRule="exact"/>
              <w:rPr>
                <w:rFonts w:ascii="Times New Roman" w:hAnsi="Times New Roman"/>
                <w:b/>
                <w:bCs/>
                <w:sz w:val="22"/>
                <w:szCs w:val="22"/>
              </w:rPr>
            </w:pPr>
            <w:r w:rsidRPr="00B32A4C">
              <w:rPr>
                <w:rFonts w:ascii="Times New Roman" w:hAnsi="Times New Roman"/>
                <w:b/>
                <w:bCs/>
                <w:sz w:val="22"/>
                <w:szCs w:val="22"/>
              </w:rPr>
              <w:t>Division 3C</w:t>
            </w:r>
            <w:r w:rsidR="00255CDA" w:rsidRPr="00B32A4C">
              <w:rPr>
                <w:rFonts w:ascii="Times New Roman" w:hAnsi="Times New Roman"/>
                <w:b/>
                <w:bCs/>
                <w:sz w:val="22"/>
                <w:szCs w:val="22"/>
              </w:rPr>
              <w:t xml:space="preserve"> – </w:t>
            </w:r>
            <w:r w:rsidRPr="00B32A4C">
              <w:rPr>
                <w:rFonts w:ascii="Times New Roman" w:hAnsi="Times New Roman"/>
                <w:b/>
                <w:bCs/>
                <w:sz w:val="22"/>
                <w:szCs w:val="22"/>
              </w:rPr>
              <w:t>Annual returns and other information</w:t>
            </w:r>
          </w:p>
        </w:tc>
        <w:tc>
          <w:tcPr>
            <w:tcW w:w="4820" w:type="dxa"/>
          </w:tcPr>
          <w:p w14:paraId="73EE86E2" w14:textId="77777777" w:rsidR="000C526E" w:rsidRPr="009E07B6" w:rsidRDefault="000C526E" w:rsidP="00D67CB5">
            <w:pPr>
              <w:pStyle w:val="NormalBody"/>
              <w:spacing w:after="260" w:line="280" w:lineRule="exact"/>
              <w:rPr>
                <w:rFonts w:ascii="Times New Roman" w:hAnsi="Times New Roman"/>
                <w:sz w:val="22"/>
                <w:szCs w:val="22"/>
              </w:rPr>
            </w:pPr>
          </w:p>
        </w:tc>
      </w:tr>
      <w:tr w:rsidR="00D71225" w:rsidRPr="009E07B6" w14:paraId="5F21FC9C" w14:textId="77777777" w:rsidTr="008579A8">
        <w:tc>
          <w:tcPr>
            <w:tcW w:w="4678" w:type="dxa"/>
          </w:tcPr>
          <w:p w14:paraId="0AF966A5" w14:textId="24FD7B85" w:rsidR="00D71225" w:rsidRPr="009E07B6" w:rsidRDefault="00D71225"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217H</w:t>
            </w:r>
          </w:p>
        </w:tc>
        <w:tc>
          <w:tcPr>
            <w:tcW w:w="4820" w:type="dxa"/>
          </w:tcPr>
          <w:p w14:paraId="1CE382EA" w14:textId="11B5B7BD" w:rsidR="00D71225" w:rsidRPr="009E07B6" w:rsidRDefault="00D71225"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300FD8" w:rsidRPr="009E07B6">
              <w:rPr>
                <w:rFonts w:ascii="Times New Roman" w:hAnsi="Times New Roman"/>
                <w:sz w:val="22"/>
                <w:szCs w:val="22"/>
              </w:rPr>
              <w:t>,</w:t>
            </w:r>
            <w:r w:rsidR="00897ECA" w:rsidRPr="009E07B6">
              <w:rPr>
                <w:rFonts w:ascii="Times New Roman" w:hAnsi="Times New Roman"/>
                <w:sz w:val="22"/>
                <w:szCs w:val="22"/>
              </w:rPr>
              <w:t>"</w:t>
            </w:r>
          </w:p>
        </w:tc>
      </w:tr>
      <w:tr w:rsidR="00D71225" w:rsidRPr="009E07B6" w14:paraId="1917D1D7" w14:textId="77777777" w:rsidTr="008579A8">
        <w:tc>
          <w:tcPr>
            <w:tcW w:w="4678" w:type="dxa"/>
          </w:tcPr>
          <w:p w14:paraId="03F68E62" w14:textId="096B3D6E" w:rsidR="00D71225" w:rsidRPr="009E07B6" w:rsidRDefault="00D71225"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w:t>
            </w:r>
            <w:r w:rsidR="00A30960" w:rsidRPr="009E07B6">
              <w:rPr>
                <w:rFonts w:ascii="Times New Roman" w:hAnsi="Times New Roman"/>
                <w:sz w:val="22"/>
                <w:szCs w:val="22"/>
              </w:rPr>
              <w:t>217L</w:t>
            </w:r>
          </w:p>
        </w:tc>
        <w:tc>
          <w:tcPr>
            <w:tcW w:w="4820" w:type="dxa"/>
          </w:tcPr>
          <w:p w14:paraId="24C0F230" w14:textId="458338DE" w:rsidR="00D71225" w:rsidRPr="009E07B6" w:rsidRDefault="00A30960"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Whole section</w:t>
            </w:r>
          </w:p>
        </w:tc>
      </w:tr>
      <w:tr w:rsidR="00A30960" w:rsidRPr="009E07B6" w14:paraId="3EBA0AA1" w14:textId="77777777" w:rsidTr="008579A8">
        <w:tc>
          <w:tcPr>
            <w:tcW w:w="4678" w:type="dxa"/>
          </w:tcPr>
          <w:p w14:paraId="20F271A7" w14:textId="0F6FEDAB" w:rsidR="00A30960" w:rsidRPr="009E07B6" w:rsidRDefault="00A30960"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w:t>
            </w:r>
            <w:r w:rsidR="00993320" w:rsidRPr="009E07B6">
              <w:rPr>
                <w:rFonts w:ascii="Times New Roman" w:hAnsi="Times New Roman"/>
                <w:sz w:val="22"/>
                <w:szCs w:val="22"/>
              </w:rPr>
              <w:t>217O</w:t>
            </w:r>
          </w:p>
        </w:tc>
        <w:tc>
          <w:tcPr>
            <w:tcW w:w="4820" w:type="dxa"/>
          </w:tcPr>
          <w:p w14:paraId="0FFED83B" w14:textId="19FB6834" w:rsidR="00A30960" w:rsidRPr="009E07B6" w:rsidRDefault="004C44FF"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"and nominated entities" in the heading</w:t>
            </w:r>
          </w:p>
        </w:tc>
      </w:tr>
      <w:tr w:rsidR="004C44FF" w:rsidRPr="009E07B6" w14:paraId="54243BD9" w14:textId="77777777" w:rsidTr="008579A8">
        <w:tc>
          <w:tcPr>
            <w:tcW w:w="4678" w:type="dxa"/>
          </w:tcPr>
          <w:p w14:paraId="604EE5D4" w14:textId="520D07B9" w:rsidR="004C44FF" w:rsidRPr="009E07B6" w:rsidRDefault="004C44FF"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w:t>
            </w:r>
            <w:r w:rsidR="00131679" w:rsidRPr="009E07B6">
              <w:rPr>
                <w:rFonts w:ascii="Times New Roman" w:hAnsi="Times New Roman"/>
                <w:sz w:val="22"/>
                <w:szCs w:val="22"/>
              </w:rPr>
              <w:t>217O(1)</w:t>
            </w:r>
          </w:p>
        </w:tc>
        <w:tc>
          <w:tcPr>
            <w:tcW w:w="4820" w:type="dxa"/>
          </w:tcPr>
          <w:p w14:paraId="4DD3DF24" w14:textId="24B6F7D2" w:rsidR="004C44FF" w:rsidRPr="009E07B6" w:rsidRDefault="00131679"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"or a nominated entity"</w:t>
            </w:r>
          </w:p>
        </w:tc>
      </w:tr>
      <w:tr w:rsidR="00114818" w:rsidRPr="009E07B6" w14:paraId="17B8F615" w14:textId="77777777" w:rsidTr="008579A8">
        <w:tc>
          <w:tcPr>
            <w:tcW w:w="4678" w:type="dxa"/>
          </w:tcPr>
          <w:p w14:paraId="78649BEB" w14:textId="10CADDC7" w:rsidR="00114818" w:rsidRPr="00B32A4C" w:rsidRDefault="00677564" w:rsidP="00D67CB5">
            <w:pPr>
              <w:pStyle w:val="NormalBody"/>
              <w:spacing w:after="260" w:line="280" w:lineRule="exact"/>
              <w:rPr>
                <w:rFonts w:ascii="Times New Roman" w:hAnsi="Times New Roman"/>
                <w:b/>
                <w:bCs/>
                <w:sz w:val="22"/>
                <w:szCs w:val="22"/>
              </w:rPr>
            </w:pPr>
            <w:r w:rsidRPr="00B32A4C">
              <w:rPr>
                <w:rFonts w:ascii="Times New Roman" w:hAnsi="Times New Roman"/>
                <w:b/>
                <w:bCs/>
                <w:sz w:val="22"/>
                <w:szCs w:val="22"/>
              </w:rPr>
              <w:t>Division 4</w:t>
            </w:r>
            <w:r w:rsidR="004C6BD6" w:rsidRPr="00B32A4C">
              <w:rPr>
                <w:rFonts w:ascii="Times New Roman" w:hAnsi="Times New Roman"/>
                <w:b/>
                <w:bCs/>
                <w:sz w:val="22"/>
                <w:szCs w:val="22"/>
              </w:rPr>
              <w:t xml:space="preserve"> – </w:t>
            </w:r>
            <w:r w:rsidRPr="00B32A4C">
              <w:rPr>
                <w:rFonts w:ascii="Times New Roman" w:hAnsi="Times New Roman"/>
                <w:b/>
                <w:bCs/>
                <w:sz w:val="22"/>
                <w:szCs w:val="22"/>
              </w:rPr>
              <w:t>Miscellaneous</w:t>
            </w:r>
          </w:p>
        </w:tc>
        <w:tc>
          <w:tcPr>
            <w:tcW w:w="4820" w:type="dxa"/>
          </w:tcPr>
          <w:p w14:paraId="46BE9077" w14:textId="77777777" w:rsidR="00114818" w:rsidRPr="009E07B6" w:rsidRDefault="00114818" w:rsidP="00D67CB5">
            <w:pPr>
              <w:pStyle w:val="NormalBody"/>
              <w:spacing w:after="260" w:line="280" w:lineRule="exact"/>
              <w:rPr>
                <w:rFonts w:ascii="Times New Roman" w:hAnsi="Times New Roman"/>
                <w:sz w:val="22"/>
                <w:szCs w:val="22"/>
              </w:rPr>
            </w:pPr>
          </w:p>
        </w:tc>
      </w:tr>
      <w:tr w:rsidR="00131679" w:rsidRPr="009E07B6" w14:paraId="508FD625" w14:textId="77777777" w:rsidTr="008579A8">
        <w:tc>
          <w:tcPr>
            <w:tcW w:w="4678" w:type="dxa"/>
          </w:tcPr>
          <w:p w14:paraId="278455D8" w14:textId="23753D81" w:rsidR="00131679" w:rsidRPr="009E07B6" w:rsidRDefault="00232DCE"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s 218B(2)</w:t>
            </w:r>
          </w:p>
        </w:tc>
        <w:tc>
          <w:tcPr>
            <w:tcW w:w="4820" w:type="dxa"/>
          </w:tcPr>
          <w:p w14:paraId="1ADDF86B" w14:textId="4C3C2F11" w:rsidR="00131679" w:rsidRPr="009E07B6" w:rsidRDefault="00232DCE"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Whole sub-section</w:t>
            </w:r>
          </w:p>
        </w:tc>
      </w:tr>
      <w:tr w:rsidR="006F6716" w:rsidRPr="009E07B6" w14:paraId="43AD32E9" w14:textId="77777777" w:rsidTr="008579A8">
        <w:tc>
          <w:tcPr>
            <w:tcW w:w="4678" w:type="dxa"/>
          </w:tcPr>
          <w:p w14:paraId="3C86AF81" w14:textId="083420FB" w:rsidR="006F6716" w:rsidRPr="00B32A4C" w:rsidRDefault="006F6716" w:rsidP="00D67CB5">
            <w:pPr>
              <w:pStyle w:val="NormalBody"/>
              <w:spacing w:after="260" w:line="280" w:lineRule="exact"/>
              <w:rPr>
                <w:rFonts w:ascii="Times New Roman" w:hAnsi="Times New Roman"/>
                <w:b/>
                <w:bCs/>
                <w:sz w:val="22"/>
                <w:szCs w:val="22"/>
              </w:rPr>
            </w:pPr>
            <w:r w:rsidRPr="00B32A4C">
              <w:rPr>
                <w:rFonts w:ascii="Times New Roman" w:hAnsi="Times New Roman"/>
                <w:b/>
                <w:bCs/>
                <w:sz w:val="22"/>
                <w:szCs w:val="22"/>
              </w:rPr>
              <w:t>Division 4A</w:t>
            </w:r>
            <w:r w:rsidR="003E1741" w:rsidRPr="00B32A4C">
              <w:rPr>
                <w:rFonts w:ascii="Times New Roman" w:hAnsi="Times New Roman"/>
                <w:b/>
                <w:bCs/>
                <w:sz w:val="22"/>
                <w:szCs w:val="22"/>
              </w:rPr>
              <w:t xml:space="preserve"> – </w:t>
            </w:r>
            <w:r w:rsidR="00F73660" w:rsidRPr="00B32A4C">
              <w:rPr>
                <w:rFonts w:ascii="Times New Roman" w:hAnsi="Times New Roman"/>
                <w:b/>
                <w:bCs/>
                <w:sz w:val="22"/>
                <w:szCs w:val="22"/>
              </w:rPr>
              <w:t>Powers of the Commission</w:t>
            </w:r>
          </w:p>
        </w:tc>
        <w:tc>
          <w:tcPr>
            <w:tcW w:w="4820" w:type="dxa"/>
          </w:tcPr>
          <w:p w14:paraId="1607C8C0" w14:textId="77777777" w:rsidR="006F6716" w:rsidRPr="009E07B6" w:rsidRDefault="006F6716" w:rsidP="00D67CB5">
            <w:pPr>
              <w:pStyle w:val="NormalBody"/>
              <w:spacing w:after="260" w:line="280" w:lineRule="exact"/>
              <w:rPr>
                <w:rFonts w:ascii="Times New Roman" w:hAnsi="Times New Roman"/>
                <w:sz w:val="22"/>
                <w:szCs w:val="22"/>
              </w:rPr>
            </w:pPr>
          </w:p>
        </w:tc>
      </w:tr>
      <w:tr w:rsidR="00232DCE" w:rsidRPr="009E07B6" w14:paraId="6147DABE" w14:textId="77777777" w:rsidTr="008579A8">
        <w:tc>
          <w:tcPr>
            <w:tcW w:w="4678" w:type="dxa"/>
          </w:tcPr>
          <w:p w14:paraId="37B7584F" w14:textId="71D98D02" w:rsidR="00232DCE" w:rsidRPr="009E07B6" w:rsidRDefault="00C137A5" w:rsidP="00D67CB5">
            <w:pPr>
              <w:pStyle w:val="NormalBody"/>
              <w:spacing w:after="260" w:line="280" w:lineRule="exact"/>
              <w:rPr>
                <w:rFonts w:ascii="Times New Roman" w:hAnsi="Times New Roman"/>
                <w:sz w:val="22"/>
                <w:szCs w:val="22"/>
              </w:rPr>
            </w:pPr>
            <w:r w:rsidRPr="009E07B6">
              <w:rPr>
                <w:rFonts w:ascii="Times New Roman" w:hAnsi="Times New Roman"/>
                <w:i/>
                <w:iCs/>
                <w:sz w:val="22"/>
                <w:szCs w:val="22"/>
              </w:rPr>
              <w:t>Subdiv</w:t>
            </w:r>
            <w:r w:rsidR="00F12649" w:rsidRPr="009E07B6">
              <w:rPr>
                <w:rFonts w:ascii="Times New Roman" w:hAnsi="Times New Roman"/>
                <w:i/>
                <w:iCs/>
                <w:sz w:val="22"/>
                <w:szCs w:val="22"/>
              </w:rPr>
              <w:t>ision</w:t>
            </w:r>
            <w:r w:rsidRPr="009E07B6">
              <w:rPr>
                <w:rFonts w:ascii="Times New Roman" w:hAnsi="Times New Roman"/>
                <w:i/>
                <w:iCs/>
                <w:sz w:val="22"/>
                <w:szCs w:val="22"/>
              </w:rPr>
              <w:t xml:space="preserve"> 1</w:t>
            </w:r>
            <w:r w:rsidR="00F12649" w:rsidRPr="009E07B6">
              <w:rPr>
                <w:rFonts w:ascii="Times New Roman" w:hAnsi="Times New Roman"/>
                <w:i/>
                <w:iCs/>
                <w:sz w:val="22"/>
                <w:szCs w:val="22"/>
              </w:rPr>
              <w:t xml:space="preserve"> – </w:t>
            </w:r>
            <w:r w:rsidR="00154F92" w:rsidRPr="009E07B6">
              <w:rPr>
                <w:rFonts w:ascii="Times New Roman" w:hAnsi="Times New Roman"/>
                <w:i/>
                <w:iCs/>
                <w:sz w:val="22"/>
                <w:szCs w:val="22"/>
              </w:rPr>
              <w:t>General</w:t>
            </w:r>
            <w:r w:rsidRPr="009E07B6">
              <w:rPr>
                <w:rFonts w:ascii="Times New Roman" w:hAnsi="Times New Roman"/>
                <w:sz w:val="22"/>
                <w:szCs w:val="22"/>
              </w:rPr>
              <w:t xml:space="preserve">: </w:t>
            </w:r>
            <w:r w:rsidR="00941B6B" w:rsidRPr="009E07B6">
              <w:rPr>
                <w:rFonts w:ascii="Times New Roman" w:hAnsi="Times New Roman"/>
                <w:sz w:val="22"/>
                <w:szCs w:val="22"/>
              </w:rPr>
              <w:t>s</w:t>
            </w:r>
            <w:r w:rsidR="004F27F9" w:rsidRPr="009E07B6">
              <w:rPr>
                <w:rFonts w:ascii="Times New Roman" w:hAnsi="Times New Roman"/>
                <w:sz w:val="22"/>
                <w:szCs w:val="22"/>
              </w:rPr>
              <w:t> </w:t>
            </w:r>
            <w:r w:rsidR="00941B6B" w:rsidRPr="009E07B6">
              <w:rPr>
                <w:rFonts w:ascii="Times New Roman" w:hAnsi="Times New Roman"/>
                <w:sz w:val="22"/>
                <w:szCs w:val="22"/>
              </w:rPr>
              <w:t>222</w:t>
            </w:r>
            <w:r w:rsidR="004F27F9" w:rsidRPr="009E07B6">
              <w:rPr>
                <w:rFonts w:ascii="Times New Roman" w:hAnsi="Times New Roman"/>
                <w:sz w:val="22"/>
                <w:szCs w:val="22"/>
              </w:rPr>
              <w:t>B(1)</w:t>
            </w:r>
          </w:p>
        </w:tc>
        <w:tc>
          <w:tcPr>
            <w:tcW w:w="4820" w:type="dxa"/>
          </w:tcPr>
          <w:p w14:paraId="0FC3B01C" w14:textId="010B4A72" w:rsidR="00232DCE" w:rsidRPr="009E07B6" w:rsidRDefault="004F27F9"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"nominated entity</w:t>
            </w:r>
            <w:r w:rsidR="00F7345D" w:rsidRPr="009E07B6">
              <w:rPr>
                <w:rFonts w:ascii="Times New Roman" w:hAnsi="Times New Roman"/>
                <w:sz w:val="22"/>
                <w:szCs w:val="22"/>
              </w:rPr>
              <w:t>,</w:t>
            </w:r>
            <w:r w:rsidR="00897ECA" w:rsidRPr="009E07B6">
              <w:rPr>
                <w:rFonts w:ascii="Times New Roman" w:hAnsi="Times New Roman"/>
                <w:sz w:val="22"/>
                <w:szCs w:val="22"/>
              </w:rPr>
              <w:t>"</w:t>
            </w:r>
          </w:p>
        </w:tc>
      </w:tr>
      <w:tr w:rsidR="006C0B08" w:rsidRPr="009E07B6" w14:paraId="60A89832" w14:textId="77777777" w:rsidTr="008579A8">
        <w:tc>
          <w:tcPr>
            <w:tcW w:w="4678" w:type="dxa"/>
          </w:tcPr>
          <w:p w14:paraId="1FED0CC9" w14:textId="0457B6DF" w:rsidR="006C0B08" w:rsidRPr="009E07B6" w:rsidRDefault="00927AE0" w:rsidP="00D67CB5">
            <w:pPr>
              <w:pStyle w:val="NormalBody"/>
              <w:spacing w:after="260" w:line="280" w:lineRule="exact"/>
              <w:rPr>
                <w:rFonts w:ascii="Times New Roman" w:hAnsi="Times New Roman"/>
                <w:sz w:val="22"/>
                <w:szCs w:val="22"/>
              </w:rPr>
            </w:pPr>
            <w:r w:rsidRPr="009E07B6">
              <w:rPr>
                <w:rFonts w:ascii="Times New Roman" w:hAnsi="Times New Roman"/>
                <w:i/>
                <w:iCs/>
                <w:sz w:val="22"/>
                <w:szCs w:val="22"/>
              </w:rPr>
              <w:t>Subdiv</w:t>
            </w:r>
            <w:r w:rsidR="00F12649" w:rsidRPr="009E07B6">
              <w:rPr>
                <w:rFonts w:ascii="Times New Roman" w:hAnsi="Times New Roman"/>
                <w:i/>
                <w:iCs/>
                <w:sz w:val="22"/>
                <w:szCs w:val="22"/>
              </w:rPr>
              <w:t>ision</w:t>
            </w:r>
            <w:r w:rsidRPr="009E07B6">
              <w:rPr>
                <w:rFonts w:ascii="Times New Roman" w:hAnsi="Times New Roman"/>
                <w:i/>
                <w:iCs/>
                <w:sz w:val="22"/>
                <w:szCs w:val="22"/>
              </w:rPr>
              <w:t> 2</w:t>
            </w:r>
            <w:r w:rsidR="00C56990" w:rsidRPr="009E07B6">
              <w:rPr>
                <w:rFonts w:ascii="Times New Roman" w:hAnsi="Times New Roman"/>
                <w:i/>
                <w:iCs/>
                <w:sz w:val="22"/>
                <w:szCs w:val="22"/>
              </w:rPr>
              <w:t xml:space="preserve"> – </w:t>
            </w:r>
            <w:r w:rsidR="000E00A8" w:rsidRPr="009E07B6">
              <w:rPr>
                <w:rFonts w:ascii="Times New Roman" w:hAnsi="Times New Roman"/>
                <w:i/>
                <w:iCs/>
                <w:sz w:val="22"/>
                <w:szCs w:val="22"/>
              </w:rPr>
              <w:t>Register of Nominated Entities</w:t>
            </w:r>
            <w:r w:rsidR="00C137A5" w:rsidRPr="009E07B6">
              <w:rPr>
                <w:rFonts w:ascii="Times New Roman" w:hAnsi="Times New Roman"/>
                <w:sz w:val="22"/>
                <w:szCs w:val="22"/>
              </w:rPr>
              <w:t xml:space="preserve"> </w:t>
            </w:r>
            <w:r w:rsidR="00A024EB" w:rsidRPr="009E07B6">
              <w:rPr>
                <w:rFonts w:ascii="Times New Roman" w:hAnsi="Times New Roman"/>
                <w:sz w:val="22"/>
                <w:szCs w:val="22"/>
              </w:rPr>
              <w:t>(</w:t>
            </w:r>
            <w:r w:rsidRPr="009E07B6">
              <w:rPr>
                <w:rFonts w:ascii="Times New Roman" w:hAnsi="Times New Roman"/>
                <w:sz w:val="22"/>
                <w:szCs w:val="22"/>
              </w:rPr>
              <w:t>ss 22</w:t>
            </w:r>
            <w:r w:rsidR="008F6659" w:rsidRPr="009E07B6">
              <w:rPr>
                <w:rFonts w:ascii="Times New Roman" w:hAnsi="Times New Roman"/>
                <w:sz w:val="22"/>
                <w:szCs w:val="22"/>
              </w:rPr>
              <w:t>2</w:t>
            </w:r>
            <w:r w:rsidRPr="009E07B6">
              <w:rPr>
                <w:rFonts w:ascii="Times New Roman" w:hAnsi="Times New Roman"/>
                <w:sz w:val="22"/>
                <w:szCs w:val="22"/>
              </w:rPr>
              <w:t>E</w:t>
            </w:r>
            <w:r w:rsidR="000B64DA" w:rsidRPr="009E07B6">
              <w:rPr>
                <w:rFonts w:ascii="Times New Roman" w:hAnsi="Times New Roman"/>
                <w:sz w:val="22"/>
                <w:szCs w:val="22"/>
              </w:rPr>
              <w:noBreakHyphen/>
            </w:r>
            <w:r w:rsidRPr="009E07B6">
              <w:rPr>
                <w:rFonts w:ascii="Times New Roman" w:hAnsi="Times New Roman"/>
                <w:sz w:val="22"/>
                <w:szCs w:val="22"/>
              </w:rPr>
              <w:t>222I</w:t>
            </w:r>
            <w:r w:rsidR="00A024EB" w:rsidRPr="009E07B6">
              <w:rPr>
                <w:rFonts w:ascii="Times New Roman" w:hAnsi="Times New Roman"/>
                <w:sz w:val="22"/>
                <w:szCs w:val="22"/>
              </w:rPr>
              <w:t>)</w:t>
            </w:r>
          </w:p>
        </w:tc>
        <w:tc>
          <w:tcPr>
            <w:tcW w:w="4820" w:type="dxa"/>
          </w:tcPr>
          <w:p w14:paraId="64104EB6" w14:textId="4C76988C" w:rsidR="006C0B08" w:rsidRPr="009E07B6" w:rsidRDefault="00D653FD" w:rsidP="00D67CB5">
            <w:pPr>
              <w:pStyle w:val="NormalBody"/>
              <w:spacing w:after="260" w:line="280" w:lineRule="exact"/>
              <w:rPr>
                <w:rFonts w:ascii="Times New Roman" w:hAnsi="Times New Roman"/>
                <w:sz w:val="22"/>
                <w:szCs w:val="22"/>
              </w:rPr>
            </w:pPr>
            <w:r w:rsidRPr="009E07B6">
              <w:rPr>
                <w:rFonts w:ascii="Times New Roman" w:hAnsi="Times New Roman"/>
                <w:sz w:val="22"/>
                <w:szCs w:val="22"/>
              </w:rPr>
              <w:t>Whole Subdivision</w:t>
            </w:r>
          </w:p>
        </w:tc>
      </w:tr>
    </w:tbl>
    <w:p w14:paraId="55B22F83" w14:textId="77777777" w:rsidR="00960529" w:rsidRDefault="00960529" w:rsidP="00C56307">
      <w:pPr>
        <w:pStyle w:val="FixListStyle"/>
        <w:numPr>
          <w:ilvl w:val="0"/>
          <w:numId w:val="0"/>
        </w:numPr>
        <w:spacing w:after="260" w:line="280" w:lineRule="exact"/>
        <w:ind w:right="0"/>
        <w:jc w:val="both"/>
        <w:rPr>
          <w:rFonts w:ascii="Times New Roman" w:hAnsi="Times New Roman"/>
        </w:rPr>
      </w:pPr>
    </w:p>
    <w:p w14:paraId="2FD5A2BC" w14:textId="77777777" w:rsidR="00960529" w:rsidRDefault="00960529" w:rsidP="00C56307">
      <w:pPr>
        <w:pStyle w:val="FixListStyle"/>
        <w:numPr>
          <w:ilvl w:val="0"/>
          <w:numId w:val="0"/>
        </w:numPr>
        <w:spacing w:after="260" w:line="280" w:lineRule="exact"/>
        <w:ind w:right="0"/>
        <w:jc w:val="both"/>
        <w:rPr>
          <w:rFonts w:ascii="Times New Roman" w:hAnsi="Times New Roman"/>
        </w:rPr>
        <w:sectPr w:rsidR="00960529" w:rsidSect="00580BF2">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0AAEDFD8" w14:textId="77777777" w:rsidR="00960529" w:rsidRPr="00BB2B3C" w:rsidRDefault="00960529" w:rsidP="00BB2B3C">
      <w:pPr>
        <w:pStyle w:val="NormalBody"/>
        <w:tabs>
          <w:tab w:val="clear" w:pos="720"/>
          <w:tab w:val="left" w:pos="0"/>
        </w:tabs>
        <w:spacing w:after="260" w:line="280" w:lineRule="exact"/>
        <w:ind w:right="0"/>
        <w:jc w:val="both"/>
        <w:rPr>
          <w:rFonts w:ascii="Times New Roman" w:hAnsi="Times New Roman"/>
        </w:rPr>
      </w:pPr>
      <w:r w:rsidRPr="00BB2B3C">
        <w:rPr>
          <w:rFonts w:ascii="Times New Roman" w:hAnsi="Times New Roman"/>
        </w:rPr>
        <w:lastRenderedPageBreak/>
        <w:t xml:space="preserve">EDELMAN J.   </w:t>
      </w:r>
    </w:p>
    <w:p w14:paraId="71CE17F0" w14:textId="77777777" w:rsidR="00960529" w:rsidRPr="00BB2B3C" w:rsidRDefault="00960529" w:rsidP="00BB2B3C">
      <w:pPr>
        <w:pStyle w:val="HeadingL1"/>
        <w:spacing w:after="260" w:line="280" w:lineRule="exact"/>
        <w:ind w:right="0"/>
        <w:jc w:val="both"/>
        <w:rPr>
          <w:rFonts w:ascii="Times New Roman" w:hAnsi="Times New Roman"/>
        </w:rPr>
      </w:pPr>
      <w:r w:rsidRPr="00BB2B3C">
        <w:rPr>
          <w:rFonts w:ascii="Times New Roman" w:hAnsi="Times New Roman"/>
        </w:rPr>
        <w:t>An impugned law and its legislative purpose inextricable from the other purposes in a regulatory scheme</w:t>
      </w:r>
    </w:p>
    <w:p w14:paraId="0A79546B"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In 2018, Pt 12 of the </w:t>
      </w:r>
      <w:r w:rsidRPr="00BB2B3C">
        <w:rPr>
          <w:rFonts w:ascii="Times New Roman" w:hAnsi="Times New Roman"/>
          <w:i/>
          <w:iCs/>
        </w:rPr>
        <w:t>Electoral Act</w:t>
      </w:r>
      <w:r w:rsidRPr="00BB2B3C">
        <w:rPr>
          <w:rFonts w:ascii="Times New Roman" w:hAnsi="Times New Roman"/>
        </w:rPr>
        <w:t xml:space="preserve"> </w:t>
      </w:r>
      <w:r w:rsidRPr="00BB2B3C">
        <w:rPr>
          <w:rFonts w:ascii="Times New Roman" w:hAnsi="Times New Roman"/>
          <w:i/>
          <w:iCs/>
        </w:rPr>
        <w:t xml:space="preserve">2002 </w:t>
      </w:r>
      <w:r w:rsidRPr="00BB2B3C">
        <w:rPr>
          <w:rFonts w:ascii="Times New Roman" w:hAnsi="Times New Roman"/>
        </w:rPr>
        <w:t>(Vic) was amended to reform the regime concerning electoral expenditure and political donations</w:t>
      </w:r>
      <w:r w:rsidRPr="00BB2B3C">
        <w:rPr>
          <w:rStyle w:val="FootnoteReference"/>
          <w:rFonts w:ascii="Times New Roman" w:hAnsi="Times New Roman"/>
          <w:sz w:val="24"/>
        </w:rPr>
        <w:footnoteReference w:id="110"/>
      </w:r>
      <w:r w:rsidRPr="00BB2B3C">
        <w:rPr>
          <w:rFonts w:ascii="Times New Roman" w:hAnsi="Times New Roman"/>
        </w:rPr>
        <w:t xml:space="preserve"> ("the 2018 Amendments"). An integral part of the new regime is s 217D, which imposes a "general cap" on political donations.</w:t>
      </w:r>
      <w:r w:rsidRPr="00BB2B3C">
        <w:rPr>
          <w:rStyle w:val="FootnoteReference"/>
          <w:rFonts w:ascii="Times New Roman" w:hAnsi="Times New Roman"/>
          <w:sz w:val="24"/>
        </w:rPr>
        <w:footnoteReference w:id="111"/>
      </w:r>
      <w:r w:rsidRPr="00BB2B3C">
        <w:rPr>
          <w:rFonts w:ascii="Times New Roman" w:hAnsi="Times New Roman"/>
        </w:rPr>
        <w:t xml:space="preserve"> Part of the scheme of regulation concerns entities nominated by registered political parties, called "nominated entities", which are entered on a Register of Nominated Entities.</w:t>
      </w:r>
      <w:r w:rsidRPr="00BB2B3C">
        <w:rPr>
          <w:rStyle w:val="FootnoteReference"/>
          <w:rFonts w:ascii="Times New Roman" w:hAnsi="Times New Roman"/>
          <w:sz w:val="24"/>
        </w:rPr>
        <w:footnoteReference w:id="112"/>
      </w:r>
      <w:r w:rsidRPr="00BB2B3C">
        <w:rPr>
          <w:rFonts w:ascii="Times New Roman" w:hAnsi="Times New Roman"/>
        </w:rPr>
        <w:t xml:space="preserve"> Nominated entities and their registered agents come under substantial obligations under the </w:t>
      </w:r>
      <w:r w:rsidRPr="00BB2B3C">
        <w:rPr>
          <w:rFonts w:ascii="Times New Roman" w:hAnsi="Times New Roman"/>
          <w:i/>
        </w:rPr>
        <w:t>Electoral Act</w:t>
      </w:r>
      <w:r w:rsidRPr="00BB2B3C">
        <w:rPr>
          <w:rFonts w:ascii="Times New Roman" w:hAnsi="Times New Roman"/>
        </w:rPr>
        <w:t>, including disclosure requirements.</w:t>
      </w:r>
      <w:r w:rsidRPr="00BB2B3C">
        <w:rPr>
          <w:rStyle w:val="FootnoteReference"/>
          <w:rFonts w:ascii="Times New Roman" w:hAnsi="Times New Roman"/>
          <w:sz w:val="24"/>
        </w:rPr>
        <w:footnoteReference w:id="113"/>
      </w:r>
      <w:r w:rsidRPr="00BB2B3C">
        <w:rPr>
          <w:rFonts w:ascii="Times New Roman" w:hAnsi="Times New Roman"/>
        </w:rPr>
        <w:t xml:space="preserve"> </w:t>
      </w:r>
    </w:p>
    <w:p w14:paraId="6BA834A8"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Since political donations made to a nominated entity of a registered political party are subject to the general cap,</w:t>
      </w:r>
      <w:r w:rsidRPr="00BB2B3C">
        <w:rPr>
          <w:rStyle w:val="FootnoteReference"/>
          <w:rFonts w:ascii="Times New Roman" w:hAnsi="Times New Roman"/>
          <w:sz w:val="24"/>
        </w:rPr>
        <w:footnoteReference w:id="114"/>
      </w:r>
      <w:r w:rsidRPr="00BB2B3C">
        <w:rPr>
          <w:rFonts w:ascii="Times New Roman" w:hAnsi="Times New Roman"/>
        </w:rPr>
        <w:t xml:space="preserve"> and are also included as a political donation to the registered political party for the purposes of the general cap,</w:t>
      </w:r>
      <w:r w:rsidRPr="00BB2B3C">
        <w:rPr>
          <w:rStyle w:val="FootnoteReference"/>
          <w:rFonts w:ascii="Times New Roman" w:hAnsi="Times New Roman"/>
          <w:sz w:val="24"/>
        </w:rPr>
        <w:footnoteReference w:id="115"/>
      </w:r>
      <w:r w:rsidRPr="00BB2B3C">
        <w:rPr>
          <w:rFonts w:ascii="Times New Roman" w:hAnsi="Times New Roman"/>
        </w:rPr>
        <w:t xml:space="preserve"> the question arises: why would a registered political party appoint a nominated entity? The answer is that there is an exception to the general cap for a "gift ... received by a registered political party from the nominated entity of the registered political party".</w:t>
      </w:r>
      <w:r w:rsidRPr="00BB2B3C">
        <w:rPr>
          <w:rStyle w:val="FootnoteReference"/>
          <w:rFonts w:ascii="Times New Roman" w:hAnsi="Times New Roman"/>
          <w:sz w:val="24"/>
        </w:rPr>
        <w:footnoteReference w:id="116"/>
      </w:r>
      <w:r w:rsidRPr="00BB2B3C">
        <w:rPr>
          <w:rFonts w:ascii="Times New Roman" w:hAnsi="Times New Roman"/>
        </w:rPr>
        <w:t xml:space="preserve"> This was described in this case as the "nominated entity exception". The nominated entity exception means that although donations to a nominated entity, after the commencement of the relevant 2018 Amendments, will count towards the general cap for registered political parties, a donation of existing assets of a nominated entity to the registered political party will not count towards the general cap. </w:t>
      </w:r>
    </w:p>
    <w:p w14:paraId="2EF8FC2E"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Not all registered political parties can obtain this benefit. The laws (legal rules) which are central to achieving the benefit of uncapped donations from the existing assets of a nominated entity are contained in s 222F of the </w:t>
      </w:r>
      <w:r w:rsidRPr="00BB2B3C">
        <w:rPr>
          <w:rFonts w:ascii="Times New Roman" w:hAnsi="Times New Roman"/>
          <w:i/>
          <w:iCs/>
        </w:rPr>
        <w:t>Electoral Act</w:t>
      </w:r>
      <w:r w:rsidRPr="00BB2B3C">
        <w:rPr>
          <w:rFonts w:ascii="Times New Roman" w:hAnsi="Times New Roman"/>
        </w:rPr>
        <w:t>,</w:t>
      </w:r>
      <w:r w:rsidRPr="00BB2B3C">
        <w:rPr>
          <w:rFonts w:ascii="Times New Roman" w:hAnsi="Times New Roman"/>
          <w:i/>
          <w:iCs/>
        </w:rPr>
        <w:t xml:space="preserve"> </w:t>
      </w:r>
      <w:r w:rsidRPr="00BB2B3C">
        <w:rPr>
          <w:rFonts w:ascii="Times New Roman" w:hAnsi="Times New Roman"/>
        </w:rPr>
        <w:lastRenderedPageBreak/>
        <w:t>which the 2018 Amendments inserted with effect from 1 August 2018.</w:t>
      </w:r>
      <w:r w:rsidRPr="00BB2B3C">
        <w:rPr>
          <w:rStyle w:val="FootnoteReference"/>
          <w:rFonts w:ascii="Times New Roman" w:hAnsi="Times New Roman"/>
          <w:sz w:val="24"/>
        </w:rPr>
        <w:footnoteReference w:id="117"/>
      </w:r>
      <w:r w:rsidRPr="00BB2B3C">
        <w:rPr>
          <w:rFonts w:ascii="Times New Roman" w:hAnsi="Times New Roman"/>
        </w:rPr>
        <w:t xml:space="preserve"> Section 222F(2) of the </w:t>
      </w:r>
      <w:r w:rsidRPr="00BB2B3C">
        <w:rPr>
          <w:rFonts w:ascii="Times New Roman" w:hAnsi="Times New Roman"/>
          <w:i/>
          <w:iCs/>
        </w:rPr>
        <w:t xml:space="preserve">Electoral Act </w:t>
      </w:r>
      <w:r w:rsidRPr="00BB2B3C">
        <w:rPr>
          <w:rFonts w:ascii="Times New Roman" w:hAnsi="Times New Roman"/>
        </w:rPr>
        <w:t>provides for the eligibility criteria for appointment of a nominated entity of a registered political party. Those criteria include that the nominated entity is controlled by the registered political party and that the nominated entity (or the trust for which it is a trustee) operates or is established and maintained for the sole benefit of the members of the registered political party. In broad terms, s 222F(2) permits a nominated entity to be appointed</w:t>
      </w:r>
      <w:r w:rsidRPr="00BB2B3C" w:rsidDel="0043017D">
        <w:rPr>
          <w:rFonts w:ascii="Times New Roman" w:hAnsi="Times New Roman"/>
        </w:rPr>
        <w:t xml:space="preserve"> </w:t>
      </w:r>
      <w:r w:rsidRPr="00BB2B3C">
        <w:rPr>
          <w:rFonts w:ascii="Times New Roman" w:hAnsi="Times New Roman"/>
        </w:rPr>
        <w:t xml:space="preserve">where the nominated entity is controlled by, and very closely related in its objects to, the registered political party. It is that appointment as a nominated entity which triggers the operation of the provisions that regulate nominated entities and therefore also permits (by the nominated entity exception in the definition of "gift") the nominated entity to donate any of its existing assets to the registered political party which has appointed it without the donation counting towards the general cap. </w:t>
      </w:r>
    </w:p>
    <w:p w14:paraId="20EF40F6"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Section 222F(3) of the </w:t>
      </w:r>
      <w:r w:rsidRPr="00BB2B3C">
        <w:rPr>
          <w:rFonts w:ascii="Times New Roman" w:hAnsi="Times New Roman"/>
          <w:i/>
          <w:iCs/>
        </w:rPr>
        <w:t xml:space="preserve">Electoral Act </w:t>
      </w:r>
      <w:r w:rsidRPr="00BB2B3C">
        <w:rPr>
          <w:rFonts w:ascii="Times New Roman" w:hAnsi="Times New Roman"/>
        </w:rPr>
        <w:t xml:space="preserve">was introduced because of a concern that s 222F(2) could not serve its purpose in relation to at least one of the major registered political parties, which had been receiving substantial political donations from the assets of an aligned entity that might not meet the strict requirements of s 222F(2). That party was the Liberal Party of Australia (Victorian Division) ("the Victorian Liberal Party"). It is also arguable that the terms of s 222F(2) might not have achieved its aims in relation to two other registered political parties which each received substantial political donations from the assets of aligned entities: the Australian Labor Party – Victorian Branch ("the Victorian Labor Party") and the National Party of Australia – Victoria ("the Victorian National Party"). Those three registered political parties were described by the plaintiffs to this special case as the "legacy parties" due to the legacy preserved only for them by s 222F(3).  </w:t>
      </w:r>
    </w:p>
    <w:p w14:paraId="159BE573"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For any registered political party which has a nominated entity appointed before 1 July 2020, s 222F(3) permits existing assets of the nominated entity to be donated to that registered political party without those donations counting towards the general cap, even if the nominated entity is not controlled by the registered political party, and even if the nominated entity operates or is established and maintained (or the trust for which it is a trustee is established and maintained) only for the principal, not the sole, benefit of the members of the registered political party. The only nominated entities that were appointed before 1 July 2020 were appointed by the legacy parties. </w:t>
      </w:r>
    </w:p>
    <w:p w14:paraId="18BE3C94"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issue in this special case is whether the purpose or effect of some or all of the laws in Pt 12 of the </w:t>
      </w:r>
      <w:r w:rsidRPr="00BB2B3C">
        <w:rPr>
          <w:rFonts w:ascii="Times New Roman" w:hAnsi="Times New Roman"/>
          <w:i/>
          <w:iCs/>
        </w:rPr>
        <w:t xml:space="preserve">Electoral Act </w:t>
      </w:r>
      <w:r w:rsidRPr="00BB2B3C">
        <w:rPr>
          <w:rFonts w:ascii="Times New Roman" w:hAnsi="Times New Roman"/>
        </w:rPr>
        <w:t xml:space="preserve">is inconsistent with the implied freedom of political communication in the </w:t>
      </w:r>
      <w:r w:rsidRPr="00BB2B3C">
        <w:rPr>
          <w:rFonts w:ascii="Times New Roman" w:hAnsi="Times New Roman"/>
          <w:i/>
          <w:iCs/>
        </w:rPr>
        <w:t xml:space="preserve">Constitution. </w:t>
      </w:r>
      <w:r w:rsidRPr="00BB2B3C">
        <w:rPr>
          <w:rFonts w:ascii="Times New Roman" w:hAnsi="Times New Roman"/>
        </w:rPr>
        <w:t xml:space="preserve">The analysis must begin with the </w:t>
      </w:r>
      <w:r w:rsidRPr="00BB2B3C">
        <w:rPr>
          <w:rFonts w:ascii="Times New Roman" w:hAnsi="Times New Roman"/>
        </w:rPr>
        <w:lastRenderedPageBreak/>
        <w:t xml:space="preserve">identification of the particular law (legal rule) which was challenged by the plaintiffs. Although the plaintiffs described the law which was the subject of their challenge in different ways, their challenge was essentially directed to the purpose and effect of s 222F(3) of the </w:t>
      </w:r>
      <w:r w:rsidRPr="00BB2B3C">
        <w:rPr>
          <w:rFonts w:ascii="Times New Roman" w:hAnsi="Times New Roman"/>
          <w:i/>
          <w:iCs/>
        </w:rPr>
        <w:t xml:space="preserve">Electoral Act </w:t>
      </w:r>
      <w:r w:rsidRPr="00BB2B3C">
        <w:rPr>
          <w:rFonts w:ascii="Times New Roman" w:hAnsi="Times New Roman"/>
        </w:rPr>
        <w:t xml:space="preserve">in the context of Pt 12. That challenge was met with a concession by Victoria that the 1 July 2020 cut-off in s 222F(3) is a disproportionate means of giving effect to the purpose of the law. </w:t>
      </w:r>
    </w:p>
    <w:p w14:paraId="5526BE66"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Although the concession by Victoria seemed to concern disproportionality between, on the one hand, the extent of the burden on free political communication imposed by the means adopted in s 222F(3), and, on the other hand, the purpose of s 222F(3), Victoria never explained why the means adopted in s 222F(3) are not proportionate to the purpose of permitting only the three legacy parties to obtain donations from the existing assets of aligned entities separately from the general cap. Victoria's concession that s 222F(3) is partly invalid can only be understood as a concession of the illegitimacy of a purpose of s 222F(3). </w:t>
      </w:r>
    </w:p>
    <w:p w14:paraId="4A633794"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 xml:space="preserve"> </w:t>
      </w:r>
      <w:r w:rsidRPr="00BB2B3C">
        <w:rPr>
          <w:rFonts w:ascii="Times New Roman" w:hAnsi="Times New Roman"/>
        </w:rPr>
        <w:tab/>
        <w:t xml:space="preserve">That concession must be accepted in the circumstances of this special case, which include the limited argument concerning the purpose of s 222F(3) and, as Steward J explains, the limited materials before this Court. Because the illegitimate purpose of s 222F(3) is inextricably connected with the purpose of the other laws in Pt 12, all of the laws that make up the scheme of Pt 12 are infected by that illegitimate purpose and are invalid. </w:t>
      </w:r>
    </w:p>
    <w:p w14:paraId="5B581184" w14:textId="77777777" w:rsidR="00960529" w:rsidRPr="00BB2B3C" w:rsidRDefault="00960529" w:rsidP="00BB2B3C">
      <w:pPr>
        <w:pStyle w:val="HeadingL1"/>
        <w:spacing w:after="260" w:line="280" w:lineRule="exact"/>
        <w:ind w:right="0"/>
        <w:jc w:val="both"/>
        <w:rPr>
          <w:rFonts w:ascii="Times New Roman" w:hAnsi="Times New Roman"/>
        </w:rPr>
      </w:pPr>
      <w:r w:rsidRPr="00BB2B3C">
        <w:rPr>
          <w:rFonts w:ascii="Times New Roman" w:hAnsi="Times New Roman"/>
        </w:rPr>
        <w:t>The facts of the special case in outline</w:t>
      </w:r>
    </w:p>
    <w:p w14:paraId="5CA4CC3E"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background to this special case, including the legislative provisions, is comprehensively set out in the joint reasons of Gageler CJ, Gordon, Jagot and Beech-Jones JJ. It is necessary only to make the following points.  </w:t>
      </w:r>
    </w:p>
    <w:p w14:paraId="393C57D1"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Two central requirements of s 222F(2) of the </w:t>
      </w:r>
      <w:r w:rsidRPr="00BB2B3C">
        <w:rPr>
          <w:rFonts w:ascii="Times New Roman" w:hAnsi="Times New Roman"/>
          <w:i/>
          <w:iCs/>
        </w:rPr>
        <w:t>Electoral Act</w:t>
      </w:r>
      <w:r w:rsidRPr="00BB2B3C">
        <w:rPr>
          <w:rFonts w:ascii="Times New Roman" w:hAnsi="Times New Roman"/>
        </w:rPr>
        <w:t xml:space="preserve"> before an entity is eligible to be appointed as the nominated entity of a registered political party are that: (</w:t>
      </w:r>
      <w:proofErr w:type="spellStart"/>
      <w:r w:rsidRPr="00BB2B3C">
        <w:rPr>
          <w:rFonts w:ascii="Times New Roman" w:hAnsi="Times New Roman"/>
        </w:rPr>
        <w:t>i</w:t>
      </w:r>
      <w:proofErr w:type="spellEnd"/>
      <w:r w:rsidRPr="00BB2B3C">
        <w:rPr>
          <w:rFonts w:ascii="Times New Roman" w:hAnsi="Times New Roman"/>
        </w:rPr>
        <w:t xml:space="preserve">) the entity must be controlled by the registered political party, applying the strict control provision in s 50AA of the </w:t>
      </w:r>
      <w:r w:rsidRPr="00BB2B3C">
        <w:rPr>
          <w:rFonts w:ascii="Times New Roman" w:hAnsi="Times New Roman"/>
          <w:i/>
          <w:iCs/>
        </w:rPr>
        <w:t xml:space="preserve">Corporations Act 2001 </w:t>
      </w:r>
      <w:r w:rsidRPr="00BB2B3C">
        <w:rPr>
          <w:rFonts w:ascii="Times New Roman" w:hAnsi="Times New Roman"/>
        </w:rPr>
        <w:t>(</w:t>
      </w:r>
      <w:proofErr w:type="spellStart"/>
      <w:r w:rsidRPr="00BB2B3C">
        <w:rPr>
          <w:rFonts w:ascii="Times New Roman" w:hAnsi="Times New Roman"/>
        </w:rPr>
        <w:t>Cth</w:t>
      </w:r>
      <w:proofErr w:type="spellEnd"/>
      <w:r w:rsidRPr="00BB2B3C">
        <w:rPr>
          <w:rFonts w:ascii="Times New Roman" w:hAnsi="Times New Roman"/>
        </w:rPr>
        <w:t>); and (ii) the entity operates, or is established and maintained (or is the trustee of a trust that is established and maintained), for the sole benefit of the members of the registered political party.</w:t>
      </w:r>
      <w:r w:rsidRPr="00BB2B3C">
        <w:rPr>
          <w:rStyle w:val="FootnoteReference"/>
          <w:rFonts w:ascii="Times New Roman" w:hAnsi="Times New Roman"/>
          <w:sz w:val="24"/>
        </w:rPr>
        <w:footnoteReference w:id="118"/>
      </w:r>
      <w:r w:rsidRPr="00BB2B3C">
        <w:rPr>
          <w:rFonts w:ascii="Times New Roman" w:hAnsi="Times New Roman"/>
        </w:rPr>
        <w:t xml:space="preserve"> If assets of a nominated entity had been acquired prior to the amendments to the </w:t>
      </w:r>
      <w:r w:rsidRPr="00BB2B3C">
        <w:rPr>
          <w:rFonts w:ascii="Times New Roman" w:hAnsi="Times New Roman"/>
          <w:i/>
          <w:iCs/>
        </w:rPr>
        <w:t xml:space="preserve">Electoral Act </w:t>
      </w:r>
      <w:r w:rsidRPr="00BB2B3C">
        <w:rPr>
          <w:rFonts w:ascii="Times New Roman" w:hAnsi="Times New Roman"/>
        </w:rPr>
        <w:t xml:space="preserve">taking effect in 2018, then the existing assets of the nominated entity could, after the commencement of the relevant 2018 </w:t>
      </w:r>
      <w:r w:rsidRPr="00BB2B3C">
        <w:rPr>
          <w:rFonts w:ascii="Times New Roman" w:hAnsi="Times New Roman"/>
        </w:rPr>
        <w:lastRenderedPageBreak/>
        <w:t>Amendments, be donated to the registered political party that appointed the nominated entity without the donation counting towards the general cap.</w:t>
      </w:r>
      <w:r w:rsidRPr="00BB2B3C">
        <w:rPr>
          <w:rStyle w:val="FootnoteReference"/>
          <w:rFonts w:ascii="Times New Roman" w:hAnsi="Times New Roman"/>
          <w:sz w:val="24"/>
        </w:rPr>
        <w:footnoteReference w:id="119"/>
      </w:r>
      <w:r w:rsidRPr="00BB2B3C">
        <w:rPr>
          <w:rFonts w:ascii="Times New Roman" w:hAnsi="Times New Roman"/>
        </w:rPr>
        <w:t xml:space="preserve"> </w:t>
      </w:r>
    </w:p>
    <w:p w14:paraId="5B01B8FA"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Victorian Liberal Party has a nominated entity called Cormack Foundation Pty Ltd ("the Cormack Foundation"), which had net assets of $89,656,938 as at 30 June 2024. The Victorian Labor Party has a nominated entity called Labor Services &amp; Holdings Pty Ltd as trustee for Labor Services &amp; Holdings Trust ("the LSH Trust"), which had net assets of $3,125,665 as at 30 June 2024, including cash of $8,585,320. The Victorian National Party has a nominated entity called Pilliwinks Pty Ltd ("Pilliwinks"). As at 30 June 2024, Pilliwinks had a wealth management investment of $706,994 and a term deposit of $200,000. It also had receipts of $2,583,799 from Morgan Stanley Wealth Management Australia Pty Ltd in the 2018 to 2024 financial years. </w:t>
      </w:r>
    </w:p>
    <w:p w14:paraId="6C2236AB"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Prior to the passage of the 2018 Amendments, in a decision of the Federal Court on 14 June 2018, Beach J rejected a claim which would have given "the [Victorian] Liberal Party a beneficial interest in 100% of the issued share capital of the Cormack Foundation".</w:t>
      </w:r>
      <w:r w:rsidRPr="00BB2B3C">
        <w:rPr>
          <w:rStyle w:val="FootnoteReference"/>
          <w:rFonts w:ascii="Times New Roman" w:hAnsi="Times New Roman"/>
          <w:sz w:val="24"/>
        </w:rPr>
        <w:footnoteReference w:id="120"/>
      </w:r>
      <w:r w:rsidRPr="00BB2B3C">
        <w:rPr>
          <w:rFonts w:ascii="Times New Roman" w:hAnsi="Times New Roman"/>
        </w:rPr>
        <w:t xml:space="preserve"> The consequence of this decision was that the Cormack Foundation may not have been controlled by the Victorian Liberal Party and therefore may not have fallen within the terms of the proposed s 222F(2) which was being considered by the Victorian Parliament. </w:t>
      </w:r>
    </w:p>
    <w:p w14:paraId="779834E1"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On 22 June 2018, in the Legislative Council, reference was made to the "conundrum that the [Victorian] Liberal Party ... faced in relation to its connection with the Cormack Foundation", and it was contemplated that amendments may be necessary to "</w:t>
      </w:r>
      <w:proofErr w:type="spellStart"/>
      <w:r w:rsidRPr="00BB2B3C">
        <w:rPr>
          <w:rFonts w:ascii="Times New Roman" w:hAnsi="Times New Roman"/>
        </w:rPr>
        <w:t>accommodat</w:t>
      </w:r>
      <w:proofErr w:type="spellEnd"/>
      <w:r w:rsidRPr="00BB2B3C">
        <w:rPr>
          <w:rFonts w:ascii="Times New Roman" w:hAnsi="Times New Roman"/>
        </w:rPr>
        <w:t>[e] ... the needs of the [Victorian] Liberal Party".</w:t>
      </w:r>
      <w:r w:rsidRPr="00BB2B3C">
        <w:rPr>
          <w:rStyle w:val="FootnoteReference"/>
          <w:rFonts w:ascii="Times New Roman" w:hAnsi="Times New Roman"/>
          <w:sz w:val="24"/>
        </w:rPr>
        <w:footnoteReference w:id="121"/>
      </w:r>
      <w:r w:rsidRPr="00BB2B3C">
        <w:rPr>
          <w:rFonts w:ascii="Times New Roman" w:hAnsi="Times New Roman"/>
        </w:rPr>
        <w:t xml:space="preserve"> A related concern might have been expressed about the LSH Trust. Although the terms of the trust deed for the LSH Trust require the trust fund to be held for the benefit of the members of the Victorian Labor Party, there is no obligation upon the trustee to deal with trust assets in accordance with decisions made by the Victorian Labor Party, and there may not be sufficient capacity for the Victorian Labor Party to determine the outcome of decisions about the financial and operating policies of the LSH Trust to establish control within the meaning of s 50AA of the </w:t>
      </w:r>
      <w:r w:rsidRPr="00BB2B3C">
        <w:rPr>
          <w:rFonts w:ascii="Times New Roman" w:hAnsi="Times New Roman"/>
          <w:i/>
        </w:rPr>
        <w:t>Corporations Act</w:t>
      </w:r>
      <w:r w:rsidRPr="00BB2B3C">
        <w:rPr>
          <w:rFonts w:ascii="Times New Roman" w:hAnsi="Times New Roman"/>
        </w:rPr>
        <w:t xml:space="preserve">. And the same might also be said of Pilliwinks, which has no obligation to deal with its assets in accordance with decisions made </w:t>
      </w:r>
      <w:r w:rsidRPr="00BB2B3C">
        <w:rPr>
          <w:rFonts w:ascii="Times New Roman" w:hAnsi="Times New Roman"/>
        </w:rPr>
        <w:lastRenderedPageBreak/>
        <w:t xml:space="preserve">by the Victorian National Party and whose many beneficiaries include, but are not limited to, the Victorian National Party. </w:t>
      </w:r>
    </w:p>
    <w:p w14:paraId="25319832"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consequence of the concern with the extent of control by the Victorian Liberal Party over the Cormack Foundation was the insertion into the 2018 Amendments, originating in the Legislative Council before the passage of the 2018 Amendments, of what is now s 222F(3) of the </w:t>
      </w:r>
      <w:r w:rsidRPr="00BB2B3C">
        <w:rPr>
          <w:rFonts w:ascii="Times New Roman" w:hAnsi="Times New Roman"/>
          <w:i/>
          <w:iCs/>
        </w:rPr>
        <w:t>Electoral Act</w:t>
      </w:r>
      <w:r w:rsidRPr="00BB2B3C">
        <w:rPr>
          <w:rFonts w:ascii="Times New Roman" w:hAnsi="Times New Roman"/>
        </w:rPr>
        <w:t>.</w:t>
      </w:r>
      <w:r w:rsidRPr="00BB2B3C">
        <w:rPr>
          <w:rStyle w:val="FootnoteReference"/>
          <w:rFonts w:ascii="Times New Roman" w:hAnsi="Times New Roman"/>
          <w:sz w:val="24"/>
        </w:rPr>
        <w:footnoteReference w:id="122"/>
      </w:r>
      <w:r w:rsidRPr="00BB2B3C">
        <w:rPr>
          <w:rFonts w:ascii="Times New Roman" w:hAnsi="Times New Roman"/>
        </w:rPr>
        <w:t xml:space="preserve"> Section 222F(3) provides for looser criteria for the eligibility for appointment of a nominated entity, including the exclusion of any criterion of control, provided that "the first appointment of an entity as the nominated entity of a registered political party is made before 1 July 2020". Prior to 1 July 2020, it was only the three legacy parties discussed above who had appointed a nominated entity. </w:t>
      </w:r>
    </w:p>
    <w:p w14:paraId="7AA884C3" w14:textId="77777777" w:rsidR="00960529" w:rsidRPr="00BB2B3C" w:rsidRDefault="00960529" w:rsidP="00BB2B3C">
      <w:pPr>
        <w:pStyle w:val="HeadingL1"/>
        <w:spacing w:after="260" w:line="280" w:lineRule="exact"/>
        <w:ind w:right="0"/>
        <w:jc w:val="both"/>
        <w:rPr>
          <w:rFonts w:ascii="Times New Roman" w:hAnsi="Times New Roman"/>
        </w:rPr>
      </w:pPr>
      <w:r w:rsidRPr="00BB2B3C">
        <w:rPr>
          <w:rFonts w:ascii="Times New Roman" w:hAnsi="Times New Roman"/>
        </w:rPr>
        <w:t>The centrality of legislative purpose and the impugned law to the implied freedom</w:t>
      </w:r>
    </w:p>
    <w:p w14:paraId="2DFA1B6F"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Since the unanimous decision of this Court in </w:t>
      </w:r>
      <w:r w:rsidRPr="00BB2B3C">
        <w:rPr>
          <w:rFonts w:ascii="Times New Roman" w:hAnsi="Times New Roman"/>
          <w:i/>
          <w:iCs/>
        </w:rPr>
        <w:t>Lange v Australian Broadcasting Corporation</w:t>
      </w:r>
      <w:r w:rsidRPr="00BB2B3C">
        <w:rPr>
          <w:rFonts w:ascii="Times New Roman" w:hAnsi="Times New Roman"/>
        </w:rPr>
        <w:t>,</w:t>
      </w:r>
      <w:r w:rsidRPr="00BB2B3C">
        <w:rPr>
          <w:rStyle w:val="FootnoteReference"/>
          <w:rFonts w:ascii="Times New Roman" w:hAnsi="Times New Roman"/>
          <w:sz w:val="24"/>
        </w:rPr>
        <w:footnoteReference w:id="123"/>
      </w:r>
      <w:r w:rsidRPr="00BB2B3C">
        <w:rPr>
          <w:rFonts w:ascii="Times New Roman" w:hAnsi="Times New Roman"/>
          <w:i/>
          <w:iCs/>
        </w:rPr>
        <w:t xml:space="preserve"> </w:t>
      </w:r>
      <w:r w:rsidRPr="00BB2B3C">
        <w:rPr>
          <w:rFonts w:ascii="Times New Roman" w:hAnsi="Times New Roman"/>
        </w:rPr>
        <w:t>the approach in this Court to applying the implied freedom of political communication has been developed,</w:t>
      </w:r>
      <w:r w:rsidRPr="00BB2B3C">
        <w:rPr>
          <w:rStyle w:val="FootnoteReference"/>
          <w:rFonts w:ascii="Times New Roman" w:hAnsi="Times New Roman"/>
          <w:sz w:val="24"/>
        </w:rPr>
        <w:footnoteReference w:id="124"/>
      </w:r>
      <w:r w:rsidRPr="00BB2B3C">
        <w:rPr>
          <w:rFonts w:ascii="Times New Roman" w:hAnsi="Times New Roman"/>
        </w:rPr>
        <w:t xml:space="preserve"> and adapted,</w:t>
      </w:r>
      <w:r w:rsidRPr="00BB2B3C">
        <w:rPr>
          <w:rStyle w:val="FootnoteReference"/>
          <w:rFonts w:ascii="Times New Roman" w:hAnsi="Times New Roman"/>
          <w:sz w:val="24"/>
        </w:rPr>
        <w:footnoteReference w:id="125"/>
      </w:r>
      <w:r w:rsidRPr="00BB2B3C">
        <w:rPr>
          <w:rFonts w:ascii="Times New Roman" w:hAnsi="Times New Roman"/>
        </w:rPr>
        <w:t xml:space="preserve"> to require three stages: (1) identification and assessment of any burden that the impugned law places on freedom of political communication; (2) assessment of whether all purposes of the impugned law are legitimate; and (3) assessment of the proportionality between the legitimate purpose of the impugned law and its effect in burdening freedom of political communication. </w:t>
      </w:r>
    </w:p>
    <w:p w14:paraId="6EFB4F0F"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At each stage there are issues on which the precedent of this Court has waxed and waned. Most recently, the precedent of this Court has waned in relation to stage (3). The proportionality assessment at that stage has commonly been expressed at a high level of generality by asking whether the effect of the impugned law is reasonably appropriate and adapted to its purpose. The expression "reasonably appropriate and adapted" is equally as vague as the expression "proportionality". As this Court said in the circumstances of </w:t>
      </w:r>
      <w:r w:rsidRPr="00BB2B3C">
        <w:rPr>
          <w:rFonts w:ascii="Times New Roman" w:hAnsi="Times New Roman"/>
          <w:i/>
          <w:iCs/>
        </w:rPr>
        <w:t>Lange</w:t>
      </w:r>
      <w:r w:rsidRPr="00BB2B3C">
        <w:rPr>
          <w:rFonts w:ascii="Times New Roman" w:hAnsi="Times New Roman"/>
        </w:rPr>
        <w:t xml:space="preserve">, "there is no need to distinguish" between the formulation of "whether the law is reasonably </w:t>
      </w:r>
      <w:r w:rsidRPr="00BB2B3C">
        <w:rPr>
          <w:rFonts w:ascii="Times New Roman" w:hAnsi="Times New Roman"/>
        </w:rPr>
        <w:lastRenderedPageBreak/>
        <w:t>appropriate and adapted to the fulfilment of a legitimate purpose" and the expression "proportionality".</w:t>
      </w:r>
      <w:r w:rsidRPr="00BB2B3C">
        <w:rPr>
          <w:rStyle w:val="FootnoteReference"/>
          <w:rFonts w:ascii="Times New Roman" w:hAnsi="Times New Roman"/>
          <w:sz w:val="24"/>
        </w:rPr>
        <w:footnoteReference w:id="126"/>
      </w:r>
      <w:r w:rsidRPr="00BB2B3C">
        <w:rPr>
          <w:rFonts w:ascii="Times New Roman" w:hAnsi="Times New Roman"/>
        </w:rPr>
        <w:t xml:space="preserve"> </w:t>
      </w:r>
    </w:p>
    <w:p w14:paraId="3A14D535"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In an attempt to introduce transparency into this approach, majority decisions of this Court for nearly a decade relied upon a test of structured proportionality which ask</w:t>
      </w:r>
      <w:r w:rsidRPr="00BB2B3C" w:rsidDel="0035449C">
        <w:rPr>
          <w:rFonts w:ascii="Times New Roman" w:hAnsi="Times New Roman"/>
        </w:rPr>
        <w:t>ed</w:t>
      </w:r>
      <w:r w:rsidRPr="00BB2B3C">
        <w:rPr>
          <w:rFonts w:ascii="Times New Roman" w:hAnsi="Times New Roman"/>
        </w:rPr>
        <w:t xml:space="preserve"> specific questions: (</w:t>
      </w:r>
      <w:proofErr w:type="spellStart"/>
      <w:r w:rsidRPr="00BB2B3C">
        <w:rPr>
          <w:rFonts w:ascii="Times New Roman" w:hAnsi="Times New Roman"/>
        </w:rPr>
        <w:t>i</w:t>
      </w:r>
      <w:proofErr w:type="spellEnd"/>
      <w:r w:rsidRPr="00BB2B3C">
        <w:rPr>
          <w:rFonts w:ascii="Times New Roman" w:hAnsi="Times New Roman"/>
        </w:rPr>
        <w:t>) whether the impugned law was rationally connected with its purpose; (ii) whether the expected burden on free political communication imposed by the impugned law was reasonably necessary (with a wide latitude of choice which meant that it needed only to be reasonably capable of being seen as necessary</w:t>
      </w:r>
      <w:r w:rsidRPr="00BB2B3C">
        <w:rPr>
          <w:rStyle w:val="FootnoteReference"/>
          <w:rFonts w:ascii="Times New Roman" w:hAnsi="Times New Roman"/>
          <w:sz w:val="24"/>
        </w:rPr>
        <w:footnoteReference w:id="127"/>
      </w:r>
      <w:r w:rsidRPr="00BB2B3C">
        <w:rPr>
          <w:rFonts w:ascii="Times New Roman" w:hAnsi="Times New Roman"/>
        </w:rPr>
        <w:t>) to achieve its purpose; and (iii) whether the impugned law was adequate in its balance having regard to its purpose and effect. On any view, the first question in this structure is redundant. Since purpose is identified objectively, a purpose that is not rationally connected with the reasonably expected effect of the law cannot be the purpose of the law.</w:t>
      </w:r>
      <w:r w:rsidRPr="00BB2B3C">
        <w:rPr>
          <w:rStyle w:val="FootnoteReference"/>
          <w:rFonts w:ascii="Times New Roman" w:hAnsi="Times New Roman"/>
          <w:sz w:val="24"/>
        </w:rPr>
        <w:footnoteReference w:id="128"/>
      </w:r>
      <w:r w:rsidRPr="00BB2B3C">
        <w:rPr>
          <w:rFonts w:ascii="Times New Roman" w:hAnsi="Times New Roman"/>
        </w:rPr>
        <w:t xml:space="preserve"> The third question also has little role to play.</w:t>
      </w:r>
      <w:r w:rsidRPr="00BB2B3C">
        <w:rPr>
          <w:rStyle w:val="FootnoteReference"/>
          <w:rFonts w:ascii="Times New Roman" w:hAnsi="Times New Roman"/>
          <w:sz w:val="24"/>
        </w:rPr>
        <w:footnoteReference w:id="129"/>
      </w:r>
      <w:r w:rsidRPr="00BB2B3C">
        <w:rPr>
          <w:rFonts w:ascii="Times New Roman" w:hAnsi="Times New Roman"/>
        </w:rPr>
        <w:t xml:space="preserve"> </w:t>
      </w:r>
    </w:p>
    <w:p w14:paraId="4C441550"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w:t>
      </w:r>
      <w:proofErr w:type="spellStart"/>
      <w:r w:rsidRPr="00BB2B3C">
        <w:rPr>
          <w:rFonts w:ascii="Times New Roman" w:hAnsi="Times New Roman"/>
        </w:rPr>
        <w:t>inutility</w:t>
      </w:r>
      <w:proofErr w:type="spellEnd"/>
      <w:r w:rsidRPr="00BB2B3C">
        <w:rPr>
          <w:rFonts w:ascii="Times New Roman" w:hAnsi="Times New Roman"/>
        </w:rPr>
        <w:t xml:space="preserve"> of the first question and little role for the third, together with the antipathy towards any test based upon structured proportionality now expressed by a majority of this Court,</w:t>
      </w:r>
      <w:r w:rsidRPr="00BB2B3C">
        <w:rPr>
          <w:rStyle w:val="FootnoteReference"/>
          <w:rFonts w:ascii="Times New Roman" w:hAnsi="Times New Roman"/>
          <w:sz w:val="24"/>
        </w:rPr>
        <w:footnoteReference w:id="130"/>
      </w:r>
      <w:r w:rsidRPr="00BB2B3C">
        <w:rPr>
          <w:rFonts w:ascii="Times New Roman" w:hAnsi="Times New Roman"/>
        </w:rPr>
        <w:t xml:space="preserve"> may mean that a test based on structured proportionality should now be treated as dead. That would be a preferable approach to leaving structured proportionality as a mere tool, apparently without even precedential effect, to be deployed in unidentified ways and in unidentified cases.</w:t>
      </w:r>
      <w:r w:rsidRPr="00BB2B3C">
        <w:rPr>
          <w:rStyle w:val="FootnoteReference"/>
          <w:rFonts w:ascii="Times New Roman" w:hAnsi="Times New Roman"/>
          <w:sz w:val="24"/>
        </w:rPr>
        <w:footnoteReference w:id="131"/>
      </w:r>
      <w:r w:rsidRPr="00BB2B3C">
        <w:rPr>
          <w:rFonts w:ascii="Times New Roman" w:hAnsi="Times New Roman"/>
        </w:rPr>
        <w:t xml:space="preserve"> But it remains to be seen whether it is necessary to throw the baby of transparency (the second question) out with the bathwater. Unless a majority of this Court abandons the remaining transparency for assessment of proportionality contained in the second question—whether the expected burden on free political communication imposed by the impugned law is reasonably capable of being seen </w:t>
      </w:r>
      <w:r w:rsidRPr="00BB2B3C">
        <w:rPr>
          <w:rFonts w:ascii="Times New Roman" w:hAnsi="Times New Roman"/>
        </w:rPr>
        <w:lastRenderedPageBreak/>
        <w:t>as necessary to achieve the legitimate purpose of the law—that aspect should continue to be applied, potentially with further guidance,</w:t>
      </w:r>
      <w:r w:rsidRPr="00BB2B3C">
        <w:rPr>
          <w:rStyle w:val="FootnoteReference"/>
          <w:rFonts w:ascii="Times New Roman" w:hAnsi="Times New Roman"/>
          <w:sz w:val="24"/>
        </w:rPr>
        <w:footnoteReference w:id="132"/>
      </w:r>
      <w:r w:rsidRPr="00BB2B3C">
        <w:rPr>
          <w:rFonts w:ascii="Times New Roman" w:hAnsi="Times New Roman"/>
        </w:rPr>
        <w:t xml:space="preserve"> to reduce the vagueness inherent in general references to "proportionality" or "reasonably appropriate and adapted". </w:t>
      </w:r>
    </w:p>
    <w:p w14:paraId="6AF28DB4"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Despite the waxing and waning of precedent in relation to all three stages of the application of the implied freedom, two matters have generally remained constant. First, although this is rarely made explicit when the approach to applying the implied freedom is set out, there is an anterior enquiry: what is the impugned law? Secondly, since the purpose of a law cannot be divorced from its meaning and therefore its effect, at each of the three stages there is a need to focus upon the purpose of that impugned law. It would be incoherent to identify and assess any burden that an impugned law places on free political communication but then to assess the legitimacy of the purpose of a different law. So too, it would be incoherent to assess the legitimacy of the purpose of an impugned law but to assess whether the means used by that impugned law are disproportionate to the purpose of a different law. </w:t>
      </w:r>
    </w:p>
    <w:p w14:paraId="763324F4" w14:textId="77777777" w:rsidR="00960529" w:rsidRPr="00BB2B3C" w:rsidRDefault="00960529" w:rsidP="00BB2B3C">
      <w:pPr>
        <w:pStyle w:val="HeadingL1"/>
        <w:spacing w:after="260" w:line="280" w:lineRule="exact"/>
        <w:ind w:right="0"/>
        <w:jc w:val="both"/>
        <w:rPr>
          <w:rFonts w:ascii="Times New Roman" w:hAnsi="Times New Roman"/>
        </w:rPr>
      </w:pPr>
      <w:r w:rsidRPr="00BB2B3C">
        <w:rPr>
          <w:rFonts w:ascii="Times New Roman" w:hAnsi="Times New Roman"/>
        </w:rPr>
        <w:t>The two matters that have remained constant: impugned law and purpose</w:t>
      </w:r>
    </w:p>
    <w:p w14:paraId="231D9A81" w14:textId="77777777" w:rsidR="00960529" w:rsidRPr="00BB2B3C" w:rsidRDefault="00960529" w:rsidP="00BB2B3C">
      <w:pPr>
        <w:pStyle w:val="HeadingL2"/>
        <w:spacing w:after="260" w:line="280" w:lineRule="exact"/>
        <w:ind w:right="0"/>
        <w:jc w:val="both"/>
        <w:rPr>
          <w:rFonts w:ascii="Times New Roman" w:hAnsi="Times New Roman"/>
        </w:rPr>
      </w:pPr>
      <w:r w:rsidRPr="00BB2B3C">
        <w:rPr>
          <w:rFonts w:ascii="Times New Roman" w:hAnsi="Times New Roman"/>
        </w:rPr>
        <w:t>Identifying the impugned law</w:t>
      </w:r>
    </w:p>
    <w:p w14:paraId="41BD1610"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A law is a legal rule. An impugned statutory law is the legal rule which is challenged. The purpose of an impugned law is therefore the purpose of the law contained in the challenged statutory provision. As this Court expressed the point in </w:t>
      </w:r>
      <w:r w:rsidRPr="00BB2B3C">
        <w:rPr>
          <w:rFonts w:ascii="Times New Roman" w:hAnsi="Times New Roman"/>
          <w:i/>
          <w:iCs/>
        </w:rPr>
        <w:t>Lange</w:t>
      </w:r>
      <w:r w:rsidRPr="00BB2B3C">
        <w:rPr>
          <w:rFonts w:ascii="Times New Roman" w:hAnsi="Times New Roman"/>
        </w:rPr>
        <w:t>, the implied freedom invalidates a "law" that burdens freedom of political communication unless the "object of the law is compatible with the maintenance of the constitutionally prescribed system of representative and responsible government".</w:t>
      </w:r>
      <w:r w:rsidRPr="00BB2B3C">
        <w:rPr>
          <w:rStyle w:val="FootnoteReference"/>
          <w:rFonts w:ascii="Times New Roman" w:hAnsi="Times New Roman"/>
          <w:sz w:val="24"/>
        </w:rPr>
        <w:footnoteReference w:id="133"/>
      </w:r>
      <w:r w:rsidRPr="00BB2B3C">
        <w:rPr>
          <w:rFonts w:ascii="Times New Roman" w:hAnsi="Times New Roman"/>
        </w:rPr>
        <w:t xml:space="preserve"> </w:t>
      </w:r>
    </w:p>
    <w:p w14:paraId="0E043D6E"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It is possible that the entirety of a statute might comprise a single law (legal rule), identified at the right level of generality. If so, then the relevant purpose of that law, if challenged, will be the purpose of the entire statute. More commonly, a challenged law (legal rule), identified at the right level of generality, will be contained in a section or a sub-section of a statute. Then the purpose of the challenged law will be the purpose of that section or sub-section. A purpose provision expressing the purpose of the entire statute might be relevant to ascertaining the purpose of the challenged law but it will almost invariably be expressed at too high a level of generality.</w:t>
      </w:r>
      <w:r w:rsidRPr="00BB2B3C">
        <w:rPr>
          <w:rStyle w:val="FootnoteReference"/>
          <w:rFonts w:ascii="Times New Roman" w:hAnsi="Times New Roman"/>
          <w:sz w:val="24"/>
        </w:rPr>
        <w:footnoteReference w:id="134"/>
      </w:r>
      <w:r w:rsidRPr="00BB2B3C">
        <w:rPr>
          <w:rFonts w:ascii="Times New Roman" w:hAnsi="Times New Roman"/>
        </w:rPr>
        <w:t xml:space="preserve"> The usual scenario of a statute which </w:t>
      </w:r>
      <w:r w:rsidRPr="00BB2B3C">
        <w:rPr>
          <w:rFonts w:ascii="Times New Roman" w:hAnsi="Times New Roman"/>
        </w:rPr>
        <w:lastRenderedPageBreak/>
        <w:t xml:space="preserve">contains multiple laws (legal rules) should not be confused with the separate question of whether the purposes of some of those laws are so closely associated that the invalidity of one law will mean that all associated laws are invalid.  </w:t>
      </w:r>
    </w:p>
    <w:p w14:paraId="53B561BA" w14:textId="77777777" w:rsidR="00960529" w:rsidRPr="00BB2B3C" w:rsidRDefault="00960529" w:rsidP="00BB2B3C">
      <w:pPr>
        <w:pStyle w:val="HeadingL2"/>
        <w:spacing w:after="260" w:line="280" w:lineRule="exact"/>
        <w:ind w:right="0"/>
        <w:jc w:val="both"/>
        <w:rPr>
          <w:rFonts w:ascii="Times New Roman" w:hAnsi="Times New Roman"/>
        </w:rPr>
      </w:pPr>
      <w:r w:rsidRPr="00BB2B3C">
        <w:rPr>
          <w:rFonts w:ascii="Times New Roman" w:hAnsi="Times New Roman"/>
        </w:rPr>
        <w:t>Identifying the purpose of the impugned law</w:t>
      </w:r>
      <w:r w:rsidRPr="00BB2B3C">
        <w:rPr>
          <w:rFonts w:ascii="Times New Roman" w:hAnsi="Times New Roman"/>
          <w:b/>
          <w:bCs/>
        </w:rPr>
        <w:t xml:space="preserve"> </w:t>
      </w:r>
      <w:r w:rsidRPr="00BB2B3C">
        <w:rPr>
          <w:rFonts w:ascii="Times New Roman" w:hAnsi="Times New Roman"/>
        </w:rPr>
        <w:t xml:space="preserve">   </w:t>
      </w:r>
    </w:p>
    <w:p w14:paraId="70730252"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Statutory interpretation is concerned with "the meaning which a reasonable legislature as a body would be seeking to convey in using the statutory words which are being considered".</w:t>
      </w:r>
      <w:r w:rsidRPr="00BB2B3C">
        <w:rPr>
          <w:rStyle w:val="FootnoteReference"/>
          <w:rFonts w:ascii="Times New Roman" w:hAnsi="Times New Roman"/>
          <w:sz w:val="24"/>
        </w:rPr>
        <w:footnoteReference w:id="135"/>
      </w:r>
      <w:r w:rsidRPr="00BB2B3C">
        <w:rPr>
          <w:rFonts w:ascii="Times New Roman" w:hAnsi="Times New Roman"/>
        </w:rPr>
        <w:t xml:space="preserve"> The construct of a reasonable (notional) legislature with purposes and other intentions is used to mimic the techniques of ordinary language processes of interpretation of meaning.</w:t>
      </w:r>
      <w:r w:rsidRPr="00BB2B3C">
        <w:rPr>
          <w:rStyle w:val="FootnoteReference"/>
          <w:rFonts w:ascii="Times New Roman" w:hAnsi="Times New Roman"/>
          <w:sz w:val="24"/>
        </w:rPr>
        <w:footnoteReference w:id="136"/>
      </w:r>
      <w:r w:rsidRPr="00BB2B3C">
        <w:rPr>
          <w:rFonts w:ascii="Times New Roman" w:hAnsi="Times New Roman"/>
        </w:rPr>
        <w:t xml:space="preserve"> Since the purpose of Parliament in passing a law is Parliament's intended effect of the law (with that intended effect identified at the right level of generality), the exercise of identifying a legislative purpose necessarily involves the same techniques as interpretation of the intended meaning of legislation, although usually at a higher level of generality.</w:t>
      </w:r>
      <w:r w:rsidRPr="00BB2B3C">
        <w:rPr>
          <w:rStyle w:val="FootnoteReference"/>
          <w:rFonts w:ascii="Times New Roman" w:hAnsi="Times New Roman"/>
          <w:sz w:val="24"/>
        </w:rPr>
        <w:footnoteReference w:id="137"/>
      </w:r>
      <w:r w:rsidRPr="00BB2B3C">
        <w:rPr>
          <w:rFonts w:ascii="Times New Roman" w:hAnsi="Times New Roman"/>
        </w:rPr>
        <w:t xml:space="preserve"> </w:t>
      </w:r>
    </w:p>
    <w:p w14:paraId="072CF742"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In some cases involving disputes about the application of the implied freedom, it has been suggested that a law's legislative purpose might need only to be identified on a hypothetical or assumed basis, perhaps as a purpose proffered by a defendant.</w:t>
      </w:r>
      <w:r w:rsidRPr="00BB2B3C">
        <w:rPr>
          <w:rStyle w:val="FootnoteReference"/>
          <w:rFonts w:ascii="Times New Roman" w:hAnsi="Times New Roman"/>
          <w:sz w:val="24"/>
        </w:rPr>
        <w:footnoteReference w:id="138"/>
      </w:r>
      <w:r w:rsidRPr="00BB2B3C">
        <w:rPr>
          <w:rFonts w:ascii="Times New Roman" w:hAnsi="Times New Roman"/>
        </w:rPr>
        <w:t xml:space="preserve"> If I had some eggs, I would have some eggs and toast for breakfast, if I had some toast. Just as hypothetical food does not necessarily reveal what is eaten for breakfast, so too a hypothetical purpose does not necessarily reveal the legislative purpose, which, as explained above,</w:t>
      </w:r>
      <w:r w:rsidRPr="00BB2B3C">
        <w:rPr>
          <w:rStyle w:val="FootnoteReference"/>
          <w:rFonts w:ascii="Times New Roman" w:hAnsi="Times New Roman"/>
          <w:sz w:val="24"/>
        </w:rPr>
        <w:footnoteReference w:id="139"/>
      </w:r>
      <w:r w:rsidRPr="00BB2B3C">
        <w:rPr>
          <w:rFonts w:ascii="Times New Roman" w:hAnsi="Times New Roman"/>
        </w:rPr>
        <w:t xml:space="preserve"> must be used at each of the three stages of applying the implied freedom. The use of a hypothetical purpose does not therefore properly resolve the dispute. If the extent of the burden imposed by the means adopted by the law is found to be proportionate to the hypothetical purpose, the law might still be invalid if the extent of the burden imposed by the means is disproportionate to the properly identified purpose. And </w:t>
      </w:r>
      <w:r w:rsidRPr="00BB2B3C">
        <w:rPr>
          <w:rFonts w:ascii="Times New Roman" w:hAnsi="Times New Roman"/>
        </w:rPr>
        <w:lastRenderedPageBreak/>
        <w:t xml:space="preserve">even if there is found to be such disproportionality with the hypothetical purpose, the law might still be valid if the extent of the burden imposed by the means is proportionate to the </w:t>
      </w:r>
      <w:r w:rsidRPr="00BB2B3C">
        <w:rPr>
          <w:rFonts w:ascii="Times New Roman" w:hAnsi="Times New Roman"/>
          <w:i/>
          <w:iCs/>
        </w:rPr>
        <w:t xml:space="preserve">actual </w:t>
      </w:r>
      <w:r w:rsidRPr="00BB2B3C">
        <w:rPr>
          <w:rFonts w:ascii="Times New Roman" w:hAnsi="Times New Roman"/>
        </w:rPr>
        <w:t>purpose, properly identified at the right level of generality by the Court. The enquiry must therefore be into the actual, not hypothetical, purposes.</w:t>
      </w:r>
      <w:r w:rsidRPr="00BB2B3C">
        <w:rPr>
          <w:rStyle w:val="FootnoteReference"/>
          <w:rFonts w:ascii="Times New Roman" w:hAnsi="Times New Roman"/>
          <w:sz w:val="24"/>
        </w:rPr>
        <w:footnoteReference w:id="140"/>
      </w:r>
    </w:p>
    <w:p w14:paraId="63164F01"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test for the legitimacy of the purpose of an impugned law is commonly expressed, consistently with the reasoning in </w:t>
      </w:r>
      <w:r w:rsidRPr="00BB2B3C">
        <w:rPr>
          <w:rFonts w:ascii="Times New Roman" w:hAnsi="Times New Roman"/>
          <w:i/>
          <w:iCs/>
        </w:rPr>
        <w:t>Lange</w:t>
      </w:r>
      <w:r w:rsidRPr="00BB2B3C">
        <w:rPr>
          <w:rFonts w:ascii="Times New Roman" w:hAnsi="Times New Roman"/>
        </w:rPr>
        <w:t>,</w:t>
      </w:r>
      <w:r w:rsidRPr="00BB2B3C">
        <w:rPr>
          <w:rFonts w:ascii="Times New Roman" w:hAnsi="Times New Roman"/>
          <w:i/>
          <w:iCs/>
        </w:rPr>
        <w:t xml:space="preserve"> </w:t>
      </w:r>
      <w:r w:rsidRPr="00BB2B3C">
        <w:rPr>
          <w:rFonts w:ascii="Times New Roman" w:hAnsi="Times New Roman"/>
        </w:rPr>
        <w:t xml:space="preserve">as asking whether the purpose is "compatible with the maintenance of the constitutionally prescribed system of representative and responsible government". That explanation means nothing more than that Parliament's goal cannot be to achieve an effect that is contrary to an express or implied constitutional proscription or limitation. The test is not an open invitation to the judiciary to assess whether the purpose of an impugned law is sufficiently compatible with representative or responsible government in abstract terms. Rather, the issue is whether the purpose is consistent with "the effective operation of that system of representative and responsible government </w:t>
      </w:r>
      <w:r w:rsidRPr="00BB2B3C">
        <w:rPr>
          <w:rFonts w:ascii="Times New Roman" w:hAnsi="Times New Roman"/>
          <w:i/>
          <w:iCs/>
        </w:rPr>
        <w:t>provided for by the Constitution</w:t>
      </w:r>
      <w:r w:rsidRPr="00BB2B3C">
        <w:rPr>
          <w:rFonts w:ascii="Times New Roman" w:hAnsi="Times New Roman"/>
        </w:rPr>
        <w:t>".</w:t>
      </w:r>
      <w:r w:rsidRPr="00BB2B3C">
        <w:rPr>
          <w:rStyle w:val="FootnoteReference"/>
          <w:rFonts w:ascii="Times New Roman" w:hAnsi="Times New Roman"/>
          <w:sz w:val="24"/>
        </w:rPr>
        <w:footnoteReference w:id="141"/>
      </w:r>
      <w:r w:rsidRPr="00BB2B3C">
        <w:rPr>
          <w:rFonts w:ascii="Times New Roman" w:hAnsi="Times New Roman"/>
        </w:rPr>
        <w:t xml:space="preserve"> </w:t>
      </w:r>
    </w:p>
    <w:p w14:paraId="69E1C3C2"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most common allegation of illegitimacy at stage (2) of the implied freedom analysis is that Parliament has the burdening of free political communication as one of its </w:t>
      </w:r>
      <w:r w:rsidRPr="00BB2B3C">
        <w:rPr>
          <w:rFonts w:ascii="Times New Roman" w:hAnsi="Times New Roman"/>
          <w:i/>
          <w:iCs/>
        </w:rPr>
        <w:t>purposes</w:t>
      </w:r>
      <w:r w:rsidRPr="00BB2B3C">
        <w:rPr>
          <w:rFonts w:ascii="Times New Roman" w:hAnsi="Times New Roman"/>
        </w:rPr>
        <w:t xml:space="preserve"> and not merely as the effect of some other purpose.</w:t>
      </w:r>
      <w:r w:rsidRPr="00BB2B3C">
        <w:rPr>
          <w:rStyle w:val="FootnoteReference"/>
          <w:rFonts w:ascii="Times New Roman" w:hAnsi="Times New Roman"/>
          <w:sz w:val="24"/>
        </w:rPr>
        <w:footnoteReference w:id="142"/>
      </w:r>
      <w:r w:rsidRPr="00BB2B3C">
        <w:rPr>
          <w:rFonts w:ascii="Times New Roman" w:hAnsi="Times New Roman"/>
        </w:rPr>
        <w:t xml:space="preserve"> Since the purpose of a law is fundamental to the interpretation of its meaning, the meaning of a law with a purpose that is contrary to the </w:t>
      </w:r>
      <w:r w:rsidRPr="00BB2B3C">
        <w:rPr>
          <w:rFonts w:ascii="Times New Roman" w:hAnsi="Times New Roman"/>
          <w:i/>
          <w:iCs/>
        </w:rPr>
        <w:t>Constitution</w:t>
      </w:r>
      <w:r w:rsidRPr="00BB2B3C">
        <w:rPr>
          <w:rFonts w:ascii="Times New Roman" w:hAnsi="Times New Roman"/>
        </w:rPr>
        <w:t xml:space="preserve"> would necessarily be derived in a manner that is contrary to the </w:t>
      </w:r>
      <w:r w:rsidRPr="00BB2B3C">
        <w:rPr>
          <w:rFonts w:ascii="Times New Roman" w:hAnsi="Times New Roman"/>
          <w:i/>
          <w:iCs/>
        </w:rPr>
        <w:t>Constitution</w:t>
      </w:r>
      <w:r w:rsidRPr="00BB2B3C">
        <w:rPr>
          <w:rFonts w:ascii="Times New Roman" w:hAnsi="Times New Roman"/>
        </w:rPr>
        <w:t>. A law with such an invalid purpose will therefore be invalid despite any other, valid purposes.</w:t>
      </w:r>
      <w:r w:rsidRPr="00BB2B3C">
        <w:rPr>
          <w:rStyle w:val="FootnoteReference"/>
          <w:rFonts w:ascii="Times New Roman" w:hAnsi="Times New Roman"/>
          <w:sz w:val="24"/>
        </w:rPr>
        <w:footnoteReference w:id="143"/>
      </w:r>
    </w:p>
    <w:p w14:paraId="151FE6FC" w14:textId="77777777" w:rsidR="00960529" w:rsidRPr="00BB2B3C" w:rsidRDefault="00960529" w:rsidP="002A0D95">
      <w:pPr>
        <w:pStyle w:val="FixListStyle"/>
        <w:keepNext/>
        <w:numPr>
          <w:ilvl w:val="0"/>
          <w:numId w:val="0"/>
        </w:numPr>
        <w:spacing w:after="260" w:line="280" w:lineRule="exact"/>
        <w:ind w:right="0"/>
        <w:jc w:val="both"/>
        <w:rPr>
          <w:rFonts w:ascii="Times New Roman" w:hAnsi="Times New Roman"/>
          <w:i/>
          <w:iCs/>
        </w:rPr>
      </w:pPr>
      <w:r w:rsidRPr="00BB2B3C">
        <w:rPr>
          <w:rFonts w:ascii="Times New Roman" w:hAnsi="Times New Roman"/>
          <w:i/>
          <w:iCs/>
        </w:rPr>
        <w:lastRenderedPageBreak/>
        <w:t>Severing a law with an illegitimate purpose</w:t>
      </w:r>
    </w:p>
    <w:p w14:paraId="03ED0E8B"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If the challenged legal rule (the impugned law)—identified at the right level of generality—is invalid, due to an illegitimate purpose or otherwise, then an issue can arise as to whether that legal rule is severable from other associated legal rules in the statute whose operation is affected by that law. The language of severance, and its metaphoric association with striking out words with a blue pencil,</w:t>
      </w:r>
      <w:r w:rsidRPr="00BB2B3C">
        <w:rPr>
          <w:rStyle w:val="FootnoteReference"/>
          <w:rFonts w:ascii="Times New Roman" w:hAnsi="Times New Roman"/>
          <w:sz w:val="24"/>
        </w:rPr>
        <w:footnoteReference w:id="144"/>
      </w:r>
      <w:r w:rsidRPr="00BB2B3C">
        <w:rPr>
          <w:rFonts w:ascii="Times New Roman" w:hAnsi="Times New Roman"/>
        </w:rPr>
        <w:t xml:space="preserve"> is an attempt to describe a challenged law being disapplied in its entirety and removed from consideration of the legal meaning and application of other laws in the statute. There are limits to severance. If the collection of laws including the invalid law have inextricable purposes, forming part of an inseparable scheme of laws, then severance of the invalid law will not be possible.    </w:t>
      </w:r>
    </w:p>
    <w:p w14:paraId="3853986E"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The language of severance should be confined to the situation of an inextricable scheme of laws, although it is sometimes also used in a second sense to describe the disapplication of only part of the operation of a single legal rule (law).</w:t>
      </w:r>
      <w:r w:rsidRPr="00BB2B3C">
        <w:rPr>
          <w:rStyle w:val="FootnoteReference"/>
          <w:rFonts w:ascii="Times New Roman" w:hAnsi="Times New Roman"/>
          <w:sz w:val="24"/>
        </w:rPr>
        <w:footnoteReference w:id="145"/>
      </w:r>
      <w:r w:rsidRPr="00BB2B3C">
        <w:rPr>
          <w:rFonts w:ascii="Times New Roman" w:hAnsi="Times New Roman"/>
        </w:rPr>
        <w:t xml:space="preserve"> But severance and partial disapplication have some things in common. Like the technique of partial disapplication, the judiciary has no common law power to sever one legal rule from other associated legal rules. It is sometimes said that the common law recognises a "presumption", capable of being reversed by Parliament, that a law has "either a full and complete operation or none at all".</w:t>
      </w:r>
      <w:r w:rsidRPr="00BB2B3C">
        <w:rPr>
          <w:rStyle w:val="FootnoteReference"/>
          <w:rFonts w:ascii="Times New Roman" w:hAnsi="Times New Roman"/>
          <w:sz w:val="24"/>
        </w:rPr>
        <w:footnoteReference w:id="146"/>
      </w:r>
      <w:r w:rsidRPr="00BB2B3C">
        <w:rPr>
          <w:rFonts w:ascii="Times New Roman" w:hAnsi="Times New Roman"/>
        </w:rPr>
        <w:t xml:space="preserve"> In truth, the common law simply recognises the impermissibility of the judiciary applying only part of a statutory scheme of laws unless authorised by Parliament to do so.      </w:t>
      </w:r>
    </w:p>
    <w:p w14:paraId="7A0B74B2"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That parliamentary authority to sever a law is found in s 6(1) of the </w:t>
      </w:r>
      <w:r w:rsidRPr="00BB2B3C">
        <w:rPr>
          <w:rFonts w:ascii="Times New Roman" w:hAnsi="Times New Roman"/>
          <w:i/>
          <w:iCs/>
        </w:rPr>
        <w:t xml:space="preserve">Interpretation of Legislation Act 1984 </w:t>
      </w:r>
      <w:r w:rsidRPr="00BB2B3C">
        <w:rPr>
          <w:rFonts w:ascii="Times New Roman" w:hAnsi="Times New Roman"/>
        </w:rPr>
        <w:t>(Vic). That provision has been recognised as containing several of the different techniques which can be adopted by courts in fulfilling the implicit requirement to act, so far as possible, to save laws from invalidity. One technique is</w:t>
      </w:r>
      <w:r w:rsidRPr="00BB2B3C" w:rsidDel="00B5757D">
        <w:rPr>
          <w:rFonts w:ascii="Times New Roman" w:hAnsi="Times New Roman"/>
        </w:rPr>
        <w:t xml:space="preserve"> </w:t>
      </w:r>
      <w:r w:rsidRPr="00BB2B3C">
        <w:rPr>
          <w:rFonts w:ascii="Times New Roman" w:hAnsi="Times New Roman"/>
        </w:rPr>
        <w:t>to engage in partial disapplication of "the application of" a "provision" (law). Another is to disapply, and therefore sever,</w:t>
      </w:r>
      <w:r w:rsidRPr="00BB2B3C" w:rsidDel="00CD042D">
        <w:rPr>
          <w:rFonts w:ascii="Times New Roman" w:hAnsi="Times New Roman"/>
        </w:rPr>
        <w:t xml:space="preserve"> </w:t>
      </w:r>
      <w:r w:rsidRPr="00BB2B3C">
        <w:rPr>
          <w:rFonts w:ascii="Times New Roman" w:hAnsi="Times New Roman"/>
        </w:rPr>
        <w:t xml:space="preserve">the entire "provision", where the "provision" would otherwise have been construed as being in excess of the legislative power of the State of Victoria. This power of severance focuses attention upon whether Parliament's purpose for the challenged law was intended to be inextricable from the purposes of the associated laws in the sense that, despite the instruction in s 6(1), Parliament must be taken to have intended that the impugned law must operate together with those laws with which it is associated or not at all, so that the "provisions so associated form an entire law and </w:t>
      </w:r>
      <w:r w:rsidRPr="00BB2B3C">
        <w:rPr>
          <w:rFonts w:ascii="Times New Roman" w:hAnsi="Times New Roman"/>
        </w:rPr>
        <w:lastRenderedPageBreak/>
        <w:t>... no legislative intention exist[s] that anything less should operate as a law".</w:t>
      </w:r>
      <w:r w:rsidRPr="00BB2B3C">
        <w:rPr>
          <w:rStyle w:val="FootnoteReference"/>
          <w:rFonts w:ascii="Times New Roman" w:hAnsi="Times New Roman"/>
          <w:sz w:val="24"/>
        </w:rPr>
        <w:footnoteReference w:id="147"/>
      </w:r>
      <w:r w:rsidRPr="00BB2B3C">
        <w:rPr>
          <w:rFonts w:ascii="Times New Roman" w:hAnsi="Times New Roman"/>
        </w:rPr>
        <w:t xml:space="preserve"> Provided that no such intention exists, the statutory command in s 6(1) of the </w:t>
      </w:r>
      <w:r w:rsidRPr="00BB2B3C">
        <w:rPr>
          <w:rFonts w:ascii="Times New Roman" w:hAnsi="Times New Roman"/>
          <w:i/>
          <w:iCs/>
        </w:rPr>
        <w:t xml:space="preserve">Interpretation of Legislation Act </w:t>
      </w:r>
      <w:r w:rsidRPr="00BB2B3C">
        <w:rPr>
          <w:rFonts w:ascii="Times New Roman" w:hAnsi="Times New Roman"/>
        </w:rPr>
        <w:t>(and like provisions)</w:t>
      </w:r>
      <w:r w:rsidRPr="00BB2B3C">
        <w:rPr>
          <w:rFonts w:ascii="Times New Roman" w:hAnsi="Times New Roman"/>
          <w:i/>
          <w:iCs/>
        </w:rPr>
        <w:t xml:space="preserve"> </w:t>
      </w:r>
      <w:r w:rsidRPr="00BB2B3C">
        <w:rPr>
          <w:rFonts w:ascii="Times New Roman" w:hAnsi="Times New Roman"/>
        </w:rPr>
        <w:t>is, in effect, a general command, wherever possible, partially to disapply a law to the minimum degree necessary to remove invalidity, or to sever only invalid laws.</w:t>
      </w:r>
    </w:p>
    <w:p w14:paraId="2488CE78" w14:textId="77777777" w:rsidR="00960529" w:rsidRPr="00BB2B3C" w:rsidRDefault="00960529" w:rsidP="00BB2B3C">
      <w:pPr>
        <w:pStyle w:val="HeadingL1"/>
        <w:spacing w:after="260" w:line="280" w:lineRule="exact"/>
        <w:ind w:right="0"/>
        <w:jc w:val="both"/>
        <w:rPr>
          <w:rFonts w:ascii="Times New Roman" w:hAnsi="Times New Roman"/>
        </w:rPr>
      </w:pPr>
      <w:r w:rsidRPr="00BB2B3C">
        <w:rPr>
          <w:rFonts w:ascii="Times New Roman" w:hAnsi="Times New Roman"/>
        </w:rPr>
        <w:t>The impugned law and its purpose in this case</w:t>
      </w:r>
    </w:p>
    <w:p w14:paraId="2F65AA89" w14:textId="77777777" w:rsidR="00960529" w:rsidRPr="00BB2B3C" w:rsidRDefault="00960529" w:rsidP="00BB2B3C">
      <w:pPr>
        <w:pStyle w:val="HeadingL2"/>
        <w:spacing w:after="260" w:line="280" w:lineRule="exact"/>
        <w:ind w:right="0"/>
        <w:jc w:val="both"/>
        <w:rPr>
          <w:rFonts w:ascii="Times New Roman" w:hAnsi="Times New Roman"/>
        </w:rPr>
      </w:pPr>
      <w:r w:rsidRPr="00BB2B3C">
        <w:rPr>
          <w:rFonts w:ascii="Times New Roman" w:hAnsi="Times New Roman"/>
        </w:rPr>
        <w:t>The impugned law is s 222F(3)</w:t>
      </w:r>
    </w:p>
    <w:p w14:paraId="6A4C148C"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Mr Lim SC, in separate oral submissions for the plaintiffs, correctly and cogently identified that it was "appropriate to respond to the constitutional issue at the level of illegitimate purpose, rather than assuming in the State's favour the asserted legitimate purpose". But the plaintiffs were not as precise about the law within Pt 12 which was said to be invalid. There were several different ways in which the plaintiffs identified the law (legal rule) that they challenged. </w:t>
      </w:r>
    </w:p>
    <w:p w14:paraId="03BD2358"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First, the law challenged by the plaintiffs was described in their submissions and the central special case question as the entirety of Pt 12 of the </w:t>
      </w:r>
      <w:r w:rsidRPr="00BB2B3C">
        <w:rPr>
          <w:rFonts w:ascii="Times New Roman" w:hAnsi="Times New Roman"/>
          <w:i/>
          <w:iCs/>
        </w:rPr>
        <w:t>Electoral Act</w:t>
      </w:r>
      <w:r w:rsidRPr="00BB2B3C">
        <w:rPr>
          <w:rFonts w:ascii="Times New Roman" w:hAnsi="Times New Roman"/>
        </w:rPr>
        <w:t>, "operating with the nominated entity exception in sub-paragraph (j) of the definition of 'gift' in s 206(1)". But Pt 12 is obviously comprised of many laws. And most of those laws were not separately challenged. As a simple example, the plaintiffs made mention of the obligation in s 216(1) of disclosure by a donor making a relevant political donation in a financial year. But there was no suggestion that this obligation had an illegitimate purpose or that it employed means with a disproportionate burdening effect on political communication to achieve a legitimate purpose. Indeed, the plaintiffs accepted that it was only if all the laws in Pt 12 were inseverable from each other (presumably including the particular law or laws that were said to be invalid) that Pt 12 would be entirely invalid.</w:t>
      </w:r>
    </w:p>
    <w:p w14:paraId="0A018A57"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Secondly, the law challenged by the plaintiffs was, on other occasions, described as the nominated entity exception in para (j) of the definition of "gift" in s 206(1), a law which was said to be severable. But a true definition section is not a substantive provision or legal rule (</w:t>
      </w:r>
      <w:proofErr w:type="spellStart"/>
      <w:r w:rsidRPr="00BB2B3C">
        <w:rPr>
          <w:rFonts w:ascii="Times New Roman" w:hAnsi="Times New Roman"/>
        </w:rPr>
        <w:t>ie</w:t>
      </w:r>
      <w:proofErr w:type="spellEnd"/>
      <w:r w:rsidRPr="00BB2B3C">
        <w:rPr>
          <w:rFonts w:ascii="Times New Roman" w:hAnsi="Times New Roman"/>
        </w:rPr>
        <w:t>, it is not itself a law) but is instead a means of interpreting a substantive provision.</w:t>
      </w:r>
      <w:r w:rsidRPr="00BB2B3C">
        <w:rPr>
          <w:rStyle w:val="FootnoteReference"/>
          <w:rFonts w:ascii="Times New Roman" w:hAnsi="Times New Roman"/>
          <w:sz w:val="24"/>
        </w:rPr>
        <w:footnoteReference w:id="148"/>
      </w:r>
      <w:r w:rsidRPr="00BB2B3C">
        <w:rPr>
          <w:rFonts w:ascii="Times New Roman" w:hAnsi="Times New Roman"/>
        </w:rPr>
        <w:t xml:space="preserve"> As a true definition provision, the whole of s 206(1), including the exceptions, is used to interpret the substantive </w:t>
      </w:r>
      <w:r w:rsidRPr="00BB2B3C">
        <w:rPr>
          <w:rFonts w:ascii="Times New Roman" w:hAnsi="Times New Roman"/>
        </w:rPr>
        <w:lastRenderedPageBreak/>
        <w:t>provisions; it is those substantive provisions which are laws that can be challenged.</w:t>
      </w:r>
      <w:r w:rsidRPr="00BB2B3C">
        <w:rPr>
          <w:rStyle w:val="FootnoteReference"/>
          <w:rFonts w:ascii="Times New Roman" w:hAnsi="Times New Roman"/>
          <w:sz w:val="24"/>
        </w:rPr>
        <w:footnoteReference w:id="149"/>
      </w:r>
    </w:p>
    <w:p w14:paraId="7824D4E3"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Thirdly, the law challenged by the plaintiffs was also described as "the general cap effected by the </w:t>
      </w:r>
      <w:r w:rsidRPr="00BB2B3C">
        <w:rPr>
          <w:rFonts w:ascii="Times New Roman" w:hAnsi="Times New Roman"/>
          <w:i/>
          <w:iCs/>
        </w:rPr>
        <w:t>Electoral Act</w:t>
      </w:r>
      <w:r w:rsidRPr="00BB2B3C">
        <w:rPr>
          <w:rFonts w:ascii="Times New Roman" w:hAnsi="Times New Roman"/>
        </w:rPr>
        <w:t xml:space="preserve"> as it operates with the nominated entity exception".</w:t>
      </w:r>
      <w:r w:rsidRPr="00BB2B3C">
        <w:rPr>
          <w:rFonts w:ascii="Times New Roman" w:hAnsi="Times New Roman"/>
          <w:b/>
          <w:bCs/>
        </w:rPr>
        <w:t xml:space="preserve"> </w:t>
      </w:r>
      <w:r w:rsidRPr="00BB2B3C">
        <w:rPr>
          <w:rFonts w:ascii="Times New Roman" w:hAnsi="Times New Roman"/>
        </w:rPr>
        <w:t>The most obvious problem with this description is that the general cap in s 217D, identified at the right level of generality, is comprised of numerous laws. For instance, one legal rule created by the general cap in s 217D is that a political donation made to, or for the benefit of, "a registered political party" must not exceed the general cap for the election period.</w:t>
      </w:r>
      <w:r w:rsidRPr="00BB2B3C">
        <w:rPr>
          <w:rStyle w:val="FootnoteReference"/>
          <w:rFonts w:ascii="Times New Roman" w:hAnsi="Times New Roman"/>
          <w:sz w:val="24"/>
        </w:rPr>
        <w:footnoteReference w:id="150"/>
      </w:r>
      <w:r w:rsidRPr="00BB2B3C">
        <w:rPr>
          <w:rFonts w:ascii="Times New Roman" w:hAnsi="Times New Roman"/>
        </w:rPr>
        <w:t xml:space="preserve"> Another legal rule is to the same effect in relation to "a candidate at an election".</w:t>
      </w:r>
      <w:r w:rsidRPr="00BB2B3C">
        <w:rPr>
          <w:rStyle w:val="FootnoteReference"/>
          <w:rFonts w:ascii="Times New Roman" w:hAnsi="Times New Roman"/>
          <w:sz w:val="24"/>
        </w:rPr>
        <w:footnoteReference w:id="151"/>
      </w:r>
      <w:r w:rsidRPr="00BB2B3C">
        <w:rPr>
          <w:rFonts w:ascii="Times New Roman" w:hAnsi="Times New Roman"/>
        </w:rPr>
        <w:t xml:space="preserve"> Another legal rule is to the same effect in relation to "a group".</w:t>
      </w:r>
      <w:r w:rsidRPr="00BB2B3C">
        <w:rPr>
          <w:rStyle w:val="FootnoteReference"/>
          <w:rFonts w:ascii="Times New Roman" w:hAnsi="Times New Roman"/>
          <w:sz w:val="24"/>
        </w:rPr>
        <w:footnoteReference w:id="152"/>
      </w:r>
      <w:r w:rsidRPr="00BB2B3C">
        <w:rPr>
          <w:rFonts w:ascii="Times New Roman" w:hAnsi="Times New Roman"/>
        </w:rPr>
        <w:t xml:space="preserve"> And so on. The laws challenged by the plaintiffs could not have been those in s 217D, which were conceded by the plaintiffs to have legitimate purposes.</w:t>
      </w:r>
      <w:r w:rsidRPr="00BB2B3C">
        <w:rPr>
          <w:rStyle w:val="FootnoteReference"/>
          <w:rFonts w:ascii="Times New Roman" w:hAnsi="Times New Roman"/>
          <w:sz w:val="24"/>
        </w:rPr>
        <w:footnoteReference w:id="153"/>
      </w:r>
      <w:r w:rsidRPr="00BB2B3C">
        <w:rPr>
          <w:rFonts w:ascii="Times New Roman" w:hAnsi="Times New Roman"/>
        </w:rPr>
        <w:t xml:space="preserve"> Those purposes are to reduce corruption and the excessive influence of donors over the political process: "to minimise the influence of single donors",</w:t>
      </w:r>
      <w:r w:rsidRPr="00BB2B3C">
        <w:rPr>
          <w:rStyle w:val="FootnoteReference"/>
          <w:rFonts w:ascii="Times New Roman" w:hAnsi="Times New Roman"/>
          <w:sz w:val="24"/>
        </w:rPr>
        <w:footnoteReference w:id="154"/>
      </w:r>
      <w:r w:rsidRPr="00BB2B3C">
        <w:rPr>
          <w:rFonts w:ascii="Times New Roman" w:hAnsi="Times New Roman"/>
        </w:rPr>
        <w:t xml:space="preserve"> and to aim for "equal participation in the electoral process, reducing the potential for those with 'deep pockets' to try and exert greater influence".</w:t>
      </w:r>
      <w:r w:rsidRPr="00BB2B3C">
        <w:rPr>
          <w:rStyle w:val="FootnoteReference"/>
          <w:rFonts w:ascii="Times New Roman" w:hAnsi="Times New Roman"/>
          <w:sz w:val="24"/>
        </w:rPr>
        <w:footnoteReference w:id="155"/>
      </w:r>
      <w:r w:rsidRPr="00BB2B3C">
        <w:rPr>
          <w:rFonts w:ascii="Times New Roman" w:hAnsi="Times New Roman"/>
        </w:rPr>
        <w:t xml:space="preserve"> The plaintiffs also did not suggest that s 217D employs means with a disproportionate burdening effect on political communication to achieve those purposes. As the Attorney-General of the Commonwealth correctly submitted in her written submissions intervening in this special case, the plaintiffs seemed "to accept (correctly) that the general cap, </w:t>
      </w:r>
      <w:r w:rsidRPr="00BB2B3C">
        <w:rPr>
          <w:rFonts w:ascii="Times New Roman" w:hAnsi="Times New Roman"/>
          <w:i/>
          <w:iCs/>
        </w:rPr>
        <w:t xml:space="preserve">without </w:t>
      </w:r>
      <w:r w:rsidRPr="00BB2B3C">
        <w:rPr>
          <w:rFonts w:ascii="Times New Roman" w:hAnsi="Times New Roman"/>
        </w:rPr>
        <w:t>the nominated entity exception, would be constitutionally permissible".</w:t>
      </w:r>
      <w:r w:rsidRPr="00BB2B3C">
        <w:rPr>
          <w:rStyle w:val="FootnoteReference"/>
          <w:rFonts w:ascii="Times New Roman" w:hAnsi="Times New Roman"/>
          <w:sz w:val="24"/>
        </w:rPr>
        <w:footnoteReference w:id="156"/>
      </w:r>
      <w:r w:rsidRPr="00BB2B3C">
        <w:rPr>
          <w:rFonts w:ascii="Times New Roman" w:hAnsi="Times New Roman"/>
        </w:rPr>
        <w:t xml:space="preserve"> Indeed, even if any of the laws in s 217D had been </w:t>
      </w:r>
      <w:r w:rsidRPr="00BB2B3C">
        <w:rPr>
          <w:rFonts w:ascii="Times New Roman" w:hAnsi="Times New Roman"/>
        </w:rPr>
        <w:lastRenderedPageBreak/>
        <w:t xml:space="preserve">challenged, it is arguable that any such law could have been severed from the remainder. </w:t>
      </w:r>
    </w:p>
    <w:p w14:paraId="38080BE4"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A fourth possibility, which was a narrower variant of the third way in which the plaintiffs put their case, is that the laws challenged were only the substantive laws which give effect to the nominated entity exception. On this possibility, the reference by the plaintiffs to other laws as they operate with the nominated entity exception was a blunt attempt simply to describe the context for interpreting the nominated entity exception. Of course, nominated entities are not themselves an exception to s 217D because donations to them are specifically included in s 217D(1)(g). The nominated entity exception, and the reason that a nominated entity would be appointed, is the exclusion from the general cap of any "gifts" from the </w:t>
      </w:r>
      <w:r w:rsidRPr="00BB2B3C">
        <w:rPr>
          <w:rFonts w:ascii="Times New Roman" w:hAnsi="Times New Roman"/>
          <w:i/>
          <w:iCs/>
        </w:rPr>
        <w:t>existing assets</w:t>
      </w:r>
      <w:r w:rsidRPr="00BB2B3C">
        <w:rPr>
          <w:rFonts w:ascii="Times New Roman" w:hAnsi="Times New Roman"/>
        </w:rPr>
        <w:t xml:space="preserve"> of a nominated entity to a registered political party. The substantive laws challenged by the plaintiffs on this fourth possibility could only be the laws in s 222F, which enable the appointment of nominated entities, thus permitting a nominated entity to make donations to a registered political party from its existing assets, without falling within the general cap imposed by s 217D. </w:t>
      </w:r>
    </w:p>
    <w:p w14:paraId="27BCF462"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For these reasons, the real subject of the plaintiffs' challenge was the laws in s 222F that provide for the nomination and eligibility for appointment of an entity as a nominated entity. It is those laws which enable an entity to become a nominated entity and therefore to fall outside the limitations on political donations in s 217D in respect of donations from its existing assets to the relevant registered political party. The particular law in s 222F which was the focus of the plaintiffs' submissions was that contained in s 222F(3). The law contained in s 222F(3), with its legacy parties purpose and exclusion purpose, must be interpreted by reference to its context, including the general cap, the nominated entity provisions generally, and all the other contextual laws to which the plaintiffs made reference.</w:t>
      </w:r>
      <w:r w:rsidRPr="00BB2B3C">
        <w:rPr>
          <w:rStyle w:val="FootnoteReference"/>
          <w:rFonts w:ascii="Times New Roman" w:hAnsi="Times New Roman"/>
          <w:sz w:val="24"/>
        </w:rPr>
        <w:footnoteReference w:id="157"/>
      </w:r>
      <w:r w:rsidRPr="00BB2B3C">
        <w:rPr>
          <w:rFonts w:ascii="Times New Roman" w:hAnsi="Times New Roman"/>
        </w:rPr>
        <w:t xml:space="preserve"> But it remains a legal rule capable of being challenged. All legal rules are understood in their context.  </w:t>
      </w:r>
    </w:p>
    <w:p w14:paraId="16F8232E"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plaintiffs' submissions concerning purpose therefore naturally focused upon what they described as the purpose of the "nominated entity provisions", asserting that the illegitimate purpose of the impugned law was "to place the legacy parties in a privileged position over independent candidates or new [registered political parties] in respect of the sources of funds that are available to be used for political expenditure". That submission could only refer to s 222F(3), or more precisely the law (legal rule) created by s 222F(3), which places those three legacy parties in that privileged position. </w:t>
      </w:r>
    </w:p>
    <w:p w14:paraId="486A4B71" w14:textId="77777777" w:rsidR="00960529" w:rsidRPr="00BB2B3C" w:rsidRDefault="00960529" w:rsidP="00BB2B3C">
      <w:pPr>
        <w:pStyle w:val="HeadingL2"/>
        <w:spacing w:after="260" w:line="280" w:lineRule="exact"/>
        <w:ind w:right="0"/>
        <w:jc w:val="both"/>
        <w:rPr>
          <w:rFonts w:ascii="Times New Roman" w:hAnsi="Times New Roman"/>
        </w:rPr>
      </w:pPr>
      <w:r w:rsidRPr="00BB2B3C">
        <w:rPr>
          <w:rFonts w:ascii="Times New Roman" w:hAnsi="Times New Roman"/>
        </w:rPr>
        <w:lastRenderedPageBreak/>
        <w:t xml:space="preserve">Section 222F(3) imposes a burden on free political communication with an illegitimate purpose </w:t>
      </w:r>
    </w:p>
    <w:p w14:paraId="30DCFC94"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effect of s 222F(3) was to permit only the legacy parties to establish a nominated entity, which they did not control, which could make political donations from its existing assets to those parties free from the general cap. Victoria and the Attorney-General of the Commonwealth were therefore correct that, compared with the three legacy parties, a differential and greater burden on free political communication was placed on other registered political parties. But, subject to the concession discussed above, Victoria submitted that this burden was justified because it was a proportionate means of achieving a legitimate purpose. </w:t>
      </w:r>
    </w:p>
    <w:p w14:paraId="28D27B08"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purpose of s 222F(3) was said by Victoria to be to "accommodate the range of organisational structures able to be adopted by parties" for the purpose of holding assets for those registered political parties. But that purpose is too narrow to reflect all of the goals of the Victorian Parliament. Section 222F(3) was intended not to be limited to the organisational structures of registered political parties, but to extend to nominated entities that may not be a part of those structures and may not even be controlled by the registered political parties. </w:t>
      </w:r>
    </w:p>
    <w:p w14:paraId="2DC69D67"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broader purpose of s 222F(3) is evident from the concerns expressed in the Legislative Council on 22 June 2018 in relation to the funding of the Victorian Liberal Party by an entity that might not fall within the application of s 222F(2). Hence, s 222F(3) was intended to apply </w:t>
      </w:r>
      <w:r w:rsidRPr="00BB2B3C">
        <w:rPr>
          <w:rFonts w:ascii="Times New Roman" w:hAnsi="Times New Roman"/>
          <w:i/>
          <w:iCs/>
        </w:rPr>
        <w:t xml:space="preserve">even if </w:t>
      </w:r>
      <w:r w:rsidRPr="00BB2B3C">
        <w:rPr>
          <w:rFonts w:ascii="Times New Roman" w:hAnsi="Times New Roman"/>
        </w:rPr>
        <w:t xml:space="preserve">the nominated entity was not, and never had been, controlled by the registered political party that appointed it. Although the choice of 1 July 2020 as the cut-off point for appointment of a nominated entity under the looser eligibility criteria in s 222F(3) was unexplained in the materials before this Court, the natural inference is that the period of almost two years after the passage of the 2018 Amendments was chosen to provide time for the three legacy parties to appoint their respective nominated entities. </w:t>
      </w:r>
    </w:p>
    <w:p w14:paraId="37913470"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As to other registered political parties, the special case records that the Australian Greens – Victoria is an incorporated political party. That party was entitled to transfer funds from its account held as an incorporated entity into its State campaign account for use for political expenditure without the transfer counting towards the general cap. That would be a transfer within its own organisational structure; it is not a "gift". But neither that party nor any other registered political party could establish an asset-rich nominated entity on or after 1 July 2020. Further, an anti-avoidance provision operated from November 2018 and created an offence, in effect, for any person to carry out a scheme to obtain donations for an entity in excess of the general cap for the purpose of having that entity appointed as a nominated entity for a registered political party.</w:t>
      </w:r>
      <w:r w:rsidRPr="00BB2B3C">
        <w:rPr>
          <w:rStyle w:val="FootnoteReference"/>
          <w:rFonts w:ascii="Times New Roman" w:hAnsi="Times New Roman"/>
          <w:sz w:val="24"/>
        </w:rPr>
        <w:footnoteReference w:id="158"/>
      </w:r>
      <w:r w:rsidRPr="00BB2B3C">
        <w:rPr>
          <w:rFonts w:ascii="Times New Roman" w:hAnsi="Times New Roman"/>
        </w:rPr>
        <w:t xml:space="preserve"> </w:t>
      </w:r>
    </w:p>
    <w:p w14:paraId="5895731E"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lastRenderedPageBreak/>
        <w:tab/>
        <w:t xml:space="preserve">The purposes of s 222F(3) were therefore broader than merely seeking to preserve the assets of the three legacy parties themselves. The purposes were twofold. First, a purpose was to maintain the ability of the three legacy parties to receive political donations not subject to the general cap from the existing assets (at the time the relevant 2018 Amendments took effect) of a nominated entity which they might not control. This purpose, colourfully described during the hearing as maintenance of the "war chest" of the legacy parties, can be called the "legacy parties purpose". Secondly, another purpose was to exclude all other registered political parties from obtaining such a war chest, at least from 1 July 2020. This purpose can be called the "exclusion purpose". </w:t>
      </w:r>
    </w:p>
    <w:p w14:paraId="786E3C35"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submissions in this special case did not consider whether the legacy parties purpose and exclusion purpose of s 222F(3) were expressed at the right level of generality to represent the purpose of Parliament. Even assuming, for the purposes of these reasons, that the legacy parties purpose and exclusion purpose of s 222F(3) were expressed at the right level of generality, there were no substantial submissions concerning whether the exclusion purpose was legitimate (or, as Victoria described it, a "proper objective"). </w:t>
      </w:r>
    </w:p>
    <w:p w14:paraId="3808B630"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Victoria assumed that the legacy parties purpose was legitimate. The assumption that the legacy parties purpose was legitimate was perhaps made on the basis of the impossibility of a perfectly level playing field for all political parties and perhaps also due to the constitutional design of leaving a "wide range of choices over matters such as the type of electoral system and manner of voting, the size of any electoral districts, and whether voting is compulsory".</w:t>
      </w:r>
      <w:r w:rsidRPr="00BB2B3C">
        <w:rPr>
          <w:rStyle w:val="FootnoteReference"/>
          <w:rFonts w:ascii="Times New Roman" w:hAnsi="Times New Roman"/>
          <w:sz w:val="24"/>
        </w:rPr>
        <w:footnoteReference w:id="159"/>
      </w:r>
      <w:r w:rsidRPr="00BB2B3C">
        <w:rPr>
          <w:rFonts w:ascii="Times New Roman" w:hAnsi="Times New Roman"/>
        </w:rPr>
        <w:t xml:space="preserve"> But as to the exclusion purpose, Victoria conceded that "there are no facts in the Special </w:t>
      </w:r>
      <w:r w:rsidRPr="00BB2B3C" w:rsidDel="006A179C">
        <w:rPr>
          <w:rFonts w:ascii="Times New Roman" w:hAnsi="Times New Roman"/>
        </w:rPr>
        <w:t>C</w:t>
      </w:r>
      <w:r w:rsidRPr="00BB2B3C">
        <w:rPr>
          <w:rFonts w:ascii="Times New Roman" w:hAnsi="Times New Roman"/>
        </w:rPr>
        <w:t xml:space="preserve">ase that would enable the Court to conclude that the different treatment of pre-July 2020 parties and new registered political parties is the product of a distinction which is [reasonably] appropriate and adapted to the attainment of a proper objective". More precisely, the special case did not reveal any basis upon which the exclusion of non-legacy parties from the benefits of a nominated entity under s 222F(3) was proportionate to a proper objective. </w:t>
      </w:r>
    </w:p>
    <w:p w14:paraId="41422FDF"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If Victoria's concession were intended to be a concession about lack of proportionality between the means adopted by s 222F(3) and the purpose of that law, then the concession is puzzling. The premise for such a conceded lack of proportionality was missing. Why were the means adopted by s 222F(3) in excluding the non-legacy parties from the benefits conferred by that provision not proportionate to the exclusion purpose of s 222F(3)? Not only does it appear that the means adopted in s 222F(3) were reasonably capable of being seen as necessary for the exclusion purpose, but it is hard to see how the purposes of s 222F(3) could have otherwise been achieved. The only submission by the plaintiffs concerning an alternative means was that Pt 12 could operate without </w:t>
      </w:r>
      <w:r w:rsidRPr="00BB2B3C">
        <w:rPr>
          <w:rFonts w:ascii="Times New Roman" w:hAnsi="Times New Roman"/>
          <w:i/>
          <w:iCs/>
        </w:rPr>
        <w:t>any</w:t>
      </w:r>
      <w:r w:rsidRPr="00BB2B3C">
        <w:rPr>
          <w:rFonts w:ascii="Times New Roman" w:hAnsi="Times New Roman"/>
        </w:rPr>
        <w:t xml:space="preserve"> political party being </w:t>
      </w:r>
      <w:r w:rsidRPr="00BB2B3C">
        <w:rPr>
          <w:rFonts w:ascii="Times New Roman" w:hAnsi="Times New Roman"/>
        </w:rPr>
        <w:lastRenderedPageBreak/>
        <w:t xml:space="preserve">able to receive donations from the existing assets of a nominated entity without the donation counting towards the general cap. But that suggested alternative means would not achieve the legacy parties purpose. It would deprive the legacy parties of their access to a historical and established source of donations.   </w:t>
      </w:r>
    </w:p>
    <w:p w14:paraId="23334F16"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It is not to the point to ask whether s 222F(3) would be disproportionate to the anti-corruption and anti-excess influence purposes of the </w:t>
      </w:r>
      <w:r w:rsidRPr="00BB2B3C">
        <w:rPr>
          <w:rFonts w:ascii="Times New Roman" w:hAnsi="Times New Roman"/>
          <w:i/>
          <w:iCs/>
        </w:rPr>
        <w:t xml:space="preserve">different </w:t>
      </w:r>
      <w:r w:rsidRPr="00BB2B3C">
        <w:rPr>
          <w:rFonts w:ascii="Times New Roman" w:hAnsi="Times New Roman"/>
        </w:rPr>
        <w:t>law concerning the general cap in s 217D. The purposes of the legal rule in s 222F(3) are not the purposes of the legal rules in s 217D. Of course, if (as will be seen below) the purposes of the legal rule in s 222F(3) were inseverable from the purposes of the legal rules in s 217D, then the laws contained in those provisions would fall to be treated in combination as an "entire law"</w:t>
      </w:r>
      <w:r w:rsidRPr="00BB2B3C">
        <w:rPr>
          <w:rStyle w:val="FootnoteReference"/>
          <w:rFonts w:ascii="Times New Roman" w:hAnsi="Times New Roman"/>
          <w:sz w:val="24"/>
        </w:rPr>
        <w:footnoteReference w:id="160"/>
      </w:r>
      <w:r w:rsidRPr="00BB2B3C">
        <w:rPr>
          <w:rFonts w:ascii="Times New Roman" w:hAnsi="Times New Roman"/>
        </w:rPr>
        <w:t xml:space="preserve"> with combined purposes. The invalidity of any of the combined purposes would invalidate the "entire" law. </w:t>
      </w:r>
    </w:p>
    <w:p w14:paraId="026DC701"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Victoria's concession can therefore only be understood as a concession that the exclusion purpose in s 222F(3) was not a "proper objective". Only if the exclusion purpose was illegitimate would it have made sense for Victoria to concede that the exclusionary means adopted by s 222F(3) were not proportionate to a "proper objective". </w:t>
      </w:r>
    </w:p>
    <w:p w14:paraId="487813D5"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If there had been sufficient facts in the special case, it might have been argued by Victoria that, at a higher level of generality, the exclusion purpose should be characterised as limiting the legacy parties purpose in order to further the anti-corruption and anti-excess influence purposes, by preventing other registered political parties from obtaining uncapped funds from nominated entities that they do not control. Ultimately, however, the concession by Victoria should be accepted in circumstances in which there was no such argument made and there are insufficient facts in the special case to support the legitimacy of the exclusion purpose, at a higher level of generality, as concerned with anti-corruption and anti-excess influence rather than, for example, stifling the ability of new registered political parties to access uncapped funds of closely related, but uncontrolled, nominated entities. Such a purpose would be illegitimate.</w:t>
      </w:r>
      <w:r w:rsidRPr="00BB2B3C">
        <w:rPr>
          <w:rStyle w:val="FootnoteReference"/>
          <w:rFonts w:ascii="Times New Roman" w:hAnsi="Times New Roman"/>
          <w:sz w:val="24"/>
        </w:rPr>
        <w:footnoteReference w:id="161"/>
      </w:r>
      <w:r w:rsidRPr="00BB2B3C">
        <w:rPr>
          <w:rFonts w:ascii="Times New Roman" w:hAnsi="Times New Roman"/>
        </w:rPr>
        <w:t xml:space="preserve"> </w:t>
      </w:r>
    </w:p>
    <w:p w14:paraId="419D9B23" w14:textId="77777777" w:rsidR="00960529" w:rsidRPr="00BB2B3C" w:rsidRDefault="00960529" w:rsidP="00BB2B3C">
      <w:pPr>
        <w:pStyle w:val="HeadingL2"/>
        <w:spacing w:after="260" w:line="280" w:lineRule="exact"/>
        <w:ind w:right="0"/>
        <w:jc w:val="both"/>
        <w:rPr>
          <w:rFonts w:ascii="Times New Roman" w:hAnsi="Times New Roman"/>
        </w:rPr>
      </w:pPr>
      <w:proofErr w:type="spellStart"/>
      <w:r w:rsidRPr="00BB2B3C">
        <w:rPr>
          <w:rFonts w:ascii="Times New Roman" w:hAnsi="Times New Roman"/>
        </w:rPr>
        <w:t>Inseverability</w:t>
      </w:r>
      <w:proofErr w:type="spellEnd"/>
      <w:r w:rsidRPr="00BB2B3C">
        <w:rPr>
          <w:rFonts w:ascii="Times New Roman" w:hAnsi="Times New Roman"/>
        </w:rPr>
        <w:t xml:space="preserve"> of s 222F(3) from the remainder of Pt 12</w:t>
      </w:r>
    </w:p>
    <w:p w14:paraId="56556681"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primary submission of Victoria was that s 222F(3) could be partially disapplied by notionally removing the words "if the first appointment of an entity as the nominated entity of a registered political party is made before 1 July 2020". The problem with that partial disapplication, however, is that it would alter one of the purposes of that sub-section (the exclusion purpose), which was to confine the </w:t>
      </w:r>
      <w:r w:rsidRPr="00BB2B3C">
        <w:rPr>
          <w:rFonts w:ascii="Times New Roman" w:hAnsi="Times New Roman"/>
        </w:rPr>
        <w:lastRenderedPageBreak/>
        <w:t>benefits of a nominated entity under s 222F(3) to the legacy parties. As explained above, the existence of one illegitimate purpose will invalidate an entire law despite the existence of other, legitimate, purposes,</w:t>
      </w:r>
      <w:r w:rsidRPr="00BB2B3C">
        <w:rPr>
          <w:rStyle w:val="FootnoteReference"/>
          <w:rFonts w:ascii="Times New Roman" w:hAnsi="Times New Roman"/>
          <w:sz w:val="24"/>
        </w:rPr>
        <w:footnoteReference w:id="162"/>
      </w:r>
      <w:r w:rsidRPr="00BB2B3C">
        <w:rPr>
          <w:rFonts w:ascii="Times New Roman" w:hAnsi="Times New Roman"/>
        </w:rPr>
        <w:t xml:space="preserve"> and amending or altering the purpose of a law is outside the scope of judicial power.</w:t>
      </w:r>
      <w:r w:rsidRPr="00BB2B3C">
        <w:rPr>
          <w:rStyle w:val="FootnoteReference"/>
          <w:rFonts w:ascii="Times New Roman" w:hAnsi="Times New Roman"/>
          <w:sz w:val="24"/>
        </w:rPr>
        <w:footnoteReference w:id="163"/>
      </w:r>
      <w:r w:rsidRPr="00BB2B3C">
        <w:rPr>
          <w:rFonts w:ascii="Times New Roman" w:hAnsi="Times New Roman"/>
        </w:rPr>
        <w:t xml:space="preserve"> </w:t>
      </w:r>
    </w:p>
    <w:p w14:paraId="254A4612"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Alternatively, Victoria submitted that all provisions in Pt 12 that relied upon the definition of "gift" could be partially disapplied by excluding the application (presumably in all substantive provisions) of para (j) of the definition of "gift" in s 206(1), concerning "a gift made by a registered political party to the nominated entity of the registered political party or received by a registered political party from the nominated entity of the registered political party". The other submissions of the parties then concerned the possibility of severance to increasing degrees: severance of s 222F(3) from the other laws in s 222F; severance of all the laws in Pt 12 concerning nominated entities (or partial disapplication to the extent to which those laws concerned nominated entities); severance of Div 3B (containing s 217D); or, at the most extreme, severance of all of the laws in Pt 12.    </w:t>
      </w:r>
    </w:p>
    <w:p w14:paraId="2D6EE6E6"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In this special case, it is unnecessary to determine which of the posited methods of partial disapplication or severance would best fulfil the statutory command in s 6(1) of the </w:t>
      </w:r>
      <w:r w:rsidRPr="00BB2B3C">
        <w:rPr>
          <w:rFonts w:ascii="Times New Roman" w:hAnsi="Times New Roman"/>
          <w:i/>
          <w:iCs/>
        </w:rPr>
        <w:t xml:space="preserve">Interpretation of Legislation Act </w:t>
      </w:r>
      <w:r w:rsidRPr="00BB2B3C">
        <w:rPr>
          <w:rFonts w:ascii="Times New Roman" w:hAnsi="Times New Roman"/>
        </w:rPr>
        <w:t xml:space="preserve">by the minimum degree of partial disapplication or severance. The difficulty with all of the proposed partial </w:t>
      </w:r>
      <w:proofErr w:type="spellStart"/>
      <w:r w:rsidRPr="00BB2B3C">
        <w:rPr>
          <w:rFonts w:ascii="Times New Roman" w:hAnsi="Times New Roman"/>
        </w:rPr>
        <w:t>disapplications</w:t>
      </w:r>
      <w:proofErr w:type="spellEnd"/>
      <w:r w:rsidRPr="00BB2B3C">
        <w:rPr>
          <w:rFonts w:ascii="Times New Roman" w:hAnsi="Times New Roman"/>
        </w:rPr>
        <w:t xml:space="preserve"> or severances apart from the most extreme (severance of all of the laws in Pt 12) is that the purposes of s 222F(3) are inextricably connected with the purposes of s 222F generally and the purposes of s 222F are inextricably connected with those of s 217D and, at a higher level of generality, the purpose of the provisions of Pt 12 of the </w:t>
      </w:r>
      <w:r w:rsidRPr="00BB2B3C">
        <w:rPr>
          <w:rFonts w:ascii="Times New Roman" w:hAnsi="Times New Roman"/>
          <w:i/>
          <w:iCs/>
        </w:rPr>
        <w:t xml:space="preserve">Electoral Act </w:t>
      </w:r>
      <w:r w:rsidRPr="00BB2B3C">
        <w:rPr>
          <w:rFonts w:ascii="Times New Roman" w:hAnsi="Times New Roman"/>
        </w:rPr>
        <w:t xml:space="preserve">generally, which is to regulate electoral expenditure and political donations. </w:t>
      </w:r>
    </w:p>
    <w:p w14:paraId="129CCE8A"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The inextricable connection between the purposes of s 222F(3) and the purposes of s 222F arises because s 222F(3) was included by the Legislative Council on 22 June 2018 for the reason that the Victorian Parliament considered that s 222F(2) alone could not fully serve its purpose of allowing "parties to organise their affairs in a way that recognises their internal financial structures or what meets the needs of their party to administer their affairs".</w:t>
      </w:r>
      <w:r w:rsidRPr="00BB2B3C">
        <w:rPr>
          <w:rStyle w:val="FootnoteReference"/>
          <w:rFonts w:ascii="Times New Roman" w:hAnsi="Times New Roman"/>
          <w:sz w:val="24"/>
        </w:rPr>
        <w:footnoteReference w:id="164"/>
      </w:r>
      <w:r w:rsidRPr="00BB2B3C">
        <w:rPr>
          <w:rFonts w:ascii="Times New Roman" w:hAnsi="Times New Roman"/>
        </w:rPr>
        <w:t xml:space="preserve"> The purposes of s 222F(3) and s 222F are also jointly reinforced by the anti-avoidance provision in s 218B, which prevents any registered political party, even during the period from November 2018 (when s 218B took effect) until 1 July 2020, from obtaining donations for an entity with the intention of later appointing that entity as the </w:t>
      </w:r>
      <w:r w:rsidRPr="00BB2B3C">
        <w:rPr>
          <w:rFonts w:ascii="Times New Roman" w:hAnsi="Times New Roman"/>
        </w:rPr>
        <w:lastRenderedPageBreak/>
        <w:t xml:space="preserve">party's nominated entity, whose assets could be donated to the party without being subject to the general cap.   </w:t>
      </w:r>
    </w:p>
    <w:p w14:paraId="24AC3477"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As for the close connection between the purposes of s 222F and the purposes of the regime in Pt 12, including s 217D, this can be seen in the reflection of the legacy parties purpose (of s 222F(3)) in para (j) of the definition of "gift" in s 206(1), which was to respect "the existing arrangements between political parties and separate entities that manage financial commitments and maintain assets for the sole benefit of the registered political party".</w:t>
      </w:r>
      <w:r w:rsidRPr="00BB2B3C">
        <w:rPr>
          <w:rStyle w:val="FootnoteReference"/>
          <w:rFonts w:ascii="Times New Roman" w:hAnsi="Times New Roman"/>
          <w:sz w:val="24"/>
        </w:rPr>
        <w:footnoteReference w:id="165"/>
      </w:r>
      <w:r w:rsidRPr="00BB2B3C">
        <w:rPr>
          <w:rFonts w:ascii="Times New Roman" w:hAnsi="Times New Roman"/>
        </w:rPr>
        <w:t xml:space="preserve"> That paragraph has operation throughout Pt 12. </w:t>
      </w:r>
    </w:p>
    <w:p w14:paraId="7D6572C6" w14:textId="77777777" w:rsidR="00960529" w:rsidRPr="00BB2B3C" w:rsidRDefault="00960529" w:rsidP="00BB2B3C">
      <w:pPr>
        <w:pStyle w:val="FixListStyle"/>
        <w:spacing w:after="260" w:line="280" w:lineRule="exact"/>
        <w:ind w:right="0"/>
        <w:jc w:val="both"/>
        <w:rPr>
          <w:rFonts w:ascii="Times New Roman" w:hAnsi="Times New Roman"/>
        </w:rPr>
      </w:pPr>
      <w:r w:rsidRPr="00BB2B3C">
        <w:rPr>
          <w:rFonts w:ascii="Times New Roman" w:hAnsi="Times New Roman"/>
        </w:rPr>
        <w:tab/>
        <w:t xml:space="preserve">The close connection between the purposes of s 222F and the purposes of the regime in Pt 12 can also be seen in the significance of the legacy parties, which are the focus of s 222F(3). As the special case explains, those three registered political parties endorsed 258 of the 776 candidates who were endorsed by the 20 registered political parties at the 2018 Victorian election. In turn, the scheme of regulating political donations through the use of the concept of the nominated entity is a central and inextricable part of the operation of Pt 12. The legislative amendment in s 222F(3), therefore, was not a separate and severable legislative addition. The legacy parties purpose in s 222F(3) is such a significant qualification upon the general legislative anti-corruption and anti-excess influence purposes that the removal of the former would substantially change the intended operation of the latter. The provisions of Pt 12 are inextricably bound together by these purposes. The invalidity of the law in s 222F(3) has the consequence that all laws in Pt 12 are invalid.   </w:t>
      </w:r>
    </w:p>
    <w:p w14:paraId="37F102F4" w14:textId="77777777" w:rsidR="00960529" w:rsidRPr="00BB2B3C" w:rsidRDefault="00960529" w:rsidP="00BB2B3C">
      <w:pPr>
        <w:pStyle w:val="HeadingL1"/>
        <w:spacing w:after="260" w:line="280" w:lineRule="exact"/>
        <w:ind w:right="0"/>
        <w:jc w:val="both"/>
        <w:rPr>
          <w:rFonts w:ascii="Times New Roman" w:hAnsi="Times New Roman"/>
        </w:rPr>
      </w:pPr>
      <w:r w:rsidRPr="00BB2B3C">
        <w:rPr>
          <w:rFonts w:ascii="Times New Roman" w:hAnsi="Times New Roman"/>
        </w:rPr>
        <w:t>Conclusion</w:t>
      </w:r>
    </w:p>
    <w:p w14:paraId="2E365DF8" w14:textId="77777777" w:rsidR="00960529" w:rsidRDefault="00960529" w:rsidP="00960529">
      <w:pPr>
        <w:pStyle w:val="FixListStyle"/>
        <w:spacing w:after="260" w:line="280" w:lineRule="exact"/>
        <w:ind w:right="0"/>
        <w:jc w:val="both"/>
        <w:rPr>
          <w:rFonts w:ascii="Times New Roman" w:hAnsi="Times New Roman"/>
        </w:rPr>
      </w:pPr>
      <w:r w:rsidRPr="00BB2B3C">
        <w:rPr>
          <w:rFonts w:ascii="Times New Roman" w:hAnsi="Times New Roman"/>
        </w:rPr>
        <w:tab/>
        <w:t>The questions in the special case should be answered as proposed in the joint judgment.</w:t>
      </w:r>
    </w:p>
    <w:p w14:paraId="76BFD15A" w14:textId="77777777" w:rsidR="00960529" w:rsidRDefault="00960529" w:rsidP="00960529">
      <w:pPr>
        <w:pStyle w:val="FixListStyle"/>
        <w:spacing w:after="260" w:line="280" w:lineRule="exact"/>
        <w:ind w:right="0"/>
        <w:jc w:val="both"/>
        <w:rPr>
          <w:rFonts w:ascii="Times New Roman" w:hAnsi="Times New Roman"/>
        </w:rPr>
        <w:sectPr w:rsidR="00960529" w:rsidSect="00960529">
          <w:headerReference w:type="even" r:id="rId23"/>
          <w:headerReference w:type="default" r:id="rId24"/>
          <w:footerReference w:type="even" r:id="rId25"/>
          <w:footerReference w:type="default" r:id="rId26"/>
          <w:headerReference w:type="first" r:id="rId27"/>
          <w:footerReference w:type="first" r:id="rId28"/>
          <w:pgSz w:w="11907" w:h="16839" w:code="9"/>
          <w:pgMar w:top="1440" w:right="1701" w:bottom="1984" w:left="1701" w:header="720" w:footer="720" w:gutter="0"/>
          <w:cols w:space="720"/>
          <w:docGrid w:linePitch="354"/>
        </w:sectPr>
      </w:pPr>
    </w:p>
    <w:p w14:paraId="23F23DD3" w14:textId="77777777" w:rsidR="00960529" w:rsidRPr="001C6E4C" w:rsidRDefault="00960529" w:rsidP="001C6E4C">
      <w:pPr>
        <w:pStyle w:val="FixListStyle"/>
        <w:tabs>
          <w:tab w:val="clear" w:pos="720"/>
          <w:tab w:val="left" w:pos="0"/>
        </w:tabs>
        <w:spacing w:after="260" w:line="280" w:lineRule="exact"/>
        <w:ind w:right="0"/>
        <w:jc w:val="both"/>
        <w:rPr>
          <w:rFonts w:ascii="Times New Roman" w:hAnsi="Times New Roman"/>
        </w:rPr>
      </w:pPr>
      <w:r w:rsidRPr="001C6E4C">
        <w:rPr>
          <w:rFonts w:ascii="Times New Roman" w:hAnsi="Times New Roman"/>
        </w:rPr>
        <w:lastRenderedPageBreak/>
        <w:t xml:space="preserve">STEWARD J.   As Gageler CJ, Gordon, Jagot and Beech-Jones JJ explain, the disposition of this special case turns entirely upon a concession made by the State of Victoria that the words "if the first appointment of an entity as the nominated entity of a registered political party is made before 1 July 2020" in s 222F(3) of the </w:t>
      </w:r>
      <w:r w:rsidRPr="001C6E4C">
        <w:rPr>
          <w:rFonts w:ascii="Times New Roman" w:hAnsi="Times New Roman"/>
          <w:i/>
          <w:iCs/>
        </w:rPr>
        <w:t>Electoral Act 2002</w:t>
      </w:r>
      <w:r w:rsidRPr="001C6E4C">
        <w:rPr>
          <w:rFonts w:ascii="Times New Roman" w:hAnsi="Times New Roman"/>
        </w:rPr>
        <w:t xml:space="preserve"> (Vic) infringe the implied freedom of political communication. Gageler CJ, Gordon, Jagot and Beech-Jones JJ persuasively reason that these words cannot be severed from s 222F(3) without also severing s 222F(2); that s 222F cannot be severed from Subdiv 2 of Div 4A of Pt 12 of the </w:t>
      </w:r>
      <w:r w:rsidRPr="001C6E4C">
        <w:rPr>
          <w:rFonts w:ascii="Times New Roman" w:hAnsi="Times New Roman"/>
          <w:i/>
          <w:iCs/>
        </w:rPr>
        <w:t>Electoral Act</w:t>
      </w:r>
      <w:r w:rsidRPr="001C6E4C">
        <w:rPr>
          <w:rFonts w:ascii="Times New Roman" w:hAnsi="Times New Roman"/>
        </w:rPr>
        <w:t xml:space="preserve">; and that the concept of a nominated entity is so intertwined within Pt 12 that one cannot merely sever Div 3B of Pt 12 – which imposes the cap on donations – and at the same time also avoid a re-writing of the </w:t>
      </w:r>
      <w:r w:rsidRPr="001C6E4C">
        <w:rPr>
          <w:rFonts w:ascii="Times New Roman" w:hAnsi="Times New Roman"/>
          <w:i/>
          <w:iCs/>
        </w:rPr>
        <w:t>Electoral Act</w:t>
      </w:r>
      <w:r w:rsidRPr="001C6E4C">
        <w:rPr>
          <w:rFonts w:ascii="Times New Roman" w:hAnsi="Times New Roman"/>
        </w:rPr>
        <w:t xml:space="preserve">, consistently with Latham CJ's judgment in </w:t>
      </w:r>
      <w:proofErr w:type="spellStart"/>
      <w:r w:rsidRPr="001C6E4C">
        <w:rPr>
          <w:rFonts w:ascii="Times New Roman" w:hAnsi="Times New Roman"/>
          <w:i/>
          <w:iCs/>
        </w:rPr>
        <w:t>Pidoto</w:t>
      </w:r>
      <w:proofErr w:type="spellEnd"/>
      <w:r w:rsidRPr="001C6E4C">
        <w:rPr>
          <w:rFonts w:ascii="Times New Roman" w:hAnsi="Times New Roman"/>
          <w:i/>
          <w:iCs/>
        </w:rPr>
        <w:t xml:space="preserve"> v Victoria</w:t>
      </w:r>
      <w:r w:rsidRPr="001C6E4C">
        <w:rPr>
          <w:rFonts w:ascii="Times New Roman" w:hAnsi="Times New Roman"/>
        </w:rPr>
        <w:t>.</w:t>
      </w:r>
      <w:r w:rsidRPr="001C6E4C">
        <w:rPr>
          <w:rStyle w:val="FootnoteReference"/>
          <w:rFonts w:ascii="Times New Roman" w:hAnsi="Times New Roman"/>
          <w:sz w:val="24"/>
        </w:rPr>
        <w:footnoteReference w:id="166"/>
      </w:r>
      <w:r w:rsidRPr="001C6E4C">
        <w:rPr>
          <w:rFonts w:ascii="Times New Roman" w:hAnsi="Times New Roman"/>
        </w:rPr>
        <w:t xml:space="preserve"> It follows that all of Pt 12 must be invalidated. I am thus grateful to Gageler CJ, Gordon, Jagot and Beech-Jones JJ.</w:t>
      </w:r>
    </w:p>
    <w:p w14:paraId="1F3A949B"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 xml:space="preserve">But for that concession, this Court's jurisprudence concerning the implied freedom of political communication might have obliged me to prefer one legislative model for regulating the making of electoral donations over that which the Victorian Parliament has decreed. Let me explain. </w:t>
      </w:r>
    </w:p>
    <w:p w14:paraId="2563C6B1"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 xml:space="preserve">Here, the plaintiffs contended that it was not the general cap on donations that offended the implied freedom, but the way in which the </w:t>
      </w:r>
      <w:r w:rsidRPr="001C6E4C">
        <w:rPr>
          <w:rFonts w:ascii="Times New Roman" w:hAnsi="Times New Roman"/>
          <w:i/>
          <w:iCs/>
        </w:rPr>
        <w:t>Electoral Act</w:t>
      </w:r>
      <w:r w:rsidRPr="001C6E4C">
        <w:rPr>
          <w:rFonts w:ascii="Times New Roman" w:hAnsi="Times New Roman"/>
        </w:rPr>
        <w:t xml:space="preserve"> prevented a "level playing field" between candidates on the subject of electoral funding.</w:t>
      </w:r>
      <w:r w:rsidRPr="001C6E4C">
        <w:rPr>
          <w:rStyle w:val="FootnoteReference"/>
          <w:rFonts w:ascii="Times New Roman" w:hAnsi="Times New Roman"/>
          <w:sz w:val="24"/>
        </w:rPr>
        <w:footnoteReference w:id="167"/>
      </w:r>
      <w:r w:rsidRPr="001C6E4C">
        <w:rPr>
          <w:rFonts w:ascii="Times New Roman" w:hAnsi="Times New Roman"/>
        </w:rPr>
        <w:t xml:space="preserve"> The choice made by the Victorian Parliament in 2018 to impose a general cap on donations pursuant to s 217D of the </w:t>
      </w:r>
      <w:r w:rsidRPr="001C6E4C">
        <w:rPr>
          <w:rFonts w:ascii="Times New Roman" w:hAnsi="Times New Roman"/>
          <w:i/>
          <w:iCs/>
        </w:rPr>
        <w:t>Electoral Act</w:t>
      </w:r>
      <w:r w:rsidRPr="001C6E4C">
        <w:rPr>
          <w:rFonts w:ascii="Times New Roman" w:hAnsi="Times New Roman"/>
        </w:rPr>
        <w:t>,</w:t>
      </w:r>
      <w:r w:rsidRPr="001C6E4C">
        <w:rPr>
          <w:rStyle w:val="FootnoteReference"/>
          <w:rFonts w:ascii="Times New Roman" w:hAnsi="Times New Roman"/>
          <w:sz w:val="24"/>
        </w:rPr>
        <w:footnoteReference w:id="168"/>
      </w:r>
      <w:r w:rsidRPr="001C6E4C">
        <w:rPr>
          <w:rFonts w:ascii="Times New Roman" w:hAnsi="Times New Roman"/>
        </w:rPr>
        <w:t xml:space="preserve"> whilst preserving the traditional sources of funding for the Australian Labor Party, the Liberal Party of Australia and the National Party of Australia respectively in Victoria, being donations from well-capitalised nominated entities, was said to be a legislative selection that was not reasonably appropriate and adapted to the achievement of a legitimate end – here, that of reducing the risk of corruption and undue influence in the electoral process. That is because, as described by Gageler CJ, Gordon, Jagot and Beech-Jones JJ, a candidate who is not endorsed by one of the Labor, Liberal or National parties is practically prevented by the general cap in s 217D from accessing money from their own well-capitalised "nominated entity". The justification for that choice – namely, that nominated entities are, in reality, economic creatures of each of the three major parties – was said by the plaintiffs to be unsustainable. In contrast, if these parties had prior to 2018 built up their own store of capital, instead of using nominated entities for that </w:t>
      </w:r>
      <w:r w:rsidRPr="001C6E4C">
        <w:rPr>
          <w:rFonts w:ascii="Times New Roman" w:hAnsi="Times New Roman"/>
        </w:rPr>
        <w:lastRenderedPageBreak/>
        <w:t>purpose, the plaintiffs would not have objected to the use of such legacy assets to fund – uncapped – elections in the future.</w:t>
      </w:r>
      <w:r w:rsidRPr="001C6E4C">
        <w:rPr>
          <w:rFonts w:ascii="Times New Roman" w:hAnsi="Times New Roman"/>
          <w:b/>
          <w:bCs/>
        </w:rPr>
        <w:t xml:space="preserve"> </w:t>
      </w:r>
      <w:r w:rsidRPr="001C6E4C">
        <w:rPr>
          <w:rFonts w:ascii="Times New Roman" w:hAnsi="Times New Roman"/>
        </w:rPr>
        <w:t xml:space="preserve">The discrepancy between these outcomes was never resolved. </w:t>
      </w:r>
    </w:p>
    <w:p w14:paraId="7FCA399B"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 xml:space="preserve">The problem is that the achievement of a perfect "level playing field" is, in reality, an unattainable ideal. Different parties, for example, will always have different capacities to raise monies for use in an election. As Nettle J observed in </w:t>
      </w:r>
      <w:r w:rsidRPr="001C6E4C">
        <w:rPr>
          <w:rFonts w:ascii="Times New Roman" w:hAnsi="Times New Roman"/>
          <w:i/>
          <w:iCs/>
        </w:rPr>
        <w:t>Unions NSW v New South Wales</w:t>
      </w:r>
      <w:r w:rsidRPr="001C6E4C">
        <w:rPr>
          <w:rFonts w:ascii="Times New Roman" w:hAnsi="Times New Roman"/>
        </w:rPr>
        <w:t>:</w:t>
      </w:r>
      <w:r w:rsidRPr="001C6E4C">
        <w:rPr>
          <w:rStyle w:val="FootnoteReference"/>
          <w:rFonts w:ascii="Times New Roman" w:hAnsi="Times New Roman"/>
          <w:sz w:val="24"/>
        </w:rPr>
        <w:footnoteReference w:id="169"/>
      </w:r>
    </w:p>
    <w:p w14:paraId="0C10F030" w14:textId="77777777" w:rsidR="00960529" w:rsidRDefault="00960529" w:rsidP="001C6E4C">
      <w:pPr>
        <w:pStyle w:val="LeftrightafterHC"/>
        <w:spacing w:before="0" w:after="260" w:line="280" w:lineRule="exact"/>
        <w:ind w:right="0"/>
        <w:jc w:val="both"/>
        <w:rPr>
          <w:rFonts w:ascii="Times New Roman" w:hAnsi="Times New Roman"/>
        </w:rPr>
      </w:pPr>
      <w:r w:rsidRPr="001C6E4C">
        <w:rPr>
          <w:rFonts w:ascii="Times New Roman" w:hAnsi="Times New Roman"/>
        </w:rPr>
        <w:t>"the level playing field is comprised of a theoretically unlimited number of combinations and permutations of relativities within the range bordered by points at which the extent of disparity becomes unreasonable. And within that range, it is for the Parliament to make selections. It is only when and if a selection lies beyond the range of reasonable selection that it is invalid."</w:t>
      </w:r>
    </w:p>
    <w:p w14:paraId="00DB251A"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But, with respect, how is a judge of this Court to know what is within the "range of reasonable selection"?</w:t>
      </w:r>
    </w:p>
    <w:p w14:paraId="722B0ABE"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 xml:space="preserve">What makes that task all the more difficult in these types of cases is that this Court invariably relies upon, and is practically confined to, agreed facts set out in a special case, and the drawing of inferences from those agreed facts. These heavily negotiated and compromised expressions of the facts are inevitably anodyne in nature, and are thus often of no, or little, assistance. In contrast, the Court does not receive the benefit of expert evidence as to, for example, how much it reasonably costs to undertake a campaign to win a seat in the Legislative Assembly in Victoria. </w:t>
      </w:r>
    </w:p>
    <w:p w14:paraId="784812FB"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 xml:space="preserve">A good example of the problem in this case is one of the documents attached to the special case. It is the </w:t>
      </w:r>
      <w:r w:rsidRPr="001C6E4C">
        <w:rPr>
          <w:rFonts w:ascii="Times New Roman" w:hAnsi="Times New Roman"/>
          <w:i/>
          <w:iCs/>
        </w:rPr>
        <w:t>Report on Victoria's Laws on Political Finance and Electronic Assisted Voting</w:t>
      </w:r>
      <w:r w:rsidRPr="001C6E4C">
        <w:rPr>
          <w:rFonts w:ascii="Times New Roman" w:hAnsi="Times New Roman"/>
        </w:rPr>
        <w:t xml:space="preserve"> dated November 2023. The report was written by a panel comprising three members: a former public servant, a former Labor member of the House of Representatives and a former Liberal Senator. One of the issues the panel was required to report upon was the merit of permitting registered political parties ("RPPs") to appoint nominated entities. The plaintiffs relied upon the opinion and recommendation of a majority of the panel that the exception applying to nominated entities appointed prior to 1 July 2020 should be reformed, as it was perceived to significantly benefit those three parties that had established and appointed nominated entities prior to the relevant date.</w:t>
      </w:r>
      <w:r w:rsidRPr="001C6E4C">
        <w:rPr>
          <w:rStyle w:val="FootnoteReference"/>
          <w:rFonts w:ascii="Times New Roman" w:hAnsi="Times New Roman"/>
          <w:sz w:val="24"/>
        </w:rPr>
        <w:footnoteReference w:id="170"/>
      </w:r>
      <w:r w:rsidRPr="001C6E4C">
        <w:rPr>
          <w:rFonts w:ascii="Times New Roman" w:hAnsi="Times New Roman"/>
        </w:rPr>
        <w:t xml:space="preserve"> But the report also </w:t>
      </w:r>
      <w:r w:rsidRPr="001C6E4C">
        <w:rPr>
          <w:rFonts w:ascii="Times New Roman" w:hAnsi="Times New Roman"/>
        </w:rPr>
        <w:lastRenderedPageBreak/>
        <w:t>expressed a minority view, which disagreed with the need for any reform. The dissentient was of the view that:</w:t>
      </w:r>
      <w:r w:rsidRPr="001C6E4C">
        <w:rPr>
          <w:rStyle w:val="FootnoteReference"/>
          <w:rFonts w:ascii="Times New Roman" w:hAnsi="Times New Roman"/>
          <w:sz w:val="24"/>
        </w:rPr>
        <w:footnoteReference w:id="171"/>
      </w:r>
      <w:r w:rsidRPr="001C6E4C">
        <w:rPr>
          <w:rFonts w:ascii="Times New Roman" w:hAnsi="Times New Roman"/>
        </w:rPr>
        <w:t xml:space="preserve"> </w:t>
      </w:r>
    </w:p>
    <w:p w14:paraId="000D2B96" w14:textId="77777777" w:rsidR="00960529" w:rsidRDefault="00960529" w:rsidP="001C6E4C">
      <w:pPr>
        <w:pStyle w:val="LeftrightafterHC"/>
        <w:spacing w:before="0" w:after="260" w:line="280" w:lineRule="exact"/>
        <w:ind w:right="0"/>
        <w:jc w:val="both"/>
        <w:rPr>
          <w:rFonts w:ascii="Times New Roman" w:hAnsi="Times New Roman"/>
        </w:rPr>
      </w:pPr>
      <w:r w:rsidRPr="001C6E4C">
        <w:rPr>
          <w:rFonts w:ascii="Times New Roman" w:hAnsi="Times New Roman"/>
        </w:rPr>
        <w:t>"Existing rules for nominated entities recognise long-standing practices by RPPs that stretch back many decades. Those entities hold assets that generations of party members have accumulated and preserved for the RPP's long-term prosperity and in support of its ideals. Removing nominated entities may prevent those assets being used for those goals, potentially having a pernicious effect on the way in which RPPs conduct operations and support their members."</w:t>
      </w:r>
    </w:p>
    <w:p w14:paraId="144DCB79"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 xml:space="preserve">The Court was given no, or insufficient, material to resolve the issue of which view was more legitimate. Frankly, in many cases of this kind, it would be better to confront the evidentiary burden, and the fact-finding task, more squarely. In that respect, this Court has the power in an appropriate case to remit such a task to the Federal Court of Australia, as took place in </w:t>
      </w:r>
      <w:r w:rsidRPr="001C6E4C">
        <w:rPr>
          <w:rFonts w:ascii="Times New Roman" w:hAnsi="Times New Roman"/>
          <w:i/>
          <w:iCs/>
        </w:rPr>
        <w:t>Palmer v Western Australia</w:t>
      </w:r>
      <w:r w:rsidRPr="001C6E4C">
        <w:rPr>
          <w:rFonts w:ascii="Times New Roman" w:hAnsi="Times New Roman"/>
        </w:rPr>
        <w:t>.</w:t>
      </w:r>
      <w:r w:rsidRPr="001C6E4C">
        <w:rPr>
          <w:rFonts w:ascii="Times New Roman" w:hAnsi="Times New Roman"/>
          <w:b/>
          <w:sz w:val="24"/>
          <w:vertAlign w:val="superscript"/>
        </w:rPr>
        <w:footnoteReference w:id="172"/>
      </w:r>
    </w:p>
    <w:p w14:paraId="07839A5B" w14:textId="77777777" w:rsidR="00960529" w:rsidRPr="001C6E4C" w:rsidRDefault="00960529" w:rsidP="001C6E4C">
      <w:pPr>
        <w:pStyle w:val="FixListStyle"/>
        <w:spacing w:after="260" w:line="280" w:lineRule="exact"/>
        <w:ind w:right="0"/>
        <w:jc w:val="both"/>
        <w:rPr>
          <w:rFonts w:ascii="Times New Roman" w:hAnsi="Times New Roman"/>
        </w:rPr>
      </w:pPr>
      <w:r w:rsidRPr="001C6E4C">
        <w:rPr>
          <w:rFonts w:ascii="Times New Roman" w:hAnsi="Times New Roman"/>
        </w:rPr>
        <w:tab/>
        <w:t xml:space="preserve">Another issue, which need not be confronted given Victoria's concession, is that the law which here indirectly burdened the implied freedom, namely s 217D of the </w:t>
      </w:r>
      <w:r w:rsidRPr="001C6E4C">
        <w:rPr>
          <w:rFonts w:ascii="Times New Roman" w:hAnsi="Times New Roman"/>
          <w:i/>
          <w:iCs/>
        </w:rPr>
        <w:t>Electoral Act</w:t>
      </w:r>
      <w:r w:rsidRPr="001C6E4C">
        <w:rPr>
          <w:rFonts w:ascii="Times New Roman" w:hAnsi="Times New Roman"/>
        </w:rPr>
        <w:t>, which imposed the general cap on donations, was not considered by any party to be itself invalid.</w:t>
      </w:r>
      <w:r w:rsidRPr="001C6E4C">
        <w:rPr>
          <w:rStyle w:val="FootnoteReference"/>
          <w:rFonts w:ascii="Times New Roman" w:hAnsi="Times New Roman"/>
          <w:sz w:val="24"/>
        </w:rPr>
        <w:footnoteReference w:id="173"/>
      </w:r>
      <w:r w:rsidRPr="001C6E4C">
        <w:rPr>
          <w:rFonts w:ascii="Times New Roman" w:hAnsi="Times New Roman"/>
        </w:rPr>
        <w:t xml:space="preserve"> Rather, what was said to be objectionable was the law that excluded the general cap in respect of contributions made by nominated entities to RPPs.</w:t>
      </w:r>
      <w:r w:rsidRPr="001C6E4C">
        <w:rPr>
          <w:rStyle w:val="FootnoteReference"/>
          <w:rFonts w:ascii="Times New Roman" w:hAnsi="Times New Roman"/>
          <w:sz w:val="24"/>
        </w:rPr>
        <w:footnoteReference w:id="174"/>
      </w:r>
      <w:r w:rsidRPr="001C6E4C">
        <w:rPr>
          <w:rFonts w:ascii="Times New Roman" w:hAnsi="Times New Roman"/>
        </w:rPr>
        <w:t xml:space="preserve"> Yet this exception, if anything, enhanced the capacity of those eligible RPPs, and their members and candidates, to make political communications; it did not reduce that capacity.</w:t>
      </w:r>
      <w:r w:rsidRPr="001C6E4C">
        <w:rPr>
          <w:rStyle w:val="FootnoteReference"/>
          <w:rFonts w:ascii="Times New Roman" w:hAnsi="Times New Roman"/>
          <w:sz w:val="24"/>
        </w:rPr>
        <w:footnoteReference w:id="175"/>
      </w:r>
      <w:r w:rsidRPr="001C6E4C">
        <w:rPr>
          <w:rFonts w:ascii="Times New Roman" w:hAnsi="Times New Roman"/>
        </w:rPr>
        <w:t xml:space="preserve"> </w:t>
      </w:r>
    </w:p>
    <w:p w14:paraId="488DAEDA" w14:textId="77777777" w:rsidR="00002A6E" w:rsidRDefault="00960529" w:rsidP="00002A6E">
      <w:pPr>
        <w:pStyle w:val="FixListStyle"/>
        <w:spacing w:after="260" w:line="280" w:lineRule="exact"/>
        <w:ind w:right="0"/>
        <w:jc w:val="both"/>
        <w:rPr>
          <w:rFonts w:ascii="Times New Roman" w:hAnsi="Times New Roman"/>
        </w:rPr>
      </w:pPr>
      <w:r w:rsidRPr="001C6E4C">
        <w:rPr>
          <w:rFonts w:ascii="Times New Roman" w:hAnsi="Times New Roman"/>
        </w:rPr>
        <w:lastRenderedPageBreak/>
        <w:tab/>
        <w:t>Thankfully, the foregoing issues did not need to be resolved, and this case can be decided on the narrow basis that followed from Victoria's concession. I therefore agree with the answers proposed by Gageler CJ, Gordon, Jagot and Beech-Jones JJ to the questions of law posed by the special case.</w:t>
      </w:r>
    </w:p>
    <w:p w14:paraId="7E79B603" w14:textId="77777777" w:rsidR="00002A6E" w:rsidRDefault="00002A6E" w:rsidP="00002A6E">
      <w:pPr>
        <w:pStyle w:val="FixListStyle"/>
        <w:spacing w:after="260" w:line="280" w:lineRule="exact"/>
        <w:ind w:right="0"/>
        <w:jc w:val="both"/>
        <w:rPr>
          <w:rFonts w:ascii="Times New Roman" w:hAnsi="Times New Roman"/>
        </w:rPr>
        <w:sectPr w:rsidR="00002A6E" w:rsidSect="00960529">
          <w:headerReference w:type="even" r:id="rId29"/>
          <w:headerReference w:type="default" r:id="rId30"/>
          <w:headerReference w:type="first" r:id="rId31"/>
          <w:pgSz w:w="11907" w:h="16839" w:code="9"/>
          <w:pgMar w:top="1440" w:right="1701" w:bottom="1984" w:left="1701" w:header="720" w:footer="720" w:gutter="0"/>
          <w:cols w:space="720"/>
          <w:docGrid w:linePitch="354"/>
        </w:sectPr>
      </w:pPr>
    </w:p>
    <w:p w14:paraId="0212E933" w14:textId="77777777" w:rsidR="00002A6E" w:rsidRPr="00C90AD7" w:rsidRDefault="00002A6E" w:rsidP="00C90AD7">
      <w:pPr>
        <w:pStyle w:val="NormalBody"/>
        <w:tabs>
          <w:tab w:val="clear" w:pos="720"/>
          <w:tab w:val="left" w:pos="0"/>
        </w:tabs>
        <w:spacing w:after="260" w:line="280" w:lineRule="exact"/>
        <w:ind w:right="0"/>
        <w:jc w:val="both"/>
        <w:rPr>
          <w:rFonts w:ascii="Times New Roman" w:hAnsi="Times New Roman"/>
        </w:rPr>
      </w:pPr>
      <w:r w:rsidRPr="00C90AD7">
        <w:rPr>
          <w:rFonts w:ascii="Times New Roman" w:hAnsi="Times New Roman"/>
        </w:rPr>
        <w:lastRenderedPageBreak/>
        <w:t xml:space="preserve">GLEESON J.   </w:t>
      </w:r>
    </w:p>
    <w:p w14:paraId="2A88FCA1" w14:textId="77777777" w:rsidR="00002A6E" w:rsidRPr="00C90AD7" w:rsidRDefault="00002A6E" w:rsidP="00C90AD7">
      <w:pPr>
        <w:pStyle w:val="HeadingL1"/>
        <w:spacing w:after="260" w:line="280" w:lineRule="exact"/>
        <w:ind w:right="0"/>
        <w:jc w:val="both"/>
        <w:rPr>
          <w:rFonts w:ascii="Times New Roman" w:hAnsi="Times New Roman"/>
        </w:rPr>
      </w:pPr>
      <w:r w:rsidRPr="00C90AD7">
        <w:rPr>
          <w:rFonts w:ascii="Times New Roman" w:hAnsi="Times New Roman"/>
        </w:rPr>
        <w:t>Introduction</w:t>
      </w:r>
    </w:p>
    <w:p w14:paraId="645081AF"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 xml:space="preserve">This proceeding was brought in anticipation of the 2026 Victorian State election, to be held in November 2026. In that election, the first plaintiff intends to run in the district of Werribee as a candidate of the recently formed West Party. The second plaintiff intends to seek election as an independent candidate in the district of Hawthorn. The special case asks whether Pt 12 of the </w:t>
      </w:r>
      <w:r w:rsidRPr="00C90AD7">
        <w:rPr>
          <w:rFonts w:ascii="Times New Roman" w:hAnsi="Times New Roman"/>
          <w:i/>
          <w:iCs/>
        </w:rPr>
        <w:t xml:space="preserve">Electoral Act 2002 </w:t>
      </w:r>
      <w:r w:rsidRPr="00C90AD7">
        <w:rPr>
          <w:rFonts w:ascii="Times New Roman" w:hAnsi="Times New Roman"/>
        </w:rPr>
        <w:t xml:space="preserve">(Vic), entitled "Election expenditure and political donations", operating with the "nominated entity exception" in para (j) of the definition of "gift" in s 206(1) of the </w:t>
      </w:r>
      <w:r w:rsidRPr="00C90AD7">
        <w:rPr>
          <w:rFonts w:ascii="Times New Roman" w:hAnsi="Times New Roman"/>
          <w:i/>
          <w:iCs/>
        </w:rPr>
        <w:t>Electoral Act</w:t>
      </w:r>
      <w:r w:rsidRPr="00C90AD7">
        <w:rPr>
          <w:rFonts w:ascii="Times New Roman" w:hAnsi="Times New Roman"/>
        </w:rPr>
        <w:t xml:space="preserve">, is invalid (in whole or in part and, if in part, to what extent) because it impermissibly burdens the implied freedom of political communication, contrary to the </w:t>
      </w:r>
      <w:r w:rsidRPr="00C90AD7">
        <w:rPr>
          <w:rFonts w:ascii="Times New Roman" w:hAnsi="Times New Roman"/>
          <w:i/>
          <w:iCs/>
        </w:rPr>
        <w:t>Constitution</w:t>
      </w:r>
      <w:r w:rsidRPr="00C90AD7">
        <w:rPr>
          <w:rFonts w:ascii="Times New Roman" w:hAnsi="Times New Roman"/>
        </w:rPr>
        <w:t>.</w:t>
      </w:r>
    </w:p>
    <w:p w14:paraId="7F8BF535" w14:textId="5AE5EB0F"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 xml:space="preserve">The </w:t>
      </w:r>
      <w:r w:rsidRPr="00C90AD7">
        <w:rPr>
          <w:rFonts w:ascii="Times New Roman" w:hAnsi="Times New Roman"/>
          <w:i/>
          <w:iCs/>
        </w:rPr>
        <w:t>Electoral Legislation Amendment Act 2018</w:t>
      </w:r>
      <w:r w:rsidRPr="00C90AD7">
        <w:rPr>
          <w:rFonts w:ascii="Times New Roman" w:hAnsi="Times New Roman"/>
        </w:rPr>
        <w:t xml:space="preserve"> (Vic) ("the 2018 Act") introduced the concept of a "nominated entity" into Victoria's political finance scheme, a unique feature which places the three major political parties</w:t>
      </w:r>
      <w:r w:rsidRPr="00C90AD7">
        <w:rPr>
          <w:rStyle w:val="FootnoteReference"/>
          <w:rFonts w:ascii="Times New Roman" w:hAnsi="Times New Roman"/>
          <w:sz w:val="24"/>
        </w:rPr>
        <w:footnoteReference w:id="176"/>
      </w:r>
      <w:r w:rsidRPr="00C90AD7">
        <w:rPr>
          <w:rFonts w:ascii="Times New Roman" w:hAnsi="Times New Roman"/>
        </w:rPr>
        <w:t xml:space="preserve"> and their endorsed candidates at a significant advantage as to the sources of funds that they can spend on political communications for the purpose of winning votes at an election.</w:t>
      </w:r>
      <w:r w:rsidRPr="00C90AD7">
        <w:rPr>
          <w:rStyle w:val="FootnoteReference"/>
          <w:rFonts w:ascii="Times New Roman" w:hAnsi="Times New Roman"/>
          <w:sz w:val="24"/>
        </w:rPr>
        <w:footnoteReference w:id="177"/>
      </w:r>
      <w:r w:rsidRPr="00C90AD7">
        <w:rPr>
          <w:rFonts w:ascii="Times New Roman" w:hAnsi="Times New Roman"/>
        </w:rPr>
        <w:t xml:space="preserve"> There are two sets of criteria for appointment as a nominated entity.</w:t>
      </w:r>
      <w:r w:rsidRPr="00C90AD7">
        <w:rPr>
          <w:rStyle w:val="FootnoteReference"/>
          <w:rFonts w:ascii="Times New Roman" w:hAnsi="Times New Roman"/>
          <w:sz w:val="24"/>
        </w:rPr>
        <w:footnoteReference w:id="178"/>
      </w:r>
      <w:r w:rsidRPr="00C90AD7">
        <w:rPr>
          <w:rFonts w:ascii="Times New Roman" w:hAnsi="Times New Roman"/>
        </w:rPr>
        <w:t xml:space="preserve"> The particular advantage enjoyed by the nominated entities of the three major parties is created by the criteria for appointment which apply only to an appointment first made by a registered political party prior to 1 July 2020 ("the s</w:t>
      </w:r>
      <w:r w:rsidR="00686172">
        <w:rPr>
          <w:rFonts w:ascii="Times New Roman" w:hAnsi="Times New Roman"/>
        </w:rPr>
        <w:t> </w:t>
      </w:r>
      <w:r w:rsidRPr="00C90AD7">
        <w:rPr>
          <w:rFonts w:ascii="Times New Roman" w:hAnsi="Times New Roman"/>
        </w:rPr>
        <w:t>222F(3) criteria"), and which permit appointment of an entity having a greater degree of independence from its registered political party than the criteria under s</w:t>
      </w:r>
      <w:r w:rsidR="00686172">
        <w:rPr>
          <w:rFonts w:ascii="Times New Roman" w:hAnsi="Times New Roman"/>
        </w:rPr>
        <w:t> </w:t>
      </w:r>
      <w:r w:rsidRPr="00C90AD7">
        <w:rPr>
          <w:rFonts w:ascii="Times New Roman" w:hAnsi="Times New Roman"/>
        </w:rPr>
        <w:t>222F(2) for appointment as a nominated entity since that date. While other political donors are confined by a cap on political donations ("the general cap"),</w:t>
      </w:r>
      <w:r w:rsidRPr="00C90AD7">
        <w:rPr>
          <w:rStyle w:val="FootnoteReference"/>
          <w:rFonts w:ascii="Times New Roman" w:hAnsi="Times New Roman"/>
          <w:sz w:val="24"/>
        </w:rPr>
        <w:footnoteReference w:id="179"/>
      </w:r>
      <w:r w:rsidRPr="00C90AD7">
        <w:rPr>
          <w:rFonts w:ascii="Times New Roman" w:hAnsi="Times New Roman"/>
        </w:rPr>
        <w:t xml:space="preserve"> designed to be the lowest cap in Australia,</w:t>
      </w:r>
      <w:r w:rsidRPr="00C90AD7">
        <w:rPr>
          <w:rStyle w:val="FootnoteReference"/>
          <w:rFonts w:ascii="Times New Roman" w:hAnsi="Times New Roman"/>
          <w:sz w:val="24"/>
        </w:rPr>
        <w:footnoteReference w:id="180"/>
      </w:r>
      <w:r w:rsidRPr="00C90AD7">
        <w:rPr>
          <w:rFonts w:ascii="Times New Roman" w:hAnsi="Times New Roman"/>
        </w:rPr>
        <w:t xml:space="preserve"> the "nominated entity exception" when read with the s 222F(3) criteria frees the nominated entities of the three major parties, which were the only parties that nominated an entity prior to 1 July 2020, from the constraint imposed by the general cap. </w:t>
      </w:r>
    </w:p>
    <w:p w14:paraId="374ADBE7"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lastRenderedPageBreak/>
        <w:tab/>
        <w:t>The general cap extends to political donations made to a nominated entity, so that, while a registered political party has been and remains permitted to appoint a nominated entity after 1 July 2020 under the stricter criteria set out in s 222F(2), such a nominated entity</w:t>
      </w:r>
      <w:r w:rsidRPr="00C90AD7">
        <w:rPr>
          <w:rStyle w:val="FootnoteReference"/>
          <w:rFonts w:ascii="Times New Roman" w:hAnsi="Times New Roman"/>
          <w:sz w:val="24"/>
        </w:rPr>
        <w:footnoteReference w:id="181"/>
      </w:r>
      <w:r w:rsidRPr="00C90AD7">
        <w:rPr>
          <w:rFonts w:ascii="Times New Roman" w:hAnsi="Times New Roman"/>
        </w:rPr>
        <w:t xml:space="preserve"> cannot accumulate political donations unconstrained by the cap in the way that donations were accumulated by the nominated entities of the three major parties prior to the application of the cap to those entities. Unlike some political finance laws that seek to "level the playing field" of public debate, with the aim that the free flow of political communications will not be distorted by voices that would "drown out" other voices that seek to be heard,</w:t>
      </w:r>
      <w:r w:rsidRPr="00C90AD7">
        <w:rPr>
          <w:rStyle w:val="FootnoteReference"/>
          <w:rFonts w:ascii="Times New Roman" w:hAnsi="Times New Roman"/>
          <w:sz w:val="24"/>
        </w:rPr>
        <w:footnoteReference w:id="182"/>
      </w:r>
      <w:r w:rsidRPr="00C90AD7">
        <w:rPr>
          <w:rFonts w:ascii="Times New Roman" w:hAnsi="Times New Roman"/>
        </w:rPr>
        <w:t xml:space="preserve"> the "nominated entity exception" as it applies to the major parties therefore has the opposite effect of enabling the voices of those parties to be amplified.</w:t>
      </w:r>
    </w:p>
    <w:p w14:paraId="4DE30B41"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plaintiffs first contended that specified provisions in Pt 12, most particularly ss 216 and 217D when read with s 222F(3), but also ss 207F and 218B(1) ("the impugned provisions"), are constitutionally invalid because they burden the implied freedom for the illegitimate purpose of favouring the major parties over other persons and entities regulated by Pt 12 in a manner amounting to an "abuse of incumbency".</w:t>
      </w:r>
      <w:r w:rsidRPr="00C90AD7">
        <w:rPr>
          <w:rStyle w:val="FootnoteReference"/>
          <w:rFonts w:ascii="Times New Roman" w:hAnsi="Times New Roman"/>
          <w:sz w:val="24"/>
        </w:rPr>
        <w:footnoteReference w:id="183"/>
      </w:r>
      <w:r w:rsidRPr="00C90AD7">
        <w:rPr>
          <w:rFonts w:ascii="Times New Roman" w:hAnsi="Times New Roman"/>
          <w:b/>
        </w:rPr>
        <w:t xml:space="preserve"> </w:t>
      </w:r>
      <w:r w:rsidRPr="00C90AD7">
        <w:rPr>
          <w:rFonts w:ascii="Times New Roman" w:hAnsi="Times New Roman"/>
        </w:rPr>
        <w:t>A State law that imposes a burden on the implied freedom is invalid if enacted for an illegitimate purpose, that is, a purpose that is incompatible with the maintenance of the constitutionally prescribed system of representative government that is protected by the implied freedom of political communication.</w:t>
      </w:r>
      <w:r w:rsidRPr="00C90AD7">
        <w:rPr>
          <w:rStyle w:val="FootnoteReference"/>
          <w:rFonts w:ascii="Times New Roman" w:hAnsi="Times New Roman"/>
          <w:sz w:val="24"/>
        </w:rPr>
        <w:footnoteReference w:id="184"/>
      </w:r>
      <w:r w:rsidRPr="00C90AD7">
        <w:rPr>
          <w:rFonts w:ascii="Times New Roman" w:hAnsi="Times New Roman"/>
        </w:rPr>
        <w:t xml:space="preserve"> </w:t>
      </w:r>
    </w:p>
    <w:p w14:paraId="1A338A64"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If their first contention were to fail, the plaintiffs' second contention was that the provisions nevertheless cannot be justified as reasonably appropriate and adapted to advance a legitimate legislative purpose because they place the major parties in a privileged position over other regulated persons and entities for no good reason. Victoria conceded that the "time limitation" in s 222F(3), that is, the sub-section's application only to nominated entities first appointed "before 1 July 2020", affords discriminatory treatment in favour of the major parties that cannot be justified as "appropriate and adapted to the attainment of a proper objective".</w:t>
      </w:r>
      <w:r w:rsidRPr="00C90AD7">
        <w:rPr>
          <w:rStyle w:val="FootnoteReference"/>
          <w:rFonts w:ascii="Times New Roman" w:hAnsi="Times New Roman"/>
          <w:bCs/>
          <w:sz w:val="24"/>
        </w:rPr>
        <w:footnoteReference w:id="185"/>
      </w:r>
      <w:r w:rsidRPr="00C90AD7">
        <w:rPr>
          <w:rFonts w:ascii="Times New Roman" w:hAnsi="Times New Roman"/>
        </w:rPr>
        <w:t xml:space="preserve"> That concession establishes the plaintiffs' secondary contention in relation to the "time limitation". </w:t>
      </w:r>
    </w:p>
    <w:p w14:paraId="4650E6A2"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lastRenderedPageBreak/>
        <w:tab/>
        <w:t>In making that narrow concession, Victoria declined to engage with the framework for analysis of the constitutional validity of laws that impose an effective burden on the implied freedom of political communication. Even so, as explained by the plurality, the consequence of Victoria's concession is to render the entirety of Pt 12 invalid because it is impossible to identify a lesser portion of Pt 12 that was intended to operate without the nominated entity exception.</w:t>
      </w:r>
      <w:r w:rsidRPr="00C90AD7">
        <w:rPr>
          <w:rStyle w:val="FootnoteReference"/>
          <w:rFonts w:ascii="Times New Roman" w:hAnsi="Times New Roman"/>
          <w:sz w:val="24"/>
        </w:rPr>
        <w:footnoteReference w:id="186"/>
      </w:r>
      <w:r w:rsidRPr="00C90AD7">
        <w:rPr>
          <w:rFonts w:ascii="Times New Roman" w:hAnsi="Times New Roman"/>
        </w:rPr>
        <w:t xml:space="preserve"> </w:t>
      </w:r>
    </w:p>
    <w:p w14:paraId="28ACB98F"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far-reaching consequence of Victoria's narrow concession makes it unnecessary to determine the plaintiffs' first contention, which raises a question about the assessment of legislative purpose where the nominated entity exception preserves a degree of freedom of political communication for the major parties, but also substantially constrains the financial resources available to those who seek to influence election outcomes by funding political communications. In some cases, a differential constraint on political communications may be justified as appropriate and adapted to the attainment of a legitimate legislative purpose.</w:t>
      </w:r>
      <w:r w:rsidRPr="00C90AD7">
        <w:rPr>
          <w:rStyle w:val="FootnoteReference"/>
          <w:rFonts w:ascii="Times New Roman" w:hAnsi="Times New Roman"/>
          <w:sz w:val="24"/>
        </w:rPr>
        <w:footnoteReference w:id="187"/>
      </w:r>
      <w:r w:rsidRPr="00C90AD7">
        <w:rPr>
          <w:rFonts w:ascii="Times New Roman" w:hAnsi="Times New Roman"/>
        </w:rPr>
        <w:t xml:space="preserve"> However, different treatment of participants in political debate, especially favourable treatment of political incumbents, raises questions about whether that different treatment demonstrates an illegitimate legislative purpose.</w:t>
      </w:r>
      <w:r w:rsidRPr="00C90AD7">
        <w:rPr>
          <w:rStyle w:val="FootnoteReference"/>
          <w:rFonts w:ascii="Times New Roman" w:hAnsi="Times New Roman"/>
          <w:sz w:val="24"/>
        </w:rPr>
        <w:footnoteReference w:id="188"/>
      </w:r>
      <w:r w:rsidRPr="00C90AD7">
        <w:rPr>
          <w:rFonts w:ascii="Times New Roman" w:hAnsi="Times New Roman"/>
        </w:rPr>
        <w:t xml:space="preserve"> </w:t>
      </w:r>
    </w:p>
    <w:p w14:paraId="05575B39" w14:textId="77777777" w:rsidR="00002A6E" w:rsidRPr="00C90AD7" w:rsidRDefault="00002A6E" w:rsidP="00C90AD7">
      <w:pPr>
        <w:pStyle w:val="HeadingL1"/>
        <w:spacing w:after="260" w:line="280" w:lineRule="exact"/>
        <w:ind w:right="0"/>
        <w:jc w:val="both"/>
        <w:rPr>
          <w:rFonts w:ascii="Times New Roman" w:hAnsi="Times New Roman"/>
        </w:rPr>
      </w:pPr>
      <w:r w:rsidRPr="00C90AD7">
        <w:rPr>
          <w:rFonts w:ascii="Times New Roman" w:hAnsi="Times New Roman"/>
        </w:rPr>
        <w:t>The impugned provisions</w:t>
      </w:r>
    </w:p>
    <w:p w14:paraId="03535CFF"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Part 12 establishes a complex scheme affecting electoral expenditure and political donations in Victoria. Some of its provisions are analogous to laws that have been found by this Court to impose a burden on political communication and, consequently, questions may arise as to the constitutional validity of those provisions. However, many of the provisions of Pt 12 impose no such burden. Examples include the provisions for funding administrative expenditure of a registered political party or an independent elected member in Div 1C, public funding of political expenditure and electoral expenditure in Div 2 and policy development funding in Div 2A. Notwithstanding the breadth of the first question posed in the special case, the plaintiffs' case was not that the entirety of Pt 12 imposes a burden on the implied freedom. Instead, the burden sought to be impugned by the plaintiffs was said to arise from the combined operation of specified provisions in Pt 12, being ss 207F, 216, 217D and 218B(1), when read with s 222F(3).</w:t>
      </w:r>
    </w:p>
    <w:p w14:paraId="30235A76"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 xml:space="preserve">It is an accepted premise of the Australian electoral system, at both the federal and State levels, that political parties and candidates require substantial </w:t>
      </w:r>
      <w:r w:rsidRPr="00C90AD7">
        <w:rPr>
          <w:rFonts w:ascii="Times New Roman" w:hAnsi="Times New Roman"/>
        </w:rPr>
        <w:lastRenderedPageBreak/>
        <w:t>funding to compete effectively in political campaigns.</w:t>
      </w:r>
      <w:r w:rsidRPr="00C90AD7">
        <w:rPr>
          <w:rStyle w:val="FootnoteReference"/>
          <w:rFonts w:ascii="Times New Roman" w:hAnsi="Times New Roman"/>
          <w:sz w:val="24"/>
        </w:rPr>
        <w:footnoteReference w:id="189"/>
      </w:r>
      <w:r w:rsidRPr="00C90AD7">
        <w:rPr>
          <w:rFonts w:ascii="Times New Roman" w:hAnsi="Times New Roman"/>
        </w:rPr>
        <w:t xml:space="preserve"> As originally enacted in 2002, Pt 12 introduced public funding of political parties and candidates and disclosure of election financials. The "basic purpose" of the new electoral funding and disclosure laws was explained to be to reduce the ability of private money to influence election outcomes and political decisions.</w:t>
      </w:r>
      <w:r w:rsidRPr="00C90AD7">
        <w:rPr>
          <w:rStyle w:val="FootnoteReference"/>
          <w:rFonts w:ascii="Times New Roman" w:hAnsi="Times New Roman"/>
          <w:sz w:val="24"/>
        </w:rPr>
        <w:footnoteReference w:id="190"/>
      </w:r>
      <w:r w:rsidRPr="00C90AD7">
        <w:rPr>
          <w:rFonts w:ascii="Times New Roman" w:hAnsi="Times New Roman"/>
        </w:rPr>
        <w:t xml:space="preserve"> As originally enacted, Pt 12 prohibited certain political donations but otherwise imposed no cap on political donations. </w:t>
      </w:r>
    </w:p>
    <w:p w14:paraId="575220B5"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Part 12 was substantially amended by the 2018 Act, which relevantly stated the purpose of that Act as being to "enhance the integrity of the electoral system".</w:t>
      </w:r>
      <w:r w:rsidRPr="00C90AD7">
        <w:rPr>
          <w:rStyle w:val="FootnoteReference"/>
          <w:rFonts w:ascii="Times New Roman" w:hAnsi="Times New Roman"/>
          <w:sz w:val="24"/>
        </w:rPr>
        <w:footnoteReference w:id="191"/>
      </w:r>
      <w:r w:rsidRPr="00C90AD7">
        <w:rPr>
          <w:rFonts w:ascii="Times New Roman" w:hAnsi="Times New Roman"/>
        </w:rPr>
        <w:t xml:space="preserve"> The second reading speech for the 2018 Act identified the government's policy intentions as including "to reduce the reliance in our community on private sources of donations or the transference of money between private sources of money or vested interests and political parties; to make commensurate changes to the public funding regime; [and] to enable political parties to be able to campaign".</w:t>
      </w:r>
      <w:r w:rsidRPr="00C90AD7">
        <w:rPr>
          <w:rStyle w:val="FootnoteReference"/>
          <w:rFonts w:ascii="Times New Roman" w:hAnsi="Times New Roman"/>
          <w:sz w:val="24"/>
        </w:rPr>
        <w:footnoteReference w:id="192"/>
      </w:r>
      <w:r w:rsidRPr="00C90AD7">
        <w:rPr>
          <w:rFonts w:ascii="Times New Roman" w:hAnsi="Times New Roman"/>
        </w:rPr>
        <w:t xml:space="preserve"> That is, public funding was increased to compensate for the reduction in funds expected to be available from private political donors.</w:t>
      </w:r>
    </w:p>
    <w:p w14:paraId="04BDA74F"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 xml:space="preserve">The impugned provisions have a sweeping impact on fundraising for political communications by their operation in relation to seven categories of persons or entities who are likely to seek or receive "political donations", namely: registered political parties; candidates at an election; groups of candidates on a ballot-paper; elected members; nominated entities; associated entities; and third-party campaigners ("the regulated actors"). Each of these categories of persons or entities is defined in the </w:t>
      </w:r>
      <w:r w:rsidRPr="00C90AD7">
        <w:rPr>
          <w:rFonts w:ascii="Times New Roman" w:hAnsi="Times New Roman"/>
          <w:i/>
          <w:iCs/>
        </w:rPr>
        <w:t>Electoral Act</w:t>
      </w:r>
      <w:r w:rsidRPr="00C90AD7">
        <w:rPr>
          <w:rFonts w:ascii="Times New Roman" w:hAnsi="Times New Roman"/>
        </w:rPr>
        <w:t xml:space="preserve">. A "registered political party" means a political party that is registered under Pt 4 of the </w:t>
      </w:r>
      <w:r w:rsidRPr="00C90AD7">
        <w:rPr>
          <w:rFonts w:ascii="Times New Roman" w:hAnsi="Times New Roman"/>
          <w:i/>
          <w:iCs/>
        </w:rPr>
        <w:t>Electoral Act</w:t>
      </w:r>
      <w:r w:rsidRPr="00C90AD7">
        <w:rPr>
          <w:rFonts w:ascii="Times New Roman" w:hAnsi="Times New Roman"/>
        </w:rPr>
        <w:t>.</w:t>
      </w:r>
      <w:r w:rsidRPr="00C90AD7">
        <w:rPr>
          <w:rStyle w:val="FootnoteReference"/>
          <w:rFonts w:ascii="Times New Roman" w:hAnsi="Times New Roman"/>
          <w:sz w:val="24"/>
        </w:rPr>
        <w:footnoteReference w:id="193"/>
      </w:r>
      <w:r w:rsidRPr="00C90AD7">
        <w:rPr>
          <w:rFonts w:ascii="Times New Roman" w:hAnsi="Times New Roman"/>
        </w:rPr>
        <w:t xml:space="preserve"> For the purposes of Pt 12, a "candidate" means a person who has been selected by a political party to be a candidate in an election or a person, other than a member of a political party, who has publicly announced an intention to be a candidate in an election.</w:t>
      </w:r>
      <w:r w:rsidRPr="00C90AD7">
        <w:rPr>
          <w:rStyle w:val="FootnoteReference"/>
          <w:rFonts w:ascii="Times New Roman" w:hAnsi="Times New Roman"/>
          <w:sz w:val="24"/>
        </w:rPr>
        <w:footnoteReference w:id="194"/>
      </w:r>
      <w:r w:rsidRPr="00C90AD7">
        <w:rPr>
          <w:rFonts w:ascii="Times New Roman" w:hAnsi="Times New Roman"/>
        </w:rPr>
        <w:t xml:space="preserve"> Each of the plaintiffs is a candidate within that definition. A "nominated entity", </w:t>
      </w:r>
      <w:r w:rsidRPr="00C90AD7">
        <w:rPr>
          <w:rFonts w:ascii="Times New Roman" w:hAnsi="Times New Roman"/>
        </w:rPr>
        <w:lastRenderedPageBreak/>
        <w:t>of a registered political party, means an entity the name and address of which is entered on the Register of Nominated Entities as the nominated entity of the registered political party.</w:t>
      </w:r>
      <w:r w:rsidRPr="00C90AD7">
        <w:rPr>
          <w:rStyle w:val="FootnoteReference"/>
          <w:rFonts w:ascii="Times New Roman" w:hAnsi="Times New Roman"/>
          <w:sz w:val="24"/>
        </w:rPr>
        <w:footnoteReference w:id="195"/>
      </w:r>
      <w:r w:rsidRPr="00C90AD7">
        <w:rPr>
          <w:rFonts w:ascii="Times New Roman" w:hAnsi="Times New Roman"/>
        </w:rPr>
        <w:t xml:space="preserve"> An "associated entity" is defined to mean an entity having one of several specified relationships with a registered political party, including, for example, an entity that is controlled by one or more registered political parties, but not including a nominated entity of a registered political party. The definition of a "third party campaigner" covers any person or entity, other than the first six categories, that receives political donations or incurs political expenditure which exceeds a specified amount (now $4,970) in a financial year.</w:t>
      </w:r>
      <w:r w:rsidRPr="00C90AD7">
        <w:rPr>
          <w:rStyle w:val="FootnoteReference"/>
          <w:rFonts w:ascii="Times New Roman" w:hAnsi="Times New Roman"/>
          <w:sz w:val="24"/>
        </w:rPr>
        <w:footnoteReference w:id="196"/>
      </w:r>
    </w:p>
    <w:p w14:paraId="7AC83638"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An important concept in Pt 12 is "political expenditure". Subject to an exception that is not presently relevant, "political expenditure" is defined to mean any expenditure for the dominant purpose of directing how a person should vote at an election, by promoting or opposing the election of any candidate at the election; or a registered political party; or an elected member.</w:t>
      </w:r>
      <w:r w:rsidRPr="00C90AD7">
        <w:rPr>
          <w:rStyle w:val="FootnoteReference"/>
          <w:rFonts w:ascii="Times New Roman" w:hAnsi="Times New Roman"/>
          <w:sz w:val="24"/>
        </w:rPr>
        <w:footnoteReference w:id="197"/>
      </w:r>
      <w:r w:rsidRPr="00C90AD7">
        <w:rPr>
          <w:rFonts w:ascii="Times New Roman" w:hAnsi="Times New Roman"/>
        </w:rPr>
        <w:t xml:space="preserve"> That is, "political expenditure" is directed to spending on a class of political communications of central importance to the implied freedom: communications intended to influence voting at elections.</w:t>
      </w:r>
    </w:p>
    <w:p w14:paraId="6DD50F35" w14:textId="77777777" w:rsidR="00002A6E" w:rsidRPr="00C90AD7" w:rsidRDefault="00002A6E" w:rsidP="00C90AD7">
      <w:pPr>
        <w:pStyle w:val="HeadingL2"/>
        <w:spacing w:after="260" w:line="280" w:lineRule="exact"/>
        <w:ind w:right="0"/>
        <w:jc w:val="both"/>
        <w:rPr>
          <w:rFonts w:ascii="Times New Roman" w:hAnsi="Times New Roman"/>
        </w:rPr>
      </w:pPr>
      <w:r w:rsidRPr="00C90AD7">
        <w:rPr>
          <w:rFonts w:ascii="Times New Roman" w:hAnsi="Times New Roman"/>
        </w:rPr>
        <w:t>The general cap on donations</w:t>
      </w:r>
    </w:p>
    <w:p w14:paraId="21B550AD"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central provision in the plaintiffs' case is s 217D, in Div 3B of Pt 12, by which the general cap is imposed on political donations. A "political donation" is defined broadly as a "gift" to a regulated actor.</w:t>
      </w:r>
      <w:r w:rsidRPr="00C90AD7">
        <w:rPr>
          <w:rStyle w:val="FootnoteReference"/>
          <w:rFonts w:ascii="Times New Roman" w:hAnsi="Times New Roman"/>
          <w:sz w:val="24"/>
        </w:rPr>
        <w:footnoteReference w:id="198"/>
      </w:r>
      <w:r w:rsidRPr="00C90AD7">
        <w:rPr>
          <w:rFonts w:ascii="Times New Roman" w:hAnsi="Times New Roman"/>
        </w:rPr>
        <w:t xml:space="preserve"> The definition of "gift" is broad, but has some important exceptions.</w:t>
      </w:r>
      <w:r w:rsidRPr="00C90AD7">
        <w:rPr>
          <w:rStyle w:val="FootnoteReference"/>
          <w:rFonts w:ascii="Times New Roman" w:hAnsi="Times New Roman"/>
          <w:sz w:val="24"/>
        </w:rPr>
        <w:footnoteReference w:id="199"/>
      </w:r>
      <w:r w:rsidRPr="00C90AD7">
        <w:rPr>
          <w:rFonts w:ascii="Times New Roman" w:hAnsi="Times New Roman"/>
        </w:rPr>
        <w:t xml:space="preserve"> "Gift" means any disposition of property otherwise than by will made by a person to another without consideration in money or money's worth or with inadequate consideration, and extends to include certain transactions such as the provision of a service. The definition excludes certain payments such as annual subscription fees and annual affiliation fees. The "nominated entity exception" to the broad definition of "gift", in para (j), includes relevantly "a gift ... received by a registered political party from the nominated entity of the registered political party". Not being a "gift", and therefore not a "political donation", funds flowing from a nominated entity to its registered political party are not caught by the general cap on political donations in s 217D or by the requirements for disclosure of political donations in s 216. However, </w:t>
      </w:r>
      <w:r w:rsidRPr="00C90AD7">
        <w:rPr>
          <w:rFonts w:ascii="Times New Roman" w:hAnsi="Times New Roman"/>
        </w:rPr>
        <w:lastRenderedPageBreak/>
        <w:t>funds flowing from a donor to a nominated entity remain a "gift" and therefore a "political donation" and subject to the general cap.</w:t>
      </w:r>
    </w:p>
    <w:p w14:paraId="43E4D065"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Section 217D(1) provides that political donations made to, or for the benefit of, a regulated actor must not exceed the general cap for the "election period". An election period is defined to mean the period commencing on the day after election day of the previous general election and ending on the next general election day,</w:t>
      </w:r>
      <w:r w:rsidRPr="00C90AD7">
        <w:rPr>
          <w:rFonts w:ascii="Times New Roman" w:hAnsi="Times New Roman"/>
          <w:b/>
          <w:sz w:val="24"/>
          <w:vertAlign w:val="superscript"/>
        </w:rPr>
        <w:footnoteReference w:id="200"/>
      </w:r>
      <w:r w:rsidRPr="00C90AD7">
        <w:rPr>
          <w:rFonts w:ascii="Times New Roman" w:hAnsi="Times New Roman"/>
        </w:rPr>
        <w:t xml:space="preserve"> and is ordinarily a period of approximately four years.</w:t>
      </w:r>
      <w:r w:rsidRPr="00C90AD7">
        <w:rPr>
          <w:rStyle w:val="FootnoteReference"/>
          <w:rFonts w:ascii="Times New Roman" w:hAnsi="Times New Roman"/>
          <w:sz w:val="24"/>
        </w:rPr>
        <w:footnoteReference w:id="201"/>
      </w:r>
      <w:r w:rsidRPr="00C90AD7">
        <w:rPr>
          <w:rFonts w:ascii="Times New Roman" w:hAnsi="Times New Roman"/>
        </w:rPr>
        <w:t xml:space="preserve"> </w:t>
      </w:r>
    </w:p>
    <w:p w14:paraId="3C1B7A79"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general cap was originally set at $4,000 for each regulated actor (now $4,970). In debate in the Legislative Council, the level of the cap was explained to have been increased to $4,000 from an initial proposal of $2,000 to accommodate "a number of community-based organisations [that] would never receive public funding for electoral reforms", with the aim of providing for freedom of expression while having "the most rigorous scheme in the country".</w:t>
      </w:r>
      <w:r w:rsidRPr="00C90AD7">
        <w:rPr>
          <w:rStyle w:val="FootnoteReference"/>
          <w:rFonts w:ascii="Times New Roman" w:hAnsi="Times New Roman"/>
          <w:sz w:val="24"/>
        </w:rPr>
        <w:footnoteReference w:id="202"/>
      </w:r>
      <w:r w:rsidRPr="00C90AD7">
        <w:rPr>
          <w:rFonts w:ascii="Times New Roman" w:hAnsi="Times New Roman"/>
          <w:b/>
          <w:bCs/>
        </w:rPr>
        <w:t xml:space="preserve"> </w:t>
      </w:r>
      <w:r w:rsidRPr="00C90AD7">
        <w:rPr>
          <w:rFonts w:ascii="Times New Roman" w:hAnsi="Times New Roman"/>
        </w:rPr>
        <w:t>This explanation suggests that, for at least some regulated actors, the general cap may operate as a cap on political expenditure or political communications more generally.</w:t>
      </w:r>
    </w:p>
    <w:p w14:paraId="05364E40"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Otherwise, the effect of the general cap on political donations may be contrasted with a cap on expenditure. The general cap is not designed to equalise regulated actors' spending on political communications. For example, by s</w:t>
      </w:r>
      <w:r>
        <w:rPr>
          <w:rFonts w:ascii="Times New Roman" w:hAnsi="Times New Roman"/>
        </w:rPr>
        <w:t> </w:t>
      </w:r>
      <w:r w:rsidRPr="00C90AD7">
        <w:rPr>
          <w:rFonts w:ascii="Times New Roman" w:hAnsi="Times New Roman"/>
        </w:rPr>
        <w:t>217D(5), a contribution by a candidate at an election or an elected member to their own election campaign is not included in the general cap in respect of that candidate or member. Thus, there is no restriction on the amount that a wealthy candidate can spend from their own funds on political expenditure, including funds that may have been accumulated from political donations received before the introduction of the general cap. The Solicitor-General for Victoria noted that the major parties are unincorporated entities and contended that the nominated entity exception treats the major parties consistently with independent candidates, who may use their own assets to fund political expenditure.</w:t>
      </w:r>
      <w:r w:rsidRPr="00C90AD7">
        <w:rPr>
          <w:rFonts w:ascii="Times New Roman" w:hAnsi="Times New Roman"/>
          <w:b/>
          <w:bCs/>
        </w:rPr>
        <w:t xml:space="preserve"> </w:t>
      </w:r>
      <w:r w:rsidRPr="00C90AD7">
        <w:rPr>
          <w:rFonts w:ascii="Times New Roman" w:hAnsi="Times New Roman"/>
        </w:rPr>
        <w:t>If the submission was intended to imply that funds held by the nominated entities for the major political parties were "their own assets" in some way distinct from the kinds of funds which the general cap is designed to reduce, the special case did not support that implication.</w:t>
      </w:r>
    </w:p>
    <w:p w14:paraId="0F649C02" w14:textId="77777777" w:rsidR="00002A6E" w:rsidRPr="00C90AD7" w:rsidRDefault="00002A6E" w:rsidP="00C90AD7">
      <w:pPr>
        <w:pStyle w:val="HeadingL2"/>
        <w:spacing w:after="260" w:line="280" w:lineRule="exact"/>
        <w:ind w:right="0"/>
        <w:jc w:val="both"/>
        <w:rPr>
          <w:rFonts w:ascii="Times New Roman" w:hAnsi="Times New Roman"/>
        </w:rPr>
      </w:pPr>
      <w:r w:rsidRPr="00C90AD7">
        <w:rPr>
          <w:rFonts w:ascii="Times New Roman" w:hAnsi="Times New Roman"/>
        </w:rPr>
        <w:lastRenderedPageBreak/>
        <w:t>Nominated entities</w:t>
      </w:r>
    </w:p>
    <w:p w14:paraId="21C1B964"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A nominated entity may only be appointed by a registered political party,</w:t>
      </w:r>
      <w:r w:rsidRPr="00C90AD7">
        <w:rPr>
          <w:rStyle w:val="FootnoteReference"/>
          <w:rFonts w:ascii="Times New Roman" w:hAnsi="Times New Roman"/>
          <w:sz w:val="24"/>
        </w:rPr>
        <w:footnoteReference w:id="203"/>
      </w:r>
      <w:r w:rsidRPr="00C90AD7">
        <w:rPr>
          <w:rFonts w:ascii="Times New Roman" w:hAnsi="Times New Roman"/>
        </w:rPr>
        <w:t xml:space="preserve"> must be an incorporated body, must not have voting rights in the registered political party,</w:t>
      </w:r>
      <w:r w:rsidRPr="00C90AD7">
        <w:rPr>
          <w:rStyle w:val="FootnoteReference"/>
          <w:rFonts w:ascii="Times New Roman" w:hAnsi="Times New Roman"/>
          <w:sz w:val="24"/>
        </w:rPr>
        <w:footnoteReference w:id="204"/>
      </w:r>
      <w:r w:rsidRPr="00C90AD7">
        <w:rPr>
          <w:rFonts w:ascii="Times New Roman" w:hAnsi="Times New Roman"/>
        </w:rPr>
        <w:t xml:space="preserve"> and must satisfy certain requirements about its relationship with the registered political party. Those requirements are less strict if the first appointment is made before 1 July 2020.</w:t>
      </w:r>
      <w:r w:rsidRPr="00C90AD7">
        <w:rPr>
          <w:rStyle w:val="FootnoteReference"/>
          <w:rFonts w:ascii="Times New Roman" w:hAnsi="Times New Roman"/>
          <w:sz w:val="24"/>
        </w:rPr>
        <w:footnoteReference w:id="205"/>
      </w:r>
      <w:r w:rsidRPr="00C90AD7">
        <w:rPr>
          <w:rFonts w:ascii="Times New Roman" w:hAnsi="Times New Roman"/>
        </w:rPr>
        <w:t xml:space="preserve"> Each of the major parties is a registered political party. The less strict requirement, in s 222F(3)(a), permits the appointment of an entity that operates (or is established and maintained, or is the trustee of a trust established and maintained) for the principal benefit of the members of the registered political party ("the principal benefit criterion"). The stricter requirement, in s 222F(2)(a)-(b), permits the appointment of an entity that is controlled, within the meaning of s 50AA of the </w:t>
      </w:r>
      <w:r w:rsidRPr="00C90AD7">
        <w:rPr>
          <w:rFonts w:ascii="Times New Roman" w:hAnsi="Times New Roman"/>
          <w:i/>
          <w:iCs/>
        </w:rPr>
        <w:t xml:space="preserve">Corporations Act 2001 </w:t>
      </w:r>
      <w:r w:rsidRPr="00C90AD7">
        <w:rPr>
          <w:rFonts w:ascii="Times New Roman" w:hAnsi="Times New Roman"/>
        </w:rPr>
        <w:t>(Cth), by the registered political party</w:t>
      </w:r>
      <w:r w:rsidRPr="00C90AD7">
        <w:rPr>
          <w:rFonts w:ascii="Times New Roman" w:hAnsi="Times New Roman"/>
          <w:i/>
          <w:iCs/>
        </w:rPr>
        <w:t xml:space="preserve"> </w:t>
      </w:r>
      <w:r w:rsidRPr="00C90AD7">
        <w:rPr>
          <w:rFonts w:ascii="Times New Roman" w:hAnsi="Times New Roman"/>
        </w:rPr>
        <w:t>and that operates (or is established and maintained, or is the trustee of a trust established and maintained) for the sole benefit of the members of the registered political party ("the control and sole benefit criteria"). Section 50AA(1) provides that an entity controls a second entity if the first entity has the capacity to determine the outcome of decisions about the second entity's financial and operating policies.</w:t>
      </w:r>
      <w:r w:rsidRPr="00C90AD7">
        <w:rPr>
          <w:rStyle w:val="FootnoteReference"/>
          <w:rFonts w:ascii="Times New Roman" w:hAnsi="Times New Roman"/>
          <w:sz w:val="24"/>
        </w:rPr>
        <w:footnoteReference w:id="206"/>
      </w:r>
    </w:p>
    <w:p w14:paraId="1FF201CE"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Having taken advantage of the principal benefit criterion for appointment of a nominated entity prior to 1 July 2020, by appointing entities that had historically received political donations prior to the introduction of the general cap, each of the major parties has a well-capitalised nominated entity. No other registered political party has appointed a nominated entity. As a candidate for a newly established political party, the first plaintiff is denied the benefits of a nominated entity appointed in accordance with the principal benefit criterion. As an independent candidate, the second plaintiff is denied the opportunity to appoint a nominated entity altogether. To the extent that the regime's prospective operation favours existing parties, because they may have accumulated a war chest for political campaigning from uncapped political donations, the Solicitor-General submitted that this was a necessary feature of any statutory regime that attempts to introduce prospectively some restriction on the making and receipt of political donations in order to pursue an anti-corruption purpose.</w:t>
      </w:r>
    </w:p>
    <w:p w14:paraId="223BF276" w14:textId="77777777" w:rsidR="00002A6E" w:rsidRPr="00C90AD7" w:rsidRDefault="00002A6E" w:rsidP="00C90AD7">
      <w:pPr>
        <w:pStyle w:val="HeadingL2"/>
        <w:spacing w:after="260" w:line="280" w:lineRule="exact"/>
        <w:ind w:right="0"/>
        <w:jc w:val="both"/>
        <w:rPr>
          <w:rFonts w:ascii="Times New Roman" w:hAnsi="Times New Roman"/>
        </w:rPr>
      </w:pPr>
      <w:r w:rsidRPr="00C90AD7">
        <w:rPr>
          <w:rFonts w:ascii="Times New Roman" w:hAnsi="Times New Roman"/>
        </w:rPr>
        <w:lastRenderedPageBreak/>
        <w:t>State campaign account</w:t>
      </w:r>
    </w:p>
    <w:p w14:paraId="70D15C4D"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Section 207F, in Div 1B of Pt 12, requires certain persons to keep a separate account with an ADI</w:t>
      </w:r>
      <w:r w:rsidRPr="00C90AD7">
        <w:rPr>
          <w:rStyle w:val="FootnoteReference"/>
          <w:rFonts w:ascii="Times New Roman" w:hAnsi="Times New Roman"/>
          <w:sz w:val="24"/>
        </w:rPr>
        <w:footnoteReference w:id="207"/>
      </w:r>
      <w:r w:rsidRPr="00C90AD7">
        <w:rPr>
          <w:rFonts w:ascii="Times New Roman" w:hAnsi="Times New Roman"/>
        </w:rPr>
        <w:t xml:space="preserve"> for the purpose of State elections, called a "State campaign account"; and precludes "political expenditure" from other sources. The requirement that political expenditure must be paid from a State campaign account is imposed on the registered officer of a registered political party and the registered agent of each of the other regulated actors, who "must ensure that no amount of money for political expenditure is paid for" by the regulated actor unless the amount is paid from the State campaign account.</w:t>
      </w:r>
      <w:r w:rsidRPr="00C90AD7">
        <w:rPr>
          <w:rStyle w:val="FootnoteReference"/>
          <w:rFonts w:ascii="Times New Roman" w:hAnsi="Times New Roman"/>
          <w:sz w:val="24"/>
        </w:rPr>
        <w:footnoteReference w:id="208"/>
      </w:r>
      <w:r w:rsidRPr="00C90AD7">
        <w:rPr>
          <w:rFonts w:ascii="Times New Roman" w:hAnsi="Times New Roman"/>
        </w:rPr>
        <w:t xml:space="preserve"> To the extent that a registered political party wishes to incur political expenditure using funds from a nominated entity (or any other funds that are not political donations), those funds must be dealt with in accordance with s 207F.</w:t>
      </w:r>
    </w:p>
    <w:p w14:paraId="2ACEE219" w14:textId="77777777" w:rsidR="00002A6E" w:rsidRPr="00C90AD7" w:rsidRDefault="00002A6E" w:rsidP="00C90AD7">
      <w:pPr>
        <w:pStyle w:val="HeadingL2"/>
        <w:spacing w:after="260" w:line="280" w:lineRule="exact"/>
        <w:ind w:right="0"/>
        <w:jc w:val="both"/>
        <w:rPr>
          <w:rFonts w:ascii="Times New Roman" w:hAnsi="Times New Roman"/>
        </w:rPr>
      </w:pPr>
      <w:r w:rsidRPr="00C90AD7">
        <w:rPr>
          <w:rFonts w:ascii="Times New Roman" w:hAnsi="Times New Roman"/>
        </w:rPr>
        <w:t>Disclosure of political donations</w:t>
      </w:r>
    </w:p>
    <w:p w14:paraId="5DC490C1"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Section 216, in Div 3 of Pt 12, provides for extensive and prompt disclosure of political donations by donors and regulated actors. Funds given to a regulated actor that are not political donations (such as funds that are caught by the nominated entity exception) are not subject to the requirements of s 216 but, as previously noted, their expenditure as political expenditure is regulated by the requirement to make such expenditure through a State campaign account.</w:t>
      </w:r>
    </w:p>
    <w:p w14:paraId="58F21461" w14:textId="77777777" w:rsidR="00002A6E" w:rsidRPr="00C90AD7" w:rsidRDefault="00002A6E" w:rsidP="00C90AD7">
      <w:pPr>
        <w:pStyle w:val="HeadingL2"/>
        <w:spacing w:after="260" w:line="280" w:lineRule="exact"/>
        <w:ind w:right="0"/>
        <w:jc w:val="both"/>
        <w:rPr>
          <w:rFonts w:ascii="Times New Roman" w:hAnsi="Times New Roman"/>
        </w:rPr>
      </w:pPr>
      <w:r w:rsidRPr="00C90AD7">
        <w:rPr>
          <w:rFonts w:ascii="Times New Roman" w:hAnsi="Times New Roman"/>
        </w:rPr>
        <w:t>Offence provision</w:t>
      </w:r>
    </w:p>
    <w:p w14:paraId="5A04A607"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Section 218B(1), in Div 4 of Pt 12, makes it an offence, punishable by 10</w:t>
      </w:r>
      <w:r>
        <w:rPr>
          <w:rFonts w:ascii="Times New Roman" w:hAnsi="Times New Roman"/>
        </w:rPr>
        <w:t> </w:t>
      </w:r>
      <w:r w:rsidRPr="00C90AD7">
        <w:rPr>
          <w:rFonts w:ascii="Times New Roman" w:hAnsi="Times New Roman"/>
        </w:rPr>
        <w:t xml:space="preserve">years imprisonment, for a person to enter into, or carry out, a scheme, whether alone or with any other person, with the intention of circumventing a prohibition or requirement under Pt 12. </w:t>
      </w:r>
    </w:p>
    <w:p w14:paraId="7F623DBF" w14:textId="77777777" w:rsidR="00002A6E" w:rsidRPr="00C90AD7" w:rsidRDefault="00002A6E" w:rsidP="00C90AD7">
      <w:pPr>
        <w:pStyle w:val="HeadingL1"/>
        <w:spacing w:after="260" w:line="280" w:lineRule="exact"/>
        <w:ind w:right="0"/>
        <w:jc w:val="both"/>
        <w:rPr>
          <w:rFonts w:ascii="Times New Roman" w:hAnsi="Times New Roman"/>
        </w:rPr>
      </w:pPr>
      <w:r w:rsidRPr="00C90AD7">
        <w:rPr>
          <w:rFonts w:ascii="Times New Roman" w:hAnsi="Times New Roman"/>
        </w:rPr>
        <w:t>Burden imposed by the impugned provisions</w:t>
      </w:r>
    </w:p>
    <w:p w14:paraId="76E7B51B"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A threshold issue for determining the validity of any law alleged to infringe the implied freedom of political communication is whether the law effectively burdens that freedom in its terms, operation or effect.</w:t>
      </w:r>
      <w:r w:rsidRPr="00C90AD7">
        <w:rPr>
          <w:rStyle w:val="FootnoteReference"/>
          <w:rFonts w:ascii="Times New Roman" w:hAnsi="Times New Roman"/>
          <w:sz w:val="24"/>
        </w:rPr>
        <w:footnoteReference w:id="209"/>
      </w:r>
      <w:r w:rsidRPr="00C90AD7">
        <w:rPr>
          <w:rFonts w:ascii="Times New Roman" w:hAnsi="Times New Roman"/>
        </w:rPr>
        <w:t xml:space="preserve"> This question concerns the effect of an impugned law upon the freedom, as distinct from whether the law limits a person in the way that they can express themselves, although the latter may </w:t>
      </w:r>
      <w:r w:rsidRPr="00C90AD7">
        <w:rPr>
          <w:rFonts w:ascii="Times New Roman" w:hAnsi="Times New Roman"/>
        </w:rPr>
        <w:lastRenderedPageBreak/>
        <w:t>inform the operation of a law upon the freedom more generally.</w:t>
      </w:r>
      <w:r w:rsidRPr="00C90AD7">
        <w:rPr>
          <w:rStyle w:val="FootnoteReference"/>
          <w:rFonts w:ascii="Times New Roman" w:hAnsi="Times New Roman"/>
          <w:sz w:val="24"/>
        </w:rPr>
        <w:footnoteReference w:id="210"/>
      </w:r>
      <w:r w:rsidRPr="00C90AD7">
        <w:rPr>
          <w:rFonts w:ascii="Times New Roman" w:hAnsi="Times New Roman"/>
        </w:rPr>
        <w:t xml:space="preserve"> "The expression 'effectively burden' means nothing more complicated than that the effect of the law is to prohibit, or put some limitation on, the making or the content of political communications."</w:t>
      </w:r>
      <w:r w:rsidRPr="00C90AD7">
        <w:rPr>
          <w:rStyle w:val="FootnoteReference"/>
          <w:rFonts w:ascii="Times New Roman" w:hAnsi="Times New Roman"/>
          <w:sz w:val="24"/>
        </w:rPr>
        <w:footnoteReference w:id="211"/>
      </w:r>
      <w:r w:rsidRPr="00C90AD7">
        <w:rPr>
          <w:rFonts w:ascii="Times New Roman" w:hAnsi="Times New Roman"/>
        </w:rPr>
        <w:t xml:space="preserve"> The extent of an effective burden may also require examination to identify "what has to be justified and the questions to be addressed" in determining whether an effective burden on the implied freedom is justified.</w:t>
      </w:r>
      <w:r w:rsidRPr="00C90AD7">
        <w:rPr>
          <w:rStyle w:val="FootnoteReference"/>
          <w:rFonts w:ascii="Times New Roman" w:hAnsi="Times New Roman"/>
          <w:sz w:val="24"/>
        </w:rPr>
        <w:footnoteReference w:id="212"/>
      </w:r>
    </w:p>
    <w:p w14:paraId="321BBC3A"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State laws limiting and requiring disclosure of political donations, defined in various ways, have previously been found to impose an effective burden on the implied freedom.</w:t>
      </w:r>
      <w:r w:rsidRPr="00C90AD7">
        <w:rPr>
          <w:rStyle w:val="FootnoteReference"/>
          <w:rFonts w:ascii="Times New Roman" w:hAnsi="Times New Roman"/>
          <w:sz w:val="24"/>
        </w:rPr>
        <w:footnoteReference w:id="213"/>
      </w:r>
      <w:r w:rsidRPr="00C90AD7">
        <w:rPr>
          <w:rFonts w:ascii="Times New Roman" w:hAnsi="Times New Roman"/>
        </w:rPr>
        <w:t xml:space="preserve"> Victoria accepted that the general cap imposes an effective burden on the implied freedom,</w:t>
      </w:r>
      <w:r w:rsidRPr="00C90AD7">
        <w:rPr>
          <w:rFonts w:ascii="Times New Roman" w:hAnsi="Times New Roman"/>
          <w:b/>
          <w:bCs/>
        </w:rPr>
        <w:t xml:space="preserve"> </w:t>
      </w:r>
      <w:r w:rsidRPr="00C90AD7">
        <w:rPr>
          <w:rFonts w:ascii="Times New Roman" w:hAnsi="Times New Roman"/>
        </w:rPr>
        <w:t>which it characterised as an "indirect practical limitation" on the ability of regulated actors to engage in "modes of [political] communication that are preceded or conditioned by the expenditure of money".</w:t>
      </w:r>
      <w:r w:rsidRPr="00C90AD7">
        <w:rPr>
          <w:rFonts w:ascii="Times New Roman" w:hAnsi="Times New Roman"/>
          <w:b/>
          <w:bCs/>
        </w:rPr>
        <w:t xml:space="preserve"> </w:t>
      </w:r>
      <w:r w:rsidRPr="00C90AD7">
        <w:rPr>
          <w:rFonts w:ascii="Times New Roman" w:hAnsi="Times New Roman"/>
        </w:rPr>
        <w:t>The impugned provisions form part of a scheme that is intended to strike a balance between "political campaigning and freedom of expression".</w:t>
      </w:r>
      <w:r w:rsidRPr="00C90AD7">
        <w:rPr>
          <w:rStyle w:val="FootnoteReference"/>
          <w:rFonts w:ascii="Times New Roman" w:hAnsi="Times New Roman"/>
          <w:sz w:val="24"/>
        </w:rPr>
        <w:footnoteReference w:id="214"/>
      </w:r>
      <w:r w:rsidRPr="00C90AD7">
        <w:rPr>
          <w:rFonts w:ascii="Times New Roman" w:hAnsi="Times New Roman"/>
        </w:rPr>
        <w:t xml:space="preserve"> Victoria also noted that the extent of the burden is ameliorated by public funding.</w:t>
      </w:r>
    </w:p>
    <w:p w14:paraId="6D10DACE"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general cap is designed to place an effective burden upon the implied freedom by limiting the freedom of persons and groups to donate funds to regulated actors that would otherwise be used to fund "political expenditure", which is, quintessentially, expenditure on political communications. By restricting some sources of funding for political communication, the general cap "favours other sources in terms of the flow of political communication".</w:t>
      </w:r>
      <w:r w:rsidRPr="00C90AD7">
        <w:rPr>
          <w:rStyle w:val="FootnoteReference"/>
          <w:rFonts w:ascii="Times New Roman" w:hAnsi="Times New Roman"/>
          <w:sz w:val="24"/>
        </w:rPr>
        <w:footnoteReference w:id="215"/>
      </w:r>
      <w:r w:rsidRPr="00C90AD7">
        <w:rPr>
          <w:rFonts w:ascii="Times New Roman" w:hAnsi="Times New Roman"/>
        </w:rPr>
        <w:t xml:space="preserve"> That is, where political communications involve expenditure, such as political advertising, persons or </w:t>
      </w:r>
      <w:r w:rsidRPr="00C90AD7">
        <w:rPr>
          <w:rFonts w:ascii="Times New Roman" w:hAnsi="Times New Roman"/>
        </w:rPr>
        <w:lastRenderedPageBreak/>
        <w:t xml:space="preserve">entities who have access to unregulated sources of funding are placed at an advantage over those without such access. </w:t>
      </w:r>
    </w:p>
    <w:p w14:paraId="3AA6F398"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b/>
        </w:rPr>
        <w:tab/>
      </w:r>
      <w:r w:rsidRPr="00C90AD7">
        <w:rPr>
          <w:rFonts w:ascii="Times New Roman" w:hAnsi="Times New Roman"/>
          <w:bCs/>
        </w:rPr>
        <w:t>The burden is illustrated by the adverse effect of the general cap on the</w:t>
      </w:r>
      <w:r w:rsidRPr="00C90AD7">
        <w:rPr>
          <w:rFonts w:ascii="Times New Roman" w:hAnsi="Times New Roman"/>
        </w:rPr>
        <w:t xml:space="preserve"> second plaintiff's capacity to engage in political communications in the 2022 Victorian State election. In the election period for that election, she would have received donations in excess of the general cap if lawfully permitted to do so, particularly from Climate 200, a community crowd-funded initiative which provides monetary and in-kind support to certain federal and State community independent candidates. Climate 200 has stated that the general cap "greatly constrained" the amount of in-kind campaign support Climate 200 could provide to independent candidates in the 2022 Victorian State election, giving the example of not being able to offer free office space to a particular candidate because the value of the lease of the office for the duration of the election period exceeded the general cap.</w:t>
      </w:r>
      <w:r w:rsidRPr="00C90AD7">
        <w:rPr>
          <w:rStyle w:val="FootnoteReference"/>
          <w:rFonts w:ascii="Times New Roman" w:hAnsi="Times New Roman"/>
          <w:sz w:val="24"/>
        </w:rPr>
        <w:footnoteReference w:id="216"/>
      </w:r>
      <w:r w:rsidRPr="00C90AD7">
        <w:rPr>
          <w:rFonts w:ascii="Times New Roman" w:hAnsi="Times New Roman"/>
          <w:b/>
          <w:bCs/>
        </w:rPr>
        <w:t xml:space="preserve"> </w:t>
      </w:r>
      <w:r w:rsidRPr="00C90AD7">
        <w:rPr>
          <w:rFonts w:ascii="Times New Roman" w:hAnsi="Times New Roman"/>
        </w:rPr>
        <w:t xml:space="preserve">The second plaintiff could have used additional political donations from Climate 200 to make political communications, or to free other funds that could be spent on political communications. </w:t>
      </w:r>
    </w:p>
    <w:p w14:paraId="31DBD148"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As earlier explained, the combined operation of the impugned provisions is to impose an effective expenditure cap in the case of a regulated actor that has no source of funds for political communications apart from political donations, or political donations and public funding (which is allocated by reference to particular criteria).</w:t>
      </w:r>
    </w:p>
    <w:p w14:paraId="58F8806F"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effect of the impugned provisions on the implied freedom is indirect rather than direct, in that the general cap constrains the financial capacity of regulated actors to engage in political communication rather than imposing any more direct constraint upon the content of communications.</w:t>
      </w:r>
      <w:r w:rsidRPr="00C90AD7">
        <w:rPr>
          <w:rStyle w:val="FootnoteReference"/>
          <w:rFonts w:ascii="Times New Roman" w:hAnsi="Times New Roman"/>
          <w:sz w:val="24"/>
        </w:rPr>
        <w:footnoteReference w:id="217"/>
      </w:r>
      <w:r w:rsidRPr="00C90AD7">
        <w:rPr>
          <w:rFonts w:ascii="Times New Roman" w:hAnsi="Times New Roman"/>
        </w:rPr>
        <w:t xml:space="preserve"> A monetary cap on such donations places "a restriction upon the funds available to political parties and candidates to meet the costs of political communication by restricting the source of those funds", which is an effective burden on the implied freedom because of its tendency to diminish the extent of political communication that would otherwise have occurred.</w:t>
      </w:r>
      <w:r w:rsidRPr="00C90AD7">
        <w:rPr>
          <w:rStyle w:val="FootnoteReference"/>
          <w:rFonts w:ascii="Times New Roman" w:hAnsi="Times New Roman"/>
          <w:sz w:val="24"/>
        </w:rPr>
        <w:footnoteReference w:id="218"/>
      </w:r>
      <w:r w:rsidRPr="00C90AD7">
        <w:rPr>
          <w:rFonts w:ascii="Times New Roman" w:hAnsi="Times New Roman"/>
        </w:rPr>
        <w:t xml:space="preserve"> The disclosure requirement imposes a burden on the implied freedom by inhibiting donors who wish to make anonymous </w:t>
      </w:r>
      <w:r w:rsidRPr="00C90AD7">
        <w:rPr>
          <w:rFonts w:ascii="Times New Roman" w:hAnsi="Times New Roman"/>
        </w:rPr>
        <w:lastRenderedPageBreak/>
        <w:t>donations.</w:t>
      </w:r>
      <w:r w:rsidRPr="00C90AD7">
        <w:rPr>
          <w:rStyle w:val="FootnoteReference"/>
          <w:rFonts w:ascii="Times New Roman" w:hAnsi="Times New Roman"/>
          <w:sz w:val="24"/>
        </w:rPr>
        <w:footnoteReference w:id="219"/>
      </w:r>
      <w:r w:rsidRPr="00C90AD7">
        <w:rPr>
          <w:rFonts w:ascii="Times New Roman" w:hAnsi="Times New Roman"/>
        </w:rPr>
        <w:t xml:space="preserve"> The requirement for political expenditure to be paid from a State campaign account imposes a burden on the source of the funds for political expenditure which is a limitation, albeit slight, on the making of a political communication.</w:t>
      </w:r>
    </w:p>
    <w:p w14:paraId="506414E4" w14:textId="77777777" w:rsidR="00002A6E" w:rsidRPr="00C90AD7" w:rsidRDefault="00002A6E" w:rsidP="00C90AD7">
      <w:pPr>
        <w:pStyle w:val="HeadingL2"/>
        <w:spacing w:after="260" w:line="280" w:lineRule="exact"/>
        <w:ind w:right="0"/>
        <w:jc w:val="both"/>
        <w:rPr>
          <w:rFonts w:ascii="Times New Roman" w:hAnsi="Times New Roman"/>
        </w:rPr>
      </w:pPr>
      <w:r w:rsidRPr="00C90AD7">
        <w:rPr>
          <w:rFonts w:ascii="Times New Roman" w:hAnsi="Times New Roman"/>
        </w:rPr>
        <w:t>Aspects of the burden</w:t>
      </w:r>
    </w:p>
    <w:p w14:paraId="2A823E41"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It is convenient to address aspects of the burden imposed by the impugned provisions at this point, recognising that these matters may also be relevant to the justification of an effective burden upon the implied freedom.</w:t>
      </w:r>
      <w:r w:rsidRPr="00C90AD7">
        <w:rPr>
          <w:rStyle w:val="FootnoteReference"/>
          <w:rFonts w:ascii="Times New Roman" w:hAnsi="Times New Roman"/>
          <w:sz w:val="24"/>
        </w:rPr>
        <w:footnoteReference w:id="220"/>
      </w:r>
    </w:p>
    <w:p w14:paraId="619B0BC4"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Victoria accepted that the burden imposed by the general cap upon registered political parties with a nominated entity is different to the burden imposed upon other regulated actors, but submitted that this different treatment does not treat equals unequally except in one respect. The differential aspects of the burden acknowledged by Victoria are: (1) because of s 222F(3), the major parties, each of which appointed a nominated entity before 1 July 2020, may receive funds, above the general cap, which may be used for political expenditure from a source (a nominated entity that meets the principal benefit criterion) that, since 1 July 2020, has not been available to any other registered political party (because only the control and sole benefit criteria apply from that date) and (2)</w:t>
      </w:r>
      <w:r>
        <w:rPr>
          <w:rFonts w:ascii="Times New Roman" w:hAnsi="Times New Roman"/>
        </w:rPr>
        <w:t> </w:t>
      </w:r>
      <w:r w:rsidRPr="00C90AD7">
        <w:rPr>
          <w:rFonts w:ascii="Times New Roman" w:hAnsi="Times New Roman"/>
        </w:rPr>
        <w:t>because of the nominated entity exception, parties with a nominated entity may receive funds, above the general cap, which may be used for political expenditure from a source (the nominated entity) that is not available to any other regulated actor (because they cannot appoint or have not appointed a nominated entity).</w:t>
      </w:r>
    </w:p>
    <w:p w14:paraId="141F5B56"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Victoria accepted that the first of these differential aspects of the burden involves the unequal treatment of equals (registered political parties) by favouring parties who could have first appointed a nominated entity before 1 July 2020 (including the major parties) in comparison with other registered political parties.</w:t>
      </w:r>
      <w:r w:rsidRPr="00C90AD7">
        <w:rPr>
          <w:rFonts w:ascii="Times New Roman" w:hAnsi="Times New Roman"/>
          <w:b/>
          <w:bCs/>
        </w:rPr>
        <w:t xml:space="preserve"> </w:t>
      </w:r>
      <w:r w:rsidRPr="00C90AD7">
        <w:rPr>
          <w:rFonts w:ascii="Times New Roman" w:hAnsi="Times New Roman"/>
        </w:rPr>
        <w:t xml:space="preserve">By reason of the principal benefit criterion for the appointment of nominated entities in s 222F(3), the major parties have uncapped access to funds from entities that were not required to satisfy the control and sole benefit criteria that have applied to nominated entities since 1 July 2020. The effect is to permit three nominated entities to influence the political campaigning of the major parties by providing uncapped funds to the major parties, even though they would not satisfy the control and sole benefit criteria. Another aspect of the effect is to preserve whatever influence might have been earned by political donations made to the nominated entities prior to the introduction of the general cap. In contrast, new registered political parties, while protected from the risk of undue influence, </w:t>
      </w:r>
      <w:r w:rsidRPr="00C90AD7">
        <w:rPr>
          <w:rFonts w:ascii="Times New Roman" w:hAnsi="Times New Roman"/>
        </w:rPr>
        <w:lastRenderedPageBreak/>
        <w:t>appear to have no scope to accumulate war chests of the kind that are held by the major parties' nominated entities through political donations, because of the general cap.</w:t>
      </w:r>
    </w:p>
    <w:p w14:paraId="11FFB2C2"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discriminatory and differential aspects of the identified burden of the impugned provisions on the implied freedom of political communication have significant potential to distort the free flow of political communications by enabling the major parties to outspend other regulated actors and to drown out other voices, including those that might otherwise make an effective response to information or comment communicated by a major party or the party's endorsed candidates.</w:t>
      </w:r>
      <w:r w:rsidRPr="00C90AD7">
        <w:rPr>
          <w:rStyle w:val="FootnoteReference"/>
          <w:rFonts w:ascii="Times New Roman" w:hAnsi="Times New Roman"/>
          <w:sz w:val="24"/>
        </w:rPr>
        <w:footnoteReference w:id="221"/>
      </w:r>
      <w:r w:rsidRPr="00C90AD7">
        <w:rPr>
          <w:rFonts w:ascii="Times New Roman" w:hAnsi="Times New Roman"/>
        </w:rPr>
        <w:t xml:space="preserve"> As aspects of the burden that benefit the major parties, they warrant "close scrutiny" to assess both the purpose of the provisions that effect those aspects of the burden and, if that purpose is established as legitimate, justification of the relevant provisions as reasonably necessary for the achievement of that legitimate purpose.</w:t>
      </w:r>
      <w:r w:rsidRPr="00C90AD7">
        <w:rPr>
          <w:rStyle w:val="FootnoteReference"/>
          <w:rFonts w:ascii="Times New Roman" w:hAnsi="Times New Roman"/>
          <w:sz w:val="24"/>
        </w:rPr>
        <w:footnoteReference w:id="222"/>
      </w:r>
    </w:p>
    <w:p w14:paraId="19797F04" w14:textId="77777777" w:rsidR="00002A6E" w:rsidRPr="00C90AD7" w:rsidRDefault="00002A6E" w:rsidP="00C90AD7">
      <w:pPr>
        <w:pStyle w:val="HeadingL1"/>
        <w:spacing w:after="260" w:line="280" w:lineRule="exact"/>
        <w:ind w:right="0"/>
        <w:jc w:val="both"/>
        <w:rPr>
          <w:rFonts w:ascii="Times New Roman" w:hAnsi="Times New Roman"/>
        </w:rPr>
      </w:pPr>
      <w:r w:rsidRPr="00C90AD7">
        <w:rPr>
          <w:rFonts w:ascii="Times New Roman" w:hAnsi="Times New Roman"/>
        </w:rPr>
        <w:t>Absence of justification for unequal burden caused by time limitation in s</w:t>
      </w:r>
      <w:r>
        <w:rPr>
          <w:rFonts w:ascii="Times New Roman" w:hAnsi="Times New Roman"/>
        </w:rPr>
        <w:t> </w:t>
      </w:r>
      <w:r w:rsidRPr="00C90AD7">
        <w:rPr>
          <w:rFonts w:ascii="Times New Roman" w:hAnsi="Times New Roman"/>
        </w:rPr>
        <w:t>222F(3)</w:t>
      </w:r>
    </w:p>
    <w:p w14:paraId="650A7B51"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Having established that the impugned provisions impose an effective burden on the implied freedom of political communication, it would ordinarily be necessary to consider the justification for the imposition of that burden. The justification is assessed, first, by compatibility testing to determine whether the purpose of an impugned law is legitimate in the sense that it is compatible with the maintenance of the constitutionally prescribed system of representative government. If the purpose of the impugned law is demonstrated to be legitimate, then the proportionality of the law is assessed to decide whether it is reasonably appropriate and adapted to advance its identified legitimate purpose.</w:t>
      </w:r>
      <w:r w:rsidRPr="00C90AD7">
        <w:rPr>
          <w:rStyle w:val="FootnoteReference"/>
          <w:rFonts w:ascii="Times New Roman" w:hAnsi="Times New Roman"/>
          <w:bCs/>
          <w:sz w:val="24"/>
        </w:rPr>
        <w:footnoteReference w:id="223"/>
      </w:r>
      <w:r w:rsidRPr="00C90AD7">
        <w:rPr>
          <w:rFonts w:ascii="Times New Roman" w:hAnsi="Times New Roman"/>
        </w:rPr>
        <w:t xml:space="preserve"> </w:t>
      </w:r>
    </w:p>
    <w:p w14:paraId="5E29BB79"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lastRenderedPageBreak/>
        <w:tab/>
        <w:t>However, Victoria did not seek to justify the burden of the impugned provisions in their entirety. Instead, Victoria made a narrow concession, but with very significant consequences. Having acknowledged the unequal treatment of the major parties and other registered political parties due to the limited time that was available to invoke the principal benefit criterion in s 222F(3), Victoria submitted that this Court would be unable to conclude that the different treatment of registered political parties could be justified as "the product of a distinction which is appropriate and adapted to the attainment of a proper objective".</w:t>
      </w:r>
      <w:r w:rsidRPr="00C90AD7">
        <w:rPr>
          <w:rStyle w:val="FootnoteReference"/>
          <w:rFonts w:ascii="Times New Roman" w:hAnsi="Times New Roman"/>
          <w:bCs/>
          <w:sz w:val="24"/>
        </w:rPr>
        <w:footnoteReference w:id="224"/>
      </w:r>
      <w:r w:rsidRPr="00C90AD7">
        <w:rPr>
          <w:rFonts w:ascii="Times New Roman" w:hAnsi="Times New Roman"/>
        </w:rPr>
        <w:t xml:space="preserve"> It follows that the aspects of the burden imposed on the implied freedom of political communication by the general cap, when read with ss 222F(2) and 222F(3), similarly could not be justified. Accordingly, Victoria accepted that the general cap in its operation with the time limitation in s 222F(3) is constitutionally invalid.</w:t>
      </w:r>
    </w:p>
    <w:p w14:paraId="020A0420"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effect of Victoria's concession is to recognise that the favourable treatment of the major parties, by the inclusion of s 222F(3), involves an unjustified burden on the implied freedom, as regulated by the general cap on political donations. It is not to the point that there is little evidence to suggest that the general cap has prevented candidates from raising sufficient funds to finance effective electoral campaigns.</w:t>
      </w:r>
      <w:r w:rsidRPr="00C90AD7">
        <w:rPr>
          <w:rStyle w:val="FootnoteReference"/>
          <w:rFonts w:ascii="Times New Roman" w:hAnsi="Times New Roman"/>
          <w:sz w:val="24"/>
        </w:rPr>
        <w:footnoteReference w:id="225"/>
      </w:r>
    </w:p>
    <w:p w14:paraId="554CFA11"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Without an identified legitimate purpose, it is not possible to engage in proportionality testing of the time limitation in s 222F(3) to assess whether it is reasonably appropriate and adapted to advancing that purpose, including by applying the structured proportionality tests of suitability, necessity and adequacy in balance.</w:t>
      </w:r>
      <w:r w:rsidRPr="00C90AD7">
        <w:rPr>
          <w:rStyle w:val="FootnoteReference"/>
          <w:rFonts w:ascii="Times New Roman" w:hAnsi="Times New Roman"/>
          <w:bCs/>
          <w:sz w:val="24"/>
        </w:rPr>
        <w:footnoteReference w:id="226"/>
      </w:r>
      <w:r w:rsidRPr="00C90AD7">
        <w:rPr>
          <w:rFonts w:ascii="Times New Roman" w:hAnsi="Times New Roman"/>
        </w:rPr>
        <w:t xml:space="preserve"> Similarly, it is not possible to engage in proportionality testing of the other impugned provisions that have been acknowledged by Victoria</w:t>
      </w:r>
      <w:r w:rsidRPr="00C90AD7" w:rsidDel="003C7981">
        <w:rPr>
          <w:rFonts w:ascii="Times New Roman" w:hAnsi="Times New Roman"/>
        </w:rPr>
        <w:t xml:space="preserve"> </w:t>
      </w:r>
      <w:r w:rsidRPr="00C90AD7">
        <w:rPr>
          <w:rFonts w:ascii="Times New Roman" w:hAnsi="Times New Roman"/>
        </w:rPr>
        <w:t>as imposing an effective burden on the implied freedom.</w:t>
      </w:r>
    </w:p>
    <w:p w14:paraId="05225219" w14:textId="77777777" w:rsidR="00002A6E" w:rsidRPr="00C90AD7" w:rsidRDefault="00002A6E" w:rsidP="00C90AD7">
      <w:pPr>
        <w:pStyle w:val="HeadingL1"/>
        <w:spacing w:after="260" w:line="280" w:lineRule="exact"/>
        <w:ind w:right="0"/>
        <w:jc w:val="both"/>
        <w:rPr>
          <w:rFonts w:ascii="Times New Roman" w:hAnsi="Times New Roman"/>
        </w:rPr>
      </w:pPr>
      <w:r w:rsidRPr="00C90AD7">
        <w:rPr>
          <w:rFonts w:ascii="Times New Roman" w:hAnsi="Times New Roman"/>
        </w:rPr>
        <w:t>Relief</w:t>
      </w:r>
    </w:p>
    <w:p w14:paraId="10B42D20"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 xml:space="preserve">Victoria submitted that the time limitation in s 222F(3) could be severed from the balance of s 222F(3), with the result that any registered political party would be entitled to appoint a nominated entity that meets the s 222F(3) criteria. However, for the reasons given by the plurality, it is impossible to avoid the conclusion that s 222F was "intended to operate fully and completely according to </w:t>
      </w:r>
      <w:r w:rsidRPr="00C90AD7">
        <w:rPr>
          <w:rFonts w:ascii="Times New Roman" w:hAnsi="Times New Roman"/>
        </w:rPr>
        <w:lastRenderedPageBreak/>
        <w:t>its terms, or not at all", and that the same conclusion applies to the entirety of P</w:t>
      </w:r>
      <w:r>
        <w:rPr>
          <w:rFonts w:ascii="Times New Roman" w:hAnsi="Times New Roman"/>
        </w:rPr>
        <w:t>t </w:t>
      </w:r>
      <w:r w:rsidRPr="00C90AD7">
        <w:rPr>
          <w:rFonts w:ascii="Times New Roman" w:hAnsi="Times New Roman"/>
        </w:rPr>
        <w:t>12.</w:t>
      </w:r>
      <w:r w:rsidRPr="00C90AD7">
        <w:rPr>
          <w:rStyle w:val="FootnoteReference"/>
          <w:rFonts w:ascii="Times New Roman" w:hAnsi="Times New Roman"/>
          <w:sz w:val="24"/>
        </w:rPr>
        <w:footnoteReference w:id="227"/>
      </w:r>
      <w:r w:rsidRPr="00C90AD7">
        <w:rPr>
          <w:rFonts w:ascii="Times New Roman" w:hAnsi="Times New Roman"/>
        </w:rPr>
        <w:t xml:space="preserve"> </w:t>
      </w:r>
    </w:p>
    <w:p w14:paraId="6B33E643"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terms of s 222F, comprising a package of two sets of criteria for appointment of a nominated entity, tell strongly against Victoria's proposal that this Court invalidate only the time limit in s 222F(3). This is because the result would be that the principal benefit criterion in s 222F(3) would apply to all nominated entities, while the control and sole benefit criteria in s 222F(2) would become redundant, as all nominated entities who might satisfy those criteria would in any event satisfy the principal benefit criterion in s 222F(3). Where there is a less strict set of criteria for a limited time and thereafter a stricter set of criteria, the legislative intention that the stricter criteria should endure is obvious.</w:t>
      </w:r>
    </w:p>
    <w:p w14:paraId="411576AD"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The legislative history of the inclusion of s 222F(3) reinforces the intention reflected in the structure of s 222F. The Explanatory Memorandum for the 2018 Act, referring to s 222F(2), identifies the exclusion of gifts between a nominated entity and its registered political party from the definition of "gift", and states that the exception "acknowledges the existing arrangements between political parties and separate entities that manage financial commitments and maintain assets for the sole benefit of the registered political party".</w:t>
      </w:r>
      <w:r w:rsidRPr="00C90AD7">
        <w:rPr>
          <w:rStyle w:val="FootnoteReference"/>
          <w:rFonts w:ascii="Times New Roman" w:hAnsi="Times New Roman"/>
          <w:sz w:val="24"/>
        </w:rPr>
        <w:footnoteReference w:id="228"/>
      </w:r>
      <w:r w:rsidRPr="00C90AD7">
        <w:rPr>
          <w:rFonts w:ascii="Times New Roman" w:hAnsi="Times New Roman"/>
        </w:rPr>
        <w:t xml:space="preserve"> Evidently, it was discovered that not all "existing arrangements", which involved the major parties and separate entities that maintained assets for them, satisfied the control and sole benefit criteria in s 222F(2). Consequently, the less exacting s 222F(3) was added to achieve the aim of "</w:t>
      </w:r>
      <w:proofErr w:type="spellStart"/>
      <w:r w:rsidRPr="00C90AD7">
        <w:rPr>
          <w:rFonts w:ascii="Times New Roman" w:hAnsi="Times New Roman"/>
        </w:rPr>
        <w:t>acknowledg</w:t>
      </w:r>
      <w:proofErr w:type="spellEnd"/>
      <w:r w:rsidRPr="00C90AD7">
        <w:rPr>
          <w:rFonts w:ascii="Times New Roman" w:hAnsi="Times New Roman"/>
        </w:rPr>
        <w:t>[</w:t>
      </w:r>
      <w:proofErr w:type="spellStart"/>
      <w:r w:rsidRPr="00C90AD7">
        <w:rPr>
          <w:rFonts w:ascii="Times New Roman" w:hAnsi="Times New Roman"/>
        </w:rPr>
        <w:t>ing</w:t>
      </w:r>
      <w:proofErr w:type="spellEnd"/>
      <w:r w:rsidRPr="00C90AD7">
        <w:rPr>
          <w:rFonts w:ascii="Times New Roman" w:hAnsi="Times New Roman"/>
        </w:rPr>
        <w:t>] the existing arrangements", that is, ensuring that the major parties would retain access to funds held by separate entities for them. Invalidating only the time limit in s 222F(3) would alter the operation of s</w:t>
      </w:r>
      <w:r>
        <w:rPr>
          <w:rFonts w:ascii="Times New Roman" w:hAnsi="Times New Roman"/>
        </w:rPr>
        <w:t> </w:t>
      </w:r>
      <w:r w:rsidRPr="00C90AD7">
        <w:rPr>
          <w:rFonts w:ascii="Times New Roman" w:hAnsi="Times New Roman"/>
        </w:rPr>
        <w:t>222F to extend its application to all registered political parties, in a manner that was never intended by the legislature.</w:t>
      </w:r>
    </w:p>
    <w:p w14:paraId="6F7698B2" w14:textId="77777777" w:rsidR="00002A6E" w:rsidRPr="00C90AD7" w:rsidRDefault="00002A6E" w:rsidP="00C90AD7">
      <w:pPr>
        <w:pStyle w:val="FixListStyle"/>
        <w:spacing w:after="260" w:line="280" w:lineRule="exact"/>
        <w:ind w:right="0"/>
        <w:jc w:val="both"/>
        <w:rPr>
          <w:rFonts w:ascii="Times New Roman" w:hAnsi="Times New Roman"/>
        </w:rPr>
      </w:pPr>
      <w:r w:rsidRPr="00C90AD7">
        <w:rPr>
          <w:rFonts w:ascii="Times New Roman" w:hAnsi="Times New Roman"/>
        </w:rPr>
        <w:tab/>
        <w:t>Furthermore, there is no portion of Pt 12 that can be isolated as intended to operate without the protection of the "existing arrangements" of the major parties. This includes the enhanced public funding provided for by Pt 12, as amended by the 2018 Act. Victoria did not submit that preserving Pt 12 in its terms prior to the 2018 Act might have been an appropriate form of relief, and the plaintiffs did not seek such an order.</w:t>
      </w:r>
    </w:p>
    <w:p w14:paraId="75B577E8" w14:textId="77777777" w:rsidR="00002A6E" w:rsidRDefault="00002A6E" w:rsidP="00002A6E">
      <w:pPr>
        <w:pStyle w:val="FixListStyle"/>
        <w:spacing w:after="260" w:line="280" w:lineRule="exact"/>
        <w:ind w:right="0"/>
        <w:jc w:val="both"/>
        <w:rPr>
          <w:rFonts w:ascii="Times New Roman" w:hAnsi="Times New Roman"/>
        </w:rPr>
      </w:pPr>
      <w:r w:rsidRPr="00C90AD7">
        <w:rPr>
          <w:rFonts w:ascii="Times New Roman" w:hAnsi="Times New Roman"/>
        </w:rPr>
        <w:tab/>
        <w:t xml:space="preserve">I agree with the answers to the questions raised in the special case, and therefore with the orders, proposed by the plurality. </w:t>
      </w:r>
    </w:p>
    <w:p w14:paraId="25C5C591" w14:textId="77777777" w:rsidR="008859E4" w:rsidRDefault="008859E4" w:rsidP="00002A6E">
      <w:pPr>
        <w:pStyle w:val="FixListStyle"/>
        <w:spacing w:after="260" w:line="280" w:lineRule="exact"/>
        <w:ind w:right="0"/>
        <w:jc w:val="both"/>
        <w:rPr>
          <w:rFonts w:ascii="Times New Roman" w:hAnsi="Times New Roman"/>
        </w:rPr>
        <w:sectPr w:rsidR="008859E4" w:rsidSect="00002A6E">
          <w:headerReference w:type="even" r:id="rId32"/>
          <w:headerReference w:type="default" r:id="rId33"/>
          <w:headerReference w:type="first" r:id="rId34"/>
          <w:pgSz w:w="11907" w:h="16839" w:code="9"/>
          <w:pgMar w:top="1440" w:right="1701" w:bottom="1984" w:left="1701" w:header="720" w:footer="720" w:gutter="0"/>
          <w:cols w:space="720"/>
          <w:docGrid w:linePitch="354"/>
        </w:sectPr>
      </w:pPr>
    </w:p>
    <w:p w14:paraId="56949694" w14:textId="73C3489E" w:rsidR="000F5266" w:rsidRPr="00002A6E" w:rsidRDefault="000F5266" w:rsidP="00002A6E">
      <w:pPr>
        <w:pStyle w:val="NormalBody"/>
      </w:pPr>
    </w:p>
    <w:sectPr w:rsidR="000F5266" w:rsidRPr="00002A6E" w:rsidSect="00002A6E">
      <w:headerReference w:type="default" r:id="rId3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F75D" w14:textId="77777777" w:rsidR="005A5B7B" w:rsidRDefault="005A5B7B">
      <w:pPr>
        <w:spacing w:line="240" w:lineRule="auto"/>
      </w:pPr>
      <w:r>
        <w:separator/>
      </w:r>
    </w:p>
  </w:endnote>
  <w:endnote w:type="continuationSeparator" w:id="0">
    <w:p w14:paraId="1C44D9B9" w14:textId="77777777" w:rsidR="005A5B7B" w:rsidRDefault="005A5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9DB" w14:textId="77777777" w:rsidR="00580BF2" w:rsidRDefault="0058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864A" w14:textId="77777777" w:rsidR="00580BF2" w:rsidRDefault="0058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2E09" w14:textId="77777777" w:rsidR="00580BF2" w:rsidRDefault="00580B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3E94" w14:textId="77777777" w:rsidR="00580BF2" w:rsidRDefault="00580B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23E0" w14:textId="77777777" w:rsidR="00580BF2" w:rsidRDefault="00580B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F711" w14:textId="77777777" w:rsidR="00580BF2" w:rsidRDefault="00580B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8F44" w14:textId="77777777" w:rsidR="00960529" w:rsidRDefault="009605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7772" w14:textId="77777777" w:rsidR="00960529" w:rsidRDefault="0096052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58A4" w14:textId="77777777" w:rsidR="00960529" w:rsidRDefault="00960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8B1B" w14:textId="77777777" w:rsidR="005A5B7B" w:rsidRPr="00D900FF" w:rsidRDefault="005A5B7B" w:rsidP="00D900FF">
      <w:pPr>
        <w:pStyle w:val="Footer"/>
        <w:spacing w:before="120" w:after="20"/>
        <w:ind w:right="0"/>
        <w:rPr>
          <w:rFonts w:ascii="Times New Roman" w:hAnsi="Times New Roman"/>
        </w:rPr>
      </w:pPr>
      <w:r>
        <w:continuationSeparator/>
      </w:r>
    </w:p>
  </w:footnote>
  <w:footnote w:type="continuationSeparator" w:id="0">
    <w:p w14:paraId="4CA4518F" w14:textId="77777777" w:rsidR="005A5B7B" w:rsidRPr="00D900FF" w:rsidRDefault="005A5B7B" w:rsidP="00D900FF">
      <w:pPr>
        <w:pStyle w:val="Footer"/>
        <w:spacing w:before="120" w:after="20"/>
        <w:ind w:right="0"/>
        <w:rPr>
          <w:rFonts w:ascii="Times New Roman" w:hAnsi="Times New Roman"/>
        </w:rPr>
      </w:pPr>
      <w:r w:rsidRPr="00D900FF">
        <w:rPr>
          <w:rFonts w:ascii="Times New Roman" w:hAnsi="Times New Roman"/>
        </w:rPr>
        <w:continuationSeparator/>
      </w:r>
    </w:p>
  </w:footnote>
  <w:footnote w:type="continuationNotice" w:id="1">
    <w:p w14:paraId="7A104E82" w14:textId="77777777" w:rsidR="005A5B7B" w:rsidRPr="00960529" w:rsidRDefault="005A5B7B">
      <w:pPr>
        <w:jc w:val="right"/>
        <w:rPr>
          <w:rFonts w:ascii="Times New Roman" w:hAnsi="Times New Roman"/>
          <w:sz w:val="24"/>
        </w:rPr>
      </w:pPr>
    </w:p>
  </w:footnote>
  <w:footnote w:id="2">
    <w:p w14:paraId="62237BD7" w14:textId="29D3C34E" w:rsidR="00751D22" w:rsidRPr="00D900FF" w:rsidRDefault="00751D22"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22</w:t>
      </w:r>
      <w:r w:rsidR="00AC2465" w:rsidRPr="00D900FF">
        <w:rPr>
          <w:rFonts w:ascii="Times New Roman" w:hAnsi="Times New Roman"/>
          <w:sz w:val="24"/>
        </w:rPr>
        <w:t>2</w:t>
      </w:r>
      <w:r w:rsidRPr="00D900FF">
        <w:rPr>
          <w:rFonts w:ascii="Times New Roman" w:hAnsi="Times New Roman"/>
          <w:sz w:val="24"/>
        </w:rPr>
        <w:t>F(2).</w:t>
      </w:r>
    </w:p>
  </w:footnote>
  <w:footnote w:id="3">
    <w:p w14:paraId="4B7EDEAE" w14:textId="7A1E5BC9" w:rsidR="00751D22" w:rsidRPr="00D900FF" w:rsidRDefault="00751D22"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22</w:t>
      </w:r>
      <w:r w:rsidR="00AC2465" w:rsidRPr="00D900FF">
        <w:rPr>
          <w:rFonts w:ascii="Times New Roman" w:hAnsi="Times New Roman"/>
          <w:sz w:val="24"/>
        </w:rPr>
        <w:t>2</w:t>
      </w:r>
      <w:r w:rsidRPr="00D900FF">
        <w:rPr>
          <w:rFonts w:ascii="Times New Roman" w:hAnsi="Times New Roman"/>
          <w:sz w:val="24"/>
        </w:rPr>
        <w:t>F(3).</w:t>
      </w:r>
    </w:p>
  </w:footnote>
  <w:footnote w:id="4">
    <w:p w14:paraId="0567D23F" w14:textId="1BC66641" w:rsidR="00AE35DF" w:rsidRPr="00D900FF" w:rsidRDefault="00AE35D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w:t>
      </w:r>
      <w:r w:rsidRPr="00D900FF">
        <w:rPr>
          <w:rFonts w:ascii="Times New Roman" w:hAnsi="Times New Roman"/>
          <w:i/>
          <w:iCs/>
          <w:sz w:val="24"/>
        </w:rPr>
        <w:t xml:space="preserve">Unions </w:t>
      </w:r>
      <w:r w:rsidR="000B69D1" w:rsidRPr="00D900FF">
        <w:rPr>
          <w:rFonts w:ascii="Times New Roman" w:hAnsi="Times New Roman"/>
          <w:i/>
          <w:iCs/>
          <w:sz w:val="24"/>
        </w:rPr>
        <w:t>NSW</w:t>
      </w:r>
      <w:r w:rsidRPr="00D900FF">
        <w:rPr>
          <w:rFonts w:ascii="Times New Roman" w:hAnsi="Times New Roman"/>
          <w:i/>
          <w:iCs/>
          <w:sz w:val="24"/>
        </w:rPr>
        <w:t xml:space="preserve"> v New South Wales </w:t>
      </w:r>
      <w:r w:rsidRPr="00D900FF">
        <w:rPr>
          <w:rFonts w:ascii="Times New Roman" w:hAnsi="Times New Roman"/>
          <w:sz w:val="24"/>
        </w:rPr>
        <w:t>("</w:t>
      </w:r>
      <w:r w:rsidRPr="00D900FF">
        <w:rPr>
          <w:rFonts w:ascii="Times New Roman" w:hAnsi="Times New Roman"/>
          <w:i/>
          <w:iCs/>
          <w:sz w:val="24"/>
        </w:rPr>
        <w:t>Unions</w:t>
      </w:r>
      <w:r w:rsidR="004B522F" w:rsidRPr="00D900FF">
        <w:rPr>
          <w:rFonts w:ascii="Times New Roman" w:hAnsi="Times New Roman"/>
          <w:i/>
          <w:iCs/>
          <w:sz w:val="24"/>
        </w:rPr>
        <w:t xml:space="preserve"> NSW</w:t>
      </w:r>
      <w:r w:rsidRPr="00D900FF">
        <w:rPr>
          <w:rFonts w:ascii="Times New Roman" w:hAnsi="Times New Roman"/>
          <w:i/>
          <w:iCs/>
          <w:sz w:val="24"/>
        </w:rPr>
        <w:t xml:space="preserve"> [No 1]</w:t>
      </w:r>
      <w:r w:rsidR="00DD3B08" w:rsidRPr="00D900FF">
        <w:rPr>
          <w:rFonts w:ascii="Times New Roman" w:hAnsi="Times New Roman"/>
          <w:sz w:val="24"/>
        </w:rPr>
        <w:t>")</w:t>
      </w:r>
      <w:r w:rsidRPr="00D900FF">
        <w:rPr>
          <w:rFonts w:ascii="Times New Roman" w:hAnsi="Times New Roman"/>
          <w:sz w:val="24"/>
        </w:rPr>
        <w:t xml:space="preserve"> (2013) 252 CLR 530; </w:t>
      </w:r>
      <w:r w:rsidRPr="00D900FF">
        <w:rPr>
          <w:rFonts w:ascii="Times New Roman" w:hAnsi="Times New Roman"/>
          <w:i/>
          <w:iCs/>
          <w:sz w:val="24"/>
        </w:rPr>
        <w:t xml:space="preserve">McCloy v New South Wales </w:t>
      </w:r>
      <w:r w:rsidRPr="00D900FF">
        <w:rPr>
          <w:rFonts w:ascii="Times New Roman" w:hAnsi="Times New Roman"/>
          <w:sz w:val="24"/>
        </w:rPr>
        <w:t xml:space="preserve">(2015) 257 CLR 178; </w:t>
      </w:r>
      <w:r w:rsidRPr="00D900FF">
        <w:rPr>
          <w:rFonts w:ascii="Times New Roman" w:hAnsi="Times New Roman"/>
          <w:i/>
          <w:iCs/>
          <w:sz w:val="24"/>
        </w:rPr>
        <w:t xml:space="preserve">Unions </w:t>
      </w:r>
      <w:r w:rsidR="000B051F" w:rsidRPr="00D900FF">
        <w:rPr>
          <w:rFonts w:ascii="Times New Roman" w:hAnsi="Times New Roman"/>
          <w:i/>
          <w:iCs/>
          <w:sz w:val="24"/>
        </w:rPr>
        <w:t>NSW</w:t>
      </w:r>
      <w:r w:rsidRPr="00D900FF">
        <w:rPr>
          <w:rFonts w:ascii="Times New Roman" w:hAnsi="Times New Roman"/>
          <w:i/>
          <w:iCs/>
          <w:sz w:val="24"/>
        </w:rPr>
        <w:t xml:space="preserve"> v New South Wales </w:t>
      </w:r>
      <w:r w:rsidRPr="00D900FF">
        <w:rPr>
          <w:rFonts w:ascii="Times New Roman" w:hAnsi="Times New Roman"/>
          <w:sz w:val="24"/>
        </w:rPr>
        <w:t>("</w:t>
      </w:r>
      <w:r w:rsidRPr="00D900FF">
        <w:rPr>
          <w:rFonts w:ascii="Times New Roman" w:hAnsi="Times New Roman"/>
          <w:i/>
          <w:iCs/>
          <w:sz w:val="24"/>
        </w:rPr>
        <w:t>Unions</w:t>
      </w:r>
      <w:r w:rsidRPr="00D900FF">
        <w:rPr>
          <w:rFonts w:ascii="Times New Roman" w:hAnsi="Times New Roman"/>
          <w:sz w:val="24"/>
        </w:rPr>
        <w:t xml:space="preserve"> </w:t>
      </w:r>
      <w:r w:rsidR="004B522F" w:rsidRPr="00D900FF">
        <w:rPr>
          <w:rFonts w:ascii="Times New Roman" w:hAnsi="Times New Roman"/>
          <w:i/>
          <w:iCs/>
          <w:sz w:val="24"/>
        </w:rPr>
        <w:t xml:space="preserve">NSW </w:t>
      </w:r>
      <w:r w:rsidRPr="00D900FF">
        <w:rPr>
          <w:rFonts w:ascii="Times New Roman" w:hAnsi="Times New Roman"/>
          <w:i/>
          <w:iCs/>
          <w:sz w:val="24"/>
        </w:rPr>
        <w:t>[No 2]</w:t>
      </w:r>
      <w:r w:rsidRPr="00D900FF">
        <w:rPr>
          <w:rFonts w:ascii="Times New Roman" w:hAnsi="Times New Roman"/>
          <w:sz w:val="24"/>
        </w:rPr>
        <w:t>") (2019) 264 CLR 595</w:t>
      </w:r>
      <w:r w:rsidR="002A1E3D" w:rsidRPr="00D900FF">
        <w:rPr>
          <w:rFonts w:ascii="Times New Roman" w:hAnsi="Times New Roman"/>
          <w:sz w:val="24"/>
        </w:rPr>
        <w:t>;</w:t>
      </w:r>
      <w:r w:rsidRPr="00D900FF">
        <w:rPr>
          <w:rFonts w:ascii="Times New Roman" w:hAnsi="Times New Roman"/>
          <w:sz w:val="24"/>
        </w:rPr>
        <w:t xml:space="preserve"> </w:t>
      </w:r>
      <w:r w:rsidRPr="00D900FF">
        <w:rPr>
          <w:rFonts w:ascii="Times New Roman" w:hAnsi="Times New Roman"/>
          <w:i/>
          <w:iCs/>
          <w:sz w:val="24"/>
        </w:rPr>
        <w:t xml:space="preserve">Unions </w:t>
      </w:r>
      <w:r w:rsidR="001A4047" w:rsidRPr="00D900FF">
        <w:rPr>
          <w:rFonts w:ascii="Times New Roman" w:hAnsi="Times New Roman"/>
          <w:i/>
          <w:iCs/>
          <w:sz w:val="24"/>
        </w:rPr>
        <w:t>NSW</w:t>
      </w:r>
      <w:r w:rsidRPr="00D900FF">
        <w:rPr>
          <w:rFonts w:ascii="Times New Roman" w:hAnsi="Times New Roman"/>
          <w:i/>
          <w:iCs/>
          <w:sz w:val="24"/>
        </w:rPr>
        <w:t xml:space="preserve"> v New South Wales </w:t>
      </w:r>
      <w:r w:rsidR="000B051F" w:rsidRPr="00D900FF">
        <w:rPr>
          <w:rFonts w:ascii="Times New Roman" w:hAnsi="Times New Roman"/>
          <w:i/>
          <w:iCs/>
          <w:sz w:val="24"/>
        </w:rPr>
        <w:t>(</w:t>
      </w:r>
      <w:r w:rsidRPr="00D900FF">
        <w:rPr>
          <w:rFonts w:ascii="Times New Roman" w:hAnsi="Times New Roman"/>
          <w:i/>
          <w:iCs/>
          <w:sz w:val="24"/>
        </w:rPr>
        <w:t>Unions</w:t>
      </w:r>
      <w:r w:rsidR="004B522F" w:rsidRPr="00D900FF">
        <w:rPr>
          <w:rFonts w:ascii="Times New Roman" w:hAnsi="Times New Roman"/>
          <w:i/>
          <w:iCs/>
          <w:sz w:val="24"/>
        </w:rPr>
        <w:t xml:space="preserve"> NSW</w:t>
      </w:r>
      <w:r w:rsidRPr="00D900FF">
        <w:rPr>
          <w:rFonts w:ascii="Times New Roman" w:hAnsi="Times New Roman"/>
          <w:i/>
          <w:iCs/>
          <w:sz w:val="24"/>
        </w:rPr>
        <w:t xml:space="preserve"> [No 3]</w:t>
      </w:r>
      <w:r w:rsidR="000B051F" w:rsidRPr="00D900FF">
        <w:rPr>
          <w:rFonts w:ascii="Times New Roman" w:hAnsi="Times New Roman"/>
          <w:i/>
          <w:iCs/>
          <w:sz w:val="24"/>
        </w:rPr>
        <w:t>)</w:t>
      </w:r>
      <w:r w:rsidRPr="00D900FF">
        <w:rPr>
          <w:rFonts w:ascii="Times New Roman" w:hAnsi="Times New Roman"/>
          <w:sz w:val="24"/>
        </w:rPr>
        <w:t xml:space="preserve"> (2023) 277 CLR 627.</w:t>
      </w:r>
    </w:p>
  </w:footnote>
  <w:footnote w:id="5">
    <w:p w14:paraId="5CB9D506" w14:textId="6FBCA8A6" w:rsidR="00D31048" w:rsidRPr="00D900FF" w:rsidRDefault="00D3104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D114CD" w:rsidRPr="00D900FF">
        <w:rPr>
          <w:rFonts w:ascii="Times New Roman" w:hAnsi="Times New Roman"/>
          <w:sz w:val="24"/>
        </w:rPr>
        <w:t>T</w:t>
      </w:r>
      <w:r w:rsidRPr="00D900FF">
        <w:rPr>
          <w:rFonts w:ascii="Times New Roman" w:hAnsi="Times New Roman"/>
          <w:sz w:val="24"/>
        </w:rPr>
        <w:t xml:space="preserve">he provisions </w:t>
      </w:r>
      <w:r w:rsidR="00D114CD" w:rsidRPr="00D900FF">
        <w:rPr>
          <w:rFonts w:ascii="Times New Roman" w:hAnsi="Times New Roman"/>
          <w:sz w:val="24"/>
        </w:rPr>
        <w:t xml:space="preserve">throughout </w:t>
      </w:r>
      <w:r w:rsidRPr="00D900FF">
        <w:rPr>
          <w:rFonts w:ascii="Times New Roman" w:hAnsi="Times New Roman"/>
          <w:sz w:val="24"/>
        </w:rPr>
        <w:t xml:space="preserve">Pt 12 which refer to or address nominated entities </w:t>
      </w:r>
      <w:r w:rsidR="00453E23" w:rsidRPr="00D900FF">
        <w:rPr>
          <w:rFonts w:ascii="Times New Roman" w:hAnsi="Times New Roman"/>
          <w:sz w:val="24"/>
        </w:rPr>
        <w:t xml:space="preserve">were identified by the parties and </w:t>
      </w:r>
      <w:r w:rsidR="00D114CD" w:rsidRPr="00D900FF">
        <w:rPr>
          <w:rFonts w:ascii="Times New Roman" w:hAnsi="Times New Roman"/>
          <w:sz w:val="24"/>
        </w:rPr>
        <w:t xml:space="preserve">are listed </w:t>
      </w:r>
      <w:r w:rsidRPr="00D900FF">
        <w:rPr>
          <w:rFonts w:ascii="Times New Roman" w:hAnsi="Times New Roman"/>
          <w:sz w:val="24"/>
        </w:rPr>
        <w:t>in the Annexure.</w:t>
      </w:r>
    </w:p>
  </w:footnote>
  <w:footnote w:id="6">
    <w:p w14:paraId="368509F6" w14:textId="500DC273" w:rsidR="00FC722F" w:rsidRPr="00D900FF" w:rsidRDefault="00FC722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w:t>
      </w:r>
      <w:r w:rsidRPr="00D900FF">
        <w:rPr>
          <w:rFonts w:ascii="Times New Roman" w:hAnsi="Times New Roman"/>
          <w:i/>
          <w:iCs/>
          <w:sz w:val="24"/>
        </w:rPr>
        <w:t>Gibb v Federal Commissioner of Taxation</w:t>
      </w:r>
      <w:r w:rsidRPr="00D900FF">
        <w:rPr>
          <w:rFonts w:ascii="Times New Roman" w:hAnsi="Times New Roman"/>
          <w:sz w:val="24"/>
        </w:rPr>
        <w:t xml:space="preserve"> (1966) 118 CLR 628 at 635</w:t>
      </w:r>
      <w:r w:rsidR="00E35435" w:rsidRPr="00D900FF">
        <w:rPr>
          <w:rFonts w:ascii="Times New Roman" w:hAnsi="Times New Roman"/>
          <w:sz w:val="24"/>
        </w:rPr>
        <w:t xml:space="preserve">; </w:t>
      </w:r>
      <w:r w:rsidR="00E35435" w:rsidRPr="00D900FF">
        <w:rPr>
          <w:rFonts w:ascii="Times New Roman" w:hAnsi="Times New Roman"/>
          <w:i/>
          <w:iCs/>
          <w:sz w:val="24"/>
        </w:rPr>
        <w:t>Kelly v The Queen</w:t>
      </w:r>
      <w:r w:rsidR="00E35435" w:rsidRPr="00D900FF">
        <w:rPr>
          <w:rFonts w:ascii="Times New Roman" w:hAnsi="Times New Roman"/>
          <w:sz w:val="24"/>
        </w:rPr>
        <w:t xml:space="preserve"> (2004) 218 CLR 216 at 245 [84], 253 [103]; </w:t>
      </w:r>
      <w:r w:rsidR="00E35435" w:rsidRPr="00D900FF">
        <w:rPr>
          <w:rFonts w:ascii="Times New Roman" w:hAnsi="Times New Roman"/>
          <w:i/>
          <w:iCs/>
          <w:sz w:val="24"/>
        </w:rPr>
        <w:t>Moreton Bay Regional Council v Mekpine Pty Ltd</w:t>
      </w:r>
      <w:r w:rsidR="00E35435" w:rsidRPr="00D900FF">
        <w:rPr>
          <w:rFonts w:ascii="Times New Roman" w:hAnsi="Times New Roman"/>
          <w:sz w:val="24"/>
        </w:rPr>
        <w:t xml:space="preserve"> (2016) 256 CLR 437 at 451</w:t>
      </w:r>
      <w:r w:rsidR="00A940A4" w:rsidRPr="00D900FF">
        <w:rPr>
          <w:rFonts w:ascii="Times New Roman" w:hAnsi="Times New Roman"/>
          <w:sz w:val="24"/>
        </w:rPr>
        <w:t xml:space="preserve"> </w:t>
      </w:r>
      <w:r w:rsidR="00E35435" w:rsidRPr="00D900FF">
        <w:rPr>
          <w:rFonts w:ascii="Times New Roman" w:hAnsi="Times New Roman"/>
          <w:sz w:val="24"/>
        </w:rPr>
        <w:t>[61]</w:t>
      </w:r>
      <w:r w:rsidR="006907CE" w:rsidRPr="00D900FF">
        <w:rPr>
          <w:rFonts w:ascii="Times New Roman" w:hAnsi="Times New Roman"/>
          <w:sz w:val="24"/>
        </w:rPr>
        <w:t xml:space="preserve">; </w:t>
      </w:r>
      <w:r w:rsidR="006907CE" w:rsidRPr="00D900FF">
        <w:rPr>
          <w:rFonts w:ascii="Times New Roman" w:hAnsi="Times New Roman"/>
          <w:i/>
          <w:iCs/>
          <w:sz w:val="24"/>
        </w:rPr>
        <w:t>LibertyWorks Inc v The Commonwealth</w:t>
      </w:r>
      <w:r w:rsidR="006907CE" w:rsidRPr="00D900FF">
        <w:rPr>
          <w:rFonts w:ascii="Times New Roman" w:hAnsi="Times New Roman"/>
          <w:sz w:val="24"/>
        </w:rPr>
        <w:t xml:space="preserve"> (2021) 274 CLR 1 at 7</w:t>
      </w:r>
      <w:r w:rsidR="00E04B6A" w:rsidRPr="00D900FF">
        <w:rPr>
          <w:rFonts w:ascii="Times New Roman" w:hAnsi="Times New Roman"/>
          <w:sz w:val="24"/>
        </w:rPr>
        <w:t>2</w:t>
      </w:r>
      <w:r w:rsidR="006907CE" w:rsidRPr="00D900FF">
        <w:rPr>
          <w:rFonts w:ascii="Times New Roman" w:hAnsi="Times New Roman"/>
          <w:sz w:val="24"/>
        </w:rPr>
        <w:t xml:space="preserve"> [185]</w:t>
      </w:r>
      <w:r w:rsidR="000D2277" w:rsidRPr="00D900FF">
        <w:rPr>
          <w:rFonts w:ascii="Times New Roman" w:hAnsi="Times New Roman"/>
          <w:sz w:val="24"/>
        </w:rPr>
        <w:t>. cf</w:t>
      </w:r>
      <w:r w:rsidR="00A706F9" w:rsidRPr="00D900FF">
        <w:rPr>
          <w:rFonts w:ascii="Times New Roman" w:hAnsi="Times New Roman"/>
          <w:sz w:val="24"/>
        </w:rPr>
        <w:t xml:space="preserve"> </w:t>
      </w:r>
      <w:r w:rsidR="00A706F9" w:rsidRPr="00D900FF">
        <w:rPr>
          <w:rFonts w:ascii="Times New Roman" w:hAnsi="Times New Roman"/>
          <w:i/>
          <w:iCs/>
          <w:sz w:val="24"/>
        </w:rPr>
        <w:t xml:space="preserve">Qantas Airways </w:t>
      </w:r>
      <w:r w:rsidR="00D63E06" w:rsidRPr="00D900FF">
        <w:rPr>
          <w:rFonts w:ascii="Times New Roman" w:hAnsi="Times New Roman"/>
          <w:i/>
          <w:iCs/>
          <w:sz w:val="24"/>
        </w:rPr>
        <w:t>Ltd v Transport Workers' Union of Australia</w:t>
      </w:r>
      <w:r w:rsidR="00D63E06" w:rsidRPr="00D900FF">
        <w:rPr>
          <w:rFonts w:ascii="Times New Roman" w:hAnsi="Times New Roman"/>
          <w:sz w:val="24"/>
        </w:rPr>
        <w:t xml:space="preserve"> (2023) 278 CLR 571 at 595 [32], 608 [80]</w:t>
      </w:r>
      <w:r w:rsidR="00492561" w:rsidRPr="00D900FF">
        <w:rPr>
          <w:rFonts w:ascii="Times New Roman" w:hAnsi="Times New Roman"/>
          <w:sz w:val="24"/>
        </w:rPr>
        <w:t xml:space="preserve">. </w:t>
      </w:r>
    </w:p>
  </w:footnote>
  <w:footnote w:id="7">
    <w:p w14:paraId="59FB775A" w14:textId="653CA4BE" w:rsidR="00F71F8B" w:rsidRPr="00D900FF" w:rsidRDefault="00F71F8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ED0BD9" w:rsidRPr="00D900FF">
        <w:rPr>
          <w:rFonts w:ascii="Times New Roman" w:hAnsi="Times New Roman"/>
          <w:sz w:val="24"/>
        </w:rPr>
        <w:t>2018 Amendment Act, s 1(a)(ii).</w:t>
      </w:r>
    </w:p>
  </w:footnote>
  <w:footnote w:id="8">
    <w:p w14:paraId="068BC910" w14:textId="10570411" w:rsidR="00B26ABB" w:rsidRPr="00D900FF" w:rsidRDefault="00B26AB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A political party that is registered under Pt 4 of the </w:t>
      </w:r>
      <w:r w:rsidRPr="00D900FF">
        <w:rPr>
          <w:rFonts w:ascii="Times New Roman" w:hAnsi="Times New Roman"/>
          <w:i/>
          <w:iCs/>
          <w:sz w:val="24"/>
        </w:rPr>
        <w:t>Electoral</w:t>
      </w:r>
      <w:r w:rsidR="008F2788" w:rsidRPr="00D900FF">
        <w:rPr>
          <w:rFonts w:ascii="Times New Roman" w:hAnsi="Times New Roman"/>
          <w:i/>
          <w:iCs/>
          <w:sz w:val="24"/>
        </w:rPr>
        <w:t> </w:t>
      </w:r>
      <w:r w:rsidRPr="00D900FF">
        <w:rPr>
          <w:rFonts w:ascii="Times New Roman" w:hAnsi="Times New Roman"/>
          <w:i/>
          <w:iCs/>
          <w:sz w:val="24"/>
        </w:rPr>
        <w:t>Act</w:t>
      </w:r>
      <w:r w:rsidR="009A115D" w:rsidRPr="00D900FF">
        <w:rPr>
          <w:rFonts w:ascii="Times New Roman" w:hAnsi="Times New Roman"/>
          <w:sz w:val="24"/>
        </w:rPr>
        <w:t>: s 3</w:t>
      </w:r>
      <w:r w:rsidRPr="00D900FF">
        <w:rPr>
          <w:rFonts w:ascii="Times New Roman" w:hAnsi="Times New Roman"/>
          <w:sz w:val="24"/>
        </w:rPr>
        <w:t xml:space="preserve"> definition of "</w:t>
      </w:r>
      <w:r w:rsidR="00153527" w:rsidRPr="00D900FF">
        <w:rPr>
          <w:rFonts w:ascii="Times New Roman" w:hAnsi="Times New Roman"/>
          <w:sz w:val="24"/>
        </w:rPr>
        <w:t>registered political party</w:t>
      </w:r>
      <w:r w:rsidRPr="00D900FF">
        <w:rPr>
          <w:rFonts w:ascii="Times New Roman" w:hAnsi="Times New Roman"/>
          <w:sz w:val="24"/>
        </w:rPr>
        <w:t xml:space="preserve">". Each </w:t>
      </w:r>
      <w:r w:rsidR="00153527" w:rsidRPr="00D900FF">
        <w:rPr>
          <w:rFonts w:ascii="Times New Roman" w:hAnsi="Times New Roman"/>
          <w:sz w:val="24"/>
        </w:rPr>
        <w:t>registered political party</w:t>
      </w:r>
      <w:r w:rsidRPr="00D900FF">
        <w:rPr>
          <w:rFonts w:ascii="Times New Roman" w:hAnsi="Times New Roman"/>
          <w:sz w:val="24"/>
        </w:rPr>
        <w:t xml:space="preserve"> has a "registered officer": ss 45(2)</w:t>
      </w:r>
      <w:r w:rsidR="00DC19E8" w:rsidRPr="00D900FF">
        <w:rPr>
          <w:rFonts w:ascii="Times New Roman" w:hAnsi="Times New Roman"/>
          <w:sz w:val="24"/>
        </w:rPr>
        <w:t>(</w:t>
      </w:r>
      <w:r w:rsidRPr="00D900FF">
        <w:rPr>
          <w:rFonts w:ascii="Times New Roman" w:hAnsi="Times New Roman"/>
          <w:sz w:val="24"/>
        </w:rPr>
        <w:t>c) and 50(1)(a)(i</w:t>
      </w:r>
      <w:r w:rsidR="006252C0" w:rsidRPr="00D900FF">
        <w:rPr>
          <w:rFonts w:ascii="Times New Roman" w:hAnsi="Times New Roman"/>
          <w:sz w:val="24"/>
        </w:rPr>
        <w:t>i</w:t>
      </w:r>
      <w:r w:rsidRPr="00D900FF">
        <w:rPr>
          <w:rFonts w:ascii="Times New Roman" w:hAnsi="Times New Roman"/>
          <w:sz w:val="24"/>
        </w:rPr>
        <w:t>).</w:t>
      </w:r>
    </w:p>
  </w:footnote>
  <w:footnote w:id="9">
    <w:p w14:paraId="24344929" w14:textId="53A43A6E" w:rsidR="005A60A5" w:rsidRPr="00D900FF" w:rsidRDefault="005A60A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842331" w:rsidRPr="00D900FF">
        <w:rPr>
          <w:rFonts w:ascii="Times New Roman" w:hAnsi="Times New Roman"/>
          <w:sz w:val="24"/>
        </w:rPr>
        <w:t>T</w:t>
      </w:r>
      <w:r w:rsidR="0057723C" w:rsidRPr="00D900FF">
        <w:rPr>
          <w:rFonts w:ascii="Times New Roman" w:hAnsi="Times New Roman"/>
          <w:sz w:val="24"/>
        </w:rPr>
        <w:t>wo or more</w:t>
      </w:r>
      <w:r w:rsidR="00BC0C2D" w:rsidRPr="00D900FF">
        <w:rPr>
          <w:rFonts w:ascii="Times New Roman" w:hAnsi="Times New Roman"/>
          <w:sz w:val="24"/>
        </w:rPr>
        <w:t xml:space="preserve"> candidates whose names are </w:t>
      </w:r>
      <w:r w:rsidR="00CC4F33" w:rsidRPr="00D900FF">
        <w:rPr>
          <w:rFonts w:ascii="Times New Roman" w:hAnsi="Times New Roman"/>
          <w:sz w:val="24"/>
        </w:rPr>
        <w:t xml:space="preserve">grouped on a </w:t>
      </w:r>
      <w:r w:rsidR="00FB3870" w:rsidRPr="00D900FF">
        <w:rPr>
          <w:rFonts w:ascii="Times New Roman" w:hAnsi="Times New Roman"/>
          <w:sz w:val="24"/>
        </w:rPr>
        <w:t>ballot-paper for a</w:t>
      </w:r>
      <w:r w:rsidR="0066404A">
        <w:rPr>
          <w:rFonts w:ascii="Times New Roman" w:hAnsi="Times New Roman"/>
          <w:sz w:val="24"/>
        </w:rPr>
        <w:t> </w:t>
      </w:r>
      <w:r w:rsidR="00160B3B" w:rsidRPr="00D900FF">
        <w:rPr>
          <w:rFonts w:ascii="Times New Roman" w:hAnsi="Times New Roman"/>
          <w:sz w:val="24"/>
        </w:rPr>
        <w:t xml:space="preserve">Legislative </w:t>
      </w:r>
      <w:r w:rsidR="00FB3870" w:rsidRPr="00D900FF">
        <w:rPr>
          <w:rFonts w:ascii="Times New Roman" w:hAnsi="Times New Roman"/>
          <w:sz w:val="24"/>
        </w:rPr>
        <w:t xml:space="preserve">Council election in accordance with s 69A of the </w:t>
      </w:r>
      <w:r w:rsidR="00FB3870" w:rsidRPr="00D900FF">
        <w:rPr>
          <w:rFonts w:ascii="Times New Roman" w:hAnsi="Times New Roman"/>
          <w:i/>
          <w:iCs/>
          <w:sz w:val="24"/>
        </w:rPr>
        <w:t>Electoral Act</w:t>
      </w:r>
      <w:r w:rsidR="0051051D" w:rsidRPr="00D900FF">
        <w:rPr>
          <w:rFonts w:ascii="Times New Roman" w:hAnsi="Times New Roman"/>
          <w:sz w:val="24"/>
        </w:rPr>
        <w:t>: s</w:t>
      </w:r>
      <w:r w:rsidR="0066404A">
        <w:rPr>
          <w:rFonts w:ascii="Times New Roman" w:hAnsi="Times New Roman"/>
          <w:sz w:val="24"/>
        </w:rPr>
        <w:t> </w:t>
      </w:r>
      <w:r w:rsidR="00A21EA8" w:rsidRPr="00D900FF">
        <w:rPr>
          <w:rFonts w:ascii="Times New Roman" w:hAnsi="Times New Roman"/>
          <w:sz w:val="24"/>
        </w:rPr>
        <w:t>206(1) definition of "group", read with s 69A</w:t>
      </w:r>
      <w:r w:rsidR="00FB3870" w:rsidRPr="00D900FF">
        <w:rPr>
          <w:rFonts w:ascii="Times New Roman" w:hAnsi="Times New Roman"/>
          <w:sz w:val="24"/>
        </w:rPr>
        <w:t>.</w:t>
      </w:r>
    </w:p>
  </w:footnote>
  <w:footnote w:id="10">
    <w:p w14:paraId="669189FA" w14:textId="6FA0F4D9" w:rsidR="00620CD9" w:rsidRPr="00D900FF" w:rsidRDefault="00620CD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000411F3" w:rsidRPr="00D900FF">
        <w:rPr>
          <w:rFonts w:ascii="Times New Roman" w:hAnsi="Times New Roman"/>
          <w:sz w:val="24"/>
        </w:rPr>
        <w:tab/>
        <w:t>See [16]-[</w:t>
      </w:r>
      <w:r w:rsidR="008310ED" w:rsidRPr="00D900FF">
        <w:rPr>
          <w:rFonts w:ascii="Times New Roman" w:hAnsi="Times New Roman"/>
          <w:sz w:val="24"/>
        </w:rPr>
        <w:t>18] below.</w:t>
      </w:r>
    </w:p>
  </w:footnote>
  <w:footnote w:id="11">
    <w:p w14:paraId="652B5C6E" w14:textId="029EF958" w:rsidR="000E7A6F" w:rsidRPr="00D900FF" w:rsidRDefault="000E7A6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085119" w:rsidRPr="00D900FF">
        <w:rPr>
          <w:rFonts w:ascii="Times New Roman" w:hAnsi="Times New Roman"/>
          <w:sz w:val="24"/>
        </w:rPr>
        <w:t>Defined to capture a range of entities: s 206(1) definition of "associated entity". See</w:t>
      </w:r>
      <w:r w:rsidR="0066404A">
        <w:rPr>
          <w:rFonts w:ascii="Times New Roman" w:hAnsi="Times New Roman"/>
          <w:sz w:val="24"/>
        </w:rPr>
        <w:t> </w:t>
      </w:r>
      <w:r w:rsidR="00085119" w:rsidRPr="00D900FF">
        <w:rPr>
          <w:rFonts w:ascii="Times New Roman" w:hAnsi="Times New Roman"/>
          <w:sz w:val="24"/>
        </w:rPr>
        <w:t>also [</w:t>
      </w:r>
      <w:r w:rsidR="004B2470" w:rsidRPr="00D900FF">
        <w:rPr>
          <w:rFonts w:ascii="Times New Roman" w:hAnsi="Times New Roman"/>
          <w:sz w:val="24"/>
        </w:rPr>
        <w:t>19</w:t>
      </w:r>
      <w:r w:rsidR="00085119" w:rsidRPr="00D900FF">
        <w:rPr>
          <w:rFonts w:ascii="Times New Roman" w:hAnsi="Times New Roman"/>
          <w:sz w:val="24"/>
        </w:rPr>
        <w:t>] below.</w:t>
      </w:r>
    </w:p>
  </w:footnote>
  <w:footnote w:id="12">
    <w:p w14:paraId="6CDE7F0D" w14:textId="5B4CADC1" w:rsidR="007A2537" w:rsidRPr="00D900FF" w:rsidRDefault="007A2537"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0E7A6F" w:rsidRPr="00D900FF">
        <w:rPr>
          <w:rFonts w:ascii="Times New Roman" w:hAnsi="Times New Roman"/>
          <w:sz w:val="24"/>
        </w:rPr>
        <w:t>A</w:t>
      </w:r>
      <w:r w:rsidR="00791AD5" w:rsidRPr="00D900FF">
        <w:rPr>
          <w:rFonts w:ascii="Times New Roman" w:hAnsi="Times New Roman"/>
          <w:sz w:val="24"/>
        </w:rPr>
        <w:t>ny</w:t>
      </w:r>
      <w:r w:rsidR="000E7A6F" w:rsidRPr="00D900FF">
        <w:rPr>
          <w:rFonts w:ascii="Times New Roman" w:hAnsi="Times New Roman"/>
          <w:sz w:val="24"/>
        </w:rPr>
        <w:t xml:space="preserve"> other</w:t>
      </w:r>
      <w:r w:rsidR="00791AD5" w:rsidRPr="00D900FF">
        <w:rPr>
          <w:rFonts w:ascii="Times New Roman" w:hAnsi="Times New Roman"/>
          <w:sz w:val="24"/>
        </w:rPr>
        <w:t xml:space="preserve"> person or entity that</w:t>
      </w:r>
      <w:r w:rsidR="000079D7" w:rsidRPr="00D900FF">
        <w:rPr>
          <w:rFonts w:ascii="Times New Roman" w:hAnsi="Times New Roman"/>
          <w:sz w:val="24"/>
        </w:rPr>
        <w:t xml:space="preserve"> receives political donations</w:t>
      </w:r>
      <w:r w:rsidR="00994F7C" w:rsidRPr="00D900FF">
        <w:rPr>
          <w:rFonts w:ascii="Times New Roman" w:hAnsi="Times New Roman"/>
          <w:sz w:val="24"/>
        </w:rPr>
        <w:t xml:space="preserve"> or incurs political expenditure</w:t>
      </w:r>
      <w:r w:rsidR="003F0608" w:rsidRPr="00D900FF">
        <w:rPr>
          <w:rFonts w:ascii="Times New Roman" w:hAnsi="Times New Roman"/>
          <w:sz w:val="24"/>
        </w:rPr>
        <w:t xml:space="preserve"> exceeding a total of $4,000 (indexed) in a financial year</w:t>
      </w:r>
      <w:r w:rsidR="000E7A6F" w:rsidRPr="00D900FF">
        <w:rPr>
          <w:rFonts w:ascii="Times New Roman" w:hAnsi="Times New Roman"/>
          <w:sz w:val="24"/>
        </w:rPr>
        <w:t xml:space="preserve">: </w:t>
      </w:r>
      <w:r w:rsidR="000E7A6F" w:rsidRPr="00D900FF">
        <w:rPr>
          <w:rFonts w:ascii="Times New Roman" w:hAnsi="Times New Roman"/>
          <w:i/>
          <w:iCs/>
          <w:sz w:val="24"/>
        </w:rPr>
        <w:t>Electoral Act</w:t>
      </w:r>
      <w:r w:rsidR="000E7A6F" w:rsidRPr="00D900FF">
        <w:rPr>
          <w:rFonts w:ascii="Times New Roman" w:hAnsi="Times New Roman"/>
          <w:sz w:val="24"/>
        </w:rPr>
        <w:t>, s 206(1) definition of "third party campaigner"</w:t>
      </w:r>
      <w:r w:rsidR="0039041D" w:rsidRPr="00D900FF">
        <w:rPr>
          <w:rFonts w:ascii="Times New Roman" w:hAnsi="Times New Roman"/>
          <w:sz w:val="24"/>
        </w:rPr>
        <w:t>.</w:t>
      </w:r>
    </w:p>
  </w:footnote>
  <w:footnote w:id="13">
    <w:p w14:paraId="6E2C82BA" w14:textId="21374A21" w:rsidR="005779E8" w:rsidRPr="00D900FF" w:rsidRDefault="005779E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206(1) definition of "political donation".</w:t>
      </w:r>
    </w:p>
  </w:footnote>
  <w:footnote w:id="14">
    <w:p w14:paraId="3CA01008" w14:textId="6E5B430B" w:rsidR="005779E8" w:rsidRPr="00D900FF" w:rsidRDefault="005779E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Paragraphs (e) and (f) of the definition of "political donation" qualify it such that a</w:t>
      </w:r>
      <w:r w:rsidR="0066404A">
        <w:rPr>
          <w:rFonts w:ascii="Times New Roman" w:hAnsi="Times New Roman"/>
          <w:sz w:val="24"/>
        </w:rPr>
        <w:t> </w:t>
      </w:r>
      <w:r w:rsidRPr="00D900FF">
        <w:rPr>
          <w:rFonts w:ascii="Times New Roman" w:hAnsi="Times New Roman"/>
          <w:sz w:val="24"/>
        </w:rPr>
        <w:t>gift to an associated entity or third party campaigner is a political donation to the</w:t>
      </w:r>
      <w:r w:rsidR="0066404A">
        <w:rPr>
          <w:rFonts w:ascii="Times New Roman" w:hAnsi="Times New Roman"/>
          <w:sz w:val="24"/>
        </w:rPr>
        <w:t> </w:t>
      </w:r>
      <w:r w:rsidRPr="00D900FF">
        <w:rPr>
          <w:rFonts w:ascii="Times New Roman" w:hAnsi="Times New Roman"/>
          <w:sz w:val="24"/>
        </w:rPr>
        <w:t>extent that the gift was used or intended to be used to enable the associated entity or third party campaigner to make a political donation or incur political expenditure, or to reimburse them for doing so.</w:t>
      </w:r>
    </w:p>
  </w:footnote>
  <w:footnote w:id="15">
    <w:p w14:paraId="6393E37D" w14:textId="77777777" w:rsidR="005779E8" w:rsidRPr="00D900FF" w:rsidRDefault="005779E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w:t>
      </w:r>
      <w:r w:rsidRPr="00D900FF">
        <w:rPr>
          <w:rFonts w:ascii="Times New Roman" w:hAnsi="Times New Roman"/>
          <w:i/>
          <w:iCs/>
          <w:sz w:val="24"/>
        </w:rPr>
        <w:t>Electoral Act</w:t>
      </w:r>
      <w:r w:rsidRPr="00D900FF">
        <w:rPr>
          <w:rFonts w:ascii="Times New Roman" w:hAnsi="Times New Roman"/>
          <w:sz w:val="24"/>
        </w:rPr>
        <w:t xml:space="preserve">, s 206(1) definition of "disposition of property". </w:t>
      </w:r>
    </w:p>
  </w:footnote>
  <w:footnote w:id="16">
    <w:p w14:paraId="3B8B116B" w14:textId="77777777" w:rsidR="005779E8" w:rsidRPr="00D900FF" w:rsidRDefault="005779E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206(1) definition of "gift".</w:t>
      </w:r>
    </w:p>
  </w:footnote>
  <w:footnote w:id="17">
    <w:p w14:paraId="61281BFF" w14:textId="77777777" w:rsidR="005779E8" w:rsidRPr="00D900FF" w:rsidRDefault="005779E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206(1) para (a) of the definition of "gift".</w:t>
      </w:r>
    </w:p>
  </w:footnote>
  <w:footnote w:id="18">
    <w:p w14:paraId="5AC6F594" w14:textId="77777777" w:rsidR="005779E8" w:rsidRPr="00D900FF" w:rsidRDefault="005779E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206(1) paras (e)-(m) of the definition of "gift".</w:t>
      </w:r>
    </w:p>
  </w:footnote>
  <w:footnote w:id="19">
    <w:p w14:paraId="498A782C" w14:textId="27B2A7A5" w:rsidR="00EF6047" w:rsidRPr="00D900FF" w:rsidRDefault="00EF6047"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w:t>
      </w:r>
      <w:r w:rsidR="0052738D" w:rsidRPr="00D900FF">
        <w:rPr>
          <w:rFonts w:ascii="Times New Roman" w:hAnsi="Times New Roman"/>
          <w:sz w:val="24"/>
        </w:rPr>
        <w:t>(1)</w:t>
      </w:r>
      <w:r w:rsidRPr="00D900FF">
        <w:rPr>
          <w:rFonts w:ascii="Times New Roman" w:hAnsi="Times New Roman"/>
          <w:sz w:val="24"/>
        </w:rPr>
        <w:t xml:space="preserve"> definition of "general cap"</w:t>
      </w:r>
      <w:r w:rsidR="003C073C" w:rsidRPr="00D900FF">
        <w:rPr>
          <w:rFonts w:ascii="Times New Roman" w:hAnsi="Times New Roman"/>
          <w:sz w:val="24"/>
        </w:rPr>
        <w:t xml:space="preserve">. </w:t>
      </w:r>
    </w:p>
  </w:footnote>
  <w:footnote w:id="20">
    <w:p w14:paraId="3E9C9C3C" w14:textId="3C770864" w:rsidR="001216F3" w:rsidRPr="00D900FF" w:rsidRDefault="001216F3"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ss 206(1)</w:t>
      </w:r>
      <w:r w:rsidR="00BC5C63" w:rsidRPr="00D900FF">
        <w:rPr>
          <w:rFonts w:ascii="Times New Roman" w:hAnsi="Times New Roman"/>
          <w:sz w:val="24"/>
        </w:rPr>
        <w:t xml:space="preserve"> definition of "general cap"</w:t>
      </w:r>
      <w:r w:rsidRPr="00D900FF">
        <w:rPr>
          <w:rFonts w:ascii="Times New Roman" w:hAnsi="Times New Roman"/>
          <w:sz w:val="24"/>
        </w:rPr>
        <w:t xml:space="preserve"> and 217Q.</w:t>
      </w:r>
    </w:p>
  </w:footnote>
  <w:footnote w:id="21">
    <w:p w14:paraId="56AE2E55" w14:textId="0BD63950" w:rsidR="00662DAD" w:rsidRPr="00D900FF" w:rsidRDefault="00662DA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w:t>
      </w:r>
      <w:r w:rsidR="0052738D" w:rsidRPr="00D900FF">
        <w:rPr>
          <w:rFonts w:ascii="Times New Roman" w:hAnsi="Times New Roman"/>
          <w:sz w:val="24"/>
        </w:rPr>
        <w:t>(1)</w:t>
      </w:r>
      <w:r w:rsidRPr="00D900FF">
        <w:rPr>
          <w:rFonts w:ascii="Times New Roman" w:hAnsi="Times New Roman"/>
          <w:sz w:val="24"/>
        </w:rPr>
        <w:t xml:space="preserve"> definition of "election period".</w:t>
      </w:r>
    </w:p>
  </w:footnote>
  <w:footnote w:id="22">
    <w:p w14:paraId="28BCD322" w14:textId="3960A303" w:rsidR="0085541B" w:rsidRPr="00D900FF" w:rsidRDefault="0085541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w:t>
      </w:r>
      <w:r w:rsidR="007162D2" w:rsidRPr="00D900FF">
        <w:rPr>
          <w:rFonts w:ascii="Times New Roman" w:hAnsi="Times New Roman"/>
          <w:sz w:val="24"/>
        </w:rPr>
        <w:t>217D(6).</w:t>
      </w:r>
    </w:p>
  </w:footnote>
  <w:footnote w:id="23">
    <w:p w14:paraId="177DA1A6" w14:textId="5D5B0521" w:rsidR="00EB289E" w:rsidRPr="00D900FF" w:rsidRDefault="00EB289E"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217D(</w:t>
      </w:r>
      <w:r w:rsidR="00F85D75" w:rsidRPr="00D900FF">
        <w:rPr>
          <w:rFonts w:ascii="Times New Roman" w:hAnsi="Times New Roman"/>
          <w:sz w:val="24"/>
        </w:rPr>
        <w:t>5</w:t>
      </w:r>
      <w:r w:rsidRPr="00D900FF">
        <w:rPr>
          <w:rFonts w:ascii="Times New Roman" w:hAnsi="Times New Roman"/>
          <w:sz w:val="24"/>
        </w:rPr>
        <w:t>).</w:t>
      </w:r>
    </w:p>
  </w:footnote>
  <w:footnote w:id="24">
    <w:p w14:paraId="202A90F5" w14:textId="71786C5A" w:rsidR="00437B8C" w:rsidRPr="00D900FF" w:rsidRDefault="00437B8C"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w:t>
      </w:r>
      <w:r w:rsidR="005F74A0" w:rsidRPr="00D900FF">
        <w:rPr>
          <w:rFonts w:ascii="Times New Roman" w:hAnsi="Times New Roman"/>
          <w:sz w:val="24"/>
        </w:rPr>
        <w:t>s</w:t>
      </w:r>
      <w:r w:rsidRPr="00D900FF">
        <w:rPr>
          <w:rFonts w:ascii="Times New Roman" w:hAnsi="Times New Roman"/>
          <w:sz w:val="24"/>
        </w:rPr>
        <w:t> 206</w:t>
      </w:r>
      <w:r w:rsidR="0007589C" w:rsidRPr="00D900FF">
        <w:rPr>
          <w:rFonts w:ascii="Times New Roman" w:hAnsi="Times New Roman"/>
          <w:sz w:val="24"/>
        </w:rPr>
        <w:t>(1)</w:t>
      </w:r>
      <w:r w:rsidRPr="00D900FF">
        <w:rPr>
          <w:rFonts w:ascii="Times New Roman" w:hAnsi="Times New Roman"/>
          <w:sz w:val="24"/>
        </w:rPr>
        <w:t xml:space="preserve"> definition of "small contribution", 217D</w:t>
      </w:r>
      <w:r w:rsidR="006B6725" w:rsidRPr="00D900FF">
        <w:rPr>
          <w:rFonts w:ascii="Times New Roman" w:hAnsi="Times New Roman"/>
          <w:sz w:val="24"/>
        </w:rPr>
        <w:t>(</w:t>
      </w:r>
      <w:r w:rsidRPr="00D900FF">
        <w:rPr>
          <w:rFonts w:ascii="Times New Roman" w:hAnsi="Times New Roman"/>
          <w:sz w:val="24"/>
        </w:rPr>
        <w:t>9),</w:t>
      </w:r>
      <w:r w:rsidR="00950250" w:rsidRPr="00D900FF">
        <w:rPr>
          <w:rFonts w:ascii="Times New Roman" w:hAnsi="Times New Roman"/>
          <w:sz w:val="24"/>
        </w:rPr>
        <w:t xml:space="preserve"> 217E(4),</w:t>
      </w:r>
      <w:r w:rsidRPr="00D900FF">
        <w:rPr>
          <w:rFonts w:ascii="Times New Roman" w:hAnsi="Times New Roman"/>
          <w:sz w:val="24"/>
        </w:rPr>
        <w:t xml:space="preserve"> </w:t>
      </w:r>
      <w:r w:rsidR="002C183C" w:rsidRPr="00D900FF">
        <w:rPr>
          <w:rFonts w:ascii="Times New Roman" w:hAnsi="Times New Roman"/>
          <w:sz w:val="24"/>
        </w:rPr>
        <w:t>217Q.</w:t>
      </w:r>
    </w:p>
  </w:footnote>
  <w:footnote w:id="25">
    <w:p w14:paraId="4B31A357" w14:textId="00FBE3EF" w:rsidR="00AF03A8" w:rsidRPr="00D900FF" w:rsidRDefault="00AF03A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217E</w:t>
      </w:r>
      <w:r w:rsidR="00950250" w:rsidRPr="00D900FF">
        <w:rPr>
          <w:rFonts w:ascii="Times New Roman" w:hAnsi="Times New Roman"/>
          <w:sz w:val="24"/>
        </w:rPr>
        <w:t>(1)-(2)</w:t>
      </w:r>
      <w:r w:rsidRPr="00D900FF">
        <w:rPr>
          <w:rFonts w:ascii="Times New Roman" w:hAnsi="Times New Roman"/>
          <w:sz w:val="24"/>
        </w:rPr>
        <w:t>.</w:t>
      </w:r>
    </w:p>
  </w:footnote>
  <w:footnote w:id="26">
    <w:p w14:paraId="4A542A7B" w14:textId="77777777" w:rsidR="00AF03A8" w:rsidRPr="00D900FF" w:rsidRDefault="00AF03A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217D(2).</w:t>
      </w:r>
    </w:p>
  </w:footnote>
  <w:footnote w:id="27">
    <w:p w14:paraId="56F8A6B8" w14:textId="5118E78C" w:rsidR="00846C7C" w:rsidRPr="00D900FF" w:rsidRDefault="00846C7C"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218(5A).</w:t>
      </w:r>
    </w:p>
  </w:footnote>
  <w:footnote w:id="28">
    <w:p w14:paraId="5EC540AE" w14:textId="6249A664" w:rsidR="00334266" w:rsidRPr="00D900FF" w:rsidRDefault="00334266"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217G(1)</w:t>
      </w:r>
      <w:r w:rsidR="00E13513" w:rsidRPr="00D900FF">
        <w:rPr>
          <w:rFonts w:ascii="Times New Roman" w:hAnsi="Times New Roman"/>
          <w:sz w:val="24"/>
        </w:rPr>
        <w:t>.</w:t>
      </w:r>
    </w:p>
  </w:footnote>
  <w:footnote w:id="29">
    <w:p w14:paraId="7DF49519" w14:textId="5BD2CFB2" w:rsidR="000604B9" w:rsidRPr="00D900FF" w:rsidRDefault="000604B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CA22BA" w:rsidRPr="00D900FF">
        <w:rPr>
          <w:rFonts w:ascii="Times New Roman" w:hAnsi="Times New Roman"/>
          <w:sz w:val="24"/>
        </w:rPr>
        <w:t xml:space="preserve">See </w:t>
      </w:r>
      <w:r w:rsidR="00CA22BA" w:rsidRPr="00D900FF">
        <w:rPr>
          <w:rFonts w:ascii="Times New Roman" w:hAnsi="Times New Roman"/>
          <w:i/>
          <w:iCs/>
          <w:sz w:val="24"/>
        </w:rPr>
        <w:t>Electoral Act</w:t>
      </w:r>
      <w:r w:rsidR="00CA22BA" w:rsidRPr="00D900FF">
        <w:rPr>
          <w:rFonts w:ascii="Times New Roman" w:hAnsi="Times New Roman"/>
          <w:sz w:val="24"/>
        </w:rPr>
        <w:t xml:space="preserve">, </w:t>
      </w:r>
      <w:r w:rsidR="00A261CE" w:rsidRPr="00D900FF">
        <w:rPr>
          <w:rFonts w:ascii="Times New Roman" w:hAnsi="Times New Roman"/>
          <w:sz w:val="24"/>
        </w:rPr>
        <w:t xml:space="preserve">Pt 12, </w:t>
      </w:r>
      <w:r w:rsidR="00CA22BA" w:rsidRPr="00D900FF">
        <w:rPr>
          <w:rFonts w:ascii="Times New Roman" w:hAnsi="Times New Roman"/>
          <w:sz w:val="24"/>
        </w:rPr>
        <w:t>Div 1A.</w:t>
      </w:r>
    </w:p>
  </w:footnote>
  <w:footnote w:id="30">
    <w:p w14:paraId="483295EA" w14:textId="1B7DA128" w:rsidR="008164EF" w:rsidRPr="00D900FF" w:rsidRDefault="008164E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002A4B07" w:rsidRPr="00D900FF">
        <w:rPr>
          <w:rFonts w:ascii="Times New Roman" w:hAnsi="Times New Roman"/>
          <w:sz w:val="24"/>
        </w:rPr>
        <w:t>,</w:t>
      </w:r>
      <w:r w:rsidRPr="00D900FF">
        <w:rPr>
          <w:rFonts w:ascii="Times New Roman" w:hAnsi="Times New Roman"/>
          <w:sz w:val="24"/>
        </w:rPr>
        <w:t xml:space="preserve"> s</w:t>
      </w:r>
      <w:r w:rsidR="001A66B3" w:rsidRPr="00D900FF">
        <w:rPr>
          <w:rFonts w:ascii="Times New Roman" w:hAnsi="Times New Roman"/>
          <w:sz w:val="24"/>
        </w:rPr>
        <w:t>s</w:t>
      </w:r>
      <w:r w:rsidRPr="00D900FF">
        <w:rPr>
          <w:rFonts w:ascii="Times New Roman" w:hAnsi="Times New Roman"/>
          <w:sz w:val="24"/>
        </w:rPr>
        <w:t> 206</w:t>
      </w:r>
      <w:r w:rsidR="001A66B3" w:rsidRPr="00D900FF">
        <w:rPr>
          <w:rFonts w:ascii="Times New Roman" w:hAnsi="Times New Roman"/>
          <w:sz w:val="24"/>
        </w:rPr>
        <w:t>(1) definition of "State campaign account"</w:t>
      </w:r>
      <w:r w:rsidRPr="00D900FF">
        <w:rPr>
          <w:rFonts w:ascii="Times New Roman" w:hAnsi="Times New Roman"/>
          <w:sz w:val="24"/>
        </w:rPr>
        <w:t xml:space="preserve"> and 207F. </w:t>
      </w:r>
    </w:p>
  </w:footnote>
  <w:footnote w:id="31">
    <w:p w14:paraId="57AE100B" w14:textId="43FD5981" w:rsidR="008164EF" w:rsidRPr="00D900FF" w:rsidRDefault="008164E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207</w:t>
      </w:r>
      <w:r w:rsidR="00394F14" w:rsidRPr="00D900FF">
        <w:rPr>
          <w:rFonts w:ascii="Times New Roman" w:hAnsi="Times New Roman"/>
          <w:sz w:val="24"/>
        </w:rPr>
        <w:t>F</w:t>
      </w:r>
      <w:r w:rsidRPr="00D900FF">
        <w:rPr>
          <w:rFonts w:ascii="Times New Roman" w:hAnsi="Times New Roman"/>
          <w:sz w:val="24"/>
        </w:rPr>
        <w:t>(1).</w:t>
      </w:r>
    </w:p>
  </w:footnote>
  <w:footnote w:id="32">
    <w:p w14:paraId="5F893921" w14:textId="48C867CE" w:rsidR="008164EF" w:rsidRPr="00D900FF" w:rsidRDefault="008164E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207</w:t>
      </w:r>
      <w:r w:rsidR="00466478" w:rsidRPr="00D900FF">
        <w:rPr>
          <w:rFonts w:ascii="Times New Roman" w:hAnsi="Times New Roman"/>
          <w:sz w:val="24"/>
        </w:rPr>
        <w:t>F</w:t>
      </w:r>
      <w:r w:rsidRPr="00D900FF">
        <w:rPr>
          <w:rFonts w:ascii="Times New Roman" w:hAnsi="Times New Roman"/>
          <w:sz w:val="24"/>
        </w:rPr>
        <w:t>(2).</w:t>
      </w:r>
    </w:p>
  </w:footnote>
  <w:footnote w:id="33">
    <w:p w14:paraId="3826E0DD" w14:textId="27CE77B9" w:rsidR="006E3C01" w:rsidRPr="00D900FF" w:rsidRDefault="006E3C01"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212(4A).</w:t>
      </w:r>
    </w:p>
  </w:footnote>
  <w:footnote w:id="34">
    <w:p w14:paraId="1ED281EE" w14:textId="6584655F" w:rsidR="00B026F9" w:rsidRPr="00D900FF" w:rsidRDefault="00B026F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207F(3).</w:t>
      </w:r>
    </w:p>
  </w:footnote>
  <w:footnote w:id="35">
    <w:p w14:paraId="579758CA" w14:textId="2A5CA1DB" w:rsidR="00BB3405" w:rsidRPr="00D900FF" w:rsidRDefault="00BB34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207F(</w:t>
      </w:r>
      <w:r w:rsidR="00083362" w:rsidRPr="00D900FF">
        <w:rPr>
          <w:rFonts w:ascii="Times New Roman" w:hAnsi="Times New Roman"/>
          <w:sz w:val="24"/>
        </w:rPr>
        <w:t>4</w:t>
      </w:r>
      <w:r w:rsidRPr="00D900FF">
        <w:rPr>
          <w:rFonts w:ascii="Times New Roman" w:hAnsi="Times New Roman"/>
          <w:sz w:val="24"/>
        </w:rPr>
        <w:t>)</w:t>
      </w:r>
      <w:r w:rsidR="00083362" w:rsidRPr="00D900FF">
        <w:rPr>
          <w:rFonts w:ascii="Times New Roman" w:hAnsi="Times New Roman"/>
          <w:sz w:val="24"/>
        </w:rPr>
        <w:t>-(5)</w:t>
      </w:r>
      <w:r w:rsidR="007D291D" w:rsidRPr="00D900FF">
        <w:rPr>
          <w:rFonts w:ascii="Times New Roman" w:hAnsi="Times New Roman"/>
          <w:sz w:val="24"/>
        </w:rPr>
        <w:t xml:space="preserve">, being amounts that correspond to the </w:t>
      </w:r>
      <w:r w:rsidR="0064171D" w:rsidRPr="00D900FF">
        <w:rPr>
          <w:rFonts w:ascii="Times New Roman" w:hAnsi="Times New Roman"/>
          <w:sz w:val="24"/>
        </w:rPr>
        <w:t xml:space="preserve">exceptions </w:t>
      </w:r>
      <w:r w:rsidR="007D291D" w:rsidRPr="00D900FF">
        <w:rPr>
          <w:rFonts w:ascii="Times New Roman" w:hAnsi="Times New Roman"/>
          <w:sz w:val="24"/>
        </w:rPr>
        <w:t>in par</w:t>
      </w:r>
      <w:r w:rsidR="004E2AE1" w:rsidRPr="00D900FF">
        <w:rPr>
          <w:rFonts w:ascii="Times New Roman" w:hAnsi="Times New Roman"/>
          <w:sz w:val="24"/>
        </w:rPr>
        <w:t>a</w:t>
      </w:r>
      <w:r w:rsidR="007D291D" w:rsidRPr="00D900FF">
        <w:rPr>
          <w:rFonts w:ascii="Times New Roman" w:hAnsi="Times New Roman"/>
          <w:sz w:val="24"/>
        </w:rPr>
        <w:t>s</w:t>
      </w:r>
      <w:r w:rsidR="00743A1E" w:rsidRPr="00D900FF">
        <w:rPr>
          <w:rFonts w:ascii="Times New Roman" w:hAnsi="Times New Roman"/>
          <w:sz w:val="24"/>
        </w:rPr>
        <w:t xml:space="preserve"> (g)</w:t>
      </w:r>
      <w:r w:rsidR="00FC51B2" w:rsidRPr="00D900FF">
        <w:rPr>
          <w:rFonts w:ascii="Times New Roman" w:hAnsi="Times New Roman"/>
          <w:sz w:val="24"/>
        </w:rPr>
        <w:t>-</w:t>
      </w:r>
      <w:r w:rsidR="00743A1E" w:rsidRPr="00D900FF">
        <w:rPr>
          <w:rFonts w:ascii="Times New Roman" w:hAnsi="Times New Roman"/>
          <w:sz w:val="24"/>
        </w:rPr>
        <w:t>(i</w:t>
      </w:r>
      <w:r w:rsidR="00965193" w:rsidRPr="00D900FF">
        <w:rPr>
          <w:rFonts w:ascii="Times New Roman" w:hAnsi="Times New Roman"/>
          <w:sz w:val="24"/>
        </w:rPr>
        <w:t>) of the definition of "gift" in s 206</w:t>
      </w:r>
      <w:r w:rsidR="00A058DC" w:rsidRPr="00D900FF">
        <w:rPr>
          <w:rFonts w:ascii="Times New Roman" w:hAnsi="Times New Roman"/>
          <w:sz w:val="24"/>
        </w:rPr>
        <w:t>(1)</w:t>
      </w:r>
      <w:r w:rsidRPr="00D900FF">
        <w:rPr>
          <w:rFonts w:ascii="Times New Roman" w:hAnsi="Times New Roman"/>
          <w:sz w:val="24"/>
        </w:rPr>
        <w:t>.</w:t>
      </w:r>
    </w:p>
  </w:footnote>
  <w:footnote w:id="36">
    <w:p w14:paraId="6EFF6685" w14:textId="08ADDA10" w:rsidR="008164EF" w:rsidRPr="00D900FF" w:rsidRDefault="008164E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207</w:t>
      </w:r>
      <w:r w:rsidR="00306E81" w:rsidRPr="00D900FF">
        <w:rPr>
          <w:rFonts w:ascii="Times New Roman" w:hAnsi="Times New Roman"/>
          <w:sz w:val="24"/>
        </w:rPr>
        <w:t>F</w:t>
      </w:r>
      <w:r w:rsidRPr="00D900FF">
        <w:rPr>
          <w:rFonts w:ascii="Times New Roman" w:hAnsi="Times New Roman"/>
          <w:sz w:val="24"/>
        </w:rPr>
        <w:t>(6).</w:t>
      </w:r>
    </w:p>
  </w:footnote>
  <w:footnote w:id="37">
    <w:p w14:paraId="400299DC" w14:textId="3EBA234E" w:rsidR="004E7E64" w:rsidRPr="00D900FF" w:rsidRDefault="004E7E64"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206(1) definition of "political expenditure"</w:t>
      </w:r>
      <w:r w:rsidR="00D972A0" w:rsidRPr="00D900FF">
        <w:rPr>
          <w:rFonts w:ascii="Times New Roman" w:hAnsi="Times New Roman"/>
          <w:sz w:val="24"/>
        </w:rPr>
        <w:t>.</w:t>
      </w:r>
    </w:p>
  </w:footnote>
  <w:footnote w:id="38">
    <w:p w14:paraId="0E47B95C" w14:textId="6A6B038F" w:rsidR="003D12B5" w:rsidRPr="00D900FF" w:rsidRDefault="003D12B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216</w:t>
      </w:r>
      <w:r w:rsidR="0034143E" w:rsidRPr="00D900FF">
        <w:rPr>
          <w:rFonts w:ascii="Times New Roman" w:hAnsi="Times New Roman"/>
          <w:sz w:val="24"/>
        </w:rPr>
        <w:t>(1)</w:t>
      </w:r>
      <w:r w:rsidR="00F20A4C" w:rsidRPr="00D900FF">
        <w:rPr>
          <w:rFonts w:ascii="Times New Roman" w:hAnsi="Times New Roman"/>
          <w:sz w:val="24"/>
        </w:rPr>
        <w:t xml:space="preserve"> and</w:t>
      </w:r>
      <w:r w:rsidR="0034143E" w:rsidRPr="00D900FF">
        <w:rPr>
          <w:rFonts w:ascii="Times New Roman" w:hAnsi="Times New Roman"/>
          <w:sz w:val="24"/>
        </w:rPr>
        <w:t xml:space="preserve"> (4)</w:t>
      </w:r>
      <w:r w:rsidRPr="00D900FF">
        <w:rPr>
          <w:rFonts w:ascii="Times New Roman" w:hAnsi="Times New Roman"/>
          <w:sz w:val="24"/>
        </w:rPr>
        <w:t>.</w:t>
      </w:r>
    </w:p>
  </w:footnote>
  <w:footnote w:id="39">
    <w:p w14:paraId="57BD0400" w14:textId="435C5317" w:rsidR="00FB0834" w:rsidRPr="00D900FF" w:rsidRDefault="00FB0834"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217.</w:t>
      </w:r>
    </w:p>
  </w:footnote>
  <w:footnote w:id="40">
    <w:p w14:paraId="5BF0202B" w14:textId="343427DD" w:rsidR="005E3324" w:rsidRPr="00D900FF" w:rsidRDefault="005E3324"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ss 211(3), 212(3)-(4).</w:t>
      </w:r>
    </w:p>
  </w:footnote>
  <w:footnote w:id="41">
    <w:p w14:paraId="598EE483" w14:textId="75A666C0" w:rsidR="002279AD" w:rsidRPr="00D900FF" w:rsidRDefault="002279A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xml:space="preserve">, s 211(2)-(2A). </w:t>
      </w:r>
    </w:p>
  </w:footnote>
  <w:footnote w:id="42">
    <w:p w14:paraId="1C1509C2" w14:textId="47B20103" w:rsidR="00FB1B3D" w:rsidRPr="00D900FF" w:rsidRDefault="00FB1B3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212A</w:t>
      </w:r>
      <w:r w:rsidR="00D42DBA" w:rsidRPr="00D900FF">
        <w:rPr>
          <w:rFonts w:ascii="Times New Roman" w:hAnsi="Times New Roman"/>
          <w:sz w:val="24"/>
        </w:rPr>
        <w:t>(1)-(2), (7)</w:t>
      </w:r>
      <w:r w:rsidRPr="00D900FF">
        <w:rPr>
          <w:rFonts w:ascii="Times New Roman" w:hAnsi="Times New Roman"/>
          <w:sz w:val="24"/>
        </w:rPr>
        <w:t xml:space="preserve">. </w:t>
      </w:r>
    </w:p>
  </w:footnote>
  <w:footnote w:id="43">
    <w:p w14:paraId="605ECB9B" w14:textId="770AB22B" w:rsidR="006F28B6" w:rsidRPr="00D900FF" w:rsidRDefault="006F28B6"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222F</w:t>
      </w:r>
      <w:r w:rsidR="008968D4" w:rsidRPr="00D900FF">
        <w:rPr>
          <w:rFonts w:ascii="Times New Roman" w:hAnsi="Times New Roman"/>
          <w:sz w:val="24"/>
        </w:rPr>
        <w:t>(4)(a)</w:t>
      </w:r>
      <w:r w:rsidR="00635AA0" w:rsidRPr="00D900FF">
        <w:rPr>
          <w:rFonts w:ascii="Times New Roman" w:hAnsi="Times New Roman"/>
          <w:sz w:val="24"/>
        </w:rPr>
        <w:t xml:space="preserve"> and</w:t>
      </w:r>
      <w:r w:rsidR="008968D4" w:rsidRPr="00D900FF">
        <w:rPr>
          <w:rFonts w:ascii="Times New Roman" w:hAnsi="Times New Roman"/>
          <w:sz w:val="24"/>
        </w:rPr>
        <w:t xml:space="preserve"> (c).</w:t>
      </w:r>
    </w:p>
  </w:footnote>
  <w:footnote w:id="44">
    <w:p w14:paraId="5CB6A056" w14:textId="27B37091" w:rsidR="005F70AF" w:rsidRPr="00D900FF" w:rsidRDefault="005F70A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222F(4)(b).</w:t>
      </w:r>
    </w:p>
  </w:footnote>
  <w:footnote w:id="45">
    <w:p w14:paraId="55A34A3C" w14:textId="6EC807CF" w:rsidR="00CB27D4" w:rsidRPr="00D900FF" w:rsidRDefault="00CB27D4"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206(1) definition of "associated entity".</w:t>
      </w:r>
    </w:p>
  </w:footnote>
  <w:footnote w:id="46">
    <w:p w14:paraId="17E0889F" w14:textId="105F81D4" w:rsidR="00786690" w:rsidRPr="00D900FF" w:rsidRDefault="00786690"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Whether or not those same entities might also have satisfied the eligibility criteria in s 222F(2)</w:t>
      </w:r>
      <w:r w:rsidR="009D3C71" w:rsidRPr="00D900FF">
        <w:rPr>
          <w:rFonts w:ascii="Times New Roman" w:hAnsi="Times New Roman"/>
          <w:sz w:val="24"/>
        </w:rPr>
        <w:t>: see also [</w:t>
      </w:r>
      <w:r w:rsidR="00EA52FD" w:rsidRPr="00D900FF">
        <w:rPr>
          <w:rFonts w:ascii="Times New Roman" w:hAnsi="Times New Roman"/>
          <w:sz w:val="24"/>
        </w:rPr>
        <w:t>3</w:t>
      </w:r>
      <w:r w:rsidR="002F7B24" w:rsidRPr="00D900FF">
        <w:rPr>
          <w:rFonts w:ascii="Times New Roman" w:hAnsi="Times New Roman"/>
          <w:sz w:val="24"/>
        </w:rPr>
        <w:t>9</w:t>
      </w:r>
      <w:r w:rsidR="009D3C71" w:rsidRPr="00D900FF">
        <w:rPr>
          <w:rFonts w:ascii="Times New Roman" w:hAnsi="Times New Roman"/>
          <w:sz w:val="24"/>
        </w:rPr>
        <w:t>] below.</w:t>
      </w:r>
    </w:p>
  </w:footnote>
  <w:footnote w:id="47">
    <w:p w14:paraId="414CA694" w14:textId="55004F0D" w:rsidR="00216D49" w:rsidRPr="00D900FF" w:rsidRDefault="00216D4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EB4C60" w:rsidRPr="00D900FF">
        <w:rPr>
          <w:rFonts w:ascii="Times New Roman" w:hAnsi="Times New Roman"/>
          <w:sz w:val="24"/>
        </w:rPr>
        <w:t>A</w:t>
      </w:r>
      <w:r w:rsidR="00FB28D0" w:rsidRPr="00D900FF">
        <w:rPr>
          <w:rFonts w:ascii="Times New Roman" w:hAnsi="Times New Roman"/>
          <w:sz w:val="24"/>
        </w:rPr>
        <w:t>mounts received</w:t>
      </w:r>
      <w:r w:rsidR="00EB4C60" w:rsidRPr="00D900FF">
        <w:rPr>
          <w:rFonts w:ascii="Times New Roman" w:hAnsi="Times New Roman"/>
          <w:sz w:val="24"/>
        </w:rPr>
        <w:t xml:space="preserve"> by the Liberal Party of Australia (Victorian Division) </w:t>
      </w:r>
      <w:r w:rsidR="00FB28D0" w:rsidRPr="00D900FF">
        <w:rPr>
          <w:rFonts w:ascii="Times New Roman" w:hAnsi="Times New Roman"/>
          <w:sz w:val="24"/>
        </w:rPr>
        <w:t>from the</w:t>
      </w:r>
      <w:r w:rsidR="006464E7">
        <w:rPr>
          <w:rFonts w:ascii="Times New Roman" w:hAnsi="Times New Roman"/>
          <w:sz w:val="24"/>
        </w:rPr>
        <w:t> </w:t>
      </w:r>
      <w:r w:rsidR="00FB28D0" w:rsidRPr="00D900FF">
        <w:rPr>
          <w:rFonts w:ascii="Times New Roman" w:hAnsi="Times New Roman"/>
          <w:sz w:val="24"/>
        </w:rPr>
        <w:t xml:space="preserve">Cormack Foundation </w:t>
      </w:r>
      <w:r w:rsidR="00EB4C60" w:rsidRPr="00D900FF">
        <w:rPr>
          <w:rFonts w:ascii="Times New Roman" w:hAnsi="Times New Roman"/>
          <w:sz w:val="24"/>
        </w:rPr>
        <w:t>were described as</w:t>
      </w:r>
      <w:r w:rsidR="00FB28D0" w:rsidRPr="00D900FF">
        <w:rPr>
          <w:rFonts w:ascii="Times New Roman" w:hAnsi="Times New Roman"/>
          <w:sz w:val="24"/>
        </w:rPr>
        <w:t xml:space="preserve"> donations in annual returns submitted to the Australian Electoral Commission.</w:t>
      </w:r>
    </w:p>
  </w:footnote>
  <w:footnote w:id="48">
    <w:p w14:paraId="53C73A7A" w14:textId="7D835007" w:rsidR="0083254B" w:rsidRPr="00D900FF" w:rsidRDefault="0083254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also </w:t>
      </w:r>
      <w:r w:rsidRPr="00D900FF">
        <w:rPr>
          <w:rFonts w:ascii="Times New Roman" w:hAnsi="Times New Roman"/>
          <w:i/>
          <w:iCs/>
          <w:sz w:val="24"/>
        </w:rPr>
        <w:t>Alston v Cormack Foundation Pty Ltd</w:t>
      </w:r>
      <w:r w:rsidRPr="00D900FF">
        <w:rPr>
          <w:rFonts w:ascii="Times New Roman" w:hAnsi="Times New Roman"/>
          <w:sz w:val="24"/>
        </w:rPr>
        <w:t xml:space="preserve"> (2018) 358 ALR 263.</w:t>
      </w:r>
    </w:p>
  </w:footnote>
  <w:footnote w:id="49">
    <w:p w14:paraId="324C4E06" w14:textId="49A099A1" w:rsidR="00263D9B" w:rsidRPr="00D900FF" w:rsidRDefault="00263D9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w:t>
      </w:r>
      <w:r w:rsidR="003B1349" w:rsidRPr="00D900FF">
        <w:rPr>
          <w:rFonts w:ascii="Times New Roman" w:hAnsi="Times New Roman"/>
          <w:sz w:val="24"/>
        </w:rPr>
        <w:t>eg</w:t>
      </w:r>
      <w:r w:rsidRPr="00D900FF">
        <w:rPr>
          <w:rFonts w:ascii="Times New Roman" w:hAnsi="Times New Roman"/>
          <w:sz w:val="24"/>
        </w:rPr>
        <w:t xml:space="preserve">, </w:t>
      </w:r>
      <w:r w:rsidRPr="00D900FF">
        <w:rPr>
          <w:rFonts w:ascii="Times New Roman" w:hAnsi="Times New Roman"/>
          <w:i/>
          <w:sz w:val="24"/>
        </w:rPr>
        <w:t xml:space="preserve">Babet v </w:t>
      </w:r>
      <w:r w:rsidR="003A5393" w:rsidRPr="00D900FF">
        <w:rPr>
          <w:rFonts w:ascii="Times New Roman" w:hAnsi="Times New Roman"/>
          <w:i/>
          <w:sz w:val="24"/>
        </w:rPr>
        <w:t xml:space="preserve">The </w:t>
      </w:r>
      <w:r w:rsidRPr="00D900FF">
        <w:rPr>
          <w:rFonts w:ascii="Times New Roman" w:hAnsi="Times New Roman"/>
          <w:i/>
          <w:sz w:val="24"/>
        </w:rPr>
        <w:t xml:space="preserve">Commonwealth </w:t>
      </w:r>
      <w:r w:rsidRPr="00D900FF">
        <w:rPr>
          <w:rFonts w:ascii="Times New Roman" w:hAnsi="Times New Roman"/>
          <w:sz w:val="24"/>
        </w:rPr>
        <w:t>(2025) 99 ALJR 883 at 895 [38], 900-901 [72], 922 [173], 931 [219], 932 [224]</w:t>
      </w:r>
      <w:r w:rsidR="00F10ADE" w:rsidRPr="00D900FF">
        <w:rPr>
          <w:rFonts w:ascii="Times New Roman" w:hAnsi="Times New Roman"/>
          <w:sz w:val="24"/>
        </w:rPr>
        <w:t xml:space="preserve">; 423 ALR 83 at </w:t>
      </w:r>
      <w:r w:rsidR="00352656" w:rsidRPr="00D900FF">
        <w:rPr>
          <w:rFonts w:ascii="Times New Roman" w:hAnsi="Times New Roman"/>
          <w:sz w:val="24"/>
        </w:rPr>
        <w:t xml:space="preserve">95, 102, 130, 143, </w:t>
      </w:r>
      <w:r w:rsidR="003D671A" w:rsidRPr="00D900FF">
        <w:rPr>
          <w:rFonts w:ascii="Times New Roman" w:hAnsi="Times New Roman"/>
          <w:sz w:val="24"/>
        </w:rPr>
        <w:t>144</w:t>
      </w:r>
      <w:r w:rsidRPr="00D900FF">
        <w:rPr>
          <w:rFonts w:ascii="Times New Roman" w:hAnsi="Times New Roman"/>
          <w:sz w:val="24"/>
        </w:rPr>
        <w:t xml:space="preserve">; </w:t>
      </w:r>
      <w:r w:rsidRPr="00D900FF">
        <w:rPr>
          <w:rFonts w:ascii="Times New Roman" w:hAnsi="Times New Roman"/>
          <w:i/>
          <w:sz w:val="24"/>
        </w:rPr>
        <w:t>Ravbar</w:t>
      </w:r>
      <w:r w:rsidR="00090B0C" w:rsidRPr="00D900FF">
        <w:rPr>
          <w:rFonts w:ascii="Times New Roman" w:hAnsi="Times New Roman"/>
          <w:i/>
          <w:sz w:val="24"/>
        </w:rPr>
        <w:t xml:space="preserve"> v </w:t>
      </w:r>
      <w:r w:rsidR="003A5393" w:rsidRPr="00D900FF">
        <w:rPr>
          <w:rFonts w:ascii="Times New Roman" w:hAnsi="Times New Roman"/>
          <w:i/>
          <w:sz w:val="24"/>
        </w:rPr>
        <w:t xml:space="preserve">The </w:t>
      </w:r>
      <w:r w:rsidR="00090B0C" w:rsidRPr="00D900FF">
        <w:rPr>
          <w:rFonts w:ascii="Times New Roman" w:hAnsi="Times New Roman"/>
          <w:i/>
          <w:sz w:val="24"/>
        </w:rPr>
        <w:t>Commonwealth</w:t>
      </w:r>
      <w:r w:rsidRPr="00D900FF">
        <w:rPr>
          <w:rFonts w:ascii="Times New Roman" w:hAnsi="Times New Roman"/>
          <w:i/>
          <w:sz w:val="24"/>
        </w:rPr>
        <w:t xml:space="preserve"> </w:t>
      </w:r>
      <w:r w:rsidRPr="00D900FF">
        <w:rPr>
          <w:rFonts w:ascii="Times New Roman" w:hAnsi="Times New Roman"/>
          <w:sz w:val="24"/>
        </w:rPr>
        <w:t>(2025) 99 ALJR 1000 at 1017 [27], 1031 [101], 1053 [212], 1097 [425]</w:t>
      </w:r>
      <w:r w:rsidR="00BE5F3E" w:rsidRPr="00D900FF">
        <w:rPr>
          <w:rFonts w:ascii="Times New Roman" w:hAnsi="Times New Roman"/>
          <w:sz w:val="24"/>
        </w:rPr>
        <w:t xml:space="preserve">; 423 ALR 241 at </w:t>
      </w:r>
      <w:r w:rsidR="00F1377E" w:rsidRPr="00D900FF">
        <w:rPr>
          <w:rFonts w:ascii="Times New Roman" w:hAnsi="Times New Roman"/>
          <w:sz w:val="24"/>
        </w:rPr>
        <w:t xml:space="preserve">254-255, 273, 304, </w:t>
      </w:r>
      <w:r w:rsidR="004B2055" w:rsidRPr="00D900FF">
        <w:rPr>
          <w:rFonts w:ascii="Times New Roman" w:hAnsi="Times New Roman"/>
          <w:sz w:val="24"/>
        </w:rPr>
        <w:t>364</w:t>
      </w:r>
      <w:r w:rsidRPr="00D900FF">
        <w:rPr>
          <w:rFonts w:ascii="Times New Roman" w:hAnsi="Times New Roman"/>
          <w:sz w:val="24"/>
        </w:rPr>
        <w:t xml:space="preserve">; </w:t>
      </w:r>
      <w:r w:rsidRPr="00D900FF">
        <w:rPr>
          <w:rFonts w:ascii="Times New Roman" w:hAnsi="Times New Roman"/>
          <w:i/>
          <w:sz w:val="24"/>
        </w:rPr>
        <w:t xml:space="preserve">Farmer </w:t>
      </w:r>
      <w:r w:rsidR="003A5393" w:rsidRPr="00D900FF">
        <w:rPr>
          <w:rFonts w:ascii="Times New Roman" w:hAnsi="Times New Roman"/>
          <w:i/>
          <w:sz w:val="24"/>
        </w:rPr>
        <w:t xml:space="preserve">v Minister for Home Affairs </w:t>
      </w:r>
      <w:r w:rsidR="00B26E6D" w:rsidRPr="00D900FF">
        <w:rPr>
          <w:rFonts w:ascii="Times New Roman" w:hAnsi="Times New Roman"/>
          <w:sz w:val="24"/>
        </w:rPr>
        <w:t>(2025) 99 ALJR 1408</w:t>
      </w:r>
      <w:r w:rsidRPr="00D900FF">
        <w:rPr>
          <w:rFonts w:ascii="Times New Roman" w:hAnsi="Times New Roman"/>
          <w:sz w:val="24"/>
        </w:rPr>
        <w:t xml:space="preserve"> at </w:t>
      </w:r>
      <w:r w:rsidR="00B26E6D" w:rsidRPr="00D900FF">
        <w:rPr>
          <w:rFonts w:ascii="Times New Roman" w:hAnsi="Times New Roman"/>
          <w:sz w:val="24"/>
        </w:rPr>
        <w:t xml:space="preserve">1421 </w:t>
      </w:r>
      <w:r w:rsidRPr="00D900FF">
        <w:rPr>
          <w:rFonts w:ascii="Times New Roman" w:hAnsi="Times New Roman"/>
          <w:sz w:val="24"/>
        </w:rPr>
        <w:t>[39]</w:t>
      </w:r>
      <w:r w:rsidR="00E97209" w:rsidRPr="00D900FF">
        <w:rPr>
          <w:rFonts w:ascii="Times New Roman" w:hAnsi="Times New Roman"/>
          <w:sz w:val="24"/>
        </w:rPr>
        <w:t xml:space="preserve">; </w:t>
      </w:r>
      <w:r w:rsidR="005A7C22" w:rsidRPr="00D900FF">
        <w:rPr>
          <w:rFonts w:ascii="Times New Roman" w:hAnsi="Times New Roman"/>
          <w:sz w:val="24"/>
        </w:rPr>
        <w:t>425 ALR 116 at 128-129</w:t>
      </w:r>
      <w:r w:rsidRPr="00D900FF">
        <w:rPr>
          <w:rFonts w:ascii="Times New Roman" w:hAnsi="Times New Roman"/>
          <w:sz w:val="24"/>
        </w:rPr>
        <w:t>.</w:t>
      </w:r>
    </w:p>
  </w:footnote>
  <w:footnote w:id="50">
    <w:p w14:paraId="497F45D1" w14:textId="357099B5" w:rsidR="005A7D9C" w:rsidRPr="00D900FF" w:rsidRDefault="005A7D9C"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rPr>
        <w:t>Farm Transparency International Ltd v New South Wales</w:t>
      </w:r>
      <w:r w:rsidRPr="00D900FF">
        <w:rPr>
          <w:rFonts w:ascii="Times New Roman" w:hAnsi="Times New Roman"/>
          <w:sz w:val="24"/>
        </w:rPr>
        <w:t xml:space="preserve"> (2022) 277 CLR 537 at 588 [156], quoting </w:t>
      </w:r>
      <w:r w:rsidRPr="00D900FF">
        <w:rPr>
          <w:rFonts w:ascii="Times New Roman" w:hAnsi="Times New Roman"/>
          <w:i/>
          <w:sz w:val="24"/>
        </w:rPr>
        <w:t>Tajjour</w:t>
      </w:r>
      <w:r w:rsidR="00A75D86" w:rsidRPr="00D900FF">
        <w:rPr>
          <w:rFonts w:ascii="Times New Roman" w:hAnsi="Times New Roman"/>
          <w:i/>
          <w:sz w:val="24"/>
        </w:rPr>
        <w:t xml:space="preserve"> v New South Wales</w:t>
      </w:r>
      <w:r w:rsidRPr="00D900FF">
        <w:rPr>
          <w:rFonts w:ascii="Times New Roman" w:hAnsi="Times New Roman"/>
          <w:i/>
          <w:sz w:val="24"/>
        </w:rPr>
        <w:t xml:space="preserve"> </w:t>
      </w:r>
      <w:r w:rsidRPr="00D900FF">
        <w:rPr>
          <w:rFonts w:ascii="Times New Roman" w:hAnsi="Times New Roman"/>
          <w:sz w:val="24"/>
        </w:rPr>
        <w:t>(2014) 254 CLR 508 at 579 [147].</w:t>
      </w:r>
    </w:p>
  </w:footnote>
  <w:footnote w:id="51">
    <w:p w14:paraId="36CA85DB" w14:textId="3415B5A6" w:rsidR="00B67229" w:rsidRPr="00D900FF" w:rsidRDefault="00B6722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See [12] above.</w:t>
      </w:r>
    </w:p>
  </w:footnote>
  <w:footnote w:id="52">
    <w:p w14:paraId="6D01050E" w14:textId="15CB8F83" w:rsidR="0011437D" w:rsidRPr="00D900FF" w:rsidRDefault="0011437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021272" w:rsidRPr="00D900FF">
        <w:rPr>
          <w:rFonts w:ascii="Times New Roman" w:hAnsi="Times New Roman"/>
          <w:sz w:val="24"/>
        </w:rPr>
        <w:t>See [1</w:t>
      </w:r>
      <w:r w:rsidR="00554BF5" w:rsidRPr="00D900FF">
        <w:rPr>
          <w:rFonts w:ascii="Times New Roman" w:hAnsi="Times New Roman"/>
          <w:sz w:val="24"/>
        </w:rPr>
        <w:t>3</w:t>
      </w:r>
      <w:r w:rsidR="00021272" w:rsidRPr="00D900FF">
        <w:rPr>
          <w:rFonts w:ascii="Times New Roman" w:hAnsi="Times New Roman"/>
          <w:sz w:val="24"/>
        </w:rPr>
        <w:t>] above.</w:t>
      </w:r>
    </w:p>
  </w:footnote>
  <w:footnote w:id="53">
    <w:p w14:paraId="2F5EAAB6" w14:textId="6B22136C" w:rsidR="00171255" w:rsidRPr="00D900FF" w:rsidRDefault="0017125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rPr>
        <w:t xml:space="preserve">Unions </w:t>
      </w:r>
      <w:r w:rsidR="00CB2C20" w:rsidRPr="00D900FF">
        <w:rPr>
          <w:rFonts w:ascii="Times New Roman" w:hAnsi="Times New Roman"/>
          <w:i/>
          <w:sz w:val="24"/>
        </w:rPr>
        <w:t xml:space="preserve">NSW </w:t>
      </w:r>
      <w:r w:rsidR="008567C6" w:rsidRPr="00D900FF">
        <w:rPr>
          <w:rFonts w:ascii="Times New Roman" w:hAnsi="Times New Roman"/>
          <w:i/>
          <w:sz w:val="24"/>
        </w:rPr>
        <w:t>[No 1]</w:t>
      </w:r>
      <w:r w:rsidRPr="00D900FF">
        <w:rPr>
          <w:rFonts w:ascii="Times New Roman" w:hAnsi="Times New Roman"/>
          <w:i/>
          <w:sz w:val="24"/>
        </w:rPr>
        <w:t xml:space="preserve"> </w:t>
      </w:r>
      <w:r w:rsidRPr="00D900FF">
        <w:rPr>
          <w:rFonts w:ascii="Times New Roman" w:hAnsi="Times New Roman"/>
          <w:sz w:val="24"/>
        </w:rPr>
        <w:t>(2013) 252 CLR 530 at 554 [38]</w:t>
      </w:r>
      <w:r w:rsidR="00DB4C9B" w:rsidRPr="00D900FF">
        <w:rPr>
          <w:rFonts w:ascii="Times New Roman" w:hAnsi="Times New Roman"/>
          <w:sz w:val="24"/>
        </w:rPr>
        <w:t>. See also</w:t>
      </w:r>
      <w:r w:rsidRPr="00D900FF">
        <w:rPr>
          <w:rFonts w:ascii="Times New Roman" w:hAnsi="Times New Roman"/>
          <w:sz w:val="24"/>
        </w:rPr>
        <w:t xml:space="preserve"> </w:t>
      </w:r>
      <w:r w:rsidRPr="00D900FF">
        <w:rPr>
          <w:rFonts w:ascii="Times New Roman" w:hAnsi="Times New Roman"/>
          <w:i/>
          <w:sz w:val="24"/>
        </w:rPr>
        <w:t>McCloy</w:t>
      </w:r>
      <w:r w:rsidRPr="00D900FF">
        <w:rPr>
          <w:rFonts w:ascii="Times New Roman" w:hAnsi="Times New Roman"/>
          <w:sz w:val="24"/>
        </w:rPr>
        <w:t xml:space="preserve"> (2015) 257 CLR 178 at 201 [24]</w:t>
      </w:r>
      <w:r w:rsidR="008849A3" w:rsidRPr="00D900FF">
        <w:rPr>
          <w:rFonts w:ascii="Times New Roman" w:hAnsi="Times New Roman"/>
          <w:sz w:val="24"/>
        </w:rPr>
        <w:t>, 221 [93]</w:t>
      </w:r>
      <w:r w:rsidRPr="00D900FF">
        <w:rPr>
          <w:rFonts w:ascii="Times New Roman" w:hAnsi="Times New Roman"/>
          <w:sz w:val="24"/>
        </w:rPr>
        <w:t xml:space="preserve">. </w:t>
      </w:r>
    </w:p>
  </w:footnote>
  <w:footnote w:id="54">
    <w:p w14:paraId="06FDEC53" w14:textId="2D6FD48A" w:rsidR="00537F99" w:rsidRPr="00D900FF" w:rsidRDefault="00537F9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rPr>
        <w:t>Unions</w:t>
      </w:r>
      <w:r w:rsidR="005378D6" w:rsidRPr="00D900FF">
        <w:rPr>
          <w:rFonts w:ascii="Times New Roman" w:hAnsi="Times New Roman"/>
          <w:i/>
          <w:sz w:val="24"/>
        </w:rPr>
        <w:t xml:space="preserve"> NSW</w:t>
      </w:r>
      <w:r w:rsidRPr="00D900FF">
        <w:rPr>
          <w:rFonts w:ascii="Times New Roman" w:hAnsi="Times New Roman"/>
          <w:i/>
          <w:sz w:val="24"/>
        </w:rPr>
        <w:t xml:space="preserve"> [No 1]</w:t>
      </w:r>
      <w:r w:rsidRPr="00D900FF" w:rsidDel="008567C6">
        <w:rPr>
          <w:rFonts w:ascii="Times New Roman" w:hAnsi="Times New Roman"/>
          <w:i/>
          <w:sz w:val="24"/>
        </w:rPr>
        <w:t xml:space="preserve"> </w:t>
      </w:r>
      <w:r w:rsidRPr="00D900FF">
        <w:rPr>
          <w:rFonts w:ascii="Times New Roman" w:hAnsi="Times New Roman"/>
          <w:sz w:val="24"/>
        </w:rPr>
        <w:t xml:space="preserve">(2013) 252 CLR 530 at 554 [38]; </w:t>
      </w:r>
      <w:r w:rsidRPr="00D900FF">
        <w:rPr>
          <w:rFonts w:ascii="Times New Roman" w:hAnsi="Times New Roman"/>
          <w:i/>
          <w:sz w:val="24"/>
        </w:rPr>
        <w:t>McCloy</w:t>
      </w:r>
      <w:r w:rsidRPr="00D900FF">
        <w:rPr>
          <w:rFonts w:ascii="Times New Roman" w:hAnsi="Times New Roman"/>
          <w:sz w:val="24"/>
        </w:rPr>
        <w:t xml:space="preserve"> (2015) 257 CLR 178 at 221 [93].</w:t>
      </w:r>
    </w:p>
  </w:footnote>
  <w:footnote w:id="55">
    <w:p w14:paraId="1F3A5089" w14:textId="389EB766" w:rsidR="000B2170" w:rsidRPr="00D900FF" w:rsidRDefault="000B2170"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cf </w:t>
      </w:r>
      <w:r w:rsidRPr="00D900FF">
        <w:rPr>
          <w:rFonts w:ascii="Times New Roman" w:hAnsi="Times New Roman"/>
          <w:i/>
          <w:sz w:val="24"/>
        </w:rPr>
        <w:t>Farm Transparency</w:t>
      </w:r>
      <w:r w:rsidRPr="00D900FF">
        <w:rPr>
          <w:rFonts w:ascii="Times New Roman" w:hAnsi="Times New Roman"/>
          <w:sz w:val="24"/>
        </w:rPr>
        <w:t xml:space="preserve"> (2022) 277 CLR 537 at 588 [157].</w:t>
      </w:r>
    </w:p>
  </w:footnote>
  <w:footnote w:id="56">
    <w:p w14:paraId="1B306972" w14:textId="7C85EEB5" w:rsidR="000B2170" w:rsidRPr="00D900FF" w:rsidRDefault="000B2170"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rPr>
        <w:t>McCloy</w:t>
      </w:r>
      <w:r w:rsidRPr="00D900FF">
        <w:rPr>
          <w:rFonts w:ascii="Times New Roman" w:hAnsi="Times New Roman"/>
          <w:sz w:val="24"/>
        </w:rPr>
        <w:t xml:space="preserve"> (2015) 257 CLR 178 at 201 [25], 241 [162]</w:t>
      </w:r>
      <w:r w:rsidR="00CF5020" w:rsidRPr="00D900FF">
        <w:rPr>
          <w:rFonts w:ascii="Times New Roman" w:hAnsi="Times New Roman"/>
          <w:sz w:val="24"/>
        </w:rPr>
        <w:t>, 283 [315]</w:t>
      </w:r>
      <w:r w:rsidRPr="00D900FF">
        <w:rPr>
          <w:rFonts w:ascii="Times New Roman" w:hAnsi="Times New Roman"/>
          <w:sz w:val="24"/>
        </w:rPr>
        <w:t>.</w:t>
      </w:r>
    </w:p>
  </w:footnote>
  <w:footnote w:id="57">
    <w:p w14:paraId="18AF635B" w14:textId="1BC92026" w:rsidR="006F4367" w:rsidRPr="00D900FF" w:rsidRDefault="006F4367"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Unions NSW [No 2]</w:t>
      </w:r>
      <w:r w:rsidRPr="00D900FF">
        <w:rPr>
          <w:rFonts w:ascii="Times New Roman" w:hAnsi="Times New Roman"/>
          <w:sz w:val="24"/>
        </w:rPr>
        <w:t xml:space="preserve"> </w:t>
      </w:r>
      <w:r w:rsidR="0012463E" w:rsidRPr="00D900FF">
        <w:rPr>
          <w:rFonts w:ascii="Times New Roman" w:hAnsi="Times New Roman"/>
          <w:sz w:val="24"/>
        </w:rPr>
        <w:t xml:space="preserve">(2019) 264 CLR 595 at 607-608 [15]; </w:t>
      </w:r>
      <w:r w:rsidR="0012463E" w:rsidRPr="00D900FF">
        <w:rPr>
          <w:rFonts w:ascii="Times New Roman" w:hAnsi="Times New Roman"/>
          <w:i/>
          <w:iCs/>
          <w:sz w:val="24"/>
        </w:rPr>
        <w:t>Unions NSW [No 3]</w:t>
      </w:r>
      <w:r w:rsidR="0012463E" w:rsidRPr="00D900FF">
        <w:rPr>
          <w:rFonts w:ascii="Times New Roman" w:hAnsi="Times New Roman"/>
          <w:sz w:val="24"/>
        </w:rPr>
        <w:t xml:space="preserve"> (2023) 277 CLR 627 at </w:t>
      </w:r>
      <w:r w:rsidR="00F864F9" w:rsidRPr="00D900FF">
        <w:rPr>
          <w:rFonts w:ascii="Times New Roman" w:hAnsi="Times New Roman"/>
          <w:sz w:val="24"/>
        </w:rPr>
        <w:t xml:space="preserve">644 [30]. </w:t>
      </w:r>
    </w:p>
  </w:footnote>
  <w:footnote w:id="58">
    <w:p w14:paraId="055872C8" w14:textId="330B6547" w:rsidR="007453C2" w:rsidRPr="00D900FF" w:rsidRDefault="007453C2"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w:t>
      </w:r>
      <w:r w:rsidRPr="00D900FF">
        <w:rPr>
          <w:rFonts w:ascii="Times New Roman" w:hAnsi="Times New Roman"/>
          <w:i/>
          <w:sz w:val="24"/>
        </w:rPr>
        <w:t>Unions</w:t>
      </w:r>
      <w:r w:rsidR="00753E1E" w:rsidRPr="00D900FF">
        <w:rPr>
          <w:rFonts w:ascii="Times New Roman" w:hAnsi="Times New Roman"/>
          <w:i/>
          <w:sz w:val="24"/>
        </w:rPr>
        <w:t xml:space="preserve"> NSW</w:t>
      </w:r>
      <w:r w:rsidRPr="00D900FF">
        <w:rPr>
          <w:rFonts w:ascii="Times New Roman" w:hAnsi="Times New Roman"/>
          <w:i/>
          <w:sz w:val="24"/>
        </w:rPr>
        <w:t xml:space="preserve"> </w:t>
      </w:r>
      <w:r w:rsidR="00AE0B4B" w:rsidRPr="00D900FF">
        <w:rPr>
          <w:rFonts w:ascii="Times New Roman" w:hAnsi="Times New Roman"/>
          <w:i/>
          <w:sz w:val="24"/>
        </w:rPr>
        <w:t>[No 1]</w:t>
      </w:r>
      <w:r w:rsidRPr="00D900FF">
        <w:rPr>
          <w:rFonts w:ascii="Times New Roman" w:hAnsi="Times New Roman"/>
          <w:sz w:val="24"/>
        </w:rPr>
        <w:t xml:space="preserve"> (2013) 252 CLR 530 at 554 [38].</w:t>
      </w:r>
    </w:p>
  </w:footnote>
  <w:footnote w:id="59">
    <w:p w14:paraId="0B8FFAA9" w14:textId="427B841F" w:rsidR="003A7C18" w:rsidRPr="00D900FF" w:rsidRDefault="003A7C1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See [</w:t>
      </w:r>
      <w:r w:rsidR="00554BF5" w:rsidRPr="00D900FF">
        <w:rPr>
          <w:rFonts w:ascii="Times New Roman" w:hAnsi="Times New Roman"/>
          <w:sz w:val="24"/>
        </w:rPr>
        <w:t>10</w:t>
      </w:r>
      <w:r w:rsidRPr="00D900FF">
        <w:rPr>
          <w:rFonts w:ascii="Times New Roman" w:hAnsi="Times New Roman"/>
          <w:sz w:val="24"/>
        </w:rPr>
        <w:t>] above.</w:t>
      </w:r>
    </w:p>
  </w:footnote>
  <w:footnote w:id="60">
    <w:p w14:paraId="0815B845" w14:textId="6B0E6A64" w:rsidR="00646049" w:rsidRPr="00D900FF" w:rsidRDefault="0064604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272E3A" w:rsidRPr="00D900FF">
        <w:rPr>
          <w:rFonts w:ascii="Times New Roman" w:hAnsi="Times New Roman"/>
          <w:i/>
          <w:iCs/>
          <w:sz w:val="24"/>
        </w:rPr>
        <w:t>Electoral Act</w:t>
      </w:r>
      <w:r w:rsidR="00272E3A" w:rsidRPr="00D900FF">
        <w:rPr>
          <w:rFonts w:ascii="Times New Roman" w:hAnsi="Times New Roman"/>
          <w:sz w:val="24"/>
        </w:rPr>
        <w:t xml:space="preserve">, </w:t>
      </w:r>
      <w:r w:rsidR="008E6073" w:rsidRPr="00D900FF">
        <w:rPr>
          <w:rFonts w:ascii="Times New Roman" w:hAnsi="Times New Roman"/>
          <w:sz w:val="24"/>
        </w:rPr>
        <w:t>s</w:t>
      </w:r>
      <w:r w:rsidR="009F420D" w:rsidRPr="00D900FF">
        <w:rPr>
          <w:rFonts w:ascii="Times New Roman" w:hAnsi="Times New Roman"/>
          <w:sz w:val="24"/>
        </w:rPr>
        <w:t>s</w:t>
      </w:r>
      <w:r w:rsidR="008E6073" w:rsidRPr="00D900FF">
        <w:rPr>
          <w:rFonts w:ascii="Times New Roman" w:hAnsi="Times New Roman"/>
          <w:sz w:val="24"/>
        </w:rPr>
        <w:t xml:space="preserve"> 206(1) definition of "relevant licence"</w:t>
      </w:r>
      <w:r w:rsidR="009F420D" w:rsidRPr="00D900FF">
        <w:rPr>
          <w:rFonts w:ascii="Times New Roman" w:hAnsi="Times New Roman"/>
          <w:sz w:val="24"/>
        </w:rPr>
        <w:t xml:space="preserve"> and</w:t>
      </w:r>
      <w:r w:rsidR="00272E3A" w:rsidRPr="00D900FF">
        <w:rPr>
          <w:rFonts w:ascii="Times New Roman" w:hAnsi="Times New Roman"/>
          <w:sz w:val="24"/>
        </w:rPr>
        <w:t xml:space="preserve"> 2</w:t>
      </w:r>
      <w:r w:rsidR="00497352" w:rsidRPr="00D900FF">
        <w:rPr>
          <w:rFonts w:ascii="Times New Roman" w:hAnsi="Times New Roman"/>
          <w:sz w:val="24"/>
        </w:rPr>
        <w:t>16</w:t>
      </w:r>
      <w:r w:rsidR="00D70BEA" w:rsidRPr="00D900FF">
        <w:rPr>
          <w:rFonts w:ascii="Times New Roman" w:hAnsi="Times New Roman"/>
          <w:sz w:val="24"/>
        </w:rPr>
        <w:t>,</w:t>
      </w:r>
      <w:r w:rsidR="008E6073" w:rsidRPr="00D900FF">
        <w:rPr>
          <w:rFonts w:ascii="Times New Roman" w:hAnsi="Times New Roman"/>
          <w:sz w:val="24"/>
        </w:rPr>
        <w:t xml:space="preserve"> as</w:t>
      </w:r>
      <w:r w:rsidR="00182497" w:rsidRPr="00D900FF">
        <w:rPr>
          <w:rFonts w:ascii="Times New Roman" w:hAnsi="Times New Roman"/>
          <w:sz w:val="24"/>
        </w:rPr>
        <w:t> </w:t>
      </w:r>
      <w:r w:rsidR="008E6073" w:rsidRPr="00D900FF">
        <w:rPr>
          <w:rFonts w:ascii="Times New Roman" w:hAnsi="Times New Roman"/>
          <w:sz w:val="24"/>
        </w:rPr>
        <w:t xml:space="preserve">at </w:t>
      </w:r>
      <w:r w:rsidR="00C87EBE" w:rsidRPr="00D900FF">
        <w:rPr>
          <w:rFonts w:ascii="Times New Roman" w:hAnsi="Times New Roman"/>
          <w:sz w:val="24"/>
        </w:rPr>
        <w:t>1 September 2017.</w:t>
      </w:r>
    </w:p>
  </w:footnote>
  <w:footnote w:id="61">
    <w:p w14:paraId="5A6DF3F0" w14:textId="4A2A622A" w:rsidR="004055BF" w:rsidRPr="00D900FF" w:rsidRDefault="004055B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w:t>
      </w:r>
      <w:r w:rsidR="00490F34" w:rsidRPr="00D900FF">
        <w:rPr>
          <w:rFonts w:ascii="Times New Roman" w:hAnsi="Times New Roman"/>
          <w:sz w:val="24"/>
        </w:rPr>
        <w:t xml:space="preserve">Victoria, Legislative Assembly, </w:t>
      </w:r>
      <w:r w:rsidR="00490F34" w:rsidRPr="00D900FF">
        <w:rPr>
          <w:rFonts w:ascii="Times New Roman" w:hAnsi="Times New Roman"/>
          <w:i/>
          <w:iCs/>
          <w:sz w:val="24"/>
        </w:rPr>
        <w:t>Parliamentary Debates</w:t>
      </w:r>
      <w:r w:rsidR="00490F34" w:rsidRPr="00D900FF">
        <w:rPr>
          <w:rFonts w:ascii="Times New Roman" w:hAnsi="Times New Roman"/>
          <w:sz w:val="24"/>
        </w:rPr>
        <w:t xml:space="preserve"> (Hansard)</w:t>
      </w:r>
      <w:r w:rsidR="009749ED" w:rsidRPr="00D900FF">
        <w:rPr>
          <w:rFonts w:ascii="Times New Roman" w:hAnsi="Times New Roman"/>
          <w:sz w:val="24"/>
        </w:rPr>
        <w:t>,</w:t>
      </w:r>
      <w:r w:rsidR="00490F34" w:rsidRPr="00D900FF">
        <w:rPr>
          <w:rFonts w:ascii="Times New Roman" w:hAnsi="Times New Roman"/>
          <w:sz w:val="24"/>
        </w:rPr>
        <w:t xml:space="preserve"> 10 May 2018 at 1351. </w:t>
      </w:r>
    </w:p>
  </w:footnote>
  <w:footnote w:id="62">
    <w:p w14:paraId="21E5FBE4" w14:textId="3A66BFB7" w:rsidR="008654BD" w:rsidRPr="00D900FF" w:rsidRDefault="008654B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See generally [1</w:t>
      </w:r>
      <w:r w:rsidR="0088664C" w:rsidRPr="00D900FF">
        <w:rPr>
          <w:rFonts w:ascii="Times New Roman" w:hAnsi="Times New Roman"/>
          <w:sz w:val="24"/>
        </w:rPr>
        <w:t>5</w:t>
      </w:r>
      <w:r w:rsidRPr="00D900FF">
        <w:rPr>
          <w:rFonts w:ascii="Times New Roman" w:hAnsi="Times New Roman"/>
          <w:sz w:val="24"/>
        </w:rPr>
        <w:t>] above.</w:t>
      </w:r>
    </w:p>
  </w:footnote>
  <w:footnote w:id="63">
    <w:p w14:paraId="4B69B4F4" w14:textId="1AAF7AE9" w:rsidR="009A6443" w:rsidRPr="00D900FF" w:rsidRDefault="009A6443"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See [</w:t>
      </w:r>
      <w:r w:rsidR="00A770AC" w:rsidRPr="00D900FF">
        <w:rPr>
          <w:rFonts w:ascii="Times New Roman" w:hAnsi="Times New Roman"/>
          <w:sz w:val="24"/>
        </w:rPr>
        <w:t>2</w:t>
      </w:r>
      <w:r w:rsidR="00253B7E" w:rsidRPr="00D900FF">
        <w:rPr>
          <w:rFonts w:ascii="Times New Roman" w:hAnsi="Times New Roman"/>
          <w:sz w:val="24"/>
        </w:rPr>
        <w:t>2</w:t>
      </w:r>
      <w:r w:rsidRPr="00D900FF">
        <w:rPr>
          <w:rFonts w:ascii="Times New Roman" w:hAnsi="Times New Roman"/>
          <w:sz w:val="24"/>
        </w:rPr>
        <w:t>]</w:t>
      </w:r>
      <w:r w:rsidR="00A770AC" w:rsidRPr="00D900FF">
        <w:rPr>
          <w:rFonts w:ascii="Times New Roman" w:hAnsi="Times New Roman"/>
          <w:sz w:val="24"/>
        </w:rPr>
        <w:t>-[2</w:t>
      </w:r>
      <w:r w:rsidR="000317C0" w:rsidRPr="00D900FF">
        <w:rPr>
          <w:rFonts w:ascii="Times New Roman" w:hAnsi="Times New Roman"/>
          <w:sz w:val="24"/>
        </w:rPr>
        <w:t>6</w:t>
      </w:r>
      <w:r w:rsidR="00A770AC" w:rsidRPr="00D900FF">
        <w:rPr>
          <w:rFonts w:ascii="Times New Roman" w:hAnsi="Times New Roman"/>
          <w:sz w:val="24"/>
        </w:rPr>
        <w:t>]</w:t>
      </w:r>
      <w:r w:rsidRPr="00D900FF">
        <w:rPr>
          <w:rFonts w:ascii="Times New Roman" w:hAnsi="Times New Roman"/>
          <w:sz w:val="24"/>
        </w:rPr>
        <w:t xml:space="preserve"> above.</w:t>
      </w:r>
    </w:p>
  </w:footnote>
  <w:footnote w:id="64">
    <w:p w14:paraId="3AEA4479" w14:textId="33516BE7" w:rsidR="00164E2B" w:rsidRPr="00D900FF" w:rsidRDefault="00164E2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There are no facts in the special </w:t>
      </w:r>
      <w:r w:rsidR="009B1EE7" w:rsidRPr="00D900FF">
        <w:rPr>
          <w:rFonts w:ascii="Times New Roman" w:hAnsi="Times New Roman"/>
          <w:sz w:val="24"/>
        </w:rPr>
        <w:t>c</w:t>
      </w:r>
      <w:r w:rsidRPr="00D900FF">
        <w:rPr>
          <w:rFonts w:ascii="Times New Roman" w:hAnsi="Times New Roman"/>
          <w:sz w:val="24"/>
        </w:rPr>
        <w:t>ase which confirm whether each or any of the</w:t>
      </w:r>
      <w:r w:rsidR="007D5276">
        <w:rPr>
          <w:rFonts w:ascii="Times New Roman" w:hAnsi="Times New Roman"/>
          <w:sz w:val="24"/>
        </w:rPr>
        <w:t> </w:t>
      </w:r>
      <w:r w:rsidRPr="00D900FF">
        <w:rPr>
          <w:rFonts w:ascii="Times New Roman" w:hAnsi="Times New Roman"/>
          <w:sz w:val="24"/>
        </w:rPr>
        <w:t>Nominated Entities satisfied the criteria in s 222F(2).</w:t>
      </w:r>
    </w:p>
  </w:footnote>
  <w:footnote w:id="65">
    <w:p w14:paraId="60073BCF" w14:textId="7C619A0D" w:rsidR="000E7FAC" w:rsidRPr="00D900FF" w:rsidRDefault="000E7FAC"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Brown</w:t>
      </w:r>
      <w:r w:rsidR="001443DC" w:rsidRPr="00D900FF">
        <w:rPr>
          <w:rFonts w:ascii="Times New Roman" w:hAnsi="Times New Roman"/>
          <w:i/>
          <w:iCs/>
          <w:sz w:val="24"/>
        </w:rPr>
        <w:t xml:space="preserve"> v Tasmania</w:t>
      </w:r>
      <w:r w:rsidRPr="00D900FF">
        <w:rPr>
          <w:rFonts w:ascii="Times New Roman" w:hAnsi="Times New Roman"/>
          <w:sz w:val="24"/>
        </w:rPr>
        <w:t xml:space="preserve"> (2017) 261 CLR 328 at 361 </w:t>
      </w:r>
      <w:r w:rsidR="00825D5D" w:rsidRPr="00D900FF">
        <w:rPr>
          <w:rFonts w:ascii="Times New Roman" w:hAnsi="Times New Roman"/>
          <w:sz w:val="24"/>
        </w:rPr>
        <w:t>[92], [94].</w:t>
      </w:r>
    </w:p>
  </w:footnote>
  <w:footnote w:id="66">
    <w:p w14:paraId="6EB6D159" w14:textId="62073BE8" w:rsidR="00F2045A" w:rsidRPr="00D900FF" w:rsidRDefault="00F2045A"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Brown</w:t>
      </w:r>
      <w:r w:rsidRPr="00D900FF">
        <w:rPr>
          <w:rFonts w:ascii="Times New Roman" w:hAnsi="Times New Roman"/>
          <w:sz w:val="24"/>
        </w:rPr>
        <w:t xml:space="preserve"> </w:t>
      </w:r>
      <w:r w:rsidR="00CA1496" w:rsidRPr="00D900FF">
        <w:rPr>
          <w:rFonts w:ascii="Times New Roman" w:hAnsi="Times New Roman"/>
          <w:sz w:val="24"/>
        </w:rPr>
        <w:t>(2017) 261 CLR 328 at 361 [95].</w:t>
      </w:r>
    </w:p>
  </w:footnote>
  <w:footnote w:id="67">
    <w:p w14:paraId="7E392F46" w14:textId="79CB50E3" w:rsidR="00347605" w:rsidRPr="00D900FF" w:rsidRDefault="003476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2018 Amendment Act, s</w:t>
      </w:r>
      <w:r w:rsidR="009E2CB7" w:rsidRPr="00D900FF">
        <w:rPr>
          <w:rFonts w:ascii="Times New Roman" w:hAnsi="Times New Roman"/>
          <w:sz w:val="24"/>
        </w:rPr>
        <w:t> </w:t>
      </w:r>
      <w:r w:rsidRPr="00D900FF">
        <w:rPr>
          <w:rFonts w:ascii="Times New Roman" w:hAnsi="Times New Roman"/>
          <w:sz w:val="24"/>
        </w:rPr>
        <w:t xml:space="preserve">1(a)(ii). </w:t>
      </w:r>
      <w:r w:rsidR="000D553C" w:rsidRPr="00D900FF">
        <w:rPr>
          <w:rFonts w:ascii="Times New Roman" w:hAnsi="Times New Roman"/>
          <w:sz w:val="24"/>
        </w:rPr>
        <w:t>See also</w:t>
      </w:r>
      <w:r w:rsidR="0034710D" w:rsidRPr="00D900FF">
        <w:rPr>
          <w:rFonts w:ascii="Times New Roman" w:hAnsi="Times New Roman"/>
          <w:sz w:val="24"/>
        </w:rPr>
        <w:t xml:space="preserve"> </w:t>
      </w:r>
      <w:r w:rsidR="0092024C" w:rsidRPr="00D900FF">
        <w:rPr>
          <w:rFonts w:ascii="Times New Roman" w:hAnsi="Times New Roman"/>
          <w:sz w:val="24"/>
        </w:rPr>
        <w:t xml:space="preserve">Victoria, Legislative Assembly, </w:t>
      </w:r>
      <w:r w:rsidR="0092024C" w:rsidRPr="00D900FF">
        <w:rPr>
          <w:rFonts w:ascii="Times New Roman" w:hAnsi="Times New Roman"/>
          <w:i/>
          <w:iCs/>
          <w:sz w:val="24"/>
        </w:rPr>
        <w:t>Electoral Legislation Amendment Bill 2018</w:t>
      </w:r>
      <w:r w:rsidR="00A8691B" w:rsidRPr="00D900FF">
        <w:rPr>
          <w:rFonts w:ascii="Times New Roman" w:hAnsi="Times New Roman"/>
          <w:sz w:val="24"/>
        </w:rPr>
        <w:t xml:space="preserve">, Explanatory Memorandum at </w:t>
      </w:r>
      <w:r w:rsidR="001C1B29" w:rsidRPr="00D900FF">
        <w:rPr>
          <w:rFonts w:ascii="Times New Roman" w:hAnsi="Times New Roman"/>
          <w:sz w:val="24"/>
        </w:rPr>
        <w:t>1-2</w:t>
      </w:r>
      <w:r w:rsidR="000700BE" w:rsidRPr="00D900FF">
        <w:rPr>
          <w:rFonts w:ascii="Times New Roman" w:hAnsi="Times New Roman"/>
          <w:sz w:val="24"/>
        </w:rPr>
        <w:t>;</w:t>
      </w:r>
      <w:r w:rsidR="00C82DF7" w:rsidRPr="00D900FF">
        <w:rPr>
          <w:rFonts w:ascii="Times New Roman" w:hAnsi="Times New Roman"/>
          <w:sz w:val="24"/>
        </w:rPr>
        <w:t xml:space="preserve"> Victoria, Legislative Assembly, </w:t>
      </w:r>
      <w:r w:rsidR="00C82DF7" w:rsidRPr="00D900FF">
        <w:rPr>
          <w:rFonts w:ascii="Times New Roman" w:hAnsi="Times New Roman"/>
          <w:i/>
          <w:iCs/>
          <w:sz w:val="24"/>
        </w:rPr>
        <w:t>Parliamentary Debates</w:t>
      </w:r>
      <w:r w:rsidR="00C82DF7" w:rsidRPr="00D900FF">
        <w:rPr>
          <w:rFonts w:ascii="Times New Roman" w:hAnsi="Times New Roman"/>
          <w:sz w:val="24"/>
        </w:rPr>
        <w:t xml:space="preserve"> (Hansard), 10 May 2018 at 1348, </w:t>
      </w:r>
      <w:r w:rsidR="000C7CFA" w:rsidRPr="00D900FF">
        <w:rPr>
          <w:rFonts w:ascii="Times New Roman" w:hAnsi="Times New Roman"/>
          <w:sz w:val="24"/>
        </w:rPr>
        <w:t>1350.</w:t>
      </w:r>
    </w:p>
  </w:footnote>
  <w:footnote w:id="68">
    <w:p w14:paraId="339840ED" w14:textId="0DC36353" w:rsidR="00F64A24" w:rsidRPr="00D900FF" w:rsidRDefault="00F64A24"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CF2234" w:rsidRPr="00D900FF">
        <w:rPr>
          <w:rFonts w:ascii="Times New Roman" w:hAnsi="Times New Roman"/>
          <w:i/>
          <w:sz w:val="24"/>
        </w:rPr>
        <w:t xml:space="preserve">Unions </w:t>
      </w:r>
      <w:r w:rsidR="00A15641" w:rsidRPr="00D900FF">
        <w:rPr>
          <w:rFonts w:ascii="Times New Roman" w:hAnsi="Times New Roman"/>
          <w:i/>
          <w:sz w:val="24"/>
        </w:rPr>
        <w:t>NSW [</w:t>
      </w:r>
      <w:r w:rsidR="00CF2234" w:rsidRPr="00D900FF">
        <w:rPr>
          <w:rFonts w:ascii="Times New Roman" w:hAnsi="Times New Roman"/>
          <w:i/>
          <w:sz w:val="24"/>
        </w:rPr>
        <w:t>No 2</w:t>
      </w:r>
      <w:r w:rsidR="00A15641" w:rsidRPr="00D900FF">
        <w:rPr>
          <w:rFonts w:ascii="Times New Roman" w:hAnsi="Times New Roman"/>
          <w:i/>
          <w:sz w:val="24"/>
        </w:rPr>
        <w:t>]</w:t>
      </w:r>
      <w:r w:rsidR="00CF2234" w:rsidRPr="00D900FF">
        <w:rPr>
          <w:rFonts w:ascii="Times New Roman" w:hAnsi="Times New Roman"/>
          <w:i/>
          <w:sz w:val="24"/>
        </w:rPr>
        <w:t xml:space="preserve"> </w:t>
      </w:r>
      <w:r w:rsidR="00CF2234" w:rsidRPr="00D900FF">
        <w:rPr>
          <w:rFonts w:ascii="Times New Roman" w:hAnsi="Times New Roman"/>
          <w:sz w:val="24"/>
        </w:rPr>
        <w:t xml:space="preserve">(2019) 264 CLR 595 at </w:t>
      </w:r>
      <w:r w:rsidR="00FF31AA" w:rsidRPr="00D900FF">
        <w:rPr>
          <w:rFonts w:ascii="Times New Roman" w:hAnsi="Times New Roman"/>
          <w:sz w:val="24"/>
        </w:rPr>
        <w:t xml:space="preserve">623 </w:t>
      </w:r>
      <w:r w:rsidR="007C0A93" w:rsidRPr="00D900FF">
        <w:rPr>
          <w:rFonts w:ascii="Times New Roman" w:hAnsi="Times New Roman"/>
          <w:sz w:val="24"/>
        </w:rPr>
        <w:t>[71]</w:t>
      </w:r>
      <w:r w:rsidR="00657343" w:rsidRPr="00D900FF">
        <w:rPr>
          <w:rFonts w:ascii="Times New Roman" w:hAnsi="Times New Roman"/>
          <w:sz w:val="24"/>
        </w:rPr>
        <w:t>,</w:t>
      </w:r>
      <w:r w:rsidR="005760C0" w:rsidRPr="00D900FF">
        <w:rPr>
          <w:rFonts w:ascii="Times New Roman" w:hAnsi="Times New Roman"/>
          <w:sz w:val="24"/>
        </w:rPr>
        <w:t xml:space="preserve"> citing </w:t>
      </w:r>
      <w:r w:rsidR="005760C0" w:rsidRPr="00D900FF">
        <w:rPr>
          <w:rFonts w:ascii="Times New Roman" w:hAnsi="Times New Roman"/>
          <w:i/>
          <w:iCs/>
          <w:sz w:val="24"/>
        </w:rPr>
        <w:t>McCloy</w:t>
      </w:r>
      <w:r w:rsidR="005760C0" w:rsidRPr="00D900FF">
        <w:rPr>
          <w:rFonts w:ascii="Times New Roman" w:hAnsi="Times New Roman"/>
          <w:sz w:val="24"/>
        </w:rPr>
        <w:t xml:space="preserve"> (2015) </w:t>
      </w:r>
      <w:r w:rsidR="009D691D" w:rsidRPr="00D900FF">
        <w:rPr>
          <w:rFonts w:ascii="Times New Roman" w:hAnsi="Times New Roman"/>
          <w:sz w:val="24"/>
        </w:rPr>
        <w:t xml:space="preserve">257 CLR 178 at </w:t>
      </w:r>
      <w:r w:rsidR="00114819" w:rsidRPr="00D900FF">
        <w:rPr>
          <w:rFonts w:ascii="Times New Roman" w:hAnsi="Times New Roman"/>
          <w:sz w:val="24"/>
        </w:rPr>
        <w:t xml:space="preserve">204-205 </w:t>
      </w:r>
      <w:r w:rsidR="009D691D" w:rsidRPr="00D900FF">
        <w:rPr>
          <w:rFonts w:ascii="Times New Roman" w:hAnsi="Times New Roman"/>
          <w:sz w:val="24"/>
        </w:rPr>
        <w:t xml:space="preserve">[36], </w:t>
      </w:r>
      <w:r w:rsidR="00114819" w:rsidRPr="00D900FF">
        <w:rPr>
          <w:rFonts w:ascii="Times New Roman" w:hAnsi="Times New Roman"/>
          <w:sz w:val="24"/>
        </w:rPr>
        <w:t xml:space="preserve">248 </w:t>
      </w:r>
      <w:r w:rsidR="009D691D" w:rsidRPr="00D900FF">
        <w:rPr>
          <w:rFonts w:ascii="Times New Roman" w:hAnsi="Times New Roman"/>
          <w:sz w:val="24"/>
        </w:rPr>
        <w:t>[181]</w:t>
      </w:r>
      <w:r w:rsidR="00CF2234" w:rsidRPr="00D900FF">
        <w:rPr>
          <w:rFonts w:ascii="Times New Roman" w:hAnsi="Times New Roman"/>
          <w:sz w:val="24"/>
        </w:rPr>
        <w:t>.</w:t>
      </w:r>
    </w:p>
  </w:footnote>
  <w:footnote w:id="69">
    <w:p w14:paraId="617F2FB5" w14:textId="216A98B2" w:rsidR="001D699F" w:rsidRPr="00D900FF" w:rsidRDefault="001D699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Victoria, Legislative Assembly, </w:t>
      </w:r>
      <w:r w:rsidRPr="00D900FF">
        <w:rPr>
          <w:rFonts w:ascii="Times New Roman" w:hAnsi="Times New Roman"/>
          <w:i/>
          <w:sz w:val="24"/>
        </w:rPr>
        <w:t>Electoral Legislation Amendment Bill 2018</w:t>
      </w:r>
      <w:r w:rsidRPr="00D900FF">
        <w:rPr>
          <w:rFonts w:ascii="Times New Roman" w:hAnsi="Times New Roman"/>
          <w:sz w:val="24"/>
        </w:rPr>
        <w:t>, Explanatory Memorandum at 35.</w:t>
      </w:r>
    </w:p>
  </w:footnote>
  <w:footnote w:id="70">
    <w:p w14:paraId="67561FB3" w14:textId="117097FE" w:rsidR="001D699F" w:rsidRPr="00D900FF" w:rsidRDefault="001D699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Victoria, Legislative Assembly, </w:t>
      </w:r>
      <w:r w:rsidRPr="00D900FF">
        <w:rPr>
          <w:rFonts w:ascii="Times New Roman" w:hAnsi="Times New Roman"/>
          <w:i/>
          <w:sz w:val="24"/>
        </w:rPr>
        <w:t>Parliamentary Debates</w:t>
      </w:r>
      <w:r w:rsidRPr="00D900FF">
        <w:rPr>
          <w:rFonts w:ascii="Times New Roman" w:hAnsi="Times New Roman"/>
          <w:sz w:val="24"/>
        </w:rPr>
        <w:t xml:space="preserve"> (Hansard), 10 May 2018</w:t>
      </w:r>
      <w:r w:rsidR="000B7541" w:rsidRPr="00D900FF">
        <w:rPr>
          <w:rFonts w:ascii="Times New Roman" w:hAnsi="Times New Roman"/>
          <w:sz w:val="24"/>
        </w:rPr>
        <w:t xml:space="preserve"> at 1351</w:t>
      </w:r>
      <w:r w:rsidRPr="00D900FF">
        <w:rPr>
          <w:rFonts w:ascii="Times New Roman" w:hAnsi="Times New Roman"/>
          <w:sz w:val="24"/>
        </w:rPr>
        <w:t xml:space="preserve">. </w:t>
      </w:r>
    </w:p>
  </w:footnote>
  <w:footnote w:id="71">
    <w:p w14:paraId="11038840" w14:textId="77777777" w:rsidR="00D55B99" w:rsidRPr="00D900FF" w:rsidRDefault="00D55B9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(2013) 252 CLR 530 at 545 [7].</w:t>
      </w:r>
    </w:p>
  </w:footnote>
  <w:footnote w:id="72">
    <w:p w14:paraId="4F8EC755" w14:textId="39A086EC" w:rsidR="00D55B99" w:rsidRPr="00D900FF" w:rsidRDefault="00D55B99"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rPr>
        <w:t>Unions</w:t>
      </w:r>
      <w:r w:rsidR="00A20D23" w:rsidRPr="00D900FF">
        <w:rPr>
          <w:rFonts w:ascii="Times New Roman" w:hAnsi="Times New Roman"/>
          <w:i/>
          <w:sz w:val="24"/>
        </w:rPr>
        <w:t xml:space="preserve"> NSW</w:t>
      </w:r>
      <w:r w:rsidRPr="00D900FF">
        <w:rPr>
          <w:rFonts w:ascii="Times New Roman" w:hAnsi="Times New Roman"/>
          <w:i/>
          <w:sz w:val="24"/>
        </w:rPr>
        <w:t xml:space="preserve"> </w:t>
      </w:r>
      <w:r w:rsidR="00A20D23" w:rsidRPr="00D900FF">
        <w:rPr>
          <w:rFonts w:ascii="Times New Roman" w:hAnsi="Times New Roman"/>
          <w:i/>
          <w:sz w:val="24"/>
        </w:rPr>
        <w:t>[</w:t>
      </w:r>
      <w:r w:rsidR="005E0B04" w:rsidRPr="00D900FF">
        <w:rPr>
          <w:rFonts w:ascii="Times New Roman" w:hAnsi="Times New Roman"/>
          <w:i/>
          <w:sz w:val="24"/>
        </w:rPr>
        <w:t>No 1</w:t>
      </w:r>
      <w:r w:rsidR="00A20D23" w:rsidRPr="00D900FF">
        <w:rPr>
          <w:rFonts w:ascii="Times New Roman" w:hAnsi="Times New Roman"/>
          <w:i/>
          <w:sz w:val="24"/>
        </w:rPr>
        <w:t>]</w:t>
      </w:r>
      <w:r w:rsidRPr="00D900FF">
        <w:rPr>
          <w:rFonts w:ascii="Times New Roman" w:hAnsi="Times New Roman"/>
          <w:sz w:val="24"/>
        </w:rPr>
        <w:t xml:space="preserve"> (2013) 252 CLR 530 at 558 [53]. </w:t>
      </w:r>
    </w:p>
  </w:footnote>
  <w:footnote w:id="73">
    <w:p w14:paraId="062B8D18" w14:textId="5F336BD6" w:rsidR="00F07CEB" w:rsidRPr="00D900FF" w:rsidRDefault="00F07CE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w:t>
      </w:r>
      <w:r w:rsidRPr="00D900FF">
        <w:rPr>
          <w:rFonts w:ascii="Times New Roman" w:hAnsi="Times New Roman"/>
          <w:i/>
          <w:sz w:val="24"/>
        </w:rPr>
        <w:t xml:space="preserve">McCloy </w:t>
      </w:r>
      <w:r w:rsidRPr="00D900FF">
        <w:rPr>
          <w:rFonts w:ascii="Times New Roman" w:hAnsi="Times New Roman"/>
          <w:sz w:val="24"/>
        </w:rPr>
        <w:t>(2015) 257 CLR 178 at 204-205 [36],</w:t>
      </w:r>
      <w:r w:rsidR="004E1206" w:rsidRPr="00D900FF">
        <w:rPr>
          <w:rFonts w:ascii="Times New Roman" w:hAnsi="Times New Roman"/>
          <w:sz w:val="24"/>
        </w:rPr>
        <w:t xml:space="preserve"> 208 [47]</w:t>
      </w:r>
      <w:r w:rsidR="0073502C" w:rsidRPr="00D900FF">
        <w:rPr>
          <w:rFonts w:ascii="Times New Roman" w:hAnsi="Times New Roman"/>
          <w:sz w:val="24"/>
        </w:rPr>
        <w:t>,</w:t>
      </w:r>
      <w:r w:rsidRPr="00D900FF">
        <w:rPr>
          <w:rFonts w:ascii="Times New Roman" w:hAnsi="Times New Roman"/>
          <w:sz w:val="24"/>
        </w:rPr>
        <w:t xml:space="preserve"> 248 [181], [184]</w:t>
      </w:r>
      <w:r w:rsidR="008639ED" w:rsidRPr="00D900FF">
        <w:rPr>
          <w:rFonts w:ascii="Times New Roman" w:hAnsi="Times New Roman"/>
          <w:sz w:val="24"/>
        </w:rPr>
        <w:t>, 259 [22</w:t>
      </w:r>
      <w:r w:rsidR="00D52FB7" w:rsidRPr="00D900FF">
        <w:rPr>
          <w:rFonts w:ascii="Times New Roman" w:hAnsi="Times New Roman"/>
          <w:sz w:val="24"/>
        </w:rPr>
        <w:t>4]-[225]</w:t>
      </w:r>
      <w:r w:rsidR="00AA4AEE" w:rsidRPr="00D900FF">
        <w:rPr>
          <w:rFonts w:ascii="Times New Roman" w:hAnsi="Times New Roman"/>
          <w:sz w:val="24"/>
        </w:rPr>
        <w:t>, 284-285 [322], 28</w:t>
      </w:r>
      <w:r w:rsidR="00BC4DE4" w:rsidRPr="00D900FF">
        <w:rPr>
          <w:rFonts w:ascii="Times New Roman" w:hAnsi="Times New Roman"/>
          <w:sz w:val="24"/>
        </w:rPr>
        <w:t>5</w:t>
      </w:r>
      <w:r w:rsidR="00AA4AEE" w:rsidRPr="00D900FF">
        <w:rPr>
          <w:rFonts w:ascii="Times New Roman" w:hAnsi="Times New Roman"/>
          <w:sz w:val="24"/>
        </w:rPr>
        <w:t xml:space="preserve"> [324]-</w:t>
      </w:r>
      <w:r w:rsidR="00BC4DE4" w:rsidRPr="00D900FF">
        <w:rPr>
          <w:rFonts w:ascii="Times New Roman" w:hAnsi="Times New Roman"/>
          <w:sz w:val="24"/>
        </w:rPr>
        <w:t>[325]</w:t>
      </w:r>
      <w:r w:rsidRPr="00D900FF">
        <w:rPr>
          <w:rFonts w:ascii="Times New Roman" w:hAnsi="Times New Roman"/>
          <w:sz w:val="24"/>
        </w:rPr>
        <w:t xml:space="preserve">; </w:t>
      </w:r>
      <w:r w:rsidRPr="00D900FF">
        <w:rPr>
          <w:rFonts w:ascii="Times New Roman" w:hAnsi="Times New Roman"/>
          <w:i/>
          <w:sz w:val="24"/>
        </w:rPr>
        <w:t xml:space="preserve">Unions </w:t>
      </w:r>
      <w:r w:rsidR="00B73787" w:rsidRPr="00D900FF">
        <w:rPr>
          <w:rFonts w:ascii="Times New Roman" w:hAnsi="Times New Roman"/>
          <w:i/>
          <w:sz w:val="24"/>
        </w:rPr>
        <w:t xml:space="preserve">NSW </w:t>
      </w:r>
      <w:r w:rsidRPr="00D900FF">
        <w:rPr>
          <w:rFonts w:ascii="Times New Roman" w:hAnsi="Times New Roman"/>
          <w:i/>
          <w:sz w:val="24"/>
        </w:rPr>
        <w:t>[No 2]</w:t>
      </w:r>
      <w:r w:rsidRPr="00D900FF">
        <w:rPr>
          <w:rFonts w:ascii="Times New Roman" w:hAnsi="Times New Roman"/>
          <w:sz w:val="24"/>
        </w:rPr>
        <w:t xml:space="preserve"> (2019) 264 CLR 595 at 623 [71].</w:t>
      </w:r>
    </w:p>
  </w:footnote>
  <w:footnote w:id="74">
    <w:p w14:paraId="72D79E57" w14:textId="2C0BF20A" w:rsidR="00347605" w:rsidRPr="00D900FF" w:rsidRDefault="003476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rPr>
        <w:t xml:space="preserve">Unions </w:t>
      </w:r>
      <w:r w:rsidR="00AF4E3B" w:rsidRPr="00D900FF">
        <w:rPr>
          <w:rFonts w:ascii="Times New Roman" w:hAnsi="Times New Roman"/>
          <w:i/>
          <w:sz w:val="24"/>
        </w:rPr>
        <w:t xml:space="preserve">NSW </w:t>
      </w:r>
      <w:r w:rsidRPr="00D900FF">
        <w:rPr>
          <w:rFonts w:ascii="Times New Roman" w:hAnsi="Times New Roman"/>
          <w:i/>
          <w:sz w:val="24"/>
        </w:rPr>
        <w:t xml:space="preserve">[No 2] </w:t>
      </w:r>
      <w:r w:rsidRPr="00D900FF">
        <w:rPr>
          <w:rFonts w:ascii="Times New Roman" w:hAnsi="Times New Roman"/>
          <w:sz w:val="24"/>
        </w:rPr>
        <w:t>(2019) 264 CLR 595 at 628 [85].</w:t>
      </w:r>
    </w:p>
  </w:footnote>
  <w:footnote w:id="75">
    <w:p w14:paraId="54E27101" w14:textId="3DA27DAD" w:rsidR="00347605" w:rsidRPr="00D900FF" w:rsidRDefault="003476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2F025C" w:rsidRPr="00D900FF">
        <w:rPr>
          <w:rFonts w:ascii="Times New Roman" w:hAnsi="Times New Roman"/>
          <w:sz w:val="24"/>
        </w:rPr>
        <w:t xml:space="preserve">See, eg, </w:t>
      </w:r>
      <w:r w:rsidRPr="00D900FF">
        <w:rPr>
          <w:rFonts w:ascii="Times New Roman" w:hAnsi="Times New Roman"/>
          <w:i/>
          <w:sz w:val="24"/>
        </w:rPr>
        <w:t>Monis</w:t>
      </w:r>
      <w:r w:rsidR="00C13F90" w:rsidRPr="00D900FF">
        <w:rPr>
          <w:rFonts w:ascii="Times New Roman" w:hAnsi="Times New Roman"/>
          <w:i/>
          <w:sz w:val="24"/>
        </w:rPr>
        <w:t xml:space="preserve"> v The Queen</w:t>
      </w:r>
      <w:r w:rsidRPr="00D900FF">
        <w:rPr>
          <w:rFonts w:ascii="Times New Roman" w:hAnsi="Times New Roman"/>
          <w:i/>
          <w:sz w:val="24"/>
        </w:rPr>
        <w:t xml:space="preserve"> </w:t>
      </w:r>
      <w:r w:rsidRPr="00D900FF">
        <w:rPr>
          <w:rFonts w:ascii="Times New Roman" w:hAnsi="Times New Roman"/>
          <w:sz w:val="24"/>
        </w:rPr>
        <w:t xml:space="preserve">(2013) 249 CLR 92 at 147 [125]; </w:t>
      </w:r>
      <w:r w:rsidRPr="00D900FF">
        <w:rPr>
          <w:rFonts w:ascii="Times New Roman" w:hAnsi="Times New Roman"/>
          <w:i/>
          <w:sz w:val="24"/>
        </w:rPr>
        <w:t xml:space="preserve">Unions </w:t>
      </w:r>
      <w:r w:rsidR="00897F89" w:rsidRPr="00D900FF">
        <w:rPr>
          <w:rFonts w:ascii="Times New Roman" w:hAnsi="Times New Roman"/>
          <w:i/>
          <w:sz w:val="24"/>
        </w:rPr>
        <w:t xml:space="preserve">NSW </w:t>
      </w:r>
      <w:r w:rsidR="00817C02" w:rsidRPr="00D900FF">
        <w:rPr>
          <w:rFonts w:ascii="Times New Roman" w:hAnsi="Times New Roman"/>
          <w:i/>
          <w:sz w:val="24"/>
        </w:rPr>
        <w:t>[No 1]</w:t>
      </w:r>
      <w:r w:rsidRPr="00D900FF">
        <w:rPr>
          <w:rFonts w:ascii="Times New Roman" w:hAnsi="Times New Roman"/>
          <w:i/>
          <w:sz w:val="24"/>
        </w:rPr>
        <w:t xml:space="preserve"> </w:t>
      </w:r>
      <w:r w:rsidRPr="00D900FF">
        <w:rPr>
          <w:rFonts w:ascii="Times New Roman" w:hAnsi="Times New Roman"/>
          <w:sz w:val="24"/>
        </w:rPr>
        <w:t>(2013) 252 CLR 530 at 557 [50]</w:t>
      </w:r>
      <w:r w:rsidR="00D61221" w:rsidRPr="00D900FF">
        <w:rPr>
          <w:rFonts w:ascii="Times New Roman" w:hAnsi="Times New Roman"/>
          <w:sz w:val="24"/>
        </w:rPr>
        <w:t>;</w:t>
      </w:r>
      <w:r w:rsidRPr="00D900FF">
        <w:rPr>
          <w:rFonts w:ascii="Times New Roman" w:hAnsi="Times New Roman"/>
          <w:sz w:val="24"/>
        </w:rPr>
        <w:t xml:space="preserve"> </w:t>
      </w:r>
      <w:r w:rsidRPr="00D900FF">
        <w:rPr>
          <w:rFonts w:ascii="Times New Roman" w:hAnsi="Times New Roman"/>
          <w:i/>
          <w:sz w:val="24"/>
        </w:rPr>
        <w:t xml:space="preserve">McCloy </w:t>
      </w:r>
      <w:r w:rsidRPr="00D900FF">
        <w:rPr>
          <w:rFonts w:ascii="Times New Roman" w:hAnsi="Times New Roman"/>
          <w:sz w:val="24"/>
        </w:rPr>
        <w:t>(2015) 257 CLR 178 at 212 [67]</w:t>
      </w:r>
      <w:r w:rsidR="00D61221" w:rsidRPr="00D900FF">
        <w:rPr>
          <w:rFonts w:ascii="Times New Roman" w:hAnsi="Times New Roman"/>
          <w:sz w:val="24"/>
        </w:rPr>
        <w:t>;</w:t>
      </w:r>
      <w:r w:rsidRPr="00D900FF">
        <w:rPr>
          <w:rFonts w:ascii="Times New Roman" w:hAnsi="Times New Roman"/>
          <w:sz w:val="24"/>
        </w:rPr>
        <w:t xml:space="preserve"> </w:t>
      </w:r>
      <w:r w:rsidRPr="00D900FF">
        <w:rPr>
          <w:rFonts w:ascii="Times New Roman" w:hAnsi="Times New Roman"/>
          <w:i/>
          <w:sz w:val="24"/>
        </w:rPr>
        <w:t xml:space="preserve">Brown </w:t>
      </w:r>
      <w:r w:rsidRPr="00D900FF">
        <w:rPr>
          <w:rFonts w:ascii="Times New Roman" w:hAnsi="Times New Roman"/>
          <w:sz w:val="24"/>
        </w:rPr>
        <w:t>(2017) 261 CLR 328 at 362 [9</w:t>
      </w:r>
      <w:r w:rsidR="00DD711F" w:rsidRPr="00D900FF">
        <w:rPr>
          <w:rFonts w:ascii="Times New Roman" w:hAnsi="Times New Roman"/>
          <w:sz w:val="24"/>
        </w:rPr>
        <w:t>6</w:t>
      </w:r>
      <w:r w:rsidRPr="00D900FF">
        <w:rPr>
          <w:rFonts w:ascii="Times New Roman" w:hAnsi="Times New Roman"/>
          <w:sz w:val="24"/>
        </w:rPr>
        <w:t>]</w:t>
      </w:r>
      <w:r w:rsidR="00D61221" w:rsidRPr="00D900FF">
        <w:rPr>
          <w:rFonts w:ascii="Times New Roman" w:hAnsi="Times New Roman"/>
          <w:sz w:val="24"/>
        </w:rPr>
        <w:t>,</w:t>
      </w:r>
      <w:r w:rsidR="000E7E0F" w:rsidRPr="00D900FF">
        <w:rPr>
          <w:rFonts w:ascii="Times New Roman" w:hAnsi="Times New Roman"/>
          <w:sz w:val="24"/>
        </w:rPr>
        <w:t xml:space="preserve"> 391-392 [208]</w:t>
      </w:r>
      <w:r w:rsidRPr="00D900FF">
        <w:rPr>
          <w:rFonts w:ascii="Times New Roman" w:hAnsi="Times New Roman"/>
          <w:sz w:val="24"/>
        </w:rPr>
        <w:t>.</w:t>
      </w:r>
    </w:p>
  </w:footnote>
  <w:footnote w:id="76">
    <w:p w14:paraId="0E1627E1" w14:textId="1125990E" w:rsidR="00347605" w:rsidRPr="00D900FF" w:rsidRDefault="003476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szCs w:val="18"/>
        </w:rPr>
        <w:t>APLA Ltd v Legal Services Commissioner (NSW)</w:t>
      </w:r>
      <w:r w:rsidRPr="00D900FF">
        <w:rPr>
          <w:rFonts w:ascii="Times New Roman" w:hAnsi="Times New Roman"/>
          <w:sz w:val="24"/>
          <w:szCs w:val="18"/>
        </w:rPr>
        <w:t xml:space="preserve"> (2005) 224 CLR 322 at 394 [178]; </w:t>
      </w:r>
      <w:r w:rsidRPr="00D900FF">
        <w:rPr>
          <w:rFonts w:ascii="Times New Roman" w:hAnsi="Times New Roman"/>
          <w:i/>
          <w:sz w:val="24"/>
          <w:szCs w:val="18"/>
        </w:rPr>
        <w:t>McCloy</w:t>
      </w:r>
      <w:r w:rsidRPr="00D900FF">
        <w:rPr>
          <w:rFonts w:ascii="Times New Roman" w:hAnsi="Times New Roman"/>
          <w:sz w:val="24"/>
          <w:szCs w:val="18"/>
        </w:rPr>
        <w:t xml:space="preserve"> (2015) 257 CLR 178 at 232 [132]; </w:t>
      </w:r>
      <w:r w:rsidR="00AA74E6" w:rsidRPr="00D900FF">
        <w:rPr>
          <w:rFonts w:ascii="Times New Roman" w:hAnsi="Times New Roman"/>
          <w:i/>
          <w:sz w:val="24"/>
        </w:rPr>
        <w:t xml:space="preserve">Brown </w:t>
      </w:r>
      <w:r w:rsidR="00AA74E6" w:rsidRPr="00D900FF">
        <w:rPr>
          <w:rFonts w:ascii="Times New Roman" w:hAnsi="Times New Roman"/>
          <w:sz w:val="24"/>
          <w:szCs w:val="18"/>
        </w:rPr>
        <w:t>(2017) 261 CLR 328</w:t>
      </w:r>
      <w:r w:rsidR="00AA74E6" w:rsidRPr="00D900FF">
        <w:rPr>
          <w:rFonts w:ascii="Times New Roman" w:hAnsi="Times New Roman"/>
          <w:i/>
          <w:sz w:val="24"/>
          <w:szCs w:val="18"/>
        </w:rPr>
        <w:t xml:space="preserve"> </w:t>
      </w:r>
      <w:r w:rsidR="00AA74E6" w:rsidRPr="00D900FF">
        <w:rPr>
          <w:rFonts w:ascii="Times New Roman" w:hAnsi="Times New Roman"/>
          <w:sz w:val="24"/>
          <w:szCs w:val="18"/>
        </w:rPr>
        <w:t>at 363 [101],</w:t>
      </w:r>
      <w:r w:rsidR="00AF42C7" w:rsidRPr="00D900FF">
        <w:rPr>
          <w:rFonts w:ascii="Times New Roman" w:hAnsi="Times New Roman"/>
          <w:sz w:val="24"/>
          <w:szCs w:val="18"/>
        </w:rPr>
        <w:t xml:space="preserve"> 391-392 [208],</w:t>
      </w:r>
      <w:r w:rsidR="00AA74E6" w:rsidRPr="00D900FF">
        <w:rPr>
          <w:rFonts w:ascii="Times New Roman" w:hAnsi="Times New Roman"/>
          <w:sz w:val="24"/>
          <w:szCs w:val="18"/>
        </w:rPr>
        <w:t xml:space="preserve"> 432 [321]; </w:t>
      </w:r>
      <w:r w:rsidRPr="00D900FF">
        <w:rPr>
          <w:rFonts w:ascii="Times New Roman" w:hAnsi="Times New Roman"/>
          <w:i/>
          <w:sz w:val="24"/>
        </w:rPr>
        <w:t>Unions</w:t>
      </w:r>
      <w:r w:rsidR="008B50B8" w:rsidRPr="00D900FF">
        <w:rPr>
          <w:rFonts w:ascii="Times New Roman" w:hAnsi="Times New Roman"/>
          <w:i/>
          <w:sz w:val="24"/>
        </w:rPr>
        <w:t xml:space="preserve"> NSW</w:t>
      </w:r>
      <w:r w:rsidRPr="00D900FF">
        <w:rPr>
          <w:rFonts w:ascii="Times New Roman" w:hAnsi="Times New Roman"/>
          <w:i/>
          <w:sz w:val="24"/>
        </w:rPr>
        <w:t xml:space="preserve"> [No 2] </w:t>
      </w:r>
      <w:r w:rsidRPr="00D900FF">
        <w:rPr>
          <w:rFonts w:ascii="Times New Roman" w:hAnsi="Times New Roman"/>
          <w:sz w:val="24"/>
        </w:rPr>
        <w:t>(2019) 264 CLR 595</w:t>
      </w:r>
      <w:r w:rsidRPr="00D900FF">
        <w:rPr>
          <w:rFonts w:ascii="Times New Roman" w:hAnsi="Times New Roman"/>
          <w:i/>
          <w:sz w:val="24"/>
        </w:rPr>
        <w:t xml:space="preserve"> </w:t>
      </w:r>
      <w:r w:rsidRPr="00D900FF">
        <w:rPr>
          <w:rFonts w:ascii="Times New Roman" w:hAnsi="Times New Roman"/>
          <w:sz w:val="24"/>
        </w:rPr>
        <w:t>at 657 [17</w:t>
      </w:r>
      <w:r w:rsidR="008B50B8" w:rsidRPr="00D900FF">
        <w:rPr>
          <w:rFonts w:ascii="Times New Roman" w:hAnsi="Times New Roman"/>
          <w:sz w:val="24"/>
        </w:rPr>
        <w:t>1</w:t>
      </w:r>
      <w:r w:rsidRPr="00D900FF">
        <w:rPr>
          <w:rFonts w:ascii="Times New Roman" w:hAnsi="Times New Roman"/>
          <w:sz w:val="24"/>
        </w:rPr>
        <w:t>]</w:t>
      </w:r>
      <w:r w:rsidR="00F02336" w:rsidRPr="00D900FF">
        <w:rPr>
          <w:rFonts w:ascii="Times New Roman" w:hAnsi="Times New Roman"/>
          <w:sz w:val="24"/>
        </w:rPr>
        <w:t xml:space="preserve">; </w:t>
      </w:r>
      <w:r w:rsidR="00F02336" w:rsidRPr="00D900FF">
        <w:rPr>
          <w:rFonts w:ascii="Times New Roman" w:hAnsi="Times New Roman"/>
          <w:i/>
          <w:sz w:val="24"/>
          <w:szCs w:val="18"/>
        </w:rPr>
        <w:t xml:space="preserve">LibertyWorks </w:t>
      </w:r>
      <w:r w:rsidR="00F02336" w:rsidRPr="00D900FF">
        <w:rPr>
          <w:rFonts w:ascii="Times New Roman" w:hAnsi="Times New Roman"/>
          <w:sz w:val="24"/>
        </w:rPr>
        <w:t>(2021) 274 CLR 1</w:t>
      </w:r>
      <w:r w:rsidR="00F02336" w:rsidRPr="00D900FF">
        <w:rPr>
          <w:rFonts w:ascii="Times New Roman" w:hAnsi="Times New Roman"/>
          <w:sz w:val="24"/>
          <w:szCs w:val="18"/>
        </w:rPr>
        <w:t xml:space="preserve"> at 71 [183]</w:t>
      </w:r>
      <w:r w:rsidR="00AF42C7" w:rsidRPr="00D900FF">
        <w:rPr>
          <w:rFonts w:ascii="Times New Roman" w:hAnsi="Times New Roman"/>
          <w:sz w:val="24"/>
        </w:rPr>
        <w:t>.</w:t>
      </w:r>
      <w:r w:rsidR="00C418CB" w:rsidRPr="00D900FF">
        <w:rPr>
          <w:rFonts w:ascii="Times New Roman" w:hAnsi="Times New Roman"/>
          <w:sz w:val="24"/>
          <w:szCs w:val="18"/>
        </w:rPr>
        <w:t xml:space="preserve"> </w:t>
      </w:r>
      <w:r w:rsidR="00A2126A" w:rsidRPr="00D900FF">
        <w:rPr>
          <w:rFonts w:ascii="Times New Roman" w:hAnsi="Times New Roman"/>
          <w:sz w:val="24"/>
          <w:szCs w:val="18"/>
        </w:rPr>
        <w:t xml:space="preserve">See also </w:t>
      </w:r>
      <w:r w:rsidR="00C418CB" w:rsidRPr="00D900FF">
        <w:rPr>
          <w:rFonts w:ascii="Times New Roman" w:hAnsi="Times New Roman"/>
          <w:i/>
          <w:iCs/>
          <w:sz w:val="24"/>
        </w:rPr>
        <w:t>Farmer</w:t>
      </w:r>
      <w:r w:rsidR="00C418CB" w:rsidRPr="00D900FF">
        <w:rPr>
          <w:rFonts w:ascii="Times New Roman" w:hAnsi="Times New Roman"/>
          <w:sz w:val="24"/>
        </w:rPr>
        <w:t xml:space="preserve"> (2025) 99 ALJR 1408 at 1424 [54]; 425 ALR 116 at 132</w:t>
      </w:r>
      <w:r w:rsidRPr="00D900FF">
        <w:rPr>
          <w:rFonts w:ascii="Times New Roman" w:hAnsi="Times New Roman"/>
          <w:sz w:val="24"/>
          <w:szCs w:val="18"/>
        </w:rPr>
        <w:t>.</w:t>
      </w:r>
    </w:p>
  </w:footnote>
  <w:footnote w:id="77">
    <w:p w14:paraId="0304A787" w14:textId="7698AEDE" w:rsidR="00347605" w:rsidRPr="00D900FF" w:rsidRDefault="003476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w:t>
      </w:r>
      <w:r w:rsidRPr="00D900FF">
        <w:rPr>
          <w:rFonts w:ascii="Times New Roman" w:hAnsi="Times New Roman"/>
          <w:i/>
          <w:sz w:val="24"/>
        </w:rPr>
        <w:t xml:space="preserve">McCloy </w:t>
      </w:r>
      <w:r w:rsidRPr="00D900FF">
        <w:rPr>
          <w:rFonts w:ascii="Times New Roman" w:hAnsi="Times New Roman"/>
          <w:sz w:val="24"/>
        </w:rPr>
        <w:t>(2015) 257 CLR 178 at 205 [40];</w:t>
      </w:r>
      <w:r w:rsidR="008B5E48" w:rsidRPr="00D900FF">
        <w:rPr>
          <w:rFonts w:ascii="Times New Roman" w:hAnsi="Times New Roman"/>
          <w:sz w:val="24"/>
        </w:rPr>
        <w:t xml:space="preserve"> </w:t>
      </w:r>
      <w:r w:rsidR="008B5E48" w:rsidRPr="00D900FF">
        <w:rPr>
          <w:rFonts w:ascii="Times New Roman" w:hAnsi="Times New Roman"/>
          <w:i/>
          <w:iCs/>
          <w:sz w:val="24"/>
        </w:rPr>
        <w:t>Brown</w:t>
      </w:r>
      <w:r w:rsidR="008B5E48" w:rsidRPr="00D900FF">
        <w:rPr>
          <w:rFonts w:ascii="Times New Roman" w:hAnsi="Times New Roman"/>
          <w:sz w:val="24"/>
        </w:rPr>
        <w:t xml:space="preserve"> (2017) 261 CLR 328 at 362-363 [100]</w:t>
      </w:r>
      <w:r w:rsidR="00943C8D" w:rsidRPr="00D900FF">
        <w:rPr>
          <w:rFonts w:ascii="Times New Roman" w:hAnsi="Times New Roman"/>
          <w:sz w:val="24"/>
        </w:rPr>
        <w:t>, 416 [277</w:t>
      </w:r>
      <w:r w:rsidR="008B5E48" w:rsidRPr="00D900FF">
        <w:rPr>
          <w:rFonts w:ascii="Times New Roman" w:hAnsi="Times New Roman"/>
          <w:sz w:val="24"/>
        </w:rPr>
        <w:t>]</w:t>
      </w:r>
      <w:r w:rsidR="000537A4" w:rsidRPr="00D900FF">
        <w:rPr>
          <w:rFonts w:ascii="Times New Roman" w:hAnsi="Times New Roman"/>
          <w:sz w:val="24"/>
        </w:rPr>
        <w:t>, 4</w:t>
      </w:r>
      <w:r w:rsidR="001E28AB" w:rsidRPr="00D900FF">
        <w:rPr>
          <w:rFonts w:ascii="Times New Roman" w:hAnsi="Times New Roman"/>
          <w:sz w:val="24"/>
        </w:rPr>
        <w:t>3</w:t>
      </w:r>
      <w:r w:rsidR="000537A4" w:rsidRPr="00D900FF">
        <w:rPr>
          <w:rFonts w:ascii="Times New Roman" w:hAnsi="Times New Roman"/>
          <w:sz w:val="24"/>
        </w:rPr>
        <w:t>2-4</w:t>
      </w:r>
      <w:r w:rsidR="001E28AB" w:rsidRPr="00D900FF">
        <w:rPr>
          <w:rFonts w:ascii="Times New Roman" w:hAnsi="Times New Roman"/>
          <w:sz w:val="24"/>
        </w:rPr>
        <w:t>3</w:t>
      </w:r>
      <w:r w:rsidR="000537A4" w:rsidRPr="00D900FF">
        <w:rPr>
          <w:rFonts w:ascii="Times New Roman" w:hAnsi="Times New Roman"/>
          <w:sz w:val="24"/>
        </w:rPr>
        <w:t>3 [322]</w:t>
      </w:r>
      <w:r w:rsidR="008B5E48" w:rsidRPr="00D900FF">
        <w:rPr>
          <w:rFonts w:ascii="Times New Roman" w:hAnsi="Times New Roman"/>
          <w:sz w:val="24"/>
        </w:rPr>
        <w:t>;</w:t>
      </w:r>
      <w:r w:rsidRPr="00D900FF">
        <w:rPr>
          <w:rFonts w:ascii="Times New Roman" w:hAnsi="Times New Roman"/>
          <w:sz w:val="24"/>
        </w:rPr>
        <w:t xml:space="preserve"> </w:t>
      </w:r>
      <w:r w:rsidRPr="00D900FF">
        <w:rPr>
          <w:rFonts w:ascii="Times New Roman" w:hAnsi="Times New Roman"/>
          <w:i/>
          <w:sz w:val="24"/>
        </w:rPr>
        <w:t xml:space="preserve">Ravbar </w:t>
      </w:r>
      <w:r w:rsidRPr="00D900FF">
        <w:rPr>
          <w:rFonts w:ascii="Times New Roman" w:hAnsi="Times New Roman"/>
          <w:sz w:val="24"/>
        </w:rPr>
        <w:t>(2025) 99 ALJR 1000 at 1034 [121], 1044 [173]</w:t>
      </w:r>
      <w:r w:rsidR="002A2423" w:rsidRPr="00D900FF">
        <w:rPr>
          <w:rFonts w:ascii="Times New Roman" w:hAnsi="Times New Roman"/>
          <w:sz w:val="24"/>
        </w:rPr>
        <w:t xml:space="preserve">; 423 ALR 241 at </w:t>
      </w:r>
      <w:r w:rsidR="00B75140" w:rsidRPr="00D900FF">
        <w:rPr>
          <w:rFonts w:ascii="Times New Roman" w:hAnsi="Times New Roman"/>
          <w:sz w:val="24"/>
        </w:rPr>
        <w:t xml:space="preserve">278, </w:t>
      </w:r>
      <w:r w:rsidR="00792394" w:rsidRPr="00D900FF">
        <w:rPr>
          <w:rFonts w:ascii="Times New Roman" w:hAnsi="Times New Roman"/>
          <w:sz w:val="24"/>
        </w:rPr>
        <w:t>291-292</w:t>
      </w:r>
      <w:r w:rsidRPr="00D900FF">
        <w:rPr>
          <w:rFonts w:ascii="Times New Roman" w:hAnsi="Times New Roman"/>
          <w:sz w:val="24"/>
        </w:rPr>
        <w:t>.</w:t>
      </w:r>
    </w:p>
  </w:footnote>
  <w:footnote w:id="78">
    <w:p w14:paraId="649B8FC7" w14:textId="4189C333" w:rsidR="00347605" w:rsidRPr="00D900FF" w:rsidRDefault="003476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sz w:val="24"/>
        </w:rPr>
        <w:t>Unions</w:t>
      </w:r>
      <w:r w:rsidR="00FC71AC" w:rsidRPr="00D900FF">
        <w:rPr>
          <w:rFonts w:ascii="Times New Roman" w:hAnsi="Times New Roman"/>
          <w:i/>
          <w:sz w:val="24"/>
        </w:rPr>
        <w:t xml:space="preserve"> NSW</w:t>
      </w:r>
      <w:r w:rsidRPr="00D900FF">
        <w:rPr>
          <w:rFonts w:ascii="Times New Roman" w:hAnsi="Times New Roman"/>
          <w:i/>
          <w:sz w:val="24"/>
        </w:rPr>
        <w:t xml:space="preserve"> [No 2] </w:t>
      </w:r>
      <w:r w:rsidRPr="00D900FF">
        <w:rPr>
          <w:rFonts w:ascii="Times New Roman" w:hAnsi="Times New Roman"/>
          <w:sz w:val="24"/>
        </w:rPr>
        <w:t xml:space="preserve">(2019) 264 CLR 595 at 627 [79]. See also </w:t>
      </w:r>
      <w:r w:rsidRPr="00D900FF">
        <w:rPr>
          <w:rFonts w:ascii="Times New Roman" w:hAnsi="Times New Roman"/>
          <w:i/>
          <w:sz w:val="24"/>
        </w:rPr>
        <w:t xml:space="preserve">Ravbar </w:t>
      </w:r>
      <w:r w:rsidRPr="00D900FF">
        <w:rPr>
          <w:rFonts w:ascii="Times New Roman" w:hAnsi="Times New Roman"/>
          <w:sz w:val="24"/>
        </w:rPr>
        <w:t>(2025) 99 ALJR 1000 at 1022 [59], 1045 [178</w:t>
      </w:r>
      <w:r w:rsidR="005E0B04" w:rsidRPr="00D900FF">
        <w:rPr>
          <w:rFonts w:ascii="Times New Roman" w:hAnsi="Times New Roman"/>
          <w:sz w:val="24"/>
        </w:rPr>
        <w:t>]</w:t>
      </w:r>
      <w:r w:rsidR="00D061B4" w:rsidRPr="00D900FF">
        <w:rPr>
          <w:rFonts w:ascii="Times New Roman" w:hAnsi="Times New Roman"/>
          <w:sz w:val="24"/>
        </w:rPr>
        <w:t xml:space="preserve">; 423 ALR 241 at </w:t>
      </w:r>
      <w:r w:rsidR="001F50FE" w:rsidRPr="00D900FF">
        <w:rPr>
          <w:rFonts w:ascii="Times New Roman" w:hAnsi="Times New Roman"/>
          <w:sz w:val="24"/>
        </w:rPr>
        <w:t>262, 293</w:t>
      </w:r>
      <w:r w:rsidRPr="00D900FF">
        <w:rPr>
          <w:rFonts w:ascii="Times New Roman" w:hAnsi="Times New Roman"/>
          <w:sz w:val="24"/>
        </w:rPr>
        <w:t>.</w:t>
      </w:r>
    </w:p>
  </w:footnote>
  <w:footnote w:id="79">
    <w:p w14:paraId="191200A7" w14:textId="53E93A68" w:rsidR="005D20A1" w:rsidRPr="00D900FF" w:rsidRDefault="005D20A1" w:rsidP="00D900FF">
      <w:pPr>
        <w:pStyle w:val="FootnoteText"/>
        <w:spacing w:line="280" w:lineRule="exact"/>
        <w:ind w:right="0"/>
        <w:jc w:val="both"/>
        <w:rPr>
          <w:rFonts w:ascii="Times New Roman" w:hAnsi="Times New Roman"/>
          <w:sz w:val="24"/>
          <w:u w:val="single"/>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See</w:t>
      </w:r>
      <w:r w:rsidR="00E63970" w:rsidRPr="00D900FF">
        <w:rPr>
          <w:rFonts w:ascii="Times New Roman" w:hAnsi="Times New Roman"/>
          <w:sz w:val="24"/>
        </w:rPr>
        <w:t xml:space="preserve"> [</w:t>
      </w:r>
      <w:r w:rsidR="00E612F9" w:rsidRPr="00D900FF">
        <w:rPr>
          <w:rFonts w:ascii="Times New Roman" w:hAnsi="Times New Roman"/>
          <w:sz w:val="24"/>
        </w:rPr>
        <w:t>2</w:t>
      </w:r>
      <w:r w:rsidR="002F7B24" w:rsidRPr="00D900FF">
        <w:rPr>
          <w:rFonts w:ascii="Times New Roman" w:hAnsi="Times New Roman"/>
          <w:sz w:val="24"/>
        </w:rPr>
        <w:t>7</w:t>
      </w:r>
      <w:r w:rsidR="00E63970" w:rsidRPr="00D900FF">
        <w:rPr>
          <w:rFonts w:ascii="Times New Roman" w:hAnsi="Times New Roman"/>
          <w:sz w:val="24"/>
        </w:rPr>
        <w:t>] above.</w:t>
      </w:r>
    </w:p>
  </w:footnote>
  <w:footnote w:id="80">
    <w:p w14:paraId="037A76C9" w14:textId="0468BF00" w:rsidR="00B33AA1" w:rsidRPr="00D900FF" w:rsidRDefault="00B33AA1"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See [</w:t>
      </w:r>
      <w:r w:rsidR="00A10613" w:rsidRPr="00D900FF">
        <w:rPr>
          <w:rFonts w:ascii="Times New Roman" w:hAnsi="Times New Roman"/>
          <w:sz w:val="24"/>
        </w:rPr>
        <w:t>3</w:t>
      </w:r>
      <w:r w:rsidR="007829CB" w:rsidRPr="00D900FF">
        <w:rPr>
          <w:rFonts w:ascii="Times New Roman" w:hAnsi="Times New Roman"/>
          <w:sz w:val="24"/>
        </w:rPr>
        <w:t>6</w:t>
      </w:r>
      <w:r w:rsidRPr="00D900FF">
        <w:rPr>
          <w:rFonts w:ascii="Times New Roman" w:hAnsi="Times New Roman"/>
          <w:sz w:val="24"/>
        </w:rPr>
        <w:t>]-[</w:t>
      </w:r>
      <w:r w:rsidR="00066E95" w:rsidRPr="00D900FF">
        <w:rPr>
          <w:rFonts w:ascii="Times New Roman" w:hAnsi="Times New Roman"/>
          <w:sz w:val="24"/>
        </w:rPr>
        <w:t>3</w:t>
      </w:r>
      <w:r w:rsidR="007829CB" w:rsidRPr="00D900FF">
        <w:rPr>
          <w:rFonts w:ascii="Times New Roman" w:hAnsi="Times New Roman"/>
          <w:sz w:val="24"/>
        </w:rPr>
        <w:t>8</w:t>
      </w:r>
      <w:r w:rsidRPr="00D900FF">
        <w:rPr>
          <w:rFonts w:ascii="Times New Roman" w:hAnsi="Times New Roman"/>
          <w:sz w:val="24"/>
        </w:rPr>
        <w:t>] above.</w:t>
      </w:r>
    </w:p>
  </w:footnote>
  <w:footnote w:id="81">
    <w:p w14:paraId="7F348DE7" w14:textId="28F21104" w:rsidR="007B73C6" w:rsidRPr="00D900FF" w:rsidRDefault="007B73C6"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cf </w:t>
      </w:r>
      <w:r w:rsidR="00C22046" w:rsidRPr="00D900FF">
        <w:rPr>
          <w:rFonts w:ascii="Times New Roman" w:hAnsi="Times New Roman"/>
          <w:i/>
          <w:iCs/>
          <w:sz w:val="24"/>
        </w:rPr>
        <w:t>Brown</w:t>
      </w:r>
      <w:r w:rsidR="00C22046" w:rsidRPr="00D900FF">
        <w:rPr>
          <w:rFonts w:ascii="Times New Roman" w:hAnsi="Times New Roman"/>
          <w:sz w:val="24"/>
        </w:rPr>
        <w:t xml:space="preserve"> (2017) 261 CLR 328 at 468 [440]</w:t>
      </w:r>
      <w:r w:rsidR="004A466B" w:rsidRPr="00D900FF">
        <w:rPr>
          <w:rFonts w:ascii="Times New Roman" w:hAnsi="Times New Roman"/>
          <w:sz w:val="24"/>
        </w:rPr>
        <w:t>. See also</w:t>
      </w:r>
      <w:r w:rsidR="00C22046" w:rsidRPr="00D900FF">
        <w:rPr>
          <w:rFonts w:ascii="Times New Roman" w:hAnsi="Times New Roman"/>
          <w:sz w:val="24"/>
        </w:rPr>
        <w:t xml:space="preserve"> </w:t>
      </w:r>
      <w:r w:rsidRPr="00D900FF">
        <w:rPr>
          <w:rFonts w:ascii="Times New Roman" w:hAnsi="Times New Roman"/>
          <w:i/>
          <w:iCs/>
          <w:sz w:val="24"/>
        </w:rPr>
        <w:t xml:space="preserve">Unions </w:t>
      </w:r>
      <w:r w:rsidR="00730839" w:rsidRPr="00D900FF">
        <w:rPr>
          <w:rFonts w:ascii="Times New Roman" w:hAnsi="Times New Roman"/>
          <w:i/>
          <w:iCs/>
          <w:sz w:val="24"/>
        </w:rPr>
        <w:t>NSW [</w:t>
      </w:r>
      <w:r w:rsidR="005E0B04" w:rsidRPr="00D900FF">
        <w:rPr>
          <w:rFonts w:ascii="Times New Roman" w:hAnsi="Times New Roman"/>
          <w:i/>
          <w:iCs/>
          <w:sz w:val="24"/>
        </w:rPr>
        <w:t>No 1</w:t>
      </w:r>
      <w:r w:rsidR="00730839" w:rsidRPr="00D900FF">
        <w:rPr>
          <w:rFonts w:ascii="Times New Roman" w:hAnsi="Times New Roman"/>
          <w:i/>
          <w:iCs/>
          <w:sz w:val="24"/>
        </w:rPr>
        <w:t>]</w:t>
      </w:r>
      <w:r w:rsidRPr="00D900FF">
        <w:rPr>
          <w:rFonts w:ascii="Times New Roman" w:hAnsi="Times New Roman"/>
          <w:sz w:val="24"/>
        </w:rPr>
        <w:t xml:space="preserve"> (2013) 252 CLR 530 at 557-558 [51]-[53].</w:t>
      </w:r>
    </w:p>
  </w:footnote>
  <w:footnote w:id="82">
    <w:p w14:paraId="3292C737" w14:textId="232615B5" w:rsidR="00504A05" w:rsidRPr="00D900FF" w:rsidRDefault="00504A0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w:t>
      </w:r>
      <w:r w:rsidRPr="00D900FF">
        <w:rPr>
          <w:rFonts w:ascii="Times New Roman" w:hAnsi="Times New Roman"/>
          <w:i/>
          <w:sz w:val="24"/>
        </w:rPr>
        <w:t>Brown</w:t>
      </w:r>
      <w:r w:rsidRPr="00D900FF">
        <w:rPr>
          <w:rFonts w:ascii="Times New Roman" w:hAnsi="Times New Roman"/>
          <w:sz w:val="24"/>
        </w:rPr>
        <w:t xml:space="preserve"> (2017) 261 CLR 328 at 393-394 [215]-[217]. </w:t>
      </w:r>
    </w:p>
  </w:footnote>
  <w:footnote w:id="83">
    <w:p w14:paraId="0B19605B" w14:textId="03AB8D21" w:rsidR="00AD481F" w:rsidRPr="00D900FF" w:rsidRDefault="00AD481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156C8D" w:rsidRPr="00D900FF">
        <w:rPr>
          <w:rFonts w:ascii="Times New Roman" w:hAnsi="Times New Roman"/>
          <w:sz w:val="24"/>
        </w:rPr>
        <w:t xml:space="preserve">cf </w:t>
      </w:r>
      <w:r w:rsidRPr="00D900FF">
        <w:rPr>
          <w:rFonts w:ascii="Times New Roman" w:hAnsi="Times New Roman"/>
          <w:i/>
          <w:iCs/>
          <w:sz w:val="24"/>
        </w:rPr>
        <w:t>Farmer</w:t>
      </w:r>
      <w:r w:rsidR="001A76BE" w:rsidRPr="00D900FF">
        <w:rPr>
          <w:rFonts w:ascii="Times New Roman" w:hAnsi="Times New Roman"/>
          <w:sz w:val="24"/>
        </w:rPr>
        <w:t xml:space="preserve"> </w:t>
      </w:r>
      <w:r w:rsidR="005F0600" w:rsidRPr="00D900FF">
        <w:rPr>
          <w:rFonts w:ascii="Times New Roman" w:hAnsi="Times New Roman"/>
          <w:sz w:val="24"/>
        </w:rPr>
        <w:t>(2025) 99 ALJR 1408</w:t>
      </w:r>
      <w:r w:rsidRPr="00D900FF">
        <w:rPr>
          <w:rFonts w:ascii="Times New Roman" w:hAnsi="Times New Roman"/>
          <w:sz w:val="24"/>
        </w:rPr>
        <w:t xml:space="preserve"> at </w:t>
      </w:r>
      <w:r w:rsidR="00930D6C" w:rsidRPr="00D900FF">
        <w:rPr>
          <w:rFonts w:ascii="Times New Roman" w:hAnsi="Times New Roman"/>
          <w:sz w:val="24"/>
        </w:rPr>
        <w:t xml:space="preserve">1424 </w:t>
      </w:r>
      <w:r w:rsidRPr="00D900FF">
        <w:rPr>
          <w:rFonts w:ascii="Times New Roman" w:hAnsi="Times New Roman"/>
          <w:sz w:val="24"/>
        </w:rPr>
        <w:t>[57]</w:t>
      </w:r>
      <w:r w:rsidR="00054081" w:rsidRPr="00D900FF">
        <w:rPr>
          <w:rFonts w:ascii="Times New Roman" w:hAnsi="Times New Roman"/>
          <w:sz w:val="24"/>
        </w:rPr>
        <w:t xml:space="preserve">; 425 ALR 116 at </w:t>
      </w:r>
      <w:r w:rsidR="00156C8D" w:rsidRPr="00D900FF">
        <w:rPr>
          <w:rFonts w:ascii="Times New Roman" w:hAnsi="Times New Roman"/>
          <w:sz w:val="24"/>
        </w:rPr>
        <w:t>133</w:t>
      </w:r>
      <w:r w:rsidR="001C2FA0" w:rsidRPr="00D900FF">
        <w:rPr>
          <w:rFonts w:ascii="Times New Roman" w:hAnsi="Times New Roman"/>
          <w:sz w:val="24"/>
        </w:rPr>
        <w:t>.</w:t>
      </w:r>
    </w:p>
  </w:footnote>
  <w:footnote w:id="84">
    <w:p w14:paraId="6034E1EF" w14:textId="51803485" w:rsidR="00936CA5" w:rsidRPr="00D900FF" w:rsidRDefault="00936CA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Unions</w:t>
      </w:r>
      <w:r w:rsidR="004413AC" w:rsidRPr="00D900FF">
        <w:rPr>
          <w:rFonts w:ascii="Times New Roman" w:hAnsi="Times New Roman"/>
          <w:i/>
          <w:iCs/>
          <w:sz w:val="24"/>
        </w:rPr>
        <w:t xml:space="preserve"> NSW</w:t>
      </w:r>
      <w:r w:rsidRPr="00D900FF">
        <w:rPr>
          <w:rFonts w:ascii="Times New Roman" w:hAnsi="Times New Roman"/>
          <w:i/>
          <w:iCs/>
          <w:sz w:val="24"/>
        </w:rPr>
        <w:t xml:space="preserve"> [No 3]</w:t>
      </w:r>
      <w:r w:rsidRPr="00D900FF">
        <w:rPr>
          <w:rFonts w:ascii="Times New Roman" w:hAnsi="Times New Roman"/>
          <w:sz w:val="24"/>
        </w:rPr>
        <w:t xml:space="preserve"> (2023) 277 CLR 627 at </w:t>
      </w:r>
      <w:r w:rsidR="00C56B4E" w:rsidRPr="00D900FF">
        <w:rPr>
          <w:rFonts w:ascii="Times New Roman" w:hAnsi="Times New Roman"/>
          <w:sz w:val="24"/>
        </w:rPr>
        <w:t xml:space="preserve">644 [31], </w:t>
      </w:r>
      <w:r w:rsidRPr="00D900FF">
        <w:rPr>
          <w:rFonts w:ascii="Times New Roman" w:hAnsi="Times New Roman"/>
          <w:sz w:val="24"/>
        </w:rPr>
        <w:t xml:space="preserve">645 [33]. </w:t>
      </w:r>
    </w:p>
  </w:footnote>
  <w:footnote w:id="85">
    <w:p w14:paraId="70CD7E67" w14:textId="162FCBA5" w:rsidR="00204FBB" w:rsidRPr="00D900FF" w:rsidRDefault="00204FB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See [3</w:t>
      </w:r>
      <w:r w:rsidR="00BA12F2" w:rsidRPr="00D900FF">
        <w:rPr>
          <w:rFonts w:ascii="Times New Roman" w:hAnsi="Times New Roman"/>
          <w:sz w:val="24"/>
        </w:rPr>
        <w:t>7</w:t>
      </w:r>
      <w:r w:rsidRPr="00D900FF">
        <w:rPr>
          <w:rFonts w:ascii="Times New Roman" w:hAnsi="Times New Roman"/>
          <w:sz w:val="24"/>
        </w:rPr>
        <w:t>].</w:t>
      </w:r>
    </w:p>
  </w:footnote>
  <w:footnote w:id="86">
    <w:p w14:paraId="67CC6856" w14:textId="67E0E930" w:rsidR="00936CA5" w:rsidRPr="00D900FF" w:rsidRDefault="00936CA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(2023) 277 CLR 627 at 644-645 [31]-[33]. </w:t>
      </w:r>
    </w:p>
  </w:footnote>
  <w:footnote w:id="87">
    <w:p w14:paraId="27CB9544" w14:textId="6A6D5E56" w:rsidR="00936CA5" w:rsidRPr="00D900FF" w:rsidRDefault="00936CA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(2023) 277 CLR 627 at 645 [33]. </w:t>
      </w:r>
    </w:p>
  </w:footnote>
  <w:footnote w:id="88">
    <w:p w14:paraId="482A2C5E" w14:textId="3D616C85" w:rsidR="00936CA5" w:rsidRPr="00D900FF" w:rsidRDefault="00936CA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Unions</w:t>
      </w:r>
      <w:r w:rsidR="00835402" w:rsidRPr="00D900FF">
        <w:rPr>
          <w:rFonts w:ascii="Times New Roman" w:hAnsi="Times New Roman"/>
          <w:i/>
          <w:iCs/>
          <w:sz w:val="24"/>
        </w:rPr>
        <w:t xml:space="preserve"> NSW</w:t>
      </w:r>
      <w:r w:rsidRPr="00D900FF">
        <w:rPr>
          <w:rFonts w:ascii="Times New Roman" w:hAnsi="Times New Roman"/>
          <w:i/>
          <w:iCs/>
          <w:sz w:val="24"/>
        </w:rPr>
        <w:t xml:space="preserve"> [No 3]</w:t>
      </w:r>
      <w:r w:rsidRPr="00D900FF">
        <w:rPr>
          <w:rFonts w:ascii="Times New Roman" w:hAnsi="Times New Roman"/>
          <w:sz w:val="24"/>
        </w:rPr>
        <w:t xml:space="preserve"> (2023) 277 CLR 627 at 644 [31], 645 [33]. </w:t>
      </w:r>
    </w:p>
  </w:footnote>
  <w:footnote w:id="89">
    <w:p w14:paraId="40B58671" w14:textId="5E1C4DA4" w:rsidR="00966614" w:rsidRPr="00D900FF" w:rsidRDefault="00966614"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Interpretation Act,</w:t>
      </w:r>
      <w:r w:rsidRPr="00D900FF">
        <w:rPr>
          <w:rFonts w:ascii="Times New Roman" w:hAnsi="Times New Roman"/>
          <w:i/>
          <w:iCs/>
          <w:sz w:val="24"/>
        </w:rPr>
        <w:t xml:space="preserve"> </w:t>
      </w:r>
      <w:r w:rsidRPr="00D900FF">
        <w:rPr>
          <w:rFonts w:ascii="Times New Roman" w:hAnsi="Times New Roman"/>
          <w:sz w:val="24"/>
        </w:rPr>
        <w:t>s</w:t>
      </w:r>
      <w:r w:rsidR="008A1F83" w:rsidRPr="00D900FF">
        <w:rPr>
          <w:rFonts w:ascii="Times New Roman" w:hAnsi="Times New Roman"/>
          <w:sz w:val="24"/>
        </w:rPr>
        <w:t>s</w:t>
      </w:r>
      <w:r w:rsidRPr="00D900FF">
        <w:rPr>
          <w:rFonts w:ascii="Times New Roman" w:hAnsi="Times New Roman"/>
          <w:sz w:val="24"/>
        </w:rPr>
        <w:t xml:space="preserve"> 4(1)(a)</w:t>
      </w:r>
      <w:r w:rsidR="00FE61AF" w:rsidRPr="00D900FF">
        <w:rPr>
          <w:rFonts w:ascii="Times New Roman" w:hAnsi="Times New Roman"/>
          <w:sz w:val="24"/>
        </w:rPr>
        <w:t xml:space="preserve"> and</w:t>
      </w:r>
      <w:r w:rsidR="008A1F83" w:rsidRPr="00D900FF">
        <w:rPr>
          <w:rFonts w:ascii="Times New Roman" w:hAnsi="Times New Roman"/>
          <w:sz w:val="24"/>
        </w:rPr>
        <w:t xml:space="preserve"> 38 definition of "Act"</w:t>
      </w:r>
      <w:r w:rsidRPr="00D900FF">
        <w:rPr>
          <w:rFonts w:ascii="Times New Roman" w:hAnsi="Times New Roman"/>
          <w:sz w:val="24"/>
        </w:rPr>
        <w:t xml:space="preserve">. </w:t>
      </w:r>
    </w:p>
  </w:footnote>
  <w:footnote w:id="90">
    <w:p w14:paraId="0EF37937" w14:textId="1C88FB84" w:rsidR="00966614" w:rsidRPr="00D900FF" w:rsidRDefault="00966614"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B22CEA" w:rsidRPr="00D900FF">
        <w:rPr>
          <w:rFonts w:ascii="Times New Roman" w:hAnsi="Times New Roman"/>
          <w:i/>
          <w:iCs/>
          <w:sz w:val="24"/>
        </w:rPr>
        <w:t>Bank of NSW v The Commonwealth</w:t>
      </w:r>
      <w:r w:rsidR="00B22CEA" w:rsidRPr="00D900FF">
        <w:rPr>
          <w:rFonts w:ascii="Times New Roman" w:hAnsi="Times New Roman"/>
          <w:sz w:val="24"/>
        </w:rPr>
        <w:t xml:space="preserve"> ("the </w:t>
      </w:r>
      <w:r w:rsidRPr="00D900FF">
        <w:rPr>
          <w:rFonts w:ascii="Times New Roman" w:hAnsi="Times New Roman"/>
          <w:i/>
          <w:sz w:val="24"/>
        </w:rPr>
        <w:t>Bank Nationalisation Case</w:t>
      </w:r>
      <w:r w:rsidR="00B22CEA" w:rsidRPr="00D900FF">
        <w:rPr>
          <w:rFonts w:ascii="Times New Roman" w:hAnsi="Times New Roman"/>
          <w:iCs/>
          <w:sz w:val="24"/>
        </w:rPr>
        <w:t>")</w:t>
      </w:r>
      <w:r w:rsidRPr="00D900FF">
        <w:rPr>
          <w:rFonts w:ascii="Times New Roman" w:hAnsi="Times New Roman"/>
          <w:i/>
          <w:sz w:val="24"/>
        </w:rPr>
        <w:t xml:space="preserve"> </w:t>
      </w:r>
      <w:r w:rsidRPr="00D900FF">
        <w:rPr>
          <w:rFonts w:ascii="Times New Roman" w:hAnsi="Times New Roman"/>
          <w:sz w:val="24"/>
        </w:rPr>
        <w:t>(1948) 76 CLR 1 at 37</w:t>
      </w:r>
      <w:r w:rsidR="00B64C90" w:rsidRPr="00D900FF">
        <w:rPr>
          <w:rFonts w:ascii="Times New Roman" w:hAnsi="Times New Roman"/>
          <w:sz w:val="24"/>
        </w:rPr>
        <w:t>1</w:t>
      </w:r>
      <w:r w:rsidRPr="00D900FF">
        <w:rPr>
          <w:rFonts w:ascii="Times New Roman" w:hAnsi="Times New Roman"/>
          <w:sz w:val="24"/>
        </w:rPr>
        <w:t xml:space="preserve">, quoted in </w:t>
      </w:r>
      <w:r w:rsidRPr="00D900FF">
        <w:rPr>
          <w:rFonts w:ascii="Times New Roman" w:hAnsi="Times New Roman"/>
          <w:i/>
          <w:iCs/>
          <w:sz w:val="24"/>
        </w:rPr>
        <w:t xml:space="preserve">Tajjour </w:t>
      </w:r>
      <w:r w:rsidRPr="00D900FF">
        <w:rPr>
          <w:rFonts w:ascii="Times New Roman" w:hAnsi="Times New Roman"/>
          <w:sz w:val="24"/>
        </w:rPr>
        <w:t xml:space="preserve">(2014) 254 CLR 508 at 585 [169] and </w:t>
      </w:r>
      <w:r w:rsidRPr="00D900FF">
        <w:rPr>
          <w:rFonts w:ascii="Times New Roman" w:hAnsi="Times New Roman"/>
          <w:i/>
          <w:iCs/>
          <w:sz w:val="24"/>
        </w:rPr>
        <w:t>Clubb v Edwards</w:t>
      </w:r>
      <w:r w:rsidRPr="00D900FF">
        <w:rPr>
          <w:rFonts w:ascii="Times New Roman" w:hAnsi="Times New Roman"/>
          <w:sz w:val="24"/>
        </w:rPr>
        <w:t xml:space="preserve"> (2019) 267 CLR 171 at 218 [141], 290 [340].</w:t>
      </w:r>
    </w:p>
  </w:footnote>
  <w:footnote w:id="91">
    <w:p w14:paraId="0BFBFFD7" w14:textId="73125C4F" w:rsidR="00E257CD" w:rsidRPr="00D900FF" w:rsidRDefault="00E257C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Spence</w:t>
      </w:r>
      <w:r w:rsidR="00E538B8" w:rsidRPr="00D900FF">
        <w:rPr>
          <w:rFonts w:ascii="Times New Roman" w:hAnsi="Times New Roman"/>
          <w:i/>
          <w:iCs/>
          <w:sz w:val="24"/>
        </w:rPr>
        <w:t xml:space="preserve"> v Queensland</w:t>
      </w:r>
      <w:r w:rsidRPr="00D900FF">
        <w:rPr>
          <w:rFonts w:ascii="Times New Roman" w:hAnsi="Times New Roman"/>
          <w:i/>
          <w:iCs/>
          <w:sz w:val="24"/>
        </w:rPr>
        <w:t xml:space="preserve"> </w:t>
      </w:r>
      <w:r w:rsidRPr="00D900FF">
        <w:rPr>
          <w:rFonts w:ascii="Times New Roman" w:hAnsi="Times New Roman"/>
          <w:sz w:val="24"/>
        </w:rPr>
        <w:t>(2019) 268 CLR 355 at 415 [87].</w:t>
      </w:r>
    </w:p>
  </w:footnote>
  <w:footnote w:id="92">
    <w:p w14:paraId="5D92994B" w14:textId="54397C74" w:rsidR="00E257CD" w:rsidRPr="00D900FF" w:rsidRDefault="00E257C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Pidoto</w:t>
      </w:r>
      <w:r w:rsidR="001C3E68" w:rsidRPr="00D900FF">
        <w:rPr>
          <w:rFonts w:ascii="Times New Roman" w:hAnsi="Times New Roman"/>
          <w:i/>
          <w:iCs/>
          <w:sz w:val="24"/>
        </w:rPr>
        <w:t xml:space="preserve"> v Victoria</w:t>
      </w:r>
      <w:r w:rsidRPr="00D900FF">
        <w:rPr>
          <w:rFonts w:ascii="Times New Roman" w:hAnsi="Times New Roman"/>
          <w:sz w:val="24"/>
        </w:rPr>
        <w:t xml:space="preserve"> (1943) 68 CLR 87 at 111. See also </w:t>
      </w:r>
      <w:r w:rsidRPr="00D900FF">
        <w:rPr>
          <w:rFonts w:ascii="Times New Roman" w:hAnsi="Times New Roman"/>
          <w:i/>
          <w:iCs/>
          <w:sz w:val="24"/>
        </w:rPr>
        <w:t xml:space="preserve">Spence </w:t>
      </w:r>
      <w:r w:rsidRPr="00D900FF">
        <w:rPr>
          <w:rFonts w:ascii="Times New Roman" w:hAnsi="Times New Roman"/>
          <w:sz w:val="24"/>
        </w:rPr>
        <w:t xml:space="preserve">(2019) 268 CLR 355 at 415 [87]. </w:t>
      </w:r>
    </w:p>
  </w:footnote>
  <w:footnote w:id="93">
    <w:p w14:paraId="5C0FC94E" w14:textId="77777777" w:rsidR="00E257CD" w:rsidRPr="00D900FF" w:rsidRDefault="00E257C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 xml:space="preserve">Spence </w:t>
      </w:r>
      <w:r w:rsidRPr="00D900FF">
        <w:rPr>
          <w:rFonts w:ascii="Times New Roman" w:hAnsi="Times New Roman"/>
          <w:sz w:val="24"/>
        </w:rPr>
        <w:t xml:space="preserve">(2019) 268 CLR 355 at 415 [89]. See also </w:t>
      </w:r>
      <w:r w:rsidRPr="00D900FF">
        <w:rPr>
          <w:rFonts w:ascii="Times New Roman" w:hAnsi="Times New Roman"/>
          <w:i/>
          <w:sz w:val="24"/>
        </w:rPr>
        <w:t xml:space="preserve">Bank Nationalisation Case </w:t>
      </w:r>
      <w:r w:rsidRPr="00D900FF">
        <w:rPr>
          <w:rFonts w:ascii="Times New Roman" w:hAnsi="Times New Roman"/>
          <w:sz w:val="24"/>
        </w:rPr>
        <w:t xml:space="preserve">(1948) 76 CLR 1 at 372. </w:t>
      </w:r>
    </w:p>
  </w:footnote>
  <w:footnote w:id="94">
    <w:p w14:paraId="64AAA73A" w14:textId="66D89A5E" w:rsidR="00E257CD" w:rsidRPr="00D900FF" w:rsidRDefault="00E257CD"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Australian Railways Union</w:t>
      </w:r>
      <w:r w:rsidR="005907D3" w:rsidRPr="00D900FF">
        <w:rPr>
          <w:rFonts w:ascii="Times New Roman" w:hAnsi="Times New Roman"/>
          <w:i/>
          <w:iCs/>
          <w:sz w:val="24"/>
        </w:rPr>
        <w:t xml:space="preserve"> v Victorian Railways Commissioners</w:t>
      </w:r>
      <w:r w:rsidRPr="00D900FF">
        <w:rPr>
          <w:rFonts w:ascii="Times New Roman" w:hAnsi="Times New Roman"/>
          <w:i/>
          <w:iCs/>
          <w:sz w:val="24"/>
        </w:rPr>
        <w:t xml:space="preserve"> </w:t>
      </w:r>
      <w:r w:rsidRPr="00D900FF">
        <w:rPr>
          <w:rFonts w:ascii="Times New Roman" w:hAnsi="Times New Roman"/>
          <w:sz w:val="24"/>
        </w:rPr>
        <w:t xml:space="preserve">(1930) 44 CLR 319 at 386, </w:t>
      </w:r>
      <w:r w:rsidR="00F973F1" w:rsidRPr="00D900FF">
        <w:rPr>
          <w:rFonts w:ascii="Times New Roman" w:hAnsi="Times New Roman"/>
          <w:sz w:val="24"/>
        </w:rPr>
        <w:t>cited</w:t>
      </w:r>
      <w:r w:rsidR="00CB4B00" w:rsidRPr="00D900FF">
        <w:rPr>
          <w:rFonts w:ascii="Times New Roman" w:hAnsi="Times New Roman"/>
          <w:sz w:val="24"/>
        </w:rPr>
        <w:t xml:space="preserve"> </w:t>
      </w:r>
      <w:r w:rsidRPr="00D900FF">
        <w:rPr>
          <w:rFonts w:ascii="Times New Roman" w:hAnsi="Times New Roman"/>
          <w:sz w:val="24"/>
        </w:rPr>
        <w:t xml:space="preserve">in </w:t>
      </w:r>
      <w:r w:rsidRPr="00D900FF">
        <w:rPr>
          <w:rFonts w:ascii="Times New Roman" w:hAnsi="Times New Roman"/>
          <w:i/>
          <w:iCs/>
          <w:sz w:val="24"/>
        </w:rPr>
        <w:t xml:space="preserve">Spence </w:t>
      </w:r>
      <w:r w:rsidRPr="00D900FF">
        <w:rPr>
          <w:rFonts w:ascii="Times New Roman" w:hAnsi="Times New Roman"/>
          <w:sz w:val="24"/>
        </w:rPr>
        <w:t>(2019) 268 CLR 355 at 416 [90]</w:t>
      </w:r>
      <w:r w:rsidR="00FE61AF" w:rsidRPr="00D900FF">
        <w:rPr>
          <w:rFonts w:ascii="Times New Roman" w:hAnsi="Times New Roman"/>
          <w:sz w:val="24"/>
        </w:rPr>
        <w:t>.</w:t>
      </w:r>
    </w:p>
  </w:footnote>
  <w:footnote w:id="95">
    <w:p w14:paraId="0709B7A4" w14:textId="77777777" w:rsidR="005D51EF" w:rsidRPr="00D900FF" w:rsidRDefault="005D51E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Bank Nationalisation Case</w:t>
      </w:r>
      <w:r w:rsidRPr="00D900FF">
        <w:rPr>
          <w:rFonts w:ascii="Times New Roman" w:hAnsi="Times New Roman"/>
          <w:sz w:val="24"/>
        </w:rPr>
        <w:t xml:space="preserve"> (1948) 76 CLR 1 at 371. </w:t>
      </w:r>
    </w:p>
  </w:footnote>
  <w:footnote w:id="96">
    <w:p w14:paraId="5B6B4A8C" w14:textId="357A4805" w:rsidR="00160DF5" w:rsidRPr="00D900FF" w:rsidRDefault="00160DF5"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003D7F9D" w:rsidRPr="00D900FF">
        <w:rPr>
          <w:rFonts w:ascii="Times New Roman" w:hAnsi="Times New Roman"/>
          <w:sz w:val="24"/>
        </w:rPr>
        <w:tab/>
      </w:r>
      <w:r w:rsidR="00561955" w:rsidRPr="00D900FF">
        <w:rPr>
          <w:rFonts w:ascii="Times New Roman" w:hAnsi="Times New Roman"/>
          <w:sz w:val="24"/>
        </w:rPr>
        <w:t>Interpretation Act, s 6(1).</w:t>
      </w:r>
    </w:p>
  </w:footnote>
  <w:footnote w:id="97">
    <w:p w14:paraId="10B8B05F" w14:textId="20B10BD3" w:rsidR="0088509B" w:rsidRPr="00D900FF" w:rsidRDefault="0088509B"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B769D5" w:rsidRPr="00D900FF">
        <w:rPr>
          <w:rFonts w:ascii="Times New Roman" w:hAnsi="Times New Roman"/>
          <w:sz w:val="24"/>
        </w:rPr>
        <w:t xml:space="preserve">Victoria, Legislative Council, </w:t>
      </w:r>
      <w:r w:rsidR="00B769D5" w:rsidRPr="00D900FF">
        <w:rPr>
          <w:rFonts w:ascii="Times New Roman" w:hAnsi="Times New Roman"/>
          <w:i/>
          <w:iCs/>
          <w:sz w:val="24"/>
        </w:rPr>
        <w:t>Parliamentary Debates</w:t>
      </w:r>
      <w:r w:rsidR="00B769D5" w:rsidRPr="00D900FF">
        <w:rPr>
          <w:rFonts w:ascii="Times New Roman" w:hAnsi="Times New Roman"/>
          <w:sz w:val="24"/>
        </w:rPr>
        <w:t xml:space="preserve"> (Hansard), 22 June 2018 at 3042, 3087</w:t>
      </w:r>
      <w:r w:rsidR="008A6839" w:rsidRPr="00D900FF">
        <w:rPr>
          <w:rFonts w:ascii="Times New Roman" w:hAnsi="Times New Roman"/>
          <w:sz w:val="24"/>
        </w:rPr>
        <w:t>.</w:t>
      </w:r>
    </w:p>
  </w:footnote>
  <w:footnote w:id="98">
    <w:p w14:paraId="7DACFDB5" w14:textId="54BE518D" w:rsidR="00F3120E" w:rsidRPr="00D900FF" w:rsidRDefault="00F3120E"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Electoral Act</w:t>
      </w:r>
      <w:r w:rsidRPr="00D900FF">
        <w:rPr>
          <w:rFonts w:ascii="Times New Roman" w:hAnsi="Times New Roman"/>
          <w:sz w:val="24"/>
        </w:rPr>
        <w:t>, s 206(1)</w:t>
      </w:r>
      <w:r w:rsidR="002914A7" w:rsidRPr="00D900FF">
        <w:rPr>
          <w:rFonts w:ascii="Times New Roman" w:hAnsi="Times New Roman"/>
          <w:sz w:val="24"/>
        </w:rPr>
        <w:t xml:space="preserve"> definition of "gift"</w:t>
      </w:r>
      <w:r w:rsidRPr="00D900FF">
        <w:rPr>
          <w:rFonts w:ascii="Times New Roman" w:hAnsi="Times New Roman"/>
          <w:sz w:val="24"/>
        </w:rPr>
        <w:t xml:space="preserve">. </w:t>
      </w:r>
      <w:r w:rsidR="005D147F" w:rsidRPr="00D900FF">
        <w:rPr>
          <w:rFonts w:ascii="Times New Roman" w:hAnsi="Times New Roman"/>
          <w:sz w:val="24"/>
        </w:rPr>
        <w:t>See [</w:t>
      </w:r>
      <w:r w:rsidR="0088664C" w:rsidRPr="00D900FF">
        <w:rPr>
          <w:rFonts w:ascii="Times New Roman" w:hAnsi="Times New Roman"/>
          <w:sz w:val="24"/>
        </w:rPr>
        <w:t>9</w:t>
      </w:r>
      <w:r w:rsidR="00C07193" w:rsidRPr="00D900FF">
        <w:rPr>
          <w:rFonts w:ascii="Times New Roman" w:hAnsi="Times New Roman"/>
          <w:sz w:val="24"/>
        </w:rPr>
        <w:t>] above.</w:t>
      </w:r>
    </w:p>
  </w:footnote>
  <w:footnote w:id="99">
    <w:p w14:paraId="225597E6" w14:textId="1667117F" w:rsidR="00CD3118" w:rsidRPr="00D900FF" w:rsidRDefault="00CD3118"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BB6D92" w:rsidRPr="00D900FF">
        <w:rPr>
          <w:rFonts w:ascii="Times New Roman" w:hAnsi="Times New Roman"/>
          <w:sz w:val="24"/>
        </w:rPr>
        <w:t>See</w:t>
      </w:r>
      <w:r w:rsidRPr="00D900FF">
        <w:rPr>
          <w:rFonts w:ascii="Times New Roman" w:hAnsi="Times New Roman"/>
          <w:sz w:val="24"/>
        </w:rPr>
        <w:t xml:space="preserve"> </w:t>
      </w:r>
      <w:r w:rsidRPr="00D900FF">
        <w:rPr>
          <w:rFonts w:ascii="Times New Roman" w:hAnsi="Times New Roman"/>
          <w:i/>
          <w:iCs/>
          <w:sz w:val="24"/>
        </w:rPr>
        <w:t xml:space="preserve">Spence </w:t>
      </w:r>
      <w:r w:rsidRPr="00D900FF">
        <w:rPr>
          <w:rFonts w:ascii="Times New Roman" w:hAnsi="Times New Roman"/>
          <w:sz w:val="24"/>
        </w:rPr>
        <w:t xml:space="preserve">(2019) 268 CLR 355 at 415 [89]. </w:t>
      </w:r>
    </w:p>
  </w:footnote>
  <w:footnote w:id="100">
    <w:p w14:paraId="3353B76A" w14:textId="72EC7CE0" w:rsidR="00886E9C" w:rsidRPr="00D900FF" w:rsidRDefault="00886E9C"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w:t>
      </w:r>
      <w:r w:rsidR="00BF71CA" w:rsidRPr="00D900FF">
        <w:rPr>
          <w:rFonts w:ascii="Times New Roman" w:hAnsi="Times New Roman"/>
          <w:sz w:val="24"/>
        </w:rPr>
        <w:t xml:space="preserve">Div 1B </w:t>
      </w:r>
      <w:r w:rsidRPr="00D900FF">
        <w:rPr>
          <w:rFonts w:ascii="Times New Roman" w:hAnsi="Times New Roman"/>
          <w:sz w:val="24"/>
        </w:rPr>
        <w:t>s </w:t>
      </w:r>
      <w:r w:rsidR="00373363" w:rsidRPr="00D900FF">
        <w:rPr>
          <w:rFonts w:ascii="Times New Roman" w:hAnsi="Times New Roman"/>
          <w:sz w:val="24"/>
        </w:rPr>
        <w:t xml:space="preserve">207F, </w:t>
      </w:r>
      <w:r w:rsidR="00776930" w:rsidRPr="00D900FF">
        <w:rPr>
          <w:rFonts w:ascii="Times New Roman" w:hAnsi="Times New Roman"/>
          <w:sz w:val="24"/>
        </w:rPr>
        <w:t xml:space="preserve">Div 2 s </w:t>
      </w:r>
      <w:r w:rsidR="00373363" w:rsidRPr="00D900FF">
        <w:rPr>
          <w:rFonts w:ascii="Times New Roman" w:hAnsi="Times New Roman"/>
          <w:sz w:val="24"/>
        </w:rPr>
        <w:t xml:space="preserve">212, </w:t>
      </w:r>
      <w:r w:rsidR="00776930" w:rsidRPr="00D900FF">
        <w:rPr>
          <w:rFonts w:ascii="Times New Roman" w:hAnsi="Times New Roman"/>
          <w:sz w:val="24"/>
        </w:rPr>
        <w:t>Div 3 ss </w:t>
      </w:r>
      <w:r w:rsidR="00373363" w:rsidRPr="00D900FF">
        <w:rPr>
          <w:rFonts w:ascii="Times New Roman" w:hAnsi="Times New Roman"/>
          <w:sz w:val="24"/>
        </w:rPr>
        <w:t>216</w:t>
      </w:r>
      <w:r w:rsidR="00776930" w:rsidRPr="00D900FF">
        <w:rPr>
          <w:rFonts w:ascii="Times New Roman" w:hAnsi="Times New Roman"/>
          <w:sz w:val="24"/>
        </w:rPr>
        <w:t xml:space="preserve"> and</w:t>
      </w:r>
      <w:r w:rsidR="00373363" w:rsidRPr="00D900FF">
        <w:rPr>
          <w:rFonts w:ascii="Times New Roman" w:hAnsi="Times New Roman"/>
          <w:sz w:val="24"/>
        </w:rPr>
        <w:t xml:space="preserve"> 217, </w:t>
      </w:r>
      <w:r w:rsidR="00776930" w:rsidRPr="00D900FF">
        <w:rPr>
          <w:rFonts w:ascii="Times New Roman" w:hAnsi="Times New Roman"/>
          <w:sz w:val="24"/>
        </w:rPr>
        <w:t>Div 3A ss </w:t>
      </w:r>
      <w:r w:rsidR="00373363" w:rsidRPr="00D900FF">
        <w:rPr>
          <w:rFonts w:ascii="Times New Roman" w:hAnsi="Times New Roman"/>
          <w:sz w:val="24"/>
        </w:rPr>
        <w:t>217A, 217B, 217C,</w:t>
      </w:r>
      <w:r w:rsidR="00AC3615" w:rsidRPr="00D900FF">
        <w:rPr>
          <w:rFonts w:ascii="Times New Roman" w:hAnsi="Times New Roman"/>
          <w:sz w:val="24"/>
        </w:rPr>
        <w:t xml:space="preserve"> Div 3B ss 217D, 217E, 217</w:t>
      </w:r>
      <w:r w:rsidR="00440127" w:rsidRPr="00D900FF">
        <w:rPr>
          <w:rFonts w:ascii="Times New Roman" w:hAnsi="Times New Roman"/>
          <w:sz w:val="24"/>
        </w:rPr>
        <w:t>G,</w:t>
      </w:r>
      <w:r w:rsidR="00776930" w:rsidRPr="00D900FF">
        <w:rPr>
          <w:rFonts w:ascii="Times New Roman" w:hAnsi="Times New Roman"/>
          <w:sz w:val="24"/>
        </w:rPr>
        <w:t xml:space="preserve"> Div 3C ss </w:t>
      </w:r>
      <w:r w:rsidR="00373363" w:rsidRPr="00D900FF">
        <w:rPr>
          <w:rFonts w:ascii="Times New Roman" w:hAnsi="Times New Roman"/>
          <w:sz w:val="24"/>
        </w:rPr>
        <w:t>217I</w:t>
      </w:r>
      <w:r w:rsidR="00855544" w:rsidRPr="00D900FF">
        <w:rPr>
          <w:rFonts w:ascii="Times New Roman" w:hAnsi="Times New Roman"/>
          <w:sz w:val="24"/>
        </w:rPr>
        <w:t xml:space="preserve"> and</w:t>
      </w:r>
      <w:r w:rsidR="00373363" w:rsidRPr="00D900FF">
        <w:rPr>
          <w:rFonts w:ascii="Times New Roman" w:hAnsi="Times New Roman"/>
          <w:sz w:val="24"/>
        </w:rPr>
        <w:t xml:space="preserve"> 217L, </w:t>
      </w:r>
      <w:r w:rsidR="00776930" w:rsidRPr="00D900FF">
        <w:rPr>
          <w:rFonts w:ascii="Times New Roman" w:hAnsi="Times New Roman"/>
          <w:sz w:val="24"/>
        </w:rPr>
        <w:t>Div 4</w:t>
      </w:r>
      <w:r w:rsidR="00112589" w:rsidRPr="00D900FF">
        <w:rPr>
          <w:rFonts w:ascii="Times New Roman" w:hAnsi="Times New Roman"/>
          <w:sz w:val="24"/>
        </w:rPr>
        <w:t xml:space="preserve"> </w:t>
      </w:r>
      <w:r w:rsidR="00776930" w:rsidRPr="00D900FF">
        <w:rPr>
          <w:rFonts w:ascii="Times New Roman" w:hAnsi="Times New Roman"/>
          <w:sz w:val="24"/>
        </w:rPr>
        <w:t>s</w:t>
      </w:r>
      <w:r w:rsidR="00112589" w:rsidRPr="00D900FF">
        <w:rPr>
          <w:rFonts w:ascii="Times New Roman" w:hAnsi="Times New Roman"/>
          <w:sz w:val="24"/>
        </w:rPr>
        <w:t>s</w:t>
      </w:r>
      <w:r w:rsidR="00776930" w:rsidRPr="00D900FF">
        <w:rPr>
          <w:rFonts w:ascii="Times New Roman" w:hAnsi="Times New Roman"/>
          <w:sz w:val="24"/>
        </w:rPr>
        <w:t> </w:t>
      </w:r>
      <w:r w:rsidR="00373363" w:rsidRPr="00D900FF">
        <w:rPr>
          <w:rFonts w:ascii="Times New Roman" w:hAnsi="Times New Roman"/>
          <w:sz w:val="24"/>
        </w:rPr>
        <w:t>218</w:t>
      </w:r>
      <w:r w:rsidR="00776930" w:rsidRPr="00D900FF">
        <w:rPr>
          <w:rFonts w:ascii="Times New Roman" w:hAnsi="Times New Roman"/>
          <w:sz w:val="24"/>
        </w:rPr>
        <w:t xml:space="preserve"> and</w:t>
      </w:r>
      <w:r w:rsidR="00373363" w:rsidRPr="00D900FF">
        <w:rPr>
          <w:rFonts w:ascii="Times New Roman" w:hAnsi="Times New Roman"/>
          <w:sz w:val="24"/>
        </w:rPr>
        <w:t xml:space="preserve"> 218B</w:t>
      </w:r>
      <w:r w:rsidR="004E5296" w:rsidRPr="00D900FF">
        <w:rPr>
          <w:rFonts w:ascii="Times New Roman" w:hAnsi="Times New Roman"/>
          <w:sz w:val="24"/>
        </w:rPr>
        <w:t>.</w:t>
      </w:r>
      <w:r w:rsidR="00373363" w:rsidRPr="00D900FF">
        <w:rPr>
          <w:rFonts w:ascii="Times New Roman" w:hAnsi="Times New Roman"/>
          <w:sz w:val="24"/>
        </w:rPr>
        <w:t xml:space="preserve"> </w:t>
      </w:r>
    </w:p>
  </w:footnote>
  <w:footnote w:id="101">
    <w:p w14:paraId="18A6CD53" w14:textId="31461ADB" w:rsidR="00922123" w:rsidRPr="00D900FF" w:rsidRDefault="00922123"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504466" w:rsidRPr="00D900FF">
        <w:rPr>
          <w:rFonts w:ascii="Times New Roman" w:hAnsi="Times New Roman"/>
          <w:sz w:val="24"/>
        </w:rPr>
        <w:t>See, eg,</w:t>
      </w:r>
      <w:r w:rsidR="003C72F1" w:rsidRPr="00D900FF">
        <w:rPr>
          <w:rFonts w:ascii="Times New Roman" w:hAnsi="Times New Roman"/>
          <w:sz w:val="24"/>
        </w:rPr>
        <w:t xml:space="preserve"> </w:t>
      </w:r>
      <w:r w:rsidR="0098552F" w:rsidRPr="00D900FF">
        <w:rPr>
          <w:rFonts w:ascii="Times New Roman" w:hAnsi="Times New Roman"/>
          <w:i/>
          <w:iCs/>
          <w:sz w:val="24"/>
        </w:rPr>
        <w:t>Pidoto</w:t>
      </w:r>
      <w:r w:rsidR="0098552F" w:rsidRPr="00D900FF">
        <w:rPr>
          <w:rFonts w:ascii="Times New Roman" w:hAnsi="Times New Roman"/>
          <w:sz w:val="24"/>
        </w:rPr>
        <w:t xml:space="preserve"> (1943) 68 CLR 87 at 109, 111; </w:t>
      </w:r>
      <w:r w:rsidR="003C72F1" w:rsidRPr="00D900FF">
        <w:rPr>
          <w:rFonts w:ascii="Times New Roman" w:hAnsi="Times New Roman"/>
          <w:i/>
          <w:iCs/>
          <w:sz w:val="24"/>
        </w:rPr>
        <w:t>Bank Nationalisation Case</w:t>
      </w:r>
      <w:r w:rsidR="003C72F1" w:rsidRPr="00D900FF">
        <w:rPr>
          <w:rFonts w:ascii="Times New Roman" w:hAnsi="Times New Roman"/>
          <w:sz w:val="24"/>
        </w:rPr>
        <w:t xml:space="preserve"> (1948) 76 CLR 1 at 372</w:t>
      </w:r>
      <w:r w:rsidR="00C64662" w:rsidRPr="00D900FF">
        <w:rPr>
          <w:rFonts w:ascii="Times New Roman" w:hAnsi="Times New Roman"/>
          <w:sz w:val="24"/>
        </w:rPr>
        <w:t>;</w:t>
      </w:r>
      <w:r w:rsidR="00504466" w:rsidRPr="00D900FF">
        <w:rPr>
          <w:rFonts w:ascii="Times New Roman" w:hAnsi="Times New Roman"/>
          <w:sz w:val="24"/>
        </w:rPr>
        <w:t xml:space="preserve"> </w:t>
      </w:r>
      <w:r w:rsidR="003C72F1" w:rsidRPr="00D900FF">
        <w:rPr>
          <w:rFonts w:ascii="Times New Roman" w:hAnsi="Times New Roman"/>
          <w:i/>
          <w:iCs/>
          <w:sz w:val="24"/>
        </w:rPr>
        <w:t>Tajjour</w:t>
      </w:r>
      <w:r w:rsidR="003C72F1" w:rsidRPr="00D900FF">
        <w:rPr>
          <w:rFonts w:ascii="Times New Roman" w:hAnsi="Times New Roman"/>
          <w:sz w:val="24"/>
        </w:rPr>
        <w:t xml:space="preserve"> (2014) 254 CLR 508 at 586 [170]</w:t>
      </w:r>
      <w:r w:rsidR="00422DAC" w:rsidRPr="00D900FF">
        <w:rPr>
          <w:rFonts w:ascii="Times New Roman" w:hAnsi="Times New Roman"/>
          <w:sz w:val="24"/>
        </w:rPr>
        <w:t>.</w:t>
      </w:r>
      <w:r w:rsidR="00504466" w:rsidRPr="00D900FF">
        <w:rPr>
          <w:rFonts w:ascii="Times New Roman" w:hAnsi="Times New Roman"/>
          <w:i/>
          <w:iCs/>
          <w:sz w:val="24"/>
        </w:rPr>
        <w:t xml:space="preserve"> </w:t>
      </w:r>
    </w:p>
  </w:footnote>
  <w:footnote w:id="102">
    <w:p w14:paraId="1FC6265E" w14:textId="1E793B7B" w:rsidR="00A07436" w:rsidRPr="00D900FF" w:rsidRDefault="00A07436"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FC2ABB" w:rsidRPr="00D900FF">
        <w:rPr>
          <w:rFonts w:ascii="Times New Roman" w:hAnsi="Times New Roman"/>
          <w:sz w:val="24"/>
        </w:rPr>
        <w:t xml:space="preserve">Interpretation Act, </w:t>
      </w:r>
      <w:r w:rsidRPr="00D900FF">
        <w:rPr>
          <w:rFonts w:ascii="Times New Roman" w:hAnsi="Times New Roman"/>
          <w:sz w:val="24"/>
        </w:rPr>
        <w:t xml:space="preserve">s 6(1). </w:t>
      </w:r>
    </w:p>
  </w:footnote>
  <w:footnote w:id="103">
    <w:p w14:paraId="404FE628" w14:textId="22497001" w:rsidR="00072827" w:rsidRPr="00D900FF" w:rsidRDefault="00072827"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004E2652" w:rsidRPr="00D900FF">
        <w:rPr>
          <w:rFonts w:ascii="Times New Roman" w:hAnsi="Times New Roman"/>
          <w:sz w:val="24"/>
        </w:rPr>
        <w:t xml:space="preserve">The provisions </w:t>
      </w:r>
      <w:r w:rsidR="005714C1" w:rsidRPr="00D900FF">
        <w:rPr>
          <w:rFonts w:ascii="Times New Roman" w:hAnsi="Times New Roman"/>
          <w:sz w:val="24"/>
        </w:rPr>
        <w:t>listed</w:t>
      </w:r>
      <w:r w:rsidR="004E2652" w:rsidRPr="00D900FF">
        <w:rPr>
          <w:rFonts w:ascii="Times New Roman" w:hAnsi="Times New Roman"/>
          <w:sz w:val="24"/>
        </w:rPr>
        <w:t xml:space="preserve"> in </w:t>
      </w:r>
      <w:r w:rsidR="005714C1" w:rsidRPr="00D900FF">
        <w:rPr>
          <w:rFonts w:ascii="Times New Roman" w:hAnsi="Times New Roman"/>
          <w:sz w:val="24"/>
        </w:rPr>
        <w:t xml:space="preserve">the </w:t>
      </w:r>
      <w:r w:rsidR="004E2652" w:rsidRPr="00D900FF">
        <w:rPr>
          <w:rFonts w:ascii="Times New Roman" w:hAnsi="Times New Roman"/>
          <w:sz w:val="24"/>
        </w:rPr>
        <w:t>Annexure.</w:t>
      </w:r>
    </w:p>
  </w:footnote>
  <w:footnote w:id="104">
    <w:p w14:paraId="11DB29A9" w14:textId="7694B4E7" w:rsidR="007712EC" w:rsidRPr="00D900FF" w:rsidRDefault="007712EC"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Spence</w:t>
      </w:r>
      <w:r w:rsidRPr="00D900FF">
        <w:rPr>
          <w:rFonts w:ascii="Times New Roman" w:hAnsi="Times New Roman"/>
          <w:sz w:val="24"/>
        </w:rPr>
        <w:t xml:space="preserve"> (2019) 268 CLR 355 at 415 [89]. </w:t>
      </w:r>
      <w:r w:rsidR="003F5EEA" w:rsidRPr="00D900FF">
        <w:rPr>
          <w:rFonts w:ascii="Times New Roman" w:hAnsi="Times New Roman"/>
          <w:sz w:val="24"/>
        </w:rPr>
        <w:t xml:space="preserve">See also </w:t>
      </w:r>
      <w:r w:rsidR="003F5EEA" w:rsidRPr="00D900FF">
        <w:rPr>
          <w:rFonts w:ascii="Times New Roman" w:hAnsi="Times New Roman"/>
          <w:i/>
          <w:iCs/>
          <w:sz w:val="24"/>
        </w:rPr>
        <w:t>Bank Nationalisation Case</w:t>
      </w:r>
      <w:r w:rsidR="003F5EEA" w:rsidRPr="00D900FF">
        <w:rPr>
          <w:rFonts w:ascii="Times New Roman" w:hAnsi="Times New Roman"/>
          <w:sz w:val="24"/>
        </w:rPr>
        <w:t xml:space="preserve"> </w:t>
      </w:r>
      <w:r w:rsidR="00080CF9" w:rsidRPr="00D900FF">
        <w:rPr>
          <w:rFonts w:ascii="Times New Roman" w:hAnsi="Times New Roman"/>
          <w:sz w:val="24"/>
        </w:rPr>
        <w:t xml:space="preserve">(1948) 76 CLR 1 </w:t>
      </w:r>
      <w:r w:rsidR="003F5EEA" w:rsidRPr="00D900FF">
        <w:rPr>
          <w:rFonts w:ascii="Times New Roman" w:hAnsi="Times New Roman"/>
          <w:sz w:val="24"/>
        </w:rPr>
        <w:t xml:space="preserve">at </w:t>
      </w:r>
      <w:r w:rsidR="00080CF9" w:rsidRPr="00D900FF">
        <w:rPr>
          <w:rFonts w:ascii="Times New Roman" w:hAnsi="Times New Roman"/>
          <w:sz w:val="24"/>
        </w:rPr>
        <w:t>372.</w:t>
      </w:r>
    </w:p>
  </w:footnote>
  <w:footnote w:id="105">
    <w:p w14:paraId="07E8CF29" w14:textId="032DDA35" w:rsidR="00BD6D4F" w:rsidRPr="00D900FF" w:rsidRDefault="00BD6D4F"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r>
      <w:r w:rsidRPr="00D900FF">
        <w:rPr>
          <w:rFonts w:ascii="Times New Roman" w:hAnsi="Times New Roman"/>
          <w:i/>
          <w:iCs/>
          <w:sz w:val="24"/>
        </w:rPr>
        <w:t xml:space="preserve">Australian Railways Union </w:t>
      </w:r>
      <w:r w:rsidRPr="00D900FF">
        <w:rPr>
          <w:rFonts w:ascii="Times New Roman" w:hAnsi="Times New Roman"/>
          <w:sz w:val="24"/>
        </w:rPr>
        <w:t xml:space="preserve">(1930) 44 CLR 319 at 386, cited in </w:t>
      </w:r>
      <w:r w:rsidRPr="00D900FF">
        <w:rPr>
          <w:rFonts w:ascii="Times New Roman" w:hAnsi="Times New Roman"/>
          <w:i/>
          <w:iCs/>
          <w:sz w:val="24"/>
        </w:rPr>
        <w:t xml:space="preserve">Spence </w:t>
      </w:r>
      <w:r w:rsidRPr="00D900FF">
        <w:rPr>
          <w:rFonts w:ascii="Times New Roman" w:hAnsi="Times New Roman"/>
          <w:sz w:val="24"/>
        </w:rPr>
        <w:t>(2019) 268 CLR 355 at 416 [90]</w:t>
      </w:r>
      <w:r w:rsidR="00544492" w:rsidRPr="00D900FF">
        <w:rPr>
          <w:rFonts w:ascii="Times New Roman" w:hAnsi="Times New Roman"/>
          <w:sz w:val="24"/>
        </w:rPr>
        <w:t>.</w:t>
      </w:r>
    </w:p>
  </w:footnote>
  <w:footnote w:id="106">
    <w:p w14:paraId="01D13AAD" w14:textId="35642C2C" w:rsidR="007B7F9A" w:rsidRPr="00D900FF" w:rsidRDefault="007B7F9A"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Division 3B also aggregates political donations for the purposes of the general cap, </w:t>
      </w:r>
      <w:r w:rsidR="00CF1265" w:rsidRPr="00D900FF">
        <w:rPr>
          <w:rFonts w:ascii="Times New Roman" w:hAnsi="Times New Roman"/>
          <w:sz w:val="24"/>
        </w:rPr>
        <w:t>limits political donations to third</w:t>
      </w:r>
      <w:r w:rsidR="00A13092" w:rsidRPr="00D900FF">
        <w:rPr>
          <w:rFonts w:ascii="Times New Roman" w:hAnsi="Times New Roman"/>
          <w:sz w:val="24"/>
        </w:rPr>
        <w:t xml:space="preserve"> </w:t>
      </w:r>
      <w:r w:rsidR="00CF1265" w:rsidRPr="00D900FF">
        <w:rPr>
          <w:rFonts w:ascii="Times New Roman" w:hAnsi="Times New Roman"/>
          <w:sz w:val="24"/>
        </w:rPr>
        <w:t>party campaigners and requires forfeiture of political donations accepted in contravention of the Division: ss 217E, 217F, 217G.</w:t>
      </w:r>
    </w:p>
  </w:footnote>
  <w:footnote w:id="107">
    <w:p w14:paraId="29DD9116" w14:textId="2974AE29" w:rsidR="00D11E92" w:rsidRPr="00D900FF" w:rsidRDefault="00D11E92"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See, eg, Victoria, Legislative Assembly, </w:t>
      </w:r>
      <w:r w:rsidRPr="00D900FF">
        <w:rPr>
          <w:rFonts w:ascii="Times New Roman" w:hAnsi="Times New Roman"/>
          <w:i/>
          <w:iCs/>
          <w:sz w:val="24"/>
        </w:rPr>
        <w:t>Parliamentary Debates</w:t>
      </w:r>
      <w:r w:rsidRPr="00D900FF">
        <w:rPr>
          <w:rFonts w:ascii="Times New Roman" w:hAnsi="Times New Roman"/>
          <w:sz w:val="24"/>
        </w:rPr>
        <w:t xml:space="preserve"> (Hansard), 10 May 2018 at 1351.</w:t>
      </w:r>
    </w:p>
  </w:footnote>
  <w:footnote w:id="108">
    <w:p w14:paraId="662A015C" w14:textId="180FE4A1" w:rsidR="00FE6D01" w:rsidRPr="00D900FF" w:rsidRDefault="00FE6D01"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 xml:space="preserve">cf </w:t>
      </w:r>
      <w:r w:rsidR="00743E87" w:rsidRPr="00D900FF">
        <w:rPr>
          <w:rFonts w:ascii="Times New Roman" w:hAnsi="Times New Roman"/>
          <w:i/>
          <w:iCs/>
          <w:sz w:val="24"/>
        </w:rPr>
        <w:t xml:space="preserve">Australian Capital Television Pty Ltd </w:t>
      </w:r>
      <w:r w:rsidR="001A371E" w:rsidRPr="00D900FF">
        <w:rPr>
          <w:rFonts w:ascii="Times New Roman" w:hAnsi="Times New Roman"/>
          <w:i/>
          <w:iCs/>
          <w:sz w:val="24"/>
        </w:rPr>
        <w:t>v The Commonwealth</w:t>
      </w:r>
      <w:r w:rsidR="00743E87" w:rsidRPr="00D900FF">
        <w:rPr>
          <w:rFonts w:ascii="Times New Roman" w:hAnsi="Times New Roman"/>
          <w:sz w:val="24"/>
        </w:rPr>
        <w:t xml:space="preserve"> </w:t>
      </w:r>
      <w:r w:rsidRPr="00D900FF">
        <w:rPr>
          <w:rFonts w:ascii="Times New Roman" w:hAnsi="Times New Roman"/>
          <w:sz w:val="24"/>
        </w:rPr>
        <w:t xml:space="preserve">(1992) 177 CLR </w:t>
      </w:r>
      <w:r w:rsidR="00AA440B" w:rsidRPr="00D900FF">
        <w:rPr>
          <w:rFonts w:ascii="Times New Roman" w:hAnsi="Times New Roman"/>
          <w:sz w:val="24"/>
        </w:rPr>
        <w:t xml:space="preserve">106 at </w:t>
      </w:r>
      <w:r w:rsidRPr="00D900FF">
        <w:rPr>
          <w:rFonts w:ascii="Times New Roman" w:hAnsi="Times New Roman"/>
          <w:sz w:val="24"/>
        </w:rPr>
        <w:t>176.</w:t>
      </w:r>
    </w:p>
  </w:footnote>
  <w:footnote w:id="109">
    <w:p w14:paraId="39EA8B62" w14:textId="6DF673A1" w:rsidR="00670F63" w:rsidRPr="00D900FF" w:rsidRDefault="00670F63" w:rsidP="00D900FF">
      <w:pPr>
        <w:pStyle w:val="FootnoteText"/>
        <w:spacing w:line="280" w:lineRule="exact"/>
        <w:ind w:right="0"/>
        <w:jc w:val="both"/>
        <w:rPr>
          <w:rFonts w:ascii="Times New Roman" w:hAnsi="Times New Roman"/>
          <w:sz w:val="24"/>
        </w:rPr>
      </w:pPr>
      <w:r w:rsidRPr="00D900FF">
        <w:rPr>
          <w:rStyle w:val="FootnoteReference"/>
          <w:rFonts w:ascii="Times New Roman" w:hAnsi="Times New Roman"/>
          <w:sz w:val="22"/>
          <w:vertAlign w:val="baseline"/>
        </w:rPr>
        <w:footnoteRef/>
      </w:r>
      <w:r w:rsidRPr="00D900FF">
        <w:rPr>
          <w:rFonts w:ascii="Times New Roman" w:hAnsi="Times New Roman"/>
          <w:sz w:val="24"/>
        </w:rPr>
        <w:t xml:space="preserve"> </w:t>
      </w:r>
      <w:r w:rsidRPr="00D900FF">
        <w:rPr>
          <w:rFonts w:ascii="Times New Roman" w:hAnsi="Times New Roman"/>
          <w:sz w:val="24"/>
        </w:rPr>
        <w:tab/>
        <w:t>(2019) 267 CLR 1</w:t>
      </w:r>
      <w:r w:rsidR="004B7EC1" w:rsidRPr="00D900FF">
        <w:rPr>
          <w:rFonts w:ascii="Times New Roman" w:hAnsi="Times New Roman"/>
          <w:sz w:val="24"/>
        </w:rPr>
        <w:t>7</w:t>
      </w:r>
      <w:r w:rsidRPr="00D900FF">
        <w:rPr>
          <w:rFonts w:ascii="Times New Roman" w:hAnsi="Times New Roman"/>
          <w:sz w:val="24"/>
        </w:rPr>
        <w:t>1 at 221 [148]</w:t>
      </w:r>
      <w:r w:rsidR="00237748" w:rsidRPr="00D900FF">
        <w:rPr>
          <w:rFonts w:ascii="Times New Roman" w:hAnsi="Times New Roman"/>
          <w:sz w:val="24"/>
        </w:rPr>
        <w:t xml:space="preserve">, citing </w:t>
      </w:r>
      <w:r w:rsidR="003159C1" w:rsidRPr="00D900FF">
        <w:rPr>
          <w:rFonts w:ascii="Times New Roman" w:hAnsi="Times New Roman"/>
          <w:i/>
          <w:iCs/>
          <w:sz w:val="24"/>
        </w:rPr>
        <w:t>Victoria v The Commonwealth (</w:t>
      </w:r>
      <w:r w:rsidR="00237748" w:rsidRPr="00D900FF">
        <w:rPr>
          <w:rFonts w:ascii="Times New Roman" w:hAnsi="Times New Roman"/>
          <w:i/>
          <w:iCs/>
          <w:sz w:val="24"/>
        </w:rPr>
        <w:t>Industrial Relations Act Case</w:t>
      </w:r>
      <w:r w:rsidR="003159C1" w:rsidRPr="00D900FF">
        <w:rPr>
          <w:rFonts w:ascii="Times New Roman" w:hAnsi="Times New Roman"/>
          <w:i/>
          <w:iCs/>
          <w:sz w:val="24"/>
        </w:rPr>
        <w:t>)</w:t>
      </w:r>
      <w:r w:rsidR="00237748" w:rsidRPr="00D900FF">
        <w:rPr>
          <w:rFonts w:ascii="Times New Roman" w:hAnsi="Times New Roman"/>
          <w:sz w:val="24"/>
        </w:rPr>
        <w:t xml:space="preserve"> (1996) 187 CLR 416 at 502</w:t>
      </w:r>
      <w:r w:rsidRPr="00D900FF">
        <w:rPr>
          <w:rFonts w:ascii="Times New Roman" w:hAnsi="Times New Roman"/>
          <w:sz w:val="24"/>
        </w:rPr>
        <w:t>.</w:t>
      </w:r>
    </w:p>
  </w:footnote>
  <w:footnote w:id="110">
    <w:p w14:paraId="266D036F"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Electoral Legislation Amendment Act 2018 </w:t>
      </w:r>
      <w:r w:rsidRPr="00BB2B3C">
        <w:rPr>
          <w:rFonts w:ascii="Times New Roman" w:hAnsi="Times New Roman"/>
          <w:sz w:val="24"/>
        </w:rPr>
        <w:t xml:space="preserve">(Vic). </w:t>
      </w:r>
    </w:p>
  </w:footnote>
  <w:footnote w:id="111">
    <w:p w14:paraId="3F29703F"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Presently set at $4,970: </w:t>
      </w:r>
      <w:r w:rsidRPr="00BB2B3C">
        <w:rPr>
          <w:rFonts w:ascii="Times New Roman" w:hAnsi="Times New Roman"/>
          <w:i/>
          <w:iCs/>
          <w:sz w:val="24"/>
        </w:rPr>
        <w:t>Electoral Act</w:t>
      </w:r>
      <w:r w:rsidRPr="00BB2B3C">
        <w:rPr>
          <w:rFonts w:ascii="Times New Roman" w:hAnsi="Times New Roman"/>
          <w:sz w:val="24"/>
        </w:rPr>
        <w:t xml:space="preserve">, s 206(1) (definitions of "general cap" and "political donation") read with s 217Q(1). </w:t>
      </w:r>
    </w:p>
  </w:footnote>
  <w:footnote w:id="112">
    <w:p w14:paraId="33C40032"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See </w:t>
      </w:r>
      <w:r w:rsidRPr="00BB2B3C">
        <w:rPr>
          <w:rFonts w:ascii="Times New Roman" w:hAnsi="Times New Roman"/>
          <w:i/>
          <w:iCs/>
          <w:sz w:val="24"/>
        </w:rPr>
        <w:t>Electoral Act</w:t>
      </w:r>
      <w:r w:rsidRPr="00BB2B3C">
        <w:rPr>
          <w:rFonts w:ascii="Times New Roman" w:hAnsi="Times New Roman"/>
          <w:sz w:val="24"/>
        </w:rPr>
        <w:t>, s 206(1) (definition of "nominated entity").</w:t>
      </w:r>
    </w:p>
  </w:footnote>
  <w:footnote w:id="113">
    <w:p w14:paraId="014859CE"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xml:space="preserve">, ss 207F(1), 216(4), 217L. </w:t>
      </w:r>
    </w:p>
  </w:footnote>
  <w:footnote w:id="114">
    <w:p w14:paraId="4FA9ECEE"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217D(1)(g).</w:t>
      </w:r>
    </w:p>
  </w:footnote>
  <w:footnote w:id="115">
    <w:p w14:paraId="44F35009"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217D(6)(d).</w:t>
      </w:r>
    </w:p>
  </w:footnote>
  <w:footnote w:id="116">
    <w:p w14:paraId="45524BF3"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206(1) (relevant part of the exception in para (j) to the definition of "gift").</w:t>
      </w:r>
    </w:p>
  </w:footnote>
  <w:footnote w:id="117">
    <w:p w14:paraId="01388B96"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Electoral Legislation Amendment Act 2018 </w:t>
      </w:r>
      <w:r w:rsidRPr="00BB2B3C">
        <w:rPr>
          <w:rFonts w:ascii="Times New Roman" w:hAnsi="Times New Roman"/>
          <w:sz w:val="24"/>
        </w:rPr>
        <w:t xml:space="preserve">(Vic), s 45, inserting new Div 4A in Pt 12. </w:t>
      </w:r>
    </w:p>
  </w:footnote>
  <w:footnote w:id="118">
    <w:p w14:paraId="714FB8F4"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ss 222F(2)(a), 222F(2)(b).</w:t>
      </w:r>
    </w:p>
  </w:footnote>
  <w:footnote w:id="119">
    <w:p w14:paraId="1A776314"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206(1) (relevant part of the exception in para (j) to the definition of "gift").</w:t>
      </w:r>
    </w:p>
  </w:footnote>
  <w:footnote w:id="120">
    <w:p w14:paraId="7120ADA3"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Alston v Cormack Foundation Pty Ltd </w:t>
      </w:r>
      <w:r w:rsidRPr="00BB2B3C">
        <w:rPr>
          <w:rFonts w:ascii="Times New Roman" w:hAnsi="Times New Roman"/>
          <w:sz w:val="24"/>
        </w:rPr>
        <w:t>(2018) 358 ALR 263 at 268-269 [17]-[21].</w:t>
      </w:r>
    </w:p>
  </w:footnote>
  <w:footnote w:id="121">
    <w:p w14:paraId="0DB228F9"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Victoria, Legislative Council, </w:t>
      </w:r>
      <w:r w:rsidRPr="00BB2B3C">
        <w:rPr>
          <w:rFonts w:ascii="Times New Roman" w:hAnsi="Times New Roman"/>
          <w:i/>
          <w:sz w:val="24"/>
        </w:rPr>
        <w:t>Parliamentary Debates</w:t>
      </w:r>
      <w:r w:rsidRPr="00BB2B3C">
        <w:rPr>
          <w:rFonts w:ascii="Times New Roman" w:hAnsi="Times New Roman"/>
          <w:sz w:val="24"/>
        </w:rPr>
        <w:t xml:space="preserve"> (Hansard), 22 June 2018 at 3042. </w:t>
      </w:r>
    </w:p>
  </w:footnote>
  <w:footnote w:id="122">
    <w:p w14:paraId="06DA9B86"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Victoria, Legislative Council, </w:t>
      </w:r>
      <w:r w:rsidRPr="00BB2B3C">
        <w:rPr>
          <w:rFonts w:ascii="Times New Roman" w:hAnsi="Times New Roman"/>
          <w:i/>
          <w:iCs/>
          <w:sz w:val="24"/>
        </w:rPr>
        <w:t>Parliamentary Debates</w:t>
      </w:r>
      <w:r w:rsidRPr="00BB2B3C">
        <w:rPr>
          <w:rFonts w:ascii="Times New Roman" w:hAnsi="Times New Roman"/>
          <w:sz w:val="24"/>
        </w:rPr>
        <w:t xml:space="preserve"> (Hansard), 22 June 2018 at 3086-3087.</w:t>
      </w:r>
    </w:p>
  </w:footnote>
  <w:footnote w:id="123">
    <w:p w14:paraId="0B8D069A"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(1997) 189 CLR 520 at 567-568.</w:t>
      </w:r>
    </w:p>
  </w:footnote>
  <w:footnote w:id="124">
    <w:p w14:paraId="3C42E7C9"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McCloy v New South Wales </w:t>
      </w:r>
      <w:r w:rsidRPr="00BB2B3C">
        <w:rPr>
          <w:rFonts w:ascii="Times New Roman" w:hAnsi="Times New Roman"/>
          <w:sz w:val="24"/>
        </w:rPr>
        <w:t>(2015) 257 CLR 178 at 193-195 [2].</w:t>
      </w:r>
    </w:p>
  </w:footnote>
  <w:footnote w:id="125">
    <w:p w14:paraId="6DC2D971"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Brown v Tasmania </w:t>
      </w:r>
      <w:r w:rsidRPr="00BB2B3C">
        <w:rPr>
          <w:rFonts w:ascii="Times New Roman" w:hAnsi="Times New Roman"/>
          <w:sz w:val="24"/>
        </w:rPr>
        <w:t>(2017) 261 CLR 328 at 359 [88], 363-364 [104], 375-376 [156], 398 [236], 413 [271], 416-417 [277]-[278], 431-433 [316]-[325].</w:t>
      </w:r>
    </w:p>
  </w:footnote>
  <w:footnote w:id="126">
    <w:p w14:paraId="671CB291"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Lange v Australian Broadcasting Corporation </w:t>
      </w:r>
      <w:r w:rsidRPr="00BB2B3C">
        <w:rPr>
          <w:rFonts w:ascii="Times New Roman" w:hAnsi="Times New Roman"/>
          <w:sz w:val="24"/>
        </w:rPr>
        <w:t xml:space="preserve">(1997) 189 CLR 520 at 562. </w:t>
      </w:r>
    </w:p>
  </w:footnote>
  <w:footnote w:id="127">
    <w:p w14:paraId="52FB61E1"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Babet v The Commonwealth </w:t>
      </w:r>
      <w:r w:rsidRPr="00BB2B3C">
        <w:rPr>
          <w:rFonts w:ascii="Times New Roman" w:hAnsi="Times New Roman"/>
          <w:sz w:val="24"/>
        </w:rPr>
        <w:t>(2025) 99 ALJR 883 at 925-926 [185]-[187]; 423 ALR 83 at 135.</w:t>
      </w:r>
    </w:p>
  </w:footnote>
  <w:footnote w:id="128">
    <w:p w14:paraId="10E6E296"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Babet v The Commonwealth </w:t>
      </w:r>
      <w:r w:rsidRPr="00BB2B3C">
        <w:rPr>
          <w:rFonts w:ascii="Times New Roman" w:hAnsi="Times New Roman"/>
          <w:sz w:val="24"/>
        </w:rPr>
        <w:t>(2025) 99 ALJR 883 at 924-925 [181]; 423 ALR 83 at 133.</w:t>
      </w:r>
    </w:p>
  </w:footnote>
  <w:footnote w:id="129">
    <w:p w14:paraId="048F52E9"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Clubb v Edwards </w:t>
      </w:r>
      <w:r w:rsidRPr="00BB2B3C">
        <w:rPr>
          <w:rFonts w:ascii="Times New Roman" w:hAnsi="Times New Roman"/>
          <w:sz w:val="24"/>
        </w:rPr>
        <w:t>(2019) 267 CLR 171 at 341-343 [491]-[495];</w:t>
      </w:r>
      <w:r w:rsidRPr="00BB2B3C">
        <w:rPr>
          <w:rFonts w:ascii="Times New Roman" w:hAnsi="Times New Roman"/>
          <w:i/>
          <w:iCs/>
          <w:sz w:val="24"/>
        </w:rPr>
        <w:t xml:space="preserve"> </w:t>
      </w:r>
      <w:r w:rsidRPr="00BB2B3C">
        <w:rPr>
          <w:rFonts w:ascii="Times New Roman" w:hAnsi="Times New Roman"/>
          <w:i/>
          <w:sz w:val="24"/>
        </w:rPr>
        <w:t xml:space="preserve">Babet v The Commonwealth </w:t>
      </w:r>
      <w:r w:rsidRPr="00BB2B3C">
        <w:rPr>
          <w:rFonts w:ascii="Times New Roman" w:hAnsi="Times New Roman"/>
          <w:sz w:val="24"/>
        </w:rPr>
        <w:t xml:space="preserve">(2025) 99 ALJR 883 at 925 [182]; 423 ALR 83 at 134. </w:t>
      </w:r>
    </w:p>
  </w:footnote>
  <w:footnote w:id="130">
    <w:p w14:paraId="096C73E3"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Babet v The Commonwealth </w:t>
      </w:r>
      <w:r w:rsidRPr="00BB2B3C">
        <w:rPr>
          <w:rFonts w:ascii="Times New Roman" w:hAnsi="Times New Roman"/>
          <w:sz w:val="24"/>
        </w:rPr>
        <w:t xml:space="preserve">(2025) 99 ALJR 883 at 896-897 [49], 901 [72], 936 [242]; 423 ALR 83 at 97, 102-103, 148; </w:t>
      </w:r>
      <w:r w:rsidRPr="00BB2B3C">
        <w:rPr>
          <w:rFonts w:ascii="Times New Roman" w:hAnsi="Times New Roman"/>
          <w:i/>
          <w:sz w:val="24"/>
        </w:rPr>
        <w:t xml:space="preserve">Ravbar v The Commonwealth </w:t>
      </w:r>
      <w:r w:rsidRPr="00BB2B3C">
        <w:rPr>
          <w:rFonts w:ascii="Times New Roman" w:hAnsi="Times New Roman"/>
          <w:sz w:val="24"/>
        </w:rPr>
        <w:t>(2025) 99 ALJR 1000 at 1017 [29], 1031 [101], 1080-1081 [343], 1097-1098 [427]; 423 ALR 241 at 255, 273, 341, 364.</w:t>
      </w:r>
    </w:p>
  </w:footnote>
  <w:footnote w:id="131">
    <w:p w14:paraId="20A68AA2"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Ravbar v The Commonwealth </w:t>
      </w:r>
      <w:r w:rsidRPr="00BB2B3C">
        <w:rPr>
          <w:rFonts w:ascii="Times New Roman" w:hAnsi="Times New Roman"/>
          <w:sz w:val="24"/>
        </w:rPr>
        <w:t>(2025) 99 ALJR 1000 at 1055 [219]; 423 ALR 241 at 306.</w:t>
      </w:r>
    </w:p>
  </w:footnote>
  <w:footnote w:id="132">
    <w:p w14:paraId="3021210D"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Clubb v Edwards </w:t>
      </w:r>
      <w:r w:rsidRPr="00BB2B3C">
        <w:rPr>
          <w:rFonts w:ascii="Times New Roman" w:hAnsi="Times New Roman"/>
          <w:sz w:val="24"/>
        </w:rPr>
        <w:t>(2019) 267 CLR 171 at 336-338 [476]-[480].</w:t>
      </w:r>
    </w:p>
  </w:footnote>
  <w:footnote w:id="133">
    <w:p w14:paraId="01FDAC0B"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Lange v Australian Broadcasting Corporation </w:t>
      </w:r>
      <w:r w:rsidRPr="00BB2B3C">
        <w:rPr>
          <w:rFonts w:ascii="Times New Roman" w:hAnsi="Times New Roman"/>
          <w:sz w:val="24"/>
        </w:rPr>
        <w:t>(1997) 189 CLR 520 at 562.</w:t>
      </w:r>
    </w:p>
  </w:footnote>
  <w:footnote w:id="134">
    <w:p w14:paraId="7BBDDDEF"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Unions NSW v New South Wales </w:t>
      </w:r>
      <w:r w:rsidRPr="00BB2B3C">
        <w:rPr>
          <w:rFonts w:ascii="Times New Roman" w:hAnsi="Times New Roman"/>
          <w:sz w:val="24"/>
        </w:rPr>
        <w:t>(2019) 264 CLR 595 at 657 [172].</w:t>
      </w:r>
    </w:p>
  </w:footnote>
  <w:footnote w:id="135">
    <w:p w14:paraId="3DF82605"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Zedra Trust Co (Jersey) Ltd v THG Plc </w:t>
      </w:r>
      <w:r w:rsidRPr="00BB2B3C">
        <w:rPr>
          <w:rFonts w:ascii="Times New Roman" w:hAnsi="Times New Roman"/>
          <w:sz w:val="24"/>
        </w:rPr>
        <w:t>[2026] 2 WLR 479 at 491 [27].</w:t>
      </w:r>
    </w:p>
  </w:footnote>
  <w:footnote w:id="136">
    <w:p w14:paraId="73D75286"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Mondelez Australia Pty Ltd v Automotive</w:t>
      </w:r>
      <w:r w:rsidRPr="00BB2B3C">
        <w:rPr>
          <w:rFonts w:ascii="Times New Roman" w:hAnsi="Times New Roman"/>
          <w:i/>
          <w:sz w:val="24"/>
        </w:rPr>
        <w:t>,</w:t>
      </w:r>
      <w:r w:rsidRPr="00BB2B3C">
        <w:rPr>
          <w:rFonts w:ascii="Times New Roman" w:hAnsi="Times New Roman"/>
          <w:i/>
          <w:iCs/>
          <w:sz w:val="24"/>
        </w:rPr>
        <w:t xml:space="preserve"> Food, Metals, Engineering, Printing and Kindred Industries Union</w:t>
      </w:r>
      <w:r w:rsidRPr="00BB2B3C">
        <w:rPr>
          <w:rFonts w:ascii="Times New Roman" w:hAnsi="Times New Roman"/>
          <w:sz w:val="24"/>
        </w:rPr>
        <w:t xml:space="preserve"> (2020) 271 CLR 495 at 529-531 [95]-[98]; </w:t>
      </w:r>
      <w:r w:rsidRPr="00BB2B3C">
        <w:rPr>
          <w:rFonts w:ascii="Times New Roman" w:hAnsi="Times New Roman"/>
          <w:i/>
          <w:iCs/>
          <w:sz w:val="24"/>
        </w:rPr>
        <w:t xml:space="preserve">Automotive Invest Pty Ltd v Federal Commissioner of Taxation </w:t>
      </w:r>
      <w:r w:rsidRPr="00BB2B3C">
        <w:rPr>
          <w:rFonts w:ascii="Times New Roman" w:hAnsi="Times New Roman"/>
          <w:sz w:val="24"/>
        </w:rPr>
        <w:t>(2024) 98 ALJR 1245 at 1266 [115]; 419 ALR 324 at 352-353;</w:t>
      </w:r>
      <w:r w:rsidRPr="00BB2B3C">
        <w:rPr>
          <w:rFonts w:ascii="Times New Roman" w:hAnsi="Times New Roman"/>
          <w:i/>
          <w:iCs/>
          <w:sz w:val="24"/>
        </w:rPr>
        <w:t xml:space="preserve"> </w:t>
      </w:r>
      <w:r w:rsidRPr="00BB2B3C">
        <w:rPr>
          <w:rFonts w:ascii="Times New Roman" w:hAnsi="Times New Roman"/>
          <w:i/>
          <w:sz w:val="24"/>
        </w:rPr>
        <w:t xml:space="preserve">Ravbar v The Commonwealth </w:t>
      </w:r>
      <w:r w:rsidRPr="00BB2B3C">
        <w:rPr>
          <w:rFonts w:ascii="Times New Roman" w:hAnsi="Times New Roman"/>
          <w:sz w:val="24"/>
        </w:rPr>
        <w:t>(2025) 99 ALJR 1000 at 1043-1044 [172]-[174]; 423 ALR 241 at 291-292.</w:t>
      </w:r>
    </w:p>
  </w:footnote>
  <w:footnote w:id="137">
    <w:p w14:paraId="2685CE2D"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Brown v Tasmania </w:t>
      </w:r>
      <w:r w:rsidRPr="00BB2B3C">
        <w:rPr>
          <w:rFonts w:ascii="Times New Roman" w:hAnsi="Times New Roman"/>
          <w:sz w:val="24"/>
          <w:szCs w:val="18"/>
        </w:rPr>
        <w:t>(2017) 261 CLR 328</w:t>
      </w:r>
      <w:r w:rsidRPr="00BB2B3C">
        <w:rPr>
          <w:rFonts w:ascii="Times New Roman" w:hAnsi="Times New Roman"/>
          <w:i/>
          <w:sz w:val="24"/>
          <w:szCs w:val="18"/>
        </w:rPr>
        <w:t xml:space="preserve"> </w:t>
      </w:r>
      <w:r w:rsidRPr="00BB2B3C">
        <w:rPr>
          <w:rFonts w:ascii="Times New Roman" w:hAnsi="Times New Roman"/>
          <w:sz w:val="24"/>
          <w:szCs w:val="18"/>
        </w:rPr>
        <w:t xml:space="preserve">at 391-392 [208]; </w:t>
      </w:r>
      <w:r w:rsidRPr="00BB2B3C">
        <w:rPr>
          <w:rFonts w:ascii="Times New Roman" w:hAnsi="Times New Roman"/>
          <w:i/>
          <w:iCs/>
          <w:sz w:val="24"/>
        </w:rPr>
        <w:t xml:space="preserve">Unions NSW v New South Wales </w:t>
      </w:r>
      <w:r w:rsidRPr="00BB2B3C">
        <w:rPr>
          <w:rFonts w:ascii="Times New Roman" w:hAnsi="Times New Roman"/>
          <w:sz w:val="24"/>
        </w:rPr>
        <w:t>(2019) 264 CLR 595 at 657 [171].</w:t>
      </w:r>
      <w:r w:rsidRPr="00BB2B3C">
        <w:rPr>
          <w:rFonts w:ascii="Times New Roman" w:hAnsi="Times New Roman"/>
          <w:sz w:val="24"/>
          <w:szCs w:val="18"/>
        </w:rPr>
        <w:t xml:space="preserve"> </w:t>
      </w:r>
    </w:p>
  </w:footnote>
  <w:footnote w:id="138">
    <w:p w14:paraId="7643529C"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Australian Capital Television Pty Ltd v </w:t>
      </w:r>
      <w:r w:rsidRPr="00BB2B3C">
        <w:rPr>
          <w:rFonts w:ascii="Times New Roman" w:hAnsi="Times New Roman"/>
          <w:i/>
          <w:sz w:val="24"/>
        </w:rPr>
        <w:t>The</w:t>
      </w:r>
      <w:r w:rsidRPr="00BB2B3C">
        <w:rPr>
          <w:rFonts w:ascii="Times New Roman" w:hAnsi="Times New Roman"/>
          <w:i/>
          <w:iCs/>
          <w:sz w:val="24"/>
        </w:rPr>
        <w:t xml:space="preserve"> Commonwealth </w:t>
      </w:r>
      <w:r w:rsidRPr="00BB2B3C">
        <w:rPr>
          <w:rFonts w:ascii="Times New Roman" w:hAnsi="Times New Roman"/>
          <w:sz w:val="24"/>
        </w:rPr>
        <w:t xml:space="preserve">(1992) 177 CLR 106 at 146, 175, 239; </w:t>
      </w:r>
      <w:r w:rsidRPr="00BB2B3C">
        <w:rPr>
          <w:rFonts w:ascii="Times New Roman" w:hAnsi="Times New Roman"/>
          <w:i/>
          <w:iCs/>
          <w:sz w:val="24"/>
        </w:rPr>
        <w:t xml:space="preserve">Unions NSW v New South Wales </w:t>
      </w:r>
      <w:r w:rsidRPr="00BB2B3C">
        <w:rPr>
          <w:rFonts w:ascii="Times New Roman" w:hAnsi="Times New Roman"/>
          <w:sz w:val="24"/>
        </w:rPr>
        <w:t xml:space="preserve">(2013) 252 CLR 530 at 557 [49]; </w:t>
      </w:r>
      <w:r w:rsidRPr="00BB2B3C">
        <w:rPr>
          <w:rFonts w:ascii="Times New Roman" w:hAnsi="Times New Roman"/>
          <w:i/>
          <w:iCs/>
          <w:sz w:val="24"/>
        </w:rPr>
        <w:t xml:space="preserve">Unions NSW v New South Wales </w:t>
      </w:r>
      <w:r w:rsidRPr="00BB2B3C">
        <w:rPr>
          <w:rFonts w:ascii="Times New Roman" w:hAnsi="Times New Roman"/>
          <w:sz w:val="24"/>
        </w:rPr>
        <w:t>(2019) 264 CLR 595 at 613 [35].</w:t>
      </w:r>
    </w:p>
  </w:footnote>
  <w:footnote w:id="139">
    <w:p w14:paraId="0FC528B4"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At [88] above. </w:t>
      </w:r>
    </w:p>
  </w:footnote>
  <w:footnote w:id="140">
    <w:p w14:paraId="19B748F3"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Ravbar v </w:t>
      </w:r>
      <w:r w:rsidRPr="00BB2B3C">
        <w:rPr>
          <w:rFonts w:ascii="Times New Roman" w:hAnsi="Times New Roman"/>
          <w:i/>
          <w:sz w:val="24"/>
        </w:rPr>
        <w:t>The</w:t>
      </w:r>
      <w:r w:rsidRPr="00BB2B3C">
        <w:rPr>
          <w:rFonts w:ascii="Times New Roman" w:hAnsi="Times New Roman"/>
          <w:i/>
          <w:iCs/>
          <w:sz w:val="24"/>
        </w:rPr>
        <w:t xml:space="preserve"> Commonwealth </w:t>
      </w:r>
      <w:r w:rsidRPr="00BB2B3C">
        <w:rPr>
          <w:rFonts w:ascii="Times New Roman" w:hAnsi="Times New Roman"/>
          <w:sz w:val="24"/>
        </w:rPr>
        <w:t xml:space="preserve">(2025) 99 ALJR 1000 at 1053 [214]; 423 ALR 241 at 305, referring to Chordia, </w:t>
      </w:r>
      <w:r w:rsidRPr="00BB2B3C">
        <w:rPr>
          <w:rFonts w:ascii="Times New Roman" w:hAnsi="Times New Roman"/>
          <w:i/>
          <w:iCs/>
          <w:sz w:val="24"/>
        </w:rPr>
        <w:t>Proportionality in Australian Constitutional Law</w:t>
      </w:r>
      <w:r w:rsidRPr="00BB2B3C">
        <w:rPr>
          <w:rFonts w:ascii="Times New Roman" w:hAnsi="Times New Roman"/>
          <w:sz w:val="24"/>
        </w:rPr>
        <w:t xml:space="preserve"> (2020) at 175-176, Barak, </w:t>
      </w:r>
      <w:r w:rsidRPr="00BB2B3C">
        <w:rPr>
          <w:rFonts w:ascii="Times New Roman" w:hAnsi="Times New Roman"/>
          <w:i/>
          <w:iCs/>
          <w:sz w:val="24"/>
        </w:rPr>
        <w:t>Proportionality: Constitutional Rights and their Limitations</w:t>
      </w:r>
      <w:r w:rsidRPr="00BB2B3C">
        <w:rPr>
          <w:rFonts w:ascii="Times New Roman" w:hAnsi="Times New Roman"/>
          <w:sz w:val="24"/>
        </w:rPr>
        <w:t xml:space="preserve">, trans Kalir (2012) at 529-530, and Carter, </w:t>
      </w:r>
      <w:r w:rsidRPr="00BB2B3C">
        <w:rPr>
          <w:rFonts w:ascii="Times New Roman" w:hAnsi="Times New Roman"/>
          <w:i/>
          <w:iCs/>
          <w:sz w:val="24"/>
        </w:rPr>
        <w:t>Proportionality and Facts in Constitutional Adjudication</w:t>
      </w:r>
      <w:r w:rsidRPr="00BB2B3C">
        <w:rPr>
          <w:rFonts w:ascii="Times New Roman" w:hAnsi="Times New Roman"/>
          <w:sz w:val="24"/>
        </w:rPr>
        <w:t xml:space="preserve"> (2021) at 23, 32.</w:t>
      </w:r>
    </w:p>
  </w:footnote>
  <w:footnote w:id="141">
    <w:p w14:paraId="277657AA"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Lange v Australian Broadcasting Corporation </w:t>
      </w:r>
      <w:r w:rsidRPr="00BB2B3C">
        <w:rPr>
          <w:rFonts w:ascii="Times New Roman" w:hAnsi="Times New Roman"/>
          <w:sz w:val="24"/>
        </w:rPr>
        <w:t>(1997) 189 CLR 520 at 561 (emphasis added).</w:t>
      </w:r>
    </w:p>
  </w:footnote>
  <w:footnote w:id="142">
    <w:p w14:paraId="020DCFE1"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Ravbar v The Commonwealth </w:t>
      </w:r>
      <w:r w:rsidRPr="00BB2B3C">
        <w:rPr>
          <w:rFonts w:ascii="Times New Roman" w:hAnsi="Times New Roman"/>
          <w:sz w:val="24"/>
        </w:rPr>
        <w:t>(2025) 99 ALJR 1000 at 1044 [174]; 423 ALR 241 at 292.</w:t>
      </w:r>
    </w:p>
  </w:footnote>
  <w:footnote w:id="143">
    <w:p w14:paraId="66ECAA47"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Ravbar v The Commonwealth </w:t>
      </w:r>
      <w:r w:rsidRPr="00BB2B3C">
        <w:rPr>
          <w:rFonts w:ascii="Times New Roman" w:hAnsi="Times New Roman"/>
          <w:sz w:val="24"/>
        </w:rPr>
        <w:t xml:space="preserve">(2025) 99 ALJR 1000 at 1022 [58], 1038 [140], 1045 [177]-[179], 1065 [270]; 423 ALR 241 at 262, 283, 293, 320-321. </w:t>
      </w:r>
    </w:p>
  </w:footnote>
  <w:footnote w:id="144">
    <w:p w14:paraId="204D40D6"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Clubb v Edwards </w:t>
      </w:r>
      <w:r w:rsidRPr="00BB2B3C">
        <w:rPr>
          <w:rFonts w:ascii="Times New Roman" w:hAnsi="Times New Roman"/>
          <w:sz w:val="24"/>
        </w:rPr>
        <w:t xml:space="preserve">(2019) 267 CLR 171 at 314 [418]. </w:t>
      </w:r>
    </w:p>
  </w:footnote>
  <w:footnote w:id="145">
    <w:p w14:paraId="4EBD1075"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See, for instance, </w:t>
      </w:r>
      <w:r w:rsidRPr="00BB2B3C">
        <w:rPr>
          <w:rFonts w:ascii="Times New Roman" w:hAnsi="Times New Roman"/>
          <w:i/>
          <w:iCs/>
          <w:sz w:val="24"/>
        </w:rPr>
        <w:t xml:space="preserve">Clubb v Edwards </w:t>
      </w:r>
      <w:r w:rsidRPr="00BB2B3C">
        <w:rPr>
          <w:rFonts w:ascii="Times New Roman" w:hAnsi="Times New Roman"/>
          <w:sz w:val="24"/>
        </w:rPr>
        <w:t>(2019) 267 CLR 171 at 217-219 [139]-[142].</w:t>
      </w:r>
    </w:p>
  </w:footnote>
  <w:footnote w:id="146">
    <w:p w14:paraId="462D339E"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Cam &amp; Sons</w:t>
      </w:r>
      <w:r w:rsidRPr="00BB2B3C">
        <w:rPr>
          <w:rFonts w:ascii="Times New Roman" w:hAnsi="Times New Roman"/>
          <w:sz w:val="24"/>
        </w:rPr>
        <w:t xml:space="preserve"> </w:t>
      </w:r>
      <w:r w:rsidRPr="00BB2B3C">
        <w:rPr>
          <w:rFonts w:ascii="Times New Roman" w:hAnsi="Times New Roman"/>
          <w:i/>
          <w:sz w:val="24"/>
        </w:rPr>
        <w:t>Pty Ltd v The Chief Secretary of New South Wales</w:t>
      </w:r>
      <w:r w:rsidRPr="00BB2B3C">
        <w:rPr>
          <w:rFonts w:ascii="Times New Roman" w:hAnsi="Times New Roman"/>
          <w:i/>
          <w:iCs/>
          <w:sz w:val="24"/>
        </w:rPr>
        <w:t xml:space="preserve"> </w:t>
      </w:r>
      <w:r w:rsidRPr="00BB2B3C">
        <w:rPr>
          <w:rFonts w:ascii="Times New Roman" w:hAnsi="Times New Roman"/>
          <w:sz w:val="24"/>
        </w:rPr>
        <w:t xml:space="preserve">(1951) 84 CLR 442 at 454. See also </w:t>
      </w:r>
      <w:r w:rsidRPr="00BB2B3C">
        <w:rPr>
          <w:rFonts w:ascii="Times New Roman" w:hAnsi="Times New Roman"/>
          <w:i/>
          <w:iCs/>
          <w:sz w:val="24"/>
        </w:rPr>
        <w:t>R v Poole; Ex parte Henry [No 2]</w:t>
      </w:r>
      <w:r w:rsidRPr="00BB2B3C">
        <w:rPr>
          <w:rFonts w:ascii="Times New Roman" w:hAnsi="Times New Roman"/>
          <w:sz w:val="24"/>
        </w:rPr>
        <w:t xml:space="preserve"> (1939) 61 CLR 634 at 652.</w:t>
      </w:r>
    </w:p>
  </w:footnote>
  <w:footnote w:id="147">
    <w:p w14:paraId="4F220971"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Bank of New South Wales v The Commonwealth</w:t>
      </w:r>
      <w:r w:rsidRPr="00BB2B3C">
        <w:rPr>
          <w:rFonts w:ascii="Times New Roman" w:hAnsi="Times New Roman"/>
          <w:sz w:val="24"/>
        </w:rPr>
        <w:t xml:space="preserve"> (1948) 76 CLR 1 at 371.</w:t>
      </w:r>
    </w:p>
  </w:footnote>
  <w:footnote w:id="148">
    <w:p w14:paraId="67D1141B"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Kelly v The Queen </w:t>
      </w:r>
      <w:r w:rsidRPr="00BB2B3C">
        <w:rPr>
          <w:rFonts w:ascii="Times New Roman" w:hAnsi="Times New Roman"/>
          <w:sz w:val="24"/>
        </w:rPr>
        <w:t xml:space="preserve">(2004) 218 CLR 216 at 253 [103]; </w:t>
      </w:r>
      <w:r w:rsidRPr="00BB2B3C">
        <w:rPr>
          <w:rFonts w:ascii="Times New Roman" w:hAnsi="Times New Roman"/>
          <w:i/>
          <w:sz w:val="24"/>
        </w:rPr>
        <w:t xml:space="preserve">Farshchi v The King </w:t>
      </w:r>
      <w:r w:rsidRPr="00BB2B3C">
        <w:rPr>
          <w:rFonts w:ascii="Times New Roman" w:hAnsi="Times New Roman"/>
          <w:sz w:val="24"/>
        </w:rPr>
        <w:t>(2025) 100 ALJR 6 at 22 [59]; 426 ALR 185 at 202.</w:t>
      </w:r>
    </w:p>
  </w:footnote>
  <w:footnote w:id="149">
    <w:p w14:paraId="5AFD4AC4"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sz w:val="24"/>
        </w:rPr>
        <w:t xml:space="preserve">LibertyWorks Inc v The Commonwealth </w:t>
      </w:r>
      <w:r w:rsidRPr="00BB2B3C">
        <w:rPr>
          <w:rFonts w:ascii="Times New Roman" w:hAnsi="Times New Roman"/>
          <w:sz w:val="24"/>
        </w:rPr>
        <w:t xml:space="preserve">(2021) 274 CLR 1 at 72 [185]; </w:t>
      </w:r>
      <w:r w:rsidRPr="00BB2B3C">
        <w:rPr>
          <w:rFonts w:ascii="Times New Roman" w:hAnsi="Times New Roman"/>
          <w:i/>
          <w:sz w:val="24"/>
        </w:rPr>
        <w:t xml:space="preserve">Farmer v Minister for Home Affairs </w:t>
      </w:r>
      <w:r w:rsidRPr="00BB2B3C">
        <w:rPr>
          <w:rFonts w:ascii="Times New Roman" w:hAnsi="Times New Roman"/>
          <w:sz w:val="24"/>
        </w:rPr>
        <w:t>(2025) 99 ALJR 1408 at 1418 [24], 1432 [96]-[98]; 425 ALR 116 at 124, 143-144.</w:t>
      </w:r>
    </w:p>
  </w:footnote>
  <w:footnote w:id="150">
    <w:p w14:paraId="422A1DD1"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217D(1)(a).</w:t>
      </w:r>
    </w:p>
  </w:footnote>
  <w:footnote w:id="151">
    <w:p w14:paraId="64C6A1E2"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217D(1)(b).</w:t>
      </w:r>
    </w:p>
  </w:footnote>
  <w:footnote w:id="152">
    <w:p w14:paraId="333D3577" w14:textId="77777777" w:rsidR="00960529" w:rsidRPr="00BB2B3C" w:rsidRDefault="00960529" w:rsidP="00BB2B3C">
      <w:pPr>
        <w:pStyle w:val="FootnoteText"/>
        <w:spacing w:line="280" w:lineRule="exact"/>
        <w:ind w:right="0"/>
        <w:jc w:val="both"/>
        <w:rPr>
          <w:rFonts w:ascii="Times New Roman" w:hAnsi="Times New Roman"/>
          <w:i/>
          <w:iCs/>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217D(1)(c).</w:t>
      </w:r>
    </w:p>
  </w:footnote>
  <w:footnote w:id="153">
    <w:p w14:paraId="4E38F251"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See </w:t>
      </w:r>
      <w:r w:rsidRPr="00BB2B3C">
        <w:rPr>
          <w:rFonts w:ascii="Times New Roman" w:hAnsi="Times New Roman"/>
          <w:i/>
          <w:iCs/>
          <w:sz w:val="24"/>
        </w:rPr>
        <w:t xml:space="preserve">McCloy v New South Wales </w:t>
      </w:r>
      <w:r w:rsidRPr="00BB2B3C">
        <w:rPr>
          <w:rFonts w:ascii="Times New Roman" w:hAnsi="Times New Roman"/>
          <w:sz w:val="24"/>
        </w:rPr>
        <w:t xml:space="preserve">(2015) 257 CLR 178 at 204-205 [36], 208 [47], 248 [181], [184], 259 [224]-[225], 284-285 [322], 285 [324]-[325]; </w:t>
      </w:r>
      <w:r w:rsidRPr="00BB2B3C">
        <w:rPr>
          <w:rFonts w:ascii="Times New Roman" w:hAnsi="Times New Roman"/>
          <w:i/>
          <w:iCs/>
          <w:sz w:val="24"/>
        </w:rPr>
        <w:t xml:space="preserve">Unions NSW v New South Wales </w:t>
      </w:r>
      <w:r w:rsidRPr="00BB2B3C">
        <w:rPr>
          <w:rFonts w:ascii="Times New Roman" w:hAnsi="Times New Roman"/>
          <w:sz w:val="24"/>
        </w:rPr>
        <w:t>(2019) 264 CLR 595 at 623 [71].</w:t>
      </w:r>
    </w:p>
  </w:footnote>
  <w:footnote w:id="154">
    <w:p w14:paraId="79B4F054"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Victoria, Legislative Assembly, </w:t>
      </w:r>
      <w:r w:rsidRPr="00BB2B3C">
        <w:rPr>
          <w:rFonts w:ascii="Times New Roman" w:hAnsi="Times New Roman"/>
          <w:i/>
          <w:sz w:val="24"/>
        </w:rPr>
        <w:t>Electoral Legislation Amendment Bill 2018</w:t>
      </w:r>
      <w:r w:rsidRPr="00BB2B3C">
        <w:rPr>
          <w:rFonts w:ascii="Times New Roman" w:hAnsi="Times New Roman"/>
          <w:sz w:val="24"/>
        </w:rPr>
        <w:t>, Explanatory Memorandum at 35.</w:t>
      </w:r>
    </w:p>
  </w:footnote>
  <w:footnote w:id="155">
    <w:p w14:paraId="2D74BDBA"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Victoria, Legislative Assembly, </w:t>
      </w:r>
      <w:r w:rsidRPr="00BB2B3C">
        <w:rPr>
          <w:rFonts w:ascii="Times New Roman" w:hAnsi="Times New Roman"/>
          <w:i/>
          <w:sz w:val="24"/>
        </w:rPr>
        <w:t>Parliamentary Debates</w:t>
      </w:r>
      <w:r w:rsidRPr="00BB2B3C">
        <w:rPr>
          <w:rFonts w:ascii="Times New Roman" w:hAnsi="Times New Roman"/>
          <w:sz w:val="24"/>
        </w:rPr>
        <w:t xml:space="preserve"> (Hansard), 10 May 2018 at 1351. </w:t>
      </w:r>
    </w:p>
  </w:footnote>
  <w:footnote w:id="156">
    <w:p w14:paraId="729F621B"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Emphasis in original. </w:t>
      </w:r>
    </w:p>
  </w:footnote>
  <w:footnote w:id="157">
    <w:p w14:paraId="6783A855"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Including </w:t>
      </w:r>
      <w:r w:rsidRPr="00BB2B3C">
        <w:rPr>
          <w:rFonts w:ascii="Times New Roman" w:hAnsi="Times New Roman"/>
          <w:i/>
          <w:sz w:val="24"/>
        </w:rPr>
        <w:t>Electoral Act</w:t>
      </w:r>
      <w:r w:rsidRPr="00BB2B3C">
        <w:rPr>
          <w:rFonts w:ascii="Times New Roman" w:hAnsi="Times New Roman"/>
          <w:sz w:val="24"/>
        </w:rPr>
        <w:t>, ss 207F, 216, 217D, 218B.</w:t>
      </w:r>
    </w:p>
  </w:footnote>
  <w:footnote w:id="158">
    <w:p w14:paraId="40DDAEE7"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Electoral Act</w:t>
      </w:r>
      <w:r w:rsidRPr="00BB2B3C">
        <w:rPr>
          <w:rFonts w:ascii="Times New Roman" w:hAnsi="Times New Roman"/>
          <w:sz w:val="24"/>
        </w:rPr>
        <w:t>, s 218B.</w:t>
      </w:r>
    </w:p>
  </w:footnote>
  <w:footnote w:id="159">
    <w:p w14:paraId="138BAE96"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 xml:space="preserve">Unions NSW v New South Wales </w:t>
      </w:r>
      <w:r w:rsidRPr="00BB2B3C">
        <w:rPr>
          <w:rFonts w:ascii="Times New Roman" w:hAnsi="Times New Roman"/>
          <w:sz w:val="24"/>
        </w:rPr>
        <w:t xml:space="preserve">(2019) 264 CLR 595 at 658 [175]. </w:t>
      </w:r>
    </w:p>
  </w:footnote>
  <w:footnote w:id="160">
    <w:p w14:paraId="70B55BB9"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r>
      <w:r w:rsidRPr="00BB2B3C">
        <w:rPr>
          <w:rFonts w:ascii="Times New Roman" w:hAnsi="Times New Roman"/>
          <w:i/>
          <w:iCs/>
          <w:sz w:val="24"/>
        </w:rPr>
        <w:t>Bank of New South Wales v The Commonwealth</w:t>
      </w:r>
      <w:r w:rsidRPr="00BB2B3C">
        <w:rPr>
          <w:rFonts w:ascii="Times New Roman" w:hAnsi="Times New Roman"/>
          <w:sz w:val="24"/>
        </w:rPr>
        <w:t xml:space="preserve"> (1948) 76 CLR 1 at 371.</w:t>
      </w:r>
    </w:p>
  </w:footnote>
  <w:footnote w:id="161">
    <w:p w14:paraId="788CC0FD"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Compare </w:t>
      </w:r>
      <w:r w:rsidRPr="00BB2B3C">
        <w:rPr>
          <w:rFonts w:ascii="Times New Roman" w:hAnsi="Times New Roman"/>
          <w:i/>
          <w:iCs/>
          <w:sz w:val="24"/>
        </w:rPr>
        <w:t xml:space="preserve">Unions NSW v New South Wales </w:t>
      </w:r>
      <w:r w:rsidRPr="00BB2B3C">
        <w:rPr>
          <w:rFonts w:ascii="Times New Roman" w:hAnsi="Times New Roman"/>
          <w:sz w:val="24"/>
        </w:rPr>
        <w:t>(2019) 264 CLR 595 at 661 [181].</w:t>
      </w:r>
    </w:p>
  </w:footnote>
  <w:footnote w:id="162">
    <w:p w14:paraId="4AD4A29F"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At [94] above. </w:t>
      </w:r>
    </w:p>
  </w:footnote>
  <w:footnote w:id="163">
    <w:p w14:paraId="5A6F7937"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At [96] above. </w:t>
      </w:r>
    </w:p>
  </w:footnote>
  <w:footnote w:id="164">
    <w:p w14:paraId="018A0974"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Victoria, Legislative Council, </w:t>
      </w:r>
      <w:r w:rsidRPr="00BB2B3C">
        <w:rPr>
          <w:rFonts w:ascii="Times New Roman" w:hAnsi="Times New Roman"/>
          <w:i/>
          <w:sz w:val="24"/>
        </w:rPr>
        <w:t xml:space="preserve">Parliamentary Debates </w:t>
      </w:r>
      <w:r w:rsidRPr="00BB2B3C">
        <w:rPr>
          <w:rFonts w:ascii="Times New Roman" w:hAnsi="Times New Roman"/>
          <w:sz w:val="24"/>
        </w:rPr>
        <w:t>(Hansard), 22 June 2018 at 3042.</w:t>
      </w:r>
    </w:p>
  </w:footnote>
  <w:footnote w:id="165">
    <w:p w14:paraId="27994BC8" w14:textId="77777777" w:rsidR="00960529" w:rsidRPr="00BB2B3C" w:rsidRDefault="00960529" w:rsidP="00BB2B3C">
      <w:pPr>
        <w:pStyle w:val="FootnoteText"/>
        <w:spacing w:line="280" w:lineRule="exact"/>
        <w:ind w:right="0"/>
        <w:jc w:val="both"/>
        <w:rPr>
          <w:rFonts w:ascii="Times New Roman" w:hAnsi="Times New Roman"/>
          <w:sz w:val="24"/>
        </w:rPr>
      </w:pPr>
      <w:r w:rsidRPr="00BB2B3C">
        <w:rPr>
          <w:rStyle w:val="FootnoteReference"/>
          <w:rFonts w:ascii="Times New Roman" w:hAnsi="Times New Roman"/>
          <w:sz w:val="22"/>
          <w:vertAlign w:val="baseline"/>
        </w:rPr>
        <w:footnoteRef/>
      </w:r>
      <w:r w:rsidRPr="00BB2B3C">
        <w:rPr>
          <w:rFonts w:ascii="Times New Roman" w:hAnsi="Times New Roman"/>
          <w:sz w:val="24"/>
        </w:rPr>
        <w:t xml:space="preserve"> </w:t>
      </w:r>
      <w:r w:rsidRPr="00BB2B3C">
        <w:rPr>
          <w:rFonts w:ascii="Times New Roman" w:hAnsi="Times New Roman"/>
          <w:sz w:val="24"/>
        </w:rPr>
        <w:tab/>
        <w:t xml:space="preserve">Victoria, Legislative Assembly, </w:t>
      </w:r>
      <w:r w:rsidRPr="00BB2B3C">
        <w:rPr>
          <w:rFonts w:ascii="Times New Roman" w:hAnsi="Times New Roman"/>
          <w:i/>
          <w:sz w:val="24"/>
        </w:rPr>
        <w:t>Electoral Legislation Amendment Bill 2018</w:t>
      </w:r>
      <w:r w:rsidRPr="00BB2B3C">
        <w:rPr>
          <w:rFonts w:ascii="Times New Roman" w:hAnsi="Times New Roman"/>
          <w:sz w:val="24"/>
        </w:rPr>
        <w:t>, Explanatory Memorandum at 18.</w:t>
      </w:r>
    </w:p>
  </w:footnote>
  <w:footnote w:id="166">
    <w:p w14:paraId="545198D1"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(1943) 68 CLR 87 at 109, 111.</w:t>
      </w:r>
    </w:p>
  </w:footnote>
  <w:footnote w:id="167">
    <w:p w14:paraId="59607C57"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r>
      <w:r w:rsidRPr="001C6E4C">
        <w:rPr>
          <w:rFonts w:ascii="Times New Roman" w:hAnsi="Times New Roman"/>
          <w:i/>
          <w:iCs/>
          <w:sz w:val="24"/>
        </w:rPr>
        <w:t>Unions NSW v New South Wales</w:t>
      </w:r>
      <w:r w:rsidRPr="001C6E4C">
        <w:rPr>
          <w:rFonts w:ascii="Times New Roman" w:hAnsi="Times New Roman"/>
          <w:sz w:val="24"/>
        </w:rPr>
        <w:t xml:space="preserve"> (2019) 264 CLR 595.</w:t>
      </w:r>
    </w:p>
  </w:footnote>
  <w:footnote w:id="168">
    <w:p w14:paraId="658EFD74"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 xml:space="preserve">Part 12 of the </w:t>
      </w:r>
      <w:r w:rsidRPr="001C6E4C">
        <w:rPr>
          <w:rFonts w:ascii="Times New Roman" w:hAnsi="Times New Roman"/>
          <w:i/>
          <w:iCs/>
          <w:sz w:val="24"/>
        </w:rPr>
        <w:t>Electoral Act</w:t>
      </w:r>
      <w:r w:rsidRPr="001C6E4C">
        <w:rPr>
          <w:rFonts w:ascii="Times New Roman" w:hAnsi="Times New Roman"/>
          <w:sz w:val="24"/>
        </w:rPr>
        <w:t xml:space="preserve"> was relevantly amended by the </w:t>
      </w:r>
      <w:r w:rsidRPr="001C6E4C">
        <w:rPr>
          <w:rFonts w:ascii="Times New Roman" w:hAnsi="Times New Roman"/>
          <w:i/>
          <w:iCs/>
          <w:sz w:val="24"/>
        </w:rPr>
        <w:t>Electoral Legislation Amendment Act 2018</w:t>
      </w:r>
      <w:r w:rsidRPr="001C6E4C">
        <w:rPr>
          <w:rFonts w:ascii="Times New Roman" w:hAnsi="Times New Roman"/>
          <w:sz w:val="24"/>
        </w:rPr>
        <w:t xml:space="preserve"> (Vic). </w:t>
      </w:r>
    </w:p>
  </w:footnote>
  <w:footnote w:id="169">
    <w:p w14:paraId="399E41E7"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(2019) 264 CLR 595 at 639 [113] (footnote omitted).</w:t>
      </w:r>
    </w:p>
  </w:footnote>
  <w:footnote w:id="170">
    <w:p w14:paraId="075310F0"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 xml:space="preserve">Electoral Review Expert Panel, </w:t>
      </w:r>
      <w:r w:rsidRPr="001C6E4C">
        <w:rPr>
          <w:rFonts w:ascii="Times New Roman" w:hAnsi="Times New Roman"/>
          <w:i/>
          <w:iCs/>
          <w:sz w:val="24"/>
        </w:rPr>
        <w:t xml:space="preserve">Report on Victoria's Laws on Political Finance and Electronic Assisted Voting </w:t>
      </w:r>
      <w:r w:rsidRPr="001C6E4C">
        <w:rPr>
          <w:rFonts w:ascii="Times New Roman" w:hAnsi="Times New Roman"/>
          <w:sz w:val="24"/>
        </w:rPr>
        <w:t>(November 2023) at 95-96.</w:t>
      </w:r>
    </w:p>
  </w:footnote>
  <w:footnote w:id="171">
    <w:p w14:paraId="18BD8EBF"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 xml:space="preserve">Electoral Review Expert Panel, </w:t>
      </w:r>
      <w:r w:rsidRPr="001C6E4C">
        <w:rPr>
          <w:rFonts w:ascii="Times New Roman" w:hAnsi="Times New Roman"/>
          <w:i/>
          <w:iCs/>
          <w:sz w:val="24"/>
        </w:rPr>
        <w:t xml:space="preserve">Report on Victoria's Laws on Political Finance and Electronic Assisted Voting </w:t>
      </w:r>
      <w:r w:rsidRPr="001C6E4C">
        <w:rPr>
          <w:rFonts w:ascii="Times New Roman" w:hAnsi="Times New Roman"/>
          <w:sz w:val="24"/>
        </w:rPr>
        <w:t>(November 2023) at 97.</w:t>
      </w:r>
    </w:p>
  </w:footnote>
  <w:footnote w:id="172">
    <w:p w14:paraId="3B19FAC5"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 xml:space="preserve">(2021) 272 CLR 505; </w:t>
      </w:r>
      <w:r w:rsidRPr="001C6E4C">
        <w:rPr>
          <w:rFonts w:ascii="Times New Roman" w:hAnsi="Times New Roman"/>
          <w:i/>
          <w:iCs/>
          <w:sz w:val="24"/>
        </w:rPr>
        <w:t>Judiciary Act</w:t>
      </w:r>
      <w:r w:rsidRPr="001C6E4C">
        <w:rPr>
          <w:rFonts w:ascii="Times New Roman" w:hAnsi="Times New Roman"/>
          <w:sz w:val="24"/>
        </w:rPr>
        <w:t xml:space="preserve"> </w:t>
      </w:r>
      <w:r w:rsidRPr="001C6E4C">
        <w:rPr>
          <w:rFonts w:ascii="Times New Roman" w:hAnsi="Times New Roman"/>
          <w:i/>
          <w:iCs/>
          <w:sz w:val="24"/>
        </w:rPr>
        <w:t>1903</w:t>
      </w:r>
      <w:r w:rsidRPr="001C6E4C">
        <w:rPr>
          <w:rFonts w:ascii="Times New Roman" w:hAnsi="Times New Roman"/>
          <w:sz w:val="24"/>
        </w:rPr>
        <w:t xml:space="preserve"> (Cth), s 44.</w:t>
      </w:r>
    </w:p>
  </w:footnote>
  <w:footnote w:id="173">
    <w:p w14:paraId="6EB6390C"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 xml:space="preserve">cf </w:t>
      </w:r>
      <w:r w:rsidRPr="001C6E4C">
        <w:rPr>
          <w:rFonts w:ascii="Times New Roman" w:hAnsi="Times New Roman"/>
          <w:i/>
          <w:iCs/>
          <w:sz w:val="24"/>
        </w:rPr>
        <w:t>Unions NSW v New South Wales</w:t>
      </w:r>
      <w:r w:rsidRPr="001C6E4C">
        <w:rPr>
          <w:rFonts w:ascii="Times New Roman" w:hAnsi="Times New Roman"/>
          <w:sz w:val="24"/>
        </w:rPr>
        <w:t xml:space="preserve"> (2019) 264 CLR 595.</w:t>
      </w:r>
    </w:p>
  </w:footnote>
  <w:footnote w:id="174">
    <w:p w14:paraId="5FB76743"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r>
      <w:r w:rsidRPr="001C6E4C">
        <w:rPr>
          <w:rFonts w:ascii="Times New Roman" w:hAnsi="Times New Roman"/>
          <w:i/>
          <w:iCs/>
          <w:sz w:val="24"/>
        </w:rPr>
        <w:t xml:space="preserve">Electoral Act 2002 </w:t>
      </w:r>
      <w:r w:rsidRPr="001C6E4C">
        <w:rPr>
          <w:rFonts w:ascii="Times New Roman" w:hAnsi="Times New Roman"/>
          <w:sz w:val="24"/>
        </w:rPr>
        <w:t>(Vic), s 222F read with the definitions in s 206. In particular, s 206(1) relevantly defines a "political donation" as meaning a "gift" to certain persons and entities, but a "gift" does not include "a gift made by a registered political party to the nominated entity of the registered political party or received by a registered political party from the nominated entity of the registered political party": s 206(1) definition of "gift", para (j).</w:t>
      </w:r>
    </w:p>
  </w:footnote>
  <w:footnote w:id="175">
    <w:p w14:paraId="1A015061" w14:textId="77777777" w:rsidR="00960529" w:rsidRPr="001C6E4C" w:rsidRDefault="00960529" w:rsidP="001C6E4C">
      <w:pPr>
        <w:pStyle w:val="FootnoteText"/>
        <w:spacing w:line="280" w:lineRule="exact"/>
        <w:ind w:right="0"/>
        <w:jc w:val="both"/>
        <w:rPr>
          <w:rFonts w:ascii="Times New Roman" w:hAnsi="Times New Roman"/>
          <w:sz w:val="24"/>
        </w:rPr>
      </w:pPr>
      <w:r w:rsidRPr="001C6E4C">
        <w:rPr>
          <w:rStyle w:val="FootnoteReference"/>
          <w:rFonts w:ascii="Times New Roman" w:hAnsi="Times New Roman"/>
          <w:sz w:val="22"/>
          <w:vertAlign w:val="baseline"/>
        </w:rPr>
        <w:footnoteRef/>
      </w:r>
      <w:r w:rsidRPr="001C6E4C">
        <w:rPr>
          <w:rFonts w:ascii="Times New Roman" w:hAnsi="Times New Roman"/>
          <w:sz w:val="24"/>
        </w:rPr>
        <w:t xml:space="preserve"> </w:t>
      </w:r>
      <w:r w:rsidRPr="001C6E4C">
        <w:rPr>
          <w:rFonts w:ascii="Times New Roman" w:hAnsi="Times New Roman"/>
          <w:sz w:val="24"/>
        </w:rPr>
        <w:tab/>
        <w:t xml:space="preserve">To the extent that this law eroded any "level playing field", this was perhaps a matter that might otherwise have raised an inconsistency with the constitutional requirement of representative government – but perhaps only if it had been a federal enactment; cf </w:t>
      </w:r>
      <w:r w:rsidRPr="001C6E4C">
        <w:rPr>
          <w:rFonts w:ascii="Times New Roman" w:hAnsi="Times New Roman"/>
          <w:i/>
          <w:iCs/>
          <w:sz w:val="24"/>
        </w:rPr>
        <w:t xml:space="preserve">Ruddick v The Commonwealth </w:t>
      </w:r>
      <w:r w:rsidRPr="001C6E4C">
        <w:rPr>
          <w:rFonts w:ascii="Times New Roman" w:hAnsi="Times New Roman"/>
          <w:sz w:val="24"/>
        </w:rPr>
        <w:t>(2022) 275 CLR 333.</w:t>
      </w:r>
    </w:p>
  </w:footnote>
  <w:footnote w:id="176">
    <w:p w14:paraId="54DF9CB4"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The Liberal Party of Australia (Victorian Division), the Australian Labor Party – Victorian Branch and the National Party of Australia – Victoria.</w:t>
      </w:r>
    </w:p>
  </w:footnote>
  <w:footnote w:id="177">
    <w:p w14:paraId="218B9257"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Electoral Review Expert Panel, </w:t>
      </w:r>
      <w:r w:rsidRPr="00C90AD7">
        <w:rPr>
          <w:rFonts w:ascii="Times New Roman" w:hAnsi="Times New Roman"/>
          <w:i/>
          <w:iCs/>
          <w:sz w:val="24"/>
        </w:rPr>
        <w:t xml:space="preserve">Report on Victoria's laws on political finance and electronic assisted voting </w:t>
      </w:r>
      <w:r w:rsidRPr="00C90AD7">
        <w:rPr>
          <w:rFonts w:ascii="Times New Roman" w:hAnsi="Times New Roman"/>
          <w:sz w:val="24"/>
        </w:rPr>
        <w:t>(2023) at 93.</w:t>
      </w:r>
    </w:p>
  </w:footnote>
  <w:footnote w:id="178">
    <w:p w14:paraId="0279CB22"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222F(2)-(3).</w:t>
      </w:r>
    </w:p>
  </w:footnote>
  <w:footnote w:id="179">
    <w:p w14:paraId="15727B52"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217D.</w:t>
      </w:r>
    </w:p>
  </w:footnote>
  <w:footnote w:id="180">
    <w:p w14:paraId="63F1B375"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Victoria, Legislative Council, </w:t>
      </w:r>
      <w:r w:rsidRPr="00C90AD7">
        <w:rPr>
          <w:rFonts w:ascii="Times New Roman" w:hAnsi="Times New Roman"/>
          <w:i/>
          <w:iCs/>
          <w:sz w:val="24"/>
        </w:rPr>
        <w:t xml:space="preserve">Parliamentary Debates </w:t>
      </w:r>
      <w:r w:rsidRPr="00C90AD7">
        <w:rPr>
          <w:rFonts w:ascii="Times New Roman" w:hAnsi="Times New Roman"/>
          <w:sz w:val="24"/>
        </w:rPr>
        <w:t>(Hansard), 22 June 2018 at 3040.</w:t>
      </w:r>
    </w:p>
  </w:footnote>
  <w:footnote w:id="181">
    <w:p w14:paraId="4A7E88F6"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Of which there are, however, none.</w:t>
      </w:r>
    </w:p>
  </w:footnote>
  <w:footnote w:id="182">
    <w:p w14:paraId="73593010"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McCloy v New South Wales </w:t>
      </w:r>
      <w:r w:rsidRPr="00C90AD7">
        <w:rPr>
          <w:rFonts w:ascii="Times New Roman" w:hAnsi="Times New Roman"/>
          <w:sz w:val="24"/>
        </w:rPr>
        <w:t xml:space="preserve">(2015) 257 CLR 178 at 206 [41]-[43]; </w:t>
      </w:r>
      <w:r w:rsidRPr="00C90AD7">
        <w:rPr>
          <w:rFonts w:ascii="Times New Roman" w:hAnsi="Times New Roman"/>
          <w:i/>
          <w:iCs/>
          <w:sz w:val="24"/>
        </w:rPr>
        <w:t xml:space="preserve">Unions NSW v New South Wales </w:t>
      </w:r>
      <w:r w:rsidRPr="00C90AD7">
        <w:rPr>
          <w:rFonts w:ascii="Times New Roman" w:hAnsi="Times New Roman"/>
          <w:sz w:val="24"/>
        </w:rPr>
        <w:t>("</w:t>
      </w:r>
      <w:r w:rsidRPr="00C90AD7">
        <w:rPr>
          <w:rFonts w:ascii="Times New Roman" w:hAnsi="Times New Roman"/>
          <w:i/>
          <w:iCs/>
          <w:sz w:val="24"/>
        </w:rPr>
        <w:t>Unions NSW [No 2]</w:t>
      </w:r>
      <w:r w:rsidRPr="00C90AD7">
        <w:rPr>
          <w:rFonts w:ascii="Times New Roman" w:hAnsi="Times New Roman"/>
          <w:sz w:val="24"/>
        </w:rPr>
        <w:t>") (2019) 264 CLR 595 at 612 [31].</w:t>
      </w:r>
    </w:p>
  </w:footnote>
  <w:footnote w:id="183">
    <w:p w14:paraId="3F95C8D4"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cf </w:t>
      </w:r>
      <w:r w:rsidRPr="00C90AD7">
        <w:rPr>
          <w:rFonts w:ascii="Times New Roman" w:hAnsi="Times New Roman"/>
          <w:i/>
          <w:iCs/>
          <w:sz w:val="24"/>
        </w:rPr>
        <w:t>Unions NSW [No 2]</w:t>
      </w:r>
      <w:r w:rsidRPr="00C90AD7">
        <w:rPr>
          <w:rFonts w:ascii="Times New Roman" w:hAnsi="Times New Roman"/>
          <w:sz w:val="24"/>
        </w:rPr>
        <w:t xml:space="preserve"> (2019) 264 CLR 595 at 628-629 [85].</w:t>
      </w:r>
    </w:p>
  </w:footnote>
  <w:footnote w:id="184">
    <w:p w14:paraId="70463FF5"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McCloy </w:t>
      </w:r>
      <w:r w:rsidRPr="00C90AD7">
        <w:rPr>
          <w:rFonts w:ascii="Times New Roman" w:hAnsi="Times New Roman"/>
          <w:sz w:val="24"/>
        </w:rPr>
        <w:t xml:space="preserve">(2015) 257 CLR 178 at 194 [2(B)(2)]. See also </w:t>
      </w:r>
      <w:r w:rsidRPr="00C90AD7">
        <w:rPr>
          <w:rFonts w:ascii="Times New Roman" w:hAnsi="Times New Roman"/>
          <w:i/>
          <w:iCs/>
          <w:sz w:val="24"/>
        </w:rPr>
        <w:t xml:space="preserve">Australian Capital Television Pty Ltd v The Commonwealth </w:t>
      </w:r>
      <w:r w:rsidRPr="00C90AD7">
        <w:rPr>
          <w:rFonts w:ascii="Times New Roman" w:hAnsi="Times New Roman"/>
          <w:sz w:val="24"/>
        </w:rPr>
        <w:t>(1992) 177 CLR 106 at 142.</w:t>
      </w:r>
    </w:p>
  </w:footnote>
  <w:footnote w:id="185">
    <w:p w14:paraId="52109D21"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Unions NSW [No 2] </w:t>
      </w:r>
      <w:r w:rsidRPr="00C90AD7">
        <w:rPr>
          <w:rFonts w:ascii="Times New Roman" w:hAnsi="Times New Roman"/>
          <w:sz w:val="24"/>
        </w:rPr>
        <w:t>(2019) 264 CLR 595 at 628 [84].</w:t>
      </w:r>
    </w:p>
  </w:footnote>
  <w:footnote w:id="186">
    <w:p w14:paraId="6268D008"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Knight v Victoria </w:t>
      </w:r>
      <w:r w:rsidRPr="00C90AD7">
        <w:rPr>
          <w:rFonts w:ascii="Times New Roman" w:hAnsi="Times New Roman"/>
          <w:sz w:val="24"/>
        </w:rPr>
        <w:t xml:space="preserve">(2017) 261 CLR 306 at 325 [35]. </w:t>
      </w:r>
    </w:p>
  </w:footnote>
  <w:footnote w:id="187">
    <w:p w14:paraId="6A01A2F6"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Mulholland v Australian Electoral Commission </w:t>
      </w:r>
      <w:r w:rsidRPr="00C90AD7">
        <w:rPr>
          <w:rFonts w:ascii="Times New Roman" w:hAnsi="Times New Roman"/>
          <w:sz w:val="24"/>
        </w:rPr>
        <w:t xml:space="preserve">(2004) 220 CLR 181 at 234 [147]; </w:t>
      </w:r>
      <w:r w:rsidRPr="00C90AD7">
        <w:rPr>
          <w:rFonts w:ascii="Times New Roman" w:hAnsi="Times New Roman"/>
          <w:i/>
          <w:iCs/>
          <w:sz w:val="24"/>
        </w:rPr>
        <w:t xml:space="preserve">Unions NSW [No 2] </w:t>
      </w:r>
      <w:r w:rsidRPr="00C90AD7">
        <w:rPr>
          <w:rFonts w:ascii="Times New Roman" w:hAnsi="Times New Roman"/>
          <w:sz w:val="24"/>
        </w:rPr>
        <w:t xml:space="preserve">(2019) 264 CLR 595 at 628 [84]. </w:t>
      </w:r>
    </w:p>
  </w:footnote>
  <w:footnote w:id="188">
    <w:p w14:paraId="5BD5B253"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Australian Capital Television </w:t>
      </w:r>
      <w:r w:rsidRPr="00C90AD7">
        <w:rPr>
          <w:rFonts w:ascii="Times New Roman" w:hAnsi="Times New Roman"/>
          <w:sz w:val="24"/>
        </w:rPr>
        <w:t>(1992) 177 CLR 106 at 146.</w:t>
      </w:r>
    </w:p>
  </w:footnote>
  <w:footnote w:id="189">
    <w:p w14:paraId="3026F6C4"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See, for example, </w:t>
      </w:r>
      <w:r w:rsidRPr="00C90AD7">
        <w:rPr>
          <w:rFonts w:ascii="Times New Roman" w:hAnsi="Times New Roman"/>
          <w:i/>
          <w:iCs/>
          <w:sz w:val="24"/>
        </w:rPr>
        <w:t xml:space="preserve">Unions NSW v New South Wales </w:t>
      </w:r>
      <w:r w:rsidRPr="00C90AD7">
        <w:rPr>
          <w:rFonts w:ascii="Times New Roman" w:hAnsi="Times New Roman"/>
          <w:sz w:val="24"/>
        </w:rPr>
        <w:t>("</w:t>
      </w:r>
      <w:r w:rsidRPr="00C90AD7">
        <w:rPr>
          <w:rFonts w:ascii="Times New Roman" w:hAnsi="Times New Roman"/>
          <w:i/>
          <w:iCs/>
          <w:sz w:val="24"/>
        </w:rPr>
        <w:t>Unions NSW [No 1]</w:t>
      </w:r>
      <w:r w:rsidRPr="00C90AD7">
        <w:rPr>
          <w:rFonts w:ascii="Times New Roman" w:hAnsi="Times New Roman"/>
          <w:sz w:val="24"/>
        </w:rPr>
        <w:t xml:space="preserve">") (2013) 252 CLR 530 at 545-546 [8]; </w:t>
      </w:r>
      <w:r w:rsidRPr="00C90AD7">
        <w:rPr>
          <w:rFonts w:ascii="Times New Roman" w:hAnsi="Times New Roman"/>
          <w:i/>
          <w:iCs/>
          <w:sz w:val="24"/>
        </w:rPr>
        <w:t xml:space="preserve">McCloy </w:t>
      </w:r>
      <w:r w:rsidRPr="00C90AD7">
        <w:rPr>
          <w:rFonts w:ascii="Times New Roman" w:hAnsi="Times New Roman"/>
          <w:sz w:val="24"/>
        </w:rPr>
        <w:t>(2015) 257 CLR 178 at 196 [7].</w:t>
      </w:r>
    </w:p>
  </w:footnote>
  <w:footnote w:id="190">
    <w:p w14:paraId="61D58429"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Victoria, Legislative Assembly, </w:t>
      </w:r>
      <w:r w:rsidRPr="00C90AD7">
        <w:rPr>
          <w:rFonts w:ascii="Times New Roman" w:hAnsi="Times New Roman"/>
          <w:i/>
          <w:iCs/>
          <w:sz w:val="24"/>
        </w:rPr>
        <w:t>Parliamentary Debates</w:t>
      </w:r>
      <w:r w:rsidRPr="00C90AD7">
        <w:rPr>
          <w:rFonts w:ascii="Times New Roman" w:hAnsi="Times New Roman"/>
          <w:sz w:val="24"/>
        </w:rPr>
        <w:t xml:space="preserve"> (Hansard), 21 March 2002 at 422.</w:t>
      </w:r>
    </w:p>
  </w:footnote>
  <w:footnote w:id="191">
    <w:p w14:paraId="573BF342"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2018 Act, s 1(a)(ii).</w:t>
      </w:r>
    </w:p>
  </w:footnote>
  <w:footnote w:id="192">
    <w:p w14:paraId="31F00711"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Victoria, Legislative Council, </w:t>
      </w:r>
      <w:r w:rsidRPr="00C90AD7">
        <w:rPr>
          <w:rFonts w:ascii="Times New Roman" w:hAnsi="Times New Roman"/>
          <w:i/>
          <w:iCs/>
          <w:sz w:val="24"/>
        </w:rPr>
        <w:t xml:space="preserve">Parliamentary Debates </w:t>
      </w:r>
      <w:r w:rsidRPr="00C90AD7">
        <w:rPr>
          <w:rFonts w:ascii="Times New Roman" w:hAnsi="Times New Roman"/>
          <w:sz w:val="24"/>
        </w:rPr>
        <w:t>(Hansard), 22 June 2018 at 3040.</w:t>
      </w:r>
    </w:p>
  </w:footnote>
  <w:footnote w:id="193">
    <w:p w14:paraId="604BD3B7"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3 definition of "registered political party".</w:t>
      </w:r>
    </w:p>
  </w:footnote>
  <w:footnote w:id="194">
    <w:p w14:paraId="58060AB1"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206(1) definition of "candidate"; see also s 3 definition of "candidate".</w:t>
      </w:r>
    </w:p>
  </w:footnote>
  <w:footnote w:id="195">
    <w:p w14:paraId="7AD501C3"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206(1) definition of "nominated entity".</w:t>
      </w:r>
    </w:p>
  </w:footnote>
  <w:footnote w:id="196">
    <w:p w14:paraId="58B19165"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206(1) definition of "third party campaigner".</w:t>
      </w:r>
    </w:p>
  </w:footnote>
  <w:footnote w:id="197">
    <w:p w14:paraId="2F23BDC3"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206(1) definition of "political expenditure".</w:t>
      </w:r>
    </w:p>
  </w:footnote>
  <w:footnote w:id="198">
    <w:p w14:paraId="0933B52A"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206(1) definition of "political donation".</w:t>
      </w:r>
    </w:p>
  </w:footnote>
  <w:footnote w:id="199">
    <w:p w14:paraId="1FB9BF23"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206(1) definition of "gift".</w:t>
      </w:r>
    </w:p>
  </w:footnote>
  <w:footnote w:id="200">
    <w:p w14:paraId="33E66201"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xml:space="preserve">, s 206(1) definition of "election period". </w:t>
      </w:r>
    </w:p>
  </w:footnote>
  <w:footnote w:id="201">
    <w:p w14:paraId="284A945C"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i/>
          <w:iCs/>
          <w:sz w:val="24"/>
        </w:rPr>
        <w:tab/>
        <w:t xml:space="preserve">Constitution Act 1975 </w:t>
      </w:r>
      <w:r w:rsidRPr="00C90AD7">
        <w:rPr>
          <w:rFonts w:ascii="Times New Roman" w:hAnsi="Times New Roman"/>
          <w:sz w:val="24"/>
        </w:rPr>
        <w:t>(Vic), ss 28(2), 38(2).</w:t>
      </w:r>
    </w:p>
  </w:footnote>
  <w:footnote w:id="202">
    <w:p w14:paraId="502A58A6"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Victoria, Legislative Council, </w:t>
      </w:r>
      <w:r w:rsidRPr="00C90AD7">
        <w:rPr>
          <w:rFonts w:ascii="Times New Roman" w:hAnsi="Times New Roman"/>
          <w:i/>
          <w:iCs/>
          <w:sz w:val="24"/>
        </w:rPr>
        <w:t xml:space="preserve">Parliamentary Debates </w:t>
      </w:r>
      <w:r w:rsidRPr="00C90AD7">
        <w:rPr>
          <w:rFonts w:ascii="Times New Roman" w:hAnsi="Times New Roman"/>
          <w:sz w:val="24"/>
        </w:rPr>
        <w:t>(Hansard), 22 June 2018 at 3041, 3047.</w:t>
      </w:r>
    </w:p>
  </w:footnote>
  <w:footnote w:id="203">
    <w:p w14:paraId="0397C03C"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222F(1).</w:t>
      </w:r>
    </w:p>
  </w:footnote>
  <w:footnote w:id="204">
    <w:p w14:paraId="6FB66ECC"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222F(2)(c), (3)(b).</w:t>
      </w:r>
    </w:p>
  </w:footnote>
  <w:footnote w:id="205">
    <w:p w14:paraId="44C5805F"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222F(2)-(3).</w:t>
      </w:r>
    </w:p>
  </w:footnote>
  <w:footnote w:id="206">
    <w:p w14:paraId="67DA8484"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See also </w:t>
      </w:r>
      <w:r w:rsidRPr="00C90AD7">
        <w:rPr>
          <w:rFonts w:ascii="Times New Roman" w:hAnsi="Times New Roman"/>
          <w:i/>
          <w:iCs/>
          <w:sz w:val="24"/>
        </w:rPr>
        <w:t>Corporations Act</w:t>
      </w:r>
      <w:r w:rsidRPr="00C90AD7">
        <w:rPr>
          <w:rFonts w:ascii="Times New Roman" w:hAnsi="Times New Roman"/>
          <w:sz w:val="24"/>
        </w:rPr>
        <w:t>, s 50AA(2)-(4).</w:t>
      </w:r>
    </w:p>
  </w:footnote>
  <w:footnote w:id="207">
    <w:p w14:paraId="451AAB26"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Defined in the </w:t>
      </w:r>
      <w:r w:rsidRPr="00C90AD7">
        <w:rPr>
          <w:rFonts w:ascii="Times New Roman" w:hAnsi="Times New Roman"/>
          <w:i/>
          <w:iCs/>
          <w:sz w:val="24"/>
        </w:rPr>
        <w:t xml:space="preserve">Interpretation of Legislation Act 1984 </w:t>
      </w:r>
      <w:r w:rsidRPr="00C90AD7">
        <w:rPr>
          <w:rFonts w:ascii="Times New Roman" w:hAnsi="Times New Roman"/>
          <w:sz w:val="24"/>
        </w:rPr>
        <w:t xml:space="preserve">(Vic), s 38, as an authorised deposit-taking institution within the meaning of the </w:t>
      </w:r>
      <w:r w:rsidRPr="00C90AD7">
        <w:rPr>
          <w:rFonts w:ascii="Times New Roman" w:hAnsi="Times New Roman"/>
          <w:i/>
          <w:iCs/>
          <w:sz w:val="24"/>
        </w:rPr>
        <w:t xml:space="preserve">Banking Act 1959 </w:t>
      </w:r>
      <w:r w:rsidRPr="00C90AD7">
        <w:rPr>
          <w:rFonts w:ascii="Times New Roman" w:hAnsi="Times New Roman"/>
          <w:sz w:val="24"/>
        </w:rPr>
        <w:t>(Cth).</w:t>
      </w:r>
    </w:p>
  </w:footnote>
  <w:footnote w:id="208">
    <w:p w14:paraId="2B249990"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Electoral Act</w:t>
      </w:r>
      <w:r w:rsidRPr="00C90AD7">
        <w:rPr>
          <w:rFonts w:ascii="Times New Roman" w:hAnsi="Times New Roman"/>
          <w:sz w:val="24"/>
        </w:rPr>
        <w:t>, s 207F(6).</w:t>
      </w:r>
    </w:p>
  </w:footnote>
  <w:footnote w:id="209">
    <w:p w14:paraId="3623EB1A"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McCloy</w:t>
      </w:r>
      <w:r w:rsidRPr="00C90AD7">
        <w:rPr>
          <w:rFonts w:ascii="Times New Roman" w:hAnsi="Times New Roman"/>
          <w:sz w:val="24"/>
        </w:rPr>
        <w:t xml:space="preserve"> (2015) 257 CLR 178 at 194 [2(B)(1)]; </w:t>
      </w:r>
      <w:r w:rsidRPr="00C90AD7">
        <w:rPr>
          <w:rFonts w:ascii="Times New Roman" w:hAnsi="Times New Roman"/>
          <w:i/>
          <w:iCs/>
          <w:sz w:val="24"/>
        </w:rPr>
        <w:t xml:space="preserve">Ruddick v The Commonwealth </w:t>
      </w:r>
      <w:r w:rsidRPr="00C90AD7">
        <w:rPr>
          <w:rFonts w:ascii="Times New Roman" w:hAnsi="Times New Roman"/>
          <w:sz w:val="24"/>
        </w:rPr>
        <w:t xml:space="preserve">(2022) 275 CLR 333 at 391-392 [155]. See also </w:t>
      </w:r>
      <w:r w:rsidRPr="00C90AD7">
        <w:rPr>
          <w:rFonts w:ascii="Times New Roman" w:hAnsi="Times New Roman"/>
          <w:i/>
          <w:iCs/>
          <w:sz w:val="24"/>
        </w:rPr>
        <w:t>Unions NSW [No 1]</w:t>
      </w:r>
      <w:r w:rsidRPr="00C90AD7">
        <w:rPr>
          <w:rFonts w:ascii="Times New Roman" w:hAnsi="Times New Roman"/>
          <w:sz w:val="24"/>
        </w:rPr>
        <w:t xml:space="preserve"> (2013) 252 CLR 530 at 555 [40].</w:t>
      </w:r>
    </w:p>
  </w:footnote>
  <w:footnote w:id="210">
    <w:p w14:paraId="1AFF0A5B"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Unions NSW [No 1] </w:t>
      </w:r>
      <w:r w:rsidRPr="00C90AD7">
        <w:rPr>
          <w:rFonts w:ascii="Times New Roman" w:hAnsi="Times New Roman"/>
          <w:sz w:val="24"/>
        </w:rPr>
        <w:t>(2013) 252 CLR 530 at 554 [36].</w:t>
      </w:r>
    </w:p>
  </w:footnote>
  <w:footnote w:id="211">
    <w:p w14:paraId="453D0A98"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Monis</w:t>
      </w:r>
      <w:r w:rsidRPr="00C90AD7">
        <w:rPr>
          <w:rFonts w:ascii="Times New Roman" w:hAnsi="Times New Roman"/>
          <w:sz w:val="24"/>
        </w:rPr>
        <w:t xml:space="preserve"> </w:t>
      </w:r>
      <w:r w:rsidRPr="00C90AD7">
        <w:rPr>
          <w:rFonts w:ascii="Times New Roman" w:hAnsi="Times New Roman"/>
          <w:i/>
          <w:iCs/>
          <w:sz w:val="24"/>
        </w:rPr>
        <w:t xml:space="preserve">v The Queen </w:t>
      </w:r>
      <w:r w:rsidRPr="00C90AD7">
        <w:rPr>
          <w:rFonts w:ascii="Times New Roman" w:hAnsi="Times New Roman"/>
          <w:sz w:val="24"/>
        </w:rPr>
        <w:t xml:space="preserve">(2013) 249 CLR 92 at 142 [108]; </w:t>
      </w:r>
      <w:r w:rsidRPr="00C90AD7">
        <w:rPr>
          <w:rFonts w:ascii="Times New Roman" w:hAnsi="Times New Roman"/>
          <w:i/>
          <w:iCs/>
          <w:sz w:val="24"/>
        </w:rPr>
        <w:t>Unions NSW [No 1]</w:t>
      </w:r>
      <w:r w:rsidRPr="00C90AD7">
        <w:rPr>
          <w:rFonts w:ascii="Times New Roman" w:hAnsi="Times New Roman"/>
          <w:sz w:val="24"/>
        </w:rPr>
        <w:t xml:space="preserve"> (2013) 252 CLR 530 at 574 [119]; </w:t>
      </w:r>
      <w:r w:rsidRPr="00C90AD7">
        <w:rPr>
          <w:rFonts w:ascii="Times New Roman" w:hAnsi="Times New Roman"/>
          <w:i/>
          <w:iCs/>
          <w:sz w:val="24"/>
        </w:rPr>
        <w:t xml:space="preserve">Farmer v Minister for Home Affairs </w:t>
      </w:r>
      <w:r w:rsidRPr="00C90AD7">
        <w:rPr>
          <w:rFonts w:ascii="Times New Roman" w:hAnsi="Times New Roman"/>
          <w:sz w:val="24"/>
        </w:rPr>
        <w:t>(2025) 99 ALJR 1408 at 1421-1422 [40]; 425 ALR 116 at 129.</w:t>
      </w:r>
    </w:p>
  </w:footnote>
  <w:footnote w:id="212">
    <w:p w14:paraId="51CC3246"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LibertyWorks Inc v The Commonwealth </w:t>
      </w:r>
      <w:r w:rsidRPr="00C90AD7">
        <w:rPr>
          <w:rFonts w:ascii="Times New Roman" w:hAnsi="Times New Roman"/>
          <w:sz w:val="24"/>
        </w:rPr>
        <w:t xml:space="preserve">(2021) 274 CLR 1 at 28 [63]. See also </w:t>
      </w:r>
      <w:r w:rsidRPr="00C90AD7">
        <w:rPr>
          <w:rFonts w:ascii="Times New Roman" w:hAnsi="Times New Roman"/>
          <w:i/>
          <w:iCs/>
          <w:sz w:val="24"/>
        </w:rPr>
        <w:t xml:space="preserve">Ravbar v The Commonwealth </w:t>
      </w:r>
      <w:r w:rsidRPr="00C90AD7">
        <w:rPr>
          <w:rFonts w:ascii="Times New Roman" w:hAnsi="Times New Roman"/>
          <w:sz w:val="24"/>
        </w:rPr>
        <w:t>(2025) 99 ALJR 1000 at 1072 [307], 1099 [436]; 423 ALR 241 at 330, 366.</w:t>
      </w:r>
    </w:p>
  </w:footnote>
  <w:footnote w:id="213">
    <w:p w14:paraId="21B18518"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See </w:t>
      </w:r>
      <w:r w:rsidRPr="00C90AD7">
        <w:rPr>
          <w:rFonts w:ascii="Times New Roman" w:hAnsi="Times New Roman"/>
          <w:i/>
          <w:iCs/>
          <w:sz w:val="24"/>
        </w:rPr>
        <w:t xml:space="preserve">Unions NSW [No 1] </w:t>
      </w:r>
      <w:r w:rsidRPr="00C90AD7">
        <w:rPr>
          <w:rFonts w:ascii="Times New Roman" w:hAnsi="Times New Roman"/>
          <w:sz w:val="24"/>
        </w:rPr>
        <w:t xml:space="preserve">(2013) 252 CLR 530 at 554 [38], 560 [61], 574 [121], 585 [163]; </w:t>
      </w:r>
      <w:r w:rsidRPr="00C90AD7">
        <w:rPr>
          <w:rFonts w:ascii="Times New Roman" w:hAnsi="Times New Roman"/>
          <w:i/>
          <w:iCs/>
          <w:sz w:val="24"/>
        </w:rPr>
        <w:t xml:space="preserve">McCloy </w:t>
      </w:r>
      <w:r w:rsidRPr="00C90AD7">
        <w:rPr>
          <w:rFonts w:ascii="Times New Roman" w:hAnsi="Times New Roman"/>
          <w:sz w:val="24"/>
        </w:rPr>
        <w:t xml:space="preserve">(2015) 257 CLR 178 at 202-203 [30], 240 [158], 282 [314]; </w:t>
      </w:r>
      <w:r w:rsidRPr="00C90AD7">
        <w:rPr>
          <w:rFonts w:ascii="Times New Roman" w:hAnsi="Times New Roman"/>
          <w:i/>
          <w:iCs/>
          <w:sz w:val="24"/>
        </w:rPr>
        <w:t xml:space="preserve">Unions NSW [No 2] </w:t>
      </w:r>
      <w:r w:rsidRPr="00C90AD7">
        <w:rPr>
          <w:rFonts w:ascii="Times New Roman" w:hAnsi="Times New Roman"/>
          <w:sz w:val="24"/>
        </w:rPr>
        <w:t>(2019) 264 CLR 595 at 607-608 [15], 637 [108], 646 [138]-[139], 653 [160].</w:t>
      </w:r>
    </w:p>
  </w:footnote>
  <w:footnote w:id="214">
    <w:p w14:paraId="324B9F25"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Victoria, Legislative Council, </w:t>
      </w:r>
      <w:r w:rsidRPr="00C90AD7">
        <w:rPr>
          <w:rFonts w:ascii="Times New Roman" w:hAnsi="Times New Roman"/>
          <w:i/>
          <w:iCs/>
          <w:sz w:val="24"/>
        </w:rPr>
        <w:t xml:space="preserve">Parliamentary Debates </w:t>
      </w:r>
      <w:r w:rsidRPr="00C90AD7">
        <w:rPr>
          <w:rFonts w:ascii="Times New Roman" w:hAnsi="Times New Roman"/>
          <w:sz w:val="24"/>
        </w:rPr>
        <w:t>(Hansard), 22 June 2018 at 3041.</w:t>
      </w:r>
    </w:p>
  </w:footnote>
  <w:footnote w:id="215">
    <w:p w14:paraId="1A25157A"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cf </w:t>
      </w:r>
      <w:r w:rsidRPr="00C90AD7">
        <w:rPr>
          <w:rFonts w:ascii="Times New Roman" w:hAnsi="Times New Roman"/>
          <w:i/>
          <w:iCs/>
          <w:sz w:val="24"/>
        </w:rPr>
        <w:t xml:space="preserve">Unions NSW [No 1] </w:t>
      </w:r>
      <w:r w:rsidRPr="00C90AD7">
        <w:rPr>
          <w:rFonts w:ascii="Times New Roman" w:hAnsi="Times New Roman"/>
          <w:sz w:val="24"/>
        </w:rPr>
        <w:t>(2013) 252 CLR 530 at 578-579 [137].</w:t>
      </w:r>
    </w:p>
  </w:footnote>
  <w:footnote w:id="216">
    <w:p w14:paraId="1BB5A44B"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Climate 200, </w:t>
      </w:r>
      <w:r w:rsidRPr="00C90AD7">
        <w:rPr>
          <w:rFonts w:ascii="Times New Roman" w:hAnsi="Times New Roman"/>
          <w:i/>
          <w:iCs/>
          <w:sz w:val="24"/>
        </w:rPr>
        <w:t xml:space="preserve">Submission to the independent review of Victoria's electoral and political donations system </w:t>
      </w:r>
      <w:r w:rsidRPr="00C90AD7">
        <w:rPr>
          <w:rFonts w:ascii="Times New Roman" w:hAnsi="Times New Roman"/>
          <w:sz w:val="24"/>
        </w:rPr>
        <w:t>(7 July 2023) at 6.</w:t>
      </w:r>
    </w:p>
  </w:footnote>
  <w:footnote w:id="217">
    <w:p w14:paraId="226C82DA"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Unions NSW [No 1] </w:t>
      </w:r>
      <w:r w:rsidRPr="00C90AD7">
        <w:rPr>
          <w:rFonts w:ascii="Times New Roman" w:hAnsi="Times New Roman"/>
          <w:sz w:val="24"/>
        </w:rPr>
        <w:t xml:space="preserve">(2013) 252 CLR 530 at 554 [37]-[38], 572 [112]. See also </w:t>
      </w:r>
      <w:r w:rsidRPr="00C90AD7">
        <w:rPr>
          <w:rFonts w:ascii="Times New Roman" w:hAnsi="Times New Roman"/>
          <w:i/>
          <w:iCs/>
          <w:sz w:val="24"/>
        </w:rPr>
        <w:t xml:space="preserve">McCloy </w:t>
      </w:r>
      <w:r w:rsidRPr="00C90AD7">
        <w:rPr>
          <w:rFonts w:ascii="Times New Roman" w:hAnsi="Times New Roman"/>
          <w:sz w:val="24"/>
        </w:rPr>
        <w:t>(2015) 257 CLR 178 at 201 [25], 241 [162]-[163].</w:t>
      </w:r>
    </w:p>
  </w:footnote>
  <w:footnote w:id="218">
    <w:p w14:paraId="37E4A21D"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Unions NSW [No 1] </w:t>
      </w:r>
      <w:r w:rsidRPr="00C90AD7">
        <w:rPr>
          <w:rFonts w:ascii="Times New Roman" w:hAnsi="Times New Roman"/>
          <w:sz w:val="24"/>
        </w:rPr>
        <w:t xml:space="preserve">(2013) 252 CLR 530 at 554 [38]. See also </w:t>
      </w:r>
      <w:r w:rsidRPr="00C90AD7">
        <w:rPr>
          <w:rFonts w:ascii="Times New Roman" w:hAnsi="Times New Roman"/>
          <w:i/>
          <w:iCs/>
          <w:sz w:val="24"/>
        </w:rPr>
        <w:t xml:space="preserve">McCloy </w:t>
      </w:r>
      <w:r w:rsidRPr="00C90AD7">
        <w:rPr>
          <w:rFonts w:ascii="Times New Roman" w:hAnsi="Times New Roman"/>
          <w:sz w:val="24"/>
        </w:rPr>
        <w:t>(2015) 257 CLR 178 at 201 [24].</w:t>
      </w:r>
    </w:p>
  </w:footnote>
  <w:footnote w:id="219">
    <w:p w14:paraId="592BFFDC"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cf </w:t>
      </w:r>
      <w:r w:rsidRPr="00C90AD7">
        <w:rPr>
          <w:rFonts w:ascii="Times New Roman" w:hAnsi="Times New Roman"/>
          <w:i/>
          <w:iCs/>
          <w:sz w:val="24"/>
        </w:rPr>
        <w:t xml:space="preserve">LibertyWorks </w:t>
      </w:r>
      <w:r w:rsidRPr="00C90AD7">
        <w:rPr>
          <w:rFonts w:ascii="Times New Roman" w:hAnsi="Times New Roman"/>
          <w:sz w:val="24"/>
        </w:rPr>
        <w:t>(2021) 274 CLR 1 at 25 [54].</w:t>
      </w:r>
    </w:p>
  </w:footnote>
  <w:footnote w:id="220">
    <w:p w14:paraId="08038626"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LibertyWorks </w:t>
      </w:r>
      <w:r w:rsidRPr="00C90AD7">
        <w:rPr>
          <w:rFonts w:ascii="Times New Roman" w:hAnsi="Times New Roman"/>
          <w:sz w:val="24"/>
        </w:rPr>
        <w:t xml:space="preserve">(2021) 274 CLR 1 at 28 [63]; </w:t>
      </w:r>
      <w:r w:rsidRPr="00C90AD7">
        <w:rPr>
          <w:rFonts w:ascii="Times New Roman" w:hAnsi="Times New Roman"/>
          <w:i/>
          <w:iCs/>
          <w:sz w:val="24"/>
        </w:rPr>
        <w:t xml:space="preserve">Farm Transparency International Ltd v New South Wales </w:t>
      </w:r>
      <w:r w:rsidRPr="00C90AD7">
        <w:rPr>
          <w:rFonts w:ascii="Times New Roman" w:hAnsi="Times New Roman"/>
          <w:sz w:val="24"/>
        </w:rPr>
        <w:t>(2022) 277 CLR 537 at 551 [26].</w:t>
      </w:r>
    </w:p>
  </w:footnote>
  <w:footnote w:id="221">
    <w:p w14:paraId="0A3E1083"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Electoral Review Expert Panel, </w:t>
      </w:r>
      <w:r w:rsidRPr="00C90AD7">
        <w:rPr>
          <w:rFonts w:ascii="Times New Roman" w:hAnsi="Times New Roman"/>
          <w:i/>
          <w:iCs/>
          <w:sz w:val="24"/>
        </w:rPr>
        <w:t xml:space="preserve">Report on Victoria's laws on political finance and electronic assisted voting </w:t>
      </w:r>
      <w:r w:rsidRPr="00C90AD7">
        <w:rPr>
          <w:rFonts w:ascii="Times New Roman" w:hAnsi="Times New Roman"/>
          <w:sz w:val="24"/>
        </w:rPr>
        <w:t xml:space="preserve">(2023) at 96. See </w:t>
      </w:r>
      <w:r w:rsidRPr="00C90AD7">
        <w:rPr>
          <w:rFonts w:ascii="Times New Roman" w:hAnsi="Times New Roman"/>
          <w:i/>
          <w:iCs/>
          <w:sz w:val="24"/>
        </w:rPr>
        <w:t xml:space="preserve">Unions NSW [No 1] </w:t>
      </w:r>
      <w:r w:rsidRPr="00C90AD7">
        <w:rPr>
          <w:rFonts w:ascii="Times New Roman" w:hAnsi="Times New Roman"/>
          <w:sz w:val="24"/>
        </w:rPr>
        <w:t>(2013) 252 CLR 530 at 579 [140], 581 [147]</w:t>
      </w:r>
      <w:r>
        <w:rPr>
          <w:rFonts w:ascii="Times New Roman" w:hAnsi="Times New Roman"/>
          <w:sz w:val="24"/>
        </w:rPr>
        <w:t>,</w:t>
      </w:r>
      <w:r w:rsidRPr="00C90AD7">
        <w:rPr>
          <w:rFonts w:ascii="Times New Roman" w:hAnsi="Times New Roman"/>
          <w:sz w:val="24"/>
        </w:rPr>
        <w:t xml:space="preserve"> quoting </w:t>
      </w:r>
      <w:r w:rsidRPr="00C90AD7">
        <w:rPr>
          <w:rFonts w:ascii="Times New Roman" w:hAnsi="Times New Roman"/>
          <w:i/>
          <w:iCs/>
          <w:sz w:val="24"/>
        </w:rPr>
        <w:t xml:space="preserve">Australian Capital Television </w:t>
      </w:r>
      <w:r w:rsidRPr="00C90AD7">
        <w:rPr>
          <w:rFonts w:ascii="Times New Roman" w:hAnsi="Times New Roman"/>
          <w:sz w:val="24"/>
        </w:rPr>
        <w:t>(1992) 177 CLR 106 at 145-146.</w:t>
      </w:r>
    </w:p>
  </w:footnote>
  <w:footnote w:id="222">
    <w:p w14:paraId="0A0C279E"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Australian Capital Television </w:t>
      </w:r>
      <w:r w:rsidRPr="00C90AD7">
        <w:rPr>
          <w:rFonts w:ascii="Times New Roman" w:hAnsi="Times New Roman"/>
          <w:sz w:val="24"/>
        </w:rPr>
        <w:t xml:space="preserve">(1992) 177 CLR 106 at 143, 169; </w:t>
      </w:r>
      <w:r w:rsidRPr="00C90AD7">
        <w:rPr>
          <w:rFonts w:ascii="Times New Roman" w:hAnsi="Times New Roman"/>
          <w:i/>
          <w:iCs/>
          <w:sz w:val="24"/>
        </w:rPr>
        <w:t xml:space="preserve">McCloy </w:t>
      </w:r>
      <w:r w:rsidRPr="00C90AD7">
        <w:rPr>
          <w:rFonts w:ascii="Times New Roman" w:hAnsi="Times New Roman"/>
          <w:sz w:val="24"/>
        </w:rPr>
        <w:t xml:space="preserve">(2015) 257 CLR 178 at 214 [70], 239 [153]-[155]; </w:t>
      </w:r>
      <w:r w:rsidRPr="00C90AD7">
        <w:rPr>
          <w:rFonts w:ascii="Times New Roman" w:hAnsi="Times New Roman"/>
          <w:i/>
          <w:iCs/>
          <w:sz w:val="24"/>
        </w:rPr>
        <w:t xml:space="preserve">Clubb v Edwards </w:t>
      </w:r>
      <w:r w:rsidRPr="00C90AD7">
        <w:rPr>
          <w:rFonts w:ascii="Times New Roman" w:hAnsi="Times New Roman"/>
          <w:sz w:val="24"/>
        </w:rPr>
        <w:t xml:space="preserve">(2019) 267 CLR 171 at 232 [183]; Dixon, "Calibrated Proportionality" (2020) 48 </w:t>
      </w:r>
      <w:r w:rsidRPr="00C90AD7">
        <w:rPr>
          <w:rFonts w:ascii="Times New Roman" w:hAnsi="Times New Roman"/>
          <w:i/>
          <w:iCs/>
          <w:sz w:val="24"/>
        </w:rPr>
        <w:t xml:space="preserve">Federal Law Review </w:t>
      </w:r>
      <w:r w:rsidRPr="00C90AD7">
        <w:rPr>
          <w:rFonts w:ascii="Times New Roman" w:hAnsi="Times New Roman"/>
          <w:sz w:val="24"/>
        </w:rPr>
        <w:t>92 at 103-105.</w:t>
      </w:r>
    </w:p>
  </w:footnote>
  <w:footnote w:id="223">
    <w:p w14:paraId="0F588A74"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McCloy </w:t>
      </w:r>
      <w:r w:rsidRPr="00C90AD7">
        <w:rPr>
          <w:rFonts w:ascii="Times New Roman" w:hAnsi="Times New Roman"/>
          <w:sz w:val="24"/>
        </w:rPr>
        <w:t xml:space="preserve">(2015) 257 CLR 178 at 194-195 [2(B)(3)]; </w:t>
      </w:r>
      <w:r w:rsidRPr="00C90AD7">
        <w:rPr>
          <w:rFonts w:ascii="Times New Roman" w:hAnsi="Times New Roman"/>
          <w:i/>
          <w:iCs/>
          <w:sz w:val="24"/>
        </w:rPr>
        <w:t xml:space="preserve">Brown v Tasmania </w:t>
      </w:r>
      <w:r w:rsidRPr="00C90AD7">
        <w:rPr>
          <w:rFonts w:ascii="Times New Roman" w:hAnsi="Times New Roman"/>
          <w:sz w:val="24"/>
        </w:rPr>
        <w:t xml:space="preserve">(2017) 261 CLR 328 at 363-364 [104], 368-370 [123]-[131]; </w:t>
      </w:r>
      <w:r w:rsidRPr="00C90AD7">
        <w:rPr>
          <w:rFonts w:ascii="Times New Roman" w:hAnsi="Times New Roman"/>
          <w:i/>
          <w:iCs/>
          <w:sz w:val="24"/>
        </w:rPr>
        <w:t xml:space="preserve">LibertyWorks </w:t>
      </w:r>
      <w:r w:rsidRPr="00C90AD7">
        <w:rPr>
          <w:rFonts w:ascii="Times New Roman" w:hAnsi="Times New Roman"/>
          <w:sz w:val="24"/>
        </w:rPr>
        <w:t xml:space="preserve">(2021) 274 CLR 1 at 22-24 [45]-[48]; </w:t>
      </w:r>
      <w:r w:rsidRPr="00C90AD7">
        <w:rPr>
          <w:rFonts w:ascii="Times New Roman" w:hAnsi="Times New Roman"/>
          <w:i/>
          <w:iCs/>
          <w:sz w:val="24"/>
        </w:rPr>
        <w:t xml:space="preserve">Farmer </w:t>
      </w:r>
      <w:r w:rsidRPr="00C90AD7">
        <w:rPr>
          <w:rFonts w:ascii="Times New Roman" w:hAnsi="Times New Roman"/>
          <w:sz w:val="24"/>
        </w:rPr>
        <w:t>(2025) 99 ALJR 1408 at 1421 [39]; 425 ALR 116 at 128-129.</w:t>
      </w:r>
    </w:p>
  </w:footnote>
  <w:footnote w:id="224">
    <w:p w14:paraId="52C44481"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cf </w:t>
      </w:r>
      <w:r w:rsidRPr="00C90AD7">
        <w:rPr>
          <w:rFonts w:ascii="Times New Roman" w:hAnsi="Times New Roman"/>
          <w:i/>
          <w:iCs/>
          <w:sz w:val="24"/>
        </w:rPr>
        <w:t xml:space="preserve">Unions NSW [No 2] </w:t>
      </w:r>
      <w:r w:rsidRPr="00C90AD7">
        <w:rPr>
          <w:rFonts w:ascii="Times New Roman" w:hAnsi="Times New Roman"/>
          <w:sz w:val="24"/>
        </w:rPr>
        <w:t>(2019) 264 CLR 595 at 628 [84].</w:t>
      </w:r>
    </w:p>
  </w:footnote>
  <w:footnote w:id="225">
    <w:p w14:paraId="4E84E3D3"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Electoral Review Expert Panel, </w:t>
      </w:r>
      <w:r w:rsidRPr="00C90AD7">
        <w:rPr>
          <w:rFonts w:ascii="Times New Roman" w:hAnsi="Times New Roman"/>
          <w:i/>
          <w:iCs/>
          <w:sz w:val="24"/>
        </w:rPr>
        <w:t xml:space="preserve">Report on Victoria's laws on political finance and electronic assisted voting </w:t>
      </w:r>
      <w:r w:rsidRPr="00C90AD7">
        <w:rPr>
          <w:rFonts w:ascii="Times New Roman" w:hAnsi="Times New Roman"/>
          <w:sz w:val="24"/>
        </w:rPr>
        <w:t>(2023) at 167.</w:t>
      </w:r>
    </w:p>
  </w:footnote>
  <w:footnote w:id="226">
    <w:p w14:paraId="5B25031F"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cf </w:t>
      </w:r>
      <w:r w:rsidRPr="00C90AD7">
        <w:rPr>
          <w:rFonts w:ascii="Times New Roman" w:hAnsi="Times New Roman"/>
          <w:i/>
          <w:iCs/>
          <w:sz w:val="24"/>
        </w:rPr>
        <w:t xml:space="preserve">Unions NSW [No 2] </w:t>
      </w:r>
      <w:r w:rsidRPr="00C90AD7">
        <w:rPr>
          <w:rFonts w:ascii="Times New Roman" w:hAnsi="Times New Roman"/>
          <w:sz w:val="24"/>
        </w:rPr>
        <w:t>(2019) 264 CLR 595 at 628 [84].</w:t>
      </w:r>
    </w:p>
  </w:footnote>
  <w:footnote w:id="227">
    <w:p w14:paraId="35F5A490"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r>
      <w:r w:rsidRPr="00C90AD7">
        <w:rPr>
          <w:rFonts w:ascii="Times New Roman" w:hAnsi="Times New Roman"/>
          <w:i/>
          <w:iCs/>
          <w:sz w:val="24"/>
        </w:rPr>
        <w:t xml:space="preserve">Knight </w:t>
      </w:r>
      <w:r w:rsidRPr="00C90AD7">
        <w:rPr>
          <w:rFonts w:ascii="Times New Roman" w:hAnsi="Times New Roman"/>
          <w:sz w:val="24"/>
        </w:rPr>
        <w:t>(2017) 261 CLR 306 at 325 [35]. See reasons of Gageler CJ, Gordon, Jagot and Beech-Jones JJ at [55].</w:t>
      </w:r>
    </w:p>
  </w:footnote>
  <w:footnote w:id="228">
    <w:p w14:paraId="2BB6FC29" w14:textId="77777777" w:rsidR="00002A6E" w:rsidRPr="00C90AD7" w:rsidRDefault="00002A6E" w:rsidP="00C90AD7">
      <w:pPr>
        <w:pStyle w:val="FootnoteText"/>
        <w:spacing w:line="280" w:lineRule="exact"/>
        <w:ind w:right="0"/>
        <w:jc w:val="both"/>
        <w:rPr>
          <w:rFonts w:ascii="Times New Roman" w:hAnsi="Times New Roman"/>
          <w:sz w:val="24"/>
        </w:rPr>
      </w:pPr>
      <w:r w:rsidRPr="00C90AD7">
        <w:rPr>
          <w:rStyle w:val="FootnoteReference"/>
          <w:rFonts w:ascii="Times New Roman" w:hAnsi="Times New Roman"/>
          <w:sz w:val="22"/>
          <w:vertAlign w:val="baseline"/>
        </w:rPr>
        <w:footnoteRef/>
      </w:r>
      <w:r w:rsidRPr="00C90AD7">
        <w:rPr>
          <w:rFonts w:ascii="Times New Roman" w:hAnsi="Times New Roman"/>
          <w:sz w:val="24"/>
        </w:rPr>
        <w:t xml:space="preserve"> </w:t>
      </w:r>
      <w:r w:rsidRPr="00C90AD7">
        <w:rPr>
          <w:rFonts w:ascii="Times New Roman" w:hAnsi="Times New Roman"/>
          <w:sz w:val="24"/>
        </w:rPr>
        <w:tab/>
        <w:t xml:space="preserve">Victoria, Legislative Assembly, </w:t>
      </w:r>
      <w:r w:rsidRPr="00C90AD7">
        <w:rPr>
          <w:rFonts w:ascii="Times New Roman" w:hAnsi="Times New Roman"/>
          <w:i/>
          <w:iCs/>
          <w:sz w:val="24"/>
        </w:rPr>
        <w:t>Electoral Legislation Amendment Bill 2018</w:t>
      </w:r>
      <w:r w:rsidRPr="00C90AD7">
        <w:rPr>
          <w:rFonts w:ascii="Times New Roman" w:hAnsi="Times New Roman"/>
          <w:sz w:val="24"/>
        </w:rPr>
        <w:t>, Explanatory Memorandum at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EF11" w14:textId="77777777" w:rsidR="00D900FF" w:rsidRPr="00580BF2" w:rsidRDefault="00D900FF" w:rsidP="00580B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6750" w14:textId="77777777" w:rsidR="00960529" w:rsidRDefault="00960529" w:rsidP="001C6E4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16094C3F" w14:textId="77777777" w:rsidR="00960529" w:rsidRDefault="00960529" w:rsidP="001C6E4C">
    <w:pPr>
      <w:pStyle w:val="Header"/>
      <w:tabs>
        <w:tab w:val="clear" w:pos="4153"/>
        <w:tab w:val="clear" w:pos="8306"/>
        <w:tab w:val="right" w:pos="1304"/>
      </w:tabs>
      <w:spacing w:line="280" w:lineRule="exact"/>
      <w:ind w:firstLine="0"/>
      <w:rPr>
        <w:rFonts w:ascii="Times New Roman" w:hAnsi="Times New Roman"/>
        <w:i/>
        <w:sz w:val="22"/>
      </w:rPr>
    </w:pPr>
  </w:p>
  <w:p w14:paraId="7DBEBABD" w14:textId="77777777" w:rsidR="00960529" w:rsidRDefault="00960529" w:rsidP="001C6E4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90EEB29" w14:textId="77777777" w:rsidR="00960529" w:rsidRPr="001C6E4C" w:rsidRDefault="00960529" w:rsidP="001C6E4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0614" w14:textId="77777777" w:rsidR="00960529" w:rsidRDefault="00960529" w:rsidP="001C6E4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77BC16FD" w14:textId="77777777" w:rsidR="00960529" w:rsidRDefault="00960529" w:rsidP="001C6E4C">
    <w:pPr>
      <w:pStyle w:val="Header"/>
      <w:tabs>
        <w:tab w:val="clear" w:pos="4153"/>
        <w:tab w:val="clear" w:pos="8306"/>
        <w:tab w:val="left" w:pos="7200"/>
        <w:tab w:val="right" w:pos="8504"/>
      </w:tabs>
      <w:spacing w:line="280" w:lineRule="exact"/>
      <w:jc w:val="right"/>
      <w:rPr>
        <w:rFonts w:ascii="Times New Roman" w:hAnsi="Times New Roman"/>
        <w:i/>
        <w:sz w:val="22"/>
      </w:rPr>
    </w:pPr>
  </w:p>
  <w:p w14:paraId="05CACD11" w14:textId="77777777" w:rsidR="00960529" w:rsidRDefault="00960529" w:rsidP="001C6E4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029C10B" w14:textId="77777777" w:rsidR="00960529" w:rsidRPr="001C6E4C" w:rsidRDefault="00960529" w:rsidP="001C6E4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26BF" w14:textId="77777777" w:rsidR="00960529" w:rsidRDefault="00960529" w:rsidP="001C6E4C">
    <w:pPr>
      <w:pStyle w:val="Header"/>
      <w:tabs>
        <w:tab w:val="clear" w:pos="4153"/>
        <w:tab w:val="clear" w:pos="8306"/>
        <w:tab w:val="center" w:pos="1134"/>
      </w:tabs>
      <w:spacing w:line="280" w:lineRule="exact"/>
      <w:ind w:firstLine="0"/>
      <w:rPr>
        <w:rFonts w:ascii="Times New Roman" w:hAnsi="Times New Roman"/>
        <w:i/>
        <w:sz w:val="22"/>
      </w:rPr>
    </w:pPr>
  </w:p>
  <w:p w14:paraId="764865A5" w14:textId="77777777" w:rsidR="00960529" w:rsidRDefault="00960529" w:rsidP="001C6E4C">
    <w:pPr>
      <w:pStyle w:val="Header"/>
      <w:tabs>
        <w:tab w:val="clear" w:pos="4153"/>
        <w:tab w:val="clear" w:pos="8306"/>
        <w:tab w:val="center" w:pos="1134"/>
      </w:tabs>
      <w:spacing w:line="280" w:lineRule="exact"/>
      <w:ind w:firstLine="0"/>
      <w:rPr>
        <w:rFonts w:ascii="Times New Roman" w:hAnsi="Times New Roman"/>
        <w:i/>
        <w:sz w:val="22"/>
      </w:rPr>
    </w:pPr>
  </w:p>
  <w:p w14:paraId="5270593C" w14:textId="77777777" w:rsidR="00960529" w:rsidRDefault="00960529" w:rsidP="001C6E4C">
    <w:pPr>
      <w:pStyle w:val="Header"/>
      <w:tabs>
        <w:tab w:val="clear" w:pos="4153"/>
        <w:tab w:val="clear" w:pos="8306"/>
        <w:tab w:val="center" w:pos="1134"/>
      </w:tabs>
      <w:spacing w:line="280" w:lineRule="exact"/>
      <w:ind w:firstLine="0"/>
      <w:rPr>
        <w:rFonts w:ascii="Times New Roman" w:hAnsi="Times New Roman"/>
        <w:i/>
        <w:sz w:val="22"/>
      </w:rPr>
    </w:pPr>
  </w:p>
  <w:p w14:paraId="3B1C3B06" w14:textId="77777777" w:rsidR="00960529" w:rsidRPr="001C6E4C" w:rsidRDefault="00960529" w:rsidP="001C6E4C">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6E30" w14:textId="77777777" w:rsidR="00002A6E" w:rsidRDefault="00002A6E" w:rsidP="00C90AD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2D33F13E" w14:textId="77777777" w:rsidR="00002A6E" w:rsidRDefault="00002A6E" w:rsidP="00C90AD7">
    <w:pPr>
      <w:pStyle w:val="Header"/>
      <w:tabs>
        <w:tab w:val="clear" w:pos="4153"/>
        <w:tab w:val="clear" w:pos="8306"/>
        <w:tab w:val="right" w:pos="1304"/>
      </w:tabs>
      <w:spacing w:line="280" w:lineRule="exact"/>
      <w:ind w:firstLine="0"/>
      <w:rPr>
        <w:rFonts w:ascii="Times New Roman" w:hAnsi="Times New Roman"/>
        <w:i/>
        <w:sz w:val="22"/>
      </w:rPr>
    </w:pPr>
  </w:p>
  <w:p w14:paraId="3CBAAE24" w14:textId="77777777" w:rsidR="00002A6E" w:rsidRDefault="00002A6E" w:rsidP="00C90AD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0B77404" w14:textId="77777777" w:rsidR="00002A6E" w:rsidRPr="00C90AD7" w:rsidRDefault="00002A6E" w:rsidP="00C90AD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E1B2" w14:textId="77777777" w:rsidR="00002A6E" w:rsidRDefault="00002A6E" w:rsidP="00C90AD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473759D5" w14:textId="77777777" w:rsidR="00002A6E" w:rsidRDefault="00002A6E" w:rsidP="00C90AD7">
    <w:pPr>
      <w:pStyle w:val="Header"/>
      <w:tabs>
        <w:tab w:val="clear" w:pos="4153"/>
        <w:tab w:val="clear" w:pos="8306"/>
        <w:tab w:val="left" w:pos="7200"/>
        <w:tab w:val="right" w:pos="8504"/>
      </w:tabs>
      <w:spacing w:line="280" w:lineRule="exact"/>
      <w:jc w:val="right"/>
      <w:rPr>
        <w:rFonts w:ascii="Times New Roman" w:hAnsi="Times New Roman"/>
        <w:i/>
        <w:sz w:val="22"/>
      </w:rPr>
    </w:pPr>
  </w:p>
  <w:p w14:paraId="317E16FF" w14:textId="77777777" w:rsidR="00002A6E" w:rsidRDefault="00002A6E" w:rsidP="00C90AD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D450D93" w14:textId="77777777" w:rsidR="00002A6E" w:rsidRPr="00C90AD7" w:rsidRDefault="00002A6E" w:rsidP="00C90AD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05FB" w14:textId="77777777" w:rsidR="00002A6E" w:rsidRDefault="00002A6E" w:rsidP="00C90AD7">
    <w:pPr>
      <w:pStyle w:val="Header"/>
      <w:tabs>
        <w:tab w:val="clear" w:pos="4153"/>
        <w:tab w:val="clear" w:pos="8306"/>
        <w:tab w:val="center" w:pos="1134"/>
      </w:tabs>
      <w:spacing w:line="280" w:lineRule="exact"/>
      <w:ind w:firstLine="0"/>
      <w:rPr>
        <w:rFonts w:ascii="Times New Roman" w:hAnsi="Times New Roman"/>
        <w:i/>
        <w:sz w:val="22"/>
      </w:rPr>
    </w:pPr>
  </w:p>
  <w:p w14:paraId="4AD011A0" w14:textId="77777777" w:rsidR="00002A6E" w:rsidRDefault="00002A6E" w:rsidP="00C90AD7">
    <w:pPr>
      <w:pStyle w:val="Header"/>
      <w:tabs>
        <w:tab w:val="clear" w:pos="4153"/>
        <w:tab w:val="clear" w:pos="8306"/>
        <w:tab w:val="center" w:pos="1134"/>
      </w:tabs>
      <w:spacing w:line="280" w:lineRule="exact"/>
      <w:ind w:firstLine="0"/>
      <w:rPr>
        <w:rFonts w:ascii="Times New Roman" w:hAnsi="Times New Roman"/>
        <w:i/>
        <w:sz w:val="22"/>
      </w:rPr>
    </w:pPr>
  </w:p>
  <w:p w14:paraId="2B40FDBF" w14:textId="77777777" w:rsidR="00002A6E" w:rsidRDefault="00002A6E" w:rsidP="00C90AD7">
    <w:pPr>
      <w:pStyle w:val="Header"/>
      <w:tabs>
        <w:tab w:val="clear" w:pos="4153"/>
        <w:tab w:val="clear" w:pos="8306"/>
        <w:tab w:val="center" w:pos="1134"/>
      </w:tabs>
      <w:spacing w:line="280" w:lineRule="exact"/>
      <w:ind w:firstLine="0"/>
      <w:rPr>
        <w:rFonts w:ascii="Times New Roman" w:hAnsi="Times New Roman"/>
        <w:i/>
        <w:sz w:val="22"/>
      </w:rPr>
    </w:pPr>
  </w:p>
  <w:p w14:paraId="7753466D" w14:textId="77777777" w:rsidR="00002A6E" w:rsidRPr="00C90AD7" w:rsidRDefault="00002A6E" w:rsidP="00C90AD7">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5FE2" w14:textId="77777777" w:rsidR="00002A6E" w:rsidRPr="00002A6E" w:rsidRDefault="00002A6E" w:rsidP="00002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C134" w14:textId="58B422B1" w:rsidR="00D900FF" w:rsidRPr="00580BF2" w:rsidRDefault="00580BF2" w:rsidP="00580BF2">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5F1473">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5F1473">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F985" w14:textId="4F1DEAF1" w:rsidR="00A12AF2" w:rsidRPr="00580BF2" w:rsidRDefault="00A12AF2" w:rsidP="00580B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79A2" w14:textId="77777777" w:rsidR="00580BF2" w:rsidRPr="00D900FF" w:rsidRDefault="00580BF2" w:rsidP="00D900FF">
    <w:pPr>
      <w:pStyle w:val="Header"/>
      <w:tabs>
        <w:tab w:val="clear" w:pos="4153"/>
        <w:tab w:val="clear" w:pos="8306"/>
        <w:tab w:val="right" w:pos="1304"/>
      </w:tabs>
      <w:spacing w:line="280" w:lineRule="exact"/>
      <w:ind w:firstLine="0"/>
      <w:rPr>
        <w:rFonts w:ascii="Times New Roman" w:hAnsi="Times New Roman"/>
        <w:i/>
        <w:sz w:val="22"/>
      </w:rPr>
    </w:pPr>
    <w:r w:rsidRPr="00D900FF">
      <w:rPr>
        <w:rFonts w:ascii="Times New Roman" w:hAnsi="Times New Roman"/>
        <w:i/>
        <w:sz w:val="22"/>
      </w:rPr>
      <w:t>Gageler</w:t>
    </w:r>
    <w:r w:rsidRPr="00D900FF">
      <w:rPr>
        <w:rFonts w:ascii="Times New Roman" w:hAnsi="Times New Roman"/>
        <w:i/>
        <w:sz w:val="22"/>
      </w:rPr>
      <w:tab/>
      <w:t>CJ</w:t>
    </w:r>
  </w:p>
  <w:p w14:paraId="46200C79" w14:textId="77777777" w:rsidR="00580BF2" w:rsidRPr="00D900FF" w:rsidRDefault="00580BF2" w:rsidP="00D900FF">
    <w:pPr>
      <w:pStyle w:val="Header"/>
      <w:tabs>
        <w:tab w:val="clear" w:pos="4153"/>
        <w:tab w:val="clear" w:pos="8306"/>
        <w:tab w:val="right" w:pos="1304"/>
      </w:tabs>
      <w:spacing w:line="280" w:lineRule="exact"/>
      <w:ind w:firstLine="0"/>
      <w:rPr>
        <w:rFonts w:ascii="Times New Roman" w:hAnsi="Times New Roman"/>
        <w:i/>
        <w:sz w:val="22"/>
      </w:rPr>
    </w:pPr>
    <w:r w:rsidRPr="00D900FF">
      <w:rPr>
        <w:rFonts w:ascii="Times New Roman" w:hAnsi="Times New Roman"/>
        <w:i/>
        <w:sz w:val="22"/>
      </w:rPr>
      <w:t>Gordon</w:t>
    </w:r>
    <w:r w:rsidRPr="00D900FF">
      <w:rPr>
        <w:rFonts w:ascii="Times New Roman" w:hAnsi="Times New Roman"/>
        <w:i/>
        <w:sz w:val="22"/>
      </w:rPr>
      <w:tab/>
      <w:t>J</w:t>
    </w:r>
  </w:p>
  <w:p w14:paraId="568B68E1" w14:textId="77777777" w:rsidR="00580BF2" w:rsidRPr="00D900FF" w:rsidRDefault="00580BF2" w:rsidP="00D900FF">
    <w:pPr>
      <w:pStyle w:val="Header"/>
      <w:tabs>
        <w:tab w:val="clear" w:pos="4153"/>
        <w:tab w:val="clear" w:pos="8306"/>
        <w:tab w:val="right" w:pos="1304"/>
      </w:tabs>
      <w:spacing w:line="280" w:lineRule="exact"/>
      <w:ind w:firstLine="0"/>
      <w:rPr>
        <w:rFonts w:ascii="Times New Roman" w:hAnsi="Times New Roman"/>
        <w:i/>
        <w:sz w:val="22"/>
      </w:rPr>
    </w:pPr>
    <w:r w:rsidRPr="00D900FF">
      <w:rPr>
        <w:rFonts w:ascii="Times New Roman" w:hAnsi="Times New Roman"/>
        <w:i/>
        <w:sz w:val="22"/>
      </w:rPr>
      <w:t>Jagot</w:t>
    </w:r>
    <w:r w:rsidRPr="00D900FF">
      <w:rPr>
        <w:rFonts w:ascii="Times New Roman" w:hAnsi="Times New Roman"/>
        <w:i/>
        <w:sz w:val="22"/>
      </w:rPr>
      <w:tab/>
      <w:t>J</w:t>
    </w:r>
  </w:p>
  <w:p w14:paraId="3D43614C" w14:textId="77777777" w:rsidR="00580BF2" w:rsidRDefault="00580BF2" w:rsidP="00D900FF">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5CF8671E" w14:textId="77777777" w:rsidR="00580BF2" w:rsidRDefault="00580BF2" w:rsidP="00D900FF">
    <w:pPr>
      <w:pStyle w:val="Header"/>
      <w:tabs>
        <w:tab w:val="clear" w:pos="4153"/>
        <w:tab w:val="clear" w:pos="8306"/>
        <w:tab w:val="right" w:pos="1304"/>
      </w:tabs>
      <w:spacing w:line="280" w:lineRule="exact"/>
      <w:ind w:firstLine="0"/>
      <w:rPr>
        <w:rFonts w:ascii="Times New Roman" w:hAnsi="Times New Roman"/>
        <w:i/>
        <w:sz w:val="22"/>
      </w:rPr>
    </w:pPr>
  </w:p>
  <w:p w14:paraId="4098C0D1" w14:textId="77777777" w:rsidR="00580BF2" w:rsidRDefault="00580BF2" w:rsidP="00D900FF">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F29E060" w14:textId="77777777" w:rsidR="00580BF2" w:rsidRPr="00D900FF" w:rsidRDefault="00580BF2" w:rsidP="00D900FF">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6B1E" w14:textId="77777777" w:rsidR="00580BF2" w:rsidRPr="00D900FF" w:rsidRDefault="00580BF2" w:rsidP="00D900FF">
    <w:pPr>
      <w:pStyle w:val="Header"/>
      <w:tabs>
        <w:tab w:val="clear" w:pos="4153"/>
        <w:tab w:val="clear" w:pos="8306"/>
        <w:tab w:val="left" w:pos="7200"/>
        <w:tab w:val="right" w:pos="8504"/>
      </w:tabs>
      <w:spacing w:line="280" w:lineRule="exact"/>
      <w:jc w:val="right"/>
      <w:rPr>
        <w:rFonts w:ascii="Times New Roman" w:hAnsi="Times New Roman"/>
        <w:i/>
        <w:sz w:val="22"/>
      </w:rPr>
    </w:pPr>
    <w:r w:rsidRPr="00D900FF">
      <w:rPr>
        <w:rFonts w:ascii="Times New Roman" w:hAnsi="Times New Roman"/>
        <w:i/>
        <w:sz w:val="22"/>
      </w:rPr>
      <w:tab/>
      <w:t>Gageler</w:t>
    </w:r>
    <w:r w:rsidRPr="00D900FF">
      <w:rPr>
        <w:rFonts w:ascii="Times New Roman" w:hAnsi="Times New Roman"/>
        <w:i/>
        <w:sz w:val="22"/>
      </w:rPr>
      <w:tab/>
      <w:t>CJ</w:t>
    </w:r>
  </w:p>
  <w:p w14:paraId="6183314B" w14:textId="77777777" w:rsidR="00580BF2" w:rsidRPr="00D900FF" w:rsidRDefault="00580BF2" w:rsidP="00D900FF">
    <w:pPr>
      <w:pStyle w:val="Header"/>
      <w:tabs>
        <w:tab w:val="clear" w:pos="4153"/>
        <w:tab w:val="clear" w:pos="8306"/>
        <w:tab w:val="left" w:pos="7200"/>
        <w:tab w:val="right" w:pos="8504"/>
      </w:tabs>
      <w:spacing w:line="280" w:lineRule="exact"/>
      <w:jc w:val="right"/>
      <w:rPr>
        <w:rFonts w:ascii="Times New Roman" w:hAnsi="Times New Roman"/>
        <w:i/>
        <w:sz w:val="22"/>
      </w:rPr>
    </w:pPr>
    <w:r w:rsidRPr="00D900FF">
      <w:rPr>
        <w:rFonts w:ascii="Times New Roman" w:hAnsi="Times New Roman"/>
        <w:i/>
        <w:sz w:val="22"/>
      </w:rPr>
      <w:tab/>
      <w:t>Gordon</w:t>
    </w:r>
    <w:r w:rsidRPr="00D900FF">
      <w:rPr>
        <w:rFonts w:ascii="Times New Roman" w:hAnsi="Times New Roman"/>
        <w:i/>
        <w:sz w:val="22"/>
      </w:rPr>
      <w:tab/>
      <w:t>J</w:t>
    </w:r>
  </w:p>
  <w:p w14:paraId="0106EA75" w14:textId="77777777" w:rsidR="00580BF2" w:rsidRPr="00D900FF" w:rsidRDefault="00580BF2" w:rsidP="00D900FF">
    <w:pPr>
      <w:pStyle w:val="Header"/>
      <w:tabs>
        <w:tab w:val="clear" w:pos="4153"/>
        <w:tab w:val="clear" w:pos="8306"/>
        <w:tab w:val="left" w:pos="7200"/>
        <w:tab w:val="right" w:pos="8504"/>
      </w:tabs>
      <w:spacing w:line="280" w:lineRule="exact"/>
      <w:jc w:val="right"/>
      <w:rPr>
        <w:rFonts w:ascii="Times New Roman" w:hAnsi="Times New Roman"/>
        <w:i/>
        <w:sz w:val="22"/>
      </w:rPr>
    </w:pPr>
    <w:r w:rsidRPr="00D900FF">
      <w:rPr>
        <w:rFonts w:ascii="Times New Roman" w:hAnsi="Times New Roman"/>
        <w:i/>
        <w:sz w:val="22"/>
      </w:rPr>
      <w:tab/>
      <w:t>Jagot</w:t>
    </w:r>
    <w:r w:rsidRPr="00D900FF">
      <w:rPr>
        <w:rFonts w:ascii="Times New Roman" w:hAnsi="Times New Roman"/>
        <w:i/>
        <w:sz w:val="22"/>
      </w:rPr>
      <w:tab/>
      <w:t>J</w:t>
    </w:r>
  </w:p>
  <w:p w14:paraId="015D46AD" w14:textId="77777777" w:rsidR="00580BF2" w:rsidRDefault="00580BF2" w:rsidP="00D900FF">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726D08DA" w14:textId="77777777" w:rsidR="00580BF2" w:rsidRDefault="00580BF2" w:rsidP="00D900FF">
    <w:pPr>
      <w:pStyle w:val="Header"/>
      <w:tabs>
        <w:tab w:val="clear" w:pos="4153"/>
        <w:tab w:val="clear" w:pos="8306"/>
        <w:tab w:val="left" w:pos="7200"/>
        <w:tab w:val="right" w:pos="8504"/>
      </w:tabs>
      <w:spacing w:line="280" w:lineRule="exact"/>
      <w:jc w:val="right"/>
      <w:rPr>
        <w:rFonts w:ascii="Times New Roman" w:hAnsi="Times New Roman"/>
        <w:i/>
        <w:sz w:val="22"/>
      </w:rPr>
    </w:pPr>
  </w:p>
  <w:p w14:paraId="5BF98CC3" w14:textId="77777777" w:rsidR="00580BF2" w:rsidRDefault="00580BF2" w:rsidP="00D900FF">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F9A0636" w14:textId="77777777" w:rsidR="00580BF2" w:rsidRPr="00D900FF" w:rsidRDefault="00580BF2" w:rsidP="00D900FF">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82CE" w14:textId="77777777" w:rsidR="00580BF2" w:rsidRDefault="00580BF2" w:rsidP="00D900FF">
    <w:pPr>
      <w:pStyle w:val="Header"/>
      <w:tabs>
        <w:tab w:val="clear" w:pos="4153"/>
        <w:tab w:val="clear" w:pos="8306"/>
        <w:tab w:val="center" w:pos="1134"/>
      </w:tabs>
      <w:spacing w:line="280" w:lineRule="exact"/>
      <w:ind w:firstLine="0"/>
      <w:rPr>
        <w:rFonts w:ascii="Times New Roman" w:hAnsi="Times New Roman"/>
        <w:i/>
        <w:sz w:val="22"/>
      </w:rPr>
    </w:pPr>
  </w:p>
  <w:p w14:paraId="04CCE651" w14:textId="77777777" w:rsidR="00580BF2" w:rsidRDefault="00580BF2" w:rsidP="00D900FF">
    <w:pPr>
      <w:pStyle w:val="Header"/>
      <w:tabs>
        <w:tab w:val="clear" w:pos="4153"/>
        <w:tab w:val="clear" w:pos="8306"/>
        <w:tab w:val="center" w:pos="1134"/>
      </w:tabs>
      <w:spacing w:line="280" w:lineRule="exact"/>
      <w:ind w:firstLine="0"/>
      <w:rPr>
        <w:rFonts w:ascii="Times New Roman" w:hAnsi="Times New Roman"/>
        <w:i/>
        <w:sz w:val="22"/>
      </w:rPr>
    </w:pPr>
  </w:p>
  <w:p w14:paraId="43AC5DDC" w14:textId="77777777" w:rsidR="00580BF2" w:rsidRDefault="00580BF2" w:rsidP="00D900FF">
    <w:pPr>
      <w:pStyle w:val="Header"/>
      <w:tabs>
        <w:tab w:val="clear" w:pos="4153"/>
        <w:tab w:val="clear" w:pos="8306"/>
        <w:tab w:val="center" w:pos="1134"/>
      </w:tabs>
      <w:spacing w:line="280" w:lineRule="exact"/>
      <w:ind w:firstLine="0"/>
      <w:rPr>
        <w:rFonts w:ascii="Times New Roman" w:hAnsi="Times New Roman"/>
        <w:i/>
        <w:sz w:val="22"/>
      </w:rPr>
    </w:pPr>
  </w:p>
  <w:p w14:paraId="46998FBF" w14:textId="77777777" w:rsidR="00580BF2" w:rsidRDefault="00580BF2" w:rsidP="00D900FF">
    <w:pPr>
      <w:pStyle w:val="Header"/>
      <w:tabs>
        <w:tab w:val="clear" w:pos="4153"/>
        <w:tab w:val="clear" w:pos="8306"/>
        <w:tab w:val="center" w:pos="1134"/>
      </w:tabs>
      <w:spacing w:line="280" w:lineRule="exact"/>
      <w:ind w:firstLine="0"/>
      <w:rPr>
        <w:rFonts w:ascii="Times New Roman" w:hAnsi="Times New Roman"/>
        <w:i/>
        <w:sz w:val="22"/>
      </w:rPr>
    </w:pPr>
  </w:p>
  <w:p w14:paraId="0C2C6F87" w14:textId="77777777" w:rsidR="00580BF2" w:rsidRDefault="00580BF2" w:rsidP="00D900FF">
    <w:pPr>
      <w:pStyle w:val="Header"/>
      <w:tabs>
        <w:tab w:val="clear" w:pos="4153"/>
        <w:tab w:val="clear" w:pos="8306"/>
        <w:tab w:val="center" w:pos="1134"/>
      </w:tabs>
      <w:spacing w:line="280" w:lineRule="exact"/>
      <w:ind w:firstLine="0"/>
      <w:rPr>
        <w:rFonts w:ascii="Times New Roman" w:hAnsi="Times New Roman"/>
        <w:i/>
        <w:sz w:val="22"/>
      </w:rPr>
    </w:pPr>
  </w:p>
  <w:p w14:paraId="1FBF390E" w14:textId="77777777" w:rsidR="00580BF2" w:rsidRDefault="00580BF2" w:rsidP="00D900FF">
    <w:pPr>
      <w:pStyle w:val="Header"/>
      <w:tabs>
        <w:tab w:val="clear" w:pos="4153"/>
        <w:tab w:val="clear" w:pos="8306"/>
        <w:tab w:val="center" w:pos="1134"/>
      </w:tabs>
      <w:spacing w:line="280" w:lineRule="exact"/>
      <w:ind w:firstLine="0"/>
      <w:rPr>
        <w:rFonts w:ascii="Times New Roman" w:hAnsi="Times New Roman"/>
        <w:i/>
        <w:sz w:val="22"/>
      </w:rPr>
    </w:pPr>
  </w:p>
  <w:p w14:paraId="05FC8B9B" w14:textId="77777777" w:rsidR="00580BF2" w:rsidRPr="00D900FF" w:rsidRDefault="00580BF2" w:rsidP="00D900FF">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0AAE" w14:textId="77777777" w:rsidR="00960529" w:rsidRDefault="00960529" w:rsidP="00BB2B3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0C8F7E15" w14:textId="77777777" w:rsidR="00960529" w:rsidRDefault="00960529" w:rsidP="00BB2B3C">
    <w:pPr>
      <w:pStyle w:val="Header"/>
      <w:tabs>
        <w:tab w:val="clear" w:pos="4153"/>
        <w:tab w:val="clear" w:pos="8306"/>
        <w:tab w:val="right" w:pos="1304"/>
      </w:tabs>
      <w:spacing w:line="280" w:lineRule="exact"/>
      <w:ind w:firstLine="0"/>
      <w:rPr>
        <w:rFonts w:ascii="Times New Roman" w:hAnsi="Times New Roman"/>
        <w:i/>
        <w:sz w:val="22"/>
      </w:rPr>
    </w:pPr>
  </w:p>
  <w:p w14:paraId="77E4A4B9" w14:textId="77777777" w:rsidR="00960529" w:rsidRDefault="00960529" w:rsidP="00BB2B3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99036C9" w14:textId="77777777" w:rsidR="00960529" w:rsidRPr="00BB2B3C" w:rsidRDefault="00960529" w:rsidP="00BB2B3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CE35" w14:textId="77777777" w:rsidR="00960529" w:rsidRDefault="00960529" w:rsidP="00BB2B3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5643934E" w14:textId="77777777" w:rsidR="00960529" w:rsidRDefault="00960529" w:rsidP="00BB2B3C">
    <w:pPr>
      <w:pStyle w:val="Header"/>
      <w:tabs>
        <w:tab w:val="clear" w:pos="4153"/>
        <w:tab w:val="clear" w:pos="8306"/>
        <w:tab w:val="left" w:pos="7200"/>
        <w:tab w:val="right" w:pos="8504"/>
      </w:tabs>
      <w:spacing w:line="280" w:lineRule="exact"/>
      <w:jc w:val="right"/>
      <w:rPr>
        <w:rFonts w:ascii="Times New Roman" w:hAnsi="Times New Roman"/>
        <w:i/>
        <w:sz w:val="22"/>
      </w:rPr>
    </w:pPr>
  </w:p>
  <w:p w14:paraId="7976FF2F" w14:textId="77777777" w:rsidR="00960529" w:rsidRDefault="00960529" w:rsidP="00BB2B3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528A4D5" w14:textId="77777777" w:rsidR="00960529" w:rsidRPr="00BB2B3C" w:rsidRDefault="00960529" w:rsidP="00BB2B3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D683" w14:textId="77777777" w:rsidR="00960529" w:rsidRDefault="00960529" w:rsidP="00BB2B3C">
    <w:pPr>
      <w:pStyle w:val="Header"/>
      <w:tabs>
        <w:tab w:val="clear" w:pos="4153"/>
        <w:tab w:val="clear" w:pos="8306"/>
        <w:tab w:val="center" w:pos="1134"/>
      </w:tabs>
      <w:spacing w:line="280" w:lineRule="exact"/>
      <w:ind w:firstLine="0"/>
      <w:rPr>
        <w:rFonts w:ascii="Times New Roman" w:hAnsi="Times New Roman"/>
        <w:i/>
        <w:sz w:val="22"/>
      </w:rPr>
    </w:pPr>
  </w:p>
  <w:p w14:paraId="43385647" w14:textId="77777777" w:rsidR="00960529" w:rsidRDefault="00960529" w:rsidP="00BB2B3C">
    <w:pPr>
      <w:pStyle w:val="Header"/>
      <w:tabs>
        <w:tab w:val="clear" w:pos="4153"/>
        <w:tab w:val="clear" w:pos="8306"/>
        <w:tab w:val="center" w:pos="1134"/>
      </w:tabs>
      <w:spacing w:line="280" w:lineRule="exact"/>
      <w:ind w:firstLine="0"/>
      <w:rPr>
        <w:rFonts w:ascii="Times New Roman" w:hAnsi="Times New Roman"/>
        <w:i/>
        <w:sz w:val="22"/>
      </w:rPr>
    </w:pPr>
  </w:p>
  <w:p w14:paraId="6352B0D7" w14:textId="77777777" w:rsidR="00960529" w:rsidRDefault="00960529" w:rsidP="00BB2B3C">
    <w:pPr>
      <w:pStyle w:val="Header"/>
      <w:tabs>
        <w:tab w:val="clear" w:pos="4153"/>
        <w:tab w:val="clear" w:pos="8306"/>
        <w:tab w:val="center" w:pos="1134"/>
      </w:tabs>
      <w:spacing w:line="280" w:lineRule="exact"/>
      <w:ind w:firstLine="0"/>
      <w:rPr>
        <w:rFonts w:ascii="Times New Roman" w:hAnsi="Times New Roman"/>
        <w:i/>
        <w:sz w:val="22"/>
      </w:rPr>
    </w:pPr>
  </w:p>
  <w:p w14:paraId="76571A25" w14:textId="77777777" w:rsidR="00960529" w:rsidRPr="00BB2B3C" w:rsidRDefault="00960529" w:rsidP="00BB2B3C">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65862"/>
    <w:multiLevelType w:val="multilevel"/>
    <w:tmpl w:val="010E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F26633B"/>
    <w:multiLevelType w:val="hybridMultilevel"/>
    <w:tmpl w:val="3B2A0F74"/>
    <w:lvl w:ilvl="0" w:tplc="4016E596">
      <w:start w:val="1"/>
      <w:numFmt w:val="decimal"/>
      <w:lvlText w:val="%1)"/>
      <w:lvlJc w:val="left"/>
      <w:pPr>
        <w:ind w:left="1020" w:hanging="360"/>
      </w:pPr>
    </w:lvl>
    <w:lvl w:ilvl="1" w:tplc="45DEAB3A">
      <w:start w:val="1"/>
      <w:numFmt w:val="decimal"/>
      <w:lvlText w:val="%2)"/>
      <w:lvlJc w:val="left"/>
      <w:pPr>
        <w:ind w:left="1020" w:hanging="360"/>
      </w:pPr>
    </w:lvl>
    <w:lvl w:ilvl="2" w:tplc="8334D2AE">
      <w:start w:val="1"/>
      <w:numFmt w:val="decimal"/>
      <w:lvlText w:val="%3)"/>
      <w:lvlJc w:val="left"/>
      <w:pPr>
        <w:ind w:left="1020" w:hanging="360"/>
      </w:pPr>
    </w:lvl>
    <w:lvl w:ilvl="3" w:tplc="E6D07A54">
      <w:start w:val="1"/>
      <w:numFmt w:val="decimal"/>
      <w:lvlText w:val="%4)"/>
      <w:lvlJc w:val="left"/>
      <w:pPr>
        <w:ind w:left="1020" w:hanging="360"/>
      </w:pPr>
    </w:lvl>
    <w:lvl w:ilvl="4" w:tplc="8C5C24AC">
      <w:start w:val="1"/>
      <w:numFmt w:val="decimal"/>
      <w:lvlText w:val="%5)"/>
      <w:lvlJc w:val="left"/>
      <w:pPr>
        <w:ind w:left="1020" w:hanging="360"/>
      </w:pPr>
    </w:lvl>
    <w:lvl w:ilvl="5" w:tplc="567A164A">
      <w:start w:val="1"/>
      <w:numFmt w:val="decimal"/>
      <w:lvlText w:val="%6)"/>
      <w:lvlJc w:val="left"/>
      <w:pPr>
        <w:ind w:left="1020" w:hanging="360"/>
      </w:pPr>
    </w:lvl>
    <w:lvl w:ilvl="6" w:tplc="7806F586">
      <w:start w:val="1"/>
      <w:numFmt w:val="decimal"/>
      <w:lvlText w:val="%7)"/>
      <w:lvlJc w:val="left"/>
      <w:pPr>
        <w:ind w:left="1020" w:hanging="360"/>
      </w:pPr>
    </w:lvl>
    <w:lvl w:ilvl="7" w:tplc="AE2409D2">
      <w:start w:val="1"/>
      <w:numFmt w:val="decimal"/>
      <w:lvlText w:val="%8)"/>
      <w:lvlJc w:val="left"/>
      <w:pPr>
        <w:ind w:left="1020" w:hanging="360"/>
      </w:pPr>
    </w:lvl>
    <w:lvl w:ilvl="8" w:tplc="0B04EA94">
      <w:start w:val="1"/>
      <w:numFmt w:val="decimal"/>
      <w:lvlText w:val="%9)"/>
      <w:lvlJc w:val="left"/>
      <w:pPr>
        <w:ind w:left="1020" w:hanging="36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44A76AA"/>
    <w:multiLevelType w:val="hybridMultilevel"/>
    <w:tmpl w:val="5ED8DE90"/>
    <w:lvl w:ilvl="0" w:tplc="BFBE6BB8">
      <w:start w:val="1"/>
      <w:numFmt w:val="lowerLetter"/>
      <w:lvlText w:val="%1)"/>
      <w:lvlJc w:val="left"/>
      <w:pPr>
        <w:ind w:left="1020" w:hanging="360"/>
      </w:pPr>
    </w:lvl>
    <w:lvl w:ilvl="1" w:tplc="CBBA4EEC">
      <w:start w:val="1"/>
      <w:numFmt w:val="lowerLetter"/>
      <w:lvlText w:val="%2)"/>
      <w:lvlJc w:val="left"/>
      <w:pPr>
        <w:ind w:left="1020" w:hanging="360"/>
      </w:pPr>
    </w:lvl>
    <w:lvl w:ilvl="2" w:tplc="311EC5DC">
      <w:start w:val="1"/>
      <w:numFmt w:val="lowerLetter"/>
      <w:lvlText w:val="%3)"/>
      <w:lvlJc w:val="left"/>
      <w:pPr>
        <w:ind w:left="1020" w:hanging="360"/>
      </w:pPr>
    </w:lvl>
    <w:lvl w:ilvl="3" w:tplc="0A34EA0C">
      <w:start w:val="1"/>
      <w:numFmt w:val="lowerLetter"/>
      <w:lvlText w:val="%4)"/>
      <w:lvlJc w:val="left"/>
      <w:pPr>
        <w:ind w:left="1020" w:hanging="360"/>
      </w:pPr>
    </w:lvl>
    <w:lvl w:ilvl="4" w:tplc="6ED2F462">
      <w:start w:val="1"/>
      <w:numFmt w:val="lowerLetter"/>
      <w:lvlText w:val="%5)"/>
      <w:lvlJc w:val="left"/>
      <w:pPr>
        <w:ind w:left="1020" w:hanging="360"/>
      </w:pPr>
    </w:lvl>
    <w:lvl w:ilvl="5" w:tplc="FBDCAFC6">
      <w:start w:val="1"/>
      <w:numFmt w:val="lowerLetter"/>
      <w:lvlText w:val="%6)"/>
      <w:lvlJc w:val="left"/>
      <w:pPr>
        <w:ind w:left="1020" w:hanging="360"/>
      </w:pPr>
    </w:lvl>
    <w:lvl w:ilvl="6" w:tplc="F2540754">
      <w:start w:val="1"/>
      <w:numFmt w:val="lowerLetter"/>
      <w:lvlText w:val="%7)"/>
      <w:lvlJc w:val="left"/>
      <w:pPr>
        <w:ind w:left="1020" w:hanging="360"/>
      </w:pPr>
    </w:lvl>
    <w:lvl w:ilvl="7" w:tplc="93C8EC3C">
      <w:start w:val="1"/>
      <w:numFmt w:val="lowerLetter"/>
      <w:lvlText w:val="%8)"/>
      <w:lvlJc w:val="left"/>
      <w:pPr>
        <w:ind w:left="1020" w:hanging="360"/>
      </w:pPr>
    </w:lvl>
    <w:lvl w:ilvl="8" w:tplc="784208A0">
      <w:start w:val="1"/>
      <w:numFmt w:val="lowerLetter"/>
      <w:lvlText w:val="%9)"/>
      <w:lvlJc w:val="left"/>
      <w:pPr>
        <w:ind w:left="1020" w:hanging="360"/>
      </w:pPr>
    </w:lvl>
  </w:abstractNum>
  <w:abstractNum w:abstractNumId="16" w15:restartNumberingAfterBreak="0">
    <w:nsid w:val="27E11135"/>
    <w:multiLevelType w:val="hybridMultilevel"/>
    <w:tmpl w:val="AC2A5ED0"/>
    <w:lvl w:ilvl="0" w:tplc="D560673A">
      <w:start w:val="1"/>
      <w:numFmt w:val="lowerLetter"/>
      <w:lvlText w:val="%1)"/>
      <w:lvlJc w:val="left"/>
      <w:pPr>
        <w:ind w:left="1020" w:hanging="360"/>
      </w:pPr>
    </w:lvl>
    <w:lvl w:ilvl="1" w:tplc="7324A958">
      <w:start w:val="1"/>
      <w:numFmt w:val="lowerLetter"/>
      <w:lvlText w:val="%2)"/>
      <w:lvlJc w:val="left"/>
      <w:pPr>
        <w:ind w:left="1020" w:hanging="360"/>
      </w:pPr>
    </w:lvl>
    <w:lvl w:ilvl="2" w:tplc="0958BDE8">
      <w:start w:val="1"/>
      <w:numFmt w:val="lowerLetter"/>
      <w:lvlText w:val="%3)"/>
      <w:lvlJc w:val="left"/>
      <w:pPr>
        <w:ind w:left="1020" w:hanging="360"/>
      </w:pPr>
    </w:lvl>
    <w:lvl w:ilvl="3" w:tplc="18CA57B2">
      <w:start w:val="1"/>
      <w:numFmt w:val="lowerLetter"/>
      <w:lvlText w:val="%4)"/>
      <w:lvlJc w:val="left"/>
      <w:pPr>
        <w:ind w:left="1020" w:hanging="360"/>
      </w:pPr>
    </w:lvl>
    <w:lvl w:ilvl="4" w:tplc="A73C43E8">
      <w:start w:val="1"/>
      <w:numFmt w:val="lowerLetter"/>
      <w:lvlText w:val="%5)"/>
      <w:lvlJc w:val="left"/>
      <w:pPr>
        <w:ind w:left="1020" w:hanging="360"/>
      </w:pPr>
    </w:lvl>
    <w:lvl w:ilvl="5" w:tplc="7850024C">
      <w:start w:val="1"/>
      <w:numFmt w:val="lowerLetter"/>
      <w:lvlText w:val="%6)"/>
      <w:lvlJc w:val="left"/>
      <w:pPr>
        <w:ind w:left="1020" w:hanging="360"/>
      </w:pPr>
    </w:lvl>
    <w:lvl w:ilvl="6" w:tplc="65F60F86">
      <w:start w:val="1"/>
      <w:numFmt w:val="lowerLetter"/>
      <w:lvlText w:val="%7)"/>
      <w:lvlJc w:val="left"/>
      <w:pPr>
        <w:ind w:left="1020" w:hanging="360"/>
      </w:pPr>
    </w:lvl>
    <w:lvl w:ilvl="7" w:tplc="D0E8FACE">
      <w:start w:val="1"/>
      <w:numFmt w:val="lowerLetter"/>
      <w:lvlText w:val="%8)"/>
      <w:lvlJc w:val="left"/>
      <w:pPr>
        <w:ind w:left="1020" w:hanging="360"/>
      </w:pPr>
    </w:lvl>
    <w:lvl w:ilvl="8" w:tplc="3FE83B72">
      <w:start w:val="1"/>
      <w:numFmt w:val="lowerLetter"/>
      <w:lvlText w:val="%9)"/>
      <w:lvlJc w:val="left"/>
      <w:pPr>
        <w:ind w:left="1020" w:hanging="360"/>
      </w:pPr>
    </w:lvl>
  </w:abstractNum>
  <w:abstractNum w:abstractNumId="17"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3F193A"/>
    <w:multiLevelType w:val="hybridMultilevel"/>
    <w:tmpl w:val="D56E9276"/>
    <w:lvl w:ilvl="0" w:tplc="1B4473FE">
      <w:start w:val="1"/>
      <w:numFmt w:val="lowerLetter"/>
      <w:lvlText w:val="%1)"/>
      <w:lvlJc w:val="left"/>
      <w:pPr>
        <w:ind w:left="1020" w:hanging="360"/>
      </w:pPr>
    </w:lvl>
    <w:lvl w:ilvl="1" w:tplc="7C426EA0">
      <w:start w:val="1"/>
      <w:numFmt w:val="lowerLetter"/>
      <w:lvlText w:val="%2)"/>
      <w:lvlJc w:val="left"/>
      <w:pPr>
        <w:ind w:left="1020" w:hanging="360"/>
      </w:pPr>
    </w:lvl>
    <w:lvl w:ilvl="2" w:tplc="8A4883A6">
      <w:start w:val="1"/>
      <w:numFmt w:val="lowerLetter"/>
      <w:lvlText w:val="%3)"/>
      <w:lvlJc w:val="left"/>
      <w:pPr>
        <w:ind w:left="1020" w:hanging="360"/>
      </w:pPr>
    </w:lvl>
    <w:lvl w:ilvl="3" w:tplc="E5046872">
      <w:start w:val="1"/>
      <w:numFmt w:val="lowerLetter"/>
      <w:lvlText w:val="%4)"/>
      <w:lvlJc w:val="left"/>
      <w:pPr>
        <w:ind w:left="1020" w:hanging="360"/>
      </w:pPr>
    </w:lvl>
    <w:lvl w:ilvl="4" w:tplc="3B1CF8C6">
      <w:start w:val="1"/>
      <w:numFmt w:val="lowerLetter"/>
      <w:lvlText w:val="%5)"/>
      <w:lvlJc w:val="left"/>
      <w:pPr>
        <w:ind w:left="1020" w:hanging="360"/>
      </w:pPr>
    </w:lvl>
    <w:lvl w:ilvl="5" w:tplc="47E47262">
      <w:start w:val="1"/>
      <w:numFmt w:val="lowerLetter"/>
      <w:lvlText w:val="%6)"/>
      <w:lvlJc w:val="left"/>
      <w:pPr>
        <w:ind w:left="1020" w:hanging="360"/>
      </w:pPr>
    </w:lvl>
    <w:lvl w:ilvl="6" w:tplc="9D185244">
      <w:start w:val="1"/>
      <w:numFmt w:val="lowerLetter"/>
      <w:lvlText w:val="%7)"/>
      <w:lvlJc w:val="left"/>
      <w:pPr>
        <w:ind w:left="1020" w:hanging="360"/>
      </w:pPr>
    </w:lvl>
    <w:lvl w:ilvl="7" w:tplc="58FC2626">
      <w:start w:val="1"/>
      <w:numFmt w:val="lowerLetter"/>
      <w:lvlText w:val="%8)"/>
      <w:lvlJc w:val="left"/>
      <w:pPr>
        <w:ind w:left="1020" w:hanging="360"/>
      </w:pPr>
    </w:lvl>
    <w:lvl w:ilvl="8" w:tplc="F06C23DE">
      <w:start w:val="1"/>
      <w:numFmt w:val="lowerLetter"/>
      <w:lvlText w:val="%9)"/>
      <w:lvlJc w:val="left"/>
      <w:pPr>
        <w:ind w:left="1020" w:hanging="360"/>
      </w:pPr>
    </w:lvl>
  </w:abstractNum>
  <w:abstractNum w:abstractNumId="19" w15:restartNumberingAfterBreak="0">
    <w:nsid w:val="35AB1D5D"/>
    <w:multiLevelType w:val="hybridMultilevel"/>
    <w:tmpl w:val="5E960444"/>
    <w:lvl w:ilvl="0" w:tplc="E952B42A">
      <w:start w:val="1"/>
      <w:numFmt w:val="decimal"/>
      <w:lvlText w:val="%1)"/>
      <w:lvlJc w:val="left"/>
      <w:pPr>
        <w:ind w:left="1020" w:hanging="360"/>
      </w:pPr>
    </w:lvl>
    <w:lvl w:ilvl="1" w:tplc="27C2A7D0">
      <w:start w:val="1"/>
      <w:numFmt w:val="decimal"/>
      <w:lvlText w:val="%2)"/>
      <w:lvlJc w:val="left"/>
      <w:pPr>
        <w:ind w:left="1020" w:hanging="360"/>
      </w:pPr>
    </w:lvl>
    <w:lvl w:ilvl="2" w:tplc="55D2A946">
      <w:start w:val="1"/>
      <w:numFmt w:val="decimal"/>
      <w:lvlText w:val="%3)"/>
      <w:lvlJc w:val="left"/>
      <w:pPr>
        <w:ind w:left="1020" w:hanging="360"/>
      </w:pPr>
    </w:lvl>
    <w:lvl w:ilvl="3" w:tplc="7D0E1864">
      <w:start w:val="1"/>
      <w:numFmt w:val="decimal"/>
      <w:lvlText w:val="%4)"/>
      <w:lvlJc w:val="left"/>
      <w:pPr>
        <w:ind w:left="1020" w:hanging="360"/>
      </w:pPr>
    </w:lvl>
    <w:lvl w:ilvl="4" w:tplc="02C0B87C">
      <w:start w:val="1"/>
      <w:numFmt w:val="decimal"/>
      <w:lvlText w:val="%5)"/>
      <w:lvlJc w:val="left"/>
      <w:pPr>
        <w:ind w:left="1020" w:hanging="360"/>
      </w:pPr>
    </w:lvl>
    <w:lvl w:ilvl="5" w:tplc="18889760">
      <w:start w:val="1"/>
      <w:numFmt w:val="decimal"/>
      <w:lvlText w:val="%6)"/>
      <w:lvlJc w:val="left"/>
      <w:pPr>
        <w:ind w:left="1020" w:hanging="360"/>
      </w:pPr>
    </w:lvl>
    <w:lvl w:ilvl="6" w:tplc="AA8A02A4">
      <w:start w:val="1"/>
      <w:numFmt w:val="decimal"/>
      <w:lvlText w:val="%7)"/>
      <w:lvlJc w:val="left"/>
      <w:pPr>
        <w:ind w:left="1020" w:hanging="360"/>
      </w:pPr>
    </w:lvl>
    <w:lvl w:ilvl="7" w:tplc="881C3EC8">
      <w:start w:val="1"/>
      <w:numFmt w:val="decimal"/>
      <w:lvlText w:val="%8)"/>
      <w:lvlJc w:val="left"/>
      <w:pPr>
        <w:ind w:left="1020" w:hanging="360"/>
      </w:pPr>
    </w:lvl>
    <w:lvl w:ilvl="8" w:tplc="0A1C200C">
      <w:start w:val="1"/>
      <w:numFmt w:val="decimal"/>
      <w:lvlText w:val="%9)"/>
      <w:lvlJc w:val="left"/>
      <w:pPr>
        <w:ind w:left="1020" w:hanging="360"/>
      </w:pPr>
    </w:lvl>
  </w:abstractNum>
  <w:abstractNum w:abstractNumId="20"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1"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C656974"/>
    <w:multiLevelType w:val="multilevel"/>
    <w:tmpl w:val="A65A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C84E29"/>
    <w:multiLevelType w:val="hybridMultilevel"/>
    <w:tmpl w:val="70B651A8"/>
    <w:lvl w:ilvl="0" w:tplc="EB34AF56">
      <w:start w:val="1"/>
      <w:numFmt w:val="lowerLetter"/>
      <w:lvlText w:val="%1)"/>
      <w:lvlJc w:val="left"/>
      <w:pPr>
        <w:ind w:left="1020" w:hanging="360"/>
      </w:pPr>
    </w:lvl>
    <w:lvl w:ilvl="1" w:tplc="EFC87F62">
      <w:start w:val="1"/>
      <w:numFmt w:val="lowerLetter"/>
      <w:lvlText w:val="%2)"/>
      <w:lvlJc w:val="left"/>
      <w:pPr>
        <w:ind w:left="1020" w:hanging="360"/>
      </w:pPr>
    </w:lvl>
    <w:lvl w:ilvl="2" w:tplc="683A1588">
      <w:start w:val="1"/>
      <w:numFmt w:val="lowerLetter"/>
      <w:lvlText w:val="%3)"/>
      <w:lvlJc w:val="left"/>
      <w:pPr>
        <w:ind w:left="1020" w:hanging="360"/>
      </w:pPr>
    </w:lvl>
    <w:lvl w:ilvl="3" w:tplc="63E26CBE">
      <w:start w:val="1"/>
      <w:numFmt w:val="lowerLetter"/>
      <w:lvlText w:val="%4)"/>
      <w:lvlJc w:val="left"/>
      <w:pPr>
        <w:ind w:left="1020" w:hanging="360"/>
      </w:pPr>
    </w:lvl>
    <w:lvl w:ilvl="4" w:tplc="0D164850">
      <w:start w:val="1"/>
      <w:numFmt w:val="lowerLetter"/>
      <w:lvlText w:val="%5)"/>
      <w:lvlJc w:val="left"/>
      <w:pPr>
        <w:ind w:left="1020" w:hanging="360"/>
      </w:pPr>
    </w:lvl>
    <w:lvl w:ilvl="5" w:tplc="A1441F66">
      <w:start w:val="1"/>
      <w:numFmt w:val="lowerLetter"/>
      <w:lvlText w:val="%6)"/>
      <w:lvlJc w:val="left"/>
      <w:pPr>
        <w:ind w:left="1020" w:hanging="360"/>
      </w:pPr>
    </w:lvl>
    <w:lvl w:ilvl="6" w:tplc="CEE834C8">
      <w:start w:val="1"/>
      <w:numFmt w:val="lowerLetter"/>
      <w:lvlText w:val="%7)"/>
      <w:lvlJc w:val="left"/>
      <w:pPr>
        <w:ind w:left="1020" w:hanging="360"/>
      </w:pPr>
    </w:lvl>
    <w:lvl w:ilvl="7" w:tplc="3B6AB25E">
      <w:start w:val="1"/>
      <w:numFmt w:val="lowerLetter"/>
      <w:lvlText w:val="%8)"/>
      <w:lvlJc w:val="left"/>
      <w:pPr>
        <w:ind w:left="1020" w:hanging="360"/>
      </w:pPr>
    </w:lvl>
    <w:lvl w:ilvl="8" w:tplc="5B9C0C36">
      <w:start w:val="1"/>
      <w:numFmt w:val="lowerLetter"/>
      <w:lvlText w:val="%9)"/>
      <w:lvlJc w:val="left"/>
      <w:pPr>
        <w:ind w:left="1020" w:hanging="360"/>
      </w:pPr>
    </w:lvl>
  </w:abstractNum>
  <w:abstractNum w:abstractNumId="25" w15:restartNumberingAfterBreak="0">
    <w:nsid w:val="784967A8"/>
    <w:multiLevelType w:val="multilevel"/>
    <w:tmpl w:val="CDD4E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20"/>
  </w:num>
  <w:num w:numId="3" w16cid:durableId="1375159326">
    <w:abstractNumId w:val="26"/>
  </w:num>
  <w:num w:numId="4" w16cid:durableId="1020468450">
    <w:abstractNumId w:val="17"/>
  </w:num>
  <w:num w:numId="5" w16cid:durableId="298609604">
    <w:abstractNumId w:val="22"/>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21"/>
  </w:num>
  <w:num w:numId="18" w16cid:durableId="586305847">
    <w:abstractNumId w:val="12"/>
  </w:num>
  <w:num w:numId="19" w16cid:durableId="650985869">
    <w:abstractNumId w:val="12"/>
  </w:num>
  <w:num w:numId="20" w16cid:durableId="141432203">
    <w:abstractNumId w:val="14"/>
  </w:num>
  <w:num w:numId="21" w16cid:durableId="2134975186">
    <w:abstractNumId w:val="14"/>
  </w:num>
  <w:num w:numId="22" w16cid:durableId="1960334814">
    <w:abstractNumId w:val="14"/>
  </w:num>
  <w:num w:numId="23" w16cid:durableId="1503617713">
    <w:abstractNumId w:val="14"/>
  </w:num>
  <w:num w:numId="24" w16cid:durableId="186795824">
    <w:abstractNumId w:val="14"/>
  </w:num>
  <w:num w:numId="25" w16cid:durableId="322777598">
    <w:abstractNumId w:val="14"/>
  </w:num>
  <w:num w:numId="26" w16cid:durableId="1023827741">
    <w:abstractNumId w:val="14"/>
  </w:num>
  <w:num w:numId="27" w16cid:durableId="1473210773">
    <w:abstractNumId w:val="14"/>
  </w:num>
  <w:num w:numId="28" w16cid:durableId="1141733133">
    <w:abstractNumId w:val="14"/>
  </w:num>
  <w:num w:numId="29" w16cid:durableId="815688000">
    <w:abstractNumId w:val="14"/>
  </w:num>
  <w:num w:numId="30" w16cid:durableId="1609239987">
    <w:abstractNumId w:val="14"/>
  </w:num>
  <w:num w:numId="31" w16cid:durableId="718432724">
    <w:abstractNumId w:val="14"/>
  </w:num>
  <w:num w:numId="32" w16cid:durableId="1494299462">
    <w:abstractNumId w:val="14"/>
  </w:num>
  <w:num w:numId="33" w16cid:durableId="1987707723">
    <w:abstractNumId w:val="14"/>
  </w:num>
  <w:num w:numId="34" w16cid:durableId="400904085">
    <w:abstractNumId w:val="14"/>
  </w:num>
  <w:num w:numId="35" w16cid:durableId="1975866881">
    <w:abstractNumId w:val="14"/>
  </w:num>
  <w:num w:numId="36" w16cid:durableId="1591692161">
    <w:abstractNumId w:val="14"/>
  </w:num>
  <w:num w:numId="37" w16cid:durableId="19472865">
    <w:abstractNumId w:val="14"/>
  </w:num>
  <w:num w:numId="38" w16cid:durableId="1925338640">
    <w:abstractNumId w:val="19"/>
  </w:num>
  <w:num w:numId="39" w16cid:durableId="1903248686">
    <w:abstractNumId w:val="24"/>
  </w:num>
  <w:num w:numId="40" w16cid:durableId="778525953">
    <w:abstractNumId w:val="15"/>
  </w:num>
  <w:num w:numId="41" w16cid:durableId="1464274164">
    <w:abstractNumId w:val="13"/>
  </w:num>
  <w:num w:numId="42" w16cid:durableId="788428488">
    <w:abstractNumId w:val="18"/>
  </w:num>
  <w:num w:numId="43" w16cid:durableId="52781301">
    <w:abstractNumId w:val="16"/>
  </w:num>
  <w:num w:numId="44" w16cid:durableId="1730609905">
    <w:abstractNumId w:val="23"/>
  </w:num>
  <w:num w:numId="45" w16cid:durableId="255941922">
    <w:abstractNumId w:val="25"/>
    <w:lvlOverride w:ilvl="0">
      <w:lvl w:ilvl="0">
        <w:numFmt w:val="lowerLetter"/>
        <w:lvlText w:val="%1."/>
        <w:lvlJc w:val="left"/>
      </w:lvl>
    </w:lvlOverride>
  </w:num>
  <w:num w:numId="46" w16cid:durableId="1302881013">
    <w:abstractNumId w:val="25"/>
    <w:lvlOverride w:ilvl="0">
      <w:lvl w:ilvl="0">
        <w:numFmt w:val="lowerLetter"/>
        <w:lvlText w:val="%1."/>
        <w:lvlJc w:val="left"/>
      </w:lvl>
    </w:lvlOverride>
  </w:num>
  <w:num w:numId="47" w16cid:durableId="579019765">
    <w:abstractNumId w:val="25"/>
    <w:lvlOverride w:ilvl="0">
      <w:lvl w:ilvl="0">
        <w:numFmt w:val="lowerLetter"/>
        <w:lvlText w:val="%1."/>
        <w:lvlJc w:val="left"/>
      </w:lvl>
    </w:lvlOverride>
  </w:num>
  <w:num w:numId="48" w16cid:durableId="626200512">
    <w:abstractNumId w:val="10"/>
    <w:lvlOverride w:ilvl="0">
      <w:lvl w:ilvl="0">
        <w:numFmt w:val="lowerLetter"/>
        <w:lvlText w:val="%1."/>
        <w:lvlJc w:val="left"/>
      </w:lvl>
    </w:lvlOverride>
  </w:num>
  <w:num w:numId="49" w16cid:durableId="1158230084">
    <w:abstractNumId w:val="1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06"/>
    <w:rsid w:val="000000C1"/>
    <w:rsid w:val="00000436"/>
    <w:rsid w:val="0000056F"/>
    <w:rsid w:val="000007EF"/>
    <w:rsid w:val="0000087A"/>
    <w:rsid w:val="0000192E"/>
    <w:rsid w:val="00001C31"/>
    <w:rsid w:val="00001D4F"/>
    <w:rsid w:val="00001DFA"/>
    <w:rsid w:val="00001F00"/>
    <w:rsid w:val="00002069"/>
    <w:rsid w:val="000025E0"/>
    <w:rsid w:val="00002730"/>
    <w:rsid w:val="00002823"/>
    <w:rsid w:val="000028D0"/>
    <w:rsid w:val="00002A6E"/>
    <w:rsid w:val="00002CE6"/>
    <w:rsid w:val="00002FCD"/>
    <w:rsid w:val="00002FD2"/>
    <w:rsid w:val="0000316A"/>
    <w:rsid w:val="0000360D"/>
    <w:rsid w:val="0000361D"/>
    <w:rsid w:val="00003945"/>
    <w:rsid w:val="00003B9B"/>
    <w:rsid w:val="00003BC8"/>
    <w:rsid w:val="0000407B"/>
    <w:rsid w:val="000045DB"/>
    <w:rsid w:val="000049B7"/>
    <w:rsid w:val="00004A32"/>
    <w:rsid w:val="00004BB5"/>
    <w:rsid w:val="00004DA8"/>
    <w:rsid w:val="000059B2"/>
    <w:rsid w:val="00005B41"/>
    <w:rsid w:val="0000600D"/>
    <w:rsid w:val="00006048"/>
    <w:rsid w:val="0000617A"/>
    <w:rsid w:val="0000618C"/>
    <w:rsid w:val="00006C3D"/>
    <w:rsid w:val="000073E3"/>
    <w:rsid w:val="000079D7"/>
    <w:rsid w:val="00007A56"/>
    <w:rsid w:val="0001000C"/>
    <w:rsid w:val="00010231"/>
    <w:rsid w:val="0001063F"/>
    <w:rsid w:val="00010BB1"/>
    <w:rsid w:val="00010D1C"/>
    <w:rsid w:val="00011246"/>
    <w:rsid w:val="00011F21"/>
    <w:rsid w:val="00012751"/>
    <w:rsid w:val="00012DA5"/>
    <w:rsid w:val="00012F3B"/>
    <w:rsid w:val="00013834"/>
    <w:rsid w:val="00013C1C"/>
    <w:rsid w:val="000141CA"/>
    <w:rsid w:val="00014724"/>
    <w:rsid w:val="0001485C"/>
    <w:rsid w:val="00014B34"/>
    <w:rsid w:val="000150E0"/>
    <w:rsid w:val="0001613F"/>
    <w:rsid w:val="000164E8"/>
    <w:rsid w:val="0001677B"/>
    <w:rsid w:val="000168C9"/>
    <w:rsid w:val="00016C20"/>
    <w:rsid w:val="00016DBB"/>
    <w:rsid w:val="00016F5B"/>
    <w:rsid w:val="00017072"/>
    <w:rsid w:val="00017117"/>
    <w:rsid w:val="00017144"/>
    <w:rsid w:val="0001769D"/>
    <w:rsid w:val="000202A4"/>
    <w:rsid w:val="00020EB0"/>
    <w:rsid w:val="00021272"/>
    <w:rsid w:val="00021555"/>
    <w:rsid w:val="000218A4"/>
    <w:rsid w:val="000219EF"/>
    <w:rsid w:val="00021E89"/>
    <w:rsid w:val="00021FE9"/>
    <w:rsid w:val="0002221B"/>
    <w:rsid w:val="00022246"/>
    <w:rsid w:val="00022413"/>
    <w:rsid w:val="00022A53"/>
    <w:rsid w:val="00022BD4"/>
    <w:rsid w:val="00022D17"/>
    <w:rsid w:val="0002373F"/>
    <w:rsid w:val="00023A85"/>
    <w:rsid w:val="00023D1E"/>
    <w:rsid w:val="00023F14"/>
    <w:rsid w:val="00024533"/>
    <w:rsid w:val="00024967"/>
    <w:rsid w:val="00024AE6"/>
    <w:rsid w:val="00024F0C"/>
    <w:rsid w:val="00025073"/>
    <w:rsid w:val="000250AF"/>
    <w:rsid w:val="0002526E"/>
    <w:rsid w:val="00025490"/>
    <w:rsid w:val="0002561B"/>
    <w:rsid w:val="0002561E"/>
    <w:rsid w:val="000256CA"/>
    <w:rsid w:val="00025CE5"/>
    <w:rsid w:val="00025EA2"/>
    <w:rsid w:val="00025EAC"/>
    <w:rsid w:val="00026490"/>
    <w:rsid w:val="000268E1"/>
    <w:rsid w:val="00026AE1"/>
    <w:rsid w:val="00026D72"/>
    <w:rsid w:val="000274BA"/>
    <w:rsid w:val="00027551"/>
    <w:rsid w:val="000275CC"/>
    <w:rsid w:val="00027654"/>
    <w:rsid w:val="00027941"/>
    <w:rsid w:val="00027A45"/>
    <w:rsid w:val="00027DB4"/>
    <w:rsid w:val="00027E85"/>
    <w:rsid w:val="00027E95"/>
    <w:rsid w:val="0003065B"/>
    <w:rsid w:val="00030730"/>
    <w:rsid w:val="0003092A"/>
    <w:rsid w:val="00030AD5"/>
    <w:rsid w:val="00030CD0"/>
    <w:rsid w:val="000316A1"/>
    <w:rsid w:val="000316D1"/>
    <w:rsid w:val="000317C0"/>
    <w:rsid w:val="0003193F"/>
    <w:rsid w:val="00031A71"/>
    <w:rsid w:val="0003201F"/>
    <w:rsid w:val="00032390"/>
    <w:rsid w:val="00032819"/>
    <w:rsid w:val="00032A11"/>
    <w:rsid w:val="00032E77"/>
    <w:rsid w:val="00033448"/>
    <w:rsid w:val="000336D3"/>
    <w:rsid w:val="00033757"/>
    <w:rsid w:val="000341E4"/>
    <w:rsid w:val="0003438D"/>
    <w:rsid w:val="000349E2"/>
    <w:rsid w:val="00034BE7"/>
    <w:rsid w:val="00034D87"/>
    <w:rsid w:val="0003575A"/>
    <w:rsid w:val="00036051"/>
    <w:rsid w:val="000360EB"/>
    <w:rsid w:val="00036264"/>
    <w:rsid w:val="000368B0"/>
    <w:rsid w:val="00036963"/>
    <w:rsid w:val="00037311"/>
    <w:rsid w:val="00037580"/>
    <w:rsid w:val="0003774E"/>
    <w:rsid w:val="00037898"/>
    <w:rsid w:val="000378A5"/>
    <w:rsid w:val="00037A5F"/>
    <w:rsid w:val="00037BA3"/>
    <w:rsid w:val="00037D87"/>
    <w:rsid w:val="00037E5F"/>
    <w:rsid w:val="00037F83"/>
    <w:rsid w:val="000404FE"/>
    <w:rsid w:val="000405B1"/>
    <w:rsid w:val="0004079D"/>
    <w:rsid w:val="00040BCC"/>
    <w:rsid w:val="000411F3"/>
    <w:rsid w:val="00041260"/>
    <w:rsid w:val="00041444"/>
    <w:rsid w:val="000415A3"/>
    <w:rsid w:val="00041738"/>
    <w:rsid w:val="00041887"/>
    <w:rsid w:val="00041BE0"/>
    <w:rsid w:val="00042245"/>
    <w:rsid w:val="000422FE"/>
    <w:rsid w:val="000426CA"/>
    <w:rsid w:val="00042C0E"/>
    <w:rsid w:val="00042EF3"/>
    <w:rsid w:val="000430BA"/>
    <w:rsid w:val="00043106"/>
    <w:rsid w:val="000432CD"/>
    <w:rsid w:val="000433C8"/>
    <w:rsid w:val="000434D1"/>
    <w:rsid w:val="00043AF4"/>
    <w:rsid w:val="00043C31"/>
    <w:rsid w:val="00043D2C"/>
    <w:rsid w:val="00043D5D"/>
    <w:rsid w:val="0004487B"/>
    <w:rsid w:val="000448F6"/>
    <w:rsid w:val="00044B98"/>
    <w:rsid w:val="00044C8A"/>
    <w:rsid w:val="00045190"/>
    <w:rsid w:val="0004525D"/>
    <w:rsid w:val="00045341"/>
    <w:rsid w:val="000456A9"/>
    <w:rsid w:val="000457A6"/>
    <w:rsid w:val="00045F8A"/>
    <w:rsid w:val="000460A4"/>
    <w:rsid w:val="0004640A"/>
    <w:rsid w:val="000467BE"/>
    <w:rsid w:val="00046812"/>
    <w:rsid w:val="00046958"/>
    <w:rsid w:val="00046B85"/>
    <w:rsid w:val="0004792B"/>
    <w:rsid w:val="000479BF"/>
    <w:rsid w:val="00047A6E"/>
    <w:rsid w:val="00047B08"/>
    <w:rsid w:val="0005028D"/>
    <w:rsid w:val="00050416"/>
    <w:rsid w:val="0005043C"/>
    <w:rsid w:val="00050450"/>
    <w:rsid w:val="00050626"/>
    <w:rsid w:val="00050A5B"/>
    <w:rsid w:val="00051B18"/>
    <w:rsid w:val="00052217"/>
    <w:rsid w:val="00052901"/>
    <w:rsid w:val="00052981"/>
    <w:rsid w:val="00052FE2"/>
    <w:rsid w:val="0005335F"/>
    <w:rsid w:val="000537A4"/>
    <w:rsid w:val="00054081"/>
    <w:rsid w:val="00054323"/>
    <w:rsid w:val="00054818"/>
    <w:rsid w:val="0005499B"/>
    <w:rsid w:val="00054B49"/>
    <w:rsid w:val="00054EF7"/>
    <w:rsid w:val="00055094"/>
    <w:rsid w:val="00055143"/>
    <w:rsid w:val="00055198"/>
    <w:rsid w:val="00055356"/>
    <w:rsid w:val="0005547D"/>
    <w:rsid w:val="00055ACD"/>
    <w:rsid w:val="00055FAD"/>
    <w:rsid w:val="000562AC"/>
    <w:rsid w:val="00056B97"/>
    <w:rsid w:val="00056C91"/>
    <w:rsid w:val="00056F27"/>
    <w:rsid w:val="0005730E"/>
    <w:rsid w:val="000573AF"/>
    <w:rsid w:val="00057A15"/>
    <w:rsid w:val="000604B9"/>
    <w:rsid w:val="00060ACB"/>
    <w:rsid w:val="00060AE5"/>
    <w:rsid w:val="00060DAB"/>
    <w:rsid w:val="00061042"/>
    <w:rsid w:val="0006169E"/>
    <w:rsid w:val="000619CB"/>
    <w:rsid w:val="00062333"/>
    <w:rsid w:val="000626FD"/>
    <w:rsid w:val="00063415"/>
    <w:rsid w:val="000635D0"/>
    <w:rsid w:val="000636C3"/>
    <w:rsid w:val="00063A2F"/>
    <w:rsid w:val="00063B68"/>
    <w:rsid w:val="0006432B"/>
    <w:rsid w:val="00064567"/>
    <w:rsid w:val="000646CA"/>
    <w:rsid w:val="000646E3"/>
    <w:rsid w:val="000646E4"/>
    <w:rsid w:val="000653D4"/>
    <w:rsid w:val="0006554D"/>
    <w:rsid w:val="00065EDB"/>
    <w:rsid w:val="000661B3"/>
    <w:rsid w:val="000661FC"/>
    <w:rsid w:val="000663A5"/>
    <w:rsid w:val="000664D1"/>
    <w:rsid w:val="000668AB"/>
    <w:rsid w:val="00066DD7"/>
    <w:rsid w:val="00066E95"/>
    <w:rsid w:val="00067800"/>
    <w:rsid w:val="0006790F"/>
    <w:rsid w:val="00067E2E"/>
    <w:rsid w:val="000700BE"/>
    <w:rsid w:val="00070AAC"/>
    <w:rsid w:val="00070CC1"/>
    <w:rsid w:val="00070DCD"/>
    <w:rsid w:val="00071428"/>
    <w:rsid w:val="00071C35"/>
    <w:rsid w:val="00071E5A"/>
    <w:rsid w:val="00072039"/>
    <w:rsid w:val="0007210D"/>
    <w:rsid w:val="00072113"/>
    <w:rsid w:val="00072827"/>
    <w:rsid w:val="000728B5"/>
    <w:rsid w:val="00072986"/>
    <w:rsid w:val="00072E4E"/>
    <w:rsid w:val="00072ED0"/>
    <w:rsid w:val="0007386D"/>
    <w:rsid w:val="00073E82"/>
    <w:rsid w:val="0007449E"/>
    <w:rsid w:val="00074654"/>
    <w:rsid w:val="00074CD0"/>
    <w:rsid w:val="00075490"/>
    <w:rsid w:val="00075597"/>
    <w:rsid w:val="0007589C"/>
    <w:rsid w:val="00075F50"/>
    <w:rsid w:val="00076608"/>
    <w:rsid w:val="000768A0"/>
    <w:rsid w:val="00076A2B"/>
    <w:rsid w:val="00076AE3"/>
    <w:rsid w:val="00076B3A"/>
    <w:rsid w:val="00077136"/>
    <w:rsid w:val="00077253"/>
    <w:rsid w:val="00077564"/>
    <w:rsid w:val="00077955"/>
    <w:rsid w:val="00077A25"/>
    <w:rsid w:val="00077C53"/>
    <w:rsid w:val="00077E05"/>
    <w:rsid w:val="0008007F"/>
    <w:rsid w:val="00080163"/>
    <w:rsid w:val="00080978"/>
    <w:rsid w:val="00080CF9"/>
    <w:rsid w:val="00080D77"/>
    <w:rsid w:val="00080FF3"/>
    <w:rsid w:val="0008101E"/>
    <w:rsid w:val="00081609"/>
    <w:rsid w:val="00082011"/>
    <w:rsid w:val="0008218C"/>
    <w:rsid w:val="0008218D"/>
    <w:rsid w:val="00082B86"/>
    <w:rsid w:val="00082FC1"/>
    <w:rsid w:val="00083251"/>
    <w:rsid w:val="000832BA"/>
    <w:rsid w:val="00083362"/>
    <w:rsid w:val="000834F6"/>
    <w:rsid w:val="00083BD9"/>
    <w:rsid w:val="0008435D"/>
    <w:rsid w:val="000843FD"/>
    <w:rsid w:val="00084744"/>
    <w:rsid w:val="0008493A"/>
    <w:rsid w:val="00084C82"/>
    <w:rsid w:val="00084ED2"/>
    <w:rsid w:val="00085119"/>
    <w:rsid w:val="00085136"/>
    <w:rsid w:val="000854D9"/>
    <w:rsid w:val="0008558C"/>
    <w:rsid w:val="00085635"/>
    <w:rsid w:val="00085F13"/>
    <w:rsid w:val="0008607A"/>
    <w:rsid w:val="00086595"/>
    <w:rsid w:val="000868EC"/>
    <w:rsid w:val="00086E8B"/>
    <w:rsid w:val="00087266"/>
    <w:rsid w:val="000878AF"/>
    <w:rsid w:val="00087907"/>
    <w:rsid w:val="000903E3"/>
    <w:rsid w:val="0009044C"/>
    <w:rsid w:val="00090993"/>
    <w:rsid w:val="000909ED"/>
    <w:rsid w:val="00090AF5"/>
    <w:rsid w:val="00090B0C"/>
    <w:rsid w:val="00090FC9"/>
    <w:rsid w:val="000911CD"/>
    <w:rsid w:val="00091543"/>
    <w:rsid w:val="000917B7"/>
    <w:rsid w:val="000927DE"/>
    <w:rsid w:val="00092942"/>
    <w:rsid w:val="00092BCF"/>
    <w:rsid w:val="00092C86"/>
    <w:rsid w:val="0009352E"/>
    <w:rsid w:val="00093665"/>
    <w:rsid w:val="00093B9B"/>
    <w:rsid w:val="000944EC"/>
    <w:rsid w:val="0009498D"/>
    <w:rsid w:val="00095099"/>
    <w:rsid w:val="00095734"/>
    <w:rsid w:val="00095A19"/>
    <w:rsid w:val="00095C62"/>
    <w:rsid w:val="0009600B"/>
    <w:rsid w:val="00096484"/>
    <w:rsid w:val="00096731"/>
    <w:rsid w:val="0009681A"/>
    <w:rsid w:val="00097771"/>
    <w:rsid w:val="00097A01"/>
    <w:rsid w:val="00097FE7"/>
    <w:rsid w:val="000A0353"/>
    <w:rsid w:val="000A10AE"/>
    <w:rsid w:val="000A1157"/>
    <w:rsid w:val="000A12C4"/>
    <w:rsid w:val="000A194B"/>
    <w:rsid w:val="000A1A10"/>
    <w:rsid w:val="000A1AAC"/>
    <w:rsid w:val="000A1BCF"/>
    <w:rsid w:val="000A1E2D"/>
    <w:rsid w:val="000A1F42"/>
    <w:rsid w:val="000A2027"/>
    <w:rsid w:val="000A207B"/>
    <w:rsid w:val="000A21D8"/>
    <w:rsid w:val="000A24DA"/>
    <w:rsid w:val="000A2561"/>
    <w:rsid w:val="000A28D4"/>
    <w:rsid w:val="000A2EB4"/>
    <w:rsid w:val="000A31A7"/>
    <w:rsid w:val="000A3709"/>
    <w:rsid w:val="000A3792"/>
    <w:rsid w:val="000A38EE"/>
    <w:rsid w:val="000A3B68"/>
    <w:rsid w:val="000A3DA3"/>
    <w:rsid w:val="000A4516"/>
    <w:rsid w:val="000A4903"/>
    <w:rsid w:val="000A4EC3"/>
    <w:rsid w:val="000A61BB"/>
    <w:rsid w:val="000A63C6"/>
    <w:rsid w:val="000A6882"/>
    <w:rsid w:val="000A6D79"/>
    <w:rsid w:val="000A75A9"/>
    <w:rsid w:val="000A7921"/>
    <w:rsid w:val="000A7B50"/>
    <w:rsid w:val="000A7CD0"/>
    <w:rsid w:val="000A7CF1"/>
    <w:rsid w:val="000A7D85"/>
    <w:rsid w:val="000B02D2"/>
    <w:rsid w:val="000B051F"/>
    <w:rsid w:val="000B0BD0"/>
    <w:rsid w:val="000B10B0"/>
    <w:rsid w:val="000B14DB"/>
    <w:rsid w:val="000B1B73"/>
    <w:rsid w:val="000B1BE5"/>
    <w:rsid w:val="000B2170"/>
    <w:rsid w:val="000B22DF"/>
    <w:rsid w:val="000B2819"/>
    <w:rsid w:val="000B2840"/>
    <w:rsid w:val="000B35D6"/>
    <w:rsid w:val="000B3FD3"/>
    <w:rsid w:val="000B4164"/>
    <w:rsid w:val="000B423A"/>
    <w:rsid w:val="000B4387"/>
    <w:rsid w:val="000B4630"/>
    <w:rsid w:val="000B48C2"/>
    <w:rsid w:val="000B497F"/>
    <w:rsid w:val="000B4E6C"/>
    <w:rsid w:val="000B53D8"/>
    <w:rsid w:val="000B5819"/>
    <w:rsid w:val="000B5E7C"/>
    <w:rsid w:val="000B635E"/>
    <w:rsid w:val="000B64DA"/>
    <w:rsid w:val="000B6895"/>
    <w:rsid w:val="000B69D1"/>
    <w:rsid w:val="000B6A23"/>
    <w:rsid w:val="000B700B"/>
    <w:rsid w:val="000B705B"/>
    <w:rsid w:val="000B70A6"/>
    <w:rsid w:val="000B710D"/>
    <w:rsid w:val="000B7541"/>
    <w:rsid w:val="000B7558"/>
    <w:rsid w:val="000B7919"/>
    <w:rsid w:val="000C04DC"/>
    <w:rsid w:val="000C06A0"/>
    <w:rsid w:val="000C0803"/>
    <w:rsid w:val="000C0A39"/>
    <w:rsid w:val="000C0D98"/>
    <w:rsid w:val="000C13AC"/>
    <w:rsid w:val="000C198D"/>
    <w:rsid w:val="000C1B19"/>
    <w:rsid w:val="000C1D1A"/>
    <w:rsid w:val="000C22EA"/>
    <w:rsid w:val="000C2E22"/>
    <w:rsid w:val="000C3182"/>
    <w:rsid w:val="000C337A"/>
    <w:rsid w:val="000C3717"/>
    <w:rsid w:val="000C37A9"/>
    <w:rsid w:val="000C4591"/>
    <w:rsid w:val="000C49D3"/>
    <w:rsid w:val="000C4F3F"/>
    <w:rsid w:val="000C5264"/>
    <w:rsid w:val="000C526E"/>
    <w:rsid w:val="000C5677"/>
    <w:rsid w:val="000C573A"/>
    <w:rsid w:val="000C589A"/>
    <w:rsid w:val="000C5F03"/>
    <w:rsid w:val="000C609C"/>
    <w:rsid w:val="000C64D9"/>
    <w:rsid w:val="000C64FD"/>
    <w:rsid w:val="000C6A2A"/>
    <w:rsid w:val="000C6EA9"/>
    <w:rsid w:val="000C72B5"/>
    <w:rsid w:val="000C768C"/>
    <w:rsid w:val="000C76AB"/>
    <w:rsid w:val="000C7A6B"/>
    <w:rsid w:val="000C7BC9"/>
    <w:rsid w:val="000C7CFA"/>
    <w:rsid w:val="000C7FB8"/>
    <w:rsid w:val="000D0315"/>
    <w:rsid w:val="000D040F"/>
    <w:rsid w:val="000D04C8"/>
    <w:rsid w:val="000D0649"/>
    <w:rsid w:val="000D08C6"/>
    <w:rsid w:val="000D0CEE"/>
    <w:rsid w:val="000D0EF0"/>
    <w:rsid w:val="000D102B"/>
    <w:rsid w:val="000D10F6"/>
    <w:rsid w:val="000D1209"/>
    <w:rsid w:val="000D13B4"/>
    <w:rsid w:val="000D143D"/>
    <w:rsid w:val="000D2277"/>
    <w:rsid w:val="000D2348"/>
    <w:rsid w:val="000D25E6"/>
    <w:rsid w:val="000D2BDF"/>
    <w:rsid w:val="000D2CDE"/>
    <w:rsid w:val="000D31E9"/>
    <w:rsid w:val="000D32E7"/>
    <w:rsid w:val="000D3360"/>
    <w:rsid w:val="000D346C"/>
    <w:rsid w:val="000D38FD"/>
    <w:rsid w:val="000D3A1A"/>
    <w:rsid w:val="000D3DAE"/>
    <w:rsid w:val="000D3ED1"/>
    <w:rsid w:val="000D3F5A"/>
    <w:rsid w:val="000D3F78"/>
    <w:rsid w:val="000D3FA3"/>
    <w:rsid w:val="000D4BAD"/>
    <w:rsid w:val="000D4F71"/>
    <w:rsid w:val="000D509C"/>
    <w:rsid w:val="000D53C8"/>
    <w:rsid w:val="000D553C"/>
    <w:rsid w:val="000D55D5"/>
    <w:rsid w:val="000D5878"/>
    <w:rsid w:val="000D5923"/>
    <w:rsid w:val="000D5F2E"/>
    <w:rsid w:val="000D61E5"/>
    <w:rsid w:val="000D631F"/>
    <w:rsid w:val="000D6320"/>
    <w:rsid w:val="000D6358"/>
    <w:rsid w:val="000D66D6"/>
    <w:rsid w:val="000D6AE7"/>
    <w:rsid w:val="000D710A"/>
    <w:rsid w:val="000D76FF"/>
    <w:rsid w:val="000D7D2E"/>
    <w:rsid w:val="000E00A8"/>
    <w:rsid w:val="000E04CC"/>
    <w:rsid w:val="000E11EB"/>
    <w:rsid w:val="000E138F"/>
    <w:rsid w:val="000E1462"/>
    <w:rsid w:val="000E1A03"/>
    <w:rsid w:val="000E1C78"/>
    <w:rsid w:val="000E1D57"/>
    <w:rsid w:val="000E1E09"/>
    <w:rsid w:val="000E2240"/>
    <w:rsid w:val="000E25BD"/>
    <w:rsid w:val="000E2704"/>
    <w:rsid w:val="000E270E"/>
    <w:rsid w:val="000E2835"/>
    <w:rsid w:val="000E29A2"/>
    <w:rsid w:val="000E313A"/>
    <w:rsid w:val="000E3325"/>
    <w:rsid w:val="000E3872"/>
    <w:rsid w:val="000E405C"/>
    <w:rsid w:val="000E4218"/>
    <w:rsid w:val="000E45AE"/>
    <w:rsid w:val="000E483A"/>
    <w:rsid w:val="000E4B37"/>
    <w:rsid w:val="000E4DF2"/>
    <w:rsid w:val="000E555D"/>
    <w:rsid w:val="000E570A"/>
    <w:rsid w:val="000E65F7"/>
    <w:rsid w:val="000E6B2C"/>
    <w:rsid w:val="000E76FE"/>
    <w:rsid w:val="000E7A6F"/>
    <w:rsid w:val="000E7E0F"/>
    <w:rsid w:val="000E7FAC"/>
    <w:rsid w:val="000F017F"/>
    <w:rsid w:val="000F05D2"/>
    <w:rsid w:val="000F0E40"/>
    <w:rsid w:val="000F0EBD"/>
    <w:rsid w:val="000F1345"/>
    <w:rsid w:val="000F16F4"/>
    <w:rsid w:val="000F1738"/>
    <w:rsid w:val="000F1C8C"/>
    <w:rsid w:val="000F22EE"/>
    <w:rsid w:val="000F29C3"/>
    <w:rsid w:val="000F2CC1"/>
    <w:rsid w:val="000F2DEA"/>
    <w:rsid w:val="000F2F52"/>
    <w:rsid w:val="000F2FB2"/>
    <w:rsid w:val="000F3365"/>
    <w:rsid w:val="000F3AEC"/>
    <w:rsid w:val="000F3B18"/>
    <w:rsid w:val="000F3B51"/>
    <w:rsid w:val="000F3BB3"/>
    <w:rsid w:val="000F3F34"/>
    <w:rsid w:val="000F3FAE"/>
    <w:rsid w:val="000F4133"/>
    <w:rsid w:val="000F4373"/>
    <w:rsid w:val="000F444F"/>
    <w:rsid w:val="000F489D"/>
    <w:rsid w:val="000F4A31"/>
    <w:rsid w:val="000F4A47"/>
    <w:rsid w:val="000F514D"/>
    <w:rsid w:val="000F5266"/>
    <w:rsid w:val="000F5677"/>
    <w:rsid w:val="000F5F02"/>
    <w:rsid w:val="000F66AF"/>
    <w:rsid w:val="000F692C"/>
    <w:rsid w:val="000F71AA"/>
    <w:rsid w:val="000F71FE"/>
    <w:rsid w:val="000F72A9"/>
    <w:rsid w:val="000F74E8"/>
    <w:rsid w:val="000F7DB3"/>
    <w:rsid w:val="000F7DB9"/>
    <w:rsid w:val="000F7EAD"/>
    <w:rsid w:val="00100080"/>
    <w:rsid w:val="001001B9"/>
    <w:rsid w:val="001003AA"/>
    <w:rsid w:val="00100F0B"/>
    <w:rsid w:val="001017A1"/>
    <w:rsid w:val="001019CC"/>
    <w:rsid w:val="00101A31"/>
    <w:rsid w:val="00101A58"/>
    <w:rsid w:val="00101AAF"/>
    <w:rsid w:val="00101E5D"/>
    <w:rsid w:val="00101EEA"/>
    <w:rsid w:val="00101F7F"/>
    <w:rsid w:val="00102254"/>
    <w:rsid w:val="00102E06"/>
    <w:rsid w:val="001035F8"/>
    <w:rsid w:val="00103AC8"/>
    <w:rsid w:val="00103B37"/>
    <w:rsid w:val="00104071"/>
    <w:rsid w:val="001040EC"/>
    <w:rsid w:val="00104375"/>
    <w:rsid w:val="001048E3"/>
    <w:rsid w:val="00104FA4"/>
    <w:rsid w:val="00106001"/>
    <w:rsid w:val="00106139"/>
    <w:rsid w:val="001064D9"/>
    <w:rsid w:val="001065F1"/>
    <w:rsid w:val="0010676E"/>
    <w:rsid w:val="001069A1"/>
    <w:rsid w:val="00106EDE"/>
    <w:rsid w:val="0010702C"/>
    <w:rsid w:val="001075E6"/>
    <w:rsid w:val="00107D7A"/>
    <w:rsid w:val="00107D8A"/>
    <w:rsid w:val="001102CF"/>
    <w:rsid w:val="001104CD"/>
    <w:rsid w:val="00110946"/>
    <w:rsid w:val="00110970"/>
    <w:rsid w:val="00110989"/>
    <w:rsid w:val="00110F21"/>
    <w:rsid w:val="0011131A"/>
    <w:rsid w:val="0011147F"/>
    <w:rsid w:val="00111568"/>
    <w:rsid w:val="001120C0"/>
    <w:rsid w:val="001121DC"/>
    <w:rsid w:val="00112554"/>
    <w:rsid w:val="00112589"/>
    <w:rsid w:val="0011262E"/>
    <w:rsid w:val="0011299F"/>
    <w:rsid w:val="00112B16"/>
    <w:rsid w:val="00113885"/>
    <w:rsid w:val="00114208"/>
    <w:rsid w:val="0011437D"/>
    <w:rsid w:val="0011441E"/>
    <w:rsid w:val="001147AE"/>
    <w:rsid w:val="00114818"/>
    <w:rsid w:val="00114819"/>
    <w:rsid w:val="00114BB1"/>
    <w:rsid w:val="00115083"/>
    <w:rsid w:val="001150BF"/>
    <w:rsid w:val="00115243"/>
    <w:rsid w:val="001153E3"/>
    <w:rsid w:val="0011549D"/>
    <w:rsid w:val="0011551A"/>
    <w:rsid w:val="001158B8"/>
    <w:rsid w:val="00115BA9"/>
    <w:rsid w:val="00115EB0"/>
    <w:rsid w:val="001163CE"/>
    <w:rsid w:val="001168F2"/>
    <w:rsid w:val="00116A92"/>
    <w:rsid w:val="001178FA"/>
    <w:rsid w:val="001200EC"/>
    <w:rsid w:val="00120207"/>
    <w:rsid w:val="001203F6"/>
    <w:rsid w:val="0012054B"/>
    <w:rsid w:val="001205A9"/>
    <w:rsid w:val="0012098A"/>
    <w:rsid w:val="001216F3"/>
    <w:rsid w:val="001218D6"/>
    <w:rsid w:val="00121E0C"/>
    <w:rsid w:val="00121EEB"/>
    <w:rsid w:val="001220B3"/>
    <w:rsid w:val="001221EB"/>
    <w:rsid w:val="00122328"/>
    <w:rsid w:val="001234DF"/>
    <w:rsid w:val="001237F2"/>
    <w:rsid w:val="00123C1B"/>
    <w:rsid w:val="0012463E"/>
    <w:rsid w:val="00124D34"/>
    <w:rsid w:val="001250D6"/>
    <w:rsid w:val="001256DC"/>
    <w:rsid w:val="00125E3C"/>
    <w:rsid w:val="001264CE"/>
    <w:rsid w:val="00126529"/>
    <w:rsid w:val="00126DFD"/>
    <w:rsid w:val="00126E26"/>
    <w:rsid w:val="00127CBC"/>
    <w:rsid w:val="001302BF"/>
    <w:rsid w:val="001303C6"/>
    <w:rsid w:val="00130466"/>
    <w:rsid w:val="0013060A"/>
    <w:rsid w:val="00130BEE"/>
    <w:rsid w:val="00130CDE"/>
    <w:rsid w:val="00131003"/>
    <w:rsid w:val="0013109A"/>
    <w:rsid w:val="00131187"/>
    <w:rsid w:val="001311AF"/>
    <w:rsid w:val="00131679"/>
    <w:rsid w:val="001316D8"/>
    <w:rsid w:val="00131861"/>
    <w:rsid w:val="00131EF6"/>
    <w:rsid w:val="00132172"/>
    <w:rsid w:val="001324F8"/>
    <w:rsid w:val="001325C2"/>
    <w:rsid w:val="001329FA"/>
    <w:rsid w:val="00132F9E"/>
    <w:rsid w:val="0013315C"/>
    <w:rsid w:val="00133331"/>
    <w:rsid w:val="001338B4"/>
    <w:rsid w:val="00133E7E"/>
    <w:rsid w:val="00133F72"/>
    <w:rsid w:val="001343D4"/>
    <w:rsid w:val="0013456F"/>
    <w:rsid w:val="001345E1"/>
    <w:rsid w:val="001345E5"/>
    <w:rsid w:val="00134AAE"/>
    <w:rsid w:val="00135626"/>
    <w:rsid w:val="00136651"/>
    <w:rsid w:val="001368A9"/>
    <w:rsid w:val="001370FA"/>
    <w:rsid w:val="0013739A"/>
    <w:rsid w:val="0013764D"/>
    <w:rsid w:val="00137918"/>
    <w:rsid w:val="00137A1A"/>
    <w:rsid w:val="00137C2A"/>
    <w:rsid w:val="00140279"/>
    <w:rsid w:val="0014037F"/>
    <w:rsid w:val="001403CE"/>
    <w:rsid w:val="001408BC"/>
    <w:rsid w:val="00140D2C"/>
    <w:rsid w:val="00140E43"/>
    <w:rsid w:val="00141139"/>
    <w:rsid w:val="0014136D"/>
    <w:rsid w:val="001414CE"/>
    <w:rsid w:val="0014195A"/>
    <w:rsid w:val="00142072"/>
    <w:rsid w:val="001420CC"/>
    <w:rsid w:val="00142A81"/>
    <w:rsid w:val="00142C85"/>
    <w:rsid w:val="00142F72"/>
    <w:rsid w:val="00143520"/>
    <w:rsid w:val="00143665"/>
    <w:rsid w:val="00143828"/>
    <w:rsid w:val="00143BAF"/>
    <w:rsid w:val="00143FCB"/>
    <w:rsid w:val="00143FE7"/>
    <w:rsid w:val="00144221"/>
    <w:rsid w:val="001443DC"/>
    <w:rsid w:val="001447CD"/>
    <w:rsid w:val="001447DE"/>
    <w:rsid w:val="00144C44"/>
    <w:rsid w:val="00144FEF"/>
    <w:rsid w:val="001451E0"/>
    <w:rsid w:val="001453A6"/>
    <w:rsid w:val="00145627"/>
    <w:rsid w:val="00145F62"/>
    <w:rsid w:val="001460B6"/>
    <w:rsid w:val="001462E9"/>
    <w:rsid w:val="00146598"/>
    <w:rsid w:val="00146825"/>
    <w:rsid w:val="00146A41"/>
    <w:rsid w:val="00146DED"/>
    <w:rsid w:val="00147071"/>
    <w:rsid w:val="00147137"/>
    <w:rsid w:val="001471C9"/>
    <w:rsid w:val="00147846"/>
    <w:rsid w:val="00147FB3"/>
    <w:rsid w:val="00150167"/>
    <w:rsid w:val="0015031C"/>
    <w:rsid w:val="00150F78"/>
    <w:rsid w:val="0015105B"/>
    <w:rsid w:val="001510F1"/>
    <w:rsid w:val="001511C2"/>
    <w:rsid w:val="001513EB"/>
    <w:rsid w:val="00151679"/>
    <w:rsid w:val="0015173B"/>
    <w:rsid w:val="00151D1D"/>
    <w:rsid w:val="00151F5B"/>
    <w:rsid w:val="00151F78"/>
    <w:rsid w:val="0015227E"/>
    <w:rsid w:val="00153022"/>
    <w:rsid w:val="0015318E"/>
    <w:rsid w:val="0015328A"/>
    <w:rsid w:val="00153365"/>
    <w:rsid w:val="00153527"/>
    <w:rsid w:val="00153ABE"/>
    <w:rsid w:val="00153C0E"/>
    <w:rsid w:val="00154114"/>
    <w:rsid w:val="00154573"/>
    <w:rsid w:val="001547F4"/>
    <w:rsid w:val="0015481A"/>
    <w:rsid w:val="00154F92"/>
    <w:rsid w:val="00155371"/>
    <w:rsid w:val="00155931"/>
    <w:rsid w:val="00156637"/>
    <w:rsid w:val="001567C5"/>
    <w:rsid w:val="00156C8D"/>
    <w:rsid w:val="00156CD8"/>
    <w:rsid w:val="00156CF1"/>
    <w:rsid w:val="00156D09"/>
    <w:rsid w:val="00156F21"/>
    <w:rsid w:val="00157674"/>
    <w:rsid w:val="00157CE5"/>
    <w:rsid w:val="0016026C"/>
    <w:rsid w:val="001605F5"/>
    <w:rsid w:val="0016086E"/>
    <w:rsid w:val="00160AD8"/>
    <w:rsid w:val="00160B3B"/>
    <w:rsid w:val="00160DF5"/>
    <w:rsid w:val="0016107F"/>
    <w:rsid w:val="001610C4"/>
    <w:rsid w:val="00161B26"/>
    <w:rsid w:val="00161D5A"/>
    <w:rsid w:val="001620BC"/>
    <w:rsid w:val="0016210C"/>
    <w:rsid w:val="0016237A"/>
    <w:rsid w:val="00162EB0"/>
    <w:rsid w:val="001632F5"/>
    <w:rsid w:val="0016394F"/>
    <w:rsid w:val="00163B44"/>
    <w:rsid w:val="00163D92"/>
    <w:rsid w:val="00164135"/>
    <w:rsid w:val="00164144"/>
    <w:rsid w:val="0016421C"/>
    <w:rsid w:val="00164DCC"/>
    <w:rsid w:val="00164E2B"/>
    <w:rsid w:val="00165151"/>
    <w:rsid w:val="0016523A"/>
    <w:rsid w:val="00165F8E"/>
    <w:rsid w:val="001663E9"/>
    <w:rsid w:val="001664C0"/>
    <w:rsid w:val="00166671"/>
    <w:rsid w:val="001666D6"/>
    <w:rsid w:val="00166B90"/>
    <w:rsid w:val="00166C08"/>
    <w:rsid w:val="00166F73"/>
    <w:rsid w:val="00167449"/>
    <w:rsid w:val="00167C4D"/>
    <w:rsid w:val="00170274"/>
    <w:rsid w:val="001703C4"/>
    <w:rsid w:val="0017052D"/>
    <w:rsid w:val="00170707"/>
    <w:rsid w:val="001708DE"/>
    <w:rsid w:val="001710E7"/>
    <w:rsid w:val="00171255"/>
    <w:rsid w:val="001716B9"/>
    <w:rsid w:val="001717E2"/>
    <w:rsid w:val="001717FF"/>
    <w:rsid w:val="00171C8A"/>
    <w:rsid w:val="00172061"/>
    <w:rsid w:val="001726A7"/>
    <w:rsid w:val="00172ADE"/>
    <w:rsid w:val="00172F86"/>
    <w:rsid w:val="001731CE"/>
    <w:rsid w:val="00173230"/>
    <w:rsid w:val="00173403"/>
    <w:rsid w:val="00173442"/>
    <w:rsid w:val="001736C0"/>
    <w:rsid w:val="00173BB8"/>
    <w:rsid w:val="00173F13"/>
    <w:rsid w:val="00174530"/>
    <w:rsid w:val="00174F9D"/>
    <w:rsid w:val="00175438"/>
    <w:rsid w:val="00175703"/>
    <w:rsid w:val="00175885"/>
    <w:rsid w:val="001758DE"/>
    <w:rsid w:val="00176333"/>
    <w:rsid w:val="00176AC0"/>
    <w:rsid w:val="00176ADE"/>
    <w:rsid w:val="00176D25"/>
    <w:rsid w:val="00177569"/>
    <w:rsid w:val="00177583"/>
    <w:rsid w:val="001777DF"/>
    <w:rsid w:val="00177FB8"/>
    <w:rsid w:val="00180307"/>
    <w:rsid w:val="001804B5"/>
    <w:rsid w:val="001808B1"/>
    <w:rsid w:val="00180AC5"/>
    <w:rsid w:val="00180B1D"/>
    <w:rsid w:val="00180B33"/>
    <w:rsid w:val="00180B7F"/>
    <w:rsid w:val="00181712"/>
    <w:rsid w:val="00181BB2"/>
    <w:rsid w:val="00181FBB"/>
    <w:rsid w:val="001823F1"/>
    <w:rsid w:val="00182497"/>
    <w:rsid w:val="00182501"/>
    <w:rsid w:val="00182A41"/>
    <w:rsid w:val="00182DE4"/>
    <w:rsid w:val="0018342E"/>
    <w:rsid w:val="001835E6"/>
    <w:rsid w:val="00183E12"/>
    <w:rsid w:val="00183E8F"/>
    <w:rsid w:val="001840C2"/>
    <w:rsid w:val="0018436D"/>
    <w:rsid w:val="001843E3"/>
    <w:rsid w:val="001846E9"/>
    <w:rsid w:val="00184B46"/>
    <w:rsid w:val="00185165"/>
    <w:rsid w:val="001854C7"/>
    <w:rsid w:val="001856E3"/>
    <w:rsid w:val="00185939"/>
    <w:rsid w:val="00185E07"/>
    <w:rsid w:val="0018615A"/>
    <w:rsid w:val="00186F30"/>
    <w:rsid w:val="0018733B"/>
    <w:rsid w:val="0018762E"/>
    <w:rsid w:val="001876F6"/>
    <w:rsid w:val="00187A5C"/>
    <w:rsid w:val="00187DC3"/>
    <w:rsid w:val="00187E0F"/>
    <w:rsid w:val="001907F0"/>
    <w:rsid w:val="00191E23"/>
    <w:rsid w:val="00192BEE"/>
    <w:rsid w:val="00192D17"/>
    <w:rsid w:val="00192E43"/>
    <w:rsid w:val="0019316B"/>
    <w:rsid w:val="00193B04"/>
    <w:rsid w:val="00193B86"/>
    <w:rsid w:val="00193DE1"/>
    <w:rsid w:val="00193EB3"/>
    <w:rsid w:val="00194211"/>
    <w:rsid w:val="001942BE"/>
    <w:rsid w:val="00194960"/>
    <w:rsid w:val="001952CD"/>
    <w:rsid w:val="001953B1"/>
    <w:rsid w:val="00195ABA"/>
    <w:rsid w:val="00195CD2"/>
    <w:rsid w:val="001960D1"/>
    <w:rsid w:val="00196253"/>
    <w:rsid w:val="00196301"/>
    <w:rsid w:val="001963C0"/>
    <w:rsid w:val="0019642B"/>
    <w:rsid w:val="00196592"/>
    <w:rsid w:val="00196898"/>
    <w:rsid w:val="00196C12"/>
    <w:rsid w:val="00196D5E"/>
    <w:rsid w:val="00197092"/>
    <w:rsid w:val="001971B9"/>
    <w:rsid w:val="00197844"/>
    <w:rsid w:val="00197956"/>
    <w:rsid w:val="001A02B0"/>
    <w:rsid w:val="001A0310"/>
    <w:rsid w:val="001A04D7"/>
    <w:rsid w:val="001A185E"/>
    <w:rsid w:val="001A1C22"/>
    <w:rsid w:val="001A222D"/>
    <w:rsid w:val="001A2460"/>
    <w:rsid w:val="001A292E"/>
    <w:rsid w:val="001A2991"/>
    <w:rsid w:val="001A2EE6"/>
    <w:rsid w:val="001A3506"/>
    <w:rsid w:val="001A371E"/>
    <w:rsid w:val="001A4047"/>
    <w:rsid w:val="001A409D"/>
    <w:rsid w:val="001A446E"/>
    <w:rsid w:val="001A48A8"/>
    <w:rsid w:val="001A4ED3"/>
    <w:rsid w:val="001A52D3"/>
    <w:rsid w:val="001A5A4A"/>
    <w:rsid w:val="001A5B15"/>
    <w:rsid w:val="001A5C23"/>
    <w:rsid w:val="001A5F1A"/>
    <w:rsid w:val="001A61AD"/>
    <w:rsid w:val="001A6240"/>
    <w:rsid w:val="001A6669"/>
    <w:rsid w:val="001A66B3"/>
    <w:rsid w:val="001A6A73"/>
    <w:rsid w:val="001A6AAB"/>
    <w:rsid w:val="001A6CF6"/>
    <w:rsid w:val="001A6F4D"/>
    <w:rsid w:val="001A716D"/>
    <w:rsid w:val="001A76BE"/>
    <w:rsid w:val="001A7728"/>
    <w:rsid w:val="001A7869"/>
    <w:rsid w:val="001A7CE8"/>
    <w:rsid w:val="001B1115"/>
    <w:rsid w:val="001B1676"/>
    <w:rsid w:val="001B17A8"/>
    <w:rsid w:val="001B1A18"/>
    <w:rsid w:val="001B1AEB"/>
    <w:rsid w:val="001B1E92"/>
    <w:rsid w:val="001B2062"/>
    <w:rsid w:val="001B2DB4"/>
    <w:rsid w:val="001B3725"/>
    <w:rsid w:val="001B391D"/>
    <w:rsid w:val="001B3B4E"/>
    <w:rsid w:val="001B4154"/>
    <w:rsid w:val="001B41F4"/>
    <w:rsid w:val="001B47E1"/>
    <w:rsid w:val="001B4A76"/>
    <w:rsid w:val="001B4CA1"/>
    <w:rsid w:val="001B4E8A"/>
    <w:rsid w:val="001B55C8"/>
    <w:rsid w:val="001B5964"/>
    <w:rsid w:val="001B6389"/>
    <w:rsid w:val="001B63C6"/>
    <w:rsid w:val="001B63CA"/>
    <w:rsid w:val="001B67AD"/>
    <w:rsid w:val="001B68ED"/>
    <w:rsid w:val="001B6A5C"/>
    <w:rsid w:val="001B6BBB"/>
    <w:rsid w:val="001B6DE2"/>
    <w:rsid w:val="001B73E5"/>
    <w:rsid w:val="001C00F4"/>
    <w:rsid w:val="001C0D72"/>
    <w:rsid w:val="001C143D"/>
    <w:rsid w:val="001C1A83"/>
    <w:rsid w:val="001C1B29"/>
    <w:rsid w:val="001C24AA"/>
    <w:rsid w:val="001C27CA"/>
    <w:rsid w:val="001C2838"/>
    <w:rsid w:val="001C2F4B"/>
    <w:rsid w:val="001C2FA0"/>
    <w:rsid w:val="001C3600"/>
    <w:rsid w:val="001C374A"/>
    <w:rsid w:val="001C394E"/>
    <w:rsid w:val="001C3E68"/>
    <w:rsid w:val="001C44DA"/>
    <w:rsid w:val="001C4564"/>
    <w:rsid w:val="001C48D4"/>
    <w:rsid w:val="001C4CC1"/>
    <w:rsid w:val="001C6034"/>
    <w:rsid w:val="001C6492"/>
    <w:rsid w:val="001C67C9"/>
    <w:rsid w:val="001C67E7"/>
    <w:rsid w:val="001C6D29"/>
    <w:rsid w:val="001C74B1"/>
    <w:rsid w:val="001C7642"/>
    <w:rsid w:val="001C78BA"/>
    <w:rsid w:val="001C7BBB"/>
    <w:rsid w:val="001C7BBC"/>
    <w:rsid w:val="001C7C93"/>
    <w:rsid w:val="001C7F62"/>
    <w:rsid w:val="001D0151"/>
    <w:rsid w:val="001D043F"/>
    <w:rsid w:val="001D0D3A"/>
    <w:rsid w:val="001D0DAD"/>
    <w:rsid w:val="001D1783"/>
    <w:rsid w:val="001D19CF"/>
    <w:rsid w:val="001D1A7F"/>
    <w:rsid w:val="001D1C05"/>
    <w:rsid w:val="001D1CC8"/>
    <w:rsid w:val="001D2381"/>
    <w:rsid w:val="001D2556"/>
    <w:rsid w:val="001D2AFA"/>
    <w:rsid w:val="001D2F7A"/>
    <w:rsid w:val="001D2FB4"/>
    <w:rsid w:val="001D2FEF"/>
    <w:rsid w:val="001D3266"/>
    <w:rsid w:val="001D32FE"/>
    <w:rsid w:val="001D36CD"/>
    <w:rsid w:val="001D3893"/>
    <w:rsid w:val="001D4F49"/>
    <w:rsid w:val="001D5065"/>
    <w:rsid w:val="001D5335"/>
    <w:rsid w:val="001D5451"/>
    <w:rsid w:val="001D5E9D"/>
    <w:rsid w:val="001D604D"/>
    <w:rsid w:val="001D6789"/>
    <w:rsid w:val="001D699F"/>
    <w:rsid w:val="001D6DC8"/>
    <w:rsid w:val="001D7982"/>
    <w:rsid w:val="001D7AF3"/>
    <w:rsid w:val="001E1B08"/>
    <w:rsid w:val="001E1C0B"/>
    <w:rsid w:val="001E1D3D"/>
    <w:rsid w:val="001E1F46"/>
    <w:rsid w:val="001E2072"/>
    <w:rsid w:val="001E24AB"/>
    <w:rsid w:val="001E28AB"/>
    <w:rsid w:val="001E2AEB"/>
    <w:rsid w:val="001E2CAF"/>
    <w:rsid w:val="001E2F57"/>
    <w:rsid w:val="001E30F3"/>
    <w:rsid w:val="001E3357"/>
    <w:rsid w:val="001E34C2"/>
    <w:rsid w:val="001E377F"/>
    <w:rsid w:val="001E37D9"/>
    <w:rsid w:val="001E3A2F"/>
    <w:rsid w:val="001E3F3E"/>
    <w:rsid w:val="001E415A"/>
    <w:rsid w:val="001E43B1"/>
    <w:rsid w:val="001E4619"/>
    <w:rsid w:val="001E4703"/>
    <w:rsid w:val="001E47D1"/>
    <w:rsid w:val="001E4CA0"/>
    <w:rsid w:val="001E4D27"/>
    <w:rsid w:val="001E542B"/>
    <w:rsid w:val="001E5673"/>
    <w:rsid w:val="001E5C49"/>
    <w:rsid w:val="001E5DC8"/>
    <w:rsid w:val="001E6295"/>
    <w:rsid w:val="001E64C1"/>
    <w:rsid w:val="001E6A64"/>
    <w:rsid w:val="001E6E16"/>
    <w:rsid w:val="001E7011"/>
    <w:rsid w:val="001E75C5"/>
    <w:rsid w:val="001E79FA"/>
    <w:rsid w:val="001E7A7F"/>
    <w:rsid w:val="001E7E67"/>
    <w:rsid w:val="001F05D8"/>
    <w:rsid w:val="001F09F8"/>
    <w:rsid w:val="001F0A78"/>
    <w:rsid w:val="001F10AA"/>
    <w:rsid w:val="001F12D5"/>
    <w:rsid w:val="001F1676"/>
    <w:rsid w:val="001F17A1"/>
    <w:rsid w:val="001F1B5F"/>
    <w:rsid w:val="001F1C4B"/>
    <w:rsid w:val="001F2774"/>
    <w:rsid w:val="001F2A70"/>
    <w:rsid w:val="001F2E8B"/>
    <w:rsid w:val="001F33F4"/>
    <w:rsid w:val="001F3450"/>
    <w:rsid w:val="001F36F9"/>
    <w:rsid w:val="001F3EBE"/>
    <w:rsid w:val="001F3F2A"/>
    <w:rsid w:val="001F4344"/>
    <w:rsid w:val="001F4363"/>
    <w:rsid w:val="001F4B50"/>
    <w:rsid w:val="001F5017"/>
    <w:rsid w:val="001F50FE"/>
    <w:rsid w:val="001F5315"/>
    <w:rsid w:val="001F630D"/>
    <w:rsid w:val="001F64AE"/>
    <w:rsid w:val="001F698B"/>
    <w:rsid w:val="001F69C2"/>
    <w:rsid w:val="001F6A8F"/>
    <w:rsid w:val="001F7437"/>
    <w:rsid w:val="001F77CE"/>
    <w:rsid w:val="00200351"/>
    <w:rsid w:val="0020036B"/>
    <w:rsid w:val="00200690"/>
    <w:rsid w:val="0020096E"/>
    <w:rsid w:val="00200B50"/>
    <w:rsid w:val="00201143"/>
    <w:rsid w:val="00201361"/>
    <w:rsid w:val="00201871"/>
    <w:rsid w:val="00202309"/>
    <w:rsid w:val="00202469"/>
    <w:rsid w:val="00202E3D"/>
    <w:rsid w:val="002031EB"/>
    <w:rsid w:val="0020321E"/>
    <w:rsid w:val="00203408"/>
    <w:rsid w:val="0020385F"/>
    <w:rsid w:val="00203D8D"/>
    <w:rsid w:val="00203DD1"/>
    <w:rsid w:val="00204843"/>
    <w:rsid w:val="002048D1"/>
    <w:rsid w:val="0020497A"/>
    <w:rsid w:val="00204B2E"/>
    <w:rsid w:val="00204FBB"/>
    <w:rsid w:val="0020580A"/>
    <w:rsid w:val="00205EED"/>
    <w:rsid w:val="00205FEE"/>
    <w:rsid w:val="00206101"/>
    <w:rsid w:val="00206A6E"/>
    <w:rsid w:val="00206D11"/>
    <w:rsid w:val="00207429"/>
    <w:rsid w:val="002079CB"/>
    <w:rsid w:val="00207DD8"/>
    <w:rsid w:val="002105AB"/>
    <w:rsid w:val="002105F1"/>
    <w:rsid w:val="0021096E"/>
    <w:rsid w:val="00210DE8"/>
    <w:rsid w:val="002118AB"/>
    <w:rsid w:val="00211D73"/>
    <w:rsid w:val="00211EB9"/>
    <w:rsid w:val="00211F4D"/>
    <w:rsid w:val="0021272F"/>
    <w:rsid w:val="00212865"/>
    <w:rsid w:val="002128E6"/>
    <w:rsid w:val="00212A3E"/>
    <w:rsid w:val="00212A4E"/>
    <w:rsid w:val="00212C11"/>
    <w:rsid w:val="00212E3E"/>
    <w:rsid w:val="00213308"/>
    <w:rsid w:val="00213409"/>
    <w:rsid w:val="00213773"/>
    <w:rsid w:val="00213A3C"/>
    <w:rsid w:val="00213C4B"/>
    <w:rsid w:val="00213CB9"/>
    <w:rsid w:val="0021481E"/>
    <w:rsid w:val="00214AFF"/>
    <w:rsid w:val="00214BBB"/>
    <w:rsid w:val="00214BF2"/>
    <w:rsid w:val="0021556B"/>
    <w:rsid w:val="00215A7F"/>
    <w:rsid w:val="00215BD2"/>
    <w:rsid w:val="00216522"/>
    <w:rsid w:val="002165FC"/>
    <w:rsid w:val="002167DF"/>
    <w:rsid w:val="00216D49"/>
    <w:rsid w:val="0021714C"/>
    <w:rsid w:val="0021718E"/>
    <w:rsid w:val="002172C2"/>
    <w:rsid w:val="0021774C"/>
    <w:rsid w:val="00217B8A"/>
    <w:rsid w:val="00220017"/>
    <w:rsid w:val="0022034C"/>
    <w:rsid w:val="00220565"/>
    <w:rsid w:val="002207FE"/>
    <w:rsid w:val="0022155E"/>
    <w:rsid w:val="0022198F"/>
    <w:rsid w:val="002219EA"/>
    <w:rsid w:val="00221D19"/>
    <w:rsid w:val="00221F2C"/>
    <w:rsid w:val="0022262D"/>
    <w:rsid w:val="00222992"/>
    <w:rsid w:val="00222B6E"/>
    <w:rsid w:val="00223374"/>
    <w:rsid w:val="00223602"/>
    <w:rsid w:val="002238AF"/>
    <w:rsid w:val="00223C18"/>
    <w:rsid w:val="00223CC1"/>
    <w:rsid w:val="002248E5"/>
    <w:rsid w:val="00224C3F"/>
    <w:rsid w:val="00224CA4"/>
    <w:rsid w:val="002250BB"/>
    <w:rsid w:val="0022528F"/>
    <w:rsid w:val="002252F6"/>
    <w:rsid w:val="002256C7"/>
    <w:rsid w:val="002257C1"/>
    <w:rsid w:val="00225815"/>
    <w:rsid w:val="00225D84"/>
    <w:rsid w:val="00225F55"/>
    <w:rsid w:val="00226293"/>
    <w:rsid w:val="002265DF"/>
    <w:rsid w:val="0022666B"/>
    <w:rsid w:val="002267F5"/>
    <w:rsid w:val="00226A6A"/>
    <w:rsid w:val="00226A8D"/>
    <w:rsid w:val="00226D98"/>
    <w:rsid w:val="0022734D"/>
    <w:rsid w:val="002273CE"/>
    <w:rsid w:val="002277E0"/>
    <w:rsid w:val="002279AD"/>
    <w:rsid w:val="00227B4F"/>
    <w:rsid w:val="00227C0E"/>
    <w:rsid w:val="0023117C"/>
    <w:rsid w:val="00231E3F"/>
    <w:rsid w:val="00231EAF"/>
    <w:rsid w:val="002321D3"/>
    <w:rsid w:val="00232499"/>
    <w:rsid w:val="00232ADC"/>
    <w:rsid w:val="00232DCE"/>
    <w:rsid w:val="00233755"/>
    <w:rsid w:val="0023397B"/>
    <w:rsid w:val="002339C5"/>
    <w:rsid w:val="00233B5F"/>
    <w:rsid w:val="00233C46"/>
    <w:rsid w:val="00233C95"/>
    <w:rsid w:val="0023432C"/>
    <w:rsid w:val="0023447F"/>
    <w:rsid w:val="00234BB5"/>
    <w:rsid w:val="00234F46"/>
    <w:rsid w:val="002350B3"/>
    <w:rsid w:val="002350EE"/>
    <w:rsid w:val="00235C23"/>
    <w:rsid w:val="00236179"/>
    <w:rsid w:val="00236849"/>
    <w:rsid w:val="0023689A"/>
    <w:rsid w:val="0023693C"/>
    <w:rsid w:val="0023694B"/>
    <w:rsid w:val="00236BCB"/>
    <w:rsid w:val="002374AA"/>
    <w:rsid w:val="0023765E"/>
    <w:rsid w:val="00237748"/>
    <w:rsid w:val="0023785E"/>
    <w:rsid w:val="00237916"/>
    <w:rsid w:val="00237972"/>
    <w:rsid w:val="0023798E"/>
    <w:rsid w:val="00237FB7"/>
    <w:rsid w:val="0024006C"/>
    <w:rsid w:val="002400C7"/>
    <w:rsid w:val="00240814"/>
    <w:rsid w:val="0024082B"/>
    <w:rsid w:val="00240D0D"/>
    <w:rsid w:val="0024122D"/>
    <w:rsid w:val="00241460"/>
    <w:rsid w:val="00241696"/>
    <w:rsid w:val="00241902"/>
    <w:rsid w:val="00241EFA"/>
    <w:rsid w:val="00242196"/>
    <w:rsid w:val="00242315"/>
    <w:rsid w:val="002425E4"/>
    <w:rsid w:val="0024285B"/>
    <w:rsid w:val="00242EE4"/>
    <w:rsid w:val="002432DF"/>
    <w:rsid w:val="0024352E"/>
    <w:rsid w:val="0024392F"/>
    <w:rsid w:val="00243A34"/>
    <w:rsid w:val="00243E3D"/>
    <w:rsid w:val="00243F79"/>
    <w:rsid w:val="00244393"/>
    <w:rsid w:val="0024457E"/>
    <w:rsid w:val="0024462E"/>
    <w:rsid w:val="0024493A"/>
    <w:rsid w:val="002450FB"/>
    <w:rsid w:val="002451BD"/>
    <w:rsid w:val="002455AF"/>
    <w:rsid w:val="002457B3"/>
    <w:rsid w:val="00245809"/>
    <w:rsid w:val="00245816"/>
    <w:rsid w:val="0024582A"/>
    <w:rsid w:val="00245ACD"/>
    <w:rsid w:val="00245FC9"/>
    <w:rsid w:val="00246048"/>
    <w:rsid w:val="00246484"/>
    <w:rsid w:val="002466EB"/>
    <w:rsid w:val="00246737"/>
    <w:rsid w:val="00246839"/>
    <w:rsid w:val="00246AC2"/>
    <w:rsid w:val="00246E42"/>
    <w:rsid w:val="00246EBE"/>
    <w:rsid w:val="00246F9E"/>
    <w:rsid w:val="002474FA"/>
    <w:rsid w:val="0024753F"/>
    <w:rsid w:val="002475F6"/>
    <w:rsid w:val="00247EDA"/>
    <w:rsid w:val="00247F60"/>
    <w:rsid w:val="002501F0"/>
    <w:rsid w:val="002503B1"/>
    <w:rsid w:val="00250517"/>
    <w:rsid w:val="00250637"/>
    <w:rsid w:val="0025067C"/>
    <w:rsid w:val="0025069D"/>
    <w:rsid w:val="002509D4"/>
    <w:rsid w:val="00250AFF"/>
    <w:rsid w:val="00250D8E"/>
    <w:rsid w:val="002511A2"/>
    <w:rsid w:val="00251CF1"/>
    <w:rsid w:val="00251D87"/>
    <w:rsid w:val="00251DFF"/>
    <w:rsid w:val="00252144"/>
    <w:rsid w:val="00253493"/>
    <w:rsid w:val="002539BD"/>
    <w:rsid w:val="00253A75"/>
    <w:rsid w:val="00253B7E"/>
    <w:rsid w:val="00253BDC"/>
    <w:rsid w:val="00253DE9"/>
    <w:rsid w:val="00254132"/>
    <w:rsid w:val="00254400"/>
    <w:rsid w:val="002547C2"/>
    <w:rsid w:val="002548E8"/>
    <w:rsid w:val="002549F9"/>
    <w:rsid w:val="00254F0B"/>
    <w:rsid w:val="00254F4C"/>
    <w:rsid w:val="0025511F"/>
    <w:rsid w:val="00255182"/>
    <w:rsid w:val="0025532B"/>
    <w:rsid w:val="00255B78"/>
    <w:rsid w:val="00255CDA"/>
    <w:rsid w:val="00255EDE"/>
    <w:rsid w:val="002561F9"/>
    <w:rsid w:val="002565BD"/>
    <w:rsid w:val="0025670E"/>
    <w:rsid w:val="002567B4"/>
    <w:rsid w:val="002567CE"/>
    <w:rsid w:val="00256A02"/>
    <w:rsid w:val="00257352"/>
    <w:rsid w:val="002574D9"/>
    <w:rsid w:val="00257AFB"/>
    <w:rsid w:val="00257D36"/>
    <w:rsid w:val="00257E2C"/>
    <w:rsid w:val="00257FCC"/>
    <w:rsid w:val="0026025C"/>
    <w:rsid w:val="00260519"/>
    <w:rsid w:val="0026074F"/>
    <w:rsid w:val="00260A8C"/>
    <w:rsid w:val="00261720"/>
    <w:rsid w:val="00261802"/>
    <w:rsid w:val="00261B60"/>
    <w:rsid w:val="00261D17"/>
    <w:rsid w:val="00261DC5"/>
    <w:rsid w:val="00262271"/>
    <w:rsid w:val="002623A1"/>
    <w:rsid w:val="00262445"/>
    <w:rsid w:val="002625B9"/>
    <w:rsid w:val="0026293D"/>
    <w:rsid w:val="00262B37"/>
    <w:rsid w:val="0026357C"/>
    <w:rsid w:val="002635DC"/>
    <w:rsid w:val="00263D9B"/>
    <w:rsid w:val="00264019"/>
    <w:rsid w:val="00264022"/>
    <w:rsid w:val="00264397"/>
    <w:rsid w:val="002644F1"/>
    <w:rsid w:val="00264ACF"/>
    <w:rsid w:val="0026539B"/>
    <w:rsid w:val="00265836"/>
    <w:rsid w:val="00265982"/>
    <w:rsid w:val="00265A22"/>
    <w:rsid w:val="00265A40"/>
    <w:rsid w:val="00265DC9"/>
    <w:rsid w:val="002662C9"/>
    <w:rsid w:val="002666D6"/>
    <w:rsid w:val="00266A57"/>
    <w:rsid w:val="00267093"/>
    <w:rsid w:val="0026775B"/>
    <w:rsid w:val="00270154"/>
    <w:rsid w:val="0027086A"/>
    <w:rsid w:val="00270E0B"/>
    <w:rsid w:val="0027100C"/>
    <w:rsid w:val="0027126F"/>
    <w:rsid w:val="0027180B"/>
    <w:rsid w:val="00271F70"/>
    <w:rsid w:val="00271FE3"/>
    <w:rsid w:val="0027205E"/>
    <w:rsid w:val="00272460"/>
    <w:rsid w:val="00272724"/>
    <w:rsid w:val="00272AB3"/>
    <w:rsid w:val="00272BA2"/>
    <w:rsid w:val="00272D92"/>
    <w:rsid w:val="00272E3A"/>
    <w:rsid w:val="00273165"/>
    <w:rsid w:val="00273958"/>
    <w:rsid w:val="0027408B"/>
    <w:rsid w:val="002743BB"/>
    <w:rsid w:val="00274C18"/>
    <w:rsid w:val="00274CE8"/>
    <w:rsid w:val="00274F1C"/>
    <w:rsid w:val="0027505C"/>
    <w:rsid w:val="002750CD"/>
    <w:rsid w:val="00275109"/>
    <w:rsid w:val="002754B5"/>
    <w:rsid w:val="00275546"/>
    <w:rsid w:val="002756AD"/>
    <w:rsid w:val="0027578F"/>
    <w:rsid w:val="00275896"/>
    <w:rsid w:val="002766F9"/>
    <w:rsid w:val="00276B56"/>
    <w:rsid w:val="00277213"/>
    <w:rsid w:val="00277A2D"/>
    <w:rsid w:val="00277DFE"/>
    <w:rsid w:val="00280233"/>
    <w:rsid w:val="00280F46"/>
    <w:rsid w:val="00280FB8"/>
    <w:rsid w:val="00281215"/>
    <w:rsid w:val="002814EA"/>
    <w:rsid w:val="00281657"/>
    <w:rsid w:val="002819AB"/>
    <w:rsid w:val="002819FD"/>
    <w:rsid w:val="00281CCE"/>
    <w:rsid w:val="002820D5"/>
    <w:rsid w:val="00282BC9"/>
    <w:rsid w:val="00282CB8"/>
    <w:rsid w:val="0028320D"/>
    <w:rsid w:val="0028328F"/>
    <w:rsid w:val="00283303"/>
    <w:rsid w:val="00283417"/>
    <w:rsid w:val="0028398D"/>
    <w:rsid w:val="00285462"/>
    <w:rsid w:val="0028583A"/>
    <w:rsid w:val="0028584F"/>
    <w:rsid w:val="0028592C"/>
    <w:rsid w:val="00285CCB"/>
    <w:rsid w:val="00285E39"/>
    <w:rsid w:val="00286330"/>
    <w:rsid w:val="002863C8"/>
    <w:rsid w:val="00286A76"/>
    <w:rsid w:val="00286E2B"/>
    <w:rsid w:val="00287368"/>
    <w:rsid w:val="002873F9"/>
    <w:rsid w:val="00287873"/>
    <w:rsid w:val="002879B3"/>
    <w:rsid w:val="00287BE9"/>
    <w:rsid w:val="00287C7F"/>
    <w:rsid w:val="00287C82"/>
    <w:rsid w:val="0029016A"/>
    <w:rsid w:val="002905DA"/>
    <w:rsid w:val="002906D5"/>
    <w:rsid w:val="00290793"/>
    <w:rsid w:val="00290892"/>
    <w:rsid w:val="002908F7"/>
    <w:rsid w:val="00290BDF"/>
    <w:rsid w:val="002910CF"/>
    <w:rsid w:val="002914A7"/>
    <w:rsid w:val="002916CC"/>
    <w:rsid w:val="00291A73"/>
    <w:rsid w:val="00291CA5"/>
    <w:rsid w:val="00291D6D"/>
    <w:rsid w:val="00291FD4"/>
    <w:rsid w:val="0029260E"/>
    <w:rsid w:val="0029278C"/>
    <w:rsid w:val="00292BBE"/>
    <w:rsid w:val="00292C54"/>
    <w:rsid w:val="00292E08"/>
    <w:rsid w:val="00292E65"/>
    <w:rsid w:val="002934D8"/>
    <w:rsid w:val="00293514"/>
    <w:rsid w:val="002935D4"/>
    <w:rsid w:val="00294109"/>
    <w:rsid w:val="00294436"/>
    <w:rsid w:val="002957F4"/>
    <w:rsid w:val="0029592F"/>
    <w:rsid w:val="00295C77"/>
    <w:rsid w:val="002960B1"/>
    <w:rsid w:val="002960DC"/>
    <w:rsid w:val="0029659C"/>
    <w:rsid w:val="002968AE"/>
    <w:rsid w:val="002968F9"/>
    <w:rsid w:val="0029693F"/>
    <w:rsid w:val="0029697C"/>
    <w:rsid w:val="00297082"/>
    <w:rsid w:val="00297195"/>
    <w:rsid w:val="00297594"/>
    <w:rsid w:val="002979F1"/>
    <w:rsid w:val="00297BF9"/>
    <w:rsid w:val="002A02F2"/>
    <w:rsid w:val="002A04FB"/>
    <w:rsid w:val="002A073C"/>
    <w:rsid w:val="002A0B91"/>
    <w:rsid w:val="002A0D95"/>
    <w:rsid w:val="002A0F5C"/>
    <w:rsid w:val="002A13E1"/>
    <w:rsid w:val="002A15BE"/>
    <w:rsid w:val="002A1A8B"/>
    <w:rsid w:val="002A1BAD"/>
    <w:rsid w:val="002A1E3D"/>
    <w:rsid w:val="002A1E8B"/>
    <w:rsid w:val="002A204A"/>
    <w:rsid w:val="002A229A"/>
    <w:rsid w:val="002A2423"/>
    <w:rsid w:val="002A2E0D"/>
    <w:rsid w:val="002A3172"/>
    <w:rsid w:val="002A3248"/>
    <w:rsid w:val="002A34E6"/>
    <w:rsid w:val="002A368C"/>
    <w:rsid w:val="002A36E0"/>
    <w:rsid w:val="002A36E4"/>
    <w:rsid w:val="002A3C49"/>
    <w:rsid w:val="002A3D83"/>
    <w:rsid w:val="002A4026"/>
    <w:rsid w:val="002A4990"/>
    <w:rsid w:val="002A4B07"/>
    <w:rsid w:val="002A50A1"/>
    <w:rsid w:val="002A5689"/>
    <w:rsid w:val="002A574C"/>
    <w:rsid w:val="002A5C7E"/>
    <w:rsid w:val="002A5D43"/>
    <w:rsid w:val="002A5F54"/>
    <w:rsid w:val="002A605D"/>
    <w:rsid w:val="002A66E8"/>
    <w:rsid w:val="002A6FA5"/>
    <w:rsid w:val="002A75A8"/>
    <w:rsid w:val="002A761E"/>
    <w:rsid w:val="002A793E"/>
    <w:rsid w:val="002A7EB1"/>
    <w:rsid w:val="002A7FC3"/>
    <w:rsid w:val="002B01CC"/>
    <w:rsid w:val="002B0846"/>
    <w:rsid w:val="002B086B"/>
    <w:rsid w:val="002B0997"/>
    <w:rsid w:val="002B09E3"/>
    <w:rsid w:val="002B0CCF"/>
    <w:rsid w:val="002B0E97"/>
    <w:rsid w:val="002B1304"/>
    <w:rsid w:val="002B1438"/>
    <w:rsid w:val="002B159D"/>
    <w:rsid w:val="002B174C"/>
    <w:rsid w:val="002B187C"/>
    <w:rsid w:val="002B1F90"/>
    <w:rsid w:val="002B22BB"/>
    <w:rsid w:val="002B2665"/>
    <w:rsid w:val="002B326A"/>
    <w:rsid w:val="002B3A93"/>
    <w:rsid w:val="002B3ED0"/>
    <w:rsid w:val="002B3F88"/>
    <w:rsid w:val="002B4810"/>
    <w:rsid w:val="002B4C75"/>
    <w:rsid w:val="002B4D48"/>
    <w:rsid w:val="002B4F45"/>
    <w:rsid w:val="002B50A1"/>
    <w:rsid w:val="002B577C"/>
    <w:rsid w:val="002B5A03"/>
    <w:rsid w:val="002B5AB8"/>
    <w:rsid w:val="002B67B8"/>
    <w:rsid w:val="002B6895"/>
    <w:rsid w:val="002B6B54"/>
    <w:rsid w:val="002B710E"/>
    <w:rsid w:val="002B76B9"/>
    <w:rsid w:val="002B777D"/>
    <w:rsid w:val="002B799E"/>
    <w:rsid w:val="002C0521"/>
    <w:rsid w:val="002C0B56"/>
    <w:rsid w:val="002C1067"/>
    <w:rsid w:val="002C10B1"/>
    <w:rsid w:val="002C15ED"/>
    <w:rsid w:val="002C17CB"/>
    <w:rsid w:val="002C183C"/>
    <w:rsid w:val="002C1922"/>
    <w:rsid w:val="002C1A18"/>
    <w:rsid w:val="002C1EDE"/>
    <w:rsid w:val="002C1FBB"/>
    <w:rsid w:val="002C26CF"/>
    <w:rsid w:val="002C2C10"/>
    <w:rsid w:val="002C31B7"/>
    <w:rsid w:val="002C32AF"/>
    <w:rsid w:val="002C34EE"/>
    <w:rsid w:val="002C35F4"/>
    <w:rsid w:val="002C38A4"/>
    <w:rsid w:val="002C3B51"/>
    <w:rsid w:val="002C3BB8"/>
    <w:rsid w:val="002C3C9F"/>
    <w:rsid w:val="002C41FE"/>
    <w:rsid w:val="002C420C"/>
    <w:rsid w:val="002C483A"/>
    <w:rsid w:val="002C501B"/>
    <w:rsid w:val="002C51A9"/>
    <w:rsid w:val="002C5981"/>
    <w:rsid w:val="002C6744"/>
    <w:rsid w:val="002C6C9F"/>
    <w:rsid w:val="002C7307"/>
    <w:rsid w:val="002C7922"/>
    <w:rsid w:val="002C7BBE"/>
    <w:rsid w:val="002C7BE0"/>
    <w:rsid w:val="002C7CD5"/>
    <w:rsid w:val="002C7D4F"/>
    <w:rsid w:val="002D00EF"/>
    <w:rsid w:val="002D02AC"/>
    <w:rsid w:val="002D02EF"/>
    <w:rsid w:val="002D0410"/>
    <w:rsid w:val="002D06CF"/>
    <w:rsid w:val="002D0899"/>
    <w:rsid w:val="002D1707"/>
    <w:rsid w:val="002D17E2"/>
    <w:rsid w:val="002D1B6E"/>
    <w:rsid w:val="002D1C7D"/>
    <w:rsid w:val="002D1F2C"/>
    <w:rsid w:val="002D2085"/>
    <w:rsid w:val="002D21EA"/>
    <w:rsid w:val="002D3A45"/>
    <w:rsid w:val="002D3AE5"/>
    <w:rsid w:val="002D3E50"/>
    <w:rsid w:val="002D3F5B"/>
    <w:rsid w:val="002D4234"/>
    <w:rsid w:val="002D4338"/>
    <w:rsid w:val="002D4385"/>
    <w:rsid w:val="002D4449"/>
    <w:rsid w:val="002D460E"/>
    <w:rsid w:val="002D4ACC"/>
    <w:rsid w:val="002D4BF6"/>
    <w:rsid w:val="002D53C1"/>
    <w:rsid w:val="002D5BA8"/>
    <w:rsid w:val="002D6183"/>
    <w:rsid w:val="002D7497"/>
    <w:rsid w:val="002D78B6"/>
    <w:rsid w:val="002D79EE"/>
    <w:rsid w:val="002D7C2C"/>
    <w:rsid w:val="002D7E4E"/>
    <w:rsid w:val="002E0463"/>
    <w:rsid w:val="002E0822"/>
    <w:rsid w:val="002E0867"/>
    <w:rsid w:val="002E0AF3"/>
    <w:rsid w:val="002E0EC8"/>
    <w:rsid w:val="002E136F"/>
    <w:rsid w:val="002E1A72"/>
    <w:rsid w:val="002E1C56"/>
    <w:rsid w:val="002E1EDE"/>
    <w:rsid w:val="002E2468"/>
    <w:rsid w:val="002E272C"/>
    <w:rsid w:val="002E278F"/>
    <w:rsid w:val="002E2911"/>
    <w:rsid w:val="002E2C27"/>
    <w:rsid w:val="002E2E23"/>
    <w:rsid w:val="002E356C"/>
    <w:rsid w:val="002E3B4D"/>
    <w:rsid w:val="002E3C2F"/>
    <w:rsid w:val="002E3E99"/>
    <w:rsid w:val="002E40EF"/>
    <w:rsid w:val="002E49E1"/>
    <w:rsid w:val="002E4C10"/>
    <w:rsid w:val="002E51FA"/>
    <w:rsid w:val="002E5701"/>
    <w:rsid w:val="002E5799"/>
    <w:rsid w:val="002E5F67"/>
    <w:rsid w:val="002E64F2"/>
    <w:rsid w:val="002E6551"/>
    <w:rsid w:val="002E65E2"/>
    <w:rsid w:val="002E68BA"/>
    <w:rsid w:val="002E6A85"/>
    <w:rsid w:val="002E6C09"/>
    <w:rsid w:val="002E70ED"/>
    <w:rsid w:val="002E72D9"/>
    <w:rsid w:val="002E742E"/>
    <w:rsid w:val="002E77F4"/>
    <w:rsid w:val="002E796A"/>
    <w:rsid w:val="002E7FE3"/>
    <w:rsid w:val="002F025C"/>
    <w:rsid w:val="002F0386"/>
    <w:rsid w:val="002F0423"/>
    <w:rsid w:val="002F0522"/>
    <w:rsid w:val="002F0734"/>
    <w:rsid w:val="002F0B46"/>
    <w:rsid w:val="002F0BA7"/>
    <w:rsid w:val="002F0F71"/>
    <w:rsid w:val="002F1B76"/>
    <w:rsid w:val="002F1BE3"/>
    <w:rsid w:val="002F1EE5"/>
    <w:rsid w:val="002F257E"/>
    <w:rsid w:val="002F25F2"/>
    <w:rsid w:val="002F2B33"/>
    <w:rsid w:val="002F3E6D"/>
    <w:rsid w:val="002F3F0A"/>
    <w:rsid w:val="002F4394"/>
    <w:rsid w:val="002F45B5"/>
    <w:rsid w:val="002F45F5"/>
    <w:rsid w:val="002F4A75"/>
    <w:rsid w:val="002F5CFC"/>
    <w:rsid w:val="002F7264"/>
    <w:rsid w:val="002F745E"/>
    <w:rsid w:val="002F783C"/>
    <w:rsid w:val="002F7B24"/>
    <w:rsid w:val="0030026A"/>
    <w:rsid w:val="00300E09"/>
    <w:rsid w:val="00300FD8"/>
    <w:rsid w:val="00301066"/>
    <w:rsid w:val="00301389"/>
    <w:rsid w:val="003013FD"/>
    <w:rsid w:val="003017F7"/>
    <w:rsid w:val="00301975"/>
    <w:rsid w:val="003019CC"/>
    <w:rsid w:val="00301AC4"/>
    <w:rsid w:val="00301D8A"/>
    <w:rsid w:val="00301F9F"/>
    <w:rsid w:val="003020E7"/>
    <w:rsid w:val="003022DC"/>
    <w:rsid w:val="00302442"/>
    <w:rsid w:val="00302534"/>
    <w:rsid w:val="0030275B"/>
    <w:rsid w:val="00302D55"/>
    <w:rsid w:val="00302D7F"/>
    <w:rsid w:val="003030C4"/>
    <w:rsid w:val="00303113"/>
    <w:rsid w:val="003034E2"/>
    <w:rsid w:val="00303769"/>
    <w:rsid w:val="00303EAC"/>
    <w:rsid w:val="00304115"/>
    <w:rsid w:val="00305261"/>
    <w:rsid w:val="0030542C"/>
    <w:rsid w:val="003057CE"/>
    <w:rsid w:val="00305861"/>
    <w:rsid w:val="0030589C"/>
    <w:rsid w:val="00305969"/>
    <w:rsid w:val="00305C2E"/>
    <w:rsid w:val="00305DCD"/>
    <w:rsid w:val="0030617A"/>
    <w:rsid w:val="003062DC"/>
    <w:rsid w:val="0030636C"/>
    <w:rsid w:val="00306768"/>
    <w:rsid w:val="003069C4"/>
    <w:rsid w:val="00306E81"/>
    <w:rsid w:val="00306F61"/>
    <w:rsid w:val="00307222"/>
    <w:rsid w:val="00307277"/>
    <w:rsid w:val="00307644"/>
    <w:rsid w:val="003078FB"/>
    <w:rsid w:val="0030795D"/>
    <w:rsid w:val="00307A00"/>
    <w:rsid w:val="00307CBA"/>
    <w:rsid w:val="00307F9C"/>
    <w:rsid w:val="003100CF"/>
    <w:rsid w:val="00310418"/>
    <w:rsid w:val="00310751"/>
    <w:rsid w:val="003107C9"/>
    <w:rsid w:val="00310BCB"/>
    <w:rsid w:val="00310BFA"/>
    <w:rsid w:val="00310D95"/>
    <w:rsid w:val="00311024"/>
    <w:rsid w:val="0031163A"/>
    <w:rsid w:val="003118DF"/>
    <w:rsid w:val="00312428"/>
    <w:rsid w:val="0031263D"/>
    <w:rsid w:val="00312FFC"/>
    <w:rsid w:val="00313552"/>
    <w:rsid w:val="00314687"/>
    <w:rsid w:val="00314982"/>
    <w:rsid w:val="00314A59"/>
    <w:rsid w:val="00314A97"/>
    <w:rsid w:val="00314AF4"/>
    <w:rsid w:val="003150BF"/>
    <w:rsid w:val="003150CE"/>
    <w:rsid w:val="003153A7"/>
    <w:rsid w:val="003159C1"/>
    <w:rsid w:val="00315E92"/>
    <w:rsid w:val="00316475"/>
    <w:rsid w:val="0031682A"/>
    <w:rsid w:val="003168D7"/>
    <w:rsid w:val="00316DCE"/>
    <w:rsid w:val="003175D3"/>
    <w:rsid w:val="00317643"/>
    <w:rsid w:val="00317837"/>
    <w:rsid w:val="003178E2"/>
    <w:rsid w:val="00317AB1"/>
    <w:rsid w:val="00317BCB"/>
    <w:rsid w:val="00317CF7"/>
    <w:rsid w:val="00320018"/>
    <w:rsid w:val="00320201"/>
    <w:rsid w:val="003204EB"/>
    <w:rsid w:val="00320585"/>
    <w:rsid w:val="0032095C"/>
    <w:rsid w:val="0032098A"/>
    <w:rsid w:val="003209A7"/>
    <w:rsid w:val="0032139F"/>
    <w:rsid w:val="00321935"/>
    <w:rsid w:val="00321A78"/>
    <w:rsid w:val="00321AA6"/>
    <w:rsid w:val="00321B86"/>
    <w:rsid w:val="00322418"/>
    <w:rsid w:val="00322444"/>
    <w:rsid w:val="00322469"/>
    <w:rsid w:val="0032252A"/>
    <w:rsid w:val="0032255A"/>
    <w:rsid w:val="003228A7"/>
    <w:rsid w:val="0032303D"/>
    <w:rsid w:val="00323B9E"/>
    <w:rsid w:val="00323F65"/>
    <w:rsid w:val="003240F9"/>
    <w:rsid w:val="003245C3"/>
    <w:rsid w:val="003248B9"/>
    <w:rsid w:val="00324C41"/>
    <w:rsid w:val="00324E30"/>
    <w:rsid w:val="00325794"/>
    <w:rsid w:val="00325BA4"/>
    <w:rsid w:val="00325DB7"/>
    <w:rsid w:val="00325E53"/>
    <w:rsid w:val="003266DA"/>
    <w:rsid w:val="003268D1"/>
    <w:rsid w:val="00326AA2"/>
    <w:rsid w:val="00326C3B"/>
    <w:rsid w:val="00326CA9"/>
    <w:rsid w:val="00326F9D"/>
    <w:rsid w:val="00327053"/>
    <w:rsid w:val="003275E6"/>
    <w:rsid w:val="0032781F"/>
    <w:rsid w:val="00327838"/>
    <w:rsid w:val="0032788D"/>
    <w:rsid w:val="00327FEA"/>
    <w:rsid w:val="0033038C"/>
    <w:rsid w:val="00330804"/>
    <w:rsid w:val="00331544"/>
    <w:rsid w:val="00331F5D"/>
    <w:rsid w:val="00332458"/>
    <w:rsid w:val="00332955"/>
    <w:rsid w:val="00332A32"/>
    <w:rsid w:val="00332C2A"/>
    <w:rsid w:val="0033331C"/>
    <w:rsid w:val="00333570"/>
    <w:rsid w:val="00333D69"/>
    <w:rsid w:val="0033401C"/>
    <w:rsid w:val="00334214"/>
    <w:rsid w:val="0033422D"/>
    <w:rsid w:val="00334266"/>
    <w:rsid w:val="0033464F"/>
    <w:rsid w:val="00334A6B"/>
    <w:rsid w:val="00334B12"/>
    <w:rsid w:val="00334E8A"/>
    <w:rsid w:val="00335AEC"/>
    <w:rsid w:val="003362DB"/>
    <w:rsid w:val="00336334"/>
    <w:rsid w:val="003365B7"/>
    <w:rsid w:val="003366B2"/>
    <w:rsid w:val="0033692B"/>
    <w:rsid w:val="00336D90"/>
    <w:rsid w:val="0033703F"/>
    <w:rsid w:val="00337839"/>
    <w:rsid w:val="00340066"/>
    <w:rsid w:val="0034022A"/>
    <w:rsid w:val="00340637"/>
    <w:rsid w:val="00340D05"/>
    <w:rsid w:val="0034122D"/>
    <w:rsid w:val="0034143E"/>
    <w:rsid w:val="00341659"/>
    <w:rsid w:val="00341800"/>
    <w:rsid w:val="00341B64"/>
    <w:rsid w:val="003420AA"/>
    <w:rsid w:val="003420DB"/>
    <w:rsid w:val="00342539"/>
    <w:rsid w:val="0034288B"/>
    <w:rsid w:val="0034303F"/>
    <w:rsid w:val="003430A5"/>
    <w:rsid w:val="003430ED"/>
    <w:rsid w:val="0034332B"/>
    <w:rsid w:val="00343B20"/>
    <w:rsid w:val="003440BB"/>
    <w:rsid w:val="00344266"/>
    <w:rsid w:val="003442B6"/>
    <w:rsid w:val="00344539"/>
    <w:rsid w:val="003445C0"/>
    <w:rsid w:val="0034498B"/>
    <w:rsid w:val="00344DAB"/>
    <w:rsid w:val="00344E8E"/>
    <w:rsid w:val="00344EBC"/>
    <w:rsid w:val="003453CA"/>
    <w:rsid w:val="003457F4"/>
    <w:rsid w:val="00345870"/>
    <w:rsid w:val="00345AD2"/>
    <w:rsid w:val="00345BAA"/>
    <w:rsid w:val="00345C22"/>
    <w:rsid w:val="003460C8"/>
    <w:rsid w:val="00346147"/>
    <w:rsid w:val="0034681C"/>
    <w:rsid w:val="00346CC3"/>
    <w:rsid w:val="0034710D"/>
    <w:rsid w:val="0034711B"/>
    <w:rsid w:val="0034714F"/>
    <w:rsid w:val="0034724F"/>
    <w:rsid w:val="003472ED"/>
    <w:rsid w:val="00347431"/>
    <w:rsid w:val="00347605"/>
    <w:rsid w:val="00347C54"/>
    <w:rsid w:val="0035014F"/>
    <w:rsid w:val="003502AE"/>
    <w:rsid w:val="003503F3"/>
    <w:rsid w:val="0035040B"/>
    <w:rsid w:val="00350A94"/>
    <w:rsid w:val="00350E57"/>
    <w:rsid w:val="00350F1A"/>
    <w:rsid w:val="0035130A"/>
    <w:rsid w:val="0035177F"/>
    <w:rsid w:val="00351878"/>
    <w:rsid w:val="00351938"/>
    <w:rsid w:val="00351971"/>
    <w:rsid w:val="00351C70"/>
    <w:rsid w:val="0035204B"/>
    <w:rsid w:val="003520B3"/>
    <w:rsid w:val="0035229F"/>
    <w:rsid w:val="00352422"/>
    <w:rsid w:val="00352656"/>
    <w:rsid w:val="003528C5"/>
    <w:rsid w:val="003529C8"/>
    <w:rsid w:val="00352A42"/>
    <w:rsid w:val="00352E95"/>
    <w:rsid w:val="0035301E"/>
    <w:rsid w:val="003530A8"/>
    <w:rsid w:val="003534BE"/>
    <w:rsid w:val="003536B9"/>
    <w:rsid w:val="00353B42"/>
    <w:rsid w:val="00353C72"/>
    <w:rsid w:val="00353CE5"/>
    <w:rsid w:val="00353E91"/>
    <w:rsid w:val="003545DA"/>
    <w:rsid w:val="00354890"/>
    <w:rsid w:val="003550EB"/>
    <w:rsid w:val="003554AB"/>
    <w:rsid w:val="0035586F"/>
    <w:rsid w:val="00355882"/>
    <w:rsid w:val="00355DA8"/>
    <w:rsid w:val="00356043"/>
    <w:rsid w:val="003567EA"/>
    <w:rsid w:val="003569DA"/>
    <w:rsid w:val="00356CF0"/>
    <w:rsid w:val="00356E10"/>
    <w:rsid w:val="00356F13"/>
    <w:rsid w:val="0035756F"/>
    <w:rsid w:val="00357592"/>
    <w:rsid w:val="00357959"/>
    <w:rsid w:val="00357A04"/>
    <w:rsid w:val="00357E2D"/>
    <w:rsid w:val="00360054"/>
    <w:rsid w:val="003600A8"/>
    <w:rsid w:val="003602DC"/>
    <w:rsid w:val="00360351"/>
    <w:rsid w:val="00360606"/>
    <w:rsid w:val="0036086F"/>
    <w:rsid w:val="00360EA9"/>
    <w:rsid w:val="003610E4"/>
    <w:rsid w:val="0036176E"/>
    <w:rsid w:val="00361A9C"/>
    <w:rsid w:val="00361E0F"/>
    <w:rsid w:val="00361E5F"/>
    <w:rsid w:val="00361ED4"/>
    <w:rsid w:val="00361F34"/>
    <w:rsid w:val="0036234C"/>
    <w:rsid w:val="0036272E"/>
    <w:rsid w:val="0036284D"/>
    <w:rsid w:val="00362C57"/>
    <w:rsid w:val="00363762"/>
    <w:rsid w:val="00363882"/>
    <w:rsid w:val="00363B93"/>
    <w:rsid w:val="00363E44"/>
    <w:rsid w:val="00363EC9"/>
    <w:rsid w:val="00364347"/>
    <w:rsid w:val="00364AAC"/>
    <w:rsid w:val="00365E75"/>
    <w:rsid w:val="00366286"/>
    <w:rsid w:val="00366524"/>
    <w:rsid w:val="003672A8"/>
    <w:rsid w:val="003674D9"/>
    <w:rsid w:val="0036757F"/>
    <w:rsid w:val="0036771C"/>
    <w:rsid w:val="0036774A"/>
    <w:rsid w:val="00370236"/>
    <w:rsid w:val="00370272"/>
    <w:rsid w:val="003703BE"/>
    <w:rsid w:val="00370473"/>
    <w:rsid w:val="003705E5"/>
    <w:rsid w:val="0037130E"/>
    <w:rsid w:val="00371364"/>
    <w:rsid w:val="003716AB"/>
    <w:rsid w:val="00371972"/>
    <w:rsid w:val="00371CEA"/>
    <w:rsid w:val="003722B7"/>
    <w:rsid w:val="00373363"/>
    <w:rsid w:val="003736E5"/>
    <w:rsid w:val="00373854"/>
    <w:rsid w:val="00373E16"/>
    <w:rsid w:val="00373E58"/>
    <w:rsid w:val="00373FDB"/>
    <w:rsid w:val="00374130"/>
    <w:rsid w:val="0037425B"/>
    <w:rsid w:val="003744BB"/>
    <w:rsid w:val="00374DBF"/>
    <w:rsid w:val="00375092"/>
    <w:rsid w:val="00375391"/>
    <w:rsid w:val="00375482"/>
    <w:rsid w:val="003755CF"/>
    <w:rsid w:val="00375688"/>
    <w:rsid w:val="00376073"/>
    <w:rsid w:val="00376496"/>
    <w:rsid w:val="003764B5"/>
    <w:rsid w:val="003766B5"/>
    <w:rsid w:val="00376AC7"/>
    <w:rsid w:val="00376E98"/>
    <w:rsid w:val="00377326"/>
    <w:rsid w:val="00377452"/>
    <w:rsid w:val="003778EC"/>
    <w:rsid w:val="003779A0"/>
    <w:rsid w:val="003800C2"/>
    <w:rsid w:val="003808A7"/>
    <w:rsid w:val="00380BCC"/>
    <w:rsid w:val="00381223"/>
    <w:rsid w:val="0038139C"/>
    <w:rsid w:val="00381459"/>
    <w:rsid w:val="00381653"/>
    <w:rsid w:val="00381849"/>
    <w:rsid w:val="00381BEC"/>
    <w:rsid w:val="00381F8C"/>
    <w:rsid w:val="003820D8"/>
    <w:rsid w:val="003821F1"/>
    <w:rsid w:val="003823A0"/>
    <w:rsid w:val="00382859"/>
    <w:rsid w:val="00382D2A"/>
    <w:rsid w:val="00382DD2"/>
    <w:rsid w:val="00382E78"/>
    <w:rsid w:val="00382EC4"/>
    <w:rsid w:val="00383320"/>
    <w:rsid w:val="00383478"/>
    <w:rsid w:val="003837BD"/>
    <w:rsid w:val="00383CB8"/>
    <w:rsid w:val="00384120"/>
    <w:rsid w:val="00384841"/>
    <w:rsid w:val="00384911"/>
    <w:rsid w:val="00384B36"/>
    <w:rsid w:val="00384C4E"/>
    <w:rsid w:val="00384E26"/>
    <w:rsid w:val="00384F36"/>
    <w:rsid w:val="00385271"/>
    <w:rsid w:val="003854E1"/>
    <w:rsid w:val="00385CB8"/>
    <w:rsid w:val="00386466"/>
    <w:rsid w:val="00386AEB"/>
    <w:rsid w:val="00386C71"/>
    <w:rsid w:val="0038701C"/>
    <w:rsid w:val="003873B3"/>
    <w:rsid w:val="00387E3F"/>
    <w:rsid w:val="00387F97"/>
    <w:rsid w:val="0039041D"/>
    <w:rsid w:val="003904B3"/>
    <w:rsid w:val="00390894"/>
    <w:rsid w:val="00390A70"/>
    <w:rsid w:val="00390F9E"/>
    <w:rsid w:val="003910BB"/>
    <w:rsid w:val="0039226E"/>
    <w:rsid w:val="003924A0"/>
    <w:rsid w:val="0039275D"/>
    <w:rsid w:val="0039289B"/>
    <w:rsid w:val="00392CC8"/>
    <w:rsid w:val="0039301A"/>
    <w:rsid w:val="0039319B"/>
    <w:rsid w:val="0039350E"/>
    <w:rsid w:val="00393A05"/>
    <w:rsid w:val="00393E8E"/>
    <w:rsid w:val="0039403D"/>
    <w:rsid w:val="003946B2"/>
    <w:rsid w:val="00394847"/>
    <w:rsid w:val="00394F14"/>
    <w:rsid w:val="00395052"/>
    <w:rsid w:val="00395A30"/>
    <w:rsid w:val="0039603D"/>
    <w:rsid w:val="00396110"/>
    <w:rsid w:val="00396113"/>
    <w:rsid w:val="00396141"/>
    <w:rsid w:val="00396379"/>
    <w:rsid w:val="00396692"/>
    <w:rsid w:val="00396972"/>
    <w:rsid w:val="00396A57"/>
    <w:rsid w:val="00396C0D"/>
    <w:rsid w:val="00396C4A"/>
    <w:rsid w:val="00396CB8"/>
    <w:rsid w:val="00397708"/>
    <w:rsid w:val="00397CC0"/>
    <w:rsid w:val="00397DE7"/>
    <w:rsid w:val="003A005F"/>
    <w:rsid w:val="003A0670"/>
    <w:rsid w:val="003A0722"/>
    <w:rsid w:val="003A08B4"/>
    <w:rsid w:val="003A0B56"/>
    <w:rsid w:val="003A1B97"/>
    <w:rsid w:val="003A2017"/>
    <w:rsid w:val="003A203A"/>
    <w:rsid w:val="003A2093"/>
    <w:rsid w:val="003A2497"/>
    <w:rsid w:val="003A271A"/>
    <w:rsid w:val="003A27C5"/>
    <w:rsid w:val="003A2FD5"/>
    <w:rsid w:val="003A30AD"/>
    <w:rsid w:val="003A33B4"/>
    <w:rsid w:val="003A3DC4"/>
    <w:rsid w:val="003A48CC"/>
    <w:rsid w:val="003A49E6"/>
    <w:rsid w:val="003A5339"/>
    <w:rsid w:val="003A5393"/>
    <w:rsid w:val="003A5860"/>
    <w:rsid w:val="003A5AEF"/>
    <w:rsid w:val="003A5E3F"/>
    <w:rsid w:val="003A5FC5"/>
    <w:rsid w:val="003A6062"/>
    <w:rsid w:val="003A6345"/>
    <w:rsid w:val="003A69AF"/>
    <w:rsid w:val="003A6BFC"/>
    <w:rsid w:val="003A6E4A"/>
    <w:rsid w:val="003A72EF"/>
    <w:rsid w:val="003A73DF"/>
    <w:rsid w:val="003A75BA"/>
    <w:rsid w:val="003A78B2"/>
    <w:rsid w:val="003A7B8B"/>
    <w:rsid w:val="003A7BC1"/>
    <w:rsid w:val="003A7C18"/>
    <w:rsid w:val="003A7C8F"/>
    <w:rsid w:val="003A7E21"/>
    <w:rsid w:val="003B0050"/>
    <w:rsid w:val="003B0204"/>
    <w:rsid w:val="003B04F8"/>
    <w:rsid w:val="003B0DC2"/>
    <w:rsid w:val="003B1349"/>
    <w:rsid w:val="003B1E5B"/>
    <w:rsid w:val="003B2079"/>
    <w:rsid w:val="003B2E9F"/>
    <w:rsid w:val="003B420F"/>
    <w:rsid w:val="003B4EED"/>
    <w:rsid w:val="003B51A2"/>
    <w:rsid w:val="003B5621"/>
    <w:rsid w:val="003B57DF"/>
    <w:rsid w:val="003B6AAD"/>
    <w:rsid w:val="003B6B2C"/>
    <w:rsid w:val="003B6D63"/>
    <w:rsid w:val="003B74E4"/>
    <w:rsid w:val="003B75A8"/>
    <w:rsid w:val="003B7607"/>
    <w:rsid w:val="003B7804"/>
    <w:rsid w:val="003B7C56"/>
    <w:rsid w:val="003B7CD9"/>
    <w:rsid w:val="003B7F96"/>
    <w:rsid w:val="003C0196"/>
    <w:rsid w:val="003C03C7"/>
    <w:rsid w:val="003C04B8"/>
    <w:rsid w:val="003C0700"/>
    <w:rsid w:val="003C073C"/>
    <w:rsid w:val="003C0A1B"/>
    <w:rsid w:val="003C0BC0"/>
    <w:rsid w:val="003C1061"/>
    <w:rsid w:val="003C1386"/>
    <w:rsid w:val="003C13BB"/>
    <w:rsid w:val="003C204C"/>
    <w:rsid w:val="003C2276"/>
    <w:rsid w:val="003C2445"/>
    <w:rsid w:val="003C266A"/>
    <w:rsid w:val="003C296F"/>
    <w:rsid w:val="003C32CA"/>
    <w:rsid w:val="003C358C"/>
    <w:rsid w:val="003C366D"/>
    <w:rsid w:val="003C368A"/>
    <w:rsid w:val="003C3783"/>
    <w:rsid w:val="003C3806"/>
    <w:rsid w:val="003C4425"/>
    <w:rsid w:val="003C4E62"/>
    <w:rsid w:val="003C4F12"/>
    <w:rsid w:val="003C55A4"/>
    <w:rsid w:val="003C5681"/>
    <w:rsid w:val="003C5CAA"/>
    <w:rsid w:val="003C602A"/>
    <w:rsid w:val="003C6088"/>
    <w:rsid w:val="003C62A6"/>
    <w:rsid w:val="003C6403"/>
    <w:rsid w:val="003C640F"/>
    <w:rsid w:val="003C6F04"/>
    <w:rsid w:val="003C7095"/>
    <w:rsid w:val="003C70C2"/>
    <w:rsid w:val="003C72F1"/>
    <w:rsid w:val="003C7A1E"/>
    <w:rsid w:val="003D03B0"/>
    <w:rsid w:val="003D053C"/>
    <w:rsid w:val="003D05C9"/>
    <w:rsid w:val="003D062A"/>
    <w:rsid w:val="003D0688"/>
    <w:rsid w:val="003D07EB"/>
    <w:rsid w:val="003D0E19"/>
    <w:rsid w:val="003D12B5"/>
    <w:rsid w:val="003D1759"/>
    <w:rsid w:val="003D1896"/>
    <w:rsid w:val="003D1B5D"/>
    <w:rsid w:val="003D377F"/>
    <w:rsid w:val="003D3849"/>
    <w:rsid w:val="003D3B14"/>
    <w:rsid w:val="003D40A0"/>
    <w:rsid w:val="003D423A"/>
    <w:rsid w:val="003D43DC"/>
    <w:rsid w:val="003D4886"/>
    <w:rsid w:val="003D4D68"/>
    <w:rsid w:val="003D53B0"/>
    <w:rsid w:val="003D54F7"/>
    <w:rsid w:val="003D5C08"/>
    <w:rsid w:val="003D5C99"/>
    <w:rsid w:val="003D5F4C"/>
    <w:rsid w:val="003D61B5"/>
    <w:rsid w:val="003D62F7"/>
    <w:rsid w:val="003D66D5"/>
    <w:rsid w:val="003D66F8"/>
    <w:rsid w:val="003D671A"/>
    <w:rsid w:val="003D6D21"/>
    <w:rsid w:val="003D785E"/>
    <w:rsid w:val="003D7ED7"/>
    <w:rsid w:val="003D7F9D"/>
    <w:rsid w:val="003E0176"/>
    <w:rsid w:val="003E0B7B"/>
    <w:rsid w:val="003E1035"/>
    <w:rsid w:val="003E13AF"/>
    <w:rsid w:val="003E159D"/>
    <w:rsid w:val="003E15FC"/>
    <w:rsid w:val="003E1741"/>
    <w:rsid w:val="003E17F2"/>
    <w:rsid w:val="003E19F7"/>
    <w:rsid w:val="003E1EB2"/>
    <w:rsid w:val="003E2555"/>
    <w:rsid w:val="003E258A"/>
    <w:rsid w:val="003E2A56"/>
    <w:rsid w:val="003E2FD0"/>
    <w:rsid w:val="003E33D0"/>
    <w:rsid w:val="003E348E"/>
    <w:rsid w:val="003E38E7"/>
    <w:rsid w:val="003E3A38"/>
    <w:rsid w:val="003E3B19"/>
    <w:rsid w:val="003E4040"/>
    <w:rsid w:val="003E45F8"/>
    <w:rsid w:val="003E485B"/>
    <w:rsid w:val="003E492C"/>
    <w:rsid w:val="003E4BDB"/>
    <w:rsid w:val="003E4D35"/>
    <w:rsid w:val="003E519D"/>
    <w:rsid w:val="003E540E"/>
    <w:rsid w:val="003E5449"/>
    <w:rsid w:val="003E5471"/>
    <w:rsid w:val="003E5B61"/>
    <w:rsid w:val="003E5DEB"/>
    <w:rsid w:val="003E626A"/>
    <w:rsid w:val="003E634D"/>
    <w:rsid w:val="003E64EA"/>
    <w:rsid w:val="003E6A8F"/>
    <w:rsid w:val="003E6B56"/>
    <w:rsid w:val="003E6E17"/>
    <w:rsid w:val="003E6E61"/>
    <w:rsid w:val="003E710D"/>
    <w:rsid w:val="003E732F"/>
    <w:rsid w:val="003E7715"/>
    <w:rsid w:val="003E7936"/>
    <w:rsid w:val="003E7A9C"/>
    <w:rsid w:val="003E7B2C"/>
    <w:rsid w:val="003E7FFA"/>
    <w:rsid w:val="003F0491"/>
    <w:rsid w:val="003F04FE"/>
    <w:rsid w:val="003F0608"/>
    <w:rsid w:val="003F09DB"/>
    <w:rsid w:val="003F0B07"/>
    <w:rsid w:val="003F0E93"/>
    <w:rsid w:val="003F1319"/>
    <w:rsid w:val="003F1388"/>
    <w:rsid w:val="003F1513"/>
    <w:rsid w:val="003F15E0"/>
    <w:rsid w:val="003F1640"/>
    <w:rsid w:val="003F1655"/>
    <w:rsid w:val="003F167F"/>
    <w:rsid w:val="003F16F9"/>
    <w:rsid w:val="003F17B0"/>
    <w:rsid w:val="003F1CA6"/>
    <w:rsid w:val="003F2006"/>
    <w:rsid w:val="003F2380"/>
    <w:rsid w:val="003F2873"/>
    <w:rsid w:val="003F2A18"/>
    <w:rsid w:val="003F328F"/>
    <w:rsid w:val="003F37DD"/>
    <w:rsid w:val="003F3C3D"/>
    <w:rsid w:val="003F45F5"/>
    <w:rsid w:val="003F4E95"/>
    <w:rsid w:val="003F4EE6"/>
    <w:rsid w:val="003F519E"/>
    <w:rsid w:val="003F52BD"/>
    <w:rsid w:val="003F531A"/>
    <w:rsid w:val="003F551C"/>
    <w:rsid w:val="003F558A"/>
    <w:rsid w:val="003F55DC"/>
    <w:rsid w:val="003F56B4"/>
    <w:rsid w:val="003F5D82"/>
    <w:rsid w:val="003F5EEA"/>
    <w:rsid w:val="003F6365"/>
    <w:rsid w:val="003F66AA"/>
    <w:rsid w:val="003F69DF"/>
    <w:rsid w:val="003F6AE8"/>
    <w:rsid w:val="003F6D76"/>
    <w:rsid w:val="003F7C9E"/>
    <w:rsid w:val="004001C3"/>
    <w:rsid w:val="00400404"/>
    <w:rsid w:val="00400425"/>
    <w:rsid w:val="00400F35"/>
    <w:rsid w:val="004013AD"/>
    <w:rsid w:val="0040141B"/>
    <w:rsid w:val="00401BE8"/>
    <w:rsid w:val="00401CAF"/>
    <w:rsid w:val="00402322"/>
    <w:rsid w:val="004025E8"/>
    <w:rsid w:val="00402768"/>
    <w:rsid w:val="00402933"/>
    <w:rsid w:val="00402A66"/>
    <w:rsid w:val="00402BDE"/>
    <w:rsid w:val="0040345E"/>
    <w:rsid w:val="004034BC"/>
    <w:rsid w:val="00403B93"/>
    <w:rsid w:val="00403D66"/>
    <w:rsid w:val="00404396"/>
    <w:rsid w:val="00404755"/>
    <w:rsid w:val="00404AE8"/>
    <w:rsid w:val="00404B60"/>
    <w:rsid w:val="00404BBA"/>
    <w:rsid w:val="00404C36"/>
    <w:rsid w:val="00404D4D"/>
    <w:rsid w:val="0040509E"/>
    <w:rsid w:val="00405115"/>
    <w:rsid w:val="004051C5"/>
    <w:rsid w:val="004055BF"/>
    <w:rsid w:val="00405C6B"/>
    <w:rsid w:val="00405E22"/>
    <w:rsid w:val="004066D4"/>
    <w:rsid w:val="00406820"/>
    <w:rsid w:val="00406F1E"/>
    <w:rsid w:val="00406F38"/>
    <w:rsid w:val="004071E8"/>
    <w:rsid w:val="00407905"/>
    <w:rsid w:val="00407DDF"/>
    <w:rsid w:val="00410791"/>
    <w:rsid w:val="004107CA"/>
    <w:rsid w:val="00410B25"/>
    <w:rsid w:val="00410B3C"/>
    <w:rsid w:val="00410C3E"/>
    <w:rsid w:val="004111BC"/>
    <w:rsid w:val="0041134E"/>
    <w:rsid w:val="004114CB"/>
    <w:rsid w:val="00411C0E"/>
    <w:rsid w:val="00412464"/>
    <w:rsid w:val="004124FF"/>
    <w:rsid w:val="004125F4"/>
    <w:rsid w:val="0041264A"/>
    <w:rsid w:val="004126D4"/>
    <w:rsid w:val="00412D95"/>
    <w:rsid w:val="00413097"/>
    <w:rsid w:val="0041326B"/>
    <w:rsid w:val="00413379"/>
    <w:rsid w:val="00413417"/>
    <w:rsid w:val="00413957"/>
    <w:rsid w:val="00413B37"/>
    <w:rsid w:val="00414551"/>
    <w:rsid w:val="00414703"/>
    <w:rsid w:val="00414A1A"/>
    <w:rsid w:val="00415554"/>
    <w:rsid w:val="0041591F"/>
    <w:rsid w:val="00415990"/>
    <w:rsid w:val="00415D2B"/>
    <w:rsid w:val="00415DDC"/>
    <w:rsid w:val="0041691E"/>
    <w:rsid w:val="00416C0A"/>
    <w:rsid w:val="00417148"/>
    <w:rsid w:val="00417383"/>
    <w:rsid w:val="00417CDB"/>
    <w:rsid w:val="00417D4A"/>
    <w:rsid w:val="00420374"/>
    <w:rsid w:val="0042083D"/>
    <w:rsid w:val="00420AF9"/>
    <w:rsid w:val="00421613"/>
    <w:rsid w:val="00421941"/>
    <w:rsid w:val="00421B60"/>
    <w:rsid w:val="00421C25"/>
    <w:rsid w:val="00421FB5"/>
    <w:rsid w:val="004220BA"/>
    <w:rsid w:val="004222CE"/>
    <w:rsid w:val="004225E5"/>
    <w:rsid w:val="00422C28"/>
    <w:rsid w:val="00422DAC"/>
    <w:rsid w:val="004241D6"/>
    <w:rsid w:val="00424415"/>
    <w:rsid w:val="004245D7"/>
    <w:rsid w:val="004248DD"/>
    <w:rsid w:val="00424CD4"/>
    <w:rsid w:val="00424DE2"/>
    <w:rsid w:val="00424E88"/>
    <w:rsid w:val="00425599"/>
    <w:rsid w:val="004255EB"/>
    <w:rsid w:val="00425853"/>
    <w:rsid w:val="004258B1"/>
    <w:rsid w:val="00425A06"/>
    <w:rsid w:val="00425A67"/>
    <w:rsid w:val="004262E9"/>
    <w:rsid w:val="0042630D"/>
    <w:rsid w:val="0042653A"/>
    <w:rsid w:val="004267E5"/>
    <w:rsid w:val="0042686C"/>
    <w:rsid w:val="00426A0B"/>
    <w:rsid w:val="00426D64"/>
    <w:rsid w:val="004272C1"/>
    <w:rsid w:val="004275B3"/>
    <w:rsid w:val="00427924"/>
    <w:rsid w:val="00427999"/>
    <w:rsid w:val="00427D0C"/>
    <w:rsid w:val="004304AE"/>
    <w:rsid w:val="00430522"/>
    <w:rsid w:val="00430B99"/>
    <w:rsid w:val="00431013"/>
    <w:rsid w:val="004310DA"/>
    <w:rsid w:val="0043177A"/>
    <w:rsid w:val="004318FC"/>
    <w:rsid w:val="00431C13"/>
    <w:rsid w:val="00431F97"/>
    <w:rsid w:val="00431F98"/>
    <w:rsid w:val="0043227E"/>
    <w:rsid w:val="0043244E"/>
    <w:rsid w:val="00432528"/>
    <w:rsid w:val="004327A2"/>
    <w:rsid w:val="00432836"/>
    <w:rsid w:val="00432D2A"/>
    <w:rsid w:val="00432EAA"/>
    <w:rsid w:val="00432FD6"/>
    <w:rsid w:val="004331E6"/>
    <w:rsid w:val="00433963"/>
    <w:rsid w:val="00433C8C"/>
    <w:rsid w:val="00433DF7"/>
    <w:rsid w:val="0043405E"/>
    <w:rsid w:val="004345E0"/>
    <w:rsid w:val="0043470A"/>
    <w:rsid w:val="004351DB"/>
    <w:rsid w:val="00435357"/>
    <w:rsid w:val="004353CB"/>
    <w:rsid w:val="004354EF"/>
    <w:rsid w:val="004356FD"/>
    <w:rsid w:val="004358A9"/>
    <w:rsid w:val="00435B39"/>
    <w:rsid w:val="00435C5A"/>
    <w:rsid w:val="0043616A"/>
    <w:rsid w:val="0043695F"/>
    <w:rsid w:val="00436F1B"/>
    <w:rsid w:val="004371DB"/>
    <w:rsid w:val="004373D1"/>
    <w:rsid w:val="0043766A"/>
    <w:rsid w:val="0043778D"/>
    <w:rsid w:val="00437794"/>
    <w:rsid w:val="00437AEF"/>
    <w:rsid w:val="00437B8C"/>
    <w:rsid w:val="00437F26"/>
    <w:rsid w:val="00440066"/>
    <w:rsid w:val="004400E3"/>
    <w:rsid w:val="00440127"/>
    <w:rsid w:val="0044097D"/>
    <w:rsid w:val="004413AC"/>
    <w:rsid w:val="00442371"/>
    <w:rsid w:val="00442E58"/>
    <w:rsid w:val="00442E73"/>
    <w:rsid w:val="00443158"/>
    <w:rsid w:val="004433C7"/>
    <w:rsid w:val="00443562"/>
    <w:rsid w:val="0044383C"/>
    <w:rsid w:val="0044387D"/>
    <w:rsid w:val="00443AA9"/>
    <w:rsid w:val="00444293"/>
    <w:rsid w:val="00444621"/>
    <w:rsid w:val="00444ACA"/>
    <w:rsid w:val="00444BAC"/>
    <w:rsid w:val="00444E18"/>
    <w:rsid w:val="00444EA7"/>
    <w:rsid w:val="00444F67"/>
    <w:rsid w:val="004454C2"/>
    <w:rsid w:val="00445D1D"/>
    <w:rsid w:val="0044623B"/>
    <w:rsid w:val="004464CC"/>
    <w:rsid w:val="00446570"/>
    <w:rsid w:val="004468DF"/>
    <w:rsid w:val="00446EB5"/>
    <w:rsid w:val="00447080"/>
    <w:rsid w:val="00447347"/>
    <w:rsid w:val="0044738A"/>
    <w:rsid w:val="00447A00"/>
    <w:rsid w:val="00447AAB"/>
    <w:rsid w:val="00447B70"/>
    <w:rsid w:val="00447CDD"/>
    <w:rsid w:val="00447F33"/>
    <w:rsid w:val="00450A27"/>
    <w:rsid w:val="00451115"/>
    <w:rsid w:val="00451182"/>
    <w:rsid w:val="004512C0"/>
    <w:rsid w:val="00451EC2"/>
    <w:rsid w:val="004520E7"/>
    <w:rsid w:val="0045231F"/>
    <w:rsid w:val="00452A6C"/>
    <w:rsid w:val="00452C2C"/>
    <w:rsid w:val="00452DFA"/>
    <w:rsid w:val="00452EDD"/>
    <w:rsid w:val="0045364E"/>
    <w:rsid w:val="00453E23"/>
    <w:rsid w:val="00454B56"/>
    <w:rsid w:val="00455126"/>
    <w:rsid w:val="004558B7"/>
    <w:rsid w:val="00455B42"/>
    <w:rsid w:val="004562F1"/>
    <w:rsid w:val="004566F5"/>
    <w:rsid w:val="00456B4F"/>
    <w:rsid w:val="00456B5E"/>
    <w:rsid w:val="00456C68"/>
    <w:rsid w:val="00456D7C"/>
    <w:rsid w:val="00457BF9"/>
    <w:rsid w:val="00457DF4"/>
    <w:rsid w:val="00457E29"/>
    <w:rsid w:val="00460382"/>
    <w:rsid w:val="0046046D"/>
    <w:rsid w:val="004609E4"/>
    <w:rsid w:val="00460E51"/>
    <w:rsid w:val="0046118E"/>
    <w:rsid w:val="004611F3"/>
    <w:rsid w:val="004612ED"/>
    <w:rsid w:val="00461406"/>
    <w:rsid w:val="00461479"/>
    <w:rsid w:val="00461C70"/>
    <w:rsid w:val="00461D0B"/>
    <w:rsid w:val="00461D2E"/>
    <w:rsid w:val="00462054"/>
    <w:rsid w:val="00462711"/>
    <w:rsid w:val="00462741"/>
    <w:rsid w:val="00462F74"/>
    <w:rsid w:val="00463357"/>
    <w:rsid w:val="00463A04"/>
    <w:rsid w:val="00463EC5"/>
    <w:rsid w:val="004643FD"/>
    <w:rsid w:val="0046487C"/>
    <w:rsid w:val="00465249"/>
    <w:rsid w:val="00465255"/>
    <w:rsid w:val="0046555E"/>
    <w:rsid w:val="0046570D"/>
    <w:rsid w:val="00465793"/>
    <w:rsid w:val="00465BF7"/>
    <w:rsid w:val="00465DAE"/>
    <w:rsid w:val="00465E10"/>
    <w:rsid w:val="00466052"/>
    <w:rsid w:val="00466109"/>
    <w:rsid w:val="00466478"/>
    <w:rsid w:val="004665E4"/>
    <w:rsid w:val="00466EF8"/>
    <w:rsid w:val="0046764A"/>
    <w:rsid w:val="00467D2C"/>
    <w:rsid w:val="00467FE5"/>
    <w:rsid w:val="00470066"/>
    <w:rsid w:val="0047029F"/>
    <w:rsid w:val="00470598"/>
    <w:rsid w:val="0047065A"/>
    <w:rsid w:val="00470AA5"/>
    <w:rsid w:val="00470F4F"/>
    <w:rsid w:val="00471531"/>
    <w:rsid w:val="00471690"/>
    <w:rsid w:val="00472317"/>
    <w:rsid w:val="00472E37"/>
    <w:rsid w:val="00472EC9"/>
    <w:rsid w:val="004730F6"/>
    <w:rsid w:val="004730FE"/>
    <w:rsid w:val="00473445"/>
    <w:rsid w:val="004735C2"/>
    <w:rsid w:val="00473618"/>
    <w:rsid w:val="00473718"/>
    <w:rsid w:val="00473869"/>
    <w:rsid w:val="0047410E"/>
    <w:rsid w:val="00474437"/>
    <w:rsid w:val="004745B4"/>
    <w:rsid w:val="00474A2F"/>
    <w:rsid w:val="00474AE2"/>
    <w:rsid w:val="00474E52"/>
    <w:rsid w:val="00474F7D"/>
    <w:rsid w:val="004756B7"/>
    <w:rsid w:val="00475775"/>
    <w:rsid w:val="00475B52"/>
    <w:rsid w:val="00476149"/>
    <w:rsid w:val="004764D3"/>
    <w:rsid w:val="0047655C"/>
    <w:rsid w:val="004767B7"/>
    <w:rsid w:val="004768B7"/>
    <w:rsid w:val="00477424"/>
    <w:rsid w:val="00477AD3"/>
    <w:rsid w:val="00477B49"/>
    <w:rsid w:val="00480003"/>
    <w:rsid w:val="0048012E"/>
    <w:rsid w:val="0048054A"/>
    <w:rsid w:val="00480AAF"/>
    <w:rsid w:val="00480E7D"/>
    <w:rsid w:val="00481669"/>
    <w:rsid w:val="004818E8"/>
    <w:rsid w:val="004819D8"/>
    <w:rsid w:val="00481A52"/>
    <w:rsid w:val="00481CDF"/>
    <w:rsid w:val="004824B2"/>
    <w:rsid w:val="0048279D"/>
    <w:rsid w:val="004827F6"/>
    <w:rsid w:val="00482D69"/>
    <w:rsid w:val="00482F67"/>
    <w:rsid w:val="00482F91"/>
    <w:rsid w:val="00483006"/>
    <w:rsid w:val="00483060"/>
    <w:rsid w:val="0048377C"/>
    <w:rsid w:val="0048387D"/>
    <w:rsid w:val="004839EE"/>
    <w:rsid w:val="00483ADD"/>
    <w:rsid w:val="00483B17"/>
    <w:rsid w:val="004843DB"/>
    <w:rsid w:val="00484463"/>
    <w:rsid w:val="00484915"/>
    <w:rsid w:val="004849A3"/>
    <w:rsid w:val="00484A4B"/>
    <w:rsid w:val="00484FDC"/>
    <w:rsid w:val="00485961"/>
    <w:rsid w:val="00486610"/>
    <w:rsid w:val="0048663C"/>
    <w:rsid w:val="00486BA4"/>
    <w:rsid w:val="00486DA5"/>
    <w:rsid w:val="0048721F"/>
    <w:rsid w:val="00487387"/>
    <w:rsid w:val="004873AF"/>
    <w:rsid w:val="0048745B"/>
    <w:rsid w:val="00487460"/>
    <w:rsid w:val="00487D74"/>
    <w:rsid w:val="00487D8A"/>
    <w:rsid w:val="00490494"/>
    <w:rsid w:val="004905FD"/>
    <w:rsid w:val="004907E7"/>
    <w:rsid w:val="00490AEA"/>
    <w:rsid w:val="00490B7A"/>
    <w:rsid w:val="00490E50"/>
    <w:rsid w:val="00490F34"/>
    <w:rsid w:val="004919FD"/>
    <w:rsid w:val="00491A6B"/>
    <w:rsid w:val="00491F3F"/>
    <w:rsid w:val="00492561"/>
    <w:rsid w:val="004926B3"/>
    <w:rsid w:val="004927CF"/>
    <w:rsid w:val="00492920"/>
    <w:rsid w:val="00492C30"/>
    <w:rsid w:val="0049336F"/>
    <w:rsid w:val="00493CDD"/>
    <w:rsid w:val="00494BD2"/>
    <w:rsid w:val="00494CE6"/>
    <w:rsid w:val="0049505C"/>
    <w:rsid w:val="00495A95"/>
    <w:rsid w:val="00495EF1"/>
    <w:rsid w:val="0049620E"/>
    <w:rsid w:val="0049628C"/>
    <w:rsid w:val="004964D4"/>
    <w:rsid w:val="00496574"/>
    <w:rsid w:val="00496772"/>
    <w:rsid w:val="00496ECC"/>
    <w:rsid w:val="00497352"/>
    <w:rsid w:val="004A06FC"/>
    <w:rsid w:val="004A0909"/>
    <w:rsid w:val="004A0BC4"/>
    <w:rsid w:val="004A1244"/>
    <w:rsid w:val="004A132C"/>
    <w:rsid w:val="004A135C"/>
    <w:rsid w:val="004A1694"/>
    <w:rsid w:val="004A189B"/>
    <w:rsid w:val="004A19A1"/>
    <w:rsid w:val="004A1BB3"/>
    <w:rsid w:val="004A1E13"/>
    <w:rsid w:val="004A1FDF"/>
    <w:rsid w:val="004A23A5"/>
    <w:rsid w:val="004A32B5"/>
    <w:rsid w:val="004A35C8"/>
    <w:rsid w:val="004A3797"/>
    <w:rsid w:val="004A457F"/>
    <w:rsid w:val="004A466B"/>
    <w:rsid w:val="004A507A"/>
    <w:rsid w:val="004A5272"/>
    <w:rsid w:val="004A5275"/>
    <w:rsid w:val="004A52F3"/>
    <w:rsid w:val="004A57AA"/>
    <w:rsid w:val="004A5B58"/>
    <w:rsid w:val="004A5D74"/>
    <w:rsid w:val="004A5E0C"/>
    <w:rsid w:val="004A5ED5"/>
    <w:rsid w:val="004A5FCA"/>
    <w:rsid w:val="004A612C"/>
    <w:rsid w:val="004A6665"/>
    <w:rsid w:val="004A6B7A"/>
    <w:rsid w:val="004A6E80"/>
    <w:rsid w:val="004A73D3"/>
    <w:rsid w:val="004A762B"/>
    <w:rsid w:val="004A79DA"/>
    <w:rsid w:val="004A7E55"/>
    <w:rsid w:val="004B0356"/>
    <w:rsid w:val="004B09E7"/>
    <w:rsid w:val="004B0E73"/>
    <w:rsid w:val="004B0F19"/>
    <w:rsid w:val="004B1192"/>
    <w:rsid w:val="004B12C6"/>
    <w:rsid w:val="004B1EC7"/>
    <w:rsid w:val="004B2055"/>
    <w:rsid w:val="004B2060"/>
    <w:rsid w:val="004B20BB"/>
    <w:rsid w:val="004B221E"/>
    <w:rsid w:val="004B22B8"/>
    <w:rsid w:val="004B2470"/>
    <w:rsid w:val="004B26D9"/>
    <w:rsid w:val="004B29F6"/>
    <w:rsid w:val="004B2C5E"/>
    <w:rsid w:val="004B2F2E"/>
    <w:rsid w:val="004B308B"/>
    <w:rsid w:val="004B31CF"/>
    <w:rsid w:val="004B31DF"/>
    <w:rsid w:val="004B3C40"/>
    <w:rsid w:val="004B3EA9"/>
    <w:rsid w:val="004B4007"/>
    <w:rsid w:val="004B4BA6"/>
    <w:rsid w:val="004B503E"/>
    <w:rsid w:val="004B5195"/>
    <w:rsid w:val="004B522F"/>
    <w:rsid w:val="004B532D"/>
    <w:rsid w:val="004B5AEF"/>
    <w:rsid w:val="004B5B5F"/>
    <w:rsid w:val="004B5FD7"/>
    <w:rsid w:val="004B6126"/>
    <w:rsid w:val="004B774B"/>
    <w:rsid w:val="004B7C36"/>
    <w:rsid w:val="004B7EC1"/>
    <w:rsid w:val="004C0A44"/>
    <w:rsid w:val="004C0A64"/>
    <w:rsid w:val="004C0DC8"/>
    <w:rsid w:val="004C0ED7"/>
    <w:rsid w:val="004C1321"/>
    <w:rsid w:val="004C1787"/>
    <w:rsid w:val="004C1C8D"/>
    <w:rsid w:val="004C1D6D"/>
    <w:rsid w:val="004C288D"/>
    <w:rsid w:val="004C2906"/>
    <w:rsid w:val="004C2B94"/>
    <w:rsid w:val="004C3CA0"/>
    <w:rsid w:val="004C3CCE"/>
    <w:rsid w:val="004C4023"/>
    <w:rsid w:val="004C44FF"/>
    <w:rsid w:val="004C4629"/>
    <w:rsid w:val="004C48C8"/>
    <w:rsid w:val="004C4B71"/>
    <w:rsid w:val="004C4B89"/>
    <w:rsid w:val="004C5720"/>
    <w:rsid w:val="004C625C"/>
    <w:rsid w:val="004C68D3"/>
    <w:rsid w:val="004C6B11"/>
    <w:rsid w:val="004C6BB6"/>
    <w:rsid w:val="004C6BD6"/>
    <w:rsid w:val="004C76E5"/>
    <w:rsid w:val="004C7AC4"/>
    <w:rsid w:val="004D03C3"/>
    <w:rsid w:val="004D087E"/>
    <w:rsid w:val="004D0B58"/>
    <w:rsid w:val="004D0E6F"/>
    <w:rsid w:val="004D1014"/>
    <w:rsid w:val="004D18FD"/>
    <w:rsid w:val="004D1945"/>
    <w:rsid w:val="004D19DB"/>
    <w:rsid w:val="004D1AB9"/>
    <w:rsid w:val="004D1C8A"/>
    <w:rsid w:val="004D1E88"/>
    <w:rsid w:val="004D20AE"/>
    <w:rsid w:val="004D24C4"/>
    <w:rsid w:val="004D28A1"/>
    <w:rsid w:val="004D2A3B"/>
    <w:rsid w:val="004D2AB9"/>
    <w:rsid w:val="004D34E0"/>
    <w:rsid w:val="004D36B5"/>
    <w:rsid w:val="004D3CD7"/>
    <w:rsid w:val="004D3E32"/>
    <w:rsid w:val="004D4940"/>
    <w:rsid w:val="004D4A41"/>
    <w:rsid w:val="004D4DC4"/>
    <w:rsid w:val="004D4F95"/>
    <w:rsid w:val="004D5187"/>
    <w:rsid w:val="004D5476"/>
    <w:rsid w:val="004D57F7"/>
    <w:rsid w:val="004D58DE"/>
    <w:rsid w:val="004D5B7B"/>
    <w:rsid w:val="004D5EA7"/>
    <w:rsid w:val="004D60AB"/>
    <w:rsid w:val="004D63E2"/>
    <w:rsid w:val="004D6918"/>
    <w:rsid w:val="004D6DB5"/>
    <w:rsid w:val="004D6E8A"/>
    <w:rsid w:val="004D78BB"/>
    <w:rsid w:val="004D7F79"/>
    <w:rsid w:val="004E043D"/>
    <w:rsid w:val="004E04C8"/>
    <w:rsid w:val="004E0909"/>
    <w:rsid w:val="004E0D76"/>
    <w:rsid w:val="004E1206"/>
    <w:rsid w:val="004E15A9"/>
    <w:rsid w:val="004E1674"/>
    <w:rsid w:val="004E1F71"/>
    <w:rsid w:val="004E1FF1"/>
    <w:rsid w:val="004E2538"/>
    <w:rsid w:val="004E262A"/>
    <w:rsid w:val="004E2652"/>
    <w:rsid w:val="004E29E7"/>
    <w:rsid w:val="004E29F8"/>
    <w:rsid w:val="004E2AE1"/>
    <w:rsid w:val="004E2C2C"/>
    <w:rsid w:val="004E2E0E"/>
    <w:rsid w:val="004E360F"/>
    <w:rsid w:val="004E37C4"/>
    <w:rsid w:val="004E3940"/>
    <w:rsid w:val="004E3DD7"/>
    <w:rsid w:val="004E3DF3"/>
    <w:rsid w:val="004E3F30"/>
    <w:rsid w:val="004E442C"/>
    <w:rsid w:val="004E4612"/>
    <w:rsid w:val="004E462C"/>
    <w:rsid w:val="004E46F8"/>
    <w:rsid w:val="004E476D"/>
    <w:rsid w:val="004E50C8"/>
    <w:rsid w:val="004E5296"/>
    <w:rsid w:val="004E5508"/>
    <w:rsid w:val="004E5C31"/>
    <w:rsid w:val="004E5C85"/>
    <w:rsid w:val="004E5D1F"/>
    <w:rsid w:val="004E6429"/>
    <w:rsid w:val="004E653E"/>
    <w:rsid w:val="004E6599"/>
    <w:rsid w:val="004E65F5"/>
    <w:rsid w:val="004E6CF0"/>
    <w:rsid w:val="004E6F84"/>
    <w:rsid w:val="004E71AB"/>
    <w:rsid w:val="004E7420"/>
    <w:rsid w:val="004E7655"/>
    <w:rsid w:val="004E76A1"/>
    <w:rsid w:val="004E773F"/>
    <w:rsid w:val="004E7758"/>
    <w:rsid w:val="004E7BDA"/>
    <w:rsid w:val="004E7E64"/>
    <w:rsid w:val="004F0809"/>
    <w:rsid w:val="004F0C1D"/>
    <w:rsid w:val="004F104A"/>
    <w:rsid w:val="004F11A6"/>
    <w:rsid w:val="004F1362"/>
    <w:rsid w:val="004F2384"/>
    <w:rsid w:val="004F2492"/>
    <w:rsid w:val="004F27F9"/>
    <w:rsid w:val="004F2D77"/>
    <w:rsid w:val="004F3124"/>
    <w:rsid w:val="004F31F4"/>
    <w:rsid w:val="004F3486"/>
    <w:rsid w:val="004F38B7"/>
    <w:rsid w:val="004F3980"/>
    <w:rsid w:val="004F3C00"/>
    <w:rsid w:val="004F3E28"/>
    <w:rsid w:val="004F4352"/>
    <w:rsid w:val="004F4A40"/>
    <w:rsid w:val="004F4A99"/>
    <w:rsid w:val="004F4B11"/>
    <w:rsid w:val="004F4C23"/>
    <w:rsid w:val="004F4CFD"/>
    <w:rsid w:val="004F4F6E"/>
    <w:rsid w:val="004F4F7F"/>
    <w:rsid w:val="004F512C"/>
    <w:rsid w:val="004F54B7"/>
    <w:rsid w:val="004F5988"/>
    <w:rsid w:val="004F5991"/>
    <w:rsid w:val="004F5A3F"/>
    <w:rsid w:val="004F5E80"/>
    <w:rsid w:val="004F6057"/>
    <w:rsid w:val="004F621F"/>
    <w:rsid w:val="004F62B6"/>
    <w:rsid w:val="004F6603"/>
    <w:rsid w:val="004F68FF"/>
    <w:rsid w:val="004F6C65"/>
    <w:rsid w:val="004F769F"/>
    <w:rsid w:val="004F79BD"/>
    <w:rsid w:val="004F7A0E"/>
    <w:rsid w:val="004F7BD8"/>
    <w:rsid w:val="00500083"/>
    <w:rsid w:val="005008B0"/>
    <w:rsid w:val="00500A6A"/>
    <w:rsid w:val="00501108"/>
    <w:rsid w:val="005013E8"/>
    <w:rsid w:val="00501AF9"/>
    <w:rsid w:val="00501B06"/>
    <w:rsid w:val="005026D8"/>
    <w:rsid w:val="00502A4D"/>
    <w:rsid w:val="00502BC4"/>
    <w:rsid w:val="00502EAE"/>
    <w:rsid w:val="0050308C"/>
    <w:rsid w:val="00503998"/>
    <w:rsid w:val="0050399D"/>
    <w:rsid w:val="00503A1B"/>
    <w:rsid w:val="005040A6"/>
    <w:rsid w:val="00504466"/>
    <w:rsid w:val="00504961"/>
    <w:rsid w:val="00504A05"/>
    <w:rsid w:val="00504D48"/>
    <w:rsid w:val="00504DBA"/>
    <w:rsid w:val="0050500F"/>
    <w:rsid w:val="00505279"/>
    <w:rsid w:val="0050563D"/>
    <w:rsid w:val="00505B1F"/>
    <w:rsid w:val="00505BEA"/>
    <w:rsid w:val="00505CEC"/>
    <w:rsid w:val="00505DCD"/>
    <w:rsid w:val="005063E1"/>
    <w:rsid w:val="005064F4"/>
    <w:rsid w:val="005064F8"/>
    <w:rsid w:val="00506742"/>
    <w:rsid w:val="00507374"/>
    <w:rsid w:val="00507388"/>
    <w:rsid w:val="00507CC5"/>
    <w:rsid w:val="0051048E"/>
    <w:rsid w:val="0051051D"/>
    <w:rsid w:val="0051074A"/>
    <w:rsid w:val="005114CF"/>
    <w:rsid w:val="00511E1E"/>
    <w:rsid w:val="00511ED0"/>
    <w:rsid w:val="00512043"/>
    <w:rsid w:val="005121A5"/>
    <w:rsid w:val="00512360"/>
    <w:rsid w:val="0051239B"/>
    <w:rsid w:val="005138A0"/>
    <w:rsid w:val="00513E7C"/>
    <w:rsid w:val="00514245"/>
    <w:rsid w:val="0051424F"/>
    <w:rsid w:val="0051444F"/>
    <w:rsid w:val="005146CA"/>
    <w:rsid w:val="0051508F"/>
    <w:rsid w:val="0051523E"/>
    <w:rsid w:val="005154BA"/>
    <w:rsid w:val="005157E0"/>
    <w:rsid w:val="00515CE5"/>
    <w:rsid w:val="00515F18"/>
    <w:rsid w:val="005160D8"/>
    <w:rsid w:val="005162FF"/>
    <w:rsid w:val="00516339"/>
    <w:rsid w:val="005163F8"/>
    <w:rsid w:val="00516444"/>
    <w:rsid w:val="0051660B"/>
    <w:rsid w:val="00516BBB"/>
    <w:rsid w:val="0051795D"/>
    <w:rsid w:val="00517C1D"/>
    <w:rsid w:val="005203F1"/>
    <w:rsid w:val="0052063E"/>
    <w:rsid w:val="00520E82"/>
    <w:rsid w:val="00521537"/>
    <w:rsid w:val="005215C7"/>
    <w:rsid w:val="00522478"/>
    <w:rsid w:val="00522E5B"/>
    <w:rsid w:val="00522EE5"/>
    <w:rsid w:val="005234FD"/>
    <w:rsid w:val="005239C9"/>
    <w:rsid w:val="005239FA"/>
    <w:rsid w:val="00523D76"/>
    <w:rsid w:val="00523DD7"/>
    <w:rsid w:val="00523E83"/>
    <w:rsid w:val="00523F7F"/>
    <w:rsid w:val="005240FE"/>
    <w:rsid w:val="005248BB"/>
    <w:rsid w:val="00524CCF"/>
    <w:rsid w:val="00524F8B"/>
    <w:rsid w:val="00525523"/>
    <w:rsid w:val="005257F0"/>
    <w:rsid w:val="00525A0B"/>
    <w:rsid w:val="005263C3"/>
    <w:rsid w:val="0052641C"/>
    <w:rsid w:val="0052676F"/>
    <w:rsid w:val="005272F5"/>
    <w:rsid w:val="0052738D"/>
    <w:rsid w:val="00527C9D"/>
    <w:rsid w:val="00527F30"/>
    <w:rsid w:val="00530604"/>
    <w:rsid w:val="005308A5"/>
    <w:rsid w:val="00530A14"/>
    <w:rsid w:val="00531084"/>
    <w:rsid w:val="00531402"/>
    <w:rsid w:val="005314C5"/>
    <w:rsid w:val="005314E7"/>
    <w:rsid w:val="005314E9"/>
    <w:rsid w:val="00531723"/>
    <w:rsid w:val="0053238B"/>
    <w:rsid w:val="0053275E"/>
    <w:rsid w:val="005329FE"/>
    <w:rsid w:val="00532C8C"/>
    <w:rsid w:val="00532D9A"/>
    <w:rsid w:val="00532FD7"/>
    <w:rsid w:val="0053324F"/>
    <w:rsid w:val="0053393C"/>
    <w:rsid w:val="00533D21"/>
    <w:rsid w:val="00533EA1"/>
    <w:rsid w:val="00534091"/>
    <w:rsid w:val="0053447F"/>
    <w:rsid w:val="005345EE"/>
    <w:rsid w:val="005348BF"/>
    <w:rsid w:val="005348CA"/>
    <w:rsid w:val="00534D46"/>
    <w:rsid w:val="00535208"/>
    <w:rsid w:val="005356F3"/>
    <w:rsid w:val="00535AE0"/>
    <w:rsid w:val="00535C0B"/>
    <w:rsid w:val="00536030"/>
    <w:rsid w:val="005360A8"/>
    <w:rsid w:val="0053645F"/>
    <w:rsid w:val="0053667F"/>
    <w:rsid w:val="00536B37"/>
    <w:rsid w:val="00536E4D"/>
    <w:rsid w:val="005374BD"/>
    <w:rsid w:val="005378D6"/>
    <w:rsid w:val="00537F99"/>
    <w:rsid w:val="00537FA7"/>
    <w:rsid w:val="00540538"/>
    <w:rsid w:val="005405B4"/>
    <w:rsid w:val="005412CD"/>
    <w:rsid w:val="00541307"/>
    <w:rsid w:val="005413A8"/>
    <w:rsid w:val="005417C3"/>
    <w:rsid w:val="00541B8E"/>
    <w:rsid w:val="00541E10"/>
    <w:rsid w:val="00541E36"/>
    <w:rsid w:val="00541EF9"/>
    <w:rsid w:val="0054230C"/>
    <w:rsid w:val="0054240D"/>
    <w:rsid w:val="00542445"/>
    <w:rsid w:val="00542667"/>
    <w:rsid w:val="0054284E"/>
    <w:rsid w:val="00542906"/>
    <w:rsid w:val="00542ABE"/>
    <w:rsid w:val="005431CF"/>
    <w:rsid w:val="0054328B"/>
    <w:rsid w:val="00543353"/>
    <w:rsid w:val="00543531"/>
    <w:rsid w:val="005435ED"/>
    <w:rsid w:val="00543D0A"/>
    <w:rsid w:val="00544330"/>
    <w:rsid w:val="0054447B"/>
    <w:rsid w:val="00544492"/>
    <w:rsid w:val="00544688"/>
    <w:rsid w:val="00544B37"/>
    <w:rsid w:val="00544E8E"/>
    <w:rsid w:val="00544EFB"/>
    <w:rsid w:val="005454F3"/>
    <w:rsid w:val="00545532"/>
    <w:rsid w:val="005455E5"/>
    <w:rsid w:val="00545943"/>
    <w:rsid w:val="005459E8"/>
    <w:rsid w:val="00545B99"/>
    <w:rsid w:val="00545E2A"/>
    <w:rsid w:val="0054624D"/>
    <w:rsid w:val="0054681B"/>
    <w:rsid w:val="00546C40"/>
    <w:rsid w:val="00546DBF"/>
    <w:rsid w:val="005470AA"/>
    <w:rsid w:val="005474E2"/>
    <w:rsid w:val="0054779A"/>
    <w:rsid w:val="00547A17"/>
    <w:rsid w:val="00547BA1"/>
    <w:rsid w:val="00547F56"/>
    <w:rsid w:val="00550077"/>
    <w:rsid w:val="00550105"/>
    <w:rsid w:val="00550856"/>
    <w:rsid w:val="005508E1"/>
    <w:rsid w:val="00551357"/>
    <w:rsid w:val="0055186B"/>
    <w:rsid w:val="00551ECF"/>
    <w:rsid w:val="00552074"/>
    <w:rsid w:val="0055231C"/>
    <w:rsid w:val="0055264A"/>
    <w:rsid w:val="00552947"/>
    <w:rsid w:val="00552BC2"/>
    <w:rsid w:val="00552D38"/>
    <w:rsid w:val="00553256"/>
    <w:rsid w:val="005535D0"/>
    <w:rsid w:val="005536F4"/>
    <w:rsid w:val="0055375F"/>
    <w:rsid w:val="00553FD3"/>
    <w:rsid w:val="0055419F"/>
    <w:rsid w:val="005542CA"/>
    <w:rsid w:val="00554A08"/>
    <w:rsid w:val="00554A6F"/>
    <w:rsid w:val="00554BF5"/>
    <w:rsid w:val="00554CBE"/>
    <w:rsid w:val="005552A9"/>
    <w:rsid w:val="0055552D"/>
    <w:rsid w:val="00555620"/>
    <w:rsid w:val="0055564B"/>
    <w:rsid w:val="0055574E"/>
    <w:rsid w:val="00555ECC"/>
    <w:rsid w:val="005560E6"/>
    <w:rsid w:val="00556101"/>
    <w:rsid w:val="00556626"/>
    <w:rsid w:val="00556978"/>
    <w:rsid w:val="0055739B"/>
    <w:rsid w:val="00557966"/>
    <w:rsid w:val="00557B9F"/>
    <w:rsid w:val="00557CB1"/>
    <w:rsid w:val="0056072C"/>
    <w:rsid w:val="005607A1"/>
    <w:rsid w:val="0056091E"/>
    <w:rsid w:val="005609D8"/>
    <w:rsid w:val="00560C78"/>
    <w:rsid w:val="00561371"/>
    <w:rsid w:val="0056172D"/>
    <w:rsid w:val="00561955"/>
    <w:rsid w:val="00561A8B"/>
    <w:rsid w:val="00561FEF"/>
    <w:rsid w:val="0056261A"/>
    <w:rsid w:val="005635F3"/>
    <w:rsid w:val="00563B46"/>
    <w:rsid w:val="00563F9A"/>
    <w:rsid w:val="0056411C"/>
    <w:rsid w:val="0056414A"/>
    <w:rsid w:val="00564172"/>
    <w:rsid w:val="005642D2"/>
    <w:rsid w:val="005646B4"/>
    <w:rsid w:val="00564FC8"/>
    <w:rsid w:val="00565657"/>
    <w:rsid w:val="005656A8"/>
    <w:rsid w:val="00565883"/>
    <w:rsid w:val="00565A81"/>
    <w:rsid w:val="00565B4C"/>
    <w:rsid w:val="005663FF"/>
    <w:rsid w:val="0056640D"/>
    <w:rsid w:val="00566A70"/>
    <w:rsid w:val="00566D03"/>
    <w:rsid w:val="005673E5"/>
    <w:rsid w:val="00567511"/>
    <w:rsid w:val="00567611"/>
    <w:rsid w:val="005676CB"/>
    <w:rsid w:val="005677E5"/>
    <w:rsid w:val="00567BC0"/>
    <w:rsid w:val="00567C7C"/>
    <w:rsid w:val="00570117"/>
    <w:rsid w:val="005703F1"/>
    <w:rsid w:val="0057064A"/>
    <w:rsid w:val="00570663"/>
    <w:rsid w:val="00570D24"/>
    <w:rsid w:val="0057105F"/>
    <w:rsid w:val="005710E3"/>
    <w:rsid w:val="005714C1"/>
    <w:rsid w:val="00571AC2"/>
    <w:rsid w:val="00571D60"/>
    <w:rsid w:val="00571E64"/>
    <w:rsid w:val="005722BF"/>
    <w:rsid w:val="00572328"/>
    <w:rsid w:val="0057241B"/>
    <w:rsid w:val="0057261B"/>
    <w:rsid w:val="005727F1"/>
    <w:rsid w:val="00572B2B"/>
    <w:rsid w:val="00573006"/>
    <w:rsid w:val="00573696"/>
    <w:rsid w:val="00573DC6"/>
    <w:rsid w:val="00573DED"/>
    <w:rsid w:val="005740FC"/>
    <w:rsid w:val="0057467D"/>
    <w:rsid w:val="005746EA"/>
    <w:rsid w:val="005749AA"/>
    <w:rsid w:val="00574AAD"/>
    <w:rsid w:val="00574C1A"/>
    <w:rsid w:val="00574EBE"/>
    <w:rsid w:val="00574ED1"/>
    <w:rsid w:val="00575105"/>
    <w:rsid w:val="005754BA"/>
    <w:rsid w:val="00575C87"/>
    <w:rsid w:val="005760B3"/>
    <w:rsid w:val="005760C0"/>
    <w:rsid w:val="005764B9"/>
    <w:rsid w:val="00576A1B"/>
    <w:rsid w:val="00576BCC"/>
    <w:rsid w:val="00576C36"/>
    <w:rsid w:val="0057723C"/>
    <w:rsid w:val="0057724F"/>
    <w:rsid w:val="0057772C"/>
    <w:rsid w:val="005779E8"/>
    <w:rsid w:val="00577B51"/>
    <w:rsid w:val="00577B7B"/>
    <w:rsid w:val="00577E4E"/>
    <w:rsid w:val="00577E65"/>
    <w:rsid w:val="00580080"/>
    <w:rsid w:val="005804FB"/>
    <w:rsid w:val="0058095F"/>
    <w:rsid w:val="00580AC8"/>
    <w:rsid w:val="00580B4F"/>
    <w:rsid w:val="00580BF2"/>
    <w:rsid w:val="00580C1D"/>
    <w:rsid w:val="00580CF3"/>
    <w:rsid w:val="00580EEB"/>
    <w:rsid w:val="00580F3D"/>
    <w:rsid w:val="00580FCF"/>
    <w:rsid w:val="00581344"/>
    <w:rsid w:val="00581869"/>
    <w:rsid w:val="005818B9"/>
    <w:rsid w:val="005820A3"/>
    <w:rsid w:val="005821BD"/>
    <w:rsid w:val="0058230D"/>
    <w:rsid w:val="005834CF"/>
    <w:rsid w:val="0058363D"/>
    <w:rsid w:val="00583673"/>
    <w:rsid w:val="00583B7F"/>
    <w:rsid w:val="00583B82"/>
    <w:rsid w:val="00583D08"/>
    <w:rsid w:val="0058425E"/>
    <w:rsid w:val="0058471A"/>
    <w:rsid w:val="00584C96"/>
    <w:rsid w:val="00584D32"/>
    <w:rsid w:val="00585203"/>
    <w:rsid w:val="005854F9"/>
    <w:rsid w:val="00585F00"/>
    <w:rsid w:val="005860AA"/>
    <w:rsid w:val="0058624F"/>
    <w:rsid w:val="00586285"/>
    <w:rsid w:val="00586343"/>
    <w:rsid w:val="0058668A"/>
    <w:rsid w:val="00586B80"/>
    <w:rsid w:val="00587411"/>
    <w:rsid w:val="0058754E"/>
    <w:rsid w:val="00587716"/>
    <w:rsid w:val="005877AA"/>
    <w:rsid w:val="00587BE7"/>
    <w:rsid w:val="00587C5E"/>
    <w:rsid w:val="00587CBA"/>
    <w:rsid w:val="00587CBC"/>
    <w:rsid w:val="00587CEE"/>
    <w:rsid w:val="00587F37"/>
    <w:rsid w:val="005900F7"/>
    <w:rsid w:val="00590420"/>
    <w:rsid w:val="0059053A"/>
    <w:rsid w:val="00590718"/>
    <w:rsid w:val="005907D3"/>
    <w:rsid w:val="00591472"/>
    <w:rsid w:val="00591566"/>
    <w:rsid w:val="00591911"/>
    <w:rsid w:val="00591D02"/>
    <w:rsid w:val="00591F58"/>
    <w:rsid w:val="0059244E"/>
    <w:rsid w:val="00592C48"/>
    <w:rsid w:val="0059345B"/>
    <w:rsid w:val="005934AB"/>
    <w:rsid w:val="00593CE6"/>
    <w:rsid w:val="00593D9F"/>
    <w:rsid w:val="00593EE4"/>
    <w:rsid w:val="00594265"/>
    <w:rsid w:val="00594311"/>
    <w:rsid w:val="00594676"/>
    <w:rsid w:val="00595297"/>
    <w:rsid w:val="0059556C"/>
    <w:rsid w:val="0059559B"/>
    <w:rsid w:val="00595971"/>
    <w:rsid w:val="00595A50"/>
    <w:rsid w:val="00595DF1"/>
    <w:rsid w:val="0059601A"/>
    <w:rsid w:val="00596361"/>
    <w:rsid w:val="0059641D"/>
    <w:rsid w:val="00596524"/>
    <w:rsid w:val="005965DB"/>
    <w:rsid w:val="00596649"/>
    <w:rsid w:val="00596935"/>
    <w:rsid w:val="00596A87"/>
    <w:rsid w:val="00596CA2"/>
    <w:rsid w:val="00596CC9"/>
    <w:rsid w:val="00596E77"/>
    <w:rsid w:val="00596F4F"/>
    <w:rsid w:val="0059741E"/>
    <w:rsid w:val="00597769"/>
    <w:rsid w:val="00597950"/>
    <w:rsid w:val="00597D35"/>
    <w:rsid w:val="00597FF2"/>
    <w:rsid w:val="005A0B35"/>
    <w:rsid w:val="005A0D02"/>
    <w:rsid w:val="005A0F11"/>
    <w:rsid w:val="005A1C30"/>
    <w:rsid w:val="005A1F4C"/>
    <w:rsid w:val="005A21BB"/>
    <w:rsid w:val="005A2E3D"/>
    <w:rsid w:val="005A2F5B"/>
    <w:rsid w:val="005A32A6"/>
    <w:rsid w:val="005A354A"/>
    <w:rsid w:val="005A3865"/>
    <w:rsid w:val="005A3A23"/>
    <w:rsid w:val="005A3FF9"/>
    <w:rsid w:val="005A41B6"/>
    <w:rsid w:val="005A47A9"/>
    <w:rsid w:val="005A49B5"/>
    <w:rsid w:val="005A4A36"/>
    <w:rsid w:val="005A5375"/>
    <w:rsid w:val="005A5491"/>
    <w:rsid w:val="005A562B"/>
    <w:rsid w:val="005A5669"/>
    <w:rsid w:val="005A56F9"/>
    <w:rsid w:val="005A5B7B"/>
    <w:rsid w:val="005A5BB0"/>
    <w:rsid w:val="005A5BDE"/>
    <w:rsid w:val="005A5C9C"/>
    <w:rsid w:val="005A5D02"/>
    <w:rsid w:val="005A60A5"/>
    <w:rsid w:val="005A668D"/>
    <w:rsid w:val="005A6B73"/>
    <w:rsid w:val="005A6C0A"/>
    <w:rsid w:val="005A6D6D"/>
    <w:rsid w:val="005A7264"/>
    <w:rsid w:val="005A728C"/>
    <w:rsid w:val="005A7C22"/>
    <w:rsid w:val="005A7D9C"/>
    <w:rsid w:val="005A7EB7"/>
    <w:rsid w:val="005A7FA6"/>
    <w:rsid w:val="005B081B"/>
    <w:rsid w:val="005B0978"/>
    <w:rsid w:val="005B10A1"/>
    <w:rsid w:val="005B10CB"/>
    <w:rsid w:val="005B1175"/>
    <w:rsid w:val="005B1601"/>
    <w:rsid w:val="005B26FD"/>
    <w:rsid w:val="005B2E3B"/>
    <w:rsid w:val="005B2F01"/>
    <w:rsid w:val="005B336B"/>
    <w:rsid w:val="005B38B3"/>
    <w:rsid w:val="005B3B94"/>
    <w:rsid w:val="005B4352"/>
    <w:rsid w:val="005B483C"/>
    <w:rsid w:val="005B4CFC"/>
    <w:rsid w:val="005B4EBF"/>
    <w:rsid w:val="005B4EF3"/>
    <w:rsid w:val="005B4F19"/>
    <w:rsid w:val="005B58B0"/>
    <w:rsid w:val="005B6041"/>
    <w:rsid w:val="005B6582"/>
    <w:rsid w:val="005B67F4"/>
    <w:rsid w:val="005B6DB4"/>
    <w:rsid w:val="005B6E0D"/>
    <w:rsid w:val="005B70C9"/>
    <w:rsid w:val="005B7469"/>
    <w:rsid w:val="005B78BD"/>
    <w:rsid w:val="005B7C1D"/>
    <w:rsid w:val="005B7E0F"/>
    <w:rsid w:val="005B7F1F"/>
    <w:rsid w:val="005B7F9C"/>
    <w:rsid w:val="005C01AE"/>
    <w:rsid w:val="005C0298"/>
    <w:rsid w:val="005C0302"/>
    <w:rsid w:val="005C0769"/>
    <w:rsid w:val="005C0C07"/>
    <w:rsid w:val="005C1654"/>
    <w:rsid w:val="005C18F5"/>
    <w:rsid w:val="005C1CF5"/>
    <w:rsid w:val="005C1E7B"/>
    <w:rsid w:val="005C22C8"/>
    <w:rsid w:val="005C28E5"/>
    <w:rsid w:val="005C2D34"/>
    <w:rsid w:val="005C2E81"/>
    <w:rsid w:val="005C360A"/>
    <w:rsid w:val="005C3E8E"/>
    <w:rsid w:val="005C4349"/>
    <w:rsid w:val="005C4887"/>
    <w:rsid w:val="005C4910"/>
    <w:rsid w:val="005C4DA4"/>
    <w:rsid w:val="005C4E11"/>
    <w:rsid w:val="005C51CA"/>
    <w:rsid w:val="005C5722"/>
    <w:rsid w:val="005C59E4"/>
    <w:rsid w:val="005C5EC4"/>
    <w:rsid w:val="005C6036"/>
    <w:rsid w:val="005C60BF"/>
    <w:rsid w:val="005C665F"/>
    <w:rsid w:val="005C7007"/>
    <w:rsid w:val="005C74C0"/>
    <w:rsid w:val="005C767B"/>
    <w:rsid w:val="005C7B01"/>
    <w:rsid w:val="005C7EE9"/>
    <w:rsid w:val="005D147F"/>
    <w:rsid w:val="005D1484"/>
    <w:rsid w:val="005D1548"/>
    <w:rsid w:val="005D1E3A"/>
    <w:rsid w:val="005D1F82"/>
    <w:rsid w:val="005D20A1"/>
    <w:rsid w:val="005D221C"/>
    <w:rsid w:val="005D2A2A"/>
    <w:rsid w:val="005D2A43"/>
    <w:rsid w:val="005D3991"/>
    <w:rsid w:val="005D39DA"/>
    <w:rsid w:val="005D3EC4"/>
    <w:rsid w:val="005D3FC0"/>
    <w:rsid w:val="005D4066"/>
    <w:rsid w:val="005D41D9"/>
    <w:rsid w:val="005D4CD4"/>
    <w:rsid w:val="005D51EF"/>
    <w:rsid w:val="005D5733"/>
    <w:rsid w:val="005D5855"/>
    <w:rsid w:val="005D5B53"/>
    <w:rsid w:val="005D694D"/>
    <w:rsid w:val="005D6BAB"/>
    <w:rsid w:val="005D6EA0"/>
    <w:rsid w:val="005D6ED5"/>
    <w:rsid w:val="005E01D2"/>
    <w:rsid w:val="005E0571"/>
    <w:rsid w:val="005E0765"/>
    <w:rsid w:val="005E07B3"/>
    <w:rsid w:val="005E0B04"/>
    <w:rsid w:val="005E1009"/>
    <w:rsid w:val="005E1362"/>
    <w:rsid w:val="005E139C"/>
    <w:rsid w:val="005E141C"/>
    <w:rsid w:val="005E15E9"/>
    <w:rsid w:val="005E1830"/>
    <w:rsid w:val="005E1F2E"/>
    <w:rsid w:val="005E21C9"/>
    <w:rsid w:val="005E236B"/>
    <w:rsid w:val="005E28D6"/>
    <w:rsid w:val="005E3188"/>
    <w:rsid w:val="005E3324"/>
    <w:rsid w:val="005E3A83"/>
    <w:rsid w:val="005E3AC4"/>
    <w:rsid w:val="005E3F22"/>
    <w:rsid w:val="005E41DC"/>
    <w:rsid w:val="005E45AA"/>
    <w:rsid w:val="005E4C99"/>
    <w:rsid w:val="005E508E"/>
    <w:rsid w:val="005E51E5"/>
    <w:rsid w:val="005E576E"/>
    <w:rsid w:val="005E595A"/>
    <w:rsid w:val="005E5DB3"/>
    <w:rsid w:val="005E5E3F"/>
    <w:rsid w:val="005E6B2F"/>
    <w:rsid w:val="005E6C1D"/>
    <w:rsid w:val="005E7259"/>
    <w:rsid w:val="005E7470"/>
    <w:rsid w:val="005E76E2"/>
    <w:rsid w:val="005E7852"/>
    <w:rsid w:val="005E793C"/>
    <w:rsid w:val="005E7B36"/>
    <w:rsid w:val="005E7FCB"/>
    <w:rsid w:val="005F02E6"/>
    <w:rsid w:val="005F0600"/>
    <w:rsid w:val="005F0A92"/>
    <w:rsid w:val="005F10F1"/>
    <w:rsid w:val="005F1473"/>
    <w:rsid w:val="005F1911"/>
    <w:rsid w:val="005F198F"/>
    <w:rsid w:val="005F249F"/>
    <w:rsid w:val="005F26E7"/>
    <w:rsid w:val="005F2A5B"/>
    <w:rsid w:val="005F2CBA"/>
    <w:rsid w:val="005F2CE7"/>
    <w:rsid w:val="005F30B5"/>
    <w:rsid w:val="005F3102"/>
    <w:rsid w:val="005F3216"/>
    <w:rsid w:val="005F4044"/>
    <w:rsid w:val="005F4DFE"/>
    <w:rsid w:val="005F4EF9"/>
    <w:rsid w:val="005F4FAE"/>
    <w:rsid w:val="005F519E"/>
    <w:rsid w:val="005F5213"/>
    <w:rsid w:val="005F52F1"/>
    <w:rsid w:val="005F57A9"/>
    <w:rsid w:val="005F5DB9"/>
    <w:rsid w:val="005F631B"/>
    <w:rsid w:val="005F6A2E"/>
    <w:rsid w:val="005F6FEA"/>
    <w:rsid w:val="005F70AF"/>
    <w:rsid w:val="005F7118"/>
    <w:rsid w:val="005F74A0"/>
    <w:rsid w:val="005F74FF"/>
    <w:rsid w:val="006002F1"/>
    <w:rsid w:val="0060030B"/>
    <w:rsid w:val="00600789"/>
    <w:rsid w:val="00600852"/>
    <w:rsid w:val="00600B30"/>
    <w:rsid w:val="006015AE"/>
    <w:rsid w:val="00601659"/>
    <w:rsid w:val="006017B1"/>
    <w:rsid w:val="006018A5"/>
    <w:rsid w:val="00601951"/>
    <w:rsid w:val="00601E58"/>
    <w:rsid w:val="00601FEC"/>
    <w:rsid w:val="006022DE"/>
    <w:rsid w:val="0060237C"/>
    <w:rsid w:val="006025F2"/>
    <w:rsid w:val="00602943"/>
    <w:rsid w:val="006038B5"/>
    <w:rsid w:val="00604184"/>
    <w:rsid w:val="00604676"/>
    <w:rsid w:val="006046DF"/>
    <w:rsid w:val="00604DEA"/>
    <w:rsid w:val="00604F53"/>
    <w:rsid w:val="00605FC2"/>
    <w:rsid w:val="00606415"/>
    <w:rsid w:val="0060685F"/>
    <w:rsid w:val="0060699A"/>
    <w:rsid w:val="00606BFE"/>
    <w:rsid w:val="00606FDE"/>
    <w:rsid w:val="00607066"/>
    <w:rsid w:val="00607197"/>
    <w:rsid w:val="006072C0"/>
    <w:rsid w:val="006076E3"/>
    <w:rsid w:val="00607819"/>
    <w:rsid w:val="00607A16"/>
    <w:rsid w:val="0061039F"/>
    <w:rsid w:val="00610530"/>
    <w:rsid w:val="006109F8"/>
    <w:rsid w:val="00610F82"/>
    <w:rsid w:val="00611231"/>
    <w:rsid w:val="00611280"/>
    <w:rsid w:val="00611284"/>
    <w:rsid w:val="006113A6"/>
    <w:rsid w:val="00611B2B"/>
    <w:rsid w:val="00611B4C"/>
    <w:rsid w:val="00611DEA"/>
    <w:rsid w:val="00611EC6"/>
    <w:rsid w:val="00611EE0"/>
    <w:rsid w:val="00612392"/>
    <w:rsid w:val="006125E6"/>
    <w:rsid w:val="0061272F"/>
    <w:rsid w:val="006129BB"/>
    <w:rsid w:val="00612FA5"/>
    <w:rsid w:val="006138E1"/>
    <w:rsid w:val="00613CE5"/>
    <w:rsid w:val="006147EA"/>
    <w:rsid w:val="00614C42"/>
    <w:rsid w:val="00614E16"/>
    <w:rsid w:val="0061517E"/>
    <w:rsid w:val="006153A3"/>
    <w:rsid w:val="006155A2"/>
    <w:rsid w:val="00615AFF"/>
    <w:rsid w:val="00616A72"/>
    <w:rsid w:val="00617A3B"/>
    <w:rsid w:val="00617AF6"/>
    <w:rsid w:val="0062004A"/>
    <w:rsid w:val="0062082A"/>
    <w:rsid w:val="00620CD9"/>
    <w:rsid w:val="00620F3E"/>
    <w:rsid w:val="0062151A"/>
    <w:rsid w:val="0062163F"/>
    <w:rsid w:val="00621D99"/>
    <w:rsid w:val="00622689"/>
    <w:rsid w:val="0062275B"/>
    <w:rsid w:val="0062286B"/>
    <w:rsid w:val="00622B12"/>
    <w:rsid w:val="00623075"/>
    <w:rsid w:val="0062323D"/>
    <w:rsid w:val="006233A5"/>
    <w:rsid w:val="00623675"/>
    <w:rsid w:val="00623784"/>
    <w:rsid w:val="00623910"/>
    <w:rsid w:val="006239FB"/>
    <w:rsid w:val="00624170"/>
    <w:rsid w:val="00624429"/>
    <w:rsid w:val="00624445"/>
    <w:rsid w:val="006245D8"/>
    <w:rsid w:val="006248B7"/>
    <w:rsid w:val="00624A27"/>
    <w:rsid w:val="00624D74"/>
    <w:rsid w:val="00624E14"/>
    <w:rsid w:val="006252C0"/>
    <w:rsid w:val="0062558C"/>
    <w:rsid w:val="006258D8"/>
    <w:rsid w:val="006261C4"/>
    <w:rsid w:val="006265FA"/>
    <w:rsid w:val="006267B5"/>
    <w:rsid w:val="0062716D"/>
    <w:rsid w:val="006279AB"/>
    <w:rsid w:val="00627AF2"/>
    <w:rsid w:val="00627FF3"/>
    <w:rsid w:val="006300A2"/>
    <w:rsid w:val="0063058D"/>
    <w:rsid w:val="00630B32"/>
    <w:rsid w:val="0063103D"/>
    <w:rsid w:val="006310BD"/>
    <w:rsid w:val="00631808"/>
    <w:rsid w:val="00631903"/>
    <w:rsid w:val="00631A9A"/>
    <w:rsid w:val="00631B85"/>
    <w:rsid w:val="00631CED"/>
    <w:rsid w:val="0063225D"/>
    <w:rsid w:val="00632F94"/>
    <w:rsid w:val="006330E3"/>
    <w:rsid w:val="006331C4"/>
    <w:rsid w:val="00633495"/>
    <w:rsid w:val="00633AD4"/>
    <w:rsid w:val="00633F2D"/>
    <w:rsid w:val="0063413A"/>
    <w:rsid w:val="00634ADC"/>
    <w:rsid w:val="0063519F"/>
    <w:rsid w:val="0063535C"/>
    <w:rsid w:val="00635AA0"/>
    <w:rsid w:val="00635D51"/>
    <w:rsid w:val="00636160"/>
    <w:rsid w:val="00636324"/>
    <w:rsid w:val="0063632F"/>
    <w:rsid w:val="006374F3"/>
    <w:rsid w:val="00637BCE"/>
    <w:rsid w:val="0064011E"/>
    <w:rsid w:val="006401D5"/>
    <w:rsid w:val="006403F2"/>
    <w:rsid w:val="00640511"/>
    <w:rsid w:val="006406E6"/>
    <w:rsid w:val="006407A4"/>
    <w:rsid w:val="00640B6A"/>
    <w:rsid w:val="00640E38"/>
    <w:rsid w:val="00640EFC"/>
    <w:rsid w:val="00641116"/>
    <w:rsid w:val="0064139F"/>
    <w:rsid w:val="0064171D"/>
    <w:rsid w:val="00641C5F"/>
    <w:rsid w:val="00641DEF"/>
    <w:rsid w:val="00641DF2"/>
    <w:rsid w:val="006424A8"/>
    <w:rsid w:val="006425F3"/>
    <w:rsid w:val="00642B5F"/>
    <w:rsid w:val="00642FB7"/>
    <w:rsid w:val="0064399D"/>
    <w:rsid w:val="00643A25"/>
    <w:rsid w:val="00643A9E"/>
    <w:rsid w:val="00643AAF"/>
    <w:rsid w:val="00643AD9"/>
    <w:rsid w:val="00643BA2"/>
    <w:rsid w:val="00643EC4"/>
    <w:rsid w:val="00643F55"/>
    <w:rsid w:val="00644316"/>
    <w:rsid w:val="00644A2A"/>
    <w:rsid w:val="00645324"/>
    <w:rsid w:val="00645754"/>
    <w:rsid w:val="00645AA5"/>
    <w:rsid w:val="00645E1D"/>
    <w:rsid w:val="00645E3D"/>
    <w:rsid w:val="00646049"/>
    <w:rsid w:val="00646097"/>
    <w:rsid w:val="006462EE"/>
    <w:rsid w:val="006464E7"/>
    <w:rsid w:val="0064651C"/>
    <w:rsid w:val="0064681C"/>
    <w:rsid w:val="00646A9B"/>
    <w:rsid w:val="00646B6E"/>
    <w:rsid w:val="00646EFC"/>
    <w:rsid w:val="0064757E"/>
    <w:rsid w:val="006476C8"/>
    <w:rsid w:val="0064787F"/>
    <w:rsid w:val="00647A50"/>
    <w:rsid w:val="00647DD3"/>
    <w:rsid w:val="006500B1"/>
    <w:rsid w:val="006509A5"/>
    <w:rsid w:val="00650C56"/>
    <w:rsid w:val="00650DE7"/>
    <w:rsid w:val="00650F0E"/>
    <w:rsid w:val="0065107D"/>
    <w:rsid w:val="00651275"/>
    <w:rsid w:val="00651A88"/>
    <w:rsid w:val="00651A89"/>
    <w:rsid w:val="00651A93"/>
    <w:rsid w:val="00651B86"/>
    <w:rsid w:val="006527FC"/>
    <w:rsid w:val="00652858"/>
    <w:rsid w:val="0065300F"/>
    <w:rsid w:val="00653354"/>
    <w:rsid w:val="006535B5"/>
    <w:rsid w:val="006535D0"/>
    <w:rsid w:val="00653904"/>
    <w:rsid w:val="00653FD1"/>
    <w:rsid w:val="0065530D"/>
    <w:rsid w:val="00655672"/>
    <w:rsid w:val="006558DC"/>
    <w:rsid w:val="00655B02"/>
    <w:rsid w:val="006562C4"/>
    <w:rsid w:val="00656B27"/>
    <w:rsid w:val="00656E67"/>
    <w:rsid w:val="00656FE0"/>
    <w:rsid w:val="00657004"/>
    <w:rsid w:val="00657343"/>
    <w:rsid w:val="0065739C"/>
    <w:rsid w:val="006574A8"/>
    <w:rsid w:val="00657630"/>
    <w:rsid w:val="00657D7B"/>
    <w:rsid w:val="00657F8B"/>
    <w:rsid w:val="0066006E"/>
    <w:rsid w:val="0066019D"/>
    <w:rsid w:val="00660401"/>
    <w:rsid w:val="006613F4"/>
    <w:rsid w:val="006618F1"/>
    <w:rsid w:val="006618FC"/>
    <w:rsid w:val="0066220E"/>
    <w:rsid w:val="006625DE"/>
    <w:rsid w:val="00662950"/>
    <w:rsid w:val="00662D02"/>
    <w:rsid w:val="00662DAD"/>
    <w:rsid w:val="00662DBB"/>
    <w:rsid w:val="0066337E"/>
    <w:rsid w:val="00663A28"/>
    <w:rsid w:val="00663D00"/>
    <w:rsid w:val="00663E86"/>
    <w:rsid w:val="00663ECE"/>
    <w:rsid w:val="00663FE5"/>
    <w:rsid w:val="0066404A"/>
    <w:rsid w:val="00664479"/>
    <w:rsid w:val="00664564"/>
    <w:rsid w:val="0066457A"/>
    <w:rsid w:val="00664DA0"/>
    <w:rsid w:val="00665555"/>
    <w:rsid w:val="00665773"/>
    <w:rsid w:val="00665902"/>
    <w:rsid w:val="00665F7A"/>
    <w:rsid w:val="00665FD2"/>
    <w:rsid w:val="006666C1"/>
    <w:rsid w:val="00666B28"/>
    <w:rsid w:val="00666E81"/>
    <w:rsid w:val="00667232"/>
    <w:rsid w:val="00667264"/>
    <w:rsid w:val="006672F5"/>
    <w:rsid w:val="00667352"/>
    <w:rsid w:val="006675BA"/>
    <w:rsid w:val="0066796D"/>
    <w:rsid w:val="006701B4"/>
    <w:rsid w:val="006702FB"/>
    <w:rsid w:val="00670E4A"/>
    <w:rsid w:val="00670F02"/>
    <w:rsid w:val="00670F55"/>
    <w:rsid w:val="00670F63"/>
    <w:rsid w:val="0067125B"/>
    <w:rsid w:val="00671699"/>
    <w:rsid w:val="00671B7E"/>
    <w:rsid w:val="00671CC6"/>
    <w:rsid w:val="00671F28"/>
    <w:rsid w:val="00672115"/>
    <w:rsid w:val="006723BA"/>
    <w:rsid w:val="006725AC"/>
    <w:rsid w:val="006726A4"/>
    <w:rsid w:val="006729EF"/>
    <w:rsid w:val="00672B5F"/>
    <w:rsid w:val="00672FD9"/>
    <w:rsid w:val="006739DC"/>
    <w:rsid w:val="00673B72"/>
    <w:rsid w:val="00673B98"/>
    <w:rsid w:val="00673DBA"/>
    <w:rsid w:val="0067485F"/>
    <w:rsid w:val="006750C1"/>
    <w:rsid w:val="00675584"/>
    <w:rsid w:val="006756FD"/>
    <w:rsid w:val="00675955"/>
    <w:rsid w:val="00675B28"/>
    <w:rsid w:val="006762B8"/>
    <w:rsid w:val="00676706"/>
    <w:rsid w:val="006767BC"/>
    <w:rsid w:val="00677564"/>
    <w:rsid w:val="006776E9"/>
    <w:rsid w:val="00677FE4"/>
    <w:rsid w:val="006801F7"/>
    <w:rsid w:val="00680503"/>
    <w:rsid w:val="0068052F"/>
    <w:rsid w:val="0068057D"/>
    <w:rsid w:val="0068061E"/>
    <w:rsid w:val="00680965"/>
    <w:rsid w:val="0068104B"/>
    <w:rsid w:val="00681177"/>
    <w:rsid w:val="00681D75"/>
    <w:rsid w:val="00681DFD"/>
    <w:rsid w:val="0068242E"/>
    <w:rsid w:val="00682985"/>
    <w:rsid w:val="00682AD7"/>
    <w:rsid w:val="00682E50"/>
    <w:rsid w:val="00683985"/>
    <w:rsid w:val="00683AFB"/>
    <w:rsid w:val="00683D63"/>
    <w:rsid w:val="00683DF7"/>
    <w:rsid w:val="0068435C"/>
    <w:rsid w:val="00684BAF"/>
    <w:rsid w:val="00684D9A"/>
    <w:rsid w:val="0068500F"/>
    <w:rsid w:val="00685B52"/>
    <w:rsid w:val="00685BE0"/>
    <w:rsid w:val="00685BFF"/>
    <w:rsid w:val="00685F07"/>
    <w:rsid w:val="00686019"/>
    <w:rsid w:val="00686172"/>
    <w:rsid w:val="0068629C"/>
    <w:rsid w:val="00686A42"/>
    <w:rsid w:val="00687093"/>
    <w:rsid w:val="00687290"/>
    <w:rsid w:val="00687D30"/>
    <w:rsid w:val="00690206"/>
    <w:rsid w:val="00690466"/>
    <w:rsid w:val="006907CE"/>
    <w:rsid w:val="006913CB"/>
    <w:rsid w:val="006914A7"/>
    <w:rsid w:val="006915A2"/>
    <w:rsid w:val="00691D82"/>
    <w:rsid w:val="006920E6"/>
    <w:rsid w:val="00692204"/>
    <w:rsid w:val="00692217"/>
    <w:rsid w:val="006938FC"/>
    <w:rsid w:val="00693F07"/>
    <w:rsid w:val="006944AE"/>
    <w:rsid w:val="006944CE"/>
    <w:rsid w:val="006949A8"/>
    <w:rsid w:val="0069514D"/>
    <w:rsid w:val="0069516F"/>
    <w:rsid w:val="0069519C"/>
    <w:rsid w:val="006953AD"/>
    <w:rsid w:val="006958CA"/>
    <w:rsid w:val="00695911"/>
    <w:rsid w:val="006959BA"/>
    <w:rsid w:val="00695CEB"/>
    <w:rsid w:val="00695CF6"/>
    <w:rsid w:val="00695CFA"/>
    <w:rsid w:val="00695DAC"/>
    <w:rsid w:val="00696148"/>
    <w:rsid w:val="006961BC"/>
    <w:rsid w:val="00696249"/>
    <w:rsid w:val="00696744"/>
    <w:rsid w:val="006967D5"/>
    <w:rsid w:val="00696BC2"/>
    <w:rsid w:val="00696BF6"/>
    <w:rsid w:val="00696EB7"/>
    <w:rsid w:val="00696EBB"/>
    <w:rsid w:val="00697172"/>
    <w:rsid w:val="00697267"/>
    <w:rsid w:val="006975CC"/>
    <w:rsid w:val="00697720"/>
    <w:rsid w:val="006978FE"/>
    <w:rsid w:val="00697BD3"/>
    <w:rsid w:val="00697EC6"/>
    <w:rsid w:val="006A0779"/>
    <w:rsid w:val="006A0A22"/>
    <w:rsid w:val="006A0AE4"/>
    <w:rsid w:val="006A118D"/>
    <w:rsid w:val="006A1AA2"/>
    <w:rsid w:val="006A1F10"/>
    <w:rsid w:val="006A23DA"/>
    <w:rsid w:val="006A2678"/>
    <w:rsid w:val="006A2A1B"/>
    <w:rsid w:val="006A2A1D"/>
    <w:rsid w:val="006A2A5E"/>
    <w:rsid w:val="006A2BE5"/>
    <w:rsid w:val="006A2D42"/>
    <w:rsid w:val="006A2DB5"/>
    <w:rsid w:val="006A2FC1"/>
    <w:rsid w:val="006A305E"/>
    <w:rsid w:val="006A32AD"/>
    <w:rsid w:val="006A3534"/>
    <w:rsid w:val="006A353A"/>
    <w:rsid w:val="006A36DE"/>
    <w:rsid w:val="006A370B"/>
    <w:rsid w:val="006A3D0E"/>
    <w:rsid w:val="006A3EBF"/>
    <w:rsid w:val="006A4434"/>
    <w:rsid w:val="006A45D0"/>
    <w:rsid w:val="006A4945"/>
    <w:rsid w:val="006A4D4E"/>
    <w:rsid w:val="006A4F1E"/>
    <w:rsid w:val="006A5B36"/>
    <w:rsid w:val="006A675D"/>
    <w:rsid w:val="006A6A2A"/>
    <w:rsid w:val="006A6D36"/>
    <w:rsid w:val="006A6E19"/>
    <w:rsid w:val="006A728D"/>
    <w:rsid w:val="006A779E"/>
    <w:rsid w:val="006A7B15"/>
    <w:rsid w:val="006B08C0"/>
    <w:rsid w:val="006B0E40"/>
    <w:rsid w:val="006B0F19"/>
    <w:rsid w:val="006B1896"/>
    <w:rsid w:val="006B1922"/>
    <w:rsid w:val="006B1A2A"/>
    <w:rsid w:val="006B1F81"/>
    <w:rsid w:val="006B25F0"/>
    <w:rsid w:val="006B277D"/>
    <w:rsid w:val="006B2851"/>
    <w:rsid w:val="006B2992"/>
    <w:rsid w:val="006B2BAC"/>
    <w:rsid w:val="006B2CA4"/>
    <w:rsid w:val="006B2D0A"/>
    <w:rsid w:val="006B3497"/>
    <w:rsid w:val="006B3501"/>
    <w:rsid w:val="006B3753"/>
    <w:rsid w:val="006B384A"/>
    <w:rsid w:val="006B390D"/>
    <w:rsid w:val="006B3BEC"/>
    <w:rsid w:val="006B3C7C"/>
    <w:rsid w:val="006B4121"/>
    <w:rsid w:val="006B4354"/>
    <w:rsid w:val="006B50AF"/>
    <w:rsid w:val="006B532D"/>
    <w:rsid w:val="006B579A"/>
    <w:rsid w:val="006B630A"/>
    <w:rsid w:val="006B64D9"/>
    <w:rsid w:val="006B6725"/>
    <w:rsid w:val="006B6864"/>
    <w:rsid w:val="006B6DA5"/>
    <w:rsid w:val="006B6DBA"/>
    <w:rsid w:val="006B7C24"/>
    <w:rsid w:val="006C0320"/>
    <w:rsid w:val="006C04FF"/>
    <w:rsid w:val="006C0B08"/>
    <w:rsid w:val="006C0CDC"/>
    <w:rsid w:val="006C0DE1"/>
    <w:rsid w:val="006C1077"/>
    <w:rsid w:val="006C146F"/>
    <w:rsid w:val="006C1496"/>
    <w:rsid w:val="006C1577"/>
    <w:rsid w:val="006C177A"/>
    <w:rsid w:val="006C1A37"/>
    <w:rsid w:val="006C211E"/>
    <w:rsid w:val="006C2139"/>
    <w:rsid w:val="006C2CCB"/>
    <w:rsid w:val="006C2EEC"/>
    <w:rsid w:val="006C31CE"/>
    <w:rsid w:val="006C34A5"/>
    <w:rsid w:val="006C352D"/>
    <w:rsid w:val="006C3628"/>
    <w:rsid w:val="006C3D65"/>
    <w:rsid w:val="006C3EAF"/>
    <w:rsid w:val="006C46BA"/>
    <w:rsid w:val="006C4B49"/>
    <w:rsid w:val="006C54F5"/>
    <w:rsid w:val="006C5ACD"/>
    <w:rsid w:val="006C60CF"/>
    <w:rsid w:val="006C6300"/>
    <w:rsid w:val="006C69F8"/>
    <w:rsid w:val="006C6A02"/>
    <w:rsid w:val="006C6A1C"/>
    <w:rsid w:val="006C6A7E"/>
    <w:rsid w:val="006C6EEA"/>
    <w:rsid w:val="006C7BEC"/>
    <w:rsid w:val="006D002C"/>
    <w:rsid w:val="006D04EA"/>
    <w:rsid w:val="006D06D8"/>
    <w:rsid w:val="006D0CF6"/>
    <w:rsid w:val="006D0F9E"/>
    <w:rsid w:val="006D1098"/>
    <w:rsid w:val="006D12B5"/>
    <w:rsid w:val="006D13FE"/>
    <w:rsid w:val="006D1544"/>
    <w:rsid w:val="006D154B"/>
    <w:rsid w:val="006D1AB8"/>
    <w:rsid w:val="006D2461"/>
    <w:rsid w:val="006D2C71"/>
    <w:rsid w:val="006D2EF1"/>
    <w:rsid w:val="006D3377"/>
    <w:rsid w:val="006D342E"/>
    <w:rsid w:val="006D361E"/>
    <w:rsid w:val="006D36B7"/>
    <w:rsid w:val="006D3A49"/>
    <w:rsid w:val="006D4B96"/>
    <w:rsid w:val="006D4BD2"/>
    <w:rsid w:val="006D4F4B"/>
    <w:rsid w:val="006D55DE"/>
    <w:rsid w:val="006D5F37"/>
    <w:rsid w:val="006D5F78"/>
    <w:rsid w:val="006D675D"/>
    <w:rsid w:val="006D686D"/>
    <w:rsid w:val="006D6933"/>
    <w:rsid w:val="006D6BFF"/>
    <w:rsid w:val="006D723A"/>
    <w:rsid w:val="006D7250"/>
    <w:rsid w:val="006D743F"/>
    <w:rsid w:val="006D759C"/>
    <w:rsid w:val="006D75DF"/>
    <w:rsid w:val="006D78E9"/>
    <w:rsid w:val="006D7FF0"/>
    <w:rsid w:val="006E092E"/>
    <w:rsid w:val="006E113F"/>
    <w:rsid w:val="006E14B5"/>
    <w:rsid w:val="006E16F1"/>
    <w:rsid w:val="006E1841"/>
    <w:rsid w:val="006E1D4B"/>
    <w:rsid w:val="006E27DE"/>
    <w:rsid w:val="006E2DBC"/>
    <w:rsid w:val="006E2DF0"/>
    <w:rsid w:val="006E359B"/>
    <w:rsid w:val="006E39DE"/>
    <w:rsid w:val="006E3AFD"/>
    <w:rsid w:val="006E3C01"/>
    <w:rsid w:val="006E3E9E"/>
    <w:rsid w:val="006E4F96"/>
    <w:rsid w:val="006E521A"/>
    <w:rsid w:val="006E5DFA"/>
    <w:rsid w:val="006E64DE"/>
    <w:rsid w:val="006E654B"/>
    <w:rsid w:val="006E67E3"/>
    <w:rsid w:val="006E6CF9"/>
    <w:rsid w:val="006E729E"/>
    <w:rsid w:val="006E7393"/>
    <w:rsid w:val="006E75BF"/>
    <w:rsid w:val="006E7D96"/>
    <w:rsid w:val="006E7F6A"/>
    <w:rsid w:val="006F09B5"/>
    <w:rsid w:val="006F0B36"/>
    <w:rsid w:val="006F0D1E"/>
    <w:rsid w:val="006F128F"/>
    <w:rsid w:val="006F1349"/>
    <w:rsid w:val="006F18E6"/>
    <w:rsid w:val="006F201F"/>
    <w:rsid w:val="006F252E"/>
    <w:rsid w:val="006F28B6"/>
    <w:rsid w:val="006F2BEC"/>
    <w:rsid w:val="006F2C03"/>
    <w:rsid w:val="006F2FA9"/>
    <w:rsid w:val="006F32E7"/>
    <w:rsid w:val="006F38A4"/>
    <w:rsid w:val="006F4078"/>
    <w:rsid w:val="006F4367"/>
    <w:rsid w:val="006F4647"/>
    <w:rsid w:val="006F48B3"/>
    <w:rsid w:val="006F48B8"/>
    <w:rsid w:val="006F48C5"/>
    <w:rsid w:val="006F4ACE"/>
    <w:rsid w:val="006F5315"/>
    <w:rsid w:val="006F540B"/>
    <w:rsid w:val="006F54FF"/>
    <w:rsid w:val="006F553C"/>
    <w:rsid w:val="006F5606"/>
    <w:rsid w:val="006F5830"/>
    <w:rsid w:val="006F5924"/>
    <w:rsid w:val="006F59F1"/>
    <w:rsid w:val="006F5B30"/>
    <w:rsid w:val="006F5F7A"/>
    <w:rsid w:val="006F6258"/>
    <w:rsid w:val="006F65E1"/>
    <w:rsid w:val="006F6678"/>
    <w:rsid w:val="006F6716"/>
    <w:rsid w:val="006F7747"/>
    <w:rsid w:val="006F7C0F"/>
    <w:rsid w:val="006F7C1C"/>
    <w:rsid w:val="006F7F8E"/>
    <w:rsid w:val="00700637"/>
    <w:rsid w:val="00700CB8"/>
    <w:rsid w:val="00701259"/>
    <w:rsid w:val="007013A9"/>
    <w:rsid w:val="00701552"/>
    <w:rsid w:val="00701707"/>
    <w:rsid w:val="00701B08"/>
    <w:rsid w:val="0070269F"/>
    <w:rsid w:val="00702BDC"/>
    <w:rsid w:val="00702CCB"/>
    <w:rsid w:val="00702FD3"/>
    <w:rsid w:val="00703570"/>
    <w:rsid w:val="00703DE7"/>
    <w:rsid w:val="00704310"/>
    <w:rsid w:val="00704FDE"/>
    <w:rsid w:val="00705041"/>
    <w:rsid w:val="00705448"/>
    <w:rsid w:val="00705617"/>
    <w:rsid w:val="00705981"/>
    <w:rsid w:val="007059C1"/>
    <w:rsid w:val="00705B10"/>
    <w:rsid w:val="00705E0F"/>
    <w:rsid w:val="0070601A"/>
    <w:rsid w:val="007060E8"/>
    <w:rsid w:val="007062A3"/>
    <w:rsid w:val="0070698D"/>
    <w:rsid w:val="00706C76"/>
    <w:rsid w:val="00706EB3"/>
    <w:rsid w:val="007072CB"/>
    <w:rsid w:val="00707767"/>
    <w:rsid w:val="0070793F"/>
    <w:rsid w:val="00707ACE"/>
    <w:rsid w:val="00710158"/>
    <w:rsid w:val="0071054F"/>
    <w:rsid w:val="00710EBA"/>
    <w:rsid w:val="007111C4"/>
    <w:rsid w:val="00711670"/>
    <w:rsid w:val="00711BB4"/>
    <w:rsid w:val="00711E3E"/>
    <w:rsid w:val="007122EC"/>
    <w:rsid w:val="007122FB"/>
    <w:rsid w:val="00712C64"/>
    <w:rsid w:val="007130C1"/>
    <w:rsid w:val="00713338"/>
    <w:rsid w:val="007136BC"/>
    <w:rsid w:val="00713A68"/>
    <w:rsid w:val="00714379"/>
    <w:rsid w:val="00714504"/>
    <w:rsid w:val="0071457A"/>
    <w:rsid w:val="00714FF9"/>
    <w:rsid w:val="007150A4"/>
    <w:rsid w:val="0071559E"/>
    <w:rsid w:val="00715CA6"/>
    <w:rsid w:val="00715FEC"/>
    <w:rsid w:val="007162D2"/>
    <w:rsid w:val="007163C2"/>
    <w:rsid w:val="00716C39"/>
    <w:rsid w:val="00716CF6"/>
    <w:rsid w:val="00716E03"/>
    <w:rsid w:val="007170AB"/>
    <w:rsid w:val="00717135"/>
    <w:rsid w:val="00717316"/>
    <w:rsid w:val="007173FB"/>
    <w:rsid w:val="0071742A"/>
    <w:rsid w:val="007176CA"/>
    <w:rsid w:val="00717B39"/>
    <w:rsid w:val="007201CB"/>
    <w:rsid w:val="0072039D"/>
    <w:rsid w:val="00720A7C"/>
    <w:rsid w:val="00720DED"/>
    <w:rsid w:val="00720FA2"/>
    <w:rsid w:val="00721131"/>
    <w:rsid w:val="00721231"/>
    <w:rsid w:val="00721603"/>
    <w:rsid w:val="007218BF"/>
    <w:rsid w:val="0072199D"/>
    <w:rsid w:val="00721BA3"/>
    <w:rsid w:val="00721F33"/>
    <w:rsid w:val="00721F40"/>
    <w:rsid w:val="007224E4"/>
    <w:rsid w:val="00722881"/>
    <w:rsid w:val="00722A5B"/>
    <w:rsid w:val="00722E75"/>
    <w:rsid w:val="0072379D"/>
    <w:rsid w:val="00723B86"/>
    <w:rsid w:val="0072419C"/>
    <w:rsid w:val="007248B7"/>
    <w:rsid w:val="007249C5"/>
    <w:rsid w:val="0072548F"/>
    <w:rsid w:val="0072584E"/>
    <w:rsid w:val="00725903"/>
    <w:rsid w:val="007259B1"/>
    <w:rsid w:val="00725A0D"/>
    <w:rsid w:val="00725EE1"/>
    <w:rsid w:val="00725FC8"/>
    <w:rsid w:val="007266F5"/>
    <w:rsid w:val="00726975"/>
    <w:rsid w:val="00726CBD"/>
    <w:rsid w:val="00726EF0"/>
    <w:rsid w:val="007270BC"/>
    <w:rsid w:val="007273F7"/>
    <w:rsid w:val="00727837"/>
    <w:rsid w:val="00727886"/>
    <w:rsid w:val="007279FB"/>
    <w:rsid w:val="00727BF1"/>
    <w:rsid w:val="007305C6"/>
    <w:rsid w:val="00730839"/>
    <w:rsid w:val="00730C81"/>
    <w:rsid w:val="00730CCB"/>
    <w:rsid w:val="00730E8F"/>
    <w:rsid w:val="00731596"/>
    <w:rsid w:val="00731D48"/>
    <w:rsid w:val="007320B5"/>
    <w:rsid w:val="0073274A"/>
    <w:rsid w:val="00732795"/>
    <w:rsid w:val="0073289F"/>
    <w:rsid w:val="00732B77"/>
    <w:rsid w:val="00732CF5"/>
    <w:rsid w:val="00732F79"/>
    <w:rsid w:val="00732F9C"/>
    <w:rsid w:val="00733683"/>
    <w:rsid w:val="007336F8"/>
    <w:rsid w:val="00733B26"/>
    <w:rsid w:val="00733D9F"/>
    <w:rsid w:val="0073439D"/>
    <w:rsid w:val="00734484"/>
    <w:rsid w:val="00734767"/>
    <w:rsid w:val="00734ABD"/>
    <w:rsid w:val="0073502C"/>
    <w:rsid w:val="0073517B"/>
    <w:rsid w:val="0073591A"/>
    <w:rsid w:val="00735C44"/>
    <w:rsid w:val="007360B0"/>
    <w:rsid w:val="00736801"/>
    <w:rsid w:val="007368A9"/>
    <w:rsid w:val="00737235"/>
    <w:rsid w:val="007373CA"/>
    <w:rsid w:val="0073779A"/>
    <w:rsid w:val="007379A8"/>
    <w:rsid w:val="00737B0C"/>
    <w:rsid w:val="0074007A"/>
    <w:rsid w:val="00740649"/>
    <w:rsid w:val="00741F7E"/>
    <w:rsid w:val="00741FFF"/>
    <w:rsid w:val="00742076"/>
    <w:rsid w:val="007425ED"/>
    <w:rsid w:val="0074324E"/>
    <w:rsid w:val="007435B8"/>
    <w:rsid w:val="0074384A"/>
    <w:rsid w:val="007439CB"/>
    <w:rsid w:val="00743A1E"/>
    <w:rsid w:val="00743DE7"/>
    <w:rsid w:val="00743E87"/>
    <w:rsid w:val="00744004"/>
    <w:rsid w:val="007442AC"/>
    <w:rsid w:val="007446AA"/>
    <w:rsid w:val="00744EDF"/>
    <w:rsid w:val="00744F93"/>
    <w:rsid w:val="00745136"/>
    <w:rsid w:val="00745171"/>
    <w:rsid w:val="00745191"/>
    <w:rsid w:val="007452A7"/>
    <w:rsid w:val="007453C2"/>
    <w:rsid w:val="007453D1"/>
    <w:rsid w:val="00745A15"/>
    <w:rsid w:val="00745DD2"/>
    <w:rsid w:val="00746242"/>
    <w:rsid w:val="007468B6"/>
    <w:rsid w:val="00746B9B"/>
    <w:rsid w:val="00746C55"/>
    <w:rsid w:val="00746EE3"/>
    <w:rsid w:val="007471A1"/>
    <w:rsid w:val="00747629"/>
    <w:rsid w:val="0074763E"/>
    <w:rsid w:val="007479B3"/>
    <w:rsid w:val="00747A93"/>
    <w:rsid w:val="00747AD5"/>
    <w:rsid w:val="007505A3"/>
    <w:rsid w:val="0075075C"/>
    <w:rsid w:val="00751354"/>
    <w:rsid w:val="00751526"/>
    <w:rsid w:val="007516F8"/>
    <w:rsid w:val="00751B77"/>
    <w:rsid w:val="00751D22"/>
    <w:rsid w:val="00751E49"/>
    <w:rsid w:val="00752FCB"/>
    <w:rsid w:val="0075311A"/>
    <w:rsid w:val="007531AD"/>
    <w:rsid w:val="00753648"/>
    <w:rsid w:val="0075382B"/>
    <w:rsid w:val="00753911"/>
    <w:rsid w:val="00753D02"/>
    <w:rsid w:val="00753E1E"/>
    <w:rsid w:val="007540C8"/>
    <w:rsid w:val="00754967"/>
    <w:rsid w:val="007549AF"/>
    <w:rsid w:val="00754EF3"/>
    <w:rsid w:val="007550A4"/>
    <w:rsid w:val="00755179"/>
    <w:rsid w:val="00755393"/>
    <w:rsid w:val="00755A0C"/>
    <w:rsid w:val="0075631E"/>
    <w:rsid w:val="0075666F"/>
    <w:rsid w:val="00756909"/>
    <w:rsid w:val="00756AC4"/>
    <w:rsid w:val="0075704C"/>
    <w:rsid w:val="00757132"/>
    <w:rsid w:val="0075738C"/>
    <w:rsid w:val="00757C3E"/>
    <w:rsid w:val="00760330"/>
    <w:rsid w:val="007606FA"/>
    <w:rsid w:val="007608BF"/>
    <w:rsid w:val="00760B0B"/>
    <w:rsid w:val="00760D10"/>
    <w:rsid w:val="0076116A"/>
    <w:rsid w:val="007611A3"/>
    <w:rsid w:val="00761208"/>
    <w:rsid w:val="007613AF"/>
    <w:rsid w:val="007613EF"/>
    <w:rsid w:val="00761C1D"/>
    <w:rsid w:val="00761CC8"/>
    <w:rsid w:val="00762108"/>
    <w:rsid w:val="00762706"/>
    <w:rsid w:val="007634E2"/>
    <w:rsid w:val="00763F9F"/>
    <w:rsid w:val="007642AB"/>
    <w:rsid w:val="00764659"/>
    <w:rsid w:val="0076468F"/>
    <w:rsid w:val="007646CB"/>
    <w:rsid w:val="0076491D"/>
    <w:rsid w:val="007650AA"/>
    <w:rsid w:val="0076545B"/>
    <w:rsid w:val="00765661"/>
    <w:rsid w:val="00765A72"/>
    <w:rsid w:val="00765A77"/>
    <w:rsid w:val="00765AFD"/>
    <w:rsid w:val="007660B6"/>
    <w:rsid w:val="007668BA"/>
    <w:rsid w:val="00766AD1"/>
    <w:rsid w:val="00766CE1"/>
    <w:rsid w:val="00766D00"/>
    <w:rsid w:val="00767D27"/>
    <w:rsid w:val="00770561"/>
    <w:rsid w:val="00770BB9"/>
    <w:rsid w:val="00770E38"/>
    <w:rsid w:val="00770FB3"/>
    <w:rsid w:val="00771281"/>
    <w:rsid w:val="007712EC"/>
    <w:rsid w:val="007715A4"/>
    <w:rsid w:val="0077190E"/>
    <w:rsid w:val="007723C0"/>
    <w:rsid w:val="0077277E"/>
    <w:rsid w:val="00772BC7"/>
    <w:rsid w:val="00773157"/>
    <w:rsid w:val="00773900"/>
    <w:rsid w:val="00774783"/>
    <w:rsid w:val="00774838"/>
    <w:rsid w:val="0077494F"/>
    <w:rsid w:val="0077498F"/>
    <w:rsid w:val="007749DC"/>
    <w:rsid w:val="00774FFA"/>
    <w:rsid w:val="007751DE"/>
    <w:rsid w:val="00775241"/>
    <w:rsid w:val="007757C8"/>
    <w:rsid w:val="007765C0"/>
    <w:rsid w:val="00776930"/>
    <w:rsid w:val="00776AF1"/>
    <w:rsid w:val="00777556"/>
    <w:rsid w:val="0077782D"/>
    <w:rsid w:val="00777A57"/>
    <w:rsid w:val="007801BA"/>
    <w:rsid w:val="0078063B"/>
    <w:rsid w:val="0078066E"/>
    <w:rsid w:val="0078093C"/>
    <w:rsid w:val="00780B29"/>
    <w:rsid w:val="00780D58"/>
    <w:rsid w:val="00780DED"/>
    <w:rsid w:val="0078133D"/>
    <w:rsid w:val="007815DF"/>
    <w:rsid w:val="0078173C"/>
    <w:rsid w:val="00781E34"/>
    <w:rsid w:val="0078292F"/>
    <w:rsid w:val="007829CB"/>
    <w:rsid w:val="0078345F"/>
    <w:rsid w:val="00783746"/>
    <w:rsid w:val="0078396A"/>
    <w:rsid w:val="007842B9"/>
    <w:rsid w:val="0078484A"/>
    <w:rsid w:val="00784A21"/>
    <w:rsid w:val="00784C64"/>
    <w:rsid w:val="00785312"/>
    <w:rsid w:val="0078548F"/>
    <w:rsid w:val="00785785"/>
    <w:rsid w:val="0078590F"/>
    <w:rsid w:val="007859C6"/>
    <w:rsid w:val="007859DA"/>
    <w:rsid w:val="00785B68"/>
    <w:rsid w:val="00786690"/>
    <w:rsid w:val="007869CA"/>
    <w:rsid w:val="00786D92"/>
    <w:rsid w:val="00786FF8"/>
    <w:rsid w:val="00787CB3"/>
    <w:rsid w:val="00787D2F"/>
    <w:rsid w:val="00790095"/>
    <w:rsid w:val="00790496"/>
    <w:rsid w:val="0079082F"/>
    <w:rsid w:val="00790AF6"/>
    <w:rsid w:val="00790CC3"/>
    <w:rsid w:val="00790DA4"/>
    <w:rsid w:val="00790FFC"/>
    <w:rsid w:val="007914BF"/>
    <w:rsid w:val="007915FE"/>
    <w:rsid w:val="00791AD5"/>
    <w:rsid w:val="00791D31"/>
    <w:rsid w:val="00791D58"/>
    <w:rsid w:val="00791DED"/>
    <w:rsid w:val="00792394"/>
    <w:rsid w:val="00792627"/>
    <w:rsid w:val="007927B8"/>
    <w:rsid w:val="00792A4C"/>
    <w:rsid w:val="00792AA8"/>
    <w:rsid w:val="00792D63"/>
    <w:rsid w:val="00792DAA"/>
    <w:rsid w:val="00793567"/>
    <w:rsid w:val="00793AAE"/>
    <w:rsid w:val="00793C7B"/>
    <w:rsid w:val="00793D8D"/>
    <w:rsid w:val="00794175"/>
    <w:rsid w:val="007942E7"/>
    <w:rsid w:val="0079489D"/>
    <w:rsid w:val="00794972"/>
    <w:rsid w:val="00795ABC"/>
    <w:rsid w:val="00796117"/>
    <w:rsid w:val="0079620A"/>
    <w:rsid w:val="00796498"/>
    <w:rsid w:val="007964E1"/>
    <w:rsid w:val="00796EE7"/>
    <w:rsid w:val="00797022"/>
    <w:rsid w:val="007979E6"/>
    <w:rsid w:val="00797ABE"/>
    <w:rsid w:val="00797BEC"/>
    <w:rsid w:val="00797DFB"/>
    <w:rsid w:val="00797FA7"/>
    <w:rsid w:val="007A02DA"/>
    <w:rsid w:val="007A06FB"/>
    <w:rsid w:val="007A0E55"/>
    <w:rsid w:val="007A0F85"/>
    <w:rsid w:val="007A1001"/>
    <w:rsid w:val="007A176D"/>
    <w:rsid w:val="007A1852"/>
    <w:rsid w:val="007A1BC8"/>
    <w:rsid w:val="007A235E"/>
    <w:rsid w:val="007A2537"/>
    <w:rsid w:val="007A28E6"/>
    <w:rsid w:val="007A2AC3"/>
    <w:rsid w:val="007A2F82"/>
    <w:rsid w:val="007A2FE3"/>
    <w:rsid w:val="007A3ABE"/>
    <w:rsid w:val="007A49D7"/>
    <w:rsid w:val="007A4CB0"/>
    <w:rsid w:val="007A4EBB"/>
    <w:rsid w:val="007A5245"/>
    <w:rsid w:val="007A549E"/>
    <w:rsid w:val="007A5B52"/>
    <w:rsid w:val="007A60F8"/>
    <w:rsid w:val="007A62C3"/>
    <w:rsid w:val="007A671E"/>
    <w:rsid w:val="007A6BEE"/>
    <w:rsid w:val="007A6C9E"/>
    <w:rsid w:val="007A714E"/>
    <w:rsid w:val="007A723E"/>
    <w:rsid w:val="007A7494"/>
    <w:rsid w:val="007A75CB"/>
    <w:rsid w:val="007A78A9"/>
    <w:rsid w:val="007A7A96"/>
    <w:rsid w:val="007A7C60"/>
    <w:rsid w:val="007A7F01"/>
    <w:rsid w:val="007A7F88"/>
    <w:rsid w:val="007B0234"/>
    <w:rsid w:val="007B0463"/>
    <w:rsid w:val="007B0547"/>
    <w:rsid w:val="007B0872"/>
    <w:rsid w:val="007B0EF0"/>
    <w:rsid w:val="007B0F5B"/>
    <w:rsid w:val="007B13DC"/>
    <w:rsid w:val="007B1453"/>
    <w:rsid w:val="007B147E"/>
    <w:rsid w:val="007B1597"/>
    <w:rsid w:val="007B15A7"/>
    <w:rsid w:val="007B1E56"/>
    <w:rsid w:val="007B227C"/>
    <w:rsid w:val="007B25FA"/>
    <w:rsid w:val="007B2914"/>
    <w:rsid w:val="007B2C1C"/>
    <w:rsid w:val="007B2F5A"/>
    <w:rsid w:val="007B3024"/>
    <w:rsid w:val="007B338C"/>
    <w:rsid w:val="007B341B"/>
    <w:rsid w:val="007B40CF"/>
    <w:rsid w:val="007B4102"/>
    <w:rsid w:val="007B4A22"/>
    <w:rsid w:val="007B4E56"/>
    <w:rsid w:val="007B5D0E"/>
    <w:rsid w:val="007B651A"/>
    <w:rsid w:val="007B6648"/>
    <w:rsid w:val="007B6669"/>
    <w:rsid w:val="007B6958"/>
    <w:rsid w:val="007B6EFF"/>
    <w:rsid w:val="007B7342"/>
    <w:rsid w:val="007B73C6"/>
    <w:rsid w:val="007B79AA"/>
    <w:rsid w:val="007B79E9"/>
    <w:rsid w:val="007B7BF4"/>
    <w:rsid w:val="007B7C27"/>
    <w:rsid w:val="007B7DD0"/>
    <w:rsid w:val="007B7E85"/>
    <w:rsid w:val="007B7F9A"/>
    <w:rsid w:val="007C0251"/>
    <w:rsid w:val="007C06AB"/>
    <w:rsid w:val="007C0A93"/>
    <w:rsid w:val="007C0AD8"/>
    <w:rsid w:val="007C1363"/>
    <w:rsid w:val="007C138D"/>
    <w:rsid w:val="007C13C9"/>
    <w:rsid w:val="007C1484"/>
    <w:rsid w:val="007C17BF"/>
    <w:rsid w:val="007C1F2D"/>
    <w:rsid w:val="007C2458"/>
    <w:rsid w:val="007C254C"/>
    <w:rsid w:val="007C2FA5"/>
    <w:rsid w:val="007C311B"/>
    <w:rsid w:val="007C32D6"/>
    <w:rsid w:val="007C3926"/>
    <w:rsid w:val="007C3A3A"/>
    <w:rsid w:val="007C3BA3"/>
    <w:rsid w:val="007C3C62"/>
    <w:rsid w:val="007C3D06"/>
    <w:rsid w:val="007C45A8"/>
    <w:rsid w:val="007C462E"/>
    <w:rsid w:val="007C47AD"/>
    <w:rsid w:val="007C4A0E"/>
    <w:rsid w:val="007C4B0C"/>
    <w:rsid w:val="007C506B"/>
    <w:rsid w:val="007C53C6"/>
    <w:rsid w:val="007C53CE"/>
    <w:rsid w:val="007C54D9"/>
    <w:rsid w:val="007C5DF6"/>
    <w:rsid w:val="007C614B"/>
    <w:rsid w:val="007C6296"/>
    <w:rsid w:val="007C64A0"/>
    <w:rsid w:val="007C651B"/>
    <w:rsid w:val="007C6977"/>
    <w:rsid w:val="007C6AA3"/>
    <w:rsid w:val="007C6DB9"/>
    <w:rsid w:val="007C7891"/>
    <w:rsid w:val="007C79E2"/>
    <w:rsid w:val="007C7A9E"/>
    <w:rsid w:val="007C7BED"/>
    <w:rsid w:val="007C7CB0"/>
    <w:rsid w:val="007C7E4D"/>
    <w:rsid w:val="007C7EF5"/>
    <w:rsid w:val="007C7FA1"/>
    <w:rsid w:val="007D07E8"/>
    <w:rsid w:val="007D0986"/>
    <w:rsid w:val="007D0EFC"/>
    <w:rsid w:val="007D0F39"/>
    <w:rsid w:val="007D13BA"/>
    <w:rsid w:val="007D1D52"/>
    <w:rsid w:val="007D23CC"/>
    <w:rsid w:val="007D291D"/>
    <w:rsid w:val="007D2DC8"/>
    <w:rsid w:val="007D2DE3"/>
    <w:rsid w:val="007D2F35"/>
    <w:rsid w:val="007D35D4"/>
    <w:rsid w:val="007D392F"/>
    <w:rsid w:val="007D3AAD"/>
    <w:rsid w:val="007D4BAB"/>
    <w:rsid w:val="007D5276"/>
    <w:rsid w:val="007D59A7"/>
    <w:rsid w:val="007D5A04"/>
    <w:rsid w:val="007D6118"/>
    <w:rsid w:val="007D698B"/>
    <w:rsid w:val="007D6D27"/>
    <w:rsid w:val="007D73C2"/>
    <w:rsid w:val="007D743B"/>
    <w:rsid w:val="007D779E"/>
    <w:rsid w:val="007D7BB6"/>
    <w:rsid w:val="007D7E05"/>
    <w:rsid w:val="007D7E0F"/>
    <w:rsid w:val="007E0435"/>
    <w:rsid w:val="007E069F"/>
    <w:rsid w:val="007E0710"/>
    <w:rsid w:val="007E0A64"/>
    <w:rsid w:val="007E1721"/>
    <w:rsid w:val="007E1CB8"/>
    <w:rsid w:val="007E1D68"/>
    <w:rsid w:val="007E1E67"/>
    <w:rsid w:val="007E28F2"/>
    <w:rsid w:val="007E2F23"/>
    <w:rsid w:val="007E30A6"/>
    <w:rsid w:val="007E369A"/>
    <w:rsid w:val="007E3CF6"/>
    <w:rsid w:val="007E41A6"/>
    <w:rsid w:val="007E4D6A"/>
    <w:rsid w:val="007E5CCD"/>
    <w:rsid w:val="007E5D35"/>
    <w:rsid w:val="007E5FF3"/>
    <w:rsid w:val="007E609C"/>
    <w:rsid w:val="007E68F0"/>
    <w:rsid w:val="007E6D24"/>
    <w:rsid w:val="007E6D48"/>
    <w:rsid w:val="007E6FA8"/>
    <w:rsid w:val="007E73EF"/>
    <w:rsid w:val="007E757F"/>
    <w:rsid w:val="007F00A1"/>
    <w:rsid w:val="007F0620"/>
    <w:rsid w:val="007F0635"/>
    <w:rsid w:val="007F0D02"/>
    <w:rsid w:val="007F10B4"/>
    <w:rsid w:val="007F1711"/>
    <w:rsid w:val="007F1AB3"/>
    <w:rsid w:val="007F1C6F"/>
    <w:rsid w:val="007F1CD1"/>
    <w:rsid w:val="007F1EC9"/>
    <w:rsid w:val="007F23C8"/>
    <w:rsid w:val="007F366D"/>
    <w:rsid w:val="007F3789"/>
    <w:rsid w:val="007F3C57"/>
    <w:rsid w:val="007F3E66"/>
    <w:rsid w:val="007F4377"/>
    <w:rsid w:val="007F43C2"/>
    <w:rsid w:val="007F4607"/>
    <w:rsid w:val="007F4A9E"/>
    <w:rsid w:val="007F4E0A"/>
    <w:rsid w:val="007F52A6"/>
    <w:rsid w:val="007F5330"/>
    <w:rsid w:val="007F542A"/>
    <w:rsid w:val="007F5789"/>
    <w:rsid w:val="007F6343"/>
    <w:rsid w:val="007F68DA"/>
    <w:rsid w:val="007F728F"/>
    <w:rsid w:val="007F72FB"/>
    <w:rsid w:val="007F73CB"/>
    <w:rsid w:val="007F7DC3"/>
    <w:rsid w:val="007F7FDC"/>
    <w:rsid w:val="008004E7"/>
    <w:rsid w:val="00800F5F"/>
    <w:rsid w:val="0080164D"/>
    <w:rsid w:val="00801858"/>
    <w:rsid w:val="0080276C"/>
    <w:rsid w:val="0080292D"/>
    <w:rsid w:val="00802D36"/>
    <w:rsid w:val="008030AD"/>
    <w:rsid w:val="008031AD"/>
    <w:rsid w:val="00803365"/>
    <w:rsid w:val="00803593"/>
    <w:rsid w:val="0080372A"/>
    <w:rsid w:val="00803A0E"/>
    <w:rsid w:val="00803EE4"/>
    <w:rsid w:val="00804118"/>
    <w:rsid w:val="00804285"/>
    <w:rsid w:val="00804313"/>
    <w:rsid w:val="00804316"/>
    <w:rsid w:val="00804617"/>
    <w:rsid w:val="00804759"/>
    <w:rsid w:val="00804953"/>
    <w:rsid w:val="00804A1A"/>
    <w:rsid w:val="00804E22"/>
    <w:rsid w:val="00804FBB"/>
    <w:rsid w:val="0080511A"/>
    <w:rsid w:val="00805181"/>
    <w:rsid w:val="00805249"/>
    <w:rsid w:val="0080539A"/>
    <w:rsid w:val="00805474"/>
    <w:rsid w:val="008055DA"/>
    <w:rsid w:val="008055F0"/>
    <w:rsid w:val="008057EC"/>
    <w:rsid w:val="00805CF7"/>
    <w:rsid w:val="00805F1F"/>
    <w:rsid w:val="008060C8"/>
    <w:rsid w:val="00806356"/>
    <w:rsid w:val="0080658F"/>
    <w:rsid w:val="00806E6D"/>
    <w:rsid w:val="008071ED"/>
    <w:rsid w:val="00807653"/>
    <w:rsid w:val="00810301"/>
    <w:rsid w:val="00810D21"/>
    <w:rsid w:val="00810E09"/>
    <w:rsid w:val="00810F44"/>
    <w:rsid w:val="00810F51"/>
    <w:rsid w:val="00810F5C"/>
    <w:rsid w:val="00810FD5"/>
    <w:rsid w:val="0081106F"/>
    <w:rsid w:val="008110BD"/>
    <w:rsid w:val="008111FF"/>
    <w:rsid w:val="008116EB"/>
    <w:rsid w:val="00811BA5"/>
    <w:rsid w:val="00812723"/>
    <w:rsid w:val="00812905"/>
    <w:rsid w:val="00812DF8"/>
    <w:rsid w:val="00812F41"/>
    <w:rsid w:val="008131F9"/>
    <w:rsid w:val="00813B1F"/>
    <w:rsid w:val="00813B96"/>
    <w:rsid w:val="00813BA7"/>
    <w:rsid w:val="00814A6A"/>
    <w:rsid w:val="00814ED4"/>
    <w:rsid w:val="008152E3"/>
    <w:rsid w:val="0081557C"/>
    <w:rsid w:val="008155A6"/>
    <w:rsid w:val="008156C1"/>
    <w:rsid w:val="00815858"/>
    <w:rsid w:val="008159B1"/>
    <w:rsid w:val="00815B99"/>
    <w:rsid w:val="00815E8F"/>
    <w:rsid w:val="008161BE"/>
    <w:rsid w:val="008162B0"/>
    <w:rsid w:val="0081641C"/>
    <w:rsid w:val="008164EF"/>
    <w:rsid w:val="00816636"/>
    <w:rsid w:val="008173D3"/>
    <w:rsid w:val="00817A85"/>
    <w:rsid w:val="00817C02"/>
    <w:rsid w:val="00817DE1"/>
    <w:rsid w:val="00820117"/>
    <w:rsid w:val="00820282"/>
    <w:rsid w:val="008203C7"/>
    <w:rsid w:val="00820523"/>
    <w:rsid w:val="00820651"/>
    <w:rsid w:val="008210C3"/>
    <w:rsid w:val="0082117F"/>
    <w:rsid w:val="008211A1"/>
    <w:rsid w:val="0082208D"/>
    <w:rsid w:val="00822C0B"/>
    <w:rsid w:val="00823869"/>
    <w:rsid w:val="00823AB4"/>
    <w:rsid w:val="00823C18"/>
    <w:rsid w:val="008242DD"/>
    <w:rsid w:val="00825152"/>
    <w:rsid w:val="00825200"/>
    <w:rsid w:val="00825887"/>
    <w:rsid w:val="00825A12"/>
    <w:rsid w:val="00825D5D"/>
    <w:rsid w:val="0082619C"/>
    <w:rsid w:val="008267F5"/>
    <w:rsid w:val="00826B49"/>
    <w:rsid w:val="0082744D"/>
    <w:rsid w:val="00830185"/>
    <w:rsid w:val="00830617"/>
    <w:rsid w:val="00830A44"/>
    <w:rsid w:val="008310ED"/>
    <w:rsid w:val="008312E0"/>
    <w:rsid w:val="00831805"/>
    <w:rsid w:val="008318FC"/>
    <w:rsid w:val="00831A0D"/>
    <w:rsid w:val="00831A63"/>
    <w:rsid w:val="00831E25"/>
    <w:rsid w:val="008323B7"/>
    <w:rsid w:val="00832529"/>
    <w:rsid w:val="00832542"/>
    <w:rsid w:val="0083254B"/>
    <w:rsid w:val="008326EE"/>
    <w:rsid w:val="00832CA8"/>
    <w:rsid w:val="00832D74"/>
    <w:rsid w:val="00832FE8"/>
    <w:rsid w:val="0083303C"/>
    <w:rsid w:val="00833286"/>
    <w:rsid w:val="00833764"/>
    <w:rsid w:val="00833DBF"/>
    <w:rsid w:val="008344F1"/>
    <w:rsid w:val="0083451C"/>
    <w:rsid w:val="00834615"/>
    <w:rsid w:val="008351BB"/>
    <w:rsid w:val="00835402"/>
    <w:rsid w:val="00835823"/>
    <w:rsid w:val="008360B8"/>
    <w:rsid w:val="00836637"/>
    <w:rsid w:val="008366FB"/>
    <w:rsid w:val="00836955"/>
    <w:rsid w:val="00836AD2"/>
    <w:rsid w:val="00836F17"/>
    <w:rsid w:val="0083754D"/>
    <w:rsid w:val="008375CC"/>
    <w:rsid w:val="00837AD2"/>
    <w:rsid w:val="00837E48"/>
    <w:rsid w:val="00840061"/>
    <w:rsid w:val="00840074"/>
    <w:rsid w:val="008404C1"/>
    <w:rsid w:val="00840586"/>
    <w:rsid w:val="008406B8"/>
    <w:rsid w:val="00840828"/>
    <w:rsid w:val="00840AD7"/>
    <w:rsid w:val="00840E27"/>
    <w:rsid w:val="0084129F"/>
    <w:rsid w:val="0084134D"/>
    <w:rsid w:val="008414DE"/>
    <w:rsid w:val="008415CC"/>
    <w:rsid w:val="00841E46"/>
    <w:rsid w:val="00842331"/>
    <w:rsid w:val="00842862"/>
    <w:rsid w:val="00842A52"/>
    <w:rsid w:val="0084362D"/>
    <w:rsid w:val="00843788"/>
    <w:rsid w:val="00843EAD"/>
    <w:rsid w:val="00844A64"/>
    <w:rsid w:val="00845102"/>
    <w:rsid w:val="00845199"/>
    <w:rsid w:val="00845232"/>
    <w:rsid w:val="00845360"/>
    <w:rsid w:val="008453AA"/>
    <w:rsid w:val="008453D4"/>
    <w:rsid w:val="00845595"/>
    <w:rsid w:val="00845890"/>
    <w:rsid w:val="008458C4"/>
    <w:rsid w:val="00845A5C"/>
    <w:rsid w:val="0084640C"/>
    <w:rsid w:val="0084666B"/>
    <w:rsid w:val="0084693C"/>
    <w:rsid w:val="00846955"/>
    <w:rsid w:val="00846C7C"/>
    <w:rsid w:val="00847391"/>
    <w:rsid w:val="0084785D"/>
    <w:rsid w:val="008478C2"/>
    <w:rsid w:val="00847949"/>
    <w:rsid w:val="00847DFE"/>
    <w:rsid w:val="00850194"/>
    <w:rsid w:val="008502CA"/>
    <w:rsid w:val="00850701"/>
    <w:rsid w:val="00850F15"/>
    <w:rsid w:val="00851111"/>
    <w:rsid w:val="00851830"/>
    <w:rsid w:val="00851E51"/>
    <w:rsid w:val="00851F2C"/>
    <w:rsid w:val="008525CF"/>
    <w:rsid w:val="008527C8"/>
    <w:rsid w:val="00853106"/>
    <w:rsid w:val="00853181"/>
    <w:rsid w:val="008531BF"/>
    <w:rsid w:val="00853471"/>
    <w:rsid w:val="008534CB"/>
    <w:rsid w:val="0085351D"/>
    <w:rsid w:val="008536B0"/>
    <w:rsid w:val="00853A62"/>
    <w:rsid w:val="008542CC"/>
    <w:rsid w:val="0085481C"/>
    <w:rsid w:val="0085498F"/>
    <w:rsid w:val="008549B7"/>
    <w:rsid w:val="00854A80"/>
    <w:rsid w:val="00854AF2"/>
    <w:rsid w:val="00854EE8"/>
    <w:rsid w:val="00854F26"/>
    <w:rsid w:val="0085541B"/>
    <w:rsid w:val="00855544"/>
    <w:rsid w:val="008556A4"/>
    <w:rsid w:val="008556D8"/>
    <w:rsid w:val="00855A9E"/>
    <w:rsid w:val="008563EE"/>
    <w:rsid w:val="0085665C"/>
    <w:rsid w:val="008567C6"/>
    <w:rsid w:val="00856FD1"/>
    <w:rsid w:val="00857287"/>
    <w:rsid w:val="008572F9"/>
    <w:rsid w:val="00857383"/>
    <w:rsid w:val="00857522"/>
    <w:rsid w:val="0085761E"/>
    <w:rsid w:val="0085766B"/>
    <w:rsid w:val="008579A8"/>
    <w:rsid w:val="008603F7"/>
    <w:rsid w:val="00860672"/>
    <w:rsid w:val="00860973"/>
    <w:rsid w:val="00860B77"/>
    <w:rsid w:val="00860E77"/>
    <w:rsid w:val="00861409"/>
    <w:rsid w:val="00861559"/>
    <w:rsid w:val="008617F5"/>
    <w:rsid w:val="0086183E"/>
    <w:rsid w:val="00861B06"/>
    <w:rsid w:val="00862054"/>
    <w:rsid w:val="008623D7"/>
    <w:rsid w:val="0086246A"/>
    <w:rsid w:val="0086251C"/>
    <w:rsid w:val="00862DF0"/>
    <w:rsid w:val="00863157"/>
    <w:rsid w:val="008635F9"/>
    <w:rsid w:val="008639ED"/>
    <w:rsid w:val="008639F0"/>
    <w:rsid w:val="00863A05"/>
    <w:rsid w:val="00863BBE"/>
    <w:rsid w:val="0086411C"/>
    <w:rsid w:val="008648B5"/>
    <w:rsid w:val="00864D6F"/>
    <w:rsid w:val="00864DC1"/>
    <w:rsid w:val="008653B6"/>
    <w:rsid w:val="008654BD"/>
    <w:rsid w:val="00865752"/>
    <w:rsid w:val="008658A3"/>
    <w:rsid w:val="00865A78"/>
    <w:rsid w:val="00866054"/>
    <w:rsid w:val="008661B0"/>
    <w:rsid w:val="0086641A"/>
    <w:rsid w:val="00867549"/>
    <w:rsid w:val="00867866"/>
    <w:rsid w:val="00867BBE"/>
    <w:rsid w:val="00867ECF"/>
    <w:rsid w:val="00867F68"/>
    <w:rsid w:val="00870248"/>
    <w:rsid w:val="00870435"/>
    <w:rsid w:val="008707BF"/>
    <w:rsid w:val="00870E9A"/>
    <w:rsid w:val="00871031"/>
    <w:rsid w:val="008717B4"/>
    <w:rsid w:val="00871962"/>
    <w:rsid w:val="00872135"/>
    <w:rsid w:val="0087216E"/>
    <w:rsid w:val="008726D6"/>
    <w:rsid w:val="008728A6"/>
    <w:rsid w:val="008728F5"/>
    <w:rsid w:val="00872BE3"/>
    <w:rsid w:val="00872C6C"/>
    <w:rsid w:val="00872C7F"/>
    <w:rsid w:val="00872DDA"/>
    <w:rsid w:val="00872F07"/>
    <w:rsid w:val="00873193"/>
    <w:rsid w:val="00873666"/>
    <w:rsid w:val="008737D3"/>
    <w:rsid w:val="00873C39"/>
    <w:rsid w:val="00873D5D"/>
    <w:rsid w:val="00873DB2"/>
    <w:rsid w:val="00873E0E"/>
    <w:rsid w:val="00873E48"/>
    <w:rsid w:val="008741A9"/>
    <w:rsid w:val="008742AC"/>
    <w:rsid w:val="008743FE"/>
    <w:rsid w:val="00874491"/>
    <w:rsid w:val="0087474D"/>
    <w:rsid w:val="0087475F"/>
    <w:rsid w:val="008748A5"/>
    <w:rsid w:val="00874B1F"/>
    <w:rsid w:val="00875D9F"/>
    <w:rsid w:val="008762A5"/>
    <w:rsid w:val="008764F6"/>
    <w:rsid w:val="008769FC"/>
    <w:rsid w:val="00876B6A"/>
    <w:rsid w:val="00876C7C"/>
    <w:rsid w:val="00876DC5"/>
    <w:rsid w:val="00876EB1"/>
    <w:rsid w:val="00877477"/>
    <w:rsid w:val="0087787A"/>
    <w:rsid w:val="00877CBF"/>
    <w:rsid w:val="00877DEA"/>
    <w:rsid w:val="008800AD"/>
    <w:rsid w:val="008805F8"/>
    <w:rsid w:val="008806E1"/>
    <w:rsid w:val="00880A32"/>
    <w:rsid w:val="00880AB9"/>
    <w:rsid w:val="00880EFD"/>
    <w:rsid w:val="00881787"/>
    <w:rsid w:val="00881EA0"/>
    <w:rsid w:val="00881EBD"/>
    <w:rsid w:val="00881F62"/>
    <w:rsid w:val="00882142"/>
    <w:rsid w:val="00882378"/>
    <w:rsid w:val="00882398"/>
    <w:rsid w:val="00882644"/>
    <w:rsid w:val="008828FC"/>
    <w:rsid w:val="00882D53"/>
    <w:rsid w:val="00882F50"/>
    <w:rsid w:val="008830E3"/>
    <w:rsid w:val="00883437"/>
    <w:rsid w:val="008834C5"/>
    <w:rsid w:val="00883AEB"/>
    <w:rsid w:val="00883C24"/>
    <w:rsid w:val="00883D4D"/>
    <w:rsid w:val="008842C3"/>
    <w:rsid w:val="00884340"/>
    <w:rsid w:val="008846F7"/>
    <w:rsid w:val="008849A3"/>
    <w:rsid w:val="00884AAE"/>
    <w:rsid w:val="00884FCD"/>
    <w:rsid w:val="0088509B"/>
    <w:rsid w:val="008853F8"/>
    <w:rsid w:val="008859E4"/>
    <w:rsid w:val="00885A12"/>
    <w:rsid w:val="00885C32"/>
    <w:rsid w:val="00885E33"/>
    <w:rsid w:val="00886512"/>
    <w:rsid w:val="0088664C"/>
    <w:rsid w:val="008866AD"/>
    <w:rsid w:val="00886E9C"/>
    <w:rsid w:val="00886F31"/>
    <w:rsid w:val="0088723C"/>
    <w:rsid w:val="00887B26"/>
    <w:rsid w:val="00887C4B"/>
    <w:rsid w:val="008903D2"/>
    <w:rsid w:val="00890A46"/>
    <w:rsid w:val="008919A7"/>
    <w:rsid w:val="00891CD7"/>
    <w:rsid w:val="008922A2"/>
    <w:rsid w:val="0089262F"/>
    <w:rsid w:val="0089272F"/>
    <w:rsid w:val="00892EA6"/>
    <w:rsid w:val="008931A8"/>
    <w:rsid w:val="008932F6"/>
    <w:rsid w:val="00893712"/>
    <w:rsid w:val="00893D5A"/>
    <w:rsid w:val="00894A5A"/>
    <w:rsid w:val="00894CEA"/>
    <w:rsid w:val="00894E94"/>
    <w:rsid w:val="0089518C"/>
    <w:rsid w:val="008953BD"/>
    <w:rsid w:val="00895B46"/>
    <w:rsid w:val="008962B1"/>
    <w:rsid w:val="008963EC"/>
    <w:rsid w:val="008964F1"/>
    <w:rsid w:val="008968D4"/>
    <w:rsid w:val="00896BC4"/>
    <w:rsid w:val="00897289"/>
    <w:rsid w:val="008979DC"/>
    <w:rsid w:val="00897DED"/>
    <w:rsid w:val="00897ECA"/>
    <w:rsid w:val="00897F89"/>
    <w:rsid w:val="008A00B9"/>
    <w:rsid w:val="008A0240"/>
    <w:rsid w:val="008A02D5"/>
    <w:rsid w:val="008A035F"/>
    <w:rsid w:val="008A0A8E"/>
    <w:rsid w:val="008A0D36"/>
    <w:rsid w:val="008A0D45"/>
    <w:rsid w:val="008A145C"/>
    <w:rsid w:val="008A16AE"/>
    <w:rsid w:val="008A1BF2"/>
    <w:rsid w:val="008A1C6E"/>
    <w:rsid w:val="008A1F83"/>
    <w:rsid w:val="008A2303"/>
    <w:rsid w:val="008A2686"/>
    <w:rsid w:val="008A2B1D"/>
    <w:rsid w:val="008A304C"/>
    <w:rsid w:val="008A304F"/>
    <w:rsid w:val="008A3544"/>
    <w:rsid w:val="008A3A12"/>
    <w:rsid w:val="008A3D21"/>
    <w:rsid w:val="008A3DAA"/>
    <w:rsid w:val="008A3E9A"/>
    <w:rsid w:val="008A4628"/>
    <w:rsid w:val="008A4860"/>
    <w:rsid w:val="008A4C78"/>
    <w:rsid w:val="008A50DA"/>
    <w:rsid w:val="008A54C7"/>
    <w:rsid w:val="008A609A"/>
    <w:rsid w:val="008A60A3"/>
    <w:rsid w:val="008A61CF"/>
    <w:rsid w:val="008A661D"/>
    <w:rsid w:val="008A6839"/>
    <w:rsid w:val="008A7027"/>
    <w:rsid w:val="008A7029"/>
    <w:rsid w:val="008A70B7"/>
    <w:rsid w:val="008A7697"/>
    <w:rsid w:val="008A78EC"/>
    <w:rsid w:val="008A79A2"/>
    <w:rsid w:val="008A7AAC"/>
    <w:rsid w:val="008A7DEE"/>
    <w:rsid w:val="008B04F0"/>
    <w:rsid w:val="008B0C45"/>
    <w:rsid w:val="008B0DB2"/>
    <w:rsid w:val="008B0DD4"/>
    <w:rsid w:val="008B0FE7"/>
    <w:rsid w:val="008B1DD9"/>
    <w:rsid w:val="008B1EB7"/>
    <w:rsid w:val="008B2F6B"/>
    <w:rsid w:val="008B3431"/>
    <w:rsid w:val="008B374E"/>
    <w:rsid w:val="008B4041"/>
    <w:rsid w:val="008B4187"/>
    <w:rsid w:val="008B47CB"/>
    <w:rsid w:val="008B4856"/>
    <w:rsid w:val="008B496E"/>
    <w:rsid w:val="008B4B9D"/>
    <w:rsid w:val="008B4D76"/>
    <w:rsid w:val="008B50B8"/>
    <w:rsid w:val="008B5145"/>
    <w:rsid w:val="008B5AFE"/>
    <w:rsid w:val="008B5B63"/>
    <w:rsid w:val="008B5E48"/>
    <w:rsid w:val="008B618C"/>
    <w:rsid w:val="008B6A6C"/>
    <w:rsid w:val="008B73E8"/>
    <w:rsid w:val="008B785D"/>
    <w:rsid w:val="008B789C"/>
    <w:rsid w:val="008B7C8C"/>
    <w:rsid w:val="008C00F0"/>
    <w:rsid w:val="008C01B8"/>
    <w:rsid w:val="008C0627"/>
    <w:rsid w:val="008C096C"/>
    <w:rsid w:val="008C1399"/>
    <w:rsid w:val="008C15BB"/>
    <w:rsid w:val="008C191A"/>
    <w:rsid w:val="008C1A38"/>
    <w:rsid w:val="008C1FC2"/>
    <w:rsid w:val="008C2164"/>
    <w:rsid w:val="008C23B5"/>
    <w:rsid w:val="008C28E5"/>
    <w:rsid w:val="008C2954"/>
    <w:rsid w:val="008C29FF"/>
    <w:rsid w:val="008C2C52"/>
    <w:rsid w:val="008C2F6F"/>
    <w:rsid w:val="008C43CD"/>
    <w:rsid w:val="008C4699"/>
    <w:rsid w:val="008C4E5F"/>
    <w:rsid w:val="008C5F98"/>
    <w:rsid w:val="008C62BB"/>
    <w:rsid w:val="008C6585"/>
    <w:rsid w:val="008C6703"/>
    <w:rsid w:val="008C6762"/>
    <w:rsid w:val="008C6886"/>
    <w:rsid w:val="008C6969"/>
    <w:rsid w:val="008C6A1F"/>
    <w:rsid w:val="008C6B6F"/>
    <w:rsid w:val="008C6C82"/>
    <w:rsid w:val="008C7B21"/>
    <w:rsid w:val="008D0190"/>
    <w:rsid w:val="008D06DA"/>
    <w:rsid w:val="008D0832"/>
    <w:rsid w:val="008D0D65"/>
    <w:rsid w:val="008D101D"/>
    <w:rsid w:val="008D1262"/>
    <w:rsid w:val="008D1308"/>
    <w:rsid w:val="008D1409"/>
    <w:rsid w:val="008D15F7"/>
    <w:rsid w:val="008D1813"/>
    <w:rsid w:val="008D1B87"/>
    <w:rsid w:val="008D1C50"/>
    <w:rsid w:val="008D1FDE"/>
    <w:rsid w:val="008D2A19"/>
    <w:rsid w:val="008D2B88"/>
    <w:rsid w:val="008D2C58"/>
    <w:rsid w:val="008D33AF"/>
    <w:rsid w:val="008D351D"/>
    <w:rsid w:val="008D379D"/>
    <w:rsid w:val="008D4110"/>
    <w:rsid w:val="008D45BC"/>
    <w:rsid w:val="008D47B9"/>
    <w:rsid w:val="008D4DD3"/>
    <w:rsid w:val="008D513B"/>
    <w:rsid w:val="008D53B0"/>
    <w:rsid w:val="008D5B43"/>
    <w:rsid w:val="008D6012"/>
    <w:rsid w:val="008D6761"/>
    <w:rsid w:val="008D72D3"/>
    <w:rsid w:val="008D787F"/>
    <w:rsid w:val="008D7D1C"/>
    <w:rsid w:val="008E06ED"/>
    <w:rsid w:val="008E1662"/>
    <w:rsid w:val="008E16D6"/>
    <w:rsid w:val="008E1C45"/>
    <w:rsid w:val="008E1DA6"/>
    <w:rsid w:val="008E2022"/>
    <w:rsid w:val="008E22ED"/>
    <w:rsid w:val="008E242E"/>
    <w:rsid w:val="008E261B"/>
    <w:rsid w:val="008E2763"/>
    <w:rsid w:val="008E27D9"/>
    <w:rsid w:val="008E2EFB"/>
    <w:rsid w:val="008E337A"/>
    <w:rsid w:val="008E3C8E"/>
    <w:rsid w:val="008E3DC1"/>
    <w:rsid w:val="008E3F78"/>
    <w:rsid w:val="008E4F27"/>
    <w:rsid w:val="008E51D5"/>
    <w:rsid w:val="008E5E62"/>
    <w:rsid w:val="008E5F43"/>
    <w:rsid w:val="008E6073"/>
    <w:rsid w:val="008E6114"/>
    <w:rsid w:val="008E618B"/>
    <w:rsid w:val="008E6372"/>
    <w:rsid w:val="008E647B"/>
    <w:rsid w:val="008E6B59"/>
    <w:rsid w:val="008E7930"/>
    <w:rsid w:val="008E7B61"/>
    <w:rsid w:val="008F0641"/>
    <w:rsid w:val="008F06B1"/>
    <w:rsid w:val="008F1503"/>
    <w:rsid w:val="008F163E"/>
    <w:rsid w:val="008F1E40"/>
    <w:rsid w:val="008F25AA"/>
    <w:rsid w:val="008F2692"/>
    <w:rsid w:val="008F2788"/>
    <w:rsid w:val="008F2A87"/>
    <w:rsid w:val="008F3AE2"/>
    <w:rsid w:val="008F3B0A"/>
    <w:rsid w:val="008F3B79"/>
    <w:rsid w:val="008F40F2"/>
    <w:rsid w:val="008F4420"/>
    <w:rsid w:val="008F44F4"/>
    <w:rsid w:val="008F452F"/>
    <w:rsid w:val="008F4A1F"/>
    <w:rsid w:val="008F4E2F"/>
    <w:rsid w:val="008F5261"/>
    <w:rsid w:val="008F52CE"/>
    <w:rsid w:val="008F551A"/>
    <w:rsid w:val="008F588B"/>
    <w:rsid w:val="008F5D29"/>
    <w:rsid w:val="008F5E36"/>
    <w:rsid w:val="008F5F11"/>
    <w:rsid w:val="008F6221"/>
    <w:rsid w:val="008F6374"/>
    <w:rsid w:val="008F6659"/>
    <w:rsid w:val="008F6803"/>
    <w:rsid w:val="008F6C3C"/>
    <w:rsid w:val="008F6E9A"/>
    <w:rsid w:val="008F722B"/>
    <w:rsid w:val="008F7592"/>
    <w:rsid w:val="008F777B"/>
    <w:rsid w:val="008F77F4"/>
    <w:rsid w:val="008F79BC"/>
    <w:rsid w:val="008F7CCE"/>
    <w:rsid w:val="008F7F33"/>
    <w:rsid w:val="00900800"/>
    <w:rsid w:val="00900A06"/>
    <w:rsid w:val="00900B25"/>
    <w:rsid w:val="00900D8A"/>
    <w:rsid w:val="00900F9E"/>
    <w:rsid w:val="00901308"/>
    <w:rsid w:val="00901579"/>
    <w:rsid w:val="00901A20"/>
    <w:rsid w:val="00901AC6"/>
    <w:rsid w:val="00901F8E"/>
    <w:rsid w:val="009029FF"/>
    <w:rsid w:val="009030ED"/>
    <w:rsid w:val="00903710"/>
    <w:rsid w:val="00903DCD"/>
    <w:rsid w:val="00903F89"/>
    <w:rsid w:val="00904466"/>
    <w:rsid w:val="00904C8E"/>
    <w:rsid w:val="009052B2"/>
    <w:rsid w:val="009053CA"/>
    <w:rsid w:val="00905551"/>
    <w:rsid w:val="0090561D"/>
    <w:rsid w:val="0090581C"/>
    <w:rsid w:val="00905837"/>
    <w:rsid w:val="00906481"/>
    <w:rsid w:val="009064E2"/>
    <w:rsid w:val="00906672"/>
    <w:rsid w:val="009067CF"/>
    <w:rsid w:val="009069A5"/>
    <w:rsid w:val="009074ED"/>
    <w:rsid w:val="009077C7"/>
    <w:rsid w:val="0090799C"/>
    <w:rsid w:val="00907BBA"/>
    <w:rsid w:val="00907CF7"/>
    <w:rsid w:val="00907EE7"/>
    <w:rsid w:val="00910378"/>
    <w:rsid w:val="009106D3"/>
    <w:rsid w:val="00910B4F"/>
    <w:rsid w:val="00910D70"/>
    <w:rsid w:val="00911111"/>
    <w:rsid w:val="00911381"/>
    <w:rsid w:val="009120D9"/>
    <w:rsid w:val="0091220E"/>
    <w:rsid w:val="00912688"/>
    <w:rsid w:val="00912A7B"/>
    <w:rsid w:val="009133BE"/>
    <w:rsid w:val="0091394B"/>
    <w:rsid w:val="00913AF8"/>
    <w:rsid w:val="00913FC1"/>
    <w:rsid w:val="0091465A"/>
    <w:rsid w:val="0091491C"/>
    <w:rsid w:val="00914990"/>
    <w:rsid w:val="00915340"/>
    <w:rsid w:val="0091587B"/>
    <w:rsid w:val="00915958"/>
    <w:rsid w:val="0091629C"/>
    <w:rsid w:val="00916E2A"/>
    <w:rsid w:val="00916FC5"/>
    <w:rsid w:val="009179F4"/>
    <w:rsid w:val="00920216"/>
    <w:rsid w:val="0092024C"/>
    <w:rsid w:val="00920463"/>
    <w:rsid w:val="00920632"/>
    <w:rsid w:val="0092084A"/>
    <w:rsid w:val="00920B2B"/>
    <w:rsid w:val="00921108"/>
    <w:rsid w:val="009214A1"/>
    <w:rsid w:val="00921927"/>
    <w:rsid w:val="009219DB"/>
    <w:rsid w:val="0092202A"/>
    <w:rsid w:val="00922123"/>
    <w:rsid w:val="00922126"/>
    <w:rsid w:val="00922A8B"/>
    <w:rsid w:val="009231E5"/>
    <w:rsid w:val="00923333"/>
    <w:rsid w:val="00923779"/>
    <w:rsid w:val="00923798"/>
    <w:rsid w:val="009238C7"/>
    <w:rsid w:val="00923D61"/>
    <w:rsid w:val="00923D68"/>
    <w:rsid w:val="0092400A"/>
    <w:rsid w:val="00924104"/>
    <w:rsid w:val="0092431F"/>
    <w:rsid w:val="009245CA"/>
    <w:rsid w:val="0092463F"/>
    <w:rsid w:val="0092480E"/>
    <w:rsid w:val="00925122"/>
    <w:rsid w:val="009251FF"/>
    <w:rsid w:val="009253DA"/>
    <w:rsid w:val="0092588C"/>
    <w:rsid w:val="00925F45"/>
    <w:rsid w:val="00926019"/>
    <w:rsid w:val="0092640B"/>
    <w:rsid w:val="009268C4"/>
    <w:rsid w:val="00926E4D"/>
    <w:rsid w:val="009271D6"/>
    <w:rsid w:val="0092784A"/>
    <w:rsid w:val="00927AE0"/>
    <w:rsid w:val="00930371"/>
    <w:rsid w:val="00930A9C"/>
    <w:rsid w:val="00930D6C"/>
    <w:rsid w:val="009313D7"/>
    <w:rsid w:val="00931BD3"/>
    <w:rsid w:val="00931C34"/>
    <w:rsid w:val="00932A1A"/>
    <w:rsid w:val="00932D55"/>
    <w:rsid w:val="00932EFE"/>
    <w:rsid w:val="00933254"/>
    <w:rsid w:val="009332F7"/>
    <w:rsid w:val="0093352D"/>
    <w:rsid w:val="00933FB3"/>
    <w:rsid w:val="009343FE"/>
    <w:rsid w:val="009344F4"/>
    <w:rsid w:val="00934642"/>
    <w:rsid w:val="009348F2"/>
    <w:rsid w:val="00934EF0"/>
    <w:rsid w:val="00935360"/>
    <w:rsid w:val="00935B1E"/>
    <w:rsid w:val="00935B3A"/>
    <w:rsid w:val="00935D94"/>
    <w:rsid w:val="00935EA8"/>
    <w:rsid w:val="00935FCB"/>
    <w:rsid w:val="009362E7"/>
    <w:rsid w:val="009366D8"/>
    <w:rsid w:val="00936951"/>
    <w:rsid w:val="00936CA5"/>
    <w:rsid w:val="00937532"/>
    <w:rsid w:val="009375CD"/>
    <w:rsid w:val="009376FF"/>
    <w:rsid w:val="00937704"/>
    <w:rsid w:val="00937F1A"/>
    <w:rsid w:val="00940185"/>
    <w:rsid w:val="00940461"/>
    <w:rsid w:val="00940BCD"/>
    <w:rsid w:val="00940EF1"/>
    <w:rsid w:val="00941279"/>
    <w:rsid w:val="00941B6B"/>
    <w:rsid w:val="00941C7B"/>
    <w:rsid w:val="00941D3B"/>
    <w:rsid w:val="00941D41"/>
    <w:rsid w:val="00942276"/>
    <w:rsid w:val="009426B2"/>
    <w:rsid w:val="00942A9E"/>
    <w:rsid w:val="0094329F"/>
    <w:rsid w:val="00943723"/>
    <w:rsid w:val="009438AD"/>
    <w:rsid w:val="00943C8D"/>
    <w:rsid w:val="00943D45"/>
    <w:rsid w:val="00943F55"/>
    <w:rsid w:val="0094405B"/>
    <w:rsid w:val="0094448E"/>
    <w:rsid w:val="0094455E"/>
    <w:rsid w:val="00944B37"/>
    <w:rsid w:val="00944C86"/>
    <w:rsid w:val="00944D0C"/>
    <w:rsid w:val="00944E25"/>
    <w:rsid w:val="00945010"/>
    <w:rsid w:val="00945101"/>
    <w:rsid w:val="00945988"/>
    <w:rsid w:val="00945B7B"/>
    <w:rsid w:val="009462D5"/>
    <w:rsid w:val="009468AD"/>
    <w:rsid w:val="00946CAF"/>
    <w:rsid w:val="009470A3"/>
    <w:rsid w:val="009471B8"/>
    <w:rsid w:val="00947374"/>
    <w:rsid w:val="0094740E"/>
    <w:rsid w:val="00947A00"/>
    <w:rsid w:val="00947CD3"/>
    <w:rsid w:val="009500BA"/>
    <w:rsid w:val="0095014B"/>
    <w:rsid w:val="00950234"/>
    <w:rsid w:val="00950250"/>
    <w:rsid w:val="009502AD"/>
    <w:rsid w:val="00950918"/>
    <w:rsid w:val="0095095F"/>
    <w:rsid w:val="00950C92"/>
    <w:rsid w:val="00951009"/>
    <w:rsid w:val="0095145C"/>
    <w:rsid w:val="009514C3"/>
    <w:rsid w:val="00951520"/>
    <w:rsid w:val="00951BA7"/>
    <w:rsid w:val="00951E6C"/>
    <w:rsid w:val="00952E54"/>
    <w:rsid w:val="00952F80"/>
    <w:rsid w:val="0095306D"/>
    <w:rsid w:val="0095308C"/>
    <w:rsid w:val="00953612"/>
    <w:rsid w:val="0095385D"/>
    <w:rsid w:val="00953EB6"/>
    <w:rsid w:val="0095456C"/>
    <w:rsid w:val="00954644"/>
    <w:rsid w:val="009547B3"/>
    <w:rsid w:val="0095495A"/>
    <w:rsid w:val="00955576"/>
    <w:rsid w:val="00955A6D"/>
    <w:rsid w:val="00955FFD"/>
    <w:rsid w:val="00956044"/>
    <w:rsid w:val="00956289"/>
    <w:rsid w:val="0095650B"/>
    <w:rsid w:val="00956759"/>
    <w:rsid w:val="009567E4"/>
    <w:rsid w:val="00956905"/>
    <w:rsid w:val="00956B7B"/>
    <w:rsid w:val="00957446"/>
    <w:rsid w:val="00957A90"/>
    <w:rsid w:val="00957D94"/>
    <w:rsid w:val="00957DF8"/>
    <w:rsid w:val="00960529"/>
    <w:rsid w:val="00960546"/>
    <w:rsid w:val="00960857"/>
    <w:rsid w:val="009611AA"/>
    <w:rsid w:val="009614C6"/>
    <w:rsid w:val="00961991"/>
    <w:rsid w:val="00961DAA"/>
    <w:rsid w:val="00961F91"/>
    <w:rsid w:val="009624C0"/>
    <w:rsid w:val="009626EB"/>
    <w:rsid w:val="0096271F"/>
    <w:rsid w:val="009629DE"/>
    <w:rsid w:val="00962B5B"/>
    <w:rsid w:val="00962BFB"/>
    <w:rsid w:val="00962E1C"/>
    <w:rsid w:val="0096349D"/>
    <w:rsid w:val="0096391E"/>
    <w:rsid w:val="00964362"/>
    <w:rsid w:val="009645EF"/>
    <w:rsid w:val="009647DB"/>
    <w:rsid w:val="00964934"/>
    <w:rsid w:val="00964954"/>
    <w:rsid w:val="00964A1D"/>
    <w:rsid w:val="0096516E"/>
    <w:rsid w:val="00965193"/>
    <w:rsid w:val="0096548F"/>
    <w:rsid w:val="00965E6C"/>
    <w:rsid w:val="009661C9"/>
    <w:rsid w:val="0096646E"/>
    <w:rsid w:val="009664B3"/>
    <w:rsid w:val="00966505"/>
    <w:rsid w:val="00966614"/>
    <w:rsid w:val="00966687"/>
    <w:rsid w:val="009667C9"/>
    <w:rsid w:val="00966C64"/>
    <w:rsid w:val="00966D04"/>
    <w:rsid w:val="00966D7B"/>
    <w:rsid w:val="00966DEC"/>
    <w:rsid w:val="009675FA"/>
    <w:rsid w:val="0096772B"/>
    <w:rsid w:val="00967A16"/>
    <w:rsid w:val="00967C83"/>
    <w:rsid w:val="00967D51"/>
    <w:rsid w:val="00967D60"/>
    <w:rsid w:val="009702A2"/>
    <w:rsid w:val="0097069D"/>
    <w:rsid w:val="00970C38"/>
    <w:rsid w:val="00971117"/>
    <w:rsid w:val="009716E8"/>
    <w:rsid w:val="00971942"/>
    <w:rsid w:val="00971CB9"/>
    <w:rsid w:val="00971D13"/>
    <w:rsid w:val="00971F9D"/>
    <w:rsid w:val="0097206D"/>
    <w:rsid w:val="009721CB"/>
    <w:rsid w:val="0097226A"/>
    <w:rsid w:val="0097235A"/>
    <w:rsid w:val="009726B5"/>
    <w:rsid w:val="00972E60"/>
    <w:rsid w:val="00973133"/>
    <w:rsid w:val="0097321B"/>
    <w:rsid w:val="00973313"/>
    <w:rsid w:val="00973669"/>
    <w:rsid w:val="0097368C"/>
    <w:rsid w:val="0097387A"/>
    <w:rsid w:val="00973B33"/>
    <w:rsid w:val="00973B58"/>
    <w:rsid w:val="009747F9"/>
    <w:rsid w:val="00974831"/>
    <w:rsid w:val="009749ED"/>
    <w:rsid w:val="009753E7"/>
    <w:rsid w:val="0097581E"/>
    <w:rsid w:val="009766F6"/>
    <w:rsid w:val="0097673B"/>
    <w:rsid w:val="00976870"/>
    <w:rsid w:val="00976C61"/>
    <w:rsid w:val="00977878"/>
    <w:rsid w:val="009778CA"/>
    <w:rsid w:val="00977A14"/>
    <w:rsid w:val="00977BD8"/>
    <w:rsid w:val="00980CFA"/>
    <w:rsid w:val="00980D97"/>
    <w:rsid w:val="009813DD"/>
    <w:rsid w:val="00981511"/>
    <w:rsid w:val="00981569"/>
    <w:rsid w:val="00981BA1"/>
    <w:rsid w:val="009821B3"/>
    <w:rsid w:val="009823E3"/>
    <w:rsid w:val="009823EB"/>
    <w:rsid w:val="00982803"/>
    <w:rsid w:val="00982AAC"/>
    <w:rsid w:val="00983D55"/>
    <w:rsid w:val="00983F44"/>
    <w:rsid w:val="00984056"/>
    <w:rsid w:val="009843E4"/>
    <w:rsid w:val="009844CF"/>
    <w:rsid w:val="0098458C"/>
    <w:rsid w:val="00984972"/>
    <w:rsid w:val="00984DC9"/>
    <w:rsid w:val="00984EEA"/>
    <w:rsid w:val="0098514E"/>
    <w:rsid w:val="009854CE"/>
    <w:rsid w:val="0098552F"/>
    <w:rsid w:val="0098565C"/>
    <w:rsid w:val="00985805"/>
    <w:rsid w:val="00985810"/>
    <w:rsid w:val="009868E8"/>
    <w:rsid w:val="00986EC2"/>
    <w:rsid w:val="009872A8"/>
    <w:rsid w:val="00987341"/>
    <w:rsid w:val="00987956"/>
    <w:rsid w:val="00987B7C"/>
    <w:rsid w:val="00987C7D"/>
    <w:rsid w:val="00987F95"/>
    <w:rsid w:val="00990380"/>
    <w:rsid w:val="009904AD"/>
    <w:rsid w:val="00990A03"/>
    <w:rsid w:val="00990D36"/>
    <w:rsid w:val="00990E72"/>
    <w:rsid w:val="0099102F"/>
    <w:rsid w:val="0099124E"/>
    <w:rsid w:val="0099151C"/>
    <w:rsid w:val="00991639"/>
    <w:rsid w:val="0099187B"/>
    <w:rsid w:val="00991D81"/>
    <w:rsid w:val="00991E6D"/>
    <w:rsid w:val="00992180"/>
    <w:rsid w:val="009921DB"/>
    <w:rsid w:val="009924FE"/>
    <w:rsid w:val="00993172"/>
    <w:rsid w:val="0099319F"/>
    <w:rsid w:val="00993320"/>
    <w:rsid w:val="0099334E"/>
    <w:rsid w:val="00993523"/>
    <w:rsid w:val="00993918"/>
    <w:rsid w:val="009940EF"/>
    <w:rsid w:val="0099491E"/>
    <w:rsid w:val="00994A8D"/>
    <w:rsid w:val="00994D06"/>
    <w:rsid w:val="00994F7C"/>
    <w:rsid w:val="00994FB8"/>
    <w:rsid w:val="009952B0"/>
    <w:rsid w:val="009956C2"/>
    <w:rsid w:val="0099583A"/>
    <w:rsid w:val="00995AF0"/>
    <w:rsid w:val="00995E1F"/>
    <w:rsid w:val="00995ECA"/>
    <w:rsid w:val="009960D7"/>
    <w:rsid w:val="009965FC"/>
    <w:rsid w:val="0099663D"/>
    <w:rsid w:val="00996E0E"/>
    <w:rsid w:val="00996EC1"/>
    <w:rsid w:val="00997190"/>
    <w:rsid w:val="009975B1"/>
    <w:rsid w:val="0099767F"/>
    <w:rsid w:val="009978A5"/>
    <w:rsid w:val="00997CF0"/>
    <w:rsid w:val="00997EB4"/>
    <w:rsid w:val="00997FE5"/>
    <w:rsid w:val="009A01DB"/>
    <w:rsid w:val="009A03EE"/>
    <w:rsid w:val="009A046E"/>
    <w:rsid w:val="009A0A25"/>
    <w:rsid w:val="009A0BBC"/>
    <w:rsid w:val="009A0FA1"/>
    <w:rsid w:val="009A115D"/>
    <w:rsid w:val="009A1810"/>
    <w:rsid w:val="009A2C0A"/>
    <w:rsid w:val="009A2F16"/>
    <w:rsid w:val="009A3413"/>
    <w:rsid w:val="009A341C"/>
    <w:rsid w:val="009A35C9"/>
    <w:rsid w:val="009A36CB"/>
    <w:rsid w:val="009A3E56"/>
    <w:rsid w:val="009A4665"/>
    <w:rsid w:val="009A58C0"/>
    <w:rsid w:val="009A5A7B"/>
    <w:rsid w:val="009A5AFD"/>
    <w:rsid w:val="009A5CF4"/>
    <w:rsid w:val="009A6443"/>
    <w:rsid w:val="009A6B60"/>
    <w:rsid w:val="009A6C92"/>
    <w:rsid w:val="009A6EFD"/>
    <w:rsid w:val="009A6FF5"/>
    <w:rsid w:val="009A7093"/>
    <w:rsid w:val="009A719A"/>
    <w:rsid w:val="009A75F5"/>
    <w:rsid w:val="009A76C2"/>
    <w:rsid w:val="009A7A71"/>
    <w:rsid w:val="009B011E"/>
    <w:rsid w:val="009B0331"/>
    <w:rsid w:val="009B0AD3"/>
    <w:rsid w:val="009B0BCD"/>
    <w:rsid w:val="009B0DEB"/>
    <w:rsid w:val="009B136E"/>
    <w:rsid w:val="009B152B"/>
    <w:rsid w:val="009B1A38"/>
    <w:rsid w:val="009B1D18"/>
    <w:rsid w:val="009B1D9B"/>
    <w:rsid w:val="009B1EE7"/>
    <w:rsid w:val="009B25E3"/>
    <w:rsid w:val="009B263B"/>
    <w:rsid w:val="009B2B02"/>
    <w:rsid w:val="009B30EB"/>
    <w:rsid w:val="009B32A3"/>
    <w:rsid w:val="009B348C"/>
    <w:rsid w:val="009B34C6"/>
    <w:rsid w:val="009B3769"/>
    <w:rsid w:val="009B39DC"/>
    <w:rsid w:val="009B3B92"/>
    <w:rsid w:val="009B3F8A"/>
    <w:rsid w:val="009B44DE"/>
    <w:rsid w:val="009B4ABC"/>
    <w:rsid w:val="009B4CEF"/>
    <w:rsid w:val="009B4D8B"/>
    <w:rsid w:val="009B50D4"/>
    <w:rsid w:val="009B546E"/>
    <w:rsid w:val="009B5600"/>
    <w:rsid w:val="009B5872"/>
    <w:rsid w:val="009B6050"/>
    <w:rsid w:val="009B61E7"/>
    <w:rsid w:val="009B62FB"/>
    <w:rsid w:val="009B6483"/>
    <w:rsid w:val="009B66B1"/>
    <w:rsid w:val="009B66D8"/>
    <w:rsid w:val="009B696A"/>
    <w:rsid w:val="009B6A05"/>
    <w:rsid w:val="009B6B80"/>
    <w:rsid w:val="009B6C75"/>
    <w:rsid w:val="009C0087"/>
    <w:rsid w:val="009C0152"/>
    <w:rsid w:val="009C0ADB"/>
    <w:rsid w:val="009C1012"/>
    <w:rsid w:val="009C13F8"/>
    <w:rsid w:val="009C14A8"/>
    <w:rsid w:val="009C1583"/>
    <w:rsid w:val="009C1922"/>
    <w:rsid w:val="009C3234"/>
    <w:rsid w:val="009C4180"/>
    <w:rsid w:val="009C41B7"/>
    <w:rsid w:val="009C4529"/>
    <w:rsid w:val="009C46F6"/>
    <w:rsid w:val="009C4781"/>
    <w:rsid w:val="009C49AE"/>
    <w:rsid w:val="009C557B"/>
    <w:rsid w:val="009C5819"/>
    <w:rsid w:val="009C5BB2"/>
    <w:rsid w:val="009C5E3C"/>
    <w:rsid w:val="009C5F33"/>
    <w:rsid w:val="009C6434"/>
    <w:rsid w:val="009C66F7"/>
    <w:rsid w:val="009C6896"/>
    <w:rsid w:val="009C6C1D"/>
    <w:rsid w:val="009C6E72"/>
    <w:rsid w:val="009C6F68"/>
    <w:rsid w:val="009C6FA4"/>
    <w:rsid w:val="009C72AD"/>
    <w:rsid w:val="009C787F"/>
    <w:rsid w:val="009C7E4D"/>
    <w:rsid w:val="009D00E9"/>
    <w:rsid w:val="009D00FB"/>
    <w:rsid w:val="009D034B"/>
    <w:rsid w:val="009D0A8A"/>
    <w:rsid w:val="009D0FF3"/>
    <w:rsid w:val="009D13AD"/>
    <w:rsid w:val="009D1412"/>
    <w:rsid w:val="009D142B"/>
    <w:rsid w:val="009D1492"/>
    <w:rsid w:val="009D1BFE"/>
    <w:rsid w:val="009D1D4C"/>
    <w:rsid w:val="009D2520"/>
    <w:rsid w:val="009D3287"/>
    <w:rsid w:val="009D32FF"/>
    <w:rsid w:val="009D3BC1"/>
    <w:rsid w:val="009D3C3F"/>
    <w:rsid w:val="009D3C71"/>
    <w:rsid w:val="009D4BBA"/>
    <w:rsid w:val="009D4D67"/>
    <w:rsid w:val="009D4EE6"/>
    <w:rsid w:val="009D5087"/>
    <w:rsid w:val="009D50BE"/>
    <w:rsid w:val="009D50EE"/>
    <w:rsid w:val="009D5D4F"/>
    <w:rsid w:val="009D635B"/>
    <w:rsid w:val="009D63AD"/>
    <w:rsid w:val="009D64DA"/>
    <w:rsid w:val="009D65BE"/>
    <w:rsid w:val="009D66DC"/>
    <w:rsid w:val="009D66F8"/>
    <w:rsid w:val="009D6815"/>
    <w:rsid w:val="009D691D"/>
    <w:rsid w:val="009D6E65"/>
    <w:rsid w:val="009D70A2"/>
    <w:rsid w:val="009D71F0"/>
    <w:rsid w:val="009D77F0"/>
    <w:rsid w:val="009D7848"/>
    <w:rsid w:val="009D7B23"/>
    <w:rsid w:val="009D7D9A"/>
    <w:rsid w:val="009D7E28"/>
    <w:rsid w:val="009D7E9E"/>
    <w:rsid w:val="009D7F6F"/>
    <w:rsid w:val="009E0393"/>
    <w:rsid w:val="009E07B6"/>
    <w:rsid w:val="009E07D3"/>
    <w:rsid w:val="009E08B4"/>
    <w:rsid w:val="009E0DEA"/>
    <w:rsid w:val="009E1128"/>
    <w:rsid w:val="009E11EB"/>
    <w:rsid w:val="009E1205"/>
    <w:rsid w:val="009E1790"/>
    <w:rsid w:val="009E1A74"/>
    <w:rsid w:val="009E2033"/>
    <w:rsid w:val="009E2130"/>
    <w:rsid w:val="009E24BE"/>
    <w:rsid w:val="009E2561"/>
    <w:rsid w:val="009E29FC"/>
    <w:rsid w:val="009E2CB7"/>
    <w:rsid w:val="009E2CBB"/>
    <w:rsid w:val="009E2EE3"/>
    <w:rsid w:val="009E32B8"/>
    <w:rsid w:val="009E3512"/>
    <w:rsid w:val="009E3793"/>
    <w:rsid w:val="009E3CA3"/>
    <w:rsid w:val="009E41AF"/>
    <w:rsid w:val="009E44E5"/>
    <w:rsid w:val="009E453D"/>
    <w:rsid w:val="009E464C"/>
    <w:rsid w:val="009E4D16"/>
    <w:rsid w:val="009E5050"/>
    <w:rsid w:val="009E5B2D"/>
    <w:rsid w:val="009E5E45"/>
    <w:rsid w:val="009E5FEB"/>
    <w:rsid w:val="009E64CA"/>
    <w:rsid w:val="009E6520"/>
    <w:rsid w:val="009E653C"/>
    <w:rsid w:val="009E6B38"/>
    <w:rsid w:val="009E6C13"/>
    <w:rsid w:val="009E6F00"/>
    <w:rsid w:val="009E76F6"/>
    <w:rsid w:val="009E7DFD"/>
    <w:rsid w:val="009E7FC4"/>
    <w:rsid w:val="009F01A4"/>
    <w:rsid w:val="009F05E3"/>
    <w:rsid w:val="009F06F2"/>
    <w:rsid w:val="009F0746"/>
    <w:rsid w:val="009F0CCA"/>
    <w:rsid w:val="009F0FCA"/>
    <w:rsid w:val="009F119F"/>
    <w:rsid w:val="009F1359"/>
    <w:rsid w:val="009F1651"/>
    <w:rsid w:val="009F1BC2"/>
    <w:rsid w:val="009F2484"/>
    <w:rsid w:val="009F25C5"/>
    <w:rsid w:val="009F295D"/>
    <w:rsid w:val="009F2A75"/>
    <w:rsid w:val="009F2EE3"/>
    <w:rsid w:val="009F30FB"/>
    <w:rsid w:val="009F32B8"/>
    <w:rsid w:val="009F377E"/>
    <w:rsid w:val="009F3EE5"/>
    <w:rsid w:val="009F420D"/>
    <w:rsid w:val="009F484A"/>
    <w:rsid w:val="009F488C"/>
    <w:rsid w:val="009F48CD"/>
    <w:rsid w:val="009F4CCF"/>
    <w:rsid w:val="009F55EB"/>
    <w:rsid w:val="009F5621"/>
    <w:rsid w:val="009F5855"/>
    <w:rsid w:val="009F5A6A"/>
    <w:rsid w:val="009F635E"/>
    <w:rsid w:val="009F68A9"/>
    <w:rsid w:val="009F6AD3"/>
    <w:rsid w:val="009F6D6D"/>
    <w:rsid w:val="009F6E64"/>
    <w:rsid w:val="009F6E94"/>
    <w:rsid w:val="009F7285"/>
    <w:rsid w:val="009F76AE"/>
    <w:rsid w:val="009F7B83"/>
    <w:rsid w:val="009F7C3A"/>
    <w:rsid w:val="009F7D51"/>
    <w:rsid w:val="00A007CD"/>
    <w:rsid w:val="00A007ED"/>
    <w:rsid w:val="00A012F1"/>
    <w:rsid w:val="00A014DE"/>
    <w:rsid w:val="00A0171A"/>
    <w:rsid w:val="00A01936"/>
    <w:rsid w:val="00A01EF0"/>
    <w:rsid w:val="00A01FF4"/>
    <w:rsid w:val="00A024EB"/>
    <w:rsid w:val="00A02B19"/>
    <w:rsid w:val="00A02C5D"/>
    <w:rsid w:val="00A02FF6"/>
    <w:rsid w:val="00A0316C"/>
    <w:rsid w:val="00A032E2"/>
    <w:rsid w:val="00A036DF"/>
    <w:rsid w:val="00A040BE"/>
    <w:rsid w:val="00A04416"/>
    <w:rsid w:val="00A04CD9"/>
    <w:rsid w:val="00A04E9D"/>
    <w:rsid w:val="00A05194"/>
    <w:rsid w:val="00A05263"/>
    <w:rsid w:val="00A058DC"/>
    <w:rsid w:val="00A06095"/>
    <w:rsid w:val="00A060EC"/>
    <w:rsid w:val="00A068CF"/>
    <w:rsid w:val="00A069D3"/>
    <w:rsid w:val="00A06DCC"/>
    <w:rsid w:val="00A06FED"/>
    <w:rsid w:val="00A07436"/>
    <w:rsid w:val="00A1004D"/>
    <w:rsid w:val="00A1057C"/>
    <w:rsid w:val="00A10613"/>
    <w:rsid w:val="00A10859"/>
    <w:rsid w:val="00A109AD"/>
    <w:rsid w:val="00A109DB"/>
    <w:rsid w:val="00A10CB6"/>
    <w:rsid w:val="00A10E06"/>
    <w:rsid w:val="00A10EC8"/>
    <w:rsid w:val="00A11416"/>
    <w:rsid w:val="00A114DE"/>
    <w:rsid w:val="00A11537"/>
    <w:rsid w:val="00A118E7"/>
    <w:rsid w:val="00A11C8B"/>
    <w:rsid w:val="00A11F13"/>
    <w:rsid w:val="00A125A3"/>
    <w:rsid w:val="00A125A6"/>
    <w:rsid w:val="00A125A9"/>
    <w:rsid w:val="00A125CE"/>
    <w:rsid w:val="00A129B4"/>
    <w:rsid w:val="00A12AF2"/>
    <w:rsid w:val="00A12C53"/>
    <w:rsid w:val="00A13092"/>
    <w:rsid w:val="00A133EE"/>
    <w:rsid w:val="00A140D3"/>
    <w:rsid w:val="00A1431A"/>
    <w:rsid w:val="00A1446B"/>
    <w:rsid w:val="00A1487E"/>
    <w:rsid w:val="00A14B8A"/>
    <w:rsid w:val="00A153DC"/>
    <w:rsid w:val="00A15641"/>
    <w:rsid w:val="00A166CC"/>
    <w:rsid w:val="00A167F2"/>
    <w:rsid w:val="00A17182"/>
    <w:rsid w:val="00A17219"/>
    <w:rsid w:val="00A1729E"/>
    <w:rsid w:val="00A177C2"/>
    <w:rsid w:val="00A17A36"/>
    <w:rsid w:val="00A17BB5"/>
    <w:rsid w:val="00A17BD7"/>
    <w:rsid w:val="00A17EFE"/>
    <w:rsid w:val="00A20352"/>
    <w:rsid w:val="00A20C78"/>
    <w:rsid w:val="00A20D23"/>
    <w:rsid w:val="00A2126A"/>
    <w:rsid w:val="00A213A4"/>
    <w:rsid w:val="00A216D8"/>
    <w:rsid w:val="00A21EA8"/>
    <w:rsid w:val="00A225CA"/>
    <w:rsid w:val="00A22B31"/>
    <w:rsid w:val="00A22C51"/>
    <w:rsid w:val="00A2312E"/>
    <w:rsid w:val="00A238DD"/>
    <w:rsid w:val="00A239F1"/>
    <w:rsid w:val="00A23FBB"/>
    <w:rsid w:val="00A24323"/>
    <w:rsid w:val="00A24671"/>
    <w:rsid w:val="00A24D1C"/>
    <w:rsid w:val="00A24F6E"/>
    <w:rsid w:val="00A24FE5"/>
    <w:rsid w:val="00A2512C"/>
    <w:rsid w:val="00A2515B"/>
    <w:rsid w:val="00A25305"/>
    <w:rsid w:val="00A2569C"/>
    <w:rsid w:val="00A2588E"/>
    <w:rsid w:val="00A25C89"/>
    <w:rsid w:val="00A25F68"/>
    <w:rsid w:val="00A261CE"/>
    <w:rsid w:val="00A26272"/>
    <w:rsid w:val="00A2660D"/>
    <w:rsid w:val="00A26E7E"/>
    <w:rsid w:val="00A26EDF"/>
    <w:rsid w:val="00A27518"/>
    <w:rsid w:val="00A30041"/>
    <w:rsid w:val="00A3018A"/>
    <w:rsid w:val="00A301FC"/>
    <w:rsid w:val="00A3047C"/>
    <w:rsid w:val="00A3061B"/>
    <w:rsid w:val="00A307EE"/>
    <w:rsid w:val="00A308FD"/>
    <w:rsid w:val="00A30960"/>
    <w:rsid w:val="00A30D1E"/>
    <w:rsid w:val="00A313CB"/>
    <w:rsid w:val="00A315E9"/>
    <w:rsid w:val="00A3182C"/>
    <w:rsid w:val="00A3195C"/>
    <w:rsid w:val="00A319EA"/>
    <w:rsid w:val="00A31F95"/>
    <w:rsid w:val="00A320C5"/>
    <w:rsid w:val="00A32288"/>
    <w:rsid w:val="00A325D6"/>
    <w:rsid w:val="00A32A1C"/>
    <w:rsid w:val="00A32FA9"/>
    <w:rsid w:val="00A33885"/>
    <w:rsid w:val="00A342F2"/>
    <w:rsid w:val="00A34789"/>
    <w:rsid w:val="00A350EF"/>
    <w:rsid w:val="00A35122"/>
    <w:rsid w:val="00A3556D"/>
    <w:rsid w:val="00A3596F"/>
    <w:rsid w:val="00A359E2"/>
    <w:rsid w:val="00A35A21"/>
    <w:rsid w:val="00A35D4F"/>
    <w:rsid w:val="00A35D8E"/>
    <w:rsid w:val="00A3630E"/>
    <w:rsid w:val="00A36C7F"/>
    <w:rsid w:val="00A36EC2"/>
    <w:rsid w:val="00A36F24"/>
    <w:rsid w:val="00A37148"/>
    <w:rsid w:val="00A377FD"/>
    <w:rsid w:val="00A37955"/>
    <w:rsid w:val="00A37AB0"/>
    <w:rsid w:val="00A37BB8"/>
    <w:rsid w:val="00A37D74"/>
    <w:rsid w:val="00A37DC6"/>
    <w:rsid w:val="00A401D9"/>
    <w:rsid w:val="00A402CB"/>
    <w:rsid w:val="00A408B7"/>
    <w:rsid w:val="00A408FE"/>
    <w:rsid w:val="00A40B03"/>
    <w:rsid w:val="00A40F54"/>
    <w:rsid w:val="00A41084"/>
    <w:rsid w:val="00A4126A"/>
    <w:rsid w:val="00A412F9"/>
    <w:rsid w:val="00A41FF8"/>
    <w:rsid w:val="00A4210D"/>
    <w:rsid w:val="00A42231"/>
    <w:rsid w:val="00A422E7"/>
    <w:rsid w:val="00A42450"/>
    <w:rsid w:val="00A42753"/>
    <w:rsid w:val="00A427C9"/>
    <w:rsid w:val="00A42C95"/>
    <w:rsid w:val="00A42D87"/>
    <w:rsid w:val="00A42E41"/>
    <w:rsid w:val="00A43502"/>
    <w:rsid w:val="00A438E1"/>
    <w:rsid w:val="00A4399A"/>
    <w:rsid w:val="00A441DE"/>
    <w:rsid w:val="00A44527"/>
    <w:rsid w:val="00A44563"/>
    <w:rsid w:val="00A44698"/>
    <w:rsid w:val="00A446F2"/>
    <w:rsid w:val="00A44A13"/>
    <w:rsid w:val="00A44BD3"/>
    <w:rsid w:val="00A44C6E"/>
    <w:rsid w:val="00A44D5C"/>
    <w:rsid w:val="00A44F28"/>
    <w:rsid w:val="00A45177"/>
    <w:rsid w:val="00A4521D"/>
    <w:rsid w:val="00A4580F"/>
    <w:rsid w:val="00A45B66"/>
    <w:rsid w:val="00A4618E"/>
    <w:rsid w:val="00A464F8"/>
    <w:rsid w:val="00A4656B"/>
    <w:rsid w:val="00A46A8A"/>
    <w:rsid w:val="00A46B3C"/>
    <w:rsid w:val="00A46D6F"/>
    <w:rsid w:val="00A47283"/>
    <w:rsid w:val="00A472B3"/>
    <w:rsid w:val="00A47465"/>
    <w:rsid w:val="00A476C2"/>
    <w:rsid w:val="00A47C91"/>
    <w:rsid w:val="00A47FF7"/>
    <w:rsid w:val="00A50408"/>
    <w:rsid w:val="00A5083A"/>
    <w:rsid w:val="00A50C68"/>
    <w:rsid w:val="00A50D33"/>
    <w:rsid w:val="00A50E04"/>
    <w:rsid w:val="00A50E2D"/>
    <w:rsid w:val="00A50FE0"/>
    <w:rsid w:val="00A510BD"/>
    <w:rsid w:val="00A51561"/>
    <w:rsid w:val="00A51B81"/>
    <w:rsid w:val="00A51BE8"/>
    <w:rsid w:val="00A51F0A"/>
    <w:rsid w:val="00A5209D"/>
    <w:rsid w:val="00A5215E"/>
    <w:rsid w:val="00A526D7"/>
    <w:rsid w:val="00A52CC4"/>
    <w:rsid w:val="00A52F0F"/>
    <w:rsid w:val="00A53175"/>
    <w:rsid w:val="00A53B85"/>
    <w:rsid w:val="00A53DCA"/>
    <w:rsid w:val="00A54E41"/>
    <w:rsid w:val="00A54E6E"/>
    <w:rsid w:val="00A54EF2"/>
    <w:rsid w:val="00A553DE"/>
    <w:rsid w:val="00A55511"/>
    <w:rsid w:val="00A55C20"/>
    <w:rsid w:val="00A55D48"/>
    <w:rsid w:val="00A560F2"/>
    <w:rsid w:val="00A5686D"/>
    <w:rsid w:val="00A568F7"/>
    <w:rsid w:val="00A56962"/>
    <w:rsid w:val="00A56A39"/>
    <w:rsid w:val="00A56ACE"/>
    <w:rsid w:val="00A56D28"/>
    <w:rsid w:val="00A56E03"/>
    <w:rsid w:val="00A5790F"/>
    <w:rsid w:val="00A5799F"/>
    <w:rsid w:val="00A57BEB"/>
    <w:rsid w:val="00A6072A"/>
    <w:rsid w:val="00A60C8A"/>
    <w:rsid w:val="00A60D13"/>
    <w:rsid w:val="00A60D5F"/>
    <w:rsid w:val="00A61673"/>
    <w:rsid w:val="00A61B8A"/>
    <w:rsid w:val="00A61C45"/>
    <w:rsid w:val="00A61D30"/>
    <w:rsid w:val="00A6299B"/>
    <w:rsid w:val="00A62AEB"/>
    <w:rsid w:val="00A6342A"/>
    <w:rsid w:val="00A63B7F"/>
    <w:rsid w:val="00A64926"/>
    <w:rsid w:val="00A64B65"/>
    <w:rsid w:val="00A64DDE"/>
    <w:rsid w:val="00A64F81"/>
    <w:rsid w:val="00A6514E"/>
    <w:rsid w:val="00A653A7"/>
    <w:rsid w:val="00A65580"/>
    <w:rsid w:val="00A65E65"/>
    <w:rsid w:val="00A65EDA"/>
    <w:rsid w:val="00A66310"/>
    <w:rsid w:val="00A6638E"/>
    <w:rsid w:val="00A665CF"/>
    <w:rsid w:val="00A66813"/>
    <w:rsid w:val="00A66CFE"/>
    <w:rsid w:val="00A67769"/>
    <w:rsid w:val="00A678FC"/>
    <w:rsid w:val="00A67BA6"/>
    <w:rsid w:val="00A67CA7"/>
    <w:rsid w:val="00A67D48"/>
    <w:rsid w:val="00A706F9"/>
    <w:rsid w:val="00A7087E"/>
    <w:rsid w:val="00A709CA"/>
    <w:rsid w:val="00A712AD"/>
    <w:rsid w:val="00A713E1"/>
    <w:rsid w:val="00A71B53"/>
    <w:rsid w:val="00A71D70"/>
    <w:rsid w:val="00A72084"/>
    <w:rsid w:val="00A728BC"/>
    <w:rsid w:val="00A72BD4"/>
    <w:rsid w:val="00A733AE"/>
    <w:rsid w:val="00A735B0"/>
    <w:rsid w:val="00A73989"/>
    <w:rsid w:val="00A73CDC"/>
    <w:rsid w:val="00A73F64"/>
    <w:rsid w:val="00A742E6"/>
    <w:rsid w:val="00A7441E"/>
    <w:rsid w:val="00A74970"/>
    <w:rsid w:val="00A74FC4"/>
    <w:rsid w:val="00A75719"/>
    <w:rsid w:val="00A75D86"/>
    <w:rsid w:val="00A7602C"/>
    <w:rsid w:val="00A76433"/>
    <w:rsid w:val="00A76D99"/>
    <w:rsid w:val="00A76E16"/>
    <w:rsid w:val="00A770AC"/>
    <w:rsid w:val="00A770FC"/>
    <w:rsid w:val="00A7715A"/>
    <w:rsid w:val="00A771CE"/>
    <w:rsid w:val="00A77493"/>
    <w:rsid w:val="00A7752F"/>
    <w:rsid w:val="00A778E5"/>
    <w:rsid w:val="00A77D9A"/>
    <w:rsid w:val="00A800AF"/>
    <w:rsid w:val="00A800F6"/>
    <w:rsid w:val="00A80425"/>
    <w:rsid w:val="00A809CA"/>
    <w:rsid w:val="00A80F28"/>
    <w:rsid w:val="00A8101A"/>
    <w:rsid w:val="00A81CC0"/>
    <w:rsid w:val="00A81FE6"/>
    <w:rsid w:val="00A82052"/>
    <w:rsid w:val="00A82095"/>
    <w:rsid w:val="00A820C0"/>
    <w:rsid w:val="00A821FA"/>
    <w:rsid w:val="00A82259"/>
    <w:rsid w:val="00A8234D"/>
    <w:rsid w:val="00A8251F"/>
    <w:rsid w:val="00A8274F"/>
    <w:rsid w:val="00A82FD4"/>
    <w:rsid w:val="00A83224"/>
    <w:rsid w:val="00A83310"/>
    <w:rsid w:val="00A83405"/>
    <w:rsid w:val="00A83DA6"/>
    <w:rsid w:val="00A83E4C"/>
    <w:rsid w:val="00A84424"/>
    <w:rsid w:val="00A845FA"/>
    <w:rsid w:val="00A846F2"/>
    <w:rsid w:val="00A847F0"/>
    <w:rsid w:val="00A84AF1"/>
    <w:rsid w:val="00A84B4F"/>
    <w:rsid w:val="00A84D42"/>
    <w:rsid w:val="00A84DC8"/>
    <w:rsid w:val="00A8516F"/>
    <w:rsid w:val="00A8520D"/>
    <w:rsid w:val="00A85A5D"/>
    <w:rsid w:val="00A85BFA"/>
    <w:rsid w:val="00A85C35"/>
    <w:rsid w:val="00A85CBC"/>
    <w:rsid w:val="00A861C1"/>
    <w:rsid w:val="00A86351"/>
    <w:rsid w:val="00A864E8"/>
    <w:rsid w:val="00A865B7"/>
    <w:rsid w:val="00A868F9"/>
    <w:rsid w:val="00A8691B"/>
    <w:rsid w:val="00A86CF4"/>
    <w:rsid w:val="00A86E3D"/>
    <w:rsid w:val="00A871D0"/>
    <w:rsid w:val="00A87C9F"/>
    <w:rsid w:val="00A9024F"/>
    <w:rsid w:val="00A90718"/>
    <w:rsid w:val="00A90987"/>
    <w:rsid w:val="00A90EDC"/>
    <w:rsid w:val="00A90F33"/>
    <w:rsid w:val="00A9117F"/>
    <w:rsid w:val="00A913CA"/>
    <w:rsid w:val="00A91960"/>
    <w:rsid w:val="00A91E9F"/>
    <w:rsid w:val="00A92061"/>
    <w:rsid w:val="00A927FF"/>
    <w:rsid w:val="00A92A03"/>
    <w:rsid w:val="00A93617"/>
    <w:rsid w:val="00A93B8D"/>
    <w:rsid w:val="00A940A4"/>
    <w:rsid w:val="00A94249"/>
    <w:rsid w:val="00A9468C"/>
    <w:rsid w:val="00A94765"/>
    <w:rsid w:val="00A947DF"/>
    <w:rsid w:val="00A94AF7"/>
    <w:rsid w:val="00A94BC9"/>
    <w:rsid w:val="00A9566A"/>
    <w:rsid w:val="00A958D2"/>
    <w:rsid w:val="00A95982"/>
    <w:rsid w:val="00A959BC"/>
    <w:rsid w:val="00A96163"/>
    <w:rsid w:val="00A96F00"/>
    <w:rsid w:val="00A97077"/>
    <w:rsid w:val="00A971EF"/>
    <w:rsid w:val="00A974E7"/>
    <w:rsid w:val="00A975BA"/>
    <w:rsid w:val="00A97934"/>
    <w:rsid w:val="00A97AC1"/>
    <w:rsid w:val="00AA02ED"/>
    <w:rsid w:val="00AA0E00"/>
    <w:rsid w:val="00AA12CE"/>
    <w:rsid w:val="00AA1A9A"/>
    <w:rsid w:val="00AA1F25"/>
    <w:rsid w:val="00AA2013"/>
    <w:rsid w:val="00AA2562"/>
    <w:rsid w:val="00AA2BA2"/>
    <w:rsid w:val="00AA2FCB"/>
    <w:rsid w:val="00AA3C60"/>
    <w:rsid w:val="00AA3E2B"/>
    <w:rsid w:val="00AA3F0A"/>
    <w:rsid w:val="00AA40A2"/>
    <w:rsid w:val="00AA440B"/>
    <w:rsid w:val="00AA449D"/>
    <w:rsid w:val="00AA44A7"/>
    <w:rsid w:val="00AA4510"/>
    <w:rsid w:val="00AA471C"/>
    <w:rsid w:val="00AA47E8"/>
    <w:rsid w:val="00AA480C"/>
    <w:rsid w:val="00AA49D3"/>
    <w:rsid w:val="00AA4AEE"/>
    <w:rsid w:val="00AA4FA4"/>
    <w:rsid w:val="00AA516B"/>
    <w:rsid w:val="00AA5227"/>
    <w:rsid w:val="00AA54AB"/>
    <w:rsid w:val="00AA54D9"/>
    <w:rsid w:val="00AA5A0A"/>
    <w:rsid w:val="00AA5FF5"/>
    <w:rsid w:val="00AA6B85"/>
    <w:rsid w:val="00AA74E6"/>
    <w:rsid w:val="00AA7635"/>
    <w:rsid w:val="00AA7773"/>
    <w:rsid w:val="00AA7A76"/>
    <w:rsid w:val="00AA7BC0"/>
    <w:rsid w:val="00AA7C1F"/>
    <w:rsid w:val="00AA7C5D"/>
    <w:rsid w:val="00AA7FF2"/>
    <w:rsid w:val="00AB1626"/>
    <w:rsid w:val="00AB1B4A"/>
    <w:rsid w:val="00AB1C27"/>
    <w:rsid w:val="00AB21AF"/>
    <w:rsid w:val="00AB2206"/>
    <w:rsid w:val="00AB24DE"/>
    <w:rsid w:val="00AB2668"/>
    <w:rsid w:val="00AB2FF4"/>
    <w:rsid w:val="00AB3461"/>
    <w:rsid w:val="00AB3508"/>
    <w:rsid w:val="00AB3B26"/>
    <w:rsid w:val="00AB3F84"/>
    <w:rsid w:val="00AB3FA0"/>
    <w:rsid w:val="00AB4416"/>
    <w:rsid w:val="00AB4D9C"/>
    <w:rsid w:val="00AB4E14"/>
    <w:rsid w:val="00AB4FEC"/>
    <w:rsid w:val="00AB5116"/>
    <w:rsid w:val="00AB5242"/>
    <w:rsid w:val="00AB537F"/>
    <w:rsid w:val="00AB5644"/>
    <w:rsid w:val="00AB58BB"/>
    <w:rsid w:val="00AB5F9C"/>
    <w:rsid w:val="00AB61C5"/>
    <w:rsid w:val="00AB6596"/>
    <w:rsid w:val="00AB6D4E"/>
    <w:rsid w:val="00AB711F"/>
    <w:rsid w:val="00AB733F"/>
    <w:rsid w:val="00AB7607"/>
    <w:rsid w:val="00AB77DE"/>
    <w:rsid w:val="00AC0118"/>
    <w:rsid w:val="00AC0FA2"/>
    <w:rsid w:val="00AC104A"/>
    <w:rsid w:val="00AC14AA"/>
    <w:rsid w:val="00AC1AD6"/>
    <w:rsid w:val="00AC2221"/>
    <w:rsid w:val="00AC225C"/>
    <w:rsid w:val="00AC2277"/>
    <w:rsid w:val="00AC2465"/>
    <w:rsid w:val="00AC269E"/>
    <w:rsid w:val="00AC310D"/>
    <w:rsid w:val="00AC31EE"/>
    <w:rsid w:val="00AC3604"/>
    <w:rsid w:val="00AC3615"/>
    <w:rsid w:val="00AC38C1"/>
    <w:rsid w:val="00AC3D82"/>
    <w:rsid w:val="00AC3DBE"/>
    <w:rsid w:val="00AC41CC"/>
    <w:rsid w:val="00AC435B"/>
    <w:rsid w:val="00AC4451"/>
    <w:rsid w:val="00AC44E8"/>
    <w:rsid w:val="00AC4BEA"/>
    <w:rsid w:val="00AC4CDD"/>
    <w:rsid w:val="00AC57D9"/>
    <w:rsid w:val="00AC5D65"/>
    <w:rsid w:val="00AC6BA3"/>
    <w:rsid w:val="00AC7CBF"/>
    <w:rsid w:val="00AC7F69"/>
    <w:rsid w:val="00AD0578"/>
    <w:rsid w:val="00AD08D4"/>
    <w:rsid w:val="00AD128B"/>
    <w:rsid w:val="00AD173B"/>
    <w:rsid w:val="00AD19EB"/>
    <w:rsid w:val="00AD1B0D"/>
    <w:rsid w:val="00AD1BF0"/>
    <w:rsid w:val="00AD1DF4"/>
    <w:rsid w:val="00AD2CD9"/>
    <w:rsid w:val="00AD2F71"/>
    <w:rsid w:val="00AD39B4"/>
    <w:rsid w:val="00AD3BCA"/>
    <w:rsid w:val="00AD3DBA"/>
    <w:rsid w:val="00AD41E6"/>
    <w:rsid w:val="00AD481F"/>
    <w:rsid w:val="00AD4EBC"/>
    <w:rsid w:val="00AD4FAD"/>
    <w:rsid w:val="00AD500D"/>
    <w:rsid w:val="00AD5808"/>
    <w:rsid w:val="00AD5811"/>
    <w:rsid w:val="00AD5B6E"/>
    <w:rsid w:val="00AD5C46"/>
    <w:rsid w:val="00AD5DFC"/>
    <w:rsid w:val="00AD64DF"/>
    <w:rsid w:val="00AD65AD"/>
    <w:rsid w:val="00AD66A4"/>
    <w:rsid w:val="00AD6E19"/>
    <w:rsid w:val="00AD745B"/>
    <w:rsid w:val="00AD765E"/>
    <w:rsid w:val="00AE00E2"/>
    <w:rsid w:val="00AE01CE"/>
    <w:rsid w:val="00AE0A59"/>
    <w:rsid w:val="00AE0AE9"/>
    <w:rsid w:val="00AE0B4B"/>
    <w:rsid w:val="00AE0F78"/>
    <w:rsid w:val="00AE1025"/>
    <w:rsid w:val="00AE1560"/>
    <w:rsid w:val="00AE17F0"/>
    <w:rsid w:val="00AE191A"/>
    <w:rsid w:val="00AE1B67"/>
    <w:rsid w:val="00AE1C47"/>
    <w:rsid w:val="00AE2139"/>
    <w:rsid w:val="00AE3383"/>
    <w:rsid w:val="00AE35DF"/>
    <w:rsid w:val="00AE3847"/>
    <w:rsid w:val="00AE3B77"/>
    <w:rsid w:val="00AE3C15"/>
    <w:rsid w:val="00AE3F03"/>
    <w:rsid w:val="00AE439D"/>
    <w:rsid w:val="00AE4419"/>
    <w:rsid w:val="00AE49E2"/>
    <w:rsid w:val="00AE4A7C"/>
    <w:rsid w:val="00AE4B12"/>
    <w:rsid w:val="00AE4C95"/>
    <w:rsid w:val="00AE5231"/>
    <w:rsid w:val="00AE54BA"/>
    <w:rsid w:val="00AE57C3"/>
    <w:rsid w:val="00AE5A0D"/>
    <w:rsid w:val="00AE5BA5"/>
    <w:rsid w:val="00AE645C"/>
    <w:rsid w:val="00AE64F0"/>
    <w:rsid w:val="00AE6509"/>
    <w:rsid w:val="00AE6B86"/>
    <w:rsid w:val="00AE7066"/>
    <w:rsid w:val="00AE76FA"/>
    <w:rsid w:val="00AE7F7C"/>
    <w:rsid w:val="00AF03A8"/>
    <w:rsid w:val="00AF07E3"/>
    <w:rsid w:val="00AF0ACB"/>
    <w:rsid w:val="00AF16B2"/>
    <w:rsid w:val="00AF23C8"/>
    <w:rsid w:val="00AF24F2"/>
    <w:rsid w:val="00AF272E"/>
    <w:rsid w:val="00AF2AE2"/>
    <w:rsid w:val="00AF2BD3"/>
    <w:rsid w:val="00AF3346"/>
    <w:rsid w:val="00AF344B"/>
    <w:rsid w:val="00AF3CC4"/>
    <w:rsid w:val="00AF42C7"/>
    <w:rsid w:val="00AF43D4"/>
    <w:rsid w:val="00AF4550"/>
    <w:rsid w:val="00AF4C6C"/>
    <w:rsid w:val="00AF4D82"/>
    <w:rsid w:val="00AF4E3B"/>
    <w:rsid w:val="00AF4ED1"/>
    <w:rsid w:val="00AF51C4"/>
    <w:rsid w:val="00AF5207"/>
    <w:rsid w:val="00AF576B"/>
    <w:rsid w:val="00AF580F"/>
    <w:rsid w:val="00AF5AC2"/>
    <w:rsid w:val="00AF5D29"/>
    <w:rsid w:val="00AF612F"/>
    <w:rsid w:val="00AF6227"/>
    <w:rsid w:val="00AF62AD"/>
    <w:rsid w:val="00AF681B"/>
    <w:rsid w:val="00AF6E01"/>
    <w:rsid w:val="00AF70B9"/>
    <w:rsid w:val="00AF72A2"/>
    <w:rsid w:val="00AF7413"/>
    <w:rsid w:val="00AF799B"/>
    <w:rsid w:val="00AF7C14"/>
    <w:rsid w:val="00AF7F13"/>
    <w:rsid w:val="00AF7F5E"/>
    <w:rsid w:val="00B000D4"/>
    <w:rsid w:val="00B00181"/>
    <w:rsid w:val="00B004DC"/>
    <w:rsid w:val="00B00656"/>
    <w:rsid w:val="00B00715"/>
    <w:rsid w:val="00B0090B"/>
    <w:rsid w:val="00B00AA5"/>
    <w:rsid w:val="00B00B58"/>
    <w:rsid w:val="00B00D41"/>
    <w:rsid w:val="00B01119"/>
    <w:rsid w:val="00B011EE"/>
    <w:rsid w:val="00B01386"/>
    <w:rsid w:val="00B017DB"/>
    <w:rsid w:val="00B01ACC"/>
    <w:rsid w:val="00B01EB2"/>
    <w:rsid w:val="00B0204B"/>
    <w:rsid w:val="00B021C0"/>
    <w:rsid w:val="00B026F9"/>
    <w:rsid w:val="00B02849"/>
    <w:rsid w:val="00B02BC8"/>
    <w:rsid w:val="00B032BA"/>
    <w:rsid w:val="00B0377E"/>
    <w:rsid w:val="00B03C64"/>
    <w:rsid w:val="00B03D78"/>
    <w:rsid w:val="00B040EE"/>
    <w:rsid w:val="00B0454E"/>
    <w:rsid w:val="00B04902"/>
    <w:rsid w:val="00B05321"/>
    <w:rsid w:val="00B05339"/>
    <w:rsid w:val="00B0540E"/>
    <w:rsid w:val="00B05907"/>
    <w:rsid w:val="00B05BBE"/>
    <w:rsid w:val="00B05BD0"/>
    <w:rsid w:val="00B061FB"/>
    <w:rsid w:val="00B0673B"/>
    <w:rsid w:val="00B06DBB"/>
    <w:rsid w:val="00B06FB9"/>
    <w:rsid w:val="00B07156"/>
    <w:rsid w:val="00B07404"/>
    <w:rsid w:val="00B079E2"/>
    <w:rsid w:val="00B07B27"/>
    <w:rsid w:val="00B07BA9"/>
    <w:rsid w:val="00B10055"/>
    <w:rsid w:val="00B105F5"/>
    <w:rsid w:val="00B106AD"/>
    <w:rsid w:val="00B10C1A"/>
    <w:rsid w:val="00B110BA"/>
    <w:rsid w:val="00B11174"/>
    <w:rsid w:val="00B111DB"/>
    <w:rsid w:val="00B1141E"/>
    <w:rsid w:val="00B11753"/>
    <w:rsid w:val="00B1193C"/>
    <w:rsid w:val="00B119FA"/>
    <w:rsid w:val="00B11AD3"/>
    <w:rsid w:val="00B11B2B"/>
    <w:rsid w:val="00B11E50"/>
    <w:rsid w:val="00B1229E"/>
    <w:rsid w:val="00B12644"/>
    <w:rsid w:val="00B1278B"/>
    <w:rsid w:val="00B12CD1"/>
    <w:rsid w:val="00B12F3F"/>
    <w:rsid w:val="00B13233"/>
    <w:rsid w:val="00B1349B"/>
    <w:rsid w:val="00B13A5F"/>
    <w:rsid w:val="00B13B53"/>
    <w:rsid w:val="00B13CE2"/>
    <w:rsid w:val="00B14305"/>
    <w:rsid w:val="00B146A0"/>
    <w:rsid w:val="00B14DF2"/>
    <w:rsid w:val="00B15263"/>
    <w:rsid w:val="00B15286"/>
    <w:rsid w:val="00B16AC9"/>
    <w:rsid w:val="00B16BD7"/>
    <w:rsid w:val="00B17295"/>
    <w:rsid w:val="00B17399"/>
    <w:rsid w:val="00B17664"/>
    <w:rsid w:val="00B20E60"/>
    <w:rsid w:val="00B21119"/>
    <w:rsid w:val="00B213DD"/>
    <w:rsid w:val="00B215F5"/>
    <w:rsid w:val="00B2178F"/>
    <w:rsid w:val="00B21C86"/>
    <w:rsid w:val="00B22567"/>
    <w:rsid w:val="00B2294C"/>
    <w:rsid w:val="00B22CEA"/>
    <w:rsid w:val="00B22E1A"/>
    <w:rsid w:val="00B22E48"/>
    <w:rsid w:val="00B23398"/>
    <w:rsid w:val="00B23824"/>
    <w:rsid w:val="00B2416A"/>
    <w:rsid w:val="00B2450A"/>
    <w:rsid w:val="00B2490A"/>
    <w:rsid w:val="00B2547E"/>
    <w:rsid w:val="00B257F2"/>
    <w:rsid w:val="00B25D90"/>
    <w:rsid w:val="00B26ABB"/>
    <w:rsid w:val="00B26B62"/>
    <w:rsid w:val="00B26C87"/>
    <w:rsid w:val="00B26D8E"/>
    <w:rsid w:val="00B26E6D"/>
    <w:rsid w:val="00B27089"/>
    <w:rsid w:val="00B270A1"/>
    <w:rsid w:val="00B27A54"/>
    <w:rsid w:val="00B27D14"/>
    <w:rsid w:val="00B3008C"/>
    <w:rsid w:val="00B30458"/>
    <w:rsid w:val="00B3056E"/>
    <w:rsid w:val="00B30783"/>
    <w:rsid w:val="00B30938"/>
    <w:rsid w:val="00B30C3D"/>
    <w:rsid w:val="00B30EFF"/>
    <w:rsid w:val="00B311F1"/>
    <w:rsid w:val="00B31531"/>
    <w:rsid w:val="00B317C0"/>
    <w:rsid w:val="00B328B5"/>
    <w:rsid w:val="00B32A1D"/>
    <w:rsid w:val="00B32A4C"/>
    <w:rsid w:val="00B32E3A"/>
    <w:rsid w:val="00B33302"/>
    <w:rsid w:val="00B33952"/>
    <w:rsid w:val="00B33A77"/>
    <w:rsid w:val="00B33AA1"/>
    <w:rsid w:val="00B33AE7"/>
    <w:rsid w:val="00B33FCC"/>
    <w:rsid w:val="00B34224"/>
    <w:rsid w:val="00B34ABF"/>
    <w:rsid w:val="00B34B6B"/>
    <w:rsid w:val="00B34BEE"/>
    <w:rsid w:val="00B34D70"/>
    <w:rsid w:val="00B3500C"/>
    <w:rsid w:val="00B35B4D"/>
    <w:rsid w:val="00B35C15"/>
    <w:rsid w:val="00B35D76"/>
    <w:rsid w:val="00B3664D"/>
    <w:rsid w:val="00B3684B"/>
    <w:rsid w:val="00B37318"/>
    <w:rsid w:val="00B37A0B"/>
    <w:rsid w:val="00B40126"/>
    <w:rsid w:val="00B40352"/>
    <w:rsid w:val="00B404D0"/>
    <w:rsid w:val="00B41E4E"/>
    <w:rsid w:val="00B41F0F"/>
    <w:rsid w:val="00B423AB"/>
    <w:rsid w:val="00B42508"/>
    <w:rsid w:val="00B42560"/>
    <w:rsid w:val="00B426D8"/>
    <w:rsid w:val="00B426E5"/>
    <w:rsid w:val="00B42725"/>
    <w:rsid w:val="00B4290C"/>
    <w:rsid w:val="00B42FEC"/>
    <w:rsid w:val="00B4330C"/>
    <w:rsid w:val="00B437E3"/>
    <w:rsid w:val="00B446B9"/>
    <w:rsid w:val="00B44947"/>
    <w:rsid w:val="00B4507A"/>
    <w:rsid w:val="00B4518B"/>
    <w:rsid w:val="00B455AA"/>
    <w:rsid w:val="00B45778"/>
    <w:rsid w:val="00B457A1"/>
    <w:rsid w:val="00B45BBC"/>
    <w:rsid w:val="00B4630F"/>
    <w:rsid w:val="00B46414"/>
    <w:rsid w:val="00B464B1"/>
    <w:rsid w:val="00B46B45"/>
    <w:rsid w:val="00B46B92"/>
    <w:rsid w:val="00B46CAA"/>
    <w:rsid w:val="00B46D5A"/>
    <w:rsid w:val="00B46DD1"/>
    <w:rsid w:val="00B4730E"/>
    <w:rsid w:val="00B4794B"/>
    <w:rsid w:val="00B47A4A"/>
    <w:rsid w:val="00B47B99"/>
    <w:rsid w:val="00B47F1D"/>
    <w:rsid w:val="00B506F2"/>
    <w:rsid w:val="00B506F3"/>
    <w:rsid w:val="00B50A95"/>
    <w:rsid w:val="00B50AEF"/>
    <w:rsid w:val="00B510E3"/>
    <w:rsid w:val="00B511B1"/>
    <w:rsid w:val="00B51485"/>
    <w:rsid w:val="00B519D9"/>
    <w:rsid w:val="00B521AC"/>
    <w:rsid w:val="00B52214"/>
    <w:rsid w:val="00B52336"/>
    <w:rsid w:val="00B524ED"/>
    <w:rsid w:val="00B52702"/>
    <w:rsid w:val="00B53614"/>
    <w:rsid w:val="00B53638"/>
    <w:rsid w:val="00B53A15"/>
    <w:rsid w:val="00B548B6"/>
    <w:rsid w:val="00B54940"/>
    <w:rsid w:val="00B5498D"/>
    <w:rsid w:val="00B5501D"/>
    <w:rsid w:val="00B55B65"/>
    <w:rsid w:val="00B55D1A"/>
    <w:rsid w:val="00B56372"/>
    <w:rsid w:val="00B567BD"/>
    <w:rsid w:val="00B5696B"/>
    <w:rsid w:val="00B56EBF"/>
    <w:rsid w:val="00B60C94"/>
    <w:rsid w:val="00B610A9"/>
    <w:rsid w:val="00B6151E"/>
    <w:rsid w:val="00B6165E"/>
    <w:rsid w:val="00B6175F"/>
    <w:rsid w:val="00B6179E"/>
    <w:rsid w:val="00B61DE6"/>
    <w:rsid w:val="00B61EA5"/>
    <w:rsid w:val="00B61F83"/>
    <w:rsid w:val="00B623A8"/>
    <w:rsid w:val="00B625D5"/>
    <w:rsid w:val="00B62A4B"/>
    <w:rsid w:val="00B630CE"/>
    <w:rsid w:val="00B63446"/>
    <w:rsid w:val="00B635F5"/>
    <w:rsid w:val="00B637C9"/>
    <w:rsid w:val="00B63A19"/>
    <w:rsid w:val="00B63BA3"/>
    <w:rsid w:val="00B63F90"/>
    <w:rsid w:val="00B6452B"/>
    <w:rsid w:val="00B64565"/>
    <w:rsid w:val="00B648F5"/>
    <w:rsid w:val="00B64912"/>
    <w:rsid w:val="00B64962"/>
    <w:rsid w:val="00B64C90"/>
    <w:rsid w:val="00B64E44"/>
    <w:rsid w:val="00B64F40"/>
    <w:rsid w:val="00B6568B"/>
    <w:rsid w:val="00B65895"/>
    <w:rsid w:val="00B65B10"/>
    <w:rsid w:val="00B65CF7"/>
    <w:rsid w:val="00B65E32"/>
    <w:rsid w:val="00B65F66"/>
    <w:rsid w:val="00B6648D"/>
    <w:rsid w:val="00B66B29"/>
    <w:rsid w:val="00B67229"/>
    <w:rsid w:val="00B676EC"/>
    <w:rsid w:val="00B7016C"/>
    <w:rsid w:val="00B7039B"/>
    <w:rsid w:val="00B704BA"/>
    <w:rsid w:val="00B70D64"/>
    <w:rsid w:val="00B71253"/>
    <w:rsid w:val="00B715FF"/>
    <w:rsid w:val="00B71741"/>
    <w:rsid w:val="00B71800"/>
    <w:rsid w:val="00B71876"/>
    <w:rsid w:val="00B7199E"/>
    <w:rsid w:val="00B71C0C"/>
    <w:rsid w:val="00B71FE3"/>
    <w:rsid w:val="00B728C4"/>
    <w:rsid w:val="00B72D4D"/>
    <w:rsid w:val="00B735E9"/>
    <w:rsid w:val="00B73787"/>
    <w:rsid w:val="00B73C43"/>
    <w:rsid w:val="00B73C48"/>
    <w:rsid w:val="00B74201"/>
    <w:rsid w:val="00B74680"/>
    <w:rsid w:val="00B7474C"/>
    <w:rsid w:val="00B74890"/>
    <w:rsid w:val="00B74A5B"/>
    <w:rsid w:val="00B74A65"/>
    <w:rsid w:val="00B74D1E"/>
    <w:rsid w:val="00B74FF7"/>
    <w:rsid w:val="00B75140"/>
    <w:rsid w:val="00B7540C"/>
    <w:rsid w:val="00B75475"/>
    <w:rsid w:val="00B7586B"/>
    <w:rsid w:val="00B75C2C"/>
    <w:rsid w:val="00B75D66"/>
    <w:rsid w:val="00B769A0"/>
    <w:rsid w:val="00B769D5"/>
    <w:rsid w:val="00B76A18"/>
    <w:rsid w:val="00B77144"/>
    <w:rsid w:val="00B77AE3"/>
    <w:rsid w:val="00B8007A"/>
    <w:rsid w:val="00B80330"/>
    <w:rsid w:val="00B8070E"/>
    <w:rsid w:val="00B80BDA"/>
    <w:rsid w:val="00B80E08"/>
    <w:rsid w:val="00B8182B"/>
    <w:rsid w:val="00B819AC"/>
    <w:rsid w:val="00B836EB"/>
    <w:rsid w:val="00B83B1E"/>
    <w:rsid w:val="00B83DD0"/>
    <w:rsid w:val="00B8470A"/>
    <w:rsid w:val="00B84C6C"/>
    <w:rsid w:val="00B84FE5"/>
    <w:rsid w:val="00B85A59"/>
    <w:rsid w:val="00B86029"/>
    <w:rsid w:val="00B861ED"/>
    <w:rsid w:val="00B86835"/>
    <w:rsid w:val="00B87238"/>
    <w:rsid w:val="00B876AF"/>
    <w:rsid w:val="00B87B0F"/>
    <w:rsid w:val="00B87CCB"/>
    <w:rsid w:val="00B90CB4"/>
    <w:rsid w:val="00B92314"/>
    <w:rsid w:val="00B92687"/>
    <w:rsid w:val="00B92A20"/>
    <w:rsid w:val="00B93763"/>
    <w:rsid w:val="00B94248"/>
    <w:rsid w:val="00B942A1"/>
    <w:rsid w:val="00B9446D"/>
    <w:rsid w:val="00B948BE"/>
    <w:rsid w:val="00B949F3"/>
    <w:rsid w:val="00B94B4F"/>
    <w:rsid w:val="00B954C3"/>
    <w:rsid w:val="00B954CE"/>
    <w:rsid w:val="00B95824"/>
    <w:rsid w:val="00B95931"/>
    <w:rsid w:val="00B95BF9"/>
    <w:rsid w:val="00B96878"/>
    <w:rsid w:val="00B96953"/>
    <w:rsid w:val="00B96B17"/>
    <w:rsid w:val="00B96E1D"/>
    <w:rsid w:val="00B97038"/>
    <w:rsid w:val="00B976F6"/>
    <w:rsid w:val="00B97C76"/>
    <w:rsid w:val="00B97EA5"/>
    <w:rsid w:val="00B97F99"/>
    <w:rsid w:val="00BA0170"/>
    <w:rsid w:val="00BA0723"/>
    <w:rsid w:val="00BA0CD8"/>
    <w:rsid w:val="00BA0EB0"/>
    <w:rsid w:val="00BA1063"/>
    <w:rsid w:val="00BA12F2"/>
    <w:rsid w:val="00BA1746"/>
    <w:rsid w:val="00BA1785"/>
    <w:rsid w:val="00BA1992"/>
    <w:rsid w:val="00BA1D2C"/>
    <w:rsid w:val="00BA1FEE"/>
    <w:rsid w:val="00BA2675"/>
    <w:rsid w:val="00BA29C6"/>
    <w:rsid w:val="00BA3FBA"/>
    <w:rsid w:val="00BA407C"/>
    <w:rsid w:val="00BA453D"/>
    <w:rsid w:val="00BA454C"/>
    <w:rsid w:val="00BA45CD"/>
    <w:rsid w:val="00BA523D"/>
    <w:rsid w:val="00BA566B"/>
    <w:rsid w:val="00BA57E9"/>
    <w:rsid w:val="00BA5936"/>
    <w:rsid w:val="00BA5EE5"/>
    <w:rsid w:val="00BA5F41"/>
    <w:rsid w:val="00BA6D77"/>
    <w:rsid w:val="00BA7385"/>
    <w:rsid w:val="00BA7554"/>
    <w:rsid w:val="00BA767F"/>
    <w:rsid w:val="00BA76D8"/>
    <w:rsid w:val="00BA78E1"/>
    <w:rsid w:val="00BA7ABE"/>
    <w:rsid w:val="00BB00C1"/>
    <w:rsid w:val="00BB03B3"/>
    <w:rsid w:val="00BB07D8"/>
    <w:rsid w:val="00BB187C"/>
    <w:rsid w:val="00BB1944"/>
    <w:rsid w:val="00BB1DFB"/>
    <w:rsid w:val="00BB2367"/>
    <w:rsid w:val="00BB2780"/>
    <w:rsid w:val="00BB296B"/>
    <w:rsid w:val="00BB2A9C"/>
    <w:rsid w:val="00BB319B"/>
    <w:rsid w:val="00BB3405"/>
    <w:rsid w:val="00BB3622"/>
    <w:rsid w:val="00BB3AA0"/>
    <w:rsid w:val="00BB3D0D"/>
    <w:rsid w:val="00BB4052"/>
    <w:rsid w:val="00BB465B"/>
    <w:rsid w:val="00BB4761"/>
    <w:rsid w:val="00BB4ADE"/>
    <w:rsid w:val="00BB4C80"/>
    <w:rsid w:val="00BB571C"/>
    <w:rsid w:val="00BB5729"/>
    <w:rsid w:val="00BB5DD4"/>
    <w:rsid w:val="00BB62B3"/>
    <w:rsid w:val="00BB6450"/>
    <w:rsid w:val="00BB665E"/>
    <w:rsid w:val="00BB66C2"/>
    <w:rsid w:val="00BB6733"/>
    <w:rsid w:val="00BB682C"/>
    <w:rsid w:val="00BB6D92"/>
    <w:rsid w:val="00BB6FF7"/>
    <w:rsid w:val="00BB725A"/>
    <w:rsid w:val="00BB77A3"/>
    <w:rsid w:val="00BB7CA9"/>
    <w:rsid w:val="00BB7DF0"/>
    <w:rsid w:val="00BC04F1"/>
    <w:rsid w:val="00BC0754"/>
    <w:rsid w:val="00BC076D"/>
    <w:rsid w:val="00BC0803"/>
    <w:rsid w:val="00BC0C2D"/>
    <w:rsid w:val="00BC14C1"/>
    <w:rsid w:val="00BC1706"/>
    <w:rsid w:val="00BC1877"/>
    <w:rsid w:val="00BC236B"/>
    <w:rsid w:val="00BC24FB"/>
    <w:rsid w:val="00BC25EC"/>
    <w:rsid w:val="00BC2666"/>
    <w:rsid w:val="00BC2741"/>
    <w:rsid w:val="00BC291C"/>
    <w:rsid w:val="00BC2BB4"/>
    <w:rsid w:val="00BC2E35"/>
    <w:rsid w:val="00BC2FF7"/>
    <w:rsid w:val="00BC3104"/>
    <w:rsid w:val="00BC325A"/>
    <w:rsid w:val="00BC37C9"/>
    <w:rsid w:val="00BC392E"/>
    <w:rsid w:val="00BC3A5C"/>
    <w:rsid w:val="00BC3CA3"/>
    <w:rsid w:val="00BC423E"/>
    <w:rsid w:val="00BC45B1"/>
    <w:rsid w:val="00BC47D4"/>
    <w:rsid w:val="00BC4DE4"/>
    <w:rsid w:val="00BC5C63"/>
    <w:rsid w:val="00BC6386"/>
    <w:rsid w:val="00BC65D9"/>
    <w:rsid w:val="00BC6929"/>
    <w:rsid w:val="00BC7C52"/>
    <w:rsid w:val="00BD021C"/>
    <w:rsid w:val="00BD046A"/>
    <w:rsid w:val="00BD04A7"/>
    <w:rsid w:val="00BD0639"/>
    <w:rsid w:val="00BD082F"/>
    <w:rsid w:val="00BD0AF2"/>
    <w:rsid w:val="00BD0BFB"/>
    <w:rsid w:val="00BD0CF6"/>
    <w:rsid w:val="00BD1471"/>
    <w:rsid w:val="00BD14C5"/>
    <w:rsid w:val="00BD196A"/>
    <w:rsid w:val="00BD207D"/>
    <w:rsid w:val="00BD2081"/>
    <w:rsid w:val="00BD2311"/>
    <w:rsid w:val="00BD253D"/>
    <w:rsid w:val="00BD329D"/>
    <w:rsid w:val="00BD38D8"/>
    <w:rsid w:val="00BD3B78"/>
    <w:rsid w:val="00BD3FA7"/>
    <w:rsid w:val="00BD43B6"/>
    <w:rsid w:val="00BD448F"/>
    <w:rsid w:val="00BD4867"/>
    <w:rsid w:val="00BD4878"/>
    <w:rsid w:val="00BD4D1B"/>
    <w:rsid w:val="00BD4DAE"/>
    <w:rsid w:val="00BD4E43"/>
    <w:rsid w:val="00BD4ED5"/>
    <w:rsid w:val="00BD51C5"/>
    <w:rsid w:val="00BD544F"/>
    <w:rsid w:val="00BD57CF"/>
    <w:rsid w:val="00BD59AD"/>
    <w:rsid w:val="00BD5EFF"/>
    <w:rsid w:val="00BD619F"/>
    <w:rsid w:val="00BD6262"/>
    <w:rsid w:val="00BD6471"/>
    <w:rsid w:val="00BD64B9"/>
    <w:rsid w:val="00BD6C49"/>
    <w:rsid w:val="00BD6D4F"/>
    <w:rsid w:val="00BD6D5D"/>
    <w:rsid w:val="00BD7722"/>
    <w:rsid w:val="00BD79B9"/>
    <w:rsid w:val="00BD7EED"/>
    <w:rsid w:val="00BE05D7"/>
    <w:rsid w:val="00BE07EB"/>
    <w:rsid w:val="00BE1877"/>
    <w:rsid w:val="00BE1AB4"/>
    <w:rsid w:val="00BE2193"/>
    <w:rsid w:val="00BE23F8"/>
    <w:rsid w:val="00BE297F"/>
    <w:rsid w:val="00BE2ABE"/>
    <w:rsid w:val="00BE2B7E"/>
    <w:rsid w:val="00BE2C34"/>
    <w:rsid w:val="00BE2E36"/>
    <w:rsid w:val="00BE30F6"/>
    <w:rsid w:val="00BE3440"/>
    <w:rsid w:val="00BE396D"/>
    <w:rsid w:val="00BE3D98"/>
    <w:rsid w:val="00BE3EB3"/>
    <w:rsid w:val="00BE3FE8"/>
    <w:rsid w:val="00BE4183"/>
    <w:rsid w:val="00BE4647"/>
    <w:rsid w:val="00BE4C48"/>
    <w:rsid w:val="00BE5795"/>
    <w:rsid w:val="00BE5899"/>
    <w:rsid w:val="00BE5B71"/>
    <w:rsid w:val="00BE5EB2"/>
    <w:rsid w:val="00BE5F22"/>
    <w:rsid w:val="00BE5F3E"/>
    <w:rsid w:val="00BE5F61"/>
    <w:rsid w:val="00BE5FCE"/>
    <w:rsid w:val="00BE615F"/>
    <w:rsid w:val="00BE61C1"/>
    <w:rsid w:val="00BE64AF"/>
    <w:rsid w:val="00BE6717"/>
    <w:rsid w:val="00BE6CFF"/>
    <w:rsid w:val="00BE76B7"/>
    <w:rsid w:val="00BE7C06"/>
    <w:rsid w:val="00BF036B"/>
    <w:rsid w:val="00BF0381"/>
    <w:rsid w:val="00BF06D9"/>
    <w:rsid w:val="00BF181C"/>
    <w:rsid w:val="00BF1BF4"/>
    <w:rsid w:val="00BF1E9B"/>
    <w:rsid w:val="00BF25CB"/>
    <w:rsid w:val="00BF2D06"/>
    <w:rsid w:val="00BF304E"/>
    <w:rsid w:val="00BF3BD0"/>
    <w:rsid w:val="00BF419B"/>
    <w:rsid w:val="00BF4220"/>
    <w:rsid w:val="00BF4362"/>
    <w:rsid w:val="00BF446E"/>
    <w:rsid w:val="00BF4739"/>
    <w:rsid w:val="00BF483F"/>
    <w:rsid w:val="00BF4B46"/>
    <w:rsid w:val="00BF4B5F"/>
    <w:rsid w:val="00BF523C"/>
    <w:rsid w:val="00BF6554"/>
    <w:rsid w:val="00BF66C0"/>
    <w:rsid w:val="00BF675B"/>
    <w:rsid w:val="00BF6768"/>
    <w:rsid w:val="00BF6BA0"/>
    <w:rsid w:val="00BF6E7B"/>
    <w:rsid w:val="00BF7007"/>
    <w:rsid w:val="00BF71CA"/>
    <w:rsid w:val="00BF7C56"/>
    <w:rsid w:val="00C0077A"/>
    <w:rsid w:val="00C00880"/>
    <w:rsid w:val="00C00A49"/>
    <w:rsid w:val="00C00C2B"/>
    <w:rsid w:val="00C01021"/>
    <w:rsid w:val="00C0141F"/>
    <w:rsid w:val="00C01D1D"/>
    <w:rsid w:val="00C028E1"/>
    <w:rsid w:val="00C035D7"/>
    <w:rsid w:val="00C036B0"/>
    <w:rsid w:val="00C03883"/>
    <w:rsid w:val="00C03E82"/>
    <w:rsid w:val="00C04144"/>
    <w:rsid w:val="00C0488C"/>
    <w:rsid w:val="00C048AF"/>
    <w:rsid w:val="00C05230"/>
    <w:rsid w:val="00C064A1"/>
    <w:rsid w:val="00C066D4"/>
    <w:rsid w:val="00C06711"/>
    <w:rsid w:val="00C06D24"/>
    <w:rsid w:val="00C06D43"/>
    <w:rsid w:val="00C070A5"/>
    <w:rsid w:val="00C07193"/>
    <w:rsid w:val="00C071A5"/>
    <w:rsid w:val="00C071E4"/>
    <w:rsid w:val="00C077E0"/>
    <w:rsid w:val="00C07DE6"/>
    <w:rsid w:val="00C07E70"/>
    <w:rsid w:val="00C104CA"/>
    <w:rsid w:val="00C10734"/>
    <w:rsid w:val="00C10923"/>
    <w:rsid w:val="00C1181A"/>
    <w:rsid w:val="00C11F42"/>
    <w:rsid w:val="00C12030"/>
    <w:rsid w:val="00C129AF"/>
    <w:rsid w:val="00C12A6E"/>
    <w:rsid w:val="00C131C6"/>
    <w:rsid w:val="00C13337"/>
    <w:rsid w:val="00C1339C"/>
    <w:rsid w:val="00C136AB"/>
    <w:rsid w:val="00C137A5"/>
    <w:rsid w:val="00C13C21"/>
    <w:rsid w:val="00C13DC4"/>
    <w:rsid w:val="00C13F90"/>
    <w:rsid w:val="00C141F9"/>
    <w:rsid w:val="00C146D7"/>
    <w:rsid w:val="00C147E3"/>
    <w:rsid w:val="00C147F4"/>
    <w:rsid w:val="00C14CF1"/>
    <w:rsid w:val="00C14EA4"/>
    <w:rsid w:val="00C154B5"/>
    <w:rsid w:val="00C15731"/>
    <w:rsid w:val="00C15CB6"/>
    <w:rsid w:val="00C16473"/>
    <w:rsid w:val="00C16C4C"/>
    <w:rsid w:val="00C1718A"/>
    <w:rsid w:val="00C171E9"/>
    <w:rsid w:val="00C174EA"/>
    <w:rsid w:val="00C176A1"/>
    <w:rsid w:val="00C17724"/>
    <w:rsid w:val="00C1774A"/>
    <w:rsid w:val="00C1784B"/>
    <w:rsid w:val="00C17872"/>
    <w:rsid w:val="00C17E21"/>
    <w:rsid w:val="00C17E83"/>
    <w:rsid w:val="00C203AA"/>
    <w:rsid w:val="00C20529"/>
    <w:rsid w:val="00C205E9"/>
    <w:rsid w:val="00C20891"/>
    <w:rsid w:val="00C208C0"/>
    <w:rsid w:val="00C20C21"/>
    <w:rsid w:val="00C20DF2"/>
    <w:rsid w:val="00C21113"/>
    <w:rsid w:val="00C212FC"/>
    <w:rsid w:val="00C21436"/>
    <w:rsid w:val="00C21460"/>
    <w:rsid w:val="00C219A0"/>
    <w:rsid w:val="00C22046"/>
    <w:rsid w:val="00C22051"/>
    <w:rsid w:val="00C22350"/>
    <w:rsid w:val="00C224BC"/>
    <w:rsid w:val="00C22917"/>
    <w:rsid w:val="00C22928"/>
    <w:rsid w:val="00C22C7F"/>
    <w:rsid w:val="00C231E1"/>
    <w:rsid w:val="00C2382F"/>
    <w:rsid w:val="00C23F48"/>
    <w:rsid w:val="00C2414A"/>
    <w:rsid w:val="00C24592"/>
    <w:rsid w:val="00C245D5"/>
    <w:rsid w:val="00C2468C"/>
    <w:rsid w:val="00C249F6"/>
    <w:rsid w:val="00C24B15"/>
    <w:rsid w:val="00C24EFF"/>
    <w:rsid w:val="00C24FC5"/>
    <w:rsid w:val="00C25444"/>
    <w:rsid w:val="00C25668"/>
    <w:rsid w:val="00C25C61"/>
    <w:rsid w:val="00C262BD"/>
    <w:rsid w:val="00C2648D"/>
    <w:rsid w:val="00C2689B"/>
    <w:rsid w:val="00C26E2F"/>
    <w:rsid w:val="00C26ECA"/>
    <w:rsid w:val="00C2702D"/>
    <w:rsid w:val="00C2769A"/>
    <w:rsid w:val="00C2771B"/>
    <w:rsid w:val="00C279F8"/>
    <w:rsid w:val="00C27AD3"/>
    <w:rsid w:val="00C27E63"/>
    <w:rsid w:val="00C3019A"/>
    <w:rsid w:val="00C30415"/>
    <w:rsid w:val="00C30E04"/>
    <w:rsid w:val="00C310C2"/>
    <w:rsid w:val="00C3143D"/>
    <w:rsid w:val="00C3157B"/>
    <w:rsid w:val="00C31A7F"/>
    <w:rsid w:val="00C31BCD"/>
    <w:rsid w:val="00C320F1"/>
    <w:rsid w:val="00C326D8"/>
    <w:rsid w:val="00C33C45"/>
    <w:rsid w:val="00C33FA1"/>
    <w:rsid w:val="00C3460B"/>
    <w:rsid w:val="00C35DF1"/>
    <w:rsid w:val="00C35E89"/>
    <w:rsid w:val="00C36269"/>
    <w:rsid w:val="00C3642A"/>
    <w:rsid w:val="00C36525"/>
    <w:rsid w:val="00C365E2"/>
    <w:rsid w:val="00C36AD2"/>
    <w:rsid w:val="00C36AF2"/>
    <w:rsid w:val="00C37289"/>
    <w:rsid w:val="00C373B4"/>
    <w:rsid w:val="00C376A5"/>
    <w:rsid w:val="00C37DF9"/>
    <w:rsid w:val="00C40003"/>
    <w:rsid w:val="00C401F8"/>
    <w:rsid w:val="00C40237"/>
    <w:rsid w:val="00C405F2"/>
    <w:rsid w:val="00C40705"/>
    <w:rsid w:val="00C40907"/>
    <w:rsid w:val="00C40EB3"/>
    <w:rsid w:val="00C413F3"/>
    <w:rsid w:val="00C4172A"/>
    <w:rsid w:val="00C418CB"/>
    <w:rsid w:val="00C41B4C"/>
    <w:rsid w:val="00C41BD9"/>
    <w:rsid w:val="00C4224B"/>
    <w:rsid w:val="00C42324"/>
    <w:rsid w:val="00C4233D"/>
    <w:rsid w:val="00C42545"/>
    <w:rsid w:val="00C42735"/>
    <w:rsid w:val="00C42A07"/>
    <w:rsid w:val="00C42E5E"/>
    <w:rsid w:val="00C42EA6"/>
    <w:rsid w:val="00C43032"/>
    <w:rsid w:val="00C433ED"/>
    <w:rsid w:val="00C434FD"/>
    <w:rsid w:val="00C4350E"/>
    <w:rsid w:val="00C44360"/>
    <w:rsid w:val="00C44363"/>
    <w:rsid w:val="00C443A0"/>
    <w:rsid w:val="00C44500"/>
    <w:rsid w:val="00C4477F"/>
    <w:rsid w:val="00C44E7A"/>
    <w:rsid w:val="00C44EB5"/>
    <w:rsid w:val="00C44FF2"/>
    <w:rsid w:val="00C45043"/>
    <w:rsid w:val="00C45DE5"/>
    <w:rsid w:val="00C46383"/>
    <w:rsid w:val="00C465A5"/>
    <w:rsid w:val="00C46704"/>
    <w:rsid w:val="00C4673B"/>
    <w:rsid w:val="00C46F33"/>
    <w:rsid w:val="00C47531"/>
    <w:rsid w:val="00C4760C"/>
    <w:rsid w:val="00C47764"/>
    <w:rsid w:val="00C47AC7"/>
    <w:rsid w:val="00C47E1B"/>
    <w:rsid w:val="00C47FC5"/>
    <w:rsid w:val="00C504C9"/>
    <w:rsid w:val="00C50A0D"/>
    <w:rsid w:val="00C51040"/>
    <w:rsid w:val="00C512A0"/>
    <w:rsid w:val="00C514BF"/>
    <w:rsid w:val="00C514C4"/>
    <w:rsid w:val="00C5192E"/>
    <w:rsid w:val="00C51A73"/>
    <w:rsid w:val="00C52247"/>
    <w:rsid w:val="00C5238B"/>
    <w:rsid w:val="00C528FE"/>
    <w:rsid w:val="00C529B9"/>
    <w:rsid w:val="00C52A32"/>
    <w:rsid w:val="00C52DE6"/>
    <w:rsid w:val="00C5404C"/>
    <w:rsid w:val="00C54066"/>
    <w:rsid w:val="00C5410C"/>
    <w:rsid w:val="00C54137"/>
    <w:rsid w:val="00C5433C"/>
    <w:rsid w:val="00C548B7"/>
    <w:rsid w:val="00C54A02"/>
    <w:rsid w:val="00C56307"/>
    <w:rsid w:val="00C565E3"/>
    <w:rsid w:val="00C5665F"/>
    <w:rsid w:val="00C56990"/>
    <w:rsid w:val="00C56A55"/>
    <w:rsid w:val="00C56B4E"/>
    <w:rsid w:val="00C56BBE"/>
    <w:rsid w:val="00C56EAD"/>
    <w:rsid w:val="00C570E3"/>
    <w:rsid w:val="00C57242"/>
    <w:rsid w:val="00C572A3"/>
    <w:rsid w:val="00C5746F"/>
    <w:rsid w:val="00C57AE9"/>
    <w:rsid w:val="00C57B6F"/>
    <w:rsid w:val="00C57CC6"/>
    <w:rsid w:val="00C57ED2"/>
    <w:rsid w:val="00C57FFC"/>
    <w:rsid w:val="00C6010D"/>
    <w:rsid w:val="00C6016B"/>
    <w:rsid w:val="00C60440"/>
    <w:rsid w:val="00C60499"/>
    <w:rsid w:val="00C60D7C"/>
    <w:rsid w:val="00C61040"/>
    <w:rsid w:val="00C61848"/>
    <w:rsid w:val="00C61FCD"/>
    <w:rsid w:val="00C6242D"/>
    <w:rsid w:val="00C62D2B"/>
    <w:rsid w:val="00C62E5A"/>
    <w:rsid w:val="00C634A7"/>
    <w:rsid w:val="00C638D7"/>
    <w:rsid w:val="00C638DF"/>
    <w:rsid w:val="00C63BDB"/>
    <w:rsid w:val="00C63DAE"/>
    <w:rsid w:val="00C63ECA"/>
    <w:rsid w:val="00C64662"/>
    <w:rsid w:val="00C64720"/>
    <w:rsid w:val="00C6517F"/>
    <w:rsid w:val="00C6546E"/>
    <w:rsid w:val="00C65525"/>
    <w:rsid w:val="00C65A1E"/>
    <w:rsid w:val="00C65A7E"/>
    <w:rsid w:val="00C65AFF"/>
    <w:rsid w:val="00C660E1"/>
    <w:rsid w:val="00C66114"/>
    <w:rsid w:val="00C6631D"/>
    <w:rsid w:val="00C66D0E"/>
    <w:rsid w:val="00C66F29"/>
    <w:rsid w:val="00C6715B"/>
    <w:rsid w:val="00C67BA6"/>
    <w:rsid w:val="00C67C48"/>
    <w:rsid w:val="00C702DE"/>
    <w:rsid w:val="00C70DA3"/>
    <w:rsid w:val="00C71064"/>
    <w:rsid w:val="00C7183C"/>
    <w:rsid w:val="00C718C3"/>
    <w:rsid w:val="00C71920"/>
    <w:rsid w:val="00C7206B"/>
    <w:rsid w:val="00C725A7"/>
    <w:rsid w:val="00C72A63"/>
    <w:rsid w:val="00C73234"/>
    <w:rsid w:val="00C73261"/>
    <w:rsid w:val="00C7335F"/>
    <w:rsid w:val="00C7350D"/>
    <w:rsid w:val="00C73542"/>
    <w:rsid w:val="00C73617"/>
    <w:rsid w:val="00C73DDD"/>
    <w:rsid w:val="00C73ECB"/>
    <w:rsid w:val="00C742BE"/>
    <w:rsid w:val="00C74598"/>
    <w:rsid w:val="00C74760"/>
    <w:rsid w:val="00C74CA9"/>
    <w:rsid w:val="00C751D4"/>
    <w:rsid w:val="00C756EB"/>
    <w:rsid w:val="00C75B4E"/>
    <w:rsid w:val="00C75C21"/>
    <w:rsid w:val="00C75D7D"/>
    <w:rsid w:val="00C75EFE"/>
    <w:rsid w:val="00C76581"/>
    <w:rsid w:val="00C76FD4"/>
    <w:rsid w:val="00C7716D"/>
    <w:rsid w:val="00C7787D"/>
    <w:rsid w:val="00C77A70"/>
    <w:rsid w:val="00C77B32"/>
    <w:rsid w:val="00C80911"/>
    <w:rsid w:val="00C80A09"/>
    <w:rsid w:val="00C80AE4"/>
    <w:rsid w:val="00C80E6A"/>
    <w:rsid w:val="00C8164C"/>
    <w:rsid w:val="00C81861"/>
    <w:rsid w:val="00C8195C"/>
    <w:rsid w:val="00C819B8"/>
    <w:rsid w:val="00C81E90"/>
    <w:rsid w:val="00C82548"/>
    <w:rsid w:val="00C82694"/>
    <w:rsid w:val="00C8272E"/>
    <w:rsid w:val="00C827B1"/>
    <w:rsid w:val="00C82B19"/>
    <w:rsid w:val="00C82DF7"/>
    <w:rsid w:val="00C8327A"/>
    <w:rsid w:val="00C83945"/>
    <w:rsid w:val="00C83F36"/>
    <w:rsid w:val="00C84138"/>
    <w:rsid w:val="00C844E5"/>
    <w:rsid w:val="00C84594"/>
    <w:rsid w:val="00C84696"/>
    <w:rsid w:val="00C8501D"/>
    <w:rsid w:val="00C85218"/>
    <w:rsid w:val="00C852D0"/>
    <w:rsid w:val="00C857F1"/>
    <w:rsid w:val="00C85B51"/>
    <w:rsid w:val="00C85C27"/>
    <w:rsid w:val="00C85CE6"/>
    <w:rsid w:val="00C86217"/>
    <w:rsid w:val="00C8686F"/>
    <w:rsid w:val="00C86FFC"/>
    <w:rsid w:val="00C87040"/>
    <w:rsid w:val="00C871C4"/>
    <w:rsid w:val="00C87BEC"/>
    <w:rsid w:val="00C87DCD"/>
    <w:rsid w:val="00C87E6A"/>
    <w:rsid w:val="00C87EB5"/>
    <w:rsid w:val="00C87EBE"/>
    <w:rsid w:val="00C87F2B"/>
    <w:rsid w:val="00C90093"/>
    <w:rsid w:val="00C900E5"/>
    <w:rsid w:val="00C90A78"/>
    <w:rsid w:val="00C9125F"/>
    <w:rsid w:val="00C91438"/>
    <w:rsid w:val="00C91C88"/>
    <w:rsid w:val="00C91CD4"/>
    <w:rsid w:val="00C91D17"/>
    <w:rsid w:val="00C91F9B"/>
    <w:rsid w:val="00C920B1"/>
    <w:rsid w:val="00C92476"/>
    <w:rsid w:val="00C92520"/>
    <w:rsid w:val="00C92653"/>
    <w:rsid w:val="00C93214"/>
    <w:rsid w:val="00C9397A"/>
    <w:rsid w:val="00C939E2"/>
    <w:rsid w:val="00C93A59"/>
    <w:rsid w:val="00C9441B"/>
    <w:rsid w:val="00C94745"/>
    <w:rsid w:val="00C94AEA"/>
    <w:rsid w:val="00C94B70"/>
    <w:rsid w:val="00C95C2E"/>
    <w:rsid w:val="00C96132"/>
    <w:rsid w:val="00C961E3"/>
    <w:rsid w:val="00C9627B"/>
    <w:rsid w:val="00C96922"/>
    <w:rsid w:val="00C9694B"/>
    <w:rsid w:val="00C96AAF"/>
    <w:rsid w:val="00C96B6B"/>
    <w:rsid w:val="00C96EBE"/>
    <w:rsid w:val="00C97301"/>
    <w:rsid w:val="00C97ACD"/>
    <w:rsid w:val="00C97C6B"/>
    <w:rsid w:val="00C97C73"/>
    <w:rsid w:val="00C97E67"/>
    <w:rsid w:val="00C97F1C"/>
    <w:rsid w:val="00CA013A"/>
    <w:rsid w:val="00CA0618"/>
    <w:rsid w:val="00CA0C9A"/>
    <w:rsid w:val="00CA0D82"/>
    <w:rsid w:val="00CA1130"/>
    <w:rsid w:val="00CA11F0"/>
    <w:rsid w:val="00CA1496"/>
    <w:rsid w:val="00CA1789"/>
    <w:rsid w:val="00CA17CF"/>
    <w:rsid w:val="00CA1A3B"/>
    <w:rsid w:val="00CA1CA7"/>
    <w:rsid w:val="00CA215D"/>
    <w:rsid w:val="00CA22BA"/>
    <w:rsid w:val="00CA2634"/>
    <w:rsid w:val="00CA2A9C"/>
    <w:rsid w:val="00CA2ADB"/>
    <w:rsid w:val="00CA2C7E"/>
    <w:rsid w:val="00CA3136"/>
    <w:rsid w:val="00CA3313"/>
    <w:rsid w:val="00CA3829"/>
    <w:rsid w:val="00CA3A7B"/>
    <w:rsid w:val="00CA3D4F"/>
    <w:rsid w:val="00CA3F36"/>
    <w:rsid w:val="00CA4144"/>
    <w:rsid w:val="00CA415F"/>
    <w:rsid w:val="00CA425D"/>
    <w:rsid w:val="00CA4839"/>
    <w:rsid w:val="00CA5063"/>
    <w:rsid w:val="00CA529D"/>
    <w:rsid w:val="00CA5441"/>
    <w:rsid w:val="00CA57BE"/>
    <w:rsid w:val="00CA58E5"/>
    <w:rsid w:val="00CA5EA7"/>
    <w:rsid w:val="00CA66F1"/>
    <w:rsid w:val="00CA69F6"/>
    <w:rsid w:val="00CA6A02"/>
    <w:rsid w:val="00CA6E68"/>
    <w:rsid w:val="00CA77AC"/>
    <w:rsid w:val="00CA77B0"/>
    <w:rsid w:val="00CA7C4F"/>
    <w:rsid w:val="00CA7D2C"/>
    <w:rsid w:val="00CA7F04"/>
    <w:rsid w:val="00CB026C"/>
    <w:rsid w:val="00CB02AE"/>
    <w:rsid w:val="00CB0434"/>
    <w:rsid w:val="00CB0A8D"/>
    <w:rsid w:val="00CB0D33"/>
    <w:rsid w:val="00CB0F8D"/>
    <w:rsid w:val="00CB100E"/>
    <w:rsid w:val="00CB1093"/>
    <w:rsid w:val="00CB1803"/>
    <w:rsid w:val="00CB1E02"/>
    <w:rsid w:val="00CB1E41"/>
    <w:rsid w:val="00CB1F2C"/>
    <w:rsid w:val="00CB20BB"/>
    <w:rsid w:val="00CB21C3"/>
    <w:rsid w:val="00CB24C0"/>
    <w:rsid w:val="00CB27D4"/>
    <w:rsid w:val="00CB2988"/>
    <w:rsid w:val="00CB2A16"/>
    <w:rsid w:val="00CB2AB5"/>
    <w:rsid w:val="00CB2C14"/>
    <w:rsid w:val="00CB2C20"/>
    <w:rsid w:val="00CB2CA3"/>
    <w:rsid w:val="00CB2D42"/>
    <w:rsid w:val="00CB3940"/>
    <w:rsid w:val="00CB41AA"/>
    <w:rsid w:val="00CB48B1"/>
    <w:rsid w:val="00CB4B00"/>
    <w:rsid w:val="00CB514D"/>
    <w:rsid w:val="00CB53CB"/>
    <w:rsid w:val="00CB5559"/>
    <w:rsid w:val="00CB5A49"/>
    <w:rsid w:val="00CB5C15"/>
    <w:rsid w:val="00CB6381"/>
    <w:rsid w:val="00CB678B"/>
    <w:rsid w:val="00CB69CE"/>
    <w:rsid w:val="00CB6ABB"/>
    <w:rsid w:val="00CB6E50"/>
    <w:rsid w:val="00CB7328"/>
    <w:rsid w:val="00CB7D63"/>
    <w:rsid w:val="00CB7F1B"/>
    <w:rsid w:val="00CC0194"/>
    <w:rsid w:val="00CC0378"/>
    <w:rsid w:val="00CC0B22"/>
    <w:rsid w:val="00CC0D02"/>
    <w:rsid w:val="00CC0EFD"/>
    <w:rsid w:val="00CC1228"/>
    <w:rsid w:val="00CC1A21"/>
    <w:rsid w:val="00CC1EDA"/>
    <w:rsid w:val="00CC2AF9"/>
    <w:rsid w:val="00CC2CB3"/>
    <w:rsid w:val="00CC2EE3"/>
    <w:rsid w:val="00CC3111"/>
    <w:rsid w:val="00CC3262"/>
    <w:rsid w:val="00CC328A"/>
    <w:rsid w:val="00CC356B"/>
    <w:rsid w:val="00CC39D4"/>
    <w:rsid w:val="00CC44FD"/>
    <w:rsid w:val="00CC4739"/>
    <w:rsid w:val="00CC47C6"/>
    <w:rsid w:val="00CC48C3"/>
    <w:rsid w:val="00CC48CE"/>
    <w:rsid w:val="00CC4F33"/>
    <w:rsid w:val="00CC52CB"/>
    <w:rsid w:val="00CC55B9"/>
    <w:rsid w:val="00CC5FC8"/>
    <w:rsid w:val="00CC63BE"/>
    <w:rsid w:val="00CC6597"/>
    <w:rsid w:val="00CC66DE"/>
    <w:rsid w:val="00CC6DFA"/>
    <w:rsid w:val="00CC70EE"/>
    <w:rsid w:val="00CC728C"/>
    <w:rsid w:val="00CC7457"/>
    <w:rsid w:val="00CC75D0"/>
    <w:rsid w:val="00CC75FE"/>
    <w:rsid w:val="00CC7631"/>
    <w:rsid w:val="00CC7C0C"/>
    <w:rsid w:val="00CC7E71"/>
    <w:rsid w:val="00CC7EC3"/>
    <w:rsid w:val="00CD0283"/>
    <w:rsid w:val="00CD0964"/>
    <w:rsid w:val="00CD0F3F"/>
    <w:rsid w:val="00CD13F8"/>
    <w:rsid w:val="00CD146F"/>
    <w:rsid w:val="00CD1B62"/>
    <w:rsid w:val="00CD2302"/>
    <w:rsid w:val="00CD239D"/>
    <w:rsid w:val="00CD2552"/>
    <w:rsid w:val="00CD2B06"/>
    <w:rsid w:val="00CD2D7E"/>
    <w:rsid w:val="00CD301F"/>
    <w:rsid w:val="00CD30B6"/>
    <w:rsid w:val="00CD30E8"/>
    <w:rsid w:val="00CD30F3"/>
    <w:rsid w:val="00CD3118"/>
    <w:rsid w:val="00CD319E"/>
    <w:rsid w:val="00CD3384"/>
    <w:rsid w:val="00CD3560"/>
    <w:rsid w:val="00CD378D"/>
    <w:rsid w:val="00CD3BC2"/>
    <w:rsid w:val="00CD3CC3"/>
    <w:rsid w:val="00CD3F84"/>
    <w:rsid w:val="00CD45E3"/>
    <w:rsid w:val="00CD4EE3"/>
    <w:rsid w:val="00CD515F"/>
    <w:rsid w:val="00CD5694"/>
    <w:rsid w:val="00CD5B52"/>
    <w:rsid w:val="00CD5FAC"/>
    <w:rsid w:val="00CD616B"/>
    <w:rsid w:val="00CD6AEE"/>
    <w:rsid w:val="00CD6B49"/>
    <w:rsid w:val="00CD6BBE"/>
    <w:rsid w:val="00CD6D1B"/>
    <w:rsid w:val="00CD6DEB"/>
    <w:rsid w:val="00CD6F8E"/>
    <w:rsid w:val="00CD75AC"/>
    <w:rsid w:val="00CD75E3"/>
    <w:rsid w:val="00CD7661"/>
    <w:rsid w:val="00CD770E"/>
    <w:rsid w:val="00CD799D"/>
    <w:rsid w:val="00CD7F6E"/>
    <w:rsid w:val="00CE05B7"/>
    <w:rsid w:val="00CE0779"/>
    <w:rsid w:val="00CE08AA"/>
    <w:rsid w:val="00CE0A30"/>
    <w:rsid w:val="00CE0FF9"/>
    <w:rsid w:val="00CE1B90"/>
    <w:rsid w:val="00CE2627"/>
    <w:rsid w:val="00CE269F"/>
    <w:rsid w:val="00CE2EB2"/>
    <w:rsid w:val="00CE2F15"/>
    <w:rsid w:val="00CE3102"/>
    <w:rsid w:val="00CE3671"/>
    <w:rsid w:val="00CE3ADB"/>
    <w:rsid w:val="00CE3D81"/>
    <w:rsid w:val="00CE3DA7"/>
    <w:rsid w:val="00CE413B"/>
    <w:rsid w:val="00CE4332"/>
    <w:rsid w:val="00CE4A25"/>
    <w:rsid w:val="00CE4C52"/>
    <w:rsid w:val="00CE4DAC"/>
    <w:rsid w:val="00CE4F8B"/>
    <w:rsid w:val="00CE525D"/>
    <w:rsid w:val="00CE5350"/>
    <w:rsid w:val="00CE55E0"/>
    <w:rsid w:val="00CE5C99"/>
    <w:rsid w:val="00CE5EEC"/>
    <w:rsid w:val="00CE66D1"/>
    <w:rsid w:val="00CE66E0"/>
    <w:rsid w:val="00CE6B08"/>
    <w:rsid w:val="00CE6C22"/>
    <w:rsid w:val="00CE6D7F"/>
    <w:rsid w:val="00CE6DE2"/>
    <w:rsid w:val="00CE7271"/>
    <w:rsid w:val="00CE74D4"/>
    <w:rsid w:val="00CE751F"/>
    <w:rsid w:val="00CE76F7"/>
    <w:rsid w:val="00CF056C"/>
    <w:rsid w:val="00CF0856"/>
    <w:rsid w:val="00CF104B"/>
    <w:rsid w:val="00CF10C4"/>
    <w:rsid w:val="00CF1265"/>
    <w:rsid w:val="00CF12F9"/>
    <w:rsid w:val="00CF154D"/>
    <w:rsid w:val="00CF1EB6"/>
    <w:rsid w:val="00CF20F3"/>
    <w:rsid w:val="00CF2234"/>
    <w:rsid w:val="00CF22CD"/>
    <w:rsid w:val="00CF2344"/>
    <w:rsid w:val="00CF23EE"/>
    <w:rsid w:val="00CF2891"/>
    <w:rsid w:val="00CF2943"/>
    <w:rsid w:val="00CF2D53"/>
    <w:rsid w:val="00CF33AD"/>
    <w:rsid w:val="00CF354F"/>
    <w:rsid w:val="00CF3FC7"/>
    <w:rsid w:val="00CF41D3"/>
    <w:rsid w:val="00CF43C5"/>
    <w:rsid w:val="00CF4503"/>
    <w:rsid w:val="00CF47B2"/>
    <w:rsid w:val="00CF5020"/>
    <w:rsid w:val="00CF610F"/>
    <w:rsid w:val="00CF67D4"/>
    <w:rsid w:val="00CF6B6A"/>
    <w:rsid w:val="00CF6F70"/>
    <w:rsid w:val="00CF7002"/>
    <w:rsid w:val="00D00D7E"/>
    <w:rsid w:val="00D0150C"/>
    <w:rsid w:val="00D01D89"/>
    <w:rsid w:val="00D01EA0"/>
    <w:rsid w:val="00D020F7"/>
    <w:rsid w:val="00D0222E"/>
    <w:rsid w:val="00D022DF"/>
    <w:rsid w:val="00D0285A"/>
    <w:rsid w:val="00D02E17"/>
    <w:rsid w:val="00D03088"/>
    <w:rsid w:val="00D03603"/>
    <w:rsid w:val="00D036D0"/>
    <w:rsid w:val="00D03BBD"/>
    <w:rsid w:val="00D04226"/>
    <w:rsid w:val="00D045D6"/>
    <w:rsid w:val="00D045FE"/>
    <w:rsid w:val="00D04A91"/>
    <w:rsid w:val="00D04AA1"/>
    <w:rsid w:val="00D04B3B"/>
    <w:rsid w:val="00D0535F"/>
    <w:rsid w:val="00D05470"/>
    <w:rsid w:val="00D056A6"/>
    <w:rsid w:val="00D061B4"/>
    <w:rsid w:val="00D06281"/>
    <w:rsid w:val="00D064BA"/>
    <w:rsid w:val="00D0652D"/>
    <w:rsid w:val="00D0670A"/>
    <w:rsid w:val="00D0677A"/>
    <w:rsid w:val="00D06C27"/>
    <w:rsid w:val="00D1044B"/>
    <w:rsid w:val="00D10597"/>
    <w:rsid w:val="00D11357"/>
    <w:rsid w:val="00D11366"/>
    <w:rsid w:val="00D1143A"/>
    <w:rsid w:val="00D114CD"/>
    <w:rsid w:val="00D11546"/>
    <w:rsid w:val="00D11767"/>
    <w:rsid w:val="00D11D47"/>
    <w:rsid w:val="00D11E92"/>
    <w:rsid w:val="00D1216C"/>
    <w:rsid w:val="00D1228E"/>
    <w:rsid w:val="00D126F7"/>
    <w:rsid w:val="00D12841"/>
    <w:rsid w:val="00D129F5"/>
    <w:rsid w:val="00D12C52"/>
    <w:rsid w:val="00D12D8B"/>
    <w:rsid w:val="00D12ED9"/>
    <w:rsid w:val="00D133F6"/>
    <w:rsid w:val="00D1394A"/>
    <w:rsid w:val="00D13C85"/>
    <w:rsid w:val="00D141DD"/>
    <w:rsid w:val="00D14719"/>
    <w:rsid w:val="00D147D6"/>
    <w:rsid w:val="00D1494A"/>
    <w:rsid w:val="00D14C39"/>
    <w:rsid w:val="00D15B84"/>
    <w:rsid w:val="00D15C1B"/>
    <w:rsid w:val="00D15C7C"/>
    <w:rsid w:val="00D15FAC"/>
    <w:rsid w:val="00D161F6"/>
    <w:rsid w:val="00D162FD"/>
    <w:rsid w:val="00D16345"/>
    <w:rsid w:val="00D165FB"/>
    <w:rsid w:val="00D16627"/>
    <w:rsid w:val="00D166F6"/>
    <w:rsid w:val="00D16C86"/>
    <w:rsid w:val="00D179A1"/>
    <w:rsid w:val="00D17C2E"/>
    <w:rsid w:val="00D17F5E"/>
    <w:rsid w:val="00D20086"/>
    <w:rsid w:val="00D20925"/>
    <w:rsid w:val="00D20BF1"/>
    <w:rsid w:val="00D214DA"/>
    <w:rsid w:val="00D214E9"/>
    <w:rsid w:val="00D21887"/>
    <w:rsid w:val="00D219BC"/>
    <w:rsid w:val="00D21D23"/>
    <w:rsid w:val="00D22082"/>
    <w:rsid w:val="00D22100"/>
    <w:rsid w:val="00D22580"/>
    <w:rsid w:val="00D22800"/>
    <w:rsid w:val="00D22D26"/>
    <w:rsid w:val="00D22F83"/>
    <w:rsid w:val="00D22F9F"/>
    <w:rsid w:val="00D230A9"/>
    <w:rsid w:val="00D23A82"/>
    <w:rsid w:val="00D23CE1"/>
    <w:rsid w:val="00D23E9B"/>
    <w:rsid w:val="00D241AF"/>
    <w:rsid w:val="00D246D6"/>
    <w:rsid w:val="00D24855"/>
    <w:rsid w:val="00D24ABA"/>
    <w:rsid w:val="00D24B74"/>
    <w:rsid w:val="00D24C00"/>
    <w:rsid w:val="00D25361"/>
    <w:rsid w:val="00D25607"/>
    <w:rsid w:val="00D25705"/>
    <w:rsid w:val="00D25FFA"/>
    <w:rsid w:val="00D2644F"/>
    <w:rsid w:val="00D266DE"/>
    <w:rsid w:val="00D26B3A"/>
    <w:rsid w:val="00D26DFA"/>
    <w:rsid w:val="00D27253"/>
    <w:rsid w:val="00D2732E"/>
    <w:rsid w:val="00D30079"/>
    <w:rsid w:val="00D309D0"/>
    <w:rsid w:val="00D30AA6"/>
    <w:rsid w:val="00D31048"/>
    <w:rsid w:val="00D31689"/>
    <w:rsid w:val="00D31ABA"/>
    <w:rsid w:val="00D32229"/>
    <w:rsid w:val="00D325D3"/>
    <w:rsid w:val="00D3281B"/>
    <w:rsid w:val="00D3286F"/>
    <w:rsid w:val="00D332A8"/>
    <w:rsid w:val="00D337C1"/>
    <w:rsid w:val="00D3429A"/>
    <w:rsid w:val="00D342E4"/>
    <w:rsid w:val="00D344AC"/>
    <w:rsid w:val="00D3452A"/>
    <w:rsid w:val="00D34F9F"/>
    <w:rsid w:val="00D355E8"/>
    <w:rsid w:val="00D35B35"/>
    <w:rsid w:val="00D35F1C"/>
    <w:rsid w:val="00D35FA3"/>
    <w:rsid w:val="00D36184"/>
    <w:rsid w:val="00D363D1"/>
    <w:rsid w:val="00D36795"/>
    <w:rsid w:val="00D36B5A"/>
    <w:rsid w:val="00D36D7C"/>
    <w:rsid w:val="00D36EFC"/>
    <w:rsid w:val="00D37061"/>
    <w:rsid w:val="00D3718C"/>
    <w:rsid w:val="00D37F54"/>
    <w:rsid w:val="00D40315"/>
    <w:rsid w:val="00D40389"/>
    <w:rsid w:val="00D4056F"/>
    <w:rsid w:val="00D417F9"/>
    <w:rsid w:val="00D41C4E"/>
    <w:rsid w:val="00D41D29"/>
    <w:rsid w:val="00D41FEF"/>
    <w:rsid w:val="00D424B3"/>
    <w:rsid w:val="00D4277C"/>
    <w:rsid w:val="00D42DBA"/>
    <w:rsid w:val="00D42F8D"/>
    <w:rsid w:val="00D430F0"/>
    <w:rsid w:val="00D43292"/>
    <w:rsid w:val="00D435CE"/>
    <w:rsid w:val="00D43611"/>
    <w:rsid w:val="00D436D9"/>
    <w:rsid w:val="00D43DD6"/>
    <w:rsid w:val="00D43F68"/>
    <w:rsid w:val="00D44C29"/>
    <w:rsid w:val="00D44E37"/>
    <w:rsid w:val="00D44F14"/>
    <w:rsid w:val="00D45048"/>
    <w:rsid w:val="00D454EC"/>
    <w:rsid w:val="00D459DB"/>
    <w:rsid w:val="00D45DE0"/>
    <w:rsid w:val="00D460C0"/>
    <w:rsid w:val="00D467AC"/>
    <w:rsid w:val="00D46925"/>
    <w:rsid w:val="00D46B85"/>
    <w:rsid w:val="00D46BEE"/>
    <w:rsid w:val="00D47709"/>
    <w:rsid w:val="00D477ED"/>
    <w:rsid w:val="00D478D5"/>
    <w:rsid w:val="00D47BCF"/>
    <w:rsid w:val="00D47C23"/>
    <w:rsid w:val="00D47E7C"/>
    <w:rsid w:val="00D50128"/>
    <w:rsid w:val="00D501A8"/>
    <w:rsid w:val="00D501E0"/>
    <w:rsid w:val="00D50543"/>
    <w:rsid w:val="00D505FB"/>
    <w:rsid w:val="00D51853"/>
    <w:rsid w:val="00D51C2C"/>
    <w:rsid w:val="00D52060"/>
    <w:rsid w:val="00D5219E"/>
    <w:rsid w:val="00D5224F"/>
    <w:rsid w:val="00D52529"/>
    <w:rsid w:val="00D5253A"/>
    <w:rsid w:val="00D5288C"/>
    <w:rsid w:val="00D52BB4"/>
    <w:rsid w:val="00D52F99"/>
    <w:rsid w:val="00D52FB7"/>
    <w:rsid w:val="00D5317F"/>
    <w:rsid w:val="00D53617"/>
    <w:rsid w:val="00D53BAA"/>
    <w:rsid w:val="00D54131"/>
    <w:rsid w:val="00D550ED"/>
    <w:rsid w:val="00D55124"/>
    <w:rsid w:val="00D55325"/>
    <w:rsid w:val="00D55349"/>
    <w:rsid w:val="00D55525"/>
    <w:rsid w:val="00D55766"/>
    <w:rsid w:val="00D55A36"/>
    <w:rsid w:val="00D55B99"/>
    <w:rsid w:val="00D5689A"/>
    <w:rsid w:val="00D57072"/>
    <w:rsid w:val="00D57406"/>
    <w:rsid w:val="00D57A95"/>
    <w:rsid w:val="00D57D90"/>
    <w:rsid w:val="00D60494"/>
    <w:rsid w:val="00D60501"/>
    <w:rsid w:val="00D6072E"/>
    <w:rsid w:val="00D60761"/>
    <w:rsid w:val="00D60D94"/>
    <w:rsid w:val="00D60DCB"/>
    <w:rsid w:val="00D6101E"/>
    <w:rsid w:val="00D61221"/>
    <w:rsid w:val="00D61249"/>
    <w:rsid w:val="00D6142E"/>
    <w:rsid w:val="00D61AE5"/>
    <w:rsid w:val="00D6277F"/>
    <w:rsid w:val="00D62A34"/>
    <w:rsid w:val="00D62D00"/>
    <w:rsid w:val="00D62E34"/>
    <w:rsid w:val="00D6301D"/>
    <w:rsid w:val="00D637DC"/>
    <w:rsid w:val="00D6399B"/>
    <w:rsid w:val="00D639F1"/>
    <w:rsid w:val="00D63A16"/>
    <w:rsid w:val="00D63E06"/>
    <w:rsid w:val="00D63EFF"/>
    <w:rsid w:val="00D63F09"/>
    <w:rsid w:val="00D64134"/>
    <w:rsid w:val="00D644E4"/>
    <w:rsid w:val="00D64636"/>
    <w:rsid w:val="00D6472A"/>
    <w:rsid w:val="00D647D2"/>
    <w:rsid w:val="00D6486D"/>
    <w:rsid w:val="00D648F7"/>
    <w:rsid w:val="00D6493F"/>
    <w:rsid w:val="00D64CE8"/>
    <w:rsid w:val="00D64EA1"/>
    <w:rsid w:val="00D653FD"/>
    <w:rsid w:val="00D668E4"/>
    <w:rsid w:val="00D66C13"/>
    <w:rsid w:val="00D66F30"/>
    <w:rsid w:val="00D672D1"/>
    <w:rsid w:val="00D67466"/>
    <w:rsid w:val="00D677D7"/>
    <w:rsid w:val="00D67A04"/>
    <w:rsid w:val="00D67CB5"/>
    <w:rsid w:val="00D70442"/>
    <w:rsid w:val="00D7047B"/>
    <w:rsid w:val="00D70735"/>
    <w:rsid w:val="00D7094C"/>
    <w:rsid w:val="00D70BEA"/>
    <w:rsid w:val="00D70EA2"/>
    <w:rsid w:val="00D71225"/>
    <w:rsid w:val="00D71242"/>
    <w:rsid w:val="00D7182D"/>
    <w:rsid w:val="00D718BF"/>
    <w:rsid w:val="00D724BC"/>
    <w:rsid w:val="00D724E9"/>
    <w:rsid w:val="00D725D7"/>
    <w:rsid w:val="00D729A9"/>
    <w:rsid w:val="00D72D75"/>
    <w:rsid w:val="00D73548"/>
    <w:rsid w:val="00D73DE2"/>
    <w:rsid w:val="00D73E78"/>
    <w:rsid w:val="00D741F4"/>
    <w:rsid w:val="00D74205"/>
    <w:rsid w:val="00D747F6"/>
    <w:rsid w:val="00D74847"/>
    <w:rsid w:val="00D74B32"/>
    <w:rsid w:val="00D74CA7"/>
    <w:rsid w:val="00D74E0C"/>
    <w:rsid w:val="00D74FEC"/>
    <w:rsid w:val="00D75142"/>
    <w:rsid w:val="00D75487"/>
    <w:rsid w:val="00D75505"/>
    <w:rsid w:val="00D75668"/>
    <w:rsid w:val="00D75DB6"/>
    <w:rsid w:val="00D7614D"/>
    <w:rsid w:val="00D763B4"/>
    <w:rsid w:val="00D76618"/>
    <w:rsid w:val="00D76695"/>
    <w:rsid w:val="00D76D27"/>
    <w:rsid w:val="00D77289"/>
    <w:rsid w:val="00D77415"/>
    <w:rsid w:val="00D778F7"/>
    <w:rsid w:val="00D77B45"/>
    <w:rsid w:val="00D77BED"/>
    <w:rsid w:val="00D77DAB"/>
    <w:rsid w:val="00D80187"/>
    <w:rsid w:val="00D80554"/>
    <w:rsid w:val="00D805D6"/>
    <w:rsid w:val="00D80998"/>
    <w:rsid w:val="00D80A98"/>
    <w:rsid w:val="00D81171"/>
    <w:rsid w:val="00D816BF"/>
    <w:rsid w:val="00D8195C"/>
    <w:rsid w:val="00D81A0A"/>
    <w:rsid w:val="00D81A20"/>
    <w:rsid w:val="00D81C51"/>
    <w:rsid w:val="00D8228F"/>
    <w:rsid w:val="00D826A1"/>
    <w:rsid w:val="00D82983"/>
    <w:rsid w:val="00D82EF3"/>
    <w:rsid w:val="00D8312D"/>
    <w:rsid w:val="00D831BA"/>
    <w:rsid w:val="00D8323C"/>
    <w:rsid w:val="00D832E1"/>
    <w:rsid w:val="00D834E2"/>
    <w:rsid w:val="00D83540"/>
    <w:rsid w:val="00D836F4"/>
    <w:rsid w:val="00D83990"/>
    <w:rsid w:val="00D83CB1"/>
    <w:rsid w:val="00D84576"/>
    <w:rsid w:val="00D850B1"/>
    <w:rsid w:val="00D85FE0"/>
    <w:rsid w:val="00D86074"/>
    <w:rsid w:val="00D86178"/>
    <w:rsid w:val="00D8625B"/>
    <w:rsid w:val="00D862DA"/>
    <w:rsid w:val="00D8640C"/>
    <w:rsid w:val="00D86456"/>
    <w:rsid w:val="00D86704"/>
    <w:rsid w:val="00D86859"/>
    <w:rsid w:val="00D86CB9"/>
    <w:rsid w:val="00D870BD"/>
    <w:rsid w:val="00D87369"/>
    <w:rsid w:val="00D87D29"/>
    <w:rsid w:val="00D9001B"/>
    <w:rsid w:val="00D90059"/>
    <w:rsid w:val="00D900FF"/>
    <w:rsid w:val="00D90107"/>
    <w:rsid w:val="00D90926"/>
    <w:rsid w:val="00D90AC6"/>
    <w:rsid w:val="00D90E2D"/>
    <w:rsid w:val="00D90ED8"/>
    <w:rsid w:val="00D91076"/>
    <w:rsid w:val="00D91687"/>
    <w:rsid w:val="00D91839"/>
    <w:rsid w:val="00D9196D"/>
    <w:rsid w:val="00D922E1"/>
    <w:rsid w:val="00D92B16"/>
    <w:rsid w:val="00D93524"/>
    <w:rsid w:val="00D935C0"/>
    <w:rsid w:val="00D936C9"/>
    <w:rsid w:val="00D94262"/>
    <w:rsid w:val="00D94A23"/>
    <w:rsid w:val="00D94AC6"/>
    <w:rsid w:val="00D95185"/>
    <w:rsid w:val="00D95E82"/>
    <w:rsid w:val="00D95F11"/>
    <w:rsid w:val="00D96742"/>
    <w:rsid w:val="00D96AE8"/>
    <w:rsid w:val="00D96BE1"/>
    <w:rsid w:val="00D97261"/>
    <w:rsid w:val="00D972A0"/>
    <w:rsid w:val="00D972A5"/>
    <w:rsid w:val="00D976AF"/>
    <w:rsid w:val="00D979F3"/>
    <w:rsid w:val="00D97C13"/>
    <w:rsid w:val="00D97E0B"/>
    <w:rsid w:val="00DA02B4"/>
    <w:rsid w:val="00DA0721"/>
    <w:rsid w:val="00DA0F50"/>
    <w:rsid w:val="00DA13F8"/>
    <w:rsid w:val="00DA15CA"/>
    <w:rsid w:val="00DA1876"/>
    <w:rsid w:val="00DA1E1D"/>
    <w:rsid w:val="00DA22BA"/>
    <w:rsid w:val="00DA2721"/>
    <w:rsid w:val="00DA3779"/>
    <w:rsid w:val="00DA3848"/>
    <w:rsid w:val="00DA3B0F"/>
    <w:rsid w:val="00DA3D79"/>
    <w:rsid w:val="00DA3D7B"/>
    <w:rsid w:val="00DA3F86"/>
    <w:rsid w:val="00DA4956"/>
    <w:rsid w:val="00DA4A3B"/>
    <w:rsid w:val="00DA4BD0"/>
    <w:rsid w:val="00DA57DC"/>
    <w:rsid w:val="00DA5826"/>
    <w:rsid w:val="00DA63E6"/>
    <w:rsid w:val="00DA65E0"/>
    <w:rsid w:val="00DA6714"/>
    <w:rsid w:val="00DA6721"/>
    <w:rsid w:val="00DA69C7"/>
    <w:rsid w:val="00DA6C1B"/>
    <w:rsid w:val="00DA7189"/>
    <w:rsid w:val="00DA7370"/>
    <w:rsid w:val="00DA7B2B"/>
    <w:rsid w:val="00DA7B90"/>
    <w:rsid w:val="00DA7FB8"/>
    <w:rsid w:val="00DB0216"/>
    <w:rsid w:val="00DB07A1"/>
    <w:rsid w:val="00DB0947"/>
    <w:rsid w:val="00DB0DEF"/>
    <w:rsid w:val="00DB0FFC"/>
    <w:rsid w:val="00DB1190"/>
    <w:rsid w:val="00DB1693"/>
    <w:rsid w:val="00DB1ACE"/>
    <w:rsid w:val="00DB1DDB"/>
    <w:rsid w:val="00DB1EC9"/>
    <w:rsid w:val="00DB1FA5"/>
    <w:rsid w:val="00DB20B6"/>
    <w:rsid w:val="00DB2656"/>
    <w:rsid w:val="00DB27D4"/>
    <w:rsid w:val="00DB29FB"/>
    <w:rsid w:val="00DB2A8F"/>
    <w:rsid w:val="00DB2AFF"/>
    <w:rsid w:val="00DB3023"/>
    <w:rsid w:val="00DB3067"/>
    <w:rsid w:val="00DB3151"/>
    <w:rsid w:val="00DB3732"/>
    <w:rsid w:val="00DB3925"/>
    <w:rsid w:val="00DB40A5"/>
    <w:rsid w:val="00DB43BA"/>
    <w:rsid w:val="00DB4594"/>
    <w:rsid w:val="00DB48F4"/>
    <w:rsid w:val="00DB4AA3"/>
    <w:rsid w:val="00DB4C9B"/>
    <w:rsid w:val="00DB4D3A"/>
    <w:rsid w:val="00DB5029"/>
    <w:rsid w:val="00DB5492"/>
    <w:rsid w:val="00DB5645"/>
    <w:rsid w:val="00DB567E"/>
    <w:rsid w:val="00DB61F9"/>
    <w:rsid w:val="00DB6214"/>
    <w:rsid w:val="00DB65FF"/>
    <w:rsid w:val="00DB66F7"/>
    <w:rsid w:val="00DB6776"/>
    <w:rsid w:val="00DB68FF"/>
    <w:rsid w:val="00DB6AAC"/>
    <w:rsid w:val="00DB7230"/>
    <w:rsid w:val="00DB74C6"/>
    <w:rsid w:val="00DB77A1"/>
    <w:rsid w:val="00DB77C8"/>
    <w:rsid w:val="00DC074E"/>
    <w:rsid w:val="00DC09BE"/>
    <w:rsid w:val="00DC12FB"/>
    <w:rsid w:val="00DC1365"/>
    <w:rsid w:val="00DC16EE"/>
    <w:rsid w:val="00DC1914"/>
    <w:rsid w:val="00DC198C"/>
    <w:rsid w:val="00DC19E8"/>
    <w:rsid w:val="00DC1C35"/>
    <w:rsid w:val="00DC204A"/>
    <w:rsid w:val="00DC221E"/>
    <w:rsid w:val="00DC233E"/>
    <w:rsid w:val="00DC2839"/>
    <w:rsid w:val="00DC2895"/>
    <w:rsid w:val="00DC2C51"/>
    <w:rsid w:val="00DC2DFD"/>
    <w:rsid w:val="00DC2F77"/>
    <w:rsid w:val="00DC32BA"/>
    <w:rsid w:val="00DC33C2"/>
    <w:rsid w:val="00DC37D1"/>
    <w:rsid w:val="00DC3F5A"/>
    <w:rsid w:val="00DC4D1C"/>
    <w:rsid w:val="00DC4D74"/>
    <w:rsid w:val="00DC4E94"/>
    <w:rsid w:val="00DC4F46"/>
    <w:rsid w:val="00DC535A"/>
    <w:rsid w:val="00DC5AA7"/>
    <w:rsid w:val="00DC5BE9"/>
    <w:rsid w:val="00DC5CEC"/>
    <w:rsid w:val="00DC5FD8"/>
    <w:rsid w:val="00DC60E8"/>
    <w:rsid w:val="00DC635D"/>
    <w:rsid w:val="00DC6AB9"/>
    <w:rsid w:val="00DC6CA4"/>
    <w:rsid w:val="00DC74EB"/>
    <w:rsid w:val="00DC75D7"/>
    <w:rsid w:val="00DC790E"/>
    <w:rsid w:val="00DC7C5D"/>
    <w:rsid w:val="00DC7E73"/>
    <w:rsid w:val="00DD087B"/>
    <w:rsid w:val="00DD1507"/>
    <w:rsid w:val="00DD1C89"/>
    <w:rsid w:val="00DD20F9"/>
    <w:rsid w:val="00DD292F"/>
    <w:rsid w:val="00DD2D1A"/>
    <w:rsid w:val="00DD31C8"/>
    <w:rsid w:val="00DD3500"/>
    <w:rsid w:val="00DD3A50"/>
    <w:rsid w:val="00DD3B08"/>
    <w:rsid w:val="00DD3BAF"/>
    <w:rsid w:val="00DD3D90"/>
    <w:rsid w:val="00DD41A7"/>
    <w:rsid w:val="00DD4282"/>
    <w:rsid w:val="00DD4914"/>
    <w:rsid w:val="00DD4D34"/>
    <w:rsid w:val="00DD4E2D"/>
    <w:rsid w:val="00DD4F65"/>
    <w:rsid w:val="00DD53FE"/>
    <w:rsid w:val="00DD5EC7"/>
    <w:rsid w:val="00DD6183"/>
    <w:rsid w:val="00DD6518"/>
    <w:rsid w:val="00DD6537"/>
    <w:rsid w:val="00DD6667"/>
    <w:rsid w:val="00DD6B1F"/>
    <w:rsid w:val="00DD6E47"/>
    <w:rsid w:val="00DD710C"/>
    <w:rsid w:val="00DD711F"/>
    <w:rsid w:val="00DD74A2"/>
    <w:rsid w:val="00DD7959"/>
    <w:rsid w:val="00DD7DE7"/>
    <w:rsid w:val="00DD7FB4"/>
    <w:rsid w:val="00DE007A"/>
    <w:rsid w:val="00DE02DA"/>
    <w:rsid w:val="00DE1999"/>
    <w:rsid w:val="00DE1E71"/>
    <w:rsid w:val="00DE2451"/>
    <w:rsid w:val="00DE2B7A"/>
    <w:rsid w:val="00DE2DD6"/>
    <w:rsid w:val="00DE304F"/>
    <w:rsid w:val="00DE374E"/>
    <w:rsid w:val="00DE37BF"/>
    <w:rsid w:val="00DE383B"/>
    <w:rsid w:val="00DE39E8"/>
    <w:rsid w:val="00DE43B4"/>
    <w:rsid w:val="00DE4775"/>
    <w:rsid w:val="00DE49BE"/>
    <w:rsid w:val="00DE4DE9"/>
    <w:rsid w:val="00DE5389"/>
    <w:rsid w:val="00DE5431"/>
    <w:rsid w:val="00DE57B6"/>
    <w:rsid w:val="00DE6129"/>
    <w:rsid w:val="00DE632F"/>
    <w:rsid w:val="00DE6576"/>
    <w:rsid w:val="00DE705B"/>
    <w:rsid w:val="00DE723C"/>
    <w:rsid w:val="00DE7AF5"/>
    <w:rsid w:val="00DE7FBA"/>
    <w:rsid w:val="00DF00A1"/>
    <w:rsid w:val="00DF1691"/>
    <w:rsid w:val="00DF1987"/>
    <w:rsid w:val="00DF1C46"/>
    <w:rsid w:val="00DF1CD4"/>
    <w:rsid w:val="00DF23A4"/>
    <w:rsid w:val="00DF258B"/>
    <w:rsid w:val="00DF2B12"/>
    <w:rsid w:val="00DF2EF4"/>
    <w:rsid w:val="00DF38DE"/>
    <w:rsid w:val="00DF3BAD"/>
    <w:rsid w:val="00DF438B"/>
    <w:rsid w:val="00DF44E5"/>
    <w:rsid w:val="00DF4614"/>
    <w:rsid w:val="00DF46DF"/>
    <w:rsid w:val="00DF49CC"/>
    <w:rsid w:val="00DF4AE2"/>
    <w:rsid w:val="00DF4B16"/>
    <w:rsid w:val="00DF4BE8"/>
    <w:rsid w:val="00DF55DD"/>
    <w:rsid w:val="00DF5A42"/>
    <w:rsid w:val="00DF5D47"/>
    <w:rsid w:val="00DF6936"/>
    <w:rsid w:val="00DF69F0"/>
    <w:rsid w:val="00DF6D10"/>
    <w:rsid w:val="00DF7488"/>
    <w:rsid w:val="00DF766B"/>
    <w:rsid w:val="00DF7B25"/>
    <w:rsid w:val="00DF7F6E"/>
    <w:rsid w:val="00E00B67"/>
    <w:rsid w:val="00E00D15"/>
    <w:rsid w:val="00E00E21"/>
    <w:rsid w:val="00E011A5"/>
    <w:rsid w:val="00E016BD"/>
    <w:rsid w:val="00E0177C"/>
    <w:rsid w:val="00E019C6"/>
    <w:rsid w:val="00E01D32"/>
    <w:rsid w:val="00E01D80"/>
    <w:rsid w:val="00E01DC5"/>
    <w:rsid w:val="00E024B9"/>
    <w:rsid w:val="00E026A7"/>
    <w:rsid w:val="00E02719"/>
    <w:rsid w:val="00E028ED"/>
    <w:rsid w:val="00E02A17"/>
    <w:rsid w:val="00E02E81"/>
    <w:rsid w:val="00E0355C"/>
    <w:rsid w:val="00E03E2F"/>
    <w:rsid w:val="00E04551"/>
    <w:rsid w:val="00E04582"/>
    <w:rsid w:val="00E04838"/>
    <w:rsid w:val="00E04840"/>
    <w:rsid w:val="00E0489D"/>
    <w:rsid w:val="00E04B6A"/>
    <w:rsid w:val="00E04E6A"/>
    <w:rsid w:val="00E04EEC"/>
    <w:rsid w:val="00E05D68"/>
    <w:rsid w:val="00E05DBB"/>
    <w:rsid w:val="00E05FD3"/>
    <w:rsid w:val="00E061CC"/>
    <w:rsid w:val="00E066EB"/>
    <w:rsid w:val="00E07881"/>
    <w:rsid w:val="00E07A53"/>
    <w:rsid w:val="00E07A6A"/>
    <w:rsid w:val="00E07F2E"/>
    <w:rsid w:val="00E1049D"/>
    <w:rsid w:val="00E10811"/>
    <w:rsid w:val="00E108CC"/>
    <w:rsid w:val="00E10A51"/>
    <w:rsid w:val="00E10E9F"/>
    <w:rsid w:val="00E10F9C"/>
    <w:rsid w:val="00E1169F"/>
    <w:rsid w:val="00E118F1"/>
    <w:rsid w:val="00E11E13"/>
    <w:rsid w:val="00E120FD"/>
    <w:rsid w:val="00E124D3"/>
    <w:rsid w:val="00E1285A"/>
    <w:rsid w:val="00E128AC"/>
    <w:rsid w:val="00E12D72"/>
    <w:rsid w:val="00E1323E"/>
    <w:rsid w:val="00E13443"/>
    <w:rsid w:val="00E13513"/>
    <w:rsid w:val="00E135A1"/>
    <w:rsid w:val="00E138F8"/>
    <w:rsid w:val="00E13E37"/>
    <w:rsid w:val="00E142F0"/>
    <w:rsid w:val="00E14770"/>
    <w:rsid w:val="00E1496E"/>
    <w:rsid w:val="00E14B38"/>
    <w:rsid w:val="00E14BB9"/>
    <w:rsid w:val="00E15062"/>
    <w:rsid w:val="00E15229"/>
    <w:rsid w:val="00E1526D"/>
    <w:rsid w:val="00E155F4"/>
    <w:rsid w:val="00E155F8"/>
    <w:rsid w:val="00E15E90"/>
    <w:rsid w:val="00E16407"/>
    <w:rsid w:val="00E1656A"/>
    <w:rsid w:val="00E16894"/>
    <w:rsid w:val="00E16EF1"/>
    <w:rsid w:val="00E177A0"/>
    <w:rsid w:val="00E179A2"/>
    <w:rsid w:val="00E17D01"/>
    <w:rsid w:val="00E17F63"/>
    <w:rsid w:val="00E2141A"/>
    <w:rsid w:val="00E21492"/>
    <w:rsid w:val="00E21E04"/>
    <w:rsid w:val="00E22423"/>
    <w:rsid w:val="00E2242D"/>
    <w:rsid w:val="00E22A54"/>
    <w:rsid w:val="00E22BED"/>
    <w:rsid w:val="00E22F92"/>
    <w:rsid w:val="00E23585"/>
    <w:rsid w:val="00E23928"/>
    <w:rsid w:val="00E23D6A"/>
    <w:rsid w:val="00E23DD5"/>
    <w:rsid w:val="00E246C5"/>
    <w:rsid w:val="00E24FE5"/>
    <w:rsid w:val="00E257CD"/>
    <w:rsid w:val="00E2667B"/>
    <w:rsid w:val="00E26709"/>
    <w:rsid w:val="00E26756"/>
    <w:rsid w:val="00E26ECE"/>
    <w:rsid w:val="00E3026B"/>
    <w:rsid w:val="00E30386"/>
    <w:rsid w:val="00E303C0"/>
    <w:rsid w:val="00E31501"/>
    <w:rsid w:val="00E31683"/>
    <w:rsid w:val="00E3221E"/>
    <w:rsid w:val="00E3274F"/>
    <w:rsid w:val="00E331E8"/>
    <w:rsid w:val="00E334AE"/>
    <w:rsid w:val="00E336EC"/>
    <w:rsid w:val="00E34679"/>
    <w:rsid w:val="00E34730"/>
    <w:rsid w:val="00E34BC1"/>
    <w:rsid w:val="00E34DBF"/>
    <w:rsid w:val="00E35030"/>
    <w:rsid w:val="00E35435"/>
    <w:rsid w:val="00E35F0A"/>
    <w:rsid w:val="00E35F40"/>
    <w:rsid w:val="00E363F3"/>
    <w:rsid w:val="00E367A5"/>
    <w:rsid w:val="00E36818"/>
    <w:rsid w:val="00E368C3"/>
    <w:rsid w:val="00E36F4C"/>
    <w:rsid w:val="00E3701D"/>
    <w:rsid w:val="00E3764A"/>
    <w:rsid w:val="00E377F3"/>
    <w:rsid w:val="00E379A3"/>
    <w:rsid w:val="00E37DF3"/>
    <w:rsid w:val="00E37F4F"/>
    <w:rsid w:val="00E37FBE"/>
    <w:rsid w:val="00E4015A"/>
    <w:rsid w:val="00E4027B"/>
    <w:rsid w:val="00E40470"/>
    <w:rsid w:val="00E40625"/>
    <w:rsid w:val="00E40706"/>
    <w:rsid w:val="00E407B5"/>
    <w:rsid w:val="00E40968"/>
    <w:rsid w:val="00E41765"/>
    <w:rsid w:val="00E41B91"/>
    <w:rsid w:val="00E41BF1"/>
    <w:rsid w:val="00E41C31"/>
    <w:rsid w:val="00E41FDA"/>
    <w:rsid w:val="00E4236B"/>
    <w:rsid w:val="00E42482"/>
    <w:rsid w:val="00E425F0"/>
    <w:rsid w:val="00E4260B"/>
    <w:rsid w:val="00E42951"/>
    <w:rsid w:val="00E42F2D"/>
    <w:rsid w:val="00E43502"/>
    <w:rsid w:val="00E435E0"/>
    <w:rsid w:val="00E43BCD"/>
    <w:rsid w:val="00E43C06"/>
    <w:rsid w:val="00E43DF6"/>
    <w:rsid w:val="00E43E3E"/>
    <w:rsid w:val="00E44345"/>
    <w:rsid w:val="00E443CC"/>
    <w:rsid w:val="00E449B1"/>
    <w:rsid w:val="00E44D31"/>
    <w:rsid w:val="00E44DD3"/>
    <w:rsid w:val="00E44E62"/>
    <w:rsid w:val="00E4502D"/>
    <w:rsid w:val="00E4505A"/>
    <w:rsid w:val="00E4557F"/>
    <w:rsid w:val="00E45643"/>
    <w:rsid w:val="00E45C38"/>
    <w:rsid w:val="00E4608C"/>
    <w:rsid w:val="00E461E4"/>
    <w:rsid w:val="00E46642"/>
    <w:rsid w:val="00E4699D"/>
    <w:rsid w:val="00E46B1D"/>
    <w:rsid w:val="00E46DF3"/>
    <w:rsid w:val="00E471E7"/>
    <w:rsid w:val="00E47B31"/>
    <w:rsid w:val="00E47D38"/>
    <w:rsid w:val="00E501F7"/>
    <w:rsid w:val="00E5082D"/>
    <w:rsid w:val="00E51133"/>
    <w:rsid w:val="00E51215"/>
    <w:rsid w:val="00E51AE2"/>
    <w:rsid w:val="00E51C72"/>
    <w:rsid w:val="00E51CB8"/>
    <w:rsid w:val="00E51DDA"/>
    <w:rsid w:val="00E51F8A"/>
    <w:rsid w:val="00E52D32"/>
    <w:rsid w:val="00E53702"/>
    <w:rsid w:val="00E538B8"/>
    <w:rsid w:val="00E53D75"/>
    <w:rsid w:val="00E53E7E"/>
    <w:rsid w:val="00E542E2"/>
    <w:rsid w:val="00E5495E"/>
    <w:rsid w:val="00E54A09"/>
    <w:rsid w:val="00E54ABE"/>
    <w:rsid w:val="00E54AFE"/>
    <w:rsid w:val="00E54D7B"/>
    <w:rsid w:val="00E54E50"/>
    <w:rsid w:val="00E5506B"/>
    <w:rsid w:val="00E5527E"/>
    <w:rsid w:val="00E555DA"/>
    <w:rsid w:val="00E55951"/>
    <w:rsid w:val="00E55AB9"/>
    <w:rsid w:val="00E55B3B"/>
    <w:rsid w:val="00E55BD9"/>
    <w:rsid w:val="00E568B5"/>
    <w:rsid w:val="00E56C8B"/>
    <w:rsid w:val="00E56E5D"/>
    <w:rsid w:val="00E56EBE"/>
    <w:rsid w:val="00E5714B"/>
    <w:rsid w:val="00E574A9"/>
    <w:rsid w:val="00E57842"/>
    <w:rsid w:val="00E57B06"/>
    <w:rsid w:val="00E6092C"/>
    <w:rsid w:val="00E609F3"/>
    <w:rsid w:val="00E612CE"/>
    <w:rsid w:val="00E612F9"/>
    <w:rsid w:val="00E61355"/>
    <w:rsid w:val="00E613BC"/>
    <w:rsid w:val="00E616FC"/>
    <w:rsid w:val="00E61B23"/>
    <w:rsid w:val="00E61F1E"/>
    <w:rsid w:val="00E62368"/>
    <w:rsid w:val="00E624FF"/>
    <w:rsid w:val="00E62730"/>
    <w:rsid w:val="00E62A83"/>
    <w:rsid w:val="00E63714"/>
    <w:rsid w:val="00E63970"/>
    <w:rsid w:val="00E648C7"/>
    <w:rsid w:val="00E649A0"/>
    <w:rsid w:val="00E64B24"/>
    <w:rsid w:val="00E64D69"/>
    <w:rsid w:val="00E65441"/>
    <w:rsid w:val="00E65500"/>
    <w:rsid w:val="00E6554F"/>
    <w:rsid w:val="00E655DC"/>
    <w:rsid w:val="00E66861"/>
    <w:rsid w:val="00E66C26"/>
    <w:rsid w:val="00E66E21"/>
    <w:rsid w:val="00E66F8D"/>
    <w:rsid w:val="00E67063"/>
    <w:rsid w:val="00E671CD"/>
    <w:rsid w:val="00E6726B"/>
    <w:rsid w:val="00E67323"/>
    <w:rsid w:val="00E67778"/>
    <w:rsid w:val="00E677A3"/>
    <w:rsid w:val="00E67B86"/>
    <w:rsid w:val="00E70F38"/>
    <w:rsid w:val="00E710AA"/>
    <w:rsid w:val="00E710E6"/>
    <w:rsid w:val="00E710FC"/>
    <w:rsid w:val="00E71288"/>
    <w:rsid w:val="00E71915"/>
    <w:rsid w:val="00E71BFC"/>
    <w:rsid w:val="00E71D90"/>
    <w:rsid w:val="00E72067"/>
    <w:rsid w:val="00E72138"/>
    <w:rsid w:val="00E722E2"/>
    <w:rsid w:val="00E72487"/>
    <w:rsid w:val="00E72B87"/>
    <w:rsid w:val="00E72BC4"/>
    <w:rsid w:val="00E732CC"/>
    <w:rsid w:val="00E740DD"/>
    <w:rsid w:val="00E752A0"/>
    <w:rsid w:val="00E75561"/>
    <w:rsid w:val="00E756B6"/>
    <w:rsid w:val="00E75884"/>
    <w:rsid w:val="00E75EB6"/>
    <w:rsid w:val="00E75EFE"/>
    <w:rsid w:val="00E7615B"/>
    <w:rsid w:val="00E7642E"/>
    <w:rsid w:val="00E764A0"/>
    <w:rsid w:val="00E76E6B"/>
    <w:rsid w:val="00E77761"/>
    <w:rsid w:val="00E77A11"/>
    <w:rsid w:val="00E77ADC"/>
    <w:rsid w:val="00E77FD6"/>
    <w:rsid w:val="00E803B1"/>
    <w:rsid w:val="00E80467"/>
    <w:rsid w:val="00E80627"/>
    <w:rsid w:val="00E80916"/>
    <w:rsid w:val="00E80E6D"/>
    <w:rsid w:val="00E81152"/>
    <w:rsid w:val="00E81DAA"/>
    <w:rsid w:val="00E81F6E"/>
    <w:rsid w:val="00E82225"/>
    <w:rsid w:val="00E8286E"/>
    <w:rsid w:val="00E82C9F"/>
    <w:rsid w:val="00E82D43"/>
    <w:rsid w:val="00E82DA4"/>
    <w:rsid w:val="00E83004"/>
    <w:rsid w:val="00E8301B"/>
    <w:rsid w:val="00E8306B"/>
    <w:rsid w:val="00E833A2"/>
    <w:rsid w:val="00E83606"/>
    <w:rsid w:val="00E840DF"/>
    <w:rsid w:val="00E8452A"/>
    <w:rsid w:val="00E84589"/>
    <w:rsid w:val="00E84C74"/>
    <w:rsid w:val="00E84CF1"/>
    <w:rsid w:val="00E84DDD"/>
    <w:rsid w:val="00E84FBE"/>
    <w:rsid w:val="00E85374"/>
    <w:rsid w:val="00E8560F"/>
    <w:rsid w:val="00E85ABE"/>
    <w:rsid w:val="00E85F90"/>
    <w:rsid w:val="00E8613E"/>
    <w:rsid w:val="00E86149"/>
    <w:rsid w:val="00E86240"/>
    <w:rsid w:val="00E86606"/>
    <w:rsid w:val="00E86662"/>
    <w:rsid w:val="00E86718"/>
    <w:rsid w:val="00E8676E"/>
    <w:rsid w:val="00E86F35"/>
    <w:rsid w:val="00E873A7"/>
    <w:rsid w:val="00E8743A"/>
    <w:rsid w:val="00E877F3"/>
    <w:rsid w:val="00E8780A"/>
    <w:rsid w:val="00E87FEE"/>
    <w:rsid w:val="00E90067"/>
    <w:rsid w:val="00E90358"/>
    <w:rsid w:val="00E90B91"/>
    <w:rsid w:val="00E90C76"/>
    <w:rsid w:val="00E90E1A"/>
    <w:rsid w:val="00E91043"/>
    <w:rsid w:val="00E9121A"/>
    <w:rsid w:val="00E9162D"/>
    <w:rsid w:val="00E91DF6"/>
    <w:rsid w:val="00E9206E"/>
    <w:rsid w:val="00E938BD"/>
    <w:rsid w:val="00E94364"/>
    <w:rsid w:val="00E9441A"/>
    <w:rsid w:val="00E95206"/>
    <w:rsid w:val="00E9538A"/>
    <w:rsid w:val="00E957FC"/>
    <w:rsid w:val="00E95C59"/>
    <w:rsid w:val="00E96287"/>
    <w:rsid w:val="00E964D9"/>
    <w:rsid w:val="00E96FD1"/>
    <w:rsid w:val="00E970BF"/>
    <w:rsid w:val="00E971A9"/>
    <w:rsid w:val="00E97209"/>
    <w:rsid w:val="00E97417"/>
    <w:rsid w:val="00E977E7"/>
    <w:rsid w:val="00E97B26"/>
    <w:rsid w:val="00E97B2A"/>
    <w:rsid w:val="00E97D0F"/>
    <w:rsid w:val="00E97F63"/>
    <w:rsid w:val="00EA017C"/>
    <w:rsid w:val="00EA0289"/>
    <w:rsid w:val="00EA02EA"/>
    <w:rsid w:val="00EA04B3"/>
    <w:rsid w:val="00EA07B2"/>
    <w:rsid w:val="00EA0B8F"/>
    <w:rsid w:val="00EA1D82"/>
    <w:rsid w:val="00EA2058"/>
    <w:rsid w:val="00EA2847"/>
    <w:rsid w:val="00EA2938"/>
    <w:rsid w:val="00EA2CEE"/>
    <w:rsid w:val="00EA2FBF"/>
    <w:rsid w:val="00EA355F"/>
    <w:rsid w:val="00EA38B3"/>
    <w:rsid w:val="00EA39C1"/>
    <w:rsid w:val="00EA3B21"/>
    <w:rsid w:val="00EA3D08"/>
    <w:rsid w:val="00EA3E1C"/>
    <w:rsid w:val="00EA4643"/>
    <w:rsid w:val="00EA4F34"/>
    <w:rsid w:val="00EA5264"/>
    <w:rsid w:val="00EA52FD"/>
    <w:rsid w:val="00EA54CB"/>
    <w:rsid w:val="00EA5A37"/>
    <w:rsid w:val="00EA5BCA"/>
    <w:rsid w:val="00EA620B"/>
    <w:rsid w:val="00EA6671"/>
    <w:rsid w:val="00EA71FA"/>
    <w:rsid w:val="00EA7411"/>
    <w:rsid w:val="00EA7ECC"/>
    <w:rsid w:val="00EB0348"/>
    <w:rsid w:val="00EB0397"/>
    <w:rsid w:val="00EB0472"/>
    <w:rsid w:val="00EB07BB"/>
    <w:rsid w:val="00EB0C6E"/>
    <w:rsid w:val="00EB0FAC"/>
    <w:rsid w:val="00EB11D1"/>
    <w:rsid w:val="00EB1333"/>
    <w:rsid w:val="00EB16F5"/>
    <w:rsid w:val="00EB181B"/>
    <w:rsid w:val="00EB1C03"/>
    <w:rsid w:val="00EB1CA4"/>
    <w:rsid w:val="00EB1E26"/>
    <w:rsid w:val="00EB1E65"/>
    <w:rsid w:val="00EB1E68"/>
    <w:rsid w:val="00EB20FA"/>
    <w:rsid w:val="00EB27D0"/>
    <w:rsid w:val="00EB289E"/>
    <w:rsid w:val="00EB2DEA"/>
    <w:rsid w:val="00EB3440"/>
    <w:rsid w:val="00EB3C56"/>
    <w:rsid w:val="00EB3CDE"/>
    <w:rsid w:val="00EB434E"/>
    <w:rsid w:val="00EB45C1"/>
    <w:rsid w:val="00EB4607"/>
    <w:rsid w:val="00EB4622"/>
    <w:rsid w:val="00EB4A41"/>
    <w:rsid w:val="00EB4C60"/>
    <w:rsid w:val="00EB4DC5"/>
    <w:rsid w:val="00EB57D3"/>
    <w:rsid w:val="00EB5E50"/>
    <w:rsid w:val="00EB61D1"/>
    <w:rsid w:val="00EB66EF"/>
    <w:rsid w:val="00EB6891"/>
    <w:rsid w:val="00EB6D8B"/>
    <w:rsid w:val="00EB7558"/>
    <w:rsid w:val="00EB777E"/>
    <w:rsid w:val="00EB7881"/>
    <w:rsid w:val="00EB7A49"/>
    <w:rsid w:val="00EB7DAC"/>
    <w:rsid w:val="00EC0233"/>
    <w:rsid w:val="00EC0392"/>
    <w:rsid w:val="00EC0576"/>
    <w:rsid w:val="00EC09DD"/>
    <w:rsid w:val="00EC1A6A"/>
    <w:rsid w:val="00EC2802"/>
    <w:rsid w:val="00EC2981"/>
    <w:rsid w:val="00EC2AFF"/>
    <w:rsid w:val="00EC2BA3"/>
    <w:rsid w:val="00EC3031"/>
    <w:rsid w:val="00EC341C"/>
    <w:rsid w:val="00EC3864"/>
    <w:rsid w:val="00EC39EE"/>
    <w:rsid w:val="00EC3D99"/>
    <w:rsid w:val="00EC3DD2"/>
    <w:rsid w:val="00EC45A9"/>
    <w:rsid w:val="00EC46E4"/>
    <w:rsid w:val="00EC47F7"/>
    <w:rsid w:val="00EC4ADC"/>
    <w:rsid w:val="00EC4C71"/>
    <w:rsid w:val="00EC4E5D"/>
    <w:rsid w:val="00EC4FC8"/>
    <w:rsid w:val="00EC58A5"/>
    <w:rsid w:val="00EC5AC4"/>
    <w:rsid w:val="00EC5AE2"/>
    <w:rsid w:val="00EC5F03"/>
    <w:rsid w:val="00EC63E3"/>
    <w:rsid w:val="00EC6590"/>
    <w:rsid w:val="00EC6975"/>
    <w:rsid w:val="00EC6CDD"/>
    <w:rsid w:val="00EC6DCB"/>
    <w:rsid w:val="00EC6FDB"/>
    <w:rsid w:val="00EC7275"/>
    <w:rsid w:val="00EC7289"/>
    <w:rsid w:val="00EC7735"/>
    <w:rsid w:val="00ED01D5"/>
    <w:rsid w:val="00ED0BD9"/>
    <w:rsid w:val="00ED0C89"/>
    <w:rsid w:val="00ED1657"/>
    <w:rsid w:val="00ED22F8"/>
    <w:rsid w:val="00ED27C8"/>
    <w:rsid w:val="00ED2FEF"/>
    <w:rsid w:val="00ED3C76"/>
    <w:rsid w:val="00ED3FEE"/>
    <w:rsid w:val="00ED4D96"/>
    <w:rsid w:val="00ED4DE4"/>
    <w:rsid w:val="00ED4F4C"/>
    <w:rsid w:val="00ED4FE3"/>
    <w:rsid w:val="00ED511B"/>
    <w:rsid w:val="00ED5637"/>
    <w:rsid w:val="00ED5937"/>
    <w:rsid w:val="00ED5EDF"/>
    <w:rsid w:val="00ED6274"/>
    <w:rsid w:val="00ED65CF"/>
    <w:rsid w:val="00ED65EE"/>
    <w:rsid w:val="00ED6618"/>
    <w:rsid w:val="00ED66A0"/>
    <w:rsid w:val="00ED6825"/>
    <w:rsid w:val="00ED7178"/>
    <w:rsid w:val="00ED769C"/>
    <w:rsid w:val="00ED7EA0"/>
    <w:rsid w:val="00EE0354"/>
    <w:rsid w:val="00EE06CB"/>
    <w:rsid w:val="00EE0A06"/>
    <w:rsid w:val="00EE0B8C"/>
    <w:rsid w:val="00EE0BB9"/>
    <w:rsid w:val="00EE1BA3"/>
    <w:rsid w:val="00EE1CCC"/>
    <w:rsid w:val="00EE1FF7"/>
    <w:rsid w:val="00EE209B"/>
    <w:rsid w:val="00EE2707"/>
    <w:rsid w:val="00EE2866"/>
    <w:rsid w:val="00EE2C73"/>
    <w:rsid w:val="00EE2D06"/>
    <w:rsid w:val="00EE3357"/>
    <w:rsid w:val="00EE339F"/>
    <w:rsid w:val="00EE374C"/>
    <w:rsid w:val="00EE38E7"/>
    <w:rsid w:val="00EE3AB3"/>
    <w:rsid w:val="00EE3D04"/>
    <w:rsid w:val="00EE3D1E"/>
    <w:rsid w:val="00EE3DB1"/>
    <w:rsid w:val="00EE3E69"/>
    <w:rsid w:val="00EE3F1E"/>
    <w:rsid w:val="00EE3FAD"/>
    <w:rsid w:val="00EE4078"/>
    <w:rsid w:val="00EE4A4F"/>
    <w:rsid w:val="00EE4A80"/>
    <w:rsid w:val="00EE57E7"/>
    <w:rsid w:val="00EE5D93"/>
    <w:rsid w:val="00EE606F"/>
    <w:rsid w:val="00EE6096"/>
    <w:rsid w:val="00EE6139"/>
    <w:rsid w:val="00EE6C92"/>
    <w:rsid w:val="00EE712C"/>
    <w:rsid w:val="00EE71C9"/>
    <w:rsid w:val="00EE7507"/>
    <w:rsid w:val="00EE7606"/>
    <w:rsid w:val="00EE7618"/>
    <w:rsid w:val="00EE7866"/>
    <w:rsid w:val="00EE78FC"/>
    <w:rsid w:val="00EE7B43"/>
    <w:rsid w:val="00EE7F65"/>
    <w:rsid w:val="00EF050D"/>
    <w:rsid w:val="00EF06B6"/>
    <w:rsid w:val="00EF0DC7"/>
    <w:rsid w:val="00EF13E5"/>
    <w:rsid w:val="00EF18FF"/>
    <w:rsid w:val="00EF2BB7"/>
    <w:rsid w:val="00EF2D87"/>
    <w:rsid w:val="00EF32C6"/>
    <w:rsid w:val="00EF33B0"/>
    <w:rsid w:val="00EF352D"/>
    <w:rsid w:val="00EF368C"/>
    <w:rsid w:val="00EF3DF9"/>
    <w:rsid w:val="00EF3E4E"/>
    <w:rsid w:val="00EF3F2D"/>
    <w:rsid w:val="00EF4146"/>
    <w:rsid w:val="00EF46D1"/>
    <w:rsid w:val="00EF4AEE"/>
    <w:rsid w:val="00EF4B89"/>
    <w:rsid w:val="00EF572D"/>
    <w:rsid w:val="00EF5E73"/>
    <w:rsid w:val="00EF6047"/>
    <w:rsid w:val="00EF6558"/>
    <w:rsid w:val="00EF698E"/>
    <w:rsid w:val="00EF6E41"/>
    <w:rsid w:val="00EF7197"/>
    <w:rsid w:val="00EF723B"/>
    <w:rsid w:val="00EF7886"/>
    <w:rsid w:val="00F0007E"/>
    <w:rsid w:val="00F00615"/>
    <w:rsid w:val="00F0087F"/>
    <w:rsid w:val="00F0164A"/>
    <w:rsid w:val="00F01B8B"/>
    <w:rsid w:val="00F01E8A"/>
    <w:rsid w:val="00F0206D"/>
    <w:rsid w:val="00F020AB"/>
    <w:rsid w:val="00F02203"/>
    <w:rsid w:val="00F02336"/>
    <w:rsid w:val="00F02677"/>
    <w:rsid w:val="00F02F45"/>
    <w:rsid w:val="00F03378"/>
    <w:rsid w:val="00F0339B"/>
    <w:rsid w:val="00F0361D"/>
    <w:rsid w:val="00F03AF3"/>
    <w:rsid w:val="00F03B40"/>
    <w:rsid w:val="00F03BD3"/>
    <w:rsid w:val="00F03BF4"/>
    <w:rsid w:val="00F03D0F"/>
    <w:rsid w:val="00F03E69"/>
    <w:rsid w:val="00F03F3B"/>
    <w:rsid w:val="00F03F71"/>
    <w:rsid w:val="00F0414F"/>
    <w:rsid w:val="00F04250"/>
    <w:rsid w:val="00F044D9"/>
    <w:rsid w:val="00F046F9"/>
    <w:rsid w:val="00F048AE"/>
    <w:rsid w:val="00F05438"/>
    <w:rsid w:val="00F05796"/>
    <w:rsid w:val="00F05944"/>
    <w:rsid w:val="00F05D4B"/>
    <w:rsid w:val="00F05DE3"/>
    <w:rsid w:val="00F060F8"/>
    <w:rsid w:val="00F062E9"/>
    <w:rsid w:val="00F064EA"/>
    <w:rsid w:val="00F065B5"/>
    <w:rsid w:val="00F066FC"/>
    <w:rsid w:val="00F06773"/>
    <w:rsid w:val="00F06D3F"/>
    <w:rsid w:val="00F0711B"/>
    <w:rsid w:val="00F07468"/>
    <w:rsid w:val="00F07509"/>
    <w:rsid w:val="00F07B66"/>
    <w:rsid w:val="00F07CEB"/>
    <w:rsid w:val="00F07F05"/>
    <w:rsid w:val="00F07FF4"/>
    <w:rsid w:val="00F107B4"/>
    <w:rsid w:val="00F10ADE"/>
    <w:rsid w:val="00F10AE7"/>
    <w:rsid w:val="00F10DFC"/>
    <w:rsid w:val="00F1100D"/>
    <w:rsid w:val="00F1154A"/>
    <w:rsid w:val="00F117F5"/>
    <w:rsid w:val="00F11A29"/>
    <w:rsid w:val="00F11DDC"/>
    <w:rsid w:val="00F11F2A"/>
    <w:rsid w:val="00F12649"/>
    <w:rsid w:val="00F1276D"/>
    <w:rsid w:val="00F12B47"/>
    <w:rsid w:val="00F1302B"/>
    <w:rsid w:val="00F1366A"/>
    <w:rsid w:val="00F1377E"/>
    <w:rsid w:val="00F138BA"/>
    <w:rsid w:val="00F13BC3"/>
    <w:rsid w:val="00F13D7E"/>
    <w:rsid w:val="00F13F4B"/>
    <w:rsid w:val="00F13F76"/>
    <w:rsid w:val="00F14226"/>
    <w:rsid w:val="00F144AB"/>
    <w:rsid w:val="00F144E8"/>
    <w:rsid w:val="00F1472B"/>
    <w:rsid w:val="00F14E54"/>
    <w:rsid w:val="00F153C1"/>
    <w:rsid w:val="00F15D26"/>
    <w:rsid w:val="00F15DC7"/>
    <w:rsid w:val="00F160D4"/>
    <w:rsid w:val="00F16AA6"/>
    <w:rsid w:val="00F16CFB"/>
    <w:rsid w:val="00F16E94"/>
    <w:rsid w:val="00F16EBF"/>
    <w:rsid w:val="00F173E4"/>
    <w:rsid w:val="00F2032D"/>
    <w:rsid w:val="00F2045A"/>
    <w:rsid w:val="00F2059D"/>
    <w:rsid w:val="00F20A4C"/>
    <w:rsid w:val="00F211D1"/>
    <w:rsid w:val="00F213CA"/>
    <w:rsid w:val="00F21502"/>
    <w:rsid w:val="00F2176B"/>
    <w:rsid w:val="00F217E8"/>
    <w:rsid w:val="00F21E20"/>
    <w:rsid w:val="00F22209"/>
    <w:rsid w:val="00F22578"/>
    <w:rsid w:val="00F22AE5"/>
    <w:rsid w:val="00F22BA8"/>
    <w:rsid w:val="00F22D82"/>
    <w:rsid w:val="00F22FE8"/>
    <w:rsid w:val="00F2335D"/>
    <w:rsid w:val="00F23416"/>
    <w:rsid w:val="00F2347E"/>
    <w:rsid w:val="00F2396F"/>
    <w:rsid w:val="00F23A8E"/>
    <w:rsid w:val="00F23CAE"/>
    <w:rsid w:val="00F23EA5"/>
    <w:rsid w:val="00F24D6A"/>
    <w:rsid w:val="00F251C9"/>
    <w:rsid w:val="00F258B4"/>
    <w:rsid w:val="00F25CBD"/>
    <w:rsid w:val="00F26103"/>
    <w:rsid w:val="00F264BC"/>
    <w:rsid w:val="00F26732"/>
    <w:rsid w:val="00F26D40"/>
    <w:rsid w:val="00F272CA"/>
    <w:rsid w:val="00F27D10"/>
    <w:rsid w:val="00F30333"/>
    <w:rsid w:val="00F306E8"/>
    <w:rsid w:val="00F308D9"/>
    <w:rsid w:val="00F30981"/>
    <w:rsid w:val="00F3120E"/>
    <w:rsid w:val="00F3142D"/>
    <w:rsid w:val="00F31C2B"/>
    <w:rsid w:val="00F325B7"/>
    <w:rsid w:val="00F327DC"/>
    <w:rsid w:val="00F32DE8"/>
    <w:rsid w:val="00F332CD"/>
    <w:rsid w:val="00F33367"/>
    <w:rsid w:val="00F33392"/>
    <w:rsid w:val="00F33955"/>
    <w:rsid w:val="00F33F9C"/>
    <w:rsid w:val="00F340B6"/>
    <w:rsid w:val="00F3479D"/>
    <w:rsid w:val="00F34E89"/>
    <w:rsid w:val="00F34F27"/>
    <w:rsid w:val="00F34FBF"/>
    <w:rsid w:val="00F3559E"/>
    <w:rsid w:val="00F3562C"/>
    <w:rsid w:val="00F35852"/>
    <w:rsid w:val="00F35926"/>
    <w:rsid w:val="00F35B24"/>
    <w:rsid w:val="00F35C6B"/>
    <w:rsid w:val="00F361B7"/>
    <w:rsid w:val="00F3647F"/>
    <w:rsid w:val="00F36547"/>
    <w:rsid w:val="00F3688B"/>
    <w:rsid w:val="00F3694D"/>
    <w:rsid w:val="00F37141"/>
    <w:rsid w:val="00F373D1"/>
    <w:rsid w:val="00F376C7"/>
    <w:rsid w:val="00F378DB"/>
    <w:rsid w:val="00F37B27"/>
    <w:rsid w:val="00F37B58"/>
    <w:rsid w:val="00F40020"/>
    <w:rsid w:val="00F4034A"/>
    <w:rsid w:val="00F406A0"/>
    <w:rsid w:val="00F407BE"/>
    <w:rsid w:val="00F408E4"/>
    <w:rsid w:val="00F409E5"/>
    <w:rsid w:val="00F40A88"/>
    <w:rsid w:val="00F40BAE"/>
    <w:rsid w:val="00F4120F"/>
    <w:rsid w:val="00F41ED9"/>
    <w:rsid w:val="00F4268B"/>
    <w:rsid w:val="00F426FE"/>
    <w:rsid w:val="00F427A8"/>
    <w:rsid w:val="00F42DE0"/>
    <w:rsid w:val="00F42E08"/>
    <w:rsid w:val="00F42F34"/>
    <w:rsid w:val="00F43055"/>
    <w:rsid w:val="00F43081"/>
    <w:rsid w:val="00F43C0B"/>
    <w:rsid w:val="00F44289"/>
    <w:rsid w:val="00F44D0D"/>
    <w:rsid w:val="00F44EC5"/>
    <w:rsid w:val="00F44F4B"/>
    <w:rsid w:val="00F44FC5"/>
    <w:rsid w:val="00F45017"/>
    <w:rsid w:val="00F45628"/>
    <w:rsid w:val="00F4568A"/>
    <w:rsid w:val="00F464E0"/>
    <w:rsid w:val="00F46613"/>
    <w:rsid w:val="00F466AE"/>
    <w:rsid w:val="00F4768F"/>
    <w:rsid w:val="00F47B33"/>
    <w:rsid w:val="00F47F47"/>
    <w:rsid w:val="00F505E3"/>
    <w:rsid w:val="00F5075C"/>
    <w:rsid w:val="00F50C1B"/>
    <w:rsid w:val="00F510D1"/>
    <w:rsid w:val="00F51471"/>
    <w:rsid w:val="00F51C7A"/>
    <w:rsid w:val="00F51DC5"/>
    <w:rsid w:val="00F527B0"/>
    <w:rsid w:val="00F52F93"/>
    <w:rsid w:val="00F53089"/>
    <w:rsid w:val="00F531A6"/>
    <w:rsid w:val="00F531B4"/>
    <w:rsid w:val="00F531ED"/>
    <w:rsid w:val="00F537D5"/>
    <w:rsid w:val="00F53CDE"/>
    <w:rsid w:val="00F53DE8"/>
    <w:rsid w:val="00F53E26"/>
    <w:rsid w:val="00F53F9C"/>
    <w:rsid w:val="00F54608"/>
    <w:rsid w:val="00F54795"/>
    <w:rsid w:val="00F54DCF"/>
    <w:rsid w:val="00F54E19"/>
    <w:rsid w:val="00F552F2"/>
    <w:rsid w:val="00F55598"/>
    <w:rsid w:val="00F5570E"/>
    <w:rsid w:val="00F55853"/>
    <w:rsid w:val="00F55873"/>
    <w:rsid w:val="00F55930"/>
    <w:rsid w:val="00F55CB1"/>
    <w:rsid w:val="00F55E29"/>
    <w:rsid w:val="00F55E52"/>
    <w:rsid w:val="00F55E8B"/>
    <w:rsid w:val="00F561A7"/>
    <w:rsid w:val="00F56298"/>
    <w:rsid w:val="00F5636F"/>
    <w:rsid w:val="00F56381"/>
    <w:rsid w:val="00F56665"/>
    <w:rsid w:val="00F5698E"/>
    <w:rsid w:val="00F569B9"/>
    <w:rsid w:val="00F5731F"/>
    <w:rsid w:val="00F573E0"/>
    <w:rsid w:val="00F57801"/>
    <w:rsid w:val="00F57812"/>
    <w:rsid w:val="00F57B2E"/>
    <w:rsid w:val="00F57E6A"/>
    <w:rsid w:val="00F57EC7"/>
    <w:rsid w:val="00F57EF0"/>
    <w:rsid w:val="00F60275"/>
    <w:rsid w:val="00F60721"/>
    <w:rsid w:val="00F60F86"/>
    <w:rsid w:val="00F61583"/>
    <w:rsid w:val="00F618DA"/>
    <w:rsid w:val="00F61953"/>
    <w:rsid w:val="00F627E2"/>
    <w:rsid w:val="00F6294A"/>
    <w:rsid w:val="00F633CA"/>
    <w:rsid w:val="00F636D3"/>
    <w:rsid w:val="00F63714"/>
    <w:rsid w:val="00F63968"/>
    <w:rsid w:val="00F64248"/>
    <w:rsid w:val="00F643E9"/>
    <w:rsid w:val="00F6461B"/>
    <w:rsid w:val="00F64A24"/>
    <w:rsid w:val="00F650B8"/>
    <w:rsid w:val="00F65276"/>
    <w:rsid w:val="00F6551D"/>
    <w:rsid w:val="00F65AA3"/>
    <w:rsid w:val="00F6601A"/>
    <w:rsid w:val="00F6621D"/>
    <w:rsid w:val="00F6640D"/>
    <w:rsid w:val="00F667DB"/>
    <w:rsid w:val="00F66840"/>
    <w:rsid w:val="00F66DFC"/>
    <w:rsid w:val="00F66E3F"/>
    <w:rsid w:val="00F67324"/>
    <w:rsid w:val="00F67645"/>
    <w:rsid w:val="00F706B8"/>
    <w:rsid w:val="00F70756"/>
    <w:rsid w:val="00F70A37"/>
    <w:rsid w:val="00F70CBB"/>
    <w:rsid w:val="00F7141E"/>
    <w:rsid w:val="00F71520"/>
    <w:rsid w:val="00F71D28"/>
    <w:rsid w:val="00F71F8B"/>
    <w:rsid w:val="00F7226A"/>
    <w:rsid w:val="00F726BA"/>
    <w:rsid w:val="00F72769"/>
    <w:rsid w:val="00F727E8"/>
    <w:rsid w:val="00F72911"/>
    <w:rsid w:val="00F7339E"/>
    <w:rsid w:val="00F7345D"/>
    <w:rsid w:val="00F734DE"/>
    <w:rsid w:val="00F73660"/>
    <w:rsid w:val="00F74569"/>
    <w:rsid w:val="00F74CAC"/>
    <w:rsid w:val="00F74DF7"/>
    <w:rsid w:val="00F750E8"/>
    <w:rsid w:val="00F753A7"/>
    <w:rsid w:val="00F75573"/>
    <w:rsid w:val="00F75837"/>
    <w:rsid w:val="00F7590F"/>
    <w:rsid w:val="00F75E25"/>
    <w:rsid w:val="00F75FE2"/>
    <w:rsid w:val="00F760B7"/>
    <w:rsid w:val="00F7621C"/>
    <w:rsid w:val="00F765FD"/>
    <w:rsid w:val="00F76B25"/>
    <w:rsid w:val="00F772CC"/>
    <w:rsid w:val="00F772E8"/>
    <w:rsid w:val="00F7739D"/>
    <w:rsid w:val="00F7758D"/>
    <w:rsid w:val="00F77735"/>
    <w:rsid w:val="00F777BF"/>
    <w:rsid w:val="00F80D39"/>
    <w:rsid w:val="00F80FAF"/>
    <w:rsid w:val="00F81506"/>
    <w:rsid w:val="00F81A52"/>
    <w:rsid w:val="00F81BBB"/>
    <w:rsid w:val="00F81C68"/>
    <w:rsid w:val="00F822F4"/>
    <w:rsid w:val="00F8279E"/>
    <w:rsid w:val="00F82BA9"/>
    <w:rsid w:val="00F83287"/>
    <w:rsid w:val="00F834F1"/>
    <w:rsid w:val="00F838B6"/>
    <w:rsid w:val="00F83A29"/>
    <w:rsid w:val="00F8440F"/>
    <w:rsid w:val="00F8456A"/>
    <w:rsid w:val="00F84761"/>
    <w:rsid w:val="00F84881"/>
    <w:rsid w:val="00F84C6A"/>
    <w:rsid w:val="00F84E28"/>
    <w:rsid w:val="00F84E85"/>
    <w:rsid w:val="00F852FC"/>
    <w:rsid w:val="00F85371"/>
    <w:rsid w:val="00F8569E"/>
    <w:rsid w:val="00F85A14"/>
    <w:rsid w:val="00F85D75"/>
    <w:rsid w:val="00F86292"/>
    <w:rsid w:val="00F864F9"/>
    <w:rsid w:val="00F86552"/>
    <w:rsid w:val="00F868A1"/>
    <w:rsid w:val="00F872E8"/>
    <w:rsid w:val="00F87B06"/>
    <w:rsid w:val="00F87C29"/>
    <w:rsid w:val="00F87F49"/>
    <w:rsid w:val="00F902FE"/>
    <w:rsid w:val="00F904F1"/>
    <w:rsid w:val="00F90C9E"/>
    <w:rsid w:val="00F90EB0"/>
    <w:rsid w:val="00F9124F"/>
    <w:rsid w:val="00F913C6"/>
    <w:rsid w:val="00F914AA"/>
    <w:rsid w:val="00F91D3D"/>
    <w:rsid w:val="00F91D88"/>
    <w:rsid w:val="00F91DEE"/>
    <w:rsid w:val="00F91F7E"/>
    <w:rsid w:val="00F92303"/>
    <w:rsid w:val="00F9266A"/>
    <w:rsid w:val="00F928B5"/>
    <w:rsid w:val="00F92C37"/>
    <w:rsid w:val="00F92C4B"/>
    <w:rsid w:val="00F92F92"/>
    <w:rsid w:val="00F93171"/>
    <w:rsid w:val="00F93E9D"/>
    <w:rsid w:val="00F93F7C"/>
    <w:rsid w:val="00F93FF4"/>
    <w:rsid w:val="00F94048"/>
    <w:rsid w:val="00F943AF"/>
    <w:rsid w:val="00F94826"/>
    <w:rsid w:val="00F94864"/>
    <w:rsid w:val="00F958D1"/>
    <w:rsid w:val="00F959EC"/>
    <w:rsid w:val="00F95BDD"/>
    <w:rsid w:val="00F95C3F"/>
    <w:rsid w:val="00F95DF8"/>
    <w:rsid w:val="00F95DFD"/>
    <w:rsid w:val="00F96104"/>
    <w:rsid w:val="00F964B8"/>
    <w:rsid w:val="00F9682A"/>
    <w:rsid w:val="00F9695E"/>
    <w:rsid w:val="00F973F1"/>
    <w:rsid w:val="00F97890"/>
    <w:rsid w:val="00F97ACD"/>
    <w:rsid w:val="00F97D47"/>
    <w:rsid w:val="00F97E33"/>
    <w:rsid w:val="00FA02EE"/>
    <w:rsid w:val="00FA04FD"/>
    <w:rsid w:val="00FA072A"/>
    <w:rsid w:val="00FA095D"/>
    <w:rsid w:val="00FA11EF"/>
    <w:rsid w:val="00FA1608"/>
    <w:rsid w:val="00FA1B06"/>
    <w:rsid w:val="00FA1C92"/>
    <w:rsid w:val="00FA1ED8"/>
    <w:rsid w:val="00FA20AB"/>
    <w:rsid w:val="00FA2195"/>
    <w:rsid w:val="00FA22FC"/>
    <w:rsid w:val="00FA27E1"/>
    <w:rsid w:val="00FA2BD0"/>
    <w:rsid w:val="00FA2D3F"/>
    <w:rsid w:val="00FA2F14"/>
    <w:rsid w:val="00FA2FDC"/>
    <w:rsid w:val="00FA2FE6"/>
    <w:rsid w:val="00FA33A6"/>
    <w:rsid w:val="00FA477A"/>
    <w:rsid w:val="00FA4CCA"/>
    <w:rsid w:val="00FA4F27"/>
    <w:rsid w:val="00FA5131"/>
    <w:rsid w:val="00FA5310"/>
    <w:rsid w:val="00FA536E"/>
    <w:rsid w:val="00FA546B"/>
    <w:rsid w:val="00FA54C1"/>
    <w:rsid w:val="00FA5F4E"/>
    <w:rsid w:val="00FA6515"/>
    <w:rsid w:val="00FA6CDE"/>
    <w:rsid w:val="00FA70F6"/>
    <w:rsid w:val="00FA72B5"/>
    <w:rsid w:val="00FA7400"/>
    <w:rsid w:val="00FA7435"/>
    <w:rsid w:val="00FA7585"/>
    <w:rsid w:val="00FA76CB"/>
    <w:rsid w:val="00FA786D"/>
    <w:rsid w:val="00FA7B60"/>
    <w:rsid w:val="00FA7B65"/>
    <w:rsid w:val="00FA7B80"/>
    <w:rsid w:val="00FA7D81"/>
    <w:rsid w:val="00FA7F72"/>
    <w:rsid w:val="00FA7F77"/>
    <w:rsid w:val="00FA7FD7"/>
    <w:rsid w:val="00FB0091"/>
    <w:rsid w:val="00FB0150"/>
    <w:rsid w:val="00FB01BC"/>
    <w:rsid w:val="00FB0485"/>
    <w:rsid w:val="00FB0834"/>
    <w:rsid w:val="00FB0B18"/>
    <w:rsid w:val="00FB1015"/>
    <w:rsid w:val="00FB12F8"/>
    <w:rsid w:val="00FB171C"/>
    <w:rsid w:val="00FB17CD"/>
    <w:rsid w:val="00FB18EA"/>
    <w:rsid w:val="00FB1B3D"/>
    <w:rsid w:val="00FB1E70"/>
    <w:rsid w:val="00FB201E"/>
    <w:rsid w:val="00FB2065"/>
    <w:rsid w:val="00FB2420"/>
    <w:rsid w:val="00FB256A"/>
    <w:rsid w:val="00FB28D0"/>
    <w:rsid w:val="00FB2ACA"/>
    <w:rsid w:val="00FB2F96"/>
    <w:rsid w:val="00FB32BC"/>
    <w:rsid w:val="00FB3870"/>
    <w:rsid w:val="00FB3968"/>
    <w:rsid w:val="00FB39D2"/>
    <w:rsid w:val="00FB4D71"/>
    <w:rsid w:val="00FB51A3"/>
    <w:rsid w:val="00FB543C"/>
    <w:rsid w:val="00FB55E4"/>
    <w:rsid w:val="00FB5871"/>
    <w:rsid w:val="00FB5EED"/>
    <w:rsid w:val="00FB60AA"/>
    <w:rsid w:val="00FB63ED"/>
    <w:rsid w:val="00FB670F"/>
    <w:rsid w:val="00FB673E"/>
    <w:rsid w:val="00FB6794"/>
    <w:rsid w:val="00FB7191"/>
    <w:rsid w:val="00FB732F"/>
    <w:rsid w:val="00FB7405"/>
    <w:rsid w:val="00FB74FF"/>
    <w:rsid w:val="00FB753B"/>
    <w:rsid w:val="00FB7EA1"/>
    <w:rsid w:val="00FC0417"/>
    <w:rsid w:val="00FC0568"/>
    <w:rsid w:val="00FC07C7"/>
    <w:rsid w:val="00FC0B3F"/>
    <w:rsid w:val="00FC0B72"/>
    <w:rsid w:val="00FC0BC7"/>
    <w:rsid w:val="00FC0EFC"/>
    <w:rsid w:val="00FC1943"/>
    <w:rsid w:val="00FC1A34"/>
    <w:rsid w:val="00FC281C"/>
    <w:rsid w:val="00FC29FA"/>
    <w:rsid w:val="00FC2ABB"/>
    <w:rsid w:val="00FC2D97"/>
    <w:rsid w:val="00FC3D57"/>
    <w:rsid w:val="00FC3E35"/>
    <w:rsid w:val="00FC3EB4"/>
    <w:rsid w:val="00FC40BD"/>
    <w:rsid w:val="00FC4437"/>
    <w:rsid w:val="00FC4451"/>
    <w:rsid w:val="00FC47E3"/>
    <w:rsid w:val="00FC4995"/>
    <w:rsid w:val="00FC4A32"/>
    <w:rsid w:val="00FC4AB6"/>
    <w:rsid w:val="00FC4F5A"/>
    <w:rsid w:val="00FC51B2"/>
    <w:rsid w:val="00FC51B8"/>
    <w:rsid w:val="00FC52E2"/>
    <w:rsid w:val="00FC55D4"/>
    <w:rsid w:val="00FC5DB0"/>
    <w:rsid w:val="00FC5FD1"/>
    <w:rsid w:val="00FC65D1"/>
    <w:rsid w:val="00FC662A"/>
    <w:rsid w:val="00FC6A0F"/>
    <w:rsid w:val="00FC6C2D"/>
    <w:rsid w:val="00FC71AC"/>
    <w:rsid w:val="00FC722F"/>
    <w:rsid w:val="00FC78CE"/>
    <w:rsid w:val="00FC7AEC"/>
    <w:rsid w:val="00FC7D09"/>
    <w:rsid w:val="00FD0305"/>
    <w:rsid w:val="00FD0921"/>
    <w:rsid w:val="00FD0DB4"/>
    <w:rsid w:val="00FD14FB"/>
    <w:rsid w:val="00FD16AB"/>
    <w:rsid w:val="00FD1B0D"/>
    <w:rsid w:val="00FD1B5C"/>
    <w:rsid w:val="00FD1F51"/>
    <w:rsid w:val="00FD2046"/>
    <w:rsid w:val="00FD2B48"/>
    <w:rsid w:val="00FD2E04"/>
    <w:rsid w:val="00FD2E3A"/>
    <w:rsid w:val="00FD3286"/>
    <w:rsid w:val="00FD33FF"/>
    <w:rsid w:val="00FD3612"/>
    <w:rsid w:val="00FD38DC"/>
    <w:rsid w:val="00FD3B32"/>
    <w:rsid w:val="00FD44F7"/>
    <w:rsid w:val="00FD5304"/>
    <w:rsid w:val="00FD5991"/>
    <w:rsid w:val="00FD5B3C"/>
    <w:rsid w:val="00FD6457"/>
    <w:rsid w:val="00FD6828"/>
    <w:rsid w:val="00FD6C90"/>
    <w:rsid w:val="00FD6CD7"/>
    <w:rsid w:val="00FD6F54"/>
    <w:rsid w:val="00FD70C4"/>
    <w:rsid w:val="00FD71C1"/>
    <w:rsid w:val="00FD755E"/>
    <w:rsid w:val="00FD7CD3"/>
    <w:rsid w:val="00FE00C2"/>
    <w:rsid w:val="00FE050B"/>
    <w:rsid w:val="00FE1027"/>
    <w:rsid w:val="00FE1048"/>
    <w:rsid w:val="00FE119C"/>
    <w:rsid w:val="00FE1514"/>
    <w:rsid w:val="00FE16B4"/>
    <w:rsid w:val="00FE1ABB"/>
    <w:rsid w:val="00FE1BB7"/>
    <w:rsid w:val="00FE1D63"/>
    <w:rsid w:val="00FE1FA6"/>
    <w:rsid w:val="00FE2951"/>
    <w:rsid w:val="00FE2F8F"/>
    <w:rsid w:val="00FE2FEC"/>
    <w:rsid w:val="00FE36E3"/>
    <w:rsid w:val="00FE3851"/>
    <w:rsid w:val="00FE392A"/>
    <w:rsid w:val="00FE393A"/>
    <w:rsid w:val="00FE3A5A"/>
    <w:rsid w:val="00FE410C"/>
    <w:rsid w:val="00FE426D"/>
    <w:rsid w:val="00FE432A"/>
    <w:rsid w:val="00FE44C5"/>
    <w:rsid w:val="00FE4DFA"/>
    <w:rsid w:val="00FE4FEC"/>
    <w:rsid w:val="00FE61AF"/>
    <w:rsid w:val="00FE6A92"/>
    <w:rsid w:val="00FE6ABE"/>
    <w:rsid w:val="00FE6CE4"/>
    <w:rsid w:val="00FE6D01"/>
    <w:rsid w:val="00FE707D"/>
    <w:rsid w:val="00FE7393"/>
    <w:rsid w:val="00FE77D4"/>
    <w:rsid w:val="00FE7A9A"/>
    <w:rsid w:val="00FE7DCD"/>
    <w:rsid w:val="00FF049E"/>
    <w:rsid w:val="00FF0648"/>
    <w:rsid w:val="00FF0BB2"/>
    <w:rsid w:val="00FF0D35"/>
    <w:rsid w:val="00FF1021"/>
    <w:rsid w:val="00FF141F"/>
    <w:rsid w:val="00FF15CD"/>
    <w:rsid w:val="00FF19BC"/>
    <w:rsid w:val="00FF1A1F"/>
    <w:rsid w:val="00FF1AF6"/>
    <w:rsid w:val="00FF2027"/>
    <w:rsid w:val="00FF28CF"/>
    <w:rsid w:val="00FF29D6"/>
    <w:rsid w:val="00FF2CC4"/>
    <w:rsid w:val="00FF2D72"/>
    <w:rsid w:val="00FF2D7B"/>
    <w:rsid w:val="00FF31AA"/>
    <w:rsid w:val="00FF3390"/>
    <w:rsid w:val="00FF33AD"/>
    <w:rsid w:val="00FF365F"/>
    <w:rsid w:val="00FF406D"/>
    <w:rsid w:val="00FF4200"/>
    <w:rsid w:val="00FF4332"/>
    <w:rsid w:val="00FF4355"/>
    <w:rsid w:val="00FF4AA2"/>
    <w:rsid w:val="00FF4C84"/>
    <w:rsid w:val="00FF4DCB"/>
    <w:rsid w:val="00FF4E3B"/>
    <w:rsid w:val="00FF57BF"/>
    <w:rsid w:val="00FF5C2E"/>
    <w:rsid w:val="00FF5CE3"/>
    <w:rsid w:val="00FF6014"/>
    <w:rsid w:val="00FF605B"/>
    <w:rsid w:val="00FF63DA"/>
    <w:rsid w:val="00FF6A84"/>
    <w:rsid w:val="00FF6C1A"/>
    <w:rsid w:val="00FF6FC3"/>
    <w:rsid w:val="00FF7C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D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5F1473"/>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5F1473"/>
    <w:pPr>
      <w:keepNext/>
      <w:numPr>
        <w:numId w:val="5"/>
      </w:numPr>
      <w:ind w:right="1296"/>
      <w:outlineLvl w:val="0"/>
    </w:pPr>
    <w:rPr>
      <w:u w:val="single"/>
    </w:rPr>
  </w:style>
  <w:style w:type="paragraph" w:styleId="Heading2">
    <w:name w:val="heading 2"/>
    <w:basedOn w:val="Normal"/>
    <w:next w:val="Normal"/>
    <w:uiPriority w:val="99"/>
    <w:qFormat/>
    <w:locked/>
    <w:rsid w:val="005F1473"/>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5F1473"/>
    <w:pPr>
      <w:keepNext/>
      <w:numPr>
        <w:ilvl w:val="2"/>
        <w:numId w:val="5"/>
      </w:numPr>
      <w:spacing w:before="240" w:after="60"/>
      <w:outlineLvl w:val="2"/>
    </w:pPr>
    <w:rPr>
      <w:rFonts w:ascii="Arial" w:hAnsi="Arial"/>
      <w:sz w:val="24"/>
    </w:rPr>
  </w:style>
  <w:style w:type="paragraph" w:styleId="Heading4">
    <w:name w:val="heading 4"/>
    <w:basedOn w:val="Heading3"/>
    <w:next w:val="Normal"/>
    <w:link w:val="Heading4Char"/>
    <w:uiPriority w:val="9"/>
    <w:unhideWhenUsed/>
    <w:qFormat/>
    <w:locked/>
    <w:rsid w:val="004358A9"/>
    <w:pPr>
      <w:keepLines/>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s>
      <w:spacing w:before="120" w:after="120" w:line="240" w:lineRule="auto"/>
      <w:ind w:right="0"/>
      <w:outlineLvl w:val="3"/>
    </w:pPr>
    <w:rPr>
      <w:rFonts w:eastAsiaTheme="majorEastAsia" w:cstheme="majorBidi"/>
      <w:bCs/>
      <w:i/>
      <w:kern w:val="2"/>
      <w:sz w:val="22"/>
      <w:szCs w:val="22"/>
      <w:lang w:eastAsia="en-US"/>
      <w14:ligatures w14:val="standardContextual"/>
    </w:rPr>
  </w:style>
  <w:style w:type="character" w:default="1" w:styleId="DefaultParagraphFont">
    <w:name w:val="Default Paragraph Font"/>
    <w:uiPriority w:val="1"/>
    <w:semiHidden/>
    <w:unhideWhenUsed/>
    <w:rsid w:val="005F14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1473"/>
  </w:style>
  <w:style w:type="paragraph" w:styleId="Footer">
    <w:name w:val="footer"/>
    <w:basedOn w:val="Normal"/>
    <w:link w:val="FooterChar"/>
    <w:uiPriority w:val="43"/>
    <w:locked/>
    <w:rsid w:val="005F1473"/>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F1473"/>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5F1473"/>
    <w:pPr>
      <w:spacing w:before="240" w:line="240" w:lineRule="exact"/>
      <w:ind w:left="720" w:right="794" w:firstLine="0"/>
    </w:pPr>
  </w:style>
  <w:style w:type="paragraph" w:styleId="FootnoteText">
    <w:name w:val="footnote text"/>
    <w:basedOn w:val="Normal"/>
    <w:link w:val="FootnoteTextChar"/>
    <w:uiPriority w:val="53"/>
    <w:locked/>
    <w:rsid w:val="005F1473"/>
    <w:pPr>
      <w:spacing w:after="240" w:line="240" w:lineRule="exact"/>
      <w:ind w:left="510" w:hanging="510"/>
    </w:pPr>
  </w:style>
  <w:style w:type="character" w:styleId="FootnoteReference">
    <w:name w:val="footnote reference"/>
    <w:uiPriority w:val="51"/>
    <w:locked/>
    <w:rsid w:val="005F1473"/>
    <w:rPr>
      <w:b/>
      <w:sz w:val="28"/>
      <w:vertAlign w:val="superscript"/>
    </w:rPr>
  </w:style>
  <w:style w:type="paragraph" w:customStyle="1" w:styleId="FootIndAgain">
    <w:name w:val="FootIndAgain"/>
    <w:basedOn w:val="FootnoteText"/>
    <w:uiPriority w:val="47"/>
    <w:qFormat/>
    <w:locked/>
    <w:rsid w:val="005F1473"/>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F1473"/>
    <w:pPr>
      <w:ind w:firstLine="0"/>
    </w:pPr>
  </w:style>
  <w:style w:type="character" w:customStyle="1" w:styleId="Heading1Char">
    <w:name w:val="Heading 1 Char"/>
    <w:uiPriority w:val="99"/>
    <w:semiHidden/>
    <w:locked/>
    <w:rsid w:val="005F1473"/>
    <w:rPr>
      <w:rFonts w:ascii="Univers" w:hAnsi="Univers"/>
      <w:sz w:val="26"/>
      <w:u w:val="single"/>
      <w:lang w:val="en-AU"/>
    </w:rPr>
  </w:style>
  <w:style w:type="character" w:customStyle="1" w:styleId="Heading2Char">
    <w:name w:val="Heading 2 Char"/>
    <w:uiPriority w:val="99"/>
    <w:semiHidden/>
    <w:locked/>
    <w:rsid w:val="005F1473"/>
    <w:rPr>
      <w:rFonts w:ascii="Arial" w:hAnsi="Arial"/>
      <w:b/>
      <w:i/>
      <w:sz w:val="24"/>
      <w:lang w:val="en-AU"/>
    </w:rPr>
  </w:style>
  <w:style w:type="character" w:customStyle="1" w:styleId="Heading3Char">
    <w:name w:val="Heading 3 Char"/>
    <w:uiPriority w:val="99"/>
    <w:semiHidden/>
    <w:locked/>
    <w:rsid w:val="005F1473"/>
    <w:rPr>
      <w:rFonts w:ascii="Arial" w:hAnsi="Arial"/>
      <w:sz w:val="24"/>
      <w:lang w:val="en-AU"/>
    </w:rPr>
  </w:style>
  <w:style w:type="paragraph" w:customStyle="1" w:styleId="NormalHC">
    <w:name w:val="Normal HC"/>
    <w:basedOn w:val="Normal"/>
    <w:uiPriority w:val="27"/>
    <w:qFormat/>
    <w:locked/>
    <w:rsid w:val="005F1473"/>
    <w:pPr>
      <w:numPr>
        <w:numId w:val="16"/>
      </w:numPr>
      <w:spacing w:after="480"/>
      <w:ind w:left="0" w:hanging="720"/>
    </w:pPr>
  </w:style>
  <w:style w:type="paragraph" w:customStyle="1" w:styleId="HeadingFirst">
    <w:name w:val="Heading First"/>
    <w:basedOn w:val="NormalHC"/>
    <w:next w:val="HeadingV"/>
    <w:uiPriority w:val="15"/>
    <w:qFormat/>
    <w:locked/>
    <w:rsid w:val="005F1473"/>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1473"/>
    <w:pPr>
      <w:keepNext/>
      <w:numPr>
        <w:numId w:val="0"/>
      </w:numPr>
      <w:outlineLvl w:val="2"/>
    </w:pPr>
    <w:rPr>
      <w:b/>
      <w:szCs w:val="20"/>
    </w:rPr>
  </w:style>
  <w:style w:type="paragraph" w:customStyle="1" w:styleId="HeadingL2">
    <w:name w:val="Heading L2"/>
    <w:basedOn w:val="HeadingL1"/>
    <w:next w:val="NormalHC"/>
    <w:uiPriority w:val="23"/>
    <w:qFormat/>
    <w:locked/>
    <w:rsid w:val="005F1473"/>
    <w:pPr>
      <w:outlineLvl w:val="3"/>
    </w:pPr>
    <w:rPr>
      <w:b w:val="0"/>
      <w:i/>
    </w:rPr>
  </w:style>
  <w:style w:type="paragraph" w:customStyle="1" w:styleId="HeadingMatter">
    <w:name w:val="Heading Matter"/>
    <w:basedOn w:val="NormalHC"/>
    <w:next w:val="HeadingFirst"/>
    <w:uiPriority w:val="13"/>
    <w:qFormat/>
    <w:locked/>
    <w:rsid w:val="005F1473"/>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5F1473"/>
    <w:pPr>
      <w:keepNext w:val="0"/>
    </w:pPr>
  </w:style>
  <w:style w:type="paragraph" w:customStyle="1" w:styleId="HeadingV">
    <w:name w:val="Heading V"/>
    <w:basedOn w:val="HeadingFirst"/>
    <w:next w:val="HeadingSecond"/>
    <w:uiPriority w:val="17"/>
    <w:qFormat/>
    <w:locked/>
    <w:rsid w:val="005F1473"/>
    <w:rPr>
      <w:caps w:val="0"/>
      <w:u w:val="none"/>
    </w:rPr>
  </w:style>
  <w:style w:type="paragraph" w:customStyle="1" w:styleId="LeftrightafterHC">
    <w:name w:val="Leftright after HC"/>
    <w:basedOn w:val="Normal"/>
    <w:next w:val="leftright"/>
    <w:uiPriority w:val="31"/>
    <w:qFormat/>
    <w:locked/>
    <w:rsid w:val="005F1473"/>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5F1473"/>
    <w:pPr>
      <w:ind w:firstLine="720"/>
    </w:pPr>
  </w:style>
  <w:style w:type="paragraph" w:customStyle="1" w:styleId="LeftrightHanging">
    <w:name w:val="LeftrightHanging"/>
    <w:basedOn w:val="NormalHC"/>
    <w:uiPriority w:val="35"/>
    <w:qFormat/>
    <w:locked/>
    <w:rsid w:val="005F1473"/>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5F1473"/>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5F1473"/>
    <w:pPr>
      <w:spacing w:before="200"/>
      <w:ind w:left="2160"/>
    </w:pPr>
  </w:style>
  <w:style w:type="paragraph" w:customStyle="1" w:styleId="NormalafterHd2nd">
    <w:name w:val="Normal after Hd2nd"/>
    <w:basedOn w:val="NormalHC"/>
    <w:next w:val="NormalHC"/>
    <w:uiPriority w:val="29"/>
    <w:locked/>
    <w:rsid w:val="005F1473"/>
    <w:pPr>
      <w:numPr>
        <w:numId w:val="0"/>
      </w:numPr>
      <w:spacing w:before="1000"/>
    </w:pPr>
  </w:style>
  <w:style w:type="character" w:customStyle="1" w:styleId="NormalHCChar">
    <w:name w:val="Normal HC Char"/>
    <w:uiPriority w:val="99"/>
    <w:semiHidden/>
    <w:locked/>
    <w:rsid w:val="005F1473"/>
    <w:rPr>
      <w:rFonts w:ascii="Univers" w:hAnsi="Univers"/>
      <w:sz w:val="26"/>
      <w:szCs w:val="26"/>
    </w:rPr>
  </w:style>
  <w:style w:type="character" w:customStyle="1" w:styleId="StyleFootnoteReferenceChar">
    <w:name w:val="Style Footnote Reference Char"/>
    <w:uiPriority w:val="99"/>
    <w:semiHidden/>
    <w:locked/>
    <w:rsid w:val="005F1473"/>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5F1473"/>
  </w:style>
  <w:style w:type="paragraph" w:customStyle="1" w:styleId="HeadingJudgment">
    <w:name w:val="Heading Judgment"/>
    <w:basedOn w:val="Normal"/>
    <w:uiPriority w:val="59"/>
    <w:qFormat/>
    <w:locked/>
    <w:rsid w:val="005F1473"/>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5F1473"/>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5F1473"/>
    <w:pPr>
      <w:outlineLvl w:val="4"/>
    </w:pPr>
    <w:rPr>
      <w:b w:val="0"/>
    </w:rPr>
  </w:style>
  <w:style w:type="character" w:styleId="PageNumber">
    <w:name w:val="page number"/>
    <w:basedOn w:val="DefaultParagraphFont"/>
    <w:uiPriority w:val="57"/>
    <w:locked/>
    <w:rsid w:val="005F1473"/>
  </w:style>
  <w:style w:type="paragraph" w:styleId="BalloonText">
    <w:name w:val="Balloon Text"/>
    <w:basedOn w:val="Normal"/>
    <w:link w:val="BalloonTextChar"/>
    <w:semiHidden/>
    <w:locked/>
    <w:rsid w:val="005F1473"/>
    <w:rPr>
      <w:rFonts w:ascii="Tahoma" w:hAnsi="Tahoma" w:cs="Tahoma"/>
      <w:sz w:val="16"/>
      <w:szCs w:val="16"/>
      <w:lang w:eastAsia="en-US"/>
    </w:rPr>
  </w:style>
  <w:style w:type="character" w:customStyle="1" w:styleId="BalloonTextChar">
    <w:name w:val="Balloon Text Char"/>
    <w:basedOn w:val="DefaultParagraphFont"/>
    <w:link w:val="BalloonText"/>
    <w:semiHidden/>
    <w:rsid w:val="005F1473"/>
    <w:rPr>
      <w:rFonts w:ascii="Tahoma" w:hAnsi="Tahoma" w:cs="Tahoma"/>
      <w:sz w:val="16"/>
      <w:szCs w:val="16"/>
      <w:lang w:eastAsia="en-US"/>
    </w:rPr>
  </w:style>
  <w:style w:type="paragraph" w:customStyle="1" w:styleId="ClosingText">
    <w:name w:val="Closing Text"/>
    <w:basedOn w:val="Normal"/>
    <w:uiPriority w:val="98"/>
    <w:semiHidden/>
    <w:qFormat/>
    <w:locked/>
    <w:rsid w:val="005F1473"/>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1473"/>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1473"/>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1473"/>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5F1473"/>
    <w:rPr>
      <w:szCs w:val="20"/>
      <w:lang w:eastAsia="en-US"/>
    </w:rPr>
  </w:style>
  <w:style w:type="paragraph" w:customStyle="1" w:styleId="NormalBody">
    <w:name w:val="Normal Body"/>
    <w:basedOn w:val="NormalHC"/>
    <w:uiPriority w:val="28"/>
    <w:qFormat/>
    <w:locked/>
    <w:rsid w:val="005F1473"/>
    <w:pPr>
      <w:numPr>
        <w:numId w:val="0"/>
      </w:numPr>
    </w:pPr>
    <w:rPr>
      <w:lang w:eastAsia="en-US"/>
    </w:rPr>
  </w:style>
  <w:style w:type="paragraph" w:customStyle="1" w:styleId="StyleFootnoteReference">
    <w:name w:val="Style Footnote Reference"/>
    <w:basedOn w:val="Normal"/>
    <w:next w:val="Normal"/>
    <w:semiHidden/>
    <w:rsid w:val="005F1473"/>
    <w:rPr>
      <w:vertAlign w:val="superscript"/>
      <w:lang w:eastAsia="en-US"/>
    </w:rPr>
  </w:style>
  <w:style w:type="paragraph" w:styleId="ListNumber">
    <w:name w:val="List Number"/>
    <w:basedOn w:val="Normal"/>
    <w:uiPriority w:val="56"/>
    <w:locked/>
    <w:rsid w:val="005F1473"/>
    <w:pPr>
      <w:numPr>
        <w:numId w:val="11"/>
      </w:numPr>
      <w:contextualSpacing/>
    </w:pPr>
  </w:style>
  <w:style w:type="paragraph" w:customStyle="1" w:styleId="FixListStyle">
    <w:name w:val="FixListStyle"/>
    <w:basedOn w:val="Normal"/>
    <w:uiPriority w:val="99"/>
    <w:qFormat/>
    <w:rsid w:val="005F1473"/>
    <w:pPr>
      <w:numPr>
        <w:numId w:val="19"/>
      </w:numPr>
      <w:spacing w:after="480"/>
      <w:ind w:left="0" w:hanging="720"/>
    </w:pPr>
  </w:style>
  <w:style w:type="paragraph" w:customStyle="1" w:styleId="CatchwordsBold">
    <w:name w:val="Catchwords Bold"/>
    <w:basedOn w:val="Normal"/>
    <w:link w:val="CatchwordsBoldChar"/>
    <w:qFormat/>
    <w:rsid w:val="005F1473"/>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5F1473"/>
    <w:rPr>
      <w:rFonts w:ascii="Times New Roman" w:hAnsi="Times New Roman"/>
      <w:b/>
      <w:szCs w:val="20"/>
    </w:rPr>
  </w:style>
  <w:style w:type="paragraph" w:customStyle="1" w:styleId="CatchwordsRight">
    <w:name w:val="Catchwords Right"/>
    <w:basedOn w:val="Normal"/>
    <w:link w:val="CatchwordsRightChar"/>
    <w:qFormat/>
    <w:rsid w:val="005F1473"/>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5F1473"/>
    <w:rPr>
      <w:rFonts w:ascii="Times New Roman" w:hAnsi="Times New Roman"/>
      <w:szCs w:val="20"/>
    </w:rPr>
  </w:style>
  <w:style w:type="paragraph" w:customStyle="1" w:styleId="CatchwordsText">
    <w:name w:val="Catchwords Text"/>
    <w:basedOn w:val="Normal"/>
    <w:link w:val="CatchwordsTextChar"/>
    <w:qFormat/>
    <w:rsid w:val="005F1473"/>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5F1473"/>
    <w:rPr>
      <w:rFonts w:ascii="Times New Roman" w:hAnsi="Times New Roman"/>
      <w:szCs w:val="20"/>
    </w:rPr>
  </w:style>
  <w:style w:type="paragraph" w:customStyle="1" w:styleId="CenteredBorder">
    <w:name w:val="Centered Border"/>
    <w:qFormat/>
    <w:rsid w:val="005F1473"/>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5F1473"/>
    <w:pPr>
      <w:jc w:val="center"/>
    </w:pPr>
    <w:rPr>
      <w:rFonts w:ascii="Times New Roman" w:hAnsi="Times New Roman"/>
      <w:b/>
      <w:bCs/>
      <w:szCs w:val="20"/>
      <w:lang w:val="en-GB"/>
    </w:rPr>
  </w:style>
  <w:style w:type="character" w:customStyle="1" w:styleId="OrderCentred">
    <w:name w:val="Order Centred"/>
    <w:semiHidden/>
    <w:rsid w:val="005F1473"/>
    <w:rPr>
      <w:b/>
      <w:bCs/>
      <w:sz w:val="26"/>
    </w:rPr>
  </w:style>
  <w:style w:type="paragraph" w:customStyle="1" w:styleId="OrdersTopLine">
    <w:name w:val="Orders TopLine"/>
    <w:qFormat/>
    <w:rsid w:val="005F1473"/>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5F147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5F147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5F1473"/>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5F1473"/>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5F1473"/>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5F1473"/>
    <w:rPr>
      <w:rFonts w:ascii="Times New Roman" w:hAnsi="Times New Roman"/>
      <w:i/>
      <w:lang w:eastAsia="en-US"/>
    </w:rPr>
  </w:style>
  <w:style w:type="paragraph" w:customStyle="1" w:styleId="OrdersIndentLevel2i">
    <w:name w:val="Orders Indent Level 2 (i)"/>
    <w:basedOn w:val="Normal"/>
    <w:link w:val="OrdersIndentLevel2iChar"/>
    <w:qFormat/>
    <w:rsid w:val="005F1473"/>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5F1473"/>
    <w:rPr>
      <w:rFonts w:ascii="Times New Roman" w:hAnsi="Times New Roman"/>
      <w:i/>
      <w:lang w:eastAsia="en-US"/>
    </w:rPr>
  </w:style>
  <w:style w:type="paragraph" w:customStyle="1" w:styleId="OrdersMatter">
    <w:name w:val="Orders Matter"/>
    <w:basedOn w:val="OrderCentreBold"/>
    <w:link w:val="OrdersMatterChar"/>
    <w:qFormat/>
    <w:rsid w:val="005F1473"/>
  </w:style>
  <w:style w:type="character" w:customStyle="1" w:styleId="OrdersMatterChar">
    <w:name w:val="Orders Matter Char"/>
    <w:link w:val="OrdersMatter"/>
    <w:rsid w:val="005F1473"/>
    <w:rPr>
      <w:rFonts w:ascii="Times New Roman" w:hAnsi="Times New Roman"/>
      <w:b/>
      <w:bCs/>
      <w:szCs w:val="20"/>
      <w:lang w:val="en-GB"/>
    </w:rPr>
  </w:style>
  <w:style w:type="paragraph" w:customStyle="1" w:styleId="OrdersNotice">
    <w:name w:val="Orders Notice"/>
    <w:rsid w:val="005F1473"/>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5F1473"/>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5F1473"/>
    <w:rPr>
      <w:rFonts w:ascii="Times New Roman" w:hAnsi="Times New Roman"/>
      <w:szCs w:val="20"/>
      <w:lang w:eastAsia="en-US"/>
    </w:rPr>
  </w:style>
  <w:style w:type="paragraph" w:customStyle="1" w:styleId="OrdersText">
    <w:name w:val="Orders Text"/>
    <w:basedOn w:val="Normal"/>
    <w:link w:val="OrdersTextChar"/>
    <w:qFormat/>
    <w:rsid w:val="005F1473"/>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5F1473"/>
    <w:rPr>
      <w:rFonts w:ascii="Times New Roman" w:hAnsi="Times New Roman"/>
      <w:i/>
      <w:lang w:eastAsia="en-US"/>
    </w:rPr>
  </w:style>
  <w:style w:type="paragraph" w:customStyle="1" w:styleId="OrdersCenteredBorder">
    <w:name w:val="Orders Centered Border"/>
    <w:qFormat/>
    <w:rsid w:val="005F1473"/>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5F1473"/>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5F1473"/>
    <w:rPr>
      <w:rFonts w:ascii="Times New Roman" w:hAnsi="Times New Roman"/>
      <w:szCs w:val="20"/>
    </w:rPr>
  </w:style>
  <w:style w:type="paragraph" w:customStyle="1" w:styleId="LRHangingafterHC">
    <w:name w:val="LR Hanging after HC"/>
    <w:basedOn w:val="Normal"/>
    <w:next w:val="LeftrightHanging"/>
    <w:uiPriority w:val="99"/>
    <w:qFormat/>
    <w:rsid w:val="005F1473"/>
    <w:pPr>
      <w:spacing w:before="720" w:line="240" w:lineRule="exact"/>
      <w:ind w:left="1440" w:right="794" w:hanging="720"/>
    </w:pPr>
  </w:style>
  <w:style w:type="character" w:styleId="CommentReference">
    <w:name w:val="annotation reference"/>
    <w:basedOn w:val="DefaultParagraphFont"/>
    <w:uiPriority w:val="99"/>
    <w:semiHidden/>
    <w:unhideWhenUsed/>
    <w:locked/>
    <w:rsid w:val="00CA3A7B"/>
    <w:rPr>
      <w:sz w:val="16"/>
      <w:szCs w:val="16"/>
    </w:rPr>
  </w:style>
  <w:style w:type="paragraph" w:styleId="CommentText">
    <w:name w:val="annotation text"/>
    <w:basedOn w:val="Normal"/>
    <w:link w:val="CommentTextChar"/>
    <w:uiPriority w:val="99"/>
    <w:unhideWhenUsed/>
    <w:locked/>
    <w:rsid w:val="00CA3A7B"/>
    <w:pPr>
      <w:spacing w:line="240" w:lineRule="auto"/>
    </w:pPr>
    <w:rPr>
      <w:sz w:val="20"/>
      <w:szCs w:val="20"/>
    </w:rPr>
  </w:style>
  <w:style w:type="character" w:customStyle="1" w:styleId="CommentTextChar">
    <w:name w:val="Comment Text Char"/>
    <w:basedOn w:val="DefaultParagraphFont"/>
    <w:link w:val="CommentText"/>
    <w:uiPriority w:val="99"/>
    <w:rsid w:val="00CA3A7B"/>
    <w:rPr>
      <w:sz w:val="20"/>
      <w:szCs w:val="20"/>
    </w:rPr>
  </w:style>
  <w:style w:type="paragraph" w:styleId="CommentSubject">
    <w:name w:val="annotation subject"/>
    <w:basedOn w:val="CommentText"/>
    <w:next w:val="CommentText"/>
    <w:link w:val="CommentSubjectChar"/>
    <w:uiPriority w:val="99"/>
    <w:semiHidden/>
    <w:unhideWhenUsed/>
    <w:locked/>
    <w:rsid w:val="00CA3A7B"/>
    <w:rPr>
      <w:b/>
      <w:bCs/>
    </w:rPr>
  </w:style>
  <w:style w:type="character" w:customStyle="1" w:styleId="CommentSubjectChar">
    <w:name w:val="Comment Subject Char"/>
    <w:basedOn w:val="CommentTextChar"/>
    <w:link w:val="CommentSubject"/>
    <w:uiPriority w:val="99"/>
    <w:semiHidden/>
    <w:rsid w:val="00CA3A7B"/>
    <w:rPr>
      <w:b/>
      <w:bCs/>
      <w:sz w:val="20"/>
      <w:szCs w:val="20"/>
    </w:rPr>
  </w:style>
  <w:style w:type="character" w:customStyle="1" w:styleId="FootnoteTextChar">
    <w:name w:val="Footnote Text Char"/>
    <w:basedOn w:val="DefaultParagraphFont"/>
    <w:link w:val="FootnoteText"/>
    <w:uiPriority w:val="53"/>
    <w:rsid w:val="0075311A"/>
  </w:style>
  <w:style w:type="paragraph" w:customStyle="1" w:styleId="NoNorm">
    <w:name w:val="No Norm"/>
    <w:basedOn w:val="Normal"/>
    <w:qFormat/>
    <w:rsid w:val="0075311A"/>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75311A"/>
    <w:pPr>
      <w:tabs>
        <w:tab w:val="clear" w:pos="2160"/>
        <w:tab w:val="left" w:pos="1418"/>
      </w:tabs>
      <w:ind w:left="1418" w:hanging="709"/>
    </w:pPr>
  </w:style>
  <w:style w:type="paragraph" w:customStyle="1" w:styleId="Indentlista">
    <w:name w:val="Indent list a)"/>
    <w:basedOn w:val="Noindentnormal"/>
    <w:qFormat/>
    <w:rsid w:val="0075311A"/>
    <w:pPr>
      <w:tabs>
        <w:tab w:val="left" w:pos="2268"/>
      </w:tabs>
      <w:spacing w:before="60"/>
      <w:ind w:left="2268" w:hanging="567"/>
    </w:pPr>
  </w:style>
  <w:style w:type="paragraph" w:styleId="EndnoteText">
    <w:name w:val="endnote text"/>
    <w:basedOn w:val="Normal"/>
    <w:link w:val="EndnoteTextChar"/>
    <w:uiPriority w:val="99"/>
    <w:semiHidden/>
    <w:unhideWhenUsed/>
    <w:locked/>
    <w:rsid w:val="008A0240"/>
    <w:pPr>
      <w:spacing w:line="240" w:lineRule="auto"/>
    </w:pPr>
    <w:rPr>
      <w:sz w:val="20"/>
      <w:szCs w:val="20"/>
    </w:rPr>
  </w:style>
  <w:style w:type="character" w:customStyle="1" w:styleId="EndnoteTextChar">
    <w:name w:val="Endnote Text Char"/>
    <w:basedOn w:val="DefaultParagraphFont"/>
    <w:link w:val="EndnoteText"/>
    <w:uiPriority w:val="99"/>
    <w:semiHidden/>
    <w:rsid w:val="008A0240"/>
    <w:rPr>
      <w:sz w:val="20"/>
      <w:szCs w:val="20"/>
    </w:rPr>
  </w:style>
  <w:style w:type="character" w:styleId="EndnoteReference">
    <w:name w:val="endnote reference"/>
    <w:basedOn w:val="DefaultParagraphFont"/>
    <w:uiPriority w:val="99"/>
    <w:semiHidden/>
    <w:unhideWhenUsed/>
    <w:locked/>
    <w:rsid w:val="008A0240"/>
    <w:rPr>
      <w:vertAlign w:val="superscript"/>
    </w:rPr>
  </w:style>
  <w:style w:type="character" w:customStyle="1" w:styleId="Heading4Char">
    <w:name w:val="Heading 4 Char"/>
    <w:basedOn w:val="DefaultParagraphFont"/>
    <w:link w:val="Heading4"/>
    <w:uiPriority w:val="9"/>
    <w:rsid w:val="004358A9"/>
    <w:rPr>
      <w:rFonts w:ascii="Arial" w:eastAsiaTheme="majorEastAsia" w:hAnsi="Arial" w:cstheme="majorBidi"/>
      <w:bCs/>
      <w:i/>
      <w:kern w:val="2"/>
      <w:sz w:val="22"/>
      <w:szCs w:val="22"/>
      <w:lang w:eastAsia="en-US"/>
      <w14:ligatures w14:val="standardContextual"/>
    </w:rPr>
  </w:style>
  <w:style w:type="paragraph" w:styleId="Revision">
    <w:name w:val="Revision"/>
    <w:hidden/>
    <w:uiPriority w:val="99"/>
    <w:semiHidden/>
    <w:rsid w:val="00696BC2"/>
  </w:style>
  <w:style w:type="table" w:styleId="TableGrid">
    <w:name w:val="Table Grid"/>
    <w:basedOn w:val="TableNormal"/>
    <w:uiPriority w:val="59"/>
    <w:locked/>
    <w:rsid w:val="00376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FF2CC4"/>
    <w:rPr>
      <w:color w:val="0000FF" w:themeColor="hyperlink"/>
      <w:u w:val="single"/>
    </w:rPr>
  </w:style>
  <w:style w:type="character" w:styleId="UnresolvedMention">
    <w:name w:val="Unresolved Mention"/>
    <w:basedOn w:val="DefaultParagraphFont"/>
    <w:uiPriority w:val="99"/>
    <w:semiHidden/>
    <w:unhideWhenUsed/>
    <w:rsid w:val="00FF2CC4"/>
    <w:rPr>
      <w:color w:val="605E5C"/>
      <w:shd w:val="clear" w:color="auto" w:fill="E1DFDD"/>
    </w:rPr>
  </w:style>
  <w:style w:type="paragraph" w:styleId="PlainText">
    <w:name w:val="Plain Text"/>
    <w:basedOn w:val="Normal"/>
    <w:link w:val="PlainTextChar"/>
    <w:uiPriority w:val="99"/>
    <w:semiHidden/>
    <w:unhideWhenUsed/>
    <w:locked/>
    <w:rsid w:val="00960529"/>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pPr>
    <w:rPr>
      <w:rFonts w:ascii="Calibr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semiHidden/>
    <w:rsid w:val="00960529"/>
    <w:rPr>
      <w:rFonts w:ascii="Calibri" w:hAnsi="Calibri" w:cstheme="minorBidi"/>
      <w:kern w:val="2"/>
      <w:sz w:val="22"/>
      <w:szCs w:val="21"/>
      <w:lang w:eastAsia="en-US"/>
      <w14:ligatures w14:val="standardContextual"/>
    </w:rPr>
  </w:style>
  <w:style w:type="paragraph" w:customStyle="1" w:styleId="Body">
    <w:name w:val="Body"/>
    <w:basedOn w:val="Normal"/>
    <w:qFormat/>
    <w:rsid w:val="00580BF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580BF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580BF2"/>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580BF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580BF2"/>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580BF2"/>
    <w:pPr>
      <w:jc w:val="center"/>
    </w:pPr>
    <w:rPr>
      <w:rFonts w:ascii="Times New Roman" w:hAnsi="Times New Roman"/>
      <w:bCs/>
      <w:szCs w:val="20"/>
      <w:lang w:val="en-GB"/>
    </w:rPr>
  </w:style>
  <w:style w:type="paragraph" w:customStyle="1" w:styleId="Default">
    <w:name w:val="Default"/>
    <w:rsid w:val="003736E5"/>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B5500311-1581-4B1E-BEF2-49E9947DD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71</Pages>
  <Words>22224</Words>
  <Characters>116454</Characters>
  <Application>Microsoft Office Word</Application>
  <DocSecurity>0</DocSecurity>
  <Lines>2007</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2026-04-14T05:10:00Z</dcterms:created>
  <dcterms:modified xsi:type="dcterms:W3CDTF">2026-04-14T23:43:00Z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