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6549" w14:textId="77777777" w:rsidR="00D02F09" w:rsidRPr="00704FF8" w:rsidRDefault="00D02F09" w:rsidP="00704FF8">
      <w:pPr>
        <w:pStyle w:val="OrdersTopLine"/>
      </w:pPr>
      <w:r w:rsidRPr="00704FF8">
        <w:t>HIGH COURT OF AUSTRALIA</w:t>
      </w:r>
    </w:p>
    <w:p w14:paraId="111296C9" w14:textId="77777777" w:rsidR="00D02F09" w:rsidRPr="00704FF8" w:rsidRDefault="00D02F09" w:rsidP="00704FF8">
      <w:pPr>
        <w:pStyle w:val="OrderCentre"/>
      </w:pPr>
    </w:p>
    <w:p w14:paraId="112F5AC3" w14:textId="77777777" w:rsidR="00D02F09" w:rsidRPr="00C46004" w:rsidRDefault="00D02F09" w:rsidP="00704FF8">
      <w:pPr>
        <w:pStyle w:val="OrderCentre"/>
        <w:rPr>
          <w:spacing w:val="-4"/>
          <w:sz w:val="24"/>
          <w:szCs w:val="24"/>
        </w:rPr>
      </w:pPr>
      <w:r w:rsidRPr="00C46004">
        <w:rPr>
          <w:spacing w:val="-4"/>
          <w:sz w:val="24"/>
          <w:szCs w:val="24"/>
        </w:rPr>
        <w:t>GAGELER CJ,</w:t>
      </w:r>
    </w:p>
    <w:p w14:paraId="60B9B817" w14:textId="77777777" w:rsidR="00D02F09" w:rsidRPr="00704FF8" w:rsidRDefault="00D02F09" w:rsidP="00704FF8">
      <w:pPr>
        <w:pStyle w:val="OrderCentre"/>
      </w:pPr>
      <w:r w:rsidRPr="00C46004">
        <w:rPr>
          <w:spacing w:val="-4"/>
          <w:sz w:val="24"/>
          <w:szCs w:val="24"/>
        </w:rPr>
        <w:t>GORDON, EDELMAN, GLEESON AND BEECH</w:t>
      </w:r>
      <w:r w:rsidRPr="00C46004">
        <w:rPr>
          <w:spacing w:val="-4"/>
          <w:sz w:val="24"/>
          <w:szCs w:val="24"/>
        </w:rPr>
        <w:noBreakHyphen/>
        <w:t>JONES JJ</w:t>
      </w:r>
    </w:p>
    <w:p w14:paraId="4FD82E9C" w14:textId="77777777" w:rsidR="00D02F09" w:rsidRPr="00427F3A" w:rsidRDefault="00D02F09" w:rsidP="00EE5374">
      <w:pPr>
        <w:pStyle w:val="Centre"/>
        <w:rPr>
          <w:lang w:val="en-AU"/>
        </w:rPr>
      </w:pPr>
    </w:p>
    <w:p w14:paraId="3380F1DC" w14:textId="77777777" w:rsidR="00D02F09" w:rsidRPr="00704FF8" w:rsidRDefault="00D02F09" w:rsidP="00704FF8">
      <w:pPr>
        <w:pStyle w:val="OrdersCenteredBorder"/>
      </w:pPr>
    </w:p>
    <w:p w14:paraId="74CB60EE" w14:textId="77777777" w:rsidR="00D02F09" w:rsidRPr="00704FF8" w:rsidRDefault="00D02F09" w:rsidP="0032341F">
      <w:pPr>
        <w:pStyle w:val="OrdersBodyHeading"/>
      </w:pPr>
    </w:p>
    <w:p w14:paraId="39528CC3" w14:textId="77777777" w:rsidR="00D02F09" w:rsidRDefault="00D02F09" w:rsidP="00573F18">
      <w:pPr>
        <w:pStyle w:val="OrdersPartyName"/>
        <w:ind w:right="-1"/>
        <w:jc w:val="left"/>
      </w:pPr>
      <w:r w:rsidRPr="00E617DF">
        <w:t xml:space="preserve">MAYFIELD DEVELOPMENT CORPORATION </w:t>
      </w:r>
    </w:p>
    <w:p w14:paraId="2EEEE9E3" w14:textId="77777777" w:rsidR="00D02F09" w:rsidRPr="0032341F" w:rsidRDefault="00D02F09" w:rsidP="00573F18">
      <w:pPr>
        <w:pStyle w:val="OrdersPartyName"/>
        <w:ind w:right="-1"/>
        <w:jc w:val="left"/>
      </w:pPr>
      <w:r w:rsidRPr="00E617DF">
        <w:t>PTY LTD</w:t>
      </w:r>
      <w:r w:rsidRPr="0032341F">
        <w:tab/>
        <w:t>APPELLANT</w:t>
      </w:r>
    </w:p>
    <w:p w14:paraId="1E8F6329" w14:textId="77777777" w:rsidR="00D02F09" w:rsidRPr="0032341F" w:rsidRDefault="00D02F09" w:rsidP="00573F18">
      <w:pPr>
        <w:pStyle w:val="OrdersPartyName"/>
        <w:ind w:right="-1"/>
        <w:jc w:val="left"/>
      </w:pPr>
    </w:p>
    <w:p w14:paraId="7DDBF07C" w14:textId="77777777" w:rsidR="00D02F09" w:rsidRPr="0032341F" w:rsidRDefault="00D02F09" w:rsidP="00573F18">
      <w:pPr>
        <w:pStyle w:val="OrdersPartyName"/>
        <w:ind w:right="-1"/>
        <w:jc w:val="left"/>
      </w:pPr>
      <w:r w:rsidRPr="0032341F">
        <w:t>AND</w:t>
      </w:r>
    </w:p>
    <w:p w14:paraId="79A5C805" w14:textId="77777777" w:rsidR="00D02F09" w:rsidRPr="0032341F" w:rsidRDefault="00D02F09" w:rsidP="00573F18">
      <w:pPr>
        <w:pStyle w:val="OrdersPartyName"/>
        <w:ind w:right="-1"/>
        <w:jc w:val="left"/>
      </w:pPr>
    </w:p>
    <w:p w14:paraId="67F75522" w14:textId="77777777" w:rsidR="00D02F09" w:rsidRDefault="00D02F09" w:rsidP="00573F18">
      <w:pPr>
        <w:pStyle w:val="OrdersPartyName"/>
        <w:ind w:right="-1"/>
        <w:jc w:val="left"/>
      </w:pPr>
      <w:r w:rsidRPr="00E617DF">
        <w:t>NSW PORT OPERATIONS HOLD CO PTY LTD</w:t>
      </w:r>
      <w:r>
        <w:t xml:space="preserve"> </w:t>
      </w:r>
    </w:p>
    <w:p w14:paraId="1689FA28" w14:textId="77777777" w:rsidR="00D02F09" w:rsidRPr="0032341F" w:rsidRDefault="00D02F09" w:rsidP="00573F18">
      <w:pPr>
        <w:pStyle w:val="OrdersPartyName"/>
        <w:ind w:right="-1"/>
        <w:jc w:val="left"/>
      </w:pPr>
      <w:r w:rsidRPr="00E617DF">
        <w:t>&amp; ORS</w:t>
      </w:r>
      <w:r w:rsidRPr="0032341F">
        <w:tab/>
        <w:t>RESPONDENT</w:t>
      </w:r>
      <w:r>
        <w:t>S</w:t>
      </w:r>
    </w:p>
    <w:p w14:paraId="464E8D39" w14:textId="77777777" w:rsidR="00D02F09" w:rsidRPr="00427F3A" w:rsidRDefault="00D02F09" w:rsidP="00AF0A5E">
      <w:pPr>
        <w:pStyle w:val="BodyHeading"/>
      </w:pPr>
    </w:p>
    <w:p w14:paraId="4E8CA27E" w14:textId="77777777" w:rsidR="00D02F09" w:rsidRPr="00427F3A" w:rsidRDefault="00D02F09" w:rsidP="00BE0A6C">
      <w:pPr>
        <w:pStyle w:val="BodyHeading"/>
      </w:pPr>
    </w:p>
    <w:p w14:paraId="04428D00" w14:textId="77777777" w:rsidR="00D02F09" w:rsidRPr="00427F3A" w:rsidRDefault="00D02F09" w:rsidP="00EE5374">
      <w:pPr>
        <w:pStyle w:val="CentreItalics"/>
      </w:pPr>
      <w:r w:rsidRPr="00E617DF">
        <w:t>Mayfield Development Corporation Pty Ltd v NSW Port Operations Hold Co Pty Ltd</w:t>
      </w:r>
    </w:p>
    <w:p w14:paraId="0827E895" w14:textId="77777777" w:rsidR="00D02F09" w:rsidRPr="00427F3A" w:rsidRDefault="00D02F09" w:rsidP="00E90E4F">
      <w:pPr>
        <w:pStyle w:val="OrdersCentre"/>
      </w:pPr>
      <w:r>
        <w:t>[2026</w:t>
      </w:r>
      <w:r w:rsidRPr="00427F3A">
        <w:t xml:space="preserve">] HCA </w:t>
      </w:r>
      <w:r>
        <w:t>12</w:t>
      </w:r>
    </w:p>
    <w:p w14:paraId="7E125CB7" w14:textId="77777777" w:rsidR="00D02F09" w:rsidRDefault="00D02F09" w:rsidP="00E90E4F">
      <w:pPr>
        <w:pStyle w:val="OrdersCentreItalics"/>
      </w:pPr>
      <w:r>
        <w:t xml:space="preserve">Date of Hearing: </w:t>
      </w:r>
      <w:r w:rsidRPr="00E617DF">
        <w:t>4 December 2025</w:t>
      </w:r>
    </w:p>
    <w:p w14:paraId="217BC85A" w14:textId="77777777" w:rsidR="00D02F09" w:rsidRPr="00427F3A" w:rsidRDefault="00D02F09" w:rsidP="00E90E4F">
      <w:pPr>
        <w:pStyle w:val="OrdersCentreItalics"/>
      </w:pPr>
      <w:r>
        <w:t>Date of Judgment: 6 May 2026</w:t>
      </w:r>
    </w:p>
    <w:p w14:paraId="24C1DF84" w14:textId="77777777" w:rsidR="00D02F09" w:rsidRDefault="00D02F09" w:rsidP="00E90E4F">
      <w:pPr>
        <w:pStyle w:val="OrdersCentre"/>
      </w:pPr>
      <w:r w:rsidRPr="00E617DF">
        <w:t>S122/2025</w:t>
      </w:r>
    </w:p>
    <w:p w14:paraId="3CA894FC" w14:textId="77777777" w:rsidR="00D02F09" w:rsidRPr="00427F3A" w:rsidRDefault="00D02F09" w:rsidP="00E90E4F">
      <w:pPr>
        <w:pStyle w:val="OrdersCentre"/>
      </w:pPr>
    </w:p>
    <w:p w14:paraId="2A684CB5" w14:textId="77777777" w:rsidR="00D02F09" w:rsidRPr="00BE0A6C" w:rsidRDefault="00D02F09" w:rsidP="00E90E4F">
      <w:pPr>
        <w:pStyle w:val="OrderCentreBold"/>
      </w:pPr>
      <w:r w:rsidRPr="00BE0A6C">
        <w:t>ORDER</w:t>
      </w:r>
    </w:p>
    <w:p w14:paraId="7E538854" w14:textId="77777777" w:rsidR="00D02F09" w:rsidRPr="00427F3A" w:rsidRDefault="00D02F09" w:rsidP="00736C52">
      <w:pPr>
        <w:pStyle w:val="Centre"/>
        <w:rPr>
          <w:lang w:val="en-AU"/>
        </w:rPr>
      </w:pPr>
    </w:p>
    <w:p w14:paraId="65A1F0C8" w14:textId="77777777" w:rsidR="00D02F09" w:rsidRDefault="00D02F09" w:rsidP="00580786">
      <w:pPr>
        <w:pStyle w:val="OrdersText"/>
      </w:pPr>
      <w:r>
        <w:t>1.</w:t>
      </w:r>
      <w:r>
        <w:tab/>
        <w:t xml:space="preserve">Appeal allowed with costs. </w:t>
      </w:r>
    </w:p>
    <w:p w14:paraId="109F02A6" w14:textId="77777777" w:rsidR="00D02F09" w:rsidRDefault="00D02F09" w:rsidP="00580786">
      <w:pPr>
        <w:pStyle w:val="OrdersText"/>
      </w:pPr>
    </w:p>
    <w:p w14:paraId="3F35538D" w14:textId="77777777" w:rsidR="00D02F09" w:rsidRDefault="00D02F09" w:rsidP="00580786">
      <w:pPr>
        <w:pStyle w:val="OrdersText"/>
      </w:pPr>
      <w:r>
        <w:t>2.</w:t>
      </w:r>
      <w:r>
        <w:tab/>
        <w:t xml:space="preserve">Cross-appeals dismissed with costs. </w:t>
      </w:r>
    </w:p>
    <w:p w14:paraId="7BD3195E" w14:textId="77777777" w:rsidR="00D02F09" w:rsidRDefault="00D02F09" w:rsidP="00580786">
      <w:pPr>
        <w:pStyle w:val="OrdersText"/>
      </w:pPr>
    </w:p>
    <w:p w14:paraId="6C81207C" w14:textId="77777777" w:rsidR="00D02F09" w:rsidRDefault="00D02F09" w:rsidP="00580786">
      <w:pPr>
        <w:pStyle w:val="OrdersText"/>
      </w:pPr>
      <w:r>
        <w:t>3.</w:t>
      </w:r>
      <w:r>
        <w:tab/>
        <w:t xml:space="preserve">The orders made by the Full Court of the Federal Court of Australia on 3 April 2025 be set aside and, in their place, it be ordered that: </w:t>
      </w:r>
    </w:p>
    <w:p w14:paraId="30C82045" w14:textId="77777777" w:rsidR="00D02F09" w:rsidRDefault="00D02F09" w:rsidP="00580786">
      <w:pPr>
        <w:pStyle w:val="OrdersText"/>
      </w:pPr>
    </w:p>
    <w:p w14:paraId="088ACE36" w14:textId="77777777" w:rsidR="00D02F09" w:rsidRDefault="00D02F09" w:rsidP="006A0157">
      <w:pPr>
        <w:pStyle w:val="OrdersText"/>
        <w:ind w:left="1418"/>
      </w:pPr>
      <w:r>
        <w:t>1.</w:t>
      </w:r>
      <w:r>
        <w:tab/>
        <w:t>The appeal be allowed.</w:t>
      </w:r>
    </w:p>
    <w:p w14:paraId="5015AA9C" w14:textId="77777777" w:rsidR="00D02F09" w:rsidRDefault="00D02F09" w:rsidP="006A0157">
      <w:pPr>
        <w:pStyle w:val="OrdersText"/>
        <w:ind w:left="1418"/>
      </w:pPr>
    </w:p>
    <w:p w14:paraId="6A3EF6F7" w14:textId="77777777" w:rsidR="00D02F09" w:rsidRDefault="00D02F09" w:rsidP="006A0157">
      <w:pPr>
        <w:pStyle w:val="OrdersText"/>
        <w:ind w:left="1440" w:hanging="731"/>
      </w:pPr>
      <w:r>
        <w:t>2.</w:t>
      </w:r>
      <w:r>
        <w:tab/>
        <w:t>The orders made by the Federal Court of Australia on 3 June 2024 be set aside.</w:t>
      </w:r>
    </w:p>
    <w:p w14:paraId="0C9548D6" w14:textId="77777777" w:rsidR="00D02F09" w:rsidRDefault="00D02F09" w:rsidP="006A0157">
      <w:pPr>
        <w:pStyle w:val="OrdersText"/>
        <w:ind w:left="1418"/>
      </w:pPr>
    </w:p>
    <w:p w14:paraId="5617EAD2" w14:textId="77777777" w:rsidR="00D02F09" w:rsidRDefault="00D02F09" w:rsidP="006A0157">
      <w:pPr>
        <w:pStyle w:val="OrdersText"/>
        <w:ind w:left="1440" w:hanging="731"/>
      </w:pPr>
      <w:r>
        <w:t>3.</w:t>
      </w:r>
      <w:r>
        <w:tab/>
        <w:t>In relation to the answer to question (b) of the separate questions, the orders made by the Federal Court of Australia on 22 May 2024 be set aside and, in its place, the answer to question (b) be "No".</w:t>
      </w:r>
    </w:p>
    <w:p w14:paraId="6E985327" w14:textId="77777777" w:rsidR="00D02F09" w:rsidRDefault="00D02F09" w:rsidP="006A0157">
      <w:pPr>
        <w:pStyle w:val="OrdersText"/>
        <w:ind w:left="1418"/>
      </w:pPr>
    </w:p>
    <w:p w14:paraId="15FE5E75" w14:textId="77777777" w:rsidR="00D02F09" w:rsidRDefault="00D02F09">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22A93BE5" w14:textId="77777777" w:rsidR="00D02F09" w:rsidRDefault="00D02F09">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64BAE957" w14:textId="5A7A58B0" w:rsidR="00D02F09" w:rsidRDefault="00D02F09" w:rsidP="006A0157">
      <w:pPr>
        <w:pStyle w:val="OrdersText"/>
        <w:ind w:left="1440" w:hanging="731"/>
      </w:pPr>
      <w:r>
        <w:lastRenderedPageBreak/>
        <w:t>4.</w:t>
      </w:r>
      <w:r>
        <w:tab/>
        <w:t>The respondents pay the appellant's costs of the hearing of the separate questions and the appeal.</w:t>
      </w:r>
    </w:p>
    <w:p w14:paraId="71969747" w14:textId="77777777" w:rsidR="00D02F09" w:rsidRDefault="00D02F09" w:rsidP="006A0157">
      <w:pPr>
        <w:pStyle w:val="OrdersText"/>
        <w:ind w:left="1418"/>
      </w:pPr>
    </w:p>
    <w:p w14:paraId="3936757B" w14:textId="77777777" w:rsidR="00D02F09" w:rsidRPr="00943205" w:rsidRDefault="00D02F09" w:rsidP="006A0157">
      <w:pPr>
        <w:pStyle w:val="OrdersText"/>
        <w:ind w:left="1440" w:hanging="731"/>
      </w:pPr>
      <w:r>
        <w:t>5.</w:t>
      </w:r>
      <w:r>
        <w:tab/>
        <w:t xml:space="preserve">The matter be remitted to the primary judge for further determination. </w:t>
      </w:r>
    </w:p>
    <w:p w14:paraId="7945BEBB" w14:textId="77777777" w:rsidR="00D02F09" w:rsidRDefault="00D02F09" w:rsidP="00EE5374">
      <w:pPr>
        <w:pStyle w:val="Body"/>
      </w:pPr>
    </w:p>
    <w:p w14:paraId="03B2FDFA" w14:textId="77777777" w:rsidR="00D02F09" w:rsidRPr="00427F3A" w:rsidRDefault="00D02F09" w:rsidP="00EE5374">
      <w:pPr>
        <w:pStyle w:val="Body"/>
      </w:pPr>
    </w:p>
    <w:p w14:paraId="04C624FC" w14:textId="77777777" w:rsidR="00D02F09" w:rsidRPr="00427F3A" w:rsidRDefault="00D02F09" w:rsidP="0032341F">
      <w:pPr>
        <w:pStyle w:val="OrdersBody"/>
      </w:pPr>
      <w:r w:rsidRPr="00427F3A">
        <w:t xml:space="preserve">On appeal from the </w:t>
      </w:r>
      <w:r w:rsidRPr="00E617DF">
        <w:t>Federal Court of Australia</w:t>
      </w:r>
    </w:p>
    <w:p w14:paraId="40857DC3" w14:textId="77777777" w:rsidR="00D02F09" w:rsidRDefault="00D02F09" w:rsidP="00EE5374">
      <w:pPr>
        <w:pStyle w:val="Body"/>
      </w:pPr>
    </w:p>
    <w:p w14:paraId="5C366DBE" w14:textId="77777777" w:rsidR="00D02F09" w:rsidRPr="00427F3A" w:rsidRDefault="00D02F09" w:rsidP="00EE5374">
      <w:pPr>
        <w:pStyle w:val="Body"/>
      </w:pPr>
    </w:p>
    <w:p w14:paraId="2F1CEBF0" w14:textId="77777777" w:rsidR="00D02F09" w:rsidRPr="00427F3A" w:rsidRDefault="00D02F09" w:rsidP="00E90E4F">
      <w:pPr>
        <w:pStyle w:val="OrdersBodyHeading"/>
      </w:pPr>
      <w:r w:rsidRPr="00427F3A">
        <w:t>Representation</w:t>
      </w:r>
    </w:p>
    <w:p w14:paraId="03942ED5" w14:textId="77777777" w:rsidR="00D02F09" w:rsidRDefault="00D02F09" w:rsidP="00EE5374">
      <w:pPr>
        <w:pStyle w:val="Body"/>
      </w:pPr>
    </w:p>
    <w:p w14:paraId="66D55048" w14:textId="77777777" w:rsidR="00D02F09" w:rsidRPr="00E617DF" w:rsidRDefault="00D02F09" w:rsidP="00E90E4F">
      <w:pPr>
        <w:pStyle w:val="OrdersBody"/>
      </w:pPr>
      <w:r w:rsidRPr="00E617DF">
        <w:t>B W Walker SC with P McQueen and C E Bannan for the appellant (instructed by K&amp;L Gates)</w:t>
      </w:r>
    </w:p>
    <w:p w14:paraId="2075CF1F" w14:textId="77777777" w:rsidR="00D02F09" w:rsidRPr="00E617DF" w:rsidRDefault="00D02F09" w:rsidP="00E617DF">
      <w:pPr>
        <w:pStyle w:val="Body"/>
      </w:pPr>
    </w:p>
    <w:p w14:paraId="6297A07E" w14:textId="77777777" w:rsidR="00D02F09" w:rsidRPr="00E617DF" w:rsidRDefault="00D02F09" w:rsidP="00E617DF">
      <w:pPr>
        <w:pStyle w:val="OrdersBody"/>
      </w:pPr>
      <w:r w:rsidRPr="00E617DF">
        <w:t xml:space="preserve">N C Hutley SC </w:t>
      </w:r>
      <w:r>
        <w:t>and</w:t>
      </w:r>
      <w:r w:rsidRPr="00E617DF">
        <w:t xml:space="preserve"> R C A Higgins SC </w:t>
      </w:r>
      <w:r>
        <w:t xml:space="preserve">with </w:t>
      </w:r>
      <w:r w:rsidRPr="00E617DF">
        <w:t>B K Lim SC and T M Rogan for the first to third respondents (instructed by Gilbert + Tobin)</w:t>
      </w:r>
    </w:p>
    <w:p w14:paraId="6DF4DF82" w14:textId="77777777" w:rsidR="00D02F09" w:rsidRPr="00E617DF" w:rsidRDefault="00D02F09" w:rsidP="001B3C97">
      <w:pPr>
        <w:pStyle w:val="Body"/>
      </w:pPr>
    </w:p>
    <w:p w14:paraId="662F60FB" w14:textId="77777777" w:rsidR="00D02F09" w:rsidRPr="00E617DF" w:rsidRDefault="00D02F09" w:rsidP="00E90E4F">
      <w:pPr>
        <w:pStyle w:val="OrdersBody"/>
      </w:pPr>
      <w:r w:rsidRPr="00E617DF">
        <w:t>C</w:t>
      </w:r>
      <w:r>
        <w:t xml:space="preserve"> </w:t>
      </w:r>
      <w:r w:rsidRPr="00E617DF">
        <w:t>L</w:t>
      </w:r>
      <w:r>
        <w:t xml:space="preserve"> </w:t>
      </w:r>
      <w:r w:rsidRPr="00E617DF">
        <w:t>Lenehan</w:t>
      </w:r>
      <w:r>
        <w:t xml:space="preserve"> </w:t>
      </w:r>
      <w:r w:rsidRPr="00E617DF">
        <w:t xml:space="preserve">SC with </w:t>
      </w:r>
      <w:r w:rsidRPr="00E9558F">
        <w:t>H</w:t>
      </w:r>
      <w:r>
        <w:t xml:space="preserve"> </w:t>
      </w:r>
      <w:r w:rsidRPr="00E9558F">
        <w:t>D</w:t>
      </w:r>
      <w:r>
        <w:t xml:space="preserve"> </w:t>
      </w:r>
      <w:r w:rsidRPr="00E9558F">
        <w:t xml:space="preserve">Ryan </w:t>
      </w:r>
      <w:r w:rsidRPr="00E617DF">
        <w:t xml:space="preserve">for the </w:t>
      </w:r>
      <w:r w:rsidRPr="00E9558F">
        <w:t xml:space="preserve">fourth respondent </w:t>
      </w:r>
      <w:r w:rsidRPr="00E617DF">
        <w:t xml:space="preserve">(instructed by </w:t>
      </w:r>
      <w:proofErr w:type="spellStart"/>
      <w:r w:rsidRPr="00E9558F">
        <w:t>MinterEllison</w:t>
      </w:r>
      <w:proofErr w:type="spellEnd"/>
      <w:r w:rsidRPr="00E617DF">
        <w:t>)</w:t>
      </w:r>
    </w:p>
    <w:p w14:paraId="42A8669C" w14:textId="77777777" w:rsidR="00D02F09" w:rsidRDefault="00D02F09" w:rsidP="00E617DF">
      <w:pPr>
        <w:pStyle w:val="Body"/>
      </w:pPr>
    </w:p>
    <w:p w14:paraId="517537F3" w14:textId="77777777" w:rsidR="00D02F09" w:rsidRPr="00E9558F" w:rsidRDefault="00D02F09" w:rsidP="00EB2770">
      <w:pPr>
        <w:pStyle w:val="OrdersBody"/>
      </w:pPr>
      <w:r w:rsidRPr="00E9558F">
        <w:t>S P Donaghue KC, Solicitor-General of the Commonwealth, with D Y Thistlewaite for the Australian Competition and Consumer Commission, intervening (instructed by Australian Government Solicitor)</w:t>
      </w:r>
    </w:p>
    <w:p w14:paraId="18F057D8" w14:textId="77777777" w:rsidR="00D02F09" w:rsidRDefault="00D02F09" w:rsidP="00A01277">
      <w:pPr>
        <w:pStyle w:val="Body"/>
      </w:pPr>
    </w:p>
    <w:p w14:paraId="5766C8E4" w14:textId="77777777" w:rsidR="00D02F09" w:rsidRDefault="00D02F09" w:rsidP="00EE5374">
      <w:pPr>
        <w:pStyle w:val="Body"/>
      </w:pPr>
    </w:p>
    <w:p w14:paraId="1D35C15A" w14:textId="77777777" w:rsidR="00D02F09" w:rsidRDefault="00D02F09" w:rsidP="00EE5374">
      <w:pPr>
        <w:pStyle w:val="Body"/>
      </w:pPr>
    </w:p>
    <w:p w14:paraId="32474A1A" w14:textId="77777777" w:rsidR="00D02F09" w:rsidRDefault="00D02F09" w:rsidP="00EE5374">
      <w:pPr>
        <w:pStyle w:val="Body"/>
      </w:pPr>
    </w:p>
    <w:p w14:paraId="73F287F5" w14:textId="77777777" w:rsidR="00D02F09" w:rsidRDefault="00D02F09" w:rsidP="00EE5374">
      <w:pPr>
        <w:pStyle w:val="Body"/>
      </w:pPr>
    </w:p>
    <w:p w14:paraId="3A56AAE7" w14:textId="77777777" w:rsidR="00D02F09" w:rsidRDefault="00D02F09" w:rsidP="00EE5374">
      <w:pPr>
        <w:pStyle w:val="Body"/>
      </w:pPr>
    </w:p>
    <w:p w14:paraId="29E74526" w14:textId="77777777" w:rsidR="00D02F09" w:rsidRDefault="00D02F09" w:rsidP="00EE5374">
      <w:pPr>
        <w:pStyle w:val="Body"/>
      </w:pPr>
    </w:p>
    <w:p w14:paraId="2854857E" w14:textId="77777777" w:rsidR="00D02F09" w:rsidRDefault="00D02F09" w:rsidP="00EE5374">
      <w:pPr>
        <w:pStyle w:val="Body"/>
      </w:pPr>
    </w:p>
    <w:p w14:paraId="4D91FF93" w14:textId="77777777" w:rsidR="00D02F09" w:rsidRDefault="00D02F09" w:rsidP="00EE5374">
      <w:pPr>
        <w:pStyle w:val="Body"/>
      </w:pPr>
    </w:p>
    <w:p w14:paraId="75068B35" w14:textId="77777777" w:rsidR="00D02F09" w:rsidRDefault="00D02F09" w:rsidP="00EE5374">
      <w:pPr>
        <w:pStyle w:val="Body"/>
      </w:pPr>
    </w:p>
    <w:p w14:paraId="1717642C" w14:textId="77777777" w:rsidR="00D02F09" w:rsidRDefault="00D02F09" w:rsidP="00EE5374">
      <w:pPr>
        <w:pStyle w:val="Body"/>
      </w:pPr>
    </w:p>
    <w:p w14:paraId="776A9F75" w14:textId="77777777" w:rsidR="00D02F09" w:rsidRDefault="00D02F09" w:rsidP="00EE5374">
      <w:pPr>
        <w:pStyle w:val="Body"/>
      </w:pPr>
    </w:p>
    <w:p w14:paraId="5074438A" w14:textId="77777777" w:rsidR="00D02F09" w:rsidRDefault="00D02F09" w:rsidP="00EE5374">
      <w:pPr>
        <w:pStyle w:val="Body"/>
      </w:pPr>
    </w:p>
    <w:p w14:paraId="174FDEAD" w14:textId="77777777" w:rsidR="00D02F09" w:rsidRDefault="00D02F09" w:rsidP="00EE5374">
      <w:pPr>
        <w:pStyle w:val="Body"/>
      </w:pPr>
    </w:p>
    <w:p w14:paraId="6E1E48A5" w14:textId="77777777" w:rsidR="00D02F09" w:rsidRPr="00427F3A" w:rsidRDefault="00D02F09" w:rsidP="00EE5374">
      <w:pPr>
        <w:pStyle w:val="Body"/>
      </w:pPr>
    </w:p>
    <w:p w14:paraId="1AD5CBD1" w14:textId="77777777" w:rsidR="00D02F09" w:rsidRPr="00427F3A" w:rsidRDefault="00D02F09" w:rsidP="00F9713B">
      <w:pPr>
        <w:pStyle w:val="Notice"/>
        <w:rPr>
          <w:lang w:val="en-AU"/>
        </w:rPr>
      </w:pPr>
      <w:r w:rsidRPr="00427F3A">
        <w:rPr>
          <w:lang w:val="en-AU"/>
        </w:rPr>
        <w:t>Notice:  This copy of the Court's Reasons for Judgment is subject to formal revision prior to publication in the Commonwealth Law Reports.</w:t>
      </w:r>
    </w:p>
    <w:p w14:paraId="57FADE5B" w14:textId="3EBC769B" w:rsidR="00D02F09" w:rsidRDefault="00D02F09">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66ADFD5B" w14:textId="77777777" w:rsidR="00D02F09" w:rsidRDefault="00D02F09">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D02F09" w:rsidSect="00D02F09">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770F236E" w14:textId="77777777" w:rsidR="00D02F09" w:rsidRPr="00054C14" w:rsidRDefault="00D02F09" w:rsidP="0014714F">
      <w:pPr>
        <w:pStyle w:val="CatchwordsBold"/>
      </w:pPr>
      <w:r w:rsidRPr="00054C14">
        <w:lastRenderedPageBreak/>
        <w:t>CATCHWORDS</w:t>
      </w:r>
    </w:p>
    <w:p w14:paraId="1ACF1801" w14:textId="77777777" w:rsidR="00D02F09" w:rsidRPr="00054C14" w:rsidRDefault="00D02F09" w:rsidP="0014714F">
      <w:pPr>
        <w:pStyle w:val="CatchwordsBold"/>
      </w:pPr>
    </w:p>
    <w:p w14:paraId="15D8A2ED" w14:textId="77777777" w:rsidR="00D02F09" w:rsidRDefault="00D02F09" w:rsidP="0014714F">
      <w:pPr>
        <w:pStyle w:val="CatchwordsBold"/>
      </w:pPr>
      <w:r>
        <w:t xml:space="preserve">Mayfield Development Corporation Pty Ltd </w:t>
      </w:r>
      <w:r w:rsidRPr="00EA563C">
        <w:t xml:space="preserve">v NSW </w:t>
      </w:r>
      <w:r>
        <w:t xml:space="preserve">Port Operations Hold Co Pty Ltd </w:t>
      </w:r>
    </w:p>
    <w:p w14:paraId="32EF194B" w14:textId="77777777" w:rsidR="00D02F09" w:rsidRDefault="00D02F09" w:rsidP="00D02F09">
      <w:pPr>
        <w:spacing w:line="240" w:lineRule="auto"/>
        <w:ind w:right="0" w:firstLine="0"/>
        <w:jc w:val="both"/>
        <w:rPr>
          <w:rFonts w:ascii="Times New Roman" w:hAnsi="Times New Roman"/>
        </w:rPr>
      </w:pPr>
    </w:p>
    <w:p w14:paraId="19AA18C2" w14:textId="77777777" w:rsidR="00D02F09" w:rsidRDefault="00D02F09" w:rsidP="00B73F4F">
      <w:pPr>
        <w:pStyle w:val="CatchwordsText"/>
      </w:pPr>
      <w:r>
        <w:t xml:space="preserve">Statutes − Construction − Derivative Crown immunity − Where State of New South Wales ("State") agreed </w:t>
      </w:r>
      <w:r w:rsidRPr="003D3C48">
        <w:t>Port Commitment Deeds ("PCDs") with first to third respondents ("NSW Ports")</w:t>
      </w:r>
      <w:r>
        <w:t xml:space="preserve"> − Where PCDs required State to compensate NSW Ports if certain ports were not at full capacity and certain volume of containers</w:t>
      </w:r>
      <w:r w:rsidRPr="001D23DC">
        <w:t xml:space="preserve"> diverted </w:t>
      </w:r>
      <w:r>
        <w:t xml:space="preserve">to other port − Where appellant alleged NSW Ports' entry into PCDs breached ss 45 and 45DA(1) of </w:t>
      </w:r>
      <w:r w:rsidRPr="00E35E26">
        <w:rPr>
          <w:i/>
          <w:iCs/>
        </w:rPr>
        <w:t>Competition and Consumer Act 2010</w:t>
      </w:r>
      <w:r w:rsidRPr="00E35E26">
        <w:t xml:space="preserve"> (</w:t>
      </w:r>
      <w:proofErr w:type="spellStart"/>
      <w:r w:rsidRPr="00E35E26">
        <w:t>Cth</w:t>
      </w:r>
      <w:proofErr w:type="spellEnd"/>
      <w:r w:rsidRPr="00E35E26">
        <w:t>)</w:t>
      </w:r>
      <w:r>
        <w:t xml:space="preserve"> ("CCA") − Whether ss 45 and 45DA(1) of CCA bound NSW Ports despite presumption of derivative Crown immunity.</w:t>
      </w:r>
    </w:p>
    <w:p w14:paraId="2D847B08" w14:textId="77777777" w:rsidR="00D02F09" w:rsidRDefault="00D02F09" w:rsidP="00B73F4F">
      <w:pPr>
        <w:pStyle w:val="CatchwordsText"/>
      </w:pPr>
    </w:p>
    <w:p w14:paraId="4E70B05B" w14:textId="77777777" w:rsidR="00D02F09" w:rsidRDefault="00D02F09" w:rsidP="00B73F4F">
      <w:pPr>
        <w:pStyle w:val="CatchwordsText"/>
      </w:pPr>
      <w:r>
        <w:t xml:space="preserve">Equity − Estoppel − Abuse of process − Where </w:t>
      </w:r>
      <w:r w:rsidRPr="00310A31">
        <w:t>Australian Competition and Consumer Commission</w:t>
      </w:r>
      <w:r>
        <w:t xml:space="preserve"> previously brought similar proceedings against NSW Ports ("ACCC Proceedings") − Where ACCC Proceedings dismissed − Where appellant intervened in ACCC Proceedings on limited basis − Whether appellant estopped from bringing these proceedings − Whether these proceedings constituted abuse of process. </w:t>
      </w:r>
    </w:p>
    <w:p w14:paraId="542A73B7" w14:textId="77777777" w:rsidR="00D02F09" w:rsidRDefault="00D02F09" w:rsidP="00B73F4F">
      <w:pPr>
        <w:pStyle w:val="CatchwordsText"/>
      </w:pPr>
    </w:p>
    <w:p w14:paraId="7BA61974" w14:textId="77777777" w:rsidR="00D02F09" w:rsidRDefault="00D02F09" w:rsidP="00B73F4F">
      <w:pPr>
        <w:pStyle w:val="CatchwordsText"/>
      </w:pPr>
      <w:r>
        <w:t xml:space="preserve">Contract − Deed of release − Where appellant executed deed of release in favour of State − Where NSW Ports not mentioned in or party to deed − Whether deed of release barred claim against NSW Ports. </w:t>
      </w:r>
    </w:p>
    <w:p w14:paraId="2E2B7F83" w14:textId="77777777" w:rsidR="00D02F09" w:rsidRDefault="00D02F09" w:rsidP="00B73F4F">
      <w:pPr>
        <w:pStyle w:val="CatchwordsText"/>
      </w:pPr>
    </w:p>
    <w:p w14:paraId="55C78E8B" w14:textId="77777777" w:rsidR="00D02F09" w:rsidRDefault="00D02F09" w:rsidP="00B73F4F">
      <w:pPr>
        <w:pStyle w:val="CatchwordsText"/>
      </w:pPr>
      <w:r w:rsidRPr="00294DEA">
        <w:t>Words and phrases –</w:t>
      </w:r>
      <w:r>
        <w:t xml:space="preserve"> "abuse of process", "</w:t>
      </w:r>
      <w:r w:rsidRPr="004939E9">
        <w:t>capacity to contract</w:t>
      </w:r>
      <w:r>
        <w:t xml:space="preserve">", "Crown immunity", "deed of release", "derivative Crown immunity", "estoppel", "freedom to contract", "impairment of legal relations", "issue estoppel", "legal rights or interests", "presumption of legislative intention". </w:t>
      </w:r>
    </w:p>
    <w:p w14:paraId="63B44F0C" w14:textId="77777777" w:rsidR="00D02F09" w:rsidRDefault="00D02F09" w:rsidP="00B73F4F">
      <w:pPr>
        <w:pStyle w:val="CatchwordsText"/>
        <w:rPr>
          <w:i/>
        </w:rPr>
      </w:pPr>
    </w:p>
    <w:p w14:paraId="1749766C" w14:textId="77777777" w:rsidR="00D02F09" w:rsidRDefault="00D02F09" w:rsidP="00B73F4F">
      <w:pPr>
        <w:pStyle w:val="CatchwordsText"/>
        <w:rPr>
          <w:iCs/>
        </w:rPr>
      </w:pPr>
      <w:r w:rsidRPr="005B5C8F">
        <w:rPr>
          <w:i/>
        </w:rPr>
        <w:t xml:space="preserve">Competition and Consumer Act 2010 </w:t>
      </w:r>
      <w:r w:rsidRPr="005B5C8F">
        <w:rPr>
          <w:iCs/>
        </w:rPr>
        <w:t>(</w:t>
      </w:r>
      <w:proofErr w:type="spellStart"/>
      <w:r w:rsidRPr="005B5C8F">
        <w:rPr>
          <w:iCs/>
        </w:rPr>
        <w:t>Cth</w:t>
      </w:r>
      <w:proofErr w:type="spellEnd"/>
      <w:r w:rsidRPr="005B5C8F">
        <w:rPr>
          <w:iCs/>
        </w:rPr>
        <w:t>)</w:t>
      </w:r>
      <w:r>
        <w:rPr>
          <w:iCs/>
        </w:rPr>
        <w:t xml:space="preserve">, ss 2A, 2B, 2C, 45, 45DA, 51 </w:t>
      </w:r>
    </w:p>
    <w:p w14:paraId="7850D8C2" w14:textId="77777777" w:rsidR="00D02F09" w:rsidRPr="008B0A00" w:rsidRDefault="00D02F09" w:rsidP="00B73F4F">
      <w:pPr>
        <w:pStyle w:val="CatchwordsText"/>
        <w:rPr>
          <w:iCs/>
        </w:rPr>
      </w:pPr>
      <w:r w:rsidRPr="00626989">
        <w:rPr>
          <w:i/>
          <w:iCs/>
        </w:rPr>
        <w:t xml:space="preserve">Ports Assets (Authorised Transactions) Act 2012 </w:t>
      </w:r>
      <w:r w:rsidRPr="00626989">
        <w:rPr>
          <w:iCs/>
        </w:rPr>
        <w:t>(NSW)</w:t>
      </w:r>
      <w:r>
        <w:rPr>
          <w:iCs/>
        </w:rPr>
        <w:t xml:space="preserve">, ss 7, 25, Pt 2 </w:t>
      </w:r>
      <w:r w:rsidRPr="00626989">
        <w:rPr>
          <w:iCs/>
        </w:rPr>
        <w:t xml:space="preserve"> </w:t>
      </w:r>
    </w:p>
    <w:p w14:paraId="50988E46" w14:textId="77777777" w:rsidR="00D02F09" w:rsidRPr="00350C23" w:rsidRDefault="00D02F09" w:rsidP="00D02F09">
      <w:pPr>
        <w:spacing w:line="240" w:lineRule="auto"/>
        <w:ind w:right="0" w:firstLine="0"/>
        <w:jc w:val="both"/>
        <w:rPr>
          <w:rFonts w:ascii="Times New Roman" w:hAnsi="Times New Roman"/>
        </w:rPr>
      </w:pPr>
      <w:r>
        <w:rPr>
          <w:rFonts w:ascii="Times New Roman" w:hAnsi="Times New Roman"/>
          <w:i/>
        </w:rPr>
        <w:t xml:space="preserve"> </w:t>
      </w:r>
    </w:p>
    <w:p w14:paraId="5F1EE987" w14:textId="3FF1DC59" w:rsidR="00D02F09" w:rsidRDefault="00D02F09" w:rsidP="00D02F09">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3C9F2949" w14:textId="456859EF" w:rsidR="00D02F09" w:rsidRDefault="00D02F09">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4F4F032F" w14:textId="253A085A" w:rsidR="00D02F09" w:rsidRDefault="00D02F09">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3E5F3C36" w14:textId="77777777" w:rsidR="00D02F09" w:rsidRDefault="00D02F09" w:rsidP="008A5AD9">
      <w:pPr>
        <w:pStyle w:val="FixListStyle"/>
        <w:tabs>
          <w:tab w:val="clear" w:pos="720"/>
          <w:tab w:val="left" w:pos="0"/>
        </w:tabs>
        <w:spacing w:after="260" w:line="280" w:lineRule="exact"/>
        <w:ind w:right="0"/>
        <w:jc w:val="both"/>
        <w:rPr>
          <w:rFonts w:ascii="Times New Roman" w:hAnsi="Times New Roman"/>
        </w:rPr>
        <w:sectPr w:rsidR="00D02F09" w:rsidSect="00D02F09">
          <w:pgSz w:w="11907" w:h="16839" w:code="9"/>
          <w:pgMar w:top="1440" w:right="1701" w:bottom="1984" w:left="1701" w:header="720" w:footer="720" w:gutter="0"/>
          <w:pgNumType w:start="1"/>
          <w:cols w:space="720"/>
          <w:titlePg/>
          <w:docGrid w:linePitch="354"/>
        </w:sectPr>
      </w:pPr>
    </w:p>
    <w:p w14:paraId="37261C4B" w14:textId="1ABBC5F5" w:rsidR="00532C04" w:rsidRPr="008A5AD9" w:rsidRDefault="008A5AD9" w:rsidP="008A5AD9">
      <w:pPr>
        <w:pStyle w:val="FixListStyle"/>
        <w:tabs>
          <w:tab w:val="clear" w:pos="720"/>
          <w:tab w:val="left" w:pos="0"/>
        </w:tabs>
        <w:spacing w:after="260" w:line="280" w:lineRule="exact"/>
        <w:ind w:right="0"/>
        <w:jc w:val="both"/>
        <w:rPr>
          <w:rFonts w:ascii="Times New Roman" w:hAnsi="Times New Roman"/>
        </w:rPr>
      </w:pPr>
      <w:r w:rsidRPr="008A5AD9">
        <w:rPr>
          <w:rFonts w:ascii="Times New Roman" w:hAnsi="Times New Roman"/>
        </w:rPr>
        <w:lastRenderedPageBreak/>
        <w:t xml:space="preserve">GAGELER CJ.   </w:t>
      </w:r>
      <w:r w:rsidR="00DD07DF" w:rsidRPr="008A5AD9">
        <w:rPr>
          <w:rFonts w:ascii="Times New Roman" w:hAnsi="Times New Roman"/>
        </w:rPr>
        <w:t xml:space="preserve">In </w:t>
      </w:r>
      <w:r w:rsidR="00AC496A" w:rsidRPr="008A5AD9">
        <w:rPr>
          <w:rFonts w:ascii="Times New Roman" w:hAnsi="Times New Roman"/>
        </w:rPr>
        <w:t>a</w:t>
      </w:r>
      <w:r w:rsidR="00DD07DF" w:rsidRPr="008A5AD9">
        <w:rPr>
          <w:rFonts w:ascii="Times New Roman" w:hAnsi="Times New Roman"/>
        </w:rPr>
        <w:t xml:space="preserve"> proceeding</w:t>
      </w:r>
      <w:r w:rsidR="00015A5E" w:rsidRPr="008A5AD9">
        <w:rPr>
          <w:rFonts w:ascii="Times New Roman" w:hAnsi="Times New Roman"/>
        </w:rPr>
        <w:t xml:space="preserve"> in the original jurisdiction of </w:t>
      </w:r>
      <w:r w:rsidR="004E4788" w:rsidRPr="008A5AD9">
        <w:rPr>
          <w:rFonts w:ascii="Times New Roman" w:hAnsi="Times New Roman"/>
        </w:rPr>
        <w:t xml:space="preserve">the </w:t>
      </w:r>
      <w:r w:rsidR="00015A5E" w:rsidRPr="008A5AD9">
        <w:rPr>
          <w:rFonts w:ascii="Times New Roman" w:hAnsi="Times New Roman"/>
        </w:rPr>
        <w:t>Federal Court</w:t>
      </w:r>
      <w:r w:rsidR="00AC496A" w:rsidRPr="008A5AD9">
        <w:rPr>
          <w:rFonts w:ascii="Times New Roman" w:hAnsi="Times New Roman"/>
        </w:rPr>
        <w:t xml:space="preserve"> of Australia</w:t>
      </w:r>
      <w:r w:rsidR="00DD07DF" w:rsidRPr="008A5AD9">
        <w:rPr>
          <w:rFonts w:ascii="Times New Roman" w:hAnsi="Times New Roman"/>
        </w:rPr>
        <w:t>,</w:t>
      </w:r>
      <w:r w:rsidR="00373866" w:rsidRPr="008A5AD9">
        <w:rPr>
          <w:rFonts w:ascii="Times New Roman" w:hAnsi="Times New Roman"/>
        </w:rPr>
        <w:t xml:space="preserve"> </w:t>
      </w:r>
      <w:r w:rsidR="00A62CA8" w:rsidRPr="008A5AD9">
        <w:rPr>
          <w:rFonts w:ascii="Times New Roman" w:hAnsi="Times New Roman"/>
        </w:rPr>
        <w:t xml:space="preserve">Mayfield Development Corporation Pty Ltd </w:t>
      </w:r>
      <w:r w:rsidR="00840A50" w:rsidRPr="008A5AD9">
        <w:rPr>
          <w:rFonts w:ascii="Times New Roman" w:hAnsi="Times New Roman"/>
        </w:rPr>
        <w:t xml:space="preserve">("Mayfield") </w:t>
      </w:r>
      <w:r w:rsidR="00A62CA8" w:rsidRPr="008A5AD9">
        <w:rPr>
          <w:rFonts w:ascii="Times New Roman" w:hAnsi="Times New Roman"/>
        </w:rPr>
        <w:t>claim</w:t>
      </w:r>
      <w:r w:rsidR="00550F41" w:rsidRPr="008A5AD9">
        <w:rPr>
          <w:rFonts w:ascii="Times New Roman" w:hAnsi="Times New Roman"/>
        </w:rPr>
        <w:t>s</w:t>
      </w:r>
      <w:r w:rsidR="00A62CA8" w:rsidRPr="008A5AD9">
        <w:rPr>
          <w:rFonts w:ascii="Times New Roman" w:hAnsi="Times New Roman"/>
        </w:rPr>
        <w:t xml:space="preserve"> that </w:t>
      </w:r>
      <w:r w:rsidR="002D1CAA" w:rsidRPr="008A5AD9">
        <w:rPr>
          <w:rFonts w:ascii="Times New Roman" w:hAnsi="Times New Roman"/>
        </w:rPr>
        <w:t xml:space="preserve">NSW Port Operations </w:t>
      </w:r>
      <w:r w:rsidR="007268DD" w:rsidRPr="008A5AD9">
        <w:rPr>
          <w:rFonts w:ascii="Times New Roman" w:hAnsi="Times New Roman"/>
        </w:rPr>
        <w:t xml:space="preserve">Hold </w:t>
      </w:r>
      <w:r w:rsidR="002D1CAA" w:rsidRPr="008A5AD9">
        <w:rPr>
          <w:rFonts w:ascii="Times New Roman" w:hAnsi="Times New Roman"/>
        </w:rPr>
        <w:t>Co Pty Ltd</w:t>
      </w:r>
      <w:r w:rsidR="00B20DA7" w:rsidRPr="008A5AD9">
        <w:rPr>
          <w:rFonts w:ascii="Times New Roman" w:hAnsi="Times New Roman"/>
        </w:rPr>
        <w:t>, Port Botany Operations Pty Ltd and Port Kembla</w:t>
      </w:r>
      <w:r w:rsidR="00C379F1" w:rsidRPr="008A5AD9">
        <w:rPr>
          <w:rFonts w:ascii="Times New Roman" w:hAnsi="Times New Roman"/>
        </w:rPr>
        <w:t xml:space="preserve"> Operations Pty Ltd</w:t>
      </w:r>
      <w:r w:rsidR="002D1CAA" w:rsidRPr="008A5AD9">
        <w:rPr>
          <w:rFonts w:ascii="Times New Roman" w:hAnsi="Times New Roman"/>
        </w:rPr>
        <w:t xml:space="preserve"> (together </w:t>
      </w:r>
      <w:r w:rsidR="00B94F43" w:rsidRPr="008A5AD9">
        <w:rPr>
          <w:rFonts w:ascii="Times New Roman" w:hAnsi="Times New Roman"/>
        </w:rPr>
        <w:t>"Port Operations")</w:t>
      </w:r>
      <w:r w:rsidR="008C74A5" w:rsidRPr="008A5AD9">
        <w:rPr>
          <w:rFonts w:ascii="Times New Roman" w:hAnsi="Times New Roman"/>
        </w:rPr>
        <w:t xml:space="preserve"> </w:t>
      </w:r>
      <w:r w:rsidR="00E55057" w:rsidRPr="008A5AD9">
        <w:rPr>
          <w:rFonts w:ascii="Times New Roman" w:hAnsi="Times New Roman"/>
        </w:rPr>
        <w:t xml:space="preserve">contravened ss 45 and 45DA of the </w:t>
      </w:r>
      <w:r w:rsidR="00E55057" w:rsidRPr="008A5AD9">
        <w:rPr>
          <w:rFonts w:ascii="Times New Roman" w:hAnsi="Times New Roman"/>
          <w:i/>
          <w:iCs/>
        </w:rPr>
        <w:t>Competition and Consumer Act 2010</w:t>
      </w:r>
      <w:r w:rsidR="00E55057" w:rsidRPr="008A5AD9">
        <w:rPr>
          <w:rFonts w:ascii="Times New Roman" w:hAnsi="Times New Roman"/>
        </w:rPr>
        <w:t xml:space="preserve"> (</w:t>
      </w:r>
      <w:proofErr w:type="spellStart"/>
      <w:r w:rsidR="00E55057" w:rsidRPr="008A5AD9">
        <w:rPr>
          <w:rFonts w:ascii="Times New Roman" w:hAnsi="Times New Roman"/>
        </w:rPr>
        <w:t>Cth</w:t>
      </w:r>
      <w:proofErr w:type="spellEnd"/>
      <w:r w:rsidR="00E55057" w:rsidRPr="008A5AD9">
        <w:rPr>
          <w:rFonts w:ascii="Times New Roman" w:hAnsi="Times New Roman"/>
        </w:rPr>
        <w:t>) ("the CCA")</w:t>
      </w:r>
      <w:r w:rsidR="00297CE6" w:rsidRPr="008A5AD9">
        <w:rPr>
          <w:rFonts w:ascii="Times New Roman" w:hAnsi="Times New Roman"/>
        </w:rPr>
        <w:t xml:space="preserve"> </w:t>
      </w:r>
      <w:r w:rsidR="00DD433E" w:rsidRPr="008A5AD9">
        <w:rPr>
          <w:rFonts w:ascii="Times New Roman" w:hAnsi="Times New Roman"/>
        </w:rPr>
        <w:t xml:space="preserve">by entering into </w:t>
      </w:r>
      <w:r w:rsidR="00A62CA8" w:rsidRPr="008A5AD9">
        <w:rPr>
          <w:rFonts w:ascii="Times New Roman" w:hAnsi="Times New Roman"/>
        </w:rPr>
        <w:t xml:space="preserve">certain </w:t>
      </w:r>
      <w:r w:rsidR="00A15169" w:rsidRPr="008A5AD9">
        <w:rPr>
          <w:rFonts w:ascii="Times New Roman" w:hAnsi="Times New Roman"/>
        </w:rPr>
        <w:t>"</w:t>
      </w:r>
      <w:r w:rsidR="00A62CA8" w:rsidRPr="008A5AD9">
        <w:rPr>
          <w:rFonts w:ascii="Times New Roman" w:hAnsi="Times New Roman"/>
        </w:rPr>
        <w:t>Port Commitment Deeds</w:t>
      </w:r>
      <w:r w:rsidR="00A15169" w:rsidRPr="008A5AD9">
        <w:rPr>
          <w:rFonts w:ascii="Times New Roman" w:hAnsi="Times New Roman"/>
        </w:rPr>
        <w:t>"</w:t>
      </w:r>
      <w:r w:rsidR="00A62CA8" w:rsidRPr="008A5AD9">
        <w:rPr>
          <w:rFonts w:ascii="Times New Roman" w:hAnsi="Times New Roman"/>
        </w:rPr>
        <w:t xml:space="preserve"> ("</w:t>
      </w:r>
      <w:r w:rsidR="00C3634D" w:rsidRPr="008A5AD9">
        <w:rPr>
          <w:rFonts w:ascii="Times New Roman" w:hAnsi="Times New Roman"/>
        </w:rPr>
        <w:t xml:space="preserve">the </w:t>
      </w:r>
      <w:r w:rsidR="00A62CA8" w:rsidRPr="008A5AD9">
        <w:rPr>
          <w:rFonts w:ascii="Times New Roman" w:hAnsi="Times New Roman"/>
        </w:rPr>
        <w:t>PCDs")</w:t>
      </w:r>
      <w:r w:rsidR="00181EB3" w:rsidRPr="008A5AD9">
        <w:rPr>
          <w:rFonts w:ascii="Times New Roman" w:hAnsi="Times New Roman"/>
        </w:rPr>
        <w:t xml:space="preserve"> containing certain </w:t>
      </w:r>
      <w:r w:rsidR="00E756B6" w:rsidRPr="008A5AD9">
        <w:rPr>
          <w:rFonts w:ascii="Times New Roman" w:hAnsi="Times New Roman"/>
        </w:rPr>
        <w:t xml:space="preserve">"compensation </w:t>
      </w:r>
      <w:r w:rsidR="00282577" w:rsidRPr="008A5AD9">
        <w:rPr>
          <w:rFonts w:ascii="Times New Roman" w:hAnsi="Times New Roman"/>
        </w:rPr>
        <w:t>provisions</w:t>
      </w:r>
      <w:r w:rsidR="00E756B6" w:rsidRPr="008A5AD9">
        <w:rPr>
          <w:rFonts w:ascii="Times New Roman" w:hAnsi="Times New Roman"/>
        </w:rPr>
        <w:t>"</w:t>
      </w:r>
      <w:r w:rsidR="00F81E8C" w:rsidRPr="008A5AD9">
        <w:rPr>
          <w:rFonts w:ascii="Times New Roman" w:hAnsi="Times New Roman"/>
        </w:rPr>
        <w:t xml:space="preserve">, </w:t>
      </w:r>
      <w:r w:rsidR="00B36AF9" w:rsidRPr="008A5AD9">
        <w:rPr>
          <w:rFonts w:ascii="Times New Roman" w:hAnsi="Times New Roman"/>
        </w:rPr>
        <w:t>and</w:t>
      </w:r>
      <w:r w:rsidR="00F81E8C" w:rsidRPr="008A5AD9">
        <w:rPr>
          <w:rFonts w:ascii="Times New Roman" w:hAnsi="Times New Roman"/>
        </w:rPr>
        <w:t xml:space="preserve"> </w:t>
      </w:r>
      <w:r w:rsidR="00B36AF9" w:rsidRPr="008A5AD9">
        <w:rPr>
          <w:rFonts w:ascii="Times New Roman" w:hAnsi="Times New Roman"/>
        </w:rPr>
        <w:t>reaching a cognate arrangement or understanding</w:t>
      </w:r>
      <w:r w:rsidR="00214223" w:rsidRPr="008A5AD9">
        <w:rPr>
          <w:rFonts w:ascii="Times New Roman" w:hAnsi="Times New Roman"/>
        </w:rPr>
        <w:t xml:space="preserve">, </w:t>
      </w:r>
      <w:r w:rsidR="00B36AF9" w:rsidRPr="008A5AD9">
        <w:rPr>
          <w:rFonts w:ascii="Times New Roman" w:hAnsi="Times New Roman"/>
        </w:rPr>
        <w:t xml:space="preserve">with </w:t>
      </w:r>
      <w:r w:rsidR="00DD433E" w:rsidRPr="008A5AD9">
        <w:rPr>
          <w:rFonts w:ascii="Times New Roman" w:hAnsi="Times New Roman"/>
        </w:rPr>
        <w:t>the State of New South Wales</w:t>
      </w:r>
      <w:r w:rsidR="000A1D17" w:rsidRPr="008A5AD9">
        <w:rPr>
          <w:rFonts w:ascii="Times New Roman" w:hAnsi="Times New Roman"/>
        </w:rPr>
        <w:t xml:space="preserve"> ("the State")</w:t>
      </w:r>
      <w:r w:rsidR="00B709A1" w:rsidRPr="008A5AD9">
        <w:rPr>
          <w:rFonts w:ascii="Times New Roman" w:hAnsi="Times New Roman"/>
        </w:rPr>
        <w:t xml:space="preserve">. </w:t>
      </w:r>
      <w:r w:rsidR="00420D49" w:rsidRPr="008A5AD9">
        <w:rPr>
          <w:rFonts w:ascii="Times New Roman" w:hAnsi="Times New Roman"/>
        </w:rPr>
        <w:t xml:space="preserve">There is no </w:t>
      </w:r>
      <w:r w:rsidR="00147C66" w:rsidRPr="008A5AD9">
        <w:rPr>
          <w:rFonts w:ascii="Times New Roman" w:hAnsi="Times New Roman"/>
        </w:rPr>
        <w:t xml:space="preserve">dispute that </w:t>
      </w:r>
      <w:r w:rsidR="00B85BC1" w:rsidRPr="008A5AD9">
        <w:rPr>
          <w:rFonts w:ascii="Times New Roman" w:hAnsi="Times New Roman"/>
        </w:rPr>
        <w:t xml:space="preserve">Port Operations </w:t>
      </w:r>
      <w:proofErr w:type="gramStart"/>
      <w:r w:rsidR="00B85BC1" w:rsidRPr="008A5AD9">
        <w:rPr>
          <w:rFonts w:ascii="Times New Roman" w:hAnsi="Times New Roman"/>
        </w:rPr>
        <w:t>entered into</w:t>
      </w:r>
      <w:proofErr w:type="gramEnd"/>
      <w:r w:rsidR="00B85BC1" w:rsidRPr="008A5AD9">
        <w:rPr>
          <w:rFonts w:ascii="Times New Roman" w:hAnsi="Times New Roman"/>
        </w:rPr>
        <w:t xml:space="preserve"> the </w:t>
      </w:r>
      <w:r w:rsidR="007F5188" w:rsidRPr="008A5AD9">
        <w:rPr>
          <w:rFonts w:ascii="Times New Roman" w:hAnsi="Times New Roman"/>
        </w:rPr>
        <w:t xml:space="preserve">PCDs </w:t>
      </w:r>
      <w:r w:rsidR="00711C51" w:rsidRPr="008A5AD9">
        <w:rPr>
          <w:rFonts w:ascii="Times New Roman" w:hAnsi="Times New Roman"/>
        </w:rPr>
        <w:t xml:space="preserve">containing the compensation provisions </w:t>
      </w:r>
      <w:r w:rsidR="004450E6" w:rsidRPr="008A5AD9">
        <w:rPr>
          <w:rFonts w:ascii="Times New Roman" w:hAnsi="Times New Roman"/>
        </w:rPr>
        <w:t xml:space="preserve">in 2013 </w:t>
      </w:r>
      <w:r w:rsidR="00DC065B" w:rsidRPr="008A5AD9">
        <w:rPr>
          <w:rFonts w:ascii="Times New Roman" w:hAnsi="Times New Roman"/>
        </w:rPr>
        <w:t xml:space="preserve">as a condition for completion of the </w:t>
      </w:r>
      <w:r w:rsidR="00A62101" w:rsidRPr="008A5AD9">
        <w:rPr>
          <w:rFonts w:ascii="Times New Roman" w:hAnsi="Times New Roman"/>
        </w:rPr>
        <w:t>sale to and purchase by</w:t>
      </w:r>
      <w:r w:rsidR="00DC065B" w:rsidRPr="008A5AD9">
        <w:rPr>
          <w:rFonts w:ascii="Times New Roman" w:hAnsi="Times New Roman"/>
        </w:rPr>
        <w:t xml:space="preserve"> </w:t>
      </w:r>
      <w:r w:rsidR="00803245" w:rsidRPr="008A5AD9">
        <w:rPr>
          <w:rFonts w:ascii="Times New Roman" w:hAnsi="Times New Roman"/>
        </w:rPr>
        <w:t>Port Operations</w:t>
      </w:r>
      <w:r w:rsidR="00DC065B" w:rsidRPr="008A5AD9">
        <w:rPr>
          <w:rFonts w:ascii="Times New Roman" w:hAnsi="Times New Roman"/>
        </w:rPr>
        <w:t xml:space="preserve"> of </w:t>
      </w:r>
      <w:r w:rsidR="00803245" w:rsidRPr="008A5AD9">
        <w:rPr>
          <w:rFonts w:ascii="Times New Roman" w:hAnsi="Times New Roman"/>
        </w:rPr>
        <w:t>"</w:t>
      </w:r>
      <w:r w:rsidR="00DC065B" w:rsidRPr="008A5AD9">
        <w:rPr>
          <w:rFonts w:ascii="Times New Roman" w:hAnsi="Times New Roman"/>
        </w:rPr>
        <w:t>port</w:t>
      </w:r>
      <w:r w:rsidR="003469A9" w:rsidRPr="008A5AD9">
        <w:rPr>
          <w:rFonts w:ascii="Times New Roman" w:hAnsi="Times New Roman"/>
        </w:rPr>
        <w:t>s</w:t>
      </w:r>
      <w:r w:rsidR="00DC065B" w:rsidRPr="008A5AD9">
        <w:rPr>
          <w:rFonts w:ascii="Times New Roman" w:hAnsi="Times New Roman"/>
        </w:rPr>
        <w:t xml:space="preserve"> assets</w:t>
      </w:r>
      <w:r w:rsidR="00803245" w:rsidRPr="008A5AD9">
        <w:rPr>
          <w:rFonts w:ascii="Times New Roman" w:hAnsi="Times New Roman"/>
        </w:rPr>
        <w:t>"</w:t>
      </w:r>
      <w:r w:rsidR="00DC065B" w:rsidRPr="008A5AD9">
        <w:rPr>
          <w:rFonts w:ascii="Times New Roman" w:hAnsi="Times New Roman"/>
        </w:rPr>
        <w:t xml:space="preserve"> </w:t>
      </w:r>
      <w:r w:rsidR="008A31AA" w:rsidRPr="008A5AD9">
        <w:rPr>
          <w:rFonts w:ascii="Times New Roman" w:hAnsi="Times New Roman"/>
        </w:rPr>
        <w:t>in "authorised transactions"</w:t>
      </w:r>
      <w:r w:rsidR="006A748F" w:rsidRPr="008A5AD9">
        <w:rPr>
          <w:rFonts w:ascii="Times New Roman" w:hAnsi="Times New Roman"/>
        </w:rPr>
        <w:t xml:space="preserve"> under</w:t>
      </w:r>
      <w:r w:rsidR="00DC065B" w:rsidRPr="008A5AD9">
        <w:rPr>
          <w:rFonts w:ascii="Times New Roman" w:hAnsi="Times New Roman"/>
        </w:rPr>
        <w:t xml:space="preserve"> the </w:t>
      </w:r>
      <w:r w:rsidR="00DC065B" w:rsidRPr="008A5AD9">
        <w:rPr>
          <w:rFonts w:ascii="Times New Roman" w:hAnsi="Times New Roman"/>
          <w:i/>
          <w:iCs/>
        </w:rPr>
        <w:t>Port</w:t>
      </w:r>
      <w:r w:rsidR="003469A9" w:rsidRPr="008A5AD9">
        <w:rPr>
          <w:rFonts w:ascii="Times New Roman" w:hAnsi="Times New Roman"/>
          <w:i/>
          <w:iCs/>
        </w:rPr>
        <w:t>s</w:t>
      </w:r>
      <w:r w:rsidR="00DC065B" w:rsidRPr="008A5AD9">
        <w:rPr>
          <w:rFonts w:ascii="Times New Roman" w:hAnsi="Times New Roman"/>
          <w:i/>
          <w:iCs/>
        </w:rPr>
        <w:t xml:space="preserve"> Assets (Authorised Transactions) Act 2012</w:t>
      </w:r>
      <w:r w:rsidR="00DC065B" w:rsidRPr="008A5AD9">
        <w:rPr>
          <w:rFonts w:ascii="Times New Roman" w:hAnsi="Times New Roman"/>
        </w:rPr>
        <w:t xml:space="preserve"> (NSW)</w:t>
      </w:r>
      <w:r w:rsidR="000A2760" w:rsidRPr="008A5AD9">
        <w:rPr>
          <w:rFonts w:ascii="Times New Roman" w:hAnsi="Times New Roman"/>
        </w:rPr>
        <w:t xml:space="preserve"> ("the </w:t>
      </w:r>
      <w:r w:rsidR="00324A11" w:rsidRPr="008A5AD9">
        <w:rPr>
          <w:rFonts w:ascii="Times New Roman" w:hAnsi="Times New Roman"/>
        </w:rPr>
        <w:t>PAAT</w:t>
      </w:r>
      <w:r w:rsidR="000A2760" w:rsidRPr="008A5AD9">
        <w:rPr>
          <w:rFonts w:ascii="Times New Roman" w:hAnsi="Times New Roman"/>
        </w:rPr>
        <w:t xml:space="preserve"> Act")</w:t>
      </w:r>
      <w:r w:rsidR="00201C78" w:rsidRPr="008A5AD9">
        <w:rPr>
          <w:rFonts w:ascii="Times New Roman" w:hAnsi="Times New Roman"/>
        </w:rPr>
        <w:t>.</w:t>
      </w:r>
    </w:p>
    <w:p w14:paraId="6AEE3509" w14:textId="6D799CE3" w:rsidR="00523B19" w:rsidRPr="008A5AD9" w:rsidRDefault="00532C04"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F80ED5" w:rsidRPr="008A5AD9">
        <w:rPr>
          <w:rFonts w:ascii="Times New Roman" w:hAnsi="Times New Roman"/>
        </w:rPr>
        <w:t xml:space="preserve">This appeal </w:t>
      </w:r>
      <w:r w:rsidR="002C0846" w:rsidRPr="008A5AD9">
        <w:rPr>
          <w:rFonts w:ascii="Times New Roman" w:hAnsi="Times New Roman"/>
        </w:rPr>
        <w:t xml:space="preserve">concerns </w:t>
      </w:r>
      <w:r w:rsidR="00F80ED5" w:rsidRPr="008A5AD9">
        <w:rPr>
          <w:rFonts w:ascii="Times New Roman" w:hAnsi="Times New Roman"/>
        </w:rPr>
        <w:t xml:space="preserve">the correctness of answers </w:t>
      </w:r>
      <w:r w:rsidR="002C0846" w:rsidRPr="008A5AD9">
        <w:rPr>
          <w:rFonts w:ascii="Times New Roman" w:hAnsi="Times New Roman"/>
        </w:rPr>
        <w:t>given by the primary judge (McElwaine J)</w:t>
      </w:r>
      <w:r w:rsidR="002C0846" w:rsidRPr="008A5AD9">
        <w:rPr>
          <w:rStyle w:val="FootnoteReference"/>
          <w:rFonts w:ascii="Times New Roman" w:hAnsi="Times New Roman"/>
          <w:sz w:val="24"/>
        </w:rPr>
        <w:footnoteReference w:id="2"/>
      </w:r>
      <w:r w:rsidR="002C0846" w:rsidRPr="008A5AD9">
        <w:rPr>
          <w:rFonts w:ascii="Times New Roman" w:hAnsi="Times New Roman"/>
        </w:rPr>
        <w:t xml:space="preserve"> and affirmed on appeal by the Full Court of the Federal Court (Lee, Colvin and Stewart JJ)</w:t>
      </w:r>
      <w:r w:rsidR="002C0846" w:rsidRPr="008A5AD9">
        <w:rPr>
          <w:rStyle w:val="FootnoteReference"/>
          <w:rFonts w:ascii="Times New Roman" w:hAnsi="Times New Roman"/>
          <w:sz w:val="24"/>
        </w:rPr>
        <w:footnoteReference w:id="3"/>
      </w:r>
      <w:r w:rsidR="002C0846" w:rsidRPr="008A5AD9">
        <w:rPr>
          <w:rFonts w:ascii="Times New Roman" w:hAnsi="Times New Roman"/>
        </w:rPr>
        <w:t xml:space="preserve"> </w:t>
      </w:r>
      <w:r w:rsidR="00F80ED5" w:rsidRPr="008A5AD9">
        <w:rPr>
          <w:rFonts w:ascii="Times New Roman" w:hAnsi="Times New Roman"/>
        </w:rPr>
        <w:t xml:space="preserve">to three separate questions stated for determination in </w:t>
      </w:r>
      <w:r w:rsidR="002C0846" w:rsidRPr="008A5AD9">
        <w:rPr>
          <w:rFonts w:ascii="Times New Roman" w:hAnsi="Times New Roman"/>
        </w:rPr>
        <w:t>the</w:t>
      </w:r>
      <w:r w:rsidR="00F80ED5" w:rsidRPr="008A5AD9">
        <w:rPr>
          <w:rFonts w:ascii="Times New Roman" w:hAnsi="Times New Roman"/>
        </w:rPr>
        <w:t xml:space="preserve"> proceeding</w:t>
      </w:r>
      <w:r w:rsidR="002C0846" w:rsidRPr="008A5AD9">
        <w:rPr>
          <w:rFonts w:ascii="Times New Roman" w:hAnsi="Times New Roman"/>
        </w:rPr>
        <w:t>.</w:t>
      </w:r>
      <w:r w:rsidR="009B235C" w:rsidRPr="008A5AD9">
        <w:rPr>
          <w:rFonts w:ascii="Times New Roman" w:hAnsi="Times New Roman"/>
        </w:rPr>
        <w:t xml:space="preserve"> </w:t>
      </w:r>
      <w:r w:rsidR="00A924DE" w:rsidRPr="008A5AD9">
        <w:rPr>
          <w:rFonts w:ascii="Times New Roman" w:hAnsi="Times New Roman"/>
        </w:rPr>
        <w:t>T</w:t>
      </w:r>
      <w:r w:rsidR="00085E61" w:rsidRPr="008A5AD9">
        <w:rPr>
          <w:rFonts w:ascii="Times New Roman" w:hAnsi="Times New Roman"/>
        </w:rPr>
        <w:t>he</w:t>
      </w:r>
      <w:r w:rsidR="00085E61" w:rsidRPr="008A5AD9" w:rsidDel="003469A9">
        <w:rPr>
          <w:rFonts w:ascii="Times New Roman" w:hAnsi="Times New Roman"/>
        </w:rPr>
        <w:t xml:space="preserve"> </w:t>
      </w:r>
      <w:r w:rsidR="003469A9" w:rsidRPr="008A5AD9">
        <w:rPr>
          <w:rFonts w:ascii="Times New Roman" w:hAnsi="Times New Roman"/>
        </w:rPr>
        <w:t xml:space="preserve">separate </w:t>
      </w:r>
      <w:r w:rsidR="00085E61" w:rsidRPr="008A5AD9">
        <w:rPr>
          <w:rFonts w:ascii="Times New Roman" w:hAnsi="Times New Roman"/>
        </w:rPr>
        <w:t>questions</w:t>
      </w:r>
      <w:r w:rsidR="00DF5246" w:rsidRPr="008A5AD9">
        <w:rPr>
          <w:rFonts w:ascii="Times New Roman" w:hAnsi="Times New Roman"/>
        </w:rPr>
        <w:t xml:space="preserve"> </w:t>
      </w:r>
      <w:r w:rsidR="00A924DE" w:rsidRPr="008A5AD9">
        <w:rPr>
          <w:rFonts w:ascii="Times New Roman" w:hAnsi="Times New Roman"/>
        </w:rPr>
        <w:t xml:space="preserve">were </w:t>
      </w:r>
      <w:r w:rsidR="009B235C" w:rsidRPr="008A5AD9">
        <w:rPr>
          <w:rFonts w:ascii="Times New Roman" w:hAnsi="Times New Roman"/>
        </w:rPr>
        <w:t>stated</w:t>
      </w:r>
      <w:r w:rsidR="00FD2377" w:rsidRPr="008A5AD9">
        <w:rPr>
          <w:rFonts w:ascii="Times New Roman" w:hAnsi="Times New Roman"/>
        </w:rPr>
        <w:t xml:space="preserve"> </w:t>
      </w:r>
      <w:r w:rsidR="00646E90" w:rsidRPr="008A5AD9">
        <w:rPr>
          <w:rFonts w:ascii="Times New Roman" w:hAnsi="Times New Roman"/>
        </w:rPr>
        <w:t>against the background of</w:t>
      </w:r>
      <w:r w:rsidR="000D023A" w:rsidRPr="008A5AD9">
        <w:rPr>
          <w:rFonts w:ascii="Times New Roman" w:hAnsi="Times New Roman"/>
        </w:rPr>
        <w:t xml:space="preserve"> </w:t>
      </w:r>
      <w:r w:rsidR="00107B9E" w:rsidRPr="008A5AD9">
        <w:rPr>
          <w:rFonts w:ascii="Times New Roman" w:hAnsi="Times New Roman"/>
        </w:rPr>
        <w:t>an</w:t>
      </w:r>
      <w:r w:rsidR="000D023A" w:rsidRPr="008A5AD9">
        <w:rPr>
          <w:rFonts w:ascii="Times New Roman" w:hAnsi="Times New Roman"/>
        </w:rPr>
        <w:t xml:space="preserve"> </w:t>
      </w:r>
      <w:r w:rsidR="003E545D" w:rsidRPr="008A5AD9">
        <w:rPr>
          <w:rFonts w:ascii="Times New Roman" w:hAnsi="Times New Roman"/>
        </w:rPr>
        <w:t xml:space="preserve">earlier </w:t>
      </w:r>
      <w:r w:rsidR="00D67272" w:rsidRPr="008A5AD9">
        <w:rPr>
          <w:rFonts w:ascii="Times New Roman" w:hAnsi="Times New Roman"/>
        </w:rPr>
        <w:t xml:space="preserve">proceeding </w:t>
      </w:r>
      <w:r w:rsidR="00751963" w:rsidRPr="008A5AD9">
        <w:rPr>
          <w:rFonts w:ascii="Times New Roman" w:hAnsi="Times New Roman"/>
        </w:rPr>
        <w:t xml:space="preserve">in the </w:t>
      </w:r>
      <w:r w:rsidR="00213A09" w:rsidRPr="008A5AD9">
        <w:rPr>
          <w:rFonts w:ascii="Times New Roman" w:hAnsi="Times New Roman"/>
        </w:rPr>
        <w:t xml:space="preserve">original jurisdiction of the </w:t>
      </w:r>
      <w:r w:rsidR="00751963" w:rsidRPr="008A5AD9">
        <w:rPr>
          <w:rFonts w:ascii="Times New Roman" w:hAnsi="Times New Roman"/>
        </w:rPr>
        <w:t xml:space="preserve">Federal Court </w:t>
      </w:r>
      <w:r w:rsidR="00286BDA" w:rsidRPr="008A5AD9">
        <w:rPr>
          <w:rFonts w:ascii="Times New Roman" w:hAnsi="Times New Roman"/>
        </w:rPr>
        <w:t xml:space="preserve">which </w:t>
      </w:r>
      <w:r w:rsidR="007C0E7E" w:rsidRPr="008A5AD9">
        <w:rPr>
          <w:rFonts w:ascii="Times New Roman" w:hAnsi="Times New Roman"/>
        </w:rPr>
        <w:t xml:space="preserve">culminated in </w:t>
      </w:r>
      <w:r w:rsidR="00845E14" w:rsidRPr="008A5AD9">
        <w:rPr>
          <w:rFonts w:ascii="Times New Roman" w:hAnsi="Times New Roman"/>
        </w:rPr>
        <w:t xml:space="preserve">the </w:t>
      </w:r>
      <w:r w:rsidR="00F04512" w:rsidRPr="008A5AD9">
        <w:rPr>
          <w:rFonts w:ascii="Times New Roman" w:hAnsi="Times New Roman"/>
        </w:rPr>
        <w:t xml:space="preserve">decision of </w:t>
      </w:r>
      <w:r w:rsidR="003E545D" w:rsidRPr="008A5AD9">
        <w:rPr>
          <w:rFonts w:ascii="Times New Roman" w:hAnsi="Times New Roman"/>
        </w:rPr>
        <w:t xml:space="preserve">a differently constituted </w:t>
      </w:r>
      <w:r w:rsidR="00107B9E" w:rsidRPr="008A5AD9">
        <w:rPr>
          <w:rFonts w:ascii="Times New Roman" w:hAnsi="Times New Roman"/>
        </w:rPr>
        <w:t>Full Court</w:t>
      </w:r>
      <w:r w:rsidR="009069CC" w:rsidRPr="008A5AD9">
        <w:rPr>
          <w:rFonts w:ascii="Times New Roman" w:hAnsi="Times New Roman"/>
        </w:rPr>
        <w:t xml:space="preserve"> </w:t>
      </w:r>
      <w:r w:rsidR="00691883" w:rsidRPr="008A5AD9">
        <w:rPr>
          <w:rFonts w:ascii="Times New Roman" w:hAnsi="Times New Roman"/>
        </w:rPr>
        <w:t>(</w:t>
      </w:r>
      <w:r w:rsidR="00E511AB" w:rsidRPr="008A5AD9">
        <w:rPr>
          <w:rFonts w:ascii="Times New Roman" w:hAnsi="Times New Roman"/>
        </w:rPr>
        <w:t>Allsop CJ</w:t>
      </w:r>
      <w:r w:rsidR="00D61488" w:rsidRPr="008A5AD9">
        <w:rPr>
          <w:rFonts w:ascii="Times New Roman" w:hAnsi="Times New Roman"/>
        </w:rPr>
        <w:t xml:space="preserve">, </w:t>
      </w:r>
      <w:r w:rsidR="00E511AB" w:rsidRPr="008A5AD9">
        <w:rPr>
          <w:rFonts w:ascii="Times New Roman" w:hAnsi="Times New Roman"/>
        </w:rPr>
        <w:t xml:space="preserve">Yates </w:t>
      </w:r>
      <w:r w:rsidR="00D61488" w:rsidRPr="008A5AD9">
        <w:rPr>
          <w:rFonts w:ascii="Times New Roman" w:hAnsi="Times New Roman"/>
        </w:rPr>
        <w:t xml:space="preserve">and </w:t>
      </w:r>
      <w:r w:rsidR="00E511AB" w:rsidRPr="008A5AD9">
        <w:rPr>
          <w:rFonts w:ascii="Times New Roman" w:hAnsi="Times New Roman"/>
        </w:rPr>
        <w:t xml:space="preserve">Beach </w:t>
      </w:r>
      <w:r w:rsidR="00D61488" w:rsidRPr="008A5AD9">
        <w:rPr>
          <w:rFonts w:ascii="Times New Roman" w:hAnsi="Times New Roman"/>
        </w:rPr>
        <w:t>J</w:t>
      </w:r>
      <w:r w:rsidR="00E511AB" w:rsidRPr="008A5AD9">
        <w:rPr>
          <w:rFonts w:ascii="Times New Roman" w:hAnsi="Times New Roman"/>
        </w:rPr>
        <w:t>J)</w:t>
      </w:r>
      <w:r w:rsidR="00845E14" w:rsidRPr="008A5AD9">
        <w:rPr>
          <w:rFonts w:ascii="Times New Roman" w:hAnsi="Times New Roman"/>
        </w:rPr>
        <w:t xml:space="preserve"> in </w:t>
      </w:r>
      <w:r w:rsidR="00845E14" w:rsidRPr="008A5AD9">
        <w:rPr>
          <w:rFonts w:ascii="Times New Roman" w:hAnsi="Times New Roman"/>
          <w:i/>
          <w:iCs/>
        </w:rPr>
        <w:t>Australian Competition and Consumer Commission v NSW Ports Operations Hold Co Pty Ltd (</w:t>
      </w:r>
      <w:r w:rsidR="00845E14" w:rsidRPr="008A5AD9">
        <w:rPr>
          <w:rFonts w:ascii="Times New Roman" w:hAnsi="Times New Roman"/>
        </w:rPr>
        <w:t>"</w:t>
      </w:r>
      <w:r w:rsidR="00845E14" w:rsidRPr="008A5AD9">
        <w:rPr>
          <w:rFonts w:ascii="Times New Roman" w:hAnsi="Times New Roman"/>
          <w:i/>
          <w:iCs/>
        </w:rPr>
        <w:t>ACCC v NSW Ports</w:t>
      </w:r>
      <w:r w:rsidR="00845E14" w:rsidRPr="008A5AD9">
        <w:rPr>
          <w:rFonts w:ascii="Times New Roman" w:hAnsi="Times New Roman"/>
        </w:rPr>
        <w:t>"</w:t>
      </w:r>
      <w:r w:rsidR="00C52805" w:rsidRPr="008A5AD9">
        <w:rPr>
          <w:rFonts w:ascii="Times New Roman" w:hAnsi="Times New Roman"/>
        </w:rPr>
        <w:t>)</w:t>
      </w:r>
      <w:r w:rsidR="00F04512" w:rsidRPr="008A5AD9">
        <w:rPr>
          <w:rFonts w:ascii="Times New Roman" w:hAnsi="Times New Roman"/>
        </w:rPr>
        <w:t>.</w:t>
      </w:r>
      <w:r w:rsidR="00845E14" w:rsidRPr="008A5AD9">
        <w:rPr>
          <w:rStyle w:val="FootnoteReference"/>
          <w:rFonts w:ascii="Times New Roman" w:hAnsi="Times New Roman"/>
          <w:sz w:val="24"/>
        </w:rPr>
        <w:footnoteReference w:id="4"/>
      </w:r>
      <w:r w:rsidR="00C52805" w:rsidRPr="008A5AD9">
        <w:rPr>
          <w:rFonts w:ascii="Times New Roman" w:hAnsi="Times New Roman"/>
        </w:rPr>
        <w:t xml:space="preserve"> </w:t>
      </w:r>
      <w:r w:rsidR="00457451" w:rsidRPr="008A5AD9">
        <w:rPr>
          <w:rFonts w:ascii="Times New Roman" w:hAnsi="Times New Roman"/>
        </w:rPr>
        <w:t>The Full Court in that earlier decision rejected</w:t>
      </w:r>
      <w:r w:rsidR="005C1053" w:rsidRPr="008A5AD9">
        <w:rPr>
          <w:rFonts w:ascii="Times New Roman" w:hAnsi="Times New Roman"/>
        </w:rPr>
        <w:t xml:space="preserve"> a </w:t>
      </w:r>
      <w:r w:rsidR="00213A09" w:rsidRPr="008A5AD9">
        <w:rPr>
          <w:rFonts w:ascii="Times New Roman" w:hAnsi="Times New Roman"/>
        </w:rPr>
        <w:t>materially</w:t>
      </w:r>
      <w:r w:rsidR="005C1053" w:rsidRPr="008A5AD9">
        <w:rPr>
          <w:rFonts w:ascii="Times New Roman" w:hAnsi="Times New Roman"/>
        </w:rPr>
        <w:t xml:space="preserve"> identical claim</w:t>
      </w:r>
      <w:r w:rsidR="006B0ADE" w:rsidRPr="008A5AD9">
        <w:rPr>
          <w:rFonts w:ascii="Times New Roman" w:hAnsi="Times New Roman"/>
        </w:rPr>
        <w:t xml:space="preserve"> </w:t>
      </w:r>
      <w:r w:rsidR="003E74F4" w:rsidRPr="008A5AD9">
        <w:rPr>
          <w:rFonts w:ascii="Times New Roman" w:hAnsi="Times New Roman"/>
        </w:rPr>
        <w:t xml:space="preserve">of contravention </w:t>
      </w:r>
      <w:r w:rsidR="002F4918" w:rsidRPr="008A5AD9">
        <w:rPr>
          <w:rFonts w:ascii="Times New Roman" w:hAnsi="Times New Roman"/>
        </w:rPr>
        <w:t>of s 45 of the CCA</w:t>
      </w:r>
      <w:r w:rsidR="00C52805" w:rsidRPr="008A5AD9">
        <w:rPr>
          <w:rFonts w:ascii="Times New Roman" w:hAnsi="Times New Roman"/>
        </w:rPr>
        <w:t xml:space="preserve"> </w:t>
      </w:r>
      <w:r w:rsidR="00FE06E4" w:rsidRPr="008A5AD9">
        <w:rPr>
          <w:rFonts w:ascii="Times New Roman" w:hAnsi="Times New Roman"/>
        </w:rPr>
        <w:t xml:space="preserve">brought </w:t>
      </w:r>
      <w:r w:rsidR="006B0ADE" w:rsidRPr="008A5AD9">
        <w:rPr>
          <w:rFonts w:ascii="Times New Roman" w:hAnsi="Times New Roman"/>
        </w:rPr>
        <w:t>by the Australian Competition and Consumer Commission</w:t>
      </w:r>
      <w:r w:rsidR="009F0EB6" w:rsidRPr="008A5AD9">
        <w:rPr>
          <w:rFonts w:ascii="Times New Roman" w:hAnsi="Times New Roman"/>
        </w:rPr>
        <w:t xml:space="preserve"> ("the ACCC")</w:t>
      </w:r>
      <w:r w:rsidR="00A610A2" w:rsidRPr="008A5AD9">
        <w:rPr>
          <w:rFonts w:ascii="Times New Roman" w:hAnsi="Times New Roman"/>
        </w:rPr>
        <w:t xml:space="preserve"> against Port Operations in respect of essentially the same conduct</w:t>
      </w:r>
      <w:r w:rsidR="00845E14" w:rsidRPr="008A5AD9">
        <w:rPr>
          <w:rFonts w:ascii="Times New Roman" w:hAnsi="Times New Roman"/>
        </w:rPr>
        <w:t>.</w:t>
      </w:r>
    </w:p>
    <w:p w14:paraId="6FB47A92" w14:textId="7D8E7248" w:rsidR="008648EC" w:rsidRPr="008A5AD9" w:rsidRDefault="00523B19"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8D7463" w:rsidRPr="008A5AD9">
        <w:rPr>
          <w:rFonts w:ascii="Times New Roman" w:hAnsi="Times New Roman"/>
        </w:rPr>
        <w:t xml:space="preserve">For </w:t>
      </w:r>
      <w:r w:rsidR="00710411" w:rsidRPr="008A5AD9">
        <w:rPr>
          <w:rFonts w:ascii="Times New Roman" w:hAnsi="Times New Roman"/>
        </w:rPr>
        <w:t xml:space="preserve">the </w:t>
      </w:r>
      <w:r w:rsidR="008D7463" w:rsidRPr="008A5AD9">
        <w:rPr>
          <w:rFonts w:ascii="Times New Roman" w:hAnsi="Times New Roman"/>
        </w:rPr>
        <w:t xml:space="preserve">reasons </w:t>
      </w:r>
      <w:r w:rsidR="0065768B" w:rsidRPr="008A5AD9">
        <w:rPr>
          <w:rFonts w:ascii="Times New Roman" w:hAnsi="Times New Roman"/>
        </w:rPr>
        <w:t>explained</w:t>
      </w:r>
      <w:r w:rsidR="002677D3" w:rsidRPr="008A5AD9">
        <w:rPr>
          <w:rFonts w:ascii="Times New Roman" w:hAnsi="Times New Roman"/>
        </w:rPr>
        <w:t xml:space="preserve"> by </w:t>
      </w:r>
      <w:r w:rsidR="00FC3D19" w:rsidRPr="008A5AD9">
        <w:rPr>
          <w:rFonts w:ascii="Times New Roman" w:hAnsi="Times New Roman"/>
        </w:rPr>
        <w:t>Gordon</w:t>
      </w:r>
      <w:r w:rsidR="006B0ADE" w:rsidRPr="008A5AD9">
        <w:rPr>
          <w:rFonts w:ascii="Times New Roman" w:hAnsi="Times New Roman"/>
        </w:rPr>
        <w:t xml:space="preserve">, </w:t>
      </w:r>
      <w:r w:rsidR="00FC3D19" w:rsidRPr="008A5AD9">
        <w:rPr>
          <w:rFonts w:ascii="Times New Roman" w:hAnsi="Times New Roman"/>
        </w:rPr>
        <w:t xml:space="preserve">Gleeson </w:t>
      </w:r>
      <w:r w:rsidR="006B0ADE" w:rsidRPr="008A5AD9">
        <w:rPr>
          <w:rFonts w:ascii="Times New Roman" w:hAnsi="Times New Roman"/>
        </w:rPr>
        <w:t>and Beech-Jones JJ</w:t>
      </w:r>
      <w:r w:rsidR="00907C2C" w:rsidRPr="008A5AD9">
        <w:rPr>
          <w:rFonts w:ascii="Times New Roman" w:hAnsi="Times New Roman"/>
        </w:rPr>
        <w:t xml:space="preserve">, </w:t>
      </w:r>
      <w:r w:rsidR="00BF65AC" w:rsidRPr="008A5AD9">
        <w:rPr>
          <w:rFonts w:ascii="Times New Roman" w:hAnsi="Times New Roman"/>
        </w:rPr>
        <w:t xml:space="preserve">I consider </w:t>
      </w:r>
      <w:r w:rsidR="00E17526" w:rsidRPr="008A5AD9">
        <w:rPr>
          <w:rFonts w:ascii="Times New Roman" w:hAnsi="Times New Roman"/>
        </w:rPr>
        <w:t xml:space="preserve">the answers </w:t>
      </w:r>
      <w:r w:rsidR="002F13C4" w:rsidRPr="008A5AD9">
        <w:rPr>
          <w:rFonts w:ascii="Times New Roman" w:hAnsi="Times New Roman"/>
        </w:rPr>
        <w:t xml:space="preserve">given by </w:t>
      </w:r>
      <w:r w:rsidR="00FD5CD0" w:rsidRPr="008A5AD9">
        <w:rPr>
          <w:rFonts w:ascii="Times New Roman" w:hAnsi="Times New Roman"/>
        </w:rPr>
        <w:t xml:space="preserve">the primary judge and affirmed by </w:t>
      </w:r>
      <w:r w:rsidR="002F13C4" w:rsidRPr="008A5AD9">
        <w:rPr>
          <w:rFonts w:ascii="Times New Roman" w:hAnsi="Times New Roman"/>
        </w:rPr>
        <w:t xml:space="preserve">the Full Court </w:t>
      </w:r>
      <w:r w:rsidR="00583651" w:rsidRPr="008A5AD9">
        <w:rPr>
          <w:rFonts w:ascii="Times New Roman" w:hAnsi="Times New Roman"/>
        </w:rPr>
        <w:t>to two of the</w:t>
      </w:r>
      <w:r w:rsidR="006D7B56" w:rsidRPr="008A5AD9">
        <w:rPr>
          <w:rFonts w:ascii="Times New Roman" w:hAnsi="Times New Roman"/>
        </w:rPr>
        <w:t xml:space="preserve"> </w:t>
      </w:r>
      <w:r w:rsidR="00085E61" w:rsidRPr="008A5AD9">
        <w:rPr>
          <w:rFonts w:ascii="Times New Roman" w:hAnsi="Times New Roman"/>
        </w:rPr>
        <w:t>question</w:t>
      </w:r>
      <w:r w:rsidR="00C56EA4" w:rsidRPr="008A5AD9">
        <w:rPr>
          <w:rFonts w:ascii="Times New Roman" w:hAnsi="Times New Roman"/>
        </w:rPr>
        <w:t>s</w:t>
      </w:r>
      <w:r w:rsidR="0040135F" w:rsidRPr="008A5AD9">
        <w:rPr>
          <w:rFonts w:ascii="Times New Roman" w:hAnsi="Times New Roman"/>
        </w:rPr>
        <w:t xml:space="preserve"> </w:t>
      </w:r>
      <w:r w:rsidR="00C11D0A" w:rsidRPr="008A5AD9">
        <w:rPr>
          <w:rFonts w:ascii="Times New Roman" w:hAnsi="Times New Roman"/>
        </w:rPr>
        <w:t>indubitably</w:t>
      </w:r>
      <w:r w:rsidR="00704990" w:rsidRPr="008A5AD9">
        <w:rPr>
          <w:rFonts w:ascii="Times New Roman" w:hAnsi="Times New Roman"/>
        </w:rPr>
        <w:t xml:space="preserve"> </w:t>
      </w:r>
      <w:r w:rsidR="00E05E79" w:rsidRPr="008A5AD9">
        <w:rPr>
          <w:rFonts w:ascii="Times New Roman" w:hAnsi="Times New Roman"/>
        </w:rPr>
        <w:t>correct</w:t>
      </w:r>
      <w:r w:rsidR="00DD3FBC" w:rsidRPr="008A5AD9">
        <w:rPr>
          <w:rFonts w:ascii="Times New Roman" w:hAnsi="Times New Roman"/>
        </w:rPr>
        <w:t xml:space="preserve">. </w:t>
      </w:r>
      <w:r w:rsidR="004F13AA" w:rsidRPr="008A5AD9">
        <w:rPr>
          <w:rFonts w:ascii="Times New Roman" w:hAnsi="Times New Roman"/>
        </w:rPr>
        <w:t>Mayfield</w:t>
      </w:r>
      <w:r w:rsidR="00B80689" w:rsidRPr="008A5AD9">
        <w:rPr>
          <w:rFonts w:ascii="Times New Roman" w:hAnsi="Times New Roman"/>
        </w:rPr>
        <w:t xml:space="preserve"> is not precluded from pursuing</w:t>
      </w:r>
      <w:r w:rsidR="004F13AA" w:rsidRPr="008A5AD9">
        <w:rPr>
          <w:rFonts w:ascii="Times New Roman" w:hAnsi="Times New Roman"/>
        </w:rPr>
        <w:t xml:space="preserve"> </w:t>
      </w:r>
      <w:r w:rsidR="001114AF" w:rsidRPr="008A5AD9">
        <w:rPr>
          <w:rFonts w:ascii="Times New Roman" w:hAnsi="Times New Roman"/>
        </w:rPr>
        <w:t>its</w:t>
      </w:r>
      <w:r w:rsidR="004F13AA" w:rsidRPr="008A5AD9">
        <w:rPr>
          <w:rFonts w:ascii="Times New Roman" w:hAnsi="Times New Roman"/>
        </w:rPr>
        <w:t xml:space="preserve"> claim in</w:t>
      </w:r>
      <w:r w:rsidR="00CD666E" w:rsidRPr="008A5AD9">
        <w:rPr>
          <w:rFonts w:ascii="Times New Roman" w:hAnsi="Times New Roman"/>
        </w:rPr>
        <w:t xml:space="preserve"> the</w:t>
      </w:r>
      <w:r w:rsidR="008314BD" w:rsidRPr="008A5AD9">
        <w:rPr>
          <w:rFonts w:ascii="Times New Roman" w:hAnsi="Times New Roman"/>
        </w:rPr>
        <w:t xml:space="preserve"> </w:t>
      </w:r>
      <w:r w:rsidR="00CD666E" w:rsidRPr="008A5AD9">
        <w:rPr>
          <w:rFonts w:ascii="Times New Roman" w:hAnsi="Times New Roman"/>
        </w:rPr>
        <w:t>proceeding</w:t>
      </w:r>
      <w:r w:rsidR="00B072FD" w:rsidRPr="008A5AD9">
        <w:rPr>
          <w:rFonts w:ascii="Times New Roman" w:hAnsi="Times New Roman"/>
        </w:rPr>
        <w:t xml:space="preserve"> </w:t>
      </w:r>
      <w:r w:rsidR="00CF73F0" w:rsidRPr="008A5AD9">
        <w:rPr>
          <w:rFonts w:ascii="Times New Roman" w:hAnsi="Times New Roman"/>
        </w:rPr>
        <w:t>by</w:t>
      </w:r>
      <w:r w:rsidR="00B072FD" w:rsidRPr="008A5AD9">
        <w:rPr>
          <w:rFonts w:ascii="Times New Roman" w:hAnsi="Times New Roman"/>
        </w:rPr>
        <w:t xml:space="preserve"> reason of its </w:t>
      </w:r>
      <w:r w:rsidR="000C25B4" w:rsidRPr="008A5AD9">
        <w:rPr>
          <w:rFonts w:ascii="Times New Roman" w:hAnsi="Times New Roman"/>
        </w:rPr>
        <w:t>limited</w:t>
      </w:r>
      <w:r w:rsidR="00E0114B" w:rsidRPr="008A5AD9">
        <w:rPr>
          <w:rFonts w:ascii="Times New Roman" w:hAnsi="Times New Roman"/>
        </w:rPr>
        <w:t xml:space="preserve"> participat</w:t>
      </w:r>
      <w:r w:rsidR="000C25B4" w:rsidRPr="008A5AD9">
        <w:rPr>
          <w:rFonts w:ascii="Times New Roman" w:hAnsi="Times New Roman"/>
        </w:rPr>
        <w:t>ion</w:t>
      </w:r>
      <w:r w:rsidR="00E0114B" w:rsidRPr="008A5AD9">
        <w:rPr>
          <w:rFonts w:ascii="Times New Roman" w:hAnsi="Times New Roman"/>
        </w:rPr>
        <w:t xml:space="preserve"> in th</w:t>
      </w:r>
      <w:r w:rsidR="00AF5E9E" w:rsidRPr="008A5AD9">
        <w:rPr>
          <w:rFonts w:ascii="Times New Roman" w:hAnsi="Times New Roman"/>
        </w:rPr>
        <w:t>e</w:t>
      </w:r>
      <w:r w:rsidR="00E0114B" w:rsidRPr="008A5AD9">
        <w:rPr>
          <w:rFonts w:ascii="Times New Roman" w:hAnsi="Times New Roman"/>
        </w:rPr>
        <w:t xml:space="preserve"> </w:t>
      </w:r>
      <w:r w:rsidR="0094562D" w:rsidRPr="008A5AD9">
        <w:rPr>
          <w:rFonts w:ascii="Times New Roman" w:hAnsi="Times New Roman"/>
        </w:rPr>
        <w:t>earlier proceeding</w:t>
      </w:r>
      <w:r w:rsidR="00DD3FBC" w:rsidRPr="008A5AD9">
        <w:rPr>
          <w:rFonts w:ascii="Times New Roman" w:hAnsi="Times New Roman"/>
        </w:rPr>
        <w:t>. N</w:t>
      </w:r>
      <w:r w:rsidR="00710341" w:rsidRPr="008A5AD9">
        <w:rPr>
          <w:rFonts w:ascii="Times New Roman" w:hAnsi="Times New Roman"/>
        </w:rPr>
        <w:t xml:space="preserve">or is </w:t>
      </w:r>
      <w:r w:rsidR="001114AF" w:rsidRPr="008A5AD9">
        <w:rPr>
          <w:rFonts w:ascii="Times New Roman" w:hAnsi="Times New Roman"/>
        </w:rPr>
        <w:t xml:space="preserve">the proceeding </w:t>
      </w:r>
      <w:r w:rsidR="00E7660A" w:rsidRPr="008A5AD9">
        <w:rPr>
          <w:rFonts w:ascii="Times New Roman" w:hAnsi="Times New Roman"/>
        </w:rPr>
        <w:t xml:space="preserve">barred by </w:t>
      </w:r>
      <w:r w:rsidR="007A05D6" w:rsidRPr="008A5AD9">
        <w:rPr>
          <w:rFonts w:ascii="Times New Roman" w:hAnsi="Times New Roman"/>
        </w:rPr>
        <w:t xml:space="preserve">the terms of </w:t>
      </w:r>
      <w:r w:rsidR="001C69CD" w:rsidRPr="008A5AD9">
        <w:rPr>
          <w:rFonts w:ascii="Times New Roman" w:hAnsi="Times New Roman"/>
        </w:rPr>
        <w:t>a deed of release</w:t>
      </w:r>
      <w:r w:rsidR="00ED6AE3" w:rsidRPr="008A5AD9">
        <w:rPr>
          <w:rFonts w:ascii="Times New Roman" w:hAnsi="Times New Roman"/>
        </w:rPr>
        <w:t xml:space="preserve"> </w:t>
      </w:r>
      <w:proofErr w:type="gramStart"/>
      <w:r w:rsidR="007A05D6" w:rsidRPr="008A5AD9">
        <w:rPr>
          <w:rFonts w:ascii="Times New Roman" w:hAnsi="Times New Roman"/>
        </w:rPr>
        <w:t>entered into</w:t>
      </w:r>
      <w:proofErr w:type="gramEnd"/>
      <w:r w:rsidR="007A05D6" w:rsidRPr="008A5AD9">
        <w:rPr>
          <w:rFonts w:ascii="Times New Roman" w:hAnsi="Times New Roman"/>
        </w:rPr>
        <w:t xml:space="preserve"> </w:t>
      </w:r>
      <w:r w:rsidR="008F0461" w:rsidRPr="008A5AD9">
        <w:rPr>
          <w:rFonts w:ascii="Times New Roman" w:hAnsi="Times New Roman"/>
        </w:rPr>
        <w:t>by Mayfield and</w:t>
      </w:r>
      <w:r w:rsidR="00ED6AE3" w:rsidRPr="008A5AD9">
        <w:rPr>
          <w:rFonts w:ascii="Times New Roman" w:hAnsi="Times New Roman"/>
        </w:rPr>
        <w:t xml:space="preserve"> the State</w:t>
      </w:r>
      <w:r w:rsidR="005510DF" w:rsidRPr="008A5AD9">
        <w:rPr>
          <w:rFonts w:ascii="Times New Roman" w:hAnsi="Times New Roman"/>
        </w:rPr>
        <w:t>.</w:t>
      </w:r>
    </w:p>
    <w:p w14:paraId="1DDD269B" w14:textId="1AD22903" w:rsidR="00623261" w:rsidRPr="008A5AD9" w:rsidRDefault="000D21BB"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5125A5" w:rsidRPr="008A5AD9">
        <w:rPr>
          <w:rFonts w:ascii="Times New Roman" w:hAnsi="Times New Roman"/>
        </w:rPr>
        <w:t xml:space="preserve">The </w:t>
      </w:r>
      <w:r w:rsidR="00091445" w:rsidRPr="008A5AD9">
        <w:rPr>
          <w:rFonts w:ascii="Times New Roman" w:hAnsi="Times New Roman"/>
        </w:rPr>
        <w:t>remaining</w:t>
      </w:r>
      <w:r w:rsidR="00736C73" w:rsidRPr="008A5AD9">
        <w:rPr>
          <w:rFonts w:ascii="Times New Roman" w:hAnsi="Times New Roman"/>
        </w:rPr>
        <w:t xml:space="preserve"> </w:t>
      </w:r>
      <w:r w:rsidR="00C32F3E" w:rsidRPr="008A5AD9">
        <w:rPr>
          <w:rFonts w:ascii="Times New Roman" w:hAnsi="Times New Roman"/>
        </w:rPr>
        <w:t>question</w:t>
      </w:r>
      <w:r w:rsidR="00CB5EF8" w:rsidRPr="008A5AD9">
        <w:rPr>
          <w:rFonts w:ascii="Times New Roman" w:hAnsi="Times New Roman"/>
        </w:rPr>
        <w:t xml:space="preserve"> was</w:t>
      </w:r>
      <w:r w:rsidR="00F972F5" w:rsidRPr="008A5AD9">
        <w:rPr>
          <w:rFonts w:ascii="Times New Roman" w:hAnsi="Times New Roman"/>
        </w:rPr>
        <w:t xml:space="preserve"> framed to </w:t>
      </w:r>
      <w:r w:rsidR="00C9030A" w:rsidRPr="008A5AD9">
        <w:rPr>
          <w:rFonts w:ascii="Times New Roman" w:hAnsi="Times New Roman"/>
        </w:rPr>
        <w:t xml:space="preserve">ask whether "derivative Crown immunity" is </w:t>
      </w:r>
      <w:r w:rsidR="00A9308D" w:rsidRPr="008A5AD9">
        <w:rPr>
          <w:rFonts w:ascii="Times New Roman" w:hAnsi="Times New Roman"/>
        </w:rPr>
        <w:t>"</w:t>
      </w:r>
      <w:r w:rsidR="00C9030A" w:rsidRPr="008A5AD9">
        <w:rPr>
          <w:rFonts w:ascii="Times New Roman" w:hAnsi="Times New Roman"/>
        </w:rPr>
        <w:t xml:space="preserve">a complete </w:t>
      </w:r>
      <w:r w:rsidR="00A9308D" w:rsidRPr="008A5AD9">
        <w:rPr>
          <w:rFonts w:ascii="Times New Roman" w:hAnsi="Times New Roman"/>
        </w:rPr>
        <w:t xml:space="preserve">answer" to </w:t>
      </w:r>
      <w:r w:rsidR="00345FA9" w:rsidRPr="008A5AD9">
        <w:rPr>
          <w:rFonts w:ascii="Times New Roman" w:hAnsi="Times New Roman"/>
        </w:rPr>
        <w:t>Mayfield's claim that Port Operations contravened ss 45 and 45DA of the CCA</w:t>
      </w:r>
      <w:r w:rsidR="007A661E" w:rsidRPr="008A5AD9">
        <w:rPr>
          <w:rFonts w:ascii="Times New Roman" w:hAnsi="Times New Roman"/>
        </w:rPr>
        <w:t xml:space="preserve">. </w:t>
      </w:r>
      <w:r w:rsidR="008F2BAB" w:rsidRPr="008A5AD9">
        <w:rPr>
          <w:rFonts w:ascii="Times New Roman" w:hAnsi="Times New Roman"/>
        </w:rPr>
        <w:t>Properly</w:t>
      </w:r>
      <w:r w:rsidR="00E73B26" w:rsidRPr="008A5AD9">
        <w:rPr>
          <w:rFonts w:ascii="Times New Roman" w:hAnsi="Times New Roman"/>
        </w:rPr>
        <w:t xml:space="preserve"> </w:t>
      </w:r>
      <w:r w:rsidR="00C960A5" w:rsidRPr="008A5AD9">
        <w:rPr>
          <w:rFonts w:ascii="Times New Roman" w:hAnsi="Times New Roman"/>
        </w:rPr>
        <w:t>regarding</w:t>
      </w:r>
      <w:r w:rsidR="00DA3104" w:rsidRPr="008A5AD9">
        <w:rPr>
          <w:rFonts w:ascii="Times New Roman" w:hAnsi="Times New Roman"/>
        </w:rPr>
        <w:t xml:space="preserve"> itself as</w:t>
      </w:r>
      <w:r w:rsidR="00C5748B" w:rsidRPr="008A5AD9">
        <w:rPr>
          <w:rFonts w:ascii="Times New Roman" w:hAnsi="Times New Roman"/>
        </w:rPr>
        <w:t xml:space="preserve"> </w:t>
      </w:r>
      <w:r w:rsidR="006714AC" w:rsidRPr="008A5AD9">
        <w:rPr>
          <w:rFonts w:ascii="Times New Roman" w:hAnsi="Times New Roman"/>
        </w:rPr>
        <w:t>constrained</w:t>
      </w:r>
      <w:r w:rsidR="00DA3104" w:rsidRPr="008A5AD9">
        <w:rPr>
          <w:rFonts w:ascii="Times New Roman" w:hAnsi="Times New Roman"/>
        </w:rPr>
        <w:t xml:space="preserve"> </w:t>
      </w:r>
      <w:r w:rsidR="00C5748B" w:rsidRPr="008A5AD9">
        <w:rPr>
          <w:rFonts w:ascii="Times New Roman" w:hAnsi="Times New Roman"/>
        </w:rPr>
        <w:t>to follow</w:t>
      </w:r>
      <w:r w:rsidR="00EF3D40" w:rsidRPr="008A5AD9">
        <w:rPr>
          <w:rFonts w:ascii="Times New Roman" w:hAnsi="Times New Roman"/>
        </w:rPr>
        <w:t xml:space="preserve"> the reasoning of </w:t>
      </w:r>
      <w:r w:rsidR="00CD5437" w:rsidRPr="008A5AD9">
        <w:rPr>
          <w:rFonts w:ascii="Times New Roman" w:hAnsi="Times New Roman"/>
        </w:rPr>
        <w:t>the majority</w:t>
      </w:r>
      <w:r w:rsidR="00EF3D40" w:rsidRPr="008A5AD9">
        <w:rPr>
          <w:rFonts w:ascii="Times New Roman" w:hAnsi="Times New Roman"/>
        </w:rPr>
        <w:t xml:space="preserve"> in</w:t>
      </w:r>
      <w:r w:rsidR="008505F3" w:rsidRPr="008A5AD9">
        <w:rPr>
          <w:rFonts w:ascii="Times New Roman" w:hAnsi="Times New Roman"/>
        </w:rPr>
        <w:t xml:space="preserve"> </w:t>
      </w:r>
      <w:r w:rsidR="008505F3" w:rsidRPr="008A5AD9">
        <w:rPr>
          <w:rFonts w:ascii="Times New Roman" w:hAnsi="Times New Roman"/>
          <w:i/>
          <w:iCs/>
        </w:rPr>
        <w:t>ACCC v NSW Ports</w:t>
      </w:r>
      <w:r w:rsidR="00AC6E5A" w:rsidRPr="008A5AD9" w:rsidDel="00FD1716">
        <w:rPr>
          <w:rFonts w:ascii="Times New Roman" w:hAnsi="Times New Roman"/>
        </w:rPr>
        <w:t>,</w:t>
      </w:r>
      <w:r w:rsidR="00AC6E5A" w:rsidRPr="008A5AD9">
        <w:rPr>
          <w:rFonts w:ascii="Times New Roman" w:hAnsi="Times New Roman"/>
        </w:rPr>
        <w:t xml:space="preserve"> absent</w:t>
      </w:r>
      <w:r w:rsidR="002645A4" w:rsidRPr="008A5AD9">
        <w:rPr>
          <w:rFonts w:ascii="Times New Roman" w:hAnsi="Times New Roman"/>
        </w:rPr>
        <w:t xml:space="preserve"> </w:t>
      </w:r>
      <w:r w:rsidR="00817725" w:rsidRPr="008A5AD9">
        <w:rPr>
          <w:rFonts w:ascii="Times New Roman" w:hAnsi="Times New Roman"/>
        </w:rPr>
        <w:t xml:space="preserve">"compelling </w:t>
      </w:r>
      <w:r w:rsidR="00817725" w:rsidRPr="008A5AD9">
        <w:rPr>
          <w:rFonts w:ascii="Times New Roman" w:hAnsi="Times New Roman"/>
        </w:rPr>
        <w:lastRenderedPageBreak/>
        <w:t xml:space="preserve">reasons" for considering </w:t>
      </w:r>
      <w:r w:rsidR="007749FE" w:rsidRPr="008A5AD9">
        <w:rPr>
          <w:rFonts w:ascii="Times New Roman" w:hAnsi="Times New Roman"/>
        </w:rPr>
        <w:t>that reasoning to have been</w:t>
      </w:r>
      <w:r w:rsidR="00B25D59" w:rsidRPr="008A5AD9">
        <w:rPr>
          <w:rFonts w:ascii="Times New Roman" w:hAnsi="Times New Roman"/>
        </w:rPr>
        <w:t xml:space="preserve"> wrong,</w:t>
      </w:r>
      <w:r w:rsidR="00B25D59" w:rsidRPr="008A5AD9">
        <w:rPr>
          <w:rStyle w:val="FootnoteReference"/>
          <w:rFonts w:ascii="Times New Roman" w:hAnsi="Times New Roman"/>
          <w:sz w:val="24"/>
        </w:rPr>
        <w:footnoteReference w:id="5"/>
      </w:r>
      <w:r w:rsidR="00B25D59" w:rsidRPr="008A5AD9">
        <w:rPr>
          <w:rFonts w:ascii="Times New Roman" w:hAnsi="Times New Roman"/>
        </w:rPr>
        <w:t xml:space="preserve"> </w:t>
      </w:r>
      <w:r w:rsidR="006C7753" w:rsidRPr="008A5AD9">
        <w:rPr>
          <w:rFonts w:ascii="Times New Roman" w:hAnsi="Times New Roman"/>
        </w:rPr>
        <w:t>the Full Court</w:t>
      </w:r>
      <w:r w:rsidR="00331DA9" w:rsidRPr="008A5AD9">
        <w:rPr>
          <w:rFonts w:ascii="Times New Roman" w:hAnsi="Times New Roman"/>
        </w:rPr>
        <w:t xml:space="preserve"> </w:t>
      </w:r>
      <w:r w:rsidR="007D57E0" w:rsidRPr="008A5AD9">
        <w:rPr>
          <w:rFonts w:ascii="Times New Roman" w:hAnsi="Times New Roman"/>
        </w:rPr>
        <w:t xml:space="preserve">unanimously </w:t>
      </w:r>
      <w:r w:rsidR="0027221B" w:rsidRPr="008A5AD9">
        <w:rPr>
          <w:rFonts w:ascii="Times New Roman" w:hAnsi="Times New Roman"/>
        </w:rPr>
        <w:t xml:space="preserve">affirmed the </w:t>
      </w:r>
      <w:r w:rsidR="00A94299" w:rsidRPr="008A5AD9">
        <w:rPr>
          <w:rFonts w:ascii="Times New Roman" w:hAnsi="Times New Roman"/>
        </w:rPr>
        <w:t>answer</w:t>
      </w:r>
      <w:r w:rsidR="007730C9" w:rsidRPr="008A5AD9">
        <w:rPr>
          <w:rFonts w:ascii="Times New Roman" w:hAnsi="Times New Roman"/>
        </w:rPr>
        <w:t xml:space="preserve"> </w:t>
      </w:r>
      <w:r w:rsidR="0027221B" w:rsidRPr="008A5AD9">
        <w:rPr>
          <w:rFonts w:ascii="Times New Roman" w:hAnsi="Times New Roman"/>
        </w:rPr>
        <w:t xml:space="preserve">to </w:t>
      </w:r>
      <w:r w:rsidR="00B1644A" w:rsidRPr="008A5AD9">
        <w:rPr>
          <w:rFonts w:ascii="Times New Roman" w:hAnsi="Times New Roman"/>
        </w:rPr>
        <w:t>th</w:t>
      </w:r>
      <w:r w:rsidR="0001306E" w:rsidRPr="008A5AD9">
        <w:rPr>
          <w:rFonts w:ascii="Times New Roman" w:hAnsi="Times New Roman"/>
        </w:rPr>
        <w:t>at</w:t>
      </w:r>
      <w:r w:rsidR="00B1644A" w:rsidRPr="008A5AD9">
        <w:rPr>
          <w:rFonts w:ascii="Times New Roman" w:hAnsi="Times New Roman"/>
        </w:rPr>
        <w:t xml:space="preserve"> remaining </w:t>
      </w:r>
      <w:r w:rsidR="00FD1716" w:rsidRPr="008A5AD9">
        <w:rPr>
          <w:rFonts w:ascii="Times New Roman" w:hAnsi="Times New Roman"/>
        </w:rPr>
        <w:t xml:space="preserve">separate </w:t>
      </w:r>
      <w:r w:rsidR="00B1644A" w:rsidRPr="008A5AD9">
        <w:rPr>
          <w:rFonts w:ascii="Times New Roman" w:hAnsi="Times New Roman"/>
        </w:rPr>
        <w:t xml:space="preserve">question </w:t>
      </w:r>
      <w:r w:rsidR="0027221B" w:rsidRPr="008A5AD9">
        <w:rPr>
          <w:rFonts w:ascii="Times New Roman" w:hAnsi="Times New Roman"/>
        </w:rPr>
        <w:t xml:space="preserve">to be </w:t>
      </w:r>
      <w:r w:rsidR="00623261" w:rsidRPr="008A5AD9">
        <w:rPr>
          <w:rFonts w:ascii="Times New Roman" w:hAnsi="Times New Roman"/>
        </w:rPr>
        <w:t xml:space="preserve">"Yes". </w:t>
      </w:r>
      <w:r w:rsidR="00883BC1" w:rsidRPr="008A5AD9">
        <w:rPr>
          <w:rFonts w:ascii="Times New Roman" w:hAnsi="Times New Roman"/>
        </w:rPr>
        <w:t>Together with</w:t>
      </w:r>
      <w:r w:rsidR="00D020F9" w:rsidRPr="008A5AD9">
        <w:rPr>
          <w:rFonts w:ascii="Times New Roman" w:hAnsi="Times New Roman"/>
        </w:rPr>
        <w:t xml:space="preserve"> Gordon, Gleeson and Beech-Jones JJ, I </w:t>
      </w:r>
      <w:proofErr w:type="gramStart"/>
      <w:r w:rsidR="009525ED" w:rsidRPr="008A5AD9">
        <w:rPr>
          <w:rFonts w:ascii="Times New Roman" w:hAnsi="Times New Roman"/>
        </w:rPr>
        <w:t xml:space="preserve">am of the opinion </w:t>
      </w:r>
      <w:r w:rsidR="00D020F9" w:rsidRPr="008A5AD9">
        <w:rPr>
          <w:rFonts w:ascii="Times New Roman" w:hAnsi="Times New Roman"/>
        </w:rPr>
        <w:t>that</w:t>
      </w:r>
      <w:proofErr w:type="gramEnd"/>
      <w:r w:rsidR="00D020F9" w:rsidRPr="008A5AD9">
        <w:rPr>
          <w:rFonts w:ascii="Times New Roman" w:hAnsi="Times New Roman"/>
        </w:rPr>
        <w:t xml:space="preserve"> </w:t>
      </w:r>
      <w:r w:rsidR="00EC354D" w:rsidRPr="008A5AD9">
        <w:rPr>
          <w:rFonts w:ascii="Times New Roman" w:hAnsi="Times New Roman"/>
        </w:rPr>
        <w:t xml:space="preserve">the </w:t>
      </w:r>
      <w:r w:rsidR="00AC2FEA" w:rsidRPr="008A5AD9">
        <w:rPr>
          <w:rFonts w:ascii="Times New Roman" w:hAnsi="Times New Roman"/>
        </w:rPr>
        <w:t xml:space="preserve">correct </w:t>
      </w:r>
      <w:r w:rsidR="001E0025" w:rsidRPr="008A5AD9">
        <w:rPr>
          <w:rFonts w:ascii="Times New Roman" w:hAnsi="Times New Roman"/>
        </w:rPr>
        <w:t xml:space="preserve">answer </w:t>
      </w:r>
      <w:r w:rsidR="00D020F9" w:rsidRPr="008A5AD9">
        <w:rPr>
          <w:rFonts w:ascii="Times New Roman" w:hAnsi="Times New Roman"/>
        </w:rPr>
        <w:t>i</w:t>
      </w:r>
      <w:r w:rsidR="00EC354D" w:rsidRPr="008A5AD9">
        <w:rPr>
          <w:rFonts w:ascii="Times New Roman" w:hAnsi="Times New Roman"/>
        </w:rPr>
        <w:t>s "No"</w:t>
      </w:r>
      <w:r w:rsidR="00D020F9" w:rsidRPr="008A5AD9">
        <w:rPr>
          <w:rFonts w:ascii="Times New Roman" w:hAnsi="Times New Roman"/>
        </w:rPr>
        <w:t xml:space="preserve">. </w:t>
      </w:r>
    </w:p>
    <w:p w14:paraId="4D3B69FE" w14:textId="5775BA34" w:rsidR="003A48C9" w:rsidRPr="008A5AD9" w:rsidRDefault="00623261"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396F47" w:rsidRPr="008A5AD9">
        <w:rPr>
          <w:rFonts w:ascii="Times New Roman" w:hAnsi="Times New Roman"/>
        </w:rPr>
        <w:t>T</w:t>
      </w:r>
      <w:r w:rsidR="00D56600" w:rsidRPr="008A5AD9">
        <w:rPr>
          <w:rFonts w:ascii="Times New Roman" w:hAnsi="Times New Roman"/>
        </w:rPr>
        <w:t xml:space="preserve">he </w:t>
      </w:r>
      <w:r w:rsidR="009317FC" w:rsidRPr="008A5AD9">
        <w:rPr>
          <w:rFonts w:ascii="Times New Roman" w:hAnsi="Times New Roman"/>
        </w:rPr>
        <w:t xml:space="preserve">reasoning of the </w:t>
      </w:r>
      <w:r w:rsidR="003E2F0C" w:rsidRPr="008A5AD9">
        <w:rPr>
          <w:rFonts w:ascii="Times New Roman" w:hAnsi="Times New Roman"/>
        </w:rPr>
        <w:t xml:space="preserve">majority </w:t>
      </w:r>
      <w:r w:rsidR="00D56600" w:rsidRPr="008A5AD9">
        <w:rPr>
          <w:rFonts w:ascii="Times New Roman" w:hAnsi="Times New Roman"/>
        </w:rPr>
        <w:t xml:space="preserve">in </w:t>
      </w:r>
      <w:r w:rsidR="00D56600" w:rsidRPr="008A5AD9">
        <w:rPr>
          <w:rFonts w:ascii="Times New Roman" w:hAnsi="Times New Roman"/>
          <w:i/>
          <w:iCs/>
        </w:rPr>
        <w:t>ACCC v NSW Ports</w:t>
      </w:r>
      <w:r w:rsidR="00A05AFF" w:rsidRPr="008A5AD9">
        <w:rPr>
          <w:rFonts w:ascii="Times New Roman" w:hAnsi="Times New Roman"/>
        </w:rPr>
        <w:t xml:space="preserve">, </w:t>
      </w:r>
      <w:r w:rsidR="00AC2FEA" w:rsidRPr="008A5AD9">
        <w:rPr>
          <w:rFonts w:ascii="Times New Roman" w:hAnsi="Times New Roman"/>
        </w:rPr>
        <w:t>comp</w:t>
      </w:r>
      <w:r w:rsidR="0001306E" w:rsidRPr="008A5AD9">
        <w:rPr>
          <w:rFonts w:ascii="Times New Roman" w:hAnsi="Times New Roman"/>
        </w:rPr>
        <w:t>ri</w:t>
      </w:r>
      <w:r w:rsidR="00AC2FEA" w:rsidRPr="008A5AD9">
        <w:rPr>
          <w:rFonts w:ascii="Times New Roman" w:hAnsi="Times New Roman"/>
        </w:rPr>
        <w:t>s</w:t>
      </w:r>
      <w:r w:rsidR="00A05AFF" w:rsidRPr="008A5AD9">
        <w:rPr>
          <w:rFonts w:ascii="Times New Roman" w:hAnsi="Times New Roman"/>
        </w:rPr>
        <w:t>ing</w:t>
      </w:r>
      <w:r w:rsidR="00AC2FEA" w:rsidRPr="008A5AD9">
        <w:rPr>
          <w:rFonts w:ascii="Times New Roman" w:hAnsi="Times New Roman"/>
        </w:rPr>
        <w:t xml:space="preserve"> </w:t>
      </w:r>
      <w:r w:rsidR="009317FC" w:rsidRPr="008A5AD9">
        <w:rPr>
          <w:rFonts w:ascii="Times New Roman" w:hAnsi="Times New Roman"/>
        </w:rPr>
        <w:t xml:space="preserve">that of </w:t>
      </w:r>
      <w:r w:rsidR="00587060" w:rsidRPr="008A5AD9">
        <w:rPr>
          <w:rFonts w:ascii="Times New Roman" w:hAnsi="Times New Roman"/>
        </w:rPr>
        <w:t>Allsop CJ</w:t>
      </w:r>
      <w:r w:rsidR="00C07EB9" w:rsidRPr="008A5AD9">
        <w:rPr>
          <w:rFonts w:ascii="Times New Roman" w:hAnsi="Times New Roman"/>
        </w:rPr>
        <w:t xml:space="preserve"> </w:t>
      </w:r>
      <w:r w:rsidR="00A12974" w:rsidRPr="008A5AD9">
        <w:rPr>
          <w:rFonts w:ascii="Times New Roman" w:hAnsi="Times New Roman"/>
        </w:rPr>
        <w:t xml:space="preserve">with whom Yates J </w:t>
      </w:r>
      <w:r w:rsidR="0041396E" w:rsidRPr="008A5AD9">
        <w:rPr>
          <w:rFonts w:ascii="Times New Roman" w:hAnsi="Times New Roman"/>
        </w:rPr>
        <w:t xml:space="preserve">expressed </w:t>
      </w:r>
      <w:r w:rsidR="00A12974" w:rsidRPr="008A5AD9">
        <w:rPr>
          <w:rFonts w:ascii="Times New Roman" w:hAnsi="Times New Roman"/>
        </w:rPr>
        <w:t>agree</w:t>
      </w:r>
      <w:r w:rsidR="0041396E" w:rsidRPr="008A5AD9">
        <w:rPr>
          <w:rFonts w:ascii="Times New Roman" w:hAnsi="Times New Roman"/>
        </w:rPr>
        <w:t>ment</w:t>
      </w:r>
      <w:r w:rsidR="00A05AFF" w:rsidRPr="008A5AD9">
        <w:rPr>
          <w:rFonts w:ascii="Times New Roman" w:hAnsi="Times New Roman"/>
        </w:rPr>
        <w:t xml:space="preserve">, </w:t>
      </w:r>
      <w:r w:rsidR="0094375A" w:rsidRPr="008A5AD9">
        <w:rPr>
          <w:rFonts w:ascii="Times New Roman" w:hAnsi="Times New Roman"/>
        </w:rPr>
        <w:t xml:space="preserve">aligned in critical respects with that of Jagot J </w:t>
      </w:r>
      <w:r w:rsidR="00F9185F" w:rsidRPr="008A5AD9">
        <w:rPr>
          <w:rFonts w:ascii="Times New Roman" w:hAnsi="Times New Roman"/>
        </w:rPr>
        <w:t>who had been</w:t>
      </w:r>
      <w:r w:rsidR="0094375A" w:rsidRPr="008A5AD9">
        <w:rPr>
          <w:rFonts w:ascii="Times New Roman" w:hAnsi="Times New Roman"/>
        </w:rPr>
        <w:t xml:space="preserve"> </w:t>
      </w:r>
      <w:r w:rsidR="006D0EC6" w:rsidRPr="008A5AD9">
        <w:rPr>
          <w:rFonts w:ascii="Times New Roman" w:hAnsi="Times New Roman"/>
        </w:rPr>
        <w:t xml:space="preserve">the primary judge in that </w:t>
      </w:r>
      <w:r w:rsidR="00EC5557" w:rsidRPr="008A5AD9">
        <w:rPr>
          <w:rFonts w:ascii="Times New Roman" w:hAnsi="Times New Roman"/>
        </w:rPr>
        <w:t>earlier proceeding</w:t>
      </w:r>
      <w:r w:rsidR="00F9185F" w:rsidRPr="008A5AD9">
        <w:rPr>
          <w:rFonts w:ascii="Times New Roman" w:hAnsi="Times New Roman"/>
        </w:rPr>
        <w:t>.</w:t>
      </w:r>
      <w:r w:rsidR="006D0EC6" w:rsidRPr="008A5AD9">
        <w:rPr>
          <w:rStyle w:val="FootnoteReference"/>
          <w:rFonts w:ascii="Times New Roman" w:hAnsi="Times New Roman"/>
          <w:sz w:val="24"/>
        </w:rPr>
        <w:footnoteReference w:id="6"/>
      </w:r>
      <w:r w:rsidR="006D0EC6" w:rsidRPr="008A5AD9">
        <w:rPr>
          <w:rFonts w:ascii="Times New Roman" w:hAnsi="Times New Roman"/>
        </w:rPr>
        <w:t xml:space="preserve"> </w:t>
      </w:r>
      <w:r w:rsidR="00F9185F" w:rsidRPr="008A5AD9">
        <w:rPr>
          <w:rFonts w:ascii="Times New Roman" w:hAnsi="Times New Roman"/>
        </w:rPr>
        <w:t xml:space="preserve">In deference to that reasoning, </w:t>
      </w:r>
      <w:r w:rsidR="00833AD3" w:rsidRPr="008A5AD9">
        <w:rPr>
          <w:rFonts w:ascii="Times New Roman" w:hAnsi="Times New Roman"/>
        </w:rPr>
        <w:t>I</w:t>
      </w:r>
      <w:r w:rsidR="006D5E25" w:rsidRPr="008A5AD9">
        <w:rPr>
          <w:rFonts w:ascii="Times New Roman" w:hAnsi="Times New Roman"/>
        </w:rPr>
        <w:t xml:space="preserve"> </w:t>
      </w:r>
      <w:r w:rsidR="00833AD3" w:rsidRPr="008A5AD9">
        <w:rPr>
          <w:rFonts w:ascii="Times New Roman" w:hAnsi="Times New Roman"/>
        </w:rPr>
        <w:t>express my own reasons for disagreeing with it</w:t>
      </w:r>
      <w:r w:rsidR="00564995" w:rsidRPr="008A5AD9">
        <w:rPr>
          <w:rFonts w:ascii="Times New Roman" w:hAnsi="Times New Roman"/>
        </w:rPr>
        <w:t>.</w:t>
      </w:r>
      <w:r w:rsidR="0079318B" w:rsidRPr="008A5AD9">
        <w:rPr>
          <w:rFonts w:ascii="Times New Roman" w:hAnsi="Times New Roman"/>
        </w:rPr>
        <w:t xml:space="preserve"> </w:t>
      </w:r>
    </w:p>
    <w:p w14:paraId="3FA4C096" w14:textId="32DB6AED" w:rsidR="006468B6" w:rsidRPr="008A5AD9" w:rsidRDefault="003A48C9"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635E3A" w:rsidRPr="008A5AD9">
        <w:rPr>
          <w:rFonts w:ascii="Times New Roman" w:hAnsi="Times New Roman"/>
        </w:rPr>
        <w:t>For reason</w:t>
      </w:r>
      <w:r w:rsidR="00F67A3F" w:rsidRPr="008A5AD9">
        <w:rPr>
          <w:rFonts w:ascii="Times New Roman" w:hAnsi="Times New Roman"/>
        </w:rPr>
        <w:t>s</w:t>
      </w:r>
      <w:r w:rsidR="00635E3A" w:rsidRPr="008A5AD9">
        <w:rPr>
          <w:rFonts w:ascii="Times New Roman" w:hAnsi="Times New Roman"/>
        </w:rPr>
        <w:t xml:space="preserve"> t</w:t>
      </w:r>
      <w:r w:rsidR="002D3C07" w:rsidRPr="008A5AD9">
        <w:rPr>
          <w:rFonts w:ascii="Times New Roman" w:hAnsi="Times New Roman"/>
        </w:rPr>
        <w:t xml:space="preserve">o </w:t>
      </w:r>
      <w:r w:rsidR="0079318B" w:rsidRPr="008A5AD9">
        <w:rPr>
          <w:rFonts w:ascii="Times New Roman" w:hAnsi="Times New Roman"/>
        </w:rPr>
        <w:t xml:space="preserve">be </w:t>
      </w:r>
      <w:r w:rsidR="002D3C07" w:rsidRPr="008A5AD9">
        <w:rPr>
          <w:rFonts w:ascii="Times New Roman" w:hAnsi="Times New Roman"/>
        </w:rPr>
        <w:t>explained</w:t>
      </w:r>
      <w:r w:rsidR="00635E3A" w:rsidRPr="008A5AD9">
        <w:rPr>
          <w:rFonts w:ascii="Times New Roman" w:hAnsi="Times New Roman"/>
        </w:rPr>
        <w:t>,</w:t>
      </w:r>
      <w:r w:rsidR="002D3C07" w:rsidRPr="008A5AD9">
        <w:rPr>
          <w:rFonts w:ascii="Times New Roman" w:hAnsi="Times New Roman"/>
        </w:rPr>
        <w:t xml:space="preserve"> </w:t>
      </w:r>
      <w:r w:rsidR="004B1392" w:rsidRPr="008A5AD9">
        <w:rPr>
          <w:rFonts w:ascii="Times New Roman" w:hAnsi="Times New Roman"/>
        </w:rPr>
        <w:t>I consider</w:t>
      </w:r>
      <w:r w:rsidR="00DE6D22" w:rsidRPr="008A5AD9">
        <w:rPr>
          <w:rFonts w:ascii="Times New Roman" w:hAnsi="Times New Roman"/>
        </w:rPr>
        <w:t xml:space="preserve"> </w:t>
      </w:r>
      <w:r w:rsidR="00915EB5" w:rsidRPr="008A5AD9">
        <w:rPr>
          <w:rFonts w:ascii="Times New Roman" w:hAnsi="Times New Roman"/>
        </w:rPr>
        <w:t>Allsop CJ</w:t>
      </w:r>
      <w:r w:rsidR="000E458C" w:rsidRPr="008A5AD9">
        <w:rPr>
          <w:rFonts w:ascii="Times New Roman" w:hAnsi="Times New Roman"/>
        </w:rPr>
        <w:t xml:space="preserve"> </w:t>
      </w:r>
      <w:r w:rsidR="00081F91" w:rsidRPr="008A5AD9">
        <w:rPr>
          <w:rFonts w:ascii="Times New Roman" w:hAnsi="Times New Roman"/>
        </w:rPr>
        <w:t xml:space="preserve">to have been </w:t>
      </w:r>
      <w:r w:rsidR="00B45C7B" w:rsidRPr="008A5AD9">
        <w:rPr>
          <w:rFonts w:ascii="Times New Roman" w:hAnsi="Times New Roman"/>
        </w:rPr>
        <w:t>correct</w:t>
      </w:r>
      <w:r w:rsidR="00F74C9D" w:rsidRPr="008A5AD9">
        <w:rPr>
          <w:rFonts w:ascii="Times New Roman" w:hAnsi="Times New Roman"/>
        </w:rPr>
        <w:t xml:space="preserve"> in his </w:t>
      </w:r>
      <w:r w:rsidR="00FB3FDB" w:rsidRPr="008A5AD9">
        <w:rPr>
          <w:rFonts w:ascii="Times New Roman" w:hAnsi="Times New Roman"/>
        </w:rPr>
        <w:t>identif</w:t>
      </w:r>
      <w:r w:rsidR="00F74C9D" w:rsidRPr="008A5AD9">
        <w:rPr>
          <w:rFonts w:ascii="Times New Roman" w:hAnsi="Times New Roman"/>
        </w:rPr>
        <w:t>ication</w:t>
      </w:r>
      <w:r w:rsidR="00FB3FDB" w:rsidRPr="008A5AD9">
        <w:rPr>
          <w:rFonts w:ascii="Times New Roman" w:hAnsi="Times New Roman"/>
        </w:rPr>
        <w:t xml:space="preserve"> </w:t>
      </w:r>
      <w:r w:rsidR="00507846" w:rsidRPr="008A5AD9">
        <w:rPr>
          <w:rFonts w:ascii="Times New Roman" w:hAnsi="Times New Roman"/>
        </w:rPr>
        <w:t xml:space="preserve">and </w:t>
      </w:r>
      <w:r w:rsidR="00322618" w:rsidRPr="008A5AD9">
        <w:rPr>
          <w:rFonts w:ascii="Times New Roman" w:hAnsi="Times New Roman"/>
        </w:rPr>
        <w:t>express</w:t>
      </w:r>
      <w:r w:rsidR="009A7E1C" w:rsidRPr="008A5AD9">
        <w:rPr>
          <w:rFonts w:ascii="Times New Roman" w:hAnsi="Times New Roman"/>
        </w:rPr>
        <w:t>i</w:t>
      </w:r>
      <w:r w:rsidR="00F74C9D" w:rsidRPr="008A5AD9">
        <w:rPr>
          <w:rFonts w:ascii="Times New Roman" w:hAnsi="Times New Roman"/>
        </w:rPr>
        <w:t>on of</w:t>
      </w:r>
      <w:r w:rsidR="00FB3FDB" w:rsidRPr="008A5AD9">
        <w:rPr>
          <w:rFonts w:ascii="Times New Roman" w:hAnsi="Times New Roman"/>
        </w:rPr>
        <w:t xml:space="preserve"> the</w:t>
      </w:r>
      <w:r w:rsidR="00451B8B" w:rsidRPr="008A5AD9">
        <w:rPr>
          <w:rFonts w:ascii="Times New Roman" w:hAnsi="Times New Roman"/>
        </w:rPr>
        <w:t xml:space="preserve"> </w:t>
      </w:r>
      <w:r w:rsidR="004522BF" w:rsidRPr="008A5AD9">
        <w:rPr>
          <w:rFonts w:ascii="Times New Roman" w:hAnsi="Times New Roman"/>
        </w:rPr>
        <w:t xml:space="preserve">underlying </w:t>
      </w:r>
      <w:r w:rsidR="004F7C25" w:rsidRPr="008A5AD9">
        <w:rPr>
          <w:rFonts w:ascii="Times New Roman" w:hAnsi="Times New Roman"/>
        </w:rPr>
        <w:t>principle</w:t>
      </w:r>
      <w:r w:rsidR="004D4698" w:rsidRPr="008A5AD9">
        <w:rPr>
          <w:rFonts w:ascii="Times New Roman" w:hAnsi="Times New Roman"/>
        </w:rPr>
        <w:t xml:space="preserve"> </w:t>
      </w:r>
      <w:r w:rsidR="00B02B26" w:rsidRPr="008A5AD9">
        <w:rPr>
          <w:rFonts w:ascii="Times New Roman" w:hAnsi="Times New Roman"/>
        </w:rPr>
        <w:t>of statutory construction</w:t>
      </w:r>
      <w:r w:rsidR="00E52F8A" w:rsidRPr="008A5AD9">
        <w:rPr>
          <w:rFonts w:ascii="Times New Roman" w:hAnsi="Times New Roman"/>
        </w:rPr>
        <w:t xml:space="preserve"> </w:t>
      </w:r>
      <w:r w:rsidR="00D77529" w:rsidRPr="008A5AD9">
        <w:rPr>
          <w:rFonts w:ascii="Times New Roman" w:hAnsi="Times New Roman"/>
        </w:rPr>
        <w:t xml:space="preserve">and </w:t>
      </w:r>
      <w:r w:rsidR="00F74C9D" w:rsidRPr="008A5AD9">
        <w:rPr>
          <w:rFonts w:ascii="Times New Roman" w:hAnsi="Times New Roman"/>
        </w:rPr>
        <w:t xml:space="preserve">in his </w:t>
      </w:r>
      <w:r w:rsidR="00CC40BC" w:rsidRPr="008A5AD9">
        <w:rPr>
          <w:rFonts w:ascii="Times New Roman" w:hAnsi="Times New Roman"/>
        </w:rPr>
        <w:t>treat</w:t>
      </w:r>
      <w:r w:rsidR="00F74C9D" w:rsidRPr="008A5AD9">
        <w:rPr>
          <w:rFonts w:ascii="Times New Roman" w:hAnsi="Times New Roman"/>
        </w:rPr>
        <w:t>ment of</w:t>
      </w:r>
      <w:r w:rsidR="002D055B" w:rsidRPr="008A5AD9">
        <w:rPr>
          <w:rFonts w:ascii="Times New Roman" w:hAnsi="Times New Roman"/>
        </w:rPr>
        <w:t xml:space="preserve"> that principle a</w:t>
      </w:r>
      <w:r w:rsidR="00CC40BC" w:rsidRPr="008A5AD9">
        <w:rPr>
          <w:rFonts w:ascii="Times New Roman" w:hAnsi="Times New Roman"/>
        </w:rPr>
        <w:t xml:space="preserve">s </w:t>
      </w:r>
      <w:r w:rsidR="002D55AF" w:rsidRPr="008A5AD9">
        <w:rPr>
          <w:rFonts w:ascii="Times New Roman" w:hAnsi="Times New Roman"/>
        </w:rPr>
        <w:t>applicable to</w:t>
      </w:r>
      <w:r w:rsidR="00CC40BC" w:rsidRPr="008A5AD9">
        <w:rPr>
          <w:rFonts w:ascii="Times New Roman" w:hAnsi="Times New Roman"/>
        </w:rPr>
        <w:t xml:space="preserve"> the construction</w:t>
      </w:r>
      <w:r w:rsidR="00A04132" w:rsidRPr="008A5AD9">
        <w:rPr>
          <w:rFonts w:ascii="Times New Roman" w:hAnsi="Times New Roman"/>
        </w:rPr>
        <w:t xml:space="preserve"> of s 45 of the CCA</w:t>
      </w:r>
      <w:r w:rsidR="00BD6C3C" w:rsidRPr="008A5AD9">
        <w:rPr>
          <w:rFonts w:ascii="Times New Roman" w:hAnsi="Times New Roman"/>
        </w:rPr>
        <w:t xml:space="preserve"> </w:t>
      </w:r>
      <w:r w:rsidR="00B15D26" w:rsidRPr="008A5AD9">
        <w:rPr>
          <w:rFonts w:ascii="Times New Roman" w:hAnsi="Times New Roman"/>
        </w:rPr>
        <w:t>to</w:t>
      </w:r>
      <w:r w:rsidR="00BD6C3C" w:rsidRPr="008A5AD9">
        <w:rPr>
          <w:rFonts w:ascii="Times New Roman" w:hAnsi="Times New Roman"/>
        </w:rPr>
        <w:t xml:space="preserve"> limit </w:t>
      </w:r>
      <w:r w:rsidR="00FC3334" w:rsidRPr="008A5AD9">
        <w:rPr>
          <w:rFonts w:ascii="Times New Roman" w:hAnsi="Times New Roman"/>
        </w:rPr>
        <w:t xml:space="preserve">the </w:t>
      </w:r>
      <w:r w:rsidR="00BD6C3C" w:rsidRPr="008A5AD9">
        <w:rPr>
          <w:rFonts w:ascii="Times New Roman" w:hAnsi="Times New Roman"/>
        </w:rPr>
        <w:t xml:space="preserve">scope of </w:t>
      </w:r>
      <w:r w:rsidR="003269A1" w:rsidRPr="008A5AD9" w:rsidDel="00A5040B">
        <w:rPr>
          <w:rFonts w:ascii="Times New Roman" w:hAnsi="Times New Roman"/>
        </w:rPr>
        <w:t xml:space="preserve">its </w:t>
      </w:r>
      <w:r w:rsidR="00BD6C3C" w:rsidRPr="008A5AD9">
        <w:rPr>
          <w:rFonts w:ascii="Times New Roman" w:hAnsi="Times New Roman"/>
        </w:rPr>
        <w:t>application</w:t>
      </w:r>
      <w:r w:rsidR="00566347" w:rsidRPr="008A5AD9">
        <w:rPr>
          <w:rFonts w:ascii="Times New Roman" w:hAnsi="Times New Roman"/>
        </w:rPr>
        <w:t xml:space="preserve">. </w:t>
      </w:r>
      <w:r w:rsidR="00BF235D" w:rsidRPr="008A5AD9">
        <w:rPr>
          <w:rFonts w:ascii="Times New Roman" w:hAnsi="Times New Roman"/>
        </w:rPr>
        <w:t xml:space="preserve">My disagreement </w:t>
      </w:r>
      <w:r w:rsidR="00D93769" w:rsidRPr="008A5AD9">
        <w:rPr>
          <w:rFonts w:ascii="Times New Roman" w:hAnsi="Times New Roman"/>
        </w:rPr>
        <w:t xml:space="preserve">with </w:t>
      </w:r>
      <w:r w:rsidR="00AA5D6D" w:rsidRPr="008A5AD9">
        <w:rPr>
          <w:rFonts w:ascii="Times New Roman" w:hAnsi="Times New Roman"/>
        </w:rPr>
        <w:t>his</w:t>
      </w:r>
      <w:r w:rsidR="0035280A" w:rsidRPr="008A5AD9">
        <w:rPr>
          <w:rFonts w:ascii="Times New Roman" w:hAnsi="Times New Roman"/>
        </w:rPr>
        <w:t xml:space="preserve"> </w:t>
      </w:r>
      <w:r w:rsidR="006269AE" w:rsidRPr="008A5AD9">
        <w:rPr>
          <w:rFonts w:ascii="Times New Roman" w:hAnsi="Times New Roman"/>
        </w:rPr>
        <w:t xml:space="preserve">Honour's </w:t>
      </w:r>
      <w:r w:rsidR="0035280A" w:rsidRPr="008A5AD9">
        <w:rPr>
          <w:rFonts w:ascii="Times New Roman" w:hAnsi="Times New Roman"/>
        </w:rPr>
        <w:t xml:space="preserve">reasoning </w:t>
      </w:r>
      <w:r w:rsidR="00E96227" w:rsidRPr="008A5AD9">
        <w:rPr>
          <w:rFonts w:ascii="Times New Roman" w:hAnsi="Times New Roman"/>
        </w:rPr>
        <w:t>is</w:t>
      </w:r>
      <w:r w:rsidR="008D0AAF" w:rsidRPr="008A5AD9">
        <w:rPr>
          <w:rFonts w:ascii="Times New Roman" w:hAnsi="Times New Roman"/>
        </w:rPr>
        <w:t xml:space="preserve"> </w:t>
      </w:r>
      <w:r w:rsidR="00B80568" w:rsidRPr="008A5AD9">
        <w:rPr>
          <w:rFonts w:ascii="Times New Roman" w:hAnsi="Times New Roman"/>
        </w:rPr>
        <w:t xml:space="preserve">confined to </w:t>
      </w:r>
      <w:r w:rsidR="00E96227" w:rsidRPr="008A5AD9">
        <w:rPr>
          <w:rFonts w:ascii="Times New Roman" w:hAnsi="Times New Roman"/>
        </w:rPr>
        <w:t xml:space="preserve">a disagreement about </w:t>
      </w:r>
      <w:r w:rsidR="00FD321B" w:rsidRPr="008A5AD9">
        <w:rPr>
          <w:rFonts w:ascii="Times New Roman" w:hAnsi="Times New Roman"/>
        </w:rPr>
        <w:t xml:space="preserve">whether </w:t>
      </w:r>
      <w:r w:rsidR="00A22B6D" w:rsidRPr="008A5AD9">
        <w:rPr>
          <w:rFonts w:ascii="Times New Roman" w:hAnsi="Times New Roman"/>
        </w:rPr>
        <w:t xml:space="preserve">application of the principle to the construction of </w:t>
      </w:r>
      <w:r w:rsidR="00CA2B05" w:rsidRPr="008A5AD9">
        <w:rPr>
          <w:rFonts w:ascii="Times New Roman" w:hAnsi="Times New Roman"/>
        </w:rPr>
        <w:t>s</w:t>
      </w:r>
      <w:r w:rsidR="002C6983" w:rsidRPr="008A5AD9">
        <w:rPr>
          <w:rFonts w:ascii="Times New Roman" w:hAnsi="Times New Roman"/>
        </w:rPr>
        <w:t xml:space="preserve"> 45 </w:t>
      </w:r>
      <w:r w:rsidR="00B15D26" w:rsidRPr="008A5AD9">
        <w:rPr>
          <w:rFonts w:ascii="Times New Roman" w:hAnsi="Times New Roman"/>
        </w:rPr>
        <w:t>of the CCA</w:t>
      </w:r>
      <w:r w:rsidR="000F3989" w:rsidRPr="008A5AD9">
        <w:rPr>
          <w:rFonts w:ascii="Times New Roman" w:hAnsi="Times New Roman"/>
        </w:rPr>
        <w:t xml:space="preserve"> (and by parity of reasoning s</w:t>
      </w:r>
      <w:r w:rsidR="008C0E52">
        <w:rPr>
          <w:rFonts w:ascii="Times New Roman" w:hAnsi="Times New Roman"/>
        </w:rPr>
        <w:t> </w:t>
      </w:r>
      <w:r w:rsidR="000F3989" w:rsidRPr="008A5AD9">
        <w:rPr>
          <w:rFonts w:ascii="Times New Roman" w:hAnsi="Times New Roman"/>
        </w:rPr>
        <w:t>45DA)</w:t>
      </w:r>
      <w:r w:rsidR="002D55AF" w:rsidRPr="008A5AD9">
        <w:rPr>
          <w:rFonts w:ascii="Times New Roman" w:hAnsi="Times New Roman"/>
        </w:rPr>
        <w:t xml:space="preserve"> </w:t>
      </w:r>
      <w:r w:rsidR="009D67BB" w:rsidRPr="008A5AD9">
        <w:rPr>
          <w:rFonts w:ascii="Times New Roman" w:hAnsi="Times New Roman"/>
        </w:rPr>
        <w:t xml:space="preserve">rendered </w:t>
      </w:r>
      <w:r w:rsidR="002D55AF" w:rsidRPr="008A5AD9">
        <w:rPr>
          <w:rFonts w:ascii="Times New Roman" w:hAnsi="Times New Roman"/>
        </w:rPr>
        <w:t xml:space="preserve">the section </w:t>
      </w:r>
      <w:r w:rsidR="00CA2B05" w:rsidRPr="008A5AD9">
        <w:rPr>
          <w:rFonts w:ascii="Times New Roman" w:hAnsi="Times New Roman"/>
        </w:rPr>
        <w:t xml:space="preserve">inapplicable to conduct </w:t>
      </w:r>
      <w:r w:rsidR="00FD4D3B" w:rsidRPr="008A5AD9">
        <w:rPr>
          <w:rFonts w:ascii="Times New Roman" w:hAnsi="Times New Roman"/>
        </w:rPr>
        <w:t>engaged in by</w:t>
      </w:r>
      <w:r w:rsidR="00CA2B05" w:rsidRPr="008A5AD9">
        <w:rPr>
          <w:rFonts w:ascii="Times New Roman" w:hAnsi="Times New Roman"/>
        </w:rPr>
        <w:t xml:space="preserve"> Port Operations </w:t>
      </w:r>
      <w:r w:rsidR="00FD69B5" w:rsidRPr="008A5AD9">
        <w:rPr>
          <w:rFonts w:ascii="Times New Roman" w:hAnsi="Times New Roman"/>
        </w:rPr>
        <w:t xml:space="preserve">for the purpose </w:t>
      </w:r>
      <w:r w:rsidR="00A926ED" w:rsidRPr="008A5AD9">
        <w:rPr>
          <w:rFonts w:ascii="Times New Roman" w:hAnsi="Times New Roman"/>
        </w:rPr>
        <w:t xml:space="preserve">of </w:t>
      </w:r>
      <w:r w:rsidR="00773FC4" w:rsidRPr="008A5AD9">
        <w:rPr>
          <w:rFonts w:ascii="Times New Roman" w:hAnsi="Times New Roman"/>
        </w:rPr>
        <w:t xml:space="preserve">entering into and giving effect to </w:t>
      </w:r>
      <w:r w:rsidR="00CF43F0" w:rsidRPr="008A5AD9">
        <w:rPr>
          <w:rFonts w:ascii="Times New Roman" w:hAnsi="Times New Roman"/>
        </w:rPr>
        <w:t xml:space="preserve">authorised transactions under the </w:t>
      </w:r>
      <w:r w:rsidR="00177055" w:rsidRPr="008A5AD9">
        <w:rPr>
          <w:rFonts w:ascii="Times New Roman" w:hAnsi="Times New Roman"/>
        </w:rPr>
        <w:t>PAAT</w:t>
      </w:r>
      <w:r w:rsidR="00CF43F0" w:rsidRPr="008A5AD9">
        <w:rPr>
          <w:rFonts w:ascii="Times New Roman" w:hAnsi="Times New Roman"/>
        </w:rPr>
        <w:t xml:space="preserve"> Act</w:t>
      </w:r>
      <w:r w:rsidR="00CC23A0" w:rsidRPr="008A5AD9">
        <w:rPr>
          <w:rFonts w:ascii="Times New Roman" w:hAnsi="Times New Roman"/>
        </w:rPr>
        <w:t>.</w:t>
      </w:r>
      <w:r w:rsidR="00193226" w:rsidRPr="008A5AD9">
        <w:rPr>
          <w:rStyle w:val="FootnoteReference"/>
          <w:rFonts w:ascii="Times New Roman" w:hAnsi="Times New Roman"/>
          <w:sz w:val="24"/>
        </w:rPr>
        <w:footnoteReference w:id="7"/>
      </w:r>
      <w:r w:rsidR="00347F08" w:rsidRPr="008A5AD9">
        <w:rPr>
          <w:rFonts w:ascii="Times New Roman" w:hAnsi="Times New Roman"/>
        </w:rPr>
        <w:t xml:space="preserve"> </w:t>
      </w:r>
      <w:r w:rsidR="00C150A5" w:rsidRPr="008A5AD9">
        <w:rPr>
          <w:rFonts w:ascii="Times New Roman" w:hAnsi="Times New Roman"/>
        </w:rPr>
        <w:t>M</w:t>
      </w:r>
      <w:r w:rsidR="00B97F7D" w:rsidRPr="008A5AD9">
        <w:rPr>
          <w:rFonts w:ascii="Times New Roman" w:hAnsi="Times New Roman"/>
        </w:rPr>
        <w:t>y opinion</w:t>
      </w:r>
      <w:r w:rsidR="00C150A5" w:rsidRPr="008A5AD9">
        <w:rPr>
          <w:rFonts w:ascii="Times New Roman" w:hAnsi="Times New Roman"/>
        </w:rPr>
        <w:t xml:space="preserve"> is that</w:t>
      </w:r>
      <w:r w:rsidR="00B97F7D" w:rsidRPr="008A5AD9">
        <w:rPr>
          <w:rFonts w:ascii="Times New Roman" w:hAnsi="Times New Roman"/>
        </w:rPr>
        <w:t xml:space="preserve"> </w:t>
      </w:r>
      <w:r w:rsidR="003F1EA3" w:rsidRPr="008A5AD9">
        <w:rPr>
          <w:rFonts w:ascii="Times New Roman" w:hAnsi="Times New Roman"/>
        </w:rPr>
        <w:t>it</w:t>
      </w:r>
      <w:r w:rsidR="000F3989" w:rsidRPr="008A5AD9">
        <w:rPr>
          <w:rFonts w:ascii="Times New Roman" w:hAnsi="Times New Roman"/>
        </w:rPr>
        <w:t xml:space="preserve"> </w:t>
      </w:r>
      <w:r w:rsidR="0095241F" w:rsidRPr="008A5AD9">
        <w:rPr>
          <w:rFonts w:ascii="Times New Roman" w:hAnsi="Times New Roman"/>
        </w:rPr>
        <w:t>was</w:t>
      </w:r>
      <w:r w:rsidR="000F3989" w:rsidRPr="008A5AD9">
        <w:rPr>
          <w:rFonts w:ascii="Times New Roman" w:hAnsi="Times New Roman"/>
        </w:rPr>
        <w:t xml:space="preserve"> </w:t>
      </w:r>
      <w:r w:rsidR="00B97F7D" w:rsidRPr="008A5AD9">
        <w:rPr>
          <w:rFonts w:ascii="Times New Roman" w:hAnsi="Times New Roman"/>
        </w:rPr>
        <w:t>not.</w:t>
      </w:r>
    </w:p>
    <w:p w14:paraId="3EF0F893" w14:textId="3B0F34D7" w:rsidR="003A32F4" w:rsidRPr="008A5AD9" w:rsidRDefault="00BE402E" w:rsidP="008A5AD9">
      <w:pPr>
        <w:pStyle w:val="HeadingL1"/>
        <w:spacing w:after="260" w:line="280" w:lineRule="exact"/>
        <w:ind w:right="0"/>
        <w:jc w:val="both"/>
        <w:rPr>
          <w:rFonts w:ascii="Times New Roman" w:hAnsi="Times New Roman"/>
        </w:rPr>
      </w:pPr>
      <w:r w:rsidRPr="008A5AD9">
        <w:rPr>
          <w:rFonts w:ascii="Times New Roman" w:hAnsi="Times New Roman"/>
        </w:rPr>
        <w:t>Identifying t</w:t>
      </w:r>
      <w:r w:rsidR="00BE474F" w:rsidRPr="008A5AD9">
        <w:rPr>
          <w:rFonts w:ascii="Times New Roman" w:hAnsi="Times New Roman"/>
        </w:rPr>
        <w:t xml:space="preserve">he </w:t>
      </w:r>
      <w:r w:rsidRPr="008A5AD9">
        <w:rPr>
          <w:rFonts w:ascii="Times New Roman" w:hAnsi="Times New Roman"/>
        </w:rPr>
        <w:t xml:space="preserve">applicable </w:t>
      </w:r>
      <w:r w:rsidR="00BE474F" w:rsidRPr="008A5AD9">
        <w:rPr>
          <w:rFonts w:ascii="Times New Roman" w:hAnsi="Times New Roman"/>
        </w:rPr>
        <w:t>p</w:t>
      </w:r>
      <w:r w:rsidR="00372A08" w:rsidRPr="008A5AD9">
        <w:rPr>
          <w:rFonts w:ascii="Times New Roman" w:hAnsi="Times New Roman"/>
        </w:rPr>
        <w:t xml:space="preserve">rinciple of </w:t>
      </w:r>
      <w:r w:rsidR="00F36FED" w:rsidRPr="008A5AD9">
        <w:rPr>
          <w:rFonts w:ascii="Times New Roman" w:hAnsi="Times New Roman"/>
        </w:rPr>
        <w:t>statutory construction</w:t>
      </w:r>
      <w:r w:rsidR="003C0E69" w:rsidRPr="008A5AD9">
        <w:rPr>
          <w:rFonts w:ascii="Times New Roman" w:hAnsi="Times New Roman"/>
        </w:rPr>
        <w:t xml:space="preserve"> and </w:t>
      </w:r>
      <w:r w:rsidRPr="008A5AD9">
        <w:rPr>
          <w:rFonts w:ascii="Times New Roman" w:hAnsi="Times New Roman"/>
        </w:rPr>
        <w:t xml:space="preserve">framing the </w:t>
      </w:r>
      <w:r w:rsidR="003C0E69" w:rsidRPr="008A5AD9">
        <w:rPr>
          <w:rFonts w:ascii="Times New Roman" w:hAnsi="Times New Roman"/>
        </w:rPr>
        <w:t>requisite</w:t>
      </w:r>
      <w:r w:rsidRPr="008A5AD9">
        <w:rPr>
          <w:rFonts w:ascii="Times New Roman" w:hAnsi="Times New Roman"/>
        </w:rPr>
        <w:t xml:space="preserve"> statutory</w:t>
      </w:r>
      <w:r w:rsidR="003C0E69" w:rsidRPr="008A5AD9">
        <w:rPr>
          <w:rFonts w:ascii="Times New Roman" w:hAnsi="Times New Roman"/>
        </w:rPr>
        <w:t xml:space="preserve"> inq</w:t>
      </w:r>
      <w:r w:rsidR="00FB7A73" w:rsidRPr="008A5AD9">
        <w:rPr>
          <w:rFonts w:ascii="Times New Roman" w:hAnsi="Times New Roman"/>
        </w:rPr>
        <w:t>uiry</w:t>
      </w:r>
    </w:p>
    <w:p w14:paraId="352F6491" w14:textId="2830DFC6" w:rsidR="00141387" w:rsidRPr="008A5AD9" w:rsidRDefault="005B2332"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8D7FC0" w:rsidRPr="008A5AD9">
        <w:rPr>
          <w:rFonts w:ascii="Times New Roman" w:hAnsi="Times New Roman"/>
        </w:rPr>
        <w:t xml:space="preserve">The expression "derivative Crown immunity" </w:t>
      </w:r>
      <w:r w:rsidR="0066623B" w:rsidRPr="008A5AD9">
        <w:rPr>
          <w:rFonts w:ascii="Times New Roman" w:hAnsi="Times New Roman"/>
        </w:rPr>
        <w:t>seems</w:t>
      </w:r>
      <w:r w:rsidR="008D7FC0" w:rsidRPr="008A5AD9">
        <w:rPr>
          <w:rFonts w:ascii="Times New Roman" w:hAnsi="Times New Roman"/>
        </w:rPr>
        <w:t xml:space="preserve"> to have </w:t>
      </w:r>
      <w:r w:rsidR="00D953A9" w:rsidRPr="008A5AD9">
        <w:rPr>
          <w:rFonts w:ascii="Times New Roman" w:hAnsi="Times New Roman"/>
        </w:rPr>
        <w:t>entered</w:t>
      </w:r>
      <w:r w:rsidR="008D7FC0" w:rsidRPr="008A5AD9">
        <w:rPr>
          <w:rFonts w:ascii="Times New Roman" w:hAnsi="Times New Roman"/>
        </w:rPr>
        <w:t xml:space="preserve"> </w:t>
      </w:r>
      <w:r w:rsidR="00D51863" w:rsidRPr="008A5AD9">
        <w:rPr>
          <w:rFonts w:ascii="Times New Roman" w:hAnsi="Times New Roman"/>
        </w:rPr>
        <w:t>curial</w:t>
      </w:r>
      <w:r w:rsidR="00575D5C" w:rsidRPr="008A5AD9">
        <w:rPr>
          <w:rFonts w:ascii="Times New Roman" w:hAnsi="Times New Roman"/>
        </w:rPr>
        <w:t xml:space="preserve"> </w:t>
      </w:r>
      <w:r w:rsidR="008D7FC0" w:rsidRPr="008A5AD9">
        <w:rPr>
          <w:rFonts w:ascii="Times New Roman" w:hAnsi="Times New Roman"/>
        </w:rPr>
        <w:t xml:space="preserve">discourse </w:t>
      </w:r>
      <w:r w:rsidR="00171D4C" w:rsidRPr="008A5AD9">
        <w:rPr>
          <w:rFonts w:ascii="Times New Roman" w:hAnsi="Times New Roman"/>
        </w:rPr>
        <w:t>as a result</w:t>
      </w:r>
      <w:r w:rsidR="008D7FC0" w:rsidRPr="008A5AD9">
        <w:rPr>
          <w:rFonts w:ascii="Times New Roman" w:hAnsi="Times New Roman"/>
        </w:rPr>
        <w:t xml:space="preserve"> of </w:t>
      </w:r>
      <w:r w:rsidR="007F473F" w:rsidRPr="008A5AD9">
        <w:rPr>
          <w:rFonts w:ascii="Times New Roman" w:hAnsi="Times New Roman"/>
        </w:rPr>
        <w:t xml:space="preserve">its </w:t>
      </w:r>
      <w:r w:rsidR="008D7FC0" w:rsidRPr="008A5AD9">
        <w:rPr>
          <w:rFonts w:ascii="Times New Roman" w:hAnsi="Times New Roman"/>
        </w:rPr>
        <w:t xml:space="preserve">having been used in a pleading considered </w:t>
      </w:r>
      <w:r w:rsidR="00171D4C" w:rsidRPr="008A5AD9">
        <w:rPr>
          <w:rFonts w:ascii="Times New Roman" w:hAnsi="Times New Roman"/>
        </w:rPr>
        <w:t xml:space="preserve">and found wanting </w:t>
      </w:r>
      <w:r w:rsidR="008D7FC0" w:rsidRPr="008A5AD9">
        <w:rPr>
          <w:rFonts w:ascii="Times New Roman" w:hAnsi="Times New Roman"/>
        </w:rPr>
        <w:t xml:space="preserve">in </w:t>
      </w:r>
      <w:r w:rsidR="008D7FC0" w:rsidRPr="008A5AD9">
        <w:rPr>
          <w:rFonts w:ascii="Times New Roman" w:hAnsi="Times New Roman"/>
          <w:i/>
          <w:iCs/>
        </w:rPr>
        <w:t>NT Power Generation Pty Ltd v Power and Water Authority</w:t>
      </w:r>
      <w:r w:rsidR="00EC695E" w:rsidRPr="008A5AD9">
        <w:rPr>
          <w:rFonts w:ascii="Times New Roman" w:hAnsi="Times New Roman"/>
        </w:rPr>
        <w:t>.</w:t>
      </w:r>
      <w:r w:rsidR="008D7FC0" w:rsidRPr="008A5AD9">
        <w:rPr>
          <w:rStyle w:val="FootnoteReference"/>
          <w:rFonts w:ascii="Times New Roman" w:hAnsi="Times New Roman"/>
          <w:sz w:val="24"/>
        </w:rPr>
        <w:footnoteReference w:id="8"/>
      </w:r>
      <w:r w:rsidR="00B67DEB" w:rsidRPr="008A5AD9">
        <w:rPr>
          <w:rFonts w:ascii="Times New Roman" w:hAnsi="Times New Roman"/>
        </w:rPr>
        <w:t xml:space="preserve"> </w:t>
      </w:r>
      <w:r w:rsidR="00854709" w:rsidRPr="008A5AD9">
        <w:rPr>
          <w:rFonts w:ascii="Times New Roman" w:hAnsi="Times New Roman"/>
        </w:rPr>
        <w:t>A v</w:t>
      </w:r>
      <w:r w:rsidR="00E94D93" w:rsidRPr="008A5AD9">
        <w:rPr>
          <w:rFonts w:ascii="Times New Roman" w:hAnsi="Times New Roman"/>
        </w:rPr>
        <w:t>ariation</w:t>
      </w:r>
      <w:r w:rsidR="00854709" w:rsidRPr="008A5AD9">
        <w:rPr>
          <w:rFonts w:ascii="Times New Roman" w:hAnsi="Times New Roman"/>
        </w:rPr>
        <w:t xml:space="preserve"> of the </w:t>
      </w:r>
      <w:r w:rsidR="00BA4A80" w:rsidRPr="008A5AD9">
        <w:rPr>
          <w:rFonts w:ascii="Times New Roman" w:hAnsi="Times New Roman"/>
        </w:rPr>
        <w:t>expression</w:t>
      </w:r>
      <w:r w:rsidR="00E94D93" w:rsidRPr="008A5AD9">
        <w:rPr>
          <w:rFonts w:ascii="Times New Roman" w:hAnsi="Times New Roman"/>
        </w:rPr>
        <w:t xml:space="preserve"> </w:t>
      </w:r>
      <w:r w:rsidR="0084083D" w:rsidRPr="008A5AD9">
        <w:rPr>
          <w:rFonts w:ascii="Times New Roman" w:hAnsi="Times New Roman"/>
        </w:rPr>
        <w:t xml:space="preserve">appeared </w:t>
      </w:r>
      <w:r w:rsidR="0084083D" w:rsidRPr="008A5AD9" w:rsidDel="00C8139B">
        <w:rPr>
          <w:rFonts w:ascii="Times New Roman" w:hAnsi="Times New Roman"/>
        </w:rPr>
        <w:t xml:space="preserve">again </w:t>
      </w:r>
      <w:r w:rsidR="0084083D" w:rsidRPr="008A5AD9">
        <w:rPr>
          <w:rFonts w:ascii="Times New Roman" w:hAnsi="Times New Roman"/>
        </w:rPr>
        <w:t xml:space="preserve">in </w:t>
      </w:r>
      <w:r w:rsidR="00BA4A80" w:rsidRPr="008A5AD9">
        <w:rPr>
          <w:rFonts w:ascii="Times New Roman" w:hAnsi="Times New Roman"/>
        </w:rPr>
        <w:t xml:space="preserve">an </w:t>
      </w:r>
      <w:r w:rsidR="0084083D" w:rsidRPr="008A5AD9">
        <w:rPr>
          <w:rFonts w:ascii="Times New Roman" w:hAnsi="Times New Roman"/>
        </w:rPr>
        <w:t xml:space="preserve">argument </w:t>
      </w:r>
      <w:r w:rsidR="00BA4A80" w:rsidRPr="008A5AD9">
        <w:rPr>
          <w:rFonts w:ascii="Times New Roman" w:hAnsi="Times New Roman"/>
        </w:rPr>
        <w:t xml:space="preserve">considered and rejected in </w:t>
      </w:r>
      <w:r w:rsidR="00BA4A80" w:rsidRPr="008A5AD9">
        <w:rPr>
          <w:rFonts w:ascii="Times New Roman" w:hAnsi="Times New Roman"/>
          <w:i/>
          <w:iCs/>
        </w:rPr>
        <w:t xml:space="preserve">Australian </w:t>
      </w:r>
      <w:r w:rsidR="00271444" w:rsidRPr="008A5AD9">
        <w:rPr>
          <w:rFonts w:ascii="Times New Roman" w:hAnsi="Times New Roman"/>
          <w:i/>
          <w:iCs/>
        </w:rPr>
        <w:t>Competition and Consumer Commission v Baxter</w:t>
      </w:r>
      <w:r w:rsidR="00757E1B" w:rsidRPr="008A5AD9">
        <w:rPr>
          <w:rFonts w:ascii="Times New Roman" w:hAnsi="Times New Roman"/>
          <w:i/>
          <w:iCs/>
        </w:rPr>
        <w:t xml:space="preserve"> Healthcare Pty Ltd</w:t>
      </w:r>
      <w:r w:rsidR="00271444" w:rsidRPr="008A5AD9">
        <w:rPr>
          <w:rFonts w:ascii="Times New Roman" w:hAnsi="Times New Roman"/>
        </w:rPr>
        <w:t>.</w:t>
      </w:r>
      <w:r w:rsidR="00271444" w:rsidRPr="008A5AD9">
        <w:rPr>
          <w:rStyle w:val="FootnoteReference"/>
          <w:rFonts w:ascii="Times New Roman" w:hAnsi="Times New Roman"/>
          <w:sz w:val="24"/>
        </w:rPr>
        <w:footnoteReference w:id="9"/>
      </w:r>
      <w:r w:rsidR="00271444" w:rsidRPr="008A5AD9">
        <w:rPr>
          <w:rFonts w:ascii="Times New Roman" w:hAnsi="Times New Roman"/>
        </w:rPr>
        <w:t xml:space="preserve"> </w:t>
      </w:r>
    </w:p>
    <w:p w14:paraId="3AB52505" w14:textId="066D846D" w:rsidR="004000CF" w:rsidRPr="008A5AD9" w:rsidRDefault="00141387" w:rsidP="008A5AD9">
      <w:pPr>
        <w:pStyle w:val="FixListStyle"/>
        <w:spacing w:after="260" w:line="280" w:lineRule="exact"/>
        <w:ind w:right="0"/>
        <w:jc w:val="both"/>
        <w:rPr>
          <w:rFonts w:ascii="Times New Roman" w:hAnsi="Times New Roman"/>
        </w:rPr>
      </w:pPr>
      <w:r w:rsidRPr="008A5AD9">
        <w:rPr>
          <w:rFonts w:ascii="Times New Roman" w:hAnsi="Times New Roman"/>
        </w:rPr>
        <w:lastRenderedPageBreak/>
        <w:tab/>
      </w:r>
      <w:r w:rsidR="00690394" w:rsidRPr="008A5AD9">
        <w:rPr>
          <w:rFonts w:ascii="Times New Roman" w:hAnsi="Times New Roman"/>
        </w:rPr>
        <w:t>Three</w:t>
      </w:r>
      <w:r w:rsidR="000B113B" w:rsidRPr="008A5AD9">
        <w:rPr>
          <w:rFonts w:ascii="Times New Roman" w:hAnsi="Times New Roman"/>
        </w:rPr>
        <w:t xml:space="preserve"> </w:t>
      </w:r>
      <w:r w:rsidR="00D871C5" w:rsidRPr="008A5AD9">
        <w:rPr>
          <w:rFonts w:ascii="Times New Roman" w:hAnsi="Times New Roman"/>
        </w:rPr>
        <w:t xml:space="preserve">cumulative </w:t>
      </w:r>
      <w:r w:rsidR="000B113B" w:rsidRPr="008A5AD9">
        <w:rPr>
          <w:rFonts w:ascii="Times New Roman" w:hAnsi="Times New Roman"/>
        </w:rPr>
        <w:t xml:space="preserve">aspects of the </w:t>
      </w:r>
      <w:r w:rsidR="003B1929" w:rsidRPr="008A5AD9">
        <w:rPr>
          <w:rFonts w:ascii="Times New Roman" w:hAnsi="Times New Roman"/>
        </w:rPr>
        <w:t xml:space="preserve">consistent </w:t>
      </w:r>
      <w:r w:rsidR="00C57198" w:rsidRPr="008A5AD9">
        <w:rPr>
          <w:rFonts w:ascii="Times New Roman" w:hAnsi="Times New Roman"/>
        </w:rPr>
        <w:t xml:space="preserve">response of this Court to </w:t>
      </w:r>
      <w:r w:rsidR="00BA0731" w:rsidRPr="008A5AD9">
        <w:rPr>
          <w:rFonts w:ascii="Times New Roman" w:hAnsi="Times New Roman"/>
        </w:rPr>
        <w:t xml:space="preserve">the </w:t>
      </w:r>
      <w:r w:rsidR="00A4249E" w:rsidRPr="008A5AD9">
        <w:rPr>
          <w:rFonts w:ascii="Times New Roman" w:hAnsi="Times New Roman"/>
        </w:rPr>
        <w:t xml:space="preserve">use </w:t>
      </w:r>
      <w:r w:rsidR="00BA0731" w:rsidRPr="008A5AD9">
        <w:rPr>
          <w:rFonts w:ascii="Times New Roman" w:hAnsi="Times New Roman"/>
        </w:rPr>
        <w:t xml:space="preserve">of the expression </w:t>
      </w:r>
      <w:r w:rsidR="000A5471" w:rsidRPr="008A5AD9">
        <w:rPr>
          <w:rFonts w:ascii="Times New Roman" w:hAnsi="Times New Roman"/>
        </w:rPr>
        <w:t xml:space="preserve">in </w:t>
      </w:r>
      <w:r w:rsidR="000A5471" w:rsidRPr="008A5AD9">
        <w:rPr>
          <w:rFonts w:ascii="Times New Roman" w:hAnsi="Times New Roman"/>
          <w:i/>
          <w:iCs/>
        </w:rPr>
        <w:t xml:space="preserve">NT Power </w:t>
      </w:r>
      <w:r w:rsidR="004A3980" w:rsidRPr="008A5AD9">
        <w:rPr>
          <w:rFonts w:ascii="Times New Roman" w:hAnsi="Times New Roman"/>
        </w:rPr>
        <w:t xml:space="preserve">and in </w:t>
      </w:r>
      <w:r w:rsidR="004A3980" w:rsidRPr="008A5AD9">
        <w:rPr>
          <w:rFonts w:ascii="Times New Roman" w:hAnsi="Times New Roman"/>
          <w:i/>
          <w:iCs/>
        </w:rPr>
        <w:t xml:space="preserve">Baxter </w:t>
      </w:r>
      <w:r w:rsidR="004000CF" w:rsidRPr="008A5AD9">
        <w:rPr>
          <w:rFonts w:ascii="Times New Roman" w:hAnsi="Times New Roman"/>
        </w:rPr>
        <w:t>are appropriate</w:t>
      </w:r>
      <w:r w:rsidR="00E74DDC" w:rsidRPr="008A5AD9">
        <w:rPr>
          <w:rFonts w:ascii="Times New Roman" w:hAnsi="Times New Roman"/>
        </w:rPr>
        <w:t xml:space="preserve">ly </w:t>
      </w:r>
      <w:r w:rsidR="001D7935" w:rsidRPr="008A5AD9">
        <w:rPr>
          <w:rFonts w:ascii="Times New Roman" w:hAnsi="Times New Roman"/>
        </w:rPr>
        <w:t xml:space="preserve">recalled. </w:t>
      </w:r>
    </w:p>
    <w:p w14:paraId="6788E65C" w14:textId="163F0AFA" w:rsidR="004558D3" w:rsidRPr="008A5AD9" w:rsidRDefault="004000CF"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094D62" w:rsidRPr="008A5AD9">
        <w:rPr>
          <w:rFonts w:ascii="Times New Roman" w:hAnsi="Times New Roman"/>
        </w:rPr>
        <w:t>F</w:t>
      </w:r>
      <w:r w:rsidR="00AC6C07" w:rsidRPr="008A5AD9">
        <w:rPr>
          <w:rFonts w:ascii="Times New Roman" w:hAnsi="Times New Roman"/>
        </w:rPr>
        <w:t>irst</w:t>
      </w:r>
      <w:r w:rsidR="0046666D" w:rsidRPr="008A5AD9">
        <w:rPr>
          <w:rFonts w:ascii="Times New Roman" w:hAnsi="Times New Roman"/>
        </w:rPr>
        <w:t>,</w:t>
      </w:r>
      <w:r w:rsidR="008721F8" w:rsidRPr="008A5AD9">
        <w:rPr>
          <w:rFonts w:ascii="Times New Roman" w:hAnsi="Times New Roman"/>
        </w:rPr>
        <w:t xml:space="preserve"> </w:t>
      </w:r>
      <w:r w:rsidR="00E76173" w:rsidRPr="008A5AD9">
        <w:rPr>
          <w:rFonts w:ascii="Times New Roman" w:hAnsi="Times New Roman"/>
        </w:rPr>
        <w:t xml:space="preserve">since </w:t>
      </w:r>
      <w:proofErr w:type="spellStart"/>
      <w:r w:rsidR="00E76173" w:rsidRPr="008A5AD9">
        <w:rPr>
          <w:rFonts w:ascii="Times New Roman" w:hAnsi="Times New Roman"/>
          <w:i/>
          <w:iCs/>
        </w:rPr>
        <w:t>Bropho</w:t>
      </w:r>
      <w:proofErr w:type="spellEnd"/>
      <w:r w:rsidR="00E76173" w:rsidRPr="008A5AD9">
        <w:rPr>
          <w:rFonts w:ascii="Times New Roman" w:hAnsi="Times New Roman"/>
          <w:i/>
          <w:iCs/>
        </w:rPr>
        <w:t xml:space="preserve"> v Western Australia</w:t>
      </w:r>
      <w:r w:rsidR="00E76173" w:rsidRPr="008A5AD9">
        <w:rPr>
          <w:rFonts w:ascii="Times New Roman" w:hAnsi="Times New Roman"/>
        </w:rPr>
        <w:t>,</w:t>
      </w:r>
      <w:r w:rsidR="00C077FF" w:rsidRPr="008A5AD9">
        <w:rPr>
          <w:rStyle w:val="FootnoteReference"/>
          <w:rFonts w:ascii="Times New Roman" w:hAnsi="Times New Roman"/>
          <w:sz w:val="24"/>
        </w:rPr>
        <w:footnoteReference w:id="10"/>
      </w:r>
      <w:r w:rsidR="00E76173" w:rsidRPr="008A5AD9">
        <w:rPr>
          <w:rFonts w:ascii="Times New Roman" w:hAnsi="Times New Roman"/>
        </w:rPr>
        <w:t xml:space="preserve"> </w:t>
      </w:r>
      <w:r w:rsidR="008721F8" w:rsidRPr="008A5AD9">
        <w:rPr>
          <w:rFonts w:ascii="Times New Roman" w:hAnsi="Times New Roman"/>
        </w:rPr>
        <w:t xml:space="preserve">"Crown immunity" has </w:t>
      </w:r>
      <w:r w:rsidR="005826E1" w:rsidRPr="008A5AD9">
        <w:rPr>
          <w:rFonts w:ascii="Times New Roman" w:hAnsi="Times New Roman"/>
        </w:rPr>
        <w:t xml:space="preserve">properly been </w:t>
      </w:r>
      <w:r w:rsidR="00344696" w:rsidRPr="008A5AD9">
        <w:rPr>
          <w:rFonts w:ascii="Times New Roman" w:hAnsi="Times New Roman"/>
        </w:rPr>
        <w:t xml:space="preserve">understood </w:t>
      </w:r>
      <w:r w:rsidR="00C077FF" w:rsidRPr="008A5AD9">
        <w:rPr>
          <w:rFonts w:ascii="Times New Roman" w:hAnsi="Times New Roman"/>
        </w:rPr>
        <w:t>as</w:t>
      </w:r>
      <w:r w:rsidR="00344696" w:rsidRPr="008A5AD9">
        <w:rPr>
          <w:rFonts w:ascii="Times New Roman" w:hAnsi="Times New Roman"/>
        </w:rPr>
        <w:t xml:space="preserve"> a principle of statutory </w:t>
      </w:r>
      <w:r w:rsidR="00DC7C3C" w:rsidRPr="008A5AD9">
        <w:rPr>
          <w:rFonts w:ascii="Times New Roman" w:hAnsi="Times New Roman"/>
        </w:rPr>
        <w:t>construction</w:t>
      </w:r>
      <w:r w:rsidR="00BF2120" w:rsidRPr="008A5AD9">
        <w:rPr>
          <w:rFonts w:ascii="Times New Roman" w:hAnsi="Times New Roman"/>
        </w:rPr>
        <w:t>.</w:t>
      </w:r>
      <w:r w:rsidR="00E237ED" w:rsidRPr="008A5AD9">
        <w:rPr>
          <w:rStyle w:val="FootnoteReference"/>
          <w:rFonts w:ascii="Times New Roman" w:hAnsi="Times New Roman"/>
          <w:sz w:val="24"/>
        </w:rPr>
        <w:footnoteReference w:id="11"/>
      </w:r>
      <w:r w:rsidR="00BF2120" w:rsidRPr="008A5AD9">
        <w:rPr>
          <w:rFonts w:ascii="Times New Roman" w:hAnsi="Times New Roman"/>
        </w:rPr>
        <w:t xml:space="preserve"> </w:t>
      </w:r>
      <w:r w:rsidR="00DC7C3C" w:rsidRPr="008A5AD9">
        <w:rPr>
          <w:rFonts w:ascii="Times New Roman" w:hAnsi="Times New Roman"/>
        </w:rPr>
        <w:t>T</w:t>
      </w:r>
      <w:r w:rsidR="00197761" w:rsidRPr="008A5AD9">
        <w:rPr>
          <w:rFonts w:ascii="Times New Roman" w:hAnsi="Times New Roman"/>
        </w:rPr>
        <w:t>he principle is</w:t>
      </w:r>
      <w:r w:rsidR="003D3510" w:rsidRPr="008A5AD9">
        <w:rPr>
          <w:rFonts w:ascii="Times New Roman" w:hAnsi="Times New Roman"/>
        </w:rPr>
        <w:t xml:space="preserve"> </w:t>
      </w:r>
      <w:r w:rsidR="00197761" w:rsidRPr="008A5AD9">
        <w:rPr>
          <w:rFonts w:ascii="Times New Roman" w:hAnsi="Times New Roman"/>
        </w:rPr>
        <w:t xml:space="preserve">that </w:t>
      </w:r>
      <w:r w:rsidR="00B81538" w:rsidRPr="008A5AD9">
        <w:rPr>
          <w:rFonts w:ascii="Times New Roman" w:hAnsi="Times New Roman"/>
        </w:rPr>
        <w:t xml:space="preserve">the Crown </w:t>
      </w:r>
      <w:r w:rsidR="003126C7" w:rsidRPr="008A5AD9">
        <w:rPr>
          <w:rFonts w:ascii="Times New Roman" w:hAnsi="Times New Roman"/>
        </w:rPr>
        <w:t xml:space="preserve">(meaning the body politic of the </w:t>
      </w:r>
      <w:r w:rsidR="00D02E49" w:rsidRPr="008A5AD9">
        <w:rPr>
          <w:rFonts w:ascii="Times New Roman" w:hAnsi="Times New Roman"/>
        </w:rPr>
        <w:t>Commonwealth or of a State or Territory</w:t>
      </w:r>
      <w:r w:rsidR="000F4083" w:rsidRPr="008A5AD9">
        <w:rPr>
          <w:rFonts w:ascii="Times New Roman" w:hAnsi="Times New Roman"/>
        </w:rPr>
        <w:t>,</w:t>
      </w:r>
      <w:r w:rsidR="00D02E49" w:rsidRPr="008A5AD9">
        <w:rPr>
          <w:rFonts w:ascii="Times New Roman" w:hAnsi="Times New Roman"/>
        </w:rPr>
        <w:t xml:space="preserve"> </w:t>
      </w:r>
      <w:r w:rsidR="00072CE2" w:rsidRPr="008A5AD9">
        <w:rPr>
          <w:rFonts w:ascii="Times New Roman" w:hAnsi="Times New Roman"/>
        </w:rPr>
        <w:t>and encompassing an agent or instrumentality of the executive government of such a body politic</w:t>
      </w:r>
      <w:r w:rsidR="00B92264" w:rsidRPr="008A5AD9">
        <w:rPr>
          <w:rStyle w:val="FootnoteReference"/>
          <w:rFonts w:ascii="Times New Roman" w:hAnsi="Times New Roman"/>
          <w:sz w:val="24"/>
        </w:rPr>
        <w:footnoteReference w:id="12"/>
      </w:r>
      <w:r w:rsidR="00072CE2" w:rsidRPr="008A5AD9">
        <w:rPr>
          <w:rFonts w:ascii="Times New Roman" w:hAnsi="Times New Roman"/>
        </w:rPr>
        <w:t>)</w:t>
      </w:r>
      <w:r w:rsidR="004B3B4A" w:rsidRPr="008A5AD9">
        <w:rPr>
          <w:rFonts w:ascii="Times New Roman" w:hAnsi="Times New Roman"/>
        </w:rPr>
        <w:t xml:space="preserve"> </w:t>
      </w:r>
      <w:r w:rsidR="00EA4127" w:rsidRPr="008A5AD9">
        <w:rPr>
          <w:rFonts w:ascii="Times New Roman" w:hAnsi="Times New Roman"/>
        </w:rPr>
        <w:t xml:space="preserve">"is </w:t>
      </w:r>
      <w:r w:rsidR="007B6B46" w:rsidRPr="008A5AD9">
        <w:rPr>
          <w:rFonts w:ascii="Times New Roman" w:hAnsi="Times New Roman"/>
        </w:rPr>
        <w:t>n</w:t>
      </w:r>
      <w:r w:rsidR="00FB7560" w:rsidRPr="008A5AD9">
        <w:rPr>
          <w:rFonts w:ascii="Times New Roman" w:hAnsi="Times New Roman"/>
        </w:rPr>
        <w:t xml:space="preserve">ot </w:t>
      </w:r>
      <w:r w:rsidR="00A2391F" w:rsidRPr="008A5AD9">
        <w:rPr>
          <w:rFonts w:ascii="Times New Roman" w:hAnsi="Times New Roman"/>
        </w:rPr>
        <w:t>b</w:t>
      </w:r>
      <w:r w:rsidR="00FB7560" w:rsidRPr="008A5AD9">
        <w:rPr>
          <w:rFonts w:ascii="Times New Roman" w:hAnsi="Times New Roman"/>
        </w:rPr>
        <w:t xml:space="preserve">ound by statute </w:t>
      </w:r>
      <w:r w:rsidR="00A2391F" w:rsidRPr="008A5AD9">
        <w:rPr>
          <w:rFonts w:ascii="Times New Roman" w:hAnsi="Times New Roman"/>
        </w:rPr>
        <w:t>unless</w:t>
      </w:r>
      <w:r w:rsidR="00FB7560" w:rsidRPr="008A5AD9">
        <w:rPr>
          <w:rFonts w:ascii="Times New Roman" w:hAnsi="Times New Roman"/>
        </w:rPr>
        <w:t xml:space="preserve"> a c</w:t>
      </w:r>
      <w:r w:rsidR="00CE1356" w:rsidRPr="008A5AD9">
        <w:rPr>
          <w:rFonts w:ascii="Times New Roman" w:hAnsi="Times New Roman"/>
        </w:rPr>
        <w:t xml:space="preserve">ontrary </w:t>
      </w:r>
      <w:r w:rsidR="00FB7560" w:rsidRPr="008A5AD9">
        <w:rPr>
          <w:rFonts w:ascii="Times New Roman" w:hAnsi="Times New Roman"/>
        </w:rPr>
        <w:t>intention can be discerned from all the relevant circumstances</w:t>
      </w:r>
      <w:r w:rsidR="007B6B46" w:rsidRPr="008A5AD9">
        <w:rPr>
          <w:rFonts w:ascii="Times New Roman" w:hAnsi="Times New Roman"/>
        </w:rPr>
        <w:t>"</w:t>
      </w:r>
      <w:r w:rsidR="00A2391F" w:rsidRPr="008A5AD9">
        <w:rPr>
          <w:rFonts w:ascii="Times New Roman" w:hAnsi="Times New Roman"/>
        </w:rPr>
        <w:t>.</w:t>
      </w:r>
      <w:r w:rsidR="007B6B46" w:rsidRPr="008A5AD9">
        <w:rPr>
          <w:rStyle w:val="FootnoteReference"/>
          <w:rFonts w:ascii="Times New Roman" w:hAnsi="Times New Roman"/>
          <w:sz w:val="24"/>
        </w:rPr>
        <w:footnoteReference w:id="13"/>
      </w:r>
      <w:r w:rsidR="00A2391F" w:rsidRPr="008A5AD9">
        <w:rPr>
          <w:rFonts w:ascii="Times New Roman" w:hAnsi="Times New Roman"/>
        </w:rPr>
        <w:t xml:space="preserve"> </w:t>
      </w:r>
    </w:p>
    <w:p w14:paraId="4621AEAC" w14:textId="25115207" w:rsidR="00F3199C" w:rsidRPr="008A5AD9" w:rsidRDefault="004558D3"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094D62" w:rsidRPr="008A5AD9">
        <w:rPr>
          <w:rFonts w:ascii="Times New Roman" w:hAnsi="Times New Roman"/>
        </w:rPr>
        <w:t>S</w:t>
      </w:r>
      <w:r w:rsidR="00A615BE" w:rsidRPr="008A5AD9">
        <w:rPr>
          <w:rFonts w:ascii="Times New Roman" w:hAnsi="Times New Roman"/>
        </w:rPr>
        <w:t>econd</w:t>
      </w:r>
      <w:r w:rsidR="00094D62" w:rsidRPr="008A5AD9">
        <w:rPr>
          <w:rFonts w:ascii="Times New Roman" w:hAnsi="Times New Roman"/>
        </w:rPr>
        <w:t>,</w:t>
      </w:r>
      <w:r w:rsidR="001E6DDF" w:rsidRPr="008A5AD9">
        <w:rPr>
          <w:rFonts w:ascii="Times New Roman" w:hAnsi="Times New Roman"/>
        </w:rPr>
        <w:t xml:space="preserve"> </w:t>
      </w:r>
      <w:r w:rsidR="00214543" w:rsidRPr="008A5AD9">
        <w:rPr>
          <w:rFonts w:ascii="Times New Roman" w:hAnsi="Times New Roman"/>
        </w:rPr>
        <w:t xml:space="preserve">for </w:t>
      </w:r>
      <w:r w:rsidR="0077208F" w:rsidRPr="008A5AD9">
        <w:rPr>
          <w:rFonts w:ascii="Times New Roman" w:hAnsi="Times New Roman"/>
        </w:rPr>
        <w:t xml:space="preserve">the Crown </w:t>
      </w:r>
      <w:r w:rsidR="00214543" w:rsidRPr="008A5AD9">
        <w:rPr>
          <w:rFonts w:ascii="Times New Roman" w:hAnsi="Times New Roman"/>
        </w:rPr>
        <w:t xml:space="preserve">to be </w:t>
      </w:r>
      <w:r w:rsidR="00C179BE" w:rsidRPr="008A5AD9">
        <w:rPr>
          <w:rFonts w:ascii="Times New Roman" w:hAnsi="Times New Roman"/>
        </w:rPr>
        <w:t xml:space="preserve">"bound" </w:t>
      </w:r>
      <w:r w:rsidR="00E424C9" w:rsidRPr="008A5AD9">
        <w:rPr>
          <w:rFonts w:ascii="Times New Roman" w:hAnsi="Times New Roman"/>
        </w:rPr>
        <w:t xml:space="preserve">by </w:t>
      </w:r>
      <w:r w:rsidR="000D0E78" w:rsidRPr="008A5AD9">
        <w:rPr>
          <w:rFonts w:ascii="Times New Roman" w:hAnsi="Times New Roman"/>
        </w:rPr>
        <w:t xml:space="preserve">a </w:t>
      </w:r>
      <w:r w:rsidR="00E424C9" w:rsidRPr="008A5AD9">
        <w:rPr>
          <w:rFonts w:ascii="Times New Roman" w:hAnsi="Times New Roman"/>
        </w:rPr>
        <w:t xml:space="preserve">statute </w:t>
      </w:r>
      <w:r w:rsidR="00566F61" w:rsidRPr="008A5AD9">
        <w:rPr>
          <w:rFonts w:ascii="Times New Roman" w:hAnsi="Times New Roman"/>
        </w:rPr>
        <w:t>within the meaning</w:t>
      </w:r>
      <w:r w:rsidR="00E719AE" w:rsidRPr="008A5AD9">
        <w:rPr>
          <w:rFonts w:ascii="Times New Roman" w:hAnsi="Times New Roman"/>
        </w:rPr>
        <w:t xml:space="preserve"> of th</w:t>
      </w:r>
      <w:r w:rsidR="00143955" w:rsidRPr="008A5AD9">
        <w:rPr>
          <w:rFonts w:ascii="Times New Roman" w:hAnsi="Times New Roman"/>
        </w:rPr>
        <w:t>at</w:t>
      </w:r>
      <w:r w:rsidR="00E719AE" w:rsidRPr="008A5AD9">
        <w:rPr>
          <w:rFonts w:ascii="Times New Roman" w:hAnsi="Times New Roman"/>
        </w:rPr>
        <w:t xml:space="preserve"> principle</w:t>
      </w:r>
      <w:r w:rsidR="009B1D10" w:rsidRPr="008A5AD9">
        <w:rPr>
          <w:rFonts w:ascii="Times New Roman" w:hAnsi="Times New Roman"/>
        </w:rPr>
        <w:t xml:space="preserve"> </w:t>
      </w:r>
      <w:r w:rsidR="00F61FAC" w:rsidRPr="008A5AD9">
        <w:rPr>
          <w:rFonts w:ascii="Times New Roman" w:hAnsi="Times New Roman"/>
        </w:rPr>
        <w:t xml:space="preserve">of statutory construction </w:t>
      </w:r>
      <w:r w:rsidR="00E719AE" w:rsidRPr="008A5AD9">
        <w:rPr>
          <w:rFonts w:ascii="Times New Roman" w:hAnsi="Times New Roman"/>
        </w:rPr>
        <w:t>i</w:t>
      </w:r>
      <w:r w:rsidR="00E164C3" w:rsidRPr="008A5AD9">
        <w:rPr>
          <w:rFonts w:ascii="Times New Roman" w:hAnsi="Times New Roman"/>
        </w:rPr>
        <w:t>s for</w:t>
      </w:r>
      <w:r w:rsidR="00847C50" w:rsidRPr="008A5AD9">
        <w:rPr>
          <w:rFonts w:ascii="Times New Roman" w:hAnsi="Times New Roman"/>
        </w:rPr>
        <w:t xml:space="preserve"> the</w:t>
      </w:r>
      <w:r w:rsidR="00E164C3" w:rsidRPr="008A5AD9">
        <w:rPr>
          <w:rFonts w:ascii="Times New Roman" w:hAnsi="Times New Roman"/>
        </w:rPr>
        <w:t xml:space="preserve"> statute to </w:t>
      </w:r>
      <w:r w:rsidR="006A0A6E" w:rsidRPr="008A5AD9">
        <w:rPr>
          <w:rFonts w:ascii="Times New Roman" w:hAnsi="Times New Roman"/>
        </w:rPr>
        <w:t>"</w:t>
      </w:r>
      <w:r w:rsidR="00D3750F" w:rsidRPr="008A5AD9">
        <w:rPr>
          <w:rFonts w:ascii="Times New Roman" w:hAnsi="Times New Roman"/>
        </w:rPr>
        <w:t>impair</w:t>
      </w:r>
      <w:r w:rsidR="00695363" w:rsidRPr="008A5AD9">
        <w:rPr>
          <w:rFonts w:ascii="Times New Roman" w:hAnsi="Times New Roman"/>
        </w:rPr>
        <w:t>[]</w:t>
      </w:r>
      <w:r w:rsidR="006A0A6E" w:rsidRPr="008A5AD9">
        <w:rPr>
          <w:rFonts w:ascii="Times New Roman" w:hAnsi="Times New Roman"/>
        </w:rPr>
        <w:t>"</w:t>
      </w:r>
      <w:r w:rsidR="004B3B4A" w:rsidRPr="008A5AD9">
        <w:rPr>
          <w:rFonts w:ascii="Times New Roman" w:hAnsi="Times New Roman"/>
        </w:rPr>
        <w:t xml:space="preserve"> the </w:t>
      </w:r>
      <w:r w:rsidR="006A0A6E" w:rsidRPr="008A5AD9">
        <w:rPr>
          <w:rFonts w:ascii="Times New Roman" w:hAnsi="Times New Roman"/>
        </w:rPr>
        <w:t>"</w:t>
      </w:r>
      <w:r w:rsidR="000D58BF" w:rsidRPr="008A5AD9">
        <w:rPr>
          <w:rFonts w:ascii="Times New Roman" w:hAnsi="Times New Roman"/>
        </w:rPr>
        <w:t>existing legal situation" of the Crown.</w:t>
      </w:r>
      <w:r w:rsidR="00333BAD" w:rsidRPr="008A5AD9">
        <w:rPr>
          <w:rStyle w:val="FootnoteReference"/>
          <w:rFonts w:ascii="Times New Roman" w:hAnsi="Times New Roman"/>
          <w:sz w:val="24"/>
        </w:rPr>
        <w:footnoteReference w:id="14"/>
      </w:r>
      <w:r w:rsidR="000D58BF" w:rsidRPr="008A5AD9">
        <w:rPr>
          <w:rFonts w:ascii="Times New Roman" w:hAnsi="Times New Roman"/>
        </w:rPr>
        <w:t xml:space="preserve"> </w:t>
      </w:r>
      <w:r w:rsidR="00A064F6" w:rsidRPr="008A5AD9">
        <w:rPr>
          <w:rFonts w:ascii="Times New Roman" w:hAnsi="Times New Roman"/>
        </w:rPr>
        <w:t>A</w:t>
      </w:r>
      <w:r w:rsidR="00A50C61" w:rsidRPr="008A5AD9">
        <w:rPr>
          <w:rFonts w:ascii="Times New Roman" w:hAnsi="Times New Roman"/>
        </w:rPr>
        <w:t xml:space="preserve"> </w:t>
      </w:r>
      <w:r w:rsidR="00A62C30" w:rsidRPr="008A5AD9">
        <w:rPr>
          <w:rFonts w:ascii="Times New Roman" w:hAnsi="Times New Roman"/>
        </w:rPr>
        <w:t xml:space="preserve">statute </w:t>
      </w:r>
      <w:r w:rsidR="002D4F84" w:rsidRPr="008A5AD9">
        <w:rPr>
          <w:rFonts w:ascii="Times New Roman" w:hAnsi="Times New Roman"/>
        </w:rPr>
        <w:t>might</w:t>
      </w:r>
      <w:r w:rsidR="003536A6" w:rsidRPr="008A5AD9">
        <w:rPr>
          <w:rFonts w:ascii="Times New Roman" w:hAnsi="Times New Roman"/>
        </w:rPr>
        <w:t xml:space="preserve"> </w:t>
      </w:r>
      <w:r w:rsidR="00A62C30" w:rsidRPr="008A5AD9">
        <w:rPr>
          <w:rFonts w:ascii="Times New Roman" w:hAnsi="Times New Roman"/>
        </w:rPr>
        <w:t>impai</w:t>
      </w:r>
      <w:r w:rsidR="005F01E9" w:rsidRPr="008A5AD9">
        <w:rPr>
          <w:rFonts w:ascii="Times New Roman" w:hAnsi="Times New Roman"/>
        </w:rPr>
        <w:t>r</w:t>
      </w:r>
      <w:r w:rsidR="00A62C30" w:rsidRPr="008A5AD9">
        <w:rPr>
          <w:rFonts w:ascii="Times New Roman" w:hAnsi="Times New Roman"/>
        </w:rPr>
        <w:t xml:space="preserve"> </w:t>
      </w:r>
      <w:r w:rsidR="003536A6" w:rsidRPr="008A5AD9">
        <w:rPr>
          <w:rFonts w:ascii="Times New Roman" w:hAnsi="Times New Roman"/>
        </w:rPr>
        <w:t xml:space="preserve">the existing legal situation of the Crown </w:t>
      </w:r>
      <w:r w:rsidR="008531D7" w:rsidRPr="008A5AD9">
        <w:rPr>
          <w:rFonts w:ascii="Times New Roman" w:hAnsi="Times New Roman"/>
        </w:rPr>
        <w:t>not only</w:t>
      </w:r>
      <w:r w:rsidR="00A52A46" w:rsidRPr="008A5AD9">
        <w:rPr>
          <w:rFonts w:ascii="Times New Roman" w:hAnsi="Times New Roman"/>
        </w:rPr>
        <w:t xml:space="preserve"> by impos</w:t>
      </w:r>
      <w:r w:rsidR="002618DC" w:rsidRPr="008A5AD9">
        <w:rPr>
          <w:rFonts w:ascii="Times New Roman" w:hAnsi="Times New Roman"/>
        </w:rPr>
        <w:t>ing</w:t>
      </w:r>
      <w:r w:rsidR="00A52A46" w:rsidRPr="008A5AD9">
        <w:rPr>
          <w:rFonts w:ascii="Times New Roman" w:hAnsi="Times New Roman"/>
        </w:rPr>
        <w:t xml:space="preserve"> a </w:t>
      </w:r>
      <w:r w:rsidR="001A4454" w:rsidRPr="008A5AD9">
        <w:rPr>
          <w:rFonts w:ascii="Times New Roman" w:hAnsi="Times New Roman"/>
        </w:rPr>
        <w:t xml:space="preserve">legal liability or legal constraint on the Crown </w:t>
      </w:r>
      <w:r w:rsidR="008531D7" w:rsidRPr="008A5AD9">
        <w:rPr>
          <w:rFonts w:ascii="Times New Roman" w:hAnsi="Times New Roman"/>
        </w:rPr>
        <w:t xml:space="preserve">but also </w:t>
      </w:r>
      <w:r w:rsidR="00BE0D5C" w:rsidRPr="008A5AD9">
        <w:rPr>
          <w:rFonts w:ascii="Times New Roman" w:hAnsi="Times New Roman"/>
        </w:rPr>
        <w:t>by</w:t>
      </w:r>
      <w:r w:rsidR="00D71636" w:rsidRPr="008A5AD9">
        <w:rPr>
          <w:rFonts w:ascii="Times New Roman" w:hAnsi="Times New Roman"/>
        </w:rPr>
        <w:t xml:space="preserve"> </w:t>
      </w:r>
      <w:r w:rsidR="0064527C" w:rsidRPr="008A5AD9">
        <w:rPr>
          <w:rFonts w:ascii="Times New Roman" w:hAnsi="Times New Roman"/>
        </w:rPr>
        <w:t>"</w:t>
      </w:r>
      <w:r w:rsidR="00D71636" w:rsidRPr="008A5AD9">
        <w:rPr>
          <w:rFonts w:ascii="Times New Roman" w:hAnsi="Times New Roman"/>
        </w:rPr>
        <w:t>divest</w:t>
      </w:r>
      <w:r w:rsidR="002618DC" w:rsidRPr="008A5AD9">
        <w:rPr>
          <w:rFonts w:ascii="Times New Roman" w:hAnsi="Times New Roman"/>
        </w:rPr>
        <w:t>ing</w:t>
      </w:r>
      <w:r w:rsidR="0064527C" w:rsidRPr="008A5AD9">
        <w:rPr>
          <w:rFonts w:ascii="Times New Roman" w:hAnsi="Times New Roman"/>
        </w:rPr>
        <w:t>"</w:t>
      </w:r>
      <w:r w:rsidR="00D71636" w:rsidRPr="008A5AD9">
        <w:rPr>
          <w:rFonts w:ascii="Times New Roman" w:hAnsi="Times New Roman"/>
        </w:rPr>
        <w:t xml:space="preserve"> </w:t>
      </w:r>
      <w:r w:rsidR="00CC00FC" w:rsidRPr="008A5AD9">
        <w:rPr>
          <w:rFonts w:ascii="Times New Roman" w:hAnsi="Times New Roman"/>
        </w:rPr>
        <w:t xml:space="preserve">the Crown of </w:t>
      </w:r>
      <w:r w:rsidR="00664158" w:rsidRPr="008A5AD9">
        <w:rPr>
          <w:rFonts w:ascii="Times New Roman" w:hAnsi="Times New Roman"/>
        </w:rPr>
        <w:t xml:space="preserve">a legal right or </w:t>
      </w:r>
      <w:r w:rsidR="001D7A98" w:rsidRPr="008A5AD9">
        <w:rPr>
          <w:rFonts w:ascii="Times New Roman" w:hAnsi="Times New Roman"/>
        </w:rPr>
        <w:t>interest.</w:t>
      </w:r>
      <w:r w:rsidR="001D7A98" w:rsidRPr="008A5AD9">
        <w:rPr>
          <w:rStyle w:val="FootnoteReference"/>
          <w:rFonts w:ascii="Times New Roman" w:hAnsi="Times New Roman"/>
          <w:sz w:val="24"/>
        </w:rPr>
        <w:footnoteReference w:id="15"/>
      </w:r>
      <w:r w:rsidR="00AA6432" w:rsidRPr="008A5AD9">
        <w:rPr>
          <w:rFonts w:ascii="Times New Roman" w:hAnsi="Times New Roman"/>
        </w:rPr>
        <w:t xml:space="preserve"> </w:t>
      </w:r>
      <w:r w:rsidR="00CC450A" w:rsidRPr="008A5AD9">
        <w:rPr>
          <w:rFonts w:ascii="Times New Roman" w:hAnsi="Times New Roman"/>
        </w:rPr>
        <w:t>Con</w:t>
      </w:r>
      <w:r w:rsidR="00462F3B" w:rsidRPr="008A5AD9">
        <w:rPr>
          <w:rFonts w:ascii="Times New Roman" w:hAnsi="Times New Roman"/>
        </w:rPr>
        <w:t>formably</w:t>
      </w:r>
      <w:r w:rsidR="00CC450A" w:rsidRPr="008A5AD9">
        <w:rPr>
          <w:rFonts w:ascii="Times New Roman" w:hAnsi="Times New Roman"/>
        </w:rPr>
        <w:t xml:space="preserve"> with the underlying notion of "imp</w:t>
      </w:r>
      <w:r w:rsidR="005D2C70" w:rsidRPr="008A5AD9">
        <w:rPr>
          <w:rFonts w:ascii="Times New Roman" w:hAnsi="Times New Roman"/>
        </w:rPr>
        <w:t>airment",</w:t>
      </w:r>
      <w:r w:rsidR="0064527C" w:rsidRPr="008A5AD9">
        <w:rPr>
          <w:rFonts w:ascii="Times New Roman" w:hAnsi="Times New Roman"/>
        </w:rPr>
        <w:t xml:space="preserve"> </w:t>
      </w:r>
      <w:r w:rsidR="000E2CD2" w:rsidRPr="008A5AD9">
        <w:rPr>
          <w:rFonts w:ascii="Times New Roman" w:hAnsi="Times New Roman"/>
        </w:rPr>
        <w:t xml:space="preserve">as the Full Court </w:t>
      </w:r>
      <w:r w:rsidR="00F1095F" w:rsidRPr="008A5AD9">
        <w:rPr>
          <w:rFonts w:ascii="Times New Roman" w:hAnsi="Times New Roman"/>
        </w:rPr>
        <w:t xml:space="preserve">noted in the decision under appeal, </w:t>
      </w:r>
      <w:r w:rsidR="0043064F" w:rsidRPr="008A5AD9">
        <w:rPr>
          <w:rFonts w:ascii="Times New Roman" w:hAnsi="Times New Roman"/>
        </w:rPr>
        <w:t xml:space="preserve">the notion of </w:t>
      </w:r>
      <w:r w:rsidR="00F06526" w:rsidRPr="008A5AD9">
        <w:rPr>
          <w:rFonts w:ascii="Times New Roman" w:hAnsi="Times New Roman"/>
        </w:rPr>
        <w:t xml:space="preserve">"divestiture" in this context is that of </w:t>
      </w:r>
      <w:r w:rsidR="00564605" w:rsidRPr="008A5AD9">
        <w:rPr>
          <w:rFonts w:ascii="Times New Roman" w:hAnsi="Times New Roman"/>
        </w:rPr>
        <w:t>diminution or material adverse alteration.</w:t>
      </w:r>
      <w:r w:rsidR="00564605" w:rsidRPr="008A5AD9">
        <w:rPr>
          <w:rStyle w:val="FootnoteReference"/>
          <w:rFonts w:ascii="Times New Roman" w:hAnsi="Times New Roman"/>
          <w:sz w:val="24"/>
        </w:rPr>
        <w:footnoteReference w:id="16"/>
      </w:r>
    </w:p>
    <w:p w14:paraId="0F9F6DE0" w14:textId="2B85721A" w:rsidR="007C0598" w:rsidRPr="008A5AD9" w:rsidRDefault="00F3199C"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690394" w:rsidRPr="008A5AD9">
        <w:rPr>
          <w:rFonts w:ascii="Times New Roman" w:hAnsi="Times New Roman"/>
        </w:rPr>
        <w:t>Third</w:t>
      </w:r>
      <w:r w:rsidR="00D46E22" w:rsidRPr="008A5AD9">
        <w:rPr>
          <w:rFonts w:ascii="Times New Roman" w:hAnsi="Times New Roman"/>
        </w:rPr>
        <w:t>,</w:t>
      </w:r>
      <w:r w:rsidR="00921519" w:rsidRPr="008A5AD9">
        <w:rPr>
          <w:rFonts w:ascii="Times New Roman" w:hAnsi="Times New Roman"/>
        </w:rPr>
        <w:t xml:space="preserve"> </w:t>
      </w:r>
      <w:r w:rsidR="008A414C" w:rsidRPr="008A5AD9">
        <w:rPr>
          <w:rFonts w:ascii="Times New Roman" w:hAnsi="Times New Roman"/>
        </w:rPr>
        <w:t>the expression</w:t>
      </w:r>
      <w:r w:rsidR="00D54825" w:rsidRPr="008A5AD9">
        <w:rPr>
          <w:rFonts w:ascii="Times New Roman" w:hAnsi="Times New Roman"/>
        </w:rPr>
        <w:t xml:space="preserve"> </w:t>
      </w:r>
      <w:r w:rsidR="00FA38EB" w:rsidRPr="008A5AD9">
        <w:rPr>
          <w:rFonts w:ascii="Times New Roman" w:hAnsi="Times New Roman"/>
        </w:rPr>
        <w:t>"derivative Crown immunity"</w:t>
      </w:r>
      <w:r w:rsidR="009C7AE3" w:rsidRPr="008A5AD9">
        <w:rPr>
          <w:rFonts w:ascii="Times New Roman" w:hAnsi="Times New Roman"/>
        </w:rPr>
        <w:t xml:space="preserve"> </w:t>
      </w:r>
      <w:r w:rsidR="002B675D" w:rsidRPr="008A5AD9">
        <w:rPr>
          <w:rFonts w:ascii="Times New Roman" w:hAnsi="Times New Roman"/>
        </w:rPr>
        <w:t>is at best</w:t>
      </w:r>
      <w:r w:rsidR="00772215" w:rsidRPr="008A5AD9">
        <w:rPr>
          <w:rFonts w:ascii="Times New Roman" w:hAnsi="Times New Roman"/>
        </w:rPr>
        <w:t xml:space="preserve"> a</w:t>
      </w:r>
      <w:r w:rsidR="00DE51F8" w:rsidRPr="008A5AD9">
        <w:rPr>
          <w:rFonts w:ascii="Times New Roman" w:hAnsi="Times New Roman"/>
        </w:rPr>
        <w:t>n inadequate description of</w:t>
      </w:r>
      <w:r w:rsidR="00E81F1A" w:rsidRPr="008A5AD9">
        <w:rPr>
          <w:rFonts w:ascii="Times New Roman" w:hAnsi="Times New Roman"/>
        </w:rPr>
        <w:t xml:space="preserve"> the</w:t>
      </w:r>
      <w:r w:rsidR="00171763" w:rsidRPr="008A5AD9">
        <w:rPr>
          <w:rFonts w:ascii="Times New Roman" w:hAnsi="Times New Roman"/>
        </w:rPr>
        <w:t xml:space="preserve"> </w:t>
      </w:r>
      <w:r w:rsidR="00E3344C" w:rsidRPr="008A5AD9">
        <w:rPr>
          <w:rFonts w:ascii="Times New Roman" w:hAnsi="Times New Roman"/>
        </w:rPr>
        <w:t>legal consequence</w:t>
      </w:r>
      <w:r w:rsidR="00E81F1A" w:rsidRPr="008A5AD9">
        <w:rPr>
          <w:rFonts w:ascii="Times New Roman" w:hAnsi="Times New Roman"/>
        </w:rPr>
        <w:t xml:space="preserve"> </w:t>
      </w:r>
      <w:r w:rsidR="00F426D9" w:rsidRPr="008A5AD9">
        <w:rPr>
          <w:rFonts w:ascii="Times New Roman" w:hAnsi="Times New Roman"/>
        </w:rPr>
        <w:t xml:space="preserve">of </w:t>
      </w:r>
      <w:r w:rsidR="002675FB" w:rsidRPr="008A5AD9">
        <w:rPr>
          <w:rFonts w:ascii="Times New Roman" w:hAnsi="Times New Roman"/>
        </w:rPr>
        <w:t>a statute</w:t>
      </w:r>
      <w:r w:rsidR="00BF38A2" w:rsidRPr="008A5AD9">
        <w:rPr>
          <w:rFonts w:ascii="Times New Roman" w:hAnsi="Times New Roman"/>
        </w:rPr>
        <w:t xml:space="preserve"> </w:t>
      </w:r>
      <w:r w:rsidR="00B361E9" w:rsidRPr="008A5AD9">
        <w:rPr>
          <w:rFonts w:ascii="Times New Roman" w:hAnsi="Times New Roman"/>
        </w:rPr>
        <w:t xml:space="preserve">properly construed </w:t>
      </w:r>
      <w:r w:rsidR="008B3226" w:rsidRPr="008A5AD9">
        <w:rPr>
          <w:rFonts w:ascii="Times New Roman" w:hAnsi="Times New Roman"/>
        </w:rPr>
        <w:t xml:space="preserve">not </w:t>
      </w:r>
      <w:r w:rsidR="00B361E9" w:rsidRPr="008A5AD9">
        <w:rPr>
          <w:rFonts w:ascii="Times New Roman" w:hAnsi="Times New Roman"/>
        </w:rPr>
        <w:t xml:space="preserve">to </w:t>
      </w:r>
      <w:r w:rsidR="008B3226" w:rsidRPr="008A5AD9">
        <w:rPr>
          <w:rFonts w:ascii="Times New Roman" w:hAnsi="Times New Roman"/>
        </w:rPr>
        <w:t xml:space="preserve">bind </w:t>
      </w:r>
      <w:r w:rsidR="00022E04" w:rsidRPr="008A5AD9">
        <w:rPr>
          <w:rFonts w:ascii="Times New Roman" w:hAnsi="Times New Roman"/>
        </w:rPr>
        <w:t xml:space="preserve">the Crown </w:t>
      </w:r>
      <w:r w:rsidR="001A19D6" w:rsidRPr="008A5AD9">
        <w:rPr>
          <w:rFonts w:ascii="Times New Roman" w:hAnsi="Times New Roman"/>
        </w:rPr>
        <w:t xml:space="preserve">having </w:t>
      </w:r>
      <w:r w:rsidR="00CD1A19" w:rsidRPr="008A5AD9">
        <w:rPr>
          <w:rFonts w:ascii="Times New Roman" w:hAnsi="Times New Roman"/>
        </w:rPr>
        <w:t xml:space="preserve">no </w:t>
      </w:r>
      <w:r w:rsidR="00031B83" w:rsidRPr="008A5AD9">
        <w:rPr>
          <w:rFonts w:ascii="Times New Roman" w:hAnsi="Times New Roman"/>
        </w:rPr>
        <w:t>appl</w:t>
      </w:r>
      <w:r w:rsidR="001A19D6" w:rsidRPr="008A5AD9">
        <w:rPr>
          <w:rFonts w:ascii="Times New Roman" w:hAnsi="Times New Roman"/>
        </w:rPr>
        <w:t>ication</w:t>
      </w:r>
      <w:r w:rsidR="00CD1A19" w:rsidRPr="008A5AD9">
        <w:rPr>
          <w:rFonts w:ascii="Times New Roman" w:hAnsi="Times New Roman"/>
        </w:rPr>
        <w:t xml:space="preserve"> to </w:t>
      </w:r>
      <w:r w:rsidR="00AF61D5" w:rsidRPr="008A5AD9">
        <w:rPr>
          <w:rFonts w:ascii="Times New Roman" w:hAnsi="Times New Roman"/>
        </w:rPr>
        <w:t xml:space="preserve">impose </w:t>
      </w:r>
      <w:r w:rsidR="0037533A" w:rsidRPr="008A5AD9">
        <w:rPr>
          <w:rFonts w:ascii="Times New Roman" w:hAnsi="Times New Roman"/>
        </w:rPr>
        <w:t xml:space="preserve">a legal liability or </w:t>
      </w:r>
      <w:r w:rsidR="00AB479E" w:rsidRPr="008A5AD9">
        <w:rPr>
          <w:rFonts w:ascii="Times New Roman" w:hAnsi="Times New Roman"/>
        </w:rPr>
        <w:t xml:space="preserve">legal </w:t>
      </w:r>
      <w:r w:rsidR="0037533A" w:rsidRPr="008A5AD9">
        <w:rPr>
          <w:rFonts w:ascii="Times New Roman" w:hAnsi="Times New Roman"/>
        </w:rPr>
        <w:t xml:space="preserve">constraint on </w:t>
      </w:r>
      <w:r w:rsidR="00CD1A19" w:rsidRPr="008A5AD9">
        <w:rPr>
          <w:rFonts w:ascii="Times New Roman" w:hAnsi="Times New Roman"/>
        </w:rPr>
        <w:t xml:space="preserve">a </w:t>
      </w:r>
      <w:r w:rsidR="00CD1A19" w:rsidRPr="008A5AD9">
        <w:rPr>
          <w:rFonts w:ascii="Times New Roman" w:hAnsi="Times New Roman"/>
        </w:rPr>
        <w:lastRenderedPageBreak/>
        <w:t>person other than the Crown</w:t>
      </w:r>
      <w:r w:rsidR="00E31C79" w:rsidRPr="008A5AD9">
        <w:rPr>
          <w:rFonts w:ascii="Times New Roman" w:hAnsi="Times New Roman"/>
        </w:rPr>
        <w:t xml:space="preserve"> </w:t>
      </w:r>
      <w:r w:rsidR="00E75C06" w:rsidRPr="008A5AD9">
        <w:rPr>
          <w:rFonts w:ascii="Times New Roman" w:hAnsi="Times New Roman"/>
        </w:rPr>
        <w:t>if and to the extent</w:t>
      </w:r>
      <w:r w:rsidR="00DB2E0D" w:rsidRPr="008A5AD9">
        <w:rPr>
          <w:rFonts w:ascii="Times New Roman" w:hAnsi="Times New Roman"/>
        </w:rPr>
        <w:t xml:space="preserve"> that</w:t>
      </w:r>
      <w:r w:rsidR="0015623C" w:rsidRPr="008A5AD9">
        <w:rPr>
          <w:rFonts w:ascii="Times New Roman" w:hAnsi="Times New Roman"/>
        </w:rPr>
        <w:t xml:space="preserve"> </w:t>
      </w:r>
      <w:r w:rsidR="00DB2D26" w:rsidRPr="008A5AD9">
        <w:rPr>
          <w:rFonts w:ascii="Times New Roman" w:hAnsi="Times New Roman"/>
        </w:rPr>
        <w:t xml:space="preserve">the imposition of that liability </w:t>
      </w:r>
      <w:r w:rsidR="00AB479E" w:rsidRPr="008A5AD9">
        <w:rPr>
          <w:rFonts w:ascii="Times New Roman" w:hAnsi="Times New Roman"/>
        </w:rPr>
        <w:t xml:space="preserve">or </w:t>
      </w:r>
      <w:r w:rsidR="00DB2D26" w:rsidRPr="008A5AD9">
        <w:rPr>
          <w:rFonts w:ascii="Times New Roman" w:hAnsi="Times New Roman"/>
        </w:rPr>
        <w:t>constraint on that person</w:t>
      </w:r>
      <w:r w:rsidR="00E31C79" w:rsidRPr="008A5AD9">
        <w:rPr>
          <w:rFonts w:ascii="Times New Roman" w:hAnsi="Times New Roman"/>
        </w:rPr>
        <w:t xml:space="preserve"> </w:t>
      </w:r>
      <w:r w:rsidR="00E46FC2" w:rsidRPr="008A5AD9">
        <w:rPr>
          <w:rFonts w:ascii="Times New Roman" w:hAnsi="Times New Roman"/>
        </w:rPr>
        <w:t>would</w:t>
      </w:r>
      <w:r w:rsidR="004B5F81" w:rsidRPr="008A5AD9">
        <w:rPr>
          <w:rFonts w:ascii="Times New Roman" w:hAnsi="Times New Roman"/>
        </w:rPr>
        <w:t xml:space="preserve"> </w:t>
      </w:r>
      <w:r w:rsidR="00DB2D26" w:rsidRPr="008A5AD9">
        <w:rPr>
          <w:rFonts w:ascii="Times New Roman" w:hAnsi="Times New Roman"/>
        </w:rPr>
        <w:t xml:space="preserve">operate to </w:t>
      </w:r>
      <w:r w:rsidR="00E31C79" w:rsidRPr="008A5AD9">
        <w:rPr>
          <w:rFonts w:ascii="Times New Roman" w:hAnsi="Times New Roman"/>
        </w:rPr>
        <w:t>divest the Crown of a legal right or</w:t>
      </w:r>
      <w:r w:rsidR="00AB479E" w:rsidRPr="008A5AD9">
        <w:rPr>
          <w:rFonts w:ascii="Times New Roman" w:hAnsi="Times New Roman"/>
        </w:rPr>
        <w:t xml:space="preserve"> </w:t>
      </w:r>
      <w:r w:rsidR="00E31C79" w:rsidRPr="008A5AD9">
        <w:rPr>
          <w:rFonts w:ascii="Times New Roman" w:hAnsi="Times New Roman"/>
        </w:rPr>
        <w:t>interest.</w:t>
      </w:r>
      <w:r w:rsidR="00E31C79" w:rsidRPr="008A5AD9">
        <w:rPr>
          <w:rStyle w:val="FootnoteReference"/>
          <w:rFonts w:ascii="Times New Roman" w:hAnsi="Times New Roman"/>
          <w:sz w:val="24"/>
        </w:rPr>
        <w:footnoteReference w:id="17"/>
      </w:r>
      <w:r w:rsidR="00047F1D" w:rsidRPr="008A5AD9">
        <w:rPr>
          <w:rFonts w:ascii="Times New Roman" w:hAnsi="Times New Roman"/>
        </w:rPr>
        <w:t xml:space="preserve"> </w:t>
      </w:r>
      <w:r w:rsidR="00DF6266" w:rsidRPr="008A5AD9">
        <w:rPr>
          <w:rFonts w:ascii="Times New Roman" w:hAnsi="Times New Roman"/>
        </w:rPr>
        <w:t>The</w:t>
      </w:r>
      <w:r w:rsidR="00047F1D" w:rsidRPr="008A5AD9">
        <w:rPr>
          <w:rFonts w:ascii="Times New Roman" w:hAnsi="Times New Roman"/>
        </w:rPr>
        <w:t xml:space="preserve"> </w:t>
      </w:r>
      <w:r w:rsidR="000F7D18" w:rsidRPr="008A5AD9">
        <w:rPr>
          <w:rFonts w:ascii="Times New Roman" w:hAnsi="Times New Roman"/>
        </w:rPr>
        <w:t>description is inadequate</w:t>
      </w:r>
      <w:r w:rsidR="00732287" w:rsidRPr="008A5AD9">
        <w:rPr>
          <w:rFonts w:ascii="Times New Roman" w:hAnsi="Times New Roman"/>
        </w:rPr>
        <w:t xml:space="preserve"> in that the legal consequence</w:t>
      </w:r>
      <w:r w:rsidR="0057474F" w:rsidRPr="008A5AD9">
        <w:rPr>
          <w:rFonts w:ascii="Times New Roman" w:hAnsi="Times New Roman"/>
        </w:rPr>
        <w:t xml:space="preserve"> </w:t>
      </w:r>
      <w:r w:rsidR="00B63A54" w:rsidRPr="008A5AD9">
        <w:rPr>
          <w:rFonts w:ascii="Times New Roman" w:hAnsi="Times New Roman"/>
        </w:rPr>
        <w:t xml:space="preserve">to which it refers </w:t>
      </w:r>
      <w:r w:rsidR="0089318B" w:rsidRPr="008A5AD9">
        <w:rPr>
          <w:rFonts w:ascii="Times New Roman" w:hAnsi="Times New Roman"/>
        </w:rPr>
        <w:t>is</w:t>
      </w:r>
      <w:r w:rsidR="00047F1D" w:rsidRPr="008A5AD9">
        <w:rPr>
          <w:rFonts w:ascii="Times New Roman" w:hAnsi="Times New Roman"/>
        </w:rPr>
        <w:t xml:space="preserve"> neither </w:t>
      </w:r>
      <w:r w:rsidR="00E260F0" w:rsidRPr="008A5AD9">
        <w:rPr>
          <w:rFonts w:ascii="Times New Roman" w:hAnsi="Times New Roman"/>
        </w:rPr>
        <w:t>"derivative" nor an "immunity"</w:t>
      </w:r>
      <w:r w:rsidR="00E674D1" w:rsidRPr="008A5AD9">
        <w:rPr>
          <w:rFonts w:ascii="Times New Roman" w:hAnsi="Times New Roman"/>
        </w:rPr>
        <w:t xml:space="preserve">. The </w:t>
      </w:r>
      <w:r w:rsidR="003744C0" w:rsidRPr="008A5AD9">
        <w:rPr>
          <w:rFonts w:ascii="Times New Roman" w:hAnsi="Times New Roman"/>
        </w:rPr>
        <w:t xml:space="preserve">legal </w:t>
      </w:r>
      <w:r w:rsidR="00E674D1" w:rsidRPr="008A5AD9">
        <w:rPr>
          <w:rFonts w:ascii="Times New Roman" w:hAnsi="Times New Roman"/>
        </w:rPr>
        <w:t xml:space="preserve">consequence </w:t>
      </w:r>
      <w:r w:rsidR="003744C0" w:rsidRPr="008A5AD9">
        <w:rPr>
          <w:rFonts w:ascii="Times New Roman" w:hAnsi="Times New Roman"/>
        </w:rPr>
        <w:t xml:space="preserve">to which it refers </w:t>
      </w:r>
      <w:r w:rsidR="00E674D1" w:rsidRPr="008A5AD9">
        <w:rPr>
          <w:rFonts w:ascii="Times New Roman" w:hAnsi="Times New Roman"/>
        </w:rPr>
        <w:t xml:space="preserve">is </w:t>
      </w:r>
      <w:r w:rsidR="00966AD8" w:rsidRPr="008A5AD9">
        <w:rPr>
          <w:rFonts w:ascii="Times New Roman" w:hAnsi="Times New Roman"/>
        </w:rPr>
        <w:t>rather a</w:t>
      </w:r>
      <w:r w:rsidR="0022530C" w:rsidRPr="008A5AD9">
        <w:rPr>
          <w:rFonts w:ascii="Times New Roman" w:hAnsi="Times New Roman"/>
        </w:rPr>
        <w:t xml:space="preserve"> </w:t>
      </w:r>
      <w:r w:rsidR="00966AD8" w:rsidRPr="008A5AD9">
        <w:rPr>
          <w:rFonts w:ascii="Times New Roman" w:hAnsi="Times New Roman"/>
        </w:rPr>
        <w:t>"corollary"</w:t>
      </w:r>
      <w:r w:rsidR="00966AD8" w:rsidRPr="008A5AD9">
        <w:rPr>
          <w:rStyle w:val="FootnoteReference"/>
          <w:rFonts w:ascii="Times New Roman" w:hAnsi="Times New Roman"/>
          <w:sz w:val="24"/>
        </w:rPr>
        <w:footnoteReference w:id="18"/>
      </w:r>
      <w:r w:rsidR="00732287" w:rsidRPr="008A5AD9">
        <w:rPr>
          <w:rFonts w:ascii="Times New Roman" w:hAnsi="Times New Roman"/>
        </w:rPr>
        <w:t xml:space="preserve"> </w:t>
      </w:r>
      <w:r w:rsidR="005C2910" w:rsidRPr="008A5AD9">
        <w:rPr>
          <w:rFonts w:ascii="Times New Roman" w:hAnsi="Times New Roman"/>
        </w:rPr>
        <w:t>–</w:t>
      </w:r>
      <w:r w:rsidR="00732287" w:rsidRPr="008A5AD9">
        <w:rPr>
          <w:rFonts w:ascii="Times New Roman" w:hAnsi="Times New Roman"/>
        </w:rPr>
        <w:t xml:space="preserve"> </w:t>
      </w:r>
      <w:r w:rsidR="00E674D1" w:rsidRPr="008A5AD9">
        <w:rPr>
          <w:rFonts w:ascii="Times New Roman" w:hAnsi="Times New Roman"/>
        </w:rPr>
        <w:t xml:space="preserve">a </w:t>
      </w:r>
      <w:r w:rsidR="00732287" w:rsidRPr="008A5AD9">
        <w:rPr>
          <w:rFonts w:ascii="Times New Roman" w:hAnsi="Times New Roman"/>
        </w:rPr>
        <w:t>working</w:t>
      </w:r>
      <w:r w:rsidR="003D656B" w:rsidRPr="008A5AD9">
        <w:rPr>
          <w:rFonts w:ascii="Times New Roman" w:hAnsi="Times New Roman"/>
        </w:rPr>
        <w:t xml:space="preserve"> out</w:t>
      </w:r>
      <w:r w:rsidR="00E674D1" w:rsidRPr="008A5AD9">
        <w:rPr>
          <w:rFonts w:ascii="Times New Roman" w:hAnsi="Times New Roman"/>
        </w:rPr>
        <w:t xml:space="preserve"> </w:t>
      </w:r>
      <w:r w:rsidR="005C2910" w:rsidRPr="008A5AD9">
        <w:rPr>
          <w:rFonts w:ascii="Times New Roman" w:hAnsi="Times New Roman"/>
        </w:rPr>
        <w:t>–</w:t>
      </w:r>
      <w:r w:rsidR="00A27498" w:rsidRPr="008A5AD9">
        <w:rPr>
          <w:rFonts w:ascii="Times New Roman" w:hAnsi="Times New Roman"/>
        </w:rPr>
        <w:t xml:space="preserve"> </w:t>
      </w:r>
      <w:r w:rsidR="004D69B7" w:rsidRPr="008A5AD9">
        <w:rPr>
          <w:rFonts w:ascii="Times New Roman" w:hAnsi="Times New Roman"/>
        </w:rPr>
        <w:t>of the</w:t>
      </w:r>
      <w:r w:rsidR="00165B8C" w:rsidRPr="008A5AD9">
        <w:rPr>
          <w:rFonts w:ascii="Times New Roman" w:hAnsi="Times New Roman"/>
        </w:rPr>
        <w:t xml:space="preserve"> principle of statutory construction</w:t>
      </w:r>
      <w:r w:rsidR="00BD5B44" w:rsidRPr="008A5AD9">
        <w:rPr>
          <w:rFonts w:ascii="Times New Roman" w:hAnsi="Times New Roman"/>
        </w:rPr>
        <w:t>.</w:t>
      </w:r>
    </w:p>
    <w:p w14:paraId="0A70516D" w14:textId="4C236A67" w:rsidR="00B92C23" w:rsidRPr="008A5AD9" w:rsidRDefault="00FF6815"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96498A" w:rsidRPr="008A5AD9">
        <w:rPr>
          <w:rFonts w:ascii="Times New Roman" w:hAnsi="Times New Roman"/>
        </w:rPr>
        <w:t xml:space="preserve">Before </w:t>
      </w:r>
      <w:r w:rsidR="0096498A" w:rsidRPr="008A5AD9">
        <w:rPr>
          <w:rFonts w:ascii="Times New Roman" w:hAnsi="Times New Roman"/>
          <w:i/>
          <w:iCs/>
        </w:rPr>
        <w:t xml:space="preserve">NT Power </w:t>
      </w:r>
      <w:r w:rsidR="0096498A" w:rsidRPr="008A5AD9">
        <w:rPr>
          <w:rFonts w:ascii="Times New Roman" w:hAnsi="Times New Roman"/>
        </w:rPr>
        <w:t xml:space="preserve">and </w:t>
      </w:r>
      <w:r w:rsidR="0096498A" w:rsidRPr="008A5AD9">
        <w:rPr>
          <w:rFonts w:ascii="Times New Roman" w:hAnsi="Times New Roman"/>
          <w:i/>
          <w:iCs/>
        </w:rPr>
        <w:t>Baxter</w:t>
      </w:r>
      <w:r w:rsidR="0096498A" w:rsidRPr="008A5AD9">
        <w:rPr>
          <w:rFonts w:ascii="Times New Roman" w:hAnsi="Times New Roman"/>
        </w:rPr>
        <w:t>,</w:t>
      </w:r>
      <w:r w:rsidR="0096498A" w:rsidRPr="008A5AD9">
        <w:rPr>
          <w:rFonts w:ascii="Times New Roman" w:hAnsi="Times New Roman"/>
          <w:i/>
          <w:iCs/>
        </w:rPr>
        <w:t xml:space="preserve"> </w:t>
      </w:r>
      <w:r w:rsidR="00CA1425" w:rsidRPr="008A5AD9">
        <w:rPr>
          <w:rFonts w:ascii="Times New Roman" w:hAnsi="Times New Roman"/>
        </w:rPr>
        <w:t xml:space="preserve">the CCA in </w:t>
      </w:r>
      <w:r w:rsidR="00AB5814" w:rsidRPr="008A5AD9">
        <w:rPr>
          <w:rFonts w:ascii="Times New Roman" w:hAnsi="Times New Roman"/>
        </w:rPr>
        <w:t xml:space="preserve">an earlier </w:t>
      </w:r>
      <w:r w:rsidR="00CA1425" w:rsidRPr="008A5AD9">
        <w:rPr>
          <w:rFonts w:ascii="Times New Roman" w:hAnsi="Times New Roman"/>
        </w:rPr>
        <w:t>form</w:t>
      </w:r>
      <w:r w:rsidR="00AB5814" w:rsidRPr="008A5AD9">
        <w:rPr>
          <w:rStyle w:val="FootnoteReference"/>
          <w:rFonts w:ascii="Times New Roman" w:hAnsi="Times New Roman"/>
          <w:sz w:val="24"/>
        </w:rPr>
        <w:footnoteReference w:id="19"/>
      </w:r>
      <w:r w:rsidR="00FF24BF" w:rsidRPr="008A5AD9">
        <w:rPr>
          <w:rFonts w:ascii="Times New Roman" w:hAnsi="Times New Roman"/>
        </w:rPr>
        <w:t xml:space="preserve"> ha</w:t>
      </w:r>
      <w:r w:rsidR="0096498A" w:rsidRPr="008A5AD9">
        <w:rPr>
          <w:rFonts w:ascii="Times New Roman" w:hAnsi="Times New Roman"/>
        </w:rPr>
        <w:t>d</w:t>
      </w:r>
      <w:r w:rsidR="00FF24BF" w:rsidRPr="008A5AD9">
        <w:rPr>
          <w:rFonts w:ascii="Times New Roman" w:hAnsi="Times New Roman"/>
        </w:rPr>
        <w:t xml:space="preserve"> been construed in</w:t>
      </w:r>
      <w:r w:rsidR="00CA1425" w:rsidRPr="008A5AD9">
        <w:rPr>
          <w:rFonts w:ascii="Times New Roman" w:hAnsi="Times New Roman"/>
        </w:rPr>
        <w:t xml:space="preserve"> </w:t>
      </w:r>
      <w:r w:rsidR="00242517" w:rsidRPr="008A5AD9">
        <w:rPr>
          <w:rFonts w:ascii="Times New Roman" w:hAnsi="Times New Roman"/>
          <w:i/>
          <w:iCs/>
        </w:rPr>
        <w:t xml:space="preserve">Bradken Consolidated Ltd v Broken Hill </w:t>
      </w:r>
      <w:r w:rsidR="00321F8B" w:rsidRPr="008A5AD9">
        <w:rPr>
          <w:rFonts w:ascii="Times New Roman" w:hAnsi="Times New Roman"/>
          <w:i/>
          <w:iCs/>
        </w:rPr>
        <w:t xml:space="preserve">Proprietary Co </w:t>
      </w:r>
      <w:r w:rsidR="00242517" w:rsidRPr="008A5AD9">
        <w:rPr>
          <w:rFonts w:ascii="Times New Roman" w:hAnsi="Times New Roman"/>
          <w:i/>
          <w:iCs/>
        </w:rPr>
        <w:t>Ltd</w:t>
      </w:r>
      <w:r w:rsidR="00242517" w:rsidRPr="008A5AD9">
        <w:rPr>
          <w:rStyle w:val="FootnoteReference"/>
          <w:rFonts w:ascii="Times New Roman" w:hAnsi="Times New Roman"/>
          <w:sz w:val="24"/>
        </w:rPr>
        <w:footnoteReference w:id="20"/>
      </w:r>
      <w:r w:rsidR="00242517" w:rsidRPr="008A5AD9">
        <w:rPr>
          <w:rFonts w:ascii="Times New Roman" w:hAnsi="Times New Roman"/>
        </w:rPr>
        <w:t xml:space="preserve"> </w:t>
      </w:r>
      <w:r w:rsidR="00FF24BF" w:rsidRPr="008A5AD9">
        <w:rPr>
          <w:rFonts w:ascii="Times New Roman" w:hAnsi="Times New Roman"/>
        </w:rPr>
        <w:t xml:space="preserve">not </w:t>
      </w:r>
      <w:r w:rsidR="00A4621D" w:rsidRPr="008A5AD9">
        <w:rPr>
          <w:rFonts w:ascii="Times New Roman" w:hAnsi="Times New Roman"/>
        </w:rPr>
        <w:t xml:space="preserve">to </w:t>
      </w:r>
      <w:r w:rsidR="00906A57" w:rsidRPr="008A5AD9">
        <w:rPr>
          <w:rFonts w:ascii="Times New Roman" w:hAnsi="Times New Roman"/>
        </w:rPr>
        <w:t>bind</w:t>
      </w:r>
      <w:r w:rsidR="00A4621D" w:rsidRPr="008A5AD9">
        <w:rPr>
          <w:rFonts w:ascii="Times New Roman" w:hAnsi="Times New Roman"/>
        </w:rPr>
        <w:t xml:space="preserve"> the Crown</w:t>
      </w:r>
      <w:r w:rsidR="0042195B" w:rsidRPr="008A5AD9">
        <w:rPr>
          <w:rFonts w:ascii="Times New Roman" w:hAnsi="Times New Roman"/>
        </w:rPr>
        <w:t xml:space="preserve"> in right of a State</w:t>
      </w:r>
      <w:r w:rsidR="00FD550A" w:rsidRPr="008A5AD9">
        <w:rPr>
          <w:rFonts w:ascii="Times New Roman" w:hAnsi="Times New Roman"/>
        </w:rPr>
        <w:t xml:space="preserve">. </w:t>
      </w:r>
      <w:proofErr w:type="gramStart"/>
      <w:r w:rsidR="00F866AA" w:rsidRPr="008A5AD9">
        <w:rPr>
          <w:rFonts w:ascii="Times New Roman" w:hAnsi="Times New Roman"/>
        </w:rPr>
        <w:t>A majority of</w:t>
      </w:r>
      <w:proofErr w:type="gramEnd"/>
      <w:r w:rsidR="00F866AA" w:rsidRPr="008A5AD9">
        <w:rPr>
          <w:rFonts w:ascii="Times New Roman" w:hAnsi="Times New Roman"/>
        </w:rPr>
        <w:t xml:space="preserve"> the </w:t>
      </w:r>
      <w:r w:rsidR="00B94379" w:rsidRPr="008A5AD9">
        <w:rPr>
          <w:rFonts w:ascii="Times New Roman" w:hAnsi="Times New Roman"/>
        </w:rPr>
        <w:t xml:space="preserve">Court in </w:t>
      </w:r>
      <w:r w:rsidR="0005537B" w:rsidRPr="008A5AD9">
        <w:rPr>
          <w:rFonts w:ascii="Times New Roman" w:hAnsi="Times New Roman"/>
          <w:i/>
          <w:iCs/>
        </w:rPr>
        <w:t>Baxter</w:t>
      </w:r>
      <w:r w:rsidR="002668D7" w:rsidRPr="008A5AD9">
        <w:rPr>
          <w:rFonts w:ascii="Times New Roman" w:hAnsi="Times New Roman"/>
        </w:rPr>
        <w:t xml:space="preserve"> noted </w:t>
      </w:r>
      <w:r w:rsidR="00906A57" w:rsidRPr="008A5AD9">
        <w:rPr>
          <w:rFonts w:ascii="Times New Roman" w:hAnsi="Times New Roman"/>
        </w:rPr>
        <w:t xml:space="preserve">that </w:t>
      </w:r>
      <w:r w:rsidR="002668D7" w:rsidRPr="008A5AD9">
        <w:rPr>
          <w:rFonts w:ascii="Times New Roman" w:hAnsi="Times New Roman"/>
        </w:rPr>
        <w:t>th</w:t>
      </w:r>
      <w:r w:rsidR="00882F58" w:rsidRPr="008A5AD9">
        <w:rPr>
          <w:rFonts w:ascii="Times New Roman" w:hAnsi="Times New Roman"/>
        </w:rPr>
        <w:t>e</w:t>
      </w:r>
      <w:r w:rsidR="002668D7" w:rsidRPr="008A5AD9">
        <w:rPr>
          <w:rFonts w:ascii="Times New Roman" w:hAnsi="Times New Roman"/>
        </w:rPr>
        <w:t xml:space="preserve"> </w:t>
      </w:r>
      <w:r w:rsidR="00882F58" w:rsidRPr="008A5AD9">
        <w:rPr>
          <w:rFonts w:ascii="Times New Roman" w:hAnsi="Times New Roman"/>
          <w:i/>
          <w:iCs/>
        </w:rPr>
        <w:t xml:space="preserve">Bradken </w:t>
      </w:r>
      <w:r w:rsidR="002668D7" w:rsidRPr="008A5AD9">
        <w:rPr>
          <w:rFonts w:ascii="Times New Roman" w:hAnsi="Times New Roman"/>
        </w:rPr>
        <w:t xml:space="preserve">construction </w:t>
      </w:r>
      <w:r w:rsidR="00906A57" w:rsidRPr="008A5AD9">
        <w:rPr>
          <w:rFonts w:ascii="Times New Roman" w:hAnsi="Times New Roman"/>
        </w:rPr>
        <w:t>was</w:t>
      </w:r>
      <w:r w:rsidR="002668D7" w:rsidRPr="008A5AD9">
        <w:rPr>
          <w:rFonts w:ascii="Times New Roman" w:hAnsi="Times New Roman"/>
        </w:rPr>
        <w:t xml:space="preserve"> </w:t>
      </w:r>
      <w:r w:rsidR="00FE44F3" w:rsidRPr="008A5AD9">
        <w:rPr>
          <w:rFonts w:ascii="Times New Roman" w:hAnsi="Times New Roman"/>
        </w:rPr>
        <w:t xml:space="preserve">"reinforced in so far as the Crown </w:t>
      </w:r>
      <w:r w:rsidR="00E56709" w:rsidRPr="008A5AD9">
        <w:rPr>
          <w:rFonts w:ascii="Times New Roman" w:hAnsi="Times New Roman"/>
        </w:rPr>
        <w:t xml:space="preserve">was not carrying on a business" </w:t>
      </w:r>
      <w:r w:rsidR="003A7132" w:rsidRPr="008A5AD9">
        <w:rPr>
          <w:rFonts w:ascii="Times New Roman" w:hAnsi="Times New Roman"/>
        </w:rPr>
        <w:t>by the subsequent in</w:t>
      </w:r>
      <w:r w:rsidR="00E934C6" w:rsidRPr="008A5AD9">
        <w:rPr>
          <w:rFonts w:ascii="Times New Roman" w:hAnsi="Times New Roman"/>
        </w:rPr>
        <w:t>sertion</w:t>
      </w:r>
      <w:r w:rsidR="003A7132" w:rsidRPr="008A5AD9">
        <w:rPr>
          <w:rFonts w:ascii="Times New Roman" w:hAnsi="Times New Roman"/>
        </w:rPr>
        <w:t xml:space="preserve"> of s 2</w:t>
      </w:r>
      <w:r w:rsidR="00BC49C6" w:rsidRPr="008A5AD9">
        <w:rPr>
          <w:rFonts w:ascii="Times New Roman" w:hAnsi="Times New Roman"/>
        </w:rPr>
        <w:t>B</w:t>
      </w:r>
      <w:r w:rsidR="00C37D35" w:rsidRPr="008A5AD9">
        <w:rPr>
          <w:rFonts w:ascii="Times New Roman" w:hAnsi="Times New Roman"/>
        </w:rPr>
        <w:t>.</w:t>
      </w:r>
      <w:r w:rsidR="00D37637" w:rsidRPr="008A5AD9">
        <w:rPr>
          <w:rStyle w:val="FootnoteReference"/>
          <w:rFonts w:ascii="Times New Roman" w:hAnsi="Times New Roman"/>
          <w:sz w:val="24"/>
        </w:rPr>
        <w:footnoteReference w:id="21"/>
      </w:r>
      <w:r w:rsidR="007F2763" w:rsidRPr="008A5AD9">
        <w:rPr>
          <w:rFonts w:ascii="Times New Roman" w:hAnsi="Times New Roman"/>
        </w:rPr>
        <w:t xml:space="preserve"> </w:t>
      </w:r>
    </w:p>
    <w:p w14:paraId="5FDD3852" w14:textId="7651F102" w:rsidR="007C0598" w:rsidRPr="008A5AD9" w:rsidRDefault="00B92C23"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5E357E" w:rsidRPr="008A5AD9">
        <w:rPr>
          <w:rFonts w:ascii="Times New Roman" w:hAnsi="Times New Roman"/>
          <w:i/>
          <w:iCs/>
        </w:rPr>
        <w:t>Bradken</w:t>
      </w:r>
      <w:r w:rsidR="009722FF" w:rsidRPr="008A5AD9">
        <w:rPr>
          <w:rFonts w:ascii="Times New Roman" w:hAnsi="Times New Roman"/>
          <w:i/>
          <w:iCs/>
        </w:rPr>
        <w:t xml:space="preserve"> </w:t>
      </w:r>
      <w:r w:rsidR="00D67AD2" w:rsidRPr="008A5AD9">
        <w:rPr>
          <w:rFonts w:ascii="Times New Roman" w:hAnsi="Times New Roman"/>
        </w:rPr>
        <w:t xml:space="preserve">had </w:t>
      </w:r>
      <w:r w:rsidR="00510B83" w:rsidRPr="008A5AD9">
        <w:rPr>
          <w:rFonts w:ascii="Times New Roman" w:hAnsi="Times New Roman"/>
        </w:rPr>
        <w:t xml:space="preserve">also </w:t>
      </w:r>
      <w:r w:rsidR="009722FF" w:rsidRPr="008A5AD9">
        <w:rPr>
          <w:rFonts w:ascii="Times New Roman" w:hAnsi="Times New Roman"/>
        </w:rPr>
        <w:t xml:space="preserve">illustrated </w:t>
      </w:r>
      <w:r w:rsidR="00B4023C" w:rsidRPr="008A5AD9">
        <w:rPr>
          <w:rFonts w:ascii="Times New Roman" w:hAnsi="Times New Roman"/>
        </w:rPr>
        <w:t xml:space="preserve">that </w:t>
      </w:r>
      <w:r w:rsidR="00791A75" w:rsidRPr="008A5AD9">
        <w:rPr>
          <w:rFonts w:ascii="Times New Roman" w:hAnsi="Times New Roman"/>
        </w:rPr>
        <w:t>an</w:t>
      </w:r>
      <w:r w:rsidR="00793550" w:rsidRPr="008A5AD9">
        <w:rPr>
          <w:rFonts w:ascii="Times New Roman" w:hAnsi="Times New Roman"/>
        </w:rPr>
        <w:t xml:space="preserve"> outworking of </w:t>
      </w:r>
      <w:r w:rsidR="00E934CE" w:rsidRPr="008A5AD9">
        <w:rPr>
          <w:rFonts w:ascii="Times New Roman" w:hAnsi="Times New Roman"/>
        </w:rPr>
        <w:t>that construction</w:t>
      </w:r>
      <w:r w:rsidR="00906B9D" w:rsidRPr="008A5AD9">
        <w:rPr>
          <w:rFonts w:ascii="Times New Roman" w:hAnsi="Times New Roman"/>
        </w:rPr>
        <w:t xml:space="preserve"> </w:t>
      </w:r>
      <w:r w:rsidR="00162D6E" w:rsidRPr="008A5AD9">
        <w:rPr>
          <w:rFonts w:ascii="Times New Roman" w:hAnsi="Times New Roman"/>
        </w:rPr>
        <w:t xml:space="preserve">of the CCA not to bind the Crown </w:t>
      </w:r>
      <w:r w:rsidR="00B4023C" w:rsidRPr="008A5AD9">
        <w:rPr>
          <w:rFonts w:ascii="Times New Roman" w:hAnsi="Times New Roman"/>
        </w:rPr>
        <w:t xml:space="preserve">was </w:t>
      </w:r>
      <w:r w:rsidR="00141635" w:rsidRPr="008A5AD9">
        <w:rPr>
          <w:rFonts w:ascii="Times New Roman" w:hAnsi="Times New Roman"/>
        </w:rPr>
        <w:t xml:space="preserve">to render </w:t>
      </w:r>
      <w:r w:rsidR="00F003B2" w:rsidRPr="008A5AD9">
        <w:rPr>
          <w:rFonts w:ascii="Times New Roman" w:hAnsi="Times New Roman"/>
        </w:rPr>
        <w:t>s</w:t>
      </w:r>
      <w:r w:rsidR="00FA3645" w:rsidRPr="008A5AD9">
        <w:rPr>
          <w:rFonts w:ascii="Times New Roman" w:hAnsi="Times New Roman"/>
        </w:rPr>
        <w:t>s</w:t>
      </w:r>
      <w:r w:rsidR="00F003B2" w:rsidRPr="008A5AD9">
        <w:rPr>
          <w:rFonts w:ascii="Times New Roman" w:hAnsi="Times New Roman"/>
        </w:rPr>
        <w:t xml:space="preserve"> </w:t>
      </w:r>
      <w:r w:rsidR="00CA2BA6" w:rsidRPr="008A5AD9">
        <w:rPr>
          <w:rFonts w:ascii="Times New Roman" w:hAnsi="Times New Roman"/>
        </w:rPr>
        <w:t xml:space="preserve">45 </w:t>
      </w:r>
      <w:r w:rsidR="00FA3645" w:rsidRPr="008A5AD9">
        <w:rPr>
          <w:rFonts w:ascii="Times New Roman" w:hAnsi="Times New Roman"/>
        </w:rPr>
        <w:t xml:space="preserve">and 47 </w:t>
      </w:r>
      <w:r w:rsidR="00427C64" w:rsidRPr="008A5AD9">
        <w:rPr>
          <w:rFonts w:ascii="Times New Roman" w:hAnsi="Times New Roman"/>
        </w:rPr>
        <w:t xml:space="preserve">inapplicable </w:t>
      </w:r>
      <w:r w:rsidR="00CA2BA6" w:rsidRPr="008A5AD9">
        <w:rPr>
          <w:rFonts w:ascii="Times New Roman" w:hAnsi="Times New Roman"/>
        </w:rPr>
        <w:t>to</w:t>
      </w:r>
      <w:r w:rsidR="00D72719" w:rsidRPr="008A5AD9">
        <w:rPr>
          <w:rFonts w:ascii="Times New Roman" w:hAnsi="Times New Roman"/>
        </w:rPr>
        <w:t xml:space="preserve"> </w:t>
      </w:r>
      <w:r w:rsidR="000A373A" w:rsidRPr="008A5AD9">
        <w:rPr>
          <w:rFonts w:ascii="Times New Roman" w:hAnsi="Times New Roman"/>
        </w:rPr>
        <w:t xml:space="preserve">constrain </w:t>
      </w:r>
      <w:r w:rsidR="0008683F" w:rsidRPr="008A5AD9">
        <w:rPr>
          <w:rFonts w:ascii="Times New Roman" w:hAnsi="Times New Roman"/>
        </w:rPr>
        <w:t xml:space="preserve">conduct of </w:t>
      </w:r>
      <w:r w:rsidR="00CB6AAE" w:rsidRPr="008A5AD9">
        <w:rPr>
          <w:rFonts w:ascii="Times New Roman" w:hAnsi="Times New Roman"/>
        </w:rPr>
        <w:t>non-government parties</w:t>
      </w:r>
      <w:r w:rsidR="00256043" w:rsidRPr="008A5AD9">
        <w:rPr>
          <w:rFonts w:ascii="Times New Roman" w:hAnsi="Times New Roman"/>
        </w:rPr>
        <w:t xml:space="preserve"> </w:t>
      </w:r>
      <w:r w:rsidR="003E432C" w:rsidRPr="008A5AD9">
        <w:rPr>
          <w:rFonts w:ascii="Times New Roman" w:hAnsi="Times New Roman"/>
        </w:rPr>
        <w:t xml:space="preserve">in circumstances where </w:t>
      </w:r>
      <w:r w:rsidR="007D6D4C" w:rsidRPr="008A5AD9">
        <w:rPr>
          <w:rFonts w:ascii="Times New Roman" w:hAnsi="Times New Roman"/>
        </w:rPr>
        <w:t xml:space="preserve">application of those </w:t>
      </w:r>
      <w:r w:rsidR="00842400" w:rsidRPr="008A5AD9">
        <w:rPr>
          <w:rFonts w:ascii="Times New Roman" w:hAnsi="Times New Roman"/>
        </w:rPr>
        <w:t>provisions to constrain that conduct</w:t>
      </w:r>
      <w:r w:rsidR="007D6D4C" w:rsidRPr="008A5AD9">
        <w:rPr>
          <w:rFonts w:ascii="Times New Roman" w:hAnsi="Times New Roman"/>
        </w:rPr>
        <w:t xml:space="preserve"> </w:t>
      </w:r>
      <w:r w:rsidR="00B6083C" w:rsidRPr="008A5AD9">
        <w:rPr>
          <w:rFonts w:ascii="Times New Roman" w:hAnsi="Times New Roman"/>
        </w:rPr>
        <w:t xml:space="preserve">would have </w:t>
      </w:r>
      <w:r w:rsidR="009D17D3" w:rsidRPr="008A5AD9">
        <w:rPr>
          <w:rFonts w:ascii="Times New Roman" w:hAnsi="Times New Roman"/>
        </w:rPr>
        <w:t xml:space="preserve">divested the Crown of </w:t>
      </w:r>
      <w:r w:rsidR="0008683F" w:rsidRPr="008A5AD9">
        <w:rPr>
          <w:rFonts w:ascii="Times New Roman" w:hAnsi="Times New Roman"/>
        </w:rPr>
        <w:t xml:space="preserve">proprietary and contractual </w:t>
      </w:r>
      <w:r w:rsidR="00040AA7" w:rsidRPr="008A5AD9">
        <w:rPr>
          <w:rFonts w:ascii="Times New Roman" w:hAnsi="Times New Roman"/>
        </w:rPr>
        <w:t>rights</w:t>
      </w:r>
      <w:r w:rsidR="00D67AD2" w:rsidRPr="008A5AD9">
        <w:rPr>
          <w:rFonts w:ascii="Times New Roman" w:hAnsi="Times New Roman"/>
        </w:rPr>
        <w:t>.</w:t>
      </w:r>
      <w:r w:rsidR="00E52964" w:rsidRPr="008A5AD9">
        <w:rPr>
          <w:rStyle w:val="FootnoteReference"/>
          <w:rFonts w:ascii="Times New Roman" w:hAnsi="Times New Roman"/>
          <w:sz w:val="24"/>
        </w:rPr>
        <w:footnoteReference w:id="22"/>
      </w:r>
      <w:r w:rsidR="001403B1" w:rsidRPr="008A5AD9">
        <w:rPr>
          <w:rFonts w:ascii="Times New Roman" w:hAnsi="Times New Roman"/>
        </w:rPr>
        <w:t xml:space="preserve"> </w:t>
      </w:r>
      <w:r w:rsidR="009B727A" w:rsidRPr="008A5AD9">
        <w:rPr>
          <w:rFonts w:ascii="Times New Roman" w:hAnsi="Times New Roman"/>
        </w:rPr>
        <w:t>In light</w:t>
      </w:r>
      <w:r w:rsidR="007563E7" w:rsidRPr="008A5AD9">
        <w:rPr>
          <w:rFonts w:ascii="Times New Roman" w:hAnsi="Times New Roman"/>
        </w:rPr>
        <w:t xml:space="preserve"> of</w:t>
      </w:r>
      <w:r w:rsidR="00DD6234" w:rsidRPr="008A5AD9">
        <w:rPr>
          <w:rFonts w:ascii="Times New Roman" w:hAnsi="Times New Roman"/>
        </w:rPr>
        <w:t xml:space="preserve"> </w:t>
      </w:r>
      <w:r w:rsidR="00DD6234" w:rsidRPr="008A5AD9">
        <w:rPr>
          <w:rFonts w:ascii="Times New Roman" w:hAnsi="Times New Roman"/>
          <w:i/>
          <w:iCs/>
        </w:rPr>
        <w:t>B</w:t>
      </w:r>
      <w:r w:rsidR="007563E7" w:rsidRPr="008A5AD9">
        <w:rPr>
          <w:rFonts w:ascii="Times New Roman" w:hAnsi="Times New Roman"/>
          <w:i/>
          <w:iCs/>
        </w:rPr>
        <w:t>radken</w:t>
      </w:r>
      <w:r w:rsidR="009B727A" w:rsidRPr="008A5AD9">
        <w:rPr>
          <w:rFonts w:ascii="Times New Roman" w:hAnsi="Times New Roman"/>
        </w:rPr>
        <w:t xml:space="preserve">, </w:t>
      </w:r>
      <w:r w:rsidR="00976BC1" w:rsidRPr="008A5AD9">
        <w:rPr>
          <w:rFonts w:ascii="Times New Roman" w:hAnsi="Times New Roman"/>
        </w:rPr>
        <w:t xml:space="preserve">and consistently with </w:t>
      </w:r>
      <w:r w:rsidR="00902077" w:rsidRPr="008A5AD9">
        <w:rPr>
          <w:rFonts w:ascii="Times New Roman" w:hAnsi="Times New Roman"/>
        </w:rPr>
        <w:t xml:space="preserve">the </w:t>
      </w:r>
      <w:r w:rsidR="00F866AA" w:rsidRPr="008A5AD9">
        <w:rPr>
          <w:rFonts w:ascii="Times New Roman" w:hAnsi="Times New Roman"/>
        </w:rPr>
        <w:t xml:space="preserve">majority's </w:t>
      </w:r>
      <w:r w:rsidR="00FD7541" w:rsidRPr="008A5AD9">
        <w:rPr>
          <w:rFonts w:ascii="Times New Roman" w:hAnsi="Times New Roman"/>
        </w:rPr>
        <w:t>analysis</w:t>
      </w:r>
      <w:r w:rsidR="00EA0A92" w:rsidRPr="008A5AD9">
        <w:rPr>
          <w:rFonts w:ascii="Times New Roman" w:hAnsi="Times New Roman"/>
        </w:rPr>
        <w:t xml:space="preserve"> in </w:t>
      </w:r>
      <w:r w:rsidR="00976BC1" w:rsidRPr="008A5AD9">
        <w:rPr>
          <w:rFonts w:ascii="Times New Roman" w:hAnsi="Times New Roman"/>
          <w:i/>
          <w:iCs/>
        </w:rPr>
        <w:t xml:space="preserve">NT </w:t>
      </w:r>
      <w:r w:rsidR="00252864" w:rsidRPr="008A5AD9">
        <w:rPr>
          <w:rFonts w:ascii="Times New Roman" w:hAnsi="Times New Roman"/>
          <w:i/>
          <w:iCs/>
        </w:rPr>
        <w:t>Power</w:t>
      </w:r>
      <w:r w:rsidR="00252864" w:rsidRPr="008A5AD9">
        <w:rPr>
          <w:rFonts w:ascii="Times New Roman" w:hAnsi="Times New Roman"/>
        </w:rPr>
        <w:t>,</w:t>
      </w:r>
      <w:r w:rsidR="00902077" w:rsidRPr="008A5AD9">
        <w:rPr>
          <w:rStyle w:val="FootnoteReference"/>
          <w:rFonts w:ascii="Times New Roman" w:hAnsi="Times New Roman"/>
          <w:sz w:val="24"/>
        </w:rPr>
        <w:footnoteReference w:id="23"/>
      </w:r>
      <w:r w:rsidR="00252864" w:rsidRPr="008A5AD9">
        <w:rPr>
          <w:rFonts w:ascii="Times New Roman" w:hAnsi="Times New Roman"/>
        </w:rPr>
        <w:t xml:space="preserve"> </w:t>
      </w:r>
      <w:r w:rsidR="00831B5C" w:rsidRPr="008A5AD9">
        <w:rPr>
          <w:rFonts w:ascii="Times New Roman" w:hAnsi="Times New Roman"/>
        </w:rPr>
        <w:t xml:space="preserve">the </w:t>
      </w:r>
      <w:r w:rsidR="00F866AA" w:rsidRPr="008A5AD9">
        <w:rPr>
          <w:rFonts w:ascii="Times New Roman" w:hAnsi="Times New Roman"/>
        </w:rPr>
        <w:t xml:space="preserve">majority </w:t>
      </w:r>
      <w:r w:rsidR="00831B5C" w:rsidRPr="008A5AD9">
        <w:rPr>
          <w:rFonts w:ascii="Times New Roman" w:hAnsi="Times New Roman"/>
        </w:rPr>
        <w:t xml:space="preserve">in </w:t>
      </w:r>
      <w:r w:rsidR="00831B5C" w:rsidRPr="008A5AD9">
        <w:rPr>
          <w:rFonts w:ascii="Times New Roman" w:hAnsi="Times New Roman"/>
          <w:i/>
          <w:iCs/>
        </w:rPr>
        <w:t xml:space="preserve">Baxter </w:t>
      </w:r>
      <w:r w:rsidR="000A5F5A" w:rsidRPr="008A5AD9">
        <w:rPr>
          <w:rFonts w:ascii="Times New Roman" w:hAnsi="Times New Roman"/>
        </w:rPr>
        <w:t>identif</w:t>
      </w:r>
      <w:r w:rsidR="005157B2" w:rsidRPr="008A5AD9">
        <w:rPr>
          <w:rFonts w:ascii="Times New Roman" w:hAnsi="Times New Roman"/>
        </w:rPr>
        <w:t>ied</w:t>
      </w:r>
      <w:r w:rsidR="00454503" w:rsidRPr="008A5AD9">
        <w:rPr>
          <w:rFonts w:ascii="Times New Roman" w:hAnsi="Times New Roman"/>
        </w:rPr>
        <w:t xml:space="preserve"> </w:t>
      </w:r>
      <w:r w:rsidR="000A5F5A" w:rsidRPr="008A5AD9">
        <w:rPr>
          <w:rFonts w:ascii="Times New Roman" w:hAnsi="Times New Roman"/>
        </w:rPr>
        <w:t>the</w:t>
      </w:r>
      <w:r w:rsidR="001A347C" w:rsidRPr="008A5AD9">
        <w:rPr>
          <w:rFonts w:ascii="Times New Roman" w:hAnsi="Times New Roman"/>
        </w:rPr>
        <w:t xml:space="preserve"> </w:t>
      </w:r>
      <w:r w:rsidR="007E4416" w:rsidRPr="008A5AD9">
        <w:rPr>
          <w:rFonts w:ascii="Times New Roman" w:hAnsi="Times New Roman"/>
        </w:rPr>
        <w:t>applica</w:t>
      </w:r>
      <w:r w:rsidR="00A779A6" w:rsidRPr="008A5AD9">
        <w:rPr>
          <w:rFonts w:ascii="Times New Roman" w:hAnsi="Times New Roman"/>
        </w:rPr>
        <w:t xml:space="preserve">ble </w:t>
      </w:r>
      <w:r w:rsidR="00C5714F" w:rsidRPr="008A5AD9">
        <w:rPr>
          <w:rFonts w:ascii="Times New Roman" w:hAnsi="Times New Roman"/>
        </w:rPr>
        <w:t>principle</w:t>
      </w:r>
      <w:r w:rsidR="00046373" w:rsidRPr="008A5AD9">
        <w:rPr>
          <w:rFonts w:ascii="Times New Roman" w:hAnsi="Times New Roman"/>
        </w:rPr>
        <w:t xml:space="preserve"> of</w:t>
      </w:r>
      <w:r w:rsidR="00EF601B" w:rsidRPr="008A5AD9">
        <w:rPr>
          <w:rFonts w:ascii="Times New Roman" w:hAnsi="Times New Roman"/>
        </w:rPr>
        <w:t xml:space="preserve"> </w:t>
      </w:r>
      <w:r w:rsidR="00B109AB" w:rsidRPr="008A5AD9">
        <w:rPr>
          <w:rFonts w:ascii="Times New Roman" w:hAnsi="Times New Roman"/>
        </w:rPr>
        <w:t xml:space="preserve">construction </w:t>
      </w:r>
      <w:r w:rsidR="00D52CEF" w:rsidRPr="008A5AD9">
        <w:rPr>
          <w:rFonts w:ascii="Times New Roman" w:hAnsi="Times New Roman"/>
        </w:rPr>
        <w:t xml:space="preserve">to have been </w:t>
      </w:r>
      <w:r w:rsidR="00873FEC" w:rsidRPr="008A5AD9">
        <w:rPr>
          <w:rFonts w:ascii="Times New Roman" w:hAnsi="Times New Roman"/>
        </w:rPr>
        <w:t xml:space="preserve">that </w:t>
      </w:r>
      <w:r w:rsidR="00357023" w:rsidRPr="008A5AD9">
        <w:rPr>
          <w:rFonts w:ascii="Times New Roman" w:hAnsi="Times New Roman"/>
        </w:rPr>
        <w:t xml:space="preserve">"since </w:t>
      </w:r>
      <w:r w:rsidR="00F40D9F" w:rsidRPr="008A5AD9">
        <w:rPr>
          <w:rFonts w:ascii="Times New Roman" w:hAnsi="Times New Roman"/>
        </w:rPr>
        <w:t xml:space="preserve">the [CCA] </w:t>
      </w:r>
      <w:r w:rsidR="00357023" w:rsidRPr="008A5AD9">
        <w:rPr>
          <w:rFonts w:ascii="Times New Roman" w:hAnsi="Times New Roman"/>
        </w:rPr>
        <w:t xml:space="preserve">does not bind the Crown </w:t>
      </w:r>
      <w:r w:rsidR="00F40D9F" w:rsidRPr="008A5AD9">
        <w:rPr>
          <w:rFonts w:ascii="Times New Roman" w:hAnsi="Times New Roman"/>
        </w:rPr>
        <w:t>...</w:t>
      </w:r>
      <w:r w:rsidR="00357023" w:rsidRPr="008A5AD9">
        <w:rPr>
          <w:rFonts w:ascii="Times New Roman" w:hAnsi="Times New Roman"/>
        </w:rPr>
        <w:t xml:space="preserve"> when it is not carrying on a business, then, save to the extent to which a contrary intention appears, the </w:t>
      </w:r>
      <w:r w:rsidR="00F40D9F" w:rsidRPr="008A5AD9">
        <w:rPr>
          <w:rFonts w:ascii="Times New Roman" w:hAnsi="Times New Roman"/>
        </w:rPr>
        <w:t>[CCA]</w:t>
      </w:r>
      <w:r w:rsidR="00357023" w:rsidRPr="008A5AD9">
        <w:rPr>
          <w:rFonts w:ascii="Times New Roman" w:hAnsi="Times New Roman"/>
        </w:rPr>
        <w:t xml:space="preserve"> will not be read so as to divest the Crown of </w:t>
      </w:r>
      <w:r w:rsidR="00F40D9F" w:rsidRPr="008A5AD9">
        <w:rPr>
          <w:rFonts w:ascii="Times New Roman" w:hAnsi="Times New Roman"/>
        </w:rPr>
        <w:t>...</w:t>
      </w:r>
      <w:r w:rsidR="00357023" w:rsidRPr="008A5AD9">
        <w:rPr>
          <w:rFonts w:ascii="Times New Roman" w:hAnsi="Times New Roman"/>
        </w:rPr>
        <w:t xml:space="preserve"> legal rights or interests</w:t>
      </w:r>
      <w:r w:rsidR="00F40D9F" w:rsidRPr="008A5AD9">
        <w:rPr>
          <w:rFonts w:ascii="Times New Roman" w:hAnsi="Times New Roman"/>
        </w:rPr>
        <w:t>"</w:t>
      </w:r>
      <w:r w:rsidR="00357023" w:rsidRPr="008A5AD9">
        <w:rPr>
          <w:rFonts w:ascii="Times New Roman" w:hAnsi="Times New Roman"/>
        </w:rPr>
        <w:t>.</w:t>
      </w:r>
      <w:r w:rsidR="00F40D9F" w:rsidRPr="008A5AD9">
        <w:rPr>
          <w:rStyle w:val="FootnoteReference"/>
          <w:rFonts w:ascii="Times New Roman" w:hAnsi="Times New Roman"/>
          <w:sz w:val="24"/>
        </w:rPr>
        <w:footnoteReference w:id="24"/>
      </w:r>
    </w:p>
    <w:p w14:paraId="07A31569" w14:textId="73FADA89" w:rsidR="00DF5507" w:rsidRPr="008A5AD9" w:rsidRDefault="000C336F" w:rsidP="008A5AD9">
      <w:pPr>
        <w:pStyle w:val="FixListStyle"/>
        <w:spacing w:after="260" w:line="280" w:lineRule="exact"/>
        <w:ind w:right="0"/>
        <w:jc w:val="both"/>
        <w:rPr>
          <w:rFonts w:ascii="Times New Roman" w:hAnsi="Times New Roman"/>
        </w:rPr>
      </w:pPr>
      <w:r w:rsidRPr="008A5AD9">
        <w:rPr>
          <w:rFonts w:ascii="Times New Roman" w:hAnsi="Times New Roman"/>
        </w:rPr>
        <w:lastRenderedPageBreak/>
        <w:tab/>
      </w:r>
      <w:r w:rsidR="00076E7F" w:rsidRPr="008A5AD9">
        <w:rPr>
          <w:rFonts w:ascii="Times New Roman" w:hAnsi="Times New Roman"/>
        </w:rPr>
        <w:t>Application of th</w:t>
      </w:r>
      <w:r w:rsidR="00F01F8A" w:rsidRPr="008A5AD9">
        <w:rPr>
          <w:rFonts w:ascii="Times New Roman" w:hAnsi="Times New Roman"/>
        </w:rPr>
        <w:t>at</w:t>
      </w:r>
      <w:r w:rsidR="00076E7F" w:rsidRPr="008A5AD9">
        <w:rPr>
          <w:rFonts w:ascii="Times New Roman" w:hAnsi="Times New Roman"/>
        </w:rPr>
        <w:t xml:space="preserve"> </w:t>
      </w:r>
      <w:r w:rsidR="00106B25" w:rsidRPr="008A5AD9">
        <w:rPr>
          <w:rFonts w:ascii="Times New Roman" w:hAnsi="Times New Roman"/>
        </w:rPr>
        <w:t xml:space="preserve">principle of construction </w:t>
      </w:r>
      <w:r w:rsidR="001D6576" w:rsidRPr="008A5AD9">
        <w:rPr>
          <w:rFonts w:ascii="Times New Roman" w:hAnsi="Times New Roman"/>
        </w:rPr>
        <w:t xml:space="preserve">led </w:t>
      </w:r>
      <w:r w:rsidR="00F866AA" w:rsidRPr="008A5AD9">
        <w:rPr>
          <w:rFonts w:ascii="Times New Roman" w:hAnsi="Times New Roman"/>
        </w:rPr>
        <w:t xml:space="preserve">in </w:t>
      </w:r>
      <w:r w:rsidR="00F866AA" w:rsidRPr="008A5AD9">
        <w:rPr>
          <w:rFonts w:ascii="Times New Roman" w:hAnsi="Times New Roman"/>
          <w:i/>
          <w:iCs/>
        </w:rPr>
        <w:t>Baxter</w:t>
      </w:r>
      <w:r w:rsidR="00F866AA" w:rsidRPr="008A5AD9">
        <w:rPr>
          <w:rFonts w:ascii="Times New Roman" w:hAnsi="Times New Roman"/>
        </w:rPr>
        <w:t xml:space="preserve"> to</w:t>
      </w:r>
      <w:r w:rsidR="001D6576" w:rsidRPr="008A5AD9">
        <w:rPr>
          <w:rFonts w:ascii="Times New Roman" w:hAnsi="Times New Roman"/>
        </w:rPr>
        <w:t xml:space="preserve"> the</w:t>
      </w:r>
      <w:r w:rsidR="006511EC" w:rsidRPr="008A5AD9">
        <w:rPr>
          <w:rFonts w:ascii="Times New Roman" w:hAnsi="Times New Roman"/>
        </w:rPr>
        <w:t xml:space="preserve"> </w:t>
      </w:r>
      <w:r w:rsidR="00D60FE1" w:rsidRPr="008A5AD9">
        <w:rPr>
          <w:rFonts w:ascii="Times New Roman" w:hAnsi="Times New Roman"/>
        </w:rPr>
        <w:t xml:space="preserve">"real question" </w:t>
      </w:r>
      <w:r w:rsidR="00106B25" w:rsidRPr="008A5AD9">
        <w:rPr>
          <w:rFonts w:ascii="Times New Roman" w:hAnsi="Times New Roman"/>
        </w:rPr>
        <w:t xml:space="preserve">for determination </w:t>
      </w:r>
      <w:r w:rsidR="00FC2107" w:rsidRPr="008A5AD9">
        <w:rPr>
          <w:rFonts w:ascii="Times New Roman" w:hAnsi="Times New Roman"/>
        </w:rPr>
        <w:t xml:space="preserve">in that case </w:t>
      </w:r>
      <w:r w:rsidR="005B4E52" w:rsidRPr="008A5AD9">
        <w:rPr>
          <w:rFonts w:ascii="Times New Roman" w:hAnsi="Times New Roman"/>
        </w:rPr>
        <w:t>hav</w:t>
      </w:r>
      <w:r w:rsidR="00110437" w:rsidRPr="008A5AD9">
        <w:rPr>
          <w:rFonts w:ascii="Times New Roman" w:hAnsi="Times New Roman"/>
        </w:rPr>
        <w:t xml:space="preserve">ing </w:t>
      </w:r>
      <w:r w:rsidR="005B4E52" w:rsidRPr="008A5AD9">
        <w:rPr>
          <w:rFonts w:ascii="Times New Roman" w:hAnsi="Times New Roman"/>
        </w:rPr>
        <w:t>been</w:t>
      </w:r>
      <w:r w:rsidR="00FC2107" w:rsidRPr="008A5AD9">
        <w:rPr>
          <w:rFonts w:ascii="Times New Roman" w:hAnsi="Times New Roman"/>
        </w:rPr>
        <w:t xml:space="preserve"> </w:t>
      </w:r>
      <w:r w:rsidR="00110437" w:rsidRPr="008A5AD9">
        <w:rPr>
          <w:rFonts w:ascii="Times New Roman" w:hAnsi="Times New Roman"/>
        </w:rPr>
        <w:t xml:space="preserve">identified as </w:t>
      </w:r>
      <w:r w:rsidR="00F35223" w:rsidRPr="008A5AD9">
        <w:rPr>
          <w:rFonts w:ascii="Times New Roman" w:hAnsi="Times New Roman"/>
        </w:rPr>
        <w:t xml:space="preserve">the </w:t>
      </w:r>
      <w:r w:rsidR="0023499C" w:rsidRPr="008A5AD9">
        <w:rPr>
          <w:rFonts w:ascii="Times New Roman" w:hAnsi="Times New Roman"/>
        </w:rPr>
        <w:t>"</w:t>
      </w:r>
      <w:r w:rsidR="00F35223" w:rsidRPr="008A5AD9">
        <w:rPr>
          <w:rFonts w:ascii="Times New Roman" w:hAnsi="Times New Roman"/>
          <w:i/>
          <w:iCs/>
        </w:rPr>
        <w:t>extent</w:t>
      </w:r>
      <w:r w:rsidR="0023499C" w:rsidRPr="008A5AD9">
        <w:rPr>
          <w:rFonts w:ascii="Times New Roman" w:hAnsi="Times New Roman"/>
        </w:rPr>
        <w:t>"</w:t>
      </w:r>
      <w:r w:rsidR="00F35223" w:rsidRPr="008A5AD9">
        <w:rPr>
          <w:rFonts w:ascii="Times New Roman" w:hAnsi="Times New Roman"/>
        </w:rPr>
        <w:t xml:space="preserve"> </w:t>
      </w:r>
      <w:r w:rsidR="004508AE" w:rsidRPr="008A5AD9">
        <w:rPr>
          <w:rFonts w:ascii="Times New Roman" w:hAnsi="Times New Roman"/>
        </w:rPr>
        <w:t xml:space="preserve">to which </w:t>
      </w:r>
      <w:r w:rsidR="00DD29FB" w:rsidRPr="008A5AD9">
        <w:rPr>
          <w:rFonts w:ascii="Times New Roman" w:hAnsi="Times New Roman"/>
        </w:rPr>
        <w:t>"</w:t>
      </w:r>
      <w:r w:rsidR="004508AE" w:rsidRPr="008A5AD9">
        <w:rPr>
          <w:rFonts w:ascii="Times New Roman" w:hAnsi="Times New Roman"/>
        </w:rPr>
        <w:t>the reach</w:t>
      </w:r>
      <w:r w:rsidR="00DD29FB" w:rsidRPr="008A5AD9">
        <w:rPr>
          <w:rFonts w:ascii="Times New Roman" w:hAnsi="Times New Roman"/>
        </w:rPr>
        <w:t>"</w:t>
      </w:r>
      <w:r w:rsidR="004508AE" w:rsidRPr="008A5AD9">
        <w:rPr>
          <w:rFonts w:ascii="Times New Roman" w:hAnsi="Times New Roman"/>
        </w:rPr>
        <w:t xml:space="preserve"> of ss 46 and 47 </w:t>
      </w:r>
      <w:r w:rsidR="00E32840" w:rsidRPr="008A5AD9">
        <w:rPr>
          <w:rFonts w:ascii="Times New Roman" w:hAnsi="Times New Roman"/>
        </w:rPr>
        <w:t xml:space="preserve">of the CCA </w:t>
      </w:r>
      <w:r w:rsidR="007D5032" w:rsidRPr="008A5AD9">
        <w:rPr>
          <w:rFonts w:ascii="Times New Roman" w:hAnsi="Times New Roman"/>
        </w:rPr>
        <w:t xml:space="preserve">was </w:t>
      </w:r>
      <w:r w:rsidR="00945241" w:rsidRPr="008A5AD9">
        <w:rPr>
          <w:rFonts w:ascii="Times New Roman" w:hAnsi="Times New Roman"/>
        </w:rPr>
        <w:t>"</w:t>
      </w:r>
      <w:r w:rsidR="008C118D" w:rsidRPr="008A5AD9">
        <w:rPr>
          <w:rFonts w:ascii="Times New Roman" w:hAnsi="Times New Roman"/>
        </w:rPr>
        <w:t xml:space="preserve">modified by the operation of </w:t>
      </w:r>
      <w:r w:rsidR="00930F62" w:rsidRPr="008A5AD9">
        <w:rPr>
          <w:rFonts w:ascii="Times New Roman" w:hAnsi="Times New Roman"/>
        </w:rPr>
        <w:t>the</w:t>
      </w:r>
      <w:r w:rsidR="008C118D" w:rsidRPr="008A5AD9">
        <w:rPr>
          <w:rFonts w:ascii="Times New Roman" w:hAnsi="Times New Roman"/>
        </w:rPr>
        <w:t xml:space="preserve"> </w:t>
      </w:r>
      <w:r w:rsidR="00DD1770" w:rsidRPr="008A5AD9">
        <w:rPr>
          <w:rFonts w:ascii="Times New Roman" w:hAnsi="Times New Roman"/>
        </w:rPr>
        <w:t>principle of construction".</w:t>
      </w:r>
      <w:r w:rsidR="00DD1770" w:rsidRPr="008A5AD9">
        <w:rPr>
          <w:rStyle w:val="FootnoteReference"/>
          <w:rFonts w:ascii="Times New Roman" w:hAnsi="Times New Roman"/>
          <w:sz w:val="24"/>
        </w:rPr>
        <w:footnoteReference w:id="25"/>
      </w:r>
      <w:r w:rsidR="00DD1770" w:rsidRPr="008A5AD9">
        <w:rPr>
          <w:rFonts w:ascii="Times New Roman" w:hAnsi="Times New Roman"/>
        </w:rPr>
        <w:t xml:space="preserve"> </w:t>
      </w:r>
      <w:r w:rsidR="00DD193E" w:rsidRPr="008A5AD9">
        <w:rPr>
          <w:rFonts w:ascii="Times New Roman" w:hAnsi="Times New Roman"/>
        </w:rPr>
        <w:t xml:space="preserve">The </w:t>
      </w:r>
      <w:r w:rsidR="00E03642" w:rsidRPr="008A5AD9">
        <w:rPr>
          <w:rFonts w:ascii="Times New Roman" w:hAnsi="Times New Roman"/>
        </w:rPr>
        <w:t>ultimate holding</w:t>
      </w:r>
      <w:r w:rsidR="00C7368D" w:rsidRPr="008A5AD9">
        <w:rPr>
          <w:rFonts w:ascii="Times New Roman" w:hAnsi="Times New Roman"/>
        </w:rPr>
        <w:t xml:space="preserve"> </w:t>
      </w:r>
      <w:r w:rsidR="005045B6" w:rsidRPr="008A5AD9">
        <w:rPr>
          <w:rFonts w:ascii="Times New Roman" w:hAnsi="Times New Roman"/>
        </w:rPr>
        <w:t xml:space="preserve">in </w:t>
      </w:r>
      <w:r w:rsidR="006E706F" w:rsidRPr="008A5AD9">
        <w:rPr>
          <w:rFonts w:ascii="Times New Roman" w:hAnsi="Times New Roman"/>
          <w:i/>
          <w:iCs/>
        </w:rPr>
        <w:t>Baxter</w:t>
      </w:r>
      <w:r w:rsidR="006E706F" w:rsidRPr="008A5AD9">
        <w:rPr>
          <w:rFonts w:ascii="Times New Roman" w:hAnsi="Times New Roman"/>
        </w:rPr>
        <w:t xml:space="preserve"> </w:t>
      </w:r>
      <w:r w:rsidR="007F2669" w:rsidRPr="008A5AD9">
        <w:rPr>
          <w:rFonts w:ascii="Times New Roman" w:hAnsi="Times New Roman"/>
        </w:rPr>
        <w:t xml:space="preserve">was </w:t>
      </w:r>
      <w:r w:rsidR="00AF523F" w:rsidRPr="008A5AD9">
        <w:rPr>
          <w:rFonts w:ascii="Times New Roman" w:hAnsi="Times New Roman"/>
        </w:rPr>
        <w:t xml:space="preserve">that the principle did </w:t>
      </w:r>
      <w:r w:rsidR="00E7354A" w:rsidRPr="008A5AD9">
        <w:rPr>
          <w:rFonts w:ascii="Times New Roman" w:hAnsi="Times New Roman"/>
        </w:rPr>
        <w:t>not preclude application of</w:t>
      </w:r>
      <w:r w:rsidR="00CB5095" w:rsidRPr="008A5AD9">
        <w:rPr>
          <w:rFonts w:ascii="Times New Roman" w:hAnsi="Times New Roman"/>
        </w:rPr>
        <w:t xml:space="preserve"> </w:t>
      </w:r>
      <w:r w:rsidR="004556A1" w:rsidRPr="008A5AD9">
        <w:rPr>
          <w:rFonts w:ascii="Times New Roman" w:hAnsi="Times New Roman"/>
        </w:rPr>
        <w:t>those sections</w:t>
      </w:r>
      <w:r w:rsidR="00CB5095" w:rsidRPr="008A5AD9">
        <w:rPr>
          <w:rFonts w:ascii="Times New Roman" w:hAnsi="Times New Roman"/>
        </w:rPr>
        <w:t xml:space="preserve"> </w:t>
      </w:r>
      <w:r w:rsidR="00834972" w:rsidRPr="008A5AD9">
        <w:rPr>
          <w:rFonts w:ascii="Times New Roman" w:hAnsi="Times New Roman"/>
        </w:rPr>
        <w:t>to</w:t>
      </w:r>
      <w:r w:rsidR="004556A1" w:rsidRPr="008A5AD9">
        <w:rPr>
          <w:rFonts w:ascii="Times New Roman" w:hAnsi="Times New Roman"/>
        </w:rPr>
        <w:t xml:space="preserve"> the</w:t>
      </w:r>
      <w:r w:rsidR="00834972" w:rsidRPr="008A5AD9">
        <w:rPr>
          <w:rFonts w:ascii="Times New Roman" w:hAnsi="Times New Roman"/>
        </w:rPr>
        <w:t xml:space="preserve"> conduct of </w:t>
      </w:r>
      <w:r w:rsidR="00AB48E3" w:rsidRPr="008A5AD9">
        <w:rPr>
          <w:rFonts w:ascii="Times New Roman" w:hAnsi="Times New Roman"/>
        </w:rPr>
        <w:t xml:space="preserve">the </w:t>
      </w:r>
      <w:r w:rsidR="00834972" w:rsidRPr="008A5AD9">
        <w:rPr>
          <w:rFonts w:ascii="Times New Roman" w:hAnsi="Times New Roman"/>
        </w:rPr>
        <w:t xml:space="preserve">non-government </w:t>
      </w:r>
      <w:r w:rsidR="006C1C84" w:rsidRPr="008A5AD9">
        <w:rPr>
          <w:rFonts w:ascii="Times New Roman" w:hAnsi="Times New Roman"/>
        </w:rPr>
        <w:t>party</w:t>
      </w:r>
      <w:r w:rsidR="009F6CDF" w:rsidRPr="008A5AD9">
        <w:rPr>
          <w:rFonts w:ascii="Times New Roman" w:hAnsi="Times New Roman"/>
        </w:rPr>
        <w:t xml:space="preserve"> </w:t>
      </w:r>
      <w:r w:rsidR="006C2640" w:rsidRPr="008A5AD9">
        <w:rPr>
          <w:rFonts w:ascii="Times New Roman" w:hAnsi="Times New Roman"/>
        </w:rPr>
        <w:t xml:space="preserve">impugned </w:t>
      </w:r>
      <w:r w:rsidR="00834972" w:rsidRPr="008A5AD9">
        <w:rPr>
          <w:rFonts w:ascii="Times New Roman" w:hAnsi="Times New Roman"/>
        </w:rPr>
        <w:t>in that case</w:t>
      </w:r>
      <w:r w:rsidR="005D0E70" w:rsidRPr="008A5AD9">
        <w:rPr>
          <w:rFonts w:ascii="Times New Roman" w:hAnsi="Times New Roman"/>
        </w:rPr>
        <w:t xml:space="preserve">. That was </w:t>
      </w:r>
      <w:r w:rsidR="00F320E6" w:rsidRPr="008A5AD9">
        <w:rPr>
          <w:rFonts w:ascii="Times New Roman" w:hAnsi="Times New Roman"/>
        </w:rPr>
        <w:t>not because</w:t>
      </w:r>
      <w:r w:rsidR="00BC56B7" w:rsidRPr="008A5AD9">
        <w:rPr>
          <w:rFonts w:ascii="Times New Roman" w:hAnsi="Times New Roman"/>
        </w:rPr>
        <w:t xml:space="preserve"> the context of the </w:t>
      </w:r>
      <w:r w:rsidR="00BE1580" w:rsidRPr="008A5AD9">
        <w:rPr>
          <w:rFonts w:ascii="Times New Roman" w:hAnsi="Times New Roman"/>
        </w:rPr>
        <w:t xml:space="preserve">CCA </w:t>
      </w:r>
      <w:r w:rsidR="003D4451" w:rsidRPr="008A5AD9">
        <w:rPr>
          <w:rFonts w:ascii="Times New Roman" w:hAnsi="Times New Roman"/>
        </w:rPr>
        <w:t>was</w:t>
      </w:r>
      <w:r w:rsidR="00BC56B7" w:rsidRPr="008A5AD9">
        <w:rPr>
          <w:rFonts w:ascii="Times New Roman" w:hAnsi="Times New Roman"/>
        </w:rPr>
        <w:t xml:space="preserve"> </w:t>
      </w:r>
      <w:r w:rsidR="00ED7E6F" w:rsidRPr="008A5AD9">
        <w:rPr>
          <w:rFonts w:ascii="Times New Roman" w:hAnsi="Times New Roman"/>
        </w:rPr>
        <w:t xml:space="preserve">seen </w:t>
      </w:r>
      <w:r w:rsidR="009809EA" w:rsidRPr="008A5AD9">
        <w:rPr>
          <w:rFonts w:ascii="Times New Roman" w:hAnsi="Times New Roman"/>
        </w:rPr>
        <w:t xml:space="preserve">to manifest </w:t>
      </w:r>
      <w:r w:rsidR="00E05F90" w:rsidRPr="008A5AD9">
        <w:rPr>
          <w:rFonts w:ascii="Times New Roman" w:hAnsi="Times New Roman"/>
        </w:rPr>
        <w:t xml:space="preserve">an </w:t>
      </w:r>
      <w:r w:rsidR="003853C9" w:rsidRPr="008A5AD9">
        <w:rPr>
          <w:rFonts w:ascii="Times New Roman" w:hAnsi="Times New Roman"/>
        </w:rPr>
        <w:t xml:space="preserve">intention </w:t>
      </w:r>
      <w:r w:rsidR="00E05F90" w:rsidRPr="008A5AD9">
        <w:rPr>
          <w:rFonts w:ascii="Times New Roman" w:hAnsi="Times New Roman"/>
        </w:rPr>
        <w:t xml:space="preserve">contrary to </w:t>
      </w:r>
      <w:r w:rsidR="00437269" w:rsidRPr="008A5AD9">
        <w:rPr>
          <w:rFonts w:ascii="Times New Roman" w:hAnsi="Times New Roman"/>
        </w:rPr>
        <w:t>the</w:t>
      </w:r>
      <w:r w:rsidR="00E05F90" w:rsidRPr="008A5AD9">
        <w:rPr>
          <w:rFonts w:ascii="Times New Roman" w:hAnsi="Times New Roman"/>
        </w:rPr>
        <w:t xml:space="preserve"> operation </w:t>
      </w:r>
      <w:r w:rsidR="00437269" w:rsidRPr="008A5AD9">
        <w:rPr>
          <w:rFonts w:ascii="Times New Roman" w:hAnsi="Times New Roman"/>
        </w:rPr>
        <w:t>of the principle</w:t>
      </w:r>
      <w:r w:rsidR="00595D86" w:rsidRPr="008A5AD9">
        <w:rPr>
          <w:rFonts w:ascii="Times New Roman" w:hAnsi="Times New Roman"/>
        </w:rPr>
        <w:t xml:space="preserve">. Rather, it was </w:t>
      </w:r>
      <w:r w:rsidR="00BC57A0" w:rsidRPr="008A5AD9">
        <w:rPr>
          <w:rFonts w:ascii="Times New Roman" w:hAnsi="Times New Roman"/>
        </w:rPr>
        <w:t xml:space="preserve">because </w:t>
      </w:r>
      <w:r w:rsidR="002E3B84" w:rsidRPr="008A5AD9">
        <w:rPr>
          <w:rFonts w:ascii="Times New Roman" w:hAnsi="Times New Roman"/>
        </w:rPr>
        <w:t>the principle</w:t>
      </w:r>
      <w:r w:rsidR="00BC57A0" w:rsidRPr="008A5AD9">
        <w:rPr>
          <w:rFonts w:ascii="Times New Roman" w:hAnsi="Times New Roman"/>
        </w:rPr>
        <w:t xml:space="preserve"> </w:t>
      </w:r>
      <w:r w:rsidR="00E91858" w:rsidRPr="008A5AD9">
        <w:rPr>
          <w:rFonts w:ascii="Times New Roman" w:hAnsi="Times New Roman"/>
        </w:rPr>
        <w:t xml:space="preserve">operating on the construction of </w:t>
      </w:r>
      <w:r w:rsidR="004556A1" w:rsidRPr="008A5AD9">
        <w:rPr>
          <w:rFonts w:ascii="Times New Roman" w:hAnsi="Times New Roman"/>
        </w:rPr>
        <w:t>the sections</w:t>
      </w:r>
      <w:r w:rsidR="00505CD5" w:rsidRPr="008A5AD9">
        <w:rPr>
          <w:rFonts w:ascii="Times New Roman" w:hAnsi="Times New Roman"/>
        </w:rPr>
        <w:t xml:space="preserve"> </w:t>
      </w:r>
      <w:r w:rsidR="00BC57A0" w:rsidRPr="008A5AD9">
        <w:rPr>
          <w:rFonts w:ascii="Times New Roman" w:hAnsi="Times New Roman"/>
        </w:rPr>
        <w:t xml:space="preserve">was </w:t>
      </w:r>
      <w:r w:rsidR="00505CD5" w:rsidRPr="008A5AD9">
        <w:rPr>
          <w:rFonts w:ascii="Times New Roman" w:hAnsi="Times New Roman"/>
        </w:rPr>
        <w:t xml:space="preserve">held </w:t>
      </w:r>
      <w:r w:rsidR="00BC57A0" w:rsidRPr="008A5AD9">
        <w:rPr>
          <w:rFonts w:ascii="Times New Roman" w:hAnsi="Times New Roman"/>
        </w:rPr>
        <w:t xml:space="preserve">not </w:t>
      </w:r>
      <w:r w:rsidR="00505CD5" w:rsidRPr="008A5AD9">
        <w:rPr>
          <w:rFonts w:ascii="Times New Roman" w:hAnsi="Times New Roman"/>
        </w:rPr>
        <w:t xml:space="preserve">to have </w:t>
      </w:r>
      <w:r w:rsidR="009F6CDF" w:rsidRPr="008A5AD9">
        <w:rPr>
          <w:rFonts w:ascii="Times New Roman" w:hAnsi="Times New Roman"/>
        </w:rPr>
        <w:t xml:space="preserve">been </w:t>
      </w:r>
      <w:r w:rsidR="00BC57A0" w:rsidRPr="008A5AD9">
        <w:rPr>
          <w:rFonts w:ascii="Times New Roman" w:hAnsi="Times New Roman"/>
        </w:rPr>
        <w:t xml:space="preserve">engaged. </w:t>
      </w:r>
      <w:r w:rsidR="00703D2A" w:rsidRPr="008A5AD9">
        <w:rPr>
          <w:rFonts w:ascii="Times New Roman" w:hAnsi="Times New Roman"/>
        </w:rPr>
        <w:t xml:space="preserve">The principle </w:t>
      </w:r>
      <w:r w:rsidR="005759C5" w:rsidRPr="008A5AD9">
        <w:rPr>
          <w:rFonts w:ascii="Times New Roman" w:hAnsi="Times New Roman"/>
        </w:rPr>
        <w:t xml:space="preserve">was </w:t>
      </w:r>
      <w:r w:rsidR="001A7376" w:rsidRPr="008A5AD9">
        <w:rPr>
          <w:rFonts w:ascii="Times New Roman" w:hAnsi="Times New Roman"/>
        </w:rPr>
        <w:t xml:space="preserve">held </w:t>
      </w:r>
      <w:r w:rsidR="005759C5" w:rsidRPr="008A5AD9">
        <w:rPr>
          <w:rFonts w:ascii="Times New Roman" w:hAnsi="Times New Roman"/>
        </w:rPr>
        <w:t xml:space="preserve">not </w:t>
      </w:r>
      <w:r w:rsidR="001A7376" w:rsidRPr="008A5AD9">
        <w:rPr>
          <w:rFonts w:ascii="Times New Roman" w:hAnsi="Times New Roman"/>
        </w:rPr>
        <w:t xml:space="preserve">to have been </w:t>
      </w:r>
      <w:r w:rsidR="005759C5" w:rsidRPr="008A5AD9">
        <w:rPr>
          <w:rFonts w:ascii="Times New Roman" w:hAnsi="Times New Roman"/>
        </w:rPr>
        <w:t xml:space="preserve">engaged because, </w:t>
      </w:r>
      <w:r w:rsidR="00350AB1" w:rsidRPr="008A5AD9">
        <w:rPr>
          <w:rFonts w:ascii="Times New Roman" w:hAnsi="Times New Roman"/>
        </w:rPr>
        <w:t xml:space="preserve">as with </w:t>
      </w:r>
      <w:r w:rsidR="00C5782E" w:rsidRPr="008A5AD9">
        <w:rPr>
          <w:rFonts w:ascii="Times New Roman" w:hAnsi="Times New Roman"/>
        </w:rPr>
        <w:t xml:space="preserve">the </w:t>
      </w:r>
      <w:r w:rsidR="00350AB1" w:rsidRPr="008A5AD9">
        <w:rPr>
          <w:rFonts w:ascii="Times New Roman" w:hAnsi="Times New Roman"/>
        </w:rPr>
        <w:t>application of s</w:t>
      </w:r>
      <w:r w:rsidR="00C5782E" w:rsidRPr="008A5AD9">
        <w:rPr>
          <w:rFonts w:ascii="Times New Roman" w:hAnsi="Times New Roman"/>
        </w:rPr>
        <w:t xml:space="preserve"> </w:t>
      </w:r>
      <w:r w:rsidR="00350AB1" w:rsidRPr="008A5AD9">
        <w:rPr>
          <w:rFonts w:ascii="Times New Roman" w:hAnsi="Times New Roman"/>
        </w:rPr>
        <w:t xml:space="preserve">46 </w:t>
      </w:r>
      <w:r w:rsidR="00B72167" w:rsidRPr="008A5AD9">
        <w:rPr>
          <w:rFonts w:ascii="Times New Roman" w:hAnsi="Times New Roman"/>
        </w:rPr>
        <w:t xml:space="preserve">to the conduct </w:t>
      </w:r>
      <w:r w:rsidR="00E84C25" w:rsidRPr="008A5AD9">
        <w:rPr>
          <w:rFonts w:ascii="Times New Roman" w:hAnsi="Times New Roman"/>
        </w:rPr>
        <w:t xml:space="preserve">of non-government parties </w:t>
      </w:r>
      <w:r w:rsidR="00B72167" w:rsidRPr="008A5AD9">
        <w:rPr>
          <w:rFonts w:ascii="Times New Roman" w:hAnsi="Times New Roman"/>
        </w:rPr>
        <w:t xml:space="preserve">impugned </w:t>
      </w:r>
      <w:r w:rsidR="005759C5" w:rsidRPr="008A5AD9">
        <w:rPr>
          <w:rFonts w:ascii="Times New Roman" w:hAnsi="Times New Roman"/>
        </w:rPr>
        <w:t xml:space="preserve">in </w:t>
      </w:r>
      <w:r w:rsidR="003227E6" w:rsidRPr="008A5AD9">
        <w:rPr>
          <w:rFonts w:ascii="Times New Roman" w:hAnsi="Times New Roman"/>
          <w:i/>
          <w:iCs/>
        </w:rPr>
        <w:t>NT Power</w:t>
      </w:r>
      <w:r w:rsidR="003227E6" w:rsidRPr="008A5AD9">
        <w:rPr>
          <w:rFonts w:ascii="Times New Roman" w:hAnsi="Times New Roman"/>
        </w:rPr>
        <w:t>,</w:t>
      </w:r>
      <w:r w:rsidR="00923CE0" w:rsidRPr="008A5AD9">
        <w:rPr>
          <w:rStyle w:val="FootnoteReference"/>
          <w:rFonts w:ascii="Times New Roman" w:hAnsi="Times New Roman"/>
          <w:sz w:val="24"/>
        </w:rPr>
        <w:footnoteReference w:id="26"/>
      </w:r>
      <w:r w:rsidR="003227E6" w:rsidRPr="008A5AD9">
        <w:rPr>
          <w:rFonts w:ascii="Times New Roman" w:hAnsi="Times New Roman"/>
        </w:rPr>
        <w:t xml:space="preserve"> </w:t>
      </w:r>
      <w:r w:rsidR="00C5782E" w:rsidRPr="008A5AD9">
        <w:rPr>
          <w:rFonts w:ascii="Times New Roman" w:hAnsi="Times New Roman"/>
        </w:rPr>
        <w:t xml:space="preserve">the </w:t>
      </w:r>
      <w:r w:rsidR="00ED041C" w:rsidRPr="008A5AD9">
        <w:rPr>
          <w:rFonts w:ascii="Times New Roman" w:hAnsi="Times New Roman"/>
        </w:rPr>
        <w:t xml:space="preserve">application of </w:t>
      </w:r>
      <w:r w:rsidR="00907E26" w:rsidRPr="008A5AD9">
        <w:rPr>
          <w:rFonts w:ascii="Times New Roman" w:hAnsi="Times New Roman"/>
        </w:rPr>
        <w:t xml:space="preserve">ss 46 and 47 </w:t>
      </w:r>
      <w:r w:rsidR="00FC0B18" w:rsidRPr="008A5AD9">
        <w:rPr>
          <w:rFonts w:ascii="Times New Roman" w:hAnsi="Times New Roman"/>
        </w:rPr>
        <w:t xml:space="preserve">to the </w:t>
      </w:r>
      <w:r w:rsidR="00E7354A" w:rsidRPr="008A5AD9">
        <w:rPr>
          <w:rFonts w:ascii="Times New Roman" w:hAnsi="Times New Roman"/>
        </w:rPr>
        <w:t xml:space="preserve">conduct of </w:t>
      </w:r>
      <w:r w:rsidR="002C5D0B" w:rsidRPr="008A5AD9">
        <w:rPr>
          <w:rFonts w:ascii="Times New Roman" w:hAnsi="Times New Roman"/>
        </w:rPr>
        <w:t xml:space="preserve">the </w:t>
      </w:r>
      <w:r w:rsidR="00FC0B18" w:rsidRPr="008A5AD9">
        <w:rPr>
          <w:rFonts w:ascii="Times New Roman" w:hAnsi="Times New Roman"/>
        </w:rPr>
        <w:t>non-government part</w:t>
      </w:r>
      <w:r w:rsidR="002C5D0B" w:rsidRPr="008A5AD9">
        <w:rPr>
          <w:rFonts w:ascii="Times New Roman" w:hAnsi="Times New Roman"/>
        </w:rPr>
        <w:t>y</w:t>
      </w:r>
      <w:r w:rsidR="001A7376" w:rsidRPr="008A5AD9">
        <w:rPr>
          <w:rFonts w:ascii="Times New Roman" w:hAnsi="Times New Roman"/>
        </w:rPr>
        <w:t xml:space="preserve"> </w:t>
      </w:r>
      <w:r w:rsidR="00E84C25" w:rsidRPr="008A5AD9">
        <w:rPr>
          <w:rFonts w:ascii="Times New Roman" w:hAnsi="Times New Roman"/>
        </w:rPr>
        <w:t xml:space="preserve">impugned in </w:t>
      </w:r>
      <w:r w:rsidR="00E84C25" w:rsidRPr="008A5AD9">
        <w:rPr>
          <w:rFonts w:ascii="Times New Roman" w:hAnsi="Times New Roman"/>
          <w:i/>
          <w:iCs/>
        </w:rPr>
        <w:t xml:space="preserve">Baxter </w:t>
      </w:r>
      <w:r w:rsidR="00035A93" w:rsidRPr="008A5AD9">
        <w:rPr>
          <w:rFonts w:ascii="Times New Roman" w:hAnsi="Times New Roman"/>
        </w:rPr>
        <w:t xml:space="preserve">did not </w:t>
      </w:r>
      <w:r w:rsidR="00D8594A" w:rsidRPr="008A5AD9">
        <w:rPr>
          <w:rFonts w:ascii="Times New Roman" w:hAnsi="Times New Roman"/>
        </w:rPr>
        <w:t xml:space="preserve">operate to </w:t>
      </w:r>
      <w:r w:rsidR="00035A93" w:rsidRPr="008A5AD9">
        <w:rPr>
          <w:rFonts w:ascii="Times New Roman" w:hAnsi="Times New Roman"/>
        </w:rPr>
        <w:t>divest the Crown of any legal right or interest.</w:t>
      </w:r>
      <w:r w:rsidR="00035A93" w:rsidRPr="008A5AD9">
        <w:rPr>
          <w:rStyle w:val="FootnoteReference"/>
          <w:rFonts w:ascii="Times New Roman" w:hAnsi="Times New Roman"/>
          <w:sz w:val="24"/>
        </w:rPr>
        <w:footnoteReference w:id="27"/>
      </w:r>
      <w:r w:rsidR="00B12B98" w:rsidRPr="008A5AD9">
        <w:rPr>
          <w:rFonts w:ascii="Times New Roman" w:hAnsi="Times New Roman"/>
        </w:rPr>
        <w:t xml:space="preserve"> </w:t>
      </w:r>
    </w:p>
    <w:p w14:paraId="632685A6" w14:textId="07496A9A" w:rsidR="0069452F" w:rsidRPr="008A5AD9" w:rsidRDefault="00DF5507"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CC7EFE" w:rsidRPr="008A5AD9">
        <w:rPr>
          <w:rFonts w:ascii="Times New Roman" w:hAnsi="Times New Roman"/>
        </w:rPr>
        <w:t>Th</w:t>
      </w:r>
      <w:r w:rsidR="00D9227E" w:rsidRPr="008A5AD9">
        <w:rPr>
          <w:rFonts w:ascii="Times New Roman" w:hAnsi="Times New Roman"/>
        </w:rPr>
        <w:t xml:space="preserve">ere having been no </w:t>
      </w:r>
      <w:r w:rsidR="007603E0" w:rsidRPr="008A5AD9">
        <w:rPr>
          <w:rFonts w:ascii="Times New Roman" w:hAnsi="Times New Roman"/>
        </w:rPr>
        <w:t>relevant</w:t>
      </w:r>
      <w:r w:rsidR="00D9227E" w:rsidRPr="008A5AD9">
        <w:rPr>
          <w:rFonts w:ascii="Times New Roman" w:hAnsi="Times New Roman"/>
        </w:rPr>
        <w:t xml:space="preserve"> change to the CCA </w:t>
      </w:r>
      <w:r w:rsidR="00EB55CD" w:rsidRPr="008A5AD9">
        <w:rPr>
          <w:rFonts w:ascii="Times New Roman" w:hAnsi="Times New Roman"/>
        </w:rPr>
        <w:t>since</w:t>
      </w:r>
      <w:r w:rsidR="00EA78EF" w:rsidRPr="008A5AD9">
        <w:rPr>
          <w:rFonts w:ascii="Times New Roman" w:hAnsi="Times New Roman"/>
        </w:rPr>
        <w:t xml:space="preserve"> </w:t>
      </w:r>
      <w:r w:rsidR="00EB55CD" w:rsidRPr="008A5AD9">
        <w:rPr>
          <w:rFonts w:ascii="Times New Roman" w:hAnsi="Times New Roman"/>
          <w:i/>
          <w:iCs/>
        </w:rPr>
        <w:t>Baxter</w:t>
      </w:r>
      <w:r w:rsidR="00A873E9" w:rsidRPr="008A5AD9">
        <w:rPr>
          <w:rFonts w:ascii="Times New Roman" w:hAnsi="Times New Roman"/>
        </w:rPr>
        <w:t xml:space="preserve">, </w:t>
      </w:r>
      <w:r w:rsidR="00072F07" w:rsidRPr="008A5AD9">
        <w:rPr>
          <w:rFonts w:ascii="Times New Roman" w:hAnsi="Times New Roman"/>
        </w:rPr>
        <w:t xml:space="preserve">and there being no material difference </w:t>
      </w:r>
      <w:r w:rsidR="0062126C" w:rsidRPr="008A5AD9">
        <w:rPr>
          <w:rFonts w:ascii="Times New Roman" w:hAnsi="Times New Roman"/>
        </w:rPr>
        <w:t xml:space="preserve">for the purpose of </w:t>
      </w:r>
      <w:r w:rsidR="00942795" w:rsidRPr="008A5AD9">
        <w:rPr>
          <w:rFonts w:ascii="Times New Roman" w:hAnsi="Times New Roman"/>
        </w:rPr>
        <w:t xml:space="preserve">the principle of construction articulated in </w:t>
      </w:r>
      <w:r w:rsidR="00942795" w:rsidRPr="008A5AD9">
        <w:rPr>
          <w:rFonts w:ascii="Times New Roman" w:hAnsi="Times New Roman"/>
          <w:i/>
          <w:iCs/>
        </w:rPr>
        <w:t>Baxter</w:t>
      </w:r>
      <w:r w:rsidR="00942795" w:rsidRPr="008A5AD9">
        <w:rPr>
          <w:rFonts w:ascii="Times New Roman" w:hAnsi="Times New Roman"/>
        </w:rPr>
        <w:t xml:space="preserve"> </w:t>
      </w:r>
      <w:r w:rsidR="00163BA0" w:rsidRPr="008A5AD9">
        <w:rPr>
          <w:rFonts w:ascii="Times New Roman" w:hAnsi="Times New Roman"/>
        </w:rPr>
        <w:t>between the operative provisions in Pt IV of the CCA</w:t>
      </w:r>
      <w:r w:rsidR="00D22C5A" w:rsidRPr="008A5AD9">
        <w:rPr>
          <w:rFonts w:ascii="Times New Roman" w:hAnsi="Times New Roman"/>
        </w:rPr>
        <w:t xml:space="preserve"> </w:t>
      </w:r>
      <w:r w:rsidR="000D43D6" w:rsidRPr="008A5AD9">
        <w:rPr>
          <w:rFonts w:ascii="Times New Roman" w:hAnsi="Times New Roman"/>
        </w:rPr>
        <w:t>(</w:t>
      </w:r>
      <w:r w:rsidR="00D22C5A" w:rsidRPr="008A5AD9">
        <w:rPr>
          <w:rFonts w:ascii="Times New Roman" w:hAnsi="Times New Roman"/>
        </w:rPr>
        <w:t xml:space="preserve">in particular between </w:t>
      </w:r>
      <w:r w:rsidR="000D43D6" w:rsidRPr="008A5AD9">
        <w:rPr>
          <w:rFonts w:ascii="Times New Roman" w:hAnsi="Times New Roman"/>
        </w:rPr>
        <w:t>ss 46 and 47 on the one hand and ss 45 and 45DA on the other hand)</w:t>
      </w:r>
      <w:r w:rsidR="00163BA0" w:rsidRPr="008A5AD9">
        <w:rPr>
          <w:rFonts w:ascii="Times New Roman" w:hAnsi="Times New Roman"/>
        </w:rPr>
        <w:t>,</w:t>
      </w:r>
      <w:r w:rsidR="00F93594" w:rsidRPr="008A5AD9">
        <w:rPr>
          <w:rFonts w:ascii="Times New Roman" w:hAnsi="Times New Roman"/>
        </w:rPr>
        <w:t xml:space="preserve"> the principle of construction</w:t>
      </w:r>
      <w:r w:rsidR="003C78B0" w:rsidRPr="008A5AD9">
        <w:rPr>
          <w:rFonts w:ascii="Times New Roman" w:hAnsi="Times New Roman"/>
        </w:rPr>
        <w:t xml:space="preserve"> </w:t>
      </w:r>
      <w:r w:rsidR="00AB2D48" w:rsidRPr="008A5AD9">
        <w:rPr>
          <w:rFonts w:ascii="Times New Roman" w:hAnsi="Times New Roman"/>
        </w:rPr>
        <w:t>identified</w:t>
      </w:r>
      <w:r w:rsidR="007050EE" w:rsidRPr="008A5AD9">
        <w:rPr>
          <w:rFonts w:ascii="Times New Roman" w:hAnsi="Times New Roman"/>
        </w:rPr>
        <w:t xml:space="preserve"> in </w:t>
      </w:r>
      <w:r w:rsidR="007050EE" w:rsidRPr="008A5AD9">
        <w:rPr>
          <w:rFonts w:ascii="Times New Roman" w:hAnsi="Times New Roman"/>
          <w:i/>
          <w:iCs/>
        </w:rPr>
        <w:t>Baxter</w:t>
      </w:r>
      <w:r w:rsidR="007050EE" w:rsidRPr="008A5AD9">
        <w:rPr>
          <w:rFonts w:ascii="Times New Roman" w:hAnsi="Times New Roman"/>
        </w:rPr>
        <w:t xml:space="preserve"> </w:t>
      </w:r>
      <w:r w:rsidR="00AC6D6C" w:rsidRPr="008A5AD9">
        <w:rPr>
          <w:rFonts w:ascii="Times New Roman" w:hAnsi="Times New Roman"/>
        </w:rPr>
        <w:t xml:space="preserve">must be </w:t>
      </w:r>
      <w:r w:rsidR="004B1461" w:rsidRPr="008A5AD9">
        <w:rPr>
          <w:rFonts w:ascii="Times New Roman" w:hAnsi="Times New Roman"/>
        </w:rPr>
        <w:t xml:space="preserve">recognised </w:t>
      </w:r>
      <w:r w:rsidR="00C8019D" w:rsidRPr="008A5AD9">
        <w:rPr>
          <w:rFonts w:ascii="Times New Roman" w:hAnsi="Times New Roman"/>
        </w:rPr>
        <w:t>as contin</w:t>
      </w:r>
      <w:r w:rsidR="00E05F66" w:rsidRPr="008A5AD9">
        <w:rPr>
          <w:rFonts w:ascii="Times New Roman" w:hAnsi="Times New Roman"/>
        </w:rPr>
        <w:t>uing</w:t>
      </w:r>
      <w:r w:rsidR="00B962EC" w:rsidRPr="008A5AD9">
        <w:rPr>
          <w:rFonts w:ascii="Times New Roman" w:hAnsi="Times New Roman"/>
        </w:rPr>
        <w:t xml:space="preserve"> </w:t>
      </w:r>
      <w:r w:rsidR="00C8019D" w:rsidRPr="008A5AD9">
        <w:rPr>
          <w:rFonts w:ascii="Times New Roman" w:hAnsi="Times New Roman"/>
        </w:rPr>
        <w:t xml:space="preserve">to govern the </w:t>
      </w:r>
      <w:r w:rsidR="00520A3A" w:rsidRPr="008A5AD9">
        <w:rPr>
          <w:rFonts w:ascii="Times New Roman" w:hAnsi="Times New Roman"/>
        </w:rPr>
        <w:t>construction and application of those provisions</w:t>
      </w:r>
      <w:r w:rsidR="005359D7" w:rsidRPr="008A5AD9">
        <w:rPr>
          <w:rFonts w:ascii="Times New Roman" w:hAnsi="Times New Roman"/>
        </w:rPr>
        <w:t xml:space="preserve">. </w:t>
      </w:r>
    </w:p>
    <w:p w14:paraId="02EC7C74" w14:textId="00CF9B5F" w:rsidR="00627D2D" w:rsidRPr="008A5AD9" w:rsidRDefault="0069452F"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083D1E" w:rsidRPr="008A5AD9">
        <w:rPr>
          <w:rFonts w:ascii="Times New Roman" w:hAnsi="Times New Roman"/>
        </w:rPr>
        <w:t xml:space="preserve">The argument </w:t>
      </w:r>
      <w:r w:rsidR="009F0EB6" w:rsidRPr="008A5AD9">
        <w:rPr>
          <w:rFonts w:ascii="Times New Roman" w:hAnsi="Times New Roman"/>
        </w:rPr>
        <w:t xml:space="preserve">of </w:t>
      </w:r>
      <w:r w:rsidR="001613FF" w:rsidRPr="008A5AD9">
        <w:rPr>
          <w:rFonts w:ascii="Times New Roman" w:hAnsi="Times New Roman"/>
        </w:rPr>
        <w:t xml:space="preserve">the ACCC </w:t>
      </w:r>
      <w:r w:rsidR="000C07FF" w:rsidRPr="008A5AD9">
        <w:rPr>
          <w:rFonts w:ascii="Times New Roman" w:hAnsi="Times New Roman"/>
        </w:rPr>
        <w:t xml:space="preserve">intervening in </w:t>
      </w:r>
      <w:r w:rsidR="001613FF" w:rsidRPr="008A5AD9">
        <w:rPr>
          <w:rFonts w:ascii="Times New Roman" w:hAnsi="Times New Roman"/>
        </w:rPr>
        <w:t xml:space="preserve">the </w:t>
      </w:r>
      <w:r w:rsidR="000F502C" w:rsidRPr="008A5AD9">
        <w:rPr>
          <w:rFonts w:ascii="Times New Roman" w:hAnsi="Times New Roman"/>
        </w:rPr>
        <w:t xml:space="preserve">present case </w:t>
      </w:r>
      <w:r w:rsidR="001C26F3" w:rsidRPr="008A5AD9">
        <w:rPr>
          <w:rFonts w:ascii="Times New Roman" w:hAnsi="Times New Roman"/>
        </w:rPr>
        <w:t xml:space="preserve">that </w:t>
      </w:r>
      <w:r w:rsidR="00BF2070" w:rsidRPr="008A5AD9">
        <w:rPr>
          <w:rFonts w:ascii="Times New Roman" w:hAnsi="Times New Roman"/>
        </w:rPr>
        <w:t xml:space="preserve">the </w:t>
      </w:r>
      <w:r w:rsidR="0096603B" w:rsidRPr="008A5AD9">
        <w:rPr>
          <w:rFonts w:ascii="Times New Roman" w:hAnsi="Times New Roman"/>
        </w:rPr>
        <w:t>CCA</w:t>
      </w:r>
      <w:r w:rsidR="00B2456A" w:rsidRPr="008A5AD9">
        <w:rPr>
          <w:rFonts w:ascii="Times New Roman" w:hAnsi="Times New Roman"/>
        </w:rPr>
        <w:t xml:space="preserve"> </w:t>
      </w:r>
      <w:r w:rsidR="0096603B" w:rsidRPr="008A5AD9">
        <w:rPr>
          <w:rFonts w:ascii="Times New Roman" w:hAnsi="Times New Roman"/>
        </w:rPr>
        <w:t>"evinces an intention to exclude derivative Crown immunity"</w:t>
      </w:r>
      <w:r w:rsidR="001E3079" w:rsidRPr="008A5AD9">
        <w:rPr>
          <w:rFonts w:ascii="Times New Roman" w:hAnsi="Times New Roman"/>
        </w:rPr>
        <w:t xml:space="preserve">, </w:t>
      </w:r>
      <w:r w:rsidR="00FE6281" w:rsidRPr="008A5AD9">
        <w:rPr>
          <w:rFonts w:ascii="Times New Roman" w:hAnsi="Times New Roman"/>
        </w:rPr>
        <w:t>with the result</w:t>
      </w:r>
      <w:r w:rsidR="003B7FFB" w:rsidRPr="008A5AD9">
        <w:rPr>
          <w:rFonts w:ascii="Times New Roman" w:hAnsi="Times New Roman"/>
        </w:rPr>
        <w:t xml:space="preserve"> that </w:t>
      </w:r>
      <w:r w:rsidR="00855241" w:rsidRPr="008A5AD9">
        <w:rPr>
          <w:rFonts w:ascii="Times New Roman" w:hAnsi="Times New Roman"/>
        </w:rPr>
        <w:t xml:space="preserve">ss 45 and 45DA </w:t>
      </w:r>
      <w:r w:rsidR="00AA0AF2" w:rsidRPr="008A5AD9">
        <w:rPr>
          <w:rFonts w:ascii="Times New Roman" w:hAnsi="Times New Roman"/>
        </w:rPr>
        <w:t>are to be</w:t>
      </w:r>
      <w:r w:rsidR="009E34AE" w:rsidRPr="008A5AD9">
        <w:rPr>
          <w:rFonts w:ascii="Times New Roman" w:hAnsi="Times New Roman"/>
        </w:rPr>
        <w:t xml:space="preserve"> construed</w:t>
      </w:r>
      <w:r w:rsidR="00AA0AF2" w:rsidRPr="008A5AD9">
        <w:rPr>
          <w:rFonts w:ascii="Times New Roman" w:hAnsi="Times New Roman"/>
        </w:rPr>
        <w:t xml:space="preserve"> </w:t>
      </w:r>
      <w:r w:rsidR="001F723A" w:rsidRPr="008A5AD9">
        <w:rPr>
          <w:rFonts w:ascii="Times New Roman" w:hAnsi="Times New Roman"/>
        </w:rPr>
        <w:t>to</w:t>
      </w:r>
      <w:r w:rsidR="008D65CD" w:rsidRPr="008A5AD9">
        <w:rPr>
          <w:rFonts w:ascii="Times New Roman" w:hAnsi="Times New Roman"/>
        </w:rPr>
        <w:t xml:space="preserve"> manifest an intention</w:t>
      </w:r>
      <w:r w:rsidR="00D442EF" w:rsidRPr="008A5AD9">
        <w:rPr>
          <w:rFonts w:ascii="Times New Roman" w:hAnsi="Times New Roman"/>
        </w:rPr>
        <w:t xml:space="preserve"> to </w:t>
      </w:r>
      <w:r w:rsidR="00EF62AF" w:rsidRPr="008A5AD9">
        <w:rPr>
          <w:rFonts w:ascii="Times New Roman" w:hAnsi="Times New Roman"/>
        </w:rPr>
        <w:t>apply in accord</w:t>
      </w:r>
      <w:r w:rsidR="00F142F7" w:rsidRPr="008A5AD9">
        <w:rPr>
          <w:rFonts w:ascii="Times New Roman" w:hAnsi="Times New Roman"/>
        </w:rPr>
        <w:t xml:space="preserve">ance with their terms </w:t>
      </w:r>
      <w:r w:rsidR="00826EAD" w:rsidRPr="008A5AD9">
        <w:rPr>
          <w:rFonts w:ascii="Times New Roman" w:hAnsi="Times New Roman"/>
        </w:rPr>
        <w:t xml:space="preserve">even </w:t>
      </w:r>
      <w:r w:rsidR="0084649C" w:rsidRPr="008A5AD9">
        <w:rPr>
          <w:rFonts w:ascii="Times New Roman" w:hAnsi="Times New Roman"/>
        </w:rPr>
        <w:t xml:space="preserve">if </w:t>
      </w:r>
      <w:r w:rsidR="00826EAD" w:rsidRPr="008A5AD9">
        <w:rPr>
          <w:rFonts w:ascii="Times New Roman" w:hAnsi="Times New Roman"/>
        </w:rPr>
        <w:t>their application would</w:t>
      </w:r>
      <w:r w:rsidR="00F142F7" w:rsidRPr="008A5AD9">
        <w:rPr>
          <w:rFonts w:ascii="Times New Roman" w:hAnsi="Times New Roman"/>
        </w:rPr>
        <w:t xml:space="preserve"> </w:t>
      </w:r>
      <w:r w:rsidR="00D442EF" w:rsidRPr="008A5AD9">
        <w:rPr>
          <w:rFonts w:ascii="Times New Roman" w:hAnsi="Times New Roman"/>
        </w:rPr>
        <w:t xml:space="preserve">divest the Crown of </w:t>
      </w:r>
      <w:r w:rsidR="0084649C" w:rsidRPr="008A5AD9">
        <w:rPr>
          <w:rFonts w:ascii="Times New Roman" w:hAnsi="Times New Roman"/>
        </w:rPr>
        <w:t xml:space="preserve">a </w:t>
      </w:r>
      <w:r w:rsidR="00D442EF" w:rsidRPr="008A5AD9">
        <w:rPr>
          <w:rFonts w:ascii="Times New Roman" w:hAnsi="Times New Roman"/>
        </w:rPr>
        <w:t>legal right or interest</w:t>
      </w:r>
      <w:r w:rsidR="00FE6281" w:rsidRPr="008A5AD9">
        <w:rPr>
          <w:rFonts w:ascii="Times New Roman" w:hAnsi="Times New Roman"/>
        </w:rPr>
        <w:t>,</w:t>
      </w:r>
      <w:r w:rsidR="00C514F2" w:rsidRPr="008A5AD9">
        <w:rPr>
          <w:rFonts w:ascii="Times New Roman" w:hAnsi="Times New Roman"/>
        </w:rPr>
        <w:t xml:space="preserve"> </w:t>
      </w:r>
      <w:r w:rsidR="00F6189B" w:rsidRPr="008A5AD9">
        <w:rPr>
          <w:rFonts w:ascii="Times New Roman" w:hAnsi="Times New Roman"/>
        </w:rPr>
        <w:t xml:space="preserve">must be rejected </w:t>
      </w:r>
      <w:r w:rsidR="00627D2D" w:rsidRPr="008A5AD9">
        <w:rPr>
          <w:rFonts w:ascii="Times New Roman" w:hAnsi="Times New Roman"/>
        </w:rPr>
        <w:t>because it is</w:t>
      </w:r>
      <w:r w:rsidR="004B729E" w:rsidRPr="008A5AD9">
        <w:rPr>
          <w:rFonts w:ascii="Times New Roman" w:hAnsi="Times New Roman"/>
        </w:rPr>
        <w:t xml:space="preserve"> </w:t>
      </w:r>
      <w:r w:rsidR="004246C0" w:rsidRPr="008A5AD9">
        <w:rPr>
          <w:rFonts w:ascii="Times New Roman" w:hAnsi="Times New Roman"/>
        </w:rPr>
        <w:t xml:space="preserve">inconsistent with the dispositive reasoning </w:t>
      </w:r>
      <w:r w:rsidR="008A183A" w:rsidRPr="008A5AD9">
        <w:rPr>
          <w:rFonts w:ascii="Times New Roman" w:hAnsi="Times New Roman"/>
        </w:rPr>
        <w:t>in</w:t>
      </w:r>
      <w:r w:rsidR="004B729E" w:rsidRPr="008A5AD9">
        <w:rPr>
          <w:rFonts w:ascii="Times New Roman" w:hAnsi="Times New Roman"/>
        </w:rPr>
        <w:t xml:space="preserve"> </w:t>
      </w:r>
      <w:r w:rsidR="00797C2A" w:rsidRPr="008A5AD9">
        <w:rPr>
          <w:rFonts w:ascii="Times New Roman" w:hAnsi="Times New Roman"/>
        </w:rPr>
        <w:t xml:space="preserve">each of </w:t>
      </w:r>
      <w:r w:rsidR="00797C2A" w:rsidRPr="008A5AD9">
        <w:rPr>
          <w:rFonts w:ascii="Times New Roman" w:hAnsi="Times New Roman"/>
          <w:i/>
          <w:iCs/>
        </w:rPr>
        <w:t>Baxter</w:t>
      </w:r>
      <w:r w:rsidR="00797C2A" w:rsidRPr="008A5AD9">
        <w:rPr>
          <w:rFonts w:ascii="Times New Roman" w:hAnsi="Times New Roman"/>
        </w:rPr>
        <w:t xml:space="preserve"> and </w:t>
      </w:r>
      <w:r w:rsidR="00797C2A" w:rsidRPr="008A5AD9">
        <w:rPr>
          <w:rFonts w:ascii="Times New Roman" w:hAnsi="Times New Roman"/>
          <w:i/>
          <w:iCs/>
        </w:rPr>
        <w:t>NT Power</w:t>
      </w:r>
      <w:r w:rsidR="00B40545" w:rsidRPr="008A5AD9">
        <w:rPr>
          <w:rFonts w:ascii="Times New Roman" w:hAnsi="Times New Roman"/>
        </w:rPr>
        <w:t>.</w:t>
      </w:r>
      <w:r w:rsidR="00664465" w:rsidRPr="008A5AD9">
        <w:rPr>
          <w:rFonts w:ascii="Times New Roman" w:hAnsi="Times New Roman"/>
        </w:rPr>
        <w:t xml:space="preserve"> </w:t>
      </w:r>
    </w:p>
    <w:p w14:paraId="5EE1396C" w14:textId="492C523C" w:rsidR="00BD2BC2" w:rsidRPr="008A5AD9" w:rsidRDefault="00627D2D"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AF27AF" w:rsidRPr="008A5AD9">
        <w:rPr>
          <w:rFonts w:ascii="Times New Roman" w:hAnsi="Times New Roman"/>
        </w:rPr>
        <w:t xml:space="preserve">To the extent that </w:t>
      </w:r>
      <w:r w:rsidR="00197509" w:rsidRPr="008A5AD9">
        <w:rPr>
          <w:rFonts w:ascii="Times New Roman" w:hAnsi="Times New Roman"/>
        </w:rPr>
        <w:t xml:space="preserve">the ACCC </w:t>
      </w:r>
      <w:r w:rsidR="0035437A" w:rsidRPr="008A5AD9">
        <w:rPr>
          <w:rFonts w:ascii="Times New Roman" w:hAnsi="Times New Roman"/>
        </w:rPr>
        <w:t>seeks</w:t>
      </w:r>
      <w:r w:rsidR="004B5226" w:rsidRPr="008A5AD9">
        <w:rPr>
          <w:rFonts w:ascii="Times New Roman" w:hAnsi="Times New Roman"/>
        </w:rPr>
        <w:t xml:space="preserve"> </w:t>
      </w:r>
      <w:r w:rsidR="0035437A" w:rsidRPr="008A5AD9">
        <w:rPr>
          <w:rFonts w:ascii="Times New Roman" w:hAnsi="Times New Roman"/>
        </w:rPr>
        <w:t xml:space="preserve">contextual support for </w:t>
      </w:r>
      <w:r w:rsidR="004B5226" w:rsidRPr="008A5AD9">
        <w:rPr>
          <w:rFonts w:ascii="Times New Roman" w:hAnsi="Times New Roman"/>
        </w:rPr>
        <w:t>its</w:t>
      </w:r>
      <w:r w:rsidR="00886A19" w:rsidRPr="008A5AD9">
        <w:rPr>
          <w:rFonts w:ascii="Times New Roman" w:hAnsi="Times New Roman"/>
        </w:rPr>
        <w:t xml:space="preserve"> argument</w:t>
      </w:r>
      <w:r w:rsidR="003450E6" w:rsidRPr="008A5AD9">
        <w:rPr>
          <w:rFonts w:ascii="Times New Roman" w:hAnsi="Times New Roman"/>
        </w:rPr>
        <w:t xml:space="preserve"> </w:t>
      </w:r>
      <w:r w:rsidR="004B5226" w:rsidRPr="008A5AD9">
        <w:rPr>
          <w:rFonts w:ascii="Times New Roman" w:hAnsi="Times New Roman"/>
        </w:rPr>
        <w:t>from</w:t>
      </w:r>
      <w:r w:rsidR="0035437A" w:rsidRPr="008A5AD9">
        <w:rPr>
          <w:rFonts w:ascii="Times New Roman" w:hAnsi="Times New Roman"/>
        </w:rPr>
        <w:t xml:space="preserve"> </w:t>
      </w:r>
      <w:r w:rsidR="003450E6" w:rsidRPr="008A5AD9">
        <w:rPr>
          <w:rFonts w:ascii="Times New Roman" w:hAnsi="Times New Roman"/>
        </w:rPr>
        <w:t>ss 2 and 51 of the CCA</w:t>
      </w:r>
      <w:r w:rsidR="000C4178" w:rsidRPr="008A5AD9">
        <w:rPr>
          <w:rFonts w:ascii="Times New Roman" w:hAnsi="Times New Roman"/>
        </w:rPr>
        <w:t xml:space="preserve">, </w:t>
      </w:r>
      <w:r w:rsidR="002D641C" w:rsidRPr="008A5AD9">
        <w:rPr>
          <w:rFonts w:ascii="Times New Roman" w:hAnsi="Times New Roman"/>
        </w:rPr>
        <w:t xml:space="preserve">it is </w:t>
      </w:r>
      <w:r w:rsidR="006E7525" w:rsidRPr="008A5AD9">
        <w:rPr>
          <w:rFonts w:ascii="Times New Roman" w:hAnsi="Times New Roman"/>
        </w:rPr>
        <w:t>appropriate</w:t>
      </w:r>
      <w:r w:rsidR="002D641C" w:rsidRPr="008A5AD9">
        <w:rPr>
          <w:rFonts w:ascii="Times New Roman" w:hAnsi="Times New Roman"/>
        </w:rPr>
        <w:t xml:space="preserve"> to note that</w:t>
      </w:r>
      <w:r w:rsidR="00E56B2F" w:rsidRPr="008A5AD9">
        <w:rPr>
          <w:rFonts w:ascii="Times New Roman" w:hAnsi="Times New Roman"/>
        </w:rPr>
        <w:t xml:space="preserve"> </w:t>
      </w:r>
      <w:r w:rsidR="00647DF1" w:rsidRPr="008A5AD9">
        <w:rPr>
          <w:rFonts w:ascii="Times New Roman" w:hAnsi="Times New Roman"/>
        </w:rPr>
        <w:t xml:space="preserve">s </w:t>
      </w:r>
      <w:r w:rsidR="00E56B2F" w:rsidRPr="008A5AD9">
        <w:rPr>
          <w:rFonts w:ascii="Times New Roman" w:hAnsi="Times New Roman"/>
        </w:rPr>
        <w:t>2</w:t>
      </w:r>
      <w:r w:rsidR="00651ED0" w:rsidRPr="008A5AD9">
        <w:rPr>
          <w:rFonts w:ascii="Times New Roman" w:hAnsi="Times New Roman"/>
        </w:rPr>
        <w:t xml:space="preserve"> </w:t>
      </w:r>
      <w:r w:rsidR="00234B11" w:rsidRPr="008A5AD9">
        <w:rPr>
          <w:rFonts w:ascii="Times New Roman" w:hAnsi="Times New Roman"/>
        </w:rPr>
        <w:t xml:space="preserve">was inserted </w:t>
      </w:r>
      <w:r w:rsidR="00651ED0" w:rsidRPr="008A5AD9">
        <w:rPr>
          <w:rFonts w:ascii="Times New Roman" w:hAnsi="Times New Roman"/>
        </w:rPr>
        <w:t xml:space="preserve">and </w:t>
      </w:r>
      <w:r w:rsidR="00647DF1" w:rsidRPr="008A5AD9">
        <w:rPr>
          <w:rFonts w:ascii="Times New Roman" w:hAnsi="Times New Roman"/>
        </w:rPr>
        <w:t xml:space="preserve">s </w:t>
      </w:r>
      <w:r w:rsidR="00651ED0" w:rsidRPr="008A5AD9">
        <w:rPr>
          <w:rFonts w:ascii="Times New Roman" w:hAnsi="Times New Roman"/>
        </w:rPr>
        <w:t>51</w:t>
      </w:r>
      <w:r w:rsidR="00647DF1" w:rsidRPr="008A5AD9">
        <w:rPr>
          <w:rFonts w:ascii="Times New Roman" w:hAnsi="Times New Roman"/>
        </w:rPr>
        <w:t>(1)</w:t>
      </w:r>
      <w:r w:rsidR="00651ED0" w:rsidRPr="008A5AD9">
        <w:rPr>
          <w:rFonts w:ascii="Times New Roman" w:hAnsi="Times New Roman"/>
        </w:rPr>
        <w:t xml:space="preserve"> was amended</w:t>
      </w:r>
      <w:r w:rsidR="00474296" w:rsidRPr="008A5AD9">
        <w:rPr>
          <w:rFonts w:ascii="Times New Roman" w:hAnsi="Times New Roman"/>
        </w:rPr>
        <w:t xml:space="preserve"> </w:t>
      </w:r>
      <w:r w:rsidR="00651ED0" w:rsidRPr="008A5AD9">
        <w:rPr>
          <w:rFonts w:ascii="Times New Roman" w:hAnsi="Times New Roman"/>
        </w:rPr>
        <w:t>to take</w:t>
      </w:r>
      <w:r w:rsidR="00E62FC3" w:rsidRPr="008A5AD9">
        <w:rPr>
          <w:rFonts w:ascii="Times New Roman" w:hAnsi="Times New Roman"/>
        </w:rPr>
        <w:t xml:space="preserve"> </w:t>
      </w:r>
      <w:r w:rsidR="00A941FA" w:rsidRPr="008A5AD9">
        <w:rPr>
          <w:rFonts w:ascii="Times New Roman" w:hAnsi="Times New Roman"/>
        </w:rPr>
        <w:t xml:space="preserve">its current form at the same time as </w:t>
      </w:r>
      <w:r w:rsidR="009C2F20" w:rsidRPr="008A5AD9">
        <w:rPr>
          <w:rFonts w:ascii="Times New Roman" w:hAnsi="Times New Roman"/>
        </w:rPr>
        <w:t>s 2B</w:t>
      </w:r>
      <w:r w:rsidR="003025BC" w:rsidRPr="008A5AD9">
        <w:rPr>
          <w:rFonts w:ascii="Times New Roman" w:hAnsi="Times New Roman"/>
        </w:rPr>
        <w:t xml:space="preserve"> was inserted</w:t>
      </w:r>
      <w:r w:rsidR="00D64C91" w:rsidRPr="008A5AD9">
        <w:rPr>
          <w:rFonts w:ascii="Times New Roman" w:hAnsi="Times New Roman"/>
        </w:rPr>
        <w:t>.</w:t>
      </w:r>
      <w:r w:rsidR="00E83974" w:rsidRPr="008A5AD9">
        <w:rPr>
          <w:rStyle w:val="FootnoteReference"/>
          <w:rFonts w:ascii="Times New Roman" w:hAnsi="Times New Roman"/>
          <w:sz w:val="24"/>
        </w:rPr>
        <w:footnoteReference w:id="28"/>
      </w:r>
      <w:r w:rsidR="009C2F20" w:rsidRPr="008A5AD9">
        <w:rPr>
          <w:rFonts w:ascii="Times New Roman" w:hAnsi="Times New Roman"/>
        </w:rPr>
        <w:t xml:space="preserve"> </w:t>
      </w:r>
      <w:r w:rsidR="005E6BFD" w:rsidRPr="008A5AD9">
        <w:rPr>
          <w:rFonts w:ascii="Times New Roman" w:hAnsi="Times New Roman"/>
        </w:rPr>
        <w:t xml:space="preserve">Neither </w:t>
      </w:r>
      <w:r w:rsidR="00B768CA" w:rsidRPr="008A5AD9">
        <w:rPr>
          <w:rFonts w:ascii="Times New Roman" w:hAnsi="Times New Roman"/>
        </w:rPr>
        <w:t xml:space="preserve">s 2 nor s 51 </w:t>
      </w:r>
      <w:r w:rsidR="002D3F1F" w:rsidRPr="008A5AD9">
        <w:rPr>
          <w:rFonts w:ascii="Times New Roman" w:hAnsi="Times New Roman"/>
        </w:rPr>
        <w:t>is</w:t>
      </w:r>
      <w:r w:rsidR="005E6BFD" w:rsidRPr="008A5AD9">
        <w:rPr>
          <w:rFonts w:ascii="Times New Roman" w:hAnsi="Times New Roman"/>
        </w:rPr>
        <w:t xml:space="preserve"> </w:t>
      </w:r>
      <w:r w:rsidR="0034569B" w:rsidRPr="008A5AD9">
        <w:rPr>
          <w:rFonts w:ascii="Times New Roman" w:hAnsi="Times New Roman"/>
        </w:rPr>
        <w:t xml:space="preserve">in terms </w:t>
      </w:r>
      <w:r w:rsidR="009A0FE6" w:rsidRPr="008A5AD9">
        <w:rPr>
          <w:rFonts w:ascii="Times New Roman" w:hAnsi="Times New Roman"/>
        </w:rPr>
        <w:t>directed</w:t>
      </w:r>
      <w:r w:rsidR="005E6BFD" w:rsidRPr="008A5AD9">
        <w:rPr>
          <w:rFonts w:ascii="Times New Roman" w:hAnsi="Times New Roman"/>
        </w:rPr>
        <w:t xml:space="preserve"> to</w:t>
      </w:r>
      <w:r w:rsidR="00A95BD7" w:rsidRPr="008A5AD9">
        <w:rPr>
          <w:rFonts w:ascii="Times New Roman" w:hAnsi="Times New Roman"/>
        </w:rPr>
        <w:t xml:space="preserve"> the </w:t>
      </w:r>
      <w:r w:rsidR="00FA0F30" w:rsidRPr="008A5AD9">
        <w:rPr>
          <w:rFonts w:ascii="Times New Roman" w:hAnsi="Times New Roman"/>
        </w:rPr>
        <w:t xml:space="preserve">principle </w:t>
      </w:r>
      <w:r w:rsidR="00C4307B" w:rsidRPr="008A5AD9">
        <w:rPr>
          <w:rFonts w:ascii="Times New Roman" w:hAnsi="Times New Roman"/>
        </w:rPr>
        <w:t>of construction</w:t>
      </w:r>
      <w:r w:rsidR="004E2CA0" w:rsidRPr="008A5AD9">
        <w:rPr>
          <w:rFonts w:ascii="Times New Roman" w:hAnsi="Times New Roman"/>
        </w:rPr>
        <w:t xml:space="preserve"> earlie</w:t>
      </w:r>
      <w:r w:rsidR="00234B11" w:rsidRPr="008A5AD9">
        <w:rPr>
          <w:rFonts w:ascii="Times New Roman" w:hAnsi="Times New Roman"/>
        </w:rPr>
        <w:t>r</w:t>
      </w:r>
      <w:r w:rsidR="00C4307B" w:rsidRPr="008A5AD9">
        <w:rPr>
          <w:rFonts w:ascii="Times New Roman" w:hAnsi="Times New Roman"/>
        </w:rPr>
        <w:t xml:space="preserve"> </w:t>
      </w:r>
      <w:r w:rsidR="004E2CA0" w:rsidRPr="008A5AD9">
        <w:rPr>
          <w:rFonts w:ascii="Times New Roman" w:hAnsi="Times New Roman"/>
        </w:rPr>
        <w:t xml:space="preserve">identified in </w:t>
      </w:r>
      <w:r w:rsidR="007B3D62" w:rsidRPr="008A5AD9">
        <w:rPr>
          <w:rFonts w:ascii="Times New Roman" w:hAnsi="Times New Roman"/>
          <w:i/>
          <w:iCs/>
        </w:rPr>
        <w:t xml:space="preserve">Bradken </w:t>
      </w:r>
      <w:r w:rsidR="007B3D62" w:rsidRPr="008A5AD9">
        <w:rPr>
          <w:rFonts w:ascii="Times New Roman" w:hAnsi="Times New Roman"/>
        </w:rPr>
        <w:t xml:space="preserve">and subsequently </w:t>
      </w:r>
      <w:r w:rsidR="00C25BB1" w:rsidRPr="008A5AD9">
        <w:rPr>
          <w:rFonts w:ascii="Times New Roman" w:hAnsi="Times New Roman"/>
        </w:rPr>
        <w:t xml:space="preserve">held in </w:t>
      </w:r>
      <w:r w:rsidR="00C25BB1" w:rsidRPr="008A5AD9">
        <w:rPr>
          <w:rFonts w:ascii="Times New Roman" w:hAnsi="Times New Roman"/>
          <w:i/>
          <w:iCs/>
        </w:rPr>
        <w:t xml:space="preserve">Baxter </w:t>
      </w:r>
      <w:r w:rsidR="00C25BB1" w:rsidRPr="008A5AD9">
        <w:rPr>
          <w:rFonts w:ascii="Times New Roman" w:hAnsi="Times New Roman"/>
        </w:rPr>
        <w:t xml:space="preserve">to have been affirmed </w:t>
      </w:r>
      <w:r w:rsidR="00B12617" w:rsidRPr="008A5AD9">
        <w:rPr>
          <w:rFonts w:ascii="Times New Roman" w:hAnsi="Times New Roman"/>
        </w:rPr>
        <w:t>by</w:t>
      </w:r>
      <w:r w:rsidR="00C4307B" w:rsidRPr="008A5AD9">
        <w:rPr>
          <w:rFonts w:ascii="Times New Roman" w:hAnsi="Times New Roman"/>
        </w:rPr>
        <w:t xml:space="preserve"> </w:t>
      </w:r>
      <w:r w:rsidR="002F4D4F" w:rsidRPr="008A5AD9">
        <w:rPr>
          <w:rFonts w:ascii="Times New Roman" w:hAnsi="Times New Roman"/>
        </w:rPr>
        <w:t>s</w:t>
      </w:r>
      <w:r w:rsidR="00492E8B" w:rsidRPr="008A5AD9">
        <w:rPr>
          <w:rFonts w:ascii="Times New Roman" w:hAnsi="Times New Roman"/>
        </w:rPr>
        <w:t> </w:t>
      </w:r>
      <w:r w:rsidR="002F4D4F" w:rsidRPr="008A5AD9">
        <w:rPr>
          <w:rFonts w:ascii="Times New Roman" w:hAnsi="Times New Roman"/>
        </w:rPr>
        <w:t>2B</w:t>
      </w:r>
      <w:r w:rsidR="00C41887" w:rsidRPr="008A5AD9">
        <w:rPr>
          <w:rFonts w:ascii="Times New Roman" w:hAnsi="Times New Roman"/>
        </w:rPr>
        <w:t xml:space="preserve"> and n</w:t>
      </w:r>
      <w:r w:rsidR="00195357" w:rsidRPr="008A5AD9">
        <w:rPr>
          <w:rFonts w:ascii="Times New Roman" w:hAnsi="Times New Roman"/>
        </w:rPr>
        <w:t xml:space="preserve">either can </w:t>
      </w:r>
      <w:r w:rsidR="00C80343" w:rsidRPr="008A5AD9">
        <w:rPr>
          <w:rFonts w:ascii="Times New Roman" w:hAnsi="Times New Roman"/>
        </w:rPr>
        <w:t>coherently</w:t>
      </w:r>
      <w:r w:rsidR="009D02D8" w:rsidRPr="008A5AD9">
        <w:rPr>
          <w:rFonts w:ascii="Times New Roman" w:hAnsi="Times New Roman"/>
        </w:rPr>
        <w:t xml:space="preserve"> </w:t>
      </w:r>
      <w:r w:rsidR="00195357" w:rsidRPr="008A5AD9">
        <w:rPr>
          <w:rFonts w:ascii="Times New Roman" w:hAnsi="Times New Roman"/>
        </w:rPr>
        <w:t xml:space="preserve">be </w:t>
      </w:r>
      <w:r w:rsidR="00C80343" w:rsidRPr="008A5AD9">
        <w:rPr>
          <w:rFonts w:ascii="Times New Roman" w:hAnsi="Times New Roman"/>
        </w:rPr>
        <w:t>treated</w:t>
      </w:r>
      <w:r w:rsidR="00195357" w:rsidRPr="008A5AD9">
        <w:rPr>
          <w:rFonts w:ascii="Times New Roman" w:hAnsi="Times New Roman"/>
        </w:rPr>
        <w:t xml:space="preserve"> </w:t>
      </w:r>
      <w:r w:rsidR="00C029A1" w:rsidRPr="008A5AD9">
        <w:rPr>
          <w:rFonts w:ascii="Times New Roman" w:hAnsi="Times New Roman"/>
        </w:rPr>
        <w:t>as</w:t>
      </w:r>
      <w:r w:rsidR="00195357" w:rsidRPr="008A5AD9">
        <w:rPr>
          <w:rFonts w:ascii="Times New Roman" w:hAnsi="Times New Roman"/>
        </w:rPr>
        <w:t xml:space="preserve"> hav</w:t>
      </w:r>
      <w:r w:rsidR="00C029A1" w:rsidRPr="008A5AD9">
        <w:rPr>
          <w:rFonts w:ascii="Times New Roman" w:hAnsi="Times New Roman"/>
        </w:rPr>
        <w:t>ing</w:t>
      </w:r>
      <w:r w:rsidR="00195357" w:rsidRPr="008A5AD9">
        <w:rPr>
          <w:rFonts w:ascii="Times New Roman" w:hAnsi="Times New Roman"/>
        </w:rPr>
        <w:t xml:space="preserve"> </w:t>
      </w:r>
      <w:r w:rsidR="00582C10" w:rsidRPr="008A5AD9">
        <w:rPr>
          <w:rFonts w:ascii="Times New Roman" w:hAnsi="Times New Roman"/>
        </w:rPr>
        <w:t xml:space="preserve">had </w:t>
      </w:r>
      <w:r w:rsidR="00296035" w:rsidRPr="008A5AD9">
        <w:rPr>
          <w:rFonts w:ascii="Times New Roman" w:hAnsi="Times New Roman"/>
        </w:rPr>
        <w:t xml:space="preserve">the </w:t>
      </w:r>
      <w:r w:rsidR="00B67F7C" w:rsidRPr="008A5AD9">
        <w:rPr>
          <w:rFonts w:ascii="Times New Roman" w:hAnsi="Times New Roman"/>
        </w:rPr>
        <w:t xml:space="preserve">hitherto </w:t>
      </w:r>
      <w:r w:rsidR="008356B3" w:rsidRPr="008A5AD9">
        <w:rPr>
          <w:rFonts w:ascii="Times New Roman" w:hAnsi="Times New Roman"/>
        </w:rPr>
        <w:t>unrevealed</w:t>
      </w:r>
      <w:r w:rsidR="001E31A7" w:rsidRPr="008A5AD9">
        <w:rPr>
          <w:rFonts w:ascii="Times New Roman" w:hAnsi="Times New Roman"/>
        </w:rPr>
        <w:t xml:space="preserve"> </w:t>
      </w:r>
      <w:r w:rsidR="00296035" w:rsidRPr="008A5AD9">
        <w:rPr>
          <w:rFonts w:ascii="Times New Roman" w:hAnsi="Times New Roman"/>
        </w:rPr>
        <w:lastRenderedPageBreak/>
        <w:t xml:space="preserve">purpose or </w:t>
      </w:r>
      <w:r w:rsidR="00C97728" w:rsidRPr="008A5AD9">
        <w:rPr>
          <w:rFonts w:ascii="Times New Roman" w:hAnsi="Times New Roman"/>
        </w:rPr>
        <w:t xml:space="preserve">collateral </w:t>
      </w:r>
      <w:r w:rsidR="001E31A7" w:rsidRPr="008A5AD9">
        <w:rPr>
          <w:rFonts w:ascii="Times New Roman" w:hAnsi="Times New Roman"/>
        </w:rPr>
        <w:t xml:space="preserve">effect of </w:t>
      </w:r>
      <w:r w:rsidR="00195357" w:rsidRPr="008A5AD9">
        <w:rPr>
          <w:rFonts w:ascii="Times New Roman" w:hAnsi="Times New Roman"/>
        </w:rPr>
        <w:t>displac</w:t>
      </w:r>
      <w:r w:rsidR="001E31A7" w:rsidRPr="008A5AD9">
        <w:rPr>
          <w:rFonts w:ascii="Times New Roman" w:hAnsi="Times New Roman"/>
        </w:rPr>
        <w:t>ing</w:t>
      </w:r>
      <w:r w:rsidR="00195357" w:rsidRPr="008A5AD9">
        <w:rPr>
          <w:rFonts w:ascii="Times New Roman" w:hAnsi="Times New Roman"/>
        </w:rPr>
        <w:t xml:space="preserve"> </w:t>
      </w:r>
      <w:r w:rsidR="00F24421" w:rsidRPr="008A5AD9">
        <w:rPr>
          <w:rFonts w:ascii="Times New Roman" w:hAnsi="Times New Roman"/>
        </w:rPr>
        <w:t>th</w:t>
      </w:r>
      <w:r w:rsidR="00582C10" w:rsidRPr="008A5AD9">
        <w:rPr>
          <w:rFonts w:ascii="Times New Roman" w:hAnsi="Times New Roman"/>
        </w:rPr>
        <w:t>e</w:t>
      </w:r>
      <w:r w:rsidR="00F24421" w:rsidRPr="008A5AD9">
        <w:rPr>
          <w:rFonts w:ascii="Times New Roman" w:hAnsi="Times New Roman"/>
        </w:rPr>
        <w:t xml:space="preserve"> principle</w:t>
      </w:r>
      <w:r w:rsidR="00582C10" w:rsidRPr="008A5AD9">
        <w:rPr>
          <w:rFonts w:ascii="Times New Roman" w:hAnsi="Times New Roman"/>
        </w:rPr>
        <w:t xml:space="preserve"> which s 2B contemporaneously affirmed</w:t>
      </w:r>
      <w:r w:rsidR="00F24421" w:rsidRPr="008A5AD9">
        <w:rPr>
          <w:rFonts w:ascii="Times New Roman" w:hAnsi="Times New Roman"/>
        </w:rPr>
        <w:t>.</w:t>
      </w:r>
      <w:r w:rsidR="00715929" w:rsidRPr="008A5AD9">
        <w:rPr>
          <w:rFonts w:ascii="Times New Roman" w:hAnsi="Times New Roman"/>
        </w:rPr>
        <w:t xml:space="preserve"> </w:t>
      </w:r>
    </w:p>
    <w:p w14:paraId="3E64C616" w14:textId="185DBBCE" w:rsidR="00C4630E" w:rsidRPr="008A5AD9" w:rsidRDefault="00BD2BC2"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7C516D" w:rsidRPr="008A5AD9">
        <w:rPr>
          <w:rFonts w:ascii="Times New Roman" w:hAnsi="Times New Roman"/>
        </w:rPr>
        <w:t xml:space="preserve">Sections </w:t>
      </w:r>
      <w:r w:rsidR="00C04913" w:rsidRPr="008A5AD9">
        <w:rPr>
          <w:rFonts w:ascii="Times New Roman" w:hAnsi="Times New Roman"/>
        </w:rPr>
        <w:t>2A</w:t>
      </w:r>
      <w:r w:rsidR="002B0E39" w:rsidRPr="008A5AD9">
        <w:rPr>
          <w:rFonts w:ascii="Times New Roman" w:hAnsi="Times New Roman"/>
        </w:rPr>
        <w:t>,</w:t>
      </w:r>
      <w:r w:rsidR="00C04913" w:rsidRPr="008A5AD9">
        <w:rPr>
          <w:rFonts w:ascii="Times New Roman" w:hAnsi="Times New Roman"/>
        </w:rPr>
        <w:t xml:space="preserve"> </w:t>
      </w:r>
      <w:r w:rsidR="008579AA" w:rsidRPr="008A5AD9">
        <w:rPr>
          <w:rFonts w:ascii="Times New Roman" w:hAnsi="Times New Roman"/>
        </w:rPr>
        <w:t xml:space="preserve">2B </w:t>
      </w:r>
      <w:r w:rsidR="002B0E39" w:rsidRPr="008A5AD9">
        <w:rPr>
          <w:rFonts w:ascii="Times New Roman" w:hAnsi="Times New Roman"/>
        </w:rPr>
        <w:t xml:space="preserve">and 2C </w:t>
      </w:r>
      <w:r w:rsidR="008579AA" w:rsidRPr="008A5AD9">
        <w:rPr>
          <w:rFonts w:ascii="Times New Roman" w:hAnsi="Times New Roman"/>
        </w:rPr>
        <w:t>demonstrate</w:t>
      </w:r>
      <w:r w:rsidR="00E27800" w:rsidRPr="008A5AD9">
        <w:rPr>
          <w:rFonts w:ascii="Times New Roman" w:hAnsi="Times New Roman"/>
        </w:rPr>
        <w:t xml:space="preserve"> by their very presence</w:t>
      </w:r>
      <w:r w:rsidR="002B0E39" w:rsidRPr="008A5AD9">
        <w:rPr>
          <w:rFonts w:ascii="Times New Roman" w:hAnsi="Times New Roman"/>
        </w:rPr>
        <w:t xml:space="preserve"> </w:t>
      </w:r>
      <w:r w:rsidR="004143CB" w:rsidRPr="008A5AD9">
        <w:rPr>
          <w:rFonts w:ascii="Times New Roman" w:hAnsi="Times New Roman"/>
        </w:rPr>
        <w:t xml:space="preserve">that </w:t>
      </w:r>
      <w:r w:rsidR="0099265D" w:rsidRPr="008A5AD9">
        <w:rPr>
          <w:rFonts w:ascii="Times New Roman" w:hAnsi="Times New Roman"/>
        </w:rPr>
        <w:t xml:space="preserve">pursuit of </w:t>
      </w:r>
      <w:r w:rsidR="004143CB" w:rsidRPr="008A5AD9">
        <w:rPr>
          <w:rFonts w:ascii="Times New Roman" w:hAnsi="Times New Roman"/>
        </w:rPr>
        <w:t>th</w:t>
      </w:r>
      <w:r w:rsidR="002B0E39" w:rsidRPr="008A5AD9">
        <w:rPr>
          <w:rFonts w:ascii="Times New Roman" w:hAnsi="Times New Roman"/>
        </w:rPr>
        <w:t>e</w:t>
      </w:r>
      <w:r w:rsidRPr="008A5AD9">
        <w:rPr>
          <w:rFonts w:ascii="Times New Roman" w:hAnsi="Times New Roman"/>
        </w:rPr>
        <w:t xml:space="preserve"> </w:t>
      </w:r>
      <w:r w:rsidR="004143CB" w:rsidRPr="008A5AD9">
        <w:rPr>
          <w:rFonts w:ascii="Times New Roman" w:hAnsi="Times New Roman"/>
        </w:rPr>
        <w:t>objec</w:t>
      </w:r>
      <w:r w:rsidRPr="008A5AD9">
        <w:rPr>
          <w:rFonts w:ascii="Times New Roman" w:hAnsi="Times New Roman"/>
        </w:rPr>
        <w:t>t</w:t>
      </w:r>
      <w:r w:rsidR="002B0E39" w:rsidRPr="008A5AD9">
        <w:rPr>
          <w:rFonts w:ascii="Times New Roman" w:hAnsi="Times New Roman"/>
        </w:rPr>
        <w:t xml:space="preserve"> identified in s 2</w:t>
      </w:r>
      <w:r w:rsidR="004143CB" w:rsidRPr="008A5AD9">
        <w:rPr>
          <w:rFonts w:ascii="Times New Roman" w:hAnsi="Times New Roman"/>
        </w:rPr>
        <w:t xml:space="preserve"> </w:t>
      </w:r>
      <w:r w:rsidR="00E26FD9" w:rsidRPr="008A5AD9">
        <w:rPr>
          <w:rFonts w:ascii="Times New Roman" w:hAnsi="Times New Roman"/>
        </w:rPr>
        <w:t xml:space="preserve">of the CCA </w:t>
      </w:r>
      <w:r w:rsidR="008579AA" w:rsidRPr="008A5AD9">
        <w:rPr>
          <w:rFonts w:ascii="Times New Roman" w:hAnsi="Times New Roman"/>
        </w:rPr>
        <w:t xml:space="preserve">is not </w:t>
      </w:r>
      <w:r w:rsidR="0099265D" w:rsidRPr="008A5AD9">
        <w:rPr>
          <w:rFonts w:ascii="Times New Roman" w:hAnsi="Times New Roman"/>
        </w:rPr>
        <w:t>incompatible</w:t>
      </w:r>
      <w:r w:rsidR="00214C2C" w:rsidRPr="008A5AD9">
        <w:rPr>
          <w:rFonts w:ascii="Times New Roman" w:hAnsi="Times New Roman"/>
        </w:rPr>
        <w:t xml:space="preserve"> </w:t>
      </w:r>
      <w:r w:rsidR="00671743" w:rsidRPr="008A5AD9">
        <w:rPr>
          <w:rFonts w:ascii="Times New Roman" w:hAnsi="Times New Roman"/>
        </w:rPr>
        <w:t xml:space="preserve">with </w:t>
      </w:r>
      <w:r w:rsidR="005332B0" w:rsidRPr="008A5AD9">
        <w:rPr>
          <w:rFonts w:ascii="Times New Roman" w:hAnsi="Times New Roman"/>
        </w:rPr>
        <w:t>provisions</w:t>
      </w:r>
      <w:r w:rsidR="008664A9" w:rsidRPr="008A5AD9">
        <w:rPr>
          <w:rFonts w:ascii="Times New Roman" w:hAnsi="Times New Roman"/>
        </w:rPr>
        <w:t xml:space="preserve"> </w:t>
      </w:r>
      <w:r w:rsidR="004143CB" w:rsidRPr="008A5AD9">
        <w:rPr>
          <w:rFonts w:ascii="Times New Roman" w:hAnsi="Times New Roman"/>
        </w:rPr>
        <w:t xml:space="preserve">of the CCA </w:t>
      </w:r>
      <w:r w:rsidR="005332B0" w:rsidRPr="008A5AD9">
        <w:rPr>
          <w:rFonts w:ascii="Times New Roman" w:hAnsi="Times New Roman"/>
        </w:rPr>
        <w:t xml:space="preserve">having a </w:t>
      </w:r>
      <w:r w:rsidR="00720B9A" w:rsidRPr="008A5AD9">
        <w:rPr>
          <w:rFonts w:ascii="Times New Roman" w:hAnsi="Times New Roman"/>
        </w:rPr>
        <w:t xml:space="preserve">differential operation </w:t>
      </w:r>
      <w:r w:rsidR="00396D8C" w:rsidRPr="008A5AD9">
        <w:rPr>
          <w:rFonts w:ascii="Times New Roman" w:hAnsi="Times New Roman"/>
        </w:rPr>
        <w:t xml:space="preserve">in </w:t>
      </w:r>
      <w:r w:rsidR="001D0F6E" w:rsidRPr="008A5AD9">
        <w:rPr>
          <w:rFonts w:ascii="Times New Roman" w:hAnsi="Times New Roman"/>
        </w:rPr>
        <w:t xml:space="preserve">their application </w:t>
      </w:r>
      <w:r w:rsidR="00396D8C" w:rsidRPr="008A5AD9">
        <w:rPr>
          <w:rFonts w:ascii="Times New Roman" w:hAnsi="Times New Roman"/>
        </w:rPr>
        <w:t xml:space="preserve">to </w:t>
      </w:r>
      <w:r w:rsidR="000F0FE6" w:rsidRPr="008A5AD9">
        <w:rPr>
          <w:rFonts w:ascii="Times New Roman" w:hAnsi="Times New Roman"/>
        </w:rPr>
        <w:t xml:space="preserve">alter </w:t>
      </w:r>
      <w:r w:rsidR="0093258F" w:rsidRPr="008A5AD9">
        <w:rPr>
          <w:rFonts w:ascii="Times New Roman" w:hAnsi="Times New Roman"/>
        </w:rPr>
        <w:t xml:space="preserve">the </w:t>
      </w:r>
      <w:r w:rsidR="000F0FE6" w:rsidRPr="008A5AD9">
        <w:rPr>
          <w:rFonts w:ascii="Times New Roman" w:hAnsi="Times New Roman"/>
        </w:rPr>
        <w:t xml:space="preserve">legal situation of the </w:t>
      </w:r>
      <w:r w:rsidR="00F6015F" w:rsidRPr="008A5AD9">
        <w:rPr>
          <w:rFonts w:ascii="Times New Roman" w:hAnsi="Times New Roman"/>
        </w:rPr>
        <w:t xml:space="preserve">bodies politic of the </w:t>
      </w:r>
      <w:r w:rsidR="0093258F" w:rsidRPr="008A5AD9">
        <w:rPr>
          <w:rFonts w:ascii="Times New Roman" w:hAnsi="Times New Roman"/>
        </w:rPr>
        <w:t>Commonwealth</w:t>
      </w:r>
      <w:r w:rsidR="00F6015F" w:rsidRPr="008A5AD9">
        <w:rPr>
          <w:rFonts w:ascii="Times New Roman" w:hAnsi="Times New Roman"/>
        </w:rPr>
        <w:t xml:space="preserve">, </w:t>
      </w:r>
      <w:r w:rsidR="0093258F" w:rsidRPr="008A5AD9">
        <w:rPr>
          <w:rFonts w:ascii="Times New Roman" w:hAnsi="Times New Roman"/>
        </w:rPr>
        <w:t>Stat</w:t>
      </w:r>
      <w:r w:rsidR="00396D8C" w:rsidRPr="008A5AD9">
        <w:rPr>
          <w:rFonts w:ascii="Times New Roman" w:hAnsi="Times New Roman"/>
        </w:rPr>
        <w:t>es and</w:t>
      </w:r>
      <w:r w:rsidR="003221BF" w:rsidRPr="008A5AD9">
        <w:rPr>
          <w:rFonts w:ascii="Times New Roman" w:hAnsi="Times New Roman"/>
        </w:rPr>
        <w:t xml:space="preserve"> </w:t>
      </w:r>
      <w:r w:rsidR="0093258F" w:rsidRPr="008A5AD9">
        <w:rPr>
          <w:rFonts w:ascii="Times New Roman" w:hAnsi="Times New Roman"/>
        </w:rPr>
        <w:t>Territor</w:t>
      </w:r>
      <w:r w:rsidR="00F6015F" w:rsidRPr="008A5AD9">
        <w:rPr>
          <w:rFonts w:ascii="Times New Roman" w:hAnsi="Times New Roman"/>
        </w:rPr>
        <w:t>ies.</w:t>
      </w:r>
      <w:r w:rsidR="000855F0" w:rsidRPr="008A5AD9">
        <w:rPr>
          <w:rFonts w:ascii="Times New Roman" w:hAnsi="Times New Roman"/>
        </w:rPr>
        <w:t xml:space="preserve"> </w:t>
      </w:r>
    </w:p>
    <w:p w14:paraId="5D3AFE0A" w14:textId="23A2B314" w:rsidR="00A753B9" w:rsidRPr="008A5AD9" w:rsidRDefault="00C4630E"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715929" w:rsidRPr="008A5AD9">
        <w:rPr>
          <w:rFonts w:ascii="Times New Roman" w:hAnsi="Times New Roman"/>
        </w:rPr>
        <w:t>Section 51</w:t>
      </w:r>
      <w:r w:rsidR="009E2486" w:rsidRPr="008A5AD9">
        <w:rPr>
          <w:rFonts w:ascii="Times New Roman" w:hAnsi="Times New Roman"/>
        </w:rPr>
        <w:t xml:space="preserve"> of the CCA</w:t>
      </w:r>
      <w:r w:rsidR="000A6460" w:rsidRPr="008A5AD9">
        <w:rPr>
          <w:rFonts w:ascii="Times New Roman" w:hAnsi="Times New Roman"/>
        </w:rPr>
        <w:t>,</w:t>
      </w:r>
      <w:r w:rsidR="0061202A" w:rsidRPr="008A5AD9">
        <w:rPr>
          <w:rFonts w:ascii="Times New Roman" w:hAnsi="Times New Roman"/>
        </w:rPr>
        <w:t xml:space="preserve"> which </w:t>
      </w:r>
      <w:r w:rsidR="000A6460" w:rsidRPr="008A5AD9">
        <w:rPr>
          <w:rFonts w:ascii="Times New Roman" w:hAnsi="Times New Roman"/>
        </w:rPr>
        <w:t xml:space="preserve">existed </w:t>
      </w:r>
      <w:r w:rsidR="007A2FDB" w:rsidRPr="008A5AD9">
        <w:rPr>
          <w:rFonts w:ascii="Times New Roman" w:hAnsi="Times New Roman"/>
        </w:rPr>
        <w:t xml:space="preserve">in its original form </w:t>
      </w:r>
      <w:r w:rsidR="00311BB4" w:rsidRPr="008A5AD9">
        <w:rPr>
          <w:rFonts w:ascii="Times New Roman" w:hAnsi="Times New Roman"/>
        </w:rPr>
        <w:t xml:space="preserve">at the time of </w:t>
      </w:r>
      <w:r w:rsidR="00311BB4" w:rsidRPr="008A5AD9">
        <w:rPr>
          <w:rFonts w:ascii="Times New Roman" w:hAnsi="Times New Roman"/>
          <w:i/>
          <w:iCs/>
        </w:rPr>
        <w:t>Bradken</w:t>
      </w:r>
      <w:r w:rsidR="00311BB4" w:rsidRPr="008A5AD9">
        <w:rPr>
          <w:rFonts w:ascii="Times New Roman" w:hAnsi="Times New Roman"/>
        </w:rPr>
        <w:t>,</w:t>
      </w:r>
      <w:r w:rsidR="0061202A" w:rsidRPr="008A5AD9">
        <w:rPr>
          <w:rFonts w:ascii="Times New Roman" w:hAnsi="Times New Roman"/>
        </w:rPr>
        <w:t xml:space="preserve"> </w:t>
      </w:r>
      <w:r w:rsidR="00156960" w:rsidRPr="008A5AD9">
        <w:rPr>
          <w:rFonts w:ascii="Times New Roman" w:hAnsi="Times New Roman"/>
        </w:rPr>
        <w:t xml:space="preserve">is </w:t>
      </w:r>
      <w:r w:rsidR="00BB6AF0" w:rsidRPr="008A5AD9">
        <w:rPr>
          <w:rFonts w:ascii="Times New Roman" w:hAnsi="Times New Roman"/>
        </w:rPr>
        <w:t>directed</w:t>
      </w:r>
      <w:r w:rsidR="00595A5A" w:rsidRPr="008A5AD9">
        <w:rPr>
          <w:rFonts w:ascii="Times New Roman" w:hAnsi="Times New Roman"/>
        </w:rPr>
        <w:t xml:space="preserve"> </w:t>
      </w:r>
      <w:r w:rsidR="00A20714" w:rsidRPr="008A5AD9">
        <w:rPr>
          <w:rFonts w:ascii="Times New Roman" w:hAnsi="Times New Roman"/>
        </w:rPr>
        <w:t xml:space="preserve">to </w:t>
      </w:r>
      <w:r w:rsidR="00504C97" w:rsidRPr="008A5AD9">
        <w:rPr>
          <w:rFonts w:ascii="Times New Roman" w:hAnsi="Times New Roman"/>
        </w:rPr>
        <w:t xml:space="preserve">the </w:t>
      </w:r>
      <w:r w:rsidR="00A20714" w:rsidRPr="008A5AD9">
        <w:rPr>
          <w:rFonts w:ascii="Times New Roman" w:hAnsi="Times New Roman"/>
        </w:rPr>
        <w:t>determination of whether</w:t>
      </w:r>
      <w:r w:rsidR="002C1423" w:rsidRPr="008A5AD9">
        <w:rPr>
          <w:rFonts w:ascii="Times New Roman" w:hAnsi="Times New Roman"/>
        </w:rPr>
        <w:t xml:space="preserve"> Pt IV </w:t>
      </w:r>
      <w:r w:rsidR="00946861" w:rsidRPr="008A5AD9">
        <w:rPr>
          <w:rFonts w:ascii="Times New Roman" w:hAnsi="Times New Roman"/>
        </w:rPr>
        <w:t>has been contravened</w:t>
      </w:r>
      <w:r w:rsidR="00B94184" w:rsidRPr="008A5AD9">
        <w:rPr>
          <w:rFonts w:ascii="Times New Roman" w:hAnsi="Times New Roman"/>
        </w:rPr>
        <w:t xml:space="preserve">. </w:t>
      </w:r>
      <w:r w:rsidR="00783D35" w:rsidRPr="008A5AD9">
        <w:rPr>
          <w:rFonts w:ascii="Times New Roman" w:hAnsi="Times New Roman"/>
        </w:rPr>
        <w:t xml:space="preserve">In </w:t>
      </w:r>
      <w:r w:rsidR="00A42640" w:rsidRPr="008A5AD9">
        <w:rPr>
          <w:rFonts w:ascii="Times New Roman" w:hAnsi="Times New Roman"/>
        </w:rPr>
        <w:t xml:space="preserve">relevantly </w:t>
      </w:r>
      <w:r w:rsidR="00783D35" w:rsidRPr="008A5AD9">
        <w:rPr>
          <w:rFonts w:ascii="Times New Roman" w:hAnsi="Times New Roman"/>
        </w:rPr>
        <w:t xml:space="preserve">providing </w:t>
      </w:r>
      <w:r w:rsidR="00A42640" w:rsidRPr="008A5AD9">
        <w:rPr>
          <w:rFonts w:ascii="Times New Roman" w:hAnsi="Times New Roman"/>
        </w:rPr>
        <w:t>in s</w:t>
      </w:r>
      <w:r w:rsidR="002364E5" w:rsidRPr="008A5AD9">
        <w:rPr>
          <w:rFonts w:ascii="Times New Roman" w:hAnsi="Times New Roman"/>
        </w:rPr>
        <w:t xml:space="preserve"> </w:t>
      </w:r>
      <w:r w:rsidR="00A42640" w:rsidRPr="008A5AD9">
        <w:rPr>
          <w:rFonts w:ascii="Times New Roman" w:hAnsi="Times New Roman"/>
        </w:rPr>
        <w:t xml:space="preserve">51(1)(b) </w:t>
      </w:r>
      <w:r w:rsidR="00783D35" w:rsidRPr="008A5AD9">
        <w:rPr>
          <w:rFonts w:ascii="Times New Roman" w:hAnsi="Times New Roman"/>
        </w:rPr>
        <w:t xml:space="preserve">that </w:t>
      </w:r>
      <w:r w:rsidR="006E529B" w:rsidRPr="008A5AD9">
        <w:rPr>
          <w:rFonts w:ascii="Times New Roman" w:hAnsi="Times New Roman"/>
        </w:rPr>
        <w:t xml:space="preserve">"anything done in a </w:t>
      </w:r>
      <w:r w:rsidR="00B92FD3" w:rsidRPr="008A5AD9">
        <w:rPr>
          <w:rFonts w:ascii="Times New Roman" w:hAnsi="Times New Roman"/>
        </w:rPr>
        <w:t xml:space="preserve">State" that is </w:t>
      </w:r>
      <w:r w:rsidR="00AF1609" w:rsidRPr="008A5AD9">
        <w:rPr>
          <w:rFonts w:ascii="Times New Roman" w:hAnsi="Times New Roman"/>
        </w:rPr>
        <w:t>"specified in</w:t>
      </w:r>
      <w:r w:rsidR="006D1569" w:rsidRPr="008A5AD9">
        <w:rPr>
          <w:rFonts w:ascii="Times New Roman" w:hAnsi="Times New Roman"/>
        </w:rPr>
        <w:t>,</w:t>
      </w:r>
      <w:r w:rsidR="00AF1609" w:rsidRPr="008A5AD9">
        <w:rPr>
          <w:rFonts w:ascii="Times New Roman" w:hAnsi="Times New Roman"/>
        </w:rPr>
        <w:t xml:space="preserve"> and </w:t>
      </w:r>
      <w:r w:rsidR="00D33B1C" w:rsidRPr="008A5AD9">
        <w:rPr>
          <w:rFonts w:ascii="Times New Roman" w:hAnsi="Times New Roman"/>
        </w:rPr>
        <w:t xml:space="preserve">specifically authorised by ... an Act passed by the Parliament of </w:t>
      </w:r>
      <w:r w:rsidR="007D22B2" w:rsidRPr="008A5AD9">
        <w:rPr>
          <w:rFonts w:ascii="Times New Roman" w:hAnsi="Times New Roman"/>
        </w:rPr>
        <w:t xml:space="preserve">that </w:t>
      </w:r>
      <w:r w:rsidR="00D33B1C" w:rsidRPr="008A5AD9">
        <w:rPr>
          <w:rFonts w:ascii="Times New Roman" w:hAnsi="Times New Roman"/>
        </w:rPr>
        <w:t>State</w:t>
      </w:r>
      <w:r w:rsidR="00525CA1" w:rsidRPr="008A5AD9">
        <w:rPr>
          <w:rFonts w:ascii="Times New Roman" w:hAnsi="Times New Roman"/>
        </w:rPr>
        <w:t xml:space="preserve">" </w:t>
      </w:r>
      <w:r w:rsidR="009C6DB8" w:rsidRPr="008A5AD9">
        <w:rPr>
          <w:rFonts w:ascii="Times New Roman" w:hAnsi="Times New Roman"/>
        </w:rPr>
        <w:t>is</w:t>
      </w:r>
      <w:r w:rsidR="0066197A" w:rsidRPr="008A5AD9">
        <w:rPr>
          <w:rFonts w:ascii="Times New Roman" w:hAnsi="Times New Roman"/>
        </w:rPr>
        <w:t xml:space="preserve"> to</w:t>
      </w:r>
      <w:r w:rsidR="00525CA1" w:rsidRPr="008A5AD9">
        <w:rPr>
          <w:rFonts w:ascii="Times New Roman" w:hAnsi="Times New Roman"/>
        </w:rPr>
        <w:t xml:space="preserve"> be </w:t>
      </w:r>
      <w:r w:rsidR="008557E1" w:rsidRPr="008A5AD9">
        <w:rPr>
          <w:rFonts w:ascii="Times New Roman" w:hAnsi="Times New Roman"/>
        </w:rPr>
        <w:t>"</w:t>
      </w:r>
      <w:r w:rsidR="00525CA1" w:rsidRPr="008A5AD9">
        <w:rPr>
          <w:rFonts w:ascii="Times New Roman" w:hAnsi="Times New Roman"/>
        </w:rPr>
        <w:t>disregarded</w:t>
      </w:r>
      <w:r w:rsidR="008557E1" w:rsidRPr="008A5AD9">
        <w:rPr>
          <w:rFonts w:ascii="Times New Roman" w:hAnsi="Times New Roman"/>
        </w:rPr>
        <w:t>"</w:t>
      </w:r>
      <w:r w:rsidR="00525CA1" w:rsidRPr="008A5AD9">
        <w:rPr>
          <w:rFonts w:ascii="Times New Roman" w:hAnsi="Times New Roman"/>
        </w:rPr>
        <w:t xml:space="preserve"> in determining whether </w:t>
      </w:r>
      <w:r w:rsidR="005966D7" w:rsidRPr="008A5AD9">
        <w:rPr>
          <w:rFonts w:ascii="Times New Roman" w:hAnsi="Times New Roman"/>
        </w:rPr>
        <w:t xml:space="preserve">a </w:t>
      </w:r>
      <w:r w:rsidR="00453849" w:rsidRPr="008A5AD9">
        <w:rPr>
          <w:rFonts w:ascii="Times New Roman" w:hAnsi="Times New Roman"/>
        </w:rPr>
        <w:t xml:space="preserve">person has contravened Pt IV, </w:t>
      </w:r>
      <w:r w:rsidR="00A42640" w:rsidRPr="008A5AD9">
        <w:rPr>
          <w:rFonts w:ascii="Times New Roman" w:hAnsi="Times New Roman"/>
        </w:rPr>
        <w:t xml:space="preserve">the section </w:t>
      </w:r>
      <w:r w:rsidR="008D1E9F" w:rsidRPr="008A5AD9">
        <w:rPr>
          <w:rFonts w:ascii="Times New Roman" w:hAnsi="Times New Roman"/>
        </w:rPr>
        <w:t>"</w:t>
      </w:r>
      <w:r w:rsidR="000851A0" w:rsidRPr="008A5AD9">
        <w:rPr>
          <w:rFonts w:ascii="Times New Roman" w:hAnsi="Times New Roman"/>
        </w:rPr>
        <w:t xml:space="preserve">operates </w:t>
      </w:r>
      <w:proofErr w:type="spellStart"/>
      <w:r w:rsidR="008D1E9F" w:rsidRPr="008A5AD9">
        <w:rPr>
          <w:rFonts w:ascii="Times New Roman" w:hAnsi="Times New Roman"/>
        </w:rPr>
        <w:t>distributively</w:t>
      </w:r>
      <w:proofErr w:type="spellEnd"/>
      <w:r w:rsidR="008D1E9F" w:rsidRPr="008A5AD9">
        <w:rPr>
          <w:rFonts w:ascii="Times New Roman" w:hAnsi="Times New Roman"/>
        </w:rPr>
        <w:t xml:space="preserve"> </w:t>
      </w:r>
      <w:r w:rsidR="008C6D8E" w:rsidRPr="008A5AD9">
        <w:rPr>
          <w:rFonts w:ascii="Times New Roman" w:hAnsi="Times New Roman"/>
        </w:rPr>
        <w:t xml:space="preserve">over each of the ultimate facts (being </w:t>
      </w:r>
      <w:r w:rsidR="00ED579D" w:rsidRPr="008A5AD9">
        <w:rPr>
          <w:rFonts w:ascii="Times New Roman" w:hAnsi="Times New Roman"/>
        </w:rPr>
        <w:t>acts</w:t>
      </w:r>
      <w:r w:rsidR="008C6D8E" w:rsidRPr="008A5AD9">
        <w:rPr>
          <w:rFonts w:ascii="Times New Roman" w:hAnsi="Times New Roman"/>
        </w:rPr>
        <w:t xml:space="preserve"> or things</w:t>
      </w:r>
      <w:r w:rsidR="00ED579D" w:rsidRPr="008A5AD9">
        <w:rPr>
          <w:rFonts w:ascii="Times New Roman" w:hAnsi="Times New Roman"/>
        </w:rPr>
        <w:t xml:space="preserve">) </w:t>
      </w:r>
      <w:r w:rsidR="008C6D8E" w:rsidRPr="008A5AD9">
        <w:rPr>
          <w:rFonts w:ascii="Times New Roman" w:hAnsi="Times New Roman"/>
        </w:rPr>
        <w:t>which together might otherwise constitute a contravention".</w:t>
      </w:r>
      <w:r w:rsidR="00ED579D" w:rsidRPr="008A5AD9">
        <w:rPr>
          <w:rStyle w:val="FootnoteReference"/>
          <w:rFonts w:ascii="Times New Roman" w:hAnsi="Times New Roman"/>
          <w:sz w:val="24"/>
        </w:rPr>
        <w:footnoteReference w:id="29"/>
      </w:r>
      <w:r w:rsidR="008D1E9F" w:rsidRPr="008A5AD9">
        <w:rPr>
          <w:rFonts w:ascii="Times New Roman" w:hAnsi="Times New Roman"/>
        </w:rPr>
        <w:t xml:space="preserve"> </w:t>
      </w:r>
      <w:r w:rsidR="00116F87" w:rsidRPr="008A5AD9">
        <w:rPr>
          <w:rFonts w:ascii="Times New Roman" w:hAnsi="Times New Roman"/>
        </w:rPr>
        <w:t>The section</w:t>
      </w:r>
      <w:r w:rsidR="00242912" w:rsidRPr="008A5AD9">
        <w:rPr>
          <w:rFonts w:ascii="Times New Roman" w:hAnsi="Times New Roman"/>
        </w:rPr>
        <w:t xml:space="preserve"> is</w:t>
      </w:r>
      <w:r w:rsidR="00763117" w:rsidRPr="008A5AD9">
        <w:rPr>
          <w:rFonts w:ascii="Times New Roman" w:hAnsi="Times New Roman"/>
        </w:rPr>
        <w:t xml:space="preserve"> </w:t>
      </w:r>
      <w:r w:rsidR="009B4CF9" w:rsidRPr="008A5AD9">
        <w:rPr>
          <w:rFonts w:ascii="Times New Roman" w:hAnsi="Times New Roman"/>
        </w:rPr>
        <w:t xml:space="preserve">not </w:t>
      </w:r>
      <w:r w:rsidR="00BB6AF0" w:rsidRPr="008A5AD9">
        <w:rPr>
          <w:rFonts w:ascii="Times New Roman" w:hAnsi="Times New Roman"/>
        </w:rPr>
        <w:t>directed</w:t>
      </w:r>
      <w:r w:rsidR="00242912" w:rsidRPr="008A5AD9">
        <w:rPr>
          <w:rFonts w:ascii="Times New Roman" w:hAnsi="Times New Roman"/>
        </w:rPr>
        <w:t xml:space="preserve"> </w:t>
      </w:r>
      <w:r w:rsidR="009B4CF9" w:rsidRPr="008A5AD9">
        <w:rPr>
          <w:rFonts w:ascii="Times New Roman" w:hAnsi="Times New Roman"/>
        </w:rPr>
        <w:t xml:space="preserve">to the </w:t>
      </w:r>
      <w:r w:rsidR="00D4650B" w:rsidRPr="008A5AD9">
        <w:rPr>
          <w:rFonts w:ascii="Times New Roman" w:hAnsi="Times New Roman"/>
        </w:rPr>
        <w:t xml:space="preserve">logically </w:t>
      </w:r>
      <w:r w:rsidR="009B4CF9" w:rsidRPr="008A5AD9">
        <w:rPr>
          <w:rFonts w:ascii="Times New Roman" w:hAnsi="Times New Roman"/>
        </w:rPr>
        <w:t xml:space="preserve">anterior question </w:t>
      </w:r>
      <w:r w:rsidR="00783143" w:rsidRPr="008A5AD9">
        <w:rPr>
          <w:rFonts w:ascii="Times New Roman" w:hAnsi="Times New Roman"/>
        </w:rPr>
        <w:t xml:space="preserve">of </w:t>
      </w:r>
      <w:r w:rsidR="00F64AC5" w:rsidRPr="008A5AD9">
        <w:rPr>
          <w:rFonts w:ascii="Times New Roman" w:hAnsi="Times New Roman"/>
        </w:rPr>
        <w:t xml:space="preserve">the </w:t>
      </w:r>
      <w:r w:rsidR="00783143" w:rsidRPr="008A5AD9">
        <w:rPr>
          <w:rFonts w:ascii="Times New Roman" w:hAnsi="Times New Roman"/>
        </w:rPr>
        <w:t>construction</w:t>
      </w:r>
      <w:r w:rsidR="00610DCB" w:rsidRPr="008A5AD9">
        <w:rPr>
          <w:rFonts w:ascii="Times New Roman" w:hAnsi="Times New Roman"/>
        </w:rPr>
        <w:t xml:space="preserve"> of Pt</w:t>
      </w:r>
      <w:r w:rsidR="0021650C">
        <w:rPr>
          <w:rFonts w:ascii="Times New Roman" w:hAnsi="Times New Roman"/>
        </w:rPr>
        <w:t> </w:t>
      </w:r>
      <w:r w:rsidR="00610DCB" w:rsidRPr="008A5AD9">
        <w:rPr>
          <w:rFonts w:ascii="Times New Roman" w:hAnsi="Times New Roman"/>
        </w:rPr>
        <w:t>IV</w:t>
      </w:r>
      <w:r w:rsidR="00152443" w:rsidRPr="008A5AD9">
        <w:rPr>
          <w:rFonts w:ascii="Times New Roman" w:hAnsi="Times New Roman"/>
        </w:rPr>
        <w:t>.</w:t>
      </w:r>
    </w:p>
    <w:p w14:paraId="67D8E5E8" w14:textId="17F06FFE" w:rsidR="004C3262" w:rsidRPr="008A5AD9" w:rsidRDefault="00A753B9"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F90585" w:rsidRPr="008A5AD9">
        <w:rPr>
          <w:rFonts w:ascii="Times New Roman" w:hAnsi="Times New Roman"/>
        </w:rPr>
        <w:t>I</w:t>
      </w:r>
      <w:r w:rsidR="00EC0913" w:rsidRPr="008A5AD9">
        <w:rPr>
          <w:rFonts w:ascii="Times New Roman" w:hAnsi="Times New Roman"/>
        </w:rPr>
        <w:t xml:space="preserve">n </w:t>
      </w:r>
      <w:r w:rsidR="00EC0913" w:rsidRPr="008A5AD9">
        <w:rPr>
          <w:rFonts w:ascii="Times New Roman" w:hAnsi="Times New Roman"/>
          <w:i/>
          <w:iCs/>
        </w:rPr>
        <w:t>ACCC v NSW</w:t>
      </w:r>
      <w:r w:rsidR="00E75E1B" w:rsidRPr="008A5AD9">
        <w:rPr>
          <w:rFonts w:ascii="Times New Roman" w:hAnsi="Times New Roman"/>
          <w:i/>
          <w:iCs/>
        </w:rPr>
        <w:t xml:space="preserve"> Ports</w:t>
      </w:r>
      <w:r w:rsidR="00F90585" w:rsidRPr="008A5AD9">
        <w:rPr>
          <w:rFonts w:ascii="Times New Roman" w:hAnsi="Times New Roman"/>
        </w:rPr>
        <w:t xml:space="preserve">, Allsop CJ </w:t>
      </w:r>
      <w:r w:rsidR="00555664" w:rsidRPr="008A5AD9">
        <w:rPr>
          <w:rFonts w:ascii="Times New Roman" w:hAnsi="Times New Roman"/>
        </w:rPr>
        <w:t>recognised</w:t>
      </w:r>
      <w:r w:rsidR="00597D65" w:rsidRPr="008A5AD9">
        <w:rPr>
          <w:rFonts w:ascii="Times New Roman" w:hAnsi="Times New Roman"/>
        </w:rPr>
        <w:t xml:space="preserve"> </w:t>
      </w:r>
      <w:r w:rsidR="00F90585" w:rsidRPr="008A5AD9">
        <w:rPr>
          <w:rFonts w:ascii="Times New Roman" w:hAnsi="Times New Roman"/>
        </w:rPr>
        <w:t xml:space="preserve">the principle of construction </w:t>
      </w:r>
      <w:r w:rsidR="00AB2D48" w:rsidRPr="008A5AD9">
        <w:rPr>
          <w:rFonts w:ascii="Times New Roman" w:hAnsi="Times New Roman"/>
        </w:rPr>
        <w:t>identified</w:t>
      </w:r>
      <w:r w:rsidR="00F90585" w:rsidRPr="008A5AD9">
        <w:rPr>
          <w:rFonts w:ascii="Times New Roman" w:hAnsi="Times New Roman"/>
        </w:rPr>
        <w:t xml:space="preserve"> in </w:t>
      </w:r>
      <w:r w:rsidR="00F90585" w:rsidRPr="008A5AD9">
        <w:rPr>
          <w:rFonts w:ascii="Times New Roman" w:hAnsi="Times New Roman"/>
          <w:i/>
          <w:iCs/>
        </w:rPr>
        <w:t>Baxter</w:t>
      </w:r>
      <w:r w:rsidR="00F91B78" w:rsidRPr="008A5AD9">
        <w:rPr>
          <w:rFonts w:ascii="Times New Roman" w:hAnsi="Times New Roman"/>
        </w:rPr>
        <w:t xml:space="preserve"> </w:t>
      </w:r>
      <w:r w:rsidR="00B05A78" w:rsidRPr="008A5AD9">
        <w:rPr>
          <w:rFonts w:ascii="Times New Roman" w:hAnsi="Times New Roman"/>
        </w:rPr>
        <w:t xml:space="preserve">to </w:t>
      </w:r>
      <w:r w:rsidR="009807DC" w:rsidRPr="008A5AD9">
        <w:rPr>
          <w:rFonts w:ascii="Times New Roman" w:hAnsi="Times New Roman"/>
        </w:rPr>
        <w:t xml:space="preserve">govern the </w:t>
      </w:r>
      <w:r w:rsidR="00504C77" w:rsidRPr="008A5AD9">
        <w:rPr>
          <w:rFonts w:ascii="Times New Roman" w:hAnsi="Times New Roman"/>
        </w:rPr>
        <w:t>construction</w:t>
      </w:r>
      <w:r w:rsidR="009807DC" w:rsidRPr="008A5AD9">
        <w:rPr>
          <w:rFonts w:ascii="Times New Roman" w:hAnsi="Times New Roman"/>
        </w:rPr>
        <w:t xml:space="preserve"> </w:t>
      </w:r>
      <w:r w:rsidR="00CD24AF" w:rsidRPr="008A5AD9">
        <w:rPr>
          <w:rFonts w:ascii="Times New Roman" w:hAnsi="Times New Roman"/>
        </w:rPr>
        <w:t>of Pt IV of the CCA</w:t>
      </w:r>
      <w:r w:rsidR="00861ED6" w:rsidRPr="008A5AD9">
        <w:rPr>
          <w:rFonts w:ascii="Times New Roman" w:hAnsi="Times New Roman"/>
        </w:rPr>
        <w:t xml:space="preserve"> </w:t>
      </w:r>
      <w:r w:rsidR="00290D9F" w:rsidRPr="008A5AD9">
        <w:rPr>
          <w:rFonts w:ascii="Times New Roman" w:hAnsi="Times New Roman"/>
        </w:rPr>
        <w:t>and thereby</w:t>
      </w:r>
      <w:r w:rsidR="00BD038E" w:rsidRPr="008A5AD9">
        <w:rPr>
          <w:rFonts w:ascii="Times New Roman" w:hAnsi="Times New Roman"/>
        </w:rPr>
        <w:t xml:space="preserve"> </w:t>
      </w:r>
      <w:r w:rsidR="00B05A78" w:rsidRPr="008A5AD9">
        <w:rPr>
          <w:rFonts w:ascii="Times New Roman" w:hAnsi="Times New Roman"/>
        </w:rPr>
        <w:t xml:space="preserve">to </w:t>
      </w:r>
      <w:r w:rsidR="000A718A" w:rsidRPr="008A5AD9">
        <w:rPr>
          <w:rFonts w:ascii="Times New Roman" w:hAnsi="Times New Roman"/>
        </w:rPr>
        <w:t>limit</w:t>
      </w:r>
      <w:r w:rsidR="00015354" w:rsidRPr="008A5AD9">
        <w:rPr>
          <w:rFonts w:ascii="Times New Roman" w:hAnsi="Times New Roman"/>
        </w:rPr>
        <w:t xml:space="preserve"> </w:t>
      </w:r>
      <w:r w:rsidR="003E2174" w:rsidRPr="008A5AD9">
        <w:rPr>
          <w:rFonts w:ascii="Times New Roman" w:hAnsi="Times New Roman"/>
        </w:rPr>
        <w:t>the</w:t>
      </w:r>
      <w:r w:rsidR="00504C77" w:rsidRPr="008A5AD9">
        <w:rPr>
          <w:rFonts w:ascii="Times New Roman" w:hAnsi="Times New Roman"/>
        </w:rPr>
        <w:t xml:space="preserve"> application </w:t>
      </w:r>
      <w:r w:rsidR="003E2174" w:rsidRPr="008A5AD9">
        <w:rPr>
          <w:rFonts w:ascii="Times New Roman" w:hAnsi="Times New Roman"/>
        </w:rPr>
        <w:t xml:space="preserve">of </w:t>
      </w:r>
      <w:r w:rsidR="0008421D" w:rsidRPr="008A5AD9">
        <w:rPr>
          <w:rFonts w:ascii="Times New Roman" w:hAnsi="Times New Roman"/>
        </w:rPr>
        <w:t>s 45</w:t>
      </w:r>
      <w:r w:rsidR="002B513A" w:rsidRPr="008A5AD9">
        <w:rPr>
          <w:rFonts w:ascii="Times New Roman" w:hAnsi="Times New Roman"/>
        </w:rPr>
        <w:t>.</w:t>
      </w:r>
      <w:r w:rsidR="002B513A" w:rsidRPr="008A5AD9">
        <w:rPr>
          <w:rStyle w:val="FootnoteReference"/>
          <w:rFonts w:ascii="Times New Roman" w:hAnsi="Times New Roman"/>
          <w:sz w:val="24"/>
        </w:rPr>
        <w:footnoteReference w:id="30"/>
      </w:r>
      <w:r w:rsidR="00A549CD" w:rsidRPr="008A5AD9">
        <w:rPr>
          <w:rFonts w:ascii="Times New Roman" w:hAnsi="Times New Roman"/>
        </w:rPr>
        <w:t xml:space="preserve"> </w:t>
      </w:r>
      <w:r w:rsidR="00602889" w:rsidRPr="008A5AD9">
        <w:rPr>
          <w:rFonts w:ascii="Times New Roman" w:hAnsi="Times New Roman"/>
        </w:rPr>
        <w:t>H</w:t>
      </w:r>
      <w:r w:rsidR="00865EBD" w:rsidRPr="008A5AD9">
        <w:rPr>
          <w:rFonts w:ascii="Times New Roman" w:hAnsi="Times New Roman"/>
        </w:rPr>
        <w:t>is Honour</w:t>
      </w:r>
      <w:r w:rsidR="00602889" w:rsidRPr="008A5AD9">
        <w:rPr>
          <w:rFonts w:ascii="Times New Roman" w:hAnsi="Times New Roman"/>
        </w:rPr>
        <w:t xml:space="preserve"> </w:t>
      </w:r>
      <w:r w:rsidR="007A6652" w:rsidRPr="008A5AD9">
        <w:rPr>
          <w:rFonts w:ascii="Times New Roman" w:hAnsi="Times New Roman"/>
        </w:rPr>
        <w:t xml:space="preserve">further </w:t>
      </w:r>
      <w:r w:rsidR="00602889" w:rsidRPr="008A5AD9">
        <w:rPr>
          <w:rFonts w:ascii="Times New Roman" w:hAnsi="Times New Roman"/>
        </w:rPr>
        <w:t>recognised t</w:t>
      </w:r>
      <w:r w:rsidR="009754FD" w:rsidRPr="008A5AD9">
        <w:rPr>
          <w:rFonts w:ascii="Times New Roman" w:hAnsi="Times New Roman"/>
        </w:rPr>
        <w:t xml:space="preserve">he </w:t>
      </w:r>
      <w:r w:rsidR="001B3223" w:rsidRPr="008A5AD9">
        <w:rPr>
          <w:rFonts w:ascii="Times New Roman" w:hAnsi="Times New Roman"/>
        </w:rPr>
        <w:t>inquiry</w:t>
      </w:r>
      <w:r w:rsidR="00AA1797" w:rsidRPr="008A5AD9">
        <w:rPr>
          <w:rFonts w:ascii="Times New Roman" w:hAnsi="Times New Roman"/>
        </w:rPr>
        <w:t xml:space="preserve"> posited </w:t>
      </w:r>
      <w:r w:rsidR="00CD0E8B" w:rsidRPr="008A5AD9">
        <w:rPr>
          <w:rFonts w:ascii="Times New Roman" w:hAnsi="Times New Roman"/>
        </w:rPr>
        <w:t>by</w:t>
      </w:r>
      <w:r w:rsidR="00AA1797" w:rsidRPr="008A5AD9">
        <w:rPr>
          <w:rFonts w:ascii="Times New Roman" w:hAnsi="Times New Roman"/>
        </w:rPr>
        <w:t xml:space="preserve"> that construction</w:t>
      </w:r>
      <w:r w:rsidR="00807C24" w:rsidRPr="008A5AD9">
        <w:rPr>
          <w:rFonts w:ascii="Times New Roman" w:hAnsi="Times New Roman"/>
        </w:rPr>
        <w:t xml:space="preserve"> </w:t>
      </w:r>
      <w:r w:rsidR="0009472C" w:rsidRPr="008A5AD9">
        <w:rPr>
          <w:rFonts w:ascii="Times New Roman" w:hAnsi="Times New Roman"/>
        </w:rPr>
        <w:t>to be</w:t>
      </w:r>
      <w:r w:rsidR="003E3C61" w:rsidRPr="008A5AD9">
        <w:rPr>
          <w:rFonts w:ascii="Times New Roman" w:hAnsi="Times New Roman"/>
        </w:rPr>
        <w:t xml:space="preserve"> </w:t>
      </w:r>
      <w:r w:rsidR="009A47E8" w:rsidRPr="008A5AD9">
        <w:rPr>
          <w:rFonts w:ascii="Times New Roman" w:hAnsi="Times New Roman"/>
        </w:rPr>
        <w:t>in</w:t>
      </w:r>
      <w:r w:rsidR="00407A5D" w:rsidRPr="008A5AD9">
        <w:rPr>
          <w:rFonts w:ascii="Times New Roman" w:hAnsi="Times New Roman"/>
        </w:rPr>
        <w:t>to</w:t>
      </w:r>
      <w:r w:rsidR="001B3223" w:rsidRPr="008A5AD9">
        <w:rPr>
          <w:rFonts w:ascii="Times New Roman" w:hAnsi="Times New Roman"/>
        </w:rPr>
        <w:t xml:space="preserve"> </w:t>
      </w:r>
      <w:r w:rsidR="009754FD" w:rsidRPr="008A5AD9">
        <w:rPr>
          <w:rFonts w:ascii="Times New Roman" w:hAnsi="Times New Roman"/>
        </w:rPr>
        <w:t xml:space="preserve">whether application </w:t>
      </w:r>
      <w:r w:rsidR="00B20B88" w:rsidRPr="008A5AD9">
        <w:rPr>
          <w:rFonts w:ascii="Times New Roman" w:hAnsi="Times New Roman"/>
        </w:rPr>
        <w:t>of</w:t>
      </w:r>
      <w:r w:rsidR="00B23B82" w:rsidRPr="008A5AD9">
        <w:rPr>
          <w:rFonts w:ascii="Times New Roman" w:hAnsi="Times New Roman"/>
        </w:rPr>
        <w:t xml:space="preserve"> th</w:t>
      </w:r>
      <w:r w:rsidR="008517FC" w:rsidRPr="008A5AD9">
        <w:rPr>
          <w:rFonts w:ascii="Times New Roman" w:hAnsi="Times New Roman"/>
        </w:rPr>
        <w:t>e</w:t>
      </w:r>
      <w:r w:rsidR="00B23B82" w:rsidRPr="008A5AD9">
        <w:rPr>
          <w:rFonts w:ascii="Times New Roman" w:hAnsi="Times New Roman"/>
        </w:rPr>
        <w:t xml:space="preserve"> </w:t>
      </w:r>
      <w:r w:rsidR="00422673" w:rsidRPr="008A5AD9">
        <w:rPr>
          <w:rFonts w:ascii="Times New Roman" w:hAnsi="Times New Roman"/>
        </w:rPr>
        <w:t>section</w:t>
      </w:r>
      <w:r w:rsidR="002F342E" w:rsidRPr="008A5AD9">
        <w:rPr>
          <w:rFonts w:ascii="Times New Roman" w:hAnsi="Times New Roman"/>
        </w:rPr>
        <w:t xml:space="preserve"> </w:t>
      </w:r>
      <w:r w:rsidR="00B20B88" w:rsidRPr="008A5AD9">
        <w:rPr>
          <w:rFonts w:ascii="Times New Roman" w:hAnsi="Times New Roman"/>
        </w:rPr>
        <w:t xml:space="preserve">to </w:t>
      </w:r>
      <w:r w:rsidR="0051101C" w:rsidRPr="008A5AD9">
        <w:rPr>
          <w:rFonts w:ascii="Times New Roman" w:hAnsi="Times New Roman"/>
        </w:rPr>
        <w:t>the impugned conduct of Port Operations</w:t>
      </w:r>
      <w:r w:rsidR="002D3F09" w:rsidRPr="008A5AD9">
        <w:rPr>
          <w:rFonts w:ascii="Times New Roman" w:hAnsi="Times New Roman"/>
        </w:rPr>
        <w:t xml:space="preserve"> </w:t>
      </w:r>
      <w:r w:rsidR="003D64BA" w:rsidRPr="008A5AD9">
        <w:rPr>
          <w:rFonts w:ascii="Times New Roman" w:hAnsi="Times New Roman"/>
        </w:rPr>
        <w:t xml:space="preserve">would result in divestiture of a legal right </w:t>
      </w:r>
      <w:r w:rsidR="00940784" w:rsidRPr="008A5AD9">
        <w:rPr>
          <w:rFonts w:ascii="Times New Roman" w:hAnsi="Times New Roman"/>
        </w:rPr>
        <w:t>or interest of the State</w:t>
      </w:r>
      <w:r w:rsidR="00C52043" w:rsidRPr="008A5AD9">
        <w:rPr>
          <w:rFonts w:ascii="Times New Roman" w:hAnsi="Times New Roman"/>
        </w:rPr>
        <w:t>, identifying</w:t>
      </w:r>
      <w:r w:rsidR="00FE3D6B" w:rsidRPr="008A5AD9">
        <w:rPr>
          <w:rFonts w:ascii="Times New Roman" w:hAnsi="Times New Roman"/>
        </w:rPr>
        <w:t xml:space="preserve"> </w:t>
      </w:r>
      <w:r w:rsidR="000D4167" w:rsidRPr="008A5AD9">
        <w:rPr>
          <w:rFonts w:ascii="Times New Roman" w:hAnsi="Times New Roman"/>
        </w:rPr>
        <w:t>t</w:t>
      </w:r>
      <w:r w:rsidR="006D1C3D" w:rsidRPr="008A5AD9">
        <w:rPr>
          <w:rFonts w:ascii="Times New Roman" w:hAnsi="Times New Roman"/>
        </w:rPr>
        <w:t xml:space="preserve">he two subsidiary </w:t>
      </w:r>
      <w:r w:rsidR="0090454B" w:rsidRPr="008A5AD9">
        <w:rPr>
          <w:rFonts w:ascii="Times New Roman" w:hAnsi="Times New Roman"/>
        </w:rPr>
        <w:t>questions on which the outcome of the posited inquiry</w:t>
      </w:r>
      <w:r w:rsidR="00FE3D6B" w:rsidRPr="008A5AD9">
        <w:rPr>
          <w:rFonts w:ascii="Times New Roman" w:hAnsi="Times New Roman"/>
        </w:rPr>
        <w:t xml:space="preserve"> </w:t>
      </w:r>
      <w:r w:rsidR="0090454B" w:rsidRPr="008A5AD9">
        <w:rPr>
          <w:rFonts w:ascii="Times New Roman" w:hAnsi="Times New Roman"/>
        </w:rPr>
        <w:t xml:space="preserve">turned </w:t>
      </w:r>
      <w:r w:rsidR="006C0F9C" w:rsidRPr="008A5AD9">
        <w:rPr>
          <w:rFonts w:ascii="Times New Roman" w:hAnsi="Times New Roman"/>
        </w:rPr>
        <w:t>as</w:t>
      </w:r>
      <w:r w:rsidR="0090454B" w:rsidRPr="008A5AD9">
        <w:rPr>
          <w:rFonts w:ascii="Times New Roman" w:hAnsi="Times New Roman"/>
        </w:rPr>
        <w:t>: w</w:t>
      </w:r>
      <w:r w:rsidR="004977DC" w:rsidRPr="008A5AD9">
        <w:rPr>
          <w:rFonts w:ascii="Times New Roman" w:hAnsi="Times New Roman"/>
        </w:rPr>
        <w:t>hat was</w:t>
      </w:r>
      <w:r w:rsidR="00884488" w:rsidRPr="008A5AD9">
        <w:rPr>
          <w:rFonts w:ascii="Times New Roman" w:hAnsi="Times New Roman"/>
        </w:rPr>
        <w:t xml:space="preserve"> the </w:t>
      </w:r>
      <w:r w:rsidR="00342963" w:rsidRPr="008A5AD9">
        <w:rPr>
          <w:rFonts w:ascii="Times New Roman" w:hAnsi="Times New Roman"/>
        </w:rPr>
        <w:t>relevant legal right or interest of the State</w:t>
      </w:r>
      <w:r w:rsidR="0090454B" w:rsidRPr="008A5AD9">
        <w:rPr>
          <w:rFonts w:ascii="Times New Roman" w:hAnsi="Times New Roman"/>
        </w:rPr>
        <w:t>; and w</w:t>
      </w:r>
      <w:r w:rsidR="00D012DB" w:rsidRPr="008A5AD9">
        <w:rPr>
          <w:rFonts w:ascii="Times New Roman" w:hAnsi="Times New Roman"/>
        </w:rPr>
        <w:t>ould that</w:t>
      </w:r>
      <w:r w:rsidR="00733FB8" w:rsidRPr="008A5AD9">
        <w:rPr>
          <w:rFonts w:ascii="Times New Roman" w:hAnsi="Times New Roman"/>
        </w:rPr>
        <w:t xml:space="preserve"> right or </w:t>
      </w:r>
      <w:r w:rsidR="00855C25" w:rsidRPr="008A5AD9">
        <w:rPr>
          <w:rFonts w:ascii="Times New Roman" w:hAnsi="Times New Roman"/>
        </w:rPr>
        <w:t>interest</w:t>
      </w:r>
      <w:r w:rsidR="00733FB8" w:rsidRPr="008A5AD9">
        <w:rPr>
          <w:rFonts w:ascii="Times New Roman" w:hAnsi="Times New Roman"/>
        </w:rPr>
        <w:t xml:space="preserve"> </w:t>
      </w:r>
      <w:r w:rsidR="00CF1A30" w:rsidRPr="008A5AD9">
        <w:rPr>
          <w:rFonts w:ascii="Times New Roman" w:hAnsi="Times New Roman"/>
        </w:rPr>
        <w:t>of the State</w:t>
      </w:r>
      <w:r w:rsidR="007E751B" w:rsidRPr="008A5AD9">
        <w:rPr>
          <w:rFonts w:ascii="Times New Roman" w:hAnsi="Times New Roman"/>
        </w:rPr>
        <w:t xml:space="preserve"> be</w:t>
      </w:r>
      <w:r w:rsidR="00CF1A30" w:rsidRPr="008A5AD9">
        <w:rPr>
          <w:rFonts w:ascii="Times New Roman" w:hAnsi="Times New Roman"/>
        </w:rPr>
        <w:t xml:space="preserve"> </w:t>
      </w:r>
      <w:r w:rsidR="00733FB8" w:rsidRPr="008A5AD9">
        <w:rPr>
          <w:rFonts w:ascii="Times New Roman" w:hAnsi="Times New Roman"/>
        </w:rPr>
        <w:t>divested</w:t>
      </w:r>
      <w:r w:rsidR="00907DF4" w:rsidRPr="008A5AD9">
        <w:rPr>
          <w:rFonts w:ascii="Times New Roman" w:hAnsi="Times New Roman"/>
        </w:rPr>
        <w:t xml:space="preserve"> by</w:t>
      </w:r>
      <w:r w:rsidR="00733FB8" w:rsidRPr="008A5AD9">
        <w:rPr>
          <w:rFonts w:ascii="Times New Roman" w:hAnsi="Times New Roman"/>
        </w:rPr>
        <w:t xml:space="preserve"> </w:t>
      </w:r>
      <w:r w:rsidR="00CD6221" w:rsidRPr="008A5AD9">
        <w:rPr>
          <w:rFonts w:ascii="Times New Roman" w:hAnsi="Times New Roman"/>
        </w:rPr>
        <w:t xml:space="preserve">the application of </w:t>
      </w:r>
      <w:r w:rsidR="0016622C" w:rsidRPr="008A5AD9">
        <w:rPr>
          <w:rFonts w:ascii="Times New Roman" w:hAnsi="Times New Roman"/>
        </w:rPr>
        <w:t xml:space="preserve">the </w:t>
      </w:r>
      <w:r w:rsidR="00BA48A7" w:rsidRPr="008A5AD9">
        <w:rPr>
          <w:rFonts w:ascii="Times New Roman" w:hAnsi="Times New Roman"/>
        </w:rPr>
        <w:t>section</w:t>
      </w:r>
      <w:r w:rsidR="00CD6221" w:rsidRPr="008A5AD9">
        <w:rPr>
          <w:rFonts w:ascii="Times New Roman" w:hAnsi="Times New Roman"/>
        </w:rPr>
        <w:t xml:space="preserve"> to the impugned conduct of Port Operations</w:t>
      </w:r>
      <w:r w:rsidR="005E6147" w:rsidRPr="008A5AD9">
        <w:rPr>
          <w:rFonts w:ascii="Times New Roman" w:hAnsi="Times New Roman"/>
        </w:rPr>
        <w:t>?</w:t>
      </w:r>
      <w:r w:rsidR="00CD6221" w:rsidRPr="008A5AD9">
        <w:rPr>
          <w:rStyle w:val="FootnoteReference"/>
          <w:rFonts w:ascii="Times New Roman" w:hAnsi="Times New Roman"/>
          <w:sz w:val="24"/>
        </w:rPr>
        <w:t xml:space="preserve"> </w:t>
      </w:r>
      <w:r w:rsidR="00CD6221" w:rsidRPr="008A5AD9">
        <w:rPr>
          <w:rStyle w:val="FootnoteReference"/>
          <w:rFonts w:ascii="Times New Roman" w:hAnsi="Times New Roman"/>
          <w:sz w:val="24"/>
        </w:rPr>
        <w:footnoteReference w:id="31"/>
      </w:r>
      <w:r w:rsidR="006D6EC0" w:rsidRPr="008A5AD9">
        <w:rPr>
          <w:rFonts w:ascii="Times New Roman" w:hAnsi="Times New Roman"/>
        </w:rPr>
        <w:t xml:space="preserve"> </w:t>
      </w:r>
    </w:p>
    <w:p w14:paraId="1FD94106" w14:textId="7ADBE675" w:rsidR="000C336F" w:rsidRPr="008A5AD9" w:rsidRDefault="004C3262"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B832F5" w:rsidRPr="008A5AD9">
        <w:rPr>
          <w:rFonts w:ascii="Times New Roman" w:hAnsi="Times New Roman"/>
        </w:rPr>
        <w:t xml:space="preserve">In </w:t>
      </w:r>
      <w:r w:rsidR="0088565F" w:rsidRPr="008A5AD9">
        <w:rPr>
          <w:rFonts w:ascii="Times New Roman" w:hAnsi="Times New Roman"/>
        </w:rPr>
        <w:t xml:space="preserve">so </w:t>
      </w:r>
      <w:r w:rsidRPr="008A5AD9">
        <w:rPr>
          <w:rFonts w:ascii="Times New Roman" w:hAnsi="Times New Roman"/>
        </w:rPr>
        <w:t xml:space="preserve">construing </w:t>
      </w:r>
      <w:r w:rsidR="00321678" w:rsidRPr="008A5AD9">
        <w:rPr>
          <w:rFonts w:ascii="Times New Roman" w:hAnsi="Times New Roman"/>
        </w:rPr>
        <w:t xml:space="preserve">Pt IV of </w:t>
      </w:r>
      <w:r w:rsidRPr="008A5AD9">
        <w:rPr>
          <w:rFonts w:ascii="Times New Roman" w:hAnsi="Times New Roman"/>
        </w:rPr>
        <w:t xml:space="preserve">the </w:t>
      </w:r>
      <w:r w:rsidR="006F1D0B" w:rsidRPr="008A5AD9">
        <w:rPr>
          <w:rFonts w:ascii="Times New Roman" w:hAnsi="Times New Roman"/>
        </w:rPr>
        <w:t>CCA</w:t>
      </w:r>
      <w:r w:rsidR="00C71438" w:rsidRPr="008A5AD9">
        <w:rPr>
          <w:rFonts w:ascii="Times New Roman" w:hAnsi="Times New Roman"/>
        </w:rPr>
        <w:t xml:space="preserve">, </w:t>
      </w:r>
      <w:r w:rsidR="006F1D0B" w:rsidRPr="008A5AD9">
        <w:rPr>
          <w:rFonts w:ascii="Times New Roman" w:hAnsi="Times New Roman"/>
        </w:rPr>
        <w:t xml:space="preserve">and </w:t>
      </w:r>
      <w:r w:rsidR="00C71438" w:rsidRPr="008A5AD9">
        <w:rPr>
          <w:rFonts w:ascii="Times New Roman" w:hAnsi="Times New Roman"/>
        </w:rPr>
        <w:t xml:space="preserve">in so </w:t>
      </w:r>
      <w:r w:rsidR="006F1D0B" w:rsidRPr="008A5AD9">
        <w:rPr>
          <w:rFonts w:ascii="Times New Roman" w:hAnsi="Times New Roman"/>
        </w:rPr>
        <w:t xml:space="preserve">framing the </w:t>
      </w:r>
      <w:r w:rsidR="00083C11" w:rsidRPr="008A5AD9">
        <w:rPr>
          <w:rFonts w:ascii="Times New Roman" w:hAnsi="Times New Roman"/>
        </w:rPr>
        <w:t>inquiry required</w:t>
      </w:r>
      <w:r w:rsidR="006F1D0B" w:rsidRPr="008A5AD9">
        <w:rPr>
          <w:rFonts w:ascii="Times New Roman" w:hAnsi="Times New Roman"/>
        </w:rPr>
        <w:t xml:space="preserve"> </w:t>
      </w:r>
      <w:r w:rsidR="00790518" w:rsidRPr="008A5AD9">
        <w:rPr>
          <w:rFonts w:ascii="Times New Roman" w:hAnsi="Times New Roman"/>
        </w:rPr>
        <w:t xml:space="preserve">to determine whether </w:t>
      </w:r>
      <w:r w:rsidR="002904D3" w:rsidRPr="008A5AD9">
        <w:rPr>
          <w:rFonts w:ascii="Times New Roman" w:hAnsi="Times New Roman"/>
        </w:rPr>
        <w:t xml:space="preserve">s 45 (and by parity of reasoning s 45DA) </w:t>
      </w:r>
      <w:r w:rsidR="00422673" w:rsidRPr="008A5AD9">
        <w:rPr>
          <w:rFonts w:ascii="Times New Roman" w:hAnsi="Times New Roman"/>
        </w:rPr>
        <w:t>applied to the impugned conduct of Port Operations</w:t>
      </w:r>
      <w:r w:rsidR="00C94142" w:rsidRPr="008A5AD9">
        <w:rPr>
          <w:rFonts w:ascii="Times New Roman" w:hAnsi="Times New Roman"/>
        </w:rPr>
        <w:t>, Allsop CJ</w:t>
      </w:r>
      <w:r w:rsidR="00B32B8C" w:rsidRPr="008A5AD9">
        <w:rPr>
          <w:rFonts w:ascii="Times New Roman" w:hAnsi="Times New Roman"/>
        </w:rPr>
        <w:t xml:space="preserve"> was in my opinion correct.</w:t>
      </w:r>
    </w:p>
    <w:p w14:paraId="36D8F091" w14:textId="242D054F" w:rsidR="00EF078F" w:rsidRPr="008A5AD9" w:rsidRDefault="00B275F1" w:rsidP="008A5AD9">
      <w:pPr>
        <w:pStyle w:val="HeadingL1"/>
        <w:spacing w:after="260" w:line="280" w:lineRule="exact"/>
        <w:ind w:right="0"/>
        <w:jc w:val="both"/>
        <w:rPr>
          <w:rFonts w:ascii="Times New Roman" w:hAnsi="Times New Roman"/>
        </w:rPr>
      </w:pPr>
      <w:r w:rsidRPr="008A5AD9">
        <w:rPr>
          <w:rFonts w:ascii="Times New Roman" w:hAnsi="Times New Roman"/>
        </w:rPr>
        <w:t>Undertaking t</w:t>
      </w:r>
      <w:r w:rsidR="00CA07B9" w:rsidRPr="008A5AD9">
        <w:rPr>
          <w:rFonts w:ascii="Times New Roman" w:hAnsi="Times New Roman"/>
        </w:rPr>
        <w:t xml:space="preserve">he requisite </w:t>
      </w:r>
      <w:r w:rsidRPr="008A5AD9">
        <w:rPr>
          <w:rFonts w:ascii="Times New Roman" w:hAnsi="Times New Roman"/>
        </w:rPr>
        <w:t xml:space="preserve">statutory </w:t>
      </w:r>
      <w:r w:rsidR="00CA07B9" w:rsidRPr="008A5AD9">
        <w:rPr>
          <w:rFonts w:ascii="Times New Roman" w:hAnsi="Times New Roman"/>
        </w:rPr>
        <w:t>inquiry</w:t>
      </w:r>
    </w:p>
    <w:p w14:paraId="2E3D3E43" w14:textId="07519888" w:rsidR="00845411" w:rsidRPr="008A5AD9" w:rsidRDefault="009907DE" w:rsidP="008A5AD9">
      <w:pPr>
        <w:pStyle w:val="FixListStyle"/>
        <w:spacing w:after="260" w:line="280" w:lineRule="exact"/>
        <w:ind w:right="0"/>
        <w:jc w:val="both"/>
        <w:rPr>
          <w:rFonts w:ascii="Times New Roman" w:hAnsi="Times New Roman"/>
        </w:rPr>
      </w:pPr>
      <w:r w:rsidRPr="008A5AD9">
        <w:rPr>
          <w:rFonts w:ascii="Times New Roman" w:hAnsi="Times New Roman"/>
        </w:rPr>
        <w:tab/>
      </w:r>
      <w:r w:rsidR="00845411" w:rsidRPr="008A5AD9">
        <w:rPr>
          <w:rFonts w:ascii="Times New Roman" w:hAnsi="Times New Roman"/>
        </w:rPr>
        <w:t xml:space="preserve">Having framed the requisite inquiry in </w:t>
      </w:r>
      <w:r w:rsidR="00845411" w:rsidRPr="008A5AD9">
        <w:rPr>
          <w:rFonts w:ascii="Times New Roman" w:hAnsi="Times New Roman"/>
          <w:i/>
          <w:iCs/>
        </w:rPr>
        <w:t>ACCC v NSW</w:t>
      </w:r>
      <w:r w:rsidR="00C540E7" w:rsidRPr="008A5AD9">
        <w:rPr>
          <w:rFonts w:ascii="Times New Roman" w:hAnsi="Times New Roman"/>
          <w:i/>
          <w:iCs/>
        </w:rPr>
        <w:t xml:space="preserve"> Ports</w:t>
      </w:r>
      <w:r w:rsidR="00845411" w:rsidRPr="008A5AD9">
        <w:rPr>
          <w:rFonts w:ascii="Times New Roman" w:hAnsi="Times New Roman"/>
        </w:rPr>
        <w:t>, Allsop CJ turned to the undertaking of that inquiry.</w:t>
      </w:r>
    </w:p>
    <w:p w14:paraId="7E8A550C" w14:textId="30520FCF" w:rsidR="00845411" w:rsidRPr="008A5AD9" w:rsidRDefault="00845411" w:rsidP="008A5AD9">
      <w:pPr>
        <w:pStyle w:val="FixListStyle"/>
        <w:spacing w:after="260" w:line="280" w:lineRule="exact"/>
        <w:ind w:right="0"/>
        <w:jc w:val="both"/>
        <w:rPr>
          <w:rFonts w:ascii="Times New Roman" w:hAnsi="Times New Roman"/>
        </w:rPr>
      </w:pPr>
      <w:r w:rsidRPr="008A5AD9">
        <w:rPr>
          <w:rFonts w:ascii="Times New Roman" w:hAnsi="Times New Roman"/>
        </w:rPr>
        <w:tab/>
        <w:t>His Honour identified</w:t>
      </w:r>
      <w:r w:rsidRPr="008A5AD9" w:rsidDel="00C540E7">
        <w:rPr>
          <w:rFonts w:ascii="Times New Roman" w:hAnsi="Times New Roman"/>
        </w:rPr>
        <w:t xml:space="preserve"> </w:t>
      </w:r>
      <w:r w:rsidRPr="008A5AD9">
        <w:rPr>
          <w:rFonts w:ascii="Times New Roman" w:hAnsi="Times New Roman"/>
        </w:rPr>
        <w:t xml:space="preserve">the relevant legal right or interest of the State </w:t>
      </w:r>
      <w:r w:rsidR="00C540E7" w:rsidRPr="008A5AD9">
        <w:rPr>
          <w:rFonts w:ascii="Times New Roman" w:hAnsi="Times New Roman"/>
        </w:rPr>
        <w:t xml:space="preserve">as </w:t>
      </w:r>
      <w:r w:rsidRPr="008A5AD9">
        <w:rPr>
          <w:rFonts w:ascii="Times New Roman" w:hAnsi="Times New Roman"/>
        </w:rPr>
        <w:t xml:space="preserve">a statutory right conferred on the Treasurer as representative of the State by the </w:t>
      </w:r>
      <w:r w:rsidRPr="008A5AD9">
        <w:rPr>
          <w:rFonts w:ascii="Times New Roman" w:hAnsi="Times New Roman"/>
        </w:rPr>
        <w:lastRenderedPageBreak/>
        <w:t>PAAT Act to "effect" an authorised transaction "as he chose to direct".</w:t>
      </w:r>
      <w:r w:rsidRPr="008A5AD9">
        <w:rPr>
          <w:rStyle w:val="FootnoteReference"/>
          <w:rFonts w:ascii="Times New Roman" w:hAnsi="Times New Roman"/>
          <w:sz w:val="24"/>
        </w:rPr>
        <w:footnoteReference w:id="32"/>
      </w:r>
      <w:r w:rsidRPr="008A5AD9">
        <w:rPr>
          <w:rFonts w:ascii="Times New Roman" w:hAnsi="Times New Roman"/>
        </w:rPr>
        <w:t xml:space="preserve"> His Honour in that respect emphasised the need for the PAAT Act to be construed purposively as a whole by reference to its subject-matter and legislative history</w:t>
      </w:r>
      <w:r w:rsidR="00C540E7" w:rsidRPr="008A5AD9">
        <w:rPr>
          <w:rFonts w:ascii="Times New Roman" w:hAnsi="Times New Roman"/>
        </w:rPr>
        <w:t>,</w:t>
      </w:r>
      <w:r w:rsidRPr="008A5AD9">
        <w:rPr>
          <w:rFonts w:ascii="Times New Roman" w:hAnsi="Times New Roman"/>
        </w:rPr>
        <w:t xml:space="preserve"> and referred compendiously to ss 4, 5, 6, 7, 9, 11, 34, 35 and 36.</w:t>
      </w:r>
      <w:r w:rsidR="00C540E7" w:rsidRPr="008A5AD9">
        <w:rPr>
          <w:rStyle w:val="FootnoteReference"/>
          <w:rFonts w:ascii="Times New Roman" w:hAnsi="Times New Roman"/>
          <w:sz w:val="24"/>
        </w:rPr>
        <w:footnoteReference w:id="33"/>
      </w:r>
      <w:r w:rsidRPr="008A5AD9">
        <w:rPr>
          <w:rFonts w:ascii="Times New Roman" w:hAnsi="Times New Roman"/>
        </w:rPr>
        <w:t xml:space="preserve"> His formulation of the relevant statutory right nevertheless drew on the specific language of s 7 that "[a]n authorised transaction is to be effected as directed by the Treasurer and can be </w:t>
      </w:r>
      <w:r w:rsidR="00ED2EDB" w:rsidRPr="008A5AD9">
        <w:rPr>
          <w:rFonts w:ascii="Times New Roman" w:hAnsi="Times New Roman"/>
        </w:rPr>
        <w:t xml:space="preserve">effected </w:t>
      </w:r>
      <w:r w:rsidRPr="008A5AD9">
        <w:rPr>
          <w:rFonts w:ascii="Times New Roman" w:hAnsi="Times New Roman"/>
        </w:rPr>
        <w:t>in any manner considered appropriate by the Treasurer" and that "[t]here</w:t>
      </w:r>
      <w:r w:rsidR="00ED2EDB" w:rsidRPr="008A5AD9">
        <w:rPr>
          <w:rFonts w:ascii="Times New Roman" w:hAnsi="Times New Roman"/>
        </w:rPr>
        <w:t xml:space="preserve"> are</w:t>
      </w:r>
      <w:r w:rsidRPr="008A5AD9">
        <w:rPr>
          <w:rFonts w:ascii="Times New Roman" w:hAnsi="Times New Roman"/>
        </w:rPr>
        <w:t xml:space="preserve"> no limitations as to the nature of the transactions or arrangements that can be entered into or used for the purposes of an authorised transaction".</w:t>
      </w:r>
    </w:p>
    <w:p w14:paraId="1BED9CDB" w14:textId="4599A83B" w:rsidR="00845411" w:rsidRPr="008A5AD9" w:rsidRDefault="00845411" w:rsidP="008A5AD9">
      <w:pPr>
        <w:pStyle w:val="FixListStyle"/>
        <w:spacing w:after="260" w:line="280" w:lineRule="exact"/>
        <w:ind w:right="0"/>
        <w:jc w:val="both"/>
        <w:rPr>
          <w:rFonts w:ascii="Times New Roman" w:hAnsi="Times New Roman"/>
        </w:rPr>
      </w:pPr>
      <w:r w:rsidRPr="008A5AD9">
        <w:rPr>
          <w:rFonts w:ascii="Times New Roman" w:hAnsi="Times New Roman"/>
        </w:rPr>
        <w:tab/>
        <w:t>The gist of his Honour's reasoning to the conclusion that application of s 45 of the CCA to the impugned conduct of Port Operations would divest the State of the statutory right conferred on the Treasurer as representative of the State by the PAAT Act was contained in the proposition that "</w:t>
      </w:r>
      <w:r w:rsidR="00ED2EDB" w:rsidRPr="008A5AD9">
        <w:rPr>
          <w:rFonts w:ascii="Times New Roman" w:hAnsi="Times New Roman"/>
        </w:rPr>
        <w:t>[</w:t>
      </w:r>
      <w:proofErr w:type="spellStart"/>
      <w:r w:rsidRPr="008A5AD9">
        <w:rPr>
          <w:rFonts w:ascii="Times New Roman" w:hAnsi="Times New Roman"/>
        </w:rPr>
        <w:t>i</w:t>
      </w:r>
      <w:proofErr w:type="spellEnd"/>
      <w:r w:rsidR="00ED2EDB" w:rsidRPr="008A5AD9">
        <w:rPr>
          <w:rFonts w:ascii="Times New Roman" w:hAnsi="Times New Roman"/>
        </w:rPr>
        <w:t>]</w:t>
      </w:r>
      <w:r w:rsidRPr="008A5AD9">
        <w:rPr>
          <w:rFonts w:ascii="Times New Roman" w:hAnsi="Times New Roman"/>
        </w:rPr>
        <w:t>f the legal effect of the transaction was not as [the Treasurer] directed because of the severance and unenforceability of the compensation provisions by way of ss 4L and 45 of the [CCA], there was or would have been a divestiture of that [statutory] right".</w:t>
      </w:r>
      <w:r w:rsidRPr="008A5AD9">
        <w:rPr>
          <w:rStyle w:val="FootnoteReference"/>
          <w:rFonts w:ascii="Times New Roman" w:hAnsi="Times New Roman"/>
          <w:sz w:val="24"/>
        </w:rPr>
        <w:footnoteReference w:id="34"/>
      </w:r>
    </w:p>
    <w:p w14:paraId="05A73BD4" w14:textId="1C3DFBE2" w:rsidR="00845411" w:rsidRPr="008A5AD9" w:rsidRDefault="00845411" w:rsidP="008A5AD9">
      <w:pPr>
        <w:pStyle w:val="FixListStyle"/>
        <w:spacing w:after="260" w:line="280" w:lineRule="exact"/>
        <w:ind w:right="0"/>
        <w:jc w:val="both"/>
        <w:rPr>
          <w:rFonts w:ascii="Times New Roman" w:hAnsi="Times New Roman"/>
        </w:rPr>
      </w:pPr>
      <w:r w:rsidRPr="008A5AD9">
        <w:rPr>
          <w:rFonts w:ascii="Times New Roman" w:hAnsi="Times New Roman"/>
        </w:rPr>
        <w:tab/>
        <w:t xml:space="preserve">The essential difficulty with this reasoning was pointed out by Beach J in dissent in </w:t>
      </w:r>
      <w:r w:rsidRPr="008A5AD9">
        <w:rPr>
          <w:rFonts w:ascii="Times New Roman" w:hAnsi="Times New Roman"/>
          <w:i/>
          <w:iCs/>
        </w:rPr>
        <w:t>ACCC v NSW</w:t>
      </w:r>
      <w:r w:rsidR="00ED2EDB" w:rsidRPr="008A5AD9">
        <w:rPr>
          <w:rFonts w:ascii="Times New Roman" w:hAnsi="Times New Roman"/>
          <w:i/>
          <w:iCs/>
        </w:rPr>
        <w:t xml:space="preserve"> Ports</w:t>
      </w:r>
      <w:r w:rsidRPr="008A5AD9">
        <w:rPr>
          <w:rFonts w:ascii="Times New Roman" w:hAnsi="Times New Roman"/>
        </w:rPr>
        <w:t>.</w:t>
      </w:r>
      <w:r w:rsidRPr="008A5AD9">
        <w:rPr>
          <w:rStyle w:val="FootnoteReference"/>
          <w:rFonts w:ascii="Times New Roman" w:hAnsi="Times New Roman"/>
          <w:sz w:val="24"/>
        </w:rPr>
        <w:footnoteReference w:id="35"/>
      </w:r>
      <w:r w:rsidRPr="008A5AD9">
        <w:rPr>
          <w:rFonts w:ascii="Times New Roman" w:hAnsi="Times New Roman"/>
        </w:rPr>
        <w:t xml:space="preserve"> The difficulty is that such statutory right as </w:t>
      </w:r>
      <w:r w:rsidR="00240FC2" w:rsidRPr="008A5AD9">
        <w:rPr>
          <w:rFonts w:ascii="Times New Roman" w:hAnsi="Times New Roman"/>
        </w:rPr>
        <w:t>might be</w:t>
      </w:r>
      <w:r w:rsidRPr="008A5AD9">
        <w:rPr>
          <w:rFonts w:ascii="Times New Roman" w:hAnsi="Times New Roman"/>
        </w:rPr>
        <w:t xml:space="preserve"> conferred on the Treasurer by the PAAT Act to "effect" an authorised transaction "as he chose to direct" could be divested by the application of s 45 of the CCA to conduct engaged in by Port Operations through the operation of s 4L of the CCA only if that statutory right could extend to dispensing</w:t>
      </w:r>
      <w:r w:rsidR="00D571CE" w:rsidRPr="008A5AD9">
        <w:rPr>
          <w:rFonts w:ascii="Times New Roman" w:hAnsi="Times New Roman"/>
        </w:rPr>
        <w:t xml:space="preserve"> with</w:t>
      </w:r>
      <w:r w:rsidRPr="008A5AD9">
        <w:rPr>
          <w:rFonts w:ascii="Times New Roman" w:hAnsi="Times New Roman"/>
        </w:rPr>
        <w:t xml:space="preserve"> or exempting a non-State party to an authorised transaction from compliance with s</w:t>
      </w:r>
      <w:r w:rsidR="00D23AA0">
        <w:rPr>
          <w:rFonts w:ascii="Times New Roman" w:hAnsi="Times New Roman"/>
        </w:rPr>
        <w:t> </w:t>
      </w:r>
      <w:r w:rsidRPr="008A5AD9">
        <w:rPr>
          <w:rFonts w:ascii="Times New Roman" w:hAnsi="Times New Roman"/>
        </w:rPr>
        <w:t>45 of the CCA. It could not.</w:t>
      </w:r>
    </w:p>
    <w:p w14:paraId="7BAEE551" w14:textId="33E6BB63" w:rsidR="00845411" w:rsidRPr="008A5AD9" w:rsidRDefault="00845411" w:rsidP="008A5AD9">
      <w:pPr>
        <w:pStyle w:val="FixListStyle"/>
        <w:spacing w:after="260" w:line="280" w:lineRule="exact"/>
        <w:ind w:right="0"/>
        <w:jc w:val="both"/>
        <w:rPr>
          <w:rFonts w:ascii="Times New Roman" w:hAnsi="Times New Roman"/>
        </w:rPr>
      </w:pPr>
      <w:r w:rsidRPr="008A5AD9">
        <w:rPr>
          <w:rFonts w:ascii="Times New Roman" w:hAnsi="Times New Roman"/>
        </w:rPr>
        <w:tab/>
        <w:t>Leaving aside the obvious constitutional difficulty of a State law purporting to dispense with or exempt from compliance with a Commonwealth law, the essential difficultly lies in construing s 7 of the PAAT Act (whether alone or in combination with other provisions of the PAAT Act) as conferring any entitlement on the Treasurer to effect an authorised transaction other</w:t>
      </w:r>
      <w:r w:rsidR="00575E1C" w:rsidRPr="008A5AD9">
        <w:rPr>
          <w:rFonts w:ascii="Times New Roman" w:hAnsi="Times New Roman"/>
        </w:rPr>
        <w:t>wise</w:t>
      </w:r>
      <w:r w:rsidRPr="008A5AD9">
        <w:rPr>
          <w:rFonts w:ascii="Times New Roman" w:hAnsi="Times New Roman"/>
        </w:rPr>
        <w:t xml:space="preserve"> than on terms to which a non-State party to the transaction agrees. Whether a non-State party to an authorised transaction is lawfully able to agree or give effect to a term of an authorised transaction considered appropriate by the Treasurer lies beyond the scope of the section.</w:t>
      </w:r>
    </w:p>
    <w:p w14:paraId="7FA04231" w14:textId="5CF0CFEF" w:rsidR="00845411" w:rsidRPr="008A5AD9" w:rsidRDefault="00845411" w:rsidP="008A5AD9">
      <w:pPr>
        <w:pStyle w:val="FixListStyle"/>
        <w:spacing w:after="260" w:line="280" w:lineRule="exact"/>
        <w:ind w:right="0"/>
        <w:jc w:val="both"/>
        <w:rPr>
          <w:rFonts w:ascii="Times New Roman" w:hAnsi="Times New Roman"/>
        </w:rPr>
      </w:pPr>
      <w:r w:rsidRPr="008A5AD9">
        <w:rPr>
          <w:rFonts w:ascii="Times New Roman" w:hAnsi="Times New Roman"/>
        </w:rPr>
        <w:lastRenderedPageBreak/>
        <w:tab/>
        <w:t>This limitation on the scope of the statutory right conferred on the Treasurer as representative of the State by the PAAT Act reflects the incapacity of an executive government of an Australian body politic by contract or otherwise to dispense with compliance with the law, which is a "general constitutional principle"</w:t>
      </w:r>
      <w:r w:rsidRPr="008A5AD9">
        <w:rPr>
          <w:rStyle w:val="FootnoteReference"/>
          <w:rFonts w:ascii="Times New Roman" w:hAnsi="Times New Roman"/>
          <w:sz w:val="24"/>
        </w:rPr>
        <w:footnoteReference w:id="36"/>
      </w:r>
      <w:r w:rsidRPr="008A5AD9">
        <w:rPr>
          <w:rFonts w:ascii="Times New Roman" w:hAnsi="Times New Roman"/>
        </w:rPr>
        <w:t xml:space="preserve"> </w:t>
      </w:r>
      <w:r w:rsidR="00ED2EDB" w:rsidRPr="008A5AD9">
        <w:rPr>
          <w:rFonts w:ascii="Times New Roman" w:hAnsi="Times New Roman"/>
        </w:rPr>
        <w:t xml:space="preserve">that is </w:t>
      </w:r>
      <w:r w:rsidRPr="008A5AD9">
        <w:rPr>
          <w:rFonts w:ascii="Times New Roman" w:hAnsi="Times New Roman"/>
        </w:rPr>
        <w:t>"fundamental to our law"</w:t>
      </w:r>
      <w:r w:rsidRPr="008A5AD9">
        <w:rPr>
          <w:rStyle w:val="FootnoteReference"/>
          <w:rFonts w:ascii="Times New Roman" w:hAnsi="Times New Roman"/>
          <w:sz w:val="24"/>
        </w:rPr>
        <w:footnoteReference w:id="37"/>
      </w:r>
      <w:r w:rsidRPr="008A5AD9">
        <w:rPr>
          <w:rFonts w:ascii="Times New Roman" w:hAnsi="Times New Roman"/>
        </w:rPr>
        <w:t xml:space="preserve"> and which is therefore not to be taken to be departed from by statute in the absence of a "clear expression of an unmistakable and unambiguous [legislative] intention".</w:t>
      </w:r>
      <w:r w:rsidRPr="008A5AD9">
        <w:rPr>
          <w:rStyle w:val="FootnoteReference"/>
          <w:rFonts w:ascii="Times New Roman" w:hAnsi="Times New Roman"/>
          <w:sz w:val="24"/>
        </w:rPr>
        <w:footnoteReference w:id="38"/>
      </w:r>
      <w:r w:rsidRPr="008A5AD9">
        <w:rPr>
          <w:rFonts w:ascii="Times New Roman" w:hAnsi="Times New Roman"/>
        </w:rPr>
        <w:t xml:space="preserve"> Not only is a clear expression of an unmistakable and unambiguous legislative intention to exempt a non-State party to an authorised transaction from compliance with the general law which governs the conduct of that party absent from the PAAT Act, but s 25(2) of the PAAT Act indicates a legislative intention for the relationship </w:t>
      </w:r>
      <w:r w:rsidR="00ED2EDB" w:rsidRPr="008A5AD9">
        <w:rPr>
          <w:rFonts w:ascii="Times New Roman" w:hAnsi="Times New Roman"/>
        </w:rPr>
        <w:t xml:space="preserve">between the PAAT Act </w:t>
      </w:r>
      <w:r w:rsidRPr="008A5AD9">
        <w:rPr>
          <w:rFonts w:ascii="Times New Roman" w:hAnsi="Times New Roman"/>
        </w:rPr>
        <w:t xml:space="preserve">and other State legislation of general application to be determined by regulations made under s 39 of the PAAT Act. </w:t>
      </w:r>
    </w:p>
    <w:p w14:paraId="4218560D" w14:textId="197E3494" w:rsidR="00845411" w:rsidRPr="008A5AD9" w:rsidRDefault="00845411" w:rsidP="008A5AD9">
      <w:pPr>
        <w:pStyle w:val="FixListStyle"/>
        <w:spacing w:after="260" w:line="280" w:lineRule="exact"/>
        <w:ind w:right="0"/>
        <w:jc w:val="both"/>
        <w:rPr>
          <w:rFonts w:ascii="Times New Roman" w:hAnsi="Times New Roman"/>
        </w:rPr>
      </w:pPr>
      <w:r w:rsidRPr="008A5AD9">
        <w:rPr>
          <w:rFonts w:ascii="Times New Roman" w:hAnsi="Times New Roman"/>
        </w:rPr>
        <w:tab/>
        <w:t xml:space="preserve">To the </w:t>
      </w:r>
      <w:r w:rsidR="001330DB" w:rsidRPr="008A5AD9">
        <w:rPr>
          <w:rFonts w:ascii="Times New Roman" w:hAnsi="Times New Roman"/>
        </w:rPr>
        <w:t>inquiry</w:t>
      </w:r>
      <w:r w:rsidRPr="008A5AD9">
        <w:rPr>
          <w:rFonts w:ascii="Times New Roman" w:hAnsi="Times New Roman"/>
        </w:rPr>
        <w:t xml:space="preserve"> correctly </w:t>
      </w:r>
      <w:r w:rsidR="001330DB" w:rsidRPr="008A5AD9">
        <w:rPr>
          <w:rFonts w:ascii="Times New Roman" w:hAnsi="Times New Roman"/>
        </w:rPr>
        <w:t>posited</w:t>
      </w:r>
      <w:r w:rsidRPr="008A5AD9">
        <w:rPr>
          <w:rFonts w:ascii="Times New Roman" w:hAnsi="Times New Roman"/>
        </w:rPr>
        <w:t xml:space="preserve">, as to whether </w:t>
      </w:r>
      <w:r w:rsidR="00ED2EDB" w:rsidRPr="008A5AD9">
        <w:rPr>
          <w:rFonts w:ascii="Times New Roman" w:hAnsi="Times New Roman"/>
        </w:rPr>
        <w:t xml:space="preserve">the </w:t>
      </w:r>
      <w:r w:rsidRPr="008A5AD9">
        <w:rPr>
          <w:rFonts w:ascii="Times New Roman" w:hAnsi="Times New Roman"/>
        </w:rPr>
        <w:t>application of s 45 or s</w:t>
      </w:r>
      <w:r w:rsidR="00D23AA0">
        <w:rPr>
          <w:rFonts w:ascii="Times New Roman" w:hAnsi="Times New Roman"/>
        </w:rPr>
        <w:t> </w:t>
      </w:r>
      <w:r w:rsidRPr="008A5AD9">
        <w:rPr>
          <w:rFonts w:ascii="Times New Roman" w:hAnsi="Times New Roman"/>
        </w:rPr>
        <w:t xml:space="preserve">45DA </w:t>
      </w:r>
      <w:r w:rsidR="00ED2EDB" w:rsidRPr="008A5AD9">
        <w:rPr>
          <w:rFonts w:ascii="Times New Roman" w:hAnsi="Times New Roman"/>
        </w:rPr>
        <w:t xml:space="preserve">to </w:t>
      </w:r>
      <w:r w:rsidRPr="008A5AD9">
        <w:rPr>
          <w:rFonts w:ascii="Times New Roman" w:hAnsi="Times New Roman"/>
        </w:rPr>
        <w:t xml:space="preserve">conduct engaged in by Port Operations for the purpose of entering into and giving effect to authorised transactions under the PAAT Act would result in divestiture of a legal right or interest of the State, the </w:t>
      </w:r>
      <w:r w:rsidR="0042576B" w:rsidRPr="008A5AD9">
        <w:rPr>
          <w:rFonts w:ascii="Times New Roman" w:hAnsi="Times New Roman"/>
        </w:rPr>
        <w:t xml:space="preserve">correct </w:t>
      </w:r>
      <w:r w:rsidRPr="008A5AD9">
        <w:rPr>
          <w:rFonts w:ascii="Times New Roman" w:hAnsi="Times New Roman"/>
        </w:rPr>
        <w:t xml:space="preserve">answer is </w:t>
      </w:r>
      <w:r w:rsidR="00C562DB" w:rsidRPr="008A5AD9">
        <w:rPr>
          <w:rFonts w:ascii="Times New Roman" w:hAnsi="Times New Roman"/>
        </w:rPr>
        <w:t>that it would not</w:t>
      </w:r>
      <w:r w:rsidRPr="008A5AD9">
        <w:rPr>
          <w:rFonts w:ascii="Times New Roman" w:hAnsi="Times New Roman"/>
        </w:rPr>
        <w:t>.</w:t>
      </w:r>
    </w:p>
    <w:p w14:paraId="0F350CA9" w14:textId="6D99A53E" w:rsidR="00845411" w:rsidRPr="008A5AD9" w:rsidRDefault="00845411" w:rsidP="008A5AD9">
      <w:pPr>
        <w:pStyle w:val="HeadingL1"/>
        <w:spacing w:after="260" w:line="280" w:lineRule="exact"/>
        <w:ind w:right="0"/>
        <w:jc w:val="both"/>
        <w:rPr>
          <w:rFonts w:ascii="Times New Roman" w:hAnsi="Times New Roman"/>
          <w:b w:val="0"/>
          <w:bCs/>
        </w:rPr>
      </w:pPr>
      <w:r w:rsidRPr="008A5AD9">
        <w:rPr>
          <w:rFonts w:ascii="Times New Roman" w:hAnsi="Times New Roman"/>
        </w:rPr>
        <w:t>Disposition</w:t>
      </w:r>
    </w:p>
    <w:p w14:paraId="129835E0" w14:textId="77777777" w:rsidR="0023595F" w:rsidRDefault="00845411" w:rsidP="008A5AD9">
      <w:pPr>
        <w:pStyle w:val="FixListStyle"/>
        <w:spacing w:after="260" w:line="280" w:lineRule="exact"/>
        <w:ind w:right="0"/>
        <w:jc w:val="both"/>
        <w:rPr>
          <w:rFonts w:ascii="Times New Roman" w:hAnsi="Times New Roman"/>
        </w:rPr>
      </w:pPr>
      <w:r w:rsidRPr="008A5AD9">
        <w:rPr>
          <w:rFonts w:ascii="Times New Roman" w:hAnsi="Times New Roman"/>
        </w:rPr>
        <w:tab/>
        <w:t>I agree with the orders proposed by Gordon</w:t>
      </w:r>
      <w:r w:rsidR="009B203F" w:rsidRPr="008A5AD9">
        <w:rPr>
          <w:rFonts w:ascii="Times New Roman" w:hAnsi="Times New Roman"/>
        </w:rPr>
        <w:t>,</w:t>
      </w:r>
      <w:r w:rsidRPr="008A5AD9" w:rsidDel="009B203F">
        <w:rPr>
          <w:rFonts w:ascii="Times New Roman" w:hAnsi="Times New Roman"/>
        </w:rPr>
        <w:t xml:space="preserve"> </w:t>
      </w:r>
      <w:r w:rsidRPr="008A5AD9">
        <w:rPr>
          <w:rFonts w:ascii="Times New Roman" w:hAnsi="Times New Roman"/>
        </w:rPr>
        <w:t xml:space="preserve">Gleeson </w:t>
      </w:r>
      <w:r w:rsidR="009B203F" w:rsidRPr="008A5AD9">
        <w:rPr>
          <w:rFonts w:ascii="Times New Roman" w:hAnsi="Times New Roman"/>
        </w:rPr>
        <w:t xml:space="preserve">and Beech-Jones </w:t>
      </w:r>
      <w:r w:rsidRPr="008A5AD9">
        <w:rPr>
          <w:rFonts w:ascii="Times New Roman" w:hAnsi="Times New Roman"/>
        </w:rPr>
        <w:t>JJ.</w:t>
      </w:r>
    </w:p>
    <w:p w14:paraId="74579A27" w14:textId="77777777" w:rsidR="0023595F" w:rsidRDefault="0023595F" w:rsidP="008A5AD9">
      <w:pPr>
        <w:pStyle w:val="FixListStyle"/>
        <w:spacing w:after="260" w:line="280" w:lineRule="exact"/>
        <w:ind w:right="0"/>
        <w:jc w:val="both"/>
        <w:rPr>
          <w:rFonts w:ascii="Times New Roman" w:hAnsi="Times New Roman"/>
        </w:rPr>
        <w:sectPr w:rsidR="0023595F" w:rsidSect="00D02F09">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4FA03113" w14:textId="77777777" w:rsidR="0023595F" w:rsidRPr="00516377" w:rsidRDefault="0023595F" w:rsidP="0023595F">
      <w:pPr>
        <w:pStyle w:val="FixListStyle"/>
        <w:tabs>
          <w:tab w:val="clear" w:pos="720"/>
          <w:tab w:val="left" w:pos="0"/>
        </w:tabs>
        <w:spacing w:after="260" w:line="280" w:lineRule="exact"/>
        <w:ind w:right="0"/>
        <w:jc w:val="both"/>
        <w:rPr>
          <w:rFonts w:ascii="Times New Roman" w:hAnsi="Times New Roman"/>
        </w:rPr>
      </w:pPr>
      <w:r w:rsidRPr="00516377">
        <w:rPr>
          <w:rFonts w:ascii="Times New Roman" w:hAnsi="Times New Roman"/>
        </w:rPr>
        <w:lastRenderedPageBreak/>
        <w:t>GORDON, GLEESON AND BEECH-JONES JJ.   The appellant ("Mayfield") says that it lost the opportunity to develop land at the Port of Newcastle ("the</w:t>
      </w:r>
      <w:r>
        <w:rPr>
          <w:rFonts w:ascii="Times New Roman" w:hAnsi="Times New Roman"/>
        </w:rPr>
        <w:t> </w:t>
      </w:r>
      <w:r w:rsidRPr="00516377">
        <w:rPr>
          <w:rFonts w:ascii="Times New Roman" w:hAnsi="Times New Roman"/>
        </w:rPr>
        <w:t>Mayfield Site") for use as a container facility because, in 2013, the State of New South Wales ("the State"), the fourth respondent, in privatising Port Botany and Port Kembla, agreed to Port Commitment Deeds ("PCDs") with the first to third respondents ("NSW Ports").</w:t>
      </w:r>
      <w:r w:rsidRPr="00516377">
        <w:rPr>
          <w:rStyle w:val="FootnoteReference"/>
          <w:rFonts w:ascii="Times New Roman" w:hAnsi="Times New Roman"/>
          <w:sz w:val="24"/>
        </w:rPr>
        <w:footnoteReference w:id="39"/>
      </w:r>
      <w:r w:rsidRPr="00516377">
        <w:rPr>
          <w:rFonts w:ascii="Times New Roman" w:hAnsi="Times New Roman"/>
        </w:rPr>
        <w:t xml:space="preserve"> Clause 3 of the PCDs included terms that would require the State to pay compensation to NSW Ports if, in two consecutive financial years, Port Botany or Port Kembla were not at full capacity for the import and export of containers, and container volumes beyond a defined threshold were diverted from Port Botany or Port Kembla to the Port of Newcastle ("the compensation provisions").  </w:t>
      </w:r>
    </w:p>
    <w:p w14:paraId="4F8796BE"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In this proceeding, Mayfield claimed (collectively, "the Mayfield Claims") that:</w:t>
      </w:r>
    </w:p>
    <w:p w14:paraId="1FAEE5FF" w14:textId="77777777" w:rsidR="0023595F" w:rsidRPr="00516377" w:rsidRDefault="0023595F" w:rsidP="00516377">
      <w:pPr>
        <w:pStyle w:val="NormalBody"/>
        <w:spacing w:after="260" w:line="280" w:lineRule="exact"/>
        <w:ind w:left="720" w:right="0" w:hanging="720"/>
        <w:jc w:val="both"/>
        <w:rPr>
          <w:rFonts w:ascii="Times New Roman" w:hAnsi="Times New Roman"/>
        </w:rPr>
      </w:pPr>
      <w:r w:rsidRPr="00516377">
        <w:rPr>
          <w:rFonts w:ascii="Times New Roman" w:hAnsi="Times New Roman"/>
        </w:rPr>
        <w:t>(1)</w:t>
      </w:r>
      <w:r w:rsidRPr="00516377">
        <w:rPr>
          <w:rFonts w:ascii="Times New Roman" w:hAnsi="Times New Roman"/>
        </w:rPr>
        <w:tab/>
        <w:t xml:space="preserve">NSW Ports breached s 45(2)(a)(ii) of the </w:t>
      </w:r>
      <w:r w:rsidRPr="00516377">
        <w:rPr>
          <w:rFonts w:ascii="Times New Roman" w:hAnsi="Times New Roman"/>
          <w:i/>
          <w:iCs/>
        </w:rPr>
        <w:t>Competition and Consumer Act 2010</w:t>
      </w:r>
      <w:r w:rsidRPr="00516377">
        <w:rPr>
          <w:rFonts w:ascii="Times New Roman" w:hAnsi="Times New Roman"/>
        </w:rPr>
        <w:t xml:space="preserve"> (</w:t>
      </w:r>
      <w:proofErr w:type="spellStart"/>
      <w:r w:rsidRPr="00516377">
        <w:rPr>
          <w:rFonts w:ascii="Times New Roman" w:hAnsi="Times New Roman"/>
        </w:rPr>
        <w:t>Cth</w:t>
      </w:r>
      <w:proofErr w:type="spellEnd"/>
      <w:r w:rsidRPr="00516377">
        <w:rPr>
          <w:rFonts w:ascii="Times New Roman" w:hAnsi="Times New Roman"/>
        </w:rPr>
        <w:t xml:space="preserve">) ("the CCA") by </w:t>
      </w:r>
      <w:proofErr w:type="gramStart"/>
      <w:r w:rsidRPr="00516377">
        <w:rPr>
          <w:rFonts w:ascii="Times New Roman" w:hAnsi="Times New Roman"/>
        </w:rPr>
        <w:t>entering into</w:t>
      </w:r>
      <w:proofErr w:type="gramEnd"/>
      <w:r w:rsidRPr="00516377">
        <w:rPr>
          <w:rFonts w:ascii="Times New Roman" w:hAnsi="Times New Roman"/>
        </w:rPr>
        <w:t xml:space="preserve"> the PCDs containing the</w:t>
      </w:r>
      <w:r>
        <w:rPr>
          <w:rFonts w:ascii="Times New Roman" w:hAnsi="Times New Roman"/>
        </w:rPr>
        <w:t> </w:t>
      </w:r>
      <w:r w:rsidRPr="00516377">
        <w:rPr>
          <w:rFonts w:ascii="Times New Roman" w:hAnsi="Times New Roman"/>
        </w:rPr>
        <w:t>compensation provisions</w:t>
      </w:r>
      <w:r w:rsidRPr="00516377" w:rsidDel="0099644B">
        <w:rPr>
          <w:rFonts w:ascii="Times New Roman" w:hAnsi="Times New Roman"/>
        </w:rPr>
        <w:t>,</w:t>
      </w:r>
      <w:r w:rsidRPr="00516377" w:rsidDel="0028089D">
        <w:rPr>
          <w:rFonts w:ascii="Times New Roman" w:hAnsi="Times New Roman"/>
        </w:rPr>
        <w:t xml:space="preserve"> </w:t>
      </w:r>
      <w:r w:rsidRPr="00516377">
        <w:rPr>
          <w:rFonts w:ascii="Times New Roman" w:hAnsi="Times New Roman"/>
        </w:rPr>
        <w:t xml:space="preserve">which had the purpose or likely effect of substantially lessening competition in the market for the supply of port services for container cargo in the </w:t>
      </w:r>
      <w:proofErr w:type="gramStart"/>
      <w:r w:rsidRPr="00516377">
        <w:rPr>
          <w:rFonts w:ascii="Times New Roman" w:hAnsi="Times New Roman"/>
        </w:rPr>
        <w:t>State;</w:t>
      </w:r>
      <w:proofErr w:type="gramEnd"/>
      <w:r w:rsidRPr="00516377">
        <w:rPr>
          <w:rFonts w:ascii="Times New Roman" w:hAnsi="Times New Roman"/>
        </w:rPr>
        <w:t xml:space="preserve"> </w:t>
      </w:r>
    </w:p>
    <w:p w14:paraId="13BA1B7D" w14:textId="77777777" w:rsidR="0023595F" w:rsidRPr="00516377" w:rsidRDefault="0023595F" w:rsidP="00516377">
      <w:pPr>
        <w:pStyle w:val="NormalBody"/>
        <w:spacing w:after="260" w:line="280" w:lineRule="exact"/>
        <w:ind w:left="720" w:right="0" w:hanging="720"/>
        <w:jc w:val="both"/>
        <w:rPr>
          <w:rFonts w:ascii="Times New Roman" w:hAnsi="Times New Roman"/>
        </w:rPr>
      </w:pPr>
      <w:r w:rsidRPr="00516377">
        <w:rPr>
          <w:rFonts w:ascii="Times New Roman" w:hAnsi="Times New Roman"/>
        </w:rPr>
        <w:t>(2)</w:t>
      </w:r>
      <w:r w:rsidRPr="00516377">
        <w:rPr>
          <w:rFonts w:ascii="Times New Roman" w:hAnsi="Times New Roman"/>
        </w:rPr>
        <w:tab/>
        <w:t>NSW Ports also breached ss 45(2)(a)(ii) and 45(2)(b)(ii) by reaching and being involved in the State's giving effect to a provision of an understanding with the State that the operator of the Port of Newcastle would indemnify the State for any payments made under the compensation provisions; and</w:t>
      </w:r>
    </w:p>
    <w:p w14:paraId="65BD588F" w14:textId="77777777" w:rsidR="0023595F" w:rsidRPr="00516377" w:rsidRDefault="0023595F" w:rsidP="00516377">
      <w:pPr>
        <w:pStyle w:val="NormalBody"/>
        <w:spacing w:after="260" w:line="280" w:lineRule="exact"/>
        <w:ind w:left="720" w:right="0" w:hanging="720"/>
        <w:jc w:val="both"/>
        <w:rPr>
          <w:rFonts w:ascii="Times New Roman" w:hAnsi="Times New Roman"/>
        </w:rPr>
      </w:pPr>
      <w:r w:rsidRPr="00516377">
        <w:rPr>
          <w:rFonts w:ascii="Times New Roman" w:hAnsi="Times New Roman"/>
        </w:rPr>
        <w:t>(3)</w:t>
      </w:r>
      <w:r w:rsidRPr="00516377">
        <w:rPr>
          <w:rFonts w:ascii="Times New Roman" w:hAnsi="Times New Roman"/>
        </w:rPr>
        <w:tab/>
        <w:t>NSW Ports acted in concert with the State in contravention of s 45</w:t>
      </w:r>
      <w:proofErr w:type="gramStart"/>
      <w:r w:rsidRPr="00516377">
        <w:rPr>
          <w:rFonts w:ascii="Times New Roman" w:hAnsi="Times New Roman"/>
        </w:rPr>
        <w:t>DA(</w:t>
      </w:r>
      <w:proofErr w:type="gramEnd"/>
      <w:r w:rsidRPr="00516377">
        <w:rPr>
          <w:rFonts w:ascii="Times New Roman" w:hAnsi="Times New Roman"/>
        </w:rPr>
        <w:t>1) of the CCA by executing the PCDs and arriving at the understanding, which</w:t>
      </w:r>
      <w:r>
        <w:rPr>
          <w:rFonts w:ascii="Times New Roman" w:hAnsi="Times New Roman"/>
        </w:rPr>
        <w:t> </w:t>
      </w:r>
      <w:r w:rsidRPr="00516377">
        <w:rPr>
          <w:rFonts w:ascii="Times New Roman" w:hAnsi="Times New Roman"/>
        </w:rPr>
        <w:t>hindered or prevented Mayfield from supplying container port services at the Port of Newcastle and thereby caused substantial damage to Mayfield's business.</w:t>
      </w:r>
    </w:p>
    <w:p w14:paraId="2BFB5119"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In an earlier proceeding, the Australian Competition and Consumer Commission ("the ACCC") had brought a similar claim against NSW Ports, which</w:t>
      </w:r>
      <w:r>
        <w:rPr>
          <w:rFonts w:ascii="Times New Roman" w:hAnsi="Times New Roman"/>
        </w:rPr>
        <w:t> </w:t>
      </w:r>
      <w:r w:rsidRPr="00516377">
        <w:rPr>
          <w:rFonts w:ascii="Times New Roman" w:hAnsi="Times New Roman"/>
        </w:rPr>
        <w:t>was confined to an alleged contravention of ss 45(2)(a)(ii) and 45(2)(b) by reason of its entry into and giving effect to the PCDs ("the ACCC Proceeding").</w:t>
      </w:r>
      <w:r w:rsidRPr="00516377">
        <w:rPr>
          <w:rStyle w:val="FootnoteReference"/>
          <w:rFonts w:ascii="Times New Roman" w:hAnsi="Times New Roman"/>
          <w:sz w:val="24"/>
        </w:rPr>
        <w:footnoteReference w:id="40"/>
      </w:r>
      <w:r w:rsidRPr="00516377">
        <w:rPr>
          <w:rFonts w:ascii="Times New Roman" w:hAnsi="Times New Roman"/>
        </w:rPr>
        <w:t xml:space="preserve"> That claim failed in the Federal Court of Australia at first instance and on appeal </w:t>
      </w:r>
      <w:r w:rsidRPr="00516377">
        <w:rPr>
          <w:rFonts w:ascii="Times New Roman" w:hAnsi="Times New Roman"/>
        </w:rPr>
        <w:lastRenderedPageBreak/>
        <w:t>for reasons that included a determination that, on the proper construction of the</w:t>
      </w:r>
      <w:r>
        <w:rPr>
          <w:rFonts w:ascii="Times New Roman" w:hAnsi="Times New Roman"/>
        </w:rPr>
        <w:t> </w:t>
      </w:r>
      <w:r w:rsidRPr="00516377">
        <w:rPr>
          <w:rFonts w:ascii="Times New Roman" w:hAnsi="Times New Roman"/>
        </w:rPr>
        <w:t>CCA, by reason of derivative Crown immunity, s 45 of the CCA did not apply to the conduct of NSW Ports in respect of its entry into the PCDs.</w:t>
      </w:r>
      <w:r w:rsidRPr="00516377">
        <w:rPr>
          <w:rStyle w:val="FootnoteReference"/>
          <w:rFonts w:ascii="Times New Roman" w:hAnsi="Times New Roman"/>
          <w:sz w:val="24"/>
        </w:rPr>
        <w:footnoteReference w:id="41"/>
      </w:r>
      <w:r w:rsidRPr="00516377">
        <w:rPr>
          <w:rFonts w:ascii="Times New Roman" w:hAnsi="Times New Roman"/>
        </w:rPr>
        <w:t xml:space="preserve"> Mayfield was given leave to intervene in the appeal in the ACCC Proceeding ("the ACCC Appeal").</w:t>
      </w:r>
      <w:r w:rsidRPr="00516377">
        <w:rPr>
          <w:rStyle w:val="FootnoteReference"/>
          <w:rFonts w:ascii="Times New Roman" w:hAnsi="Times New Roman"/>
          <w:sz w:val="24"/>
        </w:rPr>
        <w:footnoteReference w:id="42"/>
      </w:r>
      <w:r w:rsidRPr="00516377">
        <w:rPr>
          <w:rFonts w:ascii="Times New Roman" w:hAnsi="Times New Roman"/>
        </w:rPr>
        <w:t xml:space="preserve"> Mayfield filed written submissions but did not otherwise participate in the ACCC Appeal. </w:t>
      </w:r>
    </w:p>
    <w:p w14:paraId="6362FC2E"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In this proceeding, in addition to denying the alleged contraventions of the</w:t>
      </w:r>
      <w:r>
        <w:rPr>
          <w:rFonts w:ascii="Times New Roman" w:hAnsi="Times New Roman"/>
        </w:rPr>
        <w:t> </w:t>
      </w:r>
      <w:r w:rsidRPr="00516377">
        <w:rPr>
          <w:rFonts w:ascii="Times New Roman" w:hAnsi="Times New Roman"/>
        </w:rPr>
        <w:t xml:space="preserve">CCA, NSW Ports and the State again advanced derivative Crown immunity in answer to the Mayfield Claims. NSW Ports and the State also alleged that the issue of derivative Crown immunity did not need to be determined because (1) </w:t>
      </w:r>
      <w:r w:rsidRPr="00516377" w:rsidDel="002108B8">
        <w:rPr>
          <w:rFonts w:ascii="Times New Roman" w:hAnsi="Times New Roman"/>
        </w:rPr>
        <w:t>a</w:t>
      </w:r>
      <w:r w:rsidRPr="00516377">
        <w:rPr>
          <w:rFonts w:ascii="Times New Roman" w:hAnsi="Times New Roman"/>
        </w:rPr>
        <w:t xml:space="preserve"> deed of release between, relevantly, Mayfield and the State ("the Deed of Release") bars</w:t>
      </w:r>
      <w:r>
        <w:rPr>
          <w:rFonts w:ascii="Times New Roman" w:hAnsi="Times New Roman"/>
        </w:rPr>
        <w:t> </w:t>
      </w:r>
      <w:r w:rsidRPr="00516377">
        <w:rPr>
          <w:rFonts w:ascii="Times New Roman" w:hAnsi="Times New Roman"/>
        </w:rPr>
        <w:t>Mayfield from bringing the proceeding; (2) alternatively, Mayfield is estopped from bringing the proceeding because of its active participation as an</w:t>
      </w:r>
      <w:r>
        <w:rPr>
          <w:rFonts w:ascii="Times New Roman" w:hAnsi="Times New Roman"/>
        </w:rPr>
        <w:t> </w:t>
      </w:r>
      <w:r w:rsidRPr="00516377">
        <w:rPr>
          <w:rFonts w:ascii="Times New Roman" w:hAnsi="Times New Roman"/>
        </w:rPr>
        <w:t>intervener in the ACCC Proceeding brought against NSW Ports in respect of the same issues; and (3) alternatively, and for broadly similar reasons, this</w:t>
      </w:r>
      <w:r>
        <w:rPr>
          <w:rFonts w:ascii="Times New Roman" w:hAnsi="Times New Roman"/>
        </w:rPr>
        <w:t> </w:t>
      </w:r>
      <w:r w:rsidRPr="00516377">
        <w:rPr>
          <w:rFonts w:ascii="Times New Roman" w:hAnsi="Times New Roman"/>
        </w:rPr>
        <w:t>proceeding is an abuse of process. The State was joined as a party to</w:t>
      </w:r>
      <w:r w:rsidRPr="00516377" w:rsidDel="00A31729">
        <w:rPr>
          <w:rFonts w:ascii="Times New Roman" w:hAnsi="Times New Roman"/>
        </w:rPr>
        <w:t xml:space="preserve"> </w:t>
      </w:r>
      <w:r w:rsidRPr="00516377">
        <w:rPr>
          <w:rFonts w:ascii="Times New Roman" w:hAnsi="Times New Roman"/>
        </w:rPr>
        <w:t>this proceeding on the basis that the success of the Mayfield Claims would mean that relevant parts of the PCDs would be severed by s 4L of the CCA.</w:t>
      </w:r>
    </w:p>
    <w:p w14:paraId="67715137"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Three separate questions were stated for determination in this proceeding, namely:</w:t>
      </w:r>
    </w:p>
    <w:p w14:paraId="0145A963" w14:textId="77777777" w:rsidR="0023595F" w:rsidRPr="00516377" w:rsidRDefault="0023595F" w:rsidP="00516377">
      <w:pPr>
        <w:pStyle w:val="leftright"/>
        <w:spacing w:before="0" w:after="260" w:line="280" w:lineRule="exact"/>
        <w:ind w:left="1440" w:right="0" w:hanging="720"/>
        <w:jc w:val="both"/>
        <w:rPr>
          <w:rFonts w:ascii="Times New Roman" w:hAnsi="Times New Roman"/>
        </w:rPr>
      </w:pPr>
      <w:r w:rsidRPr="00516377">
        <w:rPr>
          <w:rFonts w:ascii="Times New Roman" w:hAnsi="Times New Roman"/>
        </w:rPr>
        <w:t>"(a)</w:t>
      </w:r>
      <w:r w:rsidRPr="00516377">
        <w:rPr>
          <w:rFonts w:ascii="Times New Roman" w:hAnsi="Times New Roman"/>
        </w:rPr>
        <w:tab/>
        <w:t>By reason of [Mayfield's] intervention in [the ACCC Appeal], is</w:t>
      </w:r>
      <w:r>
        <w:rPr>
          <w:rFonts w:ascii="Times New Roman" w:hAnsi="Times New Roman"/>
        </w:rPr>
        <w:t> </w:t>
      </w:r>
      <w:r w:rsidRPr="00516377">
        <w:rPr>
          <w:rFonts w:ascii="Times New Roman" w:hAnsi="Times New Roman"/>
        </w:rPr>
        <w:t xml:space="preserve">[Mayfield] precluded (by principles of </w:t>
      </w:r>
      <w:r w:rsidRPr="00516377">
        <w:rPr>
          <w:rFonts w:ascii="Times New Roman" w:hAnsi="Times New Roman"/>
          <w:i/>
          <w:iCs/>
        </w:rPr>
        <w:t>res judicata</w:t>
      </w:r>
      <w:r w:rsidRPr="00516377">
        <w:rPr>
          <w:rFonts w:ascii="Times New Roman" w:hAnsi="Times New Roman"/>
        </w:rPr>
        <w:t>, estoppel, abuse of process or similar) from contending in these proceedings that ss 45 and 45</w:t>
      </w:r>
      <w:proofErr w:type="gramStart"/>
      <w:r w:rsidRPr="00516377">
        <w:rPr>
          <w:rFonts w:ascii="Times New Roman" w:hAnsi="Times New Roman"/>
        </w:rPr>
        <w:t>DA(</w:t>
      </w:r>
      <w:proofErr w:type="gramEnd"/>
      <w:r w:rsidRPr="00516377">
        <w:rPr>
          <w:rFonts w:ascii="Times New Roman" w:hAnsi="Times New Roman"/>
        </w:rPr>
        <w:t>1) of the [CCA] apply to the entry into the</w:t>
      </w:r>
      <w:r>
        <w:rPr>
          <w:rFonts w:ascii="Times New Roman" w:hAnsi="Times New Roman"/>
        </w:rPr>
        <w:t> </w:t>
      </w:r>
      <w:r w:rsidRPr="00516377">
        <w:rPr>
          <w:rFonts w:ascii="Times New Roman" w:hAnsi="Times New Roman"/>
        </w:rPr>
        <w:t>[PCDs] by [</w:t>
      </w:r>
      <w:r w:rsidRPr="00516377">
        <w:rPr>
          <w:rFonts w:ascii="Times New Roman" w:hAnsi="Times New Roman"/>
          <w:bCs/>
        </w:rPr>
        <w:t>NSW Ports]</w:t>
      </w:r>
      <w:r w:rsidRPr="00516377">
        <w:rPr>
          <w:rFonts w:ascii="Times New Roman" w:hAnsi="Times New Roman"/>
        </w:rPr>
        <w:t xml:space="preserve"> ...?</w:t>
      </w:r>
    </w:p>
    <w:p w14:paraId="687FFED9" w14:textId="77777777" w:rsidR="0023595F" w:rsidRPr="00516377" w:rsidRDefault="0023595F" w:rsidP="00516377">
      <w:pPr>
        <w:pStyle w:val="leftright"/>
        <w:spacing w:before="0" w:after="260" w:line="280" w:lineRule="exact"/>
        <w:ind w:left="1440" w:right="0" w:hanging="720"/>
        <w:jc w:val="both"/>
        <w:rPr>
          <w:rFonts w:ascii="Times New Roman" w:hAnsi="Times New Roman"/>
        </w:rPr>
      </w:pPr>
      <w:r w:rsidRPr="00516377">
        <w:rPr>
          <w:rFonts w:ascii="Times New Roman" w:hAnsi="Times New Roman"/>
        </w:rPr>
        <w:tab/>
        <w:t>...</w:t>
      </w:r>
    </w:p>
    <w:p w14:paraId="1160BA68" w14:textId="77777777" w:rsidR="0023595F" w:rsidRPr="00516377" w:rsidRDefault="0023595F" w:rsidP="00B105FF">
      <w:pPr>
        <w:pStyle w:val="leftright"/>
        <w:keepNext/>
        <w:spacing w:before="0" w:after="260" w:line="280" w:lineRule="exact"/>
        <w:ind w:left="1440" w:right="0" w:hanging="720"/>
        <w:jc w:val="both"/>
        <w:rPr>
          <w:rFonts w:ascii="Times New Roman" w:hAnsi="Times New Roman"/>
        </w:rPr>
      </w:pPr>
      <w:r w:rsidRPr="00516377">
        <w:rPr>
          <w:rFonts w:ascii="Times New Roman" w:hAnsi="Times New Roman"/>
        </w:rPr>
        <w:t>(b)</w:t>
      </w:r>
      <w:r w:rsidRPr="00516377">
        <w:rPr>
          <w:rFonts w:ascii="Times New Roman" w:hAnsi="Times New Roman"/>
        </w:rPr>
        <w:tab/>
        <w:t>If [Mayfield] is not estopped or otherwise precluded from arguing that ss 45 and 45</w:t>
      </w:r>
      <w:proofErr w:type="gramStart"/>
      <w:r w:rsidRPr="00516377">
        <w:rPr>
          <w:rFonts w:ascii="Times New Roman" w:hAnsi="Times New Roman"/>
        </w:rPr>
        <w:t>DA(</w:t>
      </w:r>
      <w:proofErr w:type="gramEnd"/>
      <w:r w:rsidRPr="00516377">
        <w:rPr>
          <w:rFonts w:ascii="Times New Roman" w:hAnsi="Times New Roman"/>
        </w:rPr>
        <w:t xml:space="preserve">1) of [the] CCA apply or were contravened, </w:t>
      </w:r>
      <w:r w:rsidRPr="00516377">
        <w:rPr>
          <w:rFonts w:ascii="Times New Roman" w:hAnsi="Times New Roman"/>
        </w:rPr>
        <w:lastRenderedPageBreak/>
        <w:t>is</w:t>
      </w:r>
      <w:r>
        <w:rPr>
          <w:rFonts w:ascii="Times New Roman" w:hAnsi="Times New Roman"/>
        </w:rPr>
        <w:t> </w:t>
      </w:r>
      <w:r w:rsidRPr="00516377">
        <w:rPr>
          <w:rFonts w:ascii="Times New Roman" w:hAnsi="Times New Roman"/>
        </w:rPr>
        <w:t>'derivative Crown immunity' ... a complete answer to the</w:t>
      </w:r>
      <w:r>
        <w:rPr>
          <w:rFonts w:ascii="Times New Roman" w:hAnsi="Times New Roman"/>
        </w:rPr>
        <w:t> </w:t>
      </w:r>
      <w:r w:rsidRPr="00516377">
        <w:rPr>
          <w:rFonts w:ascii="Times New Roman" w:hAnsi="Times New Roman"/>
        </w:rPr>
        <w:t>[Mayfield Claims]?</w:t>
      </w:r>
    </w:p>
    <w:p w14:paraId="46DBD21E" w14:textId="77777777" w:rsidR="0023595F" w:rsidRPr="00516377" w:rsidRDefault="0023595F" w:rsidP="00516377">
      <w:pPr>
        <w:pStyle w:val="leftright"/>
        <w:spacing w:before="0" w:after="260" w:line="280" w:lineRule="exact"/>
        <w:ind w:left="1440" w:right="0" w:hanging="720"/>
        <w:jc w:val="both"/>
        <w:rPr>
          <w:rFonts w:ascii="Times New Roman" w:hAnsi="Times New Roman"/>
        </w:rPr>
      </w:pPr>
      <w:r w:rsidRPr="00516377">
        <w:rPr>
          <w:rFonts w:ascii="Times New Roman" w:hAnsi="Times New Roman"/>
        </w:rPr>
        <w:tab/>
        <w:t>...</w:t>
      </w:r>
    </w:p>
    <w:p w14:paraId="7A18946C" w14:textId="77777777" w:rsidR="0023595F" w:rsidRDefault="0023595F" w:rsidP="00516377">
      <w:pPr>
        <w:pStyle w:val="leftright"/>
        <w:spacing w:before="0" w:after="260" w:line="280" w:lineRule="exact"/>
        <w:ind w:left="1440" w:right="0" w:hanging="720"/>
        <w:jc w:val="both"/>
        <w:rPr>
          <w:rFonts w:ascii="Times New Roman" w:hAnsi="Times New Roman"/>
        </w:rPr>
      </w:pPr>
      <w:r w:rsidRPr="00516377">
        <w:rPr>
          <w:rFonts w:ascii="Times New Roman" w:hAnsi="Times New Roman"/>
        </w:rPr>
        <w:t>(c)</w:t>
      </w:r>
      <w:r w:rsidRPr="00516377">
        <w:rPr>
          <w:rFonts w:ascii="Times New Roman" w:hAnsi="Times New Roman"/>
        </w:rPr>
        <w:tab/>
        <w:t>Does the Deed of Release entered into on 24 December 2013, by</w:t>
      </w:r>
      <w:r>
        <w:rPr>
          <w:rFonts w:ascii="Times New Roman" w:hAnsi="Times New Roman"/>
        </w:rPr>
        <w:t> </w:t>
      </w:r>
      <w:r w:rsidRPr="00516377">
        <w:rPr>
          <w:rFonts w:ascii="Times New Roman" w:hAnsi="Times New Roman"/>
        </w:rPr>
        <w:t xml:space="preserve">[Mayfield], Anglo Ports, </w:t>
      </w:r>
      <w:proofErr w:type="spellStart"/>
      <w:r w:rsidRPr="00516377">
        <w:rPr>
          <w:rFonts w:ascii="Times New Roman" w:hAnsi="Times New Roman"/>
        </w:rPr>
        <w:t>Grup</w:t>
      </w:r>
      <w:proofErr w:type="spellEnd"/>
      <w:r w:rsidRPr="00516377">
        <w:rPr>
          <w:rFonts w:ascii="Times New Roman" w:hAnsi="Times New Roman"/>
        </w:rPr>
        <w:t xml:space="preserve"> Maritim TCB, SL, [Newcastle</w:t>
      </w:r>
      <w:r>
        <w:rPr>
          <w:rFonts w:ascii="Times New Roman" w:hAnsi="Times New Roman"/>
        </w:rPr>
        <w:t> </w:t>
      </w:r>
      <w:r w:rsidRPr="00516377">
        <w:rPr>
          <w:rFonts w:ascii="Times New Roman" w:hAnsi="Times New Roman"/>
        </w:rPr>
        <w:t xml:space="preserve">Port Corporation] and the State, and payment being made upon settlement on that date in accordance with its terms, operate as a release, bar and[/]or complete defence to, or otherwise preclude, the claims made by [Mayfield] in this proceeding?" </w:t>
      </w:r>
    </w:p>
    <w:p w14:paraId="1C02F709"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The primary judge determined that (a) Mayfield's intervention in the ACCC</w:t>
      </w:r>
      <w:r w:rsidRPr="00516377" w:rsidDel="00AF1011">
        <w:rPr>
          <w:rFonts w:ascii="Times New Roman" w:hAnsi="Times New Roman"/>
        </w:rPr>
        <w:t xml:space="preserve"> </w:t>
      </w:r>
      <w:r w:rsidRPr="00516377">
        <w:rPr>
          <w:rFonts w:ascii="Times New Roman" w:hAnsi="Times New Roman"/>
        </w:rPr>
        <w:t>Appeal did not preclude it from advancing this proceeding; (b) his Honour was bound to follow the decision of the majority of the Full Court of the Federal Court of Australia in the ACCC Appeal</w:t>
      </w:r>
      <w:r w:rsidRPr="00516377">
        <w:rPr>
          <w:rStyle w:val="FootnoteReference"/>
          <w:rFonts w:ascii="Times New Roman" w:hAnsi="Times New Roman"/>
          <w:sz w:val="24"/>
        </w:rPr>
        <w:footnoteReference w:id="43"/>
      </w:r>
      <w:r w:rsidRPr="00516377">
        <w:rPr>
          <w:rFonts w:ascii="Times New Roman" w:hAnsi="Times New Roman"/>
        </w:rPr>
        <w:t xml:space="preserve"> holding that derivative Crown immunity was a</w:t>
      </w:r>
      <w:r>
        <w:rPr>
          <w:rFonts w:ascii="Times New Roman" w:hAnsi="Times New Roman"/>
        </w:rPr>
        <w:t> </w:t>
      </w:r>
      <w:r w:rsidRPr="00516377">
        <w:rPr>
          <w:rFonts w:ascii="Times New Roman" w:hAnsi="Times New Roman"/>
        </w:rPr>
        <w:t xml:space="preserve">complete answer to the Mayfield Claims; and (c) the Deed of Release did not preclude the Mayfield Claims. The primary judge thus answered the stated questions: (a) "No"; (b) "Yes"; and (c) "No" and dismissed the proceeding with costs. </w:t>
      </w:r>
    </w:p>
    <w:p w14:paraId="38CBDB3A"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Mayfield's appeal to the Full Federal Court in relation to the primary judge's answer to question (b) about derivative Crown immunity was dismissed. </w:t>
      </w:r>
      <w:proofErr w:type="gramStart"/>
      <w:r w:rsidRPr="00516377">
        <w:rPr>
          <w:rFonts w:ascii="Times New Roman" w:hAnsi="Times New Roman"/>
        </w:rPr>
        <w:t>In light of</w:t>
      </w:r>
      <w:proofErr w:type="gramEnd"/>
      <w:r w:rsidRPr="00516377">
        <w:rPr>
          <w:rFonts w:ascii="Times New Roman" w:hAnsi="Times New Roman"/>
        </w:rPr>
        <w:t xml:space="preserve"> that answer, it was unnecessary for the Full Federal Court to decide the</w:t>
      </w:r>
      <w:r>
        <w:rPr>
          <w:rFonts w:ascii="Times New Roman" w:hAnsi="Times New Roman"/>
        </w:rPr>
        <w:t> </w:t>
      </w:r>
      <w:r w:rsidRPr="00516377">
        <w:rPr>
          <w:rFonts w:ascii="Times New Roman" w:hAnsi="Times New Roman"/>
        </w:rPr>
        <w:t>contentions of NSW Ports and the State that the primary judge had erred in answering the other two questions adversely to them but, had they been necessary to decide, the Full Federal Court would not have upheld their contentions. The</w:t>
      </w:r>
      <w:r>
        <w:rPr>
          <w:rFonts w:ascii="Times New Roman" w:hAnsi="Times New Roman"/>
        </w:rPr>
        <w:t> </w:t>
      </w:r>
      <w:r w:rsidRPr="00516377">
        <w:rPr>
          <w:rFonts w:ascii="Times New Roman" w:hAnsi="Times New Roman"/>
        </w:rPr>
        <w:t>Full</w:t>
      </w:r>
      <w:r>
        <w:rPr>
          <w:rFonts w:ascii="Times New Roman" w:hAnsi="Times New Roman"/>
        </w:rPr>
        <w:t> </w:t>
      </w:r>
      <w:r w:rsidRPr="00516377">
        <w:rPr>
          <w:rFonts w:ascii="Times New Roman" w:hAnsi="Times New Roman"/>
        </w:rPr>
        <w:t>Federal Court ordered that Mayfield should pay 60 per cent of the</w:t>
      </w:r>
      <w:r>
        <w:rPr>
          <w:rFonts w:ascii="Times New Roman" w:hAnsi="Times New Roman"/>
        </w:rPr>
        <w:t> </w:t>
      </w:r>
      <w:r w:rsidRPr="00516377">
        <w:rPr>
          <w:rFonts w:ascii="Times New Roman" w:hAnsi="Times New Roman"/>
        </w:rPr>
        <w:t xml:space="preserve">respondents' costs of the appeal. </w:t>
      </w:r>
    </w:p>
    <w:p w14:paraId="7FA61A6E"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The issue presented by Mayfield's appeal in this Court is whether, by</w:t>
      </w:r>
      <w:r>
        <w:rPr>
          <w:rFonts w:ascii="Times New Roman" w:hAnsi="Times New Roman"/>
        </w:rPr>
        <w:t> </w:t>
      </w:r>
      <w:r w:rsidRPr="00516377">
        <w:rPr>
          <w:rFonts w:ascii="Times New Roman" w:hAnsi="Times New Roman"/>
        </w:rPr>
        <w:t>operation of the presumption of derivative Crown immunity, ss 45 and 45DA do not apply to the impugned conduct of NSW Ports. Both NSW Ports and the</w:t>
      </w:r>
      <w:r>
        <w:rPr>
          <w:rFonts w:ascii="Times New Roman" w:hAnsi="Times New Roman"/>
        </w:rPr>
        <w:t> </w:t>
      </w:r>
      <w:r w:rsidRPr="00516377">
        <w:rPr>
          <w:rFonts w:ascii="Times New Roman" w:hAnsi="Times New Roman"/>
        </w:rPr>
        <w:t xml:space="preserve">State, by notices of contention, seek to maintain the contentions that Mayfield is barred or estopped from bringing this proceeding and that this proceeding is otherwise an abuse of process. NSW Ports and the State also cross-appeal against the Full Federal Court's costs orders, contending that they should have received </w:t>
      </w:r>
      <w:proofErr w:type="gramStart"/>
      <w:r w:rsidRPr="00516377">
        <w:rPr>
          <w:rFonts w:ascii="Times New Roman" w:hAnsi="Times New Roman"/>
        </w:rPr>
        <w:t>all of</w:t>
      </w:r>
      <w:proofErr w:type="gramEnd"/>
      <w:r w:rsidRPr="00516377">
        <w:rPr>
          <w:rFonts w:ascii="Times New Roman" w:hAnsi="Times New Roman"/>
        </w:rPr>
        <w:t xml:space="preserve"> their costs. The ACCC was granted leave to intervene in support of Mayfield.</w:t>
      </w:r>
    </w:p>
    <w:p w14:paraId="2250F06A"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lastRenderedPageBreak/>
        <w:tab/>
        <w:t>For the following reasons, each</w:t>
      </w:r>
      <w:r w:rsidRPr="00516377" w:rsidDel="00A5445C">
        <w:rPr>
          <w:rFonts w:ascii="Times New Roman" w:hAnsi="Times New Roman"/>
        </w:rPr>
        <w:t xml:space="preserve"> of the </w:t>
      </w:r>
      <w:r w:rsidRPr="00516377">
        <w:rPr>
          <w:rFonts w:ascii="Times New Roman" w:hAnsi="Times New Roman"/>
        </w:rPr>
        <w:t>respondents' contentions should be rejected. Mayfield is not barred or estopped from bringing this proceeding, nor is the proceeding an abuse of process. The Full Federal Court erred in concluding that ss 45 and 45</w:t>
      </w:r>
      <w:proofErr w:type="gramStart"/>
      <w:r w:rsidRPr="00516377">
        <w:rPr>
          <w:rFonts w:ascii="Times New Roman" w:hAnsi="Times New Roman"/>
        </w:rPr>
        <w:t>DA(</w:t>
      </w:r>
      <w:proofErr w:type="gramEnd"/>
      <w:r w:rsidRPr="00516377">
        <w:rPr>
          <w:rFonts w:ascii="Times New Roman" w:hAnsi="Times New Roman"/>
        </w:rPr>
        <w:t xml:space="preserve">1) of the CCA did not bind NSW Ports in its dealings with the State. The appeal should therefore be allowed with costs and the consequential orders sought by Mayfield should be made. </w:t>
      </w:r>
    </w:p>
    <w:p w14:paraId="1623CF21"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b/>
          <w:bCs/>
        </w:rPr>
        <w:tab/>
      </w:r>
      <w:r w:rsidRPr="00516377">
        <w:rPr>
          <w:rFonts w:ascii="Times New Roman" w:hAnsi="Times New Roman"/>
          <w:bCs/>
        </w:rPr>
        <w:t>These reasons will set out the background to the appeal, then address the</w:t>
      </w:r>
      <w:r>
        <w:rPr>
          <w:rFonts w:ascii="Times New Roman" w:hAnsi="Times New Roman"/>
          <w:bCs/>
        </w:rPr>
        <w:t> </w:t>
      </w:r>
      <w:r w:rsidRPr="00516377">
        <w:rPr>
          <w:rFonts w:ascii="Times New Roman" w:hAnsi="Times New Roman"/>
          <w:bCs/>
        </w:rPr>
        <w:t xml:space="preserve">notices of contention, before determining the </w:t>
      </w:r>
      <w:r w:rsidRPr="00516377" w:rsidDel="00386253">
        <w:rPr>
          <w:rFonts w:ascii="Times New Roman" w:hAnsi="Times New Roman"/>
          <w:bCs/>
        </w:rPr>
        <w:t>issue of derivative Crown immunity</w:t>
      </w:r>
      <w:r w:rsidRPr="00516377">
        <w:rPr>
          <w:rFonts w:ascii="Times New Roman" w:hAnsi="Times New Roman"/>
          <w:bCs/>
        </w:rPr>
        <w:t>.</w:t>
      </w:r>
    </w:p>
    <w:p w14:paraId="76CDD670" w14:textId="77777777" w:rsidR="0023595F" w:rsidRPr="00516377" w:rsidRDefault="0023595F" w:rsidP="00516377">
      <w:pPr>
        <w:pStyle w:val="HeadingL1"/>
        <w:spacing w:after="260" w:line="280" w:lineRule="exact"/>
        <w:ind w:right="0"/>
        <w:jc w:val="both"/>
        <w:rPr>
          <w:rFonts w:ascii="Times New Roman" w:hAnsi="Times New Roman"/>
        </w:rPr>
      </w:pPr>
      <w:r w:rsidRPr="00516377">
        <w:rPr>
          <w:rFonts w:ascii="Times New Roman" w:hAnsi="Times New Roman"/>
        </w:rPr>
        <w:t>Background</w:t>
      </w:r>
    </w:p>
    <w:p w14:paraId="51A88265"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r>
      <w:proofErr w:type="gramStart"/>
      <w:r w:rsidRPr="00516377">
        <w:rPr>
          <w:rFonts w:ascii="Times New Roman" w:hAnsi="Times New Roman"/>
        </w:rPr>
        <w:t>The majority of</w:t>
      </w:r>
      <w:proofErr w:type="gramEnd"/>
      <w:r w:rsidRPr="00516377">
        <w:rPr>
          <w:rFonts w:ascii="Times New Roman" w:hAnsi="Times New Roman"/>
        </w:rPr>
        <w:t xml:space="preserve"> shipping cargo including bulk and container cargo from or bound for NSW passes through Port Botany, Port Kembla or the Port of Newcastle. Port Botany is the principal port in NSW and the only port in NSW with container terminals. Port Kembla is primarily a bulk and vehicle port, and the Port of Newcastle is primarily a bulk port. </w:t>
      </w:r>
    </w:p>
    <w:p w14:paraId="489F3256"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In September 2011, the NSW Government announced that it would privatise Port Botany by way of a 99-year lease and, in doing so, would ensure that key public interest outcomes were protected. At the time, Port Botany was operated by Sydney Ports Corporation, which was constituted under the </w:t>
      </w:r>
      <w:r w:rsidRPr="00516377">
        <w:rPr>
          <w:rFonts w:ascii="Times New Roman" w:hAnsi="Times New Roman"/>
          <w:i/>
          <w:iCs/>
        </w:rPr>
        <w:t>Ports and Maritime Administration Act 1995</w:t>
      </w:r>
      <w:r w:rsidRPr="00516377">
        <w:rPr>
          <w:rFonts w:ascii="Times New Roman" w:hAnsi="Times New Roman"/>
        </w:rPr>
        <w:t xml:space="preserve"> (NSW). Sydney Ports Corporation, as a "State owned corporation" ("SOC") within the meaning of s 3(1) and Sch 5 of the </w:t>
      </w:r>
      <w:proofErr w:type="gramStart"/>
      <w:r w:rsidRPr="00516377">
        <w:rPr>
          <w:rFonts w:ascii="Times New Roman" w:hAnsi="Times New Roman"/>
          <w:i/>
          <w:iCs/>
        </w:rPr>
        <w:t>State Owned</w:t>
      </w:r>
      <w:proofErr w:type="gramEnd"/>
      <w:r w:rsidRPr="00516377">
        <w:rPr>
          <w:rFonts w:ascii="Times New Roman" w:hAnsi="Times New Roman"/>
          <w:i/>
          <w:iCs/>
        </w:rPr>
        <w:t xml:space="preserve"> Corporations Act 1989</w:t>
      </w:r>
      <w:r w:rsidRPr="00516377">
        <w:rPr>
          <w:rFonts w:ascii="Times New Roman" w:hAnsi="Times New Roman"/>
        </w:rPr>
        <w:t xml:space="preserve"> (NSW) ("the SOC Act"), was legally disabled from disposing of its fixed assets or main undertakings without the approval of shareholder Ministers.</w:t>
      </w:r>
      <w:r w:rsidRPr="00516377">
        <w:rPr>
          <w:rStyle w:val="FootnoteReference"/>
          <w:rFonts w:ascii="Times New Roman" w:hAnsi="Times New Roman"/>
          <w:sz w:val="24"/>
        </w:rPr>
        <w:footnoteReference w:id="44"/>
      </w:r>
      <w:r w:rsidRPr="00516377">
        <w:rPr>
          <w:rFonts w:ascii="Times New Roman" w:hAnsi="Times New Roman"/>
        </w:rPr>
        <w:t xml:space="preserve"> </w:t>
      </w:r>
    </w:p>
    <w:p w14:paraId="1E5AD853" w14:textId="77777777" w:rsidR="0023595F" w:rsidRPr="007F1A4C" w:rsidRDefault="0023595F" w:rsidP="0023595F">
      <w:pPr>
        <w:pStyle w:val="FixListStyle"/>
        <w:spacing w:after="260" w:line="280" w:lineRule="exact"/>
        <w:ind w:right="0"/>
        <w:jc w:val="both"/>
        <w:rPr>
          <w:rFonts w:ascii="Times New Roman" w:hAnsi="Times New Roman"/>
          <w:spacing w:val="4"/>
        </w:rPr>
      </w:pPr>
      <w:r w:rsidRPr="00516377">
        <w:rPr>
          <w:rFonts w:ascii="Times New Roman" w:hAnsi="Times New Roman"/>
        </w:rPr>
        <w:tab/>
        <w:t>On 27 July 2012, the Treasurer and Minister for Roads and Ports announced that the NSW Government would proceed with the long-term lease of both Port</w:t>
      </w:r>
      <w:r>
        <w:rPr>
          <w:rFonts w:ascii="Times New Roman" w:hAnsi="Times New Roman"/>
        </w:rPr>
        <w:t> </w:t>
      </w:r>
      <w:r w:rsidRPr="00516377">
        <w:rPr>
          <w:rFonts w:ascii="Times New Roman" w:hAnsi="Times New Roman"/>
        </w:rPr>
        <w:t xml:space="preserve">Botany and Port Kembla. On 31 July 2012, the Treasurer notified Newcastle Ports Consortium that the State would support the development of a multi-use cargo facility at the Port of Newcastle, but not a container terminal. By late 2012, it had been decided that Port Botany would remain the State's primary container port, and that Port Kembla would meet any additional demand for container handling facilities created when Port Botany reached capacity. In November 2012, the </w:t>
      </w:r>
      <w:r w:rsidRPr="007F1A4C">
        <w:rPr>
          <w:rFonts w:ascii="Times New Roman" w:hAnsi="Times New Roman"/>
          <w:spacing w:val="4"/>
        </w:rPr>
        <w:t xml:space="preserve">Parliament of NSW passed the </w:t>
      </w:r>
      <w:r w:rsidRPr="007F1A4C">
        <w:rPr>
          <w:rFonts w:ascii="Times New Roman" w:hAnsi="Times New Roman"/>
          <w:i/>
          <w:iCs/>
          <w:spacing w:val="4"/>
        </w:rPr>
        <w:t xml:space="preserve">Ports Assets (Authorised Transactions) Act 2012 </w:t>
      </w:r>
      <w:r w:rsidRPr="007F1A4C">
        <w:rPr>
          <w:rFonts w:ascii="Times New Roman" w:hAnsi="Times New Roman"/>
          <w:spacing w:val="4"/>
        </w:rPr>
        <w:t>(NSW) ("the PAAT Act"). That Act, among other things, authorises the transfer by the State of a specific class of assets identified in</w:t>
      </w:r>
      <w:r>
        <w:rPr>
          <w:rFonts w:ascii="Times New Roman" w:hAnsi="Times New Roman"/>
          <w:spacing w:val="4"/>
        </w:rPr>
        <w:t xml:space="preserve"> </w:t>
      </w:r>
      <w:r w:rsidRPr="007F1A4C">
        <w:rPr>
          <w:rFonts w:ascii="Times New Roman" w:hAnsi="Times New Roman"/>
          <w:spacing w:val="4"/>
        </w:rPr>
        <w:lastRenderedPageBreak/>
        <w:t>the PAAT Act, namely the three State</w:t>
      </w:r>
      <w:r w:rsidRPr="007F1A4C">
        <w:rPr>
          <w:rFonts w:ascii="Times New Roman" w:hAnsi="Times New Roman"/>
          <w:spacing w:val="4"/>
        </w:rPr>
        <w:noBreakHyphen/>
        <w:t>owned ports – Port Botany,</w:t>
      </w:r>
      <w:r>
        <w:rPr>
          <w:rFonts w:ascii="Times New Roman" w:hAnsi="Times New Roman"/>
          <w:spacing w:val="4"/>
        </w:rPr>
        <w:t xml:space="preserve"> </w:t>
      </w:r>
      <w:r w:rsidRPr="007F1A4C">
        <w:rPr>
          <w:rFonts w:ascii="Times New Roman" w:hAnsi="Times New Roman"/>
          <w:spacing w:val="4"/>
        </w:rPr>
        <w:t>Port Kembla and the Port of Newcastle.</w:t>
      </w:r>
      <w:r w:rsidRPr="007F1A4C">
        <w:rPr>
          <w:rStyle w:val="FootnoteReference"/>
          <w:rFonts w:ascii="Times New Roman" w:hAnsi="Times New Roman"/>
          <w:spacing w:val="4"/>
          <w:sz w:val="24"/>
        </w:rPr>
        <w:footnoteReference w:id="45"/>
      </w:r>
      <w:r w:rsidRPr="007F1A4C">
        <w:rPr>
          <w:rFonts w:ascii="Times New Roman" w:hAnsi="Times New Roman"/>
          <w:spacing w:val="4"/>
        </w:rPr>
        <w:t xml:space="preserve"> </w:t>
      </w:r>
    </w:p>
    <w:p w14:paraId="1E299BC8"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During the privatisation process, some bidders for the acquisition of Port</w:t>
      </w:r>
      <w:r>
        <w:rPr>
          <w:rFonts w:ascii="Times New Roman" w:hAnsi="Times New Roman"/>
        </w:rPr>
        <w:t> </w:t>
      </w:r>
      <w:r w:rsidRPr="00516377">
        <w:rPr>
          <w:rFonts w:ascii="Times New Roman" w:hAnsi="Times New Roman"/>
        </w:rPr>
        <w:t xml:space="preserve">Botany and Port Kembla intimated that the price they were prepared to pay for Port Botany and Port Kembla might be discounted if additional container capacity were to be developed at the Port of Newcastle. The State decided to address that concern in the </w:t>
      </w:r>
      <w:r w:rsidRPr="00516377">
        <w:rPr>
          <w:rFonts w:ascii="Times New Roman" w:hAnsi="Times New Roman"/>
          <w:bCs/>
        </w:rPr>
        <w:t>PCDs</w:t>
      </w:r>
      <w:r w:rsidRPr="00516377">
        <w:rPr>
          <w:rFonts w:ascii="Times New Roman" w:hAnsi="Times New Roman"/>
        </w:rPr>
        <w:t>, which were entered into by the Treasurer on behalf of the State with the successful bidder, NSW Ports, on 31 May 2013. The</w:t>
      </w:r>
      <w:r>
        <w:rPr>
          <w:rFonts w:ascii="Times New Roman" w:hAnsi="Times New Roman"/>
        </w:rPr>
        <w:t> </w:t>
      </w:r>
      <w:r w:rsidRPr="00516377">
        <w:rPr>
          <w:rFonts w:ascii="Times New Roman" w:hAnsi="Times New Roman"/>
        </w:rPr>
        <w:t xml:space="preserve">PCDs have a term of 50 years. They include the </w:t>
      </w:r>
      <w:r w:rsidRPr="00516377">
        <w:rPr>
          <w:rFonts w:ascii="Times New Roman" w:hAnsi="Times New Roman"/>
          <w:bCs/>
        </w:rPr>
        <w:t>compensation provisions, the</w:t>
      </w:r>
      <w:r>
        <w:rPr>
          <w:rFonts w:ascii="Times New Roman" w:hAnsi="Times New Roman"/>
          <w:bCs/>
        </w:rPr>
        <w:t> </w:t>
      </w:r>
      <w:r w:rsidRPr="00516377">
        <w:rPr>
          <w:rFonts w:ascii="Times New Roman" w:hAnsi="Times New Roman"/>
          <w:bCs/>
        </w:rPr>
        <w:t>effect of which is</w:t>
      </w:r>
      <w:r w:rsidRPr="00516377">
        <w:rPr>
          <w:rFonts w:ascii="Times New Roman" w:hAnsi="Times New Roman"/>
        </w:rPr>
        <w:t xml:space="preserve"> to require the State to pay compensation to NSW Ports if container volumes through the Port of Newcastle exceed a specified cap and divert container cargo away from Port Botany or Port Kembla. </w:t>
      </w:r>
    </w:p>
    <w:p w14:paraId="3D4A00E7"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In December 2018, the ACCC Proceeding</w:t>
      </w:r>
      <w:r w:rsidRPr="00516377" w:rsidDel="00262C5F">
        <w:rPr>
          <w:rFonts w:ascii="Times New Roman" w:hAnsi="Times New Roman"/>
        </w:rPr>
        <w:t xml:space="preserve"> </w:t>
      </w:r>
      <w:r w:rsidRPr="00516377">
        <w:rPr>
          <w:rFonts w:ascii="Times New Roman" w:hAnsi="Times New Roman"/>
        </w:rPr>
        <w:t>was instituted alleging that the</w:t>
      </w:r>
      <w:r>
        <w:rPr>
          <w:rFonts w:ascii="Times New Roman" w:hAnsi="Times New Roman"/>
        </w:rPr>
        <w:t> </w:t>
      </w:r>
      <w:r w:rsidRPr="00516377">
        <w:rPr>
          <w:rFonts w:ascii="Times New Roman" w:hAnsi="Times New Roman"/>
        </w:rPr>
        <w:t>compensation provisions in the PCDs entered into and given effect by the State</w:t>
      </w:r>
      <w:r w:rsidRPr="00516377" w:rsidDel="00F67337">
        <w:rPr>
          <w:rFonts w:ascii="Times New Roman" w:hAnsi="Times New Roman"/>
        </w:rPr>
        <w:t xml:space="preserve"> </w:t>
      </w:r>
      <w:r w:rsidRPr="00516377">
        <w:rPr>
          <w:rFonts w:ascii="Times New Roman" w:hAnsi="Times New Roman"/>
        </w:rPr>
        <w:t>and NSW Ports in the course of the privatisation of Port Botany and Port Kembla had the purpose and/or likely effect of substantially lessening competition, contrary to ss 45(2)(a)(ii) and 45(2)(b) of the CCA.</w:t>
      </w:r>
      <w:r w:rsidRPr="00516377">
        <w:rPr>
          <w:rStyle w:val="FootnoteReference"/>
          <w:rFonts w:ascii="Times New Roman" w:hAnsi="Times New Roman"/>
          <w:sz w:val="24"/>
        </w:rPr>
        <w:footnoteReference w:id="46"/>
      </w:r>
      <w:r w:rsidRPr="00516377">
        <w:rPr>
          <w:rFonts w:ascii="Times New Roman" w:hAnsi="Times New Roman"/>
        </w:rPr>
        <w:t xml:space="preserve"> The primary judge dismissed the ACCC's application. Her Honour relevantly held that s 45 of the CCA did not apply to the State's entry into the PCDs because, under s 2B of the CCA, the Crown in right of the State was only bound by Pt IV of the CCA when carrying on a</w:t>
      </w:r>
      <w:r>
        <w:rPr>
          <w:rFonts w:ascii="Times New Roman" w:hAnsi="Times New Roman"/>
        </w:rPr>
        <w:t> </w:t>
      </w:r>
      <w:r w:rsidRPr="00516377">
        <w:rPr>
          <w:rFonts w:ascii="Times New Roman" w:hAnsi="Times New Roman"/>
        </w:rPr>
        <w:t>business and the privatisation of Port Botany and Port Kembla did not occur</w:t>
      </w:r>
      <w:r w:rsidRPr="00516377" w:rsidDel="004C3EBB">
        <w:rPr>
          <w:rFonts w:ascii="Times New Roman" w:hAnsi="Times New Roman"/>
        </w:rPr>
        <w:t xml:space="preserve"> in</w:t>
      </w:r>
      <w:r w:rsidRPr="00516377">
        <w:rPr>
          <w:rFonts w:ascii="Times New Roman" w:hAnsi="Times New Roman"/>
        </w:rPr>
        <w:t xml:space="preserve"> the course of operating a business.</w:t>
      </w:r>
      <w:r w:rsidRPr="00516377">
        <w:rPr>
          <w:rStyle w:val="FootnoteReference"/>
          <w:rFonts w:ascii="Times New Roman" w:hAnsi="Times New Roman"/>
          <w:sz w:val="24"/>
        </w:rPr>
        <w:footnoteReference w:id="47"/>
      </w:r>
      <w:r w:rsidRPr="00516377">
        <w:rPr>
          <w:rFonts w:ascii="Times New Roman" w:hAnsi="Times New Roman"/>
        </w:rPr>
        <w:t xml:space="preserve"> Her Honour further relevantly held that s 45 did not apply to NSW Ports in making and giving effect to the compensation provisions in the PCDs because its operation would divest the State </w:t>
      </w:r>
      <w:r w:rsidRPr="00516377" w:rsidDel="0088326F">
        <w:rPr>
          <w:rFonts w:ascii="Times New Roman" w:hAnsi="Times New Roman"/>
        </w:rPr>
        <w:t xml:space="preserve">of </w:t>
      </w:r>
      <w:r w:rsidRPr="00516377">
        <w:rPr>
          <w:rFonts w:ascii="Times New Roman" w:hAnsi="Times New Roman"/>
        </w:rPr>
        <w:t>a</w:t>
      </w:r>
      <w:r>
        <w:rPr>
          <w:rFonts w:ascii="Times New Roman" w:hAnsi="Times New Roman"/>
        </w:rPr>
        <w:t> </w:t>
      </w:r>
      <w:r w:rsidRPr="00516377">
        <w:rPr>
          <w:rFonts w:ascii="Times New Roman" w:hAnsi="Times New Roman"/>
        </w:rPr>
        <w:t>"legal</w:t>
      </w:r>
      <w:r>
        <w:rPr>
          <w:rFonts w:ascii="Times New Roman" w:hAnsi="Times New Roman"/>
        </w:rPr>
        <w:t> </w:t>
      </w:r>
      <w:r w:rsidRPr="00516377">
        <w:rPr>
          <w:rFonts w:ascii="Times New Roman" w:hAnsi="Times New Roman"/>
        </w:rPr>
        <w:t>right" under the PAAT Act to effect the port privatisation in the manner the</w:t>
      </w:r>
      <w:r>
        <w:rPr>
          <w:rFonts w:ascii="Times New Roman" w:hAnsi="Times New Roman"/>
        </w:rPr>
        <w:t> </w:t>
      </w:r>
      <w:r w:rsidRPr="00516377">
        <w:rPr>
          <w:rFonts w:ascii="Times New Roman" w:hAnsi="Times New Roman"/>
        </w:rPr>
        <w:t>Treasurer saw fit, including the right of the Treasurer to require the</w:t>
      </w:r>
      <w:r>
        <w:rPr>
          <w:rFonts w:ascii="Times New Roman" w:hAnsi="Times New Roman"/>
        </w:rPr>
        <w:t> </w:t>
      </w:r>
      <w:r w:rsidRPr="00516377">
        <w:rPr>
          <w:rFonts w:ascii="Times New Roman" w:hAnsi="Times New Roman"/>
        </w:rPr>
        <w:t>counterparty to engage in conduct that would otherwise contravene s 45 of the</w:t>
      </w:r>
      <w:r>
        <w:rPr>
          <w:rFonts w:ascii="Times New Roman" w:hAnsi="Times New Roman"/>
        </w:rPr>
        <w:t> </w:t>
      </w:r>
      <w:r w:rsidRPr="00516377">
        <w:rPr>
          <w:rFonts w:ascii="Times New Roman" w:hAnsi="Times New Roman"/>
        </w:rPr>
        <w:t>CCA.</w:t>
      </w:r>
      <w:r w:rsidRPr="00516377">
        <w:rPr>
          <w:rStyle w:val="FootnoteReference"/>
          <w:rFonts w:ascii="Times New Roman" w:hAnsi="Times New Roman"/>
          <w:sz w:val="24"/>
        </w:rPr>
        <w:footnoteReference w:id="48"/>
      </w:r>
    </w:p>
    <w:p w14:paraId="5B116F10"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lastRenderedPageBreak/>
        <w:tab/>
        <w:t>The Full Federal Court dismissed an appeal from her Honour's decision.</w:t>
      </w:r>
      <w:r w:rsidRPr="00516377">
        <w:rPr>
          <w:rStyle w:val="FootnoteReference"/>
          <w:rFonts w:ascii="Times New Roman" w:hAnsi="Times New Roman"/>
          <w:sz w:val="24"/>
        </w:rPr>
        <w:footnoteReference w:id="49"/>
      </w:r>
      <w:r w:rsidRPr="00516377">
        <w:rPr>
          <w:rFonts w:ascii="Times New Roman" w:hAnsi="Times New Roman"/>
        </w:rPr>
        <w:t xml:space="preserve"> The Court held that her Honour was correct to hold that the entry by the State into the PCDs did not occur in the course of the State carrying on a business.</w:t>
      </w:r>
      <w:r w:rsidRPr="00516377">
        <w:rPr>
          <w:rStyle w:val="FootnoteReference"/>
          <w:rFonts w:ascii="Times New Roman" w:hAnsi="Times New Roman"/>
          <w:sz w:val="24"/>
        </w:rPr>
        <w:footnoteReference w:id="50"/>
      </w:r>
      <w:r w:rsidRPr="00516377">
        <w:rPr>
          <w:rFonts w:ascii="Times New Roman" w:hAnsi="Times New Roman"/>
        </w:rPr>
        <w:t xml:space="preserve"> Allsop</w:t>
      </w:r>
      <w:r>
        <w:rPr>
          <w:rFonts w:ascii="Times New Roman" w:hAnsi="Times New Roman"/>
        </w:rPr>
        <w:t> </w:t>
      </w:r>
      <w:r w:rsidRPr="00516377">
        <w:rPr>
          <w:rFonts w:ascii="Times New Roman" w:hAnsi="Times New Roman"/>
        </w:rPr>
        <w:t>CJ (with whom Yates J agreed) held that s 45 of the CCA could not apply to the compensation provisions in the PCDs because, if it did, ss 4L and 45 of the</w:t>
      </w:r>
      <w:r>
        <w:rPr>
          <w:rFonts w:ascii="Times New Roman" w:hAnsi="Times New Roman"/>
        </w:rPr>
        <w:t> </w:t>
      </w:r>
      <w:r w:rsidRPr="00516377">
        <w:rPr>
          <w:rFonts w:ascii="Times New Roman" w:hAnsi="Times New Roman"/>
        </w:rPr>
        <w:t>CCA would apply to sever and render the compensation provisions unenforceable and the consequence would be a divestiture of "legal and statutory rights of the Treasurer to direct a framework of rights and obligations of the parties to underpin the maximum value to be obtained on the hypothesis of a monopoly".</w:t>
      </w:r>
      <w:r w:rsidRPr="00516377">
        <w:rPr>
          <w:rStyle w:val="FootnoteReference"/>
          <w:rFonts w:ascii="Times New Roman" w:hAnsi="Times New Roman"/>
          <w:sz w:val="24"/>
        </w:rPr>
        <w:footnoteReference w:id="51"/>
      </w:r>
      <w:r w:rsidRPr="00516377">
        <w:rPr>
          <w:rFonts w:ascii="Times New Roman" w:hAnsi="Times New Roman"/>
        </w:rPr>
        <w:t xml:space="preserve"> Beach J, in dissent, held that, properly construed in light of this Court's decision in </w:t>
      </w:r>
      <w:r w:rsidRPr="00516377">
        <w:rPr>
          <w:rFonts w:ascii="Times New Roman" w:hAnsi="Times New Roman"/>
          <w:i/>
          <w:iCs/>
        </w:rPr>
        <w:t>Australian Competition and Consumer Commission v Baxter Healthcare Pty Ltd</w:t>
      </w:r>
      <w:r w:rsidRPr="00516377">
        <w:rPr>
          <w:rFonts w:ascii="Times New Roman" w:hAnsi="Times New Roman"/>
        </w:rPr>
        <w:t>,</w:t>
      </w:r>
      <w:r w:rsidRPr="00516377">
        <w:rPr>
          <w:rStyle w:val="FootnoteReference"/>
          <w:rFonts w:ascii="Times New Roman" w:hAnsi="Times New Roman"/>
          <w:sz w:val="24"/>
        </w:rPr>
        <w:footnoteReference w:id="52"/>
      </w:r>
      <w:r w:rsidRPr="00516377">
        <w:rPr>
          <w:rFonts w:ascii="Times New Roman" w:hAnsi="Times New Roman"/>
          <w:i/>
          <w:iCs/>
        </w:rPr>
        <w:t xml:space="preserve"> </w:t>
      </w:r>
      <w:r w:rsidRPr="00516377">
        <w:rPr>
          <w:rFonts w:ascii="Times New Roman" w:hAnsi="Times New Roman"/>
        </w:rPr>
        <w:t>s 45 of the CCA applied to NSW Ports when contracting with the State.</w:t>
      </w:r>
      <w:r w:rsidRPr="00516377">
        <w:rPr>
          <w:rStyle w:val="FootnoteReference"/>
          <w:rFonts w:ascii="Times New Roman" w:hAnsi="Times New Roman"/>
          <w:sz w:val="24"/>
        </w:rPr>
        <w:footnoteReference w:id="53"/>
      </w:r>
      <w:r w:rsidRPr="00516377">
        <w:rPr>
          <w:rFonts w:ascii="Times New Roman" w:hAnsi="Times New Roman"/>
          <w:i/>
          <w:iCs/>
        </w:rPr>
        <w:t xml:space="preserve"> </w:t>
      </w:r>
      <w:r w:rsidRPr="00516377">
        <w:rPr>
          <w:rFonts w:ascii="Times New Roman" w:hAnsi="Times New Roman"/>
        </w:rPr>
        <w:t>Beach J relevantly held that the power conferred by the PAAT Act was no more than a power to contract, which was not a relevant legal right or interest, and that, even if it was a power to require a counterparty to engage in conduct that would otherwise contravene</w:t>
      </w:r>
      <w:r w:rsidRPr="00516377" w:rsidDel="00201EDA">
        <w:rPr>
          <w:rFonts w:ascii="Times New Roman" w:hAnsi="Times New Roman"/>
        </w:rPr>
        <w:t xml:space="preserve"> </w:t>
      </w:r>
      <w:r w:rsidRPr="00516377">
        <w:rPr>
          <w:rFonts w:ascii="Times New Roman" w:hAnsi="Times New Roman"/>
        </w:rPr>
        <w:t>the CCA, this was not a legal right or interest.</w:t>
      </w:r>
      <w:r w:rsidRPr="00516377">
        <w:rPr>
          <w:rStyle w:val="FootnoteReference"/>
          <w:rFonts w:ascii="Times New Roman" w:hAnsi="Times New Roman"/>
          <w:sz w:val="24"/>
        </w:rPr>
        <w:footnoteReference w:id="54"/>
      </w:r>
    </w:p>
    <w:p w14:paraId="46DEAE26"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While the ACCC Proceeding was on foot, Mayfield commenced this proceeding, seeking damages against NSW Ports. Following judgment in the</w:t>
      </w:r>
      <w:r>
        <w:rPr>
          <w:rFonts w:ascii="Times New Roman" w:hAnsi="Times New Roman"/>
        </w:rPr>
        <w:t> </w:t>
      </w:r>
      <w:r w:rsidRPr="00516377">
        <w:rPr>
          <w:rFonts w:ascii="Times New Roman" w:hAnsi="Times New Roman"/>
        </w:rPr>
        <w:t>ACCC Appeal, the primary judge in this proceeding delivered judgment on the</w:t>
      </w:r>
      <w:r>
        <w:rPr>
          <w:rFonts w:ascii="Times New Roman" w:hAnsi="Times New Roman"/>
        </w:rPr>
        <w:t> </w:t>
      </w:r>
      <w:r w:rsidRPr="00516377">
        <w:rPr>
          <w:rFonts w:ascii="Times New Roman" w:hAnsi="Times New Roman"/>
        </w:rPr>
        <w:t xml:space="preserve">separate questions, holding that he was bound to follow the majority decision in the ACCC Appeal as to the question of derivative Crown immunity. The Full Federal Court dismissed Mayfield's appeal, unanimously holding that Mayfield had not demonstrated the reasoning of the majority in the ACCC Appeal in relation to derivative Crown immunity to have been plainly wrong. </w:t>
      </w:r>
    </w:p>
    <w:p w14:paraId="67CBD2E0" w14:textId="77777777" w:rsidR="0023595F" w:rsidRPr="00516377" w:rsidRDefault="0023595F" w:rsidP="00516377">
      <w:pPr>
        <w:pStyle w:val="HeadingL1"/>
        <w:spacing w:after="260" w:line="280" w:lineRule="exact"/>
        <w:ind w:right="0"/>
        <w:jc w:val="both"/>
        <w:rPr>
          <w:rFonts w:ascii="Times New Roman" w:hAnsi="Times New Roman"/>
        </w:rPr>
      </w:pPr>
      <w:r w:rsidRPr="00516377">
        <w:rPr>
          <w:rFonts w:ascii="Times New Roman" w:hAnsi="Times New Roman"/>
        </w:rPr>
        <w:t>Notices of contention</w:t>
      </w:r>
    </w:p>
    <w:p w14:paraId="1165CADF"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NSW Ports and the State, by notices of contention in this Court, argued that the issue of derivative Crown immunity need not be addressed, relying on three </w:t>
      </w:r>
      <w:r w:rsidRPr="00516377">
        <w:rPr>
          <w:rFonts w:ascii="Times New Roman" w:hAnsi="Times New Roman"/>
        </w:rPr>
        <w:lastRenderedPageBreak/>
        <w:t xml:space="preserve">grounds: (1) the Deed of Release between, relevantly, Mayfield and the State bars Mayfield from bringing the proceeding; (2) alternatively, Mayfield is estopped from bringing the proceeding by its participation in the ACCC Proceeding; (3) alternatively, and for broadly similar reasons, the proceeding is an abuse of process. Those contentions must be rejected. </w:t>
      </w:r>
    </w:p>
    <w:p w14:paraId="09248B48" w14:textId="77777777" w:rsidR="0023595F" w:rsidRPr="00516377" w:rsidRDefault="0023595F" w:rsidP="00516377">
      <w:pPr>
        <w:pStyle w:val="HeadingL2"/>
        <w:spacing w:after="260" w:line="280" w:lineRule="exact"/>
        <w:ind w:right="0"/>
        <w:jc w:val="both"/>
        <w:rPr>
          <w:rFonts w:ascii="Times New Roman" w:hAnsi="Times New Roman"/>
        </w:rPr>
      </w:pPr>
      <w:r w:rsidRPr="00516377">
        <w:rPr>
          <w:rFonts w:ascii="Times New Roman" w:hAnsi="Times New Roman"/>
        </w:rPr>
        <w:t>Deed of Release does not apply</w:t>
      </w:r>
    </w:p>
    <w:p w14:paraId="59FFFA75"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On 24 December 2013, Mayfield, Newcastle Port Corporation and the</w:t>
      </w:r>
      <w:r>
        <w:rPr>
          <w:rFonts w:ascii="Times New Roman" w:hAnsi="Times New Roman"/>
        </w:rPr>
        <w:t> </w:t>
      </w:r>
      <w:r w:rsidRPr="00516377">
        <w:rPr>
          <w:rFonts w:ascii="Times New Roman" w:hAnsi="Times New Roman"/>
        </w:rPr>
        <w:t>State, among others, executed the Deed of Release in which Mayfield was a</w:t>
      </w:r>
      <w:r>
        <w:rPr>
          <w:rFonts w:ascii="Times New Roman" w:hAnsi="Times New Roman"/>
        </w:rPr>
        <w:t> </w:t>
      </w:r>
      <w:r w:rsidRPr="00516377">
        <w:rPr>
          <w:rFonts w:ascii="Times New Roman" w:hAnsi="Times New Roman"/>
        </w:rPr>
        <w:t>"Releasor</w:t>
      </w:r>
      <w:proofErr w:type="gramStart"/>
      <w:r w:rsidRPr="00516377">
        <w:rPr>
          <w:rFonts w:ascii="Times New Roman" w:hAnsi="Times New Roman"/>
        </w:rPr>
        <w:t>"</w:t>
      </w:r>
      <w:proofErr w:type="gramEnd"/>
      <w:r w:rsidRPr="00516377">
        <w:rPr>
          <w:rFonts w:ascii="Times New Roman" w:hAnsi="Times New Roman"/>
        </w:rPr>
        <w:t xml:space="preserve"> and the State and Newcastle Port Corporation were "Releasees". </w:t>
      </w:r>
    </w:p>
    <w:p w14:paraId="4C384846"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By cl 4.1 of the Deed of Release, Mayfield (as a Releasor) released the State (as a Releasee) from all "Claims" which Mayfield had or may have had "against" the State arising from or in connection with the "Release Matters", defined broadly to include, in substance, any matters arising between Mayfield and the State in respect of the Mayfield Site. Clause 4.4 provides that the release in cl 4.1 can be "pleaded in bar and as a complete defence" to any claim to which it applies. The question is: does cl 4.1 of the Deed of Release, properly construed, bar any or </w:t>
      </w:r>
      <w:proofErr w:type="gramStart"/>
      <w:r w:rsidRPr="00516377">
        <w:rPr>
          <w:rFonts w:ascii="Times New Roman" w:hAnsi="Times New Roman"/>
        </w:rPr>
        <w:t>all of</w:t>
      </w:r>
      <w:proofErr w:type="gramEnd"/>
      <w:r w:rsidRPr="00516377">
        <w:rPr>
          <w:rFonts w:ascii="Times New Roman" w:hAnsi="Times New Roman"/>
        </w:rPr>
        <w:t xml:space="preserve"> the Mayfield Claims. The answer is "no".</w:t>
      </w:r>
    </w:p>
    <w:p w14:paraId="2639833E"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It is uncontentious that this proceeding concerns "Release Matters". It is also clear that this proceeding and the Mayfield Claims constitute a "Claim" or</w:t>
      </w:r>
      <w:r>
        <w:rPr>
          <w:rFonts w:ascii="Times New Roman" w:hAnsi="Times New Roman"/>
        </w:rPr>
        <w:t> </w:t>
      </w:r>
      <w:r w:rsidRPr="00516377">
        <w:rPr>
          <w:rFonts w:ascii="Times New Roman" w:hAnsi="Times New Roman"/>
        </w:rPr>
        <w:t>"Claims" as defined in that they are each an "action, suit, cause of action ..." etc. However, neither this proceeding nor the Mayfield Claims is a "Claim" which</w:t>
      </w:r>
      <w:r>
        <w:rPr>
          <w:rFonts w:ascii="Times New Roman" w:hAnsi="Times New Roman"/>
        </w:rPr>
        <w:t> </w:t>
      </w:r>
      <w:r w:rsidRPr="00516377">
        <w:rPr>
          <w:rFonts w:ascii="Times New Roman" w:hAnsi="Times New Roman"/>
        </w:rPr>
        <w:t xml:space="preserve">Mayfield has or may have "against" the State as the plain words of cl 4.1 require. </w:t>
      </w:r>
    </w:p>
    <w:p w14:paraId="076CA4E3"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The release in cl 4.1 was given by Mayfield in favour of the State, not in favour of NSW Ports. Contrary to the submissions of the State, there is no basis to contend that the release applies to "any proceeding to which the State is a necessary respondent and which could affect the State's legal rights". That construction distorts cl 4.1. On its face, the release was intended to, and does, foreclose, relevantly, the possibility of Mayfield making any future claims against the State connected with the development of the </w:t>
      </w:r>
      <w:r w:rsidRPr="00516377" w:rsidDel="003E76F0">
        <w:rPr>
          <w:rFonts w:ascii="Times New Roman" w:hAnsi="Times New Roman"/>
        </w:rPr>
        <w:t xml:space="preserve">Mayfield </w:t>
      </w:r>
      <w:r w:rsidRPr="00516377">
        <w:rPr>
          <w:rFonts w:ascii="Times New Roman" w:hAnsi="Times New Roman"/>
        </w:rPr>
        <w:t>Site. Like the text of cl 4.1, that</w:t>
      </w:r>
      <w:r>
        <w:rPr>
          <w:rFonts w:ascii="Times New Roman" w:hAnsi="Times New Roman"/>
        </w:rPr>
        <w:t> </w:t>
      </w:r>
      <w:r w:rsidRPr="00516377">
        <w:rPr>
          <w:rFonts w:ascii="Times New Roman" w:hAnsi="Times New Roman"/>
        </w:rPr>
        <w:t xml:space="preserve">purpose gives central importance to the existence of a claim against the State. </w:t>
      </w:r>
    </w:p>
    <w:p w14:paraId="6DFE5741"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The release does not and cannot apply to this proceeding because this proceeding involves claims by Mayfield against NSW Ports, not against the State. It is against NSW Ports that Mayfield seeks relief. While Mayfield initially sought declarations implicating the State, Mayfield was granted leave to amend its claim to remove each claim for declaratory relief. As counsel for Mayfield explained before the primary judge, the basis for removing the claims for declaratory relief was "to make it clear that no claim is made against the State". </w:t>
      </w:r>
    </w:p>
    <w:p w14:paraId="51663AB2"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b/>
          <w:bCs/>
        </w:rPr>
        <w:lastRenderedPageBreak/>
        <w:tab/>
      </w:r>
      <w:r w:rsidRPr="00516377">
        <w:rPr>
          <w:rFonts w:ascii="Times New Roman" w:hAnsi="Times New Roman"/>
        </w:rPr>
        <w:t xml:space="preserve">The fact that the State's conduct might be impugned, by virtue of it being party to an unlawful "understanding", in this proceeding does not </w:t>
      </w:r>
      <w:r w:rsidRPr="00516377" w:rsidDel="00952B67">
        <w:rPr>
          <w:rFonts w:ascii="Times New Roman" w:hAnsi="Times New Roman"/>
        </w:rPr>
        <w:t>amount to</w:t>
      </w:r>
      <w:r w:rsidRPr="00516377">
        <w:rPr>
          <w:rFonts w:ascii="Times New Roman" w:hAnsi="Times New Roman"/>
        </w:rPr>
        <w:t xml:space="preserve"> a</w:t>
      </w:r>
      <w:r>
        <w:rPr>
          <w:rFonts w:ascii="Times New Roman" w:hAnsi="Times New Roman"/>
        </w:rPr>
        <w:t> </w:t>
      </w:r>
      <w:r w:rsidRPr="00516377">
        <w:rPr>
          <w:rFonts w:ascii="Times New Roman" w:hAnsi="Times New Roman"/>
        </w:rPr>
        <w:t>claim against</w:t>
      </w:r>
      <w:r w:rsidRPr="00516377">
        <w:rPr>
          <w:rFonts w:ascii="Times New Roman" w:hAnsi="Times New Roman"/>
          <w:i/>
          <w:iCs/>
        </w:rPr>
        <w:t xml:space="preserve"> </w:t>
      </w:r>
      <w:r w:rsidRPr="00516377">
        <w:rPr>
          <w:rFonts w:ascii="Times New Roman" w:hAnsi="Times New Roman"/>
        </w:rPr>
        <w:t>the State. There is not a legal claim against a person every time their conduct is incidentally criticised in court proceedings. Nor does the fact that the State is a party to the proceeding mean the proceeding involves a claim against the State. The State is a party because its interests may be affected by the potential application of s 4L of the CCA to any findings of contravention that might be made. If s 4L is engaged by any success that Mayfield may have in this proceeding then s 4L will operate of its own accord to sever the impugned provisions of the</w:t>
      </w:r>
      <w:r>
        <w:rPr>
          <w:rFonts w:ascii="Times New Roman" w:hAnsi="Times New Roman"/>
        </w:rPr>
        <w:t> </w:t>
      </w:r>
      <w:r w:rsidRPr="00516377">
        <w:rPr>
          <w:rFonts w:ascii="Times New Roman" w:hAnsi="Times New Roman"/>
        </w:rPr>
        <w:t>PCDs.</w:t>
      </w:r>
      <w:r w:rsidRPr="00516377">
        <w:rPr>
          <w:rStyle w:val="FootnoteReference"/>
          <w:rFonts w:ascii="Times New Roman" w:hAnsi="Times New Roman"/>
          <w:sz w:val="24"/>
        </w:rPr>
        <w:footnoteReference w:id="55"/>
      </w:r>
      <w:r w:rsidRPr="00516377">
        <w:rPr>
          <w:rFonts w:ascii="Times New Roman" w:hAnsi="Times New Roman"/>
        </w:rPr>
        <w:t xml:space="preserve"> Therefore, Mayfield's success in the proceeding would have automatic consequences for the State, by reason of it being a party to the PCDs. </w:t>
      </w:r>
    </w:p>
    <w:p w14:paraId="59E68FA9"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b/>
          <w:bCs/>
        </w:rPr>
        <w:tab/>
      </w:r>
      <w:r w:rsidRPr="00516377">
        <w:rPr>
          <w:rFonts w:ascii="Times New Roman" w:hAnsi="Times New Roman"/>
        </w:rPr>
        <w:t>However,</w:t>
      </w:r>
      <w:r w:rsidRPr="00516377">
        <w:rPr>
          <w:rFonts w:ascii="Times New Roman" w:hAnsi="Times New Roman"/>
          <w:b/>
          <w:bCs/>
        </w:rPr>
        <w:t xml:space="preserve"> </w:t>
      </w:r>
      <w:r w:rsidRPr="00516377">
        <w:rPr>
          <w:rFonts w:ascii="Times New Roman" w:hAnsi="Times New Roman"/>
        </w:rPr>
        <w:t>the fact that, by reason of s 4L of the CCA, Mayfield's success may have consequences for the State does not somehow transform the proceeding into a claim "against" the State. If the preconditions to engaging s 4L of the CCA are established,</w:t>
      </w:r>
      <w:r w:rsidRPr="00516377">
        <w:rPr>
          <w:rStyle w:val="FootnoteReference"/>
          <w:rFonts w:ascii="Times New Roman" w:hAnsi="Times New Roman"/>
          <w:sz w:val="24"/>
        </w:rPr>
        <w:footnoteReference w:id="56"/>
      </w:r>
      <w:r w:rsidRPr="00516377">
        <w:rPr>
          <w:rFonts w:ascii="Times New Roman" w:hAnsi="Times New Roman"/>
        </w:rPr>
        <w:t xml:space="preserve"> then its consequences are mandatory. It operates without any court order invoking it,</w:t>
      </w:r>
      <w:r w:rsidRPr="00516377">
        <w:rPr>
          <w:rStyle w:val="FootnoteReference"/>
          <w:rFonts w:ascii="Times New Roman" w:hAnsi="Times New Roman"/>
          <w:sz w:val="24"/>
        </w:rPr>
        <w:footnoteReference w:id="57"/>
      </w:r>
      <w:r w:rsidRPr="00516377">
        <w:rPr>
          <w:rFonts w:ascii="Times New Roman" w:hAnsi="Times New Roman"/>
        </w:rPr>
        <w:t xml:space="preserve"> although a court may resolve a dispute about whether it has been engaged and the scope of its application. If s 4L is engaged by the findings made in this proceeding, s 4L has consequences for the State, just as it would have consequences for any party to a contract affected by s 4L. Even so, it does not follow that Mayfield is claiming relief against the State or otherwise making a</w:t>
      </w:r>
      <w:r>
        <w:rPr>
          <w:rFonts w:ascii="Times New Roman" w:hAnsi="Times New Roman"/>
        </w:rPr>
        <w:t> </w:t>
      </w:r>
      <w:r w:rsidRPr="00516377">
        <w:rPr>
          <w:rFonts w:ascii="Times New Roman" w:hAnsi="Times New Roman"/>
        </w:rPr>
        <w:t xml:space="preserve">claim against the State. </w:t>
      </w:r>
    </w:p>
    <w:p w14:paraId="7D222DCB" w14:textId="77777777" w:rsidR="0023595F" w:rsidRPr="00516377" w:rsidRDefault="0023595F" w:rsidP="00516377">
      <w:pPr>
        <w:pStyle w:val="HeadingL2"/>
        <w:spacing w:after="260" w:line="280" w:lineRule="exact"/>
        <w:ind w:right="0"/>
        <w:jc w:val="both"/>
        <w:rPr>
          <w:rFonts w:ascii="Times New Roman" w:hAnsi="Times New Roman"/>
        </w:rPr>
      </w:pPr>
      <w:r w:rsidRPr="00516377">
        <w:rPr>
          <w:rFonts w:ascii="Times New Roman" w:hAnsi="Times New Roman"/>
        </w:rPr>
        <w:t>No issue estoppel</w:t>
      </w:r>
    </w:p>
    <w:p w14:paraId="2343B810"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Issue estoppel is a common law doctrine informed by considerations of finality and fairness.</w:t>
      </w:r>
      <w:r w:rsidRPr="00516377">
        <w:rPr>
          <w:rStyle w:val="FootnoteReference"/>
          <w:rFonts w:ascii="Times New Roman" w:hAnsi="Times New Roman"/>
          <w:sz w:val="24"/>
        </w:rPr>
        <w:footnoteReference w:id="58"/>
      </w:r>
      <w:r w:rsidRPr="00516377">
        <w:rPr>
          <w:rFonts w:ascii="Times New Roman" w:hAnsi="Times New Roman"/>
        </w:rPr>
        <w:t xml:space="preserve"> Issue estoppel precludes "the raising in a subsequent proceeding of an ultimate issue of fact or law which was necessarily resolved as a</w:t>
      </w:r>
      <w:r>
        <w:rPr>
          <w:rFonts w:ascii="Times New Roman" w:hAnsi="Times New Roman"/>
        </w:rPr>
        <w:t> </w:t>
      </w:r>
      <w:r w:rsidRPr="00516377">
        <w:rPr>
          <w:rFonts w:ascii="Times New Roman" w:hAnsi="Times New Roman"/>
        </w:rPr>
        <w:t>step in reaching the determination made" in a prior judgment.</w:t>
      </w:r>
      <w:r w:rsidRPr="00516377">
        <w:rPr>
          <w:rStyle w:val="FootnoteReference"/>
          <w:rFonts w:ascii="Times New Roman" w:hAnsi="Times New Roman"/>
          <w:sz w:val="24"/>
        </w:rPr>
        <w:footnoteReference w:id="59"/>
      </w:r>
      <w:r w:rsidRPr="00516377">
        <w:rPr>
          <w:rFonts w:ascii="Times New Roman" w:hAnsi="Times New Roman"/>
        </w:rPr>
        <w:t xml:space="preserve"> A judicial determination directly involving an issue of fact or law disposes once and for all of the issue, so that it cannot afterwards be raised between the same parties.</w:t>
      </w:r>
      <w:r w:rsidRPr="00516377">
        <w:rPr>
          <w:rStyle w:val="FootnoteReference"/>
          <w:rFonts w:ascii="Times New Roman" w:hAnsi="Times New Roman"/>
          <w:sz w:val="24"/>
        </w:rPr>
        <w:footnoteReference w:id="60"/>
      </w:r>
      <w:r w:rsidRPr="00516377">
        <w:rPr>
          <w:rFonts w:ascii="Times New Roman" w:hAnsi="Times New Roman"/>
        </w:rPr>
        <w:t xml:space="preserve"> </w:t>
      </w:r>
      <w:r w:rsidRPr="00516377">
        <w:rPr>
          <w:rFonts w:ascii="Times New Roman" w:hAnsi="Times New Roman"/>
        </w:rPr>
        <w:lastRenderedPageBreak/>
        <w:t>The</w:t>
      </w:r>
      <w:r>
        <w:rPr>
          <w:rFonts w:ascii="Times New Roman" w:hAnsi="Times New Roman"/>
        </w:rPr>
        <w:t> </w:t>
      </w:r>
      <w:r w:rsidRPr="00516377">
        <w:rPr>
          <w:rFonts w:ascii="Times New Roman" w:hAnsi="Times New Roman"/>
        </w:rPr>
        <w:t>justice of binding a person to the outcome of a prior proceeding is that, by</w:t>
      </w:r>
      <w:r>
        <w:rPr>
          <w:rFonts w:ascii="Times New Roman" w:hAnsi="Times New Roman"/>
        </w:rPr>
        <w:t> </w:t>
      </w:r>
      <w:r w:rsidRPr="00516377">
        <w:rPr>
          <w:rFonts w:ascii="Times New Roman" w:hAnsi="Times New Roman"/>
        </w:rPr>
        <w:t>virtue of their participation in that proceeding, "the person has already had an</w:t>
      </w:r>
      <w:r>
        <w:rPr>
          <w:rFonts w:ascii="Times New Roman" w:hAnsi="Times New Roman"/>
        </w:rPr>
        <w:t> </w:t>
      </w:r>
      <w:r w:rsidRPr="00516377">
        <w:rPr>
          <w:rFonts w:ascii="Times New Roman" w:hAnsi="Times New Roman"/>
        </w:rPr>
        <w:t>opportunity to present evidence and arguments".</w:t>
      </w:r>
      <w:r w:rsidRPr="00516377">
        <w:rPr>
          <w:rStyle w:val="FootnoteReference"/>
          <w:rFonts w:ascii="Times New Roman" w:hAnsi="Times New Roman"/>
          <w:sz w:val="24"/>
        </w:rPr>
        <w:footnoteReference w:id="61"/>
      </w:r>
    </w:p>
    <w:p w14:paraId="77F90644"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An issue estoppel may arise in respect of a party that was an intervener in the previous proceeding.</w:t>
      </w:r>
      <w:r w:rsidRPr="00516377">
        <w:rPr>
          <w:rStyle w:val="FootnoteReference"/>
          <w:rFonts w:ascii="Times New Roman" w:hAnsi="Times New Roman"/>
          <w:sz w:val="24"/>
        </w:rPr>
        <w:footnoteReference w:id="62"/>
      </w:r>
      <w:r w:rsidRPr="00516377">
        <w:rPr>
          <w:rFonts w:ascii="Times New Roman" w:hAnsi="Times New Roman"/>
        </w:rPr>
        <w:t xml:space="preserve"> Whether issue estoppel arises in respect of an intervener turns on the extent of their participation in the previous proceeding. As the primary judge explained, "[t]he justice of binding a person by issue estoppel is active participation in the conduct of a proceeding". Or, put in different terms, an issue estoppel can arise against an intervener that "has had a fair and full opportunity to contest the issue".</w:t>
      </w:r>
      <w:r w:rsidRPr="00516377">
        <w:rPr>
          <w:rStyle w:val="FootnoteReference"/>
          <w:rFonts w:ascii="Times New Roman" w:hAnsi="Times New Roman"/>
          <w:sz w:val="24"/>
        </w:rPr>
        <w:footnoteReference w:id="63"/>
      </w:r>
      <w:r w:rsidRPr="00516377">
        <w:rPr>
          <w:rFonts w:ascii="Times New Roman" w:hAnsi="Times New Roman"/>
        </w:rPr>
        <w:t xml:space="preserve"> The rationale for the requirement of fair and full participation was explained by this Court in </w:t>
      </w:r>
      <w:r w:rsidRPr="00516377">
        <w:rPr>
          <w:rFonts w:ascii="Times New Roman" w:hAnsi="Times New Roman"/>
          <w:i/>
          <w:iCs/>
        </w:rPr>
        <w:t>Tomlinson v Ramsey Food Processing Pty Ltd</w:t>
      </w:r>
      <w:r w:rsidRPr="00516377">
        <w:rPr>
          <w:rFonts w:ascii="Times New Roman" w:hAnsi="Times New Roman"/>
        </w:rPr>
        <w:t>:</w:t>
      </w:r>
      <w:r w:rsidRPr="00516377">
        <w:rPr>
          <w:rStyle w:val="FootnoteReference"/>
          <w:rFonts w:ascii="Times New Roman" w:hAnsi="Times New Roman"/>
          <w:sz w:val="24"/>
        </w:rPr>
        <w:footnoteReference w:id="64"/>
      </w:r>
    </w:p>
    <w:p w14:paraId="27725158" w14:textId="77777777" w:rsidR="0023595F" w:rsidRDefault="0023595F" w:rsidP="00516377">
      <w:pPr>
        <w:pStyle w:val="leftright"/>
        <w:spacing w:before="0" w:after="260" w:line="280" w:lineRule="exact"/>
        <w:ind w:right="0"/>
        <w:jc w:val="both"/>
        <w:rPr>
          <w:rFonts w:ascii="Times New Roman" w:hAnsi="Times New Roman"/>
        </w:rPr>
      </w:pPr>
      <w:r w:rsidRPr="00516377">
        <w:rPr>
          <w:rFonts w:ascii="Times New Roman" w:hAnsi="Times New Roman"/>
        </w:rPr>
        <w:t>"It would be quite unjust for ... a person to be precluded from asserting what the person claims to be the truth if the person did not have an opportunity to exercise control over the presentation of evidence and the making of arguments in the earlier proceeding and if the potential detriment to the</w:t>
      </w:r>
      <w:r>
        <w:rPr>
          <w:rFonts w:ascii="Times New Roman" w:hAnsi="Times New Roman"/>
        </w:rPr>
        <w:t> </w:t>
      </w:r>
      <w:r w:rsidRPr="00516377">
        <w:rPr>
          <w:rFonts w:ascii="Times New Roman" w:hAnsi="Times New Roman"/>
        </w:rPr>
        <w:t>person from creating such an estoppel was not fairly taken into account in the decision to make or defend the claim in the earlier proceeding or in the conduct of the earlier proceeding."</w:t>
      </w:r>
    </w:p>
    <w:p w14:paraId="67A77382"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r>
      <w:bookmarkStart w:id="0" w:name="_Ref215149903"/>
      <w:r w:rsidRPr="00516377">
        <w:rPr>
          <w:rFonts w:ascii="Times New Roman" w:hAnsi="Times New Roman"/>
        </w:rPr>
        <w:t>Mayfield is not estopped from litigating the derivative Crown immunity issue in this proceeding by reason of its prior intervention in the ACCC Appeal. Mayfield did not have a fair and full opportunity to contest that issue</w:t>
      </w:r>
      <w:bookmarkEnd w:id="0"/>
      <w:r w:rsidRPr="00516377">
        <w:rPr>
          <w:rFonts w:ascii="Times New Roman" w:hAnsi="Times New Roman"/>
        </w:rPr>
        <w:t xml:space="preserve"> in the ACCC Appeal. First, Mayfield's participation as an intervener in the ACCC Appeal was constrained. Under the </w:t>
      </w:r>
      <w:r w:rsidRPr="00516377">
        <w:rPr>
          <w:rFonts w:ascii="Times New Roman" w:hAnsi="Times New Roman"/>
          <w:i/>
        </w:rPr>
        <w:t>Federal Court Rules 2011</w:t>
      </w:r>
      <w:r w:rsidRPr="00516377">
        <w:rPr>
          <w:rFonts w:ascii="Times New Roman" w:hAnsi="Times New Roman"/>
        </w:rPr>
        <w:t xml:space="preserve"> (</w:t>
      </w:r>
      <w:proofErr w:type="spellStart"/>
      <w:r w:rsidRPr="00516377">
        <w:rPr>
          <w:rFonts w:ascii="Times New Roman" w:hAnsi="Times New Roman"/>
        </w:rPr>
        <w:t>Cth</w:t>
      </w:r>
      <w:proofErr w:type="spellEnd"/>
      <w:r w:rsidRPr="00516377">
        <w:rPr>
          <w:rFonts w:ascii="Times New Roman" w:hAnsi="Times New Roman"/>
        </w:rPr>
        <w:t>), "[t]he role of the</w:t>
      </w:r>
      <w:r>
        <w:rPr>
          <w:rFonts w:ascii="Times New Roman" w:hAnsi="Times New Roman"/>
        </w:rPr>
        <w:t> </w:t>
      </w:r>
      <w:r w:rsidRPr="00516377">
        <w:rPr>
          <w:rFonts w:ascii="Times New Roman" w:hAnsi="Times New Roman"/>
        </w:rPr>
        <w:t>intervener is solely to assist the Court in resolving the issues raised by the</w:t>
      </w:r>
      <w:r>
        <w:rPr>
          <w:rFonts w:ascii="Times New Roman" w:hAnsi="Times New Roman"/>
        </w:rPr>
        <w:t> </w:t>
      </w:r>
      <w:r w:rsidRPr="00516377">
        <w:rPr>
          <w:rFonts w:ascii="Times New Roman" w:hAnsi="Times New Roman"/>
        </w:rPr>
        <w:t>parties".</w:t>
      </w:r>
      <w:r w:rsidRPr="00516377">
        <w:rPr>
          <w:rStyle w:val="FootnoteReference"/>
          <w:rFonts w:ascii="Times New Roman" w:hAnsi="Times New Roman"/>
          <w:sz w:val="24"/>
        </w:rPr>
        <w:footnoteReference w:id="65"/>
      </w:r>
      <w:r w:rsidRPr="00516377">
        <w:rPr>
          <w:rFonts w:ascii="Times New Roman" w:hAnsi="Times New Roman"/>
        </w:rPr>
        <w:t xml:space="preserve"> In other words, the intervener's role is </w:t>
      </w:r>
      <w:proofErr w:type="gramStart"/>
      <w:r w:rsidRPr="00516377">
        <w:rPr>
          <w:rFonts w:ascii="Times New Roman" w:hAnsi="Times New Roman"/>
        </w:rPr>
        <w:t>in the nature of an</w:t>
      </w:r>
      <w:proofErr w:type="gramEnd"/>
      <w:r w:rsidRPr="00516377">
        <w:rPr>
          <w:rFonts w:ascii="Times New Roman" w:hAnsi="Times New Roman"/>
        </w:rPr>
        <w:t xml:space="preserve"> amicus </w:t>
      </w:r>
      <w:proofErr w:type="gramStart"/>
      <w:r w:rsidRPr="00516377">
        <w:rPr>
          <w:rFonts w:ascii="Times New Roman" w:hAnsi="Times New Roman"/>
        </w:rPr>
        <w:t>curiae</w:t>
      </w:r>
      <w:proofErr w:type="gramEnd"/>
      <w:r w:rsidRPr="00516377">
        <w:rPr>
          <w:rFonts w:ascii="Times New Roman" w:hAnsi="Times New Roman"/>
        </w:rPr>
        <w:t xml:space="preserve">. Mayfield's limited role as intervener under the </w:t>
      </w:r>
      <w:r w:rsidRPr="00516377">
        <w:rPr>
          <w:rFonts w:ascii="Times New Roman" w:hAnsi="Times New Roman"/>
          <w:i/>
          <w:iCs/>
        </w:rPr>
        <w:t>Federal Court Rules</w:t>
      </w:r>
      <w:r w:rsidRPr="00516377">
        <w:rPr>
          <w:rFonts w:ascii="Times New Roman" w:hAnsi="Times New Roman"/>
        </w:rPr>
        <w:t xml:space="preserve"> was very different to the kind of intervention discussed by this Court in </w:t>
      </w:r>
      <w:r w:rsidRPr="00516377">
        <w:rPr>
          <w:rFonts w:ascii="Times New Roman" w:hAnsi="Times New Roman"/>
          <w:i/>
          <w:iCs/>
        </w:rPr>
        <w:t>Australian Securities Commission v Marlborough Gold Mines Ltd</w:t>
      </w:r>
      <w:r w:rsidRPr="00516377">
        <w:rPr>
          <w:rStyle w:val="FootnoteReference"/>
          <w:rFonts w:ascii="Times New Roman" w:hAnsi="Times New Roman"/>
          <w:sz w:val="24"/>
        </w:rPr>
        <w:footnoteReference w:id="66"/>
      </w:r>
      <w:r w:rsidRPr="00516377">
        <w:rPr>
          <w:rFonts w:ascii="Times New Roman" w:hAnsi="Times New Roman"/>
        </w:rPr>
        <w:t xml:space="preserve"> where, under the relevant </w:t>
      </w:r>
      <w:r w:rsidRPr="00516377">
        <w:rPr>
          <w:rFonts w:ascii="Times New Roman" w:hAnsi="Times New Roman"/>
        </w:rPr>
        <w:lastRenderedPageBreak/>
        <w:t xml:space="preserve">statute, the Commission could exercise a right to intervene whereupon it was "deemed to be a party". </w:t>
      </w:r>
    </w:p>
    <w:p w14:paraId="1E073A90"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b/>
          <w:bCs/>
        </w:rPr>
        <w:tab/>
      </w:r>
      <w:r w:rsidRPr="00516377">
        <w:rPr>
          <w:rFonts w:ascii="Times New Roman" w:hAnsi="Times New Roman"/>
          <w:bCs/>
        </w:rPr>
        <w:t>Second,</w:t>
      </w:r>
      <w:r w:rsidRPr="00516377">
        <w:rPr>
          <w:rFonts w:ascii="Times New Roman" w:hAnsi="Times New Roman"/>
        </w:rPr>
        <w:t xml:space="preserve"> Mayfield was granted leave to intervene</w:t>
      </w:r>
      <w:r w:rsidRPr="00516377" w:rsidDel="00D20B76">
        <w:rPr>
          <w:rFonts w:ascii="Times New Roman" w:hAnsi="Times New Roman"/>
        </w:rPr>
        <w:t xml:space="preserve"> </w:t>
      </w:r>
      <w:r w:rsidRPr="00516377">
        <w:rPr>
          <w:rFonts w:ascii="Times New Roman" w:hAnsi="Times New Roman"/>
        </w:rPr>
        <w:t>in the ACCC Appeal on terms limited to filing 15 pages of written submissions in that a</w:t>
      </w:r>
      <w:r w:rsidRPr="00516377" w:rsidDel="00D20B76">
        <w:rPr>
          <w:rFonts w:ascii="Times New Roman" w:hAnsi="Times New Roman"/>
        </w:rPr>
        <w:t>ppeal</w:t>
      </w:r>
      <w:r w:rsidRPr="00516377">
        <w:rPr>
          <w:rFonts w:ascii="Times New Roman" w:hAnsi="Times New Roman"/>
        </w:rPr>
        <w:t>.</w:t>
      </w:r>
      <w:r w:rsidRPr="00516377" w:rsidDel="00D20B76">
        <w:rPr>
          <w:rFonts w:ascii="Times New Roman" w:hAnsi="Times New Roman"/>
        </w:rPr>
        <w:t xml:space="preserve"> </w:t>
      </w:r>
      <w:r w:rsidRPr="00516377">
        <w:rPr>
          <w:rFonts w:ascii="Times New Roman" w:hAnsi="Times New Roman"/>
        </w:rPr>
        <w:t>Mayfield</w:t>
      </w:r>
      <w:r>
        <w:rPr>
          <w:rFonts w:ascii="Times New Roman" w:hAnsi="Times New Roman"/>
        </w:rPr>
        <w:t> </w:t>
      </w:r>
      <w:r w:rsidRPr="00516377">
        <w:rPr>
          <w:rFonts w:ascii="Times New Roman" w:hAnsi="Times New Roman"/>
        </w:rPr>
        <w:t>made no oral submissions and did not otherwise participate in the appeal</w:t>
      </w:r>
      <w:r w:rsidRPr="00516377" w:rsidDel="00C4225C">
        <w:rPr>
          <w:rFonts w:ascii="Times New Roman" w:hAnsi="Times New Roman"/>
        </w:rPr>
        <w:t>.</w:t>
      </w:r>
      <w:r w:rsidRPr="00516377">
        <w:rPr>
          <w:rFonts w:ascii="Times New Roman" w:hAnsi="Times New Roman"/>
        </w:rPr>
        <w:t xml:space="preserve"> Mayfield did not participate in the trial. </w:t>
      </w:r>
    </w:p>
    <w:p w14:paraId="165E7537"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Third, the fact that Mayfield relied in this proceeding on the same critical facts and claims as those in the ACCC Proceeding is not determinative. Mayfield</w:t>
      </w:r>
      <w:r>
        <w:rPr>
          <w:rFonts w:ascii="Times New Roman" w:hAnsi="Times New Roman"/>
        </w:rPr>
        <w:t> </w:t>
      </w:r>
      <w:r w:rsidRPr="00516377">
        <w:rPr>
          <w:rFonts w:ascii="Times New Roman" w:hAnsi="Times New Roman"/>
        </w:rPr>
        <w:t>could not</w:t>
      </w:r>
      <w:r w:rsidRPr="00516377">
        <w:rPr>
          <w:rStyle w:val="FootnoteReference"/>
          <w:rFonts w:ascii="Times New Roman" w:hAnsi="Times New Roman"/>
          <w:sz w:val="24"/>
        </w:rPr>
        <w:footnoteReference w:id="67"/>
      </w:r>
      <w:r w:rsidRPr="00516377">
        <w:rPr>
          <w:rFonts w:ascii="Times New Roman" w:hAnsi="Times New Roman"/>
        </w:rPr>
        <w:t xml:space="preserve"> and "did not have an opportunity to exercise control over the</w:t>
      </w:r>
      <w:r>
        <w:rPr>
          <w:rFonts w:ascii="Times New Roman" w:hAnsi="Times New Roman"/>
        </w:rPr>
        <w:t> </w:t>
      </w:r>
      <w:r w:rsidRPr="00516377">
        <w:rPr>
          <w:rFonts w:ascii="Times New Roman" w:hAnsi="Times New Roman"/>
        </w:rPr>
        <w:t>presentation of evidence"</w:t>
      </w:r>
      <w:r w:rsidRPr="00516377">
        <w:rPr>
          <w:rStyle w:val="FootnoteReference"/>
          <w:rFonts w:ascii="Times New Roman" w:hAnsi="Times New Roman"/>
          <w:sz w:val="24"/>
        </w:rPr>
        <w:footnoteReference w:id="68"/>
      </w:r>
      <w:r w:rsidRPr="00516377">
        <w:rPr>
          <w:rFonts w:ascii="Times New Roman" w:hAnsi="Times New Roman"/>
        </w:rPr>
        <w:t xml:space="preserve"> or the shaping of the issues in the trial of the ACCC Proceeding. Mayfield intervened in the ACCC Appeal taking the facts and issues from the trial of the ACCC Proceeding as it found them. </w:t>
      </w:r>
    </w:p>
    <w:p w14:paraId="40C37CB9"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Finally, there is no basis to contend that, because Mayfield considered its submissions to be "fully ventilated" and elected not to make oral submissions, it</w:t>
      </w:r>
      <w:r>
        <w:rPr>
          <w:rFonts w:ascii="Times New Roman" w:hAnsi="Times New Roman"/>
        </w:rPr>
        <w:t> </w:t>
      </w:r>
      <w:r w:rsidRPr="00516377">
        <w:rPr>
          <w:rFonts w:ascii="Times New Roman" w:hAnsi="Times New Roman"/>
        </w:rPr>
        <w:t xml:space="preserve">had a fair and full opportunity to participate actively in the ACCC Proceeding. As has been explained, Mayfield was constrained as an intervener. Its conduct was consistent with those constraints. For </w:t>
      </w:r>
      <w:proofErr w:type="gramStart"/>
      <w:r w:rsidRPr="00516377">
        <w:rPr>
          <w:rFonts w:ascii="Times New Roman" w:hAnsi="Times New Roman"/>
        </w:rPr>
        <w:t>all of</w:t>
      </w:r>
      <w:proofErr w:type="gramEnd"/>
      <w:r w:rsidRPr="00516377">
        <w:rPr>
          <w:rFonts w:ascii="Times New Roman" w:hAnsi="Times New Roman"/>
        </w:rPr>
        <w:t xml:space="preserve"> those reasons, that cannot be said to be "active participation" by Mayfield. </w:t>
      </w:r>
    </w:p>
    <w:p w14:paraId="26949276"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Mayfield's intervention in the ACCC Appeal also did not confer on it any other rights or privileges. Mayfield could not determine or influence the decision by the ACCC not to seek special leave to appeal and there was no realistic possibility that it could have sought special leave itself. It did not have standing to challenge the order dismissing the ACCC Appeal on the factual determinations of the Full Federal Court. It was bound by that order only as a matter of precedent and in the same way that all other persons are affected by a precedent established by an intermediate court of appeal; Mayfield was not otherwise affected by that order.</w:t>
      </w:r>
      <w:r w:rsidRPr="00516377">
        <w:rPr>
          <w:rFonts w:ascii="Times New Roman" w:hAnsi="Times New Roman"/>
          <w:b/>
          <w:bCs/>
        </w:rPr>
        <w:t xml:space="preserve"> </w:t>
      </w:r>
      <w:r w:rsidRPr="00516377">
        <w:rPr>
          <w:rFonts w:ascii="Times New Roman" w:hAnsi="Times New Roman"/>
        </w:rPr>
        <w:t>It is difficult to accept that, in circumstances where Mayfield could not have sought special leave to appeal from the orders made by the Full Federal Court in the ACCC Appeal, Mayfield cannot raise the derivative Crown immunity issue in its own proceeding, since</w:t>
      </w:r>
      <w:r w:rsidRPr="00516377" w:rsidDel="00F57427">
        <w:rPr>
          <w:rFonts w:ascii="Times New Roman" w:hAnsi="Times New Roman"/>
        </w:rPr>
        <w:t xml:space="preserve"> </w:t>
      </w:r>
      <w:r w:rsidRPr="00516377">
        <w:rPr>
          <w:rFonts w:ascii="Times New Roman" w:hAnsi="Times New Roman"/>
        </w:rPr>
        <w:t>that would leave Mayfield with no avenue to challenge that aspect of the decision in the ACCC Appeal, which would thereby leave Mayfield even more "bound" by the decision than if it had been a party to the</w:t>
      </w:r>
      <w:r>
        <w:rPr>
          <w:rFonts w:ascii="Times New Roman" w:hAnsi="Times New Roman"/>
        </w:rPr>
        <w:t> </w:t>
      </w:r>
      <w:r w:rsidRPr="00516377">
        <w:rPr>
          <w:rFonts w:ascii="Times New Roman" w:hAnsi="Times New Roman"/>
        </w:rPr>
        <w:t xml:space="preserve">ACCC Proceeding. This would not be a fair outcome. Moreover, no liabilities were attached to Mayfield's intervention, save that the costs of the intervention </w:t>
      </w:r>
      <w:r w:rsidRPr="00516377">
        <w:rPr>
          <w:rFonts w:ascii="Times New Roman" w:hAnsi="Times New Roman"/>
        </w:rPr>
        <w:lastRenderedPageBreak/>
        <w:t>were reserved, underscoring the limited nature of Mayfield's participation in the</w:t>
      </w:r>
      <w:r>
        <w:rPr>
          <w:rFonts w:ascii="Times New Roman" w:hAnsi="Times New Roman"/>
        </w:rPr>
        <w:t> </w:t>
      </w:r>
      <w:r w:rsidRPr="00516377">
        <w:rPr>
          <w:rFonts w:ascii="Times New Roman" w:hAnsi="Times New Roman"/>
        </w:rPr>
        <w:t>ACCC Appeal.</w:t>
      </w:r>
    </w:p>
    <w:p w14:paraId="2CC376C2"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For those reasons, Mayfield is not estopped in this proceeding from raising the derivative Crown immunity issue merely by its limited role as intervener in the</w:t>
      </w:r>
      <w:r>
        <w:rPr>
          <w:rFonts w:ascii="Times New Roman" w:hAnsi="Times New Roman"/>
        </w:rPr>
        <w:t> </w:t>
      </w:r>
      <w:r w:rsidRPr="00516377">
        <w:rPr>
          <w:rFonts w:ascii="Times New Roman" w:hAnsi="Times New Roman"/>
        </w:rPr>
        <w:t xml:space="preserve">ACCC Appeal. </w:t>
      </w:r>
    </w:p>
    <w:p w14:paraId="61AFCBAA" w14:textId="77777777" w:rsidR="0023595F" w:rsidRPr="00516377" w:rsidRDefault="0023595F" w:rsidP="00516377">
      <w:pPr>
        <w:pStyle w:val="HeadingL2"/>
        <w:spacing w:after="260" w:line="280" w:lineRule="exact"/>
        <w:ind w:right="0"/>
        <w:jc w:val="both"/>
        <w:rPr>
          <w:rFonts w:ascii="Times New Roman" w:hAnsi="Times New Roman"/>
        </w:rPr>
      </w:pPr>
      <w:r w:rsidRPr="00516377">
        <w:rPr>
          <w:rFonts w:ascii="Times New Roman" w:hAnsi="Times New Roman"/>
        </w:rPr>
        <w:t>Proceeding not an abuse of process</w:t>
      </w:r>
    </w:p>
    <w:p w14:paraId="302514C5"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Although the doctrine of abuse of process is informed, in part, by similar considerations of finality and fairness as issue estoppel, it is "inherently broader and more flexible than estoppel".</w:t>
      </w:r>
      <w:r w:rsidRPr="00516377">
        <w:rPr>
          <w:rStyle w:val="FootnoteReference"/>
          <w:rFonts w:ascii="Times New Roman" w:hAnsi="Times New Roman"/>
          <w:sz w:val="24"/>
        </w:rPr>
        <w:footnoteReference w:id="69"/>
      </w:r>
      <w:r w:rsidRPr="00516377">
        <w:rPr>
          <w:rFonts w:ascii="Times New Roman" w:hAnsi="Times New Roman"/>
          <w:b/>
        </w:rPr>
        <w:t xml:space="preserve"> </w:t>
      </w:r>
      <w:r w:rsidRPr="00516377">
        <w:rPr>
          <w:rFonts w:ascii="Times New Roman" w:hAnsi="Times New Roman"/>
          <w:bCs/>
        </w:rPr>
        <w:t>As </w:t>
      </w:r>
      <w:r w:rsidRPr="00516377">
        <w:rPr>
          <w:rFonts w:ascii="Times New Roman" w:hAnsi="Times New Roman"/>
        </w:rPr>
        <w:t xml:space="preserve">Mason CJ said in </w:t>
      </w:r>
      <w:r w:rsidRPr="00516377">
        <w:rPr>
          <w:rFonts w:ascii="Times New Roman" w:hAnsi="Times New Roman"/>
          <w:i/>
          <w:iCs/>
        </w:rPr>
        <w:t>Rogers v The Queen</w:t>
      </w:r>
      <w:r w:rsidRPr="00516377">
        <w:rPr>
          <w:rFonts w:ascii="Times New Roman" w:hAnsi="Times New Roman"/>
        </w:rPr>
        <w:t>: "there are two aspects to abuse of process: first, the aspect of vexation, oppression and unfairness to the other party to the litigation and, secondly, the fact that the</w:t>
      </w:r>
      <w:r>
        <w:rPr>
          <w:rFonts w:ascii="Times New Roman" w:hAnsi="Times New Roman"/>
        </w:rPr>
        <w:t> </w:t>
      </w:r>
      <w:r w:rsidRPr="00516377">
        <w:rPr>
          <w:rFonts w:ascii="Times New Roman" w:hAnsi="Times New Roman"/>
        </w:rPr>
        <w:t>matter complained of will bring the administration of justice into disrepute".</w:t>
      </w:r>
      <w:r w:rsidRPr="00516377">
        <w:rPr>
          <w:rStyle w:val="FootnoteReference"/>
          <w:rFonts w:ascii="Times New Roman" w:hAnsi="Times New Roman"/>
          <w:sz w:val="24"/>
        </w:rPr>
        <w:footnoteReference w:id="70"/>
      </w:r>
    </w:p>
    <w:p w14:paraId="199AA582"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The legal process of a court may be abused where the intention is to "litigate</w:t>
      </w:r>
      <w:r>
        <w:rPr>
          <w:rFonts w:ascii="Times New Roman" w:hAnsi="Times New Roman"/>
        </w:rPr>
        <w:t> </w:t>
      </w:r>
      <w:r w:rsidRPr="00516377">
        <w:rPr>
          <w:rFonts w:ascii="Times New Roman" w:hAnsi="Times New Roman"/>
        </w:rPr>
        <w:t>anew a case which has already been disposed of by earlier proceedings", where to do so causes manifest unfairness to a party or would otherwise bring the</w:t>
      </w:r>
      <w:r>
        <w:rPr>
          <w:rFonts w:ascii="Times New Roman" w:hAnsi="Times New Roman"/>
        </w:rPr>
        <w:t> </w:t>
      </w:r>
      <w:r w:rsidRPr="00516377">
        <w:rPr>
          <w:rFonts w:ascii="Times New Roman" w:hAnsi="Times New Roman"/>
        </w:rPr>
        <w:t>administration of justice into disrepute.</w:t>
      </w:r>
      <w:r w:rsidRPr="00516377">
        <w:rPr>
          <w:rStyle w:val="FootnoteReference"/>
          <w:rFonts w:ascii="Times New Roman" w:hAnsi="Times New Roman"/>
          <w:sz w:val="24"/>
        </w:rPr>
        <w:footnoteReference w:id="71"/>
      </w:r>
      <w:r w:rsidRPr="00516377">
        <w:rPr>
          <w:rFonts w:ascii="Times New Roman" w:hAnsi="Times New Roman"/>
        </w:rPr>
        <w:t xml:space="preserve"> "[M]</w:t>
      </w:r>
      <w:proofErr w:type="spellStart"/>
      <w:r w:rsidRPr="00516377">
        <w:rPr>
          <w:rFonts w:ascii="Times New Roman" w:hAnsi="Times New Roman"/>
        </w:rPr>
        <w:t>aking</w:t>
      </w:r>
      <w:proofErr w:type="spellEnd"/>
      <w:r w:rsidRPr="00516377">
        <w:rPr>
          <w:rFonts w:ascii="Times New Roman" w:hAnsi="Times New Roman"/>
        </w:rPr>
        <w:t xml:space="preserve"> a claim or raising an issue which was made or raised and determined in an earlier proceeding, or which ought reasonably to have been made or raised for determination in that earlier proceeding, can constitute an abuse of process even where the earlier proceeding might not have given rise to an estoppel".</w:t>
      </w:r>
      <w:r w:rsidRPr="00516377">
        <w:rPr>
          <w:rStyle w:val="FootnoteReference"/>
          <w:rFonts w:ascii="Times New Roman" w:hAnsi="Times New Roman"/>
          <w:sz w:val="24"/>
        </w:rPr>
        <w:footnoteReference w:id="72"/>
      </w:r>
      <w:r w:rsidRPr="00516377">
        <w:rPr>
          <w:rFonts w:ascii="Times New Roman" w:hAnsi="Times New Roman"/>
        </w:rPr>
        <w:t xml:space="preserve"> Similarly, "making such a claim or raising such an issue can constitute an abuse of process", even "where the party seeking to make the claim or to raise the issue in the later proceeding was neither a party to that earlier proceeding, nor the privy of a party to that earlier proceeding, and therefore could not be precluded by an estoppel".</w:t>
      </w:r>
      <w:r w:rsidRPr="00516377">
        <w:rPr>
          <w:rStyle w:val="FootnoteReference"/>
          <w:rFonts w:ascii="Times New Roman" w:hAnsi="Times New Roman"/>
          <w:sz w:val="24"/>
        </w:rPr>
        <w:footnoteReference w:id="73"/>
      </w:r>
      <w:r w:rsidRPr="00516377">
        <w:rPr>
          <w:rFonts w:ascii="Times New Roman" w:hAnsi="Times New Roman"/>
          <w:b/>
        </w:rPr>
        <w:t xml:space="preserve"> </w:t>
      </w:r>
      <w:bookmarkStart w:id="1" w:name="_Ref215152822"/>
    </w:p>
    <w:p w14:paraId="5CCC1AD5" w14:textId="77777777" w:rsidR="0023595F" w:rsidRPr="00EB45B2" w:rsidRDefault="0023595F" w:rsidP="0023595F">
      <w:pPr>
        <w:pStyle w:val="FixListStyle"/>
        <w:spacing w:after="260" w:line="280" w:lineRule="exact"/>
        <w:ind w:right="0"/>
        <w:jc w:val="both"/>
        <w:rPr>
          <w:rFonts w:ascii="Times New Roman" w:hAnsi="Times New Roman"/>
          <w:spacing w:val="2"/>
        </w:rPr>
      </w:pPr>
      <w:r w:rsidRPr="00516377">
        <w:rPr>
          <w:rFonts w:ascii="Times New Roman" w:hAnsi="Times New Roman"/>
          <w:b/>
          <w:bCs/>
        </w:rPr>
        <w:tab/>
      </w:r>
      <w:r w:rsidRPr="00EB45B2">
        <w:rPr>
          <w:rFonts w:ascii="Times New Roman" w:hAnsi="Times New Roman"/>
          <w:spacing w:val="2"/>
        </w:rPr>
        <w:t>It is not an abuse of process for Mayfield to raise the issue of derivative Crown immunity in this proceeding, in circumstances where Mayfield had raised the issue in the ACCC Appeal in its role as intervener.</w:t>
      </w:r>
      <w:bookmarkEnd w:id="1"/>
      <w:r w:rsidRPr="00EB45B2">
        <w:rPr>
          <w:rFonts w:ascii="Times New Roman" w:hAnsi="Times New Roman"/>
          <w:spacing w:val="2"/>
        </w:rPr>
        <w:t xml:space="preserve"> Mayfield had a submission to advance in the ACCC Appeal on derivative Crown immunity that was useful </w:t>
      </w:r>
      <w:r w:rsidRPr="00EB45B2">
        <w:rPr>
          <w:rFonts w:ascii="Times New Roman" w:hAnsi="Times New Roman"/>
          <w:spacing w:val="2"/>
        </w:rPr>
        <w:lastRenderedPageBreak/>
        <w:t>and different from the submissions of the parties.</w:t>
      </w:r>
      <w:r w:rsidRPr="00EB45B2">
        <w:rPr>
          <w:rStyle w:val="FootnoteReference"/>
          <w:rFonts w:ascii="Times New Roman" w:hAnsi="Times New Roman"/>
          <w:spacing w:val="2"/>
          <w:sz w:val="24"/>
        </w:rPr>
        <w:footnoteReference w:id="74"/>
      </w:r>
      <w:r w:rsidRPr="00EB45B2">
        <w:rPr>
          <w:rFonts w:ascii="Times New Roman" w:hAnsi="Times New Roman"/>
          <w:spacing w:val="2"/>
        </w:rPr>
        <w:t xml:space="preserve"> Mayfield's participation in the ACCC Appeal was</w:t>
      </w:r>
      <w:r>
        <w:rPr>
          <w:rFonts w:ascii="Times New Roman" w:hAnsi="Times New Roman"/>
          <w:spacing w:val="2"/>
        </w:rPr>
        <w:t>,</w:t>
      </w:r>
      <w:r w:rsidRPr="00EB45B2">
        <w:rPr>
          <w:rFonts w:ascii="Times New Roman" w:hAnsi="Times New Roman"/>
          <w:spacing w:val="2"/>
        </w:rPr>
        <w:t xml:space="preserve"> however</w:t>
      </w:r>
      <w:r>
        <w:rPr>
          <w:rFonts w:ascii="Times New Roman" w:hAnsi="Times New Roman"/>
          <w:spacing w:val="2"/>
        </w:rPr>
        <w:t>,</w:t>
      </w:r>
      <w:r w:rsidRPr="00EB45B2">
        <w:rPr>
          <w:rFonts w:ascii="Times New Roman" w:hAnsi="Times New Roman"/>
          <w:spacing w:val="2"/>
        </w:rPr>
        <w:t xml:space="preserve"> limited. Its intervention recognised that the determination of the derivative Crown immunity issue in the appeal would set a binding precedent. Mayfield's conduct of this proceeding is consistent with that position. Mayfield is entitled to advance a reasonable case challenging the</w:t>
      </w:r>
      <w:r>
        <w:rPr>
          <w:rFonts w:ascii="Times New Roman" w:hAnsi="Times New Roman"/>
          <w:spacing w:val="2"/>
        </w:rPr>
        <w:t> </w:t>
      </w:r>
      <w:r w:rsidRPr="00EB45B2">
        <w:rPr>
          <w:rFonts w:ascii="Times New Roman" w:hAnsi="Times New Roman"/>
          <w:spacing w:val="2"/>
        </w:rPr>
        <w:t>existing state of the law. By doing what it is perfectly entitled to do, it cannot be said that Mayfield's conduct brings the administration of justice into disrepute. To prevent Mayfield for all time from raising the issue of derivative Crown immunity in its own separate proceeding would undermine, rather than promote, the administration of justice.</w:t>
      </w:r>
    </w:p>
    <w:p w14:paraId="1D2E3679"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There is also no oppression of or unfairness to NSW Ports or the State. First,</w:t>
      </w:r>
      <w:r>
        <w:rPr>
          <w:rFonts w:ascii="Times New Roman" w:hAnsi="Times New Roman"/>
        </w:rPr>
        <w:t> </w:t>
      </w:r>
      <w:r w:rsidRPr="00516377">
        <w:rPr>
          <w:rFonts w:ascii="Times New Roman" w:hAnsi="Times New Roman"/>
        </w:rPr>
        <w:t>the scheme of the CCA is such that a respondent is at the risk of relitigating</w:t>
      </w:r>
      <w:r w:rsidRPr="00516377" w:rsidDel="00B447AE">
        <w:rPr>
          <w:rFonts w:ascii="Times New Roman" w:hAnsi="Times New Roman"/>
        </w:rPr>
        <w:t xml:space="preserve"> </w:t>
      </w:r>
      <w:r w:rsidRPr="00516377">
        <w:rPr>
          <w:rFonts w:ascii="Times New Roman" w:hAnsi="Times New Roman"/>
        </w:rPr>
        <w:t>the same or substantially similar issues where, as here, the ACCC brings proceedings for contravening conduct which also causes damage to other persons.</w:t>
      </w:r>
      <w:r w:rsidRPr="00516377">
        <w:rPr>
          <w:rStyle w:val="FootnoteReference"/>
          <w:rFonts w:ascii="Times New Roman" w:hAnsi="Times New Roman"/>
          <w:sz w:val="24"/>
        </w:rPr>
        <w:footnoteReference w:id="75"/>
      </w:r>
      <w:r w:rsidRPr="00516377">
        <w:rPr>
          <w:rFonts w:ascii="Times New Roman" w:hAnsi="Times New Roman"/>
        </w:rPr>
        <w:t xml:space="preserve"> Second, NSW Ports and the State contributed to Mayfield bringing this proceeding after the ACCC Proceeding. Mayfield applied to lift a stay on this proceeding so that this proceeding could be heard concurrently with the ACCC Proceeding. That application was successfully opposed by NSW Ports and the</w:t>
      </w:r>
      <w:r>
        <w:rPr>
          <w:rFonts w:ascii="Times New Roman" w:hAnsi="Times New Roman"/>
        </w:rPr>
        <w:t> </w:t>
      </w:r>
      <w:r w:rsidRPr="00516377">
        <w:rPr>
          <w:rFonts w:ascii="Times New Roman" w:hAnsi="Times New Roman"/>
        </w:rPr>
        <w:t>State.</w:t>
      </w:r>
      <w:r w:rsidRPr="00516377">
        <w:rPr>
          <w:rStyle w:val="FootnoteReference"/>
          <w:rFonts w:ascii="Times New Roman" w:hAnsi="Times New Roman"/>
          <w:sz w:val="24"/>
        </w:rPr>
        <w:footnoteReference w:id="76"/>
      </w:r>
      <w:r w:rsidRPr="00516377">
        <w:rPr>
          <w:rFonts w:ascii="Times New Roman" w:hAnsi="Times New Roman"/>
        </w:rPr>
        <w:t xml:space="preserve"> NSW Ports' opposition was on the basis that it would be unfair for it to have to defend each proceeding in parallel.</w:t>
      </w:r>
      <w:r w:rsidRPr="00516377">
        <w:rPr>
          <w:rStyle w:val="FootnoteReference"/>
          <w:rFonts w:ascii="Times New Roman" w:hAnsi="Times New Roman"/>
          <w:sz w:val="24"/>
        </w:rPr>
        <w:footnoteReference w:id="77"/>
      </w:r>
      <w:r w:rsidRPr="00516377">
        <w:rPr>
          <w:rFonts w:ascii="Times New Roman" w:hAnsi="Times New Roman"/>
        </w:rPr>
        <w:t xml:space="preserve"> It is unclear why it is now the case that a consecutive hearing of this proceeding could amount to an abuse of process. </w:t>
      </w:r>
    </w:p>
    <w:p w14:paraId="10EC7250" w14:textId="77777777" w:rsidR="0023595F" w:rsidRPr="00516377" w:rsidRDefault="0023595F" w:rsidP="00516377">
      <w:pPr>
        <w:pStyle w:val="HeadingL1"/>
        <w:spacing w:after="260" w:line="280" w:lineRule="exact"/>
        <w:ind w:right="0"/>
        <w:jc w:val="both"/>
        <w:rPr>
          <w:rFonts w:ascii="Times New Roman" w:hAnsi="Times New Roman"/>
        </w:rPr>
      </w:pPr>
      <w:r w:rsidRPr="00516377">
        <w:rPr>
          <w:rFonts w:ascii="Times New Roman" w:hAnsi="Times New Roman"/>
        </w:rPr>
        <w:t>Derivative Crown immunity</w:t>
      </w:r>
    </w:p>
    <w:p w14:paraId="59EA1CEF" w14:textId="77777777" w:rsidR="0023595F" w:rsidRPr="00516377" w:rsidRDefault="0023595F" w:rsidP="00516377">
      <w:pPr>
        <w:pStyle w:val="HeadingL2"/>
        <w:spacing w:after="260" w:line="280" w:lineRule="exact"/>
        <w:ind w:right="0"/>
        <w:jc w:val="both"/>
        <w:rPr>
          <w:rFonts w:ascii="Times New Roman" w:hAnsi="Times New Roman"/>
        </w:rPr>
      </w:pPr>
      <w:r w:rsidRPr="00516377">
        <w:rPr>
          <w:rFonts w:ascii="Times New Roman" w:hAnsi="Times New Roman"/>
        </w:rPr>
        <w:t>Crown immunity</w:t>
      </w:r>
    </w:p>
    <w:p w14:paraId="0564EDAC"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The principle of Crown immunity is a presumption of statutory interpretation that a statute will not bind the Crown unless a contrary intention appears from the statute.</w:t>
      </w:r>
      <w:r w:rsidRPr="00516377">
        <w:rPr>
          <w:rStyle w:val="FootnoteReference"/>
          <w:rFonts w:ascii="Times New Roman" w:hAnsi="Times New Roman"/>
          <w:sz w:val="24"/>
        </w:rPr>
        <w:footnoteReference w:id="78"/>
      </w:r>
      <w:r w:rsidRPr="00516377">
        <w:rPr>
          <w:rFonts w:ascii="Times New Roman" w:hAnsi="Times New Roman"/>
        </w:rPr>
        <w:t xml:space="preserve"> In </w:t>
      </w:r>
      <w:proofErr w:type="spellStart"/>
      <w:r w:rsidRPr="00516377">
        <w:rPr>
          <w:rFonts w:ascii="Times New Roman" w:hAnsi="Times New Roman"/>
          <w:i/>
          <w:iCs/>
        </w:rPr>
        <w:t>Bropho</w:t>
      </w:r>
      <w:proofErr w:type="spellEnd"/>
      <w:r w:rsidRPr="00516377">
        <w:rPr>
          <w:rFonts w:ascii="Times New Roman" w:hAnsi="Times New Roman"/>
          <w:i/>
          <w:iCs/>
        </w:rPr>
        <w:t xml:space="preserve"> v Western Australia</w:t>
      </w:r>
      <w:r w:rsidRPr="00516377">
        <w:rPr>
          <w:rFonts w:ascii="Times New Roman" w:hAnsi="Times New Roman"/>
        </w:rPr>
        <w:t xml:space="preserve">, the plurality of this </w:t>
      </w:r>
      <w:r w:rsidRPr="00516377">
        <w:rPr>
          <w:rFonts w:ascii="Times New Roman" w:hAnsi="Times New Roman"/>
        </w:rPr>
        <w:lastRenderedPageBreak/>
        <w:t>Court rejected a "stringent and rigid test" for identifying such a contrary intention,</w:t>
      </w:r>
      <w:r w:rsidRPr="00516377">
        <w:rPr>
          <w:rStyle w:val="FootnoteReference"/>
          <w:rFonts w:ascii="Times New Roman" w:hAnsi="Times New Roman"/>
          <w:sz w:val="24"/>
        </w:rPr>
        <w:footnoteReference w:id="79"/>
      </w:r>
      <w:r w:rsidRPr="00516377">
        <w:rPr>
          <w:rFonts w:ascii="Times New Roman" w:hAnsi="Times New Roman"/>
        </w:rPr>
        <w:t xml:space="preserve"> emphasising that it is a "general principle of statutory construction, not</w:t>
      </w:r>
      <w:r>
        <w:rPr>
          <w:rFonts w:ascii="Times New Roman" w:hAnsi="Times New Roman"/>
        </w:rPr>
        <w:t> </w:t>
      </w:r>
      <w:r w:rsidRPr="00516377">
        <w:rPr>
          <w:rFonts w:ascii="Times New Roman" w:hAnsi="Times New Roman"/>
        </w:rPr>
        <w:t>some prerogative power of the Crown to override a statute, or dispense with compliance".</w:t>
      </w:r>
      <w:r w:rsidRPr="00516377">
        <w:rPr>
          <w:rStyle w:val="FootnoteReference"/>
          <w:rFonts w:ascii="Times New Roman" w:hAnsi="Times New Roman"/>
          <w:sz w:val="24"/>
        </w:rPr>
        <w:footnoteReference w:id="80"/>
      </w:r>
    </w:p>
    <w:p w14:paraId="0BFE81BB"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As the plurality explained in </w:t>
      </w:r>
      <w:proofErr w:type="spellStart"/>
      <w:r w:rsidRPr="00516377">
        <w:rPr>
          <w:rFonts w:ascii="Times New Roman" w:hAnsi="Times New Roman"/>
          <w:i/>
          <w:iCs/>
        </w:rPr>
        <w:t>Bropho</w:t>
      </w:r>
      <w:proofErr w:type="spellEnd"/>
      <w:r w:rsidRPr="00516377">
        <w:rPr>
          <w:rFonts w:ascii="Times New Roman" w:hAnsi="Times New Roman"/>
        </w:rPr>
        <w:t>, the strength of the presumption "will</w:t>
      </w:r>
      <w:r>
        <w:rPr>
          <w:rFonts w:ascii="Times New Roman" w:hAnsi="Times New Roman"/>
        </w:rPr>
        <w:t> </w:t>
      </w:r>
      <w:r w:rsidRPr="00516377">
        <w:rPr>
          <w:rFonts w:ascii="Times New Roman" w:hAnsi="Times New Roman"/>
        </w:rPr>
        <w:t>depend upon the circumstances, including the content and purpose of the</w:t>
      </w:r>
      <w:r>
        <w:rPr>
          <w:rFonts w:ascii="Times New Roman" w:hAnsi="Times New Roman"/>
        </w:rPr>
        <w:t> </w:t>
      </w:r>
      <w:r w:rsidRPr="00516377">
        <w:rPr>
          <w:rFonts w:ascii="Times New Roman" w:hAnsi="Times New Roman"/>
        </w:rPr>
        <w:t>particular provision and the identity of the entity in respect of which" the</w:t>
      </w:r>
      <w:r>
        <w:rPr>
          <w:rFonts w:ascii="Times New Roman" w:hAnsi="Times New Roman"/>
        </w:rPr>
        <w:t> </w:t>
      </w:r>
      <w:r w:rsidRPr="00516377">
        <w:rPr>
          <w:rFonts w:ascii="Times New Roman" w:hAnsi="Times New Roman"/>
        </w:rPr>
        <w:t>question arises.</w:t>
      </w:r>
      <w:r w:rsidRPr="00516377">
        <w:rPr>
          <w:rStyle w:val="FootnoteReference"/>
          <w:rFonts w:ascii="Times New Roman" w:hAnsi="Times New Roman"/>
          <w:sz w:val="24"/>
        </w:rPr>
        <w:footnoteReference w:id="81"/>
      </w:r>
      <w:r w:rsidRPr="00516377">
        <w:rPr>
          <w:rFonts w:ascii="Times New Roman" w:hAnsi="Times New Roman"/>
        </w:rPr>
        <w:t xml:space="preserve"> So, for example, in </w:t>
      </w:r>
      <w:proofErr w:type="spellStart"/>
      <w:r w:rsidRPr="00516377">
        <w:rPr>
          <w:rFonts w:ascii="Times New Roman" w:hAnsi="Times New Roman"/>
          <w:i/>
          <w:iCs/>
        </w:rPr>
        <w:t>Bropho</w:t>
      </w:r>
      <w:proofErr w:type="spellEnd"/>
      <w:r w:rsidRPr="00516377">
        <w:rPr>
          <w:rFonts w:ascii="Times New Roman" w:hAnsi="Times New Roman"/>
        </w:rPr>
        <w:t>, which concerned the application of general provisions for the protection of Aboriginal places and objects to employees of a governmental corporation engaged in commercial and developmental activities, the principle of Crown immunity was said to represent "little more than the starting point of the ascertainment of the relevant legislative intent".</w:t>
      </w:r>
      <w:r w:rsidRPr="00516377">
        <w:rPr>
          <w:rStyle w:val="FootnoteReference"/>
          <w:rFonts w:ascii="Times New Roman" w:hAnsi="Times New Roman"/>
          <w:sz w:val="24"/>
        </w:rPr>
        <w:footnoteReference w:id="82"/>
      </w:r>
      <w:r w:rsidRPr="00516377">
        <w:rPr>
          <w:rFonts w:ascii="Times New Roman" w:hAnsi="Times New Roman"/>
        </w:rPr>
        <w:t xml:space="preserve"> Brennan J agreed, stating that the application of the principle of construction required consideration of "the terms of the statute, its subject matter, the nature of the mischief to be redressed, the general purpose and effect of the</w:t>
      </w:r>
      <w:r>
        <w:rPr>
          <w:rFonts w:ascii="Times New Roman" w:hAnsi="Times New Roman"/>
        </w:rPr>
        <w:t> </w:t>
      </w:r>
      <w:r w:rsidRPr="00516377">
        <w:rPr>
          <w:rFonts w:ascii="Times New Roman" w:hAnsi="Times New Roman"/>
        </w:rPr>
        <w:t>statute, and the nature of the activities of the Executive Government which would be affected if the Crown is bound".</w:t>
      </w:r>
      <w:r w:rsidRPr="00516377">
        <w:rPr>
          <w:rStyle w:val="FootnoteReference"/>
          <w:rFonts w:ascii="Times New Roman" w:hAnsi="Times New Roman"/>
          <w:sz w:val="24"/>
        </w:rPr>
        <w:footnoteReference w:id="83"/>
      </w:r>
      <w:r w:rsidRPr="00516377">
        <w:rPr>
          <w:rFonts w:ascii="Times New Roman" w:hAnsi="Times New Roman"/>
        </w:rPr>
        <w:t xml:space="preserve"> </w:t>
      </w:r>
    </w:p>
    <w:p w14:paraId="3DC396C9" w14:textId="77777777" w:rsidR="0023595F" w:rsidRPr="00516377" w:rsidRDefault="0023595F" w:rsidP="00516377">
      <w:pPr>
        <w:pStyle w:val="HeadingL2"/>
        <w:spacing w:after="260" w:line="280" w:lineRule="exact"/>
        <w:ind w:right="0"/>
        <w:jc w:val="both"/>
        <w:rPr>
          <w:rFonts w:ascii="Times New Roman" w:hAnsi="Times New Roman"/>
        </w:rPr>
      </w:pPr>
      <w:r w:rsidRPr="00516377">
        <w:rPr>
          <w:rFonts w:ascii="Times New Roman" w:hAnsi="Times New Roman"/>
        </w:rPr>
        <w:t>Derivative Crown immunity</w:t>
      </w:r>
    </w:p>
    <w:p w14:paraId="137C6B2C"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It is a corollary of the presumption of Crown immunity, known as derivative Crown immunity, that "a statutory provision not binding on the Crown must be denied an incidence upon a subject of the Crown because that incidence would be </w:t>
      </w:r>
      <w:r w:rsidRPr="00516377">
        <w:rPr>
          <w:rFonts w:ascii="Times New Roman" w:hAnsi="Times New Roman"/>
        </w:rPr>
        <w:lastRenderedPageBreak/>
        <w:t>in legal effect upon the Crown".</w:t>
      </w:r>
      <w:r w:rsidRPr="00516377">
        <w:rPr>
          <w:rStyle w:val="FootnoteReference"/>
          <w:rFonts w:ascii="Times New Roman" w:hAnsi="Times New Roman"/>
          <w:sz w:val="24"/>
        </w:rPr>
        <w:footnoteReference w:id="84"/>
      </w:r>
      <w:r w:rsidRPr="00516377">
        <w:rPr>
          <w:rFonts w:ascii="Times New Roman" w:hAnsi="Times New Roman"/>
        </w:rPr>
        <w:t xml:space="preserve"> Like Crown immunity, derivative Crown immunity is a presumption of statutory interpretation that may be rebutted by a</w:t>
      </w:r>
      <w:r>
        <w:rPr>
          <w:rFonts w:ascii="Times New Roman" w:hAnsi="Times New Roman"/>
        </w:rPr>
        <w:t> </w:t>
      </w:r>
      <w:r w:rsidRPr="00516377">
        <w:rPr>
          <w:rFonts w:ascii="Times New Roman" w:hAnsi="Times New Roman"/>
        </w:rPr>
        <w:t>contrary intention.</w:t>
      </w:r>
      <w:r w:rsidRPr="00516377">
        <w:rPr>
          <w:rStyle w:val="FootnoteReference"/>
          <w:rFonts w:ascii="Times New Roman" w:hAnsi="Times New Roman"/>
          <w:sz w:val="24"/>
        </w:rPr>
        <w:footnoteReference w:id="85"/>
      </w:r>
      <w:r w:rsidRPr="00516377">
        <w:rPr>
          <w:rFonts w:ascii="Times New Roman" w:hAnsi="Times New Roman"/>
        </w:rPr>
        <w:t xml:space="preserve"> Such a contrary intention "may appear from the language of the Act, and its objects and subject matter as emerging from that language".</w:t>
      </w:r>
      <w:r w:rsidRPr="00516377">
        <w:rPr>
          <w:rStyle w:val="FootnoteReference"/>
          <w:rFonts w:ascii="Times New Roman" w:hAnsi="Times New Roman"/>
          <w:sz w:val="24"/>
        </w:rPr>
        <w:footnoteReference w:id="86"/>
      </w:r>
      <w:r w:rsidRPr="00516377">
        <w:rPr>
          <w:rFonts w:ascii="Times New Roman" w:hAnsi="Times New Roman"/>
        </w:rPr>
        <w:t xml:space="preserve"> Like</w:t>
      </w:r>
      <w:r>
        <w:rPr>
          <w:rFonts w:ascii="Times New Roman" w:hAnsi="Times New Roman"/>
        </w:rPr>
        <w:t> </w:t>
      </w:r>
      <w:r w:rsidRPr="00516377">
        <w:rPr>
          <w:rFonts w:ascii="Times New Roman" w:hAnsi="Times New Roman"/>
        </w:rPr>
        <w:t>the presumption that a statute does not bind the Crown, derivative Crown immunity should not be treated as a "prerogative power of the Crown to override a statute, or dispense with compliance".</w:t>
      </w:r>
      <w:r w:rsidRPr="00516377">
        <w:rPr>
          <w:rStyle w:val="FootnoteReference"/>
          <w:rFonts w:ascii="Times New Roman" w:hAnsi="Times New Roman"/>
          <w:sz w:val="24"/>
        </w:rPr>
        <w:footnoteReference w:id="87"/>
      </w:r>
      <w:r w:rsidRPr="00516377">
        <w:rPr>
          <w:rFonts w:ascii="Times New Roman" w:hAnsi="Times New Roman"/>
        </w:rPr>
        <w:t xml:space="preserve"> </w:t>
      </w:r>
    </w:p>
    <w:p w14:paraId="27283BC5"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In </w:t>
      </w:r>
      <w:r w:rsidRPr="00516377">
        <w:rPr>
          <w:rFonts w:ascii="Times New Roman" w:hAnsi="Times New Roman"/>
          <w:i/>
          <w:iCs/>
        </w:rPr>
        <w:t>Wynyard Investments Pty Ltd v Commissioner for Railways (NSW)</w:t>
      </w:r>
      <w:r w:rsidRPr="00516377">
        <w:rPr>
          <w:rFonts w:ascii="Times New Roman" w:hAnsi="Times New Roman"/>
        </w:rPr>
        <w:t>, Kitto</w:t>
      </w:r>
      <w:r>
        <w:rPr>
          <w:rFonts w:ascii="Times New Roman" w:hAnsi="Times New Roman"/>
        </w:rPr>
        <w:t> </w:t>
      </w:r>
      <w:r w:rsidRPr="00516377">
        <w:rPr>
          <w:rFonts w:ascii="Times New Roman" w:hAnsi="Times New Roman"/>
        </w:rPr>
        <w:t>J identified three "broad classes" of cases where derivative Crown immunity applies: first, "cases where a provision,</w:t>
      </w:r>
      <w:r w:rsidRPr="00516377" w:rsidDel="00D45ABB">
        <w:rPr>
          <w:rFonts w:ascii="Times New Roman" w:hAnsi="Times New Roman"/>
        </w:rPr>
        <w:t xml:space="preserve"> </w:t>
      </w:r>
      <w:r w:rsidRPr="00516377">
        <w:rPr>
          <w:rFonts w:ascii="Times New Roman" w:hAnsi="Times New Roman"/>
        </w:rPr>
        <w:t>if applied to a particular individual or corporation, would adversely affect the exercise of an authority which [they</w:t>
      </w:r>
      <w:r>
        <w:rPr>
          <w:rFonts w:ascii="Times New Roman" w:hAnsi="Times New Roman"/>
        </w:rPr>
        <w:t> </w:t>
      </w:r>
      <w:r w:rsidRPr="00516377">
        <w:rPr>
          <w:rFonts w:ascii="Times New Roman" w:hAnsi="Times New Roman"/>
        </w:rPr>
        <w:t>possess] or it possesses as a servant or agent of the Crown to perform some function so that in law it is performed by the Crown itself"; second, "cases in which a provision, if applied to a particular individual or corporation, would adversely affect some proprietary right or interest of the Crown, legal equitable or statutory"; and third, "an anomalous class of cases where a provision creating a liability by reference to the ownership or occupation of property would, in its application in respect of certain kinds of property, impose a burden upon the performance of functions which, though not performed by servants or agents of the Crown, are</w:t>
      </w:r>
      <w:r>
        <w:rPr>
          <w:rFonts w:ascii="Times New Roman" w:hAnsi="Times New Roman"/>
        </w:rPr>
        <w:t> </w:t>
      </w:r>
      <w:r w:rsidRPr="00516377">
        <w:rPr>
          <w:rFonts w:ascii="Times New Roman" w:hAnsi="Times New Roman"/>
        </w:rPr>
        <w:t>looked upon by the law as performed for the Crown".</w:t>
      </w:r>
      <w:r w:rsidRPr="00516377">
        <w:rPr>
          <w:rStyle w:val="FootnoteReference"/>
          <w:rFonts w:ascii="Times New Roman" w:hAnsi="Times New Roman"/>
          <w:sz w:val="24"/>
        </w:rPr>
        <w:footnoteReference w:id="88"/>
      </w:r>
    </w:p>
    <w:p w14:paraId="4D89C4AA"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This proceeding concerns the second kind of case. Kitto J explained that, to</w:t>
      </w:r>
      <w:r>
        <w:rPr>
          <w:rFonts w:ascii="Times New Roman" w:hAnsi="Times New Roman"/>
        </w:rPr>
        <w:t> </w:t>
      </w:r>
      <w:r w:rsidRPr="00516377">
        <w:rPr>
          <w:rFonts w:ascii="Times New Roman" w:hAnsi="Times New Roman"/>
        </w:rPr>
        <w:t>fall within any of the classes of case identified, "it must be found that the</w:t>
      </w:r>
      <w:r>
        <w:rPr>
          <w:rFonts w:ascii="Times New Roman" w:hAnsi="Times New Roman"/>
        </w:rPr>
        <w:t> </w:t>
      </w:r>
      <w:r w:rsidRPr="00516377">
        <w:rPr>
          <w:rFonts w:ascii="Times New Roman" w:hAnsi="Times New Roman"/>
        </w:rPr>
        <w:t>application of the relevant provision to the subject who invokes the Crown's immunity would be, in legal effect, an application of it to the Crown".</w:t>
      </w:r>
      <w:r w:rsidRPr="00516377">
        <w:rPr>
          <w:rStyle w:val="FootnoteReference"/>
          <w:rFonts w:ascii="Times New Roman" w:hAnsi="Times New Roman"/>
          <w:sz w:val="24"/>
        </w:rPr>
        <w:footnoteReference w:id="89"/>
      </w:r>
      <w:r w:rsidRPr="00516377">
        <w:rPr>
          <w:rFonts w:ascii="Times New Roman" w:hAnsi="Times New Roman"/>
        </w:rPr>
        <w:t xml:space="preserve"> "Whatever</w:t>
      </w:r>
      <w:r>
        <w:rPr>
          <w:rFonts w:ascii="Times New Roman" w:hAnsi="Times New Roman"/>
        </w:rPr>
        <w:t> </w:t>
      </w:r>
      <w:r w:rsidRPr="00516377">
        <w:rPr>
          <w:rFonts w:ascii="Times New Roman" w:hAnsi="Times New Roman"/>
        </w:rPr>
        <w:t>features of a case are relied upon as bearing upon the claim to the</w:t>
      </w:r>
      <w:r>
        <w:rPr>
          <w:rFonts w:ascii="Times New Roman" w:hAnsi="Times New Roman"/>
        </w:rPr>
        <w:t> </w:t>
      </w:r>
      <w:r w:rsidRPr="00516377">
        <w:rPr>
          <w:rFonts w:ascii="Times New Roman" w:hAnsi="Times New Roman"/>
        </w:rPr>
        <w:t xml:space="preserve">benefit of the Crown's immunity ... must always be looked at ... 'with due regard to the nature of the immunity or privilege of the Crown which is claimed, so that </w:t>
      </w:r>
      <w:r w:rsidRPr="00516377">
        <w:rPr>
          <w:rFonts w:ascii="Times New Roman" w:hAnsi="Times New Roman"/>
        </w:rPr>
        <w:lastRenderedPageBreak/>
        <w:t>attention may be directed to what is relevant to the particular enquiry which is being made'".</w:t>
      </w:r>
      <w:r w:rsidRPr="00516377">
        <w:rPr>
          <w:rStyle w:val="FootnoteReference"/>
          <w:rFonts w:ascii="Times New Roman" w:hAnsi="Times New Roman"/>
          <w:sz w:val="24"/>
        </w:rPr>
        <w:footnoteReference w:id="90"/>
      </w:r>
    </w:p>
    <w:p w14:paraId="394A8E44"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As Kitto J explained in </w:t>
      </w:r>
      <w:r w:rsidRPr="00516377">
        <w:rPr>
          <w:rFonts w:ascii="Times New Roman" w:hAnsi="Times New Roman"/>
          <w:i/>
        </w:rPr>
        <w:t>Wynyard</w:t>
      </w:r>
      <w:r w:rsidRPr="00516377">
        <w:rPr>
          <w:rFonts w:ascii="Times New Roman" w:hAnsi="Times New Roman"/>
        </w:rPr>
        <w:t>, "[t]he object in view is to ascertain whether the Crown has such an interest in that which would be interfered with if the provision in question were held to bind the corporation that the interference would be, for a legal reason, an interference with some right, interest, power, authority, privilege, immunity or purpose belonging or appertaining to the</w:t>
      </w:r>
      <w:r>
        <w:rPr>
          <w:rFonts w:ascii="Times New Roman" w:hAnsi="Times New Roman"/>
        </w:rPr>
        <w:t> </w:t>
      </w:r>
      <w:r w:rsidRPr="00516377">
        <w:rPr>
          <w:rFonts w:ascii="Times New Roman" w:hAnsi="Times New Roman"/>
        </w:rPr>
        <w:t>Crown".</w:t>
      </w:r>
      <w:r w:rsidRPr="00516377">
        <w:rPr>
          <w:rStyle w:val="FootnoteReference"/>
          <w:rFonts w:ascii="Times New Roman" w:hAnsi="Times New Roman"/>
          <w:sz w:val="24"/>
        </w:rPr>
        <w:footnoteReference w:id="91"/>
      </w:r>
      <w:r w:rsidRPr="00516377">
        <w:rPr>
          <w:rFonts w:ascii="Times New Roman" w:hAnsi="Times New Roman"/>
        </w:rPr>
        <w:t xml:space="preserve"> The scope of the principle and, in particular, the kinds of interest which might attract the operation of the presumption have been refined in subsequent cases.</w:t>
      </w:r>
    </w:p>
    <w:p w14:paraId="7C409EBE"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In </w:t>
      </w:r>
      <w:r w:rsidRPr="00516377">
        <w:rPr>
          <w:rFonts w:ascii="Times New Roman" w:hAnsi="Times New Roman"/>
          <w:i/>
          <w:iCs/>
        </w:rPr>
        <w:t>Bass v Permanent Trustee Co Ltd</w:t>
      </w:r>
      <w:r w:rsidRPr="00516377">
        <w:rPr>
          <w:rFonts w:ascii="Times New Roman" w:hAnsi="Times New Roman"/>
        </w:rPr>
        <w:t>, a majority of this Court described derivative Crown immunity as "the common law rule that a statute is not to be construed as divesting the Crown of its property, rights, interests or prerogatives in the absence of express words or necessary implication to that effect".</w:t>
      </w:r>
      <w:r w:rsidRPr="00516377">
        <w:rPr>
          <w:rStyle w:val="FootnoteReference"/>
          <w:rFonts w:ascii="Times New Roman" w:hAnsi="Times New Roman"/>
          <w:sz w:val="24"/>
        </w:rPr>
        <w:footnoteReference w:id="92"/>
      </w:r>
      <w:r w:rsidRPr="00516377">
        <w:rPr>
          <w:rFonts w:ascii="Times New Roman" w:hAnsi="Times New Roman"/>
        </w:rPr>
        <w:t xml:space="preserve"> In</w:t>
      </w:r>
      <w:r>
        <w:rPr>
          <w:rFonts w:ascii="Times New Roman" w:hAnsi="Times New Roman"/>
        </w:rPr>
        <w:t> </w:t>
      </w:r>
      <w:r w:rsidRPr="00516377">
        <w:rPr>
          <w:rFonts w:ascii="Times New Roman" w:hAnsi="Times New Roman"/>
          <w:i/>
          <w:iCs/>
        </w:rPr>
        <w:t>NT</w:t>
      </w:r>
      <w:r>
        <w:rPr>
          <w:rFonts w:ascii="Times New Roman" w:hAnsi="Times New Roman"/>
          <w:i/>
          <w:iCs/>
        </w:rPr>
        <w:t> </w:t>
      </w:r>
      <w:r w:rsidRPr="00516377">
        <w:rPr>
          <w:rFonts w:ascii="Times New Roman" w:hAnsi="Times New Roman"/>
          <w:i/>
          <w:iCs/>
        </w:rPr>
        <w:t>Power Generation Pty Ltd v Power and Water Authority</w:t>
      </w:r>
      <w:r w:rsidRPr="00516377">
        <w:rPr>
          <w:rFonts w:ascii="Times New Roman" w:hAnsi="Times New Roman"/>
        </w:rPr>
        <w:t xml:space="preserve">, immediately after setting out that statement from </w:t>
      </w:r>
      <w:r w:rsidRPr="00516377">
        <w:rPr>
          <w:rFonts w:ascii="Times New Roman" w:hAnsi="Times New Roman"/>
          <w:i/>
          <w:iCs/>
        </w:rPr>
        <w:t>Bass</w:t>
      </w:r>
      <w:r w:rsidRPr="00516377">
        <w:rPr>
          <w:rFonts w:ascii="Times New Roman" w:hAnsi="Times New Roman"/>
        </w:rPr>
        <w:t>, four Justices said that "[t]he better view is that the principle [of derivative Crown immunity] applies to proprietary, contractual and other legal rights and interests and not otherwise".</w:t>
      </w:r>
      <w:r w:rsidRPr="00516377">
        <w:rPr>
          <w:rStyle w:val="FootnoteReference"/>
          <w:rFonts w:ascii="Times New Roman" w:hAnsi="Times New Roman"/>
          <w:sz w:val="24"/>
        </w:rPr>
        <w:footnoteReference w:id="93"/>
      </w:r>
      <w:r w:rsidRPr="00516377">
        <w:rPr>
          <w:rFonts w:ascii="Times New Roman" w:hAnsi="Times New Roman"/>
        </w:rPr>
        <w:t xml:space="preserve"> Their Honours thus expressly rejected the proposition that the presumption applies to circumstances going "beyond prejudice to property rights, legal rights, legal</w:t>
      </w:r>
      <w:r>
        <w:rPr>
          <w:rFonts w:ascii="Times New Roman" w:hAnsi="Times New Roman"/>
        </w:rPr>
        <w:t> </w:t>
      </w:r>
      <w:r w:rsidRPr="00516377">
        <w:rPr>
          <w:rFonts w:ascii="Times New Roman" w:hAnsi="Times New Roman"/>
        </w:rPr>
        <w:t>interests or legal prerogatives",</w:t>
      </w:r>
      <w:r w:rsidRPr="00516377">
        <w:rPr>
          <w:rStyle w:val="FootnoteReference"/>
          <w:rFonts w:ascii="Times New Roman" w:hAnsi="Times New Roman"/>
          <w:sz w:val="24"/>
        </w:rPr>
        <w:footnoteReference w:id="94"/>
      </w:r>
      <w:r w:rsidRPr="00516377">
        <w:rPr>
          <w:rFonts w:ascii="Times New Roman" w:hAnsi="Times New Roman"/>
        </w:rPr>
        <w:t xml:space="preserve"> notwithstanding that it had been said to extend to "arrangements or understandings" by Mason and Jacobs JJ in </w:t>
      </w:r>
      <w:r w:rsidRPr="00516377">
        <w:rPr>
          <w:rFonts w:ascii="Times New Roman" w:hAnsi="Times New Roman"/>
          <w:i/>
          <w:iCs/>
        </w:rPr>
        <w:t>Bradken Consolidated Ltd v Broken Hill Pty Co Ltd</w:t>
      </w:r>
      <w:r w:rsidRPr="00516377">
        <w:rPr>
          <w:rFonts w:ascii="Times New Roman" w:hAnsi="Times New Roman"/>
        </w:rPr>
        <w:t>.</w:t>
      </w:r>
      <w:r w:rsidRPr="00516377">
        <w:rPr>
          <w:rStyle w:val="FootnoteReference"/>
          <w:rFonts w:ascii="Times New Roman" w:hAnsi="Times New Roman"/>
          <w:sz w:val="24"/>
        </w:rPr>
        <w:footnoteReference w:id="95"/>
      </w:r>
      <w:r w:rsidRPr="00516377">
        <w:rPr>
          <w:rFonts w:ascii="Times New Roman" w:hAnsi="Times New Roman"/>
        </w:rPr>
        <w:t xml:space="preserve"> The</w:t>
      </w:r>
      <w:r w:rsidRPr="00516377" w:rsidDel="000C0FB5">
        <w:rPr>
          <w:rFonts w:ascii="Times New Roman" w:hAnsi="Times New Roman"/>
        </w:rPr>
        <w:t xml:space="preserve"> </w:t>
      </w:r>
      <w:r w:rsidRPr="00516377">
        <w:rPr>
          <w:rFonts w:ascii="Times New Roman" w:hAnsi="Times New Roman"/>
        </w:rPr>
        <w:t xml:space="preserve">majority in </w:t>
      </w:r>
      <w:r w:rsidRPr="00516377">
        <w:rPr>
          <w:rFonts w:ascii="Times New Roman" w:hAnsi="Times New Roman"/>
          <w:i/>
          <w:iCs/>
        </w:rPr>
        <w:t>NT Power</w:t>
      </w:r>
      <w:r w:rsidRPr="00516377">
        <w:rPr>
          <w:rFonts w:ascii="Times New Roman" w:hAnsi="Times New Roman"/>
        </w:rPr>
        <w:t xml:space="preserve"> declined to apply the presumption where the application of a statute to a private party would cause the Crown to suffer purely financial consequences without divesting any legally enforceable interest of the Crown.</w:t>
      </w:r>
      <w:r w:rsidRPr="00516377">
        <w:rPr>
          <w:rStyle w:val="FootnoteReference"/>
          <w:rFonts w:ascii="Times New Roman" w:hAnsi="Times New Roman"/>
          <w:sz w:val="24"/>
        </w:rPr>
        <w:footnoteReference w:id="96"/>
      </w:r>
    </w:p>
    <w:p w14:paraId="5616C945"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lastRenderedPageBreak/>
        <w:tab/>
        <w:t xml:space="preserve">In </w:t>
      </w:r>
      <w:r w:rsidRPr="00516377">
        <w:rPr>
          <w:rFonts w:ascii="Times New Roman" w:hAnsi="Times New Roman"/>
          <w:i/>
          <w:iCs/>
        </w:rPr>
        <w:t>Baxter</w:t>
      </w:r>
      <w:r w:rsidRPr="00516377">
        <w:rPr>
          <w:rFonts w:ascii="Times New Roman" w:hAnsi="Times New Roman"/>
        </w:rPr>
        <w:t xml:space="preserve">, the plurality remarked on "[t]he need for concentration on legal consequences", before affirming that, where it operates, the principle of derivative Crown immunity is relevant only if an Act would "divest the Crown of proprietary, contractual or other </w:t>
      </w:r>
      <w:r w:rsidRPr="00516377">
        <w:rPr>
          <w:rFonts w:ascii="Times New Roman" w:hAnsi="Times New Roman"/>
          <w:i/>
          <w:iCs/>
        </w:rPr>
        <w:t xml:space="preserve">legal </w:t>
      </w:r>
      <w:r w:rsidRPr="00516377">
        <w:rPr>
          <w:rFonts w:ascii="Times New Roman" w:hAnsi="Times New Roman"/>
        </w:rPr>
        <w:t>rights or interests".</w:t>
      </w:r>
      <w:r w:rsidRPr="00516377">
        <w:rPr>
          <w:rStyle w:val="FootnoteReference"/>
          <w:rFonts w:ascii="Times New Roman" w:hAnsi="Times New Roman"/>
          <w:sz w:val="24"/>
        </w:rPr>
        <w:footnoteReference w:id="97"/>
      </w:r>
      <w:r w:rsidRPr="00516377">
        <w:rPr>
          <w:rFonts w:ascii="Times New Roman" w:hAnsi="Times New Roman"/>
        </w:rPr>
        <w:t xml:space="preserve"> Their Honours also referred to "protect[</w:t>
      </w:r>
      <w:proofErr w:type="spellStart"/>
      <w:r w:rsidRPr="00516377">
        <w:rPr>
          <w:rFonts w:ascii="Times New Roman" w:hAnsi="Times New Roman"/>
        </w:rPr>
        <w:t>ing</w:t>
      </w:r>
      <w:proofErr w:type="spellEnd"/>
      <w:r w:rsidRPr="00516377">
        <w:rPr>
          <w:rFonts w:ascii="Times New Roman" w:hAnsi="Times New Roman"/>
        </w:rPr>
        <w:t>] the legal rights of governments"</w:t>
      </w:r>
      <w:r w:rsidRPr="00516377">
        <w:rPr>
          <w:rStyle w:val="FootnoteReference"/>
          <w:rFonts w:ascii="Times New Roman" w:hAnsi="Times New Roman"/>
          <w:sz w:val="24"/>
        </w:rPr>
        <w:footnoteReference w:id="98"/>
      </w:r>
      <w:r w:rsidRPr="00516377">
        <w:rPr>
          <w:rFonts w:ascii="Times New Roman" w:hAnsi="Times New Roman"/>
        </w:rPr>
        <w:t xml:space="preserve"> but no issue arises in this case as to whether there is any difference between preventing a divestment of legal rights </w:t>
      </w:r>
      <w:r w:rsidRPr="000D6EED">
        <w:rPr>
          <w:rFonts w:ascii="Times New Roman" w:hAnsi="Times New Roman"/>
          <w:spacing w:val="2"/>
        </w:rPr>
        <w:t>and protecting such rights. The plurality had earlier explained that it was</w:t>
      </w:r>
      <w:r>
        <w:rPr>
          <w:rFonts w:ascii="Times New Roman" w:hAnsi="Times New Roman"/>
          <w:spacing w:val="2"/>
        </w:rPr>
        <w:t> </w:t>
      </w:r>
      <w:r w:rsidRPr="000D6EED">
        <w:rPr>
          <w:rFonts w:ascii="Times New Roman" w:hAnsi="Times New Roman"/>
          <w:spacing w:val="2"/>
        </w:rPr>
        <w:t>important not to confuse "legal, equitable or statutory rights and interests"</w:t>
      </w:r>
      <w:r>
        <w:rPr>
          <w:rFonts w:ascii="Times New Roman" w:hAnsi="Times New Roman"/>
          <w:spacing w:val="2"/>
        </w:rPr>
        <w:t> </w:t>
      </w:r>
      <w:r w:rsidRPr="000D6EED">
        <w:rPr>
          <w:rFonts w:ascii="Times New Roman" w:hAnsi="Times New Roman"/>
          <w:spacing w:val="2"/>
        </w:rPr>
        <w:t>with "governmental, commercial, or even political interests".</w:t>
      </w:r>
      <w:r w:rsidRPr="000D6EED">
        <w:rPr>
          <w:rStyle w:val="FootnoteReference"/>
          <w:rFonts w:ascii="Times New Roman" w:hAnsi="Times New Roman"/>
          <w:spacing w:val="2"/>
          <w:sz w:val="24"/>
        </w:rPr>
        <w:footnoteReference w:id="99"/>
      </w:r>
      <w:r w:rsidRPr="000D6EED">
        <w:rPr>
          <w:rFonts w:ascii="Times New Roman" w:hAnsi="Times New Roman"/>
          <w:spacing w:val="2"/>
        </w:rPr>
        <w:t xml:space="preserve"> Significantly, the plurality held in </w:t>
      </w:r>
      <w:r w:rsidRPr="000D6EED">
        <w:rPr>
          <w:rFonts w:ascii="Times New Roman" w:hAnsi="Times New Roman"/>
          <w:i/>
          <w:spacing w:val="2"/>
        </w:rPr>
        <w:t>Baxter</w:t>
      </w:r>
      <w:r w:rsidRPr="000D6EED">
        <w:rPr>
          <w:rFonts w:ascii="Times New Roman" w:hAnsi="Times New Roman"/>
          <w:spacing w:val="2"/>
        </w:rPr>
        <w:t xml:space="preserve"> that the Crown's capacity to contract</w:t>
      </w:r>
      <w:r w:rsidRPr="00516377">
        <w:rPr>
          <w:rFonts w:ascii="Times New Roman" w:hAnsi="Times New Roman"/>
        </w:rPr>
        <w:t xml:space="preserve"> is not a legal right or interest</w:t>
      </w:r>
      <w:r w:rsidRPr="00516377" w:rsidDel="00413073">
        <w:rPr>
          <w:rFonts w:ascii="Times New Roman" w:hAnsi="Times New Roman"/>
        </w:rPr>
        <w:t xml:space="preserve"> </w:t>
      </w:r>
      <w:r w:rsidRPr="00516377">
        <w:rPr>
          <w:rFonts w:ascii="Times New Roman" w:hAnsi="Times New Roman"/>
        </w:rPr>
        <w:t>which engages the presumption, that capacity being in the nature of a</w:t>
      </w:r>
      <w:r>
        <w:rPr>
          <w:rFonts w:ascii="Times New Roman" w:hAnsi="Times New Roman"/>
        </w:rPr>
        <w:t> </w:t>
      </w:r>
      <w:r w:rsidRPr="00516377">
        <w:rPr>
          <w:rFonts w:ascii="Times New Roman" w:hAnsi="Times New Roman"/>
        </w:rPr>
        <w:t>freedom rather than a right.</w:t>
      </w:r>
      <w:r w:rsidRPr="00516377">
        <w:rPr>
          <w:rStyle w:val="FootnoteReference"/>
          <w:rFonts w:ascii="Times New Roman" w:hAnsi="Times New Roman"/>
          <w:sz w:val="24"/>
        </w:rPr>
        <w:footnoteReference w:id="100"/>
      </w:r>
      <w:r w:rsidRPr="00516377">
        <w:rPr>
          <w:rFonts w:ascii="Times New Roman" w:hAnsi="Times New Roman"/>
        </w:rPr>
        <w:t xml:space="preserve"> As the plurality said, while</w:t>
      </w:r>
      <w:r>
        <w:rPr>
          <w:rFonts w:ascii="Times New Roman" w:hAnsi="Times New Roman"/>
        </w:rPr>
        <w:t> </w:t>
      </w:r>
      <w:r w:rsidRPr="00516377">
        <w:rPr>
          <w:rFonts w:ascii="Times New Roman" w:hAnsi="Times New Roman"/>
        </w:rPr>
        <w:t>"[f]rom</w:t>
      </w:r>
      <w:r>
        <w:rPr>
          <w:rFonts w:ascii="Times New Roman" w:hAnsi="Times New Roman"/>
        </w:rPr>
        <w:t> </w:t>
      </w:r>
      <w:r w:rsidRPr="00516377">
        <w:rPr>
          <w:rFonts w:ascii="Times New Roman" w:hAnsi="Times New Roman"/>
        </w:rPr>
        <w:t>one point of view, it may be in the interests of a government for it, and anyone who deals with it, to have complete freedom to contract ... in reality no one has such freedom".</w:t>
      </w:r>
      <w:r w:rsidRPr="00516377">
        <w:rPr>
          <w:rStyle w:val="FootnoteReference"/>
          <w:rFonts w:ascii="Times New Roman" w:hAnsi="Times New Roman"/>
          <w:sz w:val="24"/>
        </w:rPr>
        <w:footnoteReference w:id="101"/>
      </w:r>
    </w:p>
    <w:p w14:paraId="43344BC9"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r>
      <w:proofErr w:type="gramStart"/>
      <w:r w:rsidRPr="00516377">
        <w:rPr>
          <w:rFonts w:ascii="Times New Roman" w:hAnsi="Times New Roman"/>
        </w:rPr>
        <w:t>Thus</w:t>
      </w:r>
      <w:proofErr w:type="gramEnd"/>
      <w:r w:rsidRPr="00516377">
        <w:rPr>
          <w:rFonts w:ascii="Times New Roman" w:hAnsi="Times New Roman"/>
        </w:rPr>
        <w:t xml:space="preserve"> the </w:t>
      </w:r>
      <w:r w:rsidRPr="00516377">
        <w:rPr>
          <w:rFonts w:ascii="Times New Roman" w:hAnsi="Times New Roman"/>
          <w:i/>
          <w:iCs/>
        </w:rPr>
        <w:t>Baxter</w:t>
      </w:r>
      <w:r w:rsidRPr="00516377">
        <w:rPr>
          <w:rFonts w:ascii="Times New Roman" w:hAnsi="Times New Roman"/>
        </w:rPr>
        <w:t xml:space="preserve"> formulation of the principle of derivative Crown immunity</w:t>
      </w:r>
      <w:r>
        <w:rPr>
          <w:rFonts w:ascii="Times New Roman" w:hAnsi="Times New Roman"/>
        </w:rPr>
        <w:t> </w:t>
      </w:r>
      <w:r w:rsidRPr="00516377">
        <w:rPr>
          <w:rFonts w:ascii="Times New Roman" w:hAnsi="Times New Roman"/>
        </w:rPr>
        <w:t xml:space="preserve">– that it is relevant only if an Act would "divest the Crown of proprietary, contractual or other </w:t>
      </w:r>
      <w:r w:rsidRPr="00516377">
        <w:rPr>
          <w:rFonts w:ascii="Times New Roman" w:hAnsi="Times New Roman"/>
          <w:i/>
          <w:iCs/>
        </w:rPr>
        <w:t xml:space="preserve">legal </w:t>
      </w:r>
      <w:r w:rsidRPr="00516377">
        <w:rPr>
          <w:rFonts w:ascii="Times New Roman" w:hAnsi="Times New Roman"/>
        </w:rPr>
        <w:t>rights or interests"</w:t>
      </w:r>
      <w:r w:rsidRPr="00516377">
        <w:rPr>
          <w:rStyle w:val="FootnoteReference"/>
          <w:rFonts w:ascii="Times New Roman" w:hAnsi="Times New Roman"/>
          <w:sz w:val="24"/>
        </w:rPr>
        <w:footnoteReference w:id="102"/>
      </w:r>
      <w:r w:rsidRPr="00516377">
        <w:rPr>
          <w:rFonts w:ascii="Times New Roman" w:hAnsi="Times New Roman"/>
        </w:rPr>
        <w:t xml:space="preserve"> – is narrower than the</w:t>
      </w:r>
      <w:r>
        <w:rPr>
          <w:rFonts w:ascii="Times New Roman" w:hAnsi="Times New Roman"/>
        </w:rPr>
        <w:t> </w:t>
      </w:r>
      <w:r w:rsidRPr="00516377">
        <w:rPr>
          <w:rFonts w:ascii="Times New Roman" w:hAnsi="Times New Roman"/>
          <w:i/>
          <w:iCs/>
        </w:rPr>
        <w:t>Wynyard</w:t>
      </w:r>
      <w:r w:rsidRPr="00516377">
        <w:rPr>
          <w:rFonts w:ascii="Times New Roman" w:hAnsi="Times New Roman"/>
        </w:rPr>
        <w:t xml:space="preserve"> formulation. Unlike the </w:t>
      </w:r>
      <w:r w:rsidRPr="00516377">
        <w:rPr>
          <w:rFonts w:ascii="Times New Roman" w:hAnsi="Times New Roman"/>
          <w:i/>
          <w:iCs/>
        </w:rPr>
        <w:t>Wynyard</w:t>
      </w:r>
      <w:r w:rsidRPr="00516377">
        <w:rPr>
          <w:rFonts w:ascii="Times New Roman" w:hAnsi="Times New Roman"/>
        </w:rPr>
        <w:t xml:space="preserve"> formulation, it does not refer to a "right, interest, power, authority, privilege, immunity or purpose".</w:t>
      </w:r>
    </w:p>
    <w:p w14:paraId="484C3131" w14:textId="77777777" w:rsidR="0023595F" w:rsidRPr="00516377" w:rsidRDefault="0023595F" w:rsidP="00516377">
      <w:pPr>
        <w:pStyle w:val="HeadingL2"/>
        <w:spacing w:after="260" w:line="280" w:lineRule="exact"/>
        <w:ind w:right="0"/>
        <w:jc w:val="both"/>
        <w:rPr>
          <w:rFonts w:ascii="Times New Roman" w:hAnsi="Times New Roman"/>
        </w:rPr>
      </w:pPr>
      <w:r w:rsidRPr="00516377">
        <w:rPr>
          <w:rFonts w:ascii="Times New Roman" w:hAnsi="Times New Roman"/>
        </w:rPr>
        <w:t>CCA</w:t>
      </w:r>
    </w:p>
    <w:p w14:paraId="2E07F01B"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This proceeding concerns whether the principle of derivative Crown immunity applies in the context of a Commonwealth law – the CCA – in favour of the Crown in right of the State. The question is whether the CCA may be said to evince a contrary intention to displace the presumption against the relevant provisions of the CCA applying to divest the State of a relevant legal right or interest. Because of the Commonwealth Parliament's power to make laws with respect to trading corporations, this "is a question on which the language of </w:t>
      </w:r>
      <w:r w:rsidRPr="00516377">
        <w:rPr>
          <w:rFonts w:ascii="Times New Roman" w:hAnsi="Times New Roman"/>
        </w:rPr>
        <w:lastRenderedPageBreak/>
        <w:t>the</w:t>
      </w:r>
      <w:r>
        <w:rPr>
          <w:rFonts w:ascii="Times New Roman" w:hAnsi="Times New Roman"/>
        </w:rPr>
        <w:t> </w:t>
      </w:r>
      <w:r w:rsidRPr="00516377">
        <w:rPr>
          <w:rFonts w:ascii="Times New Roman" w:hAnsi="Times New Roman"/>
        </w:rPr>
        <w:t>federal Parliament's legislation is decisive".</w:t>
      </w:r>
      <w:r w:rsidRPr="00516377">
        <w:rPr>
          <w:rStyle w:val="FootnoteReference"/>
          <w:rFonts w:ascii="Times New Roman" w:hAnsi="Times New Roman"/>
          <w:sz w:val="24"/>
        </w:rPr>
        <w:footnoteReference w:id="103"/>
      </w:r>
      <w:r w:rsidRPr="00516377">
        <w:rPr>
          <w:rFonts w:ascii="Times New Roman" w:hAnsi="Times New Roman"/>
        </w:rPr>
        <w:t xml:space="preserve"> The proper starting point in the</w:t>
      </w:r>
      <w:r>
        <w:rPr>
          <w:rFonts w:ascii="Times New Roman" w:hAnsi="Times New Roman"/>
        </w:rPr>
        <w:t> </w:t>
      </w:r>
      <w:r w:rsidRPr="00516377">
        <w:rPr>
          <w:rFonts w:ascii="Times New Roman" w:hAnsi="Times New Roman"/>
        </w:rPr>
        <w:t xml:space="preserve">analysis is therefore to construe the CCA. </w:t>
      </w:r>
    </w:p>
    <w:p w14:paraId="01930458"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The object of the CCA is "to enhance the welfare of Australians through the</w:t>
      </w:r>
      <w:r>
        <w:rPr>
          <w:rFonts w:ascii="Times New Roman" w:hAnsi="Times New Roman"/>
        </w:rPr>
        <w:t> </w:t>
      </w:r>
      <w:r w:rsidRPr="00516377">
        <w:rPr>
          <w:rFonts w:ascii="Times New Roman" w:hAnsi="Times New Roman"/>
        </w:rPr>
        <w:t>promotion of competition and fair trading and provision for consumer protection".</w:t>
      </w:r>
      <w:r w:rsidRPr="00516377">
        <w:rPr>
          <w:rStyle w:val="FootnoteReference"/>
          <w:rFonts w:ascii="Times New Roman" w:hAnsi="Times New Roman"/>
          <w:sz w:val="24"/>
        </w:rPr>
        <w:footnoteReference w:id="104"/>
      </w:r>
      <w:r w:rsidRPr="00516377">
        <w:rPr>
          <w:rFonts w:ascii="Times New Roman" w:hAnsi="Times New Roman"/>
        </w:rPr>
        <w:t xml:space="preserve"> The relevant provisions are in Pt IV, headed "Restrictive trade practices" – ss 45(2)(a)(ii)</w:t>
      </w:r>
      <w:r w:rsidRPr="00516377" w:rsidDel="00477AF3">
        <w:rPr>
          <w:rFonts w:ascii="Times New Roman" w:hAnsi="Times New Roman"/>
        </w:rPr>
        <w:t xml:space="preserve"> and </w:t>
      </w:r>
      <w:r w:rsidRPr="00516377">
        <w:rPr>
          <w:rFonts w:ascii="Times New Roman" w:hAnsi="Times New Roman"/>
        </w:rPr>
        <w:t>45(2)(b)(ii) as in effect on 31 May 2013</w:t>
      </w:r>
      <w:r w:rsidRPr="00516377" w:rsidDel="00477AF3">
        <w:rPr>
          <w:rFonts w:ascii="Times New Roman" w:hAnsi="Times New Roman"/>
        </w:rPr>
        <w:t>, and</w:t>
      </w:r>
      <w:r>
        <w:rPr>
          <w:rFonts w:ascii="Times New Roman" w:hAnsi="Times New Roman"/>
        </w:rPr>
        <w:t> </w:t>
      </w:r>
      <w:r w:rsidRPr="00516377" w:rsidDel="00477AF3">
        <w:rPr>
          <w:rFonts w:ascii="Times New Roman" w:hAnsi="Times New Roman"/>
        </w:rPr>
        <w:t>s 45DA(1) as in effect between 31 May 2013 and 5 November 2017</w:t>
      </w:r>
      <w:r w:rsidRPr="00516377">
        <w:rPr>
          <w:rFonts w:ascii="Times New Roman" w:hAnsi="Times New Roman"/>
        </w:rPr>
        <w:t xml:space="preserve">. </w:t>
      </w:r>
    </w:p>
    <w:p w14:paraId="001A50DB"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Section 45 is headed "Contracts, arrangements or understandings that restrict dealings or affect competition". As </w:t>
      </w:r>
      <w:proofErr w:type="gramStart"/>
      <w:r w:rsidRPr="00516377">
        <w:rPr>
          <w:rFonts w:ascii="Times New Roman" w:hAnsi="Times New Roman"/>
        </w:rPr>
        <w:t>at</w:t>
      </w:r>
      <w:proofErr w:type="gramEnd"/>
      <w:r w:rsidRPr="00516377">
        <w:rPr>
          <w:rFonts w:ascii="Times New Roman" w:hAnsi="Times New Roman"/>
        </w:rPr>
        <w:t> 31 May 2013, s 45(2) of the CCA relevantly provided as follows:</w:t>
      </w:r>
    </w:p>
    <w:p w14:paraId="0C9C8D79" w14:textId="77777777" w:rsidR="0023595F" w:rsidRPr="00516377" w:rsidRDefault="0023595F" w:rsidP="00516377">
      <w:pPr>
        <w:pStyle w:val="LeftrightHanging"/>
        <w:spacing w:before="0" w:after="260" w:line="280" w:lineRule="exact"/>
        <w:ind w:right="0"/>
        <w:jc w:val="both"/>
        <w:rPr>
          <w:rFonts w:ascii="Times New Roman" w:hAnsi="Times New Roman"/>
        </w:rPr>
      </w:pPr>
      <w:r w:rsidRPr="00516377">
        <w:rPr>
          <w:rFonts w:ascii="Times New Roman" w:hAnsi="Times New Roman"/>
        </w:rPr>
        <w:t>"(2)</w:t>
      </w:r>
      <w:r w:rsidRPr="00516377">
        <w:rPr>
          <w:rFonts w:ascii="Times New Roman" w:hAnsi="Times New Roman"/>
        </w:rPr>
        <w:tab/>
        <w:t>A corporation shall not:</w:t>
      </w:r>
    </w:p>
    <w:p w14:paraId="6CEC0480" w14:textId="77777777" w:rsidR="0023595F" w:rsidRPr="00516377" w:rsidRDefault="0023595F" w:rsidP="00516377">
      <w:pPr>
        <w:pStyle w:val="LRHangingMore"/>
        <w:spacing w:before="0" w:after="260" w:line="280" w:lineRule="exact"/>
        <w:ind w:right="0"/>
        <w:jc w:val="both"/>
        <w:rPr>
          <w:rFonts w:ascii="Times New Roman" w:hAnsi="Times New Roman"/>
        </w:rPr>
      </w:pPr>
      <w:r w:rsidRPr="00516377">
        <w:rPr>
          <w:rFonts w:ascii="Times New Roman" w:hAnsi="Times New Roman"/>
        </w:rPr>
        <w:t xml:space="preserve">(a) </w:t>
      </w:r>
      <w:r w:rsidRPr="00516377">
        <w:rPr>
          <w:rFonts w:ascii="Times New Roman" w:hAnsi="Times New Roman"/>
        </w:rPr>
        <w:tab/>
        <w:t>make a contract or arrangement, or arrive at an understanding, if:</w:t>
      </w:r>
    </w:p>
    <w:p w14:paraId="35759704" w14:textId="77777777" w:rsidR="0023595F" w:rsidRPr="00516377" w:rsidRDefault="0023595F" w:rsidP="00516377">
      <w:pPr>
        <w:pStyle w:val="LRHangingMore"/>
        <w:spacing w:before="0" w:after="260" w:line="280" w:lineRule="exact"/>
        <w:ind w:right="0" w:hanging="33"/>
        <w:jc w:val="both"/>
        <w:rPr>
          <w:rFonts w:ascii="Times New Roman" w:hAnsi="Times New Roman"/>
        </w:rPr>
      </w:pPr>
      <w:r w:rsidRPr="00516377">
        <w:rPr>
          <w:rFonts w:ascii="Times New Roman" w:hAnsi="Times New Roman"/>
        </w:rPr>
        <w:t>...</w:t>
      </w:r>
    </w:p>
    <w:p w14:paraId="7B2F394F" w14:textId="77777777" w:rsidR="0023595F" w:rsidRPr="00516377" w:rsidRDefault="0023595F" w:rsidP="00516377">
      <w:pPr>
        <w:pStyle w:val="LRHangingMore"/>
        <w:tabs>
          <w:tab w:val="clear" w:pos="720"/>
          <w:tab w:val="clear" w:pos="1440"/>
          <w:tab w:val="clear" w:pos="2160"/>
          <w:tab w:val="clear" w:pos="2880"/>
          <w:tab w:val="clear" w:pos="3600"/>
          <w:tab w:val="clear" w:pos="4320"/>
          <w:tab w:val="clear" w:pos="5040"/>
          <w:tab w:val="clear" w:pos="5760"/>
          <w:tab w:val="clear" w:pos="6480"/>
          <w:tab w:val="clear" w:pos="7200"/>
        </w:tabs>
        <w:spacing w:before="0" w:after="260" w:line="280" w:lineRule="exact"/>
        <w:ind w:left="2977" w:right="0" w:hanging="850"/>
        <w:jc w:val="both"/>
        <w:rPr>
          <w:rFonts w:ascii="Times New Roman" w:hAnsi="Times New Roman"/>
        </w:rPr>
      </w:pPr>
      <w:r w:rsidRPr="00516377">
        <w:rPr>
          <w:rFonts w:ascii="Times New Roman" w:hAnsi="Times New Roman"/>
        </w:rPr>
        <w:t>(ii)</w:t>
      </w:r>
      <w:r w:rsidRPr="00516377">
        <w:rPr>
          <w:rFonts w:ascii="Times New Roman" w:hAnsi="Times New Roman"/>
        </w:rPr>
        <w:tab/>
        <w:t>a provision of the proposed contract, arrangement or understanding has the purpose, or would have or be likely to have the effect, of substantially lessening competition; or</w:t>
      </w:r>
    </w:p>
    <w:p w14:paraId="5DB68921" w14:textId="77777777" w:rsidR="0023595F" w:rsidRPr="00516377" w:rsidRDefault="0023595F" w:rsidP="00516377">
      <w:pPr>
        <w:pStyle w:val="LRHangingMore"/>
        <w:spacing w:before="0" w:after="260" w:line="280" w:lineRule="exact"/>
        <w:ind w:right="0"/>
        <w:jc w:val="both"/>
        <w:rPr>
          <w:rFonts w:ascii="Times New Roman" w:hAnsi="Times New Roman"/>
        </w:rPr>
      </w:pPr>
      <w:r w:rsidRPr="00516377">
        <w:rPr>
          <w:rFonts w:ascii="Times New Roman" w:hAnsi="Times New Roman"/>
        </w:rPr>
        <w:t>(b)</w:t>
      </w:r>
      <w:r w:rsidRPr="00516377">
        <w:rPr>
          <w:rFonts w:ascii="Times New Roman" w:hAnsi="Times New Roman"/>
        </w:rPr>
        <w:tab/>
        <w:t>give effect to a provision of a contract, arrangement or understanding, whether the contract or arrangement was made, or the understanding was arrived at, before or after the</w:t>
      </w:r>
      <w:r>
        <w:rPr>
          <w:rFonts w:ascii="Times New Roman" w:hAnsi="Times New Roman"/>
        </w:rPr>
        <w:t> </w:t>
      </w:r>
      <w:r w:rsidRPr="00516377">
        <w:rPr>
          <w:rFonts w:ascii="Times New Roman" w:hAnsi="Times New Roman"/>
        </w:rPr>
        <w:t>commencement of this section, if that provision:</w:t>
      </w:r>
    </w:p>
    <w:p w14:paraId="3EB79386" w14:textId="77777777" w:rsidR="0023595F" w:rsidRPr="00516377" w:rsidRDefault="0023595F" w:rsidP="00516377">
      <w:pPr>
        <w:pStyle w:val="LRHangingMore"/>
        <w:tabs>
          <w:tab w:val="clear" w:pos="720"/>
          <w:tab w:val="clear" w:pos="1440"/>
          <w:tab w:val="clear" w:pos="2160"/>
          <w:tab w:val="clear" w:pos="2880"/>
          <w:tab w:val="clear" w:pos="3600"/>
          <w:tab w:val="clear" w:pos="4320"/>
          <w:tab w:val="clear" w:pos="5040"/>
          <w:tab w:val="clear" w:pos="5760"/>
          <w:tab w:val="clear" w:pos="6480"/>
          <w:tab w:val="clear" w:pos="7200"/>
        </w:tabs>
        <w:spacing w:before="0" w:after="260" w:line="280" w:lineRule="exact"/>
        <w:ind w:left="2977" w:right="0" w:hanging="850"/>
        <w:jc w:val="both"/>
        <w:rPr>
          <w:rFonts w:ascii="Times New Roman" w:hAnsi="Times New Roman"/>
        </w:rPr>
      </w:pPr>
      <w:r w:rsidRPr="00516377">
        <w:rPr>
          <w:rFonts w:ascii="Times New Roman" w:hAnsi="Times New Roman"/>
        </w:rPr>
        <w:t>...</w:t>
      </w:r>
    </w:p>
    <w:p w14:paraId="23A36209" w14:textId="77777777" w:rsidR="0023595F" w:rsidRDefault="0023595F" w:rsidP="00516377">
      <w:pPr>
        <w:pStyle w:val="LRHangingMore"/>
        <w:tabs>
          <w:tab w:val="clear" w:pos="720"/>
          <w:tab w:val="clear" w:pos="1440"/>
          <w:tab w:val="clear" w:pos="2160"/>
          <w:tab w:val="clear" w:pos="2880"/>
          <w:tab w:val="clear" w:pos="3600"/>
          <w:tab w:val="clear" w:pos="4320"/>
          <w:tab w:val="clear" w:pos="5040"/>
          <w:tab w:val="clear" w:pos="5760"/>
          <w:tab w:val="clear" w:pos="6480"/>
          <w:tab w:val="clear" w:pos="7200"/>
        </w:tabs>
        <w:spacing w:before="0" w:after="260" w:line="280" w:lineRule="exact"/>
        <w:ind w:left="2977" w:right="0" w:hanging="850"/>
        <w:jc w:val="both"/>
        <w:rPr>
          <w:rFonts w:ascii="Times New Roman" w:hAnsi="Times New Roman"/>
        </w:rPr>
      </w:pPr>
      <w:r w:rsidRPr="00516377">
        <w:rPr>
          <w:rFonts w:ascii="Times New Roman" w:hAnsi="Times New Roman"/>
        </w:rPr>
        <w:t>(ii)</w:t>
      </w:r>
      <w:r w:rsidRPr="00516377">
        <w:rPr>
          <w:rFonts w:ascii="Times New Roman" w:hAnsi="Times New Roman"/>
        </w:rPr>
        <w:tab/>
        <w:t>has the purpose, or has or is likely to have the effect, of substantially lessening competition."</w:t>
      </w:r>
    </w:p>
    <w:p w14:paraId="4DF4AB64"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Section 45(2) applied, in terms, to any corporation. The plain and ordinary meaning of the provision was to prohibit any corporation from </w:t>
      </w:r>
      <w:proofErr w:type="gramStart"/>
      <w:r w:rsidRPr="00516377">
        <w:rPr>
          <w:rFonts w:ascii="Times New Roman" w:hAnsi="Times New Roman"/>
        </w:rPr>
        <w:t>entering into</w:t>
      </w:r>
      <w:proofErr w:type="gramEnd"/>
      <w:r w:rsidRPr="00516377">
        <w:rPr>
          <w:rFonts w:ascii="Times New Roman" w:hAnsi="Times New Roman"/>
        </w:rPr>
        <w:t xml:space="preserve"> or giving effect to contractual provisions or understandings that have the relevant purpose or likely effect of substantially lessening competition.</w:t>
      </w:r>
    </w:p>
    <w:p w14:paraId="3E5FF70A"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lastRenderedPageBreak/>
        <w:tab/>
        <w:t xml:space="preserve">Section 45DA is headed "Secondary boycotts for the purpose of causing substantial lessening of competition". </w:t>
      </w:r>
      <w:r w:rsidRPr="00516377" w:rsidDel="004A3EB7">
        <w:rPr>
          <w:rFonts w:ascii="Times New Roman" w:hAnsi="Times New Roman"/>
        </w:rPr>
        <w:t>Between</w:t>
      </w:r>
      <w:r w:rsidRPr="00516377">
        <w:rPr>
          <w:rFonts w:ascii="Times New Roman" w:hAnsi="Times New Roman"/>
        </w:rPr>
        <w:t xml:space="preserve"> 31 May 2013</w:t>
      </w:r>
      <w:r w:rsidRPr="00516377" w:rsidDel="00275B11">
        <w:rPr>
          <w:rFonts w:ascii="Times New Roman" w:hAnsi="Times New Roman"/>
        </w:rPr>
        <w:t xml:space="preserve"> and 5 November 2017</w:t>
      </w:r>
      <w:r w:rsidRPr="00516377">
        <w:rPr>
          <w:rFonts w:ascii="Times New Roman" w:hAnsi="Times New Roman"/>
        </w:rPr>
        <w:t>, s 45DA relevantly provided:</w:t>
      </w:r>
      <w:r w:rsidRPr="00516377">
        <w:rPr>
          <w:rStyle w:val="FootnoteReference"/>
          <w:rFonts w:ascii="Times New Roman" w:hAnsi="Times New Roman"/>
          <w:sz w:val="24"/>
        </w:rPr>
        <w:footnoteReference w:id="105"/>
      </w:r>
    </w:p>
    <w:p w14:paraId="02952110" w14:textId="77777777" w:rsidR="0023595F" w:rsidRPr="00516377" w:rsidRDefault="0023595F" w:rsidP="00516377">
      <w:pPr>
        <w:pStyle w:val="LeftrightHanging"/>
        <w:spacing w:before="0" w:after="260" w:line="280" w:lineRule="exact"/>
        <w:ind w:right="0"/>
        <w:jc w:val="both"/>
        <w:rPr>
          <w:rFonts w:ascii="Times New Roman" w:hAnsi="Times New Roman"/>
        </w:rPr>
      </w:pPr>
      <w:r w:rsidRPr="00516377">
        <w:rPr>
          <w:rFonts w:ascii="Times New Roman" w:hAnsi="Times New Roman"/>
        </w:rPr>
        <w:t>"(1)</w:t>
      </w:r>
      <w:r w:rsidRPr="00516377">
        <w:rPr>
          <w:rFonts w:ascii="Times New Roman" w:hAnsi="Times New Roman"/>
        </w:rPr>
        <w:tab/>
        <w:t>In the circumstances specified in subsection (3), a person must not, in concert with a second person, engage in conduct:</w:t>
      </w:r>
    </w:p>
    <w:p w14:paraId="2E2221E7" w14:textId="77777777" w:rsidR="0023595F" w:rsidRPr="00516377" w:rsidRDefault="0023595F" w:rsidP="00516377">
      <w:pPr>
        <w:pStyle w:val="LRHangingMore"/>
        <w:spacing w:before="0" w:after="260" w:line="280" w:lineRule="exact"/>
        <w:ind w:right="0"/>
        <w:jc w:val="both"/>
        <w:rPr>
          <w:rFonts w:ascii="Times New Roman" w:hAnsi="Times New Roman"/>
        </w:rPr>
      </w:pPr>
      <w:r w:rsidRPr="00516377">
        <w:rPr>
          <w:rFonts w:ascii="Times New Roman" w:hAnsi="Times New Roman"/>
        </w:rPr>
        <w:t>(a)</w:t>
      </w:r>
      <w:r w:rsidRPr="00516377">
        <w:rPr>
          <w:rFonts w:ascii="Times New Roman" w:hAnsi="Times New Roman"/>
        </w:rPr>
        <w:tab/>
        <w:t>that hinders o</w:t>
      </w:r>
      <w:r>
        <w:rPr>
          <w:rFonts w:ascii="Times New Roman" w:hAnsi="Times New Roman"/>
        </w:rPr>
        <w:t>r</w:t>
      </w:r>
      <w:r w:rsidRPr="00516377">
        <w:rPr>
          <w:rFonts w:ascii="Times New Roman" w:hAnsi="Times New Roman"/>
        </w:rPr>
        <w:t xml:space="preserve"> prevents:</w:t>
      </w:r>
    </w:p>
    <w:p w14:paraId="6E7B7282" w14:textId="77777777" w:rsidR="0023595F" w:rsidRPr="00516377" w:rsidRDefault="0023595F" w:rsidP="00516377">
      <w:pPr>
        <w:pStyle w:val="LRHangingMore"/>
        <w:tabs>
          <w:tab w:val="clear" w:pos="720"/>
          <w:tab w:val="clear" w:pos="1440"/>
          <w:tab w:val="clear" w:pos="2160"/>
          <w:tab w:val="clear" w:pos="2880"/>
          <w:tab w:val="clear" w:pos="3600"/>
          <w:tab w:val="clear" w:pos="4320"/>
          <w:tab w:val="clear" w:pos="5040"/>
          <w:tab w:val="clear" w:pos="5760"/>
          <w:tab w:val="clear" w:pos="6480"/>
          <w:tab w:val="clear" w:pos="7200"/>
        </w:tabs>
        <w:spacing w:before="0" w:after="260" w:line="280" w:lineRule="exact"/>
        <w:ind w:left="2977" w:right="0" w:hanging="850"/>
        <w:jc w:val="both"/>
        <w:rPr>
          <w:rFonts w:ascii="Times New Roman" w:hAnsi="Times New Roman"/>
        </w:rPr>
      </w:pPr>
      <w:r w:rsidRPr="00516377">
        <w:rPr>
          <w:rFonts w:ascii="Times New Roman" w:hAnsi="Times New Roman"/>
        </w:rPr>
        <w:t>(</w:t>
      </w:r>
      <w:proofErr w:type="spellStart"/>
      <w:r w:rsidRPr="00516377">
        <w:rPr>
          <w:rFonts w:ascii="Times New Roman" w:hAnsi="Times New Roman"/>
        </w:rPr>
        <w:t>i</w:t>
      </w:r>
      <w:proofErr w:type="spellEnd"/>
      <w:r w:rsidRPr="00516377">
        <w:rPr>
          <w:rFonts w:ascii="Times New Roman" w:hAnsi="Times New Roman"/>
        </w:rPr>
        <w:t>)</w:t>
      </w:r>
      <w:r w:rsidRPr="00516377">
        <w:rPr>
          <w:rFonts w:ascii="Times New Roman" w:hAnsi="Times New Roman"/>
        </w:rPr>
        <w:tab/>
        <w:t>a third person supplying goods or services to a fourth person (who is not an employer of the first person or the second person); or</w:t>
      </w:r>
    </w:p>
    <w:p w14:paraId="10E4E309" w14:textId="77777777" w:rsidR="0023595F" w:rsidRPr="00516377" w:rsidRDefault="0023595F" w:rsidP="00516377">
      <w:pPr>
        <w:pStyle w:val="LRHangingMore"/>
        <w:tabs>
          <w:tab w:val="clear" w:pos="720"/>
          <w:tab w:val="clear" w:pos="1440"/>
          <w:tab w:val="clear" w:pos="2160"/>
          <w:tab w:val="clear" w:pos="2880"/>
          <w:tab w:val="clear" w:pos="3600"/>
          <w:tab w:val="clear" w:pos="4320"/>
          <w:tab w:val="clear" w:pos="5040"/>
          <w:tab w:val="clear" w:pos="5760"/>
          <w:tab w:val="clear" w:pos="6480"/>
          <w:tab w:val="clear" w:pos="7200"/>
        </w:tabs>
        <w:spacing w:before="0" w:after="260" w:line="280" w:lineRule="exact"/>
        <w:ind w:left="2977" w:right="0" w:hanging="850"/>
        <w:jc w:val="both"/>
        <w:rPr>
          <w:rFonts w:ascii="Times New Roman" w:hAnsi="Times New Roman"/>
        </w:rPr>
      </w:pPr>
      <w:r w:rsidRPr="00516377">
        <w:rPr>
          <w:rFonts w:ascii="Times New Roman" w:hAnsi="Times New Roman"/>
        </w:rPr>
        <w:t>(ii)</w:t>
      </w:r>
      <w:r w:rsidRPr="00516377">
        <w:rPr>
          <w:rFonts w:ascii="Times New Roman" w:hAnsi="Times New Roman"/>
        </w:rPr>
        <w:tab/>
        <w:t>a third person acquiring goods or services from a</w:t>
      </w:r>
      <w:r>
        <w:rPr>
          <w:rFonts w:ascii="Times New Roman" w:hAnsi="Times New Roman"/>
        </w:rPr>
        <w:t> </w:t>
      </w:r>
      <w:r w:rsidRPr="00516377">
        <w:rPr>
          <w:rFonts w:ascii="Times New Roman" w:hAnsi="Times New Roman"/>
        </w:rPr>
        <w:t>fourth person (who is not an employer of the first person or the second person); and</w:t>
      </w:r>
    </w:p>
    <w:p w14:paraId="37E682D9" w14:textId="77777777" w:rsidR="0023595F" w:rsidRPr="00516377" w:rsidRDefault="0023595F" w:rsidP="00516377">
      <w:pPr>
        <w:pStyle w:val="LRHangingMore"/>
        <w:spacing w:before="0" w:after="260" w:line="280" w:lineRule="exact"/>
        <w:ind w:right="0"/>
        <w:jc w:val="both"/>
        <w:rPr>
          <w:rFonts w:ascii="Times New Roman" w:hAnsi="Times New Roman"/>
        </w:rPr>
      </w:pPr>
      <w:r w:rsidRPr="00516377">
        <w:rPr>
          <w:rFonts w:ascii="Times New Roman" w:hAnsi="Times New Roman"/>
        </w:rPr>
        <w:t>(b)</w:t>
      </w:r>
      <w:r w:rsidRPr="00516377">
        <w:rPr>
          <w:rFonts w:ascii="Times New Roman" w:hAnsi="Times New Roman"/>
        </w:rPr>
        <w:tab/>
        <w:t xml:space="preserve">that is engaged in for the </w:t>
      </w:r>
      <w:proofErr w:type="gramStart"/>
      <w:r w:rsidRPr="00516377">
        <w:rPr>
          <w:rFonts w:ascii="Times New Roman" w:hAnsi="Times New Roman"/>
        </w:rPr>
        <w:t>purpose, and</w:t>
      </w:r>
      <w:proofErr w:type="gramEnd"/>
      <w:r w:rsidRPr="00516377">
        <w:rPr>
          <w:rFonts w:ascii="Times New Roman" w:hAnsi="Times New Roman"/>
        </w:rPr>
        <w:t xml:space="preserve"> would have or be likely to have the effect, of causing a substantial lessening of competition in any market in which the fourth person supplies or acquires goods or services.</w:t>
      </w:r>
    </w:p>
    <w:p w14:paraId="2136899D" w14:textId="77777777" w:rsidR="0023595F" w:rsidRPr="00516377" w:rsidRDefault="0023595F" w:rsidP="00516377">
      <w:pPr>
        <w:pStyle w:val="LRHangingMore"/>
        <w:spacing w:before="0" w:after="260" w:line="280" w:lineRule="exact"/>
        <w:ind w:right="0"/>
        <w:jc w:val="both"/>
        <w:rPr>
          <w:rFonts w:ascii="Times New Roman" w:hAnsi="Times New Roman"/>
        </w:rPr>
      </w:pPr>
      <w:r w:rsidRPr="00516377">
        <w:rPr>
          <w:rFonts w:ascii="Times New Roman" w:hAnsi="Times New Roman"/>
        </w:rPr>
        <w:t>...</w:t>
      </w:r>
    </w:p>
    <w:p w14:paraId="444A0A27" w14:textId="77777777" w:rsidR="0023595F" w:rsidRPr="00516377" w:rsidRDefault="0023595F" w:rsidP="00516377">
      <w:pPr>
        <w:pStyle w:val="LeftrightHanging"/>
        <w:spacing w:before="0" w:after="260" w:line="280" w:lineRule="exact"/>
        <w:ind w:right="0"/>
        <w:jc w:val="both"/>
        <w:rPr>
          <w:rFonts w:ascii="Times New Roman" w:hAnsi="Times New Roman"/>
        </w:rPr>
      </w:pPr>
      <w:r w:rsidRPr="00516377">
        <w:rPr>
          <w:rFonts w:ascii="Times New Roman" w:hAnsi="Times New Roman"/>
        </w:rPr>
        <w:t>(3)</w:t>
      </w:r>
      <w:r w:rsidRPr="00516377">
        <w:rPr>
          <w:rFonts w:ascii="Times New Roman" w:hAnsi="Times New Roman"/>
        </w:rPr>
        <w:tab/>
        <w:t>Subsection (1) applies if:</w:t>
      </w:r>
    </w:p>
    <w:p w14:paraId="677443E5" w14:textId="77777777" w:rsidR="0023595F" w:rsidRPr="00516377" w:rsidRDefault="0023595F" w:rsidP="00516377">
      <w:pPr>
        <w:pStyle w:val="LRHangingMore"/>
        <w:spacing w:before="0" w:after="260" w:line="280" w:lineRule="exact"/>
        <w:ind w:right="0"/>
        <w:jc w:val="both"/>
        <w:rPr>
          <w:rFonts w:ascii="Times New Roman" w:hAnsi="Times New Roman"/>
        </w:rPr>
      </w:pPr>
      <w:r w:rsidRPr="00516377">
        <w:rPr>
          <w:rFonts w:ascii="Times New Roman" w:hAnsi="Times New Roman"/>
        </w:rPr>
        <w:t>(a)</w:t>
      </w:r>
      <w:r w:rsidRPr="00516377">
        <w:rPr>
          <w:rFonts w:ascii="Times New Roman" w:hAnsi="Times New Roman"/>
        </w:rPr>
        <w:tab/>
        <w:t xml:space="preserve">the third person or the fourth person is a corporation, or </w:t>
      </w:r>
      <w:proofErr w:type="gramStart"/>
      <w:r w:rsidRPr="00516377">
        <w:rPr>
          <w:rFonts w:ascii="Times New Roman" w:hAnsi="Times New Roman"/>
        </w:rPr>
        <w:t>both of them</w:t>
      </w:r>
      <w:proofErr w:type="gramEnd"/>
      <w:r w:rsidRPr="00516377">
        <w:rPr>
          <w:rFonts w:ascii="Times New Roman" w:hAnsi="Times New Roman"/>
        </w:rPr>
        <w:t xml:space="preserve"> are corporations; and</w:t>
      </w:r>
    </w:p>
    <w:p w14:paraId="725D9E33" w14:textId="77777777" w:rsidR="0023595F" w:rsidRDefault="0023595F" w:rsidP="00516377">
      <w:pPr>
        <w:pStyle w:val="LRHangingMore"/>
        <w:spacing w:before="0" w:after="260" w:line="280" w:lineRule="exact"/>
        <w:ind w:right="0"/>
        <w:jc w:val="both"/>
        <w:rPr>
          <w:rFonts w:ascii="Times New Roman" w:hAnsi="Times New Roman"/>
        </w:rPr>
      </w:pPr>
      <w:r w:rsidRPr="00516377">
        <w:rPr>
          <w:rFonts w:ascii="Times New Roman" w:hAnsi="Times New Roman"/>
        </w:rPr>
        <w:t>(b)</w:t>
      </w:r>
      <w:r w:rsidRPr="00516377">
        <w:rPr>
          <w:rFonts w:ascii="Times New Roman" w:hAnsi="Times New Roman"/>
        </w:rPr>
        <w:tab/>
        <w:t>the conduct would have or be likely to have the effect of causing substantial loss or damage to the business of one of those persons who is a corporation."</w:t>
      </w:r>
    </w:p>
    <w:p w14:paraId="0C8B0DF4"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Sections 2A and 2B of the CCA relevantly have the effect that Pt IV of the</w:t>
      </w:r>
      <w:r>
        <w:rPr>
          <w:rFonts w:ascii="Times New Roman" w:hAnsi="Times New Roman"/>
        </w:rPr>
        <w:t> </w:t>
      </w:r>
      <w:r w:rsidRPr="00516377">
        <w:rPr>
          <w:rFonts w:ascii="Times New Roman" w:hAnsi="Times New Roman"/>
        </w:rPr>
        <w:t>CCA binds the Crown in right of the Commonwealth so far as the Crown carries on a business, directly or by an authority of the Commonwealth,</w:t>
      </w:r>
      <w:r w:rsidRPr="00516377">
        <w:rPr>
          <w:rStyle w:val="FootnoteReference"/>
          <w:rFonts w:ascii="Times New Roman" w:hAnsi="Times New Roman"/>
          <w:sz w:val="24"/>
        </w:rPr>
        <w:footnoteReference w:id="106"/>
      </w:r>
      <w:r w:rsidRPr="00516377">
        <w:rPr>
          <w:rFonts w:ascii="Times New Roman" w:hAnsi="Times New Roman"/>
        </w:rPr>
        <w:t xml:space="preserve"> and</w:t>
      </w:r>
      <w:r>
        <w:rPr>
          <w:rFonts w:ascii="Times New Roman" w:hAnsi="Times New Roman"/>
        </w:rPr>
        <w:t> </w:t>
      </w:r>
      <w:r w:rsidRPr="00516377">
        <w:rPr>
          <w:rFonts w:ascii="Times New Roman" w:hAnsi="Times New Roman"/>
        </w:rPr>
        <w:t>the</w:t>
      </w:r>
      <w:r>
        <w:rPr>
          <w:rFonts w:ascii="Times New Roman" w:hAnsi="Times New Roman"/>
        </w:rPr>
        <w:t> </w:t>
      </w:r>
      <w:r w:rsidRPr="00516377">
        <w:rPr>
          <w:rFonts w:ascii="Times New Roman" w:hAnsi="Times New Roman"/>
        </w:rPr>
        <w:t xml:space="preserve">Crown in right of each of the States and Territories so far as the Crown </w:t>
      </w:r>
      <w:r w:rsidRPr="00516377">
        <w:rPr>
          <w:rFonts w:ascii="Times New Roman" w:hAnsi="Times New Roman"/>
        </w:rPr>
        <w:lastRenderedPageBreak/>
        <w:t>carries on a business, directly or by an authority of the State or Territory.</w:t>
      </w:r>
      <w:r w:rsidRPr="00516377">
        <w:rPr>
          <w:rStyle w:val="FootnoteReference"/>
          <w:rFonts w:ascii="Times New Roman" w:hAnsi="Times New Roman"/>
          <w:sz w:val="24"/>
        </w:rPr>
        <w:footnoteReference w:id="107"/>
      </w:r>
      <w:r w:rsidRPr="00516377">
        <w:rPr>
          <w:rFonts w:ascii="Times New Roman" w:hAnsi="Times New Roman"/>
        </w:rPr>
        <w:t xml:space="preserve"> Those</w:t>
      </w:r>
      <w:r>
        <w:rPr>
          <w:rFonts w:ascii="Times New Roman" w:hAnsi="Times New Roman"/>
        </w:rPr>
        <w:t> </w:t>
      </w:r>
      <w:r w:rsidRPr="00516377">
        <w:rPr>
          <w:rFonts w:ascii="Times New Roman" w:hAnsi="Times New Roman"/>
        </w:rPr>
        <w:t>provisions were introduced as part of a legislative response that was directed towards ensuring that "the prohibitions against anti</w:t>
      </w:r>
      <w:r w:rsidRPr="00516377">
        <w:rPr>
          <w:rFonts w:ascii="Times New Roman" w:hAnsi="Times New Roman"/>
        </w:rPr>
        <w:noBreakHyphen/>
        <w:t>competitive conduct can be applied to all businesses in Australia".</w:t>
      </w:r>
      <w:r w:rsidRPr="00516377">
        <w:rPr>
          <w:rStyle w:val="FootnoteReference"/>
          <w:rFonts w:ascii="Times New Roman" w:hAnsi="Times New Roman"/>
          <w:sz w:val="24"/>
        </w:rPr>
        <w:footnoteReference w:id="108"/>
      </w:r>
    </w:p>
    <w:p w14:paraId="4DA31432"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Section 51(1) of the CCA relevantly empowers State and Territory Parliaments to exempt conduct in a State or Territory from Pt IV of the CCA. Section 51(1)(b) provides that, in deciding whether a person has contravened Pt IV, anything done in a State (if the thing is specified in, and specifically authorised by, State legislation or regulations) must be disregarded.</w:t>
      </w:r>
      <w:r w:rsidRPr="00516377">
        <w:rPr>
          <w:rStyle w:val="FootnoteReference"/>
          <w:rFonts w:ascii="Times New Roman" w:hAnsi="Times New Roman"/>
          <w:sz w:val="24"/>
        </w:rPr>
        <w:footnoteReference w:id="109"/>
      </w:r>
    </w:p>
    <w:p w14:paraId="044A91BE"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Finally, the effect of s 4L of the CCA has already been adverted to. It</w:t>
      </w:r>
      <w:r>
        <w:rPr>
          <w:rFonts w:ascii="Times New Roman" w:hAnsi="Times New Roman"/>
        </w:rPr>
        <w:t> </w:t>
      </w:r>
      <w:r w:rsidRPr="00516377">
        <w:rPr>
          <w:rFonts w:ascii="Times New Roman" w:hAnsi="Times New Roman"/>
        </w:rPr>
        <w:t xml:space="preserve">relevantly provides that, if the making of a contract after the commencement of s 4L contravenes the CCA "by reason of the inclusion of a particular provision in the contract, then, ... nothing in [the CCA] affects the validity or enforceability of the contract otherwise than in relation to that provision in so far as that provision is severable". </w:t>
      </w:r>
    </w:p>
    <w:p w14:paraId="3BC5D5C1" w14:textId="77777777" w:rsidR="0023595F" w:rsidRPr="00516377" w:rsidRDefault="0023595F" w:rsidP="00516377">
      <w:pPr>
        <w:pStyle w:val="HeadingL2"/>
        <w:spacing w:after="260" w:line="280" w:lineRule="exact"/>
        <w:ind w:right="0"/>
        <w:jc w:val="both"/>
        <w:rPr>
          <w:rFonts w:ascii="Times New Roman" w:hAnsi="Times New Roman"/>
        </w:rPr>
      </w:pPr>
      <w:r w:rsidRPr="00516377">
        <w:rPr>
          <w:rFonts w:ascii="Times New Roman" w:hAnsi="Times New Roman"/>
        </w:rPr>
        <w:t>CCA applies to corporations dealing with the Crown in exercising its contractual capacity</w:t>
      </w:r>
    </w:p>
    <w:p w14:paraId="2FA61BA4" w14:textId="77777777" w:rsidR="0023595F" w:rsidRPr="00516377" w:rsidRDefault="0023595F" w:rsidP="0023595F">
      <w:pPr>
        <w:pStyle w:val="FixListStyle"/>
        <w:spacing w:after="260" w:line="280" w:lineRule="exact"/>
        <w:ind w:right="0"/>
        <w:jc w:val="both"/>
        <w:rPr>
          <w:rFonts w:ascii="Times New Roman" w:hAnsi="Times New Roman"/>
        </w:rPr>
      </w:pPr>
      <w:bookmarkStart w:id="2" w:name="_Ref215574316"/>
      <w:r w:rsidRPr="00516377">
        <w:rPr>
          <w:rFonts w:ascii="Times New Roman" w:hAnsi="Times New Roman"/>
        </w:rPr>
        <w:tab/>
        <w:t>As has been explained, by s 2B of the CCA, Pt IV does bind the Crown in right of a State when it is carrying on a business. In that manner, s 2B directly addresses the question whether the State is bound by Pt IV: it is bound when it is carrying on a business; conversely, it is not bound when it is not carrying on a</w:t>
      </w:r>
      <w:r>
        <w:rPr>
          <w:rFonts w:ascii="Times New Roman" w:hAnsi="Times New Roman"/>
        </w:rPr>
        <w:t> </w:t>
      </w:r>
      <w:r w:rsidRPr="00516377">
        <w:rPr>
          <w:rFonts w:ascii="Times New Roman" w:hAnsi="Times New Roman"/>
        </w:rPr>
        <w:t>business.</w:t>
      </w:r>
      <w:r w:rsidRPr="00516377">
        <w:rPr>
          <w:rStyle w:val="FootnoteReference"/>
          <w:rFonts w:ascii="Times New Roman" w:hAnsi="Times New Roman"/>
          <w:sz w:val="24"/>
        </w:rPr>
        <w:footnoteReference w:id="110"/>
      </w:r>
      <w:r w:rsidRPr="00516377">
        <w:rPr>
          <w:rFonts w:ascii="Times New Roman" w:hAnsi="Times New Roman"/>
        </w:rPr>
        <w:t xml:space="preserve"> In that context, it was common ground that Pt IV of the CCA, including ss 45 and 45DA, did not apply to the State in formulating the State policy with respect to the privatisation of Port Botany and Port Kembla.</w:t>
      </w:r>
    </w:p>
    <w:p w14:paraId="127F23D8"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It does not necessarily follow, however, that ss 45 and 45DA of the CCA did not bind NSW Ports, the counterparty to the PCDs. Derivative Crown immunity may devolve upon those who deal with the Crown, but it does not necessarily mean that in all circumstances where the Crown is not bound by </w:t>
      </w:r>
      <w:r w:rsidRPr="00516377">
        <w:rPr>
          <w:rFonts w:ascii="Times New Roman" w:hAnsi="Times New Roman"/>
        </w:rPr>
        <w:lastRenderedPageBreak/>
        <w:t>a</w:t>
      </w:r>
      <w:r>
        <w:rPr>
          <w:rFonts w:ascii="Times New Roman" w:hAnsi="Times New Roman"/>
        </w:rPr>
        <w:t> </w:t>
      </w:r>
      <w:r w:rsidRPr="00516377">
        <w:rPr>
          <w:rFonts w:ascii="Times New Roman" w:hAnsi="Times New Roman"/>
        </w:rPr>
        <w:t xml:space="preserve">statute those who deal or contract with the Crown are also not bound. So much is apparent from the outcome in </w:t>
      </w:r>
      <w:r w:rsidRPr="00516377">
        <w:rPr>
          <w:rFonts w:ascii="Times New Roman" w:hAnsi="Times New Roman"/>
          <w:i/>
          <w:iCs/>
        </w:rPr>
        <w:t>Baxter</w:t>
      </w:r>
      <w:r w:rsidRPr="00516377">
        <w:rPr>
          <w:rFonts w:ascii="Times New Roman" w:hAnsi="Times New Roman"/>
        </w:rPr>
        <w:t xml:space="preserve">, in which ss 46 and 47 of the </w:t>
      </w:r>
      <w:r w:rsidRPr="00516377">
        <w:rPr>
          <w:rFonts w:ascii="Times New Roman" w:hAnsi="Times New Roman"/>
          <w:i/>
        </w:rPr>
        <w:t>Trade Practices Act 1974</w:t>
      </w:r>
      <w:r w:rsidRPr="00516377">
        <w:rPr>
          <w:rFonts w:ascii="Times New Roman" w:hAnsi="Times New Roman"/>
        </w:rPr>
        <w:t xml:space="preserve"> (</w:t>
      </w:r>
      <w:proofErr w:type="spellStart"/>
      <w:r w:rsidRPr="00516377">
        <w:rPr>
          <w:rFonts w:ascii="Times New Roman" w:hAnsi="Times New Roman"/>
        </w:rPr>
        <w:t>Cth</w:t>
      </w:r>
      <w:proofErr w:type="spellEnd"/>
      <w:r w:rsidRPr="00516377">
        <w:rPr>
          <w:rFonts w:ascii="Times New Roman" w:hAnsi="Times New Roman"/>
        </w:rPr>
        <w:t>) ("the TPA") were held not to apply to State purchasing authorities</w:t>
      </w:r>
      <w:r w:rsidRPr="00516377" w:rsidDel="00324F1E">
        <w:rPr>
          <w:rFonts w:ascii="Times New Roman" w:hAnsi="Times New Roman"/>
        </w:rPr>
        <w:t xml:space="preserve"> </w:t>
      </w:r>
      <w:r w:rsidRPr="00516377">
        <w:rPr>
          <w:rFonts w:ascii="Times New Roman" w:hAnsi="Times New Roman"/>
        </w:rPr>
        <w:t>but to apply to the manufacturer and wholesaler of medical fluids and equipment with which they dealt.</w:t>
      </w:r>
      <w:r w:rsidRPr="00516377">
        <w:rPr>
          <w:rStyle w:val="FootnoteReference"/>
          <w:rFonts w:ascii="Times New Roman" w:hAnsi="Times New Roman"/>
          <w:sz w:val="24"/>
        </w:rPr>
        <w:footnoteReference w:id="111"/>
      </w:r>
    </w:p>
    <w:p w14:paraId="328ED0F7"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Rather, whether ss 45 and 45DA bound NSW Ports is to be answered by reference to the principle of construction identified: since, by s 2B, the CCA does not bind the Crown in right of a State or Territory when it is not carrying on a</w:t>
      </w:r>
      <w:r>
        <w:rPr>
          <w:rFonts w:ascii="Times New Roman" w:hAnsi="Times New Roman"/>
        </w:rPr>
        <w:t> </w:t>
      </w:r>
      <w:r w:rsidRPr="00516377">
        <w:rPr>
          <w:rFonts w:ascii="Times New Roman" w:hAnsi="Times New Roman"/>
        </w:rPr>
        <w:t xml:space="preserve">business, then, save to the extent to which a contrary intention appears, the CCA "will not be read so as to divest the Crown of proprietary, contractual or other </w:t>
      </w:r>
      <w:r w:rsidRPr="00516377">
        <w:rPr>
          <w:rFonts w:ascii="Times New Roman" w:hAnsi="Times New Roman"/>
          <w:i/>
          <w:iCs/>
        </w:rPr>
        <w:t>legal</w:t>
      </w:r>
      <w:r w:rsidRPr="00516377">
        <w:rPr>
          <w:rFonts w:ascii="Times New Roman" w:hAnsi="Times New Roman"/>
        </w:rPr>
        <w:t xml:space="preserve"> rights or interests".</w:t>
      </w:r>
      <w:r w:rsidRPr="00516377">
        <w:rPr>
          <w:rStyle w:val="FootnoteReference"/>
          <w:rFonts w:ascii="Times New Roman" w:hAnsi="Times New Roman"/>
          <w:sz w:val="24"/>
        </w:rPr>
        <w:footnoteReference w:id="112"/>
      </w:r>
      <w:r w:rsidRPr="00516377">
        <w:rPr>
          <w:rFonts w:ascii="Times New Roman" w:hAnsi="Times New Roman"/>
        </w:rPr>
        <w:t xml:space="preserve"> </w:t>
      </w:r>
      <w:bookmarkEnd w:id="2"/>
    </w:p>
    <w:p w14:paraId="2BF34FC0"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It is instructive to examine how the plurality dealt with materially similar provisions in </w:t>
      </w:r>
      <w:r w:rsidRPr="00516377">
        <w:rPr>
          <w:rFonts w:ascii="Times New Roman" w:hAnsi="Times New Roman"/>
          <w:i/>
          <w:iCs/>
        </w:rPr>
        <w:t>Baxter</w:t>
      </w:r>
      <w:r w:rsidRPr="00516377">
        <w:rPr>
          <w:rFonts w:ascii="Times New Roman" w:hAnsi="Times New Roman"/>
        </w:rPr>
        <w:t xml:space="preserve">. In </w:t>
      </w:r>
      <w:r w:rsidRPr="00516377">
        <w:rPr>
          <w:rFonts w:ascii="Times New Roman" w:hAnsi="Times New Roman"/>
          <w:i/>
          <w:iCs/>
        </w:rPr>
        <w:t>Baxter</w:t>
      </w:r>
      <w:r w:rsidRPr="00516377">
        <w:rPr>
          <w:rFonts w:ascii="Times New Roman" w:hAnsi="Times New Roman"/>
        </w:rPr>
        <w:t>, the plurality rejected the broad proposition that ss 46 and 47 of the TPA had no application to any conduct of corporations dealing with the Crown in the exercise of the Crown's contractual capacity by reason of the presumption of derivative Crown immunity.</w:t>
      </w:r>
      <w:r w:rsidRPr="00516377">
        <w:rPr>
          <w:rStyle w:val="FootnoteReference"/>
          <w:rFonts w:ascii="Times New Roman" w:hAnsi="Times New Roman"/>
          <w:sz w:val="24"/>
        </w:rPr>
        <w:footnoteReference w:id="113"/>
      </w:r>
      <w:r w:rsidRPr="00516377">
        <w:rPr>
          <w:rFonts w:ascii="Times New Roman" w:hAnsi="Times New Roman"/>
        </w:rPr>
        <w:t xml:space="preserve"> The plurality rejected that proposition for </w:t>
      </w:r>
      <w:proofErr w:type="gramStart"/>
      <w:r w:rsidRPr="00516377">
        <w:rPr>
          <w:rFonts w:ascii="Times New Roman" w:hAnsi="Times New Roman"/>
        </w:rPr>
        <w:t>a number of</w:t>
      </w:r>
      <w:proofErr w:type="gramEnd"/>
      <w:r w:rsidRPr="00516377">
        <w:rPr>
          <w:rFonts w:ascii="Times New Roman" w:hAnsi="Times New Roman"/>
        </w:rPr>
        <w:t xml:space="preserve"> reasons. </w:t>
      </w:r>
    </w:p>
    <w:p w14:paraId="30473F2F"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First, to hold that ss 46 and 47 of the TPA did not apply to a corporation that was carrying on dealings with a government in the course of its business would involve the "remarkable" conclusion that the corporation "enjoyed a general immunity not available to the government when the government was carrying on business itself".</w:t>
      </w:r>
      <w:r w:rsidRPr="00516377">
        <w:rPr>
          <w:rStyle w:val="FootnoteReference"/>
          <w:rFonts w:ascii="Times New Roman" w:hAnsi="Times New Roman"/>
          <w:sz w:val="24"/>
        </w:rPr>
        <w:footnoteReference w:id="114"/>
      </w:r>
      <w:r w:rsidRPr="00516377">
        <w:rPr>
          <w:rFonts w:ascii="Times New Roman" w:hAnsi="Times New Roman"/>
        </w:rPr>
        <w:t xml:space="preserve"> That outcome would be "impossible to reconcile" with the object of the TPA declared in s 2</w:t>
      </w:r>
      <w:r w:rsidRPr="00516377">
        <w:rPr>
          <w:rStyle w:val="FootnoteReference"/>
          <w:rFonts w:ascii="Times New Roman" w:hAnsi="Times New Roman"/>
          <w:sz w:val="24"/>
        </w:rPr>
        <w:footnoteReference w:id="115"/>
      </w:r>
      <w:r w:rsidRPr="00516377">
        <w:rPr>
          <w:rFonts w:ascii="Times New Roman" w:hAnsi="Times New Roman"/>
        </w:rPr>
        <w:t xml:space="preserve"> and "would go far beyond what is necessary to protect the legal rights of governments</w:t>
      </w:r>
      <w:r w:rsidRPr="00516377" w:rsidDel="00EF7326">
        <w:rPr>
          <w:rFonts w:ascii="Times New Roman" w:hAnsi="Times New Roman"/>
        </w:rPr>
        <w:t>,</w:t>
      </w:r>
      <w:r w:rsidRPr="00516377">
        <w:rPr>
          <w:rFonts w:ascii="Times New Roman" w:hAnsi="Times New Roman"/>
        </w:rPr>
        <w:t xml:space="preserve"> or to prevent a divesting of proprietary, contractual</w:t>
      </w:r>
      <w:r>
        <w:rPr>
          <w:rFonts w:ascii="Times New Roman" w:hAnsi="Times New Roman"/>
        </w:rPr>
        <w:t> </w:t>
      </w:r>
      <w:r w:rsidRPr="00516377">
        <w:rPr>
          <w:rFonts w:ascii="Times New Roman" w:hAnsi="Times New Roman"/>
        </w:rPr>
        <w:t>and other legal rights and interests".</w:t>
      </w:r>
      <w:r w:rsidRPr="00516377">
        <w:rPr>
          <w:rStyle w:val="FootnoteReference"/>
          <w:rFonts w:ascii="Times New Roman" w:hAnsi="Times New Roman"/>
          <w:sz w:val="24"/>
        </w:rPr>
        <w:footnoteReference w:id="116"/>
      </w:r>
      <w:r w:rsidRPr="00516377">
        <w:rPr>
          <w:rFonts w:ascii="Times New Roman" w:hAnsi="Times New Roman"/>
        </w:rPr>
        <w:t xml:space="preserve"> While State and Territory Parliaments could legislate under s 51(1) to protect government interests,</w:t>
      </w:r>
      <w:r w:rsidRPr="00516377">
        <w:rPr>
          <w:rStyle w:val="FootnoteReference"/>
          <w:rFonts w:ascii="Times New Roman" w:hAnsi="Times New Roman"/>
          <w:sz w:val="24"/>
        </w:rPr>
        <w:footnoteReference w:id="117"/>
      </w:r>
      <w:r w:rsidRPr="00516377">
        <w:rPr>
          <w:rFonts w:ascii="Times New Roman" w:hAnsi="Times New Roman"/>
        </w:rPr>
        <w:t xml:space="preserve"> the</w:t>
      </w:r>
      <w:r>
        <w:rPr>
          <w:rFonts w:ascii="Times New Roman" w:hAnsi="Times New Roman"/>
        </w:rPr>
        <w:t> </w:t>
      </w:r>
      <w:r w:rsidRPr="00516377">
        <w:rPr>
          <w:rFonts w:ascii="Times New Roman" w:hAnsi="Times New Roman"/>
        </w:rPr>
        <w:t xml:space="preserve">specificity with which that was required to be done underscored the importance </w:t>
      </w:r>
      <w:r w:rsidRPr="00516377">
        <w:rPr>
          <w:rFonts w:ascii="Times New Roman" w:hAnsi="Times New Roman"/>
        </w:rPr>
        <w:lastRenderedPageBreak/>
        <w:t>of the legislative object declared in s 2.</w:t>
      </w:r>
      <w:r w:rsidRPr="00516377">
        <w:rPr>
          <w:rStyle w:val="FootnoteReference"/>
          <w:rFonts w:ascii="Times New Roman" w:hAnsi="Times New Roman"/>
          <w:sz w:val="24"/>
        </w:rPr>
        <w:footnoteReference w:id="118"/>
      </w:r>
      <w:r w:rsidRPr="00516377">
        <w:rPr>
          <w:rFonts w:ascii="Times New Roman" w:hAnsi="Times New Roman"/>
        </w:rPr>
        <w:t xml:space="preserve"> As the plurality had earlier observed, "if</w:t>
      </w:r>
      <w:r>
        <w:rPr>
          <w:rFonts w:ascii="Times New Roman" w:hAnsi="Times New Roman"/>
        </w:rPr>
        <w:t> </w:t>
      </w:r>
      <w:r w:rsidRPr="00516377">
        <w:rPr>
          <w:rFonts w:ascii="Times New Roman" w:hAnsi="Times New Roman"/>
        </w:rPr>
        <w:t>State Parliaments see State interests to be threatened by competition law, they</w:t>
      </w:r>
      <w:r>
        <w:rPr>
          <w:rFonts w:ascii="Times New Roman" w:hAnsi="Times New Roman"/>
        </w:rPr>
        <w:t> </w:t>
      </w:r>
      <w:r w:rsidRPr="00516377">
        <w:rPr>
          <w:rFonts w:ascii="Times New Roman" w:hAnsi="Times New Roman"/>
        </w:rPr>
        <w:t>have the power of exemption given by s 51(1) of the [TPA], provided ... they</w:t>
      </w:r>
      <w:r>
        <w:rPr>
          <w:rFonts w:ascii="Times New Roman" w:hAnsi="Times New Roman"/>
        </w:rPr>
        <w:t> </w:t>
      </w:r>
      <w:r w:rsidRPr="00516377">
        <w:rPr>
          <w:rFonts w:ascii="Times New Roman" w:hAnsi="Times New Roman"/>
        </w:rPr>
        <w:t>are willing to accept the political responsibility of exercising that power".</w:t>
      </w:r>
      <w:r w:rsidRPr="00516377">
        <w:rPr>
          <w:rStyle w:val="FootnoteReference"/>
          <w:rFonts w:ascii="Times New Roman" w:hAnsi="Times New Roman"/>
          <w:sz w:val="24"/>
        </w:rPr>
        <w:footnoteReference w:id="119"/>
      </w:r>
      <w:r w:rsidRPr="00516377">
        <w:rPr>
          <w:rFonts w:ascii="Times New Roman" w:hAnsi="Times New Roman"/>
        </w:rPr>
        <w:t xml:space="preserve"> </w:t>
      </w:r>
      <w:r w:rsidRPr="00516377" w:rsidDel="003D66C5">
        <w:rPr>
          <w:rFonts w:ascii="Times New Roman" w:hAnsi="Times New Roman"/>
        </w:rPr>
        <w:t>A</w:t>
      </w:r>
      <w:r>
        <w:rPr>
          <w:rFonts w:ascii="Times New Roman" w:hAnsi="Times New Roman"/>
        </w:rPr>
        <w:t> </w:t>
      </w:r>
      <w:r w:rsidRPr="00516377" w:rsidDel="003D66C5">
        <w:rPr>
          <w:rFonts w:ascii="Times New Roman" w:hAnsi="Times New Roman"/>
        </w:rPr>
        <w:t>general immunity on the</w:t>
      </w:r>
      <w:r>
        <w:rPr>
          <w:rFonts w:ascii="Times New Roman" w:hAnsi="Times New Roman"/>
        </w:rPr>
        <w:t> </w:t>
      </w:r>
      <w:r w:rsidRPr="00516377" w:rsidDel="003D66C5">
        <w:rPr>
          <w:rFonts w:ascii="Times New Roman" w:hAnsi="Times New Roman"/>
        </w:rPr>
        <w:t xml:space="preserve">part of corporations dealing with the </w:t>
      </w:r>
      <w:r w:rsidRPr="00516377">
        <w:rPr>
          <w:rFonts w:ascii="Times New Roman" w:hAnsi="Times New Roman"/>
        </w:rPr>
        <w:t xml:space="preserve">Crown </w:t>
      </w:r>
      <w:r w:rsidRPr="00516377" w:rsidDel="003D66C5">
        <w:rPr>
          <w:rFonts w:ascii="Times New Roman" w:hAnsi="Times New Roman"/>
        </w:rPr>
        <w:t>would also entail the</w:t>
      </w:r>
      <w:r>
        <w:rPr>
          <w:rFonts w:ascii="Times New Roman" w:hAnsi="Times New Roman"/>
        </w:rPr>
        <w:t> </w:t>
      </w:r>
      <w:r w:rsidRPr="00516377" w:rsidDel="003D66C5">
        <w:rPr>
          <w:rFonts w:ascii="Times New Roman" w:hAnsi="Times New Roman"/>
        </w:rPr>
        <w:t>"unacceptable</w:t>
      </w:r>
      <w:r w:rsidRPr="00516377">
        <w:rPr>
          <w:rFonts w:ascii="Times New Roman" w:hAnsi="Times New Roman"/>
        </w:rPr>
        <w:t>"</w:t>
      </w:r>
      <w:r w:rsidRPr="00516377" w:rsidDel="003D66C5">
        <w:rPr>
          <w:rFonts w:ascii="Times New Roman" w:hAnsi="Times New Roman"/>
        </w:rPr>
        <w:t xml:space="preserve"> consequence that a corporation dealing with the </w:t>
      </w:r>
      <w:r w:rsidRPr="00516377">
        <w:rPr>
          <w:rFonts w:ascii="Times New Roman" w:hAnsi="Times New Roman"/>
        </w:rPr>
        <w:t>Crown</w:t>
      </w:r>
      <w:r w:rsidRPr="00516377" w:rsidDel="003D66C5">
        <w:rPr>
          <w:rFonts w:ascii="Times New Roman" w:hAnsi="Times New Roman"/>
        </w:rPr>
        <w:t xml:space="preserve"> could expose the </w:t>
      </w:r>
      <w:r w:rsidRPr="00516377">
        <w:rPr>
          <w:rFonts w:ascii="Times New Roman" w:hAnsi="Times New Roman"/>
        </w:rPr>
        <w:t>Crown</w:t>
      </w:r>
      <w:r w:rsidRPr="00516377" w:rsidDel="003D66C5">
        <w:rPr>
          <w:rFonts w:ascii="Times New Roman" w:hAnsi="Times New Roman"/>
        </w:rPr>
        <w:t xml:space="preserve"> to anti-competitive conduct, over the protests of the</w:t>
      </w:r>
      <w:r>
        <w:rPr>
          <w:rFonts w:ascii="Times New Roman" w:hAnsi="Times New Roman"/>
        </w:rPr>
        <w:t> </w:t>
      </w:r>
      <w:r w:rsidRPr="00516377">
        <w:rPr>
          <w:rFonts w:ascii="Times New Roman" w:hAnsi="Times New Roman"/>
        </w:rPr>
        <w:t>Crown</w:t>
      </w:r>
      <w:r w:rsidRPr="00516377" w:rsidDel="003D66C5">
        <w:rPr>
          <w:rFonts w:ascii="Times New Roman" w:hAnsi="Times New Roman"/>
        </w:rPr>
        <w:t xml:space="preserve">, to the </w:t>
      </w:r>
      <w:r w:rsidRPr="00516377">
        <w:rPr>
          <w:rFonts w:ascii="Times New Roman" w:hAnsi="Times New Roman"/>
        </w:rPr>
        <w:t>Crown's</w:t>
      </w:r>
      <w:r w:rsidRPr="00516377" w:rsidDel="003D66C5">
        <w:rPr>
          <w:rFonts w:ascii="Times New Roman" w:hAnsi="Times New Roman"/>
        </w:rPr>
        <w:t xml:space="preserve"> detriment.</w:t>
      </w:r>
      <w:r w:rsidRPr="00516377" w:rsidDel="003D66C5">
        <w:rPr>
          <w:rStyle w:val="FootnoteReference"/>
          <w:rFonts w:ascii="Times New Roman" w:hAnsi="Times New Roman"/>
          <w:sz w:val="24"/>
        </w:rPr>
        <w:footnoteReference w:id="120"/>
      </w:r>
    </w:p>
    <w:p w14:paraId="384FBE06"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Second, the question was thus the </w:t>
      </w:r>
      <w:r w:rsidRPr="00516377">
        <w:rPr>
          <w:rFonts w:ascii="Times New Roman" w:hAnsi="Times New Roman"/>
          <w:i/>
          <w:iCs/>
        </w:rPr>
        <w:t>extent</w:t>
      </w:r>
      <w:r w:rsidRPr="00516377">
        <w:rPr>
          <w:rFonts w:ascii="Times New Roman" w:hAnsi="Times New Roman"/>
        </w:rPr>
        <w:t xml:space="preserve"> to which the reach of ss 46 and 47 of the TPA, and the provisions relating to remedies, in their potential application to the counterparty's conduct, was modified by the operation of derivative Crown immunity.</w:t>
      </w:r>
      <w:r w:rsidRPr="00516377">
        <w:rPr>
          <w:rStyle w:val="FootnoteReference"/>
          <w:rFonts w:ascii="Times New Roman" w:hAnsi="Times New Roman"/>
          <w:sz w:val="24"/>
        </w:rPr>
        <w:footnoteReference w:id="121"/>
      </w:r>
      <w:r w:rsidRPr="00516377">
        <w:rPr>
          <w:rFonts w:ascii="Times New Roman" w:hAnsi="Times New Roman"/>
        </w:rPr>
        <w:t xml:space="preserve"> The submission that the provisions would not apply to the extent that they denied the Crown "the right, power and capacity that it had and has to enter a</w:t>
      </w:r>
      <w:r>
        <w:rPr>
          <w:rFonts w:ascii="Times New Roman" w:hAnsi="Times New Roman"/>
        </w:rPr>
        <w:t> </w:t>
      </w:r>
      <w:r w:rsidRPr="00516377">
        <w:rPr>
          <w:rFonts w:ascii="Times New Roman" w:hAnsi="Times New Roman"/>
        </w:rPr>
        <w:t>contract of such kind as it wishes" was rejected as "impossible to reconcile with the purpose and subject matter of the [TPA]".</w:t>
      </w:r>
      <w:r w:rsidRPr="00516377">
        <w:rPr>
          <w:rStyle w:val="FootnoteReference"/>
          <w:rFonts w:ascii="Times New Roman" w:hAnsi="Times New Roman"/>
          <w:sz w:val="24"/>
        </w:rPr>
        <w:footnoteReference w:id="122"/>
      </w:r>
      <w:r w:rsidRPr="00516377">
        <w:rPr>
          <w:rFonts w:ascii="Times New Roman" w:hAnsi="Times New Roman"/>
        </w:rPr>
        <w:t xml:space="preserve"> As the plurality then explained, it</w:t>
      </w:r>
      <w:r>
        <w:rPr>
          <w:rFonts w:ascii="Times New Roman" w:hAnsi="Times New Roman"/>
        </w:rPr>
        <w:t> </w:t>
      </w:r>
      <w:r w:rsidRPr="00516377">
        <w:rPr>
          <w:rFonts w:ascii="Times New Roman" w:hAnsi="Times New Roman"/>
        </w:rPr>
        <w:t>"is one thing to read the [TPA] so as not to divest the Crown of legal rights", but</w:t>
      </w:r>
      <w:r>
        <w:rPr>
          <w:rFonts w:ascii="Times New Roman" w:hAnsi="Times New Roman"/>
        </w:rPr>
        <w:t> </w:t>
      </w:r>
      <w:r w:rsidRPr="00516377">
        <w:rPr>
          <w:rFonts w:ascii="Times New Roman" w:hAnsi="Times New Roman"/>
        </w:rPr>
        <w:t>"another thing altogether to read the [TPA] as giving an executive government (as distinct from a Parliament acting under s 51(1) [of the TPA]), including all its servants and agents, a freedom not enjoyed when the government itself is carrying on business, from any impact" of anti-trust regulation.</w:t>
      </w:r>
      <w:r w:rsidRPr="00516377">
        <w:rPr>
          <w:rStyle w:val="FootnoteReference"/>
          <w:rFonts w:ascii="Times New Roman" w:hAnsi="Times New Roman"/>
          <w:sz w:val="24"/>
        </w:rPr>
        <w:footnoteReference w:id="123"/>
      </w:r>
    </w:p>
    <w:p w14:paraId="6639BEC0"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Third, to protect the legal rights of the Crown it was not necessary to deny that entry into a contract with the Crown by a non</w:t>
      </w:r>
      <w:r w:rsidRPr="00516377">
        <w:rPr>
          <w:rFonts w:ascii="Times New Roman" w:hAnsi="Times New Roman"/>
        </w:rPr>
        <w:noBreakHyphen/>
        <w:t>government party could involve a contravention of ss 46 and 47 of the TPA. It was not inconsistent with the TPA that the entry by one party into a bilateral transaction is unlawful even while it is lawful for the other party.</w:t>
      </w:r>
      <w:r w:rsidRPr="00516377">
        <w:rPr>
          <w:rStyle w:val="FootnoteReference"/>
          <w:rFonts w:ascii="Times New Roman" w:hAnsi="Times New Roman"/>
          <w:sz w:val="24"/>
        </w:rPr>
        <w:footnoteReference w:id="124"/>
      </w:r>
      <w:r w:rsidRPr="00516377">
        <w:rPr>
          <w:rFonts w:ascii="Times New Roman" w:hAnsi="Times New Roman"/>
        </w:rPr>
        <w:t xml:space="preserve"> The result was not necessarily general </w:t>
      </w:r>
      <w:r w:rsidRPr="00516377">
        <w:rPr>
          <w:rFonts w:ascii="Times New Roman" w:hAnsi="Times New Roman"/>
        </w:rPr>
        <w:lastRenderedPageBreak/>
        <w:t>unenforceability of the contract. Rather, the outcome was determined by the detailed legislative scheme concerning remedies, including s 4L of the TPA.</w:t>
      </w:r>
      <w:r w:rsidRPr="00516377">
        <w:rPr>
          <w:rStyle w:val="FootnoteReference"/>
          <w:rFonts w:ascii="Times New Roman" w:hAnsi="Times New Roman"/>
          <w:sz w:val="24"/>
        </w:rPr>
        <w:footnoteReference w:id="125"/>
      </w:r>
      <w:r w:rsidRPr="00516377">
        <w:rPr>
          <w:rFonts w:ascii="Times New Roman" w:hAnsi="Times New Roman"/>
        </w:rPr>
        <w:t xml:space="preserve"> </w:t>
      </w:r>
    </w:p>
    <w:p w14:paraId="5057AC08"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Fourth, the construction urged by the manufacturer in </w:t>
      </w:r>
      <w:r w:rsidRPr="00516377">
        <w:rPr>
          <w:rFonts w:ascii="Times New Roman" w:hAnsi="Times New Roman"/>
          <w:i/>
        </w:rPr>
        <w:t>Baxter</w:t>
      </w:r>
      <w:r w:rsidRPr="00516377">
        <w:rPr>
          <w:rFonts w:ascii="Times New Roman" w:hAnsi="Times New Roman"/>
        </w:rPr>
        <w:t xml:space="preserve"> would have imposed "a very extensive qualification upon the [TPA's] object of promoting competition and fair trading in the public interest", which is "strikingly at odds with the way the [TPA] deals with governments when they themselves carry on a</w:t>
      </w:r>
      <w:r>
        <w:rPr>
          <w:rFonts w:ascii="Times New Roman" w:hAnsi="Times New Roman"/>
        </w:rPr>
        <w:t> </w:t>
      </w:r>
      <w:r w:rsidRPr="00516377">
        <w:rPr>
          <w:rFonts w:ascii="Times New Roman" w:hAnsi="Times New Roman"/>
        </w:rPr>
        <w:t>business".</w:t>
      </w:r>
      <w:r w:rsidRPr="00516377">
        <w:rPr>
          <w:rStyle w:val="FootnoteReference"/>
          <w:rFonts w:ascii="Times New Roman" w:hAnsi="Times New Roman"/>
          <w:sz w:val="24"/>
        </w:rPr>
        <w:footnoteReference w:id="126"/>
      </w:r>
      <w:r w:rsidRPr="00516377">
        <w:rPr>
          <w:rFonts w:ascii="Times New Roman" w:hAnsi="Times New Roman"/>
        </w:rPr>
        <w:t xml:space="preserve"> </w:t>
      </w:r>
    </w:p>
    <w:p w14:paraId="4E6F9868"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In </w:t>
      </w:r>
      <w:r w:rsidRPr="00516377">
        <w:rPr>
          <w:rFonts w:ascii="Times New Roman" w:hAnsi="Times New Roman"/>
          <w:i/>
          <w:iCs/>
        </w:rPr>
        <w:t>Baxter</w:t>
      </w:r>
      <w:r w:rsidRPr="00516377">
        <w:rPr>
          <w:rFonts w:ascii="Times New Roman" w:hAnsi="Times New Roman"/>
        </w:rPr>
        <w:t>, the impugned conduct of the manufacturer was unilateral.</w:t>
      </w:r>
      <w:r w:rsidRPr="00516377">
        <w:rPr>
          <w:rStyle w:val="FootnoteReference"/>
          <w:rFonts w:ascii="Times New Roman" w:hAnsi="Times New Roman"/>
          <w:sz w:val="24"/>
        </w:rPr>
        <w:footnoteReference w:id="127"/>
      </w:r>
      <w:r w:rsidRPr="00516377">
        <w:rPr>
          <w:rFonts w:ascii="Times New Roman" w:hAnsi="Times New Roman"/>
        </w:rPr>
        <w:t xml:space="preserve"> However, the result in </w:t>
      </w:r>
      <w:r w:rsidRPr="00516377">
        <w:rPr>
          <w:rFonts w:ascii="Times New Roman" w:hAnsi="Times New Roman"/>
          <w:i/>
          <w:iCs/>
        </w:rPr>
        <w:t>Baxter</w:t>
      </w:r>
      <w:r w:rsidRPr="00516377">
        <w:rPr>
          <w:rFonts w:ascii="Times New Roman" w:hAnsi="Times New Roman"/>
        </w:rPr>
        <w:t xml:space="preserve"> did not turn on the characterisation of the conduct as unilateral. As the plurality observed</w:t>
      </w:r>
      <w:r w:rsidRPr="00516377" w:rsidDel="008407EC">
        <w:rPr>
          <w:rFonts w:ascii="Times New Roman" w:hAnsi="Times New Roman"/>
        </w:rPr>
        <w:t xml:space="preserve">, </w:t>
      </w:r>
      <w:r w:rsidRPr="00516377">
        <w:rPr>
          <w:rFonts w:ascii="Times New Roman" w:hAnsi="Times New Roman"/>
        </w:rPr>
        <w:t>"the terms of the</w:t>
      </w:r>
      <w:r w:rsidRPr="00516377" w:rsidDel="00C36DFE">
        <w:rPr>
          <w:rFonts w:ascii="Times New Roman" w:hAnsi="Times New Roman"/>
        </w:rPr>
        <w:t xml:space="preserve"> </w:t>
      </w:r>
      <w:r w:rsidRPr="00516377">
        <w:rPr>
          <w:rFonts w:ascii="Times New Roman" w:hAnsi="Times New Roman"/>
        </w:rPr>
        <w:t>[TPA] cover (although they are not limited to) conduct that includes making or giving effect to contracts", and</w:t>
      </w:r>
      <w:r>
        <w:rPr>
          <w:rFonts w:ascii="Times New Roman" w:hAnsi="Times New Roman"/>
        </w:rPr>
        <w:t> </w:t>
      </w:r>
      <w:r w:rsidRPr="00516377">
        <w:rPr>
          <w:rFonts w:ascii="Times New Roman" w:hAnsi="Times New Roman"/>
        </w:rPr>
        <w:t>"some of the contraventions alleged but not found against the [manufacturer] were of that kind".</w:t>
      </w:r>
      <w:r w:rsidRPr="00516377">
        <w:rPr>
          <w:rStyle w:val="FootnoteReference"/>
          <w:rFonts w:ascii="Times New Roman" w:hAnsi="Times New Roman"/>
          <w:sz w:val="24"/>
        </w:rPr>
        <w:footnoteReference w:id="128"/>
      </w:r>
    </w:p>
    <w:p w14:paraId="2A369E08"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In this Court, there was no challenge to the correctness of the outcome or the plurality's reasoning in </w:t>
      </w:r>
      <w:r w:rsidRPr="00516377">
        <w:rPr>
          <w:rFonts w:ascii="Times New Roman" w:hAnsi="Times New Roman"/>
          <w:i/>
          <w:iCs/>
        </w:rPr>
        <w:t>Baxter</w:t>
      </w:r>
      <w:r w:rsidRPr="00516377">
        <w:rPr>
          <w:rFonts w:ascii="Times New Roman" w:hAnsi="Times New Roman"/>
        </w:rPr>
        <w:t>. The same reasoning applies with equal force to the question whether Pt IV of the CCA bound NSW Ports as a corporation dealing with the State in the exercise of its capacity to contract. None of the considerations identified by the plurality is determinative but, taken together, they tend against the conclusion that a corporation dealing with the State might be said to be immune from the operation of Pt IV wherever the State's freedom to contract is adversely affected or interfered with.</w:t>
      </w:r>
    </w:p>
    <w:p w14:paraId="0C5960FE"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The determinative issue is therefore whether the application of ss 45 and 45DA of the CCA to NSW Ports would divest the State of some legal right or interest – not being merely the freedom to contract – so that </w:t>
      </w:r>
      <w:r w:rsidRPr="00516377">
        <w:rPr>
          <w:rFonts w:ascii="Times New Roman" w:hAnsi="Times New Roman"/>
          <w:i/>
          <w:iCs/>
        </w:rPr>
        <w:t>Baxter</w:t>
      </w:r>
      <w:r w:rsidRPr="00516377">
        <w:rPr>
          <w:rFonts w:ascii="Times New Roman" w:hAnsi="Times New Roman"/>
        </w:rPr>
        <w:t xml:space="preserve"> may be distinguished. If it would not divest any relevant legal right or interest, then ss 45 and 45DA bound NSW Ports. The question then is whether the PAAT Act conferred any relevant legal right or interest on the State. The answer is "no".</w:t>
      </w:r>
    </w:p>
    <w:p w14:paraId="5BEA99B5" w14:textId="77777777" w:rsidR="0023595F" w:rsidRPr="00516377" w:rsidRDefault="0023595F" w:rsidP="00516377">
      <w:pPr>
        <w:pStyle w:val="HeadingL2"/>
        <w:spacing w:after="260" w:line="280" w:lineRule="exact"/>
        <w:ind w:right="0"/>
        <w:jc w:val="both"/>
        <w:rPr>
          <w:rFonts w:ascii="Times New Roman" w:hAnsi="Times New Roman"/>
        </w:rPr>
      </w:pPr>
      <w:r w:rsidRPr="00516377">
        <w:rPr>
          <w:rFonts w:ascii="Times New Roman" w:hAnsi="Times New Roman"/>
        </w:rPr>
        <w:lastRenderedPageBreak/>
        <w:t>PAAT Act conferred no legal right or interest</w:t>
      </w:r>
    </w:p>
    <w:p w14:paraId="52179FC0" w14:textId="77777777" w:rsidR="0023595F" w:rsidRPr="00516377" w:rsidRDefault="0023595F" w:rsidP="0023595F">
      <w:pPr>
        <w:pStyle w:val="FixListStyle"/>
        <w:spacing w:after="260" w:line="280" w:lineRule="exact"/>
        <w:ind w:right="0"/>
        <w:jc w:val="both"/>
        <w:rPr>
          <w:rFonts w:ascii="Times New Roman" w:hAnsi="Times New Roman"/>
        </w:rPr>
      </w:pPr>
      <w:bookmarkStart w:id="3" w:name="_Ref215559649"/>
      <w:r w:rsidRPr="00516377">
        <w:rPr>
          <w:rFonts w:ascii="Times New Roman" w:hAnsi="Times New Roman"/>
        </w:rPr>
        <w:tab/>
        <w:t>The PAAT Act, among other things, provides for the "restructuring of arrangements for the operation and regulation of certain ports assets of the State</w:t>
      </w:r>
      <w:r w:rsidRPr="00516377" w:rsidDel="00DB79ED">
        <w:rPr>
          <w:rFonts w:ascii="Times New Roman" w:hAnsi="Times New Roman"/>
        </w:rPr>
        <w:t>"</w:t>
      </w:r>
      <w:r w:rsidRPr="00516377">
        <w:rPr>
          <w:rFonts w:ascii="Times New Roman" w:hAnsi="Times New Roman"/>
        </w:rPr>
        <w:t>.</w:t>
      </w:r>
      <w:r w:rsidRPr="00516377">
        <w:rPr>
          <w:rStyle w:val="FootnoteReference"/>
          <w:rFonts w:ascii="Times New Roman" w:hAnsi="Times New Roman"/>
          <w:sz w:val="24"/>
        </w:rPr>
        <w:footnoteReference w:id="129"/>
      </w:r>
      <w:r w:rsidRPr="00516377">
        <w:rPr>
          <w:rFonts w:ascii="Times New Roman" w:hAnsi="Times New Roman"/>
        </w:rPr>
        <w:t xml:space="preserve"> Part 2 of the PAAT Act relevantly authorises the transfer of ports assets to the</w:t>
      </w:r>
      <w:r>
        <w:rPr>
          <w:rFonts w:ascii="Times New Roman" w:hAnsi="Times New Roman"/>
        </w:rPr>
        <w:t> </w:t>
      </w:r>
      <w:r w:rsidRPr="00516377">
        <w:rPr>
          <w:rFonts w:ascii="Times New Roman" w:hAnsi="Times New Roman"/>
        </w:rPr>
        <w:t>private sector, subject to certain limitations.</w:t>
      </w:r>
      <w:r w:rsidRPr="00516377">
        <w:rPr>
          <w:rStyle w:val="FootnoteReference"/>
          <w:rFonts w:ascii="Times New Roman" w:hAnsi="Times New Roman"/>
          <w:sz w:val="24"/>
        </w:rPr>
        <w:footnoteReference w:id="130"/>
      </w:r>
      <w:r w:rsidRPr="00516377">
        <w:rPr>
          <w:rFonts w:ascii="Times New Roman" w:hAnsi="Times New Roman"/>
        </w:rPr>
        <w:t xml:space="preserve"> A transfer authorised by Pt 2 is defined as an "authorised transaction".</w:t>
      </w:r>
      <w:r w:rsidRPr="00516377">
        <w:rPr>
          <w:rStyle w:val="FootnoteReference"/>
          <w:rFonts w:ascii="Times New Roman" w:hAnsi="Times New Roman"/>
          <w:sz w:val="24"/>
        </w:rPr>
        <w:footnoteReference w:id="131"/>
      </w:r>
      <w:r w:rsidRPr="00516377">
        <w:rPr>
          <w:rFonts w:ascii="Times New Roman" w:hAnsi="Times New Roman"/>
        </w:rPr>
        <w:t xml:space="preserve"> Authorised transactions are facilitated by the Treasurer having and being able to exercise all functions necessary or convenient for the purposes of an authorised transaction.</w:t>
      </w:r>
      <w:r w:rsidRPr="00516377">
        <w:rPr>
          <w:rStyle w:val="FootnoteReference"/>
          <w:rFonts w:ascii="Times New Roman" w:hAnsi="Times New Roman"/>
          <w:sz w:val="24"/>
        </w:rPr>
        <w:footnoteReference w:id="132"/>
      </w:r>
      <w:r w:rsidRPr="00516377">
        <w:rPr>
          <w:rFonts w:ascii="Times New Roman" w:hAnsi="Times New Roman"/>
        </w:rPr>
        <w:t xml:space="preserve"> Section 7 provides that an authorised transaction "is to be effected as directed by the Treasurer and can be effected in any manner considered appropriate by the Treasurer",</w:t>
      </w:r>
      <w:r w:rsidRPr="00516377">
        <w:rPr>
          <w:rStyle w:val="FootnoteReference"/>
          <w:rFonts w:ascii="Times New Roman" w:hAnsi="Times New Roman"/>
          <w:sz w:val="24"/>
        </w:rPr>
        <w:footnoteReference w:id="133"/>
      </w:r>
      <w:r w:rsidRPr="00516377">
        <w:rPr>
          <w:rFonts w:ascii="Times New Roman" w:hAnsi="Times New Roman"/>
        </w:rPr>
        <w:t xml:space="preserve"> with</w:t>
      </w:r>
      <w:r>
        <w:rPr>
          <w:rFonts w:ascii="Times New Roman" w:hAnsi="Times New Roman"/>
        </w:rPr>
        <w:t> </w:t>
      </w:r>
      <w:r w:rsidRPr="00516377">
        <w:rPr>
          <w:rFonts w:ascii="Times New Roman" w:hAnsi="Times New Roman"/>
        </w:rPr>
        <w:t>"no</w:t>
      </w:r>
      <w:r>
        <w:rPr>
          <w:rFonts w:ascii="Times New Roman" w:hAnsi="Times New Roman"/>
        </w:rPr>
        <w:t> </w:t>
      </w:r>
      <w:r w:rsidRPr="00516377">
        <w:rPr>
          <w:rFonts w:ascii="Times New Roman" w:hAnsi="Times New Roman"/>
        </w:rPr>
        <w:t>limitations as to the nature of the transactions or arrangements that can be entered into or used for the purposes of" an authorised transaction.</w:t>
      </w:r>
      <w:r w:rsidRPr="00516377">
        <w:rPr>
          <w:rStyle w:val="FootnoteReference"/>
          <w:rFonts w:ascii="Times New Roman" w:hAnsi="Times New Roman"/>
          <w:sz w:val="24"/>
        </w:rPr>
        <w:footnoteReference w:id="134"/>
      </w:r>
      <w:r w:rsidRPr="00516377">
        <w:rPr>
          <w:rFonts w:ascii="Times New Roman" w:hAnsi="Times New Roman"/>
        </w:rPr>
        <w:t xml:space="preserve"> For</w:t>
      </w:r>
      <w:r>
        <w:rPr>
          <w:rFonts w:ascii="Times New Roman" w:hAnsi="Times New Roman"/>
        </w:rPr>
        <w:t> </w:t>
      </w:r>
      <w:r w:rsidRPr="00516377">
        <w:rPr>
          <w:rFonts w:ascii="Times New Roman" w:hAnsi="Times New Roman"/>
        </w:rPr>
        <w:t>the</w:t>
      </w:r>
      <w:r>
        <w:rPr>
          <w:rFonts w:ascii="Times New Roman" w:hAnsi="Times New Roman"/>
        </w:rPr>
        <w:t> </w:t>
      </w:r>
      <w:r w:rsidRPr="00516377">
        <w:rPr>
          <w:rFonts w:ascii="Times New Roman" w:hAnsi="Times New Roman"/>
        </w:rPr>
        <w:t>purposes of an authorised transaction, the PAAT Act provides, among</w:t>
      </w:r>
      <w:r>
        <w:rPr>
          <w:rFonts w:ascii="Times New Roman" w:hAnsi="Times New Roman"/>
        </w:rPr>
        <w:t> </w:t>
      </w:r>
      <w:r w:rsidRPr="00516377">
        <w:rPr>
          <w:rFonts w:ascii="Times New Roman" w:hAnsi="Times New Roman"/>
        </w:rPr>
        <w:t>other things, for the possibility of the creation of a SOC,</w:t>
      </w:r>
      <w:r w:rsidRPr="00516377">
        <w:rPr>
          <w:rStyle w:val="FootnoteReference"/>
          <w:rFonts w:ascii="Times New Roman" w:hAnsi="Times New Roman"/>
          <w:sz w:val="24"/>
        </w:rPr>
        <w:footnoteReference w:id="135"/>
      </w:r>
      <w:r w:rsidRPr="00516377">
        <w:rPr>
          <w:rFonts w:ascii="Times New Roman" w:hAnsi="Times New Roman"/>
        </w:rPr>
        <w:t xml:space="preserve"> as well as the</w:t>
      </w:r>
      <w:r>
        <w:rPr>
          <w:rFonts w:ascii="Times New Roman" w:hAnsi="Times New Roman"/>
        </w:rPr>
        <w:t> </w:t>
      </w:r>
      <w:r w:rsidRPr="00516377">
        <w:rPr>
          <w:rFonts w:ascii="Times New Roman" w:hAnsi="Times New Roman"/>
        </w:rPr>
        <w:t>possibility of the establishment of transaction companies in a number of ways.</w:t>
      </w:r>
      <w:r w:rsidRPr="00516377">
        <w:rPr>
          <w:rStyle w:val="FootnoteReference"/>
          <w:rFonts w:ascii="Times New Roman" w:hAnsi="Times New Roman"/>
          <w:sz w:val="24"/>
        </w:rPr>
        <w:footnoteReference w:id="136"/>
      </w:r>
      <w:r w:rsidRPr="00516377">
        <w:rPr>
          <w:rFonts w:ascii="Times New Roman" w:hAnsi="Times New Roman"/>
        </w:rPr>
        <w:t xml:space="preserve"> </w:t>
      </w:r>
    </w:p>
    <w:p w14:paraId="6F587146"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Section 7 confers no more than an authority and capacity to contract. Importantly, neither s 7 nor any other provision of the PAAT Act requires a</w:t>
      </w:r>
      <w:r>
        <w:rPr>
          <w:rFonts w:ascii="Times New Roman" w:hAnsi="Times New Roman"/>
        </w:rPr>
        <w:t> </w:t>
      </w:r>
      <w:r w:rsidRPr="00516377">
        <w:rPr>
          <w:rFonts w:ascii="Times New Roman" w:hAnsi="Times New Roman"/>
        </w:rPr>
        <w:t>counterparty to an authorised transaction to accept a transfer on whatever terms the Treasurer chooses, let alone terms that would otherwise contravene provisions of the CCA.</w:t>
      </w:r>
      <w:bookmarkEnd w:id="3"/>
      <w:r w:rsidRPr="00516377">
        <w:rPr>
          <w:rFonts w:ascii="Times New Roman" w:hAnsi="Times New Roman"/>
        </w:rPr>
        <w:t xml:space="preserve"> That the capacity to contract is required to be exercised against the</w:t>
      </w:r>
      <w:r>
        <w:rPr>
          <w:rFonts w:ascii="Times New Roman" w:hAnsi="Times New Roman"/>
        </w:rPr>
        <w:t> </w:t>
      </w:r>
      <w:r w:rsidRPr="00516377">
        <w:rPr>
          <w:rFonts w:ascii="Times New Roman" w:hAnsi="Times New Roman"/>
        </w:rPr>
        <w:t>background of other State laws, subject to exceptions, is apparent from the</w:t>
      </w:r>
      <w:r>
        <w:rPr>
          <w:rFonts w:ascii="Times New Roman" w:hAnsi="Times New Roman"/>
        </w:rPr>
        <w:t> </w:t>
      </w:r>
      <w:r w:rsidRPr="00516377">
        <w:rPr>
          <w:rFonts w:ascii="Times New Roman" w:hAnsi="Times New Roman"/>
        </w:rPr>
        <w:t xml:space="preserve">terms of s 25. It provides that none of the provisions of the SOC Act and no provision of the constitution of a statutory SOC or a subsidiary of a statutory SOC operates "to prevent, restrict or otherwise limit the carrying out of a transaction arrangement or the exercise of a function for the purposes of an authorised </w:t>
      </w:r>
      <w:r w:rsidRPr="00516377">
        <w:rPr>
          <w:rFonts w:ascii="Times New Roman" w:hAnsi="Times New Roman"/>
        </w:rPr>
        <w:lastRenderedPageBreak/>
        <w:t>transaction",</w:t>
      </w:r>
      <w:r w:rsidRPr="00516377">
        <w:rPr>
          <w:rStyle w:val="FootnoteReference"/>
          <w:rFonts w:ascii="Times New Roman" w:hAnsi="Times New Roman"/>
          <w:sz w:val="24"/>
        </w:rPr>
        <w:footnoteReference w:id="137"/>
      </w:r>
      <w:r w:rsidRPr="00516377">
        <w:rPr>
          <w:rFonts w:ascii="Times New Roman" w:hAnsi="Times New Roman"/>
        </w:rPr>
        <w:t xml:space="preserve"> and that the provisions of the PAAT Act will prevail over other State legislation that is prescribed by the regulations as an inconsistent provision for the purposes of the section.</w:t>
      </w:r>
      <w:r w:rsidRPr="00516377">
        <w:rPr>
          <w:rStyle w:val="FootnoteReference"/>
          <w:rFonts w:ascii="Times New Roman" w:hAnsi="Times New Roman"/>
          <w:sz w:val="24"/>
        </w:rPr>
        <w:footnoteReference w:id="138"/>
      </w:r>
      <w:r w:rsidRPr="00516377">
        <w:rPr>
          <w:rFonts w:ascii="Times New Roman" w:hAnsi="Times New Roman"/>
        </w:rPr>
        <w:t xml:space="preserve"> There is no need to state that the capacity is to be exercised against the background of Commonwealth law by reason of s 109 of the </w:t>
      </w:r>
      <w:r w:rsidRPr="00516377">
        <w:rPr>
          <w:rFonts w:ascii="Times New Roman" w:hAnsi="Times New Roman"/>
          <w:i/>
        </w:rPr>
        <w:t>Constitution</w:t>
      </w:r>
      <w:r w:rsidRPr="00516377">
        <w:rPr>
          <w:rFonts w:ascii="Times New Roman" w:hAnsi="Times New Roman"/>
        </w:rPr>
        <w:t>. Section 29 protects things done under the PAAT Act from certain kinds of civil liability but does not authorise what would otherwise constitute a</w:t>
      </w:r>
      <w:r>
        <w:rPr>
          <w:rFonts w:ascii="Times New Roman" w:hAnsi="Times New Roman"/>
        </w:rPr>
        <w:t> </w:t>
      </w:r>
      <w:r w:rsidRPr="00516377">
        <w:rPr>
          <w:rFonts w:ascii="Times New Roman" w:hAnsi="Times New Roman"/>
        </w:rPr>
        <w:t>contravention of the CCA.</w:t>
      </w:r>
    </w:p>
    <w:p w14:paraId="2EFE732E"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In essence, the PAAT Act confers on the Treasurer the freedom, liberty or capacity to propose terms to third parties and to </w:t>
      </w:r>
      <w:proofErr w:type="gramStart"/>
      <w:r w:rsidRPr="00516377">
        <w:rPr>
          <w:rFonts w:ascii="Times New Roman" w:hAnsi="Times New Roman"/>
        </w:rPr>
        <w:t>effect</w:t>
      </w:r>
      <w:proofErr w:type="gramEnd"/>
      <w:r w:rsidRPr="00516377">
        <w:rPr>
          <w:rFonts w:ascii="Times New Roman" w:hAnsi="Times New Roman"/>
        </w:rPr>
        <w:t xml:space="preserve"> an authorised transaction if such terms can be agreed. That freedom or capacity is not relevantly distinguishable from the general freedom, liberty or capacity to contract that the</w:t>
      </w:r>
      <w:r>
        <w:rPr>
          <w:rFonts w:ascii="Times New Roman" w:hAnsi="Times New Roman"/>
        </w:rPr>
        <w:t> </w:t>
      </w:r>
      <w:r w:rsidRPr="00516377">
        <w:rPr>
          <w:rFonts w:ascii="Times New Roman" w:hAnsi="Times New Roman"/>
        </w:rPr>
        <w:t xml:space="preserve">plurality in </w:t>
      </w:r>
      <w:r w:rsidRPr="00516377">
        <w:rPr>
          <w:rFonts w:ascii="Times New Roman" w:hAnsi="Times New Roman"/>
          <w:i/>
          <w:iCs/>
        </w:rPr>
        <w:t>Baxter</w:t>
      </w:r>
      <w:r w:rsidRPr="00516377">
        <w:rPr>
          <w:rFonts w:ascii="Times New Roman" w:hAnsi="Times New Roman"/>
        </w:rPr>
        <w:t xml:space="preserve"> held was insufficient to constitute a relevant right or interest sufficient to engage the principle of derivative Crown immunity.</w:t>
      </w:r>
      <w:r w:rsidRPr="00516377">
        <w:rPr>
          <w:rStyle w:val="FootnoteReference"/>
          <w:rFonts w:ascii="Times New Roman" w:hAnsi="Times New Roman"/>
          <w:sz w:val="24"/>
        </w:rPr>
        <w:footnoteReference w:id="139"/>
      </w:r>
      <w:r w:rsidRPr="00516377">
        <w:rPr>
          <w:rFonts w:ascii="Times New Roman" w:hAnsi="Times New Roman"/>
        </w:rPr>
        <w:t xml:space="preserve"> That</w:t>
      </w:r>
      <w:r>
        <w:rPr>
          <w:rFonts w:ascii="Times New Roman" w:hAnsi="Times New Roman"/>
        </w:rPr>
        <w:t> </w:t>
      </w:r>
      <w:r w:rsidRPr="00516377">
        <w:rPr>
          <w:rFonts w:ascii="Times New Roman" w:hAnsi="Times New Roman"/>
        </w:rPr>
        <w:t>the</w:t>
      </w:r>
      <w:r>
        <w:rPr>
          <w:rFonts w:ascii="Times New Roman" w:hAnsi="Times New Roman"/>
        </w:rPr>
        <w:t> </w:t>
      </w:r>
      <w:r w:rsidRPr="00516377">
        <w:rPr>
          <w:rFonts w:ascii="Times New Roman" w:hAnsi="Times New Roman"/>
        </w:rPr>
        <w:t>Treasurer</w:t>
      </w:r>
      <w:r w:rsidRPr="00516377" w:rsidDel="004B7B64">
        <w:rPr>
          <w:rFonts w:ascii="Times New Roman" w:hAnsi="Times New Roman"/>
        </w:rPr>
        <w:t xml:space="preserve"> </w:t>
      </w:r>
      <w:r w:rsidRPr="00516377">
        <w:rPr>
          <w:rFonts w:ascii="Times New Roman" w:hAnsi="Times New Roman"/>
        </w:rPr>
        <w:t>is empowered to execute the authorised transactions in a</w:t>
      </w:r>
      <w:r>
        <w:rPr>
          <w:rFonts w:ascii="Times New Roman" w:hAnsi="Times New Roman"/>
        </w:rPr>
        <w:t> </w:t>
      </w:r>
      <w:r w:rsidRPr="00516377">
        <w:rPr>
          <w:rFonts w:ascii="Times New Roman" w:hAnsi="Times New Roman"/>
        </w:rPr>
        <w:t>particular manner does not transform the nature of the capacity, liberty or freedom that the Treasurer is exercising. The value and significance of the</w:t>
      </w:r>
      <w:r>
        <w:rPr>
          <w:rFonts w:ascii="Times New Roman" w:hAnsi="Times New Roman"/>
        </w:rPr>
        <w:t> </w:t>
      </w:r>
      <w:proofErr w:type="gramStart"/>
      <w:r w:rsidRPr="00516377">
        <w:rPr>
          <w:rFonts w:ascii="Times New Roman" w:hAnsi="Times New Roman"/>
        </w:rPr>
        <w:t>particular assets</w:t>
      </w:r>
      <w:proofErr w:type="gramEnd"/>
      <w:r w:rsidRPr="00516377">
        <w:rPr>
          <w:rFonts w:ascii="Times New Roman" w:hAnsi="Times New Roman"/>
        </w:rPr>
        <w:t xml:space="preserve"> in question are also not to the point. </w:t>
      </w:r>
    </w:p>
    <w:p w14:paraId="72958326"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b/>
          <w:bCs/>
        </w:rPr>
        <w:tab/>
      </w:r>
      <w:r w:rsidRPr="00516377">
        <w:rPr>
          <w:rFonts w:ascii="Times New Roman" w:hAnsi="Times New Roman"/>
        </w:rPr>
        <w:t>The character of the "rights" conferred by the PAAT Act as being only in the nature of the general capacity to contract is confirmed by reference to the</w:t>
      </w:r>
      <w:r>
        <w:rPr>
          <w:rFonts w:ascii="Times New Roman" w:hAnsi="Times New Roman"/>
        </w:rPr>
        <w:t> </w:t>
      </w:r>
      <w:r w:rsidRPr="00516377">
        <w:rPr>
          <w:rFonts w:ascii="Times New Roman" w:hAnsi="Times New Roman"/>
        </w:rPr>
        <w:t>purposes of the PAAT Act. At least one purpose of the PAAT Act was to authorise the Treasurer to deal with the State's ports assets notwithstanding the</w:t>
      </w:r>
      <w:r>
        <w:rPr>
          <w:rFonts w:ascii="Times New Roman" w:hAnsi="Times New Roman"/>
        </w:rPr>
        <w:t> </w:t>
      </w:r>
      <w:r w:rsidRPr="00516377">
        <w:rPr>
          <w:rFonts w:ascii="Times New Roman" w:hAnsi="Times New Roman"/>
        </w:rPr>
        <w:t>restrictions on such dealings imposed by the SOC Act. Prior to the passage of the PAAT Act, the State's ports assets were vested in SOCs.</w:t>
      </w:r>
      <w:r w:rsidRPr="00516377">
        <w:rPr>
          <w:rStyle w:val="FootnoteReference"/>
          <w:rFonts w:ascii="Times New Roman" w:hAnsi="Times New Roman"/>
          <w:sz w:val="24"/>
        </w:rPr>
        <w:footnoteReference w:id="140"/>
      </w:r>
      <w:r w:rsidRPr="00516377">
        <w:rPr>
          <w:rFonts w:ascii="Times New Roman" w:hAnsi="Times New Roman"/>
        </w:rPr>
        <w:t xml:space="preserve"> Such corporations are subject to ss 20X and 20Y of the SOC Act, which impose substantial limitations on the</w:t>
      </w:r>
      <w:r>
        <w:rPr>
          <w:rFonts w:ascii="Times New Roman" w:hAnsi="Times New Roman"/>
        </w:rPr>
        <w:t> </w:t>
      </w:r>
      <w:r w:rsidRPr="00516377">
        <w:rPr>
          <w:rFonts w:ascii="Times New Roman" w:hAnsi="Times New Roman"/>
        </w:rPr>
        <w:t>disposal of assets by SOCs. The Explanatory Note explained that the object of the PAAT Act was to "authorise and facilitate the transfer to the</w:t>
      </w:r>
      <w:r>
        <w:rPr>
          <w:rFonts w:ascii="Times New Roman" w:hAnsi="Times New Roman"/>
        </w:rPr>
        <w:t> </w:t>
      </w:r>
      <w:r w:rsidRPr="00516377">
        <w:rPr>
          <w:rFonts w:ascii="Times New Roman" w:hAnsi="Times New Roman"/>
        </w:rPr>
        <w:t>private sector of the State's ports assets at Port Botany and Port Kembla".</w:t>
      </w:r>
      <w:r w:rsidRPr="00516377">
        <w:rPr>
          <w:rStyle w:val="FootnoteReference"/>
          <w:rFonts w:ascii="Times New Roman" w:hAnsi="Times New Roman"/>
          <w:sz w:val="24"/>
        </w:rPr>
        <w:footnoteReference w:id="141"/>
      </w:r>
      <w:r w:rsidRPr="00516377">
        <w:rPr>
          <w:rFonts w:ascii="Times New Roman" w:hAnsi="Times New Roman"/>
        </w:rPr>
        <w:t xml:space="preserve"> The PAAT Act was intended to remove the constraints that would otherwise have applied to the</w:t>
      </w:r>
      <w:r>
        <w:rPr>
          <w:rFonts w:ascii="Times New Roman" w:hAnsi="Times New Roman"/>
        </w:rPr>
        <w:t> </w:t>
      </w:r>
      <w:r w:rsidRPr="00516377">
        <w:rPr>
          <w:rFonts w:ascii="Times New Roman" w:hAnsi="Times New Roman"/>
        </w:rPr>
        <w:t xml:space="preserve">transfer of the ports assets under the SOC Act and to provide for </w:t>
      </w:r>
      <w:r w:rsidRPr="00516377">
        <w:rPr>
          <w:rFonts w:ascii="Times New Roman" w:hAnsi="Times New Roman"/>
        </w:rPr>
        <w:lastRenderedPageBreak/>
        <w:t>functional and logistical matters relating to the ports' sale. That purpose is confirmed by s 25(1) of the PAAT Act, which provides that the PAAT Act will override the SOC Act, and any provision of the constitution of a statutory SOC or its subsidiary.</w:t>
      </w:r>
    </w:p>
    <w:p w14:paraId="6CD54808"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It may be accepted that the PAAT Act might also have been intended to remove any doubt as to the authority of the Treasurer to </w:t>
      </w:r>
      <w:proofErr w:type="gramStart"/>
      <w:r w:rsidRPr="00516377">
        <w:rPr>
          <w:rFonts w:ascii="Times New Roman" w:hAnsi="Times New Roman"/>
        </w:rPr>
        <w:t>enter into</w:t>
      </w:r>
      <w:proofErr w:type="gramEnd"/>
      <w:r w:rsidRPr="00516377">
        <w:rPr>
          <w:rFonts w:ascii="Times New Roman" w:hAnsi="Times New Roman"/>
        </w:rPr>
        <w:t xml:space="preserve"> the authorised transactions. The Executive Government of a State has undoubted capacity to make a contract "in the ordinary course of administering a recognized part of the</w:t>
      </w:r>
      <w:r>
        <w:rPr>
          <w:rFonts w:ascii="Times New Roman" w:hAnsi="Times New Roman"/>
        </w:rPr>
        <w:t> </w:t>
      </w:r>
      <w:r w:rsidRPr="00516377">
        <w:rPr>
          <w:rFonts w:ascii="Times New Roman" w:hAnsi="Times New Roman"/>
        </w:rPr>
        <w:t>government of the State".</w:t>
      </w:r>
      <w:r w:rsidRPr="00516377">
        <w:rPr>
          <w:rStyle w:val="FootnoteReference"/>
          <w:rFonts w:ascii="Times New Roman" w:hAnsi="Times New Roman"/>
          <w:sz w:val="24"/>
        </w:rPr>
        <w:footnoteReference w:id="142"/>
      </w:r>
      <w:r w:rsidRPr="00516377">
        <w:rPr>
          <w:rFonts w:ascii="Times New Roman" w:hAnsi="Times New Roman"/>
        </w:rPr>
        <w:t xml:space="preserve"> Whether that capacity extends to the making of contracts for the privatisation of significant State assets is unnecessary to resolve for the purposes of this proceeding. What is important is that, </w:t>
      </w:r>
      <w:proofErr w:type="gramStart"/>
      <w:r w:rsidRPr="00516377">
        <w:rPr>
          <w:rFonts w:ascii="Times New Roman" w:hAnsi="Times New Roman"/>
        </w:rPr>
        <w:t>whether or not</w:t>
      </w:r>
      <w:proofErr w:type="gramEnd"/>
      <w:r w:rsidRPr="00516377">
        <w:rPr>
          <w:rFonts w:ascii="Times New Roman" w:hAnsi="Times New Roman"/>
        </w:rPr>
        <w:t xml:space="preserve"> statutory authority was required to </w:t>
      </w:r>
      <w:proofErr w:type="gramStart"/>
      <w:r w:rsidRPr="00516377">
        <w:rPr>
          <w:rFonts w:ascii="Times New Roman" w:hAnsi="Times New Roman"/>
        </w:rPr>
        <w:t>effect</w:t>
      </w:r>
      <w:proofErr w:type="gramEnd"/>
      <w:r w:rsidRPr="00516377">
        <w:rPr>
          <w:rFonts w:ascii="Times New Roman" w:hAnsi="Times New Roman"/>
        </w:rPr>
        <w:t xml:space="preserve"> the transactions, the nature of the</w:t>
      </w:r>
      <w:r>
        <w:rPr>
          <w:rFonts w:ascii="Times New Roman" w:hAnsi="Times New Roman"/>
        </w:rPr>
        <w:t> </w:t>
      </w:r>
      <w:r w:rsidRPr="00516377">
        <w:rPr>
          <w:rFonts w:ascii="Times New Roman" w:hAnsi="Times New Roman"/>
        </w:rPr>
        <w:t>freedom, liberty or capacity conferred by the PAAT Act was essentially the</w:t>
      </w:r>
      <w:r>
        <w:rPr>
          <w:rFonts w:ascii="Times New Roman" w:hAnsi="Times New Roman"/>
        </w:rPr>
        <w:t> </w:t>
      </w:r>
      <w:r w:rsidRPr="00516377">
        <w:rPr>
          <w:rFonts w:ascii="Times New Roman" w:hAnsi="Times New Roman"/>
        </w:rPr>
        <w:t xml:space="preserve">same as that considered in </w:t>
      </w:r>
      <w:r w:rsidRPr="00516377">
        <w:rPr>
          <w:rFonts w:ascii="Times New Roman" w:hAnsi="Times New Roman"/>
          <w:i/>
          <w:iCs/>
        </w:rPr>
        <w:t>Baxter</w:t>
      </w:r>
      <w:r w:rsidRPr="00516377">
        <w:rPr>
          <w:rFonts w:ascii="Times New Roman" w:hAnsi="Times New Roman"/>
        </w:rPr>
        <w:t>.</w:t>
      </w:r>
      <w:bookmarkStart w:id="4" w:name="_Ref215559650"/>
    </w:p>
    <w:p w14:paraId="4D39453B"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 xml:space="preserve">Given the characterisation of the rights conferred by the PAAT Act as tantamount to the general freedom of the Executive to contract, there is no basis to distinguish the rights or interests here identified from those in </w:t>
      </w:r>
      <w:r w:rsidRPr="00516377">
        <w:rPr>
          <w:rFonts w:ascii="Times New Roman" w:hAnsi="Times New Roman"/>
          <w:i/>
          <w:iCs/>
        </w:rPr>
        <w:t>Baxter</w:t>
      </w:r>
      <w:r w:rsidRPr="00516377">
        <w:rPr>
          <w:rFonts w:ascii="Times New Roman" w:hAnsi="Times New Roman"/>
        </w:rPr>
        <w:t>.</w:t>
      </w:r>
      <w:bookmarkEnd w:id="4"/>
      <w:r w:rsidRPr="00516377">
        <w:rPr>
          <w:rFonts w:ascii="Times New Roman" w:hAnsi="Times New Roman"/>
        </w:rPr>
        <w:t xml:space="preserve"> As a result, ss 45 and 45DA bound NSW Ports in its dealings with the State. </w:t>
      </w:r>
    </w:p>
    <w:p w14:paraId="2921B8AF" w14:textId="77777777" w:rsidR="0023595F" w:rsidRPr="00516377" w:rsidRDefault="0023595F" w:rsidP="00516377">
      <w:pPr>
        <w:pStyle w:val="HeadingL2"/>
        <w:spacing w:after="260" w:line="280" w:lineRule="exact"/>
        <w:ind w:right="0"/>
        <w:jc w:val="both"/>
        <w:rPr>
          <w:rFonts w:ascii="Times New Roman" w:hAnsi="Times New Roman"/>
        </w:rPr>
      </w:pPr>
      <w:r w:rsidRPr="00516377">
        <w:rPr>
          <w:rFonts w:ascii="Times New Roman" w:hAnsi="Times New Roman"/>
        </w:rPr>
        <w:t>ACCC's broader submission</w:t>
      </w:r>
    </w:p>
    <w:p w14:paraId="0DB6D9A9" w14:textId="77777777" w:rsidR="0023595F" w:rsidRPr="00516377" w:rsidRDefault="0023595F" w:rsidP="0023595F">
      <w:pPr>
        <w:pStyle w:val="FixListStyle"/>
        <w:spacing w:after="260" w:line="280" w:lineRule="exact"/>
        <w:ind w:right="0"/>
        <w:jc w:val="both"/>
        <w:rPr>
          <w:rFonts w:ascii="Times New Roman" w:hAnsi="Times New Roman"/>
        </w:rPr>
      </w:pPr>
      <w:r w:rsidRPr="00516377">
        <w:rPr>
          <w:rFonts w:ascii="Times New Roman" w:hAnsi="Times New Roman"/>
        </w:rPr>
        <w:tab/>
        <w:t>Given the conclusion reached, consistent with this Court's jurisprudence, it</w:t>
      </w:r>
      <w:r>
        <w:rPr>
          <w:rFonts w:ascii="Times New Roman" w:hAnsi="Times New Roman"/>
        </w:rPr>
        <w:t> </w:t>
      </w:r>
      <w:r w:rsidRPr="00516377">
        <w:rPr>
          <w:rFonts w:ascii="Times New Roman" w:hAnsi="Times New Roman"/>
        </w:rPr>
        <w:t>is both unnecessary and inappropriate to address the ACCC's contention that the</w:t>
      </w:r>
      <w:r>
        <w:rPr>
          <w:rFonts w:ascii="Times New Roman" w:hAnsi="Times New Roman"/>
        </w:rPr>
        <w:t> </w:t>
      </w:r>
      <w:r w:rsidRPr="00516377">
        <w:rPr>
          <w:rFonts w:ascii="Times New Roman" w:hAnsi="Times New Roman"/>
        </w:rPr>
        <w:t>text of the CCA, when construed in context (including in light of its object in s 2), requires the conclusion that, except where a State Parliament has relevantly legislated under s 51(1), the CCA binds corporations that contract with a State government and that the presumption of derivative Crown immunity is wholly rebutted.</w:t>
      </w:r>
    </w:p>
    <w:p w14:paraId="3AC8D1D5" w14:textId="77777777" w:rsidR="0023595F" w:rsidRPr="00516377" w:rsidRDefault="0023595F" w:rsidP="00516377">
      <w:pPr>
        <w:pStyle w:val="HeadingL1"/>
        <w:spacing w:after="260" w:line="280" w:lineRule="exact"/>
        <w:ind w:right="0"/>
        <w:jc w:val="both"/>
        <w:rPr>
          <w:rFonts w:ascii="Times New Roman" w:hAnsi="Times New Roman"/>
        </w:rPr>
      </w:pPr>
      <w:r w:rsidRPr="00516377">
        <w:rPr>
          <w:rFonts w:ascii="Times New Roman" w:hAnsi="Times New Roman"/>
        </w:rPr>
        <w:lastRenderedPageBreak/>
        <w:t>Conclusion and orders</w:t>
      </w:r>
    </w:p>
    <w:p w14:paraId="45269D03" w14:textId="77777777" w:rsidR="0023595F" w:rsidRPr="00516377" w:rsidRDefault="0023595F" w:rsidP="0023595F">
      <w:pPr>
        <w:pStyle w:val="FixListStyle"/>
        <w:keepNext/>
        <w:spacing w:after="260" w:line="280" w:lineRule="exact"/>
        <w:ind w:right="0"/>
        <w:jc w:val="both"/>
        <w:rPr>
          <w:rFonts w:ascii="Times New Roman" w:hAnsi="Times New Roman"/>
        </w:rPr>
      </w:pPr>
      <w:r w:rsidRPr="00516377">
        <w:rPr>
          <w:rFonts w:ascii="Times New Roman" w:hAnsi="Times New Roman"/>
        </w:rPr>
        <w:tab/>
        <w:t>For those reasons, the appeal should be allowed, and the cross</w:t>
      </w:r>
      <w:r w:rsidRPr="00516377">
        <w:rPr>
          <w:rFonts w:ascii="Times New Roman" w:hAnsi="Times New Roman"/>
        </w:rPr>
        <w:noBreakHyphen/>
        <w:t>appeals should be dismissed with costs. The orders made by the Full Federal Court on 3</w:t>
      </w:r>
      <w:r>
        <w:rPr>
          <w:rFonts w:ascii="Times New Roman" w:hAnsi="Times New Roman"/>
        </w:rPr>
        <w:t> </w:t>
      </w:r>
      <w:r w:rsidRPr="00516377">
        <w:rPr>
          <w:rFonts w:ascii="Times New Roman" w:hAnsi="Times New Roman"/>
        </w:rPr>
        <w:t>April 2025 should be set aside and, in their place, it should be ordered that:</w:t>
      </w:r>
    </w:p>
    <w:p w14:paraId="7562649D" w14:textId="77777777" w:rsidR="0023595F" w:rsidRPr="00516377" w:rsidRDefault="0023595F" w:rsidP="00431952">
      <w:pPr>
        <w:pStyle w:val="leftright"/>
        <w:keepNext/>
        <w:spacing w:before="0" w:after="260" w:line="280" w:lineRule="exact"/>
        <w:ind w:right="0"/>
        <w:jc w:val="both"/>
        <w:rPr>
          <w:rFonts w:ascii="Times New Roman" w:hAnsi="Times New Roman"/>
        </w:rPr>
      </w:pPr>
      <w:r w:rsidRPr="00516377">
        <w:rPr>
          <w:rFonts w:ascii="Times New Roman" w:hAnsi="Times New Roman"/>
        </w:rPr>
        <w:t>1.</w:t>
      </w:r>
      <w:r w:rsidRPr="00516377">
        <w:rPr>
          <w:rFonts w:ascii="Times New Roman" w:hAnsi="Times New Roman"/>
        </w:rPr>
        <w:tab/>
        <w:t>The appeal be allowed.</w:t>
      </w:r>
    </w:p>
    <w:p w14:paraId="5ABAC3C9" w14:textId="77777777" w:rsidR="0023595F" w:rsidRPr="00516377" w:rsidRDefault="0023595F" w:rsidP="00516377">
      <w:pPr>
        <w:pStyle w:val="leftright"/>
        <w:spacing w:before="0" w:after="260" w:line="280" w:lineRule="exact"/>
        <w:ind w:left="1440" w:right="0" w:hanging="720"/>
        <w:jc w:val="both"/>
        <w:rPr>
          <w:rFonts w:ascii="Times New Roman" w:hAnsi="Times New Roman"/>
        </w:rPr>
      </w:pPr>
      <w:r w:rsidRPr="00516377">
        <w:rPr>
          <w:rFonts w:ascii="Times New Roman" w:hAnsi="Times New Roman"/>
        </w:rPr>
        <w:t>2.</w:t>
      </w:r>
      <w:r w:rsidRPr="00516377">
        <w:rPr>
          <w:rFonts w:ascii="Times New Roman" w:hAnsi="Times New Roman"/>
        </w:rPr>
        <w:tab/>
        <w:t xml:space="preserve">The orders made by the Federal Court </w:t>
      </w:r>
      <w:r>
        <w:rPr>
          <w:rFonts w:ascii="Times New Roman" w:hAnsi="Times New Roman"/>
        </w:rPr>
        <w:t xml:space="preserve">of Australia </w:t>
      </w:r>
      <w:r w:rsidRPr="00516377">
        <w:rPr>
          <w:rFonts w:ascii="Times New Roman" w:hAnsi="Times New Roman"/>
        </w:rPr>
        <w:t>on 3 June 2024 be set aside.</w:t>
      </w:r>
    </w:p>
    <w:p w14:paraId="49F5CD76" w14:textId="77777777" w:rsidR="0023595F" w:rsidRPr="00516377" w:rsidRDefault="0023595F" w:rsidP="00516377">
      <w:pPr>
        <w:pStyle w:val="leftright"/>
        <w:spacing w:before="0" w:after="260" w:line="280" w:lineRule="exact"/>
        <w:ind w:left="1440" w:right="0" w:hanging="720"/>
        <w:jc w:val="both"/>
        <w:rPr>
          <w:rFonts w:ascii="Times New Roman" w:hAnsi="Times New Roman"/>
        </w:rPr>
      </w:pPr>
      <w:r w:rsidRPr="00516377">
        <w:rPr>
          <w:rFonts w:ascii="Times New Roman" w:hAnsi="Times New Roman"/>
        </w:rPr>
        <w:t>3.</w:t>
      </w:r>
      <w:r w:rsidRPr="00516377">
        <w:rPr>
          <w:rFonts w:ascii="Times New Roman" w:hAnsi="Times New Roman"/>
        </w:rPr>
        <w:tab/>
        <w:t>In relation to the answer to question (b) of the separate questions, the</w:t>
      </w:r>
      <w:r>
        <w:rPr>
          <w:rFonts w:ascii="Times New Roman" w:hAnsi="Times New Roman"/>
        </w:rPr>
        <w:t> </w:t>
      </w:r>
      <w:r w:rsidRPr="00516377">
        <w:rPr>
          <w:rFonts w:ascii="Times New Roman" w:hAnsi="Times New Roman"/>
        </w:rPr>
        <w:t xml:space="preserve">orders made by the Federal Court </w:t>
      </w:r>
      <w:r>
        <w:rPr>
          <w:rFonts w:ascii="Times New Roman" w:hAnsi="Times New Roman"/>
        </w:rPr>
        <w:t xml:space="preserve">of Australia </w:t>
      </w:r>
      <w:r w:rsidRPr="00516377">
        <w:rPr>
          <w:rFonts w:ascii="Times New Roman" w:hAnsi="Times New Roman"/>
        </w:rPr>
        <w:t>on 22 May 2024 be set aside and, in its place, the answer to question (b) be "No".</w:t>
      </w:r>
    </w:p>
    <w:p w14:paraId="75D800BB" w14:textId="77777777" w:rsidR="0023595F" w:rsidRPr="00516377" w:rsidRDefault="0023595F" w:rsidP="00516377">
      <w:pPr>
        <w:pStyle w:val="leftright"/>
        <w:spacing w:before="0" w:after="260" w:line="280" w:lineRule="exact"/>
        <w:ind w:left="1440" w:right="0" w:hanging="720"/>
        <w:jc w:val="both"/>
        <w:rPr>
          <w:rFonts w:ascii="Times New Roman" w:hAnsi="Times New Roman"/>
        </w:rPr>
      </w:pPr>
      <w:r w:rsidRPr="00516377">
        <w:rPr>
          <w:rFonts w:ascii="Times New Roman" w:hAnsi="Times New Roman"/>
        </w:rPr>
        <w:t>4.</w:t>
      </w:r>
      <w:r w:rsidRPr="00516377">
        <w:rPr>
          <w:rFonts w:ascii="Times New Roman" w:hAnsi="Times New Roman"/>
        </w:rPr>
        <w:tab/>
        <w:t>The respondents pay the appellant's costs of the hearing of the</w:t>
      </w:r>
      <w:r>
        <w:rPr>
          <w:rFonts w:ascii="Times New Roman" w:hAnsi="Times New Roman"/>
        </w:rPr>
        <w:t> </w:t>
      </w:r>
      <w:r w:rsidRPr="00516377">
        <w:rPr>
          <w:rFonts w:ascii="Times New Roman" w:hAnsi="Times New Roman"/>
        </w:rPr>
        <w:t>separate questions and the appeal.</w:t>
      </w:r>
    </w:p>
    <w:p w14:paraId="7AA0F01B" w14:textId="77777777" w:rsidR="0023595F" w:rsidRPr="00516377" w:rsidRDefault="0023595F" w:rsidP="00516377">
      <w:pPr>
        <w:pStyle w:val="leftright"/>
        <w:spacing w:before="0" w:after="260" w:line="280" w:lineRule="exact"/>
        <w:ind w:left="1440" w:right="0" w:hanging="720"/>
        <w:jc w:val="both"/>
        <w:rPr>
          <w:rFonts w:ascii="Times New Roman" w:hAnsi="Times New Roman"/>
        </w:rPr>
      </w:pPr>
      <w:r w:rsidRPr="00516377">
        <w:rPr>
          <w:rFonts w:ascii="Times New Roman" w:hAnsi="Times New Roman"/>
        </w:rPr>
        <w:t>5.</w:t>
      </w:r>
      <w:r w:rsidRPr="00516377">
        <w:rPr>
          <w:rFonts w:ascii="Times New Roman" w:hAnsi="Times New Roman"/>
        </w:rPr>
        <w:tab/>
        <w:t xml:space="preserve">The matter be remitted to the primary judge for further determination. </w:t>
      </w:r>
    </w:p>
    <w:p w14:paraId="49920770" w14:textId="77777777" w:rsidR="0023595F" w:rsidRPr="0023595F" w:rsidRDefault="0023595F" w:rsidP="0023595F">
      <w:pPr>
        <w:pStyle w:val="FixListStyle"/>
        <w:spacing w:after="260" w:line="280" w:lineRule="exact"/>
        <w:ind w:right="0"/>
        <w:jc w:val="both"/>
        <w:rPr>
          <w:rFonts w:ascii="Times New Roman" w:hAnsi="Times New Roman"/>
        </w:rPr>
        <w:sectPr w:rsidR="0023595F" w:rsidRPr="0023595F" w:rsidSect="0023595F">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4AD497DE" w14:textId="77777777" w:rsidR="0023595F" w:rsidRPr="00B30553" w:rsidRDefault="0023595F" w:rsidP="00B30553">
      <w:pPr>
        <w:pStyle w:val="NormalBody"/>
        <w:tabs>
          <w:tab w:val="clear" w:pos="720"/>
          <w:tab w:val="left" w:pos="0"/>
        </w:tabs>
        <w:spacing w:after="260" w:line="280" w:lineRule="exact"/>
        <w:ind w:right="0"/>
        <w:jc w:val="both"/>
        <w:rPr>
          <w:rFonts w:ascii="Times New Roman" w:hAnsi="Times New Roman"/>
        </w:rPr>
      </w:pPr>
      <w:r w:rsidRPr="00B30553">
        <w:rPr>
          <w:rFonts w:ascii="Times New Roman" w:hAnsi="Times New Roman"/>
        </w:rPr>
        <w:lastRenderedPageBreak/>
        <w:t xml:space="preserve">EDELMAN J.   </w:t>
      </w:r>
    </w:p>
    <w:p w14:paraId="58D2F1B2" w14:textId="77777777" w:rsidR="0023595F" w:rsidRPr="00B30553" w:rsidRDefault="0023595F" w:rsidP="00B30553">
      <w:pPr>
        <w:pStyle w:val="HeadingL1"/>
        <w:spacing w:after="260" w:line="280" w:lineRule="exact"/>
        <w:ind w:right="0"/>
        <w:jc w:val="both"/>
        <w:rPr>
          <w:rFonts w:ascii="Times New Roman" w:hAnsi="Times New Roman"/>
        </w:rPr>
      </w:pPr>
      <w:r w:rsidRPr="00B30553">
        <w:rPr>
          <w:rFonts w:ascii="Times New Roman" w:hAnsi="Times New Roman"/>
        </w:rPr>
        <w:t>Introduction</w:t>
      </w:r>
    </w:p>
    <w:p w14:paraId="2F8F0F89"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Voltaire said of the Holy Roman Empire that it was not holy, not Roman, and not an empire.</w:t>
      </w:r>
      <w:r w:rsidRPr="00B30553">
        <w:rPr>
          <w:rStyle w:val="FootnoteReference"/>
          <w:rFonts w:ascii="Times New Roman" w:hAnsi="Times New Roman"/>
          <w:sz w:val="24"/>
        </w:rPr>
        <w:footnoteReference w:id="143"/>
      </w:r>
      <w:r w:rsidRPr="00B30553">
        <w:rPr>
          <w:rFonts w:ascii="Times New Roman" w:hAnsi="Times New Roman"/>
        </w:rPr>
        <w:t xml:space="preserve"> The "derivative Crown immunity" at the centre of this appeal is not derivative, not an immunity, and not concerned with a single Crown. The principal question on this appeal, like in all cases in which a defence to breach of a statutory law is said to be "Crown immunity" or "derivative Crown immunity", should simply be whether the statutory law was intended by Parliament to affect a body politic.</w:t>
      </w:r>
    </w:p>
    <w:p w14:paraId="1E53B464"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The historical approach to that question of statutory interpretation involved a strong presumption that a law would not apply to circumstances where "the Crown and its property" are "prejudicially affected".</w:t>
      </w:r>
      <w:r w:rsidRPr="00B30553">
        <w:rPr>
          <w:rStyle w:val="FootnoteReference"/>
          <w:rFonts w:ascii="Times New Roman" w:hAnsi="Times New Roman"/>
          <w:sz w:val="24"/>
        </w:rPr>
        <w:footnoteReference w:id="144"/>
      </w:r>
      <w:r w:rsidRPr="00B30553">
        <w:rPr>
          <w:rFonts w:ascii="Times New Roman" w:hAnsi="Times New Roman"/>
        </w:rPr>
        <w:t xml:space="preserve"> This presumption was deployed to require great clarity before a law would be applied to adversely affect legal relations (impose duties or liabilities upon, or impair rights, privileges, powers, or immunities) of a body politic, including in the actions of its Executive officers or agents. That anomalous presumption, inconsistent with </w:t>
      </w:r>
      <w:proofErr w:type="spellStart"/>
      <w:r w:rsidRPr="00B30553">
        <w:rPr>
          <w:rFonts w:ascii="Times New Roman" w:hAnsi="Times New Roman"/>
        </w:rPr>
        <w:t>Diceyan</w:t>
      </w:r>
      <w:proofErr w:type="spellEnd"/>
      <w:r w:rsidRPr="00B30553">
        <w:rPr>
          <w:rFonts w:ascii="Times New Roman" w:hAnsi="Times New Roman"/>
        </w:rPr>
        <w:t xml:space="preserve"> precepts of equality, was substantially weakened in Australia for legislation enacted after 20 June 1990.</w:t>
      </w:r>
      <w:r w:rsidRPr="00B30553">
        <w:rPr>
          <w:rStyle w:val="FootnoteReference"/>
          <w:rFonts w:ascii="Times New Roman" w:hAnsi="Times New Roman"/>
          <w:sz w:val="24"/>
        </w:rPr>
        <w:footnoteReference w:id="145"/>
      </w:r>
      <w:r w:rsidRPr="00B30553">
        <w:rPr>
          <w:rFonts w:ascii="Times New Roman" w:hAnsi="Times New Roman"/>
        </w:rPr>
        <w:t xml:space="preserve"> The legislation in question on this appeal was enacted in 1974</w:t>
      </w:r>
      <w:r w:rsidRPr="00B30553">
        <w:rPr>
          <w:rStyle w:val="FootnoteReference"/>
          <w:rFonts w:ascii="Times New Roman" w:hAnsi="Times New Roman"/>
          <w:sz w:val="24"/>
        </w:rPr>
        <w:footnoteReference w:id="146"/>
      </w:r>
      <w:r w:rsidRPr="00B30553">
        <w:rPr>
          <w:rFonts w:ascii="Times New Roman" w:hAnsi="Times New Roman"/>
        </w:rPr>
        <w:t xml:space="preserve">—renamed as the </w:t>
      </w:r>
      <w:r w:rsidRPr="00B30553">
        <w:rPr>
          <w:rFonts w:ascii="Times New Roman" w:hAnsi="Times New Roman"/>
          <w:i/>
          <w:iCs/>
        </w:rPr>
        <w:t xml:space="preserve">Competition and Consumer Act 2010 </w:t>
      </w:r>
      <w:r w:rsidRPr="00B30553">
        <w:rPr>
          <w:rFonts w:ascii="Times New Roman" w:hAnsi="Times New Roman"/>
        </w:rPr>
        <w:t>(</w:t>
      </w:r>
      <w:proofErr w:type="spellStart"/>
      <w:r w:rsidRPr="00B30553">
        <w:rPr>
          <w:rFonts w:ascii="Times New Roman" w:hAnsi="Times New Roman"/>
        </w:rPr>
        <w:t>Cth</w:t>
      </w:r>
      <w:proofErr w:type="spellEnd"/>
      <w:r w:rsidRPr="00B30553">
        <w:rPr>
          <w:rFonts w:ascii="Times New Roman" w:hAnsi="Times New Roman"/>
        </w:rPr>
        <w:t>) ("the CCA")—and, although that legislation was amended after 20 June 1990, the relevant amendments were premised upon the continued application of the stronger form of the presumption.</w:t>
      </w:r>
    </w:p>
    <w:p w14:paraId="0C3C2DF5"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The circumstances for the application of the presumption in this case concern the duties imposed upon the first to third respondents (collectively "NSW Ports") by ss 45 and 45DA of the</w:t>
      </w:r>
      <w:r w:rsidRPr="00B30553">
        <w:rPr>
          <w:rFonts w:ascii="Times New Roman" w:hAnsi="Times New Roman"/>
          <w:i/>
          <w:iCs/>
        </w:rPr>
        <w:t xml:space="preserve"> </w:t>
      </w:r>
      <w:r w:rsidRPr="00B30553">
        <w:rPr>
          <w:rFonts w:ascii="Times New Roman" w:hAnsi="Times New Roman"/>
        </w:rPr>
        <w:t>CCA. Duties provided for in those sections were said to have been contravened by NSW Ports relevantly by provisions in deeds called Port Commitment Deeds ("PCDs") with the fourth respondent, the State of New South Wales ("the State"), concerning the privatisation of Port Botany, Port Kembla and the Port of Newcastle. Those provisions</w:t>
      </w:r>
      <w:r w:rsidRPr="00B30553" w:rsidDel="00B622C2">
        <w:rPr>
          <w:rFonts w:ascii="Times New Roman" w:hAnsi="Times New Roman"/>
        </w:rPr>
        <w:t xml:space="preserve"> </w:t>
      </w:r>
      <w:r w:rsidRPr="00B30553">
        <w:rPr>
          <w:rFonts w:ascii="Times New Roman" w:hAnsi="Times New Roman"/>
        </w:rPr>
        <w:t xml:space="preserve">required the State to pay compensation to the operators of Port Botany and Port Kembla in certain </w:t>
      </w:r>
      <w:r w:rsidRPr="00B30553">
        <w:rPr>
          <w:rFonts w:ascii="Times New Roman" w:hAnsi="Times New Roman"/>
        </w:rPr>
        <w:lastRenderedPageBreak/>
        <w:t>circumstances including where those two privatised ports were not at full capacity for import and export of containers and container volumes beyond a threshold had been diverted from those two ports to the Port of Newcastle.</w:t>
      </w:r>
    </w:p>
    <w:p w14:paraId="7BBBCA5F"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Since the State was not acting </w:t>
      </w:r>
      <w:proofErr w:type="gramStart"/>
      <w:r w:rsidRPr="00B30553">
        <w:rPr>
          <w:rFonts w:ascii="Times New Roman" w:hAnsi="Times New Roman"/>
        </w:rPr>
        <w:t>in the course of</w:t>
      </w:r>
      <w:proofErr w:type="gramEnd"/>
      <w:r w:rsidRPr="00B30553">
        <w:rPr>
          <w:rFonts w:ascii="Times New Roman" w:hAnsi="Times New Roman"/>
        </w:rPr>
        <w:t xml:space="preserve"> carrying on a business within s 2B of the CCA, the presumption has the effect that the State was not subject to the duties in ss 45 and 45DA of the</w:t>
      </w:r>
      <w:r w:rsidRPr="00B30553">
        <w:rPr>
          <w:rFonts w:ascii="Times New Roman" w:hAnsi="Times New Roman"/>
          <w:i/>
          <w:iCs/>
        </w:rPr>
        <w:t xml:space="preserve"> </w:t>
      </w:r>
      <w:r w:rsidRPr="00B30553">
        <w:rPr>
          <w:rFonts w:ascii="Times New Roman" w:hAnsi="Times New Roman"/>
        </w:rPr>
        <w:t>CCA. But ss 45 and 45DA apply to the corporations collectively described as NSW Ports. Those corporations are not the State,</w:t>
      </w:r>
      <w:r w:rsidRPr="00B30553">
        <w:rPr>
          <w:rStyle w:val="FootnoteReference"/>
          <w:rFonts w:ascii="Times New Roman" w:hAnsi="Times New Roman"/>
          <w:sz w:val="24"/>
        </w:rPr>
        <w:footnoteReference w:id="147"/>
      </w:r>
      <w:r w:rsidRPr="00B30553">
        <w:rPr>
          <w:rFonts w:ascii="Times New Roman" w:hAnsi="Times New Roman"/>
        </w:rPr>
        <w:t xml:space="preserve"> and the application of ss 45 and 45DA to NSW Ports does not adversely affect any of the legal relations of the State. The State remains at liberty to enter and act upon any consensual dealing (a contractual agreement, or an arrangement, or an understanding</w:t>
      </w:r>
      <w:r w:rsidRPr="00B30553">
        <w:rPr>
          <w:rStyle w:val="FootnoteReference"/>
          <w:rFonts w:ascii="Times New Roman" w:hAnsi="Times New Roman"/>
          <w:sz w:val="24"/>
        </w:rPr>
        <w:footnoteReference w:id="148"/>
      </w:r>
      <w:r w:rsidRPr="00B30553">
        <w:rPr>
          <w:rFonts w:ascii="Times New Roman" w:hAnsi="Times New Roman"/>
        </w:rPr>
        <w:t>) which contains provisions contrary to ss 45 and 45DA, even if NSW Ports are not at such liberty, and even if the consequences of entry into such an agreement with NSW Ports is that those provisions would be invalid and either they would be severed or the agreement would be invalid. The contrary conclusion of the Full Court of the Federal Court of Australia was wrong. The appeal must be allowed.</w:t>
      </w:r>
    </w:p>
    <w:p w14:paraId="6E4F8B74" w14:textId="77777777" w:rsidR="0023595F" w:rsidRPr="00B30553" w:rsidRDefault="0023595F" w:rsidP="00B30553">
      <w:pPr>
        <w:pStyle w:val="HeadingL1"/>
        <w:spacing w:after="260" w:line="280" w:lineRule="exact"/>
        <w:ind w:right="0"/>
        <w:jc w:val="both"/>
        <w:rPr>
          <w:rFonts w:ascii="Times New Roman" w:hAnsi="Times New Roman"/>
        </w:rPr>
      </w:pPr>
      <w:r w:rsidRPr="00B30553">
        <w:rPr>
          <w:rFonts w:ascii="Times New Roman" w:hAnsi="Times New Roman"/>
        </w:rPr>
        <w:t>Background and anterior issues</w:t>
      </w:r>
    </w:p>
    <w:p w14:paraId="7CA5E589"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The background and legislative provisions are set out in detail in the reasons of Gordon, Gleeson and Beech-Jones JJ. NSW Ports entered PCDs with the State, and allegedly reached an understanding with the State, which were alleged to have been in contravention of the CCA. Two proceedings were commenced in the Federal Court of Australia against NSW Ports. The first was by the Australian Competition and Consumer Commission ("the ACCC"). The second was by Mayfield Development Corporation Pty Ltd ("Mayfield"). Mayfield's proceeding was stayed pending determination of the ACCC proceeding. Mayfield was granted leave to intervene in an appeal in the ACCC proceeding.</w:t>
      </w:r>
    </w:p>
    <w:p w14:paraId="0363B77A"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In the ACCC proceeding, NSW Ports succeeded in relation to "derivative Crown immunity" at first instance (Jagot J) and on appeal (Allsop CJ, Yates J agreeing; Beach J dissenting). In the subsequent Mayfield proceeding, a separate question was posed which asked whether "derivative Crown immunity" of NSW Ports was a complete answer to Mayfield's claims. The primary judge (McElwaine</w:t>
      </w:r>
      <w:r>
        <w:rPr>
          <w:rFonts w:ascii="Times New Roman" w:hAnsi="Times New Roman"/>
        </w:rPr>
        <w:t> </w:t>
      </w:r>
      <w:r w:rsidRPr="00B30553">
        <w:rPr>
          <w:rFonts w:ascii="Times New Roman" w:hAnsi="Times New Roman"/>
        </w:rPr>
        <w:t xml:space="preserve">J) followed the majority of the Full Court of the Federal Court in the ACCC proceeding, as he was bound to do. On appeal, a differently constituted Full Court (Lee, Colvin and Stewart JJ) held that the majority in the appeal in the ACCC proceeding was not plainly wrong or, in more appropriate language, that there was </w:t>
      </w:r>
      <w:r w:rsidRPr="00B30553">
        <w:rPr>
          <w:rFonts w:ascii="Times New Roman" w:hAnsi="Times New Roman"/>
        </w:rPr>
        <w:lastRenderedPageBreak/>
        <w:t>no compelling reason to depart from the decision of the majority in the ACCC appeal.</w:t>
      </w:r>
      <w:r w:rsidRPr="00B30553">
        <w:rPr>
          <w:rStyle w:val="FootnoteReference"/>
          <w:rFonts w:ascii="Times New Roman" w:hAnsi="Times New Roman"/>
          <w:sz w:val="24"/>
        </w:rPr>
        <w:footnoteReference w:id="149"/>
      </w:r>
      <w:r w:rsidRPr="00B30553">
        <w:rPr>
          <w:rFonts w:ascii="Times New Roman" w:hAnsi="Times New Roman"/>
        </w:rPr>
        <w:t xml:space="preserve"> This appeal is from that decision. And in this appeal, the ACCC was granted leave to intervene in this Court.</w:t>
      </w:r>
    </w:p>
    <w:p w14:paraId="23827CCB"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The basis for the findings of "derivative Crown immunity" was essentially that otherwise the application of the CCA to NSW Ports would have the effect of removing the capacity of the State to enter those transactions under the </w:t>
      </w:r>
      <w:r w:rsidRPr="00B30553">
        <w:rPr>
          <w:rFonts w:ascii="Times New Roman" w:hAnsi="Times New Roman"/>
          <w:i/>
          <w:iCs/>
        </w:rPr>
        <w:t>Ports Assets (Authorised Transactions) Act 2012</w:t>
      </w:r>
      <w:r w:rsidRPr="00B30553">
        <w:rPr>
          <w:rFonts w:ascii="Times New Roman" w:hAnsi="Times New Roman"/>
        </w:rPr>
        <w:t xml:space="preserve"> (NSW) ("the PAAT Act").</w:t>
      </w:r>
      <w:r w:rsidRPr="00B30553">
        <w:rPr>
          <w:rStyle w:val="FootnoteReference"/>
          <w:rFonts w:ascii="Times New Roman" w:hAnsi="Times New Roman"/>
          <w:sz w:val="24"/>
        </w:rPr>
        <w:footnoteReference w:id="150"/>
      </w:r>
      <w:r w:rsidRPr="00B30553">
        <w:rPr>
          <w:rFonts w:ascii="Times New Roman" w:hAnsi="Times New Roman"/>
        </w:rPr>
        <w:t xml:space="preserve"> Subject to various limitations, the PAAT Act authorises "the transfer of ports assets to the private sector or to any public sector agency".</w:t>
      </w:r>
      <w:r w:rsidRPr="00B30553">
        <w:rPr>
          <w:rStyle w:val="FootnoteReference"/>
          <w:rFonts w:ascii="Times New Roman" w:hAnsi="Times New Roman"/>
          <w:sz w:val="24"/>
        </w:rPr>
        <w:footnoteReference w:id="151"/>
      </w:r>
      <w:r w:rsidRPr="00B30553">
        <w:rPr>
          <w:rFonts w:ascii="Times New Roman" w:hAnsi="Times New Roman"/>
        </w:rPr>
        <w:t xml:space="preserve"> Section 6 of the PAAT Act provides that the Treasurer of the State "has and may exercise all such functions as are necessary or convenient for the purposes of an authorised transaction". Section 7(1) of the PAAT Act provides that "[a]n authorised transaction is to be effected as directed by the Treasurer and can be effected in any manner considered appropriate by the Treasurer", and s 7(2) provides that "[t]here are no limitations as to the nature of the transactions or arrangements that can be entered into or used for the purposes of an authorised transaction".</w:t>
      </w:r>
    </w:p>
    <w:p w14:paraId="5FFA376F"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 xml:space="preserve"> </w:t>
      </w:r>
      <w:r w:rsidRPr="00B30553">
        <w:rPr>
          <w:rFonts w:ascii="Times New Roman" w:hAnsi="Times New Roman"/>
        </w:rPr>
        <w:tab/>
        <w:t xml:space="preserve">Separately from the issue of "derivative Crown immunity", in notices of contention filed by NSW Ports and the State in this Court, anterior contentions were raised concerning whether the appellant, Mayfield, is precluded from raising this central issue or bringing this proceeding. For the reasons given by Gordon, Gleeson and Beech-Jones JJ, the anterior contentions must be dismissed. Mayfield is not precluded from bringing this proceeding by rules of issue estoppel or abuse of process, and the deed of settlement and release between Mayfield, the State, and others provided no complete defence or bar to the Mayfield proceeding. Although the anterior issues were expressed in terms that appeared to include </w:t>
      </w:r>
      <w:r w:rsidRPr="00B30553">
        <w:rPr>
          <w:rFonts w:ascii="Times New Roman" w:hAnsi="Times New Roman"/>
          <w:i/>
          <w:iCs/>
        </w:rPr>
        <w:t xml:space="preserve">res judicata </w:t>
      </w:r>
      <w:r w:rsidRPr="00B30553">
        <w:rPr>
          <w:rFonts w:ascii="Times New Roman" w:hAnsi="Times New Roman"/>
        </w:rPr>
        <w:t>and cause of action (claim) estoppel, those doctrines were not relied upon before the primary judge by NSW Ports and the State in a separate question raised in the Mayfield proceeding.</w:t>
      </w:r>
      <w:r w:rsidRPr="00B30553">
        <w:rPr>
          <w:rStyle w:val="FootnoteReference"/>
          <w:rFonts w:ascii="Times New Roman" w:hAnsi="Times New Roman"/>
          <w:sz w:val="24"/>
        </w:rPr>
        <w:footnoteReference w:id="152"/>
      </w:r>
      <w:r w:rsidRPr="00B30553">
        <w:rPr>
          <w:rFonts w:ascii="Times New Roman" w:hAnsi="Times New Roman"/>
        </w:rPr>
        <w:t xml:space="preserve"> Even putting aside other difficulties,</w:t>
      </w:r>
      <w:r w:rsidRPr="00B30553">
        <w:rPr>
          <w:rStyle w:val="FootnoteReference"/>
          <w:rFonts w:ascii="Times New Roman" w:hAnsi="Times New Roman"/>
          <w:sz w:val="24"/>
        </w:rPr>
        <w:footnoteReference w:id="153"/>
      </w:r>
      <w:r w:rsidRPr="00B30553">
        <w:rPr>
          <w:rFonts w:ascii="Times New Roman" w:hAnsi="Times New Roman"/>
        </w:rPr>
        <w:t xml:space="preserve"> in circumstances </w:t>
      </w:r>
      <w:r w:rsidRPr="00B30553">
        <w:rPr>
          <w:rFonts w:ascii="Times New Roman" w:hAnsi="Times New Roman"/>
        </w:rPr>
        <w:lastRenderedPageBreak/>
        <w:t>where Mayfield was only an intervener in the appeal in the ACCC proceeding,</w:t>
      </w:r>
      <w:r w:rsidRPr="00B30553">
        <w:rPr>
          <w:rStyle w:val="FootnoteReference"/>
          <w:rFonts w:ascii="Times New Roman" w:hAnsi="Times New Roman"/>
          <w:sz w:val="24"/>
        </w:rPr>
        <w:footnoteReference w:id="154"/>
      </w:r>
      <w:r w:rsidRPr="00B30553">
        <w:rPr>
          <w:rFonts w:ascii="Times New Roman" w:hAnsi="Times New Roman"/>
        </w:rPr>
        <w:t xml:space="preserve"> there could be no merger of Mayfield's rights into the judgment in the ACCC proceeding or any claim estoppel against Mayfield.</w:t>
      </w:r>
      <w:r w:rsidRPr="00B30553">
        <w:rPr>
          <w:rStyle w:val="FootnoteReference"/>
          <w:rFonts w:ascii="Times New Roman" w:hAnsi="Times New Roman"/>
          <w:sz w:val="24"/>
        </w:rPr>
        <w:footnoteReference w:id="155"/>
      </w:r>
    </w:p>
    <w:p w14:paraId="1D2D864D" w14:textId="77777777" w:rsidR="0023595F" w:rsidRPr="00B30553" w:rsidRDefault="0023595F" w:rsidP="00B30553">
      <w:pPr>
        <w:pStyle w:val="HeadingL1"/>
        <w:spacing w:after="260" w:line="280" w:lineRule="exact"/>
        <w:ind w:right="0"/>
        <w:jc w:val="both"/>
        <w:rPr>
          <w:rFonts w:ascii="Times New Roman" w:hAnsi="Times New Roman"/>
        </w:rPr>
      </w:pPr>
      <w:r w:rsidRPr="00B30553">
        <w:rPr>
          <w:rFonts w:ascii="Times New Roman" w:hAnsi="Times New Roman"/>
        </w:rPr>
        <w:t>"Derivative Crown immunity"</w:t>
      </w:r>
    </w:p>
    <w:p w14:paraId="7685FDCE" w14:textId="77777777" w:rsidR="0023595F" w:rsidRPr="00B30553" w:rsidRDefault="0023595F" w:rsidP="00B30553">
      <w:pPr>
        <w:pStyle w:val="HeadingL2"/>
        <w:spacing w:after="260" w:line="280" w:lineRule="exact"/>
        <w:ind w:right="0"/>
        <w:jc w:val="both"/>
        <w:rPr>
          <w:rFonts w:ascii="Times New Roman" w:hAnsi="Times New Roman"/>
        </w:rPr>
      </w:pPr>
      <w:r w:rsidRPr="00B30553">
        <w:rPr>
          <w:rFonts w:ascii="Times New Roman" w:hAnsi="Times New Roman"/>
        </w:rPr>
        <w:t>Misnomer</w:t>
      </w:r>
    </w:p>
    <w:p w14:paraId="0D66ACC5"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The subject of the "immunity" in this appeal is commonly described </w:t>
      </w:r>
      <w:proofErr w:type="gramStart"/>
      <w:r w:rsidRPr="00B30553">
        <w:rPr>
          <w:rFonts w:ascii="Times New Roman" w:hAnsi="Times New Roman"/>
        </w:rPr>
        <w:t>by the use of</w:t>
      </w:r>
      <w:proofErr w:type="gramEnd"/>
      <w:r w:rsidRPr="00B30553">
        <w:rPr>
          <w:rFonts w:ascii="Times New Roman" w:hAnsi="Times New Roman"/>
        </w:rPr>
        <w:t xml:space="preserve"> the metaphor of a Crown. That description, although often harmless, is imprecise and a "defective conception".</w:t>
      </w:r>
      <w:r w:rsidRPr="00B30553">
        <w:rPr>
          <w:rStyle w:val="FootnoteReference"/>
          <w:rFonts w:ascii="Times New Roman" w:hAnsi="Times New Roman"/>
          <w:sz w:val="24"/>
        </w:rPr>
        <w:footnoteReference w:id="156"/>
      </w:r>
      <w:r w:rsidRPr="00B30553">
        <w:rPr>
          <w:rFonts w:ascii="Times New Roman" w:hAnsi="Times New Roman"/>
        </w:rPr>
        <w:t xml:space="preserve"> The metaphor is sometimes used to mean only the Executive Government of a body politic such as a State or Territory of Australia or the Commonwealth of Australia. In other cases, it is used to describe "those rights, privileges or immunities identified with the royal prerogative".</w:t>
      </w:r>
      <w:r w:rsidRPr="00B30553">
        <w:rPr>
          <w:rStyle w:val="FootnoteReference"/>
          <w:rFonts w:ascii="Times New Roman" w:hAnsi="Times New Roman"/>
          <w:sz w:val="24"/>
        </w:rPr>
        <w:footnoteReference w:id="157"/>
      </w:r>
      <w:r w:rsidRPr="00B30553">
        <w:rPr>
          <w:rFonts w:ascii="Times New Roman" w:hAnsi="Times New Roman"/>
        </w:rPr>
        <w:t xml:space="preserve"> In other cases the metaphor is used to mean the body politic of a State or Territory or the Commonwealth in its capacity as the holder of rights. In the case of "Crown immunity" and "derivative Crown immunity", the metaphor extends to all three usages.</w:t>
      </w:r>
    </w:p>
    <w:p w14:paraId="36FEA874"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As to the "immunity" of the Crown, a person who has an immunity has a freedom from another's power to alter the person's legal rights.</w:t>
      </w:r>
      <w:r w:rsidRPr="00B30553">
        <w:rPr>
          <w:rStyle w:val="FootnoteReference"/>
          <w:rFonts w:ascii="Times New Roman" w:hAnsi="Times New Roman"/>
          <w:sz w:val="24"/>
        </w:rPr>
        <w:footnoteReference w:id="158"/>
      </w:r>
      <w:r w:rsidRPr="00B30553">
        <w:rPr>
          <w:rFonts w:ascii="Times New Roman" w:hAnsi="Times New Roman"/>
        </w:rPr>
        <w:t xml:space="preserve"> By contrast, a person who has a privilege has a special freedom from another's right in particular circumstances.</w:t>
      </w:r>
      <w:r w:rsidRPr="00B30553">
        <w:rPr>
          <w:rStyle w:val="FootnoteReference"/>
          <w:rFonts w:ascii="Times New Roman" w:hAnsi="Times New Roman"/>
          <w:sz w:val="24"/>
        </w:rPr>
        <w:footnoteReference w:id="159"/>
      </w:r>
      <w:r w:rsidRPr="00B30553">
        <w:rPr>
          <w:rFonts w:ascii="Times New Roman" w:hAnsi="Times New Roman"/>
        </w:rPr>
        <w:t xml:space="preserve"> A person with a privilege to do something is, for particular reasons, not subject to the duty owed by others not to do that thing. Historically, some references to a "Crown immunity" might have been better understood as references to a privilege of members of the Executive of a body politic. In other words, the reference to a "Crown immunity" has been used to mean that the Executive of a body politic had a freedom from a statutory duty not to act (or to </w:t>
      </w:r>
      <w:r w:rsidRPr="00B30553">
        <w:rPr>
          <w:rFonts w:ascii="Times New Roman" w:hAnsi="Times New Roman"/>
        </w:rPr>
        <w:lastRenderedPageBreak/>
        <w:t>act) in a particular way.</w:t>
      </w:r>
      <w:r w:rsidRPr="00B30553">
        <w:rPr>
          <w:rStyle w:val="FootnoteReference"/>
          <w:rFonts w:ascii="Times New Roman" w:hAnsi="Times New Roman"/>
          <w:sz w:val="24"/>
        </w:rPr>
        <w:footnoteReference w:id="160"/>
      </w:r>
      <w:r w:rsidRPr="00B30553">
        <w:rPr>
          <w:rFonts w:ascii="Times New Roman" w:hAnsi="Times New Roman"/>
        </w:rPr>
        <w:t xml:space="preserve"> But some of the historical, and contrived, reasons for the privilege, such as the asserted difficulty of the "Crown" imposing a fine upon itself for some unlawful action,</w:t>
      </w:r>
      <w:r w:rsidRPr="00B30553">
        <w:rPr>
          <w:rStyle w:val="FootnoteReference"/>
          <w:rFonts w:ascii="Times New Roman" w:hAnsi="Times New Roman"/>
          <w:sz w:val="24"/>
        </w:rPr>
        <w:footnoteReference w:id="161"/>
      </w:r>
      <w:r w:rsidRPr="00B30553">
        <w:rPr>
          <w:rFonts w:ascii="Times New Roman" w:hAnsi="Times New Roman"/>
        </w:rPr>
        <w:t xml:space="preserve"> may have contributed to the view that members of the Executive of a body politic were subject to a duty and merely immune from liability for breach.</w:t>
      </w:r>
    </w:p>
    <w:p w14:paraId="62914E65"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The "derivative Crown immunity" of a person is not "derived" from the "immunity or privilege of the Crown":</w:t>
      </w:r>
      <w:r w:rsidRPr="00B30553">
        <w:rPr>
          <w:rStyle w:val="FootnoteReference"/>
          <w:rFonts w:ascii="Times New Roman" w:hAnsi="Times New Roman"/>
          <w:sz w:val="24"/>
        </w:rPr>
        <w:footnoteReference w:id="162"/>
      </w:r>
      <w:r w:rsidRPr="00B30553">
        <w:rPr>
          <w:rFonts w:ascii="Times New Roman" w:hAnsi="Times New Roman"/>
        </w:rPr>
        <w:t xml:space="preserve"> "the immunity of the Crown can never inure for the benefit of a subject".</w:t>
      </w:r>
      <w:r w:rsidRPr="00B30553">
        <w:rPr>
          <w:rStyle w:val="FootnoteReference"/>
          <w:rFonts w:ascii="Times New Roman" w:hAnsi="Times New Roman"/>
          <w:sz w:val="24"/>
        </w:rPr>
        <w:footnoteReference w:id="163"/>
      </w:r>
      <w:r w:rsidRPr="00B30553">
        <w:rPr>
          <w:rFonts w:ascii="Times New Roman" w:hAnsi="Times New Roman"/>
        </w:rPr>
        <w:t xml:space="preserve"> The mistake arises from the colloquial description of a person being "immune" whenever the person's action is justified or the person is not subject to a duty in particular circumstances.</w:t>
      </w:r>
      <w:r w:rsidRPr="00B30553">
        <w:rPr>
          <w:rStyle w:val="FootnoteReference"/>
          <w:rFonts w:ascii="Times New Roman" w:hAnsi="Times New Roman"/>
          <w:sz w:val="24"/>
        </w:rPr>
        <w:footnoteReference w:id="164"/>
      </w:r>
      <w:r w:rsidRPr="00B30553">
        <w:rPr>
          <w:rFonts w:ascii="Times New Roman" w:hAnsi="Times New Roman"/>
        </w:rPr>
        <w:t xml:space="preserve"> Stripped of the nomenclature of "derivative" and "immunity", the issue is simply one of a presumption that legislation does not apply where its operation would impair the legal relations of a body politic. As the State rightly submitted, the "canonical description" of the "derivative Crown immunity" is that of Kitto J in </w:t>
      </w:r>
      <w:r w:rsidRPr="00B30553">
        <w:rPr>
          <w:rFonts w:ascii="Times New Roman" w:hAnsi="Times New Roman"/>
          <w:i/>
          <w:iCs/>
        </w:rPr>
        <w:t>Wynyard Investments Pty Ltd v Commissioner for Railways (NSW)</w:t>
      </w:r>
      <w:r w:rsidRPr="00B30553">
        <w:rPr>
          <w:rFonts w:ascii="Times New Roman" w:hAnsi="Times New Roman"/>
        </w:rPr>
        <w:t>,</w:t>
      </w:r>
      <w:r w:rsidRPr="00B30553">
        <w:rPr>
          <w:rStyle w:val="FootnoteReference"/>
          <w:rFonts w:ascii="Times New Roman" w:hAnsi="Times New Roman"/>
          <w:sz w:val="24"/>
        </w:rPr>
        <w:footnoteReference w:id="165"/>
      </w:r>
      <w:r w:rsidRPr="00B30553">
        <w:rPr>
          <w:rFonts w:ascii="Times New Roman" w:hAnsi="Times New Roman"/>
        </w:rPr>
        <w:t xml:space="preserve"> who referred to "cases in which a statutory provision not binding on the Crown must be denied an incidence upon a subject of the Crown because that incidence would be in legal effect upon the Crown".</w:t>
      </w:r>
    </w:p>
    <w:p w14:paraId="7B7953E0" w14:textId="77777777" w:rsidR="0023595F" w:rsidRPr="00B30553" w:rsidRDefault="0023595F" w:rsidP="00B30553">
      <w:pPr>
        <w:pStyle w:val="HeadingL2"/>
        <w:spacing w:after="260" w:line="280" w:lineRule="exact"/>
        <w:ind w:right="0"/>
        <w:jc w:val="both"/>
        <w:rPr>
          <w:rFonts w:ascii="Times New Roman" w:hAnsi="Times New Roman"/>
        </w:rPr>
      </w:pPr>
      <w:r w:rsidRPr="00B30553">
        <w:rPr>
          <w:rFonts w:ascii="Times New Roman" w:hAnsi="Times New Roman"/>
        </w:rPr>
        <w:t>The true nature of (misnamed) "derivative Crown immunity"</w:t>
      </w:r>
    </w:p>
    <w:p w14:paraId="7893BABF"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In </w:t>
      </w:r>
      <w:r w:rsidRPr="00B30553">
        <w:rPr>
          <w:rFonts w:ascii="Times New Roman" w:hAnsi="Times New Roman"/>
          <w:i/>
          <w:iCs/>
        </w:rPr>
        <w:t>Wynyard</w:t>
      </w:r>
      <w:r w:rsidRPr="00B30553">
        <w:rPr>
          <w:rFonts w:ascii="Times New Roman" w:hAnsi="Times New Roman"/>
        </w:rPr>
        <w:t>,</w:t>
      </w:r>
      <w:r w:rsidRPr="00B30553">
        <w:rPr>
          <w:rStyle w:val="FootnoteReference"/>
          <w:rFonts w:ascii="Times New Roman" w:hAnsi="Times New Roman"/>
          <w:sz w:val="24"/>
        </w:rPr>
        <w:footnoteReference w:id="166"/>
      </w:r>
      <w:r w:rsidRPr="00B30553">
        <w:rPr>
          <w:rFonts w:ascii="Times New Roman" w:hAnsi="Times New Roman"/>
          <w:i/>
          <w:iCs/>
        </w:rPr>
        <w:t xml:space="preserve"> </w:t>
      </w:r>
      <w:r w:rsidRPr="00B30553">
        <w:rPr>
          <w:rFonts w:ascii="Times New Roman" w:hAnsi="Times New Roman"/>
        </w:rPr>
        <w:t xml:space="preserve">as endorsed in </w:t>
      </w:r>
      <w:r w:rsidRPr="00B30553">
        <w:rPr>
          <w:rFonts w:ascii="Times New Roman" w:hAnsi="Times New Roman"/>
          <w:i/>
          <w:iCs/>
        </w:rPr>
        <w:t>Australian Competition and Consumer Commission v Baxter Healthcare Pty Ltd</w:t>
      </w:r>
      <w:r w:rsidRPr="00B30553">
        <w:rPr>
          <w:rFonts w:ascii="Times New Roman" w:hAnsi="Times New Roman"/>
        </w:rPr>
        <w:t>,</w:t>
      </w:r>
      <w:r w:rsidRPr="00B30553">
        <w:rPr>
          <w:rStyle w:val="FootnoteReference"/>
          <w:rFonts w:ascii="Times New Roman" w:hAnsi="Times New Roman"/>
          <w:sz w:val="24"/>
        </w:rPr>
        <w:footnoteReference w:id="167"/>
      </w:r>
      <w:r w:rsidRPr="00B30553">
        <w:rPr>
          <w:rFonts w:ascii="Times New Roman" w:hAnsi="Times New Roman"/>
        </w:rPr>
        <w:t xml:space="preserve"> a taxonomy was provided of the </w:t>
      </w:r>
      <w:r w:rsidRPr="00B30553">
        <w:rPr>
          <w:rFonts w:ascii="Times New Roman" w:hAnsi="Times New Roman"/>
        </w:rPr>
        <w:lastRenderedPageBreak/>
        <w:t>classes of case of the "derivative Crown immunity" in which a law might be denied an application upon a private person to ensure that particular rights, privileges, powers, or immunities of a body politic are not affected by that law. The main category of these cases concerned a strong presumption that "it is the duty of the Courts so to construe the Acts that the Crown and its property are in no way prejudicially affected by them".</w:t>
      </w:r>
      <w:r w:rsidRPr="00B30553">
        <w:rPr>
          <w:rStyle w:val="FootnoteReference"/>
          <w:rFonts w:ascii="Times New Roman" w:hAnsi="Times New Roman"/>
          <w:sz w:val="24"/>
        </w:rPr>
        <w:footnoteReference w:id="168"/>
      </w:r>
      <w:r w:rsidRPr="00B30553">
        <w:rPr>
          <w:rFonts w:ascii="Times New Roman" w:hAnsi="Times New Roman"/>
        </w:rPr>
        <w:t xml:space="preserve"> This strong presumption was described in </w:t>
      </w:r>
      <w:r w:rsidRPr="00B30553">
        <w:rPr>
          <w:rFonts w:ascii="Times New Roman" w:hAnsi="Times New Roman"/>
          <w:i/>
          <w:iCs/>
        </w:rPr>
        <w:t xml:space="preserve">Wynyard </w:t>
      </w:r>
      <w:r w:rsidRPr="00B30553">
        <w:rPr>
          <w:rFonts w:ascii="Times New Roman" w:hAnsi="Times New Roman"/>
        </w:rPr>
        <w:t xml:space="preserve">and </w:t>
      </w:r>
      <w:r w:rsidRPr="00B30553">
        <w:rPr>
          <w:rFonts w:ascii="Times New Roman" w:hAnsi="Times New Roman"/>
          <w:i/>
          <w:iCs/>
        </w:rPr>
        <w:t xml:space="preserve">Baxter </w:t>
      </w:r>
      <w:r w:rsidRPr="00B30553">
        <w:rPr>
          <w:rFonts w:ascii="Times New Roman" w:hAnsi="Times New Roman"/>
        </w:rPr>
        <w:t>as concerned with statutory provisions that would "adversely affect some proprietary right or interest of the Crown, legal[,] equitable or statutory" if applied.</w:t>
      </w:r>
    </w:p>
    <w:p w14:paraId="567033B0"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This presumption is a narrower but stronger form of the general presumption that legislation does not adversely affect rights and freedoms,</w:t>
      </w:r>
      <w:r w:rsidRPr="00B30553">
        <w:rPr>
          <w:rStyle w:val="FootnoteReference"/>
          <w:rFonts w:ascii="Times New Roman" w:hAnsi="Times New Roman"/>
          <w:sz w:val="24"/>
        </w:rPr>
        <w:footnoteReference w:id="169"/>
      </w:r>
      <w:r w:rsidRPr="00B30553">
        <w:rPr>
          <w:rFonts w:ascii="Times New Roman" w:hAnsi="Times New Roman"/>
        </w:rPr>
        <w:t xml:space="preserve"> which is a presumption that applies generally with variable force depending upon the nature of the rights and freedoms and the extent to which they are affected.</w:t>
      </w:r>
      <w:r w:rsidRPr="00B30553">
        <w:rPr>
          <w:rStyle w:val="FootnoteReference"/>
          <w:rFonts w:ascii="Times New Roman" w:hAnsi="Times New Roman"/>
          <w:sz w:val="24"/>
        </w:rPr>
        <w:footnoteReference w:id="170"/>
      </w:r>
      <w:r w:rsidRPr="00B30553">
        <w:rPr>
          <w:rFonts w:ascii="Times New Roman" w:hAnsi="Times New Roman"/>
        </w:rPr>
        <w:t xml:space="preserve"> It is a narrower form of that presumption because it applies only to the proprietary rights and interests of a body politic. It is a stronger form of the presumption because it applies even where legislation is plainly intended to have an adverse effect upon proprietary rights or interests generally.</w:t>
      </w:r>
    </w:p>
    <w:p w14:paraId="297BBBFC"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Dicey's principle of equality was concerned with the equal treatment of all persons under the law without "exemption of officials or others from the duty of obedience to the law".</w:t>
      </w:r>
      <w:r w:rsidRPr="00B30553">
        <w:rPr>
          <w:rStyle w:val="FootnoteReference"/>
          <w:rFonts w:ascii="Times New Roman" w:hAnsi="Times New Roman"/>
          <w:sz w:val="24"/>
        </w:rPr>
        <w:footnoteReference w:id="171"/>
      </w:r>
      <w:r w:rsidRPr="00B30553">
        <w:rPr>
          <w:rFonts w:ascii="Times New Roman" w:hAnsi="Times New Roman"/>
        </w:rPr>
        <w:t xml:space="preserve"> That principle is particularly evocative when dealing with natural persons. But it is a principle that should apply also to artificial legal persons, including bodies corporate and bodies politic. If there is no substantial and relevant difference between conduct that is performed by a natural person, body corporate, or body politic then all should be treated by the law in the same way. Statutory provisions reflect this principle of equality as a principle of interpretation of legislation and of the development of the common law.</w:t>
      </w:r>
      <w:r w:rsidRPr="00B30553">
        <w:rPr>
          <w:rStyle w:val="FootnoteReference"/>
          <w:rFonts w:ascii="Times New Roman" w:hAnsi="Times New Roman"/>
          <w:sz w:val="24"/>
        </w:rPr>
        <w:footnoteReference w:id="172"/>
      </w:r>
      <w:r w:rsidRPr="00B30553">
        <w:rPr>
          <w:rFonts w:ascii="Times New Roman" w:hAnsi="Times New Roman"/>
        </w:rPr>
        <w:t xml:space="preserve"> It is a principle that seeks to provide for equality, as far as possible,</w:t>
      </w:r>
      <w:r w:rsidRPr="00B30553">
        <w:rPr>
          <w:rStyle w:val="FootnoteReference"/>
          <w:rFonts w:ascii="Times New Roman" w:hAnsi="Times New Roman"/>
          <w:sz w:val="24"/>
        </w:rPr>
        <w:footnoteReference w:id="173"/>
      </w:r>
      <w:r w:rsidRPr="00B30553">
        <w:rPr>
          <w:rFonts w:ascii="Times New Roman" w:hAnsi="Times New Roman"/>
        </w:rPr>
        <w:t xml:space="preserve"> between </w:t>
      </w:r>
      <w:r w:rsidRPr="00B30553">
        <w:rPr>
          <w:rFonts w:ascii="Times New Roman" w:hAnsi="Times New Roman"/>
        </w:rPr>
        <w:lastRenderedPageBreak/>
        <w:t>Commonwealth and State bodies politic (among themselves), and between them and subjects, as between subject and subject.</w:t>
      </w:r>
      <w:r w:rsidRPr="00B30553">
        <w:rPr>
          <w:rStyle w:val="FootnoteReference"/>
          <w:rFonts w:ascii="Times New Roman" w:hAnsi="Times New Roman"/>
          <w:sz w:val="24"/>
        </w:rPr>
        <w:footnoteReference w:id="174"/>
      </w:r>
    </w:p>
    <w:p w14:paraId="0AE76C3F"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The presumptions of "Crown immunity" and "derivative Crown immunity" are anomalous reversals of the </w:t>
      </w:r>
      <w:proofErr w:type="spellStart"/>
      <w:r w:rsidRPr="00B30553">
        <w:rPr>
          <w:rFonts w:ascii="Times New Roman" w:hAnsi="Times New Roman"/>
        </w:rPr>
        <w:t>Diceyan</w:t>
      </w:r>
      <w:proofErr w:type="spellEnd"/>
      <w:r w:rsidRPr="00B30553">
        <w:rPr>
          <w:rFonts w:ascii="Times New Roman" w:hAnsi="Times New Roman"/>
        </w:rPr>
        <w:t xml:space="preserve"> precept of equality. They are presumptions that legislation will not impair the legal relations (rights, privileges, powers, and immunities) of a body politic or impose duties or liabilities on a body politic. In so far as those presumptions </w:t>
      </w:r>
      <w:r>
        <w:rPr>
          <w:rFonts w:ascii="Times New Roman" w:hAnsi="Times New Roman"/>
        </w:rPr>
        <w:t xml:space="preserve">were </w:t>
      </w:r>
      <w:r w:rsidRPr="00B30553">
        <w:rPr>
          <w:rFonts w:ascii="Times New Roman" w:hAnsi="Times New Roman"/>
        </w:rPr>
        <w:t>based upon reasonable expectations as to the meaning of legislation,</w:t>
      </w:r>
      <w:r w:rsidRPr="00B30553">
        <w:rPr>
          <w:rStyle w:val="FootnoteReference"/>
          <w:rFonts w:ascii="Times New Roman" w:hAnsi="Times New Roman"/>
          <w:sz w:val="24"/>
        </w:rPr>
        <w:footnoteReference w:id="175"/>
      </w:r>
      <w:r w:rsidRPr="00B30553">
        <w:rPr>
          <w:rFonts w:ascii="Times New Roman" w:hAnsi="Times New Roman"/>
        </w:rPr>
        <w:t xml:space="preserve"> it is hard to see how they can be justified at all anymore. Although, as will be seen, their force has been generally weakened, and although they apply with different force in different circumstances,</w:t>
      </w:r>
      <w:r w:rsidRPr="00B30553">
        <w:rPr>
          <w:rStyle w:val="FootnoteReference"/>
          <w:rFonts w:ascii="Times New Roman" w:hAnsi="Times New Roman"/>
          <w:sz w:val="24"/>
        </w:rPr>
        <w:footnoteReference w:id="176"/>
      </w:r>
      <w:r w:rsidRPr="00B30553">
        <w:rPr>
          <w:rFonts w:ascii="Times New Roman" w:hAnsi="Times New Roman"/>
        </w:rPr>
        <w:t xml:space="preserve"> the time may come when it will be necessary to consider whether the remaining operation of those presumptions should be abolished, at least prospectively.</w:t>
      </w:r>
    </w:p>
    <w:p w14:paraId="6B305B1D" w14:textId="77777777" w:rsidR="0023595F" w:rsidRPr="00B30553" w:rsidRDefault="0023595F" w:rsidP="00B30553">
      <w:pPr>
        <w:pStyle w:val="HeadingL2"/>
        <w:spacing w:after="260" w:line="280" w:lineRule="exact"/>
        <w:ind w:right="0"/>
        <w:jc w:val="both"/>
        <w:rPr>
          <w:rFonts w:ascii="Times New Roman" w:hAnsi="Times New Roman"/>
        </w:rPr>
      </w:pPr>
      <w:r w:rsidRPr="00B30553">
        <w:rPr>
          <w:rFonts w:ascii="Times New Roman" w:hAnsi="Times New Roman"/>
          <w:i w:val="0"/>
          <w:iCs/>
        </w:rPr>
        <w:t>Bradken, NT Power</w:t>
      </w:r>
      <w:r w:rsidRPr="00B30553">
        <w:rPr>
          <w:rFonts w:ascii="Times New Roman" w:hAnsi="Times New Roman"/>
          <w:i w:val="0"/>
        </w:rPr>
        <w:t xml:space="preserve"> Generation</w:t>
      </w:r>
      <w:r w:rsidRPr="00B30553">
        <w:rPr>
          <w:rFonts w:ascii="Times New Roman" w:hAnsi="Times New Roman"/>
        </w:rPr>
        <w:t xml:space="preserve"> and</w:t>
      </w:r>
      <w:r w:rsidRPr="00B30553">
        <w:rPr>
          <w:rFonts w:ascii="Times New Roman" w:hAnsi="Times New Roman"/>
          <w:i w:val="0"/>
          <w:iCs/>
        </w:rPr>
        <w:t xml:space="preserve"> Baxter</w:t>
      </w:r>
      <w:r w:rsidRPr="00B30553">
        <w:rPr>
          <w:rFonts w:ascii="Times New Roman" w:hAnsi="Times New Roman"/>
        </w:rPr>
        <w:t xml:space="preserve"> and "derivative Crown immunity" in the CCA</w:t>
      </w:r>
    </w:p>
    <w:p w14:paraId="39246A83"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In </w:t>
      </w:r>
      <w:r w:rsidRPr="00B30553">
        <w:rPr>
          <w:rFonts w:ascii="Times New Roman" w:hAnsi="Times New Roman"/>
          <w:i/>
          <w:iCs/>
        </w:rPr>
        <w:t>Bradken Consolidated Ltd v Broken Hill Proprietary Co Ltd</w:t>
      </w:r>
      <w:r w:rsidRPr="00B30553">
        <w:rPr>
          <w:rStyle w:val="FootnoteReference"/>
          <w:rFonts w:ascii="Times New Roman" w:hAnsi="Times New Roman"/>
          <w:sz w:val="24"/>
        </w:rPr>
        <w:footnoteReference w:id="177"/>
      </w:r>
      <w:r w:rsidRPr="00B30553">
        <w:rPr>
          <w:rFonts w:ascii="Times New Roman" w:hAnsi="Times New Roman"/>
          <w:i/>
          <w:iCs/>
        </w:rPr>
        <w:t xml:space="preserve"> </w:t>
      </w:r>
      <w:r w:rsidRPr="00B30553">
        <w:rPr>
          <w:rFonts w:ascii="Times New Roman" w:hAnsi="Times New Roman"/>
        </w:rPr>
        <w:t>it was held that the predecessor legislation to the CCA</w:t>
      </w:r>
      <w:r w:rsidRPr="00B30553">
        <w:rPr>
          <w:rStyle w:val="FootnoteReference"/>
          <w:rFonts w:ascii="Times New Roman" w:hAnsi="Times New Roman"/>
          <w:sz w:val="24"/>
        </w:rPr>
        <w:footnoteReference w:id="178"/>
      </w:r>
      <w:r w:rsidRPr="00B30553">
        <w:rPr>
          <w:rFonts w:ascii="Times New Roman" w:hAnsi="Times New Roman"/>
        </w:rPr>
        <w:t xml:space="preserve"> did not bind a body politic of a State. That conclusion was reached in part by application of what was then understood to be a strong presumption that legislation would not bind any body politic unless there were express words or there was a necessary intention to do so.</w:t>
      </w:r>
      <w:r w:rsidRPr="00B30553">
        <w:rPr>
          <w:rStyle w:val="FootnoteReference"/>
          <w:rFonts w:ascii="Times New Roman" w:hAnsi="Times New Roman"/>
          <w:sz w:val="24"/>
        </w:rPr>
        <w:footnoteReference w:id="179"/>
      </w:r>
      <w:r w:rsidRPr="00B30553">
        <w:rPr>
          <w:rFonts w:ascii="Times New Roman" w:hAnsi="Times New Roman"/>
        </w:rPr>
        <w:t xml:space="preserve"> Nevertheless, Mason and Jacobs JJ referred to </w:t>
      </w:r>
      <w:proofErr w:type="spellStart"/>
      <w:r w:rsidRPr="00B30553">
        <w:rPr>
          <w:rFonts w:ascii="Times New Roman" w:hAnsi="Times New Roman"/>
        </w:rPr>
        <w:t>s</w:t>
      </w:r>
      <w:proofErr w:type="spellEnd"/>
      <w:r w:rsidRPr="00B30553">
        <w:rPr>
          <w:rFonts w:ascii="Times New Roman" w:hAnsi="Times New Roman"/>
        </w:rPr>
        <w:t xml:space="preserve"> 2A of that legislation, which broadly provided that the Act bound the body politic of the Commonwealth in so far as that body politic carried on a business. Mason and Jacobs JJ added:</w:t>
      </w:r>
      <w:r w:rsidRPr="00B30553">
        <w:rPr>
          <w:rStyle w:val="FootnoteReference"/>
          <w:rFonts w:ascii="Times New Roman" w:hAnsi="Times New Roman"/>
          <w:sz w:val="24"/>
        </w:rPr>
        <w:footnoteReference w:id="180"/>
      </w:r>
    </w:p>
    <w:p w14:paraId="4516EA8C" w14:textId="77777777" w:rsidR="0023595F" w:rsidRPr="00B30553" w:rsidRDefault="0023595F" w:rsidP="00B30553">
      <w:pPr>
        <w:pStyle w:val="LeftrightafterHC"/>
        <w:spacing w:before="0" w:after="260" w:line="280" w:lineRule="exact"/>
        <w:ind w:right="0"/>
        <w:jc w:val="both"/>
        <w:rPr>
          <w:rFonts w:ascii="Times New Roman" w:hAnsi="Times New Roman"/>
        </w:rPr>
      </w:pPr>
      <w:r w:rsidRPr="00B30553">
        <w:rPr>
          <w:rFonts w:ascii="Times New Roman" w:hAnsi="Times New Roman"/>
        </w:rPr>
        <w:lastRenderedPageBreak/>
        <w:t>"Even if there were no presumption of an intention not to bind the Crown in right of a State but likewise no presumption of an intention to bind that Crown, so that it was necessary to examine the particular nature of the provisions made by the statute, the expression of an intention to bind the Crown in right of the Commonwealth and the absence of a like expression in respect of the Crown in right of the States would as a matter of construction lead to the conclusion that the Crown in right of the States was not intended to be bound."</w:t>
      </w:r>
    </w:p>
    <w:p w14:paraId="1B30D73A"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After </w:t>
      </w:r>
      <w:r w:rsidRPr="00B30553">
        <w:rPr>
          <w:rFonts w:ascii="Times New Roman" w:hAnsi="Times New Roman"/>
          <w:i/>
          <w:iCs/>
        </w:rPr>
        <w:t>Bradken</w:t>
      </w:r>
      <w:r w:rsidRPr="00B30553">
        <w:rPr>
          <w:rFonts w:ascii="Times New Roman" w:hAnsi="Times New Roman"/>
        </w:rPr>
        <w:t xml:space="preserve">, a large step was taken by this Court in </w:t>
      </w:r>
      <w:proofErr w:type="spellStart"/>
      <w:r w:rsidRPr="00B30553">
        <w:rPr>
          <w:rFonts w:ascii="Times New Roman" w:hAnsi="Times New Roman"/>
          <w:i/>
          <w:iCs/>
        </w:rPr>
        <w:t>Bropho</w:t>
      </w:r>
      <w:proofErr w:type="spellEnd"/>
      <w:r w:rsidRPr="00B30553">
        <w:rPr>
          <w:rFonts w:ascii="Times New Roman" w:hAnsi="Times New Roman"/>
          <w:i/>
          <w:iCs/>
        </w:rPr>
        <w:t xml:space="preserve"> v Western Australia</w:t>
      </w:r>
      <w:r w:rsidRPr="00B30553">
        <w:rPr>
          <w:rFonts w:ascii="Times New Roman" w:hAnsi="Times New Roman"/>
        </w:rPr>
        <w:t>.</w:t>
      </w:r>
      <w:r w:rsidRPr="00B30553">
        <w:rPr>
          <w:rStyle w:val="FootnoteReference"/>
          <w:rFonts w:ascii="Times New Roman" w:hAnsi="Times New Roman"/>
          <w:sz w:val="24"/>
        </w:rPr>
        <w:footnoteReference w:id="181"/>
      </w:r>
      <w:r w:rsidRPr="00B30553">
        <w:rPr>
          <w:rFonts w:ascii="Times New Roman" w:hAnsi="Times New Roman"/>
        </w:rPr>
        <w:t xml:space="preserve"> The decision in </w:t>
      </w:r>
      <w:proofErr w:type="spellStart"/>
      <w:r w:rsidRPr="00B30553">
        <w:rPr>
          <w:rFonts w:ascii="Times New Roman" w:hAnsi="Times New Roman"/>
          <w:i/>
          <w:iCs/>
        </w:rPr>
        <w:t>Bropho</w:t>
      </w:r>
      <w:proofErr w:type="spellEnd"/>
      <w:r w:rsidRPr="00B30553">
        <w:rPr>
          <w:rFonts w:ascii="Times New Roman" w:hAnsi="Times New Roman"/>
        </w:rPr>
        <w:t xml:space="preserve"> rejected the strong form of that presumption but, as the presumption was a matter of practice not precedent, this Court confined the rejection of the strong form of the presumption to prospective legislation only, so as not to "overturn the settled construction of particular existing legislation".</w:t>
      </w:r>
      <w:r w:rsidRPr="00B30553">
        <w:rPr>
          <w:rStyle w:val="FootnoteReference"/>
          <w:rFonts w:ascii="Times New Roman" w:hAnsi="Times New Roman"/>
          <w:sz w:val="24"/>
        </w:rPr>
        <w:footnoteReference w:id="182"/>
      </w:r>
      <w:r w:rsidRPr="00B30553">
        <w:rPr>
          <w:rFonts w:ascii="Times New Roman" w:hAnsi="Times New Roman"/>
        </w:rPr>
        <w:t xml:space="preserve"> In any event, as six members of this Court later reiterated, developing the point made by Mason and Jacobs JJ, the maxim </w:t>
      </w:r>
      <w:proofErr w:type="spellStart"/>
      <w:r w:rsidRPr="00B30553">
        <w:rPr>
          <w:rFonts w:ascii="Times New Roman" w:hAnsi="Times New Roman"/>
          <w:i/>
          <w:iCs/>
        </w:rPr>
        <w:t>expressio</w:t>
      </w:r>
      <w:proofErr w:type="spellEnd"/>
      <w:r w:rsidRPr="00B30553">
        <w:rPr>
          <w:rFonts w:ascii="Times New Roman" w:hAnsi="Times New Roman"/>
          <w:i/>
          <w:iCs/>
        </w:rPr>
        <w:t xml:space="preserve"> </w:t>
      </w:r>
      <w:proofErr w:type="spellStart"/>
      <w:r w:rsidRPr="00B30553">
        <w:rPr>
          <w:rFonts w:ascii="Times New Roman" w:hAnsi="Times New Roman"/>
          <w:i/>
          <w:iCs/>
        </w:rPr>
        <w:t>unius</w:t>
      </w:r>
      <w:proofErr w:type="spellEnd"/>
      <w:r w:rsidRPr="00B30553">
        <w:rPr>
          <w:rFonts w:ascii="Times New Roman" w:hAnsi="Times New Roman"/>
          <w:i/>
          <w:iCs/>
        </w:rPr>
        <w:t xml:space="preserve"> est </w:t>
      </w:r>
      <w:proofErr w:type="spellStart"/>
      <w:r w:rsidRPr="00B30553">
        <w:rPr>
          <w:rFonts w:ascii="Times New Roman" w:hAnsi="Times New Roman"/>
          <w:i/>
          <w:iCs/>
        </w:rPr>
        <w:t>exclusio</w:t>
      </w:r>
      <w:proofErr w:type="spellEnd"/>
      <w:r w:rsidRPr="00B30553">
        <w:rPr>
          <w:rFonts w:ascii="Times New Roman" w:hAnsi="Times New Roman"/>
          <w:i/>
          <w:iCs/>
        </w:rPr>
        <w:t xml:space="preserve"> </w:t>
      </w:r>
      <w:proofErr w:type="spellStart"/>
      <w:r w:rsidRPr="00B30553">
        <w:rPr>
          <w:rFonts w:ascii="Times New Roman" w:hAnsi="Times New Roman"/>
          <w:i/>
          <w:iCs/>
        </w:rPr>
        <w:t>alterius</w:t>
      </w:r>
      <w:proofErr w:type="spellEnd"/>
      <w:r w:rsidRPr="00B30553">
        <w:rPr>
          <w:rFonts w:ascii="Times New Roman" w:hAnsi="Times New Roman"/>
        </w:rPr>
        <w:t xml:space="preserve"> (an ordinary language convention that the express mention of something might reveal an intention to exclude a broader denotation) meant that the express provision in s</w:t>
      </w:r>
      <w:r>
        <w:rPr>
          <w:rFonts w:ascii="Times New Roman" w:hAnsi="Times New Roman"/>
        </w:rPr>
        <w:t> </w:t>
      </w:r>
      <w:r w:rsidRPr="00B30553">
        <w:rPr>
          <w:rFonts w:ascii="Times New Roman" w:hAnsi="Times New Roman"/>
        </w:rPr>
        <w:t>2A of the predecessor legislation to the CCA had the effect that, although a body politic would otherwise have been a "person" within the relevant provision,</w:t>
      </w:r>
      <w:r w:rsidRPr="00B30553">
        <w:rPr>
          <w:rStyle w:val="FootnoteReference"/>
          <w:rFonts w:ascii="Times New Roman" w:hAnsi="Times New Roman"/>
          <w:sz w:val="24"/>
        </w:rPr>
        <w:footnoteReference w:id="183"/>
      </w:r>
      <w:r w:rsidRPr="00B30553">
        <w:rPr>
          <w:rFonts w:ascii="Times New Roman" w:hAnsi="Times New Roman"/>
        </w:rPr>
        <w:t xml:space="preserve"> the body politic of the Commonwealth was bound only in so far as it carried on a business.</w:t>
      </w:r>
      <w:r w:rsidRPr="00B30553">
        <w:rPr>
          <w:rStyle w:val="FootnoteReference"/>
          <w:rFonts w:ascii="Times New Roman" w:hAnsi="Times New Roman"/>
          <w:sz w:val="24"/>
        </w:rPr>
        <w:footnoteReference w:id="184"/>
      </w:r>
    </w:p>
    <w:p w14:paraId="3BBD81CB"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In 1995, five years after </w:t>
      </w:r>
      <w:proofErr w:type="spellStart"/>
      <w:r w:rsidRPr="00B30553">
        <w:rPr>
          <w:rFonts w:ascii="Times New Roman" w:hAnsi="Times New Roman"/>
          <w:i/>
          <w:iCs/>
        </w:rPr>
        <w:t>Bropho</w:t>
      </w:r>
      <w:proofErr w:type="spellEnd"/>
      <w:r w:rsidRPr="00B30553">
        <w:rPr>
          <w:rFonts w:ascii="Times New Roman" w:hAnsi="Times New Roman"/>
          <w:i/>
          <w:iCs/>
        </w:rPr>
        <w:t xml:space="preserve">, </w:t>
      </w:r>
      <w:r w:rsidRPr="00B30553">
        <w:rPr>
          <w:rFonts w:ascii="Times New Roman" w:hAnsi="Times New Roman"/>
        </w:rPr>
        <w:t>the Commonwealth Parliament enacted ss</w:t>
      </w:r>
      <w:r>
        <w:rPr>
          <w:rFonts w:ascii="Times New Roman" w:hAnsi="Times New Roman"/>
        </w:rPr>
        <w:t> </w:t>
      </w:r>
      <w:r w:rsidRPr="00B30553">
        <w:rPr>
          <w:rFonts w:ascii="Times New Roman" w:hAnsi="Times New Roman"/>
        </w:rPr>
        <w:t xml:space="preserve">2B and 2C of the predecessor legislation to the CCA, which broadly, and relevantly, </w:t>
      </w:r>
      <w:proofErr w:type="gramStart"/>
      <w:r w:rsidRPr="00B30553">
        <w:rPr>
          <w:rFonts w:ascii="Times New Roman" w:hAnsi="Times New Roman"/>
        </w:rPr>
        <w:t>provided that</w:t>
      </w:r>
      <w:proofErr w:type="gramEnd"/>
      <w:r w:rsidRPr="00B30553">
        <w:rPr>
          <w:rFonts w:ascii="Times New Roman" w:hAnsi="Times New Roman"/>
        </w:rPr>
        <w:t xml:space="preserve"> Part IV of the Act bound the bodies politic of States and Territories when carrying on a business. Those sections were directed towards ensuring that "the prohibitions against anti-competitive conduct can be applied to all businesses in Australia".</w:t>
      </w:r>
      <w:r w:rsidRPr="00B30553">
        <w:rPr>
          <w:rStyle w:val="FootnoteReference"/>
          <w:rFonts w:ascii="Times New Roman" w:hAnsi="Times New Roman"/>
          <w:sz w:val="24"/>
        </w:rPr>
        <w:footnoteReference w:id="185"/>
      </w:r>
      <w:r w:rsidRPr="00B30553">
        <w:rPr>
          <w:rFonts w:ascii="Times New Roman" w:hAnsi="Times New Roman"/>
        </w:rPr>
        <w:t xml:space="preserve"> The States and Territories were therefore intended to be placed in broadly the same position as the Commonwealth.</w:t>
      </w:r>
      <w:r w:rsidRPr="00B30553">
        <w:rPr>
          <w:rStyle w:val="FootnoteReference"/>
          <w:rFonts w:ascii="Times New Roman" w:hAnsi="Times New Roman"/>
          <w:sz w:val="24"/>
        </w:rPr>
        <w:footnoteReference w:id="186"/>
      </w:r>
      <w:r w:rsidRPr="00B30553">
        <w:rPr>
          <w:rFonts w:ascii="Times New Roman" w:hAnsi="Times New Roman"/>
        </w:rPr>
        <w:t xml:space="preserve"> There is no </w:t>
      </w:r>
      <w:r w:rsidRPr="00B30553">
        <w:rPr>
          <w:rFonts w:ascii="Times New Roman" w:hAnsi="Times New Roman"/>
        </w:rPr>
        <w:lastRenderedPageBreak/>
        <w:t xml:space="preserve">basis to find any intention otherwise to change the operation of the presumption of "Crown immunity" as it had been articulated in </w:t>
      </w:r>
      <w:r w:rsidRPr="00B30553">
        <w:rPr>
          <w:rFonts w:ascii="Times New Roman" w:hAnsi="Times New Roman"/>
          <w:i/>
          <w:iCs/>
        </w:rPr>
        <w:t>Bradken</w:t>
      </w:r>
      <w:r w:rsidRPr="00B30553">
        <w:rPr>
          <w:rFonts w:ascii="Times New Roman" w:hAnsi="Times New Roman"/>
        </w:rPr>
        <w:t>.</w:t>
      </w:r>
    </w:p>
    <w:p w14:paraId="70292BA6"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r>
      <w:proofErr w:type="gramStart"/>
      <w:r w:rsidRPr="00B30553">
        <w:rPr>
          <w:rFonts w:ascii="Times New Roman" w:hAnsi="Times New Roman"/>
        </w:rPr>
        <w:t>In light of</w:t>
      </w:r>
      <w:proofErr w:type="gramEnd"/>
      <w:r w:rsidRPr="00B30553">
        <w:rPr>
          <w:rFonts w:ascii="Times New Roman" w:hAnsi="Times New Roman"/>
        </w:rPr>
        <w:t xml:space="preserve"> the retrospective preservation by </w:t>
      </w:r>
      <w:proofErr w:type="spellStart"/>
      <w:r w:rsidRPr="00B30553">
        <w:rPr>
          <w:rFonts w:ascii="Times New Roman" w:hAnsi="Times New Roman"/>
          <w:i/>
          <w:iCs/>
        </w:rPr>
        <w:t>Bropho</w:t>
      </w:r>
      <w:proofErr w:type="spellEnd"/>
      <w:r w:rsidRPr="00B30553">
        <w:rPr>
          <w:rFonts w:ascii="Times New Roman" w:hAnsi="Times New Roman"/>
        </w:rPr>
        <w:t xml:space="preserve"> of the strong form of presumptions of "Crown immunity" and "derivative Crown immunity", the issue arose in 2004, again in relation to the predecessor legislation to the CCA, concerning the application of laws to persons in a manner that affected the interests of the Northern Territory. In </w:t>
      </w:r>
      <w:r w:rsidRPr="00B30553">
        <w:rPr>
          <w:rFonts w:ascii="Times New Roman" w:hAnsi="Times New Roman"/>
          <w:i/>
          <w:iCs/>
        </w:rPr>
        <w:t>NT Power Generation Pty Ltd v Power and Water Authority</w:t>
      </w:r>
      <w:r w:rsidRPr="00B30553">
        <w:rPr>
          <w:rFonts w:ascii="Times New Roman" w:hAnsi="Times New Roman"/>
        </w:rPr>
        <w:t>,</w:t>
      </w:r>
      <w:r w:rsidRPr="00B30553">
        <w:rPr>
          <w:rStyle w:val="FootnoteReference"/>
          <w:rFonts w:ascii="Times New Roman" w:hAnsi="Times New Roman"/>
          <w:sz w:val="24"/>
        </w:rPr>
        <w:footnoteReference w:id="187"/>
      </w:r>
      <w:r w:rsidRPr="00B30553">
        <w:rPr>
          <w:rFonts w:ascii="Times New Roman" w:hAnsi="Times New Roman"/>
        </w:rPr>
        <w:t xml:space="preserve"> a party called </w:t>
      </w:r>
      <w:proofErr w:type="spellStart"/>
      <w:r w:rsidRPr="00B30553">
        <w:rPr>
          <w:rFonts w:ascii="Times New Roman" w:hAnsi="Times New Roman"/>
        </w:rPr>
        <w:t>Gasgo</w:t>
      </w:r>
      <w:proofErr w:type="spellEnd"/>
      <w:r w:rsidRPr="00B30553">
        <w:rPr>
          <w:rFonts w:ascii="Times New Roman" w:hAnsi="Times New Roman"/>
        </w:rPr>
        <w:t xml:space="preserve"> Pty Ltd, which was not acting as the Northern Territory (</w:t>
      </w:r>
      <w:proofErr w:type="spellStart"/>
      <w:r w:rsidRPr="00B30553">
        <w:rPr>
          <w:rFonts w:ascii="Times New Roman" w:hAnsi="Times New Roman"/>
        </w:rPr>
        <w:t>ie</w:t>
      </w:r>
      <w:proofErr w:type="spellEnd"/>
      <w:r w:rsidRPr="00B30553">
        <w:rPr>
          <w:rFonts w:ascii="Times New Roman" w:hAnsi="Times New Roman"/>
        </w:rPr>
        <w:t xml:space="preserve"> was not an "emanation" of the Territory)</w:t>
      </w:r>
      <w:r w:rsidRPr="00B30553">
        <w:rPr>
          <w:rStyle w:val="FootnoteReference"/>
          <w:rFonts w:ascii="Times New Roman" w:hAnsi="Times New Roman"/>
          <w:sz w:val="24"/>
        </w:rPr>
        <w:footnoteReference w:id="188"/>
      </w:r>
      <w:r w:rsidRPr="00B30553">
        <w:rPr>
          <w:rFonts w:ascii="Times New Roman" w:hAnsi="Times New Roman"/>
        </w:rPr>
        <w:t xml:space="preserve"> and was not found to have entered any relevant agreement or understanding with the Northern Territory,</w:t>
      </w:r>
      <w:r w:rsidRPr="00B30553">
        <w:rPr>
          <w:rStyle w:val="FootnoteReference"/>
          <w:rFonts w:ascii="Times New Roman" w:hAnsi="Times New Roman"/>
          <w:sz w:val="24"/>
        </w:rPr>
        <w:footnoteReference w:id="189"/>
      </w:r>
      <w:r w:rsidRPr="00B30553">
        <w:rPr>
          <w:rFonts w:ascii="Times New Roman" w:hAnsi="Times New Roman"/>
        </w:rPr>
        <w:t xml:space="preserve"> argued that if s 46 of the predecessor legislation to the CCA applied to prevent it from exercising a pre-emptive contractual right to purchase gas, then s 46 would adversely affect the security of the gas supply of the Northern Territory.</w:t>
      </w:r>
      <w:r w:rsidRPr="00B30553">
        <w:rPr>
          <w:rStyle w:val="FootnoteReference"/>
          <w:rFonts w:ascii="Times New Roman" w:hAnsi="Times New Roman"/>
          <w:sz w:val="24"/>
        </w:rPr>
        <w:footnoteReference w:id="190"/>
      </w:r>
    </w:p>
    <w:p w14:paraId="767C7683"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Although describing the issue as one of "derivative Crown immunity", the four members of this Court in the majority in </w:t>
      </w:r>
      <w:r w:rsidRPr="00B30553">
        <w:rPr>
          <w:rFonts w:ascii="Times New Roman" w:hAnsi="Times New Roman"/>
          <w:i/>
          <w:iCs/>
        </w:rPr>
        <w:t xml:space="preserve">NT Power Generation </w:t>
      </w:r>
      <w:r w:rsidRPr="00B30553">
        <w:rPr>
          <w:rFonts w:ascii="Times New Roman" w:hAnsi="Times New Roman"/>
        </w:rPr>
        <w:t>explained that "[a] more accurate way of putting the issue" was "to ask whether s 46 ... caused 'some impairment of the existing legal situation of' the Northern Territory Government in this case".</w:t>
      </w:r>
      <w:r w:rsidRPr="00B30553">
        <w:rPr>
          <w:rStyle w:val="FootnoteReference"/>
          <w:rFonts w:ascii="Times New Roman" w:hAnsi="Times New Roman"/>
          <w:sz w:val="24"/>
        </w:rPr>
        <w:footnoteReference w:id="191"/>
      </w:r>
      <w:r w:rsidRPr="00B30553">
        <w:rPr>
          <w:rFonts w:ascii="Times New Roman" w:hAnsi="Times New Roman"/>
        </w:rPr>
        <w:t xml:space="preserve"> Their Honours held that the only interest of the body politic of the Northern Territory that was affected was a financial interest, and it was not established that there was any basis to extend the "immunity beyond any point the Australian authorities have so far reached" to financial interests generally.</w:t>
      </w:r>
      <w:r w:rsidRPr="00B30553">
        <w:rPr>
          <w:rStyle w:val="FootnoteReference"/>
          <w:rFonts w:ascii="Times New Roman" w:hAnsi="Times New Roman"/>
          <w:sz w:val="24"/>
        </w:rPr>
        <w:footnoteReference w:id="192"/>
      </w:r>
    </w:p>
    <w:p w14:paraId="1FDB7F7F"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In legal terms, the asserted effect of s 46 was not merely to affect the finances of the body politic of the Northern Territory but also to impair the liberty of action of the body politic of the Northern Territory, through the Executive Government of the Northern Territory, in relation to its gas supply. By treating that liberty of action as not falling within "derivative Crown immunity", </w:t>
      </w:r>
      <w:proofErr w:type="gramStart"/>
      <w:r w:rsidRPr="00B30553">
        <w:rPr>
          <w:rFonts w:ascii="Times New Roman" w:hAnsi="Times New Roman"/>
        </w:rPr>
        <w:t>the majority of</w:t>
      </w:r>
      <w:proofErr w:type="gramEnd"/>
      <w:r w:rsidRPr="00B30553">
        <w:rPr>
          <w:rFonts w:ascii="Times New Roman" w:hAnsi="Times New Roman"/>
        </w:rPr>
        <w:t xml:space="preserve"> this Court effectively confined the legal relations to which that legislative </w:t>
      </w:r>
      <w:r w:rsidRPr="00B30553">
        <w:rPr>
          <w:rFonts w:ascii="Times New Roman" w:hAnsi="Times New Roman"/>
        </w:rPr>
        <w:lastRenderedPageBreak/>
        <w:t>presumption would apply, at least where the liberty of the body politic was indirectly affected rather than directly affected.</w:t>
      </w:r>
    </w:p>
    <w:p w14:paraId="42B6E103"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The same approach was taken by this Court in </w:t>
      </w:r>
      <w:r w:rsidRPr="00B30553">
        <w:rPr>
          <w:rFonts w:ascii="Times New Roman" w:hAnsi="Times New Roman"/>
          <w:i/>
          <w:iCs/>
        </w:rPr>
        <w:t>Baxter</w:t>
      </w:r>
      <w:r w:rsidRPr="00B30553">
        <w:rPr>
          <w:rFonts w:ascii="Times New Roman" w:hAnsi="Times New Roman"/>
        </w:rPr>
        <w:t xml:space="preserve">. The issue in that case was whether a manufacturer of medical products was bound by ss 46 and 47 of the predecessor legislation to the CCA in its entry into contracts with State and Territory purchasing authorities which were not operating </w:t>
      </w:r>
      <w:proofErr w:type="gramStart"/>
      <w:r w:rsidRPr="00B30553">
        <w:rPr>
          <w:rFonts w:ascii="Times New Roman" w:hAnsi="Times New Roman"/>
        </w:rPr>
        <w:t>in the course of</w:t>
      </w:r>
      <w:proofErr w:type="gramEnd"/>
      <w:r w:rsidRPr="00B30553">
        <w:rPr>
          <w:rFonts w:ascii="Times New Roman" w:hAnsi="Times New Roman"/>
        </w:rPr>
        <w:t xml:space="preserve"> carrying on a business. The joint judgment described the relevant presumption as being that "since the [legislation which is now the CCA] does not bind the Crown in right of a State or Territory when it is not carrying on a business, then, save to the extent to which a contrary intention appears, the [legislation which is now the CCA] will not be read so as to divest the Crown of proprietary, contractual or other</w:t>
      </w:r>
      <w:r w:rsidRPr="00B30553">
        <w:rPr>
          <w:rFonts w:ascii="Times New Roman" w:hAnsi="Times New Roman"/>
          <w:i/>
          <w:iCs/>
        </w:rPr>
        <w:t xml:space="preserve"> legal</w:t>
      </w:r>
      <w:r w:rsidRPr="00B30553">
        <w:rPr>
          <w:rFonts w:ascii="Times New Roman" w:hAnsi="Times New Roman"/>
        </w:rPr>
        <w:t xml:space="preserve"> rights or interests".</w:t>
      </w:r>
      <w:r w:rsidRPr="00B30553">
        <w:rPr>
          <w:rStyle w:val="FootnoteReference"/>
          <w:rFonts w:ascii="Times New Roman" w:hAnsi="Times New Roman"/>
          <w:sz w:val="24"/>
        </w:rPr>
        <w:footnoteReference w:id="193"/>
      </w:r>
    </w:p>
    <w:p w14:paraId="7CE2FA91"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The joint judgment considered that the State and Territory purchasing authorities were not bound by ss 46 and 47 and therefore were at liberty to enter contracts that would otherwise have contravened those provisions.</w:t>
      </w:r>
      <w:r w:rsidRPr="00B30553">
        <w:rPr>
          <w:rStyle w:val="FootnoteReference"/>
          <w:rFonts w:ascii="Times New Roman" w:hAnsi="Times New Roman"/>
          <w:sz w:val="24"/>
        </w:rPr>
        <w:footnoteReference w:id="194"/>
      </w:r>
      <w:r w:rsidRPr="00B30553">
        <w:rPr>
          <w:rFonts w:ascii="Times New Roman" w:hAnsi="Times New Roman"/>
        </w:rPr>
        <w:t xml:space="preserve"> But the presumption did not insulate from liability any person who entered such a contract with the State and Territory purchasing authorities. It was insufficient that such liability would, as a matter merely of effect or consequence, reduce or impair the extent to which contracts entered by a State or Territory would have valid legal effect. The legal relations of the State were unaffected. As the joint judgment in this Court said:</w:t>
      </w:r>
      <w:r w:rsidRPr="00B30553">
        <w:rPr>
          <w:rStyle w:val="FootnoteReference"/>
          <w:rFonts w:ascii="Times New Roman" w:hAnsi="Times New Roman"/>
          <w:sz w:val="24"/>
        </w:rPr>
        <w:footnoteReference w:id="195"/>
      </w:r>
    </w:p>
    <w:p w14:paraId="2AB37BA5" w14:textId="77777777" w:rsidR="0023595F" w:rsidRDefault="0023595F" w:rsidP="00B30553">
      <w:pPr>
        <w:pStyle w:val="LeftrightafterHC"/>
        <w:spacing w:before="0" w:after="260" w:line="280" w:lineRule="exact"/>
        <w:ind w:right="0"/>
        <w:jc w:val="both"/>
        <w:rPr>
          <w:rFonts w:ascii="Times New Roman" w:hAnsi="Times New Roman"/>
        </w:rPr>
      </w:pPr>
      <w:r w:rsidRPr="00B30553">
        <w:rPr>
          <w:rFonts w:ascii="Times New Roman" w:hAnsi="Times New Roman"/>
        </w:rPr>
        <w:t xml:space="preserve">"There were references in the argument for the respondents to the 'right' of States to </w:t>
      </w:r>
      <w:proofErr w:type="gramStart"/>
      <w:r w:rsidRPr="00B30553">
        <w:rPr>
          <w:rFonts w:ascii="Times New Roman" w:hAnsi="Times New Roman"/>
        </w:rPr>
        <w:t>enter into</w:t>
      </w:r>
      <w:proofErr w:type="gramEnd"/>
      <w:r w:rsidRPr="00B30553">
        <w:rPr>
          <w:rFonts w:ascii="Times New Roman" w:hAnsi="Times New Roman"/>
        </w:rPr>
        <w:t xml:space="preserve"> contracts, where what was in contemplation would be described more accurately as a freedom. There is also a risk of confusing governmental, commercial, or even political interests with legal, equitable or statutory rights and interests. From one point of view, it may be in the interests of a government for it, and anyone who deals with it, to have complete freedom to contract, but in </w:t>
      </w:r>
      <w:proofErr w:type="gramStart"/>
      <w:r w:rsidRPr="00B30553">
        <w:rPr>
          <w:rFonts w:ascii="Times New Roman" w:hAnsi="Times New Roman"/>
        </w:rPr>
        <w:t>reality</w:t>
      </w:r>
      <w:proofErr w:type="gramEnd"/>
      <w:r w:rsidRPr="00B30553">
        <w:rPr>
          <w:rFonts w:ascii="Times New Roman" w:hAnsi="Times New Roman"/>
        </w:rPr>
        <w:t xml:space="preserve"> no one has such freedom."</w:t>
      </w:r>
    </w:p>
    <w:p w14:paraId="429B433B" w14:textId="77777777" w:rsidR="0023595F" w:rsidRPr="00B30553" w:rsidRDefault="0023595F" w:rsidP="00B30553">
      <w:pPr>
        <w:pStyle w:val="HeadingL1"/>
        <w:spacing w:after="260" w:line="280" w:lineRule="exact"/>
        <w:ind w:right="0"/>
        <w:jc w:val="both"/>
        <w:rPr>
          <w:rFonts w:ascii="Times New Roman" w:hAnsi="Times New Roman"/>
        </w:rPr>
      </w:pPr>
      <w:r w:rsidRPr="00B30553">
        <w:rPr>
          <w:rFonts w:ascii="Times New Roman" w:hAnsi="Times New Roman"/>
        </w:rPr>
        <w:t>This appeal</w:t>
      </w:r>
    </w:p>
    <w:p w14:paraId="596F038D"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The relevant sections of the CCA are ss 45 and 45DA, which proscribe </w:t>
      </w:r>
      <w:proofErr w:type="gramStart"/>
      <w:r w:rsidRPr="00B30553">
        <w:rPr>
          <w:rFonts w:ascii="Times New Roman" w:hAnsi="Times New Roman"/>
        </w:rPr>
        <w:t>particular conduct</w:t>
      </w:r>
      <w:proofErr w:type="gramEnd"/>
      <w:r w:rsidRPr="00B30553">
        <w:rPr>
          <w:rFonts w:ascii="Times New Roman" w:hAnsi="Times New Roman"/>
        </w:rPr>
        <w:t xml:space="preserve"> and terms of </w:t>
      </w:r>
      <w:proofErr w:type="gramStart"/>
      <w:r w:rsidRPr="00B30553">
        <w:rPr>
          <w:rFonts w:ascii="Times New Roman" w:hAnsi="Times New Roman"/>
        </w:rPr>
        <w:t>particular consensual</w:t>
      </w:r>
      <w:proofErr w:type="gramEnd"/>
      <w:r w:rsidRPr="00B30553">
        <w:rPr>
          <w:rFonts w:ascii="Times New Roman" w:hAnsi="Times New Roman"/>
        </w:rPr>
        <w:t xml:space="preserve"> dealings (contractual </w:t>
      </w:r>
      <w:r w:rsidRPr="00B30553">
        <w:rPr>
          <w:rFonts w:ascii="Times New Roman" w:hAnsi="Times New Roman"/>
        </w:rPr>
        <w:lastRenderedPageBreak/>
        <w:t>agreements, arrangements, or understandings) by "a corporation" and "a person". The State is not "a corporation" but, as a body politic, it is "a person".</w:t>
      </w:r>
      <w:r w:rsidRPr="00B30553">
        <w:rPr>
          <w:rStyle w:val="FootnoteReference"/>
          <w:rFonts w:ascii="Times New Roman" w:hAnsi="Times New Roman"/>
          <w:sz w:val="24"/>
        </w:rPr>
        <w:footnoteReference w:id="196"/>
      </w:r>
      <w:r w:rsidRPr="00B30553">
        <w:rPr>
          <w:rFonts w:ascii="Times New Roman" w:hAnsi="Times New Roman"/>
        </w:rPr>
        <w:t xml:space="preserve"> Nevertheless, the prospective-only effect of the change in force of the presumption in </w:t>
      </w:r>
      <w:proofErr w:type="spellStart"/>
      <w:r w:rsidRPr="00B30553">
        <w:rPr>
          <w:rFonts w:ascii="Times New Roman" w:hAnsi="Times New Roman"/>
          <w:i/>
          <w:iCs/>
        </w:rPr>
        <w:t>Bropho</w:t>
      </w:r>
      <w:proofErr w:type="spellEnd"/>
      <w:r w:rsidRPr="00B30553">
        <w:rPr>
          <w:rFonts w:ascii="Times New Roman" w:hAnsi="Times New Roman"/>
          <w:i/>
          <w:iCs/>
        </w:rPr>
        <w:t xml:space="preserve"> </w:t>
      </w:r>
      <w:r w:rsidRPr="00B30553">
        <w:rPr>
          <w:rFonts w:ascii="Times New Roman" w:hAnsi="Times New Roman"/>
        </w:rPr>
        <w:t>is such that the "Crown immunity" of the State, while it is not carrying on a business, prevents s 45DA being binding on the State. The State is not prohibited from conduct, including entry into transactions, that would otherwise contravene s 45DA. The agreement to the compensation provisions in the PCDs was not a contravention by the State.</w:t>
      </w:r>
    </w:p>
    <w:p w14:paraId="12E81F41"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The application of "Crown immunity" (described in the even more problematic language of "derivative Crown immunity") was sought to be confined on this appeal by two different submissions. The first, broad, submission was made by the ACCC. The ACCC argued </w:t>
      </w:r>
      <w:proofErr w:type="gramStart"/>
      <w:r w:rsidRPr="00B30553">
        <w:rPr>
          <w:rFonts w:ascii="Times New Roman" w:hAnsi="Times New Roman"/>
        </w:rPr>
        <w:t>that,</w:t>
      </w:r>
      <w:proofErr w:type="gramEnd"/>
      <w:r w:rsidRPr="00B30553">
        <w:rPr>
          <w:rFonts w:ascii="Times New Roman" w:hAnsi="Times New Roman"/>
        </w:rPr>
        <w:t xml:space="preserve"> subject to s 51(1) of the CCA, ss 45 and 45DA evince an intention to exclude "derivative Crown immunity". The ACCC relied heavily upon the exception in s 51(1) as supporting this Parliamentary intention. Section 51(1) requires that various matters be disregarded "[</w:t>
      </w:r>
      <w:proofErr w:type="spellStart"/>
      <w:r w:rsidRPr="00B30553">
        <w:rPr>
          <w:rFonts w:ascii="Times New Roman" w:hAnsi="Times New Roman"/>
        </w:rPr>
        <w:t>i</w:t>
      </w:r>
      <w:proofErr w:type="spellEnd"/>
      <w:r w:rsidRPr="00B30553">
        <w:rPr>
          <w:rFonts w:ascii="Times New Roman" w:hAnsi="Times New Roman"/>
        </w:rPr>
        <w:t>]n deciding whether a person has contravened [Pt IV of the CCA]". In relation to States, and in broad terms, those matters include anything done for which specification and specific authorisation are made and given by an Act of a State Parliament, or regulations under such an Act, which expressly refer to the CCA.</w:t>
      </w:r>
      <w:r w:rsidRPr="00B30553">
        <w:rPr>
          <w:rStyle w:val="FootnoteReference"/>
          <w:rFonts w:ascii="Times New Roman" w:hAnsi="Times New Roman"/>
          <w:sz w:val="24"/>
        </w:rPr>
        <w:footnoteReference w:id="197"/>
      </w:r>
    </w:p>
    <w:p w14:paraId="6E03AAB8"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The Full Court in this proceeding followed the reasoning of Allsop CJ, that s 51(1) of the CCA was a provision by which a Parliament may authorise particular conduct that would otherwise contravene provisions of Pt IV of the CCA and therefore s 51(1) was a provision which assumed contravention, requiring the proper ascertainment of Crown immunity as an anterior issue.</w:t>
      </w:r>
      <w:r w:rsidRPr="00B30553">
        <w:rPr>
          <w:rStyle w:val="FootnoteReference"/>
          <w:rFonts w:ascii="Times New Roman" w:hAnsi="Times New Roman"/>
          <w:sz w:val="24"/>
        </w:rPr>
        <w:footnoteReference w:id="198"/>
      </w:r>
      <w:r w:rsidRPr="00B30553">
        <w:rPr>
          <w:rFonts w:ascii="Times New Roman" w:hAnsi="Times New Roman"/>
        </w:rPr>
        <w:t xml:space="preserve"> Of course, the issues of "Crown immunity" and "derivative Crown immunity" are matters of interpretation which cannot proceed by ignoring s 51, which is part of the context in which that interpretation occurs. The point being made by Allsop CJ was that, since s 51(1) was intended to confer a general power upon Parliaments to make specific exemptions from the operation of many of the provisions of Pt IV of the CCA, s 51 says little about the scope of operation of the provisions from which it is conferred upon Parliaments a power of exemption.</w:t>
      </w:r>
    </w:p>
    <w:p w14:paraId="1DB95832"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lastRenderedPageBreak/>
        <w:tab/>
        <w:t>The point made by Allsop CJ is further reinforced by the fact that the broad outline of s 51 has been present in Part IV since the inception of the predecessor legislation to the CCA in 1974,</w:t>
      </w:r>
      <w:r w:rsidRPr="00B30553">
        <w:rPr>
          <w:rStyle w:val="FootnoteReference"/>
          <w:rFonts w:ascii="Times New Roman" w:hAnsi="Times New Roman"/>
          <w:sz w:val="24"/>
        </w:rPr>
        <w:footnoteReference w:id="199"/>
      </w:r>
      <w:r w:rsidRPr="00B30553">
        <w:rPr>
          <w:rFonts w:ascii="Times New Roman" w:hAnsi="Times New Roman"/>
        </w:rPr>
        <w:t xml:space="preserve"> at a time when a strong presumption of "Crown immunity" prevailed and before ss 2B and 2C had been introduced. Since the relevant provisions of Pt IV of the CCA existed before the decision in </w:t>
      </w:r>
      <w:proofErr w:type="spellStart"/>
      <w:r w:rsidRPr="00B30553">
        <w:rPr>
          <w:rFonts w:ascii="Times New Roman" w:hAnsi="Times New Roman"/>
          <w:i/>
          <w:iCs/>
        </w:rPr>
        <w:t>Bropho</w:t>
      </w:r>
      <w:proofErr w:type="spellEnd"/>
      <w:r w:rsidRPr="00B30553">
        <w:rPr>
          <w:rFonts w:ascii="Times New Roman" w:hAnsi="Times New Roman"/>
        </w:rPr>
        <w:t xml:space="preserve">, and since the amendments in ss 2B and 2C were based upon an assumption of the earlier prevailing position, the prospective-only effect of </w:t>
      </w:r>
      <w:proofErr w:type="spellStart"/>
      <w:r w:rsidRPr="00B30553">
        <w:rPr>
          <w:rFonts w:ascii="Times New Roman" w:hAnsi="Times New Roman"/>
          <w:i/>
          <w:iCs/>
        </w:rPr>
        <w:t>Bropho</w:t>
      </w:r>
      <w:proofErr w:type="spellEnd"/>
      <w:r w:rsidRPr="00B30553">
        <w:rPr>
          <w:rFonts w:ascii="Times New Roman" w:hAnsi="Times New Roman"/>
          <w:i/>
          <w:iCs/>
        </w:rPr>
        <w:t xml:space="preserve"> </w:t>
      </w:r>
      <w:r w:rsidRPr="00B30553">
        <w:rPr>
          <w:rFonts w:ascii="Times New Roman" w:hAnsi="Times New Roman"/>
        </w:rPr>
        <w:t xml:space="preserve">in changing the force of the presumption precludes a conclusion that the Commonwealth Parliament intended generally to abolish "Crown immunity" or "derivative Crown immunity". Indeed, the premise of the line of decisions from </w:t>
      </w:r>
      <w:r w:rsidRPr="00B30553">
        <w:rPr>
          <w:rFonts w:ascii="Times New Roman" w:hAnsi="Times New Roman"/>
          <w:i/>
          <w:iCs/>
        </w:rPr>
        <w:t xml:space="preserve">Bradken </w:t>
      </w:r>
      <w:r w:rsidRPr="00B30553">
        <w:rPr>
          <w:rFonts w:ascii="Times New Roman" w:hAnsi="Times New Roman"/>
        </w:rPr>
        <w:t xml:space="preserve">to </w:t>
      </w:r>
      <w:r w:rsidRPr="00B30553">
        <w:rPr>
          <w:rFonts w:ascii="Times New Roman" w:hAnsi="Times New Roman"/>
          <w:i/>
          <w:iCs/>
        </w:rPr>
        <w:t xml:space="preserve">Baxter </w:t>
      </w:r>
      <w:r w:rsidRPr="00B30553">
        <w:rPr>
          <w:rFonts w:ascii="Times New Roman" w:hAnsi="Times New Roman"/>
        </w:rPr>
        <w:t>is that the Commonwealth Parliament did not.</w:t>
      </w:r>
    </w:p>
    <w:p w14:paraId="6A7939AC"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The second, narrow, submission was made by Mayfield (and supported by the ACCC). Mayfield pointed to the history of the presumption of "derivative Crown immunity" and submitted, in effect, that the presumption should apply only to circumstances where a legal relation of the body politic is impaired. In other words, the presumption of legislative intention described above, that the "Crown and its property are in no way prejudicially affected", should not be understood literally. Rather, it should be applied only to laws which would adversely affect the legal relations of the body politic (its rights, privileges, powers, and immunities) or impose legal duties or liabilities on the body politic. That submission should be accepted. It is, in effect, the approach that was taken in </w:t>
      </w:r>
      <w:r w:rsidRPr="00B30553">
        <w:rPr>
          <w:rFonts w:ascii="Times New Roman" w:hAnsi="Times New Roman"/>
          <w:i/>
          <w:iCs/>
        </w:rPr>
        <w:t xml:space="preserve">NT Power Generation </w:t>
      </w:r>
      <w:r w:rsidRPr="00B30553">
        <w:rPr>
          <w:rFonts w:ascii="Times New Roman" w:hAnsi="Times New Roman"/>
        </w:rPr>
        <w:t xml:space="preserve">and in </w:t>
      </w:r>
      <w:r w:rsidRPr="00B30553">
        <w:rPr>
          <w:rFonts w:ascii="Times New Roman" w:hAnsi="Times New Roman"/>
          <w:i/>
          <w:iCs/>
        </w:rPr>
        <w:t>Baxter</w:t>
      </w:r>
      <w:r w:rsidRPr="00B30553">
        <w:rPr>
          <w:rFonts w:ascii="Times New Roman" w:hAnsi="Times New Roman"/>
        </w:rPr>
        <w:t>.</w:t>
      </w:r>
    </w:p>
    <w:p w14:paraId="47A66E93"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The contrary reasoning of Allsop CJ in the ACCC proceeding, which was adopted by the Full Court in this proceeding,</w:t>
      </w:r>
      <w:r w:rsidRPr="00B30553">
        <w:rPr>
          <w:rStyle w:val="FootnoteReference"/>
          <w:rFonts w:ascii="Times New Roman" w:hAnsi="Times New Roman"/>
          <w:sz w:val="24"/>
        </w:rPr>
        <w:footnoteReference w:id="200"/>
      </w:r>
      <w:r w:rsidRPr="00B30553">
        <w:rPr>
          <w:rFonts w:ascii="Times New Roman" w:hAnsi="Times New Roman"/>
        </w:rPr>
        <w:t xml:space="preserve"> was that NSW Ports were not bound by ss 45 and 45DA because the operation of those sections upon NSW Ports could result in the "impairment of the existing legal situation of the Executive or Crown". That impairment would arise because the binding effect of the CCA on NSW Ports in respect of any contractual provision which breached ss 45 and 45DA would otherwise be that any provision of the PCDs which contravened those sections would be severed from the PCDs.</w:t>
      </w:r>
      <w:r w:rsidRPr="00B30553">
        <w:rPr>
          <w:rStyle w:val="FootnoteReference"/>
          <w:rFonts w:ascii="Times New Roman" w:hAnsi="Times New Roman"/>
          <w:sz w:val="24"/>
        </w:rPr>
        <w:footnoteReference w:id="201"/>
      </w:r>
    </w:p>
    <w:p w14:paraId="56ECD73E" w14:textId="77777777" w:rsidR="0023595F" w:rsidRPr="00B30553"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 xml:space="preserve">Allsop CJ was, with respect, correct that the effect of ss 45 and 45DA of the CCA upon NSW Ports was to cause the impairment of the existing legal situation of the body politic of the State in that such contravening provisions of the </w:t>
      </w:r>
      <w:r w:rsidRPr="00B30553">
        <w:rPr>
          <w:rFonts w:ascii="Times New Roman" w:hAnsi="Times New Roman"/>
        </w:rPr>
        <w:lastRenderedPageBreak/>
        <w:t>PCDs would be invalid. But any such impairment was a consequential effect of the operation of ss 45 and 45DA on NSW Ports. It did not arise from any impairment of a legal relation of the State. The State itself remained at liberty to enter the PCDs.</w:t>
      </w:r>
    </w:p>
    <w:p w14:paraId="570A3732" w14:textId="77777777" w:rsidR="0023595F" w:rsidRPr="00B30553" w:rsidRDefault="0023595F" w:rsidP="00B30553">
      <w:pPr>
        <w:pStyle w:val="HeadingL1"/>
        <w:spacing w:after="260" w:line="280" w:lineRule="exact"/>
        <w:ind w:right="0"/>
        <w:jc w:val="both"/>
        <w:rPr>
          <w:rFonts w:ascii="Times New Roman" w:hAnsi="Times New Roman"/>
        </w:rPr>
      </w:pPr>
      <w:r w:rsidRPr="00B30553">
        <w:rPr>
          <w:rFonts w:ascii="Times New Roman" w:hAnsi="Times New Roman"/>
        </w:rPr>
        <w:t>Conclusion</w:t>
      </w:r>
    </w:p>
    <w:p w14:paraId="722632B6" w14:textId="069890FD" w:rsidR="007C0598" w:rsidRPr="0023595F" w:rsidRDefault="0023595F" w:rsidP="0023595F">
      <w:pPr>
        <w:pStyle w:val="FixListStyle"/>
        <w:spacing w:after="260" w:line="280" w:lineRule="exact"/>
        <w:ind w:right="0"/>
        <w:jc w:val="both"/>
        <w:rPr>
          <w:rFonts w:ascii="Times New Roman" w:hAnsi="Times New Roman"/>
        </w:rPr>
      </w:pPr>
      <w:r w:rsidRPr="00B30553">
        <w:rPr>
          <w:rFonts w:ascii="Times New Roman" w:hAnsi="Times New Roman"/>
        </w:rPr>
        <w:tab/>
        <w:t>The appeal should be allowed. The consequence of allowing the appeal is that the cross-appeals by NSW Ports and the State from the costs orders in the Full Court are inutile and must be dismissed. Orders should be made as proposed by Gordon, Gleeson and Beech-Jones JJ.</w:t>
      </w:r>
    </w:p>
    <w:sectPr w:rsidR="007C0598" w:rsidRPr="0023595F" w:rsidSect="0023595F">
      <w:headerReference w:type="even" r:id="rId26"/>
      <w:headerReference w:type="default" r:id="rId27"/>
      <w:headerReference w:type="first" r:id="rId28"/>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1F90" w14:textId="77777777" w:rsidR="00F3091A" w:rsidRDefault="00F3091A">
      <w:pPr>
        <w:spacing w:line="240" w:lineRule="auto"/>
      </w:pPr>
      <w:r>
        <w:separator/>
      </w:r>
    </w:p>
  </w:endnote>
  <w:endnote w:type="continuationSeparator" w:id="0">
    <w:p w14:paraId="159E2049" w14:textId="77777777" w:rsidR="00F3091A" w:rsidRDefault="00F30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Calibri"/>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E6A5" w14:textId="77777777" w:rsidR="00D02F09" w:rsidRDefault="00D02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D6E8" w14:textId="77777777" w:rsidR="00D02F09" w:rsidRDefault="00D02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EE41" w14:textId="77777777" w:rsidR="00D02F09" w:rsidRDefault="00D02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98E7" w14:textId="77777777" w:rsidR="00D02F09" w:rsidRDefault="00D02F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7B3" w14:textId="77777777" w:rsidR="00D02F09" w:rsidRDefault="00D02F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D298" w14:textId="77777777" w:rsidR="00D02F09" w:rsidRDefault="00D02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A36C" w14:textId="77777777" w:rsidR="00F3091A" w:rsidRPr="008A5AD9" w:rsidRDefault="00F3091A" w:rsidP="008A5AD9">
      <w:pPr>
        <w:pStyle w:val="Footer"/>
        <w:spacing w:before="120" w:after="20"/>
        <w:ind w:right="0"/>
        <w:rPr>
          <w:rFonts w:ascii="Times New Roman" w:hAnsi="Times New Roman"/>
        </w:rPr>
      </w:pPr>
      <w:r>
        <w:continuationSeparator/>
      </w:r>
    </w:p>
  </w:footnote>
  <w:footnote w:type="continuationSeparator" w:id="0">
    <w:p w14:paraId="1E34A110" w14:textId="77777777" w:rsidR="00F3091A" w:rsidRPr="008A5AD9" w:rsidRDefault="00F3091A" w:rsidP="008A5AD9">
      <w:pPr>
        <w:pStyle w:val="Footer"/>
        <w:spacing w:before="120" w:after="20"/>
        <w:ind w:right="0"/>
        <w:rPr>
          <w:rFonts w:ascii="Times New Roman" w:hAnsi="Times New Roman"/>
        </w:rPr>
      </w:pPr>
      <w:r w:rsidRPr="008A5AD9">
        <w:rPr>
          <w:rFonts w:ascii="Times New Roman" w:hAnsi="Times New Roman"/>
        </w:rPr>
        <w:continuationSeparator/>
      </w:r>
    </w:p>
  </w:footnote>
  <w:footnote w:type="continuationNotice" w:id="1">
    <w:p w14:paraId="6161E50F" w14:textId="77777777" w:rsidR="00F3091A" w:rsidRPr="0023595F" w:rsidRDefault="00F3091A">
      <w:pPr>
        <w:jc w:val="right"/>
        <w:rPr>
          <w:rFonts w:ascii="Times New Roman" w:hAnsi="Times New Roman"/>
          <w:sz w:val="24"/>
        </w:rPr>
      </w:pPr>
    </w:p>
  </w:footnote>
  <w:footnote w:id="2">
    <w:p w14:paraId="6512C31C" w14:textId="4F62F42F" w:rsidR="002C0846" w:rsidRPr="008A5AD9" w:rsidRDefault="002C0846"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Pr="008A5AD9">
        <w:rPr>
          <w:rFonts w:ascii="Times New Roman" w:hAnsi="Times New Roman"/>
          <w:i/>
          <w:iCs/>
          <w:sz w:val="24"/>
        </w:rPr>
        <w:t xml:space="preserve">Mayfield Development Corporation Pty Ltd v NSW Ports Operations Hold Co Pty Ltd </w:t>
      </w:r>
      <w:r w:rsidR="0001484A" w:rsidRPr="008A5AD9">
        <w:rPr>
          <w:rFonts w:ascii="Times New Roman" w:hAnsi="Times New Roman"/>
          <w:i/>
          <w:iCs/>
          <w:sz w:val="24"/>
        </w:rPr>
        <w:t>[</w:t>
      </w:r>
      <w:r w:rsidRPr="008A5AD9">
        <w:rPr>
          <w:rFonts w:ascii="Times New Roman" w:hAnsi="Times New Roman"/>
          <w:i/>
          <w:iCs/>
          <w:sz w:val="24"/>
        </w:rPr>
        <w:t>No 4</w:t>
      </w:r>
      <w:r w:rsidR="0001484A" w:rsidRPr="008A5AD9">
        <w:rPr>
          <w:rFonts w:ascii="Times New Roman" w:hAnsi="Times New Roman"/>
          <w:i/>
          <w:iCs/>
          <w:sz w:val="24"/>
        </w:rPr>
        <w:t>]</w:t>
      </w:r>
      <w:r w:rsidRPr="008A5AD9">
        <w:rPr>
          <w:rFonts w:ascii="Times New Roman" w:hAnsi="Times New Roman"/>
          <w:i/>
          <w:iCs/>
          <w:sz w:val="24"/>
        </w:rPr>
        <w:t xml:space="preserve"> </w:t>
      </w:r>
      <w:r w:rsidRPr="008A5AD9">
        <w:rPr>
          <w:rFonts w:ascii="Times New Roman" w:hAnsi="Times New Roman"/>
          <w:sz w:val="24"/>
        </w:rPr>
        <w:t>[2024] FCA 538.</w:t>
      </w:r>
    </w:p>
  </w:footnote>
  <w:footnote w:id="3">
    <w:p w14:paraId="1BD3E2F0" w14:textId="77777777" w:rsidR="002C0846" w:rsidRPr="008A5AD9" w:rsidRDefault="002C0846"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Pr="008A5AD9">
        <w:rPr>
          <w:rFonts w:ascii="Times New Roman" w:hAnsi="Times New Roman"/>
          <w:i/>
          <w:iCs/>
          <w:sz w:val="24"/>
        </w:rPr>
        <w:t>Mayfield Development Corporation Pty Ltd v NSW Ports Operations Hold Co Pty Ltd</w:t>
      </w:r>
      <w:r w:rsidRPr="008A5AD9">
        <w:rPr>
          <w:rFonts w:ascii="Times New Roman" w:hAnsi="Times New Roman"/>
          <w:sz w:val="24"/>
        </w:rPr>
        <w:t xml:space="preserve"> (2025) 308 FCR 153.</w:t>
      </w:r>
    </w:p>
  </w:footnote>
  <w:footnote w:id="4">
    <w:p w14:paraId="3F33A4CE" w14:textId="77777777" w:rsidR="00845E14" w:rsidRPr="008A5AD9" w:rsidRDefault="00845E14"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t>(2023) 296 FCR 364.</w:t>
      </w:r>
    </w:p>
  </w:footnote>
  <w:footnote w:id="5">
    <w:p w14:paraId="56BBD313" w14:textId="74DBDEF7" w:rsidR="00B25D59" w:rsidRPr="008A5AD9" w:rsidRDefault="00B25D59"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9E5D67" w:rsidRPr="008A5AD9">
        <w:rPr>
          <w:rFonts w:ascii="Times New Roman" w:hAnsi="Times New Roman"/>
          <w:sz w:val="24"/>
        </w:rPr>
        <w:tab/>
      </w:r>
      <w:r w:rsidR="00B62F52" w:rsidRPr="008A5AD9">
        <w:rPr>
          <w:rFonts w:ascii="Times New Roman" w:hAnsi="Times New Roman"/>
          <w:i/>
          <w:iCs/>
          <w:sz w:val="24"/>
        </w:rPr>
        <w:t>Mayfield Development Corporation Pty Ltd v NSW Ports Operations Hold Co Pty Ltd</w:t>
      </w:r>
      <w:r w:rsidR="00B62F52" w:rsidRPr="008A5AD9">
        <w:rPr>
          <w:rFonts w:ascii="Times New Roman" w:hAnsi="Times New Roman"/>
          <w:sz w:val="24"/>
        </w:rPr>
        <w:t xml:space="preserve"> </w:t>
      </w:r>
      <w:r w:rsidR="00DE00C3" w:rsidRPr="008A5AD9">
        <w:rPr>
          <w:rFonts w:ascii="Times New Roman" w:hAnsi="Times New Roman"/>
          <w:sz w:val="24"/>
        </w:rPr>
        <w:t>(2025) 308 FCR 153 at 162 [39]</w:t>
      </w:r>
      <w:r w:rsidR="000548A9" w:rsidRPr="008A5AD9">
        <w:rPr>
          <w:rFonts w:ascii="Times New Roman" w:hAnsi="Times New Roman"/>
          <w:sz w:val="24"/>
        </w:rPr>
        <w:t xml:space="preserve">, </w:t>
      </w:r>
      <w:r w:rsidR="00B62F52" w:rsidRPr="008A5AD9">
        <w:rPr>
          <w:rFonts w:ascii="Times New Roman" w:hAnsi="Times New Roman"/>
          <w:sz w:val="24"/>
        </w:rPr>
        <w:t xml:space="preserve">167 </w:t>
      </w:r>
      <w:r w:rsidR="000548A9" w:rsidRPr="008A5AD9">
        <w:rPr>
          <w:rFonts w:ascii="Times New Roman" w:hAnsi="Times New Roman"/>
          <w:sz w:val="24"/>
        </w:rPr>
        <w:t>[69]</w:t>
      </w:r>
      <w:r w:rsidR="00DE00C3" w:rsidRPr="008A5AD9">
        <w:rPr>
          <w:rFonts w:ascii="Times New Roman" w:hAnsi="Times New Roman"/>
          <w:sz w:val="24"/>
        </w:rPr>
        <w:t xml:space="preserve">. </w:t>
      </w:r>
      <w:r w:rsidR="005F4CF2" w:rsidRPr="008A5AD9">
        <w:rPr>
          <w:rFonts w:ascii="Times New Roman" w:hAnsi="Times New Roman"/>
          <w:sz w:val="24"/>
        </w:rPr>
        <w:t xml:space="preserve">See </w:t>
      </w:r>
      <w:r w:rsidR="005F4CF2" w:rsidRPr="008A5AD9">
        <w:rPr>
          <w:rFonts w:ascii="Times New Roman" w:hAnsi="Times New Roman"/>
          <w:i/>
          <w:iCs/>
          <w:sz w:val="24"/>
        </w:rPr>
        <w:t xml:space="preserve">Hill v Zuda </w:t>
      </w:r>
      <w:r w:rsidR="00872FAE" w:rsidRPr="008A5AD9">
        <w:rPr>
          <w:rFonts w:ascii="Times New Roman" w:hAnsi="Times New Roman"/>
          <w:i/>
          <w:iCs/>
          <w:sz w:val="24"/>
        </w:rPr>
        <w:t>Pty Ltd</w:t>
      </w:r>
      <w:r w:rsidR="00872FAE" w:rsidRPr="008A5AD9">
        <w:rPr>
          <w:rFonts w:ascii="Times New Roman" w:hAnsi="Times New Roman"/>
          <w:sz w:val="24"/>
        </w:rPr>
        <w:t xml:space="preserve"> (2022)</w:t>
      </w:r>
      <w:r w:rsidR="00B62F52" w:rsidRPr="008A5AD9">
        <w:rPr>
          <w:rFonts w:ascii="Times New Roman" w:hAnsi="Times New Roman"/>
          <w:sz w:val="24"/>
        </w:rPr>
        <w:t xml:space="preserve"> 275 CLR 24</w:t>
      </w:r>
      <w:r w:rsidR="00872FAE" w:rsidRPr="008A5AD9">
        <w:rPr>
          <w:rFonts w:ascii="Times New Roman" w:hAnsi="Times New Roman"/>
          <w:sz w:val="24"/>
        </w:rPr>
        <w:t xml:space="preserve"> at </w:t>
      </w:r>
      <w:r w:rsidR="00B62F52" w:rsidRPr="008A5AD9">
        <w:rPr>
          <w:rFonts w:ascii="Times New Roman" w:hAnsi="Times New Roman"/>
          <w:sz w:val="24"/>
        </w:rPr>
        <w:t xml:space="preserve">35 </w:t>
      </w:r>
      <w:r w:rsidR="00872FAE" w:rsidRPr="008A5AD9">
        <w:rPr>
          <w:rFonts w:ascii="Times New Roman" w:hAnsi="Times New Roman"/>
          <w:sz w:val="24"/>
        </w:rPr>
        <w:t>[25].</w:t>
      </w:r>
    </w:p>
  </w:footnote>
  <w:footnote w:id="6">
    <w:p w14:paraId="4C16BC51" w14:textId="165B99D1" w:rsidR="006D0EC6" w:rsidRPr="008A5AD9" w:rsidRDefault="006D0EC6"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872FAE" w:rsidRPr="008A5AD9">
        <w:rPr>
          <w:rFonts w:ascii="Times New Roman" w:hAnsi="Times New Roman"/>
          <w:sz w:val="24"/>
        </w:rPr>
        <w:tab/>
      </w:r>
      <w:r w:rsidR="007E1EB9" w:rsidRPr="008A5AD9">
        <w:rPr>
          <w:rFonts w:ascii="Times New Roman" w:hAnsi="Times New Roman"/>
          <w:i/>
          <w:iCs/>
          <w:sz w:val="24"/>
        </w:rPr>
        <w:t xml:space="preserve">Australian Competition and Consumer Commission v NSW Ports Operations Hold Co Pty Ltd </w:t>
      </w:r>
      <w:r w:rsidR="00CC7E73" w:rsidRPr="008A5AD9">
        <w:rPr>
          <w:rFonts w:ascii="Times New Roman" w:hAnsi="Times New Roman"/>
          <w:sz w:val="24"/>
        </w:rPr>
        <w:t xml:space="preserve">[2021] </w:t>
      </w:r>
      <w:r w:rsidR="00E10E2C" w:rsidRPr="008A5AD9">
        <w:rPr>
          <w:rFonts w:ascii="Times New Roman" w:hAnsi="Times New Roman"/>
          <w:sz w:val="24"/>
        </w:rPr>
        <w:t xml:space="preserve">FCA 720 at </w:t>
      </w:r>
      <w:r w:rsidR="00FE1A79" w:rsidRPr="008A5AD9">
        <w:rPr>
          <w:rFonts w:ascii="Times New Roman" w:hAnsi="Times New Roman"/>
          <w:sz w:val="24"/>
        </w:rPr>
        <w:t>[355]-[406].</w:t>
      </w:r>
    </w:p>
  </w:footnote>
  <w:footnote w:id="7">
    <w:p w14:paraId="454EE82D" w14:textId="5CCDA3A6" w:rsidR="00193226" w:rsidRPr="008A5AD9" w:rsidRDefault="00193226"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41167B" w:rsidRPr="008A5AD9">
        <w:rPr>
          <w:rFonts w:ascii="Times New Roman" w:hAnsi="Times New Roman"/>
          <w:sz w:val="24"/>
        </w:rPr>
        <w:tab/>
      </w:r>
      <w:r w:rsidR="00C0039D" w:rsidRPr="008A5AD9">
        <w:rPr>
          <w:rFonts w:ascii="Times New Roman" w:hAnsi="Times New Roman"/>
          <w:i/>
          <w:iCs/>
          <w:sz w:val="24"/>
        </w:rPr>
        <w:t xml:space="preserve">Australian Competition and Consumer Commission v NSW Ports Operations Hold Co Pty Ltd </w:t>
      </w:r>
      <w:r w:rsidR="007A3F2F" w:rsidRPr="008A5AD9">
        <w:rPr>
          <w:rFonts w:ascii="Times New Roman" w:hAnsi="Times New Roman"/>
          <w:sz w:val="24"/>
        </w:rPr>
        <w:t>(2023) 296 FCR 364</w:t>
      </w:r>
      <w:r w:rsidR="00C0039D" w:rsidRPr="008A5AD9">
        <w:rPr>
          <w:rFonts w:ascii="Times New Roman" w:hAnsi="Times New Roman"/>
          <w:sz w:val="24"/>
        </w:rPr>
        <w:t xml:space="preserve"> at 469-472 [404]-[415].</w:t>
      </w:r>
    </w:p>
  </w:footnote>
  <w:footnote w:id="8">
    <w:p w14:paraId="1F78BF40" w14:textId="7AB01ABE" w:rsidR="008D7FC0" w:rsidRPr="008A5AD9" w:rsidRDefault="008D7FC0"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t xml:space="preserve">(2004) 219 CLR 90 at </w:t>
      </w:r>
      <w:r w:rsidR="00CF70D4" w:rsidRPr="008A5AD9">
        <w:rPr>
          <w:rFonts w:ascii="Times New Roman" w:hAnsi="Times New Roman"/>
          <w:sz w:val="24"/>
        </w:rPr>
        <w:t xml:space="preserve">151 </w:t>
      </w:r>
      <w:r w:rsidRPr="008A5AD9">
        <w:rPr>
          <w:rFonts w:ascii="Times New Roman" w:hAnsi="Times New Roman"/>
          <w:sz w:val="24"/>
        </w:rPr>
        <w:t>[166].</w:t>
      </w:r>
    </w:p>
  </w:footnote>
  <w:footnote w:id="9">
    <w:p w14:paraId="7D28DA9F" w14:textId="0C93D9B8" w:rsidR="00271444" w:rsidRPr="008A5AD9" w:rsidRDefault="00271444"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t xml:space="preserve">(2007) 232 CLR 1 at </w:t>
      </w:r>
      <w:r w:rsidR="00CF70D4" w:rsidRPr="008A5AD9">
        <w:rPr>
          <w:rFonts w:ascii="Times New Roman" w:hAnsi="Times New Roman"/>
          <w:sz w:val="24"/>
        </w:rPr>
        <w:t>12 [1].</w:t>
      </w:r>
    </w:p>
  </w:footnote>
  <w:footnote w:id="10">
    <w:p w14:paraId="2F885374" w14:textId="77777777" w:rsidR="00C077FF" w:rsidRPr="008A5AD9" w:rsidRDefault="00C077FF"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t>(1990) 171 CLR 1.</w:t>
      </w:r>
    </w:p>
  </w:footnote>
  <w:footnote w:id="11">
    <w:p w14:paraId="45D51686" w14:textId="13772FED" w:rsidR="00E237ED" w:rsidRPr="008A5AD9" w:rsidRDefault="00E237ED"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00212C85" w:rsidRPr="008A5AD9">
        <w:rPr>
          <w:rFonts w:ascii="Times New Roman" w:hAnsi="Times New Roman"/>
          <w:i/>
          <w:iCs/>
          <w:sz w:val="24"/>
        </w:rPr>
        <w:t xml:space="preserve">NT Power Generation Pty Ltd v Power and Water Authority </w:t>
      </w:r>
      <w:r w:rsidR="00212C85" w:rsidRPr="008A5AD9">
        <w:rPr>
          <w:rFonts w:ascii="Times New Roman" w:hAnsi="Times New Roman"/>
          <w:sz w:val="24"/>
        </w:rPr>
        <w:t>(2004) 219 CLR 90 at</w:t>
      </w:r>
      <w:r w:rsidR="007822A5" w:rsidRPr="008A5AD9">
        <w:rPr>
          <w:rFonts w:ascii="Times New Roman" w:hAnsi="Times New Roman"/>
          <w:sz w:val="24"/>
        </w:rPr>
        <w:t xml:space="preserve"> </w:t>
      </w:r>
      <w:r w:rsidR="00E2751A" w:rsidRPr="008A5AD9">
        <w:rPr>
          <w:rFonts w:ascii="Times New Roman" w:hAnsi="Times New Roman"/>
          <w:sz w:val="24"/>
        </w:rPr>
        <w:t>151 [166], 152 [16</w:t>
      </w:r>
      <w:r w:rsidR="00012C6C" w:rsidRPr="008A5AD9">
        <w:rPr>
          <w:rFonts w:ascii="Times New Roman" w:hAnsi="Times New Roman"/>
          <w:sz w:val="24"/>
        </w:rPr>
        <w:t>9</w:t>
      </w:r>
      <w:r w:rsidR="00E2751A" w:rsidRPr="008A5AD9">
        <w:rPr>
          <w:rFonts w:ascii="Times New Roman" w:hAnsi="Times New Roman"/>
          <w:sz w:val="24"/>
        </w:rPr>
        <w:t>]</w:t>
      </w:r>
      <w:r w:rsidR="007822A5" w:rsidRPr="008A5AD9">
        <w:rPr>
          <w:rFonts w:ascii="Times New Roman" w:hAnsi="Times New Roman"/>
          <w:sz w:val="24"/>
        </w:rPr>
        <w:t xml:space="preserve">; </w:t>
      </w:r>
      <w:r w:rsidR="007822A5" w:rsidRPr="008A5AD9">
        <w:rPr>
          <w:rFonts w:ascii="Times New Roman" w:hAnsi="Times New Roman"/>
          <w:i/>
          <w:iCs/>
          <w:sz w:val="24"/>
        </w:rPr>
        <w:t>Australian Competition and Consumer Commission v Baxter</w:t>
      </w:r>
      <w:r w:rsidR="00E2751A" w:rsidRPr="008A5AD9">
        <w:rPr>
          <w:rFonts w:ascii="Times New Roman" w:hAnsi="Times New Roman"/>
          <w:i/>
          <w:iCs/>
          <w:sz w:val="24"/>
        </w:rPr>
        <w:t xml:space="preserve"> Healthcare Pty Ltd</w:t>
      </w:r>
      <w:r w:rsidR="007822A5" w:rsidRPr="008A5AD9">
        <w:rPr>
          <w:rFonts w:ascii="Times New Roman" w:hAnsi="Times New Roman"/>
          <w:i/>
          <w:iCs/>
          <w:sz w:val="24"/>
        </w:rPr>
        <w:t xml:space="preserve"> </w:t>
      </w:r>
      <w:r w:rsidR="007822A5" w:rsidRPr="008A5AD9">
        <w:rPr>
          <w:rFonts w:ascii="Times New Roman" w:hAnsi="Times New Roman"/>
          <w:sz w:val="24"/>
        </w:rPr>
        <w:t xml:space="preserve">(2007) 232 CLR 1 at </w:t>
      </w:r>
      <w:r w:rsidR="006C3E30" w:rsidRPr="008A5AD9">
        <w:rPr>
          <w:rFonts w:ascii="Times New Roman" w:hAnsi="Times New Roman"/>
          <w:sz w:val="24"/>
        </w:rPr>
        <w:t>27 [40]</w:t>
      </w:r>
      <w:r w:rsidR="007822A5" w:rsidRPr="008A5AD9">
        <w:rPr>
          <w:rFonts w:ascii="Times New Roman" w:hAnsi="Times New Roman"/>
          <w:sz w:val="24"/>
        </w:rPr>
        <w:t>.</w:t>
      </w:r>
    </w:p>
  </w:footnote>
  <w:footnote w:id="12">
    <w:p w14:paraId="3816424B" w14:textId="7BBEA085" w:rsidR="00B92264" w:rsidRPr="008A5AD9" w:rsidRDefault="00B92264"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t xml:space="preserve">See </w:t>
      </w:r>
      <w:r w:rsidRPr="008A5AD9">
        <w:rPr>
          <w:rFonts w:ascii="Times New Roman" w:hAnsi="Times New Roman"/>
          <w:i/>
          <w:iCs/>
          <w:sz w:val="24"/>
        </w:rPr>
        <w:t>Chief Executive Officer, Aboriginal Areas Protection Authority v Director of National Parks</w:t>
      </w:r>
      <w:r w:rsidRPr="008A5AD9">
        <w:rPr>
          <w:rFonts w:ascii="Times New Roman" w:hAnsi="Times New Roman"/>
          <w:sz w:val="24"/>
        </w:rPr>
        <w:t xml:space="preserve"> (2024) </w:t>
      </w:r>
      <w:r w:rsidR="00D328B4" w:rsidRPr="008A5AD9">
        <w:rPr>
          <w:rFonts w:ascii="Times New Roman" w:hAnsi="Times New Roman"/>
          <w:sz w:val="24"/>
        </w:rPr>
        <w:t>281 CLR 525</w:t>
      </w:r>
      <w:r w:rsidRPr="008A5AD9">
        <w:rPr>
          <w:rFonts w:ascii="Times New Roman" w:hAnsi="Times New Roman"/>
          <w:sz w:val="24"/>
        </w:rPr>
        <w:t xml:space="preserve"> at </w:t>
      </w:r>
      <w:r w:rsidR="00B1764B" w:rsidRPr="008A5AD9">
        <w:rPr>
          <w:rFonts w:ascii="Times New Roman" w:hAnsi="Times New Roman"/>
          <w:sz w:val="24"/>
        </w:rPr>
        <w:t>534-535</w:t>
      </w:r>
      <w:r w:rsidRPr="008A5AD9">
        <w:rPr>
          <w:rFonts w:ascii="Times New Roman" w:hAnsi="Times New Roman"/>
          <w:sz w:val="24"/>
        </w:rPr>
        <w:t xml:space="preserve"> [9]-[12].</w:t>
      </w:r>
    </w:p>
  </w:footnote>
  <w:footnote w:id="13">
    <w:p w14:paraId="5ECC1FD0" w14:textId="5B1B4A24" w:rsidR="007B6B46" w:rsidRPr="008A5AD9" w:rsidRDefault="007B6B46"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D0675B" w:rsidRPr="008A5AD9">
        <w:rPr>
          <w:rFonts w:ascii="Times New Roman" w:hAnsi="Times New Roman"/>
          <w:sz w:val="24"/>
        </w:rPr>
        <w:tab/>
      </w:r>
      <w:r w:rsidR="00F331B9" w:rsidRPr="008A5AD9">
        <w:rPr>
          <w:rFonts w:ascii="Times New Roman" w:hAnsi="Times New Roman"/>
          <w:i/>
          <w:iCs/>
          <w:sz w:val="24"/>
        </w:rPr>
        <w:t xml:space="preserve">Australian Competition and Consumer Commission v Baxter </w:t>
      </w:r>
      <w:r w:rsidR="00CA249A" w:rsidRPr="008A5AD9">
        <w:rPr>
          <w:rFonts w:ascii="Times New Roman" w:hAnsi="Times New Roman"/>
          <w:i/>
          <w:iCs/>
          <w:sz w:val="24"/>
        </w:rPr>
        <w:t xml:space="preserve">Healthcare Pty Ltd </w:t>
      </w:r>
      <w:r w:rsidR="00A248B5" w:rsidRPr="008A5AD9">
        <w:rPr>
          <w:rFonts w:ascii="Times New Roman" w:hAnsi="Times New Roman"/>
          <w:sz w:val="24"/>
        </w:rPr>
        <w:t xml:space="preserve">(2007) </w:t>
      </w:r>
      <w:r w:rsidR="00EB68B9" w:rsidRPr="008A5AD9">
        <w:rPr>
          <w:rFonts w:ascii="Times New Roman" w:hAnsi="Times New Roman"/>
          <w:sz w:val="24"/>
        </w:rPr>
        <w:t xml:space="preserve">232 CLR 1 at </w:t>
      </w:r>
      <w:r w:rsidR="00211F5D" w:rsidRPr="008A5AD9">
        <w:rPr>
          <w:rFonts w:ascii="Times New Roman" w:hAnsi="Times New Roman"/>
          <w:sz w:val="24"/>
        </w:rPr>
        <w:t xml:space="preserve">28 </w:t>
      </w:r>
      <w:r w:rsidR="00EB68B9" w:rsidRPr="008A5AD9">
        <w:rPr>
          <w:rFonts w:ascii="Times New Roman" w:hAnsi="Times New Roman"/>
          <w:sz w:val="24"/>
        </w:rPr>
        <w:t xml:space="preserve">[42], quoting </w:t>
      </w:r>
      <w:r w:rsidR="00F331B9" w:rsidRPr="008A5AD9">
        <w:rPr>
          <w:rFonts w:ascii="Times New Roman" w:hAnsi="Times New Roman"/>
          <w:i/>
          <w:iCs/>
          <w:sz w:val="24"/>
        </w:rPr>
        <w:t>Bropho v Western Australia</w:t>
      </w:r>
      <w:r w:rsidR="00F331B9" w:rsidRPr="008A5AD9">
        <w:rPr>
          <w:rFonts w:ascii="Times New Roman" w:hAnsi="Times New Roman"/>
          <w:sz w:val="24"/>
        </w:rPr>
        <w:t xml:space="preserve"> </w:t>
      </w:r>
      <w:r w:rsidR="001F6D74" w:rsidRPr="008A5AD9">
        <w:rPr>
          <w:rFonts w:ascii="Times New Roman" w:hAnsi="Times New Roman"/>
          <w:sz w:val="24"/>
        </w:rPr>
        <w:t xml:space="preserve">(1990) 171 CLR 1 at </w:t>
      </w:r>
      <w:r w:rsidR="00E237ED" w:rsidRPr="008A5AD9">
        <w:rPr>
          <w:rFonts w:ascii="Times New Roman" w:hAnsi="Times New Roman"/>
          <w:sz w:val="24"/>
        </w:rPr>
        <w:t>28</w:t>
      </w:r>
      <w:r w:rsidR="00F331B9" w:rsidRPr="008A5AD9">
        <w:rPr>
          <w:rFonts w:ascii="Times New Roman" w:hAnsi="Times New Roman"/>
          <w:sz w:val="24"/>
        </w:rPr>
        <w:t>.</w:t>
      </w:r>
      <w:r w:rsidR="00EB68B9" w:rsidRPr="008A5AD9">
        <w:rPr>
          <w:rFonts w:ascii="Times New Roman" w:hAnsi="Times New Roman"/>
          <w:sz w:val="24"/>
        </w:rPr>
        <w:t xml:space="preserve"> </w:t>
      </w:r>
    </w:p>
  </w:footnote>
  <w:footnote w:id="14">
    <w:p w14:paraId="460F4E03" w14:textId="606D0D5F" w:rsidR="00333BAD" w:rsidRPr="008A5AD9" w:rsidRDefault="00333BAD"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00DA3055" w:rsidRPr="008A5AD9">
        <w:rPr>
          <w:rFonts w:ascii="Times New Roman" w:hAnsi="Times New Roman"/>
          <w:i/>
          <w:iCs/>
          <w:sz w:val="24"/>
        </w:rPr>
        <w:t>NT Power Generation Pty Ltd v Power and Water Authority</w:t>
      </w:r>
      <w:r w:rsidR="00CF0A16" w:rsidRPr="008A5AD9">
        <w:rPr>
          <w:rFonts w:ascii="Times New Roman" w:hAnsi="Times New Roman"/>
          <w:i/>
          <w:iCs/>
          <w:sz w:val="24"/>
        </w:rPr>
        <w:t xml:space="preserve"> </w:t>
      </w:r>
      <w:r w:rsidR="00CF0A16" w:rsidRPr="008A5AD9">
        <w:rPr>
          <w:rFonts w:ascii="Times New Roman" w:hAnsi="Times New Roman"/>
          <w:sz w:val="24"/>
        </w:rPr>
        <w:t>(2004) 219 CLR 90 at 152 [170]</w:t>
      </w:r>
      <w:r w:rsidR="0070600F" w:rsidRPr="008A5AD9">
        <w:rPr>
          <w:rFonts w:ascii="Times New Roman" w:hAnsi="Times New Roman"/>
          <w:sz w:val="24"/>
        </w:rPr>
        <w:t xml:space="preserve">, quoting </w:t>
      </w:r>
      <w:r w:rsidR="00211F5D" w:rsidRPr="008A5AD9">
        <w:rPr>
          <w:rFonts w:ascii="Times New Roman" w:hAnsi="Times New Roman"/>
          <w:i/>
          <w:sz w:val="24"/>
        </w:rPr>
        <w:t>Wyn</w:t>
      </w:r>
      <w:r w:rsidR="00211F5D" w:rsidRPr="008A5AD9">
        <w:rPr>
          <w:rFonts w:ascii="Times New Roman" w:hAnsi="Times New Roman"/>
          <w:i/>
          <w:iCs/>
          <w:sz w:val="24"/>
        </w:rPr>
        <w:t>y</w:t>
      </w:r>
      <w:r w:rsidR="00211F5D" w:rsidRPr="008A5AD9">
        <w:rPr>
          <w:rFonts w:ascii="Times New Roman" w:hAnsi="Times New Roman"/>
          <w:i/>
          <w:sz w:val="24"/>
        </w:rPr>
        <w:t xml:space="preserve">ard </w:t>
      </w:r>
      <w:r w:rsidR="000546AE" w:rsidRPr="008A5AD9">
        <w:rPr>
          <w:rFonts w:ascii="Times New Roman" w:hAnsi="Times New Roman"/>
          <w:i/>
          <w:sz w:val="24"/>
        </w:rPr>
        <w:t>Investments Pty Ltd v Commissioner for Railways (NSW)</w:t>
      </w:r>
      <w:r w:rsidR="000546AE" w:rsidRPr="008A5AD9">
        <w:rPr>
          <w:rFonts w:ascii="Times New Roman" w:hAnsi="Times New Roman"/>
          <w:sz w:val="24"/>
        </w:rPr>
        <w:t xml:space="preserve"> (1955) 93 CLR </w:t>
      </w:r>
      <w:r w:rsidR="008A00C6" w:rsidRPr="008A5AD9">
        <w:rPr>
          <w:rFonts w:ascii="Times New Roman" w:hAnsi="Times New Roman"/>
          <w:sz w:val="24"/>
        </w:rPr>
        <w:t>376 at 393.</w:t>
      </w:r>
    </w:p>
  </w:footnote>
  <w:footnote w:id="15">
    <w:p w14:paraId="6E234FC6" w14:textId="4426089E" w:rsidR="001D7A98" w:rsidRPr="008A5AD9" w:rsidRDefault="001D7A98"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6A0A6E" w:rsidRPr="008A5AD9">
        <w:rPr>
          <w:rFonts w:ascii="Times New Roman" w:hAnsi="Times New Roman"/>
          <w:sz w:val="24"/>
        </w:rPr>
        <w:tab/>
      </w:r>
      <w:r w:rsidR="006A0A6E" w:rsidRPr="008A5AD9">
        <w:rPr>
          <w:rFonts w:ascii="Times New Roman" w:hAnsi="Times New Roman"/>
          <w:i/>
          <w:iCs/>
          <w:sz w:val="24"/>
        </w:rPr>
        <w:t xml:space="preserve">NT Power Generation Pty Ltd v Power and Water Authority </w:t>
      </w:r>
      <w:r w:rsidR="006A0A6E" w:rsidRPr="008A5AD9">
        <w:rPr>
          <w:rFonts w:ascii="Times New Roman" w:hAnsi="Times New Roman"/>
          <w:sz w:val="24"/>
        </w:rPr>
        <w:t xml:space="preserve">(2004) 219 CLR 90 at </w:t>
      </w:r>
      <w:r w:rsidR="00A95F67" w:rsidRPr="008A5AD9">
        <w:rPr>
          <w:rFonts w:ascii="Times New Roman" w:hAnsi="Times New Roman"/>
          <w:sz w:val="24"/>
        </w:rPr>
        <w:t>152 [170]</w:t>
      </w:r>
      <w:r w:rsidR="006A0A6E" w:rsidRPr="008A5AD9">
        <w:rPr>
          <w:rFonts w:ascii="Times New Roman" w:hAnsi="Times New Roman"/>
          <w:sz w:val="24"/>
        </w:rPr>
        <w:t xml:space="preserve">; </w:t>
      </w:r>
      <w:r w:rsidR="006A0A6E" w:rsidRPr="008A5AD9">
        <w:rPr>
          <w:rFonts w:ascii="Times New Roman" w:hAnsi="Times New Roman"/>
          <w:i/>
          <w:iCs/>
          <w:sz w:val="24"/>
        </w:rPr>
        <w:t>Australian Competition and Consumer Commission v Baxter</w:t>
      </w:r>
      <w:r w:rsidR="00AD5C5B" w:rsidRPr="008A5AD9">
        <w:rPr>
          <w:rFonts w:ascii="Times New Roman" w:hAnsi="Times New Roman"/>
          <w:i/>
          <w:iCs/>
          <w:sz w:val="24"/>
        </w:rPr>
        <w:t xml:space="preserve"> Healthcare Pty Ltd</w:t>
      </w:r>
      <w:r w:rsidR="006A0A6E" w:rsidRPr="008A5AD9">
        <w:rPr>
          <w:rFonts w:ascii="Times New Roman" w:hAnsi="Times New Roman"/>
          <w:i/>
          <w:iCs/>
          <w:sz w:val="24"/>
        </w:rPr>
        <w:t xml:space="preserve"> </w:t>
      </w:r>
      <w:r w:rsidR="006A0A6E" w:rsidRPr="008A5AD9">
        <w:rPr>
          <w:rFonts w:ascii="Times New Roman" w:hAnsi="Times New Roman"/>
          <w:sz w:val="24"/>
        </w:rPr>
        <w:t>(2007) 232 CLR 1 at</w:t>
      </w:r>
      <w:r w:rsidR="00434665" w:rsidRPr="008A5AD9">
        <w:rPr>
          <w:rFonts w:ascii="Times New Roman" w:hAnsi="Times New Roman"/>
          <w:sz w:val="24"/>
        </w:rPr>
        <w:t xml:space="preserve"> 35 [62].</w:t>
      </w:r>
    </w:p>
  </w:footnote>
  <w:footnote w:id="16">
    <w:p w14:paraId="0F1A0666" w14:textId="3DE156D2" w:rsidR="00564605" w:rsidRPr="008A5AD9" w:rsidRDefault="00564605"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00687D41" w:rsidRPr="008A5AD9">
        <w:rPr>
          <w:rFonts w:ascii="Times New Roman" w:hAnsi="Times New Roman"/>
          <w:sz w:val="24"/>
        </w:rPr>
        <w:t xml:space="preserve">See </w:t>
      </w:r>
      <w:r w:rsidR="004B33F9" w:rsidRPr="008A5AD9">
        <w:rPr>
          <w:rFonts w:ascii="Times New Roman" w:hAnsi="Times New Roman"/>
          <w:i/>
          <w:iCs/>
          <w:sz w:val="24"/>
        </w:rPr>
        <w:t>Mayfield Development Corporation Pty Ltd v NSW Ports Operations Hold Co Pty Ltd</w:t>
      </w:r>
      <w:r w:rsidR="004B33F9" w:rsidRPr="008A5AD9">
        <w:rPr>
          <w:rFonts w:ascii="Times New Roman" w:hAnsi="Times New Roman"/>
          <w:sz w:val="24"/>
        </w:rPr>
        <w:t xml:space="preserve"> (2025) 308 FCR 153</w:t>
      </w:r>
      <w:r w:rsidR="00462F3B" w:rsidRPr="008A5AD9">
        <w:rPr>
          <w:rFonts w:ascii="Times New Roman" w:hAnsi="Times New Roman"/>
          <w:sz w:val="24"/>
        </w:rPr>
        <w:t xml:space="preserve"> at 158 [22].</w:t>
      </w:r>
    </w:p>
  </w:footnote>
  <w:footnote w:id="17">
    <w:p w14:paraId="0E005634" w14:textId="037C97BE" w:rsidR="00E31C79" w:rsidRPr="008A5AD9" w:rsidRDefault="00E31C79"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BD0B8B" w:rsidRPr="008A5AD9">
        <w:rPr>
          <w:rFonts w:ascii="Times New Roman" w:hAnsi="Times New Roman"/>
          <w:sz w:val="24"/>
        </w:rPr>
        <w:tab/>
      </w:r>
      <w:r w:rsidR="00BD0B8B" w:rsidRPr="008A5AD9">
        <w:rPr>
          <w:rFonts w:ascii="Times New Roman" w:hAnsi="Times New Roman"/>
          <w:i/>
          <w:iCs/>
          <w:sz w:val="24"/>
        </w:rPr>
        <w:t xml:space="preserve">NT Power Generation Pty Ltd v Power and Water Authority </w:t>
      </w:r>
      <w:r w:rsidR="00BD0B8B" w:rsidRPr="008A5AD9">
        <w:rPr>
          <w:rFonts w:ascii="Times New Roman" w:hAnsi="Times New Roman"/>
          <w:sz w:val="24"/>
        </w:rPr>
        <w:t xml:space="preserve">(2004) 219 CLR 90 at </w:t>
      </w:r>
      <w:r w:rsidR="007A0FDB" w:rsidRPr="008A5AD9">
        <w:rPr>
          <w:rFonts w:ascii="Times New Roman" w:hAnsi="Times New Roman"/>
          <w:sz w:val="24"/>
        </w:rPr>
        <w:t>152 [170]</w:t>
      </w:r>
      <w:r w:rsidR="00BD0B8B" w:rsidRPr="008A5AD9">
        <w:rPr>
          <w:rFonts w:ascii="Times New Roman" w:hAnsi="Times New Roman"/>
          <w:sz w:val="24"/>
        </w:rPr>
        <w:t xml:space="preserve">; </w:t>
      </w:r>
      <w:r w:rsidR="00BD0B8B" w:rsidRPr="008A5AD9">
        <w:rPr>
          <w:rFonts w:ascii="Times New Roman" w:hAnsi="Times New Roman"/>
          <w:i/>
          <w:iCs/>
          <w:sz w:val="24"/>
        </w:rPr>
        <w:t>Australian Competition and Consumer Commission v Baxter</w:t>
      </w:r>
      <w:r w:rsidR="008906A8" w:rsidRPr="008A5AD9">
        <w:rPr>
          <w:rFonts w:ascii="Times New Roman" w:hAnsi="Times New Roman"/>
          <w:i/>
          <w:iCs/>
          <w:sz w:val="24"/>
        </w:rPr>
        <w:t xml:space="preserve"> Healthcare Pty Ltd</w:t>
      </w:r>
      <w:r w:rsidR="00BD0B8B" w:rsidRPr="008A5AD9">
        <w:rPr>
          <w:rFonts w:ascii="Times New Roman" w:hAnsi="Times New Roman"/>
          <w:i/>
          <w:iCs/>
          <w:sz w:val="24"/>
        </w:rPr>
        <w:t xml:space="preserve"> </w:t>
      </w:r>
      <w:r w:rsidR="00BD0B8B" w:rsidRPr="008A5AD9">
        <w:rPr>
          <w:rFonts w:ascii="Times New Roman" w:hAnsi="Times New Roman"/>
          <w:sz w:val="24"/>
        </w:rPr>
        <w:t xml:space="preserve">(2007) 232 CLR 1 at </w:t>
      </w:r>
      <w:r w:rsidR="007309E8" w:rsidRPr="008A5AD9">
        <w:rPr>
          <w:rFonts w:ascii="Times New Roman" w:hAnsi="Times New Roman"/>
          <w:sz w:val="24"/>
        </w:rPr>
        <w:t xml:space="preserve">35 [62]. </w:t>
      </w:r>
    </w:p>
  </w:footnote>
  <w:footnote w:id="18">
    <w:p w14:paraId="14BB440A" w14:textId="09F0BA4A" w:rsidR="00966AD8" w:rsidRPr="008A5AD9" w:rsidRDefault="00966AD8"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DE01F6" w:rsidRPr="008A5AD9">
        <w:rPr>
          <w:rFonts w:ascii="Times New Roman" w:hAnsi="Times New Roman"/>
          <w:sz w:val="24"/>
        </w:rPr>
        <w:tab/>
      </w:r>
      <w:r w:rsidR="00DE01F6" w:rsidRPr="008A5AD9">
        <w:rPr>
          <w:rFonts w:ascii="Times New Roman" w:hAnsi="Times New Roman"/>
          <w:i/>
          <w:iCs/>
          <w:sz w:val="24"/>
        </w:rPr>
        <w:t xml:space="preserve">Australian Competition and Consumer Commission v Baxter </w:t>
      </w:r>
      <w:r w:rsidR="00657E34" w:rsidRPr="008A5AD9">
        <w:rPr>
          <w:rFonts w:ascii="Times New Roman" w:hAnsi="Times New Roman"/>
          <w:i/>
          <w:iCs/>
          <w:sz w:val="24"/>
        </w:rPr>
        <w:t xml:space="preserve">Healthcare Pty Ltd </w:t>
      </w:r>
      <w:r w:rsidR="00DE01F6" w:rsidRPr="008A5AD9">
        <w:rPr>
          <w:rFonts w:ascii="Times New Roman" w:hAnsi="Times New Roman"/>
          <w:sz w:val="24"/>
        </w:rPr>
        <w:t xml:space="preserve">(2007) 232 CLR 1 at </w:t>
      </w:r>
      <w:r w:rsidR="007309E8" w:rsidRPr="008A5AD9">
        <w:rPr>
          <w:rFonts w:ascii="Times New Roman" w:hAnsi="Times New Roman"/>
          <w:sz w:val="24"/>
        </w:rPr>
        <w:t>34</w:t>
      </w:r>
      <w:r w:rsidR="00DE01F6" w:rsidRPr="008A5AD9">
        <w:rPr>
          <w:rFonts w:ascii="Times New Roman" w:hAnsi="Times New Roman"/>
          <w:sz w:val="24"/>
        </w:rPr>
        <w:t xml:space="preserve"> [58].</w:t>
      </w:r>
    </w:p>
  </w:footnote>
  <w:footnote w:id="19">
    <w:p w14:paraId="7980774B" w14:textId="18284AD1" w:rsidR="00AB5814" w:rsidRPr="008A5AD9" w:rsidRDefault="00AB5814"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00901AC0" w:rsidRPr="008A5AD9">
        <w:rPr>
          <w:rFonts w:ascii="Times New Roman" w:hAnsi="Times New Roman"/>
          <w:i/>
          <w:iCs/>
          <w:sz w:val="24"/>
        </w:rPr>
        <w:t xml:space="preserve">Trade Practices Act 1974 </w:t>
      </w:r>
      <w:r w:rsidR="00901AC0" w:rsidRPr="008A5AD9">
        <w:rPr>
          <w:rFonts w:ascii="Times New Roman" w:hAnsi="Times New Roman"/>
          <w:sz w:val="24"/>
        </w:rPr>
        <w:t xml:space="preserve">(Cth), renamed by </w:t>
      </w:r>
      <w:r w:rsidR="00112D27" w:rsidRPr="008A5AD9">
        <w:rPr>
          <w:rFonts w:ascii="Times New Roman" w:hAnsi="Times New Roman"/>
          <w:sz w:val="24"/>
        </w:rPr>
        <w:t xml:space="preserve">item 2 of Sch 5 to </w:t>
      </w:r>
      <w:r w:rsidR="00A11961" w:rsidRPr="008A5AD9">
        <w:rPr>
          <w:rFonts w:ascii="Times New Roman" w:hAnsi="Times New Roman"/>
          <w:sz w:val="24"/>
        </w:rPr>
        <w:t xml:space="preserve">the </w:t>
      </w:r>
      <w:r w:rsidR="00A11961" w:rsidRPr="008A5AD9">
        <w:rPr>
          <w:rFonts w:ascii="Times New Roman" w:hAnsi="Times New Roman"/>
          <w:i/>
          <w:iCs/>
          <w:sz w:val="24"/>
        </w:rPr>
        <w:t>Trade Practices Amendment (Australian Consumer Law) Act (No 2) 2010</w:t>
      </w:r>
      <w:r w:rsidR="0020401D" w:rsidRPr="008A5AD9">
        <w:rPr>
          <w:rFonts w:ascii="Times New Roman" w:hAnsi="Times New Roman"/>
          <w:i/>
          <w:iCs/>
          <w:sz w:val="24"/>
        </w:rPr>
        <w:t xml:space="preserve"> </w:t>
      </w:r>
      <w:r w:rsidR="0020401D" w:rsidRPr="008A5AD9">
        <w:rPr>
          <w:rFonts w:ascii="Times New Roman" w:hAnsi="Times New Roman"/>
          <w:sz w:val="24"/>
        </w:rPr>
        <w:t>(Cth)</w:t>
      </w:r>
      <w:r w:rsidR="004975AE" w:rsidRPr="008A5AD9">
        <w:rPr>
          <w:rFonts w:ascii="Times New Roman" w:hAnsi="Times New Roman"/>
          <w:sz w:val="24"/>
        </w:rPr>
        <w:t>.</w:t>
      </w:r>
      <w:r w:rsidR="00171CD0" w:rsidRPr="008A5AD9">
        <w:rPr>
          <w:rFonts w:ascii="Times New Roman" w:hAnsi="Times New Roman"/>
          <w:sz w:val="24"/>
        </w:rPr>
        <w:t xml:space="preserve"> </w:t>
      </w:r>
      <w:r w:rsidR="00013B05" w:rsidRPr="008A5AD9">
        <w:rPr>
          <w:rFonts w:ascii="Times New Roman" w:hAnsi="Times New Roman"/>
          <w:sz w:val="24"/>
        </w:rPr>
        <w:t xml:space="preserve">The term "CCA" </w:t>
      </w:r>
      <w:r w:rsidR="005D5517" w:rsidRPr="008A5AD9">
        <w:rPr>
          <w:rFonts w:ascii="Times New Roman" w:hAnsi="Times New Roman"/>
          <w:sz w:val="24"/>
        </w:rPr>
        <w:t>is</w:t>
      </w:r>
      <w:r w:rsidR="00013B05" w:rsidRPr="008A5AD9">
        <w:rPr>
          <w:rFonts w:ascii="Times New Roman" w:hAnsi="Times New Roman"/>
          <w:sz w:val="24"/>
        </w:rPr>
        <w:t xml:space="preserve"> used in these reasons </w:t>
      </w:r>
      <w:r w:rsidR="00AA52A3" w:rsidRPr="008A5AD9">
        <w:rPr>
          <w:rFonts w:ascii="Times New Roman" w:hAnsi="Times New Roman"/>
          <w:sz w:val="24"/>
        </w:rPr>
        <w:t>also to refer</w:t>
      </w:r>
      <w:r w:rsidR="00673A53" w:rsidRPr="008A5AD9">
        <w:rPr>
          <w:rFonts w:ascii="Times New Roman" w:hAnsi="Times New Roman"/>
          <w:sz w:val="24"/>
        </w:rPr>
        <w:t xml:space="preserve"> to </w:t>
      </w:r>
      <w:r w:rsidR="00AA52A3" w:rsidRPr="008A5AD9">
        <w:rPr>
          <w:rFonts w:ascii="Times New Roman" w:hAnsi="Times New Roman"/>
          <w:sz w:val="24"/>
        </w:rPr>
        <w:t xml:space="preserve">the legislation in </w:t>
      </w:r>
      <w:r w:rsidR="00673A53" w:rsidRPr="008A5AD9">
        <w:rPr>
          <w:rFonts w:ascii="Times New Roman" w:hAnsi="Times New Roman"/>
          <w:sz w:val="24"/>
        </w:rPr>
        <w:t>this earlier form</w:t>
      </w:r>
      <w:r w:rsidR="00013B05" w:rsidRPr="008A5AD9">
        <w:rPr>
          <w:rFonts w:ascii="Times New Roman" w:hAnsi="Times New Roman"/>
          <w:sz w:val="24"/>
        </w:rPr>
        <w:t>.</w:t>
      </w:r>
    </w:p>
  </w:footnote>
  <w:footnote w:id="20">
    <w:p w14:paraId="21AEB4B6" w14:textId="72C3F53A" w:rsidR="00242517" w:rsidRPr="008A5AD9" w:rsidRDefault="00242517"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290A31" w:rsidRPr="008A5AD9">
        <w:rPr>
          <w:rFonts w:ascii="Times New Roman" w:hAnsi="Times New Roman"/>
          <w:sz w:val="24"/>
        </w:rPr>
        <w:tab/>
        <w:t xml:space="preserve">(1979) 145 CLR </w:t>
      </w:r>
      <w:r w:rsidR="00F06C9E" w:rsidRPr="008A5AD9">
        <w:rPr>
          <w:rFonts w:ascii="Times New Roman" w:hAnsi="Times New Roman"/>
          <w:sz w:val="24"/>
        </w:rPr>
        <w:t>107.</w:t>
      </w:r>
    </w:p>
  </w:footnote>
  <w:footnote w:id="21">
    <w:p w14:paraId="19822B20" w14:textId="09A3010F" w:rsidR="00D37637" w:rsidRPr="008A5AD9" w:rsidRDefault="00D37637"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Pr="008A5AD9">
        <w:rPr>
          <w:rFonts w:ascii="Times New Roman" w:hAnsi="Times New Roman"/>
          <w:i/>
          <w:iCs/>
          <w:sz w:val="24"/>
        </w:rPr>
        <w:t xml:space="preserve">Australian Competition and Consumer Commission v Baxter </w:t>
      </w:r>
      <w:r w:rsidR="00657E34" w:rsidRPr="008A5AD9">
        <w:rPr>
          <w:rFonts w:ascii="Times New Roman" w:hAnsi="Times New Roman"/>
          <w:i/>
          <w:iCs/>
          <w:sz w:val="24"/>
        </w:rPr>
        <w:t>Healthcare Pty Ltd</w:t>
      </w:r>
      <w:r w:rsidR="00657E34" w:rsidRPr="008A5AD9">
        <w:rPr>
          <w:rFonts w:ascii="Times New Roman" w:hAnsi="Times New Roman"/>
          <w:sz w:val="24"/>
        </w:rPr>
        <w:t xml:space="preserve"> </w:t>
      </w:r>
      <w:r w:rsidRPr="008A5AD9">
        <w:rPr>
          <w:rFonts w:ascii="Times New Roman" w:hAnsi="Times New Roman"/>
          <w:sz w:val="24"/>
        </w:rPr>
        <w:t xml:space="preserve">(2007) 232 CLR 1 at </w:t>
      </w:r>
      <w:r w:rsidR="0029282A" w:rsidRPr="008A5AD9">
        <w:rPr>
          <w:rFonts w:ascii="Times New Roman" w:hAnsi="Times New Roman"/>
          <w:sz w:val="24"/>
        </w:rPr>
        <w:t xml:space="preserve">28 </w:t>
      </w:r>
      <w:r w:rsidRPr="008A5AD9">
        <w:rPr>
          <w:rFonts w:ascii="Times New Roman" w:hAnsi="Times New Roman"/>
          <w:sz w:val="24"/>
        </w:rPr>
        <w:t>[43].</w:t>
      </w:r>
    </w:p>
  </w:footnote>
  <w:footnote w:id="22">
    <w:p w14:paraId="773FFBB8" w14:textId="5EBCF25D" w:rsidR="00E52964" w:rsidRPr="008A5AD9" w:rsidRDefault="00E52964"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793550" w:rsidRPr="008A5AD9">
        <w:rPr>
          <w:rFonts w:ascii="Times New Roman" w:hAnsi="Times New Roman"/>
          <w:sz w:val="24"/>
        </w:rPr>
        <w:tab/>
        <w:t xml:space="preserve">See </w:t>
      </w:r>
      <w:r w:rsidR="00793550" w:rsidRPr="008A5AD9">
        <w:rPr>
          <w:rFonts w:ascii="Times New Roman" w:hAnsi="Times New Roman"/>
          <w:i/>
          <w:iCs/>
          <w:sz w:val="24"/>
        </w:rPr>
        <w:t>Bass v Permanent Trustee Co Ltd</w:t>
      </w:r>
      <w:r w:rsidR="00793550" w:rsidRPr="008A5AD9">
        <w:rPr>
          <w:rFonts w:ascii="Times New Roman" w:hAnsi="Times New Roman"/>
          <w:sz w:val="24"/>
        </w:rPr>
        <w:t xml:space="preserve"> (1999) 198 CLR </w:t>
      </w:r>
      <w:r w:rsidR="00172B78" w:rsidRPr="008A5AD9">
        <w:rPr>
          <w:rFonts w:ascii="Times New Roman" w:hAnsi="Times New Roman"/>
          <w:sz w:val="24"/>
        </w:rPr>
        <w:t>334 at 354 [</w:t>
      </w:r>
      <w:r w:rsidR="00EF2957" w:rsidRPr="008A5AD9">
        <w:rPr>
          <w:rFonts w:ascii="Times New Roman" w:hAnsi="Times New Roman"/>
          <w:sz w:val="24"/>
        </w:rPr>
        <w:t>41]-</w:t>
      </w:r>
      <w:r w:rsidR="00172B78" w:rsidRPr="008A5AD9">
        <w:rPr>
          <w:rFonts w:ascii="Times New Roman" w:hAnsi="Times New Roman"/>
          <w:sz w:val="24"/>
        </w:rPr>
        <w:t>[42].</w:t>
      </w:r>
    </w:p>
  </w:footnote>
  <w:footnote w:id="23">
    <w:p w14:paraId="5254C8CA" w14:textId="09AEAD53" w:rsidR="00902077" w:rsidRPr="008A5AD9" w:rsidRDefault="00902077"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00D42B51" w:rsidRPr="008A5AD9">
        <w:rPr>
          <w:rFonts w:ascii="Times New Roman" w:hAnsi="Times New Roman"/>
          <w:sz w:val="24"/>
        </w:rPr>
        <w:t>(</w:t>
      </w:r>
      <w:r w:rsidRPr="008A5AD9">
        <w:rPr>
          <w:rFonts w:ascii="Times New Roman" w:hAnsi="Times New Roman"/>
          <w:sz w:val="24"/>
        </w:rPr>
        <w:t>2004) 219 CLR 90 at 152 [170].</w:t>
      </w:r>
    </w:p>
  </w:footnote>
  <w:footnote w:id="24">
    <w:p w14:paraId="207BF4BA" w14:textId="3F3F9C6E" w:rsidR="00F40D9F" w:rsidRPr="008A5AD9" w:rsidRDefault="00F40D9F"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0075643A" w:rsidRPr="008A5AD9">
        <w:rPr>
          <w:rFonts w:ascii="Times New Roman" w:hAnsi="Times New Roman"/>
          <w:sz w:val="24"/>
        </w:rPr>
        <w:t xml:space="preserve">(2007) 232 CLR 1 at </w:t>
      </w:r>
      <w:r w:rsidR="006A5232" w:rsidRPr="008A5AD9">
        <w:rPr>
          <w:rFonts w:ascii="Times New Roman" w:hAnsi="Times New Roman"/>
          <w:sz w:val="24"/>
        </w:rPr>
        <w:t>35 [62]</w:t>
      </w:r>
      <w:r w:rsidR="00B94D16" w:rsidRPr="008A5AD9">
        <w:rPr>
          <w:rFonts w:ascii="Times New Roman" w:hAnsi="Times New Roman"/>
          <w:sz w:val="24"/>
        </w:rPr>
        <w:t xml:space="preserve"> (emphasis omitted)</w:t>
      </w:r>
      <w:r w:rsidR="0075643A" w:rsidRPr="008A5AD9">
        <w:rPr>
          <w:rFonts w:ascii="Times New Roman" w:hAnsi="Times New Roman"/>
          <w:sz w:val="24"/>
        </w:rPr>
        <w:t>.</w:t>
      </w:r>
    </w:p>
  </w:footnote>
  <w:footnote w:id="25">
    <w:p w14:paraId="1F403416" w14:textId="097857E1" w:rsidR="00DD1770" w:rsidRPr="008A5AD9" w:rsidRDefault="00DD1770"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Pr="008A5AD9">
        <w:rPr>
          <w:rFonts w:ascii="Times New Roman" w:hAnsi="Times New Roman"/>
          <w:i/>
          <w:iCs/>
          <w:sz w:val="24"/>
        </w:rPr>
        <w:t xml:space="preserve">Australian Competition and Consumer Commission v Baxter </w:t>
      </w:r>
      <w:r w:rsidR="00657E34" w:rsidRPr="008A5AD9">
        <w:rPr>
          <w:rFonts w:ascii="Times New Roman" w:hAnsi="Times New Roman"/>
          <w:i/>
          <w:iCs/>
          <w:sz w:val="24"/>
        </w:rPr>
        <w:t>Healthcare Pty Ltd</w:t>
      </w:r>
      <w:r w:rsidR="00657E34" w:rsidRPr="008A5AD9">
        <w:rPr>
          <w:rFonts w:ascii="Times New Roman" w:hAnsi="Times New Roman"/>
          <w:sz w:val="24"/>
        </w:rPr>
        <w:t xml:space="preserve"> </w:t>
      </w:r>
      <w:r w:rsidRPr="008A5AD9">
        <w:rPr>
          <w:rFonts w:ascii="Times New Roman" w:hAnsi="Times New Roman"/>
          <w:sz w:val="24"/>
        </w:rPr>
        <w:t xml:space="preserve">(2007) 232 CLR 1 at </w:t>
      </w:r>
      <w:r w:rsidR="00DF5507" w:rsidRPr="008A5AD9">
        <w:rPr>
          <w:rFonts w:ascii="Times New Roman" w:hAnsi="Times New Roman"/>
          <w:sz w:val="24"/>
        </w:rPr>
        <w:t xml:space="preserve">36 </w:t>
      </w:r>
      <w:r w:rsidRPr="008A5AD9">
        <w:rPr>
          <w:rFonts w:ascii="Times New Roman" w:hAnsi="Times New Roman"/>
          <w:sz w:val="24"/>
        </w:rPr>
        <w:t>[</w:t>
      </w:r>
      <w:r w:rsidR="005D0F1A" w:rsidRPr="008A5AD9">
        <w:rPr>
          <w:rFonts w:ascii="Times New Roman" w:hAnsi="Times New Roman"/>
          <w:sz w:val="24"/>
        </w:rPr>
        <w:t>66]</w:t>
      </w:r>
      <w:r w:rsidR="00A57B6D" w:rsidRPr="008A5AD9">
        <w:rPr>
          <w:rFonts w:ascii="Times New Roman" w:hAnsi="Times New Roman"/>
          <w:sz w:val="24"/>
        </w:rPr>
        <w:t>; see also at</w:t>
      </w:r>
      <w:r w:rsidR="005D0F1A" w:rsidRPr="008A5AD9">
        <w:rPr>
          <w:rFonts w:ascii="Times New Roman" w:hAnsi="Times New Roman"/>
          <w:sz w:val="24"/>
        </w:rPr>
        <w:t xml:space="preserve"> </w:t>
      </w:r>
      <w:r w:rsidR="007603E0" w:rsidRPr="008A5AD9">
        <w:rPr>
          <w:rFonts w:ascii="Times New Roman" w:hAnsi="Times New Roman"/>
          <w:sz w:val="24"/>
        </w:rPr>
        <w:t xml:space="preserve">36 </w:t>
      </w:r>
      <w:r w:rsidRPr="008A5AD9">
        <w:rPr>
          <w:rFonts w:ascii="Times New Roman" w:hAnsi="Times New Roman"/>
          <w:sz w:val="24"/>
        </w:rPr>
        <w:t>[</w:t>
      </w:r>
      <w:r w:rsidR="00DF5507" w:rsidRPr="008A5AD9">
        <w:rPr>
          <w:rFonts w:ascii="Times New Roman" w:hAnsi="Times New Roman"/>
          <w:sz w:val="24"/>
        </w:rPr>
        <w:t>64]-[65].</w:t>
      </w:r>
    </w:p>
  </w:footnote>
  <w:footnote w:id="26">
    <w:p w14:paraId="0E0E685E" w14:textId="695C20CA" w:rsidR="00923CE0" w:rsidRPr="008A5AD9" w:rsidRDefault="00923CE0"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D42B51" w:rsidRPr="008A5AD9">
        <w:rPr>
          <w:rFonts w:ascii="Times New Roman" w:hAnsi="Times New Roman"/>
          <w:sz w:val="24"/>
        </w:rPr>
        <w:tab/>
        <w:t>(2004) 219 CLR 90 at</w:t>
      </w:r>
      <w:r w:rsidR="004C1149" w:rsidRPr="008A5AD9">
        <w:rPr>
          <w:rFonts w:ascii="Times New Roman" w:hAnsi="Times New Roman"/>
          <w:sz w:val="24"/>
        </w:rPr>
        <w:t xml:space="preserve"> </w:t>
      </w:r>
      <w:r w:rsidR="00AA2CEF" w:rsidRPr="008A5AD9">
        <w:rPr>
          <w:rFonts w:ascii="Times New Roman" w:hAnsi="Times New Roman"/>
          <w:sz w:val="24"/>
        </w:rPr>
        <w:t xml:space="preserve">152-159 </w:t>
      </w:r>
      <w:r w:rsidR="004C1149" w:rsidRPr="008A5AD9">
        <w:rPr>
          <w:rFonts w:ascii="Times New Roman" w:hAnsi="Times New Roman"/>
          <w:sz w:val="24"/>
        </w:rPr>
        <w:t>[170]-[190]</w:t>
      </w:r>
      <w:r w:rsidR="00AA2CEF" w:rsidRPr="008A5AD9">
        <w:rPr>
          <w:rFonts w:ascii="Times New Roman" w:hAnsi="Times New Roman"/>
          <w:sz w:val="24"/>
        </w:rPr>
        <w:t>.</w:t>
      </w:r>
    </w:p>
  </w:footnote>
  <w:footnote w:id="27">
    <w:p w14:paraId="4B21C26C" w14:textId="5033E267" w:rsidR="00035A93" w:rsidRPr="008A5AD9" w:rsidRDefault="00035A93"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D8594A" w:rsidRPr="008A5AD9">
        <w:rPr>
          <w:rFonts w:ascii="Times New Roman" w:hAnsi="Times New Roman"/>
          <w:sz w:val="24"/>
        </w:rPr>
        <w:tab/>
        <w:t>(2007) 232 CLR 1 at 3</w:t>
      </w:r>
      <w:r w:rsidR="00F37F08" w:rsidRPr="008A5AD9">
        <w:rPr>
          <w:rFonts w:ascii="Times New Roman" w:hAnsi="Times New Roman"/>
          <w:sz w:val="24"/>
        </w:rPr>
        <w:t>5</w:t>
      </w:r>
      <w:r w:rsidR="00D8594A" w:rsidRPr="008A5AD9">
        <w:rPr>
          <w:rFonts w:ascii="Times New Roman" w:hAnsi="Times New Roman"/>
          <w:sz w:val="24"/>
        </w:rPr>
        <w:t xml:space="preserve"> [60]</w:t>
      </w:r>
      <w:r w:rsidR="00F37F08" w:rsidRPr="008A5AD9">
        <w:rPr>
          <w:rFonts w:ascii="Times New Roman" w:hAnsi="Times New Roman"/>
          <w:sz w:val="24"/>
        </w:rPr>
        <w:t>, 37 [68]</w:t>
      </w:r>
      <w:r w:rsidR="00D8594A" w:rsidRPr="008A5AD9">
        <w:rPr>
          <w:rFonts w:ascii="Times New Roman" w:hAnsi="Times New Roman"/>
          <w:sz w:val="24"/>
        </w:rPr>
        <w:t>.</w:t>
      </w:r>
    </w:p>
  </w:footnote>
  <w:footnote w:id="28">
    <w:p w14:paraId="6C06C189" w14:textId="5988FAD3" w:rsidR="00E83974" w:rsidRPr="008A5AD9" w:rsidRDefault="00E83974"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65655F" w:rsidRPr="008A5AD9">
        <w:rPr>
          <w:rFonts w:ascii="Times New Roman" w:hAnsi="Times New Roman"/>
          <w:sz w:val="24"/>
        </w:rPr>
        <w:tab/>
      </w:r>
      <w:r w:rsidR="00675D96" w:rsidRPr="008A5AD9">
        <w:rPr>
          <w:rFonts w:ascii="Times New Roman" w:hAnsi="Times New Roman"/>
          <w:i/>
          <w:iCs/>
          <w:sz w:val="24"/>
        </w:rPr>
        <w:t xml:space="preserve">Competition Policy Reform Act 1995 </w:t>
      </w:r>
      <w:r w:rsidR="00675D96" w:rsidRPr="008A5AD9">
        <w:rPr>
          <w:rFonts w:ascii="Times New Roman" w:hAnsi="Times New Roman"/>
          <w:sz w:val="24"/>
        </w:rPr>
        <w:t xml:space="preserve">(Cth). </w:t>
      </w:r>
    </w:p>
  </w:footnote>
  <w:footnote w:id="29">
    <w:p w14:paraId="17F9CCDC" w14:textId="30BD1835" w:rsidR="00ED579D" w:rsidRPr="008A5AD9" w:rsidRDefault="00ED579D"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5004D2" w:rsidRPr="008A5AD9">
        <w:rPr>
          <w:rFonts w:ascii="Times New Roman" w:hAnsi="Times New Roman"/>
          <w:sz w:val="24"/>
        </w:rPr>
        <w:tab/>
      </w:r>
      <w:r w:rsidR="00A47253" w:rsidRPr="008A5AD9">
        <w:rPr>
          <w:rFonts w:ascii="Times New Roman" w:hAnsi="Times New Roman"/>
          <w:i/>
          <w:iCs/>
          <w:sz w:val="24"/>
        </w:rPr>
        <w:t>Re Ku</w:t>
      </w:r>
      <w:r w:rsidR="00CF1924" w:rsidRPr="008A5AD9">
        <w:rPr>
          <w:rFonts w:ascii="Times New Roman" w:hAnsi="Times New Roman"/>
          <w:i/>
          <w:iCs/>
          <w:sz w:val="24"/>
        </w:rPr>
        <w:t>-ring-gai</w:t>
      </w:r>
      <w:r w:rsidR="00B15DAC" w:rsidRPr="008A5AD9">
        <w:rPr>
          <w:rFonts w:ascii="Times New Roman" w:hAnsi="Times New Roman"/>
          <w:i/>
          <w:iCs/>
          <w:sz w:val="24"/>
        </w:rPr>
        <w:t xml:space="preserve"> </w:t>
      </w:r>
      <w:r w:rsidR="00FD5097" w:rsidRPr="008A5AD9">
        <w:rPr>
          <w:rFonts w:ascii="Times New Roman" w:hAnsi="Times New Roman"/>
          <w:i/>
          <w:iCs/>
          <w:sz w:val="24"/>
        </w:rPr>
        <w:t>Co-</w:t>
      </w:r>
      <w:r w:rsidR="00C466A2" w:rsidRPr="008A5AD9">
        <w:rPr>
          <w:rFonts w:ascii="Times New Roman" w:hAnsi="Times New Roman"/>
          <w:i/>
          <w:iCs/>
          <w:sz w:val="24"/>
        </w:rPr>
        <w:t>op</w:t>
      </w:r>
      <w:r w:rsidR="00D05B0F" w:rsidRPr="008A5AD9">
        <w:rPr>
          <w:rFonts w:ascii="Times New Roman" w:hAnsi="Times New Roman"/>
          <w:i/>
          <w:iCs/>
          <w:sz w:val="24"/>
        </w:rPr>
        <w:t xml:space="preserve">erative Building Society </w:t>
      </w:r>
      <w:r w:rsidR="00480EC5" w:rsidRPr="008A5AD9">
        <w:rPr>
          <w:rFonts w:ascii="Times New Roman" w:hAnsi="Times New Roman"/>
          <w:i/>
          <w:iCs/>
          <w:sz w:val="24"/>
        </w:rPr>
        <w:t xml:space="preserve">(No 12) Ltd </w:t>
      </w:r>
      <w:r w:rsidR="00A04CA9" w:rsidRPr="008A5AD9">
        <w:rPr>
          <w:rFonts w:ascii="Times New Roman" w:hAnsi="Times New Roman"/>
          <w:sz w:val="24"/>
        </w:rPr>
        <w:t xml:space="preserve">(1978) 22 ALR 621 </w:t>
      </w:r>
      <w:r w:rsidR="00480EC5" w:rsidRPr="008A5AD9">
        <w:rPr>
          <w:rFonts w:ascii="Times New Roman" w:hAnsi="Times New Roman"/>
          <w:sz w:val="24"/>
        </w:rPr>
        <w:t xml:space="preserve">at 635. </w:t>
      </w:r>
    </w:p>
  </w:footnote>
  <w:footnote w:id="30">
    <w:p w14:paraId="1B324390" w14:textId="179DC249" w:rsidR="002B513A" w:rsidRPr="008A5AD9" w:rsidRDefault="002B513A"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00C92C1F" w:rsidRPr="008A5AD9">
        <w:rPr>
          <w:rFonts w:ascii="Times New Roman" w:hAnsi="Times New Roman"/>
          <w:sz w:val="24"/>
        </w:rPr>
        <w:tab/>
        <w:t xml:space="preserve">(2023) </w:t>
      </w:r>
      <w:r w:rsidR="00526403" w:rsidRPr="008A5AD9">
        <w:rPr>
          <w:rFonts w:ascii="Times New Roman" w:hAnsi="Times New Roman"/>
          <w:sz w:val="24"/>
        </w:rPr>
        <w:t xml:space="preserve">296 </w:t>
      </w:r>
      <w:r w:rsidR="00E75E1B" w:rsidRPr="008A5AD9">
        <w:rPr>
          <w:rFonts w:ascii="Times New Roman" w:hAnsi="Times New Roman"/>
          <w:sz w:val="24"/>
        </w:rPr>
        <w:t xml:space="preserve">FCR </w:t>
      </w:r>
      <w:r w:rsidR="00526403" w:rsidRPr="008A5AD9">
        <w:rPr>
          <w:rFonts w:ascii="Times New Roman" w:hAnsi="Times New Roman"/>
          <w:sz w:val="24"/>
        </w:rPr>
        <w:t>364 at 468 [401]</w:t>
      </w:r>
      <w:r w:rsidR="00834457" w:rsidRPr="008A5AD9">
        <w:rPr>
          <w:rFonts w:ascii="Times New Roman" w:hAnsi="Times New Roman"/>
          <w:sz w:val="24"/>
        </w:rPr>
        <w:t>-[402</w:t>
      </w:r>
      <w:r w:rsidR="00526403" w:rsidRPr="008A5AD9">
        <w:rPr>
          <w:rFonts w:ascii="Times New Roman" w:hAnsi="Times New Roman"/>
          <w:sz w:val="24"/>
        </w:rPr>
        <w:t>].</w:t>
      </w:r>
    </w:p>
  </w:footnote>
  <w:footnote w:id="31">
    <w:p w14:paraId="3194E677" w14:textId="7063734E" w:rsidR="00CD6221" w:rsidRPr="008A5AD9" w:rsidRDefault="00CD6221"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t xml:space="preserve">(2023) 296 </w:t>
      </w:r>
      <w:r w:rsidR="00E75E1B" w:rsidRPr="008A5AD9">
        <w:rPr>
          <w:rFonts w:ascii="Times New Roman" w:hAnsi="Times New Roman"/>
          <w:sz w:val="24"/>
        </w:rPr>
        <w:t xml:space="preserve">FCR </w:t>
      </w:r>
      <w:r w:rsidRPr="008A5AD9">
        <w:rPr>
          <w:rFonts w:ascii="Times New Roman" w:hAnsi="Times New Roman"/>
          <w:sz w:val="24"/>
        </w:rPr>
        <w:t>364 at 46</w:t>
      </w:r>
      <w:r w:rsidR="00236413" w:rsidRPr="008A5AD9">
        <w:rPr>
          <w:rFonts w:ascii="Times New Roman" w:hAnsi="Times New Roman"/>
          <w:sz w:val="24"/>
        </w:rPr>
        <w:t>9</w:t>
      </w:r>
      <w:r w:rsidRPr="008A5AD9">
        <w:rPr>
          <w:rFonts w:ascii="Times New Roman" w:hAnsi="Times New Roman"/>
          <w:sz w:val="24"/>
        </w:rPr>
        <w:t xml:space="preserve"> [404].</w:t>
      </w:r>
    </w:p>
  </w:footnote>
  <w:footnote w:id="32">
    <w:p w14:paraId="63E9F275" w14:textId="5D50DA89" w:rsidR="00845411" w:rsidRPr="008A5AD9" w:rsidRDefault="00845411"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t xml:space="preserve">(2023) 296 FCR 364 at 471 </w:t>
      </w:r>
      <w:r w:rsidRPr="008A5AD9" w:rsidDel="00ED2EDB">
        <w:rPr>
          <w:rFonts w:ascii="Times New Roman" w:hAnsi="Times New Roman"/>
          <w:sz w:val="24"/>
        </w:rPr>
        <w:t>[</w:t>
      </w:r>
      <w:r w:rsidRPr="008A5AD9">
        <w:rPr>
          <w:rFonts w:ascii="Times New Roman" w:hAnsi="Times New Roman"/>
          <w:sz w:val="24"/>
        </w:rPr>
        <w:t>412].</w:t>
      </w:r>
    </w:p>
  </w:footnote>
  <w:footnote w:id="33">
    <w:p w14:paraId="68A607B1" w14:textId="30770428" w:rsidR="00C540E7" w:rsidRPr="008A5AD9" w:rsidRDefault="00C540E7"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00100854" w:rsidRPr="008A5AD9">
        <w:rPr>
          <w:rFonts w:ascii="Times New Roman" w:hAnsi="Times New Roman"/>
          <w:sz w:val="24"/>
        </w:rPr>
        <w:t>(2023) 296 FCR 364 at 469-471 [405]-[412].</w:t>
      </w:r>
    </w:p>
  </w:footnote>
  <w:footnote w:id="34">
    <w:p w14:paraId="210766A5" w14:textId="77777777" w:rsidR="00845411" w:rsidRPr="008A5AD9" w:rsidRDefault="00845411"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t>(2023) 296 FCR 364 at 471 [412].</w:t>
      </w:r>
    </w:p>
  </w:footnote>
  <w:footnote w:id="35">
    <w:p w14:paraId="33F99040" w14:textId="6114E3AB" w:rsidR="00845411" w:rsidRPr="008A5AD9" w:rsidRDefault="00845411"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t xml:space="preserve">(2023) 296 FCR 364 at </w:t>
      </w:r>
      <w:r w:rsidR="00ED2EDB" w:rsidRPr="008A5AD9">
        <w:rPr>
          <w:rFonts w:ascii="Times New Roman" w:hAnsi="Times New Roman"/>
          <w:sz w:val="24"/>
        </w:rPr>
        <w:t xml:space="preserve">494 </w:t>
      </w:r>
      <w:r w:rsidRPr="008A5AD9">
        <w:rPr>
          <w:rFonts w:ascii="Times New Roman" w:hAnsi="Times New Roman"/>
          <w:sz w:val="24"/>
        </w:rPr>
        <w:t>[589], [592], 498 [620].</w:t>
      </w:r>
    </w:p>
  </w:footnote>
  <w:footnote w:id="36">
    <w:p w14:paraId="081FA598" w14:textId="7CA834A1" w:rsidR="00845411" w:rsidRPr="008A5AD9" w:rsidRDefault="00845411"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Pr="008A5AD9">
        <w:rPr>
          <w:rFonts w:ascii="Times New Roman" w:hAnsi="Times New Roman"/>
          <w:i/>
          <w:sz w:val="24"/>
        </w:rPr>
        <w:t>Port of Portland Pty Ltd v Victoria</w:t>
      </w:r>
      <w:r w:rsidRPr="008A5AD9">
        <w:rPr>
          <w:rFonts w:ascii="Times New Roman" w:hAnsi="Times New Roman"/>
          <w:sz w:val="24"/>
        </w:rPr>
        <w:t xml:space="preserve"> (2010) 242 CLR 348 at 359 [13]</w:t>
      </w:r>
      <w:r w:rsidR="00ED2EDB" w:rsidRPr="008A5AD9">
        <w:rPr>
          <w:rFonts w:ascii="Times New Roman" w:hAnsi="Times New Roman"/>
          <w:sz w:val="24"/>
        </w:rPr>
        <w:t xml:space="preserve">, quoting </w:t>
      </w:r>
      <w:r w:rsidR="00ED2EDB" w:rsidRPr="008A5AD9">
        <w:rPr>
          <w:rFonts w:ascii="Times New Roman" w:hAnsi="Times New Roman"/>
          <w:i/>
          <w:iCs/>
          <w:sz w:val="24"/>
        </w:rPr>
        <w:t xml:space="preserve">Cam and Sons Pty Ltd v Ramsay </w:t>
      </w:r>
      <w:r w:rsidR="00ED2EDB" w:rsidRPr="008A5AD9">
        <w:rPr>
          <w:rFonts w:ascii="Times New Roman" w:hAnsi="Times New Roman"/>
          <w:sz w:val="24"/>
        </w:rPr>
        <w:t>(1960) 104 CLR 247 at 258</w:t>
      </w:r>
      <w:r w:rsidRPr="008A5AD9">
        <w:rPr>
          <w:rFonts w:ascii="Times New Roman" w:hAnsi="Times New Roman"/>
          <w:sz w:val="24"/>
        </w:rPr>
        <w:t>.</w:t>
      </w:r>
    </w:p>
  </w:footnote>
  <w:footnote w:id="37">
    <w:p w14:paraId="4120707D" w14:textId="154D616D" w:rsidR="00845411" w:rsidRPr="008A5AD9" w:rsidRDefault="00845411"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Pr="008A5AD9">
        <w:rPr>
          <w:rFonts w:ascii="Times New Roman" w:hAnsi="Times New Roman"/>
          <w:i/>
          <w:sz w:val="24"/>
        </w:rPr>
        <w:t>A v Hayden</w:t>
      </w:r>
      <w:r w:rsidRPr="008A5AD9">
        <w:rPr>
          <w:rFonts w:ascii="Times New Roman" w:hAnsi="Times New Roman"/>
          <w:sz w:val="24"/>
        </w:rPr>
        <w:t xml:space="preserve"> </w:t>
      </w:r>
      <w:r w:rsidR="00ED2EDB" w:rsidRPr="008A5AD9">
        <w:rPr>
          <w:rFonts w:ascii="Times New Roman" w:hAnsi="Times New Roman"/>
          <w:sz w:val="24"/>
        </w:rPr>
        <w:t>(1984) 156 CLR 53</w:t>
      </w:r>
      <w:r w:rsidR="00FC7D25" w:rsidRPr="008A5AD9">
        <w:rPr>
          <w:rFonts w:ascii="Times New Roman" w:hAnsi="Times New Roman"/>
          <w:sz w:val="24"/>
        </w:rPr>
        <w:t>2</w:t>
      </w:r>
      <w:r w:rsidR="00ED2EDB" w:rsidRPr="008A5AD9">
        <w:rPr>
          <w:rFonts w:ascii="Times New Roman" w:hAnsi="Times New Roman"/>
          <w:sz w:val="24"/>
        </w:rPr>
        <w:t xml:space="preserve"> at 580</w:t>
      </w:r>
      <w:r w:rsidRPr="008A5AD9">
        <w:rPr>
          <w:rFonts w:ascii="Times New Roman" w:hAnsi="Times New Roman"/>
          <w:sz w:val="24"/>
        </w:rPr>
        <w:t xml:space="preserve">. </w:t>
      </w:r>
    </w:p>
  </w:footnote>
  <w:footnote w:id="38">
    <w:p w14:paraId="14885510" w14:textId="79915209" w:rsidR="00845411" w:rsidRPr="008A5AD9" w:rsidRDefault="00845411" w:rsidP="008A5AD9">
      <w:pPr>
        <w:pStyle w:val="FootnoteText"/>
        <w:spacing w:line="280" w:lineRule="exact"/>
        <w:ind w:right="0"/>
        <w:jc w:val="both"/>
        <w:rPr>
          <w:rFonts w:ascii="Times New Roman" w:hAnsi="Times New Roman"/>
          <w:sz w:val="24"/>
        </w:rPr>
      </w:pPr>
      <w:r w:rsidRPr="008A5AD9">
        <w:rPr>
          <w:rStyle w:val="FootnoteReference"/>
          <w:rFonts w:ascii="Times New Roman" w:hAnsi="Times New Roman"/>
          <w:sz w:val="22"/>
          <w:vertAlign w:val="baseline"/>
        </w:rPr>
        <w:footnoteRef/>
      </w:r>
      <w:r w:rsidRPr="008A5AD9">
        <w:rPr>
          <w:rFonts w:ascii="Times New Roman" w:hAnsi="Times New Roman"/>
          <w:sz w:val="24"/>
        </w:rPr>
        <w:t xml:space="preserve"> </w:t>
      </w:r>
      <w:r w:rsidRPr="008A5AD9">
        <w:rPr>
          <w:rFonts w:ascii="Times New Roman" w:hAnsi="Times New Roman"/>
          <w:sz w:val="24"/>
        </w:rPr>
        <w:tab/>
      </w:r>
      <w:r w:rsidRPr="008A5AD9">
        <w:rPr>
          <w:rFonts w:ascii="Times New Roman" w:hAnsi="Times New Roman"/>
          <w:i/>
          <w:iCs/>
          <w:sz w:val="24"/>
        </w:rPr>
        <w:t xml:space="preserve">Coco v </w:t>
      </w:r>
      <w:r w:rsidR="00ED2EDB" w:rsidRPr="008A5AD9">
        <w:rPr>
          <w:rFonts w:ascii="Times New Roman" w:hAnsi="Times New Roman"/>
          <w:i/>
          <w:iCs/>
          <w:sz w:val="24"/>
        </w:rPr>
        <w:t>The Queen</w:t>
      </w:r>
      <w:r w:rsidR="00ED2EDB" w:rsidRPr="008A5AD9">
        <w:rPr>
          <w:rFonts w:ascii="Times New Roman" w:hAnsi="Times New Roman"/>
          <w:sz w:val="24"/>
        </w:rPr>
        <w:t xml:space="preserve"> </w:t>
      </w:r>
      <w:r w:rsidRPr="008A5AD9">
        <w:rPr>
          <w:rFonts w:ascii="Times New Roman" w:hAnsi="Times New Roman"/>
          <w:sz w:val="24"/>
        </w:rPr>
        <w:t xml:space="preserve">(1994) 179 CLR 427 at 437. </w:t>
      </w:r>
    </w:p>
  </w:footnote>
  <w:footnote w:id="39">
    <w:p w14:paraId="0B28247D" w14:textId="28FF9B4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The first to third respondents comprise NSW Port Operations Hold Co Pty Ltd, Port Botany Operations Pty Ltd and Port Kembla Operations Pty Ltd.</w:t>
      </w:r>
    </w:p>
  </w:footnote>
  <w:footnote w:id="40">
    <w:p w14:paraId="1E0C7973"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Australian Competition and Consumer Commission v NSW Ports</w:t>
      </w:r>
      <w:r w:rsidRPr="00516377">
        <w:rPr>
          <w:rFonts w:ascii="Times New Roman" w:hAnsi="Times New Roman"/>
          <w:sz w:val="24"/>
        </w:rPr>
        <w:t xml:space="preserve"> </w:t>
      </w:r>
      <w:r w:rsidRPr="00516377">
        <w:rPr>
          <w:rFonts w:ascii="Times New Roman" w:hAnsi="Times New Roman"/>
          <w:i/>
          <w:iCs/>
          <w:sz w:val="24"/>
        </w:rPr>
        <w:t>Operations Hold Co Pty Ltd</w:t>
      </w:r>
      <w:r w:rsidRPr="00516377">
        <w:rPr>
          <w:rFonts w:ascii="Times New Roman" w:hAnsi="Times New Roman"/>
          <w:sz w:val="24"/>
        </w:rPr>
        <w:t xml:space="preserve"> ("</w:t>
      </w:r>
      <w:r w:rsidRPr="00516377">
        <w:rPr>
          <w:rFonts w:ascii="Times New Roman" w:hAnsi="Times New Roman"/>
          <w:i/>
          <w:sz w:val="24"/>
        </w:rPr>
        <w:t>ACCC PJ</w:t>
      </w:r>
      <w:r w:rsidRPr="00516377">
        <w:rPr>
          <w:rFonts w:ascii="Times New Roman" w:hAnsi="Times New Roman"/>
          <w:sz w:val="24"/>
        </w:rPr>
        <w:t>") [2021] FCA 720 at [1].</w:t>
      </w:r>
    </w:p>
  </w:footnote>
  <w:footnote w:id="41">
    <w:p w14:paraId="5F9BE06E"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ab/>
      </w:r>
      <w:r w:rsidRPr="00516377">
        <w:rPr>
          <w:rFonts w:ascii="Times New Roman" w:hAnsi="Times New Roman"/>
          <w:i/>
          <w:sz w:val="24"/>
        </w:rPr>
        <w:t>ACCC PJ</w:t>
      </w:r>
      <w:r w:rsidRPr="00516377">
        <w:rPr>
          <w:rFonts w:ascii="Times New Roman" w:hAnsi="Times New Roman"/>
          <w:i/>
          <w:iCs/>
          <w:sz w:val="24"/>
        </w:rPr>
        <w:t xml:space="preserve"> </w:t>
      </w:r>
      <w:r w:rsidRPr="00516377">
        <w:rPr>
          <w:rFonts w:ascii="Times New Roman" w:hAnsi="Times New Roman"/>
          <w:sz w:val="24"/>
        </w:rPr>
        <w:t xml:space="preserve">[2021] FCA 720 at [9], upheld on appeal in </w:t>
      </w:r>
      <w:r w:rsidRPr="00516377">
        <w:rPr>
          <w:rFonts w:ascii="Times New Roman" w:hAnsi="Times New Roman"/>
          <w:i/>
          <w:iCs/>
          <w:sz w:val="24"/>
        </w:rPr>
        <w:t>Australian Competition and Consumer Commission v NSW Ports</w:t>
      </w:r>
      <w:r w:rsidRPr="00516377">
        <w:rPr>
          <w:rFonts w:ascii="Times New Roman" w:hAnsi="Times New Roman"/>
          <w:sz w:val="24"/>
        </w:rPr>
        <w:t xml:space="preserve"> </w:t>
      </w:r>
      <w:r w:rsidRPr="00516377">
        <w:rPr>
          <w:rFonts w:ascii="Times New Roman" w:hAnsi="Times New Roman"/>
          <w:i/>
          <w:iCs/>
          <w:sz w:val="24"/>
        </w:rPr>
        <w:t>Operations Hold Co Pty Ltd</w:t>
      </w:r>
      <w:r w:rsidRPr="00516377">
        <w:rPr>
          <w:rFonts w:ascii="Times New Roman" w:hAnsi="Times New Roman"/>
          <w:sz w:val="24"/>
        </w:rPr>
        <w:t xml:space="preserve"> ("</w:t>
      </w:r>
      <w:r w:rsidRPr="00516377">
        <w:rPr>
          <w:rFonts w:ascii="Times New Roman" w:hAnsi="Times New Roman"/>
          <w:i/>
          <w:sz w:val="24"/>
        </w:rPr>
        <w:t>ACCC Appeal</w:t>
      </w:r>
      <w:r w:rsidRPr="00516377">
        <w:rPr>
          <w:rFonts w:ascii="Times New Roman" w:hAnsi="Times New Roman"/>
          <w:sz w:val="24"/>
        </w:rPr>
        <w:t>") (2023) 296 FCR 364 at 464-472 [386]-[415], 473 [427].</w:t>
      </w:r>
    </w:p>
  </w:footnote>
  <w:footnote w:id="42">
    <w:p w14:paraId="79FDC9E1"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sz w:val="24"/>
        </w:rPr>
        <w:t>ACCC Appeal</w:t>
      </w:r>
      <w:r w:rsidRPr="00516377">
        <w:rPr>
          <w:rFonts w:ascii="Times New Roman" w:hAnsi="Times New Roman"/>
          <w:sz w:val="24"/>
        </w:rPr>
        <w:t xml:space="preserve"> (2023) 296 FCR 364 at 472 [416].</w:t>
      </w:r>
    </w:p>
  </w:footnote>
  <w:footnote w:id="43">
    <w:p w14:paraId="1836A87D"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ab/>
      </w:r>
      <w:r w:rsidRPr="00516377">
        <w:rPr>
          <w:rFonts w:ascii="Times New Roman" w:hAnsi="Times New Roman"/>
          <w:i/>
          <w:sz w:val="24"/>
        </w:rPr>
        <w:t>ACCC Appeal</w:t>
      </w:r>
      <w:r w:rsidRPr="00516377">
        <w:rPr>
          <w:rFonts w:ascii="Times New Roman" w:hAnsi="Times New Roman"/>
          <w:b/>
          <w:bCs/>
          <w:sz w:val="24"/>
        </w:rPr>
        <w:t xml:space="preserve"> </w:t>
      </w:r>
      <w:r w:rsidRPr="00516377">
        <w:rPr>
          <w:rFonts w:ascii="Times New Roman" w:hAnsi="Times New Roman"/>
          <w:sz w:val="24"/>
        </w:rPr>
        <w:t>(2023) 296 FCR 364 at 464-472 [386]-[415], 473 [427], cf 487-498 [533]-[625].</w:t>
      </w:r>
    </w:p>
  </w:footnote>
  <w:footnote w:id="44">
    <w:p w14:paraId="03EA7EAF"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SOC Act, ss 20X and 20Y.</w:t>
      </w:r>
    </w:p>
  </w:footnote>
  <w:footnote w:id="45">
    <w:p w14:paraId="560AA6B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 xml:space="preserve">As enacted, the PAAT Act only applied to Port Botany and Port Kembla. It was amended in 2013 to apply to the Port of Newcastle: </w:t>
      </w:r>
      <w:r w:rsidRPr="00516377">
        <w:rPr>
          <w:rFonts w:ascii="Times New Roman" w:hAnsi="Times New Roman"/>
          <w:i/>
          <w:iCs/>
          <w:sz w:val="24"/>
        </w:rPr>
        <w:t>Ports Assets (Authorised</w:t>
      </w:r>
      <w:r>
        <w:rPr>
          <w:rFonts w:ascii="Times New Roman" w:hAnsi="Times New Roman"/>
          <w:i/>
          <w:iCs/>
          <w:sz w:val="24"/>
        </w:rPr>
        <w:t> </w:t>
      </w:r>
      <w:r w:rsidRPr="00516377">
        <w:rPr>
          <w:rFonts w:ascii="Times New Roman" w:hAnsi="Times New Roman"/>
          <w:i/>
          <w:iCs/>
          <w:sz w:val="24"/>
        </w:rPr>
        <w:t>Transactions) Amendment Act 2013</w:t>
      </w:r>
      <w:r w:rsidRPr="00516377">
        <w:rPr>
          <w:rFonts w:ascii="Times New Roman" w:hAnsi="Times New Roman"/>
          <w:sz w:val="24"/>
        </w:rPr>
        <w:t xml:space="preserve"> (NSW).</w:t>
      </w:r>
    </w:p>
  </w:footnote>
  <w:footnote w:id="46">
    <w:p w14:paraId="71A980BB"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sz w:val="24"/>
        </w:rPr>
        <w:t>ACCC PJ</w:t>
      </w:r>
      <w:r w:rsidRPr="00516377">
        <w:rPr>
          <w:rFonts w:ascii="Times New Roman" w:hAnsi="Times New Roman"/>
          <w:sz w:val="24"/>
        </w:rPr>
        <w:t xml:space="preserve"> [2021] FCA 720 at [1].</w:t>
      </w:r>
    </w:p>
  </w:footnote>
  <w:footnote w:id="47">
    <w:p w14:paraId="0EBC7B2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sz w:val="24"/>
        </w:rPr>
        <w:t>ACCC PJ</w:t>
      </w:r>
      <w:r w:rsidRPr="00516377">
        <w:rPr>
          <w:rFonts w:ascii="Times New Roman" w:hAnsi="Times New Roman"/>
          <w:sz w:val="24"/>
        </w:rPr>
        <w:t xml:space="preserve"> [2021] FCA 720 at [350], [354].</w:t>
      </w:r>
    </w:p>
  </w:footnote>
  <w:footnote w:id="48">
    <w:p w14:paraId="6FCC3165"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sz w:val="24"/>
        </w:rPr>
        <w:t>ACCC PJ</w:t>
      </w:r>
      <w:r w:rsidRPr="00516377">
        <w:rPr>
          <w:rFonts w:ascii="Times New Roman" w:hAnsi="Times New Roman"/>
          <w:sz w:val="24"/>
        </w:rPr>
        <w:t xml:space="preserve"> [2021] FCA 720 at [355]-[423], especially at [369], [395]-[396], [402]</w:t>
      </w:r>
      <w:r>
        <w:rPr>
          <w:rFonts w:ascii="Times New Roman" w:hAnsi="Times New Roman"/>
          <w:sz w:val="24"/>
        </w:rPr>
        <w:noBreakHyphen/>
      </w:r>
      <w:r w:rsidRPr="00516377">
        <w:rPr>
          <w:rFonts w:ascii="Times New Roman" w:hAnsi="Times New Roman"/>
          <w:sz w:val="24"/>
        </w:rPr>
        <w:t>[406], [418]-[419], [423].</w:t>
      </w:r>
    </w:p>
  </w:footnote>
  <w:footnote w:id="49">
    <w:p w14:paraId="078FE76E"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ab/>
      </w:r>
      <w:r w:rsidRPr="00516377">
        <w:rPr>
          <w:rFonts w:ascii="Times New Roman" w:hAnsi="Times New Roman"/>
          <w:i/>
          <w:sz w:val="24"/>
        </w:rPr>
        <w:t>ACCC Appeal</w:t>
      </w:r>
      <w:r w:rsidRPr="00516377">
        <w:rPr>
          <w:rFonts w:ascii="Times New Roman" w:hAnsi="Times New Roman"/>
          <w:sz w:val="24"/>
        </w:rPr>
        <w:t xml:space="preserve"> (2023) 296 FCR 364 at 368 [9], 473 [427], 512 [721].</w:t>
      </w:r>
    </w:p>
  </w:footnote>
  <w:footnote w:id="50">
    <w:p w14:paraId="36AE24A1"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ab/>
      </w:r>
      <w:r w:rsidRPr="00516377">
        <w:rPr>
          <w:rFonts w:ascii="Times New Roman" w:hAnsi="Times New Roman"/>
          <w:i/>
          <w:sz w:val="24"/>
        </w:rPr>
        <w:t>ACCC Appeal</w:t>
      </w:r>
      <w:r w:rsidRPr="00516377">
        <w:rPr>
          <w:rFonts w:ascii="Times New Roman" w:hAnsi="Times New Roman"/>
          <w:sz w:val="24"/>
        </w:rPr>
        <w:t xml:space="preserve"> (2023) 296 FCR 364 at 451 [337]-[338], 473 [427], 484 [514].</w:t>
      </w:r>
    </w:p>
  </w:footnote>
  <w:footnote w:id="51">
    <w:p w14:paraId="51BFFAC5"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ab/>
      </w:r>
      <w:r w:rsidRPr="00516377">
        <w:rPr>
          <w:rFonts w:ascii="Times New Roman" w:hAnsi="Times New Roman"/>
          <w:i/>
          <w:sz w:val="24"/>
        </w:rPr>
        <w:t>ACCC Appeal</w:t>
      </w:r>
      <w:r w:rsidRPr="00516377">
        <w:rPr>
          <w:rFonts w:ascii="Times New Roman" w:hAnsi="Times New Roman"/>
          <w:sz w:val="24"/>
        </w:rPr>
        <w:t xml:space="preserve"> (2023) 296 FCR 364 at 471 [412]; see also 464-472 [386]-[415], 473 [427].</w:t>
      </w:r>
    </w:p>
  </w:footnote>
  <w:footnote w:id="52">
    <w:p w14:paraId="4D043FF1"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(2007) 232 CLR 1.</w:t>
      </w:r>
    </w:p>
  </w:footnote>
  <w:footnote w:id="53">
    <w:p w14:paraId="3715DB5D"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ab/>
      </w:r>
      <w:r w:rsidRPr="00516377">
        <w:rPr>
          <w:rFonts w:ascii="Times New Roman" w:hAnsi="Times New Roman"/>
          <w:i/>
          <w:sz w:val="24"/>
        </w:rPr>
        <w:t xml:space="preserve">ACCC Appeal </w:t>
      </w:r>
      <w:r w:rsidRPr="00516377">
        <w:rPr>
          <w:rFonts w:ascii="Times New Roman" w:hAnsi="Times New Roman"/>
          <w:sz w:val="24"/>
        </w:rPr>
        <w:t>(2023) 296 FCR 364 at 490-498 [566]-[624].</w:t>
      </w:r>
    </w:p>
  </w:footnote>
  <w:footnote w:id="54">
    <w:p w14:paraId="5C8D5E51"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ab/>
      </w:r>
      <w:r w:rsidRPr="00516377">
        <w:rPr>
          <w:rFonts w:ascii="Times New Roman" w:hAnsi="Times New Roman"/>
          <w:i/>
          <w:sz w:val="24"/>
        </w:rPr>
        <w:t xml:space="preserve">ACCC Appeal </w:t>
      </w:r>
      <w:r w:rsidRPr="00516377">
        <w:rPr>
          <w:rFonts w:ascii="Times New Roman" w:hAnsi="Times New Roman"/>
          <w:sz w:val="24"/>
        </w:rPr>
        <w:t>(2023) 296 FCR 364 at 493-497 [586]-[616], especially at 494-495 [592]-[595].</w:t>
      </w:r>
    </w:p>
  </w:footnote>
  <w:footnote w:id="55">
    <w:p w14:paraId="366839F8"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SST Consulting Services Pty Ltd v Rieson</w:t>
      </w:r>
      <w:r w:rsidRPr="00516377">
        <w:rPr>
          <w:rFonts w:ascii="Times New Roman" w:hAnsi="Times New Roman"/>
          <w:sz w:val="24"/>
        </w:rPr>
        <w:t xml:space="preserve"> (2006) 225 CLR 516 at 533 [52].</w:t>
      </w:r>
    </w:p>
  </w:footnote>
  <w:footnote w:id="56">
    <w:p w14:paraId="5784B23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 xml:space="preserve">See </w:t>
      </w:r>
      <w:r w:rsidRPr="00516377">
        <w:rPr>
          <w:rFonts w:ascii="Times New Roman" w:hAnsi="Times New Roman"/>
          <w:i/>
          <w:iCs/>
          <w:sz w:val="24"/>
        </w:rPr>
        <w:t xml:space="preserve">SST Consulting Services </w:t>
      </w:r>
      <w:r w:rsidRPr="00516377">
        <w:rPr>
          <w:rFonts w:ascii="Times New Roman" w:hAnsi="Times New Roman"/>
          <w:sz w:val="24"/>
        </w:rPr>
        <w:t>(2006) 225 CLR 516 at 527 [32].</w:t>
      </w:r>
    </w:p>
  </w:footnote>
  <w:footnote w:id="57">
    <w:p w14:paraId="18B4C623"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 xml:space="preserve">cf CCA, s 87(2), (3); see </w:t>
      </w:r>
      <w:r w:rsidRPr="00516377">
        <w:rPr>
          <w:rFonts w:ascii="Times New Roman" w:hAnsi="Times New Roman"/>
          <w:i/>
          <w:iCs/>
          <w:sz w:val="24"/>
        </w:rPr>
        <w:t>SST Consulting Services</w:t>
      </w:r>
      <w:r w:rsidRPr="00516377">
        <w:rPr>
          <w:rFonts w:ascii="Times New Roman" w:hAnsi="Times New Roman"/>
          <w:sz w:val="24"/>
        </w:rPr>
        <w:t xml:space="preserve"> (2006) 225 CLR 516 at 527 [33].</w:t>
      </w:r>
    </w:p>
  </w:footnote>
  <w:footnote w:id="58">
    <w:p w14:paraId="6A21F95D"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Tomlinson v Ramsey Food Processing Pty Ltd </w:t>
      </w:r>
      <w:r w:rsidRPr="00516377">
        <w:rPr>
          <w:rFonts w:ascii="Times New Roman" w:hAnsi="Times New Roman"/>
          <w:sz w:val="24"/>
        </w:rPr>
        <w:t>(2015) 256 CLR 507 at 516 [21].</w:t>
      </w:r>
    </w:p>
  </w:footnote>
  <w:footnote w:id="59">
    <w:p w14:paraId="34685E05"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Tomlinson </w:t>
      </w:r>
      <w:r w:rsidRPr="00516377">
        <w:rPr>
          <w:rFonts w:ascii="Times New Roman" w:hAnsi="Times New Roman"/>
          <w:sz w:val="24"/>
        </w:rPr>
        <w:t>(2015) 256 CLR 507 at 517 [22].</w:t>
      </w:r>
    </w:p>
  </w:footnote>
  <w:footnote w:id="60">
    <w:p w14:paraId="22EBBB9D"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Blair v Curran </w:t>
      </w:r>
      <w:r w:rsidRPr="00516377">
        <w:rPr>
          <w:rFonts w:ascii="Times New Roman" w:hAnsi="Times New Roman"/>
          <w:sz w:val="24"/>
        </w:rPr>
        <w:t xml:space="preserve">(1939) 62 CLR 464 at 531, cited in </w:t>
      </w:r>
      <w:r w:rsidRPr="00516377">
        <w:rPr>
          <w:rFonts w:ascii="Times New Roman" w:hAnsi="Times New Roman"/>
          <w:i/>
          <w:iCs/>
          <w:sz w:val="24"/>
        </w:rPr>
        <w:t xml:space="preserve">Tomlinson </w:t>
      </w:r>
      <w:r w:rsidRPr="00516377">
        <w:rPr>
          <w:rFonts w:ascii="Times New Roman" w:hAnsi="Times New Roman"/>
          <w:sz w:val="24"/>
        </w:rPr>
        <w:t xml:space="preserve">(2015) 256 CLR 507 at 517 [22]; </w:t>
      </w:r>
      <w:r w:rsidRPr="00516377">
        <w:rPr>
          <w:rFonts w:ascii="Times New Roman" w:hAnsi="Times New Roman"/>
          <w:i/>
          <w:iCs/>
          <w:sz w:val="24"/>
        </w:rPr>
        <w:t xml:space="preserve">Clayton v Bant </w:t>
      </w:r>
      <w:r w:rsidRPr="00516377">
        <w:rPr>
          <w:rFonts w:ascii="Times New Roman" w:hAnsi="Times New Roman"/>
          <w:sz w:val="24"/>
        </w:rPr>
        <w:t>(2020) 272 CLR 1 at 20 [51].</w:t>
      </w:r>
    </w:p>
  </w:footnote>
  <w:footnote w:id="61">
    <w:p w14:paraId="488928B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Tomlinson </w:t>
      </w:r>
      <w:r w:rsidRPr="00516377">
        <w:rPr>
          <w:rFonts w:ascii="Times New Roman" w:hAnsi="Times New Roman"/>
          <w:sz w:val="24"/>
        </w:rPr>
        <w:t>(2015) 256 CLR 507 at 523 [39].</w:t>
      </w:r>
    </w:p>
  </w:footnote>
  <w:footnote w:id="62">
    <w:p w14:paraId="50EAB9AF"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 xml:space="preserve">See </w:t>
      </w:r>
      <w:r w:rsidRPr="00516377">
        <w:rPr>
          <w:rFonts w:ascii="Times New Roman" w:hAnsi="Times New Roman"/>
          <w:i/>
          <w:iCs/>
          <w:sz w:val="24"/>
        </w:rPr>
        <w:t>Australian Securities Commission v Marlborough Gold Mines Ltd</w:t>
      </w:r>
      <w:r w:rsidRPr="00516377">
        <w:rPr>
          <w:rFonts w:ascii="Times New Roman" w:hAnsi="Times New Roman"/>
          <w:sz w:val="24"/>
        </w:rPr>
        <w:t xml:space="preserve"> (1993) 177 CLR 485 at 505.</w:t>
      </w:r>
    </w:p>
  </w:footnote>
  <w:footnote w:id="63">
    <w:p w14:paraId="57E24EEE"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Tebbutt v Haynes </w:t>
      </w:r>
      <w:r w:rsidRPr="00516377">
        <w:rPr>
          <w:rFonts w:ascii="Times New Roman" w:hAnsi="Times New Roman"/>
          <w:sz w:val="24"/>
        </w:rPr>
        <w:t>[1981] 2 All ER 238 at 244; see also 242.</w:t>
      </w:r>
    </w:p>
  </w:footnote>
  <w:footnote w:id="64">
    <w:p w14:paraId="1FFAF0EE"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Tomlinson </w:t>
      </w:r>
      <w:r w:rsidRPr="00516377">
        <w:rPr>
          <w:rFonts w:ascii="Times New Roman" w:hAnsi="Times New Roman"/>
          <w:sz w:val="24"/>
        </w:rPr>
        <w:t>(2015) 256 CLR 507 at 524 [39].</w:t>
      </w:r>
    </w:p>
  </w:footnote>
  <w:footnote w:id="65">
    <w:p w14:paraId="78F9A696"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Rule 36.32, Note 1.</w:t>
      </w:r>
    </w:p>
  </w:footnote>
  <w:footnote w:id="66">
    <w:p w14:paraId="1C78B75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(1993) 177 CLR 485 at 505.</w:t>
      </w:r>
    </w:p>
  </w:footnote>
  <w:footnote w:id="67">
    <w:p w14:paraId="5E1D446A"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 xml:space="preserve">See </w:t>
      </w:r>
      <w:r w:rsidRPr="00516377">
        <w:rPr>
          <w:rFonts w:ascii="Times New Roman" w:hAnsi="Times New Roman"/>
          <w:i/>
          <w:iCs/>
          <w:sz w:val="24"/>
        </w:rPr>
        <w:t>Federal Court Rules</w:t>
      </w:r>
      <w:r w:rsidRPr="00516377">
        <w:rPr>
          <w:rFonts w:ascii="Times New Roman" w:hAnsi="Times New Roman"/>
          <w:sz w:val="24"/>
        </w:rPr>
        <w:t>, r 36.32(2)(b).</w:t>
      </w:r>
    </w:p>
  </w:footnote>
  <w:footnote w:id="68">
    <w:p w14:paraId="23D673DF"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Tomlinson </w:t>
      </w:r>
      <w:r w:rsidRPr="00516377">
        <w:rPr>
          <w:rFonts w:ascii="Times New Roman" w:hAnsi="Times New Roman"/>
          <w:sz w:val="24"/>
        </w:rPr>
        <w:t>(2015) 256 CLR 507 at 524 [39].</w:t>
      </w:r>
    </w:p>
  </w:footnote>
  <w:footnote w:id="69">
    <w:p w14:paraId="7527F1EC"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Tomlinson </w:t>
      </w:r>
      <w:r w:rsidRPr="00516377">
        <w:rPr>
          <w:rFonts w:ascii="Times New Roman" w:hAnsi="Times New Roman"/>
          <w:sz w:val="24"/>
        </w:rPr>
        <w:t>(2015) 256 CLR 507 at 518-519 [24]-[25].</w:t>
      </w:r>
    </w:p>
  </w:footnote>
  <w:footnote w:id="70">
    <w:p w14:paraId="1878E89E"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(1994) 181 CLR 251 at 256.</w:t>
      </w:r>
    </w:p>
  </w:footnote>
  <w:footnote w:id="71">
    <w:p w14:paraId="7180AEDE"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O'Shane v Harbour Radio Pty Ltd </w:t>
      </w:r>
      <w:r w:rsidRPr="00516377">
        <w:rPr>
          <w:rFonts w:ascii="Times New Roman" w:hAnsi="Times New Roman"/>
          <w:sz w:val="24"/>
        </w:rPr>
        <w:t>(2013) 85 NSWLR 698 at 722-723 [99]-[102].</w:t>
      </w:r>
    </w:p>
  </w:footnote>
  <w:footnote w:id="72">
    <w:p w14:paraId="70C160B3"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Tomlinson </w:t>
      </w:r>
      <w:r w:rsidRPr="00516377">
        <w:rPr>
          <w:rFonts w:ascii="Times New Roman" w:hAnsi="Times New Roman"/>
          <w:sz w:val="24"/>
        </w:rPr>
        <w:t>(2015) 256 CLR 507 at 519 [26].</w:t>
      </w:r>
    </w:p>
  </w:footnote>
  <w:footnote w:id="73">
    <w:p w14:paraId="45A79C27"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Tomlinson </w:t>
      </w:r>
      <w:r w:rsidRPr="00516377">
        <w:rPr>
          <w:rFonts w:ascii="Times New Roman" w:hAnsi="Times New Roman"/>
          <w:sz w:val="24"/>
        </w:rPr>
        <w:t>(2015) 256 CLR 507</w:t>
      </w:r>
      <w:r w:rsidRPr="00516377">
        <w:rPr>
          <w:rFonts w:ascii="Times New Roman" w:hAnsi="Times New Roman"/>
          <w:i/>
          <w:iCs/>
          <w:sz w:val="24"/>
        </w:rPr>
        <w:t xml:space="preserve"> </w:t>
      </w:r>
      <w:r w:rsidRPr="00516377">
        <w:rPr>
          <w:rFonts w:ascii="Times New Roman" w:hAnsi="Times New Roman"/>
          <w:sz w:val="24"/>
        </w:rPr>
        <w:t>at 519 [26].</w:t>
      </w:r>
    </w:p>
  </w:footnote>
  <w:footnote w:id="74">
    <w:p w14:paraId="4A1E5803"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 xml:space="preserve">See </w:t>
      </w:r>
      <w:r w:rsidRPr="00516377">
        <w:rPr>
          <w:rFonts w:ascii="Times New Roman" w:hAnsi="Times New Roman"/>
          <w:i/>
          <w:iCs/>
          <w:sz w:val="24"/>
        </w:rPr>
        <w:t>Federal Court Rules</w:t>
      </w:r>
      <w:r w:rsidRPr="00516377">
        <w:rPr>
          <w:rFonts w:ascii="Times New Roman" w:hAnsi="Times New Roman"/>
          <w:sz w:val="24"/>
        </w:rPr>
        <w:t>, r 36.32(2)(a).</w:t>
      </w:r>
    </w:p>
  </w:footnote>
  <w:footnote w:id="75">
    <w:p w14:paraId="09234EC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See, eg, CCA, s 83.</w:t>
      </w:r>
    </w:p>
  </w:footnote>
  <w:footnote w:id="76">
    <w:p w14:paraId="2A90BF31"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sz w:val="24"/>
        </w:rPr>
        <w:t>Mayfield Development Corporation Pty Ltd v NSW Ports Operations Hold Co Pty Ltd</w:t>
      </w:r>
      <w:r w:rsidRPr="00516377">
        <w:rPr>
          <w:rFonts w:ascii="Times New Roman" w:hAnsi="Times New Roman"/>
          <w:sz w:val="24"/>
        </w:rPr>
        <w:t xml:space="preserve"> [2020] FCA 260.</w:t>
      </w:r>
    </w:p>
  </w:footnote>
  <w:footnote w:id="77">
    <w:p w14:paraId="0E03916C"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Mayfield Development Corporation Pty Ltd v NSW Ports Operations Hold Co Pty Ltd</w:t>
      </w:r>
      <w:r w:rsidRPr="00516377">
        <w:rPr>
          <w:rFonts w:ascii="Times New Roman" w:hAnsi="Times New Roman"/>
          <w:sz w:val="24"/>
        </w:rPr>
        <w:t xml:space="preserve"> [2020] FCA 260 at [16(5)].</w:t>
      </w:r>
    </w:p>
  </w:footnote>
  <w:footnote w:id="78">
    <w:p w14:paraId="39EE8ED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 xml:space="preserve">(2007) 232 CLR 1 at 27-28 [41]-[42], quoting </w:t>
      </w:r>
      <w:r w:rsidRPr="00516377">
        <w:rPr>
          <w:rFonts w:ascii="Times New Roman" w:hAnsi="Times New Roman"/>
          <w:i/>
          <w:iCs/>
          <w:sz w:val="24"/>
        </w:rPr>
        <w:t>Bropho</w:t>
      </w:r>
      <w:r w:rsidRPr="00516377">
        <w:rPr>
          <w:rFonts w:ascii="Times New Roman" w:hAnsi="Times New Roman"/>
          <w:b/>
          <w:bCs/>
          <w:i/>
          <w:iCs/>
          <w:sz w:val="24"/>
        </w:rPr>
        <w:t xml:space="preserve"> </w:t>
      </w:r>
      <w:r w:rsidRPr="00516377">
        <w:rPr>
          <w:rFonts w:ascii="Times New Roman" w:hAnsi="Times New Roman"/>
          <w:i/>
          <w:iCs/>
          <w:sz w:val="24"/>
        </w:rPr>
        <w:t xml:space="preserve">v Western Australia </w:t>
      </w:r>
      <w:r w:rsidRPr="00516377">
        <w:rPr>
          <w:rFonts w:ascii="Times New Roman" w:hAnsi="Times New Roman"/>
          <w:sz w:val="24"/>
        </w:rPr>
        <w:t xml:space="preserve">(1990) 171 CLR 1 at 23-24, 28. See also </w:t>
      </w:r>
      <w:r w:rsidRPr="00516377">
        <w:rPr>
          <w:rFonts w:ascii="Times New Roman" w:hAnsi="Times New Roman"/>
          <w:i/>
          <w:iCs/>
          <w:sz w:val="24"/>
        </w:rPr>
        <w:t>Federal Commissioner of Taxation v Tomaras</w:t>
      </w:r>
      <w:r w:rsidRPr="00516377">
        <w:rPr>
          <w:rFonts w:ascii="Times New Roman" w:hAnsi="Times New Roman"/>
          <w:b/>
          <w:bCs/>
          <w:i/>
          <w:iCs/>
          <w:sz w:val="24"/>
        </w:rPr>
        <w:t xml:space="preserve"> </w:t>
      </w:r>
      <w:r w:rsidRPr="00516377">
        <w:rPr>
          <w:rFonts w:ascii="Times New Roman" w:hAnsi="Times New Roman"/>
          <w:sz w:val="24"/>
        </w:rPr>
        <w:t>(2018) 265 CLR 434 at 439-440 [2], 443-444 [18], 451-453 [52]-[54], 468</w:t>
      </w:r>
      <w:r>
        <w:rPr>
          <w:rFonts w:ascii="Times New Roman" w:hAnsi="Times New Roman"/>
          <w:sz w:val="24"/>
        </w:rPr>
        <w:noBreakHyphen/>
      </w:r>
      <w:r w:rsidRPr="00516377">
        <w:rPr>
          <w:rFonts w:ascii="Times New Roman" w:hAnsi="Times New Roman"/>
          <w:sz w:val="24"/>
        </w:rPr>
        <w:t xml:space="preserve">470 [104]-[109]; </w:t>
      </w:r>
      <w:r w:rsidRPr="00516377">
        <w:rPr>
          <w:rFonts w:ascii="Times New Roman" w:hAnsi="Times New Roman"/>
          <w:i/>
          <w:iCs/>
          <w:sz w:val="24"/>
        </w:rPr>
        <w:t xml:space="preserve">Chief Executive Officer, Aboriginal Areas Protection Authority v Director of National Parks </w:t>
      </w:r>
      <w:r w:rsidRPr="00516377">
        <w:rPr>
          <w:rFonts w:ascii="Times New Roman" w:hAnsi="Times New Roman"/>
          <w:sz w:val="24"/>
        </w:rPr>
        <w:t>("</w:t>
      </w:r>
      <w:r w:rsidRPr="00516377">
        <w:rPr>
          <w:rFonts w:ascii="Times New Roman" w:hAnsi="Times New Roman"/>
          <w:i/>
          <w:iCs/>
          <w:sz w:val="24"/>
        </w:rPr>
        <w:t>Gunlom Falls</w:t>
      </w:r>
      <w:r w:rsidRPr="00516377">
        <w:rPr>
          <w:rFonts w:ascii="Times New Roman" w:hAnsi="Times New Roman"/>
          <w:sz w:val="24"/>
        </w:rPr>
        <w:t>") (2024) 281 CLR 525 at 534-535 [11], 543 [41].</w:t>
      </w:r>
    </w:p>
  </w:footnote>
  <w:footnote w:id="79">
    <w:p w14:paraId="0FE98C58"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(1990) 171 CLR 1 at 22.</w:t>
      </w:r>
    </w:p>
  </w:footnote>
  <w:footnote w:id="80">
    <w:p w14:paraId="0DB9CA16"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 xml:space="preserve">(2007) 232 CLR 1 at 27 [40], citing </w:t>
      </w:r>
      <w:r w:rsidRPr="00516377">
        <w:rPr>
          <w:rFonts w:ascii="Times New Roman" w:hAnsi="Times New Roman"/>
          <w:i/>
          <w:iCs/>
          <w:sz w:val="24"/>
        </w:rPr>
        <w:t>Bropho</w:t>
      </w:r>
      <w:r w:rsidRPr="00516377">
        <w:rPr>
          <w:rFonts w:ascii="Times New Roman" w:hAnsi="Times New Roman"/>
          <w:sz w:val="24"/>
        </w:rPr>
        <w:t xml:space="preserve"> (1990) 171 CLR 1 at 15. See</w:t>
      </w:r>
      <w:r>
        <w:rPr>
          <w:rFonts w:ascii="Times New Roman" w:hAnsi="Times New Roman"/>
          <w:sz w:val="24"/>
        </w:rPr>
        <w:t> </w:t>
      </w:r>
      <w:r w:rsidRPr="00516377">
        <w:rPr>
          <w:rFonts w:ascii="Times New Roman" w:hAnsi="Times New Roman"/>
          <w:sz w:val="24"/>
        </w:rPr>
        <w:t xml:space="preserve">also </w:t>
      </w:r>
      <w:r w:rsidRPr="00516377">
        <w:rPr>
          <w:rFonts w:ascii="Times New Roman" w:hAnsi="Times New Roman"/>
          <w:i/>
          <w:iCs/>
          <w:sz w:val="24"/>
        </w:rPr>
        <w:t xml:space="preserve">Gunlom Falls </w:t>
      </w:r>
      <w:r w:rsidRPr="00516377">
        <w:rPr>
          <w:rFonts w:ascii="Times New Roman" w:hAnsi="Times New Roman"/>
          <w:sz w:val="24"/>
        </w:rPr>
        <w:t>(2024) 281 CLR 525 at 534-535 [11], 543 [42].</w:t>
      </w:r>
    </w:p>
  </w:footnote>
  <w:footnote w:id="81">
    <w:p w14:paraId="2B8A77B9"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Bropho</w:t>
      </w:r>
      <w:r w:rsidRPr="00516377">
        <w:rPr>
          <w:rFonts w:ascii="Times New Roman" w:hAnsi="Times New Roman"/>
          <w:b/>
          <w:bCs/>
          <w:i/>
          <w:iCs/>
          <w:sz w:val="24"/>
        </w:rPr>
        <w:t xml:space="preserve"> </w:t>
      </w:r>
      <w:r w:rsidRPr="00516377">
        <w:rPr>
          <w:rFonts w:ascii="Times New Roman" w:hAnsi="Times New Roman"/>
          <w:sz w:val="24"/>
        </w:rPr>
        <w:t xml:space="preserve">(1990) 171 CLR 1 at 23. See also </w:t>
      </w:r>
      <w:r w:rsidRPr="00516377">
        <w:rPr>
          <w:rFonts w:ascii="Times New Roman" w:hAnsi="Times New Roman"/>
          <w:i/>
          <w:iCs/>
          <w:sz w:val="24"/>
        </w:rPr>
        <w:t xml:space="preserve">Baxter </w:t>
      </w:r>
      <w:r w:rsidRPr="00516377">
        <w:rPr>
          <w:rFonts w:ascii="Times New Roman" w:hAnsi="Times New Roman"/>
          <w:sz w:val="24"/>
        </w:rPr>
        <w:t>(2007) 232 CLR 1 at 27 [41].</w:t>
      </w:r>
    </w:p>
  </w:footnote>
  <w:footnote w:id="82">
    <w:p w14:paraId="7A1FC3DA"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Bropho </w:t>
      </w:r>
      <w:r w:rsidRPr="00516377">
        <w:rPr>
          <w:rFonts w:ascii="Times New Roman" w:hAnsi="Times New Roman"/>
          <w:sz w:val="24"/>
        </w:rPr>
        <w:t xml:space="preserve">(1990) 171 CLR 1 at 23. See also </w:t>
      </w:r>
      <w:r w:rsidRPr="00516377">
        <w:rPr>
          <w:rFonts w:ascii="Times New Roman" w:hAnsi="Times New Roman"/>
          <w:i/>
          <w:iCs/>
          <w:sz w:val="24"/>
        </w:rPr>
        <w:t xml:space="preserve">Re Residential Tenancies Tribunal (NSW); Ex parte Defence Housing Authority </w:t>
      </w:r>
      <w:r w:rsidRPr="00516377">
        <w:rPr>
          <w:rFonts w:ascii="Times New Roman" w:hAnsi="Times New Roman"/>
          <w:sz w:val="24"/>
        </w:rPr>
        <w:t>(1997) 190 CLR 410 at 445.</w:t>
      </w:r>
    </w:p>
  </w:footnote>
  <w:footnote w:id="83">
    <w:p w14:paraId="2FA9859F"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Bropho </w:t>
      </w:r>
      <w:r w:rsidRPr="00516377">
        <w:rPr>
          <w:rFonts w:ascii="Times New Roman" w:hAnsi="Times New Roman"/>
          <w:sz w:val="24"/>
        </w:rPr>
        <w:t>(1990) 171 CLR 1 at 28.</w:t>
      </w:r>
    </w:p>
  </w:footnote>
  <w:footnote w:id="84">
    <w:p w14:paraId="1577EF51"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Wynyard Investments Pty Ltd v Commissioner for Railways (NSW)</w:t>
      </w:r>
      <w:r w:rsidRPr="00516377">
        <w:rPr>
          <w:rFonts w:ascii="Times New Roman" w:hAnsi="Times New Roman"/>
          <w:sz w:val="24"/>
        </w:rPr>
        <w:t xml:space="preserve"> (1955) 93 CLR 376 at 393. See also </w:t>
      </w:r>
      <w:r w:rsidRPr="00516377">
        <w:rPr>
          <w:rFonts w:ascii="Times New Roman" w:hAnsi="Times New Roman"/>
          <w:i/>
          <w:iCs/>
          <w:sz w:val="24"/>
        </w:rPr>
        <w:t>Baxter</w:t>
      </w:r>
      <w:r w:rsidRPr="00516377">
        <w:rPr>
          <w:rFonts w:ascii="Times New Roman" w:hAnsi="Times New Roman"/>
          <w:sz w:val="24"/>
        </w:rPr>
        <w:t xml:space="preserve"> (2007) 232 CLR 1 at 34-35 [58]-[59].</w:t>
      </w:r>
    </w:p>
  </w:footnote>
  <w:footnote w:id="85">
    <w:p w14:paraId="3524C60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34 [58].</w:t>
      </w:r>
    </w:p>
  </w:footnote>
  <w:footnote w:id="86">
    <w:p w14:paraId="5ECCC417"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35-36 [62].</w:t>
      </w:r>
    </w:p>
  </w:footnote>
  <w:footnote w:id="87">
    <w:p w14:paraId="708B9B3E"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27 [40], 34 [58].</w:t>
      </w:r>
    </w:p>
  </w:footnote>
  <w:footnote w:id="88">
    <w:p w14:paraId="36CF8126"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(1955) 93 CLR 376 at 393-394.</w:t>
      </w:r>
    </w:p>
  </w:footnote>
  <w:footnote w:id="89">
    <w:p w14:paraId="519A70BC"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Wynyard</w:t>
      </w:r>
      <w:r w:rsidRPr="00516377">
        <w:rPr>
          <w:rFonts w:ascii="Times New Roman" w:hAnsi="Times New Roman"/>
          <w:sz w:val="24"/>
        </w:rPr>
        <w:t xml:space="preserve"> (1955) 93 CLR 376 at 394.</w:t>
      </w:r>
    </w:p>
  </w:footnote>
  <w:footnote w:id="90">
    <w:p w14:paraId="2CE3C5A6"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Wynyard</w:t>
      </w:r>
      <w:r w:rsidRPr="00516377">
        <w:rPr>
          <w:rFonts w:ascii="Times New Roman" w:hAnsi="Times New Roman"/>
          <w:sz w:val="24"/>
        </w:rPr>
        <w:t xml:space="preserve"> (1955) 93 CLR 376 at 395, quoting </w:t>
      </w:r>
      <w:r w:rsidRPr="00516377">
        <w:rPr>
          <w:rFonts w:ascii="Times New Roman" w:hAnsi="Times New Roman"/>
          <w:i/>
          <w:iCs/>
          <w:sz w:val="24"/>
        </w:rPr>
        <w:t>Victorian Railways Commissioners v Herbert</w:t>
      </w:r>
      <w:r w:rsidRPr="00516377">
        <w:rPr>
          <w:rFonts w:ascii="Times New Roman" w:hAnsi="Times New Roman"/>
          <w:sz w:val="24"/>
        </w:rPr>
        <w:t xml:space="preserve"> [1949] VLR 211 at 213-214.</w:t>
      </w:r>
    </w:p>
  </w:footnote>
  <w:footnote w:id="91">
    <w:p w14:paraId="3922339E"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(1955) 93 CLR 376 at 396.</w:t>
      </w:r>
    </w:p>
  </w:footnote>
  <w:footnote w:id="92">
    <w:p w14:paraId="702304B8"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(1999) 198 CLR 334 at 354 [42].</w:t>
      </w:r>
    </w:p>
  </w:footnote>
  <w:footnote w:id="93">
    <w:p w14:paraId="0A78FC43"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(2004) 219 CLR 90 at 152 [170].</w:t>
      </w:r>
    </w:p>
  </w:footnote>
  <w:footnote w:id="94">
    <w:p w14:paraId="5E723BBA"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sz w:val="24"/>
        </w:rPr>
        <w:t>NT Power</w:t>
      </w:r>
      <w:r w:rsidRPr="00516377">
        <w:rPr>
          <w:rFonts w:ascii="Times New Roman" w:hAnsi="Times New Roman"/>
          <w:sz w:val="24"/>
        </w:rPr>
        <w:t xml:space="preserve"> (2004) 219 CLR 90 at 154 [174].</w:t>
      </w:r>
    </w:p>
  </w:footnote>
  <w:footnote w:id="95">
    <w:p w14:paraId="5F6A40E9"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(1979) 145 CLR 107 at 137.</w:t>
      </w:r>
    </w:p>
  </w:footnote>
  <w:footnote w:id="96">
    <w:p w14:paraId="0A490B88"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(2004) 219 CLR 90 at 153-156 [173]-[181].</w:t>
      </w:r>
    </w:p>
  </w:footnote>
  <w:footnote w:id="97">
    <w:p w14:paraId="2F4C0E9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(2007) 232 CLR 1 at 35 [62] (emphasis in original).</w:t>
      </w:r>
    </w:p>
  </w:footnote>
  <w:footnote w:id="98">
    <w:p w14:paraId="13D77FF5"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Baxter</w:t>
      </w:r>
      <w:r w:rsidRPr="00516377">
        <w:rPr>
          <w:rFonts w:ascii="Times New Roman" w:hAnsi="Times New Roman"/>
          <w:sz w:val="24"/>
        </w:rPr>
        <w:t xml:space="preserve"> (2007) 232 CLR 1 at 36 [64], 37 [70].</w:t>
      </w:r>
    </w:p>
  </w:footnote>
  <w:footnote w:id="99">
    <w:p w14:paraId="4D54A515"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35 [60].</w:t>
      </w:r>
    </w:p>
  </w:footnote>
  <w:footnote w:id="100">
    <w:p w14:paraId="434DF09E"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(2007) 232 CLR 1 at 35 [60].</w:t>
      </w:r>
    </w:p>
  </w:footnote>
  <w:footnote w:id="101">
    <w:p w14:paraId="2014BD02"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35 [60].</w:t>
      </w:r>
    </w:p>
  </w:footnote>
  <w:footnote w:id="102">
    <w:p w14:paraId="56A3C6DF"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Emphasis in original.</w:t>
      </w:r>
    </w:p>
  </w:footnote>
  <w:footnote w:id="103">
    <w:p w14:paraId="64114E59"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eastAsiaTheme="majorEastAsia"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35 [60].</w:t>
      </w:r>
    </w:p>
  </w:footnote>
  <w:footnote w:id="104">
    <w:p w14:paraId="06F79769"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CCA, s 2.</w:t>
      </w:r>
    </w:p>
  </w:footnote>
  <w:footnote w:id="105">
    <w:p w14:paraId="637839E9"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In its current form, s 45DA(1) is in relevantly similar terms. The </w:t>
      </w:r>
      <w:r w:rsidRPr="00516377">
        <w:rPr>
          <w:rFonts w:ascii="Times New Roman" w:hAnsi="Times New Roman"/>
          <w:i/>
          <w:iCs/>
          <w:sz w:val="24"/>
        </w:rPr>
        <w:t xml:space="preserve">Competition and Consumer Amendment (Competition Policy Review) Act 2017 </w:t>
      </w:r>
      <w:r w:rsidRPr="00516377">
        <w:rPr>
          <w:rFonts w:ascii="Times New Roman" w:hAnsi="Times New Roman"/>
          <w:sz w:val="24"/>
        </w:rPr>
        <w:t>(Cth) amended Note</w:t>
      </w:r>
      <w:r>
        <w:rPr>
          <w:rFonts w:ascii="Times New Roman" w:hAnsi="Times New Roman"/>
          <w:sz w:val="24"/>
        </w:rPr>
        <w:t> </w:t>
      </w:r>
      <w:r w:rsidRPr="00516377">
        <w:rPr>
          <w:rFonts w:ascii="Times New Roman" w:hAnsi="Times New Roman"/>
          <w:sz w:val="24"/>
        </w:rPr>
        <w:t xml:space="preserve">1 to s 45DA(1) in a manner not presently material. </w:t>
      </w:r>
    </w:p>
  </w:footnote>
  <w:footnote w:id="106">
    <w:p w14:paraId="16528447"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CCA, s 2A(1).</w:t>
      </w:r>
    </w:p>
  </w:footnote>
  <w:footnote w:id="107">
    <w:p w14:paraId="76A94918"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CCA, s 2B(1)(a).</w:t>
      </w:r>
    </w:p>
  </w:footnote>
  <w:footnote w:id="108">
    <w:p w14:paraId="57660B7D"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 xml:space="preserve">Australia, House of Representatives, </w:t>
      </w:r>
      <w:r w:rsidRPr="00516377">
        <w:rPr>
          <w:rFonts w:ascii="Times New Roman" w:hAnsi="Times New Roman"/>
          <w:i/>
          <w:iCs/>
          <w:sz w:val="24"/>
        </w:rPr>
        <w:t xml:space="preserve">Parliamentary Debates </w:t>
      </w:r>
      <w:r w:rsidRPr="00516377">
        <w:rPr>
          <w:rFonts w:ascii="Times New Roman" w:hAnsi="Times New Roman"/>
          <w:sz w:val="24"/>
        </w:rPr>
        <w:t xml:space="preserve">(Hansard), 30 June 1995 at 2794. See also </w:t>
      </w:r>
      <w:r w:rsidRPr="00516377">
        <w:rPr>
          <w:rFonts w:ascii="Times New Roman" w:hAnsi="Times New Roman"/>
          <w:i/>
          <w:iCs/>
          <w:sz w:val="24"/>
        </w:rPr>
        <w:t>NT Power</w:t>
      </w:r>
      <w:r w:rsidRPr="00516377">
        <w:rPr>
          <w:rFonts w:ascii="Times New Roman" w:hAnsi="Times New Roman"/>
          <w:sz w:val="24"/>
        </w:rPr>
        <w:t xml:space="preserve"> (2004) 219 CLR 90 at 116 [66].</w:t>
      </w:r>
    </w:p>
  </w:footnote>
  <w:footnote w:id="109">
    <w:p w14:paraId="00D3984D"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Section 51(1) is subject to a number of limitations in s 51(1C), including that the</w:t>
      </w:r>
      <w:r>
        <w:rPr>
          <w:rFonts w:ascii="Times New Roman" w:hAnsi="Times New Roman"/>
          <w:sz w:val="24"/>
        </w:rPr>
        <w:t> </w:t>
      </w:r>
      <w:r w:rsidRPr="00516377">
        <w:rPr>
          <w:rFonts w:ascii="Times New Roman" w:hAnsi="Times New Roman"/>
          <w:sz w:val="24"/>
        </w:rPr>
        <w:t>authorisation by statute or regulation under s 51(1) requires the authorising provision to expressly refer to the CCA: s 51(1C)(a).</w:t>
      </w:r>
    </w:p>
  </w:footnote>
  <w:footnote w:id="110">
    <w:p w14:paraId="508665F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28 [43].</w:t>
      </w:r>
    </w:p>
  </w:footnote>
  <w:footnote w:id="111">
    <w:p w14:paraId="4F018938"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(2007) 232 CLR 1 at 13-14 [4]-[9], 30 [49], 39-40 [76].</w:t>
      </w:r>
    </w:p>
  </w:footnote>
  <w:footnote w:id="112">
    <w:p w14:paraId="08FA1744"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eastAsiaTheme="majorEastAsia"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35 [62] (emphasis in original).</w:t>
      </w:r>
    </w:p>
  </w:footnote>
  <w:footnote w:id="113">
    <w:p w14:paraId="7D5B5115"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(2007) 232 CLR 1 at 36 [64].</w:t>
      </w:r>
    </w:p>
  </w:footnote>
  <w:footnote w:id="114">
    <w:p w14:paraId="33429A7A"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36 [64].</w:t>
      </w:r>
    </w:p>
  </w:footnote>
  <w:footnote w:id="115">
    <w:p w14:paraId="1D2CF9F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In identical terms to s 2 of the CCA.</w:t>
      </w:r>
    </w:p>
  </w:footnote>
  <w:footnote w:id="116">
    <w:p w14:paraId="617D27D4"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36 [64].</w:t>
      </w:r>
    </w:p>
  </w:footnote>
  <w:footnote w:id="117">
    <w:p w14:paraId="196DE056" w14:textId="77777777" w:rsidR="0023595F" w:rsidRPr="00516377" w:rsidRDefault="0023595F" w:rsidP="00516377">
      <w:pPr>
        <w:pStyle w:val="FootnoteText"/>
        <w:spacing w:line="280" w:lineRule="exact"/>
        <w:ind w:right="0"/>
        <w:jc w:val="both"/>
        <w:rPr>
          <w:rFonts w:ascii="Times New Roman" w:hAnsi="Times New Roman"/>
          <w:b/>
          <w:bCs/>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In the same terms as s 51(1) of the CCA.</w:t>
      </w:r>
    </w:p>
  </w:footnote>
  <w:footnote w:id="118">
    <w:p w14:paraId="2744016F"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36 [64]; see also 19</w:t>
      </w:r>
      <w:r w:rsidRPr="00516377">
        <w:rPr>
          <w:rFonts w:ascii="Times New Roman" w:hAnsi="Times New Roman"/>
          <w:sz w:val="24"/>
        </w:rPr>
        <w:noBreakHyphen/>
        <w:t>20 [21].</w:t>
      </w:r>
    </w:p>
  </w:footnote>
  <w:footnote w:id="119">
    <w:p w14:paraId="76F7D005"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30 [48].</w:t>
      </w:r>
    </w:p>
  </w:footnote>
  <w:footnote w:id="120">
    <w:p w14:paraId="1BF441B6" w14:textId="77777777" w:rsidR="0023595F" w:rsidRPr="00516377" w:rsidDel="003D66C5" w:rsidRDefault="0023595F" w:rsidP="00516377">
      <w:pPr>
        <w:pStyle w:val="FootnoteText"/>
        <w:spacing w:line="280" w:lineRule="exact"/>
        <w:ind w:right="0"/>
        <w:jc w:val="both"/>
        <w:rPr>
          <w:rFonts w:ascii="Times New Roman" w:hAnsi="Times New Roman"/>
          <w:sz w:val="24"/>
        </w:rPr>
      </w:pPr>
      <w:r w:rsidRPr="00516377" w:rsidDel="003D66C5">
        <w:rPr>
          <w:rStyle w:val="FootnoteReference"/>
          <w:rFonts w:ascii="Times New Roman" w:hAnsi="Times New Roman"/>
          <w:sz w:val="22"/>
          <w:vertAlign w:val="baseline"/>
        </w:rPr>
        <w:footnoteRef/>
      </w:r>
      <w:r w:rsidRPr="00516377" w:rsidDel="003D66C5">
        <w:rPr>
          <w:rFonts w:ascii="Times New Roman" w:hAnsi="Times New Roman"/>
          <w:sz w:val="24"/>
        </w:rPr>
        <w:t xml:space="preserve"> </w:t>
      </w:r>
      <w:r w:rsidRPr="00516377" w:rsidDel="003D66C5">
        <w:rPr>
          <w:rFonts w:ascii="Times New Roman" w:hAnsi="Times New Roman"/>
          <w:sz w:val="24"/>
        </w:rPr>
        <w:tab/>
      </w:r>
      <w:r w:rsidRPr="00516377" w:rsidDel="003D66C5">
        <w:rPr>
          <w:rFonts w:ascii="Times New Roman" w:hAnsi="Times New Roman"/>
          <w:i/>
          <w:iCs/>
          <w:sz w:val="24"/>
        </w:rPr>
        <w:t>Baxter</w:t>
      </w:r>
      <w:r w:rsidRPr="00516377" w:rsidDel="003D66C5">
        <w:rPr>
          <w:rFonts w:ascii="Times New Roman" w:hAnsi="Times New Roman"/>
          <w:sz w:val="24"/>
        </w:rPr>
        <w:t xml:space="preserve"> (2007) 232 CLR 1 at 36 [65].</w:t>
      </w:r>
    </w:p>
  </w:footnote>
  <w:footnote w:id="121">
    <w:p w14:paraId="04899A32"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Baxter</w:t>
      </w:r>
      <w:r w:rsidRPr="00516377">
        <w:rPr>
          <w:rFonts w:ascii="Times New Roman" w:hAnsi="Times New Roman"/>
          <w:sz w:val="24"/>
        </w:rPr>
        <w:t xml:space="preserve"> (2007) 232 CLR 1 at 36 [66].</w:t>
      </w:r>
    </w:p>
  </w:footnote>
  <w:footnote w:id="122">
    <w:p w14:paraId="2DED10AF"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Baxter</w:t>
      </w:r>
      <w:r w:rsidRPr="00516377">
        <w:rPr>
          <w:rFonts w:ascii="Times New Roman" w:hAnsi="Times New Roman"/>
          <w:sz w:val="24"/>
        </w:rPr>
        <w:t xml:space="preserve"> (2007) 232 CLR 1 at 36-37 [67]-[68].</w:t>
      </w:r>
    </w:p>
  </w:footnote>
  <w:footnote w:id="123">
    <w:p w14:paraId="7AA5DCF7"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Baxter</w:t>
      </w:r>
      <w:r w:rsidRPr="00516377">
        <w:rPr>
          <w:rFonts w:ascii="Times New Roman" w:hAnsi="Times New Roman"/>
          <w:sz w:val="24"/>
        </w:rPr>
        <w:t xml:space="preserve"> (2007) 232 CLR 1 at 37 [68].</w:t>
      </w:r>
    </w:p>
  </w:footnote>
  <w:footnote w:id="124">
    <w:p w14:paraId="481AF64D"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37 [70]; see also 28 [44].</w:t>
      </w:r>
    </w:p>
  </w:footnote>
  <w:footnote w:id="125">
    <w:p w14:paraId="4D67CA81"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eastAsiaTheme="majorEastAsia"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 xml:space="preserve">(2007) 232 CLR 1 at 37 [70]. See </w:t>
      </w:r>
      <w:r w:rsidRPr="00516377">
        <w:rPr>
          <w:rFonts w:ascii="Times New Roman" w:hAnsi="Times New Roman"/>
          <w:i/>
          <w:iCs/>
          <w:sz w:val="24"/>
        </w:rPr>
        <w:t xml:space="preserve">SST Consulting Services </w:t>
      </w:r>
      <w:r w:rsidRPr="00516377">
        <w:rPr>
          <w:rFonts w:ascii="Times New Roman" w:hAnsi="Times New Roman"/>
          <w:sz w:val="24"/>
        </w:rPr>
        <w:t>(2006) 225 CLR 516. Section 4L of the TPA was in relevantly similar terms to s 4L of the CCA.</w:t>
      </w:r>
    </w:p>
  </w:footnote>
  <w:footnote w:id="126">
    <w:p w14:paraId="21D08B3C"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(2007) 232 CLR 1 at 39 [74].</w:t>
      </w:r>
    </w:p>
  </w:footnote>
  <w:footnote w:id="127">
    <w:p w14:paraId="587A4481"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(2007) 232 CLR 1 at 23-24 [30]-[32].</w:t>
      </w:r>
    </w:p>
  </w:footnote>
  <w:footnote w:id="128">
    <w:p w14:paraId="65A2DC2E"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Baxter </w:t>
      </w:r>
      <w:r w:rsidRPr="00516377">
        <w:rPr>
          <w:rFonts w:ascii="Times New Roman" w:hAnsi="Times New Roman"/>
          <w:sz w:val="24"/>
        </w:rPr>
        <w:t>(2007) 232 CLR 1 at 28 [44].</w:t>
      </w:r>
    </w:p>
  </w:footnote>
  <w:footnote w:id="129">
    <w:p w14:paraId="33E5D051"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PAAT Act, long title.</w:t>
      </w:r>
    </w:p>
  </w:footnote>
  <w:footnote w:id="130">
    <w:p w14:paraId="127573B8"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PAAT Act, s 4(1).</w:t>
      </w:r>
    </w:p>
  </w:footnote>
  <w:footnote w:id="131">
    <w:p w14:paraId="3EE5077A"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sidDel="00D20D2A">
        <w:rPr>
          <w:rFonts w:ascii="Times New Roman" w:hAnsi="Times New Roman"/>
          <w:sz w:val="24"/>
        </w:rPr>
        <w:t>PAAT Act, s </w:t>
      </w:r>
      <w:r w:rsidRPr="00516377">
        <w:rPr>
          <w:rFonts w:ascii="Times New Roman" w:hAnsi="Times New Roman"/>
          <w:sz w:val="24"/>
        </w:rPr>
        <w:t>3 definition of "authorised transaction".</w:t>
      </w:r>
    </w:p>
  </w:footnote>
  <w:footnote w:id="132">
    <w:p w14:paraId="735C9E8C"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PAAT Act, s 6.</w:t>
      </w:r>
    </w:p>
  </w:footnote>
  <w:footnote w:id="133">
    <w:p w14:paraId="433B48C9"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PAAT Act, s 7(1).</w:t>
      </w:r>
    </w:p>
  </w:footnote>
  <w:footnote w:id="134">
    <w:p w14:paraId="54641E76"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PAAT Act, s 7(2).</w:t>
      </w:r>
    </w:p>
  </w:footnote>
  <w:footnote w:id="135">
    <w:p w14:paraId="1FF16DBC"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PAAT Act, ss 8, 10, 11.</w:t>
      </w:r>
    </w:p>
  </w:footnote>
  <w:footnote w:id="136">
    <w:p w14:paraId="0C0B891C"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PAAT Act, ss 9, 10, 11.</w:t>
      </w:r>
    </w:p>
  </w:footnote>
  <w:footnote w:id="137">
    <w:p w14:paraId="3197B969"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PAAT Act, s 25(1).</w:t>
      </w:r>
    </w:p>
  </w:footnote>
  <w:footnote w:id="138">
    <w:p w14:paraId="24B0BA80"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PAAT Act, s 25(2).</w:t>
      </w:r>
    </w:p>
  </w:footnote>
  <w:footnote w:id="139">
    <w:p w14:paraId="2AEF93AC"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eastAsiaTheme="majorEastAsia"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(2007) 232 CLR 1 at 35 [60], 37 [68].</w:t>
      </w:r>
    </w:p>
  </w:footnote>
  <w:footnote w:id="140">
    <w:p w14:paraId="4400F8CA"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eastAsiaTheme="majorEastAsia"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 xml:space="preserve">New South Wales, </w:t>
      </w:r>
      <w:r w:rsidRPr="00516377">
        <w:rPr>
          <w:rFonts w:ascii="Times New Roman" w:hAnsi="Times New Roman"/>
          <w:i/>
          <w:sz w:val="24"/>
        </w:rPr>
        <w:t>Ports Assets (Authorised Transactions) Bill 2012</w:t>
      </w:r>
      <w:r w:rsidRPr="00516377">
        <w:rPr>
          <w:rFonts w:ascii="Times New Roman" w:hAnsi="Times New Roman"/>
          <w:sz w:val="24"/>
        </w:rPr>
        <w:t>, Explanatory</w:t>
      </w:r>
      <w:r>
        <w:rPr>
          <w:rFonts w:ascii="Times New Roman" w:hAnsi="Times New Roman"/>
          <w:sz w:val="24"/>
        </w:rPr>
        <w:t> </w:t>
      </w:r>
      <w:r w:rsidRPr="00516377">
        <w:rPr>
          <w:rFonts w:ascii="Times New Roman" w:hAnsi="Times New Roman"/>
          <w:sz w:val="24"/>
        </w:rPr>
        <w:t>Note at 1.</w:t>
      </w:r>
    </w:p>
  </w:footnote>
  <w:footnote w:id="141">
    <w:p w14:paraId="745525E9"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eastAsiaTheme="majorEastAsia"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t xml:space="preserve">New South Wales, </w:t>
      </w:r>
      <w:r w:rsidRPr="00516377">
        <w:rPr>
          <w:rFonts w:ascii="Times New Roman" w:hAnsi="Times New Roman"/>
          <w:i/>
          <w:sz w:val="24"/>
        </w:rPr>
        <w:t>Ports Assets (Authorised Transactions) Bill 2012</w:t>
      </w:r>
      <w:r w:rsidRPr="00516377">
        <w:rPr>
          <w:rFonts w:ascii="Times New Roman" w:hAnsi="Times New Roman"/>
          <w:sz w:val="24"/>
        </w:rPr>
        <w:t>, Explanatory</w:t>
      </w:r>
      <w:r>
        <w:rPr>
          <w:rFonts w:ascii="Times New Roman" w:hAnsi="Times New Roman"/>
          <w:sz w:val="24"/>
        </w:rPr>
        <w:t> </w:t>
      </w:r>
      <w:r w:rsidRPr="00516377">
        <w:rPr>
          <w:rFonts w:ascii="Times New Roman" w:hAnsi="Times New Roman"/>
          <w:sz w:val="24"/>
        </w:rPr>
        <w:t>Note at 1.</w:t>
      </w:r>
    </w:p>
  </w:footnote>
  <w:footnote w:id="142">
    <w:p w14:paraId="019C5542" w14:textId="77777777" w:rsidR="0023595F" w:rsidRPr="00516377" w:rsidRDefault="0023595F" w:rsidP="00516377">
      <w:pPr>
        <w:pStyle w:val="FootnoteText"/>
        <w:spacing w:line="280" w:lineRule="exact"/>
        <w:ind w:right="0"/>
        <w:jc w:val="both"/>
        <w:rPr>
          <w:rFonts w:ascii="Times New Roman" w:hAnsi="Times New Roman"/>
          <w:sz w:val="24"/>
        </w:rPr>
      </w:pPr>
      <w:r w:rsidRPr="00516377">
        <w:rPr>
          <w:rStyle w:val="FootnoteReference"/>
          <w:rFonts w:ascii="Times New Roman" w:hAnsi="Times New Roman"/>
          <w:sz w:val="22"/>
          <w:vertAlign w:val="baseline"/>
        </w:rPr>
        <w:footnoteRef/>
      </w:r>
      <w:r w:rsidRPr="00516377">
        <w:rPr>
          <w:rFonts w:ascii="Times New Roman" w:hAnsi="Times New Roman"/>
          <w:sz w:val="24"/>
        </w:rPr>
        <w:t xml:space="preserve"> </w:t>
      </w:r>
      <w:r w:rsidRPr="00516377">
        <w:rPr>
          <w:rFonts w:ascii="Times New Roman" w:hAnsi="Times New Roman"/>
          <w:sz w:val="24"/>
        </w:rPr>
        <w:tab/>
      </w:r>
      <w:r w:rsidRPr="00516377">
        <w:rPr>
          <w:rFonts w:ascii="Times New Roman" w:hAnsi="Times New Roman"/>
          <w:i/>
          <w:iCs/>
          <w:sz w:val="24"/>
        </w:rPr>
        <w:t xml:space="preserve">New South Wales v Bardolph </w:t>
      </w:r>
      <w:r w:rsidRPr="00516377">
        <w:rPr>
          <w:rFonts w:ascii="Times New Roman" w:hAnsi="Times New Roman"/>
          <w:sz w:val="24"/>
        </w:rPr>
        <w:t xml:space="preserve">(1934) 52 CLR 455 at 508. See also </w:t>
      </w:r>
      <w:r w:rsidRPr="00516377">
        <w:rPr>
          <w:rFonts w:ascii="Times New Roman" w:hAnsi="Times New Roman"/>
          <w:i/>
          <w:iCs/>
          <w:sz w:val="24"/>
        </w:rPr>
        <w:t xml:space="preserve">Williams v The Commonwealth </w:t>
      </w:r>
      <w:r w:rsidRPr="00516377">
        <w:rPr>
          <w:rFonts w:ascii="Times New Roman" w:hAnsi="Times New Roman"/>
          <w:sz w:val="24"/>
        </w:rPr>
        <w:t>(2012) 248 CLR 156 at 191 [33], 211 [74], 233-234 [139]-[143], 255-257 [208]-[212], 342 [484], 354 [529].</w:t>
      </w:r>
    </w:p>
  </w:footnote>
  <w:footnote w:id="143">
    <w:p w14:paraId="610FDFCF" w14:textId="77777777" w:rsidR="0023595F" w:rsidRPr="00B30553" w:rsidRDefault="0023595F" w:rsidP="00B30553">
      <w:pPr>
        <w:pStyle w:val="FootnoteText"/>
        <w:spacing w:line="280" w:lineRule="exact"/>
        <w:ind w:right="0"/>
        <w:jc w:val="both"/>
        <w:rPr>
          <w:rFonts w:ascii="Times New Roman" w:hAnsi="Times New Roman"/>
          <w:i/>
          <w:iCs/>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Voltaire, </w:t>
      </w:r>
      <w:r w:rsidRPr="00B30553">
        <w:rPr>
          <w:rFonts w:ascii="Times New Roman" w:hAnsi="Times New Roman"/>
          <w:i/>
          <w:iCs/>
          <w:sz w:val="24"/>
        </w:rPr>
        <w:t>Essay sur l'histoire générale, et sur les moeurs et l'esprit des nations</w:t>
      </w:r>
      <w:r w:rsidRPr="00B30553">
        <w:rPr>
          <w:rFonts w:ascii="Times New Roman" w:hAnsi="Times New Roman"/>
          <w:sz w:val="24"/>
        </w:rPr>
        <w:t xml:space="preserve"> (1761), vol 2, ch 66 at 239: "</w:t>
      </w:r>
      <w:r w:rsidRPr="00E32991">
        <w:rPr>
          <w:rFonts w:ascii="Times New Roman" w:hAnsi="Times New Roman"/>
          <w:sz w:val="24"/>
        </w:rPr>
        <w:t>Ce Corps qui s'appellait, &amp; qui s'appelle encor, le saint Empire Romain, n'était en aucune maniére, ni saint, ni Romain, ni Empire</w:t>
      </w:r>
      <w:r w:rsidRPr="00B30553">
        <w:rPr>
          <w:rFonts w:ascii="Times New Roman" w:hAnsi="Times New Roman"/>
          <w:sz w:val="24"/>
        </w:rPr>
        <w:t>"</w:t>
      </w:r>
      <w:r w:rsidRPr="00B30553">
        <w:rPr>
          <w:rFonts w:ascii="Times New Roman" w:hAnsi="Times New Roman"/>
          <w:i/>
          <w:iCs/>
          <w:sz w:val="24"/>
        </w:rPr>
        <w:t>.</w:t>
      </w:r>
    </w:p>
  </w:footnote>
  <w:footnote w:id="144">
    <w:p w14:paraId="3909FA51"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Wirral Estates Ltd v Shaw </w:t>
      </w:r>
      <w:r w:rsidRPr="00B30553">
        <w:rPr>
          <w:rFonts w:ascii="Times New Roman" w:hAnsi="Times New Roman"/>
          <w:sz w:val="24"/>
        </w:rPr>
        <w:t xml:space="preserve">[1932] 2 KB 247 at 263. See also </w:t>
      </w:r>
      <w:r w:rsidRPr="00B30553">
        <w:rPr>
          <w:rFonts w:ascii="Times New Roman" w:hAnsi="Times New Roman"/>
          <w:i/>
          <w:iCs/>
          <w:sz w:val="24"/>
        </w:rPr>
        <w:t>Perry v Eames</w:t>
      </w:r>
      <w:r w:rsidRPr="00B30553">
        <w:rPr>
          <w:rFonts w:ascii="Times New Roman" w:hAnsi="Times New Roman"/>
          <w:sz w:val="24"/>
        </w:rPr>
        <w:t xml:space="preserve"> [1891] 1 Ch 658 at 669-670. </w:t>
      </w:r>
    </w:p>
  </w:footnote>
  <w:footnote w:id="145">
    <w:p w14:paraId="4ED4C167" w14:textId="77777777" w:rsidR="0023595F" w:rsidRPr="00B30553" w:rsidRDefault="0023595F" w:rsidP="00B30553">
      <w:pPr>
        <w:pStyle w:val="FootnoteText"/>
        <w:spacing w:line="280" w:lineRule="exact"/>
        <w:ind w:right="0"/>
        <w:jc w:val="both"/>
        <w:rPr>
          <w:rFonts w:ascii="Times New Roman" w:hAnsi="Times New Roman"/>
          <w:i/>
          <w:iCs/>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Bropho v Western Australia</w:t>
      </w:r>
      <w:r w:rsidRPr="00B30553">
        <w:rPr>
          <w:rFonts w:ascii="Times New Roman" w:hAnsi="Times New Roman"/>
          <w:sz w:val="24"/>
        </w:rPr>
        <w:t xml:space="preserve"> (1990) 171 CLR 1.</w:t>
      </w:r>
    </w:p>
  </w:footnote>
  <w:footnote w:id="146">
    <w:p w14:paraId="530C6D4D"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Trade Practices Act 1974 </w:t>
      </w:r>
      <w:r w:rsidRPr="00B30553">
        <w:rPr>
          <w:rFonts w:ascii="Times New Roman" w:hAnsi="Times New Roman"/>
          <w:sz w:val="24"/>
        </w:rPr>
        <w:t xml:space="preserve">(Cth). </w:t>
      </w:r>
    </w:p>
  </w:footnote>
  <w:footnote w:id="147">
    <w:p w14:paraId="1EC9F77E"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Mayfield Development Corporation Pty Ltd v NSW Ports Operations Hold Co Pty Ltd</w:t>
      </w:r>
      <w:r w:rsidRPr="00B30553">
        <w:rPr>
          <w:rFonts w:ascii="Times New Roman" w:hAnsi="Times New Roman"/>
          <w:sz w:val="24"/>
        </w:rPr>
        <w:t xml:space="preserve"> (2025) 308 FCR 153 at 165 [52].</w:t>
      </w:r>
    </w:p>
  </w:footnote>
  <w:footnote w:id="148">
    <w:p w14:paraId="4528726B"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Australian Competition and Consumer Commission v J Hutchinson Pty Ltd</w:t>
      </w:r>
      <w:r w:rsidRPr="00B30553">
        <w:rPr>
          <w:rFonts w:ascii="Times New Roman" w:hAnsi="Times New Roman"/>
          <w:sz w:val="24"/>
        </w:rPr>
        <w:t xml:space="preserve"> (2025) 99 ALJR 695 at 708 [54]; 422 ALR 236 at 251.</w:t>
      </w:r>
    </w:p>
  </w:footnote>
  <w:footnote w:id="149">
    <w:p w14:paraId="3BBA3DF3"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Hill v Zuda </w:t>
      </w:r>
      <w:r w:rsidRPr="00B30553">
        <w:rPr>
          <w:rFonts w:ascii="Times New Roman" w:hAnsi="Times New Roman"/>
          <w:i/>
          <w:sz w:val="24"/>
        </w:rPr>
        <w:t>Pty Ltd</w:t>
      </w:r>
      <w:r w:rsidRPr="00B30553">
        <w:rPr>
          <w:rFonts w:ascii="Times New Roman" w:hAnsi="Times New Roman"/>
          <w:i/>
          <w:iCs/>
          <w:sz w:val="24"/>
        </w:rPr>
        <w:t xml:space="preserve"> </w:t>
      </w:r>
      <w:r w:rsidRPr="00B30553">
        <w:rPr>
          <w:rFonts w:ascii="Times New Roman" w:hAnsi="Times New Roman"/>
          <w:sz w:val="24"/>
        </w:rPr>
        <w:t xml:space="preserve">(2022) 275 CLR 24 at 34-35 [25]. See </w:t>
      </w:r>
      <w:r w:rsidRPr="00B30553">
        <w:rPr>
          <w:rFonts w:ascii="Times New Roman" w:hAnsi="Times New Roman"/>
          <w:i/>
          <w:iCs/>
          <w:sz w:val="24"/>
        </w:rPr>
        <w:t xml:space="preserve">Lendlease Corporation Ltd v Pallas </w:t>
      </w:r>
      <w:r w:rsidRPr="00B30553">
        <w:rPr>
          <w:rFonts w:ascii="Times New Roman" w:hAnsi="Times New Roman"/>
          <w:sz w:val="24"/>
        </w:rPr>
        <w:t>(2025) 99 ALJR 834 at 863-865 [114]-[118]; 423 ALR 23 at 58-60.</w:t>
      </w:r>
    </w:p>
  </w:footnote>
  <w:footnote w:id="150">
    <w:p w14:paraId="72E76D43"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Mayfield Development Corporation Pty Ltd v NSW Ports Operations Hold Co Pty Ltd</w:t>
      </w:r>
      <w:r w:rsidRPr="00B30553">
        <w:rPr>
          <w:rFonts w:ascii="Times New Roman" w:hAnsi="Times New Roman"/>
          <w:sz w:val="24"/>
        </w:rPr>
        <w:t xml:space="preserve"> (2025) 308 FCR 153 at 166-167 [64], quoting </w:t>
      </w:r>
      <w:r w:rsidRPr="00B30553">
        <w:rPr>
          <w:rFonts w:ascii="Times New Roman" w:hAnsi="Times New Roman"/>
          <w:i/>
          <w:iCs/>
          <w:sz w:val="24"/>
        </w:rPr>
        <w:t xml:space="preserve">Australian Competition and Consumer Commission v NSW Ports Operations Hold Co Pty Ltd </w:t>
      </w:r>
      <w:r w:rsidRPr="00B30553">
        <w:rPr>
          <w:rFonts w:ascii="Times New Roman" w:hAnsi="Times New Roman"/>
          <w:sz w:val="24"/>
        </w:rPr>
        <w:t>(2023) 296 FCR 364 at 471 [412].</w:t>
      </w:r>
    </w:p>
  </w:footnote>
  <w:footnote w:id="151">
    <w:p w14:paraId="3357A950"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PAAT Act, s 4(1).</w:t>
      </w:r>
    </w:p>
  </w:footnote>
  <w:footnote w:id="152">
    <w:p w14:paraId="45073336"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Mayfield Development Corporation Pty Ltd v NSW Ports Operations Hold Co Pty Ltd [No 4] </w:t>
      </w:r>
      <w:r w:rsidRPr="00B30553">
        <w:rPr>
          <w:rFonts w:ascii="Times New Roman" w:hAnsi="Times New Roman"/>
          <w:sz w:val="24"/>
        </w:rPr>
        <w:t>[2024] FCA 538 at [46]-[47].</w:t>
      </w:r>
    </w:p>
  </w:footnote>
  <w:footnote w:id="153">
    <w:p w14:paraId="40446D98"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See </w:t>
      </w:r>
      <w:r w:rsidRPr="00B30553">
        <w:rPr>
          <w:rFonts w:ascii="Times New Roman" w:hAnsi="Times New Roman"/>
          <w:i/>
          <w:iCs/>
          <w:sz w:val="24"/>
        </w:rPr>
        <w:t xml:space="preserve">Zavarco </w:t>
      </w:r>
      <w:r w:rsidRPr="00B30553">
        <w:rPr>
          <w:rFonts w:ascii="Times New Roman" w:hAnsi="Times New Roman"/>
          <w:i/>
          <w:sz w:val="24"/>
        </w:rPr>
        <w:t>p</w:t>
      </w:r>
      <w:r w:rsidRPr="00B30553">
        <w:rPr>
          <w:rFonts w:ascii="Times New Roman" w:hAnsi="Times New Roman"/>
          <w:i/>
          <w:iCs/>
          <w:sz w:val="24"/>
        </w:rPr>
        <w:t xml:space="preserve">lc </w:t>
      </w:r>
      <w:r w:rsidRPr="00B30553">
        <w:rPr>
          <w:rFonts w:ascii="Times New Roman" w:hAnsi="Times New Roman"/>
          <w:i/>
          <w:sz w:val="24"/>
        </w:rPr>
        <w:t>v Nasir</w:t>
      </w:r>
      <w:r w:rsidRPr="00B30553">
        <w:rPr>
          <w:rFonts w:ascii="Times New Roman" w:hAnsi="Times New Roman"/>
          <w:i/>
          <w:iCs/>
          <w:sz w:val="24"/>
        </w:rPr>
        <w:t xml:space="preserve"> </w:t>
      </w:r>
      <w:r w:rsidRPr="00B30553">
        <w:rPr>
          <w:rFonts w:ascii="Times New Roman" w:hAnsi="Times New Roman"/>
          <w:sz w:val="24"/>
        </w:rPr>
        <w:t xml:space="preserve">[2025] AC 738. </w:t>
      </w:r>
    </w:p>
  </w:footnote>
  <w:footnote w:id="154">
    <w:p w14:paraId="1C2D24EE"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Australian Competition and Consumer Commission v NSW Ports Operations Hold Co Pty Ltd</w:t>
      </w:r>
      <w:r w:rsidRPr="00B30553">
        <w:rPr>
          <w:rFonts w:ascii="Times New Roman" w:hAnsi="Times New Roman"/>
          <w:sz w:val="24"/>
        </w:rPr>
        <w:t xml:space="preserve"> (2023) 296 FCR 364.</w:t>
      </w:r>
    </w:p>
  </w:footnote>
  <w:footnote w:id="155">
    <w:p w14:paraId="0AEE8798"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Clayton v Bant </w:t>
      </w:r>
      <w:r w:rsidRPr="00B30553">
        <w:rPr>
          <w:rFonts w:ascii="Times New Roman" w:hAnsi="Times New Roman"/>
          <w:sz w:val="24"/>
        </w:rPr>
        <w:t xml:space="preserve">(2020) 272 CLR 1 at 25 [66]-[67]. </w:t>
      </w:r>
    </w:p>
  </w:footnote>
  <w:footnote w:id="156">
    <w:p w14:paraId="7BD4907B"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Sue v Hill </w:t>
      </w:r>
      <w:r w:rsidRPr="00B30553">
        <w:rPr>
          <w:rFonts w:ascii="Times New Roman" w:hAnsi="Times New Roman"/>
          <w:sz w:val="24"/>
        </w:rPr>
        <w:t>(1999) 199 CLR 462 at 498 [84], citing Cobbett, "'The Crown' as Representing 'the State'" (1903) 1</w:t>
      </w:r>
      <w:r w:rsidRPr="00B30553">
        <w:rPr>
          <w:rFonts w:ascii="Times New Roman" w:hAnsi="Times New Roman"/>
          <w:i/>
          <w:iCs/>
          <w:sz w:val="24"/>
        </w:rPr>
        <w:t xml:space="preserve"> </w:t>
      </w:r>
      <w:r w:rsidRPr="00B30553">
        <w:rPr>
          <w:rFonts w:ascii="Times New Roman" w:hAnsi="Times New Roman"/>
          <w:i/>
          <w:sz w:val="24"/>
        </w:rPr>
        <w:t>The</w:t>
      </w:r>
      <w:r w:rsidRPr="00B30553">
        <w:rPr>
          <w:rFonts w:ascii="Times New Roman" w:hAnsi="Times New Roman"/>
          <w:i/>
          <w:iCs/>
          <w:sz w:val="24"/>
        </w:rPr>
        <w:t xml:space="preserve"> Commonwealth Law Review </w:t>
      </w:r>
      <w:r w:rsidRPr="00B30553">
        <w:rPr>
          <w:rFonts w:ascii="Times New Roman" w:hAnsi="Times New Roman"/>
          <w:sz w:val="24"/>
        </w:rPr>
        <w:t>23 at 30.</w:t>
      </w:r>
    </w:p>
  </w:footnote>
  <w:footnote w:id="157">
    <w:p w14:paraId="24B7BCB7"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sz w:val="24"/>
        </w:rPr>
        <w:t>The</w:t>
      </w:r>
      <w:r w:rsidRPr="00B30553">
        <w:rPr>
          <w:rFonts w:ascii="Times New Roman" w:hAnsi="Times New Roman"/>
          <w:i/>
          <w:iCs/>
          <w:sz w:val="24"/>
        </w:rPr>
        <w:t xml:space="preserve"> Commonwealth v Western Australia (Mining Act Case) </w:t>
      </w:r>
      <w:r w:rsidRPr="00B30553">
        <w:rPr>
          <w:rFonts w:ascii="Times New Roman" w:hAnsi="Times New Roman"/>
          <w:sz w:val="24"/>
        </w:rPr>
        <w:t>(1999) 196 CLR 392 at 430 [106].</w:t>
      </w:r>
    </w:p>
  </w:footnote>
  <w:footnote w:id="158">
    <w:p w14:paraId="37CF800A"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Hohfeld, "Some Fundamental Legal Conceptions as Applied in Judicial Reasoning" (1913) 23 </w:t>
      </w:r>
      <w:r w:rsidRPr="00B30553">
        <w:rPr>
          <w:rFonts w:ascii="Times New Roman" w:hAnsi="Times New Roman"/>
          <w:i/>
          <w:iCs/>
          <w:sz w:val="24"/>
        </w:rPr>
        <w:t xml:space="preserve">Yale Law Journal </w:t>
      </w:r>
      <w:r w:rsidRPr="00B30553">
        <w:rPr>
          <w:rFonts w:ascii="Times New Roman" w:hAnsi="Times New Roman"/>
          <w:sz w:val="24"/>
        </w:rPr>
        <w:t xml:space="preserve">16 at 55.  </w:t>
      </w:r>
    </w:p>
  </w:footnote>
  <w:footnote w:id="159">
    <w:p w14:paraId="2E6FC505"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Western Australia v Manado </w:t>
      </w:r>
      <w:r w:rsidRPr="00B30553">
        <w:rPr>
          <w:rFonts w:ascii="Times New Roman" w:hAnsi="Times New Roman"/>
          <w:sz w:val="24"/>
        </w:rPr>
        <w:t>(2020) 270 CLR 81 at 114-115 [83]-[84].</w:t>
      </w:r>
    </w:p>
  </w:footnote>
  <w:footnote w:id="160">
    <w:p w14:paraId="10E60BF0"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Wirral Estates Ltd v Shaw </w:t>
      </w:r>
      <w:r w:rsidRPr="00B30553">
        <w:rPr>
          <w:rFonts w:ascii="Times New Roman" w:hAnsi="Times New Roman"/>
          <w:sz w:val="24"/>
        </w:rPr>
        <w:t>[1932] 2 KB 247 at 259-260.</w:t>
      </w:r>
    </w:p>
  </w:footnote>
  <w:footnote w:id="161">
    <w:p w14:paraId="6464B5BA"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See, for instance, </w:t>
      </w:r>
      <w:r w:rsidRPr="00B30553">
        <w:rPr>
          <w:rFonts w:ascii="Times New Roman" w:hAnsi="Times New Roman"/>
          <w:i/>
          <w:iCs/>
          <w:sz w:val="24"/>
        </w:rPr>
        <w:t xml:space="preserve">Cain v Doyle </w:t>
      </w:r>
      <w:r w:rsidRPr="00B30553">
        <w:rPr>
          <w:rFonts w:ascii="Times New Roman" w:hAnsi="Times New Roman"/>
          <w:sz w:val="24"/>
        </w:rPr>
        <w:t xml:space="preserve">(1946) 72 CLR 409 at 418, 424. Compare </w:t>
      </w:r>
      <w:r w:rsidRPr="00B30553">
        <w:rPr>
          <w:rFonts w:ascii="Times New Roman" w:hAnsi="Times New Roman"/>
          <w:i/>
          <w:iCs/>
          <w:sz w:val="24"/>
        </w:rPr>
        <w:t xml:space="preserve">Chief Executive Officer, Aboriginal Areas Protection Authority v Director of National Parks </w:t>
      </w:r>
      <w:r w:rsidRPr="00B30553">
        <w:rPr>
          <w:rFonts w:ascii="Times New Roman" w:hAnsi="Times New Roman"/>
          <w:sz w:val="24"/>
        </w:rPr>
        <w:t xml:space="preserve">(2024) 281 CLR 525 at 581-582 [157]. </w:t>
      </w:r>
    </w:p>
  </w:footnote>
  <w:footnote w:id="162">
    <w:p w14:paraId="069C7B9D"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sz w:val="24"/>
        </w:rPr>
        <w:t>Wynyard Investments Pty Ltd v Commissioner for Railways (NSW)</w:t>
      </w:r>
      <w:r w:rsidRPr="00B30553">
        <w:rPr>
          <w:rFonts w:ascii="Times New Roman" w:hAnsi="Times New Roman"/>
          <w:i/>
          <w:iCs/>
          <w:sz w:val="24"/>
        </w:rPr>
        <w:t xml:space="preserve"> </w:t>
      </w:r>
      <w:r w:rsidRPr="00B30553">
        <w:rPr>
          <w:rFonts w:ascii="Times New Roman" w:hAnsi="Times New Roman"/>
          <w:sz w:val="24"/>
        </w:rPr>
        <w:t xml:space="preserve">(1955) 93 CLR 376 at 395, quoting </w:t>
      </w:r>
      <w:r w:rsidRPr="00B30553">
        <w:rPr>
          <w:rFonts w:ascii="Times New Roman" w:hAnsi="Times New Roman"/>
          <w:i/>
          <w:iCs/>
          <w:sz w:val="24"/>
        </w:rPr>
        <w:t>Victorian Railways Commissioners v Herbert</w:t>
      </w:r>
      <w:r w:rsidRPr="00B30553">
        <w:rPr>
          <w:rFonts w:ascii="Times New Roman" w:hAnsi="Times New Roman"/>
          <w:sz w:val="24"/>
        </w:rPr>
        <w:t xml:space="preserve"> [1949] VLR 211 at 213-214.</w:t>
      </w:r>
    </w:p>
  </w:footnote>
  <w:footnote w:id="163">
    <w:p w14:paraId="3C3EDDBF"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sz w:val="24"/>
        </w:rPr>
        <w:t>Wynyard Investments Pty Ltd v Commissioner for Railways (NSW)</w:t>
      </w:r>
      <w:r w:rsidRPr="00B30553">
        <w:rPr>
          <w:rFonts w:ascii="Times New Roman" w:hAnsi="Times New Roman"/>
          <w:i/>
          <w:iCs/>
          <w:sz w:val="24"/>
        </w:rPr>
        <w:t xml:space="preserve"> </w:t>
      </w:r>
      <w:r w:rsidRPr="00B30553">
        <w:rPr>
          <w:rFonts w:ascii="Times New Roman" w:hAnsi="Times New Roman"/>
          <w:sz w:val="24"/>
        </w:rPr>
        <w:t>(1955) 93 CLR 376 at 395.</w:t>
      </w:r>
    </w:p>
  </w:footnote>
  <w:footnote w:id="164">
    <w:p w14:paraId="52CDCC91" w14:textId="77777777" w:rsidR="0023595F" w:rsidRPr="00B30553" w:rsidRDefault="0023595F" w:rsidP="00B30553">
      <w:pPr>
        <w:pStyle w:val="FootnoteText"/>
        <w:spacing w:line="280" w:lineRule="exact"/>
        <w:ind w:right="0"/>
        <w:jc w:val="both"/>
        <w:rPr>
          <w:rFonts w:ascii="Times New Roman" w:hAnsi="Times New Roman"/>
          <w:i/>
          <w:iCs/>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See also </w:t>
      </w:r>
      <w:r w:rsidRPr="00B30553">
        <w:rPr>
          <w:rFonts w:ascii="Times New Roman" w:hAnsi="Times New Roman"/>
          <w:i/>
          <w:iCs/>
          <w:sz w:val="24"/>
        </w:rPr>
        <w:t>Queensland v Stradford (a pseudonym)</w:t>
      </w:r>
      <w:r w:rsidRPr="00B30553">
        <w:rPr>
          <w:rFonts w:ascii="Times New Roman" w:hAnsi="Times New Roman"/>
          <w:sz w:val="24"/>
        </w:rPr>
        <w:t xml:space="preserve"> (2025) 99 ALJR 396; 421 ALR 376.</w:t>
      </w:r>
    </w:p>
  </w:footnote>
  <w:footnote w:id="165">
    <w:p w14:paraId="3C2DAAE5"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(1955) 93 CLR 376 at 393.</w:t>
      </w:r>
    </w:p>
  </w:footnote>
  <w:footnote w:id="166">
    <w:p w14:paraId="3F01F353"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(1955) 93 CLR 376 at 393-394.</w:t>
      </w:r>
    </w:p>
  </w:footnote>
  <w:footnote w:id="167">
    <w:p w14:paraId="48E092B7"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(2007) 232 CLR 1 at 34-35 [59].</w:t>
      </w:r>
    </w:p>
  </w:footnote>
  <w:footnote w:id="168">
    <w:p w14:paraId="6A694EF8"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Wirral Estates Ltd v Shaw </w:t>
      </w:r>
      <w:r w:rsidRPr="00B30553">
        <w:rPr>
          <w:rFonts w:ascii="Times New Roman" w:hAnsi="Times New Roman"/>
          <w:sz w:val="24"/>
        </w:rPr>
        <w:t xml:space="preserve">[1932] 2 KB 247 at 263. See also </w:t>
      </w:r>
      <w:r w:rsidRPr="00B30553">
        <w:rPr>
          <w:rFonts w:ascii="Times New Roman" w:hAnsi="Times New Roman"/>
          <w:i/>
          <w:iCs/>
          <w:sz w:val="24"/>
        </w:rPr>
        <w:t>Perry v Eames</w:t>
      </w:r>
      <w:r w:rsidRPr="00B30553">
        <w:rPr>
          <w:rFonts w:ascii="Times New Roman" w:hAnsi="Times New Roman"/>
          <w:sz w:val="24"/>
        </w:rPr>
        <w:t xml:space="preserve"> [1891] 1 Ch 658 at 669-670; </w:t>
      </w:r>
      <w:r w:rsidRPr="00B30553">
        <w:rPr>
          <w:rFonts w:ascii="Times New Roman" w:hAnsi="Times New Roman"/>
          <w:i/>
          <w:iCs/>
          <w:sz w:val="24"/>
        </w:rPr>
        <w:t xml:space="preserve">Clark v Downes </w:t>
      </w:r>
      <w:r w:rsidRPr="00B30553">
        <w:rPr>
          <w:rFonts w:ascii="Times New Roman" w:hAnsi="Times New Roman"/>
          <w:sz w:val="24"/>
        </w:rPr>
        <w:t>[1931] All ER Rep 157 at 160.</w:t>
      </w:r>
    </w:p>
  </w:footnote>
  <w:footnote w:id="169">
    <w:p w14:paraId="65076DC9"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Coco v The Queen </w:t>
      </w:r>
      <w:r w:rsidRPr="00B30553">
        <w:rPr>
          <w:rFonts w:ascii="Times New Roman" w:hAnsi="Times New Roman"/>
          <w:sz w:val="24"/>
        </w:rPr>
        <w:t xml:space="preserve">(1994) 179 CLR 427 at 437. </w:t>
      </w:r>
    </w:p>
  </w:footnote>
  <w:footnote w:id="170">
    <w:p w14:paraId="690BB539"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Mann v Paterson Constructions Pty Ltd</w:t>
      </w:r>
      <w:r w:rsidRPr="00B30553">
        <w:rPr>
          <w:rFonts w:ascii="Times New Roman" w:hAnsi="Times New Roman"/>
          <w:sz w:val="24"/>
        </w:rPr>
        <w:t xml:space="preserve"> (2019) 267 CLR 560 at 623 [159]; </w:t>
      </w:r>
      <w:r w:rsidRPr="00B30553">
        <w:rPr>
          <w:rFonts w:ascii="Times New Roman" w:hAnsi="Times New Roman"/>
          <w:i/>
          <w:iCs/>
          <w:sz w:val="24"/>
        </w:rPr>
        <w:t>Stephens v The Queen</w:t>
      </w:r>
      <w:r w:rsidRPr="00B30553">
        <w:rPr>
          <w:rFonts w:ascii="Times New Roman" w:hAnsi="Times New Roman"/>
          <w:sz w:val="24"/>
        </w:rPr>
        <w:t xml:space="preserve"> (2022) 273 CLR 635 at 653 [34]; </w:t>
      </w:r>
      <w:r w:rsidRPr="00B30553">
        <w:rPr>
          <w:rFonts w:ascii="Times New Roman" w:hAnsi="Times New Roman"/>
          <w:i/>
          <w:iCs/>
          <w:sz w:val="24"/>
        </w:rPr>
        <w:t xml:space="preserve">Hurt v The King </w:t>
      </w:r>
      <w:r w:rsidRPr="00B30553">
        <w:rPr>
          <w:rFonts w:ascii="Times New Roman" w:hAnsi="Times New Roman"/>
          <w:sz w:val="24"/>
        </w:rPr>
        <w:t>(2024) 281 CLR 286 at 325 [106].</w:t>
      </w:r>
    </w:p>
  </w:footnote>
  <w:footnote w:id="171">
    <w:p w14:paraId="0134398E"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Dicey, </w:t>
      </w:r>
      <w:r w:rsidRPr="00B30553">
        <w:rPr>
          <w:rFonts w:ascii="Times New Roman" w:hAnsi="Times New Roman"/>
          <w:i/>
          <w:iCs/>
          <w:sz w:val="24"/>
        </w:rPr>
        <w:t>Lectures Introductory to the Study of the Law of the Constitution</w:t>
      </w:r>
      <w:r w:rsidRPr="00B30553">
        <w:rPr>
          <w:rFonts w:ascii="Times New Roman" w:hAnsi="Times New Roman"/>
          <w:sz w:val="24"/>
        </w:rPr>
        <w:t xml:space="preserve"> (1885) at 215; see also at 177-178.</w:t>
      </w:r>
    </w:p>
  </w:footnote>
  <w:footnote w:id="172">
    <w:p w14:paraId="4B90BB00"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Judiciary Act 1903 </w:t>
      </w:r>
      <w:r w:rsidRPr="00B30553">
        <w:rPr>
          <w:rFonts w:ascii="Times New Roman" w:hAnsi="Times New Roman"/>
          <w:sz w:val="24"/>
        </w:rPr>
        <w:t xml:space="preserve">(Cth), s 64; </w:t>
      </w:r>
      <w:r w:rsidRPr="00B30553">
        <w:rPr>
          <w:rFonts w:ascii="Times New Roman" w:hAnsi="Times New Roman"/>
          <w:i/>
          <w:iCs/>
          <w:sz w:val="24"/>
        </w:rPr>
        <w:t xml:space="preserve">Crown Proceedings Act 1988 </w:t>
      </w:r>
      <w:r w:rsidRPr="00B30553">
        <w:rPr>
          <w:rFonts w:ascii="Times New Roman" w:hAnsi="Times New Roman"/>
          <w:sz w:val="24"/>
        </w:rPr>
        <w:t xml:space="preserve">(NSW), s 5(2). </w:t>
      </w:r>
    </w:p>
  </w:footnote>
  <w:footnote w:id="173">
    <w:p w14:paraId="0A62D49C"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Austral Pacific Group </w:t>
      </w:r>
      <w:r w:rsidRPr="00B30553">
        <w:rPr>
          <w:rFonts w:ascii="Times New Roman" w:hAnsi="Times New Roman"/>
          <w:i/>
          <w:sz w:val="24"/>
        </w:rPr>
        <w:t>Ltd</w:t>
      </w:r>
      <w:r w:rsidRPr="00B30553">
        <w:rPr>
          <w:rFonts w:ascii="Times New Roman" w:hAnsi="Times New Roman"/>
          <w:i/>
          <w:iCs/>
          <w:sz w:val="24"/>
        </w:rPr>
        <w:t xml:space="preserve"> (In liq) v Airservices Australia </w:t>
      </w:r>
      <w:r w:rsidRPr="00B30553">
        <w:rPr>
          <w:rFonts w:ascii="Times New Roman" w:hAnsi="Times New Roman"/>
          <w:sz w:val="24"/>
        </w:rPr>
        <w:t>(2000) 203 CLR 136</w:t>
      </w:r>
      <w:r w:rsidRPr="00B30553">
        <w:rPr>
          <w:rFonts w:ascii="Times New Roman" w:hAnsi="Times New Roman"/>
          <w:i/>
          <w:iCs/>
          <w:sz w:val="24"/>
        </w:rPr>
        <w:t xml:space="preserve"> </w:t>
      </w:r>
      <w:r w:rsidRPr="00B30553">
        <w:rPr>
          <w:rFonts w:ascii="Times New Roman" w:hAnsi="Times New Roman"/>
          <w:sz w:val="24"/>
        </w:rPr>
        <w:t>at 144 [16].</w:t>
      </w:r>
    </w:p>
  </w:footnote>
  <w:footnote w:id="174">
    <w:p w14:paraId="0C8308F1"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See also </w:t>
      </w:r>
      <w:r w:rsidRPr="00B30553">
        <w:rPr>
          <w:rFonts w:ascii="Times New Roman" w:hAnsi="Times New Roman"/>
          <w:i/>
          <w:iCs/>
          <w:sz w:val="24"/>
        </w:rPr>
        <w:t xml:space="preserve">British American Tobacco Australia Ltd v Western Australia </w:t>
      </w:r>
      <w:r w:rsidRPr="00B30553">
        <w:rPr>
          <w:rFonts w:ascii="Times New Roman" w:hAnsi="Times New Roman"/>
          <w:sz w:val="24"/>
        </w:rPr>
        <w:t>(2003) 217 CLR 30 at 63-64 [76].</w:t>
      </w:r>
    </w:p>
  </w:footnote>
  <w:footnote w:id="175">
    <w:p w14:paraId="19FAB5BB"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Stephens v The Queen</w:t>
      </w:r>
      <w:r w:rsidRPr="00B30553">
        <w:rPr>
          <w:rFonts w:ascii="Times New Roman" w:hAnsi="Times New Roman"/>
          <w:sz w:val="24"/>
        </w:rPr>
        <w:t xml:space="preserve"> (2022) 273 CLR 635 at 653 [34].</w:t>
      </w:r>
    </w:p>
  </w:footnote>
  <w:footnote w:id="176">
    <w:p w14:paraId="421A98E8" w14:textId="77777777" w:rsidR="0023595F" w:rsidRPr="00B30553" w:rsidRDefault="0023595F" w:rsidP="00B30553">
      <w:pPr>
        <w:pStyle w:val="FootnoteText"/>
        <w:spacing w:line="280" w:lineRule="exact"/>
        <w:ind w:right="0"/>
        <w:jc w:val="both"/>
        <w:rPr>
          <w:rFonts w:ascii="Times New Roman" w:hAnsi="Times New Roman"/>
          <w:i/>
          <w:iCs/>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Bropho v Western Australia</w:t>
      </w:r>
      <w:r w:rsidRPr="00B30553">
        <w:rPr>
          <w:rFonts w:ascii="Times New Roman" w:hAnsi="Times New Roman"/>
          <w:sz w:val="24"/>
        </w:rPr>
        <w:t xml:space="preserve"> (1990) 171 CLR 1 at 23-24. See </w:t>
      </w:r>
      <w:r w:rsidRPr="00B30553">
        <w:rPr>
          <w:rFonts w:ascii="Times New Roman" w:hAnsi="Times New Roman"/>
          <w:i/>
          <w:iCs/>
          <w:sz w:val="24"/>
        </w:rPr>
        <w:t xml:space="preserve">Cain v Doyle </w:t>
      </w:r>
      <w:r w:rsidRPr="00B30553">
        <w:rPr>
          <w:rFonts w:ascii="Times New Roman" w:hAnsi="Times New Roman"/>
          <w:sz w:val="24"/>
        </w:rPr>
        <w:t xml:space="preserve">(1946) 72 CLR 409; </w:t>
      </w:r>
      <w:r w:rsidRPr="00B30553">
        <w:rPr>
          <w:rFonts w:ascii="Times New Roman" w:hAnsi="Times New Roman"/>
          <w:i/>
          <w:iCs/>
          <w:sz w:val="24"/>
        </w:rPr>
        <w:t xml:space="preserve">Chief Executive Officer, Aboriginal Areas Protection Authority v Director of National Parks </w:t>
      </w:r>
      <w:r w:rsidRPr="00B30553">
        <w:rPr>
          <w:rFonts w:ascii="Times New Roman" w:hAnsi="Times New Roman"/>
          <w:sz w:val="24"/>
        </w:rPr>
        <w:t>(2024) 281 CLR 525 at 588-590 [177]-[180], 594-599 [189]-[204].</w:t>
      </w:r>
    </w:p>
  </w:footnote>
  <w:footnote w:id="177">
    <w:p w14:paraId="1168CB2F"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(1979) 145 CLR 107.</w:t>
      </w:r>
    </w:p>
  </w:footnote>
  <w:footnote w:id="178">
    <w:p w14:paraId="7C4787D0"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Trade Practices Act 1974</w:t>
      </w:r>
      <w:r w:rsidRPr="00B30553">
        <w:rPr>
          <w:rFonts w:ascii="Times New Roman" w:hAnsi="Times New Roman"/>
          <w:sz w:val="24"/>
        </w:rPr>
        <w:t xml:space="preserve"> (Cth).</w:t>
      </w:r>
    </w:p>
  </w:footnote>
  <w:footnote w:id="179">
    <w:p w14:paraId="5F322A2D"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sz w:val="24"/>
        </w:rPr>
        <w:t xml:space="preserve">Bradken Consolidated Ltd v </w:t>
      </w:r>
      <w:r w:rsidRPr="00B30553">
        <w:rPr>
          <w:rFonts w:ascii="Times New Roman" w:hAnsi="Times New Roman"/>
          <w:i/>
          <w:iCs/>
          <w:sz w:val="24"/>
        </w:rPr>
        <w:t xml:space="preserve">Broken Hill Proprietary Co Ltd </w:t>
      </w:r>
      <w:r w:rsidRPr="00B30553">
        <w:rPr>
          <w:rFonts w:ascii="Times New Roman" w:hAnsi="Times New Roman"/>
          <w:sz w:val="24"/>
        </w:rPr>
        <w:t>(1979) 145 CLR 107 at 123, 129, 135, 140.</w:t>
      </w:r>
    </w:p>
  </w:footnote>
  <w:footnote w:id="180">
    <w:p w14:paraId="2288E4AE"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Bradken Consolidated Ltd v Broken Hill Proprietary Co Ltd </w:t>
      </w:r>
      <w:r w:rsidRPr="00B30553">
        <w:rPr>
          <w:rFonts w:ascii="Times New Roman" w:hAnsi="Times New Roman"/>
          <w:sz w:val="24"/>
        </w:rPr>
        <w:t>(1979) 145 CLR 107 at 136.</w:t>
      </w:r>
    </w:p>
  </w:footnote>
  <w:footnote w:id="181">
    <w:p w14:paraId="78B9A300"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(1990) 171 CLR 1.</w:t>
      </w:r>
    </w:p>
  </w:footnote>
  <w:footnote w:id="182">
    <w:p w14:paraId="04AF3542"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(1990) 171 CLR 1 at 22. See </w:t>
      </w:r>
      <w:r w:rsidRPr="00B30553">
        <w:rPr>
          <w:rFonts w:ascii="Times New Roman" w:hAnsi="Times New Roman"/>
          <w:i/>
          <w:iCs/>
          <w:sz w:val="24"/>
        </w:rPr>
        <w:t xml:space="preserve">Chief Executive Officer, Aboriginal Areas Protection Authority v Director of National Parks </w:t>
      </w:r>
      <w:r w:rsidRPr="00B30553">
        <w:rPr>
          <w:rFonts w:ascii="Times New Roman" w:hAnsi="Times New Roman"/>
          <w:sz w:val="24"/>
        </w:rPr>
        <w:t>(2024) 281 CLR 525 at 580-581 [154].</w:t>
      </w:r>
    </w:p>
  </w:footnote>
  <w:footnote w:id="183">
    <w:p w14:paraId="509ADB00"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See, now, </w:t>
      </w:r>
      <w:r w:rsidRPr="00B30553">
        <w:rPr>
          <w:rFonts w:ascii="Times New Roman" w:hAnsi="Times New Roman"/>
          <w:i/>
          <w:iCs/>
          <w:sz w:val="24"/>
        </w:rPr>
        <w:t xml:space="preserve">Acts Interpretation Act 1901 </w:t>
      </w:r>
      <w:r w:rsidRPr="00B30553">
        <w:rPr>
          <w:rFonts w:ascii="Times New Roman" w:hAnsi="Times New Roman"/>
          <w:sz w:val="24"/>
        </w:rPr>
        <w:t xml:space="preserve">(Cth), s 2C(1). </w:t>
      </w:r>
    </w:p>
  </w:footnote>
  <w:footnote w:id="184">
    <w:p w14:paraId="5FD0676A"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Bass v Permanent Trustee Co Ltd </w:t>
      </w:r>
      <w:r w:rsidRPr="00B30553">
        <w:rPr>
          <w:rFonts w:ascii="Times New Roman" w:hAnsi="Times New Roman"/>
          <w:sz w:val="24"/>
        </w:rPr>
        <w:t>(1999) 198 CLR 334 at 348-349 [22].</w:t>
      </w:r>
    </w:p>
  </w:footnote>
  <w:footnote w:id="185">
    <w:p w14:paraId="591C343C"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Australia, House of Representatives, </w:t>
      </w:r>
      <w:r w:rsidRPr="00B30553">
        <w:rPr>
          <w:rFonts w:ascii="Times New Roman" w:hAnsi="Times New Roman"/>
          <w:i/>
          <w:iCs/>
          <w:sz w:val="24"/>
        </w:rPr>
        <w:t>Parliamentary Debates</w:t>
      </w:r>
      <w:r w:rsidRPr="00B30553">
        <w:rPr>
          <w:rFonts w:ascii="Times New Roman" w:hAnsi="Times New Roman"/>
          <w:sz w:val="24"/>
        </w:rPr>
        <w:t xml:space="preserve"> (Hansard), 30 June 1995 at 2794.</w:t>
      </w:r>
    </w:p>
  </w:footnote>
  <w:footnote w:id="186">
    <w:p w14:paraId="2A0CBCC3"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Bass v Permanent Trustee Co Ltd </w:t>
      </w:r>
      <w:r w:rsidRPr="00B30553">
        <w:rPr>
          <w:rFonts w:ascii="Times New Roman" w:hAnsi="Times New Roman"/>
          <w:sz w:val="24"/>
        </w:rPr>
        <w:t>(1999) 198 CLR 334 at 349 [24].</w:t>
      </w:r>
    </w:p>
  </w:footnote>
  <w:footnote w:id="187">
    <w:p w14:paraId="45B24BF2"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(2004) 219 CLR 90.</w:t>
      </w:r>
    </w:p>
  </w:footnote>
  <w:footnote w:id="188">
    <w:p w14:paraId="64186B36"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(2004) 219 CLR 90 at 150-151 [164]-[165].</w:t>
      </w:r>
    </w:p>
  </w:footnote>
  <w:footnote w:id="189">
    <w:p w14:paraId="17D5F0D4"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(2004) 219 CLR 90 at 152-153 [171].</w:t>
      </w:r>
    </w:p>
  </w:footnote>
  <w:footnote w:id="190">
    <w:p w14:paraId="0584B250"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(2004) 219 CLR 90 at 147 [158].</w:t>
      </w:r>
    </w:p>
  </w:footnote>
  <w:footnote w:id="191">
    <w:p w14:paraId="4EB94A81"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(2004) 219 CLR 90 at 152 [170], quoting </w:t>
      </w:r>
      <w:r w:rsidRPr="00B30553">
        <w:rPr>
          <w:rFonts w:ascii="Times New Roman" w:hAnsi="Times New Roman"/>
          <w:i/>
          <w:iCs/>
          <w:sz w:val="24"/>
        </w:rPr>
        <w:t>Wynyard Investments Pty Ltd v Commissioner for Railways (NSW)</w:t>
      </w:r>
      <w:r w:rsidRPr="00B30553">
        <w:rPr>
          <w:rFonts w:ascii="Times New Roman" w:hAnsi="Times New Roman"/>
          <w:sz w:val="24"/>
        </w:rPr>
        <w:t xml:space="preserve"> (1955) 93 CLR 376 at 393.</w:t>
      </w:r>
    </w:p>
  </w:footnote>
  <w:footnote w:id="192">
    <w:p w14:paraId="356C0D7B"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NT Power Generation Pty Ltd v Power and Water Authority</w:t>
      </w:r>
      <w:r w:rsidRPr="00B30553">
        <w:rPr>
          <w:rFonts w:ascii="Times New Roman" w:hAnsi="Times New Roman"/>
          <w:sz w:val="24"/>
        </w:rPr>
        <w:t xml:space="preserve"> (2004) 219 CLR 90 at 153-154 [173].</w:t>
      </w:r>
    </w:p>
  </w:footnote>
  <w:footnote w:id="193">
    <w:p w14:paraId="0D4E00A0"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sz w:val="24"/>
        </w:rPr>
        <w:t>Australian Competition and Consumer Commission v Baxter</w:t>
      </w:r>
      <w:r w:rsidRPr="00B30553">
        <w:rPr>
          <w:rFonts w:ascii="Times New Roman" w:hAnsi="Times New Roman"/>
          <w:i/>
          <w:iCs/>
          <w:sz w:val="24"/>
        </w:rPr>
        <w:t xml:space="preserve"> </w:t>
      </w:r>
      <w:r w:rsidRPr="00B30553">
        <w:rPr>
          <w:rFonts w:ascii="Times New Roman" w:hAnsi="Times New Roman"/>
          <w:i/>
          <w:sz w:val="24"/>
        </w:rPr>
        <w:t>Healthcare Pty Ltd</w:t>
      </w:r>
      <w:r w:rsidRPr="00B30553">
        <w:rPr>
          <w:rFonts w:ascii="Times New Roman" w:hAnsi="Times New Roman"/>
          <w:i/>
          <w:iCs/>
          <w:sz w:val="24"/>
        </w:rPr>
        <w:t xml:space="preserve"> </w:t>
      </w:r>
      <w:r w:rsidRPr="00B30553">
        <w:rPr>
          <w:rFonts w:ascii="Times New Roman" w:hAnsi="Times New Roman"/>
          <w:sz w:val="24"/>
        </w:rPr>
        <w:t>(2007) 232 CLR 1 at 35 [62] (emphasis in original).</w:t>
      </w:r>
    </w:p>
  </w:footnote>
  <w:footnote w:id="194">
    <w:p w14:paraId="047AC4E8"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sz w:val="24"/>
        </w:rPr>
        <w:t>Australian Competition and Consumer Commission v Baxter Healthcare Pty Ltd</w:t>
      </w:r>
      <w:r w:rsidRPr="00B30553">
        <w:rPr>
          <w:rFonts w:ascii="Times New Roman" w:hAnsi="Times New Roman"/>
          <w:i/>
          <w:iCs/>
          <w:sz w:val="24"/>
        </w:rPr>
        <w:t xml:space="preserve"> </w:t>
      </w:r>
      <w:r w:rsidRPr="00B30553">
        <w:rPr>
          <w:rFonts w:ascii="Times New Roman" w:hAnsi="Times New Roman"/>
          <w:sz w:val="24"/>
        </w:rPr>
        <w:t>(2007) 232 CLR 1 at 30 [49], 39-40 [76].</w:t>
      </w:r>
    </w:p>
  </w:footnote>
  <w:footnote w:id="195">
    <w:p w14:paraId="74E0B665"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sz w:val="24"/>
        </w:rPr>
        <w:t>Australian Competition and Consumer Commission v Baxter Healthcare Pty Ltd</w:t>
      </w:r>
      <w:r w:rsidRPr="00B30553">
        <w:rPr>
          <w:rFonts w:ascii="Times New Roman" w:hAnsi="Times New Roman"/>
          <w:i/>
          <w:iCs/>
          <w:sz w:val="24"/>
        </w:rPr>
        <w:t xml:space="preserve"> </w:t>
      </w:r>
      <w:r w:rsidRPr="00B30553">
        <w:rPr>
          <w:rFonts w:ascii="Times New Roman" w:hAnsi="Times New Roman"/>
          <w:sz w:val="24"/>
        </w:rPr>
        <w:t>(2007) 232 CLR 1 at 35 [60].</w:t>
      </w:r>
    </w:p>
  </w:footnote>
  <w:footnote w:id="196">
    <w:p w14:paraId="6BC230C8"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I</w:t>
      </w:r>
      <w:r w:rsidRPr="00B30553">
        <w:rPr>
          <w:rFonts w:ascii="Times New Roman" w:hAnsi="Times New Roman"/>
          <w:i/>
          <w:sz w:val="24"/>
        </w:rPr>
        <w:t xml:space="preserve">nterpretation Act 1987 </w:t>
      </w:r>
      <w:r w:rsidRPr="00B30553">
        <w:rPr>
          <w:rFonts w:ascii="Times New Roman" w:hAnsi="Times New Roman"/>
          <w:sz w:val="24"/>
        </w:rPr>
        <w:t xml:space="preserve">(NSW), Sch 4 (definition of "person"). See also </w:t>
      </w:r>
      <w:r w:rsidRPr="00B30553">
        <w:rPr>
          <w:rFonts w:ascii="Times New Roman" w:hAnsi="Times New Roman"/>
          <w:i/>
          <w:iCs/>
          <w:sz w:val="24"/>
        </w:rPr>
        <w:t xml:space="preserve">Crown Proceedings Act 1988 </w:t>
      </w:r>
      <w:r w:rsidRPr="00B30553">
        <w:rPr>
          <w:rFonts w:ascii="Times New Roman" w:hAnsi="Times New Roman"/>
          <w:sz w:val="24"/>
        </w:rPr>
        <w:t xml:space="preserve">(NSW), s 5(1). </w:t>
      </w:r>
    </w:p>
  </w:footnote>
  <w:footnote w:id="197">
    <w:p w14:paraId="13D65EAC"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CCA, ss 51(1)(b), 51(1C). </w:t>
      </w:r>
    </w:p>
  </w:footnote>
  <w:footnote w:id="198">
    <w:p w14:paraId="21FAA342"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Mayfield Development Corporation Pty Ltd v NSW Ports Operations Hold Co Pty Ltd</w:t>
      </w:r>
      <w:r w:rsidRPr="00B30553">
        <w:rPr>
          <w:rFonts w:ascii="Times New Roman" w:hAnsi="Times New Roman"/>
          <w:sz w:val="24"/>
        </w:rPr>
        <w:t xml:space="preserve"> (2025) 308 FCR 153 at 165-166 [56]-[58], including a quote from </w:t>
      </w:r>
      <w:r w:rsidRPr="00B30553">
        <w:rPr>
          <w:rFonts w:ascii="Times New Roman" w:hAnsi="Times New Roman"/>
          <w:i/>
          <w:iCs/>
          <w:sz w:val="24"/>
        </w:rPr>
        <w:t xml:space="preserve">Australian Competition and Consumer Commission v NSW Ports Operations Hold Co Pty Ltd </w:t>
      </w:r>
      <w:r w:rsidRPr="00B30553">
        <w:rPr>
          <w:rFonts w:ascii="Times New Roman" w:hAnsi="Times New Roman"/>
          <w:sz w:val="24"/>
        </w:rPr>
        <w:t xml:space="preserve">(2023) 296 FCR 364 at 468 [402]. </w:t>
      </w:r>
    </w:p>
  </w:footnote>
  <w:footnote w:id="199">
    <w:p w14:paraId="2755EC5A"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 xml:space="preserve">Trade Practices Act 1974 </w:t>
      </w:r>
      <w:r w:rsidRPr="00B30553">
        <w:rPr>
          <w:rFonts w:ascii="Times New Roman" w:hAnsi="Times New Roman"/>
          <w:sz w:val="24"/>
        </w:rPr>
        <w:t xml:space="preserve">(Cth), s 51(1). </w:t>
      </w:r>
    </w:p>
  </w:footnote>
  <w:footnote w:id="200">
    <w:p w14:paraId="2658F637"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r>
      <w:r w:rsidRPr="00B30553">
        <w:rPr>
          <w:rFonts w:ascii="Times New Roman" w:hAnsi="Times New Roman"/>
          <w:i/>
          <w:iCs/>
          <w:sz w:val="24"/>
        </w:rPr>
        <w:t>Mayfield Development Corporation Pty Ltd v NSW Ports Operations Hold Co Pty Ltd</w:t>
      </w:r>
      <w:r w:rsidRPr="00B30553">
        <w:rPr>
          <w:rFonts w:ascii="Times New Roman" w:hAnsi="Times New Roman"/>
          <w:sz w:val="24"/>
        </w:rPr>
        <w:t xml:space="preserve"> (2025) 308 FCR 153 at 166-167 [64], quoting </w:t>
      </w:r>
      <w:r w:rsidRPr="00B30553">
        <w:rPr>
          <w:rFonts w:ascii="Times New Roman" w:hAnsi="Times New Roman"/>
          <w:i/>
          <w:iCs/>
          <w:sz w:val="24"/>
        </w:rPr>
        <w:t xml:space="preserve">Australian Competition and Consumer Commission v NSW Ports Operations Hold Co Pty Ltd </w:t>
      </w:r>
      <w:r w:rsidRPr="00B30553">
        <w:rPr>
          <w:rFonts w:ascii="Times New Roman" w:hAnsi="Times New Roman"/>
          <w:sz w:val="24"/>
        </w:rPr>
        <w:t xml:space="preserve">(2023) 296 FCR 364 at 471 [412]. </w:t>
      </w:r>
    </w:p>
  </w:footnote>
  <w:footnote w:id="201">
    <w:p w14:paraId="3DEA5454" w14:textId="77777777" w:rsidR="0023595F" w:rsidRPr="00B30553" w:rsidRDefault="0023595F" w:rsidP="00B30553">
      <w:pPr>
        <w:pStyle w:val="FootnoteText"/>
        <w:spacing w:line="280" w:lineRule="exact"/>
        <w:ind w:right="0"/>
        <w:jc w:val="both"/>
        <w:rPr>
          <w:rFonts w:ascii="Times New Roman" w:hAnsi="Times New Roman"/>
          <w:sz w:val="24"/>
        </w:rPr>
      </w:pPr>
      <w:r w:rsidRPr="00B30553">
        <w:rPr>
          <w:rStyle w:val="FootnoteReference"/>
          <w:rFonts w:ascii="Times New Roman" w:hAnsi="Times New Roman"/>
          <w:sz w:val="22"/>
          <w:vertAlign w:val="baseline"/>
        </w:rPr>
        <w:footnoteRef/>
      </w:r>
      <w:r w:rsidRPr="00B30553">
        <w:rPr>
          <w:rFonts w:ascii="Times New Roman" w:hAnsi="Times New Roman"/>
          <w:sz w:val="24"/>
        </w:rPr>
        <w:t xml:space="preserve"> </w:t>
      </w:r>
      <w:r w:rsidRPr="00B30553">
        <w:rPr>
          <w:rFonts w:ascii="Times New Roman" w:hAnsi="Times New Roman"/>
          <w:sz w:val="24"/>
        </w:rPr>
        <w:tab/>
        <w:t xml:space="preserve">CCA, s 4L.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65A5" w14:textId="77777777" w:rsidR="008A5AD9" w:rsidRPr="00D02F09" w:rsidRDefault="008A5AD9" w:rsidP="00D02F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E4C5" w14:textId="77777777" w:rsidR="0023595F" w:rsidRDefault="0023595F" w:rsidP="00B30553">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00A233A2" w14:textId="77777777" w:rsidR="0023595F" w:rsidRDefault="0023595F" w:rsidP="00B30553">
    <w:pPr>
      <w:pStyle w:val="Header"/>
      <w:tabs>
        <w:tab w:val="clear" w:pos="4153"/>
        <w:tab w:val="clear" w:pos="8306"/>
        <w:tab w:val="right" w:pos="1304"/>
      </w:tabs>
      <w:spacing w:line="280" w:lineRule="exact"/>
      <w:ind w:firstLine="0"/>
      <w:rPr>
        <w:rFonts w:ascii="Times New Roman" w:hAnsi="Times New Roman"/>
        <w:i/>
        <w:sz w:val="22"/>
      </w:rPr>
    </w:pPr>
  </w:p>
  <w:p w14:paraId="69A38E10" w14:textId="77777777" w:rsidR="0023595F" w:rsidRDefault="0023595F" w:rsidP="00B30553">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428DEF34" w14:textId="77777777" w:rsidR="0023595F" w:rsidRPr="00B30553" w:rsidRDefault="0023595F" w:rsidP="00B30553">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70EC" w14:textId="77777777" w:rsidR="0023595F" w:rsidRDefault="0023595F" w:rsidP="00B30553">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2B3DFE47" w14:textId="77777777" w:rsidR="0023595F" w:rsidRDefault="0023595F" w:rsidP="00B30553">
    <w:pPr>
      <w:pStyle w:val="Header"/>
      <w:tabs>
        <w:tab w:val="clear" w:pos="4153"/>
        <w:tab w:val="clear" w:pos="8306"/>
        <w:tab w:val="left" w:pos="7200"/>
        <w:tab w:val="right" w:pos="8504"/>
      </w:tabs>
      <w:spacing w:line="280" w:lineRule="exact"/>
      <w:jc w:val="right"/>
      <w:rPr>
        <w:rFonts w:ascii="Times New Roman" w:hAnsi="Times New Roman"/>
        <w:i/>
        <w:sz w:val="22"/>
      </w:rPr>
    </w:pPr>
  </w:p>
  <w:p w14:paraId="0450BCE4" w14:textId="77777777" w:rsidR="0023595F" w:rsidRDefault="0023595F" w:rsidP="00B30553">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286B3B2A" w14:textId="77777777" w:rsidR="0023595F" w:rsidRPr="00B30553" w:rsidRDefault="0023595F" w:rsidP="00B30553">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6B84" w14:textId="77777777" w:rsidR="0023595F" w:rsidRDefault="0023595F" w:rsidP="00B30553">
    <w:pPr>
      <w:pStyle w:val="Header"/>
      <w:tabs>
        <w:tab w:val="clear" w:pos="4153"/>
        <w:tab w:val="clear" w:pos="8306"/>
        <w:tab w:val="center" w:pos="1134"/>
      </w:tabs>
      <w:spacing w:line="280" w:lineRule="exact"/>
      <w:ind w:firstLine="0"/>
      <w:rPr>
        <w:rFonts w:ascii="Times New Roman" w:hAnsi="Times New Roman"/>
        <w:i/>
        <w:sz w:val="22"/>
      </w:rPr>
    </w:pPr>
  </w:p>
  <w:p w14:paraId="45AE7CBF" w14:textId="77777777" w:rsidR="0023595F" w:rsidRDefault="0023595F" w:rsidP="00B30553">
    <w:pPr>
      <w:pStyle w:val="Header"/>
      <w:tabs>
        <w:tab w:val="clear" w:pos="4153"/>
        <w:tab w:val="clear" w:pos="8306"/>
        <w:tab w:val="center" w:pos="1134"/>
      </w:tabs>
      <w:spacing w:line="280" w:lineRule="exact"/>
      <w:ind w:firstLine="0"/>
      <w:rPr>
        <w:rFonts w:ascii="Times New Roman" w:hAnsi="Times New Roman"/>
        <w:i/>
        <w:sz w:val="22"/>
      </w:rPr>
    </w:pPr>
  </w:p>
  <w:p w14:paraId="51F48467" w14:textId="77777777" w:rsidR="0023595F" w:rsidRDefault="0023595F" w:rsidP="00B30553">
    <w:pPr>
      <w:pStyle w:val="Header"/>
      <w:tabs>
        <w:tab w:val="clear" w:pos="4153"/>
        <w:tab w:val="clear" w:pos="8306"/>
        <w:tab w:val="center" w:pos="1134"/>
      </w:tabs>
      <w:spacing w:line="280" w:lineRule="exact"/>
      <w:ind w:firstLine="0"/>
      <w:rPr>
        <w:rFonts w:ascii="Times New Roman" w:hAnsi="Times New Roman"/>
        <w:i/>
        <w:sz w:val="22"/>
      </w:rPr>
    </w:pPr>
  </w:p>
  <w:p w14:paraId="2C88352B" w14:textId="77777777" w:rsidR="0023595F" w:rsidRPr="00B30553" w:rsidRDefault="0023595F" w:rsidP="00B30553">
    <w:pPr>
      <w:pStyle w:val="Header"/>
      <w:tabs>
        <w:tab w:val="clear" w:pos="4153"/>
        <w:tab w:val="clear" w:pos="8306"/>
        <w:tab w:val="center" w:pos="1134"/>
      </w:tabs>
      <w:spacing w:line="280" w:lineRule="exact"/>
      <w:ind w:firstLine="0"/>
      <w:rPr>
        <w:rFonts w:ascii="Times New Roman" w:hAnsi="Times New Roman"/>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6AE" w14:textId="4C8D4B62" w:rsidR="008A5AD9" w:rsidRPr="00D02F09" w:rsidRDefault="00D02F09" w:rsidP="00D02F09">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8644FF">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8644FF">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0184" w14:textId="3461777E" w:rsidR="004051BE" w:rsidRPr="00D02F09" w:rsidRDefault="004051BE" w:rsidP="00D02F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D31B" w14:textId="77777777" w:rsidR="00D02F09" w:rsidRDefault="00D02F09" w:rsidP="008A5AD9">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Gageler</w:t>
    </w:r>
    <w:r>
      <w:rPr>
        <w:rFonts w:ascii="Times New Roman" w:hAnsi="Times New Roman"/>
        <w:i/>
        <w:sz w:val="22"/>
      </w:rPr>
      <w:tab/>
      <w:t>CJ</w:t>
    </w:r>
  </w:p>
  <w:p w14:paraId="2B78A7A0" w14:textId="77777777" w:rsidR="00D02F09" w:rsidRDefault="00D02F09" w:rsidP="008A5AD9">
    <w:pPr>
      <w:pStyle w:val="Header"/>
      <w:tabs>
        <w:tab w:val="clear" w:pos="4153"/>
        <w:tab w:val="clear" w:pos="8306"/>
        <w:tab w:val="right" w:pos="1304"/>
      </w:tabs>
      <w:spacing w:line="280" w:lineRule="exact"/>
      <w:ind w:firstLine="0"/>
      <w:rPr>
        <w:rFonts w:ascii="Times New Roman" w:hAnsi="Times New Roman"/>
        <w:i/>
        <w:sz w:val="22"/>
      </w:rPr>
    </w:pPr>
  </w:p>
  <w:p w14:paraId="4EC35F7E" w14:textId="77777777" w:rsidR="00D02F09" w:rsidRDefault="00D02F09" w:rsidP="008A5AD9">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383351B8" w14:textId="77777777" w:rsidR="00D02F09" w:rsidRPr="008A5AD9" w:rsidRDefault="00D02F09" w:rsidP="008A5AD9">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86DA" w14:textId="77777777" w:rsidR="00D02F09" w:rsidRDefault="00D02F09" w:rsidP="008A5AD9">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Gageler</w:t>
    </w:r>
    <w:r>
      <w:rPr>
        <w:rFonts w:ascii="Times New Roman" w:hAnsi="Times New Roman"/>
        <w:i/>
        <w:sz w:val="22"/>
      </w:rPr>
      <w:tab/>
      <w:t>CJ</w:t>
    </w:r>
  </w:p>
  <w:p w14:paraId="01E052E2" w14:textId="77777777" w:rsidR="00D02F09" w:rsidRDefault="00D02F09" w:rsidP="008A5AD9">
    <w:pPr>
      <w:pStyle w:val="Header"/>
      <w:tabs>
        <w:tab w:val="clear" w:pos="4153"/>
        <w:tab w:val="clear" w:pos="8306"/>
        <w:tab w:val="left" w:pos="7200"/>
        <w:tab w:val="right" w:pos="8504"/>
      </w:tabs>
      <w:spacing w:line="280" w:lineRule="exact"/>
      <w:jc w:val="right"/>
      <w:rPr>
        <w:rFonts w:ascii="Times New Roman" w:hAnsi="Times New Roman"/>
        <w:i/>
        <w:sz w:val="22"/>
      </w:rPr>
    </w:pPr>
  </w:p>
  <w:p w14:paraId="15D85AFB" w14:textId="77777777" w:rsidR="00D02F09" w:rsidRDefault="00D02F09" w:rsidP="008A5AD9">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28270F7A" w14:textId="77777777" w:rsidR="00D02F09" w:rsidRPr="008A5AD9" w:rsidRDefault="00D02F09" w:rsidP="008A5AD9">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81B7" w14:textId="77777777" w:rsidR="00D02F09" w:rsidRDefault="00D02F09" w:rsidP="008A5AD9">
    <w:pPr>
      <w:pStyle w:val="Header"/>
      <w:tabs>
        <w:tab w:val="clear" w:pos="4153"/>
        <w:tab w:val="clear" w:pos="8306"/>
        <w:tab w:val="center" w:pos="1134"/>
      </w:tabs>
      <w:spacing w:line="280" w:lineRule="exact"/>
      <w:ind w:firstLine="0"/>
      <w:rPr>
        <w:rFonts w:ascii="Times New Roman" w:hAnsi="Times New Roman"/>
        <w:i/>
        <w:sz w:val="22"/>
      </w:rPr>
    </w:pPr>
  </w:p>
  <w:p w14:paraId="587434C7" w14:textId="77777777" w:rsidR="00D02F09" w:rsidRDefault="00D02F09" w:rsidP="008A5AD9">
    <w:pPr>
      <w:pStyle w:val="Header"/>
      <w:tabs>
        <w:tab w:val="clear" w:pos="4153"/>
        <w:tab w:val="clear" w:pos="8306"/>
        <w:tab w:val="center" w:pos="1134"/>
      </w:tabs>
      <w:spacing w:line="280" w:lineRule="exact"/>
      <w:ind w:firstLine="0"/>
      <w:rPr>
        <w:rFonts w:ascii="Times New Roman" w:hAnsi="Times New Roman"/>
        <w:i/>
        <w:sz w:val="22"/>
      </w:rPr>
    </w:pPr>
  </w:p>
  <w:p w14:paraId="7D199453" w14:textId="77777777" w:rsidR="00D02F09" w:rsidRDefault="00D02F09" w:rsidP="008A5AD9">
    <w:pPr>
      <w:pStyle w:val="Header"/>
      <w:tabs>
        <w:tab w:val="clear" w:pos="4153"/>
        <w:tab w:val="clear" w:pos="8306"/>
        <w:tab w:val="center" w:pos="1134"/>
      </w:tabs>
      <w:spacing w:line="280" w:lineRule="exact"/>
      <w:ind w:firstLine="0"/>
      <w:rPr>
        <w:rFonts w:ascii="Times New Roman" w:hAnsi="Times New Roman"/>
        <w:i/>
        <w:sz w:val="22"/>
      </w:rPr>
    </w:pPr>
  </w:p>
  <w:p w14:paraId="595C32C8" w14:textId="77777777" w:rsidR="00D02F09" w:rsidRPr="008A5AD9" w:rsidRDefault="00D02F09" w:rsidP="008A5AD9">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70F5" w14:textId="77777777" w:rsidR="0023595F" w:rsidRPr="00516377" w:rsidRDefault="0023595F" w:rsidP="00516377">
    <w:pPr>
      <w:pStyle w:val="Header"/>
      <w:tabs>
        <w:tab w:val="clear" w:pos="4153"/>
        <w:tab w:val="clear" w:pos="8306"/>
        <w:tab w:val="right" w:pos="1304"/>
      </w:tabs>
      <w:spacing w:line="280" w:lineRule="exact"/>
      <w:ind w:firstLine="0"/>
      <w:rPr>
        <w:rFonts w:ascii="Times New Roman" w:hAnsi="Times New Roman"/>
        <w:i/>
        <w:sz w:val="22"/>
      </w:rPr>
    </w:pPr>
    <w:r w:rsidRPr="00516377">
      <w:rPr>
        <w:rFonts w:ascii="Times New Roman" w:hAnsi="Times New Roman"/>
        <w:i/>
        <w:sz w:val="22"/>
      </w:rPr>
      <w:t>Gordon</w:t>
    </w:r>
    <w:r w:rsidRPr="00516377">
      <w:rPr>
        <w:rFonts w:ascii="Times New Roman" w:hAnsi="Times New Roman"/>
        <w:i/>
        <w:sz w:val="22"/>
      </w:rPr>
      <w:tab/>
      <w:t>J</w:t>
    </w:r>
  </w:p>
  <w:p w14:paraId="651D58BF" w14:textId="77777777" w:rsidR="0023595F" w:rsidRPr="00516377" w:rsidRDefault="0023595F" w:rsidP="00516377">
    <w:pPr>
      <w:pStyle w:val="Header"/>
      <w:tabs>
        <w:tab w:val="clear" w:pos="4153"/>
        <w:tab w:val="clear" w:pos="8306"/>
        <w:tab w:val="right" w:pos="1304"/>
      </w:tabs>
      <w:spacing w:line="280" w:lineRule="exact"/>
      <w:ind w:firstLine="0"/>
      <w:rPr>
        <w:rFonts w:ascii="Times New Roman" w:hAnsi="Times New Roman"/>
        <w:i/>
        <w:sz w:val="22"/>
      </w:rPr>
    </w:pPr>
    <w:r w:rsidRPr="00516377">
      <w:rPr>
        <w:rFonts w:ascii="Times New Roman" w:hAnsi="Times New Roman"/>
        <w:i/>
        <w:sz w:val="22"/>
      </w:rPr>
      <w:t>Gleeson</w:t>
    </w:r>
    <w:r w:rsidRPr="00516377">
      <w:rPr>
        <w:rFonts w:ascii="Times New Roman" w:hAnsi="Times New Roman"/>
        <w:i/>
        <w:sz w:val="22"/>
      </w:rPr>
      <w:tab/>
      <w:t>J</w:t>
    </w:r>
  </w:p>
  <w:p w14:paraId="31E2725A" w14:textId="77777777" w:rsidR="0023595F" w:rsidRDefault="0023595F" w:rsidP="00516377">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5749ADCD" w14:textId="77777777" w:rsidR="0023595F" w:rsidRDefault="0023595F" w:rsidP="00516377">
    <w:pPr>
      <w:pStyle w:val="Header"/>
      <w:tabs>
        <w:tab w:val="clear" w:pos="4153"/>
        <w:tab w:val="clear" w:pos="8306"/>
        <w:tab w:val="right" w:pos="1304"/>
      </w:tabs>
      <w:spacing w:line="280" w:lineRule="exact"/>
      <w:ind w:firstLine="0"/>
      <w:rPr>
        <w:rFonts w:ascii="Times New Roman" w:hAnsi="Times New Roman"/>
        <w:i/>
        <w:sz w:val="22"/>
      </w:rPr>
    </w:pPr>
  </w:p>
  <w:p w14:paraId="409D79C6" w14:textId="77777777" w:rsidR="0023595F" w:rsidRDefault="0023595F" w:rsidP="00516377">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45574C6" w14:textId="77777777" w:rsidR="0023595F" w:rsidRPr="00516377" w:rsidRDefault="0023595F" w:rsidP="00516377">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4B72" w14:textId="77777777" w:rsidR="0023595F" w:rsidRPr="00516377" w:rsidRDefault="0023595F" w:rsidP="00516377">
    <w:pPr>
      <w:pStyle w:val="Header"/>
      <w:tabs>
        <w:tab w:val="clear" w:pos="4153"/>
        <w:tab w:val="clear" w:pos="8306"/>
        <w:tab w:val="left" w:pos="7200"/>
        <w:tab w:val="right" w:pos="8504"/>
      </w:tabs>
      <w:spacing w:line="280" w:lineRule="exact"/>
      <w:jc w:val="right"/>
      <w:rPr>
        <w:rFonts w:ascii="Times New Roman" w:hAnsi="Times New Roman"/>
        <w:i/>
        <w:sz w:val="22"/>
      </w:rPr>
    </w:pPr>
    <w:r w:rsidRPr="00516377">
      <w:rPr>
        <w:rFonts w:ascii="Times New Roman" w:hAnsi="Times New Roman"/>
        <w:i/>
        <w:sz w:val="22"/>
      </w:rPr>
      <w:tab/>
      <w:t>Gordon</w:t>
    </w:r>
    <w:r w:rsidRPr="00516377">
      <w:rPr>
        <w:rFonts w:ascii="Times New Roman" w:hAnsi="Times New Roman"/>
        <w:i/>
        <w:sz w:val="22"/>
      </w:rPr>
      <w:tab/>
      <w:t>J</w:t>
    </w:r>
  </w:p>
  <w:p w14:paraId="484E38F8" w14:textId="77777777" w:rsidR="0023595F" w:rsidRPr="00516377" w:rsidRDefault="0023595F" w:rsidP="00516377">
    <w:pPr>
      <w:pStyle w:val="Header"/>
      <w:tabs>
        <w:tab w:val="clear" w:pos="4153"/>
        <w:tab w:val="clear" w:pos="8306"/>
        <w:tab w:val="left" w:pos="7200"/>
        <w:tab w:val="right" w:pos="8504"/>
      </w:tabs>
      <w:spacing w:line="280" w:lineRule="exact"/>
      <w:jc w:val="right"/>
      <w:rPr>
        <w:rFonts w:ascii="Times New Roman" w:hAnsi="Times New Roman"/>
        <w:i/>
        <w:sz w:val="22"/>
      </w:rPr>
    </w:pPr>
    <w:r w:rsidRPr="00516377">
      <w:rPr>
        <w:rFonts w:ascii="Times New Roman" w:hAnsi="Times New Roman"/>
        <w:i/>
        <w:sz w:val="22"/>
      </w:rPr>
      <w:tab/>
      <w:t>Gleeson</w:t>
    </w:r>
    <w:r w:rsidRPr="00516377">
      <w:rPr>
        <w:rFonts w:ascii="Times New Roman" w:hAnsi="Times New Roman"/>
        <w:i/>
        <w:sz w:val="22"/>
      </w:rPr>
      <w:tab/>
      <w:t>J</w:t>
    </w:r>
  </w:p>
  <w:p w14:paraId="7BEC52CA" w14:textId="77777777" w:rsidR="0023595F" w:rsidRDefault="0023595F" w:rsidP="00516377">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34310146" w14:textId="77777777" w:rsidR="0023595F" w:rsidRDefault="0023595F" w:rsidP="00516377">
    <w:pPr>
      <w:pStyle w:val="Header"/>
      <w:tabs>
        <w:tab w:val="clear" w:pos="4153"/>
        <w:tab w:val="clear" w:pos="8306"/>
        <w:tab w:val="left" w:pos="7200"/>
        <w:tab w:val="right" w:pos="8504"/>
      </w:tabs>
      <w:spacing w:line="280" w:lineRule="exact"/>
      <w:jc w:val="right"/>
      <w:rPr>
        <w:rFonts w:ascii="Times New Roman" w:hAnsi="Times New Roman"/>
        <w:i/>
        <w:sz w:val="22"/>
      </w:rPr>
    </w:pPr>
  </w:p>
  <w:p w14:paraId="570AB7DD" w14:textId="77777777" w:rsidR="0023595F" w:rsidRDefault="0023595F" w:rsidP="00516377">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13C8688" w14:textId="77777777" w:rsidR="0023595F" w:rsidRPr="00516377" w:rsidRDefault="0023595F" w:rsidP="0051637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B2AE" w14:textId="77777777" w:rsidR="0023595F" w:rsidRDefault="0023595F" w:rsidP="00516377">
    <w:pPr>
      <w:pStyle w:val="Header"/>
      <w:tabs>
        <w:tab w:val="clear" w:pos="4153"/>
        <w:tab w:val="clear" w:pos="8306"/>
        <w:tab w:val="center" w:pos="1134"/>
      </w:tabs>
      <w:spacing w:line="280" w:lineRule="exact"/>
      <w:ind w:firstLine="0"/>
      <w:rPr>
        <w:rFonts w:ascii="Times New Roman" w:hAnsi="Times New Roman"/>
        <w:i/>
        <w:sz w:val="22"/>
      </w:rPr>
    </w:pPr>
  </w:p>
  <w:p w14:paraId="5FE19FBD" w14:textId="77777777" w:rsidR="0023595F" w:rsidRDefault="0023595F" w:rsidP="00516377">
    <w:pPr>
      <w:pStyle w:val="Header"/>
      <w:tabs>
        <w:tab w:val="clear" w:pos="4153"/>
        <w:tab w:val="clear" w:pos="8306"/>
        <w:tab w:val="center" w:pos="1134"/>
      </w:tabs>
      <w:spacing w:line="280" w:lineRule="exact"/>
      <w:ind w:firstLine="0"/>
      <w:rPr>
        <w:rFonts w:ascii="Times New Roman" w:hAnsi="Times New Roman"/>
        <w:i/>
        <w:sz w:val="22"/>
      </w:rPr>
    </w:pPr>
  </w:p>
  <w:p w14:paraId="6DBA1064" w14:textId="77777777" w:rsidR="0023595F" w:rsidRDefault="0023595F" w:rsidP="00516377">
    <w:pPr>
      <w:pStyle w:val="Header"/>
      <w:tabs>
        <w:tab w:val="clear" w:pos="4153"/>
        <w:tab w:val="clear" w:pos="8306"/>
        <w:tab w:val="center" w:pos="1134"/>
      </w:tabs>
      <w:spacing w:line="280" w:lineRule="exact"/>
      <w:ind w:firstLine="0"/>
      <w:rPr>
        <w:rFonts w:ascii="Times New Roman" w:hAnsi="Times New Roman"/>
        <w:i/>
        <w:sz w:val="22"/>
      </w:rPr>
    </w:pPr>
  </w:p>
  <w:p w14:paraId="1613BA67" w14:textId="77777777" w:rsidR="0023595F" w:rsidRDefault="0023595F" w:rsidP="00516377">
    <w:pPr>
      <w:pStyle w:val="Header"/>
      <w:tabs>
        <w:tab w:val="clear" w:pos="4153"/>
        <w:tab w:val="clear" w:pos="8306"/>
        <w:tab w:val="center" w:pos="1134"/>
      </w:tabs>
      <w:spacing w:line="280" w:lineRule="exact"/>
      <w:ind w:firstLine="0"/>
      <w:rPr>
        <w:rFonts w:ascii="Times New Roman" w:hAnsi="Times New Roman"/>
        <w:i/>
        <w:sz w:val="22"/>
      </w:rPr>
    </w:pPr>
  </w:p>
  <w:p w14:paraId="0DE2AE74" w14:textId="77777777" w:rsidR="0023595F" w:rsidRDefault="0023595F" w:rsidP="00516377">
    <w:pPr>
      <w:pStyle w:val="Header"/>
      <w:tabs>
        <w:tab w:val="clear" w:pos="4153"/>
        <w:tab w:val="clear" w:pos="8306"/>
        <w:tab w:val="center" w:pos="1134"/>
      </w:tabs>
      <w:spacing w:line="280" w:lineRule="exact"/>
      <w:ind w:firstLine="0"/>
      <w:rPr>
        <w:rFonts w:ascii="Times New Roman" w:hAnsi="Times New Roman"/>
        <w:i/>
        <w:sz w:val="22"/>
      </w:rPr>
    </w:pPr>
  </w:p>
  <w:p w14:paraId="4C4B51FC" w14:textId="77777777" w:rsidR="0023595F" w:rsidRPr="00516377" w:rsidRDefault="0023595F" w:rsidP="00516377">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A2EE8"/>
    <w:multiLevelType w:val="hybridMultilevel"/>
    <w:tmpl w:val="860CF248"/>
    <w:lvl w:ilvl="0" w:tplc="50AADB92">
      <w:start w:val="1"/>
      <w:numFmt w:val="decimal"/>
      <w:lvlText w:val="%1."/>
      <w:lvlJc w:val="left"/>
      <w:pPr>
        <w:ind w:left="1020" w:hanging="360"/>
      </w:pPr>
    </w:lvl>
    <w:lvl w:ilvl="1" w:tplc="F4389E6A">
      <w:start w:val="1"/>
      <w:numFmt w:val="decimal"/>
      <w:lvlText w:val="%2."/>
      <w:lvlJc w:val="left"/>
      <w:pPr>
        <w:ind w:left="1020" w:hanging="360"/>
      </w:pPr>
    </w:lvl>
    <w:lvl w:ilvl="2" w:tplc="C9F8A1E8">
      <w:start w:val="1"/>
      <w:numFmt w:val="decimal"/>
      <w:lvlText w:val="%3."/>
      <w:lvlJc w:val="left"/>
      <w:pPr>
        <w:ind w:left="1020" w:hanging="360"/>
      </w:pPr>
    </w:lvl>
    <w:lvl w:ilvl="3" w:tplc="B476C7DE">
      <w:start w:val="1"/>
      <w:numFmt w:val="decimal"/>
      <w:lvlText w:val="%4."/>
      <w:lvlJc w:val="left"/>
      <w:pPr>
        <w:ind w:left="1020" w:hanging="360"/>
      </w:pPr>
    </w:lvl>
    <w:lvl w:ilvl="4" w:tplc="200611D4">
      <w:start w:val="1"/>
      <w:numFmt w:val="decimal"/>
      <w:lvlText w:val="%5."/>
      <w:lvlJc w:val="left"/>
      <w:pPr>
        <w:ind w:left="1020" w:hanging="360"/>
      </w:pPr>
    </w:lvl>
    <w:lvl w:ilvl="5" w:tplc="6672B492">
      <w:start w:val="1"/>
      <w:numFmt w:val="decimal"/>
      <w:lvlText w:val="%6."/>
      <w:lvlJc w:val="left"/>
      <w:pPr>
        <w:ind w:left="1020" w:hanging="360"/>
      </w:pPr>
    </w:lvl>
    <w:lvl w:ilvl="6" w:tplc="E0B2A0F6">
      <w:start w:val="1"/>
      <w:numFmt w:val="decimal"/>
      <w:lvlText w:val="%7."/>
      <w:lvlJc w:val="left"/>
      <w:pPr>
        <w:ind w:left="1020" w:hanging="360"/>
      </w:pPr>
    </w:lvl>
    <w:lvl w:ilvl="7" w:tplc="6F5CA444">
      <w:start w:val="1"/>
      <w:numFmt w:val="decimal"/>
      <w:lvlText w:val="%8."/>
      <w:lvlJc w:val="left"/>
      <w:pPr>
        <w:ind w:left="1020" w:hanging="360"/>
      </w:pPr>
    </w:lvl>
    <w:lvl w:ilvl="8" w:tplc="5E10082E">
      <w:start w:val="1"/>
      <w:numFmt w:val="decimal"/>
      <w:lvlText w:val="%9."/>
      <w:lvlJc w:val="left"/>
      <w:pPr>
        <w:ind w:left="1020" w:hanging="360"/>
      </w:pPr>
    </w:lvl>
  </w:abstractNum>
  <w:abstractNum w:abstractNumId="11"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0ADA7E47"/>
    <w:multiLevelType w:val="hybridMultilevel"/>
    <w:tmpl w:val="63A8B822"/>
    <w:lvl w:ilvl="0" w:tplc="64AEECE2">
      <w:start w:val="1"/>
      <w:numFmt w:val="decimal"/>
      <w:lvlText w:val="%1."/>
      <w:lvlJc w:val="left"/>
      <w:pPr>
        <w:ind w:left="1020" w:hanging="360"/>
      </w:pPr>
    </w:lvl>
    <w:lvl w:ilvl="1" w:tplc="61962D46">
      <w:start w:val="1"/>
      <w:numFmt w:val="decimal"/>
      <w:lvlText w:val="%2."/>
      <w:lvlJc w:val="left"/>
      <w:pPr>
        <w:ind w:left="1020" w:hanging="360"/>
      </w:pPr>
    </w:lvl>
    <w:lvl w:ilvl="2" w:tplc="338A9CE8">
      <w:start w:val="1"/>
      <w:numFmt w:val="decimal"/>
      <w:lvlText w:val="%3."/>
      <w:lvlJc w:val="left"/>
      <w:pPr>
        <w:ind w:left="1020" w:hanging="360"/>
      </w:pPr>
    </w:lvl>
    <w:lvl w:ilvl="3" w:tplc="DE0E7A12">
      <w:start w:val="1"/>
      <w:numFmt w:val="decimal"/>
      <w:lvlText w:val="%4."/>
      <w:lvlJc w:val="left"/>
      <w:pPr>
        <w:ind w:left="1020" w:hanging="360"/>
      </w:pPr>
    </w:lvl>
    <w:lvl w:ilvl="4" w:tplc="8BA4AF38">
      <w:start w:val="1"/>
      <w:numFmt w:val="decimal"/>
      <w:lvlText w:val="%5."/>
      <w:lvlJc w:val="left"/>
      <w:pPr>
        <w:ind w:left="1020" w:hanging="360"/>
      </w:pPr>
    </w:lvl>
    <w:lvl w:ilvl="5" w:tplc="6220DE06">
      <w:start w:val="1"/>
      <w:numFmt w:val="decimal"/>
      <w:lvlText w:val="%6."/>
      <w:lvlJc w:val="left"/>
      <w:pPr>
        <w:ind w:left="1020" w:hanging="360"/>
      </w:pPr>
    </w:lvl>
    <w:lvl w:ilvl="6" w:tplc="0DD899A6">
      <w:start w:val="1"/>
      <w:numFmt w:val="decimal"/>
      <w:lvlText w:val="%7."/>
      <w:lvlJc w:val="left"/>
      <w:pPr>
        <w:ind w:left="1020" w:hanging="360"/>
      </w:pPr>
    </w:lvl>
    <w:lvl w:ilvl="7" w:tplc="FDDED800">
      <w:start w:val="1"/>
      <w:numFmt w:val="decimal"/>
      <w:lvlText w:val="%8."/>
      <w:lvlJc w:val="left"/>
      <w:pPr>
        <w:ind w:left="1020" w:hanging="360"/>
      </w:pPr>
    </w:lvl>
    <w:lvl w:ilvl="8" w:tplc="0D64312E">
      <w:start w:val="1"/>
      <w:numFmt w:val="decimal"/>
      <w:lvlText w:val="%9."/>
      <w:lvlJc w:val="left"/>
      <w:pPr>
        <w:ind w:left="1020" w:hanging="360"/>
      </w:pPr>
    </w:lvl>
  </w:abstractNum>
  <w:abstractNum w:abstractNumId="13"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9270FEE"/>
    <w:multiLevelType w:val="hybridMultilevel"/>
    <w:tmpl w:val="8474DDA0"/>
    <w:lvl w:ilvl="0" w:tplc="07AA5E90">
      <w:start w:val="1"/>
      <w:numFmt w:val="decimal"/>
      <w:lvlText w:val="%1."/>
      <w:lvlJc w:val="left"/>
      <w:pPr>
        <w:ind w:left="1020" w:hanging="360"/>
      </w:pPr>
    </w:lvl>
    <w:lvl w:ilvl="1" w:tplc="30B4E214">
      <w:start w:val="1"/>
      <w:numFmt w:val="decimal"/>
      <w:lvlText w:val="%2."/>
      <w:lvlJc w:val="left"/>
      <w:pPr>
        <w:ind w:left="1020" w:hanging="360"/>
      </w:pPr>
    </w:lvl>
    <w:lvl w:ilvl="2" w:tplc="9DF43DF8">
      <w:start w:val="1"/>
      <w:numFmt w:val="decimal"/>
      <w:lvlText w:val="%3."/>
      <w:lvlJc w:val="left"/>
      <w:pPr>
        <w:ind w:left="1020" w:hanging="360"/>
      </w:pPr>
    </w:lvl>
    <w:lvl w:ilvl="3" w:tplc="E6E21078">
      <w:start w:val="1"/>
      <w:numFmt w:val="decimal"/>
      <w:lvlText w:val="%4."/>
      <w:lvlJc w:val="left"/>
      <w:pPr>
        <w:ind w:left="1020" w:hanging="360"/>
      </w:pPr>
    </w:lvl>
    <w:lvl w:ilvl="4" w:tplc="31609370">
      <w:start w:val="1"/>
      <w:numFmt w:val="decimal"/>
      <w:lvlText w:val="%5."/>
      <w:lvlJc w:val="left"/>
      <w:pPr>
        <w:ind w:left="1020" w:hanging="360"/>
      </w:pPr>
    </w:lvl>
    <w:lvl w:ilvl="5" w:tplc="B97669A8">
      <w:start w:val="1"/>
      <w:numFmt w:val="decimal"/>
      <w:lvlText w:val="%6."/>
      <w:lvlJc w:val="left"/>
      <w:pPr>
        <w:ind w:left="1020" w:hanging="360"/>
      </w:pPr>
    </w:lvl>
    <w:lvl w:ilvl="6" w:tplc="F452A29C">
      <w:start w:val="1"/>
      <w:numFmt w:val="decimal"/>
      <w:lvlText w:val="%7."/>
      <w:lvlJc w:val="left"/>
      <w:pPr>
        <w:ind w:left="1020" w:hanging="360"/>
      </w:pPr>
    </w:lvl>
    <w:lvl w:ilvl="7" w:tplc="B80C1344">
      <w:start w:val="1"/>
      <w:numFmt w:val="decimal"/>
      <w:lvlText w:val="%8."/>
      <w:lvlJc w:val="left"/>
      <w:pPr>
        <w:ind w:left="1020" w:hanging="360"/>
      </w:pPr>
    </w:lvl>
    <w:lvl w:ilvl="8" w:tplc="7A465434">
      <w:start w:val="1"/>
      <w:numFmt w:val="decimal"/>
      <w:lvlText w:val="%9."/>
      <w:lvlJc w:val="left"/>
      <w:pPr>
        <w:ind w:left="1020" w:hanging="360"/>
      </w:pPr>
    </w:lvl>
  </w:abstractNum>
  <w:abstractNum w:abstractNumId="15" w15:restartNumberingAfterBreak="0">
    <w:nsid w:val="1E876228"/>
    <w:multiLevelType w:val="hybridMultilevel"/>
    <w:tmpl w:val="DCA0724E"/>
    <w:lvl w:ilvl="0" w:tplc="AD66CBA6">
      <w:start w:val="1"/>
      <w:numFmt w:val="decimal"/>
      <w:lvlText w:val="%1."/>
      <w:lvlJc w:val="left"/>
      <w:pPr>
        <w:ind w:left="1020" w:hanging="360"/>
      </w:pPr>
    </w:lvl>
    <w:lvl w:ilvl="1" w:tplc="1A2ECA54">
      <w:start w:val="1"/>
      <w:numFmt w:val="decimal"/>
      <w:lvlText w:val="%2."/>
      <w:lvlJc w:val="left"/>
      <w:pPr>
        <w:ind w:left="1020" w:hanging="360"/>
      </w:pPr>
    </w:lvl>
    <w:lvl w:ilvl="2" w:tplc="A4EC8E94">
      <w:start w:val="1"/>
      <w:numFmt w:val="decimal"/>
      <w:lvlText w:val="%3."/>
      <w:lvlJc w:val="left"/>
      <w:pPr>
        <w:ind w:left="1020" w:hanging="360"/>
      </w:pPr>
    </w:lvl>
    <w:lvl w:ilvl="3" w:tplc="711E0E04">
      <w:start w:val="1"/>
      <w:numFmt w:val="decimal"/>
      <w:lvlText w:val="%4."/>
      <w:lvlJc w:val="left"/>
      <w:pPr>
        <w:ind w:left="1020" w:hanging="360"/>
      </w:pPr>
    </w:lvl>
    <w:lvl w:ilvl="4" w:tplc="EA2E65A4">
      <w:start w:val="1"/>
      <w:numFmt w:val="decimal"/>
      <w:lvlText w:val="%5."/>
      <w:lvlJc w:val="left"/>
      <w:pPr>
        <w:ind w:left="1020" w:hanging="360"/>
      </w:pPr>
    </w:lvl>
    <w:lvl w:ilvl="5" w:tplc="AF409FD4">
      <w:start w:val="1"/>
      <w:numFmt w:val="decimal"/>
      <w:lvlText w:val="%6."/>
      <w:lvlJc w:val="left"/>
      <w:pPr>
        <w:ind w:left="1020" w:hanging="360"/>
      </w:pPr>
    </w:lvl>
    <w:lvl w:ilvl="6" w:tplc="07F24760">
      <w:start w:val="1"/>
      <w:numFmt w:val="decimal"/>
      <w:lvlText w:val="%7."/>
      <w:lvlJc w:val="left"/>
      <w:pPr>
        <w:ind w:left="1020" w:hanging="360"/>
      </w:pPr>
    </w:lvl>
    <w:lvl w:ilvl="7" w:tplc="C120818C">
      <w:start w:val="1"/>
      <w:numFmt w:val="decimal"/>
      <w:lvlText w:val="%8."/>
      <w:lvlJc w:val="left"/>
      <w:pPr>
        <w:ind w:left="1020" w:hanging="360"/>
      </w:pPr>
    </w:lvl>
    <w:lvl w:ilvl="8" w:tplc="4EFCA8A8">
      <w:start w:val="1"/>
      <w:numFmt w:val="decimal"/>
      <w:lvlText w:val="%9."/>
      <w:lvlJc w:val="left"/>
      <w:pPr>
        <w:ind w:left="1020" w:hanging="360"/>
      </w:pPr>
    </w:lvl>
  </w:abstractNum>
  <w:abstractNum w:abstractNumId="16"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0C7879"/>
    <w:multiLevelType w:val="hybridMultilevel"/>
    <w:tmpl w:val="2BA254BA"/>
    <w:lvl w:ilvl="0" w:tplc="C784BDEE">
      <w:start w:val="1"/>
      <w:numFmt w:val="decimal"/>
      <w:lvlText w:val="%1."/>
      <w:lvlJc w:val="left"/>
      <w:pPr>
        <w:ind w:left="1020" w:hanging="360"/>
      </w:pPr>
    </w:lvl>
    <w:lvl w:ilvl="1" w:tplc="E702C3CE">
      <w:start w:val="1"/>
      <w:numFmt w:val="decimal"/>
      <w:lvlText w:val="%2."/>
      <w:lvlJc w:val="left"/>
      <w:pPr>
        <w:ind w:left="1020" w:hanging="360"/>
      </w:pPr>
    </w:lvl>
    <w:lvl w:ilvl="2" w:tplc="45FA1E84">
      <w:start w:val="1"/>
      <w:numFmt w:val="decimal"/>
      <w:lvlText w:val="%3."/>
      <w:lvlJc w:val="left"/>
      <w:pPr>
        <w:ind w:left="1020" w:hanging="360"/>
      </w:pPr>
    </w:lvl>
    <w:lvl w:ilvl="3" w:tplc="37F89FC8">
      <w:start w:val="1"/>
      <w:numFmt w:val="decimal"/>
      <w:lvlText w:val="%4."/>
      <w:lvlJc w:val="left"/>
      <w:pPr>
        <w:ind w:left="1020" w:hanging="360"/>
      </w:pPr>
    </w:lvl>
    <w:lvl w:ilvl="4" w:tplc="23F28516">
      <w:start w:val="1"/>
      <w:numFmt w:val="decimal"/>
      <w:lvlText w:val="%5."/>
      <w:lvlJc w:val="left"/>
      <w:pPr>
        <w:ind w:left="1020" w:hanging="360"/>
      </w:pPr>
    </w:lvl>
    <w:lvl w:ilvl="5" w:tplc="2D70A606">
      <w:start w:val="1"/>
      <w:numFmt w:val="decimal"/>
      <w:lvlText w:val="%6."/>
      <w:lvlJc w:val="left"/>
      <w:pPr>
        <w:ind w:left="1020" w:hanging="360"/>
      </w:pPr>
    </w:lvl>
    <w:lvl w:ilvl="6" w:tplc="D8FAA202">
      <w:start w:val="1"/>
      <w:numFmt w:val="decimal"/>
      <w:lvlText w:val="%7."/>
      <w:lvlJc w:val="left"/>
      <w:pPr>
        <w:ind w:left="1020" w:hanging="360"/>
      </w:pPr>
    </w:lvl>
    <w:lvl w:ilvl="7" w:tplc="A3800DAE">
      <w:start w:val="1"/>
      <w:numFmt w:val="decimal"/>
      <w:lvlText w:val="%8."/>
      <w:lvlJc w:val="left"/>
      <w:pPr>
        <w:ind w:left="1020" w:hanging="360"/>
      </w:pPr>
    </w:lvl>
    <w:lvl w:ilvl="8" w:tplc="111E0250">
      <w:start w:val="1"/>
      <w:numFmt w:val="decimal"/>
      <w:lvlText w:val="%9."/>
      <w:lvlJc w:val="left"/>
      <w:pPr>
        <w:ind w:left="1020" w:hanging="360"/>
      </w:pPr>
    </w:lvl>
  </w:abstractNum>
  <w:abstractNum w:abstractNumId="19"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0"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9DE34D0"/>
    <w:multiLevelType w:val="hybridMultilevel"/>
    <w:tmpl w:val="900A4572"/>
    <w:lvl w:ilvl="0" w:tplc="8D5EF06C">
      <w:start w:val="1"/>
      <w:numFmt w:val="decimal"/>
      <w:lvlText w:val="%1."/>
      <w:lvlJc w:val="left"/>
      <w:pPr>
        <w:ind w:left="1020" w:hanging="360"/>
      </w:pPr>
    </w:lvl>
    <w:lvl w:ilvl="1" w:tplc="E620136C">
      <w:start w:val="1"/>
      <w:numFmt w:val="decimal"/>
      <w:lvlText w:val="%2."/>
      <w:lvlJc w:val="left"/>
      <w:pPr>
        <w:ind w:left="1020" w:hanging="360"/>
      </w:pPr>
    </w:lvl>
    <w:lvl w:ilvl="2" w:tplc="69B81BE8">
      <w:start w:val="1"/>
      <w:numFmt w:val="decimal"/>
      <w:lvlText w:val="%3."/>
      <w:lvlJc w:val="left"/>
      <w:pPr>
        <w:ind w:left="1020" w:hanging="360"/>
      </w:pPr>
    </w:lvl>
    <w:lvl w:ilvl="3" w:tplc="E50826CE">
      <w:start w:val="1"/>
      <w:numFmt w:val="decimal"/>
      <w:lvlText w:val="%4."/>
      <w:lvlJc w:val="left"/>
      <w:pPr>
        <w:ind w:left="1020" w:hanging="360"/>
      </w:pPr>
    </w:lvl>
    <w:lvl w:ilvl="4" w:tplc="3B045AE6">
      <w:start w:val="1"/>
      <w:numFmt w:val="decimal"/>
      <w:lvlText w:val="%5."/>
      <w:lvlJc w:val="left"/>
      <w:pPr>
        <w:ind w:left="1020" w:hanging="360"/>
      </w:pPr>
    </w:lvl>
    <w:lvl w:ilvl="5" w:tplc="8DFEBB8C">
      <w:start w:val="1"/>
      <w:numFmt w:val="decimal"/>
      <w:lvlText w:val="%6."/>
      <w:lvlJc w:val="left"/>
      <w:pPr>
        <w:ind w:left="1020" w:hanging="360"/>
      </w:pPr>
    </w:lvl>
    <w:lvl w:ilvl="6" w:tplc="9D148F7A">
      <w:start w:val="1"/>
      <w:numFmt w:val="decimal"/>
      <w:lvlText w:val="%7."/>
      <w:lvlJc w:val="left"/>
      <w:pPr>
        <w:ind w:left="1020" w:hanging="360"/>
      </w:pPr>
    </w:lvl>
    <w:lvl w:ilvl="7" w:tplc="BC14E32C">
      <w:start w:val="1"/>
      <w:numFmt w:val="decimal"/>
      <w:lvlText w:val="%8."/>
      <w:lvlJc w:val="left"/>
      <w:pPr>
        <w:ind w:left="1020" w:hanging="360"/>
      </w:pPr>
    </w:lvl>
    <w:lvl w:ilvl="8" w:tplc="BC1893AA">
      <w:start w:val="1"/>
      <w:numFmt w:val="decimal"/>
      <w:lvlText w:val="%9."/>
      <w:lvlJc w:val="left"/>
      <w:pPr>
        <w:ind w:left="1020" w:hanging="360"/>
      </w:pPr>
    </w:lvl>
  </w:abstractNum>
  <w:abstractNum w:abstractNumId="23" w15:restartNumberingAfterBreak="0">
    <w:nsid w:val="6DE41F0B"/>
    <w:multiLevelType w:val="hybridMultilevel"/>
    <w:tmpl w:val="4F200684"/>
    <w:lvl w:ilvl="0" w:tplc="6764FA1A">
      <w:start w:val="1"/>
      <w:numFmt w:val="decimal"/>
      <w:lvlText w:val="%1."/>
      <w:lvlJc w:val="left"/>
      <w:pPr>
        <w:ind w:left="1020" w:hanging="360"/>
      </w:pPr>
    </w:lvl>
    <w:lvl w:ilvl="1" w:tplc="41724356">
      <w:start w:val="1"/>
      <w:numFmt w:val="decimal"/>
      <w:lvlText w:val="%2."/>
      <w:lvlJc w:val="left"/>
      <w:pPr>
        <w:ind w:left="1020" w:hanging="360"/>
      </w:pPr>
    </w:lvl>
    <w:lvl w:ilvl="2" w:tplc="BB9A96F8">
      <w:start w:val="1"/>
      <w:numFmt w:val="decimal"/>
      <w:lvlText w:val="%3."/>
      <w:lvlJc w:val="left"/>
      <w:pPr>
        <w:ind w:left="1020" w:hanging="360"/>
      </w:pPr>
    </w:lvl>
    <w:lvl w:ilvl="3" w:tplc="0D280B9C">
      <w:start w:val="1"/>
      <w:numFmt w:val="decimal"/>
      <w:lvlText w:val="%4."/>
      <w:lvlJc w:val="left"/>
      <w:pPr>
        <w:ind w:left="1020" w:hanging="360"/>
      </w:pPr>
    </w:lvl>
    <w:lvl w:ilvl="4" w:tplc="B10EDDC8">
      <w:start w:val="1"/>
      <w:numFmt w:val="decimal"/>
      <w:lvlText w:val="%5."/>
      <w:lvlJc w:val="left"/>
      <w:pPr>
        <w:ind w:left="1020" w:hanging="360"/>
      </w:pPr>
    </w:lvl>
    <w:lvl w:ilvl="5" w:tplc="CB1C9CBA">
      <w:start w:val="1"/>
      <w:numFmt w:val="decimal"/>
      <w:lvlText w:val="%6."/>
      <w:lvlJc w:val="left"/>
      <w:pPr>
        <w:ind w:left="1020" w:hanging="360"/>
      </w:pPr>
    </w:lvl>
    <w:lvl w:ilvl="6" w:tplc="1DDAB14C">
      <w:start w:val="1"/>
      <w:numFmt w:val="decimal"/>
      <w:lvlText w:val="%7."/>
      <w:lvlJc w:val="left"/>
      <w:pPr>
        <w:ind w:left="1020" w:hanging="360"/>
      </w:pPr>
    </w:lvl>
    <w:lvl w:ilvl="7" w:tplc="63227C92">
      <w:start w:val="1"/>
      <w:numFmt w:val="decimal"/>
      <w:lvlText w:val="%8."/>
      <w:lvlJc w:val="left"/>
      <w:pPr>
        <w:ind w:left="1020" w:hanging="360"/>
      </w:pPr>
    </w:lvl>
    <w:lvl w:ilvl="8" w:tplc="4D10F68C">
      <w:start w:val="1"/>
      <w:numFmt w:val="decimal"/>
      <w:lvlText w:val="%9."/>
      <w:lvlJc w:val="left"/>
      <w:pPr>
        <w:ind w:left="1020" w:hanging="360"/>
      </w:pPr>
    </w:lvl>
  </w:abstractNum>
  <w:abstractNum w:abstractNumId="24" w15:restartNumberingAfterBreak="0">
    <w:nsid w:val="756A424A"/>
    <w:multiLevelType w:val="hybridMultilevel"/>
    <w:tmpl w:val="AB5C7122"/>
    <w:lvl w:ilvl="0" w:tplc="8512901A">
      <w:start w:val="1"/>
      <w:numFmt w:val="decimal"/>
      <w:lvlText w:val="%1."/>
      <w:lvlJc w:val="left"/>
      <w:pPr>
        <w:ind w:left="1020" w:hanging="360"/>
      </w:pPr>
    </w:lvl>
    <w:lvl w:ilvl="1" w:tplc="E1BECB28">
      <w:start w:val="1"/>
      <w:numFmt w:val="decimal"/>
      <w:lvlText w:val="%2."/>
      <w:lvlJc w:val="left"/>
      <w:pPr>
        <w:ind w:left="1020" w:hanging="360"/>
      </w:pPr>
    </w:lvl>
    <w:lvl w:ilvl="2" w:tplc="380EDC48">
      <w:start w:val="1"/>
      <w:numFmt w:val="decimal"/>
      <w:lvlText w:val="%3."/>
      <w:lvlJc w:val="left"/>
      <w:pPr>
        <w:ind w:left="1020" w:hanging="360"/>
      </w:pPr>
    </w:lvl>
    <w:lvl w:ilvl="3" w:tplc="6AF24A8E">
      <w:start w:val="1"/>
      <w:numFmt w:val="decimal"/>
      <w:lvlText w:val="%4."/>
      <w:lvlJc w:val="left"/>
      <w:pPr>
        <w:ind w:left="1020" w:hanging="360"/>
      </w:pPr>
    </w:lvl>
    <w:lvl w:ilvl="4" w:tplc="7B04E398">
      <w:start w:val="1"/>
      <w:numFmt w:val="decimal"/>
      <w:lvlText w:val="%5."/>
      <w:lvlJc w:val="left"/>
      <w:pPr>
        <w:ind w:left="1020" w:hanging="360"/>
      </w:pPr>
    </w:lvl>
    <w:lvl w:ilvl="5" w:tplc="CF163D26">
      <w:start w:val="1"/>
      <w:numFmt w:val="decimal"/>
      <w:lvlText w:val="%6."/>
      <w:lvlJc w:val="left"/>
      <w:pPr>
        <w:ind w:left="1020" w:hanging="360"/>
      </w:pPr>
    </w:lvl>
    <w:lvl w:ilvl="6" w:tplc="628CF684">
      <w:start w:val="1"/>
      <w:numFmt w:val="decimal"/>
      <w:lvlText w:val="%7."/>
      <w:lvlJc w:val="left"/>
      <w:pPr>
        <w:ind w:left="1020" w:hanging="360"/>
      </w:pPr>
    </w:lvl>
    <w:lvl w:ilvl="7" w:tplc="D754410E">
      <w:start w:val="1"/>
      <w:numFmt w:val="decimal"/>
      <w:lvlText w:val="%8."/>
      <w:lvlJc w:val="left"/>
      <w:pPr>
        <w:ind w:left="1020" w:hanging="360"/>
      </w:pPr>
    </w:lvl>
    <w:lvl w:ilvl="8" w:tplc="12387602">
      <w:start w:val="1"/>
      <w:numFmt w:val="decimal"/>
      <w:lvlText w:val="%9."/>
      <w:lvlJc w:val="left"/>
      <w:pPr>
        <w:ind w:left="1020" w:hanging="360"/>
      </w:pPr>
    </w:lvl>
  </w:abstractNum>
  <w:abstractNum w:abstractNumId="25"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1"/>
  </w:num>
  <w:num w:numId="2" w16cid:durableId="375815310">
    <w:abstractNumId w:val="19"/>
  </w:num>
  <w:num w:numId="3" w16cid:durableId="1375159326">
    <w:abstractNumId w:val="25"/>
  </w:num>
  <w:num w:numId="4" w16cid:durableId="1020468450">
    <w:abstractNumId w:val="17"/>
  </w:num>
  <w:num w:numId="5" w16cid:durableId="298609604">
    <w:abstractNumId w:val="21"/>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6"/>
  </w:num>
  <w:num w:numId="17" w16cid:durableId="952325839">
    <w:abstractNumId w:val="20"/>
  </w:num>
  <w:num w:numId="18" w16cid:durableId="586305847">
    <w:abstractNumId w:val="13"/>
  </w:num>
  <w:num w:numId="19" w16cid:durableId="650985869">
    <w:abstractNumId w:val="13"/>
  </w:num>
  <w:num w:numId="20" w16cid:durableId="112680137">
    <w:abstractNumId w:val="16"/>
    <w:lvlOverride w:ilvl="0">
      <w:startOverride w:val="1"/>
    </w:lvlOverride>
  </w:num>
  <w:num w:numId="21" w16cid:durableId="330720453">
    <w:abstractNumId w:val="12"/>
  </w:num>
  <w:num w:numId="22" w16cid:durableId="674648888">
    <w:abstractNumId w:val="10"/>
  </w:num>
  <w:num w:numId="23" w16cid:durableId="242690309">
    <w:abstractNumId w:val="23"/>
  </w:num>
  <w:num w:numId="24" w16cid:durableId="83259695">
    <w:abstractNumId w:val="18"/>
  </w:num>
  <w:num w:numId="25" w16cid:durableId="1219510255">
    <w:abstractNumId w:val="24"/>
  </w:num>
  <w:num w:numId="26" w16cid:durableId="1033531727">
    <w:abstractNumId w:val="22"/>
  </w:num>
  <w:num w:numId="27" w16cid:durableId="1800538385">
    <w:abstractNumId w:val="15"/>
  </w:num>
  <w:num w:numId="28" w16cid:durableId="15838778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BE"/>
    <w:rsid w:val="00001FCC"/>
    <w:rsid w:val="00002069"/>
    <w:rsid w:val="00002CE6"/>
    <w:rsid w:val="00002CFF"/>
    <w:rsid w:val="00002FFC"/>
    <w:rsid w:val="0000316A"/>
    <w:rsid w:val="0000325E"/>
    <w:rsid w:val="00003FCD"/>
    <w:rsid w:val="00004633"/>
    <w:rsid w:val="00004735"/>
    <w:rsid w:val="000049B7"/>
    <w:rsid w:val="000060CD"/>
    <w:rsid w:val="00006671"/>
    <w:rsid w:val="00010391"/>
    <w:rsid w:val="000124C2"/>
    <w:rsid w:val="000126B9"/>
    <w:rsid w:val="00012C6C"/>
    <w:rsid w:val="0001306E"/>
    <w:rsid w:val="00013B05"/>
    <w:rsid w:val="00013BD7"/>
    <w:rsid w:val="000141CA"/>
    <w:rsid w:val="0001484A"/>
    <w:rsid w:val="00014972"/>
    <w:rsid w:val="000149D9"/>
    <w:rsid w:val="00014B34"/>
    <w:rsid w:val="00014D39"/>
    <w:rsid w:val="00015257"/>
    <w:rsid w:val="00015354"/>
    <w:rsid w:val="00015A5E"/>
    <w:rsid w:val="000168C9"/>
    <w:rsid w:val="00016C20"/>
    <w:rsid w:val="00016DBB"/>
    <w:rsid w:val="00017144"/>
    <w:rsid w:val="00020855"/>
    <w:rsid w:val="00020EFD"/>
    <w:rsid w:val="0002270B"/>
    <w:rsid w:val="0002276A"/>
    <w:rsid w:val="00022A53"/>
    <w:rsid w:val="00022E04"/>
    <w:rsid w:val="000238CE"/>
    <w:rsid w:val="000239F8"/>
    <w:rsid w:val="00024E9C"/>
    <w:rsid w:val="000250AF"/>
    <w:rsid w:val="00025490"/>
    <w:rsid w:val="0002561E"/>
    <w:rsid w:val="00025C29"/>
    <w:rsid w:val="000268E1"/>
    <w:rsid w:val="00026B19"/>
    <w:rsid w:val="00026FDC"/>
    <w:rsid w:val="00027B4D"/>
    <w:rsid w:val="00030EF4"/>
    <w:rsid w:val="00031B83"/>
    <w:rsid w:val="0003575A"/>
    <w:rsid w:val="00035A93"/>
    <w:rsid w:val="00035AC6"/>
    <w:rsid w:val="000360EB"/>
    <w:rsid w:val="00036993"/>
    <w:rsid w:val="00037A5F"/>
    <w:rsid w:val="00037D87"/>
    <w:rsid w:val="00040AA7"/>
    <w:rsid w:val="00041E0E"/>
    <w:rsid w:val="00042A7E"/>
    <w:rsid w:val="00042EF3"/>
    <w:rsid w:val="00043B0E"/>
    <w:rsid w:val="00043D2C"/>
    <w:rsid w:val="00043DCC"/>
    <w:rsid w:val="00044F14"/>
    <w:rsid w:val="00045807"/>
    <w:rsid w:val="00046005"/>
    <w:rsid w:val="00046373"/>
    <w:rsid w:val="00046812"/>
    <w:rsid w:val="00047F1D"/>
    <w:rsid w:val="000510F6"/>
    <w:rsid w:val="00052C16"/>
    <w:rsid w:val="00053E26"/>
    <w:rsid w:val="000546AE"/>
    <w:rsid w:val="000548A9"/>
    <w:rsid w:val="0005537B"/>
    <w:rsid w:val="00055955"/>
    <w:rsid w:val="00055A2A"/>
    <w:rsid w:val="00055A9F"/>
    <w:rsid w:val="00055ACD"/>
    <w:rsid w:val="00056007"/>
    <w:rsid w:val="00056124"/>
    <w:rsid w:val="00056593"/>
    <w:rsid w:val="00056F27"/>
    <w:rsid w:val="00057257"/>
    <w:rsid w:val="000573AF"/>
    <w:rsid w:val="000575DC"/>
    <w:rsid w:val="00057A0A"/>
    <w:rsid w:val="0006145F"/>
    <w:rsid w:val="0006169E"/>
    <w:rsid w:val="0006263D"/>
    <w:rsid w:val="000626FD"/>
    <w:rsid w:val="000637E7"/>
    <w:rsid w:val="00063E6D"/>
    <w:rsid w:val="0006432B"/>
    <w:rsid w:val="000653D4"/>
    <w:rsid w:val="00066496"/>
    <w:rsid w:val="00071C35"/>
    <w:rsid w:val="00071D08"/>
    <w:rsid w:val="00071EB2"/>
    <w:rsid w:val="00071FB5"/>
    <w:rsid w:val="00072A2D"/>
    <w:rsid w:val="00072CE2"/>
    <w:rsid w:val="00072F07"/>
    <w:rsid w:val="000735B4"/>
    <w:rsid w:val="00075133"/>
    <w:rsid w:val="00075F50"/>
    <w:rsid w:val="00076E7F"/>
    <w:rsid w:val="00080D77"/>
    <w:rsid w:val="000811C4"/>
    <w:rsid w:val="00081F91"/>
    <w:rsid w:val="00082A4A"/>
    <w:rsid w:val="00083351"/>
    <w:rsid w:val="00083C11"/>
    <w:rsid w:val="00083D1E"/>
    <w:rsid w:val="0008421D"/>
    <w:rsid w:val="0008435D"/>
    <w:rsid w:val="000851A0"/>
    <w:rsid w:val="0008558C"/>
    <w:rsid w:val="000855F0"/>
    <w:rsid w:val="00085E61"/>
    <w:rsid w:val="00085F13"/>
    <w:rsid w:val="0008683F"/>
    <w:rsid w:val="00090F36"/>
    <w:rsid w:val="00091445"/>
    <w:rsid w:val="00092104"/>
    <w:rsid w:val="0009472C"/>
    <w:rsid w:val="00094D62"/>
    <w:rsid w:val="0009515E"/>
    <w:rsid w:val="00095BAB"/>
    <w:rsid w:val="0009680B"/>
    <w:rsid w:val="00097486"/>
    <w:rsid w:val="0009775D"/>
    <w:rsid w:val="00097C1B"/>
    <w:rsid w:val="000A15BD"/>
    <w:rsid w:val="000A185C"/>
    <w:rsid w:val="000A1B83"/>
    <w:rsid w:val="000A1D17"/>
    <w:rsid w:val="000A2760"/>
    <w:rsid w:val="000A28D4"/>
    <w:rsid w:val="000A2EB4"/>
    <w:rsid w:val="000A373A"/>
    <w:rsid w:val="000A3A18"/>
    <w:rsid w:val="000A3DA3"/>
    <w:rsid w:val="000A4BBF"/>
    <w:rsid w:val="000A5471"/>
    <w:rsid w:val="000A5F5A"/>
    <w:rsid w:val="000A5FF0"/>
    <w:rsid w:val="000A63C6"/>
    <w:rsid w:val="000A6460"/>
    <w:rsid w:val="000A656A"/>
    <w:rsid w:val="000A67B8"/>
    <w:rsid w:val="000A6B93"/>
    <w:rsid w:val="000A718A"/>
    <w:rsid w:val="000A7F0E"/>
    <w:rsid w:val="000B09BB"/>
    <w:rsid w:val="000B113B"/>
    <w:rsid w:val="000B11DF"/>
    <w:rsid w:val="000B28B6"/>
    <w:rsid w:val="000B2CB0"/>
    <w:rsid w:val="000B3704"/>
    <w:rsid w:val="000B3DF7"/>
    <w:rsid w:val="000B4630"/>
    <w:rsid w:val="000B497F"/>
    <w:rsid w:val="000B4FED"/>
    <w:rsid w:val="000B59F7"/>
    <w:rsid w:val="000B6ADB"/>
    <w:rsid w:val="000B710D"/>
    <w:rsid w:val="000B7558"/>
    <w:rsid w:val="000B7A4E"/>
    <w:rsid w:val="000C04DC"/>
    <w:rsid w:val="000C07FF"/>
    <w:rsid w:val="000C0951"/>
    <w:rsid w:val="000C0D98"/>
    <w:rsid w:val="000C155D"/>
    <w:rsid w:val="000C1AEC"/>
    <w:rsid w:val="000C25B4"/>
    <w:rsid w:val="000C2A2A"/>
    <w:rsid w:val="000C2F51"/>
    <w:rsid w:val="000C336F"/>
    <w:rsid w:val="000C4178"/>
    <w:rsid w:val="000C48B4"/>
    <w:rsid w:val="000C4E8F"/>
    <w:rsid w:val="000C5687"/>
    <w:rsid w:val="000C5B18"/>
    <w:rsid w:val="000C66B0"/>
    <w:rsid w:val="000C6F83"/>
    <w:rsid w:val="000C6FB5"/>
    <w:rsid w:val="000C7EE0"/>
    <w:rsid w:val="000D023A"/>
    <w:rsid w:val="000D081E"/>
    <w:rsid w:val="000D0E78"/>
    <w:rsid w:val="000D17C8"/>
    <w:rsid w:val="000D21BB"/>
    <w:rsid w:val="000D25E6"/>
    <w:rsid w:val="000D2C09"/>
    <w:rsid w:val="000D3CE6"/>
    <w:rsid w:val="000D4167"/>
    <w:rsid w:val="000D43D6"/>
    <w:rsid w:val="000D4BC0"/>
    <w:rsid w:val="000D53C8"/>
    <w:rsid w:val="000D5858"/>
    <w:rsid w:val="000D58BF"/>
    <w:rsid w:val="000D7E62"/>
    <w:rsid w:val="000E2CD2"/>
    <w:rsid w:val="000E41E3"/>
    <w:rsid w:val="000E458C"/>
    <w:rsid w:val="000E48A9"/>
    <w:rsid w:val="000E600A"/>
    <w:rsid w:val="000E65F7"/>
    <w:rsid w:val="000E68AA"/>
    <w:rsid w:val="000E76C8"/>
    <w:rsid w:val="000F0FE6"/>
    <w:rsid w:val="000F1345"/>
    <w:rsid w:val="000F3989"/>
    <w:rsid w:val="000F3BB3"/>
    <w:rsid w:val="000F3FEB"/>
    <w:rsid w:val="000F403F"/>
    <w:rsid w:val="000F4083"/>
    <w:rsid w:val="000F502C"/>
    <w:rsid w:val="000F609D"/>
    <w:rsid w:val="000F72D1"/>
    <w:rsid w:val="000F78C2"/>
    <w:rsid w:val="000F7A13"/>
    <w:rsid w:val="000F7D18"/>
    <w:rsid w:val="001001B9"/>
    <w:rsid w:val="00100854"/>
    <w:rsid w:val="00101354"/>
    <w:rsid w:val="00101859"/>
    <w:rsid w:val="00102254"/>
    <w:rsid w:val="00103E4F"/>
    <w:rsid w:val="0010456B"/>
    <w:rsid w:val="001061EC"/>
    <w:rsid w:val="00106B25"/>
    <w:rsid w:val="00106BE1"/>
    <w:rsid w:val="00106E9D"/>
    <w:rsid w:val="0010702C"/>
    <w:rsid w:val="00107B9E"/>
    <w:rsid w:val="00110437"/>
    <w:rsid w:val="00110970"/>
    <w:rsid w:val="00111061"/>
    <w:rsid w:val="001114AF"/>
    <w:rsid w:val="00111568"/>
    <w:rsid w:val="00111DBF"/>
    <w:rsid w:val="001120C0"/>
    <w:rsid w:val="001124AB"/>
    <w:rsid w:val="0011258C"/>
    <w:rsid w:val="001125BC"/>
    <w:rsid w:val="00112D27"/>
    <w:rsid w:val="001134B0"/>
    <w:rsid w:val="001136FE"/>
    <w:rsid w:val="00113CA3"/>
    <w:rsid w:val="001146D2"/>
    <w:rsid w:val="0011485C"/>
    <w:rsid w:val="001150BF"/>
    <w:rsid w:val="00115E83"/>
    <w:rsid w:val="00115EB0"/>
    <w:rsid w:val="001168F2"/>
    <w:rsid w:val="00116F87"/>
    <w:rsid w:val="0011700F"/>
    <w:rsid w:val="001177F9"/>
    <w:rsid w:val="00117CD0"/>
    <w:rsid w:val="00120207"/>
    <w:rsid w:val="0012064E"/>
    <w:rsid w:val="00121147"/>
    <w:rsid w:val="001212C7"/>
    <w:rsid w:val="00123C1B"/>
    <w:rsid w:val="00124E9F"/>
    <w:rsid w:val="001255C4"/>
    <w:rsid w:val="00125E3C"/>
    <w:rsid w:val="0012608F"/>
    <w:rsid w:val="00126851"/>
    <w:rsid w:val="00130B21"/>
    <w:rsid w:val="0013149B"/>
    <w:rsid w:val="001327C5"/>
    <w:rsid w:val="001330DB"/>
    <w:rsid w:val="001333A6"/>
    <w:rsid w:val="00133E7E"/>
    <w:rsid w:val="0013456F"/>
    <w:rsid w:val="001374D3"/>
    <w:rsid w:val="00137A65"/>
    <w:rsid w:val="001403B1"/>
    <w:rsid w:val="00140470"/>
    <w:rsid w:val="00141060"/>
    <w:rsid w:val="00141387"/>
    <w:rsid w:val="00141635"/>
    <w:rsid w:val="00141A2C"/>
    <w:rsid w:val="00142072"/>
    <w:rsid w:val="00143955"/>
    <w:rsid w:val="00143F78"/>
    <w:rsid w:val="00143FCB"/>
    <w:rsid w:val="001445B5"/>
    <w:rsid w:val="00144C29"/>
    <w:rsid w:val="00144CD1"/>
    <w:rsid w:val="00144E06"/>
    <w:rsid w:val="00144FEF"/>
    <w:rsid w:val="00145627"/>
    <w:rsid w:val="00146A41"/>
    <w:rsid w:val="0014714F"/>
    <w:rsid w:val="00147C66"/>
    <w:rsid w:val="0015031C"/>
    <w:rsid w:val="0015069F"/>
    <w:rsid w:val="00151679"/>
    <w:rsid w:val="00151BF4"/>
    <w:rsid w:val="00151C23"/>
    <w:rsid w:val="00151D19"/>
    <w:rsid w:val="00152443"/>
    <w:rsid w:val="0015261B"/>
    <w:rsid w:val="0015314B"/>
    <w:rsid w:val="0015318E"/>
    <w:rsid w:val="00153B52"/>
    <w:rsid w:val="00154057"/>
    <w:rsid w:val="0015623C"/>
    <w:rsid w:val="00156960"/>
    <w:rsid w:val="00156BB9"/>
    <w:rsid w:val="001574DA"/>
    <w:rsid w:val="00160AD3"/>
    <w:rsid w:val="001613FF"/>
    <w:rsid w:val="0016155E"/>
    <w:rsid w:val="00162D6E"/>
    <w:rsid w:val="00162E15"/>
    <w:rsid w:val="00163BA0"/>
    <w:rsid w:val="00163D92"/>
    <w:rsid w:val="00164144"/>
    <w:rsid w:val="0016414A"/>
    <w:rsid w:val="001659CB"/>
    <w:rsid w:val="00165B8C"/>
    <w:rsid w:val="0016622C"/>
    <w:rsid w:val="001708DE"/>
    <w:rsid w:val="00171193"/>
    <w:rsid w:val="00171763"/>
    <w:rsid w:val="0017177D"/>
    <w:rsid w:val="00171CD0"/>
    <w:rsid w:val="00171D4C"/>
    <w:rsid w:val="00172ADE"/>
    <w:rsid w:val="00172B5C"/>
    <w:rsid w:val="00172B78"/>
    <w:rsid w:val="00172C31"/>
    <w:rsid w:val="00172DEE"/>
    <w:rsid w:val="00172F01"/>
    <w:rsid w:val="00173F20"/>
    <w:rsid w:val="00175703"/>
    <w:rsid w:val="001758DE"/>
    <w:rsid w:val="00175C0C"/>
    <w:rsid w:val="00176D25"/>
    <w:rsid w:val="00177055"/>
    <w:rsid w:val="00181730"/>
    <w:rsid w:val="00181E86"/>
    <w:rsid w:val="00181EB3"/>
    <w:rsid w:val="001821F5"/>
    <w:rsid w:val="00182234"/>
    <w:rsid w:val="0018342E"/>
    <w:rsid w:val="001840C2"/>
    <w:rsid w:val="00184B46"/>
    <w:rsid w:val="00184E15"/>
    <w:rsid w:val="00185939"/>
    <w:rsid w:val="00186AAC"/>
    <w:rsid w:val="00186C3A"/>
    <w:rsid w:val="0018754F"/>
    <w:rsid w:val="0018761D"/>
    <w:rsid w:val="001876F6"/>
    <w:rsid w:val="00187A9B"/>
    <w:rsid w:val="00191E23"/>
    <w:rsid w:val="0019257C"/>
    <w:rsid w:val="001925E2"/>
    <w:rsid w:val="00193226"/>
    <w:rsid w:val="00193B25"/>
    <w:rsid w:val="00193CD9"/>
    <w:rsid w:val="00194BDF"/>
    <w:rsid w:val="00195357"/>
    <w:rsid w:val="001953B1"/>
    <w:rsid w:val="00195F4E"/>
    <w:rsid w:val="001963C0"/>
    <w:rsid w:val="00196FE1"/>
    <w:rsid w:val="00197320"/>
    <w:rsid w:val="00197509"/>
    <w:rsid w:val="00197761"/>
    <w:rsid w:val="00197956"/>
    <w:rsid w:val="00197A5F"/>
    <w:rsid w:val="00197E47"/>
    <w:rsid w:val="00197EAF"/>
    <w:rsid w:val="001A0533"/>
    <w:rsid w:val="001A19D6"/>
    <w:rsid w:val="001A347C"/>
    <w:rsid w:val="001A409D"/>
    <w:rsid w:val="001A4454"/>
    <w:rsid w:val="001A446E"/>
    <w:rsid w:val="001A4E14"/>
    <w:rsid w:val="001A7376"/>
    <w:rsid w:val="001A7580"/>
    <w:rsid w:val="001B1676"/>
    <w:rsid w:val="001B17A8"/>
    <w:rsid w:val="001B3223"/>
    <w:rsid w:val="001B55C8"/>
    <w:rsid w:val="001B63C6"/>
    <w:rsid w:val="001B6ECE"/>
    <w:rsid w:val="001C0E99"/>
    <w:rsid w:val="001C1DF5"/>
    <w:rsid w:val="001C26F3"/>
    <w:rsid w:val="001C3484"/>
    <w:rsid w:val="001C3728"/>
    <w:rsid w:val="001C48D4"/>
    <w:rsid w:val="001C52CF"/>
    <w:rsid w:val="001C69CD"/>
    <w:rsid w:val="001C7C93"/>
    <w:rsid w:val="001D0CFF"/>
    <w:rsid w:val="001D0F6E"/>
    <w:rsid w:val="001D118B"/>
    <w:rsid w:val="001D1A02"/>
    <w:rsid w:val="001D1F67"/>
    <w:rsid w:val="001D2BB0"/>
    <w:rsid w:val="001D3607"/>
    <w:rsid w:val="001D36CD"/>
    <w:rsid w:val="001D40CD"/>
    <w:rsid w:val="001D4414"/>
    <w:rsid w:val="001D4F49"/>
    <w:rsid w:val="001D5B71"/>
    <w:rsid w:val="001D61BE"/>
    <w:rsid w:val="001D6576"/>
    <w:rsid w:val="001D7935"/>
    <w:rsid w:val="001D7982"/>
    <w:rsid w:val="001D7A98"/>
    <w:rsid w:val="001D7FE2"/>
    <w:rsid w:val="001E0025"/>
    <w:rsid w:val="001E1D3D"/>
    <w:rsid w:val="001E3079"/>
    <w:rsid w:val="001E31A7"/>
    <w:rsid w:val="001E47D1"/>
    <w:rsid w:val="001E4F4C"/>
    <w:rsid w:val="001E5DC9"/>
    <w:rsid w:val="001E6A64"/>
    <w:rsid w:val="001E6DDF"/>
    <w:rsid w:val="001E6F65"/>
    <w:rsid w:val="001E7126"/>
    <w:rsid w:val="001E75C5"/>
    <w:rsid w:val="001F1B5F"/>
    <w:rsid w:val="001F33B5"/>
    <w:rsid w:val="001F3C9B"/>
    <w:rsid w:val="001F3F2A"/>
    <w:rsid w:val="001F58E7"/>
    <w:rsid w:val="001F605A"/>
    <w:rsid w:val="001F69C2"/>
    <w:rsid w:val="001F6D74"/>
    <w:rsid w:val="001F7076"/>
    <w:rsid w:val="001F723A"/>
    <w:rsid w:val="001F7839"/>
    <w:rsid w:val="001F7AA5"/>
    <w:rsid w:val="00201C78"/>
    <w:rsid w:val="00201F68"/>
    <w:rsid w:val="0020285F"/>
    <w:rsid w:val="00202BA8"/>
    <w:rsid w:val="0020401D"/>
    <w:rsid w:val="002044A7"/>
    <w:rsid w:val="002048D1"/>
    <w:rsid w:val="00206934"/>
    <w:rsid w:val="002079CB"/>
    <w:rsid w:val="00210241"/>
    <w:rsid w:val="0021096E"/>
    <w:rsid w:val="00210CC3"/>
    <w:rsid w:val="00210DE8"/>
    <w:rsid w:val="002118A6"/>
    <w:rsid w:val="00211D73"/>
    <w:rsid w:val="00211F5D"/>
    <w:rsid w:val="002127DD"/>
    <w:rsid w:val="00212A3E"/>
    <w:rsid w:val="00212C85"/>
    <w:rsid w:val="00213223"/>
    <w:rsid w:val="00213A09"/>
    <w:rsid w:val="00214223"/>
    <w:rsid w:val="00214543"/>
    <w:rsid w:val="00214BF2"/>
    <w:rsid w:val="00214C2C"/>
    <w:rsid w:val="00215A07"/>
    <w:rsid w:val="00215A7F"/>
    <w:rsid w:val="002160A5"/>
    <w:rsid w:val="0021650C"/>
    <w:rsid w:val="00216522"/>
    <w:rsid w:val="002169A7"/>
    <w:rsid w:val="002209DD"/>
    <w:rsid w:val="00220AF0"/>
    <w:rsid w:val="00220D6D"/>
    <w:rsid w:val="00221383"/>
    <w:rsid w:val="00221D19"/>
    <w:rsid w:val="00222002"/>
    <w:rsid w:val="002222A1"/>
    <w:rsid w:val="00222396"/>
    <w:rsid w:val="002223BD"/>
    <w:rsid w:val="0022459E"/>
    <w:rsid w:val="0022530C"/>
    <w:rsid w:val="0022666B"/>
    <w:rsid w:val="0022734D"/>
    <w:rsid w:val="00227D63"/>
    <w:rsid w:val="00230F54"/>
    <w:rsid w:val="00232F4B"/>
    <w:rsid w:val="00233A19"/>
    <w:rsid w:val="0023447F"/>
    <w:rsid w:val="0023461C"/>
    <w:rsid w:val="002348C1"/>
    <w:rsid w:val="0023499C"/>
    <w:rsid w:val="00234B11"/>
    <w:rsid w:val="00234F8D"/>
    <w:rsid w:val="002350B3"/>
    <w:rsid w:val="0023595F"/>
    <w:rsid w:val="00235DCF"/>
    <w:rsid w:val="00236413"/>
    <w:rsid w:val="002364E5"/>
    <w:rsid w:val="00236660"/>
    <w:rsid w:val="0023798E"/>
    <w:rsid w:val="00240FC2"/>
    <w:rsid w:val="00241B38"/>
    <w:rsid w:val="00242517"/>
    <w:rsid w:val="0024257F"/>
    <w:rsid w:val="00242912"/>
    <w:rsid w:val="00242EE4"/>
    <w:rsid w:val="0024305B"/>
    <w:rsid w:val="00243111"/>
    <w:rsid w:val="0024462E"/>
    <w:rsid w:val="0024564C"/>
    <w:rsid w:val="002474FA"/>
    <w:rsid w:val="00247845"/>
    <w:rsid w:val="00247E7B"/>
    <w:rsid w:val="00247FE2"/>
    <w:rsid w:val="002517CE"/>
    <w:rsid w:val="00252864"/>
    <w:rsid w:val="00253493"/>
    <w:rsid w:val="00253771"/>
    <w:rsid w:val="00253DE9"/>
    <w:rsid w:val="00256043"/>
    <w:rsid w:val="00257AFB"/>
    <w:rsid w:val="0026017F"/>
    <w:rsid w:val="002618DC"/>
    <w:rsid w:val="0026293D"/>
    <w:rsid w:val="002636F9"/>
    <w:rsid w:val="002645A4"/>
    <w:rsid w:val="00264C3F"/>
    <w:rsid w:val="00264D8D"/>
    <w:rsid w:val="00265982"/>
    <w:rsid w:val="002668D7"/>
    <w:rsid w:val="00266A7C"/>
    <w:rsid w:val="00266C4D"/>
    <w:rsid w:val="002675FB"/>
    <w:rsid w:val="002677D3"/>
    <w:rsid w:val="00270154"/>
    <w:rsid w:val="00271444"/>
    <w:rsid w:val="00271605"/>
    <w:rsid w:val="00271F70"/>
    <w:rsid w:val="002720EE"/>
    <w:rsid w:val="0027221B"/>
    <w:rsid w:val="002733D9"/>
    <w:rsid w:val="00273844"/>
    <w:rsid w:val="0027408B"/>
    <w:rsid w:val="00274B53"/>
    <w:rsid w:val="00274F84"/>
    <w:rsid w:val="00275696"/>
    <w:rsid w:val="00276407"/>
    <w:rsid w:val="00276B56"/>
    <w:rsid w:val="0027794F"/>
    <w:rsid w:val="00280548"/>
    <w:rsid w:val="00280BCD"/>
    <w:rsid w:val="00280F46"/>
    <w:rsid w:val="002819FD"/>
    <w:rsid w:val="00282577"/>
    <w:rsid w:val="002856D7"/>
    <w:rsid w:val="0028583A"/>
    <w:rsid w:val="00286654"/>
    <w:rsid w:val="00286BDA"/>
    <w:rsid w:val="0028704D"/>
    <w:rsid w:val="00287368"/>
    <w:rsid w:val="00287873"/>
    <w:rsid w:val="002904D3"/>
    <w:rsid w:val="00290A31"/>
    <w:rsid w:val="00290BEB"/>
    <w:rsid w:val="00290D9F"/>
    <w:rsid w:val="002916CC"/>
    <w:rsid w:val="00292648"/>
    <w:rsid w:val="0029278C"/>
    <w:rsid w:val="00292798"/>
    <w:rsid w:val="0029282A"/>
    <w:rsid w:val="00292E65"/>
    <w:rsid w:val="00294F91"/>
    <w:rsid w:val="00295625"/>
    <w:rsid w:val="00295847"/>
    <w:rsid w:val="00296035"/>
    <w:rsid w:val="0029697C"/>
    <w:rsid w:val="002979F1"/>
    <w:rsid w:val="00297BF9"/>
    <w:rsid w:val="00297CE6"/>
    <w:rsid w:val="002A007D"/>
    <w:rsid w:val="002A13E1"/>
    <w:rsid w:val="002A2490"/>
    <w:rsid w:val="002A29D1"/>
    <w:rsid w:val="002A3248"/>
    <w:rsid w:val="002A33F0"/>
    <w:rsid w:val="002A5175"/>
    <w:rsid w:val="002B0787"/>
    <w:rsid w:val="002B0846"/>
    <w:rsid w:val="002B0E39"/>
    <w:rsid w:val="002B1304"/>
    <w:rsid w:val="002B2182"/>
    <w:rsid w:val="002B253C"/>
    <w:rsid w:val="002B3C06"/>
    <w:rsid w:val="002B513A"/>
    <w:rsid w:val="002B56B4"/>
    <w:rsid w:val="002B6206"/>
    <w:rsid w:val="002B6582"/>
    <w:rsid w:val="002B675D"/>
    <w:rsid w:val="002B71AD"/>
    <w:rsid w:val="002B7339"/>
    <w:rsid w:val="002C0846"/>
    <w:rsid w:val="002C1423"/>
    <w:rsid w:val="002C157A"/>
    <w:rsid w:val="002C17DB"/>
    <w:rsid w:val="002C1A27"/>
    <w:rsid w:val="002C1EDE"/>
    <w:rsid w:val="002C27CC"/>
    <w:rsid w:val="002C3F61"/>
    <w:rsid w:val="002C4557"/>
    <w:rsid w:val="002C5981"/>
    <w:rsid w:val="002C5D0B"/>
    <w:rsid w:val="002C616A"/>
    <w:rsid w:val="002C6983"/>
    <w:rsid w:val="002C7307"/>
    <w:rsid w:val="002C7879"/>
    <w:rsid w:val="002C7A51"/>
    <w:rsid w:val="002D034F"/>
    <w:rsid w:val="002D0410"/>
    <w:rsid w:val="002D055B"/>
    <w:rsid w:val="002D0899"/>
    <w:rsid w:val="002D110B"/>
    <w:rsid w:val="002D1707"/>
    <w:rsid w:val="002D17E2"/>
    <w:rsid w:val="002D1CAA"/>
    <w:rsid w:val="002D23CB"/>
    <w:rsid w:val="002D288D"/>
    <w:rsid w:val="002D3C07"/>
    <w:rsid w:val="002D3F09"/>
    <w:rsid w:val="002D3F1F"/>
    <w:rsid w:val="002D3F5B"/>
    <w:rsid w:val="002D410B"/>
    <w:rsid w:val="002D4247"/>
    <w:rsid w:val="002D4F84"/>
    <w:rsid w:val="002D541C"/>
    <w:rsid w:val="002D55AF"/>
    <w:rsid w:val="002D641C"/>
    <w:rsid w:val="002D69D8"/>
    <w:rsid w:val="002D732B"/>
    <w:rsid w:val="002E05DE"/>
    <w:rsid w:val="002E0EC8"/>
    <w:rsid w:val="002E1185"/>
    <w:rsid w:val="002E278F"/>
    <w:rsid w:val="002E3B4D"/>
    <w:rsid w:val="002E3B84"/>
    <w:rsid w:val="002E4417"/>
    <w:rsid w:val="002E5222"/>
    <w:rsid w:val="002E6177"/>
    <w:rsid w:val="002E754C"/>
    <w:rsid w:val="002F0522"/>
    <w:rsid w:val="002F064B"/>
    <w:rsid w:val="002F0734"/>
    <w:rsid w:val="002F0B28"/>
    <w:rsid w:val="002F13C4"/>
    <w:rsid w:val="002F2527"/>
    <w:rsid w:val="002F342E"/>
    <w:rsid w:val="002F3D42"/>
    <w:rsid w:val="002F4918"/>
    <w:rsid w:val="002F4D4F"/>
    <w:rsid w:val="0030026A"/>
    <w:rsid w:val="00300AC3"/>
    <w:rsid w:val="00301975"/>
    <w:rsid w:val="003024E4"/>
    <w:rsid w:val="003025BC"/>
    <w:rsid w:val="00302F6C"/>
    <w:rsid w:val="0030542C"/>
    <w:rsid w:val="003070A6"/>
    <w:rsid w:val="003076AE"/>
    <w:rsid w:val="00310418"/>
    <w:rsid w:val="00311723"/>
    <w:rsid w:val="00311BB4"/>
    <w:rsid w:val="00311E05"/>
    <w:rsid w:val="00312156"/>
    <w:rsid w:val="003126C7"/>
    <w:rsid w:val="00312FFC"/>
    <w:rsid w:val="003136B8"/>
    <w:rsid w:val="00313728"/>
    <w:rsid w:val="00313A1E"/>
    <w:rsid w:val="003150BF"/>
    <w:rsid w:val="003150CE"/>
    <w:rsid w:val="00315E92"/>
    <w:rsid w:val="00316BE6"/>
    <w:rsid w:val="00316C8C"/>
    <w:rsid w:val="0031792B"/>
    <w:rsid w:val="003202B6"/>
    <w:rsid w:val="00320D37"/>
    <w:rsid w:val="00321678"/>
    <w:rsid w:val="0032177B"/>
    <w:rsid w:val="0032189E"/>
    <w:rsid w:val="00321F8B"/>
    <w:rsid w:val="003221BF"/>
    <w:rsid w:val="00322618"/>
    <w:rsid w:val="003227E6"/>
    <w:rsid w:val="00322DB6"/>
    <w:rsid w:val="00323B9E"/>
    <w:rsid w:val="003246FB"/>
    <w:rsid w:val="00324A11"/>
    <w:rsid w:val="00326682"/>
    <w:rsid w:val="003269A1"/>
    <w:rsid w:val="00326F71"/>
    <w:rsid w:val="00330804"/>
    <w:rsid w:val="00331DA9"/>
    <w:rsid w:val="003330F0"/>
    <w:rsid w:val="0033379B"/>
    <w:rsid w:val="00333BAD"/>
    <w:rsid w:val="003348D9"/>
    <w:rsid w:val="00334A6B"/>
    <w:rsid w:val="00334F8A"/>
    <w:rsid w:val="00335A69"/>
    <w:rsid w:val="003366B2"/>
    <w:rsid w:val="00336C1D"/>
    <w:rsid w:val="00337874"/>
    <w:rsid w:val="00340066"/>
    <w:rsid w:val="00340D29"/>
    <w:rsid w:val="0034122D"/>
    <w:rsid w:val="003417DE"/>
    <w:rsid w:val="0034288B"/>
    <w:rsid w:val="00342963"/>
    <w:rsid w:val="00342B20"/>
    <w:rsid w:val="00342EBD"/>
    <w:rsid w:val="00342FC0"/>
    <w:rsid w:val="0034332B"/>
    <w:rsid w:val="003437B9"/>
    <w:rsid w:val="00344696"/>
    <w:rsid w:val="00344AD3"/>
    <w:rsid w:val="003450E6"/>
    <w:rsid w:val="0034569B"/>
    <w:rsid w:val="00345FA9"/>
    <w:rsid w:val="0034681C"/>
    <w:rsid w:val="003469A9"/>
    <w:rsid w:val="00347778"/>
    <w:rsid w:val="00347F08"/>
    <w:rsid w:val="00350AB1"/>
    <w:rsid w:val="0035103B"/>
    <w:rsid w:val="003519F4"/>
    <w:rsid w:val="00351BAC"/>
    <w:rsid w:val="0035280A"/>
    <w:rsid w:val="003536A6"/>
    <w:rsid w:val="00353AF3"/>
    <w:rsid w:val="00354301"/>
    <w:rsid w:val="0035437A"/>
    <w:rsid w:val="00354F01"/>
    <w:rsid w:val="00356849"/>
    <w:rsid w:val="00357023"/>
    <w:rsid w:val="00357259"/>
    <w:rsid w:val="00357574"/>
    <w:rsid w:val="003600A8"/>
    <w:rsid w:val="00360155"/>
    <w:rsid w:val="00360C40"/>
    <w:rsid w:val="00360EAF"/>
    <w:rsid w:val="003619CB"/>
    <w:rsid w:val="003621B9"/>
    <w:rsid w:val="003621F2"/>
    <w:rsid w:val="00362448"/>
    <w:rsid w:val="0036284D"/>
    <w:rsid w:val="00362A54"/>
    <w:rsid w:val="00363C5F"/>
    <w:rsid w:val="00364BF8"/>
    <w:rsid w:val="003661DC"/>
    <w:rsid w:val="00366524"/>
    <w:rsid w:val="0036659E"/>
    <w:rsid w:val="00366D7B"/>
    <w:rsid w:val="00367EC6"/>
    <w:rsid w:val="003720F9"/>
    <w:rsid w:val="00372539"/>
    <w:rsid w:val="00372A08"/>
    <w:rsid w:val="00373866"/>
    <w:rsid w:val="00373E58"/>
    <w:rsid w:val="003744C0"/>
    <w:rsid w:val="0037533A"/>
    <w:rsid w:val="00375FEB"/>
    <w:rsid w:val="00376073"/>
    <w:rsid w:val="00376E62"/>
    <w:rsid w:val="00377452"/>
    <w:rsid w:val="00377965"/>
    <w:rsid w:val="00377D14"/>
    <w:rsid w:val="0038007C"/>
    <w:rsid w:val="003806EF"/>
    <w:rsid w:val="00381223"/>
    <w:rsid w:val="00381849"/>
    <w:rsid w:val="003823A0"/>
    <w:rsid w:val="003835BE"/>
    <w:rsid w:val="00384628"/>
    <w:rsid w:val="0038488D"/>
    <w:rsid w:val="00384F36"/>
    <w:rsid w:val="00385271"/>
    <w:rsid w:val="003853C9"/>
    <w:rsid w:val="003859B4"/>
    <w:rsid w:val="00385C93"/>
    <w:rsid w:val="003870E3"/>
    <w:rsid w:val="003917BD"/>
    <w:rsid w:val="0039226E"/>
    <w:rsid w:val="00392CC8"/>
    <w:rsid w:val="003932BB"/>
    <w:rsid w:val="00396589"/>
    <w:rsid w:val="00396B86"/>
    <w:rsid w:val="00396D8C"/>
    <w:rsid w:val="00396E0B"/>
    <w:rsid w:val="00396F47"/>
    <w:rsid w:val="00396FA9"/>
    <w:rsid w:val="003971F5"/>
    <w:rsid w:val="00397353"/>
    <w:rsid w:val="00397708"/>
    <w:rsid w:val="003A0975"/>
    <w:rsid w:val="003A0F20"/>
    <w:rsid w:val="003A1855"/>
    <w:rsid w:val="003A1FEA"/>
    <w:rsid w:val="003A2017"/>
    <w:rsid w:val="003A22F9"/>
    <w:rsid w:val="003A32F4"/>
    <w:rsid w:val="003A4350"/>
    <w:rsid w:val="003A48C9"/>
    <w:rsid w:val="003A48CC"/>
    <w:rsid w:val="003A5508"/>
    <w:rsid w:val="003A5E86"/>
    <w:rsid w:val="003A6088"/>
    <w:rsid w:val="003A7132"/>
    <w:rsid w:val="003A7164"/>
    <w:rsid w:val="003A72EF"/>
    <w:rsid w:val="003A7A69"/>
    <w:rsid w:val="003A7E21"/>
    <w:rsid w:val="003B10D2"/>
    <w:rsid w:val="003B1929"/>
    <w:rsid w:val="003B1930"/>
    <w:rsid w:val="003B1AFD"/>
    <w:rsid w:val="003B24A6"/>
    <w:rsid w:val="003B3181"/>
    <w:rsid w:val="003B4EED"/>
    <w:rsid w:val="003B4F4E"/>
    <w:rsid w:val="003B4F53"/>
    <w:rsid w:val="003B5990"/>
    <w:rsid w:val="003B63F8"/>
    <w:rsid w:val="003B6B2C"/>
    <w:rsid w:val="003B71B9"/>
    <w:rsid w:val="003B7FFB"/>
    <w:rsid w:val="003C0B36"/>
    <w:rsid w:val="003C0D29"/>
    <w:rsid w:val="003C0D46"/>
    <w:rsid w:val="003C0DC7"/>
    <w:rsid w:val="003C0E69"/>
    <w:rsid w:val="003C1D64"/>
    <w:rsid w:val="003C266A"/>
    <w:rsid w:val="003C602A"/>
    <w:rsid w:val="003C78B0"/>
    <w:rsid w:val="003D0936"/>
    <w:rsid w:val="003D1759"/>
    <w:rsid w:val="003D1896"/>
    <w:rsid w:val="003D1D3F"/>
    <w:rsid w:val="003D3510"/>
    <w:rsid w:val="003D3B14"/>
    <w:rsid w:val="003D3BB5"/>
    <w:rsid w:val="003D4451"/>
    <w:rsid w:val="003D62F7"/>
    <w:rsid w:val="003D64BA"/>
    <w:rsid w:val="003D656B"/>
    <w:rsid w:val="003D6C77"/>
    <w:rsid w:val="003D779F"/>
    <w:rsid w:val="003D7A14"/>
    <w:rsid w:val="003D7CAB"/>
    <w:rsid w:val="003E070F"/>
    <w:rsid w:val="003E1035"/>
    <w:rsid w:val="003E1494"/>
    <w:rsid w:val="003E17F2"/>
    <w:rsid w:val="003E19F7"/>
    <w:rsid w:val="003E1EB2"/>
    <w:rsid w:val="003E1F9D"/>
    <w:rsid w:val="003E20FB"/>
    <w:rsid w:val="003E2174"/>
    <w:rsid w:val="003E259B"/>
    <w:rsid w:val="003E2A37"/>
    <w:rsid w:val="003E2A83"/>
    <w:rsid w:val="003E2F0C"/>
    <w:rsid w:val="003E3C61"/>
    <w:rsid w:val="003E3C7A"/>
    <w:rsid w:val="003E432C"/>
    <w:rsid w:val="003E492C"/>
    <w:rsid w:val="003E5093"/>
    <w:rsid w:val="003E52AF"/>
    <w:rsid w:val="003E545D"/>
    <w:rsid w:val="003E6C5F"/>
    <w:rsid w:val="003E710D"/>
    <w:rsid w:val="003E74F4"/>
    <w:rsid w:val="003E7A9C"/>
    <w:rsid w:val="003E7CC0"/>
    <w:rsid w:val="003F0D6E"/>
    <w:rsid w:val="003F0E31"/>
    <w:rsid w:val="003F0E45"/>
    <w:rsid w:val="003F178D"/>
    <w:rsid w:val="003F1B94"/>
    <w:rsid w:val="003F1EA3"/>
    <w:rsid w:val="003F2003"/>
    <w:rsid w:val="003F299E"/>
    <w:rsid w:val="003F2E43"/>
    <w:rsid w:val="003F328F"/>
    <w:rsid w:val="003F3407"/>
    <w:rsid w:val="003F3971"/>
    <w:rsid w:val="003F3C60"/>
    <w:rsid w:val="003F531A"/>
    <w:rsid w:val="003F6657"/>
    <w:rsid w:val="003F66AB"/>
    <w:rsid w:val="003F6732"/>
    <w:rsid w:val="003F70DF"/>
    <w:rsid w:val="003F78DA"/>
    <w:rsid w:val="003F7C9E"/>
    <w:rsid w:val="004000CF"/>
    <w:rsid w:val="00400D40"/>
    <w:rsid w:val="0040135F"/>
    <w:rsid w:val="004025E8"/>
    <w:rsid w:val="00402768"/>
    <w:rsid w:val="00403732"/>
    <w:rsid w:val="00403C90"/>
    <w:rsid w:val="00404A28"/>
    <w:rsid w:val="00404C36"/>
    <w:rsid w:val="004051BE"/>
    <w:rsid w:val="00406F38"/>
    <w:rsid w:val="004071B4"/>
    <w:rsid w:val="00407A5D"/>
    <w:rsid w:val="004107CA"/>
    <w:rsid w:val="004111BC"/>
    <w:rsid w:val="004114CB"/>
    <w:rsid w:val="0041167B"/>
    <w:rsid w:val="004125F4"/>
    <w:rsid w:val="004126D4"/>
    <w:rsid w:val="00412C0C"/>
    <w:rsid w:val="004132B3"/>
    <w:rsid w:val="0041396E"/>
    <w:rsid w:val="00414334"/>
    <w:rsid w:val="004143CB"/>
    <w:rsid w:val="00414703"/>
    <w:rsid w:val="0041585F"/>
    <w:rsid w:val="00415D2B"/>
    <w:rsid w:val="00415F97"/>
    <w:rsid w:val="00416C0A"/>
    <w:rsid w:val="00420D49"/>
    <w:rsid w:val="00421941"/>
    <w:rsid w:val="0042195B"/>
    <w:rsid w:val="00421971"/>
    <w:rsid w:val="00421B5A"/>
    <w:rsid w:val="00422673"/>
    <w:rsid w:val="00422991"/>
    <w:rsid w:val="004234DE"/>
    <w:rsid w:val="00423EF3"/>
    <w:rsid w:val="00424237"/>
    <w:rsid w:val="004246C0"/>
    <w:rsid w:val="00424DE2"/>
    <w:rsid w:val="00424FB3"/>
    <w:rsid w:val="0042576B"/>
    <w:rsid w:val="004257E6"/>
    <w:rsid w:val="0042599E"/>
    <w:rsid w:val="0042623F"/>
    <w:rsid w:val="00426CF1"/>
    <w:rsid w:val="00427001"/>
    <w:rsid w:val="00427C64"/>
    <w:rsid w:val="00427D43"/>
    <w:rsid w:val="0043064F"/>
    <w:rsid w:val="00430684"/>
    <w:rsid w:val="00432528"/>
    <w:rsid w:val="00432836"/>
    <w:rsid w:val="00432BA8"/>
    <w:rsid w:val="00434665"/>
    <w:rsid w:val="0043532D"/>
    <w:rsid w:val="00435491"/>
    <w:rsid w:val="00435DA5"/>
    <w:rsid w:val="004360B7"/>
    <w:rsid w:val="00436261"/>
    <w:rsid w:val="00437012"/>
    <w:rsid w:val="00437269"/>
    <w:rsid w:val="004373D1"/>
    <w:rsid w:val="0043778D"/>
    <w:rsid w:val="0044155E"/>
    <w:rsid w:val="0044432B"/>
    <w:rsid w:val="004446F3"/>
    <w:rsid w:val="004450E6"/>
    <w:rsid w:val="004451E1"/>
    <w:rsid w:val="004454C2"/>
    <w:rsid w:val="00445A60"/>
    <w:rsid w:val="004470D1"/>
    <w:rsid w:val="00447347"/>
    <w:rsid w:val="00447D28"/>
    <w:rsid w:val="00447F33"/>
    <w:rsid w:val="004508AE"/>
    <w:rsid w:val="00450A27"/>
    <w:rsid w:val="00450C6C"/>
    <w:rsid w:val="00451B8B"/>
    <w:rsid w:val="00451EC2"/>
    <w:rsid w:val="00452220"/>
    <w:rsid w:val="004522BF"/>
    <w:rsid w:val="00452345"/>
    <w:rsid w:val="00452FD2"/>
    <w:rsid w:val="004532E3"/>
    <w:rsid w:val="004535C8"/>
    <w:rsid w:val="0045383E"/>
    <w:rsid w:val="00453849"/>
    <w:rsid w:val="00454503"/>
    <w:rsid w:val="00454932"/>
    <w:rsid w:val="00454C88"/>
    <w:rsid w:val="004556A1"/>
    <w:rsid w:val="004558D3"/>
    <w:rsid w:val="004566B7"/>
    <w:rsid w:val="00456C07"/>
    <w:rsid w:val="00456C9E"/>
    <w:rsid w:val="00457451"/>
    <w:rsid w:val="0046009E"/>
    <w:rsid w:val="00462997"/>
    <w:rsid w:val="00462F3B"/>
    <w:rsid w:val="00463357"/>
    <w:rsid w:val="00463A04"/>
    <w:rsid w:val="004644C1"/>
    <w:rsid w:val="00464E62"/>
    <w:rsid w:val="00465255"/>
    <w:rsid w:val="00465E91"/>
    <w:rsid w:val="0046666D"/>
    <w:rsid w:val="004668A3"/>
    <w:rsid w:val="00467104"/>
    <w:rsid w:val="0047263D"/>
    <w:rsid w:val="00472AFD"/>
    <w:rsid w:val="00473718"/>
    <w:rsid w:val="00473869"/>
    <w:rsid w:val="0047410E"/>
    <w:rsid w:val="00474296"/>
    <w:rsid w:val="0047459D"/>
    <w:rsid w:val="00474D0E"/>
    <w:rsid w:val="004803B9"/>
    <w:rsid w:val="0048054A"/>
    <w:rsid w:val="00480EC5"/>
    <w:rsid w:val="004818E8"/>
    <w:rsid w:val="00482364"/>
    <w:rsid w:val="004823E0"/>
    <w:rsid w:val="004826E2"/>
    <w:rsid w:val="004828EB"/>
    <w:rsid w:val="00482F67"/>
    <w:rsid w:val="00483006"/>
    <w:rsid w:val="004836FE"/>
    <w:rsid w:val="00484915"/>
    <w:rsid w:val="00485961"/>
    <w:rsid w:val="00485AF6"/>
    <w:rsid w:val="00486143"/>
    <w:rsid w:val="0048704C"/>
    <w:rsid w:val="004871C6"/>
    <w:rsid w:val="00487279"/>
    <w:rsid w:val="00487387"/>
    <w:rsid w:val="00490BC0"/>
    <w:rsid w:val="00490E50"/>
    <w:rsid w:val="004919FD"/>
    <w:rsid w:val="00491C51"/>
    <w:rsid w:val="00492607"/>
    <w:rsid w:val="00492679"/>
    <w:rsid w:val="00492E8B"/>
    <w:rsid w:val="00493276"/>
    <w:rsid w:val="00495008"/>
    <w:rsid w:val="004956A5"/>
    <w:rsid w:val="00496352"/>
    <w:rsid w:val="0049751D"/>
    <w:rsid w:val="004975AE"/>
    <w:rsid w:val="004977DC"/>
    <w:rsid w:val="004A0151"/>
    <w:rsid w:val="004A016A"/>
    <w:rsid w:val="004A052E"/>
    <w:rsid w:val="004A06FC"/>
    <w:rsid w:val="004A132C"/>
    <w:rsid w:val="004A18DE"/>
    <w:rsid w:val="004A3980"/>
    <w:rsid w:val="004A5266"/>
    <w:rsid w:val="004B0043"/>
    <w:rsid w:val="004B1392"/>
    <w:rsid w:val="004B1461"/>
    <w:rsid w:val="004B1D41"/>
    <w:rsid w:val="004B26D9"/>
    <w:rsid w:val="004B2C5E"/>
    <w:rsid w:val="004B33F9"/>
    <w:rsid w:val="004B34BA"/>
    <w:rsid w:val="004B3B4A"/>
    <w:rsid w:val="004B3B5F"/>
    <w:rsid w:val="004B5226"/>
    <w:rsid w:val="004B5D78"/>
    <w:rsid w:val="004B5F81"/>
    <w:rsid w:val="004B68CB"/>
    <w:rsid w:val="004B6C17"/>
    <w:rsid w:val="004B723C"/>
    <w:rsid w:val="004B729E"/>
    <w:rsid w:val="004B774B"/>
    <w:rsid w:val="004C02A7"/>
    <w:rsid w:val="004C04C1"/>
    <w:rsid w:val="004C0AE4"/>
    <w:rsid w:val="004C0BDC"/>
    <w:rsid w:val="004C1149"/>
    <w:rsid w:val="004C1E3D"/>
    <w:rsid w:val="004C263E"/>
    <w:rsid w:val="004C2C82"/>
    <w:rsid w:val="004C3262"/>
    <w:rsid w:val="004C4629"/>
    <w:rsid w:val="004C4B71"/>
    <w:rsid w:val="004C4F78"/>
    <w:rsid w:val="004D087E"/>
    <w:rsid w:val="004D19DB"/>
    <w:rsid w:val="004D1E88"/>
    <w:rsid w:val="004D3CD7"/>
    <w:rsid w:val="004D4698"/>
    <w:rsid w:val="004D5239"/>
    <w:rsid w:val="004D58DE"/>
    <w:rsid w:val="004D61A4"/>
    <w:rsid w:val="004D63E2"/>
    <w:rsid w:val="004D69B7"/>
    <w:rsid w:val="004D7240"/>
    <w:rsid w:val="004D7A39"/>
    <w:rsid w:val="004E1A70"/>
    <w:rsid w:val="004E2602"/>
    <w:rsid w:val="004E2CA0"/>
    <w:rsid w:val="004E30E9"/>
    <w:rsid w:val="004E32BD"/>
    <w:rsid w:val="004E3A2D"/>
    <w:rsid w:val="004E3F30"/>
    <w:rsid w:val="004E46F8"/>
    <w:rsid w:val="004E4788"/>
    <w:rsid w:val="004E50C8"/>
    <w:rsid w:val="004E653E"/>
    <w:rsid w:val="004E65F5"/>
    <w:rsid w:val="004F114A"/>
    <w:rsid w:val="004F1159"/>
    <w:rsid w:val="004F13AA"/>
    <w:rsid w:val="004F14B8"/>
    <w:rsid w:val="004F2BD4"/>
    <w:rsid w:val="004F2D77"/>
    <w:rsid w:val="004F3C00"/>
    <w:rsid w:val="004F3E28"/>
    <w:rsid w:val="004F5046"/>
    <w:rsid w:val="004F61A6"/>
    <w:rsid w:val="004F621F"/>
    <w:rsid w:val="004F6754"/>
    <w:rsid w:val="004F6A53"/>
    <w:rsid w:val="004F6F4A"/>
    <w:rsid w:val="004F7291"/>
    <w:rsid w:val="004F7C25"/>
    <w:rsid w:val="004F7C70"/>
    <w:rsid w:val="005004D2"/>
    <w:rsid w:val="00502BE1"/>
    <w:rsid w:val="00502EAE"/>
    <w:rsid w:val="00503A1B"/>
    <w:rsid w:val="005045B6"/>
    <w:rsid w:val="0050464E"/>
    <w:rsid w:val="00504C77"/>
    <w:rsid w:val="00504C97"/>
    <w:rsid w:val="00504E9D"/>
    <w:rsid w:val="0050500F"/>
    <w:rsid w:val="0050514D"/>
    <w:rsid w:val="00505279"/>
    <w:rsid w:val="005055C9"/>
    <w:rsid w:val="00505CD5"/>
    <w:rsid w:val="005063E1"/>
    <w:rsid w:val="005070EA"/>
    <w:rsid w:val="00507257"/>
    <w:rsid w:val="0050761C"/>
    <w:rsid w:val="00507846"/>
    <w:rsid w:val="00507CC5"/>
    <w:rsid w:val="00510B83"/>
    <w:rsid w:val="00510E6A"/>
    <w:rsid w:val="0051101C"/>
    <w:rsid w:val="00511D09"/>
    <w:rsid w:val="0051239B"/>
    <w:rsid w:val="005125A5"/>
    <w:rsid w:val="0051275B"/>
    <w:rsid w:val="00512A81"/>
    <w:rsid w:val="005143A1"/>
    <w:rsid w:val="005146DB"/>
    <w:rsid w:val="005157B2"/>
    <w:rsid w:val="00515973"/>
    <w:rsid w:val="00516BBB"/>
    <w:rsid w:val="005177C5"/>
    <w:rsid w:val="0052030F"/>
    <w:rsid w:val="00520A3A"/>
    <w:rsid w:val="00520DC7"/>
    <w:rsid w:val="00523B19"/>
    <w:rsid w:val="00523C6D"/>
    <w:rsid w:val="00523E83"/>
    <w:rsid w:val="00523F69"/>
    <w:rsid w:val="005248BB"/>
    <w:rsid w:val="005250A4"/>
    <w:rsid w:val="005256A7"/>
    <w:rsid w:val="00525CA1"/>
    <w:rsid w:val="00526403"/>
    <w:rsid w:val="0052672F"/>
    <w:rsid w:val="005270F2"/>
    <w:rsid w:val="005279F5"/>
    <w:rsid w:val="00527E7D"/>
    <w:rsid w:val="005308A5"/>
    <w:rsid w:val="005314E9"/>
    <w:rsid w:val="00531569"/>
    <w:rsid w:val="00531723"/>
    <w:rsid w:val="0053172F"/>
    <w:rsid w:val="0053275E"/>
    <w:rsid w:val="00532BE0"/>
    <w:rsid w:val="00532C04"/>
    <w:rsid w:val="0053324F"/>
    <w:rsid w:val="005332B0"/>
    <w:rsid w:val="00534392"/>
    <w:rsid w:val="005348BF"/>
    <w:rsid w:val="00535612"/>
    <w:rsid w:val="005359D7"/>
    <w:rsid w:val="00537F85"/>
    <w:rsid w:val="00541978"/>
    <w:rsid w:val="00541E10"/>
    <w:rsid w:val="00541EF9"/>
    <w:rsid w:val="00541F44"/>
    <w:rsid w:val="00542248"/>
    <w:rsid w:val="00542B5B"/>
    <w:rsid w:val="005431CF"/>
    <w:rsid w:val="00543938"/>
    <w:rsid w:val="00543D0A"/>
    <w:rsid w:val="005440D7"/>
    <w:rsid w:val="00544EFB"/>
    <w:rsid w:val="005454F3"/>
    <w:rsid w:val="005455E5"/>
    <w:rsid w:val="005464DE"/>
    <w:rsid w:val="0054681B"/>
    <w:rsid w:val="00546D9E"/>
    <w:rsid w:val="00547146"/>
    <w:rsid w:val="0054779A"/>
    <w:rsid w:val="00547BA1"/>
    <w:rsid w:val="00547E66"/>
    <w:rsid w:val="00550F41"/>
    <w:rsid w:val="005510DF"/>
    <w:rsid w:val="00551E57"/>
    <w:rsid w:val="00553C2C"/>
    <w:rsid w:val="00555664"/>
    <w:rsid w:val="00555CC9"/>
    <w:rsid w:val="00556101"/>
    <w:rsid w:val="005578EB"/>
    <w:rsid w:val="00557CB1"/>
    <w:rsid w:val="0056072C"/>
    <w:rsid w:val="0056091E"/>
    <w:rsid w:val="00561371"/>
    <w:rsid w:val="00561474"/>
    <w:rsid w:val="0056172D"/>
    <w:rsid w:val="00561AB0"/>
    <w:rsid w:val="005633B3"/>
    <w:rsid w:val="005635F3"/>
    <w:rsid w:val="0056411C"/>
    <w:rsid w:val="00564605"/>
    <w:rsid w:val="00564995"/>
    <w:rsid w:val="00565AB7"/>
    <w:rsid w:val="00565B4C"/>
    <w:rsid w:val="00565F75"/>
    <w:rsid w:val="00566347"/>
    <w:rsid w:val="005663FF"/>
    <w:rsid w:val="00566E46"/>
    <w:rsid w:val="00566F61"/>
    <w:rsid w:val="005677E5"/>
    <w:rsid w:val="005679D1"/>
    <w:rsid w:val="005709A7"/>
    <w:rsid w:val="00570D24"/>
    <w:rsid w:val="0057319B"/>
    <w:rsid w:val="0057463B"/>
    <w:rsid w:val="0057474F"/>
    <w:rsid w:val="00574C1A"/>
    <w:rsid w:val="005754BB"/>
    <w:rsid w:val="005759C5"/>
    <w:rsid w:val="00575C41"/>
    <w:rsid w:val="00575D5C"/>
    <w:rsid w:val="00575E1C"/>
    <w:rsid w:val="005760D0"/>
    <w:rsid w:val="00577E4E"/>
    <w:rsid w:val="00580EEB"/>
    <w:rsid w:val="00580FCF"/>
    <w:rsid w:val="00581430"/>
    <w:rsid w:val="00581C51"/>
    <w:rsid w:val="005824E4"/>
    <w:rsid w:val="005826E1"/>
    <w:rsid w:val="00582C10"/>
    <w:rsid w:val="0058312C"/>
    <w:rsid w:val="00583651"/>
    <w:rsid w:val="00583673"/>
    <w:rsid w:val="00583D08"/>
    <w:rsid w:val="00583EB0"/>
    <w:rsid w:val="00585817"/>
    <w:rsid w:val="00587060"/>
    <w:rsid w:val="0058723F"/>
    <w:rsid w:val="00587A1E"/>
    <w:rsid w:val="00587BE7"/>
    <w:rsid w:val="00587CBC"/>
    <w:rsid w:val="00590FC9"/>
    <w:rsid w:val="00591806"/>
    <w:rsid w:val="005918C3"/>
    <w:rsid w:val="0059334A"/>
    <w:rsid w:val="0059430A"/>
    <w:rsid w:val="00595A5A"/>
    <w:rsid w:val="00595D86"/>
    <w:rsid w:val="00595DF1"/>
    <w:rsid w:val="00596524"/>
    <w:rsid w:val="005966D7"/>
    <w:rsid w:val="00597D35"/>
    <w:rsid w:val="00597D65"/>
    <w:rsid w:val="005A00D6"/>
    <w:rsid w:val="005A0CD7"/>
    <w:rsid w:val="005A221A"/>
    <w:rsid w:val="005A2DB7"/>
    <w:rsid w:val="005A4877"/>
    <w:rsid w:val="005A4A36"/>
    <w:rsid w:val="005A6D6D"/>
    <w:rsid w:val="005A7264"/>
    <w:rsid w:val="005A7EA4"/>
    <w:rsid w:val="005B08CC"/>
    <w:rsid w:val="005B1163"/>
    <w:rsid w:val="005B1601"/>
    <w:rsid w:val="005B186B"/>
    <w:rsid w:val="005B2332"/>
    <w:rsid w:val="005B3296"/>
    <w:rsid w:val="005B3371"/>
    <w:rsid w:val="005B39C0"/>
    <w:rsid w:val="005B4CFC"/>
    <w:rsid w:val="005B4E52"/>
    <w:rsid w:val="005B58B0"/>
    <w:rsid w:val="005B6D4F"/>
    <w:rsid w:val="005B6E0D"/>
    <w:rsid w:val="005B7E24"/>
    <w:rsid w:val="005C0298"/>
    <w:rsid w:val="005C06C8"/>
    <w:rsid w:val="005C06F2"/>
    <w:rsid w:val="005C0769"/>
    <w:rsid w:val="005C1053"/>
    <w:rsid w:val="005C249F"/>
    <w:rsid w:val="005C2910"/>
    <w:rsid w:val="005C2C92"/>
    <w:rsid w:val="005C2D24"/>
    <w:rsid w:val="005C360A"/>
    <w:rsid w:val="005C4F64"/>
    <w:rsid w:val="005C5218"/>
    <w:rsid w:val="005C5B66"/>
    <w:rsid w:val="005C5CAF"/>
    <w:rsid w:val="005C706C"/>
    <w:rsid w:val="005C7A5E"/>
    <w:rsid w:val="005C7EE9"/>
    <w:rsid w:val="005D02DD"/>
    <w:rsid w:val="005D0836"/>
    <w:rsid w:val="005D0AB3"/>
    <w:rsid w:val="005D0E70"/>
    <w:rsid w:val="005D0F1A"/>
    <w:rsid w:val="005D221C"/>
    <w:rsid w:val="005D2A43"/>
    <w:rsid w:val="005D2C70"/>
    <w:rsid w:val="005D5517"/>
    <w:rsid w:val="005D6EA0"/>
    <w:rsid w:val="005D7EDC"/>
    <w:rsid w:val="005E0C43"/>
    <w:rsid w:val="005E2616"/>
    <w:rsid w:val="005E3188"/>
    <w:rsid w:val="005E357E"/>
    <w:rsid w:val="005E42D1"/>
    <w:rsid w:val="005E51B7"/>
    <w:rsid w:val="005E539F"/>
    <w:rsid w:val="005E6147"/>
    <w:rsid w:val="005E69CB"/>
    <w:rsid w:val="005E6BFD"/>
    <w:rsid w:val="005E76E2"/>
    <w:rsid w:val="005E7B36"/>
    <w:rsid w:val="005F01E9"/>
    <w:rsid w:val="005F02E6"/>
    <w:rsid w:val="005F073A"/>
    <w:rsid w:val="005F10F1"/>
    <w:rsid w:val="005F1911"/>
    <w:rsid w:val="005F2CBA"/>
    <w:rsid w:val="005F3216"/>
    <w:rsid w:val="005F4743"/>
    <w:rsid w:val="005F4CF2"/>
    <w:rsid w:val="005F4DFE"/>
    <w:rsid w:val="005F4EF9"/>
    <w:rsid w:val="005F6912"/>
    <w:rsid w:val="005F6B39"/>
    <w:rsid w:val="005F7529"/>
    <w:rsid w:val="005F75D1"/>
    <w:rsid w:val="005F7ABC"/>
    <w:rsid w:val="0060056D"/>
    <w:rsid w:val="0060137C"/>
    <w:rsid w:val="006015AE"/>
    <w:rsid w:val="006017B1"/>
    <w:rsid w:val="00602889"/>
    <w:rsid w:val="00603A4C"/>
    <w:rsid w:val="00603ADD"/>
    <w:rsid w:val="006058EA"/>
    <w:rsid w:val="0060685F"/>
    <w:rsid w:val="00606C71"/>
    <w:rsid w:val="00606DB7"/>
    <w:rsid w:val="00607066"/>
    <w:rsid w:val="00607197"/>
    <w:rsid w:val="006071E2"/>
    <w:rsid w:val="00607A16"/>
    <w:rsid w:val="00607B07"/>
    <w:rsid w:val="006109F8"/>
    <w:rsid w:val="00610DCB"/>
    <w:rsid w:val="00610DCD"/>
    <w:rsid w:val="0061202A"/>
    <w:rsid w:val="00612855"/>
    <w:rsid w:val="006139A5"/>
    <w:rsid w:val="00614150"/>
    <w:rsid w:val="006142D1"/>
    <w:rsid w:val="006147EA"/>
    <w:rsid w:val="00614A47"/>
    <w:rsid w:val="0061542E"/>
    <w:rsid w:val="00616052"/>
    <w:rsid w:val="00616158"/>
    <w:rsid w:val="006162E1"/>
    <w:rsid w:val="006179F6"/>
    <w:rsid w:val="0062126C"/>
    <w:rsid w:val="006212AF"/>
    <w:rsid w:val="006212D5"/>
    <w:rsid w:val="00621764"/>
    <w:rsid w:val="00623075"/>
    <w:rsid w:val="00623261"/>
    <w:rsid w:val="00623910"/>
    <w:rsid w:val="00624A27"/>
    <w:rsid w:val="00624D0D"/>
    <w:rsid w:val="00624D74"/>
    <w:rsid w:val="0062524F"/>
    <w:rsid w:val="0062635C"/>
    <w:rsid w:val="006269AE"/>
    <w:rsid w:val="0062716D"/>
    <w:rsid w:val="0062771A"/>
    <w:rsid w:val="00627AF2"/>
    <w:rsid w:val="00627D2D"/>
    <w:rsid w:val="00627EA2"/>
    <w:rsid w:val="00632F94"/>
    <w:rsid w:val="00633AA5"/>
    <w:rsid w:val="00633B8E"/>
    <w:rsid w:val="00635185"/>
    <w:rsid w:val="00635E3A"/>
    <w:rsid w:val="0063632F"/>
    <w:rsid w:val="0063652B"/>
    <w:rsid w:val="0063686C"/>
    <w:rsid w:val="00640E38"/>
    <w:rsid w:val="00641419"/>
    <w:rsid w:val="0064202B"/>
    <w:rsid w:val="006427B4"/>
    <w:rsid w:val="00643807"/>
    <w:rsid w:val="0064527C"/>
    <w:rsid w:val="006468B6"/>
    <w:rsid w:val="00646E90"/>
    <w:rsid w:val="00647DF1"/>
    <w:rsid w:val="00650C56"/>
    <w:rsid w:val="00651028"/>
    <w:rsid w:val="00651133"/>
    <w:rsid w:val="006511EC"/>
    <w:rsid w:val="00651ED0"/>
    <w:rsid w:val="00652674"/>
    <w:rsid w:val="00652858"/>
    <w:rsid w:val="0065462B"/>
    <w:rsid w:val="00654C1D"/>
    <w:rsid w:val="00655133"/>
    <w:rsid w:val="006558DC"/>
    <w:rsid w:val="0065655F"/>
    <w:rsid w:val="00656B27"/>
    <w:rsid w:val="00657338"/>
    <w:rsid w:val="0065768B"/>
    <w:rsid w:val="006579FC"/>
    <w:rsid w:val="00657E34"/>
    <w:rsid w:val="00657F8B"/>
    <w:rsid w:val="00660401"/>
    <w:rsid w:val="006618FC"/>
    <w:rsid w:val="0066197A"/>
    <w:rsid w:val="00661E3B"/>
    <w:rsid w:val="00663D00"/>
    <w:rsid w:val="00663E86"/>
    <w:rsid w:val="00664158"/>
    <w:rsid w:val="00664465"/>
    <w:rsid w:val="0066489A"/>
    <w:rsid w:val="00666156"/>
    <w:rsid w:val="0066623B"/>
    <w:rsid w:val="00666514"/>
    <w:rsid w:val="0066686A"/>
    <w:rsid w:val="00666BCD"/>
    <w:rsid w:val="00670CAC"/>
    <w:rsid w:val="006714AC"/>
    <w:rsid w:val="00671743"/>
    <w:rsid w:val="00671B7E"/>
    <w:rsid w:val="0067259B"/>
    <w:rsid w:val="00672A6C"/>
    <w:rsid w:val="00672AEF"/>
    <w:rsid w:val="00673A53"/>
    <w:rsid w:val="0067402B"/>
    <w:rsid w:val="0067579D"/>
    <w:rsid w:val="00675AF1"/>
    <w:rsid w:val="00675D96"/>
    <w:rsid w:val="006767BC"/>
    <w:rsid w:val="00676DFC"/>
    <w:rsid w:val="00681D75"/>
    <w:rsid w:val="0068225D"/>
    <w:rsid w:val="0068242E"/>
    <w:rsid w:val="006829E5"/>
    <w:rsid w:val="00683307"/>
    <w:rsid w:val="00683ADA"/>
    <w:rsid w:val="00684BAF"/>
    <w:rsid w:val="0068518F"/>
    <w:rsid w:val="006854B4"/>
    <w:rsid w:val="00686FD4"/>
    <w:rsid w:val="00687D41"/>
    <w:rsid w:val="00690394"/>
    <w:rsid w:val="00691883"/>
    <w:rsid w:val="0069210E"/>
    <w:rsid w:val="0069452F"/>
    <w:rsid w:val="006949D5"/>
    <w:rsid w:val="00695363"/>
    <w:rsid w:val="006963DA"/>
    <w:rsid w:val="00696EBB"/>
    <w:rsid w:val="00697336"/>
    <w:rsid w:val="00697D68"/>
    <w:rsid w:val="006A0A6E"/>
    <w:rsid w:val="006A1F10"/>
    <w:rsid w:val="006A3ED3"/>
    <w:rsid w:val="006A4BE1"/>
    <w:rsid w:val="006A4C37"/>
    <w:rsid w:val="006A4D4E"/>
    <w:rsid w:val="006A5232"/>
    <w:rsid w:val="006A535E"/>
    <w:rsid w:val="006A6740"/>
    <w:rsid w:val="006A6965"/>
    <w:rsid w:val="006A748F"/>
    <w:rsid w:val="006A7D4B"/>
    <w:rsid w:val="006B0ADE"/>
    <w:rsid w:val="006B10B2"/>
    <w:rsid w:val="006B17A6"/>
    <w:rsid w:val="006B1EC8"/>
    <w:rsid w:val="006B45EE"/>
    <w:rsid w:val="006B630A"/>
    <w:rsid w:val="006B6389"/>
    <w:rsid w:val="006B6631"/>
    <w:rsid w:val="006B77EE"/>
    <w:rsid w:val="006B7C24"/>
    <w:rsid w:val="006C092E"/>
    <w:rsid w:val="006C0F9C"/>
    <w:rsid w:val="006C1577"/>
    <w:rsid w:val="006C1A37"/>
    <w:rsid w:val="006C1BA4"/>
    <w:rsid w:val="006C1C84"/>
    <w:rsid w:val="006C2640"/>
    <w:rsid w:val="006C28F4"/>
    <w:rsid w:val="006C2E70"/>
    <w:rsid w:val="006C34D0"/>
    <w:rsid w:val="006C3E30"/>
    <w:rsid w:val="006C4268"/>
    <w:rsid w:val="006C5ACD"/>
    <w:rsid w:val="006C6300"/>
    <w:rsid w:val="006C6497"/>
    <w:rsid w:val="006C7753"/>
    <w:rsid w:val="006D0075"/>
    <w:rsid w:val="006D03B3"/>
    <w:rsid w:val="006D0494"/>
    <w:rsid w:val="006D0B8C"/>
    <w:rsid w:val="006D0EC6"/>
    <w:rsid w:val="006D1544"/>
    <w:rsid w:val="006D1569"/>
    <w:rsid w:val="006D1736"/>
    <w:rsid w:val="006D1C3D"/>
    <w:rsid w:val="006D36B7"/>
    <w:rsid w:val="006D3A49"/>
    <w:rsid w:val="006D51AF"/>
    <w:rsid w:val="006D5E25"/>
    <w:rsid w:val="006D686D"/>
    <w:rsid w:val="006D6AD2"/>
    <w:rsid w:val="006D6EC0"/>
    <w:rsid w:val="006D7B56"/>
    <w:rsid w:val="006D7E14"/>
    <w:rsid w:val="006E16F1"/>
    <w:rsid w:val="006E2523"/>
    <w:rsid w:val="006E359B"/>
    <w:rsid w:val="006E36B8"/>
    <w:rsid w:val="006E410E"/>
    <w:rsid w:val="006E529B"/>
    <w:rsid w:val="006E706F"/>
    <w:rsid w:val="006E7525"/>
    <w:rsid w:val="006E75BF"/>
    <w:rsid w:val="006F0925"/>
    <w:rsid w:val="006F09B5"/>
    <w:rsid w:val="006F1011"/>
    <w:rsid w:val="006F1349"/>
    <w:rsid w:val="006F1D0B"/>
    <w:rsid w:val="006F1FDE"/>
    <w:rsid w:val="006F201F"/>
    <w:rsid w:val="006F2C03"/>
    <w:rsid w:val="006F2FFC"/>
    <w:rsid w:val="006F3366"/>
    <w:rsid w:val="006F48B3"/>
    <w:rsid w:val="006F48B8"/>
    <w:rsid w:val="006F4ACE"/>
    <w:rsid w:val="006F52EC"/>
    <w:rsid w:val="006F553C"/>
    <w:rsid w:val="006F568E"/>
    <w:rsid w:val="006F5924"/>
    <w:rsid w:val="006F6258"/>
    <w:rsid w:val="006F65E1"/>
    <w:rsid w:val="006F6FA8"/>
    <w:rsid w:val="006F7B63"/>
    <w:rsid w:val="006F7F29"/>
    <w:rsid w:val="006F7F8E"/>
    <w:rsid w:val="007012EB"/>
    <w:rsid w:val="00701552"/>
    <w:rsid w:val="007027A9"/>
    <w:rsid w:val="00703D2A"/>
    <w:rsid w:val="00704990"/>
    <w:rsid w:val="00704FDE"/>
    <w:rsid w:val="007050EE"/>
    <w:rsid w:val="00705165"/>
    <w:rsid w:val="00705448"/>
    <w:rsid w:val="0070600F"/>
    <w:rsid w:val="00706FBB"/>
    <w:rsid w:val="00710341"/>
    <w:rsid w:val="00710411"/>
    <w:rsid w:val="00711A88"/>
    <w:rsid w:val="00711C51"/>
    <w:rsid w:val="007122EC"/>
    <w:rsid w:val="007125EA"/>
    <w:rsid w:val="007136DE"/>
    <w:rsid w:val="00713ADE"/>
    <w:rsid w:val="00714504"/>
    <w:rsid w:val="00715929"/>
    <w:rsid w:val="00715F8B"/>
    <w:rsid w:val="00716140"/>
    <w:rsid w:val="00716745"/>
    <w:rsid w:val="0071742A"/>
    <w:rsid w:val="007176B9"/>
    <w:rsid w:val="007178E9"/>
    <w:rsid w:val="00717C86"/>
    <w:rsid w:val="00720038"/>
    <w:rsid w:val="00720B9A"/>
    <w:rsid w:val="00723781"/>
    <w:rsid w:val="00726628"/>
    <w:rsid w:val="007268DD"/>
    <w:rsid w:val="00727571"/>
    <w:rsid w:val="007307FC"/>
    <w:rsid w:val="007309E8"/>
    <w:rsid w:val="00730E8F"/>
    <w:rsid w:val="007312A4"/>
    <w:rsid w:val="007314A9"/>
    <w:rsid w:val="00731D48"/>
    <w:rsid w:val="00732287"/>
    <w:rsid w:val="007326A4"/>
    <w:rsid w:val="00732AEC"/>
    <w:rsid w:val="00733008"/>
    <w:rsid w:val="00733D9F"/>
    <w:rsid w:val="00733DD7"/>
    <w:rsid w:val="00733FB8"/>
    <w:rsid w:val="00734014"/>
    <w:rsid w:val="00734484"/>
    <w:rsid w:val="00734559"/>
    <w:rsid w:val="00735CB3"/>
    <w:rsid w:val="00736320"/>
    <w:rsid w:val="007365A3"/>
    <w:rsid w:val="00736C73"/>
    <w:rsid w:val="007373CE"/>
    <w:rsid w:val="007375AE"/>
    <w:rsid w:val="00740BC8"/>
    <w:rsid w:val="0074109F"/>
    <w:rsid w:val="00742076"/>
    <w:rsid w:val="0074299F"/>
    <w:rsid w:val="00743B40"/>
    <w:rsid w:val="00744A48"/>
    <w:rsid w:val="00744AA6"/>
    <w:rsid w:val="00745136"/>
    <w:rsid w:val="00745A15"/>
    <w:rsid w:val="00745DD2"/>
    <w:rsid w:val="007464D4"/>
    <w:rsid w:val="00747205"/>
    <w:rsid w:val="00747C46"/>
    <w:rsid w:val="00750444"/>
    <w:rsid w:val="00751354"/>
    <w:rsid w:val="00751963"/>
    <w:rsid w:val="007519BE"/>
    <w:rsid w:val="007519C9"/>
    <w:rsid w:val="007528CF"/>
    <w:rsid w:val="00752AD3"/>
    <w:rsid w:val="007543DF"/>
    <w:rsid w:val="00754F9C"/>
    <w:rsid w:val="00755B7F"/>
    <w:rsid w:val="007563E7"/>
    <w:rsid w:val="0075643A"/>
    <w:rsid w:val="00756909"/>
    <w:rsid w:val="00757E1B"/>
    <w:rsid w:val="007603E0"/>
    <w:rsid w:val="00760D10"/>
    <w:rsid w:val="00761387"/>
    <w:rsid w:val="00762108"/>
    <w:rsid w:val="00762184"/>
    <w:rsid w:val="00762C10"/>
    <w:rsid w:val="00762EE5"/>
    <w:rsid w:val="00762EE9"/>
    <w:rsid w:val="00763117"/>
    <w:rsid w:val="007635ED"/>
    <w:rsid w:val="00764C3C"/>
    <w:rsid w:val="00765C1C"/>
    <w:rsid w:val="007704D7"/>
    <w:rsid w:val="00770E38"/>
    <w:rsid w:val="00771F17"/>
    <w:rsid w:val="0077208F"/>
    <w:rsid w:val="00772215"/>
    <w:rsid w:val="007730C9"/>
    <w:rsid w:val="00773FC4"/>
    <w:rsid w:val="007749FE"/>
    <w:rsid w:val="007751DE"/>
    <w:rsid w:val="0077619D"/>
    <w:rsid w:val="00776AF1"/>
    <w:rsid w:val="00776D28"/>
    <w:rsid w:val="00780349"/>
    <w:rsid w:val="0078133D"/>
    <w:rsid w:val="00781E34"/>
    <w:rsid w:val="007822A5"/>
    <w:rsid w:val="00783143"/>
    <w:rsid w:val="00783D35"/>
    <w:rsid w:val="007840A9"/>
    <w:rsid w:val="00785785"/>
    <w:rsid w:val="00786C60"/>
    <w:rsid w:val="007902D4"/>
    <w:rsid w:val="00790518"/>
    <w:rsid w:val="007919B3"/>
    <w:rsid w:val="00791A75"/>
    <w:rsid w:val="00791DED"/>
    <w:rsid w:val="0079213C"/>
    <w:rsid w:val="00792AA8"/>
    <w:rsid w:val="0079318B"/>
    <w:rsid w:val="00793550"/>
    <w:rsid w:val="0079395F"/>
    <w:rsid w:val="00793AAE"/>
    <w:rsid w:val="00793B2E"/>
    <w:rsid w:val="0079411F"/>
    <w:rsid w:val="00794972"/>
    <w:rsid w:val="00795D34"/>
    <w:rsid w:val="007968C3"/>
    <w:rsid w:val="00796D76"/>
    <w:rsid w:val="00796EE7"/>
    <w:rsid w:val="00797022"/>
    <w:rsid w:val="00797C2A"/>
    <w:rsid w:val="007A05D6"/>
    <w:rsid w:val="007A0FDB"/>
    <w:rsid w:val="007A12CC"/>
    <w:rsid w:val="007A2202"/>
    <w:rsid w:val="007A268F"/>
    <w:rsid w:val="007A2FDB"/>
    <w:rsid w:val="007A3445"/>
    <w:rsid w:val="007A36A4"/>
    <w:rsid w:val="007A3ABE"/>
    <w:rsid w:val="007A3F2F"/>
    <w:rsid w:val="007A4725"/>
    <w:rsid w:val="007A4CB0"/>
    <w:rsid w:val="007A4F41"/>
    <w:rsid w:val="007A5017"/>
    <w:rsid w:val="007A5B52"/>
    <w:rsid w:val="007A5C8F"/>
    <w:rsid w:val="007A60F8"/>
    <w:rsid w:val="007A62C3"/>
    <w:rsid w:val="007A661E"/>
    <w:rsid w:val="007A6652"/>
    <w:rsid w:val="007B011A"/>
    <w:rsid w:val="007B189C"/>
    <w:rsid w:val="007B1E11"/>
    <w:rsid w:val="007B2D3B"/>
    <w:rsid w:val="007B341B"/>
    <w:rsid w:val="007B3D62"/>
    <w:rsid w:val="007B4102"/>
    <w:rsid w:val="007B651A"/>
    <w:rsid w:val="007B6648"/>
    <w:rsid w:val="007B6669"/>
    <w:rsid w:val="007B6B46"/>
    <w:rsid w:val="007B6FA0"/>
    <w:rsid w:val="007C0598"/>
    <w:rsid w:val="007C0E7E"/>
    <w:rsid w:val="007C311B"/>
    <w:rsid w:val="007C3315"/>
    <w:rsid w:val="007C462E"/>
    <w:rsid w:val="007C506B"/>
    <w:rsid w:val="007C516D"/>
    <w:rsid w:val="007C516F"/>
    <w:rsid w:val="007C6C00"/>
    <w:rsid w:val="007C78A4"/>
    <w:rsid w:val="007C7EBC"/>
    <w:rsid w:val="007D038A"/>
    <w:rsid w:val="007D0986"/>
    <w:rsid w:val="007D0D96"/>
    <w:rsid w:val="007D14AC"/>
    <w:rsid w:val="007D1722"/>
    <w:rsid w:val="007D1BA8"/>
    <w:rsid w:val="007D22B2"/>
    <w:rsid w:val="007D23EE"/>
    <w:rsid w:val="007D294D"/>
    <w:rsid w:val="007D38BF"/>
    <w:rsid w:val="007D47AE"/>
    <w:rsid w:val="007D5032"/>
    <w:rsid w:val="007D57E0"/>
    <w:rsid w:val="007D59A7"/>
    <w:rsid w:val="007D59D6"/>
    <w:rsid w:val="007D6586"/>
    <w:rsid w:val="007D698B"/>
    <w:rsid w:val="007D6D4C"/>
    <w:rsid w:val="007D7BB6"/>
    <w:rsid w:val="007E050C"/>
    <w:rsid w:val="007E15B2"/>
    <w:rsid w:val="007E1EB9"/>
    <w:rsid w:val="007E23C2"/>
    <w:rsid w:val="007E3C27"/>
    <w:rsid w:val="007E4416"/>
    <w:rsid w:val="007E463B"/>
    <w:rsid w:val="007E4720"/>
    <w:rsid w:val="007E5576"/>
    <w:rsid w:val="007E5D35"/>
    <w:rsid w:val="007E5F31"/>
    <w:rsid w:val="007E6E69"/>
    <w:rsid w:val="007E751B"/>
    <w:rsid w:val="007F0519"/>
    <w:rsid w:val="007F1A6F"/>
    <w:rsid w:val="007F2669"/>
    <w:rsid w:val="007F2763"/>
    <w:rsid w:val="007F287B"/>
    <w:rsid w:val="007F473F"/>
    <w:rsid w:val="007F5188"/>
    <w:rsid w:val="007F52A6"/>
    <w:rsid w:val="007F5789"/>
    <w:rsid w:val="007F5C0F"/>
    <w:rsid w:val="007F5EAF"/>
    <w:rsid w:val="007F68DA"/>
    <w:rsid w:val="007F7753"/>
    <w:rsid w:val="007F7F24"/>
    <w:rsid w:val="007F7FAE"/>
    <w:rsid w:val="008004E7"/>
    <w:rsid w:val="00800B44"/>
    <w:rsid w:val="008010C2"/>
    <w:rsid w:val="0080276C"/>
    <w:rsid w:val="00803245"/>
    <w:rsid w:val="00804291"/>
    <w:rsid w:val="00804FB1"/>
    <w:rsid w:val="00805C4E"/>
    <w:rsid w:val="00805CBB"/>
    <w:rsid w:val="008060C8"/>
    <w:rsid w:val="00806668"/>
    <w:rsid w:val="008075B1"/>
    <w:rsid w:val="00807C21"/>
    <w:rsid w:val="00807C24"/>
    <w:rsid w:val="00810BD8"/>
    <w:rsid w:val="00810F5C"/>
    <w:rsid w:val="008116EB"/>
    <w:rsid w:val="00812723"/>
    <w:rsid w:val="008133A0"/>
    <w:rsid w:val="00814A6A"/>
    <w:rsid w:val="00814ED4"/>
    <w:rsid w:val="008152E3"/>
    <w:rsid w:val="0081557C"/>
    <w:rsid w:val="008159B1"/>
    <w:rsid w:val="0081608E"/>
    <w:rsid w:val="00816180"/>
    <w:rsid w:val="008163EA"/>
    <w:rsid w:val="00816C87"/>
    <w:rsid w:val="00817725"/>
    <w:rsid w:val="00817DCB"/>
    <w:rsid w:val="00817F8D"/>
    <w:rsid w:val="00820282"/>
    <w:rsid w:val="00820651"/>
    <w:rsid w:val="00820E37"/>
    <w:rsid w:val="0082117F"/>
    <w:rsid w:val="00822B58"/>
    <w:rsid w:val="00822DD4"/>
    <w:rsid w:val="0082415E"/>
    <w:rsid w:val="00824E0C"/>
    <w:rsid w:val="0082618D"/>
    <w:rsid w:val="0082619C"/>
    <w:rsid w:val="00826EAD"/>
    <w:rsid w:val="00830D00"/>
    <w:rsid w:val="008314BD"/>
    <w:rsid w:val="00831A0D"/>
    <w:rsid w:val="00831B5C"/>
    <w:rsid w:val="008322E8"/>
    <w:rsid w:val="00833775"/>
    <w:rsid w:val="00833AD3"/>
    <w:rsid w:val="00834289"/>
    <w:rsid w:val="00834457"/>
    <w:rsid w:val="0083468C"/>
    <w:rsid w:val="00834972"/>
    <w:rsid w:val="00834C30"/>
    <w:rsid w:val="008356B3"/>
    <w:rsid w:val="00836AD2"/>
    <w:rsid w:val="008375CC"/>
    <w:rsid w:val="0084065A"/>
    <w:rsid w:val="0084083D"/>
    <w:rsid w:val="00840A50"/>
    <w:rsid w:val="008415CC"/>
    <w:rsid w:val="00841B87"/>
    <w:rsid w:val="00842400"/>
    <w:rsid w:val="00842862"/>
    <w:rsid w:val="008431A2"/>
    <w:rsid w:val="00843D95"/>
    <w:rsid w:val="00843F8D"/>
    <w:rsid w:val="008445D8"/>
    <w:rsid w:val="0084477B"/>
    <w:rsid w:val="00844A64"/>
    <w:rsid w:val="00845199"/>
    <w:rsid w:val="00845411"/>
    <w:rsid w:val="00845E14"/>
    <w:rsid w:val="0084649C"/>
    <w:rsid w:val="0084662F"/>
    <w:rsid w:val="0084703A"/>
    <w:rsid w:val="00847C50"/>
    <w:rsid w:val="00847DFE"/>
    <w:rsid w:val="00850512"/>
    <w:rsid w:val="008505F3"/>
    <w:rsid w:val="008510D4"/>
    <w:rsid w:val="00851111"/>
    <w:rsid w:val="008517FC"/>
    <w:rsid w:val="0085181A"/>
    <w:rsid w:val="008518D7"/>
    <w:rsid w:val="008525CF"/>
    <w:rsid w:val="008531D7"/>
    <w:rsid w:val="00853D1F"/>
    <w:rsid w:val="008542CC"/>
    <w:rsid w:val="00854709"/>
    <w:rsid w:val="008547F9"/>
    <w:rsid w:val="00855241"/>
    <w:rsid w:val="008552D9"/>
    <w:rsid w:val="008557E1"/>
    <w:rsid w:val="00855815"/>
    <w:rsid w:val="00855C25"/>
    <w:rsid w:val="008561BA"/>
    <w:rsid w:val="008579AA"/>
    <w:rsid w:val="00860973"/>
    <w:rsid w:val="00860B77"/>
    <w:rsid w:val="008613AE"/>
    <w:rsid w:val="008614D0"/>
    <w:rsid w:val="0086183E"/>
    <w:rsid w:val="00861ED6"/>
    <w:rsid w:val="00862423"/>
    <w:rsid w:val="00862B25"/>
    <w:rsid w:val="00863F57"/>
    <w:rsid w:val="008644FF"/>
    <w:rsid w:val="008648B5"/>
    <w:rsid w:val="008648EC"/>
    <w:rsid w:val="008648FF"/>
    <w:rsid w:val="00864C75"/>
    <w:rsid w:val="00864E8E"/>
    <w:rsid w:val="00865A78"/>
    <w:rsid w:val="00865EBD"/>
    <w:rsid w:val="0086641A"/>
    <w:rsid w:val="008664A9"/>
    <w:rsid w:val="008675D7"/>
    <w:rsid w:val="00867F68"/>
    <w:rsid w:val="00870C2D"/>
    <w:rsid w:val="00871352"/>
    <w:rsid w:val="008713A5"/>
    <w:rsid w:val="00871B07"/>
    <w:rsid w:val="008721F8"/>
    <w:rsid w:val="00872FAE"/>
    <w:rsid w:val="00872FAF"/>
    <w:rsid w:val="00873089"/>
    <w:rsid w:val="008737D3"/>
    <w:rsid w:val="00873A02"/>
    <w:rsid w:val="00873E0E"/>
    <w:rsid w:val="00873FEC"/>
    <w:rsid w:val="0087602B"/>
    <w:rsid w:val="00876A54"/>
    <w:rsid w:val="00877CBF"/>
    <w:rsid w:val="0088049F"/>
    <w:rsid w:val="00881A2A"/>
    <w:rsid w:val="008826DF"/>
    <w:rsid w:val="00882B73"/>
    <w:rsid w:val="00882D53"/>
    <w:rsid w:val="00882D5B"/>
    <w:rsid w:val="00882F38"/>
    <w:rsid w:val="00882F58"/>
    <w:rsid w:val="00883437"/>
    <w:rsid w:val="008834C5"/>
    <w:rsid w:val="00883BC1"/>
    <w:rsid w:val="00883C24"/>
    <w:rsid w:val="00884339"/>
    <w:rsid w:val="00884488"/>
    <w:rsid w:val="00884C88"/>
    <w:rsid w:val="008853F8"/>
    <w:rsid w:val="0088565F"/>
    <w:rsid w:val="008862BC"/>
    <w:rsid w:val="00886379"/>
    <w:rsid w:val="00886A19"/>
    <w:rsid w:val="00887649"/>
    <w:rsid w:val="008906A8"/>
    <w:rsid w:val="008910C3"/>
    <w:rsid w:val="00891674"/>
    <w:rsid w:val="0089193F"/>
    <w:rsid w:val="008924E3"/>
    <w:rsid w:val="00892544"/>
    <w:rsid w:val="0089303F"/>
    <w:rsid w:val="0089318B"/>
    <w:rsid w:val="00893220"/>
    <w:rsid w:val="0089336B"/>
    <w:rsid w:val="008936C2"/>
    <w:rsid w:val="008950D1"/>
    <w:rsid w:val="008953BD"/>
    <w:rsid w:val="0089594B"/>
    <w:rsid w:val="00896D71"/>
    <w:rsid w:val="008A00C6"/>
    <w:rsid w:val="008A183A"/>
    <w:rsid w:val="008A2A07"/>
    <w:rsid w:val="008A31AA"/>
    <w:rsid w:val="008A414C"/>
    <w:rsid w:val="008A4628"/>
    <w:rsid w:val="008A4811"/>
    <w:rsid w:val="008A5AD9"/>
    <w:rsid w:val="008A6AF1"/>
    <w:rsid w:val="008A78B1"/>
    <w:rsid w:val="008B081A"/>
    <w:rsid w:val="008B2E4C"/>
    <w:rsid w:val="008B3226"/>
    <w:rsid w:val="008B47CB"/>
    <w:rsid w:val="008B5469"/>
    <w:rsid w:val="008B639A"/>
    <w:rsid w:val="008B6A6C"/>
    <w:rsid w:val="008B735C"/>
    <w:rsid w:val="008B7425"/>
    <w:rsid w:val="008C013E"/>
    <w:rsid w:val="008C0E52"/>
    <w:rsid w:val="008C118D"/>
    <w:rsid w:val="008C15BB"/>
    <w:rsid w:val="008C28E5"/>
    <w:rsid w:val="008C4E5F"/>
    <w:rsid w:val="008C6061"/>
    <w:rsid w:val="008C6886"/>
    <w:rsid w:val="008C6C82"/>
    <w:rsid w:val="008C6D8E"/>
    <w:rsid w:val="008C74A5"/>
    <w:rsid w:val="008C7977"/>
    <w:rsid w:val="008D0222"/>
    <w:rsid w:val="008D0567"/>
    <w:rsid w:val="008D0AAF"/>
    <w:rsid w:val="008D15F7"/>
    <w:rsid w:val="008D1AA0"/>
    <w:rsid w:val="008D1E9F"/>
    <w:rsid w:val="008D1FDE"/>
    <w:rsid w:val="008D2966"/>
    <w:rsid w:val="008D351D"/>
    <w:rsid w:val="008D5103"/>
    <w:rsid w:val="008D53FC"/>
    <w:rsid w:val="008D5408"/>
    <w:rsid w:val="008D65CD"/>
    <w:rsid w:val="008D6BD8"/>
    <w:rsid w:val="008D7463"/>
    <w:rsid w:val="008D7FC0"/>
    <w:rsid w:val="008E04EF"/>
    <w:rsid w:val="008E11EA"/>
    <w:rsid w:val="008E1C45"/>
    <w:rsid w:val="008E23D1"/>
    <w:rsid w:val="008E242E"/>
    <w:rsid w:val="008E2874"/>
    <w:rsid w:val="008E2B13"/>
    <w:rsid w:val="008E4373"/>
    <w:rsid w:val="008E481F"/>
    <w:rsid w:val="008E5806"/>
    <w:rsid w:val="008E5A43"/>
    <w:rsid w:val="008E642E"/>
    <w:rsid w:val="008E647B"/>
    <w:rsid w:val="008E7020"/>
    <w:rsid w:val="008E7B61"/>
    <w:rsid w:val="008F031A"/>
    <w:rsid w:val="008F0438"/>
    <w:rsid w:val="008F0461"/>
    <w:rsid w:val="008F2549"/>
    <w:rsid w:val="008F27A3"/>
    <w:rsid w:val="008F299F"/>
    <w:rsid w:val="008F2BAB"/>
    <w:rsid w:val="008F3AE2"/>
    <w:rsid w:val="008F4803"/>
    <w:rsid w:val="008F53B3"/>
    <w:rsid w:val="008F6221"/>
    <w:rsid w:val="008F722B"/>
    <w:rsid w:val="008F777B"/>
    <w:rsid w:val="008F79D3"/>
    <w:rsid w:val="008F7CCE"/>
    <w:rsid w:val="0090010D"/>
    <w:rsid w:val="00900764"/>
    <w:rsid w:val="00901AC0"/>
    <w:rsid w:val="00902077"/>
    <w:rsid w:val="0090454B"/>
    <w:rsid w:val="00904CB6"/>
    <w:rsid w:val="009064E2"/>
    <w:rsid w:val="0090686D"/>
    <w:rsid w:val="009069CC"/>
    <w:rsid w:val="00906A57"/>
    <w:rsid w:val="00906B9D"/>
    <w:rsid w:val="009077C7"/>
    <w:rsid w:val="0090795E"/>
    <w:rsid w:val="00907C2C"/>
    <w:rsid w:val="00907D35"/>
    <w:rsid w:val="00907DF4"/>
    <w:rsid w:val="00907E26"/>
    <w:rsid w:val="00907FF3"/>
    <w:rsid w:val="009109C8"/>
    <w:rsid w:val="00910E5C"/>
    <w:rsid w:val="0091116C"/>
    <w:rsid w:val="0091220E"/>
    <w:rsid w:val="00912230"/>
    <w:rsid w:val="00912778"/>
    <w:rsid w:val="00913248"/>
    <w:rsid w:val="0091465A"/>
    <w:rsid w:val="00914C4C"/>
    <w:rsid w:val="009150FD"/>
    <w:rsid w:val="00915B4D"/>
    <w:rsid w:val="00915EB5"/>
    <w:rsid w:val="00916544"/>
    <w:rsid w:val="0091698D"/>
    <w:rsid w:val="00920216"/>
    <w:rsid w:val="00920463"/>
    <w:rsid w:val="00920745"/>
    <w:rsid w:val="00921058"/>
    <w:rsid w:val="00921358"/>
    <w:rsid w:val="00921519"/>
    <w:rsid w:val="009231E5"/>
    <w:rsid w:val="009238C7"/>
    <w:rsid w:val="00923CE0"/>
    <w:rsid w:val="00923D68"/>
    <w:rsid w:val="009245CA"/>
    <w:rsid w:val="0092671D"/>
    <w:rsid w:val="00926E4D"/>
    <w:rsid w:val="00927A1E"/>
    <w:rsid w:val="00927C85"/>
    <w:rsid w:val="00930673"/>
    <w:rsid w:val="00930F62"/>
    <w:rsid w:val="009317FC"/>
    <w:rsid w:val="00931894"/>
    <w:rsid w:val="0093258F"/>
    <w:rsid w:val="0093352D"/>
    <w:rsid w:val="0093478A"/>
    <w:rsid w:val="00937104"/>
    <w:rsid w:val="009376FF"/>
    <w:rsid w:val="00940185"/>
    <w:rsid w:val="00940784"/>
    <w:rsid w:val="00940BCD"/>
    <w:rsid w:val="00941279"/>
    <w:rsid w:val="00941F75"/>
    <w:rsid w:val="00942795"/>
    <w:rsid w:val="009428E8"/>
    <w:rsid w:val="00942B8C"/>
    <w:rsid w:val="0094375A"/>
    <w:rsid w:val="00945241"/>
    <w:rsid w:val="0094562D"/>
    <w:rsid w:val="00945D44"/>
    <w:rsid w:val="00945F85"/>
    <w:rsid w:val="009462D5"/>
    <w:rsid w:val="00946861"/>
    <w:rsid w:val="00946F11"/>
    <w:rsid w:val="00947A5B"/>
    <w:rsid w:val="00950540"/>
    <w:rsid w:val="0095241F"/>
    <w:rsid w:val="009525ED"/>
    <w:rsid w:val="009527D2"/>
    <w:rsid w:val="00953EB6"/>
    <w:rsid w:val="0095456C"/>
    <w:rsid w:val="009547B3"/>
    <w:rsid w:val="009547C9"/>
    <w:rsid w:val="009548D0"/>
    <w:rsid w:val="00956905"/>
    <w:rsid w:val="00957AEE"/>
    <w:rsid w:val="00960995"/>
    <w:rsid w:val="00961353"/>
    <w:rsid w:val="009614C6"/>
    <w:rsid w:val="009622C8"/>
    <w:rsid w:val="00962B32"/>
    <w:rsid w:val="00962BFB"/>
    <w:rsid w:val="00962E1C"/>
    <w:rsid w:val="0096349D"/>
    <w:rsid w:val="00964954"/>
    <w:rsid w:val="0096498A"/>
    <w:rsid w:val="0096603B"/>
    <w:rsid w:val="009664E2"/>
    <w:rsid w:val="009669B7"/>
    <w:rsid w:val="00966AD8"/>
    <w:rsid w:val="00966DEC"/>
    <w:rsid w:val="00966E62"/>
    <w:rsid w:val="00967CB0"/>
    <w:rsid w:val="0097000B"/>
    <w:rsid w:val="009722FF"/>
    <w:rsid w:val="00974C56"/>
    <w:rsid w:val="009754FD"/>
    <w:rsid w:val="00976292"/>
    <w:rsid w:val="0097673B"/>
    <w:rsid w:val="00976BC1"/>
    <w:rsid w:val="009807DC"/>
    <w:rsid w:val="00980846"/>
    <w:rsid w:val="009809EA"/>
    <w:rsid w:val="00980B70"/>
    <w:rsid w:val="00981BE9"/>
    <w:rsid w:val="0098217D"/>
    <w:rsid w:val="009823A4"/>
    <w:rsid w:val="009839E8"/>
    <w:rsid w:val="00983CF5"/>
    <w:rsid w:val="00985376"/>
    <w:rsid w:val="00986F51"/>
    <w:rsid w:val="00987C7D"/>
    <w:rsid w:val="00990380"/>
    <w:rsid w:val="009907DE"/>
    <w:rsid w:val="0099094F"/>
    <w:rsid w:val="0099102F"/>
    <w:rsid w:val="009921DB"/>
    <w:rsid w:val="0099265D"/>
    <w:rsid w:val="009940EF"/>
    <w:rsid w:val="00994A8D"/>
    <w:rsid w:val="00994BB7"/>
    <w:rsid w:val="00994D06"/>
    <w:rsid w:val="00994D75"/>
    <w:rsid w:val="00994DD8"/>
    <w:rsid w:val="00994F28"/>
    <w:rsid w:val="009974B2"/>
    <w:rsid w:val="00997CF0"/>
    <w:rsid w:val="009A07E6"/>
    <w:rsid w:val="009A0BBC"/>
    <w:rsid w:val="009A0FE6"/>
    <w:rsid w:val="009A3650"/>
    <w:rsid w:val="009A47E8"/>
    <w:rsid w:val="009A4972"/>
    <w:rsid w:val="009A4B70"/>
    <w:rsid w:val="009A5520"/>
    <w:rsid w:val="009A5AFD"/>
    <w:rsid w:val="009A6EFD"/>
    <w:rsid w:val="009A6F91"/>
    <w:rsid w:val="009A7972"/>
    <w:rsid w:val="009A7E1C"/>
    <w:rsid w:val="009B1319"/>
    <w:rsid w:val="009B19CE"/>
    <w:rsid w:val="009B1D10"/>
    <w:rsid w:val="009B203F"/>
    <w:rsid w:val="009B235C"/>
    <w:rsid w:val="009B3442"/>
    <w:rsid w:val="009B39DC"/>
    <w:rsid w:val="009B465C"/>
    <w:rsid w:val="009B4CF9"/>
    <w:rsid w:val="009B5495"/>
    <w:rsid w:val="009B5828"/>
    <w:rsid w:val="009B5937"/>
    <w:rsid w:val="009B61E7"/>
    <w:rsid w:val="009B6433"/>
    <w:rsid w:val="009B6ECB"/>
    <w:rsid w:val="009B727A"/>
    <w:rsid w:val="009B7F1C"/>
    <w:rsid w:val="009C0087"/>
    <w:rsid w:val="009C0309"/>
    <w:rsid w:val="009C262D"/>
    <w:rsid w:val="009C2CD1"/>
    <w:rsid w:val="009C2F20"/>
    <w:rsid w:val="009C3334"/>
    <w:rsid w:val="009C53E7"/>
    <w:rsid w:val="009C5EAB"/>
    <w:rsid w:val="009C6DB8"/>
    <w:rsid w:val="009C6E72"/>
    <w:rsid w:val="009C7A3D"/>
    <w:rsid w:val="009C7AE3"/>
    <w:rsid w:val="009C7BB9"/>
    <w:rsid w:val="009D02D8"/>
    <w:rsid w:val="009D06B8"/>
    <w:rsid w:val="009D088D"/>
    <w:rsid w:val="009D17D3"/>
    <w:rsid w:val="009D26E9"/>
    <w:rsid w:val="009D2F41"/>
    <w:rsid w:val="009D304D"/>
    <w:rsid w:val="009D37D1"/>
    <w:rsid w:val="009D3C3F"/>
    <w:rsid w:val="009D4D67"/>
    <w:rsid w:val="009D5CE0"/>
    <w:rsid w:val="009D635B"/>
    <w:rsid w:val="009D66DC"/>
    <w:rsid w:val="009D67BB"/>
    <w:rsid w:val="009D7965"/>
    <w:rsid w:val="009D7BAF"/>
    <w:rsid w:val="009D7F6F"/>
    <w:rsid w:val="009E0393"/>
    <w:rsid w:val="009E0533"/>
    <w:rsid w:val="009E07D3"/>
    <w:rsid w:val="009E0846"/>
    <w:rsid w:val="009E1B9C"/>
    <w:rsid w:val="009E1CAD"/>
    <w:rsid w:val="009E2486"/>
    <w:rsid w:val="009E34AE"/>
    <w:rsid w:val="009E368B"/>
    <w:rsid w:val="009E3826"/>
    <w:rsid w:val="009E4F62"/>
    <w:rsid w:val="009E5D67"/>
    <w:rsid w:val="009E79F6"/>
    <w:rsid w:val="009E7F47"/>
    <w:rsid w:val="009F0587"/>
    <w:rsid w:val="009F06F2"/>
    <w:rsid w:val="009F0EB6"/>
    <w:rsid w:val="009F3F7A"/>
    <w:rsid w:val="009F6283"/>
    <w:rsid w:val="009F635E"/>
    <w:rsid w:val="009F67C5"/>
    <w:rsid w:val="009F6CDF"/>
    <w:rsid w:val="009F7259"/>
    <w:rsid w:val="009F74D6"/>
    <w:rsid w:val="009F7892"/>
    <w:rsid w:val="00A00B17"/>
    <w:rsid w:val="00A02835"/>
    <w:rsid w:val="00A02C5D"/>
    <w:rsid w:val="00A02D92"/>
    <w:rsid w:val="00A03A97"/>
    <w:rsid w:val="00A04132"/>
    <w:rsid w:val="00A044DA"/>
    <w:rsid w:val="00A04CA9"/>
    <w:rsid w:val="00A05594"/>
    <w:rsid w:val="00A05AFF"/>
    <w:rsid w:val="00A064F6"/>
    <w:rsid w:val="00A06942"/>
    <w:rsid w:val="00A06F2D"/>
    <w:rsid w:val="00A1190A"/>
    <w:rsid w:val="00A11961"/>
    <w:rsid w:val="00A11EFE"/>
    <w:rsid w:val="00A12597"/>
    <w:rsid w:val="00A12974"/>
    <w:rsid w:val="00A12F82"/>
    <w:rsid w:val="00A13112"/>
    <w:rsid w:val="00A140D3"/>
    <w:rsid w:val="00A1446B"/>
    <w:rsid w:val="00A14C42"/>
    <w:rsid w:val="00A15169"/>
    <w:rsid w:val="00A167F2"/>
    <w:rsid w:val="00A168E8"/>
    <w:rsid w:val="00A172FC"/>
    <w:rsid w:val="00A17CDC"/>
    <w:rsid w:val="00A17EFE"/>
    <w:rsid w:val="00A20714"/>
    <w:rsid w:val="00A20A97"/>
    <w:rsid w:val="00A20AC6"/>
    <w:rsid w:val="00A20C78"/>
    <w:rsid w:val="00A20D63"/>
    <w:rsid w:val="00A2147F"/>
    <w:rsid w:val="00A21BBC"/>
    <w:rsid w:val="00A226C4"/>
    <w:rsid w:val="00A22B6D"/>
    <w:rsid w:val="00A2312E"/>
    <w:rsid w:val="00A2391F"/>
    <w:rsid w:val="00A23A51"/>
    <w:rsid w:val="00A24323"/>
    <w:rsid w:val="00A2488C"/>
    <w:rsid w:val="00A248B5"/>
    <w:rsid w:val="00A250F7"/>
    <w:rsid w:val="00A2512C"/>
    <w:rsid w:val="00A2515B"/>
    <w:rsid w:val="00A2588E"/>
    <w:rsid w:val="00A2592F"/>
    <w:rsid w:val="00A25AF6"/>
    <w:rsid w:val="00A26EDF"/>
    <w:rsid w:val="00A27498"/>
    <w:rsid w:val="00A30430"/>
    <w:rsid w:val="00A33782"/>
    <w:rsid w:val="00A34789"/>
    <w:rsid w:val="00A358B8"/>
    <w:rsid w:val="00A35B00"/>
    <w:rsid w:val="00A3630E"/>
    <w:rsid w:val="00A366A6"/>
    <w:rsid w:val="00A3677E"/>
    <w:rsid w:val="00A37438"/>
    <w:rsid w:val="00A37521"/>
    <w:rsid w:val="00A37BB8"/>
    <w:rsid w:val="00A37D74"/>
    <w:rsid w:val="00A41484"/>
    <w:rsid w:val="00A41AAF"/>
    <w:rsid w:val="00A41FF8"/>
    <w:rsid w:val="00A4249E"/>
    <w:rsid w:val="00A42640"/>
    <w:rsid w:val="00A42697"/>
    <w:rsid w:val="00A42D87"/>
    <w:rsid w:val="00A44BD3"/>
    <w:rsid w:val="00A4521D"/>
    <w:rsid w:val="00A4596C"/>
    <w:rsid w:val="00A45F51"/>
    <w:rsid w:val="00A4621D"/>
    <w:rsid w:val="00A4697D"/>
    <w:rsid w:val="00A46A2C"/>
    <w:rsid w:val="00A46D6F"/>
    <w:rsid w:val="00A47253"/>
    <w:rsid w:val="00A5040B"/>
    <w:rsid w:val="00A50C61"/>
    <w:rsid w:val="00A51F0A"/>
    <w:rsid w:val="00A51F40"/>
    <w:rsid w:val="00A52841"/>
    <w:rsid w:val="00A52A46"/>
    <w:rsid w:val="00A53D2E"/>
    <w:rsid w:val="00A549CD"/>
    <w:rsid w:val="00A54C9D"/>
    <w:rsid w:val="00A54EF2"/>
    <w:rsid w:val="00A552BC"/>
    <w:rsid w:val="00A55D48"/>
    <w:rsid w:val="00A55F2D"/>
    <w:rsid w:val="00A55F8A"/>
    <w:rsid w:val="00A573BE"/>
    <w:rsid w:val="00A57440"/>
    <w:rsid w:val="00A57A3D"/>
    <w:rsid w:val="00A57B6D"/>
    <w:rsid w:val="00A57BEB"/>
    <w:rsid w:val="00A610A2"/>
    <w:rsid w:val="00A615BE"/>
    <w:rsid w:val="00A61673"/>
    <w:rsid w:val="00A61AD8"/>
    <w:rsid w:val="00A62010"/>
    <w:rsid w:val="00A62101"/>
    <w:rsid w:val="00A62C30"/>
    <w:rsid w:val="00A62CA8"/>
    <w:rsid w:val="00A64926"/>
    <w:rsid w:val="00A64D46"/>
    <w:rsid w:val="00A659F6"/>
    <w:rsid w:val="00A665CF"/>
    <w:rsid w:val="00A667D0"/>
    <w:rsid w:val="00A66ADA"/>
    <w:rsid w:val="00A67CA7"/>
    <w:rsid w:val="00A72061"/>
    <w:rsid w:val="00A72084"/>
    <w:rsid w:val="00A723F8"/>
    <w:rsid w:val="00A73989"/>
    <w:rsid w:val="00A7434C"/>
    <w:rsid w:val="00A753B9"/>
    <w:rsid w:val="00A755E3"/>
    <w:rsid w:val="00A755E7"/>
    <w:rsid w:val="00A75818"/>
    <w:rsid w:val="00A77456"/>
    <w:rsid w:val="00A7752F"/>
    <w:rsid w:val="00A77618"/>
    <w:rsid w:val="00A77684"/>
    <w:rsid w:val="00A779A6"/>
    <w:rsid w:val="00A80C9E"/>
    <w:rsid w:val="00A80E4F"/>
    <w:rsid w:val="00A820DF"/>
    <w:rsid w:val="00A82AE9"/>
    <w:rsid w:val="00A82B4C"/>
    <w:rsid w:val="00A83F92"/>
    <w:rsid w:val="00A8593D"/>
    <w:rsid w:val="00A85C35"/>
    <w:rsid w:val="00A85DFA"/>
    <w:rsid w:val="00A86ADC"/>
    <w:rsid w:val="00A86DE1"/>
    <w:rsid w:val="00A873E9"/>
    <w:rsid w:val="00A87793"/>
    <w:rsid w:val="00A87D6F"/>
    <w:rsid w:val="00A91346"/>
    <w:rsid w:val="00A92061"/>
    <w:rsid w:val="00A924DE"/>
    <w:rsid w:val="00A926ED"/>
    <w:rsid w:val="00A92D7D"/>
    <w:rsid w:val="00A9308D"/>
    <w:rsid w:val="00A9326E"/>
    <w:rsid w:val="00A941FA"/>
    <w:rsid w:val="00A94249"/>
    <w:rsid w:val="00A94299"/>
    <w:rsid w:val="00A94BC9"/>
    <w:rsid w:val="00A959BC"/>
    <w:rsid w:val="00A95BD7"/>
    <w:rsid w:val="00A95F67"/>
    <w:rsid w:val="00A969DC"/>
    <w:rsid w:val="00A96DB9"/>
    <w:rsid w:val="00A972F5"/>
    <w:rsid w:val="00AA0873"/>
    <w:rsid w:val="00AA0AF2"/>
    <w:rsid w:val="00AA14BF"/>
    <w:rsid w:val="00AA1797"/>
    <w:rsid w:val="00AA1A46"/>
    <w:rsid w:val="00AA2562"/>
    <w:rsid w:val="00AA2861"/>
    <w:rsid w:val="00AA2CCD"/>
    <w:rsid w:val="00AA2CEF"/>
    <w:rsid w:val="00AA3C60"/>
    <w:rsid w:val="00AA52A3"/>
    <w:rsid w:val="00AA5C25"/>
    <w:rsid w:val="00AA5D6D"/>
    <w:rsid w:val="00AA6395"/>
    <w:rsid w:val="00AA6432"/>
    <w:rsid w:val="00AA7852"/>
    <w:rsid w:val="00AB2D48"/>
    <w:rsid w:val="00AB2E26"/>
    <w:rsid w:val="00AB2FF4"/>
    <w:rsid w:val="00AB3E84"/>
    <w:rsid w:val="00AB44EF"/>
    <w:rsid w:val="00AB479E"/>
    <w:rsid w:val="00AB48E3"/>
    <w:rsid w:val="00AB5022"/>
    <w:rsid w:val="00AB528A"/>
    <w:rsid w:val="00AB5399"/>
    <w:rsid w:val="00AB53E5"/>
    <w:rsid w:val="00AB5814"/>
    <w:rsid w:val="00AB58CD"/>
    <w:rsid w:val="00AB5F9C"/>
    <w:rsid w:val="00AB6A78"/>
    <w:rsid w:val="00AB759C"/>
    <w:rsid w:val="00AC08E1"/>
    <w:rsid w:val="00AC0F1F"/>
    <w:rsid w:val="00AC1AD6"/>
    <w:rsid w:val="00AC2FEA"/>
    <w:rsid w:val="00AC3F65"/>
    <w:rsid w:val="00AC496A"/>
    <w:rsid w:val="00AC4F12"/>
    <w:rsid w:val="00AC6C07"/>
    <w:rsid w:val="00AC6D6C"/>
    <w:rsid w:val="00AC6E5A"/>
    <w:rsid w:val="00AC7ADF"/>
    <w:rsid w:val="00AD00D1"/>
    <w:rsid w:val="00AD1C5A"/>
    <w:rsid w:val="00AD20F0"/>
    <w:rsid w:val="00AD2BC2"/>
    <w:rsid w:val="00AD4BE1"/>
    <w:rsid w:val="00AD5C5B"/>
    <w:rsid w:val="00AD5C66"/>
    <w:rsid w:val="00AD64DF"/>
    <w:rsid w:val="00AD67FB"/>
    <w:rsid w:val="00AD6EC6"/>
    <w:rsid w:val="00AE0351"/>
    <w:rsid w:val="00AE0B6C"/>
    <w:rsid w:val="00AE1025"/>
    <w:rsid w:val="00AE243C"/>
    <w:rsid w:val="00AE38C7"/>
    <w:rsid w:val="00AE3F03"/>
    <w:rsid w:val="00AE51F8"/>
    <w:rsid w:val="00AE64F0"/>
    <w:rsid w:val="00AE7213"/>
    <w:rsid w:val="00AF0F43"/>
    <w:rsid w:val="00AF1609"/>
    <w:rsid w:val="00AF162F"/>
    <w:rsid w:val="00AF23C8"/>
    <w:rsid w:val="00AF255A"/>
    <w:rsid w:val="00AF27AF"/>
    <w:rsid w:val="00AF2AE2"/>
    <w:rsid w:val="00AF523F"/>
    <w:rsid w:val="00AF5E9E"/>
    <w:rsid w:val="00AF61D5"/>
    <w:rsid w:val="00AF63E6"/>
    <w:rsid w:val="00AF6601"/>
    <w:rsid w:val="00AF6A6D"/>
    <w:rsid w:val="00AF7AD3"/>
    <w:rsid w:val="00B015D9"/>
    <w:rsid w:val="00B02B26"/>
    <w:rsid w:val="00B02CEE"/>
    <w:rsid w:val="00B0377E"/>
    <w:rsid w:val="00B056A7"/>
    <w:rsid w:val="00B05A78"/>
    <w:rsid w:val="00B06317"/>
    <w:rsid w:val="00B06EFB"/>
    <w:rsid w:val="00B07034"/>
    <w:rsid w:val="00B071DF"/>
    <w:rsid w:val="00B072FD"/>
    <w:rsid w:val="00B07BA9"/>
    <w:rsid w:val="00B10055"/>
    <w:rsid w:val="00B109AB"/>
    <w:rsid w:val="00B10FBC"/>
    <w:rsid w:val="00B1141E"/>
    <w:rsid w:val="00B11DFB"/>
    <w:rsid w:val="00B12358"/>
    <w:rsid w:val="00B12617"/>
    <w:rsid w:val="00B1278B"/>
    <w:rsid w:val="00B12A11"/>
    <w:rsid w:val="00B12B98"/>
    <w:rsid w:val="00B12DD3"/>
    <w:rsid w:val="00B13279"/>
    <w:rsid w:val="00B1456A"/>
    <w:rsid w:val="00B15100"/>
    <w:rsid w:val="00B15D26"/>
    <w:rsid w:val="00B15DAC"/>
    <w:rsid w:val="00B163A9"/>
    <w:rsid w:val="00B1644A"/>
    <w:rsid w:val="00B169BD"/>
    <w:rsid w:val="00B16AD7"/>
    <w:rsid w:val="00B16F0A"/>
    <w:rsid w:val="00B17295"/>
    <w:rsid w:val="00B1764B"/>
    <w:rsid w:val="00B20B88"/>
    <w:rsid w:val="00B20DA7"/>
    <w:rsid w:val="00B20E77"/>
    <w:rsid w:val="00B215F5"/>
    <w:rsid w:val="00B22410"/>
    <w:rsid w:val="00B22FE1"/>
    <w:rsid w:val="00B23B82"/>
    <w:rsid w:val="00B24185"/>
    <w:rsid w:val="00B2456A"/>
    <w:rsid w:val="00B25D59"/>
    <w:rsid w:val="00B25F1C"/>
    <w:rsid w:val="00B26B62"/>
    <w:rsid w:val="00B275F1"/>
    <w:rsid w:val="00B275F4"/>
    <w:rsid w:val="00B27A54"/>
    <w:rsid w:val="00B30783"/>
    <w:rsid w:val="00B328B8"/>
    <w:rsid w:val="00B32B8C"/>
    <w:rsid w:val="00B33608"/>
    <w:rsid w:val="00B3488B"/>
    <w:rsid w:val="00B361E9"/>
    <w:rsid w:val="00B36A4A"/>
    <w:rsid w:val="00B36AF9"/>
    <w:rsid w:val="00B37A01"/>
    <w:rsid w:val="00B4023C"/>
    <w:rsid w:val="00B40545"/>
    <w:rsid w:val="00B407C1"/>
    <w:rsid w:val="00B41C2A"/>
    <w:rsid w:val="00B41F0F"/>
    <w:rsid w:val="00B42560"/>
    <w:rsid w:val="00B42835"/>
    <w:rsid w:val="00B44C5F"/>
    <w:rsid w:val="00B455AA"/>
    <w:rsid w:val="00B45778"/>
    <w:rsid w:val="00B457A1"/>
    <w:rsid w:val="00B45C7B"/>
    <w:rsid w:val="00B4630F"/>
    <w:rsid w:val="00B464B1"/>
    <w:rsid w:val="00B47163"/>
    <w:rsid w:val="00B47A4A"/>
    <w:rsid w:val="00B47B99"/>
    <w:rsid w:val="00B50296"/>
    <w:rsid w:val="00B506F2"/>
    <w:rsid w:val="00B50E58"/>
    <w:rsid w:val="00B510E3"/>
    <w:rsid w:val="00B521AC"/>
    <w:rsid w:val="00B52702"/>
    <w:rsid w:val="00B52B0D"/>
    <w:rsid w:val="00B538E6"/>
    <w:rsid w:val="00B5498D"/>
    <w:rsid w:val="00B5501D"/>
    <w:rsid w:val="00B55137"/>
    <w:rsid w:val="00B55276"/>
    <w:rsid w:val="00B55D6F"/>
    <w:rsid w:val="00B579C0"/>
    <w:rsid w:val="00B6083C"/>
    <w:rsid w:val="00B6151E"/>
    <w:rsid w:val="00B62F52"/>
    <w:rsid w:val="00B6358B"/>
    <w:rsid w:val="00B63A54"/>
    <w:rsid w:val="00B63BB5"/>
    <w:rsid w:val="00B63D87"/>
    <w:rsid w:val="00B64309"/>
    <w:rsid w:val="00B64962"/>
    <w:rsid w:val="00B65A82"/>
    <w:rsid w:val="00B6654C"/>
    <w:rsid w:val="00B66FC5"/>
    <w:rsid w:val="00B67481"/>
    <w:rsid w:val="00B676EC"/>
    <w:rsid w:val="00B67DEB"/>
    <w:rsid w:val="00B67F7C"/>
    <w:rsid w:val="00B7016C"/>
    <w:rsid w:val="00B7039B"/>
    <w:rsid w:val="00B709A1"/>
    <w:rsid w:val="00B71E31"/>
    <w:rsid w:val="00B72167"/>
    <w:rsid w:val="00B728E2"/>
    <w:rsid w:val="00B73097"/>
    <w:rsid w:val="00B73F4F"/>
    <w:rsid w:val="00B74146"/>
    <w:rsid w:val="00B7446A"/>
    <w:rsid w:val="00B746DC"/>
    <w:rsid w:val="00B74A56"/>
    <w:rsid w:val="00B74D1E"/>
    <w:rsid w:val="00B75BB2"/>
    <w:rsid w:val="00B768CA"/>
    <w:rsid w:val="00B76A18"/>
    <w:rsid w:val="00B77149"/>
    <w:rsid w:val="00B77DAA"/>
    <w:rsid w:val="00B80568"/>
    <w:rsid w:val="00B80689"/>
    <w:rsid w:val="00B80B17"/>
    <w:rsid w:val="00B812D2"/>
    <w:rsid w:val="00B81538"/>
    <w:rsid w:val="00B818C1"/>
    <w:rsid w:val="00B82055"/>
    <w:rsid w:val="00B832F5"/>
    <w:rsid w:val="00B83353"/>
    <w:rsid w:val="00B84B18"/>
    <w:rsid w:val="00B84C6C"/>
    <w:rsid w:val="00B85BC1"/>
    <w:rsid w:val="00B86374"/>
    <w:rsid w:val="00B87EF0"/>
    <w:rsid w:val="00B909B8"/>
    <w:rsid w:val="00B92264"/>
    <w:rsid w:val="00B92687"/>
    <w:rsid w:val="00B92A45"/>
    <w:rsid w:val="00B92C23"/>
    <w:rsid w:val="00B92FD3"/>
    <w:rsid w:val="00B93693"/>
    <w:rsid w:val="00B937DD"/>
    <w:rsid w:val="00B93D0A"/>
    <w:rsid w:val="00B93E17"/>
    <w:rsid w:val="00B94184"/>
    <w:rsid w:val="00B94248"/>
    <w:rsid w:val="00B942A1"/>
    <w:rsid w:val="00B94379"/>
    <w:rsid w:val="00B94B4F"/>
    <w:rsid w:val="00B94D16"/>
    <w:rsid w:val="00B94DB2"/>
    <w:rsid w:val="00B94F43"/>
    <w:rsid w:val="00B9533B"/>
    <w:rsid w:val="00B962EC"/>
    <w:rsid w:val="00B9707A"/>
    <w:rsid w:val="00B9709A"/>
    <w:rsid w:val="00B976F6"/>
    <w:rsid w:val="00B977CE"/>
    <w:rsid w:val="00B97BB4"/>
    <w:rsid w:val="00B97F7D"/>
    <w:rsid w:val="00BA0731"/>
    <w:rsid w:val="00BA1F20"/>
    <w:rsid w:val="00BA2D9D"/>
    <w:rsid w:val="00BA4555"/>
    <w:rsid w:val="00BA45B3"/>
    <w:rsid w:val="00BA48A7"/>
    <w:rsid w:val="00BA4A80"/>
    <w:rsid w:val="00BA56F8"/>
    <w:rsid w:val="00BA59DE"/>
    <w:rsid w:val="00BA5F41"/>
    <w:rsid w:val="00BA610F"/>
    <w:rsid w:val="00BA6EEE"/>
    <w:rsid w:val="00BA7385"/>
    <w:rsid w:val="00BB187C"/>
    <w:rsid w:val="00BB21EA"/>
    <w:rsid w:val="00BB296B"/>
    <w:rsid w:val="00BB2A9C"/>
    <w:rsid w:val="00BB35AB"/>
    <w:rsid w:val="00BB3622"/>
    <w:rsid w:val="00BB37F5"/>
    <w:rsid w:val="00BB3CEC"/>
    <w:rsid w:val="00BB682C"/>
    <w:rsid w:val="00BB6AF0"/>
    <w:rsid w:val="00BB7CA9"/>
    <w:rsid w:val="00BC15AB"/>
    <w:rsid w:val="00BC1B92"/>
    <w:rsid w:val="00BC236B"/>
    <w:rsid w:val="00BC2BB4"/>
    <w:rsid w:val="00BC42FC"/>
    <w:rsid w:val="00BC437C"/>
    <w:rsid w:val="00BC47CC"/>
    <w:rsid w:val="00BC49C6"/>
    <w:rsid w:val="00BC5419"/>
    <w:rsid w:val="00BC56B7"/>
    <w:rsid w:val="00BC57A0"/>
    <w:rsid w:val="00BC5F94"/>
    <w:rsid w:val="00BC636E"/>
    <w:rsid w:val="00BC65D9"/>
    <w:rsid w:val="00BC75FC"/>
    <w:rsid w:val="00BC770E"/>
    <w:rsid w:val="00BC795A"/>
    <w:rsid w:val="00BC7C52"/>
    <w:rsid w:val="00BD038E"/>
    <w:rsid w:val="00BD0B8B"/>
    <w:rsid w:val="00BD0CF6"/>
    <w:rsid w:val="00BD1471"/>
    <w:rsid w:val="00BD14C5"/>
    <w:rsid w:val="00BD196A"/>
    <w:rsid w:val="00BD1EFB"/>
    <w:rsid w:val="00BD2081"/>
    <w:rsid w:val="00BD2311"/>
    <w:rsid w:val="00BD2BC2"/>
    <w:rsid w:val="00BD30B1"/>
    <w:rsid w:val="00BD41F5"/>
    <w:rsid w:val="00BD4528"/>
    <w:rsid w:val="00BD46C0"/>
    <w:rsid w:val="00BD50F2"/>
    <w:rsid w:val="00BD5304"/>
    <w:rsid w:val="00BD5B44"/>
    <w:rsid w:val="00BD5FA9"/>
    <w:rsid w:val="00BD6262"/>
    <w:rsid w:val="00BD66D6"/>
    <w:rsid w:val="00BD66F3"/>
    <w:rsid w:val="00BD6C1C"/>
    <w:rsid w:val="00BD6C3C"/>
    <w:rsid w:val="00BD7024"/>
    <w:rsid w:val="00BD78D9"/>
    <w:rsid w:val="00BD7EED"/>
    <w:rsid w:val="00BE0D5C"/>
    <w:rsid w:val="00BE0ED6"/>
    <w:rsid w:val="00BE1580"/>
    <w:rsid w:val="00BE1644"/>
    <w:rsid w:val="00BE24B3"/>
    <w:rsid w:val="00BE3F54"/>
    <w:rsid w:val="00BE402E"/>
    <w:rsid w:val="00BE474F"/>
    <w:rsid w:val="00BE4C48"/>
    <w:rsid w:val="00BE5DAD"/>
    <w:rsid w:val="00BE61C1"/>
    <w:rsid w:val="00BE64AF"/>
    <w:rsid w:val="00BE6717"/>
    <w:rsid w:val="00BE7598"/>
    <w:rsid w:val="00BF0381"/>
    <w:rsid w:val="00BF05B8"/>
    <w:rsid w:val="00BF2070"/>
    <w:rsid w:val="00BF2120"/>
    <w:rsid w:val="00BF21C9"/>
    <w:rsid w:val="00BF235D"/>
    <w:rsid w:val="00BF2BD7"/>
    <w:rsid w:val="00BF38A2"/>
    <w:rsid w:val="00BF3C54"/>
    <w:rsid w:val="00BF444D"/>
    <w:rsid w:val="00BF446E"/>
    <w:rsid w:val="00BF4B21"/>
    <w:rsid w:val="00BF4DF8"/>
    <w:rsid w:val="00BF4F50"/>
    <w:rsid w:val="00BF6585"/>
    <w:rsid w:val="00BF65AC"/>
    <w:rsid w:val="00BF6D02"/>
    <w:rsid w:val="00BF6E7B"/>
    <w:rsid w:val="00BF7A59"/>
    <w:rsid w:val="00C0039D"/>
    <w:rsid w:val="00C01021"/>
    <w:rsid w:val="00C0141F"/>
    <w:rsid w:val="00C029A1"/>
    <w:rsid w:val="00C03316"/>
    <w:rsid w:val="00C048AF"/>
    <w:rsid w:val="00C04913"/>
    <w:rsid w:val="00C04D88"/>
    <w:rsid w:val="00C0644D"/>
    <w:rsid w:val="00C06BA1"/>
    <w:rsid w:val="00C077E0"/>
    <w:rsid w:val="00C077FF"/>
    <w:rsid w:val="00C07DE6"/>
    <w:rsid w:val="00C07EB9"/>
    <w:rsid w:val="00C103CB"/>
    <w:rsid w:val="00C110AF"/>
    <w:rsid w:val="00C11D0A"/>
    <w:rsid w:val="00C12801"/>
    <w:rsid w:val="00C13BF1"/>
    <w:rsid w:val="00C13F96"/>
    <w:rsid w:val="00C148E0"/>
    <w:rsid w:val="00C14FF5"/>
    <w:rsid w:val="00C150A5"/>
    <w:rsid w:val="00C154B5"/>
    <w:rsid w:val="00C15CDC"/>
    <w:rsid w:val="00C16705"/>
    <w:rsid w:val="00C169D7"/>
    <w:rsid w:val="00C171EE"/>
    <w:rsid w:val="00C17872"/>
    <w:rsid w:val="00C179BE"/>
    <w:rsid w:val="00C205E9"/>
    <w:rsid w:val="00C212FC"/>
    <w:rsid w:val="00C225F6"/>
    <w:rsid w:val="00C23739"/>
    <w:rsid w:val="00C23F48"/>
    <w:rsid w:val="00C245E8"/>
    <w:rsid w:val="00C25BB1"/>
    <w:rsid w:val="00C25F39"/>
    <w:rsid w:val="00C262BD"/>
    <w:rsid w:val="00C27E77"/>
    <w:rsid w:val="00C30E04"/>
    <w:rsid w:val="00C310C2"/>
    <w:rsid w:val="00C3165E"/>
    <w:rsid w:val="00C326B2"/>
    <w:rsid w:val="00C32F3E"/>
    <w:rsid w:val="00C338A6"/>
    <w:rsid w:val="00C3410A"/>
    <w:rsid w:val="00C34D78"/>
    <w:rsid w:val="00C35593"/>
    <w:rsid w:val="00C35704"/>
    <w:rsid w:val="00C3634D"/>
    <w:rsid w:val="00C36525"/>
    <w:rsid w:val="00C379F1"/>
    <w:rsid w:val="00C37D35"/>
    <w:rsid w:val="00C403DD"/>
    <w:rsid w:val="00C40EB3"/>
    <w:rsid w:val="00C41887"/>
    <w:rsid w:val="00C41A1F"/>
    <w:rsid w:val="00C41B0D"/>
    <w:rsid w:val="00C41BD9"/>
    <w:rsid w:val="00C4307B"/>
    <w:rsid w:val="00C434FD"/>
    <w:rsid w:val="00C4350E"/>
    <w:rsid w:val="00C447E2"/>
    <w:rsid w:val="00C44961"/>
    <w:rsid w:val="00C4630E"/>
    <w:rsid w:val="00C466A2"/>
    <w:rsid w:val="00C46DC0"/>
    <w:rsid w:val="00C46F66"/>
    <w:rsid w:val="00C47AC7"/>
    <w:rsid w:val="00C502BB"/>
    <w:rsid w:val="00C514F2"/>
    <w:rsid w:val="00C5192E"/>
    <w:rsid w:val="00C51DAA"/>
    <w:rsid w:val="00C52043"/>
    <w:rsid w:val="00C5276E"/>
    <w:rsid w:val="00C52805"/>
    <w:rsid w:val="00C52DE6"/>
    <w:rsid w:val="00C5362D"/>
    <w:rsid w:val="00C540E7"/>
    <w:rsid w:val="00C562DB"/>
    <w:rsid w:val="00C56EA4"/>
    <w:rsid w:val="00C5714F"/>
    <w:rsid w:val="00C57198"/>
    <w:rsid w:val="00C5748B"/>
    <w:rsid w:val="00C5782E"/>
    <w:rsid w:val="00C5785C"/>
    <w:rsid w:val="00C60161"/>
    <w:rsid w:val="00C6016B"/>
    <w:rsid w:val="00C601CD"/>
    <w:rsid w:val="00C624FD"/>
    <w:rsid w:val="00C634A7"/>
    <w:rsid w:val="00C638D7"/>
    <w:rsid w:val="00C638DF"/>
    <w:rsid w:val="00C64027"/>
    <w:rsid w:val="00C64720"/>
    <w:rsid w:val="00C64D48"/>
    <w:rsid w:val="00C65159"/>
    <w:rsid w:val="00C6517F"/>
    <w:rsid w:val="00C65D7F"/>
    <w:rsid w:val="00C6663A"/>
    <w:rsid w:val="00C6735C"/>
    <w:rsid w:val="00C67BA6"/>
    <w:rsid w:val="00C7020F"/>
    <w:rsid w:val="00C7078A"/>
    <w:rsid w:val="00C70DA3"/>
    <w:rsid w:val="00C71128"/>
    <w:rsid w:val="00C71438"/>
    <w:rsid w:val="00C71920"/>
    <w:rsid w:val="00C71A89"/>
    <w:rsid w:val="00C71E4C"/>
    <w:rsid w:val="00C72292"/>
    <w:rsid w:val="00C729FA"/>
    <w:rsid w:val="00C72A63"/>
    <w:rsid w:val="00C735C3"/>
    <w:rsid w:val="00C7368D"/>
    <w:rsid w:val="00C73ECB"/>
    <w:rsid w:val="00C77A70"/>
    <w:rsid w:val="00C77D4B"/>
    <w:rsid w:val="00C8019D"/>
    <w:rsid w:val="00C80343"/>
    <w:rsid w:val="00C80AE4"/>
    <w:rsid w:val="00C8139B"/>
    <w:rsid w:val="00C819C3"/>
    <w:rsid w:val="00C82952"/>
    <w:rsid w:val="00C82D44"/>
    <w:rsid w:val="00C83409"/>
    <w:rsid w:val="00C8529D"/>
    <w:rsid w:val="00C857F1"/>
    <w:rsid w:val="00C87125"/>
    <w:rsid w:val="00C871C4"/>
    <w:rsid w:val="00C87608"/>
    <w:rsid w:val="00C876A1"/>
    <w:rsid w:val="00C9029D"/>
    <w:rsid w:val="00C9030A"/>
    <w:rsid w:val="00C9074D"/>
    <w:rsid w:val="00C916EF"/>
    <w:rsid w:val="00C91D72"/>
    <w:rsid w:val="00C9245C"/>
    <w:rsid w:val="00C92C1F"/>
    <w:rsid w:val="00C939D6"/>
    <w:rsid w:val="00C94142"/>
    <w:rsid w:val="00C960A5"/>
    <w:rsid w:val="00C9635F"/>
    <w:rsid w:val="00C97301"/>
    <w:rsid w:val="00C97728"/>
    <w:rsid w:val="00CA07B9"/>
    <w:rsid w:val="00CA0C17"/>
    <w:rsid w:val="00CA1112"/>
    <w:rsid w:val="00CA1130"/>
    <w:rsid w:val="00CA1425"/>
    <w:rsid w:val="00CA249A"/>
    <w:rsid w:val="00CA2B05"/>
    <w:rsid w:val="00CA2BA6"/>
    <w:rsid w:val="00CA415F"/>
    <w:rsid w:val="00CA529D"/>
    <w:rsid w:val="00CA5EA7"/>
    <w:rsid w:val="00CA715B"/>
    <w:rsid w:val="00CA75CE"/>
    <w:rsid w:val="00CB026C"/>
    <w:rsid w:val="00CB0AF4"/>
    <w:rsid w:val="00CB0D2E"/>
    <w:rsid w:val="00CB10ED"/>
    <w:rsid w:val="00CB1B32"/>
    <w:rsid w:val="00CB25FE"/>
    <w:rsid w:val="00CB2C14"/>
    <w:rsid w:val="00CB32AC"/>
    <w:rsid w:val="00CB3444"/>
    <w:rsid w:val="00CB44DB"/>
    <w:rsid w:val="00CB5095"/>
    <w:rsid w:val="00CB5A49"/>
    <w:rsid w:val="00CB5C15"/>
    <w:rsid w:val="00CB5EF8"/>
    <w:rsid w:val="00CB6235"/>
    <w:rsid w:val="00CB664E"/>
    <w:rsid w:val="00CB678B"/>
    <w:rsid w:val="00CB6AAE"/>
    <w:rsid w:val="00CB791C"/>
    <w:rsid w:val="00CB7D3E"/>
    <w:rsid w:val="00CB7FEA"/>
    <w:rsid w:val="00CC00FC"/>
    <w:rsid w:val="00CC0BD3"/>
    <w:rsid w:val="00CC1228"/>
    <w:rsid w:val="00CC1A21"/>
    <w:rsid w:val="00CC1E27"/>
    <w:rsid w:val="00CC23A0"/>
    <w:rsid w:val="00CC3500"/>
    <w:rsid w:val="00CC3AA3"/>
    <w:rsid w:val="00CC3CE1"/>
    <w:rsid w:val="00CC40BC"/>
    <w:rsid w:val="00CC42B5"/>
    <w:rsid w:val="00CC450A"/>
    <w:rsid w:val="00CC58F3"/>
    <w:rsid w:val="00CC5A3B"/>
    <w:rsid w:val="00CC66DE"/>
    <w:rsid w:val="00CC7C0C"/>
    <w:rsid w:val="00CC7E73"/>
    <w:rsid w:val="00CC7EE9"/>
    <w:rsid w:val="00CC7EFE"/>
    <w:rsid w:val="00CD0AE7"/>
    <w:rsid w:val="00CD0E8B"/>
    <w:rsid w:val="00CD1226"/>
    <w:rsid w:val="00CD1863"/>
    <w:rsid w:val="00CD1A19"/>
    <w:rsid w:val="00CD21A6"/>
    <w:rsid w:val="00CD24AF"/>
    <w:rsid w:val="00CD28EB"/>
    <w:rsid w:val="00CD34BB"/>
    <w:rsid w:val="00CD388E"/>
    <w:rsid w:val="00CD4482"/>
    <w:rsid w:val="00CD4864"/>
    <w:rsid w:val="00CD5437"/>
    <w:rsid w:val="00CD5694"/>
    <w:rsid w:val="00CD6221"/>
    <w:rsid w:val="00CD666E"/>
    <w:rsid w:val="00CD75E3"/>
    <w:rsid w:val="00CE02EE"/>
    <w:rsid w:val="00CE1356"/>
    <w:rsid w:val="00CE2627"/>
    <w:rsid w:val="00CE2716"/>
    <w:rsid w:val="00CE2EB2"/>
    <w:rsid w:val="00CE3777"/>
    <w:rsid w:val="00CE4366"/>
    <w:rsid w:val="00CE4A8B"/>
    <w:rsid w:val="00CE525D"/>
    <w:rsid w:val="00CE5C99"/>
    <w:rsid w:val="00CE75FE"/>
    <w:rsid w:val="00CE776A"/>
    <w:rsid w:val="00CE7F13"/>
    <w:rsid w:val="00CF0A16"/>
    <w:rsid w:val="00CF1924"/>
    <w:rsid w:val="00CF1A30"/>
    <w:rsid w:val="00CF219B"/>
    <w:rsid w:val="00CF23EE"/>
    <w:rsid w:val="00CF2A64"/>
    <w:rsid w:val="00CF2C07"/>
    <w:rsid w:val="00CF3068"/>
    <w:rsid w:val="00CF32B2"/>
    <w:rsid w:val="00CF41D3"/>
    <w:rsid w:val="00CF43F0"/>
    <w:rsid w:val="00CF51D8"/>
    <w:rsid w:val="00CF5942"/>
    <w:rsid w:val="00CF68AA"/>
    <w:rsid w:val="00CF6A48"/>
    <w:rsid w:val="00CF70D4"/>
    <w:rsid w:val="00CF73F0"/>
    <w:rsid w:val="00CF748E"/>
    <w:rsid w:val="00CF75B0"/>
    <w:rsid w:val="00D012DB"/>
    <w:rsid w:val="00D020F9"/>
    <w:rsid w:val="00D02D35"/>
    <w:rsid w:val="00D02E49"/>
    <w:rsid w:val="00D02F09"/>
    <w:rsid w:val="00D035BE"/>
    <w:rsid w:val="00D03956"/>
    <w:rsid w:val="00D03D21"/>
    <w:rsid w:val="00D042BB"/>
    <w:rsid w:val="00D04597"/>
    <w:rsid w:val="00D05B0F"/>
    <w:rsid w:val="00D0634D"/>
    <w:rsid w:val="00D0675B"/>
    <w:rsid w:val="00D07C15"/>
    <w:rsid w:val="00D10A1F"/>
    <w:rsid w:val="00D11357"/>
    <w:rsid w:val="00D11435"/>
    <w:rsid w:val="00D11CCD"/>
    <w:rsid w:val="00D12314"/>
    <w:rsid w:val="00D12479"/>
    <w:rsid w:val="00D126F7"/>
    <w:rsid w:val="00D1284D"/>
    <w:rsid w:val="00D129F5"/>
    <w:rsid w:val="00D12ED9"/>
    <w:rsid w:val="00D13276"/>
    <w:rsid w:val="00D13863"/>
    <w:rsid w:val="00D13F2E"/>
    <w:rsid w:val="00D141DD"/>
    <w:rsid w:val="00D1494A"/>
    <w:rsid w:val="00D153CB"/>
    <w:rsid w:val="00D1700D"/>
    <w:rsid w:val="00D17AC3"/>
    <w:rsid w:val="00D21887"/>
    <w:rsid w:val="00D22C5A"/>
    <w:rsid w:val="00D23AA0"/>
    <w:rsid w:val="00D25D2D"/>
    <w:rsid w:val="00D2665C"/>
    <w:rsid w:val="00D266DE"/>
    <w:rsid w:val="00D26722"/>
    <w:rsid w:val="00D268B9"/>
    <w:rsid w:val="00D272E3"/>
    <w:rsid w:val="00D277EF"/>
    <w:rsid w:val="00D300AC"/>
    <w:rsid w:val="00D30128"/>
    <w:rsid w:val="00D30C58"/>
    <w:rsid w:val="00D31689"/>
    <w:rsid w:val="00D31B8D"/>
    <w:rsid w:val="00D325D3"/>
    <w:rsid w:val="00D328B4"/>
    <w:rsid w:val="00D32DA1"/>
    <w:rsid w:val="00D32ED3"/>
    <w:rsid w:val="00D33402"/>
    <w:rsid w:val="00D33B1C"/>
    <w:rsid w:val="00D34A79"/>
    <w:rsid w:val="00D355D3"/>
    <w:rsid w:val="00D355E8"/>
    <w:rsid w:val="00D3605D"/>
    <w:rsid w:val="00D36136"/>
    <w:rsid w:val="00D3750F"/>
    <w:rsid w:val="00D37637"/>
    <w:rsid w:val="00D409D1"/>
    <w:rsid w:val="00D41906"/>
    <w:rsid w:val="00D4288D"/>
    <w:rsid w:val="00D42977"/>
    <w:rsid w:val="00D42B51"/>
    <w:rsid w:val="00D435DB"/>
    <w:rsid w:val="00D43A37"/>
    <w:rsid w:val="00D43C77"/>
    <w:rsid w:val="00D43DD6"/>
    <w:rsid w:val="00D442EF"/>
    <w:rsid w:val="00D454EC"/>
    <w:rsid w:val="00D45A51"/>
    <w:rsid w:val="00D460EF"/>
    <w:rsid w:val="00D4650B"/>
    <w:rsid w:val="00D46E22"/>
    <w:rsid w:val="00D46FD6"/>
    <w:rsid w:val="00D47002"/>
    <w:rsid w:val="00D47F64"/>
    <w:rsid w:val="00D50306"/>
    <w:rsid w:val="00D50E0B"/>
    <w:rsid w:val="00D51863"/>
    <w:rsid w:val="00D51C2C"/>
    <w:rsid w:val="00D52C35"/>
    <w:rsid w:val="00D52CEF"/>
    <w:rsid w:val="00D52E2C"/>
    <w:rsid w:val="00D5372E"/>
    <w:rsid w:val="00D53BA4"/>
    <w:rsid w:val="00D54825"/>
    <w:rsid w:val="00D55A36"/>
    <w:rsid w:val="00D55EF0"/>
    <w:rsid w:val="00D56173"/>
    <w:rsid w:val="00D56600"/>
    <w:rsid w:val="00D56706"/>
    <w:rsid w:val="00D5689A"/>
    <w:rsid w:val="00D57072"/>
    <w:rsid w:val="00D571CE"/>
    <w:rsid w:val="00D605D5"/>
    <w:rsid w:val="00D60FE1"/>
    <w:rsid w:val="00D61249"/>
    <w:rsid w:val="00D61488"/>
    <w:rsid w:val="00D61AE5"/>
    <w:rsid w:val="00D627CB"/>
    <w:rsid w:val="00D62CD9"/>
    <w:rsid w:val="00D638EB"/>
    <w:rsid w:val="00D64636"/>
    <w:rsid w:val="00D64C91"/>
    <w:rsid w:val="00D668E4"/>
    <w:rsid w:val="00D6695D"/>
    <w:rsid w:val="00D67272"/>
    <w:rsid w:val="00D67466"/>
    <w:rsid w:val="00D67AD2"/>
    <w:rsid w:val="00D7047B"/>
    <w:rsid w:val="00D70735"/>
    <w:rsid w:val="00D71636"/>
    <w:rsid w:val="00D72719"/>
    <w:rsid w:val="00D729A9"/>
    <w:rsid w:val="00D72F70"/>
    <w:rsid w:val="00D730F6"/>
    <w:rsid w:val="00D736A9"/>
    <w:rsid w:val="00D741F4"/>
    <w:rsid w:val="00D74B91"/>
    <w:rsid w:val="00D74FEC"/>
    <w:rsid w:val="00D75505"/>
    <w:rsid w:val="00D76695"/>
    <w:rsid w:val="00D77529"/>
    <w:rsid w:val="00D77DAB"/>
    <w:rsid w:val="00D80998"/>
    <w:rsid w:val="00D8228F"/>
    <w:rsid w:val="00D83CB1"/>
    <w:rsid w:val="00D85818"/>
    <w:rsid w:val="00D8594A"/>
    <w:rsid w:val="00D85EE3"/>
    <w:rsid w:val="00D85F76"/>
    <w:rsid w:val="00D862DA"/>
    <w:rsid w:val="00D8640C"/>
    <w:rsid w:val="00D86456"/>
    <w:rsid w:val="00D870BD"/>
    <w:rsid w:val="00D871C5"/>
    <w:rsid w:val="00D9059C"/>
    <w:rsid w:val="00D90B80"/>
    <w:rsid w:val="00D90ED8"/>
    <w:rsid w:val="00D9227E"/>
    <w:rsid w:val="00D93684"/>
    <w:rsid w:val="00D936C9"/>
    <w:rsid w:val="00D93769"/>
    <w:rsid w:val="00D953A9"/>
    <w:rsid w:val="00D96B3D"/>
    <w:rsid w:val="00D97CE2"/>
    <w:rsid w:val="00DA1829"/>
    <w:rsid w:val="00DA3055"/>
    <w:rsid w:val="00DA3104"/>
    <w:rsid w:val="00DA3D7B"/>
    <w:rsid w:val="00DA3EFC"/>
    <w:rsid w:val="00DA446B"/>
    <w:rsid w:val="00DA4F7B"/>
    <w:rsid w:val="00DA5A47"/>
    <w:rsid w:val="00DA62E2"/>
    <w:rsid w:val="00DA6721"/>
    <w:rsid w:val="00DA7189"/>
    <w:rsid w:val="00DA7370"/>
    <w:rsid w:val="00DB0F83"/>
    <w:rsid w:val="00DB1190"/>
    <w:rsid w:val="00DB2302"/>
    <w:rsid w:val="00DB2D26"/>
    <w:rsid w:val="00DB2E0D"/>
    <w:rsid w:val="00DB3DB9"/>
    <w:rsid w:val="00DB4594"/>
    <w:rsid w:val="00DB4AA3"/>
    <w:rsid w:val="00DB51C6"/>
    <w:rsid w:val="00DB68FF"/>
    <w:rsid w:val="00DB7230"/>
    <w:rsid w:val="00DB7822"/>
    <w:rsid w:val="00DC05E6"/>
    <w:rsid w:val="00DC065B"/>
    <w:rsid w:val="00DC106A"/>
    <w:rsid w:val="00DC11AC"/>
    <w:rsid w:val="00DC2787"/>
    <w:rsid w:val="00DC3130"/>
    <w:rsid w:val="00DC32BA"/>
    <w:rsid w:val="00DC4226"/>
    <w:rsid w:val="00DC5FD8"/>
    <w:rsid w:val="00DC6C0B"/>
    <w:rsid w:val="00DC6D07"/>
    <w:rsid w:val="00DC7C3C"/>
    <w:rsid w:val="00DD0069"/>
    <w:rsid w:val="00DD07DF"/>
    <w:rsid w:val="00DD1770"/>
    <w:rsid w:val="00DD193E"/>
    <w:rsid w:val="00DD1A09"/>
    <w:rsid w:val="00DD29FB"/>
    <w:rsid w:val="00DD38CA"/>
    <w:rsid w:val="00DD3FBC"/>
    <w:rsid w:val="00DD433E"/>
    <w:rsid w:val="00DD6234"/>
    <w:rsid w:val="00DD6410"/>
    <w:rsid w:val="00DD6518"/>
    <w:rsid w:val="00DD6537"/>
    <w:rsid w:val="00DD6667"/>
    <w:rsid w:val="00DD6C1B"/>
    <w:rsid w:val="00DD6D06"/>
    <w:rsid w:val="00DD71EC"/>
    <w:rsid w:val="00DD72ED"/>
    <w:rsid w:val="00DD74A2"/>
    <w:rsid w:val="00DE00C3"/>
    <w:rsid w:val="00DE01F6"/>
    <w:rsid w:val="00DE03FF"/>
    <w:rsid w:val="00DE236F"/>
    <w:rsid w:val="00DE383B"/>
    <w:rsid w:val="00DE487C"/>
    <w:rsid w:val="00DE49BE"/>
    <w:rsid w:val="00DE51F8"/>
    <w:rsid w:val="00DE6576"/>
    <w:rsid w:val="00DE6D22"/>
    <w:rsid w:val="00DF05FC"/>
    <w:rsid w:val="00DF1B57"/>
    <w:rsid w:val="00DF1F24"/>
    <w:rsid w:val="00DF391C"/>
    <w:rsid w:val="00DF4614"/>
    <w:rsid w:val="00DF4662"/>
    <w:rsid w:val="00DF4CE1"/>
    <w:rsid w:val="00DF5193"/>
    <w:rsid w:val="00DF5246"/>
    <w:rsid w:val="00DF5507"/>
    <w:rsid w:val="00DF6266"/>
    <w:rsid w:val="00DF6D10"/>
    <w:rsid w:val="00DF6F2D"/>
    <w:rsid w:val="00DF7B25"/>
    <w:rsid w:val="00DF7E82"/>
    <w:rsid w:val="00E00B67"/>
    <w:rsid w:val="00E0114B"/>
    <w:rsid w:val="00E01F9A"/>
    <w:rsid w:val="00E02E99"/>
    <w:rsid w:val="00E03642"/>
    <w:rsid w:val="00E037A1"/>
    <w:rsid w:val="00E04840"/>
    <w:rsid w:val="00E050FF"/>
    <w:rsid w:val="00E05E79"/>
    <w:rsid w:val="00E05F66"/>
    <w:rsid w:val="00E05F90"/>
    <w:rsid w:val="00E06536"/>
    <w:rsid w:val="00E06CE2"/>
    <w:rsid w:val="00E06FFB"/>
    <w:rsid w:val="00E07B95"/>
    <w:rsid w:val="00E10E2C"/>
    <w:rsid w:val="00E135A1"/>
    <w:rsid w:val="00E13641"/>
    <w:rsid w:val="00E146EC"/>
    <w:rsid w:val="00E1496E"/>
    <w:rsid w:val="00E1527F"/>
    <w:rsid w:val="00E164C3"/>
    <w:rsid w:val="00E16EF1"/>
    <w:rsid w:val="00E17526"/>
    <w:rsid w:val="00E177A0"/>
    <w:rsid w:val="00E17AC9"/>
    <w:rsid w:val="00E17F20"/>
    <w:rsid w:val="00E17F63"/>
    <w:rsid w:val="00E20BBC"/>
    <w:rsid w:val="00E237ED"/>
    <w:rsid w:val="00E260F0"/>
    <w:rsid w:val="00E26FD9"/>
    <w:rsid w:val="00E2751A"/>
    <w:rsid w:val="00E276A2"/>
    <w:rsid w:val="00E27800"/>
    <w:rsid w:val="00E31C79"/>
    <w:rsid w:val="00E31D25"/>
    <w:rsid w:val="00E32840"/>
    <w:rsid w:val="00E3344C"/>
    <w:rsid w:val="00E352AC"/>
    <w:rsid w:val="00E35622"/>
    <w:rsid w:val="00E3565C"/>
    <w:rsid w:val="00E368C3"/>
    <w:rsid w:val="00E36A0C"/>
    <w:rsid w:val="00E3764A"/>
    <w:rsid w:val="00E40061"/>
    <w:rsid w:val="00E40464"/>
    <w:rsid w:val="00E40FD8"/>
    <w:rsid w:val="00E424C9"/>
    <w:rsid w:val="00E43C06"/>
    <w:rsid w:val="00E43F47"/>
    <w:rsid w:val="00E449B1"/>
    <w:rsid w:val="00E457A1"/>
    <w:rsid w:val="00E46A30"/>
    <w:rsid w:val="00E46FC2"/>
    <w:rsid w:val="00E4707A"/>
    <w:rsid w:val="00E473E7"/>
    <w:rsid w:val="00E474AA"/>
    <w:rsid w:val="00E47B31"/>
    <w:rsid w:val="00E501F7"/>
    <w:rsid w:val="00E506CD"/>
    <w:rsid w:val="00E5082D"/>
    <w:rsid w:val="00E511AB"/>
    <w:rsid w:val="00E523B9"/>
    <w:rsid w:val="00E5258C"/>
    <w:rsid w:val="00E52674"/>
    <w:rsid w:val="00E52964"/>
    <w:rsid w:val="00E52BC3"/>
    <w:rsid w:val="00E52F8A"/>
    <w:rsid w:val="00E53055"/>
    <w:rsid w:val="00E53B46"/>
    <w:rsid w:val="00E54B61"/>
    <w:rsid w:val="00E55057"/>
    <w:rsid w:val="00E551F4"/>
    <w:rsid w:val="00E55E96"/>
    <w:rsid w:val="00E56709"/>
    <w:rsid w:val="00E56B2F"/>
    <w:rsid w:val="00E56EE2"/>
    <w:rsid w:val="00E5715F"/>
    <w:rsid w:val="00E574A9"/>
    <w:rsid w:val="00E604CE"/>
    <w:rsid w:val="00E60E92"/>
    <w:rsid w:val="00E61355"/>
    <w:rsid w:val="00E613BC"/>
    <w:rsid w:val="00E61F1E"/>
    <w:rsid w:val="00E62A1A"/>
    <w:rsid w:val="00E62B6D"/>
    <w:rsid w:val="00E62FC3"/>
    <w:rsid w:val="00E633A5"/>
    <w:rsid w:val="00E64EB0"/>
    <w:rsid w:val="00E652DB"/>
    <w:rsid w:val="00E65E1F"/>
    <w:rsid w:val="00E661BA"/>
    <w:rsid w:val="00E66861"/>
    <w:rsid w:val="00E66E21"/>
    <w:rsid w:val="00E67063"/>
    <w:rsid w:val="00E673F7"/>
    <w:rsid w:val="00E674D1"/>
    <w:rsid w:val="00E67AB0"/>
    <w:rsid w:val="00E67DC8"/>
    <w:rsid w:val="00E67DFA"/>
    <w:rsid w:val="00E70E0F"/>
    <w:rsid w:val="00E70F38"/>
    <w:rsid w:val="00E710FC"/>
    <w:rsid w:val="00E71915"/>
    <w:rsid w:val="00E719AE"/>
    <w:rsid w:val="00E71AA0"/>
    <w:rsid w:val="00E71EFA"/>
    <w:rsid w:val="00E72EAE"/>
    <w:rsid w:val="00E7354A"/>
    <w:rsid w:val="00E73B26"/>
    <w:rsid w:val="00E73FED"/>
    <w:rsid w:val="00E744EA"/>
    <w:rsid w:val="00E748EC"/>
    <w:rsid w:val="00E7493B"/>
    <w:rsid w:val="00E74DDC"/>
    <w:rsid w:val="00E756B6"/>
    <w:rsid w:val="00E75C06"/>
    <w:rsid w:val="00E75C32"/>
    <w:rsid w:val="00E75E1B"/>
    <w:rsid w:val="00E76173"/>
    <w:rsid w:val="00E7638F"/>
    <w:rsid w:val="00E7660A"/>
    <w:rsid w:val="00E776FF"/>
    <w:rsid w:val="00E7783D"/>
    <w:rsid w:val="00E807F9"/>
    <w:rsid w:val="00E80916"/>
    <w:rsid w:val="00E81F1A"/>
    <w:rsid w:val="00E82AF5"/>
    <w:rsid w:val="00E83974"/>
    <w:rsid w:val="00E840DF"/>
    <w:rsid w:val="00E8452A"/>
    <w:rsid w:val="00E84C25"/>
    <w:rsid w:val="00E8560F"/>
    <w:rsid w:val="00E85D34"/>
    <w:rsid w:val="00E860D2"/>
    <w:rsid w:val="00E8780A"/>
    <w:rsid w:val="00E91858"/>
    <w:rsid w:val="00E9187B"/>
    <w:rsid w:val="00E922D6"/>
    <w:rsid w:val="00E9284E"/>
    <w:rsid w:val="00E934C6"/>
    <w:rsid w:val="00E934CE"/>
    <w:rsid w:val="00E9370D"/>
    <w:rsid w:val="00E94D93"/>
    <w:rsid w:val="00E957FC"/>
    <w:rsid w:val="00E95CA6"/>
    <w:rsid w:val="00E95EB1"/>
    <w:rsid w:val="00E96227"/>
    <w:rsid w:val="00E967E8"/>
    <w:rsid w:val="00E96D02"/>
    <w:rsid w:val="00EA0289"/>
    <w:rsid w:val="00EA0A92"/>
    <w:rsid w:val="00EA2B28"/>
    <w:rsid w:val="00EA3F5D"/>
    <w:rsid w:val="00EA4127"/>
    <w:rsid w:val="00EA68FF"/>
    <w:rsid w:val="00EA6BA2"/>
    <w:rsid w:val="00EA75A2"/>
    <w:rsid w:val="00EA78EF"/>
    <w:rsid w:val="00EA7CE1"/>
    <w:rsid w:val="00EB11D1"/>
    <w:rsid w:val="00EB181B"/>
    <w:rsid w:val="00EB1CA4"/>
    <w:rsid w:val="00EB2A75"/>
    <w:rsid w:val="00EB2D4B"/>
    <w:rsid w:val="00EB2DEA"/>
    <w:rsid w:val="00EB4587"/>
    <w:rsid w:val="00EB4880"/>
    <w:rsid w:val="00EB4D28"/>
    <w:rsid w:val="00EB55CD"/>
    <w:rsid w:val="00EB68B9"/>
    <w:rsid w:val="00EB6961"/>
    <w:rsid w:val="00EB732D"/>
    <w:rsid w:val="00EB7795"/>
    <w:rsid w:val="00EC0913"/>
    <w:rsid w:val="00EC24B0"/>
    <w:rsid w:val="00EC341C"/>
    <w:rsid w:val="00EC354D"/>
    <w:rsid w:val="00EC38D4"/>
    <w:rsid w:val="00EC48E3"/>
    <w:rsid w:val="00EC5557"/>
    <w:rsid w:val="00EC619A"/>
    <w:rsid w:val="00EC695E"/>
    <w:rsid w:val="00EC6999"/>
    <w:rsid w:val="00ED041C"/>
    <w:rsid w:val="00ED1657"/>
    <w:rsid w:val="00ED1B96"/>
    <w:rsid w:val="00ED2EDB"/>
    <w:rsid w:val="00ED34C3"/>
    <w:rsid w:val="00ED350A"/>
    <w:rsid w:val="00ED41CE"/>
    <w:rsid w:val="00ED49BE"/>
    <w:rsid w:val="00ED525B"/>
    <w:rsid w:val="00ED5637"/>
    <w:rsid w:val="00ED579D"/>
    <w:rsid w:val="00ED5926"/>
    <w:rsid w:val="00ED6618"/>
    <w:rsid w:val="00ED6AE3"/>
    <w:rsid w:val="00ED6C8A"/>
    <w:rsid w:val="00ED7E6F"/>
    <w:rsid w:val="00EE1567"/>
    <w:rsid w:val="00EE1898"/>
    <w:rsid w:val="00EE296F"/>
    <w:rsid w:val="00EE3019"/>
    <w:rsid w:val="00EE379E"/>
    <w:rsid w:val="00EE3AAF"/>
    <w:rsid w:val="00EE4263"/>
    <w:rsid w:val="00EE43F3"/>
    <w:rsid w:val="00EE4473"/>
    <w:rsid w:val="00EE568F"/>
    <w:rsid w:val="00EE5919"/>
    <w:rsid w:val="00EE5C29"/>
    <w:rsid w:val="00EE71C9"/>
    <w:rsid w:val="00EE74BE"/>
    <w:rsid w:val="00EF078F"/>
    <w:rsid w:val="00EF091D"/>
    <w:rsid w:val="00EF0A65"/>
    <w:rsid w:val="00EF1121"/>
    <w:rsid w:val="00EF17D5"/>
    <w:rsid w:val="00EF1A23"/>
    <w:rsid w:val="00EF2388"/>
    <w:rsid w:val="00EF2957"/>
    <w:rsid w:val="00EF2B6B"/>
    <w:rsid w:val="00EF352D"/>
    <w:rsid w:val="00EF3A44"/>
    <w:rsid w:val="00EF3AC0"/>
    <w:rsid w:val="00EF3D40"/>
    <w:rsid w:val="00EF4429"/>
    <w:rsid w:val="00EF4AEE"/>
    <w:rsid w:val="00EF5371"/>
    <w:rsid w:val="00EF54DB"/>
    <w:rsid w:val="00EF601B"/>
    <w:rsid w:val="00EF62AF"/>
    <w:rsid w:val="00EF6C82"/>
    <w:rsid w:val="00EF6E41"/>
    <w:rsid w:val="00EF74EF"/>
    <w:rsid w:val="00EF77D6"/>
    <w:rsid w:val="00F003B2"/>
    <w:rsid w:val="00F00DE6"/>
    <w:rsid w:val="00F01F8A"/>
    <w:rsid w:val="00F03BDC"/>
    <w:rsid w:val="00F03BF4"/>
    <w:rsid w:val="00F03CB8"/>
    <w:rsid w:val="00F03F3B"/>
    <w:rsid w:val="00F04512"/>
    <w:rsid w:val="00F04676"/>
    <w:rsid w:val="00F04AA7"/>
    <w:rsid w:val="00F04CC7"/>
    <w:rsid w:val="00F06526"/>
    <w:rsid w:val="00F06768"/>
    <w:rsid w:val="00F06C9E"/>
    <w:rsid w:val="00F07468"/>
    <w:rsid w:val="00F07FE6"/>
    <w:rsid w:val="00F1095F"/>
    <w:rsid w:val="00F10987"/>
    <w:rsid w:val="00F11655"/>
    <w:rsid w:val="00F11DDC"/>
    <w:rsid w:val="00F1240A"/>
    <w:rsid w:val="00F12FEB"/>
    <w:rsid w:val="00F1302B"/>
    <w:rsid w:val="00F13F76"/>
    <w:rsid w:val="00F142F7"/>
    <w:rsid w:val="00F14915"/>
    <w:rsid w:val="00F153C1"/>
    <w:rsid w:val="00F15F0D"/>
    <w:rsid w:val="00F16E4C"/>
    <w:rsid w:val="00F176A1"/>
    <w:rsid w:val="00F21610"/>
    <w:rsid w:val="00F2176B"/>
    <w:rsid w:val="00F217E8"/>
    <w:rsid w:val="00F22D82"/>
    <w:rsid w:val="00F22FE8"/>
    <w:rsid w:val="00F23A8E"/>
    <w:rsid w:val="00F24421"/>
    <w:rsid w:val="00F26D40"/>
    <w:rsid w:val="00F3091A"/>
    <w:rsid w:val="00F310E3"/>
    <w:rsid w:val="00F31562"/>
    <w:rsid w:val="00F3199C"/>
    <w:rsid w:val="00F31C05"/>
    <w:rsid w:val="00F31C79"/>
    <w:rsid w:val="00F320E6"/>
    <w:rsid w:val="00F331B9"/>
    <w:rsid w:val="00F3323B"/>
    <w:rsid w:val="00F335C1"/>
    <w:rsid w:val="00F33D58"/>
    <w:rsid w:val="00F340B6"/>
    <w:rsid w:val="00F34650"/>
    <w:rsid w:val="00F35223"/>
    <w:rsid w:val="00F361B7"/>
    <w:rsid w:val="00F367EC"/>
    <w:rsid w:val="00F36FED"/>
    <w:rsid w:val="00F37414"/>
    <w:rsid w:val="00F37F08"/>
    <w:rsid w:val="00F40BAE"/>
    <w:rsid w:val="00F40D9F"/>
    <w:rsid w:val="00F41177"/>
    <w:rsid w:val="00F416FD"/>
    <w:rsid w:val="00F418CE"/>
    <w:rsid w:val="00F41F40"/>
    <w:rsid w:val="00F426D9"/>
    <w:rsid w:val="00F462FD"/>
    <w:rsid w:val="00F47915"/>
    <w:rsid w:val="00F5007E"/>
    <w:rsid w:val="00F5067E"/>
    <w:rsid w:val="00F508AC"/>
    <w:rsid w:val="00F50CDF"/>
    <w:rsid w:val="00F50D18"/>
    <w:rsid w:val="00F50D82"/>
    <w:rsid w:val="00F524A1"/>
    <w:rsid w:val="00F52F93"/>
    <w:rsid w:val="00F531ED"/>
    <w:rsid w:val="00F53416"/>
    <w:rsid w:val="00F5359C"/>
    <w:rsid w:val="00F53739"/>
    <w:rsid w:val="00F54608"/>
    <w:rsid w:val="00F54618"/>
    <w:rsid w:val="00F552F2"/>
    <w:rsid w:val="00F55444"/>
    <w:rsid w:val="00F55707"/>
    <w:rsid w:val="00F55C7D"/>
    <w:rsid w:val="00F55E52"/>
    <w:rsid w:val="00F568F2"/>
    <w:rsid w:val="00F57EF0"/>
    <w:rsid w:val="00F600DB"/>
    <w:rsid w:val="00F6015F"/>
    <w:rsid w:val="00F60FDD"/>
    <w:rsid w:val="00F6189B"/>
    <w:rsid w:val="00F61FAC"/>
    <w:rsid w:val="00F627E2"/>
    <w:rsid w:val="00F62852"/>
    <w:rsid w:val="00F64AC5"/>
    <w:rsid w:val="00F6628F"/>
    <w:rsid w:val="00F66DFC"/>
    <w:rsid w:val="00F6740B"/>
    <w:rsid w:val="00F67A3F"/>
    <w:rsid w:val="00F67B8C"/>
    <w:rsid w:val="00F70650"/>
    <w:rsid w:val="00F71520"/>
    <w:rsid w:val="00F71DA0"/>
    <w:rsid w:val="00F72A1C"/>
    <w:rsid w:val="00F73FC7"/>
    <w:rsid w:val="00F74C9D"/>
    <w:rsid w:val="00F74F8F"/>
    <w:rsid w:val="00F7590F"/>
    <w:rsid w:val="00F75FE2"/>
    <w:rsid w:val="00F76E92"/>
    <w:rsid w:val="00F772CC"/>
    <w:rsid w:val="00F773E0"/>
    <w:rsid w:val="00F804B4"/>
    <w:rsid w:val="00F80ED5"/>
    <w:rsid w:val="00F8125C"/>
    <w:rsid w:val="00F81778"/>
    <w:rsid w:val="00F81DF1"/>
    <w:rsid w:val="00F81E8C"/>
    <w:rsid w:val="00F823B9"/>
    <w:rsid w:val="00F83D3A"/>
    <w:rsid w:val="00F84423"/>
    <w:rsid w:val="00F8511F"/>
    <w:rsid w:val="00F85432"/>
    <w:rsid w:val="00F85479"/>
    <w:rsid w:val="00F8569E"/>
    <w:rsid w:val="00F85A14"/>
    <w:rsid w:val="00F86123"/>
    <w:rsid w:val="00F866AA"/>
    <w:rsid w:val="00F9045B"/>
    <w:rsid w:val="00F90585"/>
    <w:rsid w:val="00F90631"/>
    <w:rsid w:val="00F90A8A"/>
    <w:rsid w:val="00F90EB0"/>
    <w:rsid w:val="00F913C6"/>
    <w:rsid w:val="00F9185F"/>
    <w:rsid w:val="00F91B78"/>
    <w:rsid w:val="00F92355"/>
    <w:rsid w:val="00F92655"/>
    <w:rsid w:val="00F92E54"/>
    <w:rsid w:val="00F932EF"/>
    <w:rsid w:val="00F93594"/>
    <w:rsid w:val="00F9404B"/>
    <w:rsid w:val="00F94864"/>
    <w:rsid w:val="00F94BCA"/>
    <w:rsid w:val="00F95BDD"/>
    <w:rsid w:val="00F972F5"/>
    <w:rsid w:val="00FA02EE"/>
    <w:rsid w:val="00FA0F30"/>
    <w:rsid w:val="00FA33A6"/>
    <w:rsid w:val="00FA3565"/>
    <w:rsid w:val="00FA3645"/>
    <w:rsid w:val="00FA3772"/>
    <w:rsid w:val="00FA38EB"/>
    <w:rsid w:val="00FA5C21"/>
    <w:rsid w:val="00FA7B80"/>
    <w:rsid w:val="00FB0B18"/>
    <w:rsid w:val="00FB18EA"/>
    <w:rsid w:val="00FB2015"/>
    <w:rsid w:val="00FB23FC"/>
    <w:rsid w:val="00FB2ACA"/>
    <w:rsid w:val="00FB2DDA"/>
    <w:rsid w:val="00FB3FDB"/>
    <w:rsid w:val="00FB4FA9"/>
    <w:rsid w:val="00FB56CE"/>
    <w:rsid w:val="00FB673E"/>
    <w:rsid w:val="00FB753B"/>
    <w:rsid w:val="00FB7560"/>
    <w:rsid w:val="00FB7A73"/>
    <w:rsid w:val="00FB7EA3"/>
    <w:rsid w:val="00FC0B18"/>
    <w:rsid w:val="00FC2107"/>
    <w:rsid w:val="00FC23B1"/>
    <w:rsid w:val="00FC2470"/>
    <w:rsid w:val="00FC2DD8"/>
    <w:rsid w:val="00FC3334"/>
    <w:rsid w:val="00FC37B5"/>
    <w:rsid w:val="00FC3963"/>
    <w:rsid w:val="00FC3D19"/>
    <w:rsid w:val="00FC3D57"/>
    <w:rsid w:val="00FC3EB4"/>
    <w:rsid w:val="00FC4599"/>
    <w:rsid w:val="00FC4AF9"/>
    <w:rsid w:val="00FC51B8"/>
    <w:rsid w:val="00FC5F5D"/>
    <w:rsid w:val="00FC5F94"/>
    <w:rsid w:val="00FC5FD1"/>
    <w:rsid w:val="00FC6C2D"/>
    <w:rsid w:val="00FC70EF"/>
    <w:rsid w:val="00FC7631"/>
    <w:rsid w:val="00FC7D25"/>
    <w:rsid w:val="00FD055F"/>
    <w:rsid w:val="00FD0AC6"/>
    <w:rsid w:val="00FD11CD"/>
    <w:rsid w:val="00FD16AB"/>
    <w:rsid w:val="00FD1716"/>
    <w:rsid w:val="00FD2377"/>
    <w:rsid w:val="00FD2E3A"/>
    <w:rsid w:val="00FD3086"/>
    <w:rsid w:val="00FD321B"/>
    <w:rsid w:val="00FD38DC"/>
    <w:rsid w:val="00FD445D"/>
    <w:rsid w:val="00FD4D3B"/>
    <w:rsid w:val="00FD5097"/>
    <w:rsid w:val="00FD550A"/>
    <w:rsid w:val="00FD5CD0"/>
    <w:rsid w:val="00FD60E9"/>
    <w:rsid w:val="00FD6305"/>
    <w:rsid w:val="00FD6457"/>
    <w:rsid w:val="00FD69B5"/>
    <w:rsid w:val="00FD7541"/>
    <w:rsid w:val="00FD755E"/>
    <w:rsid w:val="00FD7CD3"/>
    <w:rsid w:val="00FD7DE3"/>
    <w:rsid w:val="00FE06E4"/>
    <w:rsid w:val="00FE0F52"/>
    <w:rsid w:val="00FE15EB"/>
    <w:rsid w:val="00FE1A79"/>
    <w:rsid w:val="00FE2752"/>
    <w:rsid w:val="00FE3913"/>
    <w:rsid w:val="00FE3970"/>
    <w:rsid w:val="00FE3D6B"/>
    <w:rsid w:val="00FE3F62"/>
    <w:rsid w:val="00FE410C"/>
    <w:rsid w:val="00FE44C5"/>
    <w:rsid w:val="00FE44F3"/>
    <w:rsid w:val="00FE6281"/>
    <w:rsid w:val="00FE6297"/>
    <w:rsid w:val="00FF0161"/>
    <w:rsid w:val="00FF033E"/>
    <w:rsid w:val="00FF1021"/>
    <w:rsid w:val="00FF141F"/>
    <w:rsid w:val="00FF1987"/>
    <w:rsid w:val="00FF1A11"/>
    <w:rsid w:val="00FF24BF"/>
    <w:rsid w:val="00FF255E"/>
    <w:rsid w:val="00FF406D"/>
    <w:rsid w:val="00FF48DA"/>
    <w:rsid w:val="00FF49D4"/>
    <w:rsid w:val="00FF5CE3"/>
    <w:rsid w:val="00FF68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E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8644FF"/>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8644FF"/>
    <w:pPr>
      <w:keepNext/>
      <w:numPr>
        <w:numId w:val="5"/>
      </w:numPr>
      <w:ind w:right="1296"/>
      <w:outlineLvl w:val="0"/>
    </w:pPr>
    <w:rPr>
      <w:u w:val="single"/>
    </w:rPr>
  </w:style>
  <w:style w:type="paragraph" w:styleId="Heading2">
    <w:name w:val="heading 2"/>
    <w:basedOn w:val="Normal"/>
    <w:next w:val="Normal"/>
    <w:uiPriority w:val="99"/>
    <w:qFormat/>
    <w:locked/>
    <w:rsid w:val="008644FF"/>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qFormat/>
    <w:locked/>
    <w:rsid w:val="008644FF"/>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8644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44FF"/>
  </w:style>
  <w:style w:type="paragraph" w:styleId="Footer">
    <w:name w:val="footer"/>
    <w:basedOn w:val="Normal"/>
    <w:link w:val="FooterChar"/>
    <w:uiPriority w:val="43"/>
    <w:locked/>
    <w:rsid w:val="008644FF"/>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8644FF"/>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8644FF"/>
    <w:pPr>
      <w:spacing w:before="240" w:line="240" w:lineRule="exact"/>
      <w:ind w:left="720" w:right="794" w:firstLine="0"/>
    </w:pPr>
  </w:style>
  <w:style w:type="paragraph" w:styleId="FootnoteText">
    <w:name w:val="footnote text"/>
    <w:basedOn w:val="Normal"/>
    <w:link w:val="FootnoteTextChar"/>
    <w:uiPriority w:val="53"/>
    <w:locked/>
    <w:rsid w:val="008644FF"/>
    <w:pPr>
      <w:spacing w:after="240" w:line="240" w:lineRule="exact"/>
      <w:ind w:left="510" w:hanging="510"/>
    </w:pPr>
  </w:style>
  <w:style w:type="character" w:styleId="FootnoteReference">
    <w:name w:val="footnote reference"/>
    <w:uiPriority w:val="51"/>
    <w:locked/>
    <w:rsid w:val="008644FF"/>
    <w:rPr>
      <w:b/>
      <w:sz w:val="28"/>
      <w:vertAlign w:val="superscript"/>
    </w:rPr>
  </w:style>
  <w:style w:type="paragraph" w:customStyle="1" w:styleId="FootIndAgain">
    <w:name w:val="FootIndAgain"/>
    <w:basedOn w:val="FootnoteText"/>
    <w:uiPriority w:val="47"/>
    <w:qFormat/>
    <w:locked/>
    <w:rsid w:val="008644FF"/>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8644FF"/>
    <w:pPr>
      <w:ind w:firstLine="0"/>
    </w:pPr>
  </w:style>
  <w:style w:type="character" w:customStyle="1" w:styleId="Heading1Char">
    <w:name w:val="Heading 1 Char"/>
    <w:uiPriority w:val="99"/>
    <w:semiHidden/>
    <w:locked/>
    <w:rsid w:val="008644FF"/>
    <w:rPr>
      <w:rFonts w:ascii="Univers" w:hAnsi="Univers"/>
      <w:sz w:val="26"/>
      <w:u w:val="single"/>
      <w:lang w:val="en-AU"/>
    </w:rPr>
  </w:style>
  <w:style w:type="character" w:customStyle="1" w:styleId="Heading2Char">
    <w:name w:val="Heading 2 Char"/>
    <w:uiPriority w:val="99"/>
    <w:semiHidden/>
    <w:locked/>
    <w:rsid w:val="008644FF"/>
    <w:rPr>
      <w:rFonts w:ascii="Arial" w:hAnsi="Arial"/>
      <w:b/>
      <w:i/>
      <w:sz w:val="24"/>
      <w:lang w:val="en-AU"/>
    </w:rPr>
  </w:style>
  <w:style w:type="character" w:customStyle="1" w:styleId="Heading3Char">
    <w:name w:val="Heading 3 Char"/>
    <w:uiPriority w:val="99"/>
    <w:locked/>
    <w:rsid w:val="008644FF"/>
    <w:rPr>
      <w:rFonts w:ascii="Arial" w:hAnsi="Arial"/>
      <w:sz w:val="24"/>
      <w:lang w:val="en-AU"/>
    </w:rPr>
  </w:style>
  <w:style w:type="paragraph" w:customStyle="1" w:styleId="NormalHC">
    <w:name w:val="Normal HC"/>
    <w:basedOn w:val="Normal"/>
    <w:uiPriority w:val="27"/>
    <w:qFormat/>
    <w:locked/>
    <w:rsid w:val="008644FF"/>
    <w:pPr>
      <w:numPr>
        <w:numId w:val="16"/>
      </w:numPr>
      <w:spacing w:after="480"/>
      <w:ind w:left="0" w:hanging="720"/>
    </w:pPr>
  </w:style>
  <w:style w:type="paragraph" w:customStyle="1" w:styleId="HeadingFirst">
    <w:name w:val="Heading First"/>
    <w:basedOn w:val="NormalHC"/>
    <w:next w:val="HeadingV"/>
    <w:uiPriority w:val="15"/>
    <w:qFormat/>
    <w:locked/>
    <w:rsid w:val="008644FF"/>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8644FF"/>
    <w:pPr>
      <w:keepNext/>
      <w:numPr>
        <w:numId w:val="0"/>
      </w:numPr>
      <w:outlineLvl w:val="2"/>
    </w:pPr>
    <w:rPr>
      <w:b/>
      <w:szCs w:val="20"/>
    </w:rPr>
  </w:style>
  <w:style w:type="paragraph" w:customStyle="1" w:styleId="HeadingL2">
    <w:name w:val="Heading L2"/>
    <w:basedOn w:val="HeadingL1"/>
    <w:next w:val="NormalHC"/>
    <w:uiPriority w:val="23"/>
    <w:qFormat/>
    <w:locked/>
    <w:rsid w:val="008644FF"/>
    <w:pPr>
      <w:outlineLvl w:val="3"/>
    </w:pPr>
    <w:rPr>
      <w:b w:val="0"/>
      <w:i/>
    </w:rPr>
  </w:style>
  <w:style w:type="paragraph" w:customStyle="1" w:styleId="HeadingMatter">
    <w:name w:val="Heading Matter"/>
    <w:basedOn w:val="NormalHC"/>
    <w:next w:val="HeadingFirst"/>
    <w:uiPriority w:val="13"/>
    <w:qFormat/>
    <w:locked/>
    <w:rsid w:val="008644FF"/>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8644FF"/>
    <w:pPr>
      <w:keepNext w:val="0"/>
    </w:pPr>
  </w:style>
  <w:style w:type="paragraph" w:customStyle="1" w:styleId="HeadingV">
    <w:name w:val="Heading V"/>
    <w:basedOn w:val="HeadingFirst"/>
    <w:next w:val="HeadingSecond"/>
    <w:uiPriority w:val="17"/>
    <w:qFormat/>
    <w:locked/>
    <w:rsid w:val="008644FF"/>
    <w:rPr>
      <w:caps w:val="0"/>
      <w:u w:val="none"/>
    </w:rPr>
  </w:style>
  <w:style w:type="paragraph" w:customStyle="1" w:styleId="LeftrightafterHC">
    <w:name w:val="Leftright after HC"/>
    <w:basedOn w:val="Normal"/>
    <w:next w:val="leftright"/>
    <w:uiPriority w:val="31"/>
    <w:qFormat/>
    <w:locked/>
    <w:rsid w:val="008644FF"/>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8644FF"/>
    <w:pPr>
      <w:ind w:firstLine="720"/>
    </w:pPr>
  </w:style>
  <w:style w:type="paragraph" w:customStyle="1" w:styleId="LeftrightHanging">
    <w:name w:val="LeftrightHanging"/>
    <w:basedOn w:val="NormalHC"/>
    <w:uiPriority w:val="35"/>
    <w:qFormat/>
    <w:locked/>
    <w:rsid w:val="008644FF"/>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8644FF"/>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8644FF"/>
    <w:pPr>
      <w:spacing w:before="200"/>
      <w:ind w:left="2160"/>
    </w:pPr>
  </w:style>
  <w:style w:type="paragraph" w:customStyle="1" w:styleId="NormalafterHd2nd">
    <w:name w:val="Normal after Hd2nd"/>
    <w:basedOn w:val="NormalHC"/>
    <w:next w:val="NormalHC"/>
    <w:uiPriority w:val="29"/>
    <w:locked/>
    <w:rsid w:val="008644FF"/>
    <w:pPr>
      <w:numPr>
        <w:numId w:val="0"/>
      </w:numPr>
      <w:spacing w:before="1000"/>
    </w:pPr>
  </w:style>
  <w:style w:type="character" w:customStyle="1" w:styleId="NormalHCChar">
    <w:name w:val="Normal HC Char"/>
    <w:uiPriority w:val="99"/>
    <w:semiHidden/>
    <w:locked/>
    <w:rsid w:val="008644FF"/>
    <w:rPr>
      <w:rFonts w:ascii="Univers" w:hAnsi="Univers"/>
      <w:sz w:val="26"/>
      <w:szCs w:val="26"/>
    </w:rPr>
  </w:style>
  <w:style w:type="character" w:customStyle="1" w:styleId="StyleFootnoteReferenceChar">
    <w:name w:val="Style Footnote Reference Char"/>
    <w:uiPriority w:val="99"/>
    <w:semiHidden/>
    <w:locked/>
    <w:rsid w:val="008644FF"/>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8644FF"/>
  </w:style>
  <w:style w:type="paragraph" w:customStyle="1" w:styleId="HeadingJudgment">
    <w:name w:val="Heading Judgment"/>
    <w:basedOn w:val="Normal"/>
    <w:uiPriority w:val="59"/>
    <w:qFormat/>
    <w:locked/>
    <w:rsid w:val="008644FF"/>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8644FF"/>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8644FF"/>
    <w:pPr>
      <w:outlineLvl w:val="4"/>
    </w:pPr>
    <w:rPr>
      <w:b w:val="0"/>
    </w:rPr>
  </w:style>
  <w:style w:type="character" w:styleId="PageNumber">
    <w:name w:val="page number"/>
    <w:basedOn w:val="DefaultParagraphFont"/>
    <w:uiPriority w:val="57"/>
    <w:locked/>
    <w:rsid w:val="008644FF"/>
  </w:style>
  <w:style w:type="paragraph" w:styleId="BalloonText">
    <w:name w:val="Balloon Text"/>
    <w:basedOn w:val="Normal"/>
    <w:link w:val="BalloonTextChar"/>
    <w:semiHidden/>
    <w:locked/>
    <w:rsid w:val="008644FF"/>
    <w:rPr>
      <w:rFonts w:ascii="Tahoma" w:hAnsi="Tahoma" w:cs="Tahoma"/>
      <w:sz w:val="16"/>
      <w:szCs w:val="16"/>
      <w:lang w:eastAsia="en-US"/>
    </w:rPr>
  </w:style>
  <w:style w:type="character" w:customStyle="1" w:styleId="BalloonTextChar">
    <w:name w:val="Balloon Text Char"/>
    <w:basedOn w:val="DefaultParagraphFont"/>
    <w:link w:val="BalloonText"/>
    <w:semiHidden/>
    <w:rsid w:val="008644FF"/>
    <w:rPr>
      <w:rFonts w:ascii="Tahoma" w:hAnsi="Tahoma" w:cs="Tahoma"/>
      <w:sz w:val="16"/>
      <w:szCs w:val="16"/>
      <w:lang w:eastAsia="en-US"/>
    </w:rPr>
  </w:style>
  <w:style w:type="paragraph" w:customStyle="1" w:styleId="ClosingText">
    <w:name w:val="Closing Text"/>
    <w:basedOn w:val="Normal"/>
    <w:uiPriority w:val="98"/>
    <w:semiHidden/>
    <w:qFormat/>
    <w:locked/>
    <w:rsid w:val="008644FF"/>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8644FF"/>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8644FF"/>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8644FF"/>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8644FF"/>
    <w:rPr>
      <w:szCs w:val="20"/>
      <w:lang w:eastAsia="en-US"/>
    </w:rPr>
  </w:style>
  <w:style w:type="paragraph" w:customStyle="1" w:styleId="NormalBody">
    <w:name w:val="Normal Body"/>
    <w:basedOn w:val="NormalHC"/>
    <w:uiPriority w:val="28"/>
    <w:qFormat/>
    <w:locked/>
    <w:rsid w:val="008644FF"/>
    <w:pPr>
      <w:numPr>
        <w:numId w:val="0"/>
      </w:numPr>
    </w:pPr>
    <w:rPr>
      <w:lang w:eastAsia="en-US"/>
    </w:rPr>
  </w:style>
  <w:style w:type="paragraph" w:customStyle="1" w:styleId="StyleFootnoteReference">
    <w:name w:val="Style Footnote Reference"/>
    <w:basedOn w:val="Normal"/>
    <w:next w:val="Normal"/>
    <w:semiHidden/>
    <w:rsid w:val="008644FF"/>
    <w:rPr>
      <w:vertAlign w:val="superscript"/>
      <w:lang w:eastAsia="en-US"/>
    </w:rPr>
  </w:style>
  <w:style w:type="paragraph" w:styleId="ListNumber">
    <w:name w:val="List Number"/>
    <w:basedOn w:val="Normal"/>
    <w:uiPriority w:val="56"/>
    <w:locked/>
    <w:rsid w:val="008644FF"/>
    <w:pPr>
      <w:numPr>
        <w:numId w:val="11"/>
      </w:numPr>
      <w:contextualSpacing/>
    </w:pPr>
  </w:style>
  <w:style w:type="paragraph" w:customStyle="1" w:styleId="FixListStyle">
    <w:name w:val="FixListStyle"/>
    <w:basedOn w:val="Normal"/>
    <w:uiPriority w:val="99"/>
    <w:qFormat/>
    <w:rsid w:val="008644FF"/>
    <w:pPr>
      <w:numPr>
        <w:numId w:val="19"/>
      </w:numPr>
      <w:spacing w:after="480"/>
      <w:ind w:left="0" w:hanging="720"/>
    </w:pPr>
  </w:style>
  <w:style w:type="paragraph" w:customStyle="1" w:styleId="CatchwordsBold">
    <w:name w:val="Catchwords Bold"/>
    <w:basedOn w:val="Normal"/>
    <w:link w:val="CatchwordsBoldChar"/>
    <w:qFormat/>
    <w:rsid w:val="008644FF"/>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8644FF"/>
    <w:rPr>
      <w:rFonts w:ascii="Times New Roman" w:hAnsi="Times New Roman"/>
      <w:b/>
      <w:szCs w:val="20"/>
    </w:rPr>
  </w:style>
  <w:style w:type="paragraph" w:customStyle="1" w:styleId="CatchwordsRight">
    <w:name w:val="Catchwords Right"/>
    <w:basedOn w:val="Normal"/>
    <w:link w:val="CatchwordsRightChar"/>
    <w:qFormat/>
    <w:rsid w:val="008644FF"/>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8644FF"/>
    <w:rPr>
      <w:rFonts w:ascii="Times New Roman" w:hAnsi="Times New Roman"/>
      <w:szCs w:val="20"/>
    </w:rPr>
  </w:style>
  <w:style w:type="paragraph" w:customStyle="1" w:styleId="CatchwordsText">
    <w:name w:val="Catchwords Text"/>
    <w:basedOn w:val="Normal"/>
    <w:link w:val="CatchwordsTextChar"/>
    <w:qFormat/>
    <w:rsid w:val="008644FF"/>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8644FF"/>
    <w:rPr>
      <w:rFonts w:ascii="Times New Roman" w:hAnsi="Times New Roman"/>
      <w:szCs w:val="20"/>
    </w:rPr>
  </w:style>
  <w:style w:type="paragraph" w:customStyle="1" w:styleId="CenteredBorder">
    <w:name w:val="Centered Border"/>
    <w:qFormat/>
    <w:rsid w:val="008644FF"/>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8644FF"/>
    <w:pPr>
      <w:jc w:val="center"/>
    </w:pPr>
    <w:rPr>
      <w:rFonts w:ascii="Times New Roman" w:hAnsi="Times New Roman"/>
      <w:b/>
      <w:bCs/>
      <w:szCs w:val="20"/>
      <w:lang w:val="en-GB"/>
    </w:rPr>
  </w:style>
  <w:style w:type="character" w:customStyle="1" w:styleId="OrderCentred">
    <w:name w:val="Order Centred"/>
    <w:semiHidden/>
    <w:rsid w:val="008644FF"/>
    <w:rPr>
      <w:b/>
      <w:bCs/>
      <w:sz w:val="26"/>
    </w:rPr>
  </w:style>
  <w:style w:type="paragraph" w:customStyle="1" w:styleId="OrdersTopLine">
    <w:name w:val="Orders TopLine"/>
    <w:qFormat/>
    <w:rsid w:val="008644FF"/>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8644F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8644F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8644FF"/>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8644FF"/>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8644FF"/>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8644FF"/>
    <w:rPr>
      <w:rFonts w:ascii="Times New Roman" w:hAnsi="Times New Roman"/>
      <w:i/>
      <w:lang w:eastAsia="en-US"/>
    </w:rPr>
  </w:style>
  <w:style w:type="paragraph" w:customStyle="1" w:styleId="OrdersIndentLevel2i">
    <w:name w:val="Orders Indent Level 2 (i)"/>
    <w:basedOn w:val="Normal"/>
    <w:link w:val="OrdersIndentLevel2iChar"/>
    <w:qFormat/>
    <w:rsid w:val="008644FF"/>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8644FF"/>
    <w:rPr>
      <w:rFonts w:ascii="Times New Roman" w:hAnsi="Times New Roman"/>
      <w:i/>
      <w:lang w:eastAsia="en-US"/>
    </w:rPr>
  </w:style>
  <w:style w:type="paragraph" w:customStyle="1" w:styleId="OrdersMatter">
    <w:name w:val="Orders Matter"/>
    <w:basedOn w:val="OrderCentreBold"/>
    <w:link w:val="OrdersMatterChar"/>
    <w:qFormat/>
    <w:rsid w:val="008644FF"/>
  </w:style>
  <w:style w:type="character" w:customStyle="1" w:styleId="OrdersMatterChar">
    <w:name w:val="Orders Matter Char"/>
    <w:link w:val="OrdersMatter"/>
    <w:rsid w:val="008644FF"/>
    <w:rPr>
      <w:rFonts w:ascii="Times New Roman" w:hAnsi="Times New Roman"/>
      <w:b/>
      <w:bCs/>
      <w:szCs w:val="20"/>
      <w:lang w:val="en-GB"/>
    </w:rPr>
  </w:style>
  <w:style w:type="paragraph" w:customStyle="1" w:styleId="OrdersNotice">
    <w:name w:val="Orders Notice"/>
    <w:rsid w:val="008644FF"/>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8644FF"/>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8644FF"/>
    <w:rPr>
      <w:rFonts w:ascii="Times New Roman" w:hAnsi="Times New Roman"/>
      <w:szCs w:val="20"/>
      <w:lang w:eastAsia="en-US"/>
    </w:rPr>
  </w:style>
  <w:style w:type="paragraph" w:customStyle="1" w:styleId="OrdersText">
    <w:name w:val="Orders Text"/>
    <w:basedOn w:val="Normal"/>
    <w:link w:val="OrdersTextChar"/>
    <w:qFormat/>
    <w:rsid w:val="008644FF"/>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8644FF"/>
    <w:rPr>
      <w:rFonts w:ascii="Times New Roman" w:hAnsi="Times New Roman"/>
      <w:i/>
      <w:lang w:eastAsia="en-US"/>
    </w:rPr>
  </w:style>
  <w:style w:type="paragraph" w:customStyle="1" w:styleId="OrdersCenteredBorder">
    <w:name w:val="Orders Centered Border"/>
    <w:qFormat/>
    <w:rsid w:val="008644FF"/>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8644F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8644FF"/>
    <w:rPr>
      <w:rFonts w:ascii="Times New Roman" w:hAnsi="Times New Roman"/>
      <w:szCs w:val="20"/>
    </w:rPr>
  </w:style>
  <w:style w:type="paragraph" w:customStyle="1" w:styleId="LRHangingafterHC">
    <w:name w:val="LR Hanging after HC"/>
    <w:basedOn w:val="Normal"/>
    <w:next w:val="LeftrightHanging"/>
    <w:uiPriority w:val="99"/>
    <w:qFormat/>
    <w:rsid w:val="008644FF"/>
    <w:pPr>
      <w:spacing w:before="720" w:line="240" w:lineRule="exact"/>
      <w:ind w:left="1440" w:right="794" w:hanging="720"/>
    </w:pPr>
  </w:style>
  <w:style w:type="paragraph" w:styleId="Revision">
    <w:name w:val="Revision"/>
    <w:hidden/>
    <w:uiPriority w:val="99"/>
    <w:semiHidden/>
    <w:rsid w:val="002B6582"/>
  </w:style>
  <w:style w:type="character" w:styleId="CommentReference">
    <w:name w:val="annotation reference"/>
    <w:basedOn w:val="DefaultParagraphFont"/>
    <w:uiPriority w:val="99"/>
    <w:semiHidden/>
    <w:unhideWhenUsed/>
    <w:locked/>
    <w:rsid w:val="000B7A4E"/>
    <w:rPr>
      <w:sz w:val="16"/>
      <w:szCs w:val="16"/>
    </w:rPr>
  </w:style>
  <w:style w:type="paragraph" w:styleId="CommentText">
    <w:name w:val="annotation text"/>
    <w:basedOn w:val="Normal"/>
    <w:link w:val="CommentTextChar"/>
    <w:uiPriority w:val="99"/>
    <w:unhideWhenUsed/>
    <w:locked/>
    <w:rsid w:val="000B7A4E"/>
    <w:pPr>
      <w:spacing w:line="240" w:lineRule="auto"/>
    </w:pPr>
    <w:rPr>
      <w:sz w:val="20"/>
      <w:szCs w:val="20"/>
    </w:rPr>
  </w:style>
  <w:style w:type="character" w:customStyle="1" w:styleId="CommentTextChar">
    <w:name w:val="Comment Text Char"/>
    <w:basedOn w:val="DefaultParagraphFont"/>
    <w:link w:val="CommentText"/>
    <w:uiPriority w:val="99"/>
    <w:rsid w:val="000B7A4E"/>
    <w:rPr>
      <w:sz w:val="20"/>
      <w:szCs w:val="20"/>
    </w:rPr>
  </w:style>
  <w:style w:type="paragraph" w:styleId="CommentSubject">
    <w:name w:val="annotation subject"/>
    <w:basedOn w:val="CommentText"/>
    <w:next w:val="CommentText"/>
    <w:link w:val="CommentSubjectChar"/>
    <w:uiPriority w:val="99"/>
    <w:semiHidden/>
    <w:unhideWhenUsed/>
    <w:locked/>
    <w:rsid w:val="000B7A4E"/>
    <w:rPr>
      <w:b/>
      <w:bCs/>
    </w:rPr>
  </w:style>
  <w:style w:type="character" w:customStyle="1" w:styleId="CommentSubjectChar">
    <w:name w:val="Comment Subject Char"/>
    <w:basedOn w:val="CommentTextChar"/>
    <w:link w:val="CommentSubject"/>
    <w:uiPriority w:val="99"/>
    <w:semiHidden/>
    <w:rsid w:val="000B7A4E"/>
    <w:rPr>
      <w:b/>
      <w:bCs/>
      <w:sz w:val="20"/>
      <w:szCs w:val="20"/>
    </w:rPr>
  </w:style>
  <w:style w:type="paragraph" w:customStyle="1" w:styleId="NoNorm">
    <w:name w:val="No Norm"/>
    <w:basedOn w:val="Normal"/>
    <w:qFormat/>
    <w:rsid w:val="0023595F"/>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23595F"/>
    <w:pPr>
      <w:tabs>
        <w:tab w:val="clear" w:pos="2160"/>
        <w:tab w:val="left" w:pos="1418"/>
      </w:tabs>
      <w:ind w:left="1418" w:hanging="709"/>
    </w:pPr>
  </w:style>
  <w:style w:type="paragraph" w:customStyle="1" w:styleId="Indentlista">
    <w:name w:val="Indent list a)"/>
    <w:basedOn w:val="Noindentnormal"/>
    <w:qFormat/>
    <w:rsid w:val="0023595F"/>
    <w:pPr>
      <w:tabs>
        <w:tab w:val="left" w:pos="2268"/>
      </w:tabs>
      <w:spacing w:before="60"/>
      <w:ind w:left="2268" w:hanging="567"/>
    </w:pPr>
  </w:style>
  <w:style w:type="paragraph" w:styleId="ListNumber2">
    <w:name w:val="List Number 2"/>
    <w:basedOn w:val="Normal"/>
    <w:uiPriority w:val="99"/>
    <w:unhideWhenUsed/>
    <w:locked/>
    <w:rsid w:val="0023595F"/>
    <w:pPr>
      <w:tabs>
        <w:tab w:val="clear" w:pos="720"/>
        <w:tab w:val="num" w:pos="1069"/>
      </w:tabs>
      <w:spacing w:before="120" w:line="312" w:lineRule="auto"/>
      <w:ind w:left="1069" w:hanging="360"/>
      <w:contextualSpacing/>
      <w:jc w:val="both"/>
    </w:pPr>
    <w:rPr>
      <w:rFonts w:ascii="Arial" w:hAnsi="Arial" w:cs="Arial"/>
      <w:sz w:val="22"/>
      <w:szCs w:val="22"/>
    </w:rPr>
  </w:style>
  <w:style w:type="character" w:customStyle="1" w:styleId="FootnoteTextChar">
    <w:name w:val="Footnote Text Char"/>
    <w:link w:val="FootnoteText"/>
    <w:uiPriority w:val="53"/>
    <w:rsid w:val="0023595F"/>
  </w:style>
  <w:style w:type="paragraph" w:styleId="ListBullet5">
    <w:name w:val="List Bullet 5"/>
    <w:basedOn w:val="Normal"/>
    <w:uiPriority w:val="99"/>
    <w:unhideWhenUsed/>
    <w:locked/>
    <w:rsid w:val="0023595F"/>
    <w:pPr>
      <w:tabs>
        <w:tab w:val="clear" w:pos="720"/>
        <w:tab w:val="num" w:pos="1492"/>
      </w:tabs>
      <w:spacing w:before="120" w:line="312" w:lineRule="auto"/>
      <w:ind w:left="1492" w:hanging="360"/>
      <w:contextualSpacing/>
      <w:jc w:val="both"/>
    </w:pPr>
    <w:rPr>
      <w:rFonts w:ascii="Arial" w:hAnsi="Arial" w:cs="Arial"/>
      <w:sz w:val="22"/>
      <w:szCs w:val="22"/>
    </w:rPr>
  </w:style>
  <w:style w:type="character" w:styleId="Hyperlink">
    <w:name w:val="Hyperlink"/>
    <w:basedOn w:val="DefaultParagraphFont"/>
    <w:uiPriority w:val="99"/>
    <w:unhideWhenUsed/>
    <w:locked/>
    <w:rsid w:val="0023595F"/>
    <w:rPr>
      <w:color w:val="0000FF" w:themeColor="hyperlink"/>
      <w:u w:val="single"/>
    </w:rPr>
  </w:style>
  <w:style w:type="character" w:styleId="UnresolvedMention">
    <w:name w:val="Unresolved Mention"/>
    <w:basedOn w:val="DefaultParagraphFont"/>
    <w:uiPriority w:val="99"/>
    <w:semiHidden/>
    <w:unhideWhenUsed/>
    <w:rsid w:val="0023595F"/>
    <w:rPr>
      <w:color w:val="605E5C"/>
      <w:shd w:val="clear" w:color="auto" w:fill="E1DFDD"/>
    </w:rPr>
  </w:style>
  <w:style w:type="paragraph" w:customStyle="1" w:styleId="Body">
    <w:name w:val="Body"/>
    <w:basedOn w:val="Normal"/>
    <w:qFormat/>
    <w:rsid w:val="00D02F09"/>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D02F09"/>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D02F09"/>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D02F09"/>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D02F09"/>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D02F09"/>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B5CAE0CC-4FEE-4485-8BDD-42E8506C8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53</Pages>
  <Words>16163</Words>
  <Characters>80172</Characters>
  <Application>Microsoft Office Word</Application>
  <DocSecurity>0</DocSecurity>
  <Lines>1431</Lines>
  <Paragraphs>272</Paragraphs>
  <ScaleCrop>false</ScaleCrop>
  <Company/>
  <LinksUpToDate>false</LinksUpToDate>
  <CharactersWithSpaces>96063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2026-05-04T02:29:00Z</dcterms:created>
  <dcterms:modified xsi:type="dcterms:W3CDTF">2026-05-04T07:00:00Z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