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3E11" w14:textId="77777777" w:rsidR="00FF6B25" w:rsidRPr="00704FF8" w:rsidRDefault="00FF6B25" w:rsidP="00704FF8">
      <w:pPr>
        <w:pStyle w:val="OrdersTopLine"/>
      </w:pPr>
      <w:r w:rsidRPr="00704FF8">
        <w:t>HIGH COURT OF AUSTRALIA</w:t>
      </w:r>
    </w:p>
    <w:p w14:paraId="3F47EE6A" w14:textId="77777777" w:rsidR="00FF6B25" w:rsidRPr="00704FF8" w:rsidRDefault="00FF6B25" w:rsidP="00704FF8">
      <w:pPr>
        <w:pStyle w:val="OrderCentre"/>
      </w:pPr>
    </w:p>
    <w:p w14:paraId="459222FD" w14:textId="77777777" w:rsidR="00FF6B25" w:rsidRPr="00C46004" w:rsidRDefault="00FF6B25" w:rsidP="00704FF8">
      <w:pPr>
        <w:pStyle w:val="OrderCentre"/>
        <w:rPr>
          <w:spacing w:val="-4"/>
          <w:sz w:val="24"/>
          <w:szCs w:val="24"/>
        </w:rPr>
      </w:pPr>
      <w:r w:rsidRPr="00C46004">
        <w:rPr>
          <w:spacing w:val="-4"/>
          <w:sz w:val="24"/>
          <w:szCs w:val="24"/>
        </w:rPr>
        <w:t>GAGELER CJ,</w:t>
      </w:r>
    </w:p>
    <w:p w14:paraId="12550C85" w14:textId="77777777" w:rsidR="00FF6B25" w:rsidRPr="00704FF8" w:rsidRDefault="00FF6B25" w:rsidP="00704FF8">
      <w:pPr>
        <w:pStyle w:val="OrderCentre"/>
      </w:pPr>
      <w:r w:rsidRPr="00C46004">
        <w:rPr>
          <w:spacing w:val="-4"/>
          <w:sz w:val="24"/>
          <w:szCs w:val="24"/>
        </w:rPr>
        <w:t>GORDON, EDELMAN, GLEESON AND JAGOT JJ</w:t>
      </w:r>
    </w:p>
    <w:p w14:paraId="63CDFE2A" w14:textId="77777777" w:rsidR="00FF6B25" w:rsidRPr="00427F3A" w:rsidRDefault="00FF6B25" w:rsidP="00EE5374">
      <w:pPr>
        <w:pStyle w:val="Centre"/>
        <w:rPr>
          <w:lang w:val="en-AU"/>
        </w:rPr>
      </w:pPr>
    </w:p>
    <w:p w14:paraId="709C85C5" w14:textId="77777777" w:rsidR="00FF6B25" w:rsidRPr="00704FF8" w:rsidRDefault="00FF6B25" w:rsidP="00704FF8">
      <w:pPr>
        <w:pStyle w:val="OrdersCenteredBorder"/>
      </w:pPr>
    </w:p>
    <w:p w14:paraId="3FC4C1B7" w14:textId="77777777" w:rsidR="00FF6B25" w:rsidRPr="00704FF8" w:rsidRDefault="00FF6B25" w:rsidP="0032341F">
      <w:pPr>
        <w:pStyle w:val="OrdersBodyHeading"/>
      </w:pPr>
    </w:p>
    <w:p w14:paraId="7A4859BA" w14:textId="77777777" w:rsidR="00FF6B25" w:rsidRPr="0032341F" w:rsidRDefault="00FF6B25" w:rsidP="009362E8">
      <w:pPr>
        <w:pStyle w:val="OrdersPartyName"/>
        <w:ind w:right="-1"/>
      </w:pPr>
      <w:r w:rsidRPr="00803A24">
        <w:t>CSL AUSTRALIA PTY LTD</w:t>
      </w:r>
      <w:r w:rsidRPr="0032341F">
        <w:tab/>
        <w:t>APPELLANT</w:t>
      </w:r>
    </w:p>
    <w:p w14:paraId="44A72304" w14:textId="77777777" w:rsidR="00FF6B25" w:rsidRPr="0032341F" w:rsidRDefault="00FF6B25" w:rsidP="009362E8">
      <w:pPr>
        <w:pStyle w:val="OrdersPartyName"/>
        <w:ind w:right="-1"/>
      </w:pPr>
    </w:p>
    <w:p w14:paraId="5AF72066" w14:textId="77777777" w:rsidR="00FF6B25" w:rsidRPr="0032341F" w:rsidRDefault="00FF6B25" w:rsidP="009362E8">
      <w:pPr>
        <w:pStyle w:val="OrdersPartyName"/>
        <w:ind w:right="-1"/>
      </w:pPr>
      <w:r w:rsidRPr="0032341F">
        <w:t>AND</w:t>
      </w:r>
    </w:p>
    <w:p w14:paraId="55A2E1FD" w14:textId="77777777" w:rsidR="00FF6B25" w:rsidRPr="0032341F" w:rsidRDefault="00FF6B25" w:rsidP="009362E8">
      <w:pPr>
        <w:pStyle w:val="OrdersPartyName"/>
        <w:ind w:right="-1"/>
      </w:pPr>
    </w:p>
    <w:p w14:paraId="64C48731" w14:textId="77777777" w:rsidR="00FF6B25" w:rsidRDefault="00FF6B25" w:rsidP="009362E8">
      <w:pPr>
        <w:pStyle w:val="OrdersPartyName"/>
        <w:ind w:right="-1"/>
      </w:pPr>
      <w:r w:rsidRPr="00803A24">
        <w:t xml:space="preserve">TASMANIAN PORTS CORPORATION PTY LTD </w:t>
      </w:r>
    </w:p>
    <w:p w14:paraId="62834C4C" w14:textId="77777777" w:rsidR="00FF6B25" w:rsidRPr="0032341F" w:rsidRDefault="00FF6B25" w:rsidP="009362E8">
      <w:pPr>
        <w:pStyle w:val="OrdersPartyName"/>
        <w:ind w:right="-1"/>
      </w:pPr>
      <w:r w:rsidRPr="00803A24">
        <w:t>&amp; ORS</w:t>
      </w:r>
      <w:r w:rsidRPr="0032341F">
        <w:tab/>
        <w:t>RESPONDENT</w:t>
      </w:r>
      <w:r>
        <w:t>S</w:t>
      </w:r>
    </w:p>
    <w:p w14:paraId="6212F638" w14:textId="77777777" w:rsidR="00FF6B25" w:rsidRPr="00427F3A" w:rsidRDefault="00FF6B25" w:rsidP="00AF0A5E">
      <w:pPr>
        <w:pStyle w:val="BodyHeading"/>
      </w:pPr>
    </w:p>
    <w:p w14:paraId="0C7CB0CB" w14:textId="77777777" w:rsidR="00FF6B25" w:rsidRPr="00427F3A" w:rsidRDefault="00FF6B25" w:rsidP="00BE0A6C">
      <w:pPr>
        <w:pStyle w:val="BodyHeading"/>
      </w:pPr>
    </w:p>
    <w:p w14:paraId="2697052F" w14:textId="77777777" w:rsidR="00FF6B25" w:rsidRPr="00427F3A" w:rsidRDefault="00FF6B25" w:rsidP="00EE5374">
      <w:pPr>
        <w:pStyle w:val="CentreItalics"/>
      </w:pPr>
      <w:r w:rsidRPr="00803A24">
        <w:t xml:space="preserve">CSL Australia Pty Ltd </w:t>
      </w:r>
      <w:r>
        <w:t>v</w:t>
      </w:r>
      <w:r w:rsidRPr="00803A24">
        <w:t xml:space="preserve"> Tasmanian Ports Corporation Pty Ltd</w:t>
      </w:r>
    </w:p>
    <w:p w14:paraId="0AAEA0B6" w14:textId="77777777" w:rsidR="00FF6B25" w:rsidRPr="00427F3A" w:rsidRDefault="00FF6B25" w:rsidP="00E90E4F">
      <w:pPr>
        <w:pStyle w:val="OrdersCentre"/>
      </w:pPr>
      <w:r>
        <w:t>[2026</w:t>
      </w:r>
      <w:r w:rsidRPr="00427F3A">
        <w:t xml:space="preserve">] HCA </w:t>
      </w:r>
      <w:r>
        <w:t>15</w:t>
      </w:r>
    </w:p>
    <w:p w14:paraId="68582847" w14:textId="77777777" w:rsidR="00FF6B25" w:rsidRDefault="00FF6B25" w:rsidP="00E90E4F">
      <w:pPr>
        <w:pStyle w:val="OrdersCentreItalics"/>
      </w:pPr>
      <w:r>
        <w:t xml:space="preserve">Date of Hearing: </w:t>
      </w:r>
      <w:r w:rsidRPr="00803A24">
        <w:t>5 February 2026</w:t>
      </w:r>
    </w:p>
    <w:p w14:paraId="190E148C" w14:textId="77777777" w:rsidR="00FF6B25" w:rsidRPr="00427F3A" w:rsidRDefault="00FF6B25" w:rsidP="00E90E4F">
      <w:pPr>
        <w:pStyle w:val="OrdersCentreItalics"/>
      </w:pPr>
      <w:r>
        <w:t>Date of Judgment: 13 May 2026</w:t>
      </w:r>
    </w:p>
    <w:p w14:paraId="4C36EFCA" w14:textId="77777777" w:rsidR="00FF6B25" w:rsidRDefault="00FF6B25" w:rsidP="00E90E4F">
      <w:pPr>
        <w:pStyle w:val="OrdersCentre"/>
      </w:pPr>
      <w:r w:rsidRPr="00803A24">
        <w:t>S137/2025</w:t>
      </w:r>
    </w:p>
    <w:p w14:paraId="7299E34F" w14:textId="77777777" w:rsidR="00FF6B25" w:rsidRPr="00427F3A" w:rsidRDefault="00FF6B25" w:rsidP="00E90E4F">
      <w:pPr>
        <w:pStyle w:val="OrdersCentre"/>
      </w:pPr>
    </w:p>
    <w:p w14:paraId="14B2401E" w14:textId="77777777" w:rsidR="00FF6B25" w:rsidRPr="00BE0A6C" w:rsidRDefault="00FF6B25" w:rsidP="00E90E4F">
      <w:pPr>
        <w:pStyle w:val="OrderCentreBold"/>
      </w:pPr>
      <w:r w:rsidRPr="00BE0A6C">
        <w:t>ORDER</w:t>
      </w:r>
    </w:p>
    <w:p w14:paraId="15528077" w14:textId="77777777" w:rsidR="00FF6B25" w:rsidRPr="00427F3A" w:rsidRDefault="00FF6B25" w:rsidP="00736C52">
      <w:pPr>
        <w:pStyle w:val="Centre"/>
        <w:rPr>
          <w:lang w:val="en-AU"/>
        </w:rPr>
      </w:pPr>
    </w:p>
    <w:p w14:paraId="1917063C" w14:textId="77777777" w:rsidR="00FF6B25" w:rsidRPr="009470E0" w:rsidRDefault="00FF6B25" w:rsidP="00FE7FD3">
      <w:pPr>
        <w:pStyle w:val="OrdersText"/>
      </w:pPr>
      <w:r>
        <w:t>Appeal dismissed with costs.</w:t>
      </w:r>
    </w:p>
    <w:p w14:paraId="2356FDB2" w14:textId="77777777" w:rsidR="00FF6B25" w:rsidRDefault="00FF6B25" w:rsidP="00EE5374">
      <w:pPr>
        <w:pStyle w:val="Body"/>
      </w:pPr>
    </w:p>
    <w:p w14:paraId="5B4F5D98" w14:textId="77777777" w:rsidR="00FF6B25" w:rsidRPr="00427F3A" w:rsidRDefault="00FF6B25" w:rsidP="0032341F">
      <w:pPr>
        <w:pStyle w:val="OrdersBody"/>
      </w:pPr>
      <w:r w:rsidRPr="00427F3A">
        <w:t xml:space="preserve">On appeal from the </w:t>
      </w:r>
      <w:r w:rsidRPr="00803A24">
        <w:t>Federal Court of Australia</w:t>
      </w:r>
    </w:p>
    <w:p w14:paraId="0EC67873" w14:textId="77777777" w:rsidR="00FF6B25" w:rsidRDefault="00FF6B25" w:rsidP="00EE5374">
      <w:pPr>
        <w:pStyle w:val="Body"/>
      </w:pPr>
    </w:p>
    <w:p w14:paraId="6F077A4A" w14:textId="77777777" w:rsidR="00FF6B25" w:rsidRPr="00427F3A" w:rsidRDefault="00FF6B25" w:rsidP="00E90E4F">
      <w:pPr>
        <w:pStyle w:val="OrdersBodyHeading"/>
      </w:pPr>
      <w:r w:rsidRPr="00427F3A">
        <w:t>Representation</w:t>
      </w:r>
    </w:p>
    <w:p w14:paraId="0CEB50A9" w14:textId="77777777" w:rsidR="00FF6B25" w:rsidRDefault="00FF6B25" w:rsidP="00EE5374">
      <w:pPr>
        <w:pStyle w:val="Body"/>
      </w:pPr>
    </w:p>
    <w:p w14:paraId="3A822CE6" w14:textId="77777777" w:rsidR="00FF6B25" w:rsidRPr="00803A24" w:rsidRDefault="00FF6B25" w:rsidP="00E90E4F">
      <w:pPr>
        <w:pStyle w:val="OrdersBody"/>
      </w:pPr>
      <w:r w:rsidRPr="00803A24">
        <w:t>G J Nell SC with M R Scott KC and N J Wallwork for the appellant (instructed by HFW Australia)</w:t>
      </w:r>
    </w:p>
    <w:p w14:paraId="2F0154AA" w14:textId="77777777" w:rsidR="00FF6B25" w:rsidRPr="00803A24" w:rsidRDefault="00FF6B25" w:rsidP="001B3C97">
      <w:pPr>
        <w:pStyle w:val="Body"/>
      </w:pPr>
    </w:p>
    <w:p w14:paraId="6119C0D1" w14:textId="77777777" w:rsidR="00FF6B25" w:rsidRPr="00803A24" w:rsidRDefault="00FF6B25" w:rsidP="00E90E4F">
      <w:pPr>
        <w:pStyle w:val="OrdersBody"/>
      </w:pPr>
      <w:r w:rsidRPr="00803A24">
        <w:t xml:space="preserve">J T Gleeson SC with M N C Harvey KC and C L W Street for the first respondent (instructed by </w:t>
      </w:r>
      <w:proofErr w:type="spellStart"/>
      <w:r w:rsidRPr="00803A24">
        <w:t>MinterEllison</w:t>
      </w:r>
      <w:proofErr w:type="spellEnd"/>
      <w:r w:rsidRPr="00803A24">
        <w:t>)</w:t>
      </w:r>
    </w:p>
    <w:p w14:paraId="34070192" w14:textId="77777777" w:rsidR="00FF6B25" w:rsidRPr="00803A24" w:rsidRDefault="00FF6B25" w:rsidP="00A01277">
      <w:pPr>
        <w:pStyle w:val="Body"/>
      </w:pPr>
    </w:p>
    <w:p w14:paraId="0BD40A3F" w14:textId="77777777" w:rsidR="00FF6B25" w:rsidRPr="00803A24" w:rsidRDefault="00FF6B25" w:rsidP="00E90E4F">
      <w:pPr>
        <w:pStyle w:val="OrdersBody"/>
      </w:pPr>
      <w:r w:rsidRPr="00803A24">
        <w:t>Submitting appearance for the fourth respondent</w:t>
      </w:r>
    </w:p>
    <w:p w14:paraId="6099BBF2" w14:textId="77777777" w:rsidR="00FF6B25" w:rsidRPr="00803A24" w:rsidRDefault="00FF6B25" w:rsidP="00A01277">
      <w:pPr>
        <w:pStyle w:val="Body"/>
      </w:pPr>
    </w:p>
    <w:p w14:paraId="04CC2170" w14:textId="77777777" w:rsidR="00FF6B25" w:rsidRDefault="00FF6B25" w:rsidP="00E90E4F">
      <w:pPr>
        <w:pStyle w:val="OrdersBody"/>
      </w:pPr>
      <w:r w:rsidRPr="00803A24">
        <w:t>No appearance for the second, third and fifth respondents</w:t>
      </w:r>
    </w:p>
    <w:p w14:paraId="262B7618" w14:textId="77777777" w:rsidR="00FF6B25" w:rsidRDefault="00FF6B25" w:rsidP="00A01277">
      <w:pPr>
        <w:pStyle w:val="Body"/>
      </w:pPr>
    </w:p>
    <w:p w14:paraId="6C5E373B" w14:textId="77777777" w:rsidR="00FF6B25" w:rsidRPr="00427F3A" w:rsidRDefault="00FF6B25" w:rsidP="00EE5374">
      <w:pPr>
        <w:pStyle w:val="Body"/>
      </w:pPr>
    </w:p>
    <w:p w14:paraId="7579BB55" w14:textId="77777777" w:rsidR="00FF6B25" w:rsidRPr="00427F3A" w:rsidRDefault="00FF6B25" w:rsidP="00F9713B">
      <w:pPr>
        <w:pStyle w:val="Notice"/>
        <w:rPr>
          <w:lang w:val="en-AU"/>
        </w:rPr>
      </w:pPr>
      <w:r w:rsidRPr="00427F3A">
        <w:rPr>
          <w:lang w:val="en-AU"/>
        </w:rPr>
        <w:t>Notice:  This copy of the Court's Reasons for Judgment is subject to formal revision prior to publication in the Commonwealth Law Reports.</w:t>
      </w:r>
    </w:p>
    <w:p w14:paraId="25289AF6" w14:textId="2C87D06F" w:rsidR="00FF6B25" w:rsidRDefault="00FF6B2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1EA58793" w14:textId="77777777" w:rsidR="00FF6B25" w:rsidRDefault="00FF6B2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FF6B25" w:rsidSect="00FF6B25">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E75EF8A" w14:textId="77777777" w:rsidR="00FF6B25" w:rsidRDefault="00FF6B25" w:rsidP="001649CA">
      <w:pPr>
        <w:pStyle w:val="CatchwordsBold"/>
      </w:pPr>
      <w:r w:rsidRPr="00B9489E">
        <w:lastRenderedPageBreak/>
        <w:t>CATCHWORDS</w:t>
      </w:r>
    </w:p>
    <w:p w14:paraId="7D733B33" w14:textId="77777777" w:rsidR="00FF6B25" w:rsidRPr="00B9489E" w:rsidRDefault="00FF6B25" w:rsidP="001649CA">
      <w:pPr>
        <w:pStyle w:val="CatchwordsBold"/>
      </w:pPr>
    </w:p>
    <w:p w14:paraId="48B30AF6" w14:textId="77777777" w:rsidR="00FF6B25" w:rsidRDefault="00FF6B25" w:rsidP="001649CA">
      <w:pPr>
        <w:pStyle w:val="CatchwordsBold"/>
      </w:pPr>
      <w:r>
        <w:t>CSL Australia Pty Ltd v Tasmanian Ports Corporation Pty Ltd</w:t>
      </w:r>
      <w:r w:rsidRPr="00B9489E">
        <w:t xml:space="preserve"> </w:t>
      </w:r>
    </w:p>
    <w:p w14:paraId="17B86DE4" w14:textId="77777777" w:rsidR="00FF6B25" w:rsidRPr="00B9489E" w:rsidRDefault="00FF6B25" w:rsidP="00562CAB">
      <w:pPr>
        <w:pStyle w:val="Default"/>
      </w:pPr>
    </w:p>
    <w:p w14:paraId="195C743C" w14:textId="77777777" w:rsidR="00FF6B25" w:rsidRDefault="00FF6B25" w:rsidP="001649CA">
      <w:pPr>
        <w:pStyle w:val="CatchwordsText"/>
      </w:pPr>
      <w:r>
        <w:t>Admiralty – International law</w:t>
      </w:r>
      <w:r w:rsidRPr="00B9489E">
        <w:t xml:space="preserve"> –</w:t>
      </w:r>
      <w:r>
        <w:t xml:space="preserve"> Treaty </w:t>
      </w:r>
      <w:r w:rsidRPr="00B9489E">
        <w:t>–</w:t>
      </w:r>
      <w:r>
        <w:t xml:space="preserve"> Interpretation </w:t>
      </w:r>
      <w:r w:rsidRPr="00B9489E">
        <w:t>–</w:t>
      </w:r>
      <w:r>
        <w:t xml:space="preserve"> Limitation of liability for maritime claims </w:t>
      </w:r>
      <w:r w:rsidRPr="00B9489E">
        <w:t>–</w:t>
      </w:r>
      <w:r>
        <w:t xml:space="preserve"> Where Art 2(1) of Convention on Limitation of Liability for Maritime Claims (1976) (as amended) ("Convention") lists claims subject to limitation </w:t>
      </w:r>
      <w:r w:rsidRPr="00B9489E">
        <w:t>–</w:t>
      </w:r>
      <w:r>
        <w:t xml:space="preserve"> Where Australia exercised power under Art 18(1) of Convention to exclude Art 2(1)(d) and (e) of Convention from application </w:t>
      </w:r>
      <w:r w:rsidRPr="00B9489E">
        <w:t>–</w:t>
      </w:r>
      <w:r>
        <w:t xml:space="preserve"> Where Convention otherwise has force of law in Australia by s 6 of </w:t>
      </w:r>
      <w:r w:rsidRPr="00E12DFE">
        <w:rPr>
          <w:i/>
          <w:iCs/>
        </w:rPr>
        <w:t xml:space="preserve">Limitation of Liability for Maritime Claims Act 1989 </w:t>
      </w:r>
      <w:r>
        <w:t>(</w:t>
      </w:r>
      <w:proofErr w:type="spellStart"/>
      <w:r>
        <w:t>Cth</w:t>
      </w:r>
      <w:proofErr w:type="spellEnd"/>
      <w:r>
        <w:t xml:space="preserve">) </w:t>
      </w:r>
      <w:r w:rsidRPr="00B9489E">
        <w:t>–</w:t>
      </w:r>
      <w:r>
        <w:t xml:space="preserve"> Where first respondent's claim against appellant within scope of Art 2(1)(a) and (d) of Convention </w:t>
      </w:r>
      <w:r w:rsidRPr="00B9489E">
        <w:t>–</w:t>
      </w:r>
      <w:r>
        <w:t xml:space="preserve"> Whether claim limitable under Art 2(1)(a) of Convention notwithstanding claim also within scope of disapplied Art 2(1)(d). </w:t>
      </w:r>
    </w:p>
    <w:p w14:paraId="0AE3E250" w14:textId="77777777" w:rsidR="00FF6B25" w:rsidRDefault="00FF6B25" w:rsidP="001649CA">
      <w:pPr>
        <w:pStyle w:val="CatchwordsText"/>
      </w:pPr>
    </w:p>
    <w:p w14:paraId="636DD999" w14:textId="77777777" w:rsidR="00FF6B25" w:rsidRPr="002C15F5" w:rsidRDefault="00FF6B25" w:rsidP="001649CA">
      <w:pPr>
        <w:pStyle w:val="CatchwordsText"/>
      </w:pPr>
      <w:r>
        <w:t>Words and phrases – "claims", "comity", "convention", "disapplication", "exclude the application of", "force of law", "</w:t>
      </w:r>
      <w:proofErr w:type="spellStart"/>
      <w:r>
        <w:t>generalia</w:t>
      </w:r>
      <w:proofErr w:type="spellEnd"/>
      <w:r>
        <w:t xml:space="preserve"> </w:t>
      </w:r>
      <w:proofErr w:type="spellStart"/>
      <w:r>
        <w:t>specialibus</w:t>
      </w:r>
      <w:proofErr w:type="spellEnd"/>
      <w:r>
        <w:t xml:space="preserve"> non </w:t>
      </w:r>
      <w:proofErr w:type="spellStart"/>
      <w:r>
        <w:t>derogant</w:t>
      </w:r>
      <w:proofErr w:type="spellEnd"/>
      <w:r>
        <w:t>",</w:t>
      </w:r>
      <w:r w:rsidRPr="11A7B36B">
        <w:rPr>
          <w:i/>
          <w:iCs/>
        </w:rPr>
        <w:t xml:space="preserve"> </w:t>
      </w:r>
      <w:r>
        <w:t>"limitation of liability", "limiting ship", "loss and damage", "ordinary and common sense meaning", "principles of treaty interpretation", "raising, removal, destruction or the rendering harmless", "reservation", "right of reservation", "scope", "shipowner", "State Parties", "subject to limitation", "wreck removal".</w:t>
      </w:r>
    </w:p>
    <w:p w14:paraId="0841A7D0" w14:textId="77777777" w:rsidR="00FF6B25" w:rsidRDefault="00FF6B25" w:rsidP="001649CA">
      <w:pPr>
        <w:pStyle w:val="CatchwordsText"/>
      </w:pPr>
    </w:p>
    <w:p w14:paraId="59CF993F" w14:textId="77777777" w:rsidR="00FF6B25" w:rsidRDefault="00FF6B25" w:rsidP="001649CA">
      <w:pPr>
        <w:pStyle w:val="CatchwordsText"/>
      </w:pPr>
      <w:r>
        <w:rPr>
          <w:i/>
        </w:rPr>
        <w:t>Limitation of Liability for Maritime Claims Act 1989</w:t>
      </w:r>
      <w:r w:rsidRPr="00B9489E">
        <w:rPr>
          <w:i/>
        </w:rPr>
        <w:t xml:space="preserve"> </w:t>
      </w:r>
      <w:r w:rsidRPr="00B9489E">
        <w:t>(</w:t>
      </w:r>
      <w:proofErr w:type="spellStart"/>
      <w:r w:rsidRPr="00B9489E">
        <w:t>Cth</w:t>
      </w:r>
      <w:proofErr w:type="spellEnd"/>
      <w:r w:rsidRPr="00B9489E">
        <w:t>), s</w:t>
      </w:r>
      <w:r>
        <w:t> 6</w:t>
      </w:r>
      <w:r w:rsidRPr="00B9489E">
        <w:t>.</w:t>
      </w:r>
    </w:p>
    <w:p w14:paraId="0C36F90E" w14:textId="77777777" w:rsidR="00FF6B25" w:rsidRDefault="00FF6B25" w:rsidP="001649CA">
      <w:pPr>
        <w:pStyle w:val="CatchwordsText"/>
      </w:pPr>
      <w:r>
        <w:t>Convention on Limitation of Liability for Maritime Claims (1976), Arts 1(1), 2(1), 3, 15(1), 18(1).</w:t>
      </w:r>
    </w:p>
    <w:p w14:paraId="33FD4888" w14:textId="77777777" w:rsidR="00FF6B25" w:rsidRPr="00E15E41" w:rsidRDefault="00FF6B25" w:rsidP="00AD2A79">
      <w:pPr>
        <w:pStyle w:val="CatchwordsText"/>
      </w:pPr>
      <w:r>
        <w:t>Vienna Convention on the Law of Treaties (1969), Arts 2(1)(d), 21, 31(1)-(2).</w:t>
      </w:r>
    </w:p>
    <w:p w14:paraId="16D456F6" w14:textId="77777777" w:rsidR="00FF6B25" w:rsidRPr="00AD2A79" w:rsidRDefault="00FF6B25" w:rsidP="001649CA">
      <w:pPr>
        <w:pStyle w:val="CatchwordsText"/>
        <w:rPr>
          <w:bCs/>
        </w:rPr>
      </w:pPr>
    </w:p>
    <w:p w14:paraId="71540006" w14:textId="3E91CDE1" w:rsidR="00FF6B25" w:rsidRDefault="00FF6B25" w:rsidP="00FF6B2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p>
    <w:p w14:paraId="7A94198F" w14:textId="0B76208E" w:rsidR="00FF6B25" w:rsidRDefault="00FF6B2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4DCB94EB" w14:textId="161CD118" w:rsidR="00FF6B25" w:rsidRDefault="00FF6B2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6A8E3166" w14:textId="77777777" w:rsidR="00FF6B25" w:rsidRDefault="00FF6B25" w:rsidP="00950741">
      <w:pPr>
        <w:pStyle w:val="NormalBody"/>
        <w:tabs>
          <w:tab w:val="clear" w:pos="720"/>
          <w:tab w:val="left" w:pos="0"/>
        </w:tabs>
        <w:spacing w:after="260" w:line="280" w:lineRule="exact"/>
        <w:ind w:right="0"/>
        <w:jc w:val="both"/>
        <w:rPr>
          <w:rFonts w:ascii="Times New Roman" w:hAnsi="Times New Roman"/>
        </w:rPr>
        <w:sectPr w:rsidR="00FF6B25" w:rsidSect="00FF6B25">
          <w:pgSz w:w="11907" w:h="16839" w:code="9"/>
          <w:pgMar w:top="1440" w:right="1701" w:bottom="1984" w:left="1701" w:header="720" w:footer="720" w:gutter="0"/>
          <w:pgNumType w:start="1"/>
          <w:cols w:space="720"/>
          <w:titlePg/>
          <w:docGrid w:linePitch="354"/>
        </w:sectPr>
      </w:pPr>
    </w:p>
    <w:p w14:paraId="025EC30C" w14:textId="69350A0C" w:rsidR="00950741" w:rsidRPr="00950741" w:rsidRDefault="00950741" w:rsidP="00950741">
      <w:pPr>
        <w:pStyle w:val="NormalBody"/>
        <w:tabs>
          <w:tab w:val="clear" w:pos="720"/>
          <w:tab w:val="left" w:pos="0"/>
        </w:tabs>
        <w:spacing w:after="260" w:line="280" w:lineRule="exact"/>
        <w:ind w:right="0"/>
        <w:jc w:val="both"/>
        <w:rPr>
          <w:rFonts w:ascii="Times New Roman" w:hAnsi="Times New Roman"/>
        </w:rPr>
      </w:pPr>
      <w:r w:rsidRPr="00950741">
        <w:rPr>
          <w:rFonts w:ascii="Times New Roman" w:hAnsi="Times New Roman"/>
        </w:rPr>
        <w:lastRenderedPageBreak/>
        <w:t xml:space="preserve">GAGELER CJ, GLEESON AND JAGOT JJ.   </w:t>
      </w:r>
    </w:p>
    <w:p w14:paraId="3A45CD07" w14:textId="40045C89" w:rsidR="00A73989" w:rsidRPr="00950741" w:rsidRDefault="00575984" w:rsidP="00950741">
      <w:pPr>
        <w:pStyle w:val="HeadingL1"/>
        <w:spacing w:after="260" w:line="280" w:lineRule="exact"/>
        <w:ind w:right="0"/>
        <w:jc w:val="both"/>
        <w:rPr>
          <w:rFonts w:ascii="Times New Roman" w:hAnsi="Times New Roman"/>
        </w:rPr>
      </w:pPr>
      <w:r w:rsidRPr="00950741">
        <w:rPr>
          <w:rFonts w:ascii="Times New Roman" w:hAnsi="Times New Roman"/>
        </w:rPr>
        <w:t>The appeal</w:t>
      </w:r>
    </w:p>
    <w:p w14:paraId="33CEAEF3" w14:textId="4CF74B5F" w:rsidR="00A72123" w:rsidRPr="00950741" w:rsidRDefault="00575984"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1B3174" w:rsidRPr="00950741">
        <w:rPr>
          <w:rFonts w:ascii="Times New Roman" w:hAnsi="Times New Roman"/>
        </w:rPr>
        <w:t xml:space="preserve">A </w:t>
      </w:r>
      <w:r w:rsidR="00320D5C" w:rsidRPr="00950741">
        <w:rPr>
          <w:rFonts w:ascii="Times New Roman" w:hAnsi="Times New Roman"/>
        </w:rPr>
        <w:t>bulk cement carrier</w:t>
      </w:r>
      <w:r w:rsidR="004E7294" w:rsidRPr="00950741">
        <w:rPr>
          <w:rFonts w:ascii="Times New Roman" w:hAnsi="Times New Roman"/>
        </w:rPr>
        <w:t xml:space="preserve">, </w:t>
      </w:r>
      <w:r w:rsidR="00160CCE" w:rsidRPr="00950741">
        <w:rPr>
          <w:rFonts w:ascii="Times New Roman" w:hAnsi="Times New Roman"/>
        </w:rPr>
        <w:t xml:space="preserve">the </w:t>
      </w:r>
      <w:r w:rsidR="00EC1F79" w:rsidRPr="00950741">
        <w:rPr>
          <w:rFonts w:ascii="Times New Roman" w:hAnsi="Times New Roman"/>
          <w:i/>
          <w:iCs/>
        </w:rPr>
        <w:t>MV</w:t>
      </w:r>
      <w:r w:rsidR="00EC1F79" w:rsidRPr="00950741">
        <w:rPr>
          <w:rFonts w:ascii="Times New Roman" w:hAnsi="Times New Roman"/>
        </w:rPr>
        <w:t xml:space="preserve"> </w:t>
      </w:r>
      <w:r w:rsidR="004E7294" w:rsidRPr="00950741">
        <w:rPr>
          <w:rFonts w:ascii="Times New Roman" w:hAnsi="Times New Roman"/>
          <w:i/>
          <w:iCs/>
        </w:rPr>
        <w:t>Goliath</w:t>
      </w:r>
      <w:r w:rsidR="004E7294" w:rsidRPr="00950741">
        <w:rPr>
          <w:rFonts w:ascii="Times New Roman" w:hAnsi="Times New Roman"/>
        </w:rPr>
        <w:t>,</w:t>
      </w:r>
      <w:r w:rsidR="00320D5C" w:rsidRPr="00950741">
        <w:rPr>
          <w:rFonts w:ascii="Times New Roman" w:hAnsi="Times New Roman"/>
        </w:rPr>
        <w:t xml:space="preserve"> </w:t>
      </w:r>
      <w:r w:rsidR="00C156E4" w:rsidRPr="00950741">
        <w:rPr>
          <w:rFonts w:ascii="Times New Roman" w:hAnsi="Times New Roman"/>
        </w:rPr>
        <w:t xml:space="preserve">crashed </w:t>
      </w:r>
      <w:r w:rsidR="00F07FB7" w:rsidRPr="00950741">
        <w:rPr>
          <w:rFonts w:ascii="Times New Roman" w:hAnsi="Times New Roman"/>
        </w:rPr>
        <w:t xml:space="preserve">into two tugs and the wharf at which </w:t>
      </w:r>
      <w:r w:rsidR="00547349" w:rsidRPr="00950741">
        <w:rPr>
          <w:rFonts w:ascii="Times New Roman" w:hAnsi="Times New Roman"/>
        </w:rPr>
        <w:t>the tugs were moored in the Port of Devonport, Tasmania</w:t>
      </w:r>
      <w:r w:rsidR="004E7294" w:rsidRPr="00950741">
        <w:rPr>
          <w:rFonts w:ascii="Times New Roman" w:hAnsi="Times New Roman"/>
        </w:rPr>
        <w:t>, in 2022</w:t>
      </w:r>
      <w:r w:rsidR="00547349" w:rsidRPr="00950741">
        <w:rPr>
          <w:rFonts w:ascii="Times New Roman" w:hAnsi="Times New Roman"/>
        </w:rPr>
        <w:t xml:space="preserve">. The </w:t>
      </w:r>
      <w:r w:rsidR="00347E23" w:rsidRPr="00950741">
        <w:rPr>
          <w:rFonts w:ascii="Times New Roman" w:hAnsi="Times New Roman"/>
        </w:rPr>
        <w:t xml:space="preserve">tugs sank causing </w:t>
      </w:r>
      <w:r w:rsidR="00F517B5" w:rsidRPr="00950741">
        <w:rPr>
          <w:rFonts w:ascii="Times New Roman" w:hAnsi="Times New Roman"/>
        </w:rPr>
        <w:t>diesel</w:t>
      </w:r>
      <w:r w:rsidR="00347E23" w:rsidRPr="00950741">
        <w:rPr>
          <w:rFonts w:ascii="Times New Roman" w:hAnsi="Times New Roman"/>
        </w:rPr>
        <w:t xml:space="preserve"> </w:t>
      </w:r>
      <w:r w:rsidR="00F517B5" w:rsidRPr="00950741">
        <w:rPr>
          <w:rFonts w:ascii="Times New Roman" w:hAnsi="Times New Roman"/>
        </w:rPr>
        <w:t>fuel</w:t>
      </w:r>
      <w:r w:rsidR="00347E23" w:rsidRPr="00950741">
        <w:rPr>
          <w:rFonts w:ascii="Times New Roman" w:hAnsi="Times New Roman"/>
        </w:rPr>
        <w:t xml:space="preserve"> and other hydrocarbons to escape i</w:t>
      </w:r>
      <w:r w:rsidR="00F517B5" w:rsidRPr="00950741">
        <w:rPr>
          <w:rFonts w:ascii="Times New Roman" w:hAnsi="Times New Roman"/>
        </w:rPr>
        <w:t>nto the</w:t>
      </w:r>
      <w:r w:rsidR="009E2FA5" w:rsidRPr="00950741">
        <w:rPr>
          <w:rFonts w:ascii="Times New Roman" w:hAnsi="Times New Roman"/>
        </w:rPr>
        <w:t xml:space="preserve"> Mersey River</w:t>
      </w:r>
      <w:r w:rsidR="00F517B5" w:rsidRPr="00950741">
        <w:rPr>
          <w:rFonts w:ascii="Times New Roman" w:hAnsi="Times New Roman"/>
        </w:rPr>
        <w:t xml:space="preserve">. </w:t>
      </w:r>
      <w:r w:rsidR="0017212E" w:rsidRPr="00950741">
        <w:rPr>
          <w:rFonts w:ascii="Times New Roman" w:hAnsi="Times New Roman"/>
        </w:rPr>
        <w:t xml:space="preserve">The first </w:t>
      </w:r>
      <w:r w:rsidR="000207F7" w:rsidRPr="00950741">
        <w:rPr>
          <w:rFonts w:ascii="Times New Roman" w:hAnsi="Times New Roman"/>
        </w:rPr>
        <w:t>respondent</w:t>
      </w:r>
      <w:r w:rsidR="0017212E" w:rsidRPr="00950741">
        <w:rPr>
          <w:rFonts w:ascii="Times New Roman" w:hAnsi="Times New Roman"/>
        </w:rPr>
        <w:t>, Tasmanian Ports Corporation Pty Ltd ("TasPorts"), t</w:t>
      </w:r>
      <w:r w:rsidR="00EF3DFC" w:rsidRPr="00950741">
        <w:rPr>
          <w:rFonts w:ascii="Times New Roman" w:hAnsi="Times New Roman"/>
        </w:rPr>
        <w:t xml:space="preserve">he owner and operator of </w:t>
      </w:r>
      <w:r w:rsidR="00855EE4" w:rsidRPr="00950741">
        <w:rPr>
          <w:rFonts w:ascii="Times New Roman" w:hAnsi="Times New Roman"/>
        </w:rPr>
        <w:t>the tugs and the wharf</w:t>
      </w:r>
      <w:r w:rsidR="008C1661" w:rsidRPr="00950741">
        <w:rPr>
          <w:rFonts w:ascii="Times New Roman" w:hAnsi="Times New Roman"/>
        </w:rPr>
        <w:t>,</w:t>
      </w:r>
      <w:r w:rsidR="00855EE4" w:rsidRPr="00950741">
        <w:rPr>
          <w:rFonts w:ascii="Times New Roman" w:hAnsi="Times New Roman"/>
        </w:rPr>
        <w:t xml:space="preserve"> </w:t>
      </w:r>
      <w:r w:rsidR="008C5D1C" w:rsidRPr="00950741">
        <w:rPr>
          <w:rFonts w:ascii="Times New Roman" w:hAnsi="Times New Roman"/>
        </w:rPr>
        <w:t xml:space="preserve">incurred </w:t>
      </w:r>
      <w:r w:rsidR="001A5039" w:rsidRPr="00950741">
        <w:rPr>
          <w:rFonts w:ascii="Times New Roman" w:hAnsi="Times New Roman"/>
        </w:rPr>
        <w:t xml:space="preserve">loss </w:t>
      </w:r>
      <w:r w:rsidR="002138A1" w:rsidRPr="00950741">
        <w:rPr>
          <w:rFonts w:ascii="Times New Roman" w:hAnsi="Times New Roman"/>
        </w:rPr>
        <w:t xml:space="preserve">and damage </w:t>
      </w:r>
      <w:r w:rsidR="00842397" w:rsidRPr="00950741">
        <w:rPr>
          <w:rFonts w:ascii="Times New Roman" w:hAnsi="Times New Roman"/>
        </w:rPr>
        <w:t xml:space="preserve">including </w:t>
      </w:r>
      <w:r w:rsidR="002138A1" w:rsidRPr="00950741">
        <w:rPr>
          <w:rFonts w:ascii="Times New Roman" w:hAnsi="Times New Roman"/>
        </w:rPr>
        <w:t xml:space="preserve">by </w:t>
      </w:r>
      <w:r w:rsidR="00842397" w:rsidRPr="00950741">
        <w:rPr>
          <w:rFonts w:ascii="Times New Roman" w:hAnsi="Times New Roman"/>
        </w:rPr>
        <w:t xml:space="preserve">removal of the </w:t>
      </w:r>
      <w:r w:rsidR="0079267B" w:rsidRPr="00950741">
        <w:rPr>
          <w:rFonts w:ascii="Times New Roman" w:hAnsi="Times New Roman"/>
        </w:rPr>
        <w:t xml:space="preserve">wrecked </w:t>
      </w:r>
      <w:r w:rsidR="00842397" w:rsidRPr="00950741">
        <w:rPr>
          <w:rFonts w:ascii="Times New Roman" w:hAnsi="Times New Roman"/>
        </w:rPr>
        <w:t xml:space="preserve">tugs </w:t>
      </w:r>
      <w:r w:rsidR="00A72123" w:rsidRPr="00950741">
        <w:rPr>
          <w:rFonts w:ascii="Times New Roman" w:hAnsi="Times New Roman"/>
        </w:rPr>
        <w:t xml:space="preserve">from </w:t>
      </w:r>
      <w:r w:rsidR="00842397" w:rsidRPr="00950741">
        <w:rPr>
          <w:rFonts w:ascii="Times New Roman" w:hAnsi="Times New Roman"/>
        </w:rPr>
        <w:t>and remediation of the</w:t>
      </w:r>
      <w:r w:rsidR="00B8589C" w:rsidRPr="00950741">
        <w:rPr>
          <w:rFonts w:ascii="Times New Roman" w:hAnsi="Times New Roman"/>
        </w:rPr>
        <w:t xml:space="preserve"> marine environment</w:t>
      </w:r>
      <w:r w:rsidR="00E418A2" w:rsidRPr="00950741">
        <w:rPr>
          <w:rFonts w:ascii="Times New Roman" w:hAnsi="Times New Roman"/>
        </w:rPr>
        <w:t xml:space="preserve">. </w:t>
      </w:r>
      <w:r w:rsidR="00EF50DB" w:rsidRPr="00950741">
        <w:rPr>
          <w:rFonts w:ascii="Times New Roman" w:hAnsi="Times New Roman"/>
        </w:rPr>
        <w:t>TasPorts</w:t>
      </w:r>
      <w:r w:rsidR="000050C5" w:rsidRPr="00950741">
        <w:rPr>
          <w:rFonts w:ascii="Times New Roman" w:hAnsi="Times New Roman"/>
        </w:rPr>
        <w:t xml:space="preserve"> sued the owner and operator of the </w:t>
      </w:r>
      <w:r w:rsidR="000050C5" w:rsidRPr="00950741">
        <w:rPr>
          <w:rFonts w:ascii="Times New Roman" w:hAnsi="Times New Roman"/>
          <w:i/>
          <w:iCs/>
        </w:rPr>
        <w:t>Goliath</w:t>
      </w:r>
      <w:r w:rsidR="00403E99" w:rsidRPr="00950741">
        <w:rPr>
          <w:rFonts w:ascii="Times New Roman" w:hAnsi="Times New Roman"/>
        </w:rPr>
        <w:t xml:space="preserve">, the appellant, CSL Australia Pty Ltd ("CSL"), </w:t>
      </w:r>
      <w:r w:rsidR="000050C5" w:rsidRPr="00950741">
        <w:rPr>
          <w:rFonts w:ascii="Times New Roman" w:hAnsi="Times New Roman"/>
        </w:rPr>
        <w:t xml:space="preserve">for damages. </w:t>
      </w:r>
    </w:p>
    <w:p w14:paraId="70CAC596" w14:textId="06BA7173" w:rsidR="00320D5C" w:rsidRPr="00950741" w:rsidRDefault="00A72123"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0050C5" w:rsidRPr="00950741">
        <w:rPr>
          <w:rFonts w:ascii="Times New Roman" w:hAnsi="Times New Roman"/>
        </w:rPr>
        <w:t xml:space="preserve">One of </w:t>
      </w:r>
      <w:r w:rsidR="00392B06" w:rsidRPr="00950741">
        <w:rPr>
          <w:rFonts w:ascii="Times New Roman" w:hAnsi="Times New Roman"/>
        </w:rPr>
        <w:t>TasPorts'</w:t>
      </w:r>
      <w:r w:rsidR="000050C5" w:rsidRPr="00950741">
        <w:rPr>
          <w:rFonts w:ascii="Times New Roman" w:hAnsi="Times New Roman"/>
        </w:rPr>
        <w:t xml:space="preserve"> claims</w:t>
      </w:r>
      <w:r w:rsidR="009C3ABD" w:rsidRPr="00950741">
        <w:rPr>
          <w:rFonts w:ascii="Times New Roman" w:hAnsi="Times New Roman"/>
        </w:rPr>
        <w:t xml:space="preserve">, referred to in the Courts below as the "para 22(e) claims", </w:t>
      </w:r>
      <w:r w:rsidR="000050C5" w:rsidRPr="00950741">
        <w:rPr>
          <w:rFonts w:ascii="Times New Roman" w:hAnsi="Times New Roman"/>
        </w:rPr>
        <w:t xml:space="preserve">was for </w:t>
      </w:r>
      <w:r w:rsidR="00392B06" w:rsidRPr="00950741">
        <w:rPr>
          <w:rFonts w:ascii="Times New Roman" w:hAnsi="Times New Roman"/>
        </w:rPr>
        <w:t xml:space="preserve">about $17,245,743 </w:t>
      </w:r>
      <w:r w:rsidR="00F723E3" w:rsidRPr="00950741">
        <w:rPr>
          <w:rFonts w:ascii="Times New Roman" w:hAnsi="Times New Roman"/>
        </w:rPr>
        <w:t xml:space="preserve">for "costs of and associated with the containment, removal and disposal of hydrocarbons, and the removal and disposal of the </w:t>
      </w:r>
      <w:r w:rsidR="001C2B05" w:rsidRPr="00950741">
        <w:rPr>
          <w:rFonts w:ascii="Times New Roman" w:hAnsi="Times New Roman"/>
        </w:rPr>
        <w:t>[t]</w:t>
      </w:r>
      <w:proofErr w:type="spellStart"/>
      <w:r w:rsidR="00F723E3" w:rsidRPr="00950741">
        <w:rPr>
          <w:rFonts w:ascii="Times New Roman" w:hAnsi="Times New Roman"/>
        </w:rPr>
        <w:t>ugs</w:t>
      </w:r>
      <w:proofErr w:type="spellEnd"/>
      <w:r w:rsidR="00F723E3" w:rsidRPr="00950741">
        <w:rPr>
          <w:rFonts w:ascii="Times New Roman" w:hAnsi="Times New Roman"/>
        </w:rPr>
        <w:t>".</w:t>
      </w:r>
      <w:r w:rsidR="00BF120D" w:rsidRPr="00950741">
        <w:rPr>
          <w:rFonts w:ascii="Times New Roman" w:hAnsi="Times New Roman"/>
        </w:rPr>
        <w:t xml:space="preserve"> </w:t>
      </w:r>
      <w:r w:rsidR="003F0612" w:rsidRPr="00950741">
        <w:rPr>
          <w:rFonts w:ascii="Times New Roman" w:hAnsi="Times New Roman"/>
        </w:rPr>
        <w:t xml:space="preserve">CSL claimed that it was </w:t>
      </w:r>
      <w:r w:rsidR="00733520" w:rsidRPr="00950741">
        <w:rPr>
          <w:rFonts w:ascii="Times New Roman" w:hAnsi="Times New Roman"/>
        </w:rPr>
        <w:t xml:space="preserve">entitled to limit its liability </w:t>
      </w:r>
      <w:r w:rsidR="00F852DA" w:rsidRPr="00950741">
        <w:rPr>
          <w:rFonts w:ascii="Times New Roman" w:hAnsi="Times New Roman"/>
        </w:rPr>
        <w:t xml:space="preserve">including in respect of the para 22(e) claims </w:t>
      </w:r>
      <w:r w:rsidR="00733520" w:rsidRPr="00950741">
        <w:rPr>
          <w:rFonts w:ascii="Times New Roman" w:hAnsi="Times New Roman"/>
        </w:rPr>
        <w:t>in accordance with the provisions of the Convention on Limitation of</w:t>
      </w:r>
      <w:r w:rsidR="00733520" w:rsidRPr="00950741">
        <w:rPr>
          <w:rFonts w:ascii="Times New Roman" w:hAnsi="Times New Roman"/>
          <w:i/>
          <w:iCs/>
        </w:rPr>
        <w:t xml:space="preserve"> </w:t>
      </w:r>
      <w:r w:rsidR="00733520" w:rsidRPr="00950741">
        <w:rPr>
          <w:rFonts w:ascii="Times New Roman" w:hAnsi="Times New Roman"/>
        </w:rPr>
        <w:t xml:space="preserve">Liability for Maritime Claims </w:t>
      </w:r>
      <w:r w:rsidR="001A707E" w:rsidRPr="00950741">
        <w:rPr>
          <w:rFonts w:ascii="Times New Roman" w:hAnsi="Times New Roman"/>
        </w:rPr>
        <w:t>(</w:t>
      </w:r>
      <w:r w:rsidR="00733520" w:rsidRPr="00950741">
        <w:rPr>
          <w:rFonts w:ascii="Times New Roman" w:hAnsi="Times New Roman"/>
        </w:rPr>
        <w:t>1976</w:t>
      </w:r>
      <w:r w:rsidR="001A707E" w:rsidRPr="00950741">
        <w:rPr>
          <w:rFonts w:ascii="Times New Roman" w:hAnsi="Times New Roman"/>
        </w:rPr>
        <w:t>)</w:t>
      </w:r>
      <w:r w:rsidR="00336E46" w:rsidRPr="00950741">
        <w:rPr>
          <w:rStyle w:val="FootnoteReference"/>
          <w:rFonts w:ascii="Times New Roman" w:hAnsi="Times New Roman"/>
          <w:sz w:val="24"/>
        </w:rPr>
        <w:footnoteReference w:id="2"/>
      </w:r>
      <w:r w:rsidR="00336E46" w:rsidRPr="00950741">
        <w:rPr>
          <w:rFonts w:ascii="Times New Roman" w:hAnsi="Times New Roman"/>
        </w:rPr>
        <w:t xml:space="preserve"> (</w:t>
      </w:r>
      <w:r w:rsidR="001F2858" w:rsidRPr="00950741">
        <w:rPr>
          <w:rFonts w:ascii="Times New Roman" w:hAnsi="Times New Roman"/>
        </w:rPr>
        <w:t>"</w:t>
      </w:r>
      <w:r w:rsidR="00733520" w:rsidRPr="00950741">
        <w:rPr>
          <w:rFonts w:ascii="Times New Roman" w:hAnsi="Times New Roman"/>
        </w:rPr>
        <w:t xml:space="preserve">the </w:t>
      </w:r>
      <w:r w:rsidR="006C1291" w:rsidRPr="00950741">
        <w:rPr>
          <w:rFonts w:ascii="Times New Roman" w:hAnsi="Times New Roman"/>
        </w:rPr>
        <w:t>1976 </w:t>
      </w:r>
      <w:r w:rsidR="00733520" w:rsidRPr="00950741">
        <w:rPr>
          <w:rFonts w:ascii="Times New Roman" w:hAnsi="Times New Roman"/>
        </w:rPr>
        <w:t xml:space="preserve">Convention") </w:t>
      </w:r>
      <w:r w:rsidR="0099607F" w:rsidRPr="00950741">
        <w:rPr>
          <w:rFonts w:ascii="Times New Roman" w:hAnsi="Times New Roman"/>
        </w:rPr>
        <w:t xml:space="preserve">as referred to in </w:t>
      </w:r>
      <w:r w:rsidR="00797A39" w:rsidRPr="00950741">
        <w:rPr>
          <w:rFonts w:ascii="Times New Roman" w:hAnsi="Times New Roman"/>
        </w:rPr>
        <w:t xml:space="preserve">s 6 of the </w:t>
      </w:r>
      <w:r w:rsidR="00797A39" w:rsidRPr="00950741">
        <w:rPr>
          <w:rFonts w:ascii="Times New Roman" w:hAnsi="Times New Roman"/>
          <w:i/>
          <w:iCs/>
        </w:rPr>
        <w:t>Limitation of Liability for Maritime Claims Act 1989</w:t>
      </w:r>
      <w:r w:rsidR="00797A39" w:rsidRPr="00950741">
        <w:rPr>
          <w:rFonts w:ascii="Times New Roman" w:hAnsi="Times New Roman"/>
        </w:rPr>
        <w:t xml:space="preserve"> (</w:t>
      </w:r>
      <w:proofErr w:type="spellStart"/>
      <w:r w:rsidR="00797A39" w:rsidRPr="00950741">
        <w:rPr>
          <w:rFonts w:ascii="Times New Roman" w:hAnsi="Times New Roman"/>
        </w:rPr>
        <w:t>Cth</w:t>
      </w:r>
      <w:proofErr w:type="spellEnd"/>
      <w:r w:rsidR="00797A39" w:rsidRPr="00950741">
        <w:rPr>
          <w:rFonts w:ascii="Times New Roman" w:hAnsi="Times New Roman"/>
        </w:rPr>
        <w:t>) (</w:t>
      </w:r>
      <w:r w:rsidR="0048372E" w:rsidRPr="00950741">
        <w:rPr>
          <w:rFonts w:ascii="Times New Roman" w:hAnsi="Times New Roman"/>
        </w:rPr>
        <w:t>"</w:t>
      </w:r>
      <w:r w:rsidR="00797A39" w:rsidRPr="00950741">
        <w:rPr>
          <w:rFonts w:ascii="Times New Roman" w:hAnsi="Times New Roman"/>
        </w:rPr>
        <w:t>the Limitation of Liability Act")</w:t>
      </w:r>
      <w:r w:rsidR="006F62E7" w:rsidRPr="00950741">
        <w:rPr>
          <w:rFonts w:ascii="Times New Roman" w:hAnsi="Times New Roman"/>
        </w:rPr>
        <w:t>. Section</w:t>
      </w:r>
      <w:r w:rsidR="00235386" w:rsidRPr="00950741">
        <w:rPr>
          <w:rFonts w:ascii="Times New Roman" w:hAnsi="Times New Roman"/>
        </w:rPr>
        <w:t> </w:t>
      </w:r>
      <w:r w:rsidR="006F62E7" w:rsidRPr="00950741">
        <w:rPr>
          <w:rFonts w:ascii="Times New Roman" w:hAnsi="Times New Roman"/>
        </w:rPr>
        <w:t>6</w:t>
      </w:r>
      <w:r w:rsidR="00797A39" w:rsidRPr="00950741">
        <w:rPr>
          <w:rFonts w:ascii="Times New Roman" w:hAnsi="Times New Roman"/>
        </w:rPr>
        <w:t xml:space="preserve"> provides that "[s]</w:t>
      </w:r>
      <w:proofErr w:type="spellStart"/>
      <w:r w:rsidR="00797A39" w:rsidRPr="00950741">
        <w:rPr>
          <w:rFonts w:ascii="Times New Roman" w:hAnsi="Times New Roman"/>
        </w:rPr>
        <w:t>ubject</w:t>
      </w:r>
      <w:proofErr w:type="spellEnd"/>
      <w:r w:rsidR="00797A39" w:rsidRPr="00950741">
        <w:rPr>
          <w:rFonts w:ascii="Times New Roman" w:hAnsi="Times New Roman"/>
        </w:rPr>
        <w:t xml:space="preserve"> to this Act, the provisions of the </w:t>
      </w:r>
      <w:r w:rsidR="00480AE4" w:rsidRPr="00950741">
        <w:rPr>
          <w:rFonts w:ascii="Times New Roman" w:hAnsi="Times New Roman"/>
        </w:rPr>
        <w:t>[</w:t>
      </w:r>
      <w:r w:rsidR="00C27308" w:rsidRPr="00950741">
        <w:rPr>
          <w:rFonts w:ascii="Times New Roman" w:hAnsi="Times New Roman"/>
        </w:rPr>
        <w:t>1976</w:t>
      </w:r>
      <w:r w:rsidR="00816585" w:rsidRPr="00950741">
        <w:rPr>
          <w:rFonts w:ascii="Times New Roman" w:hAnsi="Times New Roman"/>
        </w:rPr>
        <w:t> </w:t>
      </w:r>
      <w:r w:rsidR="00797A39" w:rsidRPr="00950741">
        <w:rPr>
          <w:rFonts w:ascii="Times New Roman" w:hAnsi="Times New Roman"/>
        </w:rPr>
        <w:t>Convention</w:t>
      </w:r>
      <w:r w:rsidR="00C27308" w:rsidRPr="00950741">
        <w:rPr>
          <w:rFonts w:ascii="Times New Roman" w:hAnsi="Times New Roman"/>
        </w:rPr>
        <w:t>]</w:t>
      </w:r>
      <w:r w:rsidR="00797A39" w:rsidRPr="00950741">
        <w:rPr>
          <w:rFonts w:ascii="Times New Roman" w:hAnsi="Times New Roman"/>
        </w:rPr>
        <w:t>, other than paragraphs 1(d) and</w:t>
      </w:r>
      <w:r w:rsidR="008D1175" w:rsidRPr="00950741">
        <w:rPr>
          <w:rFonts w:ascii="Times New Roman" w:hAnsi="Times New Roman"/>
        </w:rPr>
        <w:t> </w:t>
      </w:r>
      <w:r w:rsidR="00797A39" w:rsidRPr="00950741">
        <w:rPr>
          <w:rFonts w:ascii="Times New Roman" w:hAnsi="Times New Roman"/>
        </w:rPr>
        <w:t>(e) of Article 2, have the force of law in Australia</w:t>
      </w:r>
      <w:r w:rsidR="005E365A" w:rsidRPr="00950741">
        <w:rPr>
          <w:rFonts w:ascii="Times New Roman" w:hAnsi="Times New Roman"/>
        </w:rPr>
        <w:t>"</w:t>
      </w:r>
      <w:r w:rsidR="00595AEF" w:rsidRPr="00950741">
        <w:rPr>
          <w:rFonts w:ascii="Times New Roman" w:hAnsi="Times New Roman"/>
        </w:rPr>
        <w:t>.</w:t>
      </w:r>
      <w:r w:rsidR="007E525D" w:rsidRPr="00950741">
        <w:rPr>
          <w:rFonts w:ascii="Times New Roman" w:hAnsi="Times New Roman"/>
        </w:rPr>
        <w:t xml:space="preserve"> </w:t>
      </w:r>
      <w:r w:rsidR="00177D13" w:rsidRPr="00950741">
        <w:rPr>
          <w:rFonts w:ascii="Times New Roman" w:hAnsi="Times New Roman"/>
        </w:rPr>
        <w:t>TasPort</w:t>
      </w:r>
      <w:r w:rsidR="007F4548" w:rsidRPr="00950741">
        <w:rPr>
          <w:rFonts w:ascii="Times New Roman" w:hAnsi="Times New Roman"/>
        </w:rPr>
        <w:t>s</w:t>
      </w:r>
      <w:r w:rsidR="00177D13" w:rsidRPr="00950741">
        <w:rPr>
          <w:rFonts w:ascii="Times New Roman" w:hAnsi="Times New Roman"/>
        </w:rPr>
        <w:t xml:space="preserve"> contended that </w:t>
      </w:r>
      <w:r w:rsidR="00DA6432" w:rsidRPr="00950741">
        <w:rPr>
          <w:rFonts w:ascii="Times New Roman" w:hAnsi="Times New Roman"/>
        </w:rPr>
        <w:t xml:space="preserve">CSL could not limit its liability in </w:t>
      </w:r>
      <w:r w:rsidR="00FC016A" w:rsidRPr="00950741">
        <w:rPr>
          <w:rFonts w:ascii="Times New Roman" w:hAnsi="Times New Roman"/>
        </w:rPr>
        <w:t xml:space="preserve">respect of the para 22(e) claims because </w:t>
      </w:r>
      <w:r w:rsidR="001B79CF" w:rsidRPr="00950741">
        <w:rPr>
          <w:rFonts w:ascii="Times New Roman" w:hAnsi="Times New Roman"/>
        </w:rPr>
        <w:t xml:space="preserve">those </w:t>
      </w:r>
      <w:r w:rsidR="00FC016A" w:rsidRPr="00950741">
        <w:rPr>
          <w:rFonts w:ascii="Times New Roman" w:hAnsi="Times New Roman"/>
        </w:rPr>
        <w:t xml:space="preserve">claims were within the scope of </w:t>
      </w:r>
      <w:r w:rsidR="004F25C4" w:rsidRPr="00950741">
        <w:rPr>
          <w:rFonts w:ascii="Times New Roman" w:hAnsi="Times New Roman"/>
        </w:rPr>
        <w:t>Art 2</w:t>
      </w:r>
      <w:r w:rsidR="00D60B1E" w:rsidRPr="00950741">
        <w:rPr>
          <w:rFonts w:ascii="Times New Roman" w:hAnsi="Times New Roman"/>
        </w:rPr>
        <w:t>(</w:t>
      </w:r>
      <w:r w:rsidR="004F25C4" w:rsidRPr="00950741">
        <w:rPr>
          <w:rFonts w:ascii="Times New Roman" w:hAnsi="Times New Roman"/>
        </w:rPr>
        <w:t>1</w:t>
      </w:r>
      <w:r w:rsidR="00D60B1E" w:rsidRPr="00950741">
        <w:rPr>
          <w:rFonts w:ascii="Times New Roman" w:hAnsi="Times New Roman"/>
        </w:rPr>
        <w:t>)</w:t>
      </w:r>
      <w:r w:rsidR="004F25C4" w:rsidRPr="00950741">
        <w:rPr>
          <w:rFonts w:ascii="Times New Roman" w:hAnsi="Times New Roman"/>
        </w:rPr>
        <w:t xml:space="preserve">(d) of the </w:t>
      </w:r>
      <w:r w:rsidR="006C1291" w:rsidRPr="00950741">
        <w:rPr>
          <w:rFonts w:ascii="Times New Roman" w:hAnsi="Times New Roman"/>
        </w:rPr>
        <w:t>1976</w:t>
      </w:r>
      <w:r w:rsidR="005E731C" w:rsidRPr="00950741">
        <w:rPr>
          <w:rFonts w:ascii="Times New Roman" w:hAnsi="Times New Roman"/>
        </w:rPr>
        <w:t> </w:t>
      </w:r>
      <w:r w:rsidR="004F25C4" w:rsidRPr="00950741">
        <w:rPr>
          <w:rFonts w:ascii="Times New Roman" w:hAnsi="Times New Roman"/>
        </w:rPr>
        <w:t>Convention</w:t>
      </w:r>
      <w:r w:rsidR="001B79CF" w:rsidRPr="00950741">
        <w:rPr>
          <w:rFonts w:ascii="Times New Roman" w:hAnsi="Times New Roman"/>
        </w:rPr>
        <w:t xml:space="preserve"> </w:t>
      </w:r>
      <w:r w:rsidR="00FD04B8" w:rsidRPr="00950741">
        <w:rPr>
          <w:rFonts w:ascii="Times New Roman" w:hAnsi="Times New Roman"/>
        </w:rPr>
        <w:t>which</w:t>
      </w:r>
      <w:r w:rsidR="00FA1E98" w:rsidRPr="00950741">
        <w:rPr>
          <w:rFonts w:ascii="Times New Roman" w:hAnsi="Times New Roman"/>
        </w:rPr>
        <w:t xml:space="preserve">, as </w:t>
      </w:r>
      <w:r w:rsidR="00C90F00" w:rsidRPr="00950741">
        <w:rPr>
          <w:rFonts w:ascii="Times New Roman" w:hAnsi="Times New Roman"/>
        </w:rPr>
        <w:t xml:space="preserve">reflected in </w:t>
      </w:r>
      <w:r w:rsidR="00FA1E98" w:rsidRPr="00950741">
        <w:rPr>
          <w:rFonts w:ascii="Times New Roman" w:hAnsi="Times New Roman"/>
        </w:rPr>
        <w:t>s 6 of the Limitation of Liability Act,</w:t>
      </w:r>
      <w:r w:rsidR="00FD04B8" w:rsidRPr="00950741">
        <w:rPr>
          <w:rFonts w:ascii="Times New Roman" w:hAnsi="Times New Roman"/>
        </w:rPr>
        <w:t xml:space="preserve"> </w:t>
      </w:r>
      <w:r w:rsidR="00FA1E98" w:rsidRPr="00950741">
        <w:rPr>
          <w:rFonts w:ascii="Times New Roman" w:hAnsi="Times New Roman"/>
        </w:rPr>
        <w:t xml:space="preserve">Australia </w:t>
      </w:r>
      <w:r w:rsidR="00FD04B8" w:rsidRPr="00950741">
        <w:rPr>
          <w:rFonts w:ascii="Times New Roman" w:hAnsi="Times New Roman"/>
        </w:rPr>
        <w:t xml:space="preserve">had </w:t>
      </w:r>
      <w:r w:rsidR="00FA1E98" w:rsidRPr="00950741">
        <w:rPr>
          <w:rFonts w:ascii="Times New Roman" w:hAnsi="Times New Roman"/>
        </w:rPr>
        <w:t xml:space="preserve">excluded from application </w:t>
      </w:r>
      <w:r w:rsidR="005A24CD" w:rsidRPr="00950741">
        <w:rPr>
          <w:rFonts w:ascii="Times New Roman" w:hAnsi="Times New Roman"/>
        </w:rPr>
        <w:t>in accordance with the right given to State Parties by Art</w:t>
      </w:r>
      <w:r w:rsidR="00D54083" w:rsidRPr="00950741">
        <w:rPr>
          <w:rFonts w:ascii="Times New Roman" w:hAnsi="Times New Roman"/>
        </w:rPr>
        <w:t> </w:t>
      </w:r>
      <w:r w:rsidR="005A24CD" w:rsidRPr="00950741">
        <w:rPr>
          <w:rFonts w:ascii="Times New Roman" w:hAnsi="Times New Roman"/>
        </w:rPr>
        <w:t>18</w:t>
      </w:r>
      <w:r w:rsidR="00282DDE" w:rsidRPr="00950741">
        <w:rPr>
          <w:rFonts w:ascii="Times New Roman" w:hAnsi="Times New Roman"/>
        </w:rPr>
        <w:t>(</w:t>
      </w:r>
      <w:r w:rsidR="005A24CD" w:rsidRPr="00950741">
        <w:rPr>
          <w:rFonts w:ascii="Times New Roman" w:hAnsi="Times New Roman"/>
        </w:rPr>
        <w:t>1</w:t>
      </w:r>
      <w:r w:rsidR="00282DDE" w:rsidRPr="00950741">
        <w:rPr>
          <w:rFonts w:ascii="Times New Roman" w:hAnsi="Times New Roman"/>
        </w:rPr>
        <w:t>)</w:t>
      </w:r>
      <w:r w:rsidR="005A24CD" w:rsidRPr="00950741">
        <w:rPr>
          <w:rFonts w:ascii="Times New Roman" w:hAnsi="Times New Roman"/>
        </w:rPr>
        <w:t xml:space="preserve"> </w:t>
      </w:r>
      <w:r w:rsidR="00437854" w:rsidRPr="00950741">
        <w:rPr>
          <w:rFonts w:ascii="Times New Roman" w:hAnsi="Times New Roman"/>
        </w:rPr>
        <w:t>(now Art</w:t>
      </w:r>
      <w:r w:rsidR="00A074EA" w:rsidRPr="00950741">
        <w:rPr>
          <w:rFonts w:ascii="Times New Roman" w:hAnsi="Times New Roman"/>
        </w:rPr>
        <w:t> </w:t>
      </w:r>
      <w:r w:rsidR="00437854" w:rsidRPr="00950741">
        <w:rPr>
          <w:rFonts w:ascii="Times New Roman" w:hAnsi="Times New Roman"/>
        </w:rPr>
        <w:t>18</w:t>
      </w:r>
      <w:r w:rsidR="00282DDE" w:rsidRPr="00950741">
        <w:rPr>
          <w:rFonts w:ascii="Times New Roman" w:hAnsi="Times New Roman"/>
        </w:rPr>
        <w:t>(</w:t>
      </w:r>
      <w:r w:rsidR="00437854" w:rsidRPr="00950741">
        <w:rPr>
          <w:rFonts w:ascii="Times New Roman" w:hAnsi="Times New Roman"/>
        </w:rPr>
        <w:t>1</w:t>
      </w:r>
      <w:r w:rsidR="00282DDE" w:rsidRPr="00950741">
        <w:rPr>
          <w:rFonts w:ascii="Times New Roman" w:hAnsi="Times New Roman"/>
        </w:rPr>
        <w:t>)</w:t>
      </w:r>
      <w:r w:rsidR="00437854" w:rsidRPr="00950741">
        <w:rPr>
          <w:rFonts w:ascii="Times New Roman" w:hAnsi="Times New Roman"/>
        </w:rPr>
        <w:t xml:space="preserve">(a)) </w:t>
      </w:r>
      <w:r w:rsidR="005A24CD" w:rsidRPr="00950741">
        <w:rPr>
          <w:rFonts w:ascii="Times New Roman" w:hAnsi="Times New Roman"/>
        </w:rPr>
        <w:t xml:space="preserve">of the </w:t>
      </w:r>
      <w:r w:rsidR="00B469C1" w:rsidRPr="00950741">
        <w:rPr>
          <w:rFonts w:ascii="Times New Roman" w:hAnsi="Times New Roman"/>
        </w:rPr>
        <w:t>1976</w:t>
      </w:r>
      <w:r w:rsidR="00A73EBE" w:rsidRPr="00950741">
        <w:rPr>
          <w:rFonts w:ascii="Times New Roman" w:hAnsi="Times New Roman"/>
        </w:rPr>
        <w:t> </w:t>
      </w:r>
      <w:r w:rsidR="005A24CD" w:rsidRPr="00950741">
        <w:rPr>
          <w:rFonts w:ascii="Times New Roman" w:hAnsi="Times New Roman"/>
        </w:rPr>
        <w:t>Convention</w:t>
      </w:r>
      <w:r w:rsidR="0032164C" w:rsidRPr="00950741">
        <w:rPr>
          <w:rFonts w:ascii="Times New Roman" w:hAnsi="Times New Roman"/>
        </w:rPr>
        <w:t xml:space="preserve">. </w:t>
      </w:r>
      <w:r w:rsidR="00B0113D" w:rsidRPr="00950741">
        <w:rPr>
          <w:rFonts w:ascii="Times New Roman" w:hAnsi="Times New Roman"/>
        </w:rPr>
        <w:t xml:space="preserve">CSL contended </w:t>
      </w:r>
      <w:r w:rsidR="005A60FA" w:rsidRPr="00950741">
        <w:rPr>
          <w:rFonts w:ascii="Times New Roman" w:hAnsi="Times New Roman"/>
        </w:rPr>
        <w:t xml:space="preserve">in response </w:t>
      </w:r>
      <w:r w:rsidR="00B0113D" w:rsidRPr="00950741">
        <w:rPr>
          <w:rFonts w:ascii="Times New Roman" w:hAnsi="Times New Roman"/>
        </w:rPr>
        <w:t xml:space="preserve">that it did not matter if the para 22(e) claims were within the scope of </w:t>
      </w:r>
      <w:r w:rsidR="00430BBF" w:rsidRPr="00950741">
        <w:rPr>
          <w:rFonts w:ascii="Times New Roman" w:hAnsi="Times New Roman"/>
        </w:rPr>
        <w:t xml:space="preserve">the disapplied </w:t>
      </w:r>
      <w:r w:rsidR="00B0113D" w:rsidRPr="00950741">
        <w:rPr>
          <w:rFonts w:ascii="Times New Roman" w:hAnsi="Times New Roman"/>
        </w:rPr>
        <w:t>Art 2</w:t>
      </w:r>
      <w:r w:rsidR="00AD6E3A" w:rsidRPr="00950741">
        <w:rPr>
          <w:rFonts w:ascii="Times New Roman" w:hAnsi="Times New Roman"/>
        </w:rPr>
        <w:t>(</w:t>
      </w:r>
      <w:r w:rsidR="00B0113D" w:rsidRPr="00950741">
        <w:rPr>
          <w:rFonts w:ascii="Times New Roman" w:hAnsi="Times New Roman"/>
        </w:rPr>
        <w:t>1</w:t>
      </w:r>
      <w:r w:rsidR="00AD6E3A" w:rsidRPr="00950741">
        <w:rPr>
          <w:rFonts w:ascii="Times New Roman" w:hAnsi="Times New Roman"/>
        </w:rPr>
        <w:t>)</w:t>
      </w:r>
      <w:r w:rsidR="00B0113D" w:rsidRPr="00950741">
        <w:rPr>
          <w:rFonts w:ascii="Times New Roman" w:hAnsi="Times New Roman"/>
        </w:rPr>
        <w:t>(d) of the 1976</w:t>
      </w:r>
      <w:r w:rsidR="00A86FBA" w:rsidRPr="00950741">
        <w:rPr>
          <w:rFonts w:ascii="Times New Roman" w:hAnsi="Times New Roman"/>
        </w:rPr>
        <w:t> </w:t>
      </w:r>
      <w:r w:rsidR="00B0113D" w:rsidRPr="00950741">
        <w:rPr>
          <w:rFonts w:ascii="Times New Roman" w:hAnsi="Times New Roman"/>
        </w:rPr>
        <w:t xml:space="preserve">Convention because </w:t>
      </w:r>
      <w:r w:rsidR="00D81C3E" w:rsidRPr="00950741">
        <w:rPr>
          <w:rFonts w:ascii="Times New Roman" w:hAnsi="Times New Roman"/>
        </w:rPr>
        <w:t xml:space="preserve">those claims were </w:t>
      </w:r>
      <w:r w:rsidR="005A24CD" w:rsidRPr="00950741">
        <w:rPr>
          <w:rFonts w:ascii="Times New Roman" w:hAnsi="Times New Roman"/>
        </w:rPr>
        <w:t xml:space="preserve">also </w:t>
      </w:r>
      <w:r w:rsidR="00D81C3E" w:rsidRPr="00950741">
        <w:rPr>
          <w:rFonts w:ascii="Times New Roman" w:hAnsi="Times New Roman"/>
        </w:rPr>
        <w:t>within Art 2</w:t>
      </w:r>
      <w:r w:rsidR="00346E02" w:rsidRPr="00950741">
        <w:rPr>
          <w:rFonts w:ascii="Times New Roman" w:hAnsi="Times New Roman"/>
        </w:rPr>
        <w:t>(</w:t>
      </w:r>
      <w:r w:rsidR="00D81C3E" w:rsidRPr="00950741">
        <w:rPr>
          <w:rFonts w:ascii="Times New Roman" w:hAnsi="Times New Roman"/>
        </w:rPr>
        <w:t>1</w:t>
      </w:r>
      <w:r w:rsidR="00346E02" w:rsidRPr="00950741">
        <w:rPr>
          <w:rFonts w:ascii="Times New Roman" w:hAnsi="Times New Roman"/>
        </w:rPr>
        <w:t>)</w:t>
      </w:r>
      <w:r w:rsidR="00D81C3E" w:rsidRPr="00950741">
        <w:rPr>
          <w:rFonts w:ascii="Times New Roman" w:hAnsi="Times New Roman"/>
        </w:rPr>
        <w:t>(a) of the 1976</w:t>
      </w:r>
      <w:r w:rsidR="00A86FBA" w:rsidRPr="00950741">
        <w:rPr>
          <w:rFonts w:ascii="Times New Roman" w:hAnsi="Times New Roman"/>
        </w:rPr>
        <w:t> </w:t>
      </w:r>
      <w:r w:rsidR="00D81C3E" w:rsidRPr="00950741">
        <w:rPr>
          <w:rFonts w:ascii="Times New Roman" w:hAnsi="Times New Roman"/>
        </w:rPr>
        <w:t>Convention which meant that they were limitable.</w:t>
      </w:r>
    </w:p>
    <w:p w14:paraId="4C81B849" w14:textId="2FA65808" w:rsidR="00BA5002" w:rsidRPr="00950741" w:rsidRDefault="00BE6B75"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The primary judge in the Federal Court of Australia </w:t>
      </w:r>
      <w:r w:rsidR="00A85155" w:rsidRPr="00950741">
        <w:rPr>
          <w:rFonts w:ascii="Times New Roman" w:hAnsi="Times New Roman"/>
        </w:rPr>
        <w:t>(</w:t>
      </w:r>
      <w:r w:rsidRPr="00950741">
        <w:rPr>
          <w:rFonts w:ascii="Times New Roman" w:hAnsi="Times New Roman"/>
        </w:rPr>
        <w:t>Stewart</w:t>
      </w:r>
      <w:r w:rsidR="009C1E7C" w:rsidRPr="00950741">
        <w:rPr>
          <w:rFonts w:ascii="Times New Roman" w:hAnsi="Times New Roman"/>
        </w:rPr>
        <w:t> </w:t>
      </w:r>
      <w:r w:rsidRPr="00950741">
        <w:rPr>
          <w:rFonts w:ascii="Times New Roman" w:hAnsi="Times New Roman"/>
        </w:rPr>
        <w:t>J</w:t>
      </w:r>
      <w:r w:rsidR="00A85155" w:rsidRPr="00950741">
        <w:rPr>
          <w:rFonts w:ascii="Times New Roman" w:hAnsi="Times New Roman"/>
        </w:rPr>
        <w:t>)</w:t>
      </w:r>
      <w:r w:rsidRPr="00950741">
        <w:rPr>
          <w:rFonts w:ascii="Times New Roman" w:hAnsi="Times New Roman"/>
        </w:rPr>
        <w:t xml:space="preserve"> held that the para</w:t>
      </w:r>
      <w:r w:rsidR="00A251C2" w:rsidRPr="00950741">
        <w:rPr>
          <w:rFonts w:ascii="Times New Roman" w:hAnsi="Times New Roman"/>
        </w:rPr>
        <w:t> </w:t>
      </w:r>
      <w:r w:rsidRPr="00950741">
        <w:rPr>
          <w:rFonts w:ascii="Times New Roman" w:hAnsi="Times New Roman"/>
        </w:rPr>
        <w:t>22(e) claims</w:t>
      </w:r>
      <w:r w:rsidR="00CF753A" w:rsidRPr="00950741">
        <w:rPr>
          <w:rFonts w:ascii="Times New Roman" w:hAnsi="Times New Roman"/>
        </w:rPr>
        <w:t>,</w:t>
      </w:r>
      <w:r w:rsidRPr="00950741">
        <w:rPr>
          <w:rFonts w:ascii="Times New Roman" w:hAnsi="Times New Roman"/>
        </w:rPr>
        <w:t xml:space="preserve"> being </w:t>
      </w:r>
      <w:r w:rsidR="00CF753A" w:rsidRPr="00950741">
        <w:rPr>
          <w:rFonts w:ascii="Times New Roman" w:hAnsi="Times New Roman"/>
        </w:rPr>
        <w:t xml:space="preserve">claims </w:t>
      </w:r>
      <w:r w:rsidRPr="00950741">
        <w:rPr>
          <w:rFonts w:ascii="Times New Roman" w:hAnsi="Times New Roman"/>
        </w:rPr>
        <w:t>within the scope of Art</w:t>
      </w:r>
      <w:r w:rsidR="00A251C2" w:rsidRPr="00950741">
        <w:rPr>
          <w:rFonts w:ascii="Times New Roman" w:hAnsi="Times New Roman"/>
        </w:rPr>
        <w:t> </w:t>
      </w:r>
      <w:r w:rsidRPr="00950741">
        <w:rPr>
          <w:rFonts w:ascii="Times New Roman" w:hAnsi="Times New Roman"/>
        </w:rPr>
        <w:t>2</w:t>
      </w:r>
      <w:r w:rsidR="00CA553B" w:rsidRPr="00950741">
        <w:rPr>
          <w:rFonts w:ascii="Times New Roman" w:hAnsi="Times New Roman"/>
        </w:rPr>
        <w:t>(</w:t>
      </w:r>
      <w:r w:rsidRPr="00950741">
        <w:rPr>
          <w:rFonts w:ascii="Times New Roman" w:hAnsi="Times New Roman"/>
        </w:rPr>
        <w:t>1</w:t>
      </w:r>
      <w:r w:rsidR="00CA553B" w:rsidRPr="00950741">
        <w:rPr>
          <w:rFonts w:ascii="Times New Roman" w:hAnsi="Times New Roman"/>
        </w:rPr>
        <w:t>)</w:t>
      </w:r>
      <w:r w:rsidRPr="00950741">
        <w:rPr>
          <w:rFonts w:ascii="Times New Roman" w:hAnsi="Times New Roman"/>
        </w:rPr>
        <w:t>(a) of the 1976</w:t>
      </w:r>
      <w:r w:rsidR="00A86FBA" w:rsidRPr="00950741">
        <w:rPr>
          <w:rFonts w:ascii="Times New Roman" w:hAnsi="Times New Roman"/>
        </w:rPr>
        <w:t> </w:t>
      </w:r>
      <w:r w:rsidRPr="00950741">
        <w:rPr>
          <w:rFonts w:ascii="Times New Roman" w:hAnsi="Times New Roman"/>
        </w:rPr>
        <w:t>Convention</w:t>
      </w:r>
      <w:r w:rsidR="00CF753A" w:rsidRPr="00950741">
        <w:rPr>
          <w:rFonts w:ascii="Times New Roman" w:hAnsi="Times New Roman"/>
        </w:rPr>
        <w:t>,</w:t>
      </w:r>
      <w:r w:rsidRPr="00950741">
        <w:rPr>
          <w:rFonts w:ascii="Times New Roman" w:hAnsi="Times New Roman"/>
        </w:rPr>
        <w:t xml:space="preserve"> were limitable irrespective of the fact that those claims were </w:t>
      </w:r>
      <w:r w:rsidRPr="00950741">
        <w:rPr>
          <w:rFonts w:ascii="Times New Roman" w:hAnsi="Times New Roman"/>
        </w:rPr>
        <w:lastRenderedPageBreak/>
        <w:t xml:space="preserve">also within the scope of </w:t>
      </w:r>
      <w:r w:rsidR="00430BBF" w:rsidRPr="00950741">
        <w:rPr>
          <w:rFonts w:ascii="Times New Roman" w:hAnsi="Times New Roman"/>
        </w:rPr>
        <w:t xml:space="preserve">the disapplied </w:t>
      </w:r>
      <w:r w:rsidRPr="00950741">
        <w:rPr>
          <w:rFonts w:ascii="Times New Roman" w:hAnsi="Times New Roman"/>
        </w:rPr>
        <w:t>Art</w:t>
      </w:r>
      <w:r w:rsidR="00CF753A" w:rsidRPr="00950741">
        <w:rPr>
          <w:rFonts w:ascii="Times New Roman" w:hAnsi="Times New Roman"/>
        </w:rPr>
        <w:t> </w:t>
      </w:r>
      <w:r w:rsidRPr="00950741">
        <w:rPr>
          <w:rFonts w:ascii="Times New Roman" w:hAnsi="Times New Roman"/>
        </w:rPr>
        <w:t>2</w:t>
      </w:r>
      <w:r w:rsidR="00FE10C7" w:rsidRPr="00950741">
        <w:rPr>
          <w:rFonts w:ascii="Times New Roman" w:hAnsi="Times New Roman"/>
        </w:rPr>
        <w:t>(</w:t>
      </w:r>
      <w:r w:rsidRPr="00950741">
        <w:rPr>
          <w:rFonts w:ascii="Times New Roman" w:hAnsi="Times New Roman"/>
        </w:rPr>
        <w:t>1</w:t>
      </w:r>
      <w:r w:rsidR="00D84F63" w:rsidRPr="00950741">
        <w:rPr>
          <w:rFonts w:ascii="Times New Roman" w:hAnsi="Times New Roman"/>
        </w:rPr>
        <w:t>)</w:t>
      </w:r>
      <w:r w:rsidRPr="00950741">
        <w:rPr>
          <w:rFonts w:ascii="Times New Roman" w:hAnsi="Times New Roman"/>
        </w:rPr>
        <w:t xml:space="preserve">(d) of the </w:t>
      </w:r>
      <w:r w:rsidR="00272B12" w:rsidRPr="00950741">
        <w:rPr>
          <w:rFonts w:ascii="Times New Roman" w:hAnsi="Times New Roman"/>
        </w:rPr>
        <w:t>1976</w:t>
      </w:r>
      <w:r w:rsidR="00A86FBA" w:rsidRPr="00950741">
        <w:rPr>
          <w:rFonts w:ascii="Times New Roman" w:hAnsi="Times New Roman"/>
        </w:rPr>
        <w:t> </w:t>
      </w:r>
      <w:r w:rsidRPr="00950741">
        <w:rPr>
          <w:rFonts w:ascii="Times New Roman" w:hAnsi="Times New Roman"/>
        </w:rPr>
        <w:t>Convention.</w:t>
      </w:r>
      <w:r w:rsidR="0096609A" w:rsidRPr="00950741">
        <w:rPr>
          <w:rStyle w:val="FootnoteReference"/>
          <w:rFonts w:ascii="Times New Roman" w:hAnsi="Times New Roman"/>
          <w:sz w:val="24"/>
        </w:rPr>
        <w:footnoteReference w:id="3"/>
      </w:r>
      <w:r w:rsidR="00A251C2" w:rsidRPr="00950741">
        <w:rPr>
          <w:rFonts w:ascii="Times New Roman" w:hAnsi="Times New Roman"/>
        </w:rPr>
        <w:t xml:space="preserve"> </w:t>
      </w:r>
      <w:r w:rsidR="0096609A" w:rsidRPr="00950741">
        <w:rPr>
          <w:rFonts w:ascii="Times New Roman" w:hAnsi="Times New Roman"/>
        </w:rPr>
        <w:t xml:space="preserve">The </w:t>
      </w:r>
      <w:r w:rsidR="003F4801" w:rsidRPr="00950741">
        <w:rPr>
          <w:rFonts w:ascii="Times New Roman" w:hAnsi="Times New Roman"/>
        </w:rPr>
        <w:t xml:space="preserve">Full Court of the Federal Court of Australia </w:t>
      </w:r>
      <w:r w:rsidR="00A85155" w:rsidRPr="00950741">
        <w:rPr>
          <w:rFonts w:ascii="Times New Roman" w:hAnsi="Times New Roman"/>
        </w:rPr>
        <w:t>(</w:t>
      </w:r>
      <w:r w:rsidR="003F4801" w:rsidRPr="00950741">
        <w:rPr>
          <w:rFonts w:ascii="Times New Roman" w:hAnsi="Times New Roman"/>
        </w:rPr>
        <w:t>Burley, Sarah</w:t>
      </w:r>
      <w:r w:rsidR="00525F5A" w:rsidRPr="00950741">
        <w:rPr>
          <w:rFonts w:ascii="Times New Roman" w:hAnsi="Times New Roman"/>
        </w:rPr>
        <w:t> </w:t>
      </w:r>
      <w:r w:rsidR="003F4801" w:rsidRPr="00950741">
        <w:rPr>
          <w:rFonts w:ascii="Times New Roman" w:hAnsi="Times New Roman"/>
        </w:rPr>
        <w:t>C</w:t>
      </w:r>
      <w:r w:rsidR="00525F5A" w:rsidRPr="00950741">
        <w:rPr>
          <w:rFonts w:ascii="Times New Roman" w:hAnsi="Times New Roman"/>
        </w:rPr>
        <w:t> </w:t>
      </w:r>
      <w:r w:rsidR="003F4801" w:rsidRPr="00950741">
        <w:rPr>
          <w:rFonts w:ascii="Times New Roman" w:hAnsi="Times New Roman"/>
        </w:rPr>
        <w:t>Derrington and O'Sullivan JJ</w:t>
      </w:r>
      <w:r w:rsidR="00A85155" w:rsidRPr="00950741">
        <w:rPr>
          <w:rFonts w:ascii="Times New Roman" w:hAnsi="Times New Roman"/>
        </w:rPr>
        <w:t>)</w:t>
      </w:r>
      <w:r w:rsidR="003F4801" w:rsidRPr="00950741">
        <w:rPr>
          <w:rFonts w:ascii="Times New Roman" w:hAnsi="Times New Roman"/>
        </w:rPr>
        <w:t xml:space="preserve"> </w:t>
      </w:r>
      <w:r w:rsidR="00BA5002" w:rsidRPr="00950741">
        <w:rPr>
          <w:rFonts w:ascii="Times New Roman" w:hAnsi="Times New Roman"/>
        </w:rPr>
        <w:t xml:space="preserve">allowed </w:t>
      </w:r>
      <w:r w:rsidR="00CB69AD" w:rsidRPr="00950741">
        <w:rPr>
          <w:rFonts w:ascii="Times New Roman" w:hAnsi="Times New Roman"/>
        </w:rPr>
        <w:t xml:space="preserve">TasPorts' </w:t>
      </w:r>
      <w:r w:rsidR="00BA5002" w:rsidRPr="00950741">
        <w:rPr>
          <w:rFonts w:ascii="Times New Roman" w:hAnsi="Times New Roman"/>
        </w:rPr>
        <w:t xml:space="preserve">appeal against the primary judge's orders and </w:t>
      </w:r>
      <w:r w:rsidR="003F4801" w:rsidRPr="00950741">
        <w:rPr>
          <w:rFonts w:ascii="Times New Roman" w:hAnsi="Times New Roman"/>
        </w:rPr>
        <w:t xml:space="preserve">held that </w:t>
      </w:r>
      <w:r w:rsidR="004B0F96" w:rsidRPr="00950741">
        <w:rPr>
          <w:rFonts w:ascii="Times New Roman" w:hAnsi="Times New Roman"/>
        </w:rPr>
        <w:t>the para 22(e) claims</w:t>
      </w:r>
      <w:r w:rsidR="004105CF" w:rsidRPr="00950741">
        <w:rPr>
          <w:rFonts w:ascii="Times New Roman" w:hAnsi="Times New Roman"/>
        </w:rPr>
        <w:t>,</w:t>
      </w:r>
      <w:r w:rsidR="004B0F96" w:rsidRPr="00950741">
        <w:rPr>
          <w:rFonts w:ascii="Times New Roman" w:hAnsi="Times New Roman"/>
        </w:rPr>
        <w:t xml:space="preserve"> being </w:t>
      </w:r>
      <w:r w:rsidR="004105CF" w:rsidRPr="00950741">
        <w:rPr>
          <w:rFonts w:ascii="Times New Roman" w:hAnsi="Times New Roman"/>
        </w:rPr>
        <w:t xml:space="preserve">claims </w:t>
      </w:r>
      <w:r w:rsidR="004B0F96" w:rsidRPr="00950741">
        <w:rPr>
          <w:rFonts w:ascii="Times New Roman" w:hAnsi="Times New Roman"/>
        </w:rPr>
        <w:t xml:space="preserve">within the scope of </w:t>
      </w:r>
      <w:r w:rsidR="004105CF" w:rsidRPr="00950741">
        <w:rPr>
          <w:rFonts w:ascii="Times New Roman" w:hAnsi="Times New Roman"/>
        </w:rPr>
        <w:t xml:space="preserve">the disapplied </w:t>
      </w:r>
      <w:r w:rsidR="004B0F96" w:rsidRPr="00950741">
        <w:rPr>
          <w:rFonts w:ascii="Times New Roman" w:hAnsi="Times New Roman"/>
        </w:rPr>
        <w:t>Art 2</w:t>
      </w:r>
      <w:r w:rsidR="000316C4" w:rsidRPr="00950741">
        <w:rPr>
          <w:rFonts w:ascii="Times New Roman" w:hAnsi="Times New Roman"/>
        </w:rPr>
        <w:t>(</w:t>
      </w:r>
      <w:r w:rsidR="004B0F96" w:rsidRPr="00950741">
        <w:rPr>
          <w:rFonts w:ascii="Times New Roman" w:hAnsi="Times New Roman"/>
        </w:rPr>
        <w:t>1</w:t>
      </w:r>
      <w:r w:rsidR="000316C4" w:rsidRPr="00950741">
        <w:rPr>
          <w:rFonts w:ascii="Times New Roman" w:hAnsi="Times New Roman"/>
        </w:rPr>
        <w:t>)</w:t>
      </w:r>
      <w:r w:rsidR="004B0F96" w:rsidRPr="00950741">
        <w:rPr>
          <w:rFonts w:ascii="Times New Roman" w:hAnsi="Times New Roman"/>
        </w:rPr>
        <w:t>(d) of the 1976</w:t>
      </w:r>
      <w:r w:rsidR="00A86FBA" w:rsidRPr="00950741">
        <w:rPr>
          <w:rFonts w:ascii="Times New Roman" w:hAnsi="Times New Roman"/>
        </w:rPr>
        <w:t> </w:t>
      </w:r>
      <w:r w:rsidR="004B0F96" w:rsidRPr="00950741">
        <w:rPr>
          <w:rFonts w:ascii="Times New Roman" w:hAnsi="Times New Roman"/>
        </w:rPr>
        <w:t>Convention</w:t>
      </w:r>
      <w:r w:rsidR="00CE0709" w:rsidRPr="00950741">
        <w:rPr>
          <w:rFonts w:ascii="Times New Roman" w:hAnsi="Times New Roman"/>
        </w:rPr>
        <w:t>,</w:t>
      </w:r>
      <w:r w:rsidR="004B0F96" w:rsidRPr="00950741">
        <w:rPr>
          <w:rFonts w:ascii="Times New Roman" w:hAnsi="Times New Roman"/>
        </w:rPr>
        <w:t xml:space="preserve"> were not limitable irrespective of the fact that those claims were also within the scope of Art</w:t>
      </w:r>
      <w:r w:rsidR="009B2C96" w:rsidRPr="00950741">
        <w:rPr>
          <w:rFonts w:ascii="Times New Roman" w:hAnsi="Times New Roman"/>
        </w:rPr>
        <w:t> </w:t>
      </w:r>
      <w:r w:rsidR="004B0F96" w:rsidRPr="00950741">
        <w:rPr>
          <w:rFonts w:ascii="Times New Roman" w:hAnsi="Times New Roman"/>
        </w:rPr>
        <w:t>2</w:t>
      </w:r>
      <w:r w:rsidR="009B2C96" w:rsidRPr="00950741">
        <w:rPr>
          <w:rFonts w:ascii="Times New Roman" w:hAnsi="Times New Roman"/>
        </w:rPr>
        <w:t>(</w:t>
      </w:r>
      <w:r w:rsidR="004B0F96" w:rsidRPr="00950741">
        <w:rPr>
          <w:rFonts w:ascii="Times New Roman" w:hAnsi="Times New Roman"/>
        </w:rPr>
        <w:t>1</w:t>
      </w:r>
      <w:r w:rsidR="009B2C96" w:rsidRPr="00950741">
        <w:rPr>
          <w:rFonts w:ascii="Times New Roman" w:hAnsi="Times New Roman"/>
        </w:rPr>
        <w:t>)</w:t>
      </w:r>
      <w:r w:rsidR="004B0F96" w:rsidRPr="00950741">
        <w:rPr>
          <w:rFonts w:ascii="Times New Roman" w:hAnsi="Times New Roman"/>
        </w:rPr>
        <w:t>(a) of the 1976</w:t>
      </w:r>
      <w:r w:rsidR="00035810" w:rsidRPr="00950741">
        <w:rPr>
          <w:rFonts w:ascii="Times New Roman" w:hAnsi="Times New Roman"/>
        </w:rPr>
        <w:t> </w:t>
      </w:r>
      <w:r w:rsidR="004B0F96" w:rsidRPr="00950741">
        <w:rPr>
          <w:rFonts w:ascii="Times New Roman" w:hAnsi="Times New Roman"/>
        </w:rPr>
        <w:t>Convention.</w:t>
      </w:r>
      <w:r w:rsidR="004B0F96" w:rsidRPr="00950741">
        <w:rPr>
          <w:rStyle w:val="FootnoteReference"/>
          <w:rFonts w:ascii="Times New Roman" w:hAnsi="Times New Roman"/>
          <w:sz w:val="24"/>
        </w:rPr>
        <w:footnoteReference w:id="4"/>
      </w:r>
      <w:r w:rsidR="009D6E52" w:rsidRPr="00950741">
        <w:rPr>
          <w:rFonts w:ascii="Times New Roman" w:hAnsi="Times New Roman"/>
        </w:rPr>
        <w:t xml:space="preserve"> </w:t>
      </w:r>
      <w:r w:rsidR="00CE0709" w:rsidRPr="00950741">
        <w:rPr>
          <w:rFonts w:ascii="Times New Roman" w:hAnsi="Times New Roman"/>
        </w:rPr>
        <w:t>T</w:t>
      </w:r>
      <w:r w:rsidR="00BA5002" w:rsidRPr="00950741">
        <w:rPr>
          <w:rFonts w:ascii="Times New Roman" w:hAnsi="Times New Roman"/>
        </w:rPr>
        <w:t xml:space="preserve">he Full Court made a declaration </w:t>
      </w:r>
      <w:r w:rsidR="004F75FA" w:rsidRPr="00950741">
        <w:rPr>
          <w:rFonts w:ascii="Times New Roman" w:hAnsi="Times New Roman"/>
        </w:rPr>
        <w:t>reflecting this holding.</w:t>
      </w:r>
    </w:p>
    <w:p w14:paraId="0D89D874" w14:textId="20934F6D" w:rsidR="0070486C" w:rsidRPr="00950741" w:rsidRDefault="009D6E52" w:rsidP="00950741">
      <w:pPr>
        <w:pStyle w:val="FixListStyle"/>
        <w:spacing w:after="260" w:line="280" w:lineRule="exact"/>
        <w:ind w:right="0"/>
        <w:jc w:val="both"/>
        <w:rPr>
          <w:rFonts w:ascii="Times New Roman" w:hAnsi="Times New Roman"/>
        </w:rPr>
      </w:pPr>
      <w:r w:rsidRPr="00950741">
        <w:rPr>
          <w:rFonts w:ascii="Times New Roman" w:hAnsi="Times New Roman"/>
        </w:rPr>
        <w:tab/>
        <w:t>Th</w:t>
      </w:r>
      <w:r w:rsidR="009D4056" w:rsidRPr="00950741">
        <w:rPr>
          <w:rFonts w:ascii="Times New Roman" w:hAnsi="Times New Roman"/>
        </w:rPr>
        <w:t>is</w:t>
      </w:r>
      <w:r w:rsidRPr="00950741">
        <w:rPr>
          <w:rFonts w:ascii="Times New Roman" w:hAnsi="Times New Roman"/>
        </w:rPr>
        <w:t xml:space="preserve"> </w:t>
      </w:r>
      <w:r w:rsidR="000943E3" w:rsidRPr="00950741">
        <w:rPr>
          <w:rFonts w:ascii="Times New Roman" w:hAnsi="Times New Roman"/>
        </w:rPr>
        <w:t xml:space="preserve">appeal </w:t>
      </w:r>
      <w:r w:rsidR="00841CED" w:rsidRPr="00950741">
        <w:rPr>
          <w:rFonts w:ascii="Times New Roman" w:hAnsi="Times New Roman"/>
        </w:rPr>
        <w:t xml:space="preserve">from the orders of the Full Court accordingly </w:t>
      </w:r>
      <w:r w:rsidR="00BA5002" w:rsidRPr="00950741">
        <w:rPr>
          <w:rFonts w:ascii="Times New Roman" w:hAnsi="Times New Roman"/>
        </w:rPr>
        <w:t xml:space="preserve">concerns the </w:t>
      </w:r>
      <w:r w:rsidR="0070486C" w:rsidRPr="00950741">
        <w:rPr>
          <w:rFonts w:ascii="Times New Roman" w:hAnsi="Times New Roman"/>
        </w:rPr>
        <w:t>relationship between Art 2</w:t>
      </w:r>
      <w:r w:rsidR="008C4382" w:rsidRPr="00950741">
        <w:rPr>
          <w:rFonts w:ascii="Times New Roman" w:hAnsi="Times New Roman"/>
        </w:rPr>
        <w:t>(</w:t>
      </w:r>
      <w:r w:rsidR="0070486C" w:rsidRPr="00950741">
        <w:rPr>
          <w:rFonts w:ascii="Times New Roman" w:hAnsi="Times New Roman"/>
        </w:rPr>
        <w:t>1</w:t>
      </w:r>
      <w:r w:rsidR="008C4382" w:rsidRPr="00950741">
        <w:rPr>
          <w:rFonts w:ascii="Times New Roman" w:hAnsi="Times New Roman"/>
        </w:rPr>
        <w:t>)</w:t>
      </w:r>
      <w:r w:rsidR="0070486C" w:rsidRPr="00950741">
        <w:rPr>
          <w:rFonts w:ascii="Times New Roman" w:hAnsi="Times New Roman"/>
        </w:rPr>
        <w:t>(a) and</w:t>
      </w:r>
      <w:r w:rsidR="00FA5A35" w:rsidRPr="00950741">
        <w:rPr>
          <w:rFonts w:ascii="Times New Roman" w:hAnsi="Times New Roman"/>
        </w:rPr>
        <w:t> </w:t>
      </w:r>
      <w:r w:rsidR="0070486C" w:rsidRPr="00950741">
        <w:rPr>
          <w:rFonts w:ascii="Times New Roman" w:hAnsi="Times New Roman"/>
        </w:rPr>
        <w:t xml:space="preserve">(d) of the </w:t>
      </w:r>
      <w:r w:rsidR="00176283" w:rsidRPr="00950741">
        <w:rPr>
          <w:rFonts w:ascii="Times New Roman" w:hAnsi="Times New Roman"/>
        </w:rPr>
        <w:t>1976</w:t>
      </w:r>
      <w:r w:rsidR="00A86FBA" w:rsidRPr="00950741">
        <w:rPr>
          <w:rFonts w:ascii="Times New Roman" w:hAnsi="Times New Roman"/>
        </w:rPr>
        <w:t> </w:t>
      </w:r>
      <w:r w:rsidR="0070486C" w:rsidRPr="00950741">
        <w:rPr>
          <w:rFonts w:ascii="Times New Roman" w:hAnsi="Times New Roman"/>
        </w:rPr>
        <w:t xml:space="preserve">Convention in circumstances where a State, in this case Australia, in </w:t>
      </w:r>
      <w:r w:rsidR="00B67993" w:rsidRPr="00950741">
        <w:rPr>
          <w:rFonts w:ascii="Times New Roman" w:hAnsi="Times New Roman"/>
        </w:rPr>
        <w:t xml:space="preserve">accordance with </w:t>
      </w:r>
      <w:r w:rsidR="0070486C" w:rsidRPr="00950741">
        <w:rPr>
          <w:rFonts w:ascii="Times New Roman" w:hAnsi="Times New Roman"/>
        </w:rPr>
        <w:t>Art 18</w:t>
      </w:r>
      <w:r w:rsidR="00E224ED" w:rsidRPr="00950741">
        <w:rPr>
          <w:rFonts w:ascii="Times New Roman" w:hAnsi="Times New Roman"/>
        </w:rPr>
        <w:t>(</w:t>
      </w:r>
      <w:r w:rsidR="00DD2DEC" w:rsidRPr="00950741">
        <w:rPr>
          <w:rFonts w:ascii="Times New Roman" w:hAnsi="Times New Roman"/>
        </w:rPr>
        <w:t>1</w:t>
      </w:r>
      <w:r w:rsidR="00E224ED" w:rsidRPr="00950741">
        <w:rPr>
          <w:rFonts w:ascii="Times New Roman" w:hAnsi="Times New Roman"/>
        </w:rPr>
        <w:t>)</w:t>
      </w:r>
      <w:r w:rsidR="0070486C" w:rsidRPr="00950741">
        <w:rPr>
          <w:rFonts w:ascii="Times New Roman" w:hAnsi="Times New Roman"/>
        </w:rPr>
        <w:t xml:space="preserve"> of the </w:t>
      </w:r>
      <w:r w:rsidR="00565748" w:rsidRPr="00950741">
        <w:rPr>
          <w:rFonts w:ascii="Times New Roman" w:hAnsi="Times New Roman"/>
        </w:rPr>
        <w:t>1976</w:t>
      </w:r>
      <w:r w:rsidR="00832D02" w:rsidRPr="00950741">
        <w:rPr>
          <w:rFonts w:ascii="Times New Roman" w:hAnsi="Times New Roman"/>
        </w:rPr>
        <w:t> </w:t>
      </w:r>
      <w:r w:rsidR="0070486C" w:rsidRPr="00950741">
        <w:rPr>
          <w:rFonts w:ascii="Times New Roman" w:hAnsi="Times New Roman"/>
        </w:rPr>
        <w:t>Convention</w:t>
      </w:r>
      <w:r w:rsidR="00EC3DEC" w:rsidRPr="00950741">
        <w:rPr>
          <w:rFonts w:ascii="Times New Roman" w:hAnsi="Times New Roman"/>
        </w:rPr>
        <w:t xml:space="preserve"> at that time</w:t>
      </w:r>
      <w:r w:rsidR="006F55A2" w:rsidRPr="00950741">
        <w:rPr>
          <w:rFonts w:ascii="Times New Roman" w:hAnsi="Times New Roman"/>
        </w:rPr>
        <w:t>,</w:t>
      </w:r>
      <w:r w:rsidR="0070486C" w:rsidRPr="00950741">
        <w:rPr>
          <w:rFonts w:ascii="Times New Roman" w:hAnsi="Times New Roman"/>
        </w:rPr>
        <w:t xml:space="preserve"> "reserve</w:t>
      </w:r>
      <w:r w:rsidR="006F55A2" w:rsidRPr="00950741">
        <w:rPr>
          <w:rFonts w:ascii="Times New Roman" w:hAnsi="Times New Roman"/>
        </w:rPr>
        <w:t>[d]</w:t>
      </w:r>
      <w:r w:rsidR="0070486C" w:rsidRPr="00950741">
        <w:rPr>
          <w:rFonts w:ascii="Times New Roman" w:hAnsi="Times New Roman"/>
        </w:rPr>
        <w:t xml:space="preserve"> the right to exclude the application of Article 2</w:t>
      </w:r>
      <w:r w:rsidR="001331A3" w:rsidRPr="00950741">
        <w:rPr>
          <w:rFonts w:ascii="Times New Roman" w:hAnsi="Times New Roman"/>
        </w:rPr>
        <w:t xml:space="preserve"> </w:t>
      </w:r>
      <w:r w:rsidR="0070486C" w:rsidRPr="00950741">
        <w:rPr>
          <w:rFonts w:ascii="Times New Roman" w:hAnsi="Times New Roman"/>
        </w:rPr>
        <w:t>paragraph 1</w:t>
      </w:r>
      <w:r w:rsidR="00D77F0B" w:rsidRPr="00950741">
        <w:rPr>
          <w:rFonts w:ascii="Times New Roman" w:hAnsi="Times New Roman"/>
        </w:rPr>
        <w:t xml:space="preserve"> </w:t>
      </w:r>
      <w:r w:rsidR="0070486C" w:rsidRPr="00950741">
        <w:rPr>
          <w:rFonts w:ascii="Times New Roman" w:hAnsi="Times New Roman"/>
        </w:rPr>
        <w:t>(d) and</w:t>
      </w:r>
      <w:r w:rsidR="0046307D" w:rsidRPr="00950741">
        <w:rPr>
          <w:rFonts w:ascii="Times New Roman" w:hAnsi="Times New Roman"/>
        </w:rPr>
        <w:t> </w:t>
      </w:r>
      <w:r w:rsidR="0070486C" w:rsidRPr="00950741">
        <w:rPr>
          <w:rFonts w:ascii="Times New Roman" w:hAnsi="Times New Roman"/>
        </w:rPr>
        <w:t>(e)</w:t>
      </w:r>
      <w:r w:rsidR="000741D7" w:rsidRPr="00950741">
        <w:rPr>
          <w:rFonts w:ascii="Times New Roman" w:hAnsi="Times New Roman"/>
        </w:rPr>
        <w:t>"</w:t>
      </w:r>
      <w:r w:rsidR="0070486C" w:rsidRPr="00950741">
        <w:rPr>
          <w:rFonts w:ascii="Times New Roman" w:hAnsi="Times New Roman"/>
        </w:rPr>
        <w:t>.</w:t>
      </w:r>
      <w:r w:rsidR="0070486C" w:rsidRPr="00950741">
        <w:rPr>
          <w:rStyle w:val="FootnoteReference"/>
          <w:rFonts w:ascii="Times New Roman" w:hAnsi="Times New Roman"/>
          <w:sz w:val="24"/>
        </w:rPr>
        <w:footnoteReference w:id="5"/>
      </w:r>
      <w:r w:rsidR="007C6F76" w:rsidRPr="00950741">
        <w:rPr>
          <w:rFonts w:ascii="Times New Roman" w:hAnsi="Times New Roman"/>
        </w:rPr>
        <w:t xml:space="preserve"> To understand the </w:t>
      </w:r>
      <w:r w:rsidR="000943E3" w:rsidRPr="00950741">
        <w:rPr>
          <w:rFonts w:ascii="Times New Roman" w:hAnsi="Times New Roman"/>
        </w:rPr>
        <w:t xml:space="preserve">dispute between the parties </w:t>
      </w:r>
      <w:r w:rsidR="007C6F76" w:rsidRPr="00950741">
        <w:rPr>
          <w:rFonts w:ascii="Times New Roman" w:hAnsi="Times New Roman"/>
        </w:rPr>
        <w:t xml:space="preserve">it is necessary to </w:t>
      </w:r>
      <w:r w:rsidR="00C63A3F" w:rsidRPr="00950741">
        <w:rPr>
          <w:rFonts w:ascii="Times New Roman" w:hAnsi="Times New Roman"/>
        </w:rPr>
        <w:t xml:space="preserve">begin with </w:t>
      </w:r>
      <w:r w:rsidR="007C6F76" w:rsidRPr="00950741">
        <w:rPr>
          <w:rFonts w:ascii="Times New Roman" w:hAnsi="Times New Roman"/>
        </w:rPr>
        <w:t>the text of the 1976</w:t>
      </w:r>
      <w:r w:rsidR="00176283" w:rsidRPr="00950741">
        <w:rPr>
          <w:rFonts w:ascii="Times New Roman" w:hAnsi="Times New Roman"/>
        </w:rPr>
        <w:t> </w:t>
      </w:r>
      <w:r w:rsidR="007C6F76" w:rsidRPr="00950741">
        <w:rPr>
          <w:rFonts w:ascii="Times New Roman" w:hAnsi="Times New Roman"/>
        </w:rPr>
        <w:t xml:space="preserve">Convention (as </w:t>
      </w:r>
      <w:r w:rsidR="00A20CC5" w:rsidRPr="00950741">
        <w:rPr>
          <w:rFonts w:ascii="Times New Roman" w:hAnsi="Times New Roman"/>
        </w:rPr>
        <w:t xml:space="preserve">made and as </w:t>
      </w:r>
      <w:r w:rsidR="007C6F76" w:rsidRPr="00950741">
        <w:rPr>
          <w:rFonts w:ascii="Times New Roman" w:hAnsi="Times New Roman"/>
        </w:rPr>
        <w:t>amended)</w:t>
      </w:r>
      <w:r w:rsidR="00B72600" w:rsidRPr="00950741">
        <w:rPr>
          <w:rFonts w:ascii="Times New Roman" w:hAnsi="Times New Roman"/>
        </w:rPr>
        <w:t>.</w:t>
      </w:r>
      <w:r w:rsidR="007C6F76" w:rsidRPr="00950741">
        <w:rPr>
          <w:rFonts w:ascii="Times New Roman" w:hAnsi="Times New Roman"/>
        </w:rPr>
        <w:t xml:space="preserve"> </w:t>
      </w:r>
      <w:r w:rsidR="00B72600" w:rsidRPr="00950741">
        <w:rPr>
          <w:rFonts w:ascii="Times New Roman" w:hAnsi="Times New Roman"/>
        </w:rPr>
        <w:t xml:space="preserve">When that text is construed </w:t>
      </w:r>
      <w:r w:rsidR="00222B46" w:rsidRPr="00950741">
        <w:rPr>
          <w:rFonts w:ascii="Times New Roman" w:hAnsi="Times New Roman"/>
        </w:rPr>
        <w:t xml:space="preserve">in accordance with the applicable principles of treaty interpretation </w:t>
      </w:r>
      <w:r w:rsidR="00A71424" w:rsidRPr="00950741">
        <w:rPr>
          <w:rFonts w:ascii="Times New Roman" w:hAnsi="Times New Roman"/>
        </w:rPr>
        <w:t xml:space="preserve">as recently summarised by this </w:t>
      </w:r>
      <w:r w:rsidR="00121500" w:rsidRPr="00950741">
        <w:rPr>
          <w:rFonts w:ascii="Times New Roman" w:hAnsi="Times New Roman"/>
        </w:rPr>
        <w:t>Court</w:t>
      </w:r>
      <w:r w:rsidR="00A71424" w:rsidRPr="00950741">
        <w:rPr>
          <w:rFonts w:ascii="Times New Roman" w:hAnsi="Times New Roman"/>
        </w:rPr>
        <w:t xml:space="preserve"> in </w:t>
      </w:r>
      <w:r w:rsidR="00121500" w:rsidRPr="00950741">
        <w:rPr>
          <w:rFonts w:ascii="Times New Roman" w:hAnsi="Times New Roman"/>
          <w:i/>
          <w:iCs/>
        </w:rPr>
        <w:t xml:space="preserve">Kingdom of Spain v Infrastructure Services Luxembourg </w:t>
      </w:r>
      <w:proofErr w:type="spellStart"/>
      <w:r w:rsidR="00121500" w:rsidRPr="00950741">
        <w:rPr>
          <w:rFonts w:ascii="Times New Roman" w:hAnsi="Times New Roman"/>
          <w:i/>
          <w:iCs/>
        </w:rPr>
        <w:t>Sàrl</w:t>
      </w:r>
      <w:proofErr w:type="spellEnd"/>
      <w:r w:rsidR="00121500" w:rsidRPr="00950741">
        <w:rPr>
          <w:rStyle w:val="FootnoteReference"/>
          <w:rFonts w:ascii="Times New Roman" w:hAnsi="Times New Roman"/>
          <w:sz w:val="24"/>
        </w:rPr>
        <w:footnoteReference w:id="6"/>
      </w:r>
      <w:r w:rsidR="00B72600" w:rsidRPr="00950741">
        <w:rPr>
          <w:rFonts w:ascii="Times New Roman" w:hAnsi="Times New Roman"/>
        </w:rPr>
        <w:t xml:space="preserve"> and </w:t>
      </w:r>
      <w:r w:rsidR="00CF7E6A" w:rsidRPr="00950741">
        <w:rPr>
          <w:rFonts w:ascii="Times New Roman" w:hAnsi="Times New Roman"/>
        </w:rPr>
        <w:t>consistently with its interpretation by both</w:t>
      </w:r>
      <w:r w:rsidR="0010211E" w:rsidRPr="00950741">
        <w:rPr>
          <w:rFonts w:ascii="Times New Roman" w:hAnsi="Times New Roman"/>
        </w:rPr>
        <w:t xml:space="preserve"> </w:t>
      </w:r>
      <w:r w:rsidR="009E1A36" w:rsidRPr="00950741">
        <w:rPr>
          <w:rFonts w:ascii="Times New Roman" w:hAnsi="Times New Roman"/>
        </w:rPr>
        <w:t xml:space="preserve">the Supreme </w:t>
      </w:r>
      <w:r w:rsidR="006658D3" w:rsidRPr="00950741">
        <w:rPr>
          <w:rFonts w:ascii="Times New Roman" w:hAnsi="Times New Roman"/>
        </w:rPr>
        <w:t>Court</w:t>
      </w:r>
      <w:r w:rsidR="009E1A36" w:rsidRPr="00950741">
        <w:rPr>
          <w:rFonts w:ascii="Times New Roman" w:hAnsi="Times New Roman"/>
        </w:rPr>
        <w:t xml:space="preserve"> of the United Kingdom in </w:t>
      </w:r>
      <w:r w:rsidR="009E1A36" w:rsidRPr="00950741">
        <w:rPr>
          <w:rFonts w:ascii="Times New Roman" w:hAnsi="Times New Roman"/>
          <w:i/>
          <w:iCs/>
        </w:rPr>
        <w:t xml:space="preserve">MSC Mediterranean Shipping Co SA v Conti 11 Container </w:t>
      </w:r>
      <w:proofErr w:type="spellStart"/>
      <w:r w:rsidR="009E1A36" w:rsidRPr="00950741">
        <w:rPr>
          <w:rFonts w:ascii="Times New Roman" w:hAnsi="Times New Roman"/>
          <w:i/>
          <w:iCs/>
        </w:rPr>
        <w:t>Schiffahrts</w:t>
      </w:r>
      <w:proofErr w:type="spellEnd"/>
      <w:r w:rsidR="009E1A36" w:rsidRPr="00950741">
        <w:rPr>
          <w:rFonts w:ascii="Times New Roman" w:hAnsi="Times New Roman"/>
          <w:i/>
          <w:iCs/>
        </w:rPr>
        <w:t xml:space="preserve">-GmbH &amp; Co KG MS </w:t>
      </w:r>
      <w:r w:rsidR="009E1A36" w:rsidRPr="00950741">
        <w:rPr>
          <w:rFonts w:ascii="Times New Roman" w:hAnsi="Times New Roman"/>
        </w:rPr>
        <w:t>("</w:t>
      </w:r>
      <w:r w:rsidR="009E1A36" w:rsidRPr="00950741">
        <w:rPr>
          <w:rFonts w:ascii="Times New Roman" w:hAnsi="Times New Roman"/>
          <w:i/>
          <w:iCs/>
        </w:rPr>
        <w:t>The Flaminia</w:t>
      </w:r>
      <w:r w:rsidR="009E1A36" w:rsidRPr="00950741">
        <w:rPr>
          <w:rFonts w:ascii="Times New Roman" w:hAnsi="Times New Roman"/>
        </w:rPr>
        <w:t>")</w:t>
      </w:r>
      <w:r w:rsidR="009E1A36" w:rsidRPr="00950741">
        <w:rPr>
          <w:rStyle w:val="FootnoteReference"/>
          <w:rFonts w:ascii="Times New Roman" w:hAnsi="Times New Roman"/>
          <w:sz w:val="24"/>
        </w:rPr>
        <w:footnoteReference w:id="7"/>
      </w:r>
      <w:r w:rsidR="009E1A36" w:rsidRPr="00950741">
        <w:rPr>
          <w:rFonts w:ascii="Times New Roman" w:hAnsi="Times New Roman"/>
        </w:rPr>
        <w:t xml:space="preserve"> </w:t>
      </w:r>
      <w:r w:rsidR="005761E7" w:rsidRPr="00950741">
        <w:rPr>
          <w:rFonts w:ascii="Times New Roman" w:hAnsi="Times New Roman"/>
        </w:rPr>
        <w:t>and the</w:t>
      </w:r>
      <w:r w:rsidR="00C43F0A" w:rsidRPr="00950741">
        <w:rPr>
          <w:rFonts w:ascii="Times New Roman" w:hAnsi="Times New Roman"/>
        </w:rPr>
        <w:t xml:space="preserve"> Hong Kong</w:t>
      </w:r>
      <w:r w:rsidR="005761E7" w:rsidRPr="00950741">
        <w:rPr>
          <w:rFonts w:ascii="Times New Roman" w:hAnsi="Times New Roman"/>
        </w:rPr>
        <w:t xml:space="preserve"> </w:t>
      </w:r>
      <w:r w:rsidR="0010211E" w:rsidRPr="00950741">
        <w:rPr>
          <w:rFonts w:ascii="Times New Roman" w:hAnsi="Times New Roman"/>
        </w:rPr>
        <w:t>Court of Final Appeal</w:t>
      </w:r>
      <w:r w:rsidR="00CF7E6A" w:rsidRPr="00950741">
        <w:rPr>
          <w:rFonts w:ascii="Times New Roman" w:hAnsi="Times New Roman"/>
        </w:rPr>
        <w:t xml:space="preserve"> </w:t>
      </w:r>
      <w:r w:rsidR="0010211E" w:rsidRPr="00950741">
        <w:rPr>
          <w:rFonts w:ascii="Times New Roman" w:hAnsi="Times New Roman"/>
        </w:rPr>
        <w:t xml:space="preserve">in </w:t>
      </w:r>
      <w:r w:rsidR="00CF7E6A" w:rsidRPr="00950741">
        <w:rPr>
          <w:rFonts w:ascii="Times New Roman" w:hAnsi="Times New Roman"/>
          <w:i/>
          <w:iCs/>
        </w:rPr>
        <w:t xml:space="preserve">Perusahaan Perseroan (Persero) PT Pertamina v Trevaskis Ltd </w:t>
      </w:r>
      <w:r w:rsidR="00CF7E6A" w:rsidRPr="00950741">
        <w:rPr>
          <w:rFonts w:ascii="Times New Roman" w:hAnsi="Times New Roman"/>
        </w:rPr>
        <w:t>("</w:t>
      </w:r>
      <w:r w:rsidR="00CF7E6A" w:rsidRPr="00950741">
        <w:rPr>
          <w:rFonts w:ascii="Times New Roman" w:hAnsi="Times New Roman"/>
          <w:i/>
          <w:iCs/>
        </w:rPr>
        <w:t>The Star Centurion</w:t>
      </w:r>
      <w:r w:rsidR="00CF7E6A" w:rsidRPr="00950741">
        <w:rPr>
          <w:rFonts w:ascii="Times New Roman" w:hAnsi="Times New Roman"/>
        </w:rPr>
        <w:t>")</w:t>
      </w:r>
      <w:r w:rsidR="009347BF" w:rsidRPr="00950741">
        <w:rPr>
          <w:rFonts w:ascii="Times New Roman" w:hAnsi="Times New Roman"/>
        </w:rPr>
        <w:t>,</w:t>
      </w:r>
      <w:r w:rsidR="00CF7E6A" w:rsidRPr="00950741">
        <w:rPr>
          <w:rStyle w:val="FootnoteReference"/>
          <w:rFonts w:ascii="Times New Roman" w:hAnsi="Times New Roman"/>
          <w:sz w:val="24"/>
        </w:rPr>
        <w:footnoteReference w:id="8"/>
      </w:r>
      <w:r w:rsidR="0010211E" w:rsidRPr="00950741">
        <w:rPr>
          <w:rFonts w:ascii="Times New Roman" w:hAnsi="Times New Roman"/>
        </w:rPr>
        <w:t xml:space="preserve"> </w:t>
      </w:r>
      <w:r w:rsidR="002961C1" w:rsidRPr="00950741">
        <w:rPr>
          <w:rFonts w:ascii="Times New Roman" w:hAnsi="Times New Roman"/>
        </w:rPr>
        <w:t xml:space="preserve">the conclusion for which </w:t>
      </w:r>
      <w:r w:rsidR="004E5BA1" w:rsidRPr="00950741">
        <w:rPr>
          <w:rFonts w:ascii="Times New Roman" w:hAnsi="Times New Roman"/>
        </w:rPr>
        <w:t>CSL contend</w:t>
      </w:r>
      <w:r w:rsidR="00A20CC5" w:rsidRPr="00950741">
        <w:rPr>
          <w:rFonts w:ascii="Times New Roman" w:hAnsi="Times New Roman"/>
        </w:rPr>
        <w:t>ed</w:t>
      </w:r>
      <w:r w:rsidR="004E5BA1" w:rsidRPr="00950741">
        <w:rPr>
          <w:rFonts w:ascii="Times New Roman" w:hAnsi="Times New Roman"/>
        </w:rPr>
        <w:t xml:space="preserve">, that </w:t>
      </w:r>
      <w:r w:rsidR="00A20CC5" w:rsidRPr="00950741">
        <w:rPr>
          <w:rFonts w:ascii="Times New Roman" w:hAnsi="Times New Roman"/>
        </w:rPr>
        <w:t xml:space="preserve">TasPorts' </w:t>
      </w:r>
      <w:r w:rsidR="004E5BA1" w:rsidRPr="00950741">
        <w:rPr>
          <w:rFonts w:ascii="Times New Roman" w:hAnsi="Times New Roman"/>
        </w:rPr>
        <w:t>para 22(e) claims are limitable under the 1976</w:t>
      </w:r>
      <w:r w:rsidR="009B6D58" w:rsidRPr="00950741">
        <w:rPr>
          <w:rFonts w:ascii="Times New Roman" w:hAnsi="Times New Roman"/>
        </w:rPr>
        <w:t> </w:t>
      </w:r>
      <w:r w:rsidR="004E5BA1" w:rsidRPr="00950741">
        <w:rPr>
          <w:rFonts w:ascii="Times New Roman" w:hAnsi="Times New Roman"/>
        </w:rPr>
        <w:t>Convention, becomes untenable.</w:t>
      </w:r>
      <w:r w:rsidR="00E031F7" w:rsidRPr="00950741">
        <w:rPr>
          <w:rFonts w:ascii="Times New Roman" w:hAnsi="Times New Roman"/>
        </w:rPr>
        <w:t xml:space="preserve"> </w:t>
      </w:r>
      <w:r w:rsidR="00A20CC5" w:rsidRPr="00950741">
        <w:rPr>
          <w:rFonts w:ascii="Times New Roman" w:hAnsi="Times New Roman"/>
        </w:rPr>
        <w:t>Accordingly, t</w:t>
      </w:r>
      <w:r w:rsidR="00E031F7" w:rsidRPr="00950741">
        <w:rPr>
          <w:rFonts w:ascii="Times New Roman" w:hAnsi="Times New Roman"/>
        </w:rPr>
        <w:t xml:space="preserve">he Full Court did not err in allowing </w:t>
      </w:r>
      <w:r w:rsidR="00A20CC5" w:rsidRPr="00950741">
        <w:rPr>
          <w:rFonts w:ascii="Times New Roman" w:hAnsi="Times New Roman"/>
        </w:rPr>
        <w:t>TasPorts'</w:t>
      </w:r>
      <w:r w:rsidR="007A018B" w:rsidRPr="00950741">
        <w:rPr>
          <w:rFonts w:ascii="Times New Roman" w:hAnsi="Times New Roman"/>
        </w:rPr>
        <w:t xml:space="preserve"> </w:t>
      </w:r>
      <w:r w:rsidR="00E031F7" w:rsidRPr="00950741">
        <w:rPr>
          <w:rFonts w:ascii="Times New Roman" w:hAnsi="Times New Roman"/>
        </w:rPr>
        <w:t xml:space="preserve">appeal and making the declaration. </w:t>
      </w:r>
    </w:p>
    <w:p w14:paraId="4C48DBB8" w14:textId="2CFAD088" w:rsidR="009D6E52" w:rsidRPr="00950741" w:rsidRDefault="009327B7" w:rsidP="00950741">
      <w:pPr>
        <w:pStyle w:val="HeadingL1"/>
        <w:spacing w:after="260" w:line="280" w:lineRule="exact"/>
        <w:ind w:right="0"/>
        <w:jc w:val="both"/>
        <w:rPr>
          <w:rFonts w:ascii="Times New Roman" w:hAnsi="Times New Roman"/>
        </w:rPr>
      </w:pPr>
      <w:r w:rsidRPr="00950741">
        <w:rPr>
          <w:rFonts w:ascii="Times New Roman" w:hAnsi="Times New Roman"/>
        </w:rPr>
        <w:t>The 1976</w:t>
      </w:r>
      <w:r w:rsidR="00A86FBA" w:rsidRPr="00950741">
        <w:rPr>
          <w:rFonts w:ascii="Times New Roman" w:hAnsi="Times New Roman"/>
        </w:rPr>
        <w:t> </w:t>
      </w:r>
      <w:r w:rsidRPr="00950741">
        <w:rPr>
          <w:rFonts w:ascii="Times New Roman" w:hAnsi="Times New Roman"/>
        </w:rPr>
        <w:t>Convention</w:t>
      </w:r>
    </w:p>
    <w:p w14:paraId="1D222443" w14:textId="574D7FA7" w:rsidR="009327B7" w:rsidRPr="00950741" w:rsidRDefault="009327B7"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1D3E22" w:rsidRPr="00950741">
        <w:rPr>
          <w:rFonts w:ascii="Times New Roman" w:hAnsi="Times New Roman"/>
        </w:rPr>
        <w:t>The preamble to the 1976</w:t>
      </w:r>
      <w:r w:rsidR="00837B91" w:rsidRPr="00950741">
        <w:rPr>
          <w:rFonts w:ascii="Times New Roman" w:hAnsi="Times New Roman"/>
        </w:rPr>
        <w:t> </w:t>
      </w:r>
      <w:r w:rsidR="001D3E22" w:rsidRPr="00950741">
        <w:rPr>
          <w:rFonts w:ascii="Times New Roman" w:hAnsi="Times New Roman"/>
        </w:rPr>
        <w:t xml:space="preserve">Convention records that the </w:t>
      </w:r>
      <w:r w:rsidR="003F1478" w:rsidRPr="00950741">
        <w:rPr>
          <w:rFonts w:ascii="Times New Roman" w:hAnsi="Times New Roman"/>
        </w:rPr>
        <w:t>State Parti</w:t>
      </w:r>
      <w:r w:rsidR="00FC348C" w:rsidRPr="00950741">
        <w:rPr>
          <w:rFonts w:ascii="Times New Roman" w:hAnsi="Times New Roman"/>
        </w:rPr>
        <w:t>e</w:t>
      </w:r>
      <w:r w:rsidR="003F1478" w:rsidRPr="00950741">
        <w:rPr>
          <w:rFonts w:ascii="Times New Roman" w:hAnsi="Times New Roman"/>
        </w:rPr>
        <w:t xml:space="preserve">s to the Convention, having recognised </w:t>
      </w:r>
      <w:r w:rsidR="00D83C6A" w:rsidRPr="00950741">
        <w:rPr>
          <w:rFonts w:ascii="Times New Roman" w:hAnsi="Times New Roman"/>
        </w:rPr>
        <w:t xml:space="preserve">"the desirability of determining by agreement </w:t>
      </w:r>
      <w:r w:rsidR="00D83C6A" w:rsidRPr="00950741">
        <w:rPr>
          <w:rFonts w:ascii="Times New Roman" w:hAnsi="Times New Roman"/>
        </w:rPr>
        <w:lastRenderedPageBreak/>
        <w:t>certain uniform rules relating to the limitation of liability for maritime claims"</w:t>
      </w:r>
      <w:r w:rsidR="00840419" w:rsidRPr="00950741">
        <w:rPr>
          <w:rFonts w:ascii="Times New Roman" w:hAnsi="Times New Roman"/>
        </w:rPr>
        <w:t>,</w:t>
      </w:r>
      <w:r w:rsidR="00D83C6A" w:rsidRPr="00950741">
        <w:rPr>
          <w:rFonts w:ascii="Times New Roman" w:hAnsi="Times New Roman"/>
        </w:rPr>
        <w:t xml:space="preserve"> have decided "</w:t>
      </w:r>
      <w:r w:rsidR="00FD2230" w:rsidRPr="00950741">
        <w:rPr>
          <w:rFonts w:ascii="Times New Roman" w:hAnsi="Times New Roman"/>
        </w:rPr>
        <w:t xml:space="preserve">to conclude a Convention for this purpose and have thereto agreed as follows". </w:t>
      </w:r>
    </w:p>
    <w:p w14:paraId="783BCAD0" w14:textId="2A1DB359" w:rsidR="00ED5A61" w:rsidRPr="00950741" w:rsidRDefault="00ED2BAC"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FD2230" w:rsidRPr="00950741">
        <w:rPr>
          <w:rFonts w:ascii="Times New Roman" w:hAnsi="Times New Roman"/>
        </w:rPr>
        <w:t>Chapter I</w:t>
      </w:r>
      <w:r w:rsidR="008949E2" w:rsidRPr="00950741">
        <w:rPr>
          <w:rFonts w:ascii="Times New Roman" w:hAnsi="Times New Roman"/>
        </w:rPr>
        <w:t>, "The Right of Limitation", contains five Articles. Article</w:t>
      </w:r>
      <w:r w:rsidR="00BF7EA4" w:rsidRPr="00950741">
        <w:rPr>
          <w:rFonts w:ascii="Times New Roman" w:hAnsi="Times New Roman"/>
        </w:rPr>
        <w:t> </w:t>
      </w:r>
      <w:r w:rsidR="008949E2" w:rsidRPr="00950741">
        <w:rPr>
          <w:rFonts w:ascii="Times New Roman" w:hAnsi="Times New Roman"/>
        </w:rPr>
        <w:t xml:space="preserve">1, </w:t>
      </w:r>
      <w:r w:rsidR="00F87095" w:rsidRPr="00950741">
        <w:rPr>
          <w:rFonts w:ascii="Times New Roman" w:hAnsi="Times New Roman"/>
        </w:rPr>
        <w:t xml:space="preserve">"Persons entitled to limit liability", contains, amongst other provisions, </w:t>
      </w:r>
      <w:r w:rsidR="0065206B" w:rsidRPr="00950741">
        <w:rPr>
          <w:rFonts w:ascii="Times New Roman" w:hAnsi="Times New Roman"/>
        </w:rPr>
        <w:t>paras</w:t>
      </w:r>
      <w:r w:rsidR="005D4EEA" w:rsidRPr="00950741">
        <w:rPr>
          <w:rFonts w:ascii="Times New Roman" w:hAnsi="Times New Roman"/>
        </w:rPr>
        <w:t> </w:t>
      </w:r>
      <w:r w:rsidR="00217BF1" w:rsidRPr="00950741">
        <w:rPr>
          <w:rFonts w:ascii="Times New Roman" w:hAnsi="Times New Roman"/>
        </w:rPr>
        <w:t>1 and</w:t>
      </w:r>
      <w:r w:rsidR="0046307D" w:rsidRPr="00950741">
        <w:rPr>
          <w:rFonts w:ascii="Times New Roman" w:hAnsi="Times New Roman"/>
        </w:rPr>
        <w:t> </w:t>
      </w:r>
      <w:r w:rsidR="00217BF1" w:rsidRPr="00950741">
        <w:rPr>
          <w:rFonts w:ascii="Times New Roman" w:hAnsi="Times New Roman"/>
        </w:rPr>
        <w:t xml:space="preserve">6 </w:t>
      </w:r>
      <w:r w:rsidR="00CE7613" w:rsidRPr="00950741">
        <w:rPr>
          <w:rFonts w:ascii="Times New Roman" w:hAnsi="Times New Roman"/>
        </w:rPr>
        <w:t>in these terms:</w:t>
      </w:r>
    </w:p>
    <w:p w14:paraId="29AD9E78" w14:textId="4E81162A" w:rsidR="00CE7613" w:rsidRPr="00950741" w:rsidRDefault="002C015D" w:rsidP="00950741">
      <w:pPr>
        <w:pStyle w:val="leftright"/>
        <w:spacing w:before="0" w:after="260" w:line="280" w:lineRule="exact"/>
        <w:ind w:right="0"/>
        <w:jc w:val="both"/>
        <w:rPr>
          <w:rFonts w:ascii="Times New Roman" w:hAnsi="Times New Roman"/>
        </w:rPr>
      </w:pPr>
      <w:r w:rsidRPr="00950741">
        <w:rPr>
          <w:rFonts w:ascii="Times New Roman" w:hAnsi="Times New Roman"/>
        </w:rPr>
        <w:t>"</w:t>
      </w:r>
      <w:r w:rsidR="00CE7613" w:rsidRPr="00950741">
        <w:rPr>
          <w:rFonts w:ascii="Times New Roman" w:hAnsi="Times New Roman"/>
        </w:rPr>
        <w:t>1. Shipowners and salvors, as hereinafter defined, may limit their liability in accordance with the rules of this Convention for claims set out in Article</w:t>
      </w:r>
      <w:r w:rsidR="00811BB3" w:rsidRPr="00950741">
        <w:rPr>
          <w:rFonts w:ascii="Times New Roman" w:hAnsi="Times New Roman"/>
        </w:rPr>
        <w:t> </w:t>
      </w:r>
      <w:r w:rsidR="00CE7613" w:rsidRPr="00950741">
        <w:rPr>
          <w:rFonts w:ascii="Times New Roman" w:hAnsi="Times New Roman"/>
        </w:rPr>
        <w:t>2.</w:t>
      </w:r>
    </w:p>
    <w:p w14:paraId="319E374D" w14:textId="354A9FA4" w:rsidR="00CE7613" w:rsidRPr="00950741" w:rsidRDefault="00CE7613" w:rsidP="00950741">
      <w:pPr>
        <w:pStyle w:val="leftright"/>
        <w:spacing w:before="0" w:after="260" w:line="280" w:lineRule="exact"/>
        <w:ind w:right="0"/>
        <w:jc w:val="both"/>
        <w:rPr>
          <w:rFonts w:ascii="Times New Roman" w:hAnsi="Times New Roman"/>
        </w:rPr>
      </w:pPr>
      <w:r w:rsidRPr="00950741">
        <w:rPr>
          <w:rFonts w:ascii="Times New Roman" w:hAnsi="Times New Roman"/>
        </w:rPr>
        <w:t>...</w:t>
      </w:r>
    </w:p>
    <w:p w14:paraId="32103FCE" w14:textId="77777777" w:rsidR="00950741" w:rsidRDefault="00FF7488" w:rsidP="00950741">
      <w:pPr>
        <w:pStyle w:val="leftright"/>
        <w:spacing w:before="0" w:after="260" w:line="280" w:lineRule="exact"/>
        <w:ind w:right="0"/>
        <w:jc w:val="both"/>
        <w:rPr>
          <w:rFonts w:ascii="Times New Roman" w:hAnsi="Times New Roman"/>
        </w:rPr>
      </w:pPr>
      <w:r w:rsidRPr="00950741">
        <w:rPr>
          <w:rFonts w:ascii="Times New Roman" w:hAnsi="Times New Roman"/>
        </w:rPr>
        <w:t>6. An insurer of liability for claims subject to limitation in accordance with the rules of this Convention shall be entitled to the benefits of this Convention to the same extent as the assured himself.</w:t>
      </w:r>
      <w:r w:rsidR="002C015D" w:rsidRPr="00950741">
        <w:rPr>
          <w:rFonts w:ascii="Times New Roman" w:hAnsi="Times New Roman"/>
        </w:rPr>
        <w:t>"</w:t>
      </w:r>
    </w:p>
    <w:p w14:paraId="3BBB760F" w14:textId="22C31BDA" w:rsidR="00FF7488" w:rsidRPr="00950741" w:rsidRDefault="00FF7488" w:rsidP="00950741">
      <w:pPr>
        <w:pStyle w:val="FixListStyle"/>
        <w:spacing w:after="260" w:line="280" w:lineRule="exact"/>
        <w:ind w:right="0"/>
        <w:jc w:val="both"/>
        <w:rPr>
          <w:rFonts w:ascii="Times New Roman" w:hAnsi="Times New Roman"/>
        </w:rPr>
      </w:pPr>
      <w:r w:rsidRPr="00950741">
        <w:rPr>
          <w:rFonts w:ascii="Times New Roman" w:hAnsi="Times New Roman"/>
        </w:rPr>
        <w:tab/>
        <w:t>Article</w:t>
      </w:r>
      <w:r w:rsidR="00581849" w:rsidRPr="00950741">
        <w:rPr>
          <w:rFonts w:ascii="Times New Roman" w:hAnsi="Times New Roman"/>
        </w:rPr>
        <w:t> </w:t>
      </w:r>
      <w:r w:rsidRPr="00950741">
        <w:rPr>
          <w:rFonts w:ascii="Times New Roman" w:hAnsi="Times New Roman"/>
        </w:rPr>
        <w:t xml:space="preserve">2, </w:t>
      </w:r>
      <w:r w:rsidR="0065206B" w:rsidRPr="00950741">
        <w:rPr>
          <w:rFonts w:ascii="Times New Roman" w:hAnsi="Times New Roman"/>
        </w:rPr>
        <w:t>"</w:t>
      </w:r>
      <w:r w:rsidRPr="00950741">
        <w:rPr>
          <w:rFonts w:ascii="Times New Roman" w:hAnsi="Times New Roman"/>
        </w:rPr>
        <w:t>Claims subject to limitation</w:t>
      </w:r>
      <w:r w:rsidR="0065206B" w:rsidRPr="00950741">
        <w:rPr>
          <w:rFonts w:ascii="Times New Roman" w:hAnsi="Times New Roman"/>
        </w:rPr>
        <w:t>"</w:t>
      </w:r>
      <w:r w:rsidRPr="00950741">
        <w:rPr>
          <w:rFonts w:ascii="Times New Roman" w:hAnsi="Times New Roman"/>
        </w:rPr>
        <w:t xml:space="preserve">, </w:t>
      </w:r>
      <w:r w:rsidR="0065206B" w:rsidRPr="00950741">
        <w:rPr>
          <w:rFonts w:ascii="Times New Roman" w:hAnsi="Times New Roman"/>
        </w:rPr>
        <w:t>contains, amongst other provisions, para</w:t>
      </w:r>
      <w:r w:rsidR="005347CF" w:rsidRPr="00950741">
        <w:rPr>
          <w:rFonts w:ascii="Times New Roman" w:hAnsi="Times New Roman"/>
        </w:rPr>
        <w:t> </w:t>
      </w:r>
      <w:r w:rsidR="0065206B" w:rsidRPr="00950741">
        <w:rPr>
          <w:rFonts w:ascii="Times New Roman" w:hAnsi="Times New Roman"/>
        </w:rPr>
        <w:t>1 as follows:</w:t>
      </w:r>
    </w:p>
    <w:p w14:paraId="1B027A23" w14:textId="6D23D161" w:rsidR="003F4A86" w:rsidRPr="00950741" w:rsidRDefault="0065206B" w:rsidP="00950741">
      <w:pPr>
        <w:pStyle w:val="leftright"/>
        <w:spacing w:before="0" w:after="260" w:line="280" w:lineRule="exact"/>
        <w:ind w:right="0"/>
        <w:jc w:val="both"/>
        <w:rPr>
          <w:rFonts w:ascii="Times New Roman" w:hAnsi="Times New Roman"/>
        </w:rPr>
      </w:pPr>
      <w:r w:rsidRPr="00950741">
        <w:rPr>
          <w:rFonts w:ascii="Times New Roman" w:hAnsi="Times New Roman"/>
        </w:rPr>
        <w:t>"</w:t>
      </w:r>
      <w:r w:rsidR="003F4A86" w:rsidRPr="00950741">
        <w:rPr>
          <w:rFonts w:ascii="Times New Roman" w:hAnsi="Times New Roman"/>
        </w:rPr>
        <w:t>1. Subject to Articles</w:t>
      </w:r>
      <w:r w:rsidR="00733419" w:rsidRPr="00950741">
        <w:rPr>
          <w:rFonts w:ascii="Times New Roman" w:hAnsi="Times New Roman"/>
        </w:rPr>
        <w:t> </w:t>
      </w:r>
      <w:r w:rsidR="003F4A86" w:rsidRPr="00950741">
        <w:rPr>
          <w:rFonts w:ascii="Times New Roman" w:hAnsi="Times New Roman"/>
        </w:rPr>
        <w:t>3 and</w:t>
      </w:r>
      <w:r w:rsidR="0046307D" w:rsidRPr="00950741">
        <w:rPr>
          <w:rFonts w:ascii="Times New Roman" w:hAnsi="Times New Roman"/>
        </w:rPr>
        <w:t> </w:t>
      </w:r>
      <w:r w:rsidR="003F4A86" w:rsidRPr="00950741">
        <w:rPr>
          <w:rFonts w:ascii="Times New Roman" w:hAnsi="Times New Roman"/>
        </w:rPr>
        <w:t>4 the following claims, whatever the basis of liability may be, shall be subject to limitation of liability:</w:t>
      </w:r>
    </w:p>
    <w:p w14:paraId="2C771BB8" w14:textId="3E373AD3" w:rsidR="003F4A86" w:rsidRPr="00950741" w:rsidRDefault="003F4A8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t xml:space="preserve">(a) </w:t>
      </w:r>
      <w:r w:rsidR="000A2B15" w:rsidRPr="00950741">
        <w:rPr>
          <w:rFonts w:ascii="Times New Roman" w:hAnsi="Times New Roman"/>
        </w:rPr>
        <w:tab/>
      </w:r>
      <w:r w:rsidRPr="00950741">
        <w:rPr>
          <w:rFonts w:ascii="Times New Roman" w:hAnsi="Times New Roman"/>
        </w:rPr>
        <w:t xml:space="preserve">claims in respect of loss of life or personal injury or loss of or damage to property (including damage to harbour works, basins and waterways and aids to navigation), occurring on board or in direct connexion with the operation of the ship or with salvage operations, and consequential loss resulting </w:t>
      </w:r>
      <w:proofErr w:type="gramStart"/>
      <w:r w:rsidRPr="00950741">
        <w:rPr>
          <w:rFonts w:ascii="Times New Roman" w:hAnsi="Times New Roman"/>
        </w:rPr>
        <w:t>therefrom;</w:t>
      </w:r>
      <w:proofErr w:type="gramEnd"/>
    </w:p>
    <w:p w14:paraId="76099D7A" w14:textId="271AA4CE" w:rsidR="003F4A86" w:rsidRPr="00950741" w:rsidRDefault="003F4A8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t xml:space="preserve">(b) </w:t>
      </w:r>
      <w:r w:rsidR="008E2E5F" w:rsidRPr="00950741">
        <w:rPr>
          <w:rFonts w:ascii="Times New Roman" w:hAnsi="Times New Roman"/>
        </w:rPr>
        <w:tab/>
      </w:r>
      <w:r w:rsidRPr="00950741">
        <w:rPr>
          <w:rFonts w:ascii="Times New Roman" w:hAnsi="Times New Roman"/>
        </w:rPr>
        <w:t xml:space="preserve">claims in respect of loss resulting from delay in the carriage by sea of cargo, passengers or their </w:t>
      </w:r>
      <w:proofErr w:type="gramStart"/>
      <w:r w:rsidRPr="00950741">
        <w:rPr>
          <w:rFonts w:ascii="Times New Roman" w:hAnsi="Times New Roman"/>
        </w:rPr>
        <w:t>luggage;</w:t>
      </w:r>
      <w:proofErr w:type="gramEnd"/>
    </w:p>
    <w:p w14:paraId="01C628E6" w14:textId="1B7AF458" w:rsidR="003F4A86" w:rsidRPr="00950741" w:rsidRDefault="003F4A8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t xml:space="preserve">(c) </w:t>
      </w:r>
      <w:r w:rsidR="00DA3032" w:rsidRPr="00950741">
        <w:rPr>
          <w:rFonts w:ascii="Times New Roman" w:hAnsi="Times New Roman"/>
        </w:rPr>
        <w:tab/>
      </w:r>
      <w:r w:rsidRPr="00950741">
        <w:rPr>
          <w:rFonts w:ascii="Times New Roman" w:hAnsi="Times New Roman"/>
        </w:rPr>
        <w:t xml:space="preserve">claims in respect of other loss resulting from infringement of rights other than contractual rights, occurring in direct connexion with the operation of the ship or salvage </w:t>
      </w:r>
      <w:proofErr w:type="gramStart"/>
      <w:r w:rsidRPr="00950741">
        <w:rPr>
          <w:rFonts w:ascii="Times New Roman" w:hAnsi="Times New Roman"/>
        </w:rPr>
        <w:t>operations;</w:t>
      </w:r>
      <w:proofErr w:type="gramEnd"/>
    </w:p>
    <w:p w14:paraId="03B2EB75" w14:textId="3B90F01A" w:rsidR="003F4A86" w:rsidRPr="00950741" w:rsidRDefault="003F4A8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t xml:space="preserve">(d) </w:t>
      </w:r>
      <w:r w:rsidR="00884673" w:rsidRPr="00950741">
        <w:rPr>
          <w:rFonts w:ascii="Times New Roman" w:hAnsi="Times New Roman"/>
        </w:rPr>
        <w:tab/>
      </w:r>
      <w:r w:rsidRPr="00950741">
        <w:rPr>
          <w:rFonts w:ascii="Times New Roman" w:hAnsi="Times New Roman"/>
        </w:rPr>
        <w:t xml:space="preserve">claims in respect of the raising, removal, destruction or the rendering harmless of a ship which is sunk, wrecked, stranded or abandoned, including anything that is or has been on board such </w:t>
      </w:r>
      <w:proofErr w:type="gramStart"/>
      <w:r w:rsidRPr="00950741">
        <w:rPr>
          <w:rFonts w:ascii="Times New Roman" w:hAnsi="Times New Roman"/>
        </w:rPr>
        <w:t>ship;</w:t>
      </w:r>
      <w:proofErr w:type="gramEnd"/>
    </w:p>
    <w:p w14:paraId="42ECC342" w14:textId="362C3A81" w:rsidR="003F4A86" w:rsidRPr="00950741" w:rsidRDefault="003F4A8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t xml:space="preserve">(e) </w:t>
      </w:r>
      <w:r w:rsidR="00B41F85" w:rsidRPr="00950741">
        <w:rPr>
          <w:rFonts w:ascii="Times New Roman" w:hAnsi="Times New Roman"/>
        </w:rPr>
        <w:tab/>
      </w:r>
      <w:r w:rsidRPr="00950741">
        <w:rPr>
          <w:rFonts w:ascii="Times New Roman" w:hAnsi="Times New Roman"/>
        </w:rPr>
        <w:t xml:space="preserve">claims in respect of the removal, destruction or the rendering harmless of the cargo of the </w:t>
      </w:r>
      <w:proofErr w:type="gramStart"/>
      <w:r w:rsidRPr="00950741">
        <w:rPr>
          <w:rFonts w:ascii="Times New Roman" w:hAnsi="Times New Roman"/>
        </w:rPr>
        <w:t>ship;</w:t>
      </w:r>
      <w:proofErr w:type="gramEnd"/>
    </w:p>
    <w:p w14:paraId="587CE36B" w14:textId="77777777" w:rsidR="00950741" w:rsidRDefault="003F4A8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lastRenderedPageBreak/>
        <w:t xml:space="preserve">(f) </w:t>
      </w:r>
      <w:r w:rsidR="00EB68F7" w:rsidRPr="00950741">
        <w:rPr>
          <w:rFonts w:ascii="Times New Roman" w:hAnsi="Times New Roman"/>
        </w:rPr>
        <w:tab/>
      </w:r>
      <w:r w:rsidRPr="00950741">
        <w:rPr>
          <w:rFonts w:ascii="Times New Roman" w:hAnsi="Times New Roman"/>
        </w:rPr>
        <w:t>claims of a person other than the person liable in respect of measures taken in order to avert or minimize loss for which the person liable may limit his liability in accordance with this Convention, and further loss caused by such measures."</w:t>
      </w:r>
    </w:p>
    <w:p w14:paraId="38709991" w14:textId="3F73CC99" w:rsidR="003F4A86" w:rsidRPr="00950741" w:rsidRDefault="003F4A86" w:rsidP="00950741">
      <w:pPr>
        <w:pStyle w:val="FixListStyle"/>
        <w:spacing w:after="260" w:line="280" w:lineRule="exact"/>
        <w:ind w:right="0"/>
        <w:jc w:val="both"/>
        <w:rPr>
          <w:rFonts w:ascii="Times New Roman" w:hAnsi="Times New Roman"/>
        </w:rPr>
      </w:pPr>
      <w:r w:rsidRPr="00950741">
        <w:rPr>
          <w:rFonts w:ascii="Times New Roman" w:hAnsi="Times New Roman"/>
        </w:rPr>
        <w:tab/>
        <w:t>Article</w:t>
      </w:r>
      <w:r w:rsidR="00581849" w:rsidRPr="00950741">
        <w:rPr>
          <w:rFonts w:ascii="Times New Roman" w:hAnsi="Times New Roman"/>
        </w:rPr>
        <w:t> </w:t>
      </w:r>
      <w:r w:rsidRPr="00950741">
        <w:rPr>
          <w:rFonts w:ascii="Times New Roman" w:hAnsi="Times New Roman"/>
        </w:rPr>
        <w:t xml:space="preserve">3, </w:t>
      </w:r>
      <w:r w:rsidR="00E168C6" w:rsidRPr="00950741">
        <w:rPr>
          <w:rFonts w:ascii="Times New Roman" w:hAnsi="Times New Roman"/>
        </w:rPr>
        <w:t>"Claims excepted from limitation", provides that:</w:t>
      </w:r>
    </w:p>
    <w:p w14:paraId="537204DB" w14:textId="7FB9DB0B" w:rsidR="00E168C6" w:rsidRPr="00950741" w:rsidRDefault="00E168C6" w:rsidP="00950741">
      <w:pPr>
        <w:pStyle w:val="leftright"/>
        <w:spacing w:before="0" w:after="260" w:line="280" w:lineRule="exact"/>
        <w:ind w:right="0"/>
        <w:jc w:val="both"/>
        <w:rPr>
          <w:rFonts w:ascii="Times New Roman" w:hAnsi="Times New Roman"/>
        </w:rPr>
      </w:pPr>
      <w:r w:rsidRPr="00950741">
        <w:rPr>
          <w:rFonts w:ascii="Times New Roman" w:hAnsi="Times New Roman"/>
        </w:rPr>
        <w:t>"The rules of this Convention shall not apply to:</w:t>
      </w:r>
    </w:p>
    <w:p w14:paraId="737654B5" w14:textId="15B36A5C" w:rsidR="00E168C6" w:rsidRPr="00950741" w:rsidRDefault="00E168C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t>(a)</w:t>
      </w:r>
      <w:r w:rsidR="00383B98" w:rsidRPr="00950741">
        <w:rPr>
          <w:rFonts w:ascii="Times New Roman" w:hAnsi="Times New Roman"/>
        </w:rPr>
        <w:t xml:space="preserve"> </w:t>
      </w:r>
      <w:r w:rsidR="00445937" w:rsidRPr="00950741">
        <w:rPr>
          <w:rFonts w:ascii="Times New Roman" w:hAnsi="Times New Roman"/>
        </w:rPr>
        <w:tab/>
      </w:r>
      <w:r w:rsidR="00383B98" w:rsidRPr="00950741">
        <w:rPr>
          <w:rFonts w:ascii="Times New Roman" w:hAnsi="Times New Roman"/>
        </w:rPr>
        <w:t>claims for salvage, including, if applicable, any claim for special compensation under Article</w:t>
      </w:r>
      <w:r w:rsidR="00322050" w:rsidRPr="00950741">
        <w:rPr>
          <w:rFonts w:ascii="Times New Roman" w:hAnsi="Times New Roman"/>
        </w:rPr>
        <w:t> </w:t>
      </w:r>
      <w:r w:rsidR="00383B98" w:rsidRPr="00950741">
        <w:rPr>
          <w:rFonts w:ascii="Times New Roman" w:hAnsi="Times New Roman"/>
        </w:rPr>
        <w:t xml:space="preserve">14 of the International Convention on Salvage 1989, as amended, or contribution in general </w:t>
      </w:r>
      <w:proofErr w:type="gramStart"/>
      <w:r w:rsidR="00383B98" w:rsidRPr="00950741">
        <w:rPr>
          <w:rFonts w:ascii="Times New Roman" w:hAnsi="Times New Roman"/>
        </w:rPr>
        <w:t>average</w:t>
      </w:r>
      <w:r w:rsidRPr="00950741">
        <w:rPr>
          <w:rFonts w:ascii="Times New Roman" w:hAnsi="Times New Roman"/>
        </w:rPr>
        <w:t>;</w:t>
      </w:r>
      <w:proofErr w:type="gramEnd"/>
    </w:p>
    <w:p w14:paraId="1D9C92BA" w14:textId="1F041A8C" w:rsidR="00E168C6" w:rsidRPr="00950741" w:rsidRDefault="00E168C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t xml:space="preserve">(b) </w:t>
      </w:r>
      <w:r w:rsidR="002A327B" w:rsidRPr="00950741">
        <w:rPr>
          <w:rFonts w:ascii="Times New Roman" w:hAnsi="Times New Roman"/>
        </w:rPr>
        <w:tab/>
      </w:r>
      <w:r w:rsidRPr="00950741">
        <w:rPr>
          <w:rFonts w:ascii="Times New Roman" w:hAnsi="Times New Roman"/>
        </w:rPr>
        <w:t>claims for oil pollution damage within the meaning of the International Convention on Civil Liability for Oil Pollution Damage, dated 29</w:t>
      </w:r>
      <w:r w:rsidR="008A7EAE" w:rsidRPr="00950741">
        <w:rPr>
          <w:rFonts w:ascii="Times New Roman" w:hAnsi="Times New Roman"/>
        </w:rPr>
        <w:t> </w:t>
      </w:r>
      <w:r w:rsidRPr="00950741">
        <w:rPr>
          <w:rFonts w:ascii="Times New Roman" w:hAnsi="Times New Roman"/>
        </w:rPr>
        <w:t xml:space="preserve">November 1969 or of any amendment or Protocol thereto which is in </w:t>
      </w:r>
      <w:proofErr w:type="gramStart"/>
      <w:r w:rsidRPr="00950741">
        <w:rPr>
          <w:rFonts w:ascii="Times New Roman" w:hAnsi="Times New Roman"/>
        </w:rPr>
        <w:t>force;</w:t>
      </w:r>
      <w:proofErr w:type="gramEnd"/>
    </w:p>
    <w:p w14:paraId="60F932A3" w14:textId="467BCA0B" w:rsidR="00E168C6" w:rsidRPr="00950741" w:rsidRDefault="00E168C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t xml:space="preserve">(c) </w:t>
      </w:r>
      <w:r w:rsidR="008A7EAE" w:rsidRPr="00950741">
        <w:rPr>
          <w:rFonts w:ascii="Times New Roman" w:hAnsi="Times New Roman"/>
        </w:rPr>
        <w:tab/>
      </w:r>
      <w:r w:rsidRPr="00950741">
        <w:rPr>
          <w:rFonts w:ascii="Times New Roman" w:hAnsi="Times New Roman"/>
        </w:rPr>
        <w:t xml:space="preserve">claims subject to any international convention or national legislation governing or prohibiting limitation of liability for nuclear </w:t>
      </w:r>
      <w:proofErr w:type="gramStart"/>
      <w:r w:rsidRPr="00950741">
        <w:rPr>
          <w:rFonts w:ascii="Times New Roman" w:hAnsi="Times New Roman"/>
        </w:rPr>
        <w:t>damage;</w:t>
      </w:r>
      <w:proofErr w:type="gramEnd"/>
    </w:p>
    <w:p w14:paraId="700E65B5" w14:textId="1BB47EB8" w:rsidR="00E168C6" w:rsidRPr="00950741" w:rsidRDefault="00E168C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t xml:space="preserve">(d) </w:t>
      </w:r>
      <w:r w:rsidR="00CA09C9" w:rsidRPr="00950741">
        <w:rPr>
          <w:rFonts w:ascii="Times New Roman" w:hAnsi="Times New Roman"/>
        </w:rPr>
        <w:tab/>
      </w:r>
      <w:r w:rsidRPr="00950741">
        <w:rPr>
          <w:rFonts w:ascii="Times New Roman" w:hAnsi="Times New Roman"/>
        </w:rPr>
        <w:t xml:space="preserve">claims against the shipowner of a nuclear ship for nuclear </w:t>
      </w:r>
      <w:proofErr w:type="gramStart"/>
      <w:r w:rsidRPr="00950741">
        <w:rPr>
          <w:rFonts w:ascii="Times New Roman" w:hAnsi="Times New Roman"/>
        </w:rPr>
        <w:t>damage;</w:t>
      </w:r>
      <w:proofErr w:type="gramEnd"/>
    </w:p>
    <w:p w14:paraId="7FE8FDCA" w14:textId="77777777" w:rsidR="00950741" w:rsidRDefault="00E168C6" w:rsidP="00950741">
      <w:pPr>
        <w:pStyle w:val="leftright"/>
        <w:spacing w:before="0" w:after="260" w:line="280" w:lineRule="exact"/>
        <w:ind w:left="1440" w:right="0" w:hanging="720"/>
        <w:jc w:val="both"/>
        <w:rPr>
          <w:rFonts w:ascii="Times New Roman" w:hAnsi="Times New Roman"/>
        </w:rPr>
      </w:pPr>
      <w:r w:rsidRPr="00950741">
        <w:rPr>
          <w:rFonts w:ascii="Times New Roman" w:hAnsi="Times New Roman"/>
        </w:rPr>
        <w:t xml:space="preserve">(e) </w:t>
      </w:r>
      <w:r w:rsidR="000F356E" w:rsidRPr="00950741">
        <w:rPr>
          <w:rFonts w:ascii="Times New Roman" w:hAnsi="Times New Roman"/>
        </w:rPr>
        <w:tab/>
      </w:r>
      <w:r w:rsidRPr="00950741">
        <w:rPr>
          <w:rFonts w:ascii="Times New Roman" w:hAnsi="Times New Roman"/>
        </w:rPr>
        <w:t>claims by servants of the shipowner or salvor whose duties are connected with the ship or the salvage operations, including claims of their heirs, dependants or other persons entitled to make such claims, if under the law governing the contract of service between the shipowner or salvor and such servants the shipowner or salvor is not entitled to limit his liability in respect of such claims, or if he is by such law only permitted to limit his liability to an amount greater than that provided for in Article</w:t>
      </w:r>
      <w:r w:rsidR="00D266A5" w:rsidRPr="00950741">
        <w:rPr>
          <w:rFonts w:ascii="Times New Roman" w:hAnsi="Times New Roman"/>
        </w:rPr>
        <w:t> </w:t>
      </w:r>
      <w:r w:rsidRPr="00950741">
        <w:rPr>
          <w:rFonts w:ascii="Times New Roman" w:hAnsi="Times New Roman"/>
        </w:rPr>
        <w:t>6."</w:t>
      </w:r>
    </w:p>
    <w:p w14:paraId="15660FB9" w14:textId="7F65CFFC" w:rsidR="00B74ED5" w:rsidRPr="00950741" w:rsidRDefault="00B74ED5" w:rsidP="00950741">
      <w:pPr>
        <w:pStyle w:val="FixListStyle"/>
        <w:spacing w:after="260" w:line="280" w:lineRule="exact"/>
        <w:ind w:right="0"/>
        <w:jc w:val="both"/>
        <w:rPr>
          <w:rFonts w:ascii="Times New Roman" w:hAnsi="Times New Roman"/>
        </w:rPr>
      </w:pPr>
      <w:r w:rsidRPr="00950741">
        <w:rPr>
          <w:rFonts w:ascii="Times New Roman" w:hAnsi="Times New Roman"/>
        </w:rPr>
        <w:tab/>
        <w:t>Article</w:t>
      </w:r>
      <w:r w:rsidR="006F409F" w:rsidRPr="00950741">
        <w:rPr>
          <w:rFonts w:ascii="Times New Roman" w:hAnsi="Times New Roman"/>
        </w:rPr>
        <w:t> </w:t>
      </w:r>
      <w:r w:rsidRPr="00950741">
        <w:rPr>
          <w:rFonts w:ascii="Times New Roman" w:hAnsi="Times New Roman"/>
        </w:rPr>
        <w:t>4, "</w:t>
      </w:r>
      <w:r w:rsidR="00DF667D" w:rsidRPr="00950741">
        <w:rPr>
          <w:rFonts w:ascii="Times New Roman" w:hAnsi="Times New Roman"/>
        </w:rPr>
        <w:t>Conduct barring limitation", provides that a "person liable shall not be entitled to limit his liability if it is proved that the loss resulted from his personal act or omission, committed with the intent to cause such loss, or recklessly and with knowledge that such loss would probably result</w:t>
      </w:r>
      <w:r w:rsidR="006F4E1F" w:rsidRPr="00950741">
        <w:rPr>
          <w:rFonts w:ascii="Times New Roman" w:hAnsi="Times New Roman"/>
        </w:rPr>
        <w:t>"</w:t>
      </w:r>
      <w:r w:rsidR="00DF667D" w:rsidRPr="00950741">
        <w:rPr>
          <w:rFonts w:ascii="Times New Roman" w:hAnsi="Times New Roman"/>
        </w:rPr>
        <w:t>.</w:t>
      </w:r>
    </w:p>
    <w:p w14:paraId="40A7DC85" w14:textId="76CF73E7" w:rsidR="00D4708E" w:rsidRPr="00950741" w:rsidRDefault="00D4708E" w:rsidP="00950741">
      <w:pPr>
        <w:pStyle w:val="FixListStyle"/>
        <w:spacing w:after="260" w:line="280" w:lineRule="exact"/>
        <w:ind w:right="0"/>
        <w:jc w:val="both"/>
        <w:rPr>
          <w:rFonts w:ascii="Times New Roman" w:hAnsi="Times New Roman"/>
        </w:rPr>
      </w:pPr>
      <w:r w:rsidRPr="00950741">
        <w:rPr>
          <w:rFonts w:ascii="Times New Roman" w:hAnsi="Times New Roman"/>
        </w:rPr>
        <w:tab/>
        <w:t>Article</w:t>
      </w:r>
      <w:r w:rsidR="00187ED9" w:rsidRPr="00950741">
        <w:rPr>
          <w:rFonts w:ascii="Times New Roman" w:hAnsi="Times New Roman"/>
        </w:rPr>
        <w:t> </w:t>
      </w:r>
      <w:r w:rsidRPr="00950741">
        <w:rPr>
          <w:rFonts w:ascii="Times New Roman" w:hAnsi="Times New Roman"/>
        </w:rPr>
        <w:t>5 concerns counterclaims and provides for setoff of counterclaims "arising out of the same occurrence".</w:t>
      </w:r>
    </w:p>
    <w:p w14:paraId="698A642A" w14:textId="6ABE608A" w:rsidR="00F21626" w:rsidRPr="00950741" w:rsidRDefault="00F21626" w:rsidP="00950741">
      <w:pPr>
        <w:pStyle w:val="FixListStyle"/>
        <w:spacing w:after="260" w:line="280" w:lineRule="exact"/>
        <w:ind w:right="0"/>
        <w:jc w:val="both"/>
        <w:rPr>
          <w:rFonts w:ascii="Times New Roman" w:hAnsi="Times New Roman"/>
        </w:rPr>
      </w:pPr>
      <w:r w:rsidRPr="00950741">
        <w:rPr>
          <w:rFonts w:ascii="Times New Roman" w:hAnsi="Times New Roman"/>
        </w:rPr>
        <w:tab/>
        <w:t>Chapter</w:t>
      </w:r>
      <w:r w:rsidR="006349AE" w:rsidRPr="00950741">
        <w:rPr>
          <w:rFonts w:ascii="Times New Roman" w:hAnsi="Times New Roman"/>
        </w:rPr>
        <w:t> </w:t>
      </w:r>
      <w:r w:rsidRPr="00950741">
        <w:rPr>
          <w:rFonts w:ascii="Times New Roman" w:hAnsi="Times New Roman"/>
        </w:rPr>
        <w:t>II sets out the limits of liability</w:t>
      </w:r>
      <w:r w:rsidR="00000767" w:rsidRPr="00950741">
        <w:rPr>
          <w:rFonts w:ascii="Times New Roman" w:hAnsi="Times New Roman"/>
        </w:rPr>
        <w:t xml:space="preserve"> including those in Art</w:t>
      </w:r>
      <w:r w:rsidR="008A5F91" w:rsidRPr="00950741">
        <w:rPr>
          <w:rFonts w:ascii="Times New Roman" w:hAnsi="Times New Roman"/>
        </w:rPr>
        <w:t> </w:t>
      </w:r>
      <w:r w:rsidR="00000767" w:rsidRPr="00950741">
        <w:rPr>
          <w:rFonts w:ascii="Times New Roman" w:hAnsi="Times New Roman"/>
        </w:rPr>
        <w:t xml:space="preserve">6. </w:t>
      </w:r>
      <w:r w:rsidR="009221C5" w:rsidRPr="00950741">
        <w:rPr>
          <w:rFonts w:ascii="Times New Roman" w:hAnsi="Times New Roman"/>
        </w:rPr>
        <w:t>Article</w:t>
      </w:r>
      <w:r w:rsidR="008A5F91" w:rsidRPr="00950741">
        <w:rPr>
          <w:rFonts w:ascii="Times New Roman" w:hAnsi="Times New Roman"/>
        </w:rPr>
        <w:t> </w:t>
      </w:r>
      <w:r w:rsidR="00DB05CC" w:rsidRPr="00950741">
        <w:rPr>
          <w:rFonts w:ascii="Times New Roman" w:hAnsi="Times New Roman"/>
        </w:rPr>
        <w:t>6</w:t>
      </w:r>
      <w:r w:rsidR="008A5F91" w:rsidRPr="00950741">
        <w:rPr>
          <w:rFonts w:ascii="Times New Roman" w:hAnsi="Times New Roman"/>
        </w:rPr>
        <w:t>(3)</w:t>
      </w:r>
      <w:r w:rsidR="00DB05CC" w:rsidRPr="00950741">
        <w:rPr>
          <w:rFonts w:ascii="Times New Roman" w:hAnsi="Times New Roman"/>
        </w:rPr>
        <w:t xml:space="preserve"> </w:t>
      </w:r>
      <w:r w:rsidR="009221C5" w:rsidRPr="00950741">
        <w:rPr>
          <w:rFonts w:ascii="Times New Roman" w:hAnsi="Times New Roman"/>
        </w:rPr>
        <w:t>provides in part that "</w:t>
      </w:r>
      <w:r w:rsidR="00716B12" w:rsidRPr="00950741">
        <w:rPr>
          <w:rFonts w:ascii="Times New Roman" w:hAnsi="Times New Roman"/>
        </w:rPr>
        <w:t>a State Party may provide in its national law that claims in respect of damage to harbour works, basins and waterways and aids to navigation shall have such priority over other claims under paragraph</w:t>
      </w:r>
      <w:r w:rsidR="00FE543B" w:rsidRPr="00950741">
        <w:rPr>
          <w:rFonts w:ascii="Times New Roman" w:hAnsi="Times New Roman"/>
        </w:rPr>
        <w:t> </w:t>
      </w:r>
      <w:r w:rsidR="00716B12" w:rsidRPr="00950741">
        <w:rPr>
          <w:rFonts w:ascii="Times New Roman" w:hAnsi="Times New Roman"/>
        </w:rPr>
        <w:t>1</w:t>
      </w:r>
      <w:r w:rsidR="00C94D56" w:rsidRPr="00950741">
        <w:rPr>
          <w:rFonts w:ascii="Times New Roman" w:hAnsi="Times New Roman"/>
        </w:rPr>
        <w:t> </w:t>
      </w:r>
      <w:r w:rsidR="00716B12" w:rsidRPr="00950741">
        <w:rPr>
          <w:rFonts w:ascii="Times New Roman" w:hAnsi="Times New Roman"/>
        </w:rPr>
        <w:t xml:space="preserve">(b) as is </w:t>
      </w:r>
      <w:r w:rsidR="00716B12" w:rsidRPr="00950741">
        <w:rPr>
          <w:rFonts w:ascii="Times New Roman" w:hAnsi="Times New Roman"/>
        </w:rPr>
        <w:lastRenderedPageBreak/>
        <w:t>provided by that law</w:t>
      </w:r>
      <w:r w:rsidR="00C94D56" w:rsidRPr="00950741">
        <w:rPr>
          <w:rFonts w:ascii="Times New Roman" w:hAnsi="Times New Roman"/>
        </w:rPr>
        <w:t>"</w:t>
      </w:r>
      <w:r w:rsidR="002123F3" w:rsidRPr="00950741">
        <w:rPr>
          <w:rFonts w:ascii="Times New Roman" w:hAnsi="Times New Roman"/>
        </w:rPr>
        <w:t>.</w:t>
      </w:r>
      <w:r w:rsidR="00716B12" w:rsidRPr="00950741">
        <w:rPr>
          <w:rFonts w:ascii="Times New Roman" w:hAnsi="Times New Roman"/>
        </w:rPr>
        <w:t xml:space="preserve"> Article</w:t>
      </w:r>
      <w:r w:rsidR="00877DD9" w:rsidRPr="00950741">
        <w:rPr>
          <w:rFonts w:ascii="Times New Roman" w:hAnsi="Times New Roman"/>
        </w:rPr>
        <w:t> </w:t>
      </w:r>
      <w:r w:rsidR="00716B12" w:rsidRPr="00950741">
        <w:rPr>
          <w:rFonts w:ascii="Times New Roman" w:hAnsi="Times New Roman"/>
        </w:rPr>
        <w:t>6</w:t>
      </w:r>
      <w:r w:rsidR="00877DD9" w:rsidRPr="00950741">
        <w:rPr>
          <w:rFonts w:ascii="Times New Roman" w:hAnsi="Times New Roman"/>
        </w:rPr>
        <w:t>(</w:t>
      </w:r>
      <w:r w:rsidR="00716B12" w:rsidRPr="00950741">
        <w:rPr>
          <w:rFonts w:ascii="Times New Roman" w:hAnsi="Times New Roman"/>
        </w:rPr>
        <w:t>1</w:t>
      </w:r>
      <w:r w:rsidR="00877DD9" w:rsidRPr="00950741">
        <w:rPr>
          <w:rFonts w:ascii="Times New Roman" w:hAnsi="Times New Roman"/>
        </w:rPr>
        <w:t>)</w:t>
      </w:r>
      <w:r w:rsidR="00716B12" w:rsidRPr="00950741">
        <w:rPr>
          <w:rFonts w:ascii="Times New Roman" w:hAnsi="Times New Roman"/>
        </w:rPr>
        <w:t xml:space="preserve">(b), as so referred to, </w:t>
      </w:r>
      <w:r w:rsidR="00C30E33" w:rsidRPr="00950741">
        <w:rPr>
          <w:rFonts w:ascii="Times New Roman" w:hAnsi="Times New Roman"/>
        </w:rPr>
        <w:t>concerns claims other than "for loss of life or personal injury" which are dealt with in Art 6</w:t>
      </w:r>
      <w:r w:rsidR="00F24C06" w:rsidRPr="00950741">
        <w:rPr>
          <w:rFonts w:ascii="Times New Roman" w:hAnsi="Times New Roman"/>
        </w:rPr>
        <w:t>(</w:t>
      </w:r>
      <w:r w:rsidR="00F95DA6" w:rsidRPr="00950741">
        <w:rPr>
          <w:rFonts w:ascii="Times New Roman" w:hAnsi="Times New Roman"/>
        </w:rPr>
        <w:t>1</w:t>
      </w:r>
      <w:r w:rsidR="00F24C06" w:rsidRPr="00950741">
        <w:rPr>
          <w:rFonts w:ascii="Times New Roman" w:hAnsi="Times New Roman"/>
        </w:rPr>
        <w:t>)</w:t>
      </w:r>
      <w:r w:rsidR="00F95DA6" w:rsidRPr="00950741">
        <w:rPr>
          <w:rFonts w:ascii="Times New Roman" w:hAnsi="Times New Roman"/>
        </w:rPr>
        <w:t xml:space="preserve">(a). </w:t>
      </w:r>
    </w:p>
    <w:p w14:paraId="2D3BD59B" w14:textId="42613C7B" w:rsidR="008F4B3F" w:rsidRPr="00950741" w:rsidRDefault="008F4B3F" w:rsidP="00950741">
      <w:pPr>
        <w:pStyle w:val="FixListStyle"/>
        <w:spacing w:after="260" w:line="280" w:lineRule="exact"/>
        <w:ind w:right="0"/>
        <w:jc w:val="both"/>
        <w:rPr>
          <w:rFonts w:ascii="Times New Roman" w:hAnsi="Times New Roman"/>
        </w:rPr>
      </w:pPr>
      <w:r w:rsidRPr="00950741">
        <w:rPr>
          <w:rFonts w:ascii="Times New Roman" w:hAnsi="Times New Roman"/>
        </w:rPr>
        <w:tab/>
        <w:t>Ch</w:t>
      </w:r>
      <w:r w:rsidR="006349AE" w:rsidRPr="00950741">
        <w:rPr>
          <w:rFonts w:ascii="Times New Roman" w:hAnsi="Times New Roman"/>
        </w:rPr>
        <w:t>apter</w:t>
      </w:r>
      <w:r w:rsidRPr="00950741">
        <w:rPr>
          <w:rFonts w:ascii="Times New Roman" w:hAnsi="Times New Roman"/>
        </w:rPr>
        <w:t> III concerns limitation funds.</w:t>
      </w:r>
    </w:p>
    <w:p w14:paraId="6DD2969D" w14:textId="4E38C73E" w:rsidR="006349AE" w:rsidRPr="00950741" w:rsidRDefault="006349AE"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Chapter IV </w:t>
      </w:r>
      <w:r w:rsidR="00D51D38" w:rsidRPr="00950741">
        <w:rPr>
          <w:rFonts w:ascii="Times New Roman" w:hAnsi="Times New Roman"/>
        </w:rPr>
        <w:t xml:space="preserve">concerns the "Scope of Application" of the </w:t>
      </w:r>
      <w:r w:rsidR="00CD767E" w:rsidRPr="00950741">
        <w:rPr>
          <w:rFonts w:ascii="Times New Roman" w:hAnsi="Times New Roman"/>
        </w:rPr>
        <w:t>1976 </w:t>
      </w:r>
      <w:r w:rsidR="00D51D38" w:rsidRPr="00950741">
        <w:rPr>
          <w:rFonts w:ascii="Times New Roman" w:hAnsi="Times New Roman"/>
        </w:rPr>
        <w:t xml:space="preserve">Convention, </w:t>
      </w:r>
      <w:r w:rsidR="009A6CAC" w:rsidRPr="00950741">
        <w:rPr>
          <w:rFonts w:ascii="Times New Roman" w:hAnsi="Times New Roman"/>
        </w:rPr>
        <w:t xml:space="preserve">with </w:t>
      </w:r>
      <w:r w:rsidR="00D51D38" w:rsidRPr="00950741">
        <w:rPr>
          <w:rFonts w:ascii="Times New Roman" w:hAnsi="Times New Roman"/>
        </w:rPr>
        <w:t>Art 15</w:t>
      </w:r>
      <w:r w:rsidR="00386C59" w:rsidRPr="00950741">
        <w:rPr>
          <w:rFonts w:ascii="Times New Roman" w:hAnsi="Times New Roman"/>
        </w:rPr>
        <w:t>(</w:t>
      </w:r>
      <w:r w:rsidR="00D51D38" w:rsidRPr="00950741">
        <w:rPr>
          <w:rFonts w:ascii="Times New Roman" w:hAnsi="Times New Roman"/>
        </w:rPr>
        <w:t>1</w:t>
      </w:r>
      <w:r w:rsidR="00386C59" w:rsidRPr="00950741">
        <w:rPr>
          <w:rFonts w:ascii="Times New Roman" w:hAnsi="Times New Roman"/>
        </w:rPr>
        <w:t>)</w:t>
      </w:r>
      <w:r w:rsidR="00D51D38" w:rsidRPr="00950741">
        <w:rPr>
          <w:rFonts w:ascii="Times New Roman" w:hAnsi="Times New Roman"/>
        </w:rPr>
        <w:t xml:space="preserve"> providing in part that "</w:t>
      </w:r>
      <w:r w:rsidR="00CD767E" w:rsidRPr="00950741">
        <w:rPr>
          <w:rFonts w:ascii="Times New Roman" w:hAnsi="Times New Roman"/>
        </w:rPr>
        <w:t>[t]</w:t>
      </w:r>
      <w:r w:rsidR="009E71EB" w:rsidRPr="00950741">
        <w:rPr>
          <w:rFonts w:ascii="Times New Roman" w:hAnsi="Times New Roman"/>
        </w:rPr>
        <w:t>his Convention shall apply whenever any person referred to in Article</w:t>
      </w:r>
      <w:r w:rsidR="000317AF" w:rsidRPr="00950741">
        <w:rPr>
          <w:rFonts w:ascii="Times New Roman" w:hAnsi="Times New Roman"/>
        </w:rPr>
        <w:t> </w:t>
      </w:r>
      <w:r w:rsidR="009E71EB" w:rsidRPr="00950741">
        <w:rPr>
          <w:rFonts w:ascii="Times New Roman" w:hAnsi="Times New Roman"/>
        </w:rPr>
        <w:t>1 seeks to limit his liability before the Court of a State Party".</w:t>
      </w:r>
    </w:p>
    <w:p w14:paraId="4AA83231" w14:textId="0204BE1A" w:rsidR="00E816B9" w:rsidRPr="00950741" w:rsidDel="00387CD2" w:rsidRDefault="002854A2" w:rsidP="00950741">
      <w:pPr>
        <w:pStyle w:val="FixListStyle"/>
        <w:spacing w:after="260" w:line="280" w:lineRule="exact"/>
        <w:ind w:right="0"/>
        <w:jc w:val="both"/>
        <w:rPr>
          <w:rFonts w:ascii="Times New Roman" w:hAnsi="Times New Roman"/>
        </w:rPr>
      </w:pPr>
      <w:r w:rsidRPr="00950741">
        <w:rPr>
          <w:rFonts w:ascii="Times New Roman" w:hAnsi="Times New Roman"/>
        </w:rPr>
        <w:tab/>
        <w:t>Chapter</w:t>
      </w:r>
      <w:r w:rsidR="006D73FB" w:rsidRPr="00950741">
        <w:rPr>
          <w:rFonts w:ascii="Times New Roman" w:hAnsi="Times New Roman"/>
        </w:rPr>
        <w:t> </w:t>
      </w:r>
      <w:r w:rsidR="009A6CAC" w:rsidRPr="00950741">
        <w:rPr>
          <w:rFonts w:ascii="Times New Roman" w:hAnsi="Times New Roman"/>
        </w:rPr>
        <w:t>V</w:t>
      </w:r>
      <w:r w:rsidRPr="00950741">
        <w:rPr>
          <w:rFonts w:ascii="Times New Roman" w:hAnsi="Times New Roman"/>
        </w:rPr>
        <w:t xml:space="preserve"> contains the "Final Clauses" of the 1976 Convention including </w:t>
      </w:r>
      <w:r w:rsidR="00F14671" w:rsidRPr="00950741">
        <w:rPr>
          <w:rFonts w:ascii="Times New Roman" w:hAnsi="Times New Roman"/>
        </w:rPr>
        <w:t>Art</w:t>
      </w:r>
      <w:r w:rsidR="003D3BC5" w:rsidRPr="00950741">
        <w:rPr>
          <w:rFonts w:ascii="Times New Roman" w:hAnsi="Times New Roman"/>
        </w:rPr>
        <w:t> </w:t>
      </w:r>
      <w:r w:rsidR="00F14671" w:rsidRPr="00950741">
        <w:rPr>
          <w:rFonts w:ascii="Times New Roman" w:hAnsi="Times New Roman"/>
        </w:rPr>
        <w:t>18</w:t>
      </w:r>
      <w:r w:rsidR="00DF1857" w:rsidRPr="00950741" w:rsidDel="00387CD2">
        <w:rPr>
          <w:rFonts w:ascii="Times New Roman" w:hAnsi="Times New Roman"/>
        </w:rPr>
        <w:t>(</w:t>
      </w:r>
      <w:r w:rsidR="001635DE" w:rsidRPr="00950741" w:rsidDel="00387CD2">
        <w:rPr>
          <w:rFonts w:ascii="Times New Roman" w:hAnsi="Times New Roman"/>
        </w:rPr>
        <w:t>1</w:t>
      </w:r>
      <w:r w:rsidR="00DF1857" w:rsidRPr="00950741" w:rsidDel="00387CD2">
        <w:rPr>
          <w:rFonts w:ascii="Times New Roman" w:hAnsi="Times New Roman"/>
        </w:rPr>
        <w:t>)</w:t>
      </w:r>
      <w:r w:rsidR="001635DE" w:rsidRPr="00950741" w:rsidDel="00387CD2">
        <w:rPr>
          <w:rFonts w:ascii="Times New Roman" w:hAnsi="Times New Roman"/>
        </w:rPr>
        <w:t xml:space="preserve"> which provides</w:t>
      </w:r>
      <w:r w:rsidR="00E816B9" w:rsidRPr="00950741" w:rsidDel="00387CD2">
        <w:rPr>
          <w:rFonts w:ascii="Times New Roman" w:hAnsi="Times New Roman"/>
        </w:rPr>
        <w:t xml:space="preserve"> that:</w:t>
      </w:r>
    </w:p>
    <w:p w14:paraId="098B0CAF" w14:textId="38EAB034" w:rsidR="00E816B9" w:rsidRPr="00950741" w:rsidDel="00387CD2" w:rsidRDefault="00E816B9" w:rsidP="00950741">
      <w:pPr>
        <w:pStyle w:val="leftright"/>
        <w:spacing w:before="0" w:after="260" w:line="280" w:lineRule="exact"/>
        <w:ind w:left="1440" w:right="0" w:hanging="720"/>
        <w:jc w:val="both"/>
        <w:rPr>
          <w:rFonts w:ascii="Times New Roman" w:hAnsi="Times New Roman"/>
        </w:rPr>
      </w:pPr>
      <w:r w:rsidRPr="00950741" w:rsidDel="00387CD2">
        <w:rPr>
          <w:rFonts w:ascii="Times New Roman" w:hAnsi="Times New Roman"/>
        </w:rPr>
        <w:t>"</w:t>
      </w:r>
      <w:r w:rsidR="00184843" w:rsidRPr="00950741" w:rsidDel="00387CD2">
        <w:rPr>
          <w:rFonts w:ascii="Times New Roman" w:hAnsi="Times New Roman"/>
        </w:rPr>
        <w:t>1.</w:t>
      </w:r>
      <w:r w:rsidR="00184843" w:rsidRPr="00950741" w:rsidDel="00387CD2">
        <w:rPr>
          <w:rFonts w:ascii="Times New Roman" w:hAnsi="Times New Roman"/>
        </w:rPr>
        <w:tab/>
      </w:r>
      <w:r w:rsidRPr="00950741" w:rsidDel="00387CD2">
        <w:rPr>
          <w:rFonts w:ascii="Times New Roman" w:hAnsi="Times New Roman"/>
        </w:rPr>
        <w:t xml:space="preserve">Any State may, at the time of signature, ratification, acceptance, approval or accession, or at any </w:t>
      </w:r>
      <w:proofErr w:type="gramStart"/>
      <w:r w:rsidRPr="00950741" w:rsidDel="00387CD2">
        <w:rPr>
          <w:rFonts w:ascii="Times New Roman" w:hAnsi="Times New Roman"/>
        </w:rPr>
        <w:t>time</w:t>
      </w:r>
      <w:proofErr w:type="gramEnd"/>
      <w:r w:rsidRPr="00950741" w:rsidDel="00387CD2">
        <w:rPr>
          <w:rFonts w:ascii="Times New Roman" w:hAnsi="Times New Roman"/>
        </w:rPr>
        <w:t xml:space="preserve"> thereafter, reserve the right:</w:t>
      </w:r>
    </w:p>
    <w:p w14:paraId="756C3885" w14:textId="77884A42" w:rsidR="00E816B9" w:rsidRPr="00950741" w:rsidDel="00387CD2" w:rsidRDefault="00E816B9" w:rsidP="00950741">
      <w:pPr>
        <w:pStyle w:val="leftright"/>
        <w:spacing w:before="0" w:after="260" w:line="280" w:lineRule="exact"/>
        <w:ind w:left="2160" w:right="0" w:hanging="720"/>
        <w:jc w:val="both"/>
        <w:rPr>
          <w:rFonts w:ascii="Times New Roman" w:hAnsi="Times New Roman"/>
        </w:rPr>
      </w:pPr>
      <w:r w:rsidRPr="00950741" w:rsidDel="00387CD2">
        <w:rPr>
          <w:rFonts w:ascii="Times New Roman" w:hAnsi="Times New Roman"/>
        </w:rPr>
        <w:t xml:space="preserve">(a) </w:t>
      </w:r>
      <w:r w:rsidR="00141E7E" w:rsidRPr="00950741" w:rsidDel="00387CD2">
        <w:rPr>
          <w:rFonts w:ascii="Times New Roman" w:hAnsi="Times New Roman"/>
        </w:rPr>
        <w:tab/>
      </w:r>
      <w:r w:rsidRPr="00950741" w:rsidDel="00387CD2">
        <w:rPr>
          <w:rFonts w:ascii="Times New Roman" w:hAnsi="Times New Roman"/>
        </w:rPr>
        <w:t>to exclude the application of Article</w:t>
      </w:r>
      <w:r w:rsidR="002219FE" w:rsidRPr="00950741" w:rsidDel="00387CD2">
        <w:rPr>
          <w:rFonts w:ascii="Times New Roman" w:hAnsi="Times New Roman"/>
        </w:rPr>
        <w:t> </w:t>
      </w:r>
      <w:r w:rsidRPr="00950741" w:rsidDel="00387CD2">
        <w:rPr>
          <w:rFonts w:ascii="Times New Roman" w:hAnsi="Times New Roman"/>
        </w:rPr>
        <w:t>2, paragraphs</w:t>
      </w:r>
      <w:r w:rsidR="002219FE" w:rsidRPr="00950741" w:rsidDel="00387CD2">
        <w:rPr>
          <w:rFonts w:ascii="Times New Roman" w:hAnsi="Times New Roman"/>
        </w:rPr>
        <w:t> </w:t>
      </w:r>
      <w:r w:rsidRPr="00950741" w:rsidDel="00387CD2">
        <w:rPr>
          <w:rFonts w:ascii="Times New Roman" w:hAnsi="Times New Roman"/>
        </w:rPr>
        <w:t>1(d) and</w:t>
      </w:r>
      <w:r w:rsidR="00F435C3" w:rsidRPr="00950741">
        <w:rPr>
          <w:rFonts w:ascii="Times New Roman" w:hAnsi="Times New Roman"/>
        </w:rPr>
        <w:t> </w:t>
      </w:r>
      <w:r w:rsidRPr="00950741" w:rsidDel="00387CD2">
        <w:rPr>
          <w:rFonts w:ascii="Times New Roman" w:hAnsi="Times New Roman"/>
        </w:rPr>
        <w:t>(e</w:t>
      </w:r>
      <w:proofErr w:type="gramStart"/>
      <w:r w:rsidRPr="00950741" w:rsidDel="00387CD2">
        <w:rPr>
          <w:rFonts w:ascii="Times New Roman" w:hAnsi="Times New Roman"/>
        </w:rPr>
        <w:t>);</w:t>
      </w:r>
      <w:proofErr w:type="gramEnd"/>
    </w:p>
    <w:p w14:paraId="70488996" w14:textId="01FEDA56" w:rsidR="00E816B9" w:rsidRPr="00950741" w:rsidDel="00387CD2" w:rsidRDefault="00E816B9" w:rsidP="00950741">
      <w:pPr>
        <w:pStyle w:val="leftright"/>
        <w:spacing w:before="0" w:after="260" w:line="280" w:lineRule="exact"/>
        <w:ind w:left="2160" w:right="0" w:hanging="720"/>
        <w:jc w:val="both"/>
        <w:rPr>
          <w:rFonts w:ascii="Times New Roman" w:hAnsi="Times New Roman"/>
        </w:rPr>
      </w:pPr>
      <w:r w:rsidRPr="00950741" w:rsidDel="00387CD2">
        <w:rPr>
          <w:rFonts w:ascii="Times New Roman" w:hAnsi="Times New Roman"/>
        </w:rPr>
        <w:t xml:space="preserve">(b) </w:t>
      </w:r>
      <w:r w:rsidR="002219FE" w:rsidRPr="00950741" w:rsidDel="00387CD2">
        <w:rPr>
          <w:rFonts w:ascii="Times New Roman" w:hAnsi="Times New Roman"/>
        </w:rPr>
        <w:tab/>
      </w:r>
      <w:r w:rsidRPr="00950741" w:rsidDel="00387CD2">
        <w:rPr>
          <w:rFonts w:ascii="Times New Roman" w:hAnsi="Times New Roman"/>
        </w:rPr>
        <w:t>to exclude claims for damage within the meaning of the International Convention on Liability and Compensation for Damage in Connection with the Carriage of Hazardous and Noxious Substances by Sea, 1996</w:t>
      </w:r>
      <w:r w:rsidR="00AB2E71" w:rsidRPr="00950741" w:rsidDel="00387CD2">
        <w:rPr>
          <w:rFonts w:ascii="Times New Roman" w:hAnsi="Times New Roman"/>
        </w:rPr>
        <w:t xml:space="preserve"> [</w:t>
      </w:r>
      <w:r w:rsidR="00F5611A" w:rsidRPr="00950741">
        <w:rPr>
          <w:rFonts w:ascii="Times New Roman" w:hAnsi="Times New Roman"/>
        </w:rPr>
        <w:t>(</w:t>
      </w:r>
      <w:r w:rsidR="00DE2086" w:rsidRPr="00950741" w:rsidDel="00387CD2">
        <w:rPr>
          <w:rFonts w:ascii="Times New Roman" w:hAnsi="Times New Roman"/>
        </w:rPr>
        <w:t>'</w:t>
      </w:r>
      <w:r w:rsidR="00880C5D" w:rsidRPr="00950741" w:rsidDel="00387CD2">
        <w:rPr>
          <w:rFonts w:ascii="Times New Roman" w:hAnsi="Times New Roman"/>
        </w:rPr>
        <w:t xml:space="preserve">the </w:t>
      </w:r>
      <w:r w:rsidR="00AB2E71" w:rsidRPr="00950741" w:rsidDel="00387CD2">
        <w:rPr>
          <w:rFonts w:ascii="Times New Roman" w:hAnsi="Times New Roman"/>
        </w:rPr>
        <w:t>1996 Hazardous and Noxious Substances Convention</w:t>
      </w:r>
      <w:r w:rsidR="00DE2086" w:rsidRPr="00950741" w:rsidDel="00387CD2">
        <w:rPr>
          <w:rFonts w:ascii="Times New Roman" w:hAnsi="Times New Roman"/>
        </w:rPr>
        <w:t>'</w:t>
      </w:r>
      <w:r w:rsidR="00F5611A" w:rsidRPr="00950741">
        <w:rPr>
          <w:rFonts w:ascii="Times New Roman" w:hAnsi="Times New Roman"/>
        </w:rPr>
        <w:t>)</w:t>
      </w:r>
      <w:r w:rsidR="00AB2E71" w:rsidRPr="00950741" w:rsidDel="00387CD2">
        <w:rPr>
          <w:rFonts w:ascii="Times New Roman" w:hAnsi="Times New Roman"/>
        </w:rPr>
        <w:t>]</w:t>
      </w:r>
      <w:r w:rsidRPr="00950741" w:rsidDel="00387CD2">
        <w:rPr>
          <w:rFonts w:ascii="Times New Roman" w:hAnsi="Times New Roman"/>
        </w:rPr>
        <w:t xml:space="preserve"> or of any amendment or protocol thereto.</w:t>
      </w:r>
    </w:p>
    <w:p w14:paraId="2474C9CB" w14:textId="77777777" w:rsidR="00950741" w:rsidRDefault="00E816B9" w:rsidP="00950741">
      <w:pPr>
        <w:pStyle w:val="leftright"/>
        <w:spacing w:before="0" w:after="260" w:line="280" w:lineRule="exact"/>
        <w:ind w:right="0"/>
        <w:jc w:val="both"/>
        <w:rPr>
          <w:rFonts w:ascii="Times New Roman" w:hAnsi="Times New Roman"/>
        </w:rPr>
      </w:pPr>
      <w:r w:rsidRPr="00950741">
        <w:rPr>
          <w:rFonts w:ascii="Times New Roman" w:hAnsi="Times New Roman"/>
        </w:rPr>
        <w:t>No other reservations shall be admissible to the substantive provisions of this Convention.</w:t>
      </w:r>
      <w:r w:rsidR="0078265A" w:rsidRPr="00950741">
        <w:rPr>
          <w:rFonts w:ascii="Times New Roman" w:hAnsi="Times New Roman"/>
        </w:rPr>
        <w:t>"</w:t>
      </w:r>
    </w:p>
    <w:p w14:paraId="6A55F820" w14:textId="73371D87" w:rsidR="00EE76ED" w:rsidRPr="00950741" w:rsidRDefault="009158E1"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1635DE" w:rsidRPr="00950741">
        <w:rPr>
          <w:rFonts w:ascii="Times New Roman" w:hAnsi="Times New Roman"/>
        </w:rPr>
        <w:t xml:space="preserve">It is relevant to </w:t>
      </w:r>
      <w:r w:rsidR="00B4155F" w:rsidRPr="00950741">
        <w:rPr>
          <w:rFonts w:ascii="Times New Roman" w:hAnsi="Times New Roman"/>
        </w:rPr>
        <w:t xml:space="preserve">the arguments of the parties in the appeal </w:t>
      </w:r>
      <w:r w:rsidR="001635DE" w:rsidRPr="00950741">
        <w:rPr>
          <w:rFonts w:ascii="Times New Roman" w:hAnsi="Times New Roman"/>
        </w:rPr>
        <w:t xml:space="preserve">that, </w:t>
      </w:r>
      <w:r w:rsidR="00F14671" w:rsidRPr="00950741">
        <w:rPr>
          <w:rFonts w:ascii="Times New Roman" w:hAnsi="Times New Roman"/>
        </w:rPr>
        <w:t xml:space="preserve">when the </w:t>
      </w:r>
      <w:r w:rsidR="00B4155F" w:rsidRPr="00950741">
        <w:rPr>
          <w:rFonts w:ascii="Times New Roman" w:hAnsi="Times New Roman"/>
        </w:rPr>
        <w:t>1976</w:t>
      </w:r>
      <w:r w:rsidR="00AC34B4" w:rsidRPr="00950741">
        <w:rPr>
          <w:rFonts w:ascii="Times New Roman" w:hAnsi="Times New Roman"/>
        </w:rPr>
        <w:t> </w:t>
      </w:r>
      <w:r w:rsidR="00F14671" w:rsidRPr="00950741">
        <w:rPr>
          <w:rFonts w:ascii="Times New Roman" w:hAnsi="Times New Roman"/>
        </w:rPr>
        <w:t xml:space="preserve">Convention first entered into force </w:t>
      </w:r>
      <w:r w:rsidR="00534F53" w:rsidRPr="00950741">
        <w:rPr>
          <w:rFonts w:ascii="Times New Roman" w:hAnsi="Times New Roman"/>
        </w:rPr>
        <w:t xml:space="preserve">and was acceded to by Australia, </w:t>
      </w:r>
      <w:r w:rsidR="001635DE" w:rsidRPr="00950741">
        <w:rPr>
          <w:rFonts w:ascii="Times New Roman" w:hAnsi="Times New Roman"/>
        </w:rPr>
        <w:t>Art</w:t>
      </w:r>
      <w:r w:rsidR="003D3BC5" w:rsidRPr="00950741">
        <w:rPr>
          <w:rFonts w:ascii="Times New Roman" w:hAnsi="Times New Roman"/>
        </w:rPr>
        <w:t> </w:t>
      </w:r>
      <w:r w:rsidR="001635DE" w:rsidRPr="00950741">
        <w:rPr>
          <w:rFonts w:ascii="Times New Roman" w:hAnsi="Times New Roman"/>
        </w:rPr>
        <w:t>18</w:t>
      </w:r>
      <w:r w:rsidR="00D62855" w:rsidRPr="00950741">
        <w:rPr>
          <w:rFonts w:ascii="Times New Roman" w:hAnsi="Times New Roman"/>
        </w:rPr>
        <w:t>(</w:t>
      </w:r>
      <w:r w:rsidR="00534F53" w:rsidRPr="00950741">
        <w:rPr>
          <w:rFonts w:ascii="Times New Roman" w:hAnsi="Times New Roman"/>
        </w:rPr>
        <w:t>1</w:t>
      </w:r>
      <w:r w:rsidR="00D62855" w:rsidRPr="00950741">
        <w:rPr>
          <w:rFonts w:ascii="Times New Roman" w:hAnsi="Times New Roman"/>
        </w:rPr>
        <w:t>)</w:t>
      </w:r>
      <w:r w:rsidR="00490ECC" w:rsidRPr="00950741">
        <w:rPr>
          <w:rFonts w:ascii="Times New Roman" w:hAnsi="Times New Roman"/>
        </w:rPr>
        <w:t xml:space="preserve"> </w:t>
      </w:r>
      <w:r w:rsidR="001635DE" w:rsidRPr="00950741">
        <w:rPr>
          <w:rFonts w:ascii="Times New Roman" w:hAnsi="Times New Roman"/>
        </w:rPr>
        <w:t>appeared in these terms</w:t>
      </w:r>
      <w:r w:rsidR="00534F53" w:rsidRPr="00950741">
        <w:rPr>
          <w:rFonts w:ascii="Times New Roman" w:hAnsi="Times New Roman"/>
        </w:rPr>
        <w:t>:</w:t>
      </w:r>
    </w:p>
    <w:p w14:paraId="1FCE30BD" w14:textId="77777777" w:rsidR="00950741" w:rsidRDefault="004E0752" w:rsidP="00950741">
      <w:pPr>
        <w:pStyle w:val="leftright"/>
        <w:spacing w:before="0" w:after="260" w:line="280" w:lineRule="exact"/>
        <w:ind w:right="0"/>
        <w:jc w:val="both"/>
        <w:rPr>
          <w:rFonts w:ascii="Times New Roman" w:hAnsi="Times New Roman"/>
        </w:rPr>
      </w:pPr>
      <w:r w:rsidRPr="00950741">
        <w:rPr>
          <w:rFonts w:ascii="Times New Roman" w:hAnsi="Times New Roman"/>
        </w:rPr>
        <w:t>"</w:t>
      </w:r>
      <w:r w:rsidR="00550C19" w:rsidRPr="00950741">
        <w:rPr>
          <w:rFonts w:ascii="Times New Roman" w:hAnsi="Times New Roman"/>
        </w:rPr>
        <w:t xml:space="preserve">1. </w:t>
      </w:r>
      <w:r w:rsidRPr="00950741">
        <w:rPr>
          <w:rFonts w:ascii="Times New Roman" w:hAnsi="Times New Roman"/>
        </w:rPr>
        <w:t>Any State may, at the time of signature, ratification, acceptance, approval or accession, reserve the right to exclude the application of Article</w:t>
      </w:r>
      <w:r w:rsidR="00206DC0" w:rsidRPr="00950741">
        <w:rPr>
          <w:rFonts w:ascii="Times New Roman" w:hAnsi="Times New Roman"/>
        </w:rPr>
        <w:t> </w:t>
      </w:r>
      <w:r w:rsidRPr="00950741">
        <w:rPr>
          <w:rFonts w:ascii="Times New Roman" w:hAnsi="Times New Roman"/>
        </w:rPr>
        <w:t>2 paragraph</w:t>
      </w:r>
      <w:r w:rsidR="00206DC0" w:rsidRPr="00950741">
        <w:rPr>
          <w:rFonts w:ascii="Times New Roman" w:hAnsi="Times New Roman"/>
        </w:rPr>
        <w:t> </w:t>
      </w:r>
      <w:r w:rsidRPr="00950741">
        <w:rPr>
          <w:rFonts w:ascii="Times New Roman" w:hAnsi="Times New Roman"/>
        </w:rPr>
        <w:t>1</w:t>
      </w:r>
      <w:r w:rsidR="00206DC0" w:rsidRPr="00950741">
        <w:rPr>
          <w:rFonts w:ascii="Times New Roman" w:hAnsi="Times New Roman"/>
        </w:rPr>
        <w:t> </w:t>
      </w:r>
      <w:r w:rsidRPr="00950741">
        <w:rPr>
          <w:rFonts w:ascii="Times New Roman" w:hAnsi="Times New Roman"/>
        </w:rPr>
        <w:t>(d) and</w:t>
      </w:r>
      <w:r w:rsidR="00C80749" w:rsidRPr="00950741">
        <w:rPr>
          <w:rFonts w:ascii="Times New Roman" w:hAnsi="Times New Roman"/>
        </w:rPr>
        <w:t> </w:t>
      </w:r>
      <w:r w:rsidRPr="00950741">
        <w:rPr>
          <w:rFonts w:ascii="Times New Roman" w:hAnsi="Times New Roman"/>
        </w:rPr>
        <w:t>(e). No other reservations shall be admissible to the substantive provisions of this Convention."</w:t>
      </w:r>
    </w:p>
    <w:p w14:paraId="38FC3857" w14:textId="339615C7" w:rsidR="006C593B" w:rsidRPr="00950741" w:rsidRDefault="006C593B" w:rsidP="00950741">
      <w:pPr>
        <w:pStyle w:val="HeadingL1"/>
        <w:spacing w:after="260" w:line="280" w:lineRule="exact"/>
        <w:ind w:right="0"/>
        <w:jc w:val="both"/>
        <w:rPr>
          <w:rFonts w:ascii="Times New Roman" w:hAnsi="Times New Roman"/>
        </w:rPr>
      </w:pPr>
      <w:r w:rsidRPr="00950741">
        <w:rPr>
          <w:rFonts w:ascii="Times New Roman" w:hAnsi="Times New Roman"/>
        </w:rPr>
        <w:t xml:space="preserve">Competing approaches of the parties </w:t>
      </w:r>
    </w:p>
    <w:p w14:paraId="3F0A299D" w14:textId="77777777" w:rsidR="006C593B" w:rsidRPr="00950741" w:rsidRDefault="006C593B" w:rsidP="00950741">
      <w:pPr>
        <w:pStyle w:val="HeadingL2"/>
        <w:spacing w:after="260" w:line="280" w:lineRule="exact"/>
        <w:ind w:right="0"/>
        <w:jc w:val="both"/>
        <w:rPr>
          <w:rFonts w:ascii="Times New Roman" w:hAnsi="Times New Roman"/>
        </w:rPr>
      </w:pPr>
      <w:r w:rsidRPr="00950741">
        <w:rPr>
          <w:rFonts w:ascii="Times New Roman" w:hAnsi="Times New Roman"/>
        </w:rPr>
        <w:t>CSL's approach</w:t>
      </w:r>
    </w:p>
    <w:p w14:paraId="03EB34DF" w14:textId="07B27AF2" w:rsidR="006C593B" w:rsidRPr="00950741" w:rsidRDefault="006C593B"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CSL contended that, in accordance with Art 1(1) of the 1976 Convention, CSL, as a shipowner, may "limit [its] liability in accordance with the rules of this Convention for claims set out in Article 2". As Australia exercised the right under </w:t>
      </w:r>
      <w:r w:rsidRPr="00950741">
        <w:rPr>
          <w:rFonts w:ascii="Times New Roman" w:hAnsi="Times New Roman"/>
        </w:rPr>
        <w:lastRenderedPageBreak/>
        <w:t>Art 18(1) of the 1976 Convention to exclude the application of Art 2(1)(d) and (e), the 1976 Convention, as given the force of law in Australia by s 6 of the Limitation of Liability Act, is the 1976 Convention without Art 2(1)(d) and (e). Therefore, in Art 1(1) referring to shipowners being able to "limit their liability in accordance with the rules of this Convention for claims set out in Article 2", the applicable "rules of this Convention" are Art 2(1)(a), (b), (c) and (f). The question then is whether TasPorts' para 22(e) claims are within the scope of Art 2(1)(a), (b), (c) and</w:t>
      </w:r>
      <w:r w:rsidR="00F435C3" w:rsidRPr="00950741">
        <w:rPr>
          <w:rFonts w:ascii="Times New Roman" w:hAnsi="Times New Roman"/>
        </w:rPr>
        <w:t> </w:t>
      </w:r>
      <w:r w:rsidRPr="00950741">
        <w:rPr>
          <w:rFonts w:ascii="Times New Roman" w:hAnsi="Times New Roman"/>
        </w:rPr>
        <w:t>(f). There being no dispute that, as the primary judge found,</w:t>
      </w:r>
      <w:r w:rsidRPr="00950741">
        <w:rPr>
          <w:rStyle w:val="FootnoteReference"/>
          <w:rFonts w:ascii="Times New Roman" w:hAnsi="Times New Roman"/>
          <w:sz w:val="24"/>
        </w:rPr>
        <w:footnoteReference w:id="9"/>
      </w:r>
      <w:r w:rsidRPr="00950741">
        <w:rPr>
          <w:rFonts w:ascii="Times New Roman" w:hAnsi="Times New Roman"/>
        </w:rPr>
        <w:t xml:space="preserve"> TasPorts' para 22(e) claims are within the scope of Art 2(1)(a), CSL's liability "shall be subject to limitation of liability" as provided for in Art 2 of the 1976 Convention.</w:t>
      </w:r>
    </w:p>
    <w:p w14:paraId="7157F167" w14:textId="0930039F" w:rsidR="006C593B" w:rsidRPr="00950741" w:rsidRDefault="006C593B"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According to CSL, </w:t>
      </w:r>
      <w:r w:rsidR="00B77EF7" w:rsidRPr="00950741">
        <w:rPr>
          <w:rFonts w:ascii="Times New Roman" w:hAnsi="Times New Roman"/>
        </w:rPr>
        <w:t xml:space="preserve">it does not matter </w:t>
      </w:r>
      <w:r w:rsidRPr="00950741">
        <w:rPr>
          <w:rFonts w:ascii="Times New Roman" w:hAnsi="Times New Roman"/>
        </w:rPr>
        <w:t>that, as the primary judge found,</w:t>
      </w:r>
      <w:r w:rsidRPr="00950741">
        <w:rPr>
          <w:rStyle w:val="FootnoteReference"/>
          <w:rFonts w:ascii="Times New Roman" w:hAnsi="Times New Roman"/>
          <w:sz w:val="24"/>
        </w:rPr>
        <w:footnoteReference w:id="10"/>
      </w:r>
      <w:r w:rsidRPr="00950741">
        <w:rPr>
          <w:rFonts w:ascii="Times New Roman" w:hAnsi="Times New Roman"/>
        </w:rPr>
        <w:t xml:space="preserve"> TasPorts' para 22(e) claims are also within the scope of Art 2(1)(d). Effect is given to a State Party exercising the right under Art 18(1) to disapply Art 2(1)(d) (as relevant to this case) in respect of all claims exclusively within Art 2(1)(d) but not claims within both Art 2(1)(d) and, for example, Art 2(1)(a). If construed otherwise, Art 18(1) would be giving a State Party the right to disapply, for example, Art 2(1)(a), contrary to Art 18(1) which provides that "[n]o other reservations shall be admissible to the substantive provisions of this Convention".</w:t>
      </w:r>
    </w:p>
    <w:p w14:paraId="55D4E491" w14:textId="77777777" w:rsidR="006C593B" w:rsidRPr="00950741" w:rsidRDefault="006C593B" w:rsidP="00950741">
      <w:pPr>
        <w:pStyle w:val="HeadingL2"/>
        <w:spacing w:after="260" w:line="280" w:lineRule="exact"/>
        <w:ind w:right="0"/>
        <w:jc w:val="both"/>
        <w:rPr>
          <w:rFonts w:ascii="Times New Roman" w:hAnsi="Times New Roman"/>
        </w:rPr>
      </w:pPr>
      <w:r w:rsidRPr="00950741">
        <w:rPr>
          <w:rFonts w:ascii="Times New Roman" w:hAnsi="Times New Roman"/>
        </w:rPr>
        <w:t>TasPorts' approach</w:t>
      </w:r>
    </w:p>
    <w:p w14:paraId="63517B18" w14:textId="6B22925F" w:rsidR="006C593B" w:rsidRPr="00950741" w:rsidRDefault="006C593B"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TasPorts accepted that claims may fall within more than one </w:t>
      </w:r>
      <w:r w:rsidR="00F5611A" w:rsidRPr="00950741">
        <w:rPr>
          <w:rFonts w:ascii="Times New Roman" w:hAnsi="Times New Roman"/>
        </w:rPr>
        <w:t>sub-</w:t>
      </w:r>
      <w:r w:rsidRPr="00950741">
        <w:rPr>
          <w:rFonts w:ascii="Times New Roman" w:hAnsi="Times New Roman"/>
        </w:rPr>
        <w:t xml:space="preserve">paragraph of Art 2(1) of the 1976 Convention. TasPorts also accepted that, as the primary judge found, its para 22(e) claims are within the scope of both Art 2(1)(a) and (d). TasPorts contended, however, that insofar as a claim is within both Art 2(1)(a) and (d), as in this case, the consequence of an exclusion of the application of Art 2(1)(d) by the exercise of the right under Art 18(1) is that the claim is also excluded from Art 2 altogether. According to TasPorts, this does not mean that Art 2(1)(a) is being "read down" or subjected to a "gloss" not apparent from the text of the </w:t>
      </w:r>
      <w:r w:rsidR="00060590" w:rsidRPr="00950741">
        <w:rPr>
          <w:rFonts w:ascii="Times New Roman" w:hAnsi="Times New Roman"/>
        </w:rPr>
        <w:t>A</w:t>
      </w:r>
      <w:r w:rsidRPr="00950741">
        <w:rPr>
          <w:rFonts w:ascii="Times New Roman" w:hAnsi="Times New Roman"/>
        </w:rPr>
        <w:t xml:space="preserve">rticle. Nor is this conclusion inconsistent with the terms of Art 18(1) that "[n]o other reservations shall be admissible to the substantive provisions of this Convention". Rather, effect is thereby given to the </w:t>
      </w:r>
      <w:r w:rsidR="009F0FBD" w:rsidRPr="00950741">
        <w:rPr>
          <w:rFonts w:ascii="Times New Roman" w:hAnsi="Times New Roman"/>
        </w:rPr>
        <w:t xml:space="preserve">applicable </w:t>
      </w:r>
      <w:r w:rsidRPr="00950741">
        <w:rPr>
          <w:rFonts w:ascii="Times New Roman" w:hAnsi="Times New Roman"/>
        </w:rPr>
        <w:t>terms of Art 18(1) vesting in each State Party the right to "exclude the application of Article 2, paragraphs 1(d) and</w:t>
      </w:r>
      <w:r w:rsidR="00996C27" w:rsidRPr="00950741">
        <w:rPr>
          <w:rFonts w:ascii="Times New Roman" w:hAnsi="Times New Roman"/>
        </w:rPr>
        <w:t> </w:t>
      </w:r>
      <w:r w:rsidRPr="00950741">
        <w:rPr>
          <w:rFonts w:ascii="Times New Roman" w:hAnsi="Times New Roman"/>
        </w:rPr>
        <w:t>(e)"</w:t>
      </w:r>
      <w:r w:rsidR="0007552A" w:rsidRPr="00950741">
        <w:rPr>
          <w:rFonts w:ascii="Times New Roman" w:hAnsi="Times New Roman"/>
        </w:rPr>
        <w:t>,</w:t>
      </w:r>
      <w:r w:rsidRPr="00950741">
        <w:rPr>
          <w:rFonts w:ascii="Times New Roman" w:hAnsi="Times New Roman"/>
        </w:rPr>
        <w:t xml:space="preserve"> meaning Art 2(1)(d) and</w:t>
      </w:r>
      <w:r w:rsidR="00996C27" w:rsidRPr="00950741">
        <w:rPr>
          <w:rFonts w:ascii="Times New Roman" w:hAnsi="Times New Roman"/>
        </w:rPr>
        <w:t> </w:t>
      </w:r>
      <w:r w:rsidRPr="00950741">
        <w:rPr>
          <w:rFonts w:ascii="Times New Roman" w:hAnsi="Times New Roman"/>
        </w:rPr>
        <w:t>(e) in their entirety and not, as CSL would have it, in part only (</w:t>
      </w:r>
      <w:r w:rsidR="00304F81" w:rsidRPr="00950741">
        <w:rPr>
          <w:rFonts w:ascii="Times New Roman" w:hAnsi="Times New Roman"/>
        </w:rPr>
        <w:t>by excluding</w:t>
      </w:r>
      <w:r w:rsidRPr="00950741">
        <w:rPr>
          <w:rFonts w:ascii="Times New Roman" w:hAnsi="Times New Roman"/>
        </w:rPr>
        <w:t xml:space="preserve"> a claim within Art 2(1)(d) and (e) provided that the claim is not also within any other </w:t>
      </w:r>
      <w:r w:rsidR="00EA3384" w:rsidRPr="00950741">
        <w:rPr>
          <w:rFonts w:ascii="Times New Roman" w:hAnsi="Times New Roman"/>
        </w:rPr>
        <w:t>sub-</w:t>
      </w:r>
      <w:r w:rsidRPr="00950741">
        <w:rPr>
          <w:rFonts w:ascii="Times New Roman" w:hAnsi="Times New Roman"/>
        </w:rPr>
        <w:t xml:space="preserve">paragraph of </w:t>
      </w:r>
      <w:r w:rsidRPr="00950741">
        <w:rPr>
          <w:rFonts w:ascii="Times New Roman" w:hAnsi="Times New Roman"/>
        </w:rPr>
        <w:lastRenderedPageBreak/>
        <w:t>Art 2</w:t>
      </w:r>
      <w:r w:rsidR="00EA3384" w:rsidRPr="00950741">
        <w:rPr>
          <w:rFonts w:ascii="Times New Roman" w:hAnsi="Times New Roman"/>
        </w:rPr>
        <w:t>(1)</w:t>
      </w:r>
      <w:r w:rsidRPr="00950741">
        <w:rPr>
          <w:rFonts w:ascii="Times New Roman" w:hAnsi="Times New Roman"/>
        </w:rPr>
        <w:t>), there being no textual or other support for reading such a limitation into Art 18(1).</w:t>
      </w:r>
    </w:p>
    <w:p w14:paraId="47EC418D" w14:textId="092B5F4B" w:rsidR="006C593B" w:rsidRPr="00950741" w:rsidRDefault="006C593B" w:rsidP="00950741">
      <w:pPr>
        <w:pStyle w:val="FixListStyle"/>
        <w:spacing w:after="260" w:line="280" w:lineRule="exact"/>
        <w:ind w:right="0"/>
        <w:jc w:val="both"/>
        <w:rPr>
          <w:rFonts w:ascii="Times New Roman" w:hAnsi="Times New Roman"/>
        </w:rPr>
      </w:pPr>
      <w:r w:rsidRPr="00950741">
        <w:rPr>
          <w:rFonts w:ascii="Times New Roman" w:hAnsi="Times New Roman"/>
        </w:rPr>
        <w:tab/>
        <w:t>TasPorts submitted therefore that the "rules of this Convention for claims set out in Article 2" as referred to in Art 1(1) are as set out in Art 2(1)(</w:t>
      </w:r>
      <w:proofErr w:type="gramStart"/>
      <w:r w:rsidRPr="00950741">
        <w:rPr>
          <w:rFonts w:ascii="Times New Roman" w:hAnsi="Times New Roman"/>
        </w:rPr>
        <w:t>a)-(</w:t>
      </w:r>
      <w:proofErr w:type="gramEnd"/>
      <w:r w:rsidRPr="00950741">
        <w:rPr>
          <w:rFonts w:ascii="Times New Roman" w:hAnsi="Times New Roman"/>
        </w:rPr>
        <w:t>f) as a whole (including Art 2(1)(d) and (e)). That fact is not altered by Australia having excluded Art 2(1)(d) and (e) from application under Art 18(1). Nor do the terms of s 6 of the Limitation of Liability Act, by which Art 2(1)(d) and (e) do not have the force of law in Australia, mean that Art 2(1)(d) and (e) are not part of Art 2. Accordingly, the effect of an exercise of the right under Art 18(1) is to be construed in the context of Arts 1 and</w:t>
      </w:r>
      <w:r w:rsidR="00996C27" w:rsidRPr="00950741">
        <w:rPr>
          <w:rFonts w:ascii="Times New Roman" w:hAnsi="Times New Roman"/>
        </w:rPr>
        <w:t> </w:t>
      </w:r>
      <w:r w:rsidRPr="00950741">
        <w:rPr>
          <w:rFonts w:ascii="Times New Roman" w:hAnsi="Times New Roman"/>
        </w:rPr>
        <w:t>2(1)(</w:t>
      </w:r>
      <w:proofErr w:type="gramStart"/>
      <w:r w:rsidRPr="00950741">
        <w:rPr>
          <w:rFonts w:ascii="Times New Roman" w:hAnsi="Times New Roman"/>
        </w:rPr>
        <w:t>a)-(</w:t>
      </w:r>
      <w:proofErr w:type="gramEnd"/>
      <w:r w:rsidRPr="00950741">
        <w:rPr>
          <w:rFonts w:ascii="Times New Roman" w:hAnsi="Times New Roman"/>
        </w:rPr>
        <w:t xml:space="preserve">f) as a whole (including Art 2(1)(d) and (e)). Once this is done it is apparent that Australia's exercise of the right under Art 18(1) has the effect of excluding the application of Art 2(1)(d) and (e) in their entirety and not merely Art 2(1)(d) and (e) to the extent that a claim within their scope is not also within the scope of another </w:t>
      </w:r>
      <w:r w:rsidR="00EA3384" w:rsidRPr="00950741">
        <w:rPr>
          <w:rFonts w:ascii="Times New Roman" w:hAnsi="Times New Roman"/>
        </w:rPr>
        <w:t>sub-</w:t>
      </w:r>
      <w:r w:rsidRPr="00950741">
        <w:rPr>
          <w:rFonts w:ascii="Times New Roman" w:hAnsi="Times New Roman"/>
        </w:rPr>
        <w:t>paragraph of Art 2</w:t>
      </w:r>
      <w:r w:rsidR="00EA3384" w:rsidRPr="00950741">
        <w:rPr>
          <w:rFonts w:ascii="Times New Roman" w:hAnsi="Times New Roman"/>
        </w:rPr>
        <w:t>(1)</w:t>
      </w:r>
      <w:r w:rsidRPr="00950741">
        <w:rPr>
          <w:rFonts w:ascii="Times New Roman" w:hAnsi="Times New Roman"/>
        </w:rPr>
        <w:t>.</w:t>
      </w:r>
    </w:p>
    <w:p w14:paraId="67B79113" w14:textId="6B29ECC5" w:rsidR="00A0256C" w:rsidRPr="00950741" w:rsidRDefault="00A0256C" w:rsidP="00950741">
      <w:pPr>
        <w:pStyle w:val="FixListStyle"/>
        <w:spacing w:after="260" w:line="280" w:lineRule="exact"/>
        <w:ind w:right="0"/>
        <w:jc w:val="both"/>
        <w:rPr>
          <w:rFonts w:ascii="Times New Roman" w:hAnsi="Times New Roman"/>
        </w:rPr>
      </w:pPr>
      <w:r w:rsidRPr="00950741">
        <w:rPr>
          <w:rFonts w:ascii="Times New Roman" w:hAnsi="Times New Roman"/>
          <w:b/>
          <w:bCs/>
        </w:rPr>
        <w:tab/>
      </w:r>
      <w:r w:rsidRPr="00950741">
        <w:rPr>
          <w:rFonts w:ascii="Times New Roman" w:hAnsi="Times New Roman"/>
        </w:rPr>
        <w:t>We consider TasPo</w:t>
      </w:r>
      <w:r w:rsidR="00C93754" w:rsidRPr="00950741">
        <w:rPr>
          <w:rFonts w:ascii="Times New Roman" w:hAnsi="Times New Roman"/>
        </w:rPr>
        <w:t xml:space="preserve">rts' approach to be correct and, contrary to the arguments for CSL, to be consistent with the reasoning in both </w:t>
      </w:r>
      <w:r w:rsidR="00C93754" w:rsidRPr="00950741">
        <w:rPr>
          <w:rFonts w:ascii="Times New Roman" w:hAnsi="Times New Roman"/>
          <w:i/>
          <w:iCs/>
        </w:rPr>
        <w:t>The Flaminia</w:t>
      </w:r>
      <w:r w:rsidR="00C93754" w:rsidRPr="00950741">
        <w:rPr>
          <w:rStyle w:val="FootnoteReference"/>
          <w:rFonts w:ascii="Times New Roman" w:hAnsi="Times New Roman"/>
          <w:sz w:val="24"/>
        </w:rPr>
        <w:footnoteReference w:id="11"/>
      </w:r>
      <w:r w:rsidR="00C93754" w:rsidRPr="00950741">
        <w:rPr>
          <w:rFonts w:ascii="Times New Roman" w:hAnsi="Times New Roman"/>
        </w:rPr>
        <w:t xml:space="preserve"> and </w:t>
      </w:r>
      <w:r w:rsidR="00C93754" w:rsidRPr="00950741">
        <w:rPr>
          <w:rFonts w:ascii="Times New Roman" w:hAnsi="Times New Roman"/>
          <w:i/>
          <w:iCs/>
        </w:rPr>
        <w:t>The Star Centurion</w:t>
      </w:r>
      <w:r w:rsidR="00C93754" w:rsidRPr="00950741">
        <w:rPr>
          <w:rFonts w:ascii="Times New Roman" w:hAnsi="Times New Roman"/>
        </w:rPr>
        <w:t>.</w:t>
      </w:r>
      <w:r w:rsidR="00C93754" w:rsidRPr="00950741">
        <w:rPr>
          <w:rStyle w:val="FootnoteReference"/>
          <w:rFonts w:ascii="Times New Roman" w:hAnsi="Times New Roman"/>
          <w:sz w:val="24"/>
        </w:rPr>
        <w:footnoteReference w:id="12"/>
      </w:r>
    </w:p>
    <w:p w14:paraId="0BB7FC04" w14:textId="4FD94733" w:rsidR="00BA7CAC" w:rsidRPr="00950741" w:rsidRDefault="00C073A5" w:rsidP="00950741">
      <w:pPr>
        <w:pStyle w:val="HeadingL1"/>
        <w:spacing w:after="260" w:line="280" w:lineRule="exact"/>
        <w:ind w:right="0"/>
        <w:jc w:val="both"/>
        <w:rPr>
          <w:rFonts w:ascii="Times New Roman" w:hAnsi="Times New Roman"/>
        </w:rPr>
      </w:pPr>
      <w:r w:rsidRPr="00950741">
        <w:rPr>
          <w:rFonts w:ascii="Times New Roman" w:hAnsi="Times New Roman"/>
        </w:rPr>
        <w:t>The Flaminia</w:t>
      </w:r>
    </w:p>
    <w:p w14:paraId="276C7FC7" w14:textId="5FF8AD1B" w:rsidR="00B305CB" w:rsidRPr="00950741" w:rsidRDefault="00303FD9" w:rsidP="00950741">
      <w:pPr>
        <w:pStyle w:val="HeadingL2"/>
        <w:spacing w:after="260" w:line="280" w:lineRule="exact"/>
        <w:ind w:right="0"/>
        <w:jc w:val="both"/>
        <w:rPr>
          <w:rFonts w:ascii="Times New Roman" w:hAnsi="Times New Roman"/>
        </w:rPr>
      </w:pPr>
      <w:r w:rsidRPr="00950741">
        <w:rPr>
          <w:rFonts w:ascii="Times New Roman" w:hAnsi="Times New Roman"/>
        </w:rPr>
        <w:t>Reasoning in The Flaminia</w:t>
      </w:r>
    </w:p>
    <w:p w14:paraId="7AE66B80" w14:textId="3A582288" w:rsidR="00696588" w:rsidRPr="00950741" w:rsidRDefault="00C073A5"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586395" w:rsidRPr="00950741">
        <w:rPr>
          <w:rFonts w:ascii="Times New Roman" w:hAnsi="Times New Roman"/>
        </w:rPr>
        <w:t xml:space="preserve">CSL and TasPorts both called in aid the reasoning </w:t>
      </w:r>
      <w:r w:rsidR="00150A5F" w:rsidRPr="00950741">
        <w:rPr>
          <w:rFonts w:ascii="Times New Roman" w:hAnsi="Times New Roman"/>
        </w:rPr>
        <w:t xml:space="preserve">of the Supreme Court of the United Kingdom </w:t>
      </w:r>
      <w:r w:rsidR="00586395" w:rsidRPr="00950741">
        <w:rPr>
          <w:rFonts w:ascii="Times New Roman" w:hAnsi="Times New Roman"/>
        </w:rPr>
        <w:t xml:space="preserve">in </w:t>
      </w:r>
      <w:r w:rsidR="0096651C" w:rsidRPr="00950741">
        <w:rPr>
          <w:rFonts w:ascii="Times New Roman" w:hAnsi="Times New Roman"/>
          <w:i/>
          <w:iCs/>
        </w:rPr>
        <w:t>The Flaminia</w:t>
      </w:r>
      <w:r w:rsidR="00C23C07" w:rsidRPr="00950741">
        <w:rPr>
          <w:rStyle w:val="FootnoteReference"/>
          <w:rFonts w:ascii="Times New Roman" w:hAnsi="Times New Roman"/>
          <w:sz w:val="24"/>
        </w:rPr>
        <w:footnoteReference w:id="13"/>
      </w:r>
      <w:r w:rsidR="0024313D" w:rsidRPr="00950741">
        <w:rPr>
          <w:rFonts w:ascii="Times New Roman" w:hAnsi="Times New Roman"/>
        </w:rPr>
        <w:t xml:space="preserve"> to support their positions. </w:t>
      </w:r>
      <w:r w:rsidR="008B2F47" w:rsidRPr="00950741">
        <w:rPr>
          <w:rFonts w:ascii="Times New Roman" w:hAnsi="Times New Roman"/>
        </w:rPr>
        <w:t xml:space="preserve">Because both parties placed heavy reliance on the reasoning in </w:t>
      </w:r>
      <w:r w:rsidR="008B2F47" w:rsidRPr="00950741">
        <w:rPr>
          <w:rFonts w:ascii="Times New Roman" w:hAnsi="Times New Roman"/>
          <w:i/>
          <w:iCs/>
        </w:rPr>
        <w:t>The Flaminia</w:t>
      </w:r>
      <w:r w:rsidR="008B2F47" w:rsidRPr="00950741">
        <w:rPr>
          <w:rFonts w:ascii="Times New Roman" w:hAnsi="Times New Roman"/>
        </w:rPr>
        <w:t xml:space="preserve"> </w:t>
      </w:r>
      <w:r w:rsidR="00BF4439" w:rsidRPr="00950741">
        <w:rPr>
          <w:rFonts w:ascii="Times New Roman" w:hAnsi="Times New Roman"/>
        </w:rPr>
        <w:t xml:space="preserve">to </w:t>
      </w:r>
      <w:r w:rsidR="008B2F47" w:rsidRPr="00950741">
        <w:rPr>
          <w:rFonts w:ascii="Times New Roman" w:hAnsi="Times New Roman"/>
        </w:rPr>
        <w:t>support their competing cases it is necessary to identify the reasoning in that case in detail.</w:t>
      </w:r>
    </w:p>
    <w:p w14:paraId="388C9593" w14:textId="04FBA82F" w:rsidR="00C073A5" w:rsidRPr="00950741" w:rsidRDefault="00696588"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In </w:t>
      </w:r>
      <w:r w:rsidRPr="00950741">
        <w:rPr>
          <w:rFonts w:ascii="Times New Roman" w:hAnsi="Times New Roman"/>
          <w:i/>
          <w:iCs/>
        </w:rPr>
        <w:t>The Flaminia</w:t>
      </w:r>
      <w:r w:rsidR="00AB0995" w:rsidRPr="00950741">
        <w:rPr>
          <w:rFonts w:ascii="Times New Roman" w:hAnsi="Times New Roman"/>
        </w:rPr>
        <w:t>,</w:t>
      </w:r>
      <w:r w:rsidRPr="00950741">
        <w:rPr>
          <w:rFonts w:ascii="Times New Roman" w:hAnsi="Times New Roman"/>
        </w:rPr>
        <w:t xml:space="preserve"> </w:t>
      </w:r>
      <w:r w:rsidR="002A6A80" w:rsidRPr="00950741">
        <w:rPr>
          <w:rFonts w:ascii="Times New Roman" w:hAnsi="Times New Roman"/>
        </w:rPr>
        <w:t>Lord</w:t>
      </w:r>
      <w:r w:rsidR="00A717C8" w:rsidRPr="00950741">
        <w:rPr>
          <w:rFonts w:ascii="Times New Roman" w:hAnsi="Times New Roman"/>
        </w:rPr>
        <w:t> </w:t>
      </w:r>
      <w:r w:rsidR="002A6A80" w:rsidRPr="00950741">
        <w:rPr>
          <w:rFonts w:ascii="Times New Roman" w:hAnsi="Times New Roman"/>
        </w:rPr>
        <w:t xml:space="preserve">Hamblen </w:t>
      </w:r>
      <w:r w:rsidR="003C739E" w:rsidRPr="00950741">
        <w:rPr>
          <w:rFonts w:ascii="Times New Roman" w:hAnsi="Times New Roman"/>
        </w:rPr>
        <w:t>(with whom Lords</w:t>
      </w:r>
      <w:r w:rsidR="0083710C" w:rsidRPr="00950741">
        <w:rPr>
          <w:rFonts w:ascii="Times New Roman" w:hAnsi="Times New Roman"/>
        </w:rPr>
        <w:t> </w:t>
      </w:r>
      <w:r w:rsidR="003C739E" w:rsidRPr="00950741">
        <w:rPr>
          <w:rFonts w:ascii="Times New Roman" w:hAnsi="Times New Roman"/>
        </w:rPr>
        <w:t xml:space="preserve">Hodge, Briggs, Leggatt and </w:t>
      </w:r>
      <w:r w:rsidR="009626CB" w:rsidRPr="00950741">
        <w:rPr>
          <w:rFonts w:ascii="Times New Roman" w:hAnsi="Times New Roman"/>
        </w:rPr>
        <w:t xml:space="preserve">Burrows agreed) quoted with approval the observations of </w:t>
      </w:r>
      <w:r w:rsidR="00190BAC" w:rsidRPr="00950741">
        <w:rPr>
          <w:rFonts w:ascii="Times New Roman" w:hAnsi="Times New Roman"/>
        </w:rPr>
        <w:t xml:space="preserve">Longmore LJ in </w:t>
      </w:r>
      <w:r w:rsidR="00190BAC" w:rsidRPr="00950741">
        <w:rPr>
          <w:rFonts w:ascii="Times New Roman" w:hAnsi="Times New Roman"/>
          <w:i/>
          <w:iCs/>
        </w:rPr>
        <w:t xml:space="preserve">CMA CGM SA v Classica Shipping Co Ltd </w:t>
      </w:r>
      <w:r w:rsidR="00190BAC" w:rsidRPr="00950741">
        <w:rPr>
          <w:rFonts w:ascii="Times New Roman" w:hAnsi="Times New Roman"/>
        </w:rPr>
        <w:t>(</w:t>
      </w:r>
      <w:r w:rsidR="00EF708B" w:rsidRPr="00950741">
        <w:rPr>
          <w:rFonts w:ascii="Times New Roman" w:hAnsi="Times New Roman"/>
        </w:rPr>
        <w:t>"</w:t>
      </w:r>
      <w:r w:rsidR="004C55E6" w:rsidRPr="00950741">
        <w:rPr>
          <w:rFonts w:ascii="Times New Roman" w:hAnsi="Times New Roman"/>
          <w:i/>
          <w:iCs/>
        </w:rPr>
        <w:t>T</w:t>
      </w:r>
      <w:r w:rsidR="00190BAC" w:rsidRPr="00950741">
        <w:rPr>
          <w:rFonts w:ascii="Times New Roman" w:hAnsi="Times New Roman"/>
          <w:i/>
          <w:iCs/>
        </w:rPr>
        <w:t xml:space="preserve">he </w:t>
      </w:r>
      <w:r w:rsidR="00190BAC" w:rsidRPr="00950741">
        <w:rPr>
          <w:rFonts w:ascii="Times New Roman" w:eastAsia="Univers" w:hAnsi="Times New Roman"/>
          <w:i/>
          <w:iCs/>
        </w:rPr>
        <w:t>CMA Djakarta</w:t>
      </w:r>
      <w:r w:rsidR="00EF708B" w:rsidRPr="00950741">
        <w:rPr>
          <w:rFonts w:ascii="Times New Roman" w:eastAsia="Univers" w:hAnsi="Times New Roman"/>
        </w:rPr>
        <w:t>"</w:t>
      </w:r>
      <w:r w:rsidR="00190BAC" w:rsidRPr="00950741">
        <w:rPr>
          <w:rFonts w:ascii="Times New Roman" w:eastAsia="Univers" w:hAnsi="Times New Roman"/>
        </w:rPr>
        <w:t>)</w:t>
      </w:r>
      <w:r w:rsidR="00190BAC" w:rsidRPr="00950741">
        <w:rPr>
          <w:rStyle w:val="FootnoteReference"/>
          <w:rFonts w:ascii="Times New Roman" w:eastAsia="Univers" w:hAnsi="Times New Roman"/>
          <w:sz w:val="24"/>
        </w:rPr>
        <w:footnoteReference w:id="14"/>
      </w:r>
      <w:r w:rsidR="00F55D70" w:rsidRPr="00950741">
        <w:rPr>
          <w:rFonts w:ascii="Times New Roman" w:eastAsia="Univers" w:hAnsi="Times New Roman"/>
        </w:rPr>
        <w:t xml:space="preserve"> that no object or </w:t>
      </w:r>
      <w:r w:rsidR="0083100D" w:rsidRPr="00950741">
        <w:rPr>
          <w:rFonts w:ascii="Times New Roman" w:eastAsia="Univers" w:hAnsi="Times New Roman"/>
        </w:rPr>
        <w:t>purpose</w:t>
      </w:r>
      <w:r w:rsidR="00F55D70" w:rsidRPr="00950741">
        <w:rPr>
          <w:rFonts w:ascii="Times New Roman" w:eastAsia="Univers" w:hAnsi="Times New Roman"/>
        </w:rPr>
        <w:t xml:space="preserve"> of the 1976</w:t>
      </w:r>
      <w:r w:rsidR="00ED64A2" w:rsidRPr="00950741">
        <w:rPr>
          <w:rFonts w:ascii="Times New Roman" w:eastAsia="Univers" w:hAnsi="Times New Roman"/>
        </w:rPr>
        <w:t> </w:t>
      </w:r>
      <w:r w:rsidR="00F55D70" w:rsidRPr="00950741">
        <w:rPr>
          <w:rFonts w:ascii="Times New Roman" w:eastAsia="Univers" w:hAnsi="Times New Roman"/>
        </w:rPr>
        <w:t xml:space="preserve">Convention could be </w:t>
      </w:r>
      <w:r w:rsidR="00A4236A" w:rsidRPr="00950741">
        <w:rPr>
          <w:rFonts w:ascii="Times New Roman" w:eastAsia="Univers" w:hAnsi="Times New Roman"/>
        </w:rPr>
        <w:t>ascertained with certainty beyond</w:t>
      </w:r>
      <w:r w:rsidR="00CC04B8" w:rsidRPr="00950741">
        <w:rPr>
          <w:rFonts w:ascii="Times New Roman" w:eastAsia="Univers" w:hAnsi="Times New Roman"/>
        </w:rPr>
        <w:t>, relevantly</w:t>
      </w:r>
      <w:r w:rsidR="00906F0D" w:rsidRPr="00950741">
        <w:rPr>
          <w:rFonts w:ascii="Times New Roman" w:eastAsia="Univers" w:hAnsi="Times New Roman"/>
        </w:rPr>
        <w:t xml:space="preserve">: </w:t>
      </w:r>
      <w:r w:rsidR="00A4236A" w:rsidRPr="00950741">
        <w:rPr>
          <w:rFonts w:ascii="Times New Roman" w:eastAsia="Univers" w:hAnsi="Times New Roman"/>
        </w:rPr>
        <w:t>"(a) </w:t>
      </w:r>
      <w:r w:rsidR="00906F0D" w:rsidRPr="00950741">
        <w:rPr>
          <w:rFonts w:ascii="Times New Roman" w:eastAsia="Univers" w:hAnsi="Times New Roman"/>
        </w:rPr>
        <w:t xml:space="preserve">that the general purpose of owners, charterers, managers and operators being able to limit their liability was to encourage the provision of international trade by way of sea-carriage"; and </w:t>
      </w:r>
      <w:r w:rsidR="00C5061D" w:rsidRPr="00950741">
        <w:rPr>
          <w:rFonts w:ascii="Times New Roman" w:eastAsia="Univers" w:hAnsi="Times New Roman"/>
        </w:rPr>
        <w:t>"</w:t>
      </w:r>
      <w:r w:rsidR="00CC04B8" w:rsidRPr="00950741">
        <w:rPr>
          <w:rFonts w:ascii="Times New Roman" w:eastAsia="Univers" w:hAnsi="Times New Roman"/>
        </w:rPr>
        <w:t>(b) </w:t>
      </w:r>
      <w:r w:rsidR="0008265A" w:rsidRPr="00950741">
        <w:rPr>
          <w:rFonts w:ascii="Times New Roman" w:eastAsia="Univers" w:hAnsi="Times New Roman"/>
        </w:rPr>
        <w:t xml:space="preserve">that </w:t>
      </w:r>
      <w:r w:rsidR="002F6FCD" w:rsidRPr="00950741">
        <w:rPr>
          <w:rFonts w:ascii="Times New Roman" w:eastAsia="Univers" w:hAnsi="Times New Roman"/>
        </w:rPr>
        <w:t xml:space="preserve">the main object and </w:t>
      </w:r>
      <w:r w:rsidR="002F6FCD" w:rsidRPr="00950741">
        <w:rPr>
          <w:rFonts w:ascii="Times New Roman" w:eastAsia="Univers" w:hAnsi="Times New Roman"/>
        </w:rPr>
        <w:lastRenderedPageBreak/>
        <w:t>purpose of the 1976</w:t>
      </w:r>
      <w:r w:rsidR="0008265A" w:rsidRPr="00950741">
        <w:rPr>
          <w:rFonts w:ascii="Times New Roman" w:eastAsia="Univers" w:hAnsi="Times New Roman"/>
        </w:rPr>
        <w:t> </w:t>
      </w:r>
      <w:r w:rsidR="002F6FCD" w:rsidRPr="00950741">
        <w:rPr>
          <w:rFonts w:ascii="Times New Roman" w:eastAsia="Univers" w:hAnsi="Times New Roman"/>
        </w:rPr>
        <w:t>Convention was to provide for limits which were higher than those previously available in return for making it more di</w:t>
      </w:r>
      <w:r w:rsidR="00A87D4D" w:rsidRPr="00950741">
        <w:rPr>
          <w:rFonts w:ascii="Times New Roman" w:eastAsia="Univers" w:hAnsi="Times New Roman"/>
        </w:rPr>
        <w:t>ffi</w:t>
      </w:r>
      <w:r w:rsidR="002F6FCD" w:rsidRPr="00950741">
        <w:rPr>
          <w:rFonts w:ascii="Times New Roman" w:eastAsia="Univers" w:hAnsi="Times New Roman"/>
        </w:rPr>
        <w:t>cult to 'break' the limit".</w:t>
      </w:r>
      <w:r w:rsidR="002F6FCD" w:rsidRPr="00950741">
        <w:rPr>
          <w:rStyle w:val="FootnoteReference"/>
          <w:rFonts w:ascii="Times New Roman" w:eastAsia="Univers" w:hAnsi="Times New Roman"/>
          <w:sz w:val="24"/>
        </w:rPr>
        <w:footnoteReference w:id="15"/>
      </w:r>
      <w:r w:rsidR="00044047" w:rsidRPr="00950741">
        <w:rPr>
          <w:rFonts w:ascii="Times New Roman" w:eastAsia="Univers" w:hAnsi="Times New Roman"/>
        </w:rPr>
        <w:t xml:space="preserve"> </w:t>
      </w:r>
      <w:r w:rsidR="00044047" w:rsidRPr="00950741">
        <w:rPr>
          <w:rFonts w:ascii="Times New Roman" w:hAnsi="Times New Roman"/>
        </w:rPr>
        <w:t>Lord</w:t>
      </w:r>
      <w:r w:rsidR="00DA5322" w:rsidRPr="00950741">
        <w:rPr>
          <w:rFonts w:ascii="Times New Roman" w:hAnsi="Times New Roman"/>
        </w:rPr>
        <w:t> </w:t>
      </w:r>
      <w:r w:rsidR="00044047" w:rsidRPr="00950741">
        <w:rPr>
          <w:rFonts w:ascii="Times New Roman" w:hAnsi="Times New Roman"/>
        </w:rPr>
        <w:t>Hamblen further o</w:t>
      </w:r>
      <w:r w:rsidR="00CD7382" w:rsidRPr="00950741">
        <w:rPr>
          <w:rFonts w:ascii="Times New Roman" w:hAnsi="Times New Roman"/>
        </w:rPr>
        <w:t xml:space="preserve">bserved that </w:t>
      </w:r>
      <w:r w:rsidR="004F7537" w:rsidRPr="00950741">
        <w:rPr>
          <w:rFonts w:ascii="Times New Roman" w:hAnsi="Times New Roman"/>
        </w:rPr>
        <w:t>"it is no doubt true that originally limitation was concerned with the protection of shipowners and investment by shipowners" which the 1976</w:t>
      </w:r>
      <w:r w:rsidR="006B423B" w:rsidRPr="00950741">
        <w:rPr>
          <w:rFonts w:ascii="Times New Roman" w:hAnsi="Times New Roman"/>
        </w:rPr>
        <w:t> </w:t>
      </w:r>
      <w:r w:rsidR="004F7537" w:rsidRPr="00950741">
        <w:rPr>
          <w:rFonts w:ascii="Times New Roman" w:hAnsi="Times New Roman"/>
        </w:rPr>
        <w:t xml:space="preserve">Convention had extended </w:t>
      </w:r>
      <w:r w:rsidR="00FD77EF" w:rsidRPr="00950741">
        <w:rPr>
          <w:rFonts w:ascii="Times New Roman" w:hAnsi="Times New Roman"/>
        </w:rPr>
        <w:t xml:space="preserve">beyond </w:t>
      </w:r>
      <w:r w:rsidR="00A20F87" w:rsidRPr="00950741">
        <w:rPr>
          <w:rFonts w:ascii="Times New Roman" w:hAnsi="Times New Roman"/>
        </w:rPr>
        <w:t>previous treaties to include not only "the charterer, manager and operator of the ship" but also "salvors"</w:t>
      </w:r>
      <w:r w:rsidR="00543D80" w:rsidRPr="00950741">
        <w:rPr>
          <w:rFonts w:ascii="Times New Roman" w:hAnsi="Times New Roman"/>
        </w:rPr>
        <w:t>, reflecting the integral role of each to maritime trade.</w:t>
      </w:r>
      <w:r w:rsidR="00543D80" w:rsidRPr="00950741">
        <w:rPr>
          <w:rStyle w:val="FootnoteReference"/>
          <w:rFonts w:ascii="Times New Roman" w:hAnsi="Times New Roman"/>
          <w:sz w:val="24"/>
        </w:rPr>
        <w:footnoteReference w:id="16"/>
      </w:r>
      <w:r w:rsidR="00BA13F6" w:rsidRPr="00950741">
        <w:rPr>
          <w:rFonts w:ascii="Times New Roman" w:hAnsi="Times New Roman"/>
        </w:rPr>
        <w:t xml:space="preserve"> </w:t>
      </w:r>
    </w:p>
    <w:p w14:paraId="4D72C006" w14:textId="231AFE55" w:rsidR="004C3E08" w:rsidRPr="00950741" w:rsidRDefault="00BA13F6" w:rsidP="00950741">
      <w:pPr>
        <w:pStyle w:val="FixListStyle"/>
        <w:spacing w:after="260" w:line="280" w:lineRule="exact"/>
        <w:ind w:right="0"/>
        <w:jc w:val="both"/>
        <w:rPr>
          <w:rFonts w:ascii="Times New Roman" w:hAnsi="Times New Roman"/>
        </w:rPr>
      </w:pPr>
      <w:r w:rsidRPr="00950741">
        <w:rPr>
          <w:rFonts w:ascii="Times New Roman" w:hAnsi="Times New Roman"/>
        </w:rPr>
        <w:tab/>
        <w:t>Lord</w:t>
      </w:r>
      <w:r w:rsidR="00983C1A" w:rsidRPr="00950741">
        <w:rPr>
          <w:rFonts w:ascii="Times New Roman" w:hAnsi="Times New Roman"/>
        </w:rPr>
        <w:t> </w:t>
      </w:r>
      <w:r w:rsidR="006B52CA" w:rsidRPr="00950741">
        <w:rPr>
          <w:rFonts w:ascii="Times New Roman" w:hAnsi="Times New Roman"/>
        </w:rPr>
        <w:t>Hamblen</w:t>
      </w:r>
      <w:r w:rsidRPr="00950741">
        <w:rPr>
          <w:rFonts w:ascii="Times New Roman" w:hAnsi="Times New Roman"/>
        </w:rPr>
        <w:t xml:space="preserve"> quoted with approval the statement of </w:t>
      </w:r>
      <w:proofErr w:type="spellStart"/>
      <w:r w:rsidR="006B52CA" w:rsidRPr="00950741">
        <w:rPr>
          <w:rFonts w:ascii="Times New Roman" w:hAnsi="Times New Roman"/>
        </w:rPr>
        <w:t>Tettenborn</w:t>
      </w:r>
      <w:proofErr w:type="spellEnd"/>
      <w:r w:rsidR="006B52CA" w:rsidRPr="00950741">
        <w:rPr>
          <w:rFonts w:ascii="Times New Roman" w:hAnsi="Times New Roman"/>
        </w:rPr>
        <w:t xml:space="preserve"> and Rose in </w:t>
      </w:r>
      <w:r w:rsidR="006B52CA" w:rsidRPr="00950741">
        <w:rPr>
          <w:rFonts w:ascii="Times New Roman" w:hAnsi="Times New Roman"/>
          <w:i/>
          <w:iCs/>
        </w:rPr>
        <w:t>Admiralty Claims</w:t>
      </w:r>
      <w:r w:rsidR="006B52CA" w:rsidRPr="00950741">
        <w:rPr>
          <w:rFonts w:ascii="Times New Roman" w:hAnsi="Times New Roman"/>
        </w:rPr>
        <w:t xml:space="preserve"> that "[a]</w:t>
      </w:r>
      <w:proofErr w:type="spellStart"/>
      <w:r w:rsidR="006B52CA" w:rsidRPr="00950741">
        <w:rPr>
          <w:rFonts w:ascii="Times New Roman" w:hAnsi="Times New Roman"/>
        </w:rPr>
        <w:t>sserted</w:t>
      </w:r>
      <w:proofErr w:type="spellEnd"/>
      <w:r w:rsidR="006B52CA" w:rsidRPr="00950741">
        <w:rPr>
          <w:rFonts w:ascii="Times New Roman" w:hAnsi="Times New Roman"/>
        </w:rPr>
        <w:t xml:space="preserve"> historical justifications for limitation may provide guidance on the desirability and/or availability of limitation but not necessarily on matters of detail, which depend on the proper construction of currently applicable legislation, which has evolved to take account of a variety of factors</w:t>
      </w:r>
      <w:r w:rsidR="0069329D" w:rsidRPr="00950741">
        <w:rPr>
          <w:rFonts w:ascii="Times New Roman" w:hAnsi="Times New Roman"/>
        </w:rPr>
        <w:t>"</w:t>
      </w:r>
      <w:r w:rsidR="008559D4" w:rsidRPr="00950741">
        <w:rPr>
          <w:rFonts w:ascii="Times New Roman" w:hAnsi="Times New Roman"/>
        </w:rPr>
        <w:t>.</w:t>
      </w:r>
      <w:r w:rsidR="008559D4" w:rsidRPr="00950741">
        <w:rPr>
          <w:rStyle w:val="FootnoteReference"/>
          <w:rFonts w:ascii="Times New Roman" w:hAnsi="Times New Roman"/>
          <w:sz w:val="24"/>
        </w:rPr>
        <w:footnoteReference w:id="17"/>
      </w:r>
      <w:r w:rsidR="009434BB" w:rsidRPr="00950741">
        <w:rPr>
          <w:rFonts w:ascii="Times New Roman" w:hAnsi="Times New Roman"/>
        </w:rPr>
        <w:t xml:space="preserve"> </w:t>
      </w:r>
      <w:r w:rsidR="003A66CC" w:rsidRPr="00950741">
        <w:rPr>
          <w:rFonts w:ascii="Times New Roman" w:hAnsi="Times New Roman"/>
        </w:rPr>
        <w:t xml:space="preserve">His Lordship also </w:t>
      </w:r>
      <w:r w:rsidR="00A13A03" w:rsidRPr="00950741">
        <w:rPr>
          <w:rFonts w:ascii="Times New Roman" w:hAnsi="Times New Roman"/>
        </w:rPr>
        <w:t xml:space="preserve">referred to two cases which expressed </w:t>
      </w:r>
      <w:r w:rsidR="00F6560C" w:rsidRPr="00950741">
        <w:rPr>
          <w:rFonts w:ascii="Times New Roman" w:hAnsi="Times New Roman"/>
        </w:rPr>
        <w:t xml:space="preserve">the view </w:t>
      </w:r>
      <w:r w:rsidR="00A13A03" w:rsidRPr="00950741">
        <w:rPr>
          <w:rFonts w:ascii="Times New Roman" w:hAnsi="Times New Roman"/>
        </w:rPr>
        <w:t xml:space="preserve">that </w:t>
      </w:r>
      <w:r w:rsidR="00C31A14" w:rsidRPr="00950741">
        <w:rPr>
          <w:rFonts w:ascii="Times New Roman" w:hAnsi="Times New Roman"/>
        </w:rPr>
        <w:t xml:space="preserve">limitation provisions in </w:t>
      </w:r>
      <w:r w:rsidR="009335D5" w:rsidRPr="00950741">
        <w:rPr>
          <w:rFonts w:ascii="Times New Roman" w:hAnsi="Times New Roman"/>
        </w:rPr>
        <w:t xml:space="preserve">such </w:t>
      </w:r>
      <w:r w:rsidR="00C31A14" w:rsidRPr="00950741">
        <w:rPr>
          <w:rFonts w:ascii="Times New Roman" w:hAnsi="Times New Roman"/>
        </w:rPr>
        <w:t xml:space="preserve">maritime </w:t>
      </w:r>
      <w:r w:rsidR="00F6560C" w:rsidRPr="00950741">
        <w:rPr>
          <w:rFonts w:ascii="Times New Roman" w:hAnsi="Times New Roman"/>
        </w:rPr>
        <w:t xml:space="preserve">treaties </w:t>
      </w:r>
      <w:r w:rsidR="009335D5" w:rsidRPr="00950741">
        <w:rPr>
          <w:rFonts w:ascii="Times New Roman" w:hAnsi="Times New Roman"/>
        </w:rPr>
        <w:t xml:space="preserve">as </w:t>
      </w:r>
      <w:r w:rsidR="00C31A14" w:rsidRPr="00950741">
        <w:rPr>
          <w:rFonts w:ascii="Times New Roman" w:hAnsi="Times New Roman"/>
        </w:rPr>
        <w:t xml:space="preserve">in </w:t>
      </w:r>
      <w:r w:rsidR="009335D5" w:rsidRPr="00950741">
        <w:rPr>
          <w:rFonts w:ascii="Times New Roman" w:hAnsi="Times New Roman"/>
        </w:rPr>
        <w:t>t</w:t>
      </w:r>
      <w:r w:rsidR="00C31A14" w:rsidRPr="00950741">
        <w:rPr>
          <w:rFonts w:ascii="Times New Roman" w:hAnsi="Times New Roman"/>
        </w:rPr>
        <w:t>h</w:t>
      </w:r>
      <w:r w:rsidR="009335D5" w:rsidRPr="00950741">
        <w:rPr>
          <w:rFonts w:ascii="Times New Roman" w:hAnsi="Times New Roman"/>
        </w:rPr>
        <w:t>e 1976</w:t>
      </w:r>
      <w:r w:rsidR="00507E94" w:rsidRPr="00950741">
        <w:rPr>
          <w:rFonts w:ascii="Times New Roman" w:hAnsi="Times New Roman"/>
        </w:rPr>
        <w:t> </w:t>
      </w:r>
      <w:r w:rsidR="00C31A14" w:rsidRPr="00950741">
        <w:rPr>
          <w:rFonts w:ascii="Times New Roman" w:hAnsi="Times New Roman"/>
        </w:rPr>
        <w:t>Convention</w:t>
      </w:r>
      <w:r w:rsidR="009335D5" w:rsidRPr="00950741">
        <w:rPr>
          <w:rFonts w:ascii="Times New Roman" w:hAnsi="Times New Roman"/>
        </w:rPr>
        <w:t xml:space="preserve"> should be construed to apply to </w:t>
      </w:r>
      <w:r w:rsidR="00C31A14" w:rsidRPr="00950741">
        <w:rPr>
          <w:rFonts w:ascii="Times New Roman" w:hAnsi="Times New Roman"/>
        </w:rPr>
        <w:t>"</w:t>
      </w:r>
      <w:r w:rsidR="00662815" w:rsidRPr="00950741">
        <w:rPr>
          <w:rFonts w:ascii="Times New Roman" w:hAnsi="Times New Roman"/>
        </w:rPr>
        <w:t>all cases which can reasonably be brought within their language"</w:t>
      </w:r>
      <w:r w:rsidR="00662815" w:rsidRPr="00950741">
        <w:rPr>
          <w:rStyle w:val="FootnoteReference"/>
          <w:rFonts w:ascii="Times New Roman" w:hAnsi="Times New Roman"/>
          <w:sz w:val="24"/>
        </w:rPr>
        <w:footnoteReference w:id="18"/>
      </w:r>
      <w:r w:rsidR="00FA2C82" w:rsidRPr="00950741">
        <w:rPr>
          <w:rFonts w:ascii="Times New Roman" w:hAnsi="Times New Roman"/>
        </w:rPr>
        <w:t xml:space="preserve"> and two cases which expressed a broader </w:t>
      </w:r>
      <w:r w:rsidR="0050240D" w:rsidRPr="00950741">
        <w:rPr>
          <w:rFonts w:ascii="Times New Roman" w:hAnsi="Times New Roman"/>
        </w:rPr>
        <w:t>interpretative</w:t>
      </w:r>
      <w:r w:rsidR="00FA2C82" w:rsidRPr="00950741">
        <w:rPr>
          <w:rFonts w:ascii="Times New Roman" w:hAnsi="Times New Roman"/>
        </w:rPr>
        <w:t xml:space="preserve"> principle </w:t>
      </w:r>
      <w:r w:rsidR="0050240D" w:rsidRPr="00950741">
        <w:rPr>
          <w:rFonts w:ascii="Times New Roman" w:hAnsi="Times New Roman"/>
        </w:rPr>
        <w:t xml:space="preserve">to the effect </w:t>
      </w:r>
      <w:r w:rsidR="00FA2C82" w:rsidRPr="00950741">
        <w:rPr>
          <w:rFonts w:ascii="Times New Roman" w:hAnsi="Times New Roman"/>
        </w:rPr>
        <w:t xml:space="preserve">that </w:t>
      </w:r>
      <w:r w:rsidR="00CB408E" w:rsidRPr="00950741">
        <w:rPr>
          <w:rFonts w:ascii="Times New Roman" w:hAnsi="Times New Roman"/>
        </w:rPr>
        <w:t xml:space="preserve">such limitation provisions </w:t>
      </w:r>
      <w:r w:rsidR="0050240D" w:rsidRPr="00950741">
        <w:rPr>
          <w:rFonts w:ascii="Times New Roman" w:hAnsi="Times New Roman"/>
        </w:rPr>
        <w:t>should be "</w:t>
      </w:r>
      <w:r w:rsidR="00551A38" w:rsidRPr="00950741">
        <w:rPr>
          <w:rFonts w:ascii="Times New Roman" w:hAnsi="Times New Roman"/>
        </w:rPr>
        <w:t xml:space="preserve">broadly and liberally construed in order to achieve </w:t>
      </w:r>
      <w:r w:rsidR="00C5061D" w:rsidRPr="00950741">
        <w:rPr>
          <w:rFonts w:ascii="Times New Roman" w:hAnsi="Times New Roman"/>
        </w:rPr>
        <w:t xml:space="preserve">[their] </w:t>
      </w:r>
      <w:r w:rsidR="00551A38" w:rsidRPr="00950741">
        <w:rPr>
          <w:rFonts w:ascii="Times New Roman" w:hAnsi="Times New Roman"/>
        </w:rPr>
        <w:t>purpose" and that the 1976</w:t>
      </w:r>
      <w:r w:rsidR="00754906" w:rsidRPr="00950741">
        <w:rPr>
          <w:rFonts w:ascii="Times New Roman" w:hAnsi="Times New Roman"/>
        </w:rPr>
        <w:t> </w:t>
      </w:r>
      <w:r w:rsidR="00551A38" w:rsidRPr="00950741">
        <w:rPr>
          <w:rFonts w:ascii="Times New Roman" w:hAnsi="Times New Roman"/>
        </w:rPr>
        <w:t>Convention's "principal purpose"</w:t>
      </w:r>
      <w:r w:rsidR="00520AC9" w:rsidRPr="00950741">
        <w:rPr>
          <w:rFonts w:ascii="Times New Roman" w:hAnsi="Times New Roman"/>
        </w:rPr>
        <w:t>, to which effect must be given,</w:t>
      </w:r>
      <w:r w:rsidR="00551A38" w:rsidRPr="00950741">
        <w:rPr>
          <w:rFonts w:ascii="Times New Roman" w:hAnsi="Times New Roman"/>
        </w:rPr>
        <w:t xml:space="preserve"> </w:t>
      </w:r>
      <w:r w:rsidR="00A713AC" w:rsidRPr="00950741">
        <w:rPr>
          <w:rFonts w:ascii="Times New Roman" w:hAnsi="Times New Roman"/>
        </w:rPr>
        <w:t xml:space="preserve">is </w:t>
      </w:r>
      <w:r w:rsidR="00551A38" w:rsidRPr="00950741">
        <w:rPr>
          <w:rFonts w:ascii="Times New Roman" w:hAnsi="Times New Roman"/>
        </w:rPr>
        <w:t xml:space="preserve">to "expand </w:t>
      </w:r>
      <w:r w:rsidR="00520AC9" w:rsidRPr="00950741">
        <w:rPr>
          <w:rFonts w:ascii="Times New Roman" w:hAnsi="Times New Roman"/>
        </w:rPr>
        <w:t>upon</w:t>
      </w:r>
      <w:r w:rsidR="00551A38" w:rsidRPr="00950741">
        <w:rPr>
          <w:rFonts w:ascii="Times New Roman" w:hAnsi="Times New Roman"/>
        </w:rPr>
        <w:t xml:space="preserve"> and </w:t>
      </w:r>
      <w:r w:rsidR="00FB425D" w:rsidRPr="00950741">
        <w:rPr>
          <w:rFonts w:ascii="Times New Roman" w:hAnsi="Times New Roman"/>
        </w:rPr>
        <w:t xml:space="preserve">to </w:t>
      </w:r>
      <w:r w:rsidR="00520AC9" w:rsidRPr="00950741">
        <w:rPr>
          <w:rFonts w:ascii="Times New Roman" w:hAnsi="Times New Roman"/>
        </w:rPr>
        <w:t xml:space="preserve">protect the rights of limitation", the latter being </w:t>
      </w:r>
      <w:r w:rsidR="003172D2" w:rsidRPr="00950741">
        <w:rPr>
          <w:rFonts w:ascii="Times New Roman" w:hAnsi="Times New Roman"/>
        </w:rPr>
        <w:t xml:space="preserve">a </w:t>
      </w:r>
      <w:r w:rsidR="004C3E08" w:rsidRPr="00950741">
        <w:rPr>
          <w:rFonts w:ascii="Times New Roman" w:hAnsi="Times New Roman"/>
        </w:rPr>
        <w:t xml:space="preserve">statement </w:t>
      </w:r>
      <w:r w:rsidR="003172D2" w:rsidRPr="00950741">
        <w:rPr>
          <w:rFonts w:ascii="Times New Roman" w:hAnsi="Times New Roman"/>
        </w:rPr>
        <w:t>of the primary judge in the Court below in the present case.</w:t>
      </w:r>
      <w:r w:rsidR="003172D2" w:rsidRPr="00950741">
        <w:rPr>
          <w:rStyle w:val="FootnoteReference"/>
          <w:rFonts w:ascii="Times New Roman" w:hAnsi="Times New Roman"/>
          <w:sz w:val="24"/>
        </w:rPr>
        <w:footnoteReference w:id="19"/>
      </w:r>
      <w:r w:rsidR="00F54379" w:rsidRPr="00950741">
        <w:rPr>
          <w:rFonts w:ascii="Times New Roman" w:hAnsi="Times New Roman"/>
        </w:rPr>
        <w:t xml:space="preserve"> </w:t>
      </w:r>
    </w:p>
    <w:p w14:paraId="761FF4E0" w14:textId="7320F57F" w:rsidR="00BA13F6" w:rsidRPr="00950741" w:rsidRDefault="004C3E08"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561EA1" w:rsidRPr="00950741">
        <w:rPr>
          <w:rFonts w:ascii="Times New Roman" w:hAnsi="Times New Roman"/>
        </w:rPr>
        <w:t>Lord</w:t>
      </w:r>
      <w:r w:rsidR="00435BC2" w:rsidRPr="00950741">
        <w:rPr>
          <w:rFonts w:ascii="Times New Roman" w:hAnsi="Times New Roman"/>
        </w:rPr>
        <w:t> </w:t>
      </w:r>
      <w:r w:rsidR="00561EA1" w:rsidRPr="00950741">
        <w:rPr>
          <w:rFonts w:ascii="Times New Roman" w:hAnsi="Times New Roman"/>
        </w:rPr>
        <w:t xml:space="preserve">Hamblen </w:t>
      </w:r>
      <w:r w:rsidR="00DA120D" w:rsidRPr="00950741">
        <w:rPr>
          <w:rFonts w:ascii="Times New Roman" w:hAnsi="Times New Roman"/>
        </w:rPr>
        <w:t>p</w:t>
      </w:r>
      <w:r w:rsidR="00561EA1" w:rsidRPr="00950741">
        <w:rPr>
          <w:rFonts w:ascii="Times New Roman" w:hAnsi="Times New Roman"/>
        </w:rPr>
        <w:t>ut in response</w:t>
      </w:r>
      <w:r w:rsidR="0060361E" w:rsidRPr="00950741">
        <w:rPr>
          <w:rFonts w:ascii="Times New Roman" w:hAnsi="Times New Roman"/>
        </w:rPr>
        <w:t xml:space="preserve"> that</w:t>
      </w:r>
      <w:r w:rsidR="00561EA1" w:rsidRPr="00950741">
        <w:rPr>
          <w:rFonts w:ascii="Times New Roman" w:hAnsi="Times New Roman"/>
        </w:rPr>
        <w:t xml:space="preserve"> while "[t]here can be no objection to applying the provisions of the Convention </w:t>
      </w:r>
      <w:r w:rsidR="00325285" w:rsidRPr="00950741">
        <w:rPr>
          <w:rFonts w:ascii="Times New Roman" w:hAnsi="Times New Roman"/>
        </w:rPr>
        <w:t>'</w:t>
      </w:r>
      <w:r w:rsidR="00561EA1" w:rsidRPr="00950741">
        <w:rPr>
          <w:rFonts w:ascii="Times New Roman" w:hAnsi="Times New Roman"/>
        </w:rPr>
        <w:t>to all cases which can reasonably be brought within their language</w:t>
      </w:r>
      <w:r w:rsidR="0066166E" w:rsidRPr="00950741">
        <w:rPr>
          <w:rFonts w:ascii="Times New Roman" w:hAnsi="Times New Roman"/>
        </w:rPr>
        <w:t>'</w:t>
      </w:r>
      <w:r w:rsidR="00561EA1" w:rsidRPr="00950741">
        <w:rPr>
          <w:rFonts w:ascii="Times New Roman" w:hAnsi="Times New Roman"/>
        </w:rPr>
        <w:t xml:space="preserve"> ... </w:t>
      </w:r>
      <w:r w:rsidR="00204A0A" w:rsidRPr="00950741">
        <w:rPr>
          <w:rFonts w:ascii="Times New Roman" w:hAnsi="Times New Roman"/>
        </w:rPr>
        <w:t>that does not involve any presumptive rule of interpretation</w:t>
      </w:r>
      <w:r w:rsidR="00045C0F" w:rsidRPr="00950741">
        <w:rPr>
          <w:rFonts w:ascii="Times New Roman" w:hAnsi="Times New Roman"/>
        </w:rPr>
        <w:t>"</w:t>
      </w:r>
      <w:r w:rsidR="00204A0A" w:rsidRPr="00950741">
        <w:rPr>
          <w:rFonts w:ascii="Times New Roman" w:hAnsi="Times New Roman"/>
        </w:rPr>
        <w:t xml:space="preserve">. Further, </w:t>
      </w:r>
      <w:r w:rsidR="00C62393" w:rsidRPr="00950741">
        <w:rPr>
          <w:rFonts w:ascii="Times New Roman" w:hAnsi="Times New Roman"/>
        </w:rPr>
        <w:t xml:space="preserve">there is "no reason why the provisions of the </w:t>
      </w:r>
      <w:r w:rsidR="00C62393" w:rsidRPr="00950741">
        <w:rPr>
          <w:rFonts w:ascii="Times New Roman" w:hAnsi="Times New Roman"/>
        </w:rPr>
        <w:lastRenderedPageBreak/>
        <w:t>1976</w:t>
      </w:r>
      <w:r w:rsidR="00AA1919" w:rsidRPr="00950741">
        <w:rPr>
          <w:rFonts w:ascii="Times New Roman" w:hAnsi="Times New Roman"/>
        </w:rPr>
        <w:t> </w:t>
      </w:r>
      <w:r w:rsidR="00C62393" w:rsidRPr="00950741">
        <w:rPr>
          <w:rFonts w:ascii="Times New Roman" w:hAnsi="Times New Roman"/>
        </w:rPr>
        <w:t xml:space="preserve">Convention in general or </w:t>
      </w:r>
      <w:r w:rsidR="004261FA" w:rsidRPr="00950741">
        <w:rPr>
          <w:rFonts w:ascii="Times New Roman" w:hAnsi="Times New Roman"/>
        </w:rPr>
        <w:t>[Art</w:t>
      </w:r>
      <w:r w:rsidR="00CA3A8C" w:rsidRPr="00950741">
        <w:rPr>
          <w:rFonts w:ascii="Times New Roman" w:hAnsi="Times New Roman"/>
        </w:rPr>
        <w:t> </w:t>
      </w:r>
      <w:r w:rsidR="00C62393" w:rsidRPr="00950741">
        <w:rPr>
          <w:rFonts w:ascii="Times New Roman" w:hAnsi="Times New Roman"/>
        </w:rPr>
        <w:t>2</w:t>
      </w:r>
      <w:r w:rsidR="004261FA" w:rsidRPr="00950741">
        <w:rPr>
          <w:rFonts w:ascii="Times New Roman" w:hAnsi="Times New Roman"/>
        </w:rPr>
        <w:t>]</w:t>
      </w:r>
      <w:r w:rsidR="00C62393" w:rsidRPr="00950741">
        <w:rPr>
          <w:rFonts w:ascii="Times New Roman" w:hAnsi="Times New Roman"/>
        </w:rPr>
        <w:t xml:space="preserve"> in particular should be applied either narrowly or widely" as the Convention</w:t>
      </w:r>
      <w:r w:rsidR="00B605E7" w:rsidRPr="00950741">
        <w:rPr>
          <w:rFonts w:ascii="Times New Roman" w:hAnsi="Times New Roman"/>
        </w:rPr>
        <w:t xml:space="preserve">, being a result of negotiation between State Parties, "is </w:t>
      </w:r>
      <w:r w:rsidR="00B71BB1" w:rsidRPr="00950741">
        <w:rPr>
          <w:rFonts w:ascii="Times New Roman" w:hAnsi="Times New Roman"/>
        </w:rPr>
        <w:t>what</w:t>
      </w:r>
      <w:r w:rsidR="00B605E7" w:rsidRPr="00950741">
        <w:rPr>
          <w:rFonts w:ascii="Times New Roman" w:hAnsi="Times New Roman"/>
        </w:rPr>
        <w:t xml:space="preserve"> it is" and should be applied </w:t>
      </w:r>
      <w:r w:rsidR="00B71BB1" w:rsidRPr="00950741">
        <w:rPr>
          <w:rFonts w:ascii="Times New Roman" w:hAnsi="Times New Roman"/>
        </w:rPr>
        <w:t>according to the "ordinary meaning of the words used" as required by Art</w:t>
      </w:r>
      <w:r w:rsidR="000B5A17" w:rsidRPr="00950741">
        <w:rPr>
          <w:rFonts w:ascii="Times New Roman" w:hAnsi="Times New Roman"/>
        </w:rPr>
        <w:t> </w:t>
      </w:r>
      <w:r w:rsidR="00B71BB1" w:rsidRPr="00950741">
        <w:rPr>
          <w:rFonts w:ascii="Times New Roman" w:hAnsi="Times New Roman"/>
        </w:rPr>
        <w:t>31</w:t>
      </w:r>
      <w:r w:rsidR="00663B69" w:rsidRPr="00950741">
        <w:rPr>
          <w:rFonts w:ascii="Times New Roman" w:hAnsi="Times New Roman"/>
        </w:rPr>
        <w:t>(1)</w:t>
      </w:r>
      <w:r w:rsidR="00B71BB1" w:rsidRPr="00950741">
        <w:rPr>
          <w:rFonts w:ascii="Times New Roman" w:hAnsi="Times New Roman"/>
        </w:rPr>
        <w:t xml:space="preserve"> of the Vienna Convention</w:t>
      </w:r>
      <w:r w:rsidR="00CA5869" w:rsidRPr="00950741">
        <w:rPr>
          <w:rFonts w:ascii="Times New Roman" w:hAnsi="Times New Roman"/>
        </w:rPr>
        <w:t xml:space="preserve"> on the Law of Treaties</w:t>
      </w:r>
      <w:r w:rsidR="0029363A" w:rsidRPr="00950741">
        <w:rPr>
          <w:rFonts w:ascii="Times New Roman" w:hAnsi="Times New Roman"/>
        </w:rPr>
        <w:t xml:space="preserve"> </w:t>
      </w:r>
      <w:r w:rsidR="00CA5869" w:rsidRPr="00950741">
        <w:rPr>
          <w:rFonts w:ascii="Times New Roman" w:hAnsi="Times New Roman"/>
        </w:rPr>
        <w:t>(1969)</w:t>
      </w:r>
      <w:r w:rsidR="00B10864" w:rsidRPr="00950741">
        <w:rPr>
          <w:rFonts w:ascii="Times New Roman" w:hAnsi="Times New Roman"/>
        </w:rPr>
        <w:t xml:space="preserve"> ("the Vienna Convention")</w:t>
      </w:r>
      <w:r w:rsidR="00B71BB1" w:rsidRPr="00950741">
        <w:rPr>
          <w:rFonts w:ascii="Times New Roman" w:hAnsi="Times New Roman"/>
        </w:rPr>
        <w:t>.</w:t>
      </w:r>
      <w:r w:rsidR="00663B69" w:rsidRPr="00950741">
        <w:rPr>
          <w:rStyle w:val="FootnoteReference"/>
          <w:rFonts w:ascii="Times New Roman" w:hAnsi="Times New Roman"/>
          <w:sz w:val="24"/>
        </w:rPr>
        <w:footnoteReference w:id="20"/>
      </w:r>
    </w:p>
    <w:p w14:paraId="0F5A322C" w14:textId="565718D4" w:rsidR="009C6486" w:rsidRPr="00950741" w:rsidRDefault="00F356F0"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022DEB" w:rsidRPr="00950741">
        <w:rPr>
          <w:rFonts w:ascii="Times New Roman" w:hAnsi="Times New Roman"/>
        </w:rPr>
        <w:t xml:space="preserve">In dealing with an argument </w:t>
      </w:r>
      <w:r w:rsidR="00FE5DC7" w:rsidRPr="00950741">
        <w:rPr>
          <w:rFonts w:ascii="Times New Roman" w:hAnsi="Times New Roman"/>
        </w:rPr>
        <w:t xml:space="preserve">about </w:t>
      </w:r>
      <w:r w:rsidR="00022DEB" w:rsidRPr="00950741">
        <w:rPr>
          <w:rFonts w:ascii="Times New Roman" w:hAnsi="Times New Roman"/>
        </w:rPr>
        <w:t>Art 2</w:t>
      </w:r>
      <w:r w:rsidR="00096A8C" w:rsidRPr="00950741">
        <w:rPr>
          <w:rFonts w:ascii="Times New Roman" w:hAnsi="Times New Roman"/>
        </w:rPr>
        <w:t>(</w:t>
      </w:r>
      <w:r w:rsidR="00022DEB" w:rsidRPr="00950741">
        <w:rPr>
          <w:rFonts w:ascii="Times New Roman" w:hAnsi="Times New Roman"/>
        </w:rPr>
        <w:t>1</w:t>
      </w:r>
      <w:r w:rsidR="00096A8C" w:rsidRPr="00950741">
        <w:rPr>
          <w:rFonts w:ascii="Times New Roman" w:hAnsi="Times New Roman"/>
        </w:rPr>
        <w:t>)</w:t>
      </w:r>
      <w:r w:rsidR="00022DEB" w:rsidRPr="00950741">
        <w:rPr>
          <w:rFonts w:ascii="Times New Roman" w:hAnsi="Times New Roman"/>
        </w:rPr>
        <w:t>(e) of the 1976</w:t>
      </w:r>
      <w:r w:rsidR="00610C6D" w:rsidRPr="00950741">
        <w:rPr>
          <w:rFonts w:ascii="Times New Roman" w:hAnsi="Times New Roman"/>
        </w:rPr>
        <w:t> </w:t>
      </w:r>
      <w:r w:rsidR="00022DEB" w:rsidRPr="00950741">
        <w:rPr>
          <w:rFonts w:ascii="Times New Roman" w:hAnsi="Times New Roman"/>
        </w:rPr>
        <w:t>Convention (</w:t>
      </w:r>
      <w:r w:rsidR="00081F86" w:rsidRPr="00950741">
        <w:rPr>
          <w:rFonts w:ascii="Times New Roman" w:hAnsi="Times New Roman"/>
        </w:rPr>
        <w:t>"</w:t>
      </w:r>
      <w:r w:rsidR="00404B18" w:rsidRPr="00950741">
        <w:rPr>
          <w:rFonts w:ascii="Times New Roman" w:hAnsi="Times New Roman"/>
        </w:rPr>
        <w:t>claims in respect of the removal, destruction or the rendering harmless of the cargo of the ship</w:t>
      </w:r>
      <w:r w:rsidR="00E42535" w:rsidRPr="00950741">
        <w:rPr>
          <w:rFonts w:ascii="Times New Roman" w:hAnsi="Times New Roman"/>
        </w:rPr>
        <w:t>"</w:t>
      </w:r>
      <w:r w:rsidR="00404B18" w:rsidRPr="00950741">
        <w:rPr>
          <w:rFonts w:ascii="Times New Roman" w:hAnsi="Times New Roman"/>
        </w:rPr>
        <w:t>)</w:t>
      </w:r>
      <w:r w:rsidR="00E24406" w:rsidRPr="00950741">
        <w:rPr>
          <w:rFonts w:ascii="Times New Roman" w:hAnsi="Times New Roman"/>
        </w:rPr>
        <w:t>,</w:t>
      </w:r>
      <w:r w:rsidR="00404B18" w:rsidRPr="00950741">
        <w:rPr>
          <w:rFonts w:ascii="Times New Roman" w:hAnsi="Times New Roman"/>
        </w:rPr>
        <w:t xml:space="preserve"> </w:t>
      </w:r>
      <w:r w:rsidR="00FE6988" w:rsidRPr="00950741">
        <w:rPr>
          <w:rFonts w:ascii="Times New Roman" w:hAnsi="Times New Roman"/>
        </w:rPr>
        <w:t>Lord</w:t>
      </w:r>
      <w:r w:rsidR="00571989" w:rsidRPr="00950741">
        <w:rPr>
          <w:rFonts w:ascii="Times New Roman" w:hAnsi="Times New Roman"/>
        </w:rPr>
        <w:t> </w:t>
      </w:r>
      <w:r w:rsidR="00FE6988" w:rsidRPr="00950741">
        <w:rPr>
          <w:rFonts w:ascii="Times New Roman" w:hAnsi="Times New Roman"/>
        </w:rPr>
        <w:t>Hamblen rejected the proposition that Art 2</w:t>
      </w:r>
      <w:r w:rsidR="00541922" w:rsidRPr="00950741">
        <w:rPr>
          <w:rFonts w:ascii="Times New Roman" w:hAnsi="Times New Roman"/>
        </w:rPr>
        <w:t>(</w:t>
      </w:r>
      <w:r w:rsidR="00FE6988" w:rsidRPr="00950741">
        <w:rPr>
          <w:rFonts w:ascii="Times New Roman" w:hAnsi="Times New Roman"/>
        </w:rPr>
        <w:t>1</w:t>
      </w:r>
      <w:r w:rsidR="00541922" w:rsidRPr="00950741">
        <w:rPr>
          <w:rFonts w:ascii="Times New Roman" w:hAnsi="Times New Roman"/>
        </w:rPr>
        <w:t>)</w:t>
      </w:r>
      <w:r w:rsidR="00FE6988" w:rsidRPr="00950741">
        <w:rPr>
          <w:rFonts w:ascii="Times New Roman" w:hAnsi="Times New Roman"/>
        </w:rPr>
        <w:t>(e) applies only to "claims by a party not involved in the operation of the ship, such as a harbour authority</w:t>
      </w:r>
      <w:r w:rsidR="00675A74" w:rsidRPr="00950741">
        <w:rPr>
          <w:rFonts w:ascii="Times New Roman" w:hAnsi="Times New Roman"/>
        </w:rPr>
        <w:t>"</w:t>
      </w:r>
      <w:r w:rsidR="00FE6988" w:rsidRPr="00950741">
        <w:rPr>
          <w:rFonts w:ascii="Times New Roman" w:hAnsi="Times New Roman"/>
        </w:rPr>
        <w:t>.</w:t>
      </w:r>
      <w:r w:rsidR="007575F1" w:rsidRPr="00950741">
        <w:rPr>
          <w:rStyle w:val="FootnoteReference"/>
          <w:rFonts w:ascii="Times New Roman" w:hAnsi="Times New Roman"/>
          <w:sz w:val="24"/>
        </w:rPr>
        <w:footnoteReference w:id="21"/>
      </w:r>
      <w:r w:rsidR="00FE6988" w:rsidRPr="00950741">
        <w:rPr>
          <w:rFonts w:ascii="Times New Roman" w:hAnsi="Times New Roman"/>
        </w:rPr>
        <w:t xml:space="preserve"> </w:t>
      </w:r>
      <w:r w:rsidR="00414625" w:rsidRPr="00950741">
        <w:rPr>
          <w:rFonts w:ascii="Times New Roman" w:hAnsi="Times New Roman"/>
        </w:rPr>
        <w:t>In respect of the relationship between Art 2</w:t>
      </w:r>
      <w:r w:rsidR="00675A74" w:rsidRPr="00950741">
        <w:rPr>
          <w:rFonts w:ascii="Times New Roman" w:hAnsi="Times New Roman"/>
        </w:rPr>
        <w:t>(</w:t>
      </w:r>
      <w:r w:rsidR="00414625" w:rsidRPr="00950741">
        <w:rPr>
          <w:rFonts w:ascii="Times New Roman" w:hAnsi="Times New Roman"/>
        </w:rPr>
        <w:t>1</w:t>
      </w:r>
      <w:r w:rsidR="00675A74" w:rsidRPr="00950741">
        <w:rPr>
          <w:rFonts w:ascii="Times New Roman" w:hAnsi="Times New Roman"/>
        </w:rPr>
        <w:t>)</w:t>
      </w:r>
      <w:r w:rsidR="00414625" w:rsidRPr="00950741">
        <w:rPr>
          <w:rFonts w:ascii="Times New Roman" w:hAnsi="Times New Roman"/>
        </w:rPr>
        <w:t>(a) and</w:t>
      </w:r>
      <w:r w:rsidR="0084426C" w:rsidRPr="00950741">
        <w:rPr>
          <w:rFonts w:ascii="Times New Roman" w:hAnsi="Times New Roman"/>
        </w:rPr>
        <w:t> </w:t>
      </w:r>
      <w:r w:rsidR="00414625" w:rsidRPr="00950741">
        <w:rPr>
          <w:rFonts w:ascii="Times New Roman" w:hAnsi="Times New Roman"/>
        </w:rPr>
        <w:t>(e)</w:t>
      </w:r>
      <w:r w:rsidR="00EA069E" w:rsidRPr="00950741">
        <w:rPr>
          <w:rFonts w:ascii="Times New Roman" w:hAnsi="Times New Roman"/>
        </w:rPr>
        <w:t>,</w:t>
      </w:r>
      <w:r w:rsidR="00414625" w:rsidRPr="00950741">
        <w:rPr>
          <w:rFonts w:ascii="Times New Roman" w:hAnsi="Times New Roman"/>
        </w:rPr>
        <w:t xml:space="preserve"> Lord</w:t>
      </w:r>
      <w:r w:rsidR="00675A74" w:rsidRPr="00950741">
        <w:rPr>
          <w:rFonts w:ascii="Times New Roman" w:hAnsi="Times New Roman"/>
        </w:rPr>
        <w:t> </w:t>
      </w:r>
      <w:r w:rsidR="00414625" w:rsidRPr="00950741">
        <w:rPr>
          <w:rFonts w:ascii="Times New Roman" w:hAnsi="Times New Roman"/>
        </w:rPr>
        <w:t xml:space="preserve">Hamblen </w:t>
      </w:r>
      <w:r w:rsidR="00AE2366" w:rsidRPr="00950741">
        <w:rPr>
          <w:rFonts w:ascii="Times New Roman" w:hAnsi="Times New Roman"/>
        </w:rPr>
        <w:t>recorded the uncontroversial proposition applicable to Art</w:t>
      </w:r>
      <w:r w:rsidR="00ED64A2" w:rsidRPr="00950741">
        <w:rPr>
          <w:rFonts w:ascii="Times New Roman" w:hAnsi="Times New Roman"/>
        </w:rPr>
        <w:t> </w:t>
      </w:r>
      <w:r w:rsidR="00AE2366" w:rsidRPr="00950741">
        <w:rPr>
          <w:rFonts w:ascii="Times New Roman" w:hAnsi="Times New Roman"/>
        </w:rPr>
        <w:t>2</w:t>
      </w:r>
      <w:r w:rsidR="00877DC7" w:rsidRPr="00950741">
        <w:rPr>
          <w:rFonts w:ascii="Times New Roman" w:hAnsi="Times New Roman"/>
        </w:rPr>
        <w:t>(</w:t>
      </w:r>
      <w:r w:rsidR="00AE2366" w:rsidRPr="00950741">
        <w:rPr>
          <w:rFonts w:ascii="Times New Roman" w:hAnsi="Times New Roman"/>
        </w:rPr>
        <w:t>1</w:t>
      </w:r>
      <w:r w:rsidR="00877DC7" w:rsidRPr="00950741">
        <w:rPr>
          <w:rFonts w:ascii="Times New Roman" w:hAnsi="Times New Roman"/>
        </w:rPr>
        <w:t>)</w:t>
      </w:r>
      <w:r w:rsidR="00AE2366" w:rsidRPr="00950741">
        <w:rPr>
          <w:rFonts w:ascii="Times New Roman" w:hAnsi="Times New Roman"/>
        </w:rPr>
        <w:t xml:space="preserve">(a) that "[a]s a matter of English law it is well established (and common ground on the appeal) that there is no right to limit </w:t>
      </w:r>
      <w:r w:rsidR="00610C6D" w:rsidRPr="00950741">
        <w:rPr>
          <w:rFonts w:ascii="Times New Roman" w:hAnsi="Times New Roman"/>
        </w:rPr>
        <w:t xml:space="preserve">... </w:t>
      </w:r>
      <w:r w:rsidR="00AE2366" w:rsidRPr="00950741">
        <w:rPr>
          <w:rFonts w:ascii="Times New Roman" w:hAnsi="Times New Roman"/>
        </w:rPr>
        <w:t>liability in respect of claims by a shipowner for loss of or damage to the vessel", meaning loss</w:t>
      </w:r>
      <w:r w:rsidR="007B39D6" w:rsidRPr="00950741">
        <w:rPr>
          <w:rFonts w:ascii="Times New Roman" w:hAnsi="Times New Roman"/>
        </w:rPr>
        <w:t xml:space="preserve"> of</w:t>
      </w:r>
      <w:r w:rsidR="00AE2366" w:rsidRPr="00950741">
        <w:rPr>
          <w:rFonts w:ascii="Times New Roman" w:hAnsi="Times New Roman"/>
        </w:rPr>
        <w:t xml:space="preserve"> or damage to the limiting </w:t>
      </w:r>
      <w:r w:rsidR="00AC0F25" w:rsidRPr="00950741">
        <w:rPr>
          <w:rFonts w:ascii="Times New Roman" w:hAnsi="Times New Roman"/>
        </w:rPr>
        <w:t xml:space="preserve">ship </w:t>
      </w:r>
      <w:r w:rsidR="00AE2366" w:rsidRPr="00950741">
        <w:rPr>
          <w:rFonts w:ascii="Times New Roman" w:hAnsi="Times New Roman"/>
        </w:rPr>
        <w:t>itself</w:t>
      </w:r>
      <w:r w:rsidR="0084426C" w:rsidRPr="00950741">
        <w:rPr>
          <w:rFonts w:ascii="Times New Roman" w:hAnsi="Times New Roman"/>
        </w:rPr>
        <w:t>,</w:t>
      </w:r>
      <w:r w:rsidR="00AE2366" w:rsidRPr="00950741">
        <w:rPr>
          <w:rStyle w:val="FootnoteReference"/>
          <w:rFonts w:ascii="Times New Roman" w:hAnsi="Times New Roman"/>
          <w:sz w:val="24"/>
        </w:rPr>
        <w:footnoteReference w:id="22"/>
      </w:r>
      <w:r w:rsidR="00AE2366" w:rsidRPr="00950741">
        <w:rPr>
          <w:rFonts w:ascii="Times New Roman" w:hAnsi="Times New Roman"/>
        </w:rPr>
        <w:t xml:space="preserve"> </w:t>
      </w:r>
      <w:r w:rsidR="0016266D" w:rsidRPr="00950741">
        <w:rPr>
          <w:rFonts w:ascii="Times New Roman" w:hAnsi="Times New Roman"/>
        </w:rPr>
        <w:t xml:space="preserve">which </w:t>
      </w:r>
      <w:r w:rsidR="005E32D3" w:rsidRPr="00950741">
        <w:rPr>
          <w:rFonts w:ascii="Times New Roman" w:hAnsi="Times New Roman"/>
        </w:rPr>
        <w:t>follows from the subject of Art</w:t>
      </w:r>
      <w:r w:rsidR="00ED64A2" w:rsidRPr="00950741">
        <w:rPr>
          <w:rFonts w:ascii="Times New Roman" w:hAnsi="Times New Roman"/>
        </w:rPr>
        <w:t> </w:t>
      </w:r>
      <w:r w:rsidR="005E32D3" w:rsidRPr="00950741">
        <w:rPr>
          <w:rFonts w:ascii="Times New Roman" w:hAnsi="Times New Roman"/>
        </w:rPr>
        <w:t>2</w:t>
      </w:r>
      <w:r w:rsidR="00D538EC" w:rsidRPr="00950741">
        <w:rPr>
          <w:rFonts w:ascii="Times New Roman" w:hAnsi="Times New Roman"/>
        </w:rPr>
        <w:t>(</w:t>
      </w:r>
      <w:r w:rsidR="005E32D3" w:rsidRPr="00950741">
        <w:rPr>
          <w:rFonts w:ascii="Times New Roman" w:hAnsi="Times New Roman"/>
        </w:rPr>
        <w:t>1</w:t>
      </w:r>
      <w:r w:rsidR="00D538EC" w:rsidRPr="00950741">
        <w:rPr>
          <w:rFonts w:ascii="Times New Roman" w:hAnsi="Times New Roman"/>
        </w:rPr>
        <w:t>)</w:t>
      </w:r>
      <w:r w:rsidR="005E32D3" w:rsidRPr="00950741">
        <w:rPr>
          <w:rFonts w:ascii="Times New Roman" w:hAnsi="Times New Roman"/>
        </w:rPr>
        <w:t xml:space="preserve">(a) being "property" </w:t>
      </w:r>
      <w:r w:rsidR="0007028B" w:rsidRPr="00950741">
        <w:rPr>
          <w:rFonts w:ascii="Times New Roman" w:hAnsi="Times New Roman"/>
        </w:rPr>
        <w:t xml:space="preserve">construed to mean "property" </w:t>
      </w:r>
      <w:r w:rsidR="005E32D3" w:rsidRPr="00950741">
        <w:rPr>
          <w:rFonts w:ascii="Times New Roman" w:hAnsi="Times New Roman"/>
        </w:rPr>
        <w:t xml:space="preserve">other than the </w:t>
      </w:r>
      <w:r w:rsidR="0007028B" w:rsidRPr="00950741">
        <w:rPr>
          <w:rFonts w:ascii="Times New Roman" w:hAnsi="Times New Roman"/>
        </w:rPr>
        <w:t>limiting ship itself</w:t>
      </w:r>
      <w:r w:rsidR="0084426C" w:rsidRPr="00950741">
        <w:rPr>
          <w:rFonts w:ascii="Times New Roman" w:hAnsi="Times New Roman"/>
        </w:rPr>
        <w:t>,</w:t>
      </w:r>
      <w:r w:rsidR="0007028B" w:rsidRPr="00950741">
        <w:rPr>
          <w:rFonts w:ascii="Times New Roman" w:hAnsi="Times New Roman"/>
        </w:rPr>
        <w:t xml:space="preserve"> </w:t>
      </w:r>
      <w:r w:rsidR="0016266D" w:rsidRPr="00950741">
        <w:rPr>
          <w:rFonts w:ascii="Times New Roman" w:hAnsi="Times New Roman"/>
        </w:rPr>
        <w:t xml:space="preserve">and </w:t>
      </w:r>
      <w:r w:rsidR="00414625" w:rsidRPr="00950741">
        <w:rPr>
          <w:rFonts w:ascii="Times New Roman" w:hAnsi="Times New Roman"/>
        </w:rPr>
        <w:t xml:space="preserve">said that </w:t>
      </w:r>
      <w:r w:rsidR="00822B9C" w:rsidRPr="00950741">
        <w:rPr>
          <w:rFonts w:ascii="Times New Roman" w:hAnsi="Times New Roman"/>
        </w:rPr>
        <w:t xml:space="preserve">the fact that </w:t>
      </w:r>
      <w:r w:rsidR="00787CA9" w:rsidRPr="00950741">
        <w:rPr>
          <w:rFonts w:ascii="Times New Roman" w:hAnsi="Times New Roman"/>
        </w:rPr>
        <w:t xml:space="preserve">a </w:t>
      </w:r>
      <w:r w:rsidR="00822B9C" w:rsidRPr="00950741">
        <w:rPr>
          <w:rFonts w:ascii="Times New Roman" w:hAnsi="Times New Roman"/>
        </w:rPr>
        <w:t xml:space="preserve">claim is one for damage to the </w:t>
      </w:r>
      <w:r w:rsidR="00605ECC" w:rsidRPr="00950741">
        <w:rPr>
          <w:rFonts w:ascii="Times New Roman" w:hAnsi="Times New Roman"/>
        </w:rPr>
        <w:t xml:space="preserve">limiting </w:t>
      </w:r>
      <w:r w:rsidR="00A968C4" w:rsidRPr="00950741">
        <w:rPr>
          <w:rFonts w:ascii="Times New Roman" w:hAnsi="Times New Roman"/>
        </w:rPr>
        <w:t xml:space="preserve">ship </w:t>
      </w:r>
      <w:r w:rsidR="002F36BA" w:rsidRPr="00950741">
        <w:rPr>
          <w:rFonts w:ascii="Times New Roman" w:hAnsi="Times New Roman"/>
        </w:rPr>
        <w:t>so that Art</w:t>
      </w:r>
      <w:r w:rsidR="00ED64A2" w:rsidRPr="00950741">
        <w:rPr>
          <w:rFonts w:ascii="Times New Roman" w:hAnsi="Times New Roman"/>
        </w:rPr>
        <w:t> </w:t>
      </w:r>
      <w:r w:rsidR="002F36BA" w:rsidRPr="00950741">
        <w:rPr>
          <w:rFonts w:ascii="Times New Roman" w:hAnsi="Times New Roman"/>
        </w:rPr>
        <w:t>2</w:t>
      </w:r>
      <w:r w:rsidR="00961098" w:rsidRPr="00950741">
        <w:rPr>
          <w:rFonts w:ascii="Times New Roman" w:hAnsi="Times New Roman"/>
        </w:rPr>
        <w:t>(</w:t>
      </w:r>
      <w:r w:rsidR="002F36BA" w:rsidRPr="00950741">
        <w:rPr>
          <w:rFonts w:ascii="Times New Roman" w:hAnsi="Times New Roman"/>
        </w:rPr>
        <w:t>1</w:t>
      </w:r>
      <w:r w:rsidR="00961098" w:rsidRPr="00950741">
        <w:rPr>
          <w:rFonts w:ascii="Times New Roman" w:hAnsi="Times New Roman"/>
        </w:rPr>
        <w:t>)</w:t>
      </w:r>
      <w:r w:rsidR="002F36BA" w:rsidRPr="00950741">
        <w:rPr>
          <w:rFonts w:ascii="Times New Roman" w:hAnsi="Times New Roman"/>
        </w:rPr>
        <w:t xml:space="preserve">(a) </w:t>
      </w:r>
      <w:r w:rsidR="00A74C9D" w:rsidRPr="00950741">
        <w:rPr>
          <w:rFonts w:ascii="Times New Roman" w:hAnsi="Times New Roman"/>
        </w:rPr>
        <w:t xml:space="preserve">does not apply </w:t>
      </w:r>
      <w:r w:rsidR="008B2F47" w:rsidRPr="00950741">
        <w:rPr>
          <w:rFonts w:ascii="Times New Roman" w:hAnsi="Times New Roman"/>
        </w:rPr>
        <w:t xml:space="preserve">does </w:t>
      </w:r>
      <w:r w:rsidR="00A74C9D" w:rsidRPr="00950741">
        <w:rPr>
          <w:rFonts w:ascii="Times New Roman" w:hAnsi="Times New Roman"/>
        </w:rPr>
        <w:t>not mean that Art 2</w:t>
      </w:r>
      <w:r w:rsidR="00961098" w:rsidRPr="00950741">
        <w:rPr>
          <w:rFonts w:ascii="Times New Roman" w:hAnsi="Times New Roman"/>
        </w:rPr>
        <w:t>(</w:t>
      </w:r>
      <w:r w:rsidR="00A74C9D" w:rsidRPr="00950741">
        <w:rPr>
          <w:rFonts w:ascii="Times New Roman" w:hAnsi="Times New Roman"/>
        </w:rPr>
        <w:t>1</w:t>
      </w:r>
      <w:r w:rsidR="00961098" w:rsidRPr="00950741">
        <w:rPr>
          <w:rFonts w:ascii="Times New Roman" w:hAnsi="Times New Roman"/>
        </w:rPr>
        <w:t>)</w:t>
      </w:r>
      <w:r w:rsidR="00A74C9D" w:rsidRPr="00950741">
        <w:rPr>
          <w:rFonts w:ascii="Times New Roman" w:hAnsi="Times New Roman"/>
        </w:rPr>
        <w:t>(e)</w:t>
      </w:r>
      <w:r w:rsidR="003021D0" w:rsidRPr="00950741">
        <w:rPr>
          <w:rFonts w:ascii="Times New Roman" w:hAnsi="Times New Roman"/>
        </w:rPr>
        <w:t xml:space="preserve"> </w:t>
      </w:r>
      <w:r w:rsidR="00F95215" w:rsidRPr="00950741">
        <w:rPr>
          <w:rFonts w:ascii="Times New Roman" w:hAnsi="Times New Roman"/>
        </w:rPr>
        <w:t xml:space="preserve">does </w:t>
      </w:r>
      <w:r w:rsidR="003021D0" w:rsidRPr="00950741">
        <w:rPr>
          <w:rFonts w:ascii="Times New Roman" w:hAnsi="Times New Roman"/>
        </w:rPr>
        <w:t>not apply</w:t>
      </w:r>
      <w:r w:rsidR="00075E14" w:rsidRPr="00950741">
        <w:rPr>
          <w:rFonts w:ascii="Times New Roman" w:hAnsi="Times New Roman"/>
        </w:rPr>
        <w:t>.</w:t>
      </w:r>
      <w:r w:rsidR="00A10418" w:rsidRPr="00950741">
        <w:rPr>
          <w:rStyle w:val="FootnoteReference"/>
          <w:rFonts w:ascii="Times New Roman" w:hAnsi="Times New Roman"/>
          <w:sz w:val="24"/>
        </w:rPr>
        <w:footnoteReference w:id="23"/>
      </w:r>
      <w:r w:rsidR="00075E14" w:rsidRPr="00950741">
        <w:rPr>
          <w:rFonts w:ascii="Times New Roman" w:hAnsi="Times New Roman"/>
        </w:rPr>
        <w:t xml:space="preserve"> </w:t>
      </w:r>
    </w:p>
    <w:p w14:paraId="6017327C" w14:textId="43E180BF" w:rsidR="00D6196F" w:rsidRPr="00950741" w:rsidRDefault="009C6486"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D63F09" w:rsidRPr="00950741">
        <w:rPr>
          <w:rFonts w:ascii="Times New Roman" w:hAnsi="Times New Roman"/>
        </w:rPr>
        <w:t>T</w:t>
      </w:r>
      <w:r w:rsidR="00255D2D" w:rsidRPr="00950741">
        <w:rPr>
          <w:rFonts w:ascii="Times New Roman" w:hAnsi="Times New Roman"/>
        </w:rPr>
        <w:t>o</w:t>
      </w:r>
      <w:r w:rsidR="00D63F09" w:rsidRPr="00950741">
        <w:rPr>
          <w:rFonts w:ascii="Times New Roman" w:hAnsi="Times New Roman"/>
        </w:rPr>
        <w:t xml:space="preserve"> understand the balance of Lord</w:t>
      </w:r>
      <w:r w:rsidR="00727E46" w:rsidRPr="00950741">
        <w:rPr>
          <w:rFonts w:ascii="Times New Roman" w:hAnsi="Times New Roman"/>
        </w:rPr>
        <w:t> </w:t>
      </w:r>
      <w:r w:rsidR="00D63F09" w:rsidRPr="00950741">
        <w:rPr>
          <w:rFonts w:ascii="Times New Roman" w:hAnsi="Times New Roman"/>
        </w:rPr>
        <w:t xml:space="preserve">Hamblen's reasoning </w:t>
      </w:r>
      <w:r w:rsidR="007E6816" w:rsidRPr="00950741">
        <w:rPr>
          <w:rFonts w:ascii="Times New Roman" w:hAnsi="Times New Roman"/>
        </w:rPr>
        <w:t>in support of this conclusion</w:t>
      </w:r>
      <w:r w:rsidR="0072264E" w:rsidRPr="00950741">
        <w:rPr>
          <w:rFonts w:ascii="Times New Roman" w:hAnsi="Times New Roman"/>
        </w:rPr>
        <w:t xml:space="preserve">, and why it is of no assistance to CSL's case, </w:t>
      </w:r>
      <w:r w:rsidR="00D63F09" w:rsidRPr="00950741">
        <w:rPr>
          <w:rFonts w:ascii="Times New Roman" w:hAnsi="Times New Roman"/>
        </w:rPr>
        <w:t xml:space="preserve">it is necessary to note that </w:t>
      </w:r>
      <w:r w:rsidR="00487006" w:rsidRPr="00950741">
        <w:rPr>
          <w:rFonts w:ascii="Times New Roman" w:hAnsi="Times New Roman"/>
        </w:rPr>
        <w:t>Art</w:t>
      </w:r>
      <w:r w:rsidR="00ED64A2" w:rsidRPr="00950741">
        <w:rPr>
          <w:rFonts w:ascii="Times New Roman" w:hAnsi="Times New Roman"/>
        </w:rPr>
        <w:t> </w:t>
      </w:r>
      <w:r w:rsidR="00487006" w:rsidRPr="00950741">
        <w:rPr>
          <w:rFonts w:ascii="Times New Roman" w:hAnsi="Times New Roman"/>
        </w:rPr>
        <w:t>2</w:t>
      </w:r>
      <w:r w:rsidR="00E77090" w:rsidRPr="00950741">
        <w:rPr>
          <w:rFonts w:ascii="Times New Roman" w:hAnsi="Times New Roman"/>
        </w:rPr>
        <w:t>(</w:t>
      </w:r>
      <w:r w:rsidR="00487006" w:rsidRPr="00950741">
        <w:rPr>
          <w:rFonts w:ascii="Times New Roman" w:hAnsi="Times New Roman"/>
        </w:rPr>
        <w:t>1</w:t>
      </w:r>
      <w:r w:rsidR="00E77090" w:rsidRPr="00950741">
        <w:rPr>
          <w:rFonts w:ascii="Times New Roman" w:hAnsi="Times New Roman"/>
        </w:rPr>
        <w:t>)</w:t>
      </w:r>
      <w:r w:rsidR="00487006" w:rsidRPr="00950741">
        <w:rPr>
          <w:rFonts w:ascii="Times New Roman" w:hAnsi="Times New Roman"/>
        </w:rPr>
        <w:t xml:space="preserve">(d) does not have the force of law in the United Kingdom </w:t>
      </w:r>
      <w:r w:rsidR="00B5557E" w:rsidRPr="00950741">
        <w:rPr>
          <w:rFonts w:ascii="Times New Roman" w:hAnsi="Times New Roman"/>
        </w:rPr>
        <w:t xml:space="preserve">by reason of the United Kingdom having exercised the right of exclusion </w:t>
      </w:r>
      <w:r w:rsidR="00CF5D12" w:rsidRPr="00950741">
        <w:rPr>
          <w:rFonts w:ascii="Times New Roman" w:hAnsi="Times New Roman"/>
        </w:rPr>
        <w:t>of application only of Art</w:t>
      </w:r>
      <w:r w:rsidR="00ED64A2" w:rsidRPr="00950741">
        <w:rPr>
          <w:rFonts w:ascii="Times New Roman" w:hAnsi="Times New Roman"/>
        </w:rPr>
        <w:t> </w:t>
      </w:r>
      <w:r w:rsidR="00CF5D12" w:rsidRPr="00950741">
        <w:rPr>
          <w:rFonts w:ascii="Times New Roman" w:hAnsi="Times New Roman"/>
        </w:rPr>
        <w:t>2</w:t>
      </w:r>
      <w:r w:rsidR="00CD15A2" w:rsidRPr="00950741">
        <w:rPr>
          <w:rFonts w:ascii="Times New Roman" w:hAnsi="Times New Roman"/>
        </w:rPr>
        <w:t>(</w:t>
      </w:r>
      <w:r w:rsidR="00CF5D12" w:rsidRPr="00950741">
        <w:rPr>
          <w:rFonts w:ascii="Times New Roman" w:hAnsi="Times New Roman"/>
        </w:rPr>
        <w:t>1</w:t>
      </w:r>
      <w:r w:rsidR="00CD15A2" w:rsidRPr="00950741">
        <w:rPr>
          <w:rFonts w:ascii="Times New Roman" w:hAnsi="Times New Roman"/>
        </w:rPr>
        <w:t>)</w:t>
      </w:r>
      <w:r w:rsidR="00CF5D12" w:rsidRPr="00950741">
        <w:rPr>
          <w:rFonts w:ascii="Times New Roman" w:hAnsi="Times New Roman"/>
        </w:rPr>
        <w:t>(d) and not Art</w:t>
      </w:r>
      <w:r w:rsidR="00ED64A2" w:rsidRPr="00950741">
        <w:rPr>
          <w:rFonts w:ascii="Times New Roman" w:hAnsi="Times New Roman"/>
        </w:rPr>
        <w:t> </w:t>
      </w:r>
      <w:r w:rsidR="00CF5D12" w:rsidRPr="00950741">
        <w:rPr>
          <w:rFonts w:ascii="Times New Roman" w:hAnsi="Times New Roman"/>
        </w:rPr>
        <w:t>2</w:t>
      </w:r>
      <w:r w:rsidR="00CD15A2" w:rsidRPr="00950741">
        <w:rPr>
          <w:rFonts w:ascii="Times New Roman" w:hAnsi="Times New Roman"/>
        </w:rPr>
        <w:t>(</w:t>
      </w:r>
      <w:r w:rsidR="00CF5D12" w:rsidRPr="00950741">
        <w:rPr>
          <w:rFonts w:ascii="Times New Roman" w:hAnsi="Times New Roman"/>
        </w:rPr>
        <w:t>1</w:t>
      </w:r>
      <w:r w:rsidR="00CD15A2" w:rsidRPr="00950741">
        <w:rPr>
          <w:rFonts w:ascii="Times New Roman" w:hAnsi="Times New Roman"/>
        </w:rPr>
        <w:t>)</w:t>
      </w:r>
      <w:r w:rsidR="00CF5D12" w:rsidRPr="00950741">
        <w:rPr>
          <w:rFonts w:ascii="Times New Roman" w:hAnsi="Times New Roman"/>
        </w:rPr>
        <w:t xml:space="preserve">(e) </w:t>
      </w:r>
      <w:r w:rsidR="00B5557E" w:rsidRPr="00950741">
        <w:rPr>
          <w:rFonts w:ascii="Times New Roman" w:hAnsi="Times New Roman"/>
        </w:rPr>
        <w:t>under Art</w:t>
      </w:r>
      <w:r w:rsidR="00ED64A2" w:rsidRPr="00950741">
        <w:rPr>
          <w:rFonts w:ascii="Times New Roman" w:hAnsi="Times New Roman"/>
        </w:rPr>
        <w:t> </w:t>
      </w:r>
      <w:r w:rsidR="00B5557E" w:rsidRPr="00950741">
        <w:rPr>
          <w:rFonts w:ascii="Times New Roman" w:hAnsi="Times New Roman"/>
        </w:rPr>
        <w:t>18</w:t>
      </w:r>
      <w:r w:rsidR="00CD15A2" w:rsidRPr="00950741">
        <w:rPr>
          <w:rFonts w:ascii="Times New Roman" w:hAnsi="Times New Roman"/>
        </w:rPr>
        <w:t>(</w:t>
      </w:r>
      <w:r w:rsidR="00B5557E" w:rsidRPr="00950741">
        <w:rPr>
          <w:rFonts w:ascii="Times New Roman" w:hAnsi="Times New Roman"/>
        </w:rPr>
        <w:t>1</w:t>
      </w:r>
      <w:r w:rsidR="00CD15A2" w:rsidRPr="00950741">
        <w:rPr>
          <w:rFonts w:ascii="Times New Roman" w:hAnsi="Times New Roman"/>
        </w:rPr>
        <w:t>)</w:t>
      </w:r>
      <w:r w:rsidR="00B5557E" w:rsidRPr="00950741">
        <w:rPr>
          <w:rFonts w:ascii="Times New Roman" w:hAnsi="Times New Roman"/>
        </w:rPr>
        <w:t xml:space="preserve">. As such, </w:t>
      </w:r>
      <w:r w:rsidR="0041170C" w:rsidRPr="00950741">
        <w:rPr>
          <w:rFonts w:ascii="Times New Roman" w:hAnsi="Times New Roman"/>
        </w:rPr>
        <w:t>Art</w:t>
      </w:r>
      <w:r w:rsidR="00ED64A2" w:rsidRPr="00950741">
        <w:rPr>
          <w:rFonts w:ascii="Times New Roman" w:hAnsi="Times New Roman"/>
        </w:rPr>
        <w:t> </w:t>
      </w:r>
      <w:r w:rsidR="0041170C" w:rsidRPr="00950741">
        <w:rPr>
          <w:rFonts w:ascii="Times New Roman" w:hAnsi="Times New Roman"/>
        </w:rPr>
        <w:t>2</w:t>
      </w:r>
      <w:r w:rsidR="00CD15A2" w:rsidRPr="00950741">
        <w:rPr>
          <w:rFonts w:ascii="Times New Roman" w:hAnsi="Times New Roman"/>
        </w:rPr>
        <w:t>(</w:t>
      </w:r>
      <w:r w:rsidR="0041170C" w:rsidRPr="00950741">
        <w:rPr>
          <w:rFonts w:ascii="Times New Roman" w:hAnsi="Times New Roman"/>
        </w:rPr>
        <w:t>1</w:t>
      </w:r>
      <w:r w:rsidR="00CD15A2" w:rsidRPr="00950741">
        <w:rPr>
          <w:rFonts w:ascii="Times New Roman" w:hAnsi="Times New Roman"/>
        </w:rPr>
        <w:t>)</w:t>
      </w:r>
      <w:r w:rsidR="0041170C" w:rsidRPr="00950741">
        <w:rPr>
          <w:rFonts w:ascii="Times New Roman" w:hAnsi="Times New Roman"/>
        </w:rPr>
        <w:t xml:space="preserve">(e) </w:t>
      </w:r>
      <w:r w:rsidR="00CF5D12" w:rsidRPr="00950741">
        <w:rPr>
          <w:rFonts w:ascii="Times New Roman" w:hAnsi="Times New Roman"/>
        </w:rPr>
        <w:t xml:space="preserve">applies </w:t>
      </w:r>
      <w:r w:rsidR="0041170C" w:rsidRPr="00950741">
        <w:rPr>
          <w:rFonts w:ascii="Times New Roman" w:hAnsi="Times New Roman"/>
        </w:rPr>
        <w:t>in the United Kingdom.</w:t>
      </w:r>
    </w:p>
    <w:p w14:paraId="7A3CD64C" w14:textId="2FC15336" w:rsidR="00F356F0" w:rsidRPr="00950741" w:rsidRDefault="0041170C" w:rsidP="00950741">
      <w:pPr>
        <w:pStyle w:val="FixListStyle"/>
        <w:spacing w:after="260" w:line="280" w:lineRule="exact"/>
        <w:ind w:right="0"/>
        <w:jc w:val="both"/>
        <w:rPr>
          <w:rFonts w:ascii="Times New Roman" w:hAnsi="Times New Roman"/>
        </w:rPr>
      </w:pPr>
      <w:r w:rsidRPr="00950741">
        <w:rPr>
          <w:rFonts w:ascii="Times New Roman" w:hAnsi="Times New Roman"/>
        </w:rPr>
        <w:tab/>
        <w:t>Lord</w:t>
      </w:r>
      <w:r w:rsidR="00F02335" w:rsidRPr="00950741">
        <w:rPr>
          <w:rFonts w:ascii="Times New Roman" w:hAnsi="Times New Roman"/>
        </w:rPr>
        <w:t> </w:t>
      </w:r>
      <w:r w:rsidRPr="00950741">
        <w:rPr>
          <w:rFonts w:ascii="Times New Roman" w:hAnsi="Times New Roman"/>
        </w:rPr>
        <w:t>Hamblen</w:t>
      </w:r>
      <w:r w:rsidR="009C6486" w:rsidRPr="00950741">
        <w:rPr>
          <w:rFonts w:ascii="Times New Roman" w:hAnsi="Times New Roman"/>
        </w:rPr>
        <w:t xml:space="preserve">'s </w:t>
      </w:r>
      <w:r w:rsidR="00075E14" w:rsidRPr="00950741">
        <w:rPr>
          <w:rFonts w:ascii="Times New Roman" w:hAnsi="Times New Roman"/>
        </w:rPr>
        <w:t>reason</w:t>
      </w:r>
      <w:r w:rsidR="00E97135" w:rsidRPr="00950741">
        <w:rPr>
          <w:rFonts w:ascii="Times New Roman" w:hAnsi="Times New Roman"/>
        </w:rPr>
        <w:t>ing</w:t>
      </w:r>
      <w:r w:rsidR="00075E14" w:rsidRPr="00950741">
        <w:rPr>
          <w:rFonts w:ascii="Times New Roman" w:hAnsi="Times New Roman"/>
        </w:rPr>
        <w:t xml:space="preserve"> </w:t>
      </w:r>
      <w:r w:rsidR="00E97135" w:rsidRPr="00950741">
        <w:rPr>
          <w:rFonts w:ascii="Times New Roman" w:hAnsi="Times New Roman"/>
        </w:rPr>
        <w:t xml:space="preserve">included </w:t>
      </w:r>
      <w:r w:rsidR="00075E14" w:rsidRPr="00950741">
        <w:rPr>
          <w:rFonts w:ascii="Times New Roman" w:hAnsi="Times New Roman"/>
        </w:rPr>
        <w:t>that: (</w:t>
      </w:r>
      <w:proofErr w:type="spellStart"/>
      <w:r w:rsidR="00075E14" w:rsidRPr="00950741">
        <w:rPr>
          <w:rFonts w:ascii="Times New Roman" w:hAnsi="Times New Roman"/>
        </w:rPr>
        <w:t>i</w:t>
      </w:r>
      <w:proofErr w:type="spellEnd"/>
      <w:r w:rsidR="00075E14" w:rsidRPr="00950741">
        <w:rPr>
          <w:rFonts w:ascii="Times New Roman" w:hAnsi="Times New Roman"/>
        </w:rPr>
        <w:t>) </w:t>
      </w:r>
      <w:r w:rsidR="00FE7D83" w:rsidRPr="00950741">
        <w:rPr>
          <w:rFonts w:ascii="Times New Roman" w:hAnsi="Times New Roman"/>
        </w:rPr>
        <w:t xml:space="preserve">"the language of </w:t>
      </w:r>
      <w:r w:rsidR="004261FA" w:rsidRPr="00950741">
        <w:rPr>
          <w:rFonts w:ascii="Times New Roman" w:hAnsi="Times New Roman"/>
        </w:rPr>
        <w:t>[Art</w:t>
      </w:r>
      <w:r w:rsidR="00ED64A2" w:rsidRPr="00950741">
        <w:rPr>
          <w:rFonts w:ascii="Times New Roman" w:hAnsi="Times New Roman"/>
        </w:rPr>
        <w:t> </w:t>
      </w:r>
      <w:r w:rsidR="00FE7D83" w:rsidRPr="00950741">
        <w:rPr>
          <w:rFonts w:ascii="Times New Roman" w:hAnsi="Times New Roman"/>
        </w:rPr>
        <w:t>2</w:t>
      </w:r>
      <w:r w:rsidR="004261FA" w:rsidRPr="00950741">
        <w:rPr>
          <w:rFonts w:ascii="Times New Roman" w:hAnsi="Times New Roman"/>
        </w:rPr>
        <w:t>(</w:t>
      </w:r>
      <w:r w:rsidR="00FE7D83" w:rsidRPr="00950741">
        <w:rPr>
          <w:rFonts w:ascii="Times New Roman" w:hAnsi="Times New Roman"/>
        </w:rPr>
        <w:t>1</w:t>
      </w:r>
      <w:r w:rsidR="004261FA" w:rsidRPr="00950741">
        <w:rPr>
          <w:rFonts w:ascii="Times New Roman" w:hAnsi="Times New Roman"/>
        </w:rPr>
        <w:t>)</w:t>
      </w:r>
      <w:r w:rsidR="00FE7D83" w:rsidRPr="00950741">
        <w:rPr>
          <w:rFonts w:ascii="Times New Roman" w:hAnsi="Times New Roman"/>
        </w:rPr>
        <w:t>(e)</w:t>
      </w:r>
      <w:r w:rsidR="004261FA" w:rsidRPr="00950741">
        <w:rPr>
          <w:rFonts w:ascii="Times New Roman" w:hAnsi="Times New Roman"/>
        </w:rPr>
        <w:t>]</w:t>
      </w:r>
      <w:r w:rsidR="00FE7D83" w:rsidRPr="00950741">
        <w:rPr>
          <w:rFonts w:ascii="Times New Roman" w:hAnsi="Times New Roman"/>
        </w:rPr>
        <w:t>, like many of the categories of claim which are limitable, focuses on the nature of the claim being made";</w:t>
      </w:r>
      <w:r w:rsidR="00FE7D83" w:rsidRPr="00950741">
        <w:rPr>
          <w:rStyle w:val="FootnoteReference"/>
          <w:rFonts w:ascii="Times New Roman" w:hAnsi="Times New Roman"/>
          <w:sz w:val="24"/>
        </w:rPr>
        <w:footnoteReference w:id="24"/>
      </w:r>
      <w:r w:rsidR="008C0B3C" w:rsidRPr="00950741">
        <w:rPr>
          <w:rFonts w:ascii="Times New Roman" w:hAnsi="Times New Roman"/>
        </w:rPr>
        <w:t xml:space="preserve"> (ii) accordingly, </w:t>
      </w:r>
      <w:r w:rsidR="00E84C24" w:rsidRPr="00950741">
        <w:rPr>
          <w:rFonts w:ascii="Times New Roman" w:hAnsi="Times New Roman"/>
        </w:rPr>
        <w:t xml:space="preserve">if a claim is for the "removal, destruction or the rendering harmless of the cargo" </w:t>
      </w:r>
      <w:r w:rsidR="00773BD0" w:rsidRPr="00950741">
        <w:rPr>
          <w:rFonts w:ascii="Times New Roman" w:hAnsi="Times New Roman"/>
        </w:rPr>
        <w:t>(as referred to in Art 2</w:t>
      </w:r>
      <w:r w:rsidR="00E91A38" w:rsidRPr="00950741">
        <w:rPr>
          <w:rFonts w:ascii="Times New Roman" w:hAnsi="Times New Roman"/>
        </w:rPr>
        <w:t>(</w:t>
      </w:r>
      <w:r w:rsidR="00773BD0" w:rsidRPr="00950741">
        <w:rPr>
          <w:rFonts w:ascii="Times New Roman" w:hAnsi="Times New Roman"/>
        </w:rPr>
        <w:t>1</w:t>
      </w:r>
      <w:r w:rsidR="00E91A38" w:rsidRPr="00950741">
        <w:rPr>
          <w:rFonts w:ascii="Times New Roman" w:hAnsi="Times New Roman"/>
        </w:rPr>
        <w:t>)</w:t>
      </w:r>
      <w:r w:rsidR="00773BD0" w:rsidRPr="00950741">
        <w:rPr>
          <w:rFonts w:ascii="Times New Roman" w:hAnsi="Times New Roman"/>
        </w:rPr>
        <w:t xml:space="preserve">(e)) </w:t>
      </w:r>
      <w:r w:rsidR="00FF0E14" w:rsidRPr="00950741">
        <w:rPr>
          <w:rFonts w:ascii="Times New Roman" w:hAnsi="Times New Roman"/>
        </w:rPr>
        <w:t>then "</w:t>
      </w:r>
      <w:r w:rsidR="00F919B4" w:rsidRPr="00950741">
        <w:rPr>
          <w:rFonts w:ascii="Times New Roman" w:hAnsi="Times New Roman"/>
        </w:rPr>
        <w:t xml:space="preserve">there is </w:t>
      </w:r>
      <w:r w:rsidR="00F919B4" w:rsidRPr="00950741">
        <w:rPr>
          <w:rFonts w:ascii="Times New Roman" w:hAnsi="Times New Roman"/>
        </w:rPr>
        <w:lastRenderedPageBreak/>
        <w:t xml:space="preserve">no reason to introduce an additional requirement that it must not also be a claim in respect of damage to the </w:t>
      </w:r>
      <w:r w:rsidR="00652677" w:rsidRPr="00950741">
        <w:rPr>
          <w:rFonts w:ascii="Times New Roman" w:hAnsi="Times New Roman"/>
        </w:rPr>
        <w:t>[limiting</w:t>
      </w:r>
      <w:r w:rsidR="0062622C" w:rsidRPr="00950741">
        <w:rPr>
          <w:rFonts w:ascii="Times New Roman" w:hAnsi="Times New Roman"/>
        </w:rPr>
        <w:t xml:space="preserve">] </w:t>
      </w:r>
      <w:r w:rsidR="00F919B4" w:rsidRPr="00950741">
        <w:rPr>
          <w:rFonts w:ascii="Times New Roman" w:hAnsi="Times New Roman"/>
        </w:rPr>
        <w:t>ship"</w:t>
      </w:r>
      <w:r w:rsidR="00F919B4" w:rsidRPr="00950741">
        <w:rPr>
          <w:rStyle w:val="FootnoteReference"/>
          <w:rFonts w:ascii="Times New Roman" w:hAnsi="Times New Roman"/>
          <w:sz w:val="24"/>
        </w:rPr>
        <w:footnoteReference w:id="25"/>
      </w:r>
      <w:r w:rsidR="00F919B4" w:rsidRPr="00950741">
        <w:rPr>
          <w:rFonts w:ascii="Times New Roman" w:hAnsi="Times New Roman"/>
        </w:rPr>
        <w:t xml:space="preserve"> (as </w:t>
      </w:r>
      <w:r w:rsidR="0062622C" w:rsidRPr="00950741">
        <w:rPr>
          <w:rFonts w:ascii="Times New Roman" w:hAnsi="Times New Roman"/>
        </w:rPr>
        <w:t xml:space="preserve">is the case for </w:t>
      </w:r>
      <w:r w:rsidR="00F919B4" w:rsidRPr="00950741">
        <w:rPr>
          <w:rFonts w:ascii="Times New Roman" w:hAnsi="Times New Roman"/>
        </w:rPr>
        <w:t>Art</w:t>
      </w:r>
      <w:r w:rsidR="00ED64A2" w:rsidRPr="00950741">
        <w:rPr>
          <w:rFonts w:ascii="Times New Roman" w:hAnsi="Times New Roman"/>
        </w:rPr>
        <w:t> </w:t>
      </w:r>
      <w:r w:rsidR="00F919B4" w:rsidRPr="00950741">
        <w:rPr>
          <w:rFonts w:ascii="Times New Roman" w:hAnsi="Times New Roman"/>
        </w:rPr>
        <w:t>2</w:t>
      </w:r>
      <w:r w:rsidR="001A74DB" w:rsidRPr="00950741">
        <w:rPr>
          <w:rFonts w:ascii="Times New Roman" w:hAnsi="Times New Roman"/>
        </w:rPr>
        <w:t>(</w:t>
      </w:r>
      <w:r w:rsidR="00F919B4" w:rsidRPr="00950741">
        <w:rPr>
          <w:rFonts w:ascii="Times New Roman" w:hAnsi="Times New Roman"/>
        </w:rPr>
        <w:t>1</w:t>
      </w:r>
      <w:r w:rsidR="001A74DB" w:rsidRPr="00950741">
        <w:rPr>
          <w:rFonts w:ascii="Times New Roman" w:hAnsi="Times New Roman"/>
        </w:rPr>
        <w:t>)</w:t>
      </w:r>
      <w:r w:rsidR="00F919B4" w:rsidRPr="00950741">
        <w:rPr>
          <w:rFonts w:ascii="Times New Roman" w:hAnsi="Times New Roman"/>
        </w:rPr>
        <w:t>(a))</w:t>
      </w:r>
      <w:r w:rsidR="003B2909" w:rsidRPr="00950741">
        <w:rPr>
          <w:rFonts w:ascii="Times New Roman" w:hAnsi="Times New Roman"/>
        </w:rPr>
        <w:t>; (iii) Art</w:t>
      </w:r>
      <w:r w:rsidR="00ED64A2" w:rsidRPr="00950741">
        <w:rPr>
          <w:rFonts w:ascii="Times New Roman" w:hAnsi="Times New Roman"/>
        </w:rPr>
        <w:t> </w:t>
      </w:r>
      <w:r w:rsidR="003B2909" w:rsidRPr="00950741">
        <w:rPr>
          <w:rFonts w:ascii="Times New Roman" w:hAnsi="Times New Roman"/>
        </w:rPr>
        <w:t>2</w:t>
      </w:r>
      <w:r w:rsidR="00B33F8F" w:rsidRPr="00950741">
        <w:rPr>
          <w:rFonts w:ascii="Times New Roman" w:hAnsi="Times New Roman"/>
        </w:rPr>
        <w:t>(</w:t>
      </w:r>
      <w:r w:rsidR="003B2909" w:rsidRPr="00950741">
        <w:rPr>
          <w:rFonts w:ascii="Times New Roman" w:hAnsi="Times New Roman"/>
        </w:rPr>
        <w:t>1</w:t>
      </w:r>
      <w:r w:rsidR="00B33F8F" w:rsidRPr="00950741">
        <w:rPr>
          <w:rFonts w:ascii="Times New Roman" w:hAnsi="Times New Roman"/>
        </w:rPr>
        <w:t>)</w:t>
      </w:r>
      <w:r w:rsidR="003B2909" w:rsidRPr="00950741">
        <w:rPr>
          <w:rFonts w:ascii="Times New Roman" w:hAnsi="Times New Roman"/>
        </w:rPr>
        <w:t xml:space="preserve"> "does not preclude the dual characterisation of claims" so that </w:t>
      </w:r>
      <w:r w:rsidR="00FE37D4" w:rsidRPr="00950741">
        <w:rPr>
          <w:rFonts w:ascii="Times New Roman" w:hAnsi="Times New Roman"/>
        </w:rPr>
        <w:t xml:space="preserve">the "fact that a claim may be the consequence of damage to the </w:t>
      </w:r>
      <w:r w:rsidR="00773BD0" w:rsidRPr="00950741">
        <w:rPr>
          <w:rFonts w:ascii="Times New Roman" w:hAnsi="Times New Roman"/>
        </w:rPr>
        <w:t xml:space="preserve">[limiting] </w:t>
      </w:r>
      <w:r w:rsidR="00FE37D4" w:rsidRPr="00950741">
        <w:rPr>
          <w:rFonts w:ascii="Times New Roman" w:hAnsi="Times New Roman"/>
        </w:rPr>
        <w:t xml:space="preserve">ship [as </w:t>
      </w:r>
      <w:r w:rsidR="00C57FF4" w:rsidRPr="00950741">
        <w:rPr>
          <w:rFonts w:ascii="Times New Roman" w:hAnsi="Times New Roman"/>
        </w:rPr>
        <w:t xml:space="preserve">excluded from the scope of </w:t>
      </w:r>
      <w:r w:rsidR="00FE37D4" w:rsidRPr="00950741">
        <w:rPr>
          <w:rFonts w:ascii="Times New Roman" w:hAnsi="Times New Roman"/>
        </w:rPr>
        <w:t>Art</w:t>
      </w:r>
      <w:r w:rsidR="00B61D28" w:rsidRPr="00950741">
        <w:rPr>
          <w:rFonts w:ascii="Times New Roman" w:hAnsi="Times New Roman"/>
        </w:rPr>
        <w:t> </w:t>
      </w:r>
      <w:r w:rsidR="00C57FF4" w:rsidRPr="00950741">
        <w:rPr>
          <w:rFonts w:ascii="Times New Roman" w:hAnsi="Times New Roman"/>
        </w:rPr>
        <w:t>2</w:t>
      </w:r>
      <w:r w:rsidR="00232CEB" w:rsidRPr="00950741">
        <w:rPr>
          <w:rFonts w:ascii="Times New Roman" w:hAnsi="Times New Roman"/>
        </w:rPr>
        <w:t>(</w:t>
      </w:r>
      <w:r w:rsidR="00C57FF4" w:rsidRPr="00950741">
        <w:rPr>
          <w:rFonts w:ascii="Times New Roman" w:hAnsi="Times New Roman"/>
        </w:rPr>
        <w:t>1</w:t>
      </w:r>
      <w:r w:rsidR="00232CEB" w:rsidRPr="00950741">
        <w:rPr>
          <w:rFonts w:ascii="Times New Roman" w:hAnsi="Times New Roman"/>
        </w:rPr>
        <w:t>)</w:t>
      </w:r>
      <w:r w:rsidR="00C57FF4" w:rsidRPr="00950741">
        <w:rPr>
          <w:rFonts w:ascii="Times New Roman" w:hAnsi="Times New Roman"/>
        </w:rPr>
        <w:t xml:space="preserve">(a)] </w:t>
      </w:r>
      <w:r w:rsidR="00FE37D4" w:rsidRPr="00950741">
        <w:rPr>
          <w:rFonts w:ascii="Times New Roman" w:hAnsi="Times New Roman"/>
        </w:rPr>
        <w:t>should not therefore preclude its</w:t>
      </w:r>
      <w:r w:rsidR="007003B2" w:rsidRPr="00950741">
        <w:rPr>
          <w:rFonts w:ascii="Times New Roman" w:hAnsi="Times New Roman"/>
        </w:rPr>
        <w:t xml:space="preserve"> </w:t>
      </w:r>
      <w:r w:rsidR="00FE37D4" w:rsidRPr="00950741">
        <w:rPr>
          <w:rFonts w:ascii="Times New Roman" w:hAnsi="Times New Roman"/>
        </w:rPr>
        <w:t>characterisation as a claim falling within a sub-paragraph other than</w:t>
      </w:r>
      <w:r w:rsidR="007003B2" w:rsidRPr="00950741">
        <w:rPr>
          <w:rFonts w:ascii="Times New Roman" w:hAnsi="Times New Roman"/>
        </w:rPr>
        <w:t xml:space="preserve"> </w:t>
      </w:r>
      <w:r w:rsidR="00D963AE" w:rsidRPr="00950741">
        <w:rPr>
          <w:rFonts w:ascii="Times New Roman" w:hAnsi="Times New Roman"/>
        </w:rPr>
        <w:t>[Art</w:t>
      </w:r>
      <w:r w:rsidR="00ED64A2" w:rsidRPr="00950741">
        <w:rPr>
          <w:rFonts w:ascii="Times New Roman" w:hAnsi="Times New Roman"/>
        </w:rPr>
        <w:t> </w:t>
      </w:r>
      <w:r w:rsidR="00FE37D4" w:rsidRPr="00950741">
        <w:rPr>
          <w:rFonts w:ascii="Times New Roman" w:hAnsi="Times New Roman"/>
        </w:rPr>
        <w:t>2</w:t>
      </w:r>
      <w:r w:rsidR="00D963AE" w:rsidRPr="00950741">
        <w:rPr>
          <w:rFonts w:ascii="Times New Roman" w:hAnsi="Times New Roman"/>
        </w:rPr>
        <w:t>(</w:t>
      </w:r>
      <w:r w:rsidR="00FE37D4" w:rsidRPr="00950741">
        <w:rPr>
          <w:rFonts w:ascii="Times New Roman" w:hAnsi="Times New Roman"/>
        </w:rPr>
        <w:t>1</w:t>
      </w:r>
      <w:r w:rsidR="00D963AE" w:rsidRPr="00950741">
        <w:rPr>
          <w:rFonts w:ascii="Times New Roman" w:hAnsi="Times New Roman"/>
        </w:rPr>
        <w:t>)</w:t>
      </w:r>
      <w:r w:rsidR="00FE37D4" w:rsidRPr="00950741">
        <w:rPr>
          <w:rFonts w:ascii="Times New Roman" w:hAnsi="Times New Roman"/>
        </w:rPr>
        <w:t>(a)</w:t>
      </w:r>
      <w:r w:rsidR="00D963AE" w:rsidRPr="00950741">
        <w:rPr>
          <w:rFonts w:ascii="Times New Roman" w:hAnsi="Times New Roman"/>
        </w:rPr>
        <w:t>]</w:t>
      </w:r>
      <w:r w:rsidR="007003B2" w:rsidRPr="00950741">
        <w:rPr>
          <w:rFonts w:ascii="Times New Roman" w:hAnsi="Times New Roman"/>
        </w:rPr>
        <w:t>";</w:t>
      </w:r>
      <w:r w:rsidR="007003B2" w:rsidRPr="00950741">
        <w:rPr>
          <w:rStyle w:val="FootnoteReference"/>
          <w:rFonts w:ascii="Times New Roman" w:hAnsi="Times New Roman"/>
          <w:sz w:val="24"/>
        </w:rPr>
        <w:footnoteReference w:id="26"/>
      </w:r>
      <w:r w:rsidR="00AF6E60" w:rsidRPr="00950741">
        <w:rPr>
          <w:rFonts w:ascii="Times New Roman" w:hAnsi="Times New Roman"/>
        </w:rPr>
        <w:t xml:space="preserve"> </w:t>
      </w:r>
      <w:r w:rsidR="00B219C5" w:rsidRPr="00950741">
        <w:rPr>
          <w:rFonts w:ascii="Times New Roman" w:hAnsi="Times New Roman"/>
        </w:rPr>
        <w:t xml:space="preserve">(iv) "considering the issue more broadly, if a claim which is consequential on damage to the </w:t>
      </w:r>
      <w:r w:rsidR="005D402C" w:rsidRPr="00950741">
        <w:rPr>
          <w:rFonts w:ascii="Times New Roman" w:hAnsi="Times New Roman"/>
        </w:rPr>
        <w:t xml:space="preserve">[limiting] </w:t>
      </w:r>
      <w:r w:rsidR="00B219C5" w:rsidRPr="00950741">
        <w:rPr>
          <w:rFonts w:ascii="Times New Roman" w:hAnsi="Times New Roman"/>
        </w:rPr>
        <w:t xml:space="preserve">ship is never limitable then that would exclude many claims which would otherwise fall within the terms of </w:t>
      </w:r>
      <w:r w:rsidR="00846E0C" w:rsidRPr="00950741">
        <w:rPr>
          <w:rFonts w:ascii="Times New Roman" w:hAnsi="Times New Roman"/>
        </w:rPr>
        <w:t>[Art</w:t>
      </w:r>
      <w:r w:rsidR="00ED64A2" w:rsidRPr="00950741">
        <w:rPr>
          <w:rFonts w:ascii="Times New Roman" w:hAnsi="Times New Roman"/>
        </w:rPr>
        <w:t> </w:t>
      </w:r>
      <w:r w:rsidR="00B219C5" w:rsidRPr="00950741">
        <w:rPr>
          <w:rFonts w:ascii="Times New Roman" w:hAnsi="Times New Roman"/>
        </w:rPr>
        <w:t>2</w:t>
      </w:r>
      <w:r w:rsidR="00846E0C" w:rsidRPr="00950741">
        <w:rPr>
          <w:rFonts w:ascii="Times New Roman" w:hAnsi="Times New Roman"/>
        </w:rPr>
        <w:t>(</w:t>
      </w:r>
      <w:r w:rsidR="00B219C5" w:rsidRPr="00950741">
        <w:rPr>
          <w:rFonts w:ascii="Times New Roman" w:hAnsi="Times New Roman"/>
        </w:rPr>
        <w:t>1</w:t>
      </w:r>
      <w:r w:rsidR="00846E0C" w:rsidRPr="00950741">
        <w:rPr>
          <w:rFonts w:ascii="Times New Roman" w:hAnsi="Times New Roman"/>
        </w:rPr>
        <w:t>)]</w:t>
      </w:r>
      <w:r w:rsidR="00B219C5" w:rsidRPr="00950741">
        <w:rPr>
          <w:rFonts w:ascii="Times New Roman" w:hAnsi="Times New Roman"/>
        </w:rPr>
        <w:t>";</w:t>
      </w:r>
      <w:r w:rsidR="00B219C5" w:rsidRPr="00950741">
        <w:rPr>
          <w:rStyle w:val="FootnoteReference"/>
          <w:rFonts w:ascii="Times New Roman" w:hAnsi="Times New Roman"/>
          <w:sz w:val="24"/>
        </w:rPr>
        <w:footnoteReference w:id="27"/>
      </w:r>
      <w:r w:rsidR="00B219C5" w:rsidRPr="00950741">
        <w:rPr>
          <w:rFonts w:ascii="Times New Roman" w:hAnsi="Times New Roman"/>
        </w:rPr>
        <w:t xml:space="preserve"> (v) </w:t>
      </w:r>
      <w:r w:rsidR="0068397D" w:rsidRPr="00950741">
        <w:rPr>
          <w:rFonts w:ascii="Times New Roman" w:hAnsi="Times New Roman"/>
        </w:rPr>
        <w:t>"</w:t>
      </w:r>
      <w:r w:rsidR="00F43621" w:rsidRPr="00950741">
        <w:rPr>
          <w:rFonts w:ascii="Times New Roman" w:hAnsi="Times New Roman"/>
        </w:rPr>
        <w:t>[Art 2(1)]</w:t>
      </w:r>
      <w:r w:rsidR="0068397D" w:rsidRPr="00950741">
        <w:rPr>
          <w:rFonts w:ascii="Times New Roman" w:hAnsi="Times New Roman"/>
        </w:rPr>
        <w:t xml:space="preserve"> specifically contemplates there being limitable claims which result from damage to the </w:t>
      </w:r>
      <w:r w:rsidR="005D402C" w:rsidRPr="00950741">
        <w:rPr>
          <w:rFonts w:ascii="Times New Roman" w:hAnsi="Times New Roman"/>
        </w:rPr>
        <w:t xml:space="preserve">[limiting] </w:t>
      </w:r>
      <w:r w:rsidR="0068397D" w:rsidRPr="00950741">
        <w:rPr>
          <w:rFonts w:ascii="Times New Roman" w:hAnsi="Times New Roman"/>
        </w:rPr>
        <w:t xml:space="preserve">ship. This is made clear by </w:t>
      </w:r>
      <w:r w:rsidR="00F43621" w:rsidRPr="00950741">
        <w:rPr>
          <w:rFonts w:ascii="Times New Roman" w:hAnsi="Times New Roman"/>
        </w:rPr>
        <w:t>[Art 2(1)(d)]</w:t>
      </w:r>
      <w:r w:rsidR="0068397D" w:rsidRPr="00950741">
        <w:rPr>
          <w:rFonts w:ascii="Times New Roman" w:hAnsi="Times New Roman"/>
        </w:rPr>
        <w:t xml:space="preserve"> which makes wreck removal claims subject to limitation. If the wreck is the limiting </w:t>
      </w:r>
      <w:proofErr w:type="gramStart"/>
      <w:r w:rsidR="0068397D" w:rsidRPr="00950741">
        <w:rPr>
          <w:rFonts w:ascii="Times New Roman" w:hAnsi="Times New Roman"/>
        </w:rPr>
        <w:t>ship</w:t>
      </w:r>
      <w:proofErr w:type="gramEnd"/>
      <w:r w:rsidR="0068397D" w:rsidRPr="00950741">
        <w:rPr>
          <w:rFonts w:ascii="Times New Roman" w:hAnsi="Times New Roman"/>
        </w:rPr>
        <w:t xml:space="preserve"> then that claim will be a direct consequence of the damage to the </w:t>
      </w:r>
      <w:r w:rsidR="005D402C" w:rsidRPr="00950741">
        <w:rPr>
          <w:rFonts w:ascii="Times New Roman" w:hAnsi="Times New Roman"/>
        </w:rPr>
        <w:t xml:space="preserve">[limiting] </w:t>
      </w:r>
      <w:r w:rsidR="0068397D" w:rsidRPr="00950741">
        <w:rPr>
          <w:rFonts w:ascii="Times New Roman" w:hAnsi="Times New Roman"/>
        </w:rPr>
        <w:t xml:space="preserve">ship. The fact that </w:t>
      </w:r>
      <w:r w:rsidR="00F43621" w:rsidRPr="00950741">
        <w:rPr>
          <w:rFonts w:ascii="Times New Roman" w:hAnsi="Times New Roman"/>
        </w:rPr>
        <w:t>[Art 2(1)(d)]</w:t>
      </w:r>
      <w:r w:rsidR="0068397D" w:rsidRPr="00950741">
        <w:rPr>
          <w:rFonts w:ascii="Times New Roman" w:hAnsi="Times New Roman"/>
        </w:rPr>
        <w:t xml:space="preserve"> does not have the force of law in this jurisdiction does not detract from the significance of this to the drafting of </w:t>
      </w:r>
      <w:r w:rsidR="00F43621" w:rsidRPr="00950741">
        <w:rPr>
          <w:rFonts w:ascii="Times New Roman" w:hAnsi="Times New Roman"/>
        </w:rPr>
        <w:t>[Art </w:t>
      </w:r>
      <w:r w:rsidR="00BA56A7" w:rsidRPr="00950741">
        <w:rPr>
          <w:rFonts w:ascii="Times New Roman" w:hAnsi="Times New Roman"/>
        </w:rPr>
        <w:t>2(1)]</w:t>
      </w:r>
      <w:r w:rsidR="0068397D" w:rsidRPr="00950741">
        <w:rPr>
          <w:rFonts w:ascii="Times New Roman" w:hAnsi="Times New Roman"/>
        </w:rPr>
        <w:t xml:space="preserve"> as a whole";</w:t>
      </w:r>
      <w:r w:rsidR="0068397D" w:rsidRPr="00950741">
        <w:rPr>
          <w:rStyle w:val="FootnoteReference"/>
          <w:rFonts w:ascii="Times New Roman" w:hAnsi="Times New Roman"/>
          <w:sz w:val="24"/>
        </w:rPr>
        <w:footnoteReference w:id="28"/>
      </w:r>
      <w:r w:rsidR="001B5456" w:rsidRPr="00950741">
        <w:rPr>
          <w:rFonts w:ascii="Times New Roman" w:hAnsi="Times New Roman"/>
        </w:rPr>
        <w:t xml:space="preserve"> </w:t>
      </w:r>
      <w:r w:rsidR="007E5D62" w:rsidRPr="00950741">
        <w:rPr>
          <w:rFonts w:ascii="Times New Roman" w:hAnsi="Times New Roman"/>
        </w:rPr>
        <w:t xml:space="preserve">(vi) "to conclude otherwise would effectively elevate the fact that loss or damage to the </w:t>
      </w:r>
      <w:r w:rsidR="005D402C" w:rsidRPr="00950741">
        <w:rPr>
          <w:rFonts w:ascii="Times New Roman" w:hAnsi="Times New Roman"/>
        </w:rPr>
        <w:t xml:space="preserve">[limiting] </w:t>
      </w:r>
      <w:r w:rsidR="007E5D62" w:rsidRPr="00950741">
        <w:rPr>
          <w:rFonts w:ascii="Times New Roman" w:hAnsi="Times New Roman"/>
        </w:rPr>
        <w:t xml:space="preserve">ship is not within </w:t>
      </w:r>
      <w:r w:rsidR="00BA56A7" w:rsidRPr="00950741">
        <w:rPr>
          <w:rFonts w:ascii="Times New Roman" w:hAnsi="Times New Roman"/>
        </w:rPr>
        <w:t>[Art 2(1)(a)]</w:t>
      </w:r>
      <w:r w:rsidR="007E5D62" w:rsidRPr="00950741">
        <w:rPr>
          <w:rFonts w:ascii="Times New Roman" w:hAnsi="Times New Roman"/>
        </w:rPr>
        <w:t xml:space="preserve"> into a general but unstated exception to the whole of </w:t>
      </w:r>
      <w:r w:rsidR="00BA56A7" w:rsidRPr="00950741">
        <w:rPr>
          <w:rFonts w:ascii="Times New Roman" w:hAnsi="Times New Roman"/>
        </w:rPr>
        <w:t>[Art 2(1)]</w:t>
      </w:r>
      <w:r w:rsidR="007E5D62" w:rsidRPr="00950741">
        <w:rPr>
          <w:rFonts w:ascii="Times New Roman" w:hAnsi="Times New Roman"/>
        </w:rPr>
        <w:t xml:space="preserve">. But it is not even an exception in the context of </w:t>
      </w:r>
      <w:r w:rsidR="00BA56A7" w:rsidRPr="00950741">
        <w:rPr>
          <w:rFonts w:ascii="Times New Roman" w:hAnsi="Times New Roman"/>
        </w:rPr>
        <w:t>[Art 2(1)(a)]</w:t>
      </w:r>
      <w:r w:rsidR="007E5D62" w:rsidRPr="00950741">
        <w:rPr>
          <w:rFonts w:ascii="Times New Roman" w:hAnsi="Times New Roman"/>
        </w:rPr>
        <w:t xml:space="preserve">. It is simply a type of claim which does not fall within the terms of </w:t>
      </w:r>
      <w:r w:rsidR="00BA56A7" w:rsidRPr="00950741">
        <w:rPr>
          <w:rFonts w:ascii="Times New Roman" w:hAnsi="Times New Roman"/>
        </w:rPr>
        <w:t>[Art 2(1)(a)]</w:t>
      </w:r>
      <w:r w:rsidR="000903AA" w:rsidRPr="00950741">
        <w:rPr>
          <w:rFonts w:ascii="Times New Roman" w:hAnsi="Times New Roman"/>
        </w:rPr>
        <w:t>";</w:t>
      </w:r>
      <w:r w:rsidR="000903AA" w:rsidRPr="00950741">
        <w:rPr>
          <w:rStyle w:val="FootnoteReference"/>
          <w:rFonts w:ascii="Times New Roman" w:hAnsi="Times New Roman"/>
          <w:sz w:val="24"/>
        </w:rPr>
        <w:footnoteReference w:id="29"/>
      </w:r>
      <w:r w:rsidR="00A533F3" w:rsidRPr="00950741">
        <w:rPr>
          <w:rFonts w:ascii="Times New Roman" w:hAnsi="Times New Roman"/>
        </w:rPr>
        <w:t xml:space="preserve"> </w:t>
      </w:r>
      <w:r w:rsidR="00E202CE" w:rsidRPr="00950741">
        <w:rPr>
          <w:rFonts w:ascii="Times New Roman" w:hAnsi="Times New Roman"/>
        </w:rPr>
        <w:t>(vii) "the 1976</w:t>
      </w:r>
      <w:r w:rsidR="00ED64A2" w:rsidRPr="00950741">
        <w:rPr>
          <w:rFonts w:ascii="Times New Roman" w:hAnsi="Times New Roman"/>
        </w:rPr>
        <w:t> </w:t>
      </w:r>
      <w:r w:rsidR="00E202CE" w:rsidRPr="00950741">
        <w:rPr>
          <w:rFonts w:ascii="Times New Roman" w:hAnsi="Times New Roman"/>
        </w:rPr>
        <w:t xml:space="preserve">Convention expressly addresses what claims are to be </w:t>
      </w:r>
      <w:proofErr w:type="gramStart"/>
      <w:r w:rsidR="00E202CE" w:rsidRPr="00950741">
        <w:rPr>
          <w:rFonts w:ascii="Times New Roman" w:hAnsi="Times New Roman"/>
        </w:rPr>
        <w:t>excepted</w:t>
      </w:r>
      <w:proofErr w:type="gramEnd"/>
      <w:r w:rsidR="00E202CE" w:rsidRPr="00950741">
        <w:rPr>
          <w:rFonts w:ascii="Times New Roman" w:hAnsi="Times New Roman"/>
        </w:rPr>
        <w:t xml:space="preserve"> from limitation in </w:t>
      </w:r>
      <w:r w:rsidR="00BA56A7" w:rsidRPr="00950741">
        <w:rPr>
          <w:rFonts w:ascii="Times New Roman" w:hAnsi="Times New Roman"/>
        </w:rPr>
        <w:t>[Art 3]</w:t>
      </w:r>
      <w:r w:rsidR="00E202CE" w:rsidRPr="00950741">
        <w:rPr>
          <w:rFonts w:ascii="Times New Roman" w:hAnsi="Times New Roman"/>
        </w:rPr>
        <w:t xml:space="preserve"> which sets out five categories of excepted claims. If a further general exception had been </w:t>
      </w:r>
      <w:proofErr w:type="gramStart"/>
      <w:r w:rsidR="00E202CE" w:rsidRPr="00950741">
        <w:rPr>
          <w:rFonts w:ascii="Times New Roman" w:hAnsi="Times New Roman"/>
        </w:rPr>
        <w:t>intended</w:t>
      </w:r>
      <w:proofErr w:type="gramEnd"/>
      <w:r w:rsidR="00E202CE" w:rsidRPr="00950741">
        <w:rPr>
          <w:rFonts w:ascii="Times New Roman" w:hAnsi="Times New Roman"/>
        </w:rPr>
        <w:t xml:space="preserve"> then it would be expected to be specified in this article. [</w:t>
      </w:r>
      <w:r w:rsidR="00E45004" w:rsidRPr="00950741">
        <w:rPr>
          <w:rFonts w:ascii="Times New Roman" w:hAnsi="Times New Roman"/>
        </w:rPr>
        <w:t>The</w:t>
      </w:r>
      <w:r w:rsidR="004C4DF7" w:rsidRPr="00950741">
        <w:rPr>
          <w:rFonts w:ascii="Times New Roman" w:hAnsi="Times New Roman"/>
        </w:rPr>
        <w:t xml:space="preserve"> contrary</w:t>
      </w:r>
      <w:r w:rsidR="00A875B7" w:rsidRPr="00950741">
        <w:rPr>
          <w:rFonts w:ascii="Times New Roman" w:hAnsi="Times New Roman"/>
        </w:rPr>
        <w:t xml:space="preserve">] </w:t>
      </w:r>
      <w:r w:rsidR="00E202CE" w:rsidRPr="00950741">
        <w:rPr>
          <w:rFonts w:ascii="Times New Roman" w:hAnsi="Times New Roman"/>
        </w:rPr>
        <w:t>case involves the creation of a sixth, unstated category of excepted claims</w:t>
      </w:r>
      <w:r w:rsidR="00A875B7" w:rsidRPr="00950741">
        <w:rPr>
          <w:rFonts w:ascii="Times New Roman" w:hAnsi="Times New Roman"/>
        </w:rPr>
        <w:t>";</w:t>
      </w:r>
      <w:r w:rsidR="00B63DE8" w:rsidRPr="00950741">
        <w:rPr>
          <w:rStyle w:val="FootnoteReference"/>
          <w:rFonts w:ascii="Times New Roman" w:hAnsi="Times New Roman"/>
          <w:sz w:val="24"/>
        </w:rPr>
        <w:footnoteReference w:id="30"/>
      </w:r>
      <w:r w:rsidR="004C4DF7" w:rsidRPr="00950741">
        <w:rPr>
          <w:rFonts w:ascii="Times New Roman" w:hAnsi="Times New Roman"/>
        </w:rPr>
        <w:t xml:space="preserve"> </w:t>
      </w:r>
      <w:r w:rsidR="00E97135" w:rsidRPr="00950741">
        <w:rPr>
          <w:rFonts w:ascii="Times New Roman" w:hAnsi="Times New Roman"/>
        </w:rPr>
        <w:t xml:space="preserve">and </w:t>
      </w:r>
      <w:r w:rsidR="004C4DF7" w:rsidRPr="00950741">
        <w:rPr>
          <w:rFonts w:ascii="Times New Roman" w:hAnsi="Times New Roman"/>
        </w:rPr>
        <w:t>(viii) "</w:t>
      </w:r>
      <w:r w:rsidR="00FA456F" w:rsidRPr="00950741">
        <w:rPr>
          <w:rFonts w:ascii="Times New Roman" w:hAnsi="Times New Roman"/>
        </w:rPr>
        <w:t>an important purpose of the 1976</w:t>
      </w:r>
      <w:r w:rsidR="00544459" w:rsidRPr="00950741">
        <w:rPr>
          <w:rFonts w:ascii="Times New Roman" w:hAnsi="Times New Roman"/>
        </w:rPr>
        <w:t> </w:t>
      </w:r>
      <w:r w:rsidR="00FA456F" w:rsidRPr="00950741">
        <w:rPr>
          <w:rFonts w:ascii="Times New Roman" w:hAnsi="Times New Roman"/>
        </w:rPr>
        <w:t>Convention was to provide a limit of liability which was effectively unbreakable. For there to be exceptions to the right to limit not set out in the Convention itself undermines that purpose</w:t>
      </w:r>
      <w:r w:rsidR="00E97135" w:rsidRPr="00950741">
        <w:rPr>
          <w:rFonts w:ascii="Times New Roman" w:hAnsi="Times New Roman"/>
        </w:rPr>
        <w:t>.</w:t>
      </w:r>
      <w:r w:rsidR="00127EE9" w:rsidRPr="00950741">
        <w:rPr>
          <w:rFonts w:ascii="Times New Roman" w:hAnsi="Times New Roman"/>
        </w:rPr>
        <w:t>"</w:t>
      </w:r>
      <w:r w:rsidR="00FA456F" w:rsidRPr="00950741">
        <w:rPr>
          <w:rStyle w:val="FootnoteReference"/>
          <w:rFonts w:ascii="Times New Roman" w:hAnsi="Times New Roman"/>
          <w:sz w:val="24"/>
        </w:rPr>
        <w:footnoteReference w:id="31"/>
      </w:r>
    </w:p>
    <w:p w14:paraId="5EDE059F" w14:textId="384AEE57" w:rsidR="005C4203" w:rsidRPr="00950741" w:rsidRDefault="005C4203" w:rsidP="00950741">
      <w:pPr>
        <w:pStyle w:val="FixListStyle"/>
        <w:spacing w:after="260" w:line="280" w:lineRule="exact"/>
        <w:ind w:right="0"/>
        <w:jc w:val="both"/>
        <w:rPr>
          <w:rFonts w:ascii="Times New Roman" w:hAnsi="Times New Roman"/>
        </w:rPr>
      </w:pPr>
      <w:r w:rsidRPr="00950741">
        <w:rPr>
          <w:rFonts w:ascii="Times New Roman" w:hAnsi="Times New Roman"/>
        </w:rPr>
        <w:lastRenderedPageBreak/>
        <w:tab/>
        <w:t>Lord Hamblen thereby concluded that:</w:t>
      </w:r>
      <w:r w:rsidR="00A17C09" w:rsidRPr="00950741">
        <w:rPr>
          <w:rStyle w:val="FootnoteReference"/>
          <w:rFonts w:ascii="Times New Roman" w:hAnsi="Times New Roman"/>
          <w:sz w:val="24"/>
        </w:rPr>
        <w:footnoteReference w:id="32"/>
      </w:r>
    </w:p>
    <w:p w14:paraId="5E56ED6C" w14:textId="45E14D4F" w:rsidR="005C4203" w:rsidRPr="00950741" w:rsidRDefault="00E9508D" w:rsidP="00950741">
      <w:pPr>
        <w:pStyle w:val="leftright"/>
        <w:spacing w:before="0" w:after="260" w:line="280" w:lineRule="exact"/>
        <w:ind w:right="0"/>
        <w:jc w:val="both"/>
        <w:rPr>
          <w:rFonts w:ascii="Times New Roman" w:hAnsi="Times New Roman"/>
        </w:rPr>
      </w:pPr>
      <w:r w:rsidRPr="00950741">
        <w:rPr>
          <w:rFonts w:ascii="Times New Roman" w:hAnsi="Times New Roman"/>
        </w:rPr>
        <w:t>"</w:t>
      </w:r>
      <w:proofErr w:type="gramStart"/>
      <w:r w:rsidR="0072494A" w:rsidRPr="00950741">
        <w:rPr>
          <w:rFonts w:ascii="Times New Roman" w:hAnsi="Times New Roman"/>
        </w:rPr>
        <w:t>the</w:t>
      </w:r>
      <w:proofErr w:type="gramEnd"/>
      <w:r w:rsidR="0072494A" w:rsidRPr="00950741">
        <w:rPr>
          <w:rFonts w:ascii="Times New Roman" w:hAnsi="Times New Roman"/>
        </w:rPr>
        <w:t xml:space="preserve"> Court of Appeal was correct to conclude that the claim for the costs of discharging sound and damaged cargo, and of decontaminating the cargo, was limitable under </w:t>
      </w:r>
      <w:r w:rsidR="00A53FAB" w:rsidRPr="00950741">
        <w:rPr>
          <w:rFonts w:ascii="Times New Roman" w:hAnsi="Times New Roman"/>
        </w:rPr>
        <w:t>[Art </w:t>
      </w:r>
      <w:r w:rsidR="0072494A" w:rsidRPr="00950741">
        <w:rPr>
          <w:rFonts w:ascii="Times New Roman" w:hAnsi="Times New Roman"/>
        </w:rPr>
        <w:t>2</w:t>
      </w:r>
      <w:r w:rsidR="00A53FAB" w:rsidRPr="00950741">
        <w:rPr>
          <w:rFonts w:ascii="Times New Roman" w:hAnsi="Times New Roman"/>
        </w:rPr>
        <w:t>(</w:t>
      </w:r>
      <w:r w:rsidR="0072494A" w:rsidRPr="00950741">
        <w:rPr>
          <w:rFonts w:ascii="Times New Roman" w:hAnsi="Times New Roman"/>
        </w:rPr>
        <w:t>1</w:t>
      </w:r>
      <w:r w:rsidR="00A53FAB" w:rsidRPr="00950741">
        <w:rPr>
          <w:rFonts w:ascii="Times New Roman" w:hAnsi="Times New Roman"/>
        </w:rPr>
        <w:t>)(</w:t>
      </w:r>
      <w:r w:rsidR="0072494A" w:rsidRPr="00950741">
        <w:rPr>
          <w:rFonts w:ascii="Times New Roman" w:hAnsi="Times New Roman"/>
        </w:rPr>
        <w:t>e</w:t>
      </w:r>
      <w:r w:rsidR="00A53FAB" w:rsidRPr="00950741">
        <w:rPr>
          <w:rFonts w:ascii="Times New Roman" w:hAnsi="Times New Roman"/>
        </w:rPr>
        <w:t>)]</w:t>
      </w:r>
      <w:r w:rsidR="0072494A" w:rsidRPr="00950741">
        <w:rPr>
          <w:rFonts w:ascii="Times New Roman" w:hAnsi="Times New Roman"/>
        </w:rPr>
        <w:t xml:space="preserve">. The fact that the claim may be consequential upon damage to the Vessel does not preclude reliance on the right to limit in respect of claims which fall within the terms of any of the sub-paragraphs of </w:t>
      </w:r>
      <w:r w:rsidR="00A53FAB" w:rsidRPr="00950741">
        <w:rPr>
          <w:rFonts w:ascii="Times New Roman" w:hAnsi="Times New Roman"/>
        </w:rPr>
        <w:t>[Art 2]</w:t>
      </w:r>
      <w:r w:rsidR="0072494A" w:rsidRPr="00950741">
        <w:rPr>
          <w:rFonts w:ascii="Times New Roman" w:hAnsi="Times New Roman"/>
        </w:rPr>
        <w:t xml:space="preserve"> other than </w:t>
      </w:r>
      <w:r w:rsidR="00A53FAB" w:rsidRPr="00950741">
        <w:rPr>
          <w:rFonts w:ascii="Times New Roman" w:hAnsi="Times New Roman"/>
        </w:rPr>
        <w:t>[Art 2(1)(a)]</w:t>
      </w:r>
      <w:r w:rsidR="0072494A" w:rsidRPr="00950741">
        <w:rPr>
          <w:rFonts w:ascii="Times New Roman" w:hAnsi="Times New Roman"/>
        </w:rPr>
        <w:t>.</w:t>
      </w:r>
    </w:p>
    <w:p w14:paraId="5895B607" w14:textId="77777777" w:rsidR="00950741" w:rsidRDefault="00977CCB" w:rsidP="00950741">
      <w:pPr>
        <w:pStyle w:val="leftright"/>
        <w:spacing w:before="0" w:after="260" w:line="280" w:lineRule="exact"/>
        <w:ind w:right="0"/>
        <w:jc w:val="both"/>
        <w:rPr>
          <w:rFonts w:ascii="Times New Roman" w:hAnsi="Times New Roman"/>
        </w:rPr>
      </w:pPr>
      <w:r w:rsidRPr="00950741">
        <w:rPr>
          <w:rFonts w:ascii="Times New Roman" w:hAnsi="Times New Roman"/>
        </w:rPr>
        <w:tab/>
      </w:r>
      <w:r w:rsidR="00A17C09" w:rsidRPr="00950741">
        <w:rPr>
          <w:rFonts w:ascii="Times New Roman" w:hAnsi="Times New Roman"/>
        </w:rPr>
        <w:t xml:space="preserve">This conclusion also means that the fact that the claim can be characterised as a single claim for damage to the Vessel does not preclude parts of that claim being subject to limitation because they fall within one or more of the </w:t>
      </w:r>
      <w:r w:rsidR="00A53FAB" w:rsidRPr="00950741">
        <w:rPr>
          <w:rFonts w:ascii="Times New Roman" w:hAnsi="Times New Roman"/>
        </w:rPr>
        <w:t>[Art 2]</w:t>
      </w:r>
      <w:r w:rsidR="00A17C09" w:rsidRPr="00950741">
        <w:rPr>
          <w:rFonts w:ascii="Times New Roman" w:hAnsi="Times New Roman"/>
        </w:rPr>
        <w:t xml:space="preserve"> paragraphs other than </w:t>
      </w:r>
      <w:r w:rsidR="00A53FAB" w:rsidRPr="00950741">
        <w:rPr>
          <w:rFonts w:ascii="Times New Roman" w:hAnsi="Times New Roman"/>
        </w:rPr>
        <w:t>[Art 2(1)(a)]</w:t>
      </w:r>
      <w:r w:rsidR="00A17C09" w:rsidRPr="00950741">
        <w:rPr>
          <w:rFonts w:ascii="Times New Roman" w:hAnsi="Times New Roman"/>
        </w:rPr>
        <w:t>."</w:t>
      </w:r>
    </w:p>
    <w:p w14:paraId="740E7D09" w14:textId="2FB547F1" w:rsidR="007037DB" w:rsidRPr="00950741" w:rsidRDefault="002E46A0" w:rsidP="00950741">
      <w:pPr>
        <w:pStyle w:val="HeadingL2"/>
        <w:spacing w:after="260" w:line="280" w:lineRule="exact"/>
        <w:ind w:right="0"/>
        <w:jc w:val="both"/>
        <w:rPr>
          <w:rFonts w:ascii="Times New Roman" w:hAnsi="Times New Roman"/>
        </w:rPr>
      </w:pPr>
      <w:r w:rsidRPr="00950741">
        <w:rPr>
          <w:rFonts w:ascii="Times New Roman" w:hAnsi="Times New Roman"/>
        </w:rPr>
        <w:t>Consideration</w:t>
      </w:r>
      <w:r w:rsidR="00F13C10" w:rsidRPr="00950741">
        <w:rPr>
          <w:rFonts w:ascii="Times New Roman" w:hAnsi="Times New Roman"/>
        </w:rPr>
        <w:t xml:space="preserve"> of </w:t>
      </w:r>
      <w:r w:rsidR="00FC54E3" w:rsidRPr="00950741">
        <w:rPr>
          <w:rFonts w:ascii="Times New Roman" w:hAnsi="Times New Roman"/>
        </w:rPr>
        <w:t>T</w:t>
      </w:r>
      <w:r w:rsidR="00F13C10" w:rsidRPr="00950741">
        <w:rPr>
          <w:rFonts w:ascii="Times New Roman" w:hAnsi="Times New Roman"/>
        </w:rPr>
        <w:t>he Flaminia</w:t>
      </w:r>
    </w:p>
    <w:p w14:paraId="01EAFB9B" w14:textId="7135A596" w:rsidR="002E46A0" w:rsidRPr="00950741" w:rsidRDefault="002E46A0"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While both parties stressed those parts of the reasoning in </w:t>
      </w:r>
      <w:r w:rsidRPr="00950741">
        <w:rPr>
          <w:rFonts w:ascii="Times New Roman" w:hAnsi="Times New Roman"/>
          <w:i/>
          <w:iCs/>
        </w:rPr>
        <w:t>The Flaminia</w:t>
      </w:r>
      <w:r w:rsidRPr="00950741">
        <w:rPr>
          <w:rFonts w:ascii="Times New Roman" w:hAnsi="Times New Roman"/>
        </w:rPr>
        <w:t xml:space="preserve"> on which they </w:t>
      </w:r>
      <w:r w:rsidR="000F2F6B" w:rsidRPr="00950741">
        <w:rPr>
          <w:rFonts w:ascii="Times New Roman" w:hAnsi="Times New Roman"/>
        </w:rPr>
        <w:t>particularly</w:t>
      </w:r>
      <w:r w:rsidRPr="00950741">
        <w:rPr>
          <w:rFonts w:ascii="Times New Roman" w:hAnsi="Times New Roman"/>
        </w:rPr>
        <w:t xml:space="preserve"> wished to rely, </w:t>
      </w:r>
      <w:r w:rsidR="000F2F6B" w:rsidRPr="00950741">
        <w:rPr>
          <w:rFonts w:ascii="Times New Roman" w:hAnsi="Times New Roman"/>
        </w:rPr>
        <w:t xml:space="preserve">the importance of the reasoning in that case is that it properly distinguishes between </w:t>
      </w:r>
      <w:r w:rsidR="00CA51D9" w:rsidRPr="00950741">
        <w:rPr>
          <w:rFonts w:ascii="Times New Roman" w:hAnsi="Times New Roman"/>
        </w:rPr>
        <w:t xml:space="preserve">the </w:t>
      </w:r>
      <w:r w:rsidR="000F2F6B" w:rsidRPr="00950741">
        <w:rPr>
          <w:rFonts w:ascii="Times New Roman" w:hAnsi="Times New Roman"/>
        </w:rPr>
        <w:t xml:space="preserve">orthodoxy </w:t>
      </w:r>
      <w:r w:rsidR="009255BD" w:rsidRPr="00950741">
        <w:rPr>
          <w:rFonts w:ascii="Times New Roman" w:hAnsi="Times New Roman"/>
        </w:rPr>
        <w:t xml:space="preserve">that limitation provisions in maritime treaties </w:t>
      </w:r>
      <w:r w:rsidR="000F6B61" w:rsidRPr="00950741">
        <w:rPr>
          <w:rFonts w:ascii="Times New Roman" w:hAnsi="Times New Roman"/>
        </w:rPr>
        <w:t xml:space="preserve">such </w:t>
      </w:r>
      <w:r w:rsidR="009255BD" w:rsidRPr="00950741">
        <w:rPr>
          <w:rFonts w:ascii="Times New Roman" w:hAnsi="Times New Roman"/>
        </w:rPr>
        <w:t>as the 1976</w:t>
      </w:r>
      <w:r w:rsidR="0020770A" w:rsidRPr="00950741">
        <w:rPr>
          <w:rFonts w:ascii="Times New Roman" w:hAnsi="Times New Roman"/>
        </w:rPr>
        <w:t> </w:t>
      </w:r>
      <w:r w:rsidR="009255BD" w:rsidRPr="00950741">
        <w:rPr>
          <w:rFonts w:ascii="Times New Roman" w:hAnsi="Times New Roman"/>
        </w:rPr>
        <w:t>Convention should be construed to apply to "all cases which can reasonably be brought within their language"</w:t>
      </w:r>
      <w:r w:rsidR="00845277" w:rsidRPr="00950741">
        <w:rPr>
          <w:rStyle w:val="FootnoteReference"/>
          <w:rFonts w:ascii="Times New Roman" w:hAnsi="Times New Roman"/>
          <w:sz w:val="24"/>
        </w:rPr>
        <w:footnoteReference w:id="33"/>
      </w:r>
      <w:r w:rsidR="00EC49D0" w:rsidRPr="00950741">
        <w:rPr>
          <w:rFonts w:ascii="Times New Roman" w:hAnsi="Times New Roman"/>
        </w:rPr>
        <w:t xml:space="preserve"> and </w:t>
      </w:r>
      <w:r w:rsidR="00C35CBD" w:rsidRPr="00950741">
        <w:rPr>
          <w:rFonts w:ascii="Times New Roman" w:hAnsi="Times New Roman"/>
        </w:rPr>
        <w:t xml:space="preserve">the </w:t>
      </w:r>
      <w:r w:rsidR="00EC49D0" w:rsidRPr="00950741">
        <w:rPr>
          <w:rFonts w:ascii="Times New Roman" w:hAnsi="Times New Roman"/>
        </w:rPr>
        <w:t xml:space="preserve">unorthodoxy that </w:t>
      </w:r>
      <w:r w:rsidR="008564E0" w:rsidRPr="00950741">
        <w:rPr>
          <w:rFonts w:ascii="Times New Roman" w:hAnsi="Times New Roman"/>
        </w:rPr>
        <w:t>effect must be given to the text of the 1976</w:t>
      </w:r>
      <w:r w:rsidR="00544459" w:rsidRPr="00950741">
        <w:rPr>
          <w:rFonts w:ascii="Times New Roman" w:hAnsi="Times New Roman"/>
        </w:rPr>
        <w:t> </w:t>
      </w:r>
      <w:r w:rsidR="00371AF4" w:rsidRPr="00950741">
        <w:rPr>
          <w:rFonts w:ascii="Times New Roman" w:hAnsi="Times New Roman"/>
        </w:rPr>
        <w:t>Convention</w:t>
      </w:r>
      <w:r w:rsidR="008564E0" w:rsidRPr="00950741">
        <w:rPr>
          <w:rFonts w:ascii="Times New Roman" w:hAnsi="Times New Roman"/>
        </w:rPr>
        <w:t xml:space="preserve"> so as to </w:t>
      </w:r>
      <w:r w:rsidR="00371AF4" w:rsidRPr="00950741">
        <w:rPr>
          <w:rFonts w:ascii="Times New Roman" w:hAnsi="Times New Roman"/>
        </w:rPr>
        <w:t>give effect</w:t>
      </w:r>
      <w:r w:rsidR="008564E0" w:rsidRPr="00950741">
        <w:rPr>
          <w:rFonts w:ascii="Times New Roman" w:hAnsi="Times New Roman"/>
        </w:rPr>
        <w:t xml:space="preserve"> </w:t>
      </w:r>
      <w:r w:rsidR="00E30610" w:rsidRPr="00950741">
        <w:rPr>
          <w:rFonts w:ascii="Times New Roman" w:hAnsi="Times New Roman"/>
        </w:rPr>
        <w:t xml:space="preserve">to </w:t>
      </w:r>
      <w:r w:rsidR="008564E0" w:rsidRPr="00950741">
        <w:rPr>
          <w:rFonts w:ascii="Times New Roman" w:hAnsi="Times New Roman"/>
        </w:rPr>
        <w:t xml:space="preserve">its purported </w:t>
      </w:r>
      <w:r w:rsidR="00371AF4" w:rsidRPr="00950741">
        <w:rPr>
          <w:rFonts w:ascii="Times New Roman" w:hAnsi="Times New Roman"/>
        </w:rPr>
        <w:t>purpose to "expand upon and protect the rights of limitation"</w:t>
      </w:r>
      <w:r w:rsidR="00696C39" w:rsidRPr="00950741">
        <w:rPr>
          <w:rFonts w:ascii="Times New Roman" w:hAnsi="Times New Roman"/>
        </w:rPr>
        <w:t>.</w:t>
      </w:r>
      <w:r w:rsidR="00371AF4" w:rsidRPr="00950741">
        <w:rPr>
          <w:rStyle w:val="FootnoteReference"/>
          <w:rFonts w:ascii="Times New Roman" w:hAnsi="Times New Roman"/>
          <w:sz w:val="24"/>
        </w:rPr>
        <w:footnoteReference w:id="34"/>
      </w:r>
      <w:r w:rsidR="002C268C" w:rsidRPr="00950741">
        <w:rPr>
          <w:rFonts w:ascii="Times New Roman" w:hAnsi="Times New Roman"/>
        </w:rPr>
        <w:t xml:space="preserve"> </w:t>
      </w:r>
      <w:r w:rsidR="00E30610" w:rsidRPr="00950741">
        <w:rPr>
          <w:rFonts w:ascii="Times New Roman" w:hAnsi="Times New Roman"/>
        </w:rPr>
        <w:t>In other words, interpretative orthodoxy insists that t</w:t>
      </w:r>
      <w:r w:rsidR="001454F3" w:rsidRPr="00950741">
        <w:rPr>
          <w:rFonts w:ascii="Times New Roman" w:hAnsi="Times New Roman"/>
        </w:rPr>
        <w:t>he extent to which the 1976</w:t>
      </w:r>
      <w:r w:rsidR="00544459" w:rsidRPr="00950741">
        <w:rPr>
          <w:rFonts w:ascii="Times New Roman" w:hAnsi="Times New Roman"/>
        </w:rPr>
        <w:t> </w:t>
      </w:r>
      <w:r w:rsidR="001454F3" w:rsidRPr="00950741">
        <w:rPr>
          <w:rFonts w:ascii="Times New Roman" w:hAnsi="Times New Roman"/>
        </w:rPr>
        <w:t xml:space="preserve">Convention expanded </w:t>
      </w:r>
      <w:r w:rsidR="007241B2" w:rsidRPr="00950741">
        <w:rPr>
          <w:rFonts w:ascii="Times New Roman" w:hAnsi="Times New Roman"/>
        </w:rPr>
        <w:t>up</w:t>
      </w:r>
      <w:r w:rsidR="001454F3" w:rsidRPr="00950741">
        <w:rPr>
          <w:rFonts w:ascii="Times New Roman" w:hAnsi="Times New Roman"/>
        </w:rPr>
        <w:t>on and protected rights of limitation is embodied in its text</w:t>
      </w:r>
      <w:r w:rsidR="005027E4" w:rsidRPr="00950741">
        <w:rPr>
          <w:rFonts w:ascii="Times New Roman" w:hAnsi="Times New Roman"/>
        </w:rPr>
        <w:t>, in respect of which</w:t>
      </w:r>
      <w:r w:rsidR="00FE2FE0" w:rsidRPr="00950741">
        <w:rPr>
          <w:rFonts w:ascii="Times New Roman" w:hAnsi="Times New Roman"/>
        </w:rPr>
        <w:t>,</w:t>
      </w:r>
      <w:r w:rsidR="00815F6C" w:rsidRPr="00950741">
        <w:rPr>
          <w:rFonts w:ascii="Times New Roman" w:hAnsi="Times New Roman"/>
        </w:rPr>
        <w:t xml:space="preserve"> </w:t>
      </w:r>
      <w:r w:rsidR="001C51D0" w:rsidRPr="00950741">
        <w:rPr>
          <w:rFonts w:ascii="Times New Roman" w:hAnsi="Times New Roman"/>
        </w:rPr>
        <w:t xml:space="preserve">first, </w:t>
      </w:r>
      <w:r w:rsidR="00BB0A28" w:rsidRPr="00950741">
        <w:rPr>
          <w:rFonts w:ascii="Times New Roman" w:hAnsi="Times New Roman"/>
        </w:rPr>
        <w:t>the text "is what it is"</w:t>
      </w:r>
      <w:r w:rsidR="00BB0A28" w:rsidRPr="00950741">
        <w:rPr>
          <w:rStyle w:val="FootnoteReference"/>
          <w:rFonts w:ascii="Times New Roman" w:hAnsi="Times New Roman"/>
          <w:sz w:val="24"/>
        </w:rPr>
        <w:footnoteReference w:id="35"/>
      </w:r>
      <w:r w:rsidR="00FC49B1" w:rsidRPr="00950741">
        <w:rPr>
          <w:rFonts w:ascii="Times New Roman" w:hAnsi="Times New Roman"/>
        </w:rPr>
        <w:t xml:space="preserve"> and, second, the </w:t>
      </w:r>
      <w:r w:rsidR="00FE2FE0" w:rsidRPr="00950741">
        <w:rPr>
          <w:rFonts w:ascii="Times New Roman" w:hAnsi="Times New Roman"/>
        </w:rPr>
        <w:t>text as</w:t>
      </w:r>
      <w:r w:rsidR="00FC49B1" w:rsidRPr="00950741">
        <w:rPr>
          <w:rFonts w:ascii="Times New Roman" w:hAnsi="Times New Roman"/>
        </w:rPr>
        <w:t xml:space="preserve"> it is </w:t>
      </w:r>
      <w:r w:rsidR="000B6AD7" w:rsidRPr="00950741">
        <w:rPr>
          <w:rFonts w:ascii="Times New Roman" w:hAnsi="Times New Roman"/>
        </w:rPr>
        <w:t xml:space="preserve">must </w:t>
      </w:r>
      <w:r w:rsidR="00FC49B1" w:rsidRPr="00950741">
        <w:rPr>
          <w:rFonts w:ascii="Times New Roman" w:hAnsi="Times New Roman"/>
        </w:rPr>
        <w:t xml:space="preserve">be given its ordinary meaning in context. </w:t>
      </w:r>
    </w:p>
    <w:p w14:paraId="75673850" w14:textId="55B8AE62" w:rsidR="002F4B74" w:rsidRPr="00950741" w:rsidRDefault="002F4B74"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The reasoning in </w:t>
      </w:r>
      <w:r w:rsidRPr="00950741">
        <w:rPr>
          <w:rFonts w:ascii="Times New Roman" w:hAnsi="Times New Roman"/>
          <w:i/>
          <w:iCs/>
        </w:rPr>
        <w:t>The Flaminia</w:t>
      </w:r>
      <w:r w:rsidRPr="00950741">
        <w:rPr>
          <w:rFonts w:ascii="Times New Roman" w:hAnsi="Times New Roman"/>
        </w:rPr>
        <w:t xml:space="preserve"> is otherwise important because it </w:t>
      </w:r>
      <w:r w:rsidR="00420312" w:rsidRPr="00950741">
        <w:rPr>
          <w:rFonts w:ascii="Times New Roman" w:hAnsi="Times New Roman"/>
        </w:rPr>
        <w:t xml:space="preserve">confirms that </w:t>
      </w:r>
      <w:r w:rsidR="008303A1" w:rsidRPr="00950741">
        <w:rPr>
          <w:rFonts w:ascii="Times New Roman" w:hAnsi="Times New Roman"/>
        </w:rPr>
        <w:t xml:space="preserve">a claim may fall within one or more </w:t>
      </w:r>
      <w:r w:rsidR="00EA3384" w:rsidRPr="00950741">
        <w:rPr>
          <w:rFonts w:ascii="Times New Roman" w:hAnsi="Times New Roman"/>
        </w:rPr>
        <w:t>sub-</w:t>
      </w:r>
      <w:r w:rsidR="008303A1" w:rsidRPr="00950741">
        <w:rPr>
          <w:rFonts w:ascii="Times New Roman" w:hAnsi="Times New Roman"/>
        </w:rPr>
        <w:t>paragraphs of Art</w:t>
      </w:r>
      <w:r w:rsidR="00544459" w:rsidRPr="00950741">
        <w:rPr>
          <w:rFonts w:ascii="Times New Roman" w:hAnsi="Times New Roman"/>
        </w:rPr>
        <w:t> </w:t>
      </w:r>
      <w:r w:rsidR="008303A1" w:rsidRPr="00950741">
        <w:rPr>
          <w:rFonts w:ascii="Times New Roman" w:hAnsi="Times New Roman"/>
        </w:rPr>
        <w:t>2</w:t>
      </w:r>
      <w:r w:rsidR="003B4A68" w:rsidRPr="00950741">
        <w:rPr>
          <w:rFonts w:ascii="Times New Roman" w:hAnsi="Times New Roman"/>
        </w:rPr>
        <w:t>(</w:t>
      </w:r>
      <w:r w:rsidR="008303A1" w:rsidRPr="00950741">
        <w:rPr>
          <w:rFonts w:ascii="Times New Roman" w:hAnsi="Times New Roman"/>
        </w:rPr>
        <w:t>1</w:t>
      </w:r>
      <w:r w:rsidR="003B4A68" w:rsidRPr="00950741">
        <w:rPr>
          <w:rFonts w:ascii="Times New Roman" w:hAnsi="Times New Roman"/>
        </w:rPr>
        <w:t>)</w:t>
      </w:r>
      <w:r w:rsidR="00245ABA" w:rsidRPr="00950741">
        <w:rPr>
          <w:rFonts w:ascii="Times New Roman" w:hAnsi="Times New Roman"/>
        </w:rPr>
        <w:t xml:space="preserve">. </w:t>
      </w:r>
      <w:r w:rsidR="002E5BDC" w:rsidRPr="00950741">
        <w:rPr>
          <w:rFonts w:ascii="Times New Roman" w:hAnsi="Times New Roman"/>
          <w:i/>
          <w:iCs/>
        </w:rPr>
        <w:t>The Flaminia</w:t>
      </w:r>
      <w:r w:rsidR="002E5BDC" w:rsidRPr="00950741">
        <w:rPr>
          <w:rFonts w:ascii="Times New Roman" w:hAnsi="Times New Roman"/>
        </w:rPr>
        <w:t xml:space="preserve"> </w:t>
      </w:r>
      <w:r w:rsidR="00245ABA" w:rsidRPr="00950741">
        <w:rPr>
          <w:rFonts w:ascii="Times New Roman" w:hAnsi="Times New Roman"/>
        </w:rPr>
        <w:t>also decided</w:t>
      </w:r>
      <w:r w:rsidR="006D17C0" w:rsidRPr="00950741">
        <w:rPr>
          <w:rFonts w:ascii="Times New Roman" w:hAnsi="Times New Roman"/>
        </w:rPr>
        <w:t xml:space="preserve"> </w:t>
      </w:r>
      <w:r w:rsidR="00245ABA" w:rsidRPr="00950741">
        <w:rPr>
          <w:rFonts w:ascii="Times New Roman" w:hAnsi="Times New Roman"/>
        </w:rPr>
        <w:t xml:space="preserve">that </w:t>
      </w:r>
      <w:r w:rsidR="003956EE" w:rsidRPr="00950741">
        <w:rPr>
          <w:rFonts w:ascii="Times New Roman" w:hAnsi="Times New Roman"/>
        </w:rPr>
        <w:t xml:space="preserve">to the extent that a claim may be </w:t>
      </w:r>
      <w:r w:rsidR="00AA5779" w:rsidRPr="00950741">
        <w:rPr>
          <w:rFonts w:ascii="Times New Roman" w:hAnsi="Times New Roman"/>
        </w:rPr>
        <w:t>outside of the scope of Art</w:t>
      </w:r>
      <w:r w:rsidR="00544459" w:rsidRPr="00950741">
        <w:rPr>
          <w:rFonts w:ascii="Times New Roman" w:hAnsi="Times New Roman"/>
        </w:rPr>
        <w:t> </w:t>
      </w:r>
      <w:r w:rsidR="00AA5779" w:rsidRPr="00950741">
        <w:rPr>
          <w:rFonts w:ascii="Times New Roman" w:hAnsi="Times New Roman"/>
        </w:rPr>
        <w:t>2</w:t>
      </w:r>
      <w:r w:rsidR="003B4A68" w:rsidRPr="00950741">
        <w:rPr>
          <w:rFonts w:ascii="Times New Roman" w:hAnsi="Times New Roman"/>
        </w:rPr>
        <w:t>(</w:t>
      </w:r>
      <w:r w:rsidR="00AA5779" w:rsidRPr="00950741">
        <w:rPr>
          <w:rFonts w:ascii="Times New Roman" w:hAnsi="Times New Roman"/>
        </w:rPr>
        <w:t>1</w:t>
      </w:r>
      <w:r w:rsidR="003B4A68" w:rsidRPr="00950741">
        <w:rPr>
          <w:rFonts w:ascii="Times New Roman" w:hAnsi="Times New Roman"/>
        </w:rPr>
        <w:t>)</w:t>
      </w:r>
      <w:r w:rsidR="00AA5779" w:rsidRPr="00950741">
        <w:rPr>
          <w:rFonts w:ascii="Times New Roman" w:hAnsi="Times New Roman"/>
        </w:rPr>
        <w:t xml:space="preserve">(a) because the claim is consequential on </w:t>
      </w:r>
      <w:r w:rsidR="00D749F4" w:rsidRPr="00950741">
        <w:rPr>
          <w:rFonts w:ascii="Times New Roman" w:hAnsi="Times New Roman"/>
        </w:rPr>
        <w:t>damage to</w:t>
      </w:r>
      <w:r w:rsidR="001B65A1" w:rsidRPr="00950741">
        <w:rPr>
          <w:rFonts w:ascii="Times New Roman" w:hAnsi="Times New Roman"/>
        </w:rPr>
        <w:t xml:space="preserve"> the limiting ship</w:t>
      </w:r>
      <w:r w:rsidR="00843777" w:rsidRPr="00950741">
        <w:rPr>
          <w:rFonts w:ascii="Times New Roman" w:hAnsi="Times New Roman"/>
        </w:rPr>
        <w:t>,</w:t>
      </w:r>
      <w:r w:rsidR="006D4955" w:rsidRPr="00950741">
        <w:rPr>
          <w:rFonts w:ascii="Times New Roman" w:hAnsi="Times New Roman"/>
        </w:rPr>
        <w:t xml:space="preserve"> </w:t>
      </w:r>
      <w:r w:rsidR="00CE538A" w:rsidRPr="00950741">
        <w:rPr>
          <w:rFonts w:ascii="Times New Roman" w:hAnsi="Times New Roman"/>
        </w:rPr>
        <w:t xml:space="preserve">that </w:t>
      </w:r>
      <w:r w:rsidR="00843777" w:rsidRPr="00950741">
        <w:rPr>
          <w:rFonts w:ascii="Times New Roman" w:hAnsi="Times New Roman"/>
        </w:rPr>
        <w:t xml:space="preserve">does </w:t>
      </w:r>
      <w:r w:rsidR="006D4955" w:rsidRPr="00950741">
        <w:rPr>
          <w:rFonts w:ascii="Times New Roman" w:hAnsi="Times New Roman"/>
        </w:rPr>
        <w:t xml:space="preserve">not mean that the claim </w:t>
      </w:r>
      <w:r w:rsidR="007D1098" w:rsidRPr="00950741">
        <w:rPr>
          <w:rFonts w:ascii="Times New Roman" w:hAnsi="Times New Roman"/>
        </w:rPr>
        <w:t xml:space="preserve">for </w:t>
      </w:r>
      <w:r w:rsidR="00CE538A" w:rsidRPr="00950741">
        <w:rPr>
          <w:rFonts w:ascii="Times New Roman" w:hAnsi="Times New Roman"/>
        </w:rPr>
        <w:t>the costs of discharging sound and damaged cargo</w:t>
      </w:r>
      <w:r w:rsidR="009831F5" w:rsidRPr="00950741">
        <w:rPr>
          <w:rFonts w:ascii="Times New Roman" w:hAnsi="Times New Roman"/>
        </w:rPr>
        <w:t>,</w:t>
      </w:r>
      <w:r w:rsidR="00CE538A" w:rsidRPr="00950741">
        <w:rPr>
          <w:rFonts w:ascii="Times New Roman" w:hAnsi="Times New Roman"/>
        </w:rPr>
        <w:t xml:space="preserve"> </w:t>
      </w:r>
      <w:r w:rsidR="00CE538A" w:rsidRPr="00950741">
        <w:rPr>
          <w:rFonts w:ascii="Times New Roman" w:hAnsi="Times New Roman"/>
        </w:rPr>
        <w:lastRenderedPageBreak/>
        <w:t>and of decontaminating the cargo</w:t>
      </w:r>
      <w:r w:rsidR="009831F5" w:rsidRPr="00950741">
        <w:rPr>
          <w:rFonts w:ascii="Times New Roman" w:hAnsi="Times New Roman"/>
        </w:rPr>
        <w:t>,</w:t>
      </w:r>
      <w:r w:rsidR="00CE538A" w:rsidRPr="00950741">
        <w:rPr>
          <w:rFonts w:ascii="Times New Roman" w:hAnsi="Times New Roman"/>
        </w:rPr>
        <w:t xml:space="preserve"> </w:t>
      </w:r>
      <w:r w:rsidR="002E5BDC" w:rsidRPr="00950741">
        <w:rPr>
          <w:rFonts w:ascii="Times New Roman" w:hAnsi="Times New Roman"/>
        </w:rPr>
        <w:t xml:space="preserve">is </w:t>
      </w:r>
      <w:r w:rsidR="00CE538A" w:rsidRPr="00950741">
        <w:rPr>
          <w:rFonts w:ascii="Times New Roman" w:hAnsi="Times New Roman"/>
        </w:rPr>
        <w:t>not within the scope of Art</w:t>
      </w:r>
      <w:r w:rsidR="00544459" w:rsidRPr="00950741">
        <w:rPr>
          <w:rFonts w:ascii="Times New Roman" w:hAnsi="Times New Roman"/>
        </w:rPr>
        <w:t> </w:t>
      </w:r>
      <w:r w:rsidR="00CE538A" w:rsidRPr="00950741">
        <w:rPr>
          <w:rFonts w:ascii="Times New Roman" w:hAnsi="Times New Roman"/>
        </w:rPr>
        <w:t>2</w:t>
      </w:r>
      <w:r w:rsidR="003B4A68" w:rsidRPr="00950741">
        <w:rPr>
          <w:rFonts w:ascii="Times New Roman" w:hAnsi="Times New Roman"/>
        </w:rPr>
        <w:t>(</w:t>
      </w:r>
      <w:r w:rsidR="00CE538A" w:rsidRPr="00950741">
        <w:rPr>
          <w:rFonts w:ascii="Times New Roman" w:hAnsi="Times New Roman"/>
        </w:rPr>
        <w:t>1</w:t>
      </w:r>
      <w:r w:rsidR="003B4A68" w:rsidRPr="00950741">
        <w:rPr>
          <w:rFonts w:ascii="Times New Roman" w:hAnsi="Times New Roman"/>
        </w:rPr>
        <w:t>)</w:t>
      </w:r>
      <w:r w:rsidR="00CE538A" w:rsidRPr="00950741">
        <w:rPr>
          <w:rFonts w:ascii="Times New Roman" w:hAnsi="Times New Roman"/>
        </w:rPr>
        <w:t xml:space="preserve">(e) </w:t>
      </w:r>
      <w:r w:rsidR="00741D12" w:rsidRPr="00950741">
        <w:rPr>
          <w:rFonts w:ascii="Times New Roman" w:hAnsi="Times New Roman"/>
        </w:rPr>
        <w:t xml:space="preserve">as applicable in the United Kingdom </w:t>
      </w:r>
      <w:r w:rsidR="00CE538A" w:rsidRPr="00950741">
        <w:rPr>
          <w:rFonts w:ascii="Times New Roman" w:hAnsi="Times New Roman"/>
        </w:rPr>
        <w:t xml:space="preserve">which refers to "claims in respect of the removal, destruction or the rendering harmless of the cargo of the ship", </w:t>
      </w:r>
      <w:r w:rsidR="002E5BDC" w:rsidRPr="00950741">
        <w:rPr>
          <w:rFonts w:ascii="Times New Roman" w:hAnsi="Times New Roman"/>
        </w:rPr>
        <w:t xml:space="preserve">including </w:t>
      </w:r>
      <w:r w:rsidR="00CE538A" w:rsidRPr="00950741">
        <w:rPr>
          <w:rFonts w:ascii="Times New Roman" w:hAnsi="Times New Roman"/>
        </w:rPr>
        <w:t xml:space="preserve">the limiting ship. </w:t>
      </w:r>
    </w:p>
    <w:p w14:paraId="34723AD9" w14:textId="5D219DC1" w:rsidR="00B01887" w:rsidRPr="00950741" w:rsidRDefault="00B01887"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441FBE" w:rsidRPr="00950741">
        <w:rPr>
          <w:rFonts w:ascii="Times New Roman" w:hAnsi="Times New Roman"/>
        </w:rPr>
        <w:t>Lord</w:t>
      </w:r>
      <w:r w:rsidR="00FF3A02" w:rsidRPr="00950741">
        <w:rPr>
          <w:rFonts w:ascii="Times New Roman" w:hAnsi="Times New Roman"/>
        </w:rPr>
        <w:t> </w:t>
      </w:r>
      <w:r w:rsidR="00441FBE" w:rsidRPr="00950741">
        <w:rPr>
          <w:rFonts w:ascii="Times New Roman" w:hAnsi="Times New Roman"/>
        </w:rPr>
        <w:t>Hamblen's observation that "</w:t>
      </w:r>
      <w:r w:rsidR="00255051" w:rsidRPr="00950741">
        <w:rPr>
          <w:rFonts w:ascii="Times New Roman" w:hAnsi="Times New Roman"/>
        </w:rPr>
        <w:t>[Art </w:t>
      </w:r>
      <w:r w:rsidR="00441FBE" w:rsidRPr="00950741">
        <w:rPr>
          <w:rFonts w:ascii="Times New Roman" w:hAnsi="Times New Roman"/>
        </w:rPr>
        <w:t>2</w:t>
      </w:r>
      <w:r w:rsidR="00255051" w:rsidRPr="00950741">
        <w:rPr>
          <w:rFonts w:ascii="Times New Roman" w:hAnsi="Times New Roman"/>
        </w:rPr>
        <w:t>(</w:t>
      </w:r>
      <w:r w:rsidR="00441FBE" w:rsidRPr="00950741">
        <w:rPr>
          <w:rFonts w:ascii="Times New Roman" w:hAnsi="Times New Roman"/>
        </w:rPr>
        <w:t>1</w:t>
      </w:r>
      <w:r w:rsidR="00255051" w:rsidRPr="00950741">
        <w:rPr>
          <w:rFonts w:ascii="Times New Roman" w:hAnsi="Times New Roman"/>
        </w:rPr>
        <w:t>)</w:t>
      </w:r>
      <w:r w:rsidR="00441FBE" w:rsidRPr="00950741">
        <w:rPr>
          <w:rFonts w:ascii="Times New Roman" w:hAnsi="Times New Roman"/>
        </w:rPr>
        <w:t>(d)</w:t>
      </w:r>
      <w:r w:rsidR="00255051" w:rsidRPr="00950741">
        <w:rPr>
          <w:rFonts w:ascii="Times New Roman" w:hAnsi="Times New Roman"/>
        </w:rPr>
        <w:t>]</w:t>
      </w:r>
      <w:r w:rsidR="00441FBE" w:rsidRPr="00950741">
        <w:rPr>
          <w:rFonts w:ascii="Times New Roman" w:hAnsi="Times New Roman"/>
        </w:rPr>
        <w:t xml:space="preserve"> ... makes wreck removal claims subject to limitation. If the wreck is the limiting </w:t>
      </w:r>
      <w:proofErr w:type="gramStart"/>
      <w:r w:rsidR="00441FBE" w:rsidRPr="00950741">
        <w:rPr>
          <w:rFonts w:ascii="Times New Roman" w:hAnsi="Times New Roman"/>
        </w:rPr>
        <w:t>ship</w:t>
      </w:r>
      <w:proofErr w:type="gramEnd"/>
      <w:r w:rsidR="00441FBE" w:rsidRPr="00950741">
        <w:rPr>
          <w:rFonts w:ascii="Times New Roman" w:hAnsi="Times New Roman"/>
        </w:rPr>
        <w:t xml:space="preserve"> then that claim will be a direct consequence of the damage to the ship</w:t>
      </w:r>
      <w:r w:rsidR="000712F4" w:rsidRPr="00950741">
        <w:rPr>
          <w:rFonts w:ascii="Times New Roman" w:hAnsi="Times New Roman"/>
        </w:rPr>
        <w:t>"</w:t>
      </w:r>
      <w:r w:rsidR="000712F4" w:rsidRPr="00950741">
        <w:rPr>
          <w:rStyle w:val="FootnoteReference"/>
          <w:rFonts w:ascii="Times New Roman" w:hAnsi="Times New Roman"/>
          <w:sz w:val="24"/>
        </w:rPr>
        <w:footnoteReference w:id="36"/>
      </w:r>
      <w:r w:rsidR="000712F4" w:rsidRPr="00950741">
        <w:rPr>
          <w:rFonts w:ascii="Times New Roman" w:hAnsi="Times New Roman"/>
        </w:rPr>
        <w:t xml:space="preserve"> </w:t>
      </w:r>
      <w:r w:rsidR="00CE1938" w:rsidRPr="00950741">
        <w:rPr>
          <w:rFonts w:ascii="Times New Roman" w:hAnsi="Times New Roman"/>
        </w:rPr>
        <w:t xml:space="preserve">exposes </w:t>
      </w:r>
      <w:r w:rsidR="00380756" w:rsidRPr="00950741">
        <w:rPr>
          <w:rFonts w:ascii="Times New Roman" w:hAnsi="Times New Roman"/>
        </w:rPr>
        <w:t xml:space="preserve">that if the claim is for </w:t>
      </w:r>
      <w:r w:rsidR="00A41EA5" w:rsidRPr="00950741">
        <w:rPr>
          <w:rFonts w:ascii="Times New Roman" w:hAnsi="Times New Roman"/>
        </w:rPr>
        <w:t xml:space="preserve">wreck removal </w:t>
      </w:r>
      <w:r w:rsidR="009B16F4" w:rsidRPr="00950741">
        <w:rPr>
          <w:rFonts w:ascii="Times New Roman" w:hAnsi="Times New Roman"/>
        </w:rPr>
        <w:t>of the limiting ship it will be within the scope of Art</w:t>
      </w:r>
      <w:r w:rsidR="00544459" w:rsidRPr="00950741">
        <w:rPr>
          <w:rFonts w:ascii="Times New Roman" w:hAnsi="Times New Roman"/>
        </w:rPr>
        <w:t> </w:t>
      </w:r>
      <w:r w:rsidR="009B16F4" w:rsidRPr="00950741">
        <w:rPr>
          <w:rFonts w:ascii="Times New Roman" w:hAnsi="Times New Roman"/>
        </w:rPr>
        <w:t>2</w:t>
      </w:r>
      <w:r w:rsidR="00AF63F6" w:rsidRPr="00950741">
        <w:rPr>
          <w:rFonts w:ascii="Times New Roman" w:hAnsi="Times New Roman"/>
        </w:rPr>
        <w:t>(</w:t>
      </w:r>
      <w:r w:rsidR="009B16F4" w:rsidRPr="00950741">
        <w:rPr>
          <w:rFonts w:ascii="Times New Roman" w:hAnsi="Times New Roman"/>
        </w:rPr>
        <w:t>1</w:t>
      </w:r>
      <w:r w:rsidR="00AF63F6" w:rsidRPr="00950741">
        <w:rPr>
          <w:rFonts w:ascii="Times New Roman" w:hAnsi="Times New Roman"/>
        </w:rPr>
        <w:t>)</w:t>
      </w:r>
      <w:r w:rsidR="009B16F4" w:rsidRPr="00950741">
        <w:rPr>
          <w:rFonts w:ascii="Times New Roman" w:hAnsi="Times New Roman"/>
        </w:rPr>
        <w:t>(d)</w:t>
      </w:r>
      <w:r w:rsidR="00DA338C" w:rsidRPr="00950741">
        <w:rPr>
          <w:rFonts w:ascii="Times New Roman" w:hAnsi="Times New Roman"/>
        </w:rPr>
        <w:t>.</w:t>
      </w:r>
      <w:r w:rsidR="009B16F4" w:rsidRPr="00950741">
        <w:rPr>
          <w:rFonts w:ascii="Times New Roman" w:hAnsi="Times New Roman"/>
        </w:rPr>
        <w:t xml:space="preserve"> </w:t>
      </w:r>
      <w:r w:rsidR="00A429D6" w:rsidRPr="00950741">
        <w:rPr>
          <w:rFonts w:ascii="Times New Roman" w:hAnsi="Times New Roman"/>
        </w:rPr>
        <w:t xml:space="preserve">This </w:t>
      </w:r>
      <w:r w:rsidR="00DA338C" w:rsidRPr="00950741">
        <w:rPr>
          <w:rFonts w:ascii="Times New Roman" w:hAnsi="Times New Roman"/>
        </w:rPr>
        <w:t>is because Art 2</w:t>
      </w:r>
      <w:r w:rsidR="00AF63F6" w:rsidRPr="00950741">
        <w:rPr>
          <w:rFonts w:ascii="Times New Roman" w:hAnsi="Times New Roman"/>
        </w:rPr>
        <w:t>(</w:t>
      </w:r>
      <w:r w:rsidR="00DA338C" w:rsidRPr="00950741">
        <w:rPr>
          <w:rFonts w:ascii="Times New Roman" w:hAnsi="Times New Roman"/>
        </w:rPr>
        <w:t>1</w:t>
      </w:r>
      <w:r w:rsidR="00AF63F6" w:rsidRPr="00950741">
        <w:rPr>
          <w:rFonts w:ascii="Times New Roman" w:hAnsi="Times New Roman"/>
        </w:rPr>
        <w:t>)</w:t>
      </w:r>
      <w:r w:rsidR="00DA338C" w:rsidRPr="00950741">
        <w:rPr>
          <w:rFonts w:ascii="Times New Roman" w:hAnsi="Times New Roman"/>
        </w:rPr>
        <w:t>(d)</w:t>
      </w:r>
      <w:r w:rsidR="00833596" w:rsidRPr="00950741">
        <w:rPr>
          <w:rFonts w:ascii="Times New Roman" w:hAnsi="Times New Roman"/>
        </w:rPr>
        <w:t xml:space="preserve"> refers simply to "</w:t>
      </w:r>
      <w:r w:rsidR="00833596" w:rsidRPr="00950741">
        <w:rPr>
          <w:rFonts w:ascii="Times New Roman" w:hAnsi="Times New Roman"/>
          <w:i/>
          <w:iCs/>
        </w:rPr>
        <w:t>a</w:t>
      </w:r>
      <w:r w:rsidR="00833596" w:rsidRPr="00950741">
        <w:rPr>
          <w:rFonts w:ascii="Times New Roman" w:hAnsi="Times New Roman"/>
        </w:rPr>
        <w:t xml:space="preserve"> ship which is sunk", the meaning of which must include the limiting ship</w:t>
      </w:r>
      <w:r w:rsidR="00AF63F6" w:rsidRPr="00950741">
        <w:rPr>
          <w:rFonts w:ascii="Times New Roman" w:hAnsi="Times New Roman"/>
        </w:rPr>
        <w:t>,</w:t>
      </w:r>
      <w:r w:rsidR="00833596" w:rsidRPr="00950741">
        <w:rPr>
          <w:rFonts w:ascii="Times New Roman" w:hAnsi="Times New Roman"/>
        </w:rPr>
        <w:t xml:space="preserve"> </w:t>
      </w:r>
      <w:r w:rsidR="009B16F4" w:rsidRPr="00950741">
        <w:rPr>
          <w:rFonts w:ascii="Times New Roman" w:hAnsi="Times New Roman"/>
        </w:rPr>
        <w:t xml:space="preserve">despite </w:t>
      </w:r>
      <w:r w:rsidR="00022E0F" w:rsidRPr="00950741">
        <w:rPr>
          <w:rFonts w:ascii="Times New Roman" w:hAnsi="Times New Roman"/>
        </w:rPr>
        <w:t xml:space="preserve">that claim </w:t>
      </w:r>
      <w:r w:rsidR="009B16F4" w:rsidRPr="00950741">
        <w:rPr>
          <w:rFonts w:ascii="Times New Roman" w:hAnsi="Times New Roman"/>
        </w:rPr>
        <w:t>being outside the scope of Art</w:t>
      </w:r>
      <w:r w:rsidR="00544459" w:rsidRPr="00950741">
        <w:rPr>
          <w:rFonts w:ascii="Times New Roman" w:hAnsi="Times New Roman"/>
        </w:rPr>
        <w:t> </w:t>
      </w:r>
      <w:r w:rsidR="009B16F4" w:rsidRPr="00950741">
        <w:rPr>
          <w:rFonts w:ascii="Times New Roman" w:hAnsi="Times New Roman"/>
        </w:rPr>
        <w:t>2</w:t>
      </w:r>
      <w:r w:rsidR="00AF63F6" w:rsidRPr="00950741">
        <w:rPr>
          <w:rFonts w:ascii="Times New Roman" w:hAnsi="Times New Roman"/>
        </w:rPr>
        <w:t>(</w:t>
      </w:r>
      <w:r w:rsidR="009B16F4" w:rsidRPr="00950741">
        <w:rPr>
          <w:rFonts w:ascii="Times New Roman" w:hAnsi="Times New Roman"/>
        </w:rPr>
        <w:t>1</w:t>
      </w:r>
      <w:r w:rsidR="00AF63F6" w:rsidRPr="00950741">
        <w:rPr>
          <w:rFonts w:ascii="Times New Roman" w:hAnsi="Times New Roman"/>
        </w:rPr>
        <w:t>)</w:t>
      </w:r>
      <w:r w:rsidR="009B16F4" w:rsidRPr="00950741">
        <w:rPr>
          <w:rFonts w:ascii="Times New Roman" w:hAnsi="Times New Roman"/>
        </w:rPr>
        <w:t xml:space="preserve">(a) </w:t>
      </w:r>
      <w:r w:rsidR="00022E0F" w:rsidRPr="00950741">
        <w:rPr>
          <w:rFonts w:ascii="Times New Roman" w:hAnsi="Times New Roman"/>
        </w:rPr>
        <w:t>(</w:t>
      </w:r>
      <w:r w:rsidR="009B16F4" w:rsidRPr="00950741">
        <w:rPr>
          <w:rFonts w:ascii="Times New Roman" w:hAnsi="Times New Roman"/>
        </w:rPr>
        <w:t xml:space="preserve">on the basis that </w:t>
      </w:r>
      <w:r w:rsidR="00FA2854" w:rsidRPr="00950741">
        <w:rPr>
          <w:rFonts w:ascii="Times New Roman" w:hAnsi="Times New Roman"/>
        </w:rPr>
        <w:t>Art</w:t>
      </w:r>
      <w:r w:rsidR="00544459" w:rsidRPr="00950741">
        <w:rPr>
          <w:rFonts w:ascii="Times New Roman" w:hAnsi="Times New Roman"/>
        </w:rPr>
        <w:t> </w:t>
      </w:r>
      <w:r w:rsidR="00FA2854" w:rsidRPr="00950741">
        <w:rPr>
          <w:rFonts w:ascii="Times New Roman" w:hAnsi="Times New Roman"/>
        </w:rPr>
        <w:t>2</w:t>
      </w:r>
      <w:r w:rsidR="00AF63F6" w:rsidRPr="00950741">
        <w:rPr>
          <w:rFonts w:ascii="Times New Roman" w:hAnsi="Times New Roman"/>
        </w:rPr>
        <w:t>(</w:t>
      </w:r>
      <w:r w:rsidR="00FA2854" w:rsidRPr="00950741">
        <w:rPr>
          <w:rFonts w:ascii="Times New Roman" w:hAnsi="Times New Roman"/>
        </w:rPr>
        <w:t>1</w:t>
      </w:r>
      <w:r w:rsidR="00AF63F6" w:rsidRPr="00950741">
        <w:rPr>
          <w:rFonts w:ascii="Times New Roman" w:hAnsi="Times New Roman"/>
        </w:rPr>
        <w:t>)</w:t>
      </w:r>
      <w:r w:rsidR="00FA2854" w:rsidRPr="00950741">
        <w:rPr>
          <w:rFonts w:ascii="Times New Roman" w:hAnsi="Times New Roman"/>
        </w:rPr>
        <w:t xml:space="preserve">(a) is </w:t>
      </w:r>
      <w:r w:rsidR="00616E32" w:rsidRPr="00950741">
        <w:rPr>
          <w:rFonts w:ascii="Times New Roman" w:hAnsi="Times New Roman"/>
        </w:rPr>
        <w:t>concerned</w:t>
      </w:r>
      <w:r w:rsidR="00FA2854" w:rsidRPr="00950741">
        <w:rPr>
          <w:rFonts w:ascii="Times New Roman" w:hAnsi="Times New Roman"/>
        </w:rPr>
        <w:t xml:space="preserve"> with loss </w:t>
      </w:r>
      <w:r w:rsidR="00514F74" w:rsidRPr="00950741">
        <w:rPr>
          <w:rFonts w:ascii="Times New Roman" w:hAnsi="Times New Roman"/>
        </w:rPr>
        <w:t xml:space="preserve">of </w:t>
      </w:r>
      <w:r w:rsidR="00FA2854" w:rsidRPr="00950741">
        <w:rPr>
          <w:rFonts w:ascii="Times New Roman" w:hAnsi="Times New Roman"/>
        </w:rPr>
        <w:t xml:space="preserve">or </w:t>
      </w:r>
      <w:r w:rsidR="00616E32" w:rsidRPr="00950741">
        <w:rPr>
          <w:rFonts w:ascii="Times New Roman" w:hAnsi="Times New Roman"/>
        </w:rPr>
        <w:t>damage</w:t>
      </w:r>
      <w:r w:rsidR="00FA2854" w:rsidRPr="00950741">
        <w:rPr>
          <w:rFonts w:ascii="Times New Roman" w:hAnsi="Times New Roman"/>
        </w:rPr>
        <w:t xml:space="preserve"> to </w:t>
      </w:r>
      <w:r w:rsidR="001C466F" w:rsidRPr="00950741">
        <w:rPr>
          <w:rFonts w:ascii="Times New Roman" w:hAnsi="Times New Roman"/>
        </w:rPr>
        <w:t>"</w:t>
      </w:r>
      <w:r w:rsidR="00FA2854" w:rsidRPr="00950741">
        <w:rPr>
          <w:rFonts w:ascii="Times New Roman" w:hAnsi="Times New Roman"/>
        </w:rPr>
        <w:t>property</w:t>
      </w:r>
      <w:r w:rsidR="001C466F" w:rsidRPr="00950741">
        <w:rPr>
          <w:rFonts w:ascii="Times New Roman" w:hAnsi="Times New Roman"/>
        </w:rPr>
        <w:t>"</w:t>
      </w:r>
      <w:r w:rsidR="00FA2854" w:rsidRPr="00950741">
        <w:rPr>
          <w:rFonts w:ascii="Times New Roman" w:hAnsi="Times New Roman"/>
        </w:rPr>
        <w:t xml:space="preserve"> other than </w:t>
      </w:r>
      <w:r w:rsidR="00616E32" w:rsidRPr="00950741">
        <w:rPr>
          <w:rFonts w:ascii="Times New Roman" w:hAnsi="Times New Roman"/>
        </w:rPr>
        <w:t>the limiting ship itself)</w:t>
      </w:r>
      <w:r w:rsidR="00D3650B" w:rsidRPr="00950741">
        <w:rPr>
          <w:rFonts w:ascii="Times New Roman" w:hAnsi="Times New Roman"/>
        </w:rPr>
        <w:t xml:space="preserve">. </w:t>
      </w:r>
      <w:r w:rsidR="00684C96" w:rsidRPr="00950741">
        <w:rPr>
          <w:rFonts w:ascii="Times New Roman" w:hAnsi="Times New Roman"/>
        </w:rPr>
        <w:t>W</w:t>
      </w:r>
      <w:r w:rsidR="00D3650B" w:rsidRPr="00950741">
        <w:rPr>
          <w:rFonts w:ascii="Times New Roman" w:hAnsi="Times New Roman"/>
        </w:rPr>
        <w:t>ithin the context of the issues in dispute</w:t>
      </w:r>
      <w:r w:rsidR="00684C96" w:rsidRPr="00950741">
        <w:rPr>
          <w:rFonts w:ascii="Times New Roman" w:hAnsi="Times New Roman"/>
        </w:rPr>
        <w:t xml:space="preserve"> in </w:t>
      </w:r>
      <w:r w:rsidR="00684C96" w:rsidRPr="00950741">
        <w:rPr>
          <w:rFonts w:ascii="Times New Roman" w:hAnsi="Times New Roman"/>
          <w:i/>
          <w:iCs/>
        </w:rPr>
        <w:t>The Flaminia</w:t>
      </w:r>
      <w:r w:rsidR="00D3650B" w:rsidRPr="00950741">
        <w:rPr>
          <w:rFonts w:ascii="Times New Roman" w:hAnsi="Times New Roman"/>
        </w:rPr>
        <w:t xml:space="preserve">, </w:t>
      </w:r>
      <w:r w:rsidR="00684C96" w:rsidRPr="00950741">
        <w:rPr>
          <w:rFonts w:ascii="Times New Roman" w:hAnsi="Times New Roman"/>
        </w:rPr>
        <w:t xml:space="preserve">the point is </w:t>
      </w:r>
      <w:r w:rsidR="00D3650B" w:rsidRPr="00950741">
        <w:rPr>
          <w:rFonts w:ascii="Times New Roman" w:hAnsi="Times New Roman"/>
        </w:rPr>
        <w:t>that if (as is the case) a claim can be within the scope of both Art</w:t>
      </w:r>
      <w:r w:rsidR="00037018" w:rsidRPr="00950741">
        <w:rPr>
          <w:rFonts w:ascii="Times New Roman" w:hAnsi="Times New Roman"/>
        </w:rPr>
        <w:t> </w:t>
      </w:r>
      <w:r w:rsidR="00D3650B" w:rsidRPr="00950741">
        <w:rPr>
          <w:rFonts w:ascii="Times New Roman" w:hAnsi="Times New Roman"/>
        </w:rPr>
        <w:t>2</w:t>
      </w:r>
      <w:r w:rsidR="00404BFD" w:rsidRPr="00950741">
        <w:rPr>
          <w:rFonts w:ascii="Times New Roman" w:hAnsi="Times New Roman"/>
        </w:rPr>
        <w:t>(</w:t>
      </w:r>
      <w:r w:rsidR="00D3650B" w:rsidRPr="00950741">
        <w:rPr>
          <w:rFonts w:ascii="Times New Roman" w:hAnsi="Times New Roman"/>
        </w:rPr>
        <w:t>1</w:t>
      </w:r>
      <w:r w:rsidR="00404BFD" w:rsidRPr="00950741">
        <w:rPr>
          <w:rFonts w:ascii="Times New Roman" w:hAnsi="Times New Roman"/>
        </w:rPr>
        <w:t>)</w:t>
      </w:r>
      <w:r w:rsidR="00D3650B" w:rsidRPr="00950741">
        <w:rPr>
          <w:rFonts w:ascii="Times New Roman" w:hAnsi="Times New Roman"/>
        </w:rPr>
        <w:t>(a) and</w:t>
      </w:r>
      <w:r w:rsidR="00F87D04" w:rsidRPr="00950741">
        <w:rPr>
          <w:rFonts w:ascii="Times New Roman" w:hAnsi="Times New Roman"/>
        </w:rPr>
        <w:t> </w:t>
      </w:r>
      <w:r w:rsidR="00D3650B" w:rsidRPr="00950741">
        <w:rPr>
          <w:rFonts w:ascii="Times New Roman" w:hAnsi="Times New Roman"/>
        </w:rPr>
        <w:t xml:space="preserve">(d), </w:t>
      </w:r>
      <w:r w:rsidR="000F46DC" w:rsidRPr="00950741">
        <w:rPr>
          <w:rFonts w:ascii="Times New Roman" w:hAnsi="Times New Roman"/>
        </w:rPr>
        <w:t>a claim must also be able t</w:t>
      </w:r>
      <w:r w:rsidR="001C466F" w:rsidRPr="00950741">
        <w:rPr>
          <w:rFonts w:ascii="Times New Roman" w:hAnsi="Times New Roman"/>
        </w:rPr>
        <w:t>o</w:t>
      </w:r>
      <w:r w:rsidR="000F46DC" w:rsidRPr="00950741">
        <w:rPr>
          <w:rFonts w:ascii="Times New Roman" w:hAnsi="Times New Roman"/>
        </w:rPr>
        <w:t xml:space="preserve"> be within the scope of Art</w:t>
      </w:r>
      <w:r w:rsidR="00544459" w:rsidRPr="00950741">
        <w:rPr>
          <w:rFonts w:ascii="Times New Roman" w:hAnsi="Times New Roman"/>
        </w:rPr>
        <w:t> </w:t>
      </w:r>
      <w:r w:rsidR="000F46DC" w:rsidRPr="00950741">
        <w:rPr>
          <w:rFonts w:ascii="Times New Roman" w:hAnsi="Times New Roman"/>
        </w:rPr>
        <w:t>2</w:t>
      </w:r>
      <w:r w:rsidR="00520A94" w:rsidRPr="00950741">
        <w:rPr>
          <w:rFonts w:ascii="Times New Roman" w:hAnsi="Times New Roman"/>
        </w:rPr>
        <w:t>(</w:t>
      </w:r>
      <w:r w:rsidR="000F46DC" w:rsidRPr="00950741">
        <w:rPr>
          <w:rFonts w:ascii="Times New Roman" w:hAnsi="Times New Roman"/>
        </w:rPr>
        <w:t>1</w:t>
      </w:r>
      <w:r w:rsidR="00520A94" w:rsidRPr="00950741">
        <w:rPr>
          <w:rFonts w:ascii="Times New Roman" w:hAnsi="Times New Roman"/>
        </w:rPr>
        <w:t>)</w:t>
      </w:r>
      <w:r w:rsidR="000F46DC" w:rsidRPr="00950741">
        <w:rPr>
          <w:rFonts w:ascii="Times New Roman" w:hAnsi="Times New Roman"/>
        </w:rPr>
        <w:t>(a) and</w:t>
      </w:r>
      <w:r w:rsidR="00F87D04" w:rsidRPr="00950741">
        <w:rPr>
          <w:rFonts w:ascii="Times New Roman" w:hAnsi="Times New Roman"/>
        </w:rPr>
        <w:t> </w:t>
      </w:r>
      <w:r w:rsidR="000F46DC" w:rsidRPr="00950741">
        <w:rPr>
          <w:rFonts w:ascii="Times New Roman" w:hAnsi="Times New Roman"/>
        </w:rPr>
        <w:t xml:space="preserve">(e). </w:t>
      </w:r>
      <w:r w:rsidR="00BF27DF" w:rsidRPr="00950741">
        <w:rPr>
          <w:rFonts w:ascii="Times New Roman" w:hAnsi="Times New Roman"/>
        </w:rPr>
        <w:t xml:space="preserve">Plainly, </w:t>
      </w:r>
      <w:r w:rsidR="00C93C3B" w:rsidRPr="00950741">
        <w:rPr>
          <w:rFonts w:ascii="Times New Roman" w:hAnsi="Times New Roman"/>
        </w:rPr>
        <w:t>Lord</w:t>
      </w:r>
      <w:r w:rsidR="00C7281E" w:rsidRPr="00950741">
        <w:rPr>
          <w:rFonts w:ascii="Times New Roman" w:hAnsi="Times New Roman"/>
        </w:rPr>
        <w:t> </w:t>
      </w:r>
      <w:r w:rsidR="00C93C3B" w:rsidRPr="00950741">
        <w:rPr>
          <w:rFonts w:ascii="Times New Roman" w:hAnsi="Times New Roman"/>
        </w:rPr>
        <w:t>Hamblen was not addressing</w:t>
      </w:r>
      <w:r w:rsidR="00BF27DF" w:rsidRPr="00950741">
        <w:rPr>
          <w:rFonts w:ascii="Times New Roman" w:hAnsi="Times New Roman"/>
        </w:rPr>
        <w:t xml:space="preserve"> </w:t>
      </w:r>
      <w:r w:rsidR="00C93C3B" w:rsidRPr="00950741">
        <w:rPr>
          <w:rFonts w:ascii="Times New Roman" w:hAnsi="Times New Roman"/>
        </w:rPr>
        <w:t>any question about a claim within Art</w:t>
      </w:r>
      <w:r w:rsidR="00AA28A4" w:rsidRPr="00950741">
        <w:rPr>
          <w:rFonts w:ascii="Times New Roman" w:hAnsi="Times New Roman"/>
        </w:rPr>
        <w:t> </w:t>
      </w:r>
      <w:r w:rsidR="00C93C3B" w:rsidRPr="00950741">
        <w:rPr>
          <w:rFonts w:ascii="Times New Roman" w:hAnsi="Times New Roman"/>
        </w:rPr>
        <w:t>2</w:t>
      </w:r>
      <w:r w:rsidR="00C8749E" w:rsidRPr="00950741">
        <w:rPr>
          <w:rFonts w:ascii="Times New Roman" w:hAnsi="Times New Roman"/>
        </w:rPr>
        <w:t>(</w:t>
      </w:r>
      <w:r w:rsidR="00C93C3B" w:rsidRPr="00950741">
        <w:rPr>
          <w:rFonts w:ascii="Times New Roman" w:hAnsi="Times New Roman"/>
        </w:rPr>
        <w:t>1</w:t>
      </w:r>
      <w:r w:rsidR="00C8749E" w:rsidRPr="00950741">
        <w:rPr>
          <w:rFonts w:ascii="Times New Roman" w:hAnsi="Times New Roman"/>
        </w:rPr>
        <w:t>)</w:t>
      </w:r>
      <w:r w:rsidR="00C93C3B" w:rsidRPr="00950741">
        <w:rPr>
          <w:rFonts w:ascii="Times New Roman" w:hAnsi="Times New Roman"/>
        </w:rPr>
        <w:t>(a) and</w:t>
      </w:r>
      <w:r w:rsidR="00543C72" w:rsidRPr="00950741">
        <w:rPr>
          <w:rFonts w:ascii="Times New Roman" w:hAnsi="Times New Roman"/>
        </w:rPr>
        <w:t> </w:t>
      </w:r>
      <w:r w:rsidR="00C93C3B" w:rsidRPr="00950741">
        <w:rPr>
          <w:rFonts w:ascii="Times New Roman" w:hAnsi="Times New Roman"/>
        </w:rPr>
        <w:t xml:space="preserve">(d) in circumstances where the </w:t>
      </w:r>
      <w:r w:rsidR="00BF27DF" w:rsidRPr="00950741">
        <w:rPr>
          <w:rFonts w:ascii="Times New Roman" w:hAnsi="Times New Roman"/>
        </w:rPr>
        <w:t xml:space="preserve">relevant </w:t>
      </w:r>
      <w:r w:rsidR="00C93C3B" w:rsidRPr="00950741">
        <w:rPr>
          <w:rFonts w:ascii="Times New Roman" w:hAnsi="Times New Roman"/>
        </w:rPr>
        <w:t>State Party had exercised the right to exclude the application of Art</w:t>
      </w:r>
      <w:r w:rsidR="00544459" w:rsidRPr="00950741">
        <w:rPr>
          <w:rFonts w:ascii="Times New Roman" w:hAnsi="Times New Roman"/>
        </w:rPr>
        <w:t> </w:t>
      </w:r>
      <w:r w:rsidR="00C93C3B" w:rsidRPr="00950741">
        <w:rPr>
          <w:rFonts w:ascii="Times New Roman" w:hAnsi="Times New Roman"/>
        </w:rPr>
        <w:t>2</w:t>
      </w:r>
      <w:r w:rsidR="00C8749E" w:rsidRPr="00950741">
        <w:rPr>
          <w:rFonts w:ascii="Times New Roman" w:hAnsi="Times New Roman"/>
        </w:rPr>
        <w:t>(</w:t>
      </w:r>
      <w:r w:rsidR="00C93C3B" w:rsidRPr="00950741">
        <w:rPr>
          <w:rFonts w:ascii="Times New Roman" w:hAnsi="Times New Roman"/>
        </w:rPr>
        <w:t>1</w:t>
      </w:r>
      <w:r w:rsidR="00C8749E" w:rsidRPr="00950741">
        <w:rPr>
          <w:rFonts w:ascii="Times New Roman" w:hAnsi="Times New Roman"/>
        </w:rPr>
        <w:t>)</w:t>
      </w:r>
      <w:r w:rsidR="00C93C3B" w:rsidRPr="00950741">
        <w:rPr>
          <w:rFonts w:ascii="Times New Roman" w:hAnsi="Times New Roman"/>
        </w:rPr>
        <w:t>(d)</w:t>
      </w:r>
      <w:r w:rsidR="00037018" w:rsidRPr="00950741">
        <w:rPr>
          <w:rFonts w:ascii="Times New Roman" w:hAnsi="Times New Roman"/>
        </w:rPr>
        <w:t xml:space="preserve"> as provided for in Art</w:t>
      </w:r>
      <w:r w:rsidR="00BF27DF" w:rsidRPr="00950741">
        <w:rPr>
          <w:rFonts w:ascii="Times New Roman" w:hAnsi="Times New Roman"/>
        </w:rPr>
        <w:t> </w:t>
      </w:r>
      <w:r w:rsidR="00037018" w:rsidRPr="00950741">
        <w:rPr>
          <w:rFonts w:ascii="Times New Roman" w:hAnsi="Times New Roman"/>
        </w:rPr>
        <w:t>18</w:t>
      </w:r>
      <w:r w:rsidR="00C8749E" w:rsidRPr="00950741">
        <w:rPr>
          <w:rFonts w:ascii="Times New Roman" w:hAnsi="Times New Roman"/>
        </w:rPr>
        <w:t>(</w:t>
      </w:r>
      <w:r w:rsidR="00037018" w:rsidRPr="00950741">
        <w:rPr>
          <w:rFonts w:ascii="Times New Roman" w:hAnsi="Times New Roman"/>
        </w:rPr>
        <w:t>1</w:t>
      </w:r>
      <w:r w:rsidR="00C8749E" w:rsidRPr="00950741">
        <w:rPr>
          <w:rFonts w:ascii="Times New Roman" w:hAnsi="Times New Roman"/>
        </w:rPr>
        <w:t>)</w:t>
      </w:r>
      <w:r w:rsidR="00C65CEF" w:rsidRPr="00950741">
        <w:rPr>
          <w:rFonts w:ascii="Times New Roman" w:hAnsi="Times New Roman"/>
        </w:rPr>
        <w:t>(a)</w:t>
      </w:r>
      <w:r w:rsidR="00C93C3B" w:rsidRPr="00950741">
        <w:rPr>
          <w:rFonts w:ascii="Times New Roman" w:hAnsi="Times New Roman"/>
        </w:rPr>
        <w:t xml:space="preserve">. </w:t>
      </w:r>
    </w:p>
    <w:p w14:paraId="030CA5D7" w14:textId="1FA3F0C6" w:rsidR="00F53B65" w:rsidRPr="00950741" w:rsidRDefault="00F53B65" w:rsidP="00950741">
      <w:pPr>
        <w:pStyle w:val="FixListStyle"/>
        <w:spacing w:after="260" w:line="280" w:lineRule="exact"/>
        <w:ind w:right="0"/>
        <w:jc w:val="both"/>
        <w:rPr>
          <w:rFonts w:ascii="Times New Roman" w:hAnsi="Times New Roman"/>
        </w:rPr>
      </w:pPr>
      <w:r w:rsidRPr="00950741">
        <w:rPr>
          <w:rFonts w:ascii="Times New Roman" w:hAnsi="Times New Roman"/>
        </w:rPr>
        <w:tab/>
        <w:t>Lord</w:t>
      </w:r>
      <w:r w:rsidR="00FF3A02" w:rsidRPr="00950741">
        <w:rPr>
          <w:rFonts w:ascii="Times New Roman" w:hAnsi="Times New Roman"/>
        </w:rPr>
        <w:t> </w:t>
      </w:r>
      <w:r w:rsidRPr="00950741">
        <w:rPr>
          <w:rFonts w:ascii="Times New Roman" w:hAnsi="Times New Roman"/>
        </w:rPr>
        <w:t>Hamblen's observation</w:t>
      </w:r>
      <w:r w:rsidR="002953DB" w:rsidRPr="00950741">
        <w:rPr>
          <w:rFonts w:ascii="Times New Roman" w:hAnsi="Times New Roman"/>
        </w:rPr>
        <w:t>s</w:t>
      </w:r>
      <w:r w:rsidRPr="00950741">
        <w:rPr>
          <w:rFonts w:ascii="Times New Roman" w:hAnsi="Times New Roman"/>
        </w:rPr>
        <w:t xml:space="preserve"> </w:t>
      </w:r>
      <w:r w:rsidR="002953DB" w:rsidRPr="00950741">
        <w:rPr>
          <w:rFonts w:ascii="Times New Roman" w:hAnsi="Times New Roman"/>
        </w:rPr>
        <w:t>about the function of Art</w:t>
      </w:r>
      <w:r w:rsidR="0076568A" w:rsidRPr="00950741">
        <w:rPr>
          <w:rFonts w:ascii="Times New Roman" w:hAnsi="Times New Roman"/>
        </w:rPr>
        <w:t> </w:t>
      </w:r>
      <w:r w:rsidR="002953DB" w:rsidRPr="00950741">
        <w:rPr>
          <w:rFonts w:ascii="Times New Roman" w:hAnsi="Times New Roman"/>
        </w:rPr>
        <w:t xml:space="preserve">3 within the </w:t>
      </w:r>
      <w:r w:rsidR="00642A78" w:rsidRPr="00950741">
        <w:rPr>
          <w:rFonts w:ascii="Times New Roman" w:hAnsi="Times New Roman"/>
        </w:rPr>
        <w:t>1976 </w:t>
      </w:r>
      <w:r w:rsidR="002953DB" w:rsidRPr="00950741">
        <w:rPr>
          <w:rFonts w:ascii="Times New Roman" w:hAnsi="Times New Roman"/>
        </w:rPr>
        <w:t xml:space="preserve">Convention must also be understood in the context of the issues to be decided in </w:t>
      </w:r>
      <w:r w:rsidR="002953DB" w:rsidRPr="00950741">
        <w:rPr>
          <w:rFonts w:ascii="Times New Roman" w:hAnsi="Times New Roman"/>
          <w:i/>
          <w:iCs/>
        </w:rPr>
        <w:t>The Flaminia</w:t>
      </w:r>
      <w:r w:rsidR="002953DB" w:rsidRPr="00950741">
        <w:rPr>
          <w:rFonts w:ascii="Times New Roman" w:hAnsi="Times New Roman"/>
        </w:rPr>
        <w:t xml:space="preserve">. </w:t>
      </w:r>
      <w:r w:rsidR="007E3608" w:rsidRPr="00950741">
        <w:rPr>
          <w:rFonts w:ascii="Times New Roman" w:hAnsi="Times New Roman"/>
        </w:rPr>
        <w:t>His Lordship was correct to say that if a claim not being within Art</w:t>
      </w:r>
      <w:r w:rsidR="00544459" w:rsidRPr="00950741">
        <w:rPr>
          <w:rFonts w:ascii="Times New Roman" w:hAnsi="Times New Roman"/>
        </w:rPr>
        <w:t> </w:t>
      </w:r>
      <w:r w:rsidR="007E3608" w:rsidRPr="00950741">
        <w:rPr>
          <w:rFonts w:ascii="Times New Roman" w:hAnsi="Times New Roman"/>
        </w:rPr>
        <w:t>2</w:t>
      </w:r>
      <w:r w:rsidR="00FF3A02" w:rsidRPr="00950741">
        <w:rPr>
          <w:rFonts w:ascii="Times New Roman" w:hAnsi="Times New Roman"/>
        </w:rPr>
        <w:t>(</w:t>
      </w:r>
      <w:r w:rsidR="007E3608" w:rsidRPr="00950741">
        <w:rPr>
          <w:rFonts w:ascii="Times New Roman" w:hAnsi="Times New Roman"/>
        </w:rPr>
        <w:t>1</w:t>
      </w:r>
      <w:r w:rsidR="00FF3A02" w:rsidRPr="00950741">
        <w:rPr>
          <w:rFonts w:ascii="Times New Roman" w:hAnsi="Times New Roman"/>
        </w:rPr>
        <w:t>)</w:t>
      </w:r>
      <w:r w:rsidR="007E3608" w:rsidRPr="00950741">
        <w:rPr>
          <w:rFonts w:ascii="Times New Roman" w:hAnsi="Times New Roman"/>
        </w:rPr>
        <w:t xml:space="preserve">(a) (because the claim related to loss </w:t>
      </w:r>
      <w:r w:rsidR="007F7020" w:rsidRPr="00950741">
        <w:rPr>
          <w:rFonts w:ascii="Times New Roman" w:hAnsi="Times New Roman"/>
        </w:rPr>
        <w:t xml:space="preserve">of </w:t>
      </w:r>
      <w:r w:rsidR="007E3608" w:rsidRPr="00950741">
        <w:rPr>
          <w:rFonts w:ascii="Times New Roman" w:hAnsi="Times New Roman"/>
        </w:rPr>
        <w:t xml:space="preserve">or damage to the limiting ship) </w:t>
      </w:r>
      <w:r w:rsidR="002213D9" w:rsidRPr="00950741">
        <w:rPr>
          <w:rFonts w:ascii="Times New Roman" w:hAnsi="Times New Roman"/>
        </w:rPr>
        <w:t xml:space="preserve">meant that the claim was also </w:t>
      </w:r>
      <w:r w:rsidR="00F964F2" w:rsidRPr="00950741">
        <w:rPr>
          <w:rFonts w:ascii="Times New Roman" w:hAnsi="Times New Roman"/>
        </w:rPr>
        <w:t>thereby (that is, by reason of Art 2</w:t>
      </w:r>
      <w:r w:rsidR="008524E4" w:rsidRPr="00950741">
        <w:rPr>
          <w:rFonts w:ascii="Times New Roman" w:hAnsi="Times New Roman"/>
        </w:rPr>
        <w:t>(</w:t>
      </w:r>
      <w:r w:rsidR="00F964F2" w:rsidRPr="00950741">
        <w:rPr>
          <w:rFonts w:ascii="Times New Roman" w:hAnsi="Times New Roman"/>
        </w:rPr>
        <w:t>1</w:t>
      </w:r>
      <w:r w:rsidR="008524E4" w:rsidRPr="00950741">
        <w:rPr>
          <w:rFonts w:ascii="Times New Roman" w:hAnsi="Times New Roman"/>
        </w:rPr>
        <w:t>)</w:t>
      </w:r>
      <w:r w:rsidR="00F964F2" w:rsidRPr="00950741">
        <w:rPr>
          <w:rFonts w:ascii="Times New Roman" w:hAnsi="Times New Roman"/>
        </w:rPr>
        <w:t xml:space="preserve">(a) itself) </w:t>
      </w:r>
      <w:r w:rsidR="002213D9" w:rsidRPr="00950741">
        <w:rPr>
          <w:rFonts w:ascii="Times New Roman" w:hAnsi="Times New Roman"/>
        </w:rPr>
        <w:t xml:space="preserve">excluded from every other </w:t>
      </w:r>
      <w:r w:rsidR="00EA3384" w:rsidRPr="00950741">
        <w:rPr>
          <w:rFonts w:ascii="Times New Roman" w:hAnsi="Times New Roman"/>
        </w:rPr>
        <w:t>sub-</w:t>
      </w:r>
      <w:r w:rsidR="002213D9" w:rsidRPr="00950741">
        <w:rPr>
          <w:rFonts w:ascii="Times New Roman" w:hAnsi="Times New Roman"/>
        </w:rPr>
        <w:t>paragraph of Art</w:t>
      </w:r>
      <w:r w:rsidR="00544459" w:rsidRPr="00950741">
        <w:rPr>
          <w:rFonts w:ascii="Times New Roman" w:hAnsi="Times New Roman"/>
        </w:rPr>
        <w:t> </w:t>
      </w:r>
      <w:r w:rsidR="002213D9" w:rsidRPr="00950741">
        <w:rPr>
          <w:rFonts w:ascii="Times New Roman" w:hAnsi="Times New Roman"/>
        </w:rPr>
        <w:t>2</w:t>
      </w:r>
      <w:r w:rsidR="007D5E59" w:rsidRPr="00950741">
        <w:rPr>
          <w:rFonts w:ascii="Times New Roman" w:hAnsi="Times New Roman"/>
        </w:rPr>
        <w:t>(</w:t>
      </w:r>
      <w:r w:rsidR="002213D9" w:rsidRPr="00950741">
        <w:rPr>
          <w:rFonts w:ascii="Times New Roman" w:hAnsi="Times New Roman"/>
        </w:rPr>
        <w:t>1</w:t>
      </w:r>
      <w:r w:rsidR="007D5E59" w:rsidRPr="00950741">
        <w:rPr>
          <w:rFonts w:ascii="Times New Roman" w:hAnsi="Times New Roman"/>
        </w:rPr>
        <w:t>)</w:t>
      </w:r>
      <w:r w:rsidR="00C732C9" w:rsidRPr="00950741">
        <w:rPr>
          <w:rFonts w:ascii="Times New Roman" w:hAnsi="Times New Roman"/>
        </w:rPr>
        <w:t>,</w:t>
      </w:r>
      <w:r w:rsidR="002213D9" w:rsidRPr="00950741">
        <w:rPr>
          <w:rFonts w:ascii="Times New Roman" w:hAnsi="Times New Roman"/>
        </w:rPr>
        <w:t xml:space="preserve"> </w:t>
      </w:r>
      <w:r w:rsidR="00D43811" w:rsidRPr="00950741">
        <w:rPr>
          <w:rFonts w:ascii="Times New Roman" w:hAnsi="Times New Roman"/>
        </w:rPr>
        <w:t>it would create</w:t>
      </w:r>
      <w:r w:rsidR="002213D9" w:rsidRPr="00950741">
        <w:rPr>
          <w:rFonts w:ascii="Times New Roman" w:hAnsi="Times New Roman"/>
        </w:rPr>
        <w:t xml:space="preserve"> an unstated "general </w:t>
      </w:r>
      <w:r w:rsidR="006E6E79" w:rsidRPr="00950741">
        <w:rPr>
          <w:rFonts w:ascii="Times New Roman" w:hAnsi="Times New Roman"/>
        </w:rPr>
        <w:t>exception</w:t>
      </w:r>
      <w:r w:rsidR="002213D9" w:rsidRPr="00950741">
        <w:rPr>
          <w:rFonts w:ascii="Times New Roman" w:hAnsi="Times New Roman"/>
        </w:rPr>
        <w:t xml:space="preserve">" </w:t>
      </w:r>
      <w:r w:rsidR="00EB0BB8" w:rsidRPr="00950741">
        <w:rPr>
          <w:rFonts w:ascii="Times New Roman" w:hAnsi="Times New Roman"/>
        </w:rPr>
        <w:t xml:space="preserve">to the right of limitation </w:t>
      </w:r>
      <w:r w:rsidR="002213D9" w:rsidRPr="00950741">
        <w:rPr>
          <w:rFonts w:ascii="Times New Roman" w:hAnsi="Times New Roman"/>
        </w:rPr>
        <w:t>which</w:t>
      </w:r>
      <w:r w:rsidR="00176F21" w:rsidRPr="00950741">
        <w:rPr>
          <w:rFonts w:ascii="Times New Roman" w:hAnsi="Times New Roman"/>
        </w:rPr>
        <w:t>, if it had been intended,</w:t>
      </w:r>
      <w:r w:rsidR="002213D9" w:rsidRPr="00950741">
        <w:rPr>
          <w:rFonts w:ascii="Times New Roman" w:hAnsi="Times New Roman"/>
        </w:rPr>
        <w:t xml:space="preserve"> </w:t>
      </w:r>
      <w:r w:rsidR="006E6E79" w:rsidRPr="00950741">
        <w:rPr>
          <w:rFonts w:ascii="Times New Roman" w:hAnsi="Times New Roman"/>
        </w:rPr>
        <w:t>would have been included in Art</w:t>
      </w:r>
      <w:r w:rsidR="00176F21" w:rsidRPr="00950741">
        <w:rPr>
          <w:rFonts w:ascii="Times New Roman" w:hAnsi="Times New Roman"/>
        </w:rPr>
        <w:t> </w:t>
      </w:r>
      <w:r w:rsidR="006E6E79" w:rsidRPr="00950741">
        <w:rPr>
          <w:rFonts w:ascii="Times New Roman" w:hAnsi="Times New Roman"/>
        </w:rPr>
        <w:t xml:space="preserve">3. </w:t>
      </w:r>
      <w:r w:rsidR="00F36032" w:rsidRPr="00950741">
        <w:rPr>
          <w:rFonts w:ascii="Times New Roman" w:hAnsi="Times New Roman"/>
        </w:rPr>
        <w:t xml:space="preserve">The subject of this observation is </w:t>
      </w:r>
      <w:r w:rsidR="00C74183" w:rsidRPr="00950741">
        <w:rPr>
          <w:rFonts w:ascii="Times New Roman" w:hAnsi="Times New Roman"/>
        </w:rPr>
        <w:t xml:space="preserve">only </w:t>
      </w:r>
      <w:r w:rsidR="00BD2D64" w:rsidRPr="00950741">
        <w:rPr>
          <w:rFonts w:ascii="Times New Roman" w:hAnsi="Times New Roman"/>
        </w:rPr>
        <w:t xml:space="preserve">the </w:t>
      </w:r>
      <w:r w:rsidR="00F964F2" w:rsidRPr="00950741">
        <w:rPr>
          <w:rFonts w:ascii="Times New Roman" w:hAnsi="Times New Roman"/>
        </w:rPr>
        <w:t xml:space="preserve">effect of the </w:t>
      </w:r>
      <w:r w:rsidR="00BD2D64" w:rsidRPr="00950741">
        <w:rPr>
          <w:rFonts w:ascii="Times New Roman" w:hAnsi="Times New Roman"/>
        </w:rPr>
        <w:t xml:space="preserve">exclusion of damage to a limiting ship in </w:t>
      </w:r>
      <w:r w:rsidR="00F36032" w:rsidRPr="00950741">
        <w:rPr>
          <w:rFonts w:ascii="Times New Roman" w:hAnsi="Times New Roman"/>
        </w:rPr>
        <w:t>Art 2</w:t>
      </w:r>
      <w:r w:rsidR="002A3AA6" w:rsidRPr="00950741">
        <w:rPr>
          <w:rFonts w:ascii="Times New Roman" w:hAnsi="Times New Roman"/>
        </w:rPr>
        <w:t>(</w:t>
      </w:r>
      <w:r w:rsidR="00F36032" w:rsidRPr="00950741">
        <w:rPr>
          <w:rFonts w:ascii="Times New Roman" w:hAnsi="Times New Roman"/>
        </w:rPr>
        <w:t>1</w:t>
      </w:r>
      <w:r w:rsidR="002A3AA6" w:rsidRPr="00950741">
        <w:rPr>
          <w:rFonts w:ascii="Times New Roman" w:hAnsi="Times New Roman"/>
        </w:rPr>
        <w:t>)</w:t>
      </w:r>
      <w:r w:rsidR="00F36032" w:rsidRPr="00950741">
        <w:rPr>
          <w:rFonts w:ascii="Times New Roman" w:hAnsi="Times New Roman"/>
        </w:rPr>
        <w:t>(a)</w:t>
      </w:r>
      <w:r w:rsidR="00BD2D64" w:rsidRPr="00950741">
        <w:rPr>
          <w:rFonts w:ascii="Times New Roman" w:hAnsi="Times New Roman"/>
        </w:rPr>
        <w:t xml:space="preserve">. </w:t>
      </w:r>
      <w:r w:rsidR="008119F2" w:rsidRPr="00950741">
        <w:rPr>
          <w:rFonts w:ascii="Times New Roman" w:hAnsi="Times New Roman"/>
        </w:rPr>
        <w:t xml:space="preserve">Lord Hamblen </w:t>
      </w:r>
      <w:r w:rsidR="00F964F2" w:rsidRPr="00950741">
        <w:rPr>
          <w:rFonts w:ascii="Times New Roman" w:hAnsi="Times New Roman"/>
        </w:rPr>
        <w:t xml:space="preserve">was </w:t>
      </w:r>
      <w:r w:rsidR="00176F21" w:rsidRPr="00950741">
        <w:rPr>
          <w:rFonts w:ascii="Times New Roman" w:hAnsi="Times New Roman"/>
        </w:rPr>
        <w:t xml:space="preserve">not </w:t>
      </w:r>
      <w:r w:rsidR="008119F2" w:rsidRPr="00950741">
        <w:rPr>
          <w:rFonts w:ascii="Times New Roman" w:hAnsi="Times New Roman"/>
        </w:rPr>
        <w:t xml:space="preserve">addressing </w:t>
      </w:r>
      <w:r w:rsidR="006E6E79" w:rsidRPr="00950741">
        <w:rPr>
          <w:rFonts w:ascii="Times New Roman" w:hAnsi="Times New Roman"/>
        </w:rPr>
        <w:t xml:space="preserve">the effect of an </w:t>
      </w:r>
      <w:r w:rsidR="00354489" w:rsidRPr="00950741">
        <w:rPr>
          <w:rFonts w:ascii="Times New Roman" w:hAnsi="Times New Roman"/>
        </w:rPr>
        <w:t>exclusion</w:t>
      </w:r>
      <w:r w:rsidR="006E6E79" w:rsidRPr="00950741">
        <w:rPr>
          <w:rFonts w:ascii="Times New Roman" w:hAnsi="Times New Roman"/>
        </w:rPr>
        <w:t xml:space="preserve"> </w:t>
      </w:r>
      <w:r w:rsidR="00354489" w:rsidRPr="00950741">
        <w:rPr>
          <w:rFonts w:ascii="Times New Roman" w:hAnsi="Times New Roman"/>
        </w:rPr>
        <w:t xml:space="preserve">of </w:t>
      </w:r>
      <w:r w:rsidR="00C74183" w:rsidRPr="00950741">
        <w:rPr>
          <w:rFonts w:ascii="Times New Roman" w:hAnsi="Times New Roman"/>
        </w:rPr>
        <w:t xml:space="preserve">the application of </w:t>
      </w:r>
      <w:r w:rsidR="00354489" w:rsidRPr="00950741">
        <w:rPr>
          <w:rFonts w:ascii="Times New Roman" w:hAnsi="Times New Roman"/>
        </w:rPr>
        <w:t>Art</w:t>
      </w:r>
      <w:r w:rsidR="00DB157F" w:rsidRPr="00950741">
        <w:rPr>
          <w:rFonts w:ascii="Times New Roman" w:hAnsi="Times New Roman"/>
        </w:rPr>
        <w:t> </w:t>
      </w:r>
      <w:r w:rsidR="00354489" w:rsidRPr="00950741">
        <w:rPr>
          <w:rFonts w:ascii="Times New Roman" w:hAnsi="Times New Roman"/>
        </w:rPr>
        <w:t>2</w:t>
      </w:r>
      <w:r w:rsidR="00C01156" w:rsidRPr="00950741">
        <w:rPr>
          <w:rFonts w:ascii="Times New Roman" w:hAnsi="Times New Roman"/>
        </w:rPr>
        <w:t>(</w:t>
      </w:r>
      <w:r w:rsidR="00354489" w:rsidRPr="00950741">
        <w:rPr>
          <w:rFonts w:ascii="Times New Roman" w:hAnsi="Times New Roman"/>
        </w:rPr>
        <w:t>1</w:t>
      </w:r>
      <w:r w:rsidR="00C01156" w:rsidRPr="00950741">
        <w:rPr>
          <w:rFonts w:ascii="Times New Roman" w:hAnsi="Times New Roman"/>
        </w:rPr>
        <w:t>)</w:t>
      </w:r>
      <w:r w:rsidR="00354489" w:rsidRPr="00950741">
        <w:rPr>
          <w:rFonts w:ascii="Times New Roman" w:hAnsi="Times New Roman"/>
        </w:rPr>
        <w:t>(d) and</w:t>
      </w:r>
      <w:r w:rsidR="00510751" w:rsidRPr="00950741">
        <w:rPr>
          <w:rFonts w:ascii="Times New Roman" w:hAnsi="Times New Roman"/>
        </w:rPr>
        <w:t> </w:t>
      </w:r>
      <w:r w:rsidR="00354489" w:rsidRPr="00950741">
        <w:rPr>
          <w:rFonts w:ascii="Times New Roman" w:hAnsi="Times New Roman"/>
        </w:rPr>
        <w:t>(e) under Art</w:t>
      </w:r>
      <w:r w:rsidR="00AE25F7" w:rsidRPr="00950741">
        <w:rPr>
          <w:rFonts w:ascii="Times New Roman" w:hAnsi="Times New Roman"/>
        </w:rPr>
        <w:t> 1</w:t>
      </w:r>
      <w:r w:rsidR="00354489" w:rsidRPr="00950741">
        <w:rPr>
          <w:rFonts w:ascii="Times New Roman" w:hAnsi="Times New Roman"/>
        </w:rPr>
        <w:t>8</w:t>
      </w:r>
      <w:r w:rsidR="00C01156" w:rsidRPr="00950741">
        <w:rPr>
          <w:rFonts w:ascii="Times New Roman" w:hAnsi="Times New Roman"/>
        </w:rPr>
        <w:t>(</w:t>
      </w:r>
      <w:r w:rsidR="00951FB5" w:rsidRPr="00950741">
        <w:rPr>
          <w:rFonts w:ascii="Times New Roman" w:hAnsi="Times New Roman"/>
        </w:rPr>
        <w:t>1</w:t>
      </w:r>
      <w:r w:rsidR="00C01156" w:rsidRPr="00950741">
        <w:rPr>
          <w:rFonts w:ascii="Times New Roman" w:hAnsi="Times New Roman"/>
        </w:rPr>
        <w:t>)</w:t>
      </w:r>
      <w:r w:rsidR="00AE25F7" w:rsidRPr="00950741">
        <w:rPr>
          <w:rFonts w:ascii="Times New Roman" w:hAnsi="Times New Roman"/>
        </w:rPr>
        <w:t xml:space="preserve"> </w:t>
      </w:r>
      <w:r w:rsidR="00354489" w:rsidRPr="00950741">
        <w:rPr>
          <w:rFonts w:ascii="Times New Roman" w:hAnsi="Times New Roman"/>
        </w:rPr>
        <w:t xml:space="preserve">because in </w:t>
      </w:r>
      <w:r w:rsidR="00354489" w:rsidRPr="00950741">
        <w:rPr>
          <w:rFonts w:ascii="Times New Roman" w:hAnsi="Times New Roman"/>
          <w:i/>
          <w:iCs/>
        </w:rPr>
        <w:t>The Flaminia</w:t>
      </w:r>
      <w:r w:rsidR="00354489" w:rsidRPr="00950741">
        <w:rPr>
          <w:rFonts w:ascii="Times New Roman" w:hAnsi="Times New Roman"/>
        </w:rPr>
        <w:t xml:space="preserve"> the claim was within Art</w:t>
      </w:r>
      <w:r w:rsidR="00AE25F7" w:rsidRPr="00950741">
        <w:rPr>
          <w:rFonts w:ascii="Times New Roman" w:hAnsi="Times New Roman"/>
        </w:rPr>
        <w:t> </w:t>
      </w:r>
      <w:r w:rsidR="00354489" w:rsidRPr="00950741">
        <w:rPr>
          <w:rFonts w:ascii="Times New Roman" w:hAnsi="Times New Roman"/>
        </w:rPr>
        <w:t>2</w:t>
      </w:r>
      <w:r w:rsidR="00544596" w:rsidRPr="00950741">
        <w:rPr>
          <w:rFonts w:ascii="Times New Roman" w:hAnsi="Times New Roman"/>
        </w:rPr>
        <w:t>(</w:t>
      </w:r>
      <w:r w:rsidR="00354489" w:rsidRPr="00950741">
        <w:rPr>
          <w:rFonts w:ascii="Times New Roman" w:hAnsi="Times New Roman"/>
        </w:rPr>
        <w:t>1</w:t>
      </w:r>
      <w:r w:rsidR="00544596" w:rsidRPr="00950741">
        <w:rPr>
          <w:rFonts w:ascii="Times New Roman" w:hAnsi="Times New Roman"/>
        </w:rPr>
        <w:t>)</w:t>
      </w:r>
      <w:r w:rsidR="00354489" w:rsidRPr="00950741">
        <w:rPr>
          <w:rFonts w:ascii="Times New Roman" w:hAnsi="Times New Roman"/>
        </w:rPr>
        <w:t>(e) which had not been excluded from application in the United Kingdom.</w:t>
      </w:r>
      <w:r w:rsidR="00951FB5" w:rsidRPr="00950741">
        <w:rPr>
          <w:rFonts w:ascii="Times New Roman" w:hAnsi="Times New Roman"/>
        </w:rPr>
        <w:t xml:space="preserve"> Equally important to the reasoning in </w:t>
      </w:r>
      <w:r w:rsidR="00951FB5" w:rsidRPr="00950741">
        <w:rPr>
          <w:rFonts w:ascii="Times New Roman" w:hAnsi="Times New Roman"/>
          <w:i/>
          <w:iCs/>
        </w:rPr>
        <w:t>The Flaminia</w:t>
      </w:r>
      <w:r w:rsidR="00066253" w:rsidRPr="00950741">
        <w:rPr>
          <w:rFonts w:ascii="Times New Roman" w:hAnsi="Times New Roman"/>
        </w:rPr>
        <w:t xml:space="preserve"> was that</w:t>
      </w:r>
      <w:r w:rsidR="00354489" w:rsidRPr="00950741">
        <w:rPr>
          <w:rFonts w:ascii="Times New Roman" w:hAnsi="Times New Roman"/>
        </w:rPr>
        <w:t xml:space="preserve"> the claim was not within </w:t>
      </w:r>
      <w:r w:rsidR="0011060D" w:rsidRPr="00950741">
        <w:rPr>
          <w:rFonts w:ascii="Times New Roman" w:hAnsi="Times New Roman"/>
        </w:rPr>
        <w:t>Art</w:t>
      </w:r>
      <w:r w:rsidR="00C74183" w:rsidRPr="00950741">
        <w:rPr>
          <w:rFonts w:ascii="Times New Roman" w:hAnsi="Times New Roman"/>
        </w:rPr>
        <w:t> </w:t>
      </w:r>
      <w:r w:rsidR="0011060D" w:rsidRPr="00950741">
        <w:rPr>
          <w:rFonts w:ascii="Times New Roman" w:hAnsi="Times New Roman"/>
        </w:rPr>
        <w:t>2</w:t>
      </w:r>
      <w:r w:rsidR="00544596" w:rsidRPr="00950741">
        <w:rPr>
          <w:rFonts w:ascii="Times New Roman" w:hAnsi="Times New Roman"/>
        </w:rPr>
        <w:t>(</w:t>
      </w:r>
      <w:r w:rsidR="0011060D" w:rsidRPr="00950741">
        <w:rPr>
          <w:rFonts w:ascii="Times New Roman" w:hAnsi="Times New Roman"/>
        </w:rPr>
        <w:t>1</w:t>
      </w:r>
      <w:r w:rsidR="00544596" w:rsidRPr="00950741">
        <w:rPr>
          <w:rFonts w:ascii="Times New Roman" w:hAnsi="Times New Roman"/>
        </w:rPr>
        <w:t>)</w:t>
      </w:r>
      <w:r w:rsidR="0011060D" w:rsidRPr="00950741">
        <w:rPr>
          <w:rFonts w:ascii="Times New Roman" w:hAnsi="Times New Roman"/>
        </w:rPr>
        <w:t xml:space="preserve">(a) because it concerned </w:t>
      </w:r>
      <w:r w:rsidR="0062342B" w:rsidRPr="00950741">
        <w:rPr>
          <w:rFonts w:ascii="Times New Roman" w:hAnsi="Times New Roman"/>
        </w:rPr>
        <w:t>damage to the cargo consequential on damage to the limiting ship</w:t>
      </w:r>
      <w:r w:rsidR="00DE155E" w:rsidRPr="00950741">
        <w:rPr>
          <w:rFonts w:ascii="Times New Roman" w:hAnsi="Times New Roman"/>
        </w:rPr>
        <w:t>, the issue being the effect of the claim not being within Art 2</w:t>
      </w:r>
      <w:r w:rsidR="00E37EFF" w:rsidRPr="00950741">
        <w:rPr>
          <w:rFonts w:ascii="Times New Roman" w:hAnsi="Times New Roman"/>
        </w:rPr>
        <w:t>(</w:t>
      </w:r>
      <w:r w:rsidR="00DE155E" w:rsidRPr="00950741">
        <w:rPr>
          <w:rFonts w:ascii="Times New Roman" w:hAnsi="Times New Roman"/>
        </w:rPr>
        <w:t>1</w:t>
      </w:r>
      <w:r w:rsidR="00E37EFF" w:rsidRPr="00950741">
        <w:rPr>
          <w:rFonts w:ascii="Times New Roman" w:hAnsi="Times New Roman"/>
        </w:rPr>
        <w:t>)</w:t>
      </w:r>
      <w:r w:rsidR="00DE155E" w:rsidRPr="00950741">
        <w:rPr>
          <w:rFonts w:ascii="Times New Roman" w:hAnsi="Times New Roman"/>
        </w:rPr>
        <w:t>(a).</w:t>
      </w:r>
      <w:r w:rsidR="00E305A6" w:rsidRPr="00950741">
        <w:rPr>
          <w:rFonts w:ascii="Times New Roman" w:hAnsi="Times New Roman"/>
        </w:rPr>
        <w:t xml:space="preserve"> </w:t>
      </w:r>
    </w:p>
    <w:p w14:paraId="36F8516E" w14:textId="7F5E7F40" w:rsidR="00F619CE" w:rsidRPr="00950741" w:rsidRDefault="00E305A6"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Properly understood, therefore, </w:t>
      </w:r>
      <w:r w:rsidRPr="00950741">
        <w:rPr>
          <w:rFonts w:ascii="Times New Roman" w:hAnsi="Times New Roman"/>
          <w:i/>
          <w:iCs/>
        </w:rPr>
        <w:t>The Flaminia</w:t>
      </w:r>
      <w:r w:rsidRPr="00950741">
        <w:rPr>
          <w:rFonts w:ascii="Times New Roman" w:hAnsi="Times New Roman"/>
        </w:rPr>
        <w:t xml:space="preserve"> is the inverse of</w:t>
      </w:r>
      <w:r w:rsidR="00DE155E" w:rsidRPr="00950741">
        <w:rPr>
          <w:rFonts w:ascii="Times New Roman" w:hAnsi="Times New Roman"/>
        </w:rPr>
        <w:t xml:space="preserve"> this appeal</w:t>
      </w:r>
      <w:r w:rsidRPr="00950741">
        <w:rPr>
          <w:rFonts w:ascii="Times New Roman" w:hAnsi="Times New Roman"/>
        </w:rPr>
        <w:t xml:space="preserve">. In </w:t>
      </w:r>
      <w:r w:rsidRPr="00950741">
        <w:rPr>
          <w:rFonts w:ascii="Times New Roman" w:hAnsi="Times New Roman"/>
          <w:i/>
          <w:iCs/>
        </w:rPr>
        <w:t>The Flaminia</w:t>
      </w:r>
      <w:r w:rsidRPr="00950741">
        <w:rPr>
          <w:rFonts w:ascii="Times New Roman" w:hAnsi="Times New Roman"/>
        </w:rPr>
        <w:t xml:space="preserve"> </w:t>
      </w:r>
      <w:r w:rsidR="00A65BC7" w:rsidRPr="00950741">
        <w:rPr>
          <w:rFonts w:ascii="Times New Roman" w:hAnsi="Times New Roman"/>
        </w:rPr>
        <w:t xml:space="preserve">the claim was for </w:t>
      </w:r>
      <w:r w:rsidR="000D5A19" w:rsidRPr="00950741">
        <w:rPr>
          <w:rFonts w:ascii="Times New Roman" w:hAnsi="Times New Roman"/>
        </w:rPr>
        <w:t xml:space="preserve">damage consequential on </w:t>
      </w:r>
      <w:r w:rsidR="00CC475C" w:rsidRPr="00950741">
        <w:rPr>
          <w:rFonts w:ascii="Times New Roman" w:hAnsi="Times New Roman"/>
        </w:rPr>
        <w:t xml:space="preserve">damage to the limiting ship and therefore was </w:t>
      </w:r>
      <w:r w:rsidR="00061EE4" w:rsidRPr="00950741">
        <w:rPr>
          <w:rFonts w:ascii="Times New Roman" w:hAnsi="Times New Roman"/>
        </w:rPr>
        <w:t xml:space="preserve">not a claim within </w:t>
      </w:r>
      <w:r w:rsidR="00CC475C" w:rsidRPr="00950741">
        <w:rPr>
          <w:rFonts w:ascii="Times New Roman" w:hAnsi="Times New Roman"/>
        </w:rPr>
        <w:t>Art</w:t>
      </w:r>
      <w:r w:rsidR="00061EE4" w:rsidRPr="00950741">
        <w:rPr>
          <w:rFonts w:ascii="Times New Roman" w:hAnsi="Times New Roman"/>
        </w:rPr>
        <w:t> </w:t>
      </w:r>
      <w:r w:rsidR="00CC475C" w:rsidRPr="00950741">
        <w:rPr>
          <w:rFonts w:ascii="Times New Roman" w:hAnsi="Times New Roman"/>
        </w:rPr>
        <w:t>2</w:t>
      </w:r>
      <w:r w:rsidR="007815EB" w:rsidRPr="00950741">
        <w:rPr>
          <w:rFonts w:ascii="Times New Roman" w:hAnsi="Times New Roman"/>
        </w:rPr>
        <w:t>(</w:t>
      </w:r>
      <w:r w:rsidR="00CC475C" w:rsidRPr="00950741">
        <w:rPr>
          <w:rFonts w:ascii="Times New Roman" w:hAnsi="Times New Roman"/>
        </w:rPr>
        <w:t>1</w:t>
      </w:r>
      <w:r w:rsidR="007815EB" w:rsidRPr="00950741">
        <w:rPr>
          <w:rFonts w:ascii="Times New Roman" w:hAnsi="Times New Roman"/>
        </w:rPr>
        <w:t>)</w:t>
      </w:r>
      <w:r w:rsidR="00CC475C" w:rsidRPr="00950741">
        <w:rPr>
          <w:rFonts w:ascii="Times New Roman" w:hAnsi="Times New Roman"/>
        </w:rPr>
        <w:t>(a)</w:t>
      </w:r>
      <w:r w:rsidR="006C57ED" w:rsidRPr="00950741">
        <w:rPr>
          <w:rFonts w:ascii="Times New Roman" w:hAnsi="Times New Roman"/>
        </w:rPr>
        <w:t xml:space="preserve">. </w:t>
      </w:r>
      <w:r w:rsidR="00E67F30" w:rsidRPr="00950741">
        <w:rPr>
          <w:rFonts w:ascii="Times New Roman" w:hAnsi="Times New Roman"/>
        </w:rPr>
        <w:t xml:space="preserve">The argument was to the effect that </w:t>
      </w:r>
      <w:r w:rsidR="0034630C" w:rsidRPr="00950741">
        <w:rPr>
          <w:rFonts w:ascii="Times New Roman" w:hAnsi="Times New Roman"/>
        </w:rPr>
        <w:t xml:space="preserve">because </w:t>
      </w:r>
      <w:r w:rsidR="00E67F30" w:rsidRPr="00950741">
        <w:rPr>
          <w:rFonts w:ascii="Times New Roman" w:hAnsi="Times New Roman"/>
        </w:rPr>
        <w:t xml:space="preserve">the claim </w:t>
      </w:r>
      <w:r w:rsidR="0034630C" w:rsidRPr="00950741">
        <w:rPr>
          <w:rFonts w:ascii="Times New Roman" w:hAnsi="Times New Roman"/>
        </w:rPr>
        <w:t xml:space="preserve">was </w:t>
      </w:r>
      <w:r w:rsidR="00E67F30" w:rsidRPr="00950741">
        <w:rPr>
          <w:rFonts w:ascii="Times New Roman" w:hAnsi="Times New Roman"/>
        </w:rPr>
        <w:t>outside of Art</w:t>
      </w:r>
      <w:r w:rsidR="00061EE4" w:rsidRPr="00950741">
        <w:rPr>
          <w:rFonts w:ascii="Times New Roman" w:hAnsi="Times New Roman"/>
        </w:rPr>
        <w:t> </w:t>
      </w:r>
      <w:r w:rsidR="00E67F30" w:rsidRPr="00950741">
        <w:rPr>
          <w:rFonts w:ascii="Times New Roman" w:hAnsi="Times New Roman"/>
        </w:rPr>
        <w:t>2</w:t>
      </w:r>
      <w:r w:rsidR="00F4515A" w:rsidRPr="00950741">
        <w:rPr>
          <w:rFonts w:ascii="Times New Roman" w:hAnsi="Times New Roman"/>
        </w:rPr>
        <w:t>(</w:t>
      </w:r>
      <w:r w:rsidR="00E67F30" w:rsidRPr="00950741">
        <w:rPr>
          <w:rFonts w:ascii="Times New Roman" w:hAnsi="Times New Roman"/>
        </w:rPr>
        <w:t>1</w:t>
      </w:r>
      <w:r w:rsidR="00F4515A" w:rsidRPr="00950741">
        <w:rPr>
          <w:rFonts w:ascii="Times New Roman" w:hAnsi="Times New Roman"/>
        </w:rPr>
        <w:t>)</w:t>
      </w:r>
      <w:r w:rsidR="00E67F30" w:rsidRPr="00950741">
        <w:rPr>
          <w:rFonts w:ascii="Times New Roman" w:hAnsi="Times New Roman"/>
        </w:rPr>
        <w:t xml:space="preserve">(a) </w:t>
      </w:r>
      <w:r w:rsidR="0034630C" w:rsidRPr="00950741">
        <w:rPr>
          <w:rFonts w:ascii="Times New Roman" w:hAnsi="Times New Roman"/>
        </w:rPr>
        <w:t>as a claim</w:t>
      </w:r>
      <w:r w:rsidR="0018505E" w:rsidRPr="00950741">
        <w:rPr>
          <w:rFonts w:ascii="Times New Roman" w:hAnsi="Times New Roman"/>
        </w:rPr>
        <w:t xml:space="preserve"> for damage consequential on damage to the limiting ship</w:t>
      </w:r>
      <w:r w:rsidR="00F60B78" w:rsidRPr="00950741">
        <w:rPr>
          <w:rFonts w:ascii="Times New Roman" w:hAnsi="Times New Roman"/>
        </w:rPr>
        <w:t>,</w:t>
      </w:r>
      <w:r w:rsidR="0018505E" w:rsidRPr="00950741">
        <w:rPr>
          <w:rFonts w:ascii="Times New Roman" w:hAnsi="Times New Roman"/>
        </w:rPr>
        <w:t xml:space="preserve"> it must also be outside of Art</w:t>
      </w:r>
      <w:r w:rsidR="00061EE4" w:rsidRPr="00950741">
        <w:rPr>
          <w:rFonts w:ascii="Times New Roman" w:hAnsi="Times New Roman"/>
        </w:rPr>
        <w:t> </w:t>
      </w:r>
      <w:r w:rsidR="0018505E" w:rsidRPr="00950741">
        <w:rPr>
          <w:rFonts w:ascii="Times New Roman" w:hAnsi="Times New Roman"/>
        </w:rPr>
        <w:t>2</w:t>
      </w:r>
      <w:r w:rsidR="00F60B78" w:rsidRPr="00950741">
        <w:rPr>
          <w:rFonts w:ascii="Times New Roman" w:hAnsi="Times New Roman"/>
        </w:rPr>
        <w:t>(</w:t>
      </w:r>
      <w:r w:rsidR="0018505E" w:rsidRPr="00950741">
        <w:rPr>
          <w:rFonts w:ascii="Times New Roman" w:hAnsi="Times New Roman"/>
        </w:rPr>
        <w:t>1</w:t>
      </w:r>
      <w:r w:rsidR="00F60B78" w:rsidRPr="00950741">
        <w:rPr>
          <w:rFonts w:ascii="Times New Roman" w:hAnsi="Times New Roman"/>
        </w:rPr>
        <w:t>)</w:t>
      </w:r>
      <w:r w:rsidR="0018505E" w:rsidRPr="00950741">
        <w:rPr>
          <w:rFonts w:ascii="Times New Roman" w:hAnsi="Times New Roman"/>
        </w:rPr>
        <w:t>(e)</w:t>
      </w:r>
      <w:r w:rsidR="0019130F" w:rsidRPr="00950741">
        <w:rPr>
          <w:rFonts w:ascii="Times New Roman" w:hAnsi="Times New Roman"/>
        </w:rPr>
        <w:t xml:space="preserve"> </w:t>
      </w:r>
      <w:r w:rsidR="005643D0" w:rsidRPr="00950741">
        <w:rPr>
          <w:rFonts w:ascii="Times New Roman" w:hAnsi="Times New Roman"/>
        </w:rPr>
        <w:lastRenderedPageBreak/>
        <w:t xml:space="preserve">in respect of </w:t>
      </w:r>
      <w:r w:rsidR="0019130F" w:rsidRPr="00950741">
        <w:rPr>
          <w:rFonts w:ascii="Times New Roman" w:hAnsi="Times New Roman"/>
        </w:rPr>
        <w:t>which the</w:t>
      </w:r>
      <w:r w:rsidR="00A4006C" w:rsidRPr="00950741">
        <w:rPr>
          <w:rFonts w:ascii="Times New Roman" w:hAnsi="Times New Roman"/>
        </w:rPr>
        <w:t xml:space="preserve"> United Kingdom</w:t>
      </w:r>
      <w:r w:rsidR="005643D0" w:rsidRPr="00950741">
        <w:rPr>
          <w:rFonts w:ascii="Times New Roman" w:hAnsi="Times New Roman"/>
        </w:rPr>
        <w:t xml:space="preserve"> had not exercised the right </w:t>
      </w:r>
      <w:r w:rsidR="00F60B78" w:rsidRPr="00950741">
        <w:rPr>
          <w:rFonts w:ascii="Times New Roman" w:hAnsi="Times New Roman"/>
        </w:rPr>
        <w:t xml:space="preserve">of reservation </w:t>
      </w:r>
      <w:r w:rsidR="005643D0" w:rsidRPr="00950741">
        <w:rPr>
          <w:rFonts w:ascii="Times New Roman" w:hAnsi="Times New Roman"/>
        </w:rPr>
        <w:t>under Art</w:t>
      </w:r>
      <w:r w:rsidR="00F60B78" w:rsidRPr="00950741">
        <w:rPr>
          <w:rFonts w:ascii="Times New Roman" w:hAnsi="Times New Roman"/>
        </w:rPr>
        <w:t> </w:t>
      </w:r>
      <w:r w:rsidR="005643D0" w:rsidRPr="00950741">
        <w:rPr>
          <w:rFonts w:ascii="Times New Roman" w:hAnsi="Times New Roman"/>
        </w:rPr>
        <w:t>18</w:t>
      </w:r>
      <w:r w:rsidR="00F60B78" w:rsidRPr="00950741">
        <w:rPr>
          <w:rFonts w:ascii="Times New Roman" w:hAnsi="Times New Roman"/>
        </w:rPr>
        <w:t>(</w:t>
      </w:r>
      <w:r w:rsidR="005643D0" w:rsidRPr="00950741">
        <w:rPr>
          <w:rFonts w:ascii="Times New Roman" w:hAnsi="Times New Roman"/>
        </w:rPr>
        <w:t>1</w:t>
      </w:r>
      <w:r w:rsidR="00F60B78" w:rsidRPr="00950741">
        <w:rPr>
          <w:rFonts w:ascii="Times New Roman" w:hAnsi="Times New Roman"/>
        </w:rPr>
        <w:t>)</w:t>
      </w:r>
      <w:r w:rsidR="00A4006C" w:rsidRPr="00950741">
        <w:rPr>
          <w:rFonts w:ascii="Times New Roman" w:hAnsi="Times New Roman"/>
        </w:rPr>
        <w:t xml:space="preserve">. </w:t>
      </w:r>
      <w:r w:rsidR="006F0E4C" w:rsidRPr="00950741">
        <w:rPr>
          <w:rFonts w:ascii="Times New Roman" w:hAnsi="Times New Roman"/>
        </w:rPr>
        <w:t>In</w:t>
      </w:r>
      <w:r w:rsidR="00061EE4" w:rsidRPr="00950741">
        <w:rPr>
          <w:rFonts w:ascii="Times New Roman" w:hAnsi="Times New Roman"/>
        </w:rPr>
        <w:t xml:space="preserve"> this appeal</w:t>
      </w:r>
      <w:r w:rsidR="006F0E4C" w:rsidRPr="00950741">
        <w:rPr>
          <w:rFonts w:ascii="Times New Roman" w:hAnsi="Times New Roman"/>
        </w:rPr>
        <w:t xml:space="preserve">, </w:t>
      </w:r>
      <w:r w:rsidR="00D96B85" w:rsidRPr="00950741">
        <w:rPr>
          <w:rFonts w:ascii="Times New Roman" w:hAnsi="Times New Roman"/>
        </w:rPr>
        <w:t xml:space="preserve">in contrast, </w:t>
      </w:r>
      <w:r w:rsidR="006F0E4C" w:rsidRPr="00950741">
        <w:rPr>
          <w:rFonts w:ascii="Times New Roman" w:hAnsi="Times New Roman"/>
        </w:rPr>
        <w:t>the para</w:t>
      </w:r>
      <w:r w:rsidR="00061EE4" w:rsidRPr="00950741">
        <w:rPr>
          <w:rFonts w:ascii="Times New Roman" w:hAnsi="Times New Roman"/>
        </w:rPr>
        <w:t> </w:t>
      </w:r>
      <w:r w:rsidR="006F0E4C" w:rsidRPr="00950741">
        <w:rPr>
          <w:rFonts w:ascii="Times New Roman" w:hAnsi="Times New Roman"/>
        </w:rPr>
        <w:t>22(e)</w:t>
      </w:r>
      <w:r w:rsidR="00061EE4" w:rsidRPr="00950741">
        <w:rPr>
          <w:rFonts w:ascii="Times New Roman" w:hAnsi="Times New Roman"/>
        </w:rPr>
        <w:t> </w:t>
      </w:r>
      <w:r w:rsidR="006F0E4C" w:rsidRPr="00950741">
        <w:rPr>
          <w:rFonts w:ascii="Times New Roman" w:hAnsi="Times New Roman"/>
        </w:rPr>
        <w:t xml:space="preserve">claims </w:t>
      </w:r>
      <w:r w:rsidR="00596E6A" w:rsidRPr="00950741">
        <w:rPr>
          <w:rFonts w:ascii="Times New Roman" w:hAnsi="Times New Roman"/>
        </w:rPr>
        <w:t xml:space="preserve">are within </w:t>
      </w:r>
      <w:r w:rsidR="00D356E3" w:rsidRPr="00950741">
        <w:rPr>
          <w:rFonts w:ascii="Times New Roman" w:hAnsi="Times New Roman"/>
        </w:rPr>
        <w:t xml:space="preserve">both </w:t>
      </w:r>
      <w:r w:rsidR="008974C3" w:rsidRPr="00950741">
        <w:rPr>
          <w:rFonts w:ascii="Times New Roman" w:hAnsi="Times New Roman"/>
        </w:rPr>
        <w:t>Art</w:t>
      </w:r>
      <w:r w:rsidR="00061EE4" w:rsidRPr="00950741">
        <w:rPr>
          <w:rFonts w:ascii="Times New Roman" w:hAnsi="Times New Roman"/>
        </w:rPr>
        <w:t> </w:t>
      </w:r>
      <w:r w:rsidR="008974C3" w:rsidRPr="00950741">
        <w:rPr>
          <w:rFonts w:ascii="Times New Roman" w:hAnsi="Times New Roman"/>
        </w:rPr>
        <w:t>2</w:t>
      </w:r>
      <w:r w:rsidR="00D14EF6" w:rsidRPr="00950741">
        <w:rPr>
          <w:rFonts w:ascii="Times New Roman" w:hAnsi="Times New Roman"/>
        </w:rPr>
        <w:t>(</w:t>
      </w:r>
      <w:r w:rsidR="008974C3" w:rsidRPr="00950741">
        <w:rPr>
          <w:rFonts w:ascii="Times New Roman" w:hAnsi="Times New Roman"/>
        </w:rPr>
        <w:t>1</w:t>
      </w:r>
      <w:r w:rsidR="00D14EF6" w:rsidRPr="00950741">
        <w:rPr>
          <w:rFonts w:ascii="Times New Roman" w:hAnsi="Times New Roman"/>
        </w:rPr>
        <w:t>)</w:t>
      </w:r>
      <w:r w:rsidR="008974C3" w:rsidRPr="00950741">
        <w:rPr>
          <w:rFonts w:ascii="Times New Roman" w:hAnsi="Times New Roman"/>
        </w:rPr>
        <w:t>(a) and</w:t>
      </w:r>
      <w:r w:rsidR="004106BE" w:rsidRPr="00950741">
        <w:rPr>
          <w:rFonts w:ascii="Times New Roman" w:hAnsi="Times New Roman"/>
        </w:rPr>
        <w:t> </w:t>
      </w:r>
      <w:r w:rsidR="008974C3" w:rsidRPr="00950741">
        <w:rPr>
          <w:rFonts w:ascii="Times New Roman" w:hAnsi="Times New Roman"/>
        </w:rPr>
        <w:t xml:space="preserve">(d) in circumstances where </w:t>
      </w:r>
      <w:r w:rsidR="00582B37" w:rsidRPr="00950741">
        <w:rPr>
          <w:rFonts w:ascii="Times New Roman" w:hAnsi="Times New Roman"/>
        </w:rPr>
        <w:t xml:space="preserve">Australia </w:t>
      </w:r>
      <w:r w:rsidR="00D356E3" w:rsidRPr="00950741">
        <w:rPr>
          <w:rFonts w:ascii="Times New Roman" w:hAnsi="Times New Roman"/>
        </w:rPr>
        <w:t xml:space="preserve">has </w:t>
      </w:r>
      <w:r w:rsidR="00582B37" w:rsidRPr="00950741">
        <w:rPr>
          <w:rFonts w:ascii="Times New Roman" w:hAnsi="Times New Roman"/>
        </w:rPr>
        <w:t xml:space="preserve">exercised the </w:t>
      </w:r>
      <w:r w:rsidR="00D356E3" w:rsidRPr="00950741">
        <w:rPr>
          <w:rFonts w:ascii="Times New Roman" w:hAnsi="Times New Roman"/>
        </w:rPr>
        <w:t xml:space="preserve">right </w:t>
      </w:r>
      <w:r w:rsidR="002B3F68" w:rsidRPr="00950741">
        <w:rPr>
          <w:rFonts w:ascii="Times New Roman" w:hAnsi="Times New Roman"/>
        </w:rPr>
        <w:t>under Art</w:t>
      </w:r>
      <w:r w:rsidR="00061EE4" w:rsidRPr="00950741">
        <w:rPr>
          <w:rFonts w:ascii="Times New Roman" w:hAnsi="Times New Roman"/>
        </w:rPr>
        <w:t> </w:t>
      </w:r>
      <w:r w:rsidR="002B3F68" w:rsidRPr="00950741">
        <w:rPr>
          <w:rFonts w:ascii="Times New Roman" w:hAnsi="Times New Roman"/>
        </w:rPr>
        <w:t>18</w:t>
      </w:r>
      <w:r w:rsidR="003336C5" w:rsidRPr="00950741">
        <w:rPr>
          <w:rFonts w:ascii="Times New Roman" w:hAnsi="Times New Roman"/>
        </w:rPr>
        <w:t>(</w:t>
      </w:r>
      <w:r w:rsidR="002B3F68" w:rsidRPr="00950741">
        <w:rPr>
          <w:rFonts w:ascii="Times New Roman" w:hAnsi="Times New Roman"/>
        </w:rPr>
        <w:t>1</w:t>
      </w:r>
      <w:r w:rsidR="003336C5" w:rsidRPr="00950741">
        <w:rPr>
          <w:rFonts w:ascii="Times New Roman" w:hAnsi="Times New Roman"/>
        </w:rPr>
        <w:t>)</w:t>
      </w:r>
      <w:r w:rsidR="002B3F68" w:rsidRPr="00950741">
        <w:rPr>
          <w:rFonts w:ascii="Times New Roman" w:hAnsi="Times New Roman"/>
        </w:rPr>
        <w:t xml:space="preserve"> </w:t>
      </w:r>
      <w:r w:rsidR="00582B37" w:rsidRPr="00950741">
        <w:rPr>
          <w:rFonts w:ascii="Times New Roman" w:hAnsi="Times New Roman"/>
        </w:rPr>
        <w:t xml:space="preserve">to exclude the application of </w:t>
      </w:r>
      <w:r w:rsidR="00061EE4" w:rsidRPr="00950741">
        <w:rPr>
          <w:rFonts w:ascii="Times New Roman" w:hAnsi="Times New Roman"/>
        </w:rPr>
        <w:t xml:space="preserve">both </w:t>
      </w:r>
      <w:r w:rsidR="00582B37" w:rsidRPr="00950741">
        <w:rPr>
          <w:rFonts w:ascii="Times New Roman" w:hAnsi="Times New Roman"/>
        </w:rPr>
        <w:t>Art</w:t>
      </w:r>
      <w:r w:rsidR="00061EE4" w:rsidRPr="00950741">
        <w:rPr>
          <w:rFonts w:ascii="Times New Roman" w:hAnsi="Times New Roman"/>
        </w:rPr>
        <w:t> </w:t>
      </w:r>
      <w:r w:rsidR="00582B37" w:rsidRPr="00950741">
        <w:rPr>
          <w:rFonts w:ascii="Times New Roman" w:hAnsi="Times New Roman"/>
        </w:rPr>
        <w:t>2</w:t>
      </w:r>
      <w:r w:rsidR="003336C5" w:rsidRPr="00950741">
        <w:rPr>
          <w:rFonts w:ascii="Times New Roman" w:hAnsi="Times New Roman"/>
        </w:rPr>
        <w:t>(</w:t>
      </w:r>
      <w:r w:rsidR="00582B37" w:rsidRPr="00950741">
        <w:rPr>
          <w:rFonts w:ascii="Times New Roman" w:hAnsi="Times New Roman"/>
        </w:rPr>
        <w:t>1</w:t>
      </w:r>
      <w:r w:rsidR="003336C5" w:rsidRPr="00950741">
        <w:rPr>
          <w:rFonts w:ascii="Times New Roman" w:hAnsi="Times New Roman"/>
        </w:rPr>
        <w:t>)</w:t>
      </w:r>
      <w:r w:rsidR="00582B37" w:rsidRPr="00950741">
        <w:rPr>
          <w:rFonts w:ascii="Times New Roman" w:hAnsi="Times New Roman"/>
        </w:rPr>
        <w:t>(d) and</w:t>
      </w:r>
      <w:r w:rsidR="004106BE" w:rsidRPr="00950741">
        <w:rPr>
          <w:rFonts w:ascii="Times New Roman" w:hAnsi="Times New Roman"/>
        </w:rPr>
        <w:t> </w:t>
      </w:r>
      <w:r w:rsidR="00582B37" w:rsidRPr="00950741">
        <w:rPr>
          <w:rFonts w:ascii="Times New Roman" w:hAnsi="Times New Roman"/>
        </w:rPr>
        <w:t>(e) of the 1976</w:t>
      </w:r>
      <w:r w:rsidR="008B7E78" w:rsidRPr="00950741">
        <w:rPr>
          <w:rFonts w:ascii="Times New Roman" w:hAnsi="Times New Roman"/>
        </w:rPr>
        <w:t> </w:t>
      </w:r>
      <w:r w:rsidR="00582B37" w:rsidRPr="00950741">
        <w:rPr>
          <w:rFonts w:ascii="Times New Roman" w:hAnsi="Times New Roman"/>
        </w:rPr>
        <w:t xml:space="preserve">Convention. </w:t>
      </w:r>
      <w:r w:rsidR="00A118A8" w:rsidRPr="00950741">
        <w:rPr>
          <w:rFonts w:ascii="Times New Roman" w:hAnsi="Times New Roman"/>
          <w:i/>
          <w:iCs/>
        </w:rPr>
        <w:t>The Flaminia</w:t>
      </w:r>
      <w:r w:rsidR="00A118A8" w:rsidRPr="00950741">
        <w:rPr>
          <w:rFonts w:ascii="Times New Roman" w:hAnsi="Times New Roman"/>
        </w:rPr>
        <w:t xml:space="preserve"> </w:t>
      </w:r>
      <w:r w:rsidR="002B3F68" w:rsidRPr="00950741">
        <w:rPr>
          <w:rFonts w:ascii="Times New Roman" w:hAnsi="Times New Roman"/>
        </w:rPr>
        <w:t xml:space="preserve">therefore </w:t>
      </w:r>
      <w:r w:rsidR="00A118A8" w:rsidRPr="00950741">
        <w:rPr>
          <w:rFonts w:ascii="Times New Roman" w:hAnsi="Times New Roman"/>
        </w:rPr>
        <w:t xml:space="preserve">does not answer the </w:t>
      </w:r>
      <w:r w:rsidR="009C11DE" w:rsidRPr="00950741">
        <w:rPr>
          <w:rFonts w:ascii="Times New Roman" w:hAnsi="Times New Roman"/>
        </w:rPr>
        <w:t xml:space="preserve">question to which this </w:t>
      </w:r>
      <w:r w:rsidR="00061EE4" w:rsidRPr="00950741">
        <w:rPr>
          <w:rFonts w:ascii="Times New Roman" w:hAnsi="Times New Roman"/>
        </w:rPr>
        <w:t xml:space="preserve">appeal </w:t>
      </w:r>
      <w:r w:rsidR="009C11DE" w:rsidRPr="00950741">
        <w:rPr>
          <w:rFonts w:ascii="Times New Roman" w:hAnsi="Times New Roman"/>
        </w:rPr>
        <w:t>giv</w:t>
      </w:r>
      <w:r w:rsidR="0057042E" w:rsidRPr="00950741">
        <w:rPr>
          <w:rFonts w:ascii="Times New Roman" w:hAnsi="Times New Roman"/>
        </w:rPr>
        <w:t>es rise</w:t>
      </w:r>
      <w:r w:rsidR="003336C5" w:rsidRPr="00950741">
        <w:rPr>
          <w:rFonts w:ascii="Times New Roman" w:hAnsi="Times New Roman"/>
        </w:rPr>
        <w:t>. Nonetheless,</w:t>
      </w:r>
      <w:r w:rsidR="0057042E" w:rsidRPr="00950741">
        <w:rPr>
          <w:rFonts w:ascii="Times New Roman" w:hAnsi="Times New Roman"/>
        </w:rPr>
        <w:t xml:space="preserve"> the focus it demands on the ordinary meaning of the text of the 1976</w:t>
      </w:r>
      <w:r w:rsidR="00AE25F7" w:rsidRPr="00950741">
        <w:rPr>
          <w:rFonts w:ascii="Times New Roman" w:hAnsi="Times New Roman"/>
        </w:rPr>
        <w:t> </w:t>
      </w:r>
      <w:r w:rsidR="0057042E" w:rsidRPr="00950741">
        <w:rPr>
          <w:rFonts w:ascii="Times New Roman" w:hAnsi="Times New Roman"/>
        </w:rPr>
        <w:t>Convention is salutary.</w:t>
      </w:r>
    </w:p>
    <w:p w14:paraId="3D88BD7F" w14:textId="3D015777" w:rsidR="00F20096" w:rsidRPr="00950741" w:rsidRDefault="00D96B85" w:rsidP="00950741">
      <w:pPr>
        <w:pStyle w:val="HeadingL1"/>
        <w:spacing w:after="260" w:line="280" w:lineRule="exact"/>
        <w:ind w:right="0"/>
        <w:jc w:val="both"/>
        <w:rPr>
          <w:rFonts w:ascii="Times New Roman" w:hAnsi="Times New Roman"/>
        </w:rPr>
      </w:pPr>
      <w:r w:rsidRPr="00950741">
        <w:rPr>
          <w:rFonts w:ascii="Times New Roman" w:hAnsi="Times New Roman"/>
        </w:rPr>
        <w:t xml:space="preserve">The </w:t>
      </w:r>
      <w:r w:rsidR="00F20096" w:rsidRPr="00950741">
        <w:rPr>
          <w:rFonts w:ascii="Times New Roman" w:hAnsi="Times New Roman"/>
        </w:rPr>
        <w:t>Star Centurion</w:t>
      </w:r>
    </w:p>
    <w:p w14:paraId="4639C753" w14:textId="4534CF52" w:rsidR="00984FF0" w:rsidRPr="00950741" w:rsidRDefault="00984FF0" w:rsidP="00950741">
      <w:pPr>
        <w:pStyle w:val="HeadingL2"/>
        <w:spacing w:after="260" w:line="280" w:lineRule="exact"/>
        <w:ind w:right="0"/>
        <w:jc w:val="both"/>
        <w:rPr>
          <w:rFonts w:ascii="Times New Roman" w:hAnsi="Times New Roman"/>
        </w:rPr>
      </w:pPr>
      <w:r w:rsidRPr="00950741">
        <w:rPr>
          <w:rFonts w:ascii="Times New Roman" w:hAnsi="Times New Roman"/>
        </w:rPr>
        <w:t>Reasoning in The Star Centurion</w:t>
      </w:r>
    </w:p>
    <w:p w14:paraId="56859296" w14:textId="14498E04" w:rsidR="003178AD" w:rsidRPr="00950741" w:rsidRDefault="00CF1CF5"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2C6037" w:rsidRPr="00950741">
        <w:rPr>
          <w:rFonts w:ascii="Times New Roman" w:hAnsi="Times New Roman"/>
        </w:rPr>
        <w:t xml:space="preserve">In </w:t>
      </w:r>
      <w:r w:rsidR="001950FB" w:rsidRPr="00950741">
        <w:rPr>
          <w:rFonts w:ascii="Times New Roman" w:hAnsi="Times New Roman"/>
          <w:i/>
          <w:iCs/>
        </w:rPr>
        <w:t>The Star Centurion</w:t>
      </w:r>
      <w:r w:rsidR="00F435C3" w:rsidRPr="00950741">
        <w:rPr>
          <w:rFonts w:ascii="Times New Roman" w:hAnsi="Times New Roman"/>
        </w:rPr>
        <w:t>,</w:t>
      </w:r>
      <w:r w:rsidR="0083595E" w:rsidRPr="00950741">
        <w:rPr>
          <w:rStyle w:val="FootnoteReference"/>
          <w:rFonts w:ascii="Times New Roman" w:hAnsi="Times New Roman"/>
          <w:sz w:val="24"/>
        </w:rPr>
        <w:footnoteReference w:id="37"/>
      </w:r>
      <w:r w:rsidR="001950FB" w:rsidRPr="00950741">
        <w:rPr>
          <w:rFonts w:ascii="Times New Roman" w:hAnsi="Times New Roman"/>
        </w:rPr>
        <w:t xml:space="preserve"> a decision of </w:t>
      </w:r>
      <w:r w:rsidR="00246C28" w:rsidRPr="00950741">
        <w:rPr>
          <w:rFonts w:ascii="Times New Roman" w:hAnsi="Times New Roman"/>
        </w:rPr>
        <w:t xml:space="preserve">the </w:t>
      </w:r>
      <w:r w:rsidR="00D33FB4" w:rsidRPr="00950741">
        <w:rPr>
          <w:rFonts w:ascii="Times New Roman" w:hAnsi="Times New Roman"/>
        </w:rPr>
        <w:t xml:space="preserve">Hong Kong </w:t>
      </w:r>
      <w:r w:rsidR="000977F8" w:rsidRPr="00950741">
        <w:rPr>
          <w:rFonts w:ascii="Times New Roman" w:hAnsi="Times New Roman"/>
        </w:rPr>
        <w:t xml:space="preserve">Court of Final Appeal, </w:t>
      </w:r>
      <w:r w:rsidR="00D52BF6" w:rsidRPr="00950741">
        <w:rPr>
          <w:rFonts w:ascii="Times New Roman" w:hAnsi="Times New Roman"/>
        </w:rPr>
        <w:t xml:space="preserve">the limiting ship </w:t>
      </w:r>
      <w:r w:rsidR="00D734F1" w:rsidRPr="00950741">
        <w:rPr>
          <w:rFonts w:ascii="Times New Roman" w:hAnsi="Times New Roman"/>
        </w:rPr>
        <w:t>(</w:t>
      </w:r>
      <w:r w:rsidR="00B73332" w:rsidRPr="00950741">
        <w:rPr>
          <w:rFonts w:ascii="Times New Roman" w:hAnsi="Times New Roman"/>
        </w:rPr>
        <w:t>"</w:t>
      </w:r>
      <w:r w:rsidR="0054492D" w:rsidRPr="00950741">
        <w:rPr>
          <w:rFonts w:ascii="Times New Roman" w:hAnsi="Times New Roman"/>
        </w:rPr>
        <w:t xml:space="preserve">the </w:t>
      </w:r>
      <w:r w:rsidR="00B354D9" w:rsidRPr="00950741">
        <w:rPr>
          <w:rFonts w:ascii="Times New Roman" w:hAnsi="Times New Roman"/>
        </w:rPr>
        <w:t>ANTEA"</w:t>
      </w:r>
      <w:r w:rsidR="00D734F1" w:rsidRPr="00950741">
        <w:rPr>
          <w:rFonts w:ascii="Times New Roman" w:hAnsi="Times New Roman"/>
        </w:rPr>
        <w:t xml:space="preserve">) </w:t>
      </w:r>
      <w:r w:rsidR="00776991" w:rsidRPr="00950741">
        <w:rPr>
          <w:rFonts w:ascii="Times New Roman" w:hAnsi="Times New Roman"/>
        </w:rPr>
        <w:t>collided</w:t>
      </w:r>
      <w:r w:rsidR="00D734F1" w:rsidRPr="00950741">
        <w:rPr>
          <w:rFonts w:ascii="Times New Roman" w:hAnsi="Times New Roman"/>
        </w:rPr>
        <w:t xml:space="preserve"> with another ship</w:t>
      </w:r>
      <w:r w:rsidR="00B354D9" w:rsidRPr="00950741">
        <w:rPr>
          <w:rFonts w:ascii="Times New Roman" w:hAnsi="Times New Roman"/>
        </w:rPr>
        <w:t xml:space="preserve"> </w:t>
      </w:r>
      <w:r w:rsidR="00B07FC4" w:rsidRPr="00950741">
        <w:rPr>
          <w:rFonts w:ascii="Times New Roman" w:hAnsi="Times New Roman"/>
        </w:rPr>
        <w:t>(</w:t>
      </w:r>
      <w:r w:rsidR="00FC5B40" w:rsidRPr="00950741">
        <w:rPr>
          <w:rFonts w:ascii="Times New Roman" w:hAnsi="Times New Roman"/>
        </w:rPr>
        <w:t>"</w:t>
      </w:r>
      <w:r w:rsidR="0054492D" w:rsidRPr="00950741">
        <w:rPr>
          <w:rFonts w:ascii="Times New Roman" w:hAnsi="Times New Roman"/>
        </w:rPr>
        <w:t xml:space="preserve">the </w:t>
      </w:r>
      <w:r w:rsidR="00B07FC4" w:rsidRPr="00950741">
        <w:rPr>
          <w:rFonts w:ascii="Times New Roman" w:hAnsi="Times New Roman"/>
        </w:rPr>
        <w:t>Star Centurion")</w:t>
      </w:r>
      <w:r w:rsidR="003C0B5A" w:rsidRPr="00950741">
        <w:rPr>
          <w:rFonts w:ascii="Times New Roman" w:hAnsi="Times New Roman"/>
        </w:rPr>
        <w:t xml:space="preserve"> causing</w:t>
      </w:r>
      <w:r w:rsidR="00312E10" w:rsidRPr="00950741">
        <w:rPr>
          <w:rFonts w:ascii="Times New Roman" w:hAnsi="Times New Roman"/>
        </w:rPr>
        <w:t xml:space="preserve"> </w:t>
      </w:r>
      <w:r w:rsidR="00D946BC" w:rsidRPr="00950741">
        <w:rPr>
          <w:rFonts w:ascii="Times New Roman" w:hAnsi="Times New Roman"/>
        </w:rPr>
        <w:t xml:space="preserve">the </w:t>
      </w:r>
      <w:r w:rsidR="00312E10" w:rsidRPr="00950741">
        <w:rPr>
          <w:rFonts w:ascii="Times New Roman" w:hAnsi="Times New Roman"/>
        </w:rPr>
        <w:t xml:space="preserve">Star Centurion </w:t>
      </w:r>
      <w:r w:rsidR="003C0B5A" w:rsidRPr="00950741">
        <w:rPr>
          <w:rFonts w:ascii="Times New Roman" w:hAnsi="Times New Roman"/>
        </w:rPr>
        <w:t>to</w:t>
      </w:r>
      <w:r w:rsidR="00312E10" w:rsidRPr="00950741">
        <w:rPr>
          <w:rFonts w:ascii="Times New Roman" w:hAnsi="Times New Roman"/>
        </w:rPr>
        <w:t xml:space="preserve"> s</w:t>
      </w:r>
      <w:r w:rsidR="003C0B5A" w:rsidRPr="00950741">
        <w:rPr>
          <w:rFonts w:ascii="Times New Roman" w:hAnsi="Times New Roman"/>
        </w:rPr>
        <w:t>i</w:t>
      </w:r>
      <w:r w:rsidR="00312E10" w:rsidRPr="00950741">
        <w:rPr>
          <w:rFonts w:ascii="Times New Roman" w:hAnsi="Times New Roman"/>
        </w:rPr>
        <w:t>nk</w:t>
      </w:r>
      <w:r w:rsidR="00973FC5" w:rsidRPr="00950741">
        <w:rPr>
          <w:rFonts w:ascii="Times New Roman" w:hAnsi="Times New Roman"/>
        </w:rPr>
        <w:t xml:space="preserve">. The owner of </w:t>
      </w:r>
      <w:r w:rsidR="0054492D" w:rsidRPr="00950741">
        <w:rPr>
          <w:rFonts w:ascii="Times New Roman" w:hAnsi="Times New Roman"/>
        </w:rPr>
        <w:t xml:space="preserve">the </w:t>
      </w:r>
      <w:r w:rsidR="00973FC5" w:rsidRPr="00950741">
        <w:rPr>
          <w:rFonts w:ascii="Times New Roman" w:hAnsi="Times New Roman"/>
        </w:rPr>
        <w:t xml:space="preserve">Star Centurion </w:t>
      </w:r>
      <w:r w:rsidR="00CF6657" w:rsidRPr="00950741">
        <w:rPr>
          <w:rFonts w:ascii="Times New Roman" w:hAnsi="Times New Roman"/>
        </w:rPr>
        <w:t>and other persons claiming or entitled to claim damages</w:t>
      </w:r>
      <w:r w:rsidR="005E4533" w:rsidRPr="00950741">
        <w:rPr>
          <w:rFonts w:ascii="Times New Roman" w:hAnsi="Times New Roman"/>
        </w:rPr>
        <w:t xml:space="preserve"> arising from the collision</w:t>
      </w:r>
      <w:r w:rsidR="00CF6657" w:rsidRPr="00950741">
        <w:rPr>
          <w:rFonts w:ascii="Times New Roman" w:hAnsi="Times New Roman"/>
        </w:rPr>
        <w:t xml:space="preserve"> </w:t>
      </w:r>
      <w:r w:rsidR="00EE5363" w:rsidRPr="00950741">
        <w:rPr>
          <w:rFonts w:ascii="Times New Roman" w:hAnsi="Times New Roman"/>
        </w:rPr>
        <w:t xml:space="preserve">(the respondents) </w:t>
      </w:r>
      <w:r w:rsidR="00973FC5" w:rsidRPr="00950741">
        <w:rPr>
          <w:rFonts w:ascii="Times New Roman" w:hAnsi="Times New Roman"/>
        </w:rPr>
        <w:t xml:space="preserve">incurred expenses in removing the </w:t>
      </w:r>
      <w:r w:rsidR="00776BA9" w:rsidRPr="00950741">
        <w:rPr>
          <w:rFonts w:ascii="Times New Roman" w:hAnsi="Times New Roman"/>
        </w:rPr>
        <w:t xml:space="preserve">wreck of the Star Centurion from the water. </w:t>
      </w:r>
      <w:r w:rsidR="003A7D2F" w:rsidRPr="00950741">
        <w:rPr>
          <w:rFonts w:ascii="Times New Roman" w:hAnsi="Times New Roman"/>
        </w:rPr>
        <w:t xml:space="preserve">The owner of </w:t>
      </w:r>
      <w:r w:rsidR="0054492D" w:rsidRPr="00950741">
        <w:rPr>
          <w:rFonts w:ascii="Times New Roman" w:hAnsi="Times New Roman"/>
        </w:rPr>
        <w:t xml:space="preserve">the </w:t>
      </w:r>
      <w:r w:rsidR="003A7D2F" w:rsidRPr="00950741">
        <w:rPr>
          <w:rFonts w:ascii="Times New Roman" w:hAnsi="Times New Roman"/>
        </w:rPr>
        <w:t>ANTEA</w:t>
      </w:r>
      <w:r w:rsidR="006532CF" w:rsidRPr="00950741">
        <w:rPr>
          <w:rFonts w:ascii="Times New Roman" w:hAnsi="Times New Roman"/>
        </w:rPr>
        <w:t xml:space="preserve"> (the appellant)</w:t>
      </w:r>
      <w:r w:rsidR="003A7D2F" w:rsidRPr="00950741">
        <w:rPr>
          <w:rFonts w:ascii="Times New Roman" w:hAnsi="Times New Roman"/>
        </w:rPr>
        <w:t xml:space="preserve">, which accepted sole responsibility for the collision, </w:t>
      </w:r>
      <w:r w:rsidR="0003740D" w:rsidRPr="00950741">
        <w:rPr>
          <w:rFonts w:ascii="Times New Roman" w:hAnsi="Times New Roman"/>
        </w:rPr>
        <w:t xml:space="preserve">commenced proceedings </w:t>
      </w:r>
      <w:r w:rsidR="00CE4256" w:rsidRPr="00950741">
        <w:rPr>
          <w:rFonts w:ascii="Times New Roman" w:hAnsi="Times New Roman"/>
        </w:rPr>
        <w:t xml:space="preserve">in Hong Kong </w:t>
      </w:r>
      <w:r w:rsidR="0003740D" w:rsidRPr="00950741">
        <w:rPr>
          <w:rFonts w:ascii="Times New Roman" w:hAnsi="Times New Roman"/>
        </w:rPr>
        <w:t>claiming a right to limit its liability under the 1976</w:t>
      </w:r>
      <w:r w:rsidR="00236A19" w:rsidRPr="00950741">
        <w:rPr>
          <w:rFonts w:ascii="Times New Roman" w:hAnsi="Times New Roman"/>
        </w:rPr>
        <w:t> </w:t>
      </w:r>
      <w:r w:rsidR="00CE4256" w:rsidRPr="00950741">
        <w:rPr>
          <w:rFonts w:ascii="Times New Roman" w:hAnsi="Times New Roman"/>
        </w:rPr>
        <w:t xml:space="preserve">Convention. </w:t>
      </w:r>
      <w:r w:rsidR="007A1A97" w:rsidRPr="00950741">
        <w:rPr>
          <w:rFonts w:ascii="Times New Roman" w:hAnsi="Times New Roman"/>
        </w:rPr>
        <w:t>H</w:t>
      </w:r>
      <w:r w:rsidR="00CE4256" w:rsidRPr="00950741">
        <w:rPr>
          <w:rFonts w:ascii="Times New Roman" w:hAnsi="Times New Roman"/>
        </w:rPr>
        <w:t xml:space="preserve">ong Kong had </w:t>
      </w:r>
      <w:r w:rsidR="007A1A97" w:rsidRPr="00950741">
        <w:rPr>
          <w:rFonts w:ascii="Times New Roman" w:hAnsi="Times New Roman"/>
        </w:rPr>
        <w:t>acceded to the 1976</w:t>
      </w:r>
      <w:r w:rsidR="00236A19" w:rsidRPr="00950741">
        <w:rPr>
          <w:rFonts w:ascii="Times New Roman" w:hAnsi="Times New Roman"/>
        </w:rPr>
        <w:t> </w:t>
      </w:r>
      <w:r w:rsidR="007A1A97" w:rsidRPr="00950741">
        <w:rPr>
          <w:rFonts w:ascii="Times New Roman" w:hAnsi="Times New Roman"/>
        </w:rPr>
        <w:t>Convention subject to exercising its right under Art</w:t>
      </w:r>
      <w:r w:rsidR="003933FA" w:rsidRPr="00950741">
        <w:rPr>
          <w:rFonts w:ascii="Times New Roman" w:hAnsi="Times New Roman"/>
        </w:rPr>
        <w:t> </w:t>
      </w:r>
      <w:r w:rsidR="007A1A97" w:rsidRPr="00950741">
        <w:rPr>
          <w:rFonts w:ascii="Times New Roman" w:hAnsi="Times New Roman"/>
        </w:rPr>
        <w:t>18</w:t>
      </w:r>
      <w:r w:rsidR="009E7DA7" w:rsidRPr="00950741">
        <w:rPr>
          <w:rFonts w:ascii="Times New Roman" w:hAnsi="Times New Roman"/>
        </w:rPr>
        <w:t>(</w:t>
      </w:r>
      <w:r w:rsidR="007A1A97" w:rsidRPr="00950741">
        <w:rPr>
          <w:rFonts w:ascii="Times New Roman" w:hAnsi="Times New Roman"/>
        </w:rPr>
        <w:t>1</w:t>
      </w:r>
      <w:r w:rsidR="009E7DA7" w:rsidRPr="00950741">
        <w:rPr>
          <w:rFonts w:ascii="Times New Roman" w:hAnsi="Times New Roman"/>
        </w:rPr>
        <w:t>)</w:t>
      </w:r>
      <w:r w:rsidR="007A1A97" w:rsidRPr="00950741">
        <w:rPr>
          <w:rFonts w:ascii="Times New Roman" w:hAnsi="Times New Roman"/>
        </w:rPr>
        <w:t xml:space="preserve"> to exclude the application of </w:t>
      </w:r>
      <w:r w:rsidR="006B13CB" w:rsidRPr="00950741">
        <w:rPr>
          <w:rFonts w:ascii="Times New Roman" w:hAnsi="Times New Roman"/>
        </w:rPr>
        <w:t>Art</w:t>
      </w:r>
      <w:r w:rsidR="00236A19" w:rsidRPr="00950741">
        <w:rPr>
          <w:rFonts w:ascii="Times New Roman" w:hAnsi="Times New Roman"/>
        </w:rPr>
        <w:t> </w:t>
      </w:r>
      <w:r w:rsidR="006B13CB" w:rsidRPr="00950741">
        <w:rPr>
          <w:rFonts w:ascii="Times New Roman" w:hAnsi="Times New Roman"/>
        </w:rPr>
        <w:t>2</w:t>
      </w:r>
      <w:r w:rsidR="000A6C37" w:rsidRPr="00950741">
        <w:rPr>
          <w:rFonts w:ascii="Times New Roman" w:hAnsi="Times New Roman"/>
        </w:rPr>
        <w:t>(</w:t>
      </w:r>
      <w:r w:rsidR="006B13CB" w:rsidRPr="00950741">
        <w:rPr>
          <w:rFonts w:ascii="Times New Roman" w:hAnsi="Times New Roman"/>
        </w:rPr>
        <w:t>1</w:t>
      </w:r>
      <w:r w:rsidR="000A6C37" w:rsidRPr="00950741">
        <w:rPr>
          <w:rFonts w:ascii="Times New Roman" w:hAnsi="Times New Roman"/>
        </w:rPr>
        <w:t>)</w:t>
      </w:r>
      <w:r w:rsidR="006B13CB" w:rsidRPr="00950741">
        <w:rPr>
          <w:rFonts w:ascii="Times New Roman" w:hAnsi="Times New Roman"/>
        </w:rPr>
        <w:t>(d) ("claims in respect of the raising, removal, destruction or the rendering harmless of a ship which is sunk, wrecked, stranded or abandoned</w:t>
      </w:r>
      <w:r w:rsidR="00F435C3" w:rsidRPr="00950741">
        <w:rPr>
          <w:rFonts w:ascii="Times New Roman" w:hAnsi="Times New Roman"/>
        </w:rPr>
        <w:t> </w:t>
      </w:r>
      <w:r w:rsidR="006B13CB" w:rsidRPr="00950741">
        <w:rPr>
          <w:rFonts w:ascii="Times New Roman" w:hAnsi="Times New Roman"/>
        </w:rPr>
        <w:t>...")</w:t>
      </w:r>
      <w:r w:rsidR="003178AD" w:rsidRPr="00950741">
        <w:rPr>
          <w:rFonts w:ascii="Times New Roman" w:hAnsi="Times New Roman"/>
        </w:rPr>
        <w:t>.</w:t>
      </w:r>
      <w:r w:rsidR="006B13CB" w:rsidRPr="00950741">
        <w:rPr>
          <w:rFonts w:ascii="Times New Roman" w:hAnsi="Times New Roman"/>
        </w:rPr>
        <w:t xml:space="preserve"> </w:t>
      </w:r>
      <w:r w:rsidR="00361267" w:rsidRPr="00950741">
        <w:rPr>
          <w:rFonts w:ascii="Times New Roman" w:hAnsi="Times New Roman"/>
        </w:rPr>
        <w:t>Art</w:t>
      </w:r>
      <w:r w:rsidR="00236A19" w:rsidRPr="00950741">
        <w:rPr>
          <w:rFonts w:ascii="Times New Roman" w:hAnsi="Times New Roman"/>
        </w:rPr>
        <w:t> </w:t>
      </w:r>
      <w:r w:rsidR="00361267" w:rsidRPr="00950741">
        <w:rPr>
          <w:rFonts w:ascii="Times New Roman" w:hAnsi="Times New Roman"/>
        </w:rPr>
        <w:t>2</w:t>
      </w:r>
      <w:r w:rsidR="00515492" w:rsidRPr="00950741">
        <w:rPr>
          <w:rFonts w:ascii="Times New Roman" w:hAnsi="Times New Roman"/>
        </w:rPr>
        <w:t>(</w:t>
      </w:r>
      <w:r w:rsidR="00361267" w:rsidRPr="00950741">
        <w:rPr>
          <w:rFonts w:ascii="Times New Roman" w:hAnsi="Times New Roman"/>
        </w:rPr>
        <w:t>1</w:t>
      </w:r>
      <w:r w:rsidR="00515492" w:rsidRPr="00950741">
        <w:rPr>
          <w:rFonts w:ascii="Times New Roman" w:hAnsi="Times New Roman"/>
        </w:rPr>
        <w:t>)</w:t>
      </w:r>
      <w:r w:rsidR="00361267" w:rsidRPr="00950741">
        <w:rPr>
          <w:rFonts w:ascii="Times New Roman" w:hAnsi="Times New Roman"/>
        </w:rPr>
        <w:t xml:space="preserve">(d) was </w:t>
      </w:r>
      <w:r w:rsidR="003178AD" w:rsidRPr="00950741">
        <w:rPr>
          <w:rFonts w:ascii="Times New Roman" w:hAnsi="Times New Roman"/>
        </w:rPr>
        <w:t xml:space="preserve">therefore </w:t>
      </w:r>
      <w:r w:rsidR="00361267" w:rsidRPr="00950741">
        <w:rPr>
          <w:rFonts w:ascii="Times New Roman" w:hAnsi="Times New Roman"/>
        </w:rPr>
        <w:t>disapplied in the Hong Kong legislation giving legal effect to the 1976</w:t>
      </w:r>
      <w:r w:rsidR="00236A19" w:rsidRPr="00950741">
        <w:rPr>
          <w:rFonts w:ascii="Times New Roman" w:hAnsi="Times New Roman"/>
        </w:rPr>
        <w:t> </w:t>
      </w:r>
      <w:r w:rsidR="00361267" w:rsidRPr="00950741">
        <w:rPr>
          <w:rFonts w:ascii="Times New Roman" w:hAnsi="Times New Roman"/>
        </w:rPr>
        <w:t>Convention.</w:t>
      </w:r>
      <w:r w:rsidR="006532CF" w:rsidRPr="00950741">
        <w:rPr>
          <w:rFonts w:ascii="Times New Roman" w:hAnsi="Times New Roman"/>
        </w:rPr>
        <w:t xml:space="preserve"> The </w:t>
      </w:r>
      <w:r w:rsidR="00EE5363" w:rsidRPr="00950741">
        <w:rPr>
          <w:rFonts w:ascii="Times New Roman" w:hAnsi="Times New Roman"/>
        </w:rPr>
        <w:t xml:space="preserve">respondents contended that </w:t>
      </w:r>
      <w:r w:rsidR="00AB777F" w:rsidRPr="00950741">
        <w:rPr>
          <w:rFonts w:ascii="Times New Roman" w:hAnsi="Times New Roman"/>
        </w:rPr>
        <w:t>"[</w:t>
      </w:r>
      <w:r w:rsidR="00EE5363" w:rsidRPr="00950741">
        <w:rPr>
          <w:rFonts w:ascii="Times New Roman" w:hAnsi="Times New Roman"/>
        </w:rPr>
        <w:t>Art</w:t>
      </w:r>
      <w:r w:rsidR="00236A19" w:rsidRPr="00950741">
        <w:rPr>
          <w:rFonts w:ascii="Times New Roman" w:hAnsi="Times New Roman"/>
        </w:rPr>
        <w:t> </w:t>
      </w:r>
      <w:r w:rsidR="00EE5363" w:rsidRPr="00950741">
        <w:rPr>
          <w:rFonts w:ascii="Times New Roman" w:hAnsi="Times New Roman"/>
        </w:rPr>
        <w:t>2</w:t>
      </w:r>
      <w:r w:rsidR="00BF6DF0" w:rsidRPr="00950741">
        <w:rPr>
          <w:rFonts w:ascii="Times New Roman" w:hAnsi="Times New Roman"/>
        </w:rPr>
        <w:t>(</w:t>
      </w:r>
      <w:r w:rsidR="00EE5363" w:rsidRPr="00950741">
        <w:rPr>
          <w:rFonts w:ascii="Times New Roman" w:hAnsi="Times New Roman"/>
        </w:rPr>
        <w:t>1</w:t>
      </w:r>
      <w:r w:rsidR="00BF6DF0" w:rsidRPr="00950741">
        <w:rPr>
          <w:rFonts w:ascii="Times New Roman" w:hAnsi="Times New Roman"/>
        </w:rPr>
        <w:t>)</w:t>
      </w:r>
      <w:r w:rsidR="00EE5363" w:rsidRPr="00950741">
        <w:rPr>
          <w:rFonts w:ascii="Times New Roman" w:hAnsi="Times New Roman"/>
        </w:rPr>
        <w:t>(d)</w:t>
      </w:r>
      <w:r w:rsidR="00AB777F" w:rsidRPr="00950741">
        <w:rPr>
          <w:rFonts w:ascii="Times New Roman" w:hAnsi="Times New Roman"/>
        </w:rPr>
        <w:t>]</w:t>
      </w:r>
      <w:r w:rsidR="00EE5363" w:rsidRPr="00950741">
        <w:rPr>
          <w:rFonts w:ascii="Times New Roman" w:hAnsi="Times New Roman"/>
        </w:rPr>
        <w:t xml:space="preserve"> </w:t>
      </w:r>
      <w:r w:rsidR="004F31EE" w:rsidRPr="00950741">
        <w:rPr>
          <w:rFonts w:ascii="Times New Roman" w:hAnsi="Times New Roman"/>
        </w:rPr>
        <w:t>having been disapplied, their claims in respect of wreck removal were not subject to limitation</w:t>
      </w:r>
      <w:r w:rsidR="00DF1E4E" w:rsidRPr="00950741">
        <w:rPr>
          <w:rFonts w:ascii="Times New Roman" w:hAnsi="Times New Roman"/>
        </w:rPr>
        <w:t>"</w:t>
      </w:r>
      <w:r w:rsidR="004F31EE" w:rsidRPr="00950741">
        <w:rPr>
          <w:rFonts w:ascii="Times New Roman" w:hAnsi="Times New Roman"/>
        </w:rPr>
        <w:t>.</w:t>
      </w:r>
      <w:r w:rsidR="00350F6D" w:rsidRPr="00950741">
        <w:rPr>
          <w:rStyle w:val="FootnoteReference"/>
          <w:rFonts w:ascii="Times New Roman" w:hAnsi="Times New Roman"/>
          <w:sz w:val="24"/>
        </w:rPr>
        <w:footnoteReference w:id="38"/>
      </w:r>
      <w:r w:rsidR="004F31EE" w:rsidRPr="00950741">
        <w:rPr>
          <w:rFonts w:ascii="Times New Roman" w:hAnsi="Times New Roman"/>
        </w:rPr>
        <w:t xml:space="preserve"> The appellant contended that </w:t>
      </w:r>
      <w:r w:rsidR="00CE112C" w:rsidRPr="00950741">
        <w:rPr>
          <w:rFonts w:ascii="Times New Roman" w:hAnsi="Times New Roman"/>
        </w:rPr>
        <w:t xml:space="preserve">it "was entitled to limit its liability to the respondents in respect of wreck removal expenses pursuant to </w:t>
      </w:r>
      <w:r w:rsidR="003A4961" w:rsidRPr="00950741">
        <w:rPr>
          <w:rFonts w:ascii="Times New Roman" w:hAnsi="Times New Roman"/>
        </w:rPr>
        <w:t>[A</w:t>
      </w:r>
      <w:r w:rsidR="00CE112C" w:rsidRPr="00950741">
        <w:rPr>
          <w:rFonts w:ascii="Times New Roman" w:hAnsi="Times New Roman"/>
        </w:rPr>
        <w:t>rt</w:t>
      </w:r>
      <w:r w:rsidR="00236A19" w:rsidRPr="00950741">
        <w:rPr>
          <w:rFonts w:ascii="Times New Roman" w:hAnsi="Times New Roman"/>
        </w:rPr>
        <w:t> </w:t>
      </w:r>
      <w:r w:rsidR="00CE112C" w:rsidRPr="00950741">
        <w:rPr>
          <w:rFonts w:ascii="Times New Roman" w:hAnsi="Times New Roman"/>
        </w:rPr>
        <w:t>2(1)(a)</w:t>
      </w:r>
      <w:r w:rsidR="003A4961" w:rsidRPr="00950741">
        <w:rPr>
          <w:rFonts w:ascii="Times New Roman" w:hAnsi="Times New Roman"/>
        </w:rPr>
        <w:t>]</w:t>
      </w:r>
      <w:r w:rsidR="00CE112C" w:rsidRPr="00950741">
        <w:rPr>
          <w:rFonts w:ascii="Times New Roman" w:hAnsi="Times New Roman"/>
        </w:rPr>
        <w:t xml:space="preserve"> of the Convention" as "the respondents</w:t>
      </w:r>
      <w:r w:rsidR="003178AD" w:rsidRPr="00950741">
        <w:rPr>
          <w:rFonts w:ascii="Times New Roman" w:hAnsi="Times New Roman"/>
        </w:rPr>
        <w:t>'</w:t>
      </w:r>
      <w:r w:rsidR="00CE112C" w:rsidRPr="00950741">
        <w:rPr>
          <w:rFonts w:ascii="Times New Roman" w:hAnsi="Times New Roman"/>
        </w:rPr>
        <w:t xml:space="preserve"> claim for wreck removal is a claim in respect of </w:t>
      </w:r>
      <w:r w:rsidR="00E8782E" w:rsidRPr="00950741">
        <w:rPr>
          <w:rFonts w:ascii="Times New Roman" w:hAnsi="Times New Roman"/>
        </w:rPr>
        <w:t>'</w:t>
      </w:r>
      <w:r w:rsidR="00CE112C" w:rsidRPr="00950741">
        <w:rPr>
          <w:rFonts w:ascii="Times New Roman" w:hAnsi="Times New Roman"/>
        </w:rPr>
        <w:t>consequential loss</w:t>
      </w:r>
      <w:r w:rsidR="00F20F3C" w:rsidRPr="00950741">
        <w:rPr>
          <w:rFonts w:ascii="Times New Roman" w:hAnsi="Times New Roman"/>
        </w:rPr>
        <w:t>'</w:t>
      </w:r>
      <w:r w:rsidR="00CE112C" w:rsidRPr="00950741">
        <w:rPr>
          <w:rFonts w:ascii="Times New Roman" w:hAnsi="Times New Roman"/>
        </w:rPr>
        <w:t xml:space="preserve"> resulting from loss of property, namely</w:t>
      </w:r>
      <w:r w:rsidR="00472068" w:rsidRPr="00950741">
        <w:rPr>
          <w:rFonts w:ascii="Times New Roman" w:hAnsi="Times New Roman"/>
        </w:rPr>
        <w:t xml:space="preserve"> </w:t>
      </w:r>
      <w:r w:rsidR="00826205" w:rsidRPr="00950741">
        <w:rPr>
          <w:rFonts w:ascii="Times New Roman" w:hAnsi="Times New Roman"/>
        </w:rPr>
        <w:t xml:space="preserve">[the </w:t>
      </w:r>
      <w:r w:rsidR="00CE112C" w:rsidRPr="00950741">
        <w:rPr>
          <w:rFonts w:ascii="Times New Roman" w:hAnsi="Times New Roman"/>
        </w:rPr>
        <w:t>Star Centurion</w:t>
      </w:r>
      <w:r w:rsidR="00047ED2" w:rsidRPr="00950741">
        <w:rPr>
          <w:rFonts w:ascii="Times New Roman" w:hAnsi="Times New Roman"/>
        </w:rPr>
        <w:t>]</w:t>
      </w:r>
      <w:r w:rsidR="00407DDB" w:rsidRPr="00950741">
        <w:rPr>
          <w:rFonts w:ascii="Times New Roman" w:hAnsi="Times New Roman"/>
        </w:rPr>
        <w:t>"</w:t>
      </w:r>
      <w:r w:rsidR="00CE112C" w:rsidRPr="00950741">
        <w:rPr>
          <w:rFonts w:ascii="Times New Roman" w:hAnsi="Times New Roman"/>
        </w:rPr>
        <w:t>.</w:t>
      </w:r>
      <w:r w:rsidR="00823C6A" w:rsidRPr="00950741">
        <w:rPr>
          <w:rStyle w:val="FootnoteReference"/>
          <w:rFonts w:ascii="Times New Roman" w:hAnsi="Times New Roman"/>
          <w:sz w:val="24"/>
        </w:rPr>
        <w:footnoteReference w:id="39"/>
      </w:r>
      <w:r w:rsidR="00AF37B7" w:rsidRPr="00950741">
        <w:rPr>
          <w:rFonts w:ascii="Times New Roman" w:hAnsi="Times New Roman"/>
        </w:rPr>
        <w:t xml:space="preserve"> </w:t>
      </w:r>
    </w:p>
    <w:p w14:paraId="4B50D68C" w14:textId="5A2CBBCD" w:rsidR="0083595E" w:rsidRPr="00950741" w:rsidRDefault="003178AD"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9B6C50" w:rsidRPr="00950741">
        <w:rPr>
          <w:rFonts w:ascii="Times New Roman" w:hAnsi="Times New Roman"/>
        </w:rPr>
        <w:t xml:space="preserve">The </w:t>
      </w:r>
      <w:r w:rsidR="00D33FB4" w:rsidRPr="00950741">
        <w:rPr>
          <w:rFonts w:ascii="Times New Roman" w:hAnsi="Times New Roman"/>
        </w:rPr>
        <w:t xml:space="preserve">Hong Kong </w:t>
      </w:r>
      <w:r w:rsidR="004149A4" w:rsidRPr="00950741">
        <w:rPr>
          <w:rFonts w:ascii="Times New Roman" w:hAnsi="Times New Roman"/>
        </w:rPr>
        <w:t xml:space="preserve">Court of Final Appeal </w:t>
      </w:r>
      <w:r w:rsidR="009B6C50" w:rsidRPr="00950741">
        <w:rPr>
          <w:rFonts w:ascii="Times New Roman" w:hAnsi="Times New Roman"/>
        </w:rPr>
        <w:t>held that, in the circumstances of disapplication of Art</w:t>
      </w:r>
      <w:r w:rsidR="00236A19" w:rsidRPr="00950741">
        <w:rPr>
          <w:rFonts w:ascii="Times New Roman" w:hAnsi="Times New Roman"/>
        </w:rPr>
        <w:t> </w:t>
      </w:r>
      <w:r w:rsidR="009B6C50" w:rsidRPr="00950741">
        <w:rPr>
          <w:rFonts w:ascii="Times New Roman" w:hAnsi="Times New Roman"/>
        </w:rPr>
        <w:t>2</w:t>
      </w:r>
      <w:r w:rsidR="0032466A" w:rsidRPr="00950741">
        <w:rPr>
          <w:rFonts w:ascii="Times New Roman" w:hAnsi="Times New Roman"/>
        </w:rPr>
        <w:t>(</w:t>
      </w:r>
      <w:r w:rsidR="009B6C50" w:rsidRPr="00950741">
        <w:rPr>
          <w:rFonts w:ascii="Times New Roman" w:hAnsi="Times New Roman"/>
        </w:rPr>
        <w:t>1</w:t>
      </w:r>
      <w:r w:rsidR="0032466A" w:rsidRPr="00950741">
        <w:rPr>
          <w:rFonts w:ascii="Times New Roman" w:hAnsi="Times New Roman"/>
        </w:rPr>
        <w:t>)</w:t>
      </w:r>
      <w:r w:rsidR="009B6C50" w:rsidRPr="00950741">
        <w:rPr>
          <w:rFonts w:ascii="Times New Roman" w:hAnsi="Times New Roman"/>
        </w:rPr>
        <w:t>(d)</w:t>
      </w:r>
      <w:r w:rsidR="00877C19" w:rsidRPr="00950741">
        <w:rPr>
          <w:rFonts w:ascii="Times New Roman" w:hAnsi="Times New Roman"/>
        </w:rPr>
        <w:t xml:space="preserve"> of the 1976</w:t>
      </w:r>
      <w:r w:rsidR="00236A19" w:rsidRPr="00950741">
        <w:rPr>
          <w:rFonts w:ascii="Times New Roman" w:hAnsi="Times New Roman"/>
        </w:rPr>
        <w:t> </w:t>
      </w:r>
      <w:r w:rsidR="00532043" w:rsidRPr="00950741">
        <w:rPr>
          <w:rFonts w:ascii="Times New Roman" w:hAnsi="Times New Roman"/>
        </w:rPr>
        <w:t>Convention</w:t>
      </w:r>
      <w:r w:rsidR="00847FE8" w:rsidRPr="00950741">
        <w:rPr>
          <w:rFonts w:ascii="Times New Roman" w:hAnsi="Times New Roman"/>
        </w:rPr>
        <w:t xml:space="preserve"> by Hong Kong's exercise of the right under Art</w:t>
      </w:r>
      <w:r w:rsidR="00236A19" w:rsidRPr="00950741">
        <w:rPr>
          <w:rFonts w:ascii="Times New Roman" w:hAnsi="Times New Roman"/>
        </w:rPr>
        <w:t> </w:t>
      </w:r>
      <w:r w:rsidR="00847FE8" w:rsidRPr="00950741">
        <w:rPr>
          <w:rFonts w:ascii="Times New Roman" w:hAnsi="Times New Roman"/>
        </w:rPr>
        <w:t>18</w:t>
      </w:r>
      <w:r w:rsidR="00565A79" w:rsidRPr="00950741">
        <w:rPr>
          <w:rFonts w:ascii="Times New Roman" w:hAnsi="Times New Roman"/>
        </w:rPr>
        <w:t>(</w:t>
      </w:r>
      <w:r w:rsidR="00847FE8" w:rsidRPr="00950741">
        <w:rPr>
          <w:rFonts w:ascii="Times New Roman" w:hAnsi="Times New Roman"/>
        </w:rPr>
        <w:t>1</w:t>
      </w:r>
      <w:r w:rsidR="00565A79" w:rsidRPr="00950741">
        <w:rPr>
          <w:rFonts w:ascii="Times New Roman" w:hAnsi="Times New Roman"/>
        </w:rPr>
        <w:t>)</w:t>
      </w:r>
      <w:r w:rsidR="00877C19" w:rsidRPr="00950741">
        <w:rPr>
          <w:rFonts w:ascii="Times New Roman" w:hAnsi="Times New Roman"/>
        </w:rPr>
        <w:t xml:space="preserve">, the appellant was not entitled to limit its liability under </w:t>
      </w:r>
      <w:r w:rsidR="00877C19" w:rsidRPr="00950741">
        <w:rPr>
          <w:rFonts w:ascii="Times New Roman" w:hAnsi="Times New Roman"/>
        </w:rPr>
        <w:lastRenderedPageBreak/>
        <w:t>Art</w:t>
      </w:r>
      <w:r w:rsidR="002433A9" w:rsidRPr="00950741">
        <w:rPr>
          <w:rFonts w:ascii="Times New Roman" w:hAnsi="Times New Roman"/>
        </w:rPr>
        <w:t> </w:t>
      </w:r>
      <w:r w:rsidR="00877C19" w:rsidRPr="00950741">
        <w:rPr>
          <w:rFonts w:ascii="Times New Roman" w:hAnsi="Times New Roman"/>
        </w:rPr>
        <w:t>2</w:t>
      </w:r>
      <w:r w:rsidR="00565A79" w:rsidRPr="00950741">
        <w:rPr>
          <w:rFonts w:ascii="Times New Roman" w:hAnsi="Times New Roman"/>
        </w:rPr>
        <w:t>(</w:t>
      </w:r>
      <w:r w:rsidR="00877C19" w:rsidRPr="00950741">
        <w:rPr>
          <w:rFonts w:ascii="Times New Roman" w:hAnsi="Times New Roman"/>
        </w:rPr>
        <w:t>1</w:t>
      </w:r>
      <w:r w:rsidR="00565A79" w:rsidRPr="00950741">
        <w:rPr>
          <w:rFonts w:ascii="Times New Roman" w:hAnsi="Times New Roman"/>
        </w:rPr>
        <w:t>)</w:t>
      </w:r>
      <w:r w:rsidR="00877C19" w:rsidRPr="00950741">
        <w:rPr>
          <w:rFonts w:ascii="Times New Roman" w:hAnsi="Times New Roman"/>
        </w:rPr>
        <w:t>(a)</w:t>
      </w:r>
      <w:r w:rsidR="00532043" w:rsidRPr="00950741">
        <w:rPr>
          <w:rFonts w:ascii="Times New Roman" w:hAnsi="Times New Roman"/>
        </w:rPr>
        <w:t>.</w:t>
      </w:r>
      <w:r w:rsidR="009B6C50" w:rsidRPr="00950741">
        <w:rPr>
          <w:rFonts w:ascii="Times New Roman" w:hAnsi="Times New Roman"/>
        </w:rPr>
        <w:t xml:space="preserve"> </w:t>
      </w:r>
      <w:r w:rsidR="00AF37B7" w:rsidRPr="00950741">
        <w:rPr>
          <w:rFonts w:ascii="Times New Roman" w:hAnsi="Times New Roman"/>
        </w:rPr>
        <w:t>It will be apparent that these facts are</w:t>
      </w:r>
      <w:r w:rsidR="00321B93" w:rsidRPr="00950741">
        <w:rPr>
          <w:rFonts w:ascii="Times New Roman" w:hAnsi="Times New Roman"/>
        </w:rPr>
        <w:t xml:space="preserve"> relevantly equivalent to those of the present case before this Court.</w:t>
      </w:r>
      <w:r w:rsidR="009B6C50" w:rsidRPr="00950741">
        <w:rPr>
          <w:rFonts w:ascii="Times New Roman" w:hAnsi="Times New Roman"/>
        </w:rPr>
        <w:t xml:space="preserve"> </w:t>
      </w:r>
    </w:p>
    <w:p w14:paraId="69E235FF" w14:textId="2A5831BA" w:rsidR="002D2668" w:rsidRPr="00950741" w:rsidRDefault="00737CD1"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361E11" w:rsidRPr="00950741">
        <w:rPr>
          <w:rFonts w:ascii="Times New Roman" w:hAnsi="Times New Roman"/>
        </w:rPr>
        <w:t xml:space="preserve">The reasons for judgment of </w:t>
      </w:r>
      <w:r w:rsidR="00FA5FA7" w:rsidRPr="00950741">
        <w:rPr>
          <w:rFonts w:ascii="Times New Roman" w:hAnsi="Times New Roman"/>
        </w:rPr>
        <w:t>Keane</w:t>
      </w:r>
      <w:r w:rsidR="007A27F5" w:rsidRPr="00950741">
        <w:rPr>
          <w:rFonts w:ascii="Times New Roman" w:hAnsi="Times New Roman"/>
        </w:rPr>
        <w:t> </w:t>
      </w:r>
      <w:r w:rsidR="00FA5FA7" w:rsidRPr="00950741">
        <w:rPr>
          <w:rFonts w:ascii="Times New Roman" w:hAnsi="Times New Roman"/>
        </w:rPr>
        <w:t>NPJ (with whom Cheung</w:t>
      </w:r>
      <w:r w:rsidR="00A90320" w:rsidRPr="00950741">
        <w:rPr>
          <w:rFonts w:ascii="Times New Roman" w:hAnsi="Times New Roman"/>
        </w:rPr>
        <w:t> </w:t>
      </w:r>
      <w:r w:rsidR="00FA5FA7" w:rsidRPr="00950741">
        <w:rPr>
          <w:rFonts w:ascii="Times New Roman" w:hAnsi="Times New Roman"/>
        </w:rPr>
        <w:t>CJ, Ribeiro, Fok and Lam</w:t>
      </w:r>
      <w:r w:rsidR="00C66D4A" w:rsidRPr="00950741">
        <w:rPr>
          <w:rFonts w:ascii="Times New Roman" w:hAnsi="Times New Roman"/>
        </w:rPr>
        <w:t> </w:t>
      </w:r>
      <w:r w:rsidR="00FA5FA7" w:rsidRPr="00950741">
        <w:rPr>
          <w:rFonts w:ascii="Times New Roman" w:hAnsi="Times New Roman"/>
        </w:rPr>
        <w:t>PJJ agreed</w:t>
      </w:r>
      <w:r w:rsidR="00FA5FA7" w:rsidRPr="00950741">
        <w:rPr>
          <w:rStyle w:val="FootnoteReference"/>
          <w:rFonts w:ascii="Times New Roman" w:hAnsi="Times New Roman"/>
          <w:sz w:val="24"/>
        </w:rPr>
        <w:footnoteReference w:id="40"/>
      </w:r>
      <w:r w:rsidR="00FA5FA7" w:rsidRPr="00950741">
        <w:rPr>
          <w:rFonts w:ascii="Times New Roman" w:hAnsi="Times New Roman"/>
        </w:rPr>
        <w:t>)</w:t>
      </w:r>
      <w:r w:rsidR="00675AD5" w:rsidRPr="00950741">
        <w:rPr>
          <w:rFonts w:ascii="Times New Roman" w:hAnsi="Times New Roman"/>
        </w:rPr>
        <w:t xml:space="preserve"> </w:t>
      </w:r>
      <w:r w:rsidR="00361E11" w:rsidRPr="00950741">
        <w:rPr>
          <w:rFonts w:ascii="Times New Roman" w:hAnsi="Times New Roman"/>
        </w:rPr>
        <w:t xml:space="preserve">disclose that the Hong Kong law </w:t>
      </w:r>
      <w:r w:rsidR="00D22D3F" w:rsidRPr="00950741">
        <w:rPr>
          <w:rFonts w:ascii="Times New Roman" w:hAnsi="Times New Roman"/>
        </w:rPr>
        <w:t>giving legal effect to the 1976</w:t>
      </w:r>
      <w:r w:rsidR="00236A19" w:rsidRPr="00950741">
        <w:rPr>
          <w:rFonts w:ascii="Times New Roman" w:hAnsi="Times New Roman"/>
        </w:rPr>
        <w:t> </w:t>
      </w:r>
      <w:r w:rsidR="00D22D3F" w:rsidRPr="00950741">
        <w:rPr>
          <w:rFonts w:ascii="Times New Roman" w:hAnsi="Times New Roman"/>
        </w:rPr>
        <w:t>Convention disapplied Art</w:t>
      </w:r>
      <w:r w:rsidR="000876D9" w:rsidRPr="00950741">
        <w:rPr>
          <w:rFonts w:ascii="Times New Roman" w:hAnsi="Times New Roman"/>
        </w:rPr>
        <w:t> </w:t>
      </w:r>
      <w:r w:rsidR="00D22D3F" w:rsidRPr="00950741">
        <w:rPr>
          <w:rFonts w:ascii="Times New Roman" w:hAnsi="Times New Roman"/>
        </w:rPr>
        <w:t>2</w:t>
      </w:r>
      <w:r w:rsidR="00E304E1" w:rsidRPr="00950741">
        <w:rPr>
          <w:rFonts w:ascii="Times New Roman" w:hAnsi="Times New Roman"/>
        </w:rPr>
        <w:t>(</w:t>
      </w:r>
      <w:r w:rsidR="00D22D3F" w:rsidRPr="00950741">
        <w:rPr>
          <w:rFonts w:ascii="Times New Roman" w:hAnsi="Times New Roman"/>
        </w:rPr>
        <w:t>1</w:t>
      </w:r>
      <w:r w:rsidR="00E304E1" w:rsidRPr="00950741">
        <w:rPr>
          <w:rFonts w:ascii="Times New Roman" w:hAnsi="Times New Roman"/>
        </w:rPr>
        <w:t>)</w:t>
      </w:r>
      <w:r w:rsidR="00D22D3F" w:rsidRPr="00950741">
        <w:rPr>
          <w:rFonts w:ascii="Times New Roman" w:hAnsi="Times New Roman"/>
        </w:rPr>
        <w:t xml:space="preserve">(d) in terms different from s 6 of the </w:t>
      </w:r>
      <w:r w:rsidR="00293868" w:rsidRPr="00950741">
        <w:rPr>
          <w:rFonts w:ascii="Times New Roman" w:hAnsi="Times New Roman"/>
        </w:rPr>
        <w:t>Limitation</w:t>
      </w:r>
      <w:r w:rsidR="00D22D3F" w:rsidRPr="00950741">
        <w:rPr>
          <w:rFonts w:ascii="Times New Roman" w:hAnsi="Times New Roman"/>
        </w:rPr>
        <w:t xml:space="preserve"> of Liability Act. </w:t>
      </w:r>
      <w:r w:rsidR="000876D9" w:rsidRPr="00950741">
        <w:rPr>
          <w:rFonts w:ascii="Times New Roman" w:hAnsi="Times New Roman"/>
        </w:rPr>
        <w:t>T</w:t>
      </w:r>
      <w:r w:rsidR="00293868" w:rsidRPr="00950741">
        <w:rPr>
          <w:rFonts w:ascii="Times New Roman" w:hAnsi="Times New Roman"/>
        </w:rPr>
        <w:t xml:space="preserve">he Hong Kong law </w:t>
      </w:r>
      <w:r w:rsidR="005F2AAC" w:rsidRPr="00950741">
        <w:rPr>
          <w:rFonts w:ascii="Times New Roman" w:hAnsi="Times New Roman"/>
        </w:rPr>
        <w:t>was to</w:t>
      </w:r>
      <w:r w:rsidR="00293868" w:rsidRPr="00950741">
        <w:rPr>
          <w:rFonts w:ascii="Times New Roman" w:hAnsi="Times New Roman"/>
        </w:rPr>
        <w:t xml:space="preserve"> the effect that Art</w:t>
      </w:r>
      <w:r w:rsidR="002433A9" w:rsidRPr="00950741">
        <w:rPr>
          <w:rFonts w:ascii="Times New Roman" w:hAnsi="Times New Roman"/>
        </w:rPr>
        <w:t> </w:t>
      </w:r>
      <w:r w:rsidR="00293868" w:rsidRPr="00950741">
        <w:rPr>
          <w:rFonts w:ascii="Times New Roman" w:hAnsi="Times New Roman"/>
        </w:rPr>
        <w:t>2</w:t>
      </w:r>
      <w:r w:rsidR="00E304E1" w:rsidRPr="00950741">
        <w:rPr>
          <w:rFonts w:ascii="Times New Roman" w:hAnsi="Times New Roman"/>
        </w:rPr>
        <w:t>(</w:t>
      </w:r>
      <w:r w:rsidR="00293868" w:rsidRPr="00950741">
        <w:rPr>
          <w:rFonts w:ascii="Times New Roman" w:hAnsi="Times New Roman"/>
        </w:rPr>
        <w:t>1</w:t>
      </w:r>
      <w:r w:rsidR="00E304E1" w:rsidRPr="00950741">
        <w:rPr>
          <w:rFonts w:ascii="Times New Roman" w:hAnsi="Times New Roman"/>
        </w:rPr>
        <w:t>)</w:t>
      </w:r>
      <w:r w:rsidR="00293868" w:rsidRPr="00950741">
        <w:rPr>
          <w:rFonts w:ascii="Times New Roman" w:hAnsi="Times New Roman"/>
        </w:rPr>
        <w:t xml:space="preserve">(d) "shall not apply" </w:t>
      </w:r>
      <w:r w:rsidR="00913360" w:rsidRPr="00950741">
        <w:rPr>
          <w:rFonts w:ascii="Times New Roman" w:hAnsi="Times New Roman"/>
        </w:rPr>
        <w:t xml:space="preserve">unless an order had been made </w:t>
      </w:r>
      <w:r w:rsidR="004F4DFF" w:rsidRPr="00950741">
        <w:rPr>
          <w:rFonts w:ascii="Times New Roman" w:hAnsi="Times New Roman"/>
        </w:rPr>
        <w:t>that it did apply.</w:t>
      </w:r>
      <w:r w:rsidR="00B02567" w:rsidRPr="00950741">
        <w:rPr>
          <w:rStyle w:val="FootnoteReference"/>
          <w:rFonts w:ascii="Times New Roman" w:hAnsi="Times New Roman"/>
          <w:sz w:val="24"/>
        </w:rPr>
        <w:footnoteReference w:id="41"/>
      </w:r>
      <w:r w:rsidR="004F4DFF" w:rsidRPr="00950741">
        <w:rPr>
          <w:rFonts w:ascii="Times New Roman" w:hAnsi="Times New Roman"/>
        </w:rPr>
        <w:t xml:space="preserve"> As no such order had been made, Art</w:t>
      </w:r>
      <w:r w:rsidR="002433A9" w:rsidRPr="00950741">
        <w:rPr>
          <w:rFonts w:ascii="Times New Roman" w:hAnsi="Times New Roman"/>
        </w:rPr>
        <w:t> </w:t>
      </w:r>
      <w:r w:rsidR="004F4DFF" w:rsidRPr="00950741">
        <w:rPr>
          <w:rFonts w:ascii="Times New Roman" w:hAnsi="Times New Roman"/>
        </w:rPr>
        <w:t>2</w:t>
      </w:r>
      <w:r w:rsidR="00042073" w:rsidRPr="00950741">
        <w:rPr>
          <w:rFonts w:ascii="Times New Roman" w:hAnsi="Times New Roman"/>
        </w:rPr>
        <w:t>(</w:t>
      </w:r>
      <w:r w:rsidR="004F4DFF" w:rsidRPr="00950741">
        <w:rPr>
          <w:rFonts w:ascii="Times New Roman" w:hAnsi="Times New Roman"/>
        </w:rPr>
        <w:t>1</w:t>
      </w:r>
      <w:r w:rsidR="00042073" w:rsidRPr="00950741">
        <w:rPr>
          <w:rFonts w:ascii="Times New Roman" w:hAnsi="Times New Roman"/>
        </w:rPr>
        <w:t>)</w:t>
      </w:r>
      <w:r w:rsidR="004F4DFF" w:rsidRPr="00950741">
        <w:rPr>
          <w:rFonts w:ascii="Times New Roman" w:hAnsi="Times New Roman"/>
        </w:rPr>
        <w:t xml:space="preserve">(d) did "not apply </w:t>
      </w:r>
      <w:r w:rsidR="004659DF" w:rsidRPr="00950741">
        <w:rPr>
          <w:rFonts w:ascii="Times New Roman" w:hAnsi="Times New Roman"/>
        </w:rPr>
        <w:t>under the law of Hong Kong</w:t>
      </w:r>
      <w:r w:rsidR="00861EEA" w:rsidRPr="00950741">
        <w:rPr>
          <w:rFonts w:ascii="Times New Roman" w:hAnsi="Times New Roman"/>
        </w:rPr>
        <w:t>"</w:t>
      </w:r>
      <w:r w:rsidR="004659DF" w:rsidRPr="00950741">
        <w:rPr>
          <w:rFonts w:ascii="Times New Roman" w:hAnsi="Times New Roman"/>
        </w:rPr>
        <w:t>.</w:t>
      </w:r>
      <w:r w:rsidR="004659DF" w:rsidRPr="00950741">
        <w:rPr>
          <w:rStyle w:val="FootnoteReference"/>
          <w:rFonts w:ascii="Times New Roman" w:hAnsi="Times New Roman"/>
          <w:sz w:val="24"/>
        </w:rPr>
        <w:footnoteReference w:id="42"/>
      </w:r>
    </w:p>
    <w:p w14:paraId="414F7567" w14:textId="35CFC198" w:rsidR="002D2668" w:rsidRPr="00950741" w:rsidRDefault="00C449E0"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The </w:t>
      </w:r>
      <w:r w:rsidR="005273BC" w:rsidRPr="00950741">
        <w:rPr>
          <w:rFonts w:ascii="Times New Roman" w:hAnsi="Times New Roman"/>
        </w:rPr>
        <w:t>parties before</w:t>
      </w:r>
      <w:r w:rsidRPr="00950741">
        <w:rPr>
          <w:rFonts w:ascii="Times New Roman" w:hAnsi="Times New Roman"/>
        </w:rPr>
        <w:t xml:space="preserve"> the </w:t>
      </w:r>
      <w:r w:rsidR="00D33FB4" w:rsidRPr="00950741">
        <w:rPr>
          <w:rFonts w:ascii="Times New Roman" w:hAnsi="Times New Roman"/>
        </w:rPr>
        <w:t xml:space="preserve">Hong Kong </w:t>
      </w:r>
      <w:r w:rsidR="00EF098F" w:rsidRPr="00950741">
        <w:rPr>
          <w:rFonts w:ascii="Times New Roman" w:hAnsi="Times New Roman"/>
        </w:rPr>
        <w:t xml:space="preserve">Court of Final Appeal </w:t>
      </w:r>
      <w:r w:rsidR="005273BC" w:rsidRPr="00950741">
        <w:rPr>
          <w:rFonts w:ascii="Times New Roman" w:hAnsi="Times New Roman"/>
        </w:rPr>
        <w:t xml:space="preserve">relied on </w:t>
      </w:r>
      <w:r w:rsidR="00634EBF" w:rsidRPr="00950741">
        <w:rPr>
          <w:rFonts w:ascii="Times New Roman" w:hAnsi="Times New Roman"/>
        </w:rPr>
        <w:t>competing</w:t>
      </w:r>
      <w:r w:rsidR="005273BC" w:rsidRPr="00950741">
        <w:rPr>
          <w:rFonts w:ascii="Times New Roman" w:hAnsi="Times New Roman"/>
        </w:rPr>
        <w:t xml:space="preserve"> approaches to the principle of </w:t>
      </w:r>
      <w:r w:rsidR="00634EBF" w:rsidRPr="00950741">
        <w:rPr>
          <w:rFonts w:ascii="Times New Roman" w:hAnsi="Times New Roman"/>
        </w:rPr>
        <w:t>interpretation</w:t>
      </w:r>
      <w:r w:rsidR="005273BC" w:rsidRPr="00950741">
        <w:rPr>
          <w:rFonts w:ascii="Times New Roman" w:hAnsi="Times New Roman"/>
        </w:rPr>
        <w:t xml:space="preserve"> referred to as </w:t>
      </w:r>
      <w:proofErr w:type="spellStart"/>
      <w:r w:rsidR="00634EBF" w:rsidRPr="00950741">
        <w:rPr>
          <w:rFonts w:ascii="Times New Roman" w:hAnsi="Times New Roman"/>
          <w:i/>
          <w:iCs/>
        </w:rPr>
        <w:t>generalia</w:t>
      </w:r>
      <w:proofErr w:type="spellEnd"/>
      <w:r w:rsidR="00060D3F" w:rsidRPr="00950741">
        <w:rPr>
          <w:rFonts w:ascii="Times New Roman" w:hAnsi="Times New Roman"/>
          <w:i/>
          <w:iCs/>
        </w:rPr>
        <w:t xml:space="preserve"> </w:t>
      </w:r>
      <w:proofErr w:type="spellStart"/>
      <w:r w:rsidR="00634EBF" w:rsidRPr="00950741">
        <w:rPr>
          <w:rFonts w:ascii="Times New Roman" w:hAnsi="Times New Roman"/>
          <w:i/>
          <w:iCs/>
        </w:rPr>
        <w:t>specialibus</w:t>
      </w:r>
      <w:proofErr w:type="spellEnd"/>
      <w:r w:rsidR="00634EBF" w:rsidRPr="00950741">
        <w:rPr>
          <w:rFonts w:ascii="Times New Roman" w:hAnsi="Times New Roman"/>
          <w:i/>
          <w:iCs/>
        </w:rPr>
        <w:t xml:space="preserve"> non </w:t>
      </w:r>
      <w:proofErr w:type="spellStart"/>
      <w:r w:rsidR="00634EBF" w:rsidRPr="00950741">
        <w:rPr>
          <w:rFonts w:ascii="Times New Roman" w:hAnsi="Times New Roman"/>
          <w:i/>
          <w:iCs/>
        </w:rPr>
        <w:t>derogant</w:t>
      </w:r>
      <w:proofErr w:type="spellEnd"/>
      <w:r w:rsidR="00060D3F" w:rsidRPr="00950741">
        <w:rPr>
          <w:rFonts w:ascii="Times New Roman" w:hAnsi="Times New Roman"/>
        </w:rPr>
        <w:t xml:space="preserve"> (</w:t>
      </w:r>
      <w:r w:rsidR="008E344B" w:rsidRPr="00950741">
        <w:rPr>
          <w:rFonts w:ascii="Times New Roman" w:hAnsi="Times New Roman"/>
        </w:rPr>
        <w:t>meaning the general does not derogate from the specific)</w:t>
      </w:r>
      <w:r w:rsidR="00C321DE" w:rsidRPr="00950741">
        <w:rPr>
          <w:rFonts w:ascii="Times New Roman" w:hAnsi="Times New Roman"/>
        </w:rPr>
        <w:t xml:space="preserve">: </w:t>
      </w:r>
      <w:r w:rsidR="00026422" w:rsidRPr="00950741">
        <w:rPr>
          <w:rFonts w:ascii="Times New Roman" w:hAnsi="Times New Roman"/>
        </w:rPr>
        <w:t>the respondent</w:t>
      </w:r>
      <w:r w:rsidR="0080329F" w:rsidRPr="00950741">
        <w:rPr>
          <w:rFonts w:ascii="Times New Roman" w:hAnsi="Times New Roman"/>
        </w:rPr>
        <w:t>s</w:t>
      </w:r>
      <w:r w:rsidR="00026422" w:rsidRPr="00950741">
        <w:rPr>
          <w:rFonts w:ascii="Times New Roman" w:hAnsi="Times New Roman"/>
        </w:rPr>
        <w:t xml:space="preserve"> arguing that Art</w:t>
      </w:r>
      <w:r w:rsidR="000876D9" w:rsidRPr="00950741">
        <w:rPr>
          <w:rFonts w:ascii="Times New Roman" w:hAnsi="Times New Roman"/>
        </w:rPr>
        <w:t> </w:t>
      </w:r>
      <w:r w:rsidR="00026422" w:rsidRPr="00950741">
        <w:rPr>
          <w:rFonts w:ascii="Times New Roman" w:hAnsi="Times New Roman"/>
        </w:rPr>
        <w:t>2</w:t>
      </w:r>
      <w:r w:rsidR="007377A4" w:rsidRPr="00950741">
        <w:rPr>
          <w:rFonts w:ascii="Times New Roman" w:hAnsi="Times New Roman"/>
        </w:rPr>
        <w:t>(</w:t>
      </w:r>
      <w:r w:rsidR="00026422" w:rsidRPr="00950741">
        <w:rPr>
          <w:rFonts w:ascii="Times New Roman" w:hAnsi="Times New Roman"/>
        </w:rPr>
        <w:t>1</w:t>
      </w:r>
      <w:r w:rsidR="007377A4" w:rsidRPr="00950741">
        <w:rPr>
          <w:rFonts w:ascii="Times New Roman" w:hAnsi="Times New Roman"/>
        </w:rPr>
        <w:t>)</w:t>
      </w:r>
      <w:r w:rsidR="00026422" w:rsidRPr="00950741">
        <w:rPr>
          <w:rFonts w:ascii="Times New Roman" w:hAnsi="Times New Roman"/>
        </w:rPr>
        <w:t>(a)</w:t>
      </w:r>
      <w:r w:rsidR="000921EE" w:rsidRPr="00950741">
        <w:rPr>
          <w:rFonts w:ascii="Times New Roman" w:hAnsi="Times New Roman"/>
        </w:rPr>
        <w:t>,</w:t>
      </w:r>
      <w:r w:rsidR="00026422" w:rsidRPr="00950741">
        <w:rPr>
          <w:rFonts w:ascii="Times New Roman" w:hAnsi="Times New Roman"/>
        </w:rPr>
        <w:t xml:space="preserve"> </w:t>
      </w:r>
      <w:r w:rsidR="00EF098F" w:rsidRPr="00950741">
        <w:rPr>
          <w:rFonts w:ascii="Times New Roman" w:hAnsi="Times New Roman"/>
        </w:rPr>
        <w:t xml:space="preserve">said to be </w:t>
      </w:r>
      <w:r w:rsidR="00026422" w:rsidRPr="00950741">
        <w:rPr>
          <w:rFonts w:ascii="Times New Roman" w:hAnsi="Times New Roman"/>
        </w:rPr>
        <w:t xml:space="preserve">the general provision, could not </w:t>
      </w:r>
      <w:r w:rsidR="00555C8D" w:rsidRPr="00950741">
        <w:rPr>
          <w:rFonts w:ascii="Times New Roman" w:hAnsi="Times New Roman"/>
        </w:rPr>
        <w:t>derogate from the disapplication of Art</w:t>
      </w:r>
      <w:r w:rsidR="002433A9" w:rsidRPr="00950741">
        <w:rPr>
          <w:rFonts w:ascii="Times New Roman" w:hAnsi="Times New Roman"/>
        </w:rPr>
        <w:t> </w:t>
      </w:r>
      <w:r w:rsidR="00555C8D" w:rsidRPr="00950741">
        <w:rPr>
          <w:rFonts w:ascii="Times New Roman" w:hAnsi="Times New Roman"/>
        </w:rPr>
        <w:t>2</w:t>
      </w:r>
      <w:r w:rsidR="007377A4" w:rsidRPr="00950741">
        <w:rPr>
          <w:rFonts w:ascii="Times New Roman" w:hAnsi="Times New Roman"/>
        </w:rPr>
        <w:t>(</w:t>
      </w:r>
      <w:r w:rsidR="00555C8D" w:rsidRPr="00950741">
        <w:rPr>
          <w:rFonts w:ascii="Times New Roman" w:hAnsi="Times New Roman"/>
        </w:rPr>
        <w:t>1</w:t>
      </w:r>
      <w:r w:rsidR="007377A4" w:rsidRPr="00950741">
        <w:rPr>
          <w:rFonts w:ascii="Times New Roman" w:hAnsi="Times New Roman"/>
        </w:rPr>
        <w:t>)</w:t>
      </w:r>
      <w:r w:rsidR="00555C8D" w:rsidRPr="00950741">
        <w:rPr>
          <w:rFonts w:ascii="Times New Roman" w:hAnsi="Times New Roman"/>
        </w:rPr>
        <w:t>(d)</w:t>
      </w:r>
      <w:r w:rsidR="000921EE" w:rsidRPr="00950741">
        <w:rPr>
          <w:rFonts w:ascii="Times New Roman" w:hAnsi="Times New Roman"/>
        </w:rPr>
        <w:t>,</w:t>
      </w:r>
      <w:r w:rsidR="00555C8D" w:rsidRPr="00950741">
        <w:rPr>
          <w:rFonts w:ascii="Times New Roman" w:hAnsi="Times New Roman"/>
        </w:rPr>
        <w:t xml:space="preserve"> </w:t>
      </w:r>
      <w:r w:rsidR="00EF098F" w:rsidRPr="00950741">
        <w:rPr>
          <w:rFonts w:ascii="Times New Roman" w:hAnsi="Times New Roman"/>
        </w:rPr>
        <w:t xml:space="preserve">said to be </w:t>
      </w:r>
      <w:r w:rsidR="00555C8D" w:rsidRPr="00950741">
        <w:rPr>
          <w:rFonts w:ascii="Times New Roman" w:hAnsi="Times New Roman"/>
        </w:rPr>
        <w:t>the specific provision</w:t>
      </w:r>
      <w:r w:rsidR="00C321DE" w:rsidRPr="00950741">
        <w:rPr>
          <w:rFonts w:ascii="Times New Roman" w:hAnsi="Times New Roman"/>
        </w:rPr>
        <w:t>;</w:t>
      </w:r>
      <w:r w:rsidR="00555C8D" w:rsidRPr="00950741">
        <w:rPr>
          <w:rFonts w:ascii="Times New Roman" w:hAnsi="Times New Roman"/>
        </w:rPr>
        <w:t xml:space="preserve"> and the appellant arguing that the </w:t>
      </w:r>
      <w:r w:rsidR="004F2084" w:rsidRPr="00950741">
        <w:rPr>
          <w:rFonts w:ascii="Times New Roman" w:hAnsi="Times New Roman"/>
        </w:rPr>
        <w:t xml:space="preserve">principle only applies if </w:t>
      </w:r>
      <w:r w:rsidR="00333D5B" w:rsidRPr="00950741">
        <w:rPr>
          <w:rFonts w:ascii="Times New Roman" w:hAnsi="Times New Roman"/>
        </w:rPr>
        <w:t xml:space="preserve">a </w:t>
      </w:r>
      <w:r w:rsidR="004F2084" w:rsidRPr="00950741">
        <w:rPr>
          <w:rFonts w:ascii="Times New Roman" w:hAnsi="Times New Roman"/>
        </w:rPr>
        <w:t xml:space="preserve">specific provision is an exception to a general provision and </w:t>
      </w:r>
      <w:r w:rsidR="007A37CE" w:rsidRPr="00950741">
        <w:rPr>
          <w:rFonts w:ascii="Times New Roman" w:hAnsi="Times New Roman"/>
        </w:rPr>
        <w:t xml:space="preserve">that </w:t>
      </w:r>
      <w:r w:rsidR="004F2084" w:rsidRPr="00950741">
        <w:rPr>
          <w:rFonts w:ascii="Times New Roman" w:hAnsi="Times New Roman"/>
        </w:rPr>
        <w:t>Art</w:t>
      </w:r>
      <w:r w:rsidR="002433A9" w:rsidRPr="00950741">
        <w:rPr>
          <w:rFonts w:ascii="Times New Roman" w:hAnsi="Times New Roman"/>
        </w:rPr>
        <w:t> </w:t>
      </w:r>
      <w:r w:rsidR="004F2084" w:rsidRPr="00950741">
        <w:rPr>
          <w:rFonts w:ascii="Times New Roman" w:hAnsi="Times New Roman"/>
        </w:rPr>
        <w:t>2</w:t>
      </w:r>
      <w:r w:rsidR="0034268F" w:rsidRPr="00950741">
        <w:rPr>
          <w:rFonts w:ascii="Times New Roman" w:hAnsi="Times New Roman"/>
        </w:rPr>
        <w:t>(</w:t>
      </w:r>
      <w:r w:rsidR="004F2084" w:rsidRPr="00950741">
        <w:rPr>
          <w:rFonts w:ascii="Times New Roman" w:hAnsi="Times New Roman"/>
        </w:rPr>
        <w:t>1</w:t>
      </w:r>
      <w:r w:rsidR="0034268F" w:rsidRPr="00950741">
        <w:rPr>
          <w:rFonts w:ascii="Times New Roman" w:hAnsi="Times New Roman"/>
        </w:rPr>
        <w:t>)</w:t>
      </w:r>
      <w:r w:rsidR="004F2084" w:rsidRPr="00950741">
        <w:rPr>
          <w:rFonts w:ascii="Times New Roman" w:hAnsi="Times New Roman"/>
        </w:rPr>
        <w:t xml:space="preserve">(d) is not an </w:t>
      </w:r>
      <w:r w:rsidR="00AF5D80" w:rsidRPr="00950741">
        <w:rPr>
          <w:rFonts w:ascii="Times New Roman" w:hAnsi="Times New Roman"/>
        </w:rPr>
        <w:t xml:space="preserve">exception </w:t>
      </w:r>
      <w:r w:rsidR="007A37CE" w:rsidRPr="00950741">
        <w:rPr>
          <w:rFonts w:ascii="Times New Roman" w:hAnsi="Times New Roman"/>
        </w:rPr>
        <w:t xml:space="preserve">to </w:t>
      </w:r>
      <w:r w:rsidR="00AF5D80" w:rsidRPr="00950741">
        <w:rPr>
          <w:rFonts w:ascii="Times New Roman" w:hAnsi="Times New Roman"/>
        </w:rPr>
        <w:t>Art</w:t>
      </w:r>
      <w:r w:rsidR="002433A9" w:rsidRPr="00950741">
        <w:rPr>
          <w:rFonts w:ascii="Times New Roman" w:hAnsi="Times New Roman"/>
        </w:rPr>
        <w:t> </w:t>
      </w:r>
      <w:r w:rsidR="00AF5D80" w:rsidRPr="00950741">
        <w:rPr>
          <w:rFonts w:ascii="Times New Roman" w:hAnsi="Times New Roman"/>
        </w:rPr>
        <w:t>2</w:t>
      </w:r>
      <w:r w:rsidR="0034268F" w:rsidRPr="00950741">
        <w:rPr>
          <w:rFonts w:ascii="Times New Roman" w:hAnsi="Times New Roman"/>
        </w:rPr>
        <w:t>(</w:t>
      </w:r>
      <w:r w:rsidR="00AF5D80" w:rsidRPr="00950741">
        <w:rPr>
          <w:rFonts w:ascii="Times New Roman" w:hAnsi="Times New Roman"/>
        </w:rPr>
        <w:t>1</w:t>
      </w:r>
      <w:r w:rsidR="0034268F" w:rsidRPr="00950741">
        <w:rPr>
          <w:rFonts w:ascii="Times New Roman" w:hAnsi="Times New Roman"/>
        </w:rPr>
        <w:t>)</w:t>
      </w:r>
      <w:r w:rsidR="00AF5D80" w:rsidRPr="00950741">
        <w:rPr>
          <w:rFonts w:ascii="Times New Roman" w:hAnsi="Times New Roman"/>
        </w:rPr>
        <w:t xml:space="preserve">(a). </w:t>
      </w:r>
      <w:r w:rsidR="00B25084" w:rsidRPr="00950741">
        <w:rPr>
          <w:rFonts w:ascii="Times New Roman" w:hAnsi="Times New Roman"/>
        </w:rPr>
        <w:t xml:space="preserve">Keane NPJ deprecated </w:t>
      </w:r>
      <w:r w:rsidR="000B4C8D" w:rsidRPr="00950741">
        <w:rPr>
          <w:rFonts w:ascii="Times New Roman" w:hAnsi="Times New Roman"/>
        </w:rPr>
        <w:t>this</w:t>
      </w:r>
      <w:r w:rsidR="00B25084" w:rsidRPr="00950741">
        <w:rPr>
          <w:rFonts w:ascii="Times New Roman" w:hAnsi="Times New Roman"/>
        </w:rPr>
        <w:t xml:space="preserve"> approach on the basis that the applicable </w:t>
      </w:r>
      <w:r w:rsidR="000B4C8D" w:rsidRPr="00950741">
        <w:rPr>
          <w:rFonts w:ascii="Times New Roman" w:hAnsi="Times New Roman"/>
        </w:rPr>
        <w:t>interpretative</w:t>
      </w:r>
      <w:r w:rsidR="00B25084" w:rsidRPr="00950741">
        <w:rPr>
          <w:rFonts w:ascii="Times New Roman" w:hAnsi="Times New Roman"/>
        </w:rPr>
        <w:t xml:space="preserve"> principle </w:t>
      </w:r>
      <w:r w:rsidR="00052B08" w:rsidRPr="00950741">
        <w:rPr>
          <w:rFonts w:ascii="Times New Roman" w:hAnsi="Times New Roman"/>
        </w:rPr>
        <w:t>i</w:t>
      </w:r>
      <w:r w:rsidR="00B25084" w:rsidRPr="00950741">
        <w:rPr>
          <w:rFonts w:ascii="Times New Roman" w:hAnsi="Times New Roman"/>
        </w:rPr>
        <w:t xml:space="preserve">s </w:t>
      </w:r>
      <w:proofErr w:type="gramStart"/>
      <w:r w:rsidR="00B25084" w:rsidRPr="00950741">
        <w:rPr>
          <w:rFonts w:ascii="Times New Roman" w:hAnsi="Times New Roman"/>
        </w:rPr>
        <w:t>that</w:t>
      </w:r>
      <w:r w:rsidR="000900D4" w:rsidRPr="00950741">
        <w:rPr>
          <w:rFonts w:ascii="Times New Roman" w:hAnsi="Times New Roman"/>
        </w:rPr>
        <w:t>,</w:t>
      </w:r>
      <w:proofErr w:type="gramEnd"/>
      <w:r w:rsidR="00B25084" w:rsidRPr="00950741">
        <w:rPr>
          <w:rFonts w:ascii="Times New Roman" w:hAnsi="Times New Roman"/>
        </w:rPr>
        <w:t xml:space="preserve"> </w:t>
      </w:r>
      <w:r w:rsidR="000B4C8D" w:rsidRPr="00950741">
        <w:rPr>
          <w:rFonts w:ascii="Times New Roman" w:hAnsi="Times New Roman"/>
        </w:rPr>
        <w:t xml:space="preserve">"as a matter of </w:t>
      </w:r>
      <w:r w:rsidR="00B728EF" w:rsidRPr="00950741">
        <w:rPr>
          <w:rFonts w:ascii="Times New Roman" w:hAnsi="Times New Roman"/>
        </w:rPr>
        <w:t>'</w:t>
      </w:r>
      <w:r w:rsidR="000B4C8D" w:rsidRPr="00950741">
        <w:rPr>
          <w:rFonts w:ascii="Times New Roman" w:hAnsi="Times New Roman"/>
        </w:rPr>
        <w:t>simple common sense and ordinary usage</w:t>
      </w:r>
      <w:r w:rsidR="00B728EF" w:rsidRPr="00950741">
        <w:rPr>
          <w:rFonts w:ascii="Times New Roman" w:hAnsi="Times New Roman"/>
        </w:rPr>
        <w:t>'</w:t>
      </w:r>
      <w:r w:rsidR="000B4C8D" w:rsidRPr="00950741">
        <w:rPr>
          <w:rFonts w:ascii="Times New Roman" w:hAnsi="Times New Roman"/>
        </w:rPr>
        <w:t>, an instrument should be given effect as a coherent whole</w:t>
      </w:r>
      <w:r w:rsidR="00DD3047" w:rsidRPr="00950741">
        <w:rPr>
          <w:rFonts w:ascii="Times New Roman" w:hAnsi="Times New Roman"/>
        </w:rPr>
        <w:t>"</w:t>
      </w:r>
      <w:r w:rsidR="006830DC" w:rsidRPr="00950741">
        <w:rPr>
          <w:rFonts w:ascii="Times New Roman" w:hAnsi="Times New Roman"/>
        </w:rPr>
        <w:t>.</w:t>
      </w:r>
      <w:r w:rsidR="006830DC" w:rsidRPr="00950741">
        <w:rPr>
          <w:rStyle w:val="FootnoteReference"/>
          <w:rFonts w:ascii="Times New Roman" w:hAnsi="Times New Roman"/>
          <w:sz w:val="24"/>
        </w:rPr>
        <w:footnoteReference w:id="43"/>
      </w:r>
      <w:r w:rsidR="009567F8" w:rsidRPr="00950741">
        <w:rPr>
          <w:rFonts w:ascii="Times New Roman" w:hAnsi="Times New Roman"/>
        </w:rPr>
        <w:t xml:space="preserve"> </w:t>
      </w:r>
      <w:r w:rsidR="00CA3F6C" w:rsidRPr="00950741">
        <w:rPr>
          <w:rFonts w:ascii="Times New Roman" w:hAnsi="Times New Roman"/>
        </w:rPr>
        <w:t>There can be no doubt as to the orthodoxy of this proposition.</w:t>
      </w:r>
    </w:p>
    <w:p w14:paraId="6524BE8F" w14:textId="338726F7" w:rsidR="002D2668" w:rsidRPr="00950741" w:rsidRDefault="009567F8"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DD5D28" w:rsidRPr="00950741">
        <w:rPr>
          <w:rFonts w:ascii="Times New Roman" w:hAnsi="Times New Roman"/>
        </w:rPr>
        <w:t xml:space="preserve">Applying that broader interpretative principle, </w:t>
      </w:r>
      <w:r w:rsidR="00ED5BAD" w:rsidRPr="00950741">
        <w:rPr>
          <w:rFonts w:ascii="Times New Roman" w:hAnsi="Times New Roman"/>
        </w:rPr>
        <w:t>Keane NPJ reasoned on sever</w:t>
      </w:r>
      <w:r w:rsidR="00901C9D" w:rsidRPr="00950741">
        <w:rPr>
          <w:rFonts w:ascii="Times New Roman" w:hAnsi="Times New Roman"/>
        </w:rPr>
        <w:t>a</w:t>
      </w:r>
      <w:r w:rsidR="00ED5BAD" w:rsidRPr="00950741">
        <w:rPr>
          <w:rFonts w:ascii="Times New Roman" w:hAnsi="Times New Roman"/>
        </w:rPr>
        <w:t>l bases th</w:t>
      </w:r>
      <w:r w:rsidR="00901C9D" w:rsidRPr="00950741">
        <w:rPr>
          <w:rFonts w:ascii="Times New Roman" w:hAnsi="Times New Roman"/>
        </w:rPr>
        <w:t>at Art 2</w:t>
      </w:r>
      <w:r w:rsidR="00BB0485" w:rsidRPr="00950741">
        <w:rPr>
          <w:rFonts w:ascii="Times New Roman" w:hAnsi="Times New Roman"/>
        </w:rPr>
        <w:t>(</w:t>
      </w:r>
      <w:r w:rsidR="00901C9D" w:rsidRPr="00950741">
        <w:rPr>
          <w:rFonts w:ascii="Times New Roman" w:hAnsi="Times New Roman"/>
        </w:rPr>
        <w:t>1</w:t>
      </w:r>
      <w:r w:rsidR="00BB0485" w:rsidRPr="00950741">
        <w:rPr>
          <w:rFonts w:ascii="Times New Roman" w:hAnsi="Times New Roman"/>
        </w:rPr>
        <w:t>)</w:t>
      </w:r>
      <w:r w:rsidR="00901C9D" w:rsidRPr="00950741">
        <w:rPr>
          <w:rFonts w:ascii="Times New Roman" w:hAnsi="Times New Roman"/>
        </w:rPr>
        <w:t xml:space="preserve">(a) did not apply to enable the appellant to limit liability for wreck removal expenses given that </w:t>
      </w:r>
      <w:r w:rsidR="00052B08" w:rsidRPr="00950741">
        <w:rPr>
          <w:rFonts w:ascii="Times New Roman" w:hAnsi="Times New Roman"/>
        </w:rPr>
        <w:t xml:space="preserve">Hong Kong had disapplied </w:t>
      </w:r>
      <w:r w:rsidR="00901C9D" w:rsidRPr="00950741">
        <w:rPr>
          <w:rFonts w:ascii="Times New Roman" w:hAnsi="Times New Roman"/>
        </w:rPr>
        <w:t>Art</w:t>
      </w:r>
      <w:r w:rsidR="002433A9" w:rsidRPr="00950741">
        <w:rPr>
          <w:rFonts w:ascii="Times New Roman" w:hAnsi="Times New Roman"/>
        </w:rPr>
        <w:t> </w:t>
      </w:r>
      <w:r w:rsidR="00901C9D" w:rsidRPr="00950741">
        <w:rPr>
          <w:rFonts w:ascii="Times New Roman" w:hAnsi="Times New Roman"/>
        </w:rPr>
        <w:t>2</w:t>
      </w:r>
      <w:r w:rsidR="00BB0485" w:rsidRPr="00950741">
        <w:rPr>
          <w:rFonts w:ascii="Times New Roman" w:hAnsi="Times New Roman"/>
        </w:rPr>
        <w:t>(</w:t>
      </w:r>
      <w:r w:rsidR="00901C9D" w:rsidRPr="00950741">
        <w:rPr>
          <w:rFonts w:ascii="Times New Roman" w:hAnsi="Times New Roman"/>
        </w:rPr>
        <w:t>1</w:t>
      </w:r>
      <w:r w:rsidR="00BB0485" w:rsidRPr="00950741">
        <w:rPr>
          <w:rFonts w:ascii="Times New Roman" w:hAnsi="Times New Roman"/>
        </w:rPr>
        <w:t>)</w:t>
      </w:r>
      <w:r w:rsidR="00901C9D" w:rsidRPr="00950741">
        <w:rPr>
          <w:rFonts w:ascii="Times New Roman" w:hAnsi="Times New Roman"/>
        </w:rPr>
        <w:t>(d) under Art</w:t>
      </w:r>
      <w:r w:rsidR="002433A9" w:rsidRPr="00950741">
        <w:rPr>
          <w:rFonts w:ascii="Times New Roman" w:hAnsi="Times New Roman"/>
        </w:rPr>
        <w:t> </w:t>
      </w:r>
      <w:r w:rsidR="008D7E11" w:rsidRPr="00950741">
        <w:rPr>
          <w:rFonts w:ascii="Times New Roman" w:hAnsi="Times New Roman"/>
        </w:rPr>
        <w:t>18</w:t>
      </w:r>
      <w:r w:rsidR="00BB0485" w:rsidRPr="00950741">
        <w:rPr>
          <w:rFonts w:ascii="Times New Roman" w:hAnsi="Times New Roman"/>
        </w:rPr>
        <w:t>(</w:t>
      </w:r>
      <w:r w:rsidR="008D7E11" w:rsidRPr="00950741">
        <w:rPr>
          <w:rFonts w:ascii="Times New Roman" w:hAnsi="Times New Roman"/>
        </w:rPr>
        <w:t>1</w:t>
      </w:r>
      <w:r w:rsidR="00BB0485" w:rsidRPr="00950741">
        <w:rPr>
          <w:rFonts w:ascii="Times New Roman" w:hAnsi="Times New Roman"/>
        </w:rPr>
        <w:t>)</w:t>
      </w:r>
      <w:r w:rsidR="002433A9" w:rsidRPr="00950741">
        <w:rPr>
          <w:rFonts w:ascii="Times New Roman" w:hAnsi="Times New Roman"/>
        </w:rPr>
        <w:t>(a)</w:t>
      </w:r>
      <w:r w:rsidR="008D7E11" w:rsidRPr="00950741">
        <w:rPr>
          <w:rFonts w:ascii="Times New Roman" w:hAnsi="Times New Roman"/>
        </w:rPr>
        <w:t xml:space="preserve">. The first basis for rejecting the appellant's case was that </w:t>
      </w:r>
      <w:r w:rsidR="00CF46B6" w:rsidRPr="00950741">
        <w:rPr>
          <w:rFonts w:ascii="Times New Roman" w:hAnsi="Times New Roman"/>
        </w:rPr>
        <w:t>Art</w:t>
      </w:r>
      <w:r w:rsidR="002433A9" w:rsidRPr="00950741">
        <w:rPr>
          <w:rFonts w:ascii="Times New Roman" w:hAnsi="Times New Roman"/>
        </w:rPr>
        <w:t> </w:t>
      </w:r>
      <w:r w:rsidR="00CF46B6" w:rsidRPr="00950741">
        <w:rPr>
          <w:rFonts w:ascii="Times New Roman" w:hAnsi="Times New Roman"/>
        </w:rPr>
        <w:t>2</w:t>
      </w:r>
      <w:r w:rsidR="00BB0485" w:rsidRPr="00950741">
        <w:rPr>
          <w:rFonts w:ascii="Times New Roman" w:hAnsi="Times New Roman"/>
        </w:rPr>
        <w:t>(</w:t>
      </w:r>
      <w:r w:rsidR="00CF46B6" w:rsidRPr="00950741">
        <w:rPr>
          <w:rFonts w:ascii="Times New Roman" w:hAnsi="Times New Roman"/>
        </w:rPr>
        <w:t>1</w:t>
      </w:r>
      <w:r w:rsidR="00BB0485" w:rsidRPr="00950741">
        <w:rPr>
          <w:rFonts w:ascii="Times New Roman" w:hAnsi="Times New Roman"/>
        </w:rPr>
        <w:t>)</w:t>
      </w:r>
      <w:r w:rsidR="00CF46B6" w:rsidRPr="00950741">
        <w:rPr>
          <w:rFonts w:ascii="Times New Roman" w:hAnsi="Times New Roman"/>
        </w:rPr>
        <w:t>(d) "is comprehensive of any claim in respect of wreck removal and all such claims</w:t>
      </w:r>
      <w:r w:rsidR="0061687C" w:rsidRPr="00950741">
        <w:rPr>
          <w:rFonts w:ascii="Times New Roman" w:hAnsi="Times New Roman"/>
        </w:rPr>
        <w:t>"</w:t>
      </w:r>
      <w:r w:rsidR="00CF46B6" w:rsidRPr="00950741">
        <w:rPr>
          <w:rFonts w:ascii="Times New Roman" w:hAnsi="Times New Roman"/>
        </w:rPr>
        <w:t>.</w:t>
      </w:r>
      <w:r w:rsidR="00CF46B6" w:rsidRPr="00950741">
        <w:rPr>
          <w:rStyle w:val="FootnoteReference"/>
          <w:rFonts w:ascii="Times New Roman" w:hAnsi="Times New Roman"/>
          <w:sz w:val="24"/>
        </w:rPr>
        <w:footnoteReference w:id="44"/>
      </w:r>
      <w:r w:rsidR="00150EDF" w:rsidRPr="00950741">
        <w:rPr>
          <w:rFonts w:ascii="Times New Roman" w:hAnsi="Times New Roman"/>
        </w:rPr>
        <w:t xml:space="preserve"> </w:t>
      </w:r>
      <w:r w:rsidR="004B7C1F" w:rsidRPr="00950741">
        <w:rPr>
          <w:rFonts w:ascii="Times New Roman" w:hAnsi="Times New Roman"/>
        </w:rPr>
        <w:t>In referring to Art</w:t>
      </w:r>
      <w:r w:rsidR="00862A24" w:rsidRPr="00950741">
        <w:rPr>
          <w:rFonts w:ascii="Times New Roman" w:hAnsi="Times New Roman"/>
        </w:rPr>
        <w:t> </w:t>
      </w:r>
      <w:r w:rsidR="004B7C1F" w:rsidRPr="00950741">
        <w:rPr>
          <w:rFonts w:ascii="Times New Roman" w:hAnsi="Times New Roman"/>
        </w:rPr>
        <w:t>2</w:t>
      </w:r>
      <w:r w:rsidR="00862A24" w:rsidRPr="00950741">
        <w:rPr>
          <w:rFonts w:ascii="Times New Roman" w:hAnsi="Times New Roman"/>
        </w:rPr>
        <w:t>(</w:t>
      </w:r>
      <w:r w:rsidR="004B7C1F" w:rsidRPr="00950741">
        <w:rPr>
          <w:rFonts w:ascii="Times New Roman" w:hAnsi="Times New Roman"/>
        </w:rPr>
        <w:t>1</w:t>
      </w:r>
      <w:r w:rsidR="00862A24" w:rsidRPr="00950741">
        <w:rPr>
          <w:rFonts w:ascii="Times New Roman" w:hAnsi="Times New Roman"/>
        </w:rPr>
        <w:t>)</w:t>
      </w:r>
      <w:r w:rsidR="004B7C1F" w:rsidRPr="00950741">
        <w:rPr>
          <w:rFonts w:ascii="Times New Roman" w:hAnsi="Times New Roman"/>
        </w:rPr>
        <w:t>(d) as "comprehensive</w:t>
      </w:r>
      <w:r w:rsidR="006B48DE" w:rsidRPr="00950741">
        <w:rPr>
          <w:rFonts w:ascii="Times New Roman" w:hAnsi="Times New Roman"/>
        </w:rPr>
        <w:t>" of all wreck removal claims Kea</w:t>
      </w:r>
      <w:r w:rsidR="00862A24" w:rsidRPr="00950741">
        <w:rPr>
          <w:rFonts w:ascii="Times New Roman" w:hAnsi="Times New Roman"/>
        </w:rPr>
        <w:t>n</w:t>
      </w:r>
      <w:r w:rsidR="006B48DE" w:rsidRPr="00950741">
        <w:rPr>
          <w:rFonts w:ascii="Times New Roman" w:hAnsi="Times New Roman"/>
        </w:rPr>
        <w:t xml:space="preserve">e NPJ should not be understood as </w:t>
      </w:r>
      <w:r w:rsidR="00FD77D9" w:rsidRPr="00950741">
        <w:rPr>
          <w:rFonts w:ascii="Times New Roman" w:hAnsi="Times New Roman"/>
        </w:rPr>
        <w:t xml:space="preserve">meaning </w:t>
      </w:r>
      <w:r w:rsidR="00E874EF" w:rsidRPr="00950741">
        <w:rPr>
          <w:rFonts w:ascii="Times New Roman" w:hAnsi="Times New Roman"/>
        </w:rPr>
        <w:t>that Art 2</w:t>
      </w:r>
      <w:r w:rsidR="00862A24" w:rsidRPr="00950741">
        <w:rPr>
          <w:rFonts w:ascii="Times New Roman" w:hAnsi="Times New Roman"/>
        </w:rPr>
        <w:t>(</w:t>
      </w:r>
      <w:r w:rsidR="00E874EF" w:rsidRPr="00950741">
        <w:rPr>
          <w:rFonts w:ascii="Times New Roman" w:hAnsi="Times New Roman"/>
        </w:rPr>
        <w:t>1</w:t>
      </w:r>
      <w:r w:rsidR="00862A24" w:rsidRPr="00950741">
        <w:rPr>
          <w:rFonts w:ascii="Times New Roman" w:hAnsi="Times New Roman"/>
        </w:rPr>
        <w:t>)</w:t>
      </w:r>
      <w:r w:rsidR="00E874EF" w:rsidRPr="00950741">
        <w:rPr>
          <w:rFonts w:ascii="Times New Roman" w:hAnsi="Times New Roman"/>
        </w:rPr>
        <w:t xml:space="preserve">(d) is an exclusive code </w:t>
      </w:r>
      <w:r w:rsidR="00C3102F" w:rsidRPr="00950741">
        <w:rPr>
          <w:rFonts w:ascii="Times New Roman" w:hAnsi="Times New Roman"/>
        </w:rPr>
        <w:t>for such claims</w:t>
      </w:r>
      <w:r w:rsidR="00925E88" w:rsidRPr="00950741">
        <w:rPr>
          <w:rFonts w:ascii="Times New Roman" w:hAnsi="Times New Roman"/>
        </w:rPr>
        <w:t>,</w:t>
      </w:r>
      <w:r w:rsidR="00C3102F" w:rsidRPr="00950741">
        <w:rPr>
          <w:rFonts w:ascii="Times New Roman" w:hAnsi="Times New Roman"/>
        </w:rPr>
        <w:t xml:space="preserve"> </w:t>
      </w:r>
      <w:r w:rsidR="00EE25D1" w:rsidRPr="00950741">
        <w:rPr>
          <w:rFonts w:ascii="Times New Roman" w:hAnsi="Times New Roman"/>
        </w:rPr>
        <w:t xml:space="preserve">which would be </w:t>
      </w:r>
      <w:r w:rsidR="00C3102F" w:rsidRPr="00950741">
        <w:rPr>
          <w:rFonts w:ascii="Times New Roman" w:hAnsi="Times New Roman"/>
        </w:rPr>
        <w:t xml:space="preserve">contrary to </w:t>
      </w:r>
      <w:r w:rsidR="00150EDF" w:rsidRPr="00950741">
        <w:rPr>
          <w:rFonts w:ascii="Times New Roman" w:hAnsi="Times New Roman"/>
        </w:rPr>
        <w:t xml:space="preserve">the </w:t>
      </w:r>
      <w:r w:rsidR="009F4490" w:rsidRPr="00950741">
        <w:rPr>
          <w:rFonts w:ascii="Times New Roman" w:hAnsi="Times New Roman"/>
        </w:rPr>
        <w:t xml:space="preserve">subsequent </w:t>
      </w:r>
      <w:r w:rsidR="00150EDF" w:rsidRPr="00950741">
        <w:rPr>
          <w:rFonts w:ascii="Times New Roman" w:hAnsi="Times New Roman"/>
        </w:rPr>
        <w:t xml:space="preserve">reasoning in </w:t>
      </w:r>
      <w:r w:rsidR="00150EDF" w:rsidRPr="00950741">
        <w:rPr>
          <w:rFonts w:ascii="Times New Roman" w:hAnsi="Times New Roman"/>
          <w:i/>
          <w:iCs/>
        </w:rPr>
        <w:t>The Flaminia</w:t>
      </w:r>
      <w:r w:rsidR="00150EDF" w:rsidRPr="00950741">
        <w:rPr>
          <w:rFonts w:ascii="Times New Roman" w:hAnsi="Times New Roman"/>
        </w:rPr>
        <w:t xml:space="preserve"> </w:t>
      </w:r>
      <w:r w:rsidR="0084480D" w:rsidRPr="00950741">
        <w:rPr>
          <w:rFonts w:ascii="Times New Roman" w:hAnsi="Times New Roman"/>
        </w:rPr>
        <w:t>that Art</w:t>
      </w:r>
      <w:r w:rsidR="002433A9" w:rsidRPr="00950741">
        <w:rPr>
          <w:rFonts w:ascii="Times New Roman" w:hAnsi="Times New Roman"/>
        </w:rPr>
        <w:t> </w:t>
      </w:r>
      <w:r w:rsidR="0084480D" w:rsidRPr="00950741">
        <w:rPr>
          <w:rFonts w:ascii="Times New Roman" w:hAnsi="Times New Roman"/>
        </w:rPr>
        <w:t>2</w:t>
      </w:r>
      <w:r w:rsidR="00862A24" w:rsidRPr="00950741">
        <w:rPr>
          <w:rFonts w:ascii="Times New Roman" w:hAnsi="Times New Roman"/>
        </w:rPr>
        <w:t>(</w:t>
      </w:r>
      <w:r w:rsidR="0084480D" w:rsidRPr="00950741">
        <w:rPr>
          <w:rFonts w:ascii="Times New Roman" w:hAnsi="Times New Roman"/>
        </w:rPr>
        <w:t>1</w:t>
      </w:r>
      <w:r w:rsidR="00862A24" w:rsidRPr="00950741">
        <w:rPr>
          <w:rFonts w:ascii="Times New Roman" w:hAnsi="Times New Roman"/>
        </w:rPr>
        <w:t>)</w:t>
      </w:r>
      <w:r w:rsidR="0084480D" w:rsidRPr="00950741">
        <w:rPr>
          <w:rFonts w:ascii="Times New Roman" w:hAnsi="Times New Roman"/>
        </w:rPr>
        <w:t xml:space="preserve"> "does not preclude the dual </w:t>
      </w:r>
      <w:r w:rsidR="0084480D" w:rsidRPr="00950741">
        <w:rPr>
          <w:rFonts w:ascii="Times New Roman" w:hAnsi="Times New Roman"/>
        </w:rPr>
        <w:lastRenderedPageBreak/>
        <w:t>characterisation of claims"</w:t>
      </w:r>
      <w:r w:rsidR="00925E88" w:rsidRPr="00950741">
        <w:rPr>
          <w:rFonts w:ascii="Times New Roman" w:hAnsi="Times New Roman"/>
        </w:rPr>
        <w:t>,</w:t>
      </w:r>
      <w:r w:rsidR="0084480D" w:rsidRPr="00950741">
        <w:rPr>
          <w:rStyle w:val="FootnoteReference"/>
          <w:rFonts w:ascii="Times New Roman" w:hAnsi="Times New Roman"/>
          <w:sz w:val="24"/>
        </w:rPr>
        <w:footnoteReference w:id="45"/>
      </w:r>
      <w:r w:rsidR="00223189" w:rsidRPr="00950741">
        <w:rPr>
          <w:rFonts w:ascii="Times New Roman" w:hAnsi="Times New Roman"/>
        </w:rPr>
        <w:t xml:space="preserve"> </w:t>
      </w:r>
      <w:r w:rsidR="00FD77D9" w:rsidRPr="00950741">
        <w:rPr>
          <w:rFonts w:ascii="Times New Roman" w:hAnsi="Times New Roman"/>
        </w:rPr>
        <w:t xml:space="preserve">and contrary to </w:t>
      </w:r>
      <w:r w:rsidR="00223189" w:rsidRPr="00950741">
        <w:rPr>
          <w:rFonts w:ascii="Times New Roman" w:hAnsi="Times New Roman"/>
        </w:rPr>
        <w:t>the common position of the parties in this case</w:t>
      </w:r>
      <w:r w:rsidR="002A13A3" w:rsidRPr="00950741">
        <w:rPr>
          <w:rFonts w:ascii="Times New Roman" w:hAnsi="Times New Roman"/>
        </w:rPr>
        <w:t>. That common position is well-founded. While it is obvious that Art</w:t>
      </w:r>
      <w:r w:rsidR="00764F96" w:rsidRPr="00950741">
        <w:rPr>
          <w:rFonts w:ascii="Times New Roman" w:hAnsi="Times New Roman"/>
        </w:rPr>
        <w:t> </w:t>
      </w:r>
      <w:r w:rsidR="002A13A3" w:rsidRPr="00950741">
        <w:rPr>
          <w:rFonts w:ascii="Times New Roman" w:hAnsi="Times New Roman"/>
        </w:rPr>
        <w:t>2</w:t>
      </w:r>
      <w:r w:rsidR="00EE25D1" w:rsidRPr="00950741">
        <w:rPr>
          <w:rFonts w:ascii="Times New Roman" w:hAnsi="Times New Roman"/>
        </w:rPr>
        <w:t>(</w:t>
      </w:r>
      <w:r w:rsidR="002A13A3" w:rsidRPr="00950741">
        <w:rPr>
          <w:rFonts w:ascii="Times New Roman" w:hAnsi="Times New Roman"/>
        </w:rPr>
        <w:t>1</w:t>
      </w:r>
      <w:r w:rsidR="00EE25D1" w:rsidRPr="00950741">
        <w:rPr>
          <w:rFonts w:ascii="Times New Roman" w:hAnsi="Times New Roman"/>
        </w:rPr>
        <w:t>)</w:t>
      </w:r>
      <w:r w:rsidR="002A13A3" w:rsidRPr="00950741">
        <w:rPr>
          <w:rFonts w:ascii="Times New Roman" w:hAnsi="Times New Roman"/>
        </w:rPr>
        <w:t>(d) deals specifically with wreck removal claims and Art</w:t>
      </w:r>
      <w:r w:rsidR="00764F96" w:rsidRPr="00950741">
        <w:rPr>
          <w:rFonts w:ascii="Times New Roman" w:hAnsi="Times New Roman"/>
        </w:rPr>
        <w:t> </w:t>
      </w:r>
      <w:r w:rsidR="002A13A3" w:rsidRPr="00950741">
        <w:rPr>
          <w:rFonts w:ascii="Times New Roman" w:hAnsi="Times New Roman"/>
        </w:rPr>
        <w:t>2</w:t>
      </w:r>
      <w:r w:rsidR="00EE25D1" w:rsidRPr="00950741">
        <w:rPr>
          <w:rFonts w:ascii="Times New Roman" w:hAnsi="Times New Roman"/>
        </w:rPr>
        <w:t>(</w:t>
      </w:r>
      <w:r w:rsidR="002A13A3" w:rsidRPr="00950741">
        <w:rPr>
          <w:rFonts w:ascii="Times New Roman" w:hAnsi="Times New Roman"/>
        </w:rPr>
        <w:t>1</w:t>
      </w:r>
      <w:r w:rsidR="00EE25D1" w:rsidRPr="00950741">
        <w:rPr>
          <w:rFonts w:ascii="Times New Roman" w:hAnsi="Times New Roman"/>
        </w:rPr>
        <w:t>)</w:t>
      </w:r>
      <w:r w:rsidR="002A13A3" w:rsidRPr="00950741">
        <w:rPr>
          <w:rFonts w:ascii="Times New Roman" w:hAnsi="Times New Roman"/>
        </w:rPr>
        <w:t xml:space="preserve">(a) deals more generally with </w:t>
      </w:r>
      <w:r w:rsidR="00FD5E73" w:rsidRPr="00950741">
        <w:rPr>
          <w:rFonts w:ascii="Times New Roman" w:hAnsi="Times New Roman"/>
        </w:rPr>
        <w:t>damage to property claims</w:t>
      </w:r>
      <w:r w:rsidR="00764F96" w:rsidRPr="00950741">
        <w:rPr>
          <w:rFonts w:ascii="Times New Roman" w:hAnsi="Times New Roman"/>
        </w:rPr>
        <w:t xml:space="preserve"> (other than for the limiting ship)</w:t>
      </w:r>
      <w:r w:rsidR="009C0275" w:rsidRPr="00950741">
        <w:rPr>
          <w:rFonts w:ascii="Times New Roman" w:hAnsi="Times New Roman"/>
        </w:rPr>
        <w:t>,</w:t>
      </w:r>
      <w:r w:rsidR="00FD5E73" w:rsidRPr="00950741">
        <w:rPr>
          <w:rFonts w:ascii="Times New Roman" w:hAnsi="Times New Roman"/>
        </w:rPr>
        <w:t xml:space="preserve"> that does not mean that Art</w:t>
      </w:r>
      <w:r w:rsidR="00764F96" w:rsidRPr="00950741">
        <w:rPr>
          <w:rFonts w:ascii="Times New Roman" w:hAnsi="Times New Roman"/>
        </w:rPr>
        <w:t> </w:t>
      </w:r>
      <w:r w:rsidR="00FD5E73" w:rsidRPr="00950741">
        <w:rPr>
          <w:rFonts w:ascii="Times New Roman" w:hAnsi="Times New Roman"/>
        </w:rPr>
        <w:t>2</w:t>
      </w:r>
      <w:r w:rsidR="00EE25D1" w:rsidRPr="00950741">
        <w:rPr>
          <w:rFonts w:ascii="Times New Roman" w:hAnsi="Times New Roman"/>
        </w:rPr>
        <w:t>(</w:t>
      </w:r>
      <w:r w:rsidR="00FD5E73" w:rsidRPr="00950741">
        <w:rPr>
          <w:rFonts w:ascii="Times New Roman" w:hAnsi="Times New Roman"/>
        </w:rPr>
        <w:t>1</w:t>
      </w:r>
      <w:r w:rsidR="00EE25D1" w:rsidRPr="00950741">
        <w:rPr>
          <w:rFonts w:ascii="Times New Roman" w:hAnsi="Times New Roman"/>
        </w:rPr>
        <w:t>)</w:t>
      </w:r>
      <w:r w:rsidR="00FD5E73" w:rsidRPr="00950741">
        <w:rPr>
          <w:rFonts w:ascii="Times New Roman" w:hAnsi="Times New Roman"/>
        </w:rPr>
        <w:t xml:space="preserve">(d) </w:t>
      </w:r>
      <w:r w:rsidR="00C52613" w:rsidRPr="00950741">
        <w:rPr>
          <w:rFonts w:ascii="Times New Roman" w:hAnsi="Times New Roman"/>
        </w:rPr>
        <w:t xml:space="preserve">is </w:t>
      </w:r>
      <w:r w:rsidR="00FD5E73" w:rsidRPr="00950741">
        <w:rPr>
          <w:rFonts w:ascii="Times New Roman" w:hAnsi="Times New Roman"/>
        </w:rPr>
        <w:t>a</w:t>
      </w:r>
      <w:r w:rsidR="009C0275" w:rsidRPr="00950741">
        <w:rPr>
          <w:rFonts w:ascii="Times New Roman" w:hAnsi="Times New Roman"/>
        </w:rPr>
        <w:t>n exclusive</w:t>
      </w:r>
      <w:r w:rsidR="00FD5E73" w:rsidRPr="00950741">
        <w:rPr>
          <w:rFonts w:ascii="Times New Roman" w:hAnsi="Times New Roman"/>
        </w:rPr>
        <w:t xml:space="preserve"> code for wreck removal claims </w:t>
      </w:r>
      <w:r w:rsidR="00C52613" w:rsidRPr="00950741">
        <w:rPr>
          <w:rFonts w:ascii="Times New Roman" w:hAnsi="Times New Roman"/>
        </w:rPr>
        <w:t>excluding any potential application of Art</w:t>
      </w:r>
      <w:r w:rsidR="00764F96" w:rsidRPr="00950741">
        <w:rPr>
          <w:rFonts w:ascii="Times New Roman" w:hAnsi="Times New Roman"/>
        </w:rPr>
        <w:t> </w:t>
      </w:r>
      <w:r w:rsidR="00C52613" w:rsidRPr="00950741">
        <w:rPr>
          <w:rFonts w:ascii="Times New Roman" w:hAnsi="Times New Roman"/>
        </w:rPr>
        <w:t>2</w:t>
      </w:r>
      <w:r w:rsidR="00EE25D1" w:rsidRPr="00950741">
        <w:rPr>
          <w:rFonts w:ascii="Times New Roman" w:hAnsi="Times New Roman"/>
        </w:rPr>
        <w:t>(</w:t>
      </w:r>
      <w:r w:rsidR="00C52613" w:rsidRPr="00950741">
        <w:rPr>
          <w:rFonts w:ascii="Times New Roman" w:hAnsi="Times New Roman"/>
        </w:rPr>
        <w:t>1</w:t>
      </w:r>
      <w:r w:rsidR="00EE25D1" w:rsidRPr="00950741">
        <w:rPr>
          <w:rFonts w:ascii="Times New Roman" w:hAnsi="Times New Roman"/>
        </w:rPr>
        <w:t>)</w:t>
      </w:r>
      <w:r w:rsidR="00C52613" w:rsidRPr="00950741">
        <w:rPr>
          <w:rFonts w:ascii="Times New Roman" w:hAnsi="Times New Roman"/>
        </w:rPr>
        <w:t xml:space="preserve">(a). </w:t>
      </w:r>
      <w:r w:rsidR="00FD77D9" w:rsidRPr="00950741">
        <w:rPr>
          <w:rFonts w:ascii="Times New Roman" w:hAnsi="Times New Roman"/>
        </w:rPr>
        <w:t xml:space="preserve">Nor does </w:t>
      </w:r>
      <w:r w:rsidR="00E64FBA" w:rsidRPr="00950741">
        <w:rPr>
          <w:rFonts w:ascii="Times New Roman" w:hAnsi="Times New Roman"/>
        </w:rPr>
        <w:t xml:space="preserve">describing </w:t>
      </w:r>
      <w:r w:rsidR="00FD77D9" w:rsidRPr="00950741">
        <w:rPr>
          <w:rFonts w:ascii="Times New Roman" w:hAnsi="Times New Roman"/>
        </w:rPr>
        <w:t xml:space="preserve">a provision </w:t>
      </w:r>
      <w:r w:rsidR="00A43360" w:rsidRPr="00950741">
        <w:rPr>
          <w:rFonts w:ascii="Times New Roman" w:hAnsi="Times New Roman"/>
        </w:rPr>
        <w:t xml:space="preserve">as </w:t>
      </w:r>
      <w:r w:rsidR="00FD77D9" w:rsidRPr="00950741">
        <w:rPr>
          <w:rFonts w:ascii="Times New Roman" w:hAnsi="Times New Roman"/>
        </w:rPr>
        <w:t xml:space="preserve">"comprehensive" of claims mean that </w:t>
      </w:r>
      <w:r w:rsidR="007D7C3C" w:rsidRPr="00950741">
        <w:rPr>
          <w:rFonts w:ascii="Times New Roman" w:hAnsi="Times New Roman"/>
        </w:rPr>
        <w:t xml:space="preserve">the provision </w:t>
      </w:r>
      <w:r w:rsidR="00FD77D9" w:rsidRPr="00950741">
        <w:rPr>
          <w:rFonts w:ascii="Times New Roman" w:hAnsi="Times New Roman"/>
        </w:rPr>
        <w:t>operate</w:t>
      </w:r>
      <w:r w:rsidR="00E64FBA" w:rsidRPr="00950741">
        <w:rPr>
          <w:rFonts w:ascii="Times New Roman" w:hAnsi="Times New Roman"/>
        </w:rPr>
        <w:t>s</w:t>
      </w:r>
      <w:r w:rsidR="00FD77D9" w:rsidRPr="00950741">
        <w:rPr>
          <w:rFonts w:ascii="Times New Roman" w:hAnsi="Times New Roman"/>
        </w:rPr>
        <w:t xml:space="preserve"> to the exclusion of </w:t>
      </w:r>
      <w:r w:rsidR="004B5F99" w:rsidRPr="00950741">
        <w:rPr>
          <w:rFonts w:ascii="Times New Roman" w:hAnsi="Times New Roman"/>
        </w:rPr>
        <w:t xml:space="preserve">any other potentially applicable provision. </w:t>
      </w:r>
      <w:r w:rsidR="000D574D" w:rsidRPr="00950741">
        <w:rPr>
          <w:rFonts w:ascii="Times New Roman" w:hAnsi="Times New Roman"/>
        </w:rPr>
        <w:t>T</w:t>
      </w:r>
      <w:r w:rsidR="007D7C3C" w:rsidRPr="00950741">
        <w:rPr>
          <w:rFonts w:ascii="Times New Roman" w:hAnsi="Times New Roman"/>
        </w:rPr>
        <w:t>he point</w:t>
      </w:r>
      <w:r w:rsidR="00EE25D1" w:rsidRPr="00950741">
        <w:rPr>
          <w:rFonts w:ascii="Times New Roman" w:hAnsi="Times New Roman"/>
        </w:rPr>
        <w:t xml:space="preserve"> </w:t>
      </w:r>
      <w:r w:rsidR="007D7C3C" w:rsidRPr="00950741">
        <w:rPr>
          <w:rFonts w:ascii="Times New Roman" w:hAnsi="Times New Roman"/>
        </w:rPr>
        <w:t xml:space="preserve">Keane NPJ was making </w:t>
      </w:r>
      <w:r w:rsidR="00F66213" w:rsidRPr="00950741">
        <w:rPr>
          <w:rFonts w:ascii="Times New Roman" w:hAnsi="Times New Roman"/>
        </w:rPr>
        <w:t xml:space="preserve">in </w:t>
      </w:r>
      <w:r w:rsidR="00F66213" w:rsidRPr="00950741">
        <w:rPr>
          <w:rFonts w:ascii="Times New Roman" w:hAnsi="Times New Roman"/>
          <w:i/>
          <w:iCs/>
        </w:rPr>
        <w:t xml:space="preserve">The Star Centurion </w:t>
      </w:r>
      <w:r w:rsidR="007D7C3C" w:rsidRPr="00950741">
        <w:rPr>
          <w:rFonts w:ascii="Times New Roman" w:hAnsi="Times New Roman"/>
        </w:rPr>
        <w:t xml:space="preserve">is different. </w:t>
      </w:r>
      <w:r w:rsidR="000D574D" w:rsidRPr="00950741">
        <w:rPr>
          <w:rFonts w:ascii="Times New Roman" w:hAnsi="Times New Roman"/>
        </w:rPr>
        <w:t>The point is that</w:t>
      </w:r>
      <w:r w:rsidR="009F4490" w:rsidRPr="00950741">
        <w:rPr>
          <w:rFonts w:ascii="Times New Roman" w:hAnsi="Times New Roman"/>
        </w:rPr>
        <w:t>,</w:t>
      </w:r>
      <w:r w:rsidR="000D574D" w:rsidRPr="00950741">
        <w:rPr>
          <w:rFonts w:ascii="Times New Roman" w:hAnsi="Times New Roman"/>
        </w:rPr>
        <w:t xml:space="preserve"> because Art 2</w:t>
      </w:r>
      <w:r w:rsidR="004B6AA1" w:rsidRPr="00950741">
        <w:rPr>
          <w:rFonts w:ascii="Times New Roman" w:hAnsi="Times New Roman"/>
        </w:rPr>
        <w:t>(</w:t>
      </w:r>
      <w:r w:rsidR="000D574D" w:rsidRPr="00950741">
        <w:rPr>
          <w:rFonts w:ascii="Times New Roman" w:hAnsi="Times New Roman"/>
        </w:rPr>
        <w:t>1</w:t>
      </w:r>
      <w:r w:rsidR="004B6AA1" w:rsidRPr="00950741">
        <w:rPr>
          <w:rFonts w:ascii="Times New Roman" w:hAnsi="Times New Roman"/>
        </w:rPr>
        <w:t>)</w:t>
      </w:r>
      <w:r w:rsidR="000D574D" w:rsidRPr="00950741">
        <w:rPr>
          <w:rFonts w:ascii="Times New Roman" w:hAnsi="Times New Roman"/>
        </w:rPr>
        <w:t>(d) deals "comprehensively" with wreck removal</w:t>
      </w:r>
      <w:r w:rsidR="002747C0" w:rsidRPr="00950741">
        <w:rPr>
          <w:rFonts w:ascii="Times New Roman" w:hAnsi="Times New Roman"/>
        </w:rPr>
        <w:t xml:space="preserve"> claims</w:t>
      </w:r>
      <w:r w:rsidR="000D574D" w:rsidRPr="00950741">
        <w:rPr>
          <w:rFonts w:ascii="Times New Roman" w:hAnsi="Times New Roman"/>
        </w:rPr>
        <w:t>, if Art 2</w:t>
      </w:r>
      <w:r w:rsidR="004B6AA1" w:rsidRPr="00950741">
        <w:rPr>
          <w:rFonts w:ascii="Times New Roman" w:hAnsi="Times New Roman"/>
        </w:rPr>
        <w:t>(</w:t>
      </w:r>
      <w:r w:rsidR="000D574D" w:rsidRPr="00950741">
        <w:rPr>
          <w:rFonts w:ascii="Times New Roman" w:hAnsi="Times New Roman"/>
        </w:rPr>
        <w:t>1</w:t>
      </w:r>
      <w:r w:rsidR="004B6AA1" w:rsidRPr="00950741">
        <w:rPr>
          <w:rFonts w:ascii="Times New Roman" w:hAnsi="Times New Roman"/>
        </w:rPr>
        <w:t>)</w:t>
      </w:r>
      <w:r w:rsidR="000D574D" w:rsidRPr="00950741">
        <w:rPr>
          <w:rFonts w:ascii="Times New Roman" w:hAnsi="Times New Roman"/>
        </w:rPr>
        <w:t>(d) is excluded from application under Art 18</w:t>
      </w:r>
      <w:r w:rsidR="004B6AA1" w:rsidRPr="00950741">
        <w:rPr>
          <w:rFonts w:ascii="Times New Roman" w:hAnsi="Times New Roman"/>
        </w:rPr>
        <w:t>(</w:t>
      </w:r>
      <w:r w:rsidR="000D574D" w:rsidRPr="00950741">
        <w:rPr>
          <w:rFonts w:ascii="Times New Roman" w:hAnsi="Times New Roman"/>
        </w:rPr>
        <w:t>1</w:t>
      </w:r>
      <w:r w:rsidR="004B6AA1" w:rsidRPr="00950741">
        <w:rPr>
          <w:rFonts w:ascii="Times New Roman" w:hAnsi="Times New Roman"/>
        </w:rPr>
        <w:t>)</w:t>
      </w:r>
      <w:r w:rsidR="000D574D" w:rsidRPr="00950741">
        <w:rPr>
          <w:rFonts w:ascii="Times New Roman" w:hAnsi="Times New Roman"/>
        </w:rPr>
        <w:t>, that exclusion must be equally comprehensive and not an exclusion only of such claims within Art 2</w:t>
      </w:r>
      <w:r w:rsidR="00BE521B" w:rsidRPr="00950741">
        <w:rPr>
          <w:rFonts w:ascii="Times New Roman" w:hAnsi="Times New Roman"/>
        </w:rPr>
        <w:t>(</w:t>
      </w:r>
      <w:r w:rsidR="000D574D" w:rsidRPr="00950741">
        <w:rPr>
          <w:rFonts w:ascii="Times New Roman" w:hAnsi="Times New Roman"/>
        </w:rPr>
        <w:t>1</w:t>
      </w:r>
      <w:r w:rsidR="00BE521B" w:rsidRPr="00950741">
        <w:rPr>
          <w:rFonts w:ascii="Times New Roman" w:hAnsi="Times New Roman"/>
        </w:rPr>
        <w:t>)</w:t>
      </w:r>
      <w:r w:rsidR="000D574D" w:rsidRPr="00950741">
        <w:rPr>
          <w:rFonts w:ascii="Times New Roman" w:hAnsi="Times New Roman"/>
        </w:rPr>
        <w:t>(d) that are not also within Art</w:t>
      </w:r>
      <w:r w:rsidR="001B5FBD" w:rsidRPr="00950741">
        <w:rPr>
          <w:rFonts w:ascii="Times New Roman" w:hAnsi="Times New Roman"/>
        </w:rPr>
        <w:t> </w:t>
      </w:r>
      <w:r w:rsidR="000D574D" w:rsidRPr="00950741">
        <w:rPr>
          <w:rFonts w:ascii="Times New Roman" w:hAnsi="Times New Roman"/>
        </w:rPr>
        <w:t>2</w:t>
      </w:r>
      <w:r w:rsidR="001B5FBD" w:rsidRPr="00950741">
        <w:rPr>
          <w:rFonts w:ascii="Times New Roman" w:hAnsi="Times New Roman"/>
        </w:rPr>
        <w:t>(</w:t>
      </w:r>
      <w:r w:rsidR="000D574D" w:rsidRPr="00950741">
        <w:rPr>
          <w:rFonts w:ascii="Times New Roman" w:hAnsi="Times New Roman"/>
        </w:rPr>
        <w:t>1</w:t>
      </w:r>
      <w:r w:rsidR="001B5FBD" w:rsidRPr="00950741">
        <w:rPr>
          <w:rFonts w:ascii="Times New Roman" w:hAnsi="Times New Roman"/>
        </w:rPr>
        <w:t>)</w:t>
      </w:r>
      <w:r w:rsidR="000D574D" w:rsidRPr="00950741">
        <w:rPr>
          <w:rFonts w:ascii="Times New Roman" w:hAnsi="Times New Roman"/>
        </w:rPr>
        <w:t xml:space="preserve">(a) (or any other </w:t>
      </w:r>
      <w:r w:rsidR="00EA3384" w:rsidRPr="00950741">
        <w:rPr>
          <w:rFonts w:ascii="Times New Roman" w:hAnsi="Times New Roman"/>
        </w:rPr>
        <w:t>sub-</w:t>
      </w:r>
      <w:r w:rsidR="000D574D" w:rsidRPr="00950741">
        <w:rPr>
          <w:rFonts w:ascii="Times New Roman" w:hAnsi="Times New Roman"/>
        </w:rPr>
        <w:t>parag</w:t>
      </w:r>
      <w:r w:rsidR="00AB5F26" w:rsidRPr="00950741">
        <w:rPr>
          <w:rFonts w:ascii="Times New Roman" w:hAnsi="Times New Roman"/>
        </w:rPr>
        <w:t>raph of Art 2</w:t>
      </w:r>
      <w:r w:rsidR="001B5FBD" w:rsidRPr="00950741">
        <w:rPr>
          <w:rFonts w:ascii="Times New Roman" w:hAnsi="Times New Roman"/>
        </w:rPr>
        <w:t>(</w:t>
      </w:r>
      <w:r w:rsidR="00AB5F26" w:rsidRPr="00950741">
        <w:rPr>
          <w:rFonts w:ascii="Times New Roman" w:hAnsi="Times New Roman"/>
        </w:rPr>
        <w:t>1</w:t>
      </w:r>
      <w:r w:rsidR="001B5FBD" w:rsidRPr="00950741">
        <w:rPr>
          <w:rFonts w:ascii="Times New Roman" w:hAnsi="Times New Roman"/>
        </w:rPr>
        <w:t>)</w:t>
      </w:r>
      <w:r w:rsidR="00AB5F26" w:rsidRPr="00950741">
        <w:rPr>
          <w:rFonts w:ascii="Times New Roman" w:hAnsi="Times New Roman"/>
        </w:rPr>
        <w:t xml:space="preserve">). </w:t>
      </w:r>
    </w:p>
    <w:p w14:paraId="59637D75" w14:textId="36F7E118" w:rsidR="0099406F" w:rsidRPr="00950741" w:rsidRDefault="0099406F"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7D7C3C" w:rsidRPr="00950741">
        <w:rPr>
          <w:rFonts w:ascii="Times New Roman" w:hAnsi="Times New Roman"/>
        </w:rPr>
        <w:t>I</w:t>
      </w:r>
      <w:r w:rsidR="00240391" w:rsidRPr="00950741">
        <w:rPr>
          <w:rFonts w:ascii="Times New Roman" w:hAnsi="Times New Roman"/>
        </w:rPr>
        <w:t xml:space="preserve">t is apparent </w:t>
      </w:r>
      <w:r w:rsidR="00AB5F26" w:rsidRPr="00950741">
        <w:rPr>
          <w:rFonts w:ascii="Times New Roman" w:hAnsi="Times New Roman"/>
        </w:rPr>
        <w:t xml:space="preserve">therefore </w:t>
      </w:r>
      <w:r w:rsidR="00240391" w:rsidRPr="00950741">
        <w:rPr>
          <w:rFonts w:ascii="Times New Roman" w:hAnsi="Times New Roman"/>
        </w:rPr>
        <w:t xml:space="preserve">that the conclusion reached in </w:t>
      </w:r>
      <w:r w:rsidR="005F0DD7" w:rsidRPr="00950741">
        <w:rPr>
          <w:rFonts w:ascii="Times New Roman" w:hAnsi="Times New Roman"/>
          <w:i/>
          <w:iCs/>
        </w:rPr>
        <w:t xml:space="preserve">The </w:t>
      </w:r>
      <w:r w:rsidR="00240391" w:rsidRPr="00950741">
        <w:rPr>
          <w:rFonts w:ascii="Times New Roman" w:hAnsi="Times New Roman"/>
          <w:i/>
          <w:iCs/>
        </w:rPr>
        <w:t>Star Centurion</w:t>
      </w:r>
      <w:r w:rsidR="00240391" w:rsidRPr="00950741">
        <w:rPr>
          <w:rFonts w:ascii="Times New Roman" w:hAnsi="Times New Roman"/>
        </w:rPr>
        <w:t xml:space="preserve"> </w:t>
      </w:r>
      <w:r w:rsidR="003F3C5B" w:rsidRPr="00950741">
        <w:rPr>
          <w:rFonts w:ascii="Times New Roman" w:hAnsi="Times New Roman"/>
        </w:rPr>
        <w:t xml:space="preserve">did </w:t>
      </w:r>
      <w:r w:rsidR="00830668" w:rsidRPr="00950741">
        <w:rPr>
          <w:rFonts w:ascii="Times New Roman" w:hAnsi="Times New Roman"/>
        </w:rPr>
        <w:t xml:space="preserve">not depend </w:t>
      </w:r>
      <w:r w:rsidR="00240391" w:rsidRPr="00950741">
        <w:rPr>
          <w:rFonts w:ascii="Times New Roman" w:hAnsi="Times New Roman"/>
        </w:rPr>
        <w:t xml:space="preserve">on </w:t>
      </w:r>
      <w:r w:rsidR="003D241A" w:rsidRPr="00950741">
        <w:rPr>
          <w:rFonts w:ascii="Times New Roman" w:hAnsi="Times New Roman"/>
        </w:rPr>
        <w:t xml:space="preserve">a </w:t>
      </w:r>
      <w:r w:rsidR="00856F4C" w:rsidRPr="00950741">
        <w:rPr>
          <w:rFonts w:ascii="Times New Roman" w:hAnsi="Times New Roman"/>
        </w:rPr>
        <w:t>proposition that Art</w:t>
      </w:r>
      <w:r w:rsidR="000342B1" w:rsidRPr="00950741">
        <w:rPr>
          <w:rFonts w:ascii="Times New Roman" w:hAnsi="Times New Roman"/>
        </w:rPr>
        <w:t> </w:t>
      </w:r>
      <w:r w:rsidR="00856F4C" w:rsidRPr="00950741">
        <w:rPr>
          <w:rFonts w:ascii="Times New Roman" w:hAnsi="Times New Roman"/>
        </w:rPr>
        <w:t>2</w:t>
      </w:r>
      <w:r w:rsidR="006C2C3C" w:rsidRPr="00950741">
        <w:rPr>
          <w:rFonts w:ascii="Times New Roman" w:hAnsi="Times New Roman"/>
        </w:rPr>
        <w:t>(</w:t>
      </w:r>
      <w:r w:rsidR="00856F4C" w:rsidRPr="00950741">
        <w:rPr>
          <w:rFonts w:ascii="Times New Roman" w:hAnsi="Times New Roman"/>
        </w:rPr>
        <w:t>1</w:t>
      </w:r>
      <w:r w:rsidR="006C2C3C" w:rsidRPr="00950741">
        <w:rPr>
          <w:rFonts w:ascii="Times New Roman" w:hAnsi="Times New Roman"/>
        </w:rPr>
        <w:t>)</w:t>
      </w:r>
      <w:r w:rsidR="00856F4C" w:rsidRPr="00950741">
        <w:rPr>
          <w:rFonts w:ascii="Times New Roman" w:hAnsi="Times New Roman"/>
        </w:rPr>
        <w:t xml:space="preserve">(d) is </w:t>
      </w:r>
      <w:r w:rsidR="004B5F99" w:rsidRPr="00950741">
        <w:rPr>
          <w:rFonts w:ascii="Times New Roman" w:hAnsi="Times New Roman"/>
        </w:rPr>
        <w:t xml:space="preserve">an exclusive </w:t>
      </w:r>
      <w:r w:rsidR="00856F4C" w:rsidRPr="00950741">
        <w:rPr>
          <w:rFonts w:ascii="Times New Roman" w:hAnsi="Times New Roman"/>
        </w:rPr>
        <w:t>code for wreck removal</w:t>
      </w:r>
      <w:r w:rsidR="002747C0" w:rsidRPr="00950741">
        <w:rPr>
          <w:rFonts w:ascii="Times New Roman" w:hAnsi="Times New Roman"/>
        </w:rPr>
        <w:t xml:space="preserve"> claims</w:t>
      </w:r>
      <w:r w:rsidR="00856F4C" w:rsidRPr="00950741">
        <w:rPr>
          <w:rFonts w:ascii="Times New Roman" w:hAnsi="Times New Roman"/>
        </w:rPr>
        <w:t>.</w:t>
      </w:r>
      <w:r w:rsidR="00856F4C" w:rsidRPr="00950741">
        <w:rPr>
          <w:rStyle w:val="FootnoteReference"/>
          <w:rFonts w:ascii="Times New Roman" w:hAnsi="Times New Roman"/>
          <w:sz w:val="24"/>
        </w:rPr>
        <w:footnoteReference w:id="46"/>
      </w:r>
      <w:r w:rsidR="00856F4C" w:rsidRPr="00950741">
        <w:rPr>
          <w:rFonts w:ascii="Times New Roman" w:hAnsi="Times New Roman"/>
        </w:rPr>
        <w:t xml:space="preserve"> </w:t>
      </w:r>
      <w:r w:rsidR="00284DA4" w:rsidRPr="00950741">
        <w:rPr>
          <w:rFonts w:ascii="Times New Roman" w:hAnsi="Times New Roman"/>
        </w:rPr>
        <w:t xml:space="preserve">So much appears </w:t>
      </w:r>
      <w:r w:rsidR="007D7C3C" w:rsidRPr="00950741">
        <w:rPr>
          <w:rFonts w:ascii="Times New Roman" w:hAnsi="Times New Roman"/>
        </w:rPr>
        <w:t xml:space="preserve">clear </w:t>
      </w:r>
      <w:r w:rsidR="00284DA4" w:rsidRPr="00950741">
        <w:rPr>
          <w:rFonts w:ascii="Times New Roman" w:hAnsi="Times New Roman"/>
        </w:rPr>
        <w:t xml:space="preserve">from Keane NPJ's subsequent </w:t>
      </w:r>
      <w:r w:rsidR="003D241A" w:rsidRPr="00950741">
        <w:rPr>
          <w:rFonts w:ascii="Times New Roman" w:hAnsi="Times New Roman"/>
        </w:rPr>
        <w:t xml:space="preserve">observation </w:t>
      </w:r>
      <w:r w:rsidR="00284DA4" w:rsidRPr="00950741">
        <w:rPr>
          <w:rFonts w:ascii="Times New Roman" w:hAnsi="Times New Roman"/>
        </w:rPr>
        <w:t xml:space="preserve">that </w:t>
      </w:r>
      <w:r w:rsidR="00C55BCB" w:rsidRPr="00950741">
        <w:rPr>
          <w:rFonts w:ascii="Times New Roman" w:hAnsi="Times New Roman"/>
        </w:rPr>
        <w:t>"a claim in respect of wreck removal" (within Art</w:t>
      </w:r>
      <w:r w:rsidR="000342B1" w:rsidRPr="00950741">
        <w:rPr>
          <w:rFonts w:ascii="Times New Roman" w:hAnsi="Times New Roman"/>
        </w:rPr>
        <w:t> </w:t>
      </w:r>
      <w:r w:rsidR="00C55BCB" w:rsidRPr="00950741">
        <w:rPr>
          <w:rFonts w:ascii="Times New Roman" w:hAnsi="Times New Roman"/>
        </w:rPr>
        <w:t>2</w:t>
      </w:r>
      <w:r w:rsidR="000B7FB8" w:rsidRPr="00950741">
        <w:rPr>
          <w:rFonts w:ascii="Times New Roman" w:hAnsi="Times New Roman"/>
        </w:rPr>
        <w:t>(</w:t>
      </w:r>
      <w:r w:rsidR="00C55BCB" w:rsidRPr="00950741">
        <w:rPr>
          <w:rFonts w:ascii="Times New Roman" w:hAnsi="Times New Roman"/>
        </w:rPr>
        <w:t>1</w:t>
      </w:r>
      <w:r w:rsidR="000B7FB8" w:rsidRPr="00950741">
        <w:rPr>
          <w:rFonts w:ascii="Times New Roman" w:hAnsi="Times New Roman"/>
        </w:rPr>
        <w:t>)</w:t>
      </w:r>
      <w:r w:rsidR="00C55BCB" w:rsidRPr="00950741">
        <w:rPr>
          <w:rFonts w:ascii="Times New Roman" w:hAnsi="Times New Roman"/>
        </w:rPr>
        <w:t xml:space="preserve">(d)) </w:t>
      </w:r>
      <w:r w:rsidR="005C17F5" w:rsidRPr="00950741">
        <w:rPr>
          <w:rFonts w:ascii="Times New Roman" w:hAnsi="Times New Roman"/>
        </w:rPr>
        <w:t xml:space="preserve">may also be "describe[d] ... as a claim for loss consequential upon damage to property" </w:t>
      </w:r>
      <w:r w:rsidR="00A37B7D" w:rsidRPr="00950741">
        <w:rPr>
          <w:rFonts w:ascii="Times New Roman" w:hAnsi="Times New Roman"/>
        </w:rPr>
        <w:t xml:space="preserve">(that is, </w:t>
      </w:r>
      <w:r w:rsidR="003D241A" w:rsidRPr="00950741">
        <w:rPr>
          <w:rFonts w:ascii="Times New Roman" w:hAnsi="Times New Roman"/>
        </w:rPr>
        <w:t xml:space="preserve">a claim </w:t>
      </w:r>
      <w:r w:rsidR="00A37B7D" w:rsidRPr="00950741">
        <w:rPr>
          <w:rFonts w:ascii="Times New Roman" w:hAnsi="Times New Roman"/>
        </w:rPr>
        <w:t>within Art</w:t>
      </w:r>
      <w:r w:rsidR="00E378E2" w:rsidRPr="00950741">
        <w:rPr>
          <w:rFonts w:ascii="Times New Roman" w:hAnsi="Times New Roman"/>
        </w:rPr>
        <w:t> </w:t>
      </w:r>
      <w:r w:rsidR="00A37B7D" w:rsidRPr="00950741">
        <w:rPr>
          <w:rFonts w:ascii="Times New Roman" w:hAnsi="Times New Roman"/>
        </w:rPr>
        <w:t>2</w:t>
      </w:r>
      <w:r w:rsidR="00E378E2" w:rsidRPr="00950741">
        <w:rPr>
          <w:rFonts w:ascii="Times New Roman" w:hAnsi="Times New Roman"/>
        </w:rPr>
        <w:t>(</w:t>
      </w:r>
      <w:r w:rsidR="00A37B7D" w:rsidRPr="00950741">
        <w:rPr>
          <w:rFonts w:ascii="Times New Roman" w:hAnsi="Times New Roman"/>
        </w:rPr>
        <w:t>1</w:t>
      </w:r>
      <w:r w:rsidR="00E378E2" w:rsidRPr="00950741">
        <w:rPr>
          <w:rFonts w:ascii="Times New Roman" w:hAnsi="Times New Roman"/>
        </w:rPr>
        <w:t>)</w:t>
      </w:r>
      <w:r w:rsidR="00A37B7D" w:rsidRPr="00950741">
        <w:rPr>
          <w:rFonts w:ascii="Times New Roman" w:hAnsi="Times New Roman"/>
        </w:rPr>
        <w:t>(a)).</w:t>
      </w:r>
      <w:r w:rsidR="00A37B7D" w:rsidRPr="00950741">
        <w:rPr>
          <w:rStyle w:val="FootnoteReference"/>
          <w:rFonts w:ascii="Times New Roman" w:hAnsi="Times New Roman"/>
          <w:sz w:val="24"/>
        </w:rPr>
        <w:footnoteReference w:id="47"/>
      </w:r>
      <w:r w:rsidR="00A37B7D" w:rsidRPr="00950741">
        <w:rPr>
          <w:rFonts w:ascii="Times New Roman" w:hAnsi="Times New Roman"/>
        </w:rPr>
        <w:t xml:space="preserve"> </w:t>
      </w:r>
      <w:r w:rsidR="006C2C24" w:rsidRPr="00950741">
        <w:rPr>
          <w:rFonts w:ascii="Times New Roman" w:hAnsi="Times New Roman"/>
        </w:rPr>
        <w:t xml:space="preserve">The indispensable </w:t>
      </w:r>
      <w:r w:rsidR="002B2531" w:rsidRPr="00950741">
        <w:rPr>
          <w:rFonts w:ascii="Times New Roman" w:hAnsi="Times New Roman"/>
        </w:rPr>
        <w:t xml:space="preserve">aspect </w:t>
      </w:r>
      <w:r w:rsidR="006C2C24" w:rsidRPr="00950741">
        <w:rPr>
          <w:rFonts w:ascii="Times New Roman" w:hAnsi="Times New Roman"/>
        </w:rPr>
        <w:t xml:space="preserve">of </w:t>
      </w:r>
      <w:r w:rsidR="002B2531" w:rsidRPr="00950741">
        <w:rPr>
          <w:rFonts w:ascii="Times New Roman" w:hAnsi="Times New Roman"/>
        </w:rPr>
        <w:t xml:space="preserve">Keane NPJ's </w:t>
      </w:r>
      <w:r w:rsidR="006C2C24" w:rsidRPr="00950741">
        <w:rPr>
          <w:rFonts w:ascii="Times New Roman" w:hAnsi="Times New Roman"/>
        </w:rPr>
        <w:t>reasoning follows. A</w:t>
      </w:r>
      <w:r w:rsidR="001865A0" w:rsidRPr="00950741">
        <w:rPr>
          <w:rFonts w:ascii="Times New Roman" w:hAnsi="Times New Roman"/>
        </w:rPr>
        <w:t xml:space="preserve">s Keane NPJ put it, </w:t>
      </w:r>
      <w:r w:rsidR="00DF7750" w:rsidRPr="00950741">
        <w:rPr>
          <w:rFonts w:ascii="Times New Roman" w:hAnsi="Times New Roman"/>
        </w:rPr>
        <w:t>"Art</w:t>
      </w:r>
      <w:r w:rsidR="001E052B" w:rsidRPr="00950741">
        <w:rPr>
          <w:rFonts w:ascii="Times New Roman" w:hAnsi="Times New Roman"/>
        </w:rPr>
        <w:t>icle</w:t>
      </w:r>
      <w:r w:rsidR="00373BDD" w:rsidRPr="00950741">
        <w:rPr>
          <w:rFonts w:ascii="Times New Roman" w:hAnsi="Times New Roman"/>
        </w:rPr>
        <w:t> </w:t>
      </w:r>
      <w:r w:rsidR="00DF7750" w:rsidRPr="00950741">
        <w:rPr>
          <w:rFonts w:ascii="Times New Roman" w:hAnsi="Times New Roman"/>
        </w:rPr>
        <w:t xml:space="preserve">18(1) assumes that a claim of the kind set out in </w:t>
      </w:r>
      <w:r w:rsidR="000D4289" w:rsidRPr="00950741">
        <w:rPr>
          <w:rFonts w:ascii="Times New Roman" w:hAnsi="Times New Roman"/>
        </w:rPr>
        <w:t>[</w:t>
      </w:r>
      <w:r w:rsidR="00257075" w:rsidRPr="00950741">
        <w:rPr>
          <w:rFonts w:ascii="Times New Roman" w:hAnsi="Times New Roman"/>
        </w:rPr>
        <w:t>Art 2(1)(d)]</w:t>
      </w:r>
      <w:r w:rsidR="00DF7750" w:rsidRPr="00950741">
        <w:rPr>
          <w:rFonts w:ascii="Times New Roman" w:hAnsi="Times New Roman"/>
        </w:rPr>
        <w:t xml:space="preserve"> is identifiable as such so that it is able to be disapplied by the legislature of a Contracting State. Article</w:t>
      </w:r>
      <w:r w:rsidR="0075624E" w:rsidRPr="00950741">
        <w:rPr>
          <w:rFonts w:ascii="Times New Roman" w:hAnsi="Times New Roman"/>
        </w:rPr>
        <w:t> </w:t>
      </w:r>
      <w:r w:rsidR="00DF7750" w:rsidRPr="00950741">
        <w:rPr>
          <w:rFonts w:ascii="Times New Roman" w:hAnsi="Times New Roman"/>
        </w:rPr>
        <w:t>18(1) contemplates that any claim in respect of wreck removal expenses may be excluded from the Convention</w:t>
      </w:r>
      <w:r w:rsidR="0075624E" w:rsidRPr="00950741">
        <w:rPr>
          <w:rFonts w:ascii="Times New Roman" w:hAnsi="Times New Roman"/>
        </w:rPr>
        <w:t>'</w:t>
      </w:r>
      <w:r w:rsidR="00DF7750" w:rsidRPr="00950741">
        <w:rPr>
          <w:rFonts w:ascii="Times New Roman" w:hAnsi="Times New Roman"/>
        </w:rPr>
        <w:t>s scheme for the limitation of liability of shipowners."</w:t>
      </w:r>
      <w:r w:rsidR="00DF7750" w:rsidRPr="00950741">
        <w:rPr>
          <w:rStyle w:val="FootnoteReference"/>
          <w:rFonts w:ascii="Times New Roman" w:hAnsi="Times New Roman"/>
          <w:sz w:val="24"/>
        </w:rPr>
        <w:footnoteReference w:id="48"/>
      </w:r>
      <w:r w:rsidR="00485B09" w:rsidRPr="00950741">
        <w:rPr>
          <w:rFonts w:ascii="Times New Roman" w:hAnsi="Times New Roman"/>
        </w:rPr>
        <w:t xml:space="preserve"> Keane NPJ reasoned further that:</w:t>
      </w:r>
      <w:r w:rsidR="00AA7013" w:rsidRPr="00950741">
        <w:rPr>
          <w:rStyle w:val="FootnoteReference"/>
          <w:rFonts w:ascii="Times New Roman" w:hAnsi="Times New Roman"/>
          <w:sz w:val="24"/>
        </w:rPr>
        <w:footnoteReference w:id="49"/>
      </w:r>
    </w:p>
    <w:p w14:paraId="186966F6" w14:textId="77777777" w:rsidR="00950741" w:rsidRDefault="00485B09" w:rsidP="00950741">
      <w:pPr>
        <w:pStyle w:val="leftright"/>
        <w:spacing w:before="0" w:after="260" w:line="280" w:lineRule="exact"/>
        <w:ind w:right="0"/>
        <w:jc w:val="both"/>
        <w:rPr>
          <w:rFonts w:ascii="Times New Roman" w:hAnsi="Times New Roman"/>
        </w:rPr>
      </w:pPr>
      <w:r w:rsidRPr="00950741">
        <w:rPr>
          <w:rFonts w:ascii="Times New Roman" w:hAnsi="Times New Roman"/>
        </w:rPr>
        <w:t>"</w:t>
      </w:r>
      <w:r w:rsidR="0009039B" w:rsidRPr="00950741">
        <w:rPr>
          <w:rFonts w:ascii="Times New Roman" w:hAnsi="Times New Roman"/>
        </w:rPr>
        <w:t xml:space="preserve">It cannot be supposed that </w:t>
      </w:r>
      <w:r w:rsidR="00977800" w:rsidRPr="00950741">
        <w:rPr>
          <w:rFonts w:ascii="Times New Roman" w:hAnsi="Times New Roman"/>
        </w:rPr>
        <w:t>[Art 18(1)]</w:t>
      </w:r>
      <w:r w:rsidR="0009039B" w:rsidRPr="00950741">
        <w:rPr>
          <w:rFonts w:ascii="Times New Roman" w:hAnsi="Times New Roman"/>
        </w:rPr>
        <w:t xml:space="preserve"> contemplates that the legislature of a Contracting State would act in vain in disapplying </w:t>
      </w:r>
      <w:r w:rsidR="00977800" w:rsidRPr="00950741">
        <w:rPr>
          <w:rFonts w:ascii="Times New Roman" w:hAnsi="Times New Roman"/>
        </w:rPr>
        <w:t>[Art 2(1)(d)]</w:t>
      </w:r>
      <w:r w:rsidR="0009039B" w:rsidRPr="00950741">
        <w:rPr>
          <w:rFonts w:ascii="Times New Roman" w:hAnsi="Times New Roman"/>
        </w:rPr>
        <w:t xml:space="preserve">. The evident purpose of </w:t>
      </w:r>
      <w:r w:rsidR="00116D56" w:rsidRPr="00950741">
        <w:rPr>
          <w:rFonts w:ascii="Times New Roman" w:hAnsi="Times New Roman"/>
        </w:rPr>
        <w:t>[Art</w:t>
      </w:r>
      <w:r w:rsidR="00B95ABB" w:rsidRPr="00950741">
        <w:rPr>
          <w:rFonts w:ascii="Times New Roman" w:hAnsi="Times New Roman"/>
        </w:rPr>
        <w:t> 18(1)]</w:t>
      </w:r>
      <w:r w:rsidR="0009039B" w:rsidRPr="00950741">
        <w:rPr>
          <w:rFonts w:ascii="Times New Roman" w:hAnsi="Times New Roman"/>
        </w:rPr>
        <w:t xml:space="preserve"> can be achieved only if reservation by a Contracting State is effective in disapplying </w:t>
      </w:r>
      <w:r w:rsidR="00AF64AE" w:rsidRPr="00950741">
        <w:rPr>
          <w:rFonts w:ascii="Times New Roman" w:hAnsi="Times New Roman"/>
        </w:rPr>
        <w:t>[Art 2(1)(d)]</w:t>
      </w:r>
      <w:r w:rsidR="0009039B" w:rsidRPr="00950741">
        <w:rPr>
          <w:rFonts w:ascii="Times New Roman" w:hAnsi="Times New Roman"/>
        </w:rPr>
        <w:t xml:space="preserve"> even though the expenses of wreck removal might also fall within the language in which other kinds of claims are described in </w:t>
      </w:r>
      <w:r w:rsidR="00E4785F" w:rsidRPr="00950741">
        <w:rPr>
          <w:rFonts w:ascii="Times New Roman" w:hAnsi="Times New Roman"/>
        </w:rPr>
        <w:t>[Art 2(1)]</w:t>
      </w:r>
      <w:r w:rsidR="0009039B" w:rsidRPr="00950741">
        <w:rPr>
          <w:rFonts w:ascii="Times New Roman" w:hAnsi="Times New Roman"/>
        </w:rPr>
        <w:t>."</w:t>
      </w:r>
    </w:p>
    <w:p w14:paraId="5A22863A" w14:textId="3843B451" w:rsidR="002D2668" w:rsidRPr="00950741" w:rsidRDefault="0009039B" w:rsidP="00950741">
      <w:pPr>
        <w:pStyle w:val="FixListStyle"/>
        <w:spacing w:after="260" w:line="280" w:lineRule="exact"/>
        <w:ind w:right="0"/>
        <w:jc w:val="both"/>
        <w:rPr>
          <w:rFonts w:ascii="Times New Roman" w:hAnsi="Times New Roman"/>
        </w:rPr>
      </w:pPr>
      <w:r w:rsidRPr="00950741">
        <w:rPr>
          <w:rFonts w:ascii="Times New Roman" w:hAnsi="Times New Roman"/>
        </w:rPr>
        <w:lastRenderedPageBreak/>
        <w:tab/>
        <w:t xml:space="preserve">In other words, </w:t>
      </w:r>
      <w:r w:rsidR="00D6591B" w:rsidRPr="00950741">
        <w:rPr>
          <w:rFonts w:ascii="Times New Roman" w:hAnsi="Times New Roman"/>
        </w:rPr>
        <w:t xml:space="preserve">the reasoning of the </w:t>
      </w:r>
      <w:r w:rsidR="00D33FB4" w:rsidRPr="00950741">
        <w:rPr>
          <w:rFonts w:ascii="Times New Roman" w:hAnsi="Times New Roman"/>
        </w:rPr>
        <w:t xml:space="preserve">Hong Kong </w:t>
      </w:r>
      <w:r w:rsidR="00D6591B" w:rsidRPr="00950741">
        <w:rPr>
          <w:rFonts w:ascii="Times New Roman" w:hAnsi="Times New Roman"/>
        </w:rPr>
        <w:t xml:space="preserve">Court of Final Appeal </w:t>
      </w:r>
      <w:r w:rsidR="004B10D4" w:rsidRPr="00950741">
        <w:rPr>
          <w:rFonts w:ascii="Times New Roman" w:hAnsi="Times New Roman"/>
        </w:rPr>
        <w:t xml:space="preserve">was not that </w:t>
      </w:r>
      <w:r w:rsidR="00D6591B" w:rsidRPr="00950741">
        <w:rPr>
          <w:rFonts w:ascii="Times New Roman" w:hAnsi="Times New Roman"/>
        </w:rPr>
        <w:t>Art</w:t>
      </w:r>
      <w:r w:rsidR="00E158A8" w:rsidRPr="00950741">
        <w:rPr>
          <w:rFonts w:ascii="Times New Roman" w:hAnsi="Times New Roman"/>
        </w:rPr>
        <w:t> </w:t>
      </w:r>
      <w:r w:rsidR="00D6591B" w:rsidRPr="00950741">
        <w:rPr>
          <w:rFonts w:ascii="Times New Roman" w:hAnsi="Times New Roman"/>
        </w:rPr>
        <w:t>2</w:t>
      </w:r>
      <w:r w:rsidR="00E158A8" w:rsidRPr="00950741">
        <w:rPr>
          <w:rFonts w:ascii="Times New Roman" w:hAnsi="Times New Roman"/>
        </w:rPr>
        <w:t>(</w:t>
      </w:r>
      <w:r w:rsidR="00D6591B" w:rsidRPr="00950741">
        <w:rPr>
          <w:rFonts w:ascii="Times New Roman" w:hAnsi="Times New Roman"/>
        </w:rPr>
        <w:t>1</w:t>
      </w:r>
      <w:r w:rsidR="00E158A8" w:rsidRPr="00950741">
        <w:rPr>
          <w:rFonts w:ascii="Times New Roman" w:hAnsi="Times New Roman"/>
        </w:rPr>
        <w:t>)</w:t>
      </w:r>
      <w:r w:rsidR="00D6591B" w:rsidRPr="00950741">
        <w:rPr>
          <w:rFonts w:ascii="Times New Roman" w:hAnsi="Times New Roman"/>
        </w:rPr>
        <w:t xml:space="preserve">(d) </w:t>
      </w:r>
      <w:r w:rsidR="004B10D4" w:rsidRPr="00950741">
        <w:rPr>
          <w:rFonts w:ascii="Times New Roman" w:hAnsi="Times New Roman"/>
        </w:rPr>
        <w:t xml:space="preserve">is to be </w:t>
      </w:r>
      <w:r w:rsidR="00D6591B" w:rsidRPr="00950741">
        <w:rPr>
          <w:rFonts w:ascii="Times New Roman" w:hAnsi="Times New Roman"/>
        </w:rPr>
        <w:t xml:space="preserve">construed as </w:t>
      </w:r>
      <w:r w:rsidR="0075624E" w:rsidRPr="00950741">
        <w:rPr>
          <w:rFonts w:ascii="Times New Roman" w:hAnsi="Times New Roman"/>
        </w:rPr>
        <w:t>a</w:t>
      </w:r>
      <w:r w:rsidR="004B10D4" w:rsidRPr="00950741">
        <w:rPr>
          <w:rFonts w:ascii="Times New Roman" w:hAnsi="Times New Roman"/>
        </w:rPr>
        <w:t>n</w:t>
      </w:r>
      <w:r w:rsidR="0075624E" w:rsidRPr="00950741">
        <w:rPr>
          <w:rFonts w:ascii="Times New Roman" w:hAnsi="Times New Roman"/>
        </w:rPr>
        <w:t xml:space="preserve"> exclusive </w:t>
      </w:r>
      <w:r w:rsidR="00D6591B" w:rsidRPr="00950741">
        <w:rPr>
          <w:rFonts w:ascii="Times New Roman" w:hAnsi="Times New Roman"/>
        </w:rPr>
        <w:t>code for wreck removal claims</w:t>
      </w:r>
      <w:r w:rsidR="000D21C6" w:rsidRPr="00950741">
        <w:rPr>
          <w:rFonts w:ascii="Times New Roman" w:hAnsi="Times New Roman"/>
        </w:rPr>
        <w:t xml:space="preserve">. </w:t>
      </w:r>
      <w:r w:rsidR="00734240" w:rsidRPr="00950741">
        <w:rPr>
          <w:rFonts w:ascii="Times New Roman" w:hAnsi="Times New Roman"/>
        </w:rPr>
        <w:t xml:space="preserve">Rather, the Hong Kong Court of Final Appeal recognised that </w:t>
      </w:r>
      <w:r w:rsidR="000D21C6" w:rsidRPr="00950741">
        <w:rPr>
          <w:rFonts w:ascii="Times New Roman" w:hAnsi="Times New Roman"/>
        </w:rPr>
        <w:t>Art</w:t>
      </w:r>
      <w:r w:rsidR="00136A14" w:rsidRPr="00950741">
        <w:rPr>
          <w:rFonts w:ascii="Times New Roman" w:hAnsi="Times New Roman"/>
        </w:rPr>
        <w:t> </w:t>
      </w:r>
      <w:r w:rsidR="000D21C6" w:rsidRPr="00950741">
        <w:rPr>
          <w:rFonts w:ascii="Times New Roman" w:hAnsi="Times New Roman"/>
        </w:rPr>
        <w:t>18</w:t>
      </w:r>
      <w:r w:rsidR="00153314" w:rsidRPr="00950741">
        <w:rPr>
          <w:rFonts w:ascii="Times New Roman" w:hAnsi="Times New Roman"/>
        </w:rPr>
        <w:t>(</w:t>
      </w:r>
      <w:r w:rsidR="000D21C6" w:rsidRPr="00950741">
        <w:rPr>
          <w:rFonts w:ascii="Times New Roman" w:hAnsi="Times New Roman"/>
        </w:rPr>
        <w:t>1</w:t>
      </w:r>
      <w:r w:rsidR="00153314" w:rsidRPr="00950741">
        <w:rPr>
          <w:rFonts w:ascii="Times New Roman" w:hAnsi="Times New Roman"/>
        </w:rPr>
        <w:t>)</w:t>
      </w:r>
      <w:r w:rsidR="000D21C6" w:rsidRPr="00950741">
        <w:rPr>
          <w:rFonts w:ascii="Times New Roman" w:hAnsi="Times New Roman"/>
        </w:rPr>
        <w:t xml:space="preserve"> is as much a part of the 1976</w:t>
      </w:r>
      <w:r w:rsidR="00734240" w:rsidRPr="00950741">
        <w:rPr>
          <w:rFonts w:ascii="Times New Roman" w:hAnsi="Times New Roman"/>
        </w:rPr>
        <w:t> </w:t>
      </w:r>
      <w:r w:rsidR="000D21C6" w:rsidRPr="00950741">
        <w:rPr>
          <w:rFonts w:ascii="Times New Roman" w:hAnsi="Times New Roman"/>
        </w:rPr>
        <w:t>Convention as Art</w:t>
      </w:r>
      <w:r w:rsidR="00136A14" w:rsidRPr="00950741">
        <w:rPr>
          <w:rFonts w:ascii="Times New Roman" w:hAnsi="Times New Roman"/>
        </w:rPr>
        <w:t> </w:t>
      </w:r>
      <w:r w:rsidR="000D21C6" w:rsidRPr="00950741">
        <w:rPr>
          <w:rFonts w:ascii="Times New Roman" w:hAnsi="Times New Roman"/>
        </w:rPr>
        <w:t>2</w:t>
      </w:r>
      <w:r w:rsidR="00153314" w:rsidRPr="00950741">
        <w:rPr>
          <w:rFonts w:ascii="Times New Roman" w:hAnsi="Times New Roman"/>
        </w:rPr>
        <w:t>(</w:t>
      </w:r>
      <w:r w:rsidR="000D21C6" w:rsidRPr="00950741">
        <w:rPr>
          <w:rFonts w:ascii="Times New Roman" w:hAnsi="Times New Roman"/>
        </w:rPr>
        <w:t>1</w:t>
      </w:r>
      <w:r w:rsidR="00153314" w:rsidRPr="00950741">
        <w:rPr>
          <w:rFonts w:ascii="Times New Roman" w:hAnsi="Times New Roman"/>
        </w:rPr>
        <w:t>)</w:t>
      </w:r>
      <w:r w:rsidR="000D21C6" w:rsidRPr="00950741">
        <w:rPr>
          <w:rFonts w:ascii="Times New Roman" w:hAnsi="Times New Roman"/>
        </w:rPr>
        <w:t xml:space="preserve"> and that for Art</w:t>
      </w:r>
      <w:r w:rsidR="00734240" w:rsidRPr="00950741">
        <w:rPr>
          <w:rFonts w:ascii="Times New Roman" w:hAnsi="Times New Roman"/>
        </w:rPr>
        <w:t> </w:t>
      </w:r>
      <w:r w:rsidR="000D21C6" w:rsidRPr="00950741">
        <w:rPr>
          <w:rFonts w:ascii="Times New Roman" w:hAnsi="Times New Roman"/>
        </w:rPr>
        <w:t>18</w:t>
      </w:r>
      <w:r w:rsidR="00153314" w:rsidRPr="00950741">
        <w:rPr>
          <w:rFonts w:ascii="Times New Roman" w:hAnsi="Times New Roman"/>
        </w:rPr>
        <w:t>(</w:t>
      </w:r>
      <w:r w:rsidR="000D21C6" w:rsidRPr="00950741">
        <w:rPr>
          <w:rFonts w:ascii="Times New Roman" w:hAnsi="Times New Roman"/>
        </w:rPr>
        <w:t>1</w:t>
      </w:r>
      <w:r w:rsidR="00153314" w:rsidRPr="00950741">
        <w:rPr>
          <w:rFonts w:ascii="Times New Roman" w:hAnsi="Times New Roman"/>
        </w:rPr>
        <w:t>)</w:t>
      </w:r>
      <w:r w:rsidR="000D21C6" w:rsidRPr="00950741">
        <w:rPr>
          <w:rFonts w:ascii="Times New Roman" w:hAnsi="Times New Roman"/>
        </w:rPr>
        <w:t xml:space="preserve"> to</w:t>
      </w:r>
      <w:r w:rsidR="00734240" w:rsidRPr="00950741">
        <w:rPr>
          <w:rFonts w:ascii="Times New Roman" w:hAnsi="Times New Roman"/>
        </w:rPr>
        <w:t xml:space="preserve"> mean what it unequivocally says</w:t>
      </w:r>
      <w:r w:rsidR="00BE4F65" w:rsidRPr="00950741">
        <w:rPr>
          <w:rFonts w:ascii="Times New Roman" w:hAnsi="Times New Roman"/>
        </w:rPr>
        <w:t xml:space="preserve">, an exercise of the right </w:t>
      </w:r>
      <w:r w:rsidR="00153314" w:rsidRPr="00950741">
        <w:rPr>
          <w:rFonts w:ascii="Times New Roman" w:hAnsi="Times New Roman"/>
        </w:rPr>
        <w:t>to disapply</w:t>
      </w:r>
      <w:r w:rsidR="00BE4F65" w:rsidRPr="00950741">
        <w:rPr>
          <w:rFonts w:ascii="Times New Roman" w:hAnsi="Times New Roman"/>
        </w:rPr>
        <w:t xml:space="preserve"> Art</w:t>
      </w:r>
      <w:r w:rsidR="00136A14" w:rsidRPr="00950741">
        <w:rPr>
          <w:rFonts w:ascii="Times New Roman" w:hAnsi="Times New Roman"/>
        </w:rPr>
        <w:t> </w:t>
      </w:r>
      <w:r w:rsidR="00BE4F65" w:rsidRPr="00950741">
        <w:rPr>
          <w:rFonts w:ascii="Times New Roman" w:hAnsi="Times New Roman"/>
        </w:rPr>
        <w:t>2</w:t>
      </w:r>
      <w:r w:rsidR="00153314" w:rsidRPr="00950741">
        <w:rPr>
          <w:rFonts w:ascii="Times New Roman" w:hAnsi="Times New Roman"/>
        </w:rPr>
        <w:t>(</w:t>
      </w:r>
      <w:r w:rsidR="00BE4F65" w:rsidRPr="00950741">
        <w:rPr>
          <w:rFonts w:ascii="Times New Roman" w:hAnsi="Times New Roman"/>
        </w:rPr>
        <w:t>1</w:t>
      </w:r>
      <w:r w:rsidR="00153314" w:rsidRPr="00950741">
        <w:rPr>
          <w:rFonts w:ascii="Times New Roman" w:hAnsi="Times New Roman"/>
        </w:rPr>
        <w:t>)</w:t>
      </w:r>
      <w:r w:rsidR="00BE4F65" w:rsidRPr="00950741">
        <w:rPr>
          <w:rFonts w:ascii="Times New Roman" w:hAnsi="Times New Roman"/>
        </w:rPr>
        <w:t>(d</w:t>
      </w:r>
      <w:r w:rsidR="007B3A6E" w:rsidRPr="00950741">
        <w:rPr>
          <w:rFonts w:ascii="Times New Roman" w:hAnsi="Times New Roman"/>
        </w:rPr>
        <w:t xml:space="preserve">) </w:t>
      </w:r>
      <w:r w:rsidR="000D574D" w:rsidRPr="00950741">
        <w:rPr>
          <w:rFonts w:ascii="Times New Roman" w:hAnsi="Times New Roman"/>
        </w:rPr>
        <w:t xml:space="preserve">must </w:t>
      </w:r>
      <w:r w:rsidR="00BE4F65" w:rsidRPr="00950741">
        <w:rPr>
          <w:rFonts w:ascii="Times New Roman" w:hAnsi="Times New Roman"/>
        </w:rPr>
        <w:t xml:space="preserve">have the effect of </w:t>
      </w:r>
      <w:r w:rsidR="007B3A6E" w:rsidRPr="00950741">
        <w:rPr>
          <w:rFonts w:ascii="Times New Roman" w:hAnsi="Times New Roman"/>
        </w:rPr>
        <w:t>taking all claims within the disapplied Art</w:t>
      </w:r>
      <w:r w:rsidR="00153314" w:rsidRPr="00950741">
        <w:rPr>
          <w:rFonts w:ascii="Times New Roman" w:hAnsi="Times New Roman"/>
        </w:rPr>
        <w:t> </w:t>
      </w:r>
      <w:r w:rsidR="007B3A6E" w:rsidRPr="00950741">
        <w:rPr>
          <w:rFonts w:ascii="Times New Roman" w:hAnsi="Times New Roman"/>
        </w:rPr>
        <w:t>2</w:t>
      </w:r>
      <w:r w:rsidR="00153314" w:rsidRPr="00950741">
        <w:rPr>
          <w:rFonts w:ascii="Times New Roman" w:hAnsi="Times New Roman"/>
        </w:rPr>
        <w:t>(</w:t>
      </w:r>
      <w:r w:rsidR="007B3A6E" w:rsidRPr="00950741">
        <w:rPr>
          <w:rFonts w:ascii="Times New Roman" w:hAnsi="Times New Roman"/>
        </w:rPr>
        <w:t>1</w:t>
      </w:r>
      <w:r w:rsidR="00153314" w:rsidRPr="00950741">
        <w:rPr>
          <w:rFonts w:ascii="Times New Roman" w:hAnsi="Times New Roman"/>
        </w:rPr>
        <w:t>)</w:t>
      </w:r>
      <w:r w:rsidR="007B3A6E" w:rsidRPr="00950741">
        <w:rPr>
          <w:rFonts w:ascii="Times New Roman" w:hAnsi="Times New Roman"/>
        </w:rPr>
        <w:t xml:space="preserve">(d) outside of the scope of the "rules of this Convention </w:t>
      </w:r>
      <w:r w:rsidR="00766256" w:rsidRPr="00950741">
        <w:rPr>
          <w:rFonts w:ascii="Times New Roman" w:hAnsi="Times New Roman"/>
        </w:rPr>
        <w:t xml:space="preserve">for claims set out </w:t>
      </w:r>
      <w:r w:rsidR="007B3A6E" w:rsidRPr="00950741">
        <w:rPr>
          <w:rFonts w:ascii="Times New Roman" w:hAnsi="Times New Roman"/>
        </w:rPr>
        <w:t>in Article</w:t>
      </w:r>
      <w:r w:rsidR="002F5D17" w:rsidRPr="00950741">
        <w:rPr>
          <w:rFonts w:ascii="Times New Roman" w:hAnsi="Times New Roman"/>
        </w:rPr>
        <w:t> </w:t>
      </w:r>
      <w:r w:rsidR="007B3A6E" w:rsidRPr="00950741">
        <w:rPr>
          <w:rFonts w:ascii="Times New Roman" w:hAnsi="Times New Roman"/>
        </w:rPr>
        <w:t>2</w:t>
      </w:r>
      <w:r w:rsidR="001F641F" w:rsidRPr="00950741">
        <w:rPr>
          <w:rFonts w:ascii="Times New Roman" w:hAnsi="Times New Roman"/>
        </w:rPr>
        <w:t>"</w:t>
      </w:r>
      <w:r w:rsidR="007B3A6E" w:rsidRPr="00950741">
        <w:rPr>
          <w:rFonts w:ascii="Times New Roman" w:hAnsi="Times New Roman"/>
        </w:rPr>
        <w:t xml:space="preserve"> </w:t>
      </w:r>
      <w:r w:rsidR="000D574D" w:rsidRPr="00950741">
        <w:rPr>
          <w:rFonts w:ascii="Times New Roman" w:hAnsi="Times New Roman"/>
        </w:rPr>
        <w:t xml:space="preserve">for the reserving State Party </w:t>
      </w:r>
      <w:r w:rsidR="007B3A6E" w:rsidRPr="00950741">
        <w:rPr>
          <w:rFonts w:ascii="Times New Roman" w:hAnsi="Times New Roman"/>
        </w:rPr>
        <w:t>as provided for in Art</w:t>
      </w:r>
      <w:r w:rsidR="000D574D" w:rsidRPr="00950741">
        <w:rPr>
          <w:rFonts w:ascii="Times New Roman" w:hAnsi="Times New Roman"/>
        </w:rPr>
        <w:t> </w:t>
      </w:r>
      <w:r w:rsidR="007B3A6E" w:rsidRPr="00950741">
        <w:rPr>
          <w:rFonts w:ascii="Times New Roman" w:hAnsi="Times New Roman"/>
        </w:rPr>
        <w:t>1</w:t>
      </w:r>
      <w:r w:rsidR="007E6EE5" w:rsidRPr="00950741">
        <w:rPr>
          <w:rFonts w:ascii="Times New Roman" w:hAnsi="Times New Roman"/>
        </w:rPr>
        <w:t>(</w:t>
      </w:r>
      <w:r w:rsidR="007B3A6E" w:rsidRPr="00950741">
        <w:rPr>
          <w:rFonts w:ascii="Times New Roman" w:hAnsi="Times New Roman"/>
        </w:rPr>
        <w:t>1</w:t>
      </w:r>
      <w:r w:rsidR="007E6EE5" w:rsidRPr="00950741">
        <w:rPr>
          <w:rFonts w:ascii="Times New Roman" w:hAnsi="Times New Roman"/>
        </w:rPr>
        <w:t>)</w:t>
      </w:r>
      <w:r w:rsidR="007B3A6E" w:rsidRPr="00950741">
        <w:rPr>
          <w:rFonts w:ascii="Times New Roman" w:hAnsi="Times New Roman"/>
        </w:rPr>
        <w:t>.</w:t>
      </w:r>
      <w:r w:rsidR="00C001EC" w:rsidRPr="00950741">
        <w:rPr>
          <w:rFonts w:ascii="Times New Roman" w:hAnsi="Times New Roman"/>
        </w:rPr>
        <w:t xml:space="preserve"> </w:t>
      </w:r>
      <w:r w:rsidR="00136A14" w:rsidRPr="00950741">
        <w:rPr>
          <w:rFonts w:ascii="Times New Roman" w:hAnsi="Times New Roman"/>
        </w:rPr>
        <w:t xml:space="preserve">This </w:t>
      </w:r>
      <w:r w:rsidR="00C001EC" w:rsidRPr="00950741">
        <w:rPr>
          <w:rFonts w:ascii="Times New Roman" w:hAnsi="Times New Roman"/>
        </w:rPr>
        <w:t>is reflected in Keane NPJ's subsequent conclusion that:</w:t>
      </w:r>
      <w:r w:rsidR="00611A7A" w:rsidRPr="00950741">
        <w:rPr>
          <w:rStyle w:val="FootnoteReference"/>
          <w:rFonts w:ascii="Times New Roman" w:hAnsi="Times New Roman"/>
          <w:sz w:val="24"/>
        </w:rPr>
        <w:footnoteReference w:id="50"/>
      </w:r>
    </w:p>
    <w:p w14:paraId="6FA4B37E" w14:textId="77777777" w:rsidR="00950741" w:rsidRDefault="00C001EC" w:rsidP="00950741">
      <w:pPr>
        <w:pStyle w:val="leftright"/>
        <w:spacing w:before="0" w:after="260" w:line="280" w:lineRule="exact"/>
        <w:ind w:right="0"/>
        <w:jc w:val="both"/>
        <w:rPr>
          <w:rFonts w:ascii="Times New Roman" w:hAnsi="Times New Roman"/>
        </w:rPr>
      </w:pPr>
      <w:r w:rsidRPr="00950741">
        <w:rPr>
          <w:rFonts w:ascii="Times New Roman" w:hAnsi="Times New Roman"/>
        </w:rPr>
        <w:t>"</w:t>
      </w:r>
      <w:r w:rsidR="000B3389" w:rsidRPr="00950741">
        <w:rPr>
          <w:rFonts w:ascii="Times New Roman" w:hAnsi="Times New Roman"/>
        </w:rPr>
        <w:t xml:space="preserve">it would reduce </w:t>
      </w:r>
      <w:r w:rsidR="001D143D" w:rsidRPr="00950741">
        <w:rPr>
          <w:rFonts w:ascii="Times New Roman" w:hAnsi="Times New Roman"/>
        </w:rPr>
        <w:t>[Art 2(1)]</w:t>
      </w:r>
      <w:r w:rsidR="000B3389" w:rsidRPr="00950741">
        <w:rPr>
          <w:rFonts w:ascii="Times New Roman" w:hAnsi="Times New Roman"/>
        </w:rPr>
        <w:t xml:space="preserve"> to incoherence to read the Convention as providing that a Contracting State may disapply </w:t>
      </w:r>
      <w:r w:rsidR="001D143D" w:rsidRPr="00950741">
        <w:rPr>
          <w:rFonts w:ascii="Times New Roman" w:hAnsi="Times New Roman"/>
        </w:rPr>
        <w:t>[Art 2(1)(d)]</w:t>
      </w:r>
      <w:r w:rsidR="000B3389" w:rsidRPr="00950741">
        <w:rPr>
          <w:rFonts w:ascii="Times New Roman" w:hAnsi="Times New Roman"/>
        </w:rPr>
        <w:t xml:space="preserve"> and thus exclude from limitation of</w:t>
      </w:r>
      <w:r w:rsidR="00611A7A" w:rsidRPr="00950741">
        <w:rPr>
          <w:rFonts w:ascii="Times New Roman" w:hAnsi="Times New Roman"/>
        </w:rPr>
        <w:t xml:space="preserve"> liability a claim for recovery of the expense of removing the wreck of a ship that has sunk, while at the same time providing that limitation of liability remains available to limit the same claim for recovery of the same expense for no reason other than that the expense is a consequence of the sinking of the same ship"</w:t>
      </w:r>
      <w:r w:rsidR="0043637A" w:rsidRPr="00950741">
        <w:rPr>
          <w:rFonts w:ascii="Times New Roman" w:hAnsi="Times New Roman"/>
        </w:rPr>
        <w:t>.</w:t>
      </w:r>
    </w:p>
    <w:p w14:paraId="5F855FF4" w14:textId="38ECCDEC" w:rsidR="002D2668" w:rsidRPr="00950741" w:rsidRDefault="00311D54"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The </w:t>
      </w:r>
      <w:r w:rsidR="00D33FB4" w:rsidRPr="00950741">
        <w:rPr>
          <w:rFonts w:ascii="Times New Roman" w:hAnsi="Times New Roman"/>
        </w:rPr>
        <w:t xml:space="preserve">Hong Kong </w:t>
      </w:r>
      <w:r w:rsidRPr="00950741">
        <w:rPr>
          <w:rFonts w:ascii="Times New Roman" w:hAnsi="Times New Roman"/>
        </w:rPr>
        <w:t xml:space="preserve">Court of Final Appeal also rejected the appellant's argument that </w:t>
      </w:r>
      <w:r w:rsidR="007F0871" w:rsidRPr="00950741">
        <w:rPr>
          <w:rFonts w:ascii="Times New Roman" w:hAnsi="Times New Roman"/>
        </w:rPr>
        <w:t>Art</w:t>
      </w:r>
      <w:r w:rsidR="00E6582E" w:rsidRPr="00950741">
        <w:rPr>
          <w:rFonts w:ascii="Times New Roman" w:hAnsi="Times New Roman"/>
        </w:rPr>
        <w:t> </w:t>
      </w:r>
      <w:r w:rsidR="007F0871" w:rsidRPr="00950741">
        <w:rPr>
          <w:rFonts w:ascii="Times New Roman" w:hAnsi="Times New Roman"/>
        </w:rPr>
        <w:t>2</w:t>
      </w:r>
      <w:r w:rsidR="008A1F21" w:rsidRPr="00950741">
        <w:rPr>
          <w:rFonts w:ascii="Times New Roman" w:hAnsi="Times New Roman"/>
        </w:rPr>
        <w:t>(</w:t>
      </w:r>
      <w:r w:rsidR="007F0871" w:rsidRPr="00950741">
        <w:rPr>
          <w:rFonts w:ascii="Times New Roman" w:hAnsi="Times New Roman"/>
        </w:rPr>
        <w:t>1</w:t>
      </w:r>
      <w:r w:rsidR="008A1F21" w:rsidRPr="00950741">
        <w:rPr>
          <w:rFonts w:ascii="Times New Roman" w:hAnsi="Times New Roman"/>
        </w:rPr>
        <w:t>)</w:t>
      </w:r>
      <w:r w:rsidR="007F0871" w:rsidRPr="00950741">
        <w:rPr>
          <w:rFonts w:ascii="Times New Roman" w:hAnsi="Times New Roman"/>
        </w:rPr>
        <w:t xml:space="preserve">(d) was confined to </w:t>
      </w:r>
      <w:r w:rsidR="009A4439" w:rsidRPr="00950741">
        <w:rPr>
          <w:rFonts w:ascii="Times New Roman" w:hAnsi="Times New Roman"/>
        </w:rPr>
        <w:t>claims for wreck removal expenses by harbour authorities. In so concluding</w:t>
      </w:r>
      <w:r w:rsidR="000E3B96" w:rsidRPr="00950741">
        <w:rPr>
          <w:rFonts w:ascii="Times New Roman" w:hAnsi="Times New Roman"/>
        </w:rPr>
        <w:t>,</w:t>
      </w:r>
      <w:r w:rsidR="009A4439" w:rsidRPr="00950741">
        <w:rPr>
          <w:rFonts w:ascii="Times New Roman" w:hAnsi="Times New Roman"/>
        </w:rPr>
        <w:t xml:space="preserve"> the Hong Kong Court of Final Appeal</w:t>
      </w:r>
      <w:r w:rsidR="00171CD6" w:rsidRPr="00950741">
        <w:rPr>
          <w:rFonts w:ascii="Times New Roman" w:hAnsi="Times New Roman"/>
        </w:rPr>
        <w:t xml:space="preserve"> </w:t>
      </w:r>
      <w:r w:rsidR="0039359B" w:rsidRPr="00950741">
        <w:rPr>
          <w:rFonts w:ascii="Times New Roman" w:hAnsi="Times New Roman"/>
        </w:rPr>
        <w:t>rightly</w:t>
      </w:r>
      <w:r w:rsidR="009A4439" w:rsidRPr="00950741">
        <w:rPr>
          <w:rFonts w:ascii="Times New Roman" w:hAnsi="Times New Roman"/>
        </w:rPr>
        <w:t>: (</w:t>
      </w:r>
      <w:proofErr w:type="spellStart"/>
      <w:r w:rsidR="009A4439" w:rsidRPr="00950741">
        <w:rPr>
          <w:rFonts w:ascii="Times New Roman" w:hAnsi="Times New Roman"/>
        </w:rPr>
        <w:t>i</w:t>
      </w:r>
      <w:proofErr w:type="spellEnd"/>
      <w:r w:rsidR="009A4439" w:rsidRPr="00950741">
        <w:rPr>
          <w:rFonts w:ascii="Times New Roman" w:hAnsi="Times New Roman"/>
        </w:rPr>
        <w:t>) </w:t>
      </w:r>
      <w:r w:rsidR="00F00C1B" w:rsidRPr="00950741">
        <w:rPr>
          <w:rFonts w:ascii="Times New Roman" w:hAnsi="Times New Roman"/>
        </w:rPr>
        <w:t>rejected the possibility of construing Art</w:t>
      </w:r>
      <w:r w:rsidR="00E6582E" w:rsidRPr="00950741">
        <w:rPr>
          <w:rFonts w:ascii="Times New Roman" w:hAnsi="Times New Roman"/>
        </w:rPr>
        <w:t> </w:t>
      </w:r>
      <w:r w:rsidR="00F00C1B" w:rsidRPr="00950741">
        <w:rPr>
          <w:rFonts w:ascii="Times New Roman" w:hAnsi="Times New Roman"/>
        </w:rPr>
        <w:t>2</w:t>
      </w:r>
      <w:r w:rsidR="00DB7652" w:rsidRPr="00950741">
        <w:rPr>
          <w:rFonts w:ascii="Times New Roman" w:hAnsi="Times New Roman"/>
        </w:rPr>
        <w:t>(</w:t>
      </w:r>
      <w:r w:rsidR="00F00C1B" w:rsidRPr="00950741">
        <w:rPr>
          <w:rFonts w:ascii="Times New Roman" w:hAnsi="Times New Roman"/>
        </w:rPr>
        <w:t>1</w:t>
      </w:r>
      <w:r w:rsidR="00DB7652" w:rsidRPr="00950741">
        <w:rPr>
          <w:rFonts w:ascii="Times New Roman" w:hAnsi="Times New Roman"/>
        </w:rPr>
        <w:t>)</w:t>
      </w:r>
      <w:r w:rsidR="00F00C1B" w:rsidRPr="00950741">
        <w:rPr>
          <w:rFonts w:ascii="Times New Roman" w:hAnsi="Times New Roman"/>
        </w:rPr>
        <w:t>(d) as if it referred to "</w:t>
      </w:r>
      <w:r w:rsidR="00704170" w:rsidRPr="00950741">
        <w:rPr>
          <w:rFonts w:ascii="Times New Roman" w:hAnsi="Times New Roman"/>
        </w:rPr>
        <w:t>'</w:t>
      </w:r>
      <w:r w:rsidR="002F5CB0" w:rsidRPr="00950741">
        <w:rPr>
          <w:rFonts w:ascii="Times New Roman" w:hAnsi="Times New Roman"/>
        </w:rPr>
        <w:t>claims by harbour authorities in respect of</w:t>
      </w:r>
      <w:r w:rsidR="00704170" w:rsidRPr="00950741">
        <w:rPr>
          <w:rFonts w:ascii="Times New Roman" w:hAnsi="Times New Roman"/>
        </w:rPr>
        <w:t>'</w:t>
      </w:r>
      <w:r w:rsidR="002F5CB0" w:rsidRPr="00950741">
        <w:rPr>
          <w:rFonts w:ascii="Times New Roman" w:hAnsi="Times New Roman"/>
        </w:rPr>
        <w:t xml:space="preserve"> wreck removal";</w:t>
      </w:r>
      <w:r w:rsidR="002F5CB0" w:rsidRPr="00950741">
        <w:rPr>
          <w:rStyle w:val="FootnoteReference"/>
          <w:rFonts w:ascii="Times New Roman" w:hAnsi="Times New Roman"/>
          <w:sz w:val="24"/>
        </w:rPr>
        <w:footnoteReference w:id="51"/>
      </w:r>
      <w:r w:rsidR="002F5CB0" w:rsidRPr="00950741">
        <w:rPr>
          <w:rFonts w:ascii="Times New Roman" w:hAnsi="Times New Roman"/>
        </w:rPr>
        <w:t xml:space="preserve"> </w:t>
      </w:r>
      <w:r w:rsidR="007A06C8" w:rsidRPr="00950741">
        <w:rPr>
          <w:rFonts w:ascii="Times New Roman" w:hAnsi="Times New Roman"/>
        </w:rPr>
        <w:t xml:space="preserve">(ii) confirmed the </w:t>
      </w:r>
      <w:r w:rsidR="00A57C97" w:rsidRPr="00950741">
        <w:rPr>
          <w:rFonts w:ascii="Times New Roman" w:hAnsi="Times New Roman"/>
        </w:rPr>
        <w:t xml:space="preserve">"evident indifference of </w:t>
      </w:r>
      <w:r w:rsidR="00A63947" w:rsidRPr="00950741">
        <w:rPr>
          <w:rFonts w:ascii="Times New Roman" w:hAnsi="Times New Roman"/>
        </w:rPr>
        <w:t>[Art 2(1)]</w:t>
      </w:r>
      <w:r w:rsidR="00A57C97" w:rsidRPr="00950741">
        <w:rPr>
          <w:rFonts w:ascii="Times New Roman" w:hAnsi="Times New Roman"/>
        </w:rPr>
        <w:t xml:space="preserve"> to the identity of the claimant as well as to the legal basis on which any claimant may assert a liability against a shipowner";</w:t>
      </w:r>
      <w:r w:rsidR="00A57C97" w:rsidRPr="00950741">
        <w:rPr>
          <w:rStyle w:val="FootnoteReference"/>
          <w:rFonts w:ascii="Times New Roman" w:hAnsi="Times New Roman"/>
          <w:sz w:val="24"/>
        </w:rPr>
        <w:footnoteReference w:id="52"/>
      </w:r>
      <w:r w:rsidR="000044B5" w:rsidRPr="00950741">
        <w:rPr>
          <w:rFonts w:ascii="Times New Roman" w:hAnsi="Times New Roman"/>
        </w:rPr>
        <w:t xml:space="preserve"> (i</w:t>
      </w:r>
      <w:r w:rsidR="00A70B5F" w:rsidRPr="00950741">
        <w:rPr>
          <w:rFonts w:ascii="Times New Roman" w:hAnsi="Times New Roman"/>
        </w:rPr>
        <w:t>ii</w:t>
      </w:r>
      <w:r w:rsidR="000044B5" w:rsidRPr="00950741">
        <w:rPr>
          <w:rFonts w:ascii="Times New Roman" w:hAnsi="Times New Roman"/>
        </w:rPr>
        <w:t>)</w:t>
      </w:r>
      <w:r w:rsidR="00171CD6" w:rsidRPr="00950741">
        <w:rPr>
          <w:rFonts w:ascii="Times New Roman" w:hAnsi="Times New Roman"/>
        </w:rPr>
        <w:t> </w:t>
      </w:r>
      <w:r w:rsidR="000044B5" w:rsidRPr="00950741">
        <w:rPr>
          <w:rFonts w:ascii="Times New Roman" w:hAnsi="Times New Roman"/>
        </w:rPr>
        <w:t xml:space="preserve">characterised the reasoning to the contrary in </w:t>
      </w:r>
      <w:r w:rsidR="00611A38" w:rsidRPr="00950741">
        <w:rPr>
          <w:rFonts w:ascii="Times New Roman" w:hAnsi="Times New Roman"/>
        </w:rPr>
        <w:t xml:space="preserve">the Norwegian case of </w:t>
      </w:r>
      <w:r w:rsidR="00A3437C" w:rsidRPr="00950741">
        <w:rPr>
          <w:rFonts w:ascii="Times New Roman" w:hAnsi="Times New Roman"/>
          <w:i/>
          <w:iCs/>
        </w:rPr>
        <w:t>Twitt Navigation Ltd v The State</w:t>
      </w:r>
      <w:r w:rsidR="00E65AF9" w:rsidRPr="00950741">
        <w:rPr>
          <w:rFonts w:ascii="Times New Roman" w:hAnsi="Times New Roman"/>
          <w:i/>
          <w:iCs/>
        </w:rPr>
        <w:t xml:space="preserve"> </w:t>
      </w:r>
      <w:r w:rsidR="00CD6848" w:rsidRPr="00950741">
        <w:rPr>
          <w:rFonts w:ascii="Times New Roman" w:hAnsi="Times New Roman"/>
          <w:i/>
          <w:iCs/>
        </w:rPr>
        <w:t>r</w:t>
      </w:r>
      <w:r w:rsidR="00E65AF9" w:rsidRPr="00950741">
        <w:rPr>
          <w:rFonts w:ascii="Times New Roman" w:hAnsi="Times New Roman"/>
          <w:i/>
          <w:iCs/>
        </w:rPr>
        <w:t xml:space="preserve">epresented by the </w:t>
      </w:r>
      <w:r w:rsidR="00A3437C" w:rsidRPr="00950741">
        <w:rPr>
          <w:rFonts w:ascii="Times New Roman" w:hAnsi="Times New Roman"/>
          <w:i/>
          <w:iCs/>
        </w:rPr>
        <w:t>Defe</w:t>
      </w:r>
      <w:r w:rsidR="00262EFA" w:rsidRPr="00950741">
        <w:rPr>
          <w:rFonts w:ascii="Times New Roman" w:hAnsi="Times New Roman"/>
          <w:i/>
          <w:iCs/>
        </w:rPr>
        <w:t>nce</w:t>
      </w:r>
      <w:r w:rsidR="00E65AF9" w:rsidRPr="00950741">
        <w:rPr>
          <w:rFonts w:ascii="Times New Roman" w:hAnsi="Times New Roman"/>
          <w:i/>
          <w:iCs/>
        </w:rPr>
        <w:t xml:space="preserve"> Department</w:t>
      </w:r>
      <w:r w:rsidR="00E132D9" w:rsidRPr="00950741">
        <w:rPr>
          <w:rFonts w:ascii="Times New Roman" w:hAnsi="Times New Roman"/>
          <w:i/>
          <w:iCs/>
        </w:rPr>
        <w:t xml:space="preserve"> </w:t>
      </w:r>
      <w:r w:rsidR="00E132D9" w:rsidRPr="00950741">
        <w:rPr>
          <w:rFonts w:ascii="Times New Roman" w:hAnsi="Times New Roman"/>
        </w:rPr>
        <w:t>("</w:t>
      </w:r>
      <w:r w:rsidR="00E132D9" w:rsidRPr="00950741">
        <w:rPr>
          <w:rFonts w:ascii="Times New Roman" w:hAnsi="Times New Roman"/>
          <w:i/>
          <w:iCs/>
        </w:rPr>
        <w:t>Twitt Navigation</w:t>
      </w:r>
      <w:r w:rsidR="00E132D9" w:rsidRPr="00950741">
        <w:rPr>
          <w:rFonts w:ascii="Times New Roman" w:hAnsi="Times New Roman"/>
        </w:rPr>
        <w:t>")</w:t>
      </w:r>
      <w:r w:rsidR="001526E9" w:rsidRPr="00950741">
        <w:rPr>
          <w:rStyle w:val="FootnoteReference"/>
          <w:rFonts w:ascii="Times New Roman" w:hAnsi="Times New Roman"/>
          <w:sz w:val="24"/>
        </w:rPr>
        <w:footnoteReference w:id="53"/>
      </w:r>
      <w:r w:rsidR="00C85464" w:rsidRPr="00950741">
        <w:rPr>
          <w:rFonts w:ascii="Times New Roman" w:hAnsi="Times New Roman"/>
        </w:rPr>
        <w:t xml:space="preserve"> </w:t>
      </w:r>
      <w:r w:rsidR="00B34954" w:rsidRPr="00950741">
        <w:rPr>
          <w:rFonts w:ascii="Times New Roman" w:hAnsi="Times New Roman"/>
        </w:rPr>
        <w:t>a</w:t>
      </w:r>
      <w:r w:rsidR="007E6375" w:rsidRPr="00950741">
        <w:rPr>
          <w:rFonts w:ascii="Times New Roman" w:hAnsi="Times New Roman"/>
        </w:rPr>
        <w:t xml:space="preserve">s unpersuasive because it </w:t>
      </w:r>
      <w:r w:rsidR="00AF4359" w:rsidRPr="00950741">
        <w:rPr>
          <w:rFonts w:ascii="Times New Roman" w:hAnsi="Times New Roman"/>
        </w:rPr>
        <w:t xml:space="preserve">resulted in the very incoherence which the reasoning in </w:t>
      </w:r>
      <w:r w:rsidR="0039359B" w:rsidRPr="00950741">
        <w:rPr>
          <w:rFonts w:ascii="Times New Roman" w:hAnsi="Times New Roman"/>
          <w:i/>
          <w:iCs/>
        </w:rPr>
        <w:t xml:space="preserve">The </w:t>
      </w:r>
      <w:r w:rsidR="00AF4359" w:rsidRPr="00950741">
        <w:rPr>
          <w:rFonts w:ascii="Times New Roman" w:hAnsi="Times New Roman"/>
          <w:i/>
          <w:iCs/>
        </w:rPr>
        <w:t>Star Centurion</w:t>
      </w:r>
      <w:r w:rsidR="00AF4359" w:rsidRPr="00950741">
        <w:rPr>
          <w:rFonts w:ascii="Times New Roman" w:hAnsi="Times New Roman"/>
        </w:rPr>
        <w:t xml:space="preserve"> avoided;</w:t>
      </w:r>
      <w:r w:rsidR="0040131B" w:rsidRPr="00950741">
        <w:rPr>
          <w:rStyle w:val="FootnoteReference"/>
          <w:rFonts w:ascii="Times New Roman" w:hAnsi="Times New Roman"/>
          <w:sz w:val="24"/>
        </w:rPr>
        <w:t xml:space="preserve"> </w:t>
      </w:r>
      <w:r w:rsidR="0040131B" w:rsidRPr="00950741">
        <w:rPr>
          <w:rStyle w:val="FootnoteReference"/>
          <w:rFonts w:ascii="Times New Roman" w:hAnsi="Times New Roman"/>
          <w:sz w:val="24"/>
        </w:rPr>
        <w:footnoteReference w:id="54"/>
      </w:r>
      <w:r w:rsidR="00B34954" w:rsidRPr="00950741">
        <w:rPr>
          <w:rFonts w:ascii="Times New Roman" w:hAnsi="Times New Roman"/>
        </w:rPr>
        <w:t xml:space="preserve"> </w:t>
      </w:r>
      <w:r w:rsidR="00AF4359" w:rsidRPr="00950741">
        <w:rPr>
          <w:rFonts w:ascii="Times New Roman" w:hAnsi="Times New Roman"/>
        </w:rPr>
        <w:t xml:space="preserve">and </w:t>
      </w:r>
      <w:r w:rsidR="00C85464" w:rsidRPr="00950741">
        <w:rPr>
          <w:rFonts w:ascii="Times New Roman" w:hAnsi="Times New Roman"/>
        </w:rPr>
        <w:t>(</w:t>
      </w:r>
      <w:r w:rsidR="00A70B5F" w:rsidRPr="00950741">
        <w:rPr>
          <w:rFonts w:ascii="Times New Roman" w:hAnsi="Times New Roman"/>
        </w:rPr>
        <w:t>i</w:t>
      </w:r>
      <w:r w:rsidR="00C85464" w:rsidRPr="00950741">
        <w:rPr>
          <w:rFonts w:ascii="Times New Roman" w:hAnsi="Times New Roman"/>
        </w:rPr>
        <w:t>v) rejected the minority reasoning of M</w:t>
      </w:r>
      <w:r w:rsidR="00B96486" w:rsidRPr="00950741">
        <w:rPr>
          <w:rFonts w:ascii="Times New Roman" w:hAnsi="Times New Roman"/>
        </w:rPr>
        <w:t>acrossan</w:t>
      </w:r>
      <w:r w:rsidR="00C85464" w:rsidRPr="00950741">
        <w:rPr>
          <w:rFonts w:ascii="Times New Roman" w:hAnsi="Times New Roman"/>
        </w:rPr>
        <w:t xml:space="preserve"> J in the </w:t>
      </w:r>
      <w:r w:rsidR="001C64AC" w:rsidRPr="00950741">
        <w:rPr>
          <w:rFonts w:ascii="Times New Roman" w:hAnsi="Times New Roman"/>
        </w:rPr>
        <w:t xml:space="preserve">Full Court of the Supreme Court of Queensland in </w:t>
      </w:r>
      <w:proofErr w:type="spellStart"/>
      <w:r w:rsidR="001C64AC" w:rsidRPr="00950741">
        <w:rPr>
          <w:rFonts w:ascii="Times New Roman" w:hAnsi="Times New Roman"/>
          <w:i/>
          <w:iCs/>
        </w:rPr>
        <w:t>Barameda</w:t>
      </w:r>
      <w:proofErr w:type="spellEnd"/>
      <w:r w:rsidR="001C64AC" w:rsidRPr="00950741">
        <w:rPr>
          <w:rFonts w:ascii="Times New Roman" w:hAnsi="Times New Roman"/>
          <w:i/>
          <w:iCs/>
        </w:rPr>
        <w:t xml:space="preserve"> Enterprises Pty Ltd v O'Connor</w:t>
      </w:r>
      <w:r w:rsidR="005D6BE9" w:rsidRPr="00950741">
        <w:rPr>
          <w:rStyle w:val="FootnoteReference"/>
          <w:rFonts w:ascii="Times New Roman" w:hAnsi="Times New Roman"/>
          <w:sz w:val="24"/>
        </w:rPr>
        <w:footnoteReference w:id="55"/>
      </w:r>
      <w:r w:rsidR="00A26CD0" w:rsidRPr="00950741">
        <w:rPr>
          <w:rFonts w:ascii="Times New Roman" w:hAnsi="Times New Roman"/>
        </w:rPr>
        <w:t xml:space="preserve"> </w:t>
      </w:r>
      <w:r w:rsidR="00203172" w:rsidRPr="00950741">
        <w:rPr>
          <w:rFonts w:ascii="Times New Roman" w:hAnsi="Times New Roman"/>
        </w:rPr>
        <w:t xml:space="preserve">in respect of the </w:t>
      </w:r>
      <w:r w:rsidR="003110F7" w:rsidRPr="00950741">
        <w:rPr>
          <w:rFonts w:ascii="Times New Roman" w:hAnsi="Times New Roman"/>
        </w:rPr>
        <w:t xml:space="preserve">International Convention relating to the Limitation of the Liability of Owners of Sea-going </w:t>
      </w:r>
      <w:r w:rsidR="003110F7" w:rsidRPr="00950741">
        <w:rPr>
          <w:rFonts w:ascii="Times New Roman" w:hAnsi="Times New Roman"/>
        </w:rPr>
        <w:lastRenderedPageBreak/>
        <w:t>Ships (1957) ("the 1957 Convention</w:t>
      </w:r>
      <w:r w:rsidR="00593876" w:rsidRPr="00950741">
        <w:rPr>
          <w:rFonts w:ascii="Times New Roman" w:hAnsi="Times New Roman"/>
        </w:rPr>
        <w:t>"</w:t>
      </w:r>
      <w:r w:rsidR="003110F7" w:rsidRPr="00950741">
        <w:rPr>
          <w:rFonts w:ascii="Times New Roman" w:hAnsi="Times New Roman"/>
        </w:rPr>
        <w:t>)</w:t>
      </w:r>
      <w:r w:rsidR="00203172" w:rsidRPr="00950741">
        <w:rPr>
          <w:rFonts w:ascii="Times New Roman" w:hAnsi="Times New Roman"/>
        </w:rPr>
        <w:t xml:space="preserve"> </w:t>
      </w:r>
      <w:r w:rsidR="00A26CD0" w:rsidRPr="00950741">
        <w:rPr>
          <w:rFonts w:ascii="Times New Roman" w:hAnsi="Times New Roman"/>
        </w:rPr>
        <w:t xml:space="preserve">as </w:t>
      </w:r>
      <w:r w:rsidR="00203172" w:rsidRPr="00950741">
        <w:rPr>
          <w:rFonts w:ascii="Times New Roman" w:hAnsi="Times New Roman"/>
        </w:rPr>
        <w:t xml:space="preserve">"out of place in interpreting the terms of </w:t>
      </w:r>
      <w:r w:rsidR="007A0C4E" w:rsidRPr="00950741">
        <w:rPr>
          <w:rFonts w:ascii="Times New Roman" w:hAnsi="Times New Roman"/>
        </w:rPr>
        <w:t>[Art 2(1)]</w:t>
      </w:r>
      <w:r w:rsidR="00203172" w:rsidRPr="00950741">
        <w:rPr>
          <w:rFonts w:ascii="Times New Roman" w:hAnsi="Times New Roman"/>
        </w:rPr>
        <w:t xml:space="preserve"> of the </w:t>
      </w:r>
      <w:r w:rsidR="00675AC7" w:rsidRPr="00950741">
        <w:rPr>
          <w:rFonts w:ascii="Times New Roman" w:hAnsi="Times New Roman"/>
        </w:rPr>
        <w:t>[1976] </w:t>
      </w:r>
      <w:r w:rsidR="00203172" w:rsidRPr="00950741">
        <w:rPr>
          <w:rFonts w:ascii="Times New Roman" w:hAnsi="Times New Roman"/>
        </w:rPr>
        <w:t xml:space="preserve">Convention having regard both to the chapeau of </w:t>
      </w:r>
      <w:r w:rsidR="007A0C4E" w:rsidRPr="00950741">
        <w:rPr>
          <w:rFonts w:ascii="Times New Roman" w:hAnsi="Times New Roman"/>
        </w:rPr>
        <w:t>[Art 2(1)</w:t>
      </w:r>
      <w:r w:rsidR="0003562D" w:rsidRPr="00950741">
        <w:rPr>
          <w:rFonts w:ascii="Times New Roman" w:hAnsi="Times New Roman"/>
        </w:rPr>
        <w:t>]</w:t>
      </w:r>
      <w:r w:rsidR="00203172" w:rsidRPr="00950741">
        <w:rPr>
          <w:rFonts w:ascii="Times New Roman" w:hAnsi="Times New Roman"/>
        </w:rPr>
        <w:t xml:space="preserve"> and the terms of </w:t>
      </w:r>
      <w:r w:rsidR="0003562D" w:rsidRPr="00950741">
        <w:rPr>
          <w:rFonts w:ascii="Times New Roman" w:hAnsi="Times New Roman"/>
        </w:rPr>
        <w:t>[Art 2(2)]</w:t>
      </w:r>
      <w:r w:rsidR="00203172" w:rsidRPr="00950741">
        <w:rPr>
          <w:rFonts w:ascii="Times New Roman" w:hAnsi="Times New Roman"/>
        </w:rPr>
        <w:t>"</w:t>
      </w:r>
      <w:r w:rsidR="00B34954" w:rsidRPr="00950741">
        <w:rPr>
          <w:rFonts w:ascii="Times New Roman" w:hAnsi="Times New Roman"/>
        </w:rPr>
        <w:t>.</w:t>
      </w:r>
      <w:r w:rsidR="00203172" w:rsidRPr="00950741">
        <w:rPr>
          <w:rStyle w:val="FootnoteReference"/>
          <w:rFonts w:ascii="Times New Roman" w:hAnsi="Times New Roman"/>
          <w:sz w:val="24"/>
        </w:rPr>
        <w:footnoteReference w:id="56"/>
      </w:r>
    </w:p>
    <w:p w14:paraId="721E5A2F" w14:textId="55498CBA" w:rsidR="00815F87" w:rsidRPr="00950741" w:rsidRDefault="00815F87" w:rsidP="00950741">
      <w:pPr>
        <w:pStyle w:val="HeadingL2"/>
        <w:spacing w:after="260" w:line="280" w:lineRule="exact"/>
        <w:ind w:right="0"/>
        <w:jc w:val="both"/>
        <w:rPr>
          <w:rFonts w:ascii="Times New Roman" w:hAnsi="Times New Roman"/>
        </w:rPr>
      </w:pPr>
      <w:r w:rsidRPr="00950741">
        <w:rPr>
          <w:rFonts w:ascii="Times New Roman" w:hAnsi="Times New Roman"/>
        </w:rPr>
        <w:t>Consideration of The Star Centurion</w:t>
      </w:r>
    </w:p>
    <w:p w14:paraId="047D3D9C" w14:textId="01A88D65" w:rsidR="00CF29A5" w:rsidRPr="00950741" w:rsidRDefault="00815F87"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DC1C80" w:rsidRPr="00950741">
        <w:rPr>
          <w:rFonts w:ascii="Times New Roman" w:hAnsi="Times New Roman"/>
        </w:rPr>
        <w:t xml:space="preserve">Keane NPJ's </w:t>
      </w:r>
      <w:r w:rsidR="00B34954" w:rsidRPr="00950741">
        <w:rPr>
          <w:rFonts w:ascii="Times New Roman" w:hAnsi="Times New Roman"/>
        </w:rPr>
        <w:t xml:space="preserve">reasoning is relevant </w:t>
      </w:r>
      <w:r w:rsidR="00813F75" w:rsidRPr="00950741">
        <w:rPr>
          <w:rFonts w:ascii="Times New Roman" w:hAnsi="Times New Roman"/>
        </w:rPr>
        <w:t xml:space="preserve">to the resolution of the present appeal </w:t>
      </w:r>
      <w:r w:rsidR="00AF4359" w:rsidRPr="00950741">
        <w:rPr>
          <w:rFonts w:ascii="Times New Roman" w:hAnsi="Times New Roman"/>
        </w:rPr>
        <w:t xml:space="preserve">for </w:t>
      </w:r>
      <w:r w:rsidR="001D20B3" w:rsidRPr="00950741">
        <w:rPr>
          <w:rFonts w:ascii="Times New Roman" w:hAnsi="Times New Roman"/>
        </w:rPr>
        <w:t xml:space="preserve">several </w:t>
      </w:r>
      <w:r w:rsidR="00AF4359" w:rsidRPr="00950741">
        <w:rPr>
          <w:rFonts w:ascii="Times New Roman" w:hAnsi="Times New Roman"/>
        </w:rPr>
        <w:t xml:space="preserve">reasons. </w:t>
      </w:r>
    </w:p>
    <w:p w14:paraId="3DE70EA0" w14:textId="717EC32D" w:rsidR="00CF29A5" w:rsidRPr="00950741" w:rsidRDefault="00CF29A5"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AF4359" w:rsidRPr="00950741">
        <w:rPr>
          <w:rFonts w:ascii="Times New Roman" w:hAnsi="Times New Roman"/>
        </w:rPr>
        <w:t xml:space="preserve">First, </w:t>
      </w:r>
      <w:r w:rsidR="003C5322" w:rsidRPr="00950741">
        <w:rPr>
          <w:rFonts w:ascii="Times New Roman" w:hAnsi="Times New Roman"/>
        </w:rPr>
        <w:t xml:space="preserve">it is a corollary of the principle that </w:t>
      </w:r>
      <w:r w:rsidR="007348F6" w:rsidRPr="00950741">
        <w:rPr>
          <w:rFonts w:ascii="Times New Roman" w:hAnsi="Times New Roman"/>
        </w:rPr>
        <w:t xml:space="preserve">as </w:t>
      </w:r>
      <w:r w:rsidR="001D4C42" w:rsidRPr="00950741">
        <w:rPr>
          <w:rFonts w:ascii="Times New Roman" w:hAnsi="Times New Roman"/>
        </w:rPr>
        <w:t>an international instrument</w:t>
      </w:r>
      <w:r w:rsidR="007348F6" w:rsidRPr="00950741">
        <w:rPr>
          <w:rFonts w:ascii="Times New Roman" w:hAnsi="Times New Roman"/>
        </w:rPr>
        <w:t xml:space="preserve"> a treaty </w:t>
      </w:r>
      <w:r w:rsidR="001D4C42" w:rsidRPr="00950741">
        <w:rPr>
          <w:rFonts w:ascii="Times New Roman" w:hAnsi="Times New Roman"/>
        </w:rPr>
        <w:t>"should have the same meaning for all of the States which are party to it"</w:t>
      </w:r>
      <w:r w:rsidR="007348F6" w:rsidRPr="00950741">
        <w:rPr>
          <w:rStyle w:val="FootnoteReference"/>
          <w:rFonts w:ascii="Times New Roman" w:hAnsi="Times New Roman"/>
          <w:sz w:val="24"/>
        </w:rPr>
        <w:footnoteReference w:id="57"/>
      </w:r>
      <w:r w:rsidR="002B6D97" w:rsidRPr="00950741">
        <w:rPr>
          <w:rFonts w:ascii="Times New Roman" w:hAnsi="Times New Roman"/>
        </w:rPr>
        <w:t xml:space="preserve"> that an </w:t>
      </w:r>
      <w:r w:rsidR="0071278D" w:rsidRPr="00950741">
        <w:rPr>
          <w:rFonts w:ascii="Times New Roman" w:hAnsi="Times New Roman"/>
        </w:rPr>
        <w:t>interpretation</w:t>
      </w:r>
      <w:r w:rsidR="002B6D97" w:rsidRPr="00950741">
        <w:rPr>
          <w:rFonts w:ascii="Times New Roman" w:hAnsi="Times New Roman"/>
        </w:rPr>
        <w:t xml:space="preserve"> of a </w:t>
      </w:r>
      <w:r w:rsidR="003D1F5F" w:rsidRPr="00950741">
        <w:rPr>
          <w:rFonts w:ascii="Times New Roman" w:hAnsi="Times New Roman"/>
        </w:rPr>
        <w:t xml:space="preserve">treaty by the highest court of </w:t>
      </w:r>
      <w:r w:rsidR="0071278D" w:rsidRPr="00950741">
        <w:rPr>
          <w:rFonts w:ascii="Times New Roman" w:hAnsi="Times New Roman"/>
        </w:rPr>
        <w:t>one</w:t>
      </w:r>
      <w:r w:rsidR="003D1F5F" w:rsidRPr="00950741">
        <w:rPr>
          <w:rFonts w:ascii="Times New Roman" w:hAnsi="Times New Roman"/>
        </w:rPr>
        <w:t xml:space="preserve"> State </w:t>
      </w:r>
      <w:r w:rsidR="00B52A0E" w:rsidRPr="00950741">
        <w:rPr>
          <w:rFonts w:ascii="Times New Roman" w:hAnsi="Times New Roman"/>
        </w:rPr>
        <w:t>P</w:t>
      </w:r>
      <w:r w:rsidR="003D1F5F" w:rsidRPr="00950741">
        <w:rPr>
          <w:rFonts w:ascii="Times New Roman" w:hAnsi="Times New Roman"/>
        </w:rPr>
        <w:t xml:space="preserve">arty should be accorded the greatest respect </w:t>
      </w:r>
      <w:r w:rsidR="0071278D" w:rsidRPr="00950741">
        <w:rPr>
          <w:rFonts w:ascii="Times New Roman" w:hAnsi="Times New Roman"/>
        </w:rPr>
        <w:t xml:space="preserve">in the highest court of another State </w:t>
      </w:r>
      <w:r w:rsidR="00B52A0E" w:rsidRPr="00950741">
        <w:rPr>
          <w:rFonts w:ascii="Times New Roman" w:hAnsi="Times New Roman"/>
        </w:rPr>
        <w:t>P</w:t>
      </w:r>
      <w:r w:rsidR="0071278D" w:rsidRPr="00950741">
        <w:rPr>
          <w:rFonts w:ascii="Times New Roman" w:hAnsi="Times New Roman"/>
        </w:rPr>
        <w:t xml:space="preserve">arty. </w:t>
      </w:r>
      <w:r w:rsidR="00621E43" w:rsidRPr="00950741">
        <w:rPr>
          <w:rFonts w:ascii="Times New Roman" w:hAnsi="Times New Roman"/>
        </w:rPr>
        <w:t>A</w:t>
      </w:r>
      <w:r w:rsidR="007E6375" w:rsidRPr="00950741">
        <w:rPr>
          <w:rFonts w:ascii="Times New Roman" w:hAnsi="Times New Roman"/>
        </w:rPr>
        <w:t>s the Full Court rightly said</w:t>
      </w:r>
      <w:r w:rsidR="00621E43" w:rsidRPr="00950741">
        <w:rPr>
          <w:rFonts w:ascii="Times New Roman" w:hAnsi="Times New Roman"/>
        </w:rPr>
        <w:t xml:space="preserve"> in the judgment under appeal, comity</w:t>
      </w:r>
      <w:r w:rsidR="007E6375" w:rsidRPr="00950741">
        <w:rPr>
          <w:rFonts w:ascii="Times New Roman" w:hAnsi="Times New Roman"/>
        </w:rPr>
        <w:t xml:space="preserve"> </w:t>
      </w:r>
      <w:r w:rsidR="008C52A4" w:rsidRPr="00950741">
        <w:rPr>
          <w:rFonts w:ascii="Times New Roman" w:hAnsi="Times New Roman"/>
        </w:rPr>
        <w:t>is "of especial importance" in maritime law</w:t>
      </w:r>
      <w:r w:rsidR="002109BE" w:rsidRPr="00950741">
        <w:rPr>
          <w:rFonts w:ascii="Times New Roman" w:hAnsi="Times New Roman"/>
        </w:rPr>
        <w:t xml:space="preserve"> </w:t>
      </w:r>
      <w:r w:rsidR="00373870" w:rsidRPr="00950741">
        <w:rPr>
          <w:rFonts w:ascii="Times New Roman" w:hAnsi="Times New Roman"/>
        </w:rPr>
        <w:t>because</w:t>
      </w:r>
      <w:r w:rsidR="002109BE" w:rsidRPr="00950741">
        <w:rPr>
          <w:rFonts w:ascii="Times New Roman" w:hAnsi="Times New Roman"/>
        </w:rPr>
        <w:t xml:space="preserve"> "</w:t>
      </w:r>
      <w:r w:rsidR="00373870" w:rsidRPr="00950741">
        <w:rPr>
          <w:rFonts w:ascii="Times New Roman" w:hAnsi="Times New Roman"/>
        </w:rPr>
        <w:t>it is not the law of any one nation, but is developed separately from, and independently of, national laws</w:t>
      </w:r>
      <w:r w:rsidR="00D55C4B" w:rsidRPr="00950741">
        <w:rPr>
          <w:rFonts w:ascii="Times New Roman" w:hAnsi="Times New Roman"/>
        </w:rPr>
        <w:t>"</w:t>
      </w:r>
      <w:r w:rsidR="00373870" w:rsidRPr="00950741">
        <w:rPr>
          <w:rFonts w:ascii="Times New Roman" w:hAnsi="Times New Roman"/>
        </w:rPr>
        <w:t>.</w:t>
      </w:r>
      <w:r w:rsidR="008C52A4" w:rsidRPr="00950741">
        <w:rPr>
          <w:rStyle w:val="FootnoteReference"/>
          <w:rFonts w:ascii="Times New Roman" w:hAnsi="Times New Roman"/>
          <w:sz w:val="24"/>
        </w:rPr>
        <w:footnoteReference w:id="58"/>
      </w:r>
      <w:r w:rsidR="00572CD2" w:rsidRPr="00950741">
        <w:rPr>
          <w:rFonts w:ascii="Times New Roman" w:hAnsi="Times New Roman"/>
        </w:rPr>
        <w:t xml:space="preserve"> As the Full Court also rightly said, its conclusion</w:t>
      </w:r>
      <w:r w:rsidR="00E824F5" w:rsidRPr="00950741">
        <w:rPr>
          <w:rFonts w:ascii="Times New Roman" w:hAnsi="Times New Roman"/>
        </w:rPr>
        <w:t xml:space="preserve"> rejecting CSL's approach</w:t>
      </w:r>
      <w:r w:rsidR="00572CD2" w:rsidRPr="00950741">
        <w:rPr>
          <w:rFonts w:ascii="Times New Roman" w:hAnsi="Times New Roman"/>
        </w:rPr>
        <w:t xml:space="preserve"> </w:t>
      </w:r>
      <w:r w:rsidR="009D1ECE" w:rsidRPr="00950741">
        <w:rPr>
          <w:rFonts w:ascii="Times New Roman" w:hAnsi="Times New Roman"/>
        </w:rPr>
        <w:t xml:space="preserve">"has the benefit of avoiding the incoherence adverted to in </w:t>
      </w:r>
      <w:r w:rsidR="009D1ECE" w:rsidRPr="00950741">
        <w:rPr>
          <w:rFonts w:ascii="Times New Roman" w:hAnsi="Times New Roman"/>
          <w:i/>
          <w:iCs/>
        </w:rPr>
        <w:t>The Star Centurion</w:t>
      </w:r>
      <w:r w:rsidR="008232EE" w:rsidRPr="00950741">
        <w:rPr>
          <w:rFonts w:ascii="Times New Roman" w:hAnsi="Times New Roman"/>
        </w:rPr>
        <w:t xml:space="preserve"> ... </w:t>
      </w:r>
      <w:r w:rsidR="009D1ECE" w:rsidRPr="00950741">
        <w:rPr>
          <w:rFonts w:ascii="Times New Roman" w:hAnsi="Times New Roman"/>
        </w:rPr>
        <w:t>, with the added important benefit of bringing the law of Australia into line with that decision and two unanimous decisions of the Supreme Court of the Netherlands</w:t>
      </w:r>
      <w:r w:rsidR="00D55C4B" w:rsidRPr="00950741">
        <w:rPr>
          <w:rFonts w:ascii="Times New Roman" w:hAnsi="Times New Roman"/>
        </w:rPr>
        <w:t>"</w:t>
      </w:r>
      <w:r w:rsidR="009D1ECE" w:rsidRPr="00950741">
        <w:rPr>
          <w:rFonts w:ascii="Times New Roman" w:hAnsi="Times New Roman"/>
        </w:rPr>
        <w:t>.</w:t>
      </w:r>
      <w:r w:rsidR="009D1ECE" w:rsidRPr="00950741">
        <w:rPr>
          <w:rStyle w:val="FootnoteReference"/>
          <w:rFonts w:ascii="Times New Roman" w:hAnsi="Times New Roman"/>
          <w:sz w:val="24"/>
        </w:rPr>
        <w:footnoteReference w:id="59"/>
      </w:r>
      <w:r w:rsidR="004B0A4C" w:rsidRPr="00950741">
        <w:rPr>
          <w:rFonts w:ascii="Times New Roman" w:hAnsi="Times New Roman"/>
        </w:rPr>
        <w:t xml:space="preserve"> </w:t>
      </w:r>
    </w:p>
    <w:p w14:paraId="2DE881EE" w14:textId="3E223BFE" w:rsidR="00D04B94" w:rsidRPr="00950741" w:rsidRDefault="00CF29A5"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4B0A4C" w:rsidRPr="00950741">
        <w:rPr>
          <w:rFonts w:ascii="Times New Roman" w:hAnsi="Times New Roman"/>
        </w:rPr>
        <w:t xml:space="preserve">Second, </w:t>
      </w:r>
      <w:r w:rsidR="00B369A2" w:rsidRPr="00950741">
        <w:rPr>
          <w:rFonts w:ascii="Times New Roman" w:hAnsi="Times New Roman"/>
        </w:rPr>
        <w:t xml:space="preserve">the conclusion of the Final Court of Appeal </w:t>
      </w:r>
      <w:r w:rsidR="00071575" w:rsidRPr="00950741">
        <w:rPr>
          <w:rFonts w:ascii="Times New Roman" w:hAnsi="Times New Roman"/>
        </w:rPr>
        <w:t xml:space="preserve">of Hong Kong did not </w:t>
      </w:r>
      <w:r w:rsidR="00B369A2" w:rsidRPr="00950741">
        <w:rPr>
          <w:rFonts w:ascii="Times New Roman" w:hAnsi="Times New Roman"/>
        </w:rPr>
        <w:t xml:space="preserve">depend on </w:t>
      </w:r>
      <w:r w:rsidR="005C3EDC" w:rsidRPr="00950741">
        <w:rPr>
          <w:rFonts w:ascii="Times New Roman" w:hAnsi="Times New Roman"/>
        </w:rPr>
        <w:t>Art 2</w:t>
      </w:r>
      <w:r w:rsidR="009B768C" w:rsidRPr="00950741">
        <w:rPr>
          <w:rFonts w:ascii="Times New Roman" w:hAnsi="Times New Roman"/>
        </w:rPr>
        <w:t>(</w:t>
      </w:r>
      <w:r w:rsidR="005C3EDC" w:rsidRPr="00950741">
        <w:rPr>
          <w:rFonts w:ascii="Times New Roman" w:hAnsi="Times New Roman"/>
        </w:rPr>
        <w:t>1</w:t>
      </w:r>
      <w:r w:rsidR="009B768C" w:rsidRPr="00950741">
        <w:rPr>
          <w:rFonts w:ascii="Times New Roman" w:hAnsi="Times New Roman"/>
        </w:rPr>
        <w:t>)</w:t>
      </w:r>
      <w:r w:rsidR="005C3EDC" w:rsidRPr="00950741">
        <w:rPr>
          <w:rFonts w:ascii="Times New Roman" w:hAnsi="Times New Roman"/>
        </w:rPr>
        <w:t xml:space="preserve">(d) </w:t>
      </w:r>
      <w:r w:rsidR="00B369A2" w:rsidRPr="00950741">
        <w:rPr>
          <w:rFonts w:ascii="Times New Roman" w:hAnsi="Times New Roman"/>
        </w:rPr>
        <w:t xml:space="preserve">being </w:t>
      </w:r>
      <w:r w:rsidR="005C3EDC" w:rsidRPr="00950741">
        <w:rPr>
          <w:rFonts w:ascii="Times New Roman" w:hAnsi="Times New Roman"/>
        </w:rPr>
        <w:t>an exclusive code for wreck removal claims</w:t>
      </w:r>
      <w:r w:rsidR="006C61A1" w:rsidRPr="00950741">
        <w:rPr>
          <w:rFonts w:ascii="Times New Roman" w:hAnsi="Times New Roman"/>
        </w:rPr>
        <w:t xml:space="preserve"> and did not </w:t>
      </w:r>
      <w:r w:rsidR="00E505AA" w:rsidRPr="00950741">
        <w:rPr>
          <w:rFonts w:ascii="Times New Roman" w:hAnsi="Times New Roman"/>
        </w:rPr>
        <w:t>"</w:t>
      </w:r>
      <w:r w:rsidR="007E7F37" w:rsidRPr="00950741">
        <w:rPr>
          <w:rFonts w:ascii="Times New Roman" w:hAnsi="Times New Roman"/>
        </w:rPr>
        <w:t>rest</w:t>
      </w:r>
      <w:r w:rsidR="00C455A8" w:rsidRPr="00950741">
        <w:rPr>
          <w:rFonts w:ascii="Times New Roman" w:hAnsi="Times New Roman"/>
        </w:rPr>
        <w:t>[]</w:t>
      </w:r>
      <w:r w:rsidR="007E7F37" w:rsidRPr="00950741">
        <w:rPr>
          <w:rFonts w:ascii="Times New Roman" w:hAnsi="Times New Roman"/>
        </w:rPr>
        <w:t xml:space="preserve"> on </w:t>
      </w:r>
      <w:r w:rsidR="00E505AA" w:rsidRPr="00950741">
        <w:rPr>
          <w:rFonts w:ascii="Times New Roman" w:hAnsi="Times New Roman"/>
        </w:rPr>
        <w:t>the fundamental misconception that unless what is within Art</w:t>
      </w:r>
      <w:r w:rsidR="008E69FB" w:rsidRPr="00950741">
        <w:rPr>
          <w:rFonts w:ascii="Times New Roman" w:hAnsi="Times New Roman"/>
        </w:rPr>
        <w:t> </w:t>
      </w:r>
      <w:r w:rsidR="00E505AA" w:rsidRPr="00950741">
        <w:rPr>
          <w:rFonts w:ascii="Times New Roman" w:hAnsi="Times New Roman"/>
        </w:rPr>
        <w:t xml:space="preserve">2(1)(d) is carved out of </w:t>
      </w:r>
      <w:r w:rsidR="00DA10D8" w:rsidRPr="00950741">
        <w:rPr>
          <w:rFonts w:ascii="Times New Roman" w:hAnsi="Times New Roman"/>
        </w:rPr>
        <w:t>[</w:t>
      </w:r>
      <w:r w:rsidR="00E505AA" w:rsidRPr="00950741">
        <w:rPr>
          <w:rFonts w:ascii="Times New Roman" w:hAnsi="Times New Roman"/>
        </w:rPr>
        <w:t>Art</w:t>
      </w:r>
      <w:r w:rsidR="00DA10D8" w:rsidRPr="00950741">
        <w:rPr>
          <w:rFonts w:ascii="Times New Roman" w:hAnsi="Times New Roman"/>
        </w:rPr>
        <w:t>]</w:t>
      </w:r>
      <w:r w:rsidR="00E853AF" w:rsidRPr="00950741">
        <w:rPr>
          <w:rFonts w:ascii="Times New Roman" w:hAnsi="Times New Roman"/>
        </w:rPr>
        <w:t> </w:t>
      </w:r>
      <w:r w:rsidR="00E505AA" w:rsidRPr="00950741">
        <w:rPr>
          <w:rFonts w:ascii="Times New Roman" w:hAnsi="Times New Roman"/>
        </w:rPr>
        <w:t>2(1)(a) and (c), Art</w:t>
      </w:r>
      <w:r w:rsidR="00D94C6C" w:rsidRPr="00950741">
        <w:rPr>
          <w:rFonts w:ascii="Times New Roman" w:hAnsi="Times New Roman"/>
        </w:rPr>
        <w:t> </w:t>
      </w:r>
      <w:r w:rsidR="00E505AA" w:rsidRPr="00950741">
        <w:rPr>
          <w:rFonts w:ascii="Times New Roman" w:hAnsi="Times New Roman"/>
        </w:rPr>
        <w:t>2(1)(d) would have no work to do"</w:t>
      </w:r>
      <w:r w:rsidR="00D04B94" w:rsidRPr="00950741">
        <w:rPr>
          <w:rFonts w:ascii="Times New Roman" w:hAnsi="Times New Roman"/>
        </w:rPr>
        <w:t>.</w:t>
      </w:r>
      <w:r w:rsidR="00E853AF" w:rsidRPr="00950741">
        <w:rPr>
          <w:rStyle w:val="FootnoteReference"/>
          <w:rFonts w:ascii="Times New Roman" w:hAnsi="Times New Roman"/>
          <w:sz w:val="24"/>
        </w:rPr>
        <w:footnoteReference w:id="60"/>
      </w:r>
      <w:r w:rsidR="00D04B94" w:rsidRPr="00950741">
        <w:rPr>
          <w:rFonts w:ascii="Times New Roman" w:hAnsi="Times New Roman"/>
        </w:rPr>
        <w:t xml:space="preserve"> The </w:t>
      </w:r>
      <w:r w:rsidR="00CE5FC1" w:rsidRPr="00950741">
        <w:rPr>
          <w:rFonts w:ascii="Times New Roman" w:hAnsi="Times New Roman"/>
        </w:rPr>
        <w:t xml:space="preserve">indispensable </w:t>
      </w:r>
      <w:r w:rsidR="00CD2A52" w:rsidRPr="00950741">
        <w:rPr>
          <w:rFonts w:ascii="Times New Roman" w:hAnsi="Times New Roman"/>
        </w:rPr>
        <w:t xml:space="preserve">conceptual foundation of the conclusion in </w:t>
      </w:r>
      <w:r w:rsidR="00CC664A" w:rsidRPr="00950741">
        <w:rPr>
          <w:rFonts w:ascii="Times New Roman" w:hAnsi="Times New Roman"/>
          <w:i/>
          <w:iCs/>
        </w:rPr>
        <w:t>T</w:t>
      </w:r>
      <w:r w:rsidR="00CD2A52" w:rsidRPr="00950741">
        <w:rPr>
          <w:rFonts w:ascii="Times New Roman" w:hAnsi="Times New Roman"/>
          <w:i/>
          <w:iCs/>
        </w:rPr>
        <w:t>he Star Centurion</w:t>
      </w:r>
      <w:r w:rsidR="00CD2A52" w:rsidRPr="00950741">
        <w:rPr>
          <w:rFonts w:ascii="Times New Roman" w:hAnsi="Times New Roman"/>
        </w:rPr>
        <w:t xml:space="preserve"> is that </w:t>
      </w:r>
      <w:r w:rsidR="00420C27" w:rsidRPr="00950741">
        <w:rPr>
          <w:rFonts w:ascii="Times New Roman" w:hAnsi="Times New Roman"/>
        </w:rPr>
        <w:t xml:space="preserve">the </w:t>
      </w:r>
      <w:r w:rsidR="00CC664A" w:rsidRPr="00950741">
        <w:rPr>
          <w:rFonts w:ascii="Times New Roman" w:hAnsi="Times New Roman"/>
        </w:rPr>
        <w:t xml:space="preserve">effect </w:t>
      </w:r>
      <w:r w:rsidR="00420C27" w:rsidRPr="00950741">
        <w:rPr>
          <w:rFonts w:ascii="Times New Roman" w:hAnsi="Times New Roman"/>
        </w:rPr>
        <w:t xml:space="preserve">of the exercise of </w:t>
      </w:r>
      <w:r w:rsidR="00CC664A" w:rsidRPr="00950741">
        <w:rPr>
          <w:rFonts w:ascii="Times New Roman" w:hAnsi="Times New Roman"/>
        </w:rPr>
        <w:t>the right in Art</w:t>
      </w:r>
      <w:r w:rsidR="00E853AF" w:rsidRPr="00950741">
        <w:rPr>
          <w:rFonts w:ascii="Times New Roman" w:hAnsi="Times New Roman"/>
        </w:rPr>
        <w:t> </w:t>
      </w:r>
      <w:r w:rsidR="00CC664A" w:rsidRPr="00950741">
        <w:rPr>
          <w:rFonts w:ascii="Times New Roman" w:hAnsi="Times New Roman"/>
        </w:rPr>
        <w:t>18</w:t>
      </w:r>
      <w:r w:rsidR="00E853AF" w:rsidRPr="00950741">
        <w:rPr>
          <w:rFonts w:ascii="Times New Roman" w:hAnsi="Times New Roman"/>
        </w:rPr>
        <w:t>(</w:t>
      </w:r>
      <w:r w:rsidR="00CC664A" w:rsidRPr="00950741">
        <w:rPr>
          <w:rFonts w:ascii="Times New Roman" w:hAnsi="Times New Roman"/>
        </w:rPr>
        <w:t>1</w:t>
      </w:r>
      <w:r w:rsidR="00E853AF" w:rsidRPr="00950741">
        <w:rPr>
          <w:rFonts w:ascii="Times New Roman" w:hAnsi="Times New Roman"/>
        </w:rPr>
        <w:t>)</w:t>
      </w:r>
      <w:r w:rsidR="00CC664A" w:rsidRPr="00950741">
        <w:rPr>
          <w:rFonts w:ascii="Times New Roman" w:hAnsi="Times New Roman"/>
        </w:rPr>
        <w:t xml:space="preserve"> </w:t>
      </w:r>
      <w:r w:rsidR="00FB3B03" w:rsidRPr="00950741">
        <w:rPr>
          <w:rFonts w:ascii="Times New Roman" w:hAnsi="Times New Roman"/>
        </w:rPr>
        <w:t xml:space="preserve">is to exclude </w:t>
      </w:r>
      <w:r w:rsidR="00CC664A" w:rsidRPr="00950741">
        <w:rPr>
          <w:rFonts w:ascii="Times New Roman" w:hAnsi="Times New Roman"/>
        </w:rPr>
        <w:t>all claims within Art</w:t>
      </w:r>
      <w:r w:rsidR="008E69FB" w:rsidRPr="00950741">
        <w:rPr>
          <w:rFonts w:ascii="Times New Roman" w:hAnsi="Times New Roman"/>
        </w:rPr>
        <w:t> </w:t>
      </w:r>
      <w:r w:rsidR="00CC664A" w:rsidRPr="00950741">
        <w:rPr>
          <w:rFonts w:ascii="Times New Roman" w:hAnsi="Times New Roman"/>
        </w:rPr>
        <w:t>2</w:t>
      </w:r>
      <w:r w:rsidR="00E853AF" w:rsidRPr="00950741">
        <w:rPr>
          <w:rFonts w:ascii="Times New Roman" w:hAnsi="Times New Roman"/>
        </w:rPr>
        <w:t>(</w:t>
      </w:r>
      <w:r w:rsidR="00CC664A" w:rsidRPr="00950741">
        <w:rPr>
          <w:rFonts w:ascii="Times New Roman" w:hAnsi="Times New Roman"/>
        </w:rPr>
        <w:t>1</w:t>
      </w:r>
      <w:r w:rsidR="00E853AF" w:rsidRPr="00950741">
        <w:rPr>
          <w:rFonts w:ascii="Times New Roman" w:hAnsi="Times New Roman"/>
        </w:rPr>
        <w:t>)</w:t>
      </w:r>
      <w:r w:rsidR="00CC664A" w:rsidRPr="00950741">
        <w:rPr>
          <w:rFonts w:ascii="Times New Roman" w:hAnsi="Times New Roman"/>
        </w:rPr>
        <w:t>(d) (and</w:t>
      </w:r>
      <w:r w:rsidR="00AC4BD8" w:rsidRPr="00950741">
        <w:rPr>
          <w:rFonts w:ascii="Times New Roman" w:hAnsi="Times New Roman"/>
        </w:rPr>
        <w:t> </w:t>
      </w:r>
      <w:r w:rsidR="00CC664A" w:rsidRPr="00950741">
        <w:rPr>
          <w:rFonts w:ascii="Times New Roman" w:hAnsi="Times New Roman"/>
        </w:rPr>
        <w:t>(e))</w:t>
      </w:r>
      <w:r w:rsidR="00FB3B03" w:rsidRPr="00950741">
        <w:rPr>
          <w:rFonts w:ascii="Times New Roman" w:hAnsi="Times New Roman"/>
        </w:rPr>
        <w:t>. That is because</w:t>
      </w:r>
      <w:r w:rsidR="00CC664A" w:rsidRPr="00950741">
        <w:rPr>
          <w:rFonts w:ascii="Times New Roman" w:hAnsi="Times New Roman"/>
        </w:rPr>
        <w:t xml:space="preserve"> </w:t>
      </w:r>
      <w:r w:rsidR="00CE5FC1" w:rsidRPr="00950741">
        <w:rPr>
          <w:rFonts w:ascii="Times New Roman" w:hAnsi="Times New Roman"/>
        </w:rPr>
        <w:t>the very terms of Art</w:t>
      </w:r>
      <w:r w:rsidR="008E69FB" w:rsidRPr="00950741">
        <w:rPr>
          <w:rFonts w:ascii="Times New Roman" w:hAnsi="Times New Roman"/>
        </w:rPr>
        <w:t> </w:t>
      </w:r>
      <w:r w:rsidR="00CE5FC1" w:rsidRPr="00950741">
        <w:rPr>
          <w:rFonts w:ascii="Times New Roman" w:hAnsi="Times New Roman"/>
        </w:rPr>
        <w:t>18</w:t>
      </w:r>
      <w:r w:rsidR="001A6CF7" w:rsidRPr="00950741">
        <w:rPr>
          <w:rFonts w:ascii="Times New Roman" w:hAnsi="Times New Roman"/>
        </w:rPr>
        <w:t>(</w:t>
      </w:r>
      <w:r w:rsidR="00CE5FC1" w:rsidRPr="00950741">
        <w:rPr>
          <w:rFonts w:ascii="Times New Roman" w:hAnsi="Times New Roman"/>
        </w:rPr>
        <w:t>1</w:t>
      </w:r>
      <w:r w:rsidR="001A6CF7" w:rsidRPr="00950741">
        <w:rPr>
          <w:rFonts w:ascii="Times New Roman" w:hAnsi="Times New Roman"/>
        </w:rPr>
        <w:t>)</w:t>
      </w:r>
      <w:r w:rsidR="00CE5FC1" w:rsidRPr="00950741">
        <w:rPr>
          <w:rFonts w:ascii="Times New Roman" w:hAnsi="Times New Roman"/>
        </w:rPr>
        <w:t xml:space="preserve"> involve a right to </w:t>
      </w:r>
      <w:r w:rsidR="00CE5FC1" w:rsidRPr="00950741">
        <w:rPr>
          <w:rFonts w:ascii="Times New Roman" w:hAnsi="Times New Roman"/>
        </w:rPr>
        <w:lastRenderedPageBreak/>
        <w:t>exclude from application Art</w:t>
      </w:r>
      <w:r w:rsidR="009309C6" w:rsidRPr="00950741">
        <w:rPr>
          <w:rFonts w:ascii="Times New Roman" w:hAnsi="Times New Roman"/>
        </w:rPr>
        <w:t> </w:t>
      </w:r>
      <w:r w:rsidR="00CE5FC1" w:rsidRPr="00950741">
        <w:rPr>
          <w:rFonts w:ascii="Times New Roman" w:hAnsi="Times New Roman"/>
        </w:rPr>
        <w:t>2</w:t>
      </w:r>
      <w:r w:rsidR="009309C6" w:rsidRPr="00950741">
        <w:rPr>
          <w:rFonts w:ascii="Times New Roman" w:hAnsi="Times New Roman"/>
        </w:rPr>
        <w:t>(</w:t>
      </w:r>
      <w:r w:rsidR="00CE5FC1" w:rsidRPr="00950741">
        <w:rPr>
          <w:rFonts w:ascii="Times New Roman" w:hAnsi="Times New Roman"/>
        </w:rPr>
        <w:t>1</w:t>
      </w:r>
      <w:r w:rsidR="009309C6" w:rsidRPr="00950741">
        <w:rPr>
          <w:rFonts w:ascii="Times New Roman" w:hAnsi="Times New Roman"/>
        </w:rPr>
        <w:t>)</w:t>
      </w:r>
      <w:r w:rsidR="00CE5FC1" w:rsidRPr="00950741">
        <w:rPr>
          <w:rFonts w:ascii="Times New Roman" w:hAnsi="Times New Roman"/>
        </w:rPr>
        <w:t>(d) (and</w:t>
      </w:r>
      <w:r w:rsidR="005C4E3C" w:rsidRPr="00950741">
        <w:rPr>
          <w:rFonts w:ascii="Times New Roman" w:hAnsi="Times New Roman"/>
        </w:rPr>
        <w:t> </w:t>
      </w:r>
      <w:r w:rsidR="00CE5FC1" w:rsidRPr="00950741">
        <w:rPr>
          <w:rFonts w:ascii="Times New Roman" w:hAnsi="Times New Roman"/>
        </w:rPr>
        <w:t>(e)</w:t>
      </w:r>
      <w:r w:rsidR="005C4E3C" w:rsidRPr="00950741">
        <w:rPr>
          <w:rFonts w:ascii="Times New Roman" w:hAnsi="Times New Roman"/>
        </w:rPr>
        <w:t>)</w:t>
      </w:r>
      <w:r w:rsidR="00CE5FC1" w:rsidRPr="00950741">
        <w:rPr>
          <w:rFonts w:ascii="Times New Roman" w:hAnsi="Times New Roman"/>
        </w:rPr>
        <w:t xml:space="preserve"> as a whole</w:t>
      </w:r>
      <w:r w:rsidR="008E69FB" w:rsidRPr="00950741">
        <w:rPr>
          <w:rFonts w:ascii="Times New Roman" w:hAnsi="Times New Roman"/>
        </w:rPr>
        <w:t xml:space="preserve"> and not merely in part</w:t>
      </w:r>
      <w:r w:rsidR="004B2492" w:rsidRPr="00950741">
        <w:rPr>
          <w:rFonts w:ascii="Times New Roman" w:hAnsi="Times New Roman"/>
        </w:rPr>
        <w:t>,</w:t>
      </w:r>
      <w:r w:rsidR="00BF34F2" w:rsidRPr="00950741">
        <w:rPr>
          <w:rFonts w:ascii="Times New Roman" w:hAnsi="Times New Roman"/>
        </w:rPr>
        <w:t xml:space="preserve"> </w:t>
      </w:r>
      <w:proofErr w:type="gramStart"/>
      <w:r w:rsidR="00BF34F2" w:rsidRPr="00950741">
        <w:rPr>
          <w:rFonts w:ascii="Times New Roman" w:hAnsi="Times New Roman"/>
        </w:rPr>
        <w:t>whether or not</w:t>
      </w:r>
      <w:proofErr w:type="gramEnd"/>
      <w:r w:rsidR="00BF34F2" w:rsidRPr="00950741">
        <w:rPr>
          <w:rFonts w:ascii="Times New Roman" w:hAnsi="Times New Roman"/>
        </w:rPr>
        <w:t xml:space="preserve"> those claims also fall within Art 2(1)(a).</w:t>
      </w:r>
    </w:p>
    <w:p w14:paraId="7CF04B64" w14:textId="0AD6D439" w:rsidR="00CC7F07" w:rsidRPr="00950741" w:rsidRDefault="00593775" w:rsidP="00950741">
      <w:pPr>
        <w:pStyle w:val="FixListStyle"/>
        <w:spacing w:after="260" w:line="280" w:lineRule="exact"/>
        <w:ind w:right="0"/>
        <w:jc w:val="both"/>
        <w:rPr>
          <w:rFonts w:ascii="Times New Roman" w:hAnsi="Times New Roman"/>
        </w:rPr>
      </w:pPr>
      <w:r w:rsidRPr="00950741">
        <w:rPr>
          <w:rFonts w:ascii="Times New Roman" w:eastAsia="Univers" w:hAnsi="Times New Roman"/>
        </w:rPr>
        <w:tab/>
        <w:t xml:space="preserve">Third, the facts of </w:t>
      </w:r>
      <w:r w:rsidRPr="00950741">
        <w:rPr>
          <w:rFonts w:ascii="Times New Roman" w:eastAsia="Univers" w:hAnsi="Times New Roman"/>
          <w:i/>
          <w:iCs/>
        </w:rPr>
        <w:t>The Star Centurion</w:t>
      </w:r>
      <w:r w:rsidRPr="00950741">
        <w:rPr>
          <w:rFonts w:ascii="Times New Roman" w:eastAsia="Univers" w:hAnsi="Times New Roman"/>
        </w:rPr>
        <w:t xml:space="preserve"> disclose the obvious point that an exercise of the right under Art 18(1) of the 1976 Convention must be the same for each State Party exercising the right, irrespective of the terms of the domestic law which give effect to the 1976 Convention on the basis of the exercise of the right under Art 18(1). It is Art 18(1) which provides the relevant right. Whatever the terms of the domestic law, the relevant right reserved under Art 18(1) </w:t>
      </w:r>
      <w:r w:rsidR="00DD0616" w:rsidRPr="00950741">
        <w:rPr>
          <w:rFonts w:ascii="Times New Roman" w:eastAsia="Univers" w:hAnsi="Times New Roman"/>
        </w:rPr>
        <w:t xml:space="preserve">(irrespective of </w:t>
      </w:r>
      <w:r w:rsidR="009D2807" w:rsidRPr="00950741">
        <w:rPr>
          <w:rFonts w:ascii="Times New Roman" w:eastAsia="Univers" w:hAnsi="Times New Roman"/>
        </w:rPr>
        <w:t xml:space="preserve">when the reservation was made) </w:t>
      </w:r>
      <w:r w:rsidRPr="00950741">
        <w:rPr>
          <w:rFonts w:ascii="Times New Roman" w:eastAsia="Univers" w:hAnsi="Times New Roman"/>
        </w:rPr>
        <w:t xml:space="preserve">is "(a) to </w:t>
      </w:r>
      <w:r w:rsidRPr="00950741">
        <w:rPr>
          <w:rFonts w:ascii="Times New Roman" w:hAnsi="Times New Roman"/>
        </w:rPr>
        <w:t>exclude the application of Article 2</w:t>
      </w:r>
      <w:r w:rsidR="00B67B5B" w:rsidRPr="00950741">
        <w:rPr>
          <w:rFonts w:ascii="Times New Roman" w:hAnsi="Times New Roman"/>
        </w:rPr>
        <w:t>,</w:t>
      </w:r>
      <w:r w:rsidRPr="00950741">
        <w:rPr>
          <w:rFonts w:ascii="Times New Roman" w:hAnsi="Times New Roman"/>
        </w:rPr>
        <w:t xml:space="preserve"> paragraph</w:t>
      </w:r>
      <w:r w:rsidR="00B67B5B" w:rsidRPr="00950741">
        <w:rPr>
          <w:rFonts w:ascii="Times New Roman" w:hAnsi="Times New Roman"/>
        </w:rPr>
        <w:t>s</w:t>
      </w:r>
      <w:r w:rsidRPr="00950741">
        <w:rPr>
          <w:rFonts w:ascii="Times New Roman" w:hAnsi="Times New Roman"/>
        </w:rPr>
        <w:t> 1(d) and (e)". No matter what words domestic law uses, the effect of such domestic laws for each State Party exercising the right of reservation must be in accordance with the terms of Art 18(1) itself. The relevance of this, as explained further below, is that it is not to the point that s 6 of the Limitation of Liability Act does not give Art 2(1)(d) and (e) "the force of law" in Australia. In exercising the right under Art 18(1), Australia has "exclude</w:t>
      </w:r>
      <w:r w:rsidR="009F6151" w:rsidRPr="00950741">
        <w:rPr>
          <w:rFonts w:ascii="Times New Roman" w:hAnsi="Times New Roman"/>
        </w:rPr>
        <w:t>[</w:t>
      </w:r>
      <w:r w:rsidRPr="00950741">
        <w:rPr>
          <w:rFonts w:ascii="Times New Roman" w:hAnsi="Times New Roman"/>
        </w:rPr>
        <w:t>d</w:t>
      </w:r>
      <w:r w:rsidR="009F6151" w:rsidRPr="00950741">
        <w:rPr>
          <w:rFonts w:ascii="Times New Roman" w:hAnsi="Times New Roman"/>
        </w:rPr>
        <w:t>]</w:t>
      </w:r>
      <w:r w:rsidRPr="00950741">
        <w:rPr>
          <w:rFonts w:ascii="Times New Roman" w:hAnsi="Times New Roman"/>
        </w:rPr>
        <w:t xml:space="preserve"> the application of" Art 2(1)(d) and (e). Australia has not re-written Art 2(1) so that Art 2(1)(d) and (e) simply do not exist. So much is clear from the text of Art 18(1) which concerns the exclusion of the "application of" Art 2(1)(d) and (e), meaning the application of those </w:t>
      </w:r>
      <w:r w:rsidR="00EA3384" w:rsidRPr="00950741">
        <w:rPr>
          <w:rFonts w:ascii="Times New Roman" w:hAnsi="Times New Roman"/>
        </w:rPr>
        <w:t>sub-</w:t>
      </w:r>
      <w:r w:rsidRPr="00950741">
        <w:rPr>
          <w:rFonts w:ascii="Times New Roman" w:hAnsi="Times New Roman"/>
        </w:rPr>
        <w:t>paragraphs to "claims" within their respective scopes.</w:t>
      </w:r>
    </w:p>
    <w:p w14:paraId="25A9E17B" w14:textId="0368AC7A" w:rsidR="004E76CE" w:rsidRPr="00950741" w:rsidRDefault="004E76CE" w:rsidP="00950741">
      <w:pPr>
        <w:pStyle w:val="HeadingL1"/>
        <w:spacing w:after="260" w:line="280" w:lineRule="exact"/>
        <w:ind w:right="0"/>
        <w:jc w:val="both"/>
        <w:rPr>
          <w:rFonts w:ascii="Times New Roman" w:hAnsi="Times New Roman"/>
        </w:rPr>
      </w:pPr>
      <w:r w:rsidRPr="00950741">
        <w:rPr>
          <w:rFonts w:ascii="Times New Roman" w:hAnsi="Times New Roman"/>
        </w:rPr>
        <w:t xml:space="preserve">Travaux </w:t>
      </w:r>
      <w:proofErr w:type="spellStart"/>
      <w:r w:rsidRPr="00950741">
        <w:rPr>
          <w:rFonts w:ascii="Times New Roman" w:hAnsi="Times New Roman"/>
        </w:rPr>
        <w:t>préparatoires</w:t>
      </w:r>
      <w:proofErr w:type="spellEnd"/>
      <w:r w:rsidRPr="00950741">
        <w:rPr>
          <w:rFonts w:ascii="Times New Roman" w:hAnsi="Times New Roman"/>
        </w:rPr>
        <w:t xml:space="preserve"> </w:t>
      </w:r>
      <w:r w:rsidR="008D5C5B" w:rsidRPr="00950741">
        <w:rPr>
          <w:rFonts w:ascii="Times New Roman" w:hAnsi="Times New Roman"/>
        </w:rPr>
        <w:t xml:space="preserve">for </w:t>
      </w:r>
      <w:r w:rsidRPr="00950741">
        <w:rPr>
          <w:rFonts w:ascii="Times New Roman" w:hAnsi="Times New Roman"/>
        </w:rPr>
        <w:t>the 1976 Convention as made</w:t>
      </w:r>
    </w:p>
    <w:p w14:paraId="10DB0A66" w14:textId="3E2AB708" w:rsidR="0005383E" w:rsidRPr="00950741" w:rsidRDefault="00B20BB5"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05383E" w:rsidRPr="00950741">
        <w:rPr>
          <w:rFonts w:ascii="Times New Roman" w:hAnsi="Times New Roman"/>
        </w:rPr>
        <w:t xml:space="preserve">The </w:t>
      </w:r>
      <w:r w:rsidR="0005383E" w:rsidRPr="00950741">
        <w:rPr>
          <w:rFonts w:ascii="Times New Roman" w:hAnsi="Times New Roman"/>
          <w:i/>
          <w:iCs/>
        </w:rPr>
        <w:t xml:space="preserve">travaux </w:t>
      </w:r>
      <w:proofErr w:type="spellStart"/>
      <w:r w:rsidR="0005383E" w:rsidRPr="00950741">
        <w:rPr>
          <w:rFonts w:ascii="Times New Roman" w:hAnsi="Times New Roman"/>
          <w:i/>
          <w:iCs/>
        </w:rPr>
        <w:t>préparatoires</w:t>
      </w:r>
      <w:proofErr w:type="spellEnd"/>
      <w:r w:rsidR="0005383E" w:rsidRPr="00950741">
        <w:rPr>
          <w:rFonts w:ascii="Times New Roman" w:hAnsi="Times New Roman"/>
        </w:rPr>
        <w:t xml:space="preserve"> for the 1976 Convention, properly understood, manifestly support TasPorts' case.</w:t>
      </w:r>
    </w:p>
    <w:p w14:paraId="1CAD6969" w14:textId="431A5D92" w:rsidR="00B20BB5" w:rsidRPr="00950741" w:rsidRDefault="0093057A"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B20BB5" w:rsidRPr="00950741">
        <w:rPr>
          <w:rFonts w:ascii="Times New Roman" w:hAnsi="Times New Roman"/>
        </w:rPr>
        <w:t xml:space="preserve">The </w:t>
      </w:r>
      <w:r w:rsidR="00B20BB5" w:rsidRPr="00950741">
        <w:rPr>
          <w:rFonts w:ascii="Times New Roman" w:hAnsi="Times New Roman"/>
          <w:i/>
        </w:rPr>
        <w:t>Official Records of the International Conference on the Limitation of Liability for Maritime Claims, 1976</w:t>
      </w:r>
      <w:r w:rsidR="00B20BB5" w:rsidRPr="00950741">
        <w:rPr>
          <w:rFonts w:ascii="Times New Roman" w:hAnsi="Times New Roman"/>
        </w:rPr>
        <w:t xml:space="preserve"> expose that the principal focus of the State Parties in the negotiation of the 1976 Convention was the limitation amounts in proposed Art 6. The </w:t>
      </w:r>
      <w:r w:rsidR="00B20BB5" w:rsidRPr="00950741">
        <w:rPr>
          <w:rFonts w:ascii="Times New Roman" w:hAnsi="Times New Roman"/>
          <w:i/>
        </w:rPr>
        <w:t>Summary Record of the First Meeting</w:t>
      </w:r>
      <w:r w:rsidR="00B20BB5" w:rsidRPr="00950741">
        <w:rPr>
          <w:rFonts w:ascii="Times New Roman" w:hAnsi="Times New Roman"/>
        </w:rPr>
        <w:t xml:space="preserve"> records the Chairman saying that:</w:t>
      </w:r>
      <w:r w:rsidR="00B20BB5" w:rsidRPr="00950741">
        <w:rPr>
          <w:rStyle w:val="FootnoteReference"/>
          <w:rFonts w:ascii="Times New Roman" w:hAnsi="Times New Roman"/>
          <w:sz w:val="24"/>
        </w:rPr>
        <w:footnoteReference w:id="61"/>
      </w:r>
    </w:p>
    <w:p w14:paraId="0988D3FF" w14:textId="77777777" w:rsidR="00950741" w:rsidRDefault="00B20BB5" w:rsidP="00950741">
      <w:pPr>
        <w:pStyle w:val="leftright"/>
        <w:spacing w:before="0" w:after="260" w:line="280" w:lineRule="exact"/>
        <w:ind w:right="0"/>
        <w:jc w:val="both"/>
        <w:rPr>
          <w:rFonts w:ascii="Times New Roman" w:hAnsi="Times New Roman"/>
        </w:rPr>
      </w:pPr>
      <w:r w:rsidRPr="00950741">
        <w:rPr>
          <w:rFonts w:ascii="Times New Roman" w:hAnsi="Times New Roman"/>
        </w:rPr>
        <w:t>"</w:t>
      </w:r>
      <w:proofErr w:type="gramStart"/>
      <w:r w:rsidRPr="00950741">
        <w:rPr>
          <w:rFonts w:ascii="Times New Roman" w:hAnsi="Times New Roman"/>
        </w:rPr>
        <w:t>the</w:t>
      </w:r>
      <w:proofErr w:type="gramEnd"/>
      <w:r w:rsidRPr="00950741">
        <w:rPr>
          <w:rFonts w:ascii="Times New Roman" w:hAnsi="Times New Roman"/>
        </w:rPr>
        <w:t xml:space="preserve"> draft Convention was global in character in two respects: in the first place, it provided for a global limitation of liability, and secondly it concerned all States either because they had a shipping industry or because they were possible claimants. That being so, there were necessarily </w:t>
      </w:r>
      <w:proofErr w:type="gramStart"/>
      <w:r w:rsidRPr="00950741">
        <w:rPr>
          <w:rFonts w:ascii="Times New Roman" w:hAnsi="Times New Roman"/>
        </w:rPr>
        <w:t>a number of</w:t>
      </w:r>
      <w:proofErr w:type="gramEnd"/>
      <w:r w:rsidRPr="00950741">
        <w:rPr>
          <w:rFonts w:ascii="Times New Roman" w:hAnsi="Times New Roman"/>
        </w:rPr>
        <w:t xml:space="preserve"> divergent interests, and differing views were therefore to be expected. The object of all, however, should be to reach </w:t>
      </w:r>
      <w:proofErr w:type="gramStart"/>
      <w:r w:rsidRPr="00950741">
        <w:rPr>
          <w:rFonts w:ascii="Times New Roman" w:hAnsi="Times New Roman"/>
        </w:rPr>
        <w:t xml:space="preserve">a consensus of </w:t>
      </w:r>
      <w:r w:rsidRPr="00950741">
        <w:rPr>
          <w:rFonts w:ascii="Times New Roman" w:hAnsi="Times New Roman"/>
        </w:rPr>
        <w:lastRenderedPageBreak/>
        <w:t>opinion</w:t>
      </w:r>
      <w:proofErr w:type="gramEnd"/>
      <w:r w:rsidRPr="00950741">
        <w:rPr>
          <w:rFonts w:ascii="Times New Roman" w:hAnsi="Times New Roman"/>
        </w:rPr>
        <w:t xml:space="preserve"> and a common position. The resulting Convention must gain wider acceptance than that of 1957".</w:t>
      </w:r>
    </w:p>
    <w:p w14:paraId="536AF478" w14:textId="0C49E2A7" w:rsidR="00B20BB5" w:rsidRPr="00950741" w:rsidRDefault="00B20BB5"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The Chairman was referring to the perceived need for compromise between State Parties to ensure that more State Parties would accede to the proposed Convention than had acceded to the 1957 Convention, which contained limitation of liability provisions. </w:t>
      </w:r>
    </w:p>
    <w:p w14:paraId="4931716A" w14:textId="3DEBA654" w:rsidR="00B20BB5" w:rsidRPr="00950741" w:rsidRDefault="00B20BB5"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The </w:t>
      </w:r>
      <w:r w:rsidRPr="00950741">
        <w:rPr>
          <w:rFonts w:ascii="Times New Roman" w:hAnsi="Times New Roman"/>
          <w:i/>
          <w:iCs/>
        </w:rPr>
        <w:t xml:space="preserve">travaux </w:t>
      </w:r>
      <w:proofErr w:type="spellStart"/>
      <w:r w:rsidRPr="00950741">
        <w:rPr>
          <w:rFonts w:ascii="Times New Roman" w:hAnsi="Times New Roman"/>
          <w:i/>
          <w:iCs/>
        </w:rPr>
        <w:t>préparatoires</w:t>
      </w:r>
      <w:proofErr w:type="spellEnd"/>
      <w:r w:rsidRPr="00950741">
        <w:rPr>
          <w:rFonts w:ascii="Times New Roman" w:hAnsi="Times New Roman"/>
        </w:rPr>
        <w:t xml:space="preserve"> disclose that, early in the course of negotiations, various State Parties raised questions concerning whether draft Art 2(1)(d) and (e) for claims in respect of harbour works and removal of wrecks and cargo should be: (</w:t>
      </w:r>
      <w:proofErr w:type="spellStart"/>
      <w:r w:rsidRPr="00950741">
        <w:rPr>
          <w:rFonts w:ascii="Times New Roman" w:hAnsi="Times New Roman"/>
        </w:rPr>
        <w:t>i</w:t>
      </w:r>
      <w:proofErr w:type="spellEnd"/>
      <w:r w:rsidRPr="00950741">
        <w:rPr>
          <w:rFonts w:ascii="Times New Roman" w:hAnsi="Times New Roman"/>
        </w:rPr>
        <w:t>) included or not included in whole or part in Art 2(1);</w:t>
      </w:r>
      <w:r w:rsidRPr="00950741">
        <w:rPr>
          <w:rStyle w:val="FootnoteReference"/>
          <w:rFonts w:ascii="Times New Roman" w:hAnsi="Times New Roman"/>
          <w:sz w:val="24"/>
        </w:rPr>
        <w:footnoteReference w:id="62"/>
      </w:r>
      <w:r w:rsidRPr="00950741">
        <w:rPr>
          <w:rFonts w:ascii="Times New Roman" w:hAnsi="Times New Roman"/>
        </w:rPr>
        <w:t xml:space="preserve"> (ii) moved from draft Art 2(1)(d) and</w:t>
      </w:r>
      <w:r w:rsidR="00910AA8" w:rsidRPr="00950741">
        <w:rPr>
          <w:rFonts w:ascii="Times New Roman" w:hAnsi="Times New Roman"/>
        </w:rPr>
        <w:t> </w:t>
      </w:r>
      <w:r w:rsidRPr="00950741">
        <w:rPr>
          <w:rFonts w:ascii="Times New Roman" w:hAnsi="Times New Roman"/>
        </w:rPr>
        <w:t>(e) into Art 3 so as to be excluded from limitation;</w:t>
      </w:r>
      <w:r w:rsidRPr="00950741">
        <w:rPr>
          <w:rStyle w:val="FootnoteReference"/>
          <w:rFonts w:ascii="Times New Roman" w:hAnsi="Times New Roman"/>
          <w:sz w:val="24"/>
        </w:rPr>
        <w:footnoteReference w:id="63"/>
      </w:r>
      <w:r w:rsidRPr="00950741">
        <w:rPr>
          <w:rFonts w:ascii="Times New Roman" w:hAnsi="Times New Roman"/>
        </w:rPr>
        <w:t xml:space="preserve"> or (iii) subject to an additional Article reserving to State Parties the right by reservation to exclude the application of draft Art 2(1)(d) and</w:t>
      </w:r>
      <w:r w:rsidR="00910AA8" w:rsidRPr="00950741">
        <w:rPr>
          <w:rFonts w:ascii="Times New Roman" w:hAnsi="Times New Roman"/>
        </w:rPr>
        <w:t> </w:t>
      </w:r>
      <w:r w:rsidRPr="00950741">
        <w:rPr>
          <w:rFonts w:ascii="Times New Roman" w:hAnsi="Times New Roman"/>
        </w:rPr>
        <w:t>(e).</w:t>
      </w:r>
      <w:r w:rsidRPr="00950741">
        <w:rPr>
          <w:rStyle w:val="FootnoteReference"/>
          <w:rFonts w:ascii="Times New Roman" w:hAnsi="Times New Roman"/>
          <w:sz w:val="24"/>
        </w:rPr>
        <w:footnoteReference w:id="64"/>
      </w:r>
      <w:r w:rsidRPr="00950741">
        <w:rPr>
          <w:rFonts w:ascii="Times New Roman" w:hAnsi="Times New Roman"/>
        </w:rPr>
        <w:t xml:space="preserve"> </w:t>
      </w:r>
    </w:p>
    <w:p w14:paraId="08D8D6D6" w14:textId="674D3D25" w:rsidR="00B20BB5" w:rsidRPr="00950741" w:rsidRDefault="00B20BB5"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It is apparent from the </w:t>
      </w:r>
      <w:r w:rsidRPr="00950741">
        <w:rPr>
          <w:rFonts w:ascii="Times New Roman" w:hAnsi="Times New Roman"/>
          <w:i/>
          <w:iCs/>
        </w:rPr>
        <w:t xml:space="preserve">travaux </w:t>
      </w:r>
      <w:proofErr w:type="spellStart"/>
      <w:r w:rsidRPr="00950741">
        <w:rPr>
          <w:rFonts w:ascii="Times New Roman" w:hAnsi="Times New Roman"/>
          <w:i/>
          <w:iCs/>
        </w:rPr>
        <w:t>préparatoires</w:t>
      </w:r>
      <w:proofErr w:type="spellEnd"/>
      <w:r w:rsidRPr="00950741">
        <w:rPr>
          <w:rFonts w:ascii="Times New Roman" w:hAnsi="Times New Roman"/>
        </w:rPr>
        <w:t xml:space="preserve"> that: (</w:t>
      </w:r>
      <w:proofErr w:type="spellStart"/>
      <w:r w:rsidRPr="00950741">
        <w:rPr>
          <w:rFonts w:ascii="Times New Roman" w:hAnsi="Times New Roman"/>
        </w:rPr>
        <w:t>i</w:t>
      </w:r>
      <w:proofErr w:type="spellEnd"/>
      <w:r w:rsidRPr="00950741">
        <w:rPr>
          <w:rFonts w:ascii="Times New Roman" w:hAnsi="Times New Roman"/>
        </w:rPr>
        <w:t xml:space="preserve">) the position of some State Parties </w:t>
      </w:r>
      <w:r w:rsidR="00E61AD4" w:rsidRPr="00950741">
        <w:rPr>
          <w:rFonts w:ascii="Times New Roman" w:hAnsi="Times New Roman"/>
        </w:rPr>
        <w:t xml:space="preserve">regarding </w:t>
      </w:r>
      <w:r w:rsidRPr="00950741">
        <w:rPr>
          <w:rFonts w:ascii="Times New Roman" w:hAnsi="Times New Roman"/>
        </w:rPr>
        <w:t>the inclusion of claims for harbour works and wreck removal in draft Art 2(1)(d) would be related to the amounts of limitation the subject of draft Art 6; (ii) some State Parties opposed in principle the exclusion of or, by reservation, the potential for exclusion of claims within draft Art 2(1)(d) and</w:t>
      </w:r>
      <w:r w:rsidR="00910AA8" w:rsidRPr="00950741">
        <w:rPr>
          <w:rFonts w:ascii="Times New Roman" w:hAnsi="Times New Roman"/>
        </w:rPr>
        <w:t> </w:t>
      </w:r>
      <w:r w:rsidRPr="00950741">
        <w:rPr>
          <w:rFonts w:ascii="Times New Roman" w:hAnsi="Times New Roman"/>
        </w:rPr>
        <w:t xml:space="preserve">(e); and (iii) other State Parties demanded the exclusion of or, by reservation, </w:t>
      </w:r>
      <w:r w:rsidRPr="00950741">
        <w:rPr>
          <w:rFonts w:ascii="Times New Roman" w:hAnsi="Times New Roman"/>
        </w:rPr>
        <w:lastRenderedPageBreak/>
        <w:t>the potential for exclusion of claims within draft Art 2(1)(d) and</w:t>
      </w:r>
      <w:r w:rsidR="00910AA8" w:rsidRPr="00950741">
        <w:rPr>
          <w:rFonts w:ascii="Times New Roman" w:hAnsi="Times New Roman"/>
        </w:rPr>
        <w:t> </w:t>
      </w:r>
      <w:r w:rsidRPr="00950741">
        <w:rPr>
          <w:rFonts w:ascii="Times New Roman" w:hAnsi="Times New Roman"/>
        </w:rPr>
        <w:t>(e).</w:t>
      </w:r>
      <w:r w:rsidRPr="00950741">
        <w:rPr>
          <w:rStyle w:val="FootnoteReference"/>
          <w:rFonts w:ascii="Times New Roman" w:hAnsi="Times New Roman"/>
          <w:sz w:val="24"/>
        </w:rPr>
        <w:footnoteReference w:id="65"/>
      </w:r>
      <w:r w:rsidRPr="00950741">
        <w:rPr>
          <w:rFonts w:ascii="Times New Roman" w:hAnsi="Times New Roman"/>
        </w:rPr>
        <w:t xml:space="preserve"> Subsequently, the Chairman summarised the status of the negotiations as reflecting that while "[m]</w:t>
      </w:r>
      <w:proofErr w:type="spellStart"/>
      <w:r w:rsidRPr="00950741">
        <w:rPr>
          <w:rFonts w:ascii="Times New Roman" w:hAnsi="Times New Roman"/>
        </w:rPr>
        <w:t>ost</w:t>
      </w:r>
      <w:proofErr w:type="spellEnd"/>
      <w:r w:rsidRPr="00950741">
        <w:rPr>
          <w:rFonts w:ascii="Times New Roman" w:hAnsi="Times New Roman"/>
        </w:rPr>
        <w:t xml:space="preserve"> of the representatives appeared" to prefer that claims involving damage to harbour works and wreck removal should be included in the draft Convention</w:t>
      </w:r>
      <w:r w:rsidR="004D73CE" w:rsidRPr="00950741">
        <w:rPr>
          <w:rFonts w:ascii="Times New Roman" w:hAnsi="Times New Roman"/>
        </w:rPr>
        <w:t>,</w:t>
      </w:r>
      <w:r w:rsidRPr="00950741">
        <w:rPr>
          <w:rFonts w:ascii="Times New Roman" w:hAnsi="Times New Roman"/>
        </w:rPr>
        <w:t xml:space="preserve"> some representatives "considered that [those claims] should be excluded or made the subject of a reservation".</w:t>
      </w:r>
      <w:r w:rsidRPr="00950741">
        <w:rPr>
          <w:rStyle w:val="FootnoteReference"/>
          <w:rFonts w:ascii="Times New Roman" w:hAnsi="Times New Roman"/>
          <w:sz w:val="24"/>
        </w:rPr>
        <w:footnoteReference w:id="66"/>
      </w:r>
    </w:p>
    <w:p w14:paraId="01B695BB" w14:textId="7B7915A4" w:rsidR="00B20BB5" w:rsidRPr="00950741" w:rsidRDefault="00B20BB5"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It is apparent from the </w:t>
      </w:r>
      <w:r w:rsidRPr="00950741">
        <w:rPr>
          <w:rFonts w:ascii="Times New Roman" w:hAnsi="Times New Roman"/>
          <w:i/>
          <w:iCs/>
        </w:rPr>
        <w:t xml:space="preserve">travaux </w:t>
      </w:r>
      <w:proofErr w:type="spellStart"/>
      <w:r w:rsidRPr="00950741">
        <w:rPr>
          <w:rFonts w:ascii="Times New Roman" w:hAnsi="Times New Roman"/>
          <w:i/>
          <w:iCs/>
        </w:rPr>
        <w:t>préparatoires</w:t>
      </w:r>
      <w:proofErr w:type="spellEnd"/>
      <w:r w:rsidRPr="00950741">
        <w:rPr>
          <w:rFonts w:ascii="Times New Roman" w:hAnsi="Times New Roman"/>
        </w:rPr>
        <w:t xml:space="preserve"> that intensive negotiations ensued about numerous issues including the status within the draft Convention of claims involving damage to harbour works and wreck removal. Lord Diplock, representing the United Kingdom, observed that in the discussions intended to reach an acceptable compromise "it had been proposed that claims in respect of damage to harbour works should be included in the Convention, because such damage was readily insurable, but that claims regarding wreck removal should be excluded, because damage of that type was almost uninsurable".</w:t>
      </w:r>
      <w:r w:rsidRPr="00950741">
        <w:rPr>
          <w:rStyle w:val="FootnoteReference"/>
          <w:rFonts w:ascii="Times New Roman" w:hAnsi="Times New Roman"/>
          <w:sz w:val="24"/>
        </w:rPr>
        <w:footnoteReference w:id="67"/>
      </w:r>
      <w:r w:rsidRPr="00950741">
        <w:rPr>
          <w:rFonts w:ascii="Times New Roman" w:hAnsi="Times New Roman"/>
        </w:rPr>
        <w:t xml:space="preserve"> The Committee of the Whole, however, thereafter voted on a "compromise"</w:t>
      </w:r>
      <w:r w:rsidR="00F06BE0" w:rsidRPr="00950741">
        <w:rPr>
          <w:rFonts w:ascii="Times New Roman" w:hAnsi="Times New Roman"/>
        </w:rPr>
        <w:t>.</w:t>
      </w:r>
      <w:r w:rsidRPr="00950741">
        <w:rPr>
          <w:rFonts w:ascii="Times New Roman" w:hAnsi="Times New Roman"/>
        </w:rPr>
        <w:t xml:space="preserve"> </w:t>
      </w:r>
      <w:r w:rsidR="00F06BE0" w:rsidRPr="00950741">
        <w:rPr>
          <w:rFonts w:ascii="Times New Roman" w:hAnsi="Times New Roman"/>
        </w:rPr>
        <w:t>T</w:t>
      </w:r>
      <w:r w:rsidRPr="00950741">
        <w:rPr>
          <w:rFonts w:ascii="Times New Roman" w:hAnsi="Times New Roman"/>
        </w:rPr>
        <w:t>he majority vote included Annex </w:t>
      </w:r>
      <w:r w:rsidR="0060551A" w:rsidRPr="00950741">
        <w:rPr>
          <w:rFonts w:ascii="Times New Roman" w:hAnsi="Times New Roman"/>
        </w:rPr>
        <w:t>I</w:t>
      </w:r>
      <w:r w:rsidRPr="00950741">
        <w:rPr>
          <w:rFonts w:ascii="Times New Roman" w:hAnsi="Times New Roman"/>
        </w:rPr>
        <w:t xml:space="preserve"> "Proposals on Limitation Figures"</w:t>
      </w:r>
      <w:r w:rsidR="0068389F" w:rsidRPr="00950741">
        <w:rPr>
          <w:rFonts w:ascii="Times New Roman" w:hAnsi="Times New Roman"/>
        </w:rPr>
        <w:t xml:space="preserve"> and</w:t>
      </w:r>
      <w:r w:rsidRPr="00950741">
        <w:rPr>
          <w:rFonts w:ascii="Times New Roman" w:hAnsi="Times New Roman"/>
        </w:rPr>
        <w:t xml:space="preserve"> </w:t>
      </w:r>
      <w:r w:rsidR="0068389F" w:rsidRPr="00950741">
        <w:rPr>
          <w:rFonts w:ascii="Times New Roman" w:hAnsi="Times New Roman"/>
        </w:rPr>
        <w:t>para </w:t>
      </w:r>
      <w:r w:rsidRPr="00950741">
        <w:rPr>
          <w:rFonts w:ascii="Times New Roman" w:hAnsi="Times New Roman"/>
        </w:rPr>
        <w:t>3 of the footnote to Annex </w:t>
      </w:r>
      <w:r w:rsidR="0060551A" w:rsidRPr="00950741">
        <w:rPr>
          <w:rFonts w:ascii="Times New Roman" w:hAnsi="Times New Roman"/>
        </w:rPr>
        <w:t>I</w:t>
      </w:r>
      <w:r w:rsidRPr="00950741">
        <w:rPr>
          <w:rFonts w:ascii="Times New Roman" w:hAnsi="Times New Roman"/>
        </w:rPr>
        <w:t xml:space="preserve"> that "[c]</w:t>
      </w:r>
      <w:proofErr w:type="spellStart"/>
      <w:r w:rsidRPr="00950741">
        <w:rPr>
          <w:rFonts w:ascii="Times New Roman" w:hAnsi="Times New Roman"/>
        </w:rPr>
        <w:t>laims</w:t>
      </w:r>
      <w:proofErr w:type="spellEnd"/>
      <w:r w:rsidRPr="00950741">
        <w:rPr>
          <w:rFonts w:ascii="Times New Roman" w:hAnsi="Times New Roman"/>
        </w:rPr>
        <w:t xml:space="preserve"> in respect of harbour works etc, and wreck removal should be included among claims subject to limitations. States should be entitled to make a reservation in respect of wreck removal. Whether a reservation should be allowed in respect of damage to harbour works etc is an open question"</w:t>
      </w:r>
      <w:r w:rsidR="0060551A" w:rsidRPr="00950741">
        <w:rPr>
          <w:rFonts w:ascii="Times New Roman" w:hAnsi="Times New Roman"/>
        </w:rPr>
        <w:t>.</w:t>
      </w:r>
      <w:r w:rsidRPr="00950741">
        <w:rPr>
          <w:rStyle w:val="FootnoteReference"/>
          <w:rFonts w:ascii="Times New Roman" w:hAnsi="Times New Roman"/>
          <w:sz w:val="24"/>
        </w:rPr>
        <w:footnoteReference w:id="68"/>
      </w:r>
    </w:p>
    <w:p w14:paraId="549ACD12" w14:textId="77777777" w:rsidR="00B20BB5" w:rsidRPr="00950741" w:rsidRDefault="00B20BB5" w:rsidP="00950741">
      <w:pPr>
        <w:pStyle w:val="FixListStyle"/>
        <w:spacing w:after="260" w:line="280" w:lineRule="exact"/>
        <w:ind w:right="0"/>
        <w:jc w:val="both"/>
        <w:rPr>
          <w:rFonts w:ascii="Times New Roman" w:hAnsi="Times New Roman"/>
        </w:rPr>
      </w:pPr>
      <w:r w:rsidRPr="00950741">
        <w:rPr>
          <w:rFonts w:ascii="Times New Roman" w:hAnsi="Times New Roman"/>
        </w:rPr>
        <w:lastRenderedPageBreak/>
        <w:tab/>
        <w:t xml:space="preserve">The day after that vote the </w:t>
      </w:r>
      <w:r w:rsidRPr="00950741">
        <w:rPr>
          <w:rFonts w:ascii="Times New Roman" w:hAnsi="Times New Roman"/>
          <w:i/>
        </w:rPr>
        <w:t>Summary Record of the Twenty-Fifth Meeting</w:t>
      </w:r>
      <w:r w:rsidRPr="00950741">
        <w:rPr>
          <w:rFonts w:ascii="Times New Roman" w:hAnsi="Times New Roman"/>
        </w:rPr>
        <w:t xml:space="preserve"> of the Committee of the Whole included the following:</w:t>
      </w:r>
      <w:r w:rsidRPr="00950741">
        <w:rPr>
          <w:rStyle w:val="FootnoteReference"/>
          <w:rFonts w:ascii="Times New Roman" w:hAnsi="Times New Roman"/>
          <w:sz w:val="24"/>
        </w:rPr>
        <w:footnoteReference w:id="69"/>
      </w:r>
    </w:p>
    <w:p w14:paraId="51BA16D7" w14:textId="70B56030" w:rsidR="00B20BB5" w:rsidRPr="00950741" w:rsidRDefault="00B20BB5" w:rsidP="00950741">
      <w:pPr>
        <w:pStyle w:val="leftright"/>
        <w:spacing w:before="0" w:after="260" w:line="280" w:lineRule="exact"/>
        <w:ind w:right="0"/>
        <w:jc w:val="both"/>
        <w:rPr>
          <w:rFonts w:ascii="Times New Roman" w:hAnsi="Times New Roman"/>
        </w:rPr>
      </w:pPr>
      <w:r w:rsidRPr="00950741">
        <w:rPr>
          <w:rFonts w:ascii="Times New Roman" w:hAnsi="Times New Roman"/>
        </w:rPr>
        <w:t xml:space="preserve">"In response to a request for clarification from Mr Tanikawa (Japan), the CHAIRMAN confirmed that she understood the assumption concerning wreck removal in paragraph 3 of the footnote to Annex I </w:t>
      </w:r>
      <w:r w:rsidR="00522C44" w:rsidRPr="00950741">
        <w:rPr>
          <w:rFonts w:ascii="Times New Roman" w:hAnsi="Times New Roman"/>
        </w:rPr>
        <w:t xml:space="preserve">... </w:t>
      </w:r>
      <w:r w:rsidRPr="00950741">
        <w:rPr>
          <w:rFonts w:ascii="Times New Roman" w:hAnsi="Times New Roman"/>
        </w:rPr>
        <w:t>as covering both sub-paragraphs (d) and (e) of Article 2(1). Subject to the Committee's agreement, she would so inform the Chairman of the Drafting Committee.</w:t>
      </w:r>
    </w:p>
    <w:p w14:paraId="602D0346" w14:textId="77777777" w:rsidR="00950741" w:rsidRDefault="00B20BB5" w:rsidP="00950741">
      <w:pPr>
        <w:pStyle w:val="leftright"/>
        <w:spacing w:before="0" w:after="260" w:line="280" w:lineRule="exact"/>
        <w:ind w:right="0"/>
        <w:jc w:val="both"/>
        <w:rPr>
          <w:rFonts w:ascii="Times New Roman" w:hAnsi="Times New Roman"/>
        </w:rPr>
      </w:pPr>
      <w:proofErr w:type="spellStart"/>
      <w:r w:rsidRPr="00950741">
        <w:rPr>
          <w:rFonts w:ascii="Times New Roman" w:hAnsi="Times New Roman"/>
          <w:i/>
          <w:iCs/>
        </w:rPr>
        <w:t>lt</w:t>
      </w:r>
      <w:proofErr w:type="spellEnd"/>
      <w:r w:rsidRPr="00950741">
        <w:rPr>
          <w:rFonts w:ascii="Times New Roman" w:hAnsi="Times New Roman"/>
          <w:i/>
          <w:iCs/>
        </w:rPr>
        <w:t xml:space="preserve"> was so decided</w:t>
      </w:r>
      <w:r w:rsidRPr="00950741">
        <w:rPr>
          <w:rFonts w:ascii="Times New Roman" w:hAnsi="Times New Roman"/>
        </w:rPr>
        <w:t>."</w:t>
      </w:r>
    </w:p>
    <w:p w14:paraId="7CDC1A3F" w14:textId="3232C143" w:rsidR="00B20BB5" w:rsidRPr="00950741" w:rsidRDefault="00B20BB5"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The </w:t>
      </w:r>
      <w:r w:rsidRPr="00950741">
        <w:rPr>
          <w:rFonts w:ascii="Times New Roman" w:hAnsi="Times New Roman"/>
          <w:i/>
        </w:rPr>
        <w:t xml:space="preserve">Report of the Drafting Committee </w:t>
      </w:r>
      <w:r w:rsidR="008D0C78" w:rsidRPr="00950741">
        <w:rPr>
          <w:rFonts w:ascii="Times New Roman" w:hAnsi="Times New Roman"/>
          <w:iCs/>
        </w:rPr>
        <w:t>considered by</w:t>
      </w:r>
      <w:r w:rsidRPr="00950741">
        <w:rPr>
          <w:rFonts w:ascii="Times New Roman" w:hAnsi="Times New Roman"/>
          <w:i/>
        </w:rPr>
        <w:t xml:space="preserve"> </w:t>
      </w:r>
      <w:r w:rsidRPr="00950741">
        <w:rPr>
          <w:rFonts w:ascii="Times New Roman" w:hAnsi="Times New Roman"/>
        </w:rPr>
        <w:t>the Twenty-Sixth Meeting of the Committee of the Whole included the text of draft Arts 3 ("Claims excepted from limitation"), 6 ("The general limits"), and 18 ("Reservations"), amongst others. Draft Art 18(1) provided that "[a]</w:t>
      </w:r>
      <w:proofErr w:type="spellStart"/>
      <w:r w:rsidRPr="00950741">
        <w:rPr>
          <w:rFonts w:ascii="Times New Roman" w:hAnsi="Times New Roman"/>
        </w:rPr>
        <w:t>ny</w:t>
      </w:r>
      <w:proofErr w:type="spellEnd"/>
      <w:r w:rsidRPr="00950741">
        <w:rPr>
          <w:rFonts w:ascii="Times New Roman" w:hAnsi="Times New Roman"/>
        </w:rPr>
        <w:t xml:space="preserve"> State may, at the time of signature, ratification, acceptance, approval or accession, reserve the right to exclude the application of Article 2, paragraph 1(d) and (e). No other reservations shall be admissible."</w:t>
      </w:r>
      <w:r w:rsidRPr="00950741">
        <w:rPr>
          <w:rStyle w:val="FootnoteReference"/>
          <w:rFonts w:ascii="Times New Roman" w:hAnsi="Times New Roman"/>
          <w:sz w:val="24"/>
        </w:rPr>
        <w:footnoteReference w:id="70"/>
      </w:r>
    </w:p>
    <w:p w14:paraId="22E7CCFD" w14:textId="77777777" w:rsidR="00B20BB5" w:rsidRPr="00950741" w:rsidRDefault="00B20BB5"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By a vote at the Fifth Plenary Meeting on 19 November 1976 Art 18 </w:t>
      </w:r>
      <w:proofErr w:type="gramStart"/>
      <w:r w:rsidRPr="00950741">
        <w:rPr>
          <w:rFonts w:ascii="Times New Roman" w:hAnsi="Times New Roman"/>
        </w:rPr>
        <w:t>as a whole was</w:t>
      </w:r>
      <w:proofErr w:type="gramEnd"/>
      <w:r w:rsidRPr="00950741">
        <w:rPr>
          <w:rFonts w:ascii="Times New Roman" w:hAnsi="Times New Roman"/>
        </w:rPr>
        <w:t xml:space="preserve"> adopted.</w:t>
      </w:r>
      <w:r w:rsidRPr="00950741">
        <w:rPr>
          <w:rStyle w:val="FootnoteReference"/>
          <w:rFonts w:ascii="Times New Roman" w:hAnsi="Times New Roman"/>
          <w:sz w:val="24"/>
        </w:rPr>
        <w:footnoteReference w:id="71"/>
      </w:r>
    </w:p>
    <w:p w14:paraId="17481760" w14:textId="600C912C" w:rsidR="001D62A2" w:rsidRPr="00950741" w:rsidRDefault="005F065A"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F12693" w:rsidRPr="00950741">
        <w:rPr>
          <w:rFonts w:ascii="Times New Roman" w:hAnsi="Times New Roman"/>
        </w:rPr>
        <w:t xml:space="preserve">As TasPorts submitted, the </w:t>
      </w:r>
      <w:r w:rsidR="00F12693" w:rsidRPr="00950741">
        <w:rPr>
          <w:rFonts w:ascii="Times New Roman" w:hAnsi="Times New Roman"/>
          <w:i/>
          <w:iCs/>
        </w:rPr>
        <w:t xml:space="preserve">travaux </w:t>
      </w:r>
      <w:proofErr w:type="spellStart"/>
      <w:r w:rsidR="00F12693" w:rsidRPr="00950741">
        <w:rPr>
          <w:rFonts w:ascii="Times New Roman" w:hAnsi="Times New Roman"/>
          <w:i/>
          <w:iCs/>
        </w:rPr>
        <w:t>préparatoires</w:t>
      </w:r>
      <w:proofErr w:type="spellEnd"/>
      <w:r w:rsidR="00F12693" w:rsidRPr="00950741">
        <w:rPr>
          <w:rFonts w:ascii="Times New Roman" w:hAnsi="Times New Roman"/>
        </w:rPr>
        <w:t xml:space="preserve"> disclose </w:t>
      </w:r>
      <w:r w:rsidR="00526EEA" w:rsidRPr="00950741">
        <w:rPr>
          <w:rFonts w:ascii="Times New Roman" w:hAnsi="Times New Roman"/>
        </w:rPr>
        <w:t xml:space="preserve">an underlying </w:t>
      </w:r>
      <w:r w:rsidR="005B7FF7" w:rsidRPr="00950741">
        <w:rPr>
          <w:rFonts w:ascii="Times New Roman" w:hAnsi="Times New Roman"/>
        </w:rPr>
        <w:t xml:space="preserve">common </w:t>
      </w:r>
      <w:r w:rsidR="00526EEA" w:rsidRPr="00950741">
        <w:rPr>
          <w:rFonts w:ascii="Times New Roman" w:hAnsi="Times New Roman"/>
        </w:rPr>
        <w:t xml:space="preserve">assumption </w:t>
      </w:r>
      <w:r w:rsidR="005B7FF7" w:rsidRPr="00950741">
        <w:rPr>
          <w:rFonts w:ascii="Times New Roman" w:hAnsi="Times New Roman"/>
        </w:rPr>
        <w:t xml:space="preserve">by State Parties </w:t>
      </w:r>
      <w:r w:rsidR="00526EEA" w:rsidRPr="00950741">
        <w:rPr>
          <w:rFonts w:ascii="Times New Roman" w:hAnsi="Times New Roman"/>
        </w:rPr>
        <w:t xml:space="preserve">of </w:t>
      </w:r>
      <w:r w:rsidR="00BA5520" w:rsidRPr="00950741">
        <w:rPr>
          <w:rFonts w:ascii="Times New Roman" w:hAnsi="Times New Roman"/>
        </w:rPr>
        <w:t xml:space="preserve">relevant </w:t>
      </w:r>
      <w:r w:rsidR="00526EEA" w:rsidRPr="00950741">
        <w:rPr>
          <w:rFonts w:ascii="Times New Roman" w:hAnsi="Times New Roman"/>
        </w:rPr>
        <w:t>functional equivalence</w:t>
      </w:r>
      <w:r w:rsidR="00BA5520" w:rsidRPr="00950741">
        <w:rPr>
          <w:rFonts w:ascii="Times New Roman" w:hAnsi="Times New Roman"/>
        </w:rPr>
        <w:t xml:space="preserve"> </w:t>
      </w:r>
      <w:r w:rsidR="00115A4A" w:rsidRPr="00950741">
        <w:rPr>
          <w:rFonts w:ascii="Times New Roman" w:hAnsi="Times New Roman"/>
        </w:rPr>
        <w:t xml:space="preserve">for State Parties </w:t>
      </w:r>
      <w:r w:rsidR="00526EEA" w:rsidRPr="00950741">
        <w:rPr>
          <w:rFonts w:ascii="Times New Roman" w:hAnsi="Times New Roman"/>
        </w:rPr>
        <w:t>between</w:t>
      </w:r>
      <w:r w:rsidR="00BA5520" w:rsidRPr="00950741">
        <w:rPr>
          <w:rFonts w:ascii="Times New Roman" w:hAnsi="Times New Roman"/>
        </w:rPr>
        <w:t>: (</w:t>
      </w:r>
      <w:proofErr w:type="spellStart"/>
      <w:r w:rsidR="00BA5520" w:rsidRPr="00950741">
        <w:rPr>
          <w:rFonts w:ascii="Times New Roman" w:hAnsi="Times New Roman"/>
        </w:rPr>
        <w:t>i</w:t>
      </w:r>
      <w:proofErr w:type="spellEnd"/>
      <w:r w:rsidR="00BA5520" w:rsidRPr="00950741">
        <w:rPr>
          <w:rFonts w:ascii="Times New Roman" w:hAnsi="Times New Roman"/>
        </w:rPr>
        <w:t>) </w:t>
      </w:r>
      <w:r w:rsidR="00526EEA" w:rsidRPr="00950741">
        <w:rPr>
          <w:rFonts w:ascii="Times New Roman" w:hAnsi="Times New Roman"/>
        </w:rPr>
        <w:t>entitling State Parties to disapply Art</w:t>
      </w:r>
      <w:r w:rsidR="00E26109" w:rsidRPr="00950741">
        <w:rPr>
          <w:rFonts w:ascii="Times New Roman" w:hAnsi="Times New Roman"/>
        </w:rPr>
        <w:t> </w:t>
      </w:r>
      <w:r w:rsidR="00526EEA" w:rsidRPr="00950741">
        <w:rPr>
          <w:rFonts w:ascii="Times New Roman" w:hAnsi="Times New Roman"/>
        </w:rPr>
        <w:t>2</w:t>
      </w:r>
      <w:r w:rsidR="00AF4A57" w:rsidRPr="00950741">
        <w:rPr>
          <w:rFonts w:ascii="Times New Roman" w:hAnsi="Times New Roman"/>
        </w:rPr>
        <w:t>(</w:t>
      </w:r>
      <w:r w:rsidR="00526EEA" w:rsidRPr="00950741">
        <w:rPr>
          <w:rFonts w:ascii="Times New Roman" w:hAnsi="Times New Roman"/>
        </w:rPr>
        <w:t>1</w:t>
      </w:r>
      <w:r w:rsidR="00AF4A57" w:rsidRPr="00950741">
        <w:rPr>
          <w:rFonts w:ascii="Times New Roman" w:hAnsi="Times New Roman"/>
        </w:rPr>
        <w:t>)</w:t>
      </w:r>
      <w:r w:rsidR="00526EEA" w:rsidRPr="00950741">
        <w:rPr>
          <w:rFonts w:ascii="Times New Roman" w:hAnsi="Times New Roman"/>
        </w:rPr>
        <w:t>(d) and</w:t>
      </w:r>
      <w:r w:rsidR="00AF4A57" w:rsidRPr="00950741">
        <w:rPr>
          <w:rFonts w:ascii="Times New Roman" w:hAnsi="Times New Roman"/>
        </w:rPr>
        <w:t> </w:t>
      </w:r>
      <w:r w:rsidR="00526EEA" w:rsidRPr="00950741">
        <w:rPr>
          <w:rFonts w:ascii="Times New Roman" w:hAnsi="Times New Roman"/>
        </w:rPr>
        <w:t xml:space="preserve">(e) </w:t>
      </w:r>
      <w:r w:rsidR="00E0580F" w:rsidRPr="00950741">
        <w:rPr>
          <w:rFonts w:ascii="Times New Roman" w:hAnsi="Times New Roman"/>
        </w:rPr>
        <w:t xml:space="preserve">of </w:t>
      </w:r>
      <w:r w:rsidR="006D43B4" w:rsidRPr="00950741">
        <w:rPr>
          <w:rFonts w:ascii="Times New Roman" w:hAnsi="Times New Roman"/>
        </w:rPr>
        <w:t xml:space="preserve">what was to become </w:t>
      </w:r>
      <w:r w:rsidR="00E0580F" w:rsidRPr="00950741">
        <w:rPr>
          <w:rFonts w:ascii="Times New Roman" w:hAnsi="Times New Roman"/>
        </w:rPr>
        <w:t>the 1976</w:t>
      </w:r>
      <w:r w:rsidR="00E26109" w:rsidRPr="00950741">
        <w:rPr>
          <w:rFonts w:ascii="Times New Roman" w:hAnsi="Times New Roman"/>
        </w:rPr>
        <w:t> </w:t>
      </w:r>
      <w:r w:rsidR="00E0580F" w:rsidRPr="00950741">
        <w:rPr>
          <w:rFonts w:ascii="Times New Roman" w:hAnsi="Times New Roman"/>
        </w:rPr>
        <w:t xml:space="preserve">Convention by exercise of </w:t>
      </w:r>
      <w:r w:rsidR="00C86D1C" w:rsidRPr="00950741">
        <w:rPr>
          <w:rFonts w:ascii="Times New Roman" w:hAnsi="Times New Roman"/>
        </w:rPr>
        <w:t>a</w:t>
      </w:r>
      <w:r w:rsidR="00E0580F" w:rsidRPr="00950741">
        <w:rPr>
          <w:rFonts w:ascii="Times New Roman" w:hAnsi="Times New Roman"/>
        </w:rPr>
        <w:t xml:space="preserve"> right given under Art</w:t>
      </w:r>
      <w:r w:rsidR="00E26109" w:rsidRPr="00950741">
        <w:rPr>
          <w:rFonts w:ascii="Times New Roman" w:hAnsi="Times New Roman"/>
        </w:rPr>
        <w:t> </w:t>
      </w:r>
      <w:r w:rsidR="00E0580F" w:rsidRPr="00950741">
        <w:rPr>
          <w:rFonts w:ascii="Times New Roman" w:hAnsi="Times New Roman"/>
        </w:rPr>
        <w:t>18</w:t>
      </w:r>
      <w:r w:rsidR="00AF4A57" w:rsidRPr="00950741">
        <w:rPr>
          <w:rFonts w:ascii="Times New Roman" w:hAnsi="Times New Roman"/>
        </w:rPr>
        <w:t>(</w:t>
      </w:r>
      <w:r w:rsidR="00E0580F" w:rsidRPr="00950741">
        <w:rPr>
          <w:rFonts w:ascii="Times New Roman" w:hAnsi="Times New Roman"/>
        </w:rPr>
        <w:t>1</w:t>
      </w:r>
      <w:r w:rsidR="00AF4A57" w:rsidRPr="00950741">
        <w:rPr>
          <w:rFonts w:ascii="Times New Roman" w:hAnsi="Times New Roman"/>
        </w:rPr>
        <w:t>)</w:t>
      </w:r>
      <w:r w:rsidR="00BA5520" w:rsidRPr="00950741">
        <w:rPr>
          <w:rFonts w:ascii="Times New Roman" w:hAnsi="Times New Roman"/>
        </w:rPr>
        <w:t>;</w:t>
      </w:r>
      <w:r w:rsidR="00E0580F" w:rsidRPr="00950741">
        <w:rPr>
          <w:rFonts w:ascii="Times New Roman" w:hAnsi="Times New Roman"/>
        </w:rPr>
        <w:t xml:space="preserve"> and </w:t>
      </w:r>
      <w:r w:rsidR="00AA6B5F" w:rsidRPr="00950741">
        <w:rPr>
          <w:rFonts w:ascii="Times New Roman" w:hAnsi="Times New Roman"/>
        </w:rPr>
        <w:t>(ii) </w:t>
      </w:r>
      <w:r w:rsidR="00275958" w:rsidRPr="00950741">
        <w:rPr>
          <w:rFonts w:ascii="Times New Roman" w:hAnsi="Times New Roman"/>
        </w:rPr>
        <w:t>excluding claims within Art</w:t>
      </w:r>
      <w:r w:rsidR="00E26109" w:rsidRPr="00950741">
        <w:rPr>
          <w:rFonts w:ascii="Times New Roman" w:hAnsi="Times New Roman"/>
        </w:rPr>
        <w:t> </w:t>
      </w:r>
      <w:r w:rsidR="00275958" w:rsidRPr="00950741">
        <w:rPr>
          <w:rFonts w:ascii="Times New Roman" w:hAnsi="Times New Roman"/>
        </w:rPr>
        <w:t>2</w:t>
      </w:r>
      <w:r w:rsidR="00AF4A57" w:rsidRPr="00950741">
        <w:rPr>
          <w:rFonts w:ascii="Times New Roman" w:hAnsi="Times New Roman"/>
        </w:rPr>
        <w:t>(</w:t>
      </w:r>
      <w:r w:rsidR="00275958" w:rsidRPr="00950741">
        <w:rPr>
          <w:rFonts w:ascii="Times New Roman" w:hAnsi="Times New Roman"/>
        </w:rPr>
        <w:t>1</w:t>
      </w:r>
      <w:r w:rsidR="00AF4A57" w:rsidRPr="00950741">
        <w:rPr>
          <w:rFonts w:ascii="Times New Roman" w:hAnsi="Times New Roman"/>
        </w:rPr>
        <w:t>)</w:t>
      </w:r>
      <w:r w:rsidR="00275958" w:rsidRPr="00950741">
        <w:rPr>
          <w:rFonts w:ascii="Times New Roman" w:hAnsi="Times New Roman"/>
        </w:rPr>
        <w:t>(d) and</w:t>
      </w:r>
      <w:r w:rsidR="006A42F5" w:rsidRPr="00950741">
        <w:rPr>
          <w:rFonts w:ascii="Times New Roman" w:hAnsi="Times New Roman"/>
        </w:rPr>
        <w:t> </w:t>
      </w:r>
      <w:r w:rsidR="00275958" w:rsidRPr="00950741">
        <w:rPr>
          <w:rFonts w:ascii="Times New Roman" w:hAnsi="Times New Roman"/>
        </w:rPr>
        <w:t>(e) by relocating those provisions to Art</w:t>
      </w:r>
      <w:r w:rsidR="00E26109" w:rsidRPr="00950741">
        <w:rPr>
          <w:rFonts w:ascii="Times New Roman" w:hAnsi="Times New Roman"/>
        </w:rPr>
        <w:t> </w:t>
      </w:r>
      <w:r w:rsidR="00275958" w:rsidRPr="00950741">
        <w:rPr>
          <w:rFonts w:ascii="Times New Roman" w:hAnsi="Times New Roman"/>
        </w:rPr>
        <w:t>3 (</w:t>
      </w:r>
      <w:r w:rsidR="00CC43BB" w:rsidRPr="00950741">
        <w:rPr>
          <w:rFonts w:ascii="Times New Roman" w:hAnsi="Times New Roman"/>
        </w:rPr>
        <w:t xml:space="preserve">"[t]he rules of this Convention shall not apply to ..."). </w:t>
      </w:r>
      <w:r w:rsidR="00A67FE1" w:rsidRPr="00950741">
        <w:rPr>
          <w:rFonts w:ascii="Times New Roman" w:hAnsi="Times New Roman"/>
        </w:rPr>
        <w:t>That is, for an individual State Party who chose to exercise the right of reservation under Art 18(1)</w:t>
      </w:r>
      <w:r w:rsidR="00261884" w:rsidRPr="00950741">
        <w:rPr>
          <w:rFonts w:ascii="Times New Roman" w:hAnsi="Times New Roman"/>
        </w:rPr>
        <w:t xml:space="preserve">, the effect would be the same as if </w:t>
      </w:r>
      <w:r w:rsidR="00E33943" w:rsidRPr="00950741">
        <w:rPr>
          <w:rFonts w:ascii="Times New Roman" w:hAnsi="Times New Roman"/>
        </w:rPr>
        <w:t xml:space="preserve">Art 2(1)(d) and (e) had been relocated </w:t>
      </w:r>
      <w:r w:rsidR="00E33943" w:rsidRPr="00950741">
        <w:rPr>
          <w:rFonts w:ascii="Times New Roman" w:hAnsi="Times New Roman"/>
        </w:rPr>
        <w:lastRenderedPageBreak/>
        <w:t xml:space="preserve">to </w:t>
      </w:r>
      <w:r w:rsidR="00D00248" w:rsidRPr="00950741">
        <w:rPr>
          <w:rFonts w:ascii="Times New Roman" w:hAnsi="Times New Roman"/>
        </w:rPr>
        <w:t>Art 3.</w:t>
      </w:r>
      <w:r w:rsidR="00675C23" w:rsidRPr="00950741">
        <w:rPr>
          <w:rFonts w:ascii="Times New Roman" w:hAnsi="Times New Roman"/>
        </w:rPr>
        <w:t xml:space="preserve"> </w:t>
      </w:r>
      <w:r w:rsidR="00CC43BB" w:rsidRPr="00950741">
        <w:rPr>
          <w:rFonts w:ascii="Times New Roman" w:hAnsi="Times New Roman"/>
        </w:rPr>
        <w:t xml:space="preserve">There is no hint in the </w:t>
      </w:r>
      <w:r w:rsidR="00CC43BB" w:rsidRPr="00950741">
        <w:rPr>
          <w:rFonts w:ascii="Times New Roman" w:hAnsi="Times New Roman"/>
          <w:i/>
          <w:iCs/>
        </w:rPr>
        <w:t xml:space="preserve">travaux </w:t>
      </w:r>
      <w:proofErr w:type="spellStart"/>
      <w:r w:rsidR="00CC43BB" w:rsidRPr="00950741">
        <w:rPr>
          <w:rFonts w:ascii="Times New Roman" w:hAnsi="Times New Roman"/>
          <w:i/>
          <w:iCs/>
        </w:rPr>
        <w:t>préparatoires</w:t>
      </w:r>
      <w:proofErr w:type="spellEnd"/>
      <w:r w:rsidR="00CC43BB" w:rsidRPr="00950741">
        <w:rPr>
          <w:rFonts w:ascii="Times New Roman" w:hAnsi="Times New Roman"/>
        </w:rPr>
        <w:t xml:space="preserve"> that</w:t>
      </w:r>
      <w:r w:rsidR="00A506CF" w:rsidRPr="00950741">
        <w:rPr>
          <w:rFonts w:ascii="Times New Roman" w:hAnsi="Times New Roman"/>
        </w:rPr>
        <w:t xml:space="preserve">, for </w:t>
      </w:r>
      <w:r w:rsidR="007D21F9" w:rsidRPr="00950741">
        <w:rPr>
          <w:rFonts w:ascii="Times New Roman" w:hAnsi="Times New Roman"/>
        </w:rPr>
        <w:t xml:space="preserve">a </w:t>
      </w:r>
      <w:r w:rsidR="00CC43BB" w:rsidRPr="00950741">
        <w:rPr>
          <w:rFonts w:ascii="Times New Roman" w:hAnsi="Times New Roman"/>
        </w:rPr>
        <w:t xml:space="preserve">State Party </w:t>
      </w:r>
      <w:r w:rsidR="00A506CF" w:rsidRPr="00950741">
        <w:rPr>
          <w:rFonts w:ascii="Times New Roman" w:hAnsi="Times New Roman"/>
        </w:rPr>
        <w:t xml:space="preserve">exercising </w:t>
      </w:r>
      <w:r w:rsidR="00CC43BB" w:rsidRPr="00950741">
        <w:rPr>
          <w:rFonts w:ascii="Times New Roman" w:hAnsi="Times New Roman"/>
        </w:rPr>
        <w:t>the right given under Art</w:t>
      </w:r>
      <w:r w:rsidR="00E26109" w:rsidRPr="00950741">
        <w:rPr>
          <w:rFonts w:ascii="Times New Roman" w:hAnsi="Times New Roman"/>
        </w:rPr>
        <w:t> </w:t>
      </w:r>
      <w:r w:rsidR="00CC43BB" w:rsidRPr="00950741">
        <w:rPr>
          <w:rFonts w:ascii="Times New Roman" w:hAnsi="Times New Roman"/>
        </w:rPr>
        <w:t>18</w:t>
      </w:r>
      <w:r w:rsidR="001068B9" w:rsidRPr="00950741">
        <w:rPr>
          <w:rFonts w:ascii="Times New Roman" w:hAnsi="Times New Roman"/>
        </w:rPr>
        <w:t>(</w:t>
      </w:r>
      <w:r w:rsidR="00CC43BB" w:rsidRPr="00950741">
        <w:rPr>
          <w:rFonts w:ascii="Times New Roman" w:hAnsi="Times New Roman"/>
        </w:rPr>
        <w:t>1</w:t>
      </w:r>
      <w:r w:rsidR="001068B9" w:rsidRPr="00950741">
        <w:rPr>
          <w:rFonts w:ascii="Times New Roman" w:hAnsi="Times New Roman"/>
        </w:rPr>
        <w:t>)</w:t>
      </w:r>
      <w:r w:rsidR="00A506CF" w:rsidRPr="00950741">
        <w:rPr>
          <w:rFonts w:ascii="Times New Roman" w:hAnsi="Times New Roman"/>
        </w:rPr>
        <w:t>,</w:t>
      </w:r>
      <w:r w:rsidR="00CC43BB" w:rsidRPr="00950741">
        <w:rPr>
          <w:rFonts w:ascii="Times New Roman" w:hAnsi="Times New Roman"/>
        </w:rPr>
        <w:t xml:space="preserve"> </w:t>
      </w:r>
      <w:r w:rsidR="00A506CF" w:rsidRPr="00950741">
        <w:rPr>
          <w:rFonts w:ascii="Times New Roman" w:hAnsi="Times New Roman"/>
        </w:rPr>
        <w:t xml:space="preserve">the effect for that State Party </w:t>
      </w:r>
      <w:r w:rsidR="00045898" w:rsidRPr="00950741">
        <w:rPr>
          <w:rFonts w:ascii="Times New Roman" w:hAnsi="Times New Roman"/>
        </w:rPr>
        <w:t xml:space="preserve">would be any different from </w:t>
      </w:r>
      <w:r w:rsidR="00A506CF" w:rsidRPr="00950741">
        <w:rPr>
          <w:rFonts w:ascii="Times New Roman" w:hAnsi="Times New Roman"/>
        </w:rPr>
        <w:t xml:space="preserve">those provisions having been relocated </w:t>
      </w:r>
      <w:r w:rsidR="00045898" w:rsidRPr="00950741">
        <w:rPr>
          <w:rFonts w:ascii="Times New Roman" w:hAnsi="Times New Roman"/>
        </w:rPr>
        <w:t>to Art</w:t>
      </w:r>
      <w:r w:rsidR="00E26109" w:rsidRPr="00950741">
        <w:rPr>
          <w:rFonts w:ascii="Times New Roman" w:hAnsi="Times New Roman"/>
        </w:rPr>
        <w:t> </w:t>
      </w:r>
      <w:r w:rsidR="00045898" w:rsidRPr="00950741">
        <w:rPr>
          <w:rFonts w:ascii="Times New Roman" w:hAnsi="Times New Roman"/>
        </w:rPr>
        <w:t>3</w:t>
      </w:r>
      <w:r w:rsidR="00A9757F" w:rsidRPr="00950741">
        <w:rPr>
          <w:rFonts w:ascii="Times New Roman" w:hAnsi="Times New Roman"/>
        </w:rPr>
        <w:t xml:space="preserve">. </w:t>
      </w:r>
      <w:r w:rsidR="00197FD8" w:rsidRPr="00950741">
        <w:rPr>
          <w:rFonts w:ascii="Times New Roman" w:hAnsi="Times New Roman"/>
        </w:rPr>
        <w:t xml:space="preserve">The only difference recognised in the </w:t>
      </w:r>
      <w:r w:rsidR="00197FD8" w:rsidRPr="00950741">
        <w:rPr>
          <w:rFonts w:ascii="Times New Roman" w:hAnsi="Times New Roman"/>
          <w:i/>
          <w:iCs/>
        </w:rPr>
        <w:t xml:space="preserve">travaux </w:t>
      </w:r>
      <w:proofErr w:type="spellStart"/>
      <w:r w:rsidR="00197FD8" w:rsidRPr="00950741">
        <w:rPr>
          <w:rFonts w:ascii="Times New Roman" w:hAnsi="Times New Roman"/>
          <w:i/>
          <w:iCs/>
        </w:rPr>
        <w:t>préparatoires</w:t>
      </w:r>
      <w:proofErr w:type="spellEnd"/>
      <w:r w:rsidR="00197FD8" w:rsidRPr="00950741">
        <w:rPr>
          <w:rFonts w:ascii="Times New Roman" w:hAnsi="Times New Roman"/>
        </w:rPr>
        <w:t xml:space="preserve"> between the options</w:t>
      </w:r>
      <w:r w:rsidR="00BF3217" w:rsidRPr="00950741">
        <w:rPr>
          <w:rFonts w:ascii="Times New Roman" w:hAnsi="Times New Roman"/>
        </w:rPr>
        <w:t xml:space="preserve"> of including Art</w:t>
      </w:r>
      <w:r w:rsidR="00E26109" w:rsidRPr="00950741">
        <w:rPr>
          <w:rFonts w:ascii="Times New Roman" w:hAnsi="Times New Roman"/>
        </w:rPr>
        <w:t> </w:t>
      </w:r>
      <w:r w:rsidR="00BF3217" w:rsidRPr="00950741">
        <w:rPr>
          <w:rFonts w:ascii="Times New Roman" w:hAnsi="Times New Roman"/>
        </w:rPr>
        <w:t>18</w:t>
      </w:r>
      <w:r w:rsidR="00763830" w:rsidRPr="00950741">
        <w:rPr>
          <w:rFonts w:ascii="Times New Roman" w:hAnsi="Times New Roman"/>
        </w:rPr>
        <w:t>(</w:t>
      </w:r>
      <w:r w:rsidR="00BF3217" w:rsidRPr="00950741">
        <w:rPr>
          <w:rFonts w:ascii="Times New Roman" w:hAnsi="Times New Roman"/>
        </w:rPr>
        <w:t>1</w:t>
      </w:r>
      <w:r w:rsidR="00763830" w:rsidRPr="00950741">
        <w:rPr>
          <w:rFonts w:ascii="Times New Roman" w:hAnsi="Times New Roman"/>
        </w:rPr>
        <w:t>)</w:t>
      </w:r>
      <w:r w:rsidR="00BF3217" w:rsidRPr="00950741">
        <w:rPr>
          <w:rFonts w:ascii="Times New Roman" w:hAnsi="Times New Roman"/>
        </w:rPr>
        <w:t xml:space="preserve"> and relocating Art 2</w:t>
      </w:r>
      <w:r w:rsidR="00763830" w:rsidRPr="00950741">
        <w:rPr>
          <w:rFonts w:ascii="Times New Roman" w:hAnsi="Times New Roman"/>
        </w:rPr>
        <w:t>(</w:t>
      </w:r>
      <w:r w:rsidR="00BF3217" w:rsidRPr="00950741">
        <w:rPr>
          <w:rFonts w:ascii="Times New Roman" w:hAnsi="Times New Roman"/>
        </w:rPr>
        <w:t>1</w:t>
      </w:r>
      <w:r w:rsidR="00763830" w:rsidRPr="00950741">
        <w:rPr>
          <w:rFonts w:ascii="Times New Roman" w:hAnsi="Times New Roman"/>
        </w:rPr>
        <w:t>)</w:t>
      </w:r>
      <w:r w:rsidR="00BF3217" w:rsidRPr="00950741">
        <w:rPr>
          <w:rFonts w:ascii="Times New Roman" w:hAnsi="Times New Roman"/>
        </w:rPr>
        <w:t>(</w:t>
      </w:r>
      <w:r w:rsidR="00E10067" w:rsidRPr="00950741">
        <w:rPr>
          <w:rFonts w:ascii="Times New Roman" w:hAnsi="Times New Roman"/>
        </w:rPr>
        <w:t>d</w:t>
      </w:r>
      <w:r w:rsidR="00BF3217" w:rsidRPr="00950741">
        <w:rPr>
          <w:rFonts w:ascii="Times New Roman" w:hAnsi="Times New Roman"/>
        </w:rPr>
        <w:t>) and</w:t>
      </w:r>
      <w:r w:rsidR="00314E15" w:rsidRPr="00950741">
        <w:rPr>
          <w:rFonts w:ascii="Times New Roman" w:hAnsi="Times New Roman"/>
        </w:rPr>
        <w:t> </w:t>
      </w:r>
      <w:r w:rsidR="00BF3217" w:rsidRPr="00950741">
        <w:rPr>
          <w:rFonts w:ascii="Times New Roman" w:hAnsi="Times New Roman"/>
        </w:rPr>
        <w:t>(</w:t>
      </w:r>
      <w:r w:rsidR="00E10067" w:rsidRPr="00950741">
        <w:rPr>
          <w:rFonts w:ascii="Times New Roman" w:hAnsi="Times New Roman"/>
        </w:rPr>
        <w:t>e</w:t>
      </w:r>
      <w:r w:rsidR="00BF3217" w:rsidRPr="00950741">
        <w:rPr>
          <w:rFonts w:ascii="Times New Roman" w:hAnsi="Times New Roman"/>
        </w:rPr>
        <w:t>) to Art</w:t>
      </w:r>
      <w:r w:rsidR="00E26109" w:rsidRPr="00950741">
        <w:rPr>
          <w:rFonts w:ascii="Times New Roman" w:hAnsi="Times New Roman"/>
        </w:rPr>
        <w:t> </w:t>
      </w:r>
      <w:r w:rsidR="00BF3217" w:rsidRPr="00950741">
        <w:rPr>
          <w:rFonts w:ascii="Times New Roman" w:hAnsi="Times New Roman"/>
        </w:rPr>
        <w:t xml:space="preserve">3 was that the former </w:t>
      </w:r>
      <w:r w:rsidR="00E7653A" w:rsidRPr="00950741">
        <w:rPr>
          <w:rFonts w:ascii="Times New Roman" w:hAnsi="Times New Roman"/>
        </w:rPr>
        <w:t>option involved a choice</w:t>
      </w:r>
      <w:r w:rsidR="00763830" w:rsidRPr="00950741">
        <w:rPr>
          <w:rFonts w:ascii="Times New Roman" w:hAnsi="Times New Roman"/>
        </w:rPr>
        <w:t xml:space="preserve"> by</w:t>
      </w:r>
      <w:r w:rsidR="00E7653A" w:rsidRPr="00950741">
        <w:rPr>
          <w:rFonts w:ascii="Times New Roman" w:hAnsi="Times New Roman"/>
        </w:rPr>
        <w:t xml:space="preserve"> State Parties to exclude claims within Art 2</w:t>
      </w:r>
      <w:r w:rsidR="00084B16" w:rsidRPr="00950741">
        <w:rPr>
          <w:rFonts w:ascii="Times New Roman" w:hAnsi="Times New Roman"/>
        </w:rPr>
        <w:t>(</w:t>
      </w:r>
      <w:r w:rsidR="00E7653A" w:rsidRPr="00950741">
        <w:rPr>
          <w:rFonts w:ascii="Times New Roman" w:hAnsi="Times New Roman"/>
        </w:rPr>
        <w:t>1</w:t>
      </w:r>
      <w:r w:rsidR="00084B16" w:rsidRPr="00950741">
        <w:rPr>
          <w:rFonts w:ascii="Times New Roman" w:hAnsi="Times New Roman"/>
        </w:rPr>
        <w:t>)</w:t>
      </w:r>
      <w:r w:rsidR="00E7653A" w:rsidRPr="00950741">
        <w:rPr>
          <w:rFonts w:ascii="Times New Roman" w:hAnsi="Times New Roman"/>
        </w:rPr>
        <w:t>(</w:t>
      </w:r>
      <w:r w:rsidR="00E10067" w:rsidRPr="00950741">
        <w:rPr>
          <w:rFonts w:ascii="Times New Roman" w:hAnsi="Times New Roman"/>
        </w:rPr>
        <w:t>d</w:t>
      </w:r>
      <w:r w:rsidR="00E7653A" w:rsidRPr="00950741">
        <w:rPr>
          <w:rFonts w:ascii="Times New Roman" w:hAnsi="Times New Roman"/>
        </w:rPr>
        <w:t>) and</w:t>
      </w:r>
      <w:r w:rsidR="003D6B4B" w:rsidRPr="00950741">
        <w:rPr>
          <w:rFonts w:ascii="Times New Roman" w:hAnsi="Times New Roman"/>
        </w:rPr>
        <w:t> </w:t>
      </w:r>
      <w:r w:rsidR="00E7653A" w:rsidRPr="00950741">
        <w:rPr>
          <w:rFonts w:ascii="Times New Roman" w:hAnsi="Times New Roman"/>
        </w:rPr>
        <w:t>(</w:t>
      </w:r>
      <w:r w:rsidR="00E10067" w:rsidRPr="00950741">
        <w:rPr>
          <w:rFonts w:ascii="Times New Roman" w:hAnsi="Times New Roman"/>
        </w:rPr>
        <w:t>e</w:t>
      </w:r>
      <w:r w:rsidR="00E7653A" w:rsidRPr="00950741">
        <w:rPr>
          <w:rFonts w:ascii="Times New Roman" w:hAnsi="Times New Roman"/>
        </w:rPr>
        <w:t>) from limitation whereas the latter option</w:t>
      </w:r>
      <w:r w:rsidR="00A521DE" w:rsidRPr="00950741">
        <w:rPr>
          <w:rFonts w:ascii="Times New Roman" w:hAnsi="Times New Roman"/>
        </w:rPr>
        <w:t xml:space="preserve"> would apply to all State Parties</w:t>
      </w:r>
      <w:r w:rsidR="00E7653A" w:rsidRPr="00950741">
        <w:rPr>
          <w:rFonts w:ascii="Times New Roman" w:hAnsi="Times New Roman"/>
        </w:rPr>
        <w:t xml:space="preserve">. </w:t>
      </w:r>
      <w:r w:rsidR="00A9757F" w:rsidRPr="00950741">
        <w:rPr>
          <w:rFonts w:ascii="Times New Roman" w:hAnsi="Times New Roman"/>
        </w:rPr>
        <w:t xml:space="preserve">No doubt, had </w:t>
      </w:r>
      <w:r w:rsidR="00423C58" w:rsidRPr="00950741">
        <w:rPr>
          <w:rFonts w:ascii="Times New Roman" w:hAnsi="Times New Roman"/>
        </w:rPr>
        <w:t xml:space="preserve">relevant functional equivalence for State Parties </w:t>
      </w:r>
      <w:r w:rsidR="00A9757F" w:rsidRPr="00950741">
        <w:rPr>
          <w:rFonts w:ascii="Times New Roman" w:hAnsi="Times New Roman"/>
        </w:rPr>
        <w:t>not been the common assumption underlying the adoption of Art</w:t>
      </w:r>
      <w:r w:rsidR="00A521DE" w:rsidRPr="00950741">
        <w:rPr>
          <w:rFonts w:ascii="Times New Roman" w:hAnsi="Times New Roman"/>
        </w:rPr>
        <w:t> </w:t>
      </w:r>
      <w:r w:rsidR="00A9757F" w:rsidRPr="00950741">
        <w:rPr>
          <w:rFonts w:ascii="Times New Roman" w:hAnsi="Times New Roman"/>
        </w:rPr>
        <w:t>18</w:t>
      </w:r>
      <w:r w:rsidR="00FF30C3" w:rsidRPr="00950741">
        <w:rPr>
          <w:rFonts w:ascii="Times New Roman" w:hAnsi="Times New Roman"/>
        </w:rPr>
        <w:t>(</w:t>
      </w:r>
      <w:r w:rsidR="00A9757F" w:rsidRPr="00950741">
        <w:rPr>
          <w:rFonts w:ascii="Times New Roman" w:hAnsi="Times New Roman"/>
        </w:rPr>
        <w:t>1</w:t>
      </w:r>
      <w:r w:rsidR="00FF30C3" w:rsidRPr="00950741">
        <w:rPr>
          <w:rFonts w:ascii="Times New Roman" w:hAnsi="Times New Roman"/>
        </w:rPr>
        <w:t>)</w:t>
      </w:r>
      <w:r w:rsidR="00A9757F" w:rsidRPr="00950741">
        <w:rPr>
          <w:rFonts w:ascii="Times New Roman" w:hAnsi="Times New Roman"/>
        </w:rPr>
        <w:t xml:space="preserve">, the </w:t>
      </w:r>
      <w:r w:rsidR="00A9757F" w:rsidRPr="00950741">
        <w:rPr>
          <w:rFonts w:ascii="Times New Roman" w:hAnsi="Times New Roman"/>
          <w:i/>
          <w:iCs/>
        </w:rPr>
        <w:t xml:space="preserve">travaux </w:t>
      </w:r>
      <w:proofErr w:type="spellStart"/>
      <w:r w:rsidR="00A9757F" w:rsidRPr="00950741">
        <w:rPr>
          <w:rFonts w:ascii="Times New Roman" w:hAnsi="Times New Roman"/>
          <w:i/>
          <w:iCs/>
        </w:rPr>
        <w:t>préparatoires</w:t>
      </w:r>
      <w:proofErr w:type="spellEnd"/>
      <w:r w:rsidR="00A9757F" w:rsidRPr="00950741">
        <w:rPr>
          <w:rFonts w:ascii="Times New Roman" w:hAnsi="Times New Roman"/>
        </w:rPr>
        <w:t xml:space="preserve"> could be expected to have disclosed material consideration of the </w:t>
      </w:r>
      <w:r w:rsidR="0015388A" w:rsidRPr="00950741">
        <w:rPr>
          <w:rFonts w:ascii="Times New Roman" w:hAnsi="Times New Roman"/>
        </w:rPr>
        <w:t xml:space="preserve">appropriateness of any such </w:t>
      </w:r>
      <w:r w:rsidR="0019785D" w:rsidRPr="00950741">
        <w:rPr>
          <w:rFonts w:ascii="Times New Roman" w:hAnsi="Times New Roman"/>
        </w:rPr>
        <w:t xml:space="preserve">functional </w:t>
      </w:r>
      <w:r w:rsidR="0015388A" w:rsidRPr="00950741">
        <w:rPr>
          <w:rFonts w:ascii="Times New Roman" w:hAnsi="Times New Roman"/>
        </w:rPr>
        <w:t xml:space="preserve">difference. The lack of any such consideration </w:t>
      </w:r>
      <w:r w:rsidR="0019785D" w:rsidRPr="00950741">
        <w:rPr>
          <w:rFonts w:ascii="Times New Roman" w:hAnsi="Times New Roman"/>
        </w:rPr>
        <w:t xml:space="preserve">confirms </w:t>
      </w:r>
      <w:r w:rsidR="0015388A" w:rsidRPr="00950741">
        <w:rPr>
          <w:rFonts w:ascii="Times New Roman" w:hAnsi="Times New Roman"/>
        </w:rPr>
        <w:t>that th</w:t>
      </w:r>
      <w:r w:rsidR="0019785D" w:rsidRPr="00950741">
        <w:rPr>
          <w:rFonts w:ascii="Times New Roman" w:hAnsi="Times New Roman"/>
        </w:rPr>
        <w:t>is</w:t>
      </w:r>
      <w:r w:rsidR="0015388A" w:rsidRPr="00950741">
        <w:rPr>
          <w:rFonts w:ascii="Times New Roman" w:hAnsi="Times New Roman"/>
        </w:rPr>
        <w:t xml:space="preserve"> common assumption </w:t>
      </w:r>
      <w:r w:rsidR="0019785D" w:rsidRPr="00950741">
        <w:rPr>
          <w:rFonts w:ascii="Times New Roman" w:hAnsi="Times New Roman"/>
        </w:rPr>
        <w:t xml:space="preserve">of functional equivalence </w:t>
      </w:r>
      <w:r w:rsidR="00CB5F4E" w:rsidRPr="00950741">
        <w:rPr>
          <w:rFonts w:ascii="Times New Roman" w:hAnsi="Times New Roman"/>
        </w:rPr>
        <w:t>underlies the adoption of Art</w:t>
      </w:r>
      <w:r w:rsidR="00A521DE" w:rsidRPr="00950741">
        <w:rPr>
          <w:rFonts w:ascii="Times New Roman" w:hAnsi="Times New Roman"/>
        </w:rPr>
        <w:t> </w:t>
      </w:r>
      <w:r w:rsidR="00CB5F4E" w:rsidRPr="00950741">
        <w:rPr>
          <w:rFonts w:ascii="Times New Roman" w:hAnsi="Times New Roman"/>
        </w:rPr>
        <w:t>18</w:t>
      </w:r>
      <w:r w:rsidR="00BF303B" w:rsidRPr="00950741">
        <w:rPr>
          <w:rFonts w:ascii="Times New Roman" w:hAnsi="Times New Roman"/>
        </w:rPr>
        <w:t>(</w:t>
      </w:r>
      <w:r w:rsidR="00CB5F4E" w:rsidRPr="00950741">
        <w:rPr>
          <w:rFonts w:ascii="Times New Roman" w:hAnsi="Times New Roman"/>
        </w:rPr>
        <w:t>1</w:t>
      </w:r>
      <w:r w:rsidR="00BF303B" w:rsidRPr="00950741">
        <w:rPr>
          <w:rFonts w:ascii="Times New Roman" w:hAnsi="Times New Roman"/>
        </w:rPr>
        <w:t>)</w:t>
      </w:r>
      <w:r w:rsidR="00CB5F4E" w:rsidRPr="00950741">
        <w:rPr>
          <w:rFonts w:ascii="Times New Roman" w:hAnsi="Times New Roman"/>
        </w:rPr>
        <w:t>.</w:t>
      </w:r>
      <w:r w:rsidR="00E86488" w:rsidRPr="00950741">
        <w:rPr>
          <w:rFonts w:ascii="Times New Roman" w:hAnsi="Times New Roman"/>
        </w:rPr>
        <w:t xml:space="preserve"> </w:t>
      </w:r>
    </w:p>
    <w:p w14:paraId="1F923EB0" w14:textId="56B74AB8" w:rsidR="001D62A2" w:rsidRPr="00950741" w:rsidRDefault="007E7B9B" w:rsidP="00950741">
      <w:pPr>
        <w:pStyle w:val="HeadingL1"/>
        <w:spacing w:after="260" w:line="280" w:lineRule="exact"/>
        <w:ind w:right="0"/>
        <w:jc w:val="both"/>
        <w:rPr>
          <w:rFonts w:ascii="Times New Roman" w:hAnsi="Times New Roman"/>
        </w:rPr>
      </w:pPr>
      <w:r w:rsidRPr="00950741">
        <w:rPr>
          <w:rFonts w:ascii="Times New Roman" w:hAnsi="Times New Roman"/>
        </w:rPr>
        <w:t xml:space="preserve">Travaux </w:t>
      </w:r>
      <w:proofErr w:type="spellStart"/>
      <w:r w:rsidRPr="00950741">
        <w:rPr>
          <w:rFonts w:ascii="Times New Roman" w:hAnsi="Times New Roman"/>
        </w:rPr>
        <w:t>préparatoires</w:t>
      </w:r>
      <w:proofErr w:type="spellEnd"/>
      <w:r w:rsidRPr="00950741">
        <w:rPr>
          <w:rFonts w:ascii="Times New Roman" w:hAnsi="Times New Roman"/>
        </w:rPr>
        <w:t xml:space="preserve"> for r</w:t>
      </w:r>
      <w:r w:rsidR="00250A94" w:rsidRPr="00950741">
        <w:rPr>
          <w:rFonts w:ascii="Times New Roman" w:hAnsi="Times New Roman"/>
        </w:rPr>
        <w:t>eplacement of Article 18(1)</w:t>
      </w:r>
    </w:p>
    <w:p w14:paraId="1735EBA2" w14:textId="59EA8799" w:rsidR="00D3191E" w:rsidRPr="00950741" w:rsidRDefault="00CB5F4E" w:rsidP="00950741">
      <w:pPr>
        <w:pStyle w:val="FixListStyle"/>
        <w:spacing w:after="260" w:line="280" w:lineRule="exact"/>
        <w:ind w:right="0"/>
        <w:jc w:val="both"/>
        <w:rPr>
          <w:rFonts w:ascii="Times New Roman" w:hAnsi="Times New Roman"/>
        </w:rPr>
      </w:pPr>
      <w:r w:rsidRPr="00950741">
        <w:rPr>
          <w:rFonts w:ascii="Times New Roman" w:hAnsi="Times New Roman"/>
        </w:rPr>
        <w:tab/>
        <w:t>That Art</w:t>
      </w:r>
      <w:r w:rsidR="00A521DE" w:rsidRPr="00950741">
        <w:rPr>
          <w:rFonts w:ascii="Times New Roman" w:hAnsi="Times New Roman"/>
        </w:rPr>
        <w:t> </w:t>
      </w:r>
      <w:r w:rsidRPr="00950741">
        <w:rPr>
          <w:rFonts w:ascii="Times New Roman" w:hAnsi="Times New Roman"/>
        </w:rPr>
        <w:t>18</w:t>
      </w:r>
      <w:r w:rsidR="00C061B5" w:rsidRPr="00950741">
        <w:rPr>
          <w:rFonts w:ascii="Times New Roman" w:hAnsi="Times New Roman"/>
        </w:rPr>
        <w:t>(</w:t>
      </w:r>
      <w:r w:rsidRPr="00950741">
        <w:rPr>
          <w:rFonts w:ascii="Times New Roman" w:hAnsi="Times New Roman"/>
        </w:rPr>
        <w:t>1</w:t>
      </w:r>
      <w:r w:rsidR="00C061B5" w:rsidRPr="00950741">
        <w:rPr>
          <w:rFonts w:ascii="Times New Roman" w:hAnsi="Times New Roman"/>
        </w:rPr>
        <w:t>)</w:t>
      </w:r>
      <w:r w:rsidRPr="00950741">
        <w:rPr>
          <w:rFonts w:ascii="Times New Roman" w:hAnsi="Times New Roman"/>
        </w:rPr>
        <w:t xml:space="preserve"> was </w:t>
      </w:r>
      <w:r w:rsidR="00E97B22" w:rsidRPr="00950741">
        <w:rPr>
          <w:rFonts w:ascii="Times New Roman" w:hAnsi="Times New Roman"/>
        </w:rPr>
        <w:t>removed and replaced by the</w:t>
      </w:r>
      <w:r w:rsidR="00697A6B" w:rsidRPr="00950741">
        <w:rPr>
          <w:rFonts w:ascii="Times New Roman" w:hAnsi="Times New Roman"/>
        </w:rPr>
        <w:t xml:space="preserve"> </w:t>
      </w:r>
      <w:r w:rsidR="0071376F" w:rsidRPr="00950741" w:rsidDel="007A2E48">
        <w:rPr>
          <w:rFonts w:ascii="Times New Roman" w:hAnsi="Times New Roman"/>
        </w:rPr>
        <w:t>Protocol of 1996 to amend the Convention on Limitation of Liability for Maritime Claims, 1976, done at London on 2</w:t>
      </w:r>
      <w:r w:rsidR="00CA45FC" w:rsidRPr="00950741">
        <w:rPr>
          <w:rFonts w:ascii="Times New Roman" w:hAnsi="Times New Roman"/>
        </w:rPr>
        <w:t> </w:t>
      </w:r>
      <w:r w:rsidR="0071376F" w:rsidRPr="00950741" w:rsidDel="007A2E48">
        <w:rPr>
          <w:rFonts w:ascii="Times New Roman" w:hAnsi="Times New Roman"/>
        </w:rPr>
        <w:t xml:space="preserve">May 1996 ("the </w:t>
      </w:r>
      <w:r w:rsidR="00E97B22" w:rsidRPr="00950741" w:rsidDel="007A2E48">
        <w:rPr>
          <w:rFonts w:ascii="Times New Roman" w:hAnsi="Times New Roman"/>
        </w:rPr>
        <w:t>1996</w:t>
      </w:r>
      <w:r w:rsidR="00A82252" w:rsidRPr="00950741" w:rsidDel="007A2E48">
        <w:rPr>
          <w:rFonts w:ascii="Times New Roman" w:hAnsi="Times New Roman"/>
        </w:rPr>
        <w:t> </w:t>
      </w:r>
      <w:r w:rsidR="00E97B22" w:rsidRPr="00950741" w:rsidDel="007A2E48">
        <w:rPr>
          <w:rFonts w:ascii="Times New Roman" w:hAnsi="Times New Roman"/>
        </w:rPr>
        <w:t>Protocol</w:t>
      </w:r>
      <w:r w:rsidR="0071376F" w:rsidRPr="00950741" w:rsidDel="007A2E48">
        <w:rPr>
          <w:rFonts w:ascii="Times New Roman" w:hAnsi="Times New Roman"/>
        </w:rPr>
        <w:t>")</w:t>
      </w:r>
      <w:r w:rsidR="00282C7C" w:rsidRPr="00950741">
        <w:rPr>
          <w:rFonts w:ascii="Times New Roman" w:hAnsi="Times New Roman"/>
        </w:rPr>
        <w:t>,</w:t>
      </w:r>
      <w:r w:rsidR="00E97B22" w:rsidRPr="00950741">
        <w:rPr>
          <w:rFonts w:ascii="Times New Roman" w:hAnsi="Times New Roman"/>
        </w:rPr>
        <w:t xml:space="preserve"> </w:t>
      </w:r>
      <w:r w:rsidR="00282C7C" w:rsidRPr="00950741">
        <w:rPr>
          <w:rFonts w:ascii="Times New Roman" w:hAnsi="Times New Roman"/>
        </w:rPr>
        <w:t>where the replacement</w:t>
      </w:r>
      <w:r w:rsidR="004D5DD0" w:rsidRPr="00950741">
        <w:rPr>
          <w:rFonts w:ascii="Times New Roman" w:hAnsi="Times New Roman"/>
        </w:rPr>
        <w:t xml:space="preserve"> Art</w:t>
      </w:r>
      <w:r w:rsidR="00A521DE" w:rsidRPr="00950741">
        <w:rPr>
          <w:rFonts w:ascii="Times New Roman" w:hAnsi="Times New Roman"/>
        </w:rPr>
        <w:t> </w:t>
      </w:r>
      <w:r w:rsidR="004D5DD0" w:rsidRPr="00950741">
        <w:rPr>
          <w:rFonts w:ascii="Times New Roman" w:hAnsi="Times New Roman"/>
        </w:rPr>
        <w:t>18</w:t>
      </w:r>
      <w:r w:rsidR="007A4CB7" w:rsidRPr="00950741">
        <w:rPr>
          <w:rFonts w:ascii="Times New Roman" w:hAnsi="Times New Roman"/>
        </w:rPr>
        <w:t>(</w:t>
      </w:r>
      <w:r w:rsidR="004D5DD0" w:rsidRPr="00950741">
        <w:rPr>
          <w:rFonts w:ascii="Times New Roman" w:hAnsi="Times New Roman"/>
        </w:rPr>
        <w:t>1</w:t>
      </w:r>
      <w:r w:rsidR="007A4CB7" w:rsidRPr="00950741">
        <w:rPr>
          <w:rFonts w:ascii="Times New Roman" w:hAnsi="Times New Roman"/>
        </w:rPr>
        <w:t>)</w:t>
      </w:r>
      <w:r w:rsidR="004D5DD0" w:rsidRPr="00950741">
        <w:rPr>
          <w:rFonts w:ascii="Times New Roman" w:hAnsi="Times New Roman"/>
        </w:rPr>
        <w:t>(a) provides a right "to exclude the application of Article</w:t>
      </w:r>
      <w:r w:rsidR="00A521DE" w:rsidRPr="00950741">
        <w:rPr>
          <w:rFonts w:ascii="Times New Roman" w:hAnsi="Times New Roman"/>
        </w:rPr>
        <w:t> </w:t>
      </w:r>
      <w:r w:rsidR="004D5DD0" w:rsidRPr="00950741">
        <w:rPr>
          <w:rFonts w:ascii="Times New Roman" w:hAnsi="Times New Roman"/>
        </w:rPr>
        <w:t>2, paragraphs</w:t>
      </w:r>
      <w:r w:rsidR="00CA45FC" w:rsidRPr="00950741">
        <w:rPr>
          <w:rFonts w:ascii="Times New Roman" w:hAnsi="Times New Roman"/>
        </w:rPr>
        <w:t> </w:t>
      </w:r>
      <w:r w:rsidR="004D5DD0" w:rsidRPr="00950741">
        <w:rPr>
          <w:rFonts w:ascii="Times New Roman" w:hAnsi="Times New Roman"/>
        </w:rPr>
        <w:t>1(d) and</w:t>
      </w:r>
      <w:r w:rsidR="00CA45FC" w:rsidRPr="00950741">
        <w:rPr>
          <w:rFonts w:ascii="Times New Roman" w:hAnsi="Times New Roman"/>
        </w:rPr>
        <w:t> </w:t>
      </w:r>
      <w:r w:rsidR="004D5DD0" w:rsidRPr="00950741">
        <w:rPr>
          <w:rFonts w:ascii="Times New Roman" w:hAnsi="Times New Roman"/>
        </w:rPr>
        <w:t>(e)" and Art</w:t>
      </w:r>
      <w:r w:rsidR="00A521DE" w:rsidRPr="00950741">
        <w:rPr>
          <w:rFonts w:ascii="Times New Roman" w:hAnsi="Times New Roman"/>
        </w:rPr>
        <w:t> </w:t>
      </w:r>
      <w:r w:rsidR="004D5DD0" w:rsidRPr="00950741">
        <w:rPr>
          <w:rFonts w:ascii="Times New Roman" w:hAnsi="Times New Roman"/>
        </w:rPr>
        <w:t>18</w:t>
      </w:r>
      <w:r w:rsidR="005F7B01" w:rsidRPr="00950741">
        <w:rPr>
          <w:rFonts w:ascii="Times New Roman" w:hAnsi="Times New Roman"/>
        </w:rPr>
        <w:t>(</w:t>
      </w:r>
      <w:r w:rsidR="004D5DD0" w:rsidRPr="00950741">
        <w:rPr>
          <w:rFonts w:ascii="Times New Roman" w:hAnsi="Times New Roman"/>
        </w:rPr>
        <w:t>1</w:t>
      </w:r>
      <w:r w:rsidR="005F7B01" w:rsidRPr="00950741">
        <w:rPr>
          <w:rFonts w:ascii="Times New Roman" w:hAnsi="Times New Roman"/>
        </w:rPr>
        <w:t>)</w:t>
      </w:r>
      <w:r w:rsidR="004D5DD0" w:rsidRPr="00950741">
        <w:rPr>
          <w:rFonts w:ascii="Times New Roman" w:hAnsi="Times New Roman"/>
        </w:rPr>
        <w:t>(b) provides a right "</w:t>
      </w:r>
      <w:r w:rsidR="00E57188" w:rsidRPr="00950741">
        <w:rPr>
          <w:rFonts w:ascii="Times New Roman" w:hAnsi="Times New Roman"/>
        </w:rPr>
        <w:t xml:space="preserve">to exclude claims for damage within the meaning of the </w:t>
      </w:r>
      <w:r w:rsidR="00B22740" w:rsidRPr="00950741">
        <w:rPr>
          <w:rFonts w:ascii="Times New Roman" w:hAnsi="Times New Roman"/>
        </w:rPr>
        <w:t>[</w:t>
      </w:r>
      <w:r w:rsidR="00DF732B" w:rsidRPr="00950741">
        <w:rPr>
          <w:rFonts w:ascii="Times New Roman" w:hAnsi="Times New Roman"/>
        </w:rPr>
        <w:t xml:space="preserve">1996 </w:t>
      </w:r>
      <w:r w:rsidR="00AB2E71" w:rsidRPr="00950741">
        <w:rPr>
          <w:rFonts w:ascii="Times New Roman" w:hAnsi="Times New Roman"/>
        </w:rPr>
        <w:t xml:space="preserve">Hazardous and Noxious Substances </w:t>
      </w:r>
      <w:r w:rsidR="00DF732B" w:rsidRPr="00950741">
        <w:rPr>
          <w:rFonts w:ascii="Times New Roman" w:hAnsi="Times New Roman"/>
        </w:rPr>
        <w:t>Convention</w:t>
      </w:r>
      <w:r w:rsidR="00B22740" w:rsidRPr="00950741">
        <w:rPr>
          <w:rFonts w:ascii="Times New Roman" w:hAnsi="Times New Roman"/>
        </w:rPr>
        <w:t>]</w:t>
      </w:r>
      <w:r w:rsidR="0044484F" w:rsidRPr="00950741">
        <w:rPr>
          <w:rFonts w:ascii="Times New Roman" w:hAnsi="Times New Roman"/>
        </w:rPr>
        <w:t>"</w:t>
      </w:r>
      <w:r w:rsidR="003738C2" w:rsidRPr="00950741">
        <w:rPr>
          <w:rFonts w:ascii="Times New Roman" w:hAnsi="Times New Roman"/>
        </w:rPr>
        <w:t xml:space="preserve"> </w:t>
      </w:r>
      <w:r w:rsidR="00C12B78" w:rsidRPr="00950741">
        <w:rPr>
          <w:rFonts w:ascii="Times New Roman" w:hAnsi="Times New Roman"/>
        </w:rPr>
        <w:t xml:space="preserve">does not </w:t>
      </w:r>
      <w:r w:rsidR="003738C2" w:rsidRPr="00950741">
        <w:rPr>
          <w:rFonts w:ascii="Times New Roman" w:hAnsi="Times New Roman"/>
        </w:rPr>
        <w:t>support CSL's case</w:t>
      </w:r>
      <w:r w:rsidR="00E57188" w:rsidRPr="00950741">
        <w:rPr>
          <w:rFonts w:ascii="Times New Roman" w:hAnsi="Times New Roman"/>
        </w:rPr>
        <w:t xml:space="preserve">. </w:t>
      </w:r>
      <w:r w:rsidR="00C12B78" w:rsidRPr="00950741">
        <w:rPr>
          <w:rFonts w:ascii="Times New Roman" w:hAnsi="Times New Roman"/>
        </w:rPr>
        <w:t xml:space="preserve">To the contrary, </w:t>
      </w:r>
      <w:r w:rsidR="00E57188" w:rsidRPr="00950741">
        <w:rPr>
          <w:rFonts w:ascii="Times New Roman" w:hAnsi="Times New Roman"/>
        </w:rPr>
        <w:t>Art</w:t>
      </w:r>
      <w:r w:rsidR="00C12B78" w:rsidRPr="00950741">
        <w:rPr>
          <w:rFonts w:ascii="Times New Roman" w:hAnsi="Times New Roman"/>
        </w:rPr>
        <w:t> </w:t>
      </w:r>
      <w:r w:rsidR="00E57188" w:rsidRPr="00950741">
        <w:rPr>
          <w:rFonts w:ascii="Times New Roman" w:hAnsi="Times New Roman"/>
        </w:rPr>
        <w:t>2</w:t>
      </w:r>
      <w:r w:rsidR="00CD3C09" w:rsidRPr="00950741">
        <w:rPr>
          <w:rFonts w:ascii="Times New Roman" w:hAnsi="Times New Roman"/>
        </w:rPr>
        <w:t>(</w:t>
      </w:r>
      <w:r w:rsidR="00E57188" w:rsidRPr="00950741">
        <w:rPr>
          <w:rFonts w:ascii="Times New Roman" w:hAnsi="Times New Roman"/>
        </w:rPr>
        <w:t>1</w:t>
      </w:r>
      <w:r w:rsidR="00CD3C09" w:rsidRPr="00950741">
        <w:rPr>
          <w:rFonts w:ascii="Times New Roman" w:hAnsi="Times New Roman"/>
        </w:rPr>
        <w:t>)</w:t>
      </w:r>
      <w:r w:rsidR="00E57188" w:rsidRPr="00950741">
        <w:rPr>
          <w:rFonts w:ascii="Times New Roman" w:hAnsi="Times New Roman"/>
        </w:rPr>
        <w:t>(d) and</w:t>
      </w:r>
      <w:r w:rsidR="00965D7B" w:rsidRPr="00950741">
        <w:rPr>
          <w:rFonts w:ascii="Times New Roman" w:hAnsi="Times New Roman"/>
        </w:rPr>
        <w:t> </w:t>
      </w:r>
      <w:r w:rsidR="00E57188" w:rsidRPr="00950741">
        <w:rPr>
          <w:rFonts w:ascii="Times New Roman" w:hAnsi="Times New Roman"/>
        </w:rPr>
        <w:t xml:space="preserve">(e), as able to be excluded by </w:t>
      </w:r>
      <w:r w:rsidR="00AC0E50" w:rsidRPr="00950741">
        <w:rPr>
          <w:rFonts w:ascii="Times New Roman" w:hAnsi="Times New Roman"/>
        </w:rPr>
        <w:t xml:space="preserve">exercise of </w:t>
      </w:r>
      <w:r w:rsidR="00E57188" w:rsidRPr="00950741">
        <w:rPr>
          <w:rFonts w:ascii="Times New Roman" w:hAnsi="Times New Roman"/>
        </w:rPr>
        <w:t>the right under Art</w:t>
      </w:r>
      <w:r w:rsidR="00CD3C09" w:rsidRPr="00950741">
        <w:rPr>
          <w:rFonts w:ascii="Times New Roman" w:hAnsi="Times New Roman"/>
        </w:rPr>
        <w:t> </w:t>
      </w:r>
      <w:r w:rsidR="00E57188" w:rsidRPr="00950741">
        <w:rPr>
          <w:rFonts w:ascii="Times New Roman" w:hAnsi="Times New Roman"/>
        </w:rPr>
        <w:t>18</w:t>
      </w:r>
      <w:r w:rsidR="0024514D" w:rsidRPr="00950741">
        <w:rPr>
          <w:rFonts w:ascii="Times New Roman" w:hAnsi="Times New Roman"/>
        </w:rPr>
        <w:t>(</w:t>
      </w:r>
      <w:r w:rsidR="00E57188" w:rsidRPr="00950741">
        <w:rPr>
          <w:rFonts w:ascii="Times New Roman" w:hAnsi="Times New Roman"/>
        </w:rPr>
        <w:t>1</w:t>
      </w:r>
      <w:r w:rsidR="0024514D" w:rsidRPr="00950741">
        <w:rPr>
          <w:rFonts w:ascii="Times New Roman" w:hAnsi="Times New Roman"/>
        </w:rPr>
        <w:t>)</w:t>
      </w:r>
      <w:r w:rsidR="00E57188" w:rsidRPr="00950741">
        <w:rPr>
          <w:rFonts w:ascii="Times New Roman" w:hAnsi="Times New Roman"/>
        </w:rPr>
        <w:t>(a)</w:t>
      </w:r>
      <w:r w:rsidR="00AC0E50" w:rsidRPr="00950741">
        <w:rPr>
          <w:rFonts w:ascii="Times New Roman" w:hAnsi="Times New Roman"/>
        </w:rPr>
        <w:t>,</w:t>
      </w:r>
      <w:r w:rsidR="00E57188" w:rsidRPr="00950741">
        <w:rPr>
          <w:rFonts w:ascii="Times New Roman" w:hAnsi="Times New Roman"/>
        </w:rPr>
        <w:t xml:space="preserve"> </w:t>
      </w:r>
      <w:r w:rsidR="00AC0E50" w:rsidRPr="00950741">
        <w:rPr>
          <w:rFonts w:ascii="Times New Roman" w:hAnsi="Times New Roman"/>
        </w:rPr>
        <w:t xml:space="preserve">concern </w:t>
      </w:r>
      <w:r w:rsidR="004B7EBA" w:rsidRPr="00950741">
        <w:rPr>
          <w:rFonts w:ascii="Times New Roman" w:hAnsi="Times New Roman"/>
        </w:rPr>
        <w:t xml:space="preserve">"claims" in respect of the nominated subjects. </w:t>
      </w:r>
      <w:r w:rsidR="009A03B6" w:rsidRPr="00950741">
        <w:rPr>
          <w:rFonts w:ascii="Times New Roman" w:hAnsi="Times New Roman"/>
        </w:rPr>
        <w:t>As the subject of Art</w:t>
      </w:r>
      <w:r w:rsidR="00E7213D" w:rsidRPr="00950741">
        <w:rPr>
          <w:rFonts w:ascii="Times New Roman" w:hAnsi="Times New Roman"/>
        </w:rPr>
        <w:t> </w:t>
      </w:r>
      <w:r w:rsidR="009A03B6" w:rsidRPr="00950741">
        <w:rPr>
          <w:rFonts w:ascii="Times New Roman" w:hAnsi="Times New Roman"/>
        </w:rPr>
        <w:t>2 is "claims"</w:t>
      </w:r>
      <w:r w:rsidR="00D3191E" w:rsidRPr="00950741">
        <w:rPr>
          <w:rFonts w:ascii="Times New Roman" w:hAnsi="Times New Roman"/>
        </w:rPr>
        <w:t>,</w:t>
      </w:r>
      <w:r w:rsidR="009A03B6" w:rsidRPr="00950741">
        <w:rPr>
          <w:rFonts w:ascii="Times New Roman" w:hAnsi="Times New Roman"/>
        </w:rPr>
        <w:t xml:space="preserve"> </w:t>
      </w:r>
      <w:r w:rsidR="006B2A95" w:rsidRPr="00950741">
        <w:rPr>
          <w:rFonts w:ascii="Times New Roman" w:hAnsi="Times New Roman"/>
        </w:rPr>
        <w:t>Art 18</w:t>
      </w:r>
      <w:r w:rsidR="0024514D" w:rsidRPr="00950741">
        <w:rPr>
          <w:rFonts w:ascii="Times New Roman" w:hAnsi="Times New Roman"/>
        </w:rPr>
        <w:t>(</w:t>
      </w:r>
      <w:r w:rsidR="006B2A95" w:rsidRPr="00950741">
        <w:rPr>
          <w:rFonts w:ascii="Times New Roman" w:hAnsi="Times New Roman"/>
        </w:rPr>
        <w:t>1</w:t>
      </w:r>
      <w:r w:rsidR="0024514D" w:rsidRPr="00950741">
        <w:rPr>
          <w:rFonts w:ascii="Times New Roman" w:hAnsi="Times New Roman"/>
        </w:rPr>
        <w:t>)</w:t>
      </w:r>
      <w:r w:rsidR="006B2A95" w:rsidRPr="00950741">
        <w:rPr>
          <w:rFonts w:ascii="Times New Roman" w:hAnsi="Times New Roman"/>
        </w:rPr>
        <w:t>(a) did not need to refer to "claims" being excluded</w:t>
      </w:r>
      <w:r w:rsidR="008B7FE7" w:rsidRPr="00950741">
        <w:rPr>
          <w:rFonts w:ascii="Times New Roman" w:hAnsi="Times New Roman"/>
        </w:rPr>
        <w:t xml:space="preserve">, the same effect being achieved by exercise of the right to </w:t>
      </w:r>
      <w:r w:rsidR="003738C2" w:rsidRPr="00950741">
        <w:rPr>
          <w:rFonts w:ascii="Times New Roman" w:hAnsi="Times New Roman"/>
        </w:rPr>
        <w:t xml:space="preserve">exclude the application of </w:t>
      </w:r>
      <w:r w:rsidR="008B7FE7" w:rsidRPr="00950741">
        <w:rPr>
          <w:rFonts w:ascii="Times New Roman" w:hAnsi="Times New Roman"/>
        </w:rPr>
        <w:t>Art</w:t>
      </w:r>
      <w:r w:rsidR="007E4299" w:rsidRPr="00950741">
        <w:rPr>
          <w:rFonts w:ascii="Times New Roman" w:hAnsi="Times New Roman"/>
        </w:rPr>
        <w:t> </w:t>
      </w:r>
      <w:r w:rsidR="008B7FE7" w:rsidRPr="00950741">
        <w:rPr>
          <w:rFonts w:ascii="Times New Roman" w:hAnsi="Times New Roman"/>
        </w:rPr>
        <w:t>2</w:t>
      </w:r>
      <w:r w:rsidR="0024514D" w:rsidRPr="00950741">
        <w:rPr>
          <w:rFonts w:ascii="Times New Roman" w:hAnsi="Times New Roman"/>
        </w:rPr>
        <w:t>(</w:t>
      </w:r>
      <w:r w:rsidR="008B7FE7" w:rsidRPr="00950741">
        <w:rPr>
          <w:rFonts w:ascii="Times New Roman" w:hAnsi="Times New Roman"/>
        </w:rPr>
        <w:t>1</w:t>
      </w:r>
      <w:r w:rsidR="0024514D" w:rsidRPr="00950741">
        <w:rPr>
          <w:rFonts w:ascii="Times New Roman" w:hAnsi="Times New Roman"/>
        </w:rPr>
        <w:t>)</w:t>
      </w:r>
      <w:r w:rsidR="008B7FE7" w:rsidRPr="00950741">
        <w:rPr>
          <w:rFonts w:ascii="Times New Roman" w:hAnsi="Times New Roman"/>
        </w:rPr>
        <w:t>(d) and</w:t>
      </w:r>
      <w:r w:rsidR="00965D7B" w:rsidRPr="00950741">
        <w:rPr>
          <w:rFonts w:ascii="Times New Roman" w:hAnsi="Times New Roman"/>
        </w:rPr>
        <w:t> </w:t>
      </w:r>
      <w:r w:rsidR="008B7FE7" w:rsidRPr="00950741">
        <w:rPr>
          <w:rFonts w:ascii="Times New Roman" w:hAnsi="Times New Roman"/>
        </w:rPr>
        <w:t xml:space="preserve">(e). </w:t>
      </w:r>
      <w:r w:rsidR="00EE1CAE" w:rsidRPr="00950741">
        <w:rPr>
          <w:rFonts w:ascii="Times New Roman" w:hAnsi="Times New Roman"/>
        </w:rPr>
        <w:t>In contrast, it would make no sense for Art</w:t>
      </w:r>
      <w:r w:rsidR="00C12B78" w:rsidRPr="00950741">
        <w:rPr>
          <w:rFonts w:ascii="Times New Roman" w:hAnsi="Times New Roman"/>
        </w:rPr>
        <w:t> </w:t>
      </w:r>
      <w:r w:rsidR="00EE1CAE" w:rsidRPr="00950741">
        <w:rPr>
          <w:rFonts w:ascii="Times New Roman" w:hAnsi="Times New Roman"/>
        </w:rPr>
        <w:t>18</w:t>
      </w:r>
      <w:r w:rsidR="0024514D" w:rsidRPr="00950741">
        <w:rPr>
          <w:rFonts w:ascii="Times New Roman" w:hAnsi="Times New Roman"/>
        </w:rPr>
        <w:t>(</w:t>
      </w:r>
      <w:r w:rsidR="00EE1CAE" w:rsidRPr="00950741">
        <w:rPr>
          <w:rFonts w:ascii="Times New Roman" w:hAnsi="Times New Roman"/>
        </w:rPr>
        <w:t>1</w:t>
      </w:r>
      <w:r w:rsidR="0024514D" w:rsidRPr="00950741">
        <w:rPr>
          <w:rFonts w:ascii="Times New Roman" w:hAnsi="Times New Roman"/>
        </w:rPr>
        <w:t>)</w:t>
      </w:r>
      <w:r w:rsidR="00EE1CAE" w:rsidRPr="00950741">
        <w:rPr>
          <w:rFonts w:ascii="Times New Roman" w:hAnsi="Times New Roman"/>
        </w:rPr>
        <w:t xml:space="preserve">(b) </w:t>
      </w:r>
      <w:r w:rsidR="009D4218" w:rsidRPr="00950741">
        <w:rPr>
          <w:rFonts w:ascii="Times New Roman" w:hAnsi="Times New Roman"/>
        </w:rPr>
        <w:t xml:space="preserve">to </w:t>
      </w:r>
      <w:r w:rsidR="00EE1CAE" w:rsidRPr="00950741">
        <w:rPr>
          <w:rFonts w:ascii="Times New Roman" w:hAnsi="Times New Roman"/>
        </w:rPr>
        <w:t xml:space="preserve">purport to </w:t>
      </w:r>
      <w:r w:rsidR="005A6B78" w:rsidRPr="00950741">
        <w:rPr>
          <w:rFonts w:ascii="Times New Roman" w:hAnsi="Times New Roman"/>
        </w:rPr>
        <w:t xml:space="preserve">give State Parties a "right" to </w:t>
      </w:r>
      <w:r w:rsidR="00EE1CAE" w:rsidRPr="00950741">
        <w:rPr>
          <w:rFonts w:ascii="Times New Roman" w:hAnsi="Times New Roman"/>
        </w:rPr>
        <w:t xml:space="preserve">disapply another </w:t>
      </w:r>
      <w:r w:rsidR="005A6B78" w:rsidRPr="00950741">
        <w:rPr>
          <w:rFonts w:ascii="Times New Roman" w:hAnsi="Times New Roman"/>
        </w:rPr>
        <w:t xml:space="preserve">international </w:t>
      </w:r>
      <w:r w:rsidR="00EE1CAE" w:rsidRPr="00950741">
        <w:rPr>
          <w:rFonts w:ascii="Times New Roman" w:hAnsi="Times New Roman"/>
        </w:rPr>
        <w:t xml:space="preserve">instrument as </w:t>
      </w:r>
      <w:r w:rsidR="005A6B78" w:rsidRPr="00950741">
        <w:rPr>
          <w:rFonts w:ascii="Times New Roman" w:hAnsi="Times New Roman"/>
        </w:rPr>
        <w:t>opposed to a right to "exclude claims</w:t>
      </w:r>
      <w:r w:rsidR="00F479BF" w:rsidRPr="00950741">
        <w:rPr>
          <w:rFonts w:ascii="Times New Roman" w:hAnsi="Times New Roman"/>
        </w:rPr>
        <w:t xml:space="preserve"> for damage" within the meaning of that other international instrument from the limitation </w:t>
      </w:r>
      <w:r w:rsidR="00D3191E" w:rsidRPr="00950741">
        <w:rPr>
          <w:rFonts w:ascii="Times New Roman" w:hAnsi="Times New Roman"/>
        </w:rPr>
        <w:t>o</w:t>
      </w:r>
      <w:r w:rsidR="00F479BF" w:rsidRPr="00950741">
        <w:rPr>
          <w:rFonts w:ascii="Times New Roman" w:hAnsi="Times New Roman"/>
        </w:rPr>
        <w:t>f liability in Art</w:t>
      </w:r>
      <w:r w:rsidR="00C12B78" w:rsidRPr="00950741">
        <w:rPr>
          <w:rFonts w:ascii="Times New Roman" w:hAnsi="Times New Roman"/>
        </w:rPr>
        <w:t> </w:t>
      </w:r>
      <w:r w:rsidR="00F479BF" w:rsidRPr="00950741">
        <w:rPr>
          <w:rFonts w:ascii="Times New Roman" w:hAnsi="Times New Roman"/>
        </w:rPr>
        <w:t>2.</w:t>
      </w:r>
    </w:p>
    <w:p w14:paraId="16E4FB53" w14:textId="356465CE" w:rsidR="00A10FBC" w:rsidRPr="00950741" w:rsidRDefault="00D3191E"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0705EC" w:rsidRPr="00950741">
        <w:rPr>
          <w:rFonts w:ascii="Times New Roman" w:hAnsi="Times New Roman"/>
        </w:rPr>
        <w:t>Far from the introduction of Art</w:t>
      </w:r>
      <w:r w:rsidR="00C12B78" w:rsidRPr="00950741">
        <w:rPr>
          <w:rFonts w:ascii="Times New Roman" w:hAnsi="Times New Roman"/>
        </w:rPr>
        <w:t> </w:t>
      </w:r>
      <w:r w:rsidR="000705EC" w:rsidRPr="00950741">
        <w:rPr>
          <w:rFonts w:ascii="Times New Roman" w:hAnsi="Times New Roman"/>
        </w:rPr>
        <w:t>18</w:t>
      </w:r>
      <w:r w:rsidR="006100E9" w:rsidRPr="00950741">
        <w:rPr>
          <w:rFonts w:ascii="Times New Roman" w:hAnsi="Times New Roman"/>
        </w:rPr>
        <w:t>(</w:t>
      </w:r>
      <w:r w:rsidR="000705EC" w:rsidRPr="00950741">
        <w:rPr>
          <w:rFonts w:ascii="Times New Roman" w:hAnsi="Times New Roman"/>
        </w:rPr>
        <w:t>1</w:t>
      </w:r>
      <w:r w:rsidR="006100E9" w:rsidRPr="00950741">
        <w:rPr>
          <w:rFonts w:ascii="Times New Roman" w:hAnsi="Times New Roman"/>
        </w:rPr>
        <w:t>)</w:t>
      </w:r>
      <w:r w:rsidR="000705EC" w:rsidRPr="00950741">
        <w:rPr>
          <w:rFonts w:ascii="Times New Roman" w:hAnsi="Times New Roman"/>
        </w:rPr>
        <w:t>(b) supporting CSL's approach, that Art</w:t>
      </w:r>
      <w:r w:rsidR="00C12B78" w:rsidRPr="00950741">
        <w:rPr>
          <w:rFonts w:ascii="Times New Roman" w:hAnsi="Times New Roman"/>
        </w:rPr>
        <w:t> </w:t>
      </w:r>
      <w:r w:rsidR="000705EC" w:rsidRPr="00950741">
        <w:rPr>
          <w:rFonts w:ascii="Times New Roman" w:hAnsi="Times New Roman"/>
        </w:rPr>
        <w:t>18</w:t>
      </w:r>
      <w:r w:rsidR="00AD2761" w:rsidRPr="00950741">
        <w:rPr>
          <w:rFonts w:ascii="Times New Roman" w:hAnsi="Times New Roman"/>
        </w:rPr>
        <w:t>(</w:t>
      </w:r>
      <w:r w:rsidR="000705EC" w:rsidRPr="00950741">
        <w:rPr>
          <w:rFonts w:ascii="Times New Roman" w:hAnsi="Times New Roman"/>
        </w:rPr>
        <w:t>1</w:t>
      </w:r>
      <w:r w:rsidR="00AD2761" w:rsidRPr="00950741">
        <w:rPr>
          <w:rFonts w:ascii="Times New Roman" w:hAnsi="Times New Roman"/>
        </w:rPr>
        <w:t>)</w:t>
      </w:r>
      <w:r w:rsidR="000705EC" w:rsidRPr="00950741">
        <w:rPr>
          <w:rFonts w:ascii="Times New Roman" w:hAnsi="Times New Roman"/>
        </w:rPr>
        <w:t xml:space="preserve">(b) </w:t>
      </w:r>
      <w:r w:rsidR="007F7794" w:rsidRPr="00950741">
        <w:rPr>
          <w:rFonts w:ascii="Times New Roman" w:hAnsi="Times New Roman"/>
        </w:rPr>
        <w:t xml:space="preserve">must be understood as enabling a State </w:t>
      </w:r>
      <w:r w:rsidR="009D4218" w:rsidRPr="00950741">
        <w:rPr>
          <w:rFonts w:ascii="Times New Roman" w:hAnsi="Times New Roman"/>
        </w:rPr>
        <w:t>P</w:t>
      </w:r>
      <w:r w:rsidR="007F7794" w:rsidRPr="00950741">
        <w:rPr>
          <w:rFonts w:ascii="Times New Roman" w:hAnsi="Times New Roman"/>
        </w:rPr>
        <w:t xml:space="preserve">arty to exclude from limitation any </w:t>
      </w:r>
      <w:r w:rsidR="00763110" w:rsidRPr="00950741">
        <w:rPr>
          <w:rFonts w:ascii="Times New Roman" w:hAnsi="Times New Roman"/>
        </w:rPr>
        <w:t>"</w:t>
      </w:r>
      <w:r w:rsidR="007F7794" w:rsidRPr="00950741">
        <w:rPr>
          <w:rFonts w:ascii="Times New Roman" w:hAnsi="Times New Roman"/>
        </w:rPr>
        <w:t>claim</w:t>
      </w:r>
      <w:r w:rsidR="00763110" w:rsidRPr="00950741">
        <w:rPr>
          <w:rFonts w:ascii="Times New Roman" w:hAnsi="Times New Roman"/>
        </w:rPr>
        <w:t>"</w:t>
      </w:r>
      <w:r w:rsidR="007F7794" w:rsidRPr="00950741">
        <w:rPr>
          <w:rFonts w:ascii="Times New Roman" w:hAnsi="Times New Roman"/>
        </w:rPr>
        <w:t xml:space="preserve"> for damage within the </w:t>
      </w:r>
      <w:r w:rsidR="00DF732B" w:rsidRPr="00950741">
        <w:rPr>
          <w:rFonts w:ascii="Times New Roman" w:hAnsi="Times New Roman"/>
        </w:rPr>
        <w:t>19</w:t>
      </w:r>
      <w:r w:rsidR="00763110" w:rsidRPr="00950741">
        <w:rPr>
          <w:rFonts w:ascii="Times New Roman" w:hAnsi="Times New Roman"/>
        </w:rPr>
        <w:t>9</w:t>
      </w:r>
      <w:r w:rsidR="00DF732B" w:rsidRPr="00950741">
        <w:rPr>
          <w:rFonts w:ascii="Times New Roman" w:hAnsi="Times New Roman"/>
        </w:rPr>
        <w:t>6 </w:t>
      </w:r>
      <w:r w:rsidR="0033402F" w:rsidRPr="00950741">
        <w:rPr>
          <w:rFonts w:ascii="Times New Roman" w:hAnsi="Times New Roman"/>
        </w:rPr>
        <w:t xml:space="preserve">Hazardous and Noxious Substances </w:t>
      </w:r>
      <w:r w:rsidR="00DF732B" w:rsidRPr="00950741">
        <w:rPr>
          <w:rFonts w:ascii="Times New Roman" w:hAnsi="Times New Roman"/>
        </w:rPr>
        <w:t xml:space="preserve">Convention </w:t>
      </w:r>
      <w:r w:rsidR="006A6CF8" w:rsidRPr="00950741">
        <w:rPr>
          <w:rFonts w:ascii="Times New Roman" w:hAnsi="Times New Roman"/>
        </w:rPr>
        <w:t>whether or not any such claim might be within the scope of Art 2</w:t>
      </w:r>
      <w:r w:rsidR="00AD2761" w:rsidRPr="00950741">
        <w:rPr>
          <w:rFonts w:ascii="Times New Roman" w:hAnsi="Times New Roman"/>
        </w:rPr>
        <w:t>(</w:t>
      </w:r>
      <w:r w:rsidR="006A6CF8" w:rsidRPr="00950741">
        <w:rPr>
          <w:rFonts w:ascii="Times New Roman" w:hAnsi="Times New Roman"/>
        </w:rPr>
        <w:t>1</w:t>
      </w:r>
      <w:r w:rsidR="00AD2761" w:rsidRPr="00950741">
        <w:rPr>
          <w:rFonts w:ascii="Times New Roman" w:hAnsi="Times New Roman"/>
        </w:rPr>
        <w:t>)</w:t>
      </w:r>
      <w:r w:rsidR="006A6CF8" w:rsidRPr="00950741">
        <w:rPr>
          <w:rFonts w:ascii="Times New Roman" w:hAnsi="Times New Roman"/>
        </w:rPr>
        <w:t xml:space="preserve"> indicates that Art</w:t>
      </w:r>
      <w:r w:rsidR="00DF732B" w:rsidRPr="00950741">
        <w:rPr>
          <w:rFonts w:ascii="Times New Roman" w:hAnsi="Times New Roman"/>
        </w:rPr>
        <w:t> </w:t>
      </w:r>
      <w:r w:rsidR="006A6CF8" w:rsidRPr="00950741">
        <w:rPr>
          <w:rFonts w:ascii="Times New Roman" w:hAnsi="Times New Roman"/>
        </w:rPr>
        <w:t>18</w:t>
      </w:r>
      <w:r w:rsidR="00AD2761" w:rsidRPr="00950741">
        <w:rPr>
          <w:rFonts w:ascii="Times New Roman" w:hAnsi="Times New Roman"/>
        </w:rPr>
        <w:t>(</w:t>
      </w:r>
      <w:r w:rsidR="006A6CF8" w:rsidRPr="00950741">
        <w:rPr>
          <w:rFonts w:ascii="Times New Roman" w:hAnsi="Times New Roman"/>
        </w:rPr>
        <w:t>1</w:t>
      </w:r>
      <w:r w:rsidR="00AD2761" w:rsidRPr="00950741">
        <w:rPr>
          <w:rFonts w:ascii="Times New Roman" w:hAnsi="Times New Roman"/>
        </w:rPr>
        <w:t>)</w:t>
      </w:r>
      <w:r w:rsidR="006A6CF8" w:rsidRPr="00950741">
        <w:rPr>
          <w:rFonts w:ascii="Times New Roman" w:hAnsi="Times New Roman"/>
        </w:rPr>
        <w:t xml:space="preserve">(a) must have the </w:t>
      </w:r>
      <w:r w:rsidR="009D4218" w:rsidRPr="00950741">
        <w:rPr>
          <w:rFonts w:ascii="Times New Roman" w:hAnsi="Times New Roman"/>
        </w:rPr>
        <w:t xml:space="preserve">equivalent </w:t>
      </w:r>
      <w:r w:rsidR="006A6CF8" w:rsidRPr="00950741">
        <w:rPr>
          <w:rFonts w:ascii="Times New Roman" w:hAnsi="Times New Roman"/>
        </w:rPr>
        <w:t>operation. To give Art</w:t>
      </w:r>
      <w:r w:rsidR="00DF732B" w:rsidRPr="00950741">
        <w:rPr>
          <w:rFonts w:ascii="Times New Roman" w:hAnsi="Times New Roman"/>
        </w:rPr>
        <w:t> </w:t>
      </w:r>
      <w:r w:rsidR="006A6CF8" w:rsidRPr="00950741">
        <w:rPr>
          <w:rFonts w:ascii="Times New Roman" w:hAnsi="Times New Roman"/>
        </w:rPr>
        <w:t>18</w:t>
      </w:r>
      <w:r w:rsidR="00AD2761" w:rsidRPr="00950741">
        <w:rPr>
          <w:rFonts w:ascii="Times New Roman" w:hAnsi="Times New Roman"/>
        </w:rPr>
        <w:t>(</w:t>
      </w:r>
      <w:r w:rsidR="006A6CF8" w:rsidRPr="00950741">
        <w:rPr>
          <w:rFonts w:ascii="Times New Roman" w:hAnsi="Times New Roman"/>
        </w:rPr>
        <w:t>1</w:t>
      </w:r>
      <w:r w:rsidR="00AD2761" w:rsidRPr="00950741">
        <w:rPr>
          <w:rFonts w:ascii="Times New Roman" w:hAnsi="Times New Roman"/>
        </w:rPr>
        <w:t>)</w:t>
      </w:r>
      <w:r w:rsidR="006A6CF8" w:rsidRPr="00950741">
        <w:rPr>
          <w:rFonts w:ascii="Times New Roman" w:hAnsi="Times New Roman"/>
        </w:rPr>
        <w:t>(a) and</w:t>
      </w:r>
      <w:r w:rsidR="000009B1" w:rsidRPr="00950741">
        <w:rPr>
          <w:rFonts w:ascii="Times New Roman" w:hAnsi="Times New Roman"/>
        </w:rPr>
        <w:t> </w:t>
      </w:r>
      <w:r w:rsidR="006A6CF8" w:rsidRPr="00950741">
        <w:rPr>
          <w:rFonts w:ascii="Times New Roman" w:hAnsi="Times New Roman"/>
        </w:rPr>
        <w:t>(b) different operations</w:t>
      </w:r>
      <w:r w:rsidR="009D4218" w:rsidRPr="00950741">
        <w:rPr>
          <w:rFonts w:ascii="Times New Roman" w:hAnsi="Times New Roman"/>
        </w:rPr>
        <w:t>,</w:t>
      </w:r>
      <w:r w:rsidR="006A6CF8" w:rsidRPr="00950741">
        <w:rPr>
          <w:rFonts w:ascii="Times New Roman" w:hAnsi="Times New Roman"/>
        </w:rPr>
        <w:t xml:space="preserve"> as CSL's case would require</w:t>
      </w:r>
      <w:r w:rsidR="009D4218" w:rsidRPr="00950741">
        <w:rPr>
          <w:rFonts w:ascii="Times New Roman" w:hAnsi="Times New Roman"/>
        </w:rPr>
        <w:t>,</w:t>
      </w:r>
      <w:r w:rsidR="006A6CF8" w:rsidRPr="00950741">
        <w:rPr>
          <w:rFonts w:ascii="Times New Roman" w:hAnsi="Times New Roman"/>
        </w:rPr>
        <w:t xml:space="preserve"> is inconsistent </w:t>
      </w:r>
      <w:r w:rsidR="00892F77" w:rsidRPr="00950741">
        <w:rPr>
          <w:rFonts w:ascii="Times New Roman" w:hAnsi="Times New Roman"/>
        </w:rPr>
        <w:t>with</w:t>
      </w:r>
      <w:r w:rsidR="006A6CF8" w:rsidRPr="00950741">
        <w:rPr>
          <w:rFonts w:ascii="Times New Roman" w:hAnsi="Times New Roman"/>
        </w:rPr>
        <w:t xml:space="preserve"> the fact that </w:t>
      </w:r>
      <w:r w:rsidR="00892F77" w:rsidRPr="00950741">
        <w:rPr>
          <w:rFonts w:ascii="Times New Roman" w:hAnsi="Times New Roman"/>
        </w:rPr>
        <w:t xml:space="preserve">both </w:t>
      </w:r>
      <w:r w:rsidR="00A35CDF" w:rsidRPr="00950741">
        <w:rPr>
          <w:rFonts w:ascii="Times New Roman" w:hAnsi="Times New Roman"/>
        </w:rPr>
        <w:t>sub-</w:t>
      </w:r>
      <w:r w:rsidR="00892F77" w:rsidRPr="00950741">
        <w:rPr>
          <w:rFonts w:ascii="Times New Roman" w:hAnsi="Times New Roman"/>
        </w:rPr>
        <w:t xml:space="preserve">paragraphs concern the </w:t>
      </w:r>
      <w:r w:rsidR="00A15F7C" w:rsidRPr="00950741">
        <w:rPr>
          <w:rFonts w:ascii="Times New Roman" w:hAnsi="Times New Roman"/>
        </w:rPr>
        <w:t xml:space="preserve">giving to each State Party the </w:t>
      </w:r>
      <w:r w:rsidR="0006429D" w:rsidRPr="00950741">
        <w:rPr>
          <w:rFonts w:ascii="Times New Roman" w:hAnsi="Times New Roman"/>
        </w:rPr>
        <w:t xml:space="preserve">same </w:t>
      </w:r>
      <w:r w:rsidR="00A15F7C" w:rsidRPr="00950741">
        <w:rPr>
          <w:rFonts w:ascii="Times New Roman" w:hAnsi="Times New Roman"/>
        </w:rPr>
        <w:t xml:space="preserve">capacity to "reserve the right" </w:t>
      </w:r>
      <w:r w:rsidR="0071412F" w:rsidRPr="00950741">
        <w:rPr>
          <w:rFonts w:ascii="Times New Roman" w:hAnsi="Times New Roman"/>
        </w:rPr>
        <w:t xml:space="preserve">in each </w:t>
      </w:r>
      <w:r w:rsidR="00A35CDF" w:rsidRPr="00950741">
        <w:rPr>
          <w:rFonts w:ascii="Times New Roman" w:hAnsi="Times New Roman"/>
        </w:rPr>
        <w:t>sub-</w:t>
      </w:r>
      <w:r w:rsidR="0071412F" w:rsidRPr="00950741">
        <w:rPr>
          <w:rFonts w:ascii="Times New Roman" w:hAnsi="Times New Roman"/>
        </w:rPr>
        <w:t xml:space="preserve">paragraph "to exclude" the </w:t>
      </w:r>
      <w:r w:rsidR="004A364F" w:rsidRPr="00950741">
        <w:rPr>
          <w:rFonts w:ascii="Times New Roman" w:hAnsi="Times New Roman"/>
        </w:rPr>
        <w:t xml:space="preserve">application of the </w:t>
      </w:r>
      <w:r w:rsidR="00E141F3" w:rsidRPr="00950741">
        <w:rPr>
          <w:rFonts w:ascii="Times New Roman" w:hAnsi="Times New Roman"/>
        </w:rPr>
        <w:t>specified</w:t>
      </w:r>
      <w:r w:rsidRPr="00950741">
        <w:rPr>
          <w:rFonts w:ascii="Times New Roman" w:hAnsi="Times New Roman"/>
        </w:rPr>
        <w:t xml:space="preserve"> provisions</w:t>
      </w:r>
      <w:r w:rsidR="0071412F" w:rsidRPr="00950741">
        <w:rPr>
          <w:rFonts w:ascii="Times New Roman" w:hAnsi="Times New Roman"/>
        </w:rPr>
        <w:t xml:space="preserve">. </w:t>
      </w:r>
      <w:r w:rsidR="00E141F3" w:rsidRPr="00950741">
        <w:rPr>
          <w:rFonts w:ascii="Times New Roman" w:hAnsi="Times New Roman"/>
        </w:rPr>
        <w:t>The effect of the right to so exclude the specified matter must be the same in each case to reflect the ordinary and common sense meaning of the text.</w:t>
      </w:r>
    </w:p>
    <w:p w14:paraId="5CF46C67" w14:textId="770EE25D" w:rsidR="00194F06" w:rsidRPr="00950741" w:rsidRDefault="00A10FBC" w:rsidP="00950741">
      <w:pPr>
        <w:pStyle w:val="FixListStyle"/>
        <w:spacing w:after="260" w:line="280" w:lineRule="exact"/>
        <w:ind w:right="0"/>
        <w:jc w:val="both"/>
        <w:rPr>
          <w:rFonts w:ascii="Times New Roman" w:hAnsi="Times New Roman"/>
        </w:rPr>
      </w:pPr>
      <w:r w:rsidRPr="00950741">
        <w:rPr>
          <w:rFonts w:ascii="Times New Roman" w:hAnsi="Times New Roman"/>
        </w:rPr>
        <w:lastRenderedPageBreak/>
        <w:tab/>
        <w:t>Finally</w:t>
      </w:r>
      <w:r w:rsidR="00194F06" w:rsidRPr="00950741">
        <w:rPr>
          <w:rFonts w:ascii="Times New Roman" w:hAnsi="Times New Roman"/>
        </w:rPr>
        <w:t xml:space="preserve">, the </w:t>
      </w:r>
      <w:r w:rsidR="00194F06" w:rsidRPr="00950741">
        <w:rPr>
          <w:rFonts w:ascii="Times New Roman" w:hAnsi="Times New Roman"/>
          <w:i/>
          <w:iCs/>
        </w:rPr>
        <w:t xml:space="preserve">travaux </w:t>
      </w:r>
      <w:proofErr w:type="spellStart"/>
      <w:r w:rsidR="00194F06" w:rsidRPr="00950741">
        <w:rPr>
          <w:rFonts w:ascii="Times New Roman" w:hAnsi="Times New Roman"/>
          <w:i/>
          <w:iCs/>
        </w:rPr>
        <w:t>préparatoires</w:t>
      </w:r>
      <w:proofErr w:type="spellEnd"/>
      <w:r w:rsidR="00194F06" w:rsidRPr="00950741">
        <w:rPr>
          <w:rFonts w:ascii="Times New Roman" w:hAnsi="Times New Roman"/>
        </w:rPr>
        <w:t xml:space="preserve"> in respect of the 1996</w:t>
      </w:r>
      <w:r w:rsidR="0006429D" w:rsidRPr="00950741">
        <w:rPr>
          <w:rFonts w:ascii="Times New Roman" w:hAnsi="Times New Roman"/>
        </w:rPr>
        <w:t> </w:t>
      </w:r>
      <w:r w:rsidR="00194F06" w:rsidRPr="00950741">
        <w:rPr>
          <w:rFonts w:ascii="Times New Roman" w:hAnsi="Times New Roman"/>
        </w:rPr>
        <w:t>Protocol concerning the replacement of Art 18</w:t>
      </w:r>
      <w:r w:rsidR="007144BD" w:rsidRPr="00950741">
        <w:rPr>
          <w:rFonts w:ascii="Times New Roman" w:hAnsi="Times New Roman"/>
        </w:rPr>
        <w:t>(</w:t>
      </w:r>
      <w:r w:rsidR="00194F06" w:rsidRPr="00950741">
        <w:rPr>
          <w:rFonts w:ascii="Times New Roman" w:hAnsi="Times New Roman"/>
        </w:rPr>
        <w:t>1</w:t>
      </w:r>
      <w:r w:rsidR="007144BD" w:rsidRPr="00950741">
        <w:rPr>
          <w:rFonts w:ascii="Times New Roman" w:hAnsi="Times New Roman"/>
        </w:rPr>
        <w:t>)</w:t>
      </w:r>
      <w:r w:rsidR="00194F06" w:rsidRPr="00950741">
        <w:rPr>
          <w:rFonts w:ascii="Times New Roman" w:hAnsi="Times New Roman"/>
        </w:rPr>
        <w:t xml:space="preserve"> confirm the continuation of the common assumption of functional equivalence </w:t>
      </w:r>
      <w:r w:rsidR="00A10255" w:rsidRPr="00950741">
        <w:rPr>
          <w:rFonts w:ascii="Times New Roman" w:hAnsi="Times New Roman"/>
        </w:rPr>
        <w:t xml:space="preserve">for State Parties as </w:t>
      </w:r>
      <w:r w:rsidR="00194F06" w:rsidRPr="00950741">
        <w:rPr>
          <w:rFonts w:ascii="Times New Roman" w:hAnsi="Times New Roman"/>
        </w:rPr>
        <w:t>between an exclusion under Art 3 and the exercise of the right of reservation under Art</w:t>
      </w:r>
      <w:r w:rsidR="0006429D" w:rsidRPr="00950741">
        <w:rPr>
          <w:rFonts w:ascii="Times New Roman" w:hAnsi="Times New Roman"/>
        </w:rPr>
        <w:t> </w:t>
      </w:r>
      <w:r w:rsidR="00194F06" w:rsidRPr="00950741">
        <w:rPr>
          <w:rFonts w:ascii="Times New Roman" w:hAnsi="Times New Roman"/>
        </w:rPr>
        <w:t>18</w:t>
      </w:r>
      <w:r w:rsidR="00202D88" w:rsidRPr="00950741">
        <w:rPr>
          <w:rFonts w:ascii="Times New Roman" w:hAnsi="Times New Roman"/>
        </w:rPr>
        <w:t>(</w:t>
      </w:r>
      <w:r w:rsidR="00194F06" w:rsidRPr="00950741">
        <w:rPr>
          <w:rFonts w:ascii="Times New Roman" w:hAnsi="Times New Roman"/>
        </w:rPr>
        <w:t>1</w:t>
      </w:r>
      <w:r w:rsidR="00202D88" w:rsidRPr="00950741">
        <w:rPr>
          <w:rFonts w:ascii="Times New Roman" w:hAnsi="Times New Roman"/>
        </w:rPr>
        <w:t>)</w:t>
      </w:r>
      <w:r w:rsidR="00194F06" w:rsidRPr="00950741">
        <w:rPr>
          <w:rFonts w:ascii="Times New Roman" w:hAnsi="Times New Roman"/>
        </w:rPr>
        <w:t>.</w:t>
      </w:r>
      <w:r w:rsidR="00194F06" w:rsidRPr="00950741">
        <w:rPr>
          <w:rStyle w:val="FootnoteReference"/>
          <w:rFonts w:ascii="Times New Roman" w:hAnsi="Times New Roman"/>
          <w:sz w:val="24"/>
        </w:rPr>
        <w:footnoteReference w:id="72"/>
      </w:r>
    </w:p>
    <w:p w14:paraId="08BCE38F" w14:textId="7DF481BA" w:rsidR="0083630B" w:rsidRPr="00950741" w:rsidRDefault="0083630B" w:rsidP="00950741">
      <w:pPr>
        <w:pStyle w:val="HeadingL1"/>
        <w:spacing w:after="260" w:line="280" w:lineRule="exact"/>
        <w:ind w:right="0"/>
        <w:jc w:val="both"/>
        <w:rPr>
          <w:rFonts w:ascii="Times New Roman" w:hAnsi="Times New Roman"/>
        </w:rPr>
      </w:pPr>
      <w:r w:rsidRPr="00950741">
        <w:rPr>
          <w:rFonts w:ascii="Times New Roman" w:hAnsi="Times New Roman"/>
        </w:rPr>
        <w:t>CSL's other arguments</w:t>
      </w:r>
    </w:p>
    <w:p w14:paraId="30B5B0B7" w14:textId="562FFB38" w:rsidR="0083630B" w:rsidRPr="00950741" w:rsidRDefault="003957E6" w:rsidP="00950741">
      <w:pPr>
        <w:pStyle w:val="HeadingL2"/>
        <w:spacing w:after="260" w:line="280" w:lineRule="exact"/>
        <w:ind w:right="0"/>
        <w:jc w:val="both"/>
        <w:rPr>
          <w:rFonts w:ascii="Times New Roman" w:hAnsi="Times New Roman"/>
        </w:rPr>
      </w:pPr>
      <w:r w:rsidRPr="00950741">
        <w:rPr>
          <w:rFonts w:ascii="Times New Roman" w:hAnsi="Times New Roman"/>
        </w:rPr>
        <w:t>Twitt Navigation</w:t>
      </w:r>
    </w:p>
    <w:p w14:paraId="6E9563D0" w14:textId="3A4587EC" w:rsidR="000F0D0C" w:rsidRPr="00950741" w:rsidRDefault="003957E6" w:rsidP="00950741">
      <w:pPr>
        <w:pStyle w:val="FixListStyle"/>
        <w:spacing w:after="260" w:line="280" w:lineRule="exact"/>
        <w:ind w:right="0"/>
        <w:jc w:val="both"/>
        <w:rPr>
          <w:rFonts w:ascii="Times New Roman" w:hAnsi="Times New Roman"/>
        </w:rPr>
      </w:pPr>
      <w:r w:rsidRPr="00950741">
        <w:rPr>
          <w:rFonts w:ascii="Times New Roman" w:hAnsi="Times New Roman"/>
        </w:rPr>
        <w:tab/>
        <w:t xml:space="preserve">CSL submitted that </w:t>
      </w:r>
      <w:r w:rsidR="000F0D0C" w:rsidRPr="00950741">
        <w:rPr>
          <w:rFonts w:ascii="Times New Roman" w:hAnsi="Times New Roman"/>
        </w:rPr>
        <w:t xml:space="preserve">this Court </w:t>
      </w:r>
      <w:r w:rsidRPr="00950741">
        <w:rPr>
          <w:rFonts w:ascii="Times New Roman" w:hAnsi="Times New Roman"/>
        </w:rPr>
        <w:t xml:space="preserve">should </w:t>
      </w:r>
      <w:r w:rsidR="000F0D0C" w:rsidRPr="00950741">
        <w:rPr>
          <w:rFonts w:ascii="Times New Roman" w:hAnsi="Times New Roman"/>
        </w:rPr>
        <w:t xml:space="preserve">follow the reasoning in </w:t>
      </w:r>
      <w:r w:rsidR="000F0D0C" w:rsidRPr="00950741">
        <w:rPr>
          <w:rFonts w:ascii="Times New Roman" w:hAnsi="Times New Roman"/>
          <w:i/>
          <w:iCs/>
        </w:rPr>
        <w:t>Twitt Navigation</w:t>
      </w:r>
      <w:r w:rsidR="000F0D0C" w:rsidRPr="00950741">
        <w:rPr>
          <w:rFonts w:ascii="Times New Roman" w:hAnsi="Times New Roman"/>
        </w:rPr>
        <w:t>.</w:t>
      </w:r>
      <w:r w:rsidR="000F0D0C" w:rsidRPr="00950741">
        <w:rPr>
          <w:rStyle w:val="FootnoteReference"/>
          <w:rFonts w:ascii="Times New Roman" w:hAnsi="Times New Roman"/>
          <w:sz w:val="24"/>
        </w:rPr>
        <w:footnoteReference w:id="73"/>
      </w:r>
      <w:r w:rsidR="000F0D0C" w:rsidRPr="00950741">
        <w:rPr>
          <w:rFonts w:ascii="Times New Roman" w:hAnsi="Times New Roman"/>
        </w:rPr>
        <w:t xml:space="preserve"> We decline to do so. </w:t>
      </w:r>
      <w:r w:rsidR="000F0D0C" w:rsidRPr="00950741">
        <w:rPr>
          <w:rFonts w:ascii="Times New Roman" w:hAnsi="Times New Roman"/>
          <w:i/>
          <w:iCs/>
        </w:rPr>
        <w:t>Twitt Navigation</w:t>
      </w:r>
      <w:r w:rsidR="000F0D0C" w:rsidRPr="00950741">
        <w:rPr>
          <w:rFonts w:ascii="Times New Roman" w:hAnsi="Times New Roman"/>
        </w:rPr>
        <w:t xml:space="preserve"> is a decision of a single judge in the </w:t>
      </w:r>
      <w:r w:rsidR="000F0D0C" w:rsidRPr="00950741">
        <w:rPr>
          <w:rFonts w:ascii="Times New Roman" w:eastAsia="Univers" w:hAnsi="Times New Roman"/>
        </w:rPr>
        <w:t xml:space="preserve">Hordaland District Court, Bergen. The decision pre-dates both </w:t>
      </w:r>
      <w:r w:rsidR="000F0D0C" w:rsidRPr="00950741">
        <w:rPr>
          <w:rFonts w:ascii="Times New Roman" w:eastAsia="Univers" w:hAnsi="Times New Roman"/>
          <w:i/>
          <w:iCs/>
        </w:rPr>
        <w:t>The Star Centurion</w:t>
      </w:r>
      <w:r w:rsidR="000F0D0C" w:rsidRPr="00950741">
        <w:rPr>
          <w:rFonts w:ascii="Times New Roman" w:eastAsia="Univers" w:hAnsi="Times New Roman"/>
        </w:rPr>
        <w:t xml:space="preserve"> and </w:t>
      </w:r>
      <w:r w:rsidR="000F0D0C" w:rsidRPr="00950741">
        <w:rPr>
          <w:rFonts w:ascii="Times New Roman" w:eastAsia="Univers" w:hAnsi="Times New Roman"/>
          <w:i/>
          <w:iCs/>
        </w:rPr>
        <w:t>The Flaminia</w:t>
      </w:r>
      <w:r w:rsidR="000F0D0C" w:rsidRPr="00950741">
        <w:rPr>
          <w:rFonts w:ascii="Times New Roman" w:eastAsia="Univers" w:hAnsi="Times New Roman"/>
        </w:rPr>
        <w:t xml:space="preserve"> and therefore does not confront the reasoning in either of those cases</w:t>
      </w:r>
      <w:r w:rsidR="00FF4A8D" w:rsidRPr="00950741">
        <w:rPr>
          <w:rFonts w:ascii="Times New Roman" w:eastAsia="Univers" w:hAnsi="Times New Roman"/>
        </w:rPr>
        <w:t>.</w:t>
      </w:r>
    </w:p>
    <w:p w14:paraId="46EBBE68" w14:textId="61CFBF36" w:rsidR="00194F06" w:rsidRPr="00950741" w:rsidRDefault="00FE28E6" w:rsidP="00950741">
      <w:pPr>
        <w:pStyle w:val="HeadingL2"/>
        <w:spacing w:after="260" w:line="280" w:lineRule="exact"/>
        <w:ind w:right="0"/>
        <w:jc w:val="both"/>
        <w:rPr>
          <w:rFonts w:ascii="Times New Roman" w:hAnsi="Times New Roman"/>
        </w:rPr>
      </w:pPr>
      <w:r w:rsidRPr="00950741">
        <w:rPr>
          <w:rFonts w:ascii="Times New Roman" w:hAnsi="Times New Roman"/>
        </w:rPr>
        <w:t>Article</w:t>
      </w:r>
      <w:r w:rsidR="00AC01E3" w:rsidRPr="00950741">
        <w:rPr>
          <w:rFonts w:ascii="Times New Roman" w:hAnsi="Times New Roman"/>
        </w:rPr>
        <w:t> </w:t>
      </w:r>
      <w:r w:rsidRPr="00950741">
        <w:rPr>
          <w:rFonts w:ascii="Times New Roman" w:hAnsi="Times New Roman"/>
        </w:rPr>
        <w:t>21 of the Vienna Convention</w:t>
      </w:r>
    </w:p>
    <w:p w14:paraId="1F2D070E" w14:textId="3FEDD9F7" w:rsidR="00E751AC" w:rsidRPr="00950741" w:rsidRDefault="00E141F3"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B25E75" w:rsidRPr="00950741">
        <w:rPr>
          <w:rFonts w:ascii="Times New Roman" w:hAnsi="Times New Roman"/>
        </w:rPr>
        <w:t>Article</w:t>
      </w:r>
      <w:r w:rsidR="0006429D" w:rsidRPr="00950741">
        <w:rPr>
          <w:rFonts w:ascii="Times New Roman" w:hAnsi="Times New Roman"/>
        </w:rPr>
        <w:t> </w:t>
      </w:r>
      <w:r w:rsidR="00B25E75" w:rsidRPr="00950741">
        <w:rPr>
          <w:rFonts w:ascii="Times New Roman" w:hAnsi="Times New Roman"/>
        </w:rPr>
        <w:t>21 of the Vienna Convention does not assist CSL's case. Article</w:t>
      </w:r>
      <w:r w:rsidR="0006429D" w:rsidRPr="00950741">
        <w:rPr>
          <w:rFonts w:ascii="Times New Roman" w:hAnsi="Times New Roman"/>
        </w:rPr>
        <w:t> </w:t>
      </w:r>
      <w:r w:rsidR="00B25E75" w:rsidRPr="00950741">
        <w:rPr>
          <w:rFonts w:ascii="Times New Roman" w:hAnsi="Times New Roman"/>
        </w:rPr>
        <w:t>21</w:t>
      </w:r>
      <w:r w:rsidR="00AC01E3" w:rsidRPr="00950741">
        <w:rPr>
          <w:rFonts w:ascii="Times New Roman" w:hAnsi="Times New Roman"/>
        </w:rPr>
        <w:t>(</w:t>
      </w:r>
      <w:r w:rsidR="00CE6108" w:rsidRPr="00950741">
        <w:rPr>
          <w:rFonts w:ascii="Times New Roman" w:hAnsi="Times New Roman"/>
        </w:rPr>
        <w:t>1</w:t>
      </w:r>
      <w:r w:rsidR="00AC01E3" w:rsidRPr="00950741">
        <w:rPr>
          <w:rFonts w:ascii="Times New Roman" w:hAnsi="Times New Roman"/>
        </w:rPr>
        <w:t>)</w:t>
      </w:r>
      <w:r w:rsidR="00B25E75" w:rsidRPr="00950741">
        <w:rPr>
          <w:rFonts w:ascii="Times New Roman" w:hAnsi="Times New Roman"/>
        </w:rPr>
        <w:t xml:space="preserve"> provides that </w:t>
      </w:r>
      <w:r w:rsidR="000D24A3" w:rsidRPr="00950741">
        <w:rPr>
          <w:rFonts w:ascii="Times New Roman" w:hAnsi="Times New Roman"/>
        </w:rPr>
        <w:t xml:space="preserve">a </w:t>
      </w:r>
      <w:r w:rsidR="00F3230C" w:rsidRPr="00950741">
        <w:rPr>
          <w:rFonts w:ascii="Times New Roman" w:hAnsi="Times New Roman"/>
        </w:rPr>
        <w:t xml:space="preserve">reservation </w:t>
      </w:r>
      <w:r w:rsidR="00CB5A88" w:rsidRPr="00950741">
        <w:rPr>
          <w:rFonts w:ascii="Times New Roman" w:hAnsi="Times New Roman"/>
        </w:rPr>
        <w:t>to</w:t>
      </w:r>
      <w:r w:rsidR="00F3230C" w:rsidRPr="00950741">
        <w:rPr>
          <w:rFonts w:ascii="Times New Roman" w:hAnsi="Times New Roman"/>
        </w:rPr>
        <w:t xml:space="preserve"> a treaty </w:t>
      </w:r>
      <w:r w:rsidR="008F27CF" w:rsidRPr="00950741">
        <w:rPr>
          <w:rFonts w:ascii="Times New Roman" w:hAnsi="Times New Roman"/>
        </w:rPr>
        <w:t>"(a) modifies for the reserving State in its relations with that other party the provisions of the treaty to which the reservation relates to the extent of the reservation" and "</w:t>
      </w:r>
      <w:r w:rsidR="00CC5E93" w:rsidRPr="00950741">
        <w:rPr>
          <w:rFonts w:ascii="Times New Roman" w:hAnsi="Times New Roman"/>
        </w:rPr>
        <w:t>(b) modifies those provisions to the same extent for that other party in its relations with the reserving State</w:t>
      </w:r>
      <w:r w:rsidR="00595234" w:rsidRPr="00950741">
        <w:rPr>
          <w:rFonts w:ascii="Times New Roman" w:hAnsi="Times New Roman"/>
        </w:rPr>
        <w:t>"</w:t>
      </w:r>
      <w:r w:rsidR="00CC5E93" w:rsidRPr="00950741">
        <w:rPr>
          <w:rFonts w:ascii="Times New Roman" w:hAnsi="Times New Roman"/>
        </w:rPr>
        <w:t>. Article</w:t>
      </w:r>
      <w:r w:rsidR="0006429D" w:rsidRPr="00950741">
        <w:rPr>
          <w:rFonts w:ascii="Times New Roman" w:hAnsi="Times New Roman"/>
        </w:rPr>
        <w:t> </w:t>
      </w:r>
      <w:r w:rsidR="00CC5E93" w:rsidRPr="00950741">
        <w:rPr>
          <w:rFonts w:ascii="Times New Roman" w:hAnsi="Times New Roman"/>
        </w:rPr>
        <w:t>21</w:t>
      </w:r>
      <w:r w:rsidR="002D75CE" w:rsidRPr="00950741">
        <w:rPr>
          <w:rFonts w:ascii="Times New Roman" w:hAnsi="Times New Roman"/>
        </w:rPr>
        <w:t>(</w:t>
      </w:r>
      <w:r w:rsidR="00CC5E93" w:rsidRPr="00950741">
        <w:rPr>
          <w:rFonts w:ascii="Times New Roman" w:hAnsi="Times New Roman"/>
        </w:rPr>
        <w:t>2</w:t>
      </w:r>
      <w:r w:rsidR="002D75CE" w:rsidRPr="00950741">
        <w:rPr>
          <w:rFonts w:ascii="Times New Roman" w:hAnsi="Times New Roman"/>
        </w:rPr>
        <w:t>)</w:t>
      </w:r>
      <w:r w:rsidR="00CC5E93" w:rsidRPr="00950741">
        <w:rPr>
          <w:rFonts w:ascii="Times New Roman" w:hAnsi="Times New Roman"/>
        </w:rPr>
        <w:t>, on which CSL relie</w:t>
      </w:r>
      <w:r w:rsidR="0006429D" w:rsidRPr="00950741">
        <w:rPr>
          <w:rFonts w:ascii="Times New Roman" w:hAnsi="Times New Roman"/>
        </w:rPr>
        <w:t>d</w:t>
      </w:r>
      <w:r w:rsidR="00CC5E93" w:rsidRPr="00950741">
        <w:rPr>
          <w:rFonts w:ascii="Times New Roman" w:hAnsi="Times New Roman"/>
        </w:rPr>
        <w:t>, provides that a "</w:t>
      </w:r>
      <w:r w:rsidR="003E3DBF" w:rsidRPr="00950741">
        <w:rPr>
          <w:rFonts w:ascii="Times New Roman" w:hAnsi="Times New Roman"/>
        </w:rPr>
        <w:t>reservation does not modify the provisions of the treaty for the other parties to the treaty inter se</w:t>
      </w:r>
      <w:r w:rsidR="00595234" w:rsidRPr="00950741">
        <w:rPr>
          <w:rFonts w:ascii="Times New Roman" w:hAnsi="Times New Roman"/>
        </w:rPr>
        <w:t>"</w:t>
      </w:r>
      <w:r w:rsidR="003E3DBF" w:rsidRPr="00950741">
        <w:rPr>
          <w:rFonts w:ascii="Times New Roman" w:hAnsi="Times New Roman"/>
        </w:rPr>
        <w:t xml:space="preserve">. CSL's </w:t>
      </w:r>
      <w:r w:rsidR="0006429D" w:rsidRPr="00950741">
        <w:rPr>
          <w:rFonts w:ascii="Times New Roman" w:hAnsi="Times New Roman"/>
        </w:rPr>
        <w:t xml:space="preserve">real </w:t>
      </w:r>
      <w:r w:rsidR="003E3DBF" w:rsidRPr="00950741">
        <w:rPr>
          <w:rFonts w:ascii="Times New Roman" w:hAnsi="Times New Roman"/>
        </w:rPr>
        <w:t xml:space="preserve">point </w:t>
      </w:r>
      <w:r w:rsidR="00D80CB2" w:rsidRPr="00950741">
        <w:rPr>
          <w:rFonts w:ascii="Times New Roman" w:hAnsi="Times New Roman"/>
        </w:rPr>
        <w:t xml:space="preserve">was </w:t>
      </w:r>
      <w:r w:rsidR="003E3DBF" w:rsidRPr="00950741">
        <w:rPr>
          <w:rFonts w:ascii="Times New Roman" w:hAnsi="Times New Roman"/>
        </w:rPr>
        <w:t>that Art 2</w:t>
      </w:r>
      <w:r w:rsidR="002D75CE" w:rsidRPr="00950741">
        <w:rPr>
          <w:rFonts w:ascii="Times New Roman" w:hAnsi="Times New Roman"/>
        </w:rPr>
        <w:t>(</w:t>
      </w:r>
      <w:r w:rsidR="003E3DBF" w:rsidRPr="00950741">
        <w:rPr>
          <w:rFonts w:ascii="Times New Roman" w:hAnsi="Times New Roman"/>
        </w:rPr>
        <w:t>1</w:t>
      </w:r>
      <w:r w:rsidR="002D75CE" w:rsidRPr="00950741">
        <w:rPr>
          <w:rFonts w:ascii="Times New Roman" w:hAnsi="Times New Roman"/>
        </w:rPr>
        <w:t>)</w:t>
      </w:r>
      <w:r w:rsidR="003E3DBF" w:rsidRPr="00950741">
        <w:rPr>
          <w:rFonts w:ascii="Times New Roman" w:hAnsi="Times New Roman"/>
        </w:rPr>
        <w:t xml:space="preserve">(a) </w:t>
      </w:r>
      <w:r w:rsidR="0006429D" w:rsidRPr="00950741">
        <w:rPr>
          <w:rFonts w:ascii="Times New Roman" w:hAnsi="Times New Roman"/>
        </w:rPr>
        <w:t xml:space="preserve">of the 1976 Convention </w:t>
      </w:r>
      <w:r w:rsidR="003E3DBF" w:rsidRPr="00950741">
        <w:rPr>
          <w:rFonts w:ascii="Times New Roman" w:hAnsi="Times New Roman"/>
        </w:rPr>
        <w:t>must be construed to have a consistent meaning as between all parties to the 1976</w:t>
      </w:r>
      <w:r w:rsidR="0006429D" w:rsidRPr="00950741">
        <w:rPr>
          <w:rFonts w:ascii="Times New Roman" w:hAnsi="Times New Roman"/>
        </w:rPr>
        <w:t> </w:t>
      </w:r>
      <w:r w:rsidR="003E3DBF" w:rsidRPr="00950741">
        <w:rPr>
          <w:rFonts w:ascii="Times New Roman" w:hAnsi="Times New Roman"/>
        </w:rPr>
        <w:t xml:space="preserve">Convention unaffected by the exercise of the right of reservation </w:t>
      </w:r>
      <w:r w:rsidR="004D4915" w:rsidRPr="00950741">
        <w:rPr>
          <w:rFonts w:ascii="Times New Roman" w:hAnsi="Times New Roman"/>
        </w:rPr>
        <w:t>under Art 18</w:t>
      </w:r>
      <w:r w:rsidR="002D75CE" w:rsidRPr="00950741">
        <w:rPr>
          <w:rFonts w:ascii="Times New Roman" w:hAnsi="Times New Roman"/>
        </w:rPr>
        <w:t>(</w:t>
      </w:r>
      <w:r w:rsidR="004D4915" w:rsidRPr="00950741">
        <w:rPr>
          <w:rFonts w:ascii="Times New Roman" w:hAnsi="Times New Roman"/>
        </w:rPr>
        <w:t>1</w:t>
      </w:r>
      <w:r w:rsidR="002D75CE" w:rsidRPr="00950741">
        <w:rPr>
          <w:rFonts w:ascii="Times New Roman" w:hAnsi="Times New Roman"/>
        </w:rPr>
        <w:t>)</w:t>
      </w:r>
      <w:r w:rsidR="004D4915" w:rsidRPr="00950741">
        <w:rPr>
          <w:rFonts w:ascii="Times New Roman" w:hAnsi="Times New Roman"/>
        </w:rPr>
        <w:t>.</w:t>
      </w:r>
    </w:p>
    <w:p w14:paraId="3F7C00AE" w14:textId="3A3B55FA" w:rsidR="0016791A" w:rsidRPr="00950741" w:rsidRDefault="00E751AC"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855D88" w:rsidRPr="00950741">
        <w:rPr>
          <w:rFonts w:ascii="Times New Roman" w:hAnsi="Times New Roman"/>
        </w:rPr>
        <w:t xml:space="preserve">CSL's point wrongly assumes that </w:t>
      </w:r>
      <w:r w:rsidR="00655A8C" w:rsidRPr="00950741">
        <w:rPr>
          <w:rFonts w:ascii="Times New Roman" w:hAnsi="Times New Roman"/>
        </w:rPr>
        <w:t>TasPorts' approach alters the meaning of Art 2</w:t>
      </w:r>
      <w:r w:rsidR="0014721C" w:rsidRPr="00950741">
        <w:rPr>
          <w:rFonts w:ascii="Times New Roman" w:hAnsi="Times New Roman"/>
        </w:rPr>
        <w:t>(</w:t>
      </w:r>
      <w:r w:rsidR="00655A8C" w:rsidRPr="00950741">
        <w:rPr>
          <w:rFonts w:ascii="Times New Roman" w:hAnsi="Times New Roman"/>
        </w:rPr>
        <w:t>1</w:t>
      </w:r>
      <w:r w:rsidR="0014721C" w:rsidRPr="00950741">
        <w:rPr>
          <w:rFonts w:ascii="Times New Roman" w:hAnsi="Times New Roman"/>
        </w:rPr>
        <w:t>)</w:t>
      </w:r>
      <w:r w:rsidR="00655A8C" w:rsidRPr="00950741">
        <w:rPr>
          <w:rFonts w:ascii="Times New Roman" w:hAnsi="Times New Roman"/>
        </w:rPr>
        <w:t>(a)</w:t>
      </w:r>
      <w:r w:rsidR="00970833" w:rsidRPr="00950741">
        <w:rPr>
          <w:rFonts w:ascii="Times New Roman" w:hAnsi="Times New Roman"/>
        </w:rPr>
        <w:t>. To the contrary, TasPorts' approach accepts that Art 2</w:t>
      </w:r>
      <w:r w:rsidR="0014721C" w:rsidRPr="00950741">
        <w:rPr>
          <w:rFonts w:ascii="Times New Roman" w:hAnsi="Times New Roman"/>
        </w:rPr>
        <w:t>(</w:t>
      </w:r>
      <w:r w:rsidR="00970833" w:rsidRPr="00950741">
        <w:rPr>
          <w:rFonts w:ascii="Times New Roman" w:hAnsi="Times New Roman"/>
        </w:rPr>
        <w:t>1</w:t>
      </w:r>
      <w:r w:rsidR="0014721C" w:rsidRPr="00950741">
        <w:rPr>
          <w:rFonts w:ascii="Times New Roman" w:hAnsi="Times New Roman"/>
        </w:rPr>
        <w:t>)</w:t>
      </w:r>
      <w:r w:rsidR="00970833" w:rsidRPr="00950741">
        <w:rPr>
          <w:rFonts w:ascii="Times New Roman" w:hAnsi="Times New Roman"/>
        </w:rPr>
        <w:t xml:space="preserve">(a) </w:t>
      </w:r>
      <w:r w:rsidR="00482C43" w:rsidRPr="00950741">
        <w:rPr>
          <w:rFonts w:ascii="Times New Roman" w:hAnsi="Times New Roman"/>
        </w:rPr>
        <w:t xml:space="preserve">always </w:t>
      </w:r>
      <w:r w:rsidR="00970833" w:rsidRPr="00950741">
        <w:rPr>
          <w:rFonts w:ascii="Times New Roman" w:hAnsi="Times New Roman"/>
        </w:rPr>
        <w:t xml:space="preserve">means what it says </w:t>
      </w:r>
      <w:r w:rsidR="007423A4" w:rsidRPr="00950741">
        <w:rPr>
          <w:rFonts w:ascii="Times New Roman" w:hAnsi="Times New Roman"/>
        </w:rPr>
        <w:t xml:space="preserve">but accepts also that if a State Party has </w:t>
      </w:r>
      <w:r w:rsidR="00D95B11" w:rsidRPr="00950741">
        <w:rPr>
          <w:rFonts w:ascii="Times New Roman" w:hAnsi="Times New Roman"/>
        </w:rPr>
        <w:t>exercised the right under Art</w:t>
      </w:r>
      <w:r w:rsidR="008C7A45" w:rsidRPr="00950741">
        <w:rPr>
          <w:rFonts w:ascii="Times New Roman" w:hAnsi="Times New Roman"/>
        </w:rPr>
        <w:t> </w:t>
      </w:r>
      <w:r w:rsidR="00D95B11" w:rsidRPr="00950741">
        <w:rPr>
          <w:rFonts w:ascii="Times New Roman" w:hAnsi="Times New Roman"/>
        </w:rPr>
        <w:t>18</w:t>
      </w:r>
      <w:r w:rsidR="0014721C" w:rsidRPr="00950741">
        <w:rPr>
          <w:rFonts w:ascii="Times New Roman" w:hAnsi="Times New Roman"/>
        </w:rPr>
        <w:t>(</w:t>
      </w:r>
      <w:r w:rsidR="00D95B11" w:rsidRPr="00950741">
        <w:rPr>
          <w:rFonts w:ascii="Times New Roman" w:hAnsi="Times New Roman"/>
        </w:rPr>
        <w:t>1</w:t>
      </w:r>
      <w:r w:rsidR="0014721C" w:rsidRPr="00950741">
        <w:rPr>
          <w:rFonts w:ascii="Times New Roman" w:hAnsi="Times New Roman"/>
        </w:rPr>
        <w:t>)</w:t>
      </w:r>
      <w:r w:rsidR="00D95B11" w:rsidRPr="00950741">
        <w:rPr>
          <w:rFonts w:ascii="Times New Roman" w:hAnsi="Times New Roman"/>
        </w:rPr>
        <w:t xml:space="preserve"> to exclude </w:t>
      </w:r>
      <w:r w:rsidR="007423A4" w:rsidRPr="00950741">
        <w:rPr>
          <w:rFonts w:ascii="Times New Roman" w:hAnsi="Times New Roman"/>
        </w:rPr>
        <w:t>the application of Art</w:t>
      </w:r>
      <w:r w:rsidR="008C7A45" w:rsidRPr="00950741">
        <w:rPr>
          <w:rFonts w:ascii="Times New Roman" w:hAnsi="Times New Roman"/>
        </w:rPr>
        <w:t> </w:t>
      </w:r>
      <w:r w:rsidR="007423A4" w:rsidRPr="00950741">
        <w:rPr>
          <w:rFonts w:ascii="Times New Roman" w:hAnsi="Times New Roman"/>
        </w:rPr>
        <w:t>2</w:t>
      </w:r>
      <w:r w:rsidR="0014721C" w:rsidRPr="00950741">
        <w:rPr>
          <w:rFonts w:ascii="Times New Roman" w:hAnsi="Times New Roman"/>
        </w:rPr>
        <w:t>(</w:t>
      </w:r>
      <w:r w:rsidR="007423A4" w:rsidRPr="00950741">
        <w:rPr>
          <w:rFonts w:ascii="Times New Roman" w:hAnsi="Times New Roman"/>
        </w:rPr>
        <w:t>1</w:t>
      </w:r>
      <w:r w:rsidR="0014721C" w:rsidRPr="00950741">
        <w:rPr>
          <w:rFonts w:ascii="Times New Roman" w:hAnsi="Times New Roman"/>
        </w:rPr>
        <w:t>)</w:t>
      </w:r>
      <w:r w:rsidR="007423A4" w:rsidRPr="00950741">
        <w:rPr>
          <w:rFonts w:ascii="Times New Roman" w:hAnsi="Times New Roman"/>
        </w:rPr>
        <w:t>(d) then, to give effect to</w:t>
      </w:r>
      <w:r w:rsidR="00D95B11" w:rsidRPr="00950741">
        <w:rPr>
          <w:rFonts w:ascii="Times New Roman" w:hAnsi="Times New Roman"/>
        </w:rPr>
        <w:t xml:space="preserve"> that right as exercised</w:t>
      </w:r>
      <w:r w:rsidR="007B118B" w:rsidRPr="00950741">
        <w:rPr>
          <w:rFonts w:ascii="Times New Roman" w:hAnsi="Times New Roman"/>
        </w:rPr>
        <w:t>, a claim within Art</w:t>
      </w:r>
      <w:r w:rsidR="0014721C" w:rsidRPr="00950741">
        <w:rPr>
          <w:rFonts w:ascii="Times New Roman" w:hAnsi="Times New Roman"/>
        </w:rPr>
        <w:t> </w:t>
      </w:r>
      <w:r w:rsidR="007B118B" w:rsidRPr="00950741">
        <w:rPr>
          <w:rFonts w:ascii="Times New Roman" w:hAnsi="Times New Roman"/>
        </w:rPr>
        <w:t>2</w:t>
      </w:r>
      <w:r w:rsidR="0014721C" w:rsidRPr="00950741">
        <w:rPr>
          <w:rFonts w:ascii="Times New Roman" w:hAnsi="Times New Roman"/>
        </w:rPr>
        <w:t>(</w:t>
      </w:r>
      <w:r w:rsidR="007B118B" w:rsidRPr="00950741">
        <w:rPr>
          <w:rFonts w:ascii="Times New Roman" w:hAnsi="Times New Roman"/>
        </w:rPr>
        <w:t>1</w:t>
      </w:r>
      <w:r w:rsidR="0014721C" w:rsidRPr="00950741">
        <w:rPr>
          <w:rFonts w:ascii="Times New Roman" w:hAnsi="Times New Roman"/>
        </w:rPr>
        <w:t>)</w:t>
      </w:r>
      <w:r w:rsidR="007B118B" w:rsidRPr="00950741">
        <w:rPr>
          <w:rFonts w:ascii="Times New Roman" w:hAnsi="Times New Roman"/>
        </w:rPr>
        <w:t>(d) is</w:t>
      </w:r>
      <w:r w:rsidR="00D95B11" w:rsidRPr="00950741">
        <w:rPr>
          <w:rFonts w:ascii="Times New Roman" w:hAnsi="Times New Roman"/>
        </w:rPr>
        <w:t xml:space="preserve"> excluded from Art 2</w:t>
      </w:r>
      <w:r w:rsidR="008C7A45" w:rsidRPr="00950741">
        <w:rPr>
          <w:rFonts w:ascii="Times New Roman" w:hAnsi="Times New Roman"/>
        </w:rPr>
        <w:t xml:space="preserve"> altogether</w:t>
      </w:r>
      <w:r w:rsidR="00D95B11" w:rsidRPr="00950741">
        <w:rPr>
          <w:rFonts w:ascii="Times New Roman" w:hAnsi="Times New Roman"/>
        </w:rPr>
        <w:t xml:space="preserve">. This </w:t>
      </w:r>
      <w:r w:rsidR="00291659" w:rsidRPr="00950741">
        <w:rPr>
          <w:rFonts w:ascii="Times New Roman" w:hAnsi="Times New Roman"/>
        </w:rPr>
        <w:t xml:space="preserve">is </w:t>
      </w:r>
      <w:r w:rsidR="00D95B11" w:rsidRPr="00950741">
        <w:rPr>
          <w:rFonts w:ascii="Times New Roman" w:hAnsi="Times New Roman"/>
        </w:rPr>
        <w:t xml:space="preserve">not </w:t>
      </w:r>
      <w:r w:rsidR="00291659" w:rsidRPr="00950741">
        <w:rPr>
          <w:rFonts w:ascii="Times New Roman" w:hAnsi="Times New Roman"/>
        </w:rPr>
        <w:t xml:space="preserve">because </w:t>
      </w:r>
      <w:r w:rsidR="00DE2540" w:rsidRPr="00950741">
        <w:rPr>
          <w:rFonts w:ascii="Times New Roman" w:hAnsi="Times New Roman"/>
        </w:rPr>
        <w:t>Art 2</w:t>
      </w:r>
      <w:r w:rsidR="0014721C" w:rsidRPr="00950741">
        <w:rPr>
          <w:rFonts w:ascii="Times New Roman" w:hAnsi="Times New Roman"/>
        </w:rPr>
        <w:t>(</w:t>
      </w:r>
      <w:r w:rsidR="00DE2540" w:rsidRPr="00950741">
        <w:rPr>
          <w:rFonts w:ascii="Times New Roman" w:hAnsi="Times New Roman"/>
        </w:rPr>
        <w:t>1</w:t>
      </w:r>
      <w:r w:rsidR="0014721C" w:rsidRPr="00950741">
        <w:rPr>
          <w:rFonts w:ascii="Times New Roman" w:hAnsi="Times New Roman"/>
        </w:rPr>
        <w:t>)</w:t>
      </w:r>
      <w:r w:rsidR="00DE2540" w:rsidRPr="00950741">
        <w:rPr>
          <w:rFonts w:ascii="Times New Roman" w:hAnsi="Times New Roman"/>
        </w:rPr>
        <w:t xml:space="preserve">(a) </w:t>
      </w:r>
      <w:r w:rsidR="00291659" w:rsidRPr="00950741">
        <w:rPr>
          <w:rFonts w:ascii="Times New Roman" w:hAnsi="Times New Roman"/>
        </w:rPr>
        <w:t xml:space="preserve">has </w:t>
      </w:r>
      <w:r w:rsidR="00DE2540" w:rsidRPr="00950741">
        <w:rPr>
          <w:rFonts w:ascii="Times New Roman" w:hAnsi="Times New Roman"/>
        </w:rPr>
        <w:t xml:space="preserve">a shifting meaning but </w:t>
      </w:r>
      <w:r w:rsidR="00291659" w:rsidRPr="00950741">
        <w:rPr>
          <w:rFonts w:ascii="Times New Roman" w:hAnsi="Times New Roman"/>
        </w:rPr>
        <w:t xml:space="preserve">because effect must be given to the interaction between </w:t>
      </w:r>
      <w:r w:rsidR="00482C43" w:rsidRPr="00950741">
        <w:rPr>
          <w:rFonts w:ascii="Times New Roman" w:hAnsi="Times New Roman"/>
        </w:rPr>
        <w:t>Art</w:t>
      </w:r>
      <w:r w:rsidR="0014721C" w:rsidRPr="00950741">
        <w:rPr>
          <w:rFonts w:ascii="Times New Roman" w:hAnsi="Times New Roman"/>
        </w:rPr>
        <w:t>s</w:t>
      </w:r>
      <w:r w:rsidR="008C7A45" w:rsidRPr="00950741">
        <w:rPr>
          <w:rFonts w:ascii="Times New Roman" w:hAnsi="Times New Roman"/>
        </w:rPr>
        <w:t> </w:t>
      </w:r>
      <w:r w:rsidR="00482C43" w:rsidRPr="00950741">
        <w:rPr>
          <w:rFonts w:ascii="Times New Roman" w:hAnsi="Times New Roman"/>
        </w:rPr>
        <w:t>1</w:t>
      </w:r>
      <w:r w:rsidR="0014721C" w:rsidRPr="00950741">
        <w:rPr>
          <w:rFonts w:ascii="Times New Roman" w:hAnsi="Times New Roman"/>
        </w:rPr>
        <w:t>(</w:t>
      </w:r>
      <w:r w:rsidR="00482C43" w:rsidRPr="00950741">
        <w:rPr>
          <w:rFonts w:ascii="Times New Roman" w:hAnsi="Times New Roman"/>
        </w:rPr>
        <w:t>1</w:t>
      </w:r>
      <w:r w:rsidR="0014721C" w:rsidRPr="00950741">
        <w:rPr>
          <w:rFonts w:ascii="Times New Roman" w:hAnsi="Times New Roman"/>
        </w:rPr>
        <w:t>)</w:t>
      </w:r>
      <w:r w:rsidR="00482C43" w:rsidRPr="00950741">
        <w:rPr>
          <w:rFonts w:ascii="Times New Roman" w:hAnsi="Times New Roman"/>
        </w:rPr>
        <w:t>,</w:t>
      </w:r>
      <w:r w:rsidR="0014721C" w:rsidRPr="00950741">
        <w:rPr>
          <w:rFonts w:ascii="Times New Roman" w:hAnsi="Times New Roman"/>
        </w:rPr>
        <w:t> </w:t>
      </w:r>
      <w:r w:rsidR="00482C43" w:rsidRPr="00950741">
        <w:rPr>
          <w:rFonts w:ascii="Times New Roman" w:hAnsi="Times New Roman"/>
        </w:rPr>
        <w:t>2</w:t>
      </w:r>
      <w:r w:rsidR="0014721C" w:rsidRPr="00950741">
        <w:rPr>
          <w:rFonts w:ascii="Times New Roman" w:hAnsi="Times New Roman"/>
        </w:rPr>
        <w:t>(</w:t>
      </w:r>
      <w:r w:rsidR="00482C43" w:rsidRPr="00950741">
        <w:rPr>
          <w:rFonts w:ascii="Times New Roman" w:hAnsi="Times New Roman"/>
        </w:rPr>
        <w:t>1</w:t>
      </w:r>
      <w:r w:rsidR="0014721C" w:rsidRPr="00950741">
        <w:rPr>
          <w:rFonts w:ascii="Times New Roman" w:hAnsi="Times New Roman"/>
        </w:rPr>
        <w:t>)</w:t>
      </w:r>
      <w:r w:rsidR="00482C43" w:rsidRPr="00950741">
        <w:rPr>
          <w:rFonts w:ascii="Times New Roman" w:hAnsi="Times New Roman"/>
        </w:rPr>
        <w:t xml:space="preserve"> and</w:t>
      </w:r>
      <w:r w:rsidR="0014721C" w:rsidRPr="00950741">
        <w:rPr>
          <w:rFonts w:ascii="Times New Roman" w:hAnsi="Times New Roman"/>
        </w:rPr>
        <w:t> </w:t>
      </w:r>
      <w:r w:rsidR="00946CA9" w:rsidRPr="00950741">
        <w:rPr>
          <w:rFonts w:ascii="Times New Roman" w:hAnsi="Times New Roman"/>
        </w:rPr>
        <w:t>18</w:t>
      </w:r>
      <w:r w:rsidR="0014721C" w:rsidRPr="00950741">
        <w:rPr>
          <w:rFonts w:ascii="Times New Roman" w:hAnsi="Times New Roman"/>
        </w:rPr>
        <w:t>(</w:t>
      </w:r>
      <w:r w:rsidR="00946CA9" w:rsidRPr="00950741">
        <w:rPr>
          <w:rFonts w:ascii="Times New Roman" w:hAnsi="Times New Roman"/>
        </w:rPr>
        <w:t>1</w:t>
      </w:r>
      <w:r w:rsidR="0014721C" w:rsidRPr="00950741">
        <w:rPr>
          <w:rFonts w:ascii="Times New Roman" w:hAnsi="Times New Roman"/>
        </w:rPr>
        <w:t>)</w:t>
      </w:r>
      <w:r w:rsidR="00291659" w:rsidRPr="00950741">
        <w:rPr>
          <w:rFonts w:ascii="Times New Roman" w:hAnsi="Times New Roman"/>
        </w:rPr>
        <w:t xml:space="preserve"> where the right of </w:t>
      </w:r>
      <w:r w:rsidR="00291659" w:rsidRPr="00950741">
        <w:rPr>
          <w:rFonts w:ascii="Times New Roman" w:hAnsi="Times New Roman"/>
        </w:rPr>
        <w:lastRenderedPageBreak/>
        <w:t>reservation in Art 18(1) has been exercised</w:t>
      </w:r>
      <w:r w:rsidR="007A3C17" w:rsidRPr="00950741">
        <w:rPr>
          <w:rFonts w:ascii="Times New Roman" w:hAnsi="Times New Roman"/>
        </w:rPr>
        <w:t xml:space="preserve">. </w:t>
      </w:r>
      <w:r w:rsidR="0016791A" w:rsidRPr="00950741">
        <w:rPr>
          <w:rFonts w:ascii="Times New Roman" w:hAnsi="Times New Roman"/>
        </w:rPr>
        <w:t>This interaction requires further explanation.</w:t>
      </w:r>
    </w:p>
    <w:p w14:paraId="12F42BEA" w14:textId="6569834E" w:rsidR="00E141F3" w:rsidRPr="00950741" w:rsidRDefault="0016791A"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466E04" w:rsidRPr="00950741">
        <w:rPr>
          <w:rFonts w:ascii="Times New Roman" w:hAnsi="Times New Roman"/>
        </w:rPr>
        <w:t>Article</w:t>
      </w:r>
      <w:r w:rsidR="008C7A45" w:rsidRPr="00950741">
        <w:rPr>
          <w:rFonts w:ascii="Times New Roman" w:hAnsi="Times New Roman"/>
        </w:rPr>
        <w:t> </w:t>
      </w:r>
      <w:r w:rsidR="00466E04" w:rsidRPr="00950741">
        <w:rPr>
          <w:rFonts w:ascii="Times New Roman" w:hAnsi="Times New Roman"/>
        </w:rPr>
        <w:t>1</w:t>
      </w:r>
      <w:r w:rsidR="0014721C" w:rsidRPr="00950741">
        <w:rPr>
          <w:rFonts w:ascii="Times New Roman" w:hAnsi="Times New Roman"/>
        </w:rPr>
        <w:t>(</w:t>
      </w:r>
      <w:r w:rsidR="00466E04" w:rsidRPr="00950741">
        <w:rPr>
          <w:rFonts w:ascii="Times New Roman" w:hAnsi="Times New Roman"/>
        </w:rPr>
        <w:t>1</w:t>
      </w:r>
      <w:r w:rsidR="0014721C" w:rsidRPr="00950741">
        <w:rPr>
          <w:rFonts w:ascii="Times New Roman" w:hAnsi="Times New Roman"/>
        </w:rPr>
        <w:t>)</w:t>
      </w:r>
      <w:r w:rsidR="007A3C17" w:rsidRPr="00950741">
        <w:rPr>
          <w:rFonts w:ascii="Times New Roman" w:hAnsi="Times New Roman"/>
        </w:rPr>
        <w:t>,</w:t>
      </w:r>
      <w:r w:rsidR="00466E04" w:rsidRPr="00950741">
        <w:rPr>
          <w:rFonts w:ascii="Times New Roman" w:hAnsi="Times New Roman"/>
        </w:rPr>
        <w:t xml:space="preserve"> </w:t>
      </w:r>
      <w:r w:rsidR="007A3C17" w:rsidRPr="00950741">
        <w:rPr>
          <w:rFonts w:ascii="Times New Roman" w:hAnsi="Times New Roman"/>
        </w:rPr>
        <w:t xml:space="preserve">in providing </w:t>
      </w:r>
      <w:r w:rsidR="008D506C" w:rsidRPr="00950741">
        <w:rPr>
          <w:rFonts w:ascii="Times New Roman" w:hAnsi="Times New Roman"/>
        </w:rPr>
        <w:t>that shipowners and salvors</w:t>
      </w:r>
      <w:r w:rsidR="007B118B" w:rsidRPr="00950741">
        <w:rPr>
          <w:rFonts w:ascii="Times New Roman" w:hAnsi="Times New Roman"/>
        </w:rPr>
        <w:t xml:space="preserve"> </w:t>
      </w:r>
      <w:r w:rsidR="008D506C" w:rsidRPr="00950741">
        <w:rPr>
          <w:rFonts w:ascii="Times New Roman" w:hAnsi="Times New Roman"/>
        </w:rPr>
        <w:t>"may limit their liability in accordance with the rules of this Convention for claims set out in Article</w:t>
      </w:r>
      <w:r w:rsidR="008C7A45" w:rsidRPr="00950741">
        <w:rPr>
          <w:rFonts w:ascii="Times New Roman" w:hAnsi="Times New Roman"/>
        </w:rPr>
        <w:t> </w:t>
      </w:r>
      <w:r w:rsidR="008D506C" w:rsidRPr="00950741">
        <w:rPr>
          <w:rFonts w:ascii="Times New Roman" w:hAnsi="Times New Roman"/>
        </w:rPr>
        <w:t>2"</w:t>
      </w:r>
      <w:r w:rsidR="007A3C17" w:rsidRPr="00950741">
        <w:rPr>
          <w:rFonts w:ascii="Times New Roman" w:hAnsi="Times New Roman"/>
        </w:rPr>
        <w:t>,</w:t>
      </w:r>
      <w:r w:rsidR="008F7D4C" w:rsidRPr="00950741">
        <w:rPr>
          <w:rFonts w:ascii="Times New Roman" w:hAnsi="Times New Roman"/>
        </w:rPr>
        <w:t xml:space="preserve"> </w:t>
      </w:r>
      <w:r w:rsidR="00C50703" w:rsidRPr="00950741">
        <w:rPr>
          <w:rFonts w:ascii="Times New Roman" w:hAnsi="Times New Roman"/>
        </w:rPr>
        <w:t xml:space="preserve">must be construed as contemplating that the "the rules of this Convention for claims" may include </w:t>
      </w:r>
      <w:r w:rsidR="003218DA" w:rsidRPr="00950741">
        <w:rPr>
          <w:rFonts w:ascii="Times New Roman" w:hAnsi="Times New Roman"/>
        </w:rPr>
        <w:t>the disapplication of Art</w:t>
      </w:r>
      <w:r w:rsidR="008C7A45" w:rsidRPr="00950741">
        <w:rPr>
          <w:rFonts w:ascii="Times New Roman" w:hAnsi="Times New Roman"/>
        </w:rPr>
        <w:t> </w:t>
      </w:r>
      <w:r w:rsidR="003218DA" w:rsidRPr="00950741">
        <w:rPr>
          <w:rFonts w:ascii="Times New Roman" w:hAnsi="Times New Roman"/>
        </w:rPr>
        <w:t>2</w:t>
      </w:r>
      <w:r w:rsidR="00C83FCB" w:rsidRPr="00950741">
        <w:rPr>
          <w:rFonts w:ascii="Times New Roman" w:hAnsi="Times New Roman"/>
        </w:rPr>
        <w:t>(</w:t>
      </w:r>
      <w:r w:rsidR="003218DA" w:rsidRPr="00950741">
        <w:rPr>
          <w:rFonts w:ascii="Times New Roman" w:hAnsi="Times New Roman"/>
        </w:rPr>
        <w:t>1</w:t>
      </w:r>
      <w:r w:rsidR="00C83FCB" w:rsidRPr="00950741">
        <w:rPr>
          <w:rFonts w:ascii="Times New Roman" w:hAnsi="Times New Roman"/>
        </w:rPr>
        <w:t>)</w:t>
      </w:r>
      <w:r w:rsidR="003218DA" w:rsidRPr="00950741">
        <w:rPr>
          <w:rFonts w:ascii="Times New Roman" w:hAnsi="Times New Roman"/>
        </w:rPr>
        <w:t>(d) (and</w:t>
      </w:r>
      <w:r w:rsidR="00C83FCB" w:rsidRPr="00950741">
        <w:rPr>
          <w:rFonts w:ascii="Times New Roman" w:hAnsi="Times New Roman"/>
        </w:rPr>
        <w:t> </w:t>
      </w:r>
      <w:r w:rsidR="003218DA" w:rsidRPr="00950741">
        <w:rPr>
          <w:rFonts w:ascii="Times New Roman" w:hAnsi="Times New Roman"/>
        </w:rPr>
        <w:t>(e)) under Art</w:t>
      </w:r>
      <w:r w:rsidR="008C7A45" w:rsidRPr="00950741">
        <w:rPr>
          <w:rFonts w:ascii="Times New Roman" w:hAnsi="Times New Roman"/>
        </w:rPr>
        <w:t> </w:t>
      </w:r>
      <w:r w:rsidR="003218DA" w:rsidRPr="00950741">
        <w:rPr>
          <w:rFonts w:ascii="Times New Roman" w:hAnsi="Times New Roman"/>
        </w:rPr>
        <w:t>18</w:t>
      </w:r>
      <w:r w:rsidR="00CA33E3" w:rsidRPr="00950741">
        <w:rPr>
          <w:rFonts w:ascii="Times New Roman" w:hAnsi="Times New Roman"/>
        </w:rPr>
        <w:t>(</w:t>
      </w:r>
      <w:r w:rsidR="003218DA" w:rsidRPr="00950741">
        <w:rPr>
          <w:rFonts w:ascii="Times New Roman" w:hAnsi="Times New Roman"/>
        </w:rPr>
        <w:t>1</w:t>
      </w:r>
      <w:r w:rsidR="00CA33E3" w:rsidRPr="00950741">
        <w:rPr>
          <w:rFonts w:ascii="Times New Roman" w:hAnsi="Times New Roman"/>
        </w:rPr>
        <w:t>)</w:t>
      </w:r>
      <w:r w:rsidR="003C4C76" w:rsidRPr="00950741">
        <w:rPr>
          <w:rFonts w:ascii="Times New Roman" w:hAnsi="Times New Roman"/>
        </w:rPr>
        <w:t xml:space="preserve"> </w:t>
      </w:r>
      <w:r w:rsidR="000C3B5B" w:rsidRPr="00950741">
        <w:rPr>
          <w:rFonts w:ascii="Times New Roman" w:hAnsi="Times New Roman"/>
        </w:rPr>
        <w:t xml:space="preserve">(the </w:t>
      </w:r>
      <w:r w:rsidR="00A0512D" w:rsidRPr="00950741">
        <w:rPr>
          <w:rFonts w:ascii="Times New Roman" w:hAnsi="Times New Roman"/>
        </w:rPr>
        <w:t xml:space="preserve">current </w:t>
      </w:r>
      <w:r w:rsidR="000C3B5B" w:rsidRPr="00950741">
        <w:rPr>
          <w:rFonts w:ascii="Times New Roman" w:hAnsi="Times New Roman"/>
        </w:rPr>
        <w:t>right of reservation, in terms, being the right to "exclude the application of Art</w:t>
      </w:r>
      <w:r w:rsidR="00450060" w:rsidRPr="00950741">
        <w:rPr>
          <w:rFonts w:ascii="Times New Roman" w:hAnsi="Times New Roman"/>
        </w:rPr>
        <w:t>icle</w:t>
      </w:r>
      <w:r w:rsidR="00123F08" w:rsidRPr="00950741">
        <w:rPr>
          <w:rFonts w:ascii="Times New Roman" w:hAnsi="Times New Roman"/>
        </w:rPr>
        <w:t> </w:t>
      </w:r>
      <w:r w:rsidR="000C3B5B" w:rsidRPr="00950741">
        <w:rPr>
          <w:rFonts w:ascii="Times New Roman" w:hAnsi="Times New Roman"/>
        </w:rPr>
        <w:t>2</w:t>
      </w:r>
      <w:r w:rsidR="00B67B5B" w:rsidRPr="00950741">
        <w:rPr>
          <w:rFonts w:ascii="Times New Roman" w:hAnsi="Times New Roman"/>
        </w:rPr>
        <w:t>,</w:t>
      </w:r>
      <w:r w:rsidR="000C3B5B" w:rsidRPr="00950741">
        <w:rPr>
          <w:rFonts w:ascii="Times New Roman" w:hAnsi="Times New Roman"/>
        </w:rPr>
        <w:t xml:space="preserve"> paragraph</w:t>
      </w:r>
      <w:r w:rsidR="00B67B5B" w:rsidRPr="00950741">
        <w:rPr>
          <w:rFonts w:ascii="Times New Roman" w:hAnsi="Times New Roman"/>
        </w:rPr>
        <w:t>s</w:t>
      </w:r>
      <w:r w:rsidR="00C83FCB" w:rsidRPr="00950741">
        <w:rPr>
          <w:rFonts w:ascii="Times New Roman" w:hAnsi="Times New Roman"/>
        </w:rPr>
        <w:t> </w:t>
      </w:r>
      <w:r w:rsidR="000C3B5B" w:rsidRPr="00950741">
        <w:rPr>
          <w:rFonts w:ascii="Times New Roman" w:hAnsi="Times New Roman"/>
        </w:rPr>
        <w:t>1(d) and</w:t>
      </w:r>
      <w:r w:rsidR="00C83FCB" w:rsidRPr="00950741">
        <w:rPr>
          <w:rFonts w:ascii="Times New Roman" w:hAnsi="Times New Roman"/>
        </w:rPr>
        <w:t> </w:t>
      </w:r>
      <w:r w:rsidR="000C3B5B" w:rsidRPr="00950741">
        <w:rPr>
          <w:rFonts w:ascii="Times New Roman" w:hAnsi="Times New Roman"/>
        </w:rPr>
        <w:t>(e)")</w:t>
      </w:r>
      <w:r w:rsidR="003218DA" w:rsidRPr="00950741">
        <w:rPr>
          <w:rFonts w:ascii="Times New Roman" w:hAnsi="Times New Roman"/>
        </w:rPr>
        <w:t xml:space="preserve">. </w:t>
      </w:r>
      <w:r w:rsidR="00F627A3" w:rsidRPr="00950741">
        <w:rPr>
          <w:rFonts w:ascii="Times New Roman" w:hAnsi="Times New Roman"/>
        </w:rPr>
        <w:t xml:space="preserve">The effect of </w:t>
      </w:r>
      <w:r w:rsidR="000C3B5B" w:rsidRPr="00950741">
        <w:rPr>
          <w:rFonts w:ascii="Times New Roman" w:hAnsi="Times New Roman"/>
        </w:rPr>
        <w:t xml:space="preserve">such </w:t>
      </w:r>
      <w:r w:rsidR="00F627A3" w:rsidRPr="00950741">
        <w:rPr>
          <w:rFonts w:ascii="Times New Roman" w:hAnsi="Times New Roman"/>
        </w:rPr>
        <w:t xml:space="preserve">disapplication </w:t>
      </w:r>
      <w:r w:rsidR="000C3B5B" w:rsidRPr="00950741">
        <w:rPr>
          <w:rFonts w:ascii="Times New Roman" w:hAnsi="Times New Roman"/>
        </w:rPr>
        <w:t>by exercise of the Art</w:t>
      </w:r>
      <w:r w:rsidR="008C7A45" w:rsidRPr="00950741">
        <w:rPr>
          <w:rFonts w:ascii="Times New Roman" w:hAnsi="Times New Roman"/>
        </w:rPr>
        <w:t> </w:t>
      </w:r>
      <w:r w:rsidR="000C3B5B" w:rsidRPr="00950741">
        <w:rPr>
          <w:rFonts w:ascii="Times New Roman" w:hAnsi="Times New Roman"/>
        </w:rPr>
        <w:t>18</w:t>
      </w:r>
      <w:r w:rsidR="00C83FCB" w:rsidRPr="00950741">
        <w:rPr>
          <w:rFonts w:ascii="Times New Roman" w:hAnsi="Times New Roman"/>
        </w:rPr>
        <w:t>(</w:t>
      </w:r>
      <w:r w:rsidR="000C3B5B" w:rsidRPr="00950741">
        <w:rPr>
          <w:rFonts w:ascii="Times New Roman" w:hAnsi="Times New Roman"/>
        </w:rPr>
        <w:t>1</w:t>
      </w:r>
      <w:r w:rsidR="00C83FCB" w:rsidRPr="00950741">
        <w:rPr>
          <w:rFonts w:ascii="Times New Roman" w:hAnsi="Times New Roman"/>
        </w:rPr>
        <w:t>)</w:t>
      </w:r>
      <w:r w:rsidR="000C3B5B" w:rsidRPr="00950741">
        <w:rPr>
          <w:rFonts w:ascii="Times New Roman" w:hAnsi="Times New Roman"/>
        </w:rPr>
        <w:t xml:space="preserve"> right </w:t>
      </w:r>
      <w:r w:rsidR="00F627A3" w:rsidRPr="00950741">
        <w:rPr>
          <w:rFonts w:ascii="Times New Roman" w:hAnsi="Times New Roman"/>
        </w:rPr>
        <w:t>is not that Art</w:t>
      </w:r>
      <w:r w:rsidR="00D9131D" w:rsidRPr="00950741">
        <w:rPr>
          <w:rFonts w:ascii="Times New Roman" w:hAnsi="Times New Roman"/>
        </w:rPr>
        <w:t> </w:t>
      </w:r>
      <w:r w:rsidR="00F627A3" w:rsidRPr="00950741">
        <w:rPr>
          <w:rFonts w:ascii="Times New Roman" w:hAnsi="Times New Roman"/>
        </w:rPr>
        <w:t>2</w:t>
      </w:r>
      <w:r w:rsidR="00C83FCB" w:rsidRPr="00950741">
        <w:rPr>
          <w:rFonts w:ascii="Times New Roman" w:hAnsi="Times New Roman"/>
        </w:rPr>
        <w:t>(</w:t>
      </w:r>
      <w:r w:rsidR="00F627A3" w:rsidRPr="00950741">
        <w:rPr>
          <w:rFonts w:ascii="Times New Roman" w:hAnsi="Times New Roman"/>
        </w:rPr>
        <w:t>1</w:t>
      </w:r>
      <w:r w:rsidR="00C83FCB" w:rsidRPr="00950741">
        <w:rPr>
          <w:rFonts w:ascii="Times New Roman" w:hAnsi="Times New Roman"/>
        </w:rPr>
        <w:t>)</w:t>
      </w:r>
      <w:r w:rsidR="00F627A3" w:rsidRPr="00950741">
        <w:rPr>
          <w:rFonts w:ascii="Times New Roman" w:hAnsi="Times New Roman"/>
        </w:rPr>
        <w:t>(d) and</w:t>
      </w:r>
      <w:r w:rsidR="00C83FCB" w:rsidRPr="00950741">
        <w:rPr>
          <w:rFonts w:ascii="Times New Roman" w:hAnsi="Times New Roman"/>
        </w:rPr>
        <w:t> </w:t>
      </w:r>
      <w:r w:rsidR="00F627A3" w:rsidRPr="00950741">
        <w:rPr>
          <w:rFonts w:ascii="Times New Roman" w:hAnsi="Times New Roman"/>
        </w:rPr>
        <w:t xml:space="preserve">(e) are to be taken </w:t>
      </w:r>
      <w:r w:rsidR="00786A70" w:rsidRPr="00950741">
        <w:rPr>
          <w:rFonts w:ascii="Times New Roman" w:hAnsi="Times New Roman"/>
        </w:rPr>
        <w:t xml:space="preserve">not to exist </w:t>
      </w:r>
      <w:r w:rsidR="00F627A3" w:rsidRPr="00950741">
        <w:rPr>
          <w:rFonts w:ascii="Times New Roman" w:hAnsi="Times New Roman"/>
        </w:rPr>
        <w:t>as part of the 1976</w:t>
      </w:r>
      <w:r w:rsidR="008C7A45" w:rsidRPr="00950741">
        <w:rPr>
          <w:rFonts w:ascii="Times New Roman" w:hAnsi="Times New Roman"/>
        </w:rPr>
        <w:t> </w:t>
      </w:r>
      <w:r w:rsidR="00D730B2" w:rsidRPr="00950741">
        <w:rPr>
          <w:rFonts w:ascii="Times New Roman" w:hAnsi="Times New Roman"/>
        </w:rPr>
        <w:t xml:space="preserve">Convention. The effect is only one of </w:t>
      </w:r>
      <w:r w:rsidR="00BE00AF" w:rsidRPr="00950741">
        <w:rPr>
          <w:rFonts w:ascii="Times New Roman" w:hAnsi="Times New Roman"/>
        </w:rPr>
        <w:t xml:space="preserve">exclusion of the application </w:t>
      </w:r>
      <w:r w:rsidR="00D730B2" w:rsidRPr="00950741">
        <w:rPr>
          <w:rFonts w:ascii="Times New Roman" w:hAnsi="Times New Roman"/>
        </w:rPr>
        <w:t>of Art</w:t>
      </w:r>
      <w:r w:rsidR="00BE00AF" w:rsidRPr="00950741">
        <w:rPr>
          <w:rFonts w:ascii="Times New Roman" w:hAnsi="Times New Roman"/>
        </w:rPr>
        <w:t> </w:t>
      </w:r>
      <w:r w:rsidR="00D730B2" w:rsidRPr="00950741">
        <w:rPr>
          <w:rFonts w:ascii="Times New Roman" w:hAnsi="Times New Roman"/>
        </w:rPr>
        <w:t>2</w:t>
      </w:r>
      <w:r w:rsidR="00C83FCB" w:rsidRPr="00950741">
        <w:rPr>
          <w:rFonts w:ascii="Times New Roman" w:hAnsi="Times New Roman"/>
        </w:rPr>
        <w:t>(</w:t>
      </w:r>
      <w:r w:rsidR="00D730B2" w:rsidRPr="00950741">
        <w:rPr>
          <w:rFonts w:ascii="Times New Roman" w:hAnsi="Times New Roman"/>
        </w:rPr>
        <w:t>1</w:t>
      </w:r>
      <w:r w:rsidR="00C83FCB" w:rsidRPr="00950741">
        <w:rPr>
          <w:rFonts w:ascii="Times New Roman" w:hAnsi="Times New Roman"/>
        </w:rPr>
        <w:t>)</w:t>
      </w:r>
      <w:r w:rsidR="00D730B2" w:rsidRPr="00950741">
        <w:rPr>
          <w:rFonts w:ascii="Times New Roman" w:hAnsi="Times New Roman"/>
        </w:rPr>
        <w:t>(d) and</w:t>
      </w:r>
      <w:r w:rsidR="00033F9E" w:rsidRPr="00950741">
        <w:rPr>
          <w:rFonts w:ascii="Times New Roman" w:hAnsi="Times New Roman"/>
        </w:rPr>
        <w:t> </w:t>
      </w:r>
      <w:r w:rsidR="00D730B2" w:rsidRPr="00950741">
        <w:rPr>
          <w:rFonts w:ascii="Times New Roman" w:hAnsi="Times New Roman"/>
        </w:rPr>
        <w:t xml:space="preserve">(e). </w:t>
      </w:r>
      <w:r w:rsidR="00BF29A2" w:rsidRPr="00950741">
        <w:rPr>
          <w:rFonts w:ascii="Times New Roman" w:hAnsi="Times New Roman"/>
        </w:rPr>
        <w:t>It necessarily follows, as a matter of the ordinary and common sense meaning of Art</w:t>
      </w:r>
      <w:r w:rsidR="00D9131D" w:rsidRPr="00950741">
        <w:rPr>
          <w:rFonts w:ascii="Times New Roman" w:hAnsi="Times New Roman"/>
        </w:rPr>
        <w:t>s</w:t>
      </w:r>
      <w:r w:rsidR="00BE00AF" w:rsidRPr="00950741">
        <w:rPr>
          <w:rFonts w:ascii="Times New Roman" w:hAnsi="Times New Roman"/>
        </w:rPr>
        <w:t> </w:t>
      </w:r>
      <w:r w:rsidR="00BF29A2" w:rsidRPr="00950741">
        <w:rPr>
          <w:rFonts w:ascii="Times New Roman" w:hAnsi="Times New Roman"/>
        </w:rPr>
        <w:t>18</w:t>
      </w:r>
      <w:r w:rsidR="00623208" w:rsidRPr="00950741">
        <w:rPr>
          <w:rFonts w:ascii="Times New Roman" w:hAnsi="Times New Roman"/>
        </w:rPr>
        <w:t>(</w:t>
      </w:r>
      <w:r w:rsidR="00BF29A2" w:rsidRPr="00950741">
        <w:rPr>
          <w:rFonts w:ascii="Times New Roman" w:hAnsi="Times New Roman"/>
        </w:rPr>
        <w:t>1</w:t>
      </w:r>
      <w:r w:rsidR="00623208" w:rsidRPr="00950741">
        <w:rPr>
          <w:rFonts w:ascii="Times New Roman" w:hAnsi="Times New Roman"/>
        </w:rPr>
        <w:t>)</w:t>
      </w:r>
      <w:r w:rsidR="00BF29A2" w:rsidRPr="00950741">
        <w:rPr>
          <w:rFonts w:ascii="Times New Roman" w:hAnsi="Times New Roman"/>
        </w:rPr>
        <w:t xml:space="preserve"> and 1</w:t>
      </w:r>
      <w:r w:rsidR="00623208" w:rsidRPr="00950741">
        <w:rPr>
          <w:rFonts w:ascii="Times New Roman" w:hAnsi="Times New Roman"/>
        </w:rPr>
        <w:t>(</w:t>
      </w:r>
      <w:r w:rsidR="00BF29A2" w:rsidRPr="00950741">
        <w:rPr>
          <w:rFonts w:ascii="Times New Roman" w:hAnsi="Times New Roman"/>
        </w:rPr>
        <w:t>1</w:t>
      </w:r>
      <w:r w:rsidR="00623208" w:rsidRPr="00950741">
        <w:rPr>
          <w:rFonts w:ascii="Times New Roman" w:hAnsi="Times New Roman"/>
        </w:rPr>
        <w:t>)</w:t>
      </w:r>
      <w:r w:rsidR="00BF29A2" w:rsidRPr="00950741">
        <w:rPr>
          <w:rFonts w:ascii="Times New Roman" w:hAnsi="Times New Roman"/>
        </w:rPr>
        <w:t xml:space="preserve">, that </w:t>
      </w:r>
      <w:r w:rsidR="00EB0356" w:rsidRPr="00950741">
        <w:rPr>
          <w:rFonts w:ascii="Times New Roman" w:hAnsi="Times New Roman"/>
        </w:rPr>
        <w:t>if the right in Art</w:t>
      </w:r>
      <w:r w:rsidR="00BE00AF" w:rsidRPr="00950741">
        <w:rPr>
          <w:rFonts w:ascii="Times New Roman" w:hAnsi="Times New Roman"/>
        </w:rPr>
        <w:t> </w:t>
      </w:r>
      <w:r w:rsidR="00EB0356" w:rsidRPr="00950741">
        <w:rPr>
          <w:rFonts w:ascii="Times New Roman" w:hAnsi="Times New Roman"/>
        </w:rPr>
        <w:t>18</w:t>
      </w:r>
      <w:r w:rsidR="00623208" w:rsidRPr="00950741">
        <w:rPr>
          <w:rFonts w:ascii="Times New Roman" w:hAnsi="Times New Roman"/>
        </w:rPr>
        <w:t>(</w:t>
      </w:r>
      <w:r w:rsidR="00EB0356" w:rsidRPr="00950741">
        <w:rPr>
          <w:rFonts w:ascii="Times New Roman" w:hAnsi="Times New Roman"/>
        </w:rPr>
        <w:t>1</w:t>
      </w:r>
      <w:r w:rsidR="00623208" w:rsidRPr="00950741">
        <w:rPr>
          <w:rFonts w:ascii="Times New Roman" w:hAnsi="Times New Roman"/>
        </w:rPr>
        <w:t>)</w:t>
      </w:r>
      <w:r w:rsidR="00EB0356" w:rsidRPr="00950741">
        <w:rPr>
          <w:rFonts w:ascii="Times New Roman" w:hAnsi="Times New Roman"/>
        </w:rPr>
        <w:t xml:space="preserve"> is exercised, Art</w:t>
      </w:r>
      <w:r w:rsidR="00BE00AF" w:rsidRPr="00950741">
        <w:rPr>
          <w:rFonts w:ascii="Times New Roman" w:hAnsi="Times New Roman"/>
        </w:rPr>
        <w:t> </w:t>
      </w:r>
      <w:r w:rsidR="00EB0356" w:rsidRPr="00950741">
        <w:rPr>
          <w:rFonts w:ascii="Times New Roman" w:hAnsi="Times New Roman"/>
        </w:rPr>
        <w:t>1</w:t>
      </w:r>
      <w:r w:rsidR="00623208" w:rsidRPr="00950741">
        <w:rPr>
          <w:rFonts w:ascii="Times New Roman" w:hAnsi="Times New Roman"/>
        </w:rPr>
        <w:t>(</w:t>
      </w:r>
      <w:r w:rsidR="00EB0356" w:rsidRPr="00950741">
        <w:rPr>
          <w:rFonts w:ascii="Times New Roman" w:hAnsi="Times New Roman"/>
        </w:rPr>
        <w:t>1</w:t>
      </w:r>
      <w:r w:rsidR="00623208" w:rsidRPr="00950741">
        <w:rPr>
          <w:rFonts w:ascii="Times New Roman" w:hAnsi="Times New Roman"/>
        </w:rPr>
        <w:t>)</w:t>
      </w:r>
      <w:r w:rsidR="00EB0356" w:rsidRPr="00950741">
        <w:rPr>
          <w:rFonts w:ascii="Times New Roman" w:hAnsi="Times New Roman"/>
        </w:rPr>
        <w:t xml:space="preserve"> means that shipowners and salvors may limit their liability in accordance with the rules of </w:t>
      </w:r>
      <w:r w:rsidR="00367BBE" w:rsidRPr="00950741">
        <w:rPr>
          <w:rFonts w:ascii="Times New Roman" w:hAnsi="Times New Roman"/>
        </w:rPr>
        <w:t>the 1976</w:t>
      </w:r>
      <w:r w:rsidR="00BE00AF" w:rsidRPr="00950741">
        <w:rPr>
          <w:rFonts w:ascii="Times New Roman" w:hAnsi="Times New Roman"/>
        </w:rPr>
        <w:t> </w:t>
      </w:r>
      <w:r w:rsidR="00367BBE" w:rsidRPr="00950741">
        <w:rPr>
          <w:rFonts w:ascii="Times New Roman" w:hAnsi="Times New Roman"/>
        </w:rPr>
        <w:t xml:space="preserve">Convention </w:t>
      </w:r>
      <w:r w:rsidR="00EB0356" w:rsidRPr="00950741">
        <w:rPr>
          <w:rFonts w:ascii="Times New Roman" w:hAnsi="Times New Roman"/>
        </w:rPr>
        <w:t>for claims set out in Art</w:t>
      </w:r>
      <w:r w:rsidR="00123F08" w:rsidRPr="00950741">
        <w:rPr>
          <w:rFonts w:ascii="Times New Roman" w:hAnsi="Times New Roman"/>
        </w:rPr>
        <w:t> </w:t>
      </w:r>
      <w:r w:rsidR="00052C32" w:rsidRPr="00950741">
        <w:rPr>
          <w:rFonts w:ascii="Times New Roman" w:hAnsi="Times New Roman"/>
        </w:rPr>
        <w:t>2</w:t>
      </w:r>
      <w:r w:rsidR="00430E16" w:rsidRPr="00950741">
        <w:rPr>
          <w:rFonts w:ascii="Times New Roman" w:hAnsi="Times New Roman"/>
        </w:rPr>
        <w:t xml:space="preserve"> on the basis that Art</w:t>
      </w:r>
      <w:r w:rsidR="00E97FF5" w:rsidRPr="00950741">
        <w:rPr>
          <w:rFonts w:ascii="Times New Roman" w:hAnsi="Times New Roman"/>
        </w:rPr>
        <w:t> </w:t>
      </w:r>
      <w:r w:rsidR="00430E16" w:rsidRPr="00950741">
        <w:rPr>
          <w:rFonts w:ascii="Times New Roman" w:hAnsi="Times New Roman"/>
        </w:rPr>
        <w:t>2</w:t>
      </w:r>
      <w:r w:rsidR="00623208" w:rsidRPr="00950741">
        <w:rPr>
          <w:rFonts w:ascii="Times New Roman" w:hAnsi="Times New Roman"/>
        </w:rPr>
        <w:t>(</w:t>
      </w:r>
      <w:r w:rsidR="00430E16" w:rsidRPr="00950741">
        <w:rPr>
          <w:rFonts w:ascii="Times New Roman" w:hAnsi="Times New Roman"/>
        </w:rPr>
        <w:t>1</w:t>
      </w:r>
      <w:r w:rsidR="00623208" w:rsidRPr="00950741">
        <w:rPr>
          <w:rFonts w:ascii="Times New Roman" w:hAnsi="Times New Roman"/>
        </w:rPr>
        <w:t>)</w:t>
      </w:r>
      <w:r w:rsidR="00430E16" w:rsidRPr="00950741">
        <w:rPr>
          <w:rFonts w:ascii="Times New Roman" w:hAnsi="Times New Roman"/>
        </w:rPr>
        <w:t>(d) and</w:t>
      </w:r>
      <w:r w:rsidR="008B2835" w:rsidRPr="00950741">
        <w:rPr>
          <w:rFonts w:ascii="Times New Roman" w:hAnsi="Times New Roman"/>
        </w:rPr>
        <w:t> </w:t>
      </w:r>
      <w:r w:rsidR="00430E16" w:rsidRPr="00950741">
        <w:rPr>
          <w:rFonts w:ascii="Times New Roman" w:hAnsi="Times New Roman"/>
        </w:rPr>
        <w:t>(e) have been disapplied</w:t>
      </w:r>
      <w:r w:rsidR="00336562" w:rsidRPr="00950741">
        <w:rPr>
          <w:rFonts w:ascii="Times New Roman" w:hAnsi="Times New Roman"/>
        </w:rPr>
        <w:t xml:space="preserve"> </w:t>
      </w:r>
      <w:r w:rsidR="00FB17D8" w:rsidRPr="00950741">
        <w:rPr>
          <w:rFonts w:ascii="Times New Roman" w:hAnsi="Times New Roman"/>
        </w:rPr>
        <w:t xml:space="preserve">in their entirety </w:t>
      </w:r>
      <w:r w:rsidR="00336562" w:rsidRPr="00950741">
        <w:rPr>
          <w:rFonts w:ascii="Times New Roman" w:hAnsi="Times New Roman"/>
        </w:rPr>
        <w:t xml:space="preserve">(and not on the basis that those </w:t>
      </w:r>
      <w:r w:rsidR="00A35CDF" w:rsidRPr="00950741">
        <w:rPr>
          <w:rFonts w:ascii="Times New Roman" w:hAnsi="Times New Roman"/>
        </w:rPr>
        <w:t>sub-</w:t>
      </w:r>
      <w:r w:rsidR="000C287E" w:rsidRPr="00950741">
        <w:rPr>
          <w:rFonts w:ascii="Times New Roman" w:hAnsi="Times New Roman"/>
        </w:rPr>
        <w:t xml:space="preserve">paragraphs of </w:t>
      </w:r>
      <w:r w:rsidR="00336562" w:rsidRPr="00950741">
        <w:rPr>
          <w:rFonts w:ascii="Times New Roman" w:hAnsi="Times New Roman"/>
        </w:rPr>
        <w:t>Art</w:t>
      </w:r>
      <w:r w:rsidR="000C287E" w:rsidRPr="00950741">
        <w:rPr>
          <w:rFonts w:ascii="Times New Roman" w:hAnsi="Times New Roman"/>
        </w:rPr>
        <w:t> 2</w:t>
      </w:r>
      <w:r w:rsidR="00A35CDF" w:rsidRPr="00950741">
        <w:rPr>
          <w:rFonts w:ascii="Times New Roman" w:hAnsi="Times New Roman"/>
        </w:rPr>
        <w:t>(1)</w:t>
      </w:r>
      <w:r w:rsidR="00786A70" w:rsidRPr="00950741">
        <w:rPr>
          <w:rFonts w:ascii="Times New Roman" w:hAnsi="Times New Roman"/>
        </w:rPr>
        <w:t xml:space="preserve"> do not exist</w:t>
      </w:r>
      <w:r w:rsidR="00FB17D8" w:rsidRPr="00950741">
        <w:rPr>
          <w:rFonts w:ascii="Times New Roman" w:hAnsi="Times New Roman"/>
        </w:rPr>
        <w:t xml:space="preserve"> or that Art 18</w:t>
      </w:r>
      <w:r w:rsidR="00623208" w:rsidRPr="00950741">
        <w:rPr>
          <w:rFonts w:ascii="Times New Roman" w:hAnsi="Times New Roman"/>
        </w:rPr>
        <w:t>(</w:t>
      </w:r>
      <w:r w:rsidR="00FB17D8" w:rsidRPr="00950741">
        <w:rPr>
          <w:rFonts w:ascii="Times New Roman" w:hAnsi="Times New Roman"/>
        </w:rPr>
        <w:t>1</w:t>
      </w:r>
      <w:r w:rsidR="00623208" w:rsidRPr="00950741">
        <w:rPr>
          <w:rFonts w:ascii="Times New Roman" w:hAnsi="Times New Roman"/>
        </w:rPr>
        <w:t>)</w:t>
      </w:r>
      <w:r w:rsidR="00FB17D8" w:rsidRPr="00950741">
        <w:rPr>
          <w:rFonts w:ascii="Times New Roman" w:hAnsi="Times New Roman"/>
        </w:rPr>
        <w:t xml:space="preserve"> only </w:t>
      </w:r>
      <w:r w:rsidR="00F06ADB" w:rsidRPr="00950741">
        <w:rPr>
          <w:rFonts w:ascii="Times New Roman" w:hAnsi="Times New Roman"/>
        </w:rPr>
        <w:t>partially</w:t>
      </w:r>
      <w:r w:rsidR="00FB17D8" w:rsidRPr="00950741">
        <w:rPr>
          <w:rFonts w:ascii="Times New Roman" w:hAnsi="Times New Roman"/>
        </w:rPr>
        <w:t xml:space="preserve"> disapplies those </w:t>
      </w:r>
      <w:r w:rsidR="00A35CDF" w:rsidRPr="00950741">
        <w:rPr>
          <w:rFonts w:ascii="Times New Roman" w:hAnsi="Times New Roman"/>
        </w:rPr>
        <w:t>sub-</w:t>
      </w:r>
      <w:r w:rsidR="000C287E" w:rsidRPr="00950741">
        <w:rPr>
          <w:rFonts w:ascii="Times New Roman" w:hAnsi="Times New Roman"/>
        </w:rPr>
        <w:t>paragraphs</w:t>
      </w:r>
      <w:r w:rsidR="00FB17D8" w:rsidRPr="00950741">
        <w:rPr>
          <w:rFonts w:ascii="Times New Roman" w:hAnsi="Times New Roman"/>
        </w:rPr>
        <w:t xml:space="preserve"> to the extent that a claim </w:t>
      </w:r>
      <w:r w:rsidR="00F06ADB" w:rsidRPr="00950741">
        <w:rPr>
          <w:rFonts w:ascii="Times New Roman" w:hAnsi="Times New Roman"/>
        </w:rPr>
        <w:t xml:space="preserve">is not also within the scope of another </w:t>
      </w:r>
      <w:r w:rsidR="00A35CDF" w:rsidRPr="00950741">
        <w:rPr>
          <w:rFonts w:ascii="Times New Roman" w:hAnsi="Times New Roman"/>
        </w:rPr>
        <w:t>sub-</w:t>
      </w:r>
      <w:r w:rsidR="00F06ADB" w:rsidRPr="00950741">
        <w:rPr>
          <w:rFonts w:ascii="Times New Roman" w:hAnsi="Times New Roman"/>
        </w:rPr>
        <w:t>paragraph of Art 2</w:t>
      </w:r>
      <w:r w:rsidR="00623208" w:rsidRPr="00950741">
        <w:rPr>
          <w:rFonts w:ascii="Times New Roman" w:hAnsi="Times New Roman"/>
        </w:rPr>
        <w:t>(</w:t>
      </w:r>
      <w:r w:rsidR="00052C32" w:rsidRPr="00950741">
        <w:rPr>
          <w:rFonts w:ascii="Times New Roman" w:hAnsi="Times New Roman"/>
        </w:rPr>
        <w:t>1</w:t>
      </w:r>
      <w:r w:rsidR="00623208" w:rsidRPr="00950741">
        <w:rPr>
          <w:rFonts w:ascii="Times New Roman" w:hAnsi="Times New Roman"/>
        </w:rPr>
        <w:t>)</w:t>
      </w:r>
      <w:r w:rsidR="00336562" w:rsidRPr="00950741">
        <w:rPr>
          <w:rFonts w:ascii="Times New Roman" w:hAnsi="Times New Roman"/>
        </w:rPr>
        <w:t>)</w:t>
      </w:r>
      <w:r w:rsidR="00430E16" w:rsidRPr="00950741">
        <w:rPr>
          <w:rFonts w:ascii="Times New Roman" w:hAnsi="Times New Roman"/>
        </w:rPr>
        <w:t xml:space="preserve">. </w:t>
      </w:r>
      <w:r w:rsidR="00E97FF5" w:rsidRPr="00950741">
        <w:rPr>
          <w:rFonts w:ascii="Times New Roman" w:hAnsi="Times New Roman"/>
        </w:rPr>
        <w:t>So understood, claims within Art</w:t>
      </w:r>
      <w:r w:rsidR="00A83A90" w:rsidRPr="00950741">
        <w:rPr>
          <w:rFonts w:ascii="Times New Roman" w:hAnsi="Times New Roman"/>
        </w:rPr>
        <w:t> </w:t>
      </w:r>
      <w:r w:rsidR="00E97FF5" w:rsidRPr="00950741">
        <w:rPr>
          <w:rFonts w:ascii="Times New Roman" w:hAnsi="Times New Roman"/>
        </w:rPr>
        <w:t>2</w:t>
      </w:r>
      <w:r w:rsidR="00A83A90" w:rsidRPr="00950741">
        <w:rPr>
          <w:rFonts w:ascii="Times New Roman" w:hAnsi="Times New Roman"/>
        </w:rPr>
        <w:t>(</w:t>
      </w:r>
      <w:r w:rsidR="00E97FF5" w:rsidRPr="00950741">
        <w:rPr>
          <w:rFonts w:ascii="Times New Roman" w:hAnsi="Times New Roman"/>
        </w:rPr>
        <w:t>1</w:t>
      </w:r>
      <w:r w:rsidR="00A83A90" w:rsidRPr="00950741">
        <w:rPr>
          <w:rFonts w:ascii="Times New Roman" w:hAnsi="Times New Roman"/>
        </w:rPr>
        <w:t>)</w:t>
      </w:r>
      <w:r w:rsidR="00E97FF5" w:rsidRPr="00950741">
        <w:rPr>
          <w:rFonts w:ascii="Times New Roman" w:hAnsi="Times New Roman"/>
        </w:rPr>
        <w:t>(d) (and</w:t>
      </w:r>
      <w:r w:rsidR="00172CED" w:rsidRPr="00950741">
        <w:rPr>
          <w:rFonts w:ascii="Times New Roman" w:hAnsi="Times New Roman"/>
        </w:rPr>
        <w:t> </w:t>
      </w:r>
      <w:r w:rsidR="00E97FF5" w:rsidRPr="00950741">
        <w:rPr>
          <w:rFonts w:ascii="Times New Roman" w:hAnsi="Times New Roman"/>
        </w:rPr>
        <w:t>(e)) which are also within the scope of</w:t>
      </w:r>
      <w:r w:rsidR="00F06ADB" w:rsidRPr="00950741">
        <w:rPr>
          <w:rFonts w:ascii="Times New Roman" w:hAnsi="Times New Roman"/>
        </w:rPr>
        <w:t>, in this case,</w:t>
      </w:r>
      <w:r w:rsidR="00E97FF5" w:rsidRPr="00950741">
        <w:rPr>
          <w:rFonts w:ascii="Times New Roman" w:hAnsi="Times New Roman"/>
        </w:rPr>
        <w:t xml:space="preserve"> Art</w:t>
      </w:r>
      <w:r w:rsidR="000E4C6E" w:rsidRPr="00950741">
        <w:rPr>
          <w:rFonts w:ascii="Times New Roman" w:hAnsi="Times New Roman"/>
        </w:rPr>
        <w:t> </w:t>
      </w:r>
      <w:r w:rsidR="00E97FF5" w:rsidRPr="00950741">
        <w:rPr>
          <w:rFonts w:ascii="Times New Roman" w:hAnsi="Times New Roman"/>
        </w:rPr>
        <w:t>2</w:t>
      </w:r>
      <w:r w:rsidR="000E4C6E" w:rsidRPr="00950741">
        <w:rPr>
          <w:rFonts w:ascii="Times New Roman" w:hAnsi="Times New Roman"/>
        </w:rPr>
        <w:t>(</w:t>
      </w:r>
      <w:r w:rsidR="00E97FF5" w:rsidRPr="00950741">
        <w:rPr>
          <w:rFonts w:ascii="Times New Roman" w:hAnsi="Times New Roman"/>
        </w:rPr>
        <w:t>1</w:t>
      </w:r>
      <w:r w:rsidR="000E4C6E" w:rsidRPr="00950741">
        <w:rPr>
          <w:rFonts w:ascii="Times New Roman" w:hAnsi="Times New Roman"/>
        </w:rPr>
        <w:t>)</w:t>
      </w:r>
      <w:r w:rsidR="00E97FF5" w:rsidRPr="00950741">
        <w:rPr>
          <w:rFonts w:ascii="Times New Roman" w:hAnsi="Times New Roman"/>
        </w:rPr>
        <w:t xml:space="preserve">(a) are </w:t>
      </w:r>
      <w:r w:rsidR="00A1596D" w:rsidRPr="00950741">
        <w:rPr>
          <w:rFonts w:ascii="Times New Roman" w:hAnsi="Times New Roman"/>
        </w:rPr>
        <w:t>not claims "in accordance with the rules of this Convention for claims set out in Article</w:t>
      </w:r>
      <w:r w:rsidR="00123F08" w:rsidRPr="00950741">
        <w:rPr>
          <w:rFonts w:ascii="Times New Roman" w:hAnsi="Times New Roman"/>
        </w:rPr>
        <w:t> </w:t>
      </w:r>
      <w:r w:rsidR="00A1596D" w:rsidRPr="00950741">
        <w:rPr>
          <w:rFonts w:ascii="Times New Roman" w:hAnsi="Times New Roman"/>
        </w:rPr>
        <w:t xml:space="preserve">2" as applicable </w:t>
      </w:r>
      <w:r w:rsidR="00E751AC" w:rsidRPr="00950741">
        <w:rPr>
          <w:rFonts w:ascii="Times New Roman" w:hAnsi="Times New Roman"/>
        </w:rPr>
        <w:t>in</w:t>
      </w:r>
      <w:r w:rsidR="00F06ADB" w:rsidRPr="00950741">
        <w:rPr>
          <w:rFonts w:ascii="Times New Roman" w:hAnsi="Times New Roman"/>
        </w:rPr>
        <w:t>, relevantly, Australia</w:t>
      </w:r>
      <w:r w:rsidR="00E751AC" w:rsidRPr="00950741">
        <w:rPr>
          <w:rFonts w:ascii="Times New Roman" w:hAnsi="Times New Roman"/>
        </w:rPr>
        <w:t xml:space="preserve">. </w:t>
      </w:r>
    </w:p>
    <w:p w14:paraId="505D69B6" w14:textId="29F8B5BE" w:rsidR="007D29AB" w:rsidRPr="00950741" w:rsidRDefault="007D29AB" w:rsidP="00950741">
      <w:pPr>
        <w:pStyle w:val="HeadingL2"/>
        <w:spacing w:after="260" w:line="280" w:lineRule="exact"/>
        <w:ind w:right="0"/>
        <w:jc w:val="both"/>
        <w:rPr>
          <w:rFonts w:ascii="Times New Roman" w:hAnsi="Times New Roman"/>
        </w:rPr>
      </w:pPr>
      <w:r w:rsidRPr="00950741">
        <w:rPr>
          <w:rFonts w:ascii="Times New Roman" w:hAnsi="Times New Roman"/>
        </w:rPr>
        <w:t>Article</w:t>
      </w:r>
      <w:r w:rsidR="004F13DA" w:rsidRPr="00950741">
        <w:rPr>
          <w:rFonts w:ascii="Times New Roman" w:hAnsi="Times New Roman"/>
        </w:rPr>
        <w:t> </w:t>
      </w:r>
      <w:r w:rsidRPr="00950741">
        <w:rPr>
          <w:rFonts w:ascii="Times New Roman" w:hAnsi="Times New Roman"/>
        </w:rPr>
        <w:t>2</w:t>
      </w:r>
      <w:r w:rsidR="000E4C6E" w:rsidRPr="00950741">
        <w:rPr>
          <w:rFonts w:ascii="Times New Roman" w:hAnsi="Times New Roman"/>
        </w:rPr>
        <w:t>(</w:t>
      </w:r>
      <w:r w:rsidRPr="00950741">
        <w:rPr>
          <w:rFonts w:ascii="Times New Roman" w:hAnsi="Times New Roman"/>
        </w:rPr>
        <w:t>1</w:t>
      </w:r>
      <w:r w:rsidR="000E4C6E" w:rsidRPr="00950741">
        <w:rPr>
          <w:rFonts w:ascii="Times New Roman" w:hAnsi="Times New Roman"/>
        </w:rPr>
        <w:t>)</w:t>
      </w:r>
      <w:r w:rsidRPr="00950741">
        <w:rPr>
          <w:rFonts w:ascii="Times New Roman" w:hAnsi="Times New Roman"/>
        </w:rPr>
        <w:t>(d) broader than Art</w:t>
      </w:r>
      <w:r w:rsidR="00F975A5" w:rsidRPr="00950741">
        <w:rPr>
          <w:rFonts w:ascii="Times New Roman" w:hAnsi="Times New Roman"/>
        </w:rPr>
        <w:t> </w:t>
      </w:r>
      <w:r w:rsidRPr="00950741">
        <w:rPr>
          <w:rFonts w:ascii="Times New Roman" w:hAnsi="Times New Roman"/>
        </w:rPr>
        <w:t>2</w:t>
      </w:r>
      <w:r w:rsidR="000E4C6E" w:rsidRPr="00950741">
        <w:rPr>
          <w:rFonts w:ascii="Times New Roman" w:hAnsi="Times New Roman"/>
        </w:rPr>
        <w:t>(</w:t>
      </w:r>
      <w:r w:rsidRPr="00950741">
        <w:rPr>
          <w:rFonts w:ascii="Times New Roman" w:hAnsi="Times New Roman"/>
        </w:rPr>
        <w:t>1</w:t>
      </w:r>
      <w:r w:rsidR="000E4C6E" w:rsidRPr="00950741">
        <w:rPr>
          <w:rFonts w:ascii="Times New Roman" w:hAnsi="Times New Roman"/>
        </w:rPr>
        <w:t>)</w:t>
      </w:r>
      <w:r w:rsidRPr="00950741">
        <w:rPr>
          <w:rFonts w:ascii="Times New Roman" w:hAnsi="Times New Roman"/>
        </w:rPr>
        <w:t>(a) for wreck removal claims</w:t>
      </w:r>
    </w:p>
    <w:p w14:paraId="5F136F60" w14:textId="492B9641" w:rsidR="008430A2" w:rsidRPr="00950741" w:rsidRDefault="007D29AB"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8430A2" w:rsidRPr="00950741">
        <w:rPr>
          <w:rFonts w:ascii="Times New Roman" w:hAnsi="Times New Roman"/>
        </w:rPr>
        <w:t xml:space="preserve">That </w:t>
      </w:r>
      <w:r w:rsidR="002D6C94" w:rsidRPr="00950741">
        <w:rPr>
          <w:rFonts w:ascii="Times New Roman" w:hAnsi="Times New Roman"/>
        </w:rPr>
        <w:t xml:space="preserve">the scope of </w:t>
      </w:r>
      <w:r w:rsidR="008430A2" w:rsidRPr="00950741">
        <w:rPr>
          <w:rFonts w:ascii="Times New Roman" w:hAnsi="Times New Roman"/>
        </w:rPr>
        <w:t>Art</w:t>
      </w:r>
      <w:r w:rsidR="00123F08" w:rsidRPr="00950741">
        <w:rPr>
          <w:rFonts w:ascii="Times New Roman" w:hAnsi="Times New Roman"/>
        </w:rPr>
        <w:t> </w:t>
      </w:r>
      <w:r w:rsidR="008430A2" w:rsidRPr="00950741">
        <w:rPr>
          <w:rFonts w:ascii="Times New Roman" w:hAnsi="Times New Roman"/>
        </w:rPr>
        <w:t>2</w:t>
      </w:r>
      <w:r w:rsidR="000E4C6E" w:rsidRPr="00950741">
        <w:rPr>
          <w:rFonts w:ascii="Times New Roman" w:hAnsi="Times New Roman"/>
        </w:rPr>
        <w:t>(</w:t>
      </w:r>
      <w:r w:rsidR="008430A2" w:rsidRPr="00950741">
        <w:rPr>
          <w:rFonts w:ascii="Times New Roman" w:hAnsi="Times New Roman"/>
        </w:rPr>
        <w:t>1</w:t>
      </w:r>
      <w:r w:rsidR="000E4C6E" w:rsidRPr="00950741">
        <w:rPr>
          <w:rFonts w:ascii="Times New Roman" w:hAnsi="Times New Roman"/>
        </w:rPr>
        <w:t>)</w:t>
      </w:r>
      <w:r w:rsidR="008430A2" w:rsidRPr="00950741">
        <w:rPr>
          <w:rFonts w:ascii="Times New Roman" w:hAnsi="Times New Roman"/>
        </w:rPr>
        <w:t xml:space="preserve">(d) </w:t>
      </w:r>
      <w:r w:rsidR="002D6C94" w:rsidRPr="00950741">
        <w:rPr>
          <w:rFonts w:ascii="Times New Roman" w:hAnsi="Times New Roman"/>
        </w:rPr>
        <w:t>for "claims in respect of the raising, removal, destruction or the rendering harmless of a ship which is sunk, wrecked, stranded or abandoned"</w:t>
      </w:r>
      <w:r w:rsidR="006649BF" w:rsidRPr="00950741">
        <w:rPr>
          <w:rFonts w:ascii="Times New Roman" w:hAnsi="Times New Roman"/>
        </w:rPr>
        <w:t xml:space="preserve"> is broader than Art</w:t>
      </w:r>
      <w:r w:rsidR="00123F08" w:rsidRPr="00950741">
        <w:rPr>
          <w:rFonts w:ascii="Times New Roman" w:hAnsi="Times New Roman"/>
        </w:rPr>
        <w:t> </w:t>
      </w:r>
      <w:r w:rsidR="006649BF" w:rsidRPr="00950741">
        <w:rPr>
          <w:rFonts w:ascii="Times New Roman" w:hAnsi="Times New Roman"/>
        </w:rPr>
        <w:t>2</w:t>
      </w:r>
      <w:r w:rsidR="00422AB3" w:rsidRPr="00950741">
        <w:rPr>
          <w:rFonts w:ascii="Times New Roman" w:hAnsi="Times New Roman"/>
        </w:rPr>
        <w:t>(</w:t>
      </w:r>
      <w:r w:rsidR="006649BF" w:rsidRPr="00950741">
        <w:rPr>
          <w:rFonts w:ascii="Times New Roman" w:hAnsi="Times New Roman"/>
        </w:rPr>
        <w:t>1</w:t>
      </w:r>
      <w:r w:rsidR="00422AB3" w:rsidRPr="00950741">
        <w:rPr>
          <w:rFonts w:ascii="Times New Roman" w:hAnsi="Times New Roman"/>
        </w:rPr>
        <w:t>)</w:t>
      </w:r>
      <w:r w:rsidR="006649BF" w:rsidRPr="00950741">
        <w:rPr>
          <w:rFonts w:ascii="Times New Roman" w:hAnsi="Times New Roman"/>
        </w:rPr>
        <w:t xml:space="preserve">(a) </w:t>
      </w:r>
      <w:r w:rsidR="00156292" w:rsidRPr="00950741">
        <w:rPr>
          <w:rFonts w:ascii="Times New Roman" w:hAnsi="Times New Roman"/>
        </w:rPr>
        <w:t>in its application to claims for wreck removal</w:t>
      </w:r>
      <w:r w:rsidR="00D025CB" w:rsidRPr="00950741">
        <w:rPr>
          <w:rFonts w:ascii="Times New Roman" w:hAnsi="Times New Roman"/>
        </w:rPr>
        <w:t>, so that Art</w:t>
      </w:r>
      <w:r w:rsidR="00123F08" w:rsidRPr="00950741">
        <w:rPr>
          <w:rFonts w:ascii="Times New Roman" w:hAnsi="Times New Roman"/>
        </w:rPr>
        <w:t> </w:t>
      </w:r>
      <w:r w:rsidR="00D025CB" w:rsidRPr="00950741">
        <w:rPr>
          <w:rFonts w:ascii="Times New Roman" w:hAnsi="Times New Roman"/>
        </w:rPr>
        <w:t>2</w:t>
      </w:r>
      <w:r w:rsidR="00422AB3" w:rsidRPr="00950741">
        <w:rPr>
          <w:rFonts w:ascii="Times New Roman" w:hAnsi="Times New Roman"/>
        </w:rPr>
        <w:t>(</w:t>
      </w:r>
      <w:r w:rsidR="00D025CB" w:rsidRPr="00950741">
        <w:rPr>
          <w:rFonts w:ascii="Times New Roman" w:hAnsi="Times New Roman"/>
        </w:rPr>
        <w:t>1</w:t>
      </w:r>
      <w:r w:rsidR="00422AB3" w:rsidRPr="00950741">
        <w:rPr>
          <w:rFonts w:ascii="Times New Roman" w:hAnsi="Times New Roman"/>
        </w:rPr>
        <w:t>)</w:t>
      </w:r>
      <w:r w:rsidR="00D025CB" w:rsidRPr="00950741">
        <w:rPr>
          <w:rFonts w:ascii="Times New Roman" w:hAnsi="Times New Roman"/>
        </w:rPr>
        <w:t>(d) and</w:t>
      </w:r>
      <w:r w:rsidR="00AD4E3E" w:rsidRPr="00950741">
        <w:rPr>
          <w:rFonts w:ascii="Times New Roman" w:hAnsi="Times New Roman"/>
        </w:rPr>
        <w:t> </w:t>
      </w:r>
      <w:r w:rsidR="00D025CB" w:rsidRPr="00950741">
        <w:rPr>
          <w:rFonts w:ascii="Times New Roman" w:hAnsi="Times New Roman"/>
        </w:rPr>
        <w:t>(a) are not co-extensive within that sphere of operation</w:t>
      </w:r>
      <w:r w:rsidR="002B5388" w:rsidRPr="00950741">
        <w:rPr>
          <w:rFonts w:ascii="Times New Roman" w:hAnsi="Times New Roman"/>
        </w:rPr>
        <w:t>,</w:t>
      </w:r>
      <w:r w:rsidR="00D025CB" w:rsidRPr="00950741">
        <w:rPr>
          <w:rFonts w:ascii="Times New Roman" w:hAnsi="Times New Roman"/>
        </w:rPr>
        <w:t xml:space="preserve"> may be accepted but is immaterial.</w:t>
      </w:r>
      <w:r w:rsidR="00291659" w:rsidRPr="00950741">
        <w:rPr>
          <w:rFonts w:ascii="Times New Roman" w:hAnsi="Times New Roman"/>
        </w:rPr>
        <w:t xml:space="preserve"> </w:t>
      </w:r>
      <w:r w:rsidR="00E14CE6" w:rsidRPr="00950741">
        <w:rPr>
          <w:rFonts w:ascii="Times New Roman" w:hAnsi="Times New Roman"/>
        </w:rPr>
        <w:t xml:space="preserve">The relevant question in this appeal is confined to a case in which the claim is within the scope of both </w:t>
      </w:r>
      <w:r w:rsidR="00DF4793" w:rsidRPr="00950741">
        <w:rPr>
          <w:rFonts w:ascii="Times New Roman" w:hAnsi="Times New Roman"/>
        </w:rPr>
        <w:t>Art</w:t>
      </w:r>
      <w:r w:rsidR="00123F08" w:rsidRPr="00950741">
        <w:rPr>
          <w:rFonts w:ascii="Times New Roman" w:hAnsi="Times New Roman"/>
        </w:rPr>
        <w:t> </w:t>
      </w:r>
      <w:r w:rsidR="00DF4793" w:rsidRPr="00950741">
        <w:rPr>
          <w:rFonts w:ascii="Times New Roman" w:hAnsi="Times New Roman"/>
        </w:rPr>
        <w:t>2</w:t>
      </w:r>
      <w:r w:rsidR="00AD4E3E" w:rsidRPr="00950741">
        <w:rPr>
          <w:rFonts w:ascii="Times New Roman" w:hAnsi="Times New Roman"/>
        </w:rPr>
        <w:t>(</w:t>
      </w:r>
      <w:r w:rsidR="00DF4793" w:rsidRPr="00950741">
        <w:rPr>
          <w:rFonts w:ascii="Times New Roman" w:hAnsi="Times New Roman"/>
        </w:rPr>
        <w:t>1</w:t>
      </w:r>
      <w:r w:rsidR="00AD4E3E" w:rsidRPr="00950741">
        <w:rPr>
          <w:rFonts w:ascii="Times New Roman" w:hAnsi="Times New Roman"/>
        </w:rPr>
        <w:t>)</w:t>
      </w:r>
      <w:r w:rsidR="00DF4793" w:rsidRPr="00950741">
        <w:rPr>
          <w:rFonts w:ascii="Times New Roman" w:hAnsi="Times New Roman"/>
        </w:rPr>
        <w:t>(a) and</w:t>
      </w:r>
      <w:r w:rsidR="00AD4E3E" w:rsidRPr="00950741">
        <w:rPr>
          <w:rFonts w:ascii="Times New Roman" w:hAnsi="Times New Roman"/>
        </w:rPr>
        <w:t> </w:t>
      </w:r>
      <w:r w:rsidR="00DF4793" w:rsidRPr="00950741">
        <w:rPr>
          <w:rFonts w:ascii="Times New Roman" w:hAnsi="Times New Roman"/>
        </w:rPr>
        <w:t xml:space="preserve">(d). </w:t>
      </w:r>
      <w:r w:rsidR="003F1661" w:rsidRPr="00950741">
        <w:rPr>
          <w:rFonts w:ascii="Times New Roman" w:hAnsi="Times New Roman"/>
        </w:rPr>
        <w:t xml:space="preserve">No </w:t>
      </w:r>
      <w:r w:rsidR="00A23AB6" w:rsidRPr="00950741">
        <w:rPr>
          <w:rFonts w:ascii="Times New Roman" w:hAnsi="Times New Roman"/>
        </w:rPr>
        <w:t xml:space="preserve">cogent textual, contextual or purposive </w:t>
      </w:r>
      <w:r w:rsidR="00F645DF" w:rsidRPr="00950741">
        <w:rPr>
          <w:rFonts w:ascii="Times New Roman" w:hAnsi="Times New Roman"/>
        </w:rPr>
        <w:t>considerations supp</w:t>
      </w:r>
      <w:r w:rsidR="00C8189D" w:rsidRPr="00950741">
        <w:rPr>
          <w:rFonts w:ascii="Times New Roman" w:hAnsi="Times New Roman"/>
        </w:rPr>
        <w:t xml:space="preserve">ort CSL's case that </w:t>
      </w:r>
      <w:r w:rsidR="00A23AB6" w:rsidRPr="00950741">
        <w:rPr>
          <w:rFonts w:ascii="Times New Roman" w:hAnsi="Times New Roman"/>
        </w:rPr>
        <w:t xml:space="preserve">the </w:t>
      </w:r>
      <w:r w:rsidR="00AB12D3" w:rsidRPr="00950741">
        <w:rPr>
          <w:rFonts w:ascii="Times New Roman" w:hAnsi="Times New Roman"/>
        </w:rPr>
        <w:t>right of reservation in Art</w:t>
      </w:r>
      <w:r w:rsidR="00123F08" w:rsidRPr="00950741">
        <w:rPr>
          <w:rFonts w:ascii="Times New Roman" w:hAnsi="Times New Roman"/>
        </w:rPr>
        <w:t> </w:t>
      </w:r>
      <w:r w:rsidR="00AB12D3" w:rsidRPr="00950741">
        <w:rPr>
          <w:rFonts w:ascii="Times New Roman" w:hAnsi="Times New Roman"/>
        </w:rPr>
        <w:t>18</w:t>
      </w:r>
      <w:r w:rsidR="00AD4E3E" w:rsidRPr="00950741">
        <w:rPr>
          <w:rFonts w:ascii="Times New Roman" w:hAnsi="Times New Roman"/>
        </w:rPr>
        <w:t>(</w:t>
      </w:r>
      <w:r w:rsidR="00AB12D3" w:rsidRPr="00950741">
        <w:rPr>
          <w:rFonts w:ascii="Times New Roman" w:hAnsi="Times New Roman"/>
        </w:rPr>
        <w:t>1</w:t>
      </w:r>
      <w:r w:rsidR="00AD4E3E" w:rsidRPr="00950741">
        <w:rPr>
          <w:rFonts w:ascii="Times New Roman" w:hAnsi="Times New Roman"/>
        </w:rPr>
        <w:t>)</w:t>
      </w:r>
      <w:r w:rsidR="00AB12D3" w:rsidRPr="00950741">
        <w:rPr>
          <w:rFonts w:ascii="Times New Roman" w:hAnsi="Times New Roman"/>
        </w:rPr>
        <w:t xml:space="preserve"> appl</w:t>
      </w:r>
      <w:r w:rsidR="00123F08" w:rsidRPr="00950741">
        <w:rPr>
          <w:rFonts w:ascii="Times New Roman" w:hAnsi="Times New Roman"/>
        </w:rPr>
        <w:t>ies</w:t>
      </w:r>
      <w:r w:rsidR="00AB12D3" w:rsidRPr="00950741">
        <w:rPr>
          <w:rFonts w:ascii="Times New Roman" w:hAnsi="Times New Roman"/>
        </w:rPr>
        <w:t xml:space="preserve"> only to those claims within Art</w:t>
      </w:r>
      <w:r w:rsidR="00AD4E3E" w:rsidRPr="00950741">
        <w:rPr>
          <w:rFonts w:ascii="Times New Roman" w:hAnsi="Times New Roman"/>
        </w:rPr>
        <w:t> </w:t>
      </w:r>
      <w:r w:rsidR="00AB12D3" w:rsidRPr="00950741">
        <w:rPr>
          <w:rFonts w:ascii="Times New Roman" w:hAnsi="Times New Roman"/>
        </w:rPr>
        <w:t>2</w:t>
      </w:r>
      <w:r w:rsidR="00AD4E3E" w:rsidRPr="00950741">
        <w:rPr>
          <w:rFonts w:ascii="Times New Roman" w:hAnsi="Times New Roman"/>
        </w:rPr>
        <w:t>(</w:t>
      </w:r>
      <w:r w:rsidR="00AB12D3" w:rsidRPr="00950741">
        <w:rPr>
          <w:rFonts w:ascii="Times New Roman" w:hAnsi="Times New Roman"/>
        </w:rPr>
        <w:t>1</w:t>
      </w:r>
      <w:r w:rsidR="00AD4E3E" w:rsidRPr="00950741">
        <w:rPr>
          <w:rFonts w:ascii="Times New Roman" w:hAnsi="Times New Roman"/>
        </w:rPr>
        <w:t>)</w:t>
      </w:r>
      <w:r w:rsidR="00AB12D3" w:rsidRPr="00950741">
        <w:rPr>
          <w:rFonts w:ascii="Times New Roman" w:hAnsi="Times New Roman"/>
        </w:rPr>
        <w:t xml:space="preserve">(d) which </w:t>
      </w:r>
      <w:r w:rsidR="002B5388" w:rsidRPr="00950741">
        <w:rPr>
          <w:rFonts w:ascii="Times New Roman" w:hAnsi="Times New Roman"/>
        </w:rPr>
        <w:t xml:space="preserve">are </w:t>
      </w:r>
      <w:r w:rsidR="00AB12D3" w:rsidRPr="00950741">
        <w:rPr>
          <w:rFonts w:ascii="Times New Roman" w:hAnsi="Times New Roman"/>
        </w:rPr>
        <w:t>not also within Art</w:t>
      </w:r>
      <w:r w:rsidR="00F65903" w:rsidRPr="00950741">
        <w:rPr>
          <w:rFonts w:ascii="Times New Roman" w:hAnsi="Times New Roman"/>
        </w:rPr>
        <w:t> </w:t>
      </w:r>
      <w:r w:rsidR="00AB12D3" w:rsidRPr="00950741">
        <w:rPr>
          <w:rFonts w:ascii="Times New Roman" w:hAnsi="Times New Roman"/>
        </w:rPr>
        <w:t>2</w:t>
      </w:r>
      <w:r w:rsidR="00AD4E3E" w:rsidRPr="00950741">
        <w:rPr>
          <w:rFonts w:ascii="Times New Roman" w:hAnsi="Times New Roman"/>
        </w:rPr>
        <w:t>(</w:t>
      </w:r>
      <w:r w:rsidR="00AB12D3" w:rsidRPr="00950741">
        <w:rPr>
          <w:rFonts w:ascii="Times New Roman" w:hAnsi="Times New Roman"/>
        </w:rPr>
        <w:t>1</w:t>
      </w:r>
      <w:r w:rsidR="00AD4E3E" w:rsidRPr="00950741">
        <w:rPr>
          <w:rFonts w:ascii="Times New Roman" w:hAnsi="Times New Roman"/>
        </w:rPr>
        <w:t>)</w:t>
      </w:r>
      <w:r w:rsidR="00AB12D3" w:rsidRPr="00950741">
        <w:rPr>
          <w:rFonts w:ascii="Times New Roman" w:hAnsi="Times New Roman"/>
        </w:rPr>
        <w:t xml:space="preserve">(a). </w:t>
      </w:r>
      <w:r w:rsidR="00C8189D" w:rsidRPr="00950741">
        <w:rPr>
          <w:rFonts w:ascii="Times New Roman" w:hAnsi="Times New Roman"/>
        </w:rPr>
        <w:t>A</w:t>
      </w:r>
      <w:r w:rsidR="00F645DF" w:rsidRPr="00950741">
        <w:rPr>
          <w:rFonts w:ascii="Times New Roman" w:hAnsi="Times New Roman"/>
        </w:rPr>
        <w:t xml:space="preserve">s </w:t>
      </w:r>
      <w:r w:rsidR="00C8189D" w:rsidRPr="00950741">
        <w:rPr>
          <w:rFonts w:ascii="Times New Roman" w:hAnsi="Times New Roman"/>
        </w:rPr>
        <w:t>explained</w:t>
      </w:r>
      <w:r w:rsidR="00F645DF" w:rsidRPr="00950741">
        <w:rPr>
          <w:rFonts w:ascii="Times New Roman" w:hAnsi="Times New Roman"/>
        </w:rPr>
        <w:t xml:space="preserve">, </w:t>
      </w:r>
      <w:r w:rsidR="00C8189D" w:rsidRPr="00950741">
        <w:rPr>
          <w:rFonts w:ascii="Times New Roman" w:hAnsi="Times New Roman"/>
        </w:rPr>
        <w:t xml:space="preserve">all textual, contextual and purposive considerations support </w:t>
      </w:r>
      <w:r w:rsidR="00E56154" w:rsidRPr="00950741">
        <w:rPr>
          <w:rFonts w:ascii="Times New Roman" w:hAnsi="Times New Roman"/>
        </w:rPr>
        <w:t>giving Art</w:t>
      </w:r>
      <w:r w:rsidR="00AD4E3E" w:rsidRPr="00950741">
        <w:rPr>
          <w:rFonts w:ascii="Times New Roman" w:hAnsi="Times New Roman"/>
        </w:rPr>
        <w:t>s</w:t>
      </w:r>
      <w:r w:rsidR="00E56154" w:rsidRPr="00950741">
        <w:rPr>
          <w:rFonts w:ascii="Times New Roman" w:hAnsi="Times New Roman"/>
        </w:rPr>
        <w:t> 1</w:t>
      </w:r>
      <w:r w:rsidR="00AD4E3E" w:rsidRPr="00950741">
        <w:rPr>
          <w:rFonts w:ascii="Times New Roman" w:hAnsi="Times New Roman"/>
        </w:rPr>
        <w:t>(</w:t>
      </w:r>
      <w:r w:rsidR="00E56154" w:rsidRPr="00950741">
        <w:rPr>
          <w:rFonts w:ascii="Times New Roman" w:hAnsi="Times New Roman"/>
        </w:rPr>
        <w:t>1</w:t>
      </w:r>
      <w:r w:rsidR="00AD4E3E" w:rsidRPr="00950741">
        <w:rPr>
          <w:rFonts w:ascii="Times New Roman" w:hAnsi="Times New Roman"/>
        </w:rPr>
        <w:t>)</w:t>
      </w:r>
      <w:r w:rsidR="00E56154" w:rsidRPr="00950741">
        <w:rPr>
          <w:rFonts w:ascii="Times New Roman" w:hAnsi="Times New Roman"/>
        </w:rPr>
        <w:t>,</w:t>
      </w:r>
      <w:r w:rsidR="00AD4E3E" w:rsidRPr="00950741">
        <w:rPr>
          <w:rFonts w:ascii="Times New Roman" w:hAnsi="Times New Roman"/>
        </w:rPr>
        <w:t> </w:t>
      </w:r>
      <w:r w:rsidR="00E56154" w:rsidRPr="00950741">
        <w:rPr>
          <w:rFonts w:ascii="Times New Roman" w:hAnsi="Times New Roman"/>
        </w:rPr>
        <w:t>2</w:t>
      </w:r>
      <w:r w:rsidR="00AD4E3E" w:rsidRPr="00950741">
        <w:rPr>
          <w:rFonts w:ascii="Times New Roman" w:hAnsi="Times New Roman"/>
        </w:rPr>
        <w:t>(</w:t>
      </w:r>
      <w:r w:rsidR="00E56154" w:rsidRPr="00950741">
        <w:rPr>
          <w:rFonts w:ascii="Times New Roman" w:hAnsi="Times New Roman"/>
        </w:rPr>
        <w:t>1</w:t>
      </w:r>
      <w:r w:rsidR="00AD4E3E" w:rsidRPr="00950741">
        <w:rPr>
          <w:rFonts w:ascii="Times New Roman" w:hAnsi="Times New Roman"/>
        </w:rPr>
        <w:t>)</w:t>
      </w:r>
      <w:r w:rsidR="00E56154" w:rsidRPr="00950741">
        <w:rPr>
          <w:rFonts w:ascii="Times New Roman" w:hAnsi="Times New Roman"/>
        </w:rPr>
        <w:t xml:space="preserve"> and</w:t>
      </w:r>
      <w:r w:rsidR="00AD4E3E" w:rsidRPr="00950741">
        <w:rPr>
          <w:rFonts w:ascii="Times New Roman" w:hAnsi="Times New Roman"/>
        </w:rPr>
        <w:t> </w:t>
      </w:r>
      <w:r w:rsidR="00E56154" w:rsidRPr="00950741">
        <w:rPr>
          <w:rFonts w:ascii="Times New Roman" w:hAnsi="Times New Roman"/>
        </w:rPr>
        <w:t>18</w:t>
      </w:r>
      <w:r w:rsidR="00AD4E3E" w:rsidRPr="00950741">
        <w:rPr>
          <w:rFonts w:ascii="Times New Roman" w:hAnsi="Times New Roman"/>
        </w:rPr>
        <w:t>(</w:t>
      </w:r>
      <w:r w:rsidR="00E56154" w:rsidRPr="00950741">
        <w:rPr>
          <w:rFonts w:ascii="Times New Roman" w:hAnsi="Times New Roman"/>
        </w:rPr>
        <w:t>1</w:t>
      </w:r>
      <w:r w:rsidR="00AD4E3E" w:rsidRPr="00950741">
        <w:rPr>
          <w:rFonts w:ascii="Times New Roman" w:hAnsi="Times New Roman"/>
        </w:rPr>
        <w:t>)</w:t>
      </w:r>
      <w:r w:rsidR="00E56154" w:rsidRPr="00950741">
        <w:rPr>
          <w:rFonts w:ascii="Times New Roman" w:hAnsi="Times New Roman"/>
        </w:rPr>
        <w:t xml:space="preserve"> their ordinary and common sense meaning </w:t>
      </w:r>
      <w:r w:rsidR="003475F8" w:rsidRPr="00950741">
        <w:rPr>
          <w:rFonts w:ascii="Times New Roman" w:hAnsi="Times New Roman"/>
        </w:rPr>
        <w:t>as TasPorts' proposes.</w:t>
      </w:r>
    </w:p>
    <w:p w14:paraId="25AC1F06" w14:textId="20440EDF" w:rsidR="00290798" w:rsidRPr="00950741" w:rsidRDefault="00290798" w:rsidP="00950741">
      <w:pPr>
        <w:pStyle w:val="HeadingL2"/>
        <w:spacing w:after="260" w:line="280" w:lineRule="exact"/>
        <w:ind w:right="0"/>
        <w:jc w:val="both"/>
        <w:rPr>
          <w:rFonts w:ascii="Times New Roman" w:hAnsi="Times New Roman"/>
        </w:rPr>
      </w:pPr>
      <w:r w:rsidRPr="00950741">
        <w:rPr>
          <w:rFonts w:ascii="Times New Roman" w:hAnsi="Times New Roman"/>
        </w:rPr>
        <w:t>Perverse outcome?</w:t>
      </w:r>
    </w:p>
    <w:p w14:paraId="5B809568" w14:textId="0EE01F92" w:rsidR="00290798" w:rsidRPr="00950741" w:rsidRDefault="00290798"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0A06A1" w:rsidRPr="00950741">
        <w:rPr>
          <w:rFonts w:ascii="Times New Roman" w:hAnsi="Times New Roman"/>
        </w:rPr>
        <w:t xml:space="preserve">CSL contended that it would </w:t>
      </w:r>
      <w:r w:rsidR="00E053D9" w:rsidRPr="00950741">
        <w:rPr>
          <w:rFonts w:ascii="Times New Roman" w:hAnsi="Times New Roman"/>
        </w:rPr>
        <w:t xml:space="preserve">provide a </w:t>
      </w:r>
      <w:r w:rsidR="000A06A1" w:rsidRPr="00950741">
        <w:rPr>
          <w:rFonts w:ascii="Times New Roman" w:hAnsi="Times New Roman"/>
        </w:rPr>
        <w:t>"perverse"</w:t>
      </w:r>
      <w:r w:rsidR="00E053D9" w:rsidRPr="00950741">
        <w:rPr>
          <w:rFonts w:ascii="Times New Roman" w:hAnsi="Times New Roman"/>
        </w:rPr>
        <w:t xml:space="preserve"> incentive</w:t>
      </w:r>
      <w:r w:rsidR="000A06A1" w:rsidRPr="00950741">
        <w:rPr>
          <w:rFonts w:ascii="Times New Roman" w:hAnsi="Times New Roman"/>
        </w:rPr>
        <w:t xml:space="preserve"> if </w:t>
      </w:r>
      <w:r w:rsidR="00392E3F" w:rsidRPr="00950741">
        <w:rPr>
          <w:rFonts w:ascii="Times New Roman" w:hAnsi="Times New Roman"/>
        </w:rPr>
        <w:t xml:space="preserve">in a case where a ship </w:t>
      </w:r>
      <w:r w:rsidR="0020611B" w:rsidRPr="00950741">
        <w:rPr>
          <w:rFonts w:ascii="Times New Roman" w:hAnsi="Times New Roman"/>
        </w:rPr>
        <w:t xml:space="preserve">is struck by a limiting ship and </w:t>
      </w:r>
      <w:r w:rsidR="00A04484" w:rsidRPr="00950741">
        <w:rPr>
          <w:rFonts w:ascii="Times New Roman" w:hAnsi="Times New Roman"/>
        </w:rPr>
        <w:t>sinks</w:t>
      </w:r>
      <w:r w:rsidR="006F5FA8" w:rsidRPr="00950741">
        <w:rPr>
          <w:rFonts w:ascii="Times New Roman" w:hAnsi="Times New Roman"/>
        </w:rPr>
        <w:t>,</w:t>
      </w:r>
      <w:r w:rsidR="00A04484" w:rsidRPr="00950741">
        <w:rPr>
          <w:rFonts w:ascii="Times New Roman" w:hAnsi="Times New Roman"/>
        </w:rPr>
        <w:t xml:space="preserve"> </w:t>
      </w:r>
      <w:r w:rsidR="00392E3F" w:rsidRPr="00950741">
        <w:rPr>
          <w:rFonts w:ascii="Times New Roman" w:hAnsi="Times New Roman"/>
        </w:rPr>
        <w:t xml:space="preserve">the limiting ship </w:t>
      </w:r>
      <w:r w:rsidR="00A04484" w:rsidRPr="00950741">
        <w:rPr>
          <w:rFonts w:ascii="Times New Roman" w:hAnsi="Times New Roman"/>
        </w:rPr>
        <w:t>can</w:t>
      </w:r>
      <w:r w:rsidR="00392E3F" w:rsidRPr="00950741">
        <w:rPr>
          <w:rFonts w:ascii="Times New Roman" w:hAnsi="Times New Roman"/>
        </w:rPr>
        <w:t>not limit its liability</w:t>
      </w:r>
      <w:r w:rsidR="00BC05A7" w:rsidRPr="00950741">
        <w:rPr>
          <w:rFonts w:ascii="Times New Roman" w:hAnsi="Times New Roman"/>
        </w:rPr>
        <w:t>,</w:t>
      </w:r>
      <w:r w:rsidR="00392E3F" w:rsidRPr="00950741">
        <w:rPr>
          <w:rFonts w:ascii="Times New Roman" w:hAnsi="Times New Roman"/>
        </w:rPr>
        <w:t xml:space="preserve"> </w:t>
      </w:r>
      <w:r w:rsidR="0020611B" w:rsidRPr="00950741">
        <w:rPr>
          <w:rFonts w:ascii="Times New Roman" w:hAnsi="Times New Roman"/>
        </w:rPr>
        <w:t xml:space="preserve">but </w:t>
      </w:r>
      <w:r w:rsidR="000362CD" w:rsidRPr="00950741">
        <w:rPr>
          <w:rFonts w:ascii="Times New Roman" w:hAnsi="Times New Roman"/>
        </w:rPr>
        <w:t xml:space="preserve">in a </w:t>
      </w:r>
      <w:r w:rsidR="00384C02" w:rsidRPr="00950741">
        <w:rPr>
          <w:rFonts w:ascii="Times New Roman" w:hAnsi="Times New Roman"/>
        </w:rPr>
        <w:t xml:space="preserve">case where a </w:t>
      </w:r>
      <w:r w:rsidR="0020611B" w:rsidRPr="00950741">
        <w:rPr>
          <w:rFonts w:ascii="Times New Roman" w:hAnsi="Times New Roman"/>
        </w:rPr>
        <w:t>ship is struck by a limiting ship and does not sink</w:t>
      </w:r>
      <w:r w:rsidR="00764E17" w:rsidRPr="00950741">
        <w:rPr>
          <w:rFonts w:ascii="Times New Roman" w:hAnsi="Times New Roman"/>
        </w:rPr>
        <w:t>,</w:t>
      </w:r>
      <w:r w:rsidR="0020611B" w:rsidRPr="00950741">
        <w:rPr>
          <w:rFonts w:ascii="Times New Roman" w:hAnsi="Times New Roman"/>
        </w:rPr>
        <w:t xml:space="preserve"> </w:t>
      </w:r>
      <w:r w:rsidR="00384C02" w:rsidRPr="00950741">
        <w:rPr>
          <w:rFonts w:ascii="Times New Roman" w:hAnsi="Times New Roman"/>
        </w:rPr>
        <w:t>the limiting ship can limit its liability</w:t>
      </w:r>
      <w:r w:rsidR="00764E17" w:rsidRPr="00950741">
        <w:rPr>
          <w:rFonts w:ascii="Times New Roman" w:hAnsi="Times New Roman"/>
        </w:rPr>
        <w:t>. Th</w:t>
      </w:r>
      <w:r w:rsidR="00FB5127" w:rsidRPr="00950741">
        <w:rPr>
          <w:rFonts w:ascii="Times New Roman" w:hAnsi="Times New Roman"/>
        </w:rPr>
        <w:t>is</w:t>
      </w:r>
      <w:r w:rsidR="00764E17" w:rsidRPr="00950741">
        <w:rPr>
          <w:rFonts w:ascii="Times New Roman" w:hAnsi="Times New Roman"/>
        </w:rPr>
        <w:t xml:space="preserve"> </w:t>
      </w:r>
      <w:r w:rsidR="00FB5127" w:rsidRPr="00950741">
        <w:rPr>
          <w:rFonts w:ascii="Times New Roman" w:hAnsi="Times New Roman"/>
        </w:rPr>
        <w:t>would be so</w:t>
      </w:r>
      <w:r w:rsidR="00764E17" w:rsidRPr="00950741">
        <w:rPr>
          <w:rFonts w:ascii="Times New Roman" w:hAnsi="Times New Roman"/>
        </w:rPr>
        <w:t>, CSL submitted</w:t>
      </w:r>
      <w:r w:rsidR="0020611B" w:rsidRPr="00950741">
        <w:rPr>
          <w:rFonts w:ascii="Times New Roman" w:hAnsi="Times New Roman"/>
        </w:rPr>
        <w:t xml:space="preserve">, because the owner of the struck ship </w:t>
      </w:r>
      <w:r w:rsidR="0012220E" w:rsidRPr="00950741">
        <w:rPr>
          <w:rFonts w:ascii="Times New Roman" w:hAnsi="Times New Roman"/>
        </w:rPr>
        <w:t xml:space="preserve">would then be in a better position to allow its ship to </w:t>
      </w:r>
      <w:r w:rsidR="0012220E" w:rsidRPr="00950741">
        <w:rPr>
          <w:rFonts w:ascii="Times New Roman" w:hAnsi="Times New Roman"/>
        </w:rPr>
        <w:lastRenderedPageBreak/>
        <w:t xml:space="preserve">sink than to </w:t>
      </w:r>
      <w:r w:rsidR="00E053D9" w:rsidRPr="00950741">
        <w:rPr>
          <w:rFonts w:ascii="Times New Roman" w:hAnsi="Times New Roman"/>
        </w:rPr>
        <w:t xml:space="preserve">prevent it from sinking. </w:t>
      </w:r>
      <w:r w:rsidR="00F53411" w:rsidRPr="00950741">
        <w:rPr>
          <w:rFonts w:ascii="Times New Roman" w:hAnsi="Times New Roman"/>
        </w:rPr>
        <w:t xml:space="preserve">One </w:t>
      </w:r>
      <w:r w:rsidR="00CB31C8" w:rsidRPr="00950741">
        <w:rPr>
          <w:rFonts w:ascii="Times New Roman" w:hAnsi="Times New Roman"/>
        </w:rPr>
        <w:t>answer to this supposed perverse incentive is that the State Parties, in negotiating the 1976</w:t>
      </w:r>
      <w:r w:rsidR="00F65903" w:rsidRPr="00950741">
        <w:rPr>
          <w:rFonts w:ascii="Times New Roman" w:hAnsi="Times New Roman"/>
        </w:rPr>
        <w:t> </w:t>
      </w:r>
      <w:r w:rsidR="00CB31C8" w:rsidRPr="00950741">
        <w:rPr>
          <w:rFonts w:ascii="Times New Roman" w:hAnsi="Times New Roman"/>
        </w:rPr>
        <w:t>Convention</w:t>
      </w:r>
      <w:r w:rsidR="00457425" w:rsidRPr="00950741">
        <w:rPr>
          <w:rFonts w:ascii="Times New Roman" w:hAnsi="Times New Roman"/>
        </w:rPr>
        <w:t>, provided for the inclusion of Art</w:t>
      </w:r>
      <w:r w:rsidR="00F65903" w:rsidRPr="00950741">
        <w:rPr>
          <w:rFonts w:ascii="Times New Roman" w:hAnsi="Times New Roman"/>
        </w:rPr>
        <w:t> </w:t>
      </w:r>
      <w:r w:rsidR="00457425" w:rsidRPr="00950741">
        <w:rPr>
          <w:rFonts w:ascii="Times New Roman" w:hAnsi="Times New Roman"/>
        </w:rPr>
        <w:t>18</w:t>
      </w:r>
      <w:r w:rsidR="00C9426D" w:rsidRPr="00950741">
        <w:rPr>
          <w:rFonts w:ascii="Times New Roman" w:hAnsi="Times New Roman"/>
        </w:rPr>
        <w:t>(</w:t>
      </w:r>
      <w:r w:rsidR="00457425" w:rsidRPr="00950741">
        <w:rPr>
          <w:rFonts w:ascii="Times New Roman" w:hAnsi="Times New Roman"/>
        </w:rPr>
        <w:t>1</w:t>
      </w:r>
      <w:r w:rsidR="00C9426D" w:rsidRPr="00950741">
        <w:rPr>
          <w:rFonts w:ascii="Times New Roman" w:hAnsi="Times New Roman"/>
        </w:rPr>
        <w:t>)</w:t>
      </w:r>
      <w:r w:rsidR="00457425" w:rsidRPr="00950741">
        <w:rPr>
          <w:rFonts w:ascii="Times New Roman" w:hAnsi="Times New Roman"/>
        </w:rPr>
        <w:t xml:space="preserve">. Effect must be given to the terms of the exercise of the right in accordance with the text of that Article. </w:t>
      </w:r>
      <w:r w:rsidR="00F53411" w:rsidRPr="00950741">
        <w:rPr>
          <w:rFonts w:ascii="Times New Roman" w:hAnsi="Times New Roman"/>
        </w:rPr>
        <w:t xml:space="preserve">Another answer is that </w:t>
      </w:r>
      <w:r w:rsidR="004364C2" w:rsidRPr="00950741">
        <w:rPr>
          <w:rFonts w:ascii="Times New Roman" w:hAnsi="Times New Roman"/>
        </w:rPr>
        <w:t>the real perversity would be for State Parties to have included Art</w:t>
      </w:r>
      <w:r w:rsidR="00F65903" w:rsidRPr="00950741">
        <w:rPr>
          <w:rFonts w:ascii="Times New Roman" w:hAnsi="Times New Roman"/>
        </w:rPr>
        <w:t> </w:t>
      </w:r>
      <w:r w:rsidR="004364C2" w:rsidRPr="00950741">
        <w:rPr>
          <w:rFonts w:ascii="Times New Roman" w:hAnsi="Times New Roman"/>
        </w:rPr>
        <w:t>18</w:t>
      </w:r>
      <w:r w:rsidR="00764E17" w:rsidRPr="00950741">
        <w:rPr>
          <w:rFonts w:ascii="Times New Roman" w:hAnsi="Times New Roman"/>
        </w:rPr>
        <w:t>(</w:t>
      </w:r>
      <w:r w:rsidR="004364C2" w:rsidRPr="00950741">
        <w:rPr>
          <w:rFonts w:ascii="Times New Roman" w:hAnsi="Times New Roman"/>
        </w:rPr>
        <w:t>1</w:t>
      </w:r>
      <w:r w:rsidR="00764E17" w:rsidRPr="00950741">
        <w:rPr>
          <w:rFonts w:ascii="Times New Roman" w:hAnsi="Times New Roman"/>
        </w:rPr>
        <w:t>)</w:t>
      </w:r>
      <w:r w:rsidR="004364C2" w:rsidRPr="00950741">
        <w:rPr>
          <w:rFonts w:ascii="Times New Roman" w:hAnsi="Times New Roman"/>
        </w:rPr>
        <w:t xml:space="preserve"> </w:t>
      </w:r>
      <w:r w:rsidR="00A55B13" w:rsidRPr="00950741">
        <w:rPr>
          <w:rFonts w:ascii="Times New Roman" w:hAnsi="Times New Roman"/>
        </w:rPr>
        <w:t>in the 1976</w:t>
      </w:r>
      <w:r w:rsidR="00F65903" w:rsidRPr="00950741">
        <w:rPr>
          <w:rFonts w:ascii="Times New Roman" w:hAnsi="Times New Roman"/>
        </w:rPr>
        <w:t> </w:t>
      </w:r>
      <w:r w:rsidR="00A55B13" w:rsidRPr="00950741">
        <w:rPr>
          <w:rFonts w:ascii="Times New Roman" w:hAnsi="Times New Roman"/>
        </w:rPr>
        <w:t xml:space="preserve">Convention </w:t>
      </w:r>
      <w:r w:rsidR="004364C2" w:rsidRPr="00950741">
        <w:rPr>
          <w:rFonts w:ascii="Times New Roman" w:hAnsi="Times New Roman"/>
        </w:rPr>
        <w:t xml:space="preserve">only for its </w:t>
      </w:r>
      <w:r w:rsidR="006B4E59" w:rsidRPr="00950741">
        <w:rPr>
          <w:rFonts w:ascii="Times New Roman" w:hAnsi="Times New Roman"/>
        </w:rPr>
        <w:t>operation</w:t>
      </w:r>
      <w:r w:rsidR="004364C2" w:rsidRPr="00950741">
        <w:rPr>
          <w:rFonts w:ascii="Times New Roman" w:hAnsi="Times New Roman"/>
        </w:rPr>
        <w:t xml:space="preserve"> to be limited by an unspoken </w:t>
      </w:r>
      <w:r w:rsidR="006B4E59" w:rsidRPr="00950741">
        <w:rPr>
          <w:rFonts w:ascii="Times New Roman" w:hAnsi="Times New Roman"/>
        </w:rPr>
        <w:t>gloss that the right it provides is for State Parties to exclude the application of Art</w:t>
      </w:r>
      <w:r w:rsidR="00F65903" w:rsidRPr="00950741">
        <w:rPr>
          <w:rFonts w:ascii="Times New Roman" w:hAnsi="Times New Roman"/>
        </w:rPr>
        <w:t> </w:t>
      </w:r>
      <w:r w:rsidR="006B4E59" w:rsidRPr="00950741">
        <w:rPr>
          <w:rFonts w:ascii="Times New Roman" w:hAnsi="Times New Roman"/>
        </w:rPr>
        <w:t>2</w:t>
      </w:r>
      <w:r w:rsidR="00764E17" w:rsidRPr="00950741">
        <w:rPr>
          <w:rFonts w:ascii="Times New Roman" w:hAnsi="Times New Roman"/>
        </w:rPr>
        <w:t>(</w:t>
      </w:r>
      <w:r w:rsidR="006B4E59" w:rsidRPr="00950741">
        <w:rPr>
          <w:rFonts w:ascii="Times New Roman" w:hAnsi="Times New Roman"/>
        </w:rPr>
        <w:t>1</w:t>
      </w:r>
      <w:r w:rsidR="00764E17" w:rsidRPr="00950741">
        <w:rPr>
          <w:rFonts w:ascii="Times New Roman" w:hAnsi="Times New Roman"/>
        </w:rPr>
        <w:t>)</w:t>
      </w:r>
      <w:r w:rsidR="006B4E59" w:rsidRPr="00950741">
        <w:rPr>
          <w:rFonts w:ascii="Times New Roman" w:hAnsi="Times New Roman"/>
        </w:rPr>
        <w:t>(d) and</w:t>
      </w:r>
      <w:r w:rsidR="00764E17" w:rsidRPr="00950741">
        <w:rPr>
          <w:rFonts w:ascii="Times New Roman" w:hAnsi="Times New Roman"/>
        </w:rPr>
        <w:t> </w:t>
      </w:r>
      <w:r w:rsidR="006B4E59" w:rsidRPr="00950741">
        <w:rPr>
          <w:rFonts w:ascii="Times New Roman" w:hAnsi="Times New Roman"/>
        </w:rPr>
        <w:t xml:space="preserve">(e) only to the extent that a claim within those </w:t>
      </w:r>
      <w:r w:rsidR="00A35CDF" w:rsidRPr="00950741">
        <w:rPr>
          <w:rFonts w:ascii="Times New Roman" w:hAnsi="Times New Roman"/>
        </w:rPr>
        <w:t>sub-</w:t>
      </w:r>
      <w:r w:rsidR="006B4E59" w:rsidRPr="00950741">
        <w:rPr>
          <w:rFonts w:ascii="Times New Roman" w:hAnsi="Times New Roman"/>
        </w:rPr>
        <w:t xml:space="preserve">paragraphs is not also within another </w:t>
      </w:r>
      <w:r w:rsidR="00A35CDF" w:rsidRPr="00950741">
        <w:rPr>
          <w:rFonts w:ascii="Times New Roman" w:hAnsi="Times New Roman"/>
        </w:rPr>
        <w:t>sub-</w:t>
      </w:r>
      <w:r w:rsidR="00C70181" w:rsidRPr="00950741">
        <w:rPr>
          <w:rFonts w:ascii="Times New Roman" w:hAnsi="Times New Roman"/>
        </w:rPr>
        <w:t>paragraph of Art</w:t>
      </w:r>
      <w:r w:rsidR="00F65903" w:rsidRPr="00950741">
        <w:rPr>
          <w:rFonts w:ascii="Times New Roman" w:hAnsi="Times New Roman"/>
        </w:rPr>
        <w:t> </w:t>
      </w:r>
      <w:r w:rsidR="00C70181" w:rsidRPr="00950741">
        <w:rPr>
          <w:rFonts w:ascii="Times New Roman" w:hAnsi="Times New Roman"/>
        </w:rPr>
        <w:t>2</w:t>
      </w:r>
      <w:r w:rsidR="00764E17" w:rsidRPr="00950741">
        <w:rPr>
          <w:rFonts w:ascii="Times New Roman" w:hAnsi="Times New Roman"/>
        </w:rPr>
        <w:t>(</w:t>
      </w:r>
      <w:r w:rsidR="00C70181" w:rsidRPr="00950741">
        <w:rPr>
          <w:rFonts w:ascii="Times New Roman" w:hAnsi="Times New Roman"/>
        </w:rPr>
        <w:t>1</w:t>
      </w:r>
      <w:r w:rsidR="00764E17" w:rsidRPr="00950741">
        <w:rPr>
          <w:rFonts w:ascii="Times New Roman" w:hAnsi="Times New Roman"/>
        </w:rPr>
        <w:t>)</w:t>
      </w:r>
      <w:r w:rsidR="00C70181" w:rsidRPr="00950741">
        <w:rPr>
          <w:rFonts w:ascii="Times New Roman" w:hAnsi="Times New Roman"/>
        </w:rPr>
        <w:t xml:space="preserve">. </w:t>
      </w:r>
      <w:r w:rsidR="003503B2" w:rsidRPr="00950741">
        <w:rPr>
          <w:rFonts w:ascii="Times New Roman" w:hAnsi="Times New Roman"/>
        </w:rPr>
        <w:t xml:space="preserve">Yet another </w:t>
      </w:r>
      <w:r w:rsidR="00C70181" w:rsidRPr="00950741">
        <w:rPr>
          <w:rFonts w:ascii="Times New Roman" w:hAnsi="Times New Roman"/>
        </w:rPr>
        <w:t xml:space="preserve">answer is that the example has embedded within </w:t>
      </w:r>
      <w:r w:rsidR="0005042B" w:rsidRPr="00950741">
        <w:rPr>
          <w:rFonts w:ascii="Times New Roman" w:hAnsi="Times New Roman"/>
        </w:rPr>
        <w:t xml:space="preserve">it </w:t>
      </w:r>
      <w:r w:rsidR="00C70181" w:rsidRPr="00950741">
        <w:rPr>
          <w:rFonts w:ascii="Times New Roman" w:hAnsi="Times New Roman"/>
        </w:rPr>
        <w:t>a</w:t>
      </w:r>
      <w:r w:rsidR="00A55B13" w:rsidRPr="00950741">
        <w:rPr>
          <w:rFonts w:ascii="Times New Roman" w:hAnsi="Times New Roman"/>
        </w:rPr>
        <w:t xml:space="preserve"> questionable</w:t>
      </w:r>
      <w:r w:rsidR="00C70181" w:rsidRPr="00950741">
        <w:rPr>
          <w:rFonts w:ascii="Times New Roman" w:hAnsi="Times New Roman"/>
        </w:rPr>
        <w:t xml:space="preserve"> assumption that </w:t>
      </w:r>
      <w:r w:rsidR="00AF6AA2" w:rsidRPr="00950741">
        <w:rPr>
          <w:rFonts w:ascii="Times New Roman" w:hAnsi="Times New Roman"/>
        </w:rPr>
        <w:t xml:space="preserve">the loss arising from the damage caused to the struck ship will </w:t>
      </w:r>
      <w:r w:rsidR="0005042B" w:rsidRPr="00950741">
        <w:rPr>
          <w:rFonts w:ascii="Times New Roman" w:hAnsi="Times New Roman"/>
        </w:rPr>
        <w:t xml:space="preserve">be greater if the ship does not sink than if the ship sinks. </w:t>
      </w:r>
    </w:p>
    <w:p w14:paraId="0D1C7CDE" w14:textId="2ACE7D93" w:rsidR="00290798" w:rsidRPr="00950741" w:rsidRDefault="00290798" w:rsidP="00950741">
      <w:pPr>
        <w:pStyle w:val="HeadingL2"/>
        <w:spacing w:after="260" w:line="280" w:lineRule="exact"/>
        <w:ind w:right="0"/>
        <w:jc w:val="both"/>
        <w:rPr>
          <w:rFonts w:ascii="Times New Roman" w:hAnsi="Times New Roman"/>
        </w:rPr>
      </w:pPr>
      <w:r w:rsidRPr="00950741">
        <w:rPr>
          <w:rFonts w:ascii="Times New Roman" w:hAnsi="Times New Roman"/>
        </w:rPr>
        <w:t>Academic commentary</w:t>
      </w:r>
    </w:p>
    <w:p w14:paraId="7B8359A8" w14:textId="521182AF" w:rsidR="00A05189" w:rsidRPr="00950741" w:rsidRDefault="00F53411"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A05189" w:rsidRPr="00950741">
        <w:rPr>
          <w:rFonts w:ascii="Times New Roman" w:hAnsi="Times New Roman"/>
        </w:rPr>
        <w:t>CSL also relie</w:t>
      </w:r>
      <w:r w:rsidR="002929C1" w:rsidRPr="00950741">
        <w:rPr>
          <w:rFonts w:ascii="Times New Roman" w:hAnsi="Times New Roman"/>
        </w:rPr>
        <w:t>d</w:t>
      </w:r>
      <w:r w:rsidR="00A05189" w:rsidRPr="00950741">
        <w:rPr>
          <w:rFonts w:ascii="Times New Roman" w:hAnsi="Times New Roman"/>
        </w:rPr>
        <w:t xml:space="preserve"> on </w:t>
      </w:r>
      <w:r w:rsidR="00110A02" w:rsidRPr="00950741">
        <w:rPr>
          <w:rFonts w:ascii="Times New Roman" w:hAnsi="Times New Roman"/>
        </w:rPr>
        <w:t xml:space="preserve">certain </w:t>
      </w:r>
      <w:r w:rsidR="00D018D1" w:rsidRPr="00950741">
        <w:rPr>
          <w:rFonts w:ascii="Times New Roman" w:hAnsi="Times New Roman"/>
        </w:rPr>
        <w:t>academic</w:t>
      </w:r>
      <w:r w:rsidR="00110A02" w:rsidRPr="00950741">
        <w:rPr>
          <w:rFonts w:ascii="Times New Roman" w:hAnsi="Times New Roman"/>
        </w:rPr>
        <w:t xml:space="preserve"> </w:t>
      </w:r>
      <w:r w:rsidR="00290798" w:rsidRPr="00950741">
        <w:rPr>
          <w:rFonts w:ascii="Times New Roman" w:hAnsi="Times New Roman"/>
        </w:rPr>
        <w:t xml:space="preserve">commentary </w:t>
      </w:r>
      <w:r w:rsidR="00D018D1" w:rsidRPr="00950741">
        <w:rPr>
          <w:rFonts w:ascii="Times New Roman" w:hAnsi="Times New Roman"/>
        </w:rPr>
        <w:t xml:space="preserve">in support of its case. </w:t>
      </w:r>
      <w:r w:rsidR="00847E86" w:rsidRPr="00950741">
        <w:rPr>
          <w:rFonts w:ascii="Times New Roman" w:hAnsi="Times New Roman"/>
        </w:rPr>
        <w:t>T</w:t>
      </w:r>
      <w:r w:rsidR="000D2CE6" w:rsidRPr="00950741">
        <w:rPr>
          <w:rFonts w:ascii="Times New Roman" w:hAnsi="Times New Roman"/>
        </w:rPr>
        <w:t xml:space="preserve">he observations on which CSL relied </w:t>
      </w:r>
      <w:r w:rsidR="002929C1" w:rsidRPr="00950741">
        <w:rPr>
          <w:rFonts w:ascii="Times New Roman" w:hAnsi="Times New Roman"/>
        </w:rPr>
        <w:t xml:space="preserve">are </w:t>
      </w:r>
      <w:r w:rsidR="000D2CE6" w:rsidRPr="00950741">
        <w:rPr>
          <w:rFonts w:ascii="Times New Roman" w:hAnsi="Times New Roman"/>
        </w:rPr>
        <w:t xml:space="preserve">that </w:t>
      </w:r>
      <w:r w:rsidR="00140336" w:rsidRPr="00950741">
        <w:rPr>
          <w:rFonts w:ascii="Times New Roman" w:hAnsi="Times New Roman"/>
        </w:rPr>
        <w:t>Art 2</w:t>
      </w:r>
      <w:r w:rsidR="00B501DA" w:rsidRPr="00950741">
        <w:rPr>
          <w:rFonts w:ascii="Times New Roman" w:hAnsi="Times New Roman"/>
        </w:rPr>
        <w:t>(</w:t>
      </w:r>
      <w:r w:rsidR="00140336" w:rsidRPr="00950741">
        <w:rPr>
          <w:rFonts w:ascii="Times New Roman" w:hAnsi="Times New Roman"/>
        </w:rPr>
        <w:t>1</w:t>
      </w:r>
      <w:r w:rsidR="00B501DA" w:rsidRPr="00950741">
        <w:rPr>
          <w:rFonts w:ascii="Times New Roman" w:hAnsi="Times New Roman"/>
        </w:rPr>
        <w:t>)</w:t>
      </w:r>
      <w:r w:rsidR="00140336" w:rsidRPr="00950741">
        <w:rPr>
          <w:rFonts w:ascii="Times New Roman" w:hAnsi="Times New Roman"/>
        </w:rPr>
        <w:t>(d) and</w:t>
      </w:r>
      <w:r w:rsidR="00B501DA" w:rsidRPr="00950741">
        <w:rPr>
          <w:rFonts w:ascii="Times New Roman" w:hAnsi="Times New Roman"/>
        </w:rPr>
        <w:t> </w:t>
      </w:r>
      <w:r w:rsidR="00140336" w:rsidRPr="00950741">
        <w:rPr>
          <w:rFonts w:ascii="Times New Roman" w:hAnsi="Times New Roman"/>
        </w:rPr>
        <w:t xml:space="preserve">(e) </w:t>
      </w:r>
      <w:r w:rsidR="007D682F" w:rsidRPr="00950741">
        <w:rPr>
          <w:rFonts w:ascii="Times New Roman" w:hAnsi="Times New Roman"/>
        </w:rPr>
        <w:t>"</w:t>
      </w:r>
      <w:r w:rsidR="00B84C98" w:rsidRPr="00950741">
        <w:rPr>
          <w:rFonts w:ascii="Times New Roman" w:hAnsi="Times New Roman"/>
        </w:rPr>
        <w:t>were designed to deal with direct claims by the person who actually suffered loss or expense as a result of the wreck, and the reservation power in Art 18 was designed to ensure that States had a cause of action against the wrecked ship that was not subject to limitation"</w:t>
      </w:r>
      <w:r w:rsidR="00D80CB2" w:rsidRPr="00950741">
        <w:rPr>
          <w:rStyle w:val="FootnoteReference"/>
          <w:rFonts w:ascii="Times New Roman" w:hAnsi="Times New Roman"/>
          <w:sz w:val="24"/>
        </w:rPr>
        <w:footnoteReference w:id="74"/>
      </w:r>
      <w:r w:rsidR="00B84C98" w:rsidRPr="00950741">
        <w:rPr>
          <w:rFonts w:ascii="Times New Roman" w:hAnsi="Times New Roman"/>
        </w:rPr>
        <w:t xml:space="preserve"> and that "</w:t>
      </w:r>
      <w:r w:rsidR="00847E86" w:rsidRPr="00950741">
        <w:rPr>
          <w:rFonts w:ascii="Times New Roman" w:hAnsi="Times New Roman"/>
        </w:rPr>
        <w:t>the purpose of Article</w:t>
      </w:r>
      <w:r w:rsidR="00500CB5" w:rsidRPr="00950741">
        <w:rPr>
          <w:rFonts w:ascii="Times New Roman" w:hAnsi="Times New Roman"/>
        </w:rPr>
        <w:t> </w:t>
      </w:r>
      <w:r w:rsidR="00847E86" w:rsidRPr="00950741">
        <w:rPr>
          <w:rFonts w:ascii="Times New Roman" w:hAnsi="Times New Roman"/>
        </w:rPr>
        <w:t>2(1)(d) and</w:t>
      </w:r>
      <w:r w:rsidR="00547F2E" w:rsidRPr="00950741">
        <w:rPr>
          <w:rFonts w:ascii="Times New Roman" w:hAnsi="Times New Roman"/>
        </w:rPr>
        <w:t> </w:t>
      </w:r>
      <w:r w:rsidR="00847E86" w:rsidRPr="00950741">
        <w:rPr>
          <w:rFonts w:ascii="Times New Roman" w:hAnsi="Times New Roman"/>
        </w:rPr>
        <w:t>(e) was to prevent public entities footing the bill for the removal of wrecks".</w:t>
      </w:r>
      <w:r w:rsidR="00B8191C" w:rsidRPr="00950741">
        <w:rPr>
          <w:rStyle w:val="FootnoteReference"/>
          <w:rFonts w:ascii="Times New Roman" w:hAnsi="Times New Roman"/>
          <w:sz w:val="24"/>
        </w:rPr>
        <w:footnoteReference w:id="75"/>
      </w:r>
      <w:r w:rsidR="00F367BD" w:rsidRPr="00950741">
        <w:rPr>
          <w:rFonts w:ascii="Times New Roman" w:hAnsi="Times New Roman"/>
        </w:rPr>
        <w:t xml:space="preserve"> As the Full </w:t>
      </w:r>
      <w:r w:rsidR="00EF0082" w:rsidRPr="00950741">
        <w:rPr>
          <w:rFonts w:ascii="Times New Roman" w:hAnsi="Times New Roman"/>
        </w:rPr>
        <w:t>Court</w:t>
      </w:r>
      <w:r w:rsidR="00F367BD" w:rsidRPr="00950741">
        <w:rPr>
          <w:rFonts w:ascii="Times New Roman" w:hAnsi="Times New Roman"/>
        </w:rPr>
        <w:t xml:space="preserve"> said, however, </w:t>
      </w:r>
      <w:r w:rsidR="00FE177E" w:rsidRPr="00950741">
        <w:rPr>
          <w:rFonts w:ascii="Times New Roman" w:hAnsi="Times New Roman"/>
        </w:rPr>
        <w:t xml:space="preserve">"[n]o canon of </w:t>
      </w:r>
      <w:r w:rsidR="00EF0082" w:rsidRPr="00950741">
        <w:rPr>
          <w:rFonts w:ascii="Times New Roman" w:hAnsi="Times New Roman"/>
        </w:rPr>
        <w:t>interpretation</w:t>
      </w:r>
      <w:r w:rsidR="00FE177E" w:rsidRPr="00950741">
        <w:rPr>
          <w:rFonts w:ascii="Times New Roman" w:hAnsi="Times New Roman"/>
        </w:rPr>
        <w:t xml:space="preserve">" would permit </w:t>
      </w:r>
      <w:r w:rsidR="00EF0082" w:rsidRPr="00950741">
        <w:rPr>
          <w:rFonts w:ascii="Times New Roman" w:hAnsi="Times New Roman"/>
        </w:rPr>
        <w:t>the words "claims by harbour authorities" to be read into Art 2</w:t>
      </w:r>
      <w:r w:rsidR="00975A58" w:rsidRPr="00950741">
        <w:rPr>
          <w:rFonts w:ascii="Times New Roman" w:hAnsi="Times New Roman"/>
        </w:rPr>
        <w:t>(</w:t>
      </w:r>
      <w:r w:rsidR="00EF0082" w:rsidRPr="00950741">
        <w:rPr>
          <w:rFonts w:ascii="Times New Roman" w:hAnsi="Times New Roman"/>
        </w:rPr>
        <w:t>1</w:t>
      </w:r>
      <w:r w:rsidR="00975A58" w:rsidRPr="00950741">
        <w:rPr>
          <w:rFonts w:ascii="Times New Roman" w:hAnsi="Times New Roman"/>
        </w:rPr>
        <w:t>)</w:t>
      </w:r>
      <w:r w:rsidR="00EF0082" w:rsidRPr="00950741">
        <w:rPr>
          <w:rFonts w:ascii="Times New Roman" w:hAnsi="Times New Roman"/>
        </w:rPr>
        <w:t>(d)</w:t>
      </w:r>
      <w:r w:rsidR="004F488B" w:rsidRPr="00950741">
        <w:rPr>
          <w:rFonts w:ascii="Times New Roman" w:hAnsi="Times New Roman"/>
        </w:rPr>
        <w:t>.</w:t>
      </w:r>
      <w:r w:rsidR="004F488B" w:rsidRPr="00950741">
        <w:rPr>
          <w:rStyle w:val="FootnoteReference"/>
          <w:rFonts w:ascii="Times New Roman" w:hAnsi="Times New Roman"/>
          <w:sz w:val="24"/>
        </w:rPr>
        <w:footnoteReference w:id="76"/>
      </w:r>
    </w:p>
    <w:p w14:paraId="497B7BB6" w14:textId="7E2FF4FE" w:rsidR="002A62A3" w:rsidRPr="00950741" w:rsidRDefault="003C16A8" w:rsidP="00950741">
      <w:pPr>
        <w:pStyle w:val="HeadingL1"/>
        <w:spacing w:after="260" w:line="280" w:lineRule="exact"/>
        <w:ind w:right="0"/>
        <w:jc w:val="both"/>
        <w:rPr>
          <w:rFonts w:ascii="Times New Roman" w:hAnsi="Times New Roman"/>
        </w:rPr>
      </w:pPr>
      <w:r w:rsidRPr="00950741">
        <w:rPr>
          <w:rFonts w:ascii="Times New Roman" w:hAnsi="Times New Roman"/>
        </w:rPr>
        <w:t>Conclusion</w:t>
      </w:r>
    </w:p>
    <w:p w14:paraId="3976FED7" w14:textId="77777777" w:rsidR="00AA57DC" w:rsidRDefault="003C16A8" w:rsidP="00950741">
      <w:pPr>
        <w:pStyle w:val="FixListStyle"/>
        <w:spacing w:after="260" w:line="280" w:lineRule="exact"/>
        <w:ind w:right="0"/>
        <w:jc w:val="both"/>
        <w:rPr>
          <w:rFonts w:ascii="Times New Roman" w:hAnsi="Times New Roman"/>
        </w:rPr>
      </w:pPr>
      <w:r w:rsidRPr="00950741">
        <w:rPr>
          <w:rFonts w:ascii="Times New Roman" w:hAnsi="Times New Roman"/>
        </w:rPr>
        <w:tab/>
      </w:r>
      <w:r w:rsidR="00BA5002" w:rsidRPr="00950741">
        <w:rPr>
          <w:rFonts w:ascii="Times New Roman" w:hAnsi="Times New Roman"/>
        </w:rPr>
        <w:t>T</w:t>
      </w:r>
      <w:r w:rsidRPr="00950741">
        <w:rPr>
          <w:rFonts w:ascii="Times New Roman" w:hAnsi="Times New Roman"/>
        </w:rPr>
        <w:t xml:space="preserve">he Full </w:t>
      </w:r>
      <w:r w:rsidR="00BA5002" w:rsidRPr="00950741">
        <w:rPr>
          <w:rFonts w:ascii="Times New Roman" w:hAnsi="Times New Roman"/>
        </w:rPr>
        <w:t>Co</w:t>
      </w:r>
      <w:r w:rsidRPr="00950741">
        <w:rPr>
          <w:rFonts w:ascii="Times New Roman" w:hAnsi="Times New Roman"/>
        </w:rPr>
        <w:t xml:space="preserve">urt did not err in </w:t>
      </w:r>
      <w:r w:rsidR="006279DE" w:rsidRPr="00950741">
        <w:rPr>
          <w:rFonts w:ascii="Times New Roman" w:hAnsi="Times New Roman"/>
        </w:rPr>
        <w:t xml:space="preserve">allowing TasPorts' appeal </w:t>
      </w:r>
      <w:r w:rsidR="00BA5002" w:rsidRPr="00950741">
        <w:rPr>
          <w:rFonts w:ascii="Times New Roman" w:hAnsi="Times New Roman"/>
        </w:rPr>
        <w:t>against</w:t>
      </w:r>
      <w:r w:rsidR="006279DE" w:rsidRPr="00950741">
        <w:rPr>
          <w:rFonts w:ascii="Times New Roman" w:hAnsi="Times New Roman"/>
        </w:rPr>
        <w:t xml:space="preserve"> the orders of the </w:t>
      </w:r>
      <w:r w:rsidR="00BA5002" w:rsidRPr="00950741">
        <w:rPr>
          <w:rFonts w:ascii="Times New Roman" w:hAnsi="Times New Roman"/>
        </w:rPr>
        <w:t>primary</w:t>
      </w:r>
      <w:r w:rsidR="006279DE" w:rsidRPr="00950741">
        <w:rPr>
          <w:rFonts w:ascii="Times New Roman" w:hAnsi="Times New Roman"/>
        </w:rPr>
        <w:t xml:space="preserve"> judge</w:t>
      </w:r>
      <w:r w:rsidR="00E031F7" w:rsidRPr="00950741">
        <w:rPr>
          <w:rFonts w:ascii="Times New Roman" w:hAnsi="Times New Roman"/>
        </w:rPr>
        <w:t xml:space="preserve"> and making the declaration. The appeal must be dismissed with costs. </w:t>
      </w:r>
    </w:p>
    <w:p w14:paraId="251B425E" w14:textId="77777777" w:rsidR="00AA57DC" w:rsidRDefault="00AA57DC" w:rsidP="00950741">
      <w:pPr>
        <w:pStyle w:val="FixListStyle"/>
        <w:spacing w:after="260" w:line="280" w:lineRule="exact"/>
        <w:ind w:right="0"/>
        <w:jc w:val="both"/>
        <w:rPr>
          <w:rFonts w:ascii="Times New Roman" w:hAnsi="Times New Roman"/>
        </w:rPr>
        <w:sectPr w:rsidR="00AA57DC" w:rsidSect="00FF6B25">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5AA6C220" w14:textId="77777777" w:rsidR="00AA57DC" w:rsidRPr="009029C5" w:rsidRDefault="00AA57DC" w:rsidP="009029C5">
      <w:pPr>
        <w:pStyle w:val="FixListStyle"/>
        <w:tabs>
          <w:tab w:val="clear" w:pos="720"/>
          <w:tab w:val="left" w:pos="0"/>
        </w:tabs>
        <w:spacing w:after="260" w:line="280" w:lineRule="exact"/>
        <w:ind w:right="0"/>
        <w:jc w:val="both"/>
        <w:rPr>
          <w:rFonts w:ascii="Times New Roman" w:hAnsi="Times New Roman"/>
        </w:rPr>
      </w:pPr>
      <w:r w:rsidRPr="009029C5">
        <w:rPr>
          <w:rFonts w:ascii="Times New Roman" w:hAnsi="Times New Roman"/>
        </w:rPr>
        <w:lastRenderedPageBreak/>
        <w:t>GORDON AND EDELMAN JJ.   This appeal concerns "an established feature of international maritime law" – the principle of limited liability for maritime claims that relevantly entitles a shipowner to limit their liability for claims arising out of a maritime incident to a particular sum.</w:t>
      </w:r>
      <w:r w:rsidRPr="009029C5">
        <w:rPr>
          <w:rStyle w:val="FootnoteReference"/>
          <w:rFonts w:ascii="Times New Roman" w:hAnsi="Times New Roman"/>
          <w:sz w:val="24"/>
        </w:rPr>
        <w:footnoteReference w:id="77"/>
      </w:r>
      <w:r w:rsidRPr="009029C5">
        <w:rPr>
          <w:rFonts w:ascii="Times New Roman" w:hAnsi="Times New Roman"/>
        </w:rPr>
        <w:t xml:space="preserve"> In Australia, that principle is governed by the Convention on Limitation of Liability for Maritime Claims (1976)</w:t>
      </w:r>
      <w:r w:rsidRPr="009029C5">
        <w:rPr>
          <w:rStyle w:val="FootnoteReference"/>
          <w:rFonts w:ascii="Times New Roman" w:hAnsi="Times New Roman"/>
          <w:sz w:val="24"/>
        </w:rPr>
        <w:footnoteReference w:id="78"/>
      </w:r>
      <w:r w:rsidRPr="009029C5">
        <w:rPr>
          <w:rFonts w:ascii="Times New Roman" w:hAnsi="Times New Roman"/>
        </w:rPr>
        <w:t xml:space="preserve"> ("the</w:t>
      </w:r>
      <w:r>
        <w:rPr>
          <w:rFonts w:ascii="Times New Roman" w:hAnsi="Times New Roman"/>
        </w:rPr>
        <w:t> </w:t>
      </w:r>
      <w:r w:rsidRPr="009029C5">
        <w:rPr>
          <w:rFonts w:ascii="Times New Roman" w:hAnsi="Times New Roman"/>
        </w:rPr>
        <w:t>1976</w:t>
      </w:r>
      <w:r>
        <w:rPr>
          <w:rFonts w:ascii="Times New Roman" w:hAnsi="Times New Roman"/>
        </w:rPr>
        <w:t> </w:t>
      </w:r>
      <w:r w:rsidRPr="009029C5">
        <w:rPr>
          <w:rFonts w:ascii="Times New Roman" w:hAnsi="Times New Roman"/>
        </w:rPr>
        <w:t xml:space="preserve">Convention"), to the extent that the 1976 Convention is given the force of law in Australia by the </w:t>
      </w:r>
      <w:r w:rsidRPr="009029C5">
        <w:rPr>
          <w:rFonts w:ascii="Times New Roman" w:hAnsi="Times New Roman"/>
          <w:i/>
          <w:iCs/>
        </w:rPr>
        <w:t>Limitation of Liability for Maritime Claims Act 1989</w:t>
      </w:r>
      <w:r w:rsidRPr="009029C5">
        <w:rPr>
          <w:rFonts w:ascii="Times New Roman" w:hAnsi="Times New Roman"/>
        </w:rPr>
        <w:t xml:space="preserve"> (</w:t>
      </w:r>
      <w:proofErr w:type="spellStart"/>
      <w:r w:rsidRPr="009029C5">
        <w:rPr>
          <w:rFonts w:ascii="Times New Roman" w:hAnsi="Times New Roman"/>
        </w:rPr>
        <w:t>Cth</w:t>
      </w:r>
      <w:proofErr w:type="spellEnd"/>
      <w:r w:rsidRPr="009029C5">
        <w:rPr>
          <w:rFonts w:ascii="Times New Roman" w:hAnsi="Times New Roman"/>
        </w:rPr>
        <w:t>) ("the LLMC Act"</w:t>
      </w:r>
      <w:r w:rsidRPr="009029C5">
        <w:rPr>
          <w:rFonts w:ascii="Times New Roman" w:hAnsi="Times New Roman"/>
          <w:bCs/>
        </w:rPr>
        <w:t>). In the 1976 Convention, the right to limit liability for maritime claims is given in respect of certain types of claims in Art 2, including</w:t>
      </w:r>
      <w:r>
        <w:rPr>
          <w:rFonts w:ascii="Times New Roman" w:hAnsi="Times New Roman"/>
          <w:bCs/>
        </w:rPr>
        <w:t> </w:t>
      </w:r>
      <w:r w:rsidRPr="009029C5">
        <w:rPr>
          <w:rFonts w:ascii="Times New Roman" w:hAnsi="Times New Roman"/>
          <w:bCs/>
        </w:rPr>
        <w:t xml:space="preserve">claims in respect of damage to property occurring on board or in direct connexion with the operation of the ship, and consequential loss resulting therefrom (Art 2(1)(a)), and </w:t>
      </w:r>
      <w:r w:rsidRPr="009029C5">
        <w:rPr>
          <w:rFonts w:ascii="Times New Roman" w:hAnsi="Times New Roman"/>
        </w:rPr>
        <w:t>claims in respect of the raising, removal, destruction</w:t>
      </w:r>
      <w:r>
        <w:rPr>
          <w:rFonts w:ascii="Times New Roman" w:hAnsi="Times New Roman"/>
        </w:rPr>
        <w:t> </w:t>
      </w:r>
      <w:r w:rsidRPr="009029C5">
        <w:rPr>
          <w:rFonts w:ascii="Times New Roman" w:hAnsi="Times New Roman"/>
        </w:rPr>
        <w:t>or the rendering harmless of a ship which is sunk, wrecked, stranded</w:t>
      </w:r>
      <w:r>
        <w:rPr>
          <w:rFonts w:ascii="Times New Roman" w:hAnsi="Times New Roman"/>
        </w:rPr>
        <w:t> </w:t>
      </w:r>
      <w:r w:rsidRPr="009029C5">
        <w:rPr>
          <w:rFonts w:ascii="Times New Roman" w:hAnsi="Times New Roman"/>
        </w:rPr>
        <w:t>or abandoned, including anything that is or has been on board such ship (Art 2(1)(d)). By Australia's exercise of its right of reservation under Art 18(1)(a) of the</w:t>
      </w:r>
      <w:r>
        <w:rPr>
          <w:rFonts w:ascii="Times New Roman" w:hAnsi="Times New Roman"/>
        </w:rPr>
        <w:t> </w:t>
      </w:r>
      <w:r w:rsidRPr="009029C5">
        <w:rPr>
          <w:rFonts w:ascii="Times New Roman" w:hAnsi="Times New Roman"/>
        </w:rPr>
        <w:t>1976</w:t>
      </w:r>
      <w:r>
        <w:rPr>
          <w:rFonts w:ascii="Times New Roman" w:hAnsi="Times New Roman"/>
        </w:rPr>
        <w:t> </w:t>
      </w:r>
      <w:r w:rsidRPr="009029C5">
        <w:rPr>
          <w:rFonts w:ascii="Times New Roman" w:hAnsi="Times New Roman"/>
        </w:rPr>
        <w:t>Convention to exclude the application of Art 2(1)(d),</w:t>
      </w:r>
      <w:r w:rsidRPr="009029C5">
        <w:rPr>
          <w:rStyle w:val="FootnoteReference"/>
          <w:rFonts w:ascii="Times New Roman" w:hAnsi="Times New Roman"/>
          <w:sz w:val="24"/>
        </w:rPr>
        <w:footnoteReference w:id="79"/>
      </w:r>
      <w:r w:rsidRPr="009029C5">
        <w:rPr>
          <w:rFonts w:ascii="Times New Roman" w:hAnsi="Times New Roman"/>
        </w:rPr>
        <w:t xml:space="preserve"> Art 2(1)(d) does</w:t>
      </w:r>
      <w:r>
        <w:rPr>
          <w:rFonts w:ascii="Times New Roman" w:hAnsi="Times New Roman"/>
        </w:rPr>
        <w:t xml:space="preserve"> </w:t>
      </w:r>
      <w:r w:rsidRPr="009029C5">
        <w:rPr>
          <w:rFonts w:ascii="Times New Roman" w:hAnsi="Times New Roman"/>
        </w:rPr>
        <w:t>not have the force of law in Australia.</w:t>
      </w:r>
    </w:p>
    <w:p w14:paraId="4A723066"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bCs/>
        </w:rPr>
        <w:tab/>
      </w:r>
      <w:r w:rsidRPr="009029C5">
        <w:rPr>
          <w:rFonts w:ascii="Times New Roman" w:hAnsi="Times New Roman"/>
        </w:rPr>
        <w:t>The first respondent ("TasPorts") brought an action against the appellant ("CSL") in the Federal Court of Australia claiming damages of approximately $22</w:t>
      </w:r>
      <w:r>
        <w:rPr>
          <w:rFonts w:ascii="Times New Roman" w:hAnsi="Times New Roman"/>
        </w:rPr>
        <w:t> </w:t>
      </w:r>
      <w:r w:rsidRPr="009029C5">
        <w:rPr>
          <w:rFonts w:ascii="Times New Roman" w:hAnsi="Times New Roman"/>
        </w:rPr>
        <w:t>million for loss and damage suffered as a result of the allision between the</w:t>
      </w:r>
      <w:r>
        <w:rPr>
          <w:rFonts w:ascii="Times New Roman" w:hAnsi="Times New Roman"/>
        </w:rPr>
        <w:t> </w:t>
      </w:r>
      <w:r w:rsidRPr="009029C5">
        <w:rPr>
          <w:rFonts w:ascii="Times New Roman" w:hAnsi="Times New Roman"/>
          <w:i/>
          <w:iCs/>
        </w:rPr>
        <w:t>MV</w:t>
      </w:r>
      <w:r>
        <w:rPr>
          <w:rFonts w:ascii="Times New Roman" w:hAnsi="Times New Roman"/>
          <w:i/>
          <w:iCs/>
        </w:rPr>
        <w:t> </w:t>
      </w:r>
      <w:r w:rsidRPr="009029C5">
        <w:rPr>
          <w:rFonts w:ascii="Times New Roman" w:hAnsi="Times New Roman"/>
          <w:i/>
          <w:iCs/>
        </w:rPr>
        <w:t>Goliath</w:t>
      </w:r>
      <w:r w:rsidRPr="009029C5">
        <w:rPr>
          <w:rFonts w:ascii="Times New Roman" w:hAnsi="Times New Roman"/>
        </w:rPr>
        <w:t xml:space="preserve"> (owned and operated by CSL) and two tugs and a wharf. The tugs sank and emitted diesel fuel and other hydrocarbons into the water. The wharf was also damaged. The wharf and both tugs were owned and operated by TasPorts. TasPorts' claim relevantly included (the "para 22(e) claims"): a claim for about $17,245,743 for the "costs of and associated with the containment, removal and disposal of hydrocarbons, and the removal and disposal of the [t]</w:t>
      </w:r>
      <w:proofErr w:type="spellStart"/>
      <w:r w:rsidRPr="009029C5">
        <w:rPr>
          <w:rFonts w:ascii="Times New Roman" w:hAnsi="Times New Roman"/>
        </w:rPr>
        <w:t>ugs</w:t>
      </w:r>
      <w:proofErr w:type="spellEnd"/>
      <w:r w:rsidRPr="009029C5">
        <w:rPr>
          <w:rFonts w:ascii="Times New Roman" w:hAnsi="Times New Roman"/>
        </w:rPr>
        <w:t xml:space="preserve">". </w:t>
      </w:r>
    </w:p>
    <w:p w14:paraId="19B78CAD"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CSL commenced a separate proceeding seeking, among other things, a</w:t>
      </w:r>
      <w:r>
        <w:rPr>
          <w:rFonts w:ascii="Times New Roman" w:hAnsi="Times New Roman"/>
        </w:rPr>
        <w:t> </w:t>
      </w:r>
      <w:r w:rsidRPr="009029C5">
        <w:rPr>
          <w:rFonts w:ascii="Times New Roman" w:hAnsi="Times New Roman"/>
        </w:rPr>
        <w:t>declaration that it was entitled to limit its liability for all claims arising out of the</w:t>
      </w:r>
      <w:r>
        <w:rPr>
          <w:rFonts w:ascii="Times New Roman" w:hAnsi="Times New Roman"/>
        </w:rPr>
        <w:t> </w:t>
      </w:r>
      <w:r w:rsidRPr="009029C5">
        <w:rPr>
          <w:rFonts w:ascii="Times New Roman" w:hAnsi="Times New Roman"/>
        </w:rPr>
        <w:t xml:space="preserve">allision within the meaning of Art 2 of the 1976 Convention, as given the force of law by s 6 of the LLMC Act. TasPorts contended that its para 22(e) claims were </w:t>
      </w:r>
      <w:r w:rsidRPr="009029C5">
        <w:rPr>
          <w:rFonts w:ascii="Times New Roman" w:hAnsi="Times New Roman"/>
        </w:rPr>
        <w:lastRenderedPageBreak/>
        <w:t>not limitable because they are claims within Art 2(1)(d), which does not have the</w:t>
      </w:r>
      <w:r>
        <w:rPr>
          <w:rFonts w:ascii="Times New Roman" w:hAnsi="Times New Roman"/>
        </w:rPr>
        <w:t> </w:t>
      </w:r>
      <w:r w:rsidRPr="009029C5">
        <w:rPr>
          <w:rFonts w:ascii="Times New Roman" w:hAnsi="Times New Roman"/>
        </w:rPr>
        <w:t xml:space="preserve">force of law in Australia, and sought a declaration to that effect. </w:t>
      </w:r>
    </w:p>
    <w:p w14:paraId="319C9799"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The primary judge declined to make the declaration sought by TasPorts, holding that: (a) TasPorts' para 22(e) claims were claims within the text of Art 2(1)(a) and were on that basis prima facie subject to limitation; (b) there is no reason to limit the meaning of Art 2(1)(a) by reference to Art 2(1)(d), which, whilst</w:t>
      </w:r>
      <w:r>
        <w:rPr>
          <w:rFonts w:ascii="Times New Roman" w:hAnsi="Times New Roman"/>
        </w:rPr>
        <w:t> </w:t>
      </w:r>
      <w:r w:rsidRPr="009029C5">
        <w:rPr>
          <w:rFonts w:ascii="Times New Roman" w:hAnsi="Times New Roman"/>
        </w:rPr>
        <w:t>overlapping with Art 2(1)(a), has its own non-overlapping sphere of operation; and (c) the fact that TasPorts' para 22(e) claims also came within the</w:t>
      </w:r>
      <w:r>
        <w:rPr>
          <w:rFonts w:ascii="Times New Roman" w:hAnsi="Times New Roman"/>
        </w:rPr>
        <w:t> </w:t>
      </w:r>
      <w:r w:rsidRPr="009029C5">
        <w:rPr>
          <w:rFonts w:ascii="Times New Roman" w:hAnsi="Times New Roman"/>
        </w:rPr>
        <w:t xml:space="preserve">natural meaning of Art 2(1)(d) (which is not part of Australian law) did not have the effect of excluding those claims from Art 2(1)(a) or from being subject to limitation by Australia's exercise of its right of reservation under Art 18(1)(a) of the 1976 Convention not to implement Art 2(1)(d). </w:t>
      </w:r>
    </w:p>
    <w:p w14:paraId="5F709EBF"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The Full Court of the Federal Court of Australia allowed TasPorts' appeal and made the declaration sought by TasPorts. The Full Court held that Art 2(1)(d) exclusively encompassed all claims for wreck removal expense and that a</w:t>
      </w:r>
      <w:r>
        <w:rPr>
          <w:rFonts w:ascii="Times New Roman" w:hAnsi="Times New Roman"/>
        </w:rPr>
        <w:t> </w:t>
      </w:r>
      <w:r w:rsidRPr="009029C5">
        <w:rPr>
          <w:rFonts w:ascii="Times New Roman" w:hAnsi="Times New Roman"/>
        </w:rPr>
        <w:t>Contracting State's exercise of the Art 18(1)(a) reservation operated in respect of all claims described in Art 2(1)(d) so that such claims cannot be the subject of limitation in Australia</w:t>
      </w:r>
      <w:r>
        <w:rPr>
          <w:rFonts w:ascii="Times New Roman" w:hAnsi="Times New Roman"/>
        </w:rPr>
        <w:t>,</w:t>
      </w:r>
      <w:r w:rsidRPr="009029C5">
        <w:rPr>
          <w:rFonts w:ascii="Times New Roman" w:hAnsi="Times New Roman"/>
        </w:rPr>
        <w:t xml:space="preserve"> including under Art 2(1)(d) (despite the claims also falling within the express terms of Art 2(1)(a)).</w:t>
      </w:r>
    </w:p>
    <w:p w14:paraId="7E87013D"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CSL's appeal must be dismissed with costs. We agree with Gageler CJ, Gleeson and Jagot JJ that CSL's contention, that TasPorts' para 22(e) claims are limitable, is untenable. Our reasons for reaching that conclusion are set out below.</w:t>
      </w:r>
    </w:p>
    <w:p w14:paraId="1C478B08" w14:textId="77777777" w:rsidR="00AA57DC" w:rsidRPr="009029C5" w:rsidRDefault="00AA57DC" w:rsidP="009029C5">
      <w:pPr>
        <w:pStyle w:val="HeadingL1"/>
        <w:spacing w:after="260" w:line="280" w:lineRule="exact"/>
        <w:ind w:right="0"/>
        <w:jc w:val="both"/>
        <w:rPr>
          <w:rFonts w:ascii="Times New Roman" w:hAnsi="Times New Roman"/>
        </w:rPr>
      </w:pPr>
      <w:r w:rsidRPr="009029C5">
        <w:rPr>
          <w:rFonts w:ascii="Times New Roman" w:hAnsi="Times New Roman"/>
        </w:rPr>
        <w:t>1976 Convention</w:t>
      </w:r>
    </w:p>
    <w:p w14:paraId="7FAD6DC5"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The starting point of the analysis is the 1976 Convention.</w:t>
      </w:r>
      <w:r w:rsidRPr="009029C5">
        <w:rPr>
          <w:rStyle w:val="FootnoteReference"/>
          <w:rFonts w:ascii="Times New Roman" w:hAnsi="Times New Roman"/>
          <w:sz w:val="24"/>
        </w:rPr>
        <w:footnoteReference w:id="80"/>
      </w:r>
      <w:r w:rsidRPr="009029C5">
        <w:rPr>
          <w:rFonts w:ascii="Times New Roman" w:hAnsi="Times New Roman"/>
        </w:rPr>
        <w:t xml:space="preserve"> The preamble to the 1976 Convention recognises "the desirability of determining by agreement certain uniform rules relating to the limitation of liability for maritime claims". Article 1 provides, among other things, that shipowners may limit their liability in accordance with the rules of the 1976 Convention for claims set out in Art 2.</w:t>
      </w:r>
    </w:p>
    <w:p w14:paraId="3B5923CA" w14:textId="77777777" w:rsidR="00AA57DC" w:rsidRPr="009029C5" w:rsidRDefault="00AA57DC" w:rsidP="009029C5">
      <w:pPr>
        <w:pStyle w:val="FixListStyle"/>
        <w:spacing w:after="260" w:line="280" w:lineRule="exact"/>
        <w:ind w:right="0"/>
        <w:jc w:val="both"/>
        <w:rPr>
          <w:rFonts w:ascii="Times New Roman" w:hAnsi="Times New Roman"/>
          <w:bCs/>
        </w:rPr>
      </w:pPr>
      <w:r w:rsidRPr="009029C5">
        <w:rPr>
          <w:rFonts w:ascii="Times New Roman" w:hAnsi="Times New Roman"/>
        </w:rPr>
        <w:tab/>
        <w:t>Article 2 lists the claims which may be subject to limitation, provided that the basis for the particular claim is not exempt under Art 3, and provided that the</w:t>
      </w:r>
      <w:r>
        <w:rPr>
          <w:rFonts w:ascii="Times New Roman" w:hAnsi="Times New Roman"/>
        </w:rPr>
        <w:t> </w:t>
      </w:r>
      <w:r w:rsidRPr="009029C5">
        <w:rPr>
          <w:rFonts w:ascii="Times New Roman" w:hAnsi="Times New Roman"/>
        </w:rPr>
        <w:t xml:space="preserve">claim has not arisen due to conduct barring limitation within the meaning of Art 4. There is no suggestion that Art 4 is engaged. </w:t>
      </w:r>
      <w:r w:rsidRPr="009029C5">
        <w:rPr>
          <w:rFonts w:ascii="Times New Roman" w:hAnsi="Times New Roman"/>
          <w:bCs/>
        </w:rPr>
        <w:t xml:space="preserve">Article 6 contains the general </w:t>
      </w:r>
      <w:r w:rsidRPr="009029C5">
        <w:rPr>
          <w:rFonts w:ascii="Times New Roman" w:hAnsi="Times New Roman"/>
          <w:bCs/>
        </w:rPr>
        <w:lastRenderedPageBreak/>
        <w:t xml:space="preserve">limits of liability. </w:t>
      </w:r>
      <w:r w:rsidRPr="009029C5">
        <w:rPr>
          <w:rFonts w:ascii="Times New Roman" w:hAnsi="Times New Roman"/>
        </w:rPr>
        <w:t>The relevant terms of each of those Articles are set out in the</w:t>
      </w:r>
      <w:r>
        <w:rPr>
          <w:rFonts w:ascii="Times New Roman" w:hAnsi="Times New Roman"/>
        </w:rPr>
        <w:t> </w:t>
      </w:r>
      <w:r w:rsidRPr="009029C5">
        <w:rPr>
          <w:rFonts w:ascii="Times New Roman" w:hAnsi="Times New Roman"/>
        </w:rPr>
        <w:t xml:space="preserve">reasons of Gageler CJ, Gleeson and Jagot JJ, and we gratefully adopt them. </w:t>
      </w:r>
    </w:p>
    <w:p w14:paraId="65BED4B9"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The scope of application of the 1976 Convention is dealt with in Ch IV. Relevantly, Art 15(1) provides:</w:t>
      </w:r>
    </w:p>
    <w:p w14:paraId="64F39CF7" w14:textId="77777777" w:rsidR="00AA57DC" w:rsidRPr="009D0B8D" w:rsidRDefault="00AA57DC" w:rsidP="009029C5">
      <w:pPr>
        <w:pStyle w:val="leftright"/>
        <w:spacing w:before="0" w:after="260" w:line="280" w:lineRule="exact"/>
        <w:ind w:right="0"/>
        <w:jc w:val="both"/>
        <w:rPr>
          <w:rFonts w:ascii="Times New Roman" w:hAnsi="Times New Roman"/>
          <w:spacing w:val="2"/>
        </w:rPr>
      </w:pPr>
      <w:r w:rsidRPr="009D0B8D">
        <w:rPr>
          <w:rFonts w:ascii="Times New Roman" w:hAnsi="Times New Roman"/>
          <w:spacing w:val="2"/>
        </w:rPr>
        <w:t>"This Convention shall apply whenever any person referred to in Article</w:t>
      </w:r>
      <w:r>
        <w:rPr>
          <w:rFonts w:ascii="Times New Roman" w:hAnsi="Times New Roman"/>
          <w:spacing w:val="2"/>
        </w:rPr>
        <w:t> </w:t>
      </w:r>
      <w:r w:rsidRPr="009D0B8D">
        <w:rPr>
          <w:rFonts w:ascii="Times New Roman" w:hAnsi="Times New Roman"/>
          <w:spacing w:val="2"/>
        </w:rPr>
        <w:t>1 seeks to limit his liability before the Court of a State Party or seeks to procure the release of a ship or other property or the discharge of any security given within the jurisdiction of any such State. Nevertheless,</w:t>
      </w:r>
      <w:r>
        <w:rPr>
          <w:rFonts w:ascii="Times New Roman" w:hAnsi="Times New Roman"/>
          <w:spacing w:val="2"/>
        </w:rPr>
        <w:t xml:space="preserve"> </w:t>
      </w:r>
      <w:r w:rsidRPr="009D0B8D">
        <w:rPr>
          <w:rFonts w:ascii="Times New Roman" w:hAnsi="Times New Roman"/>
          <w:i/>
          <w:iCs/>
          <w:spacing w:val="2"/>
        </w:rPr>
        <w:t>each State Party may exclude wholly or partially from the</w:t>
      </w:r>
      <w:r>
        <w:rPr>
          <w:rFonts w:ascii="Times New Roman" w:hAnsi="Times New Roman"/>
          <w:i/>
          <w:iCs/>
          <w:spacing w:val="2"/>
        </w:rPr>
        <w:t> </w:t>
      </w:r>
      <w:r w:rsidRPr="009D0B8D">
        <w:rPr>
          <w:rFonts w:ascii="Times New Roman" w:hAnsi="Times New Roman"/>
          <w:i/>
          <w:iCs/>
          <w:spacing w:val="2"/>
        </w:rPr>
        <w:t>application of this Convention</w:t>
      </w:r>
      <w:r w:rsidRPr="009D0B8D">
        <w:rPr>
          <w:rFonts w:ascii="Times New Roman" w:hAnsi="Times New Roman"/>
          <w:spacing w:val="2"/>
        </w:rPr>
        <w:t xml:space="preserve"> any person referred to in Article 1 who at the time when the rules of this Convention are invoked before the Courts of that State does not have his habitual residence in a State Party or does not have his principal place of business in a State Party </w:t>
      </w:r>
      <w:r w:rsidRPr="009D0B8D">
        <w:rPr>
          <w:rFonts w:ascii="Times New Roman" w:hAnsi="Times New Roman"/>
          <w:i/>
          <w:iCs/>
          <w:spacing w:val="2"/>
        </w:rPr>
        <w:t>or any ship in relation to which the right of limitation is invoked</w:t>
      </w:r>
      <w:r w:rsidRPr="009D0B8D">
        <w:rPr>
          <w:rFonts w:ascii="Times New Roman" w:hAnsi="Times New Roman"/>
          <w:spacing w:val="2"/>
        </w:rPr>
        <w:t xml:space="preserve"> or whose release is sought and which does not at the time specified above fly the flag of a</w:t>
      </w:r>
      <w:r>
        <w:rPr>
          <w:rFonts w:ascii="Times New Roman" w:hAnsi="Times New Roman"/>
          <w:spacing w:val="2"/>
        </w:rPr>
        <w:t> </w:t>
      </w:r>
      <w:r w:rsidRPr="009D0B8D">
        <w:rPr>
          <w:rFonts w:ascii="Times New Roman" w:hAnsi="Times New Roman"/>
          <w:spacing w:val="2"/>
        </w:rPr>
        <w:t>State Party." (emphasis added)</w:t>
      </w:r>
    </w:p>
    <w:p w14:paraId="70D98ED0"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 xml:space="preserve">In Ch V, Art 18(1), headed "Reservations", relevantly provides that: </w:t>
      </w:r>
    </w:p>
    <w:p w14:paraId="6548AEA8" w14:textId="77777777" w:rsidR="00AA57DC" w:rsidRPr="009029C5" w:rsidRDefault="00AA57DC" w:rsidP="009029C5">
      <w:pPr>
        <w:pStyle w:val="leftright"/>
        <w:spacing w:before="0" w:after="260" w:line="280" w:lineRule="exact"/>
        <w:ind w:right="0"/>
        <w:jc w:val="both"/>
        <w:rPr>
          <w:rFonts w:ascii="Times New Roman" w:hAnsi="Times New Roman"/>
        </w:rPr>
      </w:pPr>
      <w:r w:rsidRPr="009029C5">
        <w:rPr>
          <w:rFonts w:ascii="Times New Roman" w:hAnsi="Times New Roman"/>
        </w:rPr>
        <w:t>"</w:t>
      </w:r>
      <w:r w:rsidRPr="009029C5">
        <w:rPr>
          <w:rFonts w:ascii="Times New Roman" w:hAnsi="Times New Roman"/>
          <w:i/>
          <w:iCs/>
        </w:rPr>
        <w:t>Any State may</w:t>
      </w:r>
      <w:r w:rsidRPr="009029C5">
        <w:rPr>
          <w:rFonts w:ascii="Times New Roman" w:hAnsi="Times New Roman"/>
        </w:rPr>
        <w:t>, at the time of signature, ratification, acceptance, approval</w:t>
      </w:r>
      <w:r>
        <w:rPr>
          <w:rFonts w:ascii="Times New Roman" w:hAnsi="Times New Roman"/>
        </w:rPr>
        <w:t> </w:t>
      </w:r>
      <w:r w:rsidRPr="009029C5">
        <w:rPr>
          <w:rFonts w:ascii="Times New Roman" w:hAnsi="Times New Roman"/>
        </w:rPr>
        <w:t xml:space="preserve">or accession, or at any </w:t>
      </w:r>
      <w:proofErr w:type="gramStart"/>
      <w:r w:rsidRPr="009029C5">
        <w:rPr>
          <w:rFonts w:ascii="Times New Roman" w:hAnsi="Times New Roman"/>
        </w:rPr>
        <w:t>time</w:t>
      </w:r>
      <w:proofErr w:type="gramEnd"/>
      <w:r w:rsidRPr="009029C5">
        <w:rPr>
          <w:rFonts w:ascii="Times New Roman" w:hAnsi="Times New Roman"/>
        </w:rPr>
        <w:t xml:space="preserve"> thereafter, </w:t>
      </w:r>
      <w:r w:rsidRPr="009029C5">
        <w:rPr>
          <w:rFonts w:ascii="Times New Roman" w:hAnsi="Times New Roman"/>
          <w:i/>
          <w:iCs/>
        </w:rPr>
        <w:t>reserve the right</w:t>
      </w:r>
      <w:r w:rsidRPr="009029C5">
        <w:rPr>
          <w:rFonts w:ascii="Times New Roman" w:hAnsi="Times New Roman"/>
        </w:rPr>
        <w:t>:</w:t>
      </w:r>
    </w:p>
    <w:p w14:paraId="30614EDB" w14:textId="77777777" w:rsidR="00AA57DC" w:rsidRPr="009029C5" w:rsidRDefault="00AA57DC" w:rsidP="009029C5">
      <w:pPr>
        <w:pStyle w:val="leftright"/>
        <w:spacing w:before="0" w:after="260" w:line="280" w:lineRule="exact"/>
        <w:ind w:left="1440" w:right="0" w:hanging="720"/>
        <w:jc w:val="both"/>
        <w:rPr>
          <w:rFonts w:ascii="Times New Roman" w:hAnsi="Times New Roman"/>
        </w:rPr>
      </w:pPr>
      <w:r w:rsidRPr="009029C5">
        <w:rPr>
          <w:rFonts w:ascii="Times New Roman" w:hAnsi="Times New Roman"/>
        </w:rPr>
        <w:t>(a)</w:t>
      </w:r>
      <w:r w:rsidRPr="009029C5">
        <w:rPr>
          <w:rFonts w:ascii="Times New Roman" w:hAnsi="Times New Roman"/>
        </w:rPr>
        <w:tab/>
      </w:r>
      <w:r w:rsidRPr="009029C5">
        <w:rPr>
          <w:rFonts w:ascii="Times New Roman" w:hAnsi="Times New Roman"/>
          <w:i/>
          <w:iCs/>
        </w:rPr>
        <w:t>to exclude the application of Article 2, paragraphs 1(d) and (e)</w:t>
      </w:r>
      <w:r w:rsidRPr="009029C5">
        <w:rPr>
          <w:rFonts w:ascii="Times New Roman" w:hAnsi="Times New Roman"/>
        </w:rPr>
        <w:t>;</w:t>
      </w:r>
    </w:p>
    <w:p w14:paraId="201AE9A6" w14:textId="77777777" w:rsidR="00AA57DC" w:rsidRPr="009029C5" w:rsidRDefault="00AA57DC" w:rsidP="009029C5">
      <w:pPr>
        <w:pStyle w:val="leftright"/>
        <w:spacing w:before="0" w:after="260" w:line="280" w:lineRule="exact"/>
        <w:ind w:left="1440" w:right="0" w:hanging="720"/>
        <w:jc w:val="both"/>
        <w:rPr>
          <w:rFonts w:ascii="Times New Roman" w:hAnsi="Times New Roman"/>
        </w:rPr>
      </w:pPr>
      <w:r w:rsidRPr="009029C5">
        <w:rPr>
          <w:rFonts w:ascii="Times New Roman" w:hAnsi="Times New Roman"/>
        </w:rPr>
        <w:t>(b)</w:t>
      </w:r>
      <w:r w:rsidRPr="009029C5">
        <w:rPr>
          <w:rFonts w:ascii="Times New Roman" w:hAnsi="Times New Roman"/>
        </w:rPr>
        <w:tab/>
        <w:t xml:space="preserve">to exclude claims for damage within the meaning of the International Convention on Liability and Compensation for Damage in Connection with the Carriage of Hazardous and Noxious Substances by Sea, 1996 or of any amendment or protocol thereto. </w:t>
      </w:r>
    </w:p>
    <w:p w14:paraId="438240B9" w14:textId="77777777" w:rsidR="00AA57DC" w:rsidRDefault="00AA57DC" w:rsidP="009029C5">
      <w:pPr>
        <w:pStyle w:val="leftright"/>
        <w:spacing w:before="0" w:after="260" w:line="280" w:lineRule="exact"/>
        <w:ind w:right="0"/>
        <w:jc w:val="both"/>
        <w:rPr>
          <w:rFonts w:ascii="Times New Roman" w:hAnsi="Times New Roman"/>
        </w:rPr>
      </w:pPr>
      <w:r w:rsidRPr="009029C5">
        <w:rPr>
          <w:rFonts w:ascii="Times New Roman" w:hAnsi="Times New Roman"/>
        </w:rPr>
        <w:t>No other reservations shall be admissible to the substantive provisions of this Convention." (emphasis added)</w:t>
      </w:r>
    </w:p>
    <w:p w14:paraId="76F9D49E" w14:textId="77777777" w:rsidR="00AA57DC" w:rsidRPr="009029C5" w:rsidRDefault="00AA57DC" w:rsidP="009029C5">
      <w:pPr>
        <w:pStyle w:val="NormalBody"/>
        <w:spacing w:after="260" w:line="280" w:lineRule="exact"/>
        <w:ind w:right="0"/>
        <w:jc w:val="both"/>
        <w:rPr>
          <w:rFonts w:ascii="Times New Roman" w:hAnsi="Times New Roman"/>
        </w:rPr>
      </w:pPr>
      <w:r w:rsidRPr="009029C5">
        <w:rPr>
          <w:rFonts w:ascii="Times New Roman" w:hAnsi="Times New Roman"/>
        </w:rPr>
        <w:t xml:space="preserve">That is what Australia did by s 6 of the LLMC Act, which provides: "Subject to this Act, the provisions of the Convention, other than paragraphs 1(d) and (e) of Article 2, have the force of law in Australia." </w:t>
      </w:r>
    </w:p>
    <w:p w14:paraId="695EA250"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The issue in this appeal is the interpretation of Art 18(1)(a) of the</w:t>
      </w:r>
      <w:r>
        <w:rPr>
          <w:rFonts w:ascii="Times New Roman" w:hAnsi="Times New Roman"/>
        </w:rPr>
        <w:t> </w:t>
      </w:r>
      <w:r w:rsidRPr="009029C5">
        <w:rPr>
          <w:rFonts w:ascii="Times New Roman" w:hAnsi="Times New Roman"/>
        </w:rPr>
        <w:t>1976</w:t>
      </w:r>
      <w:r>
        <w:rPr>
          <w:rFonts w:ascii="Times New Roman" w:hAnsi="Times New Roman"/>
        </w:rPr>
        <w:t> </w:t>
      </w:r>
      <w:r w:rsidRPr="009029C5">
        <w:rPr>
          <w:rFonts w:ascii="Times New Roman" w:hAnsi="Times New Roman"/>
        </w:rPr>
        <w:t>Convention, in granting to a State the power to reserve the right to exclude the application of Art 2(1)(d) and (e). The question is whether the result of a State exercising the reservation power in Art 18(1)(a) is: (</w:t>
      </w:r>
      <w:proofErr w:type="spellStart"/>
      <w:r w:rsidRPr="009029C5">
        <w:rPr>
          <w:rFonts w:ascii="Times New Roman" w:hAnsi="Times New Roman"/>
        </w:rPr>
        <w:t>i</w:t>
      </w:r>
      <w:proofErr w:type="spellEnd"/>
      <w:r w:rsidRPr="009029C5">
        <w:rPr>
          <w:rFonts w:ascii="Times New Roman" w:hAnsi="Times New Roman"/>
        </w:rPr>
        <w:t>) to allow the State to sever Art 2(1)(d) and (e), giving the force of law to the remainder of Art 2(1) as if sub</w:t>
      </w:r>
      <w:r w:rsidRPr="009029C5">
        <w:rPr>
          <w:rFonts w:ascii="Times New Roman" w:hAnsi="Times New Roman"/>
        </w:rPr>
        <w:noBreakHyphen/>
        <w:t>paras (d) and (e) were not present, such that a claim that falls within the</w:t>
      </w:r>
      <w:r>
        <w:rPr>
          <w:rFonts w:ascii="Times New Roman" w:hAnsi="Times New Roman"/>
        </w:rPr>
        <w:t> </w:t>
      </w:r>
      <w:r w:rsidRPr="009029C5">
        <w:rPr>
          <w:rFonts w:ascii="Times New Roman" w:hAnsi="Times New Roman"/>
        </w:rPr>
        <w:t>scope of sub-paras (d) and (e) is not limitable under those sub-paragraphs, but</w:t>
      </w:r>
      <w:r>
        <w:rPr>
          <w:rFonts w:ascii="Times New Roman" w:hAnsi="Times New Roman"/>
        </w:rPr>
        <w:t> </w:t>
      </w:r>
      <w:r w:rsidRPr="009029C5">
        <w:rPr>
          <w:rFonts w:ascii="Times New Roman" w:hAnsi="Times New Roman"/>
        </w:rPr>
        <w:t xml:space="preserve">the claim otherwise remains limitable if it falls within sub-paras (a)-(c) or (f); </w:t>
      </w:r>
      <w:r w:rsidRPr="009029C5">
        <w:rPr>
          <w:rFonts w:ascii="Times New Roman" w:hAnsi="Times New Roman"/>
          <w:i/>
          <w:iCs/>
        </w:rPr>
        <w:lastRenderedPageBreak/>
        <w:t>or</w:t>
      </w:r>
      <w:r w:rsidRPr="009029C5">
        <w:rPr>
          <w:rFonts w:ascii="Times New Roman" w:hAnsi="Times New Roman"/>
        </w:rPr>
        <w:t xml:space="preserve"> (ii) to allow the State to exclude from application "on an all or nothing basis" all claims which fall within Art 2(1)(d) or (e), such that any claim that falls within those sub-paragraphs is not limitable at all under the 1976 Convention. By</w:t>
      </w:r>
      <w:r>
        <w:rPr>
          <w:rFonts w:ascii="Times New Roman" w:hAnsi="Times New Roman"/>
        </w:rPr>
        <w:t> </w:t>
      </w:r>
      <w:r w:rsidRPr="009029C5">
        <w:rPr>
          <w:rFonts w:ascii="Times New Roman" w:hAnsi="Times New Roman"/>
        </w:rPr>
        <w:t>the</w:t>
      </w:r>
      <w:r>
        <w:rPr>
          <w:rFonts w:ascii="Times New Roman" w:hAnsi="Times New Roman"/>
        </w:rPr>
        <w:t> </w:t>
      </w:r>
      <w:r w:rsidRPr="009029C5">
        <w:rPr>
          <w:rFonts w:ascii="Times New Roman" w:hAnsi="Times New Roman"/>
        </w:rPr>
        <w:t>former answer, Art 18(1)(a) treats each sub</w:t>
      </w:r>
      <w:r w:rsidRPr="009029C5">
        <w:rPr>
          <w:rFonts w:ascii="Times New Roman" w:hAnsi="Times New Roman"/>
        </w:rPr>
        <w:noBreakHyphen/>
        <w:t>paragraph of Art 2(1) as though it were a separate rule so that severing Art 2(1)(d) and (e) does not affect the</w:t>
      </w:r>
      <w:r>
        <w:rPr>
          <w:rFonts w:ascii="Times New Roman" w:hAnsi="Times New Roman"/>
        </w:rPr>
        <w:t> </w:t>
      </w:r>
      <w:r w:rsidRPr="009029C5">
        <w:rPr>
          <w:rFonts w:ascii="Times New Roman" w:hAnsi="Times New Roman"/>
        </w:rPr>
        <w:t xml:space="preserve">application of any other rule. By the latter answer, Art 18(1)(a) treats Art 2(1) as though it were a single rule so that the exclusion of the application of matters within Art 2(1)(d) and (e) removes that application from Art 2(1) generally. </w:t>
      </w:r>
    </w:p>
    <w:p w14:paraId="6E85CD12"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The answer is the latter: the result of a State exercising the reservation power under Art 18(1)(a) of the 1976 Convention to exclude the application of Art 2(1)(d) and (e) is to allow a State to exclude "on an all or nothing basis" all</w:t>
      </w:r>
      <w:r>
        <w:rPr>
          <w:rFonts w:ascii="Times New Roman" w:hAnsi="Times New Roman"/>
        </w:rPr>
        <w:t> </w:t>
      </w:r>
      <w:r w:rsidRPr="009029C5">
        <w:rPr>
          <w:rFonts w:ascii="Times New Roman" w:hAnsi="Times New Roman"/>
        </w:rPr>
        <w:t>claims which fall within Art 2(1)(d) and (e), such that any claim that falls within those sub-paragraphs is not limitable at all under the 1976 Convention.</w:t>
      </w:r>
    </w:p>
    <w:p w14:paraId="1E192EF7"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For States that have exercised the reservation power under Art 18(1)(a) and excluded the application of Art 2(1)(d) and (e), no different interpretation of Art</w:t>
      </w:r>
      <w:r>
        <w:rPr>
          <w:rFonts w:ascii="Times New Roman" w:hAnsi="Times New Roman"/>
        </w:rPr>
        <w:t> </w:t>
      </w:r>
      <w:r w:rsidRPr="009029C5">
        <w:rPr>
          <w:rFonts w:ascii="Times New Roman" w:hAnsi="Times New Roman"/>
        </w:rPr>
        <w:t xml:space="preserve">2(1) is produced as compared with those </w:t>
      </w:r>
      <w:r>
        <w:rPr>
          <w:rFonts w:ascii="Times New Roman" w:hAnsi="Times New Roman"/>
        </w:rPr>
        <w:t>that</w:t>
      </w:r>
      <w:r w:rsidRPr="009029C5">
        <w:rPr>
          <w:rFonts w:ascii="Times New Roman" w:hAnsi="Times New Roman"/>
        </w:rPr>
        <w:t xml:space="preserve"> have not; Art 18(1)(a) identifies the relevant </w:t>
      </w:r>
      <w:r w:rsidRPr="009029C5">
        <w:rPr>
          <w:rFonts w:ascii="Times New Roman" w:hAnsi="Times New Roman"/>
          <w:i/>
          <w:iCs/>
        </w:rPr>
        <w:t>application</w:t>
      </w:r>
      <w:r w:rsidRPr="009029C5">
        <w:rPr>
          <w:rFonts w:ascii="Times New Roman" w:hAnsi="Times New Roman"/>
        </w:rPr>
        <w:t xml:space="preserve"> of Art 2(1)(d) and (e) that may be excluded by a State exercising the reservation power. Under the Vienna Convention on the Law of Treaties (1969) ("the Vienna Convention"), "reservation" means a unilateral statement made by a State whereby it purports to exclude or modify the legal effect of certain provisions of a treaty in their application to that State.</w:t>
      </w:r>
      <w:r w:rsidRPr="009029C5">
        <w:rPr>
          <w:rStyle w:val="FootnoteReference"/>
          <w:rFonts w:ascii="Times New Roman" w:hAnsi="Times New Roman"/>
          <w:sz w:val="24"/>
        </w:rPr>
        <w:footnoteReference w:id="81"/>
      </w:r>
      <w:r w:rsidRPr="009029C5">
        <w:rPr>
          <w:rFonts w:ascii="Times New Roman" w:hAnsi="Times New Roman"/>
        </w:rPr>
        <w:t xml:space="preserve"> Indeed, Art 21(2) of the Vienna Convention provides that a State's reservation "does not modify the</w:t>
      </w:r>
      <w:r>
        <w:rPr>
          <w:rFonts w:ascii="Times New Roman" w:hAnsi="Times New Roman"/>
        </w:rPr>
        <w:t> </w:t>
      </w:r>
      <w:r w:rsidRPr="009029C5">
        <w:rPr>
          <w:rFonts w:ascii="Times New Roman" w:hAnsi="Times New Roman"/>
        </w:rPr>
        <w:t xml:space="preserve">provisions of the treaty for the other parties to the treaty inter se". In other words, the proper interpretation of Art 2(1) must be the same for each State Party to the 1976 Convention, regardless of whether that State has exercised its right of reservation under Art 18(1)(a). </w:t>
      </w:r>
    </w:p>
    <w:p w14:paraId="472B8449" w14:textId="77777777" w:rsidR="00AA57DC" w:rsidRPr="009029C5" w:rsidRDefault="00AA57DC" w:rsidP="009029C5">
      <w:pPr>
        <w:pStyle w:val="HeadingL1"/>
        <w:spacing w:after="260" w:line="280" w:lineRule="exact"/>
        <w:ind w:right="0"/>
        <w:jc w:val="both"/>
        <w:rPr>
          <w:rFonts w:ascii="Times New Roman" w:hAnsi="Times New Roman"/>
        </w:rPr>
      </w:pPr>
      <w:r w:rsidRPr="009029C5">
        <w:rPr>
          <w:rFonts w:ascii="Times New Roman" w:hAnsi="Times New Roman"/>
        </w:rPr>
        <w:t>Article 18(1)(a) excludes claims within Art 2(1)(d) and (e) from limitation under Art 2(1) generally</w:t>
      </w:r>
    </w:p>
    <w:p w14:paraId="6B7EB417"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In sum, where a State exercises the power in Art 18(1)(a) and excludes the</w:t>
      </w:r>
      <w:r>
        <w:rPr>
          <w:rFonts w:ascii="Times New Roman" w:hAnsi="Times New Roman"/>
        </w:rPr>
        <w:t> </w:t>
      </w:r>
      <w:r w:rsidRPr="009029C5">
        <w:rPr>
          <w:rFonts w:ascii="Times New Roman" w:hAnsi="Times New Roman"/>
        </w:rPr>
        <w:t>application of Art 2(1)(d) and (e), that State relevantly excludes from limitation under Art 2(1) the application of all claims within the terms of Art 2(1)(d) and (e) under the 1976 Convention irrespective of whether those claims might otherwise be limitable under other sub-paragraphs of Art 2(1). That conclusion is compelled by the text, context and history of Art 18 and aligns with the interpretation adopted in other State Parties.</w:t>
      </w:r>
    </w:p>
    <w:p w14:paraId="76CFD2CF"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 xml:space="preserve">Importantly, the fundamental issue of interpretation concerns Art 18. Submissions about the application of the maxim of </w:t>
      </w:r>
      <w:proofErr w:type="spellStart"/>
      <w:r w:rsidRPr="009029C5">
        <w:rPr>
          <w:rFonts w:ascii="Times New Roman" w:hAnsi="Times New Roman"/>
          <w:i/>
          <w:iCs/>
        </w:rPr>
        <w:t>generalia</w:t>
      </w:r>
      <w:proofErr w:type="spellEnd"/>
      <w:r w:rsidRPr="009029C5">
        <w:rPr>
          <w:rFonts w:ascii="Times New Roman" w:hAnsi="Times New Roman"/>
          <w:i/>
          <w:iCs/>
        </w:rPr>
        <w:t xml:space="preserve"> </w:t>
      </w:r>
      <w:proofErr w:type="spellStart"/>
      <w:r w:rsidRPr="009029C5">
        <w:rPr>
          <w:rFonts w:ascii="Times New Roman" w:hAnsi="Times New Roman"/>
          <w:i/>
          <w:iCs/>
        </w:rPr>
        <w:t>specialibus</w:t>
      </w:r>
      <w:proofErr w:type="spellEnd"/>
      <w:r w:rsidRPr="009029C5">
        <w:rPr>
          <w:rFonts w:ascii="Times New Roman" w:hAnsi="Times New Roman"/>
          <w:i/>
          <w:iCs/>
        </w:rPr>
        <w:t xml:space="preserve"> non </w:t>
      </w:r>
      <w:proofErr w:type="spellStart"/>
      <w:r w:rsidRPr="009029C5">
        <w:rPr>
          <w:rFonts w:ascii="Times New Roman" w:hAnsi="Times New Roman"/>
          <w:i/>
          <w:iCs/>
        </w:rPr>
        <w:lastRenderedPageBreak/>
        <w:t>derogant</w:t>
      </w:r>
      <w:proofErr w:type="spellEnd"/>
      <w:r w:rsidRPr="009029C5">
        <w:rPr>
          <w:rFonts w:ascii="Times New Roman" w:hAnsi="Times New Roman"/>
        </w:rPr>
        <w:t>, an ordinary language convention that treats general provisions as giving way to more specific provisions,</w:t>
      </w:r>
      <w:r w:rsidRPr="009029C5">
        <w:rPr>
          <w:rStyle w:val="FootnoteReference"/>
          <w:rFonts w:ascii="Times New Roman" w:hAnsi="Times New Roman"/>
          <w:sz w:val="24"/>
        </w:rPr>
        <w:footnoteReference w:id="82"/>
      </w:r>
      <w:r w:rsidRPr="009029C5">
        <w:rPr>
          <w:rFonts w:ascii="Times New Roman" w:hAnsi="Times New Roman"/>
        </w:rPr>
        <w:t xml:space="preserve"> to Art 2(1) miss the point. The issue is not one of identifying which of Art 2(1)(a) or Art 2(1)(d) is a general or a specific provision. The issue is the interaction of Art 18 and Art 2(1).  </w:t>
      </w:r>
    </w:p>
    <w:p w14:paraId="1DD7442A"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The text of Art 18(1)(a) relevantly provides that a State may reserve the</w:t>
      </w:r>
      <w:r>
        <w:rPr>
          <w:rFonts w:ascii="Times New Roman" w:hAnsi="Times New Roman"/>
        </w:rPr>
        <w:t> </w:t>
      </w:r>
      <w:r w:rsidRPr="009029C5">
        <w:rPr>
          <w:rFonts w:ascii="Times New Roman" w:hAnsi="Times New Roman"/>
        </w:rPr>
        <w:t>right "to exclude the application of Article 2, paragraphs 1(d) and (e)". In other words, the text provides that the circumstances of paras (1)(d) and (1)(e) can be disapplied from Art 2. Article 18(1)(a) thus provides a right of reservation that is specific, unqualified and comprehensive. It "assumes that a claim of the kind set out in [Art 2(1)(d) or (e)] is identifiable as such so that it is able to be disapplied by the legislature of a Contracting State".</w:t>
      </w:r>
      <w:r w:rsidRPr="009029C5">
        <w:rPr>
          <w:rStyle w:val="FootnoteReference"/>
          <w:rFonts w:ascii="Times New Roman" w:hAnsi="Times New Roman"/>
          <w:sz w:val="24"/>
        </w:rPr>
        <w:footnoteReference w:id="83"/>
      </w:r>
      <w:r w:rsidRPr="009029C5">
        <w:rPr>
          <w:rFonts w:ascii="Times New Roman" w:hAnsi="Times New Roman"/>
        </w:rPr>
        <w:t xml:space="preserve"> </w:t>
      </w:r>
    </w:p>
    <w:p w14:paraId="665EC790"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CSL's construction would put an impermissible gloss on the power of reservation, such that, if exercised, only claims within the scope of Art 2(1)(d) or (e) that are not within the scope of other sub</w:t>
      </w:r>
      <w:r w:rsidRPr="009029C5">
        <w:rPr>
          <w:rFonts w:ascii="Times New Roman" w:hAnsi="Times New Roman"/>
        </w:rPr>
        <w:noBreakHyphen/>
        <w:t>paragraphs of Art 2(1) could be excluded. The 1976 Convention should not be interpreted with such a gloss on the</w:t>
      </w:r>
      <w:r>
        <w:rPr>
          <w:rFonts w:ascii="Times New Roman" w:hAnsi="Times New Roman"/>
        </w:rPr>
        <w:t> </w:t>
      </w:r>
      <w:r w:rsidRPr="009029C5">
        <w:rPr>
          <w:rFonts w:ascii="Times New Roman" w:hAnsi="Times New Roman"/>
        </w:rPr>
        <w:t>text, inconsistent with the ordinary meaning of its words.</w:t>
      </w:r>
      <w:r w:rsidRPr="009029C5">
        <w:rPr>
          <w:rStyle w:val="FootnoteReference"/>
          <w:rFonts w:ascii="Times New Roman" w:hAnsi="Times New Roman"/>
          <w:sz w:val="24"/>
        </w:rPr>
        <w:footnoteReference w:id="84"/>
      </w:r>
      <w:r w:rsidRPr="009029C5">
        <w:rPr>
          <w:rFonts w:ascii="Times New Roman" w:hAnsi="Times New Roman"/>
        </w:rPr>
        <w:t xml:space="preserve"> The ordinary meaning of the text of Art 18(1), as set out above, precludes any partial reservations. This may be contrasted with the text of Art 15(1), which permits a</w:t>
      </w:r>
      <w:r>
        <w:rPr>
          <w:rFonts w:ascii="Times New Roman" w:hAnsi="Times New Roman"/>
        </w:rPr>
        <w:t> </w:t>
      </w:r>
      <w:r w:rsidRPr="009029C5">
        <w:rPr>
          <w:rFonts w:ascii="Times New Roman" w:hAnsi="Times New Roman"/>
        </w:rPr>
        <w:t>State Party to exclude certain persons or ships "wholly or partially" from</w:t>
      </w:r>
      <w:r>
        <w:rPr>
          <w:rFonts w:ascii="Times New Roman" w:hAnsi="Times New Roman"/>
        </w:rPr>
        <w:t> </w:t>
      </w:r>
      <w:r w:rsidRPr="009029C5">
        <w:rPr>
          <w:rFonts w:ascii="Times New Roman" w:hAnsi="Times New Roman"/>
        </w:rPr>
        <w:t>the</w:t>
      </w:r>
      <w:r>
        <w:rPr>
          <w:rFonts w:ascii="Times New Roman" w:hAnsi="Times New Roman"/>
        </w:rPr>
        <w:t> </w:t>
      </w:r>
      <w:r w:rsidRPr="009029C5">
        <w:rPr>
          <w:rFonts w:ascii="Times New Roman" w:hAnsi="Times New Roman"/>
        </w:rPr>
        <w:t>application of the 1976 Convention. To limit the scope of Australia's reservation under Art 18(1) to claims that are not within the scope of other sub</w:t>
      </w:r>
      <w:r w:rsidRPr="009029C5">
        <w:rPr>
          <w:rFonts w:ascii="Times New Roman" w:hAnsi="Times New Roman"/>
        </w:rPr>
        <w:noBreakHyphen/>
        <w:t xml:space="preserve">paragraphs of Art 2(1) would </w:t>
      </w:r>
      <w:proofErr w:type="gramStart"/>
      <w:r w:rsidRPr="009029C5">
        <w:rPr>
          <w:rFonts w:ascii="Times New Roman" w:hAnsi="Times New Roman"/>
        </w:rPr>
        <w:t>effect</w:t>
      </w:r>
      <w:proofErr w:type="gramEnd"/>
      <w:r w:rsidRPr="009029C5">
        <w:rPr>
          <w:rFonts w:ascii="Times New Roman" w:hAnsi="Times New Roman"/>
        </w:rPr>
        <w:t xml:space="preserve"> a partial reservation, contrary to its text. It would also produce uncertainty for a State contemplating reservation, for those involved in the maritime trade, whether as investors or direct participants, and for courts. </w:t>
      </w:r>
    </w:p>
    <w:p w14:paraId="5D1AC404"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b/>
          <w:bCs/>
        </w:rPr>
        <w:tab/>
      </w:r>
      <w:r w:rsidRPr="009029C5">
        <w:rPr>
          <w:rFonts w:ascii="Times New Roman" w:hAnsi="Times New Roman"/>
        </w:rPr>
        <w:t xml:space="preserve">The construction adopted is supported by the context in Art 18(1)(b). Article 18(1)(b), which permits States to reserve the right to exclude "claims for damage within the meaning of the International Convention on Liability and Compensation for Damage in Connection with the Carriage of Hazardous and Noxious Substances by Sea, 1996", permits those claims to be excluded for all purposes. So much was accepted by CSL. There is no good reason to assume that Art 18(1)(a) is to operate in some radically different fashion. </w:t>
      </w:r>
    </w:p>
    <w:p w14:paraId="66DEAC16"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lastRenderedPageBreak/>
        <w:tab/>
        <w:t xml:space="preserve">Next, the travaux </w:t>
      </w:r>
      <w:proofErr w:type="spellStart"/>
      <w:r w:rsidRPr="009029C5">
        <w:rPr>
          <w:rFonts w:ascii="Times New Roman" w:hAnsi="Times New Roman"/>
        </w:rPr>
        <w:t>préparatoires</w:t>
      </w:r>
      <w:proofErr w:type="spellEnd"/>
      <w:r w:rsidRPr="009029C5">
        <w:rPr>
          <w:rFonts w:ascii="Times New Roman" w:hAnsi="Times New Roman"/>
        </w:rPr>
        <w:t>, which can be used to confirm a meaning or interpret a provision with an ambiguous meaning,</w:t>
      </w:r>
      <w:r w:rsidRPr="009029C5">
        <w:rPr>
          <w:rStyle w:val="FootnoteReference"/>
          <w:rFonts w:ascii="Times New Roman" w:hAnsi="Times New Roman"/>
          <w:sz w:val="24"/>
        </w:rPr>
        <w:footnoteReference w:id="85"/>
      </w:r>
      <w:r w:rsidRPr="009029C5">
        <w:rPr>
          <w:rFonts w:ascii="Times New Roman" w:hAnsi="Times New Roman"/>
        </w:rPr>
        <w:t xml:space="preserve"> also confirm that the</w:t>
      </w:r>
      <w:r>
        <w:rPr>
          <w:rFonts w:ascii="Times New Roman" w:hAnsi="Times New Roman"/>
        </w:rPr>
        <w:t> </w:t>
      </w:r>
      <w:r w:rsidRPr="009029C5">
        <w:rPr>
          <w:rFonts w:ascii="Times New Roman" w:hAnsi="Times New Roman"/>
        </w:rPr>
        <w:t xml:space="preserve">reservation power in Art 18(1), when exercised, was to have the same effect as Art 3, which excludes certain claims from limitation under the 1976 Convention entirely. In relation to Art 2(1)(d), which is the concern of this appeal, it may be observed that its text was settled early on in the drafting of the 1976 Convention. Between 1972 and 1973, the </w:t>
      </w:r>
      <w:proofErr w:type="spellStart"/>
      <w:r w:rsidRPr="009029C5">
        <w:rPr>
          <w:rFonts w:ascii="Times New Roman" w:hAnsi="Times New Roman"/>
        </w:rPr>
        <w:t>Comité</w:t>
      </w:r>
      <w:proofErr w:type="spellEnd"/>
      <w:r w:rsidRPr="009029C5">
        <w:rPr>
          <w:rFonts w:ascii="Times New Roman" w:hAnsi="Times New Roman"/>
        </w:rPr>
        <w:t xml:space="preserve"> Maritime International (International</w:t>
      </w:r>
      <w:r>
        <w:rPr>
          <w:rFonts w:ascii="Times New Roman" w:hAnsi="Times New Roman"/>
        </w:rPr>
        <w:t> </w:t>
      </w:r>
      <w:r w:rsidRPr="009029C5">
        <w:rPr>
          <w:rFonts w:ascii="Times New Roman" w:hAnsi="Times New Roman"/>
        </w:rPr>
        <w:t>Maritime Committee or "CMI") prepared draft documents to revise the</w:t>
      </w:r>
      <w:r>
        <w:rPr>
          <w:rFonts w:ascii="Times New Roman" w:hAnsi="Times New Roman"/>
        </w:rPr>
        <w:t> </w:t>
      </w:r>
      <w:r w:rsidRPr="009029C5">
        <w:rPr>
          <w:rFonts w:ascii="Times New Roman" w:hAnsi="Times New Roman"/>
        </w:rPr>
        <w:t>International Convention relating to the Limitation of the Liability of Owners of Sea-Going Ships (1957), the predecessor to the 1976 Convention. One such document was a proposed new Convention, submitted by CMI to its International Conference in Hamburg in 1974.</w:t>
      </w:r>
      <w:r w:rsidRPr="009029C5">
        <w:rPr>
          <w:rStyle w:val="FootnoteReference"/>
          <w:rFonts w:ascii="Times New Roman" w:hAnsi="Times New Roman"/>
          <w:sz w:val="24"/>
        </w:rPr>
        <w:footnoteReference w:id="86"/>
      </w:r>
      <w:r w:rsidRPr="009029C5">
        <w:rPr>
          <w:rFonts w:ascii="Times New Roman" w:hAnsi="Times New Roman"/>
        </w:rPr>
        <w:t xml:space="preserve"> That draft contained Art 2(1)(d) in almost identical terms to its present form.</w:t>
      </w:r>
      <w:r w:rsidRPr="009029C5">
        <w:rPr>
          <w:rStyle w:val="FootnoteReference"/>
          <w:rFonts w:ascii="Times New Roman" w:hAnsi="Times New Roman"/>
          <w:sz w:val="24"/>
        </w:rPr>
        <w:footnoteReference w:id="87"/>
      </w:r>
      <w:r w:rsidRPr="009029C5">
        <w:rPr>
          <w:rFonts w:ascii="Times New Roman" w:hAnsi="Times New Roman"/>
        </w:rPr>
        <w:t xml:space="preserve"> </w:t>
      </w:r>
    </w:p>
    <w:p w14:paraId="077CB1A5"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The ensuing debate was concerned with whether the claims in Art 2(1)(d) were to be excluded under Art 3, or subject to a power of reservation (as was ultimately adopted). For example, during early negotiations, some delegations noted that the existence of a limitation in respect of wreck removal might be conducive to the neglect of wreck removal by shipowners.</w:t>
      </w:r>
      <w:r w:rsidRPr="009029C5">
        <w:rPr>
          <w:rStyle w:val="FootnoteReference"/>
          <w:rFonts w:ascii="Times New Roman" w:hAnsi="Times New Roman"/>
          <w:sz w:val="24"/>
        </w:rPr>
        <w:footnoteReference w:id="88"/>
      </w:r>
      <w:r w:rsidRPr="009029C5">
        <w:rPr>
          <w:rFonts w:ascii="Times New Roman" w:hAnsi="Times New Roman"/>
        </w:rPr>
        <w:t xml:space="preserve"> At the time, it was considered preferable to retain the existing text, and defer the question of a</w:t>
      </w:r>
      <w:r>
        <w:rPr>
          <w:rFonts w:ascii="Times New Roman" w:hAnsi="Times New Roman"/>
        </w:rPr>
        <w:t> </w:t>
      </w:r>
      <w:r w:rsidRPr="009029C5">
        <w:rPr>
          <w:rFonts w:ascii="Times New Roman" w:hAnsi="Times New Roman"/>
        </w:rPr>
        <w:t>reservation for claims arising out of wreck removal.</w:t>
      </w:r>
      <w:r w:rsidRPr="009029C5">
        <w:rPr>
          <w:rStyle w:val="FootnoteReference"/>
          <w:rFonts w:ascii="Times New Roman" w:hAnsi="Times New Roman"/>
          <w:sz w:val="24"/>
        </w:rPr>
        <w:footnoteReference w:id="89"/>
      </w:r>
      <w:r w:rsidRPr="009029C5">
        <w:rPr>
          <w:rFonts w:ascii="Times New Roman" w:hAnsi="Times New Roman"/>
        </w:rPr>
        <w:t xml:space="preserve"> Having regard to the</w:t>
      </w:r>
      <w:r>
        <w:rPr>
          <w:rFonts w:ascii="Times New Roman" w:hAnsi="Times New Roman"/>
        </w:rPr>
        <w:t> </w:t>
      </w:r>
      <w:r w:rsidRPr="009029C5">
        <w:rPr>
          <w:rFonts w:ascii="Times New Roman" w:hAnsi="Times New Roman"/>
        </w:rPr>
        <w:t xml:space="preserve">delegations' concerns, two options were considered: claims within the scope of </w:t>
      </w:r>
      <w:r w:rsidRPr="009029C5">
        <w:rPr>
          <w:rFonts w:ascii="Times New Roman" w:hAnsi="Times New Roman"/>
        </w:rPr>
        <w:lastRenderedPageBreak/>
        <w:t xml:space="preserve">Art 2(1)(d) could be excluded for all States (by excluding Art 2(1)(d) and setting out that category of claims in Art 3) </w:t>
      </w:r>
      <w:r w:rsidRPr="009029C5">
        <w:rPr>
          <w:rFonts w:ascii="Times New Roman" w:hAnsi="Times New Roman"/>
          <w:i/>
          <w:iCs/>
        </w:rPr>
        <w:t>or</w:t>
      </w:r>
      <w:r w:rsidRPr="009029C5">
        <w:rPr>
          <w:rFonts w:ascii="Times New Roman" w:hAnsi="Times New Roman"/>
        </w:rPr>
        <w:t xml:space="preserve"> excluded for States that made a reservation under Art 18(1)(a).</w:t>
      </w:r>
      <w:r w:rsidRPr="009029C5">
        <w:rPr>
          <w:rStyle w:val="FootnoteReference"/>
          <w:rFonts w:ascii="Times New Roman" w:hAnsi="Times New Roman"/>
          <w:sz w:val="24"/>
        </w:rPr>
        <w:footnoteReference w:id="90"/>
      </w:r>
      <w:r w:rsidRPr="009029C5">
        <w:rPr>
          <w:rFonts w:ascii="Times New Roman" w:hAnsi="Times New Roman"/>
        </w:rPr>
        <w:t xml:space="preserve"> There is no indication that the delegations intended for exclusion of the claims under Art 3 or reservation under Art 18 to bring about different results. To the contrary, delegations expressed that if claims for wreck removal could not be excluded, Contracting States should have, as an alternative, the right of reservation in relation to such claims.</w:t>
      </w:r>
      <w:r w:rsidRPr="009029C5">
        <w:rPr>
          <w:rStyle w:val="FootnoteReference"/>
          <w:rFonts w:ascii="Times New Roman" w:hAnsi="Times New Roman"/>
          <w:sz w:val="24"/>
        </w:rPr>
        <w:footnoteReference w:id="91"/>
      </w:r>
      <w:r w:rsidRPr="009029C5">
        <w:rPr>
          <w:rFonts w:ascii="Times New Roman" w:hAnsi="Times New Roman"/>
        </w:rPr>
        <w:t xml:space="preserve"> The latter approach was ultimately adopted.</w:t>
      </w:r>
      <w:r w:rsidRPr="009029C5">
        <w:rPr>
          <w:rStyle w:val="FootnoteReference"/>
          <w:rFonts w:ascii="Times New Roman" w:hAnsi="Times New Roman"/>
          <w:sz w:val="24"/>
        </w:rPr>
        <w:footnoteReference w:id="92"/>
      </w:r>
      <w:r w:rsidRPr="009029C5">
        <w:rPr>
          <w:rFonts w:ascii="Times New Roman" w:hAnsi="Times New Roman"/>
        </w:rPr>
        <w:t xml:space="preserve"> </w:t>
      </w:r>
    </w:p>
    <w:p w14:paraId="55B7BEC3"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 xml:space="preserve">The travaux </w:t>
      </w:r>
      <w:proofErr w:type="spellStart"/>
      <w:r w:rsidRPr="009029C5">
        <w:rPr>
          <w:rFonts w:ascii="Times New Roman" w:hAnsi="Times New Roman"/>
        </w:rPr>
        <w:t>préparatoires</w:t>
      </w:r>
      <w:proofErr w:type="spellEnd"/>
      <w:r w:rsidRPr="009029C5">
        <w:rPr>
          <w:rFonts w:ascii="Times New Roman" w:hAnsi="Times New Roman"/>
        </w:rPr>
        <w:t xml:space="preserve"> of the Protocol of 1996 to amend the Convention on Limitation of Liability for Maritime Claims, 1976 also reflected a view on the</w:t>
      </w:r>
      <w:r>
        <w:rPr>
          <w:rFonts w:ascii="Times New Roman" w:hAnsi="Times New Roman"/>
        </w:rPr>
        <w:t> </w:t>
      </w:r>
      <w:r w:rsidRPr="009029C5">
        <w:rPr>
          <w:rFonts w:ascii="Times New Roman" w:hAnsi="Times New Roman"/>
        </w:rPr>
        <w:t>part of Contracting States that the exclusion of claims under Art 3 and the</w:t>
      </w:r>
      <w:r>
        <w:rPr>
          <w:rFonts w:ascii="Times New Roman" w:hAnsi="Times New Roman"/>
        </w:rPr>
        <w:t> </w:t>
      </w:r>
      <w:r w:rsidRPr="009029C5">
        <w:rPr>
          <w:rFonts w:ascii="Times New Roman" w:hAnsi="Times New Roman"/>
        </w:rPr>
        <w:t>exercise of a reservation under Art 18 would bring about the same result.</w:t>
      </w:r>
      <w:r w:rsidRPr="009029C5">
        <w:rPr>
          <w:rStyle w:val="FootnoteReference"/>
          <w:rFonts w:ascii="Times New Roman" w:hAnsi="Times New Roman"/>
          <w:sz w:val="24"/>
        </w:rPr>
        <w:footnoteReference w:id="93"/>
      </w:r>
      <w:r w:rsidRPr="009029C5">
        <w:rPr>
          <w:rFonts w:ascii="Times New Roman" w:hAnsi="Times New Roman"/>
        </w:rPr>
        <w:t xml:space="preserve"> Those discussions were concerned with how the 1976 Convention might be amended to deal with claims under the International Convention on Liability and Compensation for Damage in Connection with the Carriage of Hazardous and Noxious Substances by Sea (1996): in that regard, there was some suggestion by France that reservation might be preferable in view of countries which might accede at a later date to the 1976 Convention.</w:t>
      </w:r>
      <w:r w:rsidRPr="009029C5">
        <w:rPr>
          <w:rStyle w:val="FootnoteReference"/>
          <w:rFonts w:ascii="Times New Roman" w:hAnsi="Times New Roman"/>
          <w:sz w:val="24"/>
        </w:rPr>
        <w:footnoteReference w:id="94"/>
      </w:r>
      <w:r w:rsidRPr="009029C5">
        <w:rPr>
          <w:rFonts w:ascii="Times New Roman" w:hAnsi="Times New Roman"/>
        </w:rPr>
        <w:t xml:space="preserve"> </w:t>
      </w:r>
    </w:p>
    <w:p w14:paraId="051E250C"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lastRenderedPageBreak/>
        <w:tab/>
        <w:t>This construction also aligns with the interpretation adopted in the apex courts of other Contracting States that have considered the scheme within which Art 18 and Art 2(1)(d) of the 1976 Convention operate.</w:t>
      </w:r>
      <w:r w:rsidRPr="009029C5">
        <w:rPr>
          <w:rStyle w:val="FootnoteReference"/>
          <w:rFonts w:ascii="Times New Roman" w:hAnsi="Times New Roman"/>
          <w:sz w:val="24"/>
        </w:rPr>
        <w:footnoteReference w:id="95"/>
      </w:r>
      <w:r w:rsidRPr="009029C5">
        <w:rPr>
          <w:rFonts w:ascii="Times New Roman" w:hAnsi="Times New Roman"/>
        </w:rPr>
        <w:t xml:space="preserve"> The uniform position amongst Contracting States is that wreck removal claims are not limitable under the 1976 Convention where a State has exercised the reservation power and excluded claims within Art 2(1)(d), even if the same claims are capable of coming within Art 2(1)(a).</w:t>
      </w:r>
    </w:p>
    <w:p w14:paraId="707FE78B"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 xml:space="preserve">The decisions of the apex courts of other Contracting States are addressed in the order in which they were decided. The Supreme Court of the Netherlands in </w:t>
      </w:r>
      <w:proofErr w:type="spellStart"/>
      <w:r w:rsidRPr="009029C5">
        <w:rPr>
          <w:rFonts w:ascii="Times New Roman" w:hAnsi="Times New Roman"/>
          <w:i/>
        </w:rPr>
        <w:t>Scheepvaartbedrijf</w:t>
      </w:r>
      <w:proofErr w:type="spellEnd"/>
      <w:r w:rsidRPr="009029C5">
        <w:rPr>
          <w:rFonts w:ascii="Times New Roman" w:hAnsi="Times New Roman"/>
          <w:i/>
        </w:rPr>
        <w:t xml:space="preserve"> MS </w:t>
      </w:r>
      <w:proofErr w:type="spellStart"/>
      <w:r w:rsidRPr="009029C5">
        <w:rPr>
          <w:rFonts w:ascii="Times New Roman" w:hAnsi="Times New Roman"/>
          <w:i/>
        </w:rPr>
        <w:t>Amasus</w:t>
      </w:r>
      <w:proofErr w:type="spellEnd"/>
      <w:r w:rsidRPr="009029C5">
        <w:rPr>
          <w:rFonts w:ascii="Times New Roman" w:hAnsi="Times New Roman"/>
          <w:i/>
        </w:rPr>
        <w:t xml:space="preserve"> BV v ELG Haniel Trading GmbH</w:t>
      </w:r>
      <w:r w:rsidRPr="009029C5">
        <w:rPr>
          <w:rFonts w:ascii="Times New Roman" w:hAnsi="Times New Roman"/>
          <w:i/>
          <w:iCs/>
        </w:rPr>
        <w:t xml:space="preserve"> </w:t>
      </w:r>
      <w:r w:rsidRPr="009029C5">
        <w:rPr>
          <w:rFonts w:ascii="Times New Roman" w:hAnsi="Times New Roman"/>
        </w:rPr>
        <w:t>("</w:t>
      </w:r>
      <w:r w:rsidRPr="009029C5">
        <w:rPr>
          <w:rFonts w:ascii="Times New Roman" w:hAnsi="Times New Roman"/>
          <w:i/>
          <w:iCs/>
        </w:rPr>
        <w:t>The Wisdom</w:t>
      </w:r>
      <w:r w:rsidRPr="009029C5">
        <w:rPr>
          <w:rFonts w:ascii="Times New Roman" w:hAnsi="Times New Roman"/>
        </w:rPr>
        <w:t>") reasoned that a State's reservation under Art 18(1) created "a different regime" (or</w:t>
      </w:r>
      <w:r>
        <w:rPr>
          <w:rFonts w:ascii="Times New Roman" w:hAnsi="Times New Roman"/>
        </w:rPr>
        <w:t> </w:t>
      </w:r>
      <w:r w:rsidRPr="009029C5">
        <w:rPr>
          <w:rFonts w:ascii="Times New Roman" w:hAnsi="Times New Roman"/>
        </w:rPr>
        <w:t xml:space="preserve">"special regime") that takes precedence as a "lex </w:t>
      </w:r>
      <w:proofErr w:type="spellStart"/>
      <w:r w:rsidRPr="009029C5">
        <w:rPr>
          <w:rFonts w:ascii="Times New Roman" w:hAnsi="Times New Roman"/>
        </w:rPr>
        <w:t>specialis</w:t>
      </w:r>
      <w:proofErr w:type="spellEnd"/>
      <w:r w:rsidRPr="009029C5">
        <w:rPr>
          <w:rFonts w:ascii="Times New Roman" w:hAnsi="Times New Roman"/>
        </w:rPr>
        <w:t>", taking the claims subject to reservation out of the category of limitable claims.</w:t>
      </w:r>
      <w:r w:rsidRPr="009029C5">
        <w:rPr>
          <w:rStyle w:val="FootnoteReference"/>
          <w:rFonts w:ascii="Times New Roman" w:hAnsi="Times New Roman"/>
          <w:sz w:val="24"/>
        </w:rPr>
        <w:footnoteReference w:id="96"/>
      </w:r>
      <w:r w:rsidRPr="009029C5">
        <w:rPr>
          <w:rFonts w:ascii="Times New Roman" w:hAnsi="Times New Roman"/>
        </w:rPr>
        <w:t xml:space="preserve"> The Court accepted there was scope for overlap between the operation of Art 2(1)(a) and (d) but held that the reservation in Art 18(1) precluded limitation under Art 2(1)(a).</w:t>
      </w:r>
      <w:r w:rsidRPr="009029C5">
        <w:rPr>
          <w:rStyle w:val="FootnoteReference"/>
          <w:rFonts w:ascii="Times New Roman" w:hAnsi="Times New Roman"/>
          <w:sz w:val="24"/>
        </w:rPr>
        <w:footnoteReference w:id="97"/>
      </w:r>
      <w:r w:rsidRPr="009029C5">
        <w:rPr>
          <w:rFonts w:ascii="Times New Roman" w:hAnsi="Times New Roman"/>
        </w:rPr>
        <w:t xml:space="preserve"> The</w:t>
      </w:r>
      <w:r>
        <w:rPr>
          <w:rFonts w:ascii="Times New Roman" w:hAnsi="Times New Roman"/>
        </w:rPr>
        <w:t> </w:t>
      </w:r>
      <w:r w:rsidRPr="009029C5">
        <w:rPr>
          <w:rFonts w:ascii="Times New Roman" w:hAnsi="Times New Roman"/>
        </w:rPr>
        <w:t>Court affirmed the decision of the court below that "[</w:t>
      </w:r>
      <w:proofErr w:type="spellStart"/>
      <w:r w:rsidRPr="009029C5">
        <w:rPr>
          <w:rFonts w:ascii="Times New Roman" w:hAnsi="Times New Roman"/>
        </w:rPr>
        <w:t>i</w:t>
      </w:r>
      <w:proofErr w:type="spellEnd"/>
      <w:r w:rsidRPr="009029C5">
        <w:rPr>
          <w:rFonts w:ascii="Times New Roman" w:hAnsi="Times New Roman"/>
        </w:rPr>
        <w:t>]f ... there is an overlap between Article 2, Paragraph 1, under a ... and Article 2, Paragraph 1, under d ... the latter provision shall prevail, by reason of the possibility of a reservation under Article 18, Paragraph 1".</w:t>
      </w:r>
      <w:r w:rsidRPr="009029C5">
        <w:rPr>
          <w:rStyle w:val="FootnoteReference"/>
          <w:rFonts w:ascii="Times New Roman" w:hAnsi="Times New Roman"/>
          <w:sz w:val="24"/>
        </w:rPr>
        <w:footnoteReference w:id="98"/>
      </w:r>
    </w:p>
    <w:p w14:paraId="75E2A373"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 xml:space="preserve">In </w:t>
      </w:r>
      <w:r w:rsidRPr="009029C5">
        <w:rPr>
          <w:rFonts w:ascii="Times New Roman" w:hAnsi="Times New Roman"/>
          <w:i/>
          <w:iCs/>
        </w:rPr>
        <w:t>Perusahaan Perseroan (Persero) PT Pertamina v Trevaskis Ltd</w:t>
      </w:r>
      <w:r w:rsidRPr="009029C5">
        <w:rPr>
          <w:rFonts w:ascii="Times New Roman" w:hAnsi="Times New Roman"/>
        </w:rPr>
        <w:t xml:space="preserve"> ("</w:t>
      </w:r>
      <w:r w:rsidRPr="009029C5">
        <w:rPr>
          <w:rFonts w:ascii="Times New Roman" w:hAnsi="Times New Roman"/>
          <w:i/>
          <w:iCs/>
        </w:rPr>
        <w:t>The</w:t>
      </w:r>
      <w:r>
        <w:rPr>
          <w:rFonts w:ascii="Times New Roman" w:hAnsi="Times New Roman"/>
          <w:i/>
          <w:iCs/>
        </w:rPr>
        <w:t> </w:t>
      </w:r>
      <w:r w:rsidRPr="009029C5">
        <w:rPr>
          <w:rFonts w:ascii="Times New Roman" w:hAnsi="Times New Roman"/>
          <w:i/>
          <w:iCs/>
        </w:rPr>
        <w:t>Star Centurion</w:t>
      </w:r>
      <w:r w:rsidRPr="009029C5">
        <w:rPr>
          <w:rFonts w:ascii="Times New Roman" w:hAnsi="Times New Roman"/>
        </w:rPr>
        <w:t>"), the Hong Kong Court of Final Appeal found that, Hong</w:t>
      </w:r>
      <w:r>
        <w:rPr>
          <w:rFonts w:ascii="Times New Roman" w:hAnsi="Times New Roman"/>
        </w:rPr>
        <w:t> </w:t>
      </w:r>
      <w:r w:rsidRPr="009029C5">
        <w:rPr>
          <w:rFonts w:ascii="Times New Roman" w:hAnsi="Times New Roman"/>
        </w:rPr>
        <w:t>Kong having exercised its power of reservation under Art 18(1) in relation to Art 2(1)(d), the relevant claims were not limitable under Art 2(1)(a).</w:t>
      </w:r>
      <w:r w:rsidRPr="009029C5">
        <w:rPr>
          <w:rStyle w:val="FootnoteReference"/>
          <w:rFonts w:ascii="Times New Roman" w:hAnsi="Times New Roman"/>
          <w:sz w:val="24"/>
        </w:rPr>
        <w:footnoteReference w:id="99"/>
      </w:r>
      <w:r w:rsidRPr="009029C5">
        <w:rPr>
          <w:rFonts w:ascii="Times New Roman" w:hAnsi="Times New Roman"/>
        </w:rPr>
        <w:t xml:space="preserve"> Keane</w:t>
      </w:r>
      <w:r>
        <w:rPr>
          <w:rFonts w:ascii="Times New Roman" w:hAnsi="Times New Roman"/>
        </w:rPr>
        <w:t> </w:t>
      </w:r>
      <w:r w:rsidRPr="009029C5">
        <w:rPr>
          <w:rFonts w:ascii="Times New Roman" w:hAnsi="Times New Roman"/>
        </w:rPr>
        <w:t>NPJ correctly observed that Art 2(1)(a) would not apply coherently if a</w:t>
      </w:r>
      <w:r>
        <w:rPr>
          <w:rFonts w:ascii="Times New Roman" w:hAnsi="Times New Roman"/>
        </w:rPr>
        <w:t> </w:t>
      </w:r>
      <w:r w:rsidRPr="009029C5">
        <w:rPr>
          <w:rFonts w:ascii="Times New Roman" w:hAnsi="Times New Roman"/>
        </w:rPr>
        <w:t>State could disapply Art 2(1)(d) "while at the same time providing that limitation of liability remains available to limit the same claim for recovery of the same expense for no reason other than that the" claim could fall within another sub</w:t>
      </w:r>
      <w:r>
        <w:rPr>
          <w:rFonts w:ascii="Times New Roman" w:hAnsi="Times New Roman"/>
        </w:rPr>
        <w:noBreakHyphen/>
      </w:r>
      <w:r w:rsidRPr="009029C5">
        <w:rPr>
          <w:rFonts w:ascii="Times New Roman" w:hAnsi="Times New Roman"/>
        </w:rPr>
        <w:t>paragraph of Art 2(1) in respect of which there had been no reservation.</w:t>
      </w:r>
      <w:r w:rsidRPr="009029C5">
        <w:rPr>
          <w:rStyle w:val="FootnoteReference"/>
          <w:rFonts w:ascii="Times New Roman" w:hAnsi="Times New Roman"/>
          <w:sz w:val="24"/>
        </w:rPr>
        <w:footnoteReference w:id="100"/>
      </w:r>
      <w:r w:rsidRPr="009029C5">
        <w:rPr>
          <w:rFonts w:ascii="Times New Roman" w:hAnsi="Times New Roman"/>
        </w:rPr>
        <w:t xml:space="preserve"> </w:t>
      </w:r>
      <w:r w:rsidRPr="009029C5">
        <w:rPr>
          <w:rFonts w:ascii="Times New Roman" w:hAnsi="Times New Roman"/>
        </w:rPr>
        <w:lastRenderedPageBreak/>
        <w:t>Keane NPJ considered that the "evident purpose of [Art 18(1)] can be achieved only if reservation by a Contracting State is effective in disapplying [Art 2(1)(d)] even though the expenses of wreck removal might also fall within the language in which other kinds of claims are described in [Art 2(1)]".</w:t>
      </w:r>
      <w:r w:rsidRPr="009029C5">
        <w:rPr>
          <w:rStyle w:val="FootnoteReference"/>
          <w:rFonts w:ascii="Times New Roman" w:hAnsi="Times New Roman"/>
          <w:sz w:val="24"/>
        </w:rPr>
        <w:footnoteReference w:id="101"/>
      </w:r>
    </w:p>
    <w:p w14:paraId="12A5589C" w14:textId="77777777" w:rsidR="00AA57DC" w:rsidRPr="009029C5" w:rsidRDefault="00AA57DC" w:rsidP="009029C5">
      <w:pPr>
        <w:pStyle w:val="FixListStyle"/>
        <w:spacing w:after="260" w:line="280" w:lineRule="exact"/>
        <w:ind w:right="0"/>
        <w:jc w:val="both"/>
        <w:rPr>
          <w:rFonts w:ascii="Times New Roman" w:hAnsi="Times New Roman"/>
        </w:rPr>
      </w:pPr>
      <w:r w:rsidRPr="009029C5">
        <w:rPr>
          <w:rFonts w:ascii="Times New Roman" w:hAnsi="Times New Roman"/>
        </w:rPr>
        <w:tab/>
        <w:t xml:space="preserve">In </w:t>
      </w:r>
      <w:r w:rsidRPr="009029C5">
        <w:rPr>
          <w:rFonts w:ascii="Times New Roman" w:hAnsi="Times New Roman"/>
          <w:i/>
          <w:iCs/>
        </w:rPr>
        <w:t xml:space="preserve">MSC Mediterranean Shipping Co SA v Conti 11 Container </w:t>
      </w:r>
      <w:proofErr w:type="spellStart"/>
      <w:r w:rsidRPr="009029C5">
        <w:rPr>
          <w:rFonts w:ascii="Times New Roman" w:hAnsi="Times New Roman"/>
          <w:i/>
          <w:iCs/>
        </w:rPr>
        <w:t>Schiffahrts</w:t>
      </w:r>
      <w:proofErr w:type="spellEnd"/>
      <w:r>
        <w:rPr>
          <w:rFonts w:ascii="Times New Roman" w:hAnsi="Times New Roman"/>
          <w:i/>
          <w:iCs/>
        </w:rPr>
        <w:noBreakHyphen/>
      </w:r>
      <w:r w:rsidRPr="009029C5">
        <w:rPr>
          <w:rFonts w:ascii="Times New Roman" w:hAnsi="Times New Roman"/>
          <w:i/>
          <w:iCs/>
        </w:rPr>
        <w:t>GmbH &amp; Co KG MS</w:t>
      </w:r>
      <w:r w:rsidRPr="009029C5">
        <w:rPr>
          <w:rFonts w:ascii="Times New Roman" w:hAnsi="Times New Roman"/>
        </w:rPr>
        <w:t xml:space="preserve"> ("</w:t>
      </w:r>
      <w:r w:rsidRPr="009029C5">
        <w:rPr>
          <w:rFonts w:ascii="Times New Roman" w:hAnsi="Times New Roman"/>
          <w:i/>
          <w:iCs/>
        </w:rPr>
        <w:t>The Flaminia</w:t>
      </w:r>
      <w:r w:rsidRPr="009029C5">
        <w:rPr>
          <w:rFonts w:ascii="Times New Roman" w:hAnsi="Times New Roman"/>
        </w:rPr>
        <w:t>"), the Supreme Court of the</w:t>
      </w:r>
      <w:r>
        <w:rPr>
          <w:rFonts w:ascii="Times New Roman" w:hAnsi="Times New Roman"/>
        </w:rPr>
        <w:t> </w:t>
      </w:r>
      <w:r w:rsidRPr="009029C5">
        <w:rPr>
          <w:rFonts w:ascii="Times New Roman" w:hAnsi="Times New Roman"/>
        </w:rPr>
        <w:t>United Kingdom was dealing with a different issue.</w:t>
      </w:r>
      <w:r w:rsidRPr="009029C5">
        <w:rPr>
          <w:rStyle w:val="FootnoteReference"/>
          <w:rFonts w:ascii="Times New Roman" w:hAnsi="Times New Roman"/>
          <w:sz w:val="24"/>
        </w:rPr>
        <w:footnoteReference w:id="102"/>
      </w:r>
      <w:r w:rsidRPr="009029C5">
        <w:rPr>
          <w:rFonts w:ascii="Times New Roman" w:hAnsi="Times New Roman"/>
        </w:rPr>
        <w:t xml:space="preserve"> The Court did not need to consider the effect of a reservation because the case did not involve a State's reservation under Art 18(1). In </w:t>
      </w:r>
      <w:r w:rsidRPr="009029C5">
        <w:rPr>
          <w:rFonts w:ascii="Times New Roman" w:hAnsi="Times New Roman"/>
          <w:i/>
          <w:iCs/>
        </w:rPr>
        <w:t>The Flaminia</w:t>
      </w:r>
      <w:r w:rsidRPr="009029C5">
        <w:rPr>
          <w:rFonts w:ascii="Times New Roman" w:hAnsi="Times New Roman"/>
        </w:rPr>
        <w:t>, the issue was whether a claim that could not be limited under Art 2(1)(a) because it involved damage to the</w:t>
      </w:r>
      <w:r>
        <w:rPr>
          <w:rFonts w:ascii="Times New Roman" w:hAnsi="Times New Roman"/>
        </w:rPr>
        <w:t> </w:t>
      </w:r>
      <w:r w:rsidRPr="009029C5">
        <w:rPr>
          <w:rFonts w:ascii="Times New Roman" w:hAnsi="Times New Roman"/>
        </w:rPr>
        <w:t>"limiting</w:t>
      </w:r>
      <w:r>
        <w:rPr>
          <w:rFonts w:ascii="Times New Roman" w:hAnsi="Times New Roman"/>
        </w:rPr>
        <w:t> </w:t>
      </w:r>
      <w:r w:rsidRPr="009029C5">
        <w:rPr>
          <w:rFonts w:ascii="Times New Roman" w:hAnsi="Times New Roman"/>
        </w:rPr>
        <w:t>ship"</w:t>
      </w:r>
      <w:r w:rsidRPr="009029C5">
        <w:rPr>
          <w:rStyle w:val="FootnoteReference"/>
          <w:rFonts w:ascii="Times New Roman" w:hAnsi="Times New Roman"/>
          <w:sz w:val="24"/>
        </w:rPr>
        <w:footnoteReference w:id="103"/>
      </w:r>
      <w:r w:rsidRPr="009029C5">
        <w:rPr>
          <w:rFonts w:ascii="Times New Roman" w:hAnsi="Times New Roman"/>
        </w:rPr>
        <w:t xml:space="preserve"> could nonetheless be limited under Art 2(1)(e). Or, put in different terms, the question was whether the fact that the claim was not within the</w:t>
      </w:r>
      <w:r>
        <w:rPr>
          <w:rFonts w:ascii="Times New Roman" w:hAnsi="Times New Roman"/>
        </w:rPr>
        <w:t> </w:t>
      </w:r>
      <w:r w:rsidRPr="009029C5">
        <w:rPr>
          <w:rFonts w:ascii="Times New Roman" w:hAnsi="Times New Roman"/>
        </w:rPr>
        <w:t>scope of Art 2(1)(a) meant it was necessarily excluded from the scope of Art</w:t>
      </w:r>
      <w:r>
        <w:rPr>
          <w:rFonts w:ascii="Times New Roman" w:hAnsi="Times New Roman"/>
        </w:rPr>
        <w:t> </w:t>
      </w:r>
      <w:r w:rsidRPr="009029C5">
        <w:rPr>
          <w:rFonts w:ascii="Times New Roman" w:hAnsi="Times New Roman"/>
        </w:rPr>
        <w:t>2(1)(e) and therefore not limitable. Accepting that Art 2(1) permitted the dual characterisation of claims,</w:t>
      </w:r>
      <w:r w:rsidRPr="009029C5">
        <w:rPr>
          <w:rStyle w:val="FootnoteReference"/>
          <w:rFonts w:ascii="Times New Roman" w:hAnsi="Times New Roman"/>
          <w:sz w:val="24"/>
        </w:rPr>
        <w:footnoteReference w:id="104"/>
      </w:r>
      <w:r w:rsidRPr="009029C5">
        <w:rPr>
          <w:rFonts w:ascii="Times New Roman" w:hAnsi="Times New Roman"/>
        </w:rPr>
        <w:t xml:space="preserve"> the Court gave the terms of both Arts 2(1)(a) and 2(1)(e) their full meaning according to the text.</w:t>
      </w:r>
      <w:r w:rsidRPr="009029C5">
        <w:rPr>
          <w:rStyle w:val="FootnoteReference"/>
          <w:rFonts w:ascii="Times New Roman" w:hAnsi="Times New Roman"/>
          <w:sz w:val="24"/>
        </w:rPr>
        <w:footnoteReference w:id="105"/>
      </w:r>
      <w:r w:rsidRPr="009029C5">
        <w:rPr>
          <w:rFonts w:ascii="Times New Roman" w:hAnsi="Times New Roman"/>
        </w:rPr>
        <w:t xml:space="preserve"> The Court did not "carve out" claims from one sub</w:t>
      </w:r>
      <w:r>
        <w:rPr>
          <w:rFonts w:ascii="Times New Roman" w:hAnsi="Times New Roman"/>
        </w:rPr>
        <w:noBreakHyphen/>
      </w:r>
      <w:r w:rsidRPr="009029C5">
        <w:rPr>
          <w:rFonts w:ascii="Times New Roman" w:hAnsi="Times New Roman"/>
        </w:rPr>
        <w:t>paragraph by reference to another. As a result, a claim was limitable under Art</w:t>
      </w:r>
      <w:r>
        <w:rPr>
          <w:rFonts w:ascii="Times New Roman" w:hAnsi="Times New Roman"/>
        </w:rPr>
        <w:t> </w:t>
      </w:r>
      <w:r w:rsidRPr="009029C5">
        <w:rPr>
          <w:rFonts w:ascii="Times New Roman" w:hAnsi="Times New Roman"/>
        </w:rPr>
        <w:t>2(1)(e) despite not being limitable under Art 2(1)(a).</w:t>
      </w:r>
      <w:r w:rsidRPr="009029C5">
        <w:rPr>
          <w:rStyle w:val="FootnoteReference"/>
          <w:rFonts w:ascii="Times New Roman" w:hAnsi="Times New Roman"/>
          <w:sz w:val="24"/>
        </w:rPr>
        <w:footnoteReference w:id="106"/>
      </w:r>
      <w:r w:rsidRPr="009029C5">
        <w:rPr>
          <w:rFonts w:ascii="Times New Roman" w:hAnsi="Times New Roman"/>
        </w:rPr>
        <w:t xml:space="preserve"> </w:t>
      </w:r>
    </w:p>
    <w:p w14:paraId="0EAF42D3" w14:textId="7345B179" w:rsidR="00C073A5" w:rsidRPr="00AA57DC" w:rsidRDefault="00AA57DC" w:rsidP="00AA57DC">
      <w:pPr>
        <w:pStyle w:val="FixListStyle"/>
        <w:spacing w:after="260" w:line="280" w:lineRule="exact"/>
        <w:ind w:right="0"/>
        <w:jc w:val="both"/>
        <w:rPr>
          <w:rFonts w:ascii="Times New Roman" w:hAnsi="Times New Roman"/>
        </w:rPr>
      </w:pPr>
      <w:r w:rsidRPr="009029C5">
        <w:rPr>
          <w:rFonts w:ascii="Times New Roman" w:hAnsi="Times New Roman"/>
        </w:rPr>
        <w:tab/>
      </w:r>
      <w:r w:rsidRPr="0046572A">
        <w:rPr>
          <w:rFonts w:ascii="Times New Roman" w:hAnsi="Times New Roman"/>
          <w:spacing w:val="2"/>
        </w:rPr>
        <w:t xml:space="preserve">The proper construction of the 1976 Convention, as set out in these reasons, is consistent with the reasoning in </w:t>
      </w:r>
      <w:r w:rsidRPr="0046572A">
        <w:rPr>
          <w:rFonts w:ascii="Times New Roman" w:hAnsi="Times New Roman"/>
          <w:i/>
          <w:iCs/>
          <w:spacing w:val="2"/>
        </w:rPr>
        <w:t>The Flaminia</w:t>
      </w:r>
      <w:r w:rsidRPr="0046572A">
        <w:rPr>
          <w:rFonts w:ascii="Times New Roman" w:hAnsi="Times New Roman"/>
          <w:spacing w:val="2"/>
        </w:rPr>
        <w:t xml:space="preserve">: it does not require "carving out" claims within Art 2(1)(d) from the scope of Art 2(1)(a). Consistently with </w:t>
      </w:r>
      <w:r w:rsidRPr="0046572A">
        <w:rPr>
          <w:rFonts w:ascii="Times New Roman" w:hAnsi="Times New Roman"/>
          <w:i/>
          <w:iCs/>
          <w:spacing w:val="2"/>
        </w:rPr>
        <w:t>The Flaminia</w:t>
      </w:r>
      <w:r w:rsidRPr="0046572A">
        <w:rPr>
          <w:rFonts w:ascii="Times New Roman" w:hAnsi="Times New Roman"/>
          <w:spacing w:val="2"/>
        </w:rPr>
        <w:t>, Art 2(1) permits the dual characterisation of claims. Where</w:t>
      </w:r>
      <w:r>
        <w:rPr>
          <w:rFonts w:ascii="Times New Roman" w:hAnsi="Times New Roman"/>
          <w:spacing w:val="2"/>
        </w:rPr>
        <w:t xml:space="preserve"> </w:t>
      </w:r>
      <w:r w:rsidRPr="0046572A">
        <w:rPr>
          <w:rFonts w:ascii="Times New Roman" w:hAnsi="Times New Roman"/>
          <w:spacing w:val="2"/>
        </w:rPr>
        <w:t>a</w:t>
      </w:r>
      <w:r>
        <w:rPr>
          <w:rFonts w:ascii="Times New Roman" w:hAnsi="Times New Roman"/>
          <w:spacing w:val="2"/>
        </w:rPr>
        <w:t xml:space="preserve"> </w:t>
      </w:r>
      <w:r w:rsidRPr="0046572A">
        <w:rPr>
          <w:rFonts w:ascii="Times New Roman" w:hAnsi="Times New Roman"/>
          <w:spacing w:val="2"/>
        </w:rPr>
        <w:t xml:space="preserve">Contracting State has not exercised the right of reservation under Art 18(1)(a), claims for wreck removal may be capable of being limited under Art 2(1)(d) </w:t>
      </w:r>
      <w:r w:rsidRPr="0046572A">
        <w:rPr>
          <w:rFonts w:ascii="Times New Roman" w:hAnsi="Times New Roman"/>
          <w:i/>
          <w:iCs/>
          <w:spacing w:val="2"/>
        </w:rPr>
        <w:t>or</w:t>
      </w:r>
      <w:r w:rsidRPr="0046572A">
        <w:rPr>
          <w:rFonts w:ascii="Times New Roman" w:hAnsi="Times New Roman"/>
          <w:spacing w:val="2"/>
        </w:rPr>
        <w:t xml:space="preserve"> Art 2(1)(a), if they satisfy the requirements of each </w:t>
      </w:r>
      <w:r w:rsidRPr="0046572A">
        <w:rPr>
          <w:rFonts w:ascii="Times New Roman" w:hAnsi="Times New Roman"/>
          <w:spacing w:val="2"/>
        </w:rPr>
        <w:lastRenderedPageBreak/>
        <w:t>sub</w:t>
      </w:r>
      <w:r>
        <w:rPr>
          <w:rFonts w:ascii="Times New Roman" w:hAnsi="Times New Roman"/>
          <w:spacing w:val="2"/>
        </w:rPr>
        <w:noBreakHyphen/>
      </w:r>
      <w:r w:rsidRPr="0046572A">
        <w:rPr>
          <w:rFonts w:ascii="Times New Roman" w:hAnsi="Times New Roman"/>
          <w:spacing w:val="2"/>
        </w:rPr>
        <w:t>paragraph.</w:t>
      </w:r>
      <w:r w:rsidRPr="009029C5">
        <w:rPr>
          <w:rFonts w:ascii="Times New Roman" w:hAnsi="Times New Roman"/>
        </w:rPr>
        <w:t xml:space="preserve"> However, if a Contracting State </w:t>
      </w:r>
      <w:r w:rsidRPr="009029C5">
        <w:rPr>
          <w:rFonts w:ascii="Times New Roman" w:hAnsi="Times New Roman"/>
          <w:i/>
          <w:iCs/>
        </w:rPr>
        <w:t>has</w:t>
      </w:r>
      <w:r w:rsidRPr="009029C5">
        <w:rPr>
          <w:rFonts w:ascii="Times New Roman" w:hAnsi="Times New Roman"/>
        </w:rPr>
        <w:t xml:space="preserve"> exercised the right of reservation and excluded the application of Art 2(1)(d), claims within Art 2(1)(d) are excluded from Art 2(1) entirely, regardless of whether they might otherwise be limitable under other sub-paragraphs of Art 2(1).</w:t>
      </w:r>
    </w:p>
    <w:sectPr w:rsidR="00C073A5" w:rsidRPr="00AA57DC" w:rsidSect="00AA57DC">
      <w:headerReference w:type="even" r:id="rId23"/>
      <w:headerReference w:type="default" r:id="rId24"/>
      <w:headerReference w:type="first" r:id="rId25"/>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7C67" w14:textId="77777777" w:rsidR="00712814" w:rsidRDefault="00712814">
      <w:pPr>
        <w:spacing w:line="240" w:lineRule="auto"/>
      </w:pPr>
      <w:r>
        <w:separator/>
      </w:r>
    </w:p>
  </w:endnote>
  <w:endnote w:type="continuationSeparator" w:id="0">
    <w:p w14:paraId="00FF5272" w14:textId="77777777" w:rsidR="00712814" w:rsidRDefault="00712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6812" w14:textId="77777777" w:rsidR="00FF6B25" w:rsidRDefault="00FF6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8D10" w14:textId="77777777" w:rsidR="00FF6B25" w:rsidRDefault="00FF6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E57A" w14:textId="77777777" w:rsidR="00FF6B25" w:rsidRDefault="00FF6B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572F" w14:textId="77777777" w:rsidR="00FF6B25" w:rsidRDefault="00FF6B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720B" w14:textId="77777777" w:rsidR="00FF6B25" w:rsidRDefault="00FF6B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E51C" w14:textId="77777777" w:rsidR="00FF6B25" w:rsidRDefault="00FF6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9C62" w14:textId="77777777" w:rsidR="00712814" w:rsidRPr="00950741" w:rsidRDefault="00712814" w:rsidP="00950741">
      <w:pPr>
        <w:pStyle w:val="Footer"/>
        <w:spacing w:before="120" w:after="20"/>
        <w:ind w:right="0"/>
        <w:rPr>
          <w:rFonts w:ascii="Times New Roman" w:hAnsi="Times New Roman"/>
        </w:rPr>
      </w:pPr>
      <w:r>
        <w:continuationSeparator/>
      </w:r>
    </w:p>
  </w:footnote>
  <w:footnote w:type="continuationSeparator" w:id="0">
    <w:p w14:paraId="1708D205" w14:textId="77777777" w:rsidR="00712814" w:rsidRPr="00950741" w:rsidRDefault="00712814" w:rsidP="00950741">
      <w:pPr>
        <w:pStyle w:val="Footer"/>
        <w:spacing w:before="120" w:after="20"/>
        <w:ind w:right="0"/>
        <w:rPr>
          <w:rFonts w:ascii="Times New Roman" w:hAnsi="Times New Roman"/>
        </w:rPr>
      </w:pPr>
      <w:r w:rsidRPr="00950741">
        <w:rPr>
          <w:rFonts w:ascii="Times New Roman" w:hAnsi="Times New Roman"/>
        </w:rPr>
        <w:continuationSeparator/>
      </w:r>
    </w:p>
  </w:footnote>
  <w:footnote w:type="continuationNotice" w:id="1">
    <w:p w14:paraId="38061542" w14:textId="77777777" w:rsidR="00712814" w:rsidRPr="00AA57DC" w:rsidRDefault="00712814">
      <w:pPr>
        <w:jc w:val="right"/>
        <w:rPr>
          <w:rFonts w:ascii="Times New Roman" w:hAnsi="Times New Roman"/>
          <w:sz w:val="24"/>
        </w:rPr>
      </w:pPr>
    </w:p>
  </w:footnote>
  <w:footnote w:id="2">
    <w:p w14:paraId="1D3EB274" w14:textId="402C8C61" w:rsidR="008C5FEC" w:rsidRPr="00950741" w:rsidRDefault="00336E46"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513560" w:rsidRPr="00950741">
        <w:rPr>
          <w:rFonts w:ascii="Times New Roman" w:hAnsi="Times New Roman"/>
          <w:sz w:val="24"/>
        </w:rPr>
        <w:t>A</w:t>
      </w:r>
      <w:r w:rsidRPr="00950741">
        <w:rPr>
          <w:rFonts w:ascii="Times New Roman" w:hAnsi="Times New Roman"/>
          <w:sz w:val="24"/>
        </w:rPr>
        <w:t>s amended by the Protocol of 1996 to amend the Convention on Limitation of Liability for Maritime Claims, 1976, done at London on 2</w:t>
      </w:r>
      <w:r w:rsidR="00CA45FC" w:rsidRPr="00950741">
        <w:rPr>
          <w:rFonts w:ascii="Times New Roman" w:hAnsi="Times New Roman"/>
          <w:sz w:val="24"/>
        </w:rPr>
        <w:t> </w:t>
      </w:r>
      <w:r w:rsidRPr="00950741">
        <w:rPr>
          <w:rFonts w:ascii="Times New Roman" w:hAnsi="Times New Roman"/>
          <w:sz w:val="24"/>
        </w:rPr>
        <w:t>May 1996, as amended by resolution LEG.5(99) adopted by the Legal Committee of the International Maritime Organization at London on 19</w:t>
      </w:r>
      <w:r w:rsidR="00B335CA" w:rsidRPr="00950741">
        <w:rPr>
          <w:rFonts w:ascii="Times New Roman" w:hAnsi="Times New Roman"/>
          <w:sz w:val="24"/>
        </w:rPr>
        <w:t> </w:t>
      </w:r>
      <w:r w:rsidRPr="00950741">
        <w:rPr>
          <w:rFonts w:ascii="Times New Roman" w:hAnsi="Times New Roman"/>
          <w:sz w:val="24"/>
        </w:rPr>
        <w:t>April 2012</w:t>
      </w:r>
      <w:r w:rsidR="00CA45FC" w:rsidRPr="00950741">
        <w:rPr>
          <w:rFonts w:ascii="Times New Roman" w:hAnsi="Times New Roman"/>
          <w:sz w:val="24"/>
        </w:rPr>
        <w:t>.</w:t>
      </w:r>
    </w:p>
  </w:footnote>
  <w:footnote w:id="3">
    <w:p w14:paraId="493DF7F7" w14:textId="0179159C" w:rsidR="0096609A" w:rsidRPr="00950741" w:rsidRDefault="0096609A"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CSL Australia Pty Ltd v Tasmanian Ports Corporation Pty Ltd (The Goliath)</w:t>
      </w:r>
      <w:r w:rsidRPr="00950741">
        <w:rPr>
          <w:rFonts w:ascii="Times New Roman" w:hAnsi="Times New Roman"/>
          <w:sz w:val="24"/>
        </w:rPr>
        <w:t xml:space="preserve"> [2024] FCA 824.</w:t>
      </w:r>
    </w:p>
  </w:footnote>
  <w:footnote w:id="4">
    <w:p w14:paraId="5C33909A" w14:textId="3E6DCD30" w:rsidR="004B0F96" w:rsidRPr="00950741" w:rsidRDefault="004B0F96"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E100A1" w:rsidRPr="00950741">
        <w:rPr>
          <w:rFonts w:ascii="Times New Roman" w:hAnsi="Times New Roman"/>
          <w:i/>
          <w:iCs/>
          <w:sz w:val="24"/>
        </w:rPr>
        <w:t>Tasmanian Ports Corporation Pty Ltd v CSL Australia Pty Ltd (The Goliath)</w:t>
      </w:r>
      <w:r w:rsidR="00E100A1" w:rsidRPr="00950741">
        <w:rPr>
          <w:rFonts w:ascii="Times New Roman" w:hAnsi="Times New Roman"/>
          <w:sz w:val="24"/>
        </w:rPr>
        <w:t xml:space="preserve"> (2025) 310 FCR 64</w:t>
      </w:r>
      <w:r w:rsidRPr="00950741">
        <w:rPr>
          <w:rFonts w:ascii="Times New Roman" w:hAnsi="Times New Roman"/>
          <w:sz w:val="24"/>
        </w:rPr>
        <w:t>.</w:t>
      </w:r>
    </w:p>
  </w:footnote>
  <w:footnote w:id="5">
    <w:p w14:paraId="79671DA1" w14:textId="3A630928" w:rsidR="0070486C" w:rsidRPr="00950741" w:rsidRDefault="0070486C"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Australia acceded to the </w:t>
      </w:r>
      <w:r w:rsidR="005A4692" w:rsidRPr="00950741">
        <w:rPr>
          <w:rFonts w:ascii="Times New Roman" w:hAnsi="Times New Roman"/>
          <w:sz w:val="24"/>
        </w:rPr>
        <w:t xml:space="preserve">1976 </w:t>
      </w:r>
      <w:r w:rsidRPr="00950741">
        <w:rPr>
          <w:rFonts w:ascii="Times New Roman" w:hAnsi="Times New Roman"/>
          <w:sz w:val="24"/>
        </w:rPr>
        <w:t xml:space="preserve">Convention subject to </w:t>
      </w:r>
      <w:r w:rsidR="00152B79" w:rsidRPr="00950741">
        <w:rPr>
          <w:rFonts w:ascii="Times New Roman" w:hAnsi="Times New Roman"/>
          <w:sz w:val="24"/>
        </w:rPr>
        <w:t xml:space="preserve">the </w:t>
      </w:r>
      <w:r w:rsidRPr="00950741">
        <w:rPr>
          <w:rFonts w:ascii="Times New Roman" w:hAnsi="Times New Roman"/>
          <w:sz w:val="24"/>
        </w:rPr>
        <w:t>exclusion of the application of Art</w:t>
      </w:r>
      <w:r w:rsidR="005A4692" w:rsidRPr="00950741">
        <w:rPr>
          <w:rFonts w:ascii="Times New Roman" w:hAnsi="Times New Roman"/>
          <w:sz w:val="24"/>
        </w:rPr>
        <w:t> </w:t>
      </w:r>
      <w:r w:rsidRPr="00950741">
        <w:rPr>
          <w:rFonts w:ascii="Times New Roman" w:hAnsi="Times New Roman"/>
          <w:sz w:val="24"/>
        </w:rPr>
        <w:t>2</w:t>
      </w:r>
      <w:r w:rsidR="0029654A" w:rsidRPr="00950741">
        <w:rPr>
          <w:rFonts w:ascii="Times New Roman" w:hAnsi="Times New Roman"/>
          <w:sz w:val="24"/>
        </w:rPr>
        <w:t>(1)</w:t>
      </w:r>
      <w:r w:rsidRPr="00950741">
        <w:rPr>
          <w:rFonts w:ascii="Times New Roman" w:hAnsi="Times New Roman"/>
          <w:sz w:val="24"/>
        </w:rPr>
        <w:t>(d) and</w:t>
      </w:r>
      <w:r w:rsidR="004B4574" w:rsidRPr="00950741">
        <w:rPr>
          <w:rFonts w:ascii="Times New Roman" w:hAnsi="Times New Roman"/>
          <w:sz w:val="24"/>
        </w:rPr>
        <w:t> </w:t>
      </w:r>
      <w:r w:rsidRPr="00950741">
        <w:rPr>
          <w:rFonts w:ascii="Times New Roman" w:hAnsi="Times New Roman"/>
          <w:sz w:val="24"/>
        </w:rPr>
        <w:t>(e) on 20</w:t>
      </w:r>
      <w:r w:rsidR="00FA7FF1" w:rsidRPr="00950741">
        <w:rPr>
          <w:rFonts w:ascii="Times New Roman" w:hAnsi="Times New Roman"/>
          <w:sz w:val="24"/>
        </w:rPr>
        <w:t> </w:t>
      </w:r>
      <w:r w:rsidRPr="00950741">
        <w:rPr>
          <w:rFonts w:ascii="Times New Roman" w:hAnsi="Times New Roman"/>
          <w:sz w:val="24"/>
        </w:rPr>
        <w:t>February 1991.</w:t>
      </w:r>
    </w:p>
  </w:footnote>
  <w:footnote w:id="6">
    <w:p w14:paraId="436C0F32" w14:textId="07E120C1" w:rsidR="00121500" w:rsidRPr="00950741" w:rsidRDefault="00121500"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(2023) </w:t>
      </w:r>
      <w:r w:rsidR="00CC2E8A" w:rsidRPr="00950741">
        <w:rPr>
          <w:rFonts w:ascii="Times New Roman" w:hAnsi="Times New Roman"/>
          <w:sz w:val="24"/>
        </w:rPr>
        <w:t xml:space="preserve">275 CLR 292 at </w:t>
      </w:r>
      <w:r w:rsidR="00463E1E" w:rsidRPr="00950741">
        <w:rPr>
          <w:rFonts w:ascii="Times New Roman" w:hAnsi="Times New Roman"/>
          <w:sz w:val="24"/>
        </w:rPr>
        <w:t>316</w:t>
      </w:r>
      <w:r w:rsidR="00386F33" w:rsidRPr="00950741">
        <w:rPr>
          <w:rFonts w:ascii="Times New Roman" w:hAnsi="Times New Roman"/>
          <w:sz w:val="24"/>
        </w:rPr>
        <w:t>-317</w:t>
      </w:r>
      <w:r w:rsidR="00CC2E8A" w:rsidRPr="00950741">
        <w:rPr>
          <w:rFonts w:ascii="Times New Roman" w:hAnsi="Times New Roman"/>
          <w:sz w:val="24"/>
        </w:rPr>
        <w:t xml:space="preserve"> [38]-[39].</w:t>
      </w:r>
    </w:p>
  </w:footnote>
  <w:footnote w:id="7">
    <w:p w14:paraId="20D2BA27" w14:textId="77777777" w:rsidR="009E1A36" w:rsidRPr="00950741" w:rsidRDefault="009E1A36"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 WLR 1835; [2025] 3 All ER 703.</w:t>
      </w:r>
    </w:p>
  </w:footnote>
  <w:footnote w:id="8">
    <w:p w14:paraId="401F9CBA" w14:textId="77777777" w:rsidR="00CF7E6A" w:rsidRPr="00950741" w:rsidRDefault="00CF7E6A"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(2023) 26 HKCFAR 297.</w:t>
      </w:r>
    </w:p>
  </w:footnote>
  <w:footnote w:id="9">
    <w:p w14:paraId="4D9BA566" w14:textId="77777777" w:rsidR="006C593B" w:rsidRPr="00950741" w:rsidRDefault="006C593B"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The Goliath</w:t>
      </w:r>
      <w:r w:rsidRPr="00950741">
        <w:rPr>
          <w:rFonts w:ascii="Times New Roman" w:hAnsi="Times New Roman"/>
          <w:sz w:val="24"/>
        </w:rPr>
        <w:t xml:space="preserve"> [2024] FCA 824 at [120].</w:t>
      </w:r>
    </w:p>
  </w:footnote>
  <w:footnote w:id="10">
    <w:p w14:paraId="67251876" w14:textId="77777777" w:rsidR="006C593B" w:rsidRPr="00950741" w:rsidRDefault="006C593B"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The Goliath</w:t>
      </w:r>
      <w:r w:rsidRPr="00950741">
        <w:rPr>
          <w:rFonts w:ascii="Times New Roman" w:hAnsi="Times New Roman"/>
          <w:sz w:val="24"/>
        </w:rPr>
        <w:t xml:space="preserve"> [2024] FCA 824 at [120].</w:t>
      </w:r>
    </w:p>
  </w:footnote>
  <w:footnote w:id="11">
    <w:p w14:paraId="558262C7" w14:textId="483268FC" w:rsidR="00C93754" w:rsidRPr="00950741" w:rsidRDefault="00C93754"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203896" w:rsidRPr="00950741">
        <w:rPr>
          <w:rFonts w:ascii="Times New Roman" w:hAnsi="Times New Roman"/>
          <w:sz w:val="24"/>
        </w:rPr>
        <w:t>[2025] 1 WLR 1835; [2025] 3 All ER 703.</w:t>
      </w:r>
    </w:p>
  </w:footnote>
  <w:footnote w:id="12">
    <w:p w14:paraId="426D2F7D" w14:textId="3E00BA01" w:rsidR="00C93754" w:rsidRPr="00950741" w:rsidRDefault="00C93754"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203896" w:rsidRPr="00950741">
        <w:rPr>
          <w:rFonts w:ascii="Times New Roman" w:hAnsi="Times New Roman"/>
          <w:sz w:val="24"/>
        </w:rPr>
        <w:t>(2023) 26 HKCFAR 297.</w:t>
      </w:r>
    </w:p>
  </w:footnote>
  <w:footnote w:id="13">
    <w:p w14:paraId="5961D4E5" w14:textId="6AA0E732" w:rsidR="00C23C07" w:rsidRPr="00950741" w:rsidRDefault="00C23C07"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9001DB" w:rsidRPr="00950741">
        <w:rPr>
          <w:rFonts w:ascii="Times New Roman" w:hAnsi="Times New Roman"/>
          <w:sz w:val="24"/>
        </w:rPr>
        <w:t xml:space="preserve"> </w:t>
      </w:r>
      <w:r w:rsidRPr="00950741">
        <w:rPr>
          <w:rFonts w:ascii="Times New Roman" w:hAnsi="Times New Roman"/>
          <w:sz w:val="24"/>
        </w:rPr>
        <w:t>WLR 1835</w:t>
      </w:r>
      <w:r w:rsidR="00E64F89" w:rsidRPr="00950741">
        <w:rPr>
          <w:rFonts w:ascii="Times New Roman" w:hAnsi="Times New Roman"/>
          <w:sz w:val="24"/>
        </w:rPr>
        <w:t xml:space="preserve">; [2025] 3 All ER </w:t>
      </w:r>
      <w:r w:rsidR="003532EC" w:rsidRPr="00950741">
        <w:rPr>
          <w:rFonts w:ascii="Times New Roman" w:hAnsi="Times New Roman"/>
          <w:sz w:val="24"/>
        </w:rPr>
        <w:t>703</w:t>
      </w:r>
      <w:r w:rsidRPr="00950741">
        <w:rPr>
          <w:rFonts w:ascii="Times New Roman" w:hAnsi="Times New Roman"/>
          <w:sz w:val="24"/>
        </w:rPr>
        <w:t>.</w:t>
      </w:r>
    </w:p>
  </w:footnote>
  <w:footnote w:id="14">
    <w:p w14:paraId="49EA20F0" w14:textId="7F52CE6F" w:rsidR="00190BAC" w:rsidRPr="00950741" w:rsidRDefault="00190BAC"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[2004] 1 Lloyd's Rep 460.</w:t>
      </w:r>
    </w:p>
  </w:footnote>
  <w:footnote w:id="15">
    <w:p w14:paraId="1DA23224" w14:textId="6C60AE64" w:rsidR="002F6FCD" w:rsidRPr="00950741" w:rsidRDefault="002F6FCD"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9001DB" w:rsidRPr="00950741">
        <w:rPr>
          <w:rFonts w:ascii="Times New Roman" w:hAnsi="Times New Roman"/>
          <w:sz w:val="24"/>
        </w:rPr>
        <w:t xml:space="preserve"> </w:t>
      </w:r>
      <w:r w:rsidRPr="00950741">
        <w:rPr>
          <w:rFonts w:ascii="Times New Roman" w:hAnsi="Times New Roman"/>
          <w:sz w:val="24"/>
        </w:rPr>
        <w:t xml:space="preserve">WLR 1835 at </w:t>
      </w:r>
      <w:r w:rsidR="004C55E6" w:rsidRPr="00950741">
        <w:rPr>
          <w:rFonts w:ascii="Times New Roman" w:hAnsi="Times New Roman"/>
          <w:sz w:val="24"/>
        </w:rPr>
        <w:t>1855-1856 [100]</w:t>
      </w:r>
      <w:r w:rsidR="0006584E" w:rsidRPr="00950741">
        <w:rPr>
          <w:rFonts w:ascii="Times New Roman" w:hAnsi="Times New Roman"/>
          <w:sz w:val="24"/>
        </w:rPr>
        <w:t xml:space="preserve">; </w:t>
      </w:r>
      <w:r w:rsidR="001C17DD" w:rsidRPr="00950741">
        <w:rPr>
          <w:rFonts w:ascii="Times New Roman" w:hAnsi="Times New Roman"/>
          <w:sz w:val="24"/>
        </w:rPr>
        <w:t xml:space="preserve">[2025] 3 All ER </w:t>
      </w:r>
      <w:r w:rsidR="00B156EA" w:rsidRPr="00950741">
        <w:rPr>
          <w:rFonts w:ascii="Times New Roman" w:hAnsi="Times New Roman"/>
          <w:sz w:val="24"/>
        </w:rPr>
        <w:t xml:space="preserve">703 at </w:t>
      </w:r>
      <w:r w:rsidR="0099733A" w:rsidRPr="00950741">
        <w:rPr>
          <w:rFonts w:ascii="Times New Roman" w:hAnsi="Times New Roman"/>
          <w:sz w:val="24"/>
        </w:rPr>
        <w:t>722-723,</w:t>
      </w:r>
      <w:r w:rsidR="004C55E6" w:rsidRPr="00950741">
        <w:rPr>
          <w:rFonts w:ascii="Times New Roman" w:hAnsi="Times New Roman"/>
          <w:sz w:val="24"/>
        </w:rPr>
        <w:t xml:space="preserve"> quoting </w:t>
      </w:r>
      <w:r w:rsidR="00A63379" w:rsidRPr="00950741">
        <w:rPr>
          <w:rFonts w:ascii="Times New Roman" w:hAnsi="Times New Roman"/>
          <w:i/>
          <w:iCs/>
          <w:sz w:val="24"/>
        </w:rPr>
        <w:t xml:space="preserve">The CMA Djakarta </w:t>
      </w:r>
      <w:r w:rsidR="004C55E6" w:rsidRPr="00950741">
        <w:rPr>
          <w:rFonts w:ascii="Times New Roman" w:hAnsi="Times New Roman"/>
          <w:sz w:val="24"/>
        </w:rPr>
        <w:t xml:space="preserve">[2004] 1 Lloyd's Rep 460 at </w:t>
      </w:r>
      <w:r w:rsidR="00DA5322" w:rsidRPr="00950741">
        <w:rPr>
          <w:rFonts w:ascii="Times New Roman" w:hAnsi="Times New Roman"/>
          <w:sz w:val="24"/>
        </w:rPr>
        <w:t>464</w:t>
      </w:r>
      <w:r w:rsidR="004C55E6" w:rsidRPr="00950741">
        <w:rPr>
          <w:rFonts w:ascii="Times New Roman" w:hAnsi="Times New Roman"/>
          <w:sz w:val="24"/>
        </w:rPr>
        <w:t xml:space="preserve"> [11].</w:t>
      </w:r>
    </w:p>
  </w:footnote>
  <w:footnote w:id="16">
    <w:p w14:paraId="655D7979" w14:textId="7F46DEEE" w:rsidR="00543D80" w:rsidRPr="00950741" w:rsidRDefault="00543D80"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8559D4" w:rsidRPr="00950741">
        <w:rPr>
          <w:rFonts w:ascii="Times New Roman" w:hAnsi="Times New Roman"/>
          <w:sz w:val="24"/>
        </w:rPr>
        <w:t>[</w:t>
      </w:r>
      <w:r w:rsidRPr="00950741">
        <w:rPr>
          <w:rFonts w:ascii="Times New Roman" w:hAnsi="Times New Roman"/>
          <w:sz w:val="24"/>
        </w:rPr>
        <w:t>2025] 1</w:t>
      </w:r>
      <w:r w:rsidR="006419B1" w:rsidRPr="00950741">
        <w:rPr>
          <w:rFonts w:ascii="Times New Roman" w:hAnsi="Times New Roman"/>
          <w:sz w:val="24"/>
        </w:rPr>
        <w:t xml:space="preserve"> </w:t>
      </w:r>
      <w:r w:rsidRPr="00950741">
        <w:rPr>
          <w:rFonts w:ascii="Times New Roman" w:hAnsi="Times New Roman"/>
          <w:sz w:val="24"/>
        </w:rPr>
        <w:t xml:space="preserve">WLR 1835 at </w:t>
      </w:r>
      <w:r w:rsidR="002D5BAB" w:rsidRPr="00950741">
        <w:rPr>
          <w:rFonts w:ascii="Times New Roman" w:hAnsi="Times New Roman"/>
          <w:sz w:val="24"/>
        </w:rPr>
        <w:t>1856 [104]-[105]</w:t>
      </w:r>
      <w:r w:rsidR="00547D67" w:rsidRPr="00950741">
        <w:rPr>
          <w:rFonts w:ascii="Times New Roman" w:hAnsi="Times New Roman"/>
          <w:sz w:val="24"/>
        </w:rPr>
        <w:t xml:space="preserve">; [2025] 3 All ER 703 at </w:t>
      </w:r>
      <w:r w:rsidR="007D5C9A" w:rsidRPr="00950741">
        <w:rPr>
          <w:rFonts w:ascii="Times New Roman" w:hAnsi="Times New Roman"/>
          <w:sz w:val="24"/>
        </w:rPr>
        <w:t>723</w:t>
      </w:r>
      <w:r w:rsidR="002D5BAB" w:rsidRPr="00950741">
        <w:rPr>
          <w:rFonts w:ascii="Times New Roman" w:hAnsi="Times New Roman"/>
          <w:sz w:val="24"/>
        </w:rPr>
        <w:t>.</w:t>
      </w:r>
    </w:p>
  </w:footnote>
  <w:footnote w:id="17">
    <w:p w14:paraId="607B043E" w14:textId="205DFC85" w:rsidR="008559D4" w:rsidRPr="00950741" w:rsidRDefault="008559D4"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312E69" w:rsidRPr="00950741">
        <w:rPr>
          <w:rFonts w:ascii="Times New Roman" w:hAnsi="Times New Roman"/>
          <w:sz w:val="24"/>
        </w:rPr>
        <w:t xml:space="preserve"> </w:t>
      </w:r>
      <w:r w:rsidRPr="00950741">
        <w:rPr>
          <w:rFonts w:ascii="Times New Roman" w:hAnsi="Times New Roman"/>
          <w:sz w:val="24"/>
        </w:rPr>
        <w:t>WLR 1835 at 1857 [106]</w:t>
      </w:r>
      <w:r w:rsidR="00A00828" w:rsidRPr="00950741">
        <w:rPr>
          <w:rFonts w:ascii="Times New Roman" w:hAnsi="Times New Roman"/>
          <w:sz w:val="24"/>
        </w:rPr>
        <w:t>;</w:t>
      </w:r>
      <w:r w:rsidRPr="00950741">
        <w:rPr>
          <w:rFonts w:ascii="Times New Roman" w:hAnsi="Times New Roman"/>
          <w:sz w:val="24"/>
        </w:rPr>
        <w:t xml:space="preserve"> </w:t>
      </w:r>
      <w:r w:rsidR="00374E65" w:rsidRPr="00950741">
        <w:rPr>
          <w:rFonts w:ascii="Times New Roman" w:hAnsi="Times New Roman"/>
          <w:sz w:val="24"/>
        </w:rPr>
        <w:t>[</w:t>
      </w:r>
      <w:r w:rsidR="007C1EFF" w:rsidRPr="00950741">
        <w:rPr>
          <w:rFonts w:ascii="Times New Roman" w:hAnsi="Times New Roman"/>
          <w:sz w:val="24"/>
        </w:rPr>
        <w:t xml:space="preserve">2025] 3 All ER 703 at </w:t>
      </w:r>
      <w:r w:rsidR="00706B6B" w:rsidRPr="00950741">
        <w:rPr>
          <w:rFonts w:ascii="Times New Roman" w:hAnsi="Times New Roman"/>
          <w:sz w:val="24"/>
        </w:rPr>
        <w:t xml:space="preserve">724, </w:t>
      </w:r>
      <w:r w:rsidRPr="00950741">
        <w:rPr>
          <w:rFonts w:ascii="Times New Roman" w:hAnsi="Times New Roman"/>
          <w:sz w:val="24"/>
        </w:rPr>
        <w:t xml:space="preserve">quoting </w:t>
      </w:r>
      <w:r w:rsidR="00F52C35" w:rsidRPr="00950741">
        <w:rPr>
          <w:rFonts w:ascii="Times New Roman" w:hAnsi="Times New Roman"/>
          <w:sz w:val="24"/>
        </w:rPr>
        <w:t>Tettenborn and Rose</w:t>
      </w:r>
      <w:r w:rsidR="00605BDE" w:rsidRPr="00950741">
        <w:rPr>
          <w:rFonts w:ascii="Times New Roman" w:hAnsi="Times New Roman"/>
          <w:sz w:val="24"/>
        </w:rPr>
        <w:t>,</w:t>
      </w:r>
      <w:r w:rsidR="00F52C35" w:rsidRPr="00950741">
        <w:rPr>
          <w:rFonts w:ascii="Times New Roman" w:hAnsi="Times New Roman"/>
          <w:sz w:val="24"/>
        </w:rPr>
        <w:t xml:space="preserve"> </w:t>
      </w:r>
      <w:r w:rsidR="00F52C35" w:rsidRPr="00950741">
        <w:rPr>
          <w:rFonts w:ascii="Times New Roman" w:hAnsi="Times New Roman"/>
          <w:i/>
          <w:iCs/>
          <w:sz w:val="24"/>
        </w:rPr>
        <w:t>Admiralty Claims</w:t>
      </w:r>
      <w:r w:rsidR="00605BDE" w:rsidRPr="00950741">
        <w:rPr>
          <w:rFonts w:ascii="Times New Roman" w:hAnsi="Times New Roman"/>
          <w:sz w:val="24"/>
        </w:rPr>
        <w:t>,</w:t>
      </w:r>
      <w:r w:rsidR="00F52C35" w:rsidRPr="00950741">
        <w:rPr>
          <w:rFonts w:ascii="Times New Roman" w:hAnsi="Times New Roman"/>
          <w:sz w:val="24"/>
        </w:rPr>
        <w:t xml:space="preserve"> </w:t>
      </w:r>
      <w:r w:rsidR="00605BDE" w:rsidRPr="00950741">
        <w:rPr>
          <w:rFonts w:ascii="Times New Roman" w:hAnsi="Times New Roman"/>
          <w:sz w:val="24"/>
        </w:rPr>
        <w:t>2nd ed</w:t>
      </w:r>
      <w:r w:rsidR="002E241F" w:rsidRPr="00950741">
        <w:rPr>
          <w:rFonts w:ascii="Times New Roman" w:hAnsi="Times New Roman"/>
          <w:sz w:val="24"/>
        </w:rPr>
        <w:t xml:space="preserve"> </w:t>
      </w:r>
      <w:r w:rsidR="002162DB" w:rsidRPr="00950741">
        <w:rPr>
          <w:rFonts w:ascii="Times New Roman" w:hAnsi="Times New Roman"/>
          <w:sz w:val="24"/>
        </w:rPr>
        <w:t>(</w:t>
      </w:r>
      <w:r w:rsidR="006129F7" w:rsidRPr="00950741">
        <w:rPr>
          <w:rFonts w:ascii="Times New Roman" w:hAnsi="Times New Roman"/>
          <w:sz w:val="24"/>
        </w:rPr>
        <w:t>2024</w:t>
      </w:r>
      <w:r w:rsidR="002162DB" w:rsidRPr="00950741">
        <w:rPr>
          <w:rFonts w:ascii="Times New Roman" w:hAnsi="Times New Roman"/>
          <w:sz w:val="24"/>
        </w:rPr>
        <w:t>)</w:t>
      </w:r>
      <w:r w:rsidR="00F52C35" w:rsidRPr="00950741">
        <w:rPr>
          <w:rFonts w:ascii="Times New Roman" w:hAnsi="Times New Roman"/>
          <w:sz w:val="24"/>
        </w:rPr>
        <w:t xml:space="preserve"> </w:t>
      </w:r>
      <w:r w:rsidRPr="00950741">
        <w:rPr>
          <w:rFonts w:ascii="Times New Roman" w:hAnsi="Times New Roman"/>
          <w:sz w:val="24"/>
        </w:rPr>
        <w:t xml:space="preserve">at </w:t>
      </w:r>
      <w:r w:rsidR="0009533D" w:rsidRPr="00950741">
        <w:rPr>
          <w:rFonts w:ascii="Times New Roman" w:hAnsi="Times New Roman"/>
          <w:sz w:val="24"/>
        </w:rPr>
        <w:t xml:space="preserve">222-223 </w:t>
      </w:r>
      <w:r w:rsidRPr="00950741">
        <w:rPr>
          <w:rFonts w:ascii="Times New Roman" w:hAnsi="Times New Roman"/>
          <w:sz w:val="24"/>
        </w:rPr>
        <w:t>[</w:t>
      </w:r>
      <w:r w:rsidR="00F52C35" w:rsidRPr="00950741">
        <w:rPr>
          <w:rFonts w:ascii="Times New Roman" w:hAnsi="Times New Roman"/>
          <w:sz w:val="24"/>
        </w:rPr>
        <w:t>7-014].</w:t>
      </w:r>
    </w:p>
  </w:footnote>
  <w:footnote w:id="18">
    <w:p w14:paraId="4DACE5C0" w14:textId="55C5B8D5" w:rsidR="00662815" w:rsidRPr="00950741" w:rsidRDefault="0066281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C80893" w:rsidRPr="00950741">
        <w:rPr>
          <w:rFonts w:ascii="Times New Roman" w:hAnsi="Times New Roman"/>
          <w:sz w:val="24"/>
        </w:rPr>
        <w:t xml:space="preserve"> </w:t>
      </w:r>
      <w:r w:rsidRPr="00950741">
        <w:rPr>
          <w:rFonts w:ascii="Times New Roman" w:hAnsi="Times New Roman"/>
          <w:sz w:val="24"/>
        </w:rPr>
        <w:t xml:space="preserve">WLR 1835 at </w:t>
      </w:r>
      <w:r w:rsidR="00000734" w:rsidRPr="00950741">
        <w:rPr>
          <w:rFonts w:ascii="Times New Roman" w:hAnsi="Times New Roman"/>
          <w:sz w:val="24"/>
        </w:rPr>
        <w:t>1861-1862 [129]</w:t>
      </w:r>
      <w:r w:rsidR="006C59C9" w:rsidRPr="00950741">
        <w:rPr>
          <w:rFonts w:ascii="Times New Roman" w:hAnsi="Times New Roman"/>
          <w:sz w:val="24"/>
        </w:rPr>
        <w:t xml:space="preserve">; [2025] 3 All ER 703 at </w:t>
      </w:r>
      <w:r w:rsidR="008243E0" w:rsidRPr="00950741">
        <w:rPr>
          <w:rFonts w:ascii="Times New Roman" w:hAnsi="Times New Roman"/>
          <w:sz w:val="24"/>
        </w:rPr>
        <w:t>728,</w:t>
      </w:r>
      <w:r w:rsidR="00000734" w:rsidRPr="00950741">
        <w:rPr>
          <w:rFonts w:ascii="Times New Roman" w:hAnsi="Times New Roman"/>
          <w:sz w:val="24"/>
        </w:rPr>
        <w:t xml:space="preserve"> </w:t>
      </w:r>
      <w:r w:rsidR="00225EB3" w:rsidRPr="00950741">
        <w:rPr>
          <w:rFonts w:ascii="Times New Roman" w:hAnsi="Times New Roman"/>
          <w:sz w:val="24"/>
        </w:rPr>
        <w:t>quoting</w:t>
      </w:r>
      <w:r w:rsidR="00000734" w:rsidRPr="00950741">
        <w:rPr>
          <w:rFonts w:ascii="Times New Roman" w:hAnsi="Times New Roman"/>
          <w:sz w:val="24"/>
        </w:rPr>
        <w:t xml:space="preserve"> </w:t>
      </w:r>
      <w:r w:rsidR="003652C0" w:rsidRPr="00950741">
        <w:rPr>
          <w:rFonts w:ascii="Times New Roman" w:hAnsi="Times New Roman"/>
          <w:i/>
          <w:iCs/>
          <w:sz w:val="24"/>
        </w:rPr>
        <w:t xml:space="preserve">The </w:t>
      </w:r>
      <w:r w:rsidR="00CB47DD" w:rsidRPr="00950741">
        <w:rPr>
          <w:rFonts w:ascii="Times New Roman" w:hAnsi="Times New Roman"/>
          <w:i/>
          <w:iCs/>
          <w:sz w:val="24"/>
        </w:rPr>
        <w:t>O</w:t>
      </w:r>
      <w:r w:rsidR="003652C0" w:rsidRPr="00950741">
        <w:rPr>
          <w:rFonts w:ascii="Times New Roman" w:hAnsi="Times New Roman"/>
          <w:i/>
          <w:iCs/>
          <w:sz w:val="24"/>
        </w:rPr>
        <w:t xml:space="preserve">wners of the Motor </w:t>
      </w:r>
      <w:r w:rsidR="00203A64" w:rsidRPr="00950741">
        <w:rPr>
          <w:rFonts w:ascii="Times New Roman" w:hAnsi="Times New Roman"/>
          <w:i/>
          <w:iCs/>
          <w:sz w:val="24"/>
        </w:rPr>
        <w:t>V</w:t>
      </w:r>
      <w:r w:rsidR="003652C0" w:rsidRPr="00950741">
        <w:rPr>
          <w:rFonts w:ascii="Times New Roman" w:hAnsi="Times New Roman"/>
          <w:i/>
          <w:iCs/>
          <w:sz w:val="24"/>
        </w:rPr>
        <w:t>essel Tojo Maru v N V Bureau Wijsmuller (The Tojo Maru)</w:t>
      </w:r>
      <w:r w:rsidR="003652C0" w:rsidRPr="00950741">
        <w:rPr>
          <w:rFonts w:ascii="Times New Roman" w:hAnsi="Times New Roman"/>
          <w:sz w:val="24"/>
        </w:rPr>
        <w:t xml:space="preserve"> [1972] AC 242 at 269</w:t>
      </w:r>
      <w:r w:rsidR="00655BAB" w:rsidRPr="00950741">
        <w:rPr>
          <w:rFonts w:ascii="Times New Roman" w:hAnsi="Times New Roman"/>
          <w:sz w:val="24"/>
        </w:rPr>
        <w:t>,</w:t>
      </w:r>
      <w:r w:rsidR="003652C0" w:rsidRPr="00950741">
        <w:rPr>
          <w:rFonts w:ascii="Times New Roman" w:hAnsi="Times New Roman"/>
          <w:sz w:val="24"/>
        </w:rPr>
        <w:t xml:space="preserve"> and</w:t>
      </w:r>
      <w:r w:rsidR="00A33E69" w:rsidRPr="00950741">
        <w:rPr>
          <w:rFonts w:ascii="Times New Roman" w:hAnsi="Times New Roman"/>
          <w:sz w:val="24"/>
        </w:rPr>
        <w:t xml:space="preserve"> referring to</w:t>
      </w:r>
      <w:r w:rsidR="003652C0" w:rsidRPr="00950741">
        <w:rPr>
          <w:rFonts w:ascii="Times New Roman" w:hAnsi="Times New Roman"/>
          <w:sz w:val="24"/>
        </w:rPr>
        <w:t xml:space="preserve"> </w:t>
      </w:r>
      <w:r w:rsidR="006A3475" w:rsidRPr="00950741">
        <w:rPr>
          <w:rFonts w:ascii="Times New Roman" w:hAnsi="Times New Roman"/>
          <w:i/>
          <w:iCs/>
          <w:sz w:val="24"/>
        </w:rPr>
        <w:t>Aegean Sea Traders Corporation v Repsol Petroleo SA</w:t>
      </w:r>
      <w:r w:rsidR="003652C0" w:rsidRPr="00950741">
        <w:rPr>
          <w:rFonts w:ascii="Times New Roman" w:hAnsi="Times New Roman"/>
          <w:sz w:val="24"/>
        </w:rPr>
        <w:t xml:space="preserve"> </w:t>
      </w:r>
      <w:r w:rsidR="006A3475" w:rsidRPr="00950741">
        <w:rPr>
          <w:rFonts w:ascii="Times New Roman" w:hAnsi="Times New Roman"/>
          <w:i/>
          <w:iCs/>
          <w:sz w:val="24"/>
        </w:rPr>
        <w:t>(</w:t>
      </w:r>
      <w:r w:rsidR="003652C0" w:rsidRPr="00950741">
        <w:rPr>
          <w:rFonts w:ascii="Times New Roman" w:hAnsi="Times New Roman"/>
          <w:i/>
          <w:iCs/>
          <w:sz w:val="24"/>
        </w:rPr>
        <w:t xml:space="preserve">The </w:t>
      </w:r>
      <w:r w:rsidR="00DE434A" w:rsidRPr="00950741">
        <w:rPr>
          <w:rFonts w:ascii="Times New Roman" w:hAnsi="Times New Roman"/>
          <w:i/>
          <w:iCs/>
          <w:sz w:val="24"/>
        </w:rPr>
        <w:t>"</w:t>
      </w:r>
      <w:r w:rsidR="003652C0" w:rsidRPr="00950741">
        <w:rPr>
          <w:rFonts w:ascii="Times New Roman" w:hAnsi="Times New Roman"/>
          <w:i/>
          <w:iCs/>
          <w:sz w:val="24"/>
        </w:rPr>
        <w:t>Aegean Sea</w:t>
      </w:r>
      <w:r w:rsidR="00737CBC" w:rsidRPr="00950741">
        <w:rPr>
          <w:rFonts w:ascii="Times New Roman" w:hAnsi="Times New Roman"/>
          <w:i/>
          <w:iCs/>
          <w:sz w:val="24"/>
        </w:rPr>
        <w:t>"</w:t>
      </w:r>
      <w:r w:rsidR="006A3475" w:rsidRPr="00950741">
        <w:rPr>
          <w:rFonts w:ascii="Times New Roman" w:hAnsi="Times New Roman"/>
          <w:i/>
          <w:iCs/>
          <w:sz w:val="24"/>
        </w:rPr>
        <w:t>)</w:t>
      </w:r>
      <w:r w:rsidR="003652C0" w:rsidRPr="00950741">
        <w:rPr>
          <w:rFonts w:ascii="Times New Roman" w:hAnsi="Times New Roman"/>
          <w:sz w:val="24"/>
        </w:rPr>
        <w:t xml:space="preserve"> [1998] 2 Lloyd's Rep 39 at 4</w:t>
      </w:r>
      <w:r w:rsidR="00FA2C82" w:rsidRPr="00950741">
        <w:rPr>
          <w:rFonts w:ascii="Times New Roman" w:hAnsi="Times New Roman"/>
          <w:sz w:val="24"/>
        </w:rPr>
        <w:t>6.</w:t>
      </w:r>
    </w:p>
  </w:footnote>
  <w:footnote w:id="19">
    <w:p w14:paraId="364AF585" w14:textId="3D01CD19" w:rsidR="003172D2" w:rsidRPr="00950741" w:rsidRDefault="003172D2"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9B64C2" w:rsidRPr="00950741">
        <w:rPr>
          <w:rFonts w:ascii="Times New Roman" w:hAnsi="Times New Roman"/>
          <w:sz w:val="24"/>
        </w:rPr>
        <w:t xml:space="preserve"> </w:t>
      </w:r>
      <w:r w:rsidRPr="00950741">
        <w:rPr>
          <w:rFonts w:ascii="Times New Roman" w:hAnsi="Times New Roman"/>
          <w:sz w:val="24"/>
        </w:rPr>
        <w:t xml:space="preserve">WLR 1835 at </w:t>
      </w:r>
      <w:r w:rsidR="00CB408E" w:rsidRPr="00950741">
        <w:rPr>
          <w:rFonts w:ascii="Times New Roman" w:hAnsi="Times New Roman"/>
          <w:sz w:val="24"/>
        </w:rPr>
        <w:t xml:space="preserve">1862 </w:t>
      </w:r>
      <w:r w:rsidR="00BB0A28" w:rsidRPr="00950741">
        <w:rPr>
          <w:rFonts w:ascii="Times New Roman" w:hAnsi="Times New Roman"/>
          <w:sz w:val="24"/>
        </w:rPr>
        <w:t>[</w:t>
      </w:r>
      <w:r w:rsidR="00112DCC" w:rsidRPr="00950741">
        <w:rPr>
          <w:rFonts w:ascii="Times New Roman" w:hAnsi="Times New Roman"/>
          <w:sz w:val="24"/>
        </w:rPr>
        <w:t>129</w:t>
      </w:r>
      <w:r w:rsidR="00BB0A28" w:rsidRPr="00950741">
        <w:rPr>
          <w:rFonts w:ascii="Times New Roman" w:hAnsi="Times New Roman"/>
          <w:sz w:val="24"/>
        </w:rPr>
        <w:t>]</w:t>
      </w:r>
      <w:r w:rsidR="00416929" w:rsidRPr="00950741">
        <w:rPr>
          <w:rFonts w:ascii="Times New Roman" w:hAnsi="Times New Roman"/>
          <w:sz w:val="24"/>
        </w:rPr>
        <w:t xml:space="preserve">; [2025] 3 All ER 703 at </w:t>
      </w:r>
      <w:r w:rsidR="006F6CF4" w:rsidRPr="00950741">
        <w:rPr>
          <w:rFonts w:ascii="Times New Roman" w:hAnsi="Times New Roman"/>
          <w:sz w:val="24"/>
        </w:rPr>
        <w:t>728-729,</w:t>
      </w:r>
      <w:r w:rsidR="00BB0A28" w:rsidRPr="00950741">
        <w:rPr>
          <w:rFonts w:ascii="Times New Roman" w:hAnsi="Times New Roman"/>
          <w:sz w:val="24"/>
        </w:rPr>
        <w:t xml:space="preserve"> </w:t>
      </w:r>
      <w:r w:rsidR="00CB408E" w:rsidRPr="00950741">
        <w:rPr>
          <w:rFonts w:ascii="Times New Roman" w:hAnsi="Times New Roman"/>
          <w:sz w:val="24"/>
        </w:rPr>
        <w:t xml:space="preserve">quoting </w:t>
      </w:r>
      <w:r w:rsidR="00CB408E" w:rsidRPr="00950741">
        <w:rPr>
          <w:rFonts w:ascii="Times New Roman" w:hAnsi="Times New Roman"/>
          <w:i/>
          <w:iCs/>
          <w:sz w:val="24"/>
        </w:rPr>
        <w:t>Just v Chambers</w:t>
      </w:r>
      <w:r w:rsidR="00CB408E" w:rsidRPr="00950741">
        <w:rPr>
          <w:rFonts w:ascii="Times New Roman" w:hAnsi="Times New Roman"/>
          <w:sz w:val="24"/>
        </w:rPr>
        <w:t xml:space="preserve"> (1941) 312 US 383 at 385 and </w:t>
      </w:r>
      <w:r w:rsidR="00CB408E" w:rsidRPr="00950741">
        <w:rPr>
          <w:rFonts w:ascii="Times New Roman" w:hAnsi="Times New Roman"/>
          <w:i/>
          <w:iCs/>
          <w:sz w:val="24"/>
        </w:rPr>
        <w:t>The Goliath</w:t>
      </w:r>
      <w:r w:rsidR="00CB408E" w:rsidRPr="00950741">
        <w:rPr>
          <w:rFonts w:ascii="Times New Roman" w:hAnsi="Times New Roman"/>
          <w:sz w:val="24"/>
        </w:rPr>
        <w:t xml:space="preserve"> [2024] FCA 824 at </w:t>
      </w:r>
      <w:r w:rsidR="00F54379" w:rsidRPr="00950741">
        <w:rPr>
          <w:rFonts w:ascii="Times New Roman" w:hAnsi="Times New Roman"/>
          <w:sz w:val="24"/>
        </w:rPr>
        <w:t>[145].</w:t>
      </w:r>
    </w:p>
  </w:footnote>
  <w:footnote w:id="20">
    <w:p w14:paraId="4CD74625" w14:textId="6C2F4C0F" w:rsidR="00663B69" w:rsidRPr="00950741" w:rsidRDefault="00663B69"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BD2B0C" w:rsidRPr="00950741">
        <w:rPr>
          <w:rFonts w:ascii="Times New Roman" w:hAnsi="Times New Roman"/>
          <w:sz w:val="24"/>
        </w:rPr>
        <w:t xml:space="preserve"> </w:t>
      </w:r>
      <w:r w:rsidRPr="00950741">
        <w:rPr>
          <w:rFonts w:ascii="Times New Roman" w:hAnsi="Times New Roman"/>
          <w:sz w:val="24"/>
        </w:rPr>
        <w:t>WLR 1835 at 1862 [130]-[131]</w:t>
      </w:r>
      <w:r w:rsidR="00355181" w:rsidRPr="00950741">
        <w:rPr>
          <w:rFonts w:ascii="Times New Roman" w:hAnsi="Times New Roman"/>
          <w:sz w:val="24"/>
        </w:rPr>
        <w:t xml:space="preserve">; [2025] 3 All ER 703 at </w:t>
      </w:r>
      <w:r w:rsidR="007E19E9" w:rsidRPr="00950741">
        <w:rPr>
          <w:rFonts w:ascii="Times New Roman" w:hAnsi="Times New Roman"/>
          <w:sz w:val="24"/>
        </w:rPr>
        <w:t>729</w:t>
      </w:r>
      <w:r w:rsidRPr="00950741">
        <w:rPr>
          <w:rFonts w:ascii="Times New Roman" w:hAnsi="Times New Roman"/>
          <w:sz w:val="24"/>
        </w:rPr>
        <w:t>.</w:t>
      </w:r>
    </w:p>
  </w:footnote>
  <w:footnote w:id="21">
    <w:p w14:paraId="6ECF4200" w14:textId="2F541EA4" w:rsidR="007575F1" w:rsidRPr="00950741" w:rsidRDefault="007575F1"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 WLR 1835 at 1866 [153]; [2025] 3 All ER 703 at 7</w:t>
      </w:r>
      <w:r w:rsidR="0002724C" w:rsidRPr="00950741">
        <w:rPr>
          <w:rFonts w:ascii="Times New Roman" w:hAnsi="Times New Roman"/>
          <w:sz w:val="24"/>
        </w:rPr>
        <w:t>33</w:t>
      </w:r>
      <w:r w:rsidRPr="00950741">
        <w:rPr>
          <w:rFonts w:ascii="Times New Roman" w:hAnsi="Times New Roman"/>
          <w:sz w:val="24"/>
        </w:rPr>
        <w:t>.</w:t>
      </w:r>
    </w:p>
  </w:footnote>
  <w:footnote w:id="22">
    <w:p w14:paraId="24F0B8A1" w14:textId="6CF94E1C" w:rsidR="00AE2366" w:rsidRPr="00950741" w:rsidRDefault="00AE2366"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B820C0" w:rsidRPr="00950741">
        <w:rPr>
          <w:rFonts w:ascii="Times New Roman" w:hAnsi="Times New Roman"/>
          <w:sz w:val="24"/>
        </w:rPr>
        <w:t xml:space="preserve"> </w:t>
      </w:r>
      <w:r w:rsidRPr="00950741">
        <w:rPr>
          <w:rFonts w:ascii="Times New Roman" w:hAnsi="Times New Roman"/>
          <w:sz w:val="24"/>
        </w:rPr>
        <w:t>WLR 1835 at 1838 [3]</w:t>
      </w:r>
      <w:r w:rsidR="00B820C0" w:rsidRPr="00950741">
        <w:rPr>
          <w:rFonts w:ascii="Times New Roman" w:hAnsi="Times New Roman"/>
          <w:sz w:val="24"/>
        </w:rPr>
        <w:t xml:space="preserve">; [2025] 3 All ER 703 at </w:t>
      </w:r>
      <w:r w:rsidR="00050963" w:rsidRPr="00950741">
        <w:rPr>
          <w:rFonts w:ascii="Times New Roman" w:hAnsi="Times New Roman"/>
          <w:sz w:val="24"/>
        </w:rPr>
        <w:t>706,</w:t>
      </w:r>
      <w:r w:rsidRPr="00950741">
        <w:rPr>
          <w:rFonts w:ascii="Times New Roman" w:hAnsi="Times New Roman"/>
          <w:sz w:val="24"/>
        </w:rPr>
        <w:t xml:space="preserve"> referring to </w:t>
      </w:r>
      <w:r w:rsidRPr="00950741">
        <w:rPr>
          <w:rFonts w:ascii="Times New Roman" w:hAnsi="Times New Roman"/>
          <w:i/>
          <w:iCs/>
          <w:sz w:val="24"/>
        </w:rPr>
        <w:t>The CMA Djakarta</w:t>
      </w:r>
      <w:r w:rsidRPr="00950741">
        <w:rPr>
          <w:rFonts w:ascii="Times New Roman" w:hAnsi="Times New Roman"/>
          <w:sz w:val="24"/>
        </w:rPr>
        <w:t xml:space="preserve"> [2004] 1 </w:t>
      </w:r>
      <w:r w:rsidR="006C16A4" w:rsidRPr="00950741">
        <w:rPr>
          <w:rFonts w:ascii="Times New Roman" w:hAnsi="Times New Roman"/>
          <w:sz w:val="24"/>
        </w:rPr>
        <w:t xml:space="preserve">Lloyd's </w:t>
      </w:r>
      <w:r w:rsidR="008C0ECE" w:rsidRPr="00950741">
        <w:rPr>
          <w:rFonts w:ascii="Times New Roman" w:hAnsi="Times New Roman"/>
          <w:sz w:val="24"/>
        </w:rPr>
        <w:t>Rep 460</w:t>
      </w:r>
      <w:r w:rsidRPr="00950741">
        <w:rPr>
          <w:rFonts w:ascii="Times New Roman" w:hAnsi="Times New Roman"/>
          <w:sz w:val="24"/>
        </w:rPr>
        <w:t xml:space="preserve"> </w:t>
      </w:r>
      <w:r w:rsidR="00E63E0A" w:rsidRPr="00950741">
        <w:rPr>
          <w:rFonts w:ascii="Times New Roman" w:hAnsi="Times New Roman"/>
          <w:sz w:val="24"/>
        </w:rPr>
        <w:t xml:space="preserve">which was </w:t>
      </w:r>
      <w:r w:rsidRPr="00950741">
        <w:rPr>
          <w:rFonts w:ascii="Times New Roman" w:hAnsi="Times New Roman"/>
          <w:sz w:val="24"/>
        </w:rPr>
        <w:t>approved (</w:t>
      </w:r>
      <w:r w:rsidR="00E63E0A" w:rsidRPr="00950741">
        <w:rPr>
          <w:rFonts w:ascii="Times New Roman" w:hAnsi="Times New Roman"/>
          <w:sz w:val="24"/>
        </w:rPr>
        <w:t xml:space="preserve">in </w:t>
      </w:r>
      <w:r w:rsidRPr="00950741">
        <w:rPr>
          <w:rFonts w:ascii="Times New Roman" w:hAnsi="Times New Roman"/>
          <w:sz w:val="24"/>
        </w:rPr>
        <w:t xml:space="preserve">obiter) by the Supreme Court </w:t>
      </w:r>
      <w:r w:rsidR="005311DE" w:rsidRPr="00950741">
        <w:rPr>
          <w:rFonts w:ascii="Times New Roman" w:hAnsi="Times New Roman"/>
          <w:sz w:val="24"/>
        </w:rPr>
        <w:t xml:space="preserve">of the United Kingdom </w:t>
      </w:r>
      <w:r w:rsidRPr="00950741">
        <w:rPr>
          <w:rFonts w:ascii="Times New Roman" w:hAnsi="Times New Roman"/>
          <w:sz w:val="24"/>
        </w:rPr>
        <w:t xml:space="preserve">in </w:t>
      </w:r>
      <w:r w:rsidRPr="00950741">
        <w:rPr>
          <w:rFonts w:ascii="Times New Roman" w:hAnsi="Times New Roman"/>
          <w:i/>
          <w:iCs/>
          <w:sz w:val="24"/>
        </w:rPr>
        <w:t xml:space="preserve">Gard Marine and Energy Ltd v China National Chartering Co Ltd </w:t>
      </w:r>
      <w:r w:rsidRPr="00950741">
        <w:rPr>
          <w:rFonts w:ascii="Times New Roman" w:hAnsi="Times New Roman"/>
          <w:sz w:val="24"/>
        </w:rPr>
        <w:t>[2017] 1 WLR 1793</w:t>
      </w:r>
      <w:r w:rsidR="006C5E5E" w:rsidRPr="00950741">
        <w:rPr>
          <w:rFonts w:ascii="Times New Roman" w:hAnsi="Times New Roman"/>
          <w:sz w:val="24"/>
        </w:rPr>
        <w:t xml:space="preserve">; [2018] 1 All ER </w:t>
      </w:r>
      <w:r w:rsidR="00CD141B" w:rsidRPr="00950741">
        <w:rPr>
          <w:rFonts w:ascii="Times New Roman" w:hAnsi="Times New Roman"/>
          <w:sz w:val="24"/>
        </w:rPr>
        <w:t>832</w:t>
      </w:r>
      <w:r w:rsidRPr="00950741">
        <w:rPr>
          <w:rFonts w:ascii="Times New Roman" w:hAnsi="Times New Roman"/>
          <w:sz w:val="24"/>
        </w:rPr>
        <w:t>.</w:t>
      </w:r>
    </w:p>
  </w:footnote>
  <w:footnote w:id="23">
    <w:p w14:paraId="760B8C04" w14:textId="71AE78FD" w:rsidR="00A10418" w:rsidRPr="00950741" w:rsidRDefault="00A10418"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9719B7" w:rsidRPr="00950741">
        <w:rPr>
          <w:rFonts w:ascii="Times New Roman" w:hAnsi="Times New Roman"/>
          <w:sz w:val="24"/>
        </w:rPr>
        <w:t xml:space="preserve"> </w:t>
      </w:r>
      <w:r w:rsidRPr="00950741">
        <w:rPr>
          <w:rFonts w:ascii="Times New Roman" w:hAnsi="Times New Roman"/>
          <w:sz w:val="24"/>
        </w:rPr>
        <w:t>WLR 1835 at 1866 [154]</w:t>
      </w:r>
      <w:r w:rsidR="005240F5" w:rsidRPr="00950741">
        <w:rPr>
          <w:rFonts w:ascii="Times New Roman" w:hAnsi="Times New Roman"/>
          <w:sz w:val="24"/>
        </w:rPr>
        <w:t xml:space="preserve">; </w:t>
      </w:r>
      <w:r w:rsidR="00AD62CB" w:rsidRPr="00950741">
        <w:rPr>
          <w:rFonts w:ascii="Times New Roman" w:hAnsi="Times New Roman"/>
          <w:sz w:val="24"/>
        </w:rPr>
        <w:t xml:space="preserve">[2025] 3 All ER 703 at </w:t>
      </w:r>
      <w:r w:rsidR="00AA0D4C" w:rsidRPr="00950741">
        <w:rPr>
          <w:rFonts w:ascii="Times New Roman" w:hAnsi="Times New Roman"/>
          <w:sz w:val="24"/>
        </w:rPr>
        <w:t>733</w:t>
      </w:r>
      <w:r w:rsidRPr="00950741">
        <w:rPr>
          <w:rFonts w:ascii="Times New Roman" w:hAnsi="Times New Roman"/>
          <w:sz w:val="24"/>
        </w:rPr>
        <w:t>.</w:t>
      </w:r>
    </w:p>
  </w:footnote>
  <w:footnote w:id="24">
    <w:p w14:paraId="2C6DF01C" w14:textId="191E168F" w:rsidR="00FE7D83" w:rsidRPr="00950741" w:rsidRDefault="00FE7D83"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0D2F89" w:rsidRPr="00950741">
        <w:rPr>
          <w:rFonts w:ascii="Times New Roman" w:hAnsi="Times New Roman"/>
          <w:sz w:val="24"/>
        </w:rPr>
        <w:t xml:space="preserve"> </w:t>
      </w:r>
      <w:r w:rsidRPr="00950741">
        <w:rPr>
          <w:rFonts w:ascii="Times New Roman" w:hAnsi="Times New Roman"/>
          <w:sz w:val="24"/>
        </w:rPr>
        <w:t>WLR 1835 at 186</w:t>
      </w:r>
      <w:r w:rsidR="00A10418" w:rsidRPr="00950741">
        <w:rPr>
          <w:rFonts w:ascii="Times New Roman" w:hAnsi="Times New Roman"/>
          <w:sz w:val="24"/>
        </w:rPr>
        <w:t>6 [155]</w:t>
      </w:r>
      <w:r w:rsidR="000D2F89" w:rsidRPr="00950741">
        <w:rPr>
          <w:rFonts w:ascii="Times New Roman" w:hAnsi="Times New Roman"/>
          <w:sz w:val="24"/>
        </w:rPr>
        <w:t>; [2025</w:t>
      </w:r>
      <w:r w:rsidR="00517228" w:rsidRPr="00950741">
        <w:rPr>
          <w:rFonts w:ascii="Times New Roman" w:hAnsi="Times New Roman"/>
          <w:sz w:val="24"/>
        </w:rPr>
        <w:t>]</w:t>
      </w:r>
      <w:r w:rsidR="000D2F89" w:rsidRPr="00950741">
        <w:rPr>
          <w:rFonts w:ascii="Times New Roman" w:hAnsi="Times New Roman"/>
          <w:sz w:val="24"/>
        </w:rPr>
        <w:t xml:space="preserve"> 3 All ER 703 at </w:t>
      </w:r>
      <w:r w:rsidR="00D4799B" w:rsidRPr="00950741">
        <w:rPr>
          <w:rFonts w:ascii="Times New Roman" w:hAnsi="Times New Roman"/>
          <w:sz w:val="24"/>
        </w:rPr>
        <w:t>733</w:t>
      </w:r>
      <w:r w:rsidR="00A10418" w:rsidRPr="00950741">
        <w:rPr>
          <w:rFonts w:ascii="Times New Roman" w:hAnsi="Times New Roman"/>
          <w:sz w:val="24"/>
        </w:rPr>
        <w:t>.</w:t>
      </w:r>
    </w:p>
  </w:footnote>
  <w:footnote w:id="25">
    <w:p w14:paraId="3C456B14" w14:textId="4CDA76F8" w:rsidR="00F919B4" w:rsidRPr="00950741" w:rsidRDefault="00F919B4"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517228" w:rsidRPr="00950741">
        <w:rPr>
          <w:rFonts w:ascii="Times New Roman" w:hAnsi="Times New Roman"/>
          <w:sz w:val="24"/>
        </w:rPr>
        <w:t xml:space="preserve"> </w:t>
      </w:r>
      <w:r w:rsidRPr="00950741">
        <w:rPr>
          <w:rFonts w:ascii="Times New Roman" w:hAnsi="Times New Roman"/>
          <w:sz w:val="24"/>
        </w:rPr>
        <w:t>WLR 1835 at 186</w:t>
      </w:r>
      <w:r w:rsidR="00D05477" w:rsidRPr="00950741">
        <w:rPr>
          <w:rFonts w:ascii="Times New Roman" w:hAnsi="Times New Roman"/>
          <w:sz w:val="24"/>
        </w:rPr>
        <w:t>7</w:t>
      </w:r>
      <w:r w:rsidRPr="00950741">
        <w:rPr>
          <w:rFonts w:ascii="Times New Roman" w:hAnsi="Times New Roman"/>
          <w:sz w:val="24"/>
        </w:rPr>
        <w:t xml:space="preserve"> </w:t>
      </w:r>
      <w:r w:rsidR="00D05477" w:rsidRPr="00950741">
        <w:rPr>
          <w:rFonts w:ascii="Times New Roman" w:hAnsi="Times New Roman"/>
          <w:sz w:val="24"/>
        </w:rPr>
        <w:t>[155]</w:t>
      </w:r>
      <w:r w:rsidR="00517228" w:rsidRPr="00950741">
        <w:rPr>
          <w:rFonts w:ascii="Times New Roman" w:hAnsi="Times New Roman"/>
          <w:sz w:val="24"/>
        </w:rPr>
        <w:t>; [2025] 3 All ER 703 at</w:t>
      </w:r>
      <w:r w:rsidR="00044706" w:rsidRPr="00950741">
        <w:rPr>
          <w:rFonts w:ascii="Times New Roman" w:hAnsi="Times New Roman"/>
          <w:sz w:val="24"/>
        </w:rPr>
        <w:t xml:space="preserve"> 733</w:t>
      </w:r>
      <w:r w:rsidR="00517228" w:rsidRPr="00950741">
        <w:rPr>
          <w:rFonts w:ascii="Times New Roman" w:hAnsi="Times New Roman"/>
          <w:sz w:val="24"/>
        </w:rPr>
        <w:t>,</w:t>
      </w:r>
      <w:r w:rsidR="00D05477" w:rsidRPr="00950741">
        <w:rPr>
          <w:rFonts w:ascii="Times New Roman" w:hAnsi="Times New Roman"/>
          <w:sz w:val="24"/>
        </w:rPr>
        <w:t xml:space="preserve"> quoting Males LJ </w:t>
      </w:r>
      <w:r w:rsidR="00977CCB" w:rsidRPr="00950741">
        <w:rPr>
          <w:rFonts w:ascii="Times New Roman" w:hAnsi="Times New Roman"/>
          <w:sz w:val="24"/>
        </w:rPr>
        <w:t>in</w:t>
      </w:r>
      <w:r w:rsidR="00D05477" w:rsidRPr="00950741">
        <w:rPr>
          <w:rFonts w:ascii="Times New Roman" w:hAnsi="Times New Roman"/>
          <w:sz w:val="24"/>
        </w:rPr>
        <w:t xml:space="preserve"> </w:t>
      </w:r>
      <w:r w:rsidR="00D851E1" w:rsidRPr="00950741">
        <w:rPr>
          <w:rFonts w:ascii="Times New Roman" w:hAnsi="Times New Roman"/>
          <w:i/>
          <w:iCs/>
          <w:sz w:val="24"/>
        </w:rPr>
        <w:t xml:space="preserve">MSC Mediterranean Shipping Co </w:t>
      </w:r>
      <w:r w:rsidR="00EF66D5" w:rsidRPr="00950741">
        <w:rPr>
          <w:rFonts w:ascii="Times New Roman" w:hAnsi="Times New Roman"/>
          <w:i/>
          <w:iCs/>
          <w:sz w:val="24"/>
        </w:rPr>
        <w:t>SA</w:t>
      </w:r>
      <w:r w:rsidR="00BB4D91" w:rsidRPr="00950741">
        <w:rPr>
          <w:rFonts w:ascii="Times New Roman" w:hAnsi="Times New Roman"/>
          <w:i/>
          <w:iCs/>
          <w:sz w:val="24"/>
        </w:rPr>
        <w:t xml:space="preserve"> v </w:t>
      </w:r>
      <w:r w:rsidR="00D24F8C" w:rsidRPr="00950741">
        <w:rPr>
          <w:rFonts w:ascii="Times New Roman" w:hAnsi="Times New Roman"/>
          <w:i/>
          <w:iCs/>
          <w:sz w:val="24"/>
        </w:rPr>
        <w:t>Stolt Tank Containers BV (The "MSC F</w:t>
      </w:r>
      <w:r w:rsidR="002F4B95" w:rsidRPr="00950741">
        <w:rPr>
          <w:rFonts w:ascii="Times New Roman" w:hAnsi="Times New Roman"/>
          <w:i/>
          <w:iCs/>
          <w:sz w:val="24"/>
        </w:rPr>
        <w:t>laminia</w:t>
      </w:r>
      <w:r w:rsidR="00033123" w:rsidRPr="00950741">
        <w:rPr>
          <w:rFonts w:ascii="Times New Roman" w:hAnsi="Times New Roman"/>
          <w:i/>
          <w:iCs/>
          <w:sz w:val="24"/>
        </w:rPr>
        <w:t>")</w:t>
      </w:r>
      <w:r w:rsidR="00DC0158" w:rsidRPr="00950741">
        <w:rPr>
          <w:rFonts w:ascii="Times New Roman" w:hAnsi="Times New Roman"/>
          <w:i/>
          <w:iCs/>
          <w:sz w:val="24"/>
        </w:rPr>
        <w:t xml:space="preserve"> </w:t>
      </w:r>
      <w:r w:rsidR="00C6625D" w:rsidRPr="00950741">
        <w:rPr>
          <w:rFonts w:ascii="Times New Roman" w:hAnsi="Times New Roman"/>
          <w:i/>
          <w:iCs/>
          <w:sz w:val="24"/>
        </w:rPr>
        <w:t>[</w:t>
      </w:r>
      <w:r w:rsidR="00033123" w:rsidRPr="00950741">
        <w:rPr>
          <w:rFonts w:ascii="Times New Roman" w:hAnsi="Times New Roman"/>
          <w:i/>
          <w:iCs/>
          <w:sz w:val="24"/>
        </w:rPr>
        <w:t>No 2</w:t>
      </w:r>
      <w:r w:rsidR="00C6625D" w:rsidRPr="00950741">
        <w:rPr>
          <w:rFonts w:ascii="Times New Roman" w:hAnsi="Times New Roman"/>
          <w:i/>
          <w:iCs/>
          <w:sz w:val="24"/>
        </w:rPr>
        <w:t>]</w:t>
      </w:r>
      <w:r w:rsidR="002A0012" w:rsidRPr="00950741">
        <w:rPr>
          <w:rFonts w:ascii="Times New Roman" w:hAnsi="Times New Roman"/>
          <w:sz w:val="24"/>
        </w:rPr>
        <w:t xml:space="preserve"> [2024] 1 Lloyd's Rep </w:t>
      </w:r>
      <w:r w:rsidR="00FB71A2" w:rsidRPr="00950741">
        <w:rPr>
          <w:rFonts w:ascii="Times New Roman" w:hAnsi="Times New Roman"/>
          <w:sz w:val="24"/>
        </w:rPr>
        <w:t>535</w:t>
      </w:r>
      <w:r w:rsidR="00CE5AAB" w:rsidRPr="00950741">
        <w:rPr>
          <w:rFonts w:ascii="Times New Roman" w:hAnsi="Times New Roman"/>
          <w:sz w:val="24"/>
        </w:rPr>
        <w:t xml:space="preserve"> at 551 [87]</w:t>
      </w:r>
      <w:r w:rsidR="00D05477" w:rsidRPr="00950741">
        <w:rPr>
          <w:rFonts w:ascii="Times New Roman" w:hAnsi="Times New Roman"/>
          <w:sz w:val="24"/>
        </w:rPr>
        <w:t>.</w:t>
      </w:r>
    </w:p>
  </w:footnote>
  <w:footnote w:id="26">
    <w:p w14:paraId="5DEEA7A1" w14:textId="05B7C7A5" w:rsidR="007003B2" w:rsidRPr="00950741" w:rsidRDefault="007003B2"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7835DD" w:rsidRPr="00950741">
        <w:rPr>
          <w:rFonts w:ascii="Times New Roman" w:hAnsi="Times New Roman"/>
          <w:sz w:val="24"/>
        </w:rPr>
        <w:t xml:space="preserve"> </w:t>
      </w:r>
      <w:r w:rsidRPr="00950741">
        <w:rPr>
          <w:rFonts w:ascii="Times New Roman" w:hAnsi="Times New Roman"/>
          <w:sz w:val="24"/>
        </w:rPr>
        <w:t xml:space="preserve">WLR 1835 at 1867 </w:t>
      </w:r>
      <w:r w:rsidR="001E29C1" w:rsidRPr="00950741">
        <w:rPr>
          <w:rFonts w:ascii="Times New Roman" w:hAnsi="Times New Roman"/>
          <w:sz w:val="24"/>
        </w:rPr>
        <w:t>[156]</w:t>
      </w:r>
      <w:r w:rsidR="007835DD" w:rsidRPr="00950741">
        <w:rPr>
          <w:rFonts w:ascii="Times New Roman" w:hAnsi="Times New Roman"/>
          <w:sz w:val="24"/>
        </w:rPr>
        <w:t xml:space="preserve">; </w:t>
      </w:r>
      <w:r w:rsidR="007912D5" w:rsidRPr="00950741">
        <w:rPr>
          <w:rFonts w:ascii="Times New Roman" w:hAnsi="Times New Roman"/>
          <w:sz w:val="24"/>
        </w:rPr>
        <w:t xml:space="preserve">[2025] </w:t>
      </w:r>
      <w:r w:rsidR="00B24E01" w:rsidRPr="00950741">
        <w:rPr>
          <w:rFonts w:ascii="Times New Roman" w:hAnsi="Times New Roman"/>
          <w:sz w:val="24"/>
        </w:rPr>
        <w:t xml:space="preserve">3 All ER 703 at </w:t>
      </w:r>
      <w:r w:rsidR="004A1239" w:rsidRPr="00950741">
        <w:rPr>
          <w:rFonts w:ascii="Times New Roman" w:hAnsi="Times New Roman"/>
          <w:sz w:val="24"/>
        </w:rPr>
        <w:t>733</w:t>
      </w:r>
      <w:r w:rsidR="001E29C1" w:rsidRPr="00950741">
        <w:rPr>
          <w:rFonts w:ascii="Times New Roman" w:hAnsi="Times New Roman"/>
          <w:sz w:val="24"/>
        </w:rPr>
        <w:t>.</w:t>
      </w:r>
    </w:p>
  </w:footnote>
  <w:footnote w:id="27">
    <w:p w14:paraId="528EDB32" w14:textId="69285BDA" w:rsidR="00B219C5" w:rsidRPr="00950741" w:rsidRDefault="00B219C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68397D" w:rsidRPr="00950741">
        <w:rPr>
          <w:rFonts w:ascii="Times New Roman" w:hAnsi="Times New Roman"/>
          <w:sz w:val="24"/>
        </w:rPr>
        <w:t>[</w:t>
      </w:r>
      <w:r w:rsidRPr="00950741">
        <w:rPr>
          <w:rFonts w:ascii="Times New Roman" w:hAnsi="Times New Roman"/>
          <w:sz w:val="24"/>
        </w:rPr>
        <w:t>2025] 1</w:t>
      </w:r>
      <w:r w:rsidR="00254A4E" w:rsidRPr="00950741">
        <w:rPr>
          <w:rFonts w:ascii="Times New Roman" w:hAnsi="Times New Roman"/>
          <w:sz w:val="24"/>
        </w:rPr>
        <w:t xml:space="preserve"> </w:t>
      </w:r>
      <w:r w:rsidRPr="00950741">
        <w:rPr>
          <w:rFonts w:ascii="Times New Roman" w:hAnsi="Times New Roman"/>
          <w:sz w:val="24"/>
        </w:rPr>
        <w:t>WLR 1835 at 1867 [157]</w:t>
      </w:r>
      <w:r w:rsidR="000408C4" w:rsidRPr="00950741">
        <w:rPr>
          <w:rFonts w:ascii="Times New Roman" w:hAnsi="Times New Roman"/>
          <w:sz w:val="24"/>
        </w:rPr>
        <w:t xml:space="preserve">; [2025] 3 All ER 703 at </w:t>
      </w:r>
      <w:r w:rsidR="00254A4E" w:rsidRPr="00950741">
        <w:rPr>
          <w:rFonts w:ascii="Times New Roman" w:hAnsi="Times New Roman"/>
          <w:sz w:val="24"/>
        </w:rPr>
        <w:t>733</w:t>
      </w:r>
      <w:r w:rsidRPr="00950741">
        <w:rPr>
          <w:rFonts w:ascii="Times New Roman" w:hAnsi="Times New Roman"/>
          <w:sz w:val="24"/>
        </w:rPr>
        <w:t>.</w:t>
      </w:r>
    </w:p>
  </w:footnote>
  <w:footnote w:id="28">
    <w:p w14:paraId="12B27376" w14:textId="209E3D27" w:rsidR="0068397D" w:rsidRPr="00950741" w:rsidRDefault="0068397D"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E43A11" w:rsidRPr="00950741">
        <w:rPr>
          <w:rFonts w:ascii="Times New Roman" w:hAnsi="Times New Roman"/>
          <w:sz w:val="24"/>
        </w:rPr>
        <w:t xml:space="preserve"> </w:t>
      </w:r>
      <w:r w:rsidRPr="00950741">
        <w:rPr>
          <w:rFonts w:ascii="Times New Roman" w:hAnsi="Times New Roman"/>
          <w:sz w:val="24"/>
        </w:rPr>
        <w:t>WLR 1835 at 1867 [</w:t>
      </w:r>
      <w:r w:rsidR="001B5456" w:rsidRPr="00950741">
        <w:rPr>
          <w:rFonts w:ascii="Times New Roman" w:hAnsi="Times New Roman"/>
          <w:sz w:val="24"/>
        </w:rPr>
        <w:t>158]</w:t>
      </w:r>
      <w:r w:rsidR="00E43A11" w:rsidRPr="00950741">
        <w:rPr>
          <w:rFonts w:ascii="Times New Roman" w:hAnsi="Times New Roman"/>
          <w:sz w:val="24"/>
        </w:rPr>
        <w:t xml:space="preserve">; [2025] 3 All ER 703 at </w:t>
      </w:r>
      <w:r w:rsidR="00112DD8" w:rsidRPr="00950741">
        <w:rPr>
          <w:rFonts w:ascii="Times New Roman" w:hAnsi="Times New Roman"/>
          <w:sz w:val="24"/>
        </w:rPr>
        <w:t>734</w:t>
      </w:r>
      <w:r w:rsidR="001B5456" w:rsidRPr="00950741">
        <w:rPr>
          <w:rFonts w:ascii="Times New Roman" w:hAnsi="Times New Roman"/>
          <w:sz w:val="24"/>
        </w:rPr>
        <w:t>.</w:t>
      </w:r>
    </w:p>
  </w:footnote>
  <w:footnote w:id="29">
    <w:p w14:paraId="0E198420" w14:textId="65F561D3" w:rsidR="000903AA" w:rsidRPr="00950741" w:rsidRDefault="000903AA"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5E35AE" w:rsidRPr="00950741">
        <w:rPr>
          <w:rFonts w:ascii="Times New Roman" w:hAnsi="Times New Roman"/>
          <w:sz w:val="24"/>
        </w:rPr>
        <w:t xml:space="preserve"> </w:t>
      </w:r>
      <w:r w:rsidRPr="00950741">
        <w:rPr>
          <w:rFonts w:ascii="Times New Roman" w:hAnsi="Times New Roman"/>
          <w:sz w:val="24"/>
        </w:rPr>
        <w:t>WLR 1835 at 1867 [159]</w:t>
      </w:r>
      <w:r w:rsidR="00264157" w:rsidRPr="00950741">
        <w:rPr>
          <w:rFonts w:ascii="Times New Roman" w:hAnsi="Times New Roman"/>
          <w:sz w:val="24"/>
        </w:rPr>
        <w:t>;</w:t>
      </w:r>
      <w:r w:rsidR="004F3E22" w:rsidRPr="00950741">
        <w:rPr>
          <w:rFonts w:ascii="Times New Roman" w:hAnsi="Times New Roman"/>
          <w:sz w:val="24"/>
        </w:rPr>
        <w:t xml:space="preserve"> [2025] 3 All ER 703 at </w:t>
      </w:r>
      <w:r w:rsidR="00133205" w:rsidRPr="00950741">
        <w:rPr>
          <w:rFonts w:ascii="Times New Roman" w:hAnsi="Times New Roman"/>
          <w:sz w:val="24"/>
        </w:rPr>
        <w:t>734</w:t>
      </w:r>
      <w:r w:rsidRPr="00950741">
        <w:rPr>
          <w:rFonts w:ascii="Times New Roman" w:hAnsi="Times New Roman"/>
          <w:sz w:val="24"/>
        </w:rPr>
        <w:t>.</w:t>
      </w:r>
    </w:p>
  </w:footnote>
  <w:footnote w:id="30">
    <w:p w14:paraId="17267B92" w14:textId="49CADA8B" w:rsidR="00B63DE8" w:rsidRPr="00950741" w:rsidRDefault="00B63DE8"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4C4DF7" w:rsidRPr="00950741">
        <w:rPr>
          <w:rFonts w:ascii="Times New Roman" w:hAnsi="Times New Roman"/>
          <w:sz w:val="24"/>
        </w:rPr>
        <w:t>[2025] 1</w:t>
      </w:r>
      <w:r w:rsidR="00DA198D" w:rsidRPr="00950741">
        <w:rPr>
          <w:rFonts w:ascii="Times New Roman" w:hAnsi="Times New Roman"/>
          <w:sz w:val="24"/>
        </w:rPr>
        <w:t xml:space="preserve"> </w:t>
      </w:r>
      <w:r w:rsidR="004C4DF7" w:rsidRPr="00950741">
        <w:rPr>
          <w:rFonts w:ascii="Times New Roman" w:hAnsi="Times New Roman"/>
          <w:sz w:val="24"/>
        </w:rPr>
        <w:t>WLR 1835 at 1867 [160]</w:t>
      </w:r>
      <w:r w:rsidR="009F1331" w:rsidRPr="00950741">
        <w:rPr>
          <w:rFonts w:ascii="Times New Roman" w:hAnsi="Times New Roman"/>
          <w:sz w:val="24"/>
        </w:rPr>
        <w:t xml:space="preserve">; [2025] 3 All ER 703 at </w:t>
      </w:r>
      <w:r w:rsidR="00F90CF7" w:rsidRPr="00950741">
        <w:rPr>
          <w:rFonts w:ascii="Times New Roman" w:hAnsi="Times New Roman"/>
          <w:sz w:val="24"/>
        </w:rPr>
        <w:t>734</w:t>
      </w:r>
      <w:r w:rsidR="004C4DF7" w:rsidRPr="00950741">
        <w:rPr>
          <w:rFonts w:ascii="Times New Roman" w:hAnsi="Times New Roman"/>
          <w:sz w:val="24"/>
        </w:rPr>
        <w:t>.</w:t>
      </w:r>
    </w:p>
  </w:footnote>
  <w:footnote w:id="31">
    <w:p w14:paraId="2B8CA177" w14:textId="0442A4CE" w:rsidR="00FA456F" w:rsidRPr="00950741" w:rsidRDefault="00FA456F"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127EE9" w:rsidRPr="00950741">
        <w:rPr>
          <w:rFonts w:ascii="Times New Roman" w:hAnsi="Times New Roman"/>
          <w:sz w:val="24"/>
        </w:rPr>
        <w:t xml:space="preserve"> </w:t>
      </w:r>
      <w:r w:rsidRPr="00950741">
        <w:rPr>
          <w:rFonts w:ascii="Times New Roman" w:hAnsi="Times New Roman"/>
          <w:sz w:val="24"/>
        </w:rPr>
        <w:t>WLR 1835 at 1867 [161]</w:t>
      </w:r>
      <w:r w:rsidR="00547716" w:rsidRPr="00950741">
        <w:rPr>
          <w:rFonts w:ascii="Times New Roman" w:hAnsi="Times New Roman"/>
          <w:sz w:val="24"/>
        </w:rPr>
        <w:t xml:space="preserve">; [2025] 3 All ER 703 at </w:t>
      </w:r>
      <w:r w:rsidR="00867B4C" w:rsidRPr="00950741">
        <w:rPr>
          <w:rFonts w:ascii="Times New Roman" w:hAnsi="Times New Roman"/>
          <w:sz w:val="24"/>
        </w:rPr>
        <w:t>734</w:t>
      </w:r>
      <w:r w:rsidRPr="00950741">
        <w:rPr>
          <w:rFonts w:ascii="Times New Roman" w:hAnsi="Times New Roman"/>
          <w:sz w:val="24"/>
        </w:rPr>
        <w:t>.</w:t>
      </w:r>
    </w:p>
  </w:footnote>
  <w:footnote w:id="32">
    <w:p w14:paraId="2DA6601D" w14:textId="569C957E" w:rsidR="00A17C09" w:rsidRPr="00950741" w:rsidRDefault="00A17C09"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9A697C" w:rsidRPr="00950741">
        <w:rPr>
          <w:rFonts w:ascii="Times New Roman" w:hAnsi="Times New Roman"/>
          <w:sz w:val="24"/>
        </w:rPr>
        <w:t xml:space="preserve"> </w:t>
      </w:r>
      <w:r w:rsidRPr="00950741">
        <w:rPr>
          <w:rFonts w:ascii="Times New Roman" w:hAnsi="Times New Roman"/>
          <w:sz w:val="24"/>
        </w:rPr>
        <w:t>WLR 1835 at 1868 [</w:t>
      </w:r>
      <w:r w:rsidR="009C6486" w:rsidRPr="00950741">
        <w:rPr>
          <w:rFonts w:ascii="Times New Roman" w:hAnsi="Times New Roman"/>
          <w:sz w:val="24"/>
        </w:rPr>
        <w:t>164]-[165]</w:t>
      </w:r>
      <w:r w:rsidR="00743CC4" w:rsidRPr="00950741">
        <w:rPr>
          <w:rFonts w:ascii="Times New Roman" w:hAnsi="Times New Roman"/>
          <w:sz w:val="24"/>
        </w:rPr>
        <w:t xml:space="preserve">; [2025] 3 All ER 703 at </w:t>
      </w:r>
      <w:r w:rsidR="003D19A5" w:rsidRPr="00950741">
        <w:rPr>
          <w:rFonts w:ascii="Times New Roman" w:hAnsi="Times New Roman"/>
          <w:sz w:val="24"/>
        </w:rPr>
        <w:t>734</w:t>
      </w:r>
      <w:r w:rsidR="009C6486" w:rsidRPr="00950741">
        <w:rPr>
          <w:rFonts w:ascii="Times New Roman" w:hAnsi="Times New Roman"/>
          <w:sz w:val="24"/>
        </w:rPr>
        <w:t>.</w:t>
      </w:r>
    </w:p>
  </w:footnote>
  <w:footnote w:id="33">
    <w:p w14:paraId="70A27357" w14:textId="11F70E45" w:rsidR="00845277" w:rsidRPr="00950741" w:rsidRDefault="00845277"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3E6E46" w:rsidRPr="00950741">
        <w:rPr>
          <w:rFonts w:ascii="Times New Roman" w:hAnsi="Times New Roman"/>
          <w:sz w:val="24"/>
        </w:rPr>
        <w:t xml:space="preserve"> </w:t>
      </w:r>
      <w:r w:rsidRPr="00950741">
        <w:rPr>
          <w:rFonts w:ascii="Times New Roman" w:hAnsi="Times New Roman"/>
          <w:sz w:val="24"/>
        </w:rPr>
        <w:t>WLR 1835 at 1861-1862 [129]</w:t>
      </w:r>
      <w:r w:rsidR="008B5A82" w:rsidRPr="00950741">
        <w:rPr>
          <w:rFonts w:ascii="Times New Roman" w:hAnsi="Times New Roman"/>
          <w:sz w:val="24"/>
        </w:rPr>
        <w:t xml:space="preserve">; </w:t>
      </w:r>
      <w:r w:rsidR="003E1472" w:rsidRPr="00950741">
        <w:rPr>
          <w:rFonts w:ascii="Times New Roman" w:hAnsi="Times New Roman"/>
          <w:sz w:val="24"/>
        </w:rPr>
        <w:t xml:space="preserve">[2025] 3 All ER </w:t>
      </w:r>
      <w:r w:rsidR="00BB3F09" w:rsidRPr="00950741">
        <w:rPr>
          <w:rFonts w:ascii="Times New Roman" w:hAnsi="Times New Roman"/>
          <w:sz w:val="24"/>
        </w:rPr>
        <w:t>703 at 728</w:t>
      </w:r>
      <w:r w:rsidR="008D1735" w:rsidRPr="00950741">
        <w:rPr>
          <w:rFonts w:ascii="Times New Roman" w:hAnsi="Times New Roman"/>
          <w:sz w:val="24"/>
        </w:rPr>
        <w:t>,</w:t>
      </w:r>
      <w:r w:rsidRPr="00950741">
        <w:rPr>
          <w:rFonts w:ascii="Times New Roman" w:hAnsi="Times New Roman"/>
          <w:sz w:val="24"/>
        </w:rPr>
        <w:t xml:space="preserve"> </w:t>
      </w:r>
      <w:r w:rsidR="008D1735" w:rsidRPr="00950741">
        <w:rPr>
          <w:rFonts w:ascii="Times New Roman" w:hAnsi="Times New Roman"/>
          <w:sz w:val="24"/>
        </w:rPr>
        <w:t xml:space="preserve">quoting </w:t>
      </w:r>
      <w:r w:rsidRPr="00950741">
        <w:rPr>
          <w:rFonts w:ascii="Times New Roman" w:hAnsi="Times New Roman"/>
          <w:i/>
          <w:iCs/>
          <w:sz w:val="24"/>
        </w:rPr>
        <w:t>The Tojo Maru</w:t>
      </w:r>
      <w:r w:rsidRPr="00950741">
        <w:rPr>
          <w:rFonts w:ascii="Times New Roman" w:hAnsi="Times New Roman"/>
          <w:sz w:val="24"/>
        </w:rPr>
        <w:t xml:space="preserve"> [1972] AC 242 at 269 and</w:t>
      </w:r>
      <w:r w:rsidR="00C3087D" w:rsidRPr="00950741">
        <w:rPr>
          <w:rFonts w:ascii="Times New Roman" w:hAnsi="Times New Roman"/>
          <w:sz w:val="24"/>
        </w:rPr>
        <w:t xml:space="preserve"> referring to</w:t>
      </w:r>
      <w:r w:rsidRPr="00950741">
        <w:rPr>
          <w:rFonts w:ascii="Times New Roman" w:hAnsi="Times New Roman"/>
          <w:sz w:val="24"/>
        </w:rPr>
        <w:t xml:space="preserve"> </w:t>
      </w:r>
      <w:r w:rsidRPr="00950741">
        <w:rPr>
          <w:rFonts w:ascii="Times New Roman" w:hAnsi="Times New Roman"/>
          <w:i/>
          <w:sz w:val="24"/>
        </w:rPr>
        <w:t>The Aegean Sea</w:t>
      </w:r>
      <w:r w:rsidRPr="00950741">
        <w:rPr>
          <w:rFonts w:ascii="Times New Roman" w:hAnsi="Times New Roman"/>
          <w:sz w:val="24"/>
        </w:rPr>
        <w:t xml:space="preserve"> [1998] 2 Lloyd's Rep 39 at 46.</w:t>
      </w:r>
    </w:p>
  </w:footnote>
  <w:footnote w:id="34">
    <w:p w14:paraId="1B4F3028" w14:textId="5456440D" w:rsidR="00371AF4" w:rsidRPr="00950741" w:rsidRDefault="00371AF4"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2C268C" w:rsidRPr="00950741">
        <w:rPr>
          <w:rFonts w:ascii="Times New Roman" w:hAnsi="Times New Roman"/>
          <w:sz w:val="24"/>
        </w:rPr>
        <w:t>[2025] 1</w:t>
      </w:r>
      <w:r w:rsidR="003E6E46" w:rsidRPr="00950741">
        <w:rPr>
          <w:rFonts w:ascii="Times New Roman" w:hAnsi="Times New Roman"/>
          <w:sz w:val="24"/>
        </w:rPr>
        <w:t xml:space="preserve"> </w:t>
      </w:r>
      <w:r w:rsidR="002C268C" w:rsidRPr="00950741">
        <w:rPr>
          <w:rFonts w:ascii="Times New Roman" w:hAnsi="Times New Roman"/>
          <w:sz w:val="24"/>
        </w:rPr>
        <w:t xml:space="preserve">WLR 1835 at 1862 </w:t>
      </w:r>
      <w:r w:rsidR="00BB0A28" w:rsidRPr="00950741">
        <w:rPr>
          <w:rFonts w:ascii="Times New Roman" w:hAnsi="Times New Roman"/>
          <w:sz w:val="24"/>
        </w:rPr>
        <w:t>[</w:t>
      </w:r>
      <w:r w:rsidR="00112DCC" w:rsidRPr="00950741">
        <w:rPr>
          <w:rFonts w:ascii="Times New Roman" w:hAnsi="Times New Roman"/>
          <w:sz w:val="24"/>
        </w:rPr>
        <w:t>129</w:t>
      </w:r>
      <w:r w:rsidR="00BB0A28" w:rsidRPr="00950741">
        <w:rPr>
          <w:rFonts w:ascii="Times New Roman" w:hAnsi="Times New Roman"/>
          <w:sz w:val="24"/>
        </w:rPr>
        <w:t>]</w:t>
      </w:r>
      <w:r w:rsidR="00BB3F09" w:rsidRPr="00950741">
        <w:rPr>
          <w:rFonts w:ascii="Times New Roman" w:hAnsi="Times New Roman"/>
          <w:sz w:val="24"/>
        </w:rPr>
        <w:t>;</w:t>
      </w:r>
      <w:r w:rsidR="00BB0A28" w:rsidRPr="00950741">
        <w:rPr>
          <w:rFonts w:ascii="Times New Roman" w:hAnsi="Times New Roman"/>
          <w:sz w:val="24"/>
        </w:rPr>
        <w:t xml:space="preserve"> </w:t>
      </w:r>
      <w:r w:rsidR="00BB3F09" w:rsidRPr="00950741">
        <w:rPr>
          <w:rFonts w:ascii="Times New Roman" w:hAnsi="Times New Roman"/>
          <w:sz w:val="24"/>
        </w:rPr>
        <w:t>[2025] 3 All ER 703 at 729</w:t>
      </w:r>
      <w:r w:rsidR="00FE0D8F" w:rsidRPr="00950741">
        <w:rPr>
          <w:rFonts w:ascii="Times New Roman" w:hAnsi="Times New Roman"/>
          <w:sz w:val="24"/>
        </w:rPr>
        <w:t>,</w:t>
      </w:r>
      <w:r w:rsidR="00BB3F09" w:rsidRPr="00950741">
        <w:rPr>
          <w:rFonts w:ascii="Times New Roman" w:hAnsi="Times New Roman"/>
          <w:sz w:val="24"/>
        </w:rPr>
        <w:t xml:space="preserve"> </w:t>
      </w:r>
      <w:r w:rsidR="002C268C" w:rsidRPr="00950741">
        <w:rPr>
          <w:rFonts w:ascii="Times New Roman" w:hAnsi="Times New Roman"/>
          <w:sz w:val="24"/>
        </w:rPr>
        <w:t xml:space="preserve">quoting </w:t>
      </w:r>
      <w:r w:rsidR="002C268C" w:rsidRPr="00950741">
        <w:rPr>
          <w:rFonts w:ascii="Times New Roman" w:hAnsi="Times New Roman"/>
          <w:i/>
          <w:iCs/>
          <w:sz w:val="24"/>
        </w:rPr>
        <w:t>The Goliath</w:t>
      </w:r>
      <w:r w:rsidR="002C268C" w:rsidRPr="00950741">
        <w:rPr>
          <w:rFonts w:ascii="Times New Roman" w:hAnsi="Times New Roman"/>
          <w:sz w:val="24"/>
        </w:rPr>
        <w:t xml:space="preserve"> [2024] FCA 824 at [145].</w:t>
      </w:r>
    </w:p>
  </w:footnote>
  <w:footnote w:id="35">
    <w:p w14:paraId="17D89C9A" w14:textId="39EF7709" w:rsidR="00BB0A28" w:rsidRPr="00950741" w:rsidRDefault="00BB0A28"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F13C10" w:rsidRPr="00950741">
        <w:rPr>
          <w:rFonts w:ascii="Times New Roman" w:hAnsi="Times New Roman"/>
          <w:sz w:val="24"/>
        </w:rPr>
        <w:t>[2025] 1</w:t>
      </w:r>
      <w:r w:rsidR="003E6E46" w:rsidRPr="00950741">
        <w:rPr>
          <w:rFonts w:ascii="Times New Roman" w:hAnsi="Times New Roman"/>
          <w:sz w:val="24"/>
        </w:rPr>
        <w:t xml:space="preserve"> </w:t>
      </w:r>
      <w:r w:rsidR="00F13C10" w:rsidRPr="00950741">
        <w:rPr>
          <w:rFonts w:ascii="Times New Roman" w:hAnsi="Times New Roman"/>
          <w:sz w:val="24"/>
        </w:rPr>
        <w:t>WLR 1835 at 1862 [130]</w:t>
      </w:r>
      <w:r w:rsidR="00D400F1" w:rsidRPr="00950741">
        <w:rPr>
          <w:rFonts w:ascii="Times New Roman" w:hAnsi="Times New Roman"/>
          <w:sz w:val="24"/>
        </w:rPr>
        <w:t>; [2025] 3 All ER 703 at 729</w:t>
      </w:r>
      <w:r w:rsidR="00F13C10" w:rsidRPr="00950741">
        <w:rPr>
          <w:rFonts w:ascii="Times New Roman" w:hAnsi="Times New Roman"/>
          <w:sz w:val="24"/>
        </w:rPr>
        <w:t>.</w:t>
      </w:r>
    </w:p>
  </w:footnote>
  <w:footnote w:id="36">
    <w:p w14:paraId="67AD9E51" w14:textId="5524C2EF" w:rsidR="000712F4" w:rsidRPr="00950741" w:rsidRDefault="000712F4"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3E6E46" w:rsidRPr="00950741">
        <w:rPr>
          <w:rFonts w:ascii="Times New Roman" w:hAnsi="Times New Roman"/>
          <w:sz w:val="24"/>
        </w:rPr>
        <w:t xml:space="preserve"> </w:t>
      </w:r>
      <w:r w:rsidRPr="00950741">
        <w:rPr>
          <w:rFonts w:ascii="Times New Roman" w:hAnsi="Times New Roman"/>
          <w:sz w:val="24"/>
        </w:rPr>
        <w:t>WLR 1835 at 1867 [158]</w:t>
      </w:r>
      <w:r w:rsidR="00D400F1" w:rsidRPr="00950741">
        <w:rPr>
          <w:rFonts w:ascii="Times New Roman" w:hAnsi="Times New Roman"/>
          <w:sz w:val="24"/>
        </w:rPr>
        <w:t>; [2025] 3 All ER 703 at 734</w:t>
      </w:r>
      <w:r w:rsidRPr="00950741">
        <w:rPr>
          <w:rFonts w:ascii="Times New Roman" w:hAnsi="Times New Roman"/>
          <w:sz w:val="24"/>
        </w:rPr>
        <w:t>.</w:t>
      </w:r>
    </w:p>
  </w:footnote>
  <w:footnote w:id="37">
    <w:p w14:paraId="1A0E1F20" w14:textId="7F42B765" w:rsidR="0083595E" w:rsidRPr="00950741" w:rsidRDefault="0083595E"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1950FB" w:rsidRPr="00950741">
        <w:rPr>
          <w:rFonts w:ascii="Times New Roman" w:hAnsi="Times New Roman"/>
          <w:sz w:val="24"/>
        </w:rPr>
        <w:t>(2023) 26 HKCFAR 297.</w:t>
      </w:r>
    </w:p>
  </w:footnote>
  <w:footnote w:id="38">
    <w:p w14:paraId="66288061" w14:textId="621ED0A3" w:rsidR="00350F6D" w:rsidRPr="00950741" w:rsidRDefault="00350F6D"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0088359A" w:rsidRPr="00950741">
        <w:rPr>
          <w:rFonts w:ascii="Times New Roman" w:hAnsi="Times New Roman"/>
          <w:sz w:val="24"/>
        </w:rPr>
        <w:tab/>
      </w:r>
      <w:r w:rsidRPr="00950741">
        <w:rPr>
          <w:rFonts w:ascii="Times New Roman" w:hAnsi="Times New Roman"/>
          <w:sz w:val="24"/>
        </w:rPr>
        <w:t>(2023) 26 HKCFAR 297 at 306 [</w:t>
      </w:r>
      <w:r w:rsidR="00F04335" w:rsidRPr="00950741">
        <w:rPr>
          <w:rFonts w:ascii="Times New Roman" w:hAnsi="Times New Roman"/>
          <w:sz w:val="24"/>
        </w:rPr>
        <w:t>8]</w:t>
      </w:r>
      <w:r w:rsidRPr="00950741">
        <w:rPr>
          <w:rFonts w:ascii="Times New Roman" w:hAnsi="Times New Roman"/>
          <w:sz w:val="24"/>
        </w:rPr>
        <w:t>.</w:t>
      </w:r>
    </w:p>
  </w:footnote>
  <w:footnote w:id="39">
    <w:p w14:paraId="701C412C" w14:textId="46C081E8" w:rsidR="00823C6A" w:rsidRPr="00950741" w:rsidRDefault="00823C6A"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(2023) 26 HKCFAR 297 at </w:t>
      </w:r>
      <w:r w:rsidR="00AF37B7" w:rsidRPr="00950741">
        <w:rPr>
          <w:rFonts w:ascii="Times New Roman" w:hAnsi="Times New Roman"/>
          <w:sz w:val="24"/>
        </w:rPr>
        <w:t>305-306 [5]-[9].</w:t>
      </w:r>
    </w:p>
  </w:footnote>
  <w:footnote w:id="40">
    <w:p w14:paraId="4365A5F4" w14:textId="6E98F222" w:rsidR="00FA5FA7" w:rsidRPr="00950741" w:rsidRDefault="00FA5FA7"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(2023) 26 HKCFAR 297 at </w:t>
      </w:r>
      <w:r w:rsidR="00675AD5" w:rsidRPr="00950741">
        <w:rPr>
          <w:rFonts w:ascii="Times New Roman" w:hAnsi="Times New Roman"/>
          <w:sz w:val="24"/>
        </w:rPr>
        <w:t>304-305 [1]-[4].</w:t>
      </w:r>
    </w:p>
  </w:footnote>
  <w:footnote w:id="41">
    <w:p w14:paraId="0F8FEB0B" w14:textId="130FBF1C" w:rsidR="00B02567" w:rsidRPr="00950741" w:rsidRDefault="00B02567"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00C65264" w:rsidRPr="00950741">
        <w:rPr>
          <w:rFonts w:ascii="Times New Roman" w:hAnsi="Times New Roman"/>
          <w:sz w:val="24"/>
        </w:rPr>
        <w:tab/>
      </w:r>
      <w:r w:rsidRPr="00950741">
        <w:rPr>
          <w:rFonts w:ascii="Times New Roman" w:hAnsi="Times New Roman"/>
          <w:sz w:val="24"/>
        </w:rPr>
        <w:t>(2023) 26 HKCFAR 297 at 310 [19].</w:t>
      </w:r>
    </w:p>
  </w:footnote>
  <w:footnote w:id="42">
    <w:p w14:paraId="45F4DB3E" w14:textId="2C775C6F" w:rsidR="004659DF" w:rsidRPr="00950741" w:rsidRDefault="004659DF"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(2023) 26 HKCFAR 297 at 310 [20].</w:t>
      </w:r>
    </w:p>
  </w:footnote>
  <w:footnote w:id="43">
    <w:p w14:paraId="71E7263F" w14:textId="045F1EE6" w:rsidR="006830DC" w:rsidRPr="00950741" w:rsidRDefault="006830DC"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(2023) 26 HKCFAR 297 at </w:t>
      </w:r>
      <w:r w:rsidR="009567F8" w:rsidRPr="00950741">
        <w:rPr>
          <w:rFonts w:ascii="Times New Roman" w:hAnsi="Times New Roman"/>
          <w:sz w:val="24"/>
        </w:rPr>
        <w:t>312-313 [28]-[29]</w:t>
      </w:r>
      <w:r w:rsidR="00C05779" w:rsidRPr="00950741">
        <w:rPr>
          <w:rFonts w:ascii="Times New Roman" w:hAnsi="Times New Roman"/>
          <w:sz w:val="24"/>
        </w:rPr>
        <w:t>,</w:t>
      </w:r>
      <w:r w:rsidR="009567F8" w:rsidRPr="00950741">
        <w:rPr>
          <w:rFonts w:ascii="Times New Roman" w:hAnsi="Times New Roman"/>
          <w:sz w:val="24"/>
        </w:rPr>
        <w:t xml:space="preserve"> </w:t>
      </w:r>
      <w:r w:rsidRPr="00950741">
        <w:rPr>
          <w:rFonts w:ascii="Times New Roman" w:hAnsi="Times New Roman"/>
          <w:sz w:val="24"/>
        </w:rPr>
        <w:t xml:space="preserve">quoting </w:t>
      </w:r>
      <w:r w:rsidRPr="00950741">
        <w:rPr>
          <w:rFonts w:ascii="Times New Roman" w:hAnsi="Times New Roman"/>
          <w:i/>
          <w:iCs/>
          <w:sz w:val="24"/>
        </w:rPr>
        <w:t>Effort Shipping Co Ltd v Linden Management SA</w:t>
      </w:r>
      <w:r w:rsidRPr="00950741">
        <w:rPr>
          <w:rFonts w:ascii="Times New Roman" w:hAnsi="Times New Roman"/>
          <w:sz w:val="24"/>
        </w:rPr>
        <w:t xml:space="preserve"> [1998] AC 605</w:t>
      </w:r>
      <w:r w:rsidR="00C05779" w:rsidRPr="00950741">
        <w:rPr>
          <w:rFonts w:ascii="Times New Roman" w:hAnsi="Times New Roman"/>
          <w:sz w:val="24"/>
        </w:rPr>
        <w:t xml:space="preserve"> at</w:t>
      </w:r>
      <w:r w:rsidRPr="00950741">
        <w:rPr>
          <w:rFonts w:ascii="Times New Roman" w:hAnsi="Times New Roman"/>
          <w:sz w:val="24"/>
        </w:rPr>
        <w:t xml:space="preserve"> 627</w:t>
      </w:r>
      <w:r w:rsidR="005E2F78" w:rsidRPr="00950741">
        <w:rPr>
          <w:rFonts w:ascii="Times New Roman" w:hAnsi="Times New Roman"/>
          <w:sz w:val="24"/>
        </w:rPr>
        <w:t>.</w:t>
      </w:r>
    </w:p>
  </w:footnote>
  <w:footnote w:id="44">
    <w:p w14:paraId="7D0F1B52" w14:textId="434C9259" w:rsidR="00CF46B6" w:rsidRPr="00950741" w:rsidRDefault="00CF46B6"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(2023) 26 HKCFAR 297 at </w:t>
      </w:r>
      <w:r w:rsidR="00827A57" w:rsidRPr="00950741">
        <w:rPr>
          <w:rFonts w:ascii="Times New Roman" w:hAnsi="Times New Roman"/>
          <w:sz w:val="24"/>
        </w:rPr>
        <w:t xml:space="preserve">313 </w:t>
      </w:r>
      <w:r w:rsidR="00150EDF" w:rsidRPr="00950741">
        <w:rPr>
          <w:rFonts w:ascii="Times New Roman" w:hAnsi="Times New Roman"/>
          <w:sz w:val="24"/>
        </w:rPr>
        <w:t>[30].</w:t>
      </w:r>
    </w:p>
  </w:footnote>
  <w:footnote w:id="45">
    <w:p w14:paraId="79DD80FE" w14:textId="7D30D3B4" w:rsidR="0084480D" w:rsidRPr="00950741" w:rsidRDefault="0084480D"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[2025] 1</w:t>
      </w:r>
      <w:r w:rsidR="003E6E46" w:rsidRPr="00950741">
        <w:rPr>
          <w:rFonts w:ascii="Times New Roman" w:hAnsi="Times New Roman"/>
          <w:sz w:val="24"/>
        </w:rPr>
        <w:t xml:space="preserve"> </w:t>
      </w:r>
      <w:r w:rsidRPr="00950741">
        <w:rPr>
          <w:rFonts w:ascii="Times New Roman" w:hAnsi="Times New Roman"/>
          <w:sz w:val="24"/>
        </w:rPr>
        <w:t>WLR 1835 at 1867 [156]</w:t>
      </w:r>
      <w:r w:rsidR="00D400F1" w:rsidRPr="00950741">
        <w:rPr>
          <w:rFonts w:ascii="Times New Roman" w:hAnsi="Times New Roman"/>
          <w:sz w:val="24"/>
        </w:rPr>
        <w:t>; [2025] 3 All ER 703 at 733</w:t>
      </w:r>
      <w:r w:rsidRPr="00950741">
        <w:rPr>
          <w:rFonts w:ascii="Times New Roman" w:hAnsi="Times New Roman"/>
          <w:sz w:val="24"/>
        </w:rPr>
        <w:t>.</w:t>
      </w:r>
    </w:p>
  </w:footnote>
  <w:footnote w:id="46">
    <w:p w14:paraId="1DED130A" w14:textId="50D6E5E1" w:rsidR="00856F4C" w:rsidRPr="00950741" w:rsidRDefault="00856F4C"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531B84" w:rsidRPr="00950741">
        <w:rPr>
          <w:rFonts w:ascii="Times New Roman" w:hAnsi="Times New Roman"/>
          <w:sz w:val="24"/>
        </w:rPr>
        <w:t>S</w:t>
      </w:r>
      <w:r w:rsidR="00F10F8A" w:rsidRPr="00950741">
        <w:rPr>
          <w:rFonts w:ascii="Times New Roman" w:hAnsi="Times New Roman"/>
          <w:sz w:val="24"/>
        </w:rPr>
        <w:t>ee also</w:t>
      </w:r>
      <w:r w:rsidR="00371EE1" w:rsidRPr="00950741">
        <w:rPr>
          <w:rFonts w:ascii="Times New Roman" w:hAnsi="Times New Roman"/>
          <w:sz w:val="24"/>
        </w:rPr>
        <w:t xml:space="preserve"> </w:t>
      </w:r>
      <w:r w:rsidRPr="00950741">
        <w:rPr>
          <w:rFonts w:ascii="Times New Roman" w:hAnsi="Times New Roman"/>
          <w:i/>
          <w:iCs/>
          <w:sz w:val="24"/>
        </w:rPr>
        <w:t>The Goliath</w:t>
      </w:r>
      <w:r w:rsidRPr="00950741">
        <w:rPr>
          <w:rFonts w:ascii="Times New Roman" w:hAnsi="Times New Roman"/>
          <w:sz w:val="24"/>
        </w:rPr>
        <w:t xml:space="preserve"> (2025) 310 FCR 64 at </w:t>
      </w:r>
      <w:r w:rsidR="0039290C" w:rsidRPr="00950741">
        <w:rPr>
          <w:rFonts w:ascii="Times New Roman" w:hAnsi="Times New Roman"/>
          <w:sz w:val="24"/>
        </w:rPr>
        <w:t xml:space="preserve">82 </w:t>
      </w:r>
      <w:r w:rsidR="00830668" w:rsidRPr="00950741">
        <w:rPr>
          <w:rFonts w:ascii="Times New Roman" w:hAnsi="Times New Roman"/>
          <w:sz w:val="24"/>
        </w:rPr>
        <w:t>[59].</w:t>
      </w:r>
    </w:p>
  </w:footnote>
  <w:footnote w:id="47">
    <w:p w14:paraId="5CE40194" w14:textId="1FA2AE55" w:rsidR="00A37B7D" w:rsidRPr="00950741" w:rsidRDefault="00A37B7D"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DF7750" w:rsidRPr="00950741">
        <w:rPr>
          <w:rFonts w:ascii="Times New Roman" w:hAnsi="Times New Roman"/>
          <w:sz w:val="24"/>
        </w:rPr>
        <w:t>(</w:t>
      </w:r>
      <w:r w:rsidRPr="00950741">
        <w:rPr>
          <w:rFonts w:ascii="Times New Roman" w:hAnsi="Times New Roman"/>
          <w:sz w:val="24"/>
        </w:rPr>
        <w:t>2023) 26 HKCFAR 297 at 313 [</w:t>
      </w:r>
      <w:r w:rsidR="00BC24AF" w:rsidRPr="00950741">
        <w:rPr>
          <w:rFonts w:ascii="Times New Roman" w:hAnsi="Times New Roman"/>
          <w:sz w:val="24"/>
        </w:rPr>
        <w:t>31].</w:t>
      </w:r>
    </w:p>
  </w:footnote>
  <w:footnote w:id="48">
    <w:p w14:paraId="2A328D8F" w14:textId="0E4CEF11" w:rsidR="00DF7750" w:rsidRPr="00950741" w:rsidRDefault="00DF7750"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611A7A" w:rsidRPr="00950741">
        <w:rPr>
          <w:rFonts w:ascii="Times New Roman" w:hAnsi="Times New Roman"/>
          <w:sz w:val="24"/>
        </w:rPr>
        <w:t>(</w:t>
      </w:r>
      <w:r w:rsidRPr="00950741">
        <w:rPr>
          <w:rFonts w:ascii="Times New Roman" w:hAnsi="Times New Roman"/>
          <w:sz w:val="24"/>
        </w:rPr>
        <w:t>2023) 26 HKCFAR 297 at 313 [31].</w:t>
      </w:r>
    </w:p>
  </w:footnote>
  <w:footnote w:id="49">
    <w:p w14:paraId="5E8332DA" w14:textId="3DAA219B" w:rsidR="00AA7013" w:rsidRPr="00950741" w:rsidRDefault="00AA7013"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85660E" w:rsidRPr="00950741">
        <w:rPr>
          <w:rFonts w:ascii="Times New Roman" w:hAnsi="Times New Roman"/>
          <w:sz w:val="24"/>
        </w:rPr>
        <w:t>(2023) 26 HKCFAR 297 at 31</w:t>
      </w:r>
      <w:r w:rsidR="00056161" w:rsidRPr="00950741">
        <w:rPr>
          <w:rFonts w:ascii="Times New Roman" w:hAnsi="Times New Roman"/>
          <w:sz w:val="24"/>
        </w:rPr>
        <w:t>4</w:t>
      </w:r>
      <w:r w:rsidR="0085660E" w:rsidRPr="00950741">
        <w:rPr>
          <w:rFonts w:ascii="Times New Roman" w:hAnsi="Times New Roman"/>
          <w:sz w:val="24"/>
        </w:rPr>
        <w:t xml:space="preserve"> [31].</w:t>
      </w:r>
    </w:p>
  </w:footnote>
  <w:footnote w:id="50">
    <w:p w14:paraId="1EBD2B7E" w14:textId="40D8E2D3" w:rsidR="00611A7A" w:rsidRPr="00950741" w:rsidRDefault="00611A7A"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(2023) 26 HKCFAR 297 at 314-315 [</w:t>
      </w:r>
      <w:r w:rsidR="00311D54" w:rsidRPr="00950741">
        <w:rPr>
          <w:rFonts w:ascii="Times New Roman" w:hAnsi="Times New Roman"/>
          <w:sz w:val="24"/>
        </w:rPr>
        <w:t>34].</w:t>
      </w:r>
    </w:p>
  </w:footnote>
  <w:footnote w:id="51">
    <w:p w14:paraId="1801328B" w14:textId="5F3DD2E9" w:rsidR="002F5CB0" w:rsidRPr="00950741" w:rsidRDefault="002F5CB0"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(2023) 26 HKCFAR 297 at 315 </w:t>
      </w:r>
      <w:r w:rsidR="007A06C8" w:rsidRPr="00950741">
        <w:rPr>
          <w:rFonts w:ascii="Times New Roman" w:hAnsi="Times New Roman"/>
          <w:sz w:val="24"/>
        </w:rPr>
        <w:t>[36]</w:t>
      </w:r>
      <w:r w:rsidR="009C3F8C" w:rsidRPr="00950741">
        <w:rPr>
          <w:rFonts w:ascii="Times New Roman" w:hAnsi="Times New Roman"/>
          <w:sz w:val="24"/>
        </w:rPr>
        <w:t>.</w:t>
      </w:r>
      <w:r w:rsidR="007A06C8" w:rsidRPr="00950741">
        <w:rPr>
          <w:rFonts w:ascii="Times New Roman" w:hAnsi="Times New Roman"/>
          <w:sz w:val="24"/>
        </w:rPr>
        <w:t xml:space="preserve"> </w:t>
      </w:r>
    </w:p>
  </w:footnote>
  <w:footnote w:id="52">
    <w:p w14:paraId="131485AE" w14:textId="61D11D3E" w:rsidR="00A57C97" w:rsidRPr="00950741" w:rsidRDefault="00A57C97"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76101F" w:rsidRPr="00950741">
        <w:rPr>
          <w:rFonts w:ascii="Times New Roman" w:hAnsi="Times New Roman"/>
          <w:sz w:val="24"/>
        </w:rPr>
        <w:t>(2023) 26 HKCFAR 297 at 315 [37]</w:t>
      </w:r>
      <w:r w:rsidR="00FC0120" w:rsidRPr="00950741">
        <w:rPr>
          <w:rFonts w:ascii="Times New Roman" w:hAnsi="Times New Roman"/>
          <w:sz w:val="24"/>
        </w:rPr>
        <w:t>.</w:t>
      </w:r>
    </w:p>
  </w:footnote>
  <w:footnote w:id="53">
    <w:p w14:paraId="37614A85" w14:textId="3AA51649" w:rsidR="001526E9" w:rsidRPr="00950741" w:rsidRDefault="001526E9"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00CE345B" w:rsidRPr="00950741">
        <w:rPr>
          <w:rFonts w:ascii="Times New Roman" w:hAnsi="Times New Roman"/>
          <w:sz w:val="24"/>
        </w:rPr>
        <w:tab/>
      </w:r>
      <w:r w:rsidR="004751EC" w:rsidRPr="00950741">
        <w:rPr>
          <w:rFonts w:ascii="Times New Roman" w:hAnsi="Times New Roman"/>
          <w:sz w:val="24"/>
        </w:rPr>
        <w:t xml:space="preserve">Hordaland District Court, </w:t>
      </w:r>
      <w:r w:rsidR="007D49F3" w:rsidRPr="00950741">
        <w:rPr>
          <w:rFonts w:ascii="Times New Roman" w:hAnsi="Times New Roman"/>
          <w:sz w:val="24"/>
        </w:rPr>
        <w:t>21-058354TVI-THOD/TBER</w:t>
      </w:r>
      <w:r w:rsidR="00CE345B" w:rsidRPr="00950741">
        <w:rPr>
          <w:rFonts w:ascii="Times New Roman" w:hAnsi="Times New Roman"/>
          <w:sz w:val="24"/>
        </w:rPr>
        <w:t>, 16</w:t>
      </w:r>
      <w:r w:rsidR="00947BBC" w:rsidRPr="00950741">
        <w:rPr>
          <w:rFonts w:ascii="Times New Roman" w:hAnsi="Times New Roman"/>
          <w:sz w:val="24"/>
        </w:rPr>
        <w:t> </w:t>
      </w:r>
      <w:r w:rsidR="00CE345B" w:rsidRPr="00950741">
        <w:rPr>
          <w:rFonts w:ascii="Times New Roman" w:hAnsi="Times New Roman"/>
          <w:sz w:val="24"/>
        </w:rPr>
        <w:t>November 2021.</w:t>
      </w:r>
    </w:p>
  </w:footnote>
  <w:footnote w:id="54">
    <w:p w14:paraId="06766489" w14:textId="77777777" w:rsidR="0040131B" w:rsidRPr="00950741" w:rsidRDefault="0040131B"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(2023) 26 HKCFAR 297 at 316 [39].</w:t>
      </w:r>
    </w:p>
  </w:footnote>
  <w:footnote w:id="55">
    <w:p w14:paraId="423E43B1" w14:textId="2E5BC33E" w:rsidR="005D6BE9" w:rsidRPr="00950741" w:rsidRDefault="005D6BE9"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1B7353" w:rsidRPr="00950741">
        <w:rPr>
          <w:rFonts w:ascii="Times New Roman" w:hAnsi="Times New Roman"/>
          <w:sz w:val="24"/>
        </w:rPr>
        <w:t>[1988] 1 Qd R 359</w:t>
      </w:r>
      <w:r w:rsidR="00A26CD0" w:rsidRPr="00950741">
        <w:rPr>
          <w:rFonts w:ascii="Times New Roman" w:hAnsi="Times New Roman"/>
          <w:sz w:val="24"/>
        </w:rPr>
        <w:t>.</w:t>
      </w:r>
    </w:p>
  </w:footnote>
  <w:footnote w:id="56">
    <w:p w14:paraId="2719B429" w14:textId="0DE94966" w:rsidR="00203172" w:rsidRPr="00950741" w:rsidRDefault="00203172"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2E526E" w:rsidRPr="00950741">
        <w:rPr>
          <w:rFonts w:ascii="Times New Roman" w:hAnsi="Times New Roman"/>
          <w:sz w:val="24"/>
        </w:rPr>
        <w:t>(2023) 26 HKCFAR 297 at 320 [48]-[50].</w:t>
      </w:r>
    </w:p>
  </w:footnote>
  <w:footnote w:id="57">
    <w:p w14:paraId="6E204987" w14:textId="15956372" w:rsidR="007348F6" w:rsidRPr="00950741" w:rsidRDefault="007348F6"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2B6D97" w:rsidRPr="00950741">
        <w:rPr>
          <w:rFonts w:ascii="Times New Roman" w:hAnsi="Times New Roman"/>
          <w:i/>
          <w:iCs/>
          <w:sz w:val="24"/>
        </w:rPr>
        <w:t>Kingdom of Spain v Infrastructure Services Luxembourg Sàrl</w:t>
      </w:r>
      <w:r w:rsidR="002B6D97" w:rsidRPr="00950741">
        <w:rPr>
          <w:rFonts w:ascii="Times New Roman" w:hAnsi="Times New Roman"/>
          <w:sz w:val="24"/>
        </w:rPr>
        <w:t xml:space="preserve"> </w:t>
      </w:r>
      <w:r w:rsidR="00981CA7" w:rsidRPr="00950741">
        <w:rPr>
          <w:rFonts w:ascii="Times New Roman" w:hAnsi="Times New Roman"/>
          <w:sz w:val="24"/>
        </w:rPr>
        <w:t>(2023) 275 CLR 292 at 316 [38].</w:t>
      </w:r>
    </w:p>
  </w:footnote>
  <w:footnote w:id="58">
    <w:p w14:paraId="331810D2" w14:textId="601AC19F" w:rsidR="008C52A4" w:rsidRPr="00950741" w:rsidRDefault="008C52A4"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2109BE" w:rsidRPr="00950741">
        <w:rPr>
          <w:rFonts w:ascii="Times New Roman" w:hAnsi="Times New Roman"/>
          <w:i/>
          <w:iCs/>
          <w:sz w:val="24"/>
        </w:rPr>
        <w:t>The Goliath</w:t>
      </w:r>
      <w:r w:rsidR="002109BE" w:rsidRPr="00950741">
        <w:rPr>
          <w:rFonts w:ascii="Times New Roman" w:hAnsi="Times New Roman"/>
          <w:sz w:val="24"/>
        </w:rPr>
        <w:t xml:space="preserve"> (2025) 310 FCR 64 at </w:t>
      </w:r>
      <w:r w:rsidR="0092646A" w:rsidRPr="00950741">
        <w:rPr>
          <w:rFonts w:ascii="Times New Roman" w:hAnsi="Times New Roman"/>
          <w:sz w:val="24"/>
        </w:rPr>
        <w:t xml:space="preserve">93 </w:t>
      </w:r>
      <w:r w:rsidR="002109BE" w:rsidRPr="00950741">
        <w:rPr>
          <w:rFonts w:ascii="Times New Roman" w:hAnsi="Times New Roman"/>
          <w:sz w:val="24"/>
        </w:rPr>
        <w:t>[114].</w:t>
      </w:r>
    </w:p>
  </w:footnote>
  <w:footnote w:id="59">
    <w:p w14:paraId="29E290FC" w14:textId="43C786E2" w:rsidR="009D1ECE" w:rsidRPr="00950741" w:rsidRDefault="009D1ECE"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The Goliath</w:t>
      </w:r>
      <w:r w:rsidRPr="00950741">
        <w:rPr>
          <w:rFonts w:ascii="Times New Roman" w:hAnsi="Times New Roman"/>
          <w:sz w:val="24"/>
        </w:rPr>
        <w:t xml:space="preserve"> (2025) 310 FCR 64 at </w:t>
      </w:r>
      <w:r w:rsidR="00E812FC" w:rsidRPr="00950741">
        <w:rPr>
          <w:rFonts w:ascii="Times New Roman" w:hAnsi="Times New Roman"/>
          <w:sz w:val="24"/>
        </w:rPr>
        <w:t xml:space="preserve">93 </w:t>
      </w:r>
      <w:r w:rsidRPr="00950741">
        <w:rPr>
          <w:rFonts w:ascii="Times New Roman" w:hAnsi="Times New Roman"/>
          <w:sz w:val="24"/>
        </w:rPr>
        <w:t>[</w:t>
      </w:r>
      <w:r w:rsidR="003A3FF7" w:rsidRPr="00950741">
        <w:rPr>
          <w:rFonts w:ascii="Times New Roman" w:hAnsi="Times New Roman"/>
          <w:sz w:val="24"/>
        </w:rPr>
        <w:t>112]</w:t>
      </w:r>
      <w:r w:rsidR="005A0A50" w:rsidRPr="00950741">
        <w:rPr>
          <w:rFonts w:ascii="Times New Roman" w:hAnsi="Times New Roman"/>
          <w:sz w:val="24"/>
        </w:rPr>
        <w:t>,</w:t>
      </w:r>
      <w:r w:rsidR="003A3FF7" w:rsidRPr="00950741">
        <w:rPr>
          <w:rFonts w:ascii="Times New Roman" w:hAnsi="Times New Roman"/>
          <w:sz w:val="24"/>
        </w:rPr>
        <w:t xml:space="preserve"> referring to </w:t>
      </w:r>
      <w:r w:rsidR="00B51605" w:rsidRPr="00950741">
        <w:rPr>
          <w:rFonts w:ascii="Times New Roman" w:hAnsi="Times New Roman"/>
          <w:i/>
          <w:iCs/>
          <w:sz w:val="24"/>
        </w:rPr>
        <w:t>Scheepvaartbedrijf MS Amasus BV v ELG Haniel Trading GmbH</w:t>
      </w:r>
      <w:r w:rsidR="004C38A5" w:rsidRPr="00950741">
        <w:rPr>
          <w:rFonts w:ascii="Times New Roman" w:hAnsi="Times New Roman"/>
          <w:sz w:val="24"/>
        </w:rPr>
        <w:t xml:space="preserve">, </w:t>
      </w:r>
      <w:r w:rsidR="00B51605" w:rsidRPr="00950741">
        <w:rPr>
          <w:rFonts w:ascii="Times New Roman" w:hAnsi="Times New Roman"/>
          <w:sz w:val="24"/>
        </w:rPr>
        <w:t>ECLI:NL:HR:2018:140,</w:t>
      </w:r>
      <w:r w:rsidR="0074202E" w:rsidRPr="00950741">
        <w:rPr>
          <w:rFonts w:ascii="Times New Roman" w:hAnsi="Times New Roman"/>
          <w:sz w:val="24"/>
        </w:rPr>
        <w:t xml:space="preserve"> Supreme Court of the Netherlands,</w:t>
      </w:r>
      <w:r w:rsidR="00B51605" w:rsidRPr="00950741">
        <w:rPr>
          <w:rFonts w:ascii="Times New Roman" w:hAnsi="Times New Roman"/>
          <w:sz w:val="24"/>
        </w:rPr>
        <w:t xml:space="preserve"> 2</w:t>
      </w:r>
      <w:r w:rsidR="005210DE" w:rsidRPr="00950741">
        <w:rPr>
          <w:rFonts w:ascii="Times New Roman" w:hAnsi="Times New Roman"/>
          <w:sz w:val="24"/>
        </w:rPr>
        <w:t> </w:t>
      </w:r>
      <w:r w:rsidR="00B51605" w:rsidRPr="00950741">
        <w:rPr>
          <w:rFonts w:ascii="Times New Roman" w:hAnsi="Times New Roman"/>
          <w:sz w:val="24"/>
        </w:rPr>
        <w:t xml:space="preserve">February 2018 and </w:t>
      </w:r>
      <w:r w:rsidR="004B0A4C" w:rsidRPr="00950741">
        <w:rPr>
          <w:rFonts w:ascii="Times New Roman" w:hAnsi="Times New Roman"/>
          <w:i/>
          <w:iCs/>
          <w:sz w:val="24"/>
        </w:rPr>
        <w:t xml:space="preserve">Eitzen Chemical (Singapore) Pte Ltd v VOF G Idzenga Scheepvaartbedrijf </w:t>
      </w:r>
      <w:r w:rsidR="004B0A4C" w:rsidRPr="00950741">
        <w:rPr>
          <w:rFonts w:ascii="Times New Roman" w:hAnsi="Times New Roman"/>
          <w:sz w:val="24"/>
        </w:rPr>
        <w:t>ECLI:NL:HR:2018:142,</w:t>
      </w:r>
      <w:r w:rsidR="00D73B7B" w:rsidRPr="00950741">
        <w:rPr>
          <w:rFonts w:ascii="Times New Roman" w:hAnsi="Times New Roman"/>
          <w:sz w:val="24"/>
        </w:rPr>
        <w:t xml:space="preserve"> Supreme Court of the Netherlands</w:t>
      </w:r>
      <w:r w:rsidR="005210DE" w:rsidRPr="00950741">
        <w:rPr>
          <w:rFonts w:ascii="Times New Roman" w:hAnsi="Times New Roman"/>
          <w:sz w:val="24"/>
        </w:rPr>
        <w:t>,</w:t>
      </w:r>
      <w:r w:rsidR="004B0A4C" w:rsidRPr="00950741">
        <w:rPr>
          <w:rFonts w:ascii="Times New Roman" w:hAnsi="Times New Roman"/>
          <w:sz w:val="24"/>
        </w:rPr>
        <w:t xml:space="preserve"> 2</w:t>
      </w:r>
      <w:r w:rsidR="005210DE" w:rsidRPr="00950741">
        <w:rPr>
          <w:rFonts w:ascii="Times New Roman" w:hAnsi="Times New Roman"/>
          <w:sz w:val="24"/>
        </w:rPr>
        <w:t> </w:t>
      </w:r>
      <w:r w:rsidR="004B0A4C" w:rsidRPr="00950741">
        <w:rPr>
          <w:rFonts w:ascii="Times New Roman" w:hAnsi="Times New Roman"/>
          <w:sz w:val="24"/>
        </w:rPr>
        <w:t>February 2018.</w:t>
      </w:r>
    </w:p>
  </w:footnote>
  <w:footnote w:id="60">
    <w:p w14:paraId="035CCFCA" w14:textId="668EB091" w:rsidR="00E853AF" w:rsidRPr="00950741" w:rsidRDefault="00E853AF" w:rsidP="00950741">
      <w:pPr>
        <w:pStyle w:val="FootnoteText"/>
        <w:spacing w:line="280" w:lineRule="exact"/>
        <w:ind w:right="0"/>
        <w:jc w:val="both"/>
        <w:rPr>
          <w:rFonts w:ascii="Times New Roman" w:hAnsi="Times New Roman"/>
          <w:i/>
          <w:iCs/>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00BC01AF" w:rsidRPr="00950741">
        <w:rPr>
          <w:rFonts w:ascii="Times New Roman" w:hAnsi="Times New Roman"/>
          <w:sz w:val="24"/>
        </w:rPr>
        <w:tab/>
      </w:r>
      <w:r w:rsidRPr="00950741">
        <w:rPr>
          <w:rFonts w:ascii="Times New Roman" w:hAnsi="Times New Roman"/>
          <w:i/>
          <w:iCs/>
          <w:sz w:val="24"/>
        </w:rPr>
        <w:t xml:space="preserve">The Goliath </w:t>
      </w:r>
      <w:r w:rsidRPr="00950741">
        <w:rPr>
          <w:rFonts w:ascii="Times New Roman" w:hAnsi="Times New Roman"/>
          <w:sz w:val="24"/>
        </w:rPr>
        <w:t>[2024] FCA 824 at [143].</w:t>
      </w:r>
    </w:p>
  </w:footnote>
  <w:footnote w:id="61">
    <w:p w14:paraId="31AFC12E" w14:textId="77777777"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UN Doc LEG/CONF.5/C.1/SR.1 (1 November 1976), in </w:t>
      </w:r>
      <w:r w:rsidRPr="00950741">
        <w:rPr>
          <w:rFonts w:ascii="Times New Roman" w:hAnsi="Times New Roman"/>
          <w:i/>
          <w:sz w:val="24"/>
        </w:rPr>
        <w:t>Official Records of the International Conference on the Limitation of Liability for Maritime Claims, 1976</w:t>
      </w:r>
      <w:r w:rsidRPr="00950741">
        <w:rPr>
          <w:rFonts w:ascii="Times New Roman" w:hAnsi="Times New Roman"/>
          <w:sz w:val="24"/>
        </w:rPr>
        <w:t xml:space="preserve"> (1983) at 209.</w:t>
      </w:r>
    </w:p>
  </w:footnote>
  <w:footnote w:id="62">
    <w:p w14:paraId="3E92CF30" w14:textId="5A3FBCDA"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eg, </w:t>
      </w:r>
      <w:r w:rsidRPr="00950741">
        <w:rPr>
          <w:rFonts w:ascii="Times New Roman" w:hAnsi="Times New Roman"/>
          <w:i/>
          <w:iCs/>
          <w:sz w:val="24"/>
        </w:rPr>
        <w:t>Consideration of Draft International Convention on Limitation of Liability for Maritime Claims</w:t>
      </w:r>
      <w:r w:rsidRPr="00950741">
        <w:rPr>
          <w:rFonts w:ascii="Times New Roman" w:hAnsi="Times New Roman"/>
          <w:sz w:val="24"/>
        </w:rPr>
        <w:t>,</w:t>
      </w:r>
      <w:r w:rsidRPr="00950741">
        <w:rPr>
          <w:rFonts w:ascii="Times New Roman" w:hAnsi="Times New Roman"/>
          <w:i/>
          <w:iCs/>
          <w:sz w:val="24"/>
        </w:rPr>
        <w:t xml:space="preserve"> </w:t>
      </w:r>
      <w:r w:rsidRPr="00950741">
        <w:rPr>
          <w:rFonts w:ascii="Times New Roman" w:hAnsi="Times New Roman"/>
          <w:sz w:val="24"/>
        </w:rPr>
        <w:t>UN Doc LEG/CONF.5/4 (27 September 1976)</w:t>
      </w:r>
      <w:r w:rsidR="0026570F" w:rsidRPr="00950741">
        <w:rPr>
          <w:rFonts w:ascii="Times New Roman" w:hAnsi="Times New Roman"/>
          <w:sz w:val="24"/>
        </w:rPr>
        <w:t xml:space="preserve"> and</w:t>
      </w:r>
      <w:r w:rsidRPr="00950741">
        <w:rPr>
          <w:rFonts w:ascii="Times New Roman" w:hAnsi="Times New Roman"/>
          <w:sz w:val="24"/>
        </w:rPr>
        <w:t xml:space="preserve"> </w:t>
      </w:r>
      <w:r w:rsidRPr="00950741">
        <w:rPr>
          <w:rFonts w:ascii="Times New Roman" w:hAnsi="Times New Roman"/>
          <w:i/>
          <w:iCs/>
          <w:sz w:val="24"/>
        </w:rPr>
        <w:t>Consideration of Draft International Convention on Limitation of Liability for Maritime Claims</w:t>
      </w:r>
      <w:r w:rsidRPr="00950741">
        <w:rPr>
          <w:rFonts w:ascii="Times New Roman" w:hAnsi="Times New Roman"/>
          <w:sz w:val="24"/>
        </w:rPr>
        <w:t xml:space="preserve">, UN Doc LEG/CONF.5/4/Add.3 (27 October 1976), in </w:t>
      </w:r>
      <w:r w:rsidRPr="00950741">
        <w:rPr>
          <w:rFonts w:ascii="Times New Roman" w:hAnsi="Times New Roman"/>
          <w:i/>
          <w:sz w:val="24"/>
        </w:rPr>
        <w:t>Official Records of the International Conference on the Limitation of Liability for Maritime Claims, 1976</w:t>
      </w:r>
      <w:r w:rsidRPr="00950741">
        <w:rPr>
          <w:rFonts w:ascii="Times New Roman" w:hAnsi="Times New Roman"/>
          <w:sz w:val="24"/>
        </w:rPr>
        <w:t xml:space="preserve"> (1983) at 68, 108.</w:t>
      </w:r>
    </w:p>
  </w:footnote>
  <w:footnote w:id="63">
    <w:p w14:paraId="2123373C" w14:textId="3931F0B5"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Consideration of Draft International Convention on Limitation of Liability for Maritime Claims,</w:t>
      </w:r>
      <w:r w:rsidRPr="00950741">
        <w:rPr>
          <w:rFonts w:ascii="Times New Roman" w:hAnsi="Times New Roman"/>
          <w:sz w:val="24"/>
        </w:rPr>
        <w:t xml:space="preserve"> UN Doc LEG/CONF.5/C.1/WP.11 (2 November 1976)</w:t>
      </w:r>
      <w:r w:rsidR="0026570F" w:rsidRPr="00950741">
        <w:rPr>
          <w:rFonts w:ascii="Times New Roman" w:hAnsi="Times New Roman"/>
          <w:sz w:val="24"/>
        </w:rPr>
        <w:t xml:space="preserve"> and</w:t>
      </w:r>
      <w:r w:rsidRPr="00950741">
        <w:rPr>
          <w:rFonts w:ascii="Times New Roman" w:hAnsi="Times New Roman"/>
          <w:sz w:val="24"/>
        </w:rPr>
        <w:t xml:space="preserve"> </w:t>
      </w:r>
      <w:r w:rsidRPr="00950741">
        <w:rPr>
          <w:rFonts w:ascii="Times New Roman" w:hAnsi="Times New Roman"/>
          <w:i/>
          <w:iCs/>
          <w:sz w:val="24"/>
        </w:rPr>
        <w:t>Consideration of Draft International Convention on Limitation of Liability for Maritime Claims</w:t>
      </w:r>
      <w:r w:rsidRPr="00950741">
        <w:rPr>
          <w:rFonts w:ascii="Times New Roman" w:hAnsi="Times New Roman"/>
          <w:sz w:val="24"/>
        </w:rPr>
        <w:t xml:space="preserve">, UN Doc LEG/CONF.5/C.1/WP.12 (2 November 1976), in </w:t>
      </w:r>
      <w:r w:rsidRPr="00950741">
        <w:rPr>
          <w:rFonts w:ascii="Times New Roman" w:hAnsi="Times New Roman"/>
          <w:i/>
          <w:sz w:val="24"/>
        </w:rPr>
        <w:t>Official Records of the International Conference on the Limitation of Liability for Maritime Claims</w:t>
      </w:r>
      <w:r w:rsidRPr="00950741">
        <w:rPr>
          <w:rFonts w:ascii="Times New Roman" w:hAnsi="Times New Roman"/>
          <w:sz w:val="24"/>
        </w:rPr>
        <w:t>, 1976 (1983) at 147, 148.</w:t>
      </w:r>
    </w:p>
  </w:footnote>
  <w:footnote w:id="64">
    <w:p w14:paraId="5F0AC79F" w14:textId="77777777"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Consideration of Draft International Convention on Limitation of Liability for Maritime Claims,</w:t>
      </w:r>
      <w:r w:rsidRPr="00950741">
        <w:rPr>
          <w:rFonts w:ascii="Times New Roman" w:hAnsi="Times New Roman"/>
          <w:sz w:val="24"/>
        </w:rPr>
        <w:t xml:space="preserve"> UN Doc LEG/CONF.5/C.1/WP.16 (2 November 1976), in </w:t>
      </w:r>
      <w:r w:rsidRPr="00950741">
        <w:rPr>
          <w:rFonts w:ascii="Times New Roman" w:hAnsi="Times New Roman"/>
          <w:i/>
          <w:iCs/>
          <w:sz w:val="24"/>
        </w:rPr>
        <w:t>Official Records of the International Conference on the Limitation of Liability for Maritime Claims, 1976</w:t>
      </w:r>
      <w:r w:rsidRPr="00950741">
        <w:rPr>
          <w:rFonts w:ascii="Times New Roman" w:hAnsi="Times New Roman"/>
          <w:sz w:val="24"/>
        </w:rPr>
        <w:t xml:space="preserve"> (1983) at 150-151.</w:t>
      </w:r>
    </w:p>
  </w:footnote>
  <w:footnote w:id="65">
    <w:p w14:paraId="3B98FBE6" w14:textId="77777777"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eg, </w:t>
      </w:r>
      <w:r w:rsidRPr="00950741">
        <w:rPr>
          <w:rFonts w:ascii="Times New Roman" w:hAnsi="Times New Roman"/>
          <w:i/>
          <w:iCs/>
          <w:sz w:val="24"/>
        </w:rPr>
        <w:t>Summary Record of the Fourth Meeting</w:t>
      </w:r>
      <w:r w:rsidRPr="00950741">
        <w:rPr>
          <w:rFonts w:ascii="Times New Roman" w:hAnsi="Times New Roman"/>
          <w:sz w:val="24"/>
        </w:rPr>
        <w:t xml:space="preserve">, UN Doc LEG/CONF.5/C.1/SR.4 (3 November 1976), in </w:t>
      </w:r>
      <w:r w:rsidRPr="00950741">
        <w:rPr>
          <w:rFonts w:ascii="Times New Roman" w:hAnsi="Times New Roman"/>
          <w:i/>
          <w:iCs/>
          <w:sz w:val="24"/>
        </w:rPr>
        <w:t>Official Records of the International Conference on the Limitation of Liability for Maritime Claims, 1976</w:t>
      </w:r>
      <w:r w:rsidRPr="00950741">
        <w:rPr>
          <w:rFonts w:ascii="Times New Roman" w:hAnsi="Times New Roman"/>
          <w:sz w:val="24"/>
        </w:rPr>
        <w:t xml:space="preserve"> (1983) at 231-236.</w:t>
      </w:r>
    </w:p>
  </w:footnote>
  <w:footnote w:id="66">
    <w:p w14:paraId="770477EC" w14:textId="77777777"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Summary Record of the Eleventh Meeting</w:t>
      </w:r>
      <w:r w:rsidRPr="00950741">
        <w:rPr>
          <w:rFonts w:ascii="Times New Roman" w:hAnsi="Times New Roman"/>
          <w:sz w:val="24"/>
        </w:rPr>
        <w:t xml:space="preserve">, UN Doc LEG/CONF.5/C.1/SR.11 (8 November 1976), in </w:t>
      </w:r>
      <w:r w:rsidRPr="00950741">
        <w:rPr>
          <w:rFonts w:ascii="Times New Roman" w:hAnsi="Times New Roman"/>
          <w:i/>
          <w:iCs/>
          <w:sz w:val="24"/>
        </w:rPr>
        <w:t>Official Records of the International Conference on the Limitation of Liability for Maritime Claims, 1976</w:t>
      </w:r>
      <w:r w:rsidRPr="00950741">
        <w:rPr>
          <w:rFonts w:ascii="Times New Roman" w:hAnsi="Times New Roman"/>
          <w:sz w:val="24"/>
        </w:rPr>
        <w:t xml:space="preserve"> (1983) at 289. See also </w:t>
      </w:r>
      <w:r w:rsidRPr="00950741">
        <w:rPr>
          <w:rFonts w:ascii="Times New Roman" w:hAnsi="Times New Roman"/>
          <w:i/>
          <w:iCs/>
          <w:sz w:val="24"/>
        </w:rPr>
        <w:t>Summary Record of the Nineteenth Meeting</w:t>
      </w:r>
      <w:r w:rsidRPr="00950741">
        <w:rPr>
          <w:rFonts w:ascii="Times New Roman" w:hAnsi="Times New Roman"/>
          <w:sz w:val="24"/>
        </w:rPr>
        <w:t xml:space="preserve">, UN Doc LEG/CONF.5/C.1/SR.19 (12 November 1976), in </w:t>
      </w:r>
      <w:r w:rsidRPr="00950741">
        <w:rPr>
          <w:rFonts w:ascii="Times New Roman" w:hAnsi="Times New Roman"/>
          <w:i/>
          <w:iCs/>
          <w:sz w:val="24"/>
        </w:rPr>
        <w:t>Official Records of the International Conference on the Limitation of Liability for Maritime Claims, 1976</w:t>
      </w:r>
      <w:r w:rsidRPr="00950741">
        <w:rPr>
          <w:rFonts w:ascii="Times New Roman" w:hAnsi="Times New Roman"/>
          <w:sz w:val="24"/>
        </w:rPr>
        <w:t xml:space="preserve"> (1983) at 367.</w:t>
      </w:r>
    </w:p>
  </w:footnote>
  <w:footnote w:id="67">
    <w:p w14:paraId="0179A2FB" w14:textId="77777777"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Summary Record of the Twenty-First Meeting</w:t>
      </w:r>
      <w:r w:rsidRPr="00950741">
        <w:rPr>
          <w:rFonts w:ascii="Times New Roman" w:hAnsi="Times New Roman"/>
          <w:sz w:val="24"/>
        </w:rPr>
        <w:t xml:space="preserve">, UN Doc LEG/CONF.5/C.1/SR.21 (15 November 1976), in </w:t>
      </w:r>
      <w:r w:rsidRPr="00950741">
        <w:rPr>
          <w:rFonts w:ascii="Times New Roman" w:hAnsi="Times New Roman"/>
          <w:i/>
          <w:iCs/>
          <w:sz w:val="24"/>
        </w:rPr>
        <w:t>Official Records of the International Conference on the Limitation of Liability for Maritime Claims, 1976</w:t>
      </w:r>
      <w:r w:rsidRPr="00950741">
        <w:rPr>
          <w:rFonts w:ascii="Times New Roman" w:hAnsi="Times New Roman"/>
          <w:sz w:val="24"/>
        </w:rPr>
        <w:t xml:space="preserve"> (1983) at 380.</w:t>
      </w:r>
    </w:p>
  </w:footnote>
  <w:footnote w:id="68">
    <w:p w14:paraId="326E2F9B" w14:textId="77777777"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Summary</w:t>
      </w:r>
      <w:r w:rsidRPr="00950741">
        <w:rPr>
          <w:rFonts w:ascii="Times New Roman" w:hAnsi="Times New Roman"/>
          <w:i/>
          <w:sz w:val="24"/>
        </w:rPr>
        <w:t xml:space="preserve"> Record of the Twenty-Second Meeting</w:t>
      </w:r>
      <w:r w:rsidRPr="00950741">
        <w:rPr>
          <w:rFonts w:ascii="Times New Roman" w:hAnsi="Times New Roman"/>
          <w:sz w:val="24"/>
        </w:rPr>
        <w:t xml:space="preserve">, UN Doc LEG/CONF.5/C.1/SR.22 (16 November 1976), referring to </w:t>
      </w:r>
      <w:r w:rsidRPr="00950741">
        <w:rPr>
          <w:rFonts w:ascii="Times New Roman" w:hAnsi="Times New Roman"/>
          <w:i/>
          <w:iCs/>
          <w:sz w:val="24"/>
        </w:rPr>
        <w:t>Consideration of Draft International Convention on Limitation of Liability for Maritime Claims,</w:t>
      </w:r>
      <w:r w:rsidRPr="00950741">
        <w:rPr>
          <w:rFonts w:ascii="Times New Roman" w:hAnsi="Times New Roman"/>
          <w:sz w:val="24"/>
        </w:rPr>
        <w:t xml:space="preserve"> UN Doc LEG/CONF.5/C.1/WP.82 (15 November 1976), in </w:t>
      </w:r>
      <w:r w:rsidRPr="00950741">
        <w:rPr>
          <w:rFonts w:ascii="Times New Roman" w:hAnsi="Times New Roman"/>
          <w:i/>
          <w:iCs/>
          <w:sz w:val="24"/>
        </w:rPr>
        <w:t>Official Records of the International Conference on the Limitation of Liability for Maritime Claims, 1976</w:t>
      </w:r>
      <w:r w:rsidRPr="00950741">
        <w:rPr>
          <w:rFonts w:ascii="Times New Roman" w:hAnsi="Times New Roman"/>
          <w:sz w:val="24"/>
        </w:rPr>
        <w:t xml:space="preserve"> (1983) at 384, 203-204.</w:t>
      </w:r>
    </w:p>
  </w:footnote>
  <w:footnote w:id="69">
    <w:p w14:paraId="48251E88" w14:textId="77777777"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 xml:space="preserve">UN Doc LEG/CONF.5/C.1/SR.25 (17 November 1976), in </w:t>
      </w:r>
      <w:r w:rsidRPr="00950741">
        <w:rPr>
          <w:rFonts w:ascii="Times New Roman" w:hAnsi="Times New Roman"/>
          <w:i/>
          <w:iCs/>
          <w:sz w:val="24"/>
        </w:rPr>
        <w:t>Official Records of the International Conference on the Limitation of Liability for Maritime Claims, 1976</w:t>
      </w:r>
      <w:r w:rsidRPr="00950741">
        <w:rPr>
          <w:rFonts w:ascii="Times New Roman" w:hAnsi="Times New Roman"/>
          <w:sz w:val="24"/>
        </w:rPr>
        <w:t xml:space="preserve"> (1983) at 405.</w:t>
      </w:r>
    </w:p>
  </w:footnote>
  <w:footnote w:id="70">
    <w:p w14:paraId="531128DA" w14:textId="77777777"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Summary Record of the Twenty-Sixth Meeting</w:t>
      </w:r>
      <w:r w:rsidRPr="00950741">
        <w:rPr>
          <w:rFonts w:ascii="Times New Roman" w:hAnsi="Times New Roman"/>
          <w:sz w:val="24"/>
        </w:rPr>
        <w:t xml:space="preserve">, UN Doc LEG/CONF.5/C.1/SR.26 (18 November 1976), referring to UN Doc LEG/CONF.5/C.3/1/Add.1 (17 November 1976), in </w:t>
      </w:r>
      <w:r w:rsidRPr="00950741">
        <w:rPr>
          <w:rFonts w:ascii="Times New Roman" w:hAnsi="Times New Roman"/>
          <w:i/>
          <w:iCs/>
          <w:sz w:val="24"/>
        </w:rPr>
        <w:t>Official Records of the International Conference on the Limitation of Liability for Maritime Claims, 1976</w:t>
      </w:r>
      <w:r w:rsidRPr="00950741">
        <w:rPr>
          <w:rFonts w:ascii="Times New Roman" w:hAnsi="Times New Roman"/>
          <w:sz w:val="24"/>
        </w:rPr>
        <w:t xml:space="preserve"> (1983) at 405, 458-463.</w:t>
      </w:r>
    </w:p>
  </w:footnote>
  <w:footnote w:id="71">
    <w:p w14:paraId="54590278" w14:textId="77777777" w:rsidR="00B20BB5" w:rsidRPr="00950741" w:rsidRDefault="00B20BB5"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Summary Record of the Fifth Plenary Meeting</w:t>
      </w:r>
      <w:r w:rsidRPr="00950741">
        <w:rPr>
          <w:rFonts w:ascii="Times New Roman" w:hAnsi="Times New Roman"/>
          <w:sz w:val="24"/>
        </w:rPr>
        <w:t xml:space="preserve">, UN Doc LEG/CONF.5/SR.5 (19 November 1976), in </w:t>
      </w:r>
      <w:r w:rsidRPr="00950741">
        <w:rPr>
          <w:rFonts w:ascii="Times New Roman" w:hAnsi="Times New Roman"/>
          <w:i/>
          <w:iCs/>
          <w:sz w:val="24"/>
        </w:rPr>
        <w:t>Official Records of the International Conference on the Limitation of Liability for Maritime Claims, 1976</w:t>
      </w:r>
      <w:r w:rsidRPr="00950741">
        <w:rPr>
          <w:rFonts w:ascii="Times New Roman" w:hAnsi="Times New Roman"/>
          <w:sz w:val="24"/>
        </w:rPr>
        <w:t xml:space="preserve"> (1983) at 489.</w:t>
      </w:r>
    </w:p>
  </w:footnote>
  <w:footnote w:id="72">
    <w:p w14:paraId="2D67692A" w14:textId="294507F2" w:rsidR="00194F06" w:rsidRPr="00950741" w:rsidRDefault="00194F06"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E11A1F" w:rsidRPr="00950741">
        <w:rPr>
          <w:rFonts w:ascii="Times New Roman" w:hAnsi="Times New Roman"/>
          <w:sz w:val="24"/>
        </w:rPr>
        <w:t>Comit</w:t>
      </w:r>
      <w:r w:rsidR="00054357" w:rsidRPr="00950741">
        <w:rPr>
          <w:rFonts w:ascii="Times New Roman" w:hAnsi="Times New Roman"/>
          <w:sz w:val="24"/>
        </w:rPr>
        <w:t>é</w:t>
      </w:r>
      <w:r w:rsidR="00E11A1F" w:rsidRPr="00950741">
        <w:rPr>
          <w:rFonts w:ascii="Times New Roman" w:hAnsi="Times New Roman"/>
          <w:sz w:val="24"/>
        </w:rPr>
        <w:t xml:space="preserve"> Maritime International</w:t>
      </w:r>
      <w:r w:rsidR="00FE4DAF" w:rsidRPr="00950741">
        <w:rPr>
          <w:rFonts w:ascii="Times New Roman" w:hAnsi="Times New Roman"/>
          <w:sz w:val="24"/>
        </w:rPr>
        <w:t xml:space="preserve"> and </w:t>
      </w:r>
      <w:r w:rsidR="001F3AEF" w:rsidRPr="00950741">
        <w:rPr>
          <w:rFonts w:ascii="Times New Roman" w:hAnsi="Times New Roman"/>
          <w:sz w:val="24"/>
        </w:rPr>
        <w:t>Berlingieri</w:t>
      </w:r>
      <w:r w:rsidR="00E11A1F" w:rsidRPr="00950741">
        <w:rPr>
          <w:rFonts w:ascii="Times New Roman" w:hAnsi="Times New Roman"/>
          <w:sz w:val="24"/>
        </w:rPr>
        <w:t xml:space="preserve">, </w:t>
      </w:r>
      <w:r w:rsidRPr="00950741">
        <w:rPr>
          <w:rFonts w:ascii="Times New Roman" w:hAnsi="Times New Roman"/>
          <w:i/>
          <w:iCs/>
          <w:sz w:val="24"/>
        </w:rPr>
        <w:t xml:space="preserve">The </w:t>
      </w:r>
      <w:r w:rsidR="0008234F" w:rsidRPr="00950741">
        <w:rPr>
          <w:rFonts w:ascii="Times New Roman" w:hAnsi="Times New Roman"/>
          <w:i/>
          <w:iCs/>
          <w:sz w:val="24"/>
        </w:rPr>
        <w:t>T</w:t>
      </w:r>
      <w:r w:rsidRPr="00950741">
        <w:rPr>
          <w:rFonts w:ascii="Times New Roman" w:hAnsi="Times New Roman"/>
          <w:i/>
          <w:iCs/>
          <w:sz w:val="24"/>
        </w:rPr>
        <w:t xml:space="preserve">ravaux </w:t>
      </w:r>
      <w:r w:rsidR="0008234F" w:rsidRPr="00950741">
        <w:rPr>
          <w:rFonts w:ascii="Times New Roman" w:hAnsi="Times New Roman"/>
          <w:i/>
          <w:iCs/>
          <w:sz w:val="24"/>
        </w:rPr>
        <w:t>P</w:t>
      </w:r>
      <w:r w:rsidRPr="00950741">
        <w:rPr>
          <w:rFonts w:ascii="Times New Roman" w:hAnsi="Times New Roman"/>
          <w:i/>
          <w:iCs/>
          <w:sz w:val="24"/>
        </w:rPr>
        <w:t>réparatoires</w:t>
      </w:r>
      <w:r w:rsidRPr="00950741">
        <w:rPr>
          <w:rFonts w:ascii="Times New Roman" w:hAnsi="Times New Roman"/>
          <w:sz w:val="24"/>
        </w:rPr>
        <w:t xml:space="preserve"> </w:t>
      </w:r>
      <w:r w:rsidRPr="00950741">
        <w:rPr>
          <w:rFonts w:ascii="Times New Roman" w:hAnsi="Times New Roman"/>
          <w:i/>
          <w:iCs/>
          <w:sz w:val="24"/>
        </w:rPr>
        <w:t>of the LLMC</w:t>
      </w:r>
      <w:r w:rsidR="0008234F" w:rsidRPr="00950741">
        <w:rPr>
          <w:rFonts w:ascii="Times New Roman" w:hAnsi="Times New Roman"/>
          <w:i/>
          <w:iCs/>
          <w:sz w:val="24"/>
        </w:rPr>
        <w:t xml:space="preserve"> Convention,</w:t>
      </w:r>
      <w:r w:rsidR="005E74B6" w:rsidRPr="00950741">
        <w:rPr>
          <w:rFonts w:ascii="Times New Roman" w:hAnsi="Times New Roman"/>
          <w:i/>
          <w:iCs/>
          <w:sz w:val="24"/>
        </w:rPr>
        <w:t xml:space="preserve"> </w:t>
      </w:r>
      <w:r w:rsidRPr="00950741">
        <w:rPr>
          <w:rFonts w:ascii="Times New Roman" w:hAnsi="Times New Roman"/>
          <w:i/>
          <w:iCs/>
          <w:sz w:val="24"/>
        </w:rPr>
        <w:t xml:space="preserve">1976 and of the Protocol </w:t>
      </w:r>
      <w:r w:rsidR="0008234F" w:rsidRPr="00950741">
        <w:rPr>
          <w:rFonts w:ascii="Times New Roman" w:hAnsi="Times New Roman"/>
          <w:i/>
          <w:iCs/>
          <w:sz w:val="24"/>
        </w:rPr>
        <w:t xml:space="preserve">of </w:t>
      </w:r>
      <w:r w:rsidRPr="00950741">
        <w:rPr>
          <w:rFonts w:ascii="Times New Roman" w:hAnsi="Times New Roman"/>
          <w:i/>
          <w:iCs/>
          <w:sz w:val="24"/>
        </w:rPr>
        <w:t>1996</w:t>
      </w:r>
      <w:r w:rsidR="00835ECB" w:rsidRPr="00950741">
        <w:rPr>
          <w:rFonts w:ascii="Times New Roman" w:hAnsi="Times New Roman"/>
          <w:i/>
          <w:iCs/>
          <w:sz w:val="24"/>
        </w:rPr>
        <w:t xml:space="preserve"> </w:t>
      </w:r>
      <w:r w:rsidR="00835ECB" w:rsidRPr="00950741">
        <w:rPr>
          <w:rFonts w:ascii="Times New Roman" w:hAnsi="Times New Roman"/>
          <w:sz w:val="24"/>
        </w:rPr>
        <w:t>(2000)</w:t>
      </w:r>
      <w:r w:rsidR="0008234F" w:rsidRPr="00950741">
        <w:rPr>
          <w:rFonts w:ascii="Times New Roman" w:hAnsi="Times New Roman"/>
          <w:sz w:val="24"/>
        </w:rPr>
        <w:t xml:space="preserve"> </w:t>
      </w:r>
      <w:r w:rsidRPr="00950741">
        <w:rPr>
          <w:rFonts w:ascii="Times New Roman" w:hAnsi="Times New Roman"/>
          <w:sz w:val="24"/>
        </w:rPr>
        <w:t>at 50</w:t>
      </w:r>
      <w:r w:rsidR="00321C33" w:rsidRPr="00950741">
        <w:rPr>
          <w:rFonts w:ascii="Times New Roman" w:hAnsi="Times New Roman"/>
          <w:sz w:val="24"/>
        </w:rPr>
        <w:t>4-</w:t>
      </w:r>
      <w:r w:rsidRPr="00950741">
        <w:rPr>
          <w:rFonts w:ascii="Times New Roman" w:hAnsi="Times New Roman"/>
          <w:sz w:val="24"/>
        </w:rPr>
        <w:t>50</w:t>
      </w:r>
      <w:r w:rsidR="00321C33" w:rsidRPr="00950741">
        <w:rPr>
          <w:rFonts w:ascii="Times New Roman" w:hAnsi="Times New Roman"/>
          <w:sz w:val="24"/>
        </w:rPr>
        <w:t>5</w:t>
      </w:r>
      <w:r w:rsidRPr="00950741">
        <w:rPr>
          <w:rFonts w:ascii="Times New Roman" w:hAnsi="Times New Roman"/>
          <w:sz w:val="24"/>
        </w:rPr>
        <w:t xml:space="preserve">. </w:t>
      </w:r>
    </w:p>
  </w:footnote>
  <w:footnote w:id="73">
    <w:p w14:paraId="022A9444" w14:textId="4AE58D3C" w:rsidR="000F0D0C" w:rsidRPr="00950741" w:rsidRDefault="000F0D0C"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t>See (2023) 26 HKCFAR 297 at 316 [39]</w:t>
      </w:r>
      <w:r w:rsidR="007E1D24" w:rsidRPr="00950741">
        <w:rPr>
          <w:rFonts w:ascii="Times New Roman" w:hAnsi="Times New Roman"/>
          <w:sz w:val="24"/>
        </w:rPr>
        <w:t>,</w:t>
      </w:r>
      <w:r w:rsidR="0033464C" w:rsidRPr="00950741">
        <w:rPr>
          <w:rFonts w:ascii="Times New Roman" w:hAnsi="Times New Roman"/>
          <w:sz w:val="24"/>
        </w:rPr>
        <w:t xml:space="preserve"> referring to </w:t>
      </w:r>
      <w:r w:rsidR="0033464C" w:rsidRPr="00950741">
        <w:rPr>
          <w:rFonts w:ascii="Times New Roman" w:hAnsi="Times New Roman"/>
          <w:i/>
          <w:iCs/>
          <w:sz w:val="24"/>
        </w:rPr>
        <w:t>Twitt Navigation</w:t>
      </w:r>
      <w:r w:rsidR="0033464C" w:rsidRPr="00950741">
        <w:rPr>
          <w:rFonts w:ascii="Times New Roman" w:hAnsi="Times New Roman"/>
          <w:sz w:val="24"/>
        </w:rPr>
        <w:t xml:space="preserve">, Hordaland District Court, </w:t>
      </w:r>
      <w:r w:rsidR="007D49F3" w:rsidRPr="00950741">
        <w:rPr>
          <w:rFonts w:ascii="Times New Roman" w:hAnsi="Times New Roman"/>
          <w:sz w:val="24"/>
        </w:rPr>
        <w:t>21-058354TVI-THOD/TBER</w:t>
      </w:r>
      <w:r w:rsidR="0033464C" w:rsidRPr="00950741">
        <w:rPr>
          <w:rFonts w:ascii="Times New Roman" w:hAnsi="Times New Roman"/>
          <w:sz w:val="24"/>
        </w:rPr>
        <w:t>, 16</w:t>
      </w:r>
      <w:r w:rsidR="00CD1FA7" w:rsidRPr="00950741">
        <w:rPr>
          <w:rFonts w:ascii="Times New Roman" w:hAnsi="Times New Roman"/>
          <w:sz w:val="24"/>
        </w:rPr>
        <w:t> </w:t>
      </w:r>
      <w:r w:rsidR="0033464C" w:rsidRPr="00950741">
        <w:rPr>
          <w:rFonts w:ascii="Times New Roman" w:hAnsi="Times New Roman"/>
          <w:sz w:val="24"/>
        </w:rPr>
        <w:t>November 2021.</w:t>
      </w:r>
    </w:p>
  </w:footnote>
  <w:footnote w:id="74">
    <w:p w14:paraId="07661D22" w14:textId="2D0A8644" w:rsidR="00D80CB2" w:rsidRPr="00950741" w:rsidRDefault="00D80CB2"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B8191C" w:rsidRPr="00950741">
        <w:rPr>
          <w:rFonts w:ascii="Times New Roman" w:hAnsi="Times New Roman"/>
          <w:sz w:val="24"/>
        </w:rPr>
        <w:t xml:space="preserve">Gaskell and Forrest, </w:t>
      </w:r>
      <w:r w:rsidR="00B8191C" w:rsidRPr="00950741">
        <w:rPr>
          <w:rFonts w:ascii="Times New Roman" w:hAnsi="Times New Roman"/>
          <w:i/>
          <w:iCs/>
          <w:sz w:val="24"/>
        </w:rPr>
        <w:t>The Law of Wreck</w:t>
      </w:r>
      <w:r w:rsidR="00B8191C" w:rsidRPr="00950741">
        <w:rPr>
          <w:rFonts w:ascii="Times New Roman" w:hAnsi="Times New Roman"/>
          <w:sz w:val="24"/>
        </w:rPr>
        <w:t xml:space="preserve"> (2019) at 105.</w:t>
      </w:r>
    </w:p>
  </w:footnote>
  <w:footnote w:id="75">
    <w:p w14:paraId="09139538" w14:textId="5AFD26F3" w:rsidR="00B8191C" w:rsidRPr="00950741" w:rsidRDefault="00B8191C"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00C957A7" w:rsidRPr="00950741">
        <w:rPr>
          <w:rFonts w:ascii="Times New Roman" w:hAnsi="Times New Roman"/>
          <w:sz w:val="24"/>
        </w:rPr>
        <w:t>Martínez Gutiérrez</w:t>
      </w:r>
      <w:r w:rsidR="00876D75" w:rsidRPr="00950741">
        <w:rPr>
          <w:rFonts w:ascii="Times New Roman" w:hAnsi="Times New Roman"/>
          <w:sz w:val="24"/>
        </w:rPr>
        <w:t>,</w:t>
      </w:r>
      <w:r w:rsidR="00120A06" w:rsidRPr="00950741">
        <w:rPr>
          <w:rFonts w:ascii="Times New Roman" w:hAnsi="Times New Roman"/>
          <w:sz w:val="24"/>
        </w:rPr>
        <w:t xml:space="preserve"> </w:t>
      </w:r>
      <w:r w:rsidR="00120A06" w:rsidRPr="00950741">
        <w:rPr>
          <w:rFonts w:ascii="Times New Roman" w:hAnsi="Times New Roman"/>
          <w:i/>
          <w:iCs/>
          <w:sz w:val="24"/>
        </w:rPr>
        <w:t>Limitation of Liability in International Maritime Conventions</w:t>
      </w:r>
      <w:r w:rsidR="00120A06" w:rsidRPr="00950741">
        <w:rPr>
          <w:rFonts w:ascii="Times New Roman" w:hAnsi="Times New Roman"/>
          <w:sz w:val="24"/>
        </w:rPr>
        <w:t xml:space="preserve"> (2011) at </w:t>
      </w:r>
      <w:r w:rsidR="00F367BD" w:rsidRPr="00950741">
        <w:rPr>
          <w:rFonts w:ascii="Times New Roman" w:hAnsi="Times New Roman"/>
          <w:sz w:val="24"/>
        </w:rPr>
        <w:t>101.</w:t>
      </w:r>
    </w:p>
  </w:footnote>
  <w:footnote w:id="76">
    <w:p w14:paraId="078D7230" w14:textId="7B2AFCB5" w:rsidR="004F488B" w:rsidRPr="00950741" w:rsidRDefault="004F488B" w:rsidP="00950741">
      <w:pPr>
        <w:pStyle w:val="FootnoteText"/>
        <w:spacing w:line="280" w:lineRule="exact"/>
        <w:ind w:right="0"/>
        <w:jc w:val="both"/>
        <w:rPr>
          <w:rFonts w:ascii="Times New Roman" w:hAnsi="Times New Roman"/>
          <w:sz w:val="24"/>
        </w:rPr>
      </w:pPr>
      <w:r w:rsidRPr="00950741">
        <w:rPr>
          <w:rStyle w:val="FootnoteReference"/>
          <w:rFonts w:ascii="Times New Roman" w:hAnsi="Times New Roman"/>
          <w:sz w:val="22"/>
          <w:vertAlign w:val="baseline"/>
        </w:rPr>
        <w:footnoteRef/>
      </w:r>
      <w:r w:rsidRPr="00950741">
        <w:rPr>
          <w:rFonts w:ascii="Times New Roman" w:hAnsi="Times New Roman"/>
          <w:sz w:val="24"/>
        </w:rPr>
        <w:t xml:space="preserve"> </w:t>
      </w:r>
      <w:r w:rsidRPr="00950741">
        <w:rPr>
          <w:rFonts w:ascii="Times New Roman" w:hAnsi="Times New Roman"/>
          <w:sz w:val="24"/>
        </w:rPr>
        <w:tab/>
      </w:r>
      <w:r w:rsidRPr="00950741">
        <w:rPr>
          <w:rFonts w:ascii="Times New Roman" w:hAnsi="Times New Roman"/>
          <w:i/>
          <w:iCs/>
          <w:sz w:val="24"/>
        </w:rPr>
        <w:t>The Goliath</w:t>
      </w:r>
      <w:r w:rsidRPr="00950741">
        <w:rPr>
          <w:rFonts w:ascii="Times New Roman" w:hAnsi="Times New Roman"/>
          <w:sz w:val="24"/>
        </w:rPr>
        <w:t xml:space="preserve"> (2025) 310 FCR 64 at </w:t>
      </w:r>
      <w:r w:rsidR="006B22C4" w:rsidRPr="00950741">
        <w:rPr>
          <w:rFonts w:ascii="Times New Roman" w:hAnsi="Times New Roman"/>
          <w:sz w:val="24"/>
        </w:rPr>
        <w:t>87</w:t>
      </w:r>
      <w:r w:rsidRPr="00950741">
        <w:rPr>
          <w:rFonts w:ascii="Times New Roman" w:hAnsi="Times New Roman"/>
          <w:sz w:val="24"/>
        </w:rPr>
        <w:t xml:space="preserve"> </w:t>
      </w:r>
      <w:r w:rsidR="001A1214" w:rsidRPr="00950741">
        <w:rPr>
          <w:rFonts w:ascii="Times New Roman" w:hAnsi="Times New Roman"/>
          <w:sz w:val="24"/>
        </w:rPr>
        <w:t>[85].</w:t>
      </w:r>
    </w:p>
  </w:footnote>
  <w:footnote w:id="77">
    <w:p w14:paraId="2F15694F"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iCs/>
          <w:sz w:val="24"/>
        </w:rPr>
        <w:t>MSC Mediterranean Shipping Co SA v Conti 11 Container Schiffahrts-GmbH &amp; Co KG MS</w:t>
      </w:r>
      <w:r w:rsidRPr="009029C5">
        <w:rPr>
          <w:rFonts w:ascii="Times New Roman" w:hAnsi="Times New Roman"/>
          <w:sz w:val="24"/>
        </w:rPr>
        <w:t xml:space="preserve"> ("</w:t>
      </w:r>
      <w:r w:rsidRPr="009029C5">
        <w:rPr>
          <w:rFonts w:ascii="Times New Roman" w:hAnsi="Times New Roman"/>
          <w:i/>
          <w:iCs/>
          <w:sz w:val="24"/>
        </w:rPr>
        <w:t>The</w:t>
      </w:r>
      <w:r w:rsidRPr="009029C5">
        <w:rPr>
          <w:rFonts w:ascii="Times New Roman" w:hAnsi="Times New Roman"/>
          <w:sz w:val="24"/>
        </w:rPr>
        <w:t xml:space="preserve"> </w:t>
      </w:r>
      <w:r w:rsidRPr="009029C5">
        <w:rPr>
          <w:rFonts w:ascii="Times New Roman" w:hAnsi="Times New Roman"/>
          <w:i/>
          <w:iCs/>
          <w:sz w:val="24"/>
        </w:rPr>
        <w:t>Flaminia</w:t>
      </w:r>
      <w:r w:rsidRPr="009029C5">
        <w:rPr>
          <w:rFonts w:ascii="Times New Roman" w:hAnsi="Times New Roman"/>
          <w:sz w:val="24"/>
        </w:rPr>
        <w:t>") [2025] 1 WLR 1835 at 1838 [1]; [2025] 3 All ER 703 at 706.</w:t>
      </w:r>
    </w:p>
  </w:footnote>
  <w:footnote w:id="78">
    <w:p w14:paraId="6375B52B"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As amended by both the Protocol of 1996 to amend the Convention on Limitation of Liability for Maritime Claims, 1976 and Resolution LEG.5(99) (2012) adopted by the Legal Committee of the International Maritime Organization.</w:t>
      </w:r>
    </w:p>
  </w:footnote>
  <w:footnote w:id="79">
    <w:p w14:paraId="35B418AD"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LLMC Act, s 6.</w:t>
      </w:r>
    </w:p>
  </w:footnote>
  <w:footnote w:id="80">
    <w:p w14:paraId="59236775" w14:textId="77777777" w:rsidR="00AA57DC" w:rsidRPr="009029C5" w:rsidRDefault="00AA57DC" w:rsidP="009029C5">
      <w:pPr>
        <w:pStyle w:val="FootnoteText"/>
        <w:spacing w:line="280" w:lineRule="exact"/>
        <w:ind w:right="0"/>
        <w:jc w:val="both"/>
        <w:rPr>
          <w:rFonts w:ascii="Times New Roman" w:hAnsi="Times New Roman"/>
          <w:i/>
          <w:iCs/>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See </w:t>
      </w:r>
      <w:r w:rsidRPr="009029C5">
        <w:rPr>
          <w:rFonts w:ascii="Times New Roman" w:hAnsi="Times New Roman"/>
          <w:i/>
          <w:iCs/>
          <w:sz w:val="24"/>
        </w:rPr>
        <w:t xml:space="preserve">Evans v Air Canada </w:t>
      </w:r>
      <w:r w:rsidRPr="009029C5">
        <w:rPr>
          <w:rFonts w:ascii="Times New Roman" w:hAnsi="Times New Roman"/>
          <w:sz w:val="24"/>
        </w:rPr>
        <w:t>(2025) 99 ALJR 941 at 944-945 [6]</w:t>
      </w:r>
      <w:r w:rsidRPr="009029C5">
        <w:rPr>
          <w:rFonts w:ascii="Times New Roman" w:hAnsi="Times New Roman"/>
          <w:sz w:val="24"/>
        </w:rPr>
        <w:noBreakHyphen/>
        <w:t>[8]; 423 ALR 155 at 157-158. See also Vienna Convention on the Law of Treaties (1969), Arts 31(1)</w:t>
      </w:r>
      <w:r>
        <w:rPr>
          <w:rFonts w:ascii="Times New Roman" w:hAnsi="Times New Roman"/>
          <w:sz w:val="24"/>
        </w:rPr>
        <w:noBreakHyphen/>
      </w:r>
      <w:r w:rsidRPr="009029C5">
        <w:rPr>
          <w:rFonts w:ascii="Times New Roman" w:hAnsi="Times New Roman"/>
          <w:sz w:val="24"/>
        </w:rPr>
        <w:t>(2), 32.</w:t>
      </w:r>
    </w:p>
  </w:footnote>
  <w:footnote w:id="81">
    <w:p w14:paraId="3E44DFB3"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Vienna Convention, Art 2(1)(d).</w:t>
      </w:r>
    </w:p>
  </w:footnote>
  <w:footnote w:id="82">
    <w:p w14:paraId="7346BAF4"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See, eg, </w:t>
      </w:r>
      <w:r w:rsidRPr="009029C5">
        <w:rPr>
          <w:rFonts w:ascii="Times New Roman" w:hAnsi="Times New Roman"/>
          <w:i/>
          <w:iCs/>
          <w:sz w:val="24"/>
        </w:rPr>
        <w:t>Smith v The Queen</w:t>
      </w:r>
      <w:r w:rsidRPr="009029C5">
        <w:rPr>
          <w:rFonts w:ascii="Times New Roman" w:hAnsi="Times New Roman"/>
          <w:sz w:val="24"/>
        </w:rPr>
        <w:t xml:space="preserve"> (1994) 181 CLR 338 at 348.</w:t>
      </w:r>
    </w:p>
  </w:footnote>
  <w:footnote w:id="83">
    <w:p w14:paraId="7B7F162D"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iCs/>
          <w:sz w:val="24"/>
        </w:rPr>
        <w:t>Perusahaan Perseroan (Persero) PT Pertamina v Trevaskis Ltd</w:t>
      </w:r>
      <w:r w:rsidRPr="009029C5">
        <w:rPr>
          <w:rFonts w:ascii="Times New Roman" w:hAnsi="Times New Roman"/>
          <w:sz w:val="24"/>
        </w:rPr>
        <w:t xml:space="preserve"> ("</w:t>
      </w:r>
      <w:r w:rsidRPr="009029C5">
        <w:rPr>
          <w:rFonts w:ascii="Times New Roman" w:hAnsi="Times New Roman"/>
          <w:i/>
          <w:sz w:val="24"/>
        </w:rPr>
        <w:t>The Star Centurion</w:t>
      </w:r>
      <w:r w:rsidRPr="009029C5">
        <w:rPr>
          <w:rFonts w:ascii="Times New Roman" w:hAnsi="Times New Roman"/>
          <w:iCs/>
          <w:sz w:val="24"/>
        </w:rPr>
        <w:t>")</w:t>
      </w:r>
      <w:r w:rsidRPr="009029C5">
        <w:rPr>
          <w:rFonts w:ascii="Times New Roman" w:hAnsi="Times New Roman"/>
          <w:i/>
          <w:sz w:val="24"/>
        </w:rPr>
        <w:t xml:space="preserve"> </w:t>
      </w:r>
      <w:r w:rsidRPr="009029C5">
        <w:rPr>
          <w:rFonts w:ascii="Times New Roman" w:hAnsi="Times New Roman"/>
          <w:sz w:val="24"/>
        </w:rPr>
        <w:t>(2023) 26 HKCFAR 297 at 313 [31].</w:t>
      </w:r>
    </w:p>
  </w:footnote>
  <w:footnote w:id="84">
    <w:p w14:paraId="5582C025"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sz w:val="24"/>
        </w:rPr>
        <w:t xml:space="preserve">The Flaminia </w:t>
      </w:r>
      <w:r w:rsidRPr="009029C5">
        <w:rPr>
          <w:rFonts w:ascii="Times New Roman" w:hAnsi="Times New Roman"/>
          <w:sz w:val="24"/>
        </w:rPr>
        <w:t>[2025] 1 WLR 1835 at 1853-1854 [90]-[92], 1866 [153]; [2025] 3 All</w:t>
      </w:r>
      <w:r>
        <w:rPr>
          <w:rFonts w:ascii="Times New Roman" w:hAnsi="Times New Roman"/>
          <w:sz w:val="24"/>
        </w:rPr>
        <w:t> </w:t>
      </w:r>
      <w:r w:rsidRPr="009029C5">
        <w:rPr>
          <w:rFonts w:ascii="Times New Roman" w:hAnsi="Times New Roman"/>
          <w:sz w:val="24"/>
        </w:rPr>
        <w:t xml:space="preserve">ER 703 at 721, 733. </w:t>
      </w:r>
    </w:p>
  </w:footnote>
  <w:footnote w:id="85">
    <w:p w14:paraId="141238C4" w14:textId="77777777" w:rsidR="00AA57DC" w:rsidRPr="009029C5" w:rsidRDefault="00AA57DC" w:rsidP="009029C5">
      <w:pPr>
        <w:pStyle w:val="FootnoteText"/>
        <w:spacing w:line="280" w:lineRule="exact"/>
        <w:ind w:right="0"/>
        <w:jc w:val="both"/>
        <w:rPr>
          <w:rFonts w:ascii="Times New Roman" w:hAnsi="Times New Roman"/>
          <w:i/>
          <w:iCs/>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iCs/>
          <w:sz w:val="24"/>
        </w:rPr>
        <w:t>Kingdom of Spain v Infrastructure Services Luxembourg Sàrl</w:t>
      </w:r>
      <w:r w:rsidRPr="009029C5">
        <w:rPr>
          <w:rFonts w:ascii="Times New Roman" w:hAnsi="Times New Roman"/>
          <w:sz w:val="24"/>
        </w:rPr>
        <w:t xml:space="preserve"> (2023) 275 CLR 292 at 316 [39]; </w:t>
      </w:r>
      <w:r w:rsidRPr="009029C5">
        <w:rPr>
          <w:rFonts w:ascii="Times New Roman" w:hAnsi="Times New Roman"/>
          <w:i/>
          <w:iCs/>
          <w:sz w:val="24"/>
        </w:rPr>
        <w:t xml:space="preserve">Evans </w:t>
      </w:r>
      <w:r w:rsidRPr="009029C5">
        <w:rPr>
          <w:rFonts w:ascii="Times New Roman" w:hAnsi="Times New Roman"/>
          <w:sz w:val="24"/>
        </w:rPr>
        <w:t>(2025) 99 ALJR 941 at 945 [8]; 423 ALR 155 at 158. See also Vienna Convention, Art 32.</w:t>
      </w:r>
      <w:r w:rsidRPr="009029C5">
        <w:rPr>
          <w:rFonts w:ascii="Times New Roman" w:hAnsi="Times New Roman"/>
          <w:i/>
          <w:iCs/>
          <w:sz w:val="24"/>
        </w:rPr>
        <w:t xml:space="preserve"> </w:t>
      </w:r>
    </w:p>
  </w:footnote>
  <w:footnote w:id="86">
    <w:p w14:paraId="1A186B35"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Comité Maritime International, "Introductory Report to the Intergovernmental Maritime Consultative Organization (IMCO) on the Revision of the International Convention relating to the Limitation of the Liability of Owners of Sea-Going Ships and Protocol of Signature (Brussels, October 10th, 1957)", in </w:t>
      </w:r>
      <w:r w:rsidRPr="009029C5">
        <w:rPr>
          <w:rFonts w:ascii="Times New Roman" w:hAnsi="Times New Roman"/>
          <w:i/>
          <w:iCs/>
          <w:sz w:val="24"/>
        </w:rPr>
        <w:t xml:space="preserve">Documentation III </w:t>
      </w:r>
      <w:r w:rsidRPr="009029C5">
        <w:rPr>
          <w:rFonts w:ascii="Times New Roman" w:hAnsi="Times New Roman"/>
          <w:sz w:val="24"/>
        </w:rPr>
        <w:t>(1974) 380 at 386-388.</w:t>
      </w:r>
    </w:p>
  </w:footnote>
  <w:footnote w:id="87">
    <w:p w14:paraId="35D585FA"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Comité Maritime International, "Introductory Report to the Intergovernmental Maritime Consultative Organization (IMCO) on the Revision of the International Convention relating to the Limitation of the Liability of Owners of Sea-Going Ships and Protocol of Signature (Brussels, October 10th, 1957)", in </w:t>
      </w:r>
      <w:r w:rsidRPr="009029C5">
        <w:rPr>
          <w:rFonts w:ascii="Times New Roman" w:hAnsi="Times New Roman"/>
          <w:i/>
          <w:iCs/>
          <w:sz w:val="24"/>
        </w:rPr>
        <w:t xml:space="preserve">Documentation III </w:t>
      </w:r>
      <w:r w:rsidRPr="009029C5">
        <w:rPr>
          <w:rFonts w:ascii="Times New Roman" w:hAnsi="Times New Roman"/>
          <w:sz w:val="24"/>
        </w:rPr>
        <w:t>(1974) 380 at 400.</w:t>
      </w:r>
    </w:p>
  </w:footnote>
  <w:footnote w:id="88">
    <w:p w14:paraId="5B81AAB9"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Inter-Governmental Maritime Consultative Organization, </w:t>
      </w:r>
      <w:r w:rsidRPr="009029C5">
        <w:rPr>
          <w:rFonts w:ascii="Times New Roman" w:hAnsi="Times New Roman"/>
          <w:i/>
          <w:iCs/>
          <w:sz w:val="24"/>
        </w:rPr>
        <w:t>Report of the Legal Committee on the Work of Its Twenty-Fifth Session</w:t>
      </w:r>
      <w:r w:rsidRPr="009029C5">
        <w:rPr>
          <w:rFonts w:ascii="Times New Roman" w:hAnsi="Times New Roman"/>
          <w:sz w:val="24"/>
        </w:rPr>
        <w:t xml:space="preserve"> (1975) at 5 [27]. </w:t>
      </w:r>
    </w:p>
  </w:footnote>
  <w:footnote w:id="89">
    <w:p w14:paraId="187F726C"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Inter-Governmental Maritime Consultative Organization, </w:t>
      </w:r>
      <w:r w:rsidRPr="009029C5">
        <w:rPr>
          <w:rFonts w:ascii="Times New Roman" w:hAnsi="Times New Roman"/>
          <w:i/>
          <w:iCs/>
          <w:sz w:val="24"/>
        </w:rPr>
        <w:t>Report of the Legal Committee on the Work of Its Twenty-Fifth Session</w:t>
      </w:r>
      <w:r w:rsidRPr="009029C5">
        <w:rPr>
          <w:rFonts w:ascii="Times New Roman" w:hAnsi="Times New Roman"/>
          <w:sz w:val="24"/>
        </w:rPr>
        <w:t xml:space="preserve"> (1975) at 6 [29].</w:t>
      </w:r>
    </w:p>
  </w:footnote>
  <w:footnote w:id="90">
    <w:p w14:paraId="6C554C55"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See, eg, International Maritime Organization, </w:t>
      </w:r>
      <w:r w:rsidRPr="009029C5">
        <w:rPr>
          <w:rFonts w:ascii="Times New Roman" w:hAnsi="Times New Roman"/>
          <w:i/>
          <w:iCs/>
          <w:sz w:val="24"/>
        </w:rPr>
        <w:t>Official Records of the International Conference on the Limitation of Liability for Maritime Claims, 1976</w:t>
      </w:r>
      <w:r w:rsidRPr="009029C5">
        <w:rPr>
          <w:rFonts w:ascii="Times New Roman" w:hAnsi="Times New Roman"/>
          <w:sz w:val="24"/>
        </w:rPr>
        <w:t xml:space="preserve"> (1983) at 148, 150-151, 232-234, 289, 367-368. Other delegations considered that wreck removal claims should be subject to limitation, or alternatively given priority, consistently</w:t>
      </w:r>
      <w:r>
        <w:rPr>
          <w:rFonts w:ascii="Times New Roman" w:hAnsi="Times New Roman"/>
          <w:sz w:val="24"/>
        </w:rPr>
        <w:t> </w:t>
      </w:r>
      <w:r w:rsidRPr="009029C5">
        <w:rPr>
          <w:rFonts w:ascii="Times New Roman" w:hAnsi="Times New Roman"/>
          <w:sz w:val="24"/>
        </w:rPr>
        <w:t xml:space="preserve">with the position for damage to harbour works, basins and waterways and aids to navigation under Art 6(3) of the 1976 Convention: at 231-232, 240. </w:t>
      </w:r>
    </w:p>
  </w:footnote>
  <w:footnote w:id="91">
    <w:p w14:paraId="1F5E5470"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See comments made by the delegates for India and Singapore in International Maritime Organization, </w:t>
      </w:r>
      <w:r w:rsidRPr="009029C5">
        <w:rPr>
          <w:rFonts w:ascii="Times New Roman" w:hAnsi="Times New Roman"/>
          <w:i/>
          <w:iCs/>
          <w:sz w:val="24"/>
        </w:rPr>
        <w:t>Official Records of the International Conference on the</w:t>
      </w:r>
      <w:r>
        <w:rPr>
          <w:rFonts w:ascii="Times New Roman" w:hAnsi="Times New Roman"/>
          <w:i/>
          <w:iCs/>
          <w:sz w:val="24"/>
        </w:rPr>
        <w:t> </w:t>
      </w:r>
      <w:r w:rsidRPr="009029C5">
        <w:rPr>
          <w:rFonts w:ascii="Times New Roman" w:hAnsi="Times New Roman"/>
          <w:i/>
          <w:iCs/>
          <w:sz w:val="24"/>
        </w:rPr>
        <w:t>Limitation of Liability for Maritime Claims, 1976</w:t>
      </w:r>
      <w:r w:rsidRPr="009029C5">
        <w:rPr>
          <w:rFonts w:ascii="Times New Roman" w:hAnsi="Times New Roman"/>
          <w:sz w:val="24"/>
        </w:rPr>
        <w:t xml:space="preserve"> (1983) at 232, 233. </w:t>
      </w:r>
    </w:p>
  </w:footnote>
  <w:footnote w:id="92">
    <w:p w14:paraId="00DA1466"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A "compromise solution" – based on the assumption that claims in respect of wreck removal should be included among claims subject to limitations, but States should be entitled to make a reservation in respect of such claims – was approved: International Maritime Organization, </w:t>
      </w:r>
      <w:r w:rsidRPr="009029C5">
        <w:rPr>
          <w:rFonts w:ascii="Times New Roman" w:hAnsi="Times New Roman"/>
          <w:i/>
          <w:iCs/>
          <w:sz w:val="24"/>
        </w:rPr>
        <w:t>Official Records of the International Conference on the Limitation of Liability for Maritime Claims, 1976</w:t>
      </w:r>
      <w:r w:rsidRPr="009029C5">
        <w:rPr>
          <w:rFonts w:ascii="Times New Roman" w:hAnsi="Times New Roman"/>
          <w:sz w:val="24"/>
        </w:rPr>
        <w:t xml:space="preserve"> (1983) at 203</w:t>
      </w:r>
      <w:r>
        <w:rPr>
          <w:rFonts w:ascii="Times New Roman" w:hAnsi="Times New Roman"/>
          <w:sz w:val="24"/>
        </w:rPr>
        <w:noBreakHyphen/>
      </w:r>
      <w:r w:rsidRPr="009029C5">
        <w:rPr>
          <w:rFonts w:ascii="Times New Roman" w:hAnsi="Times New Roman"/>
          <w:sz w:val="24"/>
        </w:rPr>
        <w:t>204, 383</w:t>
      </w:r>
      <w:r w:rsidRPr="009029C5">
        <w:rPr>
          <w:rFonts w:ascii="Times New Roman" w:hAnsi="Times New Roman"/>
          <w:sz w:val="24"/>
        </w:rPr>
        <w:noBreakHyphen/>
        <w:t>384.</w:t>
      </w:r>
    </w:p>
  </w:footnote>
  <w:footnote w:id="93">
    <w:p w14:paraId="494D3A03"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Comité Maritime International and Berlingieri, </w:t>
      </w:r>
      <w:r w:rsidRPr="009029C5">
        <w:rPr>
          <w:rFonts w:ascii="Times New Roman" w:hAnsi="Times New Roman"/>
          <w:i/>
          <w:iCs/>
          <w:sz w:val="24"/>
        </w:rPr>
        <w:t>The Travaux Préparatoires of the</w:t>
      </w:r>
      <w:r>
        <w:rPr>
          <w:rFonts w:ascii="Times New Roman" w:hAnsi="Times New Roman"/>
          <w:i/>
          <w:iCs/>
          <w:sz w:val="24"/>
        </w:rPr>
        <w:t> </w:t>
      </w:r>
      <w:r w:rsidRPr="009029C5">
        <w:rPr>
          <w:rFonts w:ascii="Times New Roman" w:hAnsi="Times New Roman"/>
          <w:i/>
          <w:iCs/>
          <w:sz w:val="24"/>
        </w:rPr>
        <w:t>LLMC Convention, 1976 and of the Protocol of 1996</w:t>
      </w:r>
      <w:r w:rsidRPr="009029C5">
        <w:rPr>
          <w:rFonts w:ascii="Times New Roman" w:hAnsi="Times New Roman"/>
          <w:sz w:val="24"/>
        </w:rPr>
        <w:t xml:space="preserve"> (2000) at 504-505.</w:t>
      </w:r>
    </w:p>
  </w:footnote>
  <w:footnote w:id="94">
    <w:p w14:paraId="32B75E55"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Comité Maritime International and Berlingieri, </w:t>
      </w:r>
      <w:r w:rsidRPr="009029C5">
        <w:rPr>
          <w:rFonts w:ascii="Times New Roman" w:hAnsi="Times New Roman"/>
          <w:i/>
          <w:iCs/>
          <w:sz w:val="24"/>
        </w:rPr>
        <w:t>The Travaux Préparatoires of the</w:t>
      </w:r>
      <w:r>
        <w:rPr>
          <w:rFonts w:ascii="Times New Roman" w:hAnsi="Times New Roman"/>
          <w:i/>
          <w:iCs/>
          <w:sz w:val="24"/>
        </w:rPr>
        <w:t> </w:t>
      </w:r>
      <w:r w:rsidRPr="009029C5">
        <w:rPr>
          <w:rFonts w:ascii="Times New Roman" w:hAnsi="Times New Roman"/>
          <w:i/>
          <w:iCs/>
          <w:sz w:val="24"/>
        </w:rPr>
        <w:t>LLMC Convention, 1976 and of the Protocol of 1996</w:t>
      </w:r>
      <w:r w:rsidRPr="009029C5">
        <w:rPr>
          <w:rFonts w:ascii="Times New Roman" w:hAnsi="Times New Roman"/>
          <w:sz w:val="24"/>
        </w:rPr>
        <w:t xml:space="preserve"> (2000) at 504.</w:t>
      </w:r>
    </w:p>
  </w:footnote>
  <w:footnote w:id="95">
    <w:p w14:paraId="3FAAAEA2"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iCs/>
          <w:sz w:val="24"/>
        </w:rPr>
        <w:t xml:space="preserve">Povey v Qantas Airways Ltd </w:t>
      </w:r>
      <w:r w:rsidRPr="009029C5">
        <w:rPr>
          <w:rFonts w:ascii="Times New Roman" w:hAnsi="Times New Roman"/>
          <w:sz w:val="24"/>
        </w:rPr>
        <w:t>(2005) 223 CLR 189 at 202 [25].</w:t>
      </w:r>
    </w:p>
  </w:footnote>
  <w:footnote w:id="96">
    <w:p w14:paraId="11FA48D5"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ECLI:NL:HR:2018:140, Supreme Court of the Netherlands, 2 February 2018 at [3.6.9].</w:t>
      </w:r>
    </w:p>
  </w:footnote>
  <w:footnote w:id="97">
    <w:p w14:paraId="49C8CDE6"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iCs/>
          <w:sz w:val="24"/>
        </w:rPr>
        <w:t>The Wisdom</w:t>
      </w:r>
      <w:r w:rsidRPr="009029C5">
        <w:rPr>
          <w:rFonts w:ascii="Times New Roman" w:hAnsi="Times New Roman"/>
          <w:sz w:val="24"/>
        </w:rPr>
        <w:t>,</w:t>
      </w:r>
      <w:r w:rsidRPr="009029C5">
        <w:rPr>
          <w:rFonts w:ascii="Times New Roman" w:hAnsi="Times New Roman"/>
          <w:i/>
          <w:iCs/>
          <w:sz w:val="24"/>
        </w:rPr>
        <w:t xml:space="preserve"> </w:t>
      </w:r>
      <w:r w:rsidRPr="009029C5">
        <w:rPr>
          <w:rFonts w:ascii="Times New Roman" w:hAnsi="Times New Roman"/>
          <w:sz w:val="24"/>
        </w:rPr>
        <w:t>ECLI:NL:HR:2018:140, Supreme Court of the Netherlands, 2</w:t>
      </w:r>
      <w:r>
        <w:rPr>
          <w:rFonts w:ascii="Times New Roman" w:hAnsi="Times New Roman"/>
          <w:sz w:val="24"/>
        </w:rPr>
        <w:t> </w:t>
      </w:r>
      <w:r w:rsidRPr="009029C5">
        <w:rPr>
          <w:rFonts w:ascii="Times New Roman" w:hAnsi="Times New Roman"/>
          <w:sz w:val="24"/>
        </w:rPr>
        <w:t>February 2018 at [3.6.8]-[3.6.9].</w:t>
      </w:r>
    </w:p>
  </w:footnote>
  <w:footnote w:id="98">
    <w:p w14:paraId="378FC513"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iCs/>
          <w:sz w:val="24"/>
        </w:rPr>
        <w:t>The Wisdom</w:t>
      </w:r>
      <w:r w:rsidRPr="009029C5">
        <w:rPr>
          <w:rFonts w:ascii="Times New Roman" w:hAnsi="Times New Roman"/>
          <w:sz w:val="24"/>
        </w:rPr>
        <w:t>,</w:t>
      </w:r>
      <w:r w:rsidRPr="009029C5">
        <w:rPr>
          <w:rFonts w:ascii="Times New Roman" w:hAnsi="Times New Roman"/>
          <w:i/>
          <w:iCs/>
          <w:sz w:val="24"/>
        </w:rPr>
        <w:t xml:space="preserve"> </w:t>
      </w:r>
      <w:r w:rsidRPr="009029C5">
        <w:rPr>
          <w:rFonts w:ascii="Times New Roman" w:hAnsi="Times New Roman"/>
          <w:sz w:val="24"/>
        </w:rPr>
        <w:t>ECLI:NL:HR:2018:140, Supreme Court of the Netherlands, 2</w:t>
      </w:r>
      <w:r>
        <w:rPr>
          <w:rFonts w:ascii="Times New Roman" w:hAnsi="Times New Roman"/>
          <w:sz w:val="24"/>
        </w:rPr>
        <w:t> </w:t>
      </w:r>
      <w:r w:rsidRPr="009029C5">
        <w:rPr>
          <w:rFonts w:ascii="Times New Roman" w:hAnsi="Times New Roman"/>
          <w:sz w:val="24"/>
        </w:rPr>
        <w:t>February 2018 at [3.5]; see also [3.6.9].</w:t>
      </w:r>
    </w:p>
  </w:footnote>
  <w:footnote w:id="99">
    <w:p w14:paraId="21883F8C"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(2023) 26 HKCFAR 297 at 322-323 [60].</w:t>
      </w:r>
    </w:p>
  </w:footnote>
  <w:footnote w:id="100">
    <w:p w14:paraId="02FAA8F1"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iCs/>
          <w:sz w:val="24"/>
        </w:rPr>
        <w:t>The Star Centurion</w:t>
      </w:r>
      <w:r w:rsidRPr="009029C5">
        <w:rPr>
          <w:rFonts w:ascii="Times New Roman" w:hAnsi="Times New Roman"/>
          <w:sz w:val="24"/>
        </w:rPr>
        <w:t xml:space="preserve"> (2023) 26 HKCFAR 297 at 314-315 [34]. </w:t>
      </w:r>
    </w:p>
  </w:footnote>
  <w:footnote w:id="101">
    <w:p w14:paraId="652FD92D"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iCs/>
          <w:sz w:val="24"/>
        </w:rPr>
        <w:t>The Star Centurion</w:t>
      </w:r>
      <w:r w:rsidRPr="009029C5">
        <w:rPr>
          <w:rFonts w:ascii="Times New Roman" w:hAnsi="Times New Roman"/>
          <w:sz w:val="24"/>
        </w:rPr>
        <w:t xml:space="preserve"> (2023) 26 HKCFAR 297 at 314 [31].</w:t>
      </w:r>
    </w:p>
  </w:footnote>
  <w:footnote w:id="102">
    <w:p w14:paraId="77AB72F5"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[2025] 1 WLR 1835; [2025] 3 All ER 703.</w:t>
      </w:r>
    </w:p>
  </w:footnote>
  <w:footnote w:id="103">
    <w:p w14:paraId="07660928"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Being the ship by reference to whose tonnage the limitation is calculated: see, eg, </w:t>
      </w:r>
      <w:r w:rsidRPr="009029C5">
        <w:rPr>
          <w:rFonts w:ascii="Times New Roman" w:hAnsi="Times New Roman"/>
          <w:i/>
          <w:sz w:val="24"/>
        </w:rPr>
        <w:t>The Flaminia</w:t>
      </w:r>
      <w:r w:rsidRPr="009029C5">
        <w:rPr>
          <w:rFonts w:ascii="Times New Roman" w:hAnsi="Times New Roman"/>
          <w:sz w:val="24"/>
        </w:rPr>
        <w:t xml:space="preserve"> [2025] 1 WLR 1835 at 1852 [79]; [2025] 3 All ER 703 at 719. As</w:t>
      </w:r>
      <w:r>
        <w:rPr>
          <w:rFonts w:ascii="Times New Roman" w:hAnsi="Times New Roman"/>
          <w:sz w:val="24"/>
        </w:rPr>
        <w:t> </w:t>
      </w:r>
      <w:r w:rsidRPr="009029C5">
        <w:rPr>
          <w:rFonts w:ascii="Times New Roman" w:hAnsi="Times New Roman"/>
          <w:sz w:val="24"/>
        </w:rPr>
        <w:t>a</w:t>
      </w:r>
      <w:r>
        <w:rPr>
          <w:rFonts w:ascii="Times New Roman" w:hAnsi="Times New Roman"/>
          <w:sz w:val="24"/>
        </w:rPr>
        <w:t> </w:t>
      </w:r>
      <w:r w:rsidRPr="009029C5">
        <w:rPr>
          <w:rFonts w:ascii="Times New Roman" w:hAnsi="Times New Roman"/>
          <w:sz w:val="24"/>
        </w:rPr>
        <w:t>matter of English law, damage to the limiting ship is not limitable under Art</w:t>
      </w:r>
      <w:r>
        <w:rPr>
          <w:rFonts w:ascii="Times New Roman" w:hAnsi="Times New Roman"/>
          <w:sz w:val="24"/>
        </w:rPr>
        <w:t> </w:t>
      </w:r>
      <w:r w:rsidRPr="009029C5">
        <w:rPr>
          <w:rFonts w:ascii="Times New Roman" w:hAnsi="Times New Roman"/>
          <w:sz w:val="24"/>
        </w:rPr>
        <w:t xml:space="preserve">2(1)(a): </w:t>
      </w:r>
      <w:r w:rsidRPr="009029C5">
        <w:rPr>
          <w:rFonts w:ascii="Times New Roman" w:hAnsi="Times New Roman"/>
          <w:i/>
          <w:sz w:val="24"/>
        </w:rPr>
        <w:t>The Flaminia</w:t>
      </w:r>
      <w:r w:rsidRPr="009029C5">
        <w:rPr>
          <w:rFonts w:ascii="Times New Roman" w:hAnsi="Times New Roman"/>
          <w:sz w:val="24"/>
        </w:rPr>
        <w:t xml:space="preserve"> [2025] 1 WLR 1835 at 1846-1852 [58]-[79]; [2025] 3 All</w:t>
      </w:r>
      <w:r>
        <w:rPr>
          <w:rFonts w:ascii="Times New Roman" w:hAnsi="Times New Roman"/>
          <w:sz w:val="24"/>
        </w:rPr>
        <w:t> </w:t>
      </w:r>
      <w:r w:rsidRPr="009029C5">
        <w:rPr>
          <w:rFonts w:ascii="Times New Roman" w:hAnsi="Times New Roman"/>
          <w:sz w:val="24"/>
        </w:rPr>
        <w:t>ER 703 at 714-719.</w:t>
      </w:r>
    </w:p>
  </w:footnote>
  <w:footnote w:id="104">
    <w:p w14:paraId="707A0996"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sz w:val="24"/>
        </w:rPr>
        <w:t>The Flaminia</w:t>
      </w:r>
      <w:r w:rsidRPr="009029C5">
        <w:rPr>
          <w:rFonts w:ascii="Times New Roman" w:hAnsi="Times New Roman"/>
          <w:sz w:val="24"/>
        </w:rPr>
        <w:t xml:space="preserve"> [2025] 1 WLR 1835 at 1867 [156]; [2025] 3 All ER 703 at 733.</w:t>
      </w:r>
    </w:p>
  </w:footnote>
  <w:footnote w:id="105">
    <w:p w14:paraId="14CEB954"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t xml:space="preserve">See, eg, </w:t>
      </w:r>
      <w:r w:rsidRPr="009029C5">
        <w:rPr>
          <w:rFonts w:ascii="Times New Roman" w:hAnsi="Times New Roman"/>
          <w:i/>
          <w:sz w:val="24"/>
        </w:rPr>
        <w:t>The Flaminia</w:t>
      </w:r>
      <w:r w:rsidRPr="009029C5">
        <w:rPr>
          <w:rFonts w:ascii="Times New Roman" w:hAnsi="Times New Roman"/>
          <w:sz w:val="24"/>
        </w:rPr>
        <w:t xml:space="preserve"> [2025] 1 WLR 1835 at 1862 [130], 1866-1867 [153]-[155]; [2025] 3 All ER 703 at 729, 733.</w:t>
      </w:r>
    </w:p>
  </w:footnote>
  <w:footnote w:id="106">
    <w:p w14:paraId="59A88C7A" w14:textId="77777777" w:rsidR="00AA57DC" w:rsidRPr="009029C5" w:rsidRDefault="00AA57DC" w:rsidP="009029C5">
      <w:pPr>
        <w:pStyle w:val="FootnoteText"/>
        <w:spacing w:line="280" w:lineRule="exact"/>
        <w:ind w:right="0"/>
        <w:jc w:val="both"/>
        <w:rPr>
          <w:rFonts w:ascii="Times New Roman" w:hAnsi="Times New Roman"/>
          <w:sz w:val="24"/>
        </w:rPr>
      </w:pPr>
      <w:r w:rsidRPr="009029C5">
        <w:rPr>
          <w:rStyle w:val="FootnoteReference"/>
          <w:rFonts w:ascii="Times New Roman" w:hAnsi="Times New Roman"/>
          <w:sz w:val="22"/>
          <w:vertAlign w:val="baseline"/>
        </w:rPr>
        <w:footnoteRef/>
      </w:r>
      <w:r w:rsidRPr="009029C5">
        <w:rPr>
          <w:rFonts w:ascii="Times New Roman" w:hAnsi="Times New Roman"/>
          <w:sz w:val="24"/>
        </w:rPr>
        <w:t xml:space="preserve"> </w:t>
      </w:r>
      <w:r w:rsidRPr="009029C5">
        <w:rPr>
          <w:rFonts w:ascii="Times New Roman" w:hAnsi="Times New Roman"/>
          <w:sz w:val="24"/>
        </w:rPr>
        <w:tab/>
      </w:r>
      <w:r w:rsidRPr="009029C5">
        <w:rPr>
          <w:rFonts w:ascii="Times New Roman" w:hAnsi="Times New Roman"/>
          <w:i/>
          <w:sz w:val="24"/>
        </w:rPr>
        <w:t>The Flaminia</w:t>
      </w:r>
      <w:r w:rsidRPr="009029C5">
        <w:rPr>
          <w:rFonts w:ascii="Times New Roman" w:hAnsi="Times New Roman"/>
          <w:sz w:val="24"/>
        </w:rPr>
        <w:t xml:space="preserve"> [2025] 1 WLR 1835 at 1866-1868 [154]-[164]; [2025] 3 All ER 703 at 733-734.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FFBF" w14:textId="77777777" w:rsidR="00950741" w:rsidRPr="00FF6B25" w:rsidRDefault="00950741" w:rsidP="00FF6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21EB" w14:textId="234E8F67" w:rsidR="00950741" w:rsidRPr="00FF6B25" w:rsidRDefault="00FF6B25" w:rsidP="00FF6B25">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45D0" w14:textId="590D16B7" w:rsidR="002E0557" w:rsidRPr="00FF6B25" w:rsidRDefault="002E0557" w:rsidP="00FF6B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E723" w14:textId="77777777" w:rsidR="00FF6B25" w:rsidRPr="00950741" w:rsidRDefault="00FF6B25" w:rsidP="00950741">
    <w:pPr>
      <w:pStyle w:val="Header"/>
      <w:tabs>
        <w:tab w:val="clear" w:pos="4153"/>
        <w:tab w:val="clear" w:pos="8306"/>
        <w:tab w:val="right" w:pos="1304"/>
      </w:tabs>
      <w:spacing w:line="280" w:lineRule="exact"/>
      <w:ind w:firstLine="0"/>
      <w:rPr>
        <w:rFonts w:ascii="Times New Roman" w:hAnsi="Times New Roman"/>
        <w:i/>
        <w:sz w:val="22"/>
      </w:rPr>
    </w:pPr>
    <w:r w:rsidRPr="00950741">
      <w:rPr>
        <w:rFonts w:ascii="Times New Roman" w:hAnsi="Times New Roman"/>
        <w:i/>
        <w:sz w:val="22"/>
      </w:rPr>
      <w:t>Gageler</w:t>
    </w:r>
    <w:r w:rsidRPr="00950741">
      <w:rPr>
        <w:rFonts w:ascii="Times New Roman" w:hAnsi="Times New Roman"/>
        <w:i/>
        <w:sz w:val="22"/>
      </w:rPr>
      <w:tab/>
      <w:t>CJ</w:t>
    </w:r>
  </w:p>
  <w:p w14:paraId="7AE90F8A" w14:textId="77777777" w:rsidR="00FF6B25" w:rsidRPr="00950741" w:rsidRDefault="00FF6B25" w:rsidP="00950741">
    <w:pPr>
      <w:pStyle w:val="Header"/>
      <w:tabs>
        <w:tab w:val="clear" w:pos="4153"/>
        <w:tab w:val="clear" w:pos="8306"/>
        <w:tab w:val="right" w:pos="1304"/>
      </w:tabs>
      <w:spacing w:line="280" w:lineRule="exact"/>
      <w:ind w:firstLine="0"/>
      <w:rPr>
        <w:rFonts w:ascii="Times New Roman" w:hAnsi="Times New Roman"/>
        <w:i/>
        <w:sz w:val="22"/>
      </w:rPr>
    </w:pPr>
    <w:r w:rsidRPr="00950741">
      <w:rPr>
        <w:rFonts w:ascii="Times New Roman" w:hAnsi="Times New Roman"/>
        <w:i/>
        <w:sz w:val="22"/>
      </w:rPr>
      <w:t>Gleeson</w:t>
    </w:r>
    <w:r w:rsidRPr="00950741">
      <w:rPr>
        <w:rFonts w:ascii="Times New Roman" w:hAnsi="Times New Roman"/>
        <w:i/>
        <w:sz w:val="22"/>
      </w:rPr>
      <w:tab/>
      <w:t>J</w:t>
    </w:r>
  </w:p>
  <w:p w14:paraId="5A061B90" w14:textId="77777777" w:rsidR="00FF6B25" w:rsidRDefault="00FF6B25" w:rsidP="0095074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375C5C06" w14:textId="77777777" w:rsidR="00FF6B25" w:rsidRDefault="00FF6B25" w:rsidP="00950741">
    <w:pPr>
      <w:pStyle w:val="Header"/>
      <w:tabs>
        <w:tab w:val="clear" w:pos="4153"/>
        <w:tab w:val="clear" w:pos="8306"/>
        <w:tab w:val="right" w:pos="1304"/>
      </w:tabs>
      <w:spacing w:line="280" w:lineRule="exact"/>
      <w:ind w:firstLine="0"/>
      <w:rPr>
        <w:rFonts w:ascii="Times New Roman" w:hAnsi="Times New Roman"/>
        <w:i/>
        <w:sz w:val="22"/>
      </w:rPr>
    </w:pPr>
  </w:p>
  <w:p w14:paraId="6D431D8E" w14:textId="77777777" w:rsidR="00FF6B25" w:rsidRDefault="00FF6B25" w:rsidP="00950741">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2D1C673" w14:textId="77777777" w:rsidR="00FF6B25" w:rsidRPr="00950741" w:rsidRDefault="00FF6B25" w:rsidP="00950741">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1284" w14:textId="77777777" w:rsidR="00FF6B25" w:rsidRPr="00950741" w:rsidRDefault="00FF6B25" w:rsidP="00950741">
    <w:pPr>
      <w:pStyle w:val="Header"/>
      <w:tabs>
        <w:tab w:val="clear" w:pos="4153"/>
        <w:tab w:val="clear" w:pos="8306"/>
        <w:tab w:val="left" w:pos="7200"/>
        <w:tab w:val="right" w:pos="8504"/>
      </w:tabs>
      <w:spacing w:line="280" w:lineRule="exact"/>
      <w:jc w:val="right"/>
      <w:rPr>
        <w:rFonts w:ascii="Times New Roman" w:hAnsi="Times New Roman"/>
        <w:i/>
        <w:sz w:val="22"/>
      </w:rPr>
    </w:pPr>
    <w:r w:rsidRPr="00950741">
      <w:rPr>
        <w:rFonts w:ascii="Times New Roman" w:hAnsi="Times New Roman"/>
        <w:i/>
        <w:sz w:val="22"/>
      </w:rPr>
      <w:tab/>
      <w:t>Gageler</w:t>
    </w:r>
    <w:r w:rsidRPr="00950741">
      <w:rPr>
        <w:rFonts w:ascii="Times New Roman" w:hAnsi="Times New Roman"/>
        <w:i/>
        <w:sz w:val="22"/>
      </w:rPr>
      <w:tab/>
      <w:t>CJ</w:t>
    </w:r>
  </w:p>
  <w:p w14:paraId="030C1EFC" w14:textId="77777777" w:rsidR="00FF6B25" w:rsidRPr="00950741" w:rsidRDefault="00FF6B25" w:rsidP="00950741">
    <w:pPr>
      <w:pStyle w:val="Header"/>
      <w:tabs>
        <w:tab w:val="clear" w:pos="4153"/>
        <w:tab w:val="clear" w:pos="8306"/>
        <w:tab w:val="left" w:pos="7200"/>
        <w:tab w:val="right" w:pos="8504"/>
      </w:tabs>
      <w:spacing w:line="280" w:lineRule="exact"/>
      <w:jc w:val="right"/>
      <w:rPr>
        <w:rFonts w:ascii="Times New Roman" w:hAnsi="Times New Roman"/>
        <w:i/>
        <w:sz w:val="22"/>
      </w:rPr>
    </w:pPr>
    <w:r w:rsidRPr="00950741">
      <w:rPr>
        <w:rFonts w:ascii="Times New Roman" w:hAnsi="Times New Roman"/>
        <w:i/>
        <w:sz w:val="22"/>
      </w:rPr>
      <w:tab/>
      <w:t>Gleeson</w:t>
    </w:r>
    <w:r w:rsidRPr="00950741">
      <w:rPr>
        <w:rFonts w:ascii="Times New Roman" w:hAnsi="Times New Roman"/>
        <w:i/>
        <w:sz w:val="22"/>
      </w:rPr>
      <w:tab/>
      <w:t>J</w:t>
    </w:r>
  </w:p>
  <w:p w14:paraId="030D5289" w14:textId="77777777" w:rsidR="00FF6B25" w:rsidRDefault="00FF6B25" w:rsidP="0095074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312412F6" w14:textId="77777777" w:rsidR="00FF6B25" w:rsidRDefault="00FF6B25" w:rsidP="00950741">
    <w:pPr>
      <w:pStyle w:val="Header"/>
      <w:tabs>
        <w:tab w:val="clear" w:pos="4153"/>
        <w:tab w:val="clear" w:pos="8306"/>
        <w:tab w:val="left" w:pos="7200"/>
        <w:tab w:val="right" w:pos="8504"/>
      </w:tabs>
      <w:spacing w:line="280" w:lineRule="exact"/>
      <w:jc w:val="right"/>
      <w:rPr>
        <w:rFonts w:ascii="Times New Roman" w:hAnsi="Times New Roman"/>
        <w:i/>
        <w:sz w:val="22"/>
      </w:rPr>
    </w:pPr>
  </w:p>
  <w:p w14:paraId="4FF832E4" w14:textId="77777777" w:rsidR="00FF6B25" w:rsidRDefault="00FF6B25" w:rsidP="00950741">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FC52A9E" w14:textId="77777777" w:rsidR="00FF6B25" w:rsidRPr="00950741" w:rsidRDefault="00FF6B25" w:rsidP="00950741">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ECE2" w14:textId="77777777" w:rsidR="00FF6B25" w:rsidRDefault="00FF6B25" w:rsidP="00950741">
    <w:pPr>
      <w:pStyle w:val="Header"/>
      <w:tabs>
        <w:tab w:val="clear" w:pos="4153"/>
        <w:tab w:val="clear" w:pos="8306"/>
        <w:tab w:val="center" w:pos="1134"/>
      </w:tabs>
      <w:spacing w:line="280" w:lineRule="exact"/>
      <w:ind w:firstLine="0"/>
      <w:rPr>
        <w:rFonts w:ascii="Times New Roman" w:hAnsi="Times New Roman"/>
        <w:i/>
        <w:sz w:val="22"/>
      </w:rPr>
    </w:pPr>
  </w:p>
  <w:p w14:paraId="29578480" w14:textId="77777777" w:rsidR="00FF6B25" w:rsidRDefault="00FF6B25" w:rsidP="00950741">
    <w:pPr>
      <w:pStyle w:val="Header"/>
      <w:tabs>
        <w:tab w:val="clear" w:pos="4153"/>
        <w:tab w:val="clear" w:pos="8306"/>
        <w:tab w:val="center" w:pos="1134"/>
      </w:tabs>
      <w:spacing w:line="280" w:lineRule="exact"/>
      <w:ind w:firstLine="0"/>
      <w:rPr>
        <w:rFonts w:ascii="Times New Roman" w:hAnsi="Times New Roman"/>
        <w:i/>
        <w:sz w:val="22"/>
      </w:rPr>
    </w:pPr>
  </w:p>
  <w:p w14:paraId="1D82F9A5" w14:textId="77777777" w:rsidR="00FF6B25" w:rsidRDefault="00FF6B25" w:rsidP="00950741">
    <w:pPr>
      <w:pStyle w:val="Header"/>
      <w:tabs>
        <w:tab w:val="clear" w:pos="4153"/>
        <w:tab w:val="clear" w:pos="8306"/>
        <w:tab w:val="center" w:pos="1134"/>
      </w:tabs>
      <w:spacing w:line="280" w:lineRule="exact"/>
      <w:ind w:firstLine="0"/>
      <w:rPr>
        <w:rFonts w:ascii="Times New Roman" w:hAnsi="Times New Roman"/>
        <w:i/>
        <w:sz w:val="22"/>
      </w:rPr>
    </w:pPr>
  </w:p>
  <w:p w14:paraId="44AFEBEF" w14:textId="77777777" w:rsidR="00FF6B25" w:rsidRDefault="00FF6B25" w:rsidP="00950741">
    <w:pPr>
      <w:pStyle w:val="Header"/>
      <w:tabs>
        <w:tab w:val="clear" w:pos="4153"/>
        <w:tab w:val="clear" w:pos="8306"/>
        <w:tab w:val="center" w:pos="1134"/>
      </w:tabs>
      <w:spacing w:line="280" w:lineRule="exact"/>
      <w:ind w:firstLine="0"/>
      <w:rPr>
        <w:rFonts w:ascii="Times New Roman" w:hAnsi="Times New Roman"/>
        <w:i/>
        <w:sz w:val="22"/>
      </w:rPr>
    </w:pPr>
  </w:p>
  <w:p w14:paraId="2BFB041F" w14:textId="77777777" w:rsidR="00FF6B25" w:rsidRDefault="00FF6B25" w:rsidP="00950741">
    <w:pPr>
      <w:pStyle w:val="Header"/>
      <w:tabs>
        <w:tab w:val="clear" w:pos="4153"/>
        <w:tab w:val="clear" w:pos="8306"/>
        <w:tab w:val="center" w:pos="1134"/>
      </w:tabs>
      <w:spacing w:line="280" w:lineRule="exact"/>
      <w:ind w:firstLine="0"/>
      <w:rPr>
        <w:rFonts w:ascii="Times New Roman" w:hAnsi="Times New Roman"/>
        <w:i/>
        <w:sz w:val="22"/>
      </w:rPr>
    </w:pPr>
  </w:p>
  <w:p w14:paraId="57D9DA00" w14:textId="77777777" w:rsidR="00FF6B25" w:rsidRPr="00950741" w:rsidRDefault="00FF6B25" w:rsidP="00950741">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10AB" w14:textId="77777777" w:rsidR="00AA57DC" w:rsidRPr="009029C5" w:rsidRDefault="00AA57DC" w:rsidP="009029C5">
    <w:pPr>
      <w:pStyle w:val="Header"/>
      <w:tabs>
        <w:tab w:val="clear" w:pos="4153"/>
        <w:tab w:val="clear" w:pos="8306"/>
        <w:tab w:val="right" w:pos="1304"/>
      </w:tabs>
      <w:spacing w:line="280" w:lineRule="exact"/>
      <w:ind w:firstLine="0"/>
      <w:rPr>
        <w:rFonts w:ascii="Times New Roman" w:hAnsi="Times New Roman"/>
        <w:i/>
        <w:sz w:val="22"/>
      </w:rPr>
    </w:pPr>
    <w:r w:rsidRPr="009029C5">
      <w:rPr>
        <w:rFonts w:ascii="Times New Roman" w:hAnsi="Times New Roman"/>
        <w:i/>
        <w:sz w:val="22"/>
      </w:rPr>
      <w:t>Gordon</w:t>
    </w:r>
    <w:r w:rsidRPr="009029C5">
      <w:rPr>
        <w:rFonts w:ascii="Times New Roman" w:hAnsi="Times New Roman"/>
        <w:i/>
        <w:sz w:val="22"/>
      </w:rPr>
      <w:tab/>
      <w:t>J</w:t>
    </w:r>
  </w:p>
  <w:p w14:paraId="5FE63C9F" w14:textId="77777777" w:rsidR="00AA57DC" w:rsidRDefault="00AA57DC" w:rsidP="009029C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1EB08B10" w14:textId="77777777" w:rsidR="00AA57DC" w:rsidRDefault="00AA57DC" w:rsidP="009029C5">
    <w:pPr>
      <w:pStyle w:val="Header"/>
      <w:tabs>
        <w:tab w:val="clear" w:pos="4153"/>
        <w:tab w:val="clear" w:pos="8306"/>
        <w:tab w:val="right" w:pos="1304"/>
      </w:tabs>
      <w:spacing w:line="280" w:lineRule="exact"/>
      <w:ind w:firstLine="0"/>
      <w:rPr>
        <w:rFonts w:ascii="Times New Roman" w:hAnsi="Times New Roman"/>
        <w:i/>
        <w:sz w:val="22"/>
      </w:rPr>
    </w:pPr>
  </w:p>
  <w:p w14:paraId="75D39C7B" w14:textId="77777777" w:rsidR="00AA57DC" w:rsidRDefault="00AA57DC" w:rsidP="009029C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52271950" w14:textId="77777777" w:rsidR="00AA57DC" w:rsidRPr="009029C5" w:rsidRDefault="00AA57DC" w:rsidP="009029C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5025" w14:textId="77777777" w:rsidR="00AA57DC" w:rsidRPr="009029C5" w:rsidRDefault="00AA57DC" w:rsidP="009029C5">
    <w:pPr>
      <w:pStyle w:val="Header"/>
      <w:tabs>
        <w:tab w:val="clear" w:pos="4153"/>
        <w:tab w:val="clear" w:pos="8306"/>
        <w:tab w:val="left" w:pos="7200"/>
        <w:tab w:val="right" w:pos="8504"/>
      </w:tabs>
      <w:spacing w:line="280" w:lineRule="exact"/>
      <w:jc w:val="right"/>
      <w:rPr>
        <w:rFonts w:ascii="Times New Roman" w:hAnsi="Times New Roman"/>
        <w:i/>
        <w:sz w:val="22"/>
      </w:rPr>
    </w:pPr>
    <w:r w:rsidRPr="009029C5">
      <w:rPr>
        <w:rFonts w:ascii="Times New Roman" w:hAnsi="Times New Roman"/>
        <w:i/>
        <w:sz w:val="22"/>
      </w:rPr>
      <w:tab/>
      <w:t>Gordon</w:t>
    </w:r>
    <w:r w:rsidRPr="009029C5">
      <w:rPr>
        <w:rFonts w:ascii="Times New Roman" w:hAnsi="Times New Roman"/>
        <w:i/>
        <w:sz w:val="22"/>
      </w:rPr>
      <w:tab/>
      <w:t>J</w:t>
    </w:r>
  </w:p>
  <w:p w14:paraId="6255598E" w14:textId="77777777" w:rsidR="00AA57DC" w:rsidRDefault="00AA57DC" w:rsidP="009029C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7F598CAD" w14:textId="77777777" w:rsidR="00AA57DC" w:rsidRDefault="00AA57DC" w:rsidP="009029C5">
    <w:pPr>
      <w:pStyle w:val="Header"/>
      <w:tabs>
        <w:tab w:val="clear" w:pos="4153"/>
        <w:tab w:val="clear" w:pos="8306"/>
        <w:tab w:val="left" w:pos="7200"/>
        <w:tab w:val="right" w:pos="8504"/>
      </w:tabs>
      <w:spacing w:line="280" w:lineRule="exact"/>
      <w:jc w:val="right"/>
      <w:rPr>
        <w:rFonts w:ascii="Times New Roman" w:hAnsi="Times New Roman"/>
        <w:i/>
        <w:sz w:val="22"/>
      </w:rPr>
    </w:pPr>
  </w:p>
  <w:p w14:paraId="2976BEDD" w14:textId="77777777" w:rsidR="00AA57DC" w:rsidRDefault="00AA57DC" w:rsidP="009029C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4B84DB0F" w14:textId="77777777" w:rsidR="00AA57DC" w:rsidRPr="009029C5" w:rsidRDefault="00AA57DC" w:rsidP="009029C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1F2A" w14:textId="77777777" w:rsidR="00AA57DC" w:rsidRDefault="00AA57DC" w:rsidP="009029C5">
    <w:pPr>
      <w:pStyle w:val="Header"/>
      <w:tabs>
        <w:tab w:val="clear" w:pos="4153"/>
        <w:tab w:val="clear" w:pos="8306"/>
        <w:tab w:val="center" w:pos="1134"/>
      </w:tabs>
      <w:spacing w:line="280" w:lineRule="exact"/>
      <w:ind w:firstLine="0"/>
      <w:rPr>
        <w:rFonts w:ascii="Times New Roman" w:hAnsi="Times New Roman"/>
        <w:i/>
        <w:sz w:val="22"/>
      </w:rPr>
    </w:pPr>
  </w:p>
  <w:p w14:paraId="232C9355" w14:textId="77777777" w:rsidR="00AA57DC" w:rsidRDefault="00AA57DC" w:rsidP="009029C5">
    <w:pPr>
      <w:pStyle w:val="Header"/>
      <w:tabs>
        <w:tab w:val="clear" w:pos="4153"/>
        <w:tab w:val="clear" w:pos="8306"/>
        <w:tab w:val="center" w:pos="1134"/>
      </w:tabs>
      <w:spacing w:line="280" w:lineRule="exact"/>
      <w:ind w:firstLine="0"/>
      <w:rPr>
        <w:rFonts w:ascii="Times New Roman" w:hAnsi="Times New Roman"/>
        <w:i/>
        <w:sz w:val="22"/>
      </w:rPr>
    </w:pPr>
  </w:p>
  <w:p w14:paraId="001CEE23" w14:textId="77777777" w:rsidR="00AA57DC" w:rsidRDefault="00AA57DC" w:rsidP="009029C5">
    <w:pPr>
      <w:pStyle w:val="Header"/>
      <w:tabs>
        <w:tab w:val="clear" w:pos="4153"/>
        <w:tab w:val="clear" w:pos="8306"/>
        <w:tab w:val="center" w:pos="1134"/>
      </w:tabs>
      <w:spacing w:line="280" w:lineRule="exact"/>
      <w:ind w:firstLine="0"/>
      <w:rPr>
        <w:rFonts w:ascii="Times New Roman" w:hAnsi="Times New Roman"/>
        <w:i/>
        <w:sz w:val="22"/>
      </w:rPr>
    </w:pPr>
  </w:p>
  <w:p w14:paraId="70E8686A" w14:textId="77777777" w:rsidR="00AA57DC" w:rsidRDefault="00AA57DC" w:rsidP="009029C5">
    <w:pPr>
      <w:pStyle w:val="Header"/>
      <w:tabs>
        <w:tab w:val="clear" w:pos="4153"/>
        <w:tab w:val="clear" w:pos="8306"/>
        <w:tab w:val="center" w:pos="1134"/>
      </w:tabs>
      <w:spacing w:line="280" w:lineRule="exact"/>
      <w:ind w:firstLine="0"/>
      <w:rPr>
        <w:rFonts w:ascii="Times New Roman" w:hAnsi="Times New Roman"/>
        <w:i/>
        <w:sz w:val="22"/>
      </w:rPr>
    </w:pPr>
  </w:p>
  <w:p w14:paraId="1EFA9117" w14:textId="77777777" w:rsidR="00AA57DC" w:rsidRPr="009029C5" w:rsidRDefault="00AA57DC" w:rsidP="009029C5">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7"/>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57"/>
    <w:rsid w:val="00000051"/>
    <w:rsid w:val="0000051F"/>
    <w:rsid w:val="00000734"/>
    <w:rsid w:val="00000767"/>
    <w:rsid w:val="000008DF"/>
    <w:rsid w:val="000009B1"/>
    <w:rsid w:val="000017CB"/>
    <w:rsid w:val="00001EA2"/>
    <w:rsid w:val="00002069"/>
    <w:rsid w:val="0000281E"/>
    <w:rsid w:val="00002CE6"/>
    <w:rsid w:val="00003132"/>
    <w:rsid w:val="0000316A"/>
    <w:rsid w:val="0000352A"/>
    <w:rsid w:val="0000377C"/>
    <w:rsid w:val="00003B38"/>
    <w:rsid w:val="000044B5"/>
    <w:rsid w:val="000049B7"/>
    <w:rsid w:val="000050C5"/>
    <w:rsid w:val="0000598B"/>
    <w:rsid w:val="00005CA4"/>
    <w:rsid w:val="00005D50"/>
    <w:rsid w:val="00006354"/>
    <w:rsid w:val="00006EB7"/>
    <w:rsid w:val="00007903"/>
    <w:rsid w:val="00007BEF"/>
    <w:rsid w:val="00007D6E"/>
    <w:rsid w:val="00007DA6"/>
    <w:rsid w:val="00007EAE"/>
    <w:rsid w:val="000125F8"/>
    <w:rsid w:val="000141CA"/>
    <w:rsid w:val="00014B34"/>
    <w:rsid w:val="00015C1C"/>
    <w:rsid w:val="00016094"/>
    <w:rsid w:val="00016602"/>
    <w:rsid w:val="000166D2"/>
    <w:rsid w:val="000168C9"/>
    <w:rsid w:val="00016B45"/>
    <w:rsid w:val="00016C20"/>
    <w:rsid w:val="00016DBB"/>
    <w:rsid w:val="00017144"/>
    <w:rsid w:val="00017459"/>
    <w:rsid w:val="00017AEA"/>
    <w:rsid w:val="00017BEF"/>
    <w:rsid w:val="00020497"/>
    <w:rsid w:val="0002060B"/>
    <w:rsid w:val="000207F7"/>
    <w:rsid w:val="00021070"/>
    <w:rsid w:val="00022A53"/>
    <w:rsid w:val="00022DEB"/>
    <w:rsid w:val="00022E0F"/>
    <w:rsid w:val="000235ED"/>
    <w:rsid w:val="0002447C"/>
    <w:rsid w:val="00024812"/>
    <w:rsid w:val="000250AF"/>
    <w:rsid w:val="00025490"/>
    <w:rsid w:val="000254DE"/>
    <w:rsid w:val="0002561E"/>
    <w:rsid w:val="0002583F"/>
    <w:rsid w:val="0002637B"/>
    <w:rsid w:val="00026422"/>
    <w:rsid w:val="000268E1"/>
    <w:rsid w:val="0002724C"/>
    <w:rsid w:val="00027B89"/>
    <w:rsid w:val="000308F0"/>
    <w:rsid w:val="00030B00"/>
    <w:rsid w:val="00030EAD"/>
    <w:rsid w:val="000316C4"/>
    <w:rsid w:val="000317AF"/>
    <w:rsid w:val="00032AB7"/>
    <w:rsid w:val="00033123"/>
    <w:rsid w:val="00033F9E"/>
    <w:rsid w:val="00034261"/>
    <w:rsid w:val="000342B1"/>
    <w:rsid w:val="00034669"/>
    <w:rsid w:val="00034ED3"/>
    <w:rsid w:val="000352DF"/>
    <w:rsid w:val="0003562D"/>
    <w:rsid w:val="0003575A"/>
    <w:rsid w:val="00035810"/>
    <w:rsid w:val="000358CA"/>
    <w:rsid w:val="00035BA4"/>
    <w:rsid w:val="000360EB"/>
    <w:rsid w:val="000362CD"/>
    <w:rsid w:val="000367F8"/>
    <w:rsid w:val="00037018"/>
    <w:rsid w:val="000373B6"/>
    <w:rsid w:val="000373EF"/>
    <w:rsid w:val="0003740D"/>
    <w:rsid w:val="00037A5F"/>
    <w:rsid w:val="00037C0E"/>
    <w:rsid w:val="00037D87"/>
    <w:rsid w:val="000401EE"/>
    <w:rsid w:val="000408C4"/>
    <w:rsid w:val="00040B37"/>
    <w:rsid w:val="00040C19"/>
    <w:rsid w:val="000415D2"/>
    <w:rsid w:val="00042073"/>
    <w:rsid w:val="000428CE"/>
    <w:rsid w:val="00042EF3"/>
    <w:rsid w:val="00043410"/>
    <w:rsid w:val="000434D3"/>
    <w:rsid w:val="00043562"/>
    <w:rsid w:val="00043D2C"/>
    <w:rsid w:val="00044047"/>
    <w:rsid w:val="00044706"/>
    <w:rsid w:val="000449D3"/>
    <w:rsid w:val="00045898"/>
    <w:rsid w:val="00045C0F"/>
    <w:rsid w:val="00046812"/>
    <w:rsid w:val="00047ED2"/>
    <w:rsid w:val="000502FC"/>
    <w:rsid w:val="0005042B"/>
    <w:rsid w:val="00050963"/>
    <w:rsid w:val="0005217B"/>
    <w:rsid w:val="0005223F"/>
    <w:rsid w:val="00052B08"/>
    <w:rsid w:val="00052B36"/>
    <w:rsid w:val="00052C32"/>
    <w:rsid w:val="00052C36"/>
    <w:rsid w:val="00052C3F"/>
    <w:rsid w:val="0005383E"/>
    <w:rsid w:val="00053C92"/>
    <w:rsid w:val="00054357"/>
    <w:rsid w:val="0005507C"/>
    <w:rsid w:val="00055191"/>
    <w:rsid w:val="00055213"/>
    <w:rsid w:val="000554F5"/>
    <w:rsid w:val="00055ACD"/>
    <w:rsid w:val="00056161"/>
    <w:rsid w:val="000562E2"/>
    <w:rsid w:val="000566C8"/>
    <w:rsid w:val="00056CC9"/>
    <w:rsid w:val="00056F27"/>
    <w:rsid w:val="00057219"/>
    <w:rsid w:val="000573AF"/>
    <w:rsid w:val="00057764"/>
    <w:rsid w:val="00057B60"/>
    <w:rsid w:val="00057CCF"/>
    <w:rsid w:val="000603CF"/>
    <w:rsid w:val="00060590"/>
    <w:rsid w:val="00060D3F"/>
    <w:rsid w:val="00061391"/>
    <w:rsid w:val="0006169E"/>
    <w:rsid w:val="00061EE4"/>
    <w:rsid w:val="00061F3B"/>
    <w:rsid w:val="000626FD"/>
    <w:rsid w:val="00062DB4"/>
    <w:rsid w:val="00063105"/>
    <w:rsid w:val="00063AC0"/>
    <w:rsid w:val="0006429D"/>
    <w:rsid w:val="0006432B"/>
    <w:rsid w:val="0006509C"/>
    <w:rsid w:val="000653D4"/>
    <w:rsid w:val="0006584E"/>
    <w:rsid w:val="00066253"/>
    <w:rsid w:val="000666CF"/>
    <w:rsid w:val="000672C0"/>
    <w:rsid w:val="0006754A"/>
    <w:rsid w:val="00070088"/>
    <w:rsid w:val="0007028B"/>
    <w:rsid w:val="000705EC"/>
    <w:rsid w:val="000712F4"/>
    <w:rsid w:val="00071575"/>
    <w:rsid w:val="00071C35"/>
    <w:rsid w:val="00071F12"/>
    <w:rsid w:val="00072521"/>
    <w:rsid w:val="000737C1"/>
    <w:rsid w:val="00073F72"/>
    <w:rsid w:val="000741D7"/>
    <w:rsid w:val="0007552A"/>
    <w:rsid w:val="00075A70"/>
    <w:rsid w:val="00075E14"/>
    <w:rsid w:val="00075F50"/>
    <w:rsid w:val="000761B0"/>
    <w:rsid w:val="0007695C"/>
    <w:rsid w:val="00076B76"/>
    <w:rsid w:val="00077556"/>
    <w:rsid w:val="000779B6"/>
    <w:rsid w:val="000803A4"/>
    <w:rsid w:val="00080D77"/>
    <w:rsid w:val="00081096"/>
    <w:rsid w:val="000814AC"/>
    <w:rsid w:val="00081581"/>
    <w:rsid w:val="00081F86"/>
    <w:rsid w:val="0008234F"/>
    <w:rsid w:val="0008265A"/>
    <w:rsid w:val="00082F4A"/>
    <w:rsid w:val="00083404"/>
    <w:rsid w:val="000837BA"/>
    <w:rsid w:val="000838B9"/>
    <w:rsid w:val="00083E9E"/>
    <w:rsid w:val="00084018"/>
    <w:rsid w:val="0008435D"/>
    <w:rsid w:val="00084B16"/>
    <w:rsid w:val="0008558C"/>
    <w:rsid w:val="00085F13"/>
    <w:rsid w:val="000876D9"/>
    <w:rsid w:val="00087795"/>
    <w:rsid w:val="000900D4"/>
    <w:rsid w:val="0009039B"/>
    <w:rsid w:val="000903AA"/>
    <w:rsid w:val="0009068D"/>
    <w:rsid w:val="00090800"/>
    <w:rsid w:val="000908E1"/>
    <w:rsid w:val="00090B48"/>
    <w:rsid w:val="000921EE"/>
    <w:rsid w:val="0009299E"/>
    <w:rsid w:val="00092CD7"/>
    <w:rsid w:val="000938E6"/>
    <w:rsid w:val="0009409B"/>
    <w:rsid w:val="000943E3"/>
    <w:rsid w:val="000949E0"/>
    <w:rsid w:val="0009533D"/>
    <w:rsid w:val="000954AB"/>
    <w:rsid w:val="00096A8C"/>
    <w:rsid w:val="00096C44"/>
    <w:rsid w:val="000977F8"/>
    <w:rsid w:val="00097CB3"/>
    <w:rsid w:val="000A005D"/>
    <w:rsid w:val="000A06A1"/>
    <w:rsid w:val="000A0B9B"/>
    <w:rsid w:val="000A21B5"/>
    <w:rsid w:val="000A25CD"/>
    <w:rsid w:val="000A28D4"/>
    <w:rsid w:val="000A2AC1"/>
    <w:rsid w:val="000A2B15"/>
    <w:rsid w:val="000A2EB4"/>
    <w:rsid w:val="000A378E"/>
    <w:rsid w:val="000A3DA3"/>
    <w:rsid w:val="000A435C"/>
    <w:rsid w:val="000A4663"/>
    <w:rsid w:val="000A46E3"/>
    <w:rsid w:val="000A4A06"/>
    <w:rsid w:val="000A518C"/>
    <w:rsid w:val="000A520A"/>
    <w:rsid w:val="000A5D42"/>
    <w:rsid w:val="000A63C6"/>
    <w:rsid w:val="000A673C"/>
    <w:rsid w:val="000A6C37"/>
    <w:rsid w:val="000A6E65"/>
    <w:rsid w:val="000B01D1"/>
    <w:rsid w:val="000B1A5F"/>
    <w:rsid w:val="000B258C"/>
    <w:rsid w:val="000B3389"/>
    <w:rsid w:val="000B33DF"/>
    <w:rsid w:val="000B3C82"/>
    <w:rsid w:val="000B42C4"/>
    <w:rsid w:val="000B4630"/>
    <w:rsid w:val="000B497F"/>
    <w:rsid w:val="000B4C8D"/>
    <w:rsid w:val="000B54AF"/>
    <w:rsid w:val="000B5A17"/>
    <w:rsid w:val="000B610A"/>
    <w:rsid w:val="000B6AD7"/>
    <w:rsid w:val="000B710D"/>
    <w:rsid w:val="000B7558"/>
    <w:rsid w:val="000B7FB8"/>
    <w:rsid w:val="000B7FFB"/>
    <w:rsid w:val="000C045B"/>
    <w:rsid w:val="000C04DC"/>
    <w:rsid w:val="000C0D98"/>
    <w:rsid w:val="000C178C"/>
    <w:rsid w:val="000C287E"/>
    <w:rsid w:val="000C2BC1"/>
    <w:rsid w:val="000C33EC"/>
    <w:rsid w:val="000C3B5B"/>
    <w:rsid w:val="000C4202"/>
    <w:rsid w:val="000C4DCB"/>
    <w:rsid w:val="000C617C"/>
    <w:rsid w:val="000C6E73"/>
    <w:rsid w:val="000C7C98"/>
    <w:rsid w:val="000D0479"/>
    <w:rsid w:val="000D06B4"/>
    <w:rsid w:val="000D0CA8"/>
    <w:rsid w:val="000D144D"/>
    <w:rsid w:val="000D1BE4"/>
    <w:rsid w:val="000D21C6"/>
    <w:rsid w:val="000D24A3"/>
    <w:rsid w:val="000D25E6"/>
    <w:rsid w:val="000D2CE6"/>
    <w:rsid w:val="000D2F89"/>
    <w:rsid w:val="000D3707"/>
    <w:rsid w:val="000D388D"/>
    <w:rsid w:val="000D3A2F"/>
    <w:rsid w:val="000D4289"/>
    <w:rsid w:val="000D446A"/>
    <w:rsid w:val="000D4FE5"/>
    <w:rsid w:val="000D53C8"/>
    <w:rsid w:val="000D574D"/>
    <w:rsid w:val="000D5A19"/>
    <w:rsid w:val="000D5AF7"/>
    <w:rsid w:val="000D674D"/>
    <w:rsid w:val="000D6E01"/>
    <w:rsid w:val="000D73D4"/>
    <w:rsid w:val="000E1E41"/>
    <w:rsid w:val="000E2E22"/>
    <w:rsid w:val="000E3B96"/>
    <w:rsid w:val="000E4C6E"/>
    <w:rsid w:val="000E52BC"/>
    <w:rsid w:val="000E65F7"/>
    <w:rsid w:val="000E6650"/>
    <w:rsid w:val="000E6FB4"/>
    <w:rsid w:val="000E7823"/>
    <w:rsid w:val="000E7D31"/>
    <w:rsid w:val="000F053C"/>
    <w:rsid w:val="000F0A34"/>
    <w:rsid w:val="000F0D0C"/>
    <w:rsid w:val="000F1345"/>
    <w:rsid w:val="000F2620"/>
    <w:rsid w:val="000F2F6B"/>
    <w:rsid w:val="000F31C4"/>
    <w:rsid w:val="000F356E"/>
    <w:rsid w:val="000F3A68"/>
    <w:rsid w:val="000F3BB3"/>
    <w:rsid w:val="000F3DA5"/>
    <w:rsid w:val="000F402F"/>
    <w:rsid w:val="000F4324"/>
    <w:rsid w:val="000F46DC"/>
    <w:rsid w:val="000F48CF"/>
    <w:rsid w:val="000F4CC4"/>
    <w:rsid w:val="000F57E9"/>
    <w:rsid w:val="000F5B1A"/>
    <w:rsid w:val="000F6B61"/>
    <w:rsid w:val="000F70CE"/>
    <w:rsid w:val="000F712F"/>
    <w:rsid w:val="000F7A1E"/>
    <w:rsid w:val="001001B9"/>
    <w:rsid w:val="0010145B"/>
    <w:rsid w:val="0010172B"/>
    <w:rsid w:val="00101BC5"/>
    <w:rsid w:val="0010211E"/>
    <w:rsid w:val="00102254"/>
    <w:rsid w:val="00102D79"/>
    <w:rsid w:val="00102EF9"/>
    <w:rsid w:val="0010304A"/>
    <w:rsid w:val="0010475D"/>
    <w:rsid w:val="00105059"/>
    <w:rsid w:val="00105B40"/>
    <w:rsid w:val="00105B7B"/>
    <w:rsid w:val="00106266"/>
    <w:rsid w:val="00106362"/>
    <w:rsid w:val="001065D4"/>
    <w:rsid w:val="001068B9"/>
    <w:rsid w:val="00106E30"/>
    <w:rsid w:val="0010702C"/>
    <w:rsid w:val="00107A26"/>
    <w:rsid w:val="00107DC4"/>
    <w:rsid w:val="00110170"/>
    <w:rsid w:val="0011060D"/>
    <w:rsid w:val="00110970"/>
    <w:rsid w:val="00110A02"/>
    <w:rsid w:val="00110E6B"/>
    <w:rsid w:val="00110FD4"/>
    <w:rsid w:val="00111269"/>
    <w:rsid w:val="00111568"/>
    <w:rsid w:val="001120C0"/>
    <w:rsid w:val="00112A92"/>
    <w:rsid w:val="00112DCC"/>
    <w:rsid w:val="00112DD8"/>
    <w:rsid w:val="00113BB5"/>
    <w:rsid w:val="001150BF"/>
    <w:rsid w:val="001150F1"/>
    <w:rsid w:val="001151FD"/>
    <w:rsid w:val="001153A8"/>
    <w:rsid w:val="00115749"/>
    <w:rsid w:val="00115A4A"/>
    <w:rsid w:val="00115AE6"/>
    <w:rsid w:val="00115EB0"/>
    <w:rsid w:val="001168F2"/>
    <w:rsid w:val="00116D56"/>
    <w:rsid w:val="00116EA3"/>
    <w:rsid w:val="00117A9C"/>
    <w:rsid w:val="00120207"/>
    <w:rsid w:val="00120920"/>
    <w:rsid w:val="00120A06"/>
    <w:rsid w:val="00121500"/>
    <w:rsid w:val="00121CB0"/>
    <w:rsid w:val="0012210A"/>
    <w:rsid w:val="0012220E"/>
    <w:rsid w:val="0012232D"/>
    <w:rsid w:val="00122B69"/>
    <w:rsid w:val="0012343C"/>
    <w:rsid w:val="00123664"/>
    <w:rsid w:val="00123B41"/>
    <w:rsid w:val="00123C1B"/>
    <w:rsid w:val="00123F08"/>
    <w:rsid w:val="00124C80"/>
    <w:rsid w:val="00124E90"/>
    <w:rsid w:val="00125621"/>
    <w:rsid w:val="00125E3C"/>
    <w:rsid w:val="0012668F"/>
    <w:rsid w:val="00127210"/>
    <w:rsid w:val="00127E77"/>
    <w:rsid w:val="00127EE9"/>
    <w:rsid w:val="001304FB"/>
    <w:rsid w:val="0013062C"/>
    <w:rsid w:val="001306B7"/>
    <w:rsid w:val="0013077B"/>
    <w:rsid w:val="00130F97"/>
    <w:rsid w:val="0013124F"/>
    <w:rsid w:val="00132028"/>
    <w:rsid w:val="001323D6"/>
    <w:rsid w:val="001331A3"/>
    <w:rsid w:val="00133205"/>
    <w:rsid w:val="00133E7E"/>
    <w:rsid w:val="00133F24"/>
    <w:rsid w:val="00134203"/>
    <w:rsid w:val="0013456F"/>
    <w:rsid w:val="001345D5"/>
    <w:rsid w:val="00135E71"/>
    <w:rsid w:val="00136A14"/>
    <w:rsid w:val="00140336"/>
    <w:rsid w:val="00141E7E"/>
    <w:rsid w:val="00142072"/>
    <w:rsid w:val="001421DE"/>
    <w:rsid w:val="00143BAA"/>
    <w:rsid w:val="00143FCB"/>
    <w:rsid w:val="00144E0D"/>
    <w:rsid w:val="00144FEF"/>
    <w:rsid w:val="00145206"/>
    <w:rsid w:val="00145339"/>
    <w:rsid w:val="001454F3"/>
    <w:rsid w:val="00145627"/>
    <w:rsid w:val="00145A0F"/>
    <w:rsid w:val="00145F15"/>
    <w:rsid w:val="00146A41"/>
    <w:rsid w:val="00147035"/>
    <w:rsid w:val="00147192"/>
    <w:rsid w:val="0014721C"/>
    <w:rsid w:val="00147340"/>
    <w:rsid w:val="00147B90"/>
    <w:rsid w:val="0015031C"/>
    <w:rsid w:val="0015082E"/>
    <w:rsid w:val="00150A5F"/>
    <w:rsid w:val="00150EDF"/>
    <w:rsid w:val="001512F5"/>
    <w:rsid w:val="00151679"/>
    <w:rsid w:val="001526E9"/>
    <w:rsid w:val="00152B79"/>
    <w:rsid w:val="00152E28"/>
    <w:rsid w:val="0015318E"/>
    <w:rsid w:val="00153314"/>
    <w:rsid w:val="0015388A"/>
    <w:rsid w:val="001556DB"/>
    <w:rsid w:val="00156292"/>
    <w:rsid w:val="00156467"/>
    <w:rsid w:val="00157A09"/>
    <w:rsid w:val="001603CA"/>
    <w:rsid w:val="0016041F"/>
    <w:rsid w:val="00160A95"/>
    <w:rsid w:val="00160B42"/>
    <w:rsid w:val="00160CCE"/>
    <w:rsid w:val="00160D78"/>
    <w:rsid w:val="00161294"/>
    <w:rsid w:val="00162560"/>
    <w:rsid w:val="0016266D"/>
    <w:rsid w:val="00162DD4"/>
    <w:rsid w:val="001635DE"/>
    <w:rsid w:val="00163A80"/>
    <w:rsid w:val="00163CEA"/>
    <w:rsid w:val="00163D92"/>
    <w:rsid w:val="00163EEC"/>
    <w:rsid w:val="00164144"/>
    <w:rsid w:val="00165613"/>
    <w:rsid w:val="00166631"/>
    <w:rsid w:val="00166E82"/>
    <w:rsid w:val="0016791A"/>
    <w:rsid w:val="001708DE"/>
    <w:rsid w:val="00170CEC"/>
    <w:rsid w:val="001710B1"/>
    <w:rsid w:val="00171374"/>
    <w:rsid w:val="00171C8B"/>
    <w:rsid w:val="00171CD6"/>
    <w:rsid w:val="0017212E"/>
    <w:rsid w:val="001727C7"/>
    <w:rsid w:val="00172ADE"/>
    <w:rsid w:val="00172CED"/>
    <w:rsid w:val="00173C7E"/>
    <w:rsid w:val="00174EB7"/>
    <w:rsid w:val="00175703"/>
    <w:rsid w:val="001757E6"/>
    <w:rsid w:val="001758DE"/>
    <w:rsid w:val="00175C74"/>
    <w:rsid w:val="00176283"/>
    <w:rsid w:val="0017683C"/>
    <w:rsid w:val="00176B5A"/>
    <w:rsid w:val="00176D25"/>
    <w:rsid w:val="00176F21"/>
    <w:rsid w:val="00177272"/>
    <w:rsid w:val="001774F7"/>
    <w:rsid w:val="00177D13"/>
    <w:rsid w:val="001804DC"/>
    <w:rsid w:val="00180AB4"/>
    <w:rsid w:val="00181BDE"/>
    <w:rsid w:val="00182EF5"/>
    <w:rsid w:val="0018342E"/>
    <w:rsid w:val="0018349D"/>
    <w:rsid w:val="001838DA"/>
    <w:rsid w:val="001840C2"/>
    <w:rsid w:val="00184843"/>
    <w:rsid w:val="00184B46"/>
    <w:rsid w:val="0018505E"/>
    <w:rsid w:val="00185939"/>
    <w:rsid w:val="001860BD"/>
    <w:rsid w:val="00186592"/>
    <w:rsid w:val="001865A0"/>
    <w:rsid w:val="00186EB0"/>
    <w:rsid w:val="001876F6"/>
    <w:rsid w:val="0018772A"/>
    <w:rsid w:val="00187ED9"/>
    <w:rsid w:val="001903AB"/>
    <w:rsid w:val="0019047A"/>
    <w:rsid w:val="0019072B"/>
    <w:rsid w:val="00190BAC"/>
    <w:rsid w:val="0019130F"/>
    <w:rsid w:val="00191A96"/>
    <w:rsid w:val="00191E23"/>
    <w:rsid w:val="001921BF"/>
    <w:rsid w:val="00192537"/>
    <w:rsid w:val="0019300E"/>
    <w:rsid w:val="00194113"/>
    <w:rsid w:val="00194624"/>
    <w:rsid w:val="00194F06"/>
    <w:rsid w:val="001950FB"/>
    <w:rsid w:val="001953B1"/>
    <w:rsid w:val="00195A34"/>
    <w:rsid w:val="001963C0"/>
    <w:rsid w:val="001966AF"/>
    <w:rsid w:val="00196F65"/>
    <w:rsid w:val="0019785D"/>
    <w:rsid w:val="00197956"/>
    <w:rsid w:val="00197FD8"/>
    <w:rsid w:val="001A0781"/>
    <w:rsid w:val="001A0867"/>
    <w:rsid w:val="001A0D14"/>
    <w:rsid w:val="001A0E0B"/>
    <w:rsid w:val="001A1214"/>
    <w:rsid w:val="001A3D77"/>
    <w:rsid w:val="001A409D"/>
    <w:rsid w:val="001A446E"/>
    <w:rsid w:val="001A4A83"/>
    <w:rsid w:val="001A5039"/>
    <w:rsid w:val="001A5751"/>
    <w:rsid w:val="001A5D2A"/>
    <w:rsid w:val="001A634B"/>
    <w:rsid w:val="001A69F0"/>
    <w:rsid w:val="001A6A76"/>
    <w:rsid w:val="001A6CF7"/>
    <w:rsid w:val="001A707E"/>
    <w:rsid w:val="001A74DB"/>
    <w:rsid w:val="001B0C24"/>
    <w:rsid w:val="001B0D6D"/>
    <w:rsid w:val="001B1365"/>
    <w:rsid w:val="001B14F4"/>
    <w:rsid w:val="001B1676"/>
    <w:rsid w:val="001B17A8"/>
    <w:rsid w:val="001B1A1D"/>
    <w:rsid w:val="001B20E5"/>
    <w:rsid w:val="001B2351"/>
    <w:rsid w:val="001B23BD"/>
    <w:rsid w:val="001B3174"/>
    <w:rsid w:val="001B3A97"/>
    <w:rsid w:val="001B4501"/>
    <w:rsid w:val="001B4DFF"/>
    <w:rsid w:val="001B5244"/>
    <w:rsid w:val="001B5456"/>
    <w:rsid w:val="001B55C8"/>
    <w:rsid w:val="001B5A59"/>
    <w:rsid w:val="001B5FBD"/>
    <w:rsid w:val="001B6183"/>
    <w:rsid w:val="001B63C6"/>
    <w:rsid w:val="001B65A1"/>
    <w:rsid w:val="001B7353"/>
    <w:rsid w:val="001B79CF"/>
    <w:rsid w:val="001B7BC3"/>
    <w:rsid w:val="001C00E8"/>
    <w:rsid w:val="001C078C"/>
    <w:rsid w:val="001C0944"/>
    <w:rsid w:val="001C17DD"/>
    <w:rsid w:val="001C18B2"/>
    <w:rsid w:val="001C2824"/>
    <w:rsid w:val="001C28CE"/>
    <w:rsid w:val="001C2B05"/>
    <w:rsid w:val="001C2F2C"/>
    <w:rsid w:val="001C41FE"/>
    <w:rsid w:val="001C443E"/>
    <w:rsid w:val="001C466F"/>
    <w:rsid w:val="001C48D4"/>
    <w:rsid w:val="001C4FF5"/>
    <w:rsid w:val="001C51D0"/>
    <w:rsid w:val="001C5D48"/>
    <w:rsid w:val="001C64AC"/>
    <w:rsid w:val="001C7566"/>
    <w:rsid w:val="001C79D5"/>
    <w:rsid w:val="001C7C93"/>
    <w:rsid w:val="001C7D2D"/>
    <w:rsid w:val="001D0ABB"/>
    <w:rsid w:val="001D143D"/>
    <w:rsid w:val="001D1877"/>
    <w:rsid w:val="001D20B3"/>
    <w:rsid w:val="001D2233"/>
    <w:rsid w:val="001D341A"/>
    <w:rsid w:val="001D36CD"/>
    <w:rsid w:val="001D3E22"/>
    <w:rsid w:val="001D41A0"/>
    <w:rsid w:val="001D47AB"/>
    <w:rsid w:val="001D4C42"/>
    <w:rsid w:val="001D4D19"/>
    <w:rsid w:val="001D4DEB"/>
    <w:rsid w:val="001D4F49"/>
    <w:rsid w:val="001D58A2"/>
    <w:rsid w:val="001D62A2"/>
    <w:rsid w:val="001D62E4"/>
    <w:rsid w:val="001D6393"/>
    <w:rsid w:val="001D644A"/>
    <w:rsid w:val="001D741A"/>
    <w:rsid w:val="001D7449"/>
    <w:rsid w:val="001D7982"/>
    <w:rsid w:val="001D7C8F"/>
    <w:rsid w:val="001D7F44"/>
    <w:rsid w:val="001E052B"/>
    <w:rsid w:val="001E0B38"/>
    <w:rsid w:val="001E1D3D"/>
    <w:rsid w:val="001E20EF"/>
    <w:rsid w:val="001E2960"/>
    <w:rsid w:val="001E29C1"/>
    <w:rsid w:val="001E2B09"/>
    <w:rsid w:val="001E31C7"/>
    <w:rsid w:val="001E3644"/>
    <w:rsid w:val="001E38ED"/>
    <w:rsid w:val="001E3DD4"/>
    <w:rsid w:val="001E47D1"/>
    <w:rsid w:val="001E4BC8"/>
    <w:rsid w:val="001E60A6"/>
    <w:rsid w:val="001E6A64"/>
    <w:rsid w:val="001E6B99"/>
    <w:rsid w:val="001E75C5"/>
    <w:rsid w:val="001F0970"/>
    <w:rsid w:val="001F1B5F"/>
    <w:rsid w:val="001F1B70"/>
    <w:rsid w:val="001F1E23"/>
    <w:rsid w:val="001F2858"/>
    <w:rsid w:val="001F321E"/>
    <w:rsid w:val="001F3AEF"/>
    <w:rsid w:val="001F3F2A"/>
    <w:rsid w:val="001F3FFE"/>
    <w:rsid w:val="001F46E6"/>
    <w:rsid w:val="001F6311"/>
    <w:rsid w:val="001F641F"/>
    <w:rsid w:val="001F69C2"/>
    <w:rsid w:val="001F6C94"/>
    <w:rsid w:val="001F7304"/>
    <w:rsid w:val="001F73A4"/>
    <w:rsid w:val="001F794C"/>
    <w:rsid w:val="0020010D"/>
    <w:rsid w:val="00200489"/>
    <w:rsid w:val="00201556"/>
    <w:rsid w:val="0020254D"/>
    <w:rsid w:val="00202D88"/>
    <w:rsid w:val="00203172"/>
    <w:rsid w:val="00203896"/>
    <w:rsid w:val="00203A64"/>
    <w:rsid w:val="00204793"/>
    <w:rsid w:val="002048D1"/>
    <w:rsid w:val="00204A0A"/>
    <w:rsid w:val="00204C6E"/>
    <w:rsid w:val="002050CE"/>
    <w:rsid w:val="00205A97"/>
    <w:rsid w:val="00205E49"/>
    <w:rsid w:val="0020611B"/>
    <w:rsid w:val="00206358"/>
    <w:rsid w:val="00206728"/>
    <w:rsid w:val="00206DC0"/>
    <w:rsid w:val="00206FAD"/>
    <w:rsid w:val="002075A4"/>
    <w:rsid w:val="0020770A"/>
    <w:rsid w:val="0020772F"/>
    <w:rsid w:val="0020789C"/>
    <w:rsid w:val="002079CB"/>
    <w:rsid w:val="00210060"/>
    <w:rsid w:val="002101D0"/>
    <w:rsid w:val="0021096E"/>
    <w:rsid w:val="002109BE"/>
    <w:rsid w:val="00210DE8"/>
    <w:rsid w:val="00211033"/>
    <w:rsid w:val="00211D73"/>
    <w:rsid w:val="00212171"/>
    <w:rsid w:val="002123F3"/>
    <w:rsid w:val="002125BB"/>
    <w:rsid w:val="00212A3E"/>
    <w:rsid w:val="0021305B"/>
    <w:rsid w:val="00213808"/>
    <w:rsid w:val="002138A1"/>
    <w:rsid w:val="00214BF2"/>
    <w:rsid w:val="0021574A"/>
    <w:rsid w:val="0021584F"/>
    <w:rsid w:val="00215A7F"/>
    <w:rsid w:val="002162DB"/>
    <w:rsid w:val="00216522"/>
    <w:rsid w:val="002169BA"/>
    <w:rsid w:val="00217BF1"/>
    <w:rsid w:val="00220358"/>
    <w:rsid w:val="002208B3"/>
    <w:rsid w:val="00220F7E"/>
    <w:rsid w:val="002213D9"/>
    <w:rsid w:val="0022188B"/>
    <w:rsid w:val="002219FE"/>
    <w:rsid w:val="00221B78"/>
    <w:rsid w:val="00221D19"/>
    <w:rsid w:val="00221EC9"/>
    <w:rsid w:val="002223FE"/>
    <w:rsid w:val="00222845"/>
    <w:rsid w:val="00222B46"/>
    <w:rsid w:val="00223189"/>
    <w:rsid w:val="002232CF"/>
    <w:rsid w:val="002235C9"/>
    <w:rsid w:val="002238F3"/>
    <w:rsid w:val="00224436"/>
    <w:rsid w:val="00224C80"/>
    <w:rsid w:val="002250D1"/>
    <w:rsid w:val="00225BCF"/>
    <w:rsid w:val="00225EB3"/>
    <w:rsid w:val="0022666B"/>
    <w:rsid w:val="0022734D"/>
    <w:rsid w:val="0022755A"/>
    <w:rsid w:val="002309A2"/>
    <w:rsid w:val="00230DE9"/>
    <w:rsid w:val="0023116B"/>
    <w:rsid w:val="0023168E"/>
    <w:rsid w:val="00231AD4"/>
    <w:rsid w:val="0023252C"/>
    <w:rsid w:val="002327E7"/>
    <w:rsid w:val="00232BFD"/>
    <w:rsid w:val="00232CEB"/>
    <w:rsid w:val="0023447F"/>
    <w:rsid w:val="0023458C"/>
    <w:rsid w:val="0023488E"/>
    <w:rsid w:val="002350B3"/>
    <w:rsid w:val="00235386"/>
    <w:rsid w:val="002355A5"/>
    <w:rsid w:val="00235742"/>
    <w:rsid w:val="00235944"/>
    <w:rsid w:val="0023639E"/>
    <w:rsid w:val="00236557"/>
    <w:rsid w:val="00236A19"/>
    <w:rsid w:val="002372BF"/>
    <w:rsid w:val="0023798E"/>
    <w:rsid w:val="00237D04"/>
    <w:rsid w:val="0024024F"/>
    <w:rsid w:val="00240391"/>
    <w:rsid w:val="00240A02"/>
    <w:rsid w:val="00241C0C"/>
    <w:rsid w:val="00241DBC"/>
    <w:rsid w:val="0024253A"/>
    <w:rsid w:val="0024295C"/>
    <w:rsid w:val="00242EE4"/>
    <w:rsid w:val="00242F79"/>
    <w:rsid w:val="0024313D"/>
    <w:rsid w:val="00243163"/>
    <w:rsid w:val="002433A9"/>
    <w:rsid w:val="00244074"/>
    <w:rsid w:val="00244127"/>
    <w:rsid w:val="0024462E"/>
    <w:rsid w:val="00244FA8"/>
    <w:rsid w:val="0024514D"/>
    <w:rsid w:val="00245A98"/>
    <w:rsid w:val="00245ABA"/>
    <w:rsid w:val="00246C28"/>
    <w:rsid w:val="002474FA"/>
    <w:rsid w:val="0024760B"/>
    <w:rsid w:val="00247AD1"/>
    <w:rsid w:val="0025051F"/>
    <w:rsid w:val="00250A94"/>
    <w:rsid w:val="00250B75"/>
    <w:rsid w:val="0025145F"/>
    <w:rsid w:val="00251BDC"/>
    <w:rsid w:val="0025286D"/>
    <w:rsid w:val="00253138"/>
    <w:rsid w:val="00253493"/>
    <w:rsid w:val="00253DE9"/>
    <w:rsid w:val="00254A4E"/>
    <w:rsid w:val="00255051"/>
    <w:rsid w:val="00255591"/>
    <w:rsid w:val="00255D2D"/>
    <w:rsid w:val="00255FA3"/>
    <w:rsid w:val="00257075"/>
    <w:rsid w:val="0025771F"/>
    <w:rsid w:val="00257AFB"/>
    <w:rsid w:val="00257BE6"/>
    <w:rsid w:val="00260D73"/>
    <w:rsid w:val="002612EC"/>
    <w:rsid w:val="002614F9"/>
    <w:rsid w:val="002617DC"/>
    <w:rsid w:val="00261884"/>
    <w:rsid w:val="002627C9"/>
    <w:rsid w:val="0026293D"/>
    <w:rsid w:val="00262EFA"/>
    <w:rsid w:val="00264157"/>
    <w:rsid w:val="002644D8"/>
    <w:rsid w:val="0026463F"/>
    <w:rsid w:val="0026570F"/>
    <w:rsid w:val="00265982"/>
    <w:rsid w:val="002666EF"/>
    <w:rsid w:val="00267D40"/>
    <w:rsid w:val="00267D76"/>
    <w:rsid w:val="00270154"/>
    <w:rsid w:val="0027062E"/>
    <w:rsid w:val="002713C4"/>
    <w:rsid w:val="00271462"/>
    <w:rsid w:val="002716E9"/>
    <w:rsid w:val="0027184D"/>
    <w:rsid w:val="00271F70"/>
    <w:rsid w:val="00272B12"/>
    <w:rsid w:val="00273DF7"/>
    <w:rsid w:val="0027408B"/>
    <w:rsid w:val="002747C0"/>
    <w:rsid w:val="002753DB"/>
    <w:rsid w:val="002754AF"/>
    <w:rsid w:val="002754E0"/>
    <w:rsid w:val="00275958"/>
    <w:rsid w:val="00276B56"/>
    <w:rsid w:val="00277198"/>
    <w:rsid w:val="00277BC9"/>
    <w:rsid w:val="00277E93"/>
    <w:rsid w:val="00277FF3"/>
    <w:rsid w:val="002802A0"/>
    <w:rsid w:val="00280F46"/>
    <w:rsid w:val="00280F62"/>
    <w:rsid w:val="002816FD"/>
    <w:rsid w:val="002816FE"/>
    <w:rsid w:val="002819EF"/>
    <w:rsid w:val="002819FD"/>
    <w:rsid w:val="00281A51"/>
    <w:rsid w:val="00281CF1"/>
    <w:rsid w:val="00282C7C"/>
    <w:rsid w:val="00282DDE"/>
    <w:rsid w:val="00283951"/>
    <w:rsid w:val="00283C69"/>
    <w:rsid w:val="00283E8A"/>
    <w:rsid w:val="00284375"/>
    <w:rsid w:val="0028445F"/>
    <w:rsid w:val="00284DA4"/>
    <w:rsid w:val="002854A2"/>
    <w:rsid w:val="002856D2"/>
    <w:rsid w:val="0028583A"/>
    <w:rsid w:val="00285851"/>
    <w:rsid w:val="002859CE"/>
    <w:rsid w:val="0028663B"/>
    <w:rsid w:val="00286B7D"/>
    <w:rsid w:val="00287368"/>
    <w:rsid w:val="00287873"/>
    <w:rsid w:val="00287D5A"/>
    <w:rsid w:val="00290293"/>
    <w:rsid w:val="00290798"/>
    <w:rsid w:val="00290F96"/>
    <w:rsid w:val="00291593"/>
    <w:rsid w:val="00291659"/>
    <w:rsid w:val="002916CC"/>
    <w:rsid w:val="0029278C"/>
    <w:rsid w:val="002929C1"/>
    <w:rsid w:val="00292CA2"/>
    <w:rsid w:val="00292E65"/>
    <w:rsid w:val="0029363A"/>
    <w:rsid w:val="00293868"/>
    <w:rsid w:val="00293E52"/>
    <w:rsid w:val="002953DB"/>
    <w:rsid w:val="002961C1"/>
    <w:rsid w:val="00296359"/>
    <w:rsid w:val="0029654A"/>
    <w:rsid w:val="0029666A"/>
    <w:rsid w:val="002968EA"/>
    <w:rsid w:val="0029697C"/>
    <w:rsid w:val="00296AD3"/>
    <w:rsid w:val="0029758A"/>
    <w:rsid w:val="002975B0"/>
    <w:rsid w:val="002979F1"/>
    <w:rsid w:val="00297BF9"/>
    <w:rsid w:val="00297C65"/>
    <w:rsid w:val="002A0012"/>
    <w:rsid w:val="002A0085"/>
    <w:rsid w:val="002A0E53"/>
    <w:rsid w:val="002A104F"/>
    <w:rsid w:val="002A13A3"/>
    <w:rsid w:val="002A13E1"/>
    <w:rsid w:val="002A163E"/>
    <w:rsid w:val="002A21E7"/>
    <w:rsid w:val="002A24BD"/>
    <w:rsid w:val="002A3248"/>
    <w:rsid w:val="002A327B"/>
    <w:rsid w:val="002A3AA6"/>
    <w:rsid w:val="002A41A1"/>
    <w:rsid w:val="002A565C"/>
    <w:rsid w:val="002A591D"/>
    <w:rsid w:val="002A5EFE"/>
    <w:rsid w:val="002A62A3"/>
    <w:rsid w:val="002A64E0"/>
    <w:rsid w:val="002A6A80"/>
    <w:rsid w:val="002A7EEA"/>
    <w:rsid w:val="002A7F74"/>
    <w:rsid w:val="002B000B"/>
    <w:rsid w:val="002B012D"/>
    <w:rsid w:val="002B0661"/>
    <w:rsid w:val="002B0846"/>
    <w:rsid w:val="002B1247"/>
    <w:rsid w:val="002B1304"/>
    <w:rsid w:val="002B1C82"/>
    <w:rsid w:val="002B1C90"/>
    <w:rsid w:val="002B1E55"/>
    <w:rsid w:val="002B2030"/>
    <w:rsid w:val="002B2210"/>
    <w:rsid w:val="002B2531"/>
    <w:rsid w:val="002B2AA8"/>
    <w:rsid w:val="002B38F0"/>
    <w:rsid w:val="002B3F68"/>
    <w:rsid w:val="002B5388"/>
    <w:rsid w:val="002B5DC1"/>
    <w:rsid w:val="002B679F"/>
    <w:rsid w:val="002B6D97"/>
    <w:rsid w:val="002B7EA1"/>
    <w:rsid w:val="002C0043"/>
    <w:rsid w:val="002C015D"/>
    <w:rsid w:val="002C04B4"/>
    <w:rsid w:val="002C0AAE"/>
    <w:rsid w:val="002C16B2"/>
    <w:rsid w:val="002C1EDE"/>
    <w:rsid w:val="002C218E"/>
    <w:rsid w:val="002C268C"/>
    <w:rsid w:val="002C2CF8"/>
    <w:rsid w:val="002C2EF9"/>
    <w:rsid w:val="002C3034"/>
    <w:rsid w:val="002C312E"/>
    <w:rsid w:val="002C3F9B"/>
    <w:rsid w:val="002C506C"/>
    <w:rsid w:val="002C50B7"/>
    <w:rsid w:val="002C565E"/>
    <w:rsid w:val="002C5981"/>
    <w:rsid w:val="002C6037"/>
    <w:rsid w:val="002C7307"/>
    <w:rsid w:val="002C7CA1"/>
    <w:rsid w:val="002D0410"/>
    <w:rsid w:val="002D0899"/>
    <w:rsid w:val="002D0F25"/>
    <w:rsid w:val="002D1707"/>
    <w:rsid w:val="002D17E2"/>
    <w:rsid w:val="002D24EC"/>
    <w:rsid w:val="002D2668"/>
    <w:rsid w:val="002D28F2"/>
    <w:rsid w:val="002D37BB"/>
    <w:rsid w:val="002D3F5B"/>
    <w:rsid w:val="002D48BF"/>
    <w:rsid w:val="002D4C36"/>
    <w:rsid w:val="002D5BAB"/>
    <w:rsid w:val="002D6817"/>
    <w:rsid w:val="002D6A2C"/>
    <w:rsid w:val="002D6C94"/>
    <w:rsid w:val="002D750F"/>
    <w:rsid w:val="002D75CE"/>
    <w:rsid w:val="002D7833"/>
    <w:rsid w:val="002D7CA6"/>
    <w:rsid w:val="002E029D"/>
    <w:rsid w:val="002E0557"/>
    <w:rsid w:val="002E0595"/>
    <w:rsid w:val="002E0AF5"/>
    <w:rsid w:val="002E0EC8"/>
    <w:rsid w:val="002E241F"/>
    <w:rsid w:val="002E2674"/>
    <w:rsid w:val="002E278F"/>
    <w:rsid w:val="002E2B8F"/>
    <w:rsid w:val="002E30E7"/>
    <w:rsid w:val="002E3805"/>
    <w:rsid w:val="002E3B4D"/>
    <w:rsid w:val="002E46A0"/>
    <w:rsid w:val="002E526E"/>
    <w:rsid w:val="002E5BDC"/>
    <w:rsid w:val="002E7795"/>
    <w:rsid w:val="002F0522"/>
    <w:rsid w:val="002F0734"/>
    <w:rsid w:val="002F09D0"/>
    <w:rsid w:val="002F16CB"/>
    <w:rsid w:val="002F2803"/>
    <w:rsid w:val="002F356E"/>
    <w:rsid w:val="002F36BA"/>
    <w:rsid w:val="002F43AA"/>
    <w:rsid w:val="002F4B74"/>
    <w:rsid w:val="002F4B95"/>
    <w:rsid w:val="002F4EB5"/>
    <w:rsid w:val="002F5CB0"/>
    <w:rsid w:val="002F5D17"/>
    <w:rsid w:val="002F6B57"/>
    <w:rsid w:val="002F6FCD"/>
    <w:rsid w:val="002F7A7D"/>
    <w:rsid w:val="002F7FD2"/>
    <w:rsid w:val="0030026A"/>
    <w:rsid w:val="00300D73"/>
    <w:rsid w:val="00300DF2"/>
    <w:rsid w:val="003012B9"/>
    <w:rsid w:val="00301975"/>
    <w:rsid w:val="00301F80"/>
    <w:rsid w:val="003021D0"/>
    <w:rsid w:val="00302A60"/>
    <w:rsid w:val="00303FD9"/>
    <w:rsid w:val="00304C15"/>
    <w:rsid w:val="00304E96"/>
    <w:rsid w:val="00304F81"/>
    <w:rsid w:val="0030542C"/>
    <w:rsid w:val="00305594"/>
    <w:rsid w:val="00305599"/>
    <w:rsid w:val="003062E5"/>
    <w:rsid w:val="0030650D"/>
    <w:rsid w:val="00306691"/>
    <w:rsid w:val="003066F6"/>
    <w:rsid w:val="0030738B"/>
    <w:rsid w:val="00310358"/>
    <w:rsid w:val="00310418"/>
    <w:rsid w:val="003110F7"/>
    <w:rsid w:val="003112A6"/>
    <w:rsid w:val="00311513"/>
    <w:rsid w:val="00311D54"/>
    <w:rsid w:val="00312014"/>
    <w:rsid w:val="00312099"/>
    <w:rsid w:val="003128EB"/>
    <w:rsid w:val="00312AB8"/>
    <w:rsid w:val="00312E10"/>
    <w:rsid w:val="00312E69"/>
    <w:rsid w:val="00312FFC"/>
    <w:rsid w:val="003132E0"/>
    <w:rsid w:val="003134A9"/>
    <w:rsid w:val="003137D9"/>
    <w:rsid w:val="00314A7B"/>
    <w:rsid w:val="00314D50"/>
    <w:rsid w:val="00314E15"/>
    <w:rsid w:val="003150BF"/>
    <w:rsid w:val="003150CE"/>
    <w:rsid w:val="0031540C"/>
    <w:rsid w:val="00315E92"/>
    <w:rsid w:val="00316FFA"/>
    <w:rsid w:val="003172D2"/>
    <w:rsid w:val="003178AD"/>
    <w:rsid w:val="00317D44"/>
    <w:rsid w:val="00320D5C"/>
    <w:rsid w:val="003214B6"/>
    <w:rsid w:val="0032164C"/>
    <w:rsid w:val="003218DA"/>
    <w:rsid w:val="00321B93"/>
    <w:rsid w:val="00321C33"/>
    <w:rsid w:val="00322050"/>
    <w:rsid w:val="003223D5"/>
    <w:rsid w:val="00322558"/>
    <w:rsid w:val="00322E7D"/>
    <w:rsid w:val="00323B9E"/>
    <w:rsid w:val="00324072"/>
    <w:rsid w:val="00324668"/>
    <w:rsid w:val="0032466A"/>
    <w:rsid w:val="003246AE"/>
    <w:rsid w:val="00325131"/>
    <w:rsid w:val="00325285"/>
    <w:rsid w:val="0032555B"/>
    <w:rsid w:val="00325934"/>
    <w:rsid w:val="00325C06"/>
    <w:rsid w:val="00326115"/>
    <w:rsid w:val="00327690"/>
    <w:rsid w:val="00327A69"/>
    <w:rsid w:val="00327C16"/>
    <w:rsid w:val="00330281"/>
    <w:rsid w:val="003302EA"/>
    <w:rsid w:val="00330804"/>
    <w:rsid w:val="00330AE6"/>
    <w:rsid w:val="00331B32"/>
    <w:rsid w:val="00332918"/>
    <w:rsid w:val="003336C5"/>
    <w:rsid w:val="00333D5B"/>
    <w:rsid w:val="0033402F"/>
    <w:rsid w:val="0033464C"/>
    <w:rsid w:val="00334A6B"/>
    <w:rsid w:val="00334EEB"/>
    <w:rsid w:val="00335468"/>
    <w:rsid w:val="003363D0"/>
    <w:rsid w:val="00336562"/>
    <w:rsid w:val="003365AF"/>
    <w:rsid w:val="003366B2"/>
    <w:rsid w:val="00336E46"/>
    <w:rsid w:val="00340066"/>
    <w:rsid w:val="0034033C"/>
    <w:rsid w:val="00340413"/>
    <w:rsid w:val="00340E4A"/>
    <w:rsid w:val="00340EE3"/>
    <w:rsid w:val="0034122D"/>
    <w:rsid w:val="003419D8"/>
    <w:rsid w:val="00341AEF"/>
    <w:rsid w:val="00342649"/>
    <w:rsid w:val="0034268F"/>
    <w:rsid w:val="0034288B"/>
    <w:rsid w:val="00342F78"/>
    <w:rsid w:val="0034332B"/>
    <w:rsid w:val="00343350"/>
    <w:rsid w:val="0034354D"/>
    <w:rsid w:val="003440CE"/>
    <w:rsid w:val="003441C0"/>
    <w:rsid w:val="0034495E"/>
    <w:rsid w:val="00344DD7"/>
    <w:rsid w:val="003450CB"/>
    <w:rsid w:val="0034594E"/>
    <w:rsid w:val="00345988"/>
    <w:rsid w:val="00345FD7"/>
    <w:rsid w:val="0034630C"/>
    <w:rsid w:val="0034681C"/>
    <w:rsid w:val="00346E02"/>
    <w:rsid w:val="00346E29"/>
    <w:rsid w:val="003475F8"/>
    <w:rsid w:val="00347DCE"/>
    <w:rsid w:val="00347E23"/>
    <w:rsid w:val="00350365"/>
    <w:rsid w:val="003503B2"/>
    <w:rsid w:val="0035068C"/>
    <w:rsid w:val="00350F6D"/>
    <w:rsid w:val="0035162A"/>
    <w:rsid w:val="00351CE6"/>
    <w:rsid w:val="003526FA"/>
    <w:rsid w:val="00352A1C"/>
    <w:rsid w:val="003532EC"/>
    <w:rsid w:val="00353482"/>
    <w:rsid w:val="0035359C"/>
    <w:rsid w:val="0035384E"/>
    <w:rsid w:val="00354489"/>
    <w:rsid w:val="00354706"/>
    <w:rsid w:val="00355181"/>
    <w:rsid w:val="003554CF"/>
    <w:rsid w:val="00356658"/>
    <w:rsid w:val="003568B5"/>
    <w:rsid w:val="00356F17"/>
    <w:rsid w:val="003578CA"/>
    <w:rsid w:val="00357F34"/>
    <w:rsid w:val="003600A8"/>
    <w:rsid w:val="003600FE"/>
    <w:rsid w:val="00360B52"/>
    <w:rsid w:val="00360DB8"/>
    <w:rsid w:val="00361035"/>
    <w:rsid w:val="00361267"/>
    <w:rsid w:val="00361E11"/>
    <w:rsid w:val="00362473"/>
    <w:rsid w:val="0036284D"/>
    <w:rsid w:val="003629ED"/>
    <w:rsid w:val="0036427D"/>
    <w:rsid w:val="003652C0"/>
    <w:rsid w:val="0036617B"/>
    <w:rsid w:val="00366524"/>
    <w:rsid w:val="00366731"/>
    <w:rsid w:val="00367BBE"/>
    <w:rsid w:val="00367CA0"/>
    <w:rsid w:val="0037030C"/>
    <w:rsid w:val="003706F7"/>
    <w:rsid w:val="00371AF4"/>
    <w:rsid w:val="00371B2E"/>
    <w:rsid w:val="00371EE1"/>
    <w:rsid w:val="00372532"/>
    <w:rsid w:val="0037280B"/>
    <w:rsid w:val="003735FF"/>
    <w:rsid w:val="00373870"/>
    <w:rsid w:val="003738C2"/>
    <w:rsid w:val="00373BDD"/>
    <w:rsid w:val="00373E58"/>
    <w:rsid w:val="00373F6D"/>
    <w:rsid w:val="003743A5"/>
    <w:rsid w:val="00374751"/>
    <w:rsid w:val="00374E65"/>
    <w:rsid w:val="00375190"/>
    <w:rsid w:val="0037588C"/>
    <w:rsid w:val="00375D68"/>
    <w:rsid w:val="00376073"/>
    <w:rsid w:val="00376364"/>
    <w:rsid w:val="003770CC"/>
    <w:rsid w:val="00377452"/>
    <w:rsid w:val="0037755B"/>
    <w:rsid w:val="0037776B"/>
    <w:rsid w:val="00380756"/>
    <w:rsid w:val="003807EB"/>
    <w:rsid w:val="00381223"/>
    <w:rsid w:val="00381849"/>
    <w:rsid w:val="00381BE9"/>
    <w:rsid w:val="00381C7E"/>
    <w:rsid w:val="00381C8B"/>
    <w:rsid w:val="00381F9A"/>
    <w:rsid w:val="0038208C"/>
    <w:rsid w:val="003823A0"/>
    <w:rsid w:val="00382530"/>
    <w:rsid w:val="00383B98"/>
    <w:rsid w:val="00383CD0"/>
    <w:rsid w:val="0038402A"/>
    <w:rsid w:val="003847C1"/>
    <w:rsid w:val="00384C02"/>
    <w:rsid w:val="00384EA4"/>
    <w:rsid w:val="00384F36"/>
    <w:rsid w:val="003850C9"/>
    <w:rsid w:val="00385271"/>
    <w:rsid w:val="00385506"/>
    <w:rsid w:val="003866B8"/>
    <w:rsid w:val="00386C59"/>
    <w:rsid w:val="00386F33"/>
    <w:rsid w:val="00387C50"/>
    <w:rsid w:val="00387CD2"/>
    <w:rsid w:val="00387DBD"/>
    <w:rsid w:val="0039013F"/>
    <w:rsid w:val="0039039E"/>
    <w:rsid w:val="00391C5F"/>
    <w:rsid w:val="0039226E"/>
    <w:rsid w:val="003927F7"/>
    <w:rsid w:val="0039290C"/>
    <w:rsid w:val="00392B06"/>
    <w:rsid w:val="00392CC8"/>
    <w:rsid w:val="00392D2C"/>
    <w:rsid w:val="00392E1D"/>
    <w:rsid w:val="00392E3F"/>
    <w:rsid w:val="003933FA"/>
    <w:rsid w:val="0039359B"/>
    <w:rsid w:val="003941ED"/>
    <w:rsid w:val="003952CE"/>
    <w:rsid w:val="003956EE"/>
    <w:rsid w:val="003957E6"/>
    <w:rsid w:val="003958A4"/>
    <w:rsid w:val="00395A57"/>
    <w:rsid w:val="003963D2"/>
    <w:rsid w:val="00396910"/>
    <w:rsid w:val="00396963"/>
    <w:rsid w:val="00397708"/>
    <w:rsid w:val="003A2017"/>
    <w:rsid w:val="003A210A"/>
    <w:rsid w:val="003A2572"/>
    <w:rsid w:val="003A2640"/>
    <w:rsid w:val="003A3C04"/>
    <w:rsid w:val="003A3FF7"/>
    <w:rsid w:val="003A4834"/>
    <w:rsid w:val="003A48CC"/>
    <w:rsid w:val="003A4961"/>
    <w:rsid w:val="003A4A89"/>
    <w:rsid w:val="003A5754"/>
    <w:rsid w:val="003A5C01"/>
    <w:rsid w:val="003A64DF"/>
    <w:rsid w:val="003A66CC"/>
    <w:rsid w:val="003A6727"/>
    <w:rsid w:val="003A6B6C"/>
    <w:rsid w:val="003A7091"/>
    <w:rsid w:val="003A72EF"/>
    <w:rsid w:val="003A7602"/>
    <w:rsid w:val="003A7B68"/>
    <w:rsid w:val="003A7D2F"/>
    <w:rsid w:val="003A7E21"/>
    <w:rsid w:val="003B035C"/>
    <w:rsid w:val="003B1867"/>
    <w:rsid w:val="003B1951"/>
    <w:rsid w:val="003B1EF1"/>
    <w:rsid w:val="003B20CA"/>
    <w:rsid w:val="003B2909"/>
    <w:rsid w:val="003B3E84"/>
    <w:rsid w:val="003B49B2"/>
    <w:rsid w:val="003B49E9"/>
    <w:rsid w:val="003B4A68"/>
    <w:rsid w:val="003B4EED"/>
    <w:rsid w:val="003B6B2C"/>
    <w:rsid w:val="003B7651"/>
    <w:rsid w:val="003C0B5A"/>
    <w:rsid w:val="003C136B"/>
    <w:rsid w:val="003C16A8"/>
    <w:rsid w:val="003C1A8E"/>
    <w:rsid w:val="003C1AE1"/>
    <w:rsid w:val="003C1F06"/>
    <w:rsid w:val="003C266A"/>
    <w:rsid w:val="003C404F"/>
    <w:rsid w:val="003C4656"/>
    <w:rsid w:val="003C478E"/>
    <w:rsid w:val="003C4C76"/>
    <w:rsid w:val="003C5057"/>
    <w:rsid w:val="003C5322"/>
    <w:rsid w:val="003C55E5"/>
    <w:rsid w:val="003C583B"/>
    <w:rsid w:val="003C5C39"/>
    <w:rsid w:val="003C5D55"/>
    <w:rsid w:val="003C602A"/>
    <w:rsid w:val="003C63F4"/>
    <w:rsid w:val="003C6506"/>
    <w:rsid w:val="003C739E"/>
    <w:rsid w:val="003C73AC"/>
    <w:rsid w:val="003C75C8"/>
    <w:rsid w:val="003D14F4"/>
    <w:rsid w:val="003D1759"/>
    <w:rsid w:val="003D1896"/>
    <w:rsid w:val="003D19A5"/>
    <w:rsid w:val="003D1F5F"/>
    <w:rsid w:val="003D241A"/>
    <w:rsid w:val="003D29EF"/>
    <w:rsid w:val="003D2E35"/>
    <w:rsid w:val="003D2FD3"/>
    <w:rsid w:val="003D3635"/>
    <w:rsid w:val="003D3AE0"/>
    <w:rsid w:val="003D3B14"/>
    <w:rsid w:val="003D3BC5"/>
    <w:rsid w:val="003D3D2D"/>
    <w:rsid w:val="003D41F2"/>
    <w:rsid w:val="003D563F"/>
    <w:rsid w:val="003D5998"/>
    <w:rsid w:val="003D62F7"/>
    <w:rsid w:val="003D6619"/>
    <w:rsid w:val="003D6B4B"/>
    <w:rsid w:val="003D6BE4"/>
    <w:rsid w:val="003D6F2F"/>
    <w:rsid w:val="003D7D06"/>
    <w:rsid w:val="003E1035"/>
    <w:rsid w:val="003E11E9"/>
    <w:rsid w:val="003E1472"/>
    <w:rsid w:val="003E17F2"/>
    <w:rsid w:val="003E19F7"/>
    <w:rsid w:val="003E1EB2"/>
    <w:rsid w:val="003E2861"/>
    <w:rsid w:val="003E324F"/>
    <w:rsid w:val="003E34FE"/>
    <w:rsid w:val="003E3631"/>
    <w:rsid w:val="003E3754"/>
    <w:rsid w:val="003E3DBF"/>
    <w:rsid w:val="003E420B"/>
    <w:rsid w:val="003E492C"/>
    <w:rsid w:val="003E4FF2"/>
    <w:rsid w:val="003E5DB7"/>
    <w:rsid w:val="003E5F04"/>
    <w:rsid w:val="003E6E46"/>
    <w:rsid w:val="003E6F79"/>
    <w:rsid w:val="003E70E5"/>
    <w:rsid w:val="003E710D"/>
    <w:rsid w:val="003E76CB"/>
    <w:rsid w:val="003E7A9C"/>
    <w:rsid w:val="003F0612"/>
    <w:rsid w:val="003F11A4"/>
    <w:rsid w:val="003F1329"/>
    <w:rsid w:val="003F1478"/>
    <w:rsid w:val="003F149C"/>
    <w:rsid w:val="003F1661"/>
    <w:rsid w:val="003F1667"/>
    <w:rsid w:val="003F19AD"/>
    <w:rsid w:val="003F2173"/>
    <w:rsid w:val="003F328F"/>
    <w:rsid w:val="003F3C56"/>
    <w:rsid w:val="003F3C5B"/>
    <w:rsid w:val="003F3D0D"/>
    <w:rsid w:val="003F3EB2"/>
    <w:rsid w:val="003F4510"/>
    <w:rsid w:val="003F4801"/>
    <w:rsid w:val="003F4A86"/>
    <w:rsid w:val="003F4BDF"/>
    <w:rsid w:val="003F531A"/>
    <w:rsid w:val="003F62CA"/>
    <w:rsid w:val="003F6717"/>
    <w:rsid w:val="003F7969"/>
    <w:rsid w:val="003F7C9E"/>
    <w:rsid w:val="00400E72"/>
    <w:rsid w:val="0040131B"/>
    <w:rsid w:val="00401730"/>
    <w:rsid w:val="00401F8C"/>
    <w:rsid w:val="004020DE"/>
    <w:rsid w:val="00402386"/>
    <w:rsid w:val="004025E8"/>
    <w:rsid w:val="00402768"/>
    <w:rsid w:val="004029CD"/>
    <w:rsid w:val="00402AD4"/>
    <w:rsid w:val="00402BA1"/>
    <w:rsid w:val="00403BC2"/>
    <w:rsid w:val="00403D77"/>
    <w:rsid w:val="00403E99"/>
    <w:rsid w:val="00404B18"/>
    <w:rsid w:val="00404BFD"/>
    <w:rsid w:val="00404C36"/>
    <w:rsid w:val="00404F08"/>
    <w:rsid w:val="00405248"/>
    <w:rsid w:val="004063EA"/>
    <w:rsid w:val="00406F38"/>
    <w:rsid w:val="00407AEC"/>
    <w:rsid w:val="00407CCE"/>
    <w:rsid w:val="00407DDB"/>
    <w:rsid w:val="004105CF"/>
    <w:rsid w:val="004106BE"/>
    <w:rsid w:val="004107CA"/>
    <w:rsid w:val="0041111A"/>
    <w:rsid w:val="004111BC"/>
    <w:rsid w:val="00411441"/>
    <w:rsid w:val="004114CB"/>
    <w:rsid w:val="0041170C"/>
    <w:rsid w:val="00411ADF"/>
    <w:rsid w:val="00412103"/>
    <w:rsid w:val="004125F4"/>
    <w:rsid w:val="004126D4"/>
    <w:rsid w:val="00412D18"/>
    <w:rsid w:val="00413624"/>
    <w:rsid w:val="00413D8E"/>
    <w:rsid w:val="00414625"/>
    <w:rsid w:val="00414703"/>
    <w:rsid w:val="004149A4"/>
    <w:rsid w:val="0041525C"/>
    <w:rsid w:val="00415D2B"/>
    <w:rsid w:val="004162AE"/>
    <w:rsid w:val="004168D0"/>
    <w:rsid w:val="00416929"/>
    <w:rsid w:val="00416C0A"/>
    <w:rsid w:val="00417711"/>
    <w:rsid w:val="004178D4"/>
    <w:rsid w:val="00417F2C"/>
    <w:rsid w:val="00420312"/>
    <w:rsid w:val="00420973"/>
    <w:rsid w:val="00420C27"/>
    <w:rsid w:val="00421941"/>
    <w:rsid w:val="00422115"/>
    <w:rsid w:val="00422AB3"/>
    <w:rsid w:val="004234D6"/>
    <w:rsid w:val="00423C58"/>
    <w:rsid w:val="00423D72"/>
    <w:rsid w:val="004244EB"/>
    <w:rsid w:val="00424657"/>
    <w:rsid w:val="00424913"/>
    <w:rsid w:val="00424DE2"/>
    <w:rsid w:val="004250F6"/>
    <w:rsid w:val="004259B6"/>
    <w:rsid w:val="004261FA"/>
    <w:rsid w:val="004269AC"/>
    <w:rsid w:val="00426B4C"/>
    <w:rsid w:val="00430224"/>
    <w:rsid w:val="00430BBF"/>
    <w:rsid w:val="00430E16"/>
    <w:rsid w:val="004317B3"/>
    <w:rsid w:val="00432528"/>
    <w:rsid w:val="004325D2"/>
    <w:rsid w:val="00432836"/>
    <w:rsid w:val="00432A6F"/>
    <w:rsid w:val="00432C52"/>
    <w:rsid w:val="00433C8C"/>
    <w:rsid w:val="00433CEE"/>
    <w:rsid w:val="00434072"/>
    <w:rsid w:val="00435BC2"/>
    <w:rsid w:val="0043637A"/>
    <w:rsid w:val="0043647C"/>
    <w:rsid w:val="004364C2"/>
    <w:rsid w:val="00436F6D"/>
    <w:rsid w:val="004373D1"/>
    <w:rsid w:val="0043778D"/>
    <w:rsid w:val="00437854"/>
    <w:rsid w:val="0044124B"/>
    <w:rsid w:val="00441FBE"/>
    <w:rsid w:val="004424BD"/>
    <w:rsid w:val="00442C48"/>
    <w:rsid w:val="004438EB"/>
    <w:rsid w:val="004443C7"/>
    <w:rsid w:val="0044484F"/>
    <w:rsid w:val="00444C1F"/>
    <w:rsid w:val="00444C70"/>
    <w:rsid w:val="004454C2"/>
    <w:rsid w:val="004455A4"/>
    <w:rsid w:val="00445937"/>
    <w:rsid w:val="004462F6"/>
    <w:rsid w:val="0044721C"/>
    <w:rsid w:val="00447347"/>
    <w:rsid w:val="004478BE"/>
    <w:rsid w:val="00447F33"/>
    <w:rsid w:val="00447FFE"/>
    <w:rsid w:val="00450060"/>
    <w:rsid w:val="0045070C"/>
    <w:rsid w:val="004509D4"/>
    <w:rsid w:val="00450A27"/>
    <w:rsid w:val="00451088"/>
    <w:rsid w:val="004510EF"/>
    <w:rsid w:val="0045129A"/>
    <w:rsid w:val="00451B08"/>
    <w:rsid w:val="00451EC2"/>
    <w:rsid w:val="00453F79"/>
    <w:rsid w:val="00455140"/>
    <w:rsid w:val="00455169"/>
    <w:rsid w:val="00455826"/>
    <w:rsid w:val="00456AA7"/>
    <w:rsid w:val="00457276"/>
    <w:rsid w:val="004572A8"/>
    <w:rsid w:val="00457425"/>
    <w:rsid w:val="00457CCB"/>
    <w:rsid w:val="00460533"/>
    <w:rsid w:val="004609FC"/>
    <w:rsid w:val="004615C8"/>
    <w:rsid w:val="00461DA5"/>
    <w:rsid w:val="0046307D"/>
    <w:rsid w:val="00463357"/>
    <w:rsid w:val="004638DA"/>
    <w:rsid w:val="00463A04"/>
    <w:rsid w:val="00463CFB"/>
    <w:rsid w:val="00463E1E"/>
    <w:rsid w:val="00463E63"/>
    <w:rsid w:val="00464854"/>
    <w:rsid w:val="00465255"/>
    <w:rsid w:val="004659DF"/>
    <w:rsid w:val="0046609D"/>
    <w:rsid w:val="004666A0"/>
    <w:rsid w:val="00466E04"/>
    <w:rsid w:val="00466EF0"/>
    <w:rsid w:val="004674B1"/>
    <w:rsid w:val="00470CD9"/>
    <w:rsid w:val="00471897"/>
    <w:rsid w:val="0047195C"/>
    <w:rsid w:val="00472068"/>
    <w:rsid w:val="0047342E"/>
    <w:rsid w:val="00473718"/>
    <w:rsid w:val="00473869"/>
    <w:rsid w:val="0047410E"/>
    <w:rsid w:val="004742C8"/>
    <w:rsid w:val="004751EC"/>
    <w:rsid w:val="0047565F"/>
    <w:rsid w:val="004761E9"/>
    <w:rsid w:val="00476E02"/>
    <w:rsid w:val="00477B04"/>
    <w:rsid w:val="00477FFB"/>
    <w:rsid w:val="0048023D"/>
    <w:rsid w:val="0048054A"/>
    <w:rsid w:val="00480858"/>
    <w:rsid w:val="00480AE4"/>
    <w:rsid w:val="004814B4"/>
    <w:rsid w:val="004818E8"/>
    <w:rsid w:val="00481BCF"/>
    <w:rsid w:val="0048261C"/>
    <w:rsid w:val="00482C43"/>
    <w:rsid w:val="00482F67"/>
    <w:rsid w:val="00483006"/>
    <w:rsid w:val="0048372E"/>
    <w:rsid w:val="004839C1"/>
    <w:rsid w:val="0048472A"/>
    <w:rsid w:val="004847BA"/>
    <w:rsid w:val="00484915"/>
    <w:rsid w:val="00484ACB"/>
    <w:rsid w:val="00485961"/>
    <w:rsid w:val="00485ADF"/>
    <w:rsid w:val="00485B09"/>
    <w:rsid w:val="004868E5"/>
    <w:rsid w:val="00486B68"/>
    <w:rsid w:val="00487006"/>
    <w:rsid w:val="00487387"/>
    <w:rsid w:val="00490E50"/>
    <w:rsid w:val="00490ECC"/>
    <w:rsid w:val="004910BE"/>
    <w:rsid w:val="00491984"/>
    <w:rsid w:val="004919FD"/>
    <w:rsid w:val="004926BE"/>
    <w:rsid w:val="00492ED3"/>
    <w:rsid w:val="004934D1"/>
    <w:rsid w:val="00493FB3"/>
    <w:rsid w:val="00494FF7"/>
    <w:rsid w:val="004950B0"/>
    <w:rsid w:val="00495575"/>
    <w:rsid w:val="00495987"/>
    <w:rsid w:val="00496E43"/>
    <w:rsid w:val="00497104"/>
    <w:rsid w:val="00497726"/>
    <w:rsid w:val="00497B76"/>
    <w:rsid w:val="00497E53"/>
    <w:rsid w:val="004A02EB"/>
    <w:rsid w:val="004A06FC"/>
    <w:rsid w:val="004A0752"/>
    <w:rsid w:val="004A07CC"/>
    <w:rsid w:val="004A1239"/>
    <w:rsid w:val="004A132C"/>
    <w:rsid w:val="004A1D55"/>
    <w:rsid w:val="004A2BC4"/>
    <w:rsid w:val="004A364F"/>
    <w:rsid w:val="004A63C2"/>
    <w:rsid w:val="004A6A3F"/>
    <w:rsid w:val="004A7547"/>
    <w:rsid w:val="004A7E59"/>
    <w:rsid w:val="004B077E"/>
    <w:rsid w:val="004B0885"/>
    <w:rsid w:val="004B0A4C"/>
    <w:rsid w:val="004B0F96"/>
    <w:rsid w:val="004B10D4"/>
    <w:rsid w:val="004B13E7"/>
    <w:rsid w:val="004B1A8C"/>
    <w:rsid w:val="004B2492"/>
    <w:rsid w:val="004B26D9"/>
    <w:rsid w:val="004B2C5E"/>
    <w:rsid w:val="004B4574"/>
    <w:rsid w:val="004B598D"/>
    <w:rsid w:val="004B59C8"/>
    <w:rsid w:val="004B5A5F"/>
    <w:rsid w:val="004B5E16"/>
    <w:rsid w:val="004B5F99"/>
    <w:rsid w:val="004B6AA1"/>
    <w:rsid w:val="004B6C09"/>
    <w:rsid w:val="004B6D42"/>
    <w:rsid w:val="004B71D3"/>
    <w:rsid w:val="004B774B"/>
    <w:rsid w:val="004B7C1F"/>
    <w:rsid w:val="004B7EBA"/>
    <w:rsid w:val="004C0948"/>
    <w:rsid w:val="004C09AC"/>
    <w:rsid w:val="004C0BA7"/>
    <w:rsid w:val="004C0BFA"/>
    <w:rsid w:val="004C104E"/>
    <w:rsid w:val="004C15E1"/>
    <w:rsid w:val="004C1B12"/>
    <w:rsid w:val="004C2D8E"/>
    <w:rsid w:val="004C38A5"/>
    <w:rsid w:val="004C3E08"/>
    <w:rsid w:val="004C4241"/>
    <w:rsid w:val="004C4629"/>
    <w:rsid w:val="004C4A59"/>
    <w:rsid w:val="004C4B71"/>
    <w:rsid w:val="004C4DF7"/>
    <w:rsid w:val="004C5265"/>
    <w:rsid w:val="004C55E6"/>
    <w:rsid w:val="004C610F"/>
    <w:rsid w:val="004C63D5"/>
    <w:rsid w:val="004C652A"/>
    <w:rsid w:val="004C6627"/>
    <w:rsid w:val="004C6F27"/>
    <w:rsid w:val="004C6FAB"/>
    <w:rsid w:val="004C7774"/>
    <w:rsid w:val="004C7CB0"/>
    <w:rsid w:val="004C7E5F"/>
    <w:rsid w:val="004C7E73"/>
    <w:rsid w:val="004D087E"/>
    <w:rsid w:val="004D0CDD"/>
    <w:rsid w:val="004D117D"/>
    <w:rsid w:val="004D19DB"/>
    <w:rsid w:val="004D1A1B"/>
    <w:rsid w:val="004D1E88"/>
    <w:rsid w:val="004D255B"/>
    <w:rsid w:val="004D3B0A"/>
    <w:rsid w:val="004D3CD7"/>
    <w:rsid w:val="004D3F62"/>
    <w:rsid w:val="004D4072"/>
    <w:rsid w:val="004D466C"/>
    <w:rsid w:val="004D47AF"/>
    <w:rsid w:val="004D4915"/>
    <w:rsid w:val="004D5571"/>
    <w:rsid w:val="004D58DE"/>
    <w:rsid w:val="004D593E"/>
    <w:rsid w:val="004D5B4F"/>
    <w:rsid w:val="004D5DD0"/>
    <w:rsid w:val="004D5FFB"/>
    <w:rsid w:val="004D6167"/>
    <w:rsid w:val="004D63E2"/>
    <w:rsid w:val="004D6849"/>
    <w:rsid w:val="004D73CE"/>
    <w:rsid w:val="004D7941"/>
    <w:rsid w:val="004E0072"/>
    <w:rsid w:val="004E0752"/>
    <w:rsid w:val="004E0AF8"/>
    <w:rsid w:val="004E19DD"/>
    <w:rsid w:val="004E2563"/>
    <w:rsid w:val="004E26F1"/>
    <w:rsid w:val="004E3562"/>
    <w:rsid w:val="004E3F30"/>
    <w:rsid w:val="004E4285"/>
    <w:rsid w:val="004E4541"/>
    <w:rsid w:val="004E462C"/>
    <w:rsid w:val="004E46F8"/>
    <w:rsid w:val="004E4D68"/>
    <w:rsid w:val="004E4EC1"/>
    <w:rsid w:val="004E50C8"/>
    <w:rsid w:val="004E52A9"/>
    <w:rsid w:val="004E5708"/>
    <w:rsid w:val="004E5BA1"/>
    <w:rsid w:val="004E5C3A"/>
    <w:rsid w:val="004E611C"/>
    <w:rsid w:val="004E653E"/>
    <w:rsid w:val="004E65F5"/>
    <w:rsid w:val="004E7294"/>
    <w:rsid w:val="004E76CE"/>
    <w:rsid w:val="004F0E90"/>
    <w:rsid w:val="004F13DA"/>
    <w:rsid w:val="004F2084"/>
    <w:rsid w:val="004F243C"/>
    <w:rsid w:val="004F25C4"/>
    <w:rsid w:val="004F2D77"/>
    <w:rsid w:val="004F31EE"/>
    <w:rsid w:val="004F3274"/>
    <w:rsid w:val="004F376D"/>
    <w:rsid w:val="004F3C00"/>
    <w:rsid w:val="004F3E22"/>
    <w:rsid w:val="004F3E28"/>
    <w:rsid w:val="004F42CB"/>
    <w:rsid w:val="004F4620"/>
    <w:rsid w:val="004F488B"/>
    <w:rsid w:val="004F4A5E"/>
    <w:rsid w:val="004F4BCE"/>
    <w:rsid w:val="004F4DFF"/>
    <w:rsid w:val="004F4FED"/>
    <w:rsid w:val="004F5034"/>
    <w:rsid w:val="004F559C"/>
    <w:rsid w:val="004F621F"/>
    <w:rsid w:val="004F73C6"/>
    <w:rsid w:val="004F7537"/>
    <w:rsid w:val="004F75FA"/>
    <w:rsid w:val="00500478"/>
    <w:rsid w:val="0050054D"/>
    <w:rsid w:val="00500CB5"/>
    <w:rsid w:val="00501642"/>
    <w:rsid w:val="00501C1B"/>
    <w:rsid w:val="0050240D"/>
    <w:rsid w:val="00502500"/>
    <w:rsid w:val="005027E4"/>
    <w:rsid w:val="00502903"/>
    <w:rsid w:val="00502EAE"/>
    <w:rsid w:val="005031C8"/>
    <w:rsid w:val="00503A1B"/>
    <w:rsid w:val="00503D6B"/>
    <w:rsid w:val="0050500F"/>
    <w:rsid w:val="00505279"/>
    <w:rsid w:val="005060B0"/>
    <w:rsid w:val="005063E1"/>
    <w:rsid w:val="00506461"/>
    <w:rsid w:val="005066D4"/>
    <w:rsid w:val="00507CC5"/>
    <w:rsid w:val="00507E94"/>
    <w:rsid w:val="00507F79"/>
    <w:rsid w:val="00510751"/>
    <w:rsid w:val="00511072"/>
    <w:rsid w:val="00511518"/>
    <w:rsid w:val="0051194C"/>
    <w:rsid w:val="00511B0A"/>
    <w:rsid w:val="0051239B"/>
    <w:rsid w:val="005123AB"/>
    <w:rsid w:val="00513550"/>
    <w:rsid w:val="00513560"/>
    <w:rsid w:val="00514F74"/>
    <w:rsid w:val="00515492"/>
    <w:rsid w:val="00515897"/>
    <w:rsid w:val="00515F3A"/>
    <w:rsid w:val="00516BBB"/>
    <w:rsid w:val="0051705B"/>
    <w:rsid w:val="00517228"/>
    <w:rsid w:val="005176AE"/>
    <w:rsid w:val="005202C2"/>
    <w:rsid w:val="00520783"/>
    <w:rsid w:val="00520A94"/>
    <w:rsid w:val="00520AC9"/>
    <w:rsid w:val="005210DE"/>
    <w:rsid w:val="005217DF"/>
    <w:rsid w:val="00522C44"/>
    <w:rsid w:val="00523CBE"/>
    <w:rsid w:val="00523E83"/>
    <w:rsid w:val="005240F5"/>
    <w:rsid w:val="005248BB"/>
    <w:rsid w:val="00524BC3"/>
    <w:rsid w:val="00525F5A"/>
    <w:rsid w:val="005260DA"/>
    <w:rsid w:val="00526EEA"/>
    <w:rsid w:val="005273BC"/>
    <w:rsid w:val="00527C28"/>
    <w:rsid w:val="005308A5"/>
    <w:rsid w:val="00530BD2"/>
    <w:rsid w:val="005311DE"/>
    <w:rsid w:val="005314E9"/>
    <w:rsid w:val="00531723"/>
    <w:rsid w:val="00531B84"/>
    <w:rsid w:val="00532043"/>
    <w:rsid w:val="0053275E"/>
    <w:rsid w:val="0053323D"/>
    <w:rsid w:val="0053324F"/>
    <w:rsid w:val="005346DC"/>
    <w:rsid w:val="00534744"/>
    <w:rsid w:val="005347CF"/>
    <w:rsid w:val="005348BF"/>
    <w:rsid w:val="00534EE5"/>
    <w:rsid w:val="00534F53"/>
    <w:rsid w:val="00535015"/>
    <w:rsid w:val="00536A23"/>
    <w:rsid w:val="005370EC"/>
    <w:rsid w:val="005401A3"/>
    <w:rsid w:val="005409A4"/>
    <w:rsid w:val="005409B7"/>
    <w:rsid w:val="00541922"/>
    <w:rsid w:val="005419CA"/>
    <w:rsid w:val="00541E10"/>
    <w:rsid w:val="00541EA7"/>
    <w:rsid w:val="00541EF9"/>
    <w:rsid w:val="00542714"/>
    <w:rsid w:val="005431CF"/>
    <w:rsid w:val="00543C72"/>
    <w:rsid w:val="00543D0A"/>
    <w:rsid w:val="00543D80"/>
    <w:rsid w:val="00544459"/>
    <w:rsid w:val="00544596"/>
    <w:rsid w:val="0054492D"/>
    <w:rsid w:val="00544E69"/>
    <w:rsid w:val="00544EFB"/>
    <w:rsid w:val="00545163"/>
    <w:rsid w:val="005454F3"/>
    <w:rsid w:val="005455E5"/>
    <w:rsid w:val="005466EC"/>
    <w:rsid w:val="0054681B"/>
    <w:rsid w:val="00546CB0"/>
    <w:rsid w:val="00546DC4"/>
    <w:rsid w:val="00547349"/>
    <w:rsid w:val="00547716"/>
    <w:rsid w:val="0054779A"/>
    <w:rsid w:val="00547B63"/>
    <w:rsid w:val="00547BA1"/>
    <w:rsid w:val="00547D67"/>
    <w:rsid w:val="00547F2E"/>
    <w:rsid w:val="00550149"/>
    <w:rsid w:val="005502AC"/>
    <w:rsid w:val="00550780"/>
    <w:rsid w:val="00550C19"/>
    <w:rsid w:val="00551090"/>
    <w:rsid w:val="00551A38"/>
    <w:rsid w:val="0055364C"/>
    <w:rsid w:val="00553871"/>
    <w:rsid w:val="00554CD3"/>
    <w:rsid w:val="00555C8D"/>
    <w:rsid w:val="00556101"/>
    <w:rsid w:val="0055704A"/>
    <w:rsid w:val="00557321"/>
    <w:rsid w:val="005577A3"/>
    <w:rsid w:val="00557CB1"/>
    <w:rsid w:val="0056072C"/>
    <w:rsid w:val="0056091E"/>
    <w:rsid w:val="00560CF6"/>
    <w:rsid w:val="005612AF"/>
    <w:rsid w:val="00561371"/>
    <w:rsid w:val="0056172D"/>
    <w:rsid w:val="00561AF8"/>
    <w:rsid w:val="00561EA1"/>
    <w:rsid w:val="0056262E"/>
    <w:rsid w:val="005629EF"/>
    <w:rsid w:val="00562B10"/>
    <w:rsid w:val="00562D34"/>
    <w:rsid w:val="00562DE9"/>
    <w:rsid w:val="00563380"/>
    <w:rsid w:val="005635F3"/>
    <w:rsid w:val="00563638"/>
    <w:rsid w:val="00563DDD"/>
    <w:rsid w:val="0056411C"/>
    <w:rsid w:val="0056439E"/>
    <w:rsid w:val="005643D0"/>
    <w:rsid w:val="00564699"/>
    <w:rsid w:val="00565748"/>
    <w:rsid w:val="005659EA"/>
    <w:rsid w:val="00565A79"/>
    <w:rsid w:val="00565B4C"/>
    <w:rsid w:val="005663E4"/>
    <w:rsid w:val="005663FF"/>
    <w:rsid w:val="00566630"/>
    <w:rsid w:val="005674D0"/>
    <w:rsid w:val="005677E5"/>
    <w:rsid w:val="005678B0"/>
    <w:rsid w:val="00567A31"/>
    <w:rsid w:val="00567AF6"/>
    <w:rsid w:val="0057042E"/>
    <w:rsid w:val="00570D24"/>
    <w:rsid w:val="00571558"/>
    <w:rsid w:val="00571989"/>
    <w:rsid w:val="00571B41"/>
    <w:rsid w:val="0057221E"/>
    <w:rsid w:val="005727A5"/>
    <w:rsid w:val="00572AC9"/>
    <w:rsid w:val="00572CD2"/>
    <w:rsid w:val="005743BA"/>
    <w:rsid w:val="00574574"/>
    <w:rsid w:val="00574C1A"/>
    <w:rsid w:val="00574EA8"/>
    <w:rsid w:val="00575984"/>
    <w:rsid w:val="005761E7"/>
    <w:rsid w:val="005766F7"/>
    <w:rsid w:val="005773A6"/>
    <w:rsid w:val="00577903"/>
    <w:rsid w:val="00577DC6"/>
    <w:rsid w:val="00577E4E"/>
    <w:rsid w:val="00577F5A"/>
    <w:rsid w:val="005808DE"/>
    <w:rsid w:val="0058096B"/>
    <w:rsid w:val="00580B7C"/>
    <w:rsid w:val="00580EEB"/>
    <w:rsid w:val="00580FCF"/>
    <w:rsid w:val="00581849"/>
    <w:rsid w:val="0058261B"/>
    <w:rsid w:val="00582B37"/>
    <w:rsid w:val="00583673"/>
    <w:rsid w:val="00583D08"/>
    <w:rsid w:val="00583E3B"/>
    <w:rsid w:val="00584FE7"/>
    <w:rsid w:val="005850FE"/>
    <w:rsid w:val="00585260"/>
    <w:rsid w:val="00585539"/>
    <w:rsid w:val="00585582"/>
    <w:rsid w:val="00585C80"/>
    <w:rsid w:val="00586395"/>
    <w:rsid w:val="00586BBE"/>
    <w:rsid w:val="00586D5C"/>
    <w:rsid w:val="00587472"/>
    <w:rsid w:val="0058786E"/>
    <w:rsid w:val="00587BE7"/>
    <w:rsid w:val="00587CBC"/>
    <w:rsid w:val="00590740"/>
    <w:rsid w:val="00590A11"/>
    <w:rsid w:val="005913B0"/>
    <w:rsid w:val="00592272"/>
    <w:rsid w:val="00592B29"/>
    <w:rsid w:val="00593488"/>
    <w:rsid w:val="005935F4"/>
    <w:rsid w:val="00593775"/>
    <w:rsid w:val="00593876"/>
    <w:rsid w:val="0059391D"/>
    <w:rsid w:val="005939E4"/>
    <w:rsid w:val="00595234"/>
    <w:rsid w:val="00595454"/>
    <w:rsid w:val="005955FF"/>
    <w:rsid w:val="00595AEF"/>
    <w:rsid w:val="00595C8B"/>
    <w:rsid w:val="00595DF1"/>
    <w:rsid w:val="00596524"/>
    <w:rsid w:val="00596B52"/>
    <w:rsid w:val="00596E6A"/>
    <w:rsid w:val="00596EB5"/>
    <w:rsid w:val="005973B3"/>
    <w:rsid w:val="00597D35"/>
    <w:rsid w:val="00597DE0"/>
    <w:rsid w:val="005A0A50"/>
    <w:rsid w:val="005A0A6E"/>
    <w:rsid w:val="005A10B2"/>
    <w:rsid w:val="005A10FF"/>
    <w:rsid w:val="005A1D09"/>
    <w:rsid w:val="005A24CD"/>
    <w:rsid w:val="005A2628"/>
    <w:rsid w:val="005A29D7"/>
    <w:rsid w:val="005A39E6"/>
    <w:rsid w:val="005A4692"/>
    <w:rsid w:val="005A4803"/>
    <w:rsid w:val="005A4A36"/>
    <w:rsid w:val="005A60FA"/>
    <w:rsid w:val="005A6B78"/>
    <w:rsid w:val="005A6D6D"/>
    <w:rsid w:val="005A714D"/>
    <w:rsid w:val="005A7264"/>
    <w:rsid w:val="005A7AD5"/>
    <w:rsid w:val="005B1202"/>
    <w:rsid w:val="005B1601"/>
    <w:rsid w:val="005B27ED"/>
    <w:rsid w:val="005B3185"/>
    <w:rsid w:val="005B4CFC"/>
    <w:rsid w:val="005B550E"/>
    <w:rsid w:val="005B5746"/>
    <w:rsid w:val="005B5765"/>
    <w:rsid w:val="005B58B0"/>
    <w:rsid w:val="005B636F"/>
    <w:rsid w:val="005B6581"/>
    <w:rsid w:val="005B6E0D"/>
    <w:rsid w:val="005B775D"/>
    <w:rsid w:val="005B7FF7"/>
    <w:rsid w:val="005C0114"/>
    <w:rsid w:val="005C0298"/>
    <w:rsid w:val="005C02FE"/>
    <w:rsid w:val="005C044A"/>
    <w:rsid w:val="005C0769"/>
    <w:rsid w:val="005C07BE"/>
    <w:rsid w:val="005C0FAA"/>
    <w:rsid w:val="005C11A5"/>
    <w:rsid w:val="005C17A9"/>
    <w:rsid w:val="005C17F5"/>
    <w:rsid w:val="005C1959"/>
    <w:rsid w:val="005C1FCE"/>
    <w:rsid w:val="005C251A"/>
    <w:rsid w:val="005C2B3C"/>
    <w:rsid w:val="005C2DB5"/>
    <w:rsid w:val="005C2F7A"/>
    <w:rsid w:val="005C31C7"/>
    <w:rsid w:val="005C3289"/>
    <w:rsid w:val="005C360A"/>
    <w:rsid w:val="005C3EDC"/>
    <w:rsid w:val="005C4203"/>
    <w:rsid w:val="005C4E3C"/>
    <w:rsid w:val="005C5390"/>
    <w:rsid w:val="005C5E8B"/>
    <w:rsid w:val="005C5F6C"/>
    <w:rsid w:val="005C716A"/>
    <w:rsid w:val="005C72DD"/>
    <w:rsid w:val="005C78CC"/>
    <w:rsid w:val="005C7EE9"/>
    <w:rsid w:val="005D13C6"/>
    <w:rsid w:val="005D1F80"/>
    <w:rsid w:val="005D221C"/>
    <w:rsid w:val="005D2A43"/>
    <w:rsid w:val="005D3801"/>
    <w:rsid w:val="005D3A23"/>
    <w:rsid w:val="005D3BC7"/>
    <w:rsid w:val="005D402C"/>
    <w:rsid w:val="005D4542"/>
    <w:rsid w:val="005D459D"/>
    <w:rsid w:val="005D4EEA"/>
    <w:rsid w:val="005D509A"/>
    <w:rsid w:val="005D66B4"/>
    <w:rsid w:val="005D6BE9"/>
    <w:rsid w:val="005D6EA0"/>
    <w:rsid w:val="005D72A2"/>
    <w:rsid w:val="005D79FB"/>
    <w:rsid w:val="005E090B"/>
    <w:rsid w:val="005E0EEF"/>
    <w:rsid w:val="005E1190"/>
    <w:rsid w:val="005E1298"/>
    <w:rsid w:val="005E1FFA"/>
    <w:rsid w:val="005E2923"/>
    <w:rsid w:val="005E2F78"/>
    <w:rsid w:val="005E2F90"/>
    <w:rsid w:val="005E3188"/>
    <w:rsid w:val="005E32D3"/>
    <w:rsid w:val="005E35AE"/>
    <w:rsid w:val="005E365A"/>
    <w:rsid w:val="005E3EE1"/>
    <w:rsid w:val="005E431C"/>
    <w:rsid w:val="005E4533"/>
    <w:rsid w:val="005E457A"/>
    <w:rsid w:val="005E587C"/>
    <w:rsid w:val="005E5D0F"/>
    <w:rsid w:val="005E5F8E"/>
    <w:rsid w:val="005E6148"/>
    <w:rsid w:val="005E731C"/>
    <w:rsid w:val="005E74B6"/>
    <w:rsid w:val="005E76E2"/>
    <w:rsid w:val="005E77F9"/>
    <w:rsid w:val="005E78BA"/>
    <w:rsid w:val="005E7B36"/>
    <w:rsid w:val="005F02C2"/>
    <w:rsid w:val="005F02E6"/>
    <w:rsid w:val="005F0439"/>
    <w:rsid w:val="005F065A"/>
    <w:rsid w:val="005F0DD7"/>
    <w:rsid w:val="005F10F1"/>
    <w:rsid w:val="005F168F"/>
    <w:rsid w:val="005F1911"/>
    <w:rsid w:val="005F225E"/>
    <w:rsid w:val="005F2AAC"/>
    <w:rsid w:val="005F2B97"/>
    <w:rsid w:val="005F2BBF"/>
    <w:rsid w:val="005F2CBA"/>
    <w:rsid w:val="005F3216"/>
    <w:rsid w:val="005F4DFE"/>
    <w:rsid w:val="005F4EF9"/>
    <w:rsid w:val="005F5C7D"/>
    <w:rsid w:val="005F66AF"/>
    <w:rsid w:val="005F6F0A"/>
    <w:rsid w:val="005F74E6"/>
    <w:rsid w:val="005F7B01"/>
    <w:rsid w:val="0060056D"/>
    <w:rsid w:val="00600A07"/>
    <w:rsid w:val="00600C23"/>
    <w:rsid w:val="00600E09"/>
    <w:rsid w:val="00600F88"/>
    <w:rsid w:val="006015AE"/>
    <w:rsid w:val="006017B1"/>
    <w:rsid w:val="0060189C"/>
    <w:rsid w:val="00601F8A"/>
    <w:rsid w:val="00602003"/>
    <w:rsid w:val="00602549"/>
    <w:rsid w:val="0060361E"/>
    <w:rsid w:val="006036E1"/>
    <w:rsid w:val="00603985"/>
    <w:rsid w:val="00603E08"/>
    <w:rsid w:val="00604124"/>
    <w:rsid w:val="0060551A"/>
    <w:rsid w:val="006059E9"/>
    <w:rsid w:val="00605BDE"/>
    <w:rsid w:val="00605DB9"/>
    <w:rsid w:val="00605ECC"/>
    <w:rsid w:val="0060605B"/>
    <w:rsid w:val="0060685F"/>
    <w:rsid w:val="00606C43"/>
    <w:rsid w:val="00607066"/>
    <w:rsid w:val="00607197"/>
    <w:rsid w:val="00607A16"/>
    <w:rsid w:val="00607B19"/>
    <w:rsid w:val="00607FF4"/>
    <w:rsid w:val="006100E9"/>
    <w:rsid w:val="006109F8"/>
    <w:rsid w:val="00610C6D"/>
    <w:rsid w:val="00611730"/>
    <w:rsid w:val="00611A38"/>
    <w:rsid w:val="00611A7A"/>
    <w:rsid w:val="006129F7"/>
    <w:rsid w:val="00613286"/>
    <w:rsid w:val="006137CF"/>
    <w:rsid w:val="0061446F"/>
    <w:rsid w:val="006147EA"/>
    <w:rsid w:val="00614A0A"/>
    <w:rsid w:val="00615BD6"/>
    <w:rsid w:val="0061687C"/>
    <w:rsid w:val="00616E32"/>
    <w:rsid w:val="00617F9B"/>
    <w:rsid w:val="0062066D"/>
    <w:rsid w:val="00620D38"/>
    <w:rsid w:val="00620F09"/>
    <w:rsid w:val="00621E43"/>
    <w:rsid w:val="00622027"/>
    <w:rsid w:val="00622B45"/>
    <w:rsid w:val="00622E8B"/>
    <w:rsid w:val="00622FA6"/>
    <w:rsid w:val="00623075"/>
    <w:rsid w:val="00623208"/>
    <w:rsid w:val="00623212"/>
    <w:rsid w:val="0062342B"/>
    <w:rsid w:val="00623910"/>
    <w:rsid w:val="00624866"/>
    <w:rsid w:val="00624A27"/>
    <w:rsid w:val="00624D74"/>
    <w:rsid w:val="006255E6"/>
    <w:rsid w:val="00625898"/>
    <w:rsid w:val="0062622C"/>
    <w:rsid w:val="0062716D"/>
    <w:rsid w:val="00627589"/>
    <w:rsid w:val="006279DE"/>
    <w:rsid w:val="00627AF2"/>
    <w:rsid w:val="0063037A"/>
    <w:rsid w:val="006312D1"/>
    <w:rsid w:val="00631465"/>
    <w:rsid w:val="00632C14"/>
    <w:rsid w:val="00632F94"/>
    <w:rsid w:val="00633EDD"/>
    <w:rsid w:val="006349AE"/>
    <w:rsid w:val="00634EBF"/>
    <w:rsid w:val="00635B3C"/>
    <w:rsid w:val="0063632F"/>
    <w:rsid w:val="00636B1A"/>
    <w:rsid w:val="0063754E"/>
    <w:rsid w:val="00637B75"/>
    <w:rsid w:val="00637C0C"/>
    <w:rsid w:val="006402AA"/>
    <w:rsid w:val="006404FC"/>
    <w:rsid w:val="00640E38"/>
    <w:rsid w:val="006419B1"/>
    <w:rsid w:val="00641C05"/>
    <w:rsid w:val="00642A78"/>
    <w:rsid w:val="00643087"/>
    <w:rsid w:val="006446DF"/>
    <w:rsid w:val="0064484B"/>
    <w:rsid w:val="00644A47"/>
    <w:rsid w:val="00644E3C"/>
    <w:rsid w:val="00645BA8"/>
    <w:rsid w:val="00645CCA"/>
    <w:rsid w:val="006463F2"/>
    <w:rsid w:val="00647310"/>
    <w:rsid w:val="00650131"/>
    <w:rsid w:val="00650197"/>
    <w:rsid w:val="00650C56"/>
    <w:rsid w:val="0065171D"/>
    <w:rsid w:val="0065206B"/>
    <w:rsid w:val="0065207C"/>
    <w:rsid w:val="00652677"/>
    <w:rsid w:val="00652858"/>
    <w:rsid w:val="006532CF"/>
    <w:rsid w:val="0065335D"/>
    <w:rsid w:val="00654B49"/>
    <w:rsid w:val="006558DC"/>
    <w:rsid w:val="00655A8C"/>
    <w:rsid w:val="00655AA2"/>
    <w:rsid w:val="00655BAB"/>
    <w:rsid w:val="00655EDF"/>
    <w:rsid w:val="0065666B"/>
    <w:rsid w:val="00656B27"/>
    <w:rsid w:val="00656DCD"/>
    <w:rsid w:val="00657CA1"/>
    <w:rsid w:val="00657F8B"/>
    <w:rsid w:val="00660401"/>
    <w:rsid w:val="00660805"/>
    <w:rsid w:val="00660BED"/>
    <w:rsid w:val="006612A0"/>
    <w:rsid w:val="0066166E"/>
    <w:rsid w:val="006618FC"/>
    <w:rsid w:val="00661AE5"/>
    <w:rsid w:val="00662815"/>
    <w:rsid w:val="00663B69"/>
    <w:rsid w:val="00663D00"/>
    <w:rsid w:val="00663E86"/>
    <w:rsid w:val="006649BF"/>
    <w:rsid w:val="00664ED3"/>
    <w:rsid w:val="00665164"/>
    <w:rsid w:val="006658D3"/>
    <w:rsid w:val="006658FB"/>
    <w:rsid w:val="0066719F"/>
    <w:rsid w:val="0067006F"/>
    <w:rsid w:val="0067070E"/>
    <w:rsid w:val="00670805"/>
    <w:rsid w:val="00670EDE"/>
    <w:rsid w:val="006711D8"/>
    <w:rsid w:val="00671B7E"/>
    <w:rsid w:val="00675A74"/>
    <w:rsid w:val="00675AC7"/>
    <w:rsid w:val="00675AD5"/>
    <w:rsid w:val="00675BB5"/>
    <w:rsid w:val="00675C23"/>
    <w:rsid w:val="00675F20"/>
    <w:rsid w:val="00675FC4"/>
    <w:rsid w:val="006760C3"/>
    <w:rsid w:val="006767BC"/>
    <w:rsid w:val="00676900"/>
    <w:rsid w:val="00677C70"/>
    <w:rsid w:val="00680B56"/>
    <w:rsid w:val="00680B63"/>
    <w:rsid w:val="0068134A"/>
    <w:rsid w:val="0068157E"/>
    <w:rsid w:val="00681D75"/>
    <w:rsid w:val="00681FAA"/>
    <w:rsid w:val="0068242E"/>
    <w:rsid w:val="00682686"/>
    <w:rsid w:val="006828A3"/>
    <w:rsid w:val="00683076"/>
    <w:rsid w:val="006830DC"/>
    <w:rsid w:val="0068389F"/>
    <w:rsid w:val="0068397D"/>
    <w:rsid w:val="00683AF6"/>
    <w:rsid w:val="00684577"/>
    <w:rsid w:val="006846F7"/>
    <w:rsid w:val="00684BAF"/>
    <w:rsid w:val="00684C96"/>
    <w:rsid w:val="006858D4"/>
    <w:rsid w:val="00685BC5"/>
    <w:rsid w:val="00685DFA"/>
    <w:rsid w:val="00686A78"/>
    <w:rsid w:val="006870B1"/>
    <w:rsid w:val="0068777D"/>
    <w:rsid w:val="00687E72"/>
    <w:rsid w:val="006901D9"/>
    <w:rsid w:val="006907C6"/>
    <w:rsid w:val="00690CA9"/>
    <w:rsid w:val="00691CFF"/>
    <w:rsid w:val="00691F38"/>
    <w:rsid w:val="0069273A"/>
    <w:rsid w:val="00692CD4"/>
    <w:rsid w:val="00692E93"/>
    <w:rsid w:val="0069329D"/>
    <w:rsid w:val="00696588"/>
    <w:rsid w:val="006969EC"/>
    <w:rsid w:val="00696AC0"/>
    <w:rsid w:val="00696B31"/>
    <w:rsid w:val="00696C39"/>
    <w:rsid w:val="00696EBB"/>
    <w:rsid w:val="00697A6B"/>
    <w:rsid w:val="00697D0A"/>
    <w:rsid w:val="006A0540"/>
    <w:rsid w:val="006A0AEF"/>
    <w:rsid w:val="006A1266"/>
    <w:rsid w:val="006A1F10"/>
    <w:rsid w:val="006A250E"/>
    <w:rsid w:val="006A25A8"/>
    <w:rsid w:val="006A32BA"/>
    <w:rsid w:val="006A3475"/>
    <w:rsid w:val="006A4012"/>
    <w:rsid w:val="006A4287"/>
    <w:rsid w:val="006A42F5"/>
    <w:rsid w:val="006A4D4E"/>
    <w:rsid w:val="006A6CF8"/>
    <w:rsid w:val="006A7A07"/>
    <w:rsid w:val="006A7D82"/>
    <w:rsid w:val="006A7F20"/>
    <w:rsid w:val="006B13CB"/>
    <w:rsid w:val="006B1B2A"/>
    <w:rsid w:val="006B22C4"/>
    <w:rsid w:val="006B2399"/>
    <w:rsid w:val="006B2547"/>
    <w:rsid w:val="006B2A95"/>
    <w:rsid w:val="006B2CD0"/>
    <w:rsid w:val="006B2DF7"/>
    <w:rsid w:val="006B360D"/>
    <w:rsid w:val="006B37D3"/>
    <w:rsid w:val="006B3B61"/>
    <w:rsid w:val="006B423B"/>
    <w:rsid w:val="006B48DE"/>
    <w:rsid w:val="006B4D1E"/>
    <w:rsid w:val="006B4E59"/>
    <w:rsid w:val="006B50EA"/>
    <w:rsid w:val="006B52CA"/>
    <w:rsid w:val="006B625E"/>
    <w:rsid w:val="006B630A"/>
    <w:rsid w:val="006B6A78"/>
    <w:rsid w:val="006B6BA7"/>
    <w:rsid w:val="006B79AE"/>
    <w:rsid w:val="006B7C24"/>
    <w:rsid w:val="006C011D"/>
    <w:rsid w:val="006C05F7"/>
    <w:rsid w:val="006C09EC"/>
    <w:rsid w:val="006C0AA2"/>
    <w:rsid w:val="006C1291"/>
    <w:rsid w:val="006C1577"/>
    <w:rsid w:val="006C16A4"/>
    <w:rsid w:val="006C17C7"/>
    <w:rsid w:val="006C195C"/>
    <w:rsid w:val="006C1A37"/>
    <w:rsid w:val="006C22AA"/>
    <w:rsid w:val="006C2444"/>
    <w:rsid w:val="006C26F9"/>
    <w:rsid w:val="006C2C24"/>
    <w:rsid w:val="006C2C3C"/>
    <w:rsid w:val="006C34BA"/>
    <w:rsid w:val="006C3710"/>
    <w:rsid w:val="006C4962"/>
    <w:rsid w:val="006C4A18"/>
    <w:rsid w:val="006C4FE5"/>
    <w:rsid w:val="006C505F"/>
    <w:rsid w:val="006C5270"/>
    <w:rsid w:val="006C57ED"/>
    <w:rsid w:val="006C593B"/>
    <w:rsid w:val="006C59C9"/>
    <w:rsid w:val="006C5ACD"/>
    <w:rsid w:val="006C5D0A"/>
    <w:rsid w:val="006C5E5E"/>
    <w:rsid w:val="006C5F7D"/>
    <w:rsid w:val="006C61A1"/>
    <w:rsid w:val="006C6300"/>
    <w:rsid w:val="006C69C6"/>
    <w:rsid w:val="006C7C7C"/>
    <w:rsid w:val="006D0ECF"/>
    <w:rsid w:val="006D1423"/>
    <w:rsid w:val="006D1544"/>
    <w:rsid w:val="006D17C0"/>
    <w:rsid w:val="006D1BEE"/>
    <w:rsid w:val="006D36B7"/>
    <w:rsid w:val="006D3888"/>
    <w:rsid w:val="006D3A49"/>
    <w:rsid w:val="006D3BF7"/>
    <w:rsid w:val="006D43B4"/>
    <w:rsid w:val="006D4955"/>
    <w:rsid w:val="006D4C27"/>
    <w:rsid w:val="006D4EB2"/>
    <w:rsid w:val="006D53DF"/>
    <w:rsid w:val="006D5496"/>
    <w:rsid w:val="006D5987"/>
    <w:rsid w:val="006D6240"/>
    <w:rsid w:val="006D62DC"/>
    <w:rsid w:val="006D686D"/>
    <w:rsid w:val="006D73FB"/>
    <w:rsid w:val="006D76B9"/>
    <w:rsid w:val="006E0318"/>
    <w:rsid w:val="006E0982"/>
    <w:rsid w:val="006E0C53"/>
    <w:rsid w:val="006E13AF"/>
    <w:rsid w:val="006E16F1"/>
    <w:rsid w:val="006E18B9"/>
    <w:rsid w:val="006E25EF"/>
    <w:rsid w:val="006E27C9"/>
    <w:rsid w:val="006E2D64"/>
    <w:rsid w:val="006E359B"/>
    <w:rsid w:val="006E4C30"/>
    <w:rsid w:val="006E4F74"/>
    <w:rsid w:val="006E5043"/>
    <w:rsid w:val="006E5950"/>
    <w:rsid w:val="006E5BE3"/>
    <w:rsid w:val="006E63D3"/>
    <w:rsid w:val="006E673C"/>
    <w:rsid w:val="006E6E4D"/>
    <w:rsid w:val="006E6E79"/>
    <w:rsid w:val="006E71F7"/>
    <w:rsid w:val="006E73EB"/>
    <w:rsid w:val="006E75BF"/>
    <w:rsid w:val="006F09B5"/>
    <w:rsid w:val="006F0E4C"/>
    <w:rsid w:val="006F1349"/>
    <w:rsid w:val="006F1EE6"/>
    <w:rsid w:val="006F201F"/>
    <w:rsid w:val="006F2070"/>
    <w:rsid w:val="006F2C02"/>
    <w:rsid w:val="006F2C03"/>
    <w:rsid w:val="006F3B2F"/>
    <w:rsid w:val="006F3DC3"/>
    <w:rsid w:val="006F409F"/>
    <w:rsid w:val="006F457D"/>
    <w:rsid w:val="006F4622"/>
    <w:rsid w:val="006F48B3"/>
    <w:rsid w:val="006F48B8"/>
    <w:rsid w:val="006F4ACE"/>
    <w:rsid w:val="006F4E1F"/>
    <w:rsid w:val="006F5136"/>
    <w:rsid w:val="006F530D"/>
    <w:rsid w:val="006F553C"/>
    <w:rsid w:val="006F55A2"/>
    <w:rsid w:val="006F5924"/>
    <w:rsid w:val="006F5DE4"/>
    <w:rsid w:val="006F5FA8"/>
    <w:rsid w:val="006F6258"/>
    <w:rsid w:val="006F62E7"/>
    <w:rsid w:val="006F65E1"/>
    <w:rsid w:val="006F6CF4"/>
    <w:rsid w:val="006F75C2"/>
    <w:rsid w:val="006F7681"/>
    <w:rsid w:val="006F77D9"/>
    <w:rsid w:val="006F78CC"/>
    <w:rsid w:val="006F7986"/>
    <w:rsid w:val="006F7F8E"/>
    <w:rsid w:val="007003B2"/>
    <w:rsid w:val="00700CD8"/>
    <w:rsid w:val="00701552"/>
    <w:rsid w:val="00702AA6"/>
    <w:rsid w:val="00702EF0"/>
    <w:rsid w:val="007037DB"/>
    <w:rsid w:val="00703950"/>
    <w:rsid w:val="00703B73"/>
    <w:rsid w:val="00704170"/>
    <w:rsid w:val="0070486C"/>
    <w:rsid w:val="00704FDE"/>
    <w:rsid w:val="0070515F"/>
    <w:rsid w:val="00705448"/>
    <w:rsid w:val="00705544"/>
    <w:rsid w:val="00705700"/>
    <w:rsid w:val="00706B6B"/>
    <w:rsid w:val="00706EF5"/>
    <w:rsid w:val="00711E7D"/>
    <w:rsid w:val="007122EC"/>
    <w:rsid w:val="00712773"/>
    <w:rsid w:val="0071278D"/>
    <w:rsid w:val="00712814"/>
    <w:rsid w:val="007131B5"/>
    <w:rsid w:val="0071376F"/>
    <w:rsid w:val="0071412F"/>
    <w:rsid w:val="007143F4"/>
    <w:rsid w:val="007144BD"/>
    <w:rsid w:val="00714504"/>
    <w:rsid w:val="00714594"/>
    <w:rsid w:val="0071482A"/>
    <w:rsid w:val="00714AF2"/>
    <w:rsid w:val="00714C0C"/>
    <w:rsid w:val="00714E30"/>
    <w:rsid w:val="007154A0"/>
    <w:rsid w:val="00716B12"/>
    <w:rsid w:val="00716D30"/>
    <w:rsid w:val="0071742A"/>
    <w:rsid w:val="00717A6E"/>
    <w:rsid w:val="00721003"/>
    <w:rsid w:val="007211BC"/>
    <w:rsid w:val="00721735"/>
    <w:rsid w:val="0072264E"/>
    <w:rsid w:val="00722DE7"/>
    <w:rsid w:val="00722E40"/>
    <w:rsid w:val="0072331F"/>
    <w:rsid w:val="007233C7"/>
    <w:rsid w:val="00723C5E"/>
    <w:rsid w:val="007241B2"/>
    <w:rsid w:val="00724543"/>
    <w:rsid w:val="0072494A"/>
    <w:rsid w:val="007249AB"/>
    <w:rsid w:val="007256E8"/>
    <w:rsid w:val="007259CC"/>
    <w:rsid w:val="007259D3"/>
    <w:rsid w:val="0072652B"/>
    <w:rsid w:val="00726D69"/>
    <w:rsid w:val="00726DC6"/>
    <w:rsid w:val="00727ADC"/>
    <w:rsid w:val="00727E46"/>
    <w:rsid w:val="007304A8"/>
    <w:rsid w:val="007304AF"/>
    <w:rsid w:val="00730E8F"/>
    <w:rsid w:val="00731D48"/>
    <w:rsid w:val="0073217A"/>
    <w:rsid w:val="007326C0"/>
    <w:rsid w:val="00733419"/>
    <w:rsid w:val="00733520"/>
    <w:rsid w:val="00733D9F"/>
    <w:rsid w:val="00734240"/>
    <w:rsid w:val="00734484"/>
    <w:rsid w:val="007348F6"/>
    <w:rsid w:val="007352DC"/>
    <w:rsid w:val="007368BC"/>
    <w:rsid w:val="007368F9"/>
    <w:rsid w:val="00736E24"/>
    <w:rsid w:val="007377A4"/>
    <w:rsid w:val="00737CBC"/>
    <w:rsid w:val="00737CD1"/>
    <w:rsid w:val="00741D12"/>
    <w:rsid w:val="0074202E"/>
    <w:rsid w:val="00742076"/>
    <w:rsid w:val="00742382"/>
    <w:rsid w:val="007423A4"/>
    <w:rsid w:val="00743276"/>
    <w:rsid w:val="00743CC4"/>
    <w:rsid w:val="00744DCD"/>
    <w:rsid w:val="00744FCF"/>
    <w:rsid w:val="007450D0"/>
    <w:rsid w:val="00745136"/>
    <w:rsid w:val="00745A15"/>
    <w:rsid w:val="00745DD2"/>
    <w:rsid w:val="00747981"/>
    <w:rsid w:val="00747B30"/>
    <w:rsid w:val="00747D5B"/>
    <w:rsid w:val="00747E1D"/>
    <w:rsid w:val="00750DA0"/>
    <w:rsid w:val="00751102"/>
    <w:rsid w:val="00751149"/>
    <w:rsid w:val="00751354"/>
    <w:rsid w:val="007513F4"/>
    <w:rsid w:val="00753E58"/>
    <w:rsid w:val="007542CC"/>
    <w:rsid w:val="00754906"/>
    <w:rsid w:val="00754DD6"/>
    <w:rsid w:val="00754EE3"/>
    <w:rsid w:val="00755285"/>
    <w:rsid w:val="007556D8"/>
    <w:rsid w:val="0075624E"/>
    <w:rsid w:val="0075673C"/>
    <w:rsid w:val="00756909"/>
    <w:rsid w:val="007575F1"/>
    <w:rsid w:val="00757C29"/>
    <w:rsid w:val="007603BE"/>
    <w:rsid w:val="007606DC"/>
    <w:rsid w:val="00760D10"/>
    <w:rsid w:val="0076101F"/>
    <w:rsid w:val="00761096"/>
    <w:rsid w:val="00762108"/>
    <w:rsid w:val="007621BB"/>
    <w:rsid w:val="00762BE0"/>
    <w:rsid w:val="00763110"/>
    <w:rsid w:val="00763830"/>
    <w:rsid w:val="00763A9E"/>
    <w:rsid w:val="007647D1"/>
    <w:rsid w:val="00764E17"/>
    <w:rsid w:val="00764F96"/>
    <w:rsid w:val="0076568A"/>
    <w:rsid w:val="00765753"/>
    <w:rsid w:val="0076595F"/>
    <w:rsid w:val="00766256"/>
    <w:rsid w:val="00767481"/>
    <w:rsid w:val="00767893"/>
    <w:rsid w:val="00767D91"/>
    <w:rsid w:val="007703CC"/>
    <w:rsid w:val="00770E38"/>
    <w:rsid w:val="007713E1"/>
    <w:rsid w:val="0077178D"/>
    <w:rsid w:val="0077183A"/>
    <w:rsid w:val="007719B0"/>
    <w:rsid w:val="00771A7C"/>
    <w:rsid w:val="00773BD0"/>
    <w:rsid w:val="00774AD0"/>
    <w:rsid w:val="007751DE"/>
    <w:rsid w:val="0077573F"/>
    <w:rsid w:val="00776505"/>
    <w:rsid w:val="0077696C"/>
    <w:rsid w:val="00776991"/>
    <w:rsid w:val="00776AF1"/>
    <w:rsid w:val="00776BA9"/>
    <w:rsid w:val="00776CF1"/>
    <w:rsid w:val="00777793"/>
    <w:rsid w:val="00777D46"/>
    <w:rsid w:val="00777FB6"/>
    <w:rsid w:val="007806BE"/>
    <w:rsid w:val="0078133D"/>
    <w:rsid w:val="007815EB"/>
    <w:rsid w:val="00781E34"/>
    <w:rsid w:val="00782155"/>
    <w:rsid w:val="0078265A"/>
    <w:rsid w:val="00782ADD"/>
    <w:rsid w:val="007835DD"/>
    <w:rsid w:val="0078366D"/>
    <w:rsid w:val="007837B6"/>
    <w:rsid w:val="00783C5E"/>
    <w:rsid w:val="00784A97"/>
    <w:rsid w:val="00784B44"/>
    <w:rsid w:val="00785785"/>
    <w:rsid w:val="00785835"/>
    <w:rsid w:val="00785A6A"/>
    <w:rsid w:val="00785D73"/>
    <w:rsid w:val="00786A70"/>
    <w:rsid w:val="00786FC2"/>
    <w:rsid w:val="00787960"/>
    <w:rsid w:val="00787B08"/>
    <w:rsid w:val="00787CA9"/>
    <w:rsid w:val="007912D5"/>
    <w:rsid w:val="00791DED"/>
    <w:rsid w:val="0079267B"/>
    <w:rsid w:val="007927AB"/>
    <w:rsid w:val="00792AA8"/>
    <w:rsid w:val="00792D8A"/>
    <w:rsid w:val="00793AAE"/>
    <w:rsid w:val="00793AC3"/>
    <w:rsid w:val="00793BF4"/>
    <w:rsid w:val="0079413C"/>
    <w:rsid w:val="00794256"/>
    <w:rsid w:val="00794328"/>
    <w:rsid w:val="00794972"/>
    <w:rsid w:val="00794FBD"/>
    <w:rsid w:val="0079506C"/>
    <w:rsid w:val="00795BF2"/>
    <w:rsid w:val="00796EE7"/>
    <w:rsid w:val="00797022"/>
    <w:rsid w:val="00797418"/>
    <w:rsid w:val="00797A39"/>
    <w:rsid w:val="00797AF0"/>
    <w:rsid w:val="007A018B"/>
    <w:rsid w:val="007A028C"/>
    <w:rsid w:val="007A06C8"/>
    <w:rsid w:val="007A0935"/>
    <w:rsid w:val="007A0C4E"/>
    <w:rsid w:val="007A11B4"/>
    <w:rsid w:val="007A1547"/>
    <w:rsid w:val="007A1745"/>
    <w:rsid w:val="007A1A97"/>
    <w:rsid w:val="007A27F5"/>
    <w:rsid w:val="007A2E48"/>
    <w:rsid w:val="007A352A"/>
    <w:rsid w:val="007A37CE"/>
    <w:rsid w:val="007A3ABE"/>
    <w:rsid w:val="007A3C17"/>
    <w:rsid w:val="007A4CB0"/>
    <w:rsid w:val="007A4CB7"/>
    <w:rsid w:val="007A5B52"/>
    <w:rsid w:val="007A5BC6"/>
    <w:rsid w:val="007A60F8"/>
    <w:rsid w:val="007A61D4"/>
    <w:rsid w:val="007A62C3"/>
    <w:rsid w:val="007A66D3"/>
    <w:rsid w:val="007A7B2D"/>
    <w:rsid w:val="007B0F55"/>
    <w:rsid w:val="007B118B"/>
    <w:rsid w:val="007B1339"/>
    <w:rsid w:val="007B25DE"/>
    <w:rsid w:val="007B2D7D"/>
    <w:rsid w:val="007B341B"/>
    <w:rsid w:val="007B3605"/>
    <w:rsid w:val="007B39D6"/>
    <w:rsid w:val="007B3A6E"/>
    <w:rsid w:val="007B4030"/>
    <w:rsid w:val="007B4102"/>
    <w:rsid w:val="007B4533"/>
    <w:rsid w:val="007B55F0"/>
    <w:rsid w:val="007B64BB"/>
    <w:rsid w:val="007B651A"/>
    <w:rsid w:val="007B6648"/>
    <w:rsid w:val="007B6669"/>
    <w:rsid w:val="007B6961"/>
    <w:rsid w:val="007B75E8"/>
    <w:rsid w:val="007C0960"/>
    <w:rsid w:val="007C0B78"/>
    <w:rsid w:val="007C1A85"/>
    <w:rsid w:val="007C1EFF"/>
    <w:rsid w:val="007C27D3"/>
    <w:rsid w:val="007C311B"/>
    <w:rsid w:val="007C462E"/>
    <w:rsid w:val="007C48E7"/>
    <w:rsid w:val="007C4C37"/>
    <w:rsid w:val="007C506B"/>
    <w:rsid w:val="007C66B7"/>
    <w:rsid w:val="007C67C8"/>
    <w:rsid w:val="007C6B8F"/>
    <w:rsid w:val="007C6F76"/>
    <w:rsid w:val="007C76EE"/>
    <w:rsid w:val="007D05CA"/>
    <w:rsid w:val="007D0986"/>
    <w:rsid w:val="007D1098"/>
    <w:rsid w:val="007D21F9"/>
    <w:rsid w:val="007D29AB"/>
    <w:rsid w:val="007D3D13"/>
    <w:rsid w:val="007D49F3"/>
    <w:rsid w:val="007D51A4"/>
    <w:rsid w:val="007D59A7"/>
    <w:rsid w:val="007D5C9A"/>
    <w:rsid w:val="007D5E41"/>
    <w:rsid w:val="007D5E59"/>
    <w:rsid w:val="007D6813"/>
    <w:rsid w:val="007D682F"/>
    <w:rsid w:val="007D698B"/>
    <w:rsid w:val="007D7146"/>
    <w:rsid w:val="007D75FE"/>
    <w:rsid w:val="007D76A9"/>
    <w:rsid w:val="007D7BB6"/>
    <w:rsid w:val="007D7C3C"/>
    <w:rsid w:val="007E0DE2"/>
    <w:rsid w:val="007E19E9"/>
    <w:rsid w:val="007E19F3"/>
    <w:rsid w:val="007E1D24"/>
    <w:rsid w:val="007E30B1"/>
    <w:rsid w:val="007E32AD"/>
    <w:rsid w:val="007E35AD"/>
    <w:rsid w:val="007E3608"/>
    <w:rsid w:val="007E4299"/>
    <w:rsid w:val="007E4D61"/>
    <w:rsid w:val="007E525D"/>
    <w:rsid w:val="007E5D35"/>
    <w:rsid w:val="007E5D62"/>
    <w:rsid w:val="007E6362"/>
    <w:rsid w:val="007E6375"/>
    <w:rsid w:val="007E6741"/>
    <w:rsid w:val="007E6816"/>
    <w:rsid w:val="007E6D8A"/>
    <w:rsid w:val="007E6EE5"/>
    <w:rsid w:val="007E78C5"/>
    <w:rsid w:val="007E7B9B"/>
    <w:rsid w:val="007E7F37"/>
    <w:rsid w:val="007F0871"/>
    <w:rsid w:val="007F1191"/>
    <w:rsid w:val="007F1638"/>
    <w:rsid w:val="007F178B"/>
    <w:rsid w:val="007F1E68"/>
    <w:rsid w:val="007F29D4"/>
    <w:rsid w:val="007F2EC3"/>
    <w:rsid w:val="007F3DCE"/>
    <w:rsid w:val="007F4548"/>
    <w:rsid w:val="007F52A6"/>
    <w:rsid w:val="007F5789"/>
    <w:rsid w:val="007F5967"/>
    <w:rsid w:val="007F652D"/>
    <w:rsid w:val="007F66B5"/>
    <w:rsid w:val="007F684D"/>
    <w:rsid w:val="007F68DA"/>
    <w:rsid w:val="007F7020"/>
    <w:rsid w:val="007F7794"/>
    <w:rsid w:val="008002B3"/>
    <w:rsid w:val="008004E7"/>
    <w:rsid w:val="008005B1"/>
    <w:rsid w:val="0080087C"/>
    <w:rsid w:val="00800B96"/>
    <w:rsid w:val="00801171"/>
    <w:rsid w:val="0080276C"/>
    <w:rsid w:val="00802973"/>
    <w:rsid w:val="00802DB5"/>
    <w:rsid w:val="0080329F"/>
    <w:rsid w:val="008038D1"/>
    <w:rsid w:val="00804959"/>
    <w:rsid w:val="00805F37"/>
    <w:rsid w:val="008060C8"/>
    <w:rsid w:val="00806312"/>
    <w:rsid w:val="008063A5"/>
    <w:rsid w:val="00810E59"/>
    <w:rsid w:val="00810F5C"/>
    <w:rsid w:val="008116EB"/>
    <w:rsid w:val="008119F2"/>
    <w:rsid w:val="00811B7A"/>
    <w:rsid w:val="00811BB3"/>
    <w:rsid w:val="0081266B"/>
    <w:rsid w:val="00812723"/>
    <w:rsid w:val="0081356F"/>
    <w:rsid w:val="00813A2F"/>
    <w:rsid w:val="00813F75"/>
    <w:rsid w:val="00814A6A"/>
    <w:rsid w:val="00814E9D"/>
    <w:rsid w:val="00814ED4"/>
    <w:rsid w:val="008151FA"/>
    <w:rsid w:val="008152E3"/>
    <w:rsid w:val="0081557C"/>
    <w:rsid w:val="0081590D"/>
    <w:rsid w:val="008159B1"/>
    <w:rsid w:val="00815BD4"/>
    <w:rsid w:val="00815F6C"/>
    <w:rsid w:val="00815F87"/>
    <w:rsid w:val="00816585"/>
    <w:rsid w:val="00816C06"/>
    <w:rsid w:val="008177BE"/>
    <w:rsid w:val="00817E4B"/>
    <w:rsid w:val="00820282"/>
    <w:rsid w:val="00820651"/>
    <w:rsid w:val="00820EAB"/>
    <w:rsid w:val="00820FB2"/>
    <w:rsid w:val="0082117F"/>
    <w:rsid w:val="008216F9"/>
    <w:rsid w:val="0082233D"/>
    <w:rsid w:val="00822B9C"/>
    <w:rsid w:val="008232EE"/>
    <w:rsid w:val="008234BC"/>
    <w:rsid w:val="00823C6A"/>
    <w:rsid w:val="00824274"/>
    <w:rsid w:val="008243E0"/>
    <w:rsid w:val="008248A2"/>
    <w:rsid w:val="0082619C"/>
    <w:rsid w:val="00826205"/>
    <w:rsid w:val="00826872"/>
    <w:rsid w:val="00827A57"/>
    <w:rsid w:val="00827ED6"/>
    <w:rsid w:val="00827FD7"/>
    <w:rsid w:val="00830254"/>
    <w:rsid w:val="008303A1"/>
    <w:rsid w:val="00830668"/>
    <w:rsid w:val="00830DD0"/>
    <w:rsid w:val="0083100D"/>
    <w:rsid w:val="00831A0D"/>
    <w:rsid w:val="00831D80"/>
    <w:rsid w:val="00832AF0"/>
    <w:rsid w:val="00832D02"/>
    <w:rsid w:val="00833253"/>
    <w:rsid w:val="00833302"/>
    <w:rsid w:val="008333BA"/>
    <w:rsid w:val="00833596"/>
    <w:rsid w:val="00833E59"/>
    <w:rsid w:val="0083595E"/>
    <w:rsid w:val="0083599E"/>
    <w:rsid w:val="00835D51"/>
    <w:rsid w:val="00835ECB"/>
    <w:rsid w:val="00835FAD"/>
    <w:rsid w:val="00836201"/>
    <w:rsid w:val="0083630B"/>
    <w:rsid w:val="00836AD2"/>
    <w:rsid w:val="00836FE3"/>
    <w:rsid w:val="0083710C"/>
    <w:rsid w:val="008375CC"/>
    <w:rsid w:val="00837B91"/>
    <w:rsid w:val="00840419"/>
    <w:rsid w:val="00840711"/>
    <w:rsid w:val="00840E38"/>
    <w:rsid w:val="008415CC"/>
    <w:rsid w:val="00841CED"/>
    <w:rsid w:val="00842397"/>
    <w:rsid w:val="00842800"/>
    <w:rsid w:val="00842862"/>
    <w:rsid w:val="008430A2"/>
    <w:rsid w:val="008435F0"/>
    <w:rsid w:val="00843777"/>
    <w:rsid w:val="0084415C"/>
    <w:rsid w:val="0084426C"/>
    <w:rsid w:val="0084480D"/>
    <w:rsid w:val="00844819"/>
    <w:rsid w:val="00844980"/>
    <w:rsid w:val="00844A44"/>
    <w:rsid w:val="00844A64"/>
    <w:rsid w:val="00844FBD"/>
    <w:rsid w:val="00845199"/>
    <w:rsid w:val="00845277"/>
    <w:rsid w:val="00845660"/>
    <w:rsid w:val="0084571D"/>
    <w:rsid w:val="008463B7"/>
    <w:rsid w:val="00846E0C"/>
    <w:rsid w:val="00847323"/>
    <w:rsid w:val="00847356"/>
    <w:rsid w:val="00847DFE"/>
    <w:rsid w:val="00847E86"/>
    <w:rsid w:val="00847FE8"/>
    <w:rsid w:val="00850F9D"/>
    <w:rsid w:val="00851111"/>
    <w:rsid w:val="008512E1"/>
    <w:rsid w:val="008518E7"/>
    <w:rsid w:val="008524E4"/>
    <w:rsid w:val="008525CF"/>
    <w:rsid w:val="0085342A"/>
    <w:rsid w:val="008542CC"/>
    <w:rsid w:val="008548CB"/>
    <w:rsid w:val="008549CE"/>
    <w:rsid w:val="00854CF5"/>
    <w:rsid w:val="00854F91"/>
    <w:rsid w:val="008559D4"/>
    <w:rsid w:val="00855D88"/>
    <w:rsid w:val="00855EE4"/>
    <w:rsid w:val="008564E0"/>
    <w:rsid w:val="0085660E"/>
    <w:rsid w:val="00856F4C"/>
    <w:rsid w:val="008571C1"/>
    <w:rsid w:val="008577C7"/>
    <w:rsid w:val="0086009A"/>
    <w:rsid w:val="00860973"/>
    <w:rsid w:val="00860B77"/>
    <w:rsid w:val="008610C9"/>
    <w:rsid w:val="0086177A"/>
    <w:rsid w:val="0086183E"/>
    <w:rsid w:val="00861939"/>
    <w:rsid w:val="00861B8D"/>
    <w:rsid w:val="00861EEA"/>
    <w:rsid w:val="00862A24"/>
    <w:rsid w:val="00863044"/>
    <w:rsid w:val="008648B5"/>
    <w:rsid w:val="00865247"/>
    <w:rsid w:val="00865338"/>
    <w:rsid w:val="00865A78"/>
    <w:rsid w:val="0086641A"/>
    <w:rsid w:val="008677A8"/>
    <w:rsid w:val="00867B4C"/>
    <w:rsid w:val="00867BCC"/>
    <w:rsid w:val="00867F68"/>
    <w:rsid w:val="0087094C"/>
    <w:rsid w:val="00870E4A"/>
    <w:rsid w:val="00870F19"/>
    <w:rsid w:val="0087140E"/>
    <w:rsid w:val="008716A1"/>
    <w:rsid w:val="008718D6"/>
    <w:rsid w:val="00872B6A"/>
    <w:rsid w:val="008737D3"/>
    <w:rsid w:val="00873E0E"/>
    <w:rsid w:val="00874253"/>
    <w:rsid w:val="00874790"/>
    <w:rsid w:val="008749BD"/>
    <w:rsid w:val="00874A8D"/>
    <w:rsid w:val="00876BAB"/>
    <w:rsid w:val="00876D75"/>
    <w:rsid w:val="00877C19"/>
    <w:rsid w:val="00877CBF"/>
    <w:rsid w:val="00877D96"/>
    <w:rsid w:val="00877DC7"/>
    <w:rsid w:val="00877DD9"/>
    <w:rsid w:val="0088008D"/>
    <w:rsid w:val="008800B9"/>
    <w:rsid w:val="008800E1"/>
    <w:rsid w:val="0088066C"/>
    <w:rsid w:val="00880C5D"/>
    <w:rsid w:val="00881B70"/>
    <w:rsid w:val="00881CF8"/>
    <w:rsid w:val="00881DCB"/>
    <w:rsid w:val="00882D53"/>
    <w:rsid w:val="00883437"/>
    <w:rsid w:val="008834C5"/>
    <w:rsid w:val="0088359A"/>
    <w:rsid w:val="00883A3A"/>
    <w:rsid w:val="00883C24"/>
    <w:rsid w:val="00883EB9"/>
    <w:rsid w:val="00884457"/>
    <w:rsid w:val="00884673"/>
    <w:rsid w:val="008853F8"/>
    <w:rsid w:val="00887577"/>
    <w:rsid w:val="00887FD1"/>
    <w:rsid w:val="00891E3E"/>
    <w:rsid w:val="00892985"/>
    <w:rsid w:val="00892F77"/>
    <w:rsid w:val="00893C2D"/>
    <w:rsid w:val="00894523"/>
    <w:rsid w:val="008949E2"/>
    <w:rsid w:val="00894F3D"/>
    <w:rsid w:val="00894FA5"/>
    <w:rsid w:val="008953BD"/>
    <w:rsid w:val="00896568"/>
    <w:rsid w:val="008968EC"/>
    <w:rsid w:val="00896C60"/>
    <w:rsid w:val="00896CDF"/>
    <w:rsid w:val="008974C3"/>
    <w:rsid w:val="0089760B"/>
    <w:rsid w:val="00897B57"/>
    <w:rsid w:val="00897F7D"/>
    <w:rsid w:val="008A1EDB"/>
    <w:rsid w:val="008A1F21"/>
    <w:rsid w:val="008A4121"/>
    <w:rsid w:val="008A44E7"/>
    <w:rsid w:val="008A4628"/>
    <w:rsid w:val="008A5F91"/>
    <w:rsid w:val="008A7866"/>
    <w:rsid w:val="008A7C4D"/>
    <w:rsid w:val="008A7EAE"/>
    <w:rsid w:val="008B08A7"/>
    <w:rsid w:val="008B103C"/>
    <w:rsid w:val="008B1501"/>
    <w:rsid w:val="008B1730"/>
    <w:rsid w:val="008B2835"/>
    <w:rsid w:val="008B2F47"/>
    <w:rsid w:val="008B303F"/>
    <w:rsid w:val="008B47CB"/>
    <w:rsid w:val="008B4AED"/>
    <w:rsid w:val="008B4D58"/>
    <w:rsid w:val="008B4EF7"/>
    <w:rsid w:val="008B4F2A"/>
    <w:rsid w:val="008B519F"/>
    <w:rsid w:val="008B5A82"/>
    <w:rsid w:val="008B6A6C"/>
    <w:rsid w:val="008B6CF4"/>
    <w:rsid w:val="008B7CBC"/>
    <w:rsid w:val="008B7DF7"/>
    <w:rsid w:val="008B7E78"/>
    <w:rsid w:val="008B7FE7"/>
    <w:rsid w:val="008C053F"/>
    <w:rsid w:val="008C05DC"/>
    <w:rsid w:val="008C0B3C"/>
    <w:rsid w:val="008C0ECE"/>
    <w:rsid w:val="008C1587"/>
    <w:rsid w:val="008C15BB"/>
    <w:rsid w:val="008C1661"/>
    <w:rsid w:val="008C28E5"/>
    <w:rsid w:val="008C2C40"/>
    <w:rsid w:val="008C2F2D"/>
    <w:rsid w:val="008C3082"/>
    <w:rsid w:val="008C3481"/>
    <w:rsid w:val="008C34B3"/>
    <w:rsid w:val="008C3862"/>
    <w:rsid w:val="008C4382"/>
    <w:rsid w:val="008C4D74"/>
    <w:rsid w:val="008C4E5F"/>
    <w:rsid w:val="008C52A4"/>
    <w:rsid w:val="008C546A"/>
    <w:rsid w:val="008C561D"/>
    <w:rsid w:val="008C5D1C"/>
    <w:rsid w:val="008C5FEC"/>
    <w:rsid w:val="008C61D1"/>
    <w:rsid w:val="008C625F"/>
    <w:rsid w:val="008C6886"/>
    <w:rsid w:val="008C6C82"/>
    <w:rsid w:val="008C7A45"/>
    <w:rsid w:val="008D0409"/>
    <w:rsid w:val="008D0C78"/>
    <w:rsid w:val="008D1175"/>
    <w:rsid w:val="008D15F7"/>
    <w:rsid w:val="008D1735"/>
    <w:rsid w:val="008D1738"/>
    <w:rsid w:val="008D18B9"/>
    <w:rsid w:val="008D1C71"/>
    <w:rsid w:val="008D1DC0"/>
    <w:rsid w:val="008D1FDE"/>
    <w:rsid w:val="008D2221"/>
    <w:rsid w:val="008D2C92"/>
    <w:rsid w:val="008D2D28"/>
    <w:rsid w:val="008D3283"/>
    <w:rsid w:val="008D351D"/>
    <w:rsid w:val="008D506C"/>
    <w:rsid w:val="008D5289"/>
    <w:rsid w:val="008D5C5B"/>
    <w:rsid w:val="008D6909"/>
    <w:rsid w:val="008D6CBE"/>
    <w:rsid w:val="008D6E76"/>
    <w:rsid w:val="008D7D13"/>
    <w:rsid w:val="008D7E11"/>
    <w:rsid w:val="008E1C45"/>
    <w:rsid w:val="008E1D9A"/>
    <w:rsid w:val="008E1DA7"/>
    <w:rsid w:val="008E242E"/>
    <w:rsid w:val="008E2E35"/>
    <w:rsid w:val="008E2E5F"/>
    <w:rsid w:val="008E344B"/>
    <w:rsid w:val="008E417D"/>
    <w:rsid w:val="008E4651"/>
    <w:rsid w:val="008E54F8"/>
    <w:rsid w:val="008E5A6F"/>
    <w:rsid w:val="008E5BDB"/>
    <w:rsid w:val="008E5F94"/>
    <w:rsid w:val="008E647B"/>
    <w:rsid w:val="008E69FB"/>
    <w:rsid w:val="008E7A63"/>
    <w:rsid w:val="008E7B61"/>
    <w:rsid w:val="008F049F"/>
    <w:rsid w:val="008F11F4"/>
    <w:rsid w:val="008F27CF"/>
    <w:rsid w:val="008F3AE2"/>
    <w:rsid w:val="008F4990"/>
    <w:rsid w:val="008F4B3F"/>
    <w:rsid w:val="008F5143"/>
    <w:rsid w:val="008F54A5"/>
    <w:rsid w:val="008F59EE"/>
    <w:rsid w:val="008F5C24"/>
    <w:rsid w:val="008F6221"/>
    <w:rsid w:val="008F66C4"/>
    <w:rsid w:val="008F69B3"/>
    <w:rsid w:val="008F722B"/>
    <w:rsid w:val="008F777B"/>
    <w:rsid w:val="008F7A93"/>
    <w:rsid w:val="008F7CCE"/>
    <w:rsid w:val="008F7D4C"/>
    <w:rsid w:val="009001DB"/>
    <w:rsid w:val="009003C1"/>
    <w:rsid w:val="0090044D"/>
    <w:rsid w:val="00900589"/>
    <w:rsid w:val="00901C9D"/>
    <w:rsid w:val="009022D9"/>
    <w:rsid w:val="00902466"/>
    <w:rsid w:val="009026CE"/>
    <w:rsid w:val="00905001"/>
    <w:rsid w:val="00905FEF"/>
    <w:rsid w:val="009064E2"/>
    <w:rsid w:val="00906A1D"/>
    <w:rsid w:val="00906F0D"/>
    <w:rsid w:val="00906F85"/>
    <w:rsid w:val="009077C7"/>
    <w:rsid w:val="00910AA8"/>
    <w:rsid w:val="00911518"/>
    <w:rsid w:val="00911E5B"/>
    <w:rsid w:val="0091220E"/>
    <w:rsid w:val="009127E9"/>
    <w:rsid w:val="00913360"/>
    <w:rsid w:val="009145A6"/>
    <w:rsid w:val="0091465A"/>
    <w:rsid w:val="00915068"/>
    <w:rsid w:val="0091557B"/>
    <w:rsid w:val="00915580"/>
    <w:rsid w:val="009156C3"/>
    <w:rsid w:val="009158E1"/>
    <w:rsid w:val="00915D8D"/>
    <w:rsid w:val="00915FF6"/>
    <w:rsid w:val="00916D3E"/>
    <w:rsid w:val="0091763D"/>
    <w:rsid w:val="00920216"/>
    <w:rsid w:val="00920463"/>
    <w:rsid w:val="00921020"/>
    <w:rsid w:val="009215E8"/>
    <w:rsid w:val="00921625"/>
    <w:rsid w:val="009221C5"/>
    <w:rsid w:val="00922233"/>
    <w:rsid w:val="009231E5"/>
    <w:rsid w:val="009238C7"/>
    <w:rsid w:val="00923D68"/>
    <w:rsid w:val="00924070"/>
    <w:rsid w:val="009243C3"/>
    <w:rsid w:val="009244A3"/>
    <w:rsid w:val="009245CA"/>
    <w:rsid w:val="009255BD"/>
    <w:rsid w:val="009258DA"/>
    <w:rsid w:val="00925E88"/>
    <w:rsid w:val="0092646A"/>
    <w:rsid w:val="009266CB"/>
    <w:rsid w:val="00926A84"/>
    <w:rsid w:val="00926B4F"/>
    <w:rsid w:val="00926B7F"/>
    <w:rsid w:val="00926DC4"/>
    <w:rsid w:val="00926E4D"/>
    <w:rsid w:val="00927F8C"/>
    <w:rsid w:val="0093007A"/>
    <w:rsid w:val="00930080"/>
    <w:rsid w:val="009304AA"/>
    <w:rsid w:val="0093057A"/>
    <w:rsid w:val="00930905"/>
    <w:rsid w:val="009309C6"/>
    <w:rsid w:val="009318C9"/>
    <w:rsid w:val="009327B7"/>
    <w:rsid w:val="00932828"/>
    <w:rsid w:val="0093352D"/>
    <w:rsid w:val="009335D5"/>
    <w:rsid w:val="009339F7"/>
    <w:rsid w:val="00934745"/>
    <w:rsid w:val="009347BF"/>
    <w:rsid w:val="00935239"/>
    <w:rsid w:val="009366DA"/>
    <w:rsid w:val="00937256"/>
    <w:rsid w:val="0093726E"/>
    <w:rsid w:val="009376FF"/>
    <w:rsid w:val="00940185"/>
    <w:rsid w:val="00940BCD"/>
    <w:rsid w:val="00941079"/>
    <w:rsid w:val="00941279"/>
    <w:rsid w:val="00941291"/>
    <w:rsid w:val="00941AFD"/>
    <w:rsid w:val="009433AE"/>
    <w:rsid w:val="009434BB"/>
    <w:rsid w:val="00943529"/>
    <w:rsid w:val="00943C64"/>
    <w:rsid w:val="00943D95"/>
    <w:rsid w:val="00943F47"/>
    <w:rsid w:val="009440B8"/>
    <w:rsid w:val="0094515A"/>
    <w:rsid w:val="00945F60"/>
    <w:rsid w:val="0094606F"/>
    <w:rsid w:val="009462CF"/>
    <w:rsid w:val="009462D5"/>
    <w:rsid w:val="00946CA9"/>
    <w:rsid w:val="009470A0"/>
    <w:rsid w:val="00947BBC"/>
    <w:rsid w:val="00950356"/>
    <w:rsid w:val="0095060C"/>
    <w:rsid w:val="00950741"/>
    <w:rsid w:val="0095094A"/>
    <w:rsid w:val="00951189"/>
    <w:rsid w:val="00951C82"/>
    <w:rsid w:val="00951FB5"/>
    <w:rsid w:val="00952264"/>
    <w:rsid w:val="0095263E"/>
    <w:rsid w:val="009529DD"/>
    <w:rsid w:val="00952F92"/>
    <w:rsid w:val="009530CC"/>
    <w:rsid w:val="00953EB6"/>
    <w:rsid w:val="00953FB2"/>
    <w:rsid w:val="0095456C"/>
    <w:rsid w:val="009547B3"/>
    <w:rsid w:val="00954EB9"/>
    <w:rsid w:val="00954F88"/>
    <w:rsid w:val="009567F8"/>
    <w:rsid w:val="00956905"/>
    <w:rsid w:val="009569D0"/>
    <w:rsid w:val="00957210"/>
    <w:rsid w:val="0095725A"/>
    <w:rsid w:val="00957A31"/>
    <w:rsid w:val="00960371"/>
    <w:rsid w:val="00960970"/>
    <w:rsid w:val="00960AD7"/>
    <w:rsid w:val="00961098"/>
    <w:rsid w:val="00961205"/>
    <w:rsid w:val="009614C6"/>
    <w:rsid w:val="009619F1"/>
    <w:rsid w:val="00961DC2"/>
    <w:rsid w:val="009626CB"/>
    <w:rsid w:val="009627A6"/>
    <w:rsid w:val="00962BFB"/>
    <w:rsid w:val="00962E1C"/>
    <w:rsid w:val="0096349D"/>
    <w:rsid w:val="00963A20"/>
    <w:rsid w:val="009645EF"/>
    <w:rsid w:val="00964954"/>
    <w:rsid w:val="00965061"/>
    <w:rsid w:val="009651F2"/>
    <w:rsid w:val="0096532A"/>
    <w:rsid w:val="00965958"/>
    <w:rsid w:val="00965D7B"/>
    <w:rsid w:val="0096609A"/>
    <w:rsid w:val="0096651C"/>
    <w:rsid w:val="00966642"/>
    <w:rsid w:val="009667BE"/>
    <w:rsid w:val="00966DEC"/>
    <w:rsid w:val="00967963"/>
    <w:rsid w:val="00970016"/>
    <w:rsid w:val="0097030A"/>
    <w:rsid w:val="009703B3"/>
    <w:rsid w:val="009706CA"/>
    <w:rsid w:val="00970833"/>
    <w:rsid w:val="009709ED"/>
    <w:rsid w:val="0097111B"/>
    <w:rsid w:val="00971142"/>
    <w:rsid w:val="009719B7"/>
    <w:rsid w:val="00971BAD"/>
    <w:rsid w:val="009731F8"/>
    <w:rsid w:val="00973602"/>
    <w:rsid w:val="00973FC5"/>
    <w:rsid w:val="009741B5"/>
    <w:rsid w:val="00974B51"/>
    <w:rsid w:val="00974DA5"/>
    <w:rsid w:val="00975472"/>
    <w:rsid w:val="00975626"/>
    <w:rsid w:val="00975852"/>
    <w:rsid w:val="00975A58"/>
    <w:rsid w:val="0097673A"/>
    <w:rsid w:val="0097673B"/>
    <w:rsid w:val="00976D44"/>
    <w:rsid w:val="00977648"/>
    <w:rsid w:val="00977800"/>
    <w:rsid w:val="00977CCB"/>
    <w:rsid w:val="00981CA7"/>
    <w:rsid w:val="00982077"/>
    <w:rsid w:val="009831F5"/>
    <w:rsid w:val="009838E4"/>
    <w:rsid w:val="00983C1A"/>
    <w:rsid w:val="00984FF0"/>
    <w:rsid w:val="009850E3"/>
    <w:rsid w:val="00987C7D"/>
    <w:rsid w:val="00987E72"/>
    <w:rsid w:val="00990380"/>
    <w:rsid w:val="0099102F"/>
    <w:rsid w:val="00991C91"/>
    <w:rsid w:val="00991F82"/>
    <w:rsid w:val="009921DB"/>
    <w:rsid w:val="00992959"/>
    <w:rsid w:val="00992D09"/>
    <w:rsid w:val="00992ED6"/>
    <w:rsid w:val="0099406F"/>
    <w:rsid w:val="009940EF"/>
    <w:rsid w:val="00994A8D"/>
    <w:rsid w:val="00994D06"/>
    <w:rsid w:val="00994E83"/>
    <w:rsid w:val="00995258"/>
    <w:rsid w:val="0099607F"/>
    <w:rsid w:val="00996736"/>
    <w:rsid w:val="009967C8"/>
    <w:rsid w:val="00996C27"/>
    <w:rsid w:val="0099733A"/>
    <w:rsid w:val="0099788D"/>
    <w:rsid w:val="00997CF0"/>
    <w:rsid w:val="009A03B6"/>
    <w:rsid w:val="009A0BBC"/>
    <w:rsid w:val="009A0F90"/>
    <w:rsid w:val="009A11E3"/>
    <w:rsid w:val="009A3881"/>
    <w:rsid w:val="009A3D24"/>
    <w:rsid w:val="009A3E05"/>
    <w:rsid w:val="009A4439"/>
    <w:rsid w:val="009A4B37"/>
    <w:rsid w:val="009A51F7"/>
    <w:rsid w:val="009A5272"/>
    <w:rsid w:val="009A53A4"/>
    <w:rsid w:val="009A57F5"/>
    <w:rsid w:val="009A5AFD"/>
    <w:rsid w:val="009A5CE7"/>
    <w:rsid w:val="009A64A2"/>
    <w:rsid w:val="009A673E"/>
    <w:rsid w:val="009A697C"/>
    <w:rsid w:val="009A6CAC"/>
    <w:rsid w:val="009A6EFD"/>
    <w:rsid w:val="009A6FA1"/>
    <w:rsid w:val="009A7C78"/>
    <w:rsid w:val="009B0073"/>
    <w:rsid w:val="009B0152"/>
    <w:rsid w:val="009B12C1"/>
    <w:rsid w:val="009B13D8"/>
    <w:rsid w:val="009B16F4"/>
    <w:rsid w:val="009B1C79"/>
    <w:rsid w:val="009B23C0"/>
    <w:rsid w:val="009B2574"/>
    <w:rsid w:val="009B2C6A"/>
    <w:rsid w:val="009B2C96"/>
    <w:rsid w:val="009B3061"/>
    <w:rsid w:val="009B3582"/>
    <w:rsid w:val="009B35C7"/>
    <w:rsid w:val="009B39DC"/>
    <w:rsid w:val="009B3EA9"/>
    <w:rsid w:val="009B41C8"/>
    <w:rsid w:val="009B42E2"/>
    <w:rsid w:val="009B45CD"/>
    <w:rsid w:val="009B4BF4"/>
    <w:rsid w:val="009B4D58"/>
    <w:rsid w:val="009B60D9"/>
    <w:rsid w:val="009B61E7"/>
    <w:rsid w:val="009B64C2"/>
    <w:rsid w:val="009B6C50"/>
    <w:rsid w:val="009B6D58"/>
    <w:rsid w:val="009B6E39"/>
    <w:rsid w:val="009B768C"/>
    <w:rsid w:val="009C0087"/>
    <w:rsid w:val="009C0275"/>
    <w:rsid w:val="009C11DE"/>
    <w:rsid w:val="009C1E7C"/>
    <w:rsid w:val="009C2C3B"/>
    <w:rsid w:val="009C2F42"/>
    <w:rsid w:val="009C2F91"/>
    <w:rsid w:val="009C311C"/>
    <w:rsid w:val="009C3ABD"/>
    <w:rsid w:val="009C3CF9"/>
    <w:rsid w:val="009C3F8C"/>
    <w:rsid w:val="009C4369"/>
    <w:rsid w:val="009C471B"/>
    <w:rsid w:val="009C4726"/>
    <w:rsid w:val="009C5957"/>
    <w:rsid w:val="009C6486"/>
    <w:rsid w:val="009C6E72"/>
    <w:rsid w:val="009C7210"/>
    <w:rsid w:val="009C7BAE"/>
    <w:rsid w:val="009D0CDF"/>
    <w:rsid w:val="009D1ECE"/>
    <w:rsid w:val="009D2807"/>
    <w:rsid w:val="009D2D58"/>
    <w:rsid w:val="009D37B9"/>
    <w:rsid w:val="009D3BA2"/>
    <w:rsid w:val="009D3C28"/>
    <w:rsid w:val="009D3C3F"/>
    <w:rsid w:val="009D4056"/>
    <w:rsid w:val="009D4166"/>
    <w:rsid w:val="009D4218"/>
    <w:rsid w:val="009D4D67"/>
    <w:rsid w:val="009D4EF7"/>
    <w:rsid w:val="009D4FC5"/>
    <w:rsid w:val="009D543A"/>
    <w:rsid w:val="009D56F9"/>
    <w:rsid w:val="009D5925"/>
    <w:rsid w:val="009D6261"/>
    <w:rsid w:val="009D6305"/>
    <w:rsid w:val="009D635B"/>
    <w:rsid w:val="009D65A9"/>
    <w:rsid w:val="009D66DC"/>
    <w:rsid w:val="009D6E52"/>
    <w:rsid w:val="009D759F"/>
    <w:rsid w:val="009D7B44"/>
    <w:rsid w:val="009D7F6F"/>
    <w:rsid w:val="009E0393"/>
    <w:rsid w:val="009E07D3"/>
    <w:rsid w:val="009E0B98"/>
    <w:rsid w:val="009E0E8E"/>
    <w:rsid w:val="009E1A36"/>
    <w:rsid w:val="009E22B3"/>
    <w:rsid w:val="009E2FA5"/>
    <w:rsid w:val="009E3AA7"/>
    <w:rsid w:val="009E3D56"/>
    <w:rsid w:val="009E682B"/>
    <w:rsid w:val="009E6C75"/>
    <w:rsid w:val="009E71EB"/>
    <w:rsid w:val="009E7226"/>
    <w:rsid w:val="009E7DA7"/>
    <w:rsid w:val="009F0255"/>
    <w:rsid w:val="009F06F2"/>
    <w:rsid w:val="009F0903"/>
    <w:rsid w:val="009F0FBD"/>
    <w:rsid w:val="009F1331"/>
    <w:rsid w:val="009F1499"/>
    <w:rsid w:val="009F15A5"/>
    <w:rsid w:val="009F1DA4"/>
    <w:rsid w:val="009F3525"/>
    <w:rsid w:val="009F3555"/>
    <w:rsid w:val="009F3BB7"/>
    <w:rsid w:val="009F4490"/>
    <w:rsid w:val="009F4A72"/>
    <w:rsid w:val="009F6151"/>
    <w:rsid w:val="009F635E"/>
    <w:rsid w:val="009F66EF"/>
    <w:rsid w:val="009F673A"/>
    <w:rsid w:val="009F6DB1"/>
    <w:rsid w:val="00A00828"/>
    <w:rsid w:val="00A01C79"/>
    <w:rsid w:val="00A0256C"/>
    <w:rsid w:val="00A02C5D"/>
    <w:rsid w:val="00A02E31"/>
    <w:rsid w:val="00A04484"/>
    <w:rsid w:val="00A04799"/>
    <w:rsid w:val="00A0484D"/>
    <w:rsid w:val="00A04B98"/>
    <w:rsid w:val="00A04D59"/>
    <w:rsid w:val="00A04F7B"/>
    <w:rsid w:val="00A0512D"/>
    <w:rsid w:val="00A05189"/>
    <w:rsid w:val="00A05B62"/>
    <w:rsid w:val="00A06593"/>
    <w:rsid w:val="00A07498"/>
    <w:rsid w:val="00A074EA"/>
    <w:rsid w:val="00A1021A"/>
    <w:rsid w:val="00A10255"/>
    <w:rsid w:val="00A10418"/>
    <w:rsid w:val="00A10FBC"/>
    <w:rsid w:val="00A114DF"/>
    <w:rsid w:val="00A118A8"/>
    <w:rsid w:val="00A118CC"/>
    <w:rsid w:val="00A12EF9"/>
    <w:rsid w:val="00A1358C"/>
    <w:rsid w:val="00A13A03"/>
    <w:rsid w:val="00A13A75"/>
    <w:rsid w:val="00A13AF7"/>
    <w:rsid w:val="00A13C53"/>
    <w:rsid w:val="00A13CA6"/>
    <w:rsid w:val="00A140D3"/>
    <w:rsid w:val="00A1446B"/>
    <w:rsid w:val="00A14851"/>
    <w:rsid w:val="00A14BD5"/>
    <w:rsid w:val="00A1568E"/>
    <w:rsid w:val="00A1596D"/>
    <w:rsid w:val="00A15F7C"/>
    <w:rsid w:val="00A167F2"/>
    <w:rsid w:val="00A16B4B"/>
    <w:rsid w:val="00A17479"/>
    <w:rsid w:val="00A17C09"/>
    <w:rsid w:val="00A17EFE"/>
    <w:rsid w:val="00A2099A"/>
    <w:rsid w:val="00A20C78"/>
    <w:rsid w:val="00A20CC5"/>
    <w:rsid w:val="00A20F87"/>
    <w:rsid w:val="00A2312E"/>
    <w:rsid w:val="00A2321E"/>
    <w:rsid w:val="00A235BA"/>
    <w:rsid w:val="00A23A98"/>
    <w:rsid w:val="00A23AB6"/>
    <w:rsid w:val="00A23B1B"/>
    <w:rsid w:val="00A24323"/>
    <w:rsid w:val="00A2512C"/>
    <w:rsid w:val="00A2515B"/>
    <w:rsid w:val="00A251C2"/>
    <w:rsid w:val="00A2588E"/>
    <w:rsid w:val="00A25ACC"/>
    <w:rsid w:val="00A26CD0"/>
    <w:rsid w:val="00A26EDF"/>
    <w:rsid w:val="00A302C1"/>
    <w:rsid w:val="00A30BE3"/>
    <w:rsid w:val="00A30E67"/>
    <w:rsid w:val="00A31400"/>
    <w:rsid w:val="00A31788"/>
    <w:rsid w:val="00A32BF4"/>
    <w:rsid w:val="00A32D91"/>
    <w:rsid w:val="00A3317B"/>
    <w:rsid w:val="00A33256"/>
    <w:rsid w:val="00A337B7"/>
    <w:rsid w:val="00A337C3"/>
    <w:rsid w:val="00A33E69"/>
    <w:rsid w:val="00A3437C"/>
    <w:rsid w:val="00A34789"/>
    <w:rsid w:val="00A34ED6"/>
    <w:rsid w:val="00A350EB"/>
    <w:rsid w:val="00A35558"/>
    <w:rsid w:val="00A3596D"/>
    <w:rsid w:val="00A35CDF"/>
    <w:rsid w:val="00A3630E"/>
    <w:rsid w:val="00A3636B"/>
    <w:rsid w:val="00A36ACA"/>
    <w:rsid w:val="00A372A6"/>
    <w:rsid w:val="00A376C4"/>
    <w:rsid w:val="00A37B7D"/>
    <w:rsid w:val="00A37BB8"/>
    <w:rsid w:val="00A37D74"/>
    <w:rsid w:val="00A4006C"/>
    <w:rsid w:val="00A4009C"/>
    <w:rsid w:val="00A40D23"/>
    <w:rsid w:val="00A41EA5"/>
    <w:rsid w:val="00A41FF8"/>
    <w:rsid w:val="00A41FFF"/>
    <w:rsid w:val="00A4236A"/>
    <w:rsid w:val="00A429D6"/>
    <w:rsid w:val="00A42D87"/>
    <w:rsid w:val="00A43360"/>
    <w:rsid w:val="00A44BD3"/>
    <w:rsid w:val="00A4521D"/>
    <w:rsid w:val="00A4542D"/>
    <w:rsid w:val="00A45895"/>
    <w:rsid w:val="00A45CD8"/>
    <w:rsid w:val="00A469BC"/>
    <w:rsid w:val="00A46A06"/>
    <w:rsid w:val="00A46D6F"/>
    <w:rsid w:val="00A46E0B"/>
    <w:rsid w:val="00A47A57"/>
    <w:rsid w:val="00A50100"/>
    <w:rsid w:val="00A506CF"/>
    <w:rsid w:val="00A50BB3"/>
    <w:rsid w:val="00A50F27"/>
    <w:rsid w:val="00A51AC9"/>
    <w:rsid w:val="00A51B3A"/>
    <w:rsid w:val="00A51F0A"/>
    <w:rsid w:val="00A52002"/>
    <w:rsid w:val="00A521DE"/>
    <w:rsid w:val="00A524D0"/>
    <w:rsid w:val="00A52809"/>
    <w:rsid w:val="00A52C9E"/>
    <w:rsid w:val="00A533F3"/>
    <w:rsid w:val="00A5346F"/>
    <w:rsid w:val="00A53FAB"/>
    <w:rsid w:val="00A54EF2"/>
    <w:rsid w:val="00A5548A"/>
    <w:rsid w:val="00A556B2"/>
    <w:rsid w:val="00A55B13"/>
    <w:rsid w:val="00A55D48"/>
    <w:rsid w:val="00A5640F"/>
    <w:rsid w:val="00A571E7"/>
    <w:rsid w:val="00A57BEB"/>
    <w:rsid w:val="00A57C97"/>
    <w:rsid w:val="00A603AB"/>
    <w:rsid w:val="00A60430"/>
    <w:rsid w:val="00A604CC"/>
    <w:rsid w:val="00A60613"/>
    <w:rsid w:val="00A609CD"/>
    <w:rsid w:val="00A60D0D"/>
    <w:rsid w:val="00A612D0"/>
    <w:rsid w:val="00A61673"/>
    <w:rsid w:val="00A63379"/>
    <w:rsid w:val="00A63947"/>
    <w:rsid w:val="00A63F76"/>
    <w:rsid w:val="00A64926"/>
    <w:rsid w:val="00A64D41"/>
    <w:rsid w:val="00A65BC7"/>
    <w:rsid w:val="00A66458"/>
    <w:rsid w:val="00A665CF"/>
    <w:rsid w:val="00A66C70"/>
    <w:rsid w:val="00A66C8C"/>
    <w:rsid w:val="00A66EAC"/>
    <w:rsid w:val="00A67361"/>
    <w:rsid w:val="00A67CA7"/>
    <w:rsid w:val="00A67FE1"/>
    <w:rsid w:val="00A702E2"/>
    <w:rsid w:val="00A70B5F"/>
    <w:rsid w:val="00A70D36"/>
    <w:rsid w:val="00A70ECB"/>
    <w:rsid w:val="00A713AC"/>
    <w:rsid w:val="00A71424"/>
    <w:rsid w:val="00A717C8"/>
    <w:rsid w:val="00A72084"/>
    <w:rsid w:val="00A72123"/>
    <w:rsid w:val="00A72B46"/>
    <w:rsid w:val="00A72CC0"/>
    <w:rsid w:val="00A73285"/>
    <w:rsid w:val="00A73989"/>
    <w:rsid w:val="00A739F5"/>
    <w:rsid w:val="00A73AD1"/>
    <w:rsid w:val="00A73EBE"/>
    <w:rsid w:val="00A74877"/>
    <w:rsid w:val="00A74C9D"/>
    <w:rsid w:val="00A74E31"/>
    <w:rsid w:val="00A74EE9"/>
    <w:rsid w:val="00A75052"/>
    <w:rsid w:val="00A755DF"/>
    <w:rsid w:val="00A75D55"/>
    <w:rsid w:val="00A76270"/>
    <w:rsid w:val="00A764AE"/>
    <w:rsid w:val="00A7752F"/>
    <w:rsid w:val="00A77C45"/>
    <w:rsid w:val="00A80280"/>
    <w:rsid w:val="00A80543"/>
    <w:rsid w:val="00A81208"/>
    <w:rsid w:val="00A81E27"/>
    <w:rsid w:val="00A81FDC"/>
    <w:rsid w:val="00A82252"/>
    <w:rsid w:val="00A82480"/>
    <w:rsid w:val="00A8363E"/>
    <w:rsid w:val="00A83A90"/>
    <w:rsid w:val="00A8408C"/>
    <w:rsid w:val="00A84562"/>
    <w:rsid w:val="00A85155"/>
    <w:rsid w:val="00A851F9"/>
    <w:rsid w:val="00A85BFC"/>
    <w:rsid w:val="00A85C35"/>
    <w:rsid w:val="00A85CA3"/>
    <w:rsid w:val="00A864F2"/>
    <w:rsid w:val="00A867C0"/>
    <w:rsid w:val="00A86FBA"/>
    <w:rsid w:val="00A875B7"/>
    <w:rsid w:val="00A87CD9"/>
    <w:rsid w:val="00A87D4D"/>
    <w:rsid w:val="00A90320"/>
    <w:rsid w:val="00A90B80"/>
    <w:rsid w:val="00A90BD6"/>
    <w:rsid w:val="00A9169E"/>
    <w:rsid w:val="00A91737"/>
    <w:rsid w:val="00A91B34"/>
    <w:rsid w:val="00A92061"/>
    <w:rsid w:val="00A92345"/>
    <w:rsid w:val="00A94249"/>
    <w:rsid w:val="00A94849"/>
    <w:rsid w:val="00A94AD9"/>
    <w:rsid w:val="00A94BC9"/>
    <w:rsid w:val="00A959BC"/>
    <w:rsid w:val="00A968C4"/>
    <w:rsid w:val="00A9757F"/>
    <w:rsid w:val="00A975A1"/>
    <w:rsid w:val="00A97994"/>
    <w:rsid w:val="00A97D8E"/>
    <w:rsid w:val="00A97DCD"/>
    <w:rsid w:val="00A97DDE"/>
    <w:rsid w:val="00AA0596"/>
    <w:rsid w:val="00AA0D4C"/>
    <w:rsid w:val="00AA1126"/>
    <w:rsid w:val="00AA1919"/>
    <w:rsid w:val="00AA2562"/>
    <w:rsid w:val="00AA28A4"/>
    <w:rsid w:val="00AA2DF9"/>
    <w:rsid w:val="00AA3851"/>
    <w:rsid w:val="00AA3B68"/>
    <w:rsid w:val="00AA3C60"/>
    <w:rsid w:val="00AA43E8"/>
    <w:rsid w:val="00AA4698"/>
    <w:rsid w:val="00AA4DA5"/>
    <w:rsid w:val="00AA5649"/>
    <w:rsid w:val="00AA5779"/>
    <w:rsid w:val="00AA57DC"/>
    <w:rsid w:val="00AA5AB5"/>
    <w:rsid w:val="00AA6B5F"/>
    <w:rsid w:val="00AA7013"/>
    <w:rsid w:val="00AA777E"/>
    <w:rsid w:val="00AB0995"/>
    <w:rsid w:val="00AB12D3"/>
    <w:rsid w:val="00AB1B06"/>
    <w:rsid w:val="00AB23D6"/>
    <w:rsid w:val="00AB26AC"/>
    <w:rsid w:val="00AB2E71"/>
    <w:rsid w:val="00AB2FF4"/>
    <w:rsid w:val="00AB35DA"/>
    <w:rsid w:val="00AB3765"/>
    <w:rsid w:val="00AB5545"/>
    <w:rsid w:val="00AB5C51"/>
    <w:rsid w:val="00AB5F26"/>
    <w:rsid w:val="00AB5F9C"/>
    <w:rsid w:val="00AB65B5"/>
    <w:rsid w:val="00AB777F"/>
    <w:rsid w:val="00AB791C"/>
    <w:rsid w:val="00AC01E3"/>
    <w:rsid w:val="00AC0C70"/>
    <w:rsid w:val="00AC0E50"/>
    <w:rsid w:val="00AC0F25"/>
    <w:rsid w:val="00AC1AD6"/>
    <w:rsid w:val="00AC1FEA"/>
    <w:rsid w:val="00AC2EE3"/>
    <w:rsid w:val="00AC3262"/>
    <w:rsid w:val="00AC34B4"/>
    <w:rsid w:val="00AC4BD8"/>
    <w:rsid w:val="00AC4D1A"/>
    <w:rsid w:val="00AC5283"/>
    <w:rsid w:val="00AC531C"/>
    <w:rsid w:val="00AC7E9D"/>
    <w:rsid w:val="00AD1882"/>
    <w:rsid w:val="00AD19DF"/>
    <w:rsid w:val="00AD2761"/>
    <w:rsid w:val="00AD3106"/>
    <w:rsid w:val="00AD4796"/>
    <w:rsid w:val="00AD4E3E"/>
    <w:rsid w:val="00AD5703"/>
    <w:rsid w:val="00AD62CB"/>
    <w:rsid w:val="00AD64DF"/>
    <w:rsid w:val="00AD6506"/>
    <w:rsid w:val="00AD65F6"/>
    <w:rsid w:val="00AD6E3A"/>
    <w:rsid w:val="00AD74BB"/>
    <w:rsid w:val="00AE01A3"/>
    <w:rsid w:val="00AE1025"/>
    <w:rsid w:val="00AE1054"/>
    <w:rsid w:val="00AE12AD"/>
    <w:rsid w:val="00AE152A"/>
    <w:rsid w:val="00AE168B"/>
    <w:rsid w:val="00AE21D9"/>
    <w:rsid w:val="00AE2366"/>
    <w:rsid w:val="00AE25F7"/>
    <w:rsid w:val="00AE3791"/>
    <w:rsid w:val="00AE3F03"/>
    <w:rsid w:val="00AE41EF"/>
    <w:rsid w:val="00AE54E9"/>
    <w:rsid w:val="00AE5B72"/>
    <w:rsid w:val="00AE64F0"/>
    <w:rsid w:val="00AE67E0"/>
    <w:rsid w:val="00AE6B4A"/>
    <w:rsid w:val="00AE6B79"/>
    <w:rsid w:val="00AE7C6F"/>
    <w:rsid w:val="00AF10BA"/>
    <w:rsid w:val="00AF23C8"/>
    <w:rsid w:val="00AF2481"/>
    <w:rsid w:val="00AF2991"/>
    <w:rsid w:val="00AF2ABD"/>
    <w:rsid w:val="00AF2AE2"/>
    <w:rsid w:val="00AF2E56"/>
    <w:rsid w:val="00AF37B7"/>
    <w:rsid w:val="00AF39E3"/>
    <w:rsid w:val="00AF4142"/>
    <w:rsid w:val="00AF4359"/>
    <w:rsid w:val="00AF468C"/>
    <w:rsid w:val="00AF4A57"/>
    <w:rsid w:val="00AF4BB8"/>
    <w:rsid w:val="00AF595C"/>
    <w:rsid w:val="00AF5D80"/>
    <w:rsid w:val="00AF63F6"/>
    <w:rsid w:val="00AF64AE"/>
    <w:rsid w:val="00AF6AA2"/>
    <w:rsid w:val="00AF6E60"/>
    <w:rsid w:val="00AF73FC"/>
    <w:rsid w:val="00AF75E7"/>
    <w:rsid w:val="00AF7BD8"/>
    <w:rsid w:val="00B0021E"/>
    <w:rsid w:val="00B00B45"/>
    <w:rsid w:val="00B00D15"/>
    <w:rsid w:val="00B0113D"/>
    <w:rsid w:val="00B01400"/>
    <w:rsid w:val="00B01887"/>
    <w:rsid w:val="00B020CF"/>
    <w:rsid w:val="00B02567"/>
    <w:rsid w:val="00B02F05"/>
    <w:rsid w:val="00B0377E"/>
    <w:rsid w:val="00B04226"/>
    <w:rsid w:val="00B04621"/>
    <w:rsid w:val="00B04731"/>
    <w:rsid w:val="00B04D3F"/>
    <w:rsid w:val="00B05B72"/>
    <w:rsid w:val="00B05DFF"/>
    <w:rsid w:val="00B06434"/>
    <w:rsid w:val="00B06808"/>
    <w:rsid w:val="00B06B7D"/>
    <w:rsid w:val="00B07B07"/>
    <w:rsid w:val="00B07B8E"/>
    <w:rsid w:val="00B07BA9"/>
    <w:rsid w:val="00B07FC4"/>
    <w:rsid w:val="00B10055"/>
    <w:rsid w:val="00B100C2"/>
    <w:rsid w:val="00B105CE"/>
    <w:rsid w:val="00B10864"/>
    <w:rsid w:val="00B10A65"/>
    <w:rsid w:val="00B10ADB"/>
    <w:rsid w:val="00B10E27"/>
    <w:rsid w:val="00B1141E"/>
    <w:rsid w:val="00B1144C"/>
    <w:rsid w:val="00B1278B"/>
    <w:rsid w:val="00B129A9"/>
    <w:rsid w:val="00B14C7D"/>
    <w:rsid w:val="00B15102"/>
    <w:rsid w:val="00B156EA"/>
    <w:rsid w:val="00B1595C"/>
    <w:rsid w:val="00B15E00"/>
    <w:rsid w:val="00B16A1A"/>
    <w:rsid w:val="00B17295"/>
    <w:rsid w:val="00B17D54"/>
    <w:rsid w:val="00B2048F"/>
    <w:rsid w:val="00B2059B"/>
    <w:rsid w:val="00B208F3"/>
    <w:rsid w:val="00B20BB5"/>
    <w:rsid w:val="00B215F5"/>
    <w:rsid w:val="00B218B9"/>
    <w:rsid w:val="00B219C5"/>
    <w:rsid w:val="00B21DE1"/>
    <w:rsid w:val="00B21EBC"/>
    <w:rsid w:val="00B22214"/>
    <w:rsid w:val="00B22740"/>
    <w:rsid w:val="00B22958"/>
    <w:rsid w:val="00B236AD"/>
    <w:rsid w:val="00B246C4"/>
    <w:rsid w:val="00B2494F"/>
    <w:rsid w:val="00B24E01"/>
    <w:rsid w:val="00B24E16"/>
    <w:rsid w:val="00B25084"/>
    <w:rsid w:val="00B2547F"/>
    <w:rsid w:val="00B25D03"/>
    <w:rsid w:val="00B25E75"/>
    <w:rsid w:val="00B266F2"/>
    <w:rsid w:val="00B26B62"/>
    <w:rsid w:val="00B26EEE"/>
    <w:rsid w:val="00B26FB0"/>
    <w:rsid w:val="00B2752E"/>
    <w:rsid w:val="00B276EC"/>
    <w:rsid w:val="00B27A54"/>
    <w:rsid w:val="00B305CB"/>
    <w:rsid w:val="00B30783"/>
    <w:rsid w:val="00B3083A"/>
    <w:rsid w:val="00B30BE8"/>
    <w:rsid w:val="00B31477"/>
    <w:rsid w:val="00B335CA"/>
    <w:rsid w:val="00B338A7"/>
    <w:rsid w:val="00B33F8F"/>
    <w:rsid w:val="00B34954"/>
    <w:rsid w:val="00B354D9"/>
    <w:rsid w:val="00B3562B"/>
    <w:rsid w:val="00B356BA"/>
    <w:rsid w:val="00B369A2"/>
    <w:rsid w:val="00B40DAD"/>
    <w:rsid w:val="00B4155F"/>
    <w:rsid w:val="00B41F0F"/>
    <w:rsid w:val="00B41F85"/>
    <w:rsid w:val="00B42560"/>
    <w:rsid w:val="00B4273B"/>
    <w:rsid w:val="00B42ACF"/>
    <w:rsid w:val="00B42B7B"/>
    <w:rsid w:val="00B432D9"/>
    <w:rsid w:val="00B436E7"/>
    <w:rsid w:val="00B446FE"/>
    <w:rsid w:val="00B44A5D"/>
    <w:rsid w:val="00B44E81"/>
    <w:rsid w:val="00B450D6"/>
    <w:rsid w:val="00B455AA"/>
    <w:rsid w:val="00B45778"/>
    <w:rsid w:val="00B457A1"/>
    <w:rsid w:val="00B45E8B"/>
    <w:rsid w:val="00B45EDF"/>
    <w:rsid w:val="00B4630F"/>
    <w:rsid w:val="00B4644F"/>
    <w:rsid w:val="00B464B1"/>
    <w:rsid w:val="00B4653C"/>
    <w:rsid w:val="00B466E3"/>
    <w:rsid w:val="00B468C3"/>
    <w:rsid w:val="00B469C1"/>
    <w:rsid w:val="00B47A4A"/>
    <w:rsid w:val="00B47B99"/>
    <w:rsid w:val="00B501DA"/>
    <w:rsid w:val="00B506F2"/>
    <w:rsid w:val="00B510E3"/>
    <w:rsid w:val="00B510EB"/>
    <w:rsid w:val="00B51605"/>
    <w:rsid w:val="00B51EC7"/>
    <w:rsid w:val="00B520FD"/>
    <w:rsid w:val="00B521AC"/>
    <w:rsid w:val="00B52702"/>
    <w:rsid w:val="00B5288E"/>
    <w:rsid w:val="00B52A0E"/>
    <w:rsid w:val="00B530E9"/>
    <w:rsid w:val="00B53265"/>
    <w:rsid w:val="00B54225"/>
    <w:rsid w:val="00B5498D"/>
    <w:rsid w:val="00B54D5F"/>
    <w:rsid w:val="00B54F54"/>
    <w:rsid w:val="00B5501D"/>
    <w:rsid w:val="00B5516A"/>
    <w:rsid w:val="00B5557E"/>
    <w:rsid w:val="00B55834"/>
    <w:rsid w:val="00B56CDF"/>
    <w:rsid w:val="00B57802"/>
    <w:rsid w:val="00B605E7"/>
    <w:rsid w:val="00B60D0E"/>
    <w:rsid w:val="00B6151E"/>
    <w:rsid w:val="00B61803"/>
    <w:rsid w:val="00B61B4A"/>
    <w:rsid w:val="00B61CA3"/>
    <w:rsid w:val="00B61D28"/>
    <w:rsid w:val="00B633D9"/>
    <w:rsid w:val="00B63DE8"/>
    <w:rsid w:val="00B64962"/>
    <w:rsid w:val="00B64C52"/>
    <w:rsid w:val="00B64E1A"/>
    <w:rsid w:val="00B65186"/>
    <w:rsid w:val="00B654FB"/>
    <w:rsid w:val="00B65A46"/>
    <w:rsid w:val="00B676EC"/>
    <w:rsid w:val="00B67993"/>
    <w:rsid w:val="00B67B5B"/>
    <w:rsid w:val="00B67BBA"/>
    <w:rsid w:val="00B7016C"/>
    <w:rsid w:val="00B7039B"/>
    <w:rsid w:val="00B7099B"/>
    <w:rsid w:val="00B71BB1"/>
    <w:rsid w:val="00B72600"/>
    <w:rsid w:val="00B728EF"/>
    <w:rsid w:val="00B72F57"/>
    <w:rsid w:val="00B72F7F"/>
    <w:rsid w:val="00B73332"/>
    <w:rsid w:val="00B74402"/>
    <w:rsid w:val="00B74D1E"/>
    <w:rsid w:val="00B74ED5"/>
    <w:rsid w:val="00B75591"/>
    <w:rsid w:val="00B7653E"/>
    <w:rsid w:val="00B76A18"/>
    <w:rsid w:val="00B771A9"/>
    <w:rsid w:val="00B77762"/>
    <w:rsid w:val="00B77BB9"/>
    <w:rsid w:val="00B77E89"/>
    <w:rsid w:val="00B77EF7"/>
    <w:rsid w:val="00B8191C"/>
    <w:rsid w:val="00B820C0"/>
    <w:rsid w:val="00B849B3"/>
    <w:rsid w:val="00B849EA"/>
    <w:rsid w:val="00B84C6C"/>
    <w:rsid w:val="00B84C98"/>
    <w:rsid w:val="00B8589C"/>
    <w:rsid w:val="00B86009"/>
    <w:rsid w:val="00B8707F"/>
    <w:rsid w:val="00B87818"/>
    <w:rsid w:val="00B908DB"/>
    <w:rsid w:val="00B92687"/>
    <w:rsid w:val="00B94248"/>
    <w:rsid w:val="00B942A1"/>
    <w:rsid w:val="00B9462F"/>
    <w:rsid w:val="00B94B4F"/>
    <w:rsid w:val="00B95ABB"/>
    <w:rsid w:val="00B95C52"/>
    <w:rsid w:val="00B96486"/>
    <w:rsid w:val="00B96B2C"/>
    <w:rsid w:val="00B976F6"/>
    <w:rsid w:val="00BA0630"/>
    <w:rsid w:val="00BA108D"/>
    <w:rsid w:val="00BA13F6"/>
    <w:rsid w:val="00BA15D2"/>
    <w:rsid w:val="00BA21C5"/>
    <w:rsid w:val="00BA2317"/>
    <w:rsid w:val="00BA3CC1"/>
    <w:rsid w:val="00BA4796"/>
    <w:rsid w:val="00BA5002"/>
    <w:rsid w:val="00BA5273"/>
    <w:rsid w:val="00BA53F8"/>
    <w:rsid w:val="00BA5520"/>
    <w:rsid w:val="00BA561C"/>
    <w:rsid w:val="00BA56A7"/>
    <w:rsid w:val="00BA5F41"/>
    <w:rsid w:val="00BA7385"/>
    <w:rsid w:val="00BA7CAC"/>
    <w:rsid w:val="00BA7F62"/>
    <w:rsid w:val="00BB02E7"/>
    <w:rsid w:val="00BB0485"/>
    <w:rsid w:val="00BB0A28"/>
    <w:rsid w:val="00BB0ED6"/>
    <w:rsid w:val="00BB1358"/>
    <w:rsid w:val="00BB187C"/>
    <w:rsid w:val="00BB1C99"/>
    <w:rsid w:val="00BB1F77"/>
    <w:rsid w:val="00BB20FC"/>
    <w:rsid w:val="00BB296B"/>
    <w:rsid w:val="00BB2A9C"/>
    <w:rsid w:val="00BB2AA8"/>
    <w:rsid w:val="00BB2BC0"/>
    <w:rsid w:val="00BB30B0"/>
    <w:rsid w:val="00BB30CD"/>
    <w:rsid w:val="00BB3622"/>
    <w:rsid w:val="00BB3C4F"/>
    <w:rsid w:val="00BB3F09"/>
    <w:rsid w:val="00BB465D"/>
    <w:rsid w:val="00BB46F7"/>
    <w:rsid w:val="00BB48A0"/>
    <w:rsid w:val="00BB49A3"/>
    <w:rsid w:val="00BB4D91"/>
    <w:rsid w:val="00BB5AF7"/>
    <w:rsid w:val="00BB6359"/>
    <w:rsid w:val="00BB682C"/>
    <w:rsid w:val="00BB685C"/>
    <w:rsid w:val="00BB6925"/>
    <w:rsid w:val="00BB7CA9"/>
    <w:rsid w:val="00BB7EB8"/>
    <w:rsid w:val="00BC01AF"/>
    <w:rsid w:val="00BC05A7"/>
    <w:rsid w:val="00BC0D71"/>
    <w:rsid w:val="00BC10C4"/>
    <w:rsid w:val="00BC182D"/>
    <w:rsid w:val="00BC21D8"/>
    <w:rsid w:val="00BC2236"/>
    <w:rsid w:val="00BC236B"/>
    <w:rsid w:val="00BC24AF"/>
    <w:rsid w:val="00BC2BB4"/>
    <w:rsid w:val="00BC3B25"/>
    <w:rsid w:val="00BC4876"/>
    <w:rsid w:val="00BC4887"/>
    <w:rsid w:val="00BC5745"/>
    <w:rsid w:val="00BC5D13"/>
    <w:rsid w:val="00BC6022"/>
    <w:rsid w:val="00BC6319"/>
    <w:rsid w:val="00BC65D9"/>
    <w:rsid w:val="00BC7C52"/>
    <w:rsid w:val="00BD02E2"/>
    <w:rsid w:val="00BD0CF6"/>
    <w:rsid w:val="00BD0FEE"/>
    <w:rsid w:val="00BD1471"/>
    <w:rsid w:val="00BD14C5"/>
    <w:rsid w:val="00BD196A"/>
    <w:rsid w:val="00BD200A"/>
    <w:rsid w:val="00BD2081"/>
    <w:rsid w:val="00BD20B9"/>
    <w:rsid w:val="00BD21F8"/>
    <w:rsid w:val="00BD2311"/>
    <w:rsid w:val="00BD2A78"/>
    <w:rsid w:val="00BD2B0C"/>
    <w:rsid w:val="00BD2D64"/>
    <w:rsid w:val="00BD3859"/>
    <w:rsid w:val="00BD44E7"/>
    <w:rsid w:val="00BD5573"/>
    <w:rsid w:val="00BD59D8"/>
    <w:rsid w:val="00BD6262"/>
    <w:rsid w:val="00BD6521"/>
    <w:rsid w:val="00BD6C13"/>
    <w:rsid w:val="00BD7824"/>
    <w:rsid w:val="00BD7912"/>
    <w:rsid w:val="00BD7EED"/>
    <w:rsid w:val="00BE00AF"/>
    <w:rsid w:val="00BE014F"/>
    <w:rsid w:val="00BE0418"/>
    <w:rsid w:val="00BE0809"/>
    <w:rsid w:val="00BE233C"/>
    <w:rsid w:val="00BE267E"/>
    <w:rsid w:val="00BE4C48"/>
    <w:rsid w:val="00BE4F65"/>
    <w:rsid w:val="00BE51F1"/>
    <w:rsid w:val="00BE521B"/>
    <w:rsid w:val="00BE5387"/>
    <w:rsid w:val="00BE56E5"/>
    <w:rsid w:val="00BE5980"/>
    <w:rsid w:val="00BE60EF"/>
    <w:rsid w:val="00BE6146"/>
    <w:rsid w:val="00BE61C1"/>
    <w:rsid w:val="00BE64AF"/>
    <w:rsid w:val="00BE6717"/>
    <w:rsid w:val="00BE6ADD"/>
    <w:rsid w:val="00BE6B75"/>
    <w:rsid w:val="00BE6C65"/>
    <w:rsid w:val="00BE7692"/>
    <w:rsid w:val="00BF0381"/>
    <w:rsid w:val="00BF1033"/>
    <w:rsid w:val="00BF120D"/>
    <w:rsid w:val="00BF1340"/>
    <w:rsid w:val="00BF1931"/>
    <w:rsid w:val="00BF27DF"/>
    <w:rsid w:val="00BF29A2"/>
    <w:rsid w:val="00BF2F4A"/>
    <w:rsid w:val="00BF303B"/>
    <w:rsid w:val="00BF3217"/>
    <w:rsid w:val="00BF34F2"/>
    <w:rsid w:val="00BF37AF"/>
    <w:rsid w:val="00BF3AB7"/>
    <w:rsid w:val="00BF4439"/>
    <w:rsid w:val="00BF446E"/>
    <w:rsid w:val="00BF47AF"/>
    <w:rsid w:val="00BF50E7"/>
    <w:rsid w:val="00BF5C02"/>
    <w:rsid w:val="00BF5E3C"/>
    <w:rsid w:val="00BF6104"/>
    <w:rsid w:val="00BF6362"/>
    <w:rsid w:val="00BF6930"/>
    <w:rsid w:val="00BF6DF0"/>
    <w:rsid w:val="00BF6E7B"/>
    <w:rsid w:val="00BF7EA4"/>
    <w:rsid w:val="00C001EC"/>
    <w:rsid w:val="00C0060A"/>
    <w:rsid w:val="00C01021"/>
    <w:rsid w:val="00C01156"/>
    <w:rsid w:val="00C0141F"/>
    <w:rsid w:val="00C0145E"/>
    <w:rsid w:val="00C01FDE"/>
    <w:rsid w:val="00C04305"/>
    <w:rsid w:val="00C048AF"/>
    <w:rsid w:val="00C05779"/>
    <w:rsid w:val="00C05EB0"/>
    <w:rsid w:val="00C061B5"/>
    <w:rsid w:val="00C067E4"/>
    <w:rsid w:val="00C072CF"/>
    <w:rsid w:val="00C073A5"/>
    <w:rsid w:val="00C077E0"/>
    <w:rsid w:val="00C07DE6"/>
    <w:rsid w:val="00C1093C"/>
    <w:rsid w:val="00C10ACA"/>
    <w:rsid w:val="00C11BE9"/>
    <w:rsid w:val="00C12B78"/>
    <w:rsid w:val="00C138CF"/>
    <w:rsid w:val="00C153D6"/>
    <w:rsid w:val="00C154B5"/>
    <w:rsid w:val="00C156E4"/>
    <w:rsid w:val="00C16C64"/>
    <w:rsid w:val="00C17872"/>
    <w:rsid w:val="00C1791A"/>
    <w:rsid w:val="00C205E9"/>
    <w:rsid w:val="00C20DE0"/>
    <w:rsid w:val="00C2118B"/>
    <w:rsid w:val="00C212FC"/>
    <w:rsid w:val="00C217AB"/>
    <w:rsid w:val="00C218DF"/>
    <w:rsid w:val="00C221DD"/>
    <w:rsid w:val="00C22333"/>
    <w:rsid w:val="00C226A9"/>
    <w:rsid w:val="00C22C46"/>
    <w:rsid w:val="00C23544"/>
    <w:rsid w:val="00C236D5"/>
    <w:rsid w:val="00C23C07"/>
    <w:rsid w:val="00C23F48"/>
    <w:rsid w:val="00C24CFB"/>
    <w:rsid w:val="00C24ED6"/>
    <w:rsid w:val="00C250B7"/>
    <w:rsid w:val="00C2554E"/>
    <w:rsid w:val="00C26246"/>
    <w:rsid w:val="00C262BD"/>
    <w:rsid w:val="00C26530"/>
    <w:rsid w:val="00C26B2A"/>
    <w:rsid w:val="00C27308"/>
    <w:rsid w:val="00C27826"/>
    <w:rsid w:val="00C27D37"/>
    <w:rsid w:val="00C27F12"/>
    <w:rsid w:val="00C3087D"/>
    <w:rsid w:val="00C30E04"/>
    <w:rsid w:val="00C30E33"/>
    <w:rsid w:val="00C30FDC"/>
    <w:rsid w:val="00C3102F"/>
    <w:rsid w:val="00C310C2"/>
    <w:rsid w:val="00C31A14"/>
    <w:rsid w:val="00C31AB3"/>
    <w:rsid w:val="00C321DE"/>
    <w:rsid w:val="00C32C67"/>
    <w:rsid w:val="00C3363E"/>
    <w:rsid w:val="00C33B2D"/>
    <w:rsid w:val="00C33C9F"/>
    <w:rsid w:val="00C35CBD"/>
    <w:rsid w:val="00C36525"/>
    <w:rsid w:val="00C37FA2"/>
    <w:rsid w:val="00C40CA6"/>
    <w:rsid w:val="00C40EB3"/>
    <w:rsid w:val="00C413BD"/>
    <w:rsid w:val="00C41BD9"/>
    <w:rsid w:val="00C41E06"/>
    <w:rsid w:val="00C42E81"/>
    <w:rsid w:val="00C434FD"/>
    <w:rsid w:val="00C4350E"/>
    <w:rsid w:val="00C43F0A"/>
    <w:rsid w:val="00C43F14"/>
    <w:rsid w:val="00C4466D"/>
    <w:rsid w:val="00C449E0"/>
    <w:rsid w:val="00C45563"/>
    <w:rsid w:val="00C455A8"/>
    <w:rsid w:val="00C457BD"/>
    <w:rsid w:val="00C47AC7"/>
    <w:rsid w:val="00C502BA"/>
    <w:rsid w:val="00C505D2"/>
    <w:rsid w:val="00C5061D"/>
    <w:rsid w:val="00C50703"/>
    <w:rsid w:val="00C50FE1"/>
    <w:rsid w:val="00C5192E"/>
    <w:rsid w:val="00C51EAB"/>
    <w:rsid w:val="00C52613"/>
    <w:rsid w:val="00C52DE6"/>
    <w:rsid w:val="00C54E0E"/>
    <w:rsid w:val="00C5540C"/>
    <w:rsid w:val="00C55BCB"/>
    <w:rsid w:val="00C55EDA"/>
    <w:rsid w:val="00C565BB"/>
    <w:rsid w:val="00C56CC3"/>
    <w:rsid w:val="00C57BD5"/>
    <w:rsid w:val="00C57CA8"/>
    <w:rsid w:val="00C57D06"/>
    <w:rsid w:val="00C57FF4"/>
    <w:rsid w:val="00C6016B"/>
    <w:rsid w:val="00C6062A"/>
    <w:rsid w:val="00C60F68"/>
    <w:rsid w:val="00C61CA8"/>
    <w:rsid w:val="00C62393"/>
    <w:rsid w:val="00C626F1"/>
    <w:rsid w:val="00C62E3D"/>
    <w:rsid w:val="00C634A7"/>
    <w:rsid w:val="00C636D0"/>
    <w:rsid w:val="00C638D7"/>
    <w:rsid w:val="00C638DF"/>
    <w:rsid w:val="00C63A3F"/>
    <w:rsid w:val="00C64072"/>
    <w:rsid w:val="00C640B8"/>
    <w:rsid w:val="00C645D7"/>
    <w:rsid w:val="00C64720"/>
    <w:rsid w:val="00C64F19"/>
    <w:rsid w:val="00C65061"/>
    <w:rsid w:val="00C650BE"/>
    <w:rsid w:val="00C6517F"/>
    <w:rsid w:val="00C65264"/>
    <w:rsid w:val="00C6562D"/>
    <w:rsid w:val="00C65BEB"/>
    <w:rsid w:val="00C65CEF"/>
    <w:rsid w:val="00C6625D"/>
    <w:rsid w:val="00C66460"/>
    <w:rsid w:val="00C66D4A"/>
    <w:rsid w:val="00C67511"/>
    <w:rsid w:val="00C679F1"/>
    <w:rsid w:val="00C67BA6"/>
    <w:rsid w:val="00C70181"/>
    <w:rsid w:val="00C707E3"/>
    <w:rsid w:val="00C70DA3"/>
    <w:rsid w:val="00C70E97"/>
    <w:rsid w:val="00C71920"/>
    <w:rsid w:val="00C71B98"/>
    <w:rsid w:val="00C7281E"/>
    <w:rsid w:val="00C72958"/>
    <w:rsid w:val="00C72A63"/>
    <w:rsid w:val="00C72F2B"/>
    <w:rsid w:val="00C732C9"/>
    <w:rsid w:val="00C73717"/>
    <w:rsid w:val="00C737D1"/>
    <w:rsid w:val="00C73ECB"/>
    <w:rsid w:val="00C74183"/>
    <w:rsid w:val="00C74553"/>
    <w:rsid w:val="00C74635"/>
    <w:rsid w:val="00C75A4A"/>
    <w:rsid w:val="00C7629C"/>
    <w:rsid w:val="00C763E1"/>
    <w:rsid w:val="00C777E2"/>
    <w:rsid w:val="00C77A70"/>
    <w:rsid w:val="00C80749"/>
    <w:rsid w:val="00C80893"/>
    <w:rsid w:val="00C80AE4"/>
    <w:rsid w:val="00C80BB3"/>
    <w:rsid w:val="00C80D7D"/>
    <w:rsid w:val="00C80F48"/>
    <w:rsid w:val="00C81841"/>
    <w:rsid w:val="00C8189D"/>
    <w:rsid w:val="00C820B7"/>
    <w:rsid w:val="00C83BA2"/>
    <w:rsid w:val="00C83FCB"/>
    <w:rsid w:val="00C84282"/>
    <w:rsid w:val="00C85464"/>
    <w:rsid w:val="00C8547E"/>
    <w:rsid w:val="00C8549E"/>
    <w:rsid w:val="00C857F1"/>
    <w:rsid w:val="00C86D1C"/>
    <w:rsid w:val="00C86F45"/>
    <w:rsid w:val="00C870C0"/>
    <w:rsid w:val="00C871C4"/>
    <w:rsid w:val="00C872D8"/>
    <w:rsid w:val="00C8749E"/>
    <w:rsid w:val="00C877EA"/>
    <w:rsid w:val="00C87F23"/>
    <w:rsid w:val="00C900AF"/>
    <w:rsid w:val="00C901CE"/>
    <w:rsid w:val="00C90F00"/>
    <w:rsid w:val="00C93333"/>
    <w:rsid w:val="00C93754"/>
    <w:rsid w:val="00C93C3B"/>
    <w:rsid w:val="00C94131"/>
    <w:rsid w:val="00C9426D"/>
    <w:rsid w:val="00C94A79"/>
    <w:rsid w:val="00C94D56"/>
    <w:rsid w:val="00C957A7"/>
    <w:rsid w:val="00C95A45"/>
    <w:rsid w:val="00C96744"/>
    <w:rsid w:val="00C9699C"/>
    <w:rsid w:val="00C9716D"/>
    <w:rsid w:val="00C97301"/>
    <w:rsid w:val="00C977E3"/>
    <w:rsid w:val="00CA0241"/>
    <w:rsid w:val="00CA0661"/>
    <w:rsid w:val="00CA09C9"/>
    <w:rsid w:val="00CA0B22"/>
    <w:rsid w:val="00CA0DED"/>
    <w:rsid w:val="00CA1130"/>
    <w:rsid w:val="00CA119D"/>
    <w:rsid w:val="00CA2C82"/>
    <w:rsid w:val="00CA33E3"/>
    <w:rsid w:val="00CA39FD"/>
    <w:rsid w:val="00CA3A8C"/>
    <w:rsid w:val="00CA3EFF"/>
    <w:rsid w:val="00CA3F6C"/>
    <w:rsid w:val="00CA415F"/>
    <w:rsid w:val="00CA45FC"/>
    <w:rsid w:val="00CA51D9"/>
    <w:rsid w:val="00CA529D"/>
    <w:rsid w:val="00CA553B"/>
    <w:rsid w:val="00CA55E7"/>
    <w:rsid w:val="00CA5869"/>
    <w:rsid w:val="00CA5B90"/>
    <w:rsid w:val="00CA5EA7"/>
    <w:rsid w:val="00CA659B"/>
    <w:rsid w:val="00CA7370"/>
    <w:rsid w:val="00CA7396"/>
    <w:rsid w:val="00CA78F5"/>
    <w:rsid w:val="00CB026C"/>
    <w:rsid w:val="00CB0957"/>
    <w:rsid w:val="00CB0ABF"/>
    <w:rsid w:val="00CB0DF3"/>
    <w:rsid w:val="00CB1B04"/>
    <w:rsid w:val="00CB1F89"/>
    <w:rsid w:val="00CB2032"/>
    <w:rsid w:val="00CB2C14"/>
    <w:rsid w:val="00CB2E85"/>
    <w:rsid w:val="00CB31C8"/>
    <w:rsid w:val="00CB3526"/>
    <w:rsid w:val="00CB408E"/>
    <w:rsid w:val="00CB47DD"/>
    <w:rsid w:val="00CB4D2B"/>
    <w:rsid w:val="00CB55E8"/>
    <w:rsid w:val="00CB58E7"/>
    <w:rsid w:val="00CB5A49"/>
    <w:rsid w:val="00CB5A88"/>
    <w:rsid w:val="00CB5C15"/>
    <w:rsid w:val="00CB5D83"/>
    <w:rsid w:val="00CB5F4E"/>
    <w:rsid w:val="00CB6098"/>
    <w:rsid w:val="00CB678B"/>
    <w:rsid w:val="00CB69AD"/>
    <w:rsid w:val="00CB6E54"/>
    <w:rsid w:val="00CC0387"/>
    <w:rsid w:val="00CC04B8"/>
    <w:rsid w:val="00CC052D"/>
    <w:rsid w:val="00CC065D"/>
    <w:rsid w:val="00CC1228"/>
    <w:rsid w:val="00CC124D"/>
    <w:rsid w:val="00CC13CC"/>
    <w:rsid w:val="00CC1A21"/>
    <w:rsid w:val="00CC1A2A"/>
    <w:rsid w:val="00CC1D69"/>
    <w:rsid w:val="00CC21EB"/>
    <w:rsid w:val="00CC2E8A"/>
    <w:rsid w:val="00CC43BB"/>
    <w:rsid w:val="00CC475C"/>
    <w:rsid w:val="00CC55CD"/>
    <w:rsid w:val="00CC581D"/>
    <w:rsid w:val="00CC5E93"/>
    <w:rsid w:val="00CC60A9"/>
    <w:rsid w:val="00CC664A"/>
    <w:rsid w:val="00CC66DE"/>
    <w:rsid w:val="00CC66E6"/>
    <w:rsid w:val="00CC7126"/>
    <w:rsid w:val="00CC736E"/>
    <w:rsid w:val="00CC7C0C"/>
    <w:rsid w:val="00CC7D53"/>
    <w:rsid w:val="00CC7F07"/>
    <w:rsid w:val="00CD141B"/>
    <w:rsid w:val="00CD15A2"/>
    <w:rsid w:val="00CD1E98"/>
    <w:rsid w:val="00CD1FA7"/>
    <w:rsid w:val="00CD2A52"/>
    <w:rsid w:val="00CD2DE8"/>
    <w:rsid w:val="00CD2EF0"/>
    <w:rsid w:val="00CD323E"/>
    <w:rsid w:val="00CD3411"/>
    <w:rsid w:val="00CD3C09"/>
    <w:rsid w:val="00CD461A"/>
    <w:rsid w:val="00CD5694"/>
    <w:rsid w:val="00CD5846"/>
    <w:rsid w:val="00CD5E0C"/>
    <w:rsid w:val="00CD6848"/>
    <w:rsid w:val="00CD7382"/>
    <w:rsid w:val="00CD74F1"/>
    <w:rsid w:val="00CD75E3"/>
    <w:rsid w:val="00CD767E"/>
    <w:rsid w:val="00CD7ED5"/>
    <w:rsid w:val="00CE0086"/>
    <w:rsid w:val="00CE0709"/>
    <w:rsid w:val="00CE0C19"/>
    <w:rsid w:val="00CE112C"/>
    <w:rsid w:val="00CE14D3"/>
    <w:rsid w:val="00CE1938"/>
    <w:rsid w:val="00CE205C"/>
    <w:rsid w:val="00CE20BE"/>
    <w:rsid w:val="00CE2375"/>
    <w:rsid w:val="00CE2627"/>
    <w:rsid w:val="00CE27A7"/>
    <w:rsid w:val="00CE2EB2"/>
    <w:rsid w:val="00CE345B"/>
    <w:rsid w:val="00CE35ED"/>
    <w:rsid w:val="00CE4256"/>
    <w:rsid w:val="00CE525D"/>
    <w:rsid w:val="00CE538A"/>
    <w:rsid w:val="00CE583D"/>
    <w:rsid w:val="00CE5AAB"/>
    <w:rsid w:val="00CE5C99"/>
    <w:rsid w:val="00CE5FC1"/>
    <w:rsid w:val="00CE6108"/>
    <w:rsid w:val="00CE6823"/>
    <w:rsid w:val="00CE72AB"/>
    <w:rsid w:val="00CE7613"/>
    <w:rsid w:val="00CE76BF"/>
    <w:rsid w:val="00CE780A"/>
    <w:rsid w:val="00CF014C"/>
    <w:rsid w:val="00CF0C23"/>
    <w:rsid w:val="00CF0F9B"/>
    <w:rsid w:val="00CF1CF5"/>
    <w:rsid w:val="00CF23EE"/>
    <w:rsid w:val="00CF29A5"/>
    <w:rsid w:val="00CF34AC"/>
    <w:rsid w:val="00CF41D3"/>
    <w:rsid w:val="00CF4304"/>
    <w:rsid w:val="00CF46B6"/>
    <w:rsid w:val="00CF5555"/>
    <w:rsid w:val="00CF5D12"/>
    <w:rsid w:val="00CF6657"/>
    <w:rsid w:val="00CF753A"/>
    <w:rsid w:val="00CF78EA"/>
    <w:rsid w:val="00CF7E6A"/>
    <w:rsid w:val="00D00248"/>
    <w:rsid w:val="00D00A3C"/>
    <w:rsid w:val="00D00EE2"/>
    <w:rsid w:val="00D01588"/>
    <w:rsid w:val="00D018D1"/>
    <w:rsid w:val="00D01A9C"/>
    <w:rsid w:val="00D025CB"/>
    <w:rsid w:val="00D02670"/>
    <w:rsid w:val="00D02946"/>
    <w:rsid w:val="00D02B87"/>
    <w:rsid w:val="00D02BA0"/>
    <w:rsid w:val="00D02BB1"/>
    <w:rsid w:val="00D03470"/>
    <w:rsid w:val="00D04B94"/>
    <w:rsid w:val="00D04D8B"/>
    <w:rsid w:val="00D05477"/>
    <w:rsid w:val="00D05635"/>
    <w:rsid w:val="00D05C6D"/>
    <w:rsid w:val="00D07311"/>
    <w:rsid w:val="00D075A8"/>
    <w:rsid w:val="00D078B4"/>
    <w:rsid w:val="00D07AD8"/>
    <w:rsid w:val="00D1115E"/>
    <w:rsid w:val="00D11357"/>
    <w:rsid w:val="00D126F7"/>
    <w:rsid w:val="00D129F5"/>
    <w:rsid w:val="00D129FE"/>
    <w:rsid w:val="00D12DDE"/>
    <w:rsid w:val="00D12ED9"/>
    <w:rsid w:val="00D13CCD"/>
    <w:rsid w:val="00D13D78"/>
    <w:rsid w:val="00D141DD"/>
    <w:rsid w:val="00D1441F"/>
    <w:rsid w:val="00D1494A"/>
    <w:rsid w:val="00D14EF6"/>
    <w:rsid w:val="00D15B5D"/>
    <w:rsid w:val="00D16912"/>
    <w:rsid w:val="00D17869"/>
    <w:rsid w:val="00D17CA1"/>
    <w:rsid w:val="00D2105B"/>
    <w:rsid w:val="00D21887"/>
    <w:rsid w:val="00D22046"/>
    <w:rsid w:val="00D224D2"/>
    <w:rsid w:val="00D226D4"/>
    <w:rsid w:val="00D22D3E"/>
    <w:rsid w:val="00D22D3F"/>
    <w:rsid w:val="00D22D5D"/>
    <w:rsid w:val="00D22E5E"/>
    <w:rsid w:val="00D23834"/>
    <w:rsid w:val="00D2395E"/>
    <w:rsid w:val="00D23AD6"/>
    <w:rsid w:val="00D24E91"/>
    <w:rsid w:val="00D24F8C"/>
    <w:rsid w:val="00D256D3"/>
    <w:rsid w:val="00D25B54"/>
    <w:rsid w:val="00D261D8"/>
    <w:rsid w:val="00D2639C"/>
    <w:rsid w:val="00D2659C"/>
    <w:rsid w:val="00D266A5"/>
    <w:rsid w:val="00D266DE"/>
    <w:rsid w:val="00D26B95"/>
    <w:rsid w:val="00D26F91"/>
    <w:rsid w:val="00D278A8"/>
    <w:rsid w:val="00D27979"/>
    <w:rsid w:val="00D30193"/>
    <w:rsid w:val="00D307E0"/>
    <w:rsid w:val="00D310FB"/>
    <w:rsid w:val="00D315F6"/>
    <w:rsid w:val="00D31689"/>
    <w:rsid w:val="00D3191E"/>
    <w:rsid w:val="00D31959"/>
    <w:rsid w:val="00D31D81"/>
    <w:rsid w:val="00D3218E"/>
    <w:rsid w:val="00D325D3"/>
    <w:rsid w:val="00D325D7"/>
    <w:rsid w:val="00D32F59"/>
    <w:rsid w:val="00D33CF1"/>
    <w:rsid w:val="00D33FB4"/>
    <w:rsid w:val="00D343DB"/>
    <w:rsid w:val="00D344DD"/>
    <w:rsid w:val="00D355E8"/>
    <w:rsid w:val="00D356E3"/>
    <w:rsid w:val="00D35E38"/>
    <w:rsid w:val="00D3650B"/>
    <w:rsid w:val="00D3656A"/>
    <w:rsid w:val="00D378E8"/>
    <w:rsid w:val="00D400F1"/>
    <w:rsid w:val="00D40270"/>
    <w:rsid w:val="00D41C4B"/>
    <w:rsid w:val="00D4256B"/>
    <w:rsid w:val="00D42DD3"/>
    <w:rsid w:val="00D43811"/>
    <w:rsid w:val="00D43D9F"/>
    <w:rsid w:val="00D43DD6"/>
    <w:rsid w:val="00D43DF8"/>
    <w:rsid w:val="00D44148"/>
    <w:rsid w:val="00D44179"/>
    <w:rsid w:val="00D4497B"/>
    <w:rsid w:val="00D454EC"/>
    <w:rsid w:val="00D455E0"/>
    <w:rsid w:val="00D460C7"/>
    <w:rsid w:val="00D4708E"/>
    <w:rsid w:val="00D4799B"/>
    <w:rsid w:val="00D50B66"/>
    <w:rsid w:val="00D50F19"/>
    <w:rsid w:val="00D51C2C"/>
    <w:rsid w:val="00D51C46"/>
    <w:rsid w:val="00D51D38"/>
    <w:rsid w:val="00D522C1"/>
    <w:rsid w:val="00D527EC"/>
    <w:rsid w:val="00D52BF6"/>
    <w:rsid w:val="00D538EC"/>
    <w:rsid w:val="00D53CC3"/>
    <w:rsid w:val="00D54083"/>
    <w:rsid w:val="00D546DE"/>
    <w:rsid w:val="00D55A36"/>
    <w:rsid w:val="00D55C4B"/>
    <w:rsid w:val="00D56781"/>
    <w:rsid w:val="00D5689A"/>
    <w:rsid w:val="00D56F1B"/>
    <w:rsid w:val="00D57072"/>
    <w:rsid w:val="00D605A7"/>
    <w:rsid w:val="00D60B1E"/>
    <w:rsid w:val="00D61249"/>
    <w:rsid w:val="00D614A3"/>
    <w:rsid w:val="00D61633"/>
    <w:rsid w:val="00D6196F"/>
    <w:rsid w:val="00D61AE5"/>
    <w:rsid w:val="00D62284"/>
    <w:rsid w:val="00D62855"/>
    <w:rsid w:val="00D62971"/>
    <w:rsid w:val="00D63F09"/>
    <w:rsid w:val="00D63F85"/>
    <w:rsid w:val="00D64636"/>
    <w:rsid w:val="00D648DF"/>
    <w:rsid w:val="00D6591B"/>
    <w:rsid w:val="00D668E4"/>
    <w:rsid w:val="00D66EE7"/>
    <w:rsid w:val="00D66FA6"/>
    <w:rsid w:val="00D670A4"/>
    <w:rsid w:val="00D67466"/>
    <w:rsid w:val="00D67564"/>
    <w:rsid w:val="00D679D4"/>
    <w:rsid w:val="00D7047B"/>
    <w:rsid w:val="00D70735"/>
    <w:rsid w:val="00D70EF9"/>
    <w:rsid w:val="00D71A9D"/>
    <w:rsid w:val="00D72419"/>
    <w:rsid w:val="00D729A9"/>
    <w:rsid w:val="00D72B69"/>
    <w:rsid w:val="00D730B2"/>
    <w:rsid w:val="00D734F1"/>
    <w:rsid w:val="00D73B7B"/>
    <w:rsid w:val="00D741F4"/>
    <w:rsid w:val="00D74232"/>
    <w:rsid w:val="00D749F4"/>
    <w:rsid w:val="00D74C36"/>
    <w:rsid w:val="00D74FEC"/>
    <w:rsid w:val="00D75186"/>
    <w:rsid w:val="00D75325"/>
    <w:rsid w:val="00D75505"/>
    <w:rsid w:val="00D76236"/>
    <w:rsid w:val="00D7632F"/>
    <w:rsid w:val="00D76695"/>
    <w:rsid w:val="00D768A5"/>
    <w:rsid w:val="00D76FA0"/>
    <w:rsid w:val="00D77DAB"/>
    <w:rsid w:val="00D77F0B"/>
    <w:rsid w:val="00D80998"/>
    <w:rsid w:val="00D80CB2"/>
    <w:rsid w:val="00D81C3E"/>
    <w:rsid w:val="00D82088"/>
    <w:rsid w:val="00D8228F"/>
    <w:rsid w:val="00D8281D"/>
    <w:rsid w:val="00D82C50"/>
    <w:rsid w:val="00D83290"/>
    <w:rsid w:val="00D83C6A"/>
    <w:rsid w:val="00D83CB1"/>
    <w:rsid w:val="00D84E0A"/>
    <w:rsid w:val="00D84F63"/>
    <w:rsid w:val="00D851E1"/>
    <w:rsid w:val="00D86271"/>
    <w:rsid w:val="00D862DA"/>
    <w:rsid w:val="00D8640C"/>
    <w:rsid w:val="00D86456"/>
    <w:rsid w:val="00D8663F"/>
    <w:rsid w:val="00D868E3"/>
    <w:rsid w:val="00D870BD"/>
    <w:rsid w:val="00D875DE"/>
    <w:rsid w:val="00D8761C"/>
    <w:rsid w:val="00D905D2"/>
    <w:rsid w:val="00D905FA"/>
    <w:rsid w:val="00D90ED8"/>
    <w:rsid w:val="00D90F32"/>
    <w:rsid w:val="00D9131D"/>
    <w:rsid w:val="00D91D4E"/>
    <w:rsid w:val="00D936C9"/>
    <w:rsid w:val="00D93AB0"/>
    <w:rsid w:val="00D9443D"/>
    <w:rsid w:val="00D946BC"/>
    <w:rsid w:val="00D94C6C"/>
    <w:rsid w:val="00D94CE8"/>
    <w:rsid w:val="00D94ECD"/>
    <w:rsid w:val="00D94EE8"/>
    <w:rsid w:val="00D950F7"/>
    <w:rsid w:val="00D95AA2"/>
    <w:rsid w:val="00D95B11"/>
    <w:rsid w:val="00D963AE"/>
    <w:rsid w:val="00D969BD"/>
    <w:rsid w:val="00D96A56"/>
    <w:rsid w:val="00D96B6C"/>
    <w:rsid w:val="00D96B85"/>
    <w:rsid w:val="00D97F67"/>
    <w:rsid w:val="00DA0AC9"/>
    <w:rsid w:val="00DA0DBB"/>
    <w:rsid w:val="00DA0EFF"/>
    <w:rsid w:val="00DA10D8"/>
    <w:rsid w:val="00DA120D"/>
    <w:rsid w:val="00DA198D"/>
    <w:rsid w:val="00DA3032"/>
    <w:rsid w:val="00DA312F"/>
    <w:rsid w:val="00DA338C"/>
    <w:rsid w:val="00DA3D54"/>
    <w:rsid w:val="00DA3D7B"/>
    <w:rsid w:val="00DA5322"/>
    <w:rsid w:val="00DA544A"/>
    <w:rsid w:val="00DA574C"/>
    <w:rsid w:val="00DA5FFE"/>
    <w:rsid w:val="00DA6432"/>
    <w:rsid w:val="00DA6517"/>
    <w:rsid w:val="00DA6721"/>
    <w:rsid w:val="00DA690B"/>
    <w:rsid w:val="00DA7189"/>
    <w:rsid w:val="00DA7370"/>
    <w:rsid w:val="00DA7DA5"/>
    <w:rsid w:val="00DB0491"/>
    <w:rsid w:val="00DB05CC"/>
    <w:rsid w:val="00DB07E9"/>
    <w:rsid w:val="00DB1190"/>
    <w:rsid w:val="00DB136C"/>
    <w:rsid w:val="00DB157F"/>
    <w:rsid w:val="00DB37B6"/>
    <w:rsid w:val="00DB3B5D"/>
    <w:rsid w:val="00DB44A2"/>
    <w:rsid w:val="00DB4594"/>
    <w:rsid w:val="00DB4AA3"/>
    <w:rsid w:val="00DB6351"/>
    <w:rsid w:val="00DB68FF"/>
    <w:rsid w:val="00DB6DA6"/>
    <w:rsid w:val="00DB7230"/>
    <w:rsid w:val="00DB75D5"/>
    <w:rsid w:val="00DB7652"/>
    <w:rsid w:val="00DC00E8"/>
    <w:rsid w:val="00DC0158"/>
    <w:rsid w:val="00DC0839"/>
    <w:rsid w:val="00DC0B3A"/>
    <w:rsid w:val="00DC1C80"/>
    <w:rsid w:val="00DC232B"/>
    <w:rsid w:val="00DC32BA"/>
    <w:rsid w:val="00DC38DB"/>
    <w:rsid w:val="00DC39D5"/>
    <w:rsid w:val="00DC3EBF"/>
    <w:rsid w:val="00DC4170"/>
    <w:rsid w:val="00DC4250"/>
    <w:rsid w:val="00DC4C62"/>
    <w:rsid w:val="00DC5FD8"/>
    <w:rsid w:val="00DC6720"/>
    <w:rsid w:val="00DC6B8F"/>
    <w:rsid w:val="00DD0616"/>
    <w:rsid w:val="00DD1254"/>
    <w:rsid w:val="00DD2DEC"/>
    <w:rsid w:val="00DD3047"/>
    <w:rsid w:val="00DD3121"/>
    <w:rsid w:val="00DD35AD"/>
    <w:rsid w:val="00DD3920"/>
    <w:rsid w:val="00DD3EA1"/>
    <w:rsid w:val="00DD46E7"/>
    <w:rsid w:val="00DD4745"/>
    <w:rsid w:val="00DD51F8"/>
    <w:rsid w:val="00DD5487"/>
    <w:rsid w:val="00DD5D28"/>
    <w:rsid w:val="00DD6518"/>
    <w:rsid w:val="00DD6537"/>
    <w:rsid w:val="00DD6667"/>
    <w:rsid w:val="00DD6ADC"/>
    <w:rsid w:val="00DD74A2"/>
    <w:rsid w:val="00DD78AA"/>
    <w:rsid w:val="00DE000F"/>
    <w:rsid w:val="00DE155E"/>
    <w:rsid w:val="00DE1E27"/>
    <w:rsid w:val="00DE2086"/>
    <w:rsid w:val="00DE2160"/>
    <w:rsid w:val="00DE2540"/>
    <w:rsid w:val="00DE2C89"/>
    <w:rsid w:val="00DE2D42"/>
    <w:rsid w:val="00DE3292"/>
    <w:rsid w:val="00DE383B"/>
    <w:rsid w:val="00DE428A"/>
    <w:rsid w:val="00DE434A"/>
    <w:rsid w:val="00DE4352"/>
    <w:rsid w:val="00DE4479"/>
    <w:rsid w:val="00DE49BE"/>
    <w:rsid w:val="00DE4FE0"/>
    <w:rsid w:val="00DE59DD"/>
    <w:rsid w:val="00DE6576"/>
    <w:rsid w:val="00DE6E71"/>
    <w:rsid w:val="00DE6FB0"/>
    <w:rsid w:val="00DE7913"/>
    <w:rsid w:val="00DE79F0"/>
    <w:rsid w:val="00DE7C11"/>
    <w:rsid w:val="00DF031F"/>
    <w:rsid w:val="00DF1857"/>
    <w:rsid w:val="00DF1A15"/>
    <w:rsid w:val="00DF1B6E"/>
    <w:rsid w:val="00DF1E4E"/>
    <w:rsid w:val="00DF1EE7"/>
    <w:rsid w:val="00DF2404"/>
    <w:rsid w:val="00DF24AC"/>
    <w:rsid w:val="00DF2933"/>
    <w:rsid w:val="00DF3DC0"/>
    <w:rsid w:val="00DF3F52"/>
    <w:rsid w:val="00DF4614"/>
    <w:rsid w:val="00DF4793"/>
    <w:rsid w:val="00DF5694"/>
    <w:rsid w:val="00DF667D"/>
    <w:rsid w:val="00DF6D10"/>
    <w:rsid w:val="00DF6E35"/>
    <w:rsid w:val="00DF732B"/>
    <w:rsid w:val="00DF76AB"/>
    <w:rsid w:val="00DF7750"/>
    <w:rsid w:val="00DF7B25"/>
    <w:rsid w:val="00E00632"/>
    <w:rsid w:val="00E00B67"/>
    <w:rsid w:val="00E00FBA"/>
    <w:rsid w:val="00E012CF"/>
    <w:rsid w:val="00E01653"/>
    <w:rsid w:val="00E02EA9"/>
    <w:rsid w:val="00E031F7"/>
    <w:rsid w:val="00E03A30"/>
    <w:rsid w:val="00E04840"/>
    <w:rsid w:val="00E04958"/>
    <w:rsid w:val="00E04D3C"/>
    <w:rsid w:val="00E04E1E"/>
    <w:rsid w:val="00E0509D"/>
    <w:rsid w:val="00E053D9"/>
    <w:rsid w:val="00E0580F"/>
    <w:rsid w:val="00E05899"/>
    <w:rsid w:val="00E06DD1"/>
    <w:rsid w:val="00E0733F"/>
    <w:rsid w:val="00E07DA0"/>
    <w:rsid w:val="00E10067"/>
    <w:rsid w:val="00E100A1"/>
    <w:rsid w:val="00E106AC"/>
    <w:rsid w:val="00E108AD"/>
    <w:rsid w:val="00E11A1F"/>
    <w:rsid w:val="00E120BF"/>
    <w:rsid w:val="00E12761"/>
    <w:rsid w:val="00E132D9"/>
    <w:rsid w:val="00E13362"/>
    <w:rsid w:val="00E13586"/>
    <w:rsid w:val="00E135A1"/>
    <w:rsid w:val="00E135E6"/>
    <w:rsid w:val="00E139CE"/>
    <w:rsid w:val="00E13EF0"/>
    <w:rsid w:val="00E141AC"/>
    <w:rsid w:val="00E141F3"/>
    <w:rsid w:val="00E1496E"/>
    <w:rsid w:val="00E14CE6"/>
    <w:rsid w:val="00E15463"/>
    <w:rsid w:val="00E158A8"/>
    <w:rsid w:val="00E1680D"/>
    <w:rsid w:val="00E168A2"/>
    <w:rsid w:val="00E168C6"/>
    <w:rsid w:val="00E16EF1"/>
    <w:rsid w:val="00E177A0"/>
    <w:rsid w:val="00E17DA2"/>
    <w:rsid w:val="00E17F63"/>
    <w:rsid w:val="00E20196"/>
    <w:rsid w:val="00E202CE"/>
    <w:rsid w:val="00E20440"/>
    <w:rsid w:val="00E210A4"/>
    <w:rsid w:val="00E2147B"/>
    <w:rsid w:val="00E224ED"/>
    <w:rsid w:val="00E22E30"/>
    <w:rsid w:val="00E23366"/>
    <w:rsid w:val="00E23485"/>
    <w:rsid w:val="00E24406"/>
    <w:rsid w:val="00E24712"/>
    <w:rsid w:val="00E249A3"/>
    <w:rsid w:val="00E24F01"/>
    <w:rsid w:val="00E26109"/>
    <w:rsid w:val="00E26C99"/>
    <w:rsid w:val="00E27676"/>
    <w:rsid w:val="00E2789E"/>
    <w:rsid w:val="00E27D36"/>
    <w:rsid w:val="00E30064"/>
    <w:rsid w:val="00E304E1"/>
    <w:rsid w:val="00E30596"/>
    <w:rsid w:val="00E305A6"/>
    <w:rsid w:val="00E30610"/>
    <w:rsid w:val="00E31DDA"/>
    <w:rsid w:val="00E33598"/>
    <w:rsid w:val="00E33943"/>
    <w:rsid w:val="00E34065"/>
    <w:rsid w:val="00E35475"/>
    <w:rsid w:val="00E35B5F"/>
    <w:rsid w:val="00E368C3"/>
    <w:rsid w:val="00E36A28"/>
    <w:rsid w:val="00E36BCF"/>
    <w:rsid w:val="00E3764A"/>
    <w:rsid w:val="00E378E2"/>
    <w:rsid w:val="00E37EFF"/>
    <w:rsid w:val="00E401D1"/>
    <w:rsid w:val="00E40FDC"/>
    <w:rsid w:val="00E418A2"/>
    <w:rsid w:val="00E41ABD"/>
    <w:rsid w:val="00E41F66"/>
    <w:rsid w:val="00E42535"/>
    <w:rsid w:val="00E427FE"/>
    <w:rsid w:val="00E42839"/>
    <w:rsid w:val="00E42D73"/>
    <w:rsid w:val="00E43575"/>
    <w:rsid w:val="00E439F6"/>
    <w:rsid w:val="00E43A11"/>
    <w:rsid w:val="00E43C06"/>
    <w:rsid w:val="00E44794"/>
    <w:rsid w:val="00E449B1"/>
    <w:rsid w:val="00E44C6E"/>
    <w:rsid w:val="00E45004"/>
    <w:rsid w:val="00E451C7"/>
    <w:rsid w:val="00E4687C"/>
    <w:rsid w:val="00E47048"/>
    <w:rsid w:val="00E4785F"/>
    <w:rsid w:val="00E47B31"/>
    <w:rsid w:val="00E47CE2"/>
    <w:rsid w:val="00E501F7"/>
    <w:rsid w:val="00E505AA"/>
    <w:rsid w:val="00E5082D"/>
    <w:rsid w:val="00E50FEA"/>
    <w:rsid w:val="00E51FB7"/>
    <w:rsid w:val="00E53107"/>
    <w:rsid w:val="00E545DA"/>
    <w:rsid w:val="00E56154"/>
    <w:rsid w:val="00E5624D"/>
    <w:rsid w:val="00E57188"/>
    <w:rsid w:val="00E57271"/>
    <w:rsid w:val="00E574A9"/>
    <w:rsid w:val="00E5760A"/>
    <w:rsid w:val="00E576C1"/>
    <w:rsid w:val="00E60789"/>
    <w:rsid w:val="00E61355"/>
    <w:rsid w:val="00E613BC"/>
    <w:rsid w:val="00E61448"/>
    <w:rsid w:val="00E61716"/>
    <w:rsid w:val="00E61AD4"/>
    <w:rsid w:val="00E61F1E"/>
    <w:rsid w:val="00E621BA"/>
    <w:rsid w:val="00E624C2"/>
    <w:rsid w:val="00E62D33"/>
    <w:rsid w:val="00E6383F"/>
    <w:rsid w:val="00E63C0D"/>
    <w:rsid w:val="00E63E0A"/>
    <w:rsid w:val="00E64F89"/>
    <w:rsid w:val="00E64FBA"/>
    <w:rsid w:val="00E65350"/>
    <w:rsid w:val="00E6582E"/>
    <w:rsid w:val="00E65AF9"/>
    <w:rsid w:val="00E65D93"/>
    <w:rsid w:val="00E66861"/>
    <w:rsid w:val="00E66D4D"/>
    <w:rsid w:val="00E66E21"/>
    <w:rsid w:val="00E67063"/>
    <w:rsid w:val="00E67F30"/>
    <w:rsid w:val="00E70006"/>
    <w:rsid w:val="00E70159"/>
    <w:rsid w:val="00E70B6E"/>
    <w:rsid w:val="00E70F38"/>
    <w:rsid w:val="00E710FC"/>
    <w:rsid w:val="00E718DB"/>
    <w:rsid w:val="00E71915"/>
    <w:rsid w:val="00E7213D"/>
    <w:rsid w:val="00E7296C"/>
    <w:rsid w:val="00E731F8"/>
    <w:rsid w:val="00E73EC2"/>
    <w:rsid w:val="00E751AC"/>
    <w:rsid w:val="00E75370"/>
    <w:rsid w:val="00E76042"/>
    <w:rsid w:val="00E7653A"/>
    <w:rsid w:val="00E76FCE"/>
    <w:rsid w:val="00E77090"/>
    <w:rsid w:val="00E77171"/>
    <w:rsid w:val="00E77C4E"/>
    <w:rsid w:val="00E80439"/>
    <w:rsid w:val="00E80916"/>
    <w:rsid w:val="00E80D5A"/>
    <w:rsid w:val="00E812FC"/>
    <w:rsid w:val="00E816B9"/>
    <w:rsid w:val="00E81C8E"/>
    <w:rsid w:val="00E81CC4"/>
    <w:rsid w:val="00E824F5"/>
    <w:rsid w:val="00E827C1"/>
    <w:rsid w:val="00E82FD8"/>
    <w:rsid w:val="00E84009"/>
    <w:rsid w:val="00E840DF"/>
    <w:rsid w:val="00E84424"/>
    <w:rsid w:val="00E8452A"/>
    <w:rsid w:val="00E84C24"/>
    <w:rsid w:val="00E84E38"/>
    <w:rsid w:val="00E84FA1"/>
    <w:rsid w:val="00E853AF"/>
    <w:rsid w:val="00E8560F"/>
    <w:rsid w:val="00E86488"/>
    <w:rsid w:val="00E869E5"/>
    <w:rsid w:val="00E874EF"/>
    <w:rsid w:val="00E875A9"/>
    <w:rsid w:val="00E8780A"/>
    <w:rsid w:val="00E8782E"/>
    <w:rsid w:val="00E87CCD"/>
    <w:rsid w:val="00E90610"/>
    <w:rsid w:val="00E90667"/>
    <w:rsid w:val="00E90D4C"/>
    <w:rsid w:val="00E91050"/>
    <w:rsid w:val="00E91A38"/>
    <w:rsid w:val="00E926A1"/>
    <w:rsid w:val="00E9278A"/>
    <w:rsid w:val="00E92875"/>
    <w:rsid w:val="00E93431"/>
    <w:rsid w:val="00E93A17"/>
    <w:rsid w:val="00E94099"/>
    <w:rsid w:val="00E9476C"/>
    <w:rsid w:val="00E94E25"/>
    <w:rsid w:val="00E9508D"/>
    <w:rsid w:val="00E957FC"/>
    <w:rsid w:val="00E962E6"/>
    <w:rsid w:val="00E97135"/>
    <w:rsid w:val="00E97A69"/>
    <w:rsid w:val="00E97B22"/>
    <w:rsid w:val="00E97C6F"/>
    <w:rsid w:val="00E97FF5"/>
    <w:rsid w:val="00EA0289"/>
    <w:rsid w:val="00EA069E"/>
    <w:rsid w:val="00EA0FA7"/>
    <w:rsid w:val="00EA1629"/>
    <w:rsid w:val="00EA2D5C"/>
    <w:rsid w:val="00EA3384"/>
    <w:rsid w:val="00EA34B8"/>
    <w:rsid w:val="00EA6941"/>
    <w:rsid w:val="00EA7085"/>
    <w:rsid w:val="00EA7737"/>
    <w:rsid w:val="00EB0041"/>
    <w:rsid w:val="00EB0356"/>
    <w:rsid w:val="00EB0BB8"/>
    <w:rsid w:val="00EB11D1"/>
    <w:rsid w:val="00EB181B"/>
    <w:rsid w:val="00EB1CA4"/>
    <w:rsid w:val="00EB2DEA"/>
    <w:rsid w:val="00EB3C02"/>
    <w:rsid w:val="00EB42CD"/>
    <w:rsid w:val="00EB432A"/>
    <w:rsid w:val="00EB4A37"/>
    <w:rsid w:val="00EB4C87"/>
    <w:rsid w:val="00EB4F53"/>
    <w:rsid w:val="00EB56B5"/>
    <w:rsid w:val="00EB5E75"/>
    <w:rsid w:val="00EB68F7"/>
    <w:rsid w:val="00EB783D"/>
    <w:rsid w:val="00EB7A59"/>
    <w:rsid w:val="00EC04DC"/>
    <w:rsid w:val="00EC1F79"/>
    <w:rsid w:val="00EC2090"/>
    <w:rsid w:val="00EC20F6"/>
    <w:rsid w:val="00EC341C"/>
    <w:rsid w:val="00EC3DEC"/>
    <w:rsid w:val="00EC49D0"/>
    <w:rsid w:val="00EC4D59"/>
    <w:rsid w:val="00EC4F02"/>
    <w:rsid w:val="00EC5AB3"/>
    <w:rsid w:val="00EC5CAF"/>
    <w:rsid w:val="00EC6540"/>
    <w:rsid w:val="00EC7529"/>
    <w:rsid w:val="00ED066E"/>
    <w:rsid w:val="00ED0880"/>
    <w:rsid w:val="00ED1657"/>
    <w:rsid w:val="00ED185D"/>
    <w:rsid w:val="00ED20FC"/>
    <w:rsid w:val="00ED226A"/>
    <w:rsid w:val="00ED2A23"/>
    <w:rsid w:val="00ED2BAC"/>
    <w:rsid w:val="00ED4105"/>
    <w:rsid w:val="00ED493E"/>
    <w:rsid w:val="00ED5006"/>
    <w:rsid w:val="00ED53A2"/>
    <w:rsid w:val="00ED5637"/>
    <w:rsid w:val="00ED5A61"/>
    <w:rsid w:val="00ED5BAD"/>
    <w:rsid w:val="00ED5CBD"/>
    <w:rsid w:val="00ED63D1"/>
    <w:rsid w:val="00ED64A2"/>
    <w:rsid w:val="00ED6618"/>
    <w:rsid w:val="00ED6704"/>
    <w:rsid w:val="00ED6A5D"/>
    <w:rsid w:val="00ED73B3"/>
    <w:rsid w:val="00EE03ED"/>
    <w:rsid w:val="00EE04B4"/>
    <w:rsid w:val="00EE0835"/>
    <w:rsid w:val="00EE1CAE"/>
    <w:rsid w:val="00EE25D1"/>
    <w:rsid w:val="00EE28C4"/>
    <w:rsid w:val="00EE2E8C"/>
    <w:rsid w:val="00EE2FDF"/>
    <w:rsid w:val="00EE3BC6"/>
    <w:rsid w:val="00EE4115"/>
    <w:rsid w:val="00EE51F5"/>
    <w:rsid w:val="00EE5363"/>
    <w:rsid w:val="00EE553F"/>
    <w:rsid w:val="00EE5736"/>
    <w:rsid w:val="00EE5918"/>
    <w:rsid w:val="00EE6E97"/>
    <w:rsid w:val="00EE71C9"/>
    <w:rsid w:val="00EE76ED"/>
    <w:rsid w:val="00EE77D3"/>
    <w:rsid w:val="00EF0082"/>
    <w:rsid w:val="00EF027E"/>
    <w:rsid w:val="00EF02A8"/>
    <w:rsid w:val="00EF042C"/>
    <w:rsid w:val="00EF098F"/>
    <w:rsid w:val="00EF2ADB"/>
    <w:rsid w:val="00EF2D5E"/>
    <w:rsid w:val="00EF352D"/>
    <w:rsid w:val="00EF3688"/>
    <w:rsid w:val="00EF3DAB"/>
    <w:rsid w:val="00EF3DFC"/>
    <w:rsid w:val="00EF4261"/>
    <w:rsid w:val="00EF43EF"/>
    <w:rsid w:val="00EF4AEE"/>
    <w:rsid w:val="00EF50DB"/>
    <w:rsid w:val="00EF5A86"/>
    <w:rsid w:val="00EF600D"/>
    <w:rsid w:val="00EF608D"/>
    <w:rsid w:val="00EF66D5"/>
    <w:rsid w:val="00EF6ADD"/>
    <w:rsid w:val="00EF6BCB"/>
    <w:rsid w:val="00EF6E41"/>
    <w:rsid w:val="00EF708B"/>
    <w:rsid w:val="00EF7113"/>
    <w:rsid w:val="00EF7BB1"/>
    <w:rsid w:val="00F00C1B"/>
    <w:rsid w:val="00F00F77"/>
    <w:rsid w:val="00F01A77"/>
    <w:rsid w:val="00F02290"/>
    <w:rsid w:val="00F02335"/>
    <w:rsid w:val="00F0287F"/>
    <w:rsid w:val="00F032F6"/>
    <w:rsid w:val="00F03BF4"/>
    <w:rsid w:val="00F03F3B"/>
    <w:rsid w:val="00F03FF4"/>
    <w:rsid w:val="00F04335"/>
    <w:rsid w:val="00F043CB"/>
    <w:rsid w:val="00F05562"/>
    <w:rsid w:val="00F057D9"/>
    <w:rsid w:val="00F06147"/>
    <w:rsid w:val="00F06ADB"/>
    <w:rsid w:val="00F06BE0"/>
    <w:rsid w:val="00F07468"/>
    <w:rsid w:val="00F074DC"/>
    <w:rsid w:val="00F07A7C"/>
    <w:rsid w:val="00F07FB7"/>
    <w:rsid w:val="00F10400"/>
    <w:rsid w:val="00F10F8A"/>
    <w:rsid w:val="00F11887"/>
    <w:rsid w:val="00F11AAA"/>
    <w:rsid w:val="00F11DDC"/>
    <w:rsid w:val="00F12693"/>
    <w:rsid w:val="00F12FF2"/>
    <w:rsid w:val="00F1302B"/>
    <w:rsid w:val="00F1345B"/>
    <w:rsid w:val="00F13A90"/>
    <w:rsid w:val="00F13C10"/>
    <w:rsid w:val="00F13E1B"/>
    <w:rsid w:val="00F13F76"/>
    <w:rsid w:val="00F14671"/>
    <w:rsid w:val="00F14868"/>
    <w:rsid w:val="00F14890"/>
    <w:rsid w:val="00F14B98"/>
    <w:rsid w:val="00F150E4"/>
    <w:rsid w:val="00F153C1"/>
    <w:rsid w:val="00F17B08"/>
    <w:rsid w:val="00F20096"/>
    <w:rsid w:val="00F202A1"/>
    <w:rsid w:val="00F20864"/>
    <w:rsid w:val="00F20D81"/>
    <w:rsid w:val="00F20F3C"/>
    <w:rsid w:val="00F211DA"/>
    <w:rsid w:val="00F21586"/>
    <w:rsid w:val="00F21626"/>
    <w:rsid w:val="00F2176B"/>
    <w:rsid w:val="00F217E8"/>
    <w:rsid w:val="00F22043"/>
    <w:rsid w:val="00F22D82"/>
    <w:rsid w:val="00F22FE8"/>
    <w:rsid w:val="00F23A8E"/>
    <w:rsid w:val="00F23F29"/>
    <w:rsid w:val="00F24C06"/>
    <w:rsid w:val="00F24E2F"/>
    <w:rsid w:val="00F26032"/>
    <w:rsid w:val="00F26D40"/>
    <w:rsid w:val="00F26DA7"/>
    <w:rsid w:val="00F2757F"/>
    <w:rsid w:val="00F3004B"/>
    <w:rsid w:val="00F31EEF"/>
    <w:rsid w:val="00F320FE"/>
    <w:rsid w:val="00F3230C"/>
    <w:rsid w:val="00F32C75"/>
    <w:rsid w:val="00F32CF5"/>
    <w:rsid w:val="00F3319F"/>
    <w:rsid w:val="00F340B6"/>
    <w:rsid w:val="00F345F4"/>
    <w:rsid w:val="00F356F0"/>
    <w:rsid w:val="00F35D24"/>
    <w:rsid w:val="00F36032"/>
    <w:rsid w:val="00F361B7"/>
    <w:rsid w:val="00F367BD"/>
    <w:rsid w:val="00F3761E"/>
    <w:rsid w:val="00F37E2B"/>
    <w:rsid w:val="00F40BAE"/>
    <w:rsid w:val="00F40FA4"/>
    <w:rsid w:val="00F41A5E"/>
    <w:rsid w:val="00F42100"/>
    <w:rsid w:val="00F422F2"/>
    <w:rsid w:val="00F435C3"/>
    <w:rsid w:val="00F43621"/>
    <w:rsid w:val="00F43710"/>
    <w:rsid w:val="00F437DA"/>
    <w:rsid w:val="00F43EA3"/>
    <w:rsid w:val="00F44647"/>
    <w:rsid w:val="00F44BD5"/>
    <w:rsid w:val="00F4515A"/>
    <w:rsid w:val="00F45D8F"/>
    <w:rsid w:val="00F46A25"/>
    <w:rsid w:val="00F46A6B"/>
    <w:rsid w:val="00F47451"/>
    <w:rsid w:val="00F478C7"/>
    <w:rsid w:val="00F479BF"/>
    <w:rsid w:val="00F5086B"/>
    <w:rsid w:val="00F50B29"/>
    <w:rsid w:val="00F50D7F"/>
    <w:rsid w:val="00F513A5"/>
    <w:rsid w:val="00F51619"/>
    <w:rsid w:val="00F5161E"/>
    <w:rsid w:val="00F517B5"/>
    <w:rsid w:val="00F51B8B"/>
    <w:rsid w:val="00F5247B"/>
    <w:rsid w:val="00F5267C"/>
    <w:rsid w:val="00F52C35"/>
    <w:rsid w:val="00F52E12"/>
    <w:rsid w:val="00F52F93"/>
    <w:rsid w:val="00F531ED"/>
    <w:rsid w:val="00F53314"/>
    <w:rsid w:val="00F53411"/>
    <w:rsid w:val="00F53B65"/>
    <w:rsid w:val="00F53E71"/>
    <w:rsid w:val="00F54379"/>
    <w:rsid w:val="00F54608"/>
    <w:rsid w:val="00F547BA"/>
    <w:rsid w:val="00F54979"/>
    <w:rsid w:val="00F54D3B"/>
    <w:rsid w:val="00F55268"/>
    <w:rsid w:val="00F552F2"/>
    <w:rsid w:val="00F55437"/>
    <w:rsid w:val="00F5562E"/>
    <w:rsid w:val="00F55D70"/>
    <w:rsid w:val="00F55E52"/>
    <w:rsid w:val="00F5611A"/>
    <w:rsid w:val="00F57EF0"/>
    <w:rsid w:val="00F60B78"/>
    <w:rsid w:val="00F60CF6"/>
    <w:rsid w:val="00F619CE"/>
    <w:rsid w:val="00F61E05"/>
    <w:rsid w:val="00F627A3"/>
    <w:rsid w:val="00F627E2"/>
    <w:rsid w:val="00F63969"/>
    <w:rsid w:val="00F645DF"/>
    <w:rsid w:val="00F6482D"/>
    <w:rsid w:val="00F6560C"/>
    <w:rsid w:val="00F65903"/>
    <w:rsid w:val="00F66213"/>
    <w:rsid w:val="00F66491"/>
    <w:rsid w:val="00F66975"/>
    <w:rsid w:val="00F66DFC"/>
    <w:rsid w:val="00F66EE9"/>
    <w:rsid w:val="00F6795C"/>
    <w:rsid w:val="00F67B7A"/>
    <w:rsid w:val="00F704B1"/>
    <w:rsid w:val="00F71520"/>
    <w:rsid w:val="00F723E3"/>
    <w:rsid w:val="00F724F7"/>
    <w:rsid w:val="00F744D2"/>
    <w:rsid w:val="00F74CE6"/>
    <w:rsid w:val="00F7590F"/>
    <w:rsid w:val="00F75AB8"/>
    <w:rsid w:val="00F75AFB"/>
    <w:rsid w:val="00F75F6D"/>
    <w:rsid w:val="00F75FE2"/>
    <w:rsid w:val="00F771BC"/>
    <w:rsid w:val="00F772CC"/>
    <w:rsid w:val="00F80F95"/>
    <w:rsid w:val="00F81A54"/>
    <w:rsid w:val="00F81C8E"/>
    <w:rsid w:val="00F81CD3"/>
    <w:rsid w:val="00F8254B"/>
    <w:rsid w:val="00F827F7"/>
    <w:rsid w:val="00F829F7"/>
    <w:rsid w:val="00F8300A"/>
    <w:rsid w:val="00F8309C"/>
    <w:rsid w:val="00F833DC"/>
    <w:rsid w:val="00F83BFA"/>
    <w:rsid w:val="00F83E77"/>
    <w:rsid w:val="00F85251"/>
    <w:rsid w:val="00F852DA"/>
    <w:rsid w:val="00F8569E"/>
    <w:rsid w:val="00F85A14"/>
    <w:rsid w:val="00F87095"/>
    <w:rsid w:val="00F871DB"/>
    <w:rsid w:val="00F87ACF"/>
    <w:rsid w:val="00F87D04"/>
    <w:rsid w:val="00F90CF7"/>
    <w:rsid w:val="00F90EB0"/>
    <w:rsid w:val="00F90F08"/>
    <w:rsid w:val="00F911BC"/>
    <w:rsid w:val="00F912DD"/>
    <w:rsid w:val="00F913C6"/>
    <w:rsid w:val="00F919B4"/>
    <w:rsid w:val="00F91D64"/>
    <w:rsid w:val="00F92415"/>
    <w:rsid w:val="00F930DA"/>
    <w:rsid w:val="00F935D5"/>
    <w:rsid w:val="00F937B9"/>
    <w:rsid w:val="00F94804"/>
    <w:rsid w:val="00F94864"/>
    <w:rsid w:val="00F94BFA"/>
    <w:rsid w:val="00F95215"/>
    <w:rsid w:val="00F95A0C"/>
    <w:rsid w:val="00F95B72"/>
    <w:rsid w:val="00F95BDD"/>
    <w:rsid w:val="00F95DA6"/>
    <w:rsid w:val="00F964F2"/>
    <w:rsid w:val="00F97580"/>
    <w:rsid w:val="00F975A5"/>
    <w:rsid w:val="00F97E92"/>
    <w:rsid w:val="00FA02EE"/>
    <w:rsid w:val="00FA08DD"/>
    <w:rsid w:val="00FA0D57"/>
    <w:rsid w:val="00FA153E"/>
    <w:rsid w:val="00FA1E98"/>
    <w:rsid w:val="00FA2672"/>
    <w:rsid w:val="00FA2854"/>
    <w:rsid w:val="00FA2BD1"/>
    <w:rsid w:val="00FA2C82"/>
    <w:rsid w:val="00FA32A3"/>
    <w:rsid w:val="00FA33A6"/>
    <w:rsid w:val="00FA3BC2"/>
    <w:rsid w:val="00FA456F"/>
    <w:rsid w:val="00FA458E"/>
    <w:rsid w:val="00FA4EDE"/>
    <w:rsid w:val="00FA595A"/>
    <w:rsid w:val="00FA5A35"/>
    <w:rsid w:val="00FA5FA7"/>
    <w:rsid w:val="00FA6654"/>
    <w:rsid w:val="00FA6C42"/>
    <w:rsid w:val="00FA7B80"/>
    <w:rsid w:val="00FA7FF1"/>
    <w:rsid w:val="00FB0B18"/>
    <w:rsid w:val="00FB1367"/>
    <w:rsid w:val="00FB17D8"/>
    <w:rsid w:val="00FB18EA"/>
    <w:rsid w:val="00FB2255"/>
    <w:rsid w:val="00FB2ACA"/>
    <w:rsid w:val="00FB3407"/>
    <w:rsid w:val="00FB3891"/>
    <w:rsid w:val="00FB3B03"/>
    <w:rsid w:val="00FB425D"/>
    <w:rsid w:val="00FB4C80"/>
    <w:rsid w:val="00FB5127"/>
    <w:rsid w:val="00FB5C0E"/>
    <w:rsid w:val="00FB631B"/>
    <w:rsid w:val="00FB63A1"/>
    <w:rsid w:val="00FB6429"/>
    <w:rsid w:val="00FB673E"/>
    <w:rsid w:val="00FB71A2"/>
    <w:rsid w:val="00FB753B"/>
    <w:rsid w:val="00FB7B28"/>
    <w:rsid w:val="00FB7F63"/>
    <w:rsid w:val="00FB7F7E"/>
    <w:rsid w:val="00FC0120"/>
    <w:rsid w:val="00FC016A"/>
    <w:rsid w:val="00FC0D98"/>
    <w:rsid w:val="00FC0E07"/>
    <w:rsid w:val="00FC128A"/>
    <w:rsid w:val="00FC348C"/>
    <w:rsid w:val="00FC3C3E"/>
    <w:rsid w:val="00FC3D57"/>
    <w:rsid w:val="00FC3EB4"/>
    <w:rsid w:val="00FC49B1"/>
    <w:rsid w:val="00FC51B8"/>
    <w:rsid w:val="00FC54E3"/>
    <w:rsid w:val="00FC5B40"/>
    <w:rsid w:val="00FC5FD1"/>
    <w:rsid w:val="00FC6546"/>
    <w:rsid w:val="00FC66AF"/>
    <w:rsid w:val="00FC6C2D"/>
    <w:rsid w:val="00FD026C"/>
    <w:rsid w:val="00FD04B8"/>
    <w:rsid w:val="00FD1500"/>
    <w:rsid w:val="00FD16AB"/>
    <w:rsid w:val="00FD2225"/>
    <w:rsid w:val="00FD2230"/>
    <w:rsid w:val="00FD23BB"/>
    <w:rsid w:val="00FD2E3A"/>
    <w:rsid w:val="00FD340B"/>
    <w:rsid w:val="00FD351A"/>
    <w:rsid w:val="00FD38DC"/>
    <w:rsid w:val="00FD3FB6"/>
    <w:rsid w:val="00FD4B7B"/>
    <w:rsid w:val="00FD4C1C"/>
    <w:rsid w:val="00FD4CCD"/>
    <w:rsid w:val="00FD5E73"/>
    <w:rsid w:val="00FD5E74"/>
    <w:rsid w:val="00FD6062"/>
    <w:rsid w:val="00FD63C6"/>
    <w:rsid w:val="00FD6457"/>
    <w:rsid w:val="00FD68FA"/>
    <w:rsid w:val="00FD7419"/>
    <w:rsid w:val="00FD755E"/>
    <w:rsid w:val="00FD7630"/>
    <w:rsid w:val="00FD7793"/>
    <w:rsid w:val="00FD77D9"/>
    <w:rsid w:val="00FD77EF"/>
    <w:rsid w:val="00FD7B21"/>
    <w:rsid w:val="00FD7CD3"/>
    <w:rsid w:val="00FE0D8F"/>
    <w:rsid w:val="00FE1029"/>
    <w:rsid w:val="00FE10C7"/>
    <w:rsid w:val="00FE177E"/>
    <w:rsid w:val="00FE28E6"/>
    <w:rsid w:val="00FE2A5B"/>
    <w:rsid w:val="00FE2B59"/>
    <w:rsid w:val="00FE2EFC"/>
    <w:rsid w:val="00FE2F6C"/>
    <w:rsid w:val="00FE2FE0"/>
    <w:rsid w:val="00FE37D4"/>
    <w:rsid w:val="00FE3BAE"/>
    <w:rsid w:val="00FE410C"/>
    <w:rsid w:val="00FE44C5"/>
    <w:rsid w:val="00FE44D5"/>
    <w:rsid w:val="00FE4AA4"/>
    <w:rsid w:val="00FE4DAF"/>
    <w:rsid w:val="00FE5269"/>
    <w:rsid w:val="00FE543B"/>
    <w:rsid w:val="00FE5C96"/>
    <w:rsid w:val="00FE5DC7"/>
    <w:rsid w:val="00FE6320"/>
    <w:rsid w:val="00FE6554"/>
    <w:rsid w:val="00FE6988"/>
    <w:rsid w:val="00FE77D1"/>
    <w:rsid w:val="00FE7D83"/>
    <w:rsid w:val="00FF03E0"/>
    <w:rsid w:val="00FF0B68"/>
    <w:rsid w:val="00FF0E14"/>
    <w:rsid w:val="00FF1021"/>
    <w:rsid w:val="00FF141F"/>
    <w:rsid w:val="00FF20EC"/>
    <w:rsid w:val="00FF2451"/>
    <w:rsid w:val="00FF2723"/>
    <w:rsid w:val="00FF2B20"/>
    <w:rsid w:val="00FF30C3"/>
    <w:rsid w:val="00FF3858"/>
    <w:rsid w:val="00FF3A02"/>
    <w:rsid w:val="00FF3C3D"/>
    <w:rsid w:val="00FF406D"/>
    <w:rsid w:val="00FF4A8D"/>
    <w:rsid w:val="00FF572B"/>
    <w:rsid w:val="00FF5AE1"/>
    <w:rsid w:val="00FF5CE3"/>
    <w:rsid w:val="00FF5DD4"/>
    <w:rsid w:val="00FF5F2E"/>
    <w:rsid w:val="00FF6046"/>
    <w:rsid w:val="00FF665D"/>
    <w:rsid w:val="00FF6B25"/>
    <w:rsid w:val="00FF6E3F"/>
    <w:rsid w:val="00FF73E7"/>
    <w:rsid w:val="00FF7488"/>
    <w:rsid w:val="00FF7BFC"/>
    <w:rsid w:val="00FF7C34"/>
    <w:rsid w:val="00FF7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8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5743BA"/>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5743BA"/>
    <w:pPr>
      <w:keepNext/>
      <w:numPr>
        <w:numId w:val="5"/>
      </w:numPr>
      <w:ind w:right="1296"/>
      <w:outlineLvl w:val="0"/>
    </w:pPr>
    <w:rPr>
      <w:u w:val="single"/>
    </w:rPr>
  </w:style>
  <w:style w:type="paragraph" w:styleId="Heading2">
    <w:name w:val="heading 2"/>
    <w:basedOn w:val="Normal"/>
    <w:next w:val="Normal"/>
    <w:uiPriority w:val="99"/>
    <w:semiHidden/>
    <w:qFormat/>
    <w:locked/>
    <w:rsid w:val="005743BA"/>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5743BA"/>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5743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43BA"/>
  </w:style>
  <w:style w:type="paragraph" w:styleId="Footer">
    <w:name w:val="footer"/>
    <w:basedOn w:val="Normal"/>
    <w:link w:val="FooterChar"/>
    <w:uiPriority w:val="43"/>
    <w:locked/>
    <w:rsid w:val="005743BA"/>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43BA"/>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5743BA"/>
    <w:pPr>
      <w:spacing w:before="240" w:line="240" w:lineRule="exact"/>
      <w:ind w:left="720" w:right="794" w:firstLine="0"/>
    </w:pPr>
  </w:style>
  <w:style w:type="paragraph" w:styleId="FootnoteText">
    <w:name w:val="footnote text"/>
    <w:basedOn w:val="Normal"/>
    <w:link w:val="FootnoteTextChar"/>
    <w:uiPriority w:val="53"/>
    <w:locked/>
    <w:rsid w:val="005743BA"/>
    <w:pPr>
      <w:spacing w:after="240" w:line="240" w:lineRule="exact"/>
      <w:ind w:left="510" w:hanging="510"/>
    </w:pPr>
  </w:style>
  <w:style w:type="character" w:styleId="FootnoteReference">
    <w:name w:val="footnote reference"/>
    <w:uiPriority w:val="51"/>
    <w:locked/>
    <w:rsid w:val="005743BA"/>
    <w:rPr>
      <w:b/>
      <w:sz w:val="28"/>
      <w:vertAlign w:val="superscript"/>
    </w:rPr>
  </w:style>
  <w:style w:type="paragraph" w:customStyle="1" w:styleId="FootIndAgain">
    <w:name w:val="FootIndAgain"/>
    <w:basedOn w:val="FootnoteText"/>
    <w:uiPriority w:val="47"/>
    <w:qFormat/>
    <w:locked/>
    <w:rsid w:val="005743BA"/>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43BA"/>
    <w:pPr>
      <w:ind w:firstLine="0"/>
    </w:pPr>
  </w:style>
  <w:style w:type="character" w:customStyle="1" w:styleId="Heading1Char">
    <w:name w:val="Heading 1 Char"/>
    <w:uiPriority w:val="99"/>
    <w:semiHidden/>
    <w:locked/>
    <w:rsid w:val="005743BA"/>
    <w:rPr>
      <w:rFonts w:ascii="Univers" w:hAnsi="Univers"/>
      <w:sz w:val="26"/>
      <w:u w:val="single"/>
      <w:lang w:val="en-AU"/>
    </w:rPr>
  </w:style>
  <w:style w:type="character" w:customStyle="1" w:styleId="Heading2Char">
    <w:name w:val="Heading 2 Char"/>
    <w:uiPriority w:val="99"/>
    <w:semiHidden/>
    <w:locked/>
    <w:rsid w:val="005743BA"/>
    <w:rPr>
      <w:rFonts w:ascii="Arial" w:hAnsi="Arial"/>
      <w:b/>
      <w:i/>
      <w:sz w:val="24"/>
      <w:lang w:val="en-AU"/>
    </w:rPr>
  </w:style>
  <w:style w:type="character" w:customStyle="1" w:styleId="Heading3Char">
    <w:name w:val="Heading 3 Char"/>
    <w:uiPriority w:val="99"/>
    <w:semiHidden/>
    <w:locked/>
    <w:rsid w:val="005743BA"/>
    <w:rPr>
      <w:rFonts w:ascii="Arial" w:hAnsi="Arial"/>
      <w:sz w:val="24"/>
      <w:lang w:val="en-AU"/>
    </w:rPr>
  </w:style>
  <w:style w:type="paragraph" w:customStyle="1" w:styleId="NormalHC">
    <w:name w:val="Normal HC"/>
    <w:basedOn w:val="Normal"/>
    <w:uiPriority w:val="27"/>
    <w:qFormat/>
    <w:locked/>
    <w:rsid w:val="005743BA"/>
    <w:pPr>
      <w:numPr>
        <w:numId w:val="16"/>
      </w:numPr>
      <w:spacing w:after="480"/>
      <w:ind w:left="0" w:hanging="720"/>
    </w:pPr>
  </w:style>
  <w:style w:type="paragraph" w:customStyle="1" w:styleId="HeadingFirst">
    <w:name w:val="Heading First"/>
    <w:basedOn w:val="NormalHC"/>
    <w:next w:val="HeadingV"/>
    <w:uiPriority w:val="15"/>
    <w:qFormat/>
    <w:locked/>
    <w:rsid w:val="005743BA"/>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743BA"/>
    <w:pPr>
      <w:keepNext/>
      <w:numPr>
        <w:numId w:val="0"/>
      </w:numPr>
      <w:outlineLvl w:val="2"/>
    </w:pPr>
    <w:rPr>
      <w:b/>
      <w:szCs w:val="20"/>
    </w:rPr>
  </w:style>
  <w:style w:type="paragraph" w:customStyle="1" w:styleId="HeadingL2">
    <w:name w:val="Heading L2"/>
    <w:basedOn w:val="HeadingL1"/>
    <w:next w:val="NormalHC"/>
    <w:uiPriority w:val="23"/>
    <w:qFormat/>
    <w:locked/>
    <w:rsid w:val="005743BA"/>
    <w:pPr>
      <w:outlineLvl w:val="3"/>
    </w:pPr>
    <w:rPr>
      <w:b w:val="0"/>
      <w:i/>
    </w:rPr>
  </w:style>
  <w:style w:type="paragraph" w:customStyle="1" w:styleId="HeadingMatter">
    <w:name w:val="Heading Matter"/>
    <w:basedOn w:val="NormalHC"/>
    <w:next w:val="HeadingFirst"/>
    <w:uiPriority w:val="13"/>
    <w:qFormat/>
    <w:locked/>
    <w:rsid w:val="005743BA"/>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5743BA"/>
    <w:pPr>
      <w:keepNext w:val="0"/>
    </w:pPr>
  </w:style>
  <w:style w:type="paragraph" w:customStyle="1" w:styleId="HeadingV">
    <w:name w:val="Heading V"/>
    <w:basedOn w:val="HeadingFirst"/>
    <w:next w:val="HeadingSecond"/>
    <w:uiPriority w:val="17"/>
    <w:qFormat/>
    <w:locked/>
    <w:rsid w:val="005743BA"/>
    <w:rPr>
      <w:caps w:val="0"/>
      <w:u w:val="none"/>
    </w:rPr>
  </w:style>
  <w:style w:type="paragraph" w:customStyle="1" w:styleId="LeftrightafterHC">
    <w:name w:val="Leftright after HC"/>
    <w:basedOn w:val="Normal"/>
    <w:next w:val="leftright"/>
    <w:uiPriority w:val="31"/>
    <w:qFormat/>
    <w:locked/>
    <w:rsid w:val="005743BA"/>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5743BA"/>
    <w:pPr>
      <w:ind w:firstLine="720"/>
    </w:pPr>
  </w:style>
  <w:style w:type="paragraph" w:customStyle="1" w:styleId="LeftrightHanging">
    <w:name w:val="LeftrightHanging"/>
    <w:basedOn w:val="NormalHC"/>
    <w:uiPriority w:val="35"/>
    <w:qFormat/>
    <w:locked/>
    <w:rsid w:val="005743BA"/>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5743BA"/>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5743BA"/>
    <w:pPr>
      <w:spacing w:before="200"/>
      <w:ind w:left="2160"/>
    </w:pPr>
  </w:style>
  <w:style w:type="paragraph" w:customStyle="1" w:styleId="NormalafterHd2nd">
    <w:name w:val="Normal after Hd2nd"/>
    <w:basedOn w:val="NormalHC"/>
    <w:next w:val="NormalHC"/>
    <w:uiPriority w:val="29"/>
    <w:locked/>
    <w:rsid w:val="005743BA"/>
    <w:pPr>
      <w:numPr>
        <w:numId w:val="0"/>
      </w:numPr>
      <w:spacing w:before="1000"/>
    </w:pPr>
  </w:style>
  <w:style w:type="character" w:customStyle="1" w:styleId="NormalHCChar">
    <w:name w:val="Normal HC Char"/>
    <w:uiPriority w:val="99"/>
    <w:semiHidden/>
    <w:locked/>
    <w:rsid w:val="005743BA"/>
    <w:rPr>
      <w:rFonts w:ascii="Univers" w:hAnsi="Univers"/>
      <w:sz w:val="26"/>
      <w:szCs w:val="26"/>
    </w:rPr>
  </w:style>
  <w:style w:type="character" w:customStyle="1" w:styleId="StyleFootnoteReferenceChar">
    <w:name w:val="Style Footnote Reference Char"/>
    <w:uiPriority w:val="99"/>
    <w:semiHidden/>
    <w:locked/>
    <w:rsid w:val="005743BA"/>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5743BA"/>
  </w:style>
  <w:style w:type="paragraph" w:customStyle="1" w:styleId="HeadingJudgment">
    <w:name w:val="Heading Judgment"/>
    <w:basedOn w:val="Normal"/>
    <w:uiPriority w:val="59"/>
    <w:qFormat/>
    <w:locked/>
    <w:rsid w:val="005743BA"/>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5743BA"/>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5743BA"/>
    <w:pPr>
      <w:outlineLvl w:val="4"/>
    </w:pPr>
    <w:rPr>
      <w:b w:val="0"/>
    </w:rPr>
  </w:style>
  <w:style w:type="character" w:styleId="PageNumber">
    <w:name w:val="page number"/>
    <w:basedOn w:val="DefaultParagraphFont"/>
    <w:uiPriority w:val="57"/>
    <w:locked/>
    <w:rsid w:val="005743BA"/>
  </w:style>
  <w:style w:type="paragraph" w:styleId="BalloonText">
    <w:name w:val="Balloon Text"/>
    <w:basedOn w:val="Normal"/>
    <w:link w:val="BalloonTextChar"/>
    <w:semiHidden/>
    <w:locked/>
    <w:rsid w:val="005743BA"/>
    <w:rPr>
      <w:rFonts w:ascii="Tahoma" w:hAnsi="Tahoma" w:cs="Tahoma"/>
      <w:sz w:val="16"/>
      <w:szCs w:val="16"/>
      <w:lang w:eastAsia="en-US"/>
    </w:rPr>
  </w:style>
  <w:style w:type="character" w:customStyle="1" w:styleId="BalloonTextChar">
    <w:name w:val="Balloon Text Char"/>
    <w:basedOn w:val="DefaultParagraphFont"/>
    <w:link w:val="BalloonText"/>
    <w:semiHidden/>
    <w:rsid w:val="005743BA"/>
    <w:rPr>
      <w:rFonts w:ascii="Tahoma" w:hAnsi="Tahoma" w:cs="Tahoma"/>
      <w:sz w:val="16"/>
      <w:szCs w:val="16"/>
      <w:lang w:eastAsia="en-US"/>
    </w:rPr>
  </w:style>
  <w:style w:type="paragraph" w:customStyle="1" w:styleId="ClosingText">
    <w:name w:val="Closing Text"/>
    <w:basedOn w:val="Normal"/>
    <w:uiPriority w:val="98"/>
    <w:semiHidden/>
    <w:qFormat/>
    <w:locked/>
    <w:rsid w:val="005743BA"/>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743BA"/>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743BA"/>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743BA"/>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5743BA"/>
    <w:rPr>
      <w:szCs w:val="20"/>
      <w:lang w:eastAsia="en-US"/>
    </w:rPr>
  </w:style>
  <w:style w:type="paragraph" w:customStyle="1" w:styleId="NormalBody">
    <w:name w:val="Normal Body"/>
    <w:basedOn w:val="NormalHC"/>
    <w:uiPriority w:val="28"/>
    <w:qFormat/>
    <w:locked/>
    <w:rsid w:val="005743BA"/>
    <w:pPr>
      <w:numPr>
        <w:numId w:val="0"/>
      </w:numPr>
    </w:pPr>
    <w:rPr>
      <w:lang w:eastAsia="en-US"/>
    </w:rPr>
  </w:style>
  <w:style w:type="paragraph" w:customStyle="1" w:styleId="StyleFootnoteReference">
    <w:name w:val="Style Footnote Reference"/>
    <w:basedOn w:val="Normal"/>
    <w:next w:val="Normal"/>
    <w:semiHidden/>
    <w:rsid w:val="005743BA"/>
    <w:rPr>
      <w:vertAlign w:val="superscript"/>
      <w:lang w:eastAsia="en-US"/>
    </w:rPr>
  </w:style>
  <w:style w:type="paragraph" w:styleId="ListNumber">
    <w:name w:val="List Number"/>
    <w:basedOn w:val="Normal"/>
    <w:uiPriority w:val="56"/>
    <w:locked/>
    <w:rsid w:val="005743BA"/>
    <w:pPr>
      <w:numPr>
        <w:numId w:val="11"/>
      </w:numPr>
      <w:contextualSpacing/>
    </w:pPr>
  </w:style>
  <w:style w:type="paragraph" w:customStyle="1" w:styleId="FixListStyle">
    <w:name w:val="FixListStyle"/>
    <w:basedOn w:val="Normal"/>
    <w:uiPriority w:val="99"/>
    <w:qFormat/>
    <w:rsid w:val="005743BA"/>
    <w:pPr>
      <w:numPr>
        <w:numId w:val="19"/>
      </w:numPr>
      <w:spacing w:after="480"/>
      <w:ind w:left="0" w:hanging="720"/>
    </w:pPr>
  </w:style>
  <w:style w:type="paragraph" w:customStyle="1" w:styleId="CatchwordsBold">
    <w:name w:val="Catchwords Bold"/>
    <w:basedOn w:val="Normal"/>
    <w:link w:val="CatchwordsBoldChar"/>
    <w:qFormat/>
    <w:rsid w:val="005743BA"/>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5743BA"/>
    <w:rPr>
      <w:rFonts w:ascii="Times New Roman" w:hAnsi="Times New Roman"/>
      <w:b/>
      <w:szCs w:val="20"/>
    </w:rPr>
  </w:style>
  <w:style w:type="paragraph" w:customStyle="1" w:styleId="CatchwordsRight">
    <w:name w:val="Catchwords Right"/>
    <w:basedOn w:val="Normal"/>
    <w:link w:val="CatchwordsRightChar"/>
    <w:qFormat/>
    <w:rsid w:val="005743BA"/>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5743BA"/>
    <w:rPr>
      <w:rFonts w:ascii="Times New Roman" w:hAnsi="Times New Roman"/>
      <w:szCs w:val="20"/>
    </w:rPr>
  </w:style>
  <w:style w:type="paragraph" w:customStyle="1" w:styleId="CatchwordsText">
    <w:name w:val="Catchwords Text"/>
    <w:basedOn w:val="Normal"/>
    <w:link w:val="CatchwordsTextChar"/>
    <w:qFormat/>
    <w:rsid w:val="005743BA"/>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5743BA"/>
    <w:rPr>
      <w:rFonts w:ascii="Times New Roman" w:hAnsi="Times New Roman"/>
      <w:szCs w:val="20"/>
    </w:rPr>
  </w:style>
  <w:style w:type="paragraph" w:customStyle="1" w:styleId="CenteredBorder">
    <w:name w:val="Centered Border"/>
    <w:qFormat/>
    <w:rsid w:val="005743BA"/>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5743BA"/>
    <w:pPr>
      <w:jc w:val="center"/>
    </w:pPr>
    <w:rPr>
      <w:rFonts w:ascii="Times New Roman" w:hAnsi="Times New Roman"/>
      <w:b/>
      <w:bCs/>
      <w:szCs w:val="20"/>
      <w:lang w:val="en-GB"/>
    </w:rPr>
  </w:style>
  <w:style w:type="character" w:customStyle="1" w:styleId="OrderCentred">
    <w:name w:val="Order Centred"/>
    <w:semiHidden/>
    <w:rsid w:val="005743BA"/>
    <w:rPr>
      <w:b/>
      <w:bCs/>
      <w:sz w:val="26"/>
    </w:rPr>
  </w:style>
  <w:style w:type="paragraph" w:customStyle="1" w:styleId="OrdersTopLine">
    <w:name w:val="Orders TopLine"/>
    <w:qFormat/>
    <w:rsid w:val="005743BA"/>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5743BA"/>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5743BA"/>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5743BA"/>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5743BA"/>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5743BA"/>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5743BA"/>
    <w:rPr>
      <w:rFonts w:ascii="Times New Roman" w:hAnsi="Times New Roman"/>
      <w:i/>
      <w:lang w:eastAsia="en-US"/>
    </w:rPr>
  </w:style>
  <w:style w:type="paragraph" w:customStyle="1" w:styleId="OrdersIndentLevel2i">
    <w:name w:val="Orders Indent Level 2 (i)"/>
    <w:basedOn w:val="Normal"/>
    <w:link w:val="OrdersIndentLevel2iChar"/>
    <w:qFormat/>
    <w:rsid w:val="005743BA"/>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5743BA"/>
    <w:rPr>
      <w:rFonts w:ascii="Times New Roman" w:hAnsi="Times New Roman"/>
      <w:i/>
      <w:lang w:eastAsia="en-US"/>
    </w:rPr>
  </w:style>
  <w:style w:type="paragraph" w:customStyle="1" w:styleId="OrdersMatter">
    <w:name w:val="Orders Matter"/>
    <w:basedOn w:val="OrderCentreBold"/>
    <w:link w:val="OrdersMatterChar"/>
    <w:qFormat/>
    <w:rsid w:val="005743BA"/>
  </w:style>
  <w:style w:type="character" w:customStyle="1" w:styleId="OrdersMatterChar">
    <w:name w:val="Orders Matter Char"/>
    <w:link w:val="OrdersMatter"/>
    <w:rsid w:val="005743BA"/>
    <w:rPr>
      <w:rFonts w:ascii="Times New Roman" w:hAnsi="Times New Roman"/>
      <w:b/>
      <w:bCs/>
      <w:szCs w:val="20"/>
      <w:lang w:val="en-GB"/>
    </w:rPr>
  </w:style>
  <w:style w:type="paragraph" w:customStyle="1" w:styleId="OrdersNotice">
    <w:name w:val="Orders Notice"/>
    <w:rsid w:val="005743BA"/>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5743BA"/>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5743BA"/>
    <w:rPr>
      <w:rFonts w:ascii="Times New Roman" w:hAnsi="Times New Roman"/>
      <w:szCs w:val="20"/>
      <w:lang w:eastAsia="en-US"/>
    </w:rPr>
  </w:style>
  <w:style w:type="paragraph" w:customStyle="1" w:styleId="OrdersText">
    <w:name w:val="Orders Text"/>
    <w:basedOn w:val="Normal"/>
    <w:link w:val="OrdersTextChar"/>
    <w:qFormat/>
    <w:rsid w:val="005743BA"/>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5743BA"/>
    <w:rPr>
      <w:rFonts w:ascii="Times New Roman" w:hAnsi="Times New Roman"/>
      <w:i/>
      <w:lang w:eastAsia="en-US"/>
    </w:rPr>
  </w:style>
  <w:style w:type="paragraph" w:customStyle="1" w:styleId="OrdersCenteredBorder">
    <w:name w:val="Orders Centered Border"/>
    <w:qFormat/>
    <w:rsid w:val="005743BA"/>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5743BA"/>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5743BA"/>
    <w:rPr>
      <w:rFonts w:ascii="Times New Roman" w:hAnsi="Times New Roman"/>
      <w:szCs w:val="20"/>
    </w:rPr>
  </w:style>
  <w:style w:type="paragraph" w:customStyle="1" w:styleId="LRHangingafterHC">
    <w:name w:val="LR Hanging after HC"/>
    <w:basedOn w:val="Normal"/>
    <w:next w:val="LeftrightHanging"/>
    <w:uiPriority w:val="99"/>
    <w:qFormat/>
    <w:rsid w:val="005743BA"/>
    <w:pPr>
      <w:spacing w:before="720" w:line="240" w:lineRule="exact"/>
      <w:ind w:left="1440" w:right="794" w:hanging="720"/>
    </w:pPr>
  </w:style>
  <w:style w:type="paragraph" w:styleId="Revision">
    <w:name w:val="Revision"/>
    <w:hidden/>
    <w:uiPriority w:val="99"/>
    <w:semiHidden/>
    <w:rsid w:val="00EE04B4"/>
  </w:style>
  <w:style w:type="character" w:styleId="CommentReference">
    <w:name w:val="annotation reference"/>
    <w:basedOn w:val="DefaultParagraphFont"/>
    <w:uiPriority w:val="99"/>
    <w:semiHidden/>
    <w:unhideWhenUsed/>
    <w:locked/>
    <w:rsid w:val="0045070C"/>
    <w:rPr>
      <w:sz w:val="16"/>
      <w:szCs w:val="16"/>
    </w:rPr>
  </w:style>
  <w:style w:type="paragraph" w:styleId="CommentText">
    <w:name w:val="annotation text"/>
    <w:basedOn w:val="Normal"/>
    <w:link w:val="CommentTextChar"/>
    <w:uiPriority w:val="99"/>
    <w:unhideWhenUsed/>
    <w:locked/>
    <w:rsid w:val="0045070C"/>
    <w:pPr>
      <w:spacing w:line="240" w:lineRule="auto"/>
    </w:pPr>
    <w:rPr>
      <w:sz w:val="20"/>
      <w:szCs w:val="20"/>
    </w:rPr>
  </w:style>
  <w:style w:type="character" w:customStyle="1" w:styleId="CommentTextChar">
    <w:name w:val="Comment Text Char"/>
    <w:basedOn w:val="DefaultParagraphFont"/>
    <w:link w:val="CommentText"/>
    <w:uiPriority w:val="99"/>
    <w:rsid w:val="0045070C"/>
    <w:rPr>
      <w:sz w:val="20"/>
      <w:szCs w:val="20"/>
    </w:rPr>
  </w:style>
  <w:style w:type="paragraph" w:styleId="CommentSubject">
    <w:name w:val="annotation subject"/>
    <w:basedOn w:val="CommentText"/>
    <w:next w:val="CommentText"/>
    <w:link w:val="CommentSubjectChar"/>
    <w:uiPriority w:val="99"/>
    <w:semiHidden/>
    <w:unhideWhenUsed/>
    <w:locked/>
    <w:rsid w:val="0045070C"/>
    <w:rPr>
      <w:b/>
      <w:bCs/>
    </w:rPr>
  </w:style>
  <w:style w:type="character" w:customStyle="1" w:styleId="CommentSubjectChar">
    <w:name w:val="Comment Subject Char"/>
    <w:basedOn w:val="CommentTextChar"/>
    <w:link w:val="CommentSubject"/>
    <w:uiPriority w:val="99"/>
    <w:semiHidden/>
    <w:rsid w:val="0045070C"/>
    <w:rPr>
      <w:b/>
      <w:bCs/>
      <w:sz w:val="20"/>
      <w:szCs w:val="20"/>
    </w:rPr>
  </w:style>
  <w:style w:type="character" w:customStyle="1" w:styleId="FootnoteTextChar">
    <w:name w:val="Footnote Text Char"/>
    <w:basedOn w:val="DefaultParagraphFont"/>
    <w:link w:val="FootnoteText"/>
    <w:uiPriority w:val="53"/>
    <w:rsid w:val="00AA57DC"/>
  </w:style>
  <w:style w:type="paragraph" w:customStyle="1" w:styleId="Body">
    <w:name w:val="Body"/>
    <w:basedOn w:val="Normal"/>
    <w:qFormat/>
    <w:rsid w:val="00FF6B2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FF6B2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FF6B25"/>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FF6B25"/>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FF6B25"/>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FF6B25"/>
    <w:pPr>
      <w:jc w:val="center"/>
    </w:pPr>
    <w:rPr>
      <w:rFonts w:ascii="Times New Roman" w:hAnsi="Times New Roman"/>
      <w:bCs/>
      <w:szCs w:val="20"/>
      <w:lang w:val="en-GB"/>
    </w:rPr>
  </w:style>
  <w:style w:type="paragraph" w:customStyle="1" w:styleId="Default">
    <w:name w:val="Default"/>
    <w:rsid w:val="00FF6B25"/>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3cc3f26d-d9cc-46f3-89c7-f1482de8c8f1"/>
    <ds:schemaRef ds:uri="cbc5b7fd-636f-49ec-b8cc-eb8a3f2ba19e"/>
  </ds:schemaRefs>
</ds:datastoreItem>
</file>

<file path=customXml/itemProps3.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4.xml><?xml version="1.0" encoding="utf-8"?>
<ds:datastoreItem xmlns:ds="http://schemas.openxmlformats.org/officeDocument/2006/customXml" ds:itemID="{B20FCA15-04A6-4A87-966F-D42362FB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39</Pages>
  <Words>12785</Words>
  <Characters>63542</Characters>
  <Application>Microsoft Office Word</Application>
  <DocSecurity>0</DocSecurity>
  <Lines>1095</Lines>
  <Paragraphs>212</Paragraphs>
  <ScaleCrop>false</ScaleCrop>
  <Company/>
  <LinksUpToDate>false</LinksUpToDate>
  <CharactersWithSpaces>76115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2026-05-11T05:24:00Z</dcterms:created>
  <dcterms:modified xsi:type="dcterms:W3CDTF">2026-05-12T22:46:00Z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