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034E" w14:textId="77777777" w:rsidR="00C54135" w:rsidRPr="00704FF8" w:rsidRDefault="00C54135" w:rsidP="00704FF8">
      <w:pPr>
        <w:pStyle w:val="OrdersTopLine"/>
      </w:pPr>
      <w:r w:rsidRPr="00704FF8">
        <w:t>HIGH COURT OF AUSTRALIA</w:t>
      </w:r>
    </w:p>
    <w:p w14:paraId="59098A3F" w14:textId="77777777" w:rsidR="00C54135" w:rsidRPr="00704FF8" w:rsidRDefault="00C54135" w:rsidP="00704FF8">
      <w:pPr>
        <w:pStyle w:val="OrderCentre"/>
      </w:pPr>
    </w:p>
    <w:p w14:paraId="5E097497" w14:textId="77777777" w:rsidR="00C54135" w:rsidRPr="00C46004" w:rsidRDefault="00C54135" w:rsidP="00704FF8">
      <w:pPr>
        <w:pStyle w:val="OrderCentre"/>
        <w:rPr>
          <w:spacing w:val="-4"/>
          <w:sz w:val="24"/>
          <w:szCs w:val="24"/>
        </w:rPr>
      </w:pPr>
      <w:r w:rsidRPr="00C46004">
        <w:rPr>
          <w:spacing w:val="-4"/>
          <w:sz w:val="24"/>
          <w:szCs w:val="24"/>
        </w:rPr>
        <w:t>GAGELER CJ,</w:t>
      </w:r>
    </w:p>
    <w:p w14:paraId="2BCABFAA" w14:textId="77777777" w:rsidR="00C54135" w:rsidRPr="00704FF8" w:rsidRDefault="00C54135"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1C27AB6F" w14:textId="77777777" w:rsidR="00C54135" w:rsidRPr="00427F3A" w:rsidRDefault="00C54135" w:rsidP="00EE5374">
      <w:pPr>
        <w:pStyle w:val="Centre"/>
        <w:rPr>
          <w:lang w:val="en-AU"/>
        </w:rPr>
      </w:pPr>
    </w:p>
    <w:p w14:paraId="38E89086" w14:textId="77777777" w:rsidR="00C54135" w:rsidRPr="00704FF8" w:rsidRDefault="00C54135" w:rsidP="00704FF8">
      <w:pPr>
        <w:pStyle w:val="OrdersCenteredBorder"/>
      </w:pPr>
    </w:p>
    <w:p w14:paraId="4CFD3E4B" w14:textId="77777777" w:rsidR="00C54135" w:rsidRPr="00704FF8" w:rsidRDefault="00C54135" w:rsidP="0032341F">
      <w:pPr>
        <w:pStyle w:val="OrdersBodyHeading"/>
      </w:pPr>
    </w:p>
    <w:p w14:paraId="2A4BA661" w14:textId="77777777" w:rsidR="00C54135" w:rsidRPr="0032341F" w:rsidRDefault="00C54135" w:rsidP="009362E8">
      <w:pPr>
        <w:pStyle w:val="OrdersPartyName"/>
        <w:ind w:right="-1"/>
      </w:pPr>
      <w:r w:rsidRPr="00493131">
        <w:t>OLEG VLADIMIROVICH DERIPASKA</w:t>
      </w:r>
      <w:r w:rsidRPr="0032341F">
        <w:tab/>
        <w:t>APPELLANT</w:t>
      </w:r>
    </w:p>
    <w:p w14:paraId="333A96A1" w14:textId="77777777" w:rsidR="00C54135" w:rsidRPr="0032341F" w:rsidRDefault="00C54135" w:rsidP="009362E8">
      <w:pPr>
        <w:pStyle w:val="OrdersPartyName"/>
        <w:ind w:right="-1"/>
      </w:pPr>
    </w:p>
    <w:p w14:paraId="69B16B96" w14:textId="77777777" w:rsidR="00C54135" w:rsidRPr="0032341F" w:rsidRDefault="00C54135" w:rsidP="009362E8">
      <w:pPr>
        <w:pStyle w:val="OrdersPartyName"/>
        <w:ind w:right="-1"/>
      </w:pPr>
      <w:r w:rsidRPr="0032341F">
        <w:t>AND</w:t>
      </w:r>
    </w:p>
    <w:p w14:paraId="5679562C" w14:textId="77777777" w:rsidR="00C54135" w:rsidRPr="0032341F" w:rsidRDefault="00C54135" w:rsidP="009362E8">
      <w:pPr>
        <w:pStyle w:val="OrdersPartyName"/>
        <w:ind w:right="-1"/>
      </w:pPr>
    </w:p>
    <w:p w14:paraId="07EBB96B" w14:textId="77777777" w:rsidR="00C54135" w:rsidRPr="0032341F" w:rsidRDefault="00C54135" w:rsidP="009362E8">
      <w:pPr>
        <w:pStyle w:val="OrdersPartyName"/>
        <w:ind w:right="-1"/>
      </w:pPr>
      <w:r w:rsidRPr="00493131">
        <w:t>MINISTER FOR FOREIGN AFFAIRS</w:t>
      </w:r>
      <w:r w:rsidRPr="0032341F">
        <w:tab/>
        <w:t>RESPONDENT</w:t>
      </w:r>
    </w:p>
    <w:p w14:paraId="7934F2C4" w14:textId="77777777" w:rsidR="00C54135" w:rsidRPr="00427F3A" w:rsidRDefault="00C54135" w:rsidP="00AF0A5E">
      <w:pPr>
        <w:pStyle w:val="BodyHeading"/>
      </w:pPr>
    </w:p>
    <w:p w14:paraId="7F52528B" w14:textId="77777777" w:rsidR="00C54135" w:rsidRPr="00427F3A" w:rsidRDefault="00C54135" w:rsidP="00BE0A6C">
      <w:pPr>
        <w:pStyle w:val="BodyHeading"/>
      </w:pPr>
    </w:p>
    <w:p w14:paraId="14359CC1" w14:textId="77777777" w:rsidR="00C54135" w:rsidRPr="00427F3A" w:rsidRDefault="00C54135" w:rsidP="00EE5374">
      <w:pPr>
        <w:pStyle w:val="CentreItalics"/>
      </w:pPr>
      <w:r w:rsidRPr="00F7191E">
        <w:t>Deripaska v Minister for Foreign Affairs</w:t>
      </w:r>
    </w:p>
    <w:p w14:paraId="67CB4E22" w14:textId="77777777" w:rsidR="00C54135" w:rsidRPr="00427F3A" w:rsidRDefault="00C54135" w:rsidP="00E90E4F">
      <w:pPr>
        <w:pStyle w:val="OrdersCentre"/>
      </w:pPr>
      <w:r>
        <w:t>[2026</w:t>
      </w:r>
      <w:r w:rsidRPr="00427F3A">
        <w:t xml:space="preserve">] HCA </w:t>
      </w:r>
      <w:r>
        <w:t>14</w:t>
      </w:r>
    </w:p>
    <w:p w14:paraId="7D816D20" w14:textId="77777777" w:rsidR="00C54135" w:rsidRDefault="00C54135" w:rsidP="00E90E4F">
      <w:pPr>
        <w:pStyle w:val="OrdersCentreItalics"/>
      </w:pPr>
      <w:r>
        <w:t xml:space="preserve">Date of Hearing: </w:t>
      </w:r>
      <w:r w:rsidRPr="00493131">
        <w:t>12 November 2025</w:t>
      </w:r>
    </w:p>
    <w:p w14:paraId="694471B6" w14:textId="77777777" w:rsidR="00C54135" w:rsidRPr="00427F3A" w:rsidRDefault="00C54135" w:rsidP="00E90E4F">
      <w:pPr>
        <w:pStyle w:val="OrdersCentreItalics"/>
      </w:pPr>
      <w:r>
        <w:t>Date of Judgment: 13 May 2026</w:t>
      </w:r>
    </w:p>
    <w:p w14:paraId="01CB5486" w14:textId="77777777" w:rsidR="00C54135" w:rsidRDefault="00C54135" w:rsidP="00E90E4F">
      <w:pPr>
        <w:pStyle w:val="OrdersCentre"/>
      </w:pPr>
      <w:r w:rsidRPr="00F7191E">
        <w:t>P34/2025</w:t>
      </w:r>
    </w:p>
    <w:p w14:paraId="70764064" w14:textId="77777777" w:rsidR="00C54135" w:rsidRPr="00427F3A" w:rsidRDefault="00C54135" w:rsidP="00E90E4F">
      <w:pPr>
        <w:pStyle w:val="OrdersCentre"/>
      </w:pPr>
    </w:p>
    <w:p w14:paraId="03912083" w14:textId="77777777" w:rsidR="00C54135" w:rsidRPr="00BE0A6C" w:rsidRDefault="00C54135" w:rsidP="00E90E4F">
      <w:pPr>
        <w:pStyle w:val="OrderCentreBold"/>
      </w:pPr>
      <w:r w:rsidRPr="00BE0A6C">
        <w:t>ORDER</w:t>
      </w:r>
    </w:p>
    <w:p w14:paraId="71990672" w14:textId="77777777" w:rsidR="00C54135" w:rsidRPr="00427F3A" w:rsidRDefault="00C54135" w:rsidP="00736C52">
      <w:pPr>
        <w:pStyle w:val="Centre"/>
        <w:rPr>
          <w:lang w:val="en-AU"/>
        </w:rPr>
      </w:pPr>
    </w:p>
    <w:p w14:paraId="169940D9" w14:textId="77777777" w:rsidR="00C54135" w:rsidRPr="009470E0" w:rsidRDefault="00C54135" w:rsidP="00CE7CEB">
      <w:pPr>
        <w:pStyle w:val="OrdersText"/>
      </w:pPr>
      <w:r>
        <w:t>Appeal dismissed with costs.</w:t>
      </w:r>
    </w:p>
    <w:p w14:paraId="10597B02" w14:textId="77777777" w:rsidR="00C54135" w:rsidRDefault="00C54135" w:rsidP="00EE5374">
      <w:pPr>
        <w:pStyle w:val="Body"/>
      </w:pPr>
    </w:p>
    <w:p w14:paraId="53D0BBB7" w14:textId="77777777" w:rsidR="00C54135" w:rsidRPr="00427F3A" w:rsidRDefault="00C54135" w:rsidP="0032341F">
      <w:pPr>
        <w:pStyle w:val="OrdersBody"/>
      </w:pPr>
      <w:r w:rsidRPr="00427F3A">
        <w:t xml:space="preserve">On appeal from the </w:t>
      </w:r>
      <w:r w:rsidRPr="00F7191E">
        <w:t>Federal Court of Australia</w:t>
      </w:r>
    </w:p>
    <w:p w14:paraId="09BE39F8" w14:textId="77777777" w:rsidR="00C54135" w:rsidRDefault="00C54135" w:rsidP="00EE5374">
      <w:pPr>
        <w:pStyle w:val="Body"/>
      </w:pPr>
    </w:p>
    <w:p w14:paraId="61C29471" w14:textId="77777777" w:rsidR="00C54135" w:rsidRPr="00427F3A" w:rsidRDefault="00C54135" w:rsidP="00E90E4F">
      <w:pPr>
        <w:pStyle w:val="OrdersBodyHeading"/>
      </w:pPr>
      <w:r w:rsidRPr="00427F3A">
        <w:t>Representation</w:t>
      </w:r>
    </w:p>
    <w:p w14:paraId="00C5997B" w14:textId="77777777" w:rsidR="00C54135" w:rsidRDefault="00C54135" w:rsidP="00EE5374">
      <w:pPr>
        <w:pStyle w:val="Body"/>
      </w:pPr>
    </w:p>
    <w:p w14:paraId="379DC2C6" w14:textId="77777777" w:rsidR="00C54135" w:rsidRPr="00F7191E" w:rsidRDefault="00C54135" w:rsidP="00E90E4F">
      <w:pPr>
        <w:pStyle w:val="OrdersBody"/>
      </w:pPr>
      <w:r w:rsidRPr="00F7191E">
        <w:t>N C Hutley SC with C C Porter and D A Ward for the appellant (instructed by Pragma Lawyers)</w:t>
      </w:r>
    </w:p>
    <w:p w14:paraId="3A45FD86" w14:textId="77777777" w:rsidR="00C54135" w:rsidRPr="00F7191E" w:rsidRDefault="00C54135" w:rsidP="001B3C97">
      <w:pPr>
        <w:pStyle w:val="Body"/>
      </w:pPr>
    </w:p>
    <w:p w14:paraId="2A1BC995" w14:textId="77777777" w:rsidR="00C54135" w:rsidRPr="00F7191E" w:rsidRDefault="00C54135" w:rsidP="00E90E4F">
      <w:pPr>
        <w:pStyle w:val="OrdersBody"/>
      </w:pPr>
      <w:r w:rsidRPr="00F7191E">
        <w:t xml:space="preserve">S P Donaghue KC, Solicitor-General of the Commonwealth, with B K Lim SC and E C Dunlop for the respondent and </w:t>
      </w:r>
      <w:r>
        <w:t>for</w:t>
      </w:r>
      <w:r w:rsidRPr="00F7191E">
        <w:t xml:space="preserve"> the Attorney-General of the Commonwealth, intervening (instructed by Australian Government Solicitor)</w:t>
      </w:r>
    </w:p>
    <w:p w14:paraId="0711330C" w14:textId="77777777" w:rsidR="00C54135" w:rsidRPr="00F7191E" w:rsidRDefault="00C54135" w:rsidP="00A01277">
      <w:pPr>
        <w:pStyle w:val="Body"/>
      </w:pPr>
    </w:p>
    <w:p w14:paraId="39E005A3" w14:textId="77777777" w:rsidR="00C54135" w:rsidRPr="00F7191E" w:rsidRDefault="00C54135" w:rsidP="00EB2770">
      <w:pPr>
        <w:pStyle w:val="OrdersBody"/>
      </w:pPr>
      <w:r w:rsidRPr="00F7191E">
        <w:t xml:space="preserve">S J Keating SC with M R Salinger </w:t>
      </w:r>
      <w:r>
        <w:t>for</w:t>
      </w:r>
      <w:r w:rsidRPr="00F7191E">
        <w:t xml:space="preserve"> the Attorney-General for the State of Victoria, intervening (instructed by Victorian Government Solicitor)</w:t>
      </w:r>
    </w:p>
    <w:p w14:paraId="6245137B" w14:textId="77777777" w:rsidR="00C54135" w:rsidRDefault="00C54135" w:rsidP="00EE5374">
      <w:pPr>
        <w:pStyle w:val="Body"/>
      </w:pPr>
    </w:p>
    <w:p w14:paraId="44B38ABD" w14:textId="77777777" w:rsidR="00C54135" w:rsidRPr="00427F3A" w:rsidRDefault="00C54135" w:rsidP="00EE5374">
      <w:pPr>
        <w:pStyle w:val="Body"/>
      </w:pPr>
    </w:p>
    <w:p w14:paraId="0F094AA6" w14:textId="77777777" w:rsidR="00C54135" w:rsidRPr="00427F3A" w:rsidRDefault="00C54135" w:rsidP="00F9713B">
      <w:pPr>
        <w:pStyle w:val="Notice"/>
        <w:rPr>
          <w:lang w:val="en-AU"/>
        </w:rPr>
      </w:pPr>
      <w:r w:rsidRPr="00427F3A">
        <w:rPr>
          <w:lang w:val="en-AU"/>
        </w:rPr>
        <w:t>Notice:  This copy of the Court's Reasons for Judgment is subject to formal revision prior to publication in the Commonwealth Law Reports.</w:t>
      </w:r>
    </w:p>
    <w:p w14:paraId="707EE690" w14:textId="7F734F83" w:rsidR="00C54135" w:rsidRDefault="00C541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966F990" w14:textId="77777777" w:rsidR="00542BA7" w:rsidRDefault="00C5413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42BA7" w:rsidSect="00C54135">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62E9B771" w14:textId="77777777" w:rsidR="00542BA7" w:rsidRPr="00094A09" w:rsidRDefault="00542BA7" w:rsidP="00542BA7">
      <w:pPr>
        <w:pStyle w:val="CatchwordsBold"/>
      </w:pPr>
      <w:r w:rsidRPr="00094A09">
        <w:lastRenderedPageBreak/>
        <w:t>CATCHWORDS</w:t>
      </w:r>
    </w:p>
    <w:p w14:paraId="3B2F55E0" w14:textId="77777777" w:rsidR="00542BA7" w:rsidRPr="00094A09" w:rsidRDefault="00542BA7" w:rsidP="00542BA7">
      <w:pPr>
        <w:pStyle w:val="CatchwordsBold"/>
      </w:pPr>
    </w:p>
    <w:p w14:paraId="21FE3477" w14:textId="77777777" w:rsidR="00542BA7" w:rsidRPr="00094A09" w:rsidRDefault="00542BA7" w:rsidP="00542BA7">
      <w:pPr>
        <w:pStyle w:val="CatchwordsBold"/>
      </w:pPr>
      <w:r>
        <w:t>Deripaska v Minister for Foreign Affairs</w:t>
      </w:r>
    </w:p>
    <w:p w14:paraId="302F74A6" w14:textId="77777777" w:rsidR="00542BA7" w:rsidRPr="00542BA7" w:rsidRDefault="00542BA7" w:rsidP="00542BA7">
      <w:pPr>
        <w:pStyle w:val="CatchwordsText"/>
      </w:pPr>
    </w:p>
    <w:p w14:paraId="279ADFB8" w14:textId="77777777" w:rsidR="00542BA7" w:rsidRPr="009F762D" w:rsidRDefault="00542BA7" w:rsidP="00542BA7">
      <w:pPr>
        <w:pStyle w:val="CatchwordsText"/>
      </w:pPr>
      <w:r>
        <w:t xml:space="preserve">Constitutional law (Cth) – Judicial power of Commonwealth – Where </w:t>
      </w:r>
      <w:r>
        <w:rPr>
          <w:i/>
          <w:iCs/>
        </w:rPr>
        <w:t xml:space="preserve">Autonomous Sanctions Act 2011 </w:t>
      </w:r>
      <w:r>
        <w:t xml:space="preserve">(Cth) authorises making of regulations which impose sanctions – Where reg 6(a) of </w:t>
      </w:r>
      <w:r>
        <w:rPr>
          <w:i/>
          <w:iCs/>
        </w:rPr>
        <w:t xml:space="preserve">Autonomous Sanctions Regulations 2011 </w:t>
      </w:r>
      <w:r>
        <w:t xml:space="preserve">(Cth) empowers Minister to "designate" a person – Where designation triggers operation of regs 14 and 15 – Where contravention of reg 14 or 15 constitutes an offence – Where person contravenes reg 14 if person "directly or indirectly makes an asset available to, or for the benefit of, a designated person or entity" – Where person contravenes reg 15 if person "holds a controlled asset" and "uses or deals with the asset" or "allows the asset to be used or dealt with" or "facilitates the use of the asset or dealing with the asset" – Where reg 18 empowers Minister to grant permit authorising conduct that would otherwise contravene reg 14 or 15 – Where appellant was designated under reg 6(a) by legislative instrument – Where Minister granted permit under reg 18 authorising use of assets associated with provision of legal services – Where practical operation of regs 14 and 15 denied designated person access to legal representation absent permit – Where Minister accepted that practical operation impermissibly impaired ability of designated person to invoke jurisdiction of High Court under s 75(v) of </w:t>
      </w:r>
      <w:r>
        <w:rPr>
          <w:i/>
          <w:iCs/>
        </w:rPr>
        <w:t>Constitution</w:t>
      </w:r>
      <w:r>
        <w:t xml:space="preserve"> or Federal Court under s 39B of </w:t>
      </w:r>
      <w:r>
        <w:rPr>
          <w:i/>
          <w:iCs/>
        </w:rPr>
        <w:t xml:space="preserve">Judiciary Act 1903 </w:t>
      </w:r>
      <w:r>
        <w:t xml:space="preserve">(Cth) to enforce limits of decision-making power conferred by or under Act – Whether regs 14 and 15 could be "read and construed" in accordance with s 15A of </w:t>
      </w:r>
      <w:r>
        <w:rPr>
          <w:i/>
          <w:iCs/>
        </w:rPr>
        <w:t xml:space="preserve">Acts Interpretation Act 1901 </w:t>
      </w:r>
      <w:r>
        <w:t xml:space="preserve">(Cth) and s 13 of </w:t>
      </w:r>
      <w:r>
        <w:rPr>
          <w:i/>
          <w:iCs/>
        </w:rPr>
        <w:t xml:space="preserve">Legislation Act 2003 </w:t>
      </w:r>
      <w:r>
        <w:t xml:space="preserve">(Cth) to exclude constitutionally impermissible operation – Whether regulation-making power in Act could be read down to ensure constitutional validity. </w:t>
      </w:r>
    </w:p>
    <w:p w14:paraId="7B856065" w14:textId="77777777" w:rsidR="00542BA7" w:rsidRPr="00542BA7" w:rsidRDefault="00542BA7" w:rsidP="00542BA7">
      <w:pPr>
        <w:pStyle w:val="CatchwordsText"/>
      </w:pPr>
    </w:p>
    <w:p w14:paraId="46CFF8A1" w14:textId="77777777" w:rsidR="00542BA7" w:rsidRPr="00E15E41" w:rsidRDefault="00542BA7" w:rsidP="00542BA7">
      <w:pPr>
        <w:pStyle w:val="CatchwordsText"/>
      </w:pPr>
      <w:r w:rsidRPr="00E15E41">
        <w:t>Words and phrases –</w:t>
      </w:r>
      <w:r>
        <w:t xml:space="preserve"> "access to legal advice", "access to legal representation", "application of meaning", "artificial construction", "ascertainment of meaning", "autonomous sanctions", "Ch III court", "chilling effect", "clear constitutional limitation", "composite hypothetical question", "conforming interpretation", "constructional imperative", "contingent operation", "contrary intention", "declared person", "designated person or entity", "disapplication", "distributive application", "entrenched jurisdiction", "institutional integrity", "interpersonal justice", "invalid application", "judicial power", "judicial restraint", "legislative act", "liberty to obtain legal services", "manifest injustice", "meaning and application", "ministerial permit", "partial disapplication", "practical operation", "prudential approach", "read and construed", "read down", "regulation-making power", "rights and freedoms", "rule of law", "severable", "severance clause", "standard, criterion or test", "statutory construction", "substantial curtailment", "targeted financial sanctions".</w:t>
      </w:r>
    </w:p>
    <w:p w14:paraId="33820EBB" w14:textId="77777777" w:rsidR="00542BA7" w:rsidRDefault="00542BA7" w:rsidP="00542BA7">
      <w:pPr>
        <w:pStyle w:val="CatchwordsText"/>
      </w:pPr>
    </w:p>
    <w:p w14:paraId="45798EE2" w14:textId="77777777" w:rsidR="00542BA7" w:rsidRDefault="00542BA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iCs/>
          <w:szCs w:val="20"/>
        </w:rPr>
      </w:pPr>
      <w:r>
        <w:rPr>
          <w:i/>
          <w:iCs/>
        </w:rPr>
        <w:br w:type="page"/>
      </w:r>
    </w:p>
    <w:p w14:paraId="2543D79D" w14:textId="77777777" w:rsidR="00542BA7" w:rsidRDefault="00542BA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iCs/>
          <w:szCs w:val="20"/>
        </w:rPr>
      </w:pPr>
      <w:r>
        <w:rPr>
          <w:i/>
          <w:iCs/>
        </w:rPr>
        <w:lastRenderedPageBreak/>
        <w:br w:type="page"/>
      </w:r>
    </w:p>
    <w:p w14:paraId="1F7BF866" w14:textId="636B4506" w:rsidR="00542BA7" w:rsidRDefault="00542BA7" w:rsidP="00542BA7">
      <w:pPr>
        <w:pStyle w:val="CatchwordsText"/>
      </w:pPr>
      <w:r w:rsidRPr="00D15991">
        <w:rPr>
          <w:i/>
          <w:iCs/>
        </w:rPr>
        <w:lastRenderedPageBreak/>
        <w:t>Constitution</w:t>
      </w:r>
      <w:r>
        <w:t>, ss 75(iii), 75(v), 77, Ch III.</w:t>
      </w:r>
    </w:p>
    <w:p w14:paraId="71F51A13" w14:textId="77777777" w:rsidR="00542BA7" w:rsidRPr="00FC2C8B" w:rsidRDefault="00542BA7" w:rsidP="00542BA7">
      <w:pPr>
        <w:pStyle w:val="CatchwordsText"/>
      </w:pPr>
      <w:r w:rsidRPr="00542BA7">
        <w:rPr>
          <w:i/>
          <w:iCs/>
        </w:rPr>
        <w:t>Constitution Act 1867</w:t>
      </w:r>
      <w:r>
        <w:t xml:space="preserve"> (Can), s 96.</w:t>
      </w:r>
    </w:p>
    <w:p w14:paraId="62F62D82" w14:textId="77777777" w:rsidR="00542BA7" w:rsidRPr="00940A5D" w:rsidRDefault="00542BA7" w:rsidP="00542BA7">
      <w:pPr>
        <w:pStyle w:val="CatchwordsText"/>
      </w:pPr>
      <w:r w:rsidRPr="00542BA7">
        <w:rPr>
          <w:i/>
          <w:iCs/>
        </w:rPr>
        <w:t>Acts Interpretation Act 1901</w:t>
      </w:r>
      <w:r>
        <w:t xml:space="preserve"> (Cth), ss 2, 15A, 15AA, 33.</w:t>
      </w:r>
    </w:p>
    <w:p w14:paraId="193CAF91" w14:textId="77777777" w:rsidR="00542BA7" w:rsidRPr="00FD03B5" w:rsidRDefault="00542BA7" w:rsidP="00542BA7">
      <w:pPr>
        <w:pStyle w:val="CatchwordsText"/>
      </w:pPr>
      <w:r>
        <w:rPr>
          <w:i/>
          <w:iCs/>
        </w:rPr>
        <w:t xml:space="preserve">Autonomous Sanctions Act 2011 </w:t>
      </w:r>
      <w:r>
        <w:t xml:space="preserve">(Cth), ss 3, 4, 6, 10, 14, 16, 28. </w:t>
      </w:r>
    </w:p>
    <w:p w14:paraId="48281143" w14:textId="77777777" w:rsidR="00542BA7" w:rsidRDefault="00542BA7" w:rsidP="00542BA7">
      <w:pPr>
        <w:pStyle w:val="CatchwordsText"/>
      </w:pPr>
      <w:r w:rsidRPr="00542BA7">
        <w:rPr>
          <w:i/>
          <w:iCs/>
        </w:rPr>
        <w:t>Autonomous Sanctions Regulations 2011</w:t>
      </w:r>
      <w:r>
        <w:t xml:space="preserve"> (Cth), regs 3, 6, 14, 15, 18. </w:t>
      </w:r>
    </w:p>
    <w:p w14:paraId="442B0B09" w14:textId="77777777" w:rsidR="00542BA7" w:rsidRPr="00940A5D" w:rsidRDefault="00542BA7" w:rsidP="00542BA7">
      <w:pPr>
        <w:pStyle w:val="CatchwordsText"/>
      </w:pPr>
      <w:r w:rsidRPr="00542BA7">
        <w:rPr>
          <w:i/>
          <w:iCs/>
        </w:rPr>
        <w:t>Judiciary Act 1903</w:t>
      </w:r>
      <w:r>
        <w:t xml:space="preserve"> (Cth), s 39B.</w:t>
      </w:r>
    </w:p>
    <w:p w14:paraId="05BE45E3" w14:textId="5C408272" w:rsidR="00C54135" w:rsidRDefault="00542BA7" w:rsidP="00542BA7">
      <w:pPr>
        <w:pStyle w:val="CatchwordsText"/>
      </w:pPr>
      <w:r w:rsidRPr="00542BA7">
        <w:rPr>
          <w:i/>
          <w:iCs/>
        </w:rPr>
        <w:t>Legislation Act 2003</w:t>
      </w:r>
      <w:r>
        <w:t xml:space="preserve"> (Cth), s 13.</w:t>
      </w:r>
    </w:p>
    <w:p w14:paraId="5E97AF04" w14:textId="53DBA607" w:rsidR="00542BA7" w:rsidRDefault="00542BA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C7D3D4D" w14:textId="5BA575E2" w:rsidR="00542BA7" w:rsidRDefault="00542BA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75A840CE" w14:textId="77777777" w:rsidR="00C54135" w:rsidRDefault="00C54135" w:rsidP="007A11CE">
      <w:pPr>
        <w:pStyle w:val="FixListStyle"/>
        <w:tabs>
          <w:tab w:val="clear" w:pos="720"/>
          <w:tab w:val="left" w:pos="0"/>
        </w:tabs>
        <w:spacing w:after="260" w:line="280" w:lineRule="exact"/>
        <w:ind w:right="0"/>
        <w:jc w:val="both"/>
        <w:rPr>
          <w:rFonts w:ascii="Times New Roman" w:hAnsi="Times New Roman"/>
        </w:rPr>
        <w:sectPr w:rsidR="00C54135" w:rsidSect="00542BA7">
          <w:pgSz w:w="11907" w:h="16839" w:code="9"/>
          <w:pgMar w:top="1440" w:right="1701" w:bottom="1984" w:left="1701" w:header="720" w:footer="720" w:gutter="0"/>
          <w:pgNumType w:start="1"/>
          <w:cols w:space="720"/>
          <w:titlePg/>
          <w:docGrid w:linePitch="354"/>
        </w:sectPr>
      </w:pPr>
    </w:p>
    <w:p w14:paraId="58A105C4" w14:textId="3BF2608A" w:rsidR="00D015BE" w:rsidRPr="007A11CE" w:rsidRDefault="007A11CE" w:rsidP="007A11CE">
      <w:pPr>
        <w:pStyle w:val="FixListStyle"/>
        <w:tabs>
          <w:tab w:val="clear" w:pos="720"/>
          <w:tab w:val="left" w:pos="0"/>
        </w:tabs>
        <w:spacing w:after="260" w:line="280" w:lineRule="exact"/>
        <w:ind w:right="0"/>
        <w:jc w:val="both"/>
        <w:rPr>
          <w:rFonts w:ascii="Times New Roman" w:hAnsi="Times New Roman"/>
        </w:rPr>
      </w:pPr>
      <w:r w:rsidRPr="007A11CE">
        <w:rPr>
          <w:rFonts w:ascii="Times New Roman" w:hAnsi="Times New Roman"/>
        </w:rPr>
        <w:lastRenderedPageBreak/>
        <w:t>GAGELER CJ</w:t>
      </w:r>
      <w:r w:rsidR="00240770">
        <w:rPr>
          <w:rFonts w:ascii="Times New Roman" w:hAnsi="Times New Roman"/>
        </w:rPr>
        <w:t>,</w:t>
      </w:r>
      <w:r w:rsidRPr="007A11CE">
        <w:rPr>
          <w:rFonts w:ascii="Times New Roman" w:hAnsi="Times New Roman"/>
        </w:rPr>
        <w:t xml:space="preserve"> GLEESON</w:t>
      </w:r>
      <w:r w:rsidR="00240770">
        <w:rPr>
          <w:rFonts w:ascii="Times New Roman" w:hAnsi="Times New Roman"/>
        </w:rPr>
        <w:t xml:space="preserve"> AND JAGOT</w:t>
      </w:r>
      <w:r w:rsidRPr="007A11CE">
        <w:rPr>
          <w:rFonts w:ascii="Times New Roman" w:hAnsi="Times New Roman"/>
        </w:rPr>
        <w:t> </w:t>
      </w:r>
      <w:r w:rsidR="00240770">
        <w:rPr>
          <w:rFonts w:ascii="Times New Roman" w:hAnsi="Times New Roman"/>
        </w:rPr>
        <w:t>J</w:t>
      </w:r>
      <w:r w:rsidRPr="007A11CE">
        <w:rPr>
          <w:rFonts w:ascii="Times New Roman" w:hAnsi="Times New Roman"/>
        </w:rPr>
        <w:t xml:space="preserve">J.   </w:t>
      </w:r>
      <w:r w:rsidR="00CB1B0B" w:rsidRPr="007A11CE">
        <w:rPr>
          <w:rFonts w:ascii="Times New Roman" w:hAnsi="Times New Roman"/>
        </w:rPr>
        <w:t xml:space="preserve">The appellant </w:t>
      </w:r>
      <w:r w:rsidR="00573F85" w:rsidRPr="007A11CE">
        <w:rPr>
          <w:rFonts w:ascii="Times New Roman" w:hAnsi="Times New Roman"/>
        </w:rPr>
        <w:t xml:space="preserve">is a </w:t>
      </w:r>
      <w:r w:rsidR="000420AC" w:rsidRPr="007A11CE">
        <w:rPr>
          <w:rFonts w:ascii="Times New Roman" w:hAnsi="Times New Roman"/>
        </w:rPr>
        <w:t xml:space="preserve">Russian </w:t>
      </w:r>
      <w:r w:rsidR="00D42639" w:rsidRPr="007A11CE">
        <w:rPr>
          <w:rFonts w:ascii="Times New Roman" w:hAnsi="Times New Roman"/>
        </w:rPr>
        <w:t xml:space="preserve">national </w:t>
      </w:r>
      <w:r w:rsidR="009F07F4" w:rsidRPr="007A11CE">
        <w:rPr>
          <w:rFonts w:ascii="Times New Roman" w:hAnsi="Times New Roman"/>
        </w:rPr>
        <w:t>who</w:t>
      </w:r>
      <w:r w:rsidR="00E71D59" w:rsidRPr="007A11CE">
        <w:rPr>
          <w:rFonts w:ascii="Times New Roman" w:hAnsi="Times New Roman"/>
        </w:rPr>
        <w:t>m</w:t>
      </w:r>
      <w:r w:rsidR="009F07F4" w:rsidRPr="007A11CE">
        <w:rPr>
          <w:rFonts w:ascii="Times New Roman" w:hAnsi="Times New Roman"/>
        </w:rPr>
        <w:t xml:space="preserve"> </w:t>
      </w:r>
      <w:r w:rsidR="00C8316C" w:rsidRPr="007A11CE">
        <w:rPr>
          <w:rFonts w:ascii="Times New Roman" w:hAnsi="Times New Roman"/>
        </w:rPr>
        <w:t xml:space="preserve">the Minister for Foreign Affairs </w:t>
      </w:r>
      <w:r w:rsidR="0031488A" w:rsidRPr="007A11CE">
        <w:rPr>
          <w:rFonts w:ascii="Times New Roman" w:hAnsi="Times New Roman"/>
        </w:rPr>
        <w:t xml:space="preserve">has </w:t>
      </w:r>
      <w:r w:rsidR="008D6F43" w:rsidRPr="007A11CE">
        <w:rPr>
          <w:rFonts w:ascii="Times New Roman" w:hAnsi="Times New Roman"/>
        </w:rPr>
        <w:t xml:space="preserve">designated for targeted financial sanctions and </w:t>
      </w:r>
      <w:r w:rsidR="00CE6C11" w:rsidRPr="007A11CE">
        <w:rPr>
          <w:rFonts w:ascii="Times New Roman" w:hAnsi="Times New Roman"/>
        </w:rPr>
        <w:t xml:space="preserve">declared for travel bans </w:t>
      </w:r>
      <w:r w:rsidR="00DB09A8" w:rsidRPr="007A11CE">
        <w:rPr>
          <w:rFonts w:ascii="Times New Roman" w:hAnsi="Times New Roman"/>
        </w:rPr>
        <w:t>by</w:t>
      </w:r>
      <w:r w:rsidR="00E76846" w:rsidRPr="007A11CE">
        <w:rPr>
          <w:rFonts w:ascii="Times New Roman" w:hAnsi="Times New Roman"/>
        </w:rPr>
        <w:t xml:space="preserve"> </w:t>
      </w:r>
      <w:r w:rsidR="00DB09A8" w:rsidRPr="007A11CE">
        <w:rPr>
          <w:rFonts w:ascii="Times New Roman" w:hAnsi="Times New Roman"/>
        </w:rPr>
        <w:t>legislative instrument</w:t>
      </w:r>
      <w:r w:rsidR="00F273B5" w:rsidRPr="007A11CE">
        <w:rPr>
          <w:rStyle w:val="FootnoteReference"/>
          <w:rFonts w:ascii="Times New Roman" w:hAnsi="Times New Roman"/>
          <w:sz w:val="24"/>
        </w:rPr>
        <w:footnoteReference w:id="2"/>
      </w:r>
      <w:r w:rsidR="00A65227" w:rsidRPr="007A11CE">
        <w:rPr>
          <w:rFonts w:ascii="Times New Roman" w:hAnsi="Times New Roman"/>
        </w:rPr>
        <w:t xml:space="preserve"> </w:t>
      </w:r>
      <w:r w:rsidR="00A95181" w:rsidRPr="007A11CE">
        <w:rPr>
          <w:rFonts w:ascii="Times New Roman" w:hAnsi="Times New Roman"/>
        </w:rPr>
        <w:t xml:space="preserve">made </w:t>
      </w:r>
      <w:r w:rsidR="003B4624" w:rsidRPr="007A11CE">
        <w:rPr>
          <w:rFonts w:ascii="Times New Roman" w:hAnsi="Times New Roman"/>
        </w:rPr>
        <w:t xml:space="preserve">under </w:t>
      </w:r>
      <w:r w:rsidR="00DB09A8" w:rsidRPr="007A11CE">
        <w:rPr>
          <w:rFonts w:ascii="Times New Roman" w:hAnsi="Times New Roman"/>
        </w:rPr>
        <w:t xml:space="preserve">the </w:t>
      </w:r>
      <w:r w:rsidR="00DB09A8" w:rsidRPr="007A11CE">
        <w:rPr>
          <w:rFonts w:ascii="Times New Roman" w:hAnsi="Times New Roman"/>
          <w:i/>
          <w:iCs/>
        </w:rPr>
        <w:t>Autonomous Sanctions Regulations 2011</w:t>
      </w:r>
      <w:r w:rsidR="00DB09A8" w:rsidRPr="007A11CE">
        <w:rPr>
          <w:rFonts w:ascii="Times New Roman" w:hAnsi="Times New Roman"/>
        </w:rPr>
        <w:t xml:space="preserve"> (Cth) ("the Regulations")</w:t>
      </w:r>
      <w:r w:rsidR="002575DC" w:rsidRPr="007A11CE">
        <w:rPr>
          <w:rFonts w:ascii="Times New Roman" w:hAnsi="Times New Roman"/>
        </w:rPr>
        <w:t>,</w:t>
      </w:r>
      <w:r w:rsidR="00DB09A8" w:rsidRPr="007A11CE">
        <w:rPr>
          <w:rFonts w:ascii="Times New Roman" w:hAnsi="Times New Roman"/>
        </w:rPr>
        <w:t xml:space="preserve"> </w:t>
      </w:r>
      <w:r w:rsidR="00867F20" w:rsidRPr="007A11CE">
        <w:rPr>
          <w:rFonts w:ascii="Times New Roman" w:hAnsi="Times New Roman"/>
        </w:rPr>
        <w:t xml:space="preserve">which </w:t>
      </w:r>
      <w:r w:rsidR="00EA4F25" w:rsidRPr="007A11CE">
        <w:rPr>
          <w:rFonts w:ascii="Times New Roman" w:hAnsi="Times New Roman"/>
        </w:rPr>
        <w:t>were</w:t>
      </w:r>
      <w:r w:rsidR="00867F20" w:rsidRPr="007A11CE">
        <w:rPr>
          <w:rFonts w:ascii="Times New Roman" w:hAnsi="Times New Roman"/>
        </w:rPr>
        <w:t xml:space="preserve"> in turn </w:t>
      </w:r>
      <w:r w:rsidR="00DB09A8" w:rsidRPr="007A11CE">
        <w:rPr>
          <w:rFonts w:ascii="Times New Roman" w:hAnsi="Times New Roman"/>
        </w:rPr>
        <w:t xml:space="preserve">made under the </w:t>
      </w:r>
      <w:r w:rsidR="00DB09A8" w:rsidRPr="007A11CE">
        <w:rPr>
          <w:rFonts w:ascii="Times New Roman" w:hAnsi="Times New Roman"/>
          <w:i/>
          <w:iCs/>
        </w:rPr>
        <w:t>Autonomous Sanctions Act 2011</w:t>
      </w:r>
      <w:r w:rsidR="00DB09A8" w:rsidRPr="007A11CE">
        <w:rPr>
          <w:rFonts w:ascii="Times New Roman" w:hAnsi="Times New Roman"/>
        </w:rPr>
        <w:t xml:space="preserve"> (Cth) ("the Act")</w:t>
      </w:r>
      <w:r w:rsidR="003B4624" w:rsidRPr="007A11CE">
        <w:rPr>
          <w:rFonts w:ascii="Times New Roman" w:hAnsi="Times New Roman"/>
        </w:rPr>
        <w:t xml:space="preserve">. </w:t>
      </w:r>
    </w:p>
    <w:p w14:paraId="02B659A7" w14:textId="3CA8F4DC" w:rsidR="00225DC6" w:rsidRPr="007A11CE" w:rsidRDefault="00D015BE"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CB59E9" w:rsidRPr="007A11CE">
        <w:rPr>
          <w:rFonts w:ascii="Times New Roman" w:hAnsi="Times New Roman"/>
        </w:rPr>
        <w:t xml:space="preserve">By a proceeding commenced in the Federal Court of Australia under s 39B of the </w:t>
      </w:r>
      <w:r w:rsidR="00CB59E9" w:rsidRPr="007A11CE">
        <w:rPr>
          <w:rFonts w:ascii="Times New Roman" w:hAnsi="Times New Roman"/>
          <w:i/>
          <w:iCs/>
        </w:rPr>
        <w:t>Judiciary Act 1903</w:t>
      </w:r>
      <w:r w:rsidR="00CB59E9" w:rsidRPr="007A11CE">
        <w:rPr>
          <w:rFonts w:ascii="Times New Roman" w:hAnsi="Times New Roman"/>
        </w:rPr>
        <w:t xml:space="preserve"> (Cth)</w:t>
      </w:r>
      <w:r w:rsidR="004158DF" w:rsidRPr="007A11CE">
        <w:rPr>
          <w:rFonts w:ascii="Times New Roman" w:hAnsi="Times New Roman"/>
        </w:rPr>
        <w:t>, t</w:t>
      </w:r>
      <w:r w:rsidR="001F540F" w:rsidRPr="007A11CE">
        <w:rPr>
          <w:rFonts w:ascii="Times New Roman" w:hAnsi="Times New Roman"/>
        </w:rPr>
        <w:t xml:space="preserve">he appellant </w:t>
      </w:r>
      <w:r w:rsidR="0018372F" w:rsidRPr="007A11CE">
        <w:rPr>
          <w:rFonts w:ascii="Times New Roman" w:hAnsi="Times New Roman"/>
        </w:rPr>
        <w:t xml:space="preserve">challenged the </w:t>
      </w:r>
      <w:r w:rsidR="007C78B3" w:rsidRPr="007A11CE">
        <w:rPr>
          <w:rFonts w:ascii="Times New Roman" w:hAnsi="Times New Roman"/>
        </w:rPr>
        <w:t>mak</w:t>
      </w:r>
      <w:r w:rsidR="00767F67" w:rsidRPr="007A11CE">
        <w:rPr>
          <w:rFonts w:ascii="Times New Roman" w:hAnsi="Times New Roman"/>
        </w:rPr>
        <w:t>ing of</w:t>
      </w:r>
      <w:r w:rsidR="003B6C11" w:rsidRPr="007A11CE">
        <w:rPr>
          <w:rFonts w:ascii="Times New Roman" w:hAnsi="Times New Roman"/>
        </w:rPr>
        <w:t xml:space="preserve"> the</w:t>
      </w:r>
      <w:r w:rsidR="0030337E" w:rsidRPr="007A11CE">
        <w:rPr>
          <w:rFonts w:ascii="Times New Roman" w:hAnsi="Times New Roman"/>
        </w:rPr>
        <w:t xml:space="preserve"> </w:t>
      </w:r>
      <w:r w:rsidR="003B6C11" w:rsidRPr="007A11CE">
        <w:rPr>
          <w:rFonts w:ascii="Times New Roman" w:hAnsi="Times New Roman"/>
        </w:rPr>
        <w:t xml:space="preserve">legislative instrument. </w:t>
      </w:r>
      <w:r w:rsidR="00A83374" w:rsidRPr="007A11CE">
        <w:rPr>
          <w:rFonts w:ascii="Times New Roman" w:hAnsi="Times New Roman"/>
        </w:rPr>
        <w:t xml:space="preserve">The proceeding </w:t>
      </w:r>
      <w:r w:rsidR="00E1377B" w:rsidRPr="007A11CE">
        <w:rPr>
          <w:rFonts w:ascii="Times New Roman" w:hAnsi="Times New Roman"/>
        </w:rPr>
        <w:t>was dismissed at first instance by the primary judge (Kennett J)</w:t>
      </w:r>
      <w:r w:rsidR="006746B1" w:rsidRPr="007A11CE">
        <w:rPr>
          <w:rFonts w:ascii="Times New Roman" w:hAnsi="Times New Roman"/>
        </w:rPr>
        <w:t>,</w:t>
      </w:r>
      <w:r w:rsidR="00E1377B" w:rsidRPr="007A11CE">
        <w:rPr>
          <w:rStyle w:val="FootnoteReference"/>
          <w:rFonts w:ascii="Times New Roman" w:hAnsi="Times New Roman"/>
          <w:sz w:val="24"/>
        </w:rPr>
        <w:footnoteReference w:id="3"/>
      </w:r>
      <w:r w:rsidR="00E1377B" w:rsidRPr="007A11CE">
        <w:rPr>
          <w:rFonts w:ascii="Times New Roman" w:hAnsi="Times New Roman"/>
        </w:rPr>
        <w:t xml:space="preserve"> </w:t>
      </w:r>
      <w:r w:rsidR="00767F67" w:rsidRPr="007A11CE">
        <w:rPr>
          <w:rFonts w:ascii="Times New Roman" w:hAnsi="Times New Roman"/>
        </w:rPr>
        <w:t>whose</w:t>
      </w:r>
      <w:r w:rsidR="005C4137" w:rsidRPr="007A11CE">
        <w:rPr>
          <w:rFonts w:ascii="Times New Roman" w:hAnsi="Times New Roman"/>
        </w:rPr>
        <w:t xml:space="preserve"> </w:t>
      </w:r>
      <w:r w:rsidR="00C56F94" w:rsidRPr="007A11CE">
        <w:rPr>
          <w:rFonts w:ascii="Times New Roman" w:hAnsi="Times New Roman"/>
        </w:rPr>
        <w:t xml:space="preserve">decision </w:t>
      </w:r>
      <w:r w:rsidR="00E1377B" w:rsidRPr="007A11CE">
        <w:rPr>
          <w:rFonts w:ascii="Times New Roman" w:hAnsi="Times New Roman"/>
        </w:rPr>
        <w:t>was</w:t>
      </w:r>
      <w:r w:rsidR="006A4A62" w:rsidRPr="007A11CE">
        <w:rPr>
          <w:rFonts w:ascii="Times New Roman" w:hAnsi="Times New Roman"/>
        </w:rPr>
        <w:t xml:space="preserve"> </w:t>
      </w:r>
      <w:r w:rsidR="00E1377B" w:rsidRPr="007A11CE">
        <w:rPr>
          <w:rFonts w:ascii="Times New Roman" w:hAnsi="Times New Roman"/>
        </w:rPr>
        <w:t xml:space="preserve">upheld </w:t>
      </w:r>
      <w:r w:rsidR="006A4A62" w:rsidRPr="007A11CE">
        <w:rPr>
          <w:rFonts w:ascii="Times New Roman" w:hAnsi="Times New Roman"/>
        </w:rPr>
        <w:t xml:space="preserve">on appeal </w:t>
      </w:r>
      <w:r w:rsidR="00E16B9C" w:rsidRPr="007A11CE">
        <w:rPr>
          <w:rFonts w:ascii="Times New Roman" w:hAnsi="Times New Roman"/>
        </w:rPr>
        <w:t>to</w:t>
      </w:r>
      <w:r w:rsidR="006A4A62" w:rsidRPr="007A11CE">
        <w:rPr>
          <w:rFonts w:ascii="Times New Roman" w:hAnsi="Times New Roman"/>
        </w:rPr>
        <w:t xml:space="preserve"> the Full Court of the </w:t>
      </w:r>
      <w:r w:rsidR="00F946BC" w:rsidRPr="007A11CE">
        <w:rPr>
          <w:rFonts w:ascii="Times New Roman" w:hAnsi="Times New Roman"/>
        </w:rPr>
        <w:t>Federal</w:t>
      </w:r>
      <w:r w:rsidR="006A4A62" w:rsidRPr="007A11CE">
        <w:rPr>
          <w:rFonts w:ascii="Times New Roman" w:hAnsi="Times New Roman"/>
        </w:rPr>
        <w:t xml:space="preserve"> Court</w:t>
      </w:r>
      <w:r w:rsidR="00D452D2" w:rsidRPr="007A11CE">
        <w:rPr>
          <w:rFonts w:ascii="Times New Roman" w:hAnsi="Times New Roman"/>
        </w:rPr>
        <w:t xml:space="preserve"> of Australia</w:t>
      </w:r>
      <w:r w:rsidR="006A4A62" w:rsidRPr="007A11CE">
        <w:rPr>
          <w:rFonts w:ascii="Times New Roman" w:hAnsi="Times New Roman"/>
        </w:rPr>
        <w:t xml:space="preserve"> </w:t>
      </w:r>
      <w:r w:rsidR="00F946BC" w:rsidRPr="007A11CE">
        <w:rPr>
          <w:rFonts w:ascii="Times New Roman" w:hAnsi="Times New Roman"/>
        </w:rPr>
        <w:t>(</w:t>
      </w:r>
      <w:r w:rsidR="00C97198" w:rsidRPr="007A11CE">
        <w:rPr>
          <w:rFonts w:ascii="Times New Roman" w:hAnsi="Times New Roman"/>
        </w:rPr>
        <w:t xml:space="preserve">Wigney, Stewart and </w:t>
      </w:r>
      <w:r w:rsidR="00A938F2" w:rsidRPr="007A11CE">
        <w:rPr>
          <w:rFonts w:ascii="Times New Roman" w:hAnsi="Times New Roman"/>
        </w:rPr>
        <w:t xml:space="preserve">Neskovcin </w:t>
      </w:r>
      <w:r w:rsidR="003511C0" w:rsidRPr="007A11CE">
        <w:rPr>
          <w:rFonts w:ascii="Times New Roman" w:hAnsi="Times New Roman"/>
        </w:rPr>
        <w:t>JJ).</w:t>
      </w:r>
      <w:r w:rsidR="003511C0" w:rsidRPr="007A11CE">
        <w:rPr>
          <w:rStyle w:val="FootnoteReference"/>
          <w:rFonts w:ascii="Times New Roman" w:hAnsi="Times New Roman"/>
          <w:sz w:val="24"/>
        </w:rPr>
        <w:footnoteReference w:id="4"/>
      </w:r>
    </w:p>
    <w:p w14:paraId="07CDD95F" w14:textId="53379562" w:rsidR="005D285A" w:rsidRPr="007A11CE" w:rsidRDefault="00225DC6"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F370D0" w:rsidRPr="007A11CE">
        <w:rPr>
          <w:rFonts w:ascii="Times New Roman" w:hAnsi="Times New Roman"/>
        </w:rPr>
        <w:t>One of t</w:t>
      </w:r>
      <w:r w:rsidR="001354BF" w:rsidRPr="007A11CE">
        <w:rPr>
          <w:rFonts w:ascii="Times New Roman" w:hAnsi="Times New Roman"/>
        </w:rPr>
        <w:t xml:space="preserve">he </w:t>
      </w:r>
      <w:r w:rsidR="005D678D" w:rsidRPr="007A11CE">
        <w:rPr>
          <w:rFonts w:ascii="Times New Roman" w:hAnsi="Times New Roman"/>
        </w:rPr>
        <w:t>grounds</w:t>
      </w:r>
      <w:r w:rsidR="001A7C3F" w:rsidRPr="007A11CE">
        <w:rPr>
          <w:rFonts w:ascii="Times New Roman" w:hAnsi="Times New Roman"/>
        </w:rPr>
        <w:t xml:space="preserve"> on which </w:t>
      </w:r>
      <w:r w:rsidR="009C3FED" w:rsidRPr="007A11CE">
        <w:rPr>
          <w:rFonts w:ascii="Times New Roman" w:hAnsi="Times New Roman"/>
        </w:rPr>
        <w:t>the appellant</w:t>
      </w:r>
      <w:r w:rsidR="00B97516" w:rsidRPr="007A11CE">
        <w:rPr>
          <w:rFonts w:ascii="Times New Roman" w:hAnsi="Times New Roman"/>
        </w:rPr>
        <w:t xml:space="preserve"> was</w:t>
      </w:r>
      <w:r w:rsidR="007079FE" w:rsidRPr="007A11CE">
        <w:rPr>
          <w:rFonts w:ascii="Times New Roman" w:hAnsi="Times New Roman"/>
        </w:rPr>
        <w:t xml:space="preserve"> </w:t>
      </w:r>
      <w:r w:rsidR="00A214CA" w:rsidRPr="007A11CE">
        <w:rPr>
          <w:rFonts w:ascii="Times New Roman" w:hAnsi="Times New Roman"/>
        </w:rPr>
        <w:t xml:space="preserve">unsuccessful </w:t>
      </w:r>
      <w:r w:rsidR="0091049B" w:rsidRPr="007A11CE">
        <w:rPr>
          <w:rFonts w:ascii="Times New Roman" w:hAnsi="Times New Roman"/>
        </w:rPr>
        <w:t xml:space="preserve">in </w:t>
      </w:r>
      <w:r w:rsidR="009C3FED" w:rsidRPr="007A11CE">
        <w:rPr>
          <w:rFonts w:ascii="Times New Roman" w:hAnsi="Times New Roman"/>
        </w:rPr>
        <w:t>challeng</w:t>
      </w:r>
      <w:r w:rsidR="00B97516" w:rsidRPr="007A11CE">
        <w:rPr>
          <w:rFonts w:ascii="Times New Roman" w:hAnsi="Times New Roman"/>
        </w:rPr>
        <w:t>ing</w:t>
      </w:r>
      <w:r w:rsidR="00A214CA" w:rsidRPr="007A11CE">
        <w:rPr>
          <w:rFonts w:ascii="Times New Roman" w:hAnsi="Times New Roman"/>
        </w:rPr>
        <w:t xml:space="preserve"> </w:t>
      </w:r>
      <w:r w:rsidR="009C3FED" w:rsidRPr="007A11CE">
        <w:rPr>
          <w:rFonts w:ascii="Times New Roman" w:hAnsi="Times New Roman"/>
        </w:rPr>
        <w:t xml:space="preserve">the </w:t>
      </w:r>
      <w:r w:rsidR="004B7543" w:rsidRPr="007A11CE">
        <w:rPr>
          <w:rFonts w:ascii="Times New Roman" w:hAnsi="Times New Roman"/>
        </w:rPr>
        <w:t>making of the legislative instrument</w:t>
      </w:r>
      <w:r w:rsidR="00E62269" w:rsidRPr="007A11CE">
        <w:rPr>
          <w:rFonts w:ascii="Times New Roman" w:hAnsi="Times New Roman"/>
        </w:rPr>
        <w:t xml:space="preserve"> </w:t>
      </w:r>
      <w:r w:rsidR="00BF298A" w:rsidRPr="007A11CE">
        <w:rPr>
          <w:rFonts w:ascii="Times New Roman" w:hAnsi="Times New Roman"/>
        </w:rPr>
        <w:t xml:space="preserve">in the Federal Court </w:t>
      </w:r>
      <w:r w:rsidR="00551F43" w:rsidRPr="007A11CE">
        <w:rPr>
          <w:rFonts w:ascii="Times New Roman" w:hAnsi="Times New Roman"/>
        </w:rPr>
        <w:t xml:space="preserve">was </w:t>
      </w:r>
      <w:r w:rsidR="00286E1F" w:rsidRPr="007A11CE">
        <w:rPr>
          <w:rFonts w:ascii="Times New Roman" w:hAnsi="Times New Roman"/>
        </w:rPr>
        <w:t xml:space="preserve">that the Regulations </w:t>
      </w:r>
      <w:r w:rsidR="003329A7" w:rsidRPr="007A11CE">
        <w:rPr>
          <w:rFonts w:ascii="Times New Roman" w:hAnsi="Times New Roman"/>
        </w:rPr>
        <w:t>are</w:t>
      </w:r>
      <w:r w:rsidR="00286E1F" w:rsidRPr="007A11CE">
        <w:rPr>
          <w:rFonts w:ascii="Times New Roman" w:hAnsi="Times New Roman"/>
        </w:rPr>
        <w:t xml:space="preserve"> invalid in their entirety</w:t>
      </w:r>
      <w:r w:rsidR="00566435" w:rsidRPr="007A11CE">
        <w:rPr>
          <w:rFonts w:ascii="Times New Roman" w:hAnsi="Times New Roman"/>
        </w:rPr>
        <w:t xml:space="preserve">. The </w:t>
      </w:r>
      <w:r w:rsidR="00EC73CB" w:rsidRPr="007A11CE">
        <w:rPr>
          <w:rFonts w:ascii="Times New Roman" w:hAnsi="Times New Roman"/>
        </w:rPr>
        <w:t xml:space="preserve">ground </w:t>
      </w:r>
      <w:r w:rsidR="00286E1F" w:rsidRPr="007A11CE">
        <w:rPr>
          <w:rFonts w:ascii="Times New Roman" w:hAnsi="Times New Roman"/>
        </w:rPr>
        <w:t xml:space="preserve">was </w:t>
      </w:r>
      <w:r w:rsidR="006B6A4C" w:rsidRPr="007A11CE">
        <w:rPr>
          <w:rFonts w:ascii="Times New Roman" w:hAnsi="Times New Roman"/>
        </w:rPr>
        <w:t>founded</w:t>
      </w:r>
      <w:r w:rsidR="0002078D" w:rsidRPr="007A11CE">
        <w:rPr>
          <w:rFonts w:ascii="Times New Roman" w:hAnsi="Times New Roman"/>
        </w:rPr>
        <w:t xml:space="preserve"> </w:t>
      </w:r>
      <w:r w:rsidR="002423FA" w:rsidRPr="007A11CE">
        <w:rPr>
          <w:rFonts w:ascii="Times New Roman" w:hAnsi="Times New Roman"/>
        </w:rPr>
        <w:t xml:space="preserve">on the proposition </w:t>
      </w:r>
      <w:r w:rsidR="00980D63" w:rsidRPr="007A11CE">
        <w:rPr>
          <w:rFonts w:ascii="Times New Roman" w:hAnsi="Times New Roman"/>
        </w:rPr>
        <w:t xml:space="preserve">that </w:t>
      </w:r>
      <w:r w:rsidR="006771B4" w:rsidRPr="007A11CE">
        <w:rPr>
          <w:rFonts w:ascii="Times New Roman" w:hAnsi="Times New Roman"/>
        </w:rPr>
        <w:t xml:space="preserve">the practical operation of </w:t>
      </w:r>
      <w:r w:rsidR="00D85F96" w:rsidRPr="007A11CE">
        <w:rPr>
          <w:rFonts w:ascii="Times New Roman" w:hAnsi="Times New Roman"/>
        </w:rPr>
        <w:t>certain</w:t>
      </w:r>
      <w:r w:rsidR="00B6514C" w:rsidRPr="007A11CE">
        <w:rPr>
          <w:rFonts w:ascii="Times New Roman" w:hAnsi="Times New Roman"/>
        </w:rPr>
        <w:t xml:space="preserve"> </w:t>
      </w:r>
      <w:r w:rsidR="00DF7543" w:rsidRPr="007A11CE">
        <w:rPr>
          <w:rFonts w:ascii="Times New Roman" w:hAnsi="Times New Roman"/>
        </w:rPr>
        <w:t xml:space="preserve">provisions </w:t>
      </w:r>
      <w:r w:rsidR="00463773" w:rsidRPr="007A11CE">
        <w:rPr>
          <w:rFonts w:ascii="Times New Roman" w:hAnsi="Times New Roman"/>
        </w:rPr>
        <w:t xml:space="preserve">of the Regulations </w:t>
      </w:r>
      <w:r w:rsidR="00073812" w:rsidRPr="007A11CE">
        <w:rPr>
          <w:rFonts w:ascii="Times New Roman" w:hAnsi="Times New Roman"/>
        </w:rPr>
        <w:t xml:space="preserve">is to </w:t>
      </w:r>
      <w:r w:rsidR="00077156" w:rsidRPr="007A11CE">
        <w:rPr>
          <w:rFonts w:ascii="Times New Roman" w:hAnsi="Times New Roman"/>
        </w:rPr>
        <w:t>den</w:t>
      </w:r>
      <w:r w:rsidR="005253D8" w:rsidRPr="007A11CE">
        <w:rPr>
          <w:rFonts w:ascii="Times New Roman" w:hAnsi="Times New Roman"/>
        </w:rPr>
        <w:t>y</w:t>
      </w:r>
      <w:r w:rsidR="00D0413B" w:rsidRPr="007A11CE">
        <w:rPr>
          <w:rFonts w:ascii="Times New Roman" w:hAnsi="Times New Roman"/>
        </w:rPr>
        <w:t xml:space="preserve"> a designated person access to </w:t>
      </w:r>
      <w:r w:rsidR="0040797C" w:rsidRPr="007A11CE">
        <w:rPr>
          <w:rFonts w:ascii="Times New Roman" w:hAnsi="Times New Roman"/>
        </w:rPr>
        <w:t xml:space="preserve">legal </w:t>
      </w:r>
      <w:r w:rsidR="00761082" w:rsidRPr="007A11CE">
        <w:rPr>
          <w:rFonts w:ascii="Times New Roman" w:hAnsi="Times New Roman"/>
        </w:rPr>
        <w:t>representation</w:t>
      </w:r>
      <w:r w:rsidR="000A52EB" w:rsidRPr="007A11CE">
        <w:rPr>
          <w:rFonts w:ascii="Times New Roman" w:hAnsi="Times New Roman"/>
        </w:rPr>
        <w:t xml:space="preserve"> </w:t>
      </w:r>
      <w:r w:rsidR="001127B0" w:rsidRPr="007A11CE">
        <w:rPr>
          <w:rFonts w:ascii="Times New Roman" w:hAnsi="Times New Roman"/>
        </w:rPr>
        <w:t>unless the Minister grant</w:t>
      </w:r>
      <w:r w:rsidR="005D72BC" w:rsidRPr="007A11CE">
        <w:rPr>
          <w:rFonts w:ascii="Times New Roman" w:hAnsi="Times New Roman"/>
        </w:rPr>
        <w:t>s</w:t>
      </w:r>
      <w:r w:rsidR="001127B0" w:rsidRPr="007A11CE">
        <w:rPr>
          <w:rFonts w:ascii="Times New Roman" w:hAnsi="Times New Roman"/>
        </w:rPr>
        <w:t xml:space="preserve"> </w:t>
      </w:r>
      <w:r w:rsidR="007F453C" w:rsidRPr="007A11CE">
        <w:rPr>
          <w:rFonts w:ascii="Times New Roman" w:hAnsi="Times New Roman"/>
        </w:rPr>
        <w:t xml:space="preserve">that person </w:t>
      </w:r>
      <w:r w:rsidR="009263DE" w:rsidRPr="007A11CE">
        <w:rPr>
          <w:rFonts w:ascii="Times New Roman" w:hAnsi="Times New Roman"/>
        </w:rPr>
        <w:t xml:space="preserve">a permit </w:t>
      </w:r>
      <w:r w:rsidR="000A52EB" w:rsidRPr="007A11CE">
        <w:rPr>
          <w:rFonts w:ascii="Times New Roman" w:hAnsi="Times New Roman"/>
        </w:rPr>
        <w:t xml:space="preserve">and </w:t>
      </w:r>
      <w:r w:rsidR="00737842" w:rsidRPr="007A11CE">
        <w:rPr>
          <w:rFonts w:ascii="Times New Roman" w:hAnsi="Times New Roman"/>
        </w:rPr>
        <w:t xml:space="preserve">that </w:t>
      </w:r>
      <w:r w:rsidR="00CE2761" w:rsidRPr="007A11CE">
        <w:rPr>
          <w:rFonts w:ascii="Times New Roman" w:hAnsi="Times New Roman"/>
        </w:rPr>
        <w:t xml:space="preserve">the provisions </w:t>
      </w:r>
      <w:r w:rsidR="00737842" w:rsidRPr="007A11CE">
        <w:rPr>
          <w:rFonts w:ascii="Times New Roman" w:hAnsi="Times New Roman"/>
        </w:rPr>
        <w:t xml:space="preserve">thereby </w:t>
      </w:r>
      <w:r w:rsidR="00685AC6" w:rsidRPr="007A11CE">
        <w:rPr>
          <w:rFonts w:ascii="Times New Roman" w:hAnsi="Times New Roman"/>
        </w:rPr>
        <w:t xml:space="preserve">impermissibly </w:t>
      </w:r>
      <w:r w:rsidR="00E30034" w:rsidRPr="007A11CE">
        <w:rPr>
          <w:rFonts w:ascii="Times New Roman" w:hAnsi="Times New Roman"/>
        </w:rPr>
        <w:t>imp</w:t>
      </w:r>
      <w:r w:rsidR="003057C5" w:rsidRPr="007A11CE">
        <w:rPr>
          <w:rFonts w:ascii="Times New Roman" w:hAnsi="Times New Roman"/>
        </w:rPr>
        <w:t>air</w:t>
      </w:r>
      <w:r w:rsidR="00E30034" w:rsidRPr="007A11CE">
        <w:rPr>
          <w:rFonts w:ascii="Times New Roman" w:hAnsi="Times New Roman"/>
        </w:rPr>
        <w:t xml:space="preserve"> the</w:t>
      </w:r>
      <w:r w:rsidR="003779DE" w:rsidRPr="007A11CE">
        <w:rPr>
          <w:rFonts w:ascii="Times New Roman" w:hAnsi="Times New Roman"/>
        </w:rPr>
        <w:t xml:space="preserve"> ability </w:t>
      </w:r>
      <w:r w:rsidR="00F11EAD" w:rsidRPr="007A11CE">
        <w:rPr>
          <w:rFonts w:ascii="Times New Roman" w:hAnsi="Times New Roman"/>
        </w:rPr>
        <w:t xml:space="preserve">of </w:t>
      </w:r>
      <w:r w:rsidR="0073081F" w:rsidRPr="007A11CE">
        <w:rPr>
          <w:rFonts w:ascii="Times New Roman" w:hAnsi="Times New Roman"/>
        </w:rPr>
        <w:t xml:space="preserve">a designated person </w:t>
      </w:r>
      <w:r w:rsidR="001A2976" w:rsidRPr="007A11CE">
        <w:rPr>
          <w:rFonts w:ascii="Times New Roman" w:hAnsi="Times New Roman"/>
        </w:rPr>
        <w:t xml:space="preserve">to invoke the jurisdiction </w:t>
      </w:r>
      <w:r w:rsidR="003779DE" w:rsidRPr="007A11CE">
        <w:rPr>
          <w:rFonts w:ascii="Times New Roman" w:hAnsi="Times New Roman"/>
        </w:rPr>
        <w:t xml:space="preserve">of this Court </w:t>
      </w:r>
      <w:r w:rsidR="007962E1" w:rsidRPr="007A11CE">
        <w:rPr>
          <w:rFonts w:ascii="Times New Roman" w:hAnsi="Times New Roman"/>
        </w:rPr>
        <w:t>under s</w:t>
      </w:r>
      <w:r w:rsidR="00E44385" w:rsidRPr="007A11CE">
        <w:rPr>
          <w:rFonts w:ascii="Times New Roman" w:hAnsi="Times New Roman"/>
        </w:rPr>
        <w:t> </w:t>
      </w:r>
      <w:r w:rsidR="007962E1" w:rsidRPr="007A11CE">
        <w:rPr>
          <w:rFonts w:ascii="Times New Roman" w:hAnsi="Times New Roman"/>
        </w:rPr>
        <w:t xml:space="preserve">75(v) </w:t>
      </w:r>
      <w:r w:rsidR="00D307CC" w:rsidRPr="007A11CE">
        <w:rPr>
          <w:rFonts w:ascii="Times New Roman" w:hAnsi="Times New Roman"/>
        </w:rPr>
        <w:t xml:space="preserve">of the </w:t>
      </w:r>
      <w:r w:rsidR="00D307CC" w:rsidRPr="007A11CE">
        <w:rPr>
          <w:rFonts w:ascii="Times New Roman" w:hAnsi="Times New Roman"/>
          <w:i/>
        </w:rPr>
        <w:t>Constitution</w:t>
      </w:r>
      <w:r w:rsidR="00D307CC" w:rsidRPr="007A11CE">
        <w:rPr>
          <w:rFonts w:ascii="Times New Roman" w:hAnsi="Times New Roman"/>
        </w:rPr>
        <w:t xml:space="preserve"> </w:t>
      </w:r>
      <w:r w:rsidR="00106BF1" w:rsidRPr="007A11CE">
        <w:rPr>
          <w:rFonts w:ascii="Times New Roman" w:hAnsi="Times New Roman"/>
        </w:rPr>
        <w:t xml:space="preserve">(in </w:t>
      </w:r>
      <w:r w:rsidR="00B74AAD" w:rsidRPr="007A11CE">
        <w:rPr>
          <w:rFonts w:ascii="Times New Roman" w:hAnsi="Times New Roman"/>
        </w:rPr>
        <w:t>a</w:t>
      </w:r>
      <w:r w:rsidR="00A069B3" w:rsidRPr="007A11CE">
        <w:rPr>
          <w:rFonts w:ascii="Times New Roman" w:hAnsi="Times New Roman"/>
        </w:rPr>
        <w:t>ll</w:t>
      </w:r>
      <w:r w:rsidR="00B74AAD" w:rsidRPr="007A11CE">
        <w:rPr>
          <w:rFonts w:ascii="Times New Roman" w:hAnsi="Times New Roman"/>
        </w:rPr>
        <w:t xml:space="preserve"> matter</w:t>
      </w:r>
      <w:r w:rsidR="00A069B3" w:rsidRPr="007A11CE">
        <w:rPr>
          <w:rFonts w:ascii="Times New Roman" w:hAnsi="Times New Roman"/>
        </w:rPr>
        <w:t>s</w:t>
      </w:r>
      <w:r w:rsidR="00B74AAD" w:rsidRPr="007A11CE">
        <w:rPr>
          <w:rFonts w:ascii="Times New Roman" w:hAnsi="Times New Roman"/>
        </w:rPr>
        <w:t xml:space="preserve"> in </w:t>
      </w:r>
      <w:r w:rsidR="00106BF1" w:rsidRPr="007A11CE">
        <w:rPr>
          <w:rFonts w:ascii="Times New Roman" w:hAnsi="Times New Roman"/>
        </w:rPr>
        <w:t xml:space="preserve">which a writ of mandamus or prohibition or an injunction is sought against an officer of the Commonwealth) </w:t>
      </w:r>
      <w:r w:rsidR="00166CBA" w:rsidRPr="007A11CE">
        <w:rPr>
          <w:rFonts w:ascii="Times New Roman" w:hAnsi="Times New Roman"/>
        </w:rPr>
        <w:t>or</w:t>
      </w:r>
      <w:r w:rsidR="003779DE" w:rsidRPr="007A11CE">
        <w:rPr>
          <w:rFonts w:ascii="Times New Roman" w:hAnsi="Times New Roman"/>
        </w:rPr>
        <w:t xml:space="preserve"> </w:t>
      </w:r>
      <w:r w:rsidR="00361665" w:rsidRPr="007A11CE">
        <w:rPr>
          <w:rFonts w:ascii="Times New Roman" w:hAnsi="Times New Roman"/>
        </w:rPr>
        <w:t xml:space="preserve">the Federal Court under </w:t>
      </w:r>
      <w:r w:rsidR="001A2976" w:rsidRPr="007A11CE">
        <w:rPr>
          <w:rFonts w:ascii="Times New Roman" w:hAnsi="Times New Roman"/>
        </w:rPr>
        <w:t>s</w:t>
      </w:r>
      <w:r w:rsidR="00B71562" w:rsidRPr="007A11CE">
        <w:rPr>
          <w:rFonts w:ascii="Times New Roman" w:hAnsi="Times New Roman"/>
        </w:rPr>
        <w:t> </w:t>
      </w:r>
      <w:r w:rsidR="001A2976" w:rsidRPr="007A11CE">
        <w:rPr>
          <w:rFonts w:ascii="Times New Roman" w:hAnsi="Times New Roman"/>
        </w:rPr>
        <w:t xml:space="preserve">39B of the </w:t>
      </w:r>
      <w:r w:rsidR="001A2976" w:rsidRPr="007A11CE">
        <w:rPr>
          <w:rFonts w:ascii="Times New Roman" w:hAnsi="Times New Roman"/>
          <w:i/>
          <w:iCs/>
        </w:rPr>
        <w:t>Judiciary Act</w:t>
      </w:r>
      <w:r w:rsidR="00590587" w:rsidRPr="007A11CE">
        <w:rPr>
          <w:rFonts w:ascii="Times New Roman" w:hAnsi="Times New Roman"/>
        </w:rPr>
        <w:t xml:space="preserve"> </w:t>
      </w:r>
      <w:r w:rsidR="00B74AAD" w:rsidRPr="007A11CE">
        <w:rPr>
          <w:rFonts w:ascii="Times New Roman" w:hAnsi="Times New Roman"/>
        </w:rPr>
        <w:t>(vesting original jurisdiction in that Court in respect of, relevantly, a</w:t>
      </w:r>
      <w:r w:rsidR="00970381" w:rsidRPr="007A11CE">
        <w:rPr>
          <w:rFonts w:ascii="Times New Roman" w:hAnsi="Times New Roman"/>
        </w:rPr>
        <w:t>ny</w:t>
      </w:r>
      <w:r w:rsidR="00B74AAD" w:rsidRPr="007A11CE">
        <w:rPr>
          <w:rFonts w:ascii="Times New Roman" w:hAnsi="Times New Roman"/>
        </w:rPr>
        <w:t xml:space="preserve"> matter in which a writ of mandamus or prohibition or an injunction is sought against an officer of the Commonwealth) </w:t>
      </w:r>
      <w:r w:rsidR="00590587" w:rsidRPr="007A11CE">
        <w:rPr>
          <w:rFonts w:ascii="Times New Roman" w:hAnsi="Times New Roman"/>
        </w:rPr>
        <w:t xml:space="preserve">to enforce the limits of </w:t>
      </w:r>
      <w:r w:rsidR="00B52D28" w:rsidRPr="007A11CE">
        <w:rPr>
          <w:rFonts w:ascii="Times New Roman" w:hAnsi="Times New Roman"/>
        </w:rPr>
        <w:t xml:space="preserve">decision-making power conferred by </w:t>
      </w:r>
      <w:r w:rsidR="002C61C0" w:rsidRPr="007A11CE">
        <w:rPr>
          <w:rFonts w:ascii="Times New Roman" w:hAnsi="Times New Roman"/>
        </w:rPr>
        <w:t xml:space="preserve">or under </w:t>
      </w:r>
      <w:r w:rsidR="00B52D28" w:rsidRPr="007A11CE">
        <w:rPr>
          <w:rFonts w:ascii="Times New Roman" w:hAnsi="Times New Roman"/>
        </w:rPr>
        <w:t xml:space="preserve">the Act. </w:t>
      </w:r>
      <w:r w:rsidR="002577A4" w:rsidRPr="007A11CE">
        <w:rPr>
          <w:rFonts w:ascii="Times New Roman" w:hAnsi="Times New Roman"/>
        </w:rPr>
        <w:t xml:space="preserve">The </w:t>
      </w:r>
      <w:r w:rsidR="006B6A4C" w:rsidRPr="007A11CE">
        <w:rPr>
          <w:rFonts w:ascii="Times New Roman" w:hAnsi="Times New Roman"/>
        </w:rPr>
        <w:t xml:space="preserve">foundational </w:t>
      </w:r>
      <w:r w:rsidR="002577A4" w:rsidRPr="007A11CE">
        <w:rPr>
          <w:rFonts w:ascii="Times New Roman" w:hAnsi="Times New Roman"/>
        </w:rPr>
        <w:t xml:space="preserve">proposition was uncontested by the Minister </w:t>
      </w:r>
      <w:r w:rsidR="00C86975" w:rsidRPr="007A11CE">
        <w:rPr>
          <w:rFonts w:ascii="Times New Roman" w:hAnsi="Times New Roman"/>
        </w:rPr>
        <w:t>and was accepted by the primary judge and the Full Court.</w:t>
      </w:r>
    </w:p>
    <w:p w14:paraId="5B62BC53" w14:textId="166AC019" w:rsidR="00FA791E" w:rsidRPr="007A11CE" w:rsidRDefault="005D285A"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B67CB7" w:rsidRPr="007A11CE">
        <w:rPr>
          <w:rFonts w:ascii="Times New Roman" w:hAnsi="Times New Roman"/>
        </w:rPr>
        <w:t>T</w:t>
      </w:r>
      <w:r w:rsidR="00F3571D" w:rsidRPr="007A11CE">
        <w:rPr>
          <w:rFonts w:ascii="Times New Roman" w:hAnsi="Times New Roman"/>
        </w:rPr>
        <w:t>he primary judge and the Full Court</w:t>
      </w:r>
      <w:r w:rsidR="00B67CB7" w:rsidRPr="007A11CE">
        <w:rPr>
          <w:rFonts w:ascii="Times New Roman" w:hAnsi="Times New Roman"/>
        </w:rPr>
        <w:t xml:space="preserve"> </w:t>
      </w:r>
      <w:r w:rsidR="000F5343" w:rsidRPr="007A11CE">
        <w:rPr>
          <w:rFonts w:ascii="Times New Roman" w:hAnsi="Times New Roman"/>
        </w:rPr>
        <w:t xml:space="preserve">nevertheless </w:t>
      </w:r>
      <w:r w:rsidR="00F011B5" w:rsidRPr="007A11CE">
        <w:rPr>
          <w:rFonts w:ascii="Times New Roman" w:hAnsi="Times New Roman"/>
        </w:rPr>
        <w:t xml:space="preserve">rejected the </w:t>
      </w:r>
      <w:r w:rsidR="00216628" w:rsidRPr="007A11CE">
        <w:rPr>
          <w:rFonts w:ascii="Times New Roman" w:hAnsi="Times New Roman"/>
        </w:rPr>
        <w:t>conclusion that</w:t>
      </w:r>
      <w:r w:rsidR="00F011B5" w:rsidRPr="007A11CE">
        <w:rPr>
          <w:rFonts w:ascii="Times New Roman" w:hAnsi="Times New Roman"/>
        </w:rPr>
        <w:t xml:space="preserve"> </w:t>
      </w:r>
      <w:r w:rsidR="000F5343" w:rsidRPr="007A11CE">
        <w:rPr>
          <w:rFonts w:ascii="Times New Roman" w:hAnsi="Times New Roman"/>
        </w:rPr>
        <w:t xml:space="preserve">the Regulations </w:t>
      </w:r>
      <w:r w:rsidR="00A2345E" w:rsidRPr="007A11CE">
        <w:rPr>
          <w:rFonts w:ascii="Times New Roman" w:hAnsi="Times New Roman"/>
        </w:rPr>
        <w:t>are</w:t>
      </w:r>
      <w:r w:rsidR="009B76C5" w:rsidRPr="007A11CE">
        <w:rPr>
          <w:rFonts w:ascii="Times New Roman" w:hAnsi="Times New Roman"/>
        </w:rPr>
        <w:t xml:space="preserve"> </w:t>
      </w:r>
      <w:r w:rsidR="000F5343" w:rsidRPr="007A11CE">
        <w:rPr>
          <w:rFonts w:ascii="Times New Roman" w:hAnsi="Times New Roman"/>
        </w:rPr>
        <w:t>invalid in their entirety</w:t>
      </w:r>
      <w:r w:rsidR="0015251B" w:rsidRPr="007A11CE">
        <w:rPr>
          <w:rFonts w:ascii="Times New Roman" w:hAnsi="Times New Roman"/>
        </w:rPr>
        <w:t xml:space="preserve">, holding instead that </w:t>
      </w:r>
      <w:r w:rsidR="00471862" w:rsidRPr="007A11CE">
        <w:rPr>
          <w:rFonts w:ascii="Times New Roman" w:hAnsi="Times New Roman"/>
        </w:rPr>
        <w:t>the</w:t>
      </w:r>
      <w:r w:rsidR="00EA1D83" w:rsidRPr="007A11CE">
        <w:rPr>
          <w:rFonts w:ascii="Times New Roman" w:hAnsi="Times New Roman"/>
        </w:rPr>
        <w:t xml:space="preserve"> </w:t>
      </w:r>
      <w:r w:rsidR="00471862" w:rsidRPr="007A11CE">
        <w:rPr>
          <w:rFonts w:ascii="Times New Roman" w:hAnsi="Times New Roman"/>
        </w:rPr>
        <w:t>provisions</w:t>
      </w:r>
      <w:r w:rsidR="00EA1D83" w:rsidRPr="007A11CE">
        <w:rPr>
          <w:rFonts w:ascii="Times New Roman" w:hAnsi="Times New Roman"/>
        </w:rPr>
        <w:t xml:space="preserve"> of the Regulations</w:t>
      </w:r>
      <w:r w:rsidR="00471862" w:rsidRPr="007A11CE">
        <w:rPr>
          <w:rFonts w:ascii="Times New Roman" w:hAnsi="Times New Roman"/>
        </w:rPr>
        <w:t xml:space="preserve"> </w:t>
      </w:r>
      <w:r w:rsidR="00C04CB2" w:rsidRPr="007A11CE">
        <w:rPr>
          <w:rFonts w:ascii="Times New Roman" w:hAnsi="Times New Roman"/>
        </w:rPr>
        <w:t xml:space="preserve">having that practical operation </w:t>
      </w:r>
      <w:r w:rsidR="0024039A" w:rsidRPr="007A11CE">
        <w:rPr>
          <w:rFonts w:ascii="Times New Roman" w:hAnsi="Times New Roman"/>
        </w:rPr>
        <w:t>c</w:t>
      </w:r>
      <w:r w:rsidR="0052281E" w:rsidRPr="007A11CE">
        <w:rPr>
          <w:rFonts w:ascii="Times New Roman" w:hAnsi="Times New Roman"/>
        </w:rPr>
        <w:t>an</w:t>
      </w:r>
      <w:r w:rsidR="0024039A" w:rsidRPr="007A11CE">
        <w:rPr>
          <w:rFonts w:ascii="Times New Roman" w:hAnsi="Times New Roman"/>
        </w:rPr>
        <w:t xml:space="preserve"> and </w:t>
      </w:r>
      <w:r w:rsidR="004245E1" w:rsidRPr="007A11CE">
        <w:rPr>
          <w:rFonts w:ascii="Times New Roman" w:hAnsi="Times New Roman"/>
        </w:rPr>
        <w:t>must</w:t>
      </w:r>
      <w:r w:rsidR="0024039A" w:rsidRPr="007A11CE">
        <w:rPr>
          <w:rFonts w:ascii="Times New Roman" w:hAnsi="Times New Roman"/>
        </w:rPr>
        <w:t xml:space="preserve"> be "read and construed" </w:t>
      </w:r>
      <w:r w:rsidR="00471862" w:rsidRPr="007A11CE">
        <w:rPr>
          <w:rFonts w:ascii="Times New Roman" w:hAnsi="Times New Roman"/>
        </w:rPr>
        <w:t>in accordance with</w:t>
      </w:r>
      <w:r w:rsidR="00AB62E4" w:rsidRPr="007A11CE">
        <w:rPr>
          <w:rFonts w:ascii="Times New Roman" w:hAnsi="Times New Roman"/>
        </w:rPr>
        <w:t xml:space="preserve"> </w:t>
      </w:r>
      <w:r w:rsidR="00E74ADF" w:rsidRPr="007A11CE">
        <w:rPr>
          <w:rFonts w:ascii="Times New Roman" w:hAnsi="Times New Roman"/>
        </w:rPr>
        <w:t>s</w:t>
      </w:r>
      <w:r w:rsidR="00C04CB2" w:rsidRPr="007A11CE">
        <w:rPr>
          <w:rFonts w:ascii="Times New Roman" w:hAnsi="Times New Roman"/>
        </w:rPr>
        <w:t> </w:t>
      </w:r>
      <w:r w:rsidR="00E74ADF" w:rsidRPr="007A11CE">
        <w:rPr>
          <w:rFonts w:ascii="Times New Roman" w:hAnsi="Times New Roman"/>
        </w:rPr>
        <w:t xml:space="preserve">15A of the </w:t>
      </w:r>
      <w:r w:rsidR="00E74ADF" w:rsidRPr="007A11CE">
        <w:rPr>
          <w:rFonts w:ascii="Times New Roman" w:hAnsi="Times New Roman"/>
          <w:i/>
          <w:iCs/>
        </w:rPr>
        <w:t>Acts Interpretation Act 1901</w:t>
      </w:r>
      <w:r w:rsidR="00E74ADF" w:rsidRPr="007A11CE">
        <w:rPr>
          <w:rFonts w:ascii="Times New Roman" w:hAnsi="Times New Roman"/>
        </w:rPr>
        <w:t xml:space="preserve"> (Cth)</w:t>
      </w:r>
      <w:r w:rsidR="00192C5F" w:rsidRPr="007A11CE">
        <w:rPr>
          <w:rFonts w:ascii="Times New Roman" w:hAnsi="Times New Roman"/>
        </w:rPr>
        <w:t xml:space="preserve"> </w:t>
      </w:r>
      <w:r w:rsidR="00E74ADF" w:rsidRPr="007A11CE">
        <w:rPr>
          <w:rFonts w:ascii="Times New Roman" w:hAnsi="Times New Roman"/>
        </w:rPr>
        <w:t>and s</w:t>
      </w:r>
      <w:r w:rsidR="00084A9F" w:rsidRPr="007A11CE">
        <w:rPr>
          <w:rFonts w:ascii="Times New Roman" w:hAnsi="Times New Roman"/>
        </w:rPr>
        <w:t> </w:t>
      </w:r>
      <w:r w:rsidR="00E74ADF" w:rsidRPr="007A11CE">
        <w:rPr>
          <w:rFonts w:ascii="Times New Roman" w:hAnsi="Times New Roman"/>
        </w:rPr>
        <w:t xml:space="preserve">13 of the </w:t>
      </w:r>
      <w:r w:rsidR="00E74ADF" w:rsidRPr="007A11CE">
        <w:rPr>
          <w:rFonts w:ascii="Times New Roman" w:hAnsi="Times New Roman"/>
          <w:i/>
          <w:iCs/>
        </w:rPr>
        <w:t>Legislation Act 2003</w:t>
      </w:r>
      <w:r w:rsidR="00E74ADF" w:rsidRPr="007A11CE">
        <w:rPr>
          <w:rFonts w:ascii="Times New Roman" w:hAnsi="Times New Roman"/>
        </w:rPr>
        <w:t xml:space="preserve"> (Cth)</w:t>
      </w:r>
      <w:r w:rsidR="003E7458" w:rsidRPr="007A11CE">
        <w:rPr>
          <w:rFonts w:ascii="Times New Roman" w:hAnsi="Times New Roman"/>
        </w:rPr>
        <w:t xml:space="preserve"> to</w:t>
      </w:r>
      <w:r w:rsidR="00C9058E" w:rsidRPr="007A11CE">
        <w:rPr>
          <w:rFonts w:ascii="Times New Roman" w:hAnsi="Times New Roman"/>
        </w:rPr>
        <w:t xml:space="preserve"> </w:t>
      </w:r>
      <w:r w:rsidR="00DA04BB" w:rsidRPr="007A11CE">
        <w:rPr>
          <w:rFonts w:ascii="Times New Roman" w:hAnsi="Times New Roman"/>
        </w:rPr>
        <w:t xml:space="preserve">exclude </w:t>
      </w:r>
      <w:r w:rsidR="00503C72" w:rsidRPr="007A11CE">
        <w:rPr>
          <w:rFonts w:ascii="Times New Roman" w:hAnsi="Times New Roman"/>
        </w:rPr>
        <w:t>th</w:t>
      </w:r>
      <w:r w:rsidR="00713FC9" w:rsidRPr="007A11CE">
        <w:rPr>
          <w:rFonts w:ascii="Times New Roman" w:hAnsi="Times New Roman"/>
        </w:rPr>
        <w:t>e</w:t>
      </w:r>
      <w:r w:rsidR="00503C72" w:rsidRPr="007A11CE">
        <w:rPr>
          <w:rFonts w:ascii="Times New Roman" w:hAnsi="Times New Roman"/>
        </w:rPr>
        <w:t xml:space="preserve"> constitutionally impermissible operation</w:t>
      </w:r>
      <w:r w:rsidR="00EA1D83" w:rsidRPr="007A11CE">
        <w:rPr>
          <w:rFonts w:ascii="Times New Roman" w:hAnsi="Times New Roman"/>
        </w:rPr>
        <w:t xml:space="preserve"> </w:t>
      </w:r>
      <w:r w:rsidR="00223B98" w:rsidRPr="007A11CE">
        <w:rPr>
          <w:rFonts w:ascii="Times New Roman" w:hAnsi="Times New Roman"/>
        </w:rPr>
        <w:t>which th</w:t>
      </w:r>
      <w:r w:rsidR="00C04CB2" w:rsidRPr="007A11CE">
        <w:rPr>
          <w:rFonts w:ascii="Times New Roman" w:hAnsi="Times New Roman"/>
        </w:rPr>
        <w:t>ose</w:t>
      </w:r>
      <w:r w:rsidR="00223B98" w:rsidRPr="007A11CE">
        <w:rPr>
          <w:rFonts w:ascii="Times New Roman" w:hAnsi="Times New Roman"/>
        </w:rPr>
        <w:t xml:space="preserve"> provisions would have </w:t>
      </w:r>
      <w:r w:rsidR="00084A9F" w:rsidRPr="007A11CE">
        <w:rPr>
          <w:rFonts w:ascii="Times New Roman" w:hAnsi="Times New Roman"/>
        </w:rPr>
        <w:t>otherwise</w:t>
      </w:r>
      <w:r w:rsidR="00192C5F" w:rsidRPr="007A11CE">
        <w:rPr>
          <w:rFonts w:ascii="Times New Roman" w:hAnsi="Times New Roman"/>
        </w:rPr>
        <w:t>.</w:t>
      </w:r>
      <w:r w:rsidR="00741CC0" w:rsidRPr="007A11CE">
        <w:rPr>
          <w:rFonts w:ascii="Times New Roman" w:hAnsi="Times New Roman"/>
        </w:rPr>
        <w:t xml:space="preserve"> Once so r</w:t>
      </w:r>
      <w:r w:rsidR="008F7441" w:rsidRPr="007A11CE">
        <w:rPr>
          <w:rFonts w:ascii="Times New Roman" w:hAnsi="Times New Roman"/>
        </w:rPr>
        <w:t>ead</w:t>
      </w:r>
      <w:r w:rsidR="00084A9F" w:rsidRPr="007A11CE">
        <w:rPr>
          <w:rFonts w:ascii="Times New Roman" w:hAnsi="Times New Roman"/>
        </w:rPr>
        <w:t xml:space="preserve"> and construed</w:t>
      </w:r>
      <w:r w:rsidR="008F7441" w:rsidRPr="007A11CE">
        <w:rPr>
          <w:rFonts w:ascii="Times New Roman" w:hAnsi="Times New Roman"/>
        </w:rPr>
        <w:t xml:space="preserve">, the practical operation of </w:t>
      </w:r>
      <w:r w:rsidR="003D39DD" w:rsidRPr="007A11CE">
        <w:rPr>
          <w:rFonts w:ascii="Times New Roman" w:hAnsi="Times New Roman"/>
        </w:rPr>
        <w:t xml:space="preserve">those </w:t>
      </w:r>
      <w:r w:rsidR="008F7441" w:rsidRPr="007A11CE">
        <w:rPr>
          <w:rFonts w:ascii="Times New Roman" w:hAnsi="Times New Roman"/>
        </w:rPr>
        <w:t xml:space="preserve">provisions </w:t>
      </w:r>
      <w:r w:rsidR="00A84681" w:rsidRPr="007A11CE">
        <w:rPr>
          <w:rFonts w:ascii="Times New Roman" w:hAnsi="Times New Roman"/>
        </w:rPr>
        <w:t>do</w:t>
      </w:r>
      <w:r w:rsidR="00656460" w:rsidRPr="007A11CE">
        <w:rPr>
          <w:rFonts w:ascii="Times New Roman" w:hAnsi="Times New Roman"/>
        </w:rPr>
        <w:t>es</w:t>
      </w:r>
      <w:r w:rsidR="00A84681" w:rsidRPr="007A11CE">
        <w:rPr>
          <w:rFonts w:ascii="Times New Roman" w:hAnsi="Times New Roman"/>
        </w:rPr>
        <w:t xml:space="preserve"> </w:t>
      </w:r>
      <w:r w:rsidR="008F7441" w:rsidRPr="007A11CE">
        <w:rPr>
          <w:rFonts w:ascii="Times New Roman" w:hAnsi="Times New Roman"/>
        </w:rPr>
        <w:t xml:space="preserve">not </w:t>
      </w:r>
      <w:r w:rsidR="00F72455" w:rsidRPr="007A11CE">
        <w:rPr>
          <w:rFonts w:ascii="Times New Roman" w:hAnsi="Times New Roman"/>
        </w:rPr>
        <w:t xml:space="preserve">require a designated </w:t>
      </w:r>
      <w:r w:rsidR="00F72455" w:rsidRPr="007A11CE">
        <w:rPr>
          <w:rFonts w:ascii="Times New Roman" w:hAnsi="Times New Roman"/>
        </w:rPr>
        <w:lastRenderedPageBreak/>
        <w:t>person to obtain a permit granted by the Minister in order to obtain legal representation</w:t>
      </w:r>
      <w:r w:rsidR="008F7441" w:rsidRPr="007A11CE">
        <w:rPr>
          <w:rFonts w:ascii="Times New Roman" w:hAnsi="Times New Roman"/>
        </w:rPr>
        <w:t>.</w:t>
      </w:r>
    </w:p>
    <w:p w14:paraId="2F2EA868" w14:textId="69587070" w:rsidR="00503C72" w:rsidRPr="007A11CE" w:rsidRDefault="00FA791E"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1F7037" w:rsidRPr="007A11CE">
        <w:rPr>
          <w:rFonts w:ascii="Times New Roman" w:hAnsi="Times New Roman"/>
        </w:rPr>
        <w:t xml:space="preserve">The issue </w:t>
      </w:r>
      <w:r w:rsidR="00DB4479" w:rsidRPr="007A11CE">
        <w:rPr>
          <w:rFonts w:ascii="Times New Roman" w:hAnsi="Times New Roman"/>
        </w:rPr>
        <w:t>in this appeal</w:t>
      </w:r>
      <w:r w:rsidR="000E727B" w:rsidRPr="007A11CE">
        <w:rPr>
          <w:rFonts w:ascii="Times New Roman" w:hAnsi="Times New Roman"/>
        </w:rPr>
        <w:t xml:space="preserve">, </w:t>
      </w:r>
      <w:r w:rsidR="00DB4479" w:rsidRPr="007A11CE">
        <w:rPr>
          <w:rFonts w:ascii="Times New Roman" w:hAnsi="Times New Roman"/>
        </w:rPr>
        <w:t>by special leave</w:t>
      </w:r>
      <w:r w:rsidR="006B6505" w:rsidRPr="007A11CE">
        <w:rPr>
          <w:rFonts w:ascii="Times New Roman" w:hAnsi="Times New Roman"/>
        </w:rPr>
        <w:t xml:space="preserve"> </w:t>
      </w:r>
      <w:r w:rsidR="00DB4479" w:rsidRPr="007A11CE">
        <w:rPr>
          <w:rFonts w:ascii="Times New Roman" w:hAnsi="Times New Roman"/>
        </w:rPr>
        <w:t>from the decision of the Full Court</w:t>
      </w:r>
      <w:r w:rsidR="006B6505" w:rsidRPr="007A11CE">
        <w:rPr>
          <w:rFonts w:ascii="Times New Roman" w:hAnsi="Times New Roman"/>
        </w:rPr>
        <w:t>,</w:t>
      </w:r>
      <w:r w:rsidR="00DB4479" w:rsidRPr="007A11CE">
        <w:rPr>
          <w:rFonts w:ascii="Times New Roman" w:hAnsi="Times New Roman"/>
        </w:rPr>
        <w:t xml:space="preserve"> </w:t>
      </w:r>
      <w:r w:rsidR="00DD2A6A" w:rsidRPr="007A11CE">
        <w:rPr>
          <w:rFonts w:ascii="Times New Roman" w:hAnsi="Times New Roman"/>
        </w:rPr>
        <w:t xml:space="preserve">is whether that holding </w:t>
      </w:r>
      <w:r w:rsidR="004E430B" w:rsidRPr="007A11CE">
        <w:rPr>
          <w:rFonts w:ascii="Times New Roman" w:hAnsi="Times New Roman"/>
        </w:rPr>
        <w:t>i</w:t>
      </w:r>
      <w:r w:rsidR="00781086" w:rsidRPr="007A11CE">
        <w:rPr>
          <w:rFonts w:ascii="Times New Roman" w:hAnsi="Times New Roman"/>
        </w:rPr>
        <w:t>s</w:t>
      </w:r>
      <w:r w:rsidR="00DD2A6A" w:rsidRPr="007A11CE">
        <w:rPr>
          <w:rFonts w:ascii="Times New Roman" w:hAnsi="Times New Roman"/>
        </w:rPr>
        <w:t xml:space="preserve"> correct. </w:t>
      </w:r>
      <w:r w:rsidR="001F7037" w:rsidRPr="007A11CE">
        <w:rPr>
          <w:rFonts w:ascii="Times New Roman" w:hAnsi="Times New Roman"/>
        </w:rPr>
        <w:t>For reasons to be explained</w:t>
      </w:r>
      <w:r w:rsidR="00DD2A6A" w:rsidRPr="007A11CE">
        <w:rPr>
          <w:rFonts w:ascii="Times New Roman" w:hAnsi="Times New Roman"/>
        </w:rPr>
        <w:t xml:space="preserve">, it </w:t>
      </w:r>
      <w:r w:rsidR="004E430B" w:rsidRPr="007A11CE">
        <w:rPr>
          <w:rFonts w:ascii="Times New Roman" w:hAnsi="Times New Roman"/>
        </w:rPr>
        <w:t>i</w:t>
      </w:r>
      <w:r w:rsidR="00781086" w:rsidRPr="007A11CE">
        <w:rPr>
          <w:rFonts w:ascii="Times New Roman" w:hAnsi="Times New Roman"/>
        </w:rPr>
        <w:t>s</w:t>
      </w:r>
      <w:r w:rsidR="00DD2A6A" w:rsidRPr="007A11CE">
        <w:rPr>
          <w:rFonts w:ascii="Times New Roman" w:hAnsi="Times New Roman"/>
        </w:rPr>
        <w:t>.</w:t>
      </w:r>
    </w:p>
    <w:p w14:paraId="04CEC12C" w14:textId="24308FB0" w:rsidR="00D34978" w:rsidRPr="007A11CE" w:rsidRDefault="005E1596" w:rsidP="007A11CE">
      <w:pPr>
        <w:pStyle w:val="HeadingL1"/>
        <w:spacing w:after="260" w:line="280" w:lineRule="exact"/>
        <w:ind w:right="0"/>
        <w:jc w:val="both"/>
        <w:rPr>
          <w:rFonts w:ascii="Times New Roman" w:hAnsi="Times New Roman"/>
        </w:rPr>
      </w:pPr>
      <w:r w:rsidRPr="007A11CE">
        <w:rPr>
          <w:rFonts w:ascii="Times New Roman" w:hAnsi="Times New Roman"/>
        </w:rPr>
        <w:t>The Act and the Regulations</w:t>
      </w:r>
    </w:p>
    <w:p w14:paraId="744DF939" w14:textId="1FB53AB7" w:rsidR="001154D6" w:rsidRPr="007A11CE" w:rsidRDefault="00947693" w:rsidP="007A11CE">
      <w:pPr>
        <w:pStyle w:val="FixListStyle"/>
        <w:spacing w:after="260" w:line="280" w:lineRule="exact"/>
        <w:ind w:right="0"/>
        <w:jc w:val="both"/>
        <w:rPr>
          <w:rFonts w:ascii="Times New Roman" w:hAnsi="Times New Roman"/>
        </w:rPr>
      </w:pPr>
      <w:r w:rsidRPr="007A11CE">
        <w:rPr>
          <w:rFonts w:ascii="Times New Roman" w:hAnsi="Times New Roman"/>
        </w:rPr>
        <w:tab/>
        <w:t>T</w:t>
      </w:r>
      <w:r w:rsidR="0062137A" w:rsidRPr="007A11CE">
        <w:rPr>
          <w:rFonts w:ascii="Times New Roman" w:hAnsi="Times New Roman"/>
        </w:rPr>
        <w:t xml:space="preserve">he </w:t>
      </w:r>
      <w:r w:rsidRPr="007A11CE">
        <w:rPr>
          <w:rFonts w:ascii="Times New Roman" w:hAnsi="Times New Roman"/>
        </w:rPr>
        <w:t>A</w:t>
      </w:r>
      <w:r w:rsidR="00D444F7" w:rsidRPr="007A11CE">
        <w:rPr>
          <w:rFonts w:ascii="Times New Roman" w:hAnsi="Times New Roman"/>
        </w:rPr>
        <w:t xml:space="preserve">ct </w:t>
      </w:r>
      <w:r w:rsidR="00040D53" w:rsidRPr="007A11CE">
        <w:rPr>
          <w:rFonts w:ascii="Times New Roman" w:hAnsi="Times New Roman"/>
        </w:rPr>
        <w:t xml:space="preserve">is </w:t>
      </w:r>
      <w:r w:rsidR="00D444F7" w:rsidRPr="007A11CE">
        <w:rPr>
          <w:rFonts w:ascii="Times New Roman" w:hAnsi="Times New Roman"/>
        </w:rPr>
        <w:t>describe</w:t>
      </w:r>
      <w:r w:rsidR="00040D53" w:rsidRPr="007A11CE">
        <w:rPr>
          <w:rFonts w:ascii="Times New Roman" w:hAnsi="Times New Roman"/>
        </w:rPr>
        <w:t>d</w:t>
      </w:r>
      <w:r w:rsidR="00D444F7" w:rsidRPr="007A11CE">
        <w:rPr>
          <w:rFonts w:ascii="Times New Roman" w:hAnsi="Times New Roman"/>
        </w:rPr>
        <w:t xml:space="preserve"> i</w:t>
      </w:r>
      <w:r w:rsidR="00084F5F" w:rsidRPr="007A11CE">
        <w:rPr>
          <w:rFonts w:ascii="Times New Roman" w:hAnsi="Times New Roman"/>
        </w:rPr>
        <w:t>n its long title</w:t>
      </w:r>
      <w:r w:rsidR="0062137A" w:rsidRPr="007A11CE">
        <w:rPr>
          <w:rFonts w:ascii="Times New Roman" w:hAnsi="Times New Roman"/>
        </w:rPr>
        <w:t xml:space="preserve"> </w:t>
      </w:r>
      <w:r w:rsidR="00D444F7" w:rsidRPr="007A11CE">
        <w:rPr>
          <w:rFonts w:ascii="Times New Roman" w:hAnsi="Times New Roman"/>
        </w:rPr>
        <w:t xml:space="preserve">as </w:t>
      </w:r>
      <w:r w:rsidR="007F71AA" w:rsidRPr="007A11CE">
        <w:rPr>
          <w:rFonts w:ascii="Times New Roman" w:hAnsi="Times New Roman"/>
        </w:rPr>
        <w:t>"[a]n Act to make provision</w:t>
      </w:r>
      <w:r w:rsidR="00A42F01" w:rsidRPr="007A11CE">
        <w:rPr>
          <w:rFonts w:ascii="Times New Roman" w:hAnsi="Times New Roman"/>
        </w:rPr>
        <w:t xml:space="preserve"> </w:t>
      </w:r>
      <w:r w:rsidR="00935C27" w:rsidRPr="007A11CE">
        <w:rPr>
          <w:rFonts w:ascii="Times New Roman" w:hAnsi="Times New Roman"/>
        </w:rPr>
        <w:t>relating to sanctions to facilitate the conduct of Australia's external affairs</w:t>
      </w:r>
      <w:r w:rsidR="000D0895" w:rsidRPr="007A11CE">
        <w:rPr>
          <w:rFonts w:ascii="Times New Roman" w:hAnsi="Times New Roman"/>
        </w:rPr>
        <w:t xml:space="preserve">, and for related purposes". </w:t>
      </w:r>
      <w:r w:rsidR="008D39A4" w:rsidRPr="007A11CE">
        <w:rPr>
          <w:rFonts w:ascii="Times New Roman" w:hAnsi="Times New Roman"/>
        </w:rPr>
        <w:t xml:space="preserve">It </w:t>
      </w:r>
      <w:r w:rsidR="00191A6C" w:rsidRPr="007A11CE">
        <w:rPr>
          <w:rFonts w:ascii="Times New Roman" w:hAnsi="Times New Roman"/>
        </w:rPr>
        <w:t>identifies</w:t>
      </w:r>
      <w:r w:rsidR="00E7260D" w:rsidRPr="007A11CE">
        <w:rPr>
          <w:rFonts w:ascii="Times New Roman" w:hAnsi="Times New Roman"/>
        </w:rPr>
        <w:t xml:space="preserve"> </w:t>
      </w:r>
      <w:r w:rsidR="003E452D" w:rsidRPr="007A11CE">
        <w:rPr>
          <w:rFonts w:ascii="Times New Roman" w:hAnsi="Times New Roman"/>
        </w:rPr>
        <w:t xml:space="preserve">its main </w:t>
      </w:r>
      <w:r w:rsidR="00D03D6A" w:rsidRPr="007A11CE">
        <w:rPr>
          <w:rFonts w:ascii="Times New Roman" w:hAnsi="Times New Roman"/>
        </w:rPr>
        <w:t>objects</w:t>
      </w:r>
      <w:r w:rsidR="00D1390E" w:rsidRPr="007A11CE">
        <w:rPr>
          <w:rFonts w:ascii="Times New Roman" w:hAnsi="Times New Roman"/>
        </w:rPr>
        <w:t xml:space="preserve"> </w:t>
      </w:r>
      <w:r w:rsidR="006B6505" w:rsidRPr="007A11CE">
        <w:rPr>
          <w:rFonts w:ascii="Times New Roman" w:hAnsi="Times New Roman"/>
        </w:rPr>
        <w:t xml:space="preserve">as including to </w:t>
      </w:r>
      <w:r w:rsidR="00C315A0" w:rsidRPr="007A11CE">
        <w:rPr>
          <w:rFonts w:ascii="Times New Roman" w:hAnsi="Times New Roman"/>
        </w:rPr>
        <w:t>"</w:t>
      </w:r>
      <w:r w:rsidR="0049528F" w:rsidRPr="007A11CE">
        <w:rPr>
          <w:rFonts w:ascii="Times New Roman" w:hAnsi="Times New Roman"/>
        </w:rPr>
        <w:t xml:space="preserve">provide for </w:t>
      </w:r>
      <w:r w:rsidR="00C315A0" w:rsidRPr="007A11CE">
        <w:rPr>
          <w:rFonts w:ascii="Times New Roman" w:hAnsi="Times New Roman"/>
        </w:rPr>
        <w:t>autonomous sanctions"</w:t>
      </w:r>
      <w:r w:rsidR="00677EE2" w:rsidRPr="007A11CE">
        <w:rPr>
          <w:rFonts w:ascii="Times New Roman" w:hAnsi="Times New Roman"/>
        </w:rPr>
        <w:t xml:space="preserve"> and</w:t>
      </w:r>
      <w:r w:rsidR="008D39A4" w:rsidRPr="007A11CE">
        <w:rPr>
          <w:rFonts w:ascii="Times New Roman" w:hAnsi="Times New Roman"/>
        </w:rPr>
        <w:t xml:space="preserve"> </w:t>
      </w:r>
      <w:r w:rsidR="00905EE2" w:rsidRPr="007A11CE">
        <w:rPr>
          <w:rFonts w:ascii="Times New Roman" w:hAnsi="Times New Roman"/>
        </w:rPr>
        <w:t xml:space="preserve">to </w:t>
      </w:r>
      <w:r w:rsidR="00310880" w:rsidRPr="007A11CE">
        <w:rPr>
          <w:rFonts w:ascii="Times New Roman" w:hAnsi="Times New Roman"/>
        </w:rPr>
        <w:t xml:space="preserve">"provide for </w:t>
      </w:r>
      <w:r w:rsidR="001A59F7" w:rsidRPr="007A11CE">
        <w:rPr>
          <w:rFonts w:ascii="Times New Roman" w:hAnsi="Times New Roman"/>
        </w:rPr>
        <w:t>[</w:t>
      </w:r>
      <w:r w:rsidR="00310880" w:rsidRPr="007A11CE">
        <w:rPr>
          <w:rFonts w:ascii="Times New Roman" w:hAnsi="Times New Roman"/>
        </w:rPr>
        <w:t>the</w:t>
      </w:r>
      <w:r w:rsidR="001A59F7" w:rsidRPr="007A11CE">
        <w:rPr>
          <w:rFonts w:ascii="Times New Roman" w:hAnsi="Times New Roman"/>
        </w:rPr>
        <w:t>]</w:t>
      </w:r>
      <w:r w:rsidR="00310880" w:rsidRPr="007A11CE">
        <w:rPr>
          <w:rFonts w:ascii="Times New Roman" w:hAnsi="Times New Roman"/>
        </w:rPr>
        <w:t xml:space="preserve"> </w:t>
      </w:r>
      <w:r w:rsidR="007A2124" w:rsidRPr="007A11CE">
        <w:rPr>
          <w:rFonts w:ascii="Times New Roman" w:hAnsi="Times New Roman"/>
        </w:rPr>
        <w:t xml:space="preserve">enforcement of </w:t>
      </w:r>
      <w:r w:rsidR="00DB473B" w:rsidRPr="007A11CE">
        <w:rPr>
          <w:rFonts w:ascii="Times New Roman" w:hAnsi="Times New Roman"/>
        </w:rPr>
        <w:t>autonomous sanctions</w:t>
      </w:r>
      <w:r w:rsidR="000B74CF" w:rsidRPr="007A11CE">
        <w:rPr>
          <w:rFonts w:ascii="Times New Roman" w:hAnsi="Times New Roman"/>
        </w:rPr>
        <w:t xml:space="preserve"> (whether </w:t>
      </w:r>
      <w:r w:rsidR="005A0F1C" w:rsidRPr="007A11CE">
        <w:rPr>
          <w:rFonts w:ascii="Times New Roman" w:hAnsi="Times New Roman"/>
        </w:rPr>
        <w:t>applied under [the] Act or another law of the Commonwealth)</w:t>
      </w:r>
      <w:r w:rsidR="00346B6C" w:rsidRPr="007A11CE">
        <w:rPr>
          <w:rFonts w:ascii="Times New Roman" w:hAnsi="Times New Roman"/>
        </w:rPr>
        <w:t>"</w:t>
      </w:r>
      <w:r w:rsidR="00D4229B" w:rsidRPr="007A11CE">
        <w:rPr>
          <w:rFonts w:ascii="Times New Roman" w:hAnsi="Times New Roman"/>
        </w:rPr>
        <w:t>.</w:t>
      </w:r>
      <w:r w:rsidR="00467851" w:rsidRPr="007A11CE">
        <w:rPr>
          <w:rStyle w:val="FootnoteReference"/>
          <w:rFonts w:ascii="Times New Roman" w:hAnsi="Times New Roman"/>
          <w:sz w:val="24"/>
        </w:rPr>
        <w:footnoteReference w:id="5"/>
      </w:r>
      <w:r w:rsidR="00F856DF" w:rsidRPr="007A11CE">
        <w:rPr>
          <w:rFonts w:ascii="Times New Roman" w:hAnsi="Times New Roman"/>
        </w:rPr>
        <w:t xml:space="preserve"> </w:t>
      </w:r>
    </w:p>
    <w:p w14:paraId="54CC8C9D" w14:textId="00E74AC5" w:rsidR="00D34978" w:rsidRPr="007A11CE" w:rsidRDefault="001154D6"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CF1EB8" w:rsidRPr="007A11CE">
        <w:rPr>
          <w:rFonts w:ascii="Times New Roman" w:hAnsi="Times New Roman"/>
        </w:rPr>
        <w:t>An</w:t>
      </w:r>
      <w:r w:rsidR="00C736D9" w:rsidRPr="007A11CE">
        <w:rPr>
          <w:rFonts w:ascii="Times New Roman" w:hAnsi="Times New Roman"/>
        </w:rPr>
        <w:t xml:space="preserve"> "autonomous sanction" </w:t>
      </w:r>
      <w:r w:rsidR="00CF1EB8" w:rsidRPr="007A11CE">
        <w:rPr>
          <w:rFonts w:ascii="Times New Roman" w:hAnsi="Times New Roman"/>
        </w:rPr>
        <w:t xml:space="preserve">within the </w:t>
      </w:r>
      <w:r w:rsidR="00142094" w:rsidRPr="007A11CE">
        <w:rPr>
          <w:rFonts w:ascii="Times New Roman" w:hAnsi="Times New Roman"/>
        </w:rPr>
        <w:t>mean</w:t>
      </w:r>
      <w:r w:rsidR="00CF1EB8" w:rsidRPr="007A11CE">
        <w:rPr>
          <w:rFonts w:ascii="Times New Roman" w:hAnsi="Times New Roman"/>
        </w:rPr>
        <w:t>ing of</w:t>
      </w:r>
      <w:r w:rsidR="00604968" w:rsidRPr="007A11CE">
        <w:rPr>
          <w:rFonts w:ascii="Times New Roman" w:hAnsi="Times New Roman"/>
        </w:rPr>
        <w:t xml:space="preserve"> the Act is</w:t>
      </w:r>
      <w:r w:rsidR="007627A1" w:rsidRPr="007A11CE">
        <w:rPr>
          <w:rFonts w:ascii="Times New Roman" w:hAnsi="Times New Roman"/>
        </w:rPr>
        <w:t xml:space="preserve"> </w:t>
      </w:r>
      <w:r w:rsidR="00570C24" w:rsidRPr="007A11CE">
        <w:rPr>
          <w:rFonts w:ascii="Times New Roman" w:hAnsi="Times New Roman"/>
        </w:rPr>
        <w:t>a sanction that</w:t>
      </w:r>
      <w:r w:rsidR="00AF1743" w:rsidRPr="007A11CE">
        <w:rPr>
          <w:rFonts w:ascii="Times New Roman" w:hAnsi="Times New Roman"/>
        </w:rPr>
        <w:t xml:space="preserve"> </w:t>
      </w:r>
      <w:r w:rsidR="00570C24" w:rsidRPr="007A11CE">
        <w:rPr>
          <w:rFonts w:ascii="Times New Roman" w:hAnsi="Times New Roman"/>
        </w:rPr>
        <w:t>"is intended to influence</w:t>
      </w:r>
      <w:r w:rsidR="00AF1743" w:rsidRPr="007A11CE">
        <w:rPr>
          <w:rFonts w:ascii="Times New Roman" w:hAnsi="Times New Roman"/>
        </w:rPr>
        <w:t>" a "foreign government entity"</w:t>
      </w:r>
      <w:r w:rsidR="003431C5" w:rsidRPr="007A11CE">
        <w:rPr>
          <w:rFonts w:ascii="Times New Roman" w:hAnsi="Times New Roman"/>
        </w:rPr>
        <w:t>,</w:t>
      </w:r>
      <w:r w:rsidR="00AF1743" w:rsidRPr="007A11CE">
        <w:rPr>
          <w:rFonts w:ascii="Times New Roman" w:hAnsi="Times New Roman"/>
        </w:rPr>
        <w:t xml:space="preserve"> a </w:t>
      </w:r>
      <w:r w:rsidR="00E127A4" w:rsidRPr="007A11CE">
        <w:rPr>
          <w:rFonts w:ascii="Times New Roman" w:hAnsi="Times New Roman"/>
        </w:rPr>
        <w:t>"</w:t>
      </w:r>
      <w:r w:rsidR="00AF1743" w:rsidRPr="007A11CE">
        <w:rPr>
          <w:rFonts w:ascii="Times New Roman" w:hAnsi="Times New Roman"/>
        </w:rPr>
        <w:t>member of a foreign government entity</w:t>
      </w:r>
      <w:r w:rsidR="00E127A4" w:rsidRPr="007A11CE">
        <w:rPr>
          <w:rFonts w:ascii="Times New Roman" w:hAnsi="Times New Roman"/>
        </w:rPr>
        <w:t>"</w:t>
      </w:r>
      <w:r w:rsidR="00AF1743" w:rsidRPr="007A11CE">
        <w:rPr>
          <w:rFonts w:ascii="Times New Roman" w:hAnsi="Times New Roman"/>
        </w:rPr>
        <w:t xml:space="preserve">, or </w:t>
      </w:r>
      <w:r w:rsidR="001A59F7" w:rsidRPr="007A11CE">
        <w:rPr>
          <w:rFonts w:ascii="Times New Roman" w:hAnsi="Times New Roman"/>
        </w:rPr>
        <w:t>"</w:t>
      </w:r>
      <w:r w:rsidR="00AF1743" w:rsidRPr="007A11CE">
        <w:rPr>
          <w:rFonts w:ascii="Times New Roman" w:hAnsi="Times New Roman"/>
        </w:rPr>
        <w:t>another person or entity outside Australia</w:t>
      </w:r>
      <w:r w:rsidR="001A59F7" w:rsidRPr="007A11CE">
        <w:rPr>
          <w:rFonts w:ascii="Times New Roman" w:hAnsi="Times New Roman"/>
        </w:rPr>
        <w:t>"</w:t>
      </w:r>
      <w:r w:rsidR="007029D0" w:rsidRPr="007A11CE">
        <w:rPr>
          <w:rFonts w:ascii="Times New Roman" w:hAnsi="Times New Roman"/>
        </w:rPr>
        <w:t xml:space="preserve"> </w:t>
      </w:r>
      <w:r w:rsidR="00AF1743" w:rsidRPr="007A11CE">
        <w:rPr>
          <w:rFonts w:ascii="Times New Roman" w:hAnsi="Times New Roman"/>
        </w:rPr>
        <w:t>"</w:t>
      </w:r>
      <w:r w:rsidR="007029D0" w:rsidRPr="007A11CE">
        <w:rPr>
          <w:rFonts w:ascii="Times New Roman" w:hAnsi="Times New Roman"/>
        </w:rPr>
        <w:t>in accordance with Australian Government policy"</w:t>
      </w:r>
      <w:r w:rsidR="007A6455" w:rsidRPr="007A11CE">
        <w:rPr>
          <w:rFonts w:ascii="Times New Roman" w:hAnsi="Times New Roman"/>
        </w:rPr>
        <w:t>,</w:t>
      </w:r>
      <w:r w:rsidR="00AF1743" w:rsidRPr="007A11CE">
        <w:rPr>
          <w:rFonts w:ascii="Times New Roman" w:hAnsi="Times New Roman"/>
        </w:rPr>
        <w:t xml:space="preserve"> </w:t>
      </w:r>
      <w:r w:rsidR="008D1814" w:rsidRPr="007A11CE">
        <w:rPr>
          <w:rFonts w:ascii="Times New Roman" w:hAnsi="Times New Roman"/>
        </w:rPr>
        <w:t>or</w:t>
      </w:r>
      <w:r w:rsidR="00780F64" w:rsidRPr="007A11CE">
        <w:rPr>
          <w:rFonts w:ascii="Times New Roman" w:hAnsi="Times New Roman"/>
        </w:rPr>
        <w:t xml:space="preserve"> that</w:t>
      </w:r>
      <w:r w:rsidR="00371D47" w:rsidRPr="007A11CE">
        <w:rPr>
          <w:rFonts w:ascii="Times New Roman" w:hAnsi="Times New Roman"/>
        </w:rPr>
        <w:t xml:space="preserve"> </w:t>
      </w:r>
      <w:r w:rsidR="00AE5B26" w:rsidRPr="007A11CE">
        <w:rPr>
          <w:rFonts w:ascii="Times New Roman" w:hAnsi="Times New Roman"/>
        </w:rPr>
        <w:t>"</w:t>
      </w:r>
      <w:r w:rsidR="00371D47" w:rsidRPr="007A11CE">
        <w:rPr>
          <w:rFonts w:ascii="Times New Roman" w:hAnsi="Times New Roman"/>
        </w:rPr>
        <w:t xml:space="preserve">involves the prohibition of conduct in or connected with Australia </w:t>
      </w:r>
      <w:r w:rsidR="00382356" w:rsidRPr="007A11CE">
        <w:rPr>
          <w:rFonts w:ascii="Times New Roman" w:hAnsi="Times New Roman"/>
        </w:rPr>
        <w:t>that facilitates</w:t>
      </w:r>
      <w:r w:rsidR="00B5334A" w:rsidRPr="007A11CE">
        <w:rPr>
          <w:rFonts w:ascii="Times New Roman" w:hAnsi="Times New Roman"/>
        </w:rPr>
        <w:t xml:space="preserve"> </w:t>
      </w:r>
      <w:r w:rsidR="004A4ED8" w:rsidRPr="007A11CE">
        <w:rPr>
          <w:rFonts w:ascii="Times New Roman" w:hAnsi="Times New Roman"/>
        </w:rPr>
        <w:t>... the engagement</w:t>
      </w:r>
      <w:r w:rsidR="004811EB" w:rsidRPr="007A11CE">
        <w:rPr>
          <w:rFonts w:ascii="Times New Roman" w:hAnsi="Times New Roman"/>
        </w:rPr>
        <w:t xml:space="preserve"> by</w:t>
      </w:r>
      <w:r w:rsidR="00622241" w:rsidRPr="007A11CE">
        <w:rPr>
          <w:rFonts w:ascii="Times New Roman" w:hAnsi="Times New Roman"/>
        </w:rPr>
        <w:t xml:space="preserve">" </w:t>
      </w:r>
      <w:r w:rsidR="00F63F81" w:rsidRPr="007A11CE">
        <w:rPr>
          <w:rFonts w:ascii="Times New Roman" w:hAnsi="Times New Roman"/>
        </w:rPr>
        <w:t>such a person or entity</w:t>
      </w:r>
      <w:r w:rsidR="00622241" w:rsidRPr="007A11CE">
        <w:rPr>
          <w:rFonts w:ascii="Times New Roman" w:hAnsi="Times New Roman"/>
        </w:rPr>
        <w:t xml:space="preserve"> "in action outside Australia </w:t>
      </w:r>
      <w:r w:rsidR="003575EE" w:rsidRPr="007A11CE">
        <w:rPr>
          <w:rFonts w:ascii="Times New Roman" w:hAnsi="Times New Roman"/>
        </w:rPr>
        <w:t>that is contrary to Australian Government policy".</w:t>
      </w:r>
      <w:r w:rsidR="00E826CB" w:rsidRPr="007A11CE">
        <w:rPr>
          <w:rStyle w:val="FootnoteReference"/>
          <w:rFonts w:ascii="Times New Roman" w:hAnsi="Times New Roman"/>
          <w:sz w:val="24"/>
        </w:rPr>
        <w:footnoteReference w:id="6"/>
      </w:r>
      <w:r w:rsidR="00622241" w:rsidRPr="007A11CE">
        <w:rPr>
          <w:rFonts w:ascii="Times New Roman" w:hAnsi="Times New Roman"/>
        </w:rPr>
        <w:t xml:space="preserve"> </w:t>
      </w:r>
      <w:r w:rsidR="00604968" w:rsidRPr="007A11CE">
        <w:rPr>
          <w:rFonts w:ascii="Times New Roman" w:hAnsi="Times New Roman"/>
        </w:rPr>
        <w:t>A</w:t>
      </w:r>
      <w:r w:rsidR="00E127A4" w:rsidRPr="007A11CE">
        <w:rPr>
          <w:rFonts w:ascii="Times New Roman" w:hAnsi="Times New Roman"/>
        </w:rPr>
        <w:t xml:space="preserve"> </w:t>
      </w:r>
      <w:r w:rsidR="0095211A" w:rsidRPr="007A11CE">
        <w:rPr>
          <w:rFonts w:ascii="Times New Roman" w:hAnsi="Times New Roman"/>
        </w:rPr>
        <w:t xml:space="preserve">"foreign government entity" </w:t>
      </w:r>
      <w:r w:rsidR="00955669" w:rsidRPr="007A11CE">
        <w:rPr>
          <w:rFonts w:ascii="Times New Roman" w:hAnsi="Times New Roman"/>
        </w:rPr>
        <w:t>within the meaning of the Act is</w:t>
      </w:r>
      <w:r w:rsidR="0095211A" w:rsidRPr="007A11CE">
        <w:rPr>
          <w:rFonts w:ascii="Times New Roman" w:hAnsi="Times New Roman"/>
        </w:rPr>
        <w:t xml:space="preserve"> "</w:t>
      </w:r>
      <w:r w:rsidR="00E127A4" w:rsidRPr="007A11CE">
        <w:rPr>
          <w:rFonts w:ascii="Times New Roman" w:hAnsi="Times New Roman"/>
        </w:rPr>
        <w:t>the government of a foreign country or of part of a foreign country</w:t>
      </w:r>
      <w:r w:rsidR="0095211A" w:rsidRPr="007A11CE">
        <w:rPr>
          <w:rFonts w:ascii="Times New Roman" w:hAnsi="Times New Roman"/>
        </w:rPr>
        <w:t>"</w:t>
      </w:r>
      <w:r w:rsidR="00E127A4" w:rsidRPr="007A11CE">
        <w:rPr>
          <w:rFonts w:ascii="Times New Roman" w:hAnsi="Times New Roman"/>
        </w:rPr>
        <w:t xml:space="preserve"> or an </w:t>
      </w:r>
      <w:r w:rsidR="0095211A" w:rsidRPr="007A11CE">
        <w:rPr>
          <w:rFonts w:ascii="Times New Roman" w:hAnsi="Times New Roman"/>
        </w:rPr>
        <w:t>"</w:t>
      </w:r>
      <w:r w:rsidR="00E127A4" w:rsidRPr="007A11CE">
        <w:rPr>
          <w:rFonts w:ascii="Times New Roman" w:hAnsi="Times New Roman"/>
        </w:rPr>
        <w:t>authority</w:t>
      </w:r>
      <w:r w:rsidR="0095211A" w:rsidRPr="007A11CE">
        <w:rPr>
          <w:rFonts w:ascii="Times New Roman" w:hAnsi="Times New Roman"/>
        </w:rPr>
        <w:t>"</w:t>
      </w:r>
      <w:r w:rsidR="00E127A4" w:rsidRPr="007A11CE">
        <w:rPr>
          <w:rFonts w:ascii="Times New Roman" w:hAnsi="Times New Roman"/>
        </w:rPr>
        <w:t xml:space="preserve"> of such a government</w:t>
      </w:r>
      <w:r w:rsidR="0095211A" w:rsidRPr="007A11CE">
        <w:rPr>
          <w:rFonts w:ascii="Times New Roman" w:hAnsi="Times New Roman"/>
        </w:rPr>
        <w:t>.</w:t>
      </w:r>
      <w:r w:rsidR="0095211A" w:rsidRPr="007A11CE">
        <w:rPr>
          <w:rStyle w:val="FootnoteReference"/>
          <w:rFonts w:ascii="Times New Roman" w:hAnsi="Times New Roman"/>
          <w:sz w:val="24"/>
        </w:rPr>
        <w:footnoteReference w:id="7"/>
      </w:r>
    </w:p>
    <w:p w14:paraId="4D08C821" w14:textId="08CA59F3" w:rsidR="006F5468" w:rsidRPr="007A11CE" w:rsidRDefault="007F4D14"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D850E1" w:rsidRPr="007A11CE">
        <w:rPr>
          <w:rFonts w:ascii="Times New Roman" w:hAnsi="Times New Roman"/>
        </w:rPr>
        <w:t>The Act</w:t>
      </w:r>
      <w:r w:rsidR="009370AA" w:rsidRPr="007A11CE">
        <w:rPr>
          <w:rFonts w:ascii="Times New Roman" w:hAnsi="Times New Roman"/>
        </w:rPr>
        <w:t xml:space="preserve"> </w:t>
      </w:r>
      <w:r w:rsidR="00E417CE" w:rsidRPr="007A11CE">
        <w:rPr>
          <w:rFonts w:ascii="Times New Roman" w:hAnsi="Times New Roman"/>
        </w:rPr>
        <w:t>provide</w:t>
      </w:r>
      <w:r w:rsidR="0020130B" w:rsidRPr="007A11CE">
        <w:rPr>
          <w:rFonts w:ascii="Times New Roman" w:hAnsi="Times New Roman"/>
        </w:rPr>
        <w:t>s</w:t>
      </w:r>
      <w:r w:rsidR="00E417CE" w:rsidRPr="007A11CE">
        <w:rPr>
          <w:rFonts w:ascii="Times New Roman" w:hAnsi="Times New Roman"/>
        </w:rPr>
        <w:t xml:space="preserve"> for</w:t>
      </w:r>
      <w:r w:rsidR="00EE003C" w:rsidRPr="007A11CE">
        <w:rPr>
          <w:rFonts w:ascii="Times New Roman" w:hAnsi="Times New Roman"/>
        </w:rPr>
        <w:t xml:space="preserve"> </w:t>
      </w:r>
      <w:r w:rsidR="00E4067F" w:rsidRPr="007A11CE">
        <w:rPr>
          <w:rFonts w:ascii="Times New Roman" w:hAnsi="Times New Roman"/>
        </w:rPr>
        <w:t xml:space="preserve">the application of </w:t>
      </w:r>
      <w:r w:rsidR="00E417CE" w:rsidRPr="007A11CE">
        <w:rPr>
          <w:rFonts w:ascii="Times New Roman" w:hAnsi="Times New Roman"/>
        </w:rPr>
        <w:t xml:space="preserve">autonomous sanctions </w:t>
      </w:r>
      <w:r w:rsidR="000D694D" w:rsidRPr="007A11CE">
        <w:rPr>
          <w:rFonts w:ascii="Times New Roman" w:hAnsi="Times New Roman"/>
        </w:rPr>
        <w:t>by</w:t>
      </w:r>
      <w:r w:rsidR="00415125" w:rsidRPr="007A11CE">
        <w:rPr>
          <w:rFonts w:ascii="Times New Roman" w:hAnsi="Times New Roman"/>
        </w:rPr>
        <w:t xml:space="preserve"> </w:t>
      </w:r>
      <w:r w:rsidR="002C5217" w:rsidRPr="007A11CE">
        <w:rPr>
          <w:rFonts w:ascii="Times New Roman" w:hAnsi="Times New Roman"/>
        </w:rPr>
        <w:t>empowering</w:t>
      </w:r>
      <w:r w:rsidR="009370AA" w:rsidRPr="007A11CE">
        <w:rPr>
          <w:rFonts w:ascii="Times New Roman" w:hAnsi="Times New Roman"/>
        </w:rPr>
        <w:t xml:space="preserve"> the Governor-General</w:t>
      </w:r>
      <w:r w:rsidR="002C5217" w:rsidRPr="007A11CE">
        <w:rPr>
          <w:rFonts w:ascii="Times New Roman" w:hAnsi="Times New Roman"/>
        </w:rPr>
        <w:t xml:space="preserve"> to make regulations </w:t>
      </w:r>
      <w:r w:rsidR="00213BD0" w:rsidRPr="007A11CE">
        <w:rPr>
          <w:rFonts w:ascii="Times New Roman" w:hAnsi="Times New Roman"/>
        </w:rPr>
        <w:t xml:space="preserve">in respect of </w:t>
      </w:r>
      <w:r w:rsidR="002C5217" w:rsidRPr="007A11CE">
        <w:rPr>
          <w:rFonts w:ascii="Times New Roman" w:hAnsi="Times New Roman"/>
        </w:rPr>
        <w:t xml:space="preserve">permitted </w:t>
      </w:r>
      <w:r w:rsidR="00213BD0" w:rsidRPr="007A11CE">
        <w:rPr>
          <w:rFonts w:ascii="Times New Roman" w:hAnsi="Times New Roman"/>
        </w:rPr>
        <w:t>matters</w:t>
      </w:r>
      <w:r w:rsidR="00BC6075" w:rsidRPr="007A11CE">
        <w:rPr>
          <w:rFonts w:ascii="Times New Roman" w:hAnsi="Times New Roman"/>
        </w:rPr>
        <w:t>,</w:t>
      </w:r>
      <w:r w:rsidR="002C5217" w:rsidRPr="007A11CE">
        <w:rPr>
          <w:rStyle w:val="FootnoteReference"/>
          <w:rFonts w:ascii="Times New Roman" w:hAnsi="Times New Roman"/>
          <w:sz w:val="24"/>
        </w:rPr>
        <w:footnoteReference w:id="8"/>
      </w:r>
      <w:r w:rsidR="003A3BF4" w:rsidRPr="007A11CE">
        <w:rPr>
          <w:rFonts w:ascii="Times New Roman" w:hAnsi="Times New Roman"/>
        </w:rPr>
        <w:t xml:space="preserve"> </w:t>
      </w:r>
      <w:r w:rsidR="00E31EA5" w:rsidRPr="007A11CE">
        <w:rPr>
          <w:rFonts w:ascii="Times New Roman" w:hAnsi="Times New Roman"/>
        </w:rPr>
        <w:t>specified to include "proscription of persons or entities (for specified purposes or more generally)</w:t>
      </w:r>
      <w:r w:rsidR="002856FE" w:rsidRPr="007A11CE">
        <w:rPr>
          <w:rFonts w:ascii="Times New Roman" w:hAnsi="Times New Roman"/>
        </w:rPr>
        <w:t>"</w:t>
      </w:r>
      <w:r w:rsidR="002856FE" w:rsidRPr="007A11CE">
        <w:rPr>
          <w:rStyle w:val="FootnoteReference"/>
          <w:rFonts w:ascii="Times New Roman" w:hAnsi="Times New Roman"/>
          <w:sz w:val="24"/>
        </w:rPr>
        <w:footnoteReference w:id="9"/>
      </w:r>
      <w:r w:rsidR="002856FE" w:rsidRPr="007A11CE">
        <w:rPr>
          <w:rFonts w:ascii="Times New Roman" w:hAnsi="Times New Roman"/>
        </w:rPr>
        <w:t xml:space="preserve"> and "restriction or prevention of uses of, dealings with, and making available of</w:t>
      </w:r>
      <w:r w:rsidR="00A83173" w:rsidRPr="007A11CE">
        <w:rPr>
          <w:rFonts w:ascii="Times New Roman" w:hAnsi="Times New Roman"/>
        </w:rPr>
        <w:t>,</w:t>
      </w:r>
      <w:r w:rsidR="002856FE" w:rsidRPr="007A11CE">
        <w:rPr>
          <w:rFonts w:ascii="Times New Roman" w:hAnsi="Times New Roman"/>
        </w:rPr>
        <w:t xml:space="preserve"> assets"</w:t>
      </w:r>
      <w:r w:rsidR="00BC6075" w:rsidRPr="007A11CE">
        <w:rPr>
          <w:rFonts w:ascii="Times New Roman" w:hAnsi="Times New Roman"/>
        </w:rPr>
        <w:t>,</w:t>
      </w:r>
      <w:r w:rsidR="002856FE" w:rsidRPr="007A11CE">
        <w:rPr>
          <w:rStyle w:val="FootnoteReference"/>
          <w:rFonts w:ascii="Times New Roman" w:hAnsi="Times New Roman"/>
          <w:sz w:val="24"/>
        </w:rPr>
        <w:footnoteReference w:id="10"/>
      </w:r>
      <w:r w:rsidR="00213BD0" w:rsidRPr="007A11CE">
        <w:rPr>
          <w:rFonts w:ascii="Times New Roman" w:hAnsi="Times New Roman"/>
        </w:rPr>
        <w:t xml:space="preserve"> </w:t>
      </w:r>
      <w:r w:rsidR="00950544" w:rsidRPr="007A11CE">
        <w:rPr>
          <w:rFonts w:ascii="Times New Roman" w:hAnsi="Times New Roman"/>
        </w:rPr>
        <w:t>if the Minister is satisfied that th</w:t>
      </w:r>
      <w:r w:rsidR="00776151" w:rsidRPr="007A11CE">
        <w:rPr>
          <w:rFonts w:ascii="Times New Roman" w:hAnsi="Times New Roman"/>
        </w:rPr>
        <w:t>ose</w:t>
      </w:r>
      <w:r w:rsidR="00950544" w:rsidRPr="007A11CE">
        <w:rPr>
          <w:rFonts w:ascii="Times New Roman" w:hAnsi="Times New Roman"/>
        </w:rPr>
        <w:t xml:space="preserve"> regulations </w:t>
      </w:r>
      <w:r w:rsidR="00776151" w:rsidRPr="007A11CE">
        <w:rPr>
          <w:rFonts w:ascii="Times New Roman" w:hAnsi="Times New Roman"/>
        </w:rPr>
        <w:t>"</w:t>
      </w:r>
      <w:r w:rsidR="000709AB" w:rsidRPr="007A11CE">
        <w:rPr>
          <w:rFonts w:ascii="Times New Roman" w:hAnsi="Times New Roman"/>
        </w:rPr>
        <w:t>will</w:t>
      </w:r>
      <w:r w:rsidR="00776151" w:rsidRPr="007A11CE">
        <w:rPr>
          <w:rFonts w:ascii="Times New Roman" w:hAnsi="Times New Roman"/>
        </w:rPr>
        <w:t xml:space="preserve"> </w:t>
      </w:r>
      <w:r w:rsidR="000709AB" w:rsidRPr="007A11CE">
        <w:rPr>
          <w:rFonts w:ascii="Times New Roman" w:hAnsi="Times New Roman"/>
        </w:rPr>
        <w:t xml:space="preserve">facilitate the conduct of Australia's relations with other countries </w:t>
      </w:r>
      <w:r w:rsidR="004720FB" w:rsidRPr="007A11CE">
        <w:rPr>
          <w:rFonts w:ascii="Times New Roman" w:hAnsi="Times New Roman"/>
        </w:rPr>
        <w:t xml:space="preserve">or with entities or persons outside Australia" </w:t>
      </w:r>
      <w:r w:rsidR="00776151" w:rsidRPr="007A11CE">
        <w:rPr>
          <w:rFonts w:ascii="Times New Roman" w:hAnsi="Times New Roman"/>
        </w:rPr>
        <w:t xml:space="preserve">or "will </w:t>
      </w:r>
      <w:r w:rsidR="003D60A7" w:rsidRPr="007A11CE">
        <w:rPr>
          <w:rFonts w:ascii="Times New Roman" w:hAnsi="Times New Roman"/>
        </w:rPr>
        <w:t xml:space="preserve">otherwise deal with matters, </w:t>
      </w:r>
      <w:r w:rsidR="003D60A7" w:rsidRPr="007A11CE">
        <w:rPr>
          <w:rFonts w:ascii="Times New Roman" w:hAnsi="Times New Roman"/>
        </w:rPr>
        <w:lastRenderedPageBreak/>
        <w:t>things or relationships outside Australia".</w:t>
      </w:r>
      <w:r w:rsidR="005B4072" w:rsidRPr="007A11CE">
        <w:rPr>
          <w:rStyle w:val="FootnoteReference"/>
          <w:rFonts w:ascii="Times New Roman" w:hAnsi="Times New Roman"/>
          <w:sz w:val="24"/>
        </w:rPr>
        <w:footnoteReference w:id="11"/>
      </w:r>
      <w:r w:rsidR="003D60A7" w:rsidRPr="007A11CE">
        <w:rPr>
          <w:rFonts w:ascii="Times New Roman" w:hAnsi="Times New Roman"/>
        </w:rPr>
        <w:t xml:space="preserve"> </w:t>
      </w:r>
      <w:r w:rsidR="00313812" w:rsidRPr="007A11CE">
        <w:rPr>
          <w:rFonts w:ascii="Times New Roman" w:hAnsi="Times New Roman"/>
        </w:rPr>
        <w:t xml:space="preserve">An </w:t>
      </w:r>
      <w:r w:rsidR="00082F37" w:rsidRPr="007A11CE">
        <w:rPr>
          <w:rFonts w:ascii="Times New Roman" w:hAnsi="Times New Roman"/>
        </w:rPr>
        <w:t>"</w:t>
      </w:r>
      <w:r w:rsidR="00313812" w:rsidRPr="007A11CE">
        <w:rPr>
          <w:rFonts w:ascii="Times New Roman" w:hAnsi="Times New Roman"/>
        </w:rPr>
        <w:t>asset</w:t>
      </w:r>
      <w:r w:rsidR="00082F37" w:rsidRPr="007A11CE">
        <w:rPr>
          <w:rFonts w:ascii="Times New Roman" w:hAnsi="Times New Roman"/>
        </w:rPr>
        <w:t xml:space="preserve">" within the meaning of the Act, and </w:t>
      </w:r>
      <w:r w:rsidR="005364FE" w:rsidRPr="007A11CE">
        <w:rPr>
          <w:rFonts w:ascii="Times New Roman" w:hAnsi="Times New Roman"/>
        </w:rPr>
        <w:t>therefore</w:t>
      </w:r>
      <w:r w:rsidR="006B15D8" w:rsidRPr="007A11CE">
        <w:rPr>
          <w:rFonts w:ascii="Times New Roman" w:hAnsi="Times New Roman"/>
        </w:rPr>
        <w:t xml:space="preserve"> </w:t>
      </w:r>
      <w:r w:rsidR="0093224F" w:rsidRPr="007A11CE">
        <w:rPr>
          <w:rFonts w:ascii="Times New Roman" w:hAnsi="Times New Roman"/>
        </w:rPr>
        <w:t xml:space="preserve">within the meaning </w:t>
      </w:r>
      <w:r w:rsidR="006B15D8" w:rsidRPr="007A11CE">
        <w:rPr>
          <w:rFonts w:ascii="Times New Roman" w:hAnsi="Times New Roman"/>
        </w:rPr>
        <w:t xml:space="preserve">of </w:t>
      </w:r>
      <w:r w:rsidR="00082F37" w:rsidRPr="007A11CE">
        <w:rPr>
          <w:rFonts w:ascii="Times New Roman" w:hAnsi="Times New Roman"/>
        </w:rPr>
        <w:t xml:space="preserve">a regulation made under </w:t>
      </w:r>
      <w:r w:rsidR="008A63ED" w:rsidRPr="007A11CE">
        <w:rPr>
          <w:rFonts w:ascii="Times New Roman" w:hAnsi="Times New Roman"/>
        </w:rPr>
        <w:t>the Act</w:t>
      </w:r>
      <w:r w:rsidR="00082F37" w:rsidRPr="007A11CE">
        <w:rPr>
          <w:rFonts w:ascii="Times New Roman" w:hAnsi="Times New Roman"/>
        </w:rPr>
        <w:t>,</w:t>
      </w:r>
      <w:r w:rsidR="00082F37" w:rsidRPr="007A11CE">
        <w:rPr>
          <w:rStyle w:val="FootnoteReference"/>
          <w:rFonts w:ascii="Times New Roman" w:hAnsi="Times New Roman"/>
          <w:sz w:val="24"/>
        </w:rPr>
        <w:footnoteReference w:id="12"/>
      </w:r>
      <w:r w:rsidR="008C78E0" w:rsidRPr="007A11CE">
        <w:rPr>
          <w:rFonts w:ascii="Times New Roman" w:hAnsi="Times New Roman"/>
        </w:rPr>
        <w:t xml:space="preserve"> </w:t>
      </w:r>
      <w:r w:rsidR="0093224F" w:rsidRPr="007A11CE">
        <w:rPr>
          <w:rFonts w:ascii="Times New Roman" w:hAnsi="Times New Roman"/>
        </w:rPr>
        <w:t>encompasses</w:t>
      </w:r>
      <w:r w:rsidR="008C78E0" w:rsidRPr="007A11CE">
        <w:rPr>
          <w:rFonts w:ascii="Times New Roman" w:hAnsi="Times New Roman"/>
        </w:rPr>
        <w:t xml:space="preserve"> </w:t>
      </w:r>
      <w:r w:rsidR="00343C4C" w:rsidRPr="007A11CE">
        <w:rPr>
          <w:rFonts w:ascii="Times New Roman" w:hAnsi="Times New Roman"/>
        </w:rPr>
        <w:t xml:space="preserve">"an </w:t>
      </w:r>
      <w:r w:rsidR="0027680C" w:rsidRPr="007A11CE">
        <w:rPr>
          <w:rFonts w:ascii="Times New Roman" w:hAnsi="Times New Roman"/>
        </w:rPr>
        <w:t>asset of any kind or property of any kind, whether tangible or intangible, movable or immovable</w:t>
      </w:r>
      <w:r w:rsidR="006B15D8" w:rsidRPr="007A11CE">
        <w:rPr>
          <w:rFonts w:ascii="Times New Roman" w:hAnsi="Times New Roman"/>
        </w:rPr>
        <w:t xml:space="preserve">, however acquired" and </w:t>
      </w:r>
      <w:r w:rsidR="002B0DA4" w:rsidRPr="007A11CE">
        <w:rPr>
          <w:rFonts w:ascii="Times New Roman" w:hAnsi="Times New Roman"/>
        </w:rPr>
        <w:t>"</w:t>
      </w:r>
      <w:r w:rsidR="008A63ED" w:rsidRPr="007A11CE">
        <w:rPr>
          <w:rFonts w:ascii="Times New Roman" w:hAnsi="Times New Roman"/>
        </w:rPr>
        <w:t xml:space="preserve">a legal document or instrument </w:t>
      </w:r>
      <w:r w:rsidR="00821F00" w:rsidRPr="007A11CE">
        <w:rPr>
          <w:rFonts w:ascii="Times New Roman" w:hAnsi="Times New Roman"/>
        </w:rPr>
        <w:t xml:space="preserve">in any form </w:t>
      </w:r>
      <w:r w:rsidR="007F09F7" w:rsidRPr="007A11CE">
        <w:rPr>
          <w:rFonts w:ascii="Times New Roman" w:hAnsi="Times New Roman"/>
        </w:rPr>
        <w:t xml:space="preserve">(including </w:t>
      </w:r>
      <w:r w:rsidR="00331241" w:rsidRPr="007A11CE">
        <w:rPr>
          <w:rFonts w:ascii="Times New Roman" w:hAnsi="Times New Roman"/>
        </w:rPr>
        <w:t xml:space="preserve">electronic or digital) </w:t>
      </w:r>
      <w:r w:rsidR="00821F00" w:rsidRPr="007A11CE">
        <w:rPr>
          <w:rFonts w:ascii="Times New Roman" w:hAnsi="Times New Roman"/>
        </w:rPr>
        <w:t xml:space="preserve">evidencing title to, or interest in, </w:t>
      </w:r>
      <w:r w:rsidR="00BD5AFB" w:rsidRPr="007A11CE">
        <w:rPr>
          <w:rFonts w:ascii="Times New Roman" w:hAnsi="Times New Roman"/>
        </w:rPr>
        <w:t>such an asset or such property"</w:t>
      </w:r>
      <w:r w:rsidR="009A7ED5" w:rsidRPr="007A11CE">
        <w:rPr>
          <w:rFonts w:ascii="Times New Roman" w:hAnsi="Times New Roman"/>
        </w:rPr>
        <w:t>.</w:t>
      </w:r>
      <w:r w:rsidR="00BD5AFB" w:rsidRPr="007A11CE">
        <w:rPr>
          <w:rStyle w:val="FootnoteReference"/>
          <w:rFonts w:ascii="Times New Roman" w:hAnsi="Times New Roman"/>
          <w:sz w:val="24"/>
        </w:rPr>
        <w:footnoteReference w:id="13"/>
      </w:r>
      <w:r w:rsidR="009A7ED5" w:rsidRPr="007A11CE">
        <w:rPr>
          <w:rFonts w:ascii="Times New Roman" w:hAnsi="Times New Roman"/>
        </w:rPr>
        <w:t xml:space="preserve"> Examples of </w:t>
      </w:r>
      <w:r w:rsidR="009E4679" w:rsidRPr="007A11CE">
        <w:rPr>
          <w:rFonts w:ascii="Times New Roman" w:hAnsi="Times New Roman"/>
        </w:rPr>
        <w:t xml:space="preserve">such documents and instruments are </w:t>
      </w:r>
      <w:r w:rsidR="00BC5B62" w:rsidRPr="007A11CE">
        <w:rPr>
          <w:rFonts w:ascii="Times New Roman" w:hAnsi="Times New Roman"/>
        </w:rPr>
        <w:t>"bank credits, travellers cheques, bank cheques, money orders, shares, securities, bonds, debt instruments, dra</w:t>
      </w:r>
      <w:r w:rsidR="0022626F" w:rsidRPr="007A11CE">
        <w:rPr>
          <w:rFonts w:ascii="Times New Roman" w:hAnsi="Times New Roman"/>
        </w:rPr>
        <w:t>fts</w:t>
      </w:r>
      <w:r w:rsidR="00BC5B62" w:rsidRPr="007A11CE">
        <w:rPr>
          <w:rFonts w:ascii="Times New Roman" w:hAnsi="Times New Roman"/>
        </w:rPr>
        <w:t xml:space="preserve"> and letters of credit".</w:t>
      </w:r>
      <w:r w:rsidR="0022626F" w:rsidRPr="007A11CE">
        <w:rPr>
          <w:rStyle w:val="FootnoteReference"/>
          <w:rFonts w:ascii="Times New Roman" w:hAnsi="Times New Roman"/>
          <w:sz w:val="24"/>
        </w:rPr>
        <w:footnoteReference w:id="14"/>
      </w:r>
      <w:r w:rsidR="009E02C3" w:rsidRPr="007A11CE">
        <w:rPr>
          <w:rFonts w:ascii="Times New Roman" w:hAnsi="Times New Roman"/>
        </w:rPr>
        <w:t xml:space="preserve"> </w:t>
      </w:r>
    </w:p>
    <w:p w14:paraId="1D02C743" w14:textId="57BE03D2" w:rsidR="005703AF" w:rsidRPr="007A11CE" w:rsidRDefault="005703AF"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7D4AD3" w:rsidRPr="007A11CE">
        <w:rPr>
          <w:rFonts w:ascii="Times New Roman" w:hAnsi="Times New Roman"/>
        </w:rPr>
        <w:t>The Act provides for enforcement of autonomous sanctions</w:t>
      </w:r>
      <w:r w:rsidR="001B27E4" w:rsidRPr="007A11CE">
        <w:rPr>
          <w:rFonts w:ascii="Times New Roman" w:hAnsi="Times New Roman"/>
        </w:rPr>
        <w:t xml:space="preserve"> </w:t>
      </w:r>
      <w:r w:rsidR="00AC1438" w:rsidRPr="007A11CE">
        <w:rPr>
          <w:rFonts w:ascii="Times New Roman" w:hAnsi="Times New Roman"/>
        </w:rPr>
        <w:t xml:space="preserve">in two distinct ways. The </w:t>
      </w:r>
      <w:r w:rsidR="00B954AA" w:rsidRPr="007A11CE">
        <w:rPr>
          <w:rFonts w:ascii="Times New Roman" w:hAnsi="Times New Roman"/>
        </w:rPr>
        <w:t xml:space="preserve">first </w:t>
      </w:r>
      <w:r w:rsidR="00AC1438" w:rsidRPr="007A11CE">
        <w:rPr>
          <w:rFonts w:ascii="Times New Roman" w:hAnsi="Times New Roman"/>
        </w:rPr>
        <w:t xml:space="preserve">is </w:t>
      </w:r>
      <w:r w:rsidR="00B954AA" w:rsidRPr="007A11CE">
        <w:rPr>
          <w:rFonts w:ascii="Times New Roman" w:hAnsi="Times New Roman"/>
        </w:rPr>
        <w:t xml:space="preserve">by </w:t>
      </w:r>
      <w:r w:rsidR="00A86920" w:rsidRPr="007A11CE">
        <w:rPr>
          <w:rFonts w:ascii="Times New Roman" w:hAnsi="Times New Roman"/>
        </w:rPr>
        <w:t>empowering</w:t>
      </w:r>
      <w:r w:rsidR="00870174" w:rsidRPr="007A11CE">
        <w:rPr>
          <w:rFonts w:ascii="Times New Roman" w:hAnsi="Times New Roman"/>
        </w:rPr>
        <w:t xml:space="preserve"> the grant by</w:t>
      </w:r>
      <w:r w:rsidR="005F0DA7" w:rsidRPr="007A11CE">
        <w:rPr>
          <w:rFonts w:ascii="Times New Roman" w:hAnsi="Times New Roman"/>
        </w:rPr>
        <w:t xml:space="preserve"> the Federal Court of Australia </w:t>
      </w:r>
      <w:r w:rsidR="00AC1438" w:rsidRPr="007A11CE">
        <w:rPr>
          <w:rFonts w:ascii="Times New Roman" w:hAnsi="Times New Roman"/>
        </w:rPr>
        <w:t>or</w:t>
      </w:r>
      <w:r w:rsidR="005F0DA7" w:rsidRPr="007A11CE">
        <w:rPr>
          <w:rFonts w:ascii="Times New Roman" w:hAnsi="Times New Roman"/>
        </w:rPr>
        <w:t xml:space="preserve"> the Supreme Court of a State or Territory</w:t>
      </w:r>
      <w:r w:rsidR="00AC1438" w:rsidRPr="007A11CE">
        <w:rPr>
          <w:rFonts w:ascii="Times New Roman" w:hAnsi="Times New Roman"/>
        </w:rPr>
        <w:t xml:space="preserve">, </w:t>
      </w:r>
      <w:r w:rsidR="00531E76" w:rsidRPr="007A11CE">
        <w:rPr>
          <w:rFonts w:ascii="Times New Roman" w:hAnsi="Times New Roman"/>
        </w:rPr>
        <w:t>on the application of the Attorney-General of the Commonwealth</w:t>
      </w:r>
      <w:r w:rsidR="00AC1438" w:rsidRPr="007A11CE">
        <w:rPr>
          <w:rFonts w:ascii="Times New Roman" w:hAnsi="Times New Roman"/>
        </w:rPr>
        <w:t>,</w:t>
      </w:r>
      <w:r w:rsidR="00531E76" w:rsidRPr="007A11CE">
        <w:rPr>
          <w:rFonts w:ascii="Times New Roman" w:hAnsi="Times New Roman"/>
        </w:rPr>
        <w:t xml:space="preserve"> </w:t>
      </w:r>
      <w:r w:rsidR="002971CB" w:rsidRPr="007A11CE">
        <w:rPr>
          <w:rFonts w:ascii="Times New Roman" w:hAnsi="Times New Roman"/>
        </w:rPr>
        <w:t xml:space="preserve">of an injunction </w:t>
      </w:r>
      <w:r w:rsidR="003E08F1" w:rsidRPr="007A11CE">
        <w:rPr>
          <w:rFonts w:ascii="Times New Roman" w:hAnsi="Times New Roman"/>
        </w:rPr>
        <w:t>restraining a person from engaging in conduct in contravention of regulations</w:t>
      </w:r>
      <w:r w:rsidR="009C00DB" w:rsidRPr="007A11CE">
        <w:rPr>
          <w:rFonts w:ascii="Times New Roman" w:hAnsi="Times New Roman"/>
        </w:rPr>
        <w:t xml:space="preserve"> made under the Act</w:t>
      </w:r>
      <w:r w:rsidR="0003158D" w:rsidRPr="007A11CE">
        <w:rPr>
          <w:rFonts w:ascii="Times New Roman" w:hAnsi="Times New Roman"/>
        </w:rPr>
        <w:t>.</w:t>
      </w:r>
      <w:r w:rsidR="0003158D" w:rsidRPr="007A11CE">
        <w:rPr>
          <w:rStyle w:val="FootnoteReference"/>
          <w:rFonts w:ascii="Times New Roman" w:hAnsi="Times New Roman"/>
          <w:sz w:val="24"/>
        </w:rPr>
        <w:footnoteReference w:id="15"/>
      </w:r>
      <w:r w:rsidR="005F0DA7" w:rsidRPr="007A11CE">
        <w:rPr>
          <w:rFonts w:ascii="Times New Roman" w:hAnsi="Times New Roman"/>
        </w:rPr>
        <w:t xml:space="preserve"> </w:t>
      </w:r>
      <w:r w:rsidR="000D7B9A" w:rsidRPr="007A11CE">
        <w:rPr>
          <w:rFonts w:ascii="Times New Roman" w:hAnsi="Times New Roman"/>
        </w:rPr>
        <w:t xml:space="preserve">The second is by </w:t>
      </w:r>
      <w:r w:rsidR="00790606" w:rsidRPr="007A11CE">
        <w:rPr>
          <w:rFonts w:ascii="Times New Roman" w:hAnsi="Times New Roman"/>
        </w:rPr>
        <w:t xml:space="preserve">empowering the Minister, for the purpose of furthering the main objects of the Act, </w:t>
      </w:r>
      <w:r w:rsidR="00D2122F" w:rsidRPr="007A11CE">
        <w:rPr>
          <w:rFonts w:ascii="Times New Roman" w:hAnsi="Times New Roman"/>
        </w:rPr>
        <w:t>by legislative instrument</w:t>
      </w:r>
      <w:r w:rsidR="00EC2703" w:rsidRPr="007A11CE">
        <w:rPr>
          <w:rFonts w:ascii="Times New Roman" w:hAnsi="Times New Roman"/>
        </w:rPr>
        <w:t>,</w:t>
      </w:r>
      <w:r w:rsidR="00D2122F" w:rsidRPr="007A11CE">
        <w:rPr>
          <w:rFonts w:ascii="Times New Roman" w:hAnsi="Times New Roman"/>
        </w:rPr>
        <w:t xml:space="preserve"> t</w:t>
      </w:r>
      <w:r w:rsidR="00E410F1" w:rsidRPr="007A11CE">
        <w:rPr>
          <w:rFonts w:ascii="Times New Roman" w:hAnsi="Times New Roman"/>
        </w:rPr>
        <w:t xml:space="preserve">o specify </w:t>
      </w:r>
      <w:r w:rsidR="00D21F59" w:rsidRPr="007A11CE">
        <w:rPr>
          <w:rFonts w:ascii="Times New Roman" w:hAnsi="Times New Roman"/>
        </w:rPr>
        <w:t>a regulation made under the Act or another law</w:t>
      </w:r>
      <w:r w:rsidR="00E410F1" w:rsidRPr="007A11CE">
        <w:rPr>
          <w:rFonts w:ascii="Times New Roman" w:hAnsi="Times New Roman"/>
        </w:rPr>
        <w:t xml:space="preserve"> of the </w:t>
      </w:r>
      <w:r w:rsidR="00DA0D0A" w:rsidRPr="007A11CE">
        <w:rPr>
          <w:rFonts w:ascii="Times New Roman" w:hAnsi="Times New Roman"/>
        </w:rPr>
        <w:t xml:space="preserve">Commonwealth </w:t>
      </w:r>
      <w:r w:rsidR="0090271D" w:rsidRPr="007A11CE">
        <w:rPr>
          <w:rFonts w:ascii="Times New Roman" w:hAnsi="Times New Roman"/>
        </w:rPr>
        <w:t>to be a "sanction law"</w:t>
      </w:r>
      <w:r w:rsidR="00D85EE9" w:rsidRPr="007A11CE">
        <w:rPr>
          <w:rFonts w:ascii="Times New Roman" w:hAnsi="Times New Roman"/>
        </w:rPr>
        <w:t>.</w:t>
      </w:r>
      <w:r w:rsidR="0090271D" w:rsidRPr="007A11CE">
        <w:rPr>
          <w:rStyle w:val="FootnoteReference"/>
          <w:rFonts w:ascii="Times New Roman" w:hAnsi="Times New Roman"/>
          <w:sz w:val="24"/>
        </w:rPr>
        <w:footnoteReference w:id="16"/>
      </w:r>
      <w:r w:rsidR="0090271D" w:rsidRPr="007A11CE">
        <w:rPr>
          <w:rFonts w:ascii="Times New Roman" w:hAnsi="Times New Roman"/>
        </w:rPr>
        <w:t xml:space="preserve"> </w:t>
      </w:r>
      <w:r w:rsidR="00A83173" w:rsidRPr="007A11CE">
        <w:rPr>
          <w:rFonts w:ascii="Times New Roman" w:hAnsi="Times New Roman"/>
        </w:rPr>
        <w:t xml:space="preserve">One of the </w:t>
      </w:r>
      <w:r w:rsidR="00441212" w:rsidRPr="007A11CE">
        <w:rPr>
          <w:rFonts w:ascii="Times New Roman" w:hAnsi="Times New Roman"/>
        </w:rPr>
        <w:t>effect</w:t>
      </w:r>
      <w:r w:rsidR="00A83173" w:rsidRPr="007A11CE">
        <w:rPr>
          <w:rFonts w:ascii="Times New Roman" w:hAnsi="Times New Roman"/>
        </w:rPr>
        <w:t>s</w:t>
      </w:r>
      <w:r w:rsidR="00441212" w:rsidRPr="007A11CE">
        <w:rPr>
          <w:rFonts w:ascii="Times New Roman" w:hAnsi="Times New Roman"/>
        </w:rPr>
        <w:t xml:space="preserve"> of </w:t>
      </w:r>
      <w:r w:rsidR="00225DA6" w:rsidRPr="007A11CE">
        <w:rPr>
          <w:rFonts w:ascii="Times New Roman" w:hAnsi="Times New Roman"/>
        </w:rPr>
        <w:t xml:space="preserve">specification </w:t>
      </w:r>
      <w:r w:rsidR="00D21F59" w:rsidRPr="007A11CE">
        <w:rPr>
          <w:rFonts w:ascii="Times New Roman" w:hAnsi="Times New Roman"/>
        </w:rPr>
        <w:t>as</w:t>
      </w:r>
      <w:r w:rsidR="00CC7899" w:rsidRPr="007A11CE">
        <w:rPr>
          <w:rFonts w:ascii="Times New Roman" w:hAnsi="Times New Roman"/>
        </w:rPr>
        <w:t xml:space="preserve"> a sanction law </w:t>
      </w:r>
      <w:r w:rsidR="00B105DE" w:rsidRPr="007A11CE">
        <w:rPr>
          <w:rFonts w:ascii="Times New Roman" w:hAnsi="Times New Roman"/>
        </w:rPr>
        <w:t xml:space="preserve">is to make conduct </w:t>
      </w:r>
      <w:r w:rsidR="00A855FB" w:rsidRPr="007A11CE">
        <w:rPr>
          <w:rFonts w:ascii="Times New Roman" w:hAnsi="Times New Roman"/>
        </w:rPr>
        <w:t xml:space="preserve">in </w:t>
      </w:r>
      <w:r w:rsidR="00790F6D" w:rsidRPr="007A11CE">
        <w:rPr>
          <w:rFonts w:ascii="Times New Roman" w:hAnsi="Times New Roman"/>
        </w:rPr>
        <w:t>contravention of th</w:t>
      </w:r>
      <w:r w:rsidR="00CC7899" w:rsidRPr="007A11CE">
        <w:rPr>
          <w:rFonts w:ascii="Times New Roman" w:hAnsi="Times New Roman"/>
        </w:rPr>
        <w:t>at</w:t>
      </w:r>
      <w:r w:rsidR="00225DA6" w:rsidRPr="007A11CE">
        <w:rPr>
          <w:rFonts w:ascii="Times New Roman" w:hAnsi="Times New Roman"/>
        </w:rPr>
        <w:t xml:space="preserve"> law </w:t>
      </w:r>
      <w:r w:rsidR="00CC7899" w:rsidRPr="007A11CE">
        <w:rPr>
          <w:rFonts w:ascii="Times New Roman" w:hAnsi="Times New Roman"/>
        </w:rPr>
        <w:t xml:space="preserve">an offence under the </w:t>
      </w:r>
      <w:r w:rsidR="00A02EB5" w:rsidRPr="007A11CE">
        <w:rPr>
          <w:rFonts w:ascii="Times New Roman" w:hAnsi="Times New Roman"/>
        </w:rPr>
        <w:t xml:space="preserve">Act </w:t>
      </w:r>
      <w:r w:rsidR="00C52734" w:rsidRPr="007A11CE">
        <w:rPr>
          <w:rFonts w:ascii="Times New Roman" w:hAnsi="Times New Roman"/>
        </w:rPr>
        <w:t>if engaged in by an individual or a body corporate.</w:t>
      </w:r>
      <w:r w:rsidR="00C52734" w:rsidRPr="007A11CE">
        <w:rPr>
          <w:rStyle w:val="FootnoteReference"/>
          <w:rFonts w:ascii="Times New Roman" w:hAnsi="Times New Roman"/>
          <w:sz w:val="24"/>
        </w:rPr>
        <w:footnoteReference w:id="17"/>
      </w:r>
    </w:p>
    <w:p w14:paraId="71BE0B5A" w14:textId="7015E9DB" w:rsidR="0026723A" w:rsidRPr="007A11CE" w:rsidRDefault="0026723A"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AC5FAE" w:rsidRPr="007A11CE">
        <w:rPr>
          <w:rFonts w:ascii="Times New Roman" w:hAnsi="Times New Roman"/>
        </w:rPr>
        <w:t>T</w:t>
      </w:r>
      <w:r w:rsidR="001C375B" w:rsidRPr="007A11CE">
        <w:rPr>
          <w:rFonts w:ascii="Times New Roman" w:hAnsi="Times New Roman"/>
        </w:rPr>
        <w:t xml:space="preserve">he autonomous sanctions </w:t>
      </w:r>
      <w:r w:rsidR="00131361" w:rsidRPr="007A11CE">
        <w:rPr>
          <w:rFonts w:ascii="Times New Roman" w:hAnsi="Times New Roman"/>
        </w:rPr>
        <w:t>capable of being applied under</w:t>
      </w:r>
      <w:r w:rsidR="00C0201A" w:rsidRPr="007A11CE">
        <w:rPr>
          <w:rFonts w:ascii="Times New Roman" w:hAnsi="Times New Roman"/>
        </w:rPr>
        <w:t xml:space="preserve"> </w:t>
      </w:r>
      <w:r w:rsidR="001C375B" w:rsidRPr="007A11CE">
        <w:rPr>
          <w:rFonts w:ascii="Times New Roman" w:hAnsi="Times New Roman"/>
        </w:rPr>
        <w:t>the</w:t>
      </w:r>
      <w:r w:rsidR="003F00AB" w:rsidRPr="007A11CE">
        <w:rPr>
          <w:rFonts w:ascii="Times New Roman" w:hAnsi="Times New Roman"/>
        </w:rPr>
        <w:t xml:space="preserve"> Regulations </w:t>
      </w:r>
      <w:r w:rsidR="00F405B5" w:rsidRPr="007A11CE">
        <w:rPr>
          <w:rFonts w:ascii="Times New Roman" w:hAnsi="Times New Roman"/>
        </w:rPr>
        <w:t>include</w:t>
      </w:r>
      <w:r w:rsidR="003F00AB" w:rsidRPr="007A11CE">
        <w:rPr>
          <w:rFonts w:ascii="Times New Roman" w:hAnsi="Times New Roman"/>
        </w:rPr>
        <w:t xml:space="preserve"> </w:t>
      </w:r>
      <w:r w:rsidR="00222EB5" w:rsidRPr="007A11CE">
        <w:rPr>
          <w:rFonts w:ascii="Times New Roman" w:hAnsi="Times New Roman"/>
        </w:rPr>
        <w:t xml:space="preserve">country-specific </w:t>
      </w:r>
      <w:r w:rsidR="0025735F" w:rsidRPr="007A11CE">
        <w:rPr>
          <w:rFonts w:ascii="Times New Roman" w:hAnsi="Times New Roman"/>
        </w:rPr>
        <w:t>designation</w:t>
      </w:r>
      <w:r w:rsidR="00F3427C" w:rsidRPr="007A11CE">
        <w:rPr>
          <w:rFonts w:ascii="Times New Roman" w:hAnsi="Times New Roman"/>
        </w:rPr>
        <w:t>s</w:t>
      </w:r>
      <w:r w:rsidR="0025735F" w:rsidRPr="007A11CE">
        <w:rPr>
          <w:rFonts w:ascii="Times New Roman" w:hAnsi="Times New Roman"/>
        </w:rPr>
        <w:t xml:space="preserve"> of person</w:t>
      </w:r>
      <w:r w:rsidR="00825CC7" w:rsidRPr="007A11CE">
        <w:rPr>
          <w:rFonts w:ascii="Times New Roman" w:hAnsi="Times New Roman"/>
        </w:rPr>
        <w:t>s</w:t>
      </w:r>
      <w:r w:rsidR="0025735F" w:rsidRPr="007A11CE">
        <w:rPr>
          <w:rFonts w:ascii="Times New Roman" w:hAnsi="Times New Roman"/>
        </w:rPr>
        <w:t xml:space="preserve"> or entit</w:t>
      </w:r>
      <w:r w:rsidR="00435325" w:rsidRPr="007A11CE">
        <w:rPr>
          <w:rFonts w:ascii="Times New Roman" w:hAnsi="Times New Roman"/>
        </w:rPr>
        <w:t xml:space="preserve">ies </w:t>
      </w:r>
      <w:r w:rsidR="00856DA6" w:rsidRPr="007A11CE">
        <w:rPr>
          <w:rFonts w:ascii="Times New Roman" w:hAnsi="Times New Roman"/>
        </w:rPr>
        <w:t>and</w:t>
      </w:r>
      <w:r w:rsidR="00435325" w:rsidRPr="007A11CE">
        <w:rPr>
          <w:rFonts w:ascii="Times New Roman" w:hAnsi="Times New Roman"/>
        </w:rPr>
        <w:t xml:space="preserve"> declarations </w:t>
      </w:r>
      <w:r w:rsidR="00374153" w:rsidRPr="007A11CE">
        <w:rPr>
          <w:rFonts w:ascii="Times New Roman" w:hAnsi="Times New Roman"/>
        </w:rPr>
        <w:t>of persons</w:t>
      </w:r>
      <w:r w:rsidR="00126A5F" w:rsidRPr="007A11CE">
        <w:rPr>
          <w:rFonts w:ascii="Times New Roman" w:hAnsi="Times New Roman"/>
        </w:rPr>
        <w:t xml:space="preserve">, </w:t>
      </w:r>
      <w:r w:rsidR="002745B0" w:rsidRPr="007A11CE">
        <w:rPr>
          <w:rFonts w:ascii="Times New Roman" w:hAnsi="Times New Roman"/>
        </w:rPr>
        <w:t>for which provision is made in</w:t>
      </w:r>
      <w:r w:rsidR="00811251" w:rsidRPr="007A11CE">
        <w:rPr>
          <w:rFonts w:ascii="Times New Roman" w:hAnsi="Times New Roman"/>
        </w:rPr>
        <w:t xml:space="preserve"> </w:t>
      </w:r>
      <w:r w:rsidR="002B3429" w:rsidRPr="007A11CE">
        <w:rPr>
          <w:rFonts w:ascii="Times New Roman" w:hAnsi="Times New Roman"/>
        </w:rPr>
        <w:t>reg</w:t>
      </w:r>
      <w:r w:rsidR="002533CC" w:rsidRPr="007A11CE">
        <w:rPr>
          <w:rFonts w:ascii="Times New Roman" w:hAnsi="Times New Roman"/>
        </w:rPr>
        <w:t> </w:t>
      </w:r>
      <w:r w:rsidR="002B3429" w:rsidRPr="007A11CE">
        <w:rPr>
          <w:rFonts w:ascii="Times New Roman" w:hAnsi="Times New Roman"/>
        </w:rPr>
        <w:t xml:space="preserve">6. </w:t>
      </w:r>
      <w:r w:rsidR="005D2F83" w:rsidRPr="007A11CE">
        <w:rPr>
          <w:rFonts w:ascii="Times New Roman" w:hAnsi="Times New Roman"/>
        </w:rPr>
        <w:t>Under reg</w:t>
      </w:r>
      <w:r w:rsidR="0023778B" w:rsidRPr="007A11CE">
        <w:rPr>
          <w:rFonts w:ascii="Times New Roman" w:hAnsi="Times New Roman"/>
        </w:rPr>
        <w:t> </w:t>
      </w:r>
      <w:r w:rsidR="005D2F83" w:rsidRPr="007A11CE">
        <w:rPr>
          <w:rFonts w:ascii="Times New Roman" w:hAnsi="Times New Roman"/>
        </w:rPr>
        <w:t>6(a),</w:t>
      </w:r>
      <w:r w:rsidR="004A74CA" w:rsidRPr="007A11CE">
        <w:rPr>
          <w:rFonts w:ascii="Times New Roman" w:hAnsi="Times New Roman"/>
        </w:rPr>
        <w:t xml:space="preserve"> the Minister </w:t>
      </w:r>
      <w:r w:rsidR="0005183E" w:rsidRPr="007A11CE">
        <w:rPr>
          <w:rFonts w:ascii="Times New Roman" w:hAnsi="Times New Roman"/>
        </w:rPr>
        <w:t xml:space="preserve">can by legislative instrument </w:t>
      </w:r>
      <w:r w:rsidR="00B860F9" w:rsidRPr="007A11CE">
        <w:rPr>
          <w:rFonts w:ascii="Times New Roman" w:hAnsi="Times New Roman"/>
        </w:rPr>
        <w:t>designate</w:t>
      </w:r>
      <w:r w:rsidR="00025CE5" w:rsidRPr="007A11CE">
        <w:rPr>
          <w:rFonts w:ascii="Times New Roman" w:hAnsi="Times New Roman"/>
        </w:rPr>
        <w:t xml:space="preserve"> </w:t>
      </w:r>
      <w:r w:rsidR="00005BE1" w:rsidRPr="007A11CE">
        <w:rPr>
          <w:rFonts w:ascii="Times New Roman" w:hAnsi="Times New Roman"/>
        </w:rPr>
        <w:t xml:space="preserve">a </w:t>
      </w:r>
      <w:r w:rsidR="003F00AB" w:rsidRPr="007A11CE">
        <w:rPr>
          <w:rFonts w:ascii="Times New Roman" w:hAnsi="Times New Roman"/>
        </w:rPr>
        <w:t>person</w:t>
      </w:r>
      <w:r w:rsidR="00B240CE" w:rsidRPr="007A11CE">
        <w:rPr>
          <w:rFonts w:ascii="Times New Roman" w:hAnsi="Times New Roman"/>
        </w:rPr>
        <w:t xml:space="preserve"> or entit</w:t>
      </w:r>
      <w:r w:rsidR="00005BE1" w:rsidRPr="007A11CE">
        <w:rPr>
          <w:rFonts w:ascii="Times New Roman" w:hAnsi="Times New Roman"/>
        </w:rPr>
        <w:t>y</w:t>
      </w:r>
      <w:r w:rsidR="007A23C8" w:rsidRPr="007A11CE">
        <w:rPr>
          <w:rFonts w:ascii="Times New Roman" w:hAnsi="Times New Roman"/>
        </w:rPr>
        <w:t xml:space="preserve"> </w:t>
      </w:r>
      <w:r w:rsidR="00C63C2F" w:rsidRPr="007A11CE">
        <w:rPr>
          <w:rFonts w:ascii="Times New Roman" w:hAnsi="Times New Roman"/>
        </w:rPr>
        <w:t>mentioned in an item of the table within reg</w:t>
      </w:r>
      <w:r w:rsidR="0023778B" w:rsidRPr="007A11CE">
        <w:rPr>
          <w:rFonts w:ascii="Times New Roman" w:hAnsi="Times New Roman"/>
        </w:rPr>
        <w:t> </w:t>
      </w:r>
      <w:r w:rsidR="00C63C2F" w:rsidRPr="007A11CE">
        <w:rPr>
          <w:rFonts w:ascii="Times New Roman" w:hAnsi="Times New Roman"/>
        </w:rPr>
        <w:t xml:space="preserve">6 </w:t>
      </w:r>
      <w:r w:rsidR="00572269" w:rsidRPr="007A11CE">
        <w:rPr>
          <w:rFonts w:ascii="Times New Roman" w:hAnsi="Times New Roman"/>
        </w:rPr>
        <w:t>as a "designated person or entity</w:t>
      </w:r>
      <w:r w:rsidR="002745B0" w:rsidRPr="007A11CE">
        <w:rPr>
          <w:rFonts w:ascii="Times New Roman" w:hAnsi="Times New Roman"/>
        </w:rPr>
        <w:t xml:space="preserve">" for the country mentioned in the item. </w:t>
      </w:r>
      <w:r w:rsidR="009E52B5" w:rsidRPr="007A11CE">
        <w:rPr>
          <w:rFonts w:ascii="Times New Roman" w:hAnsi="Times New Roman"/>
        </w:rPr>
        <w:t>Under reg</w:t>
      </w:r>
      <w:r w:rsidR="0023778B" w:rsidRPr="007A11CE">
        <w:rPr>
          <w:rFonts w:ascii="Times New Roman" w:hAnsi="Times New Roman"/>
        </w:rPr>
        <w:t> </w:t>
      </w:r>
      <w:r w:rsidR="009E52B5" w:rsidRPr="007A11CE">
        <w:rPr>
          <w:rFonts w:ascii="Times New Roman" w:hAnsi="Times New Roman"/>
        </w:rPr>
        <w:t xml:space="preserve">6(b), the Minister can by legislative instrument </w:t>
      </w:r>
      <w:r w:rsidR="00321467" w:rsidRPr="007A11CE">
        <w:rPr>
          <w:rFonts w:ascii="Times New Roman" w:hAnsi="Times New Roman"/>
        </w:rPr>
        <w:t xml:space="preserve">declare </w:t>
      </w:r>
      <w:r w:rsidR="009E52B5" w:rsidRPr="007A11CE">
        <w:rPr>
          <w:rFonts w:ascii="Times New Roman" w:hAnsi="Times New Roman"/>
        </w:rPr>
        <w:t xml:space="preserve">a person mentioned in an item of the table </w:t>
      </w:r>
      <w:r w:rsidR="004E7B45" w:rsidRPr="007A11CE">
        <w:rPr>
          <w:rFonts w:ascii="Times New Roman" w:hAnsi="Times New Roman"/>
        </w:rPr>
        <w:t xml:space="preserve">"for the purpose of preventing the person from travelling to, entering or remaining in Australia". </w:t>
      </w:r>
      <w:r w:rsidR="00383231" w:rsidRPr="007A11CE">
        <w:rPr>
          <w:rFonts w:ascii="Times New Roman" w:hAnsi="Times New Roman"/>
        </w:rPr>
        <w:t xml:space="preserve">As </w:t>
      </w:r>
      <w:r w:rsidR="0040095F" w:rsidRPr="007A11CE">
        <w:rPr>
          <w:rFonts w:ascii="Times New Roman" w:hAnsi="Times New Roman"/>
        </w:rPr>
        <w:t xml:space="preserve">inserted by the </w:t>
      </w:r>
      <w:r w:rsidR="0040095F" w:rsidRPr="007A11CE">
        <w:rPr>
          <w:rFonts w:ascii="Times New Roman" w:hAnsi="Times New Roman"/>
          <w:i/>
          <w:iCs/>
        </w:rPr>
        <w:t>Autonomous Sanctions Amendment (Russia) Regulations 2022</w:t>
      </w:r>
      <w:r w:rsidR="000F4FA9" w:rsidRPr="007A11CE">
        <w:rPr>
          <w:rFonts w:ascii="Times New Roman" w:hAnsi="Times New Roman"/>
        </w:rPr>
        <w:t xml:space="preserve"> (Cth), </w:t>
      </w:r>
      <w:r w:rsidR="007A50A2" w:rsidRPr="007A11CE">
        <w:rPr>
          <w:rFonts w:ascii="Times New Roman" w:hAnsi="Times New Roman"/>
        </w:rPr>
        <w:t>item</w:t>
      </w:r>
      <w:r w:rsidR="006B0EFB" w:rsidRPr="007A11CE">
        <w:rPr>
          <w:rFonts w:ascii="Times New Roman" w:hAnsi="Times New Roman"/>
        </w:rPr>
        <w:t> </w:t>
      </w:r>
      <w:r w:rsidR="007A50A2" w:rsidRPr="007A11CE">
        <w:rPr>
          <w:rFonts w:ascii="Times New Roman" w:hAnsi="Times New Roman"/>
        </w:rPr>
        <w:t xml:space="preserve">6A of the table mentions </w:t>
      </w:r>
      <w:r w:rsidR="001179A2" w:rsidRPr="007A11CE">
        <w:rPr>
          <w:rFonts w:ascii="Times New Roman" w:hAnsi="Times New Roman"/>
        </w:rPr>
        <w:t>"</w:t>
      </w:r>
      <w:r w:rsidR="000420AC" w:rsidRPr="007A11CE">
        <w:rPr>
          <w:rFonts w:ascii="Times New Roman" w:hAnsi="Times New Roman"/>
        </w:rPr>
        <w:t>Russia</w:t>
      </w:r>
      <w:r w:rsidR="001179A2" w:rsidRPr="007A11CE">
        <w:rPr>
          <w:rFonts w:ascii="Times New Roman" w:hAnsi="Times New Roman"/>
        </w:rPr>
        <w:t xml:space="preserve">" and mentions </w:t>
      </w:r>
      <w:r w:rsidR="008959C4" w:rsidRPr="007A11CE">
        <w:rPr>
          <w:rFonts w:ascii="Times New Roman" w:hAnsi="Times New Roman"/>
        </w:rPr>
        <w:t xml:space="preserve">for that country </w:t>
      </w:r>
      <w:r w:rsidR="00F106C2" w:rsidRPr="007A11CE">
        <w:rPr>
          <w:rFonts w:ascii="Times New Roman" w:hAnsi="Times New Roman"/>
        </w:rPr>
        <w:t xml:space="preserve">"[a] </w:t>
      </w:r>
      <w:r w:rsidR="00370A3A" w:rsidRPr="007A11CE">
        <w:rPr>
          <w:rFonts w:ascii="Times New Roman" w:hAnsi="Times New Roman"/>
        </w:rPr>
        <w:t xml:space="preserve">person or entity that the </w:t>
      </w:r>
      <w:r w:rsidR="00A635EC" w:rsidRPr="007A11CE">
        <w:rPr>
          <w:rFonts w:ascii="Times New Roman" w:hAnsi="Times New Roman"/>
        </w:rPr>
        <w:lastRenderedPageBreak/>
        <w:t>M</w:t>
      </w:r>
      <w:r w:rsidR="00370A3A" w:rsidRPr="007A11CE">
        <w:rPr>
          <w:rFonts w:ascii="Times New Roman" w:hAnsi="Times New Roman"/>
        </w:rPr>
        <w:t>inister is satisfied is, or has been, engaging in an activity or performing a function that is of economic</w:t>
      </w:r>
      <w:r w:rsidR="00DF0FFE" w:rsidRPr="007A11CE">
        <w:rPr>
          <w:rFonts w:ascii="Times New Roman" w:hAnsi="Times New Roman"/>
        </w:rPr>
        <w:t xml:space="preserve"> or strategic significance to Russia", </w:t>
      </w:r>
      <w:r w:rsidR="00A635EC" w:rsidRPr="007A11CE">
        <w:rPr>
          <w:rFonts w:ascii="Times New Roman" w:hAnsi="Times New Roman"/>
        </w:rPr>
        <w:t xml:space="preserve">"[a] current or former </w:t>
      </w:r>
      <w:r w:rsidR="00215D61" w:rsidRPr="007A11CE">
        <w:rPr>
          <w:rFonts w:ascii="Times New Roman" w:hAnsi="Times New Roman"/>
        </w:rPr>
        <w:t xml:space="preserve">Minister or senior official of the Russian Government" and "[a]n </w:t>
      </w:r>
      <w:r w:rsidR="001346D4" w:rsidRPr="007A11CE">
        <w:rPr>
          <w:rFonts w:ascii="Times New Roman" w:hAnsi="Times New Roman"/>
        </w:rPr>
        <w:t xml:space="preserve">immediate family member" of </w:t>
      </w:r>
      <w:r w:rsidR="00A33DE9" w:rsidRPr="007A11CE">
        <w:rPr>
          <w:rFonts w:ascii="Times New Roman" w:hAnsi="Times New Roman"/>
        </w:rPr>
        <w:t>such a person.</w:t>
      </w:r>
    </w:p>
    <w:p w14:paraId="0AEFAAB0" w14:textId="677DDF7A" w:rsidR="0055437A" w:rsidRPr="007A11CE" w:rsidRDefault="0055437A"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C72417" w:rsidRPr="007A11CE">
        <w:rPr>
          <w:rFonts w:ascii="Times New Roman" w:hAnsi="Times New Roman"/>
        </w:rPr>
        <w:t>Declaration of a person under reg</w:t>
      </w:r>
      <w:r w:rsidR="002B2241" w:rsidRPr="007A11CE">
        <w:rPr>
          <w:rFonts w:ascii="Times New Roman" w:hAnsi="Times New Roman"/>
        </w:rPr>
        <w:t> </w:t>
      </w:r>
      <w:r w:rsidR="00C72417" w:rsidRPr="007A11CE">
        <w:rPr>
          <w:rFonts w:ascii="Times New Roman" w:hAnsi="Times New Roman"/>
        </w:rPr>
        <w:t xml:space="preserve">6(b) </w:t>
      </w:r>
      <w:r w:rsidR="008130FA" w:rsidRPr="007A11CE">
        <w:rPr>
          <w:rFonts w:ascii="Times New Roman" w:hAnsi="Times New Roman"/>
        </w:rPr>
        <w:t>constitutes a ground for refusal of a visa</w:t>
      </w:r>
      <w:r w:rsidR="00514C2A" w:rsidRPr="007A11CE">
        <w:rPr>
          <w:rFonts w:ascii="Times New Roman" w:hAnsi="Times New Roman"/>
        </w:rPr>
        <w:t xml:space="preserve"> </w:t>
      </w:r>
      <w:r w:rsidR="008D339A" w:rsidRPr="007A11CE">
        <w:rPr>
          <w:rFonts w:ascii="Times New Roman" w:hAnsi="Times New Roman"/>
        </w:rPr>
        <w:t>or for cancellation of an existing visa.</w:t>
      </w:r>
      <w:r w:rsidR="008D339A" w:rsidRPr="007A11CE">
        <w:rPr>
          <w:rStyle w:val="FootnoteReference"/>
          <w:rFonts w:ascii="Times New Roman" w:hAnsi="Times New Roman"/>
          <w:sz w:val="24"/>
        </w:rPr>
        <w:footnoteReference w:id="18"/>
      </w:r>
    </w:p>
    <w:p w14:paraId="2ECB6662" w14:textId="1E6A41BC" w:rsidR="00205DE5" w:rsidRPr="007A11CE" w:rsidRDefault="00205DE5"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D41D63" w:rsidRPr="007A11CE">
        <w:rPr>
          <w:rFonts w:ascii="Times New Roman" w:hAnsi="Times New Roman"/>
        </w:rPr>
        <w:t>Designation of a person or entity under</w:t>
      </w:r>
      <w:r w:rsidR="00D719E7" w:rsidRPr="007A11CE">
        <w:rPr>
          <w:rFonts w:ascii="Times New Roman" w:hAnsi="Times New Roman"/>
        </w:rPr>
        <w:t xml:space="preserve"> reg</w:t>
      </w:r>
      <w:r w:rsidR="002B2241" w:rsidRPr="007A11CE">
        <w:rPr>
          <w:rFonts w:ascii="Times New Roman" w:hAnsi="Times New Roman"/>
        </w:rPr>
        <w:t> </w:t>
      </w:r>
      <w:r w:rsidR="00D719E7" w:rsidRPr="007A11CE">
        <w:rPr>
          <w:rFonts w:ascii="Times New Roman" w:hAnsi="Times New Roman"/>
        </w:rPr>
        <w:t xml:space="preserve">6(a) triggers the operation of </w:t>
      </w:r>
      <w:r w:rsidR="00022C2A" w:rsidRPr="007A11CE">
        <w:rPr>
          <w:rFonts w:ascii="Times New Roman" w:hAnsi="Times New Roman"/>
        </w:rPr>
        <w:t>regs</w:t>
      </w:r>
      <w:r w:rsidR="002B2241" w:rsidRPr="007A11CE">
        <w:rPr>
          <w:rFonts w:ascii="Times New Roman" w:hAnsi="Times New Roman"/>
        </w:rPr>
        <w:t> </w:t>
      </w:r>
      <w:r w:rsidR="00022C2A" w:rsidRPr="007A11CE">
        <w:rPr>
          <w:rFonts w:ascii="Times New Roman" w:hAnsi="Times New Roman"/>
        </w:rPr>
        <w:t>14 and 15</w:t>
      </w:r>
      <w:r w:rsidR="00D43CA5" w:rsidRPr="007A11CE">
        <w:rPr>
          <w:rFonts w:ascii="Times New Roman" w:hAnsi="Times New Roman"/>
        </w:rPr>
        <w:t xml:space="preserve">, </w:t>
      </w:r>
      <w:r w:rsidR="00022C2A" w:rsidRPr="007A11CE">
        <w:rPr>
          <w:rFonts w:ascii="Times New Roman" w:hAnsi="Times New Roman"/>
        </w:rPr>
        <w:t xml:space="preserve">each of which </w:t>
      </w:r>
      <w:r w:rsidR="00D43CA5" w:rsidRPr="007A11CE">
        <w:rPr>
          <w:rFonts w:ascii="Times New Roman" w:hAnsi="Times New Roman"/>
        </w:rPr>
        <w:t xml:space="preserve">has been </w:t>
      </w:r>
      <w:r w:rsidR="004E000F" w:rsidRPr="007A11CE">
        <w:rPr>
          <w:rFonts w:ascii="Times New Roman" w:hAnsi="Times New Roman"/>
        </w:rPr>
        <w:t xml:space="preserve">specified to be a sanction law </w:t>
      </w:r>
      <w:r w:rsidR="00E02533" w:rsidRPr="007A11CE">
        <w:rPr>
          <w:rFonts w:ascii="Times New Roman" w:hAnsi="Times New Roman"/>
        </w:rPr>
        <w:t>s</w:t>
      </w:r>
      <w:r w:rsidR="003B4179" w:rsidRPr="007A11CE">
        <w:rPr>
          <w:rFonts w:ascii="Times New Roman" w:hAnsi="Times New Roman"/>
        </w:rPr>
        <w:t>o</w:t>
      </w:r>
      <w:r w:rsidR="00E02533" w:rsidRPr="007A11CE">
        <w:rPr>
          <w:rFonts w:ascii="Times New Roman" w:hAnsi="Times New Roman"/>
        </w:rPr>
        <w:t xml:space="preserve"> as to result </w:t>
      </w:r>
      <w:r w:rsidR="008465BA" w:rsidRPr="007A11CE">
        <w:rPr>
          <w:rFonts w:ascii="Times New Roman" w:hAnsi="Times New Roman"/>
        </w:rPr>
        <w:t xml:space="preserve">in </w:t>
      </w:r>
      <w:r w:rsidR="00E02533" w:rsidRPr="007A11CE">
        <w:rPr>
          <w:rFonts w:ascii="Times New Roman" w:hAnsi="Times New Roman"/>
        </w:rPr>
        <w:t xml:space="preserve">its </w:t>
      </w:r>
      <w:r w:rsidR="008465BA" w:rsidRPr="007A11CE">
        <w:rPr>
          <w:rFonts w:ascii="Times New Roman" w:hAnsi="Times New Roman"/>
        </w:rPr>
        <w:t>contravention</w:t>
      </w:r>
      <w:r w:rsidR="00205BC2" w:rsidRPr="007A11CE">
        <w:rPr>
          <w:rFonts w:ascii="Times New Roman" w:hAnsi="Times New Roman"/>
        </w:rPr>
        <w:t xml:space="preserve"> </w:t>
      </w:r>
      <w:r w:rsidR="00F43D1C" w:rsidRPr="007A11CE">
        <w:rPr>
          <w:rFonts w:ascii="Times New Roman" w:hAnsi="Times New Roman"/>
        </w:rPr>
        <w:t xml:space="preserve">by an individual or a body corporate </w:t>
      </w:r>
      <w:r w:rsidR="00205BC2" w:rsidRPr="007A11CE">
        <w:rPr>
          <w:rFonts w:ascii="Times New Roman" w:hAnsi="Times New Roman"/>
        </w:rPr>
        <w:t>constituting</w:t>
      </w:r>
      <w:r w:rsidR="008465BA" w:rsidRPr="007A11CE">
        <w:rPr>
          <w:rFonts w:ascii="Times New Roman" w:hAnsi="Times New Roman"/>
        </w:rPr>
        <w:t xml:space="preserve"> an offence under the Act</w:t>
      </w:r>
      <w:r w:rsidR="00E02533" w:rsidRPr="007A11CE">
        <w:rPr>
          <w:rFonts w:ascii="Times New Roman" w:hAnsi="Times New Roman"/>
        </w:rPr>
        <w:t>.</w:t>
      </w:r>
      <w:r w:rsidR="00774166" w:rsidRPr="007A11CE">
        <w:rPr>
          <w:rStyle w:val="FootnoteReference"/>
          <w:rFonts w:ascii="Times New Roman" w:hAnsi="Times New Roman"/>
          <w:sz w:val="24"/>
        </w:rPr>
        <w:footnoteReference w:id="19"/>
      </w:r>
      <w:r w:rsidR="00774166" w:rsidRPr="007A11CE">
        <w:rPr>
          <w:rFonts w:ascii="Times New Roman" w:hAnsi="Times New Roman"/>
        </w:rPr>
        <w:t xml:space="preserve"> </w:t>
      </w:r>
      <w:r w:rsidR="00BA6146" w:rsidRPr="007A11CE">
        <w:rPr>
          <w:rFonts w:ascii="Times New Roman" w:hAnsi="Times New Roman"/>
        </w:rPr>
        <w:t xml:space="preserve">A person contravenes </w:t>
      </w:r>
      <w:r w:rsidR="00F25FF4" w:rsidRPr="007A11CE">
        <w:rPr>
          <w:rFonts w:ascii="Times New Roman" w:hAnsi="Times New Roman"/>
        </w:rPr>
        <w:t>reg</w:t>
      </w:r>
      <w:r w:rsidR="00B22C61" w:rsidRPr="007A11CE">
        <w:rPr>
          <w:rFonts w:ascii="Times New Roman" w:hAnsi="Times New Roman"/>
        </w:rPr>
        <w:t> </w:t>
      </w:r>
      <w:r w:rsidR="00F25FF4" w:rsidRPr="007A11CE">
        <w:rPr>
          <w:rFonts w:ascii="Times New Roman" w:hAnsi="Times New Roman"/>
        </w:rPr>
        <w:t xml:space="preserve">14 if </w:t>
      </w:r>
      <w:r w:rsidR="001472C4" w:rsidRPr="007A11CE">
        <w:rPr>
          <w:rFonts w:ascii="Times New Roman" w:hAnsi="Times New Roman"/>
        </w:rPr>
        <w:t xml:space="preserve">the person </w:t>
      </w:r>
      <w:r w:rsidR="00235EB1" w:rsidRPr="007A11CE">
        <w:rPr>
          <w:rFonts w:ascii="Times New Roman" w:hAnsi="Times New Roman"/>
        </w:rPr>
        <w:t>"</w:t>
      </w:r>
      <w:r w:rsidR="001472C4" w:rsidRPr="007A11CE">
        <w:rPr>
          <w:rFonts w:ascii="Times New Roman" w:hAnsi="Times New Roman"/>
        </w:rPr>
        <w:t>directly or indirectly makes an asset available to, or for the benefit of, a designated person or entity</w:t>
      </w:r>
      <w:r w:rsidR="00235EB1" w:rsidRPr="007A11CE">
        <w:rPr>
          <w:rFonts w:ascii="Times New Roman" w:hAnsi="Times New Roman"/>
        </w:rPr>
        <w:t>"</w:t>
      </w:r>
      <w:r w:rsidR="001472C4" w:rsidRPr="007A11CE">
        <w:rPr>
          <w:rFonts w:ascii="Times New Roman" w:hAnsi="Times New Roman"/>
        </w:rPr>
        <w:t xml:space="preserve"> and the making available of the asset is not authorised by a permit granted under</w:t>
      </w:r>
      <w:r w:rsidR="00235EB1" w:rsidRPr="007A11CE">
        <w:rPr>
          <w:rFonts w:ascii="Times New Roman" w:hAnsi="Times New Roman"/>
        </w:rPr>
        <w:t xml:space="preserve"> reg</w:t>
      </w:r>
      <w:r w:rsidR="00B22C61" w:rsidRPr="007A11CE">
        <w:rPr>
          <w:rFonts w:ascii="Times New Roman" w:hAnsi="Times New Roman"/>
        </w:rPr>
        <w:t> </w:t>
      </w:r>
      <w:r w:rsidR="00235EB1" w:rsidRPr="007A11CE">
        <w:rPr>
          <w:rFonts w:ascii="Times New Roman" w:hAnsi="Times New Roman"/>
        </w:rPr>
        <w:t>18.</w:t>
      </w:r>
      <w:r w:rsidR="00235EB1" w:rsidRPr="007A11CE">
        <w:rPr>
          <w:rStyle w:val="FootnoteReference"/>
          <w:rFonts w:ascii="Times New Roman" w:hAnsi="Times New Roman"/>
          <w:sz w:val="24"/>
        </w:rPr>
        <w:footnoteReference w:id="20"/>
      </w:r>
      <w:r w:rsidR="00235EB1" w:rsidRPr="007A11CE">
        <w:rPr>
          <w:rFonts w:ascii="Times New Roman" w:hAnsi="Times New Roman"/>
        </w:rPr>
        <w:t xml:space="preserve"> </w:t>
      </w:r>
      <w:r w:rsidR="00E41317" w:rsidRPr="007A11CE">
        <w:rPr>
          <w:rFonts w:ascii="Times New Roman" w:hAnsi="Times New Roman"/>
        </w:rPr>
        <w:t>A person contravenes reg</w:t>
      </w:r>
      <w:r w:rsidR="00B22C61" w:rsidRPr="007A11CE">
        <w:rPr>
          <w:rFonts w:ascii="Times New Roman" w:hAnsi="Times New Roman"/>
        </w:rPr>
        <w:t> </w:t>
      </w:r>
      <w:r w:rsidR="00E41317" w:rsidRPr="007A11CE">
        <w:rPr>
          <w:rFonts w:ascii="Times New Roman" w:hAnsi="Times New Roman"/>
        </w:rPr>
        <w:t xml:space="preserve">15 if the person </w:t>
      </w:r>
      <w:r w:rsidR="003D4494" w:rsidRPr="007A11CE">
        <w:rPr>
          <w:rFonts w:ascii="Times New Roman" w:hAnsi="Times New Roman"/>
        </w:rPr>
        <w:t>"holds</w:t>
      </w:r>
      <w:r w:rsidR="00F076B5" w:rsidRPr="007A11CE">
        <w:rPr>
          <w:rFonts w:ascii="Times New Roman" w:hAnsi="Times New Roman"/>
        </w:rPr>
        <w:t>"</w:t>
      </w:r>
      <w:r w:rsidR="003D4494" w:rsidRPr="007A11CE">
        <w:rPr>
          <w:rFonts w:ascii="Times New Roman" w:hAnsi="Times New Roman"/>
        </w:rPr>
        <w:t xml:space="preserve"> </w:t>
      </w:r>
      <w:r w:rsidR="00FF1230" w:rsidRPr="007A11CE">
        <w:rPr>
          <w:rFonts w:ascii="Times New Roman" w:hAnsi="Times New Roman"/>
        </w:rPr>
        <w:t xml:space="preserve">a </w:t>
      </w:r>
      <w:r w:rsidR="00F076B5" w:rsidRPr="007A11CE">
        <w:rPr>
          <w:rFonts w:ascii="Times New Roman" w:hAnsi="Times New Roman"/>
        </w:rPr>
        <w:t>"</w:t>
      </w:r>
      <w:r w:rsidR="00FF1230" w:rsidRPr="007A11CE">
        <w:rPr>
          <w:rFonts w:ascii="Times New Roman" w:hAnsi="Times New Roman"/>
        </w:rPr>
        <w:t xml:space="preserve">controlled asset" </w:t>
      </w:r>
      <w:r w:rsidR="00160AF4" w:rsidRPr="007A11CE">
        <w:rPr>
          <w:rFonts w:ascii="Times New Roman" w:hAnsi="Times New Roman"/>
        </w:rPr>
        <w:t xml:space="preserve">(being "an asset </w:t>
      </w:r>
      <w:r w:rsidR="005B040B" w:rsidRPr="007A11CE">
        <w:rPr>
          <w:rFonts w:ascii="Times New Roman" w:hAnsi="Times New Roman"/>
        </w:rPr>
        <w:t>owned or controlled by a designated</w:t>
      </w:r>
      <w:r w:rsidR="0001029B" w:rsidRPr="007A11CE">
        <w:rPr>
          <w:rFonts w:ascii="Times New Roman" w:hAnsi="Times New Roman"/>
        </w:rPr>
        <w:t xml:space="preserve"> person or entity"</w:t>
      </w:r>
      <w:r w:rsidR="0001029B" w:rsidRPr="007A11CE">
        <w:rPr>
          <w:rStyle w:val="FootnoteReference"/>
          <w:rFonts w:ascii="Times New Roman" w:hAnsi="Times New Roman"/>
          <w:sz w:val="24"/>
        </w:rPr>
        <w:footnoteReference w:id="21"/>
      </w:r>
      <w:r w:rsidR="0001029B" w:rsidRPr="007A11CE">
        <w:rPr>
          <w:rFonts w:ascii="Times New Roman" w:hAnsi="Times New Roman"/>
        </w:rPr>
        <w:t xml:space="preserve">) </w:t>
      </w:r>
      <w:r w:rsidR="00FF1230" w:rsidRPr="007A11CE">
        <w:rPr>
          <w:rFonts w:ascii="Times New Roman" w:hAnsi="Times New Roman"/>
        </w:rPr>
        <w:t xml:space="preserve">and "uses or deals with the asset" or </w:t>
      </w:r>
      <w:r w:rsidR="00F537F9" w:rsidRPr="007A11CE">
        <w:rPr>
          <w:rFonts w:ascii="Times New Roman" w:hAnsi="Times New Roman"/>
        </w:rPr>
        <w:t>"allows</w:t>
      </w:r>
      <w:r w:rsidR="00296DFE" w:rsidRPr="007A11CE">
        <w:rPr>
          <w:rFonts w:ascii="Times New Roman" w:hAnsi="Times New Roman"/>
        </w:rPr>
        <w:t xml:space="preserve"> the asset to be used or dealt with" or "facilitates the use of the asset or dealing with the asset"</w:t>
      </w:r>
      <w:r w:rsidR="00FD3ED4" w:rsidRPr="007A11CE">
        <w:rPr>
          <w:rFonts w:ascii="Times New Roman" w:hAnsi="Times New Roman"/>
        </w:rPr>
        <w:t xml:space="preserve"> </w:t>
      </w:r>
      <w:r w:rsidR="00F511F4" w:rsidRPr="007A11CE">
        <w:rPr>
          <w:rFonts w:ascii="Times New Roman" w:hAnsi="Times New Roman"/>
        </w:rPr>
        <w:t xml:space="preserve">and </w:t>
      </w:r>
      <w:r w:rsidR="00FD3ED4" w:rsidRPr="007A11CE">
        <w:rPr>
          <w:rFonts w:ascii="Times New Roman" w:hAnsi="Times New Roman"/>
        </w:rPr>
        <w:t xml:space="preserve">the use or dealing </w:t>
      </w:r>
      <w:r w:rsidR="009E51E5" w:rsidRPr="007A11CE">
        <w:rPr>
          <w:rFonts w:ascii="Times New Roman" w:hAnsi="Times New Roman"/>
        </w:rPr>
        <w:t>is not authorised by a permit granted under reg</w:t>
      </w:r>
      <w:r w:rsidR="00B22C61" w:rsidRPr="007A11CE">
        <w:rPr>
          <w:rFonts w:ascii="Times New Roman" w:hAnsi="Times New Roman"/>
        </w:rPr>
        <w:t> </w:t>
      </w:r>
      <w:r w:rsidR="009E51E5" w:rsidRPr="007A11CE">
        <w:rPr>
          <w:rFonts w:ascii="Times New Roman" w:hAnsi="Times New Roman"/>
        </w:rPr>
        <w:t>18.</w:t>
      </w:r>
      <w:r w:rsidR="009E51E5" w:rsidRPr="007A11CE">
        <w:rPr>
          <w:rStyle w:val="FootnoteReference"/>
          <w:rFonts w:ascii="Times New Roman" w:hAnsi="Times New Roman"/>
          <w:sz w:val="24"/>
        </w:rPr>
        <w:footnoteReference w:id="22"/>
      </w:r>
    </w:p>
    <w:p w14:paraId="30818356" w14:textId="43D86554" w:rsidR="001508E3" w:rsidRPr="007A11CE" w:rsidRDefault="001508E3"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A55D26" w:rsidRPr="007A11CE">
        <w:rPr>
          <w:rFonts w:ascii="Times New Roman" w:hAnsi="Times New Roman"/>
        </w:rPr>
        <w:t>Regulation</w:t>
      </w:r>
      <w:r w:rsidR="00B22C61" w:rsidRPr="007A11CE">
        <w:rPr>
          <w:rFonts w:ascii="Times New Roman" w:hAnsi="Times New Roman"/>
        </w:rPr>
        <w:t> </w:t>
      </w:r>
      <w:r w:rsidR="00A55D26" w:rsidRPr="007A11CE">
        <w:rPr>
          <w:rFonts w:ascii="Times New Roman" w:hAnsi="Times New Roman"/>
        </w:rPr>
        <w:t xml:space="preserve">18 </w:t>
      </w:r>
      <w:r w:rsidR="00E112AB" w:rsidRPr="007A11CE">
        <w:rPr>
          <w:rFonts w:ascii="Times New Roman" w:hAnsi="Times New Roman"/>
        </w:rPr>
        <w:t>empowers the Minister</w:t>
      </w:r>
      <w:r w:rsidR="00D037CA" w:rsidRPr="007A11CE">
        <w:rPr>
          <w:rFonts w:ascii="Times New Roman" w:hAnsi="Times New Roman"/>
        </w:rPr>
        <w:t xml:space="preserve"> </w:t>
      </w:r>
      <w:r w:rsidR="00E112AB" w:rsidRPr="007A11CE">
        <w:rPr>
          <w:rFonts w:ascii="Times New Roman" w:hAnsi="Times New Roman"/>
        </w:rPr>
        <w:t>to grant a permit authorising</w:t>
      </w:r>
      <w:r w:rsidR="006836D7" w:rsidRPr="007A11CE">
        <w:rPr>
          <w:rFonts w:ascii="Times New Roman" w:hAnsi="Times New Roman"/>
        </w:rPr>
        <w:t xml:space="preserve">, </w:t>
      </w:r>
      <w:r w:rsidR="008E1910" w:rsidRPr="007A11CE">
        <w:rPr>
          <w:rFonts w:ascii="Times New Roman" w:hAnsi="Times New Roman"/>
        </w:rPr>
        <w:t>amongst other things</w:t>
      </w:r>
      <w:r w:rsidR="006836D7" w:rsidRPr="007A11CE">
        <w:rPr>
          <w:rFonts w:ascii="Times New Roman" w:hAnsi="Times New Roman"/>
        </w:rPr>
        <w:t xml:space="preserve">, "the making available of an asset to a person or entity </w:t>
      </w:r>
      <w:r w:rsidR="008E1910" w:rsidRPr="007A11CE">
        <w:rPr>
          <w:rFonts w:ascii="Times New Roman" w:hAnsi="Times New Roman"/>
        </w:rPr>
        <w:t xml:space="preserve">that would otherwise contravene regulation 14" or </w:t>
      </w:r>
      <w:r w:rsidR="007D02EE" w:rsidRPr="007A11CE">
        <w:rPr>
          <w:rFonts w:ascii="Times New Roman" w:hAnsi="Times New Roman"/>
        </w:rPr>
        <w:t xml:space="preserve">"a use of, or </w:t>
      </w:r>
      <w:r w:rsidR="00182461" w:rsidRPr="007A11CE">
        <w:rPr>
          <w:rFonts w:ascii="Times New Roman" w:hAnsi="Times New Roman"/>
        </w:rPr>
        <w:t xml:space="preserve">a </w:t>
      </w:r>
      <w:r w:rsidR="007D02EE" w:rsidRPr="007A11CE">
        <w:rPr>
          <w:rFonts w:ascii="Times New Roman" w:hAnsi="Times New Roman"/>
        </w:rPr>
        <w:t>dealing with, a controlled asset".</w:t>
      </w:r>
      <w:r w:rsidR="007F128A" w:rsidRPr="007A11CE">
        <w:rPr>
          <w:rStyle w:val="FootnoteReference"/>
          <w:rFonts w:ascii="Times New Roman" w:hAnsi="Times New Roman"/>
          <w:sz w:val="24"/>
        </w:rPr>
        <w:footnoteReference w:id="23"/>
      </w:r>
      <w:r w:rsidR="00D037CA" w:rsidRPr="007A11CE">
        <w:rPr>
          <w:rFonts w:ascii="Times New Roman" w:hAnsi="Times New Roman"/>
        </w:rPr>
        <w:t xml:space="preserve"> The Minister </w:t>
      </w:r>
      <w:r w:rsidR="007F128A" w:rsidRPr="007A11CE">
        <w:rPr>
          <w:rFonts w:ascii="Times New Roman" w:hAnsi="Times New Roman"/>
        </w:rPr>
        <w:t xml:space="preserve">may grant such a permit </w:t>
      </w:r>
      <w:r w:rsidR="00D037CA" w:rsidRPr="007A11CE">
        <w:rPr>
          <w:rFonts w:ascii="Times New Roman" w:hAnsi="Times New Roman"/>
        </w:rPr>
        <w:t>on application by a person or on the Minister's initiative</w:t>
      </w:r>
      <w:r w:rsidR="00491917" w:rsidRPr="007A11CE">
        <w:rPr>
          <w:rFonts w:ascii="Times New Roman" w:hAnsi="Times New Roman"/>
        </w:rPr>
        <w:t>,</w:t>
      </w:r>
      <w:r w:rsidR="007F128A" w:rsidRPr="007A11CE">
        <w:rPr>
          <w:rStyle w:val="FootnoteReference"/>
          <w:rFonts w:ascii="Times New Roman" w:hAnsi="Times New Roman"/>
          <w:sz w:val="24"/>
        </w:rPr>
        <w:footnoteReference w:id="24"/>
      </w:r>
      <w:r w:rsidR="007F128A" w:rsidRPr="007A11CE">
        <w:rPr>
          <w:rFonts w:ascii="Times New Roman" w:hAnsi="Times New Roman"/>
        </w:rPr>
        <w:t xml:space="preserve"> but only</w:t>
      </w:r>
      <w:r w:rsidR="00D037CA" w:rsidRPr="007A11CE">
        <w:rPr>
          <w:rFonts w:ascii="Times New Roman" w:hAnsi="Times New Roman"/>
        </w:rPr>
        <w:t xml:space="preserve"> if satisfied that it would be in the national interest to do so</w:t>
      </w:r>
      <w:r w:rsidR="007F128A" w:rsidRPr="007A11CE">
        <w:rPr>
          <w:rFonts w:ascii="Times New Roman" w:hAnsi="Times New Roman"/>
        </w:rPr>
        <w:t>.</w:t>
      </w:r>
      <w:r w:rsidR="007F128A" w:rsidRPr="007A11CE">
        <w:rPr>
          <w:rStyle w:val="FootnoteReference"/>
          <w:rFonts w:ascii="Times New Roman" w:hAnsi="Times New Roman"/>
          <w:sz w:val="24"/>
        </w:rPr>
        <w:footnoteReference w:id="25"/>
      </w:r>
      <w:r w:rsidR="004C4603" w:rsidRPr="007A11CE">
        <w:rPr>
          <w:rFonts w:ascii="Times New Roman" w:hAnsi="Times New Roman"/>
        </w:rPr>
        <w:t xml:space="preserve"> </w:t>
      </w:r>
      <w:r w:rsidR="0076776D" w:rsidRPr="007A11CE">
        <w:rPr>
          <w:rFonts w:ascii="Times New Roman" w:hAnsi="Times New Roman"/>
        </w:rPr>
        <w:t xml:space="preserve">The power </w:t>
      </w:r>
      <w:r w:rsidR="002803EB" w:rsidRPr="007A11CE">
        <w:rPr>
          <w:rFonts w:ascii="Times New Roman" w:hAnsi="Times New Roman"/>
        </w:rPr>
        <w:t>so conferred by reg</w:t>
      </w:r>
      <w:r w:rsidR="00DA5683" w:rsidRPr="007A11CE">
        <w:rPr>
          <w:rFonts w:ascii="Times New Roman" w:hAnsi="Times New Roman"/>
        </w:rPr>
        <w:t> </w:t>
      </w:r>
      <w:r w:rsidR="002803EB" w:rsidRPr="007A11CE">
        <w:rPr>
          <w:rFonts w:ascii="Times New Roman" w:hAnsi="Times New Roman"/>
        </w:rPr>
        <w:t xml:space="preserve">18 includes </w:t>
      </w:r>
      <w:r w:rsidR="00EE736A" w:rsidRPr="007A11CE">
        <w:rPr>
          <w:rFonts w:ascii="Times New Roman" w:hAnsi="Times New Roman"/>
        </w:rPr>
        <w:t xml:space="preserve">a power, </w:t>
      </w:r>
      <w:r w:rsidR="00180FB9" w:rsidRPr="007A11CE">
        <w:rPr>
          <w:rFonts w:ascii="Times New Roman" w:hAnsi="Times New Roman"/>
        </w:rPr>
        <w:lastRenderedPageBreak/>
        <w:t xml:space="preserve">exercisable in the like manner and subject to the like condition, </w:t>
      </w:r>
      <w:r w:rsidR="00721308" w:rsidRPr="007A11CE">
        <w:rPr>
          <w:rFonts w:ascii="Times New Roman" w:hAnsi="Times New Roman"/>
        </w:rPr>
        <w:t>to revoke a permit that has been granted.</w:t>
      </w:r>
      <w:r w:rsidR="00721308" w:rsidRPr="007A11CE">
        <w:rPr>
          <w:rStyle w:val="FootnoteReference"/>
          <w:rFonts w:ascii="Times New Roman" w:hAnsi="Times New Roman"/>
          <w:sz w:val="24"/>
        </w:rPr>
        <w:footnoteReference w:id="26"/>
      </w:r>
    </w:p>
    <w:p w14:paraId="05662081" w14:textId="235FFE38" w:rsidR="00DF7388" w:rsidRPr="007A11CE" w:rsidRDefault="00DF7388" w:rsidP="007A11CE">
      <w:pPr>
        <w:pStyle w:val="HeadingL1"/>
        <w:spacing w:after="260" w:line="280" w:lineRule="exact"/>
        <w:ind w:right="0"/>
        <w:jc w:val="both"/>
        <w:rPr>
          <w:rFonts w:ascii="Times New Roman" w:hAnsi="Times New Roman"/>
        </w:rPr>
      </w:pPr>
      <w:r w:rsidRPr="007A11CE">
        <w:rPr>
          <w:rFonts w:ascii="Times New Roman" w:hAnsi="Times New Roman"/>
        </w:rPr>
        <w:t xml:space="preserve">The </w:t>
      </w:r>
      <w:r w:rsidR="00176675" w:rsidRPr="007A11CE">
        <w:rPr>
          <w:rFonts w:ascii="Times New Roman" w:hAnsi="Times New Roman"/>
        </w:rPr>
        <w:t>practical</w:t>
      </w:r>
      <w:r w:rsidRPr="007A11CE">
        <w:rPr>
          <w:rFonts w:ascii="Times New Roman" w:hAnsi="Times New Roman"/>
        </w:rPr>
        <w:t xml:space="preserve"> operation of </w:t>
      </w:r>
      <w:r w:rsidR="00A7566B" w:rsidRPr="007A11CE">
        <w:rPr>
          <w:rFonts w:ascii="Times New Roman" w:hAnsi="Times New Roman"/>
        </w:rPr>
        <w:t>r</w:t>
      </w:r>
      <w:r w:rsidR="005A5DB2" w:rsidRPr="007A11CE">
        <w:rPr>
          <w:rFonts w:ascii="Times New Roman" w:hAnsi="Times New Roman"/>
        </w:rPr>
        <w:t>eg</w:t>
      </w:r>
      <w:r w:rsidR="008E63D6" w:rsidRPr="007A11CE">
        <w:rPr>
          <w:rFonts w:ascii="Times New Roman" w:hAnsi="Times New Roman"/>
        </w:rPr>
        <w:t>s</w:t>
      </w:r>
      <w:r w:rsidR="00DA5683" w:rsidRPr="007A11CE">
        <w:rPr>
          <w:rFonts w:ascii="Times New Roman" w:hAnsi="Times New Roman"/>
        </w:rPr>
        <w:t> </w:t>
      </w:r>
      <w:r w:rsidR="008E63D6" w:rsidRPr="007A11CE">
        <w:rPr>
          <w:rFonts w:ascii="Times New Roman" w:hAnsi="Times New Roman"/>
        </w:rPr>
        <w:t>14 and 15</w:t>
      </w:r>
    </w:p>
    <w:p w14:paraId="2B55FD85" w14:textId="11B5737D" w:rsidR="00FA1C80" w:rsidRPr="007A11CE" w:rsidRDefault="006E683D"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20427D" w:rsidRPr="007A11CE">
        <w:rPr>
          <w:rFonts w:ascii="Times New Roman" w:hAnsi="Times New Roman"/>
        </w:rPr>
        <w:t>F</w:t>
      </w:r>
      <w:r w:rsidR="005271DA" w:rsidRPr="007A11CE">
        <w:rPr>
          <w:rFonts w:ascii="Times New Roman" w:hAnsi="Times New Roman"/>
        </w:rPr>
        <w:t>ollowing the de</w:t>
      </w:r>
      <w:r w:rsidR="006C6991" w:rsidRPr="007A11CE">
        <w:rPr>
          <w:rFonts w:ascii="Times New Roman" w:hAnsi="Times New Roman"/>
        </w:rPr>
        <w:t xml:space="preserve">signation and declaration of the appellant </w:t>
      </w:r>
      <w:r w:rsidR="002D254B" w:rsidRPr="007A11CE">
        <w:rPr>
          <w:rFonts w:ascii="Times New Roman" w:hAnsi="Times New Roman"/>
        </w:rPr>
        <w:t>under reg</w:t>
      </w:r>
      <w:r w:rsidR="00D96178" w:rsidRPr="007A11CE">
        <w:rPr>
          <w:rFonts w:ascii="Times New Roman" w:hAnsi="Times New Roman"/>
        </w:rPr>
        <w:t>s</w:t>
      </w:r>
      <w:r w:rsidR="000C039A" w:rsidRPr="007A11CE">
        <w:rPr>
          <w:rFonts w:ascii="Times New Roman" w:hAnsi="Times New Roman"/>
        </w:rPr>
        <w:t> </w:t>
      </w:r>
      <w:r w:rsidR="002D254B" w:rsidRPr="007A11CE">
        <w:rPr>
          <w:rFonts w:ascii="Times New Roman" w:hAnsi="Times New Roman"/>
        </w:rPr>
        <w:t xml:space="preserve">6(a) </w:t>
      </w:r>
      <w:r w:rsidR="0088137B" w:rsidRPr="007A11CE">
        <w:rPr>
          <w:rFonts w:ascii="Times New Roman" w:hAnsi="Times New Roman"/>
        </w:rPr>
        <w:t>and 6(b)</w:t>
      </w:r>
      <w:r w:rsidR="00102FC2" w:rsidRPr="007A11CE">
        <w:rPr>
          <w:rFonts w:ascii="Times New Roman" w:hAnsi="Times New Roman"/>
        </w:rPr>
        <w:t xml:space="preserve"> </w:t>
      </w:r>
      <w:r w:rsidR="00FF6379" w:rsidRPr="007A11CE">
        <w:rPr>
          <w:rFonts w:ascii="Times New Roman" w:hAnsi="Times New Roman"/>
        </w:rPr>
        <w:t>by legislative instrument on 17 March 2022</w:t>
      </w:r>
      <w:r w:rsidR="00CE37AC" w:rsidRPr="007A11CE">
        <w:rPr>
          <w:rFonts w:ascii="Times New Roman" w:hAnsi="Times New Roman"/>
        </w:rPr>
        <w:t xml:space="preserve"> </w:t>
      </w:r>
      <w:r w:rsidR="00173513" w:rsidRPr="007A11CE">
        <w:rPr>
          <w:rFonts w:ascii="Times New Roman" w:hAnsi="Times New Roman"/>
        </w:rPr>
        <w:t>(</w:t>
      </w:r>
      <w:r w:rsidR="00102FC2" w:rsidRPr="007A11CE">
        <w:rPr>
          <w:rFonts w:ascii="Times New Roman" w:hAnsi="Times New Roman"/>
        </w:rPr>
        <w:t xml:space="preserve">on the basis of the Minister </w:t>
      </w:r>
      <w:r w:rsidR="00034828" w:rsidRPr="007A11CE">
        <w:rPr>
          <w:rFonts w:ascii="Times New Roman" w:hAnsi="Times New Roman"/>
        </w:rPr>
        <w:t>then having been</w:t>
      </w:r>
      <w:r w:rsidR="00102FC2" w:rsidRPr="007A11CE">
        <w:rPr>
          <w:rFonts w:ascii="Times New Roman" w:hAnsi="Times New Roman"/>
        </w:rPr>
        <w:t xml:space="preserve"> satisfied </w:t>
      </w:r>
      <w:r w:rsidR="00F50211" w:rsidRPr="007A11CE">
        <w:rPr>
          <w:rFonts w:ascii="Times New Roman" w:hAnsi="Times New Roman"/>
        </w:rPr>
        <w:t xml:space="preserve">that </w:t>
      </w:r>
      <w:r w:rsidR="00034828" w:rsidRPr="007A11CE">
        <w:rPr>
          <w:rFonts w:ascii="Times New Roman" w:hAnsi="Times New Roman"/>
        </w:rPr>
        <w:t>the appellant</w:t>
      </w:r>
      <w:r w:rsidR="00F50211" w:rsidRPr="007A11CE">
        <w:rPr>
          <w:rFonts w:ascii="Times New Roman" w:hAnsi="Times New Roman"/>
        </w:rPr>
        <w:t xml:space="preserve"> </w:t>
      </w:r>
      <w:r w:rsidR="00BF3B17" w:rsidRPr="007A11CE">
        <w:rPr>
          <w:rFonts w:ascii="Times New Roman" w:hAnsi="Times New Roman"/>
        </w:rPr>
        <w:t>was</w:t>
      </w:r>
      <w:r w:rsidR="00102FC2" w:rsidRPr="007A11CE">
        <w:rPr>
          <w:rFonts w:ascii="Times New Roman" w:hAnsi="Times New Roman"/>
        </w:rPr>
        <w:t>, or ha</w:t>
      </w:r>
      <w:r w:rsidR="00BF3B17" w:rsidRPr="007A11CE">
        <w:rPr>
          <w:rFonts w:ascii="Times New Roman" w:hAnsi="Times New Roman"/>
        </w:rPr>
        <w:t>d</w:t>
      </w:r>
      <w:r w:rsidR="00102FC2" w:rsidRPr="007A11CE">
        <w:rPr>
          <w:rFonts w:ascii="Times New Roman" w:hAnsi="Times New Roman"/>
        </w:rPr>
        <w:t xml:space="preserve"> been, engaging in an activity or performing a function that </w:t>
      </w:r>
      <w:r w:rsidR="00BF3B17" w:rsidRPr="007A11CE">
        <w:rPr>
          <w:rFonts w:ascii="Times New Roman" w:hAnsi="Times New Roman"/>
        </w:rPr>
        <w:t>wa</w:t>
      </w:r>
      <w:r w:rsidR="00102FC2" w:rsidRPr="007A11CE">
        <w:rPr>
          <w:rFonts w:ascii="Times New Roman" w:hAnsi="Times New Roman"/>
        </w:rPr>
        <w:t>s of economic or strategic significance to Russia</w:t>
      </w:r>
      <w:r w:rsidR="00173513" w:rsidRPr="007A11CE">
        <w:rPr>
          <w:rFonts w:ascii="Times New Roman" w:hAnsi="Times New Roman"/>
        </w:rPr>
        <w:t>)</w:t>
      </w:r>
      <w:r w:rsidR="009802FE" w:rsidRPr="007A11CE">
        <w:rPr>
          <w:rFonts w:ascii="Times New Roman" w:hAnsi="Times New Roman"/>
        </w:rPr>
        <w:t xml:space="preserve">, </w:t>
      </w:r>
      <w:r w:rsidR="00F50211" w:rsidRPr="007A11CE">
        <w:rPr>
          <w:rFonts w:ascii="Times New Roman" w:hAnsi="Times New Roman"/>
        </w:rPr>
        <w:t>and</w:t>
      </w:r>
      <w:r w:rsidR="0098264F" w:rsidRPr="007A11CE">
        <w:rPr>
          <w:rFonts w:ascii="Times New Roman" w:hAnsi="Times New Roman"/>
        </w:rPr>
        <w:t xml:space="preserve"> before the commencement of the proceeding in the </w:t>
      </w:r>
      <w:r w:rsidR="00102FC2" w:rsidRPr="007A11CE">
        <w:rPr>
          <w:rFonts w:ascii="Times New Roman" w:hAnsi="Times New Roman"/>
        </w:rPr>
        <w:t xml:space="preserve">Federal Court challenging </w:t>
      </w:r>
      <w:r w:rsidR="00F50211" w:rsidRPr="007A11CE">
        <w:rPr>
          <w:rFonts w:ascii="Times New Roman" w:hAnsi="Times New Roman"/>
        </w:rPr>
        <w:t xml:space="preserve">the making of that </w:t>
      </w:r>
      <w:r w:rsidR="00BB2EBD" w:rsidRPr="007A11CE">
        <w:rPr>
          <w:rFonts w:ascii="Times New Roman" w:hAnsi="Times New Roman"/>
        </w:rPr>
        <w:t>legislative instrument</w:t>
      </w:r>
      <w:r w:rsidR="00936C8B" w:rsidRPr="007A11CE">
        <w:rPr>
          <w:rFonts w:ascii="Times New Roman" w:hAnsi="Times New Roman"/>
        </w:rPr>
        <w:t xml:space="preserve"> on </w:t>
      </w:r>
      <w:r w:rsidR="008B4EBE" w:rsidRPr="007A11CE">
        <w:rPr>
          <w:rFonts w:ascii="Times New Roman" w:hAnsi="Times New Roman"/>
        </w:rPr>
        <w:t>19</w:t>
      </w:r>
      <w:r w:rsidR="00936C8B" w:rsidRPr="007A11CE">
        <w:rPr>
          <w:rFonts w:ascii="Times New Roman" w:hAnsi="Times New Roman"/>
        </w:rPr>
        <w:t xml:space="preserve"> January 2023</w:t>
      </w:r>
      <w:r w:rsidR="00F50211" w:rsidRPr="007A11CE">
        <w:rPr>
          <w:rFonts w:ascii="Times New Roman" w:hAnsi="Times New Roman"/>
        </w:rPr>
        <w:t>, the Minister on 7 November 202</w:t>
      </w:r>
      <w:r w:rsidR="00EA4EAC" w:rsidRPr="007A11CE">
        <w:rPr>
          <w:rFonts w:ascii="Times New Roman" w:hAnsi="Times New Roman"/>
        </w:rPr>
        <w:t>2</w:t>
      </w:r>
      <w:r w:rsidR="00034828" w:rsidRPr="007A11CE">
        <w:rPr>
          <w:rFonts w:ascii="Times New Roman" w:hAnsi="Times New Roman"/>
        </w:rPr>
        <w:t xml:space="preserve"> </w:t>
      </w:r>
      <w:r w:rsidR="00625B89" w:rsidRPr="007A11CE">
        <w:rPr>
          <w:rFonts w:ascii="Times New Roman" w:hAnsi="Times New Roman"/>
        </w:rPr>
        <w:t>granted</w:t>
      </w:r>
      <w:r w:rsidR="00E978DD" w:rsidRPr="007A11CE">
        <w:rPr>
          <w:rFonts w:ascii="Times New Roman" w:hAnsi="Times New Roman"/>
        </w:rPr>
        <w:t xml:space="preserve"> a permit </w:t>
      </w:r>
      <w:r w:rsidR="00D40DCB" w:rsidRPr="007A11CE">
        <w:rPr>
          <w:rFonts w:ascii="Times New Roman" w:hAnsi="Times New Roman"/>
        </w:rPr>
        <w:t xml:space="preserve">under </w:t>
      </w:r>
      <w:r w:rsidR="009802FE" w:rsidRPr="007A11CE">
        <w:rPr>
          <w:rFonts w:ascii="Times New Roman" w:hAnsi="Times New Roman"/>
        </w:rPr>
        <w:t>reg</w:t>
      </w:r>
      <w:r w:rsidR="00963D78" w:rsidRPr="007A11CE">
        <w:rPr>
          <w:rFonts w:ascii="Times New Roman" w:hAnsi="Times New Roman"/>
        </w:rPr>
        <w:t> </w:t>
      </w:r>
      <w:r w:rsidR="009802FE" w:rsidRPr="007A11CE">
        <w:rPr>
          <w:rFonts w:ascii="Times New Roman" w:hAnsi="Times New Roman"/>
        </w:rPr>
        <w:t>18</w:t>
      </w:r>
      <w:r w:rsidR="008469CD" w:rsidRPr="007A11CE">
        <w:rPr>
          <w:rFonts w:ascii="Times New Roman" w:hAnsi="Times New Roman"/>
        </w:rPr>
        <w:t xml:space="preserve"> </w:t>
      </w:r>
      <w:r w:rsidR="00C73B74" w:rsidRPr="007A11CE">
        <w:rPr>
          <w:rFonts w:ascii="Times New Roman" w:hAnsi="Times New Roman"/>
        </w:rPr>
        <w:t>of the Regulations</w:t>
      </w:r>
      <w:r w:rsidR="00575216" w:rsidRPr="007A11CE">
        <w:rPr>
          <w:rFonts w:ascii="Times New Roman" w:hAnsi="Times New Roman"/>
        </w:rPr>
        <w:t xml:space="preserve">. The permit </w:t>
      </w:r>
      <w:r w:rsidR="003D33E3" w:rsidRPr="007A11CE">
        <w:rPr>
          <w:rFonts w:ascii="Times New Roman" w:hAnsi="Times New Roman"/>
        </w:rPr>
        <w:t>authori</w:t>
      </w:r>
      <w:r w:rsidR="007F234D" w:rsidRPr="007A11CE">
        <w:rPr>
          <w:rFonts w:ascii="Times New Roman" w:hAnsi="Times New Roman"/>
        </w:rPr>
        <w:t>s</w:t>
      </w:r>
      <w:r w:rsidR="003F0695" w:rsidRPr="007A11CE">
        <w:rPr>
          <w:rFonts w:ascii="Times New Roman" w:hAnsi="Times New Roman"/>
        </w:rPr>
        <w:t>ed</w:t>
      </w:r>
      <w:r w:rsidR="003D33E3" w:rsidRPr="007A11CE">
        <w:rPr>
          <w:rFonts w:ascii="Times New Roman" w:hAnsi="Times New Roman"/>
        </w:rPr>
        <w:t xml:space="preserve"> </w:t>
      </w:r>
      <w:r w:rsidR="009B6680" w:rsidRPr="007A11CE">
        <w:rPr>
          <w:rFonts w:ascii="Times New Roman" w:hAnsi="Times New Roman"/>
        </w:rPr>
        <w:t xml:space="preserve">both </w:t>
      </w:r>
      <w:r w:rsidR="003D33E3" w:rsidRPr="007A11CE">
        <w:rPr>
          <w:rFonts w:ascii="Times New Roman" w:hAnsi="Times New Roman"/>
        </w:rPr>
        <w:t xml:space="preserve">the making available of an asset </w:t>
      </w:r>
      <w:r w:rsidR="00C868E4" w:rsidRPr="007A11CE">
        <w:rPr>
          <w:rFonts w:ascii="Times New Roman" w:hAnsi="Times New Roman"/>
        </w:rPr>
        <w:t xml:space="preserve">to, or for the benefit of, a designated person or entity </w:t>
      </w:r>
      <w:r w:rsidR="007F234D" w:rsidRPr="007A11CE">
        <w:rPr>
          <w:rFonts w:ascii="Times New Roman" w:hAnsi="Times New Roman"/>
        </w:rPr>
        <w:t xml:space="preserve">and </w:t>
      </w:r>
      <w:r w:rsidR="009B6680" w:rsidRPr="007A11CE">
        <w:rPr>
          <w:rFonts w:ascii="Times New Roman" w:hAnsi="Times New Roman"/>
        </w:rPr>
        <w:t>the</w:t>
      </w:r>
      <w:r w:rsidR="007F234D" w:rsidRPr="007A11CE">
        <w:rPr>
          <w:rFonts w:ascii="Times New Roman" w:hAnsi="Times New Roman"/>
        </w:rPr>
        <w:t xml:space="preserve"> use of, or dealing with, a controlled asset</w:t>
      </w:r>
      <w:r w:rsidR="000D77F9" w:rsidRPr="007A11CE">
        <w:rPr>
          <w:rFonts w:ascii="Times New Roman" w:hAnsi="Times New Roman"/>
        </w:rPr>
        <w:t xml:space="preserve"> where doing so was associated with the provision of legal and ancillary services to a</w:t>
      </w:r>
      <w:r w:rsidR="00EE6C0E" w:rsidRPr="007A11CE">
        <w:rPr>
          <w:rFonts w:ascii="Times New Roman" w:hAnsi="Times New Roman"/>
        </w:rPr>
        <w:t xml:space="preserve"> designated person. </w:t>
      </w:r>
      <w:r w:rsidR="002B47FD" w:rsidRPr="007A11CE">
        <w:rPr>
          <w:rFonts w:ascii="Times New Roman" w:hAnsi="Times New Roman"/>
        </w:rPr>
        <w:t xml:space="preserve">The permit then granted has since been revoked and replaced </w:t>
      </w:r>
      <w:r w:rsidR="00EB7FFA" w:rsidRPr="007A11CE">
        <w:rPr>
          <w:rFonts w:ascii="Times New Roman" w:hAnsi="Times New Roman"/>
        </w:rPr>
        <w:t>by a further permit.</w:t>
      </w:r>
    </w:p>
    <w:p w14:paraId="19E47B6E" w14:textId="791C2E04" w:rsidR="00B11C09" w:rsidRPr="007A11CE" w:rsidRDefault="00B11C09"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3E2B36" w:rsidRPr="007A11CE">
        <w:rPr>
          <w:rFonts w:ascii="Times New Roman" w:hAnsi="Times New Roman"/>
        </w:rPr>
        <w:t>Before this Court</w:t>
      </w:r>
      <w:r w:rsidR="009111B6" w:rsidRPr="007A11CE">
        <w:rPr>
          <w:rFonts w:ascii="Times New Roman" w:hAnsi="Times New Roman"/>
        </w:rPr>
        <w:t xml:space="preserve">, as before the </w:t>
      </w:r>
      <w:r w:rsidR="0068700D" w:rsidRPr="007A11CE">
        <w:rPr>
          <w:rFonts w:ascii="Times New Roman" w:hAnsi="Times New Roman"/>
        </w:rPr>
        <w:t xml:space="preserve">Federal Court, it </w:t>
      </w:r>
      <w:r w:rsidR="005D2764" w:rsidRPr="007A11CE">
        <w:rPr>
          <w:rFonts w:ascii="Times New Roman" w:hAnsi="Times New Roman"/>
        </w:rPr>
        <w:t xml:space="preserve">has </w:t>
      </w:r>
      <w:r w:rsidR="0068700D" w:rsidRPr="007A11CE">
        <w:rPr>
          <w:rFonts w:ascii="Times New Roman" w:hAnsi="Times New Roman"/>
        </w:rPr>
        <w:t xml:space="preserve">remained common ground </w:t>
      </w:r>
      <w:r w:rsidR="005D2764" w:rsidRPr="007A11CE">
        <w:rPr>
          <w:rFonts w:ascii="Times New Roman" w:hAnsi="Times New Roman"/>
        </w:rPr>
        <w:t xml:space="preserve">between the parties </w:t>
      </w:r>
      <w:r w:rsidR="009A20B0" w:rsidRPr="007A11CE">
        <w:rPr>
          <w:rFonts w:ascii="Times New Roman" w:hAnsi="Times New Roman"/>
        </w:rPr>
        <w:t>that</w:t>
      </w:r>
      <w:r w:rsidR="005D2764" w:rsidRPr="007A11CE">
        <w:rPr>
          <w:rFonts w:ascii="Times New Roman" w:hAnsi="Times New Roman"/>
        </w:rPr>
        <w:t>, absent such a permit under reg</w:t>
      </w:r>
      <w:r w:rsidR="00963D78" w:rsidRPr="007A11CE">
        <w:rPr>
          <w:rFonts w:ascii="Times New Roman" w:hAnsi="Times New Roman"/>
        </w:rPr>
        <w:t> </w:t>
      </w:r>
      <w:r w:rsidR="005D2764" w:rsidRPr="007A11CE">
        <w:rPr>
          <w:rFonts w:ascii="Times New Roman" w:hAnsi="Times New Roman"/>
        </w:rPr>
        <w:t xml:space="preserve">18, </w:t>
      </w:r>
      <w:r w:rsidR="003B1CED" w:rsidRPr="007A11CE">
        <w:rPr>
          <w:rFonts w:ascii="Times New Roman" w:hAnsi="Times New Roman"/>
        </w:rPr>
        <w:t>regs</w:t>
      </w:r>
      <w:r w:rsidR="00963D78" w:rsidRPr="007A11CE">
        <w:rPr>
          <w:rFonts w:ascii="Times New Roman" w:hAnsi="Times New Roman"/>
        </w:rPr>
        <w:t> </w:t>
      </w:r>
      <w:r w:rsidR="003B1CED" w:rsidRPr="007A11CE">
        <w:rPr>
          <w:rFonts w:ascii="Times New Roman" w:hAnsi="Times New Roman"/>
        </w:rPr>
        <w:t>14 and 15</w:t>
      </w:r>
      <w:r w:rsidR="00BC5347" w:rsidRPr="007A11CE">
        <w:rPr>
          <w:rFonts w:ascii="Times New Roman" w:hAnsi="Times New Roman"/>
        </w:rPr>
        <w:t xml:space="preserve"> </w:t>
      </w:r>
      <w:r w:rsidR="004770B6" w:rsidRPr="007A11CE">
        <w:rPr>
          <w:rFonts w:ascii="Times New Roman" w:hAnsi="Times New Roman"/>
        </w:rPr>
        <w:t xml:space="preserve">would </w:t>
      </w:r>
      <w:r w:rsidR="00D00361" w:rsidRPr="007A11CE">
        <w:rPr>
          <w:rFonts w:ascii="Times New Roman" w:hAnsi="Times New Roman"/>
        </w:rPr>
        <w:t xml:space="preserve">have the practical operation of </w:t>
      </w:r>
      <w:r w:rsidR="003B1CED" w:rsidRPr="007A11CE">
        <w:rPr>
          <w:rFonts w:ascii="Times New Roman" w:hAnsi="Times New Roman"/>
        </w:rPr>
        <w:t>deny</w:t>
      </w:r>
      <w:r w:rsidR="00D00361" w:rsidRPr="007A11CE">
        <w:rPr>
          <w:rFonts w:ascii="Times New Roman" w:hAnsi="Times New Roman"/>
        </w:rPr>
        <w:t>ing</w:t>
      </w:r>
      <w:r w:rsidR="003B1CED" w:rsidRPr="007A11CE">
        <w:rPr>
          <w:rFonts w:ascii="Times New Roman" w:hAnsi="Times New Roman"/>
        </w:rPr>
        <w:t xml:space="preserve"> a designated person access to legal representation</w:t>
      </w:r>
      <w:r w:rsidR="00F5611A" w:rsidRPr="007A11CE">
        <w:rPr>
          <w:rFonts w:ascii="Times New Roman" w:hAnsi="Times New Roman"/>
        </w:rPr>
        <w:t xml:space="preserve"> unless regs</w:t>
      </w:r>
      <w:r w:rsidR="00C4647B" w:rsidRPr="007A11CE">
        <w:rPr>
          <w:rFonts w:ascii="Times New Roman" w:hAnsi="Times New Roman"/>
        </w:rPr>
        <w:t> </w:t>
      </w:r>
      <w:r w:rsidR="00F5611A" w:rsidRPr="007A11CE">
        <w:rPr>
          <w:rFonts w:ascii="Times New Roman" w:hAnsi="Times New Roman"/>
        </w:rPr>
        <w:t xml:space="preserve">14 and 15 can </w:t>
      </w:r>
      <w:r w:rsidR="00C4647B" w:rsidRPr="007A11CE">
        <w:rPr>
          <w:rFonts w:ascii="Times New Roman" w:hAnsi="Times New Roman"/>
        </w:rPr>
        <w:t xml:space="preserve">and must </w:t>
      </w:r>
      <w:r w:rsidR="00F5611A" w:rsidRPr="007A11CE">
        <w:rPr>
          <w:rFonts w:ascii="Times New Roman" w:hAnsi="Times New Roman"/>
        </w:rPr>
        <w:t xml:space="preserve">be read </w:t>
      </w:r>
      <w:r w:rsidR="008413A1" w:rsidRPr="007A11CE">
        <w:rPr>
          <w:rFonts w:ascii="Times New Roman" w:hAnsi="Times New Roman"/>
        </w:rPr>
        <w:t xml:space="preserve">and construed </w:t>
      </w:r>
      <w:r w:rsidR="00F5611A" w:rsidRPr="007A11CE">
        <w:rPr>
          <w:rFonts w:ascii="Times New Roman" w:hAnsi="Times New Roman"/>
        </w:rPr>
        <w:t>in accordance with s</w:t>
      </w:r>
      <w:r w:rsidR="00C4647B" w:rsidRPr="007A11CE">
        <w:rPr>
          <w:rFonts w:ascii="Times New Roman" w:hAnsi="Times New Roman"/>
        </w:rPr>
        <w:t> </w:t>
      </w:r>
      <w:r w:rsidR="00F5611A" w:rsidRPr="007A11CE">
        <w:rPr>
          <w:rFonts w:ascii="Times New Roman" w:hAnsi="Times New Roman"/>
        </w:rPr>
        <w:t xml:space="preserve">15A </w:t>
      </w:r>
      <w:r w:rsidR="00DA196B" w:rsidRPr="007A11CE">
        <w:rPr>
          <w:rFonts w:ascii="Times New Roman" w:hAnsi="Times New Roman"/>
        </w:rPr>
        <w:t xml:space="preserve">of the </w:t>
      </w:r>
      <w:r w:rsidR="00DA196B" w:rsidRPr="007A11CE">
        <w:rPr>
          <w:rFonts w:ascii="Times New Roman" w:hAnsi="Times New Roman"/>
          <w:i/>
          <w:iCs/>
        </w:rPr>
        <w:t xml:space="preserve">Acts Interpretation Act </w:t>
      </w:r>
      <w:r w:rsidR="00E46E4C" w:rsidRPr="007A11CE">
        <w:rPr>
          <w:rFonts w:ascii="Times New Roman" w:hAnsi="Times New Roman"/>
        </w:rPr>
        <w:t>and s</w:t>
      </w:r>
      <w:r w:rsidR="00C4647B" w:rsidRPr="007A11CE">
        <w:rPr>
          <w:rFonts w:ascii="Times New Roman" w:hAnsi="Times New Roman"/>
        </w:rPr>
        <w:t> </w:t>
      </w:r>
      <w:r w:rsidR="00E46E4C" w:rsidRPr="007A11CE">
        <w:rPr>
          <w:rFonts w:ascii="Times New Roman" w:hAnsi="Times New Roman"/>
        </w:rPr>
        <w:t xml:space="preserve">13 of the </w:t>
      </w:r>
      <w:r w:rsidR="00E46E4C" w:rsidRPr="007A11CE">
        <w:rPr>
          <w:rFonts w:ascii="Times New Roman" w:hAnsi="Times New Roman"/>
          <w:i/>
          <w:iCs/>
        </w:rPr>
        <w:t xml:space="preserve">Legislation Act </w:t>
      </w:r>
      <w:r w:rsidR="00F5611A" w:rsidRPr="007A11CE">
        <w:rPr>
          <w:rFonts w:ascii="Times New Roman" w:hAnsi="Times New Roman"/>
        </w:rPr>
        <w:t>to have a narrower practical operation</w:t>
      </w:r>
      <w:r w:rsidR="0040434E" w:rsidRPr="007A11CE">
        <w:rPr>
          <w:rFonts w:ascii="Times New Roman" w:hAnsi="Times New Roman"/>
        </w:rPr>
        <w:t xml:space="preserve">. The </w:t>
      </w:r>
      <w:r w:rsidR="00C71762" w:rsidRPr="007A11CE">
        <w:rPr>
          <w:rFonts w:ascii="Times New Roman" w:hAnsi="Times New Roman"/>
        </w:rPr>
        <w:t xml:space="preserve">primary judge distilled the </w:t>
      </w:r>
      <w:r w:rsidR="0040434E" w:rsidRPr="007A11CE">
        <w:rPr>
          <w:rFonts w:ascii="Times New Roman" w:hAnsi="Times New Roman"/>
        </w:rPr>
        <w:t>essen</w:t>
      </w:r>
      <w:r w:rsidR="00477ACC" w:rsidRPr="007A11CE">
        <w:rPr>
          <w:rFonts w:ascii="Times New Roman" w:hAnsi="Times New Roman"/>
        </w:rPr>
        <w:t>tial difficult</w:t>
      </w:r>
      <w:r w:rsidR="005478C5" w:rsidRPr="007A11CE">
        <w:rPr>
          <w:rFonts w:ascii="Times New Roman" w:hAnsi="Times New Roman"/>
        </w:rPr>
        <w:t>ies</w:t>
      </w:r>
      <w:r w:rsidR="007515EE" w:rsidRPr="007A11CE">
        <w:rPr>
          <w:rFonts w:ascii="Times New Roman" w:hAnsi="Times New Roman"/>
        </w:rPr>
        <w:t>:</w:t>
      </w:r>
      <w:r w:rsidR="004A2150" w:rsidRPr="007A11CE">
        <w:rPr>
          <w:rStyle w:val="FootnoteReference"/>
          <w:rFonts w:ascii="Times New Roman" w:hAnsi="Times New Roman"/>
          <w:sz w:val="24"/>
        </w:rPr>
        <w:footnoteReference w:id="27"/>
      </w:r>
    </w:p>
    <w:p w14:paraId="6C25356D" w14:textId="77777777" w:rsidR="007A11CE" w:rsidRDefault="002C3E06" w:rsidP="007A11CE">
      <w:pPr>
        <w:pStyle w:val="leftright"/>
        <w:spacing w:before="0" w:after="260" w:line="280" w:lineRule="exact"/>
        <w:ind w:right="0"/>
        <w:jc w:val="both"/>
        <w:rPr>
          <w:rFonts w:ascii="Times New Roman" w:hAnsi="Times New Roman"/>
        </w:rPr>
      </w:pPr>
      <w:r w:rsidRPr="007A11CE">
        <w:rPr>
          <w:rFonts w:ascii="Times New Roman" w:hAnsi="Times New Roman"/>
        </w:rPr>
        <w:t>"</w:t>
      </w:r>
      <w:r w:rsidR="003C7B10" w:rsidRPr="007A11CE">
        <w:rPr>
          <w:rFonts w:ascii="Times New Roman" w:hAnsi="Times New Roman"/>
        </w:rPr>
        <w:t xml:space="preserve">First, a designated person or entity is prevented from remunerating an Australian lawyer who works for them. Secondly, it will very likely be impossible for a lawyer effectively to advise or represent a designated person or entity without dealing with </w:t>
      </w:r>
      <w:r w:rsidR="00A25BE0" w:rsidRPr="007A11CE">
        <w:rPr>
          <w:rFonts w:ascii="Times New Roman" w:hAnsi="Times New Roman"/>
        </w:rPr>
        <w:t>'</w:t>
      </w:r>
      <w:r w:rsidR="003C7B10" w:rsidRPr="007A11CE">
        <w:rPr>
          <w:rFonts w:ascii="Times New Roman" w:hAnsi="Times New Roman"/>
        </w:rPr>
        <w:t>controlled assets</w:t>
      </w:r>
      <w:r w:rsidR="00A25BE0" w:rsidRPr="007A11CE">
        <w:rPr>
          <w:rFonts w:ascii="Times New Roman" w:hAnsi="Times New Roman"/>
        </w:rPr>
        <w:t>'</w:t>
      </w:r>
      <w:r w:rsidR="003C7B10" w:rsidRPr="007A11CE">
        <w:rPr>
          <w:rFonts w:ascii="Times New Roman" w:hAnsi="Times New Roman"/>
        </w:rPr>
        <w:t xml:space="preserve"> (which inclu</w:t>
      </w:r>
      <w:r w:rsidR="0005606C" w:rsidRPr="007A11CE">
        <w:rPr>
          <w:rFonts w:ascii="Times New Roman" w:hAnsi="Times New Roman"/>
        </w:rPr>
        <w:t>d</w:t>
      </w:r>
      <w:r w:rsidR="003C7B10" w:rsidRPr="007A11CE">
        <w:rPr>
          <w:rFonts w:ascii="Times New Roman" w:hAnsi="Times New Roman"/>
        </w:rPr>
        <w:t xml:space="preserve">e legal documents or instruments belonging </w:t>
      </w:r>
      <w:r w:rsidR="0005606C" w:rsidRPr="007A11CE">
        <w:rPr>
          <w:rFonts w:ascii="Times New Roman" w:hAnsi="Times New Roman"/>
        </w:rPr>
        <w:t>to the person or entity,</w:t>
      </w:r>
      <w:r w:rsidR="00E3173D" w:rsidRPr="007A11CE">
        <w:rPr>
          <w:rFonts w:ascii="Times New Roman" w:hAnsi="Times New Roman"/>
        </w:rPr>
        <w:t xml:space="preserve"> </w:t>
      </w:r>
      <w:r w:rsidR="0005606C" w:rsidRPr="007A11CE">
        <w:rPr>
          <w:rFonts w:ascii="Times New Roman" w:hAnsi="Times New Roman"/>
        </w:rPr>
        <w:t xml:space="preserve">including documents brought </w:t>
      </w:r>
      <w:r w:rsidR="00AB03FA" w:rsidRPr="007A11CE">
        <w:rPr>
          <w:rFonts w:ascii="Times New Roman" w:hAnsi="Times New Roman"/>
        </w:rPr>
        <w:t xml:space="preserve">into existence by the lawyer on the client's instructions). Thirdly, any </w:t>
      </w:r>
      <w:r w:rsidR="009951EF" w:rsidRPr="007A11CE">
        <w:rPr>
          <w:rFonts w:ascii="Times New Roman" w:hAnsi="Times New Roman"/>
        </w:rPr>
        <w:t>'</w:t>
      </w:r>
      <w:r w:rsidR="00AB03FA" w:rsidRPr="007A11CE">
        <w:rPr>
          <w:rFonts w:ascii="Times New Roman" w:hAnsi="Times New Roman"/>
        </w:rPr>
        <w:t>asset</w:t>
      </w:r>
      <w:r w:rsidR="009951EF" w:rsidRPr="007A11CE">
        <w:rPr>
          <w:rFonts w:ascii="Times New Roman" w:hAnsi="Times New Roman"/>
        </w:rPr>
        <w:t>'</w:t>
      </w:r>
      <w:r w:rsidR="00AB03FA" w:rsidRPr="007A11CE">
        <w:rPr>
          <w:rFonts w:ascii="Times New Roman" w:hAnsi="Times New Roman"/>
        </w:rPr>
        <w:t xml:space="preserve"> in the lawyer's possession, including intellectual property (and likely including the lawyer's own notes) would not be able t</w:t>
      </w:r>
      <w:r w:rsidR="00DE5EA9" w:rsidRPr="007A11CE">
        <w:rPr>
          <w:rFonts w:ascii="Times New Roman" w:hAnsi="Times New Roman"/>
        </w:rPr>
        <w:t>o</w:t>
      </w:r>
      <w:r w:rsidR="00AB03FA" w:rsidRPr="007A11CE">
        <w:rPr>
          <w:rFonts w:ascii="Times New Roman" w:hAnsi="Times New Roman"/>
        </w:rPr>
        <w:t xml:space="preserve"> be made available </w:t>
      </w:r>
      <w:r w:rsidR="009951EF" w:rsidRPr="007A11CE">
        <w:rPr>
          <w:rFonts w:ascii="Times New Roman" w:hAnsi="Times New Roman"/>
        </w:rPr>
        <w:t>'</w:t>
      </w:r>
      <w:r w:rsidR="00AB03FA" w:rsidRPr="007A11CE">
        <w:rPr>
          <w:rFonts w:ascii="Times New Roman" w:hAnsi="Times New Roman"/>
        </w:rPr>
        <w:t>to, or for the benefit of</w:t>
      </w:r>
      <w:r w:rsidR="009951EF" w:rsidRPr="007A11CE">
        <w:rPr>
          <w:rFonts w:ascii="Times New Roman" w:hAnsi="Times New Roman"/>
        </w:rPr>
        <w:t>'</w:t>
      </w:r>
      <w:r w:rsidR="00AB03FA" w:rsidRPr="007A11CE">
        <w:rPr>
          <w:rFonts w:ascii="Times New Roman" w:hAnsi="Times New Roman"/>
        </w:rPr>
        <w:t xml:space="preserve"> a designated person or entity who was the lawyer</w:t>
      </w:r>
      <w:r w:rsidR="0064629D" w:rsidRPr="007A11CE">
        <w:rPr>
          <w:rFonts w:ascii="Times New Roman" w:hAnsi="Times New Roman"/>
        </w:rPr>
        <w:t>'</w:t>
      </w:r>
      <w:r w:rsidR="00AB03FA" w:rsidRPr="007A11CE">
        <w:rPr>
          <w:rFonts w:ascii="Times New Roman" w:hAnsi="Times New Roman"/>
        </w:rPr>
        <w:t xml:space="preserve">s client." </w:t>
      </w:r>
    </w:p>
    <w:p w14:paraId="17D47809" w14:textId="1F0DB6A9" w:rsidR="00144B94" w:rsidRPr="007A11CE" w:rsidRDefault="00144B94" w:rsidP="007A11CE">
      <w:pPr>
        <w:pStyle w:val="HeadingL1"/>
        <w:spacing w:after="260" w:line="280" w:lineRule="exact"/>
        <w:ind w:right="0"/>
        <w:jc w:val="both"/>
        <w:rPr>
          <w:rFonts w:ascii="Times New Roman" w:hAnsi="Times New Roman"/>
        </w:rPr>
      </w:pPr>
      <w:r w:rsidRPr="007A11CE">
        <w:rPr>
          <w:rFonts w:ascii="Times New Roman" w:hAnsi="Times New Roman"/>
        </w:rPr>
        <w:lastRenderedPageBreak/>
        <w:t>The constitutional limitation</w:t>
      </w:r>
      <w:r w:rsidR="006535D5" w:rsidRPr="007A11CE">
        <w:rPr>
          <w:rFonts w:ascii="Times New Roman" w:hAnsi="Times New Roman"/>
        </w:rPr>
        <w:t xml:space="preserve"> and its </w:t>
      </w:r>
      <w:r w:rsidR="007961E0" w:rsidRPr="007A11CE">
        <w:rPr>
          <w:rFonts w:ascii="Times New Roman" w:hAnsi="Times New Roman"/>
        </w:rPr>
        <w:t xml:space="preserve">statutory </w:t>
      </w:r>
      <w:r w:rsidR="006535D5" w:rsidRPr="007A11CE">
        <w:rPr>
          <w:rFonts w:ascii="Times New Roman" w:hAnsi="Times New Roman"/>
        </w:rPr>
        <w:t>consequen</w:t>
      </w:r>
      <w:r w:rsidR="001167D8" w:rsidRPr="007A11CE">
        <w:rPr>
          <w:rFonts w:ascii="Times New Roman" w:hAnsi="Times New Roman"/>
        </w:rPr>
        <w:t>ce</w:t>
      </w:r>
      <w:r w:rsidR="007961E0" w:rsidRPr="007A11CE">
        <w:rPr>
          <w:rFonts w:ascii="Times New Roman" w:hAnsi="Times New Roman"/>
        </w:rPr>
        <w:t>s</w:t>
      </w:r>
    </w:p>
    <w:p w14:paraId="3D8A5931" w14:textId="491E44B7" w:rsidR="002B7D2C" w:rsidRPr="007A11CE" w:rsidRDefault="002B7D2C"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BB0934" w:rsidRPr="007A11CE">
        <w:rPr>
          <w:rFonts w:ascii="Times New Roman" w:hAnsi="Times New Roman"/>
        </w:rPr>
        <w:t xml:space="preserve">Before this Court, as before the Federal Court, it has </w:t>
      </w:r>
      <w:r w:rsidR="00493FD9" w:rsidRPr="007A11CE">
        <w:rPr>
          <w:rFonts w:ascii="Times New Roman" w:hAnsi="Times New Roman"/>
        </w:rPr>
        <w:t xml:space="preserve">also </w:t>
      </w:r>
      <w:r w:rsidR="00BB0934" w:rsidRPr="007A11CE">
        <w:rPr>
          <w:rFonts w:ascii="Times New Roman" w:hAnsi="Times New Roman"/>
        </w:rPr>
        <w:t>remained common ground between the parties that</w:t>
      </w:r>
      <w:r w:rsidR="007242C1" w:rsidRPr="007A11CE">
        <w:rPr>
          <w:rFonts w:ascii="Times New Roman" w:hAnsi="Times New Roman"/>
        </w:rPr>
        <w:t xml:space="preserve">, leaving aside s 15A of the </w:t>
      </w:r>
      <w:r w:rsidR="007242C1" w:rsidRPr="007A11CE">
        <w:rPr>
          <w:rFonts w:ascii="Times New Roman" w:hAnsi="Times New Roman"/>
          <w:i/>
          <w:iCs/>
        </w:rPr>
        <w:t xml:space="preserve">Acts Interpretation Act </w:t>
      </w:r>
      <w:r w:rsidR="007242C1" w:rsidRPr="007A11CE">
        <w:rPr>
          <w:rFonts w:ascii="Times New Roman" w:hAnsi="Times New Roman"/>
        </w:rPr>
        <w:t xml:space="preserve">and s 13 of the </w:t>
      </w:r>
      <w:r w:rsidR="007242C1" w:rsidRPr="007A11CE">
        <w:rPr>
          <w:rFonts w:ascii="Times New Roman" w:hAnsi="Times New Roman"/>
          <w:i/>
          <w:iCs/>
        </w:rPr>
        <w:t>Legislation Act</w:t>
      </w:r>
      <w:r w:rsidR="007242C1" w:rsidRPr="007A11CE">
        <w:rPr>
          <w:rFonts w:ascii="Times New Roman" w:hAnsi="Times New Roman"/>
        </w:rPr>
        <w:t>,</w:t>
      </w:r>
      <w:r w:rsidR="00BB0934" w:rsidRPr="007A11CE">
        <w:rPr>
          <w:rFonts w:ascii="Times New Roman" w:hAnsi="Times New Roman"/>
        </w:rPr>
        <w:t xml:space="preserve"> </w:t>
      </w:r>
      <w:r w:rsidR="00F65758" w:rsidRPr="007A11CE">
        <w:rPr>
          <w:rFonts w:ascii="Times New Roman" w:hAnsi="Times New Roman"/>
        </w:rPr>
        <w:t>th</w:t>
      </w:r>
      <w:r w:rsidR="005F7CB9" w:rsidRPr="007A11CE">
        <w:rPr>
          <w:rFonts w:ascii="Times New Roman" w:hAnsi="Times New Roman"/>
        </w:rPr>
        <w:t>e</w:t>
      </w:r>
      <w:r w:rsidR="00F65758" w:rsidRPr="007A11CE">
        <w:rPr>
          <w:rFonts w:ascii="Times New Roman" w:hAnsi="Times New Roman"/>
        </w:rPr>
        <w:t xml:space="preserve"> practical operation of regs</w:t>
      </w:r>
      <w:r w:rsidR="006E725D" w:rsidRPr="007A11CE">
        <w:rPr>
          <w:rFonts w:ascii="Times New Roman" w:hAnsi="Times New Roman"/>
        </w:rPr>
        <w:t> </w:t>
      </w:r>
      <w:r w:rsidR="00F65758" w:rsidRPr="007A11CE">
        <w:rPr>
          <w:rFonts w:ascii="Times New Roman" w:hAnsi="Times New Roman"/>
        </w:rPr>
        <w:t>14 and 15 to deny a designated person access to legal representation</w:t>
      </w:r>
      <w:r w:rsidR="00227B9E" w:rsidRPr="007A11CE">
        <w:rPr>
          <w:rFonts w:ascii="Times New Roman" w:hAnsi="Times New Roman"/>
        </w:rPr>
        <w:t xml:space="preserve"> </w:t>
      </w:r>
      <w:r w:rsidR="00681EAE" w:rsidRPr="007A11CE">
        <w:rPr>
          <w:rFonts w:ascii="Times New Roman" w:hAnsi="Times New Roman"/>
        </w:rPr>
        <w:t>absent a permit under reg</w:t>
      </w:r>
      <w:r w:rsidR="006E725D" w:rsidRPr="007A11CE">
        <w:rPr>
          <w:rFonts w:ascii="Times New Roman" w:hAnsi="Times New Roman"/>
        </w:rPr>
        <w:t> </w:t>
      </w:r>
      <w:r w:rsidR="00681EAE" w:rsidRPr="007A11CE">
        <w:rPr>
          <w:rFonts w:ascii="Times New Roman" w:hAnsi="Times New Roman"/>
        </w:rPr>
        <w:t xml:space="preserve">18 </w:t>
      </w:r>
      <w:r w:rsidR="006E725D" w:rsidRPr="007A11CE">
        <w:rPr>
          <w:rFonts w:ascii="Times New Roman" w:hAnsi="Times New Roman"/>
        </w:rPr>
        <w:t xml:space="preserve">would </w:t>
      </w:r>
      <w:r w:rsidR="00254E1A" w:rsidRPr="007A11CE">
        <w:rPr>
          <w:rFonts w:ascii="Times New Roman" w:hAnsi="Times New Roman"/>
        </w:rPr>
        <w:t xml:space="preserve">infringe the constitutional limitation </w:t>
      </w:r>
      <w:r w:rsidR="00493FD9" w:rsidRPr="007A11CE">
        <w:rPr>
          <w:rFonts w:ascii="Times New Roman" w:hAnsi="Times New Roman"/>
        </w:rPr>
        <w:t xml:space="preserve">identified in </w:t>
      </w:r>
      <w:r w:rsidR="00493FD9" w:rsidRPr="007A11CE">
        <w:rPr>
          <w:rFonts w:ascii="Times New Roman" w:hAnsi="Times New Roman"/>
          <w:i/>
          <w:iCs/>
        </w:rPr>
        <w:t>Graham v Minister for Immigration and Border Protection</w:t>
      </w:r>
      <w:r w:rsidR="00493FD9" w:rsidRPr="007A11CE">
        <w:rPr>
          <w:rStyle w:val="FootnoteReference"/>
          <w:rFonts w:ascii="Times New Roman" w:hAnsi="Times New Roman"/>
          <w:sz w:val="24"/>
        </w:rPr>
        <w:footnoteReference w:id="28"/>
      </w:r>
      <w:r w:rsidR="00C932FB" w:rsidRPr="007A11CE">
        <w:rPr>
          <w:rFonts w:ascii="Times New Roman" w:hAnsi="Times New Roman"/>
          <w:i/>
          <w:iCs/>
        </w:rPr>
        <w:t xml:space="preserve"> </w:t>
      </w:r>
      <w:r w:rsidR="0049058A" w:rsidRPr="007A11CE">
        <w:rPr>
          <w:rFonts w:ascii="Times New Roman" w:hAnsi="Times New Roman"/>
        </w:rPr>
        <w:t>to the extent</w:t>
      </w:r>
      <w:r w:rsidR="00841875" w:rsidRPr="007A11CE">
        <w:rPr>
          <w:rFonts w:ascii="Times New Roman" w:hAnsi="Times New Roman"/>
        </w:rPr>
        <w:t xml:space="preserve"> </w:t>
      </w:r>
      <w:r w:rsidR="002C61C0" w:rsidRPr="007A11CE">
        <w:rPr>
          <w:rFonts w:ascii="Times New Roman" w:hAnsi="Times New Roman"/>
        </w:rPr>
        <w:t>that</w:t>
      </w:r>
      <w:r w:rsidR="006A4207" w:rsidRPr="007A11CE">
        <w:rPr>
          <w:rFonts w:ascii="Times New Roman" w:hAnsi="Times New Roman"/>
        </w:rPr>
        <w:t xml:space="preserve"> </w:t>
      </w:r>
      <w:r w:rsidR="00523A79" w:rsidRPr="007A11CE">
        <w:rPr>
          <w:rFonts w:ascii="Times New Roman" w:hAnsi="Times New Roman"/>
        </w:rPr>
        <w:t xml:space="preserve">such </w:t>
      </w:r>
      <w:r w:rsidR="002C61C0" w:rsidRPr="007A11CE">
        <w:rPr>
          <w:rFonts w:ascii="Times New Roman" w:hAnsi="Times New Roman"/>
        </w:rPr>
        <w:t>practical operation</w:t>
      </w:r>
      <w:r w:rsidR="00841875" w:rsidRPr="007A11CE">
        <w:rPr>
          <w:rFonts w:ascii="Times New Roman" w:hAnsi="Times New Roman"/>
        </w:rPr>
        <w:t xml:space="preserve"> would deny a designated person access to legal representation </w:t>
      </w:r>
      <w:r w:rsidR="00B71351" w:rsidRPr="007A11CE">
        <w:rPr>
          <w:rFonts w:ascii="Times New Roman" w:hAnsi="Times New Roman"/>
        </w:rPr>
        <w:t xml:space="preserve">for the purpose of invoking </w:t>
      </w:r>
      <w:r w:rsidR="00092606" w:rsidRPr="007A11CE">
        <w:rPr>
          <w:rFonts w:ascii="Times New Roman" w:hAnsi="Times New Roman"/>
        </w:rPr>
        <w:t>the jurisdiction of this Court under s</w:t>
      </w:r>
      <w:r w:rsidR="00B24330" w:rsidRPr="007A11CE">
        <w:rPr>
          <w:rFonts w:ascii="Times New Roman" w:hAnsi="Times New Roman"/>
        </w:rPr>
        <w:t> </w:t>
      </w:r>
      <w:r w:rsidR="00092606" w:rsidRPr="007A11CE">
        <w:rPr>
          <w:rFonts w:ascii="Times New Roman" w:hAnsi="Times New Roman"/>
        </w:rPr>
        <w:t xml:space="preserve">75(v) of the </w:t>
      </w:r>
      <w:r w:rsidR="00092606" w:rsidRPr="007A11CE">
        <w:rPr>
          <w:rFonts w:ascii="Times New Roman" w:hAnsi="Times New Roman"/>
          <w:i/>
        </w:rPr>
        <w:t>Constitution</w:t>
      </w:r>
      <w:r w:rsidR="00092606" w:rsidRPr="007A11CE">
        <w:rPr>
          <w:rFonts w:ascii="Times New Roman" w:hAnsi="Times New Roman"/>
        </w:rPr>
        <w:t xml:space="preserve"> or the Federal Court under s</w:t>
      </w:r>
      <w:r w:rsidR="00B24330" w:rsidRPr="007A11CE">
        <w:rPr>
          <w:rFonts w:ascii="Times New Roman" w:hAnsi="Times New Roman"/>
        </w:rPr>
        <w:t> </w:t>
      </w:r>
      <w:r w:rsidR="00092606" w:rsidRPr="007A11CE">
        <w:rPr>
          <w:rFonts w:ascii="Times New Roman" w:hAnsi="Times New Roman"/>
        </w:rPr>
        <w:t xml:space="preserve">39B of the </w:t>
      </w:r>
      <w:r w:rsidR="00092606" w:rsidRPr="007A11CE">
        <w:rPr>
          <w:rFonts w:ascii="Times New Roman" w:hAnsi="Times New Roman"/>
          <w:i/>
          <w:iCs/>
        </w:rPr>
        <w:t>Judiciary Act</w:t>
      </w:r>
      <w:r w:rsidR="00092606" w:rsidRPr="007A11CE">
        <w:rPr>
          <w:rFonts w:ascii="Times New Roman" w:hAnsi="Times New Roman"/>
        </w:rPr>
        <w:t xml:space="preserve"> to enforce the limits of decision-making power conferred by </w:t>
      </w:r>
      <w:r w:rsidR="002C61C0" w:rsidRPr="007A11CE">
        <w:rPr>
          <w:rFonts w:ascii="Times New Roman" w:hAnsi="Times New Roman"/>
        </w:rPr>
        <w:t xml:space="preserve">or under </w:t>
      </w:r>
      <w:r w:rsidR="00092606" w:rsidRPr="007A11CE">
        <w:rPr>
          <w:rFonts w:ascii="Times New Roman" w:hAnsi="Times New Roman"/>
        </w:rPr>
        <w:t>the Act</w:t>
      </w:r>
      <w:r w:rsidR="00E72CB8" w:rsidRPr="007A11CE">
        <w:rPr>
          <w:rFonts w:ascii="Times New Roman" w:hAnsi="Times New Roman"/>
        </w:rPr>
        <w:t>.</w:t>
      </w:r>
    </w:p>
    <w:p w14:paraId="216D6AFC" w14:textId="34F8970D" w:rsidR="00C542B0" w:rsidRPr="007A11CE" w:rsidRDefault="00C542B0"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05029E" w:rsidRPr="007A11CE">
        <w:rPr>
          <w:rFonts w:ascii="Times New Roman" w:hAnsi="Times New Roman"/>
        </w:rPr>
        <w:t xml:space="preserve">The </w:t>
      </w:r>
      <w:r w:rsidR="00BF671E" w:rsidRPr="007A11CE">
        <w:rPr>
          <w:rFonts w:ascii="Times New Roman" w:hAnsi="Times New Roman"/>
        </w:rPr>
        <w:t xml:space="preserve">applicable </w:t>
      </w:r>
      <w:r w:rsidR="0005029E" w:rsidRPr="007A11CE">
        <w:rPr>
          <w:rFonts w:ascii="Times New Roman" w:hAnsi="Times New Roman"/>
        </w:rPr>
        <w:t>constitutional</w:t>
      </w:r>
      <w:r w:rsidR="002004E1" w:rsidRPr="007A11CE">
        <w:rPr>
          <w:rFonts w:ascii="Times New Roman" w:hAnsi="Times New Roman"/>
        </w:rPr>
        <w:t xml:space="preserve"> </w:t>
      </w:r>
      <w:r w:rsidR="00782B8D" w:rsidRPr="007A11CE">
        <w:rPr>
          <w:rFonts w:ascii="Times New Roman" w:hAnsi="Times New Roman"/>
        </w:rPr>
        <w:t xml:space="preserve">limitation </w:t>
      </w:r>
      <w:r w:rsidR="007173D9" w:rsidRPr="007A11CE">
        <w:rPr>
          <w:rFonts w:ascii="Times New Roman" w:hAnsi="Times New Roman"/>
        </w:rPr>
        <w:t xml:space="preserve">was </w:t>
      </w:r>
      <w:r w:rsidR="00346196" w:rsidRPr="007A11CE">
        <w:rPr>
          <w:rFonts w:ascii="Times New Roman" w:hAnsi="Times New Roman"/>
        </w:rPr>
        <w:t xml:space="preserve">identified </w:t>
      </w:r>
      <w:r w:rsidR="002004E1" w:rsidRPr="007A11CE">
        <w:rPr>
          <w:rFonts w:ascii="Times New Roman" w:hAnsi="Times New Roman"/>
        </w:rPr>
        <w:t xml:space="preserve">in </w:t>
      </w:r>
      <w:r w:rsidR="002004E1" w:rsidRPr="007A11CE">
        <w:rPr>
          <w:rFonts w:ascii="Times New Roman" w:hAnsi="Times New Roman"/>
          <w:i/>
          <w:iCs/>
        </w:rPr>
        <w:t>Graham</w:t>
      </w:r>
      <w:r w:rsidR="002004E1" w:rsidRPr="007A11CE">
        <w:rPr>
          <w:rFonts w:ascii="Times New Roman" w:hAnsi="Times New Roman"/>
        </w:rPr>
        <w:t xml:space="preserve"> </w:t>
      </w:r>
      <w:r w:rsidR="00F237AF" w:rsidRPr="007A11CE">
        <w:rPr>
          <w:rFonts w:ascii="Times New Roman" w:hAnsi="Times New Roman"/>
        </w:rPr>
        <w:t>as</w:t>
      </w:r>
      <w:r w:rsidR="00E22E82" w:rsidRPr="007A11CE">
        <w:rPr>
          <w:rFonts w:ascii="Times New Roman" w:hAnsi="Times New Roman"/>
        </w:rPr>
        <w:t xml:space="preserve"> an incapacity </w:t>
      </w:r>
      <w:r w:rsidR="008D67A0" w:rsidRPr="007A11CE">
        <w:rPr>
          <w:rFonts w:ascii="Times New Roman" w:hAnsi="Times New Roman"/>
        </w:rPr>
        <w:t>on the part of the Commonwealth Parliament</w:t>
      </w:r>
      <w:r w:rsidR="00F16585" w:rsidRPr="007A11CE">
        <w:rPr>
          <w:rFonts w:ascii="Times New Roman" w:hAnsi="Times New Roman"/>
        </w:rPr>
        <w:t xml:space="preserve"> </w:t>
      </w:r>
      <w:r w:rsidR="00373C7F" w:rsidRPr="007A11CE">
        <w:rPr>
          <w:rFonts w:ascii="Times New Roman" w:hAnsi="Times New Roman"/>
        </w:rPr>
        <w:t>to "</w:t>
      </w:r>
      <w:r w:rsidR="00491FF3" w:rsidRPr="007A11CE">
        <w:rPr>
          <w:rFonts w:ascii="Times New Roman" w:hAnsi="Times New Roman"/>
        </w:rPr>
        <w:t>enact a law which denies to this Court when exercising jurisdiction under s</w:t>
      </w:r>
      <w:r w:rsidR="00A314A9" w:rsidRPr="007A11CE">
        <w:rPr>
          <w:rFonts w:ascii="Times New Roman" w:hAnsi="Times New Roman"/>
        </w:rPr>
        <w:t> </w:t>
      </w:r>
      <w:r w:rsidR="00491FF3" w:rsidRPr="007A11CE">
        <w:rPr>
          <w:rFonts w:ascii="Times New Roman" w:hAnsi="Times New Roman"/>
        </w:rPr>
        <w:t>75(v), or to another court when exercising jurisdiction within the limits conferred on or invested in it under s</w:t>
      </w:r>
      <w:r w:rsidR="00A314A9" w:rsidRPr="007A11CE">
        <w:rPr>
          <w:rFonts w:ascii="Times New Roman" w:hAnsi="Times New Roman"/>
        </w:rPr>
        <w:t> </w:t>
      </w:r>
      <w:r w:rsidR="00491FF3" w:rsidRPr="007A11CE">
        <w:rPr>
          <w:rFonts w:ascii="Times New Roman" w:hAnsi="Times New Roman"/>
        </w:rPr>
        <w:t>77(i) or (iii) by reference to s</w:t>
      </w:r>
      <w:r w:rsidR="00A314A9" w:rsidRPr="007A11CE">
        <w:rPr>
          <w:rFonts w:ascii="Times New Roman" w:hAnsi="Times New Roman"/>
        </w:rPr>
        <w:t> </w:t>
      </w:r>
      <w:r w:rsidR="00491FF3" w:rsidRPr="007A11CE">
        <w:rPr>
          <w:rFonts w:ascii="Times New Roman" w:hAnsi="Times New Roman"/>
        </w:rPr>
        <w:t>75(v), the ability to enforce the legislated limits of an officer's power</w:t>
      </w:r>
      <w:r w:rsidR="006F0F60" w:rsidRPr="007A11CE">
        <w:rPr>
          <w:rFonts w:ascii="Times New Roman" w:hAnsi="Times New Roman"/>
        </w:rPr>
        <w:t>"</w:t>
      </w:r>
      <w:r w:rsidR="00491FF3" w:rsidRPr="007A11CE">
        <w:rPr>
          <w:rFonts w:ascii="Times New Roman" w:hAnsi="Times New Roman"/>
        </w:rPr>
        <w:t>.</w:t>
      </w:r>
      <w:r w:rsidR="009665F1" w:rsidRPr="007A11CE">
        <w:rPr>
          <w:rStyle w:val="FootnoteReference"/>
          <w:rFonts w:ascii="Times New Roman" w:hAnsi="Times New Roman"/>
          <w:sz w:val="24"/>
        </w:rPr>
        <w:footnoteReference w:id="29"/>
      </w:r>
      <w:r w:rsidR="00491FF3" w:rsidRPr="007A11CE">
        <w:rPr>
          <w:rFonts w:ascii="Times New Roman" w:hAnsi="Times New Roman"/>
        </w:rPr>
        <w:t xml:space="preserve"> The question whether or not a law transgresses that constitutional limitation </w:t>
      </w:r>
      <w:r w:rsidR="000A1788" w:rsidRPr="007A11CE">
        <w:rPr>
          <w:rFonts w:ascii="Times New Roman" w:hAnsi="Times New Roman"/>
        </w:rPr>
        <w:t>was explained to be "</w:t>
      </w:r>
      <w:r w:rsidR="00491FF3" w:rsidRPr="007A11CE">
        <w:rPr>
          <w:rFonts w:ascii="Times New Roman" w:hAnsi="Times New Roman"/>
        </w:rPr>
        <w:t>one of substance, and therefore of degree</w:t>
      </w:r>
      <w:r w:rsidR="000A1788" w:rsidRPr="007A11CE">
        <w:rPr>
          <w:rFonts w:ascii="Times New Roman" w:hAnsi="Times New Roman"/>
        </w:rPr>
        <w:t>"</w:t>
      </w:r>
      <w:r w:rsidR="004D37E2" w:rsidRPr="007A11CE">
        <w:rPr>
          <w:rFonts w:ascii="Times New Roman" w:hAnsi="Times New Roman"/>
        </w:rPr>
        <w:t>,</w:t>
      </w:r>
      <w:r w:rsidR="00B4346E" w:rsidRPr="007A11CE">
        <w:rPr>
          <w:rFonts w:ascii="Times New Roman" w:hAnsi="Times New Roman"/>
        </w:rPr>
        <w:t xml:space="preserve"> the answer to which "</w:t>
      </w:r>
      <w:r w:rsidR="00491FF3" w:rsidRPr="007A11CE">
        <w:rPr>
          <w:rFonts w:ascii="Times New Roman" w:hAnsi="Times New Roman"/>
        </w:rPr>
        <w:t>requires an examination not only of the legal operation of the law but also of the practical impact of the law on the ability of a court, through the application of judicial process, to discern and declare whether or not the conditions of and constraints on the lawful exercise of the power conferred on an officer have been observed in a particular case</w:t>
      </w:r>
      <w:r w:rsidR="00156F47" w:rsidRPr="007A11CE">
        <w:rPr>
          <w:rFonts w:ascii="Times New Roman" w:hAnsi="Times New Roman"/>
        </w:rPr>
        <w:t>"</w:t>
      </w:r>
      <w:r w:rsidR="00491FF3" w:rsidRPr="007A11CE">
        <w:rPr>
          <w:rFonts w:ascii="Times New Roman" w:hAnsi="Times New Roman"/>
        </w:rPr>
        <w:t>.</w:t>
      </w:r>
      <w:r w:rsidR="00FC449A" w:rsidRPr="007A11CE">
        <w:rPr>
          <w:rStyle w:val="FootnoteReference"/>
          <w:rFonts w:ascii="Times New Roman" w:hAnsi="Times New Roman"/>
          <w:sz w:val="24"/>
        </w:rPr>
        <w:footnoteReference w:id="30"/>
      </w:r>
    </w:p>
    <w:p w14:paraId="351C369D" w14:textId="65CB7F94" w:rsidR="00B7376D" w:rsidRPr="007A11CE" w:rsidRDefault="00B7376D" w:rsidP="007A11CE">
      <w:pPr>
        <w:pStyle w:val="FixListStyle"/>
        <w:spacing w:after="260" w:line="280" w:lineRule="exact"/>
        <w:ind w:right="0"/>
        <w:jc w:val="both"/>
        <w:rPr>
          <w:rFonts w:ascii="Times New Roman" w:hAnsi="Times New Roman"/>
        </w:rPr>
      </w:pPr>
      <w:r w:rsidRPr="007A11CE">
        <w:rPr>
          <w:rFonts w:ascii="Times New Roman" w:hAnsi="Times New Roman"/>
        </w:rPr>
        <w:tab/>
        <w:t>Noting that the legal operation of regs</w:t>
      </w:r>
      <w:r w:rsidR="00531655" w:rsidRPr="007A11CE">
        <w:rPr>
          <w:rFonts w:ascii="Times New Roman" w:hAnsi="Times New Roman"/>
        </w:rPr>
        <w:t> </w:t>
      </w:r>
      <w:r w:rsidR="0055652A" w:rsidRPr="007A11CE">
        <w:rPr>
          <w:rFonts w:ascii="Times New Roman" w:hAnsi="Times New Roman"/>
        </w:rPr>
        <w:t xml:space="preserve">14 and 15 is to prohibit </w:t>
      </w:r>
      <w:r w:rsidR="005C16D8" w:rsidRPr="007A11CE">
        <w:rPr>
          <w:rFonts w:ascii="Times New Roman" w:hAnsi="Times New Roman"/>
        </w:rPr>
        <w:t>the taking of specified actions</w:t>
      </w:r>
      <w:r w:rsidR="005E6D3E" w:rsidRPr="007A11CE">
        <w:rPr>
          <w:rFonts w:ascii="Times New Roman" w:hAnsi="Times New Roman"/>
        </w:rPr>
        <w:t xml:space="preserve">, </w:t>
      </w:r>
      <w:r w:rsidR="002B24FC" w:rsidRPr="007A11CE">
        <w:rPr>
          <w:rFonts w:ascii="Times New Roman" w:hAnsi="Times New Roman"/>
        </w:rPr>
        <w:t xml:space="preserve">variously </w:t>
      </w:r>
      <w:r w:rsidR="005C16D8" w:rsidRPr="007A11CE">
        <w:rPr>
          <w:rFonts w:ascii="Times New Roman" w:hAnsi="Times New Roman"/>
        </w:rPr>
        <w:t xml:space="preserve">denoted by </w:t>
      </w:r>
      <w:r w:rsidR="002B24FC" w:rsidRPr="007A11CE">
        <w:rPr>
          <w:rFonts w:ascii="Times New Roman" w:hAnsi="Times New Roman"/>
        </w:rPr>
        <w:t>the expressions "deal with"</w:t>
      </w:r>
      <w:r w:rsidR="0004570D" w:rsidRPr="007A11CE">
        <w:rPr>
          <w:rFonts w:ascii="Times New Roman" w:hAnsi="Times New Roman"/>
        </w:rPr>
        <w:t>, "make available" and "use",</w:t>
      </w:r>
      <w:r w:rsidR="0004570D" w:rsidRPr="007A11CE">
        <w:rPr>
          <w:rStyle w:val="FootnoteReference"/>
          <w:rFonts w:ascii="Times New Roman" w:hAnsi="Times New Roman"/>
          <w:sz w:val="24"/>
        </w:rPr>
        <w:footnoteReference w:id="31"/>
      </w:r>
      <w:r w:rsidR="00D30451" w:rsidRPr="007A11CE">
        <w:rPr>
          <w:rFonts w:ascii="Times New Roman" w:hAnsi="Times New Roman"/>
        </w:rPr>
        <w:t xml:space="preserve"> </w:t>
      </w:r>
      <w:r w:rsidR="00465644" w:rsidRPr="007A11CE">
        <w:rPr>
          <w:rFonts w:ascii="Times New Roman" w:hAnsi="Times New Roman"/>
        </w:rPr>
        <w:t xml:space="preserve">the </w:t>
      </w:r>
      <w:r w:rsidR="00C75235" w:rsidRPr="007A11CE">
        <w:rPr>
          <w:rFonts w:ascii="Times New Roman" w:hAnsi="Times New Roman"/>
        </w:rPr>
        <w:t xml:space="preserve">primary judge and the Full Court considered that the </w:t>
      </w:r>
      <w:r w:rsidR="00F14A8B" w:rsidRPr="007A11CE">
        <w:rPr>
          <w:rFonts w:ascii="Times New Roman" w:hAnsi="Times New Roman"/>
        </w:rPr>
        <w:t xml:space="preserve">practical operation of </w:t>
      </w:r>
      <w:r w:rsidR="00053789" w:rsidRPr="007A11CE">
        <w:rPr>
          <w:rFonts w:ascii="Times New Roman" w:hAnsi="Times New Roman"/>
        </w:rPr>
        <w:t xml:space="preserve">those regulations </w:t>
      </w:r>
      <w:r w:rsidR="00862F1E" w:rsidRPr="007A11CE">
        <w:rPr>
          <w:rFonts w:ascii="Times New Roman" w:hAnsi="Times New Roman"/>
        </w:rPr>
        <w:t>t</w:t>
      </w:r>
      <w:r w:rsidR="001E73E8" w:rsidRPr="007A11CE">
        <w:rPr>
          <w:rFonts w:ascii="Times New Roman" w:hAnsi="Times New Roman"/>
        </w:rPr>
        <w:t>ransgress</w:t>
      </w:r>
      <w:r w:rsidR="00132E3B" w:rsidRPr="007A11CE">
        <w:rPr>
          <w:rFonts w:ascii="Times New Roman" w:hAnsi="Times New Roman"/>
        </w:rPr>
        <w:t>ing</w:t>
      </w:r>
      <w:r w:rsidR="001E73E8" w:rsidRPr="007A11CE">
        <w:rPr>
          <w:rFonts w:ascii="Times New Roman" w:hAnsi="Times New Roman"/>
        </w:rPr>
        <w:t xml:space="preserve"> t</w:t>
      </w:r>
      <w:r w:rsidR="00862F1E" w:rsidRPr="007A11CE">
        <w:rPr>
          <w:rFonts w:ascii="Times New Roman" w:hAnsi="Times New Roman"/>
        </w:rPr>
        <w:t>he applicable constitutional limitation</w:t>
      </w:r>
      <w:r w:rsidR="00FC1BA2" w:rsidRPr="007A11CE">
        <w:rPr>
          <w:rFonts w:ascii="Times New Roman" w:hAnsi="Times New Roman"/>
        </w:rPr>
        <w:t xml:space="preserve"> could and should be avoided by </w:t>
      </w:r>
      <w:r w:rsidR="005202DE" w:rsidRPr="007A11CE">
        <w:rPr>
          <w:rFonts w:ascii="Times New Roman" w:hAnsi="Times New Roman"/>
        </w:rPr>
        <w:t>construing t</w:t>
      </w:r>
      <w:r w:rsidR="005A1D5B" w:rsidRPr="007A11CE">
        <w:rPr>
          <w:rFonts w:ascii="Times New Roman" w:hAnsi="Times New Roman"/>
        </w:rPr>
        <w:t>hose regulations</w:t>
      </w:r>
      <w:r w:rsidR="003A439F" w:rsidRPr="007A11CE">
        <w:rPr>
          <w:rFonts w:ascii="Times New Roman" w:hAnsi="Times New Roman"/>
        </w:rPr>
        <w:t xml:space="preserve"> in accordance with s</w:t>
      </w:r>
      <w:r w:rsidR="00035A8F" w:rsidRPr="007A11CE">
        <w:rPr>
          <w:rFonts w:ascii="Times New Roman" w:hAnsi="Times New Roman"/>
        </w:rPr>
        <w:t> </w:t>
      </w:r>
      <w:r w:rsidR="003A439F" w:rsidRPr="007A11CE">
        <w:rPr>
          <w:rFonts w:ascii="Times New Roman" w:hAnsi="Times New Roman"/>
        </w:rPr>
        <w:t xml:space="preserve">15A of the </w:t>
      </w:r>
      <w:r w:rsidR="003A439F" w:rsidRPr="007A11CE">
        <w:rPr>
          <w:rFonts w:ascii="Times New Roman" w:hAnsi="Times New Roman"/>
          <w:i/>
          <w:iCs/>
        </w:rPr>
        <w:t xml:space="preserve">Acts Interpretation Act </w:t>
      </w:r>
      <w:r w:rsidR="003A439F" w:rsidRPr="007A11CE">
        <w:rPr>
          <w:rFonts w:ascii="Times New Roman" w:hAnsi="Times New Roman"/>
        </w:rPr>
        <w:t>and s</w:t>
      </w:r>
      <w:r w:rsidR="00035A8F" w:rsidRPr="007A11CE">
        <w:rPr>
          <w:rFonts w:ascii="Times New Roman" w:hAnsi="Times New Roman"/>
        </w:rPr>
        <w:t> </w:t>
      </w:r>
      <w:r w:rsidR="003A439F" w:rsidRPr="007A11CE">
        <w:rPr>
          <w:rFonts w:ascii="Times New Roman" w:hAnsi="Times New Roman"/>
        </w:rPr>
        <w:t xml:space="preserve">13 of the </w:t>
      </w:r>
      <w:r w:rsidR="003A439F" w:rsidRPr="007A11CE">
        <w:rPr>
          <w:rFonts w:ascii="Times New Roman" w:hAnsi="Times New Roman"/>
          <w:i/>
          <w:iCs/>
        </w:rPr>
        <w:t>Legislation Act</w:t>
      </w:r>
      <w:r w:rsidR="00F23773" w:rsidRPr="007A11CE">
        <w:rPr>
          <w:rFonts w:ascii="Times New Roman" w:hAnsi="Times New Roman"/>
        </w:rPr>
        <w:t xml:space="preserve"> </w:t>
      </w:r>
      <w:r w:rsidR="00753397" w:rsidRPr="007A11CE">
        <w:rPr>
          <w:rFonts w:ascii="Times New Roman" w:hAnsi="Times New Roman"/>
        </w:rPr>
        <w:t>to have</w:t>
      </w:r>
      <w:r w:rsidR="00F23773" w:rsidRPr="007A11CE">
        <w:rPr>
          <w:rFonts w:ascii="Times New Roman" w:hAnsi="Times New Roman"/>
        </w:rPr>
        <w:t xml:space="preserve"> </w:t>
      </w:r>
      <w:r w:rsidR="000025F0" w:rsidRPr="007A11CE">
        <w:rPr>
          <w:rFonts w:ascii="Times New Roman" w:hAnsi="Times New Roman"/>
        </w:rPr>
        <w:t xml:space="preserve">a distributive </w:t>
      </w:r>
      <w:r w:rsidR="00B20A25" w:rsidRPr="007A11CE">
        <w:rPr>
          <w:rFonts w:ascii="Times New Roman" w:hAnsi="Times New Roman"/>
        </w:rPr>
        <w:t xml:space="preserve">application to some such actions but not others. </w:t>
      </w:r>
      <w:r w:rsidR="001556BF" w:rsidRPr="007A11CE">
        <w:rPr>
          <w:rFonts w:ascii="Times New Roman" w:hAnsi="Times New Roman"/>
        </w:rPr>
        <w:t xml:space="preserve">The construction </w:t>
      </w:r>
      <w:r w:rsidR="00DC3837" w:rsidRPr="007A11CE">
        <w:rPr>
          <w:rFonts w:ascii="Times New Roman" w:hAnsi="Times New Roman"/>
        </w:rPr>
        <w:t>of regs</w:t>
      </w:r>
      <w:r w:rsidR="00035A8F" w:rsidRPr="007A11CE">
        <w:rPr>
          <w:rFonts w:ascii="Times New Roman" w:hAnsi="Times New Roman"/>
        </w:rPr>
        <w:t> </w:t>
      </w:r>
      <w:r w:rsidR="00DC3837" w:rsidRPr="007A11CE">
        <w:rPr>
          <w:rFonts w:ascii="Times New Roman" w:hAnsi="Times New Roman"/>
        </w:rPr>
        <w:t xml:space="preserve">14 and 15 </w:t>
      </w:r>
      <w:r w:rsidR="001556BF" w:rsidRPr="007A11CE">
        <w:rPr>
          <w:rFonts w:ascii="Times New Roman" w:hAnsi="Times New Roman"/>
        </w:rPr>
        <w:t xml:space="preserve">adopted </w:t>
      </w:r>
      <w:r w:rsidR="00DC3837" w:rsidRPr="007A11CE">
        <w:rPr>
          <w:rFonts w:ascii="Times New Roman" w:hAnsi="Times New Roman"/>
        </w:rPr>
        <w:t xml:space="preserve">was that </w:t>
      </w:r>
      <w:r w:rsidR="00667DA9" w:rsidRPr="007A11CE">
        <w:rPr>
          <w:rFonts w:ascii="Times New Roman" w:hAnsi="Times New Roman"/>
        </w:rPr>
        <w:t>th</w:t>
      </w:r>
      <w:r w:rsidR="004F6B8E" w:rsidRPr="007A11CE">
        <w:rPr>
          <w:rFonts w:ascii="Times New Roman" w:hAnsi="Times New Roman"/>
        </w:rPr>
        <w:t>ose regulations</w:t>
      </w:r>
      <w:r w:rsidR="00EA45C3" w:rsidRPr="007A11CE">
        <w:rPr>
          <w:rFonts w:ascii="Times New Roman" w:hAnsi="Times New Roman"/>
        </w:rPr>
        <w:t xml:space="preserve"> </w:t>
      </w:r>
      <w:r w:rsidR="009C57AB" w:rsidRPr="007A11CE">
        <w:rPr>
          <w:rFonts w:ascii="Times New Roman" w:hAnsi="Times New Roman"/>
        </w:rPr>
        <w:t xml:space="preserve">must be read </w:t>
      </w:r>
      <w:r w:rsidR="009C57AB" w:rsidRPr="007A11CE">
        <w:rPr>
          <w:rFonts w:ascii="Times New Roman" w:hAnsi="Times New Roman"/>
        </w:rPr>
        <w:lastRenderedPageBreak/>
        <w:t>down to</w:t>
      </w:r>
      <w:r w:rsidR="00667DA9" w:rsidRPr="007A11CE">
        <w:rPr>
          <w:rFonts w:ascii="Times New Roman" w:hAnsi="Times New Roman"/>
        </w:rPr>
        <w:t xml:space="preserve"> have </w:t>
      </w:r>
      <w:r w:rsidR="00121446" w:rsidRPr="007A11CE">
        <w:rPr>
          <w:rFonts w:ascii="Times New Roman" w:hAnsi="Times New Roman"/>
        </w:rPr>
        <w:t xml:space="preserve">no application to actions taken for the </w:t>
      </w:r>
      <w:r w:rsidR="005A1D5B" w:rsidRPr="007A11CE">
        <w:rPr>
          <w:rFonts w:ascii="Times New Roman" w:hAnsi="Times New Roman"/>
        </w:rPr>
        <w:t xml:space="preserve">objective </w:t>
      </w:r>
      <w:r w:rsidR="00121446" w:rsidRPr="007A11CE">
        <w:rPr>
          <w:rFonts w:ascii="Times New Roman" w:hAnsi="Times New Roman"/>
        </w:rPr>
        <w:t xml:space="preserve">purpose </w:t>
      </w:r>
      <w:r w:rsidR="00897685" w:rsidRPr="007A11CE">
        <w:rPr>
          <w:rFonts w:ascii="Times New Roman" w:hAnsi="Times New Roman"/>
        </w:rPr>
        <w:t xml:space="preserve">of challenging the validity of </w:t>
      </w:r>
      <w:r w:rsidR="00226FF5" w:rsidRPr="007A11CE">
        <w:rPr>
          <w:rFonts w:ascii="Times New Roman" w:hAnsi="Times New Roman"/>
        </w:rPr>
        <w:t xml:space="preserve">decisions or actions under the Act </w:t>
      </w:r>
      <w:r w:rsidR="001E6CDC" w:rsidRPr="007A11CE">
        <w:rPr>
          <w:rFonts w:ascii="Times New Roman" w:hAnsi="Times New Roman"/>
        </w:rPr>
        <w:t>pursuant to s</w:t>
      </w:r>
      <w:r w:rsidR="00035A8F" w:rsidRPr="007A11CE">
        <w:rPr>
          <w:rFonts w:ascii="Times New Roman" w:hAnsi="Times New Roman"/>
        </w:rPr>
        <w:t> </w:t>
      </w:r>
      <w:r w:rsidR="001E6CDC" w:rsidRPr="007A11CE">
        <w:rPr>
          <w:rFonts w:ascii="Times New Roman" w:hAnsi="Times New Roman"/>
        </w:rPr>
        <w:t xml:space="preserve">75(v) of the </w:t>
      </w:r>
      <w:r w:rsidR="001E6CDC" w:rsidRPr="007A11CE">
        <w:rPr>
          <w:rFonts w:ascii="Times New Roman" w:hAnsi="Times New Roman"/>
          <w:i/>
          <w:iCs/>
        </w:rPr>
        <w:t>Constitution</w:t>
      </w:r>
      <w:r w:rsidR="001E6CDC" w:rsidRPr="007A11CE">
        <w:rPr>
          <w:rFonts w:ascii="Times New Roman" w:hAnsi="Times New Roman"/>
        </w:rPr>
        <w:t xml:space="preserve"> or s</w:t>
      </w:r>
      <w:r w:rsidR="00035A8F" w:rsidRPr="007A11CE">
        <w:rPr>
          <w:rFonts w:ascii="Times New Roman" w:hAnsi="Times New Roman"/>
        </w:rPr>
        <w:t> </w:t>
      </w:r>
      <w:r w:rsidR="001E6CDC" w:rsidRPr="007A11CE">
        <w:rPr>
          <w:rFonts w:ascii="Times New Roman" w:hAnsi="Times New Roman"/>
        </w:rPr>
        <w:t xml:space="preserve">39B of the </w:t>
      </w:r>
      <w:r w:rsidR="001E6CDC" w:rsidRPr="007A11CE">
        <w:rPr>
          <w:rFonts w:ascii="Times New Roman" w:hAnsi="Times New Roman"/>
          <w:i/>
          <w:iCs/>
        </w:rPr>
        <w:t>Judiciary Act</w:t>
      </w:r>
      <w:r w:rsidR="001E6CDC" w:rsidRPr="007A11CE">
        <w:rPr>
          <w:rFonts w:ascii="Times New Roman" w:hAnsi="Times New Roman"/>
        </w:rPr>
        <w:t>.</w:t>
      </w:r>
      <w:r w:rsidR="001F49A7" w:rsidRPr="007A11CE">
        <w:rPr>
          <w:rStyle w:val="FootnoteReference"/>
          <w:rFonts w:ascii="Times New Roman" w:hAnsi="Times New Roman"/>
          <w:sz w:val="24"/>
        </w:rPr>
        <w:footnoteReference w:id="32"/>
      </w:r>
      <w:r w:rsidR="001E6CDC" w:rsidRPr="007A11CE">
        <w:rPr>
          <w:rFonts w:ascii="Times New Roman" w:hAnsi="Times New Roman"/>
        </w:rPr>
        <w:t xml:space="preserve"> </w:t>
      </w:r>
    </w:p>
    <w:p w14:paraId="7123AC21" w14:textId="71A29B9C" w:rsidR="006C4ADA" w:rsidRPr="007A11CE" w:rsidRDefault="00543896" w:rsidP="007A11CE">
      <w:pPr>
        <w:pStyle w:val="FixListStyle"/>
        <w:spacing w:after="260" w:line="280" w:lineRule="exact"/>
        <w:ind w:right="0"/>
        <w:jc w:val="both"/>
        <w:rPr>
          <w:rFonts w:ascii="Times New Roman" w:hAnsi="Times New Roman"/>
        </w:rPr>
      </w:pPr>
      <w:r w:rsidRPr="007A11CE">
        <w:rPr>
          <w:rFonts w:ascii="Times New Roman" w:hAnsi="Times New Roman"/>
        </w:rPr>
        <w:tab/>
        <w:t>The appellant challenges the availability of that construction of regs</w:t>
      </w:r>
      <w:r w:rsidR="004926EE" w:rsidRPr="007A11CE">
        <w:rPr>
          <w:rFonts w:ascii="Times New Roman" w:hAnsi="Times New Roman"/>
        </w:rPr>
        <w:t> </w:t>
      </w:r>
      <w:r w:rsidRPr="007A11CE">
        <w:rPr>
          <w:rFonts w:ascii="Times New Roman" w:hAnsi="Times New Roman"/>
        </w:rPr>
        <w:t>14 and 15</w:t>
      </w:r>
      <w:r w:rsidR="00375722" w:rsidRPr="007A11CE">
        <w:rPr>
          <w:rFonts w:ascii="Times New Roman" w:hAnsi="Times New Roman"/>
        </w:rPr>
        <w:t xml:space="preserve"> </w:t>
      </w:r>
      <w:r w:rsidR="0019272C" w:rsidRPr="007A11CE">
        <w:rPr>
          <w:rFonts w:ascii="Times New Roman" w:hAnsi="Times New Roman"/>
        </w:rPr>
        <w:t>in accordance with s</w:t>
      </w:r>
      <w:r w:rsidR="004926EE" w:rsidRPr="007A11CE">
        <w:rPr>
          <w:rFonts w:ascii="Times New Roman" w:hAnsi="Times New Roman"/>
        </w:rPr>
        <w:t> </w:t>
      </w:r>
      <w:r w:rsidR="0019272C" w:rsidRPr="007A11CE">
        <w:rPr>
          <w:rFonts w:ascii="Times New Roman" w:hAnsi="Times New Roman"/>
        </w:rPr>
        <w:t xml:space="preserve">15A of the </w:t>
      </w:r>
      <w:r w:rsidR="0019272C" w:rsidRPr="007A11CE">
        <w:rPr>
          <w:rFonts w:ascii="Times New Roman" w:hAnsi="Times New Roman"/>
          <w:i/>
          <w:iCs/>
        </w:rPr>
        <w:t>Acts Interpretation Act</w:t>
      </w:r>
      <w:r w:rsidRPr="007A11CE">
        <w:rPr>
          <w:rFonts w:ascii="Times New Roman" w:hAnsi="Times New Roman"/>
        </w:rPr>
        <w:t>. He also challenges the efficacy of that construction to prevent the practical operation of those regulations transgressing the applicable constitutional limitation.</w:t>
      </w:r>
    </w:p>
    <w:p w14:paraId="0B9225AF" w14:textId="39990E71" w:rsidR="003540EE" w:rsidRPr="007A11CE" w:rsidRDefault="006148BE" w:rsidP="007A11CE">
      <w:pPr>
        <w:pStyle w:val="HeadingL1"/>
        <w:spacing w:after="260" w:line="280" w:lineRule="exact"/>
        <w:ind w:right="0"/>
        <w:jc w:val="both"/>
        <w:rPr>
          <w:rFonts w:ascii="Times New Roman" w:hAnsi="Times New Roman"/>
        </w:rPr>
      </w:pPr>
      <w:r w:rsidRPr="007A11CE">
        <w:rPr>
          <w:rFonts w:ascii="Times New Roman" w:hAnsi="Times New Roman"/>
        </w:rPr>
        <w:t>The constructional imperative</w:t>
      </w:r>
    </w:p>
    <w:p w14:paraId="22E35961" w14:textId="1496C1E1" w:rsidR="00C051CE" w:rsidRPr="007A11CE" w:rsidRDefault="003540EE"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3F7AE5" w:rsidRPr="007A11CE">
        <w:rPr>
          <w:rFonts w:ascii="Times New Roman" w:hAnsi="Times New Roman"/>
        </w:rPr>
        <w:t>Section</w:t>
      </w:r>
      <w:r w:rsidR="006560BC" w:rsidRPr="007A11CE">
        <w:rPr>
          <w:rFonts w:ascii="Times New Roman" w:hAnsi="Times New Roman"/>
        </w:rPr>
        <w:t> </w:t>
      </w:r>
      <w:r w:rsidR="003F7AE5" w:rsidRPr="007A11CE">
        <w:rPr>
          <w:rFonts w:ascii="Times New Roman" w:hAnsi="Times New Roman"/>
        </w:rPr>
        <w:t xml:space="preserve">15A of the </w:t>
      </w:r>
      <w:r w:rsidR="003F7AE5" w:rsidRPr="007A11CE">
        <w:rPr>
          <w:rFonts w:ascii="Times New Roman" w:hAnsi="Times New Roman"/>
          <w:i/>
          <w:iCs/>
        </w:rPr>
        <w:t>Acts Interpretation Act</w:t>
      </w:r>
      <w:r w:rsidR="00076D84" w:rsidRPr="007A11CE">
        <w:rPr>
          <w:rFonts w:ascii="Times New Roman" w:hAnsi="Times New Roman"/>
          <w:i/>
          <w:iCs/>
        </w:rPr>
        <w:t xml:space="preserve"> </w:t>
      </w:r>
      <w:r w:rsidR="00076D84" w:rsidRPr="007A11CE">
        <w:rPr>
          <w:rFonts w:ascii="Times New Roman" w:hAnsi="Times New Roman"/>
        </w:rPr>
        <w:t xml:space="preserve">provides that </w:t>
      </w:r>
      <w:r w:rsidR="00563299" w:rsidRPr="007A11CE">
        <w:rPr>
          <w:rFonts w:ascii="Times New Roman" w:hAnsi="Times New Roman"/>
        </w:rPr>
        <w:t>"[e]very Act shall be read and construed subject to the Constitution, and so as not to exceed the legislative power of the Commonwealth, to the intent that where any enactment thereof would, but for this section, have been construed as being in excess of that power, it shall nevertheless be a valid enactment to the extent to which it is not in excess of that power</w:t>
      </w:r>
      <w:r w:rsidR="004F5700" w:rsidRPr="007A11CE">
        <w:rPr>
          <w:rFonts w:ascii="Times New Roman" w:hAnsi="Times New Roman"/>
        </w:rPr>
        <w:t>"</w:t>
      </w:r>
      <w:r w:rsidR="00563299" w:rsidRPr="007A11CE">
        <w:rPr>
          <w:rFonts w:ascii="Times New Roman" w:hAnsi="Times New Roman"/>
        </w:rPr>
        <w:t>.</w:t>
      </w:r>
      <w:r w:rsidR="00C051CE" w:rsidRPr="007A11CE">
        <w:rPr>
          <w:rFonts w:ascii="Times New Roman" w:hAnsi="Times New Roman"/>
        </w:rPr>
        <w:t xml:space="preserve"> </w:t>
      </w:r>
      <w:r w:rsidR="00CE73FD" w:rsidRPr="007A11CE">
        <w:rPr>
          <w:rFonts w:ascii="Times New Roman" w:hAnsi="Times New Roman"/>
        </w:rPr>
        <w:t xml:space="preserve">Section 13(1)(a) of the </w:t>
      </w:r>
      <w:r w:rsidR="00CE73FD" w:rsidRPr="007A11CE">
        <w:rPr>
          <w:rFonts w:ascii="Times New Roman" w:hAnsi="Times New Roman"/>
          <w:i/>
          <w:iCs/>
        </w:rPr>
        <w:t xml:space="preserve">Legislation Act </w:t>
      </w:r>
      <w:r w:rsidR="00F01981" w:rsidRPr="007A11CE">
        <w:rPr>
          <w:rFonts w:ascii="Times New Roman" w:hAnsi="Times New Roman"/>
        </w:rPr>
        <w:t>applies s</w:t>
      </w:r>
      <w:r w:rsidR="000E44A2" w:rsidRPr="007A11CE">
        <w:rPr>
          <w:rFonts w:ascii="Times New Roman" w:hAnsi="Times New Roman"/>
        </w:rPr>
        <w:t> </w:t>
      </w:r>
      <w:r w:rsidR="00F01981" w:rsidRPr="007A11CE">
        <w:rPr>
          <w:rFonts w:ascii="Times New Roman" w:hAnsi="Times New Roman"/>
        </w:rPr>
        <w:t xml:space="preserve">15A of the </w:t>
      </w:r>
      <w:r w:rsidR="00F01981" w:rsidRPr="007A11CE">
        <w:rPr>
          <w:rFonts w:ascii="Times New Roman" w:hAnsi="Times New Roman"/>
          <w:i/>
          <w:iCs/>
        </w:rPr>
        <w:t xml:space="preserve">Acts Interpretation Act </w:t>
      </w:r>
      <w:r w:rsidR="00EB3631" w:rsidRPr="007A11CE">
        <w:rPr>
          <w:rFonts w:ascii="Times New Roman" w:hAnsi="Times New Roman"/>
        </w:rPr>
        <w:t>to a</w:t>
      </w:r>
      <w:r w:rsidR="00F846B0" w:rsidRPr="007A11CE">
        <w:rPr>
          <w:rFonts w:ascii="Times New Roman" w:hAnsi="Times New Roman"/>
        </w:rPr>
        <w:t xml:space="preserve"> legislative</w:t>
      </w:r>
      <w:r w:rsidR="00EB3631" w:rsidRPr="007A11CE">
        <w:rPr>
          <w:rFonts w:ascii="Times New Roman" w:hAnsi="Times New Roman"/>
        </w:rPr>
        <w:t xml:space="preserve"> instrumen</w:t>
      </w:r>
      <w:r w:rsidR="00B32486" w:rsidRPr="007A11CE">
        <w:rPr>
          <w:rFonts w:ascii="Times New Roman" w:hAnsi="Times New Roman"/>
        </w:rPr>
        <w:t>t</w:t>
      </w:r>
      <w:r w:rsidR="00EB3631" w:rsidRPr="007A11CE">
        <w:rPr>
          <w:rFonts w:ascii="Times New Roman" w:hAnsi="Times New Roman"/>
        </w:rPr>
        <w:t xml:space="preserve">, including a regulation, </w:t>
      </w:r>
      <w:r w:rsidR="00B2599F" w:rsidRPr="007A11CE">
        <w:rPr>
          <w:rFonts w:ascii="Times New Roman" w:hAnsi="Times New Roman"/>
        </w:rPr>
        <w:t xml:space="preserve">"as if each provision of the instrument were a section of an Act". </w:t>
      </w:r>
    </w:p>
    <w:p w14:paraId="5C7B08CD" w14:textId="5B554B3F" w:rsidR="00BD6474" w:rsidRPr="007A11CE" w:rsidRDefault="00C051CE"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604AF8" w:rsidRPr="007A11CE">
        <w:rPr>
          <w:rFonts w:ascii="Times New Roman" w:hAnsi="Times New Roman"/>
        </w:rPr>
        <w:t>Section</w:t>
      </w:r>
      <w:r w:rsidR="006560BC" w:rsidRPr="007A11CE">
        <w:rPr>
          <w:rFonts w:ascii="Times New Roman" w:hAnsi="Times New Roman"/>
        </w:rPr>
        <w:t> </w:t>
      </w:r>
      <w:r w:rsidR="00604AF8" w:rsidRPr="007A11CE">
        <w:rPr>
          <w:rFonts w:ascii="Times New Roman" w:hAnsi="Times New Roman"/>
        </w:rPr>
        <w:t xml:space="preserve">13(1)(c) of the </w:t>
      </w:r>
      <w:r w:rsidR="00604AF8" w:rsidRPr="007A11CE">
        <w:rPr>
          <w:rFonts w:ascii="Times New Roman" w:hAnsi="Times New Roman"/>
          <w:i/>
          <w:iCs/>
        </w:rPr>
        <w:t>Legislation Act</w:t>
      </w:r>
      <w:r w:rsidR="00604AF8" w:rsidRPr="007A11CE">
        <w:rPr>
          <w:rFonts w:ascii="Times New Roman" w:hAnsi="Times New Roman"/>
        </w:rPr>
        <w:t xml:space="preserve"> provides </w:t>
      </w:r>
      <w:r w:rsidR="00083394" w:rsidRPr="007A11CE">
        <w:rPr>
          <w:rFonts w:ascii="Times New Roman" w:hAnsi="Times New Roman"/>
        </w:rPr>
        <w:t xml:space="preserve">in addition </w:t>
      </w:r>
      <w:r w:rsidR="00604AF8" w:rsidRPr="007A11CE">
        <w:rPr>
          <w:rFonts w:ascii="Times New Roman" w:hAnsi="Times New Roman"/>
        </w:rPr>
        <w:t xml:space="preserve">that </w:t>
      </w:r>
      <w:r w:rsidR="005F41DC" w:rsidRPr="007A11CE">
        <w:rPr>
          <w:rFonts w:ascii="Times New Roman" w:hAnsi="Times New Roman"/>
        </w:rPr>
        <w:t>a legislative</w:t>
      </w:r>
      <w:r w:rsidR="00604AF8" w:rsidRPr="007A11CE">
        <w:rPr>
          <w:rFonts w:ascii="Times New Roman" w:hAnsi="Times New Roman"/>
        </w:rPr>
        <w:t xml:space="preserve"> instrument </w:t>
      </w:r>
      <w:r w:rsidR="008E0894" w:rsidRPr="007A11CE">
        <w:rPr>
          <w:rFonts w:ascii="Times New Roman" w:hAnsi="Times New Roman"/>
        </w:rPr>
        <w:t>"</w:t>
      </w:r>
      <w:r w:rsidR="00604AF8" w:rsidRPr="007A11CE">
        <w:rPr>
          <w:rFonts w:ascii="Times New Roman" w:hAnsi="Times New Roman"/>
        </w:rPr>
        <w:t xml:space="preserve">is to be read and construed subject to the enabling legislation as in force from time to time, and so as not to exceed the power </w:t>
      </w:r>
      <w:r w:rsidR="0079671D" w:rsidRPr="007A11CE">
        <w:rPr>
          <w:rFonts w:ascii="Times New Roman" w:hAnsi="Times New Roman"/>
        </w:rPr>
        <w:t>...</w:t>
      </w:r>
      <w:r w:rsidR="00604AF8" w:rsidRPr="007A11CE">
        <w:rPr>
          <w:rFonts w:ascii="Times New Roman" w:hAnsi="Times New Roman"/>
        </w:rPr>
        <w:t xml:space="preserve"> to make the instrument</w:t>
      </w:r>
      <w:r w:rsidR="008E0894" w:rsidRPr="007A11CE">
        <w:rPr>
          <w:rFonts w:ascii="Times New Roman" w:hAnsi="Times New Roman"/>
        </w:rPr>
        <w:t>"</w:t>
      </w:r>
      <w:r w:rsidR="00604AF8" w:rsidRPr="007A11CE">
        <w:rPr>
          <w:rFonts w:ascii="Times New Roman" w:hAnsi="Times New Roman"/>
        </w:rPr>
        <w:t>.</w:t>
      </w:r>
      <w:r w:rsidR="008E0894" w:rsidRPr="007A11CE">
        <w:rPr>
          <w:rFonts w:ascii="Times New Roman" w:hAnsi="Times New Roman"/>
        </w:rPr>
        <w:t xml:space="preserve"> </w:t>
      </w:r>
      <w:r w:rsidR="00CE25F0" w:rsidRPr="007A11CE">
        <w:rPr>
          <w:rFonts w:ascii="Times New Roman" w:hAnsi="Times New Roman"/>
        </w:rPr>
        <w:t xml:space="preserve">The power to make </w:t>
      </w:r>
      <w:r w:rsidR="002B0F86" w:rsidRPr="007A11CE">
        <w:rPr>
          <w:rFonts w:ascii="Times New Roman" w:hAnsi="Times New Roman"/>
        </w:rPr>
        <w:t xml:space="preserve">the instrument </w:t>
      </w:r>
      <w:r w:rsidR="00BD36D4" w:rsidRPr="007A11CE">
        <w:rPr>
          <w:rFonts w:ascii="Times New Roman" w:hAnsi="Times New Roman"/>
        </w:rPr>
        <w:t xml:space="preserve">under </w:t>
      </w:r>
      <w:r w:rsidR="000F14B1" w:rsidRPr="007A11CE">
        <w:rPr>
          <w:rFonts w:ascii="Times New Roman" w:hAnsi="Times New Roman"/>
        </w:rPr>
        <w:t xml:space="preserve">the enabling legislation, of course, </w:t>
      </w:r>
      <w:r w:rsidR="00382AF3" w:rsidRPr="007A11CE">
        <w:rPr>
          <w:rFonts w:ascii="Times New Roman" w:hAnsi="Times New Roman"/>
        </w:rPr>
        <w:t xml:space="preserve">cannot </w:t>
      </w:r>
      <w:r w:rsidR="002B0F86" w:rsidRPr="007A11CE">
        <w:rPr>
          <w:rFonts w:ascii="Times New Roman" w:hAnsi="Times New Roman"/>
        </w:rPr>
        <w:t>exceed the legislative power of the Commonwealth</w:t>
      </w:r>
      <w:r w:rsidR="00042234" w:rsidRPr="007A11CE">
        <w:rPr>
          <w:rFonts w:ascii="Times New Roman" w:hAnsi="Times New Roman"/>
        </w:rPr>
        <w:t xml:space="preserve">. </w:t>
      </w:r>
      <w:r w:rsidR="007962C1" w:rsidRPr="007A11CE">
        <w:rPr>
          <w:rFonts w:ascii="Times New Roman" w:hAnsi="Times New Roman"/>
        </w:rPr>
        <w:t>I</w:t>
      </w:r>
      <w:r w:rsidR="00B16AA2" w:rsidRPr="007A11CE">
        <w:rPr>
          <w:rFonts w:ascii="Times New Roman" w:hAnsi="Times New Roman"/>
        </w:rPr>
        <w:t>ssues</w:t>
      </w:r>
      <w:r w:rsidR="00600C4B" w:rsidRPr="007A11CE">
        <w:rPr>
          <w:rFonts w:ascii="Times New Roman" w:hAnsi="Times New Roman"/>
        </w:rPr>
        <w:t xml:space="preserve"> can </w:t>
      </w:r>
      <w:r w:rsidR="007962C1" w:rsidRPr="007A11CE">
        <w:rPr>
          <w:rFonts w:ascii="Times New Roman" w:hAnsi="Times New Roman"/>
        </w:rPr>
        <w:t xml:space="preserve">therefore </w:t>
      </w:r>
      <w:r w:rsidR="0001358A" w:rsidRPr="007A11CE">
        <w:rPr>
          <w:rFonts w:ascii="Times New Roman" w:hAnsi="Times New Roman"/>
        </w:rPr>
        <w:t xml:space="preserve">sometimes </w:t>
      </w:r>
      <w:r w:rsidR="00600C4B" w:rsidRPr="007A11CE">
        <w:rPr>
          <w:rFonts w:ascii="Times New Roman" w:hAnsi="Times New Roman"/>
        </w:rPr>
        <w:t xml:space="preserve">arise as to the </w:t>
      </w:r>
      <w:r w:rsidR="00BF54B5" w:rsidRPr="007A11CE">
        <w:rPr>
          <w:rFonts w:ascii="Times New Roman" w:hAnsi="Times New Roman"/>
        </w:rPr>
        <w:t xml:space="preserve">appropriate </w:t>
      </w:r>
      <w:r w:rsidR="00BC282B" w:rsidRPr="007A11CE">
        <w:rPr>
          <w:rFonts w:ascii="Times New Roman" w:hAnsi="Times New Roman"/>
        </w:rPr>
        <w:t xml:space="preserve">mode and </w:t>
      </w:r>
      <w:r w:rsidR="00BF54B5" w:rsidRPr="007A11CE">
        <w:rPr>
          <w:rFonts w:ascii="Times New Roman" w:hAnsi="Times New Roman"/>
        </w:rPr>
        <w:t>sequence of analysis</w:t>
      </w:r>
      <w:r w:rsidR="005458D5" w:rsidRPr="007A11CE">
        <w:rPr>
          <w:rFonts w:ascii="Times New Roman" w:hAnsi="Times New Roman"/>
        </w:rPr>
        <w:t>.</w:t>
      </w:r>
      <w:r w:rsidR="00B16AA2" w:rsidRPr="007A11CE">
        <w:rPr>
          <w:rStyle w:val="FootnoteReference"/>
          <w:rFonts w:ascii="Times New Roman" w:hAnsi="Times New Roman"/>
          <w:sz w:val="24"/>
        </w:rPr>
        <w:footnoteReference w:id="33"/>
      </w:r>
      <w:r w:rsidR="00B16AA2" w:rsidRPr="007A11CE">
        <w:rPr>
          <w:rFonts w:ascii="Times New Roman" w:hAnsi="Times New Roman"/>
        </w:rPr>
        <w:t xml:space="preserve"> </w:t>
      </w:r>
      <w:r w:rsidR="00636B1F" w:rsidRPr="007A11CE">
        <w:rPr>
          <w:rFonts w:ascii="Times New Roman" w:hAnsi="Times New Roman"/>
        </w:rPr>
        <w:t xml:space="preserve">Issues of that nature do not arise </w:t>
      </w:r>
      <w:r w:rsidR="00ED65DE" w:rsidRPr="007A11CE">
        <w:rPr>
          <w:rFonts w:ascii="Times New Roman" w:hAnsi="Times New Roman"/>
        </w:rPr>
        <w:t>in the present case.</w:t>
      </w:r>
    </w:p>
    <w:p w14:paraId="533A0DB7" w14:textId="5C3534A3" w:rsidR="006148BE" w:rsidRPr="007A11CE" w:rsidRDefault="00BD6474" w:rsidP="007A11CE">
      <w:pPr>
        <w:pStyle w:val="FixListStyle"/>
        <w:spacing w:after="260" w:line="280" w:lineRule="exact"/>
        <w:ind w:right="0"/>
        <w:jc w:val="both"/>
        <w:rPr>
          <w:rFonts w:ascii="Times New Roman" w:hAnsi="Times New Roman"/>
        </w:rPr>
      </w:pPr>
      <w:r w:rsidRPr="007A11CE">
        <w:rPr>
          <w:rFonts w:ascii="Times New Roman" w:hAnsi="Times New Roman"/>
        </w:rPr>
        <w:tab/>
        <w:t>T</w:t>
      </w:r>
      <w:r w:rsidR="00B16AA2" w:rsidRPr="007A11CE">
        <w:rPr>
          <w:rFonts w:ascii="Times New Roman" w:hAnsi="Times New Roman"/>
        </w:rPr>
        <w:t xml:space="preserve">he </w:t>
      </w:r>
      <w:r w:rsidR="00805828" w:rsidRPr="007A11CE">
        <w:rPr>
          <w:rFonts w:ascii="Times New Roman" w:hAnsi="Times New Roman"/>
        </w:rPr>
        <w:t xml:space="preserve">relevant </w:t>
      </w:r>
      <w:r w:rsidR="00B16AA2" w:rsidRPr="007A11CE">
        <w:rPr>
          <w:rFonts w:ascii="Times New Roman" w:hAnsi="Times New Roman"/>
        </w:rPr>
        <w:t>operation of s</w:t>
      </w:r>
      <w:r w:rsidR="006560BC" w:rsidRPr="007A11CE">
        <w:rPr>
          <w:rFonts w:ascii="Times New Roman" w:hAnsi="Times New Roman"/>
        </w:rPr>
        <w:t> </w:t>
      </w:r>
      <w:r w:rsidR="00B16AA2" w:rsidRPr="007A11CE">
        <w:rPr>
          <w:rFonts w:ascii="Times New Roman" w:hAnsi="Times New Roman"/>
        </w:rPr>
        <w:t>13(1)(c)</w:t>
      </w:r>
      <w:r w:rsidR="009C149D" w:rsidRPr="007A11CE">
        <w:rPr>
          <w:rFonts w:ascii="Times New Roman" w:hAnsi="Times New Roman"/>
        </w:rPr>
        <w:t xml:space="preserve"> </w:t>
      </w:r>
      <w:r w:rsidRPr="007A11CE">
        <w:rPr>
          <w:rFonts w:ascii="Times New Roman" w:hAnsi="Times New Roman"/>
        </w:rPr>
        <w:t xml:space="preserve">of the </w:t>
      </w:r>
      <w:r w:rsidRPr="007A11CE">
        <w:rPr>
          <w:rFonts w:ascii="Times New Roman" w:hAnsi="Times New Roman"/>
          <w:i/>
          <w:iCs/>
        </w:rPr>
        <w:t>Legislation Act</w:t>
      </w:r>
      <w:r w:rsidRPr="007A11CE">
        <w:rPr>
          <w:rFonts w:ascii="Times New Roman" w:hAnsi="Times New Roman"/>
        </w:rPr>
        <w:t xml:space="preserve"> </w:t>
      </w:r>
      <w:r w:rsidR="00C14B0B" w:rsidRPr="007A11CE">
        <w:rPr>
          <w:rFonts w:ascii="Times New Roman" w:hAnsi="Times New Roman"/>
        </w:rPr>
        <w:t xml:space="preserve">can be taken </w:t>
      </w:r>
      <w:r w:rsidR="009C149D" w:rsidRPr="007A11CE">
        <w:rPr>
          <w:rFonts w:ascii="Times New Roman" w:hAnsi="Times New Roman"/>
        </w:rPr>
        <w:t>for present purposes</w:t>
      </w:r>
      <w:r w:rsidR="00B16AA2" w:rsidRPr="007A11CE">
        <w:rPr>
          <w:rFonts w:ascii="Times New Roman" w:hAnsi="Times New Roman"/>
        </w:rPr>
        <w:t xml:space="preserve"> </w:t>
      </w:r>
      <w:r w:rsidR="00C14B0B" w:rsidRPr="007A11CE">
        <w:rPr>
          <w:rFonts w:ascii="Times New Roman" w:hAnsi="Times New Roman"/>
        </w:rPr>
        <w:t xml:space="preserve">to </w:t>
      </w:r>
      <w:r w:rsidR="00B16AA2" w:rsidRPr="007A11CE">
        <w:rPr>
          <w:rFonts w:ascii="Times New Roman" w:hAnsi="Times New Roman"/>
        </w:rPr>
        <w:t>coincide</w:t>
      </w:r>
      <w:r w:rsidR="006E39EE" w:rsidRPr="007A11CE">
        <w:rPr>
          <w:rFonts w:ascii="Times New Roman" w:hAnsi="Times New Roman"/>
        </w:rPr>
        <w:t xml:space="preserve"> with</w:t>
      </w:r>
      <w:r w:rsidR="00B16AA2" w:rsidRPr="007A11CE">
        <w:rPr>
          <w:rFonts w:ascii="Times New Roman" w:hAnsi="Times New Roman"/>
        </w:rPr>
        <w:t xml:space="preserve"> that of s</w:t>
      </w:r>
      <w:r w:rsidR="006560BC" w:rsidRPr="007A11CE">
        <w:rPr>
          <w:rFonts w:ascii="Times New Roman" w:hAnsi="Times New Roman"/>
        </w:rPr>
        <w:t> </w:t>
      </w:r>
      <w:r w:rsidR="00B16AA2" w:rsidRPr="007A11CE">
        <w:rPr>
          <w:rFonts w:ascii="Times New Roman" w:hAnsi="Times New Roman"/>
        </w:rPr>
        <w:t>13(1)(a)</w:t>
      </w:r>
      <w:r w:rsidR="00EA62C0" w:rsidRPr="007A11CE">
        <w:rPr>
          <w:rFonts w:ascii="Times New Roman" w:hAnsi="Times New Roman"/>
        </w:rPr>
        <w:t>. B</w:t>
      </w:r>
      <w:r w:rsidR="00913306" w:rsidRPr="007A11CE">
        <w:rPr>
          <w:rFonts w:ascii="Times New Roman" w:hAnsi="Times New Roman"/>
        </w:rPr>
        <w:t>oth require</w:t>
      </w:r>
      <w:r w:rsidR="009776E5" w:rsidRPr="007A11CE">
        <w:rPr>
          <w:rFonts w:ascii="Times New Roman" w:hAnsi="Times New Roman"/>
        </w:rPr>
        <w:t>,</w:t>
      </w:r>
      <w:r w:rsidR="00897D02" w:rsidRPr="007A11CE">
        <w:rPr>
          <w:rFonts w:ascii="Times New Roman" w:hAnsi="Times New Roman"/>
        </w:rPr>
        <w:t xml:space="preserve"> in the language of s</w:t>
      </w:r>
      <w:r w:rsidR="00656CE2" w:rsidRPr="007A11CE">
        <w:rPr>
          <w:rFonts w:ascii="Times New Roman" w:hAnsi="Times New Roman"/>
        </w:rPr>
        <w:t> </w:t>
      </w:r>
      <w:r w:rsidR="00897D02" w:rsidRPr="007A11CE">
        <w:rPr>
          <w:rFonts w:ascii="Times New Roman" w:hAnsi="Times New Roman"/>
        </w:rPr>
        <w:t xml:space="preserve">15A of the </w:t>
      </w:r>
      <w:r w:rsidR="00897D02" w:rsidRPr="007A11CE">
        <w:rPr>
          <w:rFonts w:ascii="Times New Roman" w:hAnsi="Times New Roman"/>
          <w:i/>
          <w:iCs/>
        </w:rPr>
        <w:t>Acts Interpretation Act</w:t>
      </w:r>
      <w:r w:rsidR="009776E5" w:rsidRPr="007A11CE">
        <w:rPr>
          <w:rFonts w:ascii="Times New Roman" w:hAnsi="Times New Roman"/>
        </w:rPr>
        <w:t>,</w:t>
      </w:r>
      <w:r w:rsidR="009776E5" w:rsidRPr="007A11CE">
        <w:rPr>
          <w:rFonts w:ascii="Times New Roman" w:hAnsi="Times New Roman"/>
          <w:i/>
          <w:iCs/>
        </w:rPr>
        <w:t xml:space="preserve"> </w:t>
      </w:r>
      <w:r w:rsidR="00BA77B4" w:rsidRPr="007A11CE">
        <w:rPr>
          <w:rFonts w:ascii="Times New Roman" w:hAnsi="Times New Roman"/>
        </w:rPr>
        <w:t>that regs</w:t>
      </w:r>
      <w:r w:rsidR="00656CE2" w:rsidRPr="007A11CE">
        <w:rPr>
          <w:rFonts w:ascii="Times New Roman" w:hAnsi="Times New Roman"/>
        </w:rPr>
        <w:t> </w:t>
      </w:r>
      <w:r w:rsidR="00BA77B4" w:rsidRPr="007A11CE">
        <w:rPr>
          <w:rFonts w:ascii="Times New Roman" w:hAnsi="Times New Roman"/>
        </w:rPr>
        <w:t xml:space="preserve">14 and 15 of the Regulations </w:t>
      </w:r>
      <w:r w:rsidR="00C54D7E" w:rsidRPr="007A11CE">
        <w:rPr>
          <w:rFonts w:ascii="Times New Roman" w:hAnsi="Times New Roman"/>
        </w:rPr>
        <w:t xml:space="preserve">"shall </w:t>
      </w:r>
      <w:r w:rsidR="00BA77B4" w:rsidRPr="007A11CE">
        <w:rPr>
          <w:rFonts w:ascii="Times New Roman" w:hAnsi="Times New Roman"/>
        </w:rPr>
        <w:t xml:space="preserve">be read and construed </w:t>
      </w:r>
      <w:r w:rsidR="007442E6" w:rsidRPr="007A11CE">
        <w:rPr>
          <w:rFonts w:ascii="Times New Roman" w:hAnsi="Times New Roman"/>
        </w:rPr>
        <w:t xml:space="preserve">... </w:t>
      </w:r>
      <w:r w:rsidR="00BA77B4" w:rsidRPr="007A11CE">
        <w:rPr>
          <w:rFonts w:ascii="Times New Roman" w:hAnsi="Times New Roman"/>
        </w:rPr>
        <w:t>so as not to exceed the legislative power of the Commonwealth</w:t>
      </w:r>
      <w:r w:rsidR="007442E6" w:rsidRPr="007A11CE">
        <w:rPr>
          <w:rFonts w:ascii="Times New Roman" w:hAnsi="Times New Roman"/>
        </w:rPr>
        <w:t>".</w:t>
      </w:r>
    </w:p>
    <w:p w14:paraId="4ECFDC82" w14:textId="7E71F9CD" w:rsidR="002C19A4" w:rsidRPr="007A11CE" w:rsidRDefault="002C19A4"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083394" w:rsidRPr="007A11CE">
        <w:rPr>
          <w:rFonts w:ascii="Times New Roman" w:hAnsi="Times New Roman"/>
        </w:rPr>
        <w:t>Section</w:t>
      </w:r>
      <w:r w:rsidR="00656CE2" w:rsidRPr="007A11CE">
        <w:rPr>
          <w:rFonts w:ascii="Times New Roman" w:hAnsi="Times New Roman"/>
        </w:rPr>
        <w:t> </w:t>
      </w:r>
      <w:r w:rsidR="00083394" w:rsidRPr="007A11CE">
        <w:rPr>
          <w:rFonts w:ascii="Times New Roman" w:hAnsi="Times New Roman"/>
        </w:rPr>
        <w:t xml:space="preserve">13(2) of the </w:t>
      </w:r>
      <w:r w:rsidR="00083394" w:rsidRPr="007A11CE">
        <w:rPr>
          <w:rFonts w:ascii="Times New Roman" w:hAnsi="Times New Roman"/>
          <w:i/>
          <w:iCs/>
        </w:rPr>
        <w:t>Legislation Act</w:t>
      </w:r>
      <w:r w:rsidR="006D4A6E" w:rsidRPr="007A11CE">
        <w:rPr>
          <w:rFonts w:ascii="Times New Roman" w:hAnsi="Times New Roman"/>
        </w:rPr>
        <w:t xml:space="preserve"> </w:t>
      </w:r>
      <w:r w:rsidR="00B565E5" w:rsidRPr="007A11CE">
        <w:rPr>
          <w:rFonts w:ascii="Times New Roman" w:hAnsi="Times New Roman"/>
        </w:rPr>
        <w:t>emulates</w:t>
      </w:r>
      <w:r w:rsidR="006713B9" w:rsidRPr="007A11CE">
        <w:rPr>
          <w:rFonts w:ascii="Times New Roman" w:hAnsi="Times New Roman"/>
        </w:rPr>
        <w:t xml:space="preserve"> </w:t>
      </w:r>
      <w:r w:rsidR="002B6D2C" w:rsidRPr="007A11CE">
        <w:rPr>
          <w:rFonts w:ascii="Times New Roman" w:hAnsi="Times New Roman"/>
        </w:rPr>
        <w:t>the concluding words of s</w:t>
      </w:r>
      <w:r w:rsidR="00656CE2" w:rsidRPr="007A11CE">
        <w:rPr>
          <w:rFonts w:ascii="Times New Roman" w:hAnsi="Times New Roman"/>
        </w:rPr>
        <w:t> </w:t>
      </w:r>
      <w:r w:rsidR="002B6D2C" w:rsidRPr="007A11CE">
        <w:rPr>
          <w:rFonts w:ascii="Times New Roman" w:hAnsi="Times New Roman"/>
        </w:rPr>
        <w:t xml:space="preserve">15A of the </w:t>
      </w:r>
      <w:r w:rsidR="002B6D2C" w:rsidRPr="007A11CE">
        <w:rPr>
          <w:rFonts w:ascii="Times New Roman" w:hAnsi="Times New Roman"/>
          <w:i/>
          <w:iCs/>
        </w:rPr>
        <w:t>Acts Interpretation Act</w:t>
      </w:r>
      <w:r w:rsidR="002B6D2C" w:rsidRPr="007A11CE">
        <w:rPr>
          <w:rFonts w:ascii="Times New Roman" w:hAnsi="Times New Roman"/>
        </w:rPr>
        <w:t xml:space="preserve"> </w:t>
      </w:r>
      <w:r w:rsidR="005B6D3F" w:rsidRPr="007A11CE">
        <w:rPr>
          <w:rFonts w:ascii="Times New Roman" w:hAnsi="Times New Roman"/>
        </w:rPr>
        <w:t xml:space="preserve">in </w:t>
      </w:r>
      <w:r w:rsidR="006D4A6E" w:rsidRPr="007A11CE">
        <w:rPr>
          <w:rFonts w:ascii="Times New Roman" w:hAnsi="Times New Roman"/>
        </w:rPr>
        <w:t>providing</w:t>
      </w:r>
      <w:r w:rsidR="005B6D3F" w:rsidRPr="007A11CE">
        <w:rPr>
          <w:rFonts w:ascii="Times New Roman" w:hAnsi="Times New Roman"/>
        </w:rPr>
        <w:t xml:space="preserve"> that a legislative instrument </w:t>
      </w:r>
      <w:r w:rsidR="00F555C4" w:rsidRPr="007A11CE">
        <w:rPr>
          <w:rFonts w:ascii="Times New Roman" w:hAnsi="Times New Roman"/>
        </w:rPr>
        <w:lastRenderedPageBreak/>
        <w:t xml:space="preserve">which would </w:t>
      </w:r>
      <w:r w:rsidR="001C0170" w:rsidRPr="007A11CE">
        <w:rPr>
          <w:rFonts w:ascii="Times New Roman" w:hAnsi="Times New Roman"/>
        </w:rPr>
        <w:t xml:space="preserve">otherwise </w:t>
      </w:r>
      <w:r w:rsidR="00F555C4" w:rsidRPr="007A11CE">
        <w:rPr>
          <w:rFonts w:ascii="Times New Roman" w:hAnsi="Times New Roman"/>
        </w:rPr>
        <w:t xml:space="preserve">be </w:t>
      </w:r>
      <w:r w:rsidR="001C0170" w:rsidRPr="007A11CE">
        <w:rPr>
          <w:rFonts w:ascii="Times New Roman" w:hAnsi="Times New Roman"/>
        </w:rPr>
        <w:t xml:space="preserve">construed </w:t>
      </w:r>
      <w:r w:rsidR="00F94355" w:rsidRPr="007A11CE">
        <w:rPr>
          <w:rFonts w:ascii="Times New Roman" w:hAnsi="Times New Roman"/>
        </w:rPr>
        <w:t xml:space="preserve">to exceed the power to make it </w:t>
      </w:r>
      <w:r w:rsidR="005903D9" w:rsidRPr="007A11CE">
        <w:rPr>
          <w:rFonts w:ascii="Times New Roman" w:hAnsi="Times New Roman"/>
        </w:rPr>
        <w:t xml:space="preserve">"is to be taken to be a valid instrument to the </w:t>
      </w:r>
      <w:r w:rsidR="00605CDC" w:rsidRPr="007A11CE">
        <w:rPr>
          <w:rFonts w:ascii="Times New Roman" w:hAnsi="Times New Roman"/>
        </w:rPr>
        <w:t>extent</w:t>
      </w:r>
      <w:r w:rsidR="005903D9" w:rsidRPr="007A11CE">
        <w:rPr>
          <w:rFonts w:ascii="Times New Roman" w:hAnsi="Times New Roman"/>
        </w:rPr>
        <w:t xml:space="preserve"> to which it is not in excess of </w:t>
      </w:r>
      <w:r w:rsidR="00EC1241" w:rsidRPr="007A11CE">
        <w:rPr>
          <w:rFonts w:ascii="Times New Roman" w:hAnsi="Times New Roman"/>
        </w:rPr>
        <w:t xml:space="preserve">that </w:t>
      </w:r>
      <w:r w:rsidR="005903D9" w:rsidRPr="007A11CE">
        <w:rPr>
          <w:rFonts w:ascii="Times New Roman" w:hAnsi="Times New Roman"/>
        </w:rPr>
        <w:t>power"</w:t>
      </w:r>
      <w:r w:rsidR="00F555C4" w:rsidRPr="007A11CE">
        <w:rPr>
          <w:rFonts w:ascii="Times New Roman" w:hAnsi="Times New Roman"/>
        </w:rPr>
        <w:t>. For present purposes, s</w:t>
      </w:r>
      <w:r w:rsidR="00656CE2" w:rsidRPr="007A11CE">
        <w:rPr>
          <w:rFonts w:ascii="Times New Roman" w:hAnsi="Times New Roman"/>
        </w:rPr>
        <w:t> </w:t>
      </w:r>
      <w:r w:rsidR="00F555C4" w:rsidRPr="007A11CE">
        <w:rPr>
          <w:rFonts w:ascii="Times New Roman" w:hAnsi="Times New Roman"/>
        </w:rPr>
        <w:t xml:space="preserve">13(2) </w:t>
      </w:r>
      <w:r w:rsidR="0047565B" w:rsidRPr="007A11CE">
        <w:rPr>
          <w:rFonts w:ascii="Times New Roman" w:hAnsi="Times New Roman"/>
        </w:rPr>
        <w:t>adds nothing to s</w:t>
      </w:r>
      <w:r w:rsidR="00656CE2" w:rsidRPr="007A11CE">
        <w:rPr>
          <w:rFonts w:ascii="Times New Roman" w:hAnsi="Times New Roman"/>
        </w:rPr>
        <w:t> </w:t>
      </w:r>
      <w:r w:rsidR="0047565B" w:rsidRPr="007A11CE">
        <w:rPr>
          <w:rFonts w:ascii="Times New Roman" w:hAnsi="Times New Roman"/>
        </w:rPr>
        <w:t>13(1)(</w:t>
      </w:r>
      <w:r w:rsidR="00D57F1B" w:rsidRPr="007A11CE">
        <w:rPr>
          <w:rFonts w:ascii="Times New Roman" w:hAnsi="Times New Roman"/>
        </w:rPr>
        <w:t>a) and (c)</w:t>
      </w:r>
      <w:r w:rsidR="006D4A6E" w:rsidRPr="007A11CE">
        <w:rPr>
          <w:rFonts w:ascii="Times New Roman" w:hAnsi="Times New Roman"/>
        </w:rPr>
        <w:t xml:space="preserve"> </w:t>
      </w:r>
      <w:r w:rsidR="00D57F1B" w:rsidRPr="007A11CE">
        <w:rPr>
          <w:rFonts w:ascii="Times New Roman" w:hAnsi="Times New Roman"/>
        </w:rPr>
        <w:t xml:space="preserve">and can </w:t>
      </w:r>
      <w:r w:rsidR="00643676" w:rsidRPr="007A11CE">
        <w:rPr>
          <w:rFonts w:ascii="Times New Roman" w:hAnsi="Times New Roman"/>
        </w:rPr>
        <w:t xml:space="preserve">for that reason </w:t>
      </w:r>
      <w:r w:rsidR="00D57F1B" w:rsidRPr="007A11CE">
        <w:rPr>
          <w:rFonts w:ascii="Times New Roman" w:hAnsi="Times New Roman"/>
        </w:rPr>
        <w:t>be put to one side.</w:t>
      </w:r>
    </w:p>
    <w:p w14:paraId="025C5C9E" w14:textId="4997BAAC" w:rsidR="00D57F1B" w:rsidRPr="007A11CE" w:rsidRDefault="00327241"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9C5DCB" w:rsidRPr="007A11CE">
        <w:rPr>
          <w:rFonts w:ascii="Times New Roman" w:hAnsi="Times New Roman"/>
        </w:rPr>
        <w:t>Three features of s</w:t>
      </w:r>
      <w:r w:rsidR="00D50B68" w:rsidRPr="007A11CE">
        <w:rPr>
          <w:rFonts w:ascii="Times New Roman" w:hAnsi="Times New Roman"/>
        </w:rPr>
        <w:t> </w:t>
      </w:r>
      <w:r w:rsidR="009C5DCB" w:rsidRPr="007A11CE">
        <w:rPr>
          <w:rFonts w:ascii="Times New Roman" w:hAnsi="Times New Roman"/>
        </w:rPr>
        <w:t xml:space="preserve">15A of the </w:t>
      </w:r>
      <w:r w:rsidR="009C5DCB" w:rsidRPr="007A11CE">
        <w:rPr>
          <w:rFonts w:ascii="Times New Roman" w:hAnsi="Times New Roman"/>
          <w:i/>
          <w:iCs/>
        </w:rPr>
        <w:t>Acts Interpretation Act</w:t>
      </w:r>
      <w:r w:rsidR="009C5DCB" w:rsidRPr="007A11CE">
        <w:rPr>
          <w:rFonts w:ascii="Times New Roman" w:hAnsi="Times New Roman"/>
        </w:rPr>
        <w:t xml:space="preserve">, </w:t>
      </w:r>
      <w:r w:rsidR="00830ED1" w:rsidRPr="007A11CE">
        <w:rPr>
          <w:rFonts w:ascii="Times New Roman" w:hAnsi="Times New Roman"/>
        </w:rPr>
        <w:t xml:space="preserve">both </w:t>
      </w:r>
      <w:r w:rsidR="00DA39F9" w:rsidRPr="007A11CE">
        <w:rPr>
          <w:rFonts w:ascii="Times New Roman" w:hAnsi="Times New Roman"/>
        </w:rPr>
        <w:t xml:space="preserve">in its primary application </w:t>
      </w:r>
      <w:r w:rsidR="00784B85" w:rsidRPr="007A11CE">
        <w:rPr>
          <w:rFonts w:ascii="Times New Roman" w:hAnsi="Times New Roman"/>
        </w:rPr>
        <w:t xml:space="preserve">and </w:t>
      </w:r>
      <w:r w:rsidR="00F500D8" w:rsidRPr="007A11CE">
        <w:rPr>
          <w:rFonts w:ascii="Times New Roman" w:hAnsi="Times New Roman"/>
        </w:rPr>
        <w:t>in its</w:t>
      </w:r>
      <w:r w:rsidR="009C5DCB" w:rsidRPr="007A11CE">
        <w:rPr>
          <w:rFonts w:ascii="Times New Roman" w:hAnsi="Times New Roman"/>
        </w:rPr>
        <w:t xml:space="preserve"> deriva</w:t>
      </w:r>
      <w:r w:rsidR="00F500D8" w:rsidRPr="007A11CE">
        <w:rPr>
          <w:rFonts w:ascii="Times New Roman" w:hAnsi="Times New Roman"/>
        </w:rPr>
        <w:t xml:space="preserve">tive application </w:t>
      </w:r>
      <w:r w:rsidR="00784B85" w:rsidRPr="007A11CE">
        <w:rPr>
          <w:rFonts w:ascii="Times New Roman" w:hAnsi="Times New Roman"/>
        </w:rPr>
        <w:t>to regulations</w:t>
      </w:r>
      <w:r w:rsidR="00F500D8" w:rsidRPr="007A11CE">
        <w:rPr>
          <w:rFonts w:ascii="Times New Roman" w:hAnsi="Times New Roman"/>
        </w:rPr>
        <w:t xml:space="preserve"> </w:t>
      </w:r>
      <w:r w:rsidR="005313F1" w:rsidRPr="007A11CE">
        <w:rPr>
          <w:rFonts w:ascii="Times New Roman" w:hAnsi="Times New Roman"/>
        </w:rPr>
        <w:t>through s</w:t>
      </w:r>
      <w:r w:rsidR="00D50B68" w:rsidRPr="007A11CE">
        <w:rPr>
          <w:rFonts w:ascii="Times New Roman" w:hAnsi="Times New Roman"/>
        </w:rPr>
        <w:t> </w:t>
      </w:r>
      <w:r w:rsidR="005313F1" w:rsidRPr="007A11CE">
        <w:rPr>
          <w:rFonts w:ascii="Times New Roman" w:hAnsi="Times New Roman"/>
        </w:rPr>
        <w:t>13(1)(a) and (c)</w:t>
      </w:r>
      <w:r w:rsidR="001C24CD" w:rsidRPr="007A11CE">
        <w:rPr>
          <w:rFonts w:ascii="Times New Roman" w:hAnsi="Times New Roman"/>
        </w:rPr>
        <w:t xml:space="preserve"> of the </w:t>
      </w:r>
      <w:r w:rsidR="001C24CD" w:rsidRPr="007A11CE">
        <w:rPr>
          <w:rFonts w:ascii="Times New Roman" w:hAnsi="Times New Roman"/>
          <w:i/>
          <w:iCs/>
        </w:rPr>
        <w:t>Legislation Act</w:t>
      </w:r>
      <w:r w:rsidR="001C24CD" w:rsidRPr="007A11CE">
        <w:rPr>
          <w:rFonts w:ascii="Times New Roman" w:hAnsi="Times New Roman"/>
        </w:rPr>
        <w:t xml:space="preserve">, are </w:t>
      </w:r>
      <w:r w:rsidR="004B59E0" w:rsidRPr="007A11CE">
        <w:rPr>
          <w:rFonts w:ascii="Times New Roman" w:hAnsi="Times New Roman"/>
        </w:rPr>
        <w:t>apparent on its face and have been</w:t>
      </w:r>
      <w:r w:rsidR="001C24CD" w:rsidRPr="007A11CE">
        <w:rPr>
          <w:rFonts w:ascii="Times New Roman" w:hAnsi="Times New Roman"/>
        </w:rPr>
        <w:t xml:space="preserve"> emphasised</w:t>
      </w:r>
      <w:r w:rsidR="001A5EBC" w:rsidRPr="007A11CE">
        <w:rPr>
          <w:rFonts w:ascii="Times New Roman" w:hAnsi="Times New Roman"/>
        </w:rPr>
        <w:t xml:space="preserve"> in cases that have considered its application.</w:t>
      </w:r>
      <w:r w:rsidR="001C24CD" w:rsidRPr="007A11CE">
        <w:rPr>
          <w:rFonts w:ascii="Times New Roman" w:hAnsi="Times New Roman"/>
        </w:rPr>
        <w:t xml:space="preserve"> </w:t>
      </w:r>
    </w:p>
    <w:p w14:paraId="1233970A" w14:textId="4431FFB3" w:rsidR="001A5EBC" w:rsidRPr="007A11CE" w:rsidRDefault="001A5EBC" w:rsidP="007A11CE">
      <w:pPr>
        <w:pStyle w:val="FixListStyle"/>
        <w:spacing w:after="260" w:line="280" w:lineRule="exact"/>
        <w:ind w:right="0"/>
        <w:jc w:val="both"/>
        <w:rPr>
          <w:rFonts w:ascii="Times New Roman" w:hAnsi="Times New Roman"/>
        </w:rPr>
      </w:pPr>
      <w:r w:rsidRPr="007A11CE">
        <w:rPr>
          <w:rFonts w:ascii="Times New Roman" w:hAnsi="Times New Roman"/>
        </w:rPr>
        <w:tab/>
        <w:t xml:space="preserve">The first </w:t>
      </w:r>
      <w:r w:rsidR="00E54048" w:rsidRPr="007A11CE">
        <w:rPr>
          <w:rFonts w:ascii="Times New Roman" w:hAnsi="Times New Roman"/>
        </w:rPr>
        <w:t xml:space="preserve">is that </w:t>
      </w:r>
      <w:r w:rsidR="00103986" w:rsidRPr="007A11CE">
        <w:rPr>
          <w:rFonts w:ascii="Times New Roman" w:hAnsi="Times New Roman"/>
        </w:rPr>
        <w:t xml:space="preserve">the section </w:t>
      </w:r>
      <w:r w:rsidR="00F466DF" w:rsidRPr="007A11CE">
        <w:rPr>
          <w:rFonts w:ascii="Times New Roman" w:hAnsi="Times New Roman"/>
        </w:rPr>
        <w:t>enacts a principle of statutory construction.</w:t>
      </w:r>
      <w:r w:rsidR="00807E36" w:rsidRPr="007A11CE">
        <w:rPr>
          <w:rStyle w:val="FootnoteReference"/>
          <w:rFonts w:ascii="Times New Roman" w:hAnsi="Times New Roman"/>
          <w:sz w:val="24"/>
        </w:rPr>
        <w:footnoteReference w:id="34"/>
      </w:r>
      <w:r w:rsidR="00252ABE" w:rsidRPr="007A11CE">
        <w:rPr>
          <w:rFonts w:ascii="Times New Roman" w:hAnsi="Times New Roman"/>
        </w:rPr>
        <w:t xml:space="preserve"> </w:t>
      </w:r>
      <w:r w:rsidR="00D05779" w:rsidRPr="007A11CE">
        <w:rPr>
          <w:rFonts w:ascii="Times New Roman" w:hAnsi="Times New Roman"/>
        </w:rPr>
        <w:t xml:space="preserve">That </w:t>
      </w:r>
      <w:r w:rsidR="00BC428E" w:rsidRPr="007A11CE">
        <w:rPr>
          <w:rFonts w:ascii="Times New Roman" w:hAnsi="Times New Roman"/>
        </w:rPr>
        <w:t xml:space="preserve">is to say, it is concerned with </w:t>
      </w:r>
      <w:r w:rsidR="00366622" w:rsidRPr="007A11CE">
        <w:rPr>
          <w:rFonts w:ascii="Times New Roman" w:hAnsi="Times New Roman"/>
        </w:rPr>
        <w:t>"the process of attributing meaning to statutory text</w:t>
      </w:r>
      <w:r w:rsidR="00C11043" w:rsidRPr="007A11CE">
        <w:rPr>
          <w:rFonts w:ascii="Times New Roman" w:hAnsi="Times New Roman"/>
        </w:rPr>
        <w:t>".</w:t>
      </w:r>
      <w:r w:rsidR="00C2779D" w:rsidRPr="007A11CE">
        <w:rPr>
          <w:rStyle w:val="FootnoteReference"/>
          <w:rFonts w:ascii="Times New Roman" w:hAnsi="Times New Roman"/>
          <w:sz w:val="24"/>
        </w:rPr>
        <w:footnoteReference w:id="35"/>
      </w:r>
      <w:r w:rsidR="00C11043" w:rsidRPr="007A11CE">
        <w:rPr>
          <w:rFonts w:ascii="Times New Roman" w:hAnsi="Times New Roman"/>
        </w:rPr>
        <w:t xml:space="preserve"> It explains</w:t>
      </w:r>
      <w:r w:rsidR="00FD770C" w:rsidRPr="007A11CE">
        <w:rPr>
          <w:rFonts w:ascii="Times New Roman" w:hAnsi="Times New Roman"/>
        </w:rPr>
        <w:t xml:space="preserve"> </w:t>
      </w:r>
      <w:r w:rsidR="00C11043" w:rsidRPr="007A11CE">
        <w:rPr>
          <w:rFonts w:ascii="Times New Roman" w:hAnsi="Times New Roman"/>
        </w:rPr>
        <w:t xml:space="preserve">in terms </w:t>
      </w:r>
      <w:r w:rsidR="00FD770C" w:rsidRPr="007A11CE">
        <w:rPr>
          <w:rFonts w:ascii="Times New Roman" w:hAnsi="Times New Roman"/>
        </w:rPr>
        <w:t xml:space="preserve">how </w:t>
      </w:r>
      <w:r w:rsidR="00BC428E" w:rsidRPr="007A11CE">
        <w:rPr>
          <w:rFonts w:ascii="Times New Roman" w:hAnsi="Times New Roman"/>
        </w:rPr>
        <w:t>legislation</w:t>
      </w:r>
      <w:r w:rsidR="00FD770C" w:rsidRPr="007A11CE">
        <w:rPr>
          <w:rFonts w:ascii="Times New Roman" w:hAnsi="Times New Roman"/>
        </w:rPr>
        <w:t xml:space="preserve"> is to be "read and construed".</w:t>
      </w:r>
    </w:p>
    <w:p w14:paraId="51C48F62" w14:textId="241EC85C" w:rsidR="00AF2C2D" w:rsidRPr="007A11CE" w:rsidRDefault="00AF2C2D" w:rsidP="007A11CE">
      <w:pPr>
        <w:pStyle w:val="FixListStyle"/>
        <w:spacing w:after="260" w:line="280" w:lineRule="exact"/>
        <w:ind w:right="0"/>
        <w:jc w:val="both"/>
        <w:rPr>
          <w:rFonts w:ascii="Times New Roman" w:hAnsi="Times New Roman"/>
        </w:rPr>
      </w:pPr>
      <w:r w:rsidRPr="007A11CE">
        <w:rPr>
          <w:rFonts w:ascii="Times New Roman" w:hAnsi="Times New Roman"/>
        </w:rPr>
        <w:tab/>
        <w:t xml:space="preserve">The second is that </w:t>
      </w:r>
      <w:r w:rsidR="0061358B" w:rsidRPr="007A11CE">
        <w:rPr>
          <w:rFonts w:ascii="Times New Roman" w:hAnsi="Times New Roman"/>
        </w:rPr>
        <w:t xml:space="preserve">the principle of statutory construction the section enacts is </w:t>
      </w:r>
      <w:r w:rsidR="00065FCD" w:rsidRPr="007A11CE">
        <w:rPr>
          <w:rFonts w:ascii="Times New Roman" w:hAnsi="Times New Roman"/>
        </w:rPr>
        <w:t>"</w:t>
      </w:r>
      <w:r w:rsidR="0061358B" w:rsidRPr="007A11CE">
        <w:rPr>
          <w:rFonts w:ascii="Times New Roman" w:hAnsi="Times New Roman"/>
        </w:rPr>
        <w:t>contingent</w:t>
      </w:r>
      <w:r w:rsidR="00065FCD" w:rsidRPr="007A11CE">
        <w:rPr>
          <w:rFonts w:ascii="Times New Roman" w:hAnsi="Times New Roman"/>
        </w:rPr>
        <w:t>"</w:t>
      </w:r>
      <w:r w:rsidR="00807E36" w:rsidRPr="007A11CE">
        <w:rPr>
          <w:rStyle w:val="FootnoteReference"/>
          <w:rFonts w:ascii="Times New Roman" w:hAnsi="Times New Roman"/>
          <w:sz w:val="24"/>
        </w:rPr>
        <w:footnoteReference w:id="36"/>
      </w:r>
      <w:r w:rsidR="00F02A00" w:rsidRPr="007A11CE">
        <w:rPr>
          <w:rFonts w:ascii="Times New Roman" w:hAnsi="Times New Roman"/>
        </w:rPr>
        <w:t xml:space="preserve"> </w:t>
      </w:r>
      <w:r w:rsidR="004D79A3" w:rsidRPr="007A11CE">
        <w:rPr>
          <w:rFonts w:ascii="Times New Roman" w:hAnsi="Times New Roman"/>
        </w:rPr>
        <w:t xml:space="preserve">or </w:t>
      </w:r>
      <w:r w:rsidR="00065FCD" w:rsidRPr="007A11CE">
        <w:rPr>
          <w:rFonts w:ascii="Times New Roman" w:hAnsi="Times New Roman"/>
        </w:rPr>
        <w:t>"</w:t>
      </w:r>
      <w:r w:rsidR="007C350B" w:rsidRPr="007A11CE">
        <w:rPr>
          <w:rFonts w:ascii="Times New Roman" w:hAnsi="Times New Roman"/>
        </w:rPr>
        <w:t>secondary</w:t>
      </w:r>
      <w:r w:rsidR="00065FCD" w:rsidRPr="007A11CE">
        <w:rPr>
          <w:rFonts w:ascii="Times New Roman" w:hAnsi="Times New Roman"/>
        </w:rPr>
        <w:t>"</w:t>
      </w:r>
      <w:r w:rsidR="007C350B" w:rsidRPr="007A11CE">
        <w:rPr>
          <w:rFonts w:ascii="Times New Roman" w:hAnsi="Times New Roman"/>
        </w:rPr>
        <w:t>.</w:t>
      </w:r>
      <w:r w:rsidR="007C350B" w:rsidRPr="007A11CE">
        <w:rPr>
          <w:rStyle w:val="FootnoteReference"/>
          <w:rFonts w:ascii="Times New Roman" w:hAnsi="Times New Roman"/>
          <w:sz w:val="24"/>
        </w:rPr>
        <w:footnoteReference w:id="37"/>
      </w:r>
      <w:r w:rsidR="007C350B" w:rsidRPr="007A11CE">
        <w:rPr>
          <w:rFonts w:ascii="Times New Roman" w:hAnsi="Times New Roman"/>
        </w:rPr>
        <w:t xml:space="preserve"> </w:t>
      </w:r>
      <w:r w:rsidR="0092744C" w:rsidRPr="007A11CE">
        <w:rPr>
          <w:rFonts w:ascii="Times New Roman" w:hAnsi="Times New Roman"/>
        </w:rPr>
        <w:t xml:space="preserve">Incorporating but </w:t>
      </w:r>
      <w:r w:rsidR="00936E95" w:rsidRPr="007A11CE">
        <w:rPr>
          <w:rFonts w:ascii="Times New Roman" w:hAnsi="Times New Roman"/>
        </w:rPr>
        <w:t>going beyond</w:t>
      </w:r>
      <w:r w:rsidR="00F02A00" w:rsidRPr="007A11CE">
        <w:rPr>
          <w:rFonts w:ascii="Times New Roman" w:hAnsi="Times New Roman"/>
        </w:rPr>
        <w:t xml:space="preserve"> the </w:t>
      </w:r>
      <w:r w:rsidR="0050563F" w:rsidRPr="007A11CE">
        <w:rPr>
          <w:rFonts w:ascii="Times New Roman" w:hAnsi="Times New Roman"/>
        </w:rPr>
        <w:t>primary principle of statutory construction</w:t>
      </w:r>
      <w:r w:rsidR="00392412" w:rsidRPr="007A11CE">
        <w:rPr>
          <w:rFonts w:ascii="Times New Roman" w:hAnsi="Times New Roman"/>
        </w:rPr>
        <w:t xml:space="preserve"> </w:t>
      </w:r>
      <w:r w:rsidR="00543461" w:rsidRPr="007A11CE">
        <w:rPr>
          <w:rFonts w:ascii="Times New Roman" w:hAnsi="Times New Roman"/>
        </w:rPr>
        <w:t xml:space="preserve">which requires choice of </w:t>
      </w:r>
      <w:r w:rsidR="00EA20C5" w:rsidRPr="007A11CE">
        <w:rPr>
          <w:rFonts w:ascii="Times New Roman" w:hAnsi="Times New Roman"/>
        </w:rPr>
        <w:t>a construction</w:t>
      </w:r>
      <w:r w:rsidR="00077037" w:rsidRPr="007A11CE">
        <w:rPr>
          <w:rFonts w:ascii="Times New Roman" w:hAnsi="Times New Roman"/>
        </w:rPr>
        <w:t xml:space="preserve"> in conformi</w:t>
      </w:r>
      <w:r w:rsidR="004921F4" w:rsidRPr="007A11CE">
        <w:rPr>
          <w:rFonts w:ascii="Times New Roman" w:hAnsi="Times New Roman"/>
        </w:rPr>
        <w:t xml:space="preserve">ty with the </w:t>
      </w:r>
      <w:r w:rsidR="004921F4" w:rsidRPr="007A11CE">
        <w:rPr>
          <w:rFonts w:ascii="Times New Roman" w:hAnsi="Times New Roman"/>
          <w:i/>
          <w:iCs/>
        </w:rPr>
        <w:t>Constitution</w:t>
      </w:r>
      <w:r w:rsidR="004921F4" w:rsidRPr="007A11CE">
        <w:rPr>
          <w:rFonts w:ascii="Times New Roman" w:hAnsi="Times New Roman"/>
        </w:rPr>
        <w:t xml:space="preserve"> if th</w:t>
      </w:r>
      <w:r w:rsidR="00BD5D33" w:rsidRPr="007A11CE">
        <w:rPr>
          <w:rFonts w:ascii="Times New Roman" w:hAnsi="Times New Roman"/>
        </w:rPr>
        <w:t>at construction</w:t>
      </w:r>
      <w:r w:rsidR="004921F4" w:rsidRPr="007A11CE">
        <w:rPr>
          <w:rFonts w:ascii="Times New Roman" w:hAnsi="Times New Roman"/>
        </w:rPr>
        <w:t xml:space="preserve"> is "reasonably open"</w:t>
      </w:r>
      <w:r w:rsidR="00A949F1" w:rsidRPr="007A11CE">
        <w:rPr>
          <w:rFonts w:ascii="Times New Roman" w:hAnsi="Times New Roman"/>
        </w:rPr>
        <w:t>,</w:t>
      </w:r>
      <w:r w:rsidR="001535EE" w:rsidRPr="007A11CE">
        <w:rPr>
          <w:rStyle w:val="FootnoteReference"/>
          <w:rFonts w:ascii="Times New Roman" w:hAnsi="Times New Roman"/>
          <w:sz w:val="24"/>
        </w:rPr>
        <w:footnoteReference w:id="38"/>
      </w:r>
      <w:r w:rsidR="00C71841" w:rsidRPr="007A11CE">
        <w:rPr>
          <w:rFonts w:ascii="Times New Roman" w:hAnsi="Times New Roman"/>
        </w:rPr>
        <w:t xml:space="preserve"> </w:t>
      </w:r>
      <w:r w:rsidR="00A949F1" w:rsidRPr="007A11CE">
        <w:rPr>
          <w:rFonts w:ascii="Times New Roman" w:hAnsi="Times New Roman"/>
        </w:rPr>
        <w:t>s 15A</w:t>
      </w:r>
      <w:r w:rsidR="00AE0C41" w:rsidRPr="007A11CE">
        <w:rPr>
          <w:rFonts w:ascii="Times New Roman" w:hAnsi="Times New Roman"/>
        </w:rPr>
        <w:t xml:space="preserve"> </w:t>
      </w:r>
      <w:r w:rsidR="00C71841" w:rsidRPr="007A11CE">
        <w:rPr>
          <w:rFonts w:ascii="Times New Roman" w:hAnsi="Times New Roman"/>
        </w:rPr>
        <w:t>appl</w:t>
      </w:r>
      <w:r w:rsidR="002874D9" w:rsidRPr="007A11CE">
        <w:rPr>
          <w:rFonts w:ascii="Times New Roman" w:hAnsi="Times New Roman"/>
        </w:rPr>
        <w:t xml:space="preserve">ies </w:t>
      </w:r>
      <w:r w:rsidR="00F53891" w:rsidRPr="007A11CE">
        <w:rPr>
          <w:rFonts w:ascii="Times New Roman" w:hAnsi="Times New Roman"/>
        </w:rPr>
        <w:t xml:space="preserve">where </w:t>
      </w:r>
      <w:r w:rsidR="007B4A2B" w:rsidRPr="007A11CE">
        <w:rPr>
          <w:rFonts w:ascii="Times New Roman" w:hAnsi="Times New Roman"/>
        </w:rPr>
        <w:t>legislation</w:t>
      </w:r>
      <w:r w:rsidR="00AE0C41" w:rsidRPr="007A11CE">
        <w:rPr>
          <w:rFonts w:ascii="Times New Roman" w:hAnsi="Times New Roman"/>
        </w:rPr>
        <w:t xml:space="preserve"> </w:t>
      </w:r>
      <w:r w:rsidR="00C71841" w:rsidRPr="007A11CE">
        <w:rPr>
          <w:rFonts w:ascii="Times New Roman" w:hAnsi="Times New Roman"/>
        </w:rPr>
        <w:t>"would, but for this section, have been construed as being in excess of that power".</w:t>
      </w:r>
      <w:r w:rsidR="005A19EC" w:rsidRPr="007A11CE">
        <w:rPr>
          <w:rFonts w:ascii="Times New Roman" w:hAnsi="Times New Roman"/>
        </w:rPr>
        <w:t xml:space="preserve"> </w:t>
      </w:r>
      <w:r w:rsidR="00405FE4" w:rsidRPr="007A11CE">
        <w:rPr>
          <w:rFonts w:ascii="Times New Roman" w:hAnsi="Times New Roman"/>
        </w:rPr>
        <w:t>In the event of that contingency</w:t>
      </w:r>
      <w:r w:rsidR="002D140C" w:rsidRPr="007A11CE">
        <w:rPr>
          <w:rFonts w:ascii="Times New Roman" w:hAnsi="Times New Roman"/>
        </w:rPr>
        <w:t>,</w:t>
      </w:r>
      <w:r w:rsidR="00405FE4" w:rsidRPr="007A11CE">
        <w:rPr>
          <w:rFonts w:ascii="Times New Roman" w:hAnsi="Times New Roman"/>
        </w:rPr>
        <w:t xml:space="preserve"> s 15A </w:t>
      </w:r>
      <w:r w:rsidR="007B4A2B" w:rsidRPr="007A11CE">
        <w:rPr>
          <w:rFonts w:ascii="Times New Roman" w:hAnsi="Times New Roman"/>
        </w:rPr>
        <w:t>require</w:t>
      </w:r>
      <w:r w:rsidR="006F77D3" w:rsidRPr="007A11CE">
        <w:rPr>
          <w:rFonts w:ascii="Times New Roman" w:hAnsi="Times New Roman"/>
        </w:rPr>
        <w:t>s</w:t>
      </w:r>
      <w:r w:rsidR="007B4A2B" w:rsidRPr="007A11CE">
        <w:rPr>
          <w:rFonts w:ascii="Times New Roman" w:hAnsi="Times New Roman"/>
        </w:rPr>
        <w:t xml:space="preserve"> </w:t>
      </w:r>
      <w:r w:rsidR="003659D1" w:rsidRPr="007A11CE">
        <w:rPr>
          <w:rFonts w:ascii="Times New Roman" w:hAnsi="Times New Roman"/>
        </w:rPr>
        <w:t xml:space="preserve">what </w:t>
      </w:r>
      <w:r w:rsidR="00396898" w:rsidRPr="007A11CE">
        <w:rPr>
          <w:rFonts w:ascii="Times New Roman" w:hAnsi="Times New Roman"/>
        </w:rPr>
        <w:t>might</w:t>
      </w:r>
      <w:r w:rsidR="003659D1" w:rsidRPr="007A11CE">
        <w:rPr>
          <w:rFonts w:ascii="Times New Roman" w:hAnsi="Times New Roman"/>
        </w:rPr>
        <w:t xml:space="preserve"> otherwise be "an</w:t>
      </w:r>
      <w:r w:rsidR="00063DEF" w:rsidRPr="007A11CE">
        <w:rPr>
          <w:rFonts w:ascii="Times New Roman" w:hAnsi="Times New Roman"/>
        </w:rPr>
        <w:t xml:space="preserve"> </w:t>
      </w:r>
      <w:r w:rsidR="002A0FF1" w:rsidRPr="007A11CE">
        <w:rPr>
          <w:rFonts w:ascii="Times New Roman" w:hAnsi="Times New Roman"/>
        </w:rPr>
        <w:t>entirely</w:t>
      </w:r>
      <w:r w:rsidR="00063DEF" w:rsidRPr="007A11CE">
        <w:rPr>
          <w:rFonts w:ascii="Times New Roman" w:hAnsi="Times New Roman"/>
        </w:rPr>
        <w:t xml:space="preserve"> artificial</w:t>
      </w:r>
      <w:r w:rsidR="003659D1" w:rsidRPr="007A11CE">
        <w:rPr>
          <w:rFonts w:ascii="Times New Roman" w:hAnsi="Times New Roman"/>
        </w:rPr>
        <w:t xml:space="preserve"> </w:t>
      </w:r>
      <w:r w:rsidR="002A0FF1" w:rsidRPr="007A11CE">
        <w:rPr>
          <w:rFonts w:ascii="Times New Roman" w:hAnsi="Times New Roman"/>
        </w:rPr>
        <w:t xml:space="preserve">construction" </w:t>
      </w:r>
      <w:r w:rsidR="00EE3888" w:rsidRPr="007A11CE">
        <w:rPr>
          <w:rFonts w:ascii="Times New Roman" w:hAnsi="Times New Roman"/>
        </w:rPr>
        <w:t xml:space="preserve">to </w:t>
      </w:r>
      <w:r w:rsidR="00396898" w:rsidRPr="007A11CE">
        <w:rPr>
          <w:rFonts w:ascii="Times New Roman" w:hAnsi="Times New Roman"/>
        </w:rPr>
        <w:t xml:space="preserve">be placed on the legislation </w:t>
      </w:r>
      <w:r w:rsidR="008C4024" w:rsidRPr="007A11CE">
        <w:rPr>
          <w:rFonts w:ascii="Times New Roman" w:hAnsi="Times New Roman"/>
        </w:rPr>
        <w:t>"in order to save so much of it as might have been validly enacted"</w:t>
      </w:r>
      <w:r w:rsidR="00E83BAA" w:rsidRPr="007A11CE">
        <w:rPr>
          <w:rFonts w:ascii="Times New Roman" w:hAnsi="Times New Roman"/>
        </w:rPr>
        <w:t>.</w:t>
      </w:r>
      <w:r w:rsidR="008C4024" w:rsidRPr="007A11CE">
        <w:rPr>
          <w:rStyle w:val="FootnoteReference"/>
          <w:rFonts w:ascii="Times New Roman" w:hAnsi="Times New Roman"/>
          <w:sz w:val="24"/>
        </w:rPr>
        <w:footnoteReference w:id="39"/>
      </w:r>
    </w:p>
    <w:p w14:paraId="4E1E7F23" w14:textId="228EE8BB" w:rsidR="00086179" w:rsidRPr="007A11CE" w:rsidRDefault="00086179" w:rsidP="007A11CE">
      <w:pPr>
        <w:pStyle w:val="FixListStyle"/>
        <w:spacing w:after="260" w:line="280" w:lineRule="exact"/>
        <w:ind w:right="0"/>
        <w:jc w:val="both"/>
        <w:rPr>
          <w:rFonts w:ascii="Times New Roman" w:hAnsi="Times New Roman"/>
        </w:rPr>
      </w:pPr>
      <w:r w:rsidRPr="007A11CE">
        <w:rPr>
          <w:rFonts w:ascii="Times New Roman" w:hAnsi="Times New Roman"/>
        </w:rPr>
        <w:lastRenderedPageBreak/>
        <w:tab/>
        <w:t>The third is that</w:t>
      </w:r>
      <w:r w:rsidR="00597A34" w:rsidRPr="007A11CE">
        <w:rPr>
          <w:rFonts w:ascii="Times New Roman" w:hAnsi="Times New Roman"/>
        </w:rPr>
        <w:t xml:space="preserve"> the principle of statutory construction </w:t>
      </w:r>
      <w:r w:rsidR="00645BF9" w:rsidRPr="007A11CE">
        <w:rPr>
          <w:rFonts w:ascii="Times New Roman" w:hAnsi="Times New Roman"/>
        </w:rPr>
        <w:t>enacted by</w:t>
      </w:r>
      <w:r w:rsidR="000B3120" w:rsidRPr="007A11CE">
        <w:rPr>
          <w:rFonts w:ascii="Times New Roman" w:hAnsi="Times New Roman"/>
        </w:rPr>
        <w:t xml:space="preserve"> </w:t>
      </w:r>
      <w:r w:rsidR="00F411D0" w:rsidRPr="007A11CE">
        <w:rPr>
          <w:rFonts w:ascii="Times New Roman" w:hAnsi="Times New Roman"/>
        </w:rPr>
        <w:t>the section</w:t>
      </w:r>
      <w:r w:rsidR="00597A34" w:rsidRPr="007A11CE">
        <w:rPr>
          <w:rFonts w:ascii="Times New Roman" w:hAnsi="Times New Roman"/>
        </w:rPr>
        <w:t xml:space="preserve">, </w:t>
      </w:r>
      <w:r w:rsidR="0077161F" w:rsidRPr="007A11CE">
        <w:rPr>
          <w:rFonts w:ascii="Times New Roman" w:hAnsi="Times New Roman"/>
        </w:rPr>
        <w:t>where applicable</w:t>
      </w:r>
      <w:r w:rsidR="00A94B6C" w:rsidRPr="007A11CE">
        <w:rPr>
          <w:rFonts w:ascii="Times New Roman" w:hAnsi="Times New Roman"/>
        </w:rPr>
        <w:t xml:space="preserve"> and capable of application</w:t>
      </w:r>
      <w:r w:rsidR="0077161F" w:rsidRPr="007A11CE">
        <w:rPr>
          <w:rFonts w:ascii="Times New Roman" w:hAnsi="Times New Roman"/>
        </w:rPr>
        <w:t>, is imperative.</w:t>
      </w:r>
      <w:r w:rsidR="004832E9" w:rsidRPr="007A11CE">
        <w:rPr>
          <w:rStyle w:val="FootnoteReference"/>
          <w:rFonts w:ascii="Times New Roman" w:hAnsi="Times New Roman"/>
          <w:sz w:val="24"/>
        </w:rPr>
        <w:footnoteReference w:id="40"/>
      </w:r>
      <w:r w:rsidR="0077161F" w:rsidRPr="007A11CE">
        <w:rPr>
          <w:rFonts w:ascii="Times New Roman" w:hAnsi="Times New Roman"/>
        </w:rPr>
        <w:t xml:space="preserve"> </w:t>
      </w:r>
      <w:r w:rsidR="00F411D0" w:rsidRPr="007A11CE">
        <w:rPr>
          <w:rFonts w:ascii="Times New Roman" w:hAnsi="Times New Roman"/>
        </w:rPr>
        <w:t>The section</w:t>
      </w:r>
      <w:r w:rsidR="00045CC9" w:rsidRPr="007A11CE">
        <w:rPr>
          <w:rFonts w:ascii="Times New Roman" w:hAnsi="Times New Roman"/>
        </w:rPr>
        <w:t xml:space="preserve"> states</w:t>
      </w:r>
      <w:r w:rsidR="00820701" w:rsidRPr="007A11CE">
        <w:rPr>
          <w:rFonts w:ascii="Times New Roman" w:hAnsi="Times New Roman"/>
        </w:rPr>
        <w:t xml:space="preserve"> </w:t>
      </w:r>
      <w:r w:rsidR="00045CC9" w:rsidRPr="007A11CE">
        <w:rPr>
          <w:rFonts w:ascii="Times New Roman" w:hAnsi="Times New Roman"/>
        </w:rPr>
        <w:t>how legislation "shall be" read and construed.</w:t>
      </w:r>
      <w:r w:rsidR="00820701" w:rsidRPr="007A11CE">
        <w:rPr>
          <w:rFonts w:ascii="Times New Roman" w:hAnsi="Times New Roman"/>
        </w:rPr>
        <w:t xml:space="preserve"> </w:t>
      </w:r>
      <w:r w:rsidR="000528CC" w:rsidRPr="007A11CE">
        <w:rPr>
          <w:rFonts w:ascii="Times New Roman" w:hAnsi="Times New Roman"/>
        </w:rPr>
        <w:t xml:space="preserve">Like </w:t>
      </w:r>
      <w:r w:rsidR="00820701" w:rsidRPr="007A11CE">
        <w:rPr>
          <w:rFonts w:ascii="Times New Roman" w:hAnsi="Times New Roman"/>
        </w:rPr>
        <w:t xml:space="preserve">any principle </w:t>
      </w:r>
      <w:r w:rsidR="00753094" w:rsidRPr="007A11CE">
        <w:rPr>
          <w:rFonts w:ascii="Times New Roman" w:hAnsi="Times New Roman"/>
        </w:rPr>
        <w:t xml:space="preserve">of statutory construction, </w:t>
      </w:r>
      <w:r w:rsidR="00D37B09" w:rsidRPr="007A11CE">
        <w:rPr>
          <w:rFonts w:ascii="Times New Roman" w:hAnsi="Times New Roman"/>
        </w:rPr>
        <w:t>the contingent principle</w:t>
      </w:r>
      <w:r w:rsidR="007D4B9B" w:rsidRPr="007A11CE">
        <w:rPr>
          <w:rFonts w:ascii="Times New Roman" w:hAnsi="Times New Roman"/>
        </w:rPr>
        <w:t xml:space="preserve"> </w:t>
      </w:r>
      <w:r w:rsidR="00753094" w:rsidRPr="007A11CE">
        <w:rPr>
          <w:rFonts w:ascii="Times New Roman" w:hAnsi="Times New Roman"/>
        </w:rPr>
        <w:t>yields to a contrary intention</w:t>
      </w:r>
      <w:r w:rsidR="005F2556" w:rsidRPr="007A11CE">
        <w:rPr>
          <w:rFonts w:ascii="Times New Roman" w:hAnsi="Times New Roman"/>
        </w:rPr>
        <w:t xml:space="preserve"> and is specifically subject to s 2(2) of the </w:t>
      </w:r>
      <w:r w:rsidR="005F2556" w:rsidRPr="007A11CE">
        <w:rPr>
          <w:rFonts w:ascii="Times New Roman" w:hAnsi="Times New Roman"/>
          <w:i/>
          <w:iCs/>
        </w:rPr>
        <w:t>Acts Interpretation Act</w:t>
      </w:r>
      <w:r w:rsidR="00B95CC8" w:rsidRPr="007A11CE">
        <w:rPr>
          <w:rFonts w:ascii="Times New Roman" w:hAnsi="Times New Roman"/>
        </w:rPr>
        <w:t>,</w:t>
      </w:r>
      <w:r w:rsidR="005F2556" w:rsidRPr="007A11CE">
        <w:rPr>
          <w:rFonts w:ascii="Times New Roman" w:hAnsi="Times New Roman"/>
        </w:rPr>
        <w:t xml:space="preserve"> which provides that "the application of this Act or a provision of this Act to an Act or a provision of an Act is subject to a contrary intention"</w:t>
      </w:r>
      <w:r w:rsidR="00753094" w:rsidRPr="007A11CE">
        <w:rPr>
          <w:rFonts w:ascii="Times New Roman" w:hAnsi="Times New Roman"/>
        </w:rPr>
        <w:t>.</w:t>
      </w:r>
      <w:r w:rsidR="00517543" w:rsidRPr="007A11CE">
        <w:rPr>
          <w:rFonts w:ascii="Times New Roman" w:hAnsi="Times New Roman"/>
        </w:rPr>
        <w:t xml:space="preserve"> </w:t>
      </w:r>
      <w:r w:rsidR="00D4737C" w:rsidRPr="007A11CE">
        <w:rPr>
          <w:rFonts w:ascii="Times New Roman" w:hAnsi="Times New Roman"/>
        </w:rPr>
        <w:t>T</w:t>
      </w:r>
      <w:r w:rsidR="004831D2" w:rsidRPr="007A11CE">
        <w:rPr>
          <w:rFonts w:ascii="Times New Roman" w:hAnsi="Times New Roman"/>
        </w:rPr>
        <w:t xml:space="preserve">he nature of the contingency </w:t>
      </w:r>
      <w:r w:rsidR="00FE2F23" w:rsidRPr="007A11CE">
        <w:rPr>
          <w:rFonts w:ascii="Times New Roman" w:hAnsi="Times New Roman"/>
        </w:rPr>
        <w:t>means</w:t>
      </w:r>
      <w:r w:rsidR="00FB713E" w:rsidRPr="007A11CE">
        <w:rPr>
          <w:rFonts w:ascii="Times New Roman" w:hAnsi="Times New Roman"/>
        </w:rPr>
        <w:t xml:space="preserve">, however, </w:t>
      </w:r>
      <w:r w:rsidR="00FE2F23" w:rsidRPr="007A11CE">
        <w:rPr>
          <w:rFonts w:ascii="Times New Roman" w:hAnsi="Times New Roman"/>
        </w:rPr>
        <w:t xml:space="preserve">that a </w:t>
      </w:r>
      <w:r w:rsidR="00B05796" w:rsidRPr="007A11CE">
        <w:rPr>
          <w:rFonts w:ascii="Times New Roman" w:hAnsi="Times New Roman"/>
        </w:rPr>
        <w:t>contrary intention</w:t>
      </w:r>
      <w:r w:rsidR="00BE7291" w:rsidRPr="007A11CE">
        <w:rPr>
          <w:rFonts w:ascii="Times New Roman" w:hAnsi="Times New Roman"/>
        </w:rPr>
        <w:t xml:space="preserve"> is not </w:t>
      </w:r>
      <w:r w:rsidR="00FE2F23" w:rsidRPr="007A11CE">
        <w:rPr>
          <w:rFonts w:ascii="Times New Roman" w:hAnsi="Times New Roman"/>
        </w:rPr>
        <w:t xml:space="preserve">to be found in </w:t>
      </w:r>
      <w:r w:rsidR="00BE7291" w:rsidRPr="007A11CE">
        <w:rPr>
          <w:rFonts w:ascii="Times New Roman" w:hAnsi="Times New Roman"/>
        </w:rPr>
        <w:t xml:space="preserve">a </w:t>
      </w:r>
      <w:r w:rsidR="00FE2F23" w:rsidRPr="007A11CE">
        <w:rPr>
          <w:rFonts w:ascii="Times New Roman" w:hAnsi="Times New Roman"/>
        </w:rPr>
        <w:t>"</w:t>
      </w:r>
      <w:r w:rsidR="00BE7291" w:rsidRPr="007A11CE">
        <w:rPr>
          <w:rFonts w:ascii="Times New Roman" w:hAnsi="Times New Roman"/>
        </w:rPr>
        <w:t>legislative aspiration</w:t>
      </w:r>
      <w:r w:rsidR="00FE2F23" w:rsidRPr="007A11CE">
        <w:rPr>
          <w:rFonts w:ascii="Times New Roman" w:hAnsi="Times New Roman"/>
        </w:rPr>
        <w:t>"</w:t>
      </w:r>
      <w:r w:rsidR="00BE7291" w:rsidRPr="007A11CE">
        <w:rPr>
          <w:rFonts w:ascii="Times New Roman" w:hAnsi="Times New Roman"/>
        </w:rPr>
        <w:t xml:space="preserve"> that the </w:t>
      </w:r>
      <w:r w:rsidR="00FE2F23" w:rsidRPr="007A11CE">
        <w:rPr>
          <w:rFonts w:ascii="Times New Roman" w:hAnsi="Times New Roman"/>
        </w:rPr>
        <w:t>legislation</w:t>
      </w:r>
      <w:r w:rsidR="00BE7291" w:rsidRPr="007A11CE">
        <w:rPr>
          <w:rFonts w:ascii="Times New Roman" w:hAnsi="Times New Roman"/>
        </w:rPr>
        <w:t xml:space="preserve"> </w:t>
      </w:r>
      <w:r w:rsidR="0043510F" w:rsidRPr="007A11CE">
        <w:rPr>
          <w:rFonts w:ascii="Times New Roman" w:hAnsi="Times New Roman"/>
        </w:rPr>
        <w:t xml:space="preserve">which </w:t>
      </w:r>
      <w:r w:rsidR="006D5265" w:rsidRPr="007A11CE">
        <w:rPr>
          <w:rFonts w:ascii="Times New Roman" w:hAnsi="Times New Roman"/>
        </w:rPr>
        <w:t xml:space="preserve">has </w:t>
      </w:r>
      <w:r w:rsidR="0043510F" w:rsidRPr="007A11CE">
        <w:rPr>
          <w:rFonts w:ascii="Times New Roman" w:hAnsi="Times New Roman"/>
        </w:rPr>
        <w:t xml:space="preserve">been construed as being in excess of power </w:t>
      </w:r>
      <w:r w:rsidR="00D4737C" w:rsidRPr="007A11CE">
        <w:rPr>
          <w:rFonts w:ascii="Times New Roman" w:hAnsi="Times New Roman"/>
        </w:rPr>
        <w:t>"</w:t>
      </w:r>
      <w:r w:rsidR="00BE7291" w:rsidRPr="007A11CE">
        <w:rPr>
          <w:rFonts w:ascii="Times New Roman" w:hAnsi="Times New Roman"/>
        </w:rPr>
        <w:t>is to operate fully in the terms in which it is expressed</w:t>
      </w:r>
      <w:r w:rsidR="007005DF" w:rsidRPr="007A11CE">
        <w:rPr>
          <w:rFonts w:ascii="Times New Roman" w:hAnsi="Times New Roman"/>
        </w:rPr>
        <w:t>"</w:t>
      </w:r>
      <w:r w:rsidR="00D44393" w:rsidRPr="007A11CE">
        <w:rPr>
          <w:rFonts w:ascii="Times New Roman" w:hAnsi="Times New Roman"/>
        </w:rPr>
        <w:t>.</w:t>
      </w:r>
      <w:r w:rsidR="002456E4" w:rsidRPr="007A11CE">
        <w:rPr>
          <w:rStyle w:val="FootnoteReference"/>
          <w:rFonts w:ascii="Times New Roman" w:hAnsi="Times New Roman"/>
          <w:sz w:val="24"/>
        </w:rPr>
        <w:footnoteReference w:id="41"/>
      </w:r>
      <w:r w:rsidR="00BE7291" w:rsidRPr="007A11CE">
        <w:rPr>
          <w:rFonts w:ascii="Times New Roman" w:hAnsi="Times New Roman"/>
        </w:rPr>
        <w:t xml:space="preserve"> </w:t>
      </w:r>
      <w:r w:rsidR="00793E8E" w:rsidRPr="007A11CE">
        <w:rPr>
          <w:rFonts w:ascii="Times New Roman" w:hAnsi="Times New Roman"/>
        </w:rPr>
        <w:t xml:space="preserve">A contrary intention is </w:t>
      </w:r>
      <w:r w:rsidR="007005DF" w:rsidRPr="007A11CE">
        <w:rPr>
          <w:rFonts w:ascii="Times New Roman" w:hAnsi="Times New Roman"/>
        </w:rPr>
        <w:t xml:space="preserve">rather </w:t>
      </w:r>
      <w:r w:rsidR="00793E8E" w:rsidRPr="007A11CE">
        <w:rPr>
          <w:rFonts w:ascii="Times New Roman" w:hAnsi="Times New Roman"/>
        </w:rPr>
        <w:t xml:space="preserve">to be found, if at all, </w:t>
      </w:r>
      <w:r w:rsidR="007005DF" w:rsidRPr="007A11CE">
        <w:rPr>
          <w:rFonts w:ascii="Times New Roman" w:hAnsi="Times New Roman"/>
        </w:rPr>
        <w:t xml:space="preserve">in </w:t>
      </w:r>
      <w:r w:rsidR="00BE7291" w:rsidRPr="007A11CE">
        <w:rPr>
          <w:rFonts w:ascii="Times New Roman" w:hAnsi="Times New Roman"/>
        </w:rPr>
        <w:t>"a positive indication</w:t>
      </w:r>
      <w:r w:rsidR="002456E4" w:rsidRPr="007A11CE">
        <w:rPr>
          <w:rFonts w:ascii="Times New Roman" w:hAnsi="Times New Roman"/>
        </w:rPr>
        <w:t xml:space="preserve">" </w:t>
      </w:r>
      <w:r w:rsidR="00BE7291" w:rsidRPr="007A11CE">
        <w:rPr>
          <w:rFonts w:ascii="Times New Roman" w:hAnsi="Times New Roman"/>
        </w:rPr>
        <w:t xml:space="preserve">that </w:t>
      </w:r>
      <w:r w:rsidR="002456E4" w:rsidRPr="007A11CE">
        <w:rPr>
          <w:rFonts w:ascii="Times New Roman" w:hAnsi="Times New Roman"/>
        </w:rPr>
        <w:t>"</w:t>
      </w:r>
      <w:r w:rsidR="00BE7291" w:rsidRPr="007A11CE">
        <w:rPr>
          <w:rFonts w:ascii="Times New Roman" w:hAnsi="Times New Roman"/>
        </w:rPr>
        <w:t xml:space="preserve">the legislature intended </w:t>
      </w:r>
      <w:r w:rsidR="004252B2" w:rsidRPr="007A11CE">
        <w:rPr>
          <w:rFonts w:ascii="Times New Roman" w:hAnsi="Times New Roman"/>
        </w:rPr>
        <w:t xml:space="preserve">[the legislation] </w:t>
      </w:r>
      <w:r w:rsidR="00BE7291" w:rsidRPr="007A11CE">
        <w:rPr>
          <w:rFonts w:ascii="Times New Roman" w:hAnsi="Times New Roman"/>
        </w:rPr>
        <w:t>to have either a full and complete operation or none at all</w:t>
      </w:r>
      <w:r w:rsidR="002456E4" w:rsidRPr="007A11CE">
        <w:rPr>
          <w:rFonts w:ascii="Times New Roman" w:hAnsi="Times New Roman"/>
        </w:rPr>
        <w:t>".</w:t>
      </w:r>
      <w:r w:rsidR="002456E4" w:rsidRPr="007A11CE">
        <w:rPr>
          <w:rStyle w:val="FootnoteReference"/>
          <w:rFonts w:ascii="Times New Roman" w:hAnsi="Times New Roman"/>
          <w:sz w:val="24"/>
        </w:rPr>
        <w:footnoteReference w:id="42"/>
      </w:r>
    </w:p>
    <w:p w14:paraId="27ED1764" w14:textId="6D39BC31" w:rsidR="0019346B" w:rsidRPr="007A11CE" w:rsidRDefault="0019346B"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36396B" w:rsidRPr="007A11CE">
        <w:rPr>
          <w:rFonts w:ascii="Times New Roman" w:hAnsi="Times New Roman"/>
        </w:rPr>
        <w:t xml:space="preserve">That the principle </w:t>
      </w:r>
      <w:r w:rsidR="003C6972" w:rsidRPr="007A11CE">
        <w:rPr>
          <w:rFonts w:ascii="Times New Roman" w:hAnsi="Times New Roman"/>
        </w:rPr>
        <w:t xml:space="preserve">enacted by </w:t>
      </w:r>
      <w:r w:rsidR="00E3448F" w:rsidRPr="007A11CE">
        <w:rPr>
          <w:rFonts w:ascii="Times New Roman" w:hAnsi="Times New Roman"/>
        </w:rPr>
        <w:t>s 15</w:t>
      </w:r>
      <w:r w:rsidR="00783D00" w:rsidRPr="007A11CE">
        <w:rPr>
          <w:rFonts w:ascii="Times New Roman" w:hAnsi="Times New Roman"/>
        </w:rPr>
        <w:t>A</w:t>
      </w:r>
      <w:r w:rsidR="00E3448F" w:rsidRPr="007A11CE">
        <w:rPr>
          <w:rFonts w:ascii="Times New Roman" w:hAnsi="Times New Roman"/>
        </w:rPr>
        <w:t xml:space="preserve"> of the </w:t>
      </w:r>
      <w:r w:rsidR="00E3448F" w:rsidRPr="007A11CE">
        <w:rPr>
          <w:rFonts w:ascii="Times New Roman" w:hAnsi="Times New Roman"/>
          <w:i/>
          <w:iCs/>
        </w:rPr>
        <w:t>Acts Interpretation Act</w:t>
      </w:r>
      <w:r w:rsidR="003C6972" w:rsidRPr="007A11CE">
        <w:rPr>
          <w:rFonts w:ascii="Times New Roman" w:hAnsi="Times New Roman"/>
        </w:rPr>
        <w:t xml:space="preserve"> is one </w:t>
      </w:r>
      <w:r w:rsidR="0036396B" w:rsidRPr="007A11CE">
        <w:rPr>
          <w:rFonts w:ascii="Times New Roman" w:hAnsi="Times New Roman"/>
        </w:rPr>
        <w:t>of statutory construction</w:t>
      </w:r>
      <w:r w:rsidR="00125A8D" w:rsidRPr="007A11CE">
        <w:rPr>
          <w:rFonts w:ascii="Times New Roman" w:hAnsi="Times New Roman"/>
        </w:rPr>
        <w:t xml:space="preserve"> is not contradicted by</w:t>
      </w:r>
      <w:r w:rsidR="00BD286F" w:rsidRPr="007A11CE">
        <w:rPr>
          <w:rFonts w:ascii="Times New Roman" w:hAnsi="Times New Roman"/>
        </w:rPr>
        <w:t>, but</w:t>
      </w:r>
      <w:r w:rsidR="004832E9" w:rsidRPr="007A11CE">
        <w:rPr>
          <w:rFonts w:ascii="Times New Roman" w:hAnsi="Times New Roman"/>
        </w:rPr>
        <w:t xml:space="preserve"> rather</w:t>
      </w:r>
      <w:r w:rsidR="00BD286F" w:rsidRPr="007A11CE">
        <w:rPr>
          <w:rFonts w:ascii="Times New Roman" w:hAnsi="Times New Roman"/>
        </w:rPr>
        <w:t xml:space="preserve"> reflected in, </w:t>
      </w:r>
      <w:r w:rsidR="0036396B" w:rsidRPr="007A11CE">
        <w:rPr>
          <w:rFonts w:ascii="Times New Roman" w:hAnsi="Times New Roman"/>
        </w:rPr>
        <w:t xml:space="preserve">the </w:t>
      </w:r>
      <w:r w:rsidR="000504E7" w:rsidRPr="007A11CE">
        <w:rPr>
          <w:rFonts w:ascii="Times New Roman" w:hAnsi="Times New Roman"/>
        </w:rPr>
        <w:t xml:space="preserve">observation first made </w:t>
      </w:r>
      <w:r w:rsidR="005A3343" w:rsidRPr="007A11CE">
        <w:rPr>
          <w:rFonts w:ascii="Times New Roman" w:hAnsi="Times New Roman"/>
        </w:rPr>
        <w:t xml:space="preserve">in </w:t>
      </w:r>
      <w:r w:rsidR="005A3343" w:rsidRPr="007A11CE">
        <w:rPr>
          <w:rFonts w:ascii="Times New Roman" w:hAnsi="Times New Roman"/>
          <w:i/>
          <w:iCs/>
        </w:rPr>
        <w:t>Victoria v The Commonwealth (Industrial Relations Act Case)</w:t>
      </w:r>
      <w:r w:rsidR="00C05D7F" w:rsidRPr="007A11CE">
        <w:rPr>
          <w:rStyle w:val="FootnoteReference"/>
          <w:rFonts w:ascii="Times New Roman" w:hAnsi="Times New Roman"/>
          <w:sz w:val="24"/>
        </w:rPr>
        <w:footnoteReference w:id="43"/>
      </w:r>
      <w:r w:rsidR="00C05D7F" w:rsidRPr="007A11CE">
        <w:rPr>
          <w:rFonts w:ascii="Times New Roman" w:hAnsi="Times New Roman"/>
        </w:rPr>
        <w:t xml:space="preserve"> and </w:t>
      </w:r>
      <w:r w:rsidR="00FA0656" w:rsidRPr="007A11CE">
        <w:rPr>
          <w:rFonts w:ascii="Times New Roman" w:hAnsi="Times New Roman"/>
        </w:rPr>
        <w:t>applied</w:t>
      </w:r>
      <w:r w:rsidR="00E3448F" w:rsidRPr="007A11CE">
        <w:rPr>
          <w:rFonts w:ascii="Times New Roman" w:hAnsi="Times New Roman"/>
          <w:i/>
          <w:iCs/>
        </w:rPr>
        <w:t xml:space="preserve"> </w:t>
      </w:r>
      <w:r w:rsidR="00AB638B" w:rsidRPr="007A11CE">
        <w:rPr>
          <w:rFonts w:ascii="Times New Roman" w:hAnsi="Times New Roman"/>
        </w:rPr>
        <w:t xml:space="preserve">in </w:t>
      </w:r>
      <w:r w:rsidR="00AB638B" w:rsidRPr="007A11CE">
        <w:rPr>
          <w:rFonts w:ascii="Times New Roman" w:hAnsi="Times New Roman"/>
          <w:i/>
          <w:iCs/>
        </w:rPr>
        <w:t>Graham</w:t>
      </w:r>
      <w:r w:rsidR="00C05D7F" w:rsidRPr="007A11CE">
        <w:rPr>
          <w:rStyle w:val="FootnoteReference"/>
          <w:rFonts w:ascii="Times New Roman" w:hAnsi="Times New Roman"/>
          <w:sz w:val="24"/>
        </w:rPr>
        <w:footnoteReference w:id="44"/>
      </w:r>
      <w:r w:rsidR="00C05D7F" w:rsidRPr="007A11CE">
        <w:rPr>
          <w:rFonts w:ascii="Times New Roman" w:hAnsi="Times New Roman"/>
        </w:rPr>
        <w:t xml:space="preserve"> </w:t>
      </w:r>
      <w:r w:rsidR="007D4541" w:rsidRPr="007A11CE">
        <w:rPr>
          <w:rFonts w:ascii="Times New Roman" w:hAnsi="Times New Roman"/>
        </w:rPr>
        <w:t>that "where a law is intended to operate in an area</w:t>
      </w:r>
      <w:r w:rsidR="001E6093" w:rsidRPr="007A11CE">
        <w:rPr>
          <w:rFonts w:ascii="Times New Roman" w:hAnsi="Times New Roman"/>
        </w:rPr>
        <w:t xml:space="preserve"> where </w:t>
      </w:r>
      <w:r w:rsidR="006B0529" w:rsidRPr="007A11CE">
        <w:rPr>
          <w:rFonts w:ascii="Times New Roman" w:hAnsi="Times New Roman"/>
        </w:rPr>
        <w:t xml:space="preserve">Parliament's </w:t>
      </w:r>
      <w:r w:rsidR="001E6093" w:rsidRPr="007A11CE">
        <w:rPr>
          <w:rFonts w:ascii="Times New Roman" w:hAnsi="Times New Roman"/>
        </w:rPr>
        <w:t>legislative power is subject to a clear limitation, it can be read as subject to that limitatio</w:t>
      </w:r>
      <w:r w:rsidR="000504E7" w:rsidRPr="007A11CE">
        <w:rPr>
          <w:rFonts w:ascii="Times New Roman" w:hAnsi="Times New Roman"/>
        </w:rPr>
        <w:t xml:space="preserve">n". </w:t>
      </w:r>
      <w:r w:rsidR="00664C69" w:rsidRPr="007A11CE">
        <w:rPr>
          <w:rFonts w:ascii="Times New Roman" w:hAnsi="Times New Roman"/>
        </w:rPr>
        <w:t xml:space="preserve">The observation </w:t>
      </w:r>
      <w:r w:rsidR="0072615B" w:rsidRPr="007A11CE">
        <w:rPr>
          <w:rFonts w:ascii="Times New Roman" w:hAnsi="Times New Roman"/>
        </w:rPr>
        <w:t xml:space="preserve">does not </w:t>
      </w:r>
      <w:r w:rsidR="000D7299" w:rsidRPr="007A11CE">
        <w:rPr>
          <w:rFonts w:ascii="Times New Roman" w:hAnsi="Times New Roman"/>
        </w:rPr>
        <w:t>suggest that a provision which operates in an area where the power of the Parliament is subject to a "clear constitutional limitation"</w:t>
      </w:r>
      <w:r w:rsidR="009E7392" w:rsidRPr="007A11CE">
        <w:rPr>
          <w:rStyle w:val="FootnoteReference"/>
          <w:rFonts w:ascii="Times New Roman" w:hAnsi="Times New Roman"/>
          <w:sz w:val="24"/>
        </w:rPr>
        <w:footnoteReference w:id="45"/>
      </w:r>
      <w:r w:rsidR="000D7299" w:rsidRPr="007A11CE">
        <w:rPr>
          <w:rFonts w:ascii="Times New Roman" w:hAnsi="Times New Roman"/>
        </w:rPr>
        <w:t xml:space="preserve"> can </w:t>
      </w:r>
      <w:r w:rsidR="00E740F6" w:rsidRPr="007A11CE">
        <w:rPr>
          <w:rFonts w:ascii="Times New Roman" w:hAnsi="Times New Roman"/>
        </w:rPr>
        <w:t>have a</w:t>
      </w:r>
      <w:r w:rsidR="000D7299" w:rsidRPr="007A11CE">
        <w:rPr>
          <w:rFonts w:ascii="Times New Roman" w:hAnsi="Times New Roman"/>
        </w:rPr>
        <w:t xml:space="preserve"> </w:t>
      </w:r>
      <w:r w:rsidR="00783D00" w:rsidRPr="007A11CE">
        <w:rPr>
          <w:rFonts w:ascii="Times New Roman" w:hAnsi="Times New Roman"/>
        </w:rPr>
        <w:t xml:space="preserve">piecemeal </w:t>
      </w:r>
      <w:r w:rsidR="00E740F6" w:rsidRPr="007A11CE">
        <w:rPr>
          <w:rFonts w:ascii="Times New Roman" w:hAnsi="Times New Roman"/>
        </w:rPr>
        <w:t xml:space="preserve">application so </w:t>
      </w:r>
      <w:r w:rsidR="00EB613A" w:rsidRPr="007A11CE">
        <w:rPr>
          <w:rFonts w:ascii="Times New Roman" w:hAnsi="Times New Roman"/>
        </w:rPr>
        <w:t xml:space="preserve">as to be applied </w:t>
      </w:r>
      <w:r w:rsidR="000D7299" w:rsidRPr="007A11CE">
        <w:rPr>
          <w:rFonts w:ascii="Times New Roman" w:hAnsi="Times New Roman"/>
        </w:rPr>
        <w:t xml:space="preserve">in </w:t>
      </w:r>
      <w:r w:rsidR="00695575" w:rsidRPr="007A11CE">
        <w:rPr>
          <w:rFonts w:ascii="Times New Roman" w:hAnsi="Times New Roman"/>
        </w:rPr>
        <w:t xml:space="preserve">those </w:t>
      </w:r>
      <w:r w:rsidR="000D7299" w:rsidRPr="007A11CE">
        <w:rPr>
          <w:rFonts w:ascii="Times New Roman" w:hAnsi="Times New Roman"/>
        </w:rPr>
        <w:t xml:space="preserve">circumstances where the operation of the provision does not breach the limitation and </w:t>
      </w:r>
      <w:r w:rsidR="002330E1" w:rsidRPr="007A11CE">
        <w:rPr>
          <w:rFonts w:ascii="Times New Roman" w:hAnsi="Times New Roman"/>
        </w:rPr>
        <w:t xml:space="preserve">not </w:t>
      </w:r>
      <w:r w:rsidR="002A2409" w:rsidRPr="007A11CE">
        <w:rPr>
          <w:rFonts w:ascii="Times New Roman" w:hAnsi="Times New Roman"/>
        </w:rPr>
        <w:t xml:space="preserve">applied </w:t>
      </w:r>
      <w:r w:rsidR="000D7299" w:rsidRPr="007A11CE">
        <w:rPr>
          <w:rFonts w:ascii="Times New Roman" w:hAnsi="Times New Roman"/>
        </w:rPr>
        <w:t xml:space="preserve">in </w:t>
      </w:r>
      <w:r w:rsidR="00695575" w:rsidRPr="007A11CE">
        <w:rPr>
          <w:rFonts w:ascii="Times New Roman" w:hAnsi="Times New Roman"/>
        </w:rPr>
        <w:t xml:space="preserve">those </w:t>
      </w:r>
      <w:r w:rsidR="000D7299" w:rsidRPr="007A11CE">
        <w:rPr>
          <w:rFonts w:ascii="Times New Roman" w:hAnsi="Times New Roman"/>
        </w:rPr>
        <w:t>circumstances where the operation of the provision does breach the limitation.</w:t>
      </w:r>
      <w:r w:rsidR="002330E1" w:rsidRPr="007A11CE">
        <w:rPr>
          <w:rStyle w:val="FootnoteReference"/>
          <w:rFonts w:ascii="Times New Roman" w:hAnsi="Times New Roman"/>
          <w:sz w:val="24"/>
        </w:rPr>
        <w:footnoteReference w:id="46"/>
      </w:r>
      <w:r w:rsidR="002330E1" w:rsidRPr="007A11CE">
        <w:rPr>
          <w:rFonts w:ascii="Times New Roman" w:hAnsi="Times New Roman"/>
        </w:rPr>
        <w:t xml:space="preserve"> </w:t>
      </w:r>
      <w:r w:rsidR="001A7952" w:rsidRPr="007A11CE">
        <w:rPr>
          <w:rFonts w:ascii="Times New Roman" w:hAnsi="Times New Roman"/>
        </w:rPr>
        <w:t xml:space="preserve">Nor </w:t>
      </w:r>
      <w:r w:rsidR="00167EAA" w:rsidRPr="007A11CE">
        <w:rPr>
          <w:rFonts w:ascii="Times New Roman" w:hAnsi="Times New Roman"/>
        </w:rPr>
        <w:t xml:space="preserve">is </w:t>
      </w:r>
      <w:r w:rsidR="004474EB" w:rsidRPr="007A11CE">
        <w:rPr>
          <w:rFonts w:ascii="Times New Roman" w:hAnsi="Times New Roman"/>
        </w:rPr>
        <w:t xml:space="preserve">such a </w:t>
      </w:r>
      <w:r w:rsidR="008C5177" w:rsidRPr="007A11CE">
        <w:rPr>
          <w:rFonts w:ascii="Times New Roman" w:hAnsi="Times New Roman"/>
        </w:rPr>
        <w:t xml:space="preserve">suggestion </w:t>
      </w:r>
      <w:r w:rsidR="004474EB" w:rsidRPr="007A11CE">
        <w:rPr>
          <w:rFonts w:ascii="Times New Roman" w:hAnsi="Times New Roman"/>
        </w:rPr>
        <w:t xml:space="preserve">supported by </w:t>
      </w:r>
      <w:r w:rsidR="002E1240" w:rsidRPr="007A11CE">
        <w:rPr>
          <w:rFonts w:ascii="Times New Roman" w:hAnsi="Times New Roman"/>
        </w:rPr>
        <w:t>r</w:t>
      </w:r>
      <w:r w:rsidR="006460CA" w:rsidRPr="007A11CE">
        <w:rPr>
          <w:rFonts w:ascii="Times New Roman" w:hAnsi="Times New Roman"/>
        </w:rPr>
        <w:t>eferences to</w:t>
      </w:r>
      <w:r w:rsidR="002E1240" w:rsidRPr="007A11CE">
        <w:rPr>
          <w:rFonts w:ascii="Times New Roman" w:hAnsi="Times New Roman"/>
        </w:rPr>
        <w:t xml:space="preserve"> </w:t>
      </w:r>
      <w:r w:rsidR="004474EB" w:rsidRPr="007A11CE">
        <w:rPr>
          <w:rFonts w:ascii="Times New Roman" w:hAnsi="Times New Roman"/>
        </w:rPr>
        <w:t>the principle enacted by the section</w:t>
      </w:r>
      <w:r w:rsidR="009E7392" w:rsidRPr="007A11CE">
        <w:rPr>
          <w:rFonts w:ascii="Times New Roman" w:hAnsi="Times New Roman"/>
        </w:rPr>
        <w:t xml:space="preserve">, or its State and Territory </w:t>
      </w:r>
      <w:r w:rsidR="00BA04A3" w:rsidRPr="007A11CE">
        <w:rPr>
          <w:rFonts w:ascii="Times New Roman" w:hAnsi="Times New Roman"/>
        </w:rPr>
        <w:lastRenderedPageBreak/>
        <w:t>cognates</w:t>
      </w:r>
      <w:r w:rsidR="009E7392" w:rsidRPr="007A11CE">
        <w:rPr>
          <w:rFonts w:ascii="Times New Roman" w:hAnsi="Times New Roman"/>
        </w:rPr>
        <w:t>,</w:t>
      </w:r>
      <w:r w:rsidR="00DD3B5C" w:rsidRPr="007A11CE">
        <w:rPr>
          <w:rFonts w:ascii="Times New Roman" w:hAnsi="Times New Roman"/>
        </w:rPr>
        <w:t xml:space="preserve"> involving "disapplication".</w:t>
      </w:r>
      <w:r w:rsidR="00DD3B5C" w:rsidRPr="007A11CE">
        <w:rPr>
          <w:rStyle w:val="FootnoteReference"/>
          <w:rFonts w:ascii="Times New Roman" w:hAnsi="Times New Roman"/>
          <w:sz w:val="24"/>
        </w:rPr>
        <w:footnoteReference w:id="47"/>
      </w:r>
      <w:r w:rsidR="006460CA" w:rsidRPr="007A11CE">
        <w:rPr>
          <w:rFonts w:ascii="Times New Roman" w:hAnsi="Times New Roman"/>
        </w:rPr>
        <w:t xml:space="preserve"> </w:t>
      </w:r>
      <w:r w:rsidR="00825B98" w:rsidRPr="007A11CE">
        <w:rPr>
          <w:rFonts w:ascii="Times New Roman" w:hAnsi="Times New Roman"/>
        </w:rPr>
        <w:t>Like r</w:t>
      </w:r>
      <w:r w:rsidR="00A10D9A" w:rsidRPr="007A11CE">
        <w:rPr>
          <w:rFonts w:ascii="Times New Roman" w:hAnsi="Times New Roman"/>
        </w:rPr>
        <w:t xml:space="preserve">eferences to the principle involving </w:t>
      </w:r>
      <w:r w:rsidR="00825B98" w:rsidRPr="007A11CE">
        <w:rPr>
          <w:rFonts w:ascii="Times New Roman" w:hAnsi="Times New Roman"/>
        </w:rPr>
        <w:t>"severance",</w:t>
      </w:r>
      <w:r w:rsidR="00825B98" w:rsidRPr="007A11CE">
        <w:rPr>
          <w:rStyle w:val="FootnoteReference"/>
          <w:rFonts w:ascii="Times New Roman" w:hAnsi="Times New Roman"/>
          <w:sz w:val="24"/>
        </w:rPr>
        <w:footnoteReference w:id="48"/>
      </w:r>
      <w:r w:rsidR="00825B98" w:rsidRPr="007A11CE">
        <w:rPr>
          <w:rFonts w:ascii="Times New Roman" w:hAnsi="Times New Roman"/>
        </w:rPr>
        <w:t xml:space="preserve"> references </w:t>
      </w:r>
      <w:r w:rsidR="00CB7011" w:rsidRPr="007A11CE">
        <w:rPr>
          <w:rFonts w:ascii="Times New Roman" w:hAnsi="Times New Roman"/>
        </w:rPr>
        <w:t xml:space="preserve">to s 15A </w:t>
      </w:r>
      <w:r w:rsidR="00FD7DA7" w:rsidRPr="007A11CE">
        <w:rPr>
          <w:rFonts w:ascii="Times New Roman" w:hAnsi="Times New Roman"/>
        </w:rPr>
        <w:t>"disapply</w:t>
      </w:r>
      <w:r w:rsidR="00571645" w:rsidRPr="007A11CE">
        <w:rPr>
          <w:rFonts w:ascii="Times New Roman" w:hAnsi="Times New Roman"/>
        </w:rPr>
        <w:t>ing</w:t>
      </w:r>
      <w:r w:rsidR="00FD7DA7" w:rsidRPr="007A11CE">
        <w:rPr>
          <w:rFonts w:ascii="Times New Roman" w:hAnsi="Times New Roman"/>
        </w:rPr>
        <w:t xml:space="preserve">" a provision </w:t>
      </w:r>
      <w:r w:rsidR="006865B1" w:rsidRPr="007A11CE">
        <w:rPr>
          <w:rFonts w:ascii="Times New Roman" w:hAnsi="Times New Roman"/>
        </w:rPr>
        <w:t xml:space="preserve">are properly understood </w:t>
      </w:r>
      <w:r w:rsidR="001D0A3B" w:rsidRPr="007A11CE">
        <w:rPr>
          <w:rFonts w:ascii="Times New Roman" w:hAnsi="Times New Roman"/>
        </w:rPr>
        <w:t>as highlight</w:t>
      </w:r>
      <w:r w:rsidR="008452CC" w:rsidRPr="007A11CE">
        <w:rPr>
          <w:rFonts w:ascii="Times New Roman" w:hAnsi="Times New Roman"/>
        </w:rPr>
        <w:t>ing</w:t>
      </w:r>
      <w:r w:rsidR="001D0A3B" w:rsidRPr="007A11CE">
        <w:rPr>
          <w:rFonts w:ascii="Times New Roman" w:hAnsi="Times New Roman"/>
        </w:rPr>
        <w:t xml:space="preserve"> the </w:t>
      </w:r>
      <w:r w:rsidR="005F3DD5" w:rsidRPr="007A11CE">
        <w:rPr>
          <w:rFonts w:ascii="Times New Roman" w:hAnsi="Times New Roman"/>
        </w:rPr>
        <w:t xml:space="preserve">contingent </w:t>
      </w:r>
      <w:r w:rsidR="00D06F6C" w:rsidRPr="007A11CE">
        <w:rPr>
          <w:rFonts w:ascii="Times New Roman" w:hAnsi="Times New Roman"/>
        </w:rPr>
        <w:t xml:space="preserve">operation of </w:t>
      </w:r>
      <w:r w:rsidR="00EF1B9C" w:rsidRPr="007A11CE">
        <w:rPr>
          <w:rFonts w:ascii="Times New Roman" w:hAnsi="Times New Roman"/>
        </w:rPr>
        <w:t>s 15A</w:t>
      </w:r>
      <w:r w:rsidR="00474CFF" w:rsidRPr="007A11CE">
        <w:rPr>
          <w:rFonts w:ascii="Times New Roman" w:hAnsi="Times New Roman"/>
        </w:rPr>
        <w:t xml:space="preserve">. </w:t>
      </w:r>
    </w:p>
    <w:p w14:paraId="6F07D009" w14:textId="014B2481" w:rsidR="000F4ECE" w:rsidRPr="007A11CE" w:rsidRDefault="000F4ECE" w:rsidP="007A11CE">
      <w:pPr>
        <w:pStyle w:val="FixListStyle"/>
        <w:spacing w:after="260" w:line="280" w:lineRule="exact"/>
        <w:ind w:right="0"/>
        <w:jc w:val="both"/>
        <w:rPr>
          <w:rFonts w:ascii="Times New Roman" w:hAnsi="Times New Roman"/>
        </w:rPr>
      </w:pPr>
      <w:r w:rsidRPr="007A11CE">
        <w:rPr>
          <w:rFonts w:ascii="Times New Roman" w:hAnsi="Times New Roman"/>
        </w:rPr>
        <w:tab/>
        <w:t xml:space="preserve">The true position is that, </w:t>
      </w:r>
      <w:r w:rsidR="003B03D9" w:rsidRPr="007A11CE">
        <w:rPr>
          <w:rFonts w:ascii="Times New Roman" w:hAnsi="Times New Roman"/>
        </w:rPr>
        <w:t xml:space="preserve">consistently </w:t>
      </w:r>
      <w:r w:rsidR="00FF2F79" w:rsidRPr="007A11CE">
        <w:rPr>
          <w:rFonts w:ascii="Times New Roman" w:hAnsi="Times New Roman"/>
        </w:rPr>
        <w:t>with the explanatio</w:t>
      </w:r>
      <w:r w:rsidR="00F4166B" w:rsidRPr="007A11CE">
        <w:rPr>
          <w:rFonts w:ascii="Times New Roman" w:hAnsi="Times New Roman"/>
        </w:rPr>
        <w:t>n</w:t>
      </w:r>
      <w:r w:rsidR="00E945D2" w:rsidRPr="007A11CE">
        <w:rPr>
          <w:rFonts w:ascii="Times New Roman" w:hAnsi="Times New Roman"/>
        </w:rPr>
        <w:t xml:space="preserve"> given by Latham</w:t>
      </w:r>
      <w:r w:rsidR="00511569">
        <w:rPr>
          <w:rFonts w:ascii="Times New Roman" w:hAnsi="Times New Roman"/>
        </w:rPr>
        <w:t> </w:t>
      </w:r>
      <w:r w:rsidR="00E945D2" w:rsidRPr="007A11CE">
        <w:rPr>
          <w:rFonts w:ascii="Times New Roman" w:hAnsi="Times New Roman"/>
        </w:rPr>
        <w:t>CJ</w:t>
      </w:r>
      <w:r w:rsidR="000A767F" w:rsidRPr="007A11CE">
        <w:rPr>
          <w:rFonts w:ascii="Times New Roman" w:hAnsi="Times New Roman"/>
        </w:rPr>
        <w:t xml:space="preserve"> in </w:t>
      </w:r>
      <w:r w:rsidR="000A767F" w:rsidRPr="007A11CE">
        <w:rPr>
          <w:rFonts w:ascii="Times New Roman" w:hAnsi="Times New Roman"/>
          <w:i/>
          <w:iCs/>
        </w:rPr>
        <w:t>Pidoto v Victoria</w:t>
      </w:r>
      <w:r w:rsidR="007A7C72" w:rsidRPr="007A11CE">
        <w:rPr>
          <w:rStyle w:val="FootnoteReference"/>
          <w:rFonts w:ascii="Times New Roman" w:hAnsi="Times New Roman"/>
          <w:sz w:val="24"/>
        </w:rPr>
        <w:footnoteReference w:id="49"/>
      </w:r>
      <w:r w:rsidR="0071188B" w:rsidRPr="007A11CE">
        <w:rPr>
          <w:rFonts w:ascii="Times New Roman" w:hAnsi="Times New Roman"/>
        </w:rPr>
        <w:t xml:space="preserve"> </w:t>
      </w:r>
      <w:r w:rsidR="002A59A1" w:rsidRPr="007A11CE">
        <w:rPr>
          <w:rFonts w:ascii="Times New Roman" w:hAnsi="Times New Roman"/>
        </w:rPr>
        <w:t xml:space="preserve">and repeated </w:t>
      </w:r>
      <w:r w:rsidR="0071188B" w:rsidRPr="007A11CE">
        <w:rPr>
          <w:rFonts w:ascii="Times New Roman" w:hAnsi="Times New Roman"/>
        </w:rPr>
        <w:t xml:space="preserve">in the </w:t>
      </w:r>
      <w:r w:rsidR="0071188B" w:rsidRPr="007A11CE">
        <w:rPr>
          <w:rFonts w:ascii="Times New Roman" w:hAnsi="Times New Roman"/>
          <w:i/>
          <w:iCs/>
        </w:rPr>
        <w:t>Industrial Relations Act Case</w:t>
      </w:r>
      <w:r w:rsidR="003B03D9" w:rsidRPr="007A11CE">
        <w:rPr>
          <w:rFonts w:ascii="Times New Roman" w:hAnsi="Times New Roman"/>
        </w:rPr>
        <w:t>,</w:t>
      </w:r>
      <w:r w:rsidR="0037409F" w:rsidRPr="007A11CE">
        <w:rPr>
          <w:rStyle w:val="FootnoteReference"/>
          <w:rFonts w:ascii="Times New Roman" w:hAnsi="Times New Roman"/>
          <w:sz w:val="24"/>
        </w:rPr>
        <w:footnoteReference w:id="50"/>
      </w:r>
      <w:r w:rsidR="003B03D9" w:rsidRPr="007A11CE">
        <w:rPr>
          <w:rFonts w:ascii="Times New Roman" w:hAnsi="Times New Roman"/>
        </w:rPr>
        <w:t xml:space="preserve"> </w:t>
      </w:r>
      <w:r w:rsidR="003E4633" w:rsidRPr="007A11CE">
        <w:rPr>
          <w:rFonts w:ascii="Times New Roman" w:hAnsi="Times New Roman"/>
        </w:rPr>
        <w:t xml:space="preserve">the </w:t>
      </w:r>
      <w:r w:rsidR="00F54908" w:rsidRPr="007A11CE">
        <w:rPr>
          <w:rFonts w:ascii="Times New Roman" w:hAnsi="Times New Roman"/>
        </w:rPr>
        <w:t xml:space="preserve">contingent and imperative </w:t>
      </w:r>
      <w:r w:rsidR="003E4633" w:rsidRPr="007A11CE">
        <w:rPr>
          <w:rFonts w:ascii="Times New Roman" w:hAnsi="Times New Roman"/>
        </w:rPr>
        <w:t xml:space="preserve">principle </w:t>
      </w:r>
      <w:r w:rsidR="008F33C6" w:rsidRPr="007A11CE">
        <w:rPr>
          <w:rFonts w:ascii="Times New Roman" w:hAnsi="Times New Roman"/>
        </w:rPr>
        <w:t xml:space="preserve">of statutory construction </w:t>
      </w:r>
      <w:r w:rsidR="003E4633" w:rsidRPr="007A11CE">
        <w:rPr>
          <w:rFonts w:ascii="Times New Roman" w:hAnsi="Times New Roman"/>
        </w:rPr>
        <w:t xml:space="preserve">enacted by </w:t>
      </w:r>
      <w:r w:rsidR="004D1D42" w:rsidRPr="007A11CE">
        <w:rPr>
          <w:rFonts w:ascii="Times New Roman" w:hAnsi="Times New Roman"/>
        </w:rPr>
        <w:t xml:space="preserve">s 15A </w:t>
      </w:r>
      <w:r w:rsidR="00416622" w:rsidRPr="007A11CE">
        <w:rPr>
          <w:rFonts w:ascii="Times New Roman" w:hAnsi="Times New Roman"/>
        </w:rPr>
        <w:t xml:space="preserve">is required </w:t>
      </w:r>
      <w:r w:rsidR="00DE5284" w:rsidRPr="007A11CE">
        <w:rPr>
          <w:rFonts w:ascii="Times New Roman" w:hAnsi="Times New Roman"/>
        </w:rPr>
        <w:t xml:space="preserve">to be applied </w:t>
      </w:r>
      <w:r w:rsidR="00FC6363" w:rsidRPr="007A11CE">
        <w:rPr>
          <w:rFonts w:ascii="Times New Roman" w:hAnsi="Times New Roman"/>
        </w:rPr>
        <w:t>where</w:t>
      </w:r>
      <w:r w:rsidR="00BC5182" w:rsidRPr="007A11CE">
        <w:rPr>
          <w:rFonts w:ascii="Times New Roman" w:hAnsi="Times New Roman"/>
        </w:rPr>
        <w:t>ver</w:t>
      </w:r>
      <w:r w:rsidR="00FC6363" w:rsidRPr="007A11CE">
        <w:rPr>
          <w:rFonts w:ascii="Times New Roman" w:hAnsi="Times New Roman"/>
        </w:rPr>
        <w:t xml:space="preserve"> it is capable of being applied </w:t>
      </w:r>
      <w:r w:rsidR="004D1D42" w:rsidRPr="007A11CE">
        <w:rPr>
          <w:rFonts w:ascii="Times New Roman" w:hAnsi="Times New Roman"/>
        </w:rPr>
        <w:t xml:space="preserve">to </w:t>
      </w:r>
      <w:r w:rsidR="00C97551" w:rsidRPr="007A11CE">
        <w:rPr>
          <w:rFonts w:ascii="Times New Roman" w:hAnsi="Times New Roman"/>
        </w:rPr>
        <w:t>attribut</w:t>
      </w:r>
      <w:r w:rsidR="008650DF" w:rsidRPr="007A11CE">
        <w:rPr>
          <w:rFonts w:ascii="Times New Roman" w:hAnsi="Times New Roman"/>
        </w:rPr>
        <w:t>e</w:t>
      </w:r>
      <w:r w:rsidR="00C97551" w:rsidRPr="007A11CE">
        <w:rPr>
          <w:rFonts w:ascii="Times New Roman" w:hAnsi="Times New Roman"/>
        </w:rPr>
        <w:t xml:space="preserve"> meaning to </w:t>
      </w:r>
      <w:r w:rsidR="0047157B" w:rsidRPr="007A11CE">
        <w:rPr>
          <w:rFonts w:ascii="Times New Roman" w:hAnsi="Times New Roman"/>
        </w:rPr>
        <w:t xml:space="preserve">the legislated text. </w:t>
      </w:r>
      <w:r w:rsidR="003C7933" w:rsidRPr="007A11CE">
        <w:rPr>
          <w:rFonts w:ascii="Times New Roman" w:hAnsi="Times New Roman"/>
        </w:rPr>
        <w:t xml:space="preserve">For the </w:t>
      </w:r>
      <w:r w:rsidR="007A0428" w:rsidRPr="007A11CE">
        <w:rPr>
          <w:rFonts w:ascii="Times New Roman" w:hAnsi="Times New Roman"/>
        </w:rPr>
        <w:t xml:space="preserve">principle </w:t>
      </w:r>
      <w:r w:rsidR="00B243E9" w:rsidRPr="007A11CE">
        <w:rPr>
          <w:rFonts w:ascii="Times New Roman" w:hAnsi="Times New Roman"/>
        </w:rPr>
        <w:t xml:space="preserve">to be capable of being </w:t>
      </w:r>
      <w:r w:rsidR="00DB06BF" w:rsidRPr="007A11CE">
        <w:rPr>
          <w:rFonts w:ascii="Times New Roman" w:hAnsi="Times New Roman"/>
        </w:rPr>
        <w:t xml:space="preserve">so </w:t>
      </w:r>
      <w:r w:rsidR="00B243E9" w:rsidRPr="007A11CE">
        <w:rPr>
          <w:rFonts w:ascii="Times New Roman" w:hAnsi="Times New Roman"/>
        </w:rPr>
        <w:t>applied</w:t>
      </w:r>
      <w:r w:rsidR="00BC5182" w:rsidRPr="007A11CE">
        <w:rPr>
          <w:rFonts w:ascii="Times New Roman" w:hAnsi="Times New Roman"/>
        </w:rPr>
        <w:t xml:space="preserve">, </w:t>
      </w:r>
      <w:r w:rsidRPr="007A11CE">
        <w:rPr>
          <w:rFonts w:ascii="Times New Roman" w:hAnsi="Times New Roman"/>
        </w:rPr>
        <w:t xml:space="preserve">what must be </w:t>
      </w:r>
      <w:r w:rsidR="00351FE0" w:rsidRPr="007A11CE">
        <w:rPr>
          <w:rFonts w:ascii="Times New Roman" w:hAnsi="Times New Roman"/>
        </w:rPr>
        <w:t xml:space="preserve">capable of being discerned </w:t>
      </w:r>
      <w:r w:rsidR="00077A73" w:rsidRPr="007A11CE">
        <w:rPr>
          <w:rFonts w:ascii="Times New Roman" w:hAnsi="Times New Roman"/>
        </w:rPr>
        <w:t>as an exercise in statutory construction</w:t>
      </w:r>
      <w:r w:rsidRPr="007A11CE">
        <w:rPr>
          <w:rFonts w:ascii="Times New Roman" w:hAnsi="Times New Roman"/>
        </w:rPr>
        <w:t xml:space="preserve"> is some "standard</w:t>
      </w:r>
      <w:r w:rsidR="00C6323D" w:rsidRPr="007A11CE">
        <w:rPr>
          <w:rFonts w:ascii="Times New Roman" w:hAnsi="Times New Roman"/>
        </w:rPr>
        <w:t>"</w:t>
      </w:r>
      <w:r w:rsidRPr="007A11CE">
        <w:rPr>
          <w:rFonts w:ascii="Times New Roman" w:hAnsi="Times New Roman"/>
        </w:rPr>
        <w:t xml:space="preserve"> or </w:t>
      </w:r>
      <w:r w:rsidR="00C6323D" w:rsidRPr="007A11CE">
        <w:rPr>
          <w:rFonts w:ascii="Times New Roman" w:hAnsi="Times New Roman"/>
        </w:rPr>
        <w:t>"</w:t>
      </w:r>
      <w:r w:rsidRPr="007A11CE">
        <w:rPr>
          <w:rFonts w:ascii="Times New Roman" w:hAnsi="Times New Roman"/>
        </w:rPr>
        <w:t>criterion" by which</w:t>
      </w:r>
      <w:r w:rsidR="001B5D13" w:rsidRPr="007A11CE">
        <w:rPr>
          <w:rFonts w:ascii="Times New Roman" w:hAnsi="Times New Roman"/>
        </w:rPr>
        <w:t>,</w:t>
      </w:r>
      <w:r w:rsidRPr="007A11CE">
        <w:rPr>
          <w:rFonts w:ascii="Times New Roman" w:hAnsi="Times New Roman"/>
        </w:rPr>
        <w:t xml:space="preserve"> having regard to the terms of the l</w:t>
      </w:r>
      <w:r w:rsidR="003C7933" w:rsidRPr="007A11CE">
        <w:rPr>
          <w:rFonts w:ascii="Times New Roman" w:hAnsi="Times New Roman"/>
        </w:rPr>
        <w:t>egislation</w:t>
      </w:r>
      <w:r w:rsidRPr="007A11CE">
        <w:rPr>
          <w:rFonts w:ascii="Times New Roman" w:hAnsi="Times New Roman"/>
        </w:rPr>
        <w:t xml:space="preserve"> and the subject-matter with which it deals</w:t>
      </w:r>
      <w:r w:rsidR="001B5D13" w:rsidRPr="007A11CE">
        <w:rPr>
          <w:rFonts w:ascii="Times New Roman" w:hAnsi="Times New Roman"/>
        </w:rPr>
        <w:t>,</w:t>
      </w:r>
      <w:r w:rsidRPr="007A11CE">
        <w:rPr>
          <w:rFonts w:ascii="Times New Roman" w:hAnsi="Times New Roman"/>
        </w:rPr>
        <w:t xml:space="preserve"> the </w:t>
      </w:r>
      <w:r w:rsidR="00631F9D" w:rsidRPr="007A11CE">
        <w:rPr>
          <w:rFonts w:ascii="Times New Roman" w:hAnsi="Times New Roman"/>
        </w:rPr>
        <w:t>text</w:t>
      </w:r>
      <w:r w:rsidRPr="007A11CE">
        <w:rPr>
          <w:rFonts w:ascii="Times New Roman" w:hAnsi="Times New Roman"/>
        </w:rPr>
        <w:t xml:space="preserve"> can be construed in light of the constitutional limitation </w:t>
      </w:r>
      <w:r w:rsidR="00B36CC6" w:rsidRPr="007A11CE">
        <w:rPr>
          <w:rFonts w:ascii="Times New Roman" w:hAnsi="Times New Roman"/>
        </w:rPr>
        <w:t>s</w:t>
      </w:r>
      <w:r w:rsidRPr="007A11CE">
        <w:rPr>
          <w:rFonts w:ascii="Times New Roman" w:hAnsi="Times New Roman"/>
        </w:rPr>
        <w:t xml:space="preserve">o as to give </w:t>
      </w:r>
      <w:r w:rsidR="003A1D8B" w:rsidRPr="007A11CE">
        <w:rPr>
          <w:rFonts w:ascii="Times New Roman" w:hAnsi="Times New Roman"/>
        </w:rPr>
        <w:t>that text</w:t>
      </w:r>
      <w:r w:rsidRPr="007A11CE">
        <w:rPr>
          <w:rFonts w:ascii="Times New Roman" w:hAnsi="Times New Roman"/>
        </w:rPr>
        <w:t xml:space="preserve"> a valid but partial operation. </w:t>
      </w:r>
      <w:r w:rsidRPr="007A11CE" w:rsidDel="001B5D13">
        <w:rPr>
          <w:rFonts w:ascii="Times New Roman" w:hAnsi="Times New Roman"/>
        </w:rPr>
        <w:t>There</w:t>
      </w:r>
      <w:r w:rsidR="001B5D13" w:rsidRPr="007A11CE">
        <w:rPr>
          <w:rFonts w:ascii="Times New Roman" w:hAnsi="Times New Roman"/>
        </w:rPr>
        <w:t xml:space="preserve"> </w:t>
      </w:r>
      <w:r w:rsidRPr="007A11CE">
        <w:rPr>
          <w:rFonts w:ascii="Times New Roman" w:hAnsi="Times New Roman"/>
        </w:rPr>
        <w:t>is no distinction in this respect between a constitutional limitation and a limit of legislative power.</w:t>
      </w:r>
    </w:p>
    <w:p w14:paraId="24EEB537" w14:textId="686FE530" w:rsidR="00311FAB" w:rsidRPr="007A11CE" w:rsidRDefault="00311FAB"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8366AB" w:rsidRPr="007A11CE">
        <w:rPr>
          <w:rFonts w:ascii="Times New Roman" w:hAnsi="Times New Roman"/>
        </w:rPr>
        <w:t>Th</w:t>
      </w:r>
      <w:r w:rsidR="00BD0517" w:rsidRPr="007A11CE">
        <w:rPr>
          <w:rFonts w:ascii="Times New Roman" w:hAnsi="Times New Roman"/>
        </w:rPr>
        <w:t>e application of s</w:t>
      </w:r>
      <w:r w:rsidR="00BC4B53" w:rsidRPr="007A11CE">
        <w:rPr>
          <w:rFonts w:ascii="Times New Roman" w:hAnsi="Times New Roman"/>
        </w:rPr>
        <w:t> </w:t>
      </w:r>
      <w:r w:rsidR="00BD0517" w:rsidRPr="007A11CE">
        <w:rPr>
          <w:rFonts w:ascii="Times New Roman" w:hAnsi="Times New Roman"/>
        </w:rPr>
        <w:t xml:space="preserve">15A of the </w:t>
      </w:r>
      <w:r w:rsidR="00BD0517" w:rsidRPr="007A11CE">
        <w:rPr>
          <w:rFonts w:ascii="Times New Roman" w:hAnsi="Times New Roman"/>
          <w:i/>
          <w:iCs/>
        </w:rPr>
        <w:t>Acts Interpretation Act</w:t>
      </w:r>
      <w:r w:rsidR="00BD0517" w:rsidRPr="007A11CE">
        <w:rPr>
          <w:rFonts w:ascii="Times New Roman" w:hAnsi="Times New Roman"/>
        </w:rPr>
        <w:t xml:space="preserve"> </w:t>
      </w:r>
      <w:r w:rsidR="00D833EB" w:rsidRPr="007A11CE">
        <w:rPr>
          <w:rFonts w:ascii="Times New Roman" w:hAnsi="Times New Roman"/>
        </w:rPr>
        <w:t xml:space="preserve">in each of the </w:t>
      </w:r>
      <w:r w:rsidR="00D833EB" w:rsidRPr="007A11CE">
        <w:rPr>
          <w:rFonts w:ascii="Times New Roman" w:hAnsi="Times New Roman"/>
          <w:i/>
          <w:iCs/>
        </w:rPr>
        <w:t>Industrial Relations Act Case</w:t>
      </w:r>
      <w:r w:rsidR="00D833EB" w:rsidRPr="007A11CE">
        <w:rPr>
          <w:rFonts w:ascii="Times New Roman" w:hAnsi="Times New Roman"/>
        </w:rPr>
        <w:t xml:space="preserve"> and </w:t>
      </w:r>
      <w:r w:rsidR="00D833EB" w:rsidRPr="007A11CE">
        <w:rPr>
          <w:rFonts w:ascii="Times New Roman" w:hAnsi="Times New Roman"/>
          <w:i/>
          <w:iCs/>
        </w:rPr>
        <w:t>Graham</w:t>
      </w:r>
      <w:r w:rsidR="00D833EB" w:rsidRPr="007A11CE">
        <w:rPr>
          <w:rFonts w:ascii="Times New Roman" w:hAnsi="Times New Roman"/>
        </w:rPr>
        <w:t xml:space="preserve"> serve</w:t>
      </w:r>
      <w:r w:rsidR="004371A2" w:rsidRPr="007A11CE">
        <w:rPr>
          <w:rFonts w:ascii="Times New Roman" w:hAnsi="Times New Roman"/>
        </w:rPr>
        <w:t>s</w:t>
      </w:r>
      <w:r w:rsidR="00D833EB" w:rsidRPr="007A11CE">
        <w:rPr>
          <w:rFonts w:ascii="Times New Roman" w:hAnsi="Times New Roman"/>
        </w:rPr>
        <w:t xml:space="preserve"> to illustrate </w:t>
      </w:r>
      <w:r w:rsidR="00BC4B53" w:rsidRPr="007A11CE">
        <w:rPr>
          <w:rFonts w:ascii="Times New Roman" w:hAnsi="Times New Roman"/>
        </w:rPr>
        <w:t xml:space="preserve">the true </w:t>
      </w:r>
      <w:r w:rsidR="00D833EB" w:rsidRPr="007A11CE">
        <w:rPr>
          <w:rFonts w:ascii="Times New Roman" w:hAnsi="Times New Roman"/>
        </w:rPr>
        <w:t>position. I</w:t>
      </w:r>
      <w:r w:rsidR="008366AB" w:rsidRPr="007A11CE">
        <w:rPr>
          <w:rFonts w:ascii="Times New Roman" w:hAnsi="Times New Roman"/>
        </w:rPr>
        <w:t>n</w:t>
      </w:r>
      <w:r w:rsidR="00F4166B" w:rsidRPr="007A11CE">
        <w:rPr>
          <w:rFonts w:ascii="Times New Roman" w:hAnsi="Times New Roman"/>
        </w:rPr>
        <w:t xml:space="preserve"> the </w:t>
      </w:r>
      <w:r w:rsidR="00F4166B" w:rsidRPr="007A11CE">
        <w:rPr>
          <w:rFonts w:ascii="Times New Roman" w:hAnsi="Times New Roman"/>
          <w:i/>
          <w:iCs/>
        </w:rPr>
        <w:t>Industrial Relations Act Case</w:t>
      </w:r>
      <w:r w:rsidR="00F4166B" w:rsidRPr="007A11CE">
        <w:rPr>
          <w:rFonts w:ascii="Times New Roman" w:hAnsi="Times New Roman"/>
        </w:rPr>
        <w:t>,</w:t>
      </w:r>
      <w:r w:rsidR="00D5581C" w:rsidRPr="007A11CE">
        <w:rPr>
          <w:rStyle w:val="FootnoteReference"/>
          <w:rFonts w:ascii="Times New Roman" w:hAnsi="Times New Roman"/>
          <w:sz w:val="24"/>
        </w:rPr>
        <w:footnoteReference w:id="51"/>
      </w:r>
      <w:r w:rsidR="005755D7" w:rsidRPr="007A11CE">
        <w:rPr>
          <w:rFonts w:ascii="Times New Roman" w:hAnsi="Times New Roman"/>
        </w:rPr>
        <w:t xml:space="preserve"> </w:t>
      </w:r>
      <w:r w:rsidR="005F5E3D" w:rsidRPr="007A11CE">
        <w:rPr>
          <w:rFonts w:ascii="Times New Roman" w:hAnsi="Times New Roman"/>
        </w:rPr>
        <w:t xml:space="preserve">the "nature and subject matter" of the legislation in question were </w:t>
      </w:r>
      <w:r w:rsidR="007B01D1" w:rsidRPr="007A11CE">
        <w:rPr>
          <w:rFonts w:ascii="Times New Roman" w:hAnsi="Times New Roman"/>
        </w:rPr>
        <w:t>explained</w:t>
      </w:r>
      <w:r w:rsidR="001C7823" w:rsidRPr="007A11CE">
        <w:rPr>
          <w:rFonts w:ascii="Times New Roman" w:hAnsi="Times New Roman"/>
        </w:rPr>
        <w:t xml:space="preserve"> </w:t>
      </w:r>
      <w:r w:rsidR="005F5E3D" w:rsidRPr="007A11CE">
        <w:rPr>
          <w:rFonts w:ascii="Times New Roman" w:hAnsi="Times New Roman"/>
        </w:rPr>
        <w:t>to "suggest</w:t>
      </w:r>
      <w:r w:rsidR="00457178" w:rsidRPr="007A11CE">
        <w:rPr>
          <w:rFonts w:ascii="Times New Roman" w:hAnsi="Times New Roman"/>
        </w:rPr>
        <w:t xml:space="preserve"> the limitation" by which </w:t>
      </w:r>
      <w:r w:rsidR="005C1B89" w:rsidRPr="007A11CE">
        <w:rPr>
          <w:rFonts w:ascii="Times New Roman" w:hAnsi="Times New Roman"/>
        </w:rPr>
        <w:t xml:space="preserve">a provision </w:t>
      </w:r>
      <w:r w:rsidR="00217C71" w:rsidRPr="007A11CE">
        <w:rPr>
          <w:rFonts w:ascii="Times New Roman" w:hAnsi="Times New Roman"/>
        </w:rPr>
        <w:t xml:space="preserve">expressing </w:t>
      </w:r>
      <w:r w:rsidR="00724167" w:rsidRPr="007A11CE">
        <w:rPr>
          <w:rFonts w:ascii="Times New Roman" w:hAnsi="Times New Roman"/>
        </w:rPr>
        <w:t xml:space="preserve">that </w:t>
      </w:r>
      <w:r w:rsidR="006D4C9E" w:rsidRPr="007A11CE">
        <w:rPr>
          <w:rFonts w:ascii="Times New Roman" w:hAnsi="Times New Roman"/>
        </w:rPr>
        <w:t xml:space="preserve">the </w:t>
      </w:r>
      <w:r w:rsidR="00724167" w:rsidRPr="007A11CE">
        <w:rPr>
          <w:rFonts w:ascii="Times New Roman" w:hAnsi="Times New Roman"/>
        </w:rPr>
        <w:t>legislation "bind</w:t>
      </w:r>
      <w:r w:rsidR="006D4C9E" w:rsidRPr="007A11CE">
        <w:rPr>
          <w:rFonts w:ascii="Times New Roman" w:hAnsi="Times New Roman"/>
        </w:rPr>
        <w:t>s ...</w:t>
      </w:r>
      <w:r w:rsidR="00724167" w:rsidRPr="007A11CE">
        <w:rPr>
          <w:rFonts w:ascii="Times New Roman" w:hAnsi="Times New Roman"/>
        </w:rPr>
        <w:t xml:space="preserve"> the States</w:t>
      </w:r>
      <w:r w:rsidR="006D4C9E" w:rsidRPr="007A11CE">
        <w:rPr>
          <w:rFonts w:ascii="Times New Roman" w:hAnsi="Times New Roman"/>
        </w:rPr>
        <w:t>"</w:t>
      </w:r>
      <w:r w:rsidR="00457178" w:rsidRPr="007A11CE">
        <w:rPr>
          <w:rFonts w:ascii="Times New Roman" w:hAnsi="Times New Roman"/>
        </w:rPr>
        <w:t xml:space="preserve"> was to be </w:t>
      </w:r>
      <w:r w:rsidR="00CE0173" w:rsidRPr="007A11CE">
        <w:rPr>
          <w:rFonts w:ascii="Times New Roman" w:hAnsi="Times New Roman"/>
        </w:rPr>
        <w:t>"</w:t>
      </w:r>
      <w:r w:rsidR="00457178" w:rsidRPr="007A11CE">
        <w:rPr>
          <w:rFonts w:ascii="Times New Roman" w:hAnsi="Times New Roman"/>
        </w:rPr>
        <w:t>read down</w:t>
      </w:r>
      <w:r w:rsidR="00CE0173" w:rsidRPr="007A11CE">
        <w:rPr>
          <w:rFonts w:ascii="Times New Roman" w:hAnsi="Times New Roman"/>
        </w:rPr>
        <w:t>"</w:t>
      </w:r>
      <w:r w:rsidR="00764ED1" w:rsidRPr="007A11CE">
        <w:rPr>
          <w:rFonts w:ascii="Times New Roman" w:hAnsi="Times New Roman"/>
        </w:rPr>
        <w:t xml:space="preserve"> </w:t>
      </w:r>
      <w:r w:rsidR="00B1317A" w:rsidRPr="007A11CE">
        <w:rPr>
          <w:rFonts w:ascii="Times New Roman" w:hAnsi="Times New Roman"/>
        </w:rPr>
        <w:t>to avoid contravention of</w:t>
      </w:r>
      <w:r w:rsidR="005755D7" w:rsidRPr="007A11CE">
        <w:rPr>
          <w:rFonts w:ascii="Times New Roman" w:hAnsi="Times New Roman"/>
        </w:rPr>
        <w:t xml:space="preserve"> the constitutional limitation</w:t>
      </w:r>
      <w:r w:rsidR="007042D4" w:rsidRPr="007A11CE">
        <w:rPr>
          <w:rFonts w:ascii="Times New Roman" w:hAnsi="Times New Roman"/>
        </w:rPr>
        <w:t xml:space="preserve"> </w:t>
      </w:r>
      <w:r w:rsidR="00ED0FD1" w:rsidRPr="007A11CE">
        <w:rPr>
          <w:rFonts w:ascii="Times New Roman" w:hAnsi="Times New Roman"/>
        </w:rPr>
        <w:t xml:space="preserve">identified in </w:t>
      </w:r>
      <w:r w:rsidR="002F6CDA" w:rsidRPr="007A11CE">
        <w:rPr>
          <w:rFonts w:ascii="Times New Roman" w:hAnsi="Times New Roman"/>
          <w:i/>
          <w:iCs/>
        </w:rPr>
        <w:t>Melbourne Corporation v The Commonwealth</w:t>
      </w:r>
      <w:r w:rsidR="00B1317A" w:rsidRPr="007A11CE">
        <w:rPr>
          <w:rFonts w:ascii="Times New Roman" w:hAnsi="Times New Roman"/>
        </w:rPr>
        <w:t>.</w:t>
      </w:r>
      <w:r w:rsidR="000437DD" w:rsidRPr="007A11CE">
        <w:rPr>
          <w:rStyle w:val="FootnoteReference"/>
          <w:rFonts w:ascii="Times New Roman" w:hAnsi="Times New Roman"/>
          <w:sz w:val="24"/>
        </w:rPr>
        <w:footnoteReference w:id="52"/>
      </w:r>
      <w:r w:rsidR="002F6CDA" w:rsidRPr="007A11CE">
        <w:rPr>
          <w:rFonts w:ascii="Times New Roman" w:hAnsi="Times New Roman"/>
        </w:rPr>
        <w:t xml:space="preserve"> </w:t>
      </w:r>
      <w:r w:rsidR="00BD0517" w:rsidRPr="007A11CE">
        <w:rPr>
          <w:rFonts w:ascii="Times New Roman" w:hAnsi="Times New Roman"/>
        </w:rPr>
        <w:t>I</w:t>
      </w:r>
      <w:r w:rsidR="00EA2C8F" w:rsidRPr="007A11CE">
        <w:rPr>
          <w:rFonts w:ascii="Times New Roman" w:hAnsi="Times New Roman"/>
        </w:rPr>
        <w:t xml:space="preserve">n </w:t>
      </w:r>
      <w:r w:rsidR="00EA2C8F" w:rsidRPr="007A11CE">
        <w:rPr>
          <w:rFonts w:ascii="Times New Roman" w:hAnsi="Times New Roman"/>
          <w:i/>
          <w:iCs/>
        </w:rPr>
        <w:t>Graham</w:t>
      </w:r>
      <w:r w:rsidR="00EA2C8F" w:rsidRPr="007A11CE">
        <w:rPr>
          <w:rFonts w:ascii="Times New Roman" w:hAnsi="Times New Roman"/>
        </w:rPr>
        <w:t>,</w:t>
      </w:r>
      <w:r w:rsidR="00E2320B" w:rsidRPr="007A11CE">
        <w:rPr>
          <w:rStyle w:val="FootnoteReference"/>
          <w:rFonts w:ascii="Times New Roman" w:hAnsi="Times New Roman"/>
          <w:sz w:val="24"/>
        </w:rPr>
        <w:footnoteReference w:id="53"/>
      </w:r>
      <w:r w:rsidR="00EA2C8F" w:rsidRPr="007A11CE">
        <w:rPr>
          <w:rFonts w:ascii="Times New Roman" w:hAnsi="Times New Roman"/>
        </w:rPr>
        <w:t xml:space="preserve"> </w:t>
      </w:r>
      <w:r w:rsidR="00A678E1" w:rsidRPr="007A11CE">
        <w:rPr>
          <w:rFonts w:ascii="Times New Roman" w:hAnsi="Times New Roman"/>
        </w:rPr>
        <w:t>the</w:t>
      </w:r>
      <w:r w:rsidR="008C320C" w:rsidRPr="007A11CE">
        <w:rPr>
          <w:rFonts w:ascii="Times New Roman" w:hAnsi="Times New Roman"/>
        </w:rPr>
        <w:t xml:space="preserve"> "invalid application" </w:t>
      </w:r>
      <w:r w:rsidR="00D5581C" w:rsidRPr="007A11CE">
        <w:rPr>
          <w:rFonts w:ascii="Times New Roman" w:hAnsi="Times New Roman"/>
        </w:rPr>
        <w:t>of the legislation in question</w:t>
      </w:r>
      <w:r w:rsidR="00741237" w:rsidRPr="007A11CE">
        <w:rPr>
          <w:rFonts w:ascii="Times New Roman" w:hAnsi="Times New Roman"/>
        </w:rPr>
        <w:t xml:space="preserve"> </w:t>
      </w:r>
      <w:r w:rsidR="0000480B" w:rsidRPr="007A11CE">
        <w:rPr>
          <w:rFonts w:ascii="Times New Roman" w:hAnsi="Times New Roman"/>
        </w:rPr>
        <w:t xml:space="preserve">was </w:t>
      </w:r>
      <w:r w:rsidR="00D86394" w:rsidRPr="007A11CE">
        <w:rPr>
          <w:rFonts w:ascii="Times New Roman" w:hAnsi="Times New Roman"/>
        </w:rPr>
        <w:t>explained</w:t>
      </w:r>
      <w:r w:rsidR="0000480B" w:rsidRPr="007A11CE">
        <w:rPr>
          <w:rFonts w:ascii="Times New Roman" w:hAnsi="Times New Roman"/>
        </w:rPr>
        <w:t xml:space="preserve"> to be "severable" </w:t>
      </w:r>
      <w:r w:rsidR="00871158" w:rsidRPr="007A11CE">
        <w:rPr>
          <w:rFonts w:ascii="Times New Roman" w:hAnsi="Times New Roman"/>
        </w:rPr>
        <w:t xml:space="preserve">by </w:t>
      </w:r>
      <w:r w:rsidR="00273932" w:rsidRPr="007A11CE">
        <w:rPr>
          <w:rFonts w:ascii="Times New Roman" w:hAnsi="Times New Roman"/>
        </w:rPr>
        <w:t xml:space="preserve">means of </w:t>
      </w:r>
      <w:r w:rsidR="003B3758" w:rsidRPr="007A11CE">
        <w:rPr>
          <w:rFonts w:ascii="Times New Roman" w:hAnsi="Times New Roman"/>
        </w:rPr>
        <w:t xml:space="preserve">the statutory reference to a "court" </w:t>
      </w:r>
      <w:r w:rsidR="00273932" w:rsidRPr="007A11CE">
        <w:rPr>
          <w:rFonts w:ascii="Times New Roman" w:hAnsi="Times New Roman"/>
        </w:rPr>
        <w:t xml:space="preserve">being </w:t>
      </w:r>
      <w:r w:rsidR="009E6C1D" w:rsidRPr="007A11CE">
        <w:rPr>
          <w:rFonts w:ascii="Times New Roman" w:hAnsi="Times New Roman"/>
        </w:rPr>
        <w:t xml:space="preserve">"read down" </w:t>
      </w:r>
      <w:r w:rsidR="003B3758" w:rsidRPr="007A11CE">
        <w:rPr>
          <w:rFonts w:ascii="Times New Roman" w:hAnsi="Times New Roman"/>
        </w:rPr>
        <w:t xml:space="preserve">in light of the </w:t>
      </w:r>
      <w:r w:rsidR="003B3758" w:rsidRPr="007A11CE">
        <w:rPr>
          <w:rFonts w:ascii="Times New Roman" w:hAnsi="Times New Roman"/>
        </w:rPr>
        <w:lastRenderedPageBreak/>
        <w:t xml:space="preserve">constitutional limitation in question </w:t>
      </w:r>
      <w:r w:rsidR="00B7687A" w:rsidRPr="007A11CE">
        <w:rPr>
          <w:rFonts w:ascii="Times New Roman" w:hAnsi="Times New Roman"/>
        </w:rPr>
        <w:t>to exclude</w:t>
      </w:r>
      <w:r w:rsidR="00B82642" w:rsidRPr="007A11CE">
        <w:rPr>
          <w:rFonts w:ascii="Times New Roman" w:hAnsi="Times New Roman"/>
        </w:rPr>
        <w:t xml:space="preserve"> this Court when exercising jurisdiction </w:t>
      </w:r>
      <w:r w:rsidR="009A3CD3" w:rsidRPr="007A11CE">
        <w:rPr>
          <w:rFonts w:ascii="Times New Roman" w:hAnsi="Times New Roman"/>
        </w:rPr>
        <w:t>under s</w:t>
      </w:r>
      <w:r w:rsidR="00077828" w:rsidRPr="007A11CE">
        <w:rPr>
          <w:rFonts w:ascii="Times New Roman" w:hAnsi="Times New Roman"/>
        </w:rPr>
        <w:t> </w:t>
      </w:r>
      <w:r w:rsidR="009A3CD3" w:rsidRPr="007A11CE">
        <w:rPr>
          <w:rFonts w:ascii="Times New Roman" w:hAnsi="Times New Roman"/>
        </w:rPr>
        <w:t xml:space="preserve">75(v) of the </w:t>
      </w:r>
      <w:r w:rsidR="009A3CD3" w:rsidRPr="007A11CE">
        <w:rPr>
          <w:rFonts w:ascii="Times New Roman" w:hAnsi="Times New Roman"/>
          <w:i/>
        </w:rPr>
        <w:t>Constitution</w:t>
      </w:r>
      <w:r w:rsidR="009A3CD3" w:rsidRPr="007A11CE">
        <w:rPr>
          <w:rFonts w:ascii="Times New Roman" w:hAnsi="Times New Roman"/>
        </w:rPr>
        <w:t xml:space="preserve"> or the Federal Court</w:t>
      </w:r>
      <w:r w:rsidR="004116E4" w:rsidRPr="007A11CE">
        <w:rPr>
          <w:rFonts w:ascii="Times New Roman" w:hAnsi="Times New Roman"/>
        </w:rPr>
        <w:t xml:space="preserve"> when exercising </w:t>
      </w:r>
      <w:r w:rsidR="00D55E87" w:rsidRPr="007A11CE">
        <w:rPr>
          <w:rFonts w:ascii="Times New Roman" w:hAnsi="Times New Roman"/>
        </w:rPr>
        <w:t>broadly equivalent</w:t>
      </w:r>
      <w:r w:rsidR="004116E4" w:rsidRPr="007A11CE">
        <w:rPr>
          <w:rFonts w:ascii="Times New Roman" w:hAnsi="Times New Roman"/>
        </w:rPr>
        <w:t xml:space="preserve"> jurisdiction </w:t>
      </w:r>
      <w:r w:rsidR="00D65495" w:rsidRPr="007A11CE">
        <w:rPr>
          <w:rFonts w:ascii="Times New Roman" w:hAnsi="Times New Roman"/>
        </w:rPr>
        <w:t>conferred on it under s</w:t>
      </w:r>
      <w:r w:rsidR="00077828" w:rsidRPr="007A11CE">
        <w:rPr>
          <w:rFonts w:ascii="Times New Roman" w:hAnsi="Times New Roman"/>
        </w:rPr>
        <w:t> </w:t>
      </w:r>
      <w:r w:rsidR="00D65495" w:rsidRPr="007A11CE">
        <w:rPr>
          <w:rFonts w:ascii="Times New Roman" w:hAnsi="Times New Roman"/>
        </w:rPr>
        <w:t xml:space="preserve">77(i) of the </w:t>
      </w:r>
      <w:r w:rsidR="00D65495" w:rsidRPr="007A11CE">
        <w:rPr>
          <w:rFonts w:ascii="Times New Roman" w:hAnsi="Times New Roman"/>
          <w:i/>
        </w:rPr>
        <w:t>Constitution</w:t>
      </w:r>
      <w:r w:rsidR="00D65495" w:rsidRPr="007A11CE">
        <w:rPr>
          <w:rFonts w:ascii="Times New Roman" w:hAnsi="Times New Roman"/>
        </w:rPr>
        <w:t xml:space="preserve"> </w:t>
      </w:r>
      <w:r w:rsidR="004D34D8" w:rsidRPr="007A11CE">
        <w:rPr>
          <w:rFonts w:ascii="Times New Roman" w:hAnsi="Times New Roman"/>
        </w:rPr>
        <w:t>by a provision of</w:t>
      </w:r>
      <w:r w:rsidR="002038F4" w:rsidRPr="007A11CE">
        <w:rPr>
          <w:rFonts w:ascii="Times New Roman" w:hAnsi="Times New Roman"/>
        </w:rPr>
        <w:t xml:space="preserve"> the </w:t>
      </w:r>
      <w:r w:rsidR="002038F4" w:rsidRPr="007A11CE">
        <w:rPr>
          <w:rFonts w:ascii="Times New Roman" w:hAnsi="Times New Roman"/>
          <w:i/>
          <w:iCs/>
        </w:rPr>
        <w:t>Migration Act 1958</w:t>
      </w:r>
      <w:r w:rsidR="002038F4" w:rsidRPr="007A11CE">
        <w:rPr>
          <w:rFonts w:ascii="Times New Roman" w:hAnsi="Times New Roman"/>
        </w:rPr>
        <w:t xml:space="preserve"> (Cth).</w:t>
      </w:r>
    </w:p>
    <w:p w14:paraId="1FB89FCB" w14:textId="797A1BA9" w:rsidR="006E07E3" w:rsidRPr="007A11CE" w:rsidRDefault="00BD0517" w:rsidP="007A11CE">
      <w:pPr>
        <w:pStyle w:val="FixListStyle"/>
        <w:spacing w:after="260" w:line="280" w:lineRule="exact"/>
        <w:ind w:right="0"/>
        <w:jc w:val="both"/>
        <w:rPr>
          <w:rFonts w:ascii="Times New Roman" w:hAnsi="Times New Roman"/>
        </w:rPr>
      </w:pPr>
      <w:r w:rsidRPr="007A11CE">
        <w:rPr>
          <w:rFonts w:ascii="Times New Roman" w:hAnsi="Times New Roman"/>
        </w:rPr>
        <w:tab/>
        <w:t xml:space="preserve">Those </w:t>
      </w:r>
      <w:r w:rsidR="009E6C1D" w:rsidRPr="007A11CE">
        <w:rPr>
          <w:rFonts w:ascii="Times New Roman" w:hAnsi="Times New Roman"/>
        </w:rPr>
        <w:t xml:space="preserve">and other cases illustrate two other </w:t>
      </w:r>
      <w:r w:rsidR="00BE4043" w:rsidRPr="007A11CE">
        <w:rPr>
          <w:rFonts w:ascii="Times New Roman" w:hAnsi="Times New Roman"/>
        </w:rPr>
        <w:t xml:space="preserve">presently </w:t>
      </w:r>
      <w:r w:rsidR="00BD4463" w:rsidRPr="007A11CE">
        <w:rPr>
          <w:rFonts w:ascii="Times New Roman" w:hAnsi="Times New Roman"/>
        </w:rPr>
        <w:t xml:space="preserve">important </w:t>
      </w:r>
      <w:r w:rsidR="009E6C1D" w:rsidRPr="007A11CE">
        <w:rPr>
          <w:rFonts w:ascii="Times New Roman" w:hAnsi="Times New Roman"/>
        </w:rPr>
        <w:t>propositions</w:t>
      </w:r>
      <w:r w:rsidR="00D47C24" w:rsidRPr="007A11CE">
        <w:rPr>
          <w:rFonts w:ascii="Times New Roman" w:hAnsi="Times New Roman"/>
        </w:rPr>
        <w:t xml:space="preserve"> </w:t>
      </w:r>
      <w:r w:rsidR="00232B87" w:rsidRPr="007A11CE">
        <w:rPr>
          <w:rFonts w:ascii="Times New Roman" w:hAnsi="Times New Roman"/>
        </w:rPr>
        <w:t xml:space="preserve">concerning the </w:t>
      </w:r>
      <w:r w:rsidR="00D47C24" w:rsidRPr="007A11CE">
        <w:rPr>
          <w:rFonts w:ascii="Times New Roman" w:hAnsi="Times New Roman"/>
        </w:rPr>
        <w:t>application of s</w:t>
      </w:r>
      <w:r w:rsidR="00807662" w:rsidRPr="007A11CE">
        <w:rPr>
          <w:rFonts w:ascii="Times New Roman" w:hAnsi="Times New Roman"/>
        </w:rPr>
        <w:t> </w:t>
      </w:r>
      <w:r w:rsidR="00D47C24" w:rsidRPr="007A11CE">
        <w:rPr>
          <w:rFonts w:ascii="Times New Roman" w:hAnsi="Times New Roman"/>
        </w:rPr>
        <w:t xml:space="preserve">15A of the </w:t>
      </w:r>
      <w:r w:rsidR="00D47C24" w:rsidRPr="007A11CE">
        <w:rPr>
          <w:rFonts w:ascii="Times New Roman" w:hAnsi="Times New Roman"/>
          <w:i/>
          <w:iCs/>
        </w:rPr>
        <w:t>Acts Interpretation Act</w:t>
      </w:r>
      <w:r w:rsidR="007B1967" w:rsidRPr="007A11CE">
        <w:rPr>
          <w:rFonts w:ascii="Times New Roman" w:hAnsi="Times New Roman"/>
        </w:rPr>
        <w:t>. The first is that</w:t>
      </w:r>
      <w:r w:rsidR="00CD4453" w:rsidRPr="007A11CE">
        <w:rPr>
          <w:rFonts w:ascii="Times New Roman" w:hAnsi="Times New Roman"/>
        </w:rPr>
        <w:t xml:space="preserve">, as an exercise in statutory construction, the discernment of </w:t>
      </w:r>
      <w:r w:rsidR="00612D34" w:rsidRPr="007A11CE">
        <w:rPr>
          <w:rFonts w:ascii="Times New Roman" w:hAnsi="Times New Roman"/>
        </w:rPr>
        <w:t>the</w:t>
      </w:r>
      <w:r w:rsidR="00CD4453" w:rsidRPr="007A11CE">
        <w:rPr>
          <w:rFonts w:ascii="Times New Roman" w:hAnsi="Times New Roman"/>
        </w:rPr>
        <w:t xml:space="preserve"> "standard</w:t>
      </w:r>
      <w:r w:rsidR="00982440" w:rsidRPr="007A11CE">
        <w:rPr>
          <w:rFonts w:ascii="Times New Roman" w:hAnsi="Times New Roman"/>
        </w:rPr>
        <w:t>"</w:t>
      </w:r>
      <w:r w:rsidR="00CD4453" w:rsidRPr="007A11CE">
        <w:rPr>
          <w:rFonts w:ascii="Times New Roman" w:hAnsi="Times New Roman"/>
        </w:rPr>
        <w:t xml:space="preserve"> or </w:t>
      </w:r>
      <w:r w:rsidR="00982440" w:rsidRPr="007A11CE">
        <w:rPr>
          <w:rFonts w:ascii="Times New Roman" w:hAnsi="Times New Roman"/>
        </w:rPr>
        <w:t>"</w:t>
      </w:r>
      <w:r w:rsidR="00CD4453" w:rsidRPr="007A11CE">
        <w:rPr>
          <w:rFonts w:ascii="Times New Roman" w:hAnsi="Times New Roman"/>
        </w:rPr>
        <w:t xml:space="preserve">criterion" by which </w:t>
      </w:r>
      <w:r w:rsidR="00B36CC6" w:rsidRPr="007A11CE">
        <w:rPr>
          <w:rFonts w:ascii="Times New Roman" w:hAnsi="Times New Roman"/>
        </w:rPr>
        <w:t xml:space="preserve">legislated </w:t>
      </w:r>
      <w:r w:rsidR="00CD4453" w:rsidRPr="007A11CE">
        <w:rPr>
          <w:rFonts w:ascii="Times New Roman" w:hAnsi="Times New Roman"/>
        </w:rPr>
        <w:t xml:space="preserve">text </w:t>
      </w:r>
      <w:r w:rsidR="00612D34" w:rsidRPr="007A11CE">
        <w:rPr>
          <w:rFonts w:ascii="Times New Roman" w:hAnsi="Times New Roman"/>
        </w:rPr>
        <w:t>is</w:t>
      </w:r>
      <w:r w:rsidR="00CD4453" w:rsidRPr="007A11CE">
        <w:rPr>
          <w:rFonts w:ascii="Times New Roman" w:hAnsi="Times New Roman"/>
        </w:rPr>
        <w:t xml:space="preserve"> </w:t>
      </w:r>
      <w:r w:rsidR="00B36CC6" w:rsidRPr="007A11CE">
        <w:rPr>
          <w:rFonts w:ascii="Times New Roman" w:hAnsi="Times New Roman"/>
        </w:rPr>
        <w:t xml:space="preserve">to </w:t>
      </w:r>
      <w:r w:rsidR="00CD4453" w:rsidRPr="007A11CE">
        <w:rPr>
          <w:rFonts w:ascii="Times New Roman" w:hAnsi="Times New Roman"/>
        </w:rPr>
        <w:t xml:space="preserve">be </w:t>
      </w:r>
      <w:r w:rsidR="005338AE" w:rsidRPr="007A11CE">
        <w:rPr>
          <w:rFonts w:ascii="Times New Roman" w:hAnsi="Times New Roman"/>
        </w:rPr>
        <w:t xml:space="preserve">"read and </w:t>
      </w:r>
      <w:r w:rsidR="00CD4453" w:rsidRPr="007A11CE">
        <w:rPr>
          <w:rFonts w:ascii="Times New Roman" w:hAnsi="Times New Roman"/>
        </w:rPr>
        <w:t>construed</w:t>
      </w:r>
      <w:r w:rsidR="005338AE" w:rsidRPr="007A11CE">
        <w:rPr>
          <w:rFonts w:ascii="Times New Roman" w:hAnsi="Times New Roman"/>
        </w:rPr>
        <w:t xml:space="preserve">" </w:t>
      </w:r>
      <w:r w:rsidR="00376B0F" w:rsidRPr="007A11CE">
        <w:rPr>
          <w:rFonts w:ascii="Times New Roman" w:hAnsi="Times New Roman"/>
        </w:rPr>
        <w:t>s</w:t>
      </w:r>
      <w:r w:rsidR="00CD4453" w:rsidRPr="007A11CE">
        <w:rPr>
          <w:rFonts w:ascii="Times New Roman" w:hAnsi="Times New Roman"/>
        </w:rPr>
        <w:t>o as to give it a valid but partial operation</w:t>
      </w:r>
      <w:r w:rsidR="009E08B0" w:rsidRPr="007A11CE">
        <w:rPr>
          <w:rFonts w:ascii="Times New Roman" w:hAnsi="Times New Roman"/>
        </w:rPr>
        <w:t xml:space="preserve"> is not incompatible with the existence of "constructional choice"</w:t>
      </w:r>
      <w:r w:rsidR="00CD4453" w:rsidRPr="007A11CE">
        <w:rPr>
          <w:rFonts w:ascii="Times New Roman" w:hAnsi="Times New Roman"/>
        </w:rPr>
        <w:t>.</w:t>
      </w:r>
      <w:r w:rsidR="00923F43" w:rsidRPr="007A11CE">
        <w:rPr>
          <w:rStyle w:val="FootnoteReference"/>
          <w:rFonts w:ascii="Times New Roman" w:hAnsi="Times New Roman"/>
          <w:sz w:val="24"/>
        </w:rPr>
        <w:footnoteReference w:id="54"/>
      </w:r>
      <w:r w:rsidR="00376B0F" w:rsidRPr="007A11CE">
        <w:rPr>
          <w:rFonts w:ascii="Times New Roman" w:hAnsi="Times New Roman"/>
        </w:rPr>
        <w:t xml:space="preserve"> </w:t>
      </w:r>
      <w:r w:rsidR="00040ACE" w:rsidRPr="007A11CE">
        <w:rPr>
          <w:rFonts w:ascii="Times New Roman" w:hAnsi="Times New Roman"/>
        </w:rPr>
        <w:t xml:space="preserve">To accept, in the language of Latham CJ in </w:t>
      </w:r>
      <w:r w:rsidR="00040ACE" w:rsidRPr="007A11CE">
        <w:rPr>
          <w:rFonts w:ascii="Times New Roman" w:hAnsi="Times New Roman"/>
          <w:i/>
          <w:iCs/>
        </w:rPr>
        <w:t>Pidoto</w:t>
      </w:r>
      <w:r w:rsidR="005F0811" w:rsidRPr="007A11CE">
        <w:rPr>
          <w:rFonts w:ascii="Times New Roman" w:hAnsi="Times New Roman"/>
        </w:rPr>
        <w:t>,</w:t>
      </w:r>
      <w:r w:rsidR="00A47AF0" w:rsidRPr="007A11CE">
        <w:rPr>
          <w:rStyle w:val="FootnoteReference"/>
          <w:rFonts w:ascii="Times New Roman" w:hAnsi="Times New Roman"/>
          <w:sz w:val="24"/>
        </w:rPr>
        <w:footnoteReference w:id="55"/>
      </w:r>
      <w:r w:rsidR="005F0811" w:rsidRPr="007A11CE">
        <w:rPr>
          <w:rFonts w:ascii="Times New Roman" w:hAnsi="Times New Roman"/>
        </w:rPr>
        <w:t xml:space="preserve"> that </w:t>
      </w:r>
      <w:r w:rsidR="005B3535" w:rsidRPr="007A11CE">
        <w:rPr>
          <w:rFonts w:ascii="Times New Roman" w:hAnsi="Times New Roman"/>
        </w:rPr>
        <w:t>s</w:t>
      </w:r>
      <w:r w:rsidR="00E26147" w:rsidRPr="007A11CE">
        <w:rPr>
          <w:rFonts w:ascii="Times New Roman" w:hAnsi="Times New Roman"/>
        </w:rPr>
        <w:t> </w:t>
      </w:r>
      <w:r w:rsidR="005B3535" w:rsidRPr="007A11CE">
        <w:rPr>
          <w:rFonts w:ascii="Times New Roman" w:hAnsi="Times New Roman"/>
        </w:rPr>
        <w:t xml:space="preserve">15A is incapable of application </w:t>
      </w:r>
      <w:r w:rsidR="0002387A" w:rsidRPr="007A11CE">
        <w:rPr>
          <w:rFonts w:ascii="Times New Roman" w:hAnsi="Times New Roman"/>
        </w:rPr>
        <w:t>where</w:t>
      </w:r>
      <w:r w:rsidR="005F0811" w:rsidRPr="007A11CE">
        <w:rPr>
          <w:rFonts w:ascii="Times New Roman" w:hAnsi="Times New Roman"/>
        </w:rPr>
        <w:t xml:space="preserve"> legislated text</w:t>
      </w:r>
      <w:r w:rsidR="0002387A" w:rsidRPr="007A11CE">
        <w:rPr>
          <w:rFonts w:ascii="Times New Roman" w:hAnsi="Times New Roman"/>
        </w:rPr>
        <w:t xml:space="preserve"> </w:t>
      </w:r>
      <w:r w:rsidR="005B3535" w:rsidRPr="007A11CE">
        <w:rPr>
          <w:rFonts w:ascii="Times New Roman" w:hAnsi="Times New Roman"/>
        </w:rPr>
        <w:t xml:space="preserve">"can be reduced to validity by adopting any one or more of a number of several possible limitations, and no reason based upon the law itself can be stated for selecting one limitation rather than another" </w:t>
      </w:r>
      <w:r w:rsidR="008E4C17" w:rsidRPr="007A11CE">
        <w:rPr>
          <w:rFonts w:ascii="Times New Roman" w:hAnsi="Times New Roman"/>
        </w:rPr>
        <w:t>is not to s</w:t>
      </w:r>
      <w:r w:rsidR="00C00586" w:rsidRPr="007A11CE">
        <w:rPr>
          <w:rFonts w:ascii="Times New Roman" w:hAnsi="Times New Roman"/>
        </w:rPr>
        <w:t>uggest</w:t>
      </w:r>
      <w:r w:rsidR="008E4C17" w:rsidRPr="007A11CE">
        <w:rPr>
          <w:rFonts w:ascii="Times New Roman" w:hAnsi="Times New Roman"/>
        </w:rPr>
        <w:t xml:space="preserve"> that </w:t>
      </w:r>
      <w:r w:rsidR="00A87675" w:rsidRPr="007A11CE">
        <w:rPr>
          <w:rFonts w:ascii="Times New Roman" w:hAnsi="Times New Roman"/>
        </w:rPr>
        <w:t xml:space="preserve">the </w:t>
      </w:r>
      <w:r w:rsidR="009F43F1" w:rsidRPr="007A11CE">
        <w:rPr>
          <w:rFonts w:ascii="Times New Roman" w:hAnsi="Times New Roman"/>
        </w:rPr>
        <w:t xml:space="preserve">application of </w:t>
      </w:r>
      <w:r w:rsidR="00FC3222" w:rsidRPr="007A11CE">
        <w:rPr>
          <w:rFonts w:ascii="Times New Roman" w:hAnsi="Times New Roman"/>
        </w:rPr>
        <w:t xml:space="preserve">s 15A </w:t>
      </w:r>
      <w:r w:rsidR="009F43F1" w:rsidRPr="007A11CE">
        <w:rPr>
          <w:rFonts w:ascii="Times New Roman" w:hAnsi="Times New Roman"/>
        </w:rPr>
        <w:t xml:space="preserve">cannot involve </w:t>
      </w:r>
      <w:r w:rsidR="009864DA" w:rsidRPr="007A11CE">
        <w:rPr>
          <w:rFonts w:ascii="Times New Roman" w:hAnsi="Times New Roman"/>
        </w:rPr>
        <w:t xml:space="preserve">the making </w:t>
      </w:r>
      <w:r w:rsidR="007D3F45" w:rsidRPr="007A11CE">
        <w:rPr>
          <w:rFonts w:ascii="Times New Roman" w:hAnsi="Times New Roman"/>
        </w:rPr>
        <w:t xml:space="preserve">of </w:t>
      </w:r>
      <w:r w:rsidR="009F43F1" w:rsidRPr="007A11CE">
        <w:rPr>
          <w:rFonts w:ascii="Times New Roman" w:hAnsi="Times New Roman"/>
        </w:rPr>
        <w:t>a choice between</w:t>
      </w:r>
      <w:r w:rsidR="009864DA" w:rsidRPr="007A11CE">
        <w:rPr>
          <w:rFonts w:ascii="Times New Roman" w:hAnsi="Times New Roman"/>
        </w:rPr>
        <w:t xml:space="preserve"> alternative constructions</w:t>
      </w:r>
      <w:r w:rsidR="00F3021A" w:rsidRPr="007A11CE">
        <w:rPr>
          <w:rFonts w:ascii="Times New Roman" w:hAnsi="Times New Roman"/>
        </w:rPr>
        <w:t>.</w:t>
      </w:r>
      <w:r w:rsidR="00401BF6" w:rsidRPr="007A11CE">
        <w:rPr>
          <w:rFonts w:ascii="Times New Roman" w:hAnsi="Times New Roman"/>
        </w:rPr>
        <w:t xml:space="preserve"> </w:t>
      </w:r>
      <w:r w:rsidR="003D2B75" w:rsidRPr="007A11CE">
        <w:rPr>
          <w:rFonts w:ascii="Times New Roman" w:hAnsi="Times New Roman"/>
        </w:rPr>
        <w:t>It is significant in that respect that s</w:t>
      </w:r>
      <w:r w:rsidR="00FC3222" w:rsidRPr="007A11CE">
        <w:rPr>
          <w:rFonts w:ascii="Times New Roman" w:hAnsi="Times New Roman"/>
        </w:rPr>
        <w:t> </w:t>
      </w:r>
      <w:r w:rsidR="003D2B75" w:rsidRPr="007A11CE">
        <w:rPr>
          <w:rFonts w:ascii="Times New Roman" w:hAnsi="Times New Roman"/>
        </w:rPr>
        <w:t xml:space="preserve">15A </w:t>
      </w:r>
      <w:r w:rsidR="00A77816" w:rsidRPr="007A11CE">
        <w:rPr>
          <w:rFonts w:ascii="Times New Roman" w:hAnsi="Times New Roman"/>
        </w:rPr>
        <w:t>now sits alongside s</w:t>
      </w:r>
      <w:r w:rsidR="00FC3222" w:rsidRPr="007A11CE">
        <w:rPr>
          <w:rFonts w:ascii="Times New Roman" w:hAnsi="Times New Roman"/>
        </w:rPr>
        <w:t> </w:t>
      </w:r>
      <w:r w:rsidR="00A77816" w:rsidRPr="007A11CE">
        <w:rPr>
          <w:rFonts w:ascii="Times New Roman" w:hAnsi="Times New Roman"/>
        </w:rPr>
        <w:t>15AA</w:t>
      </w:r>
      <w:r w:rsidR="00232B87" w:rsidRPr="007A11CE">
        <w:rPr>
          <w:rFonts w:ascii="Times New Roman" w:hAnsi="Times New Roman"/>
        </w:rPr>
        <w:t xml:space="preserve">, </w:t>
      </w:r>
      <w:r w:rsidR="00167D76" w:rsidRPr="007A11CE">
        <w:rPr>
          <w:rFonts w:ascii="Times New Roman" w:hAnsi="Times New Roman"/>
        </w:rPr>
        <w:t xml:space="preserve">which provides that </w:t>
      </w:r>
      <w:r w:rsidR="005169F3" w:rsidRPr="007A11CE">
        <w:rPr>
          <w:rFonts w:ascii="Times New Roman" w:hAnsi="Times New Roman"/>
        </w:rPr>
        <w:t>"</w:t>
      </w:r>
      <w:r w:rsidR="002C2187" w:rsidRPr="007A11CE">
        <w:rPr>
          <w:rFonts w:ascii="Times New Roman" w:hAnsi="Times New Roman"/>
        </w:rPr>
        <w:t>[</w:t>
      </w:r>
      <w:r w:rsidR="005169F3" w:rsidRPr="007A11CE">
        <w:rPr>
          <w:rFonts w:ascii="Times New Roman" w:hAnsi="Times New Roman"/>
        </w:rPr>
        <w:t>i</w:t>
      </w:r>
      <w:r w:rsidR="002C2187" w:rsidRPr="007A11CE">
        <w:rPr>
          <w:rFonts w:ascii="Times New Roman" w:hAnsi="Times New Roman"/>
        </w:rPr>
        <w:t>]</w:t>
      </w:r>
      <w:r w:rsidR="005169F3" w:rsidRPr="007A11CE">
        <w:rPr>
          <w:rFonts w:ascii="Times New Roman" w:hAnsi="Times New Roman"/>
        </w:rPr>
        <w:t xml:space="preserve">n interpreting a provision of an Act, the interpretation that would best achieve the purpose or object of the Act (whether or not that purpose or object is expressly stated in the Act) is to be preferred to each other interpretation". </w:t>
      </w:r>
    </w:p>
    <w:p w14:paraId="0F17B8FC" w14:textId="39597E8A" w:rsidR="00BD0517" w:rsidRPr="007A11CE" w:rsidRDefault="006E07E3"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9E56FE" w:rsidRPr="007A11CE">
        <w:rPr>
          <w:rFonts w:ascii="Times New Roman" w:hAnsi="Times New Roman"/>
        </w:rPr>
        <w:t xml:space="preserve">The </w:t>
      </w:r>
      <w:r w:rsidR="003F4AC0" w:rsidRPr="007A11CE">
        <w:rPr>
          <w:rFonts w:ascii="Times New Roman" w:hAnsi="Times New Roman"/>
        </w:rPr>
        <w:t>remaining</w:t>
      </w:r>
      <w:r w:rsidR="009E56FE" w:rsidRPr="007A11CE">
        <w:rPr>
          <w:rFonts w:ascii="Times New Roman" w:hAnsi="Times New Roman"/>
        </w:rPr>
        <w:t xml:space="preserve"> </w:t>
      </w:r>
      <w:r w:rsidR="00CC7FE4" w:rsidRPr="007A11CE">
        <w:rPr>
          <w:rFonts w:ascii="Times New Roman" w:hAnsi="Times New Roman"/>
        </w:rPr>
        <w:t xml:space="preserve">proposition </w:t>
      </w:r>
      <w:r w:rsidR="009E56FE" w:rsidRPr="007A11CE">
        <w:rPr>
          <w:rFonts w:ascii="Times New Roman" w:hAnsi="Times New Roman"/>
        </w:rPr>
        <w:t xml:space="preserve">is that it is no impediment to </w:t>
      </w:r>
      <w:r w:rsidR="00C1462B" w:rsidRPr="007A11CE">
        <w:rPr>
          <w:rFonts w:ascii="Times New Roman" w:hAnsi="Times New Roman"/>
        </w:rPr>
        <w:t>construing</w:t>
      </w:r>
      <w:r w:rsidR="00C46B43" w:rsidRPr="007A11CE">
        <w:rPr>
          <w:rFonts w:ascii="Times New Roman" w:hAnsi="Times New Roman"/>
        </w:rPr>
        <w:t xml:space="preserve"> </w:t>
      </w:r>
      <w:r w:rsidR="00CD1A41" w:rsidRPr="007A11CE">
        <w:rPr>
          <w:rFonts w:ascii="Times New Roman" w:hAnsi="Times New Roman"/>
        </w:rPr>
        <w:t>legislated text</w:t>
      </w:r>
      <w:r w:rsidR="00C46B43" w:rsidRPr="007A11CE">
        <w:rPr>
          <w:rFonts w:ascii="Times New Roman" w:hAnsi="Times New Roman"/>
        </w:rPr>
        <w:t xml:space="preserve"> expressed in general words </w:t>
      </w:r>
      <w:r w:rsidR="0082607C" w:rsidRPr="007A11CE">
        <w:rPr>
          <w:rFonts w:ascii="Times New Roman" w:hAnsi="Times New Roman"/>
        </w:rPr>
        <w:t xml:space="preserve">so as to </w:t>
      </w:r>
      <w:r w:rsidR="00F57B1B" w:rsidRPr="007A11CE">
        <w:rPr>
          <w:rFonts w:ascii="Times New Roman" w:hAnsi="Times New Roman"/>
        </w:rPr>
        <w:t>exclude its</w:t>
      </w:r>
      <w:r w:rsidR="00C46B43" w:rsidRPr="007A11CE">
        <w:rPr>
          <w:rFonts w:ascii="Times New Roman" w:hAnsi="Times New Roman"/>
        </w:rPr>
        <w:t xml:space="preserve"> application within an area in which legislative power is subject to a constitutional limitation either </w:t>
      </w:r>
      <w:r w:rsidR="00B17829" w:rsidRPr="007A11CE">
        <w:rPr>
          <w:rFonts w:ascii="Times New Roman" w:hAnsi="Times New Roman"/>
        </w:rPr>
        <w:t>that</w:t>
      </w:r>
      <w:r w:rsidR="00C162DF" w:rsidRPr="007A11CE">
        <w:rPr>
          <w:rFonts w:ascii="Times New Roman" w:hAnsi="Times New Roman"/>
        </w:rPr>
        <w:t>:</w:t>
      </w:r>
      <w:r w:rsidR="009E56FE" w:rsidRPr="007A11CE">
        <w:rPr>
          <w:rFonts w:ascii="Times New Roman" w:hAnsi="Times New Roman"/>
        </w:rPr>
        <w:t xml:space="preserve"> </w:t>
      </w:r>
      <w:r w:rsidR="00C162DF" w:rsidRPr="007A11CE">
        <w:rPr>
          <w:rFonts w:ascii="Times New Roman" w:hAnsi="Times New Roman"/>
        </w:rPr>
        <w:t>(1)</w:t>
      </w:r>
      <w:r w:rsidR="005C4F9E" w:rsidRPr="007A11CE">
        <w:rPr>
          <w:rFonts w:ascii="Times New Roman" w:hAnsi="Times New Roman"/>
        </w:rPr>
        <w:t> </w:t>
      </w:r>
      <w:r w:rsidR="00B17829" w:rsidRPr="007A11CE">
        <w:rPr>
          <w:rFonts w:ascii="Times New Roman" w:hAnsi="Times New Roman"/>
        </w:rPr>
        <w:t>"</w:t>
      </w:r>
      <w:r w:rsidR="009E56FE" w:rsidRPr="007A11CE">
        <w:rPr>
          <w:rFonts w:ascii="Times New Roman" w:hAnsi="Times New Roman"/>
        </w:rPr>
        <w:t>the constitutional limitation is incapable of precise definition</w:t>
      </w:r>
      <w:r w:rsidR="00336722" w:rsidRPr="007A11CE">
        <w:rPr>
          <w:rFonts w:ascii="Times New Roman" w:hAnsi="Times New Roman"/>
        </w:rPr>
        <w:t>"</w:t>
      </w:r>
      <w:r w:rsidR="00C162DF" w:rsidRPr="007A11CE">
        <w:rPr>
          <w:rFonts w:ascii="Times New Roman" w:hAnsi="Times New Roman"/>
        </w:rPr>
        <w:t>;</w:t>
      </w:r>
      <w:r w:rsidR="00FE416C" w:rsidRPr="007A11CE">
        <w:rPr>
          <w:rStyle w:val="FootnoteReference"/>
          <w:rFonts w:ascii="Times New Roman" w:hAnsi="Times New Roman"/>
          <w:sz w:val="24"/>
        </w:rPr>
        <w:footnoteReference w:id="56"/>
      </w:r>
      <w:r w:rsidR="00336722" w:rsidRPr="007A11CE">
        <w:rPr>
          <w:rFonts w:ascii="Times New Roman" w:hAnsi="Times New Roman"/>
        </w:rPr>
        <w:t xml:space="preserve"> </w:t>
      </w:r>
      <w:r w:rsidR="00C46B43" w:rsidRPr="007A11CE">
        <w:rPr>
          <w:rFonts w:ascii="Times New Roman" w:hAnsi="Times New Roman"/>
        </w:rPr>
        <w:t xml:space="preserve">or </w:t>
      </w:r>
      <w:r w:rsidR="00A06735" w:rsidRPr="007A11CE">
        <w:rPr>
          <w:rFonts w:ascii="Times New Roman" w:hAnsi="Times New Roman"/>
        </w:rPr>
        <w:t>(2)</w:t>
      </w:r>
      <w:r w:rsidR="00C51122" w:rsidRPr="007A11CE">
        <w:rPr>
          <w:rFonts w:ascii="Times New Roman" w:hAnsi="Times New Roman"/>
        </w:rPr>
        <w:t> </w:t>
      </w:r>
      <w:r w:rsidR="00C46B43" w:rsidRPr="007A11CE">
        <w:rPr>
          <w:rFonts w:ascii="Times New Roman" w:hAnsi="Times New Roman"/>
        </w:rPr>
        <w:t>"</w:t>
      </w:r>
      <w:r w:rsidR="009E56FE" w:rsidRPr="007A11CE">
        <w:rPr>
          <w:rFonts w:ascii="Times New Roman" w:hAnsi="Times New Roman"/>
        </w:rPr>
        <w:t xml:space="preserve">an inquiry of fact is required to determine whether the constitutional limitation </w:t>
      </w:r>
      <w:r w:rsidR="009E56FE" w:rsidRPr="007A11CE">
        <w:rPr>
          <w:rFonts w:ascii="Times New Roman" w:hAnsi="Times New Roman"/>
        </w:rPr>
        <w:lastRenderedPageBreak/>
        <w:t>would or would not be engaged in so far as the law would apply to particular persons in particular circumstances</w:t>
      </w:r>
      <w:r w:rsidR="00C46B43" w:rsidRPr="007A11CE">
        <w:rPr>
          <w:rFonts w:ascii="Times New Roman" w:hAnsi="Times New Roman"/>
        </w:rPr>
        <w:t>"</w:t>
      </w:r>
      <w:r w:rsidR="009E56FE" w:rsidRPr="007A11CE">
        <w:rPr>
          <w:rFonts w:ascii="Times New Roman" w:hAnsi="Times New Roman"/>
        </w:rPr>
        <w:t>.</w:t>
      </w:r>
      <w:r w:rsidR="00C46B43" w:rsidRPr="007A11CE">
        <w:rPr>
          <w:rStyle w:val="FootnoteReference"/>
          <w:rFonts w:ascii="Times New Roman" w:hAnsi="Times New Roman"/>
          <w:sz w:val="24"/>
        </w:rPr>
        <w:footnoteReference w:id="57"/>
      </w:r>
    </w:p>
    <w:p w14:paraId="109D7517" w14:textId="74AE841C" w:rsidR="00D3023C" w:rsidRPr="007A11CE" w:rsidRDefault="00DD54BB" w:rsidP="007A11CE">
      <w:pPr>
        <w:pStyle w:val="HeadingL1"/>
        <w:spacing w:after="260" w:line="280" w:lineRule="exact"/>
        <w:ind w:right="0"/>
        <w:jc w:val="both"/>
        <w:rPr>
          <w:rFonts w:ascii="Times New Roman" w:hAnsi="Times New Roman"/>
        </w:rPr>
      </w:pPr>
      <w:r w:rsidRPr="007A11CE">
        <w:rPr>
          <w:rFonts w:ascii="Times New Roman" w:hAnsi="Times New Roman"/>
        </w:rPr>
        <w:t>The impugned construction</w:t>
      </w:r>
    </w:p>
    <w:p w14:paraId="669F1DB2" w14:textId="1A25EDED" w:rsidR="00D3023C" w:rsidRPr="007A11CE" w:rsidRDefault="00DD54BB"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E1577D" w:rsidRPr="007A11CE">
        <w:rPr>
          <w:rFonts w:ascii="Times New Roman" w:hAnsi="Times New Roman"/>
        </w:rPr>
        <w:t>T</w:t>
      </w:r>
      <w:r w:rsidR="008B546F" w:rsidRPr="007A11CE">
        <w:rPr>
          <w:rFonts w:ascii="Times New Roman" w:hAnsi="Times New Roman"/>
        </w:rPr>
        <w:t xml:space="preserve">he construction </w:t>
      </w:r>
      <w:r w:rsidR="002B6964" w:rsidRPr="007A11CE">
        <w:rPr>
          <w:rFonts w:ascii="Times New Roman" w:hAnsi="Times New Roman"/>
        </w:rPr>
        <w:t xml:space="preserve">of </w:t>
      </w:r>
      <w:r w:rsidR="00EB243B" w:rsidRPr="007A11CE">
        <w:rPr>
          <w:rFonts w:ascii="Times New Roman" w:hAnsi="Times New Roman"/>
        </w:rPr>
        <w:t>regs</w:t>
      </w:r>
      <w:r w:rsidR="00057BF3" w:rsidRPr="007A11CE">
        <w:rPr>
          <w:rFonts w:ascii="Times New Roman" w:hAnsi="Times New Roman"/>
        </w:rPr>
        <w:t> </w:t>
      </w:r>
      <w:r w:rsidR="00EB243B" w:rsidRPr="007A11CE">
        <w:rPr>
          <w:rFonts w:ascii="Times New Roman" w:hAnsi="Times New Roman"/>
        </w:rPr>
        <w:t xml:space="preserve">14 and 15 </w:t>
      </w:r>
      <w:r w:rsidR="002B6964" w:rsidRPr="007A11CE">
        <w:rPr>
          <w:rFonts w:ascii="Times New Roman" w:hAnsi="Times New Roman"/>
        </w:rPr>
        <w:t xml:space="preserve">of the Regulations </w:t>
      </w:r>
      <w:r w:rsidR="00E1577D" w:rsidRPr="007A11CE">
        <w:rPr>
          <w:rFonts w:ascii="Times New Roman" w:hAnsi="Times New Roman"/>
        </w:rPr>
        <w:t xml:space="preserve">adopted by the primary judge and the Full Court </w:t>
      </w:r>
      <w:r w:rsidR="00902AF7" w:rsidRPr="007A11CE">
        <w:rPr>
          <w:rFonts w:ascii="Times New Roman" w:hAnsi="Times New Roman"/>
        </w:rPr>
        <w:t xml:space="preserve">was an orthodox application </w:t>
      </w:r>
      <w:r w:rsidR="009B0ADA" w:rsidRPr="007A11CE">
        <w:rPr>
          <w:rFonts w:ascii="Times New Roman" w:hAnsi="Times New Roman"/>
        </w:rPr>
        <w:t xml:space="preserve">of </w:t>
      </w:r>
      <w:r w:rsidR="002F36C4" w:rsidRPr="007A11CE">
        <w:rPr>
          <w:rFonts w:ascii="Times New Roman" w:hAnsi="Times New Roman"/>
        </w:rPr>
        <w:t xml:space="preserve">the </w:t>
      </w:r>
      <w:r w:rsidR="009B0ADA" w:rsidRPr="007A11CE">
        <w:rPr>
          <w:rFonts w:ascii="Times New Roman" w:hAnsi="Times New Roman"/>
        </w:rPr>
        <w:t>constructional imperative</w:t>
      </w:r>
      <w:r w:rsidR="00F1265A" w:rsidRPr="007A11CE">
        <w:rPr>
          <w:rFonts w:ascii="Times New Roman" w:hAnsi="Times New Roman"/>
        </w:rPr>
        <w:t xml:space="preserve"> s 15A imposes</w:t>
      </w:r>
      <w:r w:rsidR="009B0ADA" w:rsidRPr="007A11CE">
        <w:rPr>
          <w:rFonts w:ascii="Times New Roman" w:hAnsi="Times New Roman"/>
        </w:rPr>
        <w:t xml:space="preserve">. </w:t>
      </w:r>
      <w:r w:rsidR="009C4ACA" w:rsidRPr="007A11CE">
        <w:rPr>
          <w:rFonts w:ascii="Times New Roman" w:hAnsi="Times New Roman"/>
        </w:rPr>
        <w:t>The construction involve</w:t>
      </w:r>
      <w:r w:rsidR="00A928BA" w:rsidRPr="007A11CE">
        <w:rPr>
          <w:rFonts w:ascii="Times New Roman" w:hAnsi="Times New Roman"/>
        </w:rPr>
        <w:t>d</w:t>
      </w:r>
      <w:r w:rsidR="009C4ACA" w:rsidRPr="007A11CE">
        <w:rPr>
          <w:rFonts w:ascii="Times New Roman" w:hAnsi="Times New Roman"/>
        </w:rPr>
        <w:t xml:space="preserve"> nothing more or less than</w:t>
      </w:r>
      <w:r w:rsidR="006F185A" w:rsidRPr="007A11CE">
        <w:rPr>
          <w:rFonts w:ascii="Times New Roman" w:hAnsi="Times New Roman"/>
        </w:rPr>
        <w:t xml:space="preserve"> </w:t>
      </w:r>
      <w:r w:rsidR="00537980" w:rsidRPr="007A11CE">
        <w:rPr>
          <w:rFonts w:ascii="Times New Roman" w:hAnsi="Times New Roman"/>
        </w:rPr>
        <w:t>discernment and application of a standard or criterion</w:t>
      </w:r>
      <w:r w:rsidR="00762AAB" w:rsidRPr="007A11CE">
        <w:rPr>
          <w:rFonts w:ascii="Times New Roman" w:hAnsi="Times New Roman"/>
        </w:rPr>
        <w:t xml:space="preserve"> by which the</w:t>
      </w:r>
      <w:r w:rsidR="006F185A" w:rsidRPr="007A11CE">
        <w:rPr>
          <w:rFonts w:ascii="Times New Roman" w:hAnsi="Times New Roman"/>
        </w:rPr>
        <w:t xml:space="preserve"> </w:t>
      </w:r>
      <w:r w:rsidR="00AB4CD4" w:rsidRPr="007A11CE">
        <w:rPr>
          <w:rFonts w:ascii="Times New Roman" w:hAnsi="Times New Roman"/>
        </w:rPr>
        <w:t xml:space="preserve">generally expressed references in those </w:t>
      </w:r>
      <w:r w:rsidR="004F3AE6" w:rsidRPr="007A11CE">
        <w:rPr>
          <w:rFonts w:ascii="Times New Roman" w:hAnsi="Times New Roman"/>
        </w:rPr>
        <w:t>regulations</w:t>
      </w:r>
      <w:r w:rsidR="00AB4CD4" w:rsidRPr="007A11CE">
        <w:rPr>
          <w:rFonts w:ascii="Times New Roman" w:hAnsi="Times New Roman"/>
        </w:rPr>
        <w:t xml:space="preserve"> </w:t>
      </w:r>
      <w:r w:rsidR="0060211B" w:rsidRPr="007A11CE">
        <w:rPr>
          <w:rFonts w:ascii="Times New Roman" w:hAnsi="Times New Roman"/>
        </w:rPr>
        <w:t xml:space="preserve">– </w:t>
      </w:r>
      <w:r w:rsidR="00AB4CD4" w:rsidRPr="007A11CE">
        <w:rPr>
          <w:rFonts w:ascii="Times New Roman" w:hAnsi="Times New Roman"/>
        </w:rPr>
        <w:t>"deal with", "make available" and "use"</w:t>
      </w:r>
      <w:r w:rsidR="006A6DB3">
        <w:rPr>
          <w:rFonts w:ascii="Times New Roman" w:hAnsi="Times New Roman"/>
        </w:rPr>
        <w:t> </w:t>
      </w:r>
      <w:r w:rsidR="0060211B" w:rsidRPr="007A11CE">
        <w:rPr>
          <w:rFonts w:ascii="Times New Roman" w:hAnsi="Times New Roman"/>
        </w:rPr>
        <w:t xml:space="preserve">– </w:t>
      </w:r>
      <w:r w:rsidR="000A2A31" w:rsidRPr="007A11CE">
        <w:rPr>
          <w:rFonts w:ascii="Times New Roman" w:hAnsi="Times New Roman"/>
        </w:rPr>
        <w:t xml:space="preserve">were to be read </w:t>
      </w:r>
      <w:r w:rsidR="00F1265A" w:rsidRPr="007A11CE">
        <w:rPr>
          <w:rFonts w:ascii="Times New Roman" w:hAnsi="Times New Roman"/>
        </w:rPr>
        <w:t xml:space="preserve">and construed </w:t>
      </w:r>
      <w:r w:rsidR="000A2A31" w:rsidRPr="007A11CE">
        <w:rPr>
          <w:rFonts w:ascii="Times New Roman" w:hAnsi="Times New Roman"/>
        </w:rPr>
        <w:t xml:space="preserve">so as </w:t>
      </w:r>
      <w:r w:rsidR="00F169B4" w:rsidRPr="007A11CE">
        <w:rPr>
          <w:rFonts w:ascii="Times New Roman" w:hAnsi="Times New Roman"/>
        </w:rPr>
        <w:t>to exclude action</w:t>
      </w:r>
      <w:r w:rsidR="008B35F3" w:rsidRPr="007A11CE">
        <w:rPr>
          <w:rFonts w:ascii="Times New Roman" w:hAnsi="Times New Roman"/>
        </w:rPr>
        <w:t>s the</w:t>
      </w:r>
      <w:r w:rsidR="00F169B4" w:rsidRPr="007A11CE">
        <w:rPr>
          <w:rFonts w:ascii="Times New Roman" w:hAnsi="Times New Roman"/>
        </w:rPr>
        <w:t xml:space="preserve"> </w:t>
      </w:r>
      <w:r w:rsidR="00EF3C6F" w:rsidRPr="007A11CE">
        <w:rPr>
          <w:rFonts w:ascii="Times New Roman" w:hAnsi="Times New Roman"/>
        </w:rPr>
        <w:t>prohibition</w:t>
      </w:r>
      <w:r w:rsidR="00543BAD" w:rsidRPr="007A11CE">
        <w:rPr>
          <w:rFonts w:ascii="Times New Roman" w:hAnsi="Times New Roman"/>
        </w:rPr>
        <w:t xml:space="preserve"> of which</w:t>
      </w:r>
      <w:r w:rsidR="00EF3C6F" w:rsidRPr="007A11CE">
        <w:rPr>
          <w:rFonts w:ascii="Times New Roman" w:hAnsi="Times New Roman"/>
        </w:rPr>
        <w:t xml:space="preserve"> </w:t>
      </w:r>
      <w:r w:rsidR="00886B14" w:rsidRPr="007A11CE">
        <w:rPr>
          <w:rFonts w:ascii="Times New Roman" w:hAnsi="Times New Roman"/>
        </w:rPr>
        <w:t>would contravene</w:t>
      </w:r>
      <w:r w:rsidR="00EF3C6F" w:rsidRPr="007A11CE">
        <w:rPr>
          <w:rFonts w:ascii="Times New Roman" w:hAnsi="Times New Roman"/>
        </w:rPr>
        <w:t xml:space="preserve"> </w:t>
      </w:r>
      <w:r w:rsidR="00723DEF" w:rsidRPr="007A11CE">
        <w:rPr>
          <w:rFonts w:ascii="Times New Roman" w:hAnsi="Times New Roman"/>
        </w:rPr>
        <w:t xml:space="preserve">the constitutional limitation identified in </w:t>
      </w:r>
      <w:r w:rsidR="00723DEF" w:rsidRPr="007A11CE">
        <w:rPr>
          <w:rFonts w:ascii="Times New Roman" w:hAnsi="Times New Roman"/>
          <w:i/>
          <w:iCs/>
        </w:rPr>
        <w:t>Graham</w:t>
      </w:r>
      <w:r w:rsidR="00886B14" w:rsidRPr="007A11CE">
        <w:rPr>
          <w:rFonts w:ascii="Times New Roman" w:hAnsi="Times New Roman"/>
        </w:rPr>
        <w:t>.</w:t>
      </w:r>
    </w:p>
    <w:p w14:paraId="4B5F5A88" w14:textId="7099B06D" w:rsidR="000F51A3" w:rsidRPr="007A11CE" w:rsidRDefault="00804989"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836E96" w:rsidRPr="007A11CE">
        <w:rPr>
          <w:rFonts w:ascii="Times New Roman" w:hAnsi="Times New Roman"/>
        </w:rPr>
        <w:t>T</w:t>
      </w:r>
      <w:r w:rsidR="00F341F2" w:rsidRPr="007A11CE">
        <w:rPr>
          <w:rFonts w:ascii="Times New Roman" w:hAnsi="Times New Roman"/>
        </w:rPr>
        <w:t xml:space="preserve">he appellant does not </w:t>
      </w:r>
      <w:r w:rsidR="00E1774A" w:rsidRPr="007A11CE">
        <w:rPr>
          <w:rFonts w:ascii="Times New Roman" w:hAnsi="Times New Roman"/>
        </w:rPr>
        <w:t>suggest</w:t>
      </w:r>
      <w:r w:rsidR="00F341F2" w:rsidRPr="007A11CE">
        <w:rPr>
          <w:rFonts w:ascii="Times New Roman" w:hAnsi="Times New Roman"/>
        </w:rPr>
        <w:t xml:space="preserve"> </w:t>
      </w:r>
      <w:r w:rsidR="00065C97" w:rsidRPr="007A11CE">
        <w:rPr>
          <w:rFonts w:ascii="Times New Roman" w:hAnsi="Times New Roman"/>
        </w:rPr>
        <w:t xml:space="preserve">that </w:t>
      </w:r>
      <w:r w:rsidR="006D0954" w:rsidRPr="007A11CE">
        <w:rPr>
          <w:rFonts w:ascii="Times New Roman" w:hAnsi="Times New Roman"/>
        </w:rPr>
        <w:t xml:space="preserve">some other </w:t>
      </w:r>
      <w:r w:rsidR="00E55232" w:rsidRPr="007A11CE">
        <w:rPr>
          <w:rFonts w:ascii="Times New Roman" w:hAnsi="Times New Roman"/>
        </w:rPr>
        <w:t xml:space="preserve">constitutionally permissible construction </w:t>
      </w:r>
      <w:r w:rsidR="00065C97" w:rsidRPr="007A11CE">
        <w:rPr>
          <w:rFonts w:ascii="Times New Roman" w:hAnsi="Times New Roman"/>
        </w:rPr>
        <w:t>is</w:t>
      </w:r>
      <w:r w:rsidR="00C36DF1" w:rsidRPr="007A11CE">
        <w:rPr>
          <w:rFonts w:ascii="Times New Roman" w:hAnsi="Times New Roman"/>
        </w:rPr>
        <w:t xml:space="preserve"> </w:t>
      </w:r>
      <w:r w:rsidR="0077231F" w:rsidRPr="007A11CE">
        <w:rPr>
          <w:rFonts w:ascii="Times New Roman" w:hAnsi="Times New Roman"/>
        </w:rPr>
        <w:t>preferable</w:t>
      </w:r>
      <w:r w:rsidR="0071744B" w:rsidRPr="007A11CE">
        <w:rPr>
          <w:rFonts w:ascii="Times New Roman" w:hAnsi="Times New Roman"/>
        </w:rPr>
        <w:t xml:space="preserve">. </w:t>
      </w:r>
      <w:r w:rsidR="0024099F" w:rsidRPr="007A11CE">
        <w:rPr>
          <w:rFonts w:ascii="Times New Roman" w:hAnsi="Times New Roman"/>
        </w:rPr>
        <w:t>H</w:t>
      </w:r>
      <w:r w:rsidR="00956F90" w:rsidRPr="007A11CE">
        <w:rPr>
          <w:rFonts w:ascii="Times New Roman" w:hAnsi="Times New Roman"/>
        </w:rPr>
        <w:t>is argument</w:t>
      </w:r>
      <w:r w:rsidR="00964F65" w:rsidRPr="007A11CE">
        <w:rPr>
          <w:rFonts w:ascii="Times New Roman" w:hAnsi="Times New Roman"/>
        </w:rPr>
        <w:t xml:space="preserve"> </w:t>
      </w:r>
      <w:r w:rsidR="00956F90" w:rsidRPr="007A11CE">
        <w:rPr>
          <w:rFonts w:ascii="Times New Roman" w:hAnsi="Times New Roman"/>
        </w:rPr>
        <w:t xml:space="preserve">that </w:t>
      </w:r>
      <w:r w:rsidR="006F72C2" w:rsidRPr="007A11CE">
        <w:rPr>
          <w:rFonts w:ascii="Times New Roman" w:hAnsi="Times New Roman"/>
        </w:rPr>
        <w:t>no constitutionally permissible construction</w:t>
      </w:r>
      <w:r w:rsidR="00964F65" w:rsidRPr="007A11CE">
        <w:rPr>
          <w:rFonts w:ascii="Times New Roman" w:hAnsi="Times New Roman"/>
        </w:rPr>
        <w:t xml:space="preserve"> is available </w:t>
      </w:r>
      <w:r w:rsidR="00574098" w:rsidRPr="007A11CE">
        <w:rPr>
          <w:rFonts w:ascii="Times New Roman" w:hAnsi="Times New Roman"/>
        </w:rPr>
        <w:t xml:space="preserve">under s 15A </w:t>
      </w:r>
      <w:r w:rsidR="00AF1479" w:rsidRPr="007A11CE">
        <w:rPr>
          <w:rFonts w:ascii="Times New Roman" w:hAnsi="Times New Roman"/>
        </w:rPr>
        <w:t>must be</w:t>
      </w:r>
      <w:r w:rsidR="00EF481D" w:rsidRPr="007A11CE">
        <w:rPr>
          <w:rFonts w:ascii="Times New Roman" w:hAnsi="Times New Roman"/>
        </w:rPr>
        <w:t xml:space="preserve"> </w:t>
      </w:r>
      <w:r w:rsidR="007C1690" w:rsidRPr="007A11CE">
        <w:rPr>
          <w:rFonts w:ascii="Times New Roman" w:hAnsi="Times New Roman"/>
        </w:rPr>
        <w:t>rejected</w:t>
      </w:r>
      <w:r w:rsidR="00E145E8" w:rsidRPr="007A11CE">
        <w:rPr>
          <w:rFonts w:ascii="Times New Roman" w:hAnsi="Times New Roman"/>
        </w:rPr>
        <w:t xml:space="preserve">. </w:t>
      </w:r>
    </w:p>
    <w:p w14:paraId="7EEB68F5" w14:textId="30B114ED" w:rsidR="00804989" w:rsidRPr="007A11CE" w:rsidRDefault="000F51A3"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AB495A" w:rsidRPr="007A11CE">
        <w:rPr>
          <w:rFonts w:ascii="Times New Roman" w:hAnsi="Times New Roman"/>
        </w:rPr>
        <w:t xml:space="preserve">To construe </w:t>
      </w:r>
      <w:r w:rsidR="00E145E8" w:rsidRPr="007A11CE">
        <w:rPr>
          <w:rFonts w:ascii="Times New Roman" w:hAnsi="Times New Roman"/>
        </w:rPr>
        <w:t>regs</w:t>
      </w:r>
      <w:r w:rsidR="00C04D1E" w:rsidRPr="007A11CE">
        <w:rPr>
          <w:rFonts w:ascii="Times New Roman" w:hAnsi="Times New Roman"/>
        </w:rPr>
        <w:t> </w:t>
      </w:r>
      <w:r w:rsidR="00E145E8" w:rsidRPr="007A11CE">
        <w:rPr>
          <w:rFonts w:ascii="Times New Roman" w:hAnsi="Times New Roman"/>
        </w:rPr>
        <w:t>14 and 15 of the Regulations</w:t>
      </w:r>
      <w:r w:rsidR="00C07A47" w:rsidRPr="007A11CE">
        <w:rPr>
          <w:rFonts w:ascii="Times New Roman" w:hAnsi="Times New Roman"/>
        </w:rPr>
        <w:t xml:space="preserve"> </w:t>
      </w:r>
      <w:r w:rsidR="00D12F3F" w:rsidRPr="007A11CE">
        <w:rPr>
          <w:rFonts w:ascii="Times New Roman" w:hAnsi="Times New Roman"/>
        </w:rPr>
        <w:t>to</w:t>
      </w:r>
      <w:r w:rsidR="00AB495A" w:rsidRPr="007A11CE">
        <w:rPr>
          <w:rFonts w:ascii="Times New Roman" w:hAnsi="Times New Roman"/>
        </w:rPr>
        <w:t xml:space="preserve"> hav</w:t>
      </w:r>
      <w:r w:rsidR="00D12F3F" w:rsidRPr="007A11CE">
        <w:rPr>
          <w:rFonts w:ascii="Times New Roman" w:hAnsi="Times New Roman"/>
        </w:rPr>
        <w:t>e</w:t>
      </w:r>
      <w:r w:rsidR="00AB495A" w:rsidRPr="007A11CE">
        <w:rPr>
          <w:rFonts w:ascii="Times New Roman" w:hAnsi="Times New Roman"/>
        </w:rPr>
        <w:t xml:space="preserve"> no application to actions taken for the objective purpose of challenging the validity of decisions or actions under the Act pursuant to s</w:t>
      </w:r>
      <w:r w:rsidR="00ED233A" w:rsidRPr="007A11CE">
        <w:rPr>
          <w:rFonts w:ascii="Times New Roman" w:hAnsi="Times New Roman"/>
        </w:rPr>
        <w:t> </w:t>
      </w:r>
      <w:r w:rsidR="00AB495A" w:rsidRPr="007A11CE">
        <w:rPr>
          <w:rFonts w:ascii="Times New Roman" w:hAnsi="Times New Roman"/>
        </w:rPr>
        <w:t xml:space="preserve">75(v) of the </w:t>
      </w:r>
      <w:r w:rsidR="00AB495A" w:rsidRPr="007A11CE">
        <w:rPr>
          <w:rFonts w:ascii="Times New Roman" w:hAnsi="Times New Roman"/>
          <w:i/>
        </w:rPr>
        <w:t>Constitution</w:t>
      </w:r>
      <w:r w:rsidR="00AB495A" w:rsidRPr="007A11CE">
        <w:rPr>
          <w:rFonts w:ascii="Times New Roman" w:hAnsi="Times New Roman"/>
        </w:rPr>
        <w:t xml:space="preserve"> or s</w:t>
      </w:r>
      <w:r w:rsidR="00ED233A" w:rsidRPr="007A11CE">
        <w:rPr>
          <w:rFonts w:ascii="Times New Roman" w:hAnsi="Times New Roman"/>
        </w:rPr>
        <w:t> </w:t>
      </w:r>
      <w:r w:rsidR="00AB495A" w:rsidRPr="007A11CE">
        <w:rPr>
          <w:rFonts w:ascii="Times New Roman" w:hAnsi="Times New Roman"/>
        </w:rPr>
        <w:t xml:space="preserve">39B of the </w:t>
      </w:r>
      <w:r w:rsidR="00AB495A" w:rsidRPr="007A11CE">
        <w:rPr>
          <w:rFonts w:ascii="Times New Roman" w:hAnsi="Times New Roman"/>
          <w:i/>
          <w:iCs/>
        </w:rPr>
        <w:t>Judiciary Act</w:t>
      </w:r>
      <w:r w:rsidR="00E92A34" w:rsidRPr="007A11CE">
        <w:rPr>
          <w:rFonts w:ascii="Times New Roman" w:hAnsi="Times New Roman"/>
        </w:rPr>
        <w:t xml:space="preserve"> is to construe </w:t>
      </w:r>
      <w:r w:rsidR="00B934A1" w:rsidRPr="007A11CE">
        <w:rPr>
          <w:rFonts w:ascii="Times New Roman" w:hAnsi="Times New Roman"/>
        </w:rPr>
        <w:t>those regulations in a manner</w:t>
      </w:r>
      <w:r w:rsidR="004B5849" w:rsidRPr="007A11CE">
        <w:rPr>
          <w:rFonts w:ascii="Times New Roman" w:hAnsi="Times New Roman"/>
        </w:rPr>
        <w:t xml:space="preserve"> that is not only</w:t>
      </w:r>
      <w:r w:rsidR="00B934A1" w:rsidRPr="007A11CE">
        <w:rPr>
          <w:rFonts w:ascii="Times New Roman" w:hAnsi="Times New Roman"/>
        </w:rPr>
        <w:t xml:space="preserve"> </w:t>
      </w:r>
      <w:r w:rsidR="00BC3594" w:rsidRPr="007A11CE">
        <w:rPr>
          <w:rFonts w:ascii="Times New Roman" w:hAnsi="Times New Roman"/>
        </w:rPr>
        <w:t xml:space="preserve">faithful to the </w:t>
      </w:r>
      <w:r w:rsidR="009028D0" w:rsidRPr="007A11CE">
        <w:rPr>
          <w:rFonts w:ascii="Times New Roman" w:hAnsi="Times New Roman"/>
        </w:rPr>
        <w:t>constructional imperative</w:t>
      </w:r>
      <w:r w:rsidR="00BC3594" w:rsidRPr="007A11CE">
        <w:rPr>
          <w:rFonts w:ascii="Times New Roman" w:hAnsi="Times New Roman"/>
        </w:rPr>
        <w:t xml:space="preserve"> of s</w:t>
      </w:r>
      <w:r w:rsidR="00ED233A" w:rsidRPr="007A11CE">
        <w:rPr>
          <w:rFonts w:ascii="Times New Roman" w:hAnsi="Times New Roman"/>
        </w:rPr>
        <w:t> </w:t>
      </w:r>
      <w:r w:rsidR="00BC3594" w:rsidRPr="007A11CE">
        <w:rPr>
          <w:rFonts w:ascii="Times New Roman" w:hAnsi="Times New Roman"/>
        </w:rPr>
        <w:t>15A of</w:t>
      </w:r>
      <w:r w:rsidR="00197466" w:rsidRPr="007A11CE">
        <w:rPr>
          <w:rFonts w:ascii="Times New Roman" w:hAnsi="Times New Roman"/>
        </w:rPr>
        <w:t xml:space="preserve"> the </w:t>
      </w:r>
      <w:r w:rsidR="00197466" w:rsidRPr="007A11CE">
        <w:rPr>
          <w:rFonts w:ascii="Times New Roman" w:hAnsi="Times New Roman"/>
          <w:i/>
          <w:iCs/>
        </w:rPr>
        <w:t>Acts Interpretation Act</w:t>
      </w:r>
      <w:r w:rsidR="00197466" w:rsidRPr="007A11CE">
        <w:rPr>
          <w:rFonts w:ascii="Times New Roman" w:hAnsi="Times New Roman"/>
        </w:rPr>
        <w:t xml:space="preserve"> but also </w:t>
      </w:r>
      <w:r w:rsidR="00C66D4A" w:rsidRPr="007A11CE">
        <w:rPr>
          <w:rFonts w:ascii="Times New Roman" w:hAnsi="Times New Roman"/>
        </w:rPr>
        <w:t xml:space="preserve">consistent with the </w:t>
      </w:r>
      <w:r w:rsidR="00E63C74" w:rsidRPr="007A11CE">
        <w:rPr>
          <w:rFonts w:ascii="Times New Roman" w:hAnsi="Times New Roman"/>
        </w:rPr>
        <w:t>context and</w:t>
      </w:r>
      <w:r w:rsidR="00146EC8" w:rsidRPr="007A11CE">
        <w:rPr>
          <w:rFonts w:ascii="Times New Roman" w:hAnsi="Times New Roman"/>
        </w:rPr>
        <w:t xml:space="preserve"> </w:t>
      </w:r>
      <w:r w:rsidR="00CC210E" w:rsidRPr="007A11CE">
        <w:rPr>
          <w:rFonts w:ascii="Times New Roman" w:hAnsi="Times New Roman"/>
        </w:rPr>
        <w:t>purpose of those regu</w:t>
      </w:r>
      <w:r w:rsidR="00D21201" w:rsidRPr="007A11CE">
        <w:rPr>
          <w:rFonts w:ascii="Times New Roman" w:hAnsi="Times New Roman"/>
        </w:rPr>
        <w:t>lations.</w:t>
      </w:r>
      <w:r w:rsidR="00C47355" w:rsidRPr="007A11CE">
        <w:rPr>
          <w:rFonts w:ascii="Times New Roman" w:hAnsi="Times New Roman"/>
        </w:rPr>
        <w:t xml:space="preserve"> The resultant cri</w:t>
      </w:r>
      <w:r w:rsidR="00DC79ED" w:rsidRPr="007A11CE">
        <w:rPr>
          <w:rFonts w:ascii="Times New Roman" w:hAnsi="Times New Roman"/>
        </w:rPr>
        <w:t xml:space="preserve">terion </w:t>
      </w:r>
      <w:r w:rsidR="00DC3541" w:rsidRPr="007A11CE">
        <w:rPr>
          <w:rFonts w:ascii="Times New Roman" w:hAnsi="Times New Roman"/>
        </w:rPr>
        <w:t xml:space="preserve">for </w:t>
      </w:r>
      <w:r w:rsidR="003D1438" w:rsidRPr="007A11CE">
        <w:rPr>
          <w:rFonts w:ascii="Times New Roman" w:hAnsi="Times New Roman"/>
        </w:rPr>
        <w:t>the application of regs</w:t>
      </w:r>
      <w:r w:rsidR="005E4A66" w:rsidRPr="007A11CE">
        <w:rPr>
          <w:rFonts w:ascii="Times New Roman" w:hAnsi="Times New Roman"/>
        </w:rPr>
        <w:t> </w:t>
      </w:r>
      <w:r w:rsidR="003D1438" w:rsidRPr="007A11CE">
        <w:rPr>
          <w:rFonts w:ascii="Times New Roman" w:hAnsi="Times New Roman"/>
        </w:rPr>
        <w:t>14 and 15</w:t>
      </w:r>
      <w:r w:rsidR="00E802A3" w:rsidRPr="007A11CE">
        <w:rPr>
          <w:rFonts w:ascii="Times New Roman" w:hAnsi="Times New Roman"/>
        </w:rPr>
        <w:t xml:space="preserve">, expressed </w:t>
      </w:r>
      <w:r w:rsidR="002A2C87" w:rsidRPr="007A11CE">
        <w:rPr>
          <w:rFonts w:ascii="Times New Roman" w:hAnsi="Times New Roman"/>
        </w:rPr>
        <w:t xml:space="preserve">by reference to the </w:t>
      </w:r>
      <w:r w:rsidR="0062772C" w:rsidRPr="007A11CE">
        <w:rPr>
          <w:rFonts w:ascii="Times New Roman" w:hAnsi="Times New Roman"/>
        </w:rPr>
        <w:t>objective purpose</w:t>
      </w:r>
      <w:r w:rsidR="00E802A3" w:rsidRPr="007A11CE">
        <w:rPr>
          <w:rFonts w:ascii="Times New Roman" w:hAnsi="Times New Roman"/>
        </w:rPr>
        <w:t xml:space="preserve"> </w:t>
      </w:r>
      <w:r w:rsidR="00455E4A" w:rsidRPr="007A11CE">
        <w:rPr>
          <w:rFonts w:ascii="Times New Roman" w:hAnsi="Times New Roman"/>
        </w:rPr>
        <w:t>of the action which would otherwise contravene th</w:t>
      </w:r>
      <w:r w:rsidR="00B60791" w:rsidRPr="007A11CE">
        <w:rPr>
          <w:rFonts w:ascii="Times New Roman" w:hAnsi="Times New Roman"/>
        </w:rPr>
        <w:t>ose regulations</w:t>
      </w:r>
      <w:r w:rsidR="00455E4A" w:rsidRPr="007A11CE">
        <w:rPr>
          <w:rFonts w:ascii="Times New Roman" w:hAnsi="Times New Roman"/>
        </w:rPr>
        <w:t>, is</w:t>
      </w:r>
      <w:r w:rsidR="0019121C" w:rsidRPr="007A11CE">
        <w:rPr>
          <w:rFonts w:ascii="Times New Roman" w:hAnsi="Times New Roman"/>
        </w:rPr>
        <w:t xml:space="preserve"> both legislatively coherent and judicially workable.</w:t>
      </w:r>
    </w:p>
    <w:p w14:paraId="7EABB7FC" w14:textId="7E49FBBD" w:rsidR="00EF481D" w:rsidRPr="007A11CE" w:rsidRDefault="007C1690" w:rsidP="007A11CE">
      <w:pPr>
        <w:pStyle w:val="FixListStyle"/>
        <w:spacing w:after="260" w:line="280" w:lineRule="exact"/>
        <w:ind w:right="0"/>
        <w:jc w:val="both"/>
        <w:rPr>
          <w:rFonts w:ascii="Times New Roman" w:hAnsi="Times New Roman"/>
        </w:rPr>
      </w:pPr>
      <w:r w:rsidRPr="007A11CE">
        <w:rPr>
          <w:rFonts w:ascii="Times New Roman" w:hAnsi="Times New Roman"/>
        </w:rPr>
        <w:tab/>
        <w:t xml:space="preserve">To the extent </w:t>
      </w:r>
      <w:r w:rsidR="00935793" w:rsidRPr="007A11CE">
        <w:rPr>
          <w:rFonts w:ascii="Times New Roman" w:hAnsi="Times New Roman"/>
        </w:rPr>
        <w:t xml:space="preserve">that </w:t>
      </w:r>
      <w:r w:rsidRPr="007A11CE">
        <w:rPr>
          <w:rFonts w:ascii="Times New Roman" w:hAnsi="Times New Roman"/>
        </w:rPr>
        <w:t xml:space="preserve">the </w:t>
      </w:r>
      <w:r w:rsidR="004359BF" w:rsidRPr="007A11CE">
        <w:rPr>
          <w:rFonts w:ascii="Times New Roman" w:hAnsi="Times New Roman"/>
        </w:rPr>
        <w:t xml:space="preserve">appellant </w:t>
      </w:r>
      <w:r w:rsidR="0005356E" w:rsidRPr="007A11CE">
        <w:rPr>
          <w:rFonts w:ascii="Times New Roman" w:hAnsi="Times New Roman"/>
        </w:rPr>
        <w:t>challenge</w:t>
      </w:r>
      <w:r w:rsidR="004359BF" w:rsidRPr="007A11CE">
        <w:rPr>
          <w:rFonts w:ascii="Times New Roman" w:hAnsi="Times New Roman"/>
        </w:rPr>
        <w:t xml:space="preserve">s </w:t>
      </w:r>
      <w:r w:rsidR="0005356E" w:rsidRPr="007A11CE">
        <w:rPr>
          <w:rFonts w:ascii="Times New Roman" w:hAnsi="Times New Roman"/>
        </w:rPr>
        <w:t xml:space="preserve">the efficacy of </w:t>
      </w:r>
      <w:r w:rsidR="00F96057" w:rsidRPr="007A11CE">
        <w:rPr>
          <w:rFonts w:ascii="Times New Roman" w:hAnsi="Times New Roman"/>
        </w:rPr>
        <w:t xml:space="preserve">the </w:t>
      </w:r>
      <w:r w:rsidR="00956148" w:rsidRPr="007A11CE">
        <w:rPr>
          <w:rFonts w:ascii="Times New Roman" w:hAnsi="Times New Roman"/>
        </w:rPr>
        <w:t>resultant criterion for the application of regs</w:t>
      </w:r>
      <w:r w:rsidR="005E4A66" w:rsidRPr="007A11CE">
        <w:rPr>
          <w:rFonts w:ascii="Times New Roman" w:hAnsi="Times New Roman"/>
        </w:rPr>
        <w:t> </w:t>
      </w:r>
      <w:r w:rsidR="00956148" w:rsidRPr="007A11CE">
        <w:rPr>
          <w:rFonts w:ascii="Times New Roman" w:hAnsi="Times New Roman"/>
        </w:rPr>
        <w:t xml:space="preserve">14 and 15 of the Regulations </w:t>
      </w:r>
      <w:r w:rsidR="0005356E" w:rsidRPr="007A11CE">
        <w:rPr>
          <w:rFonts w:ascii="Times New Roman" w:hAnsi="Times New Roman"/>
        </w:rPr>
        <w:t>to prevent the</w:t>
      </w:r>
      <w:r w:rsidR="00F96057" w:rsidRPr="007A11CE">
        <w:rPr>
          <w:rFonts w:ascii="Times New Roman" w:hAnsi="Times New Roman"/>
        </w:rPr>
        <w:t>ir</w:t>
      </w:r>
      <w:r w:rsidR="0005356E" w:rsidRPr="007A11CE">
        <w:rPr>
          <w:rFonts w:ascii="Times New Roman" w:hAnsi="Times New Roman"/>
        </w:rPr>
        <w:t xml:space="preserve"> practical operation transgressing the constitutional limitation</w:t>
      </w:r>
      <w:r w:rsidR="004D027D" w:rsidRPr="007A11CE">
        <w:rPr>
          <w:rFonts w:ascii="Times New Roman" w:hAnsi="Times New Roman"/>
        </w:rPr>
        <w:t xml:space="preserve"> identified in </w:t>
      </w:r>
      <w:r w:rsidR="004D027D" w:rsidRPr="007A11CE">
        <w:rPr>
          <w:rFonts w:ascii="Times New Roman" w:hAnsi="Times New Roman"/>
          <w:i/>
          <w:iCs/>
        </w:rPr>
        <w:t>Graham</w:t>
      </w:r>
      <w:r w:rsidR="004D027D" w:rsidRPr="007A11CE">
        <w:rPr>
          <w:rFonts w:ascii="Times New Roman" w:hAnsi="Times New Roman"/>
        </w:rPr>
        <w:t xml:space="preserve">, </w:t>
      </w:r>
      <w:r w:rsidR="00935793" w:rsidRPr="007A11CE">
        <w:rPr>
          <w:rFonts w:ascii="Times New Roman" w:hAnsi="Times New Roman"/>
        </w:rPr>
        <w:t>two responses are appropri</w:t>
      </w:r>
      <w:r w:rsidR="00A340F5" w:rsidRPr="007A11CE">
        <w:rPr>
          <w:rFonts w:ascii="Times New Roman" w:hAnsi="Times New Roman"/>
        </w:rPr>
        <w:t>ate.</w:t>
      </w:r>
      <w:r w:rsidR="00455BF3" w:rsidRPr="007A11CE">
        <w:rPr>
          <w:rFonts w:ascii="Times New Roman" w:hAnsi="Times New Roman"/>
        </w:rPr>
        <w:t xml:space="preserve"> </w:t>
      </w:r>
      <w:r w:rsidR="006D28D1" w:rsidRPr="007A11CE">
        <w:rPr>
          <w:rFonts w:ascii="Times New Roman" w:hAnsi="Times New Roman"/>
        </w:rPr>
        <w:t xml:space="preserve">One is that </w:t>
      </w:r>
      <w:r w:rsidR="00232BD1" w:rsidRPr="007A11CE">
        <w:rPr>
          <w:rFonts w:ascii="Times New Roman" w:hAnsi="Times New Roman"/>
        </w:rPr>
        <w:t xml:space="preserve">the criterion itself must be </w:t>
      </w:r>
      <w:r w:rsidR="005E4A17" w:rsidRPr="007A11CE">
        <w:rPr>
          <w:rFonts w:ascii="Times New Roman" w:hAnsi="Times New Roman"/>
        </w:rPr>
        <w:t>purposively construed to exclude action</w:t>
      </w:r>
      <w:r w:rsidR="00134C19" w:rsidRPr="007A11CE">
        <w:rPr>
          <w:rFonts w:ascii="Times New Roman" w:hAnsi="Times New Roman"/>
        </w:rPr>
        <w:t>s the</w:t>
      </w:r>
      <w:r w:rsidR="005E4A17" w:rsidRPr="007A11CE">
        <w:rPr>
          <w:rFonts w:ascii="Times New Roman" w:hAnsi="Times New Roman"/>
        </w:rPr>
        <w:t xml:space="preserve"> prohibition of which would contravene the constitutional limitation identified in </w:t>
      </w:r>
      <w:r w:rsidR="005E4A17" w:rsidRPr="007A11CE">
        <w:rPr>
          <w:rFonts w:ascii="Times New Roman" w:hAnsi="Times New Roman"/>
          <w:i/>
          <w:iCs/>
        </w:rPr>
        <w:t>Graham</w:t>
      </w:r>
      <w:r w:rsidR="005E4A17" w:rsidRPr="007A11CE">
        <w:rPr>
          <w:rFonts w:ascii="Times New Roman" w:hAnsi="Times New Roman"/>
        </w:rPr>
        <w:t xml:space="preserve">. </w:t>
      </w:r>
      <w:r w:rsidR="0082582E" w:rsidRPr="007A11CE">
        <w:rPr>
          <w:rFonts w:ascii="Times New Roman" w:hAnsi="Times New Roman"/>
        </w:rPr>
        <w:t xml:space="preserve">There is no reason to </w:t>
      </w:r>
      <w:r w:rsidR="00700E4E" w:rsidRPr="007A11CE">
        <w:rPr>
          <w:rFonts w:ascii="Times New Roman" w:hAnsi="Times New Roman"/>
        </w:rPr>
        <w:t>treat the criterion</w:t>
      </w:r>
      <w:r w:rsidR="0082582E" w:rsidRPr="007A11CE">
        <w:rPr>
          <w:rFonts w:ascii="Times New Roman" w:hAnsi="Times New Roman"/>
        </w:rPr>
        <w:t xml:space="preserve"> </w:t>
      </w:r>
      <w:r w:rsidR="008F6B24" w:rsidRPr="007A11CE">
        <w:rPr>
          <w:rFonts w:ascii="Times New Roman" w:hAnsi="Times New Roman"/>
        </w:rPr>
        <w:t xml:space="preserve">as incapable of excluding action </w:t>
      </w:r>
      <w:r w:rsidR="00015C3B" w:rsidRPr="007A11CE">
        <w:rPr>
          <w:rFonts w:ascii="Times New Roman" w:hAnsi="Times New Roman"/>
        </w:rPr>
        <w:t xml:space="preserve">(such as the seeking of initial legal advice) that </w:t>
      </w:r>
      <w:r w:rsidR="00084B1C" w:rsidRPr="007A11CE">
        <w:rPr>
          <w:rFonts w:ascii="Times New Roman" w:hAnsi="Times New Roman"/>
        </w:rPr>
        <w:t xml:space="preserve">is </w:t>
      </w:r>
      <w:r w:rsidR="009D58D6" w:rsidRPr="007A11CE">
        <w:rPr>
          <w:rFonts w:ascii="Times New Roman" w:hAnsi="Times New Roman"/>
        </w:rPr>
        <w:t xml:space="preserve">objectively characterisable as </w:t>
      </w:r>
      <w:r w:rsidR="008F6B24" w:rsidRPr="007A11CE">
        <w:rPr>
          <w:rFonts w:ascii="Times New Roman" w:hAnsi="Times New Roman"/>
        </w:rPr>
        <w:t xml:space="preserve">preliminary </w:t>
      </w:r>
      <w:r w:rsidR="00015C3B" w:rsidRPr="007A11CE">
        <w:rPr>
          <w:rFonts w:ascii="Times New Roman" w:hAnsi="Times New Roman"/>
        </w:rPr>
        <w:t>or ancillary to</w:t>
      </w:r>
      <w:r w:rsidR="00A01AC9" w:rsidRPr="007A11CE">
        <w:rPr>
          <w:rFonts w:ascii="Times New Roman" w:hAnsi="Times New Roman"/>
        </w:rPr>
        <w:t xml:space="preserve"> </w:t>
      </w:r>
      <w:r w:rsidR="00C05EF6" w:rsidRPr="007A11CE">
        <w:rPr>
          <w:rFonts w:ascii="Times New Roman" w:hAnsi="Times New Roman"/>
        </w:rPr>
        <w:t xml:space="preserve">potentially </w:t>
      </w:r>
      <w:r w:rsidR="00A01AC9" w:rsidRPr="007A11CE">
        <w:rPr>
          <w:rFonts w:ascii="Times New Roman" w:hAnsi="Times New Roman"/>
        </w:rPr>
        <w:t>challenging the validity of decisions or actions under the Act</w:t>
      </w:r>
      <w:r w:rsidR="00084B1C" w:rsidRPr="007A11CE">
        <w:rPr>
          <w:rFonts w:ascii="Times New Roman" w:hAnsi="Times New Roman"/>
        </w:rPr>
        <w:t xml:space="preserve"> pursuant to s</w:t>
      </w:r>
      <w:r w:rsidR="00541AA1" w:rsidRPr="007A11CE">
        <w:rPr>
          <w:rFonts w:ascii="Times New Roman" w:hAnsi="Times New Roman"/>
        </w:rPr>
        <w:t> </w:t>
      </w:r>
      <w:r w:rsidR="00084B1C" w:rsidRPr="007A11CE">
        <w:rPr>
          <w:rFonts w:ascii="Times New Roman" w:hAnsi="Times New Roman"/>
        </w:rPr>
        <w:t xml:space="preserve">75(v) of the </w:t>
      </w:r>
      <w:r w:rsidR="00084B1C" w:rsidRPr="007A11CE">
        <w:rPr>
          <w:rFonts w:ascii="Times New Roman" w:hAnsi="Times New Roman"/>
          <w:i/>
        </w:rPr>
        <w:t>Constitution</w:t>
      </w:r>
      <w:r w:rsidR="00084B1C" w:rsidRPr="007A11CE">
        <w:rPr>
          <w:rFonts w:ascii="Times New Roman" w:hAnsi="Times New Roman"/>
        </w:rPr>
        <w:t xml:space="preserve"> or s</w:t>
      </w:r>
      <w:r w:rsidR="00541AA1" w:rsidRPr="007A11CE">
        <w:rPr>
          <w:rFonts w:ascii="Times New Roman" w:hAnsi="Times New Roman"/>
        </w:rPr>
        <w:t> </w:t>
      </w:r>
      <w:r w:rsidR="00084B1C" w:rsidRPr="007A11CE">
        <w:rPr>
          <w:rFonts w:ascii="Times New Roman" w:hAnsi="Times New Roman"/>
        </w:rPr>
        <w:t xml:space="preserve">39B of the </w:t>
      </w:r>
      <w:r w:rsidR="00084B1C" w:rsidRPr="007A11CE">
        <w:rPr>
          <w:rFonts w:ascii="Times New Roman" w:hAnsi="Times New Roman"/>
          <w:i/>
          <w:iCs/>
        </w:rPr>
        <w:t>Judiciary Act</w:t>
      </w:r>
      <w:r w:rsidR="00541AA1" w:rsidRPr="007A11CE">
        <w:rPr>
          <w:rFonts w:ascii="Times New Roman" w:hAnsi="Times New Roman"/>
        </w:rPr>
        <w:t xml:space="preserve"> whether or not the </w:t>
      </w:r>
      <w:r w:rsidR="000623D1" w:rsidRPr="007A11CE">
        <w:rPr>
          <w:rFonts w:ascii="Times New Roman" w:hAnsi="Times New Roman"/>
        </w:rPr>
        <w:t>designated</w:t>
      </w:r>
      <w:r w:rsidR="005439E9" w:rsidRPr="007A11CE">
        <w:rPr>
          <w:rFonts w:ascii="Times New Roman" w:hAnsi="Times New Roman"/>
        </w:rPr>
        <w:t xml:space="preserve"> </w:t>
      </w:r>
      <w:r w:rsidR="0067041F" w:rsidRPr="007A11CE">
        <w:rPr>
          <w:rFonts w:ascii="Times New Roman" w:hAnsi="Times New Roman"/>
        </w:rPr>
        <w:t xml:space="preserve">person or other person </w:t>
      </w:r>
      <w:r w:rsidR="00912C2B" w:rsidRPr="007A11CE">
        <w:rPr>
          <w:rFonts w:ascii="Times New Roman" w:hAnsi="Times New Roman"/>
        </w:rPr>
        <w:t xml:space="preserve">knows </w:t>
      </w:r>
      <w:r w:rsidR="0067041F" w:rsidRPr="007A11CE">
        <w:rPr>
          <w:rFonts w:ascii="Times New Roman" w:hAnsi="Times New Roman"/>
        </w:rPr>
        <w:t>of th</w:t>
      </w:r>
      <w:r w:rsidR="00912C2B" w:rsidRPr="007A11CE">
        <w:rPr>
          <w:rFonts w:ascii="Times New Roman" w:hAnsi="Times New Roman"/>
        </w:rPr>
        <w:t>os</w:t>
      </w:r>
      <w:r w:rsidR="0067041F" w:rsidRPr="007A11CE">
        <w:rPr>
          <w:rFonts w:ascii="Times New Roman" w:hAnsi="Times New Roman"/>
        </w:rPr>
        <w:t xml:space="preserve">e </w:t>
      </w:r>
      <w:r w:rsidR="00CC64D0" w:rsidRPr="007A11CE">
        <w:rPr>
          <w:rFonts w:ascii="Times New Roman" w:hAnsi="Times New Roman"/>
        </w:rPr>
        <w:t xml:space="preserve">provisions or </w:t>
      </w:r>
      <w:r w:rsidR="008779A7" w:rsidRPr="007A11CE">
        <w:rPr>
          <w:rFonts w:ascii="Times New Roman" w:hAnsi="Times New Roman"/>
        </w:rPr>
        <w:t>their scope</w:t>
      </w:r>
      <w:r w:rsidR="009657E4" w:rsidRPr="007A11CE">
        <w:rPr>
          <w:rFonts w:ascii="Times New Roman" w:hAnsi="Times New Roman"/>
        </w:rPr>
        <w:t xml:space="preserve"> </w:t>
      </w:r>
      <w:r w:rsidR="00A74298" w:rsidRPr="007A11CE">
        <w:rPr>
          <w:rFonts w:ascii="Times New Roman" w:hAnsi="Times New Roman"/>
        </w:rPr>
        <w:t xml:space="preserve">and </w:t>
      </w:r>
      <w:r w:rsidR="00A74298" w:rsidRPr="007A11CE">
        <w:rPr>
          <w:rFonts w:ascii="Times New Roman" w:hAnsi="Times New Roman"/>
        </w:rPr>
        <w:lastRenderedPageBreak/>
        <w:t xml:space="preserve">whether or not any such challenge is </w:t>
      </w:r>
      <w:r w:rsidR="00B86CEE" w:rsidRPr="007A11CE">
        <w:rPr>
          <w:rFonts w:ascii="Times New Roman" w:hAnsi="Times New Roman"/>
        </w:rPr>
        <w:t>available or taken</w:t>
      </w:r>
      <w:r w:rsidR="00084B1C" w:rsidRPr="007A11CE">
        <w:rPr>
          <w:rFonts w:ascii="Times New Roman" w:hAnsi="Times New Roman"/>
        </w:rPr>
        <w:t>.</w:t>
      </w:r>
      <w:r w:rsidR="00015C3B" w:rsidRPr="007A11CE">
        <w:rPr>
          <w:rFonts w:ascii="Times New Roman" w:hAnsi="Times New Roman"/>
        </w:rPr>
        <w:t xml:space="preserve"> </w:t>
      </w:r>
      <w:r w:rsidR="00B86CEE" w:rsidRPr="007A11CE">
        <w:rPr>
          <w:rFonts w:ascii="Times New Roman" w:hAnsi="Times New Roman"/>
        </w:rPr>
        <w:t xml:space="preserve">No such circumstance would alter the character of the action as being other than for the objective purpose of </w:t>
      </w:r>
      <w:r w:rsidR="002F2778" w:rsidRPr="007A11CE">
        <w:rPr>
          <w:rFonts w:ascii="Times New Roman" w:hAnsi="Times New Roman"/>
        </w:rPr>
        <w:t xml:space="preserve">challenging the validity of decisions or actions under the Act pursuant to s 75(v) of the </w:t>
      </w:r>
      <w:r w:rsidR="002F2778" w:rsidRPr="007A11CE">
        <w:rPr>
          <w:rFonts w:ascii="Times New Roman" w:hAnsi="Times New Roman"/>
          <w:i/>
        </w:rPr>
        <w:t>Constitution</w:t>
      </w:r>
      <w:r w:rsidR="002F2778" w:rsidRPr="007A11CE">
        <w:rPr>
          <w:rFonts w:ascii="Times New Roman" w:hAnsi="Times New Roman"/>
        </w:rPr>
        <w:t xml:space="preserve"> or s 39B of the </w:t>
      </w:r>
      <w:r w:rsidR="002F2778" w:rsidRPr="007A11CE">
        <w:rPr>
          <w:rFonts w:ascii="Times New Roman" w:hAnsi="Times New Roman"/>
          <w:i/>
          <w:iCs/>
        </w:rPr>
        <w:t>Judiciary Act</w:t>
      </w:r>
      <w:r w:rsidR="002F2778" w:rsidRPr="007A11CE">
        <w:rPr>
          <w:rFonts w:ascii="Times New Roman" w:hAnsi="Times New Roman"/>
        </w:rPr>
        <w:t xml:space="preserve">. </w:t>
      </w:r>
      <w:r w:rsidR="005E4A17" w:rsidRPr="007A11CE">
        <w:rPr>
          <w:rFonts w:ascii="Times New Roman" w:hAnsi="Times New Roman"/>
        </w:rPr>
        <w:t xml:space="preserve">The other </w:t>
      </w:r>
      <w:r w:rsidR="008E5DAB" w:rsidRPr="007A11CE">
        <w:rPr>
          <w:rFonts w:ascii="Times New Roman" w:hAnsi="Times New Roman"/>
        </w:rPr>
        <w:t xml:space="preserve">is that the </w:t>
      </w:r>
      <w:r w:rsidR="00134C19" w:rsidRPr="007A11CE">
        <w:rPr>
          <w:rFonts w:ascii="Times New Roman" w:hAnsi="Times New Roman"/>
        </w:rPr>
        <w:t xml:space="preserve">appellant's </w:t>
      </w:r>
      <w:r w:rsidR="00511FD5" w:rsidRPr="007A11CE">
        <w:rPr>
          <w:rFonts w:ascii="Times New Roman" w:hAnsi="Times New Roman"/>
        </w:rPr>
        <w:t xml:space="preserve">criticisms </w:t>
      </w:r>
      <w:r w:rsidR="00266EB6" w:rsidRPr="007A11CE">
        <w:rPr>
          <w:rFonts w:ascii="Times New Roman" w:hAnsi="Times New Roman"/>
        </w:rPr>
        <w:t>of the criterion</w:t>
      </w:r>
      <w:r w:rsidR="006C6DF2" w:rsidRPr="007A11CE">
        <w:rPr>
          <w:rFonts w:ascii="Times New Roman" w:hAnsi="Times New Roman"/>
        </w:rPr>
        <w:t xml:space="preserve"> </w:t>
      </w:r>
      <w:r w:rsidR="009F6993" w:rsidRPr="007A11CE">
        <w:rPr>
          <w:rFonts w:ascii="Times New Roman" w:hAnsi="Times New Roman"/>
        </w:rPr>
        <w:t>pertain to the</w:t>
      </w:r>
      <w:r w:rsidR="00E70950" w:rsidRPr="007A11CE">
        <w:rPr>
          <w:rFonts w:ascii="Times New Roman" w:hAnsi="Times New Roman"/>
        </w:rPr>
        <w:t xml:space="preserve"> </w:t>
      </w:r>
      <w:r w:rsidR="005C77F4" w:rsidRPr="007A11CE">
        <w:rPr>
          <w:rFonts w:ascii="Times New Roman" w:hAnsi="Times New Roman"/>
        </w:rPr>
        <w:t xml:space="preserve">contestable penumbra </w:t>
      </w:r>
      <w:r w:rsidR="009F6993" w:rsidRPr="007A11CE">
        <w:rPr>
          <w:rFonts w:ascii="Times New Roman" w:hAnsi="Times New Roman"/>
        </w:rPr>
        <w:t>of the constitutio</w:t>
      </w:r>
      <w:r w:rsidR="00950536" w:rsidRPr="007A11CE">
        <w:rPr>
          <w:rFonts w:ascii="Times New Roman" w:hAnsi="Times New Roman"/>
        </w:rPr>
        <w:t xml:space="preserve">nal guarantee. </w:t>
      </w:r>
      <w:r w:rsidR="00F163C3" w:rsidRPr="007A11CE">
        <w:rPr>
          <w:rFonts w:ascii="Times New Roman" w:hAnsi="Times New Roman"/>
        </w:rPr>
        <w:t>They do not pertain to its constitutional core</w:t>
      </w:r>
      <w:r w:rsidR="00924D5D" w:rsidRPr="007A11CE">
        <w:rPr>
          <w:rFonts w:ascii="Times New Roman" w:hAnsi="Times New Roman"/>
        </w:rPr>
        <w:t>.</w:t>
      </w:r>
    </w:p>
    <w:p w14:paraId="123A7E79" w14:textId="0638B62C" w:rsidR="0046550A" w:rsidRPr="007A11CE" w:rsidRDefault="0046550A" w:rsidP="007A11CE">
      <w:pPr>
        <w:pStyle w:val="FixListStyle"/>
        <w:spacing w:after="260" w:line="280" w:lineRule="exact"/>
        <w:ind w:right="0"/>
        <w:jc w:val="both"/>
        <w:rPr>
          <w:rFonts w:ascii="Times New Roman" w:hAnsi="Times New Roman"/>
        </w:rPr>
      </w:pPr>
      <w:r w:rsidRPr="007A11CE">
        <w:rPr>
          <w:rFonts w:ascii="Times New Roman" w:hAnsi="Times New Roman"/>
        </w:rPr>
        <w:tab/>
        <w:t>The construction of regs</w:t>
      </w:r>
      <w:r w:rsidR="003D143C" w:rsidRPr="007A11CE">
        <w:rPr>
          <w:rFonts w:ascii="Times New Roman" w:hAnsi="Times New Roman"/>
        </w:rPr>
        <w:t> </w:t>
      </w:r>
      <w:r w:rsidRPr="007A11CE">
        <w:rPr>
          <w:rFonts w:ascii="Times New Roman" w:hAnsi="Times New Roman"/>
        </w:rPr>
        <w:t>14 and 15 of the Regulations adopted by the primary judge and the Full Court was correct.</w:t>
      </w:r>
      <w:r w:rsidR="00804A58" w:rsidRPr="007A11CE">
        <w:rPr>
          <w:rFonts w:ascii="Times New Roman" w:hAnsi="Times New Roman"/>
        </w:rPr>
        <w:t xml:space="preserve"> That is sufficient</w:t>
      </w:r>
      <w:r w:rsidR="00DF69CE" w:rsidRPr="007A11CE">
        <w:rPr>
          <w:rFonts w:ascii="Times New Roman" w:hAnsi="Times New Roman"/>
        </w:rPr>
        <w:t xml:space="preserve"> to dismiss the appellant's challenge</w:t>
      </w:r>
      <w:r w:rsidR="00B64A62" w:rsidRPr="007A11CE">
        <w:rPr>
          <w:rFonts w:ascii="Times New Roman" w:hAnsi="Times New Roman"/>
        </w:rPr>
        <w:t xml:space="preserve"> in its entirety</w:t>
      </w:r>
      <w:r w:rsidR="002519E9" w:rsidRPr="007A11CE">
        <w:rPr>
          <w:rFonts w:ascii="Times New Roman" w:hAnsi="Times New Roman"/>
        </w:rPr>
        <w:t xml:space="preserve"> in circumstances where those regulations do not constrain the appellant </w:t>
      </w:r>
      <w:r w:rsidR="00235CD4" w:rsidRPr="007A11CE">
        <w:rPr>
          <w:rFonts w:ascii="Times New Roman" w:hAnsi="Times New Roman"/>
        </w:rPr>
        <w:t xml:space="preserve">given </w:t>
      </w:r>
      <w:r w:rsidR="0093151C" w:rsidRPr="007A11CE">
        <w:rPr>
          <w:rFonts w:ascii="Times New Roman" w:hAnsi="Times New Roman"/>
        </w:rPr>
        <w:t>the successive issuing of permit</w:t>
      </w:r>
      <w:r w:rsidR="00860E2C" w:rsidRPr="007A11CE">
        <w:rPr>
          <w:rFonts w:ascii="Times New Roman" w:hAnsi="Times New Roman"/>
        </w:rPr>
        <w:t>s</w:t>
      </w:r>
      <w:r w:rsidR="0093151C" w:rsidRPr="007A11CE">
        <w:rPr>
          <w:rFonts w:ascii="Times New Roman" w:hAnsi="Times New Roman"/>
        </w:rPr>
        <w:t xml:space="preserve"> under reg</w:t>
      </w:r>
      <w:r w:rsidR="003D143C" w:rsidRPr="007A11CE">
        <w:rPr>
          <w:rFonts w:ascii="Times New Roman" w:hAnsi="Times New Roman"/>
        </w:rPr>
        <w:t> </w:t>
      </w:r>
      <w:r w:rsidR="0093151C" w:rsidRPr="007A11CE">
        <w:rPr>
          <w:rFonts w:ascii="Times New Roman" w:hAnsi="Times New Roman"/>
        </w:rPr>
        <w:t>18.</w:t>
      </w:r>
    </w:p>
    <w:p w14:paraId="2B8CF1E7" w14:textId="2AE5F717" w:rsidR="004C290E" w:rsidRPr="007A11CE" w:rsidRDefault="00D730EB" w:rsidP="007A11CE">
      <w:pPr>
        <w:pStyle w:val="HeadingL1"/>
        <w:spacing w:after="260" w:line="280" w:lineRule="exact"/>
        <w:ind w:right="0"/>
        <w:jc w:val="both"/>
        <w:rPr>
          <w:rFonts w:ascii="Times New Roman" w:hAnsi="Times New Roman"/>
        </w:rPr>
      </w:pPr>
      <w:r w:rsidRPr="007A11CE">
        <w:rPr>
          <w:rFonts w:ascii="Times New Roman" w:hAnsi="Times New Roman"/>
        </w:rPr>
        <w:t>An</w:t>
      </w:r>
      <w:r w:rsidR="00D80282" w:rsidRPr="007A11CE">
        <w:rPr>
          <w:rFonts w:ascii="Times New Roman" w:hAnsi="Times New Roman"/>
        </w:rPr>
        <w:t>other constitutional limitation</w:t>
      </w:r>
      <w:r w:rsidR="00E63A09" w:rsidRPr="007A11CE">
        <w:rPr>
          <w:rFonts w:ascii="Times New Roman" w:hAnsi="Times New Roman"/>
        </w:rPr>
        <w:t>?</w:t>
      </w:r>
    </w:p>
    <w:p w14:paraId="5469AD94" w14:textId="596CA26F" w:rsidR="00D730EB" w:rsidRPr="007A11CE" w:rsidRDefault="00B200F1"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F56DFE" w:rsidRPr="007A11CE">
        <w:rPr>
          <w:rFonts w:ascii="Times New Roman" w:hAnsi="Times New Roman"/>
        </w:rPr>
        <w:t>Before</w:t>
      </w:r>
      <w:r w:rsidR="00277053" w:rsidRPr="007A11CE">
        <w:rPr>
          <w:rFonts w:ascii="Times New Roman" w:hAnsi="Times New Roman"/>
        </w:rPr>
        <w:t xml:space="preserve"> the </w:t>
      </w:r>
      <w:r w:rsidR="002957DC" w:rsidRPr="007A11CE">
        <w:rPr>
          <w:rFonts w:ascii="Times New Roman" w:hAnsi="Times New Roman"/>
        </w:rPr>
        <w:t xml:space="preserve">primary judge </w:t>
      </w:r>
      <w:r w:rsidR="003744D5" w:rsidRPr="007A11CE">
        <w:rPr>
          <w:rFonts w:ascii="Times New Roman" w:hAnsi="Times New Roman"/>
        </w:rPr>
        <w:t xml:space="preserve">and </w:t>
      </w:r>
      <w:r w:rsidR="00F56DFE" w:rsidRPr="007A11CE">
        <w:rPr>
          <w:rFonts w:ascii="Times New Roman" w:hAnsi="Times New Roman"/>
        </w:rPr>
        <w:t xml:space="preserve">the Full Court, the appellant advanced </w:t>
      </w:r>
      <w:r w:rsidR="00AF7520" w:rsidRPr="007A11CE">
        <w:rPr>
          <w:rFonts w:ascii="Times New Roman" w:hAnsi="Times New Roman"/>
        </w:rPr>
        <w:t>an argument that regs</w:t>
      </w:r>
      <w:r w:rsidR="003D143C" w:rsidRPr="007A11CE">
        <w:rPr>
          <w:rFonts w:ascii="Times New Roman" w:hAnsi="Times New Roman"/>
        </w:rPr>
        <w:t> </w:t>
      </w:r>
      <w:r w:rsidR="00AF7520" w:rsidRPr="007A11CE">
        <w:rPr>
          <w:rFonts w:ascii="Times New Roman" w:hAnsi="Times New Roman"/>
        </w:rPr>
        <w:t>14 and 15 of the Regulations</w:t>
      </w:r>
      <w:r w:rsidR="006535BB" w:rsidRPr="007A11CE">
        <w:rPr>
          <w:rFonts w:ascii="Times New Roman" w:hAnsi="Times New Roman"/>
        </w:rPr>
        <w:t xml:space="preserve"> encountered another </w:t>
      </w:r>
      <w:r w:rsidR="00240DFC" w:rsidRPr="007A11CE">
        <w:rPr>
          <w:rFonts w:ascii="Times New Roman" w:hAnsi="Times New Roman"/>
        </w:rPr>
        <w:t xml:space="preserve">constitutional limitation </w:t>
      </w:r>
      <w:r w:rsidR="00136591" w:rsidRPr="007A11CE">
        <w:rPr>
          <w:rFonts w:ascii="Times New Roman" w:hAnsi="Times New Roman"/>
        </w:rPr>
        <w:t xml:space="preserve">asserted </w:t>
      </w:r>
      <w:r w:rsidR="00FB52C5" w:rsidRPr="007A11CE">
        <w:rPr>
          <w:rFonts w:ascii="Times New Roman" w:hAnsi="Times New Roman"/>
        </w:rPr>
        <w:t xml:space="preserve">to be </w:t>
      </w:r>
      <w:r w:rsidR="00240DFC" w:rsidRPr="007A11CE">
        <w:rPr>
          <w:rFonts w:ascii="Times New Roman" w:hAnsi="Times New Roman"/>
        </w:rPr>
        <w:t>derived from Ch</w:t>
      </w:r>
      <w:r w:rsidR="003D143C" w:rsidRPr="007A11CE">
        <w:rPr>
          <w:rFonts w:ascii="Times New Roman" w:hAnsi="Times New Roman"/>
        </w:rPr>
        <w:t> </w:t>
      </w:r>
      <w:r w:rsidR="003167BF" w:rsidRPr="007A11CE">
        <w:rPr>
          <w:rFonts w:ascii="Times New Roman" w:hAnsi="Times New Roman"/>
        </w:rPr>
        <w:t xml:space="preserve">III of the </w:t>
      </w:r>
      <w:r w:rsidR="003167BF" w:rsidRPr="007A11CE">
        <w:rPr>
          <w:rFonts w:ascii="Times New Roman" w:hAnsi="Times New Roman"/>
          <w:i/>
        </w:rPr>
        <w:t>Constitution</w:t>
      </w:r>
      <w:r w:rsidR="00FA5385" w:rsidRPr="007A11CE">
        <w:rPr>
          <w:rFonts w:ascii="Times New Roman" w:hAnsi="Times New Roman"/>
        </w:rPr>
        <w:t xml:space="preserve"> beyond that recognised in </w:t>
      </w:r>
      <w:r w:rsidR="00FA5385" w:rsidRPr="007A11CE">
        <w:rPr>
          <w:rFonts w:ascii="Times New Roman" w:hAnsi="Times New Roman"/>
          <w:i/>
          <w:iCs/>
        </w:rPr>
        <w:t>G</w:t>
      </w:r>
      <w:r w:rsidR="00136591" w:rsidRPr="007A11CE">
        <w:rPr>
          <w:rFonts w:ascii="Times New Roman" w:hAnsi="Times New Roman"/>
          <w:i/>
          <w:iCs/>
        </w:rPr>
        <w:t>raham</w:t>
      </w:r>
      <w:r w:rsidR="00E10880" w:rsidRPr="007A11CE">
        <w:rPr>
          <w:rFonts w:ascii="Times New Roman" w:hAnsi="Times New Roman"/>
        </w:rPr>
        <w:t xml:space="preserve">. </w:t>
      </w:r>
      <w:r w:rsidR="00FA5385" w:rsidRPr="007A11CE">
        <w:rPr>
          <w:rFonts w:ascii="Times New Roman" w:hAnsi="Times New Roman"/>
        </w:rPr>
        <w:t xml:space="preserve">Before </w:t>
      </w:r>
      <w:r w:rsidR="00FB52C5" w:rsidRPr="007A11CE">
        <w:rPr>
          <w:rFonts w:ascii="Times New Roman" w:hAnsi="Times New Roman"/>
        </w:rPr>
        <w:t xml:space="preserve">this Court, </w:t>
      </w:r>
      <w:r w:rsidR="00994BDD" w:rsidRPr="007A11CE">
        <w:rPr>
          <w:rFonts w:ascii="Times New Roman" w:hAnsi="Times New Roman"/>
        </w:rPr>
        <w:t>the appellant</w:t>
      </w:r>
      <w:r w:rsidR="00EB170C" w:rsidRPr="007A11CE">
        <w:rPr>
          <w:rFonts w:ascii="Times New Roman" w:hAnsi="Times New Roman"/>
        </w:rPr>
        <w:t xml:space="preserve"> </w:t>
      </w:r>
      <w:r w:rsidR="00B30B8F" w:rsidRPr="007A11CE">
        <w:rPr>
          <w:rFonts w:ascii="Times New Roman" w:hAnsi="Times New Roman"/>
        </w:rPr>
        <w:t xml:space="preserve">refined </w:t>
      </w:r>
      <w:r w:rsidR="00FE5980" w:rsidRPr="007A11CE">
        <w:rPr>
          <w:rFonts w:ascii="Times New Roman" w:hAnsi="Times New Roman"/>
        </w:rPr>
        <w:t xml:space="preserve">the asserted further constitutional limitation </w:t>
      </w:r>
      <w:r w:rsidR="005C4E51" w:rsidRPr="007A11CE">
        <w:rPr>
          <w:rFonts w:ascii="Times New Roman" w:hAnsi="Times New Roman"/>
        </w:rPr>
        <w:t xml:space="preserve">as </w:t>
      </w:r>
      <w:r w:rsidR="00EB170C" w:rsidRPr="007A11CE">
        <w:rPr>
          <w:rFonts w:ascii="Times New Roman" w:hAnsi="Times New Roman"/>
        </w:rPr>
        <w:t>an incapacity on the part of the Commonwealth Parliament to</w:t>
      </w:r>
      <w:r w:rsidR="00D8412F" w:rsidRPr="007A11CE">
        <w:rPr>
          <w:rFonts w:ascii="Times New Roman" w:hAnsi="Times New Roman"/>
        </w:rPr>
        <w:t xml:space="preserve"> disable a person from being represented in a Ch</w:t>
      </w:r>
      <w:r w:rsidR="0003477F" w:rsidRPr="007A11CE">
        <w:rPr>
          <w:rFonts w:ascii="Times New Roman" w:hAnsi="Times New Roman"/>
        </w:rPr>
        <w:t> </w:t>
      </w:r>
      <w:r w:rsidR="00D8412F" w:rsidRPr="007A11CE">
        <w:rPr>
          <w:rFonts w:ascii="Times New Roman" w:hAnsi="Times New Roman"/>
        </w:rPr>
        <w:t xml:space="preserve">III </w:t>
      </w:r>
      <w:r w:rsidR="00FA73DA" w:rsidRPr="007A11CE">
        <w:rPr>
          <w:rFonts w:ascii="Times New Roman" w:hAnsi="Times New Roman"/>
        </w:rPr>
        <w:t>c</w:t>
      </w:r>
      <w:r w:rsidR="00D8412F" w:rsidRPr="007A11CE">
        <w:rPr>
          <w:rFonts w:ascii="Times New Roman" w:hAnsi="Times New Roman"/>
        </w:rPr>
        <w:t xml:space="preserve">ourt or from </w:t>
      </w:r>
      <w:r w:rsidR="00846801" w:rsidRPr="007A11CE">
        <w:rPr>
          <w:rFonts w:ascii="Times New Roman" w:hAnsi="Times New Roman"/>
        </w:rPr>
        <w:t xml:space="preserve">litigating in the jurisdiction conferred on this Court </w:t>
      </w:r>
      <w:r w:rsidR="00664AB1" w:rsidRPr="007A11CE">
        <w:rPr>
          <w:rFonts w:ascii="Times New Roman" w:hAnsi="Times New Roman"/>
        </w:rPr>
        <w:t>by s</w:t>
      </w:r>
      <w:r w:rsidR="0003477F" w:rsidRPr="007A11CE">
        <w:rPr>
          <w:rFonts w:ascii="Times New Roman" w:hAnsi="Times New Roman"/>
        </w:rPr>
        <w:t> </w:t>
      </w:r>
      <w:r w:rsidR="00664AB1" w:rsidRPr="007A11CE">
        <w:rPr>
          <w:rFonts w:ascii="Times New Roman" w:hAnsi="Times New Roman"/>
        </w:rPr>
        <w:t>75</w:t>
      </w:r>
      <w:r w:rsidR="00F73AB1" w:rsidRPr="007A11CE">
        <w:rPr>
          <w:rFonts w:ascii="Times New Roman" w:hAnsi="Times New Roman"/>
        </w:rPr>
        <w:t>(iii</w:t>
      </w:r>
      <w:r w:rsidR="00664AB1" w:rsidRPr="007A11CE">
        <w:rPr>
          <w:rFonts w:ascii="Times New Roman" w:hAnsi="Times New Roman"/>
        </w:rPr>
        <w:t xml:space="preserve">) of the </w:t>
      </w:r>
      <w:r w:rsidR="00664AB1" w:rsidRPr="007A11CE">
        <w:rPr>
          <w:rFonts w:ascii="Times New Roman" w:hAnsi="Times New Roman"/>
          <w:i/>
        </w:rPr>
        <w:t>Constitution</w:t>
      </w:r>
      <w:r w:rsidR="000B137F" w:rsidRPr="007A11CE">
        <w:rPr>
          <w:rFonts w:ascii="Times New Roman" w:hAnsi="Times New Roman"/>
          <w:i/>
          <w:iCs/>
        </w:rPr>
        <w:t xml:space="preserve"> </w:t>
      </w:r>
      <w:r w:rsidR="00A069B3" w:rsidRPr="007A11CE">
        <w:rPr>
          <w:rFonts w:ascii="Times New Roman" w:hAnsi="Times New Roman"/>
        </w:rPr>
        <w:t>(</w:t>
      </w:r>
      <w:r w:rsidR="00361402" w:rsidRPr="007A11CE">
        <w:rPr>
          <w:rFonts w:ascii="Times New Roman" w:hAnsi="Times New Roman"/>
        </w:rPr>
        <w:t>in all matters in which the Commonwealth, or a person suing or being sued on behalf of the Commonwealth, is a party)</w:t>
      </w:r>
      <w:r w:rsidR="00664AB1" w:rsidRPr="007A11CE">
        <w:rPr>
          <w:rFonts w:ascii="Times New Roman" w:hAnsi="Times New Roman"/>
        </w:rPr>
        <w:t>.</w:t>
      </w:r>
    </w:p>
    <w:p w14:paraId="17FAA148" w14:textId="24D6E672" w:rsidR="003A54A6" w:rsidRPr="007A11CE" w:rsidRDefault="00F174BA"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1F09E0" w:rsidRPr="007A11CE">
        <w:rPr>
          <w:rFonts w:ascii="Times New Roman" w:hAnsi="Times New Roman"/>
        </w:rPr>
        <w:t>I</w:t>
      </w:r>
      <w:r w:rsidR="00C658B2" w:rsidRPr="007A11CE">
        <w:rPr>
          <w:rFonts w:ascii="Times New Roman" w:hAnsi="Times New Roman"/>
        </w:rPr>
        <w:t xml:space="preserve">n </w:t>
      </w:r>
      <w:r w:rsidR="00C658B2" w:rsidRPr="007A11CE">
        <w:rPr>
          <w:rFonts w:ascii="Times New Roman" w:hAnsi="Times New Roman"/>
          <w:i/>
          <w:iCs/>
        </w:rPr>
        <w:t>Knight v Victoria</w:t>
      </w:r>
      <w:r w:rsidR="00AD452D" w:rsidRPr="007A11CE">
        <w:rPr>
          <w:rFonts w:ascii="Times New Roman" w:hAnsi="Times New Roman"/>
        </w:rPr>
        <w:t>,</w:t>
      </w:r>
      <w:r w:rsidR="00E73708" w:rsidRPr="007A11CE">
        <w:rPr>
          <w:rStyle w:val="FootnoteReference"/>
          <w:rFonts w:ascii="Times New Roman" w:hAnsi="Times New Roman"/>
          <w:sz w:val="24"/>
        </w:rPr>
        <w:footnoteReference w:id="58"/>
      </w:r>
      <w:r w:rsidR="00C658B2" w:rsidRPr="007A11CE">
        <w:rPr>
          <w:rFonts w:ascii="Times New Roman" w:hAnsi="Times New Roman"/>
        </w:rPr>
        <w:t xml:space="preserve"> </w:t>
      </w:r>
      <w:r w:rsidR="00AB33AD" w:rsidRPr="007A11CE">
        <w:rPr>
          <w:rFonts w:ascii="Times New Roman" w:hAnsi="Times New Roman"/>
        </w:rPr>
        <w:t xml:space="preserve">and </w:t>
      </w:r>
      <w:r w:rsidR="001F09E0" w:rsidRPr="007A11CE">
        <w:rPr>
          <w:rFonts w:ascii="Times New Roman" w:hAnsi="Times New Roman"/>
        </w:rPr>
        <w:t>again</w:t>
      </w:r>
      <w:r w:rsidR="00AB33AD" w:rsidRPr="007A11CE">
        <w:rPr>
          <w:rFonts w:ascii="Times New Roman" w:hAnsi="Times New Roman"/>
        </w:rPr>
        <w:t xml:space="preserve"> in </w:t>
      </w:r>
      <w:r w:rsidR="00AB33AD" w:rsidRPr="007A11CE">
        <w:rPr>
          <w:rFonts w:ascii="Times New Roman" w:hAnsi="Times New Roman"/>
          <w:i/>
          <w:iCs/>
        </w:rPr>
        <w:t>Mineralogy Pty Ltd</w:t>
      </w:r>
      <w:r w:rsidR="000B137F" w:rsidRPr="007A11CE">
        <w:rPr>
          <w:rFonts w:ascii="Times New Roman" w:hAnsi="Times New Roman"/>
          <w:i/>
          <w:iCs/>
        </w:rPr>
        <w:t xml:space="preserve"> v Western Australia</w:t>
      </w:r>
      <w:r w:rsidR="00E73708" w:rsidRPr="007A11CE">
        <w:rPr>
          <w:rStyle w:val="FootnoteReference"/>
          <w:rFonts w:ascii="Times New Roman" w:hAnsi="Times New Roman"/>
          <w:sz w:val="24"/>
        </w:rPr>
        <w:footnoteReference w:id="59"/>
      </w:r>
      <w:r w:rsidR="00E73708" w:rsidRPr="007A11CE">
        <w:rPr>
          <w:rFonts w:ascii="Times New Roman" w:hAnsi="Times New Roman"/>
        </w:rPr>
        <w:t xml:space="preserve"> </w:t>
      </w:r>
      <w:r w:rsidR="00F6148B" w:rsidRPr="007A11CE">
        <w:rPr>
          <w:rFonts w:ascii="Times New Roman" w:hAnsi="Times New Roman"/>
        </w:rPr>
        <w:t xml:space="preserve">and </w:t>
      </w:r>
      <w:r w:rsidR="00CE4368" w:rsidRPr="007A11CE">
        <w:rPr>
          <w:rFonts w:ascii="Times New Roman" w:hAnsi="Times New Roman"/>
          <w:i/>
          <w:iCs/>
        </w:rPr>
        <w:t>Zhang v Commissioner of the Australian Federal Police</w:t>
      </w:r>
      <w:r w:rsidR="00CE4368" w:rsidRPr="007A11CE">
        <w:rPr>
          <w:rFonts w:ascii="Times New Roman" w:hAnsi="Times New Roman"/>
        </w:rPr>
        <w:t>,</w:t>
      </w:r>
      <w:r w:rsidR="00CE4368" w:rsidRPr="007A11CE">
        <w:rPr>
          <w:rStyle w:val="FootnoteReference"/>
          <w:rFonts w:ascii="Times New Roman" w:hAnsi="Times New Roman"/>
          <w:sz w:val="24"/>
        </w:rPr>
        <w:footnoteReference w:id="60"/>
      </w:r>
      <w:r w:rsidR="00CE4368" w:rsidRPr="007A11CE">
        <w:rPr>
          <w:rFonts w:ascii="Times New Roman" w:hAnsi="Times New Roman"/>
          <w:i/>
          <w:iCs/>
        </w:rPr>
        <w:t xml:space="preserve"> </w:t>
      </w:r>
      <w:r w:rsidR="00FD1174" w:rsidRPr="007A11CE">
        <w:rPr>
          <w:rFonts w:ascii="Times New Roman" w:hAnsi="Times New Roman"/>
        </w:rPr>
        <w:t xml:space="preserve">it </w:t>
      </w:r>
      <w:r w:rsidR="001F09E0" w:rsidRPr="007A11CE">
        <w:rPr>
          <w:rFonts w:ascii="Times New Roman" w:hAnsi="Times New Roman"/>
        </w:rPr>
        <w:t>was said to be</w:t>
      </w:r>
      <w:r w:rsidR="00FD1174" w:rsidRPr="007A11CE">
        <w:rPr>
          <w:rFonts w:ascii="Times New Roman" w:hAnsi="Times New Roman"/>
        </w:rPr>
        <w:t xml:space="preserve"> </w:t>
      </w:r>
      <w:r w:rsidR="001F09E0" w:rsidRPr="007A11CE">
        <w:rPr>
          <w:rFonts w:ascii="Times New Roman" w:hAnsi="Times New Roman"/>
        </w:rPr>
        <w:t>"</w:t>
      </w:r>
      <w:r w:rsidR="00FD1174" w:rsidRPr="007A11CE">
        <w:rPr>
          <w:rFonts w:ascii="Times New Roman" w:hAnsi="Times New Roman"/>
        </w:rPr>
        <w:t>ordinarily inappropriate</w:t>
      </w:r>
      <w:r w:rsidR="00880FFB" w:rsidRPr="007A11CE">
        <w:rPr>
          <w:rFonts w:ascii="Times New Roman" w:hAnsi="Times New Roman"/>
        </w:rPr>
        <w:t xml:space="preserve">" </w:t>
      </w:r>
      <w:r w:rsidR="001F09E0" w:rsidRPr="007A11CE">
        <w:rPr>
          <w:rFonts w:ascii="Times New Roman" w:hAnsi="Times New Roman"/>
        </w:rPr>
        <w:t>for this Court "</w:t>
      </w:r>
      <w:r w:rsidR="00FD1174" w:rsidRPr="007A11CE">
        <w:rPr>
          <w:rFonts w:ascii="Times New Roman" w:hAnsi="Times New Roman"/>
        </w:rPr>
        <w:t xml:space="preserve">to be drawn into a consideration of whether a legislative provision would have an invalid operation in circumstances which have not arisen and which may never arise if the provision, if invalid in that operation, would be severable and otherwise valid". </w:t>
      </w:r>
      <w:r w:rsidR="00DF079E" w:rsidRPr="007A11CE">
        <w:rPr>
          <w:rFonts w:ascii="Times New Roman" w:hAnsi="Times New Roman"/>
        </w:rPr>
        <w:t>N</w:t>
      </w:r>
      <w:r w:rsidR="00663BA9" w:rsidRPr="007A11CE">
        <w:rPr>
          <w:rFonts w:ascii="Times New Roman" w:hAnsi="Times New Roman"/>
        </w:rPr>
        <w:t xml:space="preserve">othing </w:t>
      </w:r>
      <w:r w:rsidR="00DF079E" w:rsidRPr="007A11CE">
        <w:rPr>
          <w:rFonts w:ascii="Times New Roman" w:hAnsi="Times New Roman"/>
        </w:rPr>
        <w:t xml:space="preserve">about the present case warrants departure </w:t>
      </w:r>
      <w:r w:rsidR="0017205C" w:rsidRPr="007A11CE">
        <w:rPr>
          <w:rFonts w:ascii="Times New Roman" w:hAnsi="Times New Roman"/>
        </w:rPr>
        <w:t>from that prudential norm.</w:t>
      </w:r>
    </w:p>
    <w:p w14:paraId="015926EE" w14:textId="793B3DFF" w:rsidR="00F174BA" w:rsidRPr="007A11CE" w:rsidRDefault="003A54A6" w:rsidP="007A11CE">
      <w:pPr>
        <w:pStyle w:val="FixListStyle"/>
        <w:spacing w:after="260" w:line="280" w:lineRule="exact"/>
        <w:ind w:right="0"/>
        <w:jc w:val="both"/>
        <w:rPr>
          <w:rFonts w:ascii="Times New Roman" w:hAnsi="Times New Roman"/>
        </w:rPr>
      </w:pPr>
      <w:r w:rsidRPr="007A11CE">
        <w:rPr>
          <w:rFonts w:ascii="Times New Roman" w:hAnsi="Times New Roman"/>
        </w:rPr>
        <w:tab/>
      </w:r>
      <w:r w:rsidR="00E65841" w:rsidRPr="007A11CE">
        <w:rPr>
          <w:rFonts w:ascii="Times New Roman" w:hAnsi="Times New Roman"/>
        </w:rPr>
        <w:t>Appropriating</w:t>
      </w:r>
      <w:r w:rsidR="00871E2F" w:rsidRPr="007A11CE">
        <w:rPr>
          <w:rFonts w:ascii="Times New Roman" w:hAnsi="Times New Roman"/>
        </w:rPr>
        <w:t xml:space="preserve"> the language of</w:t>
      </w:r>
      <w:r w:rsidR="00B53184" w:rsidRPr="007A11CE">
        <w:rPr>
          <w:rFonts w:ascii="Times New Roman" w:hAnsi="Times New Roman"/>
        </w:rPr>
        <w:t xml:space="preserve"> </w:t>
      </w:r>
      <w:r w:rsidR="005D2F5F" w:rsidRPr="007A11CE">
        <w:rPr>
          <w:rFonts w:ascii="Times New Roman" w:hAnsi="Times New Roman"/>
          <w:i/>
          <w:iCs/>
        </w:rPr>
        <w:t>Knight</w:t>
      </w:r>
      <w:r w:rsidR="005D2F5F" w:rsidRPr="007A11CE">
        <w:rPr>
          <w:rFonts w:ascii="Times New Roman" w:hAnsi="Times New Roman"/>
        </w:rPr>
        <w:t>,</w:t>
      </w:r>
      <w:r w:rsidR="005D2F5F" w:rsidRPr="007A11CE">
        <w:rPr>
          <w:rStyle w:val="FootnoteReference"/>
          <w:rFonts w:ascii="Times New Roman" w:hAnsi="Times New Roman"/>
          <w:sz w:val="24"/>
        </w:rPr>
        <w:footnoteReference w:id="61"/>
      </w:r>
      <w:r w:rsidR="005D2F5F" w:rsidRPr="007A11CE">
        <w:rPr>
          <w:rFonts w:ascii="Times New Roman" w:hAnsi="Times New Roman"/>
        </w:rPr>
        <w:t xml:space="preserve"> </w:t>
      </w:r>
      <w:r w:rsidR="005058BE" w:rsidRPr="007A11CE">
        <w:rPr>
          <w:rFonts w:ascii="Times New Roman" w:hAnsi="Times New Roman"/>
        </w:rPr>
        <w:t xml:space="preserve">as </w:t>
      </w:r>
      <w:r w:rsidR="00823476" w:rsidRPr="007A11CE">
        <w:rPr>
          <w:rFonts w:ascii="Times New Roman" w:hAnsi="Times New Roman"/>
        </w:rPr>
        <w:t xml:space="preserve">did </w:t>
      </w:r>
      <w:r w:rsidR="00A900D4" w:rsidRPr="007A11CE">
        <w:rPr>
          <w:rFonts w:ascii="Times New Roman" w:hAnsi="Times New Roman"/>
        </w:rPr>
        <w:t>the Full Court,</w:t>
      </w:r>
      <w:r w:rsidR="009A7421" w:rsidRPr="007A11CE">
        <w:rPr>
          <w:rStyle w:val="FootnoteReference"/>
          <w:rFonts w:ascii="Times New Roman" w:hAnsi="Times New Roman"/>
          <w:sz w:val="24"/>
        </w:rPr>
        <w:footnoteReference w:id="62"/>
      </w:r>
      <w:r w:rsidR="00A900D4" w:rsidRPr="007A11CE">
        <w:rPr>
          <w:rFonts w:ascii="Times New Roman" w:hAnsi="Times New Roman"/>
        </w:rPr>
        <w:t xml:space="preserve"> it is </w:t>
      </w:r>
      <w:r w:rsidR="00487F13" w:rsidRPr="007A11CE">
        <w:rPr>
          <w:rFonts w:ascii="Times New Roman" w:hAnsi="Times New Roman"/>
        </w:rPr>
        <w:t>both "</w:t>
      </w:r>
      <w:r w:rsidR="00A900D4" w:rsidRPr="007A11CE">
        <w:rPr>
          <w:rFonts w:ascii="Times New Roman" w:hAnsi="Times New Roman"/>
        </w:rPr>
        <w:t>unnecessary</w:t>
      </w:r>
      <w:r w:rsidR="00487F13" w:rsidRPr="007A11CE">
        <w:rPr>
          <w:rFonts w:ascii="Times New Roman" w:hAnsi="Times New Roman"/>
        </w:rPr>
        <w:t>"</w:t>
      </w:r>
      <w:r w:rsidR="00A900D4" w:rsidRPr="007A11CE">
        <w:rPr>
          <w:rFonts w:ascii="Times New Roman" w:hAnsi="Times New Roman"/>
        </w:rPr>
        <w:t xml:space="preserve"> and </w:t>
      </w:r>
      <w:r w:rsidR="00487F13" w:rsidRPr="007A11CE">
        <w:rPr>
          <w:rFonts w:ascii="Times New Roman" w:hAnsi="Times New Roman"/>
        </w:rPr>
        <w:t>"</w:t>
      </w:r>
      <w:r w:rsidR="00A900D4" w:rsidRPr="007A11CE">
        <w:rPr>
          <w:rFonts w:ascii="Times New Roman" w:hAnsi="Times New Roman"/>
        </w:rPr>
        <w:t>inappropriate</w:t>
      </w:r>
      <w:r w:rsidR="00487F13" w:rsidRPr="007A11CE">
        <w:rPr>
          <w:rFonts w:ascii="Times New Roman" w:hAnsi="Times New Roman"/>
        </w:rPr>
        <w:t>"</w:t>
      </w:r>
      <w:r w:rsidR="00A900D4" w:rsidRPr="007A11CE">
        <w:rPr>
          <w:rFonts w:ascii="Times New Roman" w:hAnsi="Times New Roman"/>
        </w:rPr>
        <w:t xml:space="preserve"> </w:t>
      </w:r>
      <w:r w:rsidR="00487F13" w:rsidRPr="007A11CE">
        <w:rPr>
          <w:rFonts w:ascii="Times New Roman" w:hAnsi="Times New Roman"/>
        </w:rPr>
        <w:t xml:space="preserve">to </w:t>
      </w:r>
      <w:r w:rsidR="00EB039E" w:rsidRPr="007A11CE">
        <w:rPr>
          <w:rFonts w:ascii="Times New Roman" w:hAnsi="Times New Roman"/>
        </w:rPr>
        <w:t xml:space="preserve">engage with </w:t>
      </w:r>
      <w:r w:rsidR="00C56D95" w:rsidRPr="007A11CE">
        <w:rPr>
          <w:rFonts w:ascii="Times New Roman" w:hAnsi="Times New Roman"/>
        </w:rPr>
        <w:t xml:space="preserve">the appellant's </w:t>
      </w:r>
      <w:r w:rsidR="00A560D2" w:rsidRPr="007A11CE">
        <w:rPr>
          <w:rFonts w:ascii="Times New Roman" w:hAnsi="Times New Roman"/>
        </w:rPr>
        <w:t xml:space="preserve">further </w:t>
      </w:r>
      <w:r w:rsidR="00EB039E" w:rsidRPr="007A11CE">
        <w:rPr>
          <w:rFonts w:ascii="Times New Roman" w:hAnsi="Times New Roman"/>
        </w:rPr>
        <w:t>argument</w:t>
      </w:r>
      <w:r w:rsidR="00C56D95" w:rsidRPr="007A11CE">
        <w:rPr>
          <w:rFonts w:ascii="Times New Roman" w:hAnsi="Times New Roman"/>
        </w:rPr>
        <w:t>s</w:t>
      </w:r>
      <w:r w:rsidR="00EB039E" w:rsidRPr="007A11CE">
        <w:rPr>
          <w:rFonts w:ascii="Times New Roman" w:hAnsi="Times New Roman"/>
        </w:rPr>
        <w:t xml:space="preserve"> </w:t>
      </w:r>
      <w:r w:rsidR="00A40F1A" w:rsidRPr="007A11CE">
        <w:rPr>
          <w:rFonts w:ascii="Times New Roman" w:hAnsi="Times New Roman"/>
        </w:rPr>
        <w:lastRenderedPageBreak/>
        <w:t xml:space="preserve">in circumstances </w:t>
      </w:r>
      <w:r w:rsidR="004657E9" w:rsidRPr="007A11CE">
        <w:rPr>
          <w:rFonts w:ascii="Times New Roman" w:hAnsi="Times New Roman"/>
        </w:rPr>
        <w:t>in which</w:t>
      </w:r>
      <w:r w:rsidR="00F97732" w:rsidRPr="007A11CE">
        <w:rPr>
          <w:rFonts w:ascii="Times New Roman" w:hAnsi="Times New Roman"/>
        </w:rPr>
        <w:t>: (1)</w:t>
      </w:r>
      <w:r w:rsidR="00F140A2" w:rsidRPr="007A11CE">
        <w:rPr>
          <w:rFonts w:ascii="Times New Roman" w:hAnsi="Times New Roman"/>
        </w:rPr>
        <w:t> </w:t>
      </w:r>
      <w:r w:rsidR="00F97732" w:rsidRPr="007A11CE">
        <w:rPr>
          <w:rFonts w:ascii="Times New Roman" w:hAnsi="Times New Roman"/>
        </w:rPr>
        <w:t>t</w:t>
      </w:r>
      <w:r w:rsidR="00CF5301" w:rsidRPr="007A11CE">
        <w:rPr>
          <w:rFonts w:ascii="Times New Roman" w:hAnsi="Times New Roman"/>
        </w:rPr>
        <w:t xml:space="preserve">here is </w:t>
      </w:r>
      <w:r w:rsidR="00C15D6D" w:rsidRPr="007A11CE">
        <w:rPr>
          <w:rFonts w:ascii="Times New Roman" w:hAnsi="Times New Roman"/>
        </w:rPr>
        <w:t xml:space="preserve">nothing </w:t>
      </w:r>
      <w:r w:rsidR="00CF5301" w:rsidRPr="007A11CE">
        <w:rPr>
          <w:rFonts w:ascii="Times New Roman" w:hAnsi="Times New Roman"/>
        </w:rPr>
        <w:t xml:space="preserve">to </w:t>
      </w:r>
      <w:r w:rsidR="00792635" w:rsidRPr="007A11CE">
        <w:rPr>
          <w:rFonts w:ascii="Times New Roman" w:hAnsi="Times New Roman"/>
        </w:rPr>
        <w:t>i</w:t>
      </w:r>
      <w:r w:rsidR="00F47B97" w:rsidRPr="007A11CE">
        <w:rPr>
          <w:rFonts w:ascii="Times New Roman" w:hAnsi="Times New Roman"/>
        </w:rPr>
        <w:t>ndicate</w:t>
      </w:r>
      <w:r w:rsidR="00F402CE" w:rsidRPr="007A11CE">
        <w:rPr>
          <w:rFonts w:ascii="Times New Roman" w:hAnsi="Times New Roman"/>
        </w:rPr>
        <w:t xml:space="preserve"> that </w:t>
      </w:r>
      <w:r w:rsidR="00F47B97" w:rsidRPr="007A11CE">
        <w:rPr>
          <w:rFonts w:ascii="Times New Roman" w:hAnsi="Times New Roman"/>
        </w:rPr>
        <w:t xml:space="preserve">the appellant </w:t>
      </w:r>
      <w:r w:rsidR="00260BDC" w:rsidRPr="007A11CE">
        <w:rPr>
          <w:rFonts w:ascii="Times New Roman" w:hAnsi="Times New Roman"/>
        </w:rPr>
        <w:t xml:space="preserve">has in fact been </w:t>
      </w:r>
      <w:r w:rsidR="00F402CE" w:rsidRPr="007A11CE">
        <w:rPr>
          <w:rFonts w:ascii="Times New Roman" w:hAnsi="Times New Roman"/>
        </w:rPr>
        <w:t>disable</w:t>
      </w:r>
      <w:r w:rsidR="00260BDC" w:rsidRPr="007A11CE">
        <w:rPr>
          <w:rFonts w:ascii="Times New Roman" w:hAnsi="Times New Roman"/>
        </w:rPr>
        <w:t>d</w:t>
      </w:r>
      <w:r w:rsidR="00F402CE" w:rsidRPr="007A11CE">
        <w:rPr>
          <w:rFonts w:ascii="Times New Roman" w:hAnsi="Times New Roman"/>
        </w:rPr>
        <w:t xml:space="preserve"> </w:t>
      </w:r>
      <w:r w:rsidR="009E7A3F" w:rsidRPr="007A11CE">
        <w:rPr>
          <w:rFonts w:ascii="Times New Roman" w:hAnsi="Times New Roman"/>
        </w:rPr>
        <w:t>by regs</w:t>
      </w:r>
      <w:r w:rsidR="00F140A2" w:rsidRPr="007A11CE">
        <w:rPr>
          <w:rFonts w:ascii="Times New Roman" w:hAnsi="Times New Roman"/>
        </w:rPr>
        <w:t> </w:t>
      </w:r>
      <w:r w:rsidR="009E7A3F" w:rsidRPr="007A11CE">
        <w:rPr>
          <w:rFonts w:ascii="Times New Roman" w:hAnsi="Times New Roman"/>
        </w:rPr>
        <w:t xml:space="preserve">14 and 15 of the Regulations </w:t>
      </w:r>
      <w:r w:rsidR="00F402CE" w:rsidRPr="007A11CE">
        <w:rPr>
          <w:rFonts w:ascii="Times New Roman" w:hAnsi="Times New Roman"/>
        </w:rPr>
        <w:t>from being represented in a Ch</w:t>
      </w:r>
      <w:r w:rsidR="00F140A2" w:rsidRPr="007A11CE">
        <w:rPr>
          <w:rFonts w:ascii="Times New Roman" w:hAnsi="Times New Roman"/>
        </w:rPr>
        <w:t> </w:t>
      </w:r>
      <w:r w:rsidR="00F402CE" w:rsidRPr="007A11CE">
        <w:rPr>
          <w:rFonts w:ascii="Times New Roman" w:hAnsi="Times New Roman"/>
        </w:rPr>
        <w:t>III court or from litigating in the jurisdiction conferred on this Court by s</w:t>
      </w:r>
      <w:r w:rsidR="00F140A2" w:rsidRPr="007A11CE">
        <w:rPr>
          <w:rFonts w:ascii="Times New Roman" w:hAnsi="Times New Roman"/>
        </w:rPr>
        <w:t> </w:t>
      </w:r>
      <w:r w:rsidR="00F402CE" w:rsidRPr="007A11CE">
        <w:rPr>
          <w:rFonts w:ascii="Times New Roman" w:hAnsi="Times New Roman"/>
        </w:rPr>
        <w:t xml:space="preserve">75(iii) of the </w:t>
      </w:r>
      <w:r w:rsidR="00F402CE" w:rsidRPr="007A11CE">
        <w:rPr>
          <w:rFonts w:ascii="Times New Roman" w:hAnsi="Times New Roman"/>
          <w:i/>
        </w:rPr>
        <w:t>Constitution</w:t>
      </w:r>
      <w:r w:rsidR="00F97732" w:rsidRPr="007A11CE">
        <w:rPr>
          <w:rFonts w:ascii="Times New Roman" w:hAnsi="Times New Roman"/>
        </w:rPr>
        <w:t xml:space="preserve">; </w:t>
      </w:r>
      <w:r w:rsidR="0097077A" w:rsidRPr="007A11CE">
        <w:rPr>
          <w:rFonts w:ascii="Times New Roman" w:hAnsi="Times New Roman"/>
        </w:rPr>
        <w:t xml:space="preserve">and </w:t>
      </w:r>
      <w:r w:rsidR="00F97732" w:rsidRPr="007A11CE">
        <w:rPr>
          <w:rFonts w:ascii="Times New Roman" w:hAnsi="Times New Roman"/>
        </w:rPr>
        <w:t>(2)</w:t>
      </w:r>
      <w:r w:rsidR="00F140A2" w:rsidRPr="007A11CE">
        <w:rPr>
          <w:rFonts w:ascii="Times New Roman" w:hAnsi="Times New Roman"/>
        </w:rPr>
        <w:t> </w:t>
      </w:r>
      <w:r w:rsidR="00CC69C7" w:rsidRPr="007A11CE">
        <w:rPr>
          <w:rFonts w:ascii="Times New Roman" w:hAnsi="Times New Roman"/>
        </w:rPr>
        <w:t xml:space="preserve">the appellant advances </w:t>
      </w:r>
      <w:r w:rsidR="00AE42B5" w:rsidRPr="007A11CE">
        <w:rPr>
          <w:rFonts w:ascii="Times New Roman" w:hAnsi="Times New Roman"/>
        </w:rPr>
        <w:t>no</w:t>
      </w:r>
      <w:r w:rsidR="00246E4E" w:rsidRPr="007A11CE">
        <w:rPr>
          <w:rFonts w:ascii="Times New Roman" w:hAnsi="Times New Roman"/>
        </w:rPr>
        <w:t xml:space="preserve"> </w:t>
      </w:r>
      <w:r w:rsidR="00AE42B5" w:rsidRPr="007A11CE">
        <w:rPr>
          <w:rFonts w:ascii="Times New Roman" w:hAnsi="Times New Roman"/>
        </w:rPr>
        <w:t>reason to consider that</w:t>
      </w:r>
      <w:r w:rsidR="00B86F43" w:rsidRPr="007A11CE">
        <w:rPr>
          <w:rFonts w:ascii="Times New Roman" w:hAnsi="Times New Roman"/>
        </w:rPr>
        <w:t xml:space="preserve"> </w:t>
      </w:r>
      <w:r w:rsidR="0030756F" w:rsidRPr="007A11CE">
        <w:rPr>
          <w:rFonts w:ascii="Times New Roman" w:hAnsi="Times New Roman"/>
        </w:rPr>
        <w:t>s</w:t>
      </w:r>
      <w:r w:rsidR="00F140A2" w:rsidRPr="007A11CE">
        <w:rPr>
          <w:rFonts w:ascii="Times New Roman" w:hAnsi="Times New Roman"/>
        </w:rPr>
        <w:t> </w:t>
      </w:r>
      <w:r w:rsidR="0030756F" w:rsidRPr="007A11CE">
        <w:rPr>
          <w:rFonts w:ascii="Times New Roman" w:hAnsi="Times New Roman"/>
        </w:rPr>
        <w:t xml:space="preserve">15A of the </w:t>
      </w:r>
      <w:r w:rsidR="0030756F" w:rsidRPr="007A11CE">
        <w:rPr>
          <w:rFonts w:ascii="Times New Roman" w:hAnsi="Times New Roman"/>
          <w:i/>
          <w:iCs/>
        </w:rPr>
        <w:t>Acts Interpretation Act</w:t>
      </w:r>
      <w:r w:rsidR="000E61A0" w:rsidRPr="007A11CE">
        <w:rPr>
          <w:rFonts w:ascii="Times New Roman" w:hAnsi="Times New Roman"/>
        </w:rPr>
        <w:t xml:space="preserve"> </w:t>
      </w:r>
      <w:r w:rsidR="00C36E9B" w:rsidRPr="007A11CE">
        <w:rPr>
          <w:rFonts w:ascii="Times New Roman" w:hAnsi="Times New Roman"/>
        </w:rPr>
        <w:t xml:space="preserve">would not </w:t>
      </w:r>
      <w:r w:rsidR="004F292E" w:rsidRPr="007A11CE">
        <w:rPr>
          <w:rFonts w:ascii="Times New Roman" w:hAnsi="Times New Roman"/>
        </w:rPr>
        <w:t>apply through</w:t>
      </w:r>
      <w:r w:rsidR="0030756F" w:rsidRPr="007A11CE">
        <w:rPr>
          <w:rFonts w:ascii="Times New Roman" w:hAnsi="Times New Roman"/>
        </w:rPr>
        <w:t xml:space="preserve"> s</w:t>
      </w:r>
      <w:r w:rsidR="00F140A2" w:rsidRPr="007A11CE">
        <w:rPr>
          <w:rFonts w:ascii="Times New Roman" w:hAnsi="Times New Roman"/>
        </w:rPr>
        <w:t> </w:t>
      </w:r>
      <w:r w:rsidR="0030756F" w:rsidRPr="007A11CE">
        <w:rPr>
          <w:rFonts w:ascii="Times New Roman" w:hAnsi="Times New Roman"/>
        </w:rPr>
        <w:t xml:space="preserve">13(1)(a) and (c) of the </w:t>
      </w:r>
      <w:r w:rsidR="0030756F" w:rsidRPr="007A11CE">
        <w:rPr>
          <w:rFonts w:ascii="Times New Roman" w:hAnsi="Times New Roman"/>
          <w:i/>
          <w:iCs/>
        </w:rPr>
        <w:t>Legislation Act</w:t>
      </w:r>
      <w:r w:rsidR="0097633B" w:rsidRPr="007A11CE">
        <w:rPr>
          <w:rFonts w:ascii="Times New Roman" w:hAnsi="Times New Roman"/>
        </w:rPr>
        <w:t xml:space="preserve"> </w:t>
      </w:r>
      <w:r w:rsidR="00770B16" w:rsidRPr="007A11CE">
        <w:rPr>
          <w:rFonts w:ascii="Times New Roman" w:hAnsi="Times New Roman"/>
        </w:rPr>
        <w:t xml:space="preserve">to </w:t>
      </w:r>
      <w:r w:rsidR="004F292E" w:rsidRPr="007A11CE">
        <w:rPr>
          <w:rFonts w:ascii="Times New Roman" w:hAnsi="Times New Roman"/>
        </w:rPr>
        <w:t xml:space="preserve">require </w:t>
      </w:r>
      <w:r w:rsidR="00D90C0D" w:rsidRPr="007A11CE">
        <w:rPr>
          <w:rFonts w:ascii="Times New Roman" w:hAnsi="Times New Roman"/>
        </w:rPr>
        <w:t>regs</w:t>
      </w:r>
      <w:r w:rsidR="00F140A2" w:rsidRPr="007A11CE">
        <w:rPr>
          <w:rFonts w:ascii="Times New Roman" w:hAnsi="Times New Roman"/>
        </w:rPr>
        <w:t> </w:t>
      </w:r>
      <w:r w:rsidR="00D90C0D" w:rsidRPr="007A11CE">
        <w:rPr>
          <w:rFonts w:ascii="Times New Roman" w:hAnsi="Times New Roman"/>
        </w:rPr>
        <w:t xml:space="preserve">14 and 15 of the Regulations </w:t>
      </w:r>
      <w:r w:rsidR="004F292E" w:rsidRPr="007A11CE">
        <w:rPr>
          <w:rFonts w:ascii="Times New Roman" w:hAnsi="Times New Roman"/>
        </w:rPr>
        <w:t xml:space="preserve">to be </w:t>
      </w:r>
      <w:r w:rsidR="00C56D95" w:rsidRPr="007A11CE">
        <w:rPr>
          <w:rFonts w:ascii="Times New Roman" w:hAnsi="Times New Roman"/>
        </w:rPr>
        <w:t xml:space="preserve">read and </w:t>
      </w:r>
      <w:r w:rsidR="004F292E" w:rsidRPr="007A11CE">
        <w:rPr>
          <w:rFonts w:ascii="Times New Roman" w:hAnsi="Times New Roman"/>
        </w:rPr>
        <w:t xml:space="preserve">construed </w:t>
      </w:r>
      <w:r w:rsidR="00383C17" w:rsidRPr="007A11CE">
        <w:rPr>
          <w:rFonts w:ascii="Times New Roman" w:hAnsi="Times New Roman"/>
        </w:rPr>
        <w:t xml:space="preserve">so as </w:t>
      </w:r>
      <w:r w:rsidR="0097633B" w:rsidRPr="007A11CE">
        <w:rPr>
          <w:rFonts w:ascii="Times New Roman" w:hAnsi="Times New Roman"/>
        </w:rPr>
        <w:t xml:space="preserve">to avoid </w:t>
      </w:r>
      <w:r w:rsidR="00B25D66" w:rsidRPr="007A11CE">
        <w:rPr>
          <w:rFonts w:ascii="Times New Roman" w:hAnsi="Times New Roman"/>
        </w:rPr>
        <w:t xml:space="preserve">such constitutional limitation as might ultimately </w:t>
      </w:r>
      <w:r w:rsidR="00571EFF" w:rsidRPr="007A11CE">
        <w:rPr>
          <w:rFonts w:ascii="Times New Roman" w:hAnsi="Times New Roman"/>
        </w:rPr>
        <w:t xml:space="preserve">be </w:t>
      </w:r>
      <w:r w:rsidR="00B25D66" w:rsidRPr="007A11CE">
        <w:rPr>
          <w:rFonts w:ascii="Times New Roman" w:hAnsi="Times New Roman"/>
        </w:rPr>
        <w:t>derived from Ch</w:t>
      </w:r>
      <w:r w:rsidR="00B5074D" w:rsidRPr="007A11CE">
        <w:rPr>
          <w:rFonts w:ascii="Times New Roman" w:hAnsi="Times New Roman"/>
        </w:rPr>
        <w:t> </w:t>
      </w:r>
      <w:r w:rsidR="00B25D66" w:rsidRPr="007A11CE">
        <w:rPr>
          <w:rFonts w:ascii="Times New Roman" w:hAnsi="Times New Roman"/>
        </w:rPr>
        <w:t xml:space="preserve">III of the </w:t>
      </w:r>
      <w:r w:rsidR="00B25D66" w:rsidRPr="007A11CE">
        <w:rPr>
          <w:rFonts w:ascii="Times New Roman" w:hAnsi="Times New Roman"/>
          <w:i/>
        </w:rPr>
        <w:t>Constitution</w:t>
      </w:r>
      <w:r w:rsidR="00B25D66" w:rsidRPr="007A11CE">
        <w:rPr>
          <w:rFonts w:ascii="Times New Roman" w:hAnsi="Times New Roman"/>
        </w:rPr>
        <w:t xml:space="preserve"> beyond that recognised in </w:t>
      </w:r>
      <w:r w:rsidR="00B25D66" w:rsidRPr="007A11CE">
        <w:rPr>
          <w:rFonts w:ascii="Times New Roman" w:hAnsi="Times New Roman"/>
          <w:i/>
          <w:iCs/>
        </w:rPr>
        <w:t>Graham</w:t>
      </w:r>
      <w:r w:rsidR="0067280E" w:rsidRPr="007A11CE">
        <w:rPr>
          <w:rFonts w:ascii="Times New Roman" w:hAnsi="Times New Roman"/>
        </w:rPr>
        <w:t>.</w:t>
      </w:r>
    </w:p>
    <w:p w14:paraId="272D81CA" w14:textId="2DD52526" w:rsidR="00D3023C" w:rsidRPr="007A11CE" w:rsidRDefault="00D3023C" w:rsidP="007A11CE">
      <w:pPr>
        <w:pStyle w:val="HeadingL1"/>
        <w:spacing w:after="260" w:line="280" w:lineRule="exact"/>
        <w:ind w:right="0"/>
        <w:jc w:val="both"/>
        <w:rPr>
          <w:rFonts w:ascii="Times New Roman" w:hAnsi="Times New Roman"/>
        </w:rPr>
      </w:pPr>
      <w:r w:rsidRPr="007A11CE">
        <w:rPr>
          <w:rFonts w:ascii="Times New Roman" w:hAnsi="Times New Roman"/>
        </w:rPr>
        <w:t>Disposition</w:t>
      </w:r>
    </w:p>
    <w:p w14:paraId="064C1A2D" w14:textId="77777777" w:rsidR="000525DE" w:rsidRDefault="00D3023C" w:rsidP="007A11CE">
      <w:pPr>
        <w:pStyle w:val="FixListStyle"/>
        <w:spacing w:after="260" w:line="280" w:lineRule="exact"/>
        <w:ind w:right="0"/>
        <w:jc w:val="both"/>
        <w:rPr>
          <w:rFonts w:ascii="Times New Roman" w:hAnsi="Times New Roman"/>
        </w:rPr>
      </w:pPr>
      <w:r w:rsidRPr="007A11CE">
        <w:rPr>
          <w:rFonts w:ascii="Times New Roman" w:hAnsi="Times New Roman"/>
        </w:rPr>
        <w:tab/>
        <w:t>The appeal should be dismissed with costs.</w:t>
      </w:r>
    </w:p>
    <w:p w14:paraId="3094E1BA" w14:textId="77777777" w:rsidR="000525DE" w:rsidRDefault="000525DE" w:rsidP="007A11CE">
      <w:pPr>
        <w:pStyle w:val="FixListStyle"/>
        <w:spacing w:after="260" w:line="280" w:lineRule="exact"/>
        <w:ind w:right="0"/>
        <w:jc w:val="both"/>
        <w:rPr>
          <w:rFonts w:ascii="Times New Roman" w:hAnsi="Times New Roman"/>
        </w:rPr>
        <w:sectPr w:rsidR="000525DE" w:rsidSect="00C54135">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67037CD7" w14:textId="77777777" w:rsidR="000525DE" w:rsidRPr="000E12A4" w:rsidRDefault="000525DE" w:rsidP="000E12A4">
      <w:pPr>
        <w:pStyle w:val="FixListStyle"/>
        <w:tabs>
          <w:tab w:val="clear" w:pos="720"/>
          <w:tab w:val="left" w:pos="0"/>
        </w:tabs>
        <w:spacing w:after="260" w:line="280" w:lineRule="exact"/>
        <w:ind w:right="0"/>
        <w:jc w:val="both"/>
        <w:rPr>
          <w:rFonts w:ascii="Times New Roman" w:hAnsi="Times New Roman"/>
        </w:rPr>
      </w:pPr>
      <w:r w:rsidRPr="000E12A4">
        <w:rPr>
          <w:rFonts w:ascii="Times New Roman" w:hAnsi="Times New Roman"/>
        </w:rPr>
        <w:lastRenderedPageBreak/>
        <w:t xml:space="preserve">GORDON AND STEWARD JJ.   The Minister for Foreign Affairs designated Oleg Deripaska, a Russian national, for targeted financial sanctions and declared him for travel bans under the </w:t>
      </w:r>
      <w:r w:rsidRPr="000E12A4">
        <w:rPr>
          <w:rFonts w:ascii="Times New Roman" w:hAnsi="Times New Roman"/>
          <w:i/>
        </w:rPr>
        <w:t>Autonomous Sanctions Act 2011</w:t>
      </w:r>
      <w:r w:rsidRPr="000E12A4">
        <w:rPr>
          <w:rFonts w:ascii="Times New Roman" w:hAnsi="Times New Roman"/>
        </w:rPr>
        <w:t xml:space="preserve"> (Cth) ("the AS Act") and the </w:t>
      </w:r>
      <w:r w:rsidRPr="000E12A4">
        <w:rPr>
          <w:rFonts w:ascii="Times New Roman" w:hAnsi="Times New Roman"/>
          <w:i/>
        </w:rPr>
        <w:t>Autonomous Sanctions Regulations 2011</w:t>
      </w:r>
      <w:r w:rsidRPr="000E12A4">
        <w:rPr>
          <w:rFonts w:ascii="Times New Roman" w:hAnsi="Times New Roman"/>
        </w:rPr>
        <w:t xml:space="preserve"> (Cth) ("the Regulations"). Mr</w:t>
      </w:r>
      <w:r>
        <w:rPr>
          <w:rFonts w:ascii="Times New Roman" w:hAnsi="Times New Roman"/>
        </w:rPr>
        <w:t> </w:t>
      </w:r>
      <w:r w:rsidRPr="000E12A4">
        <w:rPr>
          <w:rFonts w:ascii="Times New Roman" w:hAnsi="Times New Roman"/>
        </w:rPr>
        <w:t>Deripaska challenged that decision by way of an application for judicial review.</w:t>
      </w:r>
    </w:p>
    <w:p w14:paraId="0BD93267"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b/>
          <w:bCs/>
        </w:rPr>
        <w:tab/>
      </w:r>
      <w:r w:rsidRPr="000E12A4">
        <w:rPr>
          <w:rFonts w:ascii="Times New Roman" w:hAnsi="Times New Roman"/>
        </w:rPr>
        <w:t xml:space="preserve">The practical effect of regs 14 and 15 of the Regulations is that a designated person would be unlikely to be able to retain an Australian lawyer to advise or represent them unless the Minister granted a permit under reg 18. The effect of two successive permits is that Mr Deripaska has not been prevented from bringing this proceeding. However, it </w:t>
      </w:r>
      <w:r w:rsidRPr="00D65643">
        <w:rPr>
          <w:rFonts w:ascii="Times New Roman" w:hAnsi="Times New Roman"/>
          <w:spacing w:val="2"/>
        </w:rPr>
        <w:t>is common ground that the Parliament cannot make Mr Deripaska's access to the entrenched jurisdiction under s 75(v) of the </w:t>
      </w:r>
      <w:r w:rsidRPr="00D65643">
        <w:rPr>
          <w:rFonts w:ascii="Times New Roman" w:hAnsi="Times New Roman"/>
          <w:i/>
          <w:iCs/>
          <w:spacing w:val="2"/>
        </w:rPr>
        <w:t>Constitution</w:t>
      </w:r>
      <w:r w:rsidRPr="00D65643">
        <w:rPr>
          <w:rFonts w:ascii="Times New Roman" w:hAnsi="Times New Roman"/>
          <w:spacing w:val="2"/>
        </w:rPr>
        <w:t xml:space="preserve"> a matter for the discretion of the Executive.</w:t>
      </w:r>
    </w:p>
    <w:p w14:paraId="266F5B48"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determinative question is whether the Governor-General's regulation</w:t>
      </w:r>
      <w:r>
        <w:rPr>
          <w:rFonts w:ascii="Times New Roman" w:hAnsi="Times New Roman"/>
        </w:rPr>
        <w:noBreakHyphen/>
      </w:r>
      <w:r w:rsidRPr="000E12A4">
        <w:rPr>
          <w:rFonts w:ascii="Times New Roman" w:hAnsi="Times New Roman"/>
        </w:rPr>
        <w:t xml:space="preserve">making power can be read down so as not to authorise regs 14 and 15 to preclude Mr Deripaska, in the absence of a permit, from challenging the validity of the decision to designate and declare him under the AS Act pursuant to s 75(v) of the </w:t>
      </w:r>
      <w:r w:rsidRPr="000E12A4">
        <w:rPr>
          <w:rFonts w:ascii="Times New Roman" w:hAnsi="Times New Roman"/>
          <w:i/>
          <w:iCs/>
        </w:rPr>
        <w:t>Constitution</w:t>
      </w:r>
      <w:r w:rsidRPr="000E12A4">
        <w:rPr>
          <w:rFonts w:ascii="Times New Roman" w:hAnsi="Times New Roman"/>
        </w:rPr>
        <w:t xml:space="preserve"> or s 39B(1) of the </w:t>
      </w:r>
      <w:r w:rsidRPr="000E12A4">
        <w:rPr>
          <w:rFonts w:ascii="Times New Roman" w:hAnsi="Times New Roman"/>
          <w:i/>
          <w:iCs/>
        </w:rPr>
        <w:t>Judiciary Act 1903</w:t>
      </w:r>
      <w:r w:rsidRPr="000E12A4">
        <w:rPr>
          <w:rFonts w:ascii="Times New Roman" w:hAnsi="Times New Roman"/>
        </w:rPr>
        <w:t xml:space="preserve"> (Cth). Since the validity of the Regulations may be tested by asking whether, if they were enacted as primary legislation, they would comply with the constitutional limitation, the</w:t>
      </w:r>
      <w:r>
        <w:rPr>
          <w:rFonts w:ascii="Times New Roman" w:hAnsi="Times New Roman"/>
        </w:rPr>
        <w:t> </w:t>
      </w:r>
      <w:r w:rsidRPr="000E12A4">
        <w:rPr>
          <w:rFonts w:ascii="Times New Roman" w:hAnsi="Times New Roman"/>
        </w:rPr>
        <w:t>determinative question may be reframed as a "composite hypothetical question":</w:t>
      </w:r>
      <w:r w:rsidRPr="000E12A4">
        <w:rPr>
          <w:rStyle w:val="FootnoteReference"/>
          <w:rFonts w:ascii="Times New Roman" w:hAnsi="Times New Roman"/>
          <w:sz w:val="24"/>
        </w:rPr>
        <w:footnoteReference w:id="63"/>
      </w:r>
      <w:r w:rsidRPr="000E12A4">
        <w:rPr>
          <w:rFonts w:ascii="Times New Roman" w:hAnsi="Times New Roman"/>
        </w:rPr>
        <w:t xml:space="preserve"> can regs 14 and 15 be read down so as to give them a "partial but constitutionally valid operation"?</w:t>
      </w:r>
      <w:r w:rsidRPr="000E12A4">
        <w:rPr>
          <w:rStyle w:val="FootnoteReference"/>
          <w:rFonts w:ascii="Times New Roman" w:hAnsi="Times New Roman"/>
          <w:sz w:val="24"/>
        </w:rPr>
        <w:footnoteReference w:id="64"/>
      </w:r>
    </w:p>
    <w:p w14:paraId="190DA609"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For the following reasons, the answer is "yes". Regulations 14 and 15 should be read down so as not to apply to the extent that they would, directly or as a matter of practical effect, curtail or limit the right or ability of a person to seek relief under s 75(v) of the </w:t>
      </w:r>
      <w:r w:rsidRPr="000E12A4">
        <w:rPr>
          <w:rFonts w:ascii="Times New Roman" w:hAnsi="Times New Roman"/>
          <w:i/>
          <w:iCs/>
        </w:rPr>
        <w:t>Constitution</w:t>
      </w:r>
      <w:r w:rsidRPr="000E12A4">
        <w:rPr>
          <w:rFonts w:ascii="Times New Roman" w:hAnsi="Times New Roman"/>
        </w:rPr>
        <w:t xml:space="preserve"> or s 39B(1) of the </w:t>
      </w:r>
      <w:r w:rsidRPr="000E12A4">
        <w:rPr>
          <w:rFonts w:ascii="Times New Roman" w:hAnsi="Times New Roman"/>
          <w:i/>
          <w:iCs/>
        </w:rPr>
        <w:t>Judiciary Act</w:t>
      </w:r>
      <w:r w:rsidRPr="000E12A4">
        <w:rPr>
          <w:rFonts w:ascii="Times New Roman" w:hAnsi="Times New Roman"/>
        </w:rPr>
        <w:t>. Read down in that manner, regs 14 and 15 do not relevantly constrain Mr Deripaska from bringing this proceeding without a ministerial permit. Whether regs 14 and 15 are invalid for infringing the other constitutional limitations for which Mr Deripaska contends should be left to a case in which they arise.</w:t>
      </w:r>
    </w:p>
    <w:p w14:paraId="3BA768AF"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These reasons will address: first, the statutory framework and factual background; second, the decisions of the Courts below and the appeal to this Court; </w:t>
      </w:r>
      <w:r w:rsidRPr="000E12A4">
        <w:rPr>
          <w:rFonts w:ascii="Times New Roman" w:hAnsi="Times New Roman"/>
        </w:rPr>
        <w:lastRenderedPageBreak/>
        <w:t xml:space="preserve">third, the constitutional framework and the entrenched jurisdiction conferred by s 75(v) of the </w:t>
      </w:r>
      <w:r w:rsidRPr="000E12A4">
        <w:rPr>
          <w:rFonts w:ascii="Times New Roman" w:hAnsi="Times New Roman"/>
          <w:i/>
        </w:rPr>
        <w:t>Constitution</w:t>
      </w:r>
      <w:r w:rsidRPr="000E12A4">
        <w:rPr>
          <w:rFonts w:ascii="Times New Roman" w:hAnsi="Times New Roman"/>
        </w:rPr>
        <w:t>; fourth, the constructional imperative to read down the</w:t>
      </w:r>
      <w:r>
        <w:rPr>
          <w:rFonts w:ascii="Times New Roman" w:hAnsi="Times New Roman"/>
        </w:rPr>
        <w:t> </w:t>
      </w:r>
      <w:r w:rsidRPr="000E12A4">
        <w:rPr>
          <w:rFonts w:ascii="Times New Roman" w:hAnsi="Times New Roman"/>
        </w:rPr>
        <w:t>challenged regulations to accommodate that constitutional limitation; fifth,</w:t>
      </w:r>
      <w:r>
        <w:rPr>
          <w:rFonts w:ascii="Times New Roman" w:hAnsi="Times New Roman"/>
        </w:rPr>
        <w:t> </w:t>
      </w:r>
      <w:r w:rsidRPr="000E12A4">
        <w:rPr>
          <w:rFonts w:ascii="Times New Roman" w:hAnsi="Times New Roman"/>
        </w:rPr>
        <w:t>the</w:t>
      </w:r>
      <w:r>
        <w:rPr>
          <w:rFonts w:ascii="Times New Roman" w:hAnsi="Times New Roman"/>
        </w:rPr>
        <w:t> </w:t>
      </w:r>
      <w:r w:rsidRPr="000E12A4">
        <w:rPr>
          <w:rFonts w:ascii="Times New Roman" w:hAnsi="Times New Roman"/>
        </w:rPr>
        <w:t>limits on reading down to comply with that constitutional limitation; sixth, whether regs 14 and 15 can be read down conformably with those limits; and</w:t>
      </w:r>
      <w:r>
        <w:rPr>
          <w:rFonts w:ascii="Times New Roman" w:hAnsi="Times New Roman"/>
        </w:rPr>
        <w:t> </w:t>
      </w:r>
      <w:r w:rsidRPr="000E12A4">
        <w:rPr>
          <w:rFonts w:ascii="Times New Roman" w:hAnsi="Times New Roman"/>
        </w:rPr>
        <w:t>finally, whether, once they are read down, they infringe the other constitutional limitations for which Mr Deripaska contends.</w:t>
      </w:r>
    </w:p>
    <w:p w14:paraId="2067CB02" w14:textId="77777777" w:rsidR="000525DE" w:rsidRPr="000E12A4" w:rsidRDefault="000525DE" w:rsidP="000E12A4">
      <w:pPr>
        <w:pStyle w:val="HeadingL1"/>
        <w:spacing w:after="260" w:line="280" w:lineRule="exact"/>
        <w:ind w:right="0"/>
        <w:jc w:val="both"/>
        <w:rPr>
          <w:rFonts w:ascii="Times New Roman" w:hAnsi="Times New Roman"/>
        </w:rPr>
      </w:pPr>
      <w:r w:rsidRPr="000E12A4">
        <w:rPr>
          <w:rFonts w:ascii="Times New Roman" w:hAnsi="Times New Roman"/>
        </w:rPr>
        <w:t>Statutory framework and factual background</w:t>
      </w:r>
    </w:p>
    <w:p w14:paraId="48E3BF80"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AS Act</w:t>
      </w:r>
      <w:r w:rsidRPr="000E12A4" w:rsidDel="00660499">
        <w:rPr>
          <w:rFonts w:ascii="Times New Roman" w:hAnsi="Times New Roman"/>
        </w:rPr>
        <w:t xml:space="preserve"> </w:t>
      </w:r>
      <w:r w:rsidRPr="000E12A4">
        <w:rPr>
          <w:rFonts w:ascii="Times New Roman" w:hAnsi="Times New Roman"/>
        </w:rPr>
        <w:t>provides for "sanctions to facilitate the conduct of Australia's external affairs, and for related purposes".</w:t>
      </w:r>
      <w:r w:rsidRPr="000E12A4">
        <w:rPr>
          <w:rStyle w:val="FootnoteReference"/>
          <w:rFonts w:ascii="Times New Roman" w:hAnsi="Times New Roman"/>
          <w:sz w:val="24"/>
        </w:rPr>
        <w:footnoteReference w:id="65"/>
      </w:r>
      <w:r w:rsidRPr="000E12A4">
        <w:rPr>
          <w:rFonts w:ascii="Times New Roman" w:hAnsi="Times New Roman"/>
        </w:rPr>
        <w:t xml:space="preserve"> It provides for the imposition of "autonomous sanctions", defined broadly to mean sanctions that are intended to influence foreign government entities,</w:t>
      </w:r>
      <w:r w:rsidRPr="000E12A4">
        <w:rPr>
          <w:rStyle w:val="FootnoteReference"/>
          <w:rFonts w:ascii="Times New Roman" w:hAnsi="Times New Roman"/>
          <w:sz w:val="24"/>
        </w:rPr>
        <w:footnoteReference w:id="66"/>
      </w:r>
      <w:r w:rsidRPr="000E12A4">
        <w:rPr>
          <w:rFonts w:ascii="Times New Roman" w:hAnsi="Times New Roman"/>
        </w:rPr>
        <w:t xml:space="preserve"> members of such entities, or persons or entities outside Australia, in accordance with Australian Government policy or that involve the prohibition of conduct in or connected with Australia that facilitates the engagement by such a person or entity in action outside Australia that is contrary to Australian Government policy.</w:t>
      </w:r>
      <w:r w:rsidRPr="000E12A4">
        <w:rPr>
          <w:rStyle w:val="FootnoteReference"/>
          <w:rFonts w:ascii="Times New Roman" w:hAnsi="Times New Roman"/>
          <w:sz w:val="24"/>
        </w:rPr>
        <w:footnoteReference w:id="67"/>
      </w:r>
      <w:r w:rsidRPr="000E12A4">
        <w:rPr>
          <w:rFonts w:ascii="Times New Roman" w:hAnsi="Times New Roman"/>
        </w:rPr>
        <w:t xml:space="preserve"> </w:t>
      </w:r>
    </w:p>
    <w:p w14:paraId="64367F0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AS Act operates principally by authorising the making of regulations which impose sanctions,</w:t>
      </w:r>
      <w:r w:rsidRPr="000E12A4">
        <w:rPr>
          <w:rStyle w:val="FootnoteReference"/>
          <w:rFonts w:ascii="Times New Roman" w:hAnsi="Times New Roman"/>
          <w:sz w:val="24"/>
        </w:rPr>
        <w:footnoteReference w:id="68"/>
      </w:r>
      <w:r w:rsidRPr="000E12A4">
        <w:rPr>
          <w:rFonts w:ascii="Times New Roman" w:hAnsi="Times New Roman"/>
        </w:rPr>
        <w:t xml:space="preserve"> including, relevantly, authorising regulations that make</w:t>
      </w:r>
      <w:r>
        <w:rPr>
          <w:rFonts w:ascii="Times New Roman" w:hAnsi="Times New Roman"/>
        </w:rPr>
        <w:t> </w:t>
      </w:r>
      <w:r w:rsidRPr="008703DE">
        <w:rPr>
          <w:rFonts w:ascii="Times New Roman" w:hAnsi="Times New Roman"/>
          <w:spacing w:val="2"/>
        </w:rPr>
        <w:t xml:space="preserve">provision for </w:t>
      </w:r>
      <w:r w:rsidRPr="008703DE">
        <w:rPr>
          <w:rFonts w:ascii="Times New Roman" w:hAnsi="Times New Roman"/>
          <w:spacing w:val="4"/>
        </w:rPr>
        <w:t>the "proscription of persons or entities (for specified purposes or more generally)" and the "restriction or prevention of uses of, dealings with, and making available of, assets".</w:t>
      </w:r>
      <w:r w:rsidRPr="008703DE">
        <w:rPr>
          <w:rStyle w:val="FootnoteReference"/>
          <w:rFonts w:ascii="Times New Roman" w:hAnsi="Times New Roman"/>
          <w:spacing w:val="4"/>
          <w:sz w:val="24"/>
        </w:rPr>
        <w:footnoteReference w:id="69"/>
      </w:r>
      <w:r w:rsidRPr="008703DE">
        <w:rPr>
          <w:rFonts w:ascii="Times New Roman" w:hAnsi="Times New Roman"/>
          <w:spacing w:val="4"/>
        </w:rPr>
        <w:t xml:space="preserve"> Part 2 of the Regulations, headed "Autonomous sanctions", provides for the imposition of sanctions by</w:t>
      </w:r>
      <w:r w:rsidRPr="000E12A4">
        <w:rPr>
          <w:rFonts w:ascii="Times New Roman" w:hAnsi="Times New Roman"/>
        </w:rPr>
        <w:t xml:space="preserve"> reference to various criteria. Relevantly, reg 6(a) provides that, for the purposes of s 10(1)(a) of the AS Act, the Minister may by legislative instrument designate a</w:t>
      </w:r>
      <w:r>
        <w:rPr>
          <w:rFonts w:ascii="Times New Roman" w:hAnsi="Times New Roman"/>
        </w:rPr>
        <w:t> </w:t>
      </w:r>
      <w:r w:rsidRPr="000E12A4">
        <w:rPr>
          <w:rFonts w:ascii="Times New Roman" w:hAnsi="Times New Roman"/>
        </w:rPr>
        <w:t>person or entity mentioned in an item of the table as a "designated person or entity" for the country mentioned in the item of the table. A designation under reg 6(a) is effective for three years.</w:t>
      </w:r>
      <w:r w:rsidRPr="000E12A4">
        <w:rPr>
          <w:rStyle w:val="FootnoteReference"/>
          <w:rFonts w:ascii="Times New Roman" w:hAnsi="Times New Roman"/>
          <w:sz w:val="24"/>
        </w:rPr>
        <w:footnoteReference w:id="70"/>
      </w:r>
    </w:p>
    <w:p w14:paraId="19B4B844"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lastRenderedPageBreak/>
        <w:tab/>
        <w:t xml:space="preserve">In June 2014, the Minister, acting under reg 6, made the </w:t>
      </w:r>
      <w:r w:rsidRPr="000E12A4">
        <w:rPr>
          <w:rFonts w:ascii="Times New Roman" w:hAnsi="Times New Roman"/>
          <w:i/>
          <w:iCs/>
        </w:rPr>
        <w:t>Autonomous Sanctions (Designated Persons and Entities and Declared Persons – Ukraine) List</w:t>
      </w:r>
      <w:r>
        <w:rPr>
          <w:rFonts w:ascii="Times New Roman" w:hAnsi="Times New Roman"/>
          <w:i/>
          <w:iCs/>
        </w:rPr>
        <w:t> </w:t>
      </w:r>
      <w:r w:rsidRPr="000E12A4">
        <w:rPr>
          <w:rFonts w:ascii="Times New Roman" w:hAnsi="Times New Roman"/>
          <w:i/>
          <w:iCs/>
        </w:rPr>
        <w:t>2014</w:t>
      </w:r>
      <w:r w:rsidRPr="000E12A4">
        <w:rPr>
          <w:rFonts w:ascii="Times New Roman" w:hAnsi="Times New Roman"/>
        </w:rPr>
        <w:t xml:space="preserve"> (Cth) ("the </w:t>
      </w:r>
      <w:r w:rsidRPr="000E12A4">
        <w:rPr>
          <w:rFonts w:ascii="Times New Roman" w:hAnsi="Times New Roman"/>
          <w:bCs/>
        </w:rPr>
        <w:t>2014 Instrument</w:t>
      </w:r>
      <w:r w:rsidRPr="000E12A4">
        <w:rPr>
          <w:rFonts w:ascii="Times New Roman" w:hAnsi="Times New Roman"/>
        </w:rPr>
        <w:t>"). In February 2022, i</w:t>
      </w:r>
      <w:r w:rsidRPr="000E12A4" w:rsidDel="006C6EF4">
        <w:rPr>
          <w:rFonts w:ascii="Times New Roman" w:hAnsi="Times New Roman"/>
        </w:rPr>
        <w:t xml:space="preserve">tem 6A was inserted into the table in reg 6 and </w:t>
      </w:r>
      <w:r w:rsidRPr="000E12A4">
        <w:rPr>
          <w:rFonts w:ascii="Times New Roman" w:hAnsi="Times New Roman"/>
        </w:rPr>
        <w:t xml:space="preserve">relevantly </w:t>
      </w:r>
      <w:r w:rsidRPr="000E12A4" w:rsidDel="006C6EF4">
        <w:rPr>
          <w:rFonts w:ascii="Times New Roman" w:hAnsi="Times New Roman"/>
        </w:rPr>
        <w:t>authorise</w:t>
      </w:r>
      <w:r w:rsidRPr="000E12A4">
        <w:rPr>
          <w:rFonts w:ascii="Times New Roman" w:hAnsi="Times New Roman"/>
        </w:rPr>
        <w:t>d</w:t>
      </w:r>
      <w:r w:rsidRPr="000E12A4" w:rsidDel="006C6EF4">
        <w:rPr>
          <w:rFonts w:ascii="Times New Roman" w:hAnsi="Times New Roman"/>
        </w:rPr>
        <w:t xml:space="preserve"> the designation and declaration of "[a] person … that the Minister is satisfied is, or has been, engaging in an activity or performing a function that is of economic or strategic significance to Russia".</w:t>
      </w:r>
      <w:r w:rsidRPr="000E12A4">
        <w:rPr>
          <w:rStyle w:val="FootnoteReference"/>
          <w:rFonts w:ascii="Times New Roman" w:hAnsi="Times New Roman"/>
          <w:sz w:val="24"/>
        </w:rPr>
        <w:footnoteReference w:id="71"/>
      </w:r>
      <w:r w:rsidRPr="000E12A4">
        <w:rPr>
          <w:rFonts w:ascii="Times New Roman" w:hAnsi="Times New Roman"/>
        </w:rPr>
        <w:t xml:space="preserve"> The 2014 Instrument was then amended in three relevant respects. First, its title was amended to refer to Russia as well as Ukraine.</w:t>
      </w:r>
      <w:r w:rsidRPr="000E12A4">
        <w:rPr>
          <w:rStyle w:val="FootnoteReference"/>
          <w:rFonts w:ascii="Times New Roman" w:hAnsi="Times New Roman"/>
          <w:sz w:val="24"/>
        </w:rPr>
        <w:footnoteReference w:id="72"/>
      </w:r>
      <w:r w:rsidRPr="000E12A4">
        <w:rPr>
          <w:rFonts w:ascii="Times New Roman" w:hAnsi="Times New Roman"/>
        </w:rPr>
        <w:t xml:space="preserve"> Second, s 3A</w:t>
      </w:r>
      <w:r w:rsidRPr="000E12A4">
        <w:rPr>
          <w:rStyle w:val="FootnoteReference"/>
          <w:rFonts w:ascii="Times New Roman" w:hAnsi="Times New Roman"/>
          <w:sz w:val="24"/>
        </w:rPr>
        <w:footnoteReference w:id="73"/>
      </w:r>
      <w:r w:rsidRPr="000E12A4">
        <w:rPr>
          <w:rFonts w:ascii="Times New Roman" w:hAnsi="Times New Roman"/>
        </w:rPr>
        <w:t xml:space="preserve"> was</w:t>
      </w:r>
      <w:r w:rsidRPr="000E12A4" w:rsidDel="00E10BA2">
        <w:rPr>
          <w:rFonts w:ascii="Times New Roman" w:hAnsi="Times New Roman"/>
        </w:rPr>
        <w:t xml:space="preserve"> inserted </w:t>
      </w:r>
      <w:r w:rsidRPr="000E12A4">
        <w:rPr>
          <w:rFonts w:ascii="Times New Roman" w:hAnsi="Times New Roman"/>
        </w:rPr>
        <w:t>to provide that, for the purposes of reg 6(a), each person or entity mentioned in an</w:t>
      </w:r>
      <w:r>
        <w:rPr>
          <w:rFonts w:ascii="Times New Roman" w:hAnsi="Times New Roman"/>
        </w:rPr>
        <w:t> </w:t>
      </w:r>
      <w:r w:rsidRPr="000E12A4">
        <w:rPr>
          <w:rFonts w:ascii="Times New Roman" w:hAnsi="Times New Roman"/>
        </w:rPr>
        <w:t>item of a table in Sch 2 is designated as a "designated person or entity" fo</w:t>
      </w:r>
      <w:r>
        <w:rPr>
          <w:rFonts w:ascii="Times New Roman" w:hAnsi="Times New Roman"/>
        </w:rPr>
        <w:t xml:space="preserve">r </w:t>
      </w:r>
      <w:r w:rsidRPr="000E12A4">
        <w:rPr>
          <w:rFonts w:ascii="Times New Roman" w:hAnsi="Times New Roman"/>
        </w:rPr>
        <w:t>Russia; and, for the purposes of reg 6(b), each person mentioned in an item of the</w:t>
      </w:r>
      <w:r>
        <w:rPr>
          <w:rFonts w:ascii="Times New Roman" w:hAnsi="Times New Roman"/>
        </w:rPr>
        <w:t> </w:t>
      </w:r>
      <w:r w:rsidRPr="000E12A4">
        <w:rPr>
          <w:rFonts w:ascii="Times New Roman" w:hAnsi="Times New Roman"/>
        </w:rPr>
        <w:t>table in Pt 1 of Sch 2 is declared for the purpose of preventing the person from travelling to, entering or remaining in Australia. Third,</w:t>
      </w:r>
      <w:r w:rsidRPr="000E12A4" w:rsidDel="00E10BA2">
        <w:rPr>
          <w:rFonts w:ascii="Times New Roman" w:hAnsi="Times New Roman"/>
        </w:rPr>
        <w:t xml:space="preserve"> </w:t>
      </w:r>
      <w:r w:rsidRPr="000E12A4">
        <w:rPr>
          <w:rFonts w:ascii="Times New Roman" w:hAnsi="Times New Roman"/>
        </w:rPr>
        <w:t>Sch 2 was inserted</w:t>
      </w:r>
      <w:r w:rsidRPr="000E12A4">
        <w:rPr>
          <w:rStyle w:val="FootnoteReference"/>
          <w:rFonts w:ascii="Times New Roman" w:hAnsi="Times New Roman"/>
          <w:sz w:val="24"/>
        </w:rPr>
        <w:footnoteReference w:id="74"/>
      </w:r>
      <w:r w:rsidRPr="000E12A4">
        <w:rPr>
          <w:rFonts w:ascii="Times New Roman" w:hAnsi="Times New Roman"/>
        </w:rPr>
        <w:t xml:space="preserve"> to include persons from Russia in the list of designated and declared persons under reg 6(a) and (b).</w:t>
      </w:r>
    </w:p>
    <w:p w14:paraId="450DD86D"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On 17 March 2022, the Minister amended </w:t>
      </w:r>
      <w:r w:rsidRPr="000E12A4">
        <w:rPr>
          <w:rFonts w:ascii="Times New Roman" w:hAnsi="Times New Roman"/>
          <w:bCs/>
        </w:rPr>
        <w:t>Pt 1 of Sch 2</w:t>
      </w:r>
      <w:r w:rsidRPr="000E12A4">
        <w:rPr>
          <w:rFonts w:ascii="Times New Roman" w:hAnsi="Times New Roman"/>
        </w:rPr>
        <w:t xml:space="preserve"> to the</w:t>
      </w:r>
      <w:r>
        <w:rPr>
          <w:rFonts w:ascii="Times New Roman" w:hAnsi="Times New Roman"/>
        </w:rPr>
        <w:t> </w:t>
      </w:r>
      <w:r w:rsidRPr="000E12A4">
        <w:rPr>
          <w:rFonts w:ascii="Times New Roman" w:hAnsi="Times New Roman"/>
        </w:rPr>
        <w:t>2014</w:t>
      </w:r>
      <w:r>
        <w:rPr>
          <w:rFonts w:ascii="Times New Roman" w:hAnsi="Times New Roman"/>
        </w:rPr>
        <w:t> </w:t>
      </w:r>
      <w:r w:rsidRPr="000E12A4">
        <w:rPr>
          <w:rFonts w:ascii="Times New Roman" w:hAnsi="Times New Roman"/>
        </w:rPr>
        <w:t>Instrument to include Mr Deripaska's name in the list of designated and declared persons with respect to Russia.</w:t>
      </w:r>
      <w:r w:rsidRPr="000E12A4">
        <w:rPr>
          <w:rStyle w:val="FootnoteReference"/>
          <w:rFonts w:ascii="Times New Roman" w:hAnsi="Times New Roman"/>
          <w:sz w:val="24"/>
        </w:rPr>
        <w:footnoteReference w:id="75"/>
      </w:r>
      <w:r w:rsidRPr="000E12A4">
        <w:rPr>
          <w:rFonts w:ascii="Times New Roman" w:hAnsi="Times New Roman"/>
        </w:rPr>
        <w:t xml:space="preserve"> That was done on the basis that Mr Deripaska met the listing criteria in item 6A ("Russia") of the table in reg 6. </w:t>
      </w:r>
    </w:p>
    <w:p w14:paraId="3F34B1A1"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Where a person or an entity is designated under reg 6(a), other regulations prohibit certain conduct to ensure that the autonomous sanctions are effective. In</w:t>
      </w:r>
      <w:r>
        <w:rPr>
          <w:rFonts w:ascii="Times New Roman" w:hAnsi="Times New Roman"/>
        </w:rPr>
        <w:t> </w:t>
      </w:r>
      <w:r w:rsidRPr="000E12A4">
        <w:rPr>
          <w:rFonts w:ascii="Times New Roman" w:hAnsi="Times New Roman"/>
        </w:rPr>
        <w:t>the present case, reg 14 prohibits dealings with the designated person or entity. It provides:</w:t>
      </w:r>
    </w:p>
    <w:p w14:paraId="638F33C5" w14:textId="77777777" w:rsidR="000525DE" w:rsidRPr="000E12A4" w:rsidRDefault="000525DE" w:rsidP="00570F07">
      <w:pPr>
        <w:pStyle w:val="leftright"/>
        <w:keepNext/>
        <w:spacing w:before="0" w:after="260" w:line="280" w:lineRule="exact"/>
        <w:ind w:right="0"/>
        <w:jc w:val="both"/>
        <w:rPr>
          <w:rFonts w:ascii="Times New Roman" w:hAnsi="Times New Roman"/>
        </w:rPr>
      </w:pPr>
      <w:r w:rsidRPr="000E12A4">
        <w:rPr>
          <w:rFonts w:ascii="Times New Roman" w:hAnsi="Times New Roman"/>
        </w:rPr>
        <w:lastRenderedPageBreak/>
        <w:t>"(1)</w:t>
      </w:r>
      <w:r w:rsidRPr="000E12A4">
        <w:rPr>
          <w:rFonts w:ascii="Times New Roman" w:hAnsi="Times New Roman"/>
        </w:rPr>
        <w:tab/>
        <w:t>A person contravenes this regulation if:</w:t>
      </w:r>
    </w:p>
    <w:p w14:paraId="07C1F4F2" w14:textId="77777777" w:rsidR="000525DE" w:rsidRPr="000E12A4" w:rsidRDefault="000525DE" w:rsidP="000E12A4">
      <w:pPr>
        <w:pStyle w:val="leftright"/>
        <w:spacing w:before="0" w:after="260" w:line="280" w:lineRule="exact"/>
        <w:ind w:left="2160" w:right="0" w:hanging="720"/>
        <w:jc w:val="both"/>
        <w:rPr>
          <w:rFonts w:ascii="Times New Roman" w:hAnsi="Times New Roman"/>
        </w:rPr>
      </w:pPr>
      <w:r w:rsidRPr="000E12A4">
        <w:rPr>
          <w:rFonts w:ascii="Times New Roman" w:hAnsi="Times New Roman"/>
        </w:rPr>
        <w:t>(a)</w:t>
      </w:r>
      <w:r w:rsidRPr="000E12A4">
        <w:rPr>
          <w:rFonts w:ascii="Times New Roman" w:hAnsi="Times New Roman"/>
        </w:rPr>
        <w:tab/>
        <w:t>the person directly or indirectly makes an asset available to, or for the benefit of, a designated person or entity; and</w:t>
      </w:r>
    </w:p>
    <w:p w14:paraId="36DE9C5D" w14:textId="77777777" w:rsidR="000525DE" w:rsidRPr="000E12A4" w:rsidRDefault="000525DE" w:rsidP="000E12A4">
      <w:pPr>
        <w:pStyle w:val="leftright"/>
        <w:spacing w:before="0" w:after="260" w:line="280" w:lineRule="exact"/>
        <w:ind w:left="2160" w:right="0" w:hanging="720"/>
        <w:jc w:val="both"/>
        <w:rPr>
          <w:rFonts w:ascii="Times New Roman" w:hAnsi="Times New Roman"/>
        </w:rPr>
      </w:pPr>
      <w:r w:rsidRPr="000E12A4">
        <w:rPr>
          <w:rFonts w:ascii="Times New Roman" w:hAnsi="Times New Roman"/>
        </w:rPr>
        <w:t>(b)</w:t>
      </w:r>
      <w:r w:rsidRPr="000E12A4">
        <w:rPr>
          <w:rFonts w:ascii="Times New Roman" w:hAnsi="Times New Roman"/>
        </w:rPr>
        <w:tab/>
        <w:t>the making available of the asset is not authorised by a permit granted under regulation 18.</w:t>
      </w:r>
    </w:p>
    <w:p w14:paraId="15217B52" w14:textId="77777777" w:rsidR="000525DE" w:rsidRPr="000E12A4" w:rsidRDefault="000525DE" w:rsidP="000E12A4">
      <w:pPr>
        <w:pStyle w:val="leftright"/>
        <w:spacing w:before="0" w:after="260" w:line="280" w:lineRule="exact"/>
        <w:ind w:left="1440" w:right="0" w:hanging="720"/>
        <w:jc w:val="both"/>
        <w:rPr>
          <w:rFonts w:ascii="Times New Roman" w:hAnsi="Times New Roman"/>
        </w:rPr>
      </w:pPr>
      <w:r w:rsidRPr="000E12A4">
        <w:rPr>
          <w:rFonts w:ascii="Times New Roman" w:hAnsi="Times New Roman"/>
        </w:rPr>
        <w:t>(1A)</w:t>
      </w:r>
      <w:r w:rsidRPr="000E12A4">
        <w:rPr>
          <w:rFonts w:ascii="Times New Roman" w:hAnsi="Times New Roman"/>
        </w:rPr>
        <w:tab/>
        <w:t>Strict liability applies to the circumstance that the making available of the asset is not in accordance with a permit under regulation 18.</w:t>
      </w:r>
    </w:p>
    <w:p w14:paraId="4084C2F8" w14:textId="77777777" w:rsidR="000525DE" w:rsidRPr="000E12A4" w:rsidRDefault="000525DE" w:rsidP="000E12A4">
      <w:pPr>
        <w:pStyle w:val="leftright"/>
        <w:spacing w:before="0" w:after="260" w:line="280" w:lineRule="exact"/>
        <w:ind w:left="2880" w:right="0" w:hanging="1440"/>
        <w:jc w:val="both"/>
        <w:rPr>
          <w:rFonts w:ascii="Times New Roman" w:hAnsi="Times New Roman"/>
        </w:rPr>
      </w:pPr>
      <w:r w:rsidRPr="000E12A4">
        <w:rPr>
          <w:rFonts w:ascii="Times New Roman" w:hAnsi="Times New Roman"/>
        </w:rPr>
        <w:t xml:space="preserve">Note 1: </w:t>
      </w:r>
      <w:r w:rsidRPr="000E12A4">
        <w:rPr>
          <w:rFonts w:ascii="Times New Roman" w:hAnsi="Times New Roman"/>
        </w:rPr>
        <w:tab/>
      </w:r>
      <w:r w:rsidRPr="009444C5">
        <w:rPr>
          <w:rFonts w:ascii="Times New Roman" w:hAnsi="Times New Roman"/>
          <w:spacing w:val="-4"/>
        </w:rPr>
        <w:t>For strict liability, see section 6.1 of the </w:t>
      </w:r>
      <w:r w:rsidRPr="009444C5">
        <w:rPr>
          <w:rFonts w:ascii="Times New Roman" w:hAnsi="Times New Roman"/>
          <w:i/>
          <w:spacing w:val="-4"/>
        </w:rPr>
        <w:t>Criminal Code</w:t>
      </w:r>
      <w:r w:rsidRPr="009444C5">
        <w:rPr>
          <w:rFonts w:ascii="Times New Roman" w:hAnsi="Times New Roman"/>
          <w:spacing w:val="-4"/>
        </w:rPr>
        <w:t>.</w:t>
      </w:r>
    </w:p>
    <w:p w14:paraId="40387731" w14:textId="77777777" w:rsidR="000525DE" w:rsidRPr="000E12A4" w:rsidRDefault="000525DE" w:rsidP="000E12A4">
      <w:pPr>
        <w:pStyle w:val="leftright"/>
        <w:spacing w:before="0" w:after="260" w:line="280" w:lineRule="exact"/>
        <w:ind w:left="2880" w:right="0" w:hanging="1440"/>
        <w:jc w:val="both"/>
        <w:rPr>
          <w:rFonts w:ascii="Times New Roman" w:hAnsi="Times New Roman"/>
        </w:rPr>
      </w:pPr>
      <w:r w:rsidRPr="000E12A4">
        <w:rPr>
          <w:rFonts w:ascii="Times New Roman" w:hAnsi="Times New Roman"/>
        </w:rPr>
        <w:t>Note 2:</w:t>
      </w:r>
      <w:r w:rsidRPr="000E12A4">
        <w:rPr>
          <w:rFonts w:ascii="Times New Roman" w:hAnsi="Times New Roman"/>
        </w:rPr>
        <w:tab/>
        <w:t>Strict liability is not imposed on an individual for any other element of an offence under section 16 of the Act that relates to a contravention of this regulation.</w:t>
      </w:r>
    </w:p>
    <w:p w14:paraId="51415722" w14:textId="77777777" w:rsidR="000525DE" w:rsidRPr="000E12A4" w:rsidRDefault="000525DE" w:rsidP="000E12A4">
      <w:pPr>
        <w:pStyle w:val="leftright"/>
        <w:spacing w:before="0" w:after="260" w:line="280" w:lineRule="exact"/>
        <w:ind w:left="1440" w:right="0" w:hanging="720"/>
        <w:jc w:val="both"/>
        <w:rPr>
          <w:rFonts w:ascii="Times New Roman" w:hAnsi="Times New Roman"/>
        </w:rPr>
      </w:pPr>
      <w:r w:rsidRPr="000E12A4">
        <w:rPr>
          <w:rFonts w:ascii="Times New Roman" w:hAnsi="Times New Roman"/>
        </w:rPr>
        <w:t>(2)</w:t>
      </w:r>
      <w:r w:rsidRPr="000E12A4">
        <w:rPr>
          <w:rFonts w:ascii="Times New Roman" w:hAnsi="Times New Roman"/>
        </w:rPr>
        <w:tab/>
        <w:t xml:space="preserve">Section 15.1 of the </w:t>
      </w:r>
      <w:r w:rsidRPr="000E12A4">
        <w:rPr>
          <w:rFonts w:ascii="Times New Roman" w:hAnsi="Times New Roman"/>
          <w:i/>
        </w:rPr>
        <w:t>Criminal Code</w:t>
      </w:r>
      <w:r w:rsidRPr="000E12A4">
        <w:rPr>
          <w:rFonts w:ascii="Times New Roman" w:hAnsi="Times New Roman"/>
        </w:rPr>
        <w:t xml:space="preserve"> applies to an offence under section 16 of the Act that relates to a contravention of this regulation.</w:t>
      </w:r>
    </w:p>
    <w:p w14:paraId="52B8A65E" w14:textId="77777777" w:rsidR="000525DE" w:rsidRPr="000E12A4" w:rsidRDefault="000525DE" w:rsidP="000E12A4">
      <w:pPr>
        <w:pStyle w:val="leftright"/>
        <w:spacing w:before="0" w:after="260" w:line="280" w:lineRule="exact"/>
        <w:ind w:left="2880" w:right="0" w:hanging="1440"/>
        <w:jc w:val="both"/>
        <w:rPr>
          <w:rFonts w:ascii="Times New Roman" w:hAnsi="Times New Roman"/>
        </w:rPr>
      </w:pPr>
      <w:r w:rsidRPr="000E12A4">
        <w:rPr>
          <w:rFonts w:ascii="Times New Roman" w:hAnsi="Times New Roman"/>
        </w:rPr>
        <w:t>Note 1:</w:t>
      </w:r>
      <w:r w:rsidRPr="000E12A4">
        <w:rPr>
          <w:rFonts w:ascii="Times New Roman" w:hAnsi="Times New Roman"/>
        </w:rPr>
        <w:tab/>
        <w:t>This has the effect that the offence has extraterritorial operation.</w:t>
      </w:r>
    </w:p>
    <w:p w14:paraId="10D33706" w14:textId="77777777" w:rsidR="000525DE" w:rsidRDefault="000525DE" w:rsidP="000E12A4">
      <w:pPr>
        <w:pStyle w:val="leftright"/>
        <w:spacing w:before="0" w:after="260" w:line="280" w:lineRule="exact"/>
        <w:ind w:left="2880" w:right="0" w:hanging="1440"/>
        <w:jc w:val="both"/>
        <w:rPr>
          <w:rFonts w:ascii="Times New Roman" w:hAnsi="Times New Roman"/>
        </w:rPr>
      </w:pPr>
      <w:r w:rsidRPr="000E12A4">
        <w:rPr>
          <w:rFonts w:ascii="Times New Roman" w:hAnsi="Times New Roman"/>
        </w:rPr>
        <w:t>Note 2:</w:t>
      </w:r>
      <w:r w:rsidRPr="000E12A4">
        <w:rPr>
          <w:rFonts w:ascii="Times New Roman" w:hAnsi="Times New Roman"/>
        </w:rPr>
        <w:tab/>
        <w:t>This regulation may be specified as a sanction law by the Minister under section 6 of the Act."</w:t>
      </w:r>
    </w:p>
    <w:p w14:paraId="11F2909D"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Regulation 15 prohibits using or dealing with controlled assets.</w:t>
      </w:r>
      <w:r w:rsidRPr="000E12A4">
        <w:rPr>
          <w:rStyle w:val="FootnoteReference"/>
          <w:rFonts w:ascii="Times New Roman" w:hAnsi="Times New Roman"/>
          <w:sz w:val="24"/>
        </w:rPr>
        <w:footnoteReference w:id="76"/>
      </w:r>
      <w:r w:rsidRPr="000E12A4">
        <w:rPr>
          <w:rFonts w:ascii="Times New Roman" w:hAnsi="Times New Roman"/>
        </w:rPr>
        <w:t xml:space="preserve"> It</w:t>
      </w:r>
      <w:r>
        <w:rPr>
          <w:rFonts w:ascii="Times New Roman" w:hAnsi="Times New Roman"/>
        </w:rPr>
        <w:t> </w:t>
      </w:r>
      <w:r w:rsidRPr="000E12A4">
        <w:rPr>
          <w:rFonts w:ascii="Times New Roman" w:hAnsi="Times New Roman"/>
        </w:rPr>
        <w:t>provides:</w:t>
      </w:r>
    </w:p>
    <w:p w14:paraId="21A289B0" w14:textId="77777777" w:rsidR="000525DE" w:rsidRPr="000E12A4" w:rsidRDefault="000525DE" w:rsidP="000E12A4">
      <w:pPr>
        <w:pStyle w:val="leftright"/>
        <w:spacing w:before="0" w:after="260" w:line="280" w:lineRule="exact"/>
        <w:ind w:right="0"/>
        <w:jc w:val="both"/>
        <w:rPr>
          <w:rFonts w:ascii="Times New Roman" w:hAnsi="Times New Roman"/>
        </w:rPr>
      </w:pPr>
      <w:r w:rsidRPr="000E12A4">
        <w:rPr>
          <w:rFonts w:ascii="Times New Roman" w:hAnsi="Times New Roman"/>
        </w:rPr>
        <w:t>"(1)</w:t>
      </w:r>
      <w:r w:rsidRPr="000E12A4">
        <w:rPr>
          <w:rFonts w:ascii="Times New Roman" w:hAnsi="Times New Roman"/>
        </w:rPr>
        <w:tab/>
        <w:t>A person contravenes this regulation if:</w:t>
      </w:r>
    </w:p>
    <w:p w14:paraId="7388F6AE" w14:textId="77777777" w:rsidR="000525DE" w:rsidRPr="000E12A4" w:rsidRDefault="000525DE" w:rsidP="000E12A4">
      <w:pPr>
        <w:pStyle w:val="leftright"/>
        <w:spacing w:before="0" w:after="260" w:line="280" w:lineRule="exact"/>
        <w:ind w:left="2160" w:right="0" w:hanging="720"/>
        <w:jc w:val="both"/>
        <w:rPr>
          <w:rFonts w:ascii="Times New Roman" w:hAnsi="Times New Roman"/>
        </w:rPr>
      </w:pPr>
      <w:r w:rsidRPr="000E12A4">
        <w:rPr>
          <w:rFonts w:ascii="Times New Roman" w:hAnsi="Times New Roman"/>
        </w:rPr>
        <w:t>(a)</w:t>
      </w:r>
      <w:r w:rsidRPr="000E12A4">
        <w:rPr>
          <w:rFonts w:ascii="Times New Roman" w:hAnsi="Times New Roman"/>
        </w:rPr>
        <w:tab/>
        <w:t>the person holds a controlled asset; and</w:t>
      </w:r>
    </w:p>
    <w:p w14:paraId="686C77EE" w14:textId="77777777" w:rsidR="000525DE" w:rsidRPr="000E12A4" w:rsidRDefault="000525DE" w:rsidP="000E12A4">
      <w:pPr>
        <w:pStyle w:val="leftright"/>
        <w:spacing w:before="0" w:after="260" w:line="280" w:lineRule="exact"/>
        <w:ind w:left="2160" w:right="0" w:hanging="720"/>
        <w:jc w:val="both"/>
        <w:rPr>
          <w:rFonts w:ascii="Times New Roman" w:hAnsi="Times New Roman"/>
        </w:rPr>
      </w:pPr>
      <w:r w:rsidRPr="000E12A4">
        <w:rPr>
          <w:rFonts w:ascii="Times New Roman" w:hAnsi="Times New Roman"/>
        </w:rPr>
        <w:t>(b)</w:t>
      </w:r>
      <w:r w:rsidRPr="000E12A4">
        <w:rPr>
          <w:rFonts w:ascii="Times New Roman" w:hAnsi="Times New Roman"/>
        </w:rPr>
        <w:tab/>
        <w:t>the person:</w:t>
      </w:r>
    </w:p>
    <w:p w14:paraId="2441D615" w14:textId="77777777" w:rsidR="000525DE" w:rsidRPr="000E12A4" w:rsidRDefault="000525DE" w:rsidP="000E12A4">
      <w:pPr>
        <w:pStyle w:val="leftright"/>
        <w:spacing w:before="0" w:after="260" w:line="280" w:lineRule="exact"/>
        <w:ind w:left="2880" w:right="0" w:hanging="720"/>
        <w:jc w:val="both"/>
        <w:rPr>
          <w:rFonts w:ascii="Times New Roman" w:hAnsi="Times New Roman"/>
        </w:rPr>
      </w:pPr>
      <w:r w:rsidRPr="000E12A4">
        <w:rPr>
          <w:rFonts w:ascii="Times New Roman" w:hAnsi="Times New Roman"/>
        </w:rPr>
        <w:t>(i)</w:t>
      </w:r>
      <w:r w:rsidRPr="000E12A4">
        <w:rPr>
          <w:rFonts w:ascii="Times New Roman" w:hAnsi="Times New Roman"/>
        </w:rPr>
        <w:tab/>
        <w:t>uses or deals with the asset; or</w:t>
      </w:r>
    </w:p>
    <w:p w14:paraId="0CBE9755" w14:textId="77777777" w:rsidR="000525DE" w:rsidRPr="000E12A4" w:rsidRDefault="000525DE" w:rsidP="000E12A4">
      <w:pPr>
        <w:pStyle w:val="leftright"/>
        <w:spacing w:before="0" w:after="260" w:line="280" w:lineRule="exact"/>
        <w:ind w:left="2880" w:right="0" w:hanging="720"/>
        <w:jc w:val="both"/>
        <w:rPr>
          <w:rFonts w:ascii="Times New Roman" w:hAnsi="Times New Roman"/>
        </w:rPr>
      </w:pPr>
      <w:r w:rsidRPr="000E12A4">
        <w:rPr>
          <w:rFonts w:ascii="Times New Roman" w:hAnsi="Times New Roman"/>
        </w:rPr>
        <w:lastRenderedPageBreak/>
        <w:t>(ii)</w:t>
      </w:r>
      <w:r w:rsidRPr="000E12A4">
        <w:rPr>
          <w:rFonts w:ascii="Times New Roman" w:hAnsi="Times New Roman"/>
        </w:rPr>
        <w:tab/>
        <w:t>allows the asset to be used or dealt with; or</w:t>
      </w:r>
    </w:p>
    <w:p w14:paraId="06C05819" w14:textId="77777777" w:rsidR="000525DE" w:rsidRPr="000E12A4" w:rsidRDefault="000525DE" w:rsidP="000E12A4">
      <w:pPr>
        <w:pStyle w:val="leftright"/>
        <w:spacing w:before="0" w:after="260" w:line="280" w:lineRule="exact"/>
        <w:ind w:left="2880" w:right="0" w:hanging="720"/>
        <w:jc w:val="both"/>
        <w:rPr>
          <w:rFonts w:ascii="Times New Roman" w:hAnsi="Times New Roman"/>
        </w:rPr>
      </w:pPr>
      <w:r w:rsidRPr="000E12A4">
        <w:rPr>
          <w:rFonts w:ascii="Times New Roman" w:hAnsi="Times New Roman"/>
        </w:rPr>
        <w:t>(iii)</w:t>
      </w:r>
      <w:r w:rsidRPr="000E12A4">
        <w:rPr>
          <w:rFonts w:ascii="Times New Roman" w:hAnsi="Times New Roman"/>
        </w:rPr>
        <w:tab/>
        <w:t>facilitates the use of the asset or dealing with the asset; and</w:t>
      </w:r>
    </w:p>
    <w:p w14:paraId="1C005DBF" w14:textId="77777777" w:rsidR="000525DE" w:rsidRPr="000E12A4" w:rsidRDefault="000525DE" w:rsidP="000E12A4">
      <w:pPr>
        <w:pStyle w:val="leftright"/>
        <w:spacing w:before="0" w:after="260" w:line="280" w:lineRule="exact"/>
        <w:ind w:left="2160" w:right="0" w:hanging="720"/>
        <w:jc w:val="both"/>
        <w:rPr>
          <w:rFonts w:ascii="Times New Roman" w:hAnsi="Times New Roman"/>
        </w:rPr>
      </w:pPr>
      <w:r w:rsidRPr="000E12A4">
        <w:rPr>
          <w:rFonts w:ascii="Times New Roman" w:hAnsi="Times New Roman"/>
        </w:rPr>
        <w:t>(c)</w:t>
      </w:r>
      <w:r w:rsidRPr="000E12A4">
        <w:rPr>
          <w:rFonts w:ascii="Times New Roman" w:hAnsi="Times New Roman"/>
        </w:rPr>
        <w:tab/>
        <w:t>the use or dealing is not authorised by a permit granted under regulation 18.</w:t>
      </w:r>
    </w:p>
    <w:p w14:paraId="551937BC" w14:textId="77777777" w:rsidR="000525DE" w:rsidRPr="000E12A4" w:rsidRDefault="000525DE" w:rsidP="000E12A4">
      <w:pPr>
        <w:pStyle w:val="leftright"/>
        <w:spacing w:before="0" w:after="260" w:line="280" w:lineRule="exact"/>
        <w:ind w:left="1440" w:right="0" w:hanging="720"/>
        <w:jc w:val="both"/>
        <w:rPr>
          <w:rFonts w:ascii="Times New Roman" w:hAnsi="Times New Roman"/>
        </w:rPr>
      </w:pPr>
      <w:r w:rsidRPr="000E12A4">
        <w:rPr>
          <w:rFonts w:ascii="Times New Roman" w:hAnsi="Times New Roman"/>
        </w:rPr>
        <w:t>(1A)</w:t>
      </w:r>
      <w:r w:rsidRPr="000E12A4">
        <w:rPr>
          <w:rFonts w:ascii="Times New Roman" w:hAnsi="Times New Roman"/>
        </w:rPr>
        <w:tab/>
        <w:t>Strict liability applies to the circumstance that the use or dealing with the asset is not in accordance with a permit under regulation 18.</w:t>
      </w:r>
    </w:p>
    <w:p w14:paraId="437C0ED9" w14:textId="77777777" w:rsidR="000525DE" w:rsidRPr="00EA451D" w:rsidRDefault="000525DE" w:rsidP="000E12A4">
      <w:pPr>
        <w:pStyle w:val="leftright"/>
        <w:spacing w:before="0" w:after="260" w:line="280" w:lineRule="exact"/>
        <w:ind w:left="2880" w:right="0" w:hanging="1440"/>
        <w:jc w:val="both"/>
        <w:rPr>
          <w:rFonts w:ascii="Times New Roman" w:hAnsi="Times New Roman"/>
          <w:spacing w:val="-4"/>
        </w:rPr>
      </w:pPr>
      <w:r w:rsidRPr="00EA451D">
        <w:rPr>
          <w:rFonts w:ascii="Times New Roman" w:hAnsi="Times New Roman"/>
          <w:spacing w:val="-4"/>
        </w:rPr>
        <w:t>Note 1:</w:t>
      </w:r>
      <w:r w:rsidRPr="00EA451D">
        <w:rPr>
          <w:rFonts w:ascii="Times New Roman" w:hAnsi="Times New Roman"/>
          <w:spacing w:val="-4"/>
        </w:rPr>
        <w:tab/>
        <w:t>For strict liability, see section 6.1 of the </w:t>
      </w:r>
      <w:r w:rsidRPr="00EA451D">
        <w:rPr>
          <w:rFonts w:ascii="Times New Roman" w:hAnsi="Times New Roman"/>
          <w:i/>
          <w:spacing w:val="-4"/>
        </w:rPr>
        <w:t>Criminal Code</w:t>
      </w:r>
      <w:r w:rsidRPr="00EA451D">
        <w:rPr>
          <w:rFonts w:ascii="Times New Roman" w:hAnsi="Times New Roman"/>
          <w:spacing w:val="-4"/>
        </w:rPr>
        <w:t>.</w:t>
      </w:r>
    </w:p>
    <w:p w14:paraId="095275B9" w14:textId="77777777" w:rsidR="000525DE" w:rsidRPr="000E12A4" w:rsidRDefault="000525DE" w:rsidP="000E12A4">
      <w:pPr>
        <w:pStyle w:val="leftright"/>
        <w:spacing w:before="0" w:after="260" w:line="280" w:lineRule="exact"/>
        <w:ind w:left="2880" w:right="0" w:hanging="1440"/>
        <w:jc w:val="both"/>
        <w:rPr>
          <w:rFonts w:ascii="Times New Roman" w:hAnsi="Times New Roman"/>
        </w:rPr>
      </w:pPr>
      <w:r w:rsidRPr="000E12A4">
        <w:rPr>
          <w:rFonts w:ascii="Times New Roman" w:hAnsi="Times New Roman"/>
        </w:rPr>
        <w:t>Note 2:</w:t>
      </w:r>
      <w:r w:rsidRPr="000E12A4">
        <w:rPr>
          <w:rFonts w:ascii="Times New Roman" w:hAnsi="Times New Roman"/>
        </w:rPr>
        <w:tab/>
        <w:t>Strict liability is not imposed on an individual for any other element of an offence under section 16 of the Act that relates to a contravention of this regulation.</w:t>
      </w:r>
    </w:p>
    <w:p w14:paraId="3B7AFA59" w14:textId="77777777" w:rsidR="000525DE" w:rsidRPr="000E12A4" w:rsidRDefault="000525DE" w:rsidP="000E12A4">
      <w:pPr>
        <w:pStyle w:val="leftright"/>
        <w:spacing w:before="0" w:after="260" w:line="280" w:lineRule="exact"/>
        <w:ind w:left="1440" w:right="0" w:hanging="720"/>
        <w:jc w:val="both"/>
        <w:rPr>
          <w:rFonts w:ascii="Times New Roman" w:hAnsi="Times New Roman"/>
        </w:rPr>
      </w:pPr>
      <w:r w:rsidRPr="000E12A4">
        <w:rPr>
          <w:rFonts w:ascii="Times New Roman" w:hAnsi="Times New Roman"/>
        </w:rPr>
        <w:t>(2)</w:t>
      </w:r>
      <w:r w:rsidRPr="000E12A4">
        <w:rPr>
          <w:rFonts w:ascii="Times New Roman" w:hAnsi="Times New Roman"/>
        </w:rPr>
        <w:tab/>
        <w:t xml:space="preserve">Section 15.1 of the </w:t>
      </w:r>
      <w:r w:rsidRPr="000E12A4">
        <w:rPr>
          <w:rFonts w:ascii="Times New Roman" w:hAnsi="Times New Roman"/>
          <w:i/>
        </w:rPr>
        <w:t>Criminal Code</w:t>
      </w:r>
      <w:r w:rsidRPr="000E12A4">
        <w:rPr>
          <w:rFonts w:ascii="Times New Roman" w:hAnsi="Times New Roman"/>
        </w:rPr>
        <w:t xml:space="preserve"> applies to an offence under section 16 of the Act that relates to a contravention of this regulation.</w:t>
      </w:r>
    </w:p>
    <w:p w14:paraId="77E2EE63" w14:textId="77777777" w:rsidR="000525DE" w:rsidRPr="000E12A4" w:rsidRDefault="000525DE" w:rsidP="000E12A4">
      <w:pPr>
        <w:pStyle w:val="leftright"/>
        <w:spacing w:before="0" w:after="260" w:line="280" w:lineRule="exact"/>
        <w:ind w:left="2880" w:right="0" w:hanging="1440"/>
        <w:jc w:val="both"/>
        <w:rPr>
          <w:rFonts w:ascii="Times New Roman" w:hAnsi="Times New Roman"/>
        </w:rPr>
      </w:pPr>
      <w:r w:rsidRPr="000E12A4">
        <w:rPr>
          <w:rFonts w:ascii="Times New Roman" w:hAnsi="Times New Roman"/>
        </w:rPr>
        <w:t>Note 1:</w:t>
      </w:r>
      <w:r w:rsidRPr="000E12A4">
        <w:rPr>
          <w:rFonts w:ascii="Times New Roman" w:hAnsi="Times New Roman"/>
        </w:rPr>
        <w:tab/>
        <w:t>This has the effect that the offence has extraterritorial operation.</w:t>
      </w:r>
    </w:p>
    <w:p w14:paraId="57E045CC" w14:textId="77777777" w:rsidR="000525DE" w:rsidRDefault="000525DE" w:rsidP="000E12A4">
      <w:pPr>
        <w:pStyle w:val="leftright"/>
        <w:spacing w:before="0" w:after="260" w:line="280" w:lineRule="exact"/>
        <w:ind w:left="2880" w:right="0" w:hanging="1440"/>
        <w:jc w:val="both"/>
        <w:rPr>
          <w:rFonts w:ascii="Times New Roman" w:hAnsi="Times New Roman"/>
        </w:rPr>
      </w:pPr>
      <w:r w:rsidRPr="000E12A4">
        <w:rPr>
          <w:rFonts w:ascii="Times New Roman" w:hAnsi="Times New Roman"/>
        </w:rPr>
        <w:t>Note 2:</w:t>
      </w:r>
      <w:r w:rsidRPr="000E12A4">
        <w:rPr>
          <w:rFonts w:ascii="Times New Roman" w:hAnsi="Times New Roman"/>
        </w:rPr>
        <w:tab/>
        <w:t>This regulation may be specified as a sanction law by the Minister under section 6 of the Act."</w:t>
      </w:r>
    </w:p>
    <w:p w14:paraId="51E28A6F"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For the purpose of furthering the main objects of the AS Act,</w:t>
      </w:r>
      <w:r w:rsidRPr="000E12A4">
        <w:rPr>
          <w:rStyle w:val="FootnoteReference"/>
          <w:rFonts w:ascii="Times New Roman" w:hAnsi="Times New Roman"/>
          <w:sz w:val="24"/>
        </w:rPr>
        <w:footnoteReference w:id="77"/>
      </w:r>
      <w:r w:rsidRPr="000E12A4">
        <w:rPr>
          <w:rFonts w:ascii="Times New Roman" w:hAnsi="Times New Roman"/>
        </w:rPr>
        <w:t xml:space="preserve"> the Minister may by legislative instrument specify a provision of a law of the Commonwealth as a "sanction law".</w:t>
      </w:r>
      <w:r w:rsidRPr="000E12A4">
        <w:rPr>
          <w:rStyle w:val="FootnoteReference"/>
          <w:rFonts w:ascii="Times New Roman" w:hAnsi="Times New Roman"/>
          <w:sz w:val="24"/>
        </w:rPr>
        <w:footnoteReference w:id="78"/>
      </w:r>
      <w:r w:rsidRPr="000E12A4">
        <w:rPr>
          <w:rFonts w:ascii="Times New Roman" w:hAnsi="Times New Roman"/>
        </w:rPr>
        <w:t xml:space="preserve"> Regulations 14 and 15 are declared to be "sanction laws" under s 6 of the AS Act.</w:t>
      </w:r>
      <w:r w:rsidRPr="000E12A4">
        <w:rPr>
          <w:rStyle w:val="FootnoteReference"/>
          <w:rFonts w:ascii="Times New Roman" w:hAnsi="Times New Roman"/>
          <w:sz w:val="24"/>
        </w:rPr>
        <w:footnoteReference w:id="79"/>
      </w:r>
      <w:r w:rsidRPr="000E12A4">
        <w:rPr>
          <w:rFonts w:ascii="Times New Roman" w:hAnsi="Times New Roman"/>
        </w:rPr>
        <w:t xml:space="preserve"> Section 16 of the AS Act then makes it an offence for individuals or bodies corporate to engage in conduct that contravenes a sanction law.</w:t>
      </w:r>
    </w:p>
    <w:p w14:paraId="7AE5B0A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Regulation 18 provides that the Minister may grant</w:t>
      </w:r>
      <w:r w:rsidRPr="000E12A4" w:rsidDel="00856D89">
        <w:rPr>
          <w:rFonts w:ascii="Times New Roman" w:hAnsi="Times New Roman"/>
        </w:rPr>
        <w:t xml:space="preserve"> </w:t>
      </w:r>
      <w:r w:rsidRPr="000E12A4">
        <w:rPr>
          <w:rFonts w:ascii="Times New Roman" w:hAnsi="Times New Roman"/>
        </w:rPr>
        <w:t xml:space="preserve">a permit to a person authorising, among other things, "the making available of an asset to a person or entity that would otherwise contravene regulation 14" or "a use of, or a dealing </w:t>
      </w:r>
      <w:r w:rsidRPr="000E12A4">
        <w:rPr>
          <w:rFonts w:ascii="Times New Roman" w:hAnsi="Times New Roman"/>
        </w:rPr>
        <w:lastRenderedPageBreak/>
        <w:t>with, a controlled asset".</w:t>
      </w:r>
      <w:r w:rsidRPr="000E12A4">
        <w:rPr>
          <w:rStyle w:val="FootnoteReference"/>
          <w:rFonts w:ascii="Times New Roman" w:hAnsi="Times New Roman"/>
          <w:sz w:val="24"/>
        </w:rPr>
        <w:footnoteReference w:id="80"/>
      </w:r>
      <w:r w:rsidRPr="000E12A4">
        <w:rPr>
          <w:rFonts w:ascii="Times New Roman" w:hAnsi="Times New Roman"/>
        </w:rPr>
        <w:t xml:space="preserve"> Such a permit may be granted on application by a person or on the Minister's own initiative.</w:t>
      </w:r>
      <w:r w:rsidRPr="000E12A4">
        <w:rPr>
          <w:rStyle w:val="FootnoteReference"/>
          <w:rFonts w:ascii="Times New Roman" w:hAnsi="Times New Roman"/>
          <w:sz w:val="24"/>
        </w:rPr>
        <w:footnoteReference w:id="81"/>
      </w:r>
      <w:r w:rsidRPr="000E12A4">
        <w:rPr>
          <w:rFonts w:ascii="Times New Roman" w:hAnsi="Times New Roman"/>
          <w:sz w:val="20"/>
        </w:rPr>
        <w:t xml:space="preserve"> </w:t>
      </w:r>
      <w:r w:rsidRPr="000E12A4">
        <w:rPr>
          <w:rFonts w:ascii="Times New Roman" w:hAnsi="Times New Roman"/>
        </w:rPr>
        <w:t>The power to grant a permit conferred by reg</w:t>
      </w:r>
      <w:r>
        <w:rPr>
          <w:rFonts w:ascii="Times New Roman" w:hAnsi="Times New Roman"/>
        </w:rPr>
        <w:t> </w:t>
      </w:r>
      <w:r w:rsidRPr="000E12A4">
        <w:rPr>
          <w:rFonts w:ascii="Times New Roman" w:hAnsi="Times New Roman"/>
        </w:rPr>
        <w:t>18 includes an equivalent power, exercisable in the like manner and subject to the like conditions, to revoke a permit that has been granted.</w:t>
      </w:r>
      <w:r w:rsidRPr="000E12A4">
        <w:rPr>
          <w:rStyle w:val="FootnoteReference"/>
          <w:rFonts w:ascii="Times New Roman" w:hAnsi="Times New Roman"/>
          <w:sz w:val="24"/>
        </w:rPr>
        <w:footnoteReference w:id="82"/>
      </w:r>
    </w:p>
    <w:p w14:paraId="58B782FC"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designation and declaration of Mr Deripaska enlivened regs 14 and 15, which prohibit a person from dealing with Mr Deripaska or his controlled assets, and meant that it was an offence under s 16 of the AS Act for Mr Deripaska or his bodies corporate to engage in conduct that contravenes regs 14 and 15.</w:t>
      </w:r>
      <w:r w:rsidRPr="000E12A4">
        <w:rPr>
          <w:rStyle w:val="FootnoteReference"/>
          <w:rFonts w:ascii="Times New Roman" w:hAnsi="Times New Roman"/>
          <w:sz w:val="24"/>
        </w:rPr>
        <w:footnoteReference w:id="83"/>
      </w:r>
      <w:r w:rsidRPr="000E12A4">
        <w:rPr>
          <w:rFonts w:ascii="Times New Roman" w:hAnsi="Times New Roman"/>
        </w:rPr>
        <w:t xml:space="preserve"> Relevantly, "designation" makes Mr Deripaska's access to legal representation a</w:t>
      </w:r>
      <w:r>
        <w:rPr>
          <w:rFonts w:ascii="Times New Roman" w:hAnsi="Times New Roman"/>
        </w:rPr>
        <w:t> </w:t>
      </w:r>
      <w:r w:rsidRPr="000E12A4">
        <w:rPr>
          <w:rFonts w:ascii="Times New Roman" w:hAnsi="Times New Roman"/>
        </w:rPr>
        <w:t>matter for executive discretion. That is because, as the primary judge explained, without a permit from the Minister, it "will very likely be impossible for a lawyer effectively to advise or represent" Mr Deripaska without committing a criminal offence. For example, a designated person requires a permit for "basic expense dealing[s]".</w:t>
      </w:r>
      <w:r w:rsidRPr="000E12A4">
        <w:rPr>
          <w:rStyle w:val="FootnoteReference"/>
          <w:rFonts w:ascii="Times New Roman" w:hAnsi="Times New Roman"/>
          <w:sz w:val="24"/>
        </w:rPr>
        <w:footnoteReference w:id="84"/>
      </w:r>
      <w:r w:rsidRPr="000E12A4">
        <w:rPr>
          <w:rFonts w:ascii="Times New Roman" w:hAnsi="Times New Roman"/>
        </w:rPr>
        <w:t xml:space="preserve"> Such dealings include payments for legal expenses and professional fees.</w:t>
      </w:r>
      <w:r w:rsidRPr="000E12A4">
        <w:rPr>
          <w:rStyle w:val="FootnoteReference"/>
          <w:rFonts w:ascii="Times New Roman" w:hAnsi="Times New Roman"/>
          <w:sz w:val="24"/>
        </w:rPr>
        <w:footnoteReference w:id="85"/>
      </w:r>
      <w:r w:rsidRPr="000E12A4">
        <w:rPr>
          <w:rFonts w:ascii="Times New Roman" w:hAnsi="Times New Roman"/>
        </w:rPr>
        <w:t xml:space="preserve"> </w:t>
      </w:r>
    </w:p>
    <w:p w14:paraId="1328E8EC"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Mr Deripaska has had the benefit of two successive permits issued under reg 18. A permit issued on 7 November 2022 applied to any "designated person or entity" as described in reg 3 and allowed dealings with assets that would otherwise be prohibited by the Regulations for the purpose of providing legal advice, legal</w:t>
      </w:r>
      <w:r>
        <w:rPr>
          <w:rFonts w:ascii="Times New Roman" w:hAnsi="Times New Roman"/>
        </w:rPr>
        <w:t> </w:t>
      </w:r>
      <w:r w:rsidRPr="000E12A4">
        <w:rPr>
          <w:rFonts w:ascii="Times New Roman" w:hAnsi="Times New Roman"/>
        </w:rPr>
        <w:t xml:space="preserve">representation and ancillary services to designated persons or entities in relation to matters arising under or related to Australian law. Then, on 30 October 2024, the Minister revoked that permit and issued a new permit which authorised making assets available to persons or entities designated under the Regulations, and the use of, or dealing with, controlled assets, in connection with legal services, settlement of legal proceedings and payment of legal costs. </w:t>
      </w:r>
    </w:p>
    <w:p w14:paraId="237C6460" w14:textId="77777777" w:rsidR="000525DE" w:rsidRPr="000E12A4" w:rsidRDefault="000525DE" w:rsidP="000E12A4">
      <w:pPr>
        <w:pStyle w:val="HeadingL1"/>
        <w:spacing w:after="260" w:line="280" w:lineRule="exact"/>
        <w:ind w:right="0"/>
        <w:jc w:val="both"/>
        <w:rPr>
          <w:rFonts w:ascii="Times New Roman" w:hAnsi="Times New Roman"/>
        </w:rPr>
      </w:pPr>
      <w:r w:rsidRPr="000E12A4">
        <w:rPr>
          <w:rFonts w:ascii="Times New Roman" w:hAnsi="Times New Roman"/>
        </w:rPr>
        <w:t>Courts below</w:t>
      </w:r>
    </w:p>
    <w:p w14:paraId="76238B04"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Mr Deripaska challenged the Minister's decision to designate him for targeted financial sanctions and declare him for travel bans by way of </w:t>
      </w:r>
      <w:r w:rsidRPr="000E12A4">
        <w:rPr>
          <w:rFonts w:ascii="Times New Roman" w:hAnsi="Times New Roman"/>
        </w:rPr>
        <w:lastRenderedPageBreak/>
        <w:t>an</w:t>
      </w:r>
      <w:r>
        <w:rPr>
          <w:rFonts w:ascii="Times New Roman" w:hAnsi="Times New Roman"/>
        </w:rPr>
        <w:t> </w:t>
      </w:r>
      <w:r w:rsidRPr="000E12A4">
        <w:rPr>
          <w:rFonts w:ascii="Times New Roman" w:hAnsi="Times New Roman"/>
        </w:rPr>
        <w:t>application for judicial review filed in the Federal Court of Australia. The</w:t>
      </w:r>
      <w:r>
        <w:rPr>
          <w:rFonts w:ascii="Times New Roman" w:hAnsi="Times New Roman"/>
        </w:rPr>
        <w:t> </w:t>
      </w:r>
      <w:r w:rsidRPr="000E12A4">
        <w:rPr>
          <w:rFonts w:ascii="Times New Roman" w:hAnsi="Times New Roman"/>
        </w:rPr>
        <w:t>primary judge dismissed Mr Deripaska's application, rejecting grounds challenging the validity of the Regulations and the Minister's making of the</w:t>
      </w:r>
      <w:r>
        <w:rPr>
          <w:rFonts w:ascii="Times New Roman" w:hAnsi="Times New Roman"/>
        </w:rPr>
        <w:t> </w:t>
      </w:r>
      <w:r w:rsidRPr="000E12A4">
        <w:rPr>
          <w:rFonts w:ascii="Times New Roman" w:hAnsi="Times New Roman"/>
        </w:rPr>
        <w:t xml:space="preserve">instrument giving effect to his designation and declaration. The primary judge recorded that the Minister accepted that regs 14 and 15 could not apply according to their terms to actions taken for the purpose of challenging the validity of decisions or actions under the AS Act pursuant to s 75(v) of the </w:t>
      </w:r>
      <w:r w:rsidRPr="000E12A4">
        <w:rPr>
          <w:rFonts w:ascii="Times New Roman" w:hAnsi="Times New Roman"/>
          <w:i/>
          <w:iCs/>
        </w:rPr>
        <w:t>Constitution</w:t>
      </w:r>
      <w:r w:rsidRPr="000E12A4">
        <w:rPr>
          <w:rFonts w:ascii="Times New Roman" w:hAnsi="Times New Roman"/>
        </w:rPr>
        <w:t xml:space="preserve"> or s</w:t>
      </w:r>
      <w:r>
        <w:rPr>
          <w:rFonts w:ascii="Times New Roman" w:hAnsi="Times New Roman"/>
        </w:rPr>
        <w:t> </w:t>
      </w:r>
      <w:r w:rsidRPr="000E12A4">
        <w:rPr>
          <w:rFonts w:ascii="Times New Roman" w:hAnsi="Times New Roman"/>
        </w:rPr>
        <w:t xml:space="preserve">39B(1) of the </w:t>
      </w:r>
      <w:r w:rsidRPr="000E12A4">
        <w:rPr>
          <w:rFonts w:ascii="Times New Roman" w:hAnsi="Times New Roman"/>
          <w:i/>
          <w:iCs/>
        </w:rPr>
        <w:t>Judiciary Act</w:t>
      </w:r>
      <w:r w:rsidRPr="000E12A4">
        <w:rPr>
          <w:rFonts w:ascii="Times New Roman" w:hAnsi="Times New Roman"/>
        </w:rPr>
        <w:t>. The</w:t>
      </w:r>
      <w:r w:rsidRPr="000E12A4">
        <w:rPr>
          <w:rFonts w:ascii="Times New Roman" w:hAnsi="Times New Roman"/>
          <w:b/>
          <w:bCs/>
        </w:rPr>
        <w:t xml:space="preserve"> </w:t>
      </w:r>
      <w:r w:rsidRPr="000E12A4">
        <w:rPr>
          <w:rFonts w:ascii="Times New Roman" w:hAnsi="Times New Roman"/>
        </w:rPr>
        <w:t>Minister submitted that the relevant expressions in regs 14 and 15 ("deal with", "make available" and "use") could, and therefore should, be read as excluding actions taken for the purpose of challenging the</w:t>
      </w:r>
      <w:r>
        <w:rPr>
          <w:rFonts w:ascii="Times New Roman" w:hAnsi="Times New Roman"/>
        </w:rPr>
        <w:t> </w:t>
      </w:r>
      <w:r w:rsidRPr="000E12A4">
        <w:rPr>
          <w:rFonts w:ascii="Times New Roman" w:hAnsi="Times New Roman"/>
        </w:rPr>
        <w:t>validity of decisions or actions under the AS Act pursuant to s 75(v) of</w:t>
      </w:r>
      <w:r>
        <w:rPr>
          <w:rFonts w:ascii="Times New Roman" w:hAnsi="Times New Roman"/>
        </w:rPr>
        <w:t> </w:t>
      </w:r>
      <w:r w:rsidRPr="000E12A4">
        <w:rPr>
          <w:rFonts w:ascii="Times New Roman" w:hAnsi="Times New Roman"/>
        </w:rPr>
        <w:t>the</w:t>
      </w:r>
      <w:r>
        <w:rPr>
          <w:rFonts w:ascii="Times New Roman" w:hAnsi="Times New Roman"/>
        </w:rPr>
        <w:t> </w:t>
      </w:r>
      <w:r w:rsidRPr="000E12A4">
        <w:rPr>
          <w:rFonts w:ascii="Times New Roman" w:hAnsi="Times New Roman"/>
          <w:i/>
          <w:iCs/>
        </w:rPr>
        <w:t xml:space="preserve">Constitution </w:t>
      </w:r>
      <w:r w:rsidRPr="000E12A4">
        <w:rPr>
          <w:rFonts w:ascii="Times New Roman" w:hAnsi="Times New Roman"/>
        </w:rPr>
        <w:t xml:space="preserve">or s 39B(1) of the </w:t>
      </w:r>
      <w:r w:rsidRPr="000E12A4">
        <w:rPr>
          <w:rFonts w:ascii="Times New Roman" w:hAnsi="Times New Roman"/>
          <w:i/>
          <w:iCs/>
        </w:rPr>
        <w:t>Judiciary Act</w:t>
      </w:r>
      <w:r w:rsidRPr="000E12A4">
        <w:rPr>
          <w:rFonts w:ascii="Times New Roman" w:hAnsi="Times New Roman"/>
        </w:rPr>
        <w:t>.</w:t>
      </w:r>
    </w:p>
    <w:p w14:paraId="4C9917F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primary judge relevantly held that regs 14 and 15 do not prevent a</w:t>
      </w:r>
      <w:r>
        <w:rPr>
          <w:rFonts w:ascii="Times New Roman" w:hAnsi="Times New Roman"/>
        </w:rPr>
        <w:t> </w:t>
      </w:r>
      <w:r w:rsidRPr="000E12A4">
        <w:rPr>
          <w:rFonts w:ascii="Times New Roman" w:hAnsi="Times New Roman"/>
        </w:rPr>
        <w:t>person or entity who is the subject of a designation under reg 6 from being represented (including paying for relevant professional services) in order to challenge that designation, or other things purportedly done under the AS Act, in</w:t>
      </w:r>
      <w:r>
        <w:rPr>
          <w:rFonts w:ascii="Times New Roman" w:hAnsi="Times New Roman"/>
        </w:rPr>
        <w:t> </w:t>
      </w:r>
      <w:r w:rsidRPr="000E12A4">
        <w:rPr>
          <w:rFonts w:ascii="Times New Roman" w:hAnsi="Times New Roman"/>
        </w:rPr>
        <w:t xml:space="preserve">proceedings commenced under s 75(v) of the </w:t>
      </w:r>
      <w:r w:rsidRPr="000E12A4">
        <w:rPr>
          <w:rFonts w:ascii="Times New Roman" w:hAnsi="Times New Roman"/>
          <w:i/>
          <w:iCs/>
        </w:rPr>
        <w:t xml:space="preserve">Constitution </w:t>
      </w:r>
      <w:r w:rsidRPr="000E12A4">
        <w:rPr>
          <w:rFonts w:ascii="Times New Roman" w:hAnsi="Times New Roman"/>
        </w:rPr>
        <w:t>or s 39B(1) of</w:t>
      </w:r>
      <w:r>
        <w:rPr>
          <w:rFonts w:ascii="Times New Roman" w:hAnsi="Times New Roman"/>
        </w:rPr>
        <w:t> </w:t>
      </w:r>
      <w:r w:rsidRPr="000E12A4">
        <w:rPr>
          <w:rFonts w:ascii="Times New Roman" w:hAnsi="Times New Roman"/>
        </w:rPr>
        <w:t>the</w:t>
      </w:r>
      <w:r>
        <w:rPr>
          <w:rFonts w:ascii="Times New Roman" w:hAnsi="Times New Roman"/>
        </w:rPr>
        <w:t> </w:t>
      </w:r>
      <w:r w:rsidRPr="000E12A4">
        <w:rPr>
          <w:rFonts w:ascii="Times New Roman" w:hAnsi="Times New Roman"/>
          <w:i/>
          <w:iCs/>
        </w:rPr>
        <w:t>Judiciary Act</w:t>
      </w:r>
      <w:r w:rsidRPr="000E12A4">
        <w:rPr>
          <w:rFonts w:ascii="Times New Roman" w:hAnsi="Times New Roman"/>
        </w:rPr>
        <w:t xml:space="preserve">. So construed, the Regulations did not subvert the exercise of jurisdiction under s 75(v) of the </w:t>
      </w:r>
      <w:r w:rsidRPr="000E12A4">
        <w:rPr>
          <w:rFonts w:ascii="Times New Roman" w:hAnsi="Times New Roman"/>
          <w:i/>
          <w:iCs/>
        </w:rPr>
        <w:t xml:space="preserve">Constitution </w:t>
      </w:r>
      <w:r w:rsidRPr="000E12A4">
        <w:rPr>
          <w:rFonts w:ascii="Times New Roman" w:hAnsi="Times New Roman"/>
        </w:rPr>
        <w:t xml:space="preserve">or s 39B(1) of the </w:t>
      </w:r>
      <w:r w:rsidRPr="000E12A4">
        <w:rPr>
          <w:rFonts w:ascii="Times New Roman" w:hAnsi="Times New Roman"/>
          <w:i/>
          <w:iCs/>
        </w:rPr>
        <w:t>Judiciary Act</w:t>
      </w:r>
      <w:r w:rsidRPr="000E12A4">
        <w:rPr>
          <w:rFonts w:ascii="Times New Roman" w:hAnsi="Times New Roman"/>
        </w:rPr>
        <w:t>.</w:t>
      </w:r>
    </w:p>
    <w:p w14:paraId="2839D805"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In reaching that conclusion, the primary judge stated that that "carve-out" of the Regulations would not cause the Regulations to have any materially different operation from that which the provisions would have if given their ordinary meaning and would not involve any change to the operation of the prohibitions in circumstances to which they did apply. There being no evident intention that the</w:t>
      </w:r>
      <w:r>
        <w:rPr>
          <w:rFonts w:ascii="Times New Roman" w:hAnsi="Times New Roman"/>
        </w:rPr>
        <w:t> </w:t>
      </w:r>
      <w:r w:rsidRPr="000E12A4">
        <w:rPr>
          <w:rFonts w:ascii="Times New Roman" w:hAnsi="Times New Roman"/>
        </w:rPr>
        <w:t>Regulations are to apply fully or not at all, t</w:t>
      </w:r>
      <w:r w:rsidRPr="000E12A4">
        <w:rPr>
          <w:rFonts w:ascii="Times New Roman" w:hAnsi="Times New Roman"/>
          <w:bCs/>
        </w:rPr>
        <w:t xml:space="preserve">he policy of the scheme would not be compromised. Moreover, </w:t>
      </w:r>
      <w:r w:rsidRPr="000E12A4">
        <w:rPr>
          <w:rFonts w:ascii="Times New Roman" w:hAnsi="Times New Roman"/>
        </w:rPr>
        <w:t>the Regulations expressly contemplate that regs 14 and 15 would not apply in all cases by providing for the issue of permits to create exemptions from their effect. In the case of a generally expressed provision, the</w:t>
      </w:r>
      <w:r>
        <w:rPr>
          <w:rFonts w:ascii="Times New Roman" w:hAnsi="Times New Roman"/>
        </w:rPr>
        <w:t> </w:t>
      </w:r>
      <w:r w:rsidRPr="000E12A4">
        <w:rPr>
          <w:rFonts w:ascii="Times New Roman" w:hAnsi="Times New Roman"/>
        </w:rPr>
        <w:t>constitutional limitation itself can supply the standard by which reading down is to be effected and that method does not involve choosing between equally effective modes of limitation. In such a case, some indeterminacy in the</w:t>
      </w:r>
      <w:r>
        <w:rPr>
          <w:rFonts w:ascii="Times New Roman" w:hAnsi="Times New Roman"/>
        </w:rPr>
        <w:t> </w:t>
      </w:r>
      <w:r w:rsidRPr="000E12A4">
        <w:rPr>
          <w:rFonts w:ascii="Times New Roman" w:hAnsi="Times New Roman"/>
        </w:rPr>
        <w:t>articulation of the relevant constitutional principle is not a barrier to reading down.</w:t>
      </w:r>
    </w:p>
    <w:p w14:paraId="4E20F781"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b/>
          <w:bCs/>
        </w:rPr>
        <w:tab/>
      </w:r>
      <w:r w:rsidRPr="000E12A4">
        <w:rPr>
          <w:rFonts w:ascii="Times New Roman" w:hAnsi="Times New Roman"/>
        </w:rPr>
        <w:t>The primary judge rejected an argument that the Regulations are invalid in their application to the acquisition of legal services for the purpose of conducting litigation in federal jurisdiction and therefore offend the separation of powers in Ch III. In any event, the primary judge stated that the Regulations could be read down to accommodate such a constitutional limitation, although articulating the</w:t>
      </w:r>
      <w:r>
        <w:rPr>
          <w:rFonts w:ascii="Times New Roman" w:hAnsi="Times New Roman"/>
        </w:rPr>
        <w:t> </w:t>
      </w:r>
      <w:r w:rsidRPr="000E12A4">
        <w:rPr>
          <w:rFonts w:ascii="Times New Roman" w:hAnsi="Times New Roman"/>
        </w:rPr>
        <w:t xml:space="preserve">relevant limitation was unnecessary because Mr Deripaska did not claim that the operation of the relevant regulations in relation to him breached any such limitation. </w:t>
      </w:r>
    </w:p>
    <w:p w14:paraId="61C3F8D6"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lastRenderedPageBreak/>
        <w:tab/>
        <w:t>The Full Court of the Federal Court of Australia considered the primary judge's reasoning to the conclusion on reading down regs 14 and 15 to be "unimpeachable". The Full Federal Court considered that the practical effect of designation would be that a designated person or entity would be unlikely to be able to retain an Australian lawyer to advise or represent them unless the Minister granted a permit under reg 18. Relevantly, the Full Federal Court held that the</w:t>
      </w:r>
      <w:r>
        <w:rPr>
          <w:rFonts w:ascii="Times New Roman" w:hAnsi="Times New Roman"/>
        </w:rPr>
        <w:t> </w:t>
      </w:r>
      <w:r w:rsidRPr="000E12A4">
        <w:rPr>
          <w:rFonts w:ascii="Times New Roman" w:hAnsi="Times New Roman"/>
        </w:rPr>
        <w:t>primary judge was correct to find that reading down is not limited to cases where the limitation may be found in the terms of the law itself or its subject matter, where the law operates in an area that is subject to a clear constitutional limitation. The limitation by which the Regulations were to be read down was clear and did not involve a choice. The relevant limitation or carve out was that regs 14 and 15 do not apply to actions taken for the purpose, in an objective sense, of challenging the validity of decisions or actions under the AS Act pursuant to s 75(v) of</w:t>
      </w:r>
      <w:r>
        <w:rPr>
          <w:rFonts w:ascii="Times New Roman" w:hAnsi="Times New Roman"/>
        </w:rPr>
        <w:t> </w:t>
      </w:r>
      <w:r w:rsidRPr="000E12A4">
        <w:rPr>
          <w:rFonts w:ascii="Times New Roman" w:hAnsi="Times New Roman"/>
        </w:rPr>
        <w:t>the</w:t>
      </w:r>
      <w:r>
        <w:rPr>
          <w:rFonts w:ascii="Times New Roman" w:hAnsi="Times New Roman"/>
        </w:rPr>
        <w:t> </w:t>
      </w:r>
      <w:r w:rsidRPr="000E12A4">
        <w:rPr>
          <w:rFonts w:ascii="Times New Roman" w:hAnsi="Times New Roman"/>
          <w:i/>
          <w:iCs/>
        </w:rPr>
        <w:t>Constitution</w:t>
      </w:r>
      <w:r w:rsidRPr="000E12A4">
        <w:rPr>
          <w:rFonts w:ascii="Times New Roman" w:hAnsi="Times New Roman"/>
        </w:rPr>
        <w:t xml:space="preserve"> or s 39B(1) of the </w:t>
      </w:r>
      <w:r w:rsidRPr="000E12A4">
        <w:rPr>
          <w:rFonts w:ascii="Times New Roman" w:hAnsi="Times New Roman"/>
          <w:i/>
          <w:iCs/>
        </w:rPr>
        <w:t>Judiciary Act</w:t>
      </w:r>
      <w:r w:rsidRPr="000E12A4">
        <w:rPr>
          <w:rFonts w:ascii="Times New Roman" w:hAnsi="Times New Roman"/>
        </w:rPr>
        <w:t>.</w:t>
      </w:r>
      <w:r w:rsidRPr="000E12A4">
        <w:rPr>
          <w:rFonts w:ascii="Times New Roman" w:hAnsi="Times New Roman"/>
          <w:b/>
          <w:bCs/>
        </w:rPr>
        <w:t xml:space="preserve"> </w:t>
      </w:r>
    </w:p>
    <w:p w14:paraId="362E15F1"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b/>
          <w:bCs/>
        </w:rPr>
        <w:tab/>
      </w:r>
      <w:r w:rsidRPr="000E12A4">
        <w:rPr>
          <w:rFonts w:ascii="Times New Roman" w:hAnsi="Times New Roman"/>
        </w:rPr>
        <w:t>The Full Federal Court</w:t>
      </w:r>
      <w:r w:rsidRPr="000E12A4">
        <w:rPr>
          <w:rFonts w:ascii="Times New Roman" w:hAnsi="Times New Roman"/>
          <w:b/>
          <w:bCs/>
        </w:rPr>
        <w:t xml:space="preserve"> </w:t>
      </w:r>
      <w:r w:rsidRPr="000E12A4">
        <w:rPr>
          <w:rFonts w:ascii="Times New Roman" w:hAnsi="Times New Roman"/>
        </w:rPr>
        <w:t>considered it unnecessary to decide whether the</w:t>
      </w:r>
      <w:r>
        <w:rPr>
          <w:rFonts w:ascii="Times New Roman" w:hAnsi="Times New Roman"/>
        </w:rPr>
        <w:t> </w:t>
      </w:r>
      <w:r w:rsidRPr="000E12A4">
        <w:rPr>
          <w:rFonts w:ascii="Times New Roman" w:hAnsi="Times New Roman"/>
        </w:rPr>
        <w:t>jurisdiction under</w:t>
      </w:r>
      <w:r w:rsidRPr="000E12A4">
        <w:rPr>
          <w:rFonts w:ascii="Times New Roman" w:hAnsi="Times New Roman"/>
          <w:b/>
          <w:bCs/>
        </w:rPr>
        <w:t xml:space="preserve"> </w:t>
      </w:r>
      <w:r w:rsidRPr="000E12A4">
        <w:rPr>
          <w:rFonts w:ascii="Times New Roman" w:hAnsi="Times New Roman"/>
        </w:rPr>
        <w:t xml:space="preserve">s 75(iii) of the </w:t>
      </w:r>
      <w:r w:rsidRPr="000E12A4">
        <w:rPr>
          <w:rFonts w:ascii="Times New Roman" w:hAnsi="Times New Roman"/>
          <w:i/>
        </w:rPr>
        <w:t>Constitution</w:t>
      </w:r>
      <w:r w:rsidRPr="000E12A4">
        <w:rPr>
          <w:rFonts w:ascii="Times New Roman" w:hAnsi="Times New Roman"/>
        </w:rPr>
        <w:t xml:space="preserve"> was similarly entrenched because Mr Deripaska did not seek to invoke s 75(iii) jurisdiction except in relation to hypothetical litigation. The Full Federal Court agreed with the primary judge that there was no authority for the proposition that Ch III gives constitutional force to any general concept of the rule of law, nor for the proposition that a law which compromises the exercise of federal jurisdiction is unconstitutional because it impairs the procurement of legal advice and representation by a party or a potential party.</w:t>
      </w:r>
    </w:p>
    <w:p w14:paraId="210C7D1E" w14:textId="77777777" w:rsidR="000525DE" w:rsidRPr="000E12A4" w:rsidRDefault="000525DE" w:rsidP="000E12A4">
      <w:pPr>
        <w:pStyle w:val="HeadingL1"/>
        <w:spacing w:after="260" w:line="280" w:lineRule="exact"/>
        <w:ind w:right="0"/>
        <w:jc w:val="both"/>
        <w:rPr>
          <w:rFonts w:ascii="Times New Roman" w:hAnsi="Times New Roman"/>
        </w:rPr>
      </w:pPr>
      <w:r w:rsidRPr="000E12A4">
        <w:rPr>
          <w:rFonts w:ascii="Times New Roman" w:hAnsi="Times New Roman"/>
        </w:rPr>
        <w:t>Appeal to this Court</w:t>
      </w:r>
    </w:p>
    <w:p w14:paraId="7728B512"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By a grant of special leave to appeal, Mr Deripaska appealed to this Court to contend that regs 14 and 15 are invalid because they prevent a person who is "designated" and "declared" under the Regulations from obtaining legal representation unless the Minister grants a permit. Mr Deripaska contends: first,</w:t>
      </w:r>
      <w:r>
        <w:rPr>
          <w:rFonts w:ascii="Times New Roman" w:hAnsi="Times New Roman"/>
        </w:rPr>
        <w:t xml:space="preserve"> </w:t>
      </w:r>
      <w:r w:rsidRPr="000E12A4">
        <w:rPr>
          <w:rFonts w:ascii="Times New Roman" w:hAnsi="Times New Roman"/>
        </w:rPr>
        <w:t>that regs 14 and 15 cannot be read down as they were by the</w:t>
      </w:r>
      <w:r>
        <w:rPr>
          <w:rFonts w:ascii="Times New Roman" w:hAnsi="Times New Roman"/>
        </w:rPr>
        <w:t> </w:t>
      </w:r>
      <w:r w:rsidRPr="000E12A4">
        <w:rPr>
          <w:rFonts w:ascii="Times New Roman" w:hAnsi="Times New Roman"/>
        </w:rPr>
        <w:t>Full</w:t>
      </w:r>
      <w:r>
        <w:rPr>
          <w:rFonts w:ascii="Times New Roman" w:hAnsi="Times New Roman"/>
        </w:rPr>
        <w:t> </w:t>
      </w:r>
      <w:r w:rsidRPr="000E12A4">
        <w:rPr>
          <w:rFonts w:ascii="Times New Roman" w:hAnsi="Times New Roman"/>
        </w:rPr>
        <w:t>Federal</w:t>
      </w:r>
      <w:r>
        <w:rPr>
          <w:rFonts w:ascii="Times New Roman" w:hAnsi="Times New Roman"/>
        </w:rPr>
        <w:t> </w:t>
      </w:r>
      <w:r w:rsidRPr="000E12A4">
        <w:rPr>
          <w:rFonts w:ascii="Times New Roman" w:hAnsi="Times New Roman"/>
        </w:rPr>
        <w:t>Court; and second, that regs 14 and 15 would remain invalid even if they were read down because they would infringe two other constitutional limitations for which he contends.</w:t>
      </w:r>
      <w:r w:rsidRPr="000E12A4">
        <w:rPr>
          <w:rFonts w:ascii="Times New Roman" w:hAnsi="Times New Roman"/>
        </w:rPr>
        <w:tab/>
      </w:r>
    </w:p>
    <w:p w14:paraId="6FB7772F" w14:textId="77777777" w:rsidR="000525DE" w:rsidRPr="000E12A4" w:rsidRDefault="000525DE" w:rsidP="000E12A4">
      <w:pPr>
        <w:pStyle w:val="HeadingL1"/>
        <w:spacing w:after="260" w:line="280" w:lineRule="exact"/>
        <w:ind w:right="0"/>
        <w:jc w:val="both"/>
        <w:rPr>
          <w:rFonts w:ascii="Times New Roman" w:hAnsi="Times New Roman"/>
          <w:i/>
          <w:iCs/>
        </w:rPr>
      </w:pPr>
      <w:bookmarkStart w:id="0" w:name="_Toc212208757"/>
      <w:r w:rsidRPr="000E12A4">
        <w:rPr>
          <w:rFonts w:ascii="Times New Roman" w:hAnsi="Times New Roman"/>
        </w:rPr>
        <w:t xml:space="preserve">Constitutional </w:t>
      </w:r>
      <w:bookmarkEnd w:id="0"/>
      <w:r w:rsidRPr="000E12A4">
        <w:rPr>
          <w:rFonts w:ascii="Times New Roman" w:hAnsi="Times New Roman"/>
        </w:rPr>
        <w:t xml:space="preserve">framework and the entrenched jurisdiction conferred by s 75(v) of the </w:t>
      </w:r>
      <w:r w:rsidRPr="000E12A4">
        <w:rPr>
          <w:rFonts w:ascii="Times New Roman" w:hAnsi="Times New Roman"/>
          <w:i/>
          <w:iCs/>
        </w:rPr>
        <w:t>Constitution</w:t>
      </w:r>
    </w:p>
    <w:p w14:paraId="6C644BD2"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Section 75(v) of the </w:t>
      </w:r>
      <w:r w:rsidRPr="000E12A4">
        <w:rPr>
          <w:rFonts w:ascii="Times New Roman" w:hAnsi="Times New Roman"/>
          <w:i/>
          <w:iCs/>
        </w:rPr>
        <w:t>Constitution</w:t>
      </w:r>
      <w:r w:rsidRPr="000E12A4">
        <w:rPr>
          <w:rFonts w:ascii="Times New Roman" w:hAnsi="Times New Roman"/>
        </w:rPr>
        <w:t xml:space="preserve"> confers original jurisdiction on this Court in all matters in which a writ of mandamus or prohibition or an injunction is sought against an officer of the Commonwealth. Paragraphs (i) and (iii) of s 77 relevantly empower the Commonwealth Parliament to confer or invest equivalent statutory jurisdiction on or in other courts. The Parliament can delimit the statutory jurisdiction that it chooses to confer under s 77(i) or invest under s 77(iii) </w:t>
      </w:r>
      <w:r w:rsidRPr="000E12A4">
        <w:rPr>
          <w:rFonts w:ascii="Times New Roman" w:hAnsi="Times New Roman"/>
        </w:rPr>
        <w:lastRenderedPageBreak/>
        <w:t>to</w:t>
      </w:r>
      <w:r>
        <w:rPr>
          <w:rFonts w:ascii="Times New Roman" w:hAnsi="Times New Roman"/>
        </w:rPr>
        <w:t> </w:t>
      </w:r>
      <w:r w:rsidRPr="000E12A4">
        <w:rPr>
          <w:rFonts w:ascii="Times New Roman" w:hAnsi="Times New Roman"/>
        </w:rPr>
        <w:t>something less than the full scope of jurisdiction under s 75(v).</w:t>
      </w:r>
      <w:r w:rsidRPr="000E12A4">
        <w:rPr>
          <w:rStyle w:val="FootnoteReference"/>
          <w:rFonts w:ascii="Times New Roman" w:hAnsi="Times New Roman"/>
          <w:sz w:val="24"/>
        </w:rPr>
        <w:footnoteReference w:id="86"/>
      </w:r>
      <w:r w:rsidRPr="000E12A4">
        <w:rPr>
          <w:rFonts w:ascii="Times New Roman" w:hAnsi="Times New Roman"/>
        </w:rPr>
        <w:t xml:space="preserve"> It may also, under s 51(xxxix), regulate the procedure to be followed in the exercise of jurisdiction under s 75(v) or under s 77(i) or (iii).</w:t>
      </w:r>
      <w:r w:rsidRPr="000E12A4">
        <w:rPr>
          <w:rStyle w:val="FootnoteReference"/>
          <w:rFonts w:ascii="Times New Roman" w:hAnsi="Times New Roman"/>
          <w:sz w:val="24"/>
        </w:rPr>
        <w:footnoteReference w:id="87"/>
      </w:r>
    </w:p>
    <w:p w14:paraId="5EBD99F8"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However, the Parliament cannot "enact a law which denies to this Court when exercising jurisdiction under s 75(v), or to another court when exercising jurisdiction within the limits conferred on or invested in it under s 77(i) or (iii) by</w:t>
      </w:r>
      <w:r>
        <w:rPr>
          <w:rFonts w:ascii="Times New Roman" w:hAnsi="Times New Roman"/>
        </w:rPr>
        <w:t> </w:t>
      </w:r>
      <w:r w:rsidRPr="000E12A4">
        <w:rPr>
          <w:rFonts w:ascii="Times New Roman" w:hAnsi="Times New Roman"/>
        </w:rPr>
        <w:t>reference to s 75(v), the ability to enforce the legislated limits of an officer's power".</w:t>
      </w:r>
      <w:r w:rsidRPr="000E12A4">
        <w:rPr>
          <w:rStyle w:val="FootnoteReference"/>
          <w:rFonts w:ascii="Times New Roman" w:hAnsi="Times New Roman"/>
          <w:sz w:val="24"/>
        </w:rPr>
        <w:footnoteReference w:id="88"/>
      </w:r>
      <w:r w:rsidRPr="000E12A4">
        <w:rPr>
          <w:rFonts w:ascii="Times New Roman" w:hAnsi="Times New Roman"/>
        </w:rPr>
        <w:t xml:space="preserve"> That limitation is "an entrenched minimum provision of judicial review".</w:t>
      </w:r>
      <w:r w:rsidRPr="000E12A4">
        <w:rPr>
          <w:rStyle w:val="FootnoteReference"/>
          <w:rFonts w:ascii="Times New Roman" w:hAnsi="Times New Roman"/>
          <w:sz w:val="24"/>
        </w:rPr>
        <w:footnoteReference w:id="89"/>
      </w:r>
      <w:r w:rsidRPr="000E12A4">
        <w:rPr>
          <w:rFonts w:ascii="Times New Roman" w:hAnsi="Times New Roman"/>
        </w:rPr>
        <w:t xml:space="preserve"> </w:t>
      </w:r>
    </w:p>
    <w:p w14:paraId="2AC8A17A"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question whether a law transgresses that constitutional limitation is one of substance and degree.</w:t>
      </w:r>
      <w:r w:rsidRPr="000E12A4">
        <w:rPr>
          <w:rStyle w:val="FootnoteReference"/>
          <w:rFonts w:ascii="Times New Roman" w:hAnsi="Times New Roman"/>
          <w:sz w:val="24"/>
        </w:rPr>
        <w:footnoteReference w:id="90"/>
      </w:r>
      <w:r w:rsidRPr="000E12A4">
        <w:rPr>
          <w:rFonts w:ascii="Times New Roman" w:hAnsi="Times New Roman"/>
        </w:rPr>
        <w:t xml:space="preserve"> It requires "an examination not only of the legal operation of the law but also of the practical impact of the law on the ability of a</w:t>
      </w:r>
      <w:r>
        <w:rPr>
          <w:rFonts w:ascii="Times New Roman" w:hAnsi="Times New Roman"/>
        </w:rPr>
        <w:t> </w:t>
      </w:r>
      <w:r w:rsidRPr="000E12A4">
        <w:rPr>
          <w:rFonts w:ascii="Times New Roman" w:hAnsi="Times New Roman"/>
        </w:rPr>
        <w:t>court, through the application of judicial process, to discern and declare whether or not the conditions of and constraints on the lawful exercise of the power conferred on an officer have been observed in a particular case".</w:t>
      </w:r>
      <w:r w:rsidRPr="000E12A4">
        <w:rPr>
          <w:rStyle w:val="FootnoteReference"/>
          <w:rFonts w:ascii="Times New Roman" w:hAnsi="Times New Roman"/>
          <w:sz w:val="24"/>
        </w:rPr>
        <w:footnoteReference w:id="91"/>
      </w:r>
    </w:p>
    <w:p w14:paraId="6DE78BC0"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As a majority of this Court explained in </w:t>
      </w:r>
      <w:r w:rsidRPr="000E12A4">
        <w:rPr>
          <w:rFonts w:ascii="Times New Roman" w:hAnsi="Times New Roman"/>
          <w:i/>
          <w:iCs/>
        </w:rPr>
        <w:t>Bodruddaza v Minister for Immigration and Multicultural Affairs</w:t>
      </w:r>
      <w:r w:rsidRPr="000E12A4">
        <w:rPr>
          <w:rFonts w:ascii="Times New Roman" w:hAnsi="Times New Roman"/>
        </w:rPr>
        <w:t xml:space="preserve">, "a law with respect to the commencement of proceedings under s 75(v) will be valid if, </w:t>
      </w:r>
      <w:r w:rsidRPr="000E12A4">
        <w:rPr>
          <w:rFonts w:ascii="Times New Roman" w:hAnsi="Times New Roman"/>
          <w:i/>
          <w:iCs/>
        </w:rPr>
        <w:t>whether directly or as a matter of practical effect</w:t>
      </w:r>
      <w:r w:rsidRPr="000E12A4">
        <w:rPr>
          <w:rFonts w:ascii="Times New Roman" w:hAnsi="Times New Roman"/>
        </w:rPr>
        <w:t xml:space="preserve">, it does not so </w:t>
      </w:r>
      <w:r w:rsidRPr="000E12A4">
        <w:rPr>
          <w:rFonts w:ascii="Times New Roman" w:hAnsi="Times New Roman"/>
          <w:i/>
          <w:iCs/>
        </w:rPr>
        <w:t>curtail or limit</w:t>
      </w:r>
      <w:r w:rsidRPr="000E12A4">
        <w:rPr>
          <w:rFonts w:ascii="Times New Roman" w:hAnsi="Times New Roman"/>
        </w:rPr>
        <w:t xml:space="preserve"> the right or ability of applicants to seek relief under s 75(v) as to be inconsistent with the place of that provision in the constitutional structure".</w:t>
      </w:r>
      <w:r w:rsidRPr="000E12A4">
        <w:rPr>
          <w:rStyle w:val="FootnoteReference"/>
          <w:rFonts w:ascii="Times New Roman" w:hAnsi="Times New Roman"/>
          <w:sz w:val="24"/>
        </w:rPr>
        <w:footnoteReference w:id="92"/>
      </w:r>
    </w:p>
    <w:p w14:paraId="66E93B0F" w14:textId="77777777" w:rsidR="000525DE" w:rsidRPr="000E12A4" w:rsidRDefault="000525DE" w:rsidP="000E12A4">
      <w:pPr>
        <w:pStyle w:val="HeadingL1"/>
        <w:spacing w:after="260" w:line="280" w:lineRule="exact"/>
        <w:ind w:right="0"/>
        <w:jc w:val="both"/>
        <w:rPr>
          <w:rFonts w:ascii="Times New Roman" w:hAnsi="Times New Roman"/>
        </w:rPr>
      </w:pPr>
      <w:bookmarkStart w:id="1" w:name="_Toc212208758"/>
      <w:r w:rsidRPr="000E12A4">
        <w:rPr>
          <w:rFonts w:ascii="Times New Roman" w:hAnsi="Times New Roman"/>
        </w:rPr>
        <w:lastRenderedPageBreak/>
        <w:t>Constructional imperative</w:t>
      </w:r>
      <w:bookmarkEnd w:id="1"/>
    </w:p>
    <w:p w14:paraId="1C8BA776" w14:textId="77777777" w:rsidR="000525DE" w:rsidRPr="000E12A4" w:rsidRDefault="000525DE" w:rsidP="000E12A4">
      <w:pPr>
        <w:pStyle w:val="FixListStyle"/>
        <w:spacing w:after="260" w:line="280" w:lineRule="exact"/>
        <w:ind w:right="0"/>
        <w:jc w:val="both"/>
        <w:rPr>
          <w:rFonts w:ascii="Times New Roman" w:hAnsi="Times New Roman"/>
        </w:rPr>
      </w:pPr>
      <w:bookmarkStart w:id="2" w:name="_Ref212208502"/>
      <w:r w:rsidRPr="000E12A4">
        <w:rPr>
          <w:rFonts w:ascii="Times New Roman" w:hAnsi="Times New Roman"/>
        </w:rPr>
        <w:tab/>
        <w:t xml:space="preserve">The regulation-making power in s 10 of the AS Act is subject to s 15A of the </w:t>
      </w:r>
      <w:r w:rsidRPr="000E12A4">
        <w:rPr>
          <w:rFonts w:ascii="Times New Roman" w:hAnsi="Times New Roman"/>
          <w:i/>
          <w:iCs/>
        </w:rPr>
        <w:t>Acts Interpretation Act 1901</w:t>
      </w:r>
      <w:r w:rsidRPr="000E12A4">
        <w:rPr>
          <w:rFonts w:ascii="Times New Roman" w:hAnsi="Times New Roman"/>
        </w:rPr>
        <w:t xml:space="preserve"> (Cth) ("the AI Act"), which requires that it be interpreted and applied as subject to the </w:t>
      </w:r>
      <w:r w:rsidRPr="000E12A4">
        <w:rPr>
          <w:rFonts w:ascii="Times New Roman" w:hAnsi="Times New Roman"/>
          <w:i/>
          <w:iCs/>
        </w:rPr>
        <w:t>Constitution</w:t>
      </w:r>
      <w:r w:rsidRPr="000E12A4">
        <w:rPr>
          <w:rFonts w:ascii="Times New Roman" w:hAnsi="Times New Roman"/>
        </w:rPr>
        <w:t xml:space="preserve"> and that, to the extent that it is construed as being in excess of the legislative power of the Commonwealth, it</w:t>
      </w:r>
      <w:r>
        <w:rPr>
          <w:rFonts w:ascii="Times New Roman" w:hAnsi="Times New Roman"/>
        </w:rPr>
        <w:t> </w:t>
      </w:r>
      <w:r w:rsidRPr="000E12A4">
        <w:rPr>
          <w:rFonts w:ascii="Times New Roman" w:hAnsi="Times New Roman"/>
        </w:rPr>
        <w:t>is to apply validly to the extent that it is not in excess of that power. Section 15A of the AI Act provides a prima facie presumption that "the enactment should be divisible and that any parts found constitutionally unobjectionable should be carried into effect independently of those which fail".</w:t>
      </w:r>
      <w:r w:rsidRPr="000E12A4">
        <w:rPr>
          <w:rStyle w:val="FootnoteReference"/>
          <w:rFonts w:ascii="Times New Roman" w:hAnsi="Times New Roman"/>
          <w:sz w:val="24"/>
        </w:rPr>
        <w:footnoteReference w:id="93"/>
      </w:r>
      <w:r w:rsidRPr="000E12A4">
        <w:rPr>
          <w:rFonts w:ascii="Times New Roman" w:hAnsi="Times New Roman"/>
        </w:rPr>
        <w:t xml:space="preserve"> As will be explained, that</w:t>
      </w:r>
      <w:r>
        <w:rPr>
          <w:rFonts w:ascii="Times New Roman" w:hAnsi="Times New Roman"/>
        </w:rPr>
        <w:t> </w:t>
      </w:r>
      <w:r w:rsidRPr="000E12A4">
        <w:rPr>
          <w:rFonts w:ascii="Times New Roman" w:hAnsi="Times New Roman"/>
        </w:rPr>
        <w:t>presumption is subject to any "positive indication" that the law was intended to operate either fully or not at all.</w:t>
      </w:r>
      <w:r w:rsidRPr="000E12A4">
        <w:rPr>
          <w:rStyle w:val="FootnoteReference"/>
          <w:rFonts w:ascii="Times New Roman" w:hAnsi="Times New Roman"/>
          <w:sz w:val="24"/>
        </w:rPr>
        <w:footnoteReference w:id="94"/>
      </w:r>
      <w:bookmarkStart w:id="3" w:name="_Ref212208504"/>
      <w:bookmarkEnd w:id="2"/>
    </w:p>
    <w:p w14:paraId="34A41AC2"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To the extent that s 10 of the AS Act is read down to accommodate a</w:t>
      </w:r>
      <w:r>
        <w:rPr>
          <w:rFonts w:ascii="Times New Roman" w:hAnsi="Times New Roman"/>
        </w:rPr>
        <w:t> </w:t>
      </w:r>
      <w:r w:rsidRPr="000E12A4">
        <w:rPr>
          <w:rFonts w:ascii="Times New Roman" w:hAnsi="Times New Roman"/>
        </w:rPr>
        <w:t xml:space="preserve">constitutional limitation, s 13(1)(c) of the </w:t>
      </w:r>
      <w:r w:rsidRPr="000E12A4">
        <w:rPr>
          <w:rFonts w:ascii="Times New Roman" w:hAnsi="Times New Roman"/>
          <w:i/>
          <w:iCs/>
        </w:rPr>
        <w:t>Legislation Act 2003</w:t>
      </w:r>
      <w:r w:rsidRPr="000E12A4">
        <w:rPr>
          <w:rFonts w:ascii="Times New Roman" w:hAnsi="Times New Roman"/>
        </w:rPr>
        <w:t xml:space="preserve"> (Cth) provides</w:t>
      </w:r>
      <w:r>
        <w:rPr>
          <w:rFonts w:ascii="Times New Roman" w:hAnsi="Times New Roman"/>
        </w:rPr>
        <w:t> </w:t>
      </w:r>
      <w:r w:rsidRPr="000E12A4">
        <w:rPr>
          <w:rFonts w:ascii="Times New Roman" w:hAnsi="Times New Roman"/>
        </w:rPr>
        <w:t>that, subject to a contrary intention, any instrument made under enabling legislation is to be read and construed subject to the enabling legislation as in force from time to time and so as not to exceed the power to make the instrument. Further, s 15A of the AI Act is made directly applicable to regulations.</w:t>
      </w:r>
      <w:r w:rsidRPr="000E12A4">
        <w:rPr>
          <w:rStyle w:val="FootnoteReference"/>
          <w:rFonts w:ascii="Times New Roman" w:hAnsi="Times New Roman"/>
          <w:sz w:val="24"/>
        </w:rPr>
        <w:footnoteReference w:id="95"/>
      </w:r>
      <w:r w:rsidRPr="000E12A4">
        <w:rPr>
          <w:rFonts w:ascii="Times New Roman" w:hAnsi="Times New Roman"/>
        </w:rPr>
        <w:t xml:space="preserve"> Consequently, regulations made under the AS Act must be construed as far as possible so as not to exceed that power so read down.</w:t>
      </w:r>
      <w:bookmarkEnd w:id="3"/>
    </w:p>
    <w:p w14:paraId="16A3437E"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As has been explained, those rules of construction may be applied by formulating a "composite hypothetical question", namely whether, if regs 14 and 15 had been enacted as primary legislation, they would have complied with the</w:t>
      </w:r>
      <w:r>
        <w:rPr>
          <w:rFonts w:ascii="Times New Roman" w:hAnsi="Times New Roman"/>
        </w:rPr>
        <w:t> </w:t>
      </w:r>
      <w:r w:rsidRPr="000E12A4">
        <w:rPr>
          <w:rFonts w:ascii="Times New Roman" w:hAnsi="Times New Roman"/>
        </w:rPr>
        <w:t>constitutional limitation.</w:t>
      </w:r>
      <w:r w:rsidRPr="000E12A4">
        <w:rPr>
          <w:rStyle w:val="FootnoteReference"/>
          <w:rFonts w:ascii="Times New Roman" w:hAnsi="Times New Roman"/>
          <w:sz w:val="24"/>
        </w:rPr>
        <w:footnoteReference w:id="96"/>
      </w:r>
    </w:p>
    <w:p w14:paraId="10610966" w14:textId="77777777" w:rsidR="000525DE" w:rsidRPr="000E12A4" w:rsidRDefault="000525DE" w:rsidP="000E12A4">
      <w:pPr>
        <w:pStyle w:val="HeadingL1"/>
        <w:spacing w:after="260" w:line="280" w:lineRule="exact"/>
        <w:ind w:right="0"/>
        <w:jc w:val="both"/>
        <w:rPr>
          <w:rFonts w:ascii="Times New Roman" w:hAnsi="Times New Roman"/>
        </w:rPr>
      </w:pPr>
      <w:bookmarkStart w:id="4" w:name="_Toc212208759"/>
      <w:r w:rsidRPr="000E12A4">
        <w:rPr>
          <w:rFonts w:ascii="Times New Roman" w:hAnsi="Times New Roman"/>
        </w:rPr>
        <w:lastRenderedPageBreak/>
        <w:t>Limits on reading down</w:t>
      </w:r>
      <w:bookmarkEnd w:id="4"/>
    </w:p>
    <w:p w14:paraId="75B2529C"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There are three relevant limits to reading down in reliance on s 15A of the</w:t>
      </w:r>
      <w:r>
        <w:rPr>
          <w:rFonts w:ascii="Times New Roman" w:hAnsi="Times New Roman"/>
        </w:rPr>
        <w:t> </w:t>
      </w:r>
      <w:r w:rsidRPr="000E12A4">
        <w:rPr>
          <w:rFonts w:ascii="Times New Roman" w:hAnsi="Times New Roman"/>
        </w:rPr>
        <w:t xml:space="preserve">AI Act, which were first identified by Latham CJ in </w:t>
      </w:r>
      <w:r w:rsidRPr="000E12A4">
        <w:rPr>
          <w:rFonts w:ascii="Times New Roman" w:hAnsi="Times New Roman"/>
          <w:i/>
          <w:iCs/>
        </w:rPr>
        <w:t>Pidoto v Victoria</w:t>
      </w:r>
      <w:r w:rsidRPr="000E12A4">
        <w:rPr>
          <w:rFonts w:ascii="Times New Roman" w:hAnsi="Times New Roman"/>
        </w:rPr>
        <w:t>.</w:t>
      </w:r>
      <w:r w:rsidRPr="000E12A4">
        <w:rPr>
          <w:rStyle w:val="FootnoteReference"/>
          <w:rFonts w:ascii="Times New Roman" w:hAnsi="Times New Roman"/>
          <w:sz w:val="24"/>
        </w:rPr>
        <w:footnoteReference w:id="97"/>
      </w:r>
    </w:p>
    <w:p w14:paraId="55183297"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r>
      <w:r w:rsidRPr="000E12A4">
        <w:rPr>
          <w:rFonts w:ascii="Times New Roman" w:hAnsi="Times New Roman"/>
          <w:bCs/>
        </w:rPr>
        <w:t>First</w:t>
      </w:r>
      <w:r w:rsidRPr="000E12A4">
        <w:rPr>
          <w:rFonts w:ascii="Times New Roman" w:hAnsi="Times New Roman"/>
        </w:rPr>
        <w:t>, a provision cannot be read down where "the law was intended to operate fully and completely according to its terms, or not at all".</w:t>
      </w:r>
      <w:r w:rsidRPr="000E12A4">
        <w:rPr>
          <w:rStyle w:val="FootnoteReference"/>
          <w:rFonts w:ascii="Times New Roman" w:hAnsi="Times New Roman"/>
          <w:sz w:val="24"/>
        </w:rPr>
        <w:footnoteReference w:id="98"/>
      </w:r>
      <w:r w:rsidRPr="000E12A4">
        <w:rPr>
          <w:rFonts w:ascii="Times New Roman" w:hAnsi="Times New Roman"/>
        </w:rPr>
        <w:t xml:space="preserve"> Although,</w:t>
      </w:r>
      <w:r>
        <w:rPr>
          <w:rFonts w:ascii="Times New Roman" w:hAnsi="Times New Roman"/>
        </w:rPr>
        <w:t> </w:t>
      </w:r>
      <w:r w:rsidRPr="000E12A4">
        <w:rPr>
          <w:rFonts w:ascii="Times New Roman" w:hAnsi="Times New Roman"/>
        </w:rPr>
        <w:t>by</w:t>
      </w:r>
      <w:r>
        <w:rPr>
          <w:rFonts w:ascii="Times New Roman" w:hAnsi="Times New Roman"/>
        </w:rPr>
        <w:t> </w:t>
      </w:r>
      <w:r w:rsidRPr="000E12A4">
        <w:rPr>
          <w:rFonts w:ascii="Times New Roman" w:hAnsi="Times New Roman"/>
        </w:rPr>
        <w:t>s 15A of the AI Act, the Commonwealth Parliament has reversed the</w:t>
      </w:r>
      <w:r>
        <w:rPr>
          <w:rFonts w:ascii="Times New Roman" w:hAnsi="Times New Roman"/>
        </w:rPr>
        <w:t> </w:t>
      </w:r>
      <w:r w:rsidRPr="000E12A4">
        <w:rPr>
          <w:rFonts w:ascii="Times New Roman" w:hAnsi="Times New Roman"/>
        </w:rPr>
        <w:t>common law presumption that a statute is to "operate as a whole",</w:t>
      </w:r>
      <w:r w:rsidRPr="000E12A4">
        <w:rPr>
          <w:rStyle w:val="FootnoteReference"/>
          <w:rFonts w:ascii="Times New Roman" w:hAnsi="Times New Roman"/>
          <w:sz w:val="24"/>
        </w:rPr>
        <w:footnoteReference w:id="99"/>
      </w:r>
      <w:r w:rsidRPr="000E12A4">
        <w:rPr>
          <w:rFonts w:ascii="Times New Roman" w:hAnsi="Times New Roman"/>
        </w:rPr>
        <w:t xml:space="preserve"> s 15A of the AI Act is subject to a contrary intention arising from the statute being interpreted.</w:t>
      </w:r>
      <w:r w:rsidRPr="000E12A4">
        <w:rPr>
          <w:rStyle w:val="FootnoteReference"/>
          <w:rFonts w:ascii="Times New Roman" w:hAnsi="Times New Roman"/>
          <w:sz w:val="24"/>
        </w:rPr>
        <w:footnoteReference w:id="100"/>
      </w:r>
    </w:p>
    <w:p w14:paraId="1C59B7E1"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r>
      <w:r w:rsidRPr="000E12A4">
        <w:rPr>
          <w:rFonts w:ascii="Times New Roman" w:hAnsi="Times New Roman"/>
          <w:bCs/>
        </w:rPr>
        <w:t>Second</w:t>
      </w:r>
      <w:r w:rsidRPr="000E12A4">
        <w:rPr>
          <w:rFonts w:ascii="Times New Roman" w:hAnsi="Times New Roman"/>
        </w:rPr>
        <w:t>, a provision cannot be read down where it "would alter the policy or operation of the statute with respect to the cases which, after the reading down, would still remain within its terms".</w:t>
      </w:r>
      <w:r w:rsidRPr="000E12A4">
        <w:rPr>
          <w:rStyle w:val="FootnoteReference"/>
          <w:rFonts w:ascii="Times New Roman" w:hAnsi="Times New Roman"/>
          <w:sz w:val="24"/>
        </w:rPr>
        <w:footnoteReference w:id="101"/>
      </w:r>
      <w:r w:rsidRPr="000E12A4">
        <w:rPr>
          <w:rFonts w:ascii="Times New Roman" w:hAnsi="Times New Roman"/>
        </w:rPr>
        <w:t xml:space="preserve"> This requires that the reading down not effect "a partial validation of a provision which extends beyond power" unless</w:t>
      </w:r>
      <w:r>
        <w:rPr>
          <w:rFonts w:ascii="Times New Roman" w:hAnsi="Times New Roman"/>
        </w:rPr>
        <w:t> </w:t>
      </w:r>
      <w:r w:rsidRPr="000E12A4">
        <w:rPr>
          <w:rFonts w:ascii="Times New Roman" w:hAnsi="Times New Roman"/>
        </w:rPr>
        <w:t>"the</w:t>
      </w:r>
      <w:r>
        <w:rPr>
          <w:rFonts w:ascii="Times New Roman" w:hAnsi="Times New Roman"/>
        </w:rPr>
        <w:t> </w:t>
      </w:r>
      <w:r w:rsidRPr="000E12A4">
        <w:rPr>
          <w:rFonts w:ascii="Times New Roman" w:hAnsi="Times New Roman"/>
        </w:rPr>
        <w:t>operation of the remaining parts of the law remains unchanged".</w:t>
      </w:r>
      <w:r w:rsidRPr="000E12A4">
        <w:rPr>
          <w:rStyle w:val="FootnoteReference"/>
          <w:rFonts w:ascii="Times New Roman" w:hAnsi="Times New Roman"/>
          <w:sz w:val="24"/>
        </w:rPr>
        <w:footnoteReference w:id="102"/>
      </w:r>
      <w:r w:rsidRPr="000E12A4">
        <w:rPr>
          <w:rFonts w:ascii="Times New Roman" w:hAnsi="Times New Roman"/>
        </w:rPr>
        <w:t xml:space="preserve"> It</w:t>
      </w:r>
      <w:r>
        <w:rPr>
          <w:rFonts w:ascii="Times New Roman" w:hAnsi="Times New Roman"/>
        </w:rPr>
        <w:t> </w:t>
      </w:r>
      <w:r w:rsidRPr="000E12A4">
        <w:rPr>
          <w:rFonts w:ascii="Times New Roman" w:hAnsi="Times New Roman"/>
        </w:rPr>
        <w:t>also requires that the reading down result in a "consistent workable and effective body of provisions".</w:t>
      </w:r>
      <w:r w:rsidRPr="000E12A4">
        <w:rPr>
          <w:rStyle w:val="FootnoteReference"/>
          <w:rFonts w:ascii="Times New Roman" w:hAnsi="Times New Roman"/>
          <w:sz w:val="24"/>
        </w:rPr>
        <w:footnoteReference w:id="103"/>
      </w:r>
    </w:p>
    <w:p w14:paraId="38EFF13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r>
      <w:r w:rsidRPr="000E12A4">
        <w:rPr>
          <w:rFonts w:ascii="Times New Roman" w:hAnsi="Times New Roman"/>
          <w:bCs/>
          <w:iCs/>
        </w:rPr>
        <w:t>Third</w:t>
      </w:r>
      <w:r w:rsidRPr="000E12A4">
        <w:rPr>
          <w:rFonts w:ascii="Times New Roman" w:hAnsi="Times New Roman"/>
        </w:rPr>
        <w:t>, the "particular standard criterion or test" by which the law is to be read down must be able to be "discovered from the terms of the law itself or from the nature of the subject matter with which the law deals".</w:t>
      </w:r>
      <w:r w:rsidRPr="000E12A4">
        <w:rPr>
          <w:rStyle w:val="FootnoteReference"/>
          <w:rFonts w:ascii="Times New Roman" w:hAnsi="Times New Roman"/>
          <w:sz w:val="24"/>
        </w:rPr>
        <w:footnoteReference w:id="104"/>
      </w:r>
      <w:r w:rsidRPr="000E12A4">
        <w:rPr>
          <w:rFonts w:ascii="Times New Roman" w:hAnsi="Times New Roman"/>
        </w:rPr>
        <w:t xml:space="preserve"> By contrast, "if a law can be reduced to validity by adopting any one or more of a number of several possible limitations, and no reason based upon the law itself can be stated for </w:t>
      </w:r>
      <w:r w:rsidRPr="000E12A4">
        <w:rPr>
          <w:rFonts w:ascii="Times New Roman" w:hAnsi="Times New Roman"/>
        </w:rPr>
        <w:lastRenderedPageBreak/>
        <w:t>selecting one limitation rather than another, the law should be held to be invalid".</w:t>
      </w:r>
      <w:r w:rsidRPr="000E12A4">
        <w:rPr>
          <w:rStyle w:val="FootnoteReference"/>
          <w:rFonts w:ascii="Times New Roman" w:hAnsi="Times New Roman"/>
          <w:sz w:val="24"/>
        </w:rPr>
        <w:footnoteReference w:id="105"/>
      </w:r>
      <w:r w:rsidRPr="000E12A4">
        <w:rPr>
          <w:rFonts w:ascii="Times New Roman" w:hAnsi="Times New Roman"/>
        </w:rPr>
        <w:t xml:space="preserve"> Underlying that limit is the fact that s 15A of the AI Act is an interpretation provision which does not "authorize the Court, by adopting a standard criterion or test merely selected by itself, to redraft a statute or regulation so as to bring it within power and so preserve its validity".</w:t>
      </w:r>
      <w:r w:rsidRPr="000E12A4">
        <w:rPr>
          <w:rStyle w:val="FootnoteReference"/>
          <w:rFonts w:ascii="Times New Roman" w:hAnsi="Times New Roman"/>
          <w:sz w:val="24"/>
        </w:rPr>
        <w:footnoteReference w:id="106"/>
      </w:r>
      <w:r w:rsidRPr="000E12A4">
        <w:rPr>
          <w:rFonts w:ascii="Times New Roman" w:hAnsi="Times New Roman"/>
        </w:rPr>
        <w:t xml:space="preserve"> </w:t>
      </w:r>
    </w:p>
    <w:p w14:paraId="68062AA4" w14:textId="77777777" w:rsidR="000525DE" w:rsidRPr="000E12A4" w:rsidRDefault="000525DE" w:rsidP="000E12A4">
      <w:pPr>
        <w:pStyle w:val="HeadingL1"/>
        <w:spacing w:after="260" w:line="280" w:lineRule="exact"/>
        <w:ind w:right="0"/>
        <w:jc w:val="both"/>
        <w:rPr>
          <w:rFonts w:ascii="Times New Roman" w:hAnsi="Times New Roman"/>
        </w:rPr>
      </w:pPr>
      <w:bookmarkStart w:id="5" w:name="_Toc212208760"/>
      <w:r w:rsidRPr="000E12A4">
        <w:rPr>
          <w:rFonts w:ascii="Times New Roman" w:hAnsi="Times New Roman"/>
        </w:rPr>
        <w:t>Reading down to comply with a constitutional limit</w:t>
      </w:r>
      <w:bookmarkEnd w:id="5"/>
      <w:r w:rsidRPr="000E12A4">
        <w:rPr>
          <w:rFonts w:ascii="Times New Roman" w:hAnsi="Times New Roman"/>
        </w:rPr>
        <w:t>ation</w:t>
      </w:r>
    </w:p>
    <w:p w14:paraId="4F9EB6FC"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In relation to the third limit on reading down, where a provision purports to operate in an area in respect of which there is a clear constitutional limitation, that</w:t>
      </w:r>
      <w:r>
        <w:rPr>
          <w:rFonts w:ascii="Times New Roman" w:hAnsi="Times New Roman"/>
        </w:rPr>
        <w:t> </w:t>
      </w:r>
      <w:r w:rsidRPr="000E12A4">
        <w:rPr>
          <w:rFonts w:ascii="Times New Roman" w:hAnsi="Times New Roman"/>
        </w:rPr>
        <w:t>constitutional limitation may itself provide the applicable "standard criterion or test". As will be explained, the existence of room for debate about how to articulate the constitutional limitation does not prevent reading down by reference to that limit.</w:t>
      </w:r>
    </w:p>
    <w:p w14:paraId="16DEC07C"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In </w:t>
      </w:r>
      <w:r w:rsidRPr="000E12A4">
        <w:rPr>
          <w:rFonts w:ascii="Times New Roman" w:hAnsi="Times New Roman"/>
          <w:i/>
          <w:iCs/>
        </w:rPr>
        <w:t>Victoria v The Commonwealth</w:t>
      </w:r>
      <w:r w:rsidRPr="000E12A4">
        <w:rPr>
          <w:rFonts w:ascii="Times New Roman" w:hAnsi="Times New Roman"/>
        </w:rPr>
        <w:t xml:space="preserve"> </w:t>
      </w:r>
      <w:r w:rsidRPr="000E12A4">
        <w:rPr>
          <w:rFonts w:ascii="Times New Roman" w:hAnsi="Times New Roman"/>
          <w:i/>
          <w:iCs/>
        </w:rPr>
        <w:t>(Industrial Relations Act Case)</w:t>
      </w:r>
      <w:r w:rsidRPr="000E12A4">
        <w:rPr>
          <w:rFonts w:ascii="Times New Roman" w:hAnsi="Times New Roman"/>
        </w:rPr>
        <w:t>, five</w:t>
      </w:r>
      <w:r>
        <w:rPr>
          <w:rFonts w:ascii="Times New Roman" w:hAnsi="Times New Roman"/>
        </w:rPr>
        <w:t> </w:t>
      </w:r>
      <w:r w:rsidRPr="000E12A4">
        <w:rPr>
          <w:rFonts w:ascii="Times New Roman" w:hAnsi="Times New Roman"/>
        </w:rPr>
        <w:t>judges of this Court observed that s 15A of the AI Act may apply in two distinct situations: first, in relation to particular clauses, provisos and qualifications which are separately expressed and beyond legislative power; and second, in</w:t>
      </w:r>
      <w:r>
        <w:rPr>
          <w:rFonts w:ascii="Times New Roman" w:hAnsi="Times New Roman"/>
        </w:rPr>
        <w:t> </w:t>
      </w:r>
      <w:r w:rsidRPr="000E12A4">
        <w:rPr>
          <w:rFonts w:ascii="Times New Roman" w:hAnsi="Times New Roman"/>
        </w:rPr>
        <w:t>relation to general words or expressions.</w:t>
      </w:r>
      <w:r w:rsidRPr="000E12A4">
        <w:rPr>
          <w:rStyle w:val="FootnoteReference"/>
          <w:rFonts w:ascii="Times New Roman" w:hAnsi="Times New Roman"/>
          <w:sz w:val="24"/>
        </w:rPr>
        <w:footnoteReference w:id="107"/>
      </w:r>
      <w:r w:rsidRPr="000E12A4">
        <w:rPr>
          <w:rFonts w:ascii="Times New Roman" w:hAnsi="Times New Roman"/>
        </w:rPr>
        <w:t xml:space="preserve"> Their Honours said that "[t]he</w:t>
      </w:r>
      <w:r>
        <w:rPr>
          <w:rFonts w:ascii="Times New Roman" w:hAnsi="Times New Roman"/>
        </w:rPr>
        <w:t> </w:t>
      </w:r>
      <w:r w:rsidRPr="000E12A4">
        <w:rPr>
          <w:rFonts w:ascii="Times New Roman" w:hAnsi="Times New Roman"/>
        </w:rPr>
        <w:t>limitation by reference to which a law is to be read down may appear from the terms of the law or from its subject matter".</w:t>
      </w:r>
      <w:r w:rsidRPr="000E12A4">
        <w:rPr>
          <w:rStyle w:val="FootnoteReference"/>
          <w:rFonts w:ascii="Times New Roman" w:hAnsi="Times New Roman"/>
          <w:sz w:val="24"/>
        </w:rPr>
        <w:footnoteReference w:id="108"/>
      </w:r>
      <w:r w:rsidRPr="000E12A4">
        <w:rPr>
          <w:rFonts w:ascii="Times New Roman" w:hAnsi="Times New Roman"/>
        </w:rPr>
        <w:t xml:space="preserve"> So, "where a law is intended to operate in an area where Parliament's legislative power is subject to a clear limitation, it can be read as subject to that limitation".</w:t>
      </w:r>
      <w:r w:rsidRPr="000E12A4">
        <w:rPr>
          <w:rStyle w:val="FootnoteReference"/>
          <w:rFonts w:ascii="Times New Roman" w:hAnsi="Times New Roman"/>
          <w:sz w:val="24"/>
        </w:rPr>
        <w:footnoteReference w:id="109"/>
      </w:r>
    </w:p>
    <w:p w14:paraId="7A8B0DD7"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In the </w:t>
      </w:r>
      <w:r w:rsidRPr="000E12A4">
        <w:rPr>
          <w:rFonts w:ascii="Times New Roman" w:hAnsi="Times New Roman"/>
          <w:i/>
          <w:iCs/>
        </w:rPr>
        <w:t>Industrial Relations Act Case</w:t>
      </w:r>
      <w:r w:rsidRPr="000E12A4">
        <w:rPr>
          <w:rFonts w:ascii="Times New Roman" w:hAnsi="Times New Roman"/>
        </w:rPr>
        <w:t xml:space="preserve">, s 6 of the </w:t>
      </w:r>
      <w:r w:rsidRPr="000E12A4">
        <w:rPr>
          <w:rFonts w:ascii="Times New Roman" w:hAnsi="Times New Roman"/>
          <w:i/>
          <w:iCs/>
        </w:rPr>
        <w:t>Industrial Relations Act</w:t>
      </w:r>
      <w:r w:rsidRPr="000E12A4">
        <w:rPr>
          <w:rFonts w:ascii="Times New Roman" w:hAnsi="Times New Roman"/>
        </w:rPr>
        <w:t xml:space="preserve"> </w:t>
      </w:r>
      <w:r w:rsidRPr="000E12A4">
        <w:rPr>
          <w:rFonts w:ascii="Times New Roman" w:hAnsi="Times New Roman"/>
          <w:i/>
          <w:iCs/>
        </w:rPr>
        <w:t>1988</w:t>
      </w:r>
      <w:r>
        <w:rPr>
          <w:rFonts w:ascii="Times New Roman" w:hAnsi="Times New Roman"/>
        </w:rPr>
        <w:t> </w:t>
      </w:r>
      <w:r w:rsidRPr="000E12A4">
        <w:rPr>
          <w:rFonts w:ascii="Times New Roman" w:hAnsi="Times New Roman"/>
        </w:rPr>
        <w:t>(Cth) provided that the Act bound the Crown in right of each of the States. It</w:t>
      </w:r>
      <w:r>
        <w:rPr>
          <w:rFonts w:ascii="Times New Roman" w:hAnsi="Times New Roman"/>
        </w:rPr>
        <w:t> </w:t>
      </w:r>
      <w:r w:rsidRPr="000E12A4">
        <w:rPr>
          <w:rFonts w:ascii="Times New Roman" w:hAnsi="Times New Roman"/>
        </w:rPr>
        <w:t xml:space="preserve">thus purported to subject the States to a regime that specified terms and conditions with respect to employment generally and permitted the Industrial Relations Commission to regulate the terms and conditions on which people were employed, that being an area in which the legislative power of the Parliament is </w:t>
      </w:r>
      <w:r w:rsidRPr="000E12A4">
        <w:rPr>
          <w:rFonts w:ascii="Times New Roman" w:hAnsi="Times New Roman"/>
        </w:rPr>
        <w:lastRenderedPageBreak/>
        <w:t xml:space="preserve">limited by the principle in </w:t>
      </w:r>
      <w:r w:rsidRPr="000E12A4">
        <w:rPr>
          <w:rFonts w:ascii="Times New Roman" w:hAnsi="Times New Roman"/>
          <w:i/>
          <w:iCs/>
        </w:rPr>
        <w:t>Re Australian Education Union; Ex parte Victoria</w:t>
      </w:r>
      <w:r w:rsidRPr="000E12A4">
        <w:rPr>
          <w:rFonts w:ascii="Times New Roman" w:hAnsi="Times New Roman"/>
        </w:rPr>
        <w:t>.</w:t>
      </w:r>
      <w:r w:rsidRPr="000E12A4">
        <w:rPr>
          <w:rStyle w:val="FootnoteReference"/>
          <w:rFonts w:ascii="Times New Roman" w:hAnsi="Times New Roman"/>
          <w:sz w:val="24"/>
        </w:rPr>
        <w:footnoteReference w:id="110"/>
      </w:r>
      <w:r w:rsidRPr="000E12A4">
        <w:rPr>
          <w:rFonts w:ascii="Times New Roman" w:hAnsi="Times New Roman"/>
        </w:rPr>
        <w:t xml:space="preserve"> In</w:t>
      </w:r>
      <w:r>
        <w:rPr>
          <w:rFonts w:ascii="Times New Roman" w:hAnsi="Times New Roman"/>
        </w:rPr>
        <w:t> </w:t>
      </w:r>
      <w:r w:rsidRPr="000E12A4">
        <w:rPr>
          <w:rFonts w:ascii="Times New Roman" w:hAnsi="Times New Roman"/>
        </w:rPr>
        <w:t>those circumstances, "[t]he nature and subject matter of the Act" supplied</w:t>
      </w:r>
      <w:r>
        <w:rPr>
          <w:rFonts w:ascii="Times New Roman" w:hAnsi="Times New Roman"/>
        </w:rPr>
        <w:t> </w:t>
      </w:r>
      <w:r w:rsidRPr="000E12A4">
        <w:rPr>
          <w:rFonts w:ascii="Times New Roman" w:hAnsi="Times New Roman"/>
        </w:rPr>
        <w:t>the</w:t>
      </w:r>
      <w:r>
        <w:rPr>
          <w:rFonts w:ascii="Times New Roman" w:hAnsi="Times New Roman"/>
        </w:rPr>
        <w:t> </w:t>
      </w:r>
      <w:r w:rsidRPr="000E12A4">
        <w:rPr>
          <w:rFonts w:ascii="Times New Roman" w:hAnsi="Times New Roman"/>
        </w:rPr>
        <w:t>limitation by which s 6 could be read down within constitutional power: s</w:t>
      </w:r>
      <w:r>
        <w:rPr>
          <w:rFonts w:ascii="Times New Roman" w:hAnsi="Times New Roman"/>
        </w:rPr>
        <w:t> </w:t>
      </w:r>
      <w:r w:rsidRPr="000E12A4">
        <w:rPr>
          <w:rFonts w:ascii="Times New Roman" w:hAnsi="Times New Roman"/>
        </w:rPr>
        <w:t>6</w:t>
      </w:r>
      <w:r>
        <w:rPr>
          <w:rFonts w:ascii="Times New Roman" w:hAnsi="Times New Roman"/>
        </w:rPr>
        <w:t> </w:t>
      </w:r>
      <w:r w:rsidRPr="000E12A4">
        <w:rPr>
          <w:rFonts w:ascii="Times New Roman" w:hAnsi="Times New Roman"/>
        </w:rPr>
        <w:t>could be read as "binding the States to the extent that the provisions of the Act do not prevent them from determining the number of persons they wish to employ, the term of their appointment, the number and identity of those they wish to dismiss on redundancy grounds and the terms and conditions of those employed at the higher levels of government".</w:t>
      </w:r>
      <w:r w:rsidRPr="000E12A4">
        <w:rPr>
          <w:rStyle w:val="FootnoteReference"/>
          <w:rFonts w:ascii="Times New Roman" w:hAnsi="Times New Roman"/>
          <w:sz w:val="24"/>
        </w:rPr>
        <w:footnoteReference w:id="111"/>
      </w:r>
    </w:p>
    <w:p w14:paraId="439EE52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In </w:t>
      </w:r>
      <w:r w:rsidRPr="000E12A4">
        <w:rPr>
          <w:rFonts w:ascii="Times New Roman" w:hAnsi="Times New Roman"/>
          <w:i/>
          <w:iCs/>
        </w:rPr>
        <w:t>Tajjour v New South Wales</w:t>
      </w:r>
      <w:r w:rsidRPr="000E12A4">
        <w:rPr>
          <w:rFonts w:ascii="Times New Roman" w:hAnsi="Times New Roman"/>
        </w:rPr>
        <w:t xml:space="preserve">, Gageler J, in dissent, concluded that s 93X of the </w:t>
      </w:r>
      <w:r w:rsidRPr="000E12A4">
        <w:rPr>
          <w:rFonts w:ascii="Times New Roman" w:hAnsi="Times New Roman"/>
          <w:i/>
          <w:iCs/>
        </w:rPr>
        <w:t>Crimes Act 1900</w:t>
      </w:r>
      <w:r w:rsidRPr="000E12A4">
        <w:rPr>
          <w:rFonts w:ascii="Times New Roman" w:hAnsi="Times New Roman"/>
        </w:rPr>
        <w:t xml:space="preserve"> (NSW), which provided that a person is guilty of an offence if they habitually consort with convicted offenders and consort with those convicted offenders after having been given an official warning in relation to each of those offenders, infringed the implied freedom of political communication in its application to association for a purpose of engaging in communication on governmental or political matter.</w:t>
      </w:r>
      <w:r w:rsidRPr="000E12A4">
        <w:rPr>
          <w:rStyle w:val="FootnoteReference"/>
          <w:rFonts w:ascii="Times New Roman" w:hAnsi="Times New Roman"/>
          <w:sz w:val="24"/>
        </w:rPr>
        <w:footnoteReference w:id="112"/>
      </w:r>
      <w:r w:rsidRPr="000E12A4">
        <w:rPr>
          <w:rFonts w:ascii="Times New Roman" w:hAnsi="Times New Roman"/>
        </w:rPr>
        <w:t xml:space="preserve"> However, applying the </w:t>
      </w:r>
      <w:r w:rsidRPr="000E12A4">
        <w:rPr>
          <w:rFonts w:ascii="Times New Roman" w:hAnsi="Times New Roman"/>
          <w:i/>
          <w:iCs/>
        </w:rPr>
        <w:t>Industrial Relations Act Case</w:t>
      </w:r>
      <w:r w:rsidRPr="000E12A4">
        <w:rPr>
          <w:rFonts w:ascii="Times New Roman" w:hAnsi="Times New Roman"/>
        </w:rPr>
        <w:t>, his Honour concluded that s 93X could be read down by reference to the</w:t>
      </w:r>
      <w:r>
        <w:rPr>
          <w:rFonts w:ascii="Times New Roman" w:hAnsi="Times New Roman"/>
        </w:rPr>
        <w:t> </w:t>
      </w:r>
      <w:r w:rsidRPr="000E12A4">
        <w:rPr>
          <w:rFonts w:ascii="Times New Roman" w:hAnsi="Times New Roman"/>
        </w:rPr>
        <w:t>clear constitutional limitation supplied by the implied freedom.</w:t>
      </w:r>
      <w:r w:rsidRPr="000E12A4">
        <w:rPr>
          <w:rStyle w:val="FootnoteReference"/>
          <w:rFonts w:ascii="Times New Roman" w:hAnsi="Times New Roman"/>
          <w:sz w:val="24"/>
        </w:rPr>
        <w:footnoteReference w:id="113"/>
      </w:r>
      <w:r w:rsidRPr="000E12A4">
        <w:rPr>
          <w:rFonts w:ascii="Times New Roman" w:hAnsi="Times New Roman"/>
        </w:rPr>
        <w:t xml:space="preserve"> In particular, it could be read down "as having no application in so far as the section would apply to consorting which is or forms part of an association for a purpose of engaging in communication on governmental or political matter".</w:t>
      </w:r>
      <w:r w:rsidRPr="000E12A4">
        <w:rPr>
          <w:rStyle w:val="FootnoteReference"/>
          <w:rFonts w:ascii="Times New Roman" w:hAnsi="Times New Roman"/>
          <w:sz w:val="24"/>
        </w:rPr>
        <w:footnoteReference w:id="114"/>
      </w:r>
      <w:r w:rsidRPr="000E12A4">
        <w:rPr>
          <w:rFonts w:ascii="Times New Roman" w:hAnsi="Times New Roman"/>
        </w:rPr>
        <w:t xml:space="preserve"> His Honour observed:</w:t>
      </w:r>
      <w:r w:rsidRPr="000E12A4">
        <w:rPr>
          <w:rStyle w:val="FootnoteReference"/>
          <w:rFonts w:ascii="Times New Roman" w:hAnsi="Times New Roman"/>
          <w:sz w:val="24"/>
        </w:rPr>
        <w:footnoteReference w:id="115"/>
      </w:r>
    </w:p>
    <w:p w14:paraId="41CA8A66" w14:textId="77777777" w:rsidR="000525DE" w:rsidRDefault="000525DE" w:rsidP="000E12A4">
      <w:pPr>
        <w:pStyle w:val="LRIndentafterHC"/>
        <w:spacing w:before="0" w:after="260" w:line="280" w:lineRule="exact"/>
        <w:ind w:right="0"/>
        <w:jc w:val="both"/>
        <w:rPr>
          <w:rFonts w:ascii="Times New Roman" w:hAnsi="Times New Roman"/>
        </w:rPr>
      </w:pPr>
      <w:r w:rsidRPr="000E12A4">
        <w:rPr>
          <w:rFonts w:ascii="Times New Roman" w:hAnsi="Times New Roman"/>
        </w:rPr>
        <w:t>"That a severance clause operates only as a rule of construction, however, is no impediment to its application to read down a provision expressed in general words so as to have no application within an area in which legislative power is subject to a clear constitutional limitation. Such</w:t>
      </w:r>
      <w:r>
        <w:rPr>
          <w:rFonts w:ascii="Times New Roman" w:hAnsi="Times New Roman"/>
        </w:rPr>
        <w:t> </w:t>
      </w:r>
      <w:r w:rsidRPr="000E12A4">
        <w:rPr>
          <w:rFonts w:ascii="Times New Roman" w:hAnsi="Times New Roman"/>
        </w:rPr>
        <w:t xml:space="preserve">reading down can occur even if the constitutional limitation is incapable of precise definition, and even if an inquiry of fact is required to determine whether the constitutional limitation would or would not be engaged in so far as the law would apply to particular persons in particular </w:t>
      </w:r>
      <w:r w:rsidRPr="000E12A4">
        <w:rPr>
          <w:rFonts w:ascii="Times New Roman" w:hAnsi="Times New Roman"/>
        </w:rPr>
        <w:lastRenderedPageBreak/>
        <w:t>circumstances. Where reading down can occur, the constructional imperative of a severance clause is that reading down must occur."</w:t>
      </w:r>
    </w:p>
    <w:p w14:paraId="122C347D"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In </w:t>
      </w:r>
      <w:r w:rsidRPr="000E12A4">
        <w:rPr>
          <w:rFonts w:ascii="Times New Roman" w:hAnsi="Times New Roman"/>
          <w:i/>
          <w:iCs/>
        </w:rPr>
        <w:t>Graham v Minister for Immigration and Border Protection</w:t>
      </w:r>
      <w:r w:rsidRPr="000E12A4">
        <w:rPr>
          <w:rFonts w:ascii="Times New Roman" w:hAnsi="Times New Roman"/>
        </w:rPr>
        <w:t>,</w:t>
      </w:r>
      <w:r w:rsidRPr="000E12A4">
        <w:rPr>
          <w:rFonts w:ascii="Times New Roman" w:hAnsi="Times New Roman"/>
          <w:i/>
          <w:iCs/>
        </w:rPr>
        <w:t xml:space="preserve"> </w:t>
      </w:r>
      <w:r w:rsidRPr="000E12A4">
        <w:rPr>
          <w:rFonts w:ascii="Times New Roman" w:hAnsi="Times New Roman"/>
        </w:rPr>
        <w:t>six members of this Court cited this passage with approval when concluding that the invalid application of the provision challenged in that case was severable.</w:t>
      </w:r>
      <w:r w:rsidRPr="000E12A4">
        <w:rPr>
          <w:rStyle w:val="FootnoteReference"/>
          <w:rFonts w:ascii="Times New Roman" w:hAnsi="Times New Roman"/>
          <w:sz w:val="24"/>
        </w:rPr>
        <w:footnoteReference w:id="116"/>
      </w:r>
      <w:r w:rsidRPr="000E12A4">
        <w:rPr>
          <w:rFonts w:ascii="Times New Roman" w:hAnsi="Times New Roman"/>
        </w:rPr>
        <w:t xml:space="preserve"> Their</w:t>
      </w:r>
      <w:r>
        <w:rPr>
          <w:rFonts w:ascii="Times New Roman" w:hAnsi="Times New Roman"/>
        </w:rPr>
        <w:t> </w:t>
      </w:r>
      <w:r w:rsidRPr="000E12A4">
        <w:rPr>
          <w:rFonts w:ascii="Times New Roman" w:hAnsi="Times New Roman"/>
        </w:rPr>
        <w:t>Honours</w:t>
      </w:r>
      <w:r>
        <w:rPr>
          <w:rFonts w:ascii="Times New Roman" w:hAnsi="Times New Roman"/>
        </w:rPr>
        <w:t> </w:t>
      </w:r>
      <w:r w:rsidRPr="000E12A4">
        <w:rPr>
          <w:rFonts w:ascii="Times New Roman" w:hAnsi="Times New Roman"/>
        </w:rPr>
        <w:t>applied s 15A of the AI Act to read the word "court" to exclude the</w:t>
      </w:r>
      <w:r>
        <w:rPr>
          <w:rFonts w:ascii="Times New Roman" w:hAnsi="Times New Roman"/>
        </w:rPr>
        <w:t> </w:t>
      </w:r>
      <w:r w:rsidRPr="000E12A4">
        <w:rPr>
          <w:rFonts w:ascii="Times New Roman" w:hAnsi="Times New Roman"/>
        </w:rPr>
        <w:t xml:space="preserve">High Court when exercising jurisdiction under s 75(v) of the </w:t>
      </w:r>
      <w:r w:rsidRPr="000E12A4">
        <w:rPr>
          <w:rFonts w:ascii="Times New Roman" w:hAnsi="Times New Roman"/>
          <w:i/>
          <w:iCs/>
        </w:rPr>
        <w:t>Constitution</w:t>
      </w:r>
      <w:r w:rsidRPr="000E12A4">
        <w:rPr>
          <w:rFonts w:ascii="Times New Roman" w:hAnsi="Times New Roman"/>
        </w:rPr>
        <w:t>, and</w:t>
      </w:r>
      <w:r>
        <w:rPr>
          <w:rFonts w:ascii="Times New Roman" w:hAnsi="Times New Roman"/>
        </w:rPr>
        <w:t> </w:t>
      </w:r>
      <w:r w:rsidRPr="000E12A4">
        <w:rPr>
          <w:rFonts w:ascii="Times New Roman" w:hAnsi="Times New Roman"/>
        </w:rPr>
        <w:t>the</w:t>
      </w:r>
      <w:r>
        <w:rPr>
          <w:rFonts w:ascii="Times New Roman" w:hAnsi="Times New Roman"/>
        </w:rPr>
        <w:t> </w:t>
      </w:r>
      <w:r w:rsidRPr="000E12A4">
        <w:rPr>
          <w:rFonts w:ascii="Times New Roman" w:hAnsi="Times New Roman"/>
        </w:rPr>
        <w:t>Federal</w:t>
      </w:r>
      <w:r>
        <w:rPr>
          <w:rFonts w:ascii="Times New Roman" w:hAnsi="Times New Roman"/>
        </w:rPr>
        <w:t> </w:t>
      </w:r>
      <w:r w:rsidRPr="000E12A4">
        <w:rPr>
          <w:rFonts w:ascii="Times New Roman" w:hAnsi="Times New Roman"/>
        </w:rPr>
        <w:t>Court when exercising jurisdiction under s 476A(1)(c) and (2) of</w:t>
      </w:r>
      <w:r>
        <w:rPr>
          <w:rFonts w:ascii="Times New Roman" w:hAnsi="Times New Roman"/>
        </w:rPr>
        <w:t> </w:t>
      </w:r>
      <w:r w:rsidRPr="000E12A4">
        <w:rPr>
          <w:rFonts w:ascii="Times New Roman" w:hAnsi="Times New Roman"/>
        </w:rPr>
        <w:t xml:space="preserve">the </w:t>
      </w:r>
      <w:r w:rsidRPr="000E12A4">
        <w:rPr>
          <w:rFonts w:ascii="Times New Roman" w:hAnsi="Times New Roman"/>
          <w:i/>
          <w:iCs/>
        </w:rPr>
        <w:t>Migration Act</w:t>
      </w:r>
      <w:r w:rsidRPr="000E12A4">
        <w:rPr>
          <w:rFonts w:ascii="Times New Roman" w:hAnsi="Times New Roman"/>
        </w:rPr>
        <w:t xml:space="preserve"> </w:t>
      </w:r>
      <w:r w:rsidRPr="000E12A4">
        <w:rPr>
          <w:rFonts w:ascii="Times New Roman" w:hAnsi="Times New Roman"/>
          <w:i/>
          <w:iCs/>
        </w:rPr>
        <w:t>1958</w:t>
      </w:r>
      <w:r w:rsidRPr="000E12A4">
        <w:rPr>
          <w:rFonts w:ascii="Times New Roman" w:hAnsi="Times New Roman"/>
        </w:rPr>
        <w:t xml:space="preserve"> (Cth), to review a purported exercise of power by the</w:t>
      </w:r>
      <w:r>
        <w:rPr>
          <w:rFonts w:ascii="Times New Roman" w:hAnsi="Times New Roman"/>
        </w:rPr>
        <w:t> </w:t>
      </w:r>
      <w:r w:rsidRPr="000E12A4">
        <w:rPr>
          <w:rFonts w:ascii="Times New Roman" w:hAnsi="Times New Roman"/>
        </w:rPr>
        <w:t>relevant Minister under s 501, 501A, 501B or 501C to which certain information was relevant.</w:t>
      </w:r>
      <w:r w:rsidRPr="000E12A4">
        <w:rPr>
          <w:rStyle w:val="FootnoteReference"/>
          <w:rFonts w:ascii="Times New Roman" w:hAnsi="Times New Roman"/>
          <w:sz w:val="24"/>
        </w:rPr>
        <w:footnoteReference w:id="117"/>
      </w:r>
    </w:p>
    <w:p w14:paraId="44E65330" w14:textId="77777777" w:rsidR="000525DE" w:rsidRPr="000E12A4" w:rsidRDefault="000525DE" w:rsidP="000E12A4">
      <w:pPr>
        <w:pStyle w:val="HeadingL1"/>
        <w:spacing w:after="260" w:line="280" w:lineRule="exact"/>
        <w:ind w:right="0"/>
        <w:jc w:val="both"/>
        <w:rPr>
          <w:rFonts w:ascii="Times New Roman" w:hAnsi="Times New Roman"/>
        </w:rPr>
      </w:pPr>
      <w:bookmarkStart w:id="6" w:name="_Toc212208761"/>
      <w:r w:rsidRPr="000E12A4">
        <w:rPr>
          <w:rFonts w:ascii="Times New Roman" w:hAnsi="Times New Roman"/>
        </w:rPr>
        <w:t>Can regs 14 and 15 be read down so as not to transgress the constitutional limitation?</w:t>
      </w:r>
      <w:bookmarkEnd w:id="6"/>
    </w:p>
    <w:p w14:paraId="53121F9E" w14:textId="77777777" w:rsidR="000525DE" w:rsidRPr="000E12A4" w:rsidRDefault="000525DE" w:rsidP="000E12A4">
      <w:pPr>
        <w:pStyle w:val="FixListStyle"/>
        <w:spacing w:after="260" w:line="280" w:lineRule="exact"/>
        <w:ind w:right="0"/>
        <w:jc w:val="both"/>
        <w:rPr>
          <w:rFonts w:ascii="Times New Roman" w:hAnsi="Times New Roman"/>
        </w:rPr>
      </w:pPr>
      <w:bookmarkStart w:id="7" w:name="_Ref212208552"/>
      <w:r w:rsidRPr="000E12A4">
        <w:rPr>
          <w:rFonts w:ascii="Times New Roman" w:hAnsi="Times New Roman"/>
        </w:rPr>
        <w:tab/>
        <w:t>The text of regs 14 and 15 reveals that they purport to operate in an area in which "the legislative power of the Parliament is limited"</w:t>
      </w:r>
      <w:r w:rsidRPr="000E12A4">
        <w:rPr>
          <w:rStyle w:val="FootnoteReference"/>
          <w:rFonts w:ascii="Times New Roman" w:hAnsi="Times New Roman"/>
          <w:sz w:val="24"/>
        </w:rPr>
        <w:footnoteReference w:id="118"/>
      </w:r>
      <w:r w:rsidRPr="000E12A4">
        <w:rPr>
          <w:rFonts w:ascii="Times New Roman" w:hAnsi="Times New Roman"/>
        </w:rPr>
        <w:t xml:space="preserve"> by the constitutional limitation derived from s 75(v)</w:t>
      </w:r>
      <w:bookmarkEnd w:id="7"/>
      <w:r w:rsidRPr="000E12A4">
        <w:rPr>
          <w:rFonts w:ascii="Times New Roman" w:hAnsi="Times New Roman"/>
        </w:rPr>
        <w:t xml:space="preserve"> of the </w:t>
      </w:r>
      <w:r w:rsidRPr="000E12A4">
        <w:rPr>
          <w:rFonts w:ascii="Times New Roman" w:hAnsi="Times New Roman"/>
          <w:i/>
          <w:iCs/>
        </w:rPr>
        <w:t>Constitution</w:t>
      </w:r>
      <w:r w:rsidRPr="000E12A4">
        <w:rPr>
          <w:rFonts w:ascii="Times New Roman" w:hAnsi="Times New Roman"/>
        </w:rPr>
        <w:t>. Regulations 14 and 15 regulate the use of "assets",</w:t>
      </w:r>
      <w:r w:rsidRPr="000E12A4">
        <w:rPr>
          <w:rStyle w:val="FootnoteReference"/>
          <w:rFonts w:ascii="Times New Roman" w:hAnsi="Times New Roman"/>
          <w:sz w:val="24"/>
        </w:rPr>
        <w:footnoteReference w:id="119"/>
      </w:r>
      <w:r w:rsidRPr="000E12A4">
        <w:rPr>
          <w:rFonts w:ascii="Times New Roman" w:hAnsi="Times New Roman"/>
        </w:rPr>
        <w:t xml:space="preserve"> which on its face extends to assets that may be used to pay for legal advice and representation. Regulations 14(1)(b) and 15(1)(c) respectively provide that a person does not contravene the regulation if the making available of, or use of or dealing with, the asset is authorised by a permit granted under reg</w:t>
      </w:r>
      <w:r>
        <w:rPr>
          <w:rFonts w:ascii="Times New Roman" w:hAnsi="Times New Roman"/>
        </w:rPr>
        <w:t> </w:t>
      </w:r>
      <w:r w:rsidRPr="000E12A4">
        <w:rPr>
          <w:rFonts w:ascii="Times New Roman" w:hAnsi="Times New Roman"/>
        </w:rPr>
        <w:t>18. Sub</w:t>
      </w:r>
      <w:r w:rsidRPr="000E12A4">
        <w:rPr>
          <w:rFonts w:ascii="Times New Roman" w:hAnsi="Times New Roman"/>
        </w:rPr>
        <w:noBreakHyphen/>
        <w:t xml:space="preserve">regulations (1) and (2) of reg 20 provide for applications for a permit authorising the making available of, or use of or dealing with, an asset in relation to a basic expense dealing, a legally required dealing or a contractual dealing. </w:t>
      </w:r>
      <w:r w:rsidRPr="00EA451D">
        <w:rPr>
          <w:rFonts w:ascii="Times New Roman" w:hAnsi="Times New Roman"/>
          <w:spacing w:val="-4"/>
        </w:rPr>
        <w:t>"Basic expense dealing" is defined to include certain dealings that are necessary for any basic expenses, including "reasonable professional fees" and "reimbursement of expenses associated with the provision of legal services".</w:t>
      </w:r>
      <w:r w:rsidRPr="00EA451D">
        <w:rPr>
          <w:rStyle w:val="FootnoteReference"/>
          <w:rFonts w:ascii="Times New Roman" w:hAnsi="Times New Roman"/>
          <w:spacing w:val="-4"/>
          <w:sz w:val="24"/>
        </w:rPr>
        <w:footnoteReference w:id="120"/>
      </w:r>
      <w:r w:rsidRPr="000E12A4">
        <w:rPr>
          <w:rFonts w:ascii="Times New Roman" w:hAnsi="Times New Roman"/>
        </w:rPr>
        <w:t xml:space="preserve"> </w:t>
      </w:r>
    </w:p>
    <w:p w14:paraId="7953DFAA" w14:textId="77777777" w:rsidR="000525DE" w:rsidRPr="000E12A4" w:rsidRDefault="000525DE" w:rsidP="000E12A4">
      <w:pPr>
        <w:pStyle w:val="FixListStyle"/>
        <w:spacing w:after="260" w:line="280" w:lineRule="exact"/>
        <w:ind w:right="0"/>
        <w:jc w:val="both"/>
        <w:rPr>
          <w:rFonts w:ascii="Times New Roman" w:hAnsi="Times New Roman"/>
        </w:rPr>
      </w:pPr>
      <w:bookmarkStart w:id="8" w:name="_Ref212208556"/>
      <w:r w:rsidRPr="000E12A4">
        <w:rPr>
          <w:rFonts w:ascii="Times New Roman" w:hAnsi="Times New Roman"/>
        </w:rPr>
        <w:tab/>
        <w:t>The constitutional limitation thus supplies the applicable standard, criterion</w:t>
      </w:r>
      <w:r>
        <w:rPr>
          <w:rFonts w:ascii="Times New Roman" w:hAnsi="Times New Roman"/>
        </w:rPr>
        <w:t> </w:t>
      </w:r>
      <w:r w:rsidRPr="000E12A4">
        <w:rPr>
          <w:rFonts w:ascii="Times New Roman" w:hAnsi="Times New Roman"/>
        </w:rPr>
        <w:t xml:space="preserve">or test by reference to which regs 14 and 15 can be read down. As has been observed, such reading down can occur "even if the constitutional limitation </w:t>
      </w:r>
      <w:r w:rsidRPr="000E12A4">
        <w:rPr>
          <w:rFonts w:ascii="Times New Roman" w:hAnsi="Times New Roman"/>
        </w:rPr>
        <w:lastRenderedPageBreak/>
        <w:t>is incapable of precise definition".</w:t>
      </w:r>
      <w:r w:rsidRPr="000E12A4">
        <w:rPr>
          <w:rStyle w:val="FootnoteReference"/>
          <w:rFonts w:ascii="Times New Roman" w:hAnsi="Times New Roman"/>
          <w:sz w:val="24"/>
        </w:rPr>
        <w:footnoteReference w:id="121"/>
      </w:r>
      <w:r w:rsidRPr="000E12A4">
        <w:rPr>
          <w:rFonts w:ascii="Times New Roman" w:hAnsi="Times New Roman"/>
        </w:rPr>
        <w:t xml:space="preserve"> It is not judicial redrafting. Rather, the Court is exercising judicial power in an orthodox manner by interpreting the AS Act subject to the requirements of the AI Act and the </w:t>
      </w:r>
      <w:r w:rsidRPr="000E12A4">
        <w:rPr>
          <w:rFonts w:ascii="Times New Roman" w:hAnsi="Times New Roman"/>
          <w:i/>
          <w:iCs/>
        </w:rPr>
        <w:t>Constitution</w:t>
      </w:r>
      <w:r w:rsidRPr="000E12A4">
        <w:rPr>
          <w:rFonts w:ascii="Times New Roman" w:hAnsi="Times New Roman"/>
        </w:rPr>
        <w:t xml:space="preserve">. </w:t>
      </w:r>
      <w:bookmarkEnd w:id="8"/>
      <w:r w:rsidRPr="000E12A4">
        <w:rPr>
          <w:rFonts w:ascii="Times New Roman" w:hAnsi="Times New Roman"/>
        </w:rPr>
        <w:t>That the expression of the constitutional limitation might vary depending on the form of the legislation under consideration</w:t>
      </w:r>
      <w:r w:rsidRPr="000E12A4">
        <w:rPr>
          <w:rStyle w:val="FootnoteReference"/>
          <w:rFonts w:ascii="Times New Roman" w:hAnsi="Times New Roman"/>
          <w:sz w:val="24"/>
        </w:rPr>
        <w:footnoteReference w:id="122"/>
      </w:r>
      <w:r w:rsidRPr="000E12A4">
        <w:rPr>
          <w:rFonts w:ascii="Times New Roman" w:hAnsi="Times New Roman"/>
        </w:rPr>
        <w:t xml:space="preserve"> is not an obstacle to reading down a provision in a particular case.</w:t>
      </w:r>
      <w:bookmarkStart w:id="9" w:name="_Ref212208600"/>
    </w:p>
    <w:p w14:paraId="21B872D9"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It is also possible, in an appropriate case, to read down a statutory provision by reference to the purpose of a person's conduct to comply with a constitutional limitation. In </w:t>
      </w:r>
      <w:r w:rsidRPr="000E12A4">
        <w:rPr>
          <w:rFonts w:ascii="Times New Roman" w:hAnsi="Times New Roman"/>
          <w:i/>
          <w:iCs/>
        </w:rPr>
        <w:t>Tajjour</w:t>
      </w:r>
      <w:r w:rsidRPr="000E12A4">
        <w:rPr>
          <w:rFonts w:ascii="Times New Roman" w:hAnsi="Times New Roman"/>
        </w:rPr>
        <w:t>, Gageler J, in dissent, read down the criminal offence provision so as not to apply to consorting which was or formed part of "an</w:t>
      </w:r>
      <w:r>
        <w:rPr>
          <w:rFonts w:ascii="Times New Roman" w:hAnsi="Times New Roman"/>
        </w:rPr>
        <w:t> </w:t>
      </w:r>
      <w:r w:rsidRPr="000E12A4">
        <w:rPr>
          <w:rFonts w:ascii="Times New Roman" w:hAnsi="Times New Roman"/>
        </w:rPr>
        <w:t xml:space="preserve">association for a </w:t>
      </w:r>
      <w:r w:rsidRPr="000E12A4">
        <w:rPr>
          <w:rFonts w:ascii="Times New Roman" w:hAnsi="Times New Roman"/>
          <w:i/>
          <w:iCs/>
        </w:rPr>
        <w:t>purpose</w:t>
      </w:r>
      <w:r w:rsidRPr="000E12A4">
        <w:rPr>
          <w:rFonts w:ascii="Times New Roman" w:hAnsi="Times New Roman"/>
        </w:rPr>
        <w:t xml:space="preserve"> of engaging in communication on governmental or political matter".</w:t>
      </w:r>
      <w:r w:rsidRPr="000E12A4">
        <w:rPr>
          <w:rStyle w:val="FootnoteReference"/>
          <w:rFonts w:ascii="Times New Roman" w:hAnsi="Times New Roman"/>
          <w:sz w:val="24"/>
        </w:rPr>
        <w:footnoteReference w:id="123"/>
      </w:r>
      <w:r w:rsidRPr="000E12A4">
        <w:rPr>
          <w:rFonts w:ascii="Times New Roman" w:hAnsi="Times New Roman"/>
        </w:rPr>
        <w:t xml:space="preserve"> So too have provisions been read down on the basis of a</w:t>
      </w:r>
      <w:r>
        <w:rPr>
          <w:rFonts w:ascii="Times New Roman" w:hAnsi="Times New Roman"/>
        </w:rPr>
        <w:t> </w:t>
      </w:r>
      <w:r w:rsidRPr="000E12A4">
        <w:rPr>
          <w:rFonts w:ascii="Times New Roman" w:hAnsi="Times New Roman"/>
        </w:rPr>
        <w:t>constitutional limitation by reference to the object of a person's conduct.</w:t>
      </w:r>
      <w:r w:rsidRPr="000E12A4">
        <w:rPr>
          <w:rStyle w:val="FootnoteReference"/>
          <w:rFonts w:ascii="Times New Roman" w:hAnsi="Times New Roman"/>
          <w:sz w:val="24"/>
        </w:rPr>
        <w:footnoteReference w:id="124"/>
      </w:r>
      <w:bookmarkStart w:id="10" w:name="_Ref212111044"/>
      <w:bookmarkStart w:id="11" w:name="_Ref212188297"/>
      <w:bookmarkEnd w:id="9"/>
    </w:p>
    <w:p w14:paraId="3C1AAC80"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However, that does not mean that a provision will always be capable of being read down by reference to the purpose of a person's conduct. That is apparent from the Full Federal Court's approach to reading down the Regulations in this case, which would not necessarily be practically effective to protect a designated person's access to the entrenched jurisdiction. </w:t>
      </w:r>
      <w:bookmarkEnd w:id="10"/>
      <w:bookmarkEnd w:id="11"/>
      <w:r w:rsidRPr="000E12A4">
        <w:rPr>
          <w:rFonts w:ascii="Times New Roman" w:hAnsi="Times New Roman"/>
        </w:rPr>
        <w:t xml:space="preserve">As read down, regs 14 and 15 might still prohibit conduct that would be a necessary precursor to a designated person knowing their rights and obligations and therefore having the capacity to invoke the entrenched jurisdiction. </w:t>
      </w:r>
    </w:p>
    <w:p w14:paraId="665870C8"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b/>
          <w:bCs/>
        </w:rPr>
        <w:tab/>
      </w:r>
      <w:r w:rsidRPr="000E12A4">
        <w:rPr>
          <w:rFonts w:ascii="Times New Roman" w:hAnsi="Times New Roman"/>
        </w:rPr>
        <w:t>For example, it is not clear that the limitation as expressed by the</w:t>
      </w:r>
      <w:r>
        <w:rPr>
          <w:rFonts w:ascii="Times New Roman" w:hAnsi="Times New Roman"/>
        </w:rPr>
        <w:t> </w:t>
      </w:r>
      <w:r w:rsidRPr="000E12A4">
        <w:rPr>
          <w:rFonts w:ascii="Times New Roman" w:hAnsi="Times New Roman"/>
        </w:rPr>
        <w:t>Full</w:t>
      </w:r>
      <w:r>
        <w:rPr>
          <w:rFonts w:ascii="Times New Roman" w:hAnsi="Times New Roman"/>
        </w:rPr>
        <w:t> </w:t>
      </w:r>
      <w:r w:rsidRPr="000E12A4">
        <w:rPr>
          <w:rFonts w:ascii="Times New Roman" w:hAnsi="Times New Roman"/>
        </w:rPr>
        <w:t>Federal Court would cover an initial conferral at which the designated person asks their solicitor what their rights and duties under Australian law are, at</w:t>
      </w:r>
      <w:r>
        <w:rPr>
          <w:rFonts w:ascii="Times New Roman" w:hAnsi="Times New Roman"/>
        </w:rPr>
        <w:t> </w:t>
      </w:r>
      <w:r w:rsidRPr="000E12A4">
        <w:rPr>
          <w:rFonts w:ascii="Times New Roman" w:hAnsi="Times New Roman"/>
        </w:rPr>
        <w:t xml:space="preserve">which point the purpose of challenging the validity of decisions or actions under the AS Act pursuant to s 75(v) of the </w:t>
      </w:r>
      <w:r w:rsidRPr="000E12A4">
        <w:rPr>
          <w:rFonts w:ascii="Times New Roman" w:hAnsi="Times New Roman"/>
          <w:i/>
          <w:iCs/>
        </w:rPr>
        <w:t>Constitution</w:t>
      </w:r>
      <w:r w:rsidRPr="000E12A4">
        <w:rPr>
          <w:rFonts w:ascii="Times New Roman" w:hAnsi="Times New Roman"/>
        </w:rPr>
        <w:t xml:space="preserve"> or s 39B(1) of the </w:t>
      </w:r>
      <w:r w:rsidRPr="000E12A4">
        <w:rPr>
          <w:rFonts w:ascii="Times New Roman" w:hAnsi="Times New Roman"/>
          <w:i/>
          <w:iCs/>
        </w:rPr>
        <w:t>Judiciary Act</w:t>
      </w:r>
      <w:r w:rsidRPr="000E12A4">
        <w:rPr>
          <w:rFonts w:ascii="Times New Roman" w:hAnsi="Times New Roman"/>
        </w:rPr>
        <w:t xml:space="preserve"> ("the challenge purpose") will not necessarily have transpired. Yet such a conferral would, in some cases, be practically necessary as a preliminary step towards invoking s 75(v) jurisdiction. If, at that early stage, a designated person transfers money into the lawyer's trust fund, pursuant to a retainer to advise the designated </w:t>
      </w:r>
      <w:r w:rsidRPr="000E12A4">
        <w:rPr>
          <w:rFonts w:ascii="Times New Roman" w:hAnsi="Times New Roman"/>
        </w:rPr>
        <w:lastRenderedPageBreak/>
        <w:t>person on their rights and duties under Australian law, that transfer will not necessarily have the challenge purpose.</w:t>
      </w:r>
      <w:r w:rsidRPr="000E12A4">
        <w:rPr>
          <w:rFonts w:ascii="Times New Roman" w:hAnsi="Times New Roman"/>
          <w:b/>
          <w:bCs/>
        </w:rPr>
        <w:t xml:space="preserve"> </w:t>
      </w:r>
      <w:r w:rsidRPr="000E12A4">
        <w:rPr>
          <w:rFonts w:ascii="Times New Roman" w:hAnsi="Times New Roman"/>
        </w:rPr>
        <w:t>So, too, might the generation of documents that are owned by, or made available for the benefit of, the designated person constitute a breach, since the lawyer would be "using" or "dealing with" the assets of the designated person.</w:t>
      </w:r>
      <w:r w:rsidRPr="000E12A4">
        <w:rPr>
          <w:rStyle w:val="FootnoteReference"/>
          <w:rFonts w:ascii="Times New Roman" w:hAnsi="Times New Roman"/>
          <w:sz w:val="24"/>
        </w:rPr>
        <w:footnoteReference w:id="125"/>
      </w:r>
    </w:p>
    <w:p w14:paraId="69EB9107" w14:textId="0942ACB5"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b/>
          <w:bCs/>
        </w:rPr>
        <w:tab/>
      </w:r>
      <w:r w:rsidRPr="000E12A4">
        <w:rPr>
          <w:rFonts w:ascii="Times New Roman" w:hAnsi="Times New Roman"/>
        </w:rPr>
        <w:t>In turn, the lawyer's conduct might itself constitute an offence under s 16 of the AS Act, since the lawyer will have engaged in conduct that contravenes a</w:t>
      </w:r>
      <w:r>
        <w:rPr>
          <w:rFonts w:ascii="Times New Roman" w:hAnsi="Times New Roman"/>
        </w:rPr>
        <w:t> </w:t>
      </w:r>
      <w:r w:rsidRPr="000E12A4">
        <w:rPr>
          <w:rFonts w:ascii="Times New Roman" w:hAnsi="Times New Roman"/>
        </w:rPr>
        <w:t>sanction law, namely by making an asset available to or for the benefit of the</w:t>
      </w:r>
      <w:r>
        <w:rPr>
          <w:rFonts w:ascii="Times New Roman" w:hAnsi="Times New Roman"/>
        </w:rPr>
        <w:t> </w:t>
      </w:r>
      <w:r w:rsidRPr="000E12A4">
        <w:rPr>
          <w:rFonts w:ascii="Times New Roman" w:hAnsi="Times New Roman"/>
        </w:rPr>
        <w:t>designated person, being reckless as to whether the asset was made available to or for the benefit of the designated person and as to whether the designated person was a designated person.</w:t>
      </w:r>
      <w:r w:rsidRPr="000E12A4">
        <w:rPr>
          <w:rStyle w:val="FootnoteReference"/>
          <w:rFonts w:ascii="Times New Roman" w:hAnsi="Times New Roman"/>
          <w:sz w:val="24"/>
        </w:rPr>
        <w:footnoteReference w:id="126"/>
      </w:r>
      <w:r w:rsidRPr="000E12A4">
        <w:rPr>
          <w:rFonts w:ascii="Times New Roman" w:hAnsi="Times New Roman"/>
        </w:rPr>
        <w:t xml:space="preserve"> The designated person's contravention of reg</w:t>
      </w:r>
      <w:r w:rsidR="000C23E0">
        <w:rPr>
          <w:rFonts w:ascii="Times New Roman" w:hAnsi="Times New Roman"/>
        </w:rPr>
        <w:t> </w:t>
      </w:r>
      <w:r w:rsidRPr="000E12A4">
        <w:rPr>
          <w:rFonts w:ascii="Times New Roman" w:hAnsi="Times New Roman"/>
        </w:rPr>
        <w:t>15 might also constitute an offence under s 16 of the AS Act, given they arguably will have engaged in conduct that contravenes a sanction law by holding a controlled asset and using or dealing with the asset without yet having the challenge purpose.</w:t>
      </w:r>
      <w:r w:rsidRPr="000E12A4">
        <w:rPr>
          <w:rStyle w:val="FootnoteReference"/>
          <w:rFonts w:ascii="Times New Roman" w:hAnsi="Times New Roman"/>
          <w:sz w:val="24"/>
        </w:rPr>
        <w:footnoteReference w:id="127"/>
      </w:r>
    </w:p>
    <w:p w14:paraId="0D27BAB9"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These examples illustrate that the manner in which the Full Federal Court read down regs 14 and 15 is not a sufficient expression of the constitutional limitation. While the seeking or provision of such preliminary advice might be objectively characterised as arguably being for the challenge purpose, this</w:t>
      </w:r>
      <w:r w:rsidRPr="000E12A4">
        <w:rPr>
          <w:rFonts w:ascii="Times New Roman" w:eastAsia="Segoe UI" w:hAnsi="Times New Roman"/>
        </w:rPr>
        <w:t xml:space="preserve"> will not always be </w:t>
      </w:r>
      <w:r w:rsidRPr="000E12A4">
        <w:rPr>
          <w:rFonts w:ascii="Times New Roman" w:hAnsi="Times New Roman"/>
        </w:rPr>
        <w:t>clear, particularly in cases where the advice is that no such challenge is available or no challenge is ultimately commenced. For that constitutional limitation to be practically effective regs 14 and 15 should be read down in a</w:t>
      </w:r>
      <w:r>
        <w:rPr>
          <w:rFonts w:ascii="Times New Roman" w:hAnsi="Times New Roman"/>
        </w:rPr>
        <w:t> </w:t>
      </w:r>
      <w:r w:rsidRPr="000E12A4">
        <w:rPr>
          <w:rFonts w:ascii="Times New Roman" w:hAnsi="Times New Roman"/>
        </w:rPr>
        <w:t xml:space="preserve">manner that provides sufficient certainty to potential litigants and their lawyers. </w:t>
      </w:r>
    </w:p>
    <w:p w14:paraId="48330461"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Regulations 14 and 15 should instead be read down so as not to apply to the</w:t>
      </w:r>
      <w:r>
        <w:rPr>
          <w:rFonts w:ascii="Times New Roman" w:hAnsi="Times New Roman"/>
        </w:rPr>
        <w:t> </w:t>
      </w:r>
      <w:r w:rsidRPr="000E12A4">
        <w:rPr>
          <w:rFonts w:ascii="Times New Roman" w:hAnsi="Times New Roman"/>
        </w:rPr>
        <w:t xml:space="preserve">extent that they would, directly or as a matter of practical effect, curtail or limit the right or ability of a person to seek relief under s 75(v) of the </w:t>
      </w:r>
      <w:r w:rsidRPr="000E12A4">
        <w:rPr>
          <w:rFonts w:ascii="Times New Roman" w:hAnsi="Times New Roman"/>
          <w:i/>
          <w:iCs/>
        </w:rPr>
        <w:t>Constitution</w:t>
      </w:r>
      <w:r w:rsidRPr="000E12A4">
        <w:rPr>
          <w:rFonts w:ascii="Times New Roman" w:hAnsi="Times New Roman"/>
        </w:rPr>
        <w:t xml:space="preserve"> or s</w:t>
      </w:r>
      <w:r>
        <w:rPr>
          <w:rFonts w:ascii="Times New Roman" w:hAnsi="Times New Roman"/>
        </w:rPr>
        <w:t> </w:t>
      </w:r>
      <w:r w:rsidRPr="000E12A4">
        <w:rPr>
          <w:rFonts w:ascii="Times New Roman" w:hAnsi="Times New Roman"/>
        </w:rPr>
        <w:t xml:space="preserve">39B(1) of the </w:t>
      </w:r>
      <w:r w:rsidRPr="000E12A4">
        <w:rPr>
          <w:rFonts w:ascii="Times New Roman" w:hAnsi="Times New Roman"/>
          <w:i/>
          <w:iCs/>
        </w:rPr>
        <w:t>Judiciary Act</w:t>
      </w:r>
      <w:r w:rsidRPr="000E12A4">
        <w:rPr>
          <w:rFonts w:ascii="Times New Roman" w:hAnsi="Times New Roman"/>
        </w:rPr>
        <w:t>.</w:t>
      </w:r>
      <w:r w:rsidRPr="000E12A4">
        <w:rPr>
          <w:rStyle w:val="FootnoteReference"/>
          <w:rFonts w:ascii="Times New Roman" w:hAnsi="Times New Roman"/>
          <w:sz w:val="24"/>
        </w:rPr>
        <w:footnoteReference w:id="128"/>
      </w:r>
    </w:p>
    <w:p w14:paraId="683BC76A"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Regulations may be read down in this manner even though "an inquiry of fact is required to determine whether the constitutional limitation would or would not be engaged in so far as the law would apply to particular persons in particular circumstances".</w:t>
      </w:r>
      <w:r w:rsidRPr="000E12A4">
        <w:rPr>
          <w:rStyle w:val="FootnoteReference"/>
          <w:rFonts w:ascii="Times New Roman" w:hAnsi="Times New Roman"/>
          <w:sz w:val="24"/>
        </w:rPr>
        <w:footnoteReference w:id="129"/>
      </w:r>
      <w:r w:rsidRPr="000E12A4">
        <w:rPr>
          <w:rFonts w:ascii="Times New Roman" w:hAnsi="Times New Roman"/>
        </w:rPr>
        <w:t xml:space="preserve"> The same was true of the limitation identified in </w:t>
      </w:r>
      <w:r w:rsidRPr="000E12A4">
        <w:rPr>
          <w:rFonts w:ascii="Times New Roman" w:hAnsi="Times New Roman"/>
        </w:rPr>
        <w:lastRenderedPageBreak/>
        <w:t>the</w:t>
      </w:r>
      <w:r>
        <w:rPr>
          <w:rFonts w:ascii="Times New Roman" w:hAnsi="Times New Roman"/>
        </w:rPr>
        <w:t> </w:t>
      </w:r>
      <w:r w:rsidRPr="000E12A4">
        <w:rPr>
          <w:rFonts w:ascii="Times New Roman" w:hAnsi="Times New Roman"/>
          <w:i/>
          <w:iCs/>
        </w:rPr>
        <w:t>Industrial Relations Act Case</w:t>
      </w:r>
      <w:r w:rsidRPr="000E12A4">
        <w:rPr>
          <w:rFonts w:ascii="Times New Roman" w:hAnsi="Times New Roman"/>
        </w:rPr>
        <w:t>, which required an inquiry into whether a person was engaged at the "higher levels of government".</w:t>
      </w:r>
      <w:r w:rsidRPr="000E12A4">
        <w:rPr>
          <w:rStyle w:val="FootnoteReference"/>
          <w:rFonts w:ascii="Times New Roman" w:hAnsi="Times New Roman"/>
          <w:sz w:val="24"/>
        </w:rPr>
        <w:footnoteReference w:id="130"/>
      </w:r>
      <w:r w:rsidRPr="000E12A4">
        <w:rPr>
          <w:rFonts w:ascii="Times New Roman" w:hAnsi="Times New Roman"/>
        </w:rPr>
        <w:t xml:space="preserve"> What is important is that the</w:t>
      </w:r>
      <w:r>
        <w:rPr>
          <w:rFonts w:ascii="Times New Roman" w:hAnsi="Times New Roman"/>
        </w:rPr>
        <w:t> </w:t>
      </w:r>
      <w:r w:rsidRPr="000E12A4">
        <w:rPr>
          <w:rFonts w:ascii="Times New Roman" w:hAnsi="Times New Roman"/>
        </w:rPr>
        <w:t>constitutional limitation as framed would offer real protection for the</w:t>
      </w:r>
      <w:r>
        <w:rPr>
          <w:rFonts w:ascii="Times New Roman" w:hAnsi="Times New Roman"/>
        </w:rPr>
        <w:t> </w:t>
      </w:r>
      <w:r w:rsidRPr="000E12A4">
        <w:rPr>
          <w:rFonts w:ascii="Times New Roman" w:hAnsi="Times New Roman"/>
        </w:rPr>
        <w:t>designated person's access to the entrenched minimum provision of judicial review.</w:t>
      </w:r>
    </w:p>
    <w:p w14:paraId="585E26F7" w14:textId="77777777" w:rsidR="000525DE" w:rsidRPr="000E12A4" w:rsidRDefault="000525DE" w:rsidP="000E12A4">
      <w:pPr>
        <w:pStyle w:val="HeadingL2"/>
        <w:spacing w:after="260" w:line="280" w:lineRule="exact"/>
        <w:ind w:right="0"/>
        <w:jc w:val="both"/>
        <w:rPr>
          <w:rFonts w:ascii="Times New Roman" w:hAnsi="Times New Roman"/>
        </w:rPr>
      </w:pPr>
      <w:r w:rsidRPr="000E12A4">
        <w:rPr>
          <w:rFonts w:ascii="Times New Roman" w:hAnsi="Times New Roman"/>
        </w:rPr>
        <w:t>Other limits on reading down not infringed</w:t>
      </w:r>
    </w:p>
    <w:p w14:paraId="2F09BC6E"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Regulations do not evince an intention that, if they could not validly prevent the use of controlled assets to invoke the entrenched jurisdiction, they do not apply at all. It may be accepted that, as the primary judge found, the scheme is designedly draconian in its reach. Any relaxation of the scheme would therefore reduce its effectiveness. However, that does not mean that the Regulations were intended to operate in an all-or-nothing manner. That permits may be issued to</w:t>
      </w:r>
      <w:r w:rsidRPr="000E12A4" w:rsidDel="00FC583A">
        <w:rPr>
          <w:rFonts w:ascii="Times New Roman" w:hAnsi="Times New Roman"/>
        </w:rPr>
        <w:t xml:space="preserve"> </w:t>
      </w:r>
      <w:r w:rsidRPr="000E12A4">
        <w:rPr>
          <w:rFonts w:ascii="Times New Roman" w:hAnsi="Times New Roman"/>
        </w:rPr>
        <w:t>limit the operation of regs 14 and 15 suggests to the contrary.</w:t>
      </w:r>
    </w:p>
    <w:p w14:paraId="238E949D"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r>
      <w:r w:rsidRPr="00EA451D">
        <w:rPr>
          <w:rFonts w:ascii="Times New Roman" w:hAnsi="Times New Roman"/>
          <w:spacing w:val="-4"/>
        </w:rPr>
        <w:t>Nor is the reading down inconsistent with the express, unqualified requirement that a designated person obtain a permit to pay legal expenses and professional fees. A person can obtain a permit, even with respect to</w:t>
      </w:r>
      <w:r w:rsidRPr="000E12A4">
        <w:rPr>
          <w:rFonts w:ascii="Times New Roman" w:hAnsi="Times New Roman"/>
        </w:rPr>
        <w:t xml:space="preserve"> professional fees and legal expenses, beyond the operation of the constitutional limitation. Consequently, the</w:t>
      </w:r>
      <w:r>
        <w:rPr>
          <w:rFonts w:ascii="Times New Roman" w:hAnsi="Times New Roman"/>
        </w:rPr>
        <w:t> </w:t>
      </w:r>
      <w:r w:rsidRPr="000E12A4">
        <w:rPr>
          <w:rFonts w:ascii="Times New Roman" w:hAnsi="Times New Roman"/>
        </w:rPr>
        <w:t>permit still has work to do. In any event, the fact that the scheme contemplates the obtaining of permits so that conduct will not fall foul of the prohibitions in regs</w:t>
      </w:r>
      <w:r>
        <w:rPr>
          <w:rFonts w:ascii="Times New Roman" w:hAnsi="Times New Roman"/>
        </w:rPr>
        <w:t> </w:t>
      </w:r>
      <w:r w:rsidRPr="000E12A4">
        <w:rPr>
          <w:rFonts w:ascii="Times New Roman" w:hAnsi="Times New Roman"/>
        </w:rPr>
        <w:t>14 and 15 does not necessarily evince an intention that regs 14 and 15 should not be read down in the manner described.</w:t>
      </w:r>
    </w:p>
    <w:p w14:paraId="2FE81DE8"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Mr Deripaska submitted that the carving out of rights derived from s 39B(1) of the </w:t>
      </w:r>
      <w:r w:rsidRPr="000E12A4">
        <w:rPr>
          <w:rFonts w:ascii="Times New Roman" w:hAnsi="Times New Roman"/>
          <w:i/>
          <w:iCs/>
        </w:rPr>
        <w:t>Judiciary Act</w:t>
      </w:r>
      <w:r w:rsidRPr="000E12A4">
        <w:rPr>
          <w:rFonts w:ascii="Times New Roman" w:hAnsi="Times New Roman"/>
        </w:rPr>
        <w:t xml:space="preserve"> is contrary to the AS Act's express provision that the</w:t>
      </w:r>
      <w:r>
        <w:rPr>
          <w:rFonts w:ascii="Times New Roman" w:hAnsi="Times New Roman"/>
        </w:rPr>
        <w:t> </w:t>
      </w:r>
      <w:r w:rsidRPr="000E12A4">
        <w:rPr>
          <w:rFonts w:ascii="Times New Roman" w:hAnsi="Times New Roman"/>
        </w:rPr>
        <w:t xml:space="preserve">Regulations override that statute. Section 12 of the AS Act relevantly provides that the Regulations have effect despite any Act enacted before its commencement. Contrary to Mr Deripaska's submission, s 12 should not be construed as overriding s 39B(1) of the </w:t>
      </w:r>
      <w:r w:rsidRPr="000E12A4">
        <w:rPr>
          <w:rFonts w:ascii="Times New Roman" w:hAnsi="Times New Roman"/>
          <w:i/>
          <w:iCs/>
        </w:rPr>
        <w:t>Judiciary Act</w:t>
      </w:r>
      <w:r w:rsidRPr="000E12A4">
        <w:rPr>
          <w:rFonts w:ascii="Times New Roman" w:hAnsi="Times New Roman"/>
        </w:rPr>
        <w:t>, consistent with the constitutional limitation identified. Section 12, which refers to Acts generally, does not express a contrary intention to the reading down of regs 14 and 15 in the manner described.</w:t>
      </w:r>
    </w:p>
    <w:p w14:paraId="76D02312"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While the constitutional limitation confines the area of operation of regs 14 and 15, in cases where they continue to apply their operation is unchanged. Mr Deripaska submitted that regs 14 and 15 are criminal offences</w:t>
      </w:r>
      <w:r w:rsidRPr="000E12A4">
        <w:rPr>
          <w:rStyle w:val="FootnoteReference"/>
          <w:rFonts w:ascii="Times New Roman" w:hAnsi="Times New Roman"/>
          <w:sz w:val="24"/>
        </w:rPr>
        <w:footnoteReference w:id="131"/>
      </w:r>
      <w:r w:rsidRPr="000E12A4">
        <w:rPr>
          <w:rFonts w:ascii="Times New Roman" w:hAnsi="Times New Roman"/>
        </w:rPr>
        <w:t xml:space="preserve"> that operate by reference to subjective intention,</w:t>
      </w:r>
      <w:r w:rsidRPr="000E12A4">
        <w:rPr>
          <w:rStyle w:val="FootnoteReference"/>
          <w:rFonts w:ascii="Times New Roman" w:hAnsi="Times New Roman"/>
          <w:sz w:val="24"/>
        </w:rPr>
        <w:footnoteReference w:id="132"/>
      </w:r>
      <w:r w:rsidRPr="000E12A4">
        <w:rPr>
          <w:rFonts w:ascii="Times New Roman" w:hAnsi="Times New Roman"/>
        </w:rPr>
        <w:t xml:space="preserve"> which cannot be reconciled with </w:t>
      </w:r>
      <w:r w:rsidRPr="000E12A4">
        <w:rPr>
          <w:rFonts w:ascii="Times New Roman" w:hAnsi="Times New Roman"/>
        </w:rPr>
        <w:lastRenderedPageBreak/>
        <w:t>the</w:t>
      </w:r>
      <w:r>
        <w:rPr>
          <w:rFonts w:ascii="Times New Roman" w:hAnsi="Times New Roman"/>
        </w:rPr>
        <w:t> </w:t>
      </w:r>
      <w:r w:rsidRPr="000E12A4">
        <w:rPr>
          <w:rFonts w:ascii="Times New Roman" w:hAnsi="Times New Roman"/>
        </w:rPr>
        <w:t>"judicially</w:t>
      </w:r>
      <w:r>
        <w:rPr>
          <w:rFonts w:ascii="Times New Roman" w:hAnsi="Times New Roman"/>
        </w:rPr>
        <w:noBreakHyphen/>
      </w:r>
      <w:r w:rsidRPr="000E12A4">
        <w:rPr>
          <w:rFonts w:ascii="Times New Roman" w:hAnsi="Times New Roman"/>
        </w:rPr>
        <w:t>invented defence" provided by the Full Federal Court's reading down by reference to the objective purpose of the designated person's conduct. That argument does not arise given that the Regulations should not be read down by reference to the objective purpose of the designated person's conduct.</w:t>
      </w:r>
    </w:p>
    <w:p w14:paraId="29DE68EB" w14:textId="77777777" w:rsidR="000525DE" w:rsidRPr="000E12A4" w:rsidRDefault="000525DE" w:rsidP="000E12A4">
      <w:pPr>
        <w:pStyle w:val="HeadingL1"/>
        <w:spacing w:after="260" w:line="280" w:lineRule="exact"/>
        <w:ind w:right="0"/>
        <w:jc w:val="both"/>
        <w:rPr>
          <w:rFonts w:ascii="Times New Roman" w:hAnsi="Times New Roman"/>
        </w:rPr>
      </w:pPr>
      <w:bookmarkStart w:id="12" w:name="_Toc212208762"/>
      <w:r w:rsidRPr="000E12A4">
        <w:rPr>
          <w:rFonts w:ascii="Times New Roman" w:hAnsi="Times New Roman"/>
        </w:rPr>
        <w:t>If regs 14 and 15 can be read down, are they invalid in any event?</w:t>
      </w:r>
      <w:bookmarkEnd w:id="12"/>
    </w:p>
    <w:p w14:paraId="546BD11E" w14:textId="77777777" w:rsidR="000525DE" w:rsidRPr="000E12A4" w:rsidRDefault="000525DE" w:rsidP="000E12A4">
      <w:pPr>
        <w:pStyle w:val="FixListStyle"/>
        <w:spacing w:after="260" w:line="280" w:lineRule="exact"/>
        <w:ind w:right="0"/>
        <w:jc w:val="both"/>
        <w:rPr>
          <w:rFonts w:ascii="Times New Roman" w:hAnsi="Times New Roman"/>
        </w:rPr>
      </w:pPr>
      <w:bookmarkStart w:id="13" w:name="_Ref212208696"/>
      <w:r w:rsidRPr="000E12A4">
        <w:rPr>
          <w:rFonts w:ascii="Times New Roman" w:hAnsi="Times New Roman"/>
        </w:rPr>
        <w:tab/>
        <w:t>Mr Deripaska submitted that, even if regs 14 and 15 were read down, they</w:t>
      </w:r>
      <w:r>
        <w:rPr>
          <w:rFonts w:ascii="Times New Roman" w:hAnsi="Times New Roman"/>
        </w:rPr>
        <w:t> </w:t>
      </w:r>
      <w:r w:rsidRPr="000E12A4">
        <w:rPr>
          <w:rFonts w:ascii="Times New Roman" w:hAnsi="Times New Roman"/>
        </w:rPr>
        <w:t xml:space="preserve">would remain invalid because they would infringe one of two other constitutional limitations: (a) they would impermissibly prevent designated persons from being legally represented in Ch III courts; or (b) they would offend a prohibition on placing a person's ability to invoke the jurisdiction under s 75(iii) of the </w:t>
      </w:r>
      <w:r w:rsidRPr="000E12A4">
        <w:rPr>
          <w:rFonts w:ascii="Times New Roman" w:hAnsi="Times New Roman"/>
          <w:i/>
          <w:iCs/>
        </w:rPr>
        <w:t>Constitution</w:t>
      </w:r>
      <w:r w:rsidRPr="000E12A4">
        <w:rPr>
          <w:rFonts w:ascii="Times New Roman" w:hAnsi="Times New Roman"/>
        </w:rPr>
        <w:t xml:space="preserve"> at the discretion of a Commonwealth official. Section 75(iii) confers original jurisdiction on this Court in all matters in which the</w:t>
      </w:r>
      <w:r>
        <w:rPr>
          <w:rFonts w:ascii="Times New Roman" w:hAnsi="Times New Roman"/>
        </w:rPr>
        <w:t> </w:t>
      </w:r>
      <w:r w:rsidRPr="000E12A4">
        <w:rPr>
          <w:rFonts w:ascii="Times New Roman" w:hAnsi="Times New Roman"/>
        </w:rPr>
        <w:t>Commonwealth, or a person suing or being sued on behalf of the</w:t>
      </w:r>
      <w:r>
        <w:rPr>
          <w:rFonts w:ascii="Times New Roman" w:hAnsi="Times New Roman"/>
        </w:rPr>
        <w:t> </w:t>
      </w:r>
      <w:r w:rsidRPr="000E12A4">
        <w:rPr>
          <w:rFonts w:ascii="Times New Roman" w:hAnsi="Times New Roman"/>
        </w:rPr>
        <w:t>Commonwealth, is a party. Both of these submissions raise novel constitutional limitations which have not been accepted by a majority of this Court.</w:t>
      </w:r>
      <w:bookmarkEnd w:id="13"/>
    </w:p>
    <w:p w14:paraId="47424C42"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In accordance with the settled prudential approach of this Court, it is unnecessary for the Court to decide these issues given that, as read down, the</w:t>
      </w:r>
      <w:r>
        <w:rPr>
          <w:rFonts w:ascii="Times New Roman" w:hAnsi="Times New Roman"/>
        </w:rPr>
        <w:t> </w:t>
      </w:r>
      <w:r w:rsidRPr="000E12A4">
        <w:rPr>
          <w:rFonts w:ascii="Times New Roman" w:hAnsi="Times New Roman"/>
        </w:rPr>
        <w:t>Regulations do not relevantly constrain Mr Deripaska from bringing the</w:t>
      </w:r>
      <w:r>
        <w:rPr>
          <w:rFonts w:ascii="Times New Roman" w:hAnsi="Times New Roman"/>
        </w:rPr>
        <w:t> </w:t>
      </w:r>
      <w:r w:rsidRPr="000E12A4">
        <w:rPr>
          <w:rFonts w:ascii="Times New Roman" w:hAnsi="Times New Roman"/>
        </w:rPr>
        <w:t>present proceeding without a ministerial permit.</w:t>
      </w:r>
    </w:p>
    <w:p w14:paraId="55744A14" w14:textId="77777777" w:rsidR="000525DE" w:rsidRPr="000E12A4" w:rsidRDefault="000525DE" w:rsidP="000E12A4">
      <w:pPr>
        <w:pStyle w:val="HeadingL2"/>
        <w:spacing w:after="260" w:line="280" w:lineRule="exact"/>
        <w:ind w:right="0"/>
        <w:jc w:val="both"/>
        <w:rPr>
          <w:rFonts w:ascii="Times New Roman" w:hAnsi="Times New Roman"/>
        </w:rPr>
      </w:pPr>
      <w:r w:rsidRPr="000E12A4">
        <w:rPr>
          <w:rFonts w:ascii="Times New Roman" w:hAnsi="Times New Roman"/>
        </w:rPr>
        <w:t>Prudential approach</w:t>
      </w:r>
    </w:p>
    <w:p w14:paraId="694AD3C1"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The prudential approach of this Court is only to </w:t>
      </w:r>
      <w:r>
        <w:rPr>
          <w:rFonts w:ascii="Times New Roman" w:hAnsi="Times New Roman"/>
        </w:rPr>
        <w:t xml:space="preserve">decide </w:t>
      </w:r>
      <w:r w:rsidRPr="000E12A4">
        <w:rPr>
          <w:rFonts w:ascii="Times New Roman" w:hAnsi="Times New Roman"/>
        </w:rPr>
        <w:t>constitutional issues where there is a state of facts that makes it necessary to decide them.</w:t>
      </w:r>
      <w:r w:rsidRPr="000E12A4">
        <w:rPr>
          <w:rStyle w:val="FootnoteReference"/>
          <w:rFonts w:ascii="Times New Roman" w:hAnsi="Times New Roman"/>
          <w:sz w:val="24"/>
        </w:rPr>
        <w:footnoteReference w:id="133"/>
      </w:r>
      <w:r w:rsidRPr="000E12A4">
        <w:rPr>
          <w:rFonts w:ascii="Times New Roman" w:hAnsi="Times New Roman"/>
        </w:rPr>
        <w:t xml:space="preserve"> In</w:t>
      </w:r>
      <w:r>
        <w:rPr>
          <w:rFonts w:ascii="Times New Roman" w:hAnsi="Times New Roman"/>
        </w:rPr>
        <w:t> </w:t>
      </w:r>
      <w:r w:rsidRPr="000E12A4">
        <w:rPr>
          <w:rFonts w:ascii="Times New Roman" w:hAnsi="Times New Roman"/>
          <w:i/>
          <w:iCs/>
        </w:rPr>
        <w:t>Mineralogy Pty Ltd v Western Australia</w:t>
      </w:r>
      <w:r w:rsidRPr="000E12A4">
        <w:rPr>
          <w:rFonts w:ascii="Times New Roman" w:hAnsi="Times New Roman"/>
        </w:rPr>
        <w:t>, the plurality emphasised that the</w:t>
      </w:r>
      <w:r>
        <w:rPr>
          <w:rFonts w:ascii="Times New Roman" w:hAnsi="Times New Roman"/>
        </w:rPr>
        <w:t> </w:t>
      </w:r>
      <w:r w:rsidRPr="000E12A4">
        <w:rPr>
          <w:rFonts w:ascii="Times New Roman" w:hAnsi="Times New Roman"/>
        </w:rPr>
        <w:t>"cautious and restrained approach to answering questions agreed by the parties in a special case is a manifestation of a more general prudential approach to resolving questions of constitutional validity 'founded on the same basal understanding of the nature of the judicial function as that which has informed the</w:t>
      </w:r>
      <w:r>
        <w:rPr>
          <w:rFonts w:ascii="Times New Roman" w:hAnsi="Times New Roman"/>
        </w:rPr>
        <w:t> </w:t>
      </w:r>
      <w:r w:rsidRPr="000E12A4">
        <w:rPr>
          <w:rFonts w:ascii="Times New Roman" w:hAnsi="Times New Roman"/>
        </w:rPr>
        <w:t>doctrine that the High Court lacks original or appellate jurisdiction to answer any question of law (including but not confined to a question of constitutional law) if that question is divorced from the administration of the law'".</w:t>
      </w:r>
      <w:r w:rsidRPr="000E12A4">
        <w:rPr>
          <w:rStyle w:val="FootnoteReference"/>
          <w:rFonts w:ascii="Times New Roman" w:hAnsi="Times New Roman"/>
          <w:sz w:val="24"/>
        </w:rPr>
        <w:footnoteReference w:id="134"/>
      </w:r>
    </w:p>
    <w:p w14:paraId="76AA81EE"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The plurality stated that "[u]nderlying the prudential approach is recognition that the function performed by the Full Court in answering a question </w:t>
      </w:r>
      <w:r w:rsidRPr="000E12A4">
        <w:rPr>
          <w:rFonts w:ascii="Times New Roman" w:hAnsi="Times New Roman"/>
        </w:rPr>
        <w:lastRenderedPageBreak/>
        <w:t>of law stated for its opinion is not advisory but adjudicative. Underlying it also is recognition that performance of an adjudicative function in an adversary setting 'proceeds best when it proceeds if, and no further than is, warranted to determine a legal right or legal liability in controversy'".</w:t>
      </w:r>
      <w:r w:rsidRPr="000E12A4">
        <w:rPr>
          <w:rStyle w:val="FootnoteReference"/>
          <w:rFonts w:ascii="Times New Roman" w:hAnsi="Times New Roman"/>
          <w:sz w:val="24"/>
        </w:rPr>
        <w:footnoteReference w:id="135"/>
      </w:r>
      <w:r w:rsidRPr="000E12A4">
        <w:rPr>
          <w:rFonts w:ascii="Times New Roman" w:hAnsi="Times New Roman"/>
        </w:rPr>
        <w:t xml:space="preserve"> </w:t>
      </w:r>
    </w:p>
    <w:p w14:paraId="06477A1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The plurality went on to identify four "implications of the prudential approach".</w:t>
      </w:r>
      <w:r w:rsidRPr="000E12A4">
        <w:rPr>
          <w:rStyle w:val="FootnoteReference"/>
          <w:rFonts w:ascii="Times New Roman" w:hAnsi="Times New Roman"/>
          <w:sz w:val="24"/>
        </w:rPr>
        <w:footnoteReference w:id="136"/>
      </w:r>
      <w:r w:rsidRPr="000E12A4">
        <w:rPr>
          <w:rFonts w:ascii="Times New Roman" w:hAnsi="Times New Roman"/>
        </w:rPr>
        <w:t xml:space="preserve"> </w:t>
      </w:r>
      <w:r w:rsidRPr="000E12A4">
        <w:rPr>
          <w:rFonts w:ascii="Times New Roman" w:hAnsi="Times New Roman"/>
          <w:bCs/>
        </w:rPr>
        <w:t>First</w:t>
      </w:r>
      <w:r w:rsidRPr="000E12A4">
        <w:rPr>
          <w:rFonts w:ascii="Times New Roman" w:hAnsi="Times New Roman"/>
        </w:rPr>
        <w:t>, "a party will not be permitted to 'roam at large' but will be confined to advancing those grounds of challenge which bear on the validity of the</w:t>
      </w:r>
      <w:r>
        <w:rPr>
          <w:rFonts w:ascii="Times New Roman" w:hAnsi="Times New Roman"/>
        </w:rPr>
        <w:t> </w:t>
      </w:r>
      <w:r w:rsidRPr="000E12A4">
        <w:rPr>
          <w:rFonts w:ascii="Times New Roman" w:hAnsi="Times New Roman"/>
        </w:rPr>
        <w:t>provision in its application to that party".</w:t>
      </w:r>
      <w:r w:rsidRPr="000E12A4">
        <w:rPr>
          <w:rStyle w:val="FootnoteReference"/>
          <w:rFonts w:ascii="Times New Roman" w:hAnsi="Times New Roman"/>
          <w:sz w:val="24"/>
        </w:rPr>
        <w:footnoteReference w:id="137"/>
      </w:r>
      <w:r w:rsidRPr="000E12A4">
        <w:rPr>
          <w:rFonts w:ascii="Times New Roman" w:hAnsi="Times New Roman"/>
        </w:rPr>
        <w:t xml:space="preserve"> </w:t>
      </w:r>
      <w:r w:rsidRPr="000E12A4">
        <w:rPr>
          <w:rFonts w:ascii="Times New Roman" w:hAnsi="Times New Roman"/>
          <w:bCs/>
          <w:iCs/>
        </w:rPr>
        <w:t>Second</w:t>
      </w:r>
      <w:r w:rsidRPr="000E12A4">
        <w:rPr>
          <w:rFonts w:ascii="Times New Roman" w:hAnsi="Times New Roman"/>
        </w:rPr>
        <w:t>, "it is ordinarily inappropriate for the [Full] Court to be drawn into a consideration of whether a</w:t>
      </w:r>
      <w:r>
        <w:rPr>
          <w:rFonts w:ascii="Times New Roman" w:hAnsi="Times New Roman"/>
        </w:rPr>
        <w:t> </w:t>
      </w:r>
      <w:r w:rsidRPr="000E12A4">
        <w:rPr>
          <w:rFonts w:ascii="Times New Roman" w:hAnsi="Times New Roman"/>
        </w:rPr>
        <w:t>legislative provision would have an invalid operation in circumstances which have not arisen and which may never arise if the provision, if invalid in that operation, would be severable and otherwise valid".</w:t>
      </w:r>
      <w:r w:rsidRPr="000E12A4">
        <w:rPr>
          <w:rStyle w:val="FootnoteReference"/>
          <w:rFonts w:ascii="Times New Roman" w:hAnsi="Times New Roman"/>
          <w:sz w:val="24"/>
        </w:rPr>
        <w:footnoteReference w:id="138"/>
      </w:r>
      <w:r w:rsidRPr="000E12A4">
        <w:rPr>
          <w:rFonts w:ascii="Times New Roman" w:hAnsi="Times New Roman"/>
        </w:rPr>
        <w:t xml:space="preserve"> </w:t>
      </w:r>
      <w:r w:rsidRPr="000E12A4">
        <w:rPr>
          <w:rFonts w:ascii="Times New Roman" w:hAnsi="Times New Roman"/>
          <w:bCs/>
          <w:iCs/>
        </w:rPr>
        <w:t>Third</w:t>
      </w:r>
      <w:r w:rsidRPr="000E12A4">
        <w:rPr>
          <w:rFonts w:ascii="Times New Roman" w:hAnsi="Times New Roman"/>
        </w:rPr>
        <w:t>, "the application of an</w:t>
      </w:r>
      <w:r>
        <w:rPr>
          <w:rFonts w:ascii="Times New Roman" w:hAnsi="Times New Roman"/>
        </w:rPr>
        <w:t> </w:t>
      </w:r>
      <w:r w:rsidRPr="000E12A4">
        <w:rPr>
          <w:rFonts w:ascii="Times New Roman" w:hAnsi="Times New Roman"/>
        </w:rPr>
        <w:t>impugned legislative provision to the facts must appear from the special case with sufficient clarity both to identify the right, duty or liability that is in controversy and to demonstrate the necessity of answering the question of law to the judicial resolution of that controversy".</w:t>
      </w:r>
      <w:r w:rsidRPr="000E12A4">
        <w:rPr>
          <w:rStyle w:val="FootnoteReference"/>
          <w:rFonts w:ascii="Times New Roman" w:hAnsi="Times New Roman"/>
          <w:sz w:val="24"/>
        </w:rPr>
        <w:footnoteReference w:id="139"/>
      </w:r>
      <w:r w:rsidRPr="000E12A4">
        <w:rPr>
          <w:rFonts w:ascii="Times New Roman" w:hAnsi="Times New Roman"/>
        </w:rPr>
        <w:t xml:space="preserve"> Fourth, "the necessity of answering the question of law to the judicial resolution of the controversy may not sufficiently appear where there remains a prospect that the controversy can be judicially determined on another basis".</w:t>
      </w:r>
      <w:r w:rsidRPr="000E12A4">
        <w:rPr>
          <w:rStyle w:val="FootnoteReference"/>
          <w:rFonts w:ascii="Times New Roman" w:hAnsi="Times New Roman"/>
          <w:sz w:val="24"/>
        </w:rPr>
        <w:footnoteReference w:id="140"/>
      </w:r>
      <w:bookmarkStart w:id="14" w:name="_Ref212208697"/>
    </w:p>
    <w:p w14:paraId="7F240DFC"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Once regs 14 and 15 are read down, the Regulations do not relevantly constrain Mr Deripaska from bringing the present proceeding without a ministerial permit. </w:t>
      </w:r>
      <w:bookmarkEnd w:id="14"/>
      <w:r w:rsidRPr="000E12A4">
        <w:rPr>
          <w:rFonts w:ascii="Times New Roman" w:hAnsi="Times New Roman"/>
        </w:rPr>
        <w:t>Mr</w:t>
      </w:r>
      <w:r w:rsidRPr="000E12A4">
        <w:rPr>
          <w:rFonts w:ascii="Times New Roman" w:hAnsi="Times New Roman"/>
          <w:b/>
          <w:bCs/>
        </w:rPr>
        <w:t> </w:t>
      </w:r>
      <w:r w:rsidRPr="000E12A4">
        <w:rPr>
          <w:rFonts w:ascii="Times New Roman" w:hAnsi="Times New Roman"/>
        </w:rPr>
        <w:t>Deripaska sought to circumvent that issue by posing hypothetical examples of litigation that he may wish to bring – for example, if he loses the</w:t>
      </w:r>
      <w:r>
        <w:rPr>
          <w:rFonts w:ascii="Times New Roman" w:hAnsi="Times New Roman"/>
        </w:rPr>
        <w:t> </w:t>
      </w:r>
      <w:r w:rsidRPr="000E12A4">
        <w:rPr>
          <w:rFonts w:ascii="Times New Roman" w:hAnsi="Times New Roman"/>
        </w:rPr>
        <w:t>present appeal and then wishes to seek a declaration as to the impact of the</w:t>
      </w:r>
      <w:r>
        <w:rPr>
          <w:rFonts w:ascii="Times New Roman" w:hAnsi="Times New Roman"/>
        </w:rPr>
        <w:t> </w:t>
      </w:r>
      <w:r w:rsidRPr="000E12A4">
        <w:rPr>
          <w:rFonts w:ascii="Times New Roman" w:hAnsi="Times New Roman"/>
        </w:rPr>
        <w:t xml:space="preserve">Regulations on him; or if he were sued himself. Although Mr Deripaska has brought proceedings in a Ch III court, which would also fall within the scope of s 75(iii) of the </w:t>
      </w:r>
      <w:r w:rsidRPr="000E12A4">
        <w:rPr>
          <w:rFonts w:ascii="Times New Roman" w:hAnsi="Times New Roman"/>
          <w:i/>
          <w:iCs/>
        </w:rPr>
        <w:t>Constitution</w:t>
      </w:r>
      <w:r w:rsidRPr="000E12A4">
        <w:rPr>
          <w:rFonts w:ascii="Times New Roman" w:hAnsi="Times New Roman"/>
        </w:rPr>
        <w:t xml:space="preserve">, they are also proceedings within the meaning of </w:t>
      </w:r>
      <w:r w:rsidRPr="000E12A4">
        <w:rPr>
          <w:rFonts w:ascii="Times New Roman" w:hAnsi="Times New Roman"/>
        </w:rPr>
        <w:lastRenderedPageBreak/>
        <w:t>s 75(v) so that they do not engage regs 14 and 15 once those provisions are read down. Applying the prudential approach, Mr Deripaska should not be permitted to roam at large over potential applications of the provisions that do not arise on the</w:t>
      </w:r>
      <w:r>
        <w:rPr>
          <w:rFonts w:ascii="Times New Roman" w:hAnsi="Times New Roman"/>
        </w:rPr>
        <w:t> </w:t>
      </w:r>
      <w:r w:rsidRPr="000E12A4">
        <w:rPr>
          <w:rFonts w:ascii="Times New Roman" w:hAnsi="Times New Roman"/>
        </w:rPr>
        <w:t>facts, provided that regs 14 and 15 would be capable of being read down so as not to apply in those cases.</w:t>
      </w:r>
      <w:bookmarkStart w:id="15" w:name="_Ref212208727"/>
    </w:p>
    <w:p w14:paraId="253974E2"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As has been observed, Mr Deripaska submitted that, even if regs 14 and 15 were read down in the manner proposed by the Full Federal Court, they would be invalid in any event because they would: (a) prevent a person from being legally represented in a Ch III court; and (b)</w:t>
      </w:r>
      <w:r w:rsidRPr="000E12A4" w:rsidDel="00000356">
        <w:rPr>
          <w:rFonts w:ascii="Times New Roman" w:hAnsi="Times New Roman"/>
        </w:rPr>
        <w:t xml:space="preserve"> </w:t>
      </w:r>
      <w:r w:rsidRPr="000E12A4">
        <w:rPr>
          <w:rFonts w:ascii="Times New Roman" w:hAnsi="Times New Roman"/>
        </w:rPr>
        <w:t>prevent a person from invoking the</w:t>
      </w:r>
      <w:r>
        <w:rPr>
          <w:rFonts w:ascii="Times New Roman" w:hAnsi="Times New Roman"/>
        </w:rPr>
        <w:t> </w:t>
      </w:r>
      <w:r w:rsidRPr="000E12A4">
        <w:rPr>
          <w:rFonts w:ascii="Times New Roman" w:hAnsi="Times New Roman"/>
        </w:rPr>
        <w:t xml:space="preserve">jurisdiction under s 75(iii) of the </w:t>
      </w:r>
      <w:r w:rsidRPr="000E12A4">
        <w:rPr>
          <w:rFonts w:ascii="Times New Roman" w:hAnsi="Times New Roman"/>
          <w:i/>
          <w:iCs/>
        </w:rPr>
        <w:t>Constitution</w:t>
      </w:r>
      <w:r w:rsidRPr="000E12A4">
        <w:rPr>
          <w:rFonts w:ascii="Times New Roman" w:hAnsi="Times New Roman"/>
        </w:rPr>
        <w:t>.</w:t>
      </w:r>
      <w:bookmarkEnd w:id="15"/>
    </w:p>
    <w:p w14:paraId="2845D127"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As for the proposed limitation on the Commonwealth's power to prevent a</w:t>
      </w:r>
      <w:r>
        <w:rPr>
          <w:rFonts w:ascii="Times New Roman" w:hAnsi="Times New Roman"/>
        </w:rPr>
        <w:t> </w:t>
      </w:r>
      <w:r w:rsidRPr="000E12A4">
        <w:rPr>
          <w:rFonts w:ascii="Times New Roman" w:hAnsi="Times New Roman"/>
        </w:rPr>
        <w:t>person from being legally represented in a Ch III court, the precise manner in which the Regulations might be read down to comply with that limitation would depend on the precise expression of the limitation. Nonetheless, it would be possible for this Court to read the Regulations down so that, for example, they only applied to the extent that they would not, directly or as a matter of practical effect, prevent a designated person from being legally represented in a Ch III court (however such a court is defined).</w:t>
      </w:r>
    </w:p>
    <w:p w14:paraId="197590D9"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Reading down regs 14 and 15 by reference to the proposed s 75(iii) limitation would be simpler than with respect to s 75(v) because s 75(iii) jurisdiction simply turns on whether the Commonwealth (or a person suing or being sued on its behalf) is a party to the litigation. Further, the constitutional limitation derived from s 75(v) would be a subset of that derived from s 75(iii).</w:t>
      </w:r>
    </w:p>
    <w:p w14:paraId="4E4299D7"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b/>
          <w:bCs/>
        </w:rPr>
        <w:tab/>
      </w:r>
      <w:r w:rsidRPr="000E12A4">
        <w:rPr>
          <w:rFonts w:ascii="Times New Roman" w:hAnsi="Times New Roman"/>
        </w:rPr>
        <w:t>That the Regulations could be read down so as not to apply in those circumstances means that, for prudential reasons, consideration of whether the</w:t>
      </w:r>
      <w:r>
        <w:rPr>
          <w:rFonts w:ascii="Times New Roman" w:hAnsi="Times New Roman"/>
        </w:rPr>
        <w:t> </w:t>
      </w:r>
      <w:r w:rsidRPr="000E12A4">
        <w:rPr>
          <w:rFonts w:ascii="Times New Roman" w:hAnsi="Times New Roman"/>
        </w:rPr>
        <w:t>Regulations are invalid in those applications can generally be left to a case in which those circumstances actually arise. However, Mr Deripaska contends that, if the Minister were to revoke the permit, it would then be too late for him to test the proposed constitutional limitations because any litigation at that point would prima facie entail the commission of multiple criminal offences by Mr Deripaska and his lawyers.</w:t>
      </w:r>
    </w:p>
    <w:p w14:paraId="6C14B21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b/>
          <w:bCs/>
        </w:rPr>
        <w:tab/>
      </w:r>
      <w:r w:rsidRPr="000E12A4">
        <w:rPr>
          <w:rFonts w:ascii="Times New Roman" w:hAnsi="Times New Roman"/>
          <w:iCs/>
          <w:szCs w:val="20"/>
        </w:rPr>
        <w:t>In</w:t>
      </w:r>
      <w:r w:rsidRPr="000E12A4">
        <w:rPr>
          <w:rFonts w:ascii="Times New Roman" w:hAnsi="Times New Roman"/>
          <w:i/>
          <w:szCs w:val="20"/>
        </w:rPr>
        <w:t xml:space="preserve"> </w:t>
      </w:r>
      <w:r w:rsidRPr="000E12A4">
        <w:rPr>
          <w:rFonts w:ascii="Times New Roman" w:hAnsi="Times New Roman"/>
        </w:rPr>
        <w:t>those circumstances, it is appropriate to make the following non</w:t>
      </w:r>
      <w:r>
        <w:rPr>
          <w:rFonts w:ascii="Times New Roman" w:hAnsi="Times New Roman"/>
        </w:rPr>
        <w:noBreakHyphen/>
      </w:r>
      <w:r w:rsidRPr="000E12A4">
        <w:rPr>
          <w:rFonts w:ascii="Times New Roman" w:hAnsi="Times New Roman"/>
        </w:rPr>
        <w:t xml:space="preserve">exhaustive observations about possible limitations on Commonwealth legislative and executive power to curtail access to legal advice and representation. First, an injunction may lie in respect of an actual or threatened action in excess of </w:t>
      </w:r>
      <w:r w:rsidRPr="000E12A4">
        <w:rPr>
          <w:rFonts w:ascii="Times New Roman" w:hAnsi="Times New Roman"/>
        </w:rPr>
        <w:lastRenderedPageBreak/>
        <w:t>power in respect of which a plaintiff has standing to complain.</w:t>
      </w:r>
      <w:r w:rsidRPr="000E12A4">
        <w:rPr>
          <w:rStyle w:val="FootnoteReference"/>
          <w:rFonts w:ascii="Times New Roman" w:hAnsi="Times New Roman"/>
          <w:sz w:val="24"/>
        </w:rPr>
        <w:footnoteReference w:id="141"/>
      </w:r>
      <w:r w:rsidRPr="000E12A4">
        <w:rPr>
          <w:rFonts w:ascii="Times New Roman" w:hAnsi="Times New Roman"/>
        </w:rPr>
        <w:t xml:space="preserve"> If the Minister were to revoke the permit, Mr Deripaska might seek relief in this Court in the form of an injunction under s 75(v) of the </w:t>
      </w:r>
      <w:r w:rsidRPr="000E12A4">
        <w:rPr>
          <w:rFonts w:ascii="Times New Roman" w:hAnsi="Times New Roman"/>
          <w:i/>
          <w:iCs/>
        </w:rPr>
        <w:t xml:space="preserve">Constitution </w:t>
      </w:r>
      <w:r w:rsidRPr="000E12A4">
        <w:rPr>
          <w:rFonts w:ascii="Times New Roman" w:hAnsi="Times New Roman"/>
        </w:rPr>
        <w:t>restraining an officer of the</w:t>
      </w:r>
      <w:r>
        <w:rPr>
          <w:rFonts w:ascii="Times New Roman" w:hAnsi="Times New Roman"/>
        </w:rPr>
        <w:t> </w:t>
      </w:r>
      <w:r w:rsidRPr="000E12A4">
        <w:rPr>
          <w:rFonts w:ascii="Times New Roman" w:hAnsi="Times New Roman"/>
        </w:rPr>
        <w:t>Commonwealth from enforcing regs 14 and 15 against him to the extent that he engaged lawyers to act for him in other proceedings on the basis that, in so applying, the Regulations were constitutionally invalid on either or both of the</w:t>
      </w:r>
      <w:r>
        <w:rPr>
          <w:rFonts w:ascii="Times New Roman" w:hAnsi="Times New Roman"/>
        </w:rPr>
        <w:t> </w:t>
      </w:r>
      <w:r w:rsidRPr="000E12A4">
        <w:rPr>
          <w:rFonts w:ascii="Times New Roman" w:hAnsi="Times New Roman"/>
        </w:rPr>
        <w:t>further bases on which Mr Deripaska relies.</w:t>
      </w:r>
      <w:r w:rsidRPr="000E12A4">
        <w:rPr>
          <w:rStyle w:val="FootnoteReference"/>
          <w:rFonts w:ascii="Times New Roman" w:hAnsi="Times New Roman"/>
          <w:sz w:val="24"/>
        </w:rPr>
        <w:footnoteReference w:id="142"/>
      </w:r>
      <w:r w:rsidRPr="000E12A4">
        <w:rPr>
          <w:rFonts w:ascii="Times New Roman" w:hAnsi="Times New Roman"/>
        </w:rPr>
        <w:t xml:space="preserve"> If such a course were adopted, Mr Deripaska would be able to engage lawyers to represent him in the proceedings commenced under s 75(v) of the </w:t>
      </w:r>
      <w:r w:rsidRPr="000E12A4">
        <w:rPr>
          <w:rFonts w:ascii="Times New Roman" w:hAnsi="Times New Roman"/>
          <w:i/>
          <w:iCs/>
        </w:rPr>
        <w:t xml:space="preserve">Constitution </w:t>
      </w:r>
      <w:r w:rsidRPr="000E12A4">
        <w:rPr>
          <w:rFonts w:ascii="Times New Roman" w:hAnsi="Times New Roman"/>
        </w:rPr>
        <w:t>without breaching regs 14 and 15.</w:t>
      </w:r>
    </w:p>
    <w:p w14:paraId="7101B050"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Second, in </w:t>
      </w:r>
      <w:r w:rsidRPr="000E12A4">
        <w:rPr>
          <w:rFonts w:ascii="Times New Roman" w:hAnsi="Times New Roman"/>
          <w:i/>
          <w:iCs/>
        </w:rPr>
        <w:t>Dietrich v The Queen</w:t>
      </w:r>
      <w:r w:rsidRPr="000E12A4">
        <w:rPr>
          <w:rFonts w:ascii="Times New Roman" w:hAnsi="Times New Roman"/>
        </w:rPr>
        <w:t>, a majority of this Court held that, where</w:t>
      </w:r>
      <w:r>
        <w:rPr>
          <w:rFonts w:ascii="Times New Roman" w:hAnsi="Times New Roman"/>
        </w:rPr>
        <w:t> </w:t>
      </w:r>
      <w:r w:rsidRPr="000E12A4">
        <w:rPr>
          <w:rFonts w:ascii="Times New Roman" w:hAnsi="Times New Roman"/>
        </w:rPr>
        <w:t>an accused is charged with a serious offence, a trial may miscarry by reason of a judge's failure to stay or adjourn the trial until arrangements have been made for counsel to appear, at public expense, for the accused.</w:t>
      </w:r>
      <w:r w:rsidRPr="000E12A4">
        <w:rPr>
          <w:rStyle w:val="FootnoteReference"/>
          <w:rFonts w:ascii="Times New Roman" w:hAnsi="Times New Roman"/>
          <w:sz w:val="24"/>
        </w:rPr>
        <w:footnoteReference w:id="143"/>
      </w:r>
      <w:r w:rsidRPr="000E12A4">
        <w:rPr>
          <w:rFonts w:ascii="Times New Roman" w:hAnsi="Times New Roman"/>
        </w:rPr>
        <w:t xml:space="preserve"> Mason CJ and McHugh</w:t>
      </w:r>
      <w:r>
        <w:rPr>
          <w:rFonts w:ascii="Times New Roman" w:hAnsi="Times New Roman"/>
        </w:rPr>
        <w:t> </w:t>
      </w:r>
      <w:r w:rsidRPr="000E12A4">
        <w:rPr>
          <w:rFonts w:ascii="Times New Roman" w:hAnsi="Times New Roman"/>
        </w:rPr>
        <w:t>J described the right to a fair trial as "a central pillar of our criminal justice system", observing that the "power to grant a stay necessarily extends to a</w:t>
      </w:r>
      <w:r>
        <w:rPr>
          <w:rFonts w:ascii="Times New Roman" w:hAnsi="Times New Roman"/>
        </w:rPr>
        <w:t> </w:t>
      </w:r>
      <w:r w:rsidRPr="000E12A4">
        <w:rPr>
          <w:rFonts w:ascii="Times New Roman" w:hAnsi="Times New Roman"/>
        </w:rPr>
        <w:t>case in which representation of the accused by counsel is essential to a fair trial, as it is in most cases in which an accused is charged with a serious offence".</w:t>
      </w:r>
      <w:r w:rsidRPr="000E12A4">
        <w:rPr>
          <w:rStyle w:val="FootnoteReference"/>
          <w:rFonts w:ascii="Times New Roman" w:hAnsi="Times New Roman"/>
          <w:sz w:val="24"/>
        </w:rPr>
        <w:footnoteReference w:id="144"/>
      </w:r>
      <w:r w:rsidRPr="000E12A4">
        <w:rPr>
          <w:rFonts w:ascii="Times New Roman" w:hAnsi="Times New Roman"/>
        </w:rPr>
        <w:t xml:space="preserve"> If,</w:t>
      </w:r>
      <w:r>
        <w:rPr>
          <w:rFonts w:ascii="Times New Roman" w:hAnsi="Times New Roman"/>
        </w:rPr>
        <w:t> </w:t>
      </w:r>
      <w:r w:rsidRPr="000E12A4">
        <w:rPr>
          <w:rFonts w:ascii="Times New Roman" w:hAnsi="Times New Roman"/>
        </w:rPr>
        <w:t>in</w:t>
      </w:r>
      <w:r>
        <w:rPr>
          <w:rFonts w:ascii="Times New Roman" w:hAnsi="Times New Roman"/>
        </w:rPr>
        <w:t> </w:t>
      </w:r>
      <w:r w:rsidRPr="000E12A4">
        <w:rPr>
          <w:rFonts w:ascii="Times New Roman" w:hAnsi="Times New Roman"/>
        </w:rPr>
        <w:t>the absence of an applicable permit, Mr Deripaska or his lawyers were to be charged with offences under s 16 of the AS Act, the charges being for indictable offences punishable by up to ten years' imprisonment,</w:t>
      </w:r>
      <w:r w:rsidRPr="000E12A4">
        <w:rPr>
          <w:rStyle w:val="FootnoteReference"/>
          <w:rFonts w:ascii="Times New Roman" w:hAnsi="Times New Roman"/>
          <w:sz w:val="24"/>
        </w:rPr>
        <w:footnoteReference w:id="145"/>
      </w:r>
      <w:r w:rsidRPr="000E12A4">
        <w:rPr>
          <w:rFonts w:ascii="Times New Roman" w:hAnsi="Times New Roman"/>
        </w:rPr>
        <w:t xml:space="preserve"> and therefore serious offences,</w:t>
      </w:r>
      <w:r w:rsidRPr="000E12A4">
        <w:rPr>
          <w:rStyle w:val="FootnoteReference"/>
          <w:rFonts w:ascii="Times New Roman" w:hAnsi="Times New Roman"/>
          <w:sz w:val="24"/>
        </w:rPr>
        <w:footnoteReference w:id="146"/>
      </w:r>
      <w:r w:rsidRPr="000E12A4">
        <w:rPr>
          <w:rFonts w:ascii="Times New Roman" w:hAnsi="Times New Roman"/>
        </w:rPr>
        <w:t xml:space="preserve"> the court would be empowered to stay the proceedings until Mr Deripaska or his lawyers obtained legal representation.</w:t>
      </w:r>
    </w:p>
    <w:p w14:paraId="68D5ECAA"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Third, in </w:t>
      </w:r>
      <w:r w:rsidRPr="000E12A4">
        <w:rPr>
          <w:rFonts w:ascii="Times New Roman" w:hAnsi="Times New Roman"/>
          <w:i/>
          <w:iCs/>
        </w:rPr>
        <w:t>APLA Ltd v Legal Services Commissioner (NSW)</w:t>
      </w:r>
      <w:r w:rsidRPr="000E12A4">
        <w:rPr>
          <w:rFonts w:ascii="Times New Roman" w:hAnsi="Times New Roman"/>
        </w:rPr>
        <w:t xml:space="preserve">, a majority of this Court relevantly concluded that regulations that prohibited advertising of certain legal services did not prevent the effective exercise of judicial power conferred by Ch III of the </w:t>
      </w:r>
      <w:r w:rsidRPr="000E12A4">
        <w:rPr>
          <w:rFonts w:ascii="Times New Roman" w:hAnsi="Times New Roman"/>
          <w:i/>
          <w:iCs/>
        </w:rPr>
        <w:t>Constitution</w:t>
      </w:r>
      <w:r w:rsidRPr="000E12A4">
        <w:rPr>
          <w:rFonts w:ascii="Times New Roman" w:hAnsi="Times New Roman"/>
        </w:rPr>
        <w:t xml:space="preserve"> because nothing in the text or structure of the </w:t>
      </w:r>
      <w:r w:rsidRPr="000E12A4">
        <w:rPr>
          <w:rFonts w:ascii="Times New Roman" w:hAnsi="Times New Roman"/>
          <w:i/>
          <w:iCs/>
        </w:rPr>
        <w:t>Constitution</w:t>
      </w:r>
      <w:r w:rsidRPr="000E12A4">
        <w:rPr>
          <w:rFonts w:ascii="Times New Roman" w:hAnsi="Times New Roman"/>
        </w:rPr>
        <w:t xml:space="preserve"> or in the nature of federal judicial power required that lawyers be </w:t>
      </w:r>
      <w:r w:rsidRPr="000E12A4">
        <w:rPr>
          <w:rFonts w:ascii="Times New Roman" w:hAnsi="Times New Roman"/>
        </w:rPr>
        <w:lastRenderedPageBreak/>
        <w:t>able to advertise their services.</w:t>
      </w:r>
      <w:r w:rsidRPr="000E12A4">
        <w:rPr>
          <w:rStyle w:val="FootnoteReference"/>
          <w:rFonts w:ascii="Times New Roman" w:hAnsi="Times New Roman"/>
          <w:sz w:val="24"/>
        </w:rPr>
        <w:footnoteReference w:id="147"/>
      </w:r>
      <w:r w:rsidRPr="000E12A4">
        <w:rPr>
          <w:rFonts w:ascii="Times New Roman" w:hAnsi="Times New Roman"/>
        </w:rPr>
        <w:t xml:space="preserve"> In dissent, McHugh J, with whom Kirby J relevantly agreed,</w:t>
      </w:r>
      <w:r w:rsidRPr="000E12A4">
        <w:rPr>
          <w:rStyle w:val="FootnoteReference"/>
          <w:rFonts w:ascii="Times New Roman" w:hAnsi="Times New Roman"/>
          <w:sz w:val="24"/>
        </w:rPr>
        <w:footnoteReference w:id="148"/>
      </w:r>
      <w:r w:rsidRPr="000E12A4">
        <w:rPr>
          <w:rFonts w:ascii="Times New Roman" w:hAnsi="Times New Roman"/>
        </w:rPr>
        <w:t xml:space="preserve"> observed that it is a "principle inherent in Ch III that persons who have rights under federal law may enforce them in federal jurisdiction with the advice and assistance of qualified legal practitioners in accordance with the</w:t>
      </w:r>
      <w:r>
        <w:rPr>
          <w:rFonts w:ascii="Times New Roman" w:hAnsi="Times New Roman"/>
        </w:rPr>
        <w:t> </w:t>
      </w:r>
      <w:r w:rsidRPr="000E12A4">
        <w:rPr>
          <w:rFonts w:ascii="Times New Roman" w:hAnsi="Times New Roman"/>
        </w:rPr>
        <w:t>traditional judicial process".</w:t>
      </w:r>
      <w:r w:rsidRPr="000E12A4">
        <w:rPr>
          <w:rStyle w:val="FootnoteReference"/>
          <w:rFonts w:ascii="Times New Roman" w:hAnsi="Times New Roman"/>
          <w:sz w:val="24"/>
        </w:rPr>
        <w:footnoteReference w:id="149"/>
      </w:r>
      <w:r w:rsidRPr="000E12A4">
        <w:rPr>
          <w:rFonts w:ascii="Times New Roman" w:hAnsi="Times New Roman"/>
        </w:rPr>
        <w:t xml:space="preserve"> McHugh J considered that a law that prevented potential litigants from "obtaining information about their rights in respect of ... federal causes of action" from legal practitioners would "impair[] the capacity of courts exercising federal jurisdiction to hear and determine 'matters' that Ch III authorises and for which the Parliament has legislated in the expectation that those 'matters' will be determined in federal jurisdiction".</w:t>
      </w:r>
      <w:r w:rsidRPr="000E12A4">
        <w:rPr>
          <w:rStyle w:val="FootnoteReference"/>
          <w:rFonts w:ascii="Times New Roman" w:hAnsi="Times New Roman"/>
          <w:sz w:val="24"/>
        </w:rPr>
        <w:footnoteReference w:id="150"/>
      </w:r>
      <w:r w:rsidRPr="000E12A4">
        <w:rPr>
          <w:rFonts w:ascii="Times New Roman" w:hAnsi="Times New Roman"/>
        </w:rPr>
        <w:t xml:space="preserve"> His Honour explained that "[c]ommunications between legal practitioner and client ... are critical to the</w:t>
      </w:r>
      <w:r>
        <w:rPr>
          <w:rFonts w:ascii="Times New Roman" w:hAnsi="Times New Roman"/>
        </w:rPr>
        <w:t> </w:t>
      </w:r>
      <w:r w:rsidRPr="000E12A4">
        <w:rPr>
          <w:rFonts w:ascii="Times New Roman" w:hAnsi="Times New Roman"/>
        </w:rPr>
        <w:t xml:space="preserve">administration of justice in Australia" and such communications "make up part of the essential elements of judicial processes required under the </w:t>
      </w:r>
      <w:r w:rsidRPr="000E12A4">
        <w:rPr>
          <w:rFonts w:ascii="Times New Roman" w:hAnsi="Times New Roman"/>
          <w:i/>
          <w:iCs/>
        </w:rPr>
        <w:t>Constitution</w:t>
      </w:r>
      <w:r w:rsidRPr="000E12A4">
        <w:rPr>
          <w:rFonts w:ascii="Times New Roman" w:hAnsi="Times New Roman"/>
        </w:rPr>
        <w:t>, without which proceedings in federal jurisdiction would become a mockery of the</w:t>
      </w:r>
      <w:r>
        <w:rPr>
          <w:rFonts w:ascii="Times New Roman" w:hAnsi="Times New Roman"/>
        </w:rPr>
        <w:t> </w:t>
      </w:r>
      <w:r w:rsidRPr="000E12A4">
        <w:rPr>
          <w:rFonts w:ascii="Times New Roman" w:hAnsi="Times New Roman"/>
        </w:rPr>
        <w:t>judicial system contemplated by Ch III".</w:t>
      </w:r>
      <w:r w:rsidRPr="000E12A4">
        <w:rPr>
          <w:rStyle w:val="FootnoteReference"/>
          <w:rFonts w:ascii="Times New Roman" w:hAnsi="Times New Roman"/>
          <w:sz w:val="24"/>
        </w:rPr>
        <w:footnoteReference w:id="151"/>
      </w:r>
    </w:p>
    <w:p w14:paraId="71E51C7B"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The other members of the Court held that the impugned law did not prevent the effective exercise of judicial power conferred by Ch III of the </w:t>
      </w:r>
      <w:r w:rsidRPr="000E12A4">
        <w:rPr>
          <w:rFonts w:ascii="Times New Roman" w:hAnsi="Times New Roman"/>
          <w:i/>
          <w:iCs/>
        </w:rPr>
        <w:t>Constitution</w:t>
      </w:r>
      <w:r w:rsidRPr="000E12A4">
        <w:rPr>
          <w:rFonts w:ascii="Times New Roman" w:hAnsi="Times New Roman"/>
        </w:rPr>
        <w:t>. However, their Honours reached that conclusion in respect of a law that prevented lawyers from advertising their services, as distinct from a law preventing lawyers from providing legal services. To that end, Gleeson CJ and Heydon J described the</w:t>
      </w:r>
      <w:r>
        <w:rPr>
          <w:rFonts w:ascii="Times New Roman" w:hAnsi="Times New Roman"/>
        </w:rPr>
        <w:t> </w:t>
      </w:r>
      <w:r w:rsidRPr="000E12A4">
        <w:rPr>
          <w:rFonts w:ascii="Times New Roman" w:hAnsi="Times New Roman"/>
        </w:rPr>
        <w:t>"effective exercise of judicial power, and the maintenance of the rule of law" as "depend[ing] upon the providing of professional legal services so that citizens may know their rights and obligations, and have the capacity to invoke judicial power".</w:t>
      </w:r>
      <w:r w:rsidRPr="000E12A4">
        <w:rPr>
          <w:rStyle w:val="FootnoteReference"/>
          <w:rFonts w:ascii="Times New Roman" w:hAnsi="Times New Roman"/>
          <w:sz w:val="24"/>
        </w:rPr>
        <w:footnoteReference w:id="152"/>
      </w:r>
      <w:r w:rsidRPr="000E12A4">
        <w:rPr>
          <w:rFonts w:ascii="Times New Roman" w:hAnsi="Times New Roman"/>
        </w:rPr>
        <w:t xml:space="preserve"> Similarly, Gummow J accepted, without deciding, that a law denying or forbidding legal representation before a court exercising federal judicial power would be "obnoxious to the exercise of the judicial power of the</w:t>
      </w:r>
      <w:r>
        <w:rPr>
          <w:rFonts w:ascii="Times New Roman" w:hAnsi="Times New Roman"/>
        </w:rPr>
        <w:t> </w:t>
      </w:r>
      <w:r w:rsidRPr="000E12A4">
        <w:rPr>
          <w:rFonts w:ascii="Times New Roman" w:hAnsi="Times New Roman"/>
        </w:rPr>
        <w:t>Commonwealth".</w:t>
      </w:r>
      <w:r w:rsidRPr="000E12A4">
        <w:rPr>
          <w:rStyle w:val="FootnoteReference"/>
          <w:rFonts w:ascii="Times New Roman" w:hAnsi="Times New Roman"/>
          <w:sz w:val="24"/>
        </w:rPr>
        <w:footnoteReference w:id="153"/>
      </w:r>
      <w:r w:rsidRPr="000E12A4">
        <w:rPr>
          <w:rFonts w:ascii="Times New Roman" w:hAnsi="Times New Roman"/>
        </w:rPr>
        <w:t xml:space="preserve"> And Hayne J observed that the impugned law did not </w:t>
      </w:r>
      <w:r w:rsidRPr="000E12A4">
        <w:rPr>
          <w:rFonts w:ascii="Times New Roman" w:hAnsi="Times New Roman"/>
        </w:rPr>
        <w:lastRenderedPageBreak/>
        <w:t>preclude the seeking of advice or information about whether to invoke the judicial power of the Commonwealth.</w:t>
      </w:r>
      <w:r w:rsidRPr="000E12A4">
        <w:rPr>
          <w:rStyle w:val="FootnoteReference"/>
          <w:rFonts w:ascii="Times New Roman" w:hAnsi="Times New Roman"/>
          <w:sz w:val="24"/>
        </w:rPr>
        <w:footnoteReference w:id="154"/>
      </w:r>
    </w:p>
    <w:p w14:paraId="7D829C02" w14:textId="77777777" w:rsidR="000525DE" w:rsidRPr="000E12A4" w:rsidRDefault="000525DE" w:rsidP="000E12A4">
      <w:pPr>
        <w:pStyle w:val="FixListStyle"/>
        <w:spacing w:after="260" w:line="280" w:lineRule="exact"/>
        <w:ind w:right="0"/>
        <w:jc w:val="both"/>
        <w:rPr>
          <w:rFonts w:ascii="Times New Roman" w:hAnsi="Times New Roman"/>
        </w:rPr>
      </w:pPr>
      <w:r w:rsidRPr="000E12A4">
        <w:rPr>
          <w:rFonts w:ascii="Times New Roman" w:hAnsi="Times New Roman"/>
        </w:rPr>
        <w:tab/>
        <w:t xml:space="preserve">It may be seriously doubted whether a Commonwealth law could authorise the Executive Government to deprive a person of the ability to seek legal advice or representation either to know their rights and obligations under Commonwealth law or to invoke federal judicial power. Chapter III of the </w:t>
      </w:r>
      <w:r w:rsidRPr="000E12A4">
        <w:rPr>
          <w:rFonts w:ascii="Times New Roman" w:hAnsi="Times New Roman"/>
          <w:i/>
          <w:iCs/>
        </w:rPr>
        <w:t>Constitution</w:t>
      </w:r>
      <w:r w:rsidRPr="000E12A4">
        <w:rPr>
          <w:rFonts w:ascii="Times New Roman" w:hAnsi="Times New Roman"/>
        </w:rPr>
        <w:t>, which</w:t>
      </w:r>
      <w:r>
        <w:rPr>
          <w:rFonts w:ascii="Times New Roman" w:hAnsi="Times New Roman"/>
        </w:rPr>
        <w:t> </w:t>
      </w:r>
      <w:r w:rsidRPr="000E12A4">
        <w:rPr>
          <w:rFonts w:ascii="Times New Roman" w:hAnsi="Times New Roman"/>
        </w:rPr>
        <w:t xml:space="preserve">confers judicial power, gives practical effect to the assumption of the rule of law on which the </w:t>
      </w:r>
      <w:r w:rsidRPr="000E12A4">
        <w:rPr>
          <w:rFonts w:ascii="Times New Roman" w:hAnsi="Times New Roman"/>
          <w:i/>
          <w:iCs/>
        </w:rPr>
        <w:t>Constitution</w:t>
      </w:r>
      <w:r w:rsidRPr="000E12A4">
        <w:rPr>
          <w:rFonts w:ascii="Times New Roman" w:hAnsi="Times New Roman"/>
        </w:rPr>
        <w:t xml:space="preserve"> is based.</w:t>
      </w:r>
      <w:r w:rsidRPr="000E12A4">
        <w:rPr>
          <w:rStyle w:val="FootnoteReference"/>
          <w:rFonts w:ascii="Times New Roman" w:hAnsi="Times New Roman"/>
          <w:sz w:val="24"/>
        </w:rPr>
        <w:footnoteReference w:id="155"/>
      </w:r>
      <w:r w:rsidRPr="000E12A4">
        <w:rPr>
          <w:rFonts w:ascii="Times New Roman" w:hAnsi="Times New Roman"/>
        </w:rPr>
        <w:t xml:space="preserve"> The effectiveness of the exercise of judicial power, and the rule of law, would be significantly diminished by a law which purported to deprive a person of the capacity to know their rights and duties under federal law or to effectively participate in proceedings with respect to those rights and duties in a court exercising federal jurisdiction.</w:t>
      </w:r>
      <w:r w:rsidRPr="000E12A4">
        <w:rPr>
          <w:rStyle w:val="FootnoteReference"/>
          <w:rFonts w:ascii="Times New Roman" w:hAnsi="Times New Roman"/>
          <w:sz w:val="24"/>
        </w:rPr>
        <w:footnoteReference w:id="156"/>
      </w:r>
      <w:r w:rsidRPr="000E12A4">
        <w:rPr>
          <w:rFonts w:ascii="Times New Roman" w:hAnsi="Times New Roman"/>
        </w:rPr>
        <w:t xml:space="preserve"> Such a law might also compromise the courts' ability to afford procedural fairness.</w:t>
      </w:r>
      <w:r w:rsidRPr="000E12A4">
        <w:rPr>
          <w:rStyle w:val="FootnoteReference"/>
          <w:rFonts w:ascii="Times New Roman" w:hAnsi="Times New Roman"/>
          <w:sz w:val="24"/>
        </w:rPr>
        <w:footnoteReference w:id="157"/>
      </w:r>
      <w:r w:rsidRPr="000E12A4">
        <w:rPr>
          <w:rFonts w:ascii="Times New Roman" w:hAnsi="Times New Roman"/>
        </w:rPr>
        <w:t xml:space="preserve"> However,</w:t>
      </w:r>
      <w:r>
        <w:rPr>
          <w:rFonts w:ascii="Times New Roman" w:hAnsi="Times New Roman"/>
        </w:rPr>
        <w:t xml:space="preserve"> </w:t>
      </w:r>
      <w:r w:rsidRPr="000E12A4">
        <w:rPr>
          <w:rFonts w:ascii="Times New Roman" w:hAnsi="Times New Roman"/>
        </w:rPr>
        <w:t>determining whether there is such a constitutional limitation or the</w:t>
      </w:r>
      <w:r>
        <w:rPr>
          <w:rFonts w:ascii="Times New Roman" w:hAnsi="Times New Roman"/>
        </w:rPr>
        <w:t> </w:t>
      </w:r>
      <w:r w:rsidRPr="000E12A4">
        <w:rPr>
          <w:rFonts w:ascii="Times New Roman" w:hAnsi="Times New Roman"/>
        </w:rPr>
        <w:t>content of such a limitation must await a case involving facts that make it necessary to decide.</w:t>
      </w:r>
    </w:p>
    <w:p w14:paraId="16A7E659" w14:textId="77777777" w:rsidR="000525DE" w:rsidRPr="000E12A4" w:rsidRDefault="000525DE" w:rsidP="000E12A4">
      <w:pPr>
        <w:pStyle w:val="HeadingL1"/>
        <w:spacing w:after="260" w:line="280" w:lineRule="exact"/>
        <w:ind w:right="0"/>
        <w:jc w:val="both"/>
        <w:rPr>
          <w:rFonts w:ascii="Times New Roman" w:hAnsi="Times New Roman"/>
        </w:rPr>
      </w:pPr>
      <w:r w:rsidRPr="000E12A4">
        <w:rPr>
          <w:rFonts w:ascii="Times New Roman" w:hAnsi="Times New Roman"/>
        </w:rPr>
        <w:t>Conclusion and orders</w:t>
      </w:r>
    </w:p>
    <w:p w14:paraId="684749DB" w14:textId="77777777" w:rsidR="00DE281D" w:rsidRDefault="000525DE" w:rsidP="000525DE">
      <w:pPr>
        <w:pStyle w:val="FixListStyle"/>
        <w:spacing w:after="260" w:line="280" w:lineRule="exact"/>
        <w:ind w:right="0"/>
        <w:jc w:val="both"/>
        <w:rPr>
          <w:rFonts w:ascii="Times New Roman" w:hAnsi="Times New Roman"/>
        </w:rPr>
      </w:pPr>
      <w:r w:rsidRPr="000E12A4">
        <w:rPr>
          <w:rFonts w:ascii="Times New Roman" w:hAnsi="Times New Roman"/>
        </w:rPr>
        <w:tab/>
        <w:t>For those reasons, regs 14 and 15 can, and therefore must, be read down so as not to apply to the extent that they would, directly or as a matter of practical effect, curtail or limit the right or ability of a person to seek relief under s 75(v) of</w:t>
      </w:r>
      <w:r>
        <w:rPr>
          <w:rFonts w:ascii="Times New Roman" w:hAnsi="Times New Roman"/>
        </w:rPr>
        <w:t> </w:t>
      </w:r>
      <w:r w:rsidRPr="000E12A4">
        <w:rPr>
          <w:rFonts w:ascii="Times New Roman" w:hAnsi="Times New Roman"/>
        </w:rPr>
        <w:t xml:space="preserve">the </w:t>
      </w:r>
      <w:r w:rsidRPr="000E12A4">
        <w:rPr>
          <w:rFonts w:ascii="Times New Roman" w:hAnsi="Times New Roman"/>
          <w:i/>
          <w:iCs/>
        </w:rPr>
        <w:t>Constitution</w:t>
      </w:r>
      <w:r w:rsidRPr="000E12A4">
        <w:rPr>
          <w:rFonts w:ascii="Times New Roman" w:hAnsi="Times New Roman"/>
        </w:rPr>
        <w:t xml:space="preserve"> or s 39B(1) of the </w:t>
      </w:r>
      <w:r w:rsidRPr="000E12A4">
        <w:rPr>
          <w:rFonts w:ascii="Times New Roman" w:hAnsi="Times New Roman"/>
          <w:i/>
          <w:iCs/>
        </w:rPr>
        <w:t>Judiciary Act</w:t>
      </w:r>
      <w:r w:rsidRPr="000E12A4">
        <w:rPr>
          <w:rFonts w:ascii="Times New Roman" w:hAnsi="Times New Roman"/>
        </w:rPr>
        <w:t>. Read down in that manner, regs 14 and 15 do not relevantly constrain Mr Deripaska from bringing this proceeding without a ministerial permit. The appeal must be dismissed with costs.</w:t>
      </w:r>
    </w:p>
    <w:p w14:paraId="11E95318" w14:textId="77777777" w:rsidR="00DE281D" w:rsidRDefault="00DE281D" w:rsidP="000525DE">
      <w:pPr>
        <w:pStyle w:val="FixListStyle"/>
        <w:spacing w:after="260" w:line="280" w:lineRule="exact"/>
        <w:ind w:right="0"/>
        <w:jc w:val="both"/>
        <w:rPr>
          <w:rFonts w:ascii="Times New Roman" w:hAnsi="Times New Roman"/>
        </w:rPr>
        <w:sectPr w:rsidR="00DE281D" w:rsidSect="000525DE">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64D21BBD" w14:textId="77777777" w:rsidR="00DE281D" w:rsidRPr="00A54CB9" w:rsidRDefault="00DE281D" w:rsidP="00A54CB9">
      <w:pPr>
        <w:pStyle w:val="NormalBody"/>
        <w:tabs>
          <w:tab w:val="clear" w:pos="720"/>
          <w:tab w:val="left" w:pos="0"/>
        </w:tabs>
        <w:spacing w:after="260" w:line="280" w:lineRule="exact"/>
        <w:ind w:right="0"/>
        <w:jc w:val="both"/>
        <w:rPr>
          <w:rFonts w:ascii="Times New Roman" w:hAnsi="Times New Roman"/>
        </w:rPr>
      </w:pPr>
      <w:r w:rsidRPr="00A54CB9">
        <w:rPr>
          <w:rFonts w:ascii="Times New Roman" w:hAnsi="Times New Roman"/>
        </w:rPr>
        <w:lastRenderedPageBreak/>
        <w:t xml:space="preserve">EDELMAN J.   </w:t>
      </w:r>
    </w:p>
    <w:p w14:paraId="6B7EFF2B" w14:textId="77777777" w:rsidR="00DE281D" w:rsidRPr="00A54CB9" w:rsidRDefault="00DE281D" w:rsidP="00A54CB9">
      <w:pPr>
        <w:pStyle w:val="HeadingL1"/>
        <w:spacing w:after="260" w:line="280" w:lineRule="exact"/>
        <w:ind w:right="0"/>
        <w:jc w:val="both"/>
        <w:rPr>
          <w:rFonts w:ascii="Times New Roman" w:hAnsi="Times New Roman"/>
        </w:rPr>
      </w:pPr>
      <w:r w:rsidRPr="00A54CB9">
        <w:rPr>
          <w:rFonts w:ascii="Times New Roman" w:hAnsi="Times New Roman"/>
        </w:rPr>
        <w:t>How far can a court go to save legislation and regulations from invalidity?</w:t>
      </w:r>
    </w:p>
    <w:p w14:paraId="021008D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Quite a long way. The issue in this appeal is whether two executive regulations can be saved from invalidity in their entirety in circumstances in which the respondent Minister for Foreign Affairs ("the Minister") accepts that they are invalid in some of their applications because those applications of the regulations go beyond the constitutional limits of the relevant statutory regulation-making power. </w:t>
      </w:r>
    </w:p>
    <w:p w14:paraId="3C2FC918"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regulations can be saved by disapplying them from the applications in which they extend beyond legislative power. But the technique by which they are saved is important. As was properly, and fundamentally, common ground on this appeal, there is no scope in this case for a court to adopt a conforming interpretation of the meaning of the regulations to save them from invalidity. In adopting conforming meanings, courts must tread with great care lest they overreach and enter the realm of a legislating judiciary: </w:t>
      </w:r>
      <w:r w:rsidRPr="00A54CB9">
        <w:rPr>
          <w:rFonts w:ascii="Times New Roman" w:hAnsi="Times New Roman"/>
          <w:i/>
          <w:iCs/>
        </w:rPr>
        <w:t>lasciate ogne speranza, voi ch'intrate</w:t>
      </w:r>
      <w:r w:rsidRPr="00A54CB9">
        <w:rPr>
          <w:rFonts w:ascii="Times New Roman" w:hAnsi="Times New Roman"/>
        </w:rPr>
        <w:t>. This case is all about the application of meaning. Legitimate technique begins with clear language,</w:t>
      </w:r>
      <w:r w:rsidRPr="00A54CB9">
        <w:rPr>
          <w:rStyle w:val="FootnoteReference"/>
          <w:rFonts w:ascii="Times New Roman" w:hAnsi="Times New Roman"/>
          <w:sz w:val="24"/>
        </w:rPr>
        <w:footnoteReference w:id="158"/>
      </w:r>
      <w:r w:rsidRPr="00A54CB9">
        <w:rPr>
          <w:rFonts w:ascii="Times New Roman" w:hAnsi="Times New Roman"/>
        </w:rPr>
        <w:t xml:space="preserve"> which is sadly lacking in this area of law which, for over a century, has been beset with hopelessly confused jargon.     </w:t>
      </w:r>
    </w:p>
    <w:p w14:paraId="10425EE9"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issue arises in the context of sanctions placed upon the appellant, Mr Deripaska. Mr Deripaska is a Russian national who was described in material before the Minister as an oligarch with close personal ties to President Putin.</w:t>
      </w:r>
      <w:r w:rsidRPr="00A54CB9">
        <w:rPr>
          <w:rFonts w:ascii="Times New Roman" w:hAnsi="Times New Roman"/>
          <w:b/>
          <w:bCs/>
        </w:rPr>
        <w:t xml:space="preserve"> </w:t>
      </w:r>
      <w:r w:rsidRPr="00A54CB9">
        <w:rPr>
          <w:rFonts w:ascii="Times New Roman" w:hAnsi="Times New Roman"/>
        </w:rPr>
        <w:t>In 2022, Mr Deripaska was the subject of designation for targeted financial sanctions and declaration for travel bans by a legislative instrument made by the Minister.</w:t>
      </w:r>
      <w:r w:rsidRPr="00A54CB9">
        <w:rPr>
          <w:rStyle w:val="FootnoteReference"/>
          <w:rFonts w:ascii="Times New Roman" w:hAnsi="Times New Roman"/>
          <w:sz w:val="24"/>
        </w:rPr>
        <w:footnoteReference w:id="159"/>
      </w:r>
      <w:r w:rsidRPr="00A54CB9">
        <w:rPr>
          <w:rFonts w:ascii="Times New Roman" w:hAnsi="Times New Roman"/>
        </w:rPr>
        <w:t xml:space="preserve"> The instrument of designation and declaration was made under the </w:t>
      </w:r>
      <w:r w:rsidRPr="00A54CB9">
        <w:rPr>
          <w:rFonts w:ascii="Times New Roman" w:hAnsi="Times New Roman"/>
          <w:i/>
          <w:iCs/>
        </w:rPr>
        <w:t xml:space="preserve">Autonomous Sanctions Regulations 2011 </w:t>
      </w:r>
      <w:r w:rsidRPr="00A54CB9">
        <w:rPr>
          <w:rFonts w:ascii="Times New Roman" w:hAnsi="Times New Roman"/>
        </w:rPr>
        <w:t>(Cth). One practical effect of designation is that the designated person is "unlikely to be able to retain an Australian lawyer to advise or represent them unless the Minister granted a permit".</w:t>
      </w:r>
      <w:r w:rsidRPr="00A54CB9">
        <w:rPr>
          <w:rStyle w:val="FootnoteReference"/>
          <w:rFonts w:ascii="Times New Roman" w:hAnsi="Times New Roman"/>
          <w:sz w:val="24"/>
        </w:rPr>
        <w:footnoteReference w:id="160"/>
      </w:r>
      <w:r w:rsidRPr="00A54CB9">
        <w:rPr>
          <w:rFonts w:ascii="Times New Roman" w:hAnsi="Times New Roman"/>
        </w:rPr>
        <w:t xml:space="preserve"> Mr Deripaska was immediately exposed to that practical effect. </w:t>
      </w:r>
    </w:p>
    <w:p w14:paraId="5D3FDC2C"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A permit was subsequently issued, which extended to Mr Deripaska, but the permit was for a limited period and subject to revocation at any time. Mr Deripaska challenged the validity of regs 14 and 15 of the</w:t>
      </w:r>
      <w:r w:rsidRPr="00A54CB9">
        <w:rPr>
          <w:rFonts w:ascii="Times New Roman" w:hAnsi="Times New Roman"/>
          <w:i/>
          <w:iCs/>
        </w:rPr>
        <w:t xml:space="preserve"> Autonomous Sanctions </w:t>
      </w:r>
      <w:r w:rsidRPr="00A54CB9">
        <w:rPr>
          <w:rFonts w:ascii="Times New Roman" w:hAnsi="Times New Roman"/>
          <w:i/>
          <w:iCs/>
        </w:rPr>
        <w:lastRenderedPageBreak/>
        <w:t>Regulations</w:t>
      </w:r>
      <w:r w:rsidRPr="00A54CB9">
        <w:rPr>
          <w:rFonts w:ascii="Times New Roman" w:hAnsi="Times New Roman"/>
        </w:rPr>
        <w:t>. Mr Deripaska submitted that there was no power to make regs 14 and 15. He submitted that there were numerous different ways in which regs 14 and 15 could be disapplied and that a court could not choose between those different ways without assuming the role of legislator.</w:t>
      </w:r>
      <w:r w:rsidRPr="00A54CB9">
        <w:rPr>
          <w:rStyle w:val="FootnoteReference"/>
          <w:rFonts w:ascii="Times New Roman" w:hAnsi="Times New Roman"/>
          <w:sz w:val="24"/>
        </w:rPr>
        <w:footnoteReference w:id="161"/>
      </w:r>
      <w:r w:rsidRPr="00A54CB9">
        <w:rPr>
          <w:rFonts w:ascii="Times New Roman" w:hAnsi="Times New Roman"/>
        </w:rPr>
        <w:t xml:space="preserve"> Mr Deripaska's broadest proposed disapplication of regs 14 and 15 was based upon an argument that Ch III of the </w:t>
      </w:r>
      <w:r w:rsidRPr="00A54CB9">
        <w:rPr>
          <w:rFonts w:ascii="Times New Roman" w:hAnsi="Times New Roman"/>
          <w:i/>
          <w:iCs/>
        </w:rPr>
        <w:t xml:space="preserve">Constitution </w:t>
      </w:r>
      <w:r w:rsidRPr="00A54CB9">
        <w:rPr>
          <w:rFonts w:ascii="Times New Roman" w:hAnsi="Times New Roman"/>
        </w:rPr>
        <w:t xml:space="preserve">prohibited the regulation-making power in the </w:t>
      </w:r>
      <w:r w:rsidRPr="00A54CB9">
        <w:rPr>
          <w:rFonts w:ascii="Times New Roman" w:hAnsi="Times New Roman"/>
          <w:i/>
          <w:iCs/>
        </w:rPr>
        <w:t xml:space="preserve">Autonomous Sanctions Act 2011 </w:t>
      </w:r>
      <w:r w:rsidRPr="00A54CB9">
        <w:rPr>
          <w:rFonts w:ascii="Times New Roman" w:hAnsi="Times New Roman"/>
        </w:rPr>
        <w:t xml:space="preserve">(Cth) from empowering the Executive to make laws that deprived a person of access to legal services (whether legal advice or legal representation or anything associated with obtaining such advice or representation) in relation to matters that might be raised or litigated in a court recognised in Ch III of the </w:t>
      </w:r>
      <w:r w:rsidRPr="00A54CB9">
        <w:rPr>
          <w:rFonts w:ascii="Times New Roman" w:hAnsi="Times New Roman"/>
          <w:i/>
          <w:iCs/>
        </w:rPr>
        <w:t>Constitution</w:t>
      </w:r>
      <w:r w:rsidRPr="00A54CB9">
        <w:rPr>
          <w:rFonts w:ascii="Times New Roman" w:hAnsi="Times New Roman"/>
        </w:rPr>
        <w:t xml:space="preserve">. </w:t>
      </w:r>
    </w:p>
    <w:p w14:paraId="75EE616B"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Minister, supported by the intervention of the Attorney-General of the Commonwealth, confessed and avoided. The Minister conceded that the regulation-making power in the </w:t>
      </w:r>
      <w:r w:rsidRPr="00A54CB9">
        <w:rPr>
          <w:rFonts w:ascii="Times New Roman" w:hAnsi="Times New Roman"/>
          <w:i/>
          <w:iCs/>
        </w:rPr>
        <w:t xml:space="preserve">Autonomous Sanctions Act </w:t>
      </w:r>
      <w:r w:rsidRPr="00A54CB9">
        <w:rPr>
          <w:rFonts w:ascii="Times New Roman" w:hAnsi="Times New Roman"/>
        </w:rPr>
        <w:t>did not extend to empower a prohibition on "actions taken for the purpose ['in an objective sense'] of challenging the validity of decisions or actions under the [</w:t>
      </w:r>
      <w:r w:rsidRPr="00A54CB9">
        <w:rPr>
          <w:rFonts w:ascii="Times New Roman" w:hAnsi="Times New Roman"/>
          <w:i/>
          <w:iCs/>
        </w:rPr>
        <w:t>Autonomous Sanctions Act</w:t>
      </w:r>
      <w:r w:rsidRPr="00A54CB9">
        <w:rPr>
          <w:rFonts w:ascii="Times New Roman" w:hAnsi="Times New Roman"/>
        </w:rPr>
        <w:t xml:space="preserve">] pursuant to s 75(v) or s 39B(1) of the </w:t>
      </w:r>
      <w:r w:rsidRPr="00A54CB9">
        <w:rPr>
          <w:rFonts w:ascii="Times New Roman" w:hAnsi="Times New Roman"/>
          <w:i/>
          <w:iCs/>
        </w:rPr>
        <w:t>Judiciary Act</w:t>
      </w:r>
      <w:r w:rsidRPr="00A54CB9">
        <w:rPr>
          <w:rFonts w:ascii="Times New Roman" w:hAnsi="Times New Roman"/>
        </w:rPr>
        <w:t xml:space="preserve"> [</w:t>
      </w:r>
      <w:r w:rsidRPr="00A54CB9">
        <w:rPr>
          <w:rFonts w:ascii="Times New Roman" w:hAnsi="Times New Roman"/>
          <w:i/>
        </w:rPr>
        <w:t>1903</w:t>
      </w:r>
      <w:r w:rsidRPr="00A54CB9">
        <w:rPr>
          <w:rFonts w:ascii="Times New Roman" w:hAnsi="Times New Roman"/>
        </w:rPr>
        <w:t xml:space="preserve"> (Cth)]".</w:t>
      </w:r>
      <w:r w:rsidRPr="00A54CB9">
        <w:rPr>
          <w:rStyle w:val="FootnoteReference"/>
          <w:rFonts w:ascii="Times New Roman" w:hAnsi="Times New Roman"/>
          <w:sz w:val="24"/>
        </w:rPr>
        <w:footnoteReference w:id="162"/>
      </w:r>
      <w:r w:rsidRPr="00A54CB9">
        <w:rPr>
          <w:rFonts w:ascii="Times New Roman" w:hAnsi="Times New Roman"/>
        </w:rPr>
        <w:t xml:space="preserve"> But the Minister submitted that the regulation-making power could be disapplied to that extent and also that regs 14 and 15 could be disapplied to the extent that they would be ultra vires as a consequence of the Executive exceeding the regulation-making power. The Minister also submitted that the courts should abstain from deciding whether there are any further constitutional constraints upon that regulation-making power and, hence, whether regs 14 and 15 could otherwise validly prevent Mr Deripaska from engaging an Australian lawyer to advise or represent him. </w:t>
      </w:r>
    </w:p>
    <w:p w14:paraId="551C331E"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primary judge in the Federal Court of Australia (Kennett J)</w:t>
      </w:r>
      <w:r w:rsidRPr="00A54CB9">
        <w:rPr>
          <w:rStyle w:val="FootnoteReference"/>
          <w:rFonts w:ascii="Times New Roman" w:hAnsi="Times New Roman"/>
          <w:sz w:val="24"/>
        </w:rPr>
        <w:footnoteReference w:id="163"/>
      </w:r>
      <w:r w:rsidRPr="00A54CB9">
        <w:rPr>
          <w:rFonts w:ascii="Times New Roman" w:hAnsi="Times New Roman"/>
        </w:rPr>
        <w:t xml:space="preserve"> and the Full Court of the Federal Court (Wigney, Stewart and Neskovcin JJ)</w:t>
      </w:r>
      <w:r w:rsidRPr="00A54CB9">
        <w:rPr>
          <w:rStyle w:val="FootnoteReference"/>
          <w:rFonts w:ascii="Times New Roman" w:hAnsi="Times New Roman"/>
          <w:sz w:val="24"/>
        </w:rPr>
        <w:footnoteReference w:id="164"/>
      </w:r>
      <w:r w:rsidRPr="00A54CB9">
        <w:rPr>
          <w:rFonts w:ascii="Times New Roman" w:hAnsi="Times New Roman"/>
        </w:rPr>
        <w:t xml:space="preserve"> accepted the concession of the Minister and also declined to decide whether any further constitutional constraint exists. In this Court, Mr Deripaska had two broad submissions. One submission was that the Minister's conceded disapplication did not go far enough; it was not sufficient for the primary judge and the Full Court to recognise only that Mr Deripaska had a freedom to instruct Australian lawyers for an "objective" purpose of challenging the validity of decisions or actions under the </w:t>
      </w:r>
      <w:r w:rsidRPr="00A54CB9">
        <w:rPr>
          <w:rFonts w:ascii="Times New Roman" w:hAnsi="Times New Roman"/>
          <w:i/>
          <w:iCs/>
        </w:rPr>
        <w:t>Autonomous Sanctions Act</w:t>
      </w:r>
      <w:r w:rsidRPr="00A54CB9">
        <w:rPr>
          <w:rFonts w:ascii="Times New Roman" w:hAnsi="Times New Roman"/>
        </w:rPr>
        <w:t xml:space="preserve"> pursuant to s 75(v) of the </w:t>
      </w:r>
      <w:r w:rsidRPr="00A54CB9">
        <w:rPr>
          <w:rFonts w:ascii="Times New Roman" w:hAnsi="Times New Roman"/>
          <w:i/>
        </w:rPr>
        <w:t>Constitution</w:t>
      </w:r>
      <w:r w:rsidRPr="00A54CB9">
        <w:rPr>
          <w:rFonts w:ascii="Times New Roman" w:hAnsi="Times New Roman"/>
          <w:i/>
          <w:iCs/>
        </w:rPr>
        <w:t xml:space="preserve"> </w:t>
      </w:r>
      <w:r w:rsidRPr="00A54CB9">
        <w:rPr>
          <w:rFonts w:ascii="Times New Roman" w:hAnsi="Times New Roman"/>
        </w:rPr>
        <w:t xml:space="preserve">or s 39B(1) of the </w:t>
      </w:r>
      <w:r w:rsidRPr="00A54CB9">
        <w:rPr>
          <w:rFonts w:ascii="Times New Roman" w:hAnsi="Times New Roman"/>
          <w:i/>
          <w:iCs/>
        </w:rPr>
        <w:t>Judiciary Act</w:t>
      </w:r>
      <w:r w:rsidRPr="00A54CB9">
        <w:rPr>
          <w:rFonts w:ascii="Times New Roman" w:hAnsi="Times New Roman"/>
        </w:rPr>
        <w:t xml:space="preserve">. There would remain a vast set of rights and freedoms under </w:t>
      </w:r>
      <w:r w:rsidRPr="00A54CB9">
        <w:rPr>
          <w:rFonts w:ascii="Times New Roman" w:hAnsi="Times New Roman"/>
        </w:rPr>
        <w:lastRenderedPageBreak/>
        <w:t>Australian law about which Mr Deripaska could not obtain legal services for the purpose of vindicating those rights and freedoms in a Ch III court. Mr Deripaska's other submission was that the disapplication proposed by the Minister was effectively a legislative act and beyond the powers of a federal court.</w:t>
      </w:r>
    </w:p>
    <w:p w14:paraId="35E1D972"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For the reasons below, Mr Deripaska is correct in his submission that broader disapplication of the </w:t>
      </w:r>
      <w:r w:rsidRPr="00A54CB9">
        <w:rPr>
          <w:rFonts w:ascii="Times New Roman" w:hAnsi="Times New Roman"/>
          <w:i/>
          <w:iCs/>
        </w:rPr>
        <w:t xml:space="preserve">Autonomous Sanctions Act </w:t>
      </w:r>
      <w:r w:rsidRPr="00A54CB9">
        <w:rPr>
          <w:rFonts w:ascii="Times New Roman" w:hAnsi="Times New Roman"/>
        </w:rPr>
        <w:t xml:space="preserve">and the </w:t>
      </w:r>
      <w:r w:rsidRPr="00A54CB9">
        <w:rPr>
          <w:rFonts w:ascii="Times New Roman" w:hAnsi="Times New Roman"/>
          <w:i/>
          <w:iCs/>
        </w:rPr>
        <w:t xml:space="preserve">Autonomous Sanctions Regulations </w:t>
      </w:r>
      <w:r w:rsidRPr="00A54CB9">
        <w:rPr>
          <w:rFonts w:ascii="Times New Roman" w:hAnsi="Times New Roman"/>
        </w:rPr>
        <w:t xml:space="preserve">is required to ensure their validity. The scope of his constitutionally protected liberty is not limited to a select range of legal services concerned with s 75(v) of the </w:t>
      </w:r>
      <w:r w:rsidRPr="00A54CB9">
        <w:rPr>
          <w:rFonts w:ascii="Times New Roman" w:hAnsi="Times New Roman"/>
          <w:i/>
        </w:rPr>
        <w:t>Constitution</w:t>
      </w:r>
      <w:r w:rsidRPr="00A54CB9">
        <w:rPr>
          <w:rFonts w:ascii="Times New Roman" w:hAnsi="Times New Roman"/>
        </w:rPr>
        <w:t>, a provision which, by itself, says and implies nothing about legal services. Rather, the application of a course of unchallenged decisions in this Court is best understood as requiring constitutional justification for any legislation that abolishes</w:t>
      </w:r>
      <w:r w:rsidRPr="00A54CB9" w:rsidDel="00B626CE">
        <w:rPr>
          <w:rFonts w:ascii="Times New Roman" w:hAnsi="Times New Roman"/>
        </w:rPr>
        <w:t xml:space="preserve"> </w:t>
      </w:r>
      <w:r w:rsidRPr="00A54CB9">
        <w:rPr>
          <w:rFonts w:ascii="Times New Roman" w:hAnsi="Times New Roman"/>
        </w:rPr>
        <w:t xml:space="preserve">a liberty to obtain legal services concerning any rights and freedoms which might be vindicated in any Ch III court. No justification was offered in this case. The broader disapplication of the </w:t>
      </w:r>
      <w:r w:rsidRPr="00A54CB9">
        <w:rPr>
          <w:rFonts w:ascii="Times New Roman" w:hAnsi="Times New Roman"/>
          <w:i/>
          <w:iCs/>
        </w:rPr>
        <w:t xml:space="preserve">Autonomous Sanctions Act </w:t>
      </w:r>
      <w:r w:rsidRPr="00A54CB9">
        <w:rPr>
          <w:rFonts w:ascii="Times New Roman" w:hAnsi="Times New Roman"/>
        </w:rPr>
        <w:t xml:space="preserve">and the </w:t>
      </w:r>
      <w:r w:rsidRPr="00A54CB9">
        <w:rPr>
          <w:rFonts w:ascii="Times New Roman" w:hAnsi="Times New Roman"/>
          <w:i/>
          <w:iCs/>
        </w:rPr>
        <w:t xml:space="preserve">Autonomous Sanctions Regulations </w:t>
      </w:r>
      <w:r w:rsidRPr="00A54CB9">
        <w:rPr>
          <w:rFonts w:ascii="Times New Roman" w:hAnsi="Times New Roman"/>
        </w:rPr>
        <w:t xml:space="preserve">to protect that liberty is not a legislative act. </w:t>
      </w:r>
    </w:p>
    <w:p w14:paraId="345FB232" w14:textId="77777777" w:rsidR="00DE281D" w:rsidRPr="00A54CB9" w:rsidRDefault="00DE281D" w:rsidP="00A54CB9">
      <w:pPr>
        <w:pStyle w:val="HeadingL1"/>
        <w:spacing w:after="260" w:line="280" w:lineRule="exact"/>
        <w:ind w:right="0"/>
        <w:jc w:val="both"/>
        <w:rPr>
          <w:rFonts w:ascii="Times New Roman" w:hAnsi="Times New Roman"/>
        </w:rPr>
      </w:pPr>
      <w:r w:rsidRPr="00A54CB9">
        <w:rPr>
          <w:rFonts w:ascii="Times New Roman" w:hAnsi="Times New Roman"/>
        </w:rPr>
        <w:t>The sanctions regime and the designation of Mr Deripaska</w:t>
      </w:r>
    </w:p>
    <w:p w14:paraId="56440274"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The sanctions regime</w:t>
      </w:r>
    </w:p>
    <w:p w14:paraId="0A1EF143"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w:t>
      </w:r>
      <w:r w:rsidRPr="00A54CB9">
        <w:rPr>
          <w:rFonts w:ascii="Times New Roman" w:hAnsi="Times New Roman"/>
          <w:i/>
          <w:iCs/>
        </w:rPr>
        <w:t xml:space="preserve">Autonomous Sanctions Act </w:t>
      </w:r>
      <w:r w:rsidRPr="00A54CB9">
        <w:rPr>
          <w:rFonts w:ascii="Times New Roman" w:hAnsi="Times New Roman"/>
        </w:rPr>
        <w:t>provides for the imposition and enforcement of autonomous sanctions for reasons including threats to international peace and security, serious violations or serious abuses of human rights, and serious violations of international humanitarian law.</w:t>
      </w:r>
      <w:r w:rsidRPr="00A54CB9">
        <w:rPr>
          <w:rStyle w:val="FootnoteReference"/>
          <w:rFonts w:ascii="Times New Roman" w:hAnsi="Times New Roman"/>
          <w:sz w:val="24"/>
        </w:rPr>
        <w:footnoteReference w:id="165"/>
      </w:r>
      <w:r w:rsidRPr="00A54CB9">
        <w:rPr>
          <w:rFonts w:ascii="Times New Roman" w:hAnsi="Times New Roman"/>
        </w:rPr>
        <w:t xml:space="preserve"> An "autonomous sanction", relevantly, "is intended to influence, directly or indirectly ... in accordance with Australian Government policy ... another person or entity outside Australia ... or ... involves the prohibition of conduct in or connected with Australia that facilitates, directly or indirectly, the engagement by [such] a person or entity ... in action outside Australia that is contrary to Australian Government policy".</w:t>
      </w:r>
      <w:r w:rsidRPr="00A54CB9">
        <w:rPr>
          <w:rStyle w:val="FootnoteReference"/>
          <w:rFonts w:ascii="Times New Roman" w:hAnsi="Times New Roman"/>
          <w:sz w:val="24"/>
        </w:rPr>
        <w:footnoteReference w:id="166"/>
      </w:r>
      <w:r w:rsidRPr="00A54CB9">
        <w:rPr>
          <w:rFonts w:ascii="Times New Roman" w:hAnsi="Times New Roman"/>
        </w:rPr>
        <w:t xml:space="preserve"> </w:t>
      </w:r>
    </w:p>
    <w:p w14:paraId="601A5800"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Section 28 of the </w:t>
      </w:r>
      <w:r w:rsidRPr="00A54CB9">
        <w:rPr>
          <w:rFonts w:ascii="Times New Roman" w:hAnsi="Times New Roman"/>
          <w:i/>
          <w:iCs/>
        </w:rPr>
        <w:t xml:space="preserve">Autonomous Sanctions Act </w:t>
      </w:r>
      <w:r w:rsidRPr="00A54CB9">
        <w:rPr>
          <w:rFonts w:ascii="Times New Roman" w:hAnsi="Times New Roman"/>
        </w:rPr>
        <w:t>authorises the Governor-General to make regulations, including to prescribe matters that are required or permitted by the Act to be prescribed. Subject to the Minister's satisfaction of certain matters (which is not in issue in this case),</w:t>
      </w:r>
      <w:r w:rsidRPr="00A54CB9">
        <w:rPr>
          <w:rStyle w:val="FootnoteReference"/>
          <w:rFonts w:ascii="Times New Roman" w:hAnsi="Times New Roman"/>
          <w:sz w:val="24"/>
        </w:rPr>
        <w:footnoteReference w:id="167"/>
      </w:r>
      <w:r w:rsidRPr="00A54CB9">
        <w:rPr>
          <w:rFonts w:ascii="Times New Roman" w:hAnsi="Times New Roman"/>
        </w:rPr>
        <w:t xml:space="preserve"> ss 10(1)(a) and 10(1)(b) respectively, and relevantly, provide that regulations may make provision for "proscription of persons ... (for specified purposes or more generally)" and for the "restriction or prevention of uses of, dealings with, and making available of, </w:t>
      </w:r>
      <w:r w:rsidRPr="00A54CB9">
        <w:rPr>
          <w:rFonts w:ascii="Times New Roman" w:hAnsi="Times New Roman"/>
        </w:rPr>
        <w:lastRenderedPageBreak/>
        <w:t>assets". "Asset" is defined in s 4 in very broad terms that include "an asset of any kind or property of any kind, whether tangible or intangible, movable or immovable, however acquired".</w:t>
      </w:r>
    </w:p>
    <w:p w14:paraId="6DAEEED5"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w:t>
      </w:r>
      <w:r w:rsidRPr="00A54CB9">
        <w:rPr>
          <w:rFonts w:ascii="Times New Roman" w:hAnsi="Times New Roman"/>
          <w:i/>
          <w:iCs/>
        </w:rPr>
        <w:t xml:space="preserve">Autonomous Sanctions Act </w:t>
      </w:r>
      <w:r w:rsidRPr="00A54CB9">
        <w:rPr>
          <w:rFonts w:ascii="Times New Roman" w:hAnsi="Times New Roman"/>
        </w:rPr>
        <w:t>empowers the Minister, for the purpose of furthering the main objects of the Act, to make a legislative instrument that specifies a regulation as a "sanction law".</w:t>
      </w:r>
      <w:r w:rsidRPr="00A54CB9">
        <w:rPr>
          <w:rStyle w:val="FootnoteReference"/>
          <w:rFonts w:ascii="Times New Roman" w:hAnsi="Times New Roman"/>
          <w:sz w:val="24"/>
        </w:rPr>
        <w:footnoteReference w:id="168"/>
      </w:r>
      <w:r w:rsidRPr="00A54CB9">
        <w:rPr>
          <w:rFonts w:ascii="Times New Roman" w:hAnsi="Times New Roman"/>
        </w:rPr>
        <w:t xml:space="preserve"> Under s 16 of the </w:t>
      </w:r>
      <w:r w:rsidRPr="00A54CB9">
        <w:rPr>
          <w:rFonts w:ascii="Times New Roman" w:hAnsi="Times New Roman"/>
          <w:i/>
          <w:iCs/>
        </w:rPr>
        <w:t xml:space="preserve">Autonomous Sanctions Act </w:t>
      </w:r>
      <w:r w:rsidRPr="00A54CB9">
        <w:rPr>
          <w:rFonts w:ascii="Times New Roman" w:hAnsi="Times New Roman"/>
        </w:rPr>
        <w:t>it is an offence for an individual</w:t>
      </w:r>
      <w:r w:rsidRPr="00A54CB9">
        <w:rPr>
          <w:rStyle w:val="FootnoteReference"/>
          <w:rFonts w:ascii="Times New Roman" w:hAnsi="Times New Roman"/>
          <w:sz w:val="24"/>
        </w:rPr>
        <w:footnoteReference w:id="169"/>
      </w:r>
      <w:r w:rsidRPr="00A54CB9">
        <w:rPr>
          <w:rFonts w:ascii="Times New Roman" w:hAnsi="Times New Roman"/>
        </w:rPr>
        <w:t xml:space="preserve"> or a body corporate</w:t>
      </w:r>
      <w:r w:rsidRPr="00A54CB9">
        <w:rPr>
          <w:rStyle w:val="FootnoteReference"/>
          <w:rFonts w:ascii="Times New Roman" w:hAnsi="Times New Roman"/>
          <w:sz w:val="24"/>
        </w:rPr>
        <w:footnoteReference w:id="170"/>
      </w:r>
      <w:r w:rsidRPr="00A54CB9">
        <w:rPr>
          <w:rFonts w:ascii="Times New Roman" w:hAnsi="Times New Roman"/>
        </w:rPr>
        <w:t xml:space="preserve"> to contravene a sanction law.</w:t>
      </w:r>
    </w:p>
    <w:p w14:paraId="6B0D64BA"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On 7 December 2011, the Governor-General, acting under s 28 of the </w:t>
      </w:r>
      <w:r w:rsidRPr="00A54CB9">
        <w:rPr>
          <w:rFonts w:ascii="Times New Roman" w:hAnsi="Times New Roman"/>
          <w:i/>
          <w:iCs/>
        </w:rPr>
        <w:t>Autonomous Sanctions Act</w:t>
      </w:r>
      <w:r w:rsidRPr="00A54CB9">
        <w:rPr>
          <w:rFonts w:ascii="Times New Roman" w:hAnsi="Times New Roman"/>
        </w:rPr>
        <w:t xml:space="preserve">, made the </w:t>
      </w:r>
      <w:r w:rsidRPr="00A54CB9">
        <w:rPr>
          <w:rFonts w:ascii="Times New Roman" w:hAnsi="Times New Roman"/>
          <w:i/>
          <w:iCs/>
        </w:rPr>
        <w:t>Autonomous Sanctions Regulations</w:t>
      </w:r>
      <w:r w:rsidRPr="00A54CB9">
        <w:rPr>
          <w:rFonts w:ascii="Times New Roman" w:hAnsi="Times New Roman"/>
        </w:rPr>
        <w:t xml:space="preserve">. Among the regulations in the </w:t>
      </w:r>
      <w:r w:rsidRPr="00A54CB9">
        <w:rPr>
          <w:rFonts w:ascii="Times New Roman" w:hAnsi="Times New Roman"/>
          <w:i/>
          <w:iCs/>
        </w:rPr>
        <w:t xml:space="preserve">Autonomous Sanctions Regulations </w:t>
      </w:r>
      <w:r w:rsidRPr="00A54CB9">
        <w:rPr>
          <w:rFonts w:ascii="Times New Roman" w:hAnsi="Times New Roman"/>
        </w:rPr>
        <w:t>that have been specified by the Minister as a sanction law are regs 14 and 15.</w:t>
      </w:r>
      <w:r w:rsidRPr="00A54CB9">
        <w:rPr>
          <w:rStyle w:val="FootnoteReference"/>
          <w:rFonts w:ascii="Times New Roman" w:hAnsi="Times New Roman"/>
          <w:sz w:val="24"/>
        </w:rPr>
        <w:footnoteReference w:id="171"/>
      </w:r>
      <w:r w:rsidRPr="00A54CB9">
        <w:rPr>
          <w:rFonts w:ascii="Times New Roman" w:hAnsi="Times New Roman"/>
        </w:rPr>
        <w:t xml:space="preserve"> Those regulations create contraventions, and (due to the Minister's specification) criminal offences under s 16 of the </w:t>
      </w:r>
      <w:r w:rsidRPr="00A54CB9">
        <w:rPr>
          <w:rFonts w:ascii="Times New Roman" w:hAnsi="Times New Roman"/>
          <w:i/>
          <w:iCs/>
        </w:rPr>
        <w:t>Autonomous Sanctions Act</w:t>
      </w:r>
      <w:r w:rsidRPr="00A54CB9">
        <w:rPr>
          <w:rFonts w:ascii="Times New Roman" w:hAnsi="Times New Roman"/>
        </w:rPr>
        <w:t>, for certain conduct by a person who has been designated under reg 6 by the Minister. A designation under reg 6 can be made by the Minister including of a person for the country mentioned in an item of the table in that regulation. Item 6A of the table in reg 6 refers to the country of Russia and "[a] person ... that the Minister is satisfied is, or has been, engaging in an activity or performing a function that is of economic or strategic significance to Russia".</w:t>
      </w:r>
    </w:p>
    <w:p w14:paraId="7BDE1D71"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criminal offences under s 16 of the </w:t>
      </w:r>
      <w:r w:rsidRPr="00A54CB9">
        <w:rPr>
          <w:rFonts w:ascii="Times New Roman" w:hAnsi="Times New Roman"/>
          <w:i/>
          <w:iCs/>
        </w:rPr>
        <w:t>Autonomous Sanctions Act</w:t>
      </w:r>
      <w:r w:rsidRPr="00A54CB9">
        <w:rPr>
          <w:rFonts w:ascii="Times New Roman" w:hAnsi="Times New Roman"/>
        </w:rPr>
        <w:t xml:space="preserve"> committed by a contravention of regs 14 and 15 arise in the following relevant circumstances:</w:t>
      </w:r>
    </w:p>
    <w:p w14:paraId="131C6B38" w14:textId="77777777" w:rsidR="00DE281D" w:rsidRPr="00A54CB9" w:rsidRDefault="00DE281D" w:rsidP="00A54CB9">
      <w:pPr>
        <w:pStyle w:val="NormalBody"/>
        <w:spacing w:after="260" w:line="280" w:lineRule="exact"/>
        <w:ind w:left="720" w:right="0" w:hanging="720"/>
        <w:jc w:val="both"/>
        <w:rPr>
          <w:rFonts w:ascii="Times New Roman" w:hAnsi="Times New Roman"/>
        </w:rPr>
      </w:pPr>
      <w:r w:rsidRPr="00A54CB9">
        <w:rPr>
          <w:rFonts w:ascii="Times New Roman" w:hAnsi="Times New Roman"/>
        </w:rPr>
        <w:t>1.</w:t>
      </w:r>
      <w:r w:rsidRPr="00A54CB9">
        <w:rPr>
          <w:rFonts w:ascii="Times New Roman" w:hAnsi="Times New Roman"/>
        </w:rPr>
        <w:tab/>
        <w:t>A person directly or indirectly makes an asset available to, or for the benefit of, a designated person without the authorisation of a permit granted under reg 18.</w:t>
      </w:r>
      <w:r w:rsidRPr="00A54CB9">
        <w:rPr>
          <w:rStyle w:val="FootnoteReference"/>
          <w:rFonts w:ascii="Times New Roman" w:hAnsi="Times New Roman"/>
          <w:sz w:val="24"/>
        </w:rPr>
        <w:footnoteReference w:id="172"/>
      </w:r>
    </w:p>
    <w:p w14:paraId="4449FDDD" w14:textId="77777777" w:rsidR="00DE281D" w:rsidRPr="00A54CB9" w:rsidRDefault="00DE281D" w:rsidP="00A54CB9">
      <w:pPr>
        <w:pStyle w:val="NormalBody"/>
        <w:spacing w:after="260" w:line="280" w:lineRule="exact"/>
        <w:ind w:left="720" w:right="0" w:hanging="720"/>
        <w:jc w:val="both"/>
        <w:rPr>
          <w:rFonts w:ascii="Times New Roman" w:hAnsi="Times New Roman"/>
        </w:rPr>
      </w:pPr>
      <w:r w:rsidRPr="00A54CB9">
        <w:rPr>
          <w:rFonts w:ascii="Times New Roman" w:hAnsi="Times New Roman"/>
        </w:rPr>
        <w:t>2.</w:t>
      </w:r>
      <w:r w:rsidRPr="00A54CB9">
        <w:rPr>
          <w:rFonts w:ascii="Times New Roman" w:hAnsi="Times New Roman"/>
        </w:rPr>
        <w:tab/>
        <w:t xml:space="preserve">A person uses or deals with a controlled asset (an asset owned or controlled by a designated person), or allows the controlled asset to be used or dealt </w:t>
      </w:r>
      <w:r w:rsidRPr="00A54CB9">
        <w:rPr>
          <w:rFonts w:ascii="Times New Roman" w:hAnsi="Times New Roman"/>
        </w:rPr>
        <w:lastRenderedPageBreak/>
        <w:t>with, or facilitates the use of or dealing with the asset, without the authorisation of a permit granted under reg 18.</w:t>
      </w:r>
      <w:r w:rsidRPr="00A54CB9">
        <w:rPr>
          <w:rStyle w:val="FootnoteReference"/>
          <w:rFonts w:ascii="Times New Roman" w:hAnsi="Times New Roman"/>
          <w:sz w:val="24"/>
        </w:rPr>
        <w:footnoteReference w:id="173"/>
      </w:r>
      <w:r w:rsidRPr="00A54CB9">
        <w:rPr>
          <w:rFonts w:ascii="Times New Roman" w:hAnsi="Times New Roman"/>
        </w:rPr>
        <w:t xml:space="preserve">     </w:t>
      </w:r>
    </w:p>
    <w:p w14:paraId="659CDBCD"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Under regs 18(1)(e) and 18(1)(f) respectively, the Minister may grant a permit relevantly authorising "the making available of an asset to a person ... that would otherwise contravene regulation 14" or "a use of, or a dealing with, a controlled asset". The Minister must not grant the permit unless, among other conditions, the Minister is satisfied that "it would be in the national interest to grant the permit".</w:t>
      </w:r>
      <w:r w:rsidRPr="00A54CB9">
        <w:rPr>
          <w:rStyle w:val="FootnoteReference"/>
          <w:rFonts w:ascii="Times New Roman" w:hAnsi="Times New Roman"/>
          <w:sz w:val="24"/>
        </w:rPr>
        <w:footnoteReference w:id="174"/>
      </w:r>
      <w:r w:rsidRPr="00A54CB9">
        <w:rPr>
          <w:rFonts w:ascii="Times New Roman" w:hAnsi="Times New Roman"/>
        </w:rPr>
        <w:t xml:space="preserve"> The permit may authorise a "basic expense dealing", which includes "reasonable professional fees" and "reimbursement of expenses associated with the provision of legal services".</w:t>
      </w:r>
      <w:r w:rsidRPr="00A54CB9">
        <w:rPr>
          <w:rStyle w:val="FootnoteReference"/>
          <w:rFonts w:ascii="Times New Roman" w:hAnsi="Times New Roman"/>
          <w:sz w:val="24"/>
        </w:rPr>
        <w:footnoteReference w:id="175"/>
      </w:r>
      <w:r w:rsidRPr="00A54CB9">
        <w:rPr>
          <w:rFonts w:ascii="Times New Roman" w:hAnsi="Times New Roman"/>
        </w:rPr>
        <w:t xml:space="preserve"> A change in circumstances sufficient to change the "discretionary value judgment"</w:t>
      </w:r>
      <w:r w:rsidRPr="00A54CB9">
        <w:rPr>
          <w:rStyle w:val="FootnoteReference"/>
          <w:rFonts w:ascii="Times New Roman" w:hAnsi="Times New Roman"/>
          <w:sz w:val="24"/>
        </w:rPr>
        <w:footnoteReference w:id="176"/>
      </w:r>
      <w:r w:rsidRPr="00A54CB9">
        <w:rPr>
          <w:rFonts w:ascii="Times New Roman" w:hAnsi="Times New Roman"/>
        </w:rPr>
        <w:t xml:space="preserve"> of the Minister can lead to the revocation of the permit.</w:t>
      </w:r>
      <w:r w:rsidRPr="00A54CB9">
        <w:rPr>
          <w:rStyle w:val="FootnoteReference"/>
          <w:rFonts w:ascii="Times New Roman" w:hAnsi="Times New Roman"/>
          <w:sz w:val="24"/>
        </w:rPr>
        <w:footnoteReference w:id="177"/>
      </w:r>
      <w:r w:rsidRPr="00A54CB9">
        <w:rPr>
          <w:rFonts w:ascii="Times New Roman" w:hAnsi="Times New Roman"/>
        </w:rPr>
        <w:t xml:space="preserve">  </w:t>
      </w:r>
      <w:r w:rsidRPr="00A54CB9">
        <w:rPr>
          <w:rFonts w:ascii="Times New Roman" w:hAnsi="Times New Roman"/>
        </w:rPr>
        <w:tab/>
      </w:r>
    </w:p>
    <w:p w14:paraId="4DA9437A"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effect of the offence created by s 16 of the </w:t>
      </w:r>
      <w:r w:rsidRPr="00A54CB9">
        <w:rPr>
          <w:rFonts w:ascii="Times New Roman" w:hAnsi="Times New Roman"/>
          <w:i/>
          <w:iCs/>
        </w:rPr>
        <w:t>Autonomous Sanctions Act</w:t>
      </w:r>
      <w:r w:rsidRPr="00A54CB9">
        <w:rPr>
          <w:rFonts w:ascii="Times New Roman" w:hAnsi="Times New Roman"/>
        </w:rPr>
        <w:t xml:space="preserve"> together with regs 14 and 15 of the </w:t>
      </w:r>
      <w:r w:rsidRPr="00A54CB9">
        <w:rPr>
          <w:rFonts w:ascii="Times New Roman" w:hAnsi="Times New Roman"/>
          <w:i/>
        </w:rPr>
        <w:t>Autonomous Sanctions Regulations</w:t>
      </w:r>
      <w:r w:rsidRPr="00A54CB9">
        <w:rPr>
          <w:rFonts w:ascii="Times New Roman" w:hAnsi="Times New Roman"/>
          <w:iCs/>
        </w:rPr>
        <w:t>,</w:t>
      </w:r>
      <w:r w:rsidRPr="00A54CB9">
        <w:rPr>
          <w:rFonts w:ascii="Times New Roman" w:hAnsi="Times New Roman"/>
          <w:i/>
          <w:iCs/>
        </w:rPr>
        <w:t xml:space="preserve"> </w:t>
      </w:r>
      <w:r w:rsidRPr="00A54CB9">
        <w:rPr>
          <w:rFonts w:ascii="Times New Roman" w:hAnsi="Times New Roman"/>
        </w:rPr>
        <w:t>and the specification and designation by the Minister, is that a designated person cannot remunerate a lawyer for legal services. And even if a lawyer were prepared to perform legal services for free for the designated person, there would be insurmountable obstacles to the performance of that work. Many documents created by the lawyer in acting as agent for the designated person will be assets owned by the designated person and will accordingly be controlled assets which the lawyer would be prohibited from using or with which the lawyer would be prohibited from dealing.</w:t>
      </w:r>
      <w:r w:rsidRPr="00A54CB9">
        <w:rPr>
          <w:rStyle w:val="FootnoteReference"/>
          <w:rFonts w:ascii="Times New Roman" w:hAnsi="Times New Roman"/>
          <w:sz w:val="24"/>
        </w:rPr>
        <w:footnoteReference w:id="178"/>
      </w:r>
      <w:r w:rsidRPr="00A54CB9">
        <w:rPr>
          <w:rFonts w:ascii="Times New Roman" w:hAnsi="Times New Roman"/>
        </w:rPr>
        <w:t xml:space="preserve">  </w:t>
      </w:r>
    </w:p>
    <w:p w14:paraId="718E90C2"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scope of the chilling effect of regs 14 and 15, in effectively prohibiting even free legal work, was colourfully illustrated in oral argument by the example of a lawyer performing photocopying at their firm. A photocopier owned or leased by the lawyer would fall within the broad definition of "asset". If the photocopier were used by the lawyer in the course of performing any legal work for a designated person then the asset will have been made available for the benefit of the designated person. If the lawyer, who meant to make the photocopier available </w:t>
      </w:r>
      <w:r w:rsidRPr="00A54CB9">
        <w:rPr>
          <w:rFonts w:ascii="Times New Roman" w:hAnsi="Times New Roman"/>
        </w:rPr>
        <w:lastRenderedPageBreak/>
        <w:t>to do the copying,</w:t>
      </w:r>
      <w:r w:rsidRPr="00A54CB9">
        <w:rPr>
          <w:rStyle w:val="FootnoteReference"/>
          <w:rFonts w:ascii="Times New Roman" w:hAnsi="Times New Roman"/>
          <w:sz w:val="24"/>
        </w:rPr>
        <w:footnoteReference w:id="179"/>
      </w:r>
      <w:r w:rsidRPr="00A54CB9">
        <w:rPr>
          <w:rFonts w:ascii="Times New Roman" w:hAnsi="Times New Roman"/>
        </w:rPr>
        <w:t xml:space="preserve"> knew or was reckless as to the circumstance that it was for the benefit of a designated person,</w:t>
      </w:r>
      <w:r w:rsidRPr="00A54CB9">
        <w:rPr>
          <w:rStyle w:val="FootnoteReference"/>
          <w:rFonts w:ascii="Times New Roman" w:hAnsi="Times New Roman"/>
          <w:sz w:val="24"/>
        </w:rPr>
        <w:footnoteReference w:id="180"/>
      </w:r>
      <w:r w:rsidRPr="00A54CB9">
        <w:rPr>
          <w:rFonts w:ascii="Times New Roman" w:hAnsi="Times New Roman"/>
        </w:rPr>
        <w:t xml:space="preserve"> then the lawyer would commit an offence. If the photocopier were owned by an incorporated legal practice then, irrespective of any knowledge or recklessness, the incorporated legal practice would be strictly liable under the </w:t>
      </w:r>
      <w:r w:rsidRPr="00A54CB9">
        <w:rPr>
          <w:rFonts w:ascii="Times New Roman" w:hAnsi="Times New Roman"/>
          <w:i/>
          <w:iCs/>
        </w:rPr>
        <w:t>Autonomous Sanctions Act</w:t>
      </w:r>
      <w:r w:rsidRPr="00A54CB9">
        <w:rPr>
          <w:rFonts w:ascii="Times New Roman" w:hAnsi="Times New Roman"/>
        </w:rPr>
        <w:t xml:space="preserve"> unless it could prove that it took reasonable precautions, and exercised due diligence, to avoid that contravention.</w:t>
      </w:r>
      <w:r w:rsidRPr="00A54CB9">
        <w:rPr>
          <w:rStyle w:val="FootnoteReference"/>
          <w:rFonts w:ascii="Times New Roman" w:hAnsi="Times New Roman"/>
          <w:sz w:val="24"/>
        </w:rPr>
        <w:footnoteReference w:id="181"/>
      </w:r>
      <w:r w:rsidRPr="00A54CB9">
        <w:rPr>
          <w:rFonts w:ascii="Times New Roman" w:hAnsi="Times New Roman"/>
        </w:rPr>
        <w:t xml:space="preserve"> The photocopying example is a simple illustration of the many instances in which the provision of legal services involves making an asset available to a client. Many other examples could be given involving intellectual property, notes and memoranda, and correspondence. </w:t>
      </w:r>
    </w:p>
    <w:p w14:paraId="055462D5"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The designation of Mr Deripaska</w:t>
      </w:r>
    </w:p>
    <w:p w14:paraId="11603EB4"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On 17 March 2022, the Minister signed a submission which noted that Mr Deripaska has "business interests and close personal ties to [President] Putin" and that it was open to the Minister to conclude that Mr Deripaska "is, or has been, engaging in an activity or performing a function that is of economic or strategic significance to Russia". The same day, Mr Deripaska was named by the Minister in the </w:t>
      </w:r>
      <w:r w:rsidRPr="00A54CB9">
        <w:rPr>
          <w:rFonts w:ascii="Times New Roman" w:hAnsi="Times New Roman"/>
          <w:i/>
          <w:iCs/>
        </w:rPr>
        <w:t xml:space="preserve">Autonomous Sanctions (Designated Persons and Entities and Declared Persons – </w:t>
      </w:r>
      <w:r w:rsidRPr="00A54CB9">
        <w:rPr>
          <w:rFonts w:ascii="Times New Roman" w:hAnsi="Times New Roman"/>
          <w:i/>
        </w:rPr>
        <w:t>Russia and</w:t>
      </w:r>
      <w:r w:rsidRPr="00A54CB9">
        <w:rPr>
          <w:rFonts w:ascii="Times New Roman" w:hAnsi="Times New Roman"/>
          <w:i/>
          <w:iCs/>
        </w:rPr>
        <w:t xml:space="preserve"> Ukraine) List</w:t>
      </w:r>
      <w:r w:rsidRPr="00A54CB9">
        <w:rPr>
          <w:rFonts w:ascii="Times New Roman" w:hAnsi="Times New Roman"/>
        </w:rPr>
        <w:t xml:space="preserve"> </w:t>
      </w:r>
      <w:r w:rsidRPr="00A54CB9">
        <w:rPr>
          <w:rFonts w:ascii="Times New Roman" w:hAnsi="Times New Roman"/>
          <w:i/>
          <w:iCs/>
        </w:rPr>
        <w:t>2014</w:t>
      </w:r>
      <w:r w:rsidRPr="00A54CB9">
        <w:rPr>
          <w:rFonts w:ascii="Times New Roman" w:hAnsi="Times New Roman"/>
        </w:rPr>
        <w:t xml:space="preserve"> (Cth) as a "designated" person and as a "declared" person under regs 6(a) and 6(b) of the </w:t>
      </w:r>
      <w:r w:rsidRPr="00A54CB9">
        <w:rPr>
          <w:rFonts w:ascii="Times New Roman" w:hAnsi="Times New Roman"/>
          <w:i/>
        </w:rPr>
        <w:t>Autonomous Sanctions Regulations</w:t>
      </w:r>
      <w:r w:rsidRPr="00A54CB9">
        <w:rPr>
          <w:rFonts w:ascii="Times New Roman" w:hAnsi="Times New Roman"/>
        </w:rPr>
        <w:t>.</w:t>
      </w:r>
      <w:r w:rsidRPr="00A54CB9">
        <w:rPr>
          <w:rStyle w:val="FootnoteReference"/>
          <w:rFonts w:ascii="Times New Roman" w:hAnsi="Times New Roman"/>
          <w:sz w:val="24"/>
        </w:rPr>
        <w:footnoteReference w:id="182"/>
      </w:r>
      <w:r w:rsidRPr="00A54CB9">
        <w:rPr>
          <w:rFonts w:ascii="Times New Roman" w:hAnsi="Times New Roman"/>
        </w:rPr>
        <w:t xml:space="preserve"> </w:t>
      </w:r>
    </w:p>
    <w:p w14:paraId="34523125"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Nearly eight months later, on 7 November 2022, the Minister issued a permit, which applied to persons including Mr Deripaska, under reg 18 of the </w:t>
      </w:r>
      <w:r w:rsidRPr="00A54CB9">
        <w:rPr>
          <w:rFonts w:ascii="Times New Roman" w:hAnsi="Times New Roman"/>
          <w:i/>
          <w:iCs/>
        </w:rPr>
        <w:t>Autonomous Sanctions Regulations</w:t>
      </w:r>
      <w:r w:rsidRPr="00A54CB9">
        <w:rPr>
          <w:rFonts w:ascii="Times New Roman" w:hAnsi="Times New Roman"/>
        </w:rPr>
        <w:t xml:space="preserve">. The permit was valid until 7 November 2024 unless it was revoked earlier by the Minister. In broad terms, the permit authorised the use of or dealings with assets or controlled assets, or the making of assets available to Mr Deripaska, "to the extent doing so is required to receive legal advice, legal representation, and Ancillary Services [directly related to the provision of legal advice or legal representation, including services relating to: the organisation and filing of court documents; the engagement of expert witnesses; and administrative tasks necessary for legal proceedings], in relation to matters arising under or related to Australian law". On 30 October 2024, the Minister </w:t>
      </w:r>
      <w:r w:rsidRPr="00A54CB9">
        <w:rPr>
          <w:rFonts w:ascii="Times New Roman" w:hAnsi="Times New Roman"/>
        </w:rPr>
        <w:lastRenderedPageBreak/>
        <w:t xml:space="preserve">revoked the permit which applied to persons including Mr Deripaska and issued a new permit with similar scope. </w:t>
      </w:r>
    </w:p>
    <w:p w14:paraId="5034234B" w14:textId="77777777" w:rsidR="00DE281D" w:rsidRPr="00A54CB9" w:rsidRDefault="00DE281D" w:rsidP="00A54CB9">
      <w:pPr>
        <w:pStyle w:val="HeadingL1"/>
        <w:spacing w:after="260" w:line="280" w:lineRule="exact"/>
        <w:ind w:right="0"/>
        <w:jc w:val="both"/>
        <w:rPr>
          <w:rFonts w:ascii="Times New Roman" w:hAnsi="Times New Roman"/>
        </w:rPr>
      </w:pPr>
      <w:r w:rsidRPr="00A54CB9">
        <w:rPr>
          <w:rFonts w:ascii="Times New Roman" w:hAnsi="Times New Roman"/>
        </w:rPr>
        <w:t>The real issues and the decisions below</w:t>
      </w:r>
    </w:p>
    <w:p w14:paraId="7B3ADFB1"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The issues that arise</w:t>
      </w:r>
    </w:p>
    <w:p w14:paraId="1CA47546"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Between 17 March 2022 and 7 November 2022, the sanctions regime had the practical effect of denying Mr Deripaska the ability to access legal services. Although the permit issued on 7 November 2022 applied to Mr Deripaska, that permit was subsequently revoked and replaced. Mr Deripaska's practical ability to obtain legal services in the future rested on the discretion of the Minister. Mr Deripaska challenged both the Minister's decision</w:t>
      </w:r>
      <w:r w:rsidRPr="00A54CB9">
        <w:rPr>
          <w:rStyle w:val="FootnoteReference"/>
          <w:rFonts w:ascii="Times New Roman" w:hAnsi="Times New Roman"/>
          <w:sz w:val="24"/>
        </w:rPr>
        <w:footnoteReference w:id="183"/>
      </w:r>
      <w:r w:rsidRPr="00A54CB9">
        <w:rPr>
          <w:rFonts w:ascii="Times New Roman" w:hAnsi="Times New Roman"/>
        </w:rPr>
        <w:t xml:space="preserve"> and the validity of regs 14 and 15 of the </w:t>
      </w:r>
      <w:r w:rsidRPr="00A54CB9">
        <w:rPr>
          <w:rFonts w:ascii="Times New Roman" w:hAnsi="Times New Roman"/>
          <w:i/>
          <w:iCs/>
        </w:rPr>
        <w:t>Autonomous Sanctions Regulations</w:t>
      </w:r>
      <w:r w:rsidRPr="00A54CB9">
        <w:rPr>
          <w:rFonts w:ascii="Times New Roman" w:hAnsi="Times New Roman"/>
        </w:rPr>
        <w:t xml:space="preserve">. His challenges were dismissed by the primary judge and an appeal to the Full Court of the Federal Court was dismissed. </w:t>
      </w:r>
    </w:p>
    <w:p w14:paraId="6C33CE8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only issue in this Court concerns the validity of the operation of regs 14 and 15 of the </w:t>
      </w:r>
      <w:r w:rsidRPr="00A54CB9">
        <w:rPr>
          <w:rFonts w:ascii="Times New Roman" w:hAnsi="Times New Roman"/>
          <w:i/>
          <w:iCs/>
        </w:rPr>
        <w:t>Autonomous Sanctions Regulations</w:t>
      </w:r>
      <w:r w:rsidRPr="00A54CB9">
        <w:rPr>
          <w:rFonts w:ascii="Times New Roman" w:hAnsi="Times New Roman"/>
        </w:rPr>
        <w:t xml:space="preserve">. The starting point for Mr Deripaska's challenge in this Court is that the Commonwealth Parliament has no power in s 28 of the </w:t>
      </w:r>
      <w:r w:rsidRPr="00A54CB9">
        <w:rPr>
          <w:rFonts w:ascii="Times New Roman" w:hAnsi="Times New Roman"/>
          <w:i/>
          <w:iCs/>
        </w:rPr>
        <w:t xml:space="preserve">Autonomous Sanctions Act </w:t>
      </w:r>
      <w:r w:rsidRPr="00A54CB9">
        <w:rPr>
          <w:rFonts w:ascii="Times New Roman" w:hAnsi="Times New Roman"/>
        </w:rPr>
        <w:t xml:space="preserve">to make regulations with the scope of operation of regs 14 and 15. Both at trial and on appeal, and in this Court, the Minister conceded that "regs 14 and 15 [cannot] apply according to their terms to actions taken for the purpose of challenging the validity of decisions or actions under the Act pursuant to s 75(v) [of the </w:t>
      </w:r>
      <w:r w:rsidRPr="00A54CB9">
        <w:rPr>
          <w:rFonts w:ascii="Times New Roman" w:hAnsi="Times New Roman"/>
          <w:i/>
        </w:rPr>
        <w:t>Constitution</w:t>
      </w:r>
      <w:r w:rsidRPr="00A54CB9">
        <w:rPr>
          <w:rFonts w:ascii="Times New Roman" w:hAnsi="Times New Roman"/>
        </w:rPr>
        <w:t>] or s 39B(1) of the Judiciary Act".</w:t>
      </w:r>
      <w:r w:rsidRPr="00A54CB9">
        <w:rPr>
          <w:rStyle w:val="FootnoteReference"/>
          <w:rFonts w:ascii="Times New Roman" w:hAnsi="Times New Roman"/>
          <w:sz w:val="24"/>
        </w:rPr>
        <w:footnoteReference w:id="184"/>
      </w:r>
      <w:r w:rsidRPr="00A54CB9">
        <w:rPr>
          <w:rFonts w:ascii="Times New Roman" w:hAnsi="Times New Roman"/>
        </w:rPr>
        <w:t xml:space="preserve"> But the Minister submitted that those laws could be disapplied from their invalid applications so that regs 14 and 15 would not be ultra vires the regulation-making power. </w:t>
      </w:r>
    </w:p>
    <w:p w14:paraId="1A86F18E"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As all counsel rightly emphasised on numerous occasions throughout this appeal, this issue does not concern the </w:t>
      </w:r>
      <w:r w:rsidRPr="00A54CB9">
        <w:rPr>
          <w:rFonts w:ascii="Times New Roman" w:hAnsi="Times New Roman"/>
          <w:i/>
          <w:iCs/>
        </w:rPr>
        <w:t>meaning</w:t>
      </w:r>
      <w:r w:rsidRPr="00A54CB9">
        <w:rPr>
          <w:rFonts w:ascii="Times New Roman" w:hAnsi="Times New Roman"/>
        </w:rPr>
        <w:t xml:space="preserve"> of any of the words of regs 14 and 15 of the </w:t>
      </w:r>
      <w:r w:rsidRPr="00A54CB9">
        <w:rPr>
          <w:rFonts w:ascii="Times New Roman" w:hAnsi="Times New Roman"/>
          <w:i/>
          <w:iCs/>
        </w:rPr>
        <w:t>Autonomous Sanctions Regulations</w:t>
      </w:r>
      <w:r w:rsidRPr="00A54CB9">
        <w:rPr>
          <w:rFonts w:ascii="Times New Roman" w:hAnsi="Times New Roman"/>
        </w:rPr>
        <w:t xml:space="preserve">. Instead, the issue concerns the scope of the application of regs 14 and 15. Consequently, it was not (and could not be) suggested that this Court, effectively operating by a legislative drafting division, could alter the meaning of the regulations so that expressions such as "deals with", "makes an asset available", or "uses" would have a distorted </w:t>
      </w:r>
      <w:r w:rsidRPr="00A54CB9">
        <w:rPr>
          <w:rFonts w:ascii="Times New Roman" w:hAnsi="Times New Roman"/>
          <w:i/>
          <w:iCs/>
        </w:rPr>
        <w:t>meaning</w:t>
      </w:r>
      <w:r w:rsidRPr="00A54CB9">
        <w:rPr>
          <w:rFonts w:ascii="Times New Roman" w:hAnsi="Times New Roman"/>
        </w:rPr>
        <w:t xml:space="preserve"> as though they somehow contained an exception such as "other than in relation to a proceeding concerning s 75(v) of the </w:t>
      </w:r>
      <w:r w:rsidRPr="00A54CB9">
        <w:rPr>
          <w:rFonts w:ascii="Times New Roman" w:hAnsi="Times New Roman"/>
          <w:i/>
        </w:rPr>
        <w:t>Constitution</w:t>
      </w:r>
      <w:r w:rsidRPr="00A54CB9">
        <w:rPr>
          <w:rFonts w:ascii="Times New Roman" w:hAnsi="Times New Roman"/>
        </w:rPr>
        <w:t xml:space="preserve">". The submission for the Minister was, instead, that regs 14 and 15 were ultra vires the regulation-making power in s 28 of the </w:t>
      </w:r>
      <w:r w:rsidRPr="00A54CB9">
        <w:rPr>
          <w:rFonts w:ascii="Times New Roman" w:hAnsi="Times New Roman"/>
          <w:i/>
          <w:iCs/>
        </w:rPr>
        <w:t>Autonomous Sanctions Act</w:t>
      </w:r>
      <w:r w:rsidRPr="00A54CB9">
        <w:rPr>
          <w:rFonts w:ascii="Times New Roman" w:hAnsi="Times New Roman"/>
        </w:rPr>
        <w:t xml:space="preserve"> only to the extent that they </w:t>
      </w:r>
      <w:r w:rsidRPr="00A54CB9">
        <w:rPr>
          <w:rFonts w:ascii="Times New Roman" w:hAnsi="Times New Roman"/>
        </w:rPr>
        <w:lastRenderedPageBreak/>
        <w:t xml:space="preserve">applied to actions taken for the objective purpose of challenging the validity of decisions or actions under the </w:t>
      </w:r>
      <w:r w:rsidRPr="00A54CB9">
        <w:rPr>
          <w:rFonts w:ascii="Times New Roman" w:hAnsi="Times New Roman"/>
          <w:i/>
          <w:iCs/>
        </w:rPr>
        <w:t>Autonomous Sanctions Act</w:t>
      </w:r>
      <w:r w:rsidRPr="00A54CB9">
        <w:rPr>
          <w:rFonts w:ascii="Times New Roman" w:hAnsi="Times New Roman"/>
        </w:rPr>
        <w:t xml:space="preserve"> pursuant to s 75(v) of the </w:t>
      </w:r>
      <w:r w:rsidRPr="00A54CB9">
        <w:rPr>
          <w:rFonts w:ascii="Times New Roman" w:hAnsi="Times New Roman"/>
          <w:i/>
        </w:rPr>
        <w:t>Constitution</w:t>
      </w:r>
      <w:r w:rsidRPr="00A54CB9">
        <w:rPr>
          <w:rFonts w:ascii="Times New Roman" w:hAnsi="Times New Roman"/>
        </w:rPr>
        <w:t xml:space="preserve"> or s 39B(1) of the </w:t>
      </w:r>
      <w:r w:rsidRPr="00A54CB9">
        <w:rPr>
          <w:rFonts w:ascii="Times New Roman" w:hAnsi="Times New Roman"/>
          <w:i/>
          <w:iCs/>
        </w:rPr>
        <w:t>Judiciary Act</w:t>
      </w:r>
      <w:r w:rsidRPr="00A54CB9">
        <w:rPr>
          <w:rFonts w:ascii="Times New Roman" w:hAnsi="Times New Roman"/>
        </w:rPr>
        <w:t>.</w:t>
      </w:r>
    </w:p>
    <w:p w14:paraId="45ED8643"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primary judge and the Full Court held that regs 14 and 15 of the </w:t>
      </w:r>
      <w:r w:rsidRPr="00A54CB9">
        <w:rPr>
          <w:rFonts w:ascii="Times New Roman" w:hAnsi="Times New Roman"/>
          <w:i/>
          <w:iCs/>
        </w:rPr>
        <w:t xml:space="preserve">Autonomous Sanctions Regulations </w:t>
      </w:r>
      <w:r w:rsidRPr="00A54CB9">
        <w:rPr>
          <w:rFonts w:ascii="Times New Roman" w:hAnsi="Times New Roman"/>
        </w:rPr>
        <w:t>could be disapplied to preserve their validity. The primary judge said that the proposed disapplication was not a judicially chosen or legislated constraint but arose from a standard supplied by the constitutional limit in s 75(v) itself.</w:t>
      </w:r>
      <w:r w:rsidRPr="00A54CB9">
        <w:rPr>
          <w:rStyle w:val="FootnoteReference"/>
          <w:rFonts w:ascii="Times New Roman" w:hAnsi="Times New Roman"/>
          <w:sz w:val="24"/>
        </w:rPr>
        <w:footnoteReference w:id="185"/>
      </w:r>
      <w:r w:rsidRPr="00A54CB9">
        <w:rPr>
          <w:rFonts w:ascii="Times New Roman" w:hAnsi="Times New Roman"/>
        </w:rPr>
        <w:t xml:space="preserve"> Nevertheless, the primary judge recognised that a "full articulation" of the extent to which regs 14 and 15 should "be confined in their denotation" was unnecessary.</w:t>
      </w:r>
      <w:r w:rsidRPr="00A54CB9">
        <w:rPr>
          <w:rStyle w:val="FootnoteReference"/>
          <w:rFonts w:ascii="Times New Roman" w:hAnsi="Times New Roman"/>
          <w:sz w:val="24"/>
        </w:rPr>
        <w:footnoteReference w:id="186"/>
      </w:r>
      <w:r w:rsidRPr="00A54CB9">
        <w:rPr>
          <w:rFonts w:ascii="Times New Roman" w:hAnsi="Times New Roman"/>
        </w:rPr>
        <w:t xml:space="preserve"> </w:t>
      </w:r>
    </w:p>
    <w:p w14:paraId="4444A29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A similar approach was taken by the Full Court, which also accepted the Minister's proposed disapplication in holding that "regs 14 and 15 do not apply to actions taken for the purpose, in an objective sense, of challenging the validity of decisions or actions under the [</w:t>
      </w:r>
      <w:r w:rsidRPr="00A54CB9">
        <w:rPr>
          <w:rFonts w:ascii="Times New Roman" w:hAnsi="Times New Roman"/>
          <w:i/>
          <w:iCs/>
        </w:rPr>
        <w:t>Autonomous Sanctions Act</w:t>
      </w:r>
      <w:r w:rsidRPr="00A54CB9">
        <w:rPr>
          <w:rFonts w:ascii="Times New Roman" w:hAnsi="Times New Roman"/>
        </w:rPr>
        <w:t xml:space="preserve">] pursuant to s 75(v) of the </w:t>
      </w:r>
      <w:r w:rsidRPr="00A54CB9">
        <w:rPr>
          <w:rFonts w:ascii="Times New Roman" w:hAnsi="Times New Roman"/>
          <w:i/>
          <w:iCs/>
        </w:rPr>
        <w:t xml:space="preserve">Constitution </w:t>
      </w:r>
      <w:r w:rsidRPr="00A54CB9">
        <w:rPr>
          <w:rFonts w:ascii="Times New Roman" w:hAnsi="Times New Roman"/>
        </w:rPr>
        <w:t xml:space="preserve">or s 39B(1) of the </w:t>
      </w:r>
      <w:r w:rsidRPr="00A54CB9">
        <w:rPr>
          <w:rFonts w:ascii="Times New Roman" w:hAnsi="Times New Roman"/>
          <w:i/>
          <w:iCs/>
        </w:rPr>
        <w:t>Judiciary Act</w:t>
      </w:r>
      <w:r w:rsidRPr="00A54CB9">
        <w:rPr>
          <w:rFonts w:ascii="Times New Roman" w:hAnsi="Times New Roman"/>
        </w:rPr>
        <w:t>".</w:t>
      </w:r>
      <w:r w:rsidRPr="00A54CB9">
        <w:rPr>
          <w:rStyle w:val="FootnoteReference"/>
          <w:rFonts w:ascii="Times New Roman" w:hAnsi="Times New Roman"/>
          <w:sz w:val="24"/>
        </w:rPr>
        <w:footnoteReference w:id="187"/>
      </w:r>
      <w:r w:rsidRPr="00A54CB9">
        <w:rPr>
          <w:rFonts w:ascii="Times New Roman" w:hAnsi="Times New Roman"/>
        </w:rPr>
        <w:t xml:space="preserve"> The Full Court considered it to be "unnecessary and inappropriate" to decide whether disapplication should extend further based on s 75(iii) of the </w:t>
      </w:r>
      <w:r w:rsidRPr="00A54CB9">
        <w:rPr>
          <w:rFonts w:ascii="Times New Roman" w:hAnsi="Times New Roman"/>
          <w:i/>
          <w:iCs/>
        </w:rPr>
        <w:t>Constitution</w:t>
      </w:r>
      <w:r w:rsidRPr="00A54CB9">
        <w:rPr>
          <w:rFonts w:ascii="Times New Roman" w:hAnsi="Times New Roman"/>
        </w:rPr>
        <w:t>,</w:t>
      </w:r>
      <w:r w:rsidRPr="00A54CB9">
        <w:rPr>
          <w:rFonts w:ascii="Times New Roman" w:hAnsi="Times New Roman"/>
          <w:i/>
          <w:iCs/>
        </w:rPr>
        <w:t xml:space="preserve"> </w:t>
      </w:r>
      <w:r w:rsidRPr="00A54CB9">
        <w:rPr>
          <w:rFonts w:ascii="Times New Roman" w:hAnsi="Times New Roman"/>
        </w:rPr>
        <w:t>and held that present authority did not extend to the recognition of a constitutional constraint upon Commonwealth legislation that prohibited a person from being "legally represented in [federal] jurisdiction".</w:t>
      </w:r>
      <w:r w:rsidRPr="00A54CB9">
        <w:rPr>
          <w:rStyle w:val="FootnoteReference"/>
          <w:rFonts w:ascii="Times New Roman" w:hAnsi="Times New Roman"/>
          <w:sz w:val="24"/>
        </w:rPr>
        <w:footnoteReference w:id="188"/>
      </w:r>
    </w:p>
    <w:p w14:paraId="181E4410"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Mr Deripaska has consistently submitted in this proceeding that the disapplication conceded by the Minister, reducing the circumstances in which regulations such as regs 14 and 15 could validly operate by reference to s 75(v) of the </w:t>
      </w:r>
      <w:r w:rsidRPr="00A54CB9">
        <w:rPr>
          <w:rFonts w:ascii="Times New Roman" w:hAnsi="Times New Roman"/>
          <w:i/>
          <w:iCs/>
        </w:rPr>
        <w:t>Constitution</w:t>
      </w:r>
      <w:r w:rsidRPr="00A54CB9">
        <w:rPr>
          <w:rFonts w:ascii="Times New Roman" w:hAnsi="Times New Roman"/>
        </w:rPr>
        <w:t xml:space="preserve">, is not within the scope of judicial power. In Mr Deripaska's submission, such a disapplication is judicial legislation. Further, Mr Deripaska has consistently submitted in this proceeding that a partial disapplication of the power to make regulations by reference to an objective purpose of seeking relief under s 75(v) of the </w:t>
      </w:r>
      <w:r w:rsidRPr="00A54CB9">
        <w:rPr>
          <w:rFonts w:ascii="Times New Roman" w:hAnsi="Times New Roman"/>
          <w:i/>
          <w:iCs/>
        </w:rPr>
        <w:t xml:space="preserve">Constitution </w:t>
      </w:r>
      <w:r w:rsidRPr="00A54CB9">
        <w:rPr>
          <w:rFonts w:ascii="Times New Roman" w:hAnsi="Times New Roman"/>
        </w:rPr>
        <w:t xml:space="preserve">or s 39B(1) of the </w:t>
      </w:r>
      <w:r w:rsidRPr="00A54CB9">
        <w:rPr>
          <w:rFonts w:ascii="Times New Roman" w:hAnsi="Times New Roman"/>
          <w:i/>
          <w:iCs/>
        </w:rPr>
        <w:t xml:space="preserve">Judiciary Act </w:t>
      </w:r>
      <w:r w:rsidRPr="00A54CB9">
        <w:rPr>
          <w:rFonts w:ascii="Times New Roman" w:hAnsi="Times New Roman"/>
        </w:rPr>
        <w:t xml:space="preserve">would be unworkable and would still have the practical, and invalid, effect of depriving Mr Deripaska of access to courts in many circumstances. As Mr Deripaska put the point: "[a] lawyer might initially inquire into the possibility of seeking relief under s 75(v) of the Constitution, only to conclude that such a case was not reasonably arguable. Conversely, a lawyer may initially do nothing at all in relation to s 75(v), and only </w:t>
      </w:r>
      <w:r w:rsidRPr="00A54CB9">
        <w:rPr>
          <w:rFonts w:ascii="Times New Roman" w:hAnsi="Times New Roman"/>
        </w:rPr>
        <w:lastRenderedPageBreak/>
        <w:t xml:space="preserve">much later direct attention to that jurisdiction." Further, Mr Deripaska submitted, without a permit he would be prevented even from obtaining legal representation (and presumably any associated legal services) to seek a declaration concerning the impact of the sanctions regime upon him. He would be practically precluded from seeking forms of relief that are unrelated to s 75(v) of the </w:t>
      </w:r>
      <w:r w:rsidRPr="00A54CB9">
        <w:rPr>
          <w:rFonts w:ascii="Times New Roman" w:hAnsi="Times New Roman"/>
          <w:i/>
          <w:iCs/>
        </w:rPr>
        <w:t>Constitution</w:t>
      </w:r>
      <w:r w:rsidRPr="00A54CB9">
        <w:rPr>
          <w:rFonts w:ascii="Times New Roman" w:hAnsi="Times New Roman"/>
        </w:rPr>
        <w:t>.</w:t>
      </w:r>
    </w:p>
    <w:p w14:paraId="5C25DF0B"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 xml:space="preserve">This Court should confront the issues in this case </w:t>
      </w:r>
    </w:p>
    <w:p w14:paraId="33EAA2E8"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Minister submitted that this Court should restrict its consideration of the constitutional limits to the scope of s 28 of the </w:t>
      </w:r>
      <w:r w:rsidRPr="00A54CB9">
        <w:rPr>
          <w:rFonts w:ascii="Times New Roman" w:hAnsi="Times New Roman"/>
          <w:i/>
          <w:iCs/>
        </w:rPr>
        <w:t>Autonomous Sanctions Act</w:t>
      </w:r>
      <w:r w:rsidRPr="00A54CB9">
        <w:rPr>
          <w:rFonts w:ascii="Times New Roman" w:hAnsi="Times New Roman"/>
        </w:rPr>
        <w:t xml:space="preserve"> in the same manner as the primary judge and the Full Court. In other words, it was submitted that this Court need only accept the concession that s 75(v) of the </w:t>
      </w:r>
      <w:r w:rsidRPr="00A54CB9">
        <w:rPr>
          <w:rFonts w:ascii="Times New Roman" w:hAnsi="Times New Roman"/>
          <w:i/>
          <w:iCs/>
        </w:rPr>
        <w:t xml:space="preserve">Constitution </w:t>
      </w:r>
      <w:r w:rsidRPr="00A54CB9">
        <w:rPr>
          <w:rFonts w:ascii="Times New Roman" w:hAnsi="Times New Roman"/>
        </w:rPr>
        <w:t xml:space="preserve">constrains the Commonwealth Parliament from empowering regulations that prevent or substantially impair a designated person from seeking relief under s 75(v) of the </w:t>
      </w:r>
      <w:r w:rsidRPr="00A54CB9">
        <w:rPr>
          <w:rFonts w:ascii="Times New Roman" w:hAnsi="Times New Roman"/>
          <w:i/>
          <w:iCs/>
        </w:rPr>
        <w:t>Constitution</w:t>
      </w:r>
      <w:r w:rsidRPr="00A54CB9">
        <w:rPr>
          <w:rFonts w:ascii="Times New Roman" w:hAnsi="Times New Roman"/>
        </w:rPr>
        <w:t xml:space="preserve">. Regulations 14 and 15 of the </w:t>
      </w:r>
      <w:r w:rsidRPr="00A54CB9">
        <w:rPr>
          <w:rFonts w:ascii="Times New Roman" w:hAnsi="Times New Roman"/>
          <w:i/>
          <w:iCs/>
        </w:rPr>
        <w:t xml:space="preserve">Autonomous Sanctions Regulations </w:t>
      </w:r>
      <w:r w:rsidRPr="00A54CB9">
        <w:rPr>
          <w:rFonts w:ascii="Times New Roman" w:hAnsi="Times New Roman"/>
        </w:rPr>
        <w:t xml:space="preserve">could then be disapplied to the extent that they apply in that manner beyond statutory power. It was submitted that a prudential approach should be taken by this Court so that any further invalidity of regs 14 and 15 would be left for another day. The Minister submitted that Mr Deripaska is presently within the terms of a permit and can obtain legal services pursuant to that permit. If the permit that applies to Mr Deripaska were later revoked then issues arising from that revocation could be addressed at that later time. The Minister's submission about this proposed prudential approach relied upon a view of the decision of this Court in </w:t>
      </w:r>
      <w:r w:rsidRPr="00A54CB9">
        <w:rPr>
          <w:rFonts w:ascii="Times New Roman" w:hAnsi="Times New Roman"/>
          <w:i/>
          <w:iCs/>
        </w:rPr>
        <w:t>Knight v Victoria</w:t>
      </w:r>
      <w:r w:rsidRPr="00A54CB9">
        <w:rPr>
          <w:rStyle w:val="FootnoteReference"/>
          <w:rFonts w:ascii="Times New Roman" w:hAnsi="Times New Roman"/>
          <w:sz w:val="24"/>
        </w:rPr>
        <w:footnoteReference w:id="189"/>
      </w:r>
      <w:r w:rsidRPr="00A54CB9">
        <w:rPr>
          <w:rFonts w:ascii="Times New Roman" w:hAnsi="Times New Roman"/>
        </w:rPr>
        <w:t xml:space="preserve"> which was said to support this case falling within an approach that should "ordinarily"</w:t>
      </w:r>
      <w:r w:rsidRPr="00A54CB9">
        <w:rPr>
          <w:rStyle w:val="FootnoteReference"/>
          <w:rFonts w:ascii="Times New Roman" w:hAnsi="Times New Roman"/>
          <w:sz w:val="24"/>
        </w:rPr>
        <w:footnoteReference w:id="190"/>
      </w:r>
      <w:r w:rsidRPr="00A54CB9">
        <w:rPr>
          <w:rFonts w:ascii="Times New Roman" w:hAnsi="Times New Roman"/>
        </w:rPr>
        <w:t xml:space="preserve"> be taken. </w:t>
      </w:r>
    </w:p>
    <w:p w14:paraId="4B786610" w14:textId="34F18F8F"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Different understandings have developed of the approach taken by this Court in </w:t>
      </w:r>
      <w:r w:rsidRPr="00A54CB9">
        <w:rPr>
          <w:rFonts w:ascii="Times New Roman" w:hAnsi="Times New Roman"/>
          <w:i/>
          <w:iCs/>
        </w:rPr>
        <w:t>Knight</w:t>
      </w:r>
      <w:r w:rsidRPr="00A54CB9">
        <w:rPr>
          <w:rFonts w:ascii="Times New Roman" w:hAnsi="Times New Roman"/>
        </w:rPr>
        <w:t>.</w:t>
      </w:r>
      <w:r w:rsidRPr="00A54CB9">
        <w:rPr>
          <w:rStyle w:val="FootnoteReference"/>
          <w:rFonts w:ascii="Times New Roman" w:hAnsi="Times New Roman"/>
          <w:sz w:val="24"/>
        </w:rPr>
        <w:footnoteReference w:id="191"/>
      </w:r>
      <w:r w:rsidRPr="00A54CB9">
        <w:rPr>
          <w:rFonts w:ascii="Times New Roman" w:hAnsi="Times New Roman"/>
        </w:rPr>
        <w:t xml:space="preserve"> On one view of the approach it is nothing more than an insistence that courts should not decide constitutional issues in the abstract "unless there exists a state of facts which makes it necessary to decide such a question in order to do justice in the given case and to determine the rights of the parties".</w:t>
      </w:r>
      <w:r w:rsidRPr="00A54CB9">
        <w:rPr>
          <w:rStyle w:val="FootnoteReference"/>
          <w:rFonts w:ascii="Times New Roman" w:hAnsi="Times New Roman"/>
          <w:sz w:val="24"/>
        </w:rPr>
        <w:footnoteReference w:id="192"/>
      </w:r>
      <w:r w:rsidRPr="00A54CB9">
        <w:rPr>
          <w:rFonts w:ascii="Times New Roman" w:hAnsi="Times New Roman"/>
        </w:rPr>
        <w:t xml:space="preserve"> </w:t>
      </w:r>
      <w:r w:rsidRPr="00A54CB9">
        <w:rPr>
          <w:rFonts w:ascii="Times New Roman" w:hAnsi="Times New Roman"/>
        </w:rPr>
        <w:lastRenderedPageBreak/>
        <w:t>A court should not "roam at large" over a statute.</w:t>
      </w:r>
      <w:r w:rsidRPr="00A54CB9">
        <w:rPr>
          <w:rStyle w:val="FootnoteReference"/>
          <w:rFonts w:ascii="Times New Roman" w:hAnsi="Times New Roman"/>
          <w:sz w:val="24"/>
        </w:rPr>
        <w:footnoteReference w:id="193"/>
      </w:r>
      <w:r w:rsidRPr="00A54CB9">
        <w:rPr>
          <w:rFonts w:ascii="Times New Roman" w:hAnsi="Times New Roman"/>
        </w:rPr>
        <w:t xml:space="preserve"> Of course, the state of facts might not be presently existing facts but they might arise from a present apprehension. For instance, this Court held in </w:t>
      </w:r>
      <w:r w:rsidRPr="00A54CB9">
        <w:rPr>
          <w:rFonts w:ascii="Times New Roman" w:hAnsi="Times New Roman"/>
          <w:i/>
          <w:iCs/>
        </w:rPr>
        <w:t>Croome v Tasmania</w:t>
      </w:r>
      <w:r w:rsidRPr="00A54CB9">
        <w:rPr>
          <w:rStyle w:val="FootnoteReference"/>
          <w:rFonts w:ascii="Times New Roman" w:hAnsi="Times New Roman"/>
          <w:sz w:val="24"/>
        </w:rPr>
        <w:footnoteReference w:id="194"/>
      </w:r>
      <w:r w:rsidRPr="00A54CB9">
        <w:rPr>
          <w:rFonts w:ascii="Times New Roman" w:hAnsi="Times New Roman"/>
          <w:i/>
          <w:iCs/>
        </w:rPr>
        <w:t xml:space="preserve"> </w:t>
      </w:r>
      <w:r w:rsidRPr="00A54CB9">
        <w:rPr>
          <w:rFonts w:ascii="Times New Roman" w:hAnsi="Times New Roman"/>
        </w:rPr>
        <w:t>that it was not necessary for criminal proceedings to be brought against Mr Croome and Mr</w:t>
      </w:r>
      <w:r w:rsidR="00950305">
        <w:rPr>
          <w:rFonts w:ascii="Times New Roman" w:hAnsi="Times New Roman"/>
        </w:rPr>
        <w:t> </w:t>
      </w:r>
      <w:r w:rsidRPr="00A54CB9">
        <w:rPr>
          <w:rFonts w:ascii="Times New Roman" w:hAnsi="Times New Roman"/>
        </w:rPr>
        <w:t xml:space="preserve">Toonen for this Court to have the authority to adjudicate on the constitutional validity of laws that exposed them both to the possibility of criminal proceedings in the future. There was not a hint of a suggestion by this Court that it should decline to resolve, or should avoid, the issue that would be put in dispute.   </w:t>
      </w:r>
    </w:p>
    <w:p w14:paraId="64F04E19"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There is, however, a more extreme view of this aspect of the decision in </w:t>
      </w:r>
      <w:r w:rsidRPr="00A54CB9">
        <w:rPr>
          <w:rFonts w:ascii="Times New Roman" w:hAnsi="Times New Roman"/>
          <w:i/>
          <w:iCs/>
        </w:rPr>
        <w:t>Knight</w:t>
      </w:r>
      <w:r w:rsidRPr="00A54CB9">
        <w:rPr>
          <w:rFonts w:ascii="Times New Roman" w:hAnsi="Times New Roman"/>
        </w:rPr>
        <w:t xml:space="preserve">. That more extreme view, which underlies the Minister's submission in this case, is that if a court can do so, a constitutional dispute should "ordinarily" be resolved without deciding a constitutional issue even if the issue is an important issue raised by a party whose rights are affected by it. Although I was a party to the decision in </w:t>
      </w:r>
      <w:r w:rsidRPr="00A54CB9">
        <w:rPr>
          <w:rFonts w:ascii="Times New Roman" w:hAnsi="Times New Roman"/>
          <w:i/>
          <w:iCs/>
        </w:rPr>
        <w:t>Knight</w:t>
      </w:r>
      <w:r w:rsidRPr="00A54CB9">
        <w:rPr>
          <w:rFonts w:ascii="Times New Roman" w:hAnsi="Times New Roman"/>
        </w:rPr>
        <w:t>, and although I accept that the reasoning in that case might be open to be understood in this more extreme way, I consider not merely that this more extreme view is wrong</w:t>
      </w:r>
      <w:r w:rsidRPr="00A54CB9">
        <w:rPr>
          <w:rStyle w:val="FootnoteReference"/>
          <w:rFonts w:ascii="Times New Roman" w:hAnsi="Times New Roman"/>
          <w:sz w:val="24"/>
        </w:rPr>
        <w:footnoteReference w:id="195"/>
      </w:r>
      <w:r w:rsidRPr="00A54CB9">
        <w:rPr>
          <w:rFonts w:ascii="Times New Roman" w:hAnsi="Times New Roman"/>
        </w:rPr>
        <w:t xml:space="preserve"> but that it is a view that can be inimical to the process of justice. </w:t>
      </w:r>
    </w:p>
    <w:p w14:paraId="71F11090"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As I explained in </w:t>
      </w:r>
      <w:r w:rsidRPr="00A54CB9">
        <w:rPr>
          <w:rFonts w:ascii="Times New Roman" w:hAnsi="Times New Roman"/>
          <w:i/>
          <w:iCs/>
        </w:rPr>
        <w:t>Mineralogy Pty Ltd v Western Australia</w:t>
      </w:r>
      <w:r w:rsidRPr="00A54CB9">
        <w:rPr>
          <w:rFonts w:ascii="Times New Roman" w:hAnsi="Times New Roman"/>
        </w:rPr>
        <w:t>,</w:t>
      </w:r>
      <w:r w:rsidRPr="00A54CB9">
        <w:rPr>
          <w:rStyle w:val="FootnoteReference"/>
          <w:rFonts w:ascii="Times New Roman" w:hAnsi="Times New Roman"/>
          <w:sz w:val="24"/>
        </w:rPr>
        <w:footnoteReference w:id="196"/>
      </w:r>
      <w:r w:rsidRPr="00A54CB9">
        <w:rPr>
          <w:rFonts w:ascii="Times New Roman" w:hAnsi="Times New Roman"/>
        </w:rPr>
        <w:t xml:space="preserve"> the proper approach should be to evaluate all relevant factors in deciding whether to exercise judicial restraint by declining to address an argued issue that affects the rights of a party. As Gageler J said in </w:t>
      </w:r>
      <w:r w:rsidRPr="00A54CB9">
        <w:rPr>
          <w:rFonts w:ascii="Times New Roman" w:hAnsi="Times New Roman"/>
          <w:i/>
          <w:iCs/>
        </w:rPr>
        <w:t>Private R v Cowen</w:t>
      </w:r>
      <w:r w:rsidRPr="00A54CB9">
        <w:rPr>
          <w:rFonts w:ascii="Times New Roman" w:hAnsi="Times New Roman"/>
        </w:rPr>
        <w:t>,</w:t>
      </w:r>
      <w:r w:rsidRPr="00A54CB9">
        <w:rPr>
          <w:rStyle w:val="FootnoteReference"/>
          <w:rFonts w:ascii="Times New Roman" w:hAnsi="Times New Roman"/>
          <w:sz w:val="24"/>
        </w:rPr>
        <w:footnoteReference w:id="197"/>
      </w:r>
      <w:r w:rsidRPr="00A54CB9">
        <w:rPr>
          <w:rFonts w:ascii="Times New Roman" w:hAnsi="Times New Roman"/>
        </w:rPr>
        <w:t xml:space="preserve"> prudential considerations "do not inevitably weigh in favour of a conclusion that leaving a constitutional issue unresolved is best". Indeed, they do not even ordinarily do so. If there should be any approach that is "ordinarily" taken as a result of that weighing process then it ought to be ordinary for this Court to decide a legal issue arising from the facts where the issue has been squarely raised for resolution by a party. That is what interpersonal justice should ordinarily require.</w:t>
      </w:r>
    </w:p>
    <w:p w14:paraId="48154B5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If the more extreme view of the </w:t>
      </w:r>
      <w:r w:rsidRPr="00A54CB9">
        <w:rPr>
          <w:rFonts w:ascii="Times New Roman" w:hAnsi="Times New Roman"/>
          <w:i/>
          <w:iCs/>
        </w:rPr>
        <w:t xml:space="preserve">Knight </w:t>
      </w:r>
      <w:r w:rsidRPr="00A54CB9">
        <w:rPr>
          <w:rFonts w:ascii="Times New Roman" w:hAnsi="Times New Roman"/>
        </w:rPr>
        <w:t xml:space="preserve">approach were applied to Mr Croome and Mr Toonen then they would have had to wait at least until criminal proceedings had been brought against them, and possibly until they were convicted, before this Court would exercise the discretion to make a declaration as </w:t>
      </w:r>
      <w:r w:rsidRPr="00A54CB9">
        <w:rPr>
          <w:rFonts w:ascii="Times New Roman" w:hAnsi="Times New Roman"/>
        </w:rPr>
        <w:lastRenderedPageBreak/>
        <w:t xml:space="preserve">to the validity of the criminal laws under which they were charged. For this Court to adopt an approach that would make litigants live under such a sword is injustice enough. But this case is worse. </w:t>
      </w:r>
    </w:p>
    <w:p w14:paraId="73F8192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Suppose the permit that applies to Mr Deripaska were revoked and he needed to obtain legal services regarding a matter before a court which was unrelated to issues concerning s 75(v) of the </w:t>
      </w:r>
      <w:r w:rsidRPr="00A54CB9">
        <w:rPr>
          <w:rFonts w:ascii="Times New Roman" w:hAnsi="Times New Roman"/>
          <w:i/>
          <w:iCs/>
        </w:rPr>
        <w:t xml:space="preserve">Constitution </w:t>
      </w:r>
      <w:r w:rsidRPr="00A54CB9">
        <w:rPr>
          <w:rFonts w:ascii="Times New Roman" w:hAnsi="Times New Roman"/>
        </w:rPr>
        <w:t xml:space="preserve">or s 39B(1) of the </w:t>
      </w:r>
      <w:r w:rsidRPr="00A54CB9">
        <w:rPr>
          <w:rFonts w:ascii="Times New Roman" w:hAnsi="Times New Roman"/>
          <w:i/>
          <w:iCs/>
        </w:rPr>
        <w:t>Judiciary Act</w:t>
      </w:r>
      <w:r w:rsidRPr="00A54CB9">
        <w:rPr>
          <w:rFonts w:ascii="Times New Roman" w:hAnsi="Times New Roman"/>
        </w:rPr>
        <w:t xml:space="preserve">. In that circumstance, if this Court were to apply the more extreme view of the approach in </w:t>
      </w:r>
      <w:r w:rsidRPr="00A54CB9">
        <w:rPr>
          <w:rFonts w:ascii="Times New Roman" w:hAnsi="Times New Roman"/>
          <w:i/>
          <w:iCs/>
        </w:rPr>
        <w:t>Knight</w:t>
      </w:r>
      <w:r w:rsidRPr="00A54CB9">
        <w:rPr>
          <w:rFonts w:ascii="Times New Roman" w:hAnsi="Times New Roman"/>
        </w:rPr>
        <w:t xml:space="preserve"> then it would be practically impossible for Mr Deripaska to obtain legal services with respect to that issue without artificially creating an issue under s 75(v) or s 39B(1) in order to litigate his real dispute. Mr Deripaska could not even obtain legal advice about whether he was entitled to obtain such legal advice on that issue. And even if an issue concerning s 75(v) or s 39B(1) could be manufactured, how would Mr Deripaska be able to manufacture that issue without legal advice? Mr Deripaska could therefore be precluded from raising in the future one of the very issues which he raises in anticipation in this proceeding. The chilling effect of regs 14 and 15 could freeze Mr Deripaska from access to a court. This Court should perform its role by adjudicating upon Mr Deripaska's submission of partial disapplication to the full extent to which that submission was made.       </w:t>
      </w:r>
    </w:p>
    <w:p w14:paraId="0FE9D120" w14:textId="77777777" w:rsidR="00DE281D" w:rsidRPr="00A54CB9" w:rsidRDefault="00DE281D" w:rsidP="00A54CB9">
      <w:pPr>
        <w:pStyle w:val="HeadingL1"/>
        <w:spacing w:after="260" w:line="280" w:lineRule="exact"/>
        <w:ind w:right="0"/>
        <w:jc w:val="both"/>
        <w:rPr>
          <w:rFonts w:ascii="Times New Roman" w:hAnsi="Times New Roman"/>
        </w:rPr>
      </w:pPr>
      <w:r w:rsidRPr="00A54CB9">
        <w:rPr>
          <w:rFonts w:ascii="Times New Roman" w:hAnsi="Times New Roman"/>
        </w:rPr>
        <w:t>The technique of partial disapplication</w:t>
      </w:r>
    </w:p>
    <w:p w14:paraId="18087818"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The proper starting point</w:t>
      </w:r>
    </w:p>
    <w:p w14:paraId="17F3DE6E"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Over a period of forty years, members of this Court have repeated on many occasions that where a constitutional challenge is brought to the scope of the application of regulations made by the Executive, the proper starting point is usually the constitutional scope of the earlier, empowering legislation: if the executive regulations exceed that valid legislative scope, then they will be ultra vires the earlier empowering legislation and no enquiry as to the operation of the </w:t>
      </w:r>
      <w:r w:rsidRPr="00A54CB9">
        <w:rPr>
          <w:rFonts w:ascii="Times New Roman" w:hAnsi="Times New Roman"/>
          <w:i/>
          <w:iCs/>
        </w:rPr>
        <w:t xml:space="preserve">Constitution </w:t>
      </w:r>
      <w:r w:rsidRPr="00A54CB9">
        <w:rPr>
          <w:rFonts w:ascii="Times New Roman" w:hAnsi="Times New Roman"/>
        </w:rPr>
        <w:t>upon the later executive regulations would be necessary.</w:t>
      </w:r>
      <w:r w:rsidRPr="00A54CB9">
        <w:rPr>
          <w:rStyle w:val="FootnoteReference"/>
          <w:rFonts w:ascii="Times New Roman" w:hAnsi="Times New Roman"/>
          <w:sz w:val="24"/>
        </w:rPr>
        <w:footnoteReference w:id="198"/>
      </w:r>
      <w:r w:rsidRPr="00A54CB9">
        <w:rPr>
          <w:rFonts w:ascii="Times New Roman" w:hAnsi="Times New Roman"/>
        </w:rPr>
        <w:t xml:space="preserve"> It is only necessary to consider the direct operation of the </w:t>
      </w:r>
      <w:r w:rsidRPr="00A54CB9">
        <w:rPr>
          <w:rFonts w:ascii="Times New Roman" w:hAnsi="Times New Roman"/>
          <w:i/>
          <w:iCs/>
        </w:rPr>
        <w:t xml:space="preserve">Constitution </w:t>
      </w:r>
      <w:r w:rsidRPr="00A54CB9">
        <w:rPr>
          <w:rFonts w:ascii="Times New Roman" w:hAnsi="Times New Roman"/>
        </w:rPr>
        <w:t xml:space="preserve">upon executive regulations if, for reasons of principle or timing, there was said to be a </w:t>
      </w:r>
      <w:r w:rsidRPr="00A54CB9">
        <w:rPr>
          <w:rFonts w:ascii="Times New Roman" w:hAnsi="Times New Roman"/>
        </w:rPr>
        <w:lastRenderedPageBreak/>
        <w:t>constitutional constraint upon executive power that went beyond the constitutional constraint on legislative power. No such suggestion was made in this case.</w:t>
      </w:r>
    </w:p>
    <w:p w14:paraId="01A8CDCC"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Once the relevant constitutional limits of a regulation-making power are identified, a further issue can arise, as it does in this case, if executive regulations, properly interpreted, have an application that extends beyond the scope of the regulation-making power. The further issue is whether the executive regulations can be partially disapplied, excluding their application only in the respect to which they exceed the regulation-making power, so that they are ultra vires only in that application.   </w:t>
      </w:r>
    </w:p>
    <w:p w14:paraId="43EBC88D"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Partial disapplication and jargonic mess</w:t>
      </w:r>
    </w:p>
    <w:p w14:paraId="4779A0F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For centuries, many of the greatest thinkers and writers in linguistics, philosophy, and law have recognised a very basic distinction between the meaning of words and the application of that meaning. The distinction has sometimes been expressed in different language intended to convey a similar contrast: connotation and denotation; sense and reference; semantics and pragmatics; and meaning and extension.</w:t>
      </w:r>
      <w:r w:rsidRPr="00A54CB9">
        <w:rPr>
          <w:rStyle w:val="FootnoteReference"/>
          <w:rFonts w:ascii="Times New Roman" w:hAnsi="Times New Roman"/>
          <w:sz w:val="24"/>
        </w:rPr>
        <w:footnoteReference w:id="199"/>
      </w:r>
      <w:r w:rsidRPr="00A54CB9">
        <w:rPr>
          <w:rFonts w:ascii="Times New Roman" w:hAnsi="Times New Roman"/>
        </w:rPr>
        <w:t xml:space="preserve"> Fried once described those who deny the distinction between meaning and application as "the enemies of meaning and, therefore, the enemies of the very conditions of human creativity".</w:t>
      </w:r>
      <w:r w:rsidRPr="00A54CB9">
        <w:rPr>
          <w:rStyle w:val="FootnoteReference"/>
          <w:rFonts w:ascii="Times New Roman" w:hAnsi="Times New Roman"/>
          <w:sz w:val="24"/>
        </w:rPr>
        <w:footnoteReference w:id="200"/>
      </w:r>
      <w:r w:rsidRPr="00A54CB9">
        <w:rPr>
          <w:rFonts w:ascii="Times New Roman" w:hAnsi="Times New Roman"/>
        </w:rPr>
        <w:t xml:space="preserve"> The distinction should be as obvious as it is fundamental. Even without a close study of linguistics or the repeated exhortations by generations of the finest minds, a young child can comprehend that a sign which says "Caution: Shark infested waters" might </w:t>
      </w:r>
      <w:r w:rsidRPr="00A54CB9">
        <w:rPr>
          <w:rFonts w:ascii="Times New Roman" w:hAnsi="Times New Roman"/>
          <w:i/>
          <w:iCs/>
        </w:rPr>
        <w:t>mean</w:t>
      </w:r>
      <w:r w:rsidRPr="00A54CB9">
        <w:rPr>
          <w:rFonts w:ascii="Times New Roman" w:hAnsi="Times New Roman"/>
        </w:rPr>
        <w:t xml:space="preserve"> that there are many sharks in that body of water but should be </w:t>
      </w:r>
      <w:r w:rsidRPr="00A54CB9">
        <w:rPr>
          <w:rFonts w:ascii="Times New Roman" w:hAnsi="Times New Roman"/>
          <w:i/>
          <w:iCs/>
        </w:rPr>
        <w:t>applied</w:t>
      </w:r>
      <w:r w:rsidRPr="00A54CB9">
        <w:rPr>
          <w:rFonts w:ascii="Times New Roman" w:hAnsi="Times New Roman"/>
        </w:rPr>
        <w:t xml:space="preserve"> by abstaining from swimming in those waters. </w:t>
      </w:r>
    </w:p>
    <w:p w14:paraId="2020FD92"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As is the case for ordinary language, comprehensible even to the child who decides not to swim where there are sharks, so too it is the case for the language of the law. In a passage from </w:t>
      </w:r>
      <w:r w:rsidRPr="00A54CB9">
        <w:rPr>
          <w:rFonts w:ascii="Times New Roman" w:hAnsi="Times New Roman"/>
          <w:i/>
          <w:iCs/>
        </w:rPr>
        <w:t>R v G</w:t>
      </w:r>
      <w:r w:rsidRPr="00A54CB9">
        <w:rPr>
          <w:rFonts w:ascii="Times New Roman" w:hAnsi="Times New Roman"/>
        </w:rPr>
        <w:t>,</w:t>
      </w:r>
      <w:r w:rsidRPr="00A54CB9">
        <w:rPr>
          <w:rStyle w:val="FootnoteReference"/>
          <w:rFonts w:ascii="Times New Roman" w:hAnsi="Times New Roman"/>
          <w:sz w:val="24"/>
        </w:rPr>
        <w:footnoteReference w:id="201"/>
      </w:r>
      <w:r w:rsidRPr="00A54CB9">
        <w:rPr>
          <w:rFonts w:ascii="Times New Roman" w:hAnsi="Times New Roman"/>
        </w:rPr>
        <w:t xml:space="preserve"> the effect of which has been repeatedly </w:t>
      </w:r>
      <w:r w:rsidRPr="00A54CB9">
        <w:rPr>
          <w:rFonts w:ascii="Times New Roman" w:hAnsi="Times New Roman"/>
        </w:rPr>
        <w:lastRenderedPageBreak/>
        <w:t>endorsed in this Court,</w:t>
      </w:r>
      <w:r w:rsidRPr="00A54CB9">
        <w:rPr>
          <w:rStyle w:val="FootnoteReference"/>
          <w:rFonts w:ascii="Times New Roman" w:hAnsi="Times New Roman"/>
          <w:sz w:val="24"/>
        </w:rPr>
        <w:footnoteReference w:id="202"/>
      </w:r>
      <w:r w:rsidRPr="00A54CB9">
        <w:rPr>
          <w:rFonts w:ascii="Times New Roman" w:hAnsi="Times New Roman"/>
        </w:rPr>
        <w:t xml:space="preserve"> Lord Bingham of Cornhill remarked that the "application of a statutory expression may change over time, but the meaning of the expression itself [at the right level of generality</w:t>
      </w:r>
      <w:r w:rsidRPr="00A54CB9">
        <w:rPr>
          <w:rStyle w:val="FootnoteReference"/>
          <w:rFonts w:ascii="Times New Roman" w:hAnsi="Times New Roman"/>
          <w:sz w:val="24"/>
        </w:rPr>
        <w:footnoteReference w:id="203"/>
      </w:r>
      <w:r w:rsidRPr="00A54CB9">
        <w:rPr>
          <w:rFonts w:ascii="Times New Roman" w:hAnsi="Times New Roman"/>
        </w:rPr>
        <w:t xml:space="preserve">] cannot change". As Bell and Gageler JJ said (not in dissent on this point) in </w:t>
      </w:r>
      <w:r w:rsidRPr="00A54CB9">
        <w:rPr>
          <w:rFonts w:ascii="Times New Roman" w:hAnsi="Times New Roman"/>
          <w:i/>
          <w:iCs/>
        </w:rPr>
        <w:t>R v A2</w:t>
      </w:r>
      <w:r w:rsidRPr="00A54CB9">
        <w:rPr>
          <w:rFonts w:ascii="Times New Roman" w:hAnsi="Times New Roman"/>
        </w:rPr>
        <w:t>,</w:t>
      </w:r>
      <w:r w:rsidRPr="00A54CB9">
        <w:rPr>
          <w:rStyle w:val="FootnoteReference"/>
          <w:rFonts w:ascii="Times New Roman" w:hAnsi="Times New Roman"/>
          <w:sz w:val="24"/>
        </w:rPr>
        <w:footnoteReference w:id="204"/>
      </w:r>
      <w:r w:rsidRPr="00A54CB9">
        <w:rPr>
          <w:rFonts w:ascii="Times New Roman" w:hAnsi="Times New Roman"/>
        </w:rPr>
        <w:t xml:space="preserve"> after quoting Lord Bingham's distinction between meaning and application, "the starting point is what the Parliament meant by its use of the words". Once the meaning of legislative words is determined then the court turns to the application of those words to the facts and circumstances before it. </w:t>
      </w:r>
    </w:p>
    <w:p w14:paraId="2CAC9BB6"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A failure to appreciate the difference between the meaning of a law and the application of that meaning to facts and circumstances will inevitably lead to a failure to appreciate a difference between the techniques used to fulfil the command in s 15A of the </w:t>
      </w:r>
      <w:r w:rsidRPr="00A54CB9">
        <w:rPr>
          <w:rFonts w:ascii="Times New Roman" w:hAnsi="Times New Roman"/>
          <w:i/>
          <w:iCs/>
        </w:rPr>
        <w:t xml:space="preserve">Acts Interpretation Act 1901 </w:t>
      </w:r>
      <w:r w:rsidRPr="00A54CB9">
        <w:rPr>
          <w:rFonts w:ascii="Times New Roman" w:hAnsi="Times New Roman"/>
        </w:rPr>
        <w:t>(Cth), that:</w:t>
      </w:r>
    </w:p>
    <w:p w14:paraId="74DE6E81" w14:textId="77777777" w:rsidR="00DE281D" w:rsidRDefault="00DE281D" w:rsidP="00A54CB9">
      <w:pPr>
        <w:pStyle w:val="LeftrightafterHC"/>
        <w:spacing w:before="0" w:after="260" w:line="280" w:lineRule="exact"/>
        <w:ind w:right="0"/>
        <w:jc w:val="both"/>
        <w:rPr>
          <w:rFonts w:ascii="Times New Roman" w:hAnsi="Times New Roman"/>
        </w:rPr>
      </w:pPr>
      <w:r w:rsidRPr="00A54CB9">
        <w:rPr>
          <w:rFonts w:ascii="Times New Roman" w:hAnsi="Times New Roman"/>
        </w:rPr>
        <w:t xml:space="preserve">"[e]very Act shall be read and construed subject to the Constitution, and so as not to exceed the legislative power of the Commonwealth, to the intent that where any enactment thereof would, but for this section, have been construed as being in excess of that power, it shall nevertheless be a valid enactment to the extent to which it is not in excess of that power". </w:t>
      </w:r>
    </w:p>
    <w:p w14:paraId="14423F74" w14:textId="77777777" w:rsidR="00DE281D" w:rsidRPr="00A54CB9" w:rsidRDefault="00DE281D" w:rsidP="00A54CB9">
      <w:pPr>
        <w:pStyle w:val="NormalBody"/>
        <w:spacing w:after="260" w:line="280" w:lineRule="exact"/>
        <w:ind w:right="0"/>
        <w:jc w:val="both"/>
        <w:rPr>
          <w:rFonts w:ascii="Times New Roman" w:hAnsi="Times New Roman"/>
        </w:rPr>
      </w:pPr>
      <w:r w:rsidRPr="00A54CB9">
        <w:rPr>
          <w:rFonts w:ascii="Times New Roman" w:hAnsi="Times New Roman"/>
        </w:rPr>
        <w:t xml:space="preserve">The command in s 15A is applied to executive regulations by s 13(1)(a) of the </w:t>
      </w:r>
      <w:r w:rsidRPr="00A54CB9">
        <w:rPr>
          <w:rFonts w:ascii="Times New Roman" w:hAnsi="Times New Roman"/>
          <w:i/>
          <w:iCs/>
        </w:rPr>
        <w:t xml:space="preserve">Legislation Act 2003 </w:t>
      </w:r>
      <w:r w:rsidRPr="00A54CB9">
        <w:rPr>
          <w:rFonts w:ascii="Times New Roman" w:hAnsi="Times New Roman"/>
        </w:rPr>
        <w:t xml:space="preserve">(Cth). By the operation of s 13(1)(a), the same techniques that can save legislative provisions from being entirely constitutionally invalid can also save executive regulations from being entirely ultra vires. </w:t>
      </w:r>
    </w:p>
    <w:p w14:paraId="4C8910E5"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expression "read and construed" in s 15A, like the equivalent Tasmanian provision, which uses the same expression</w:t>
      </w:r>
      <w:r w:rsidRPr="00A54CB9">
        <w:rPr>
          <w:rStyle w:val="FootnoteReference"/>
          <w:rFonts w:ascii="Times New Roman" w:hAnsi="Times New Roman"/>
          <w:sz w:val="24"/>
        </w:rPr>
        <w:footnoteReference w:id="205"/>
      </w:r>
      <w:r w:rsidRPr="00A54CB9">
        <w:rPr>
          <w:rFonts w:ascii="Times New Roman" w:hAnsi="Times New Roman"/>
        </w:rPr>
        <w:t xml:space="preserve"> interchangeably with "interpretation and construction",</w:t>
      </w:r>
      <w:r w:rsidRPr="00A54CB9">
        <w:rPr>
          <w:rStyle w:val="FootnoteReference"/>
          <w:rFonts w:ascii="Times New Roman" w:hAnsi="Times New Roman"/>
          <w:sz w:val="24"/>
        </w:rPr>
        <w:footnoteReference w:id="206"/>
      </w:r>
      <w:r w:rsidRPr="00A54CB9">
        <w:rPr>
          <w:rFonts w:ascii="Times New Roman" w:hAnsi="Times New Roman"/>
        </w:rPr>
        <w:t xml:space="preserve"> was originally concerned with the basic distinction between meaning and application. In the mid-nineteenth century, Lieber had drawn a distinction between "interpretation" as "the art of finding out </w:t>
      </w:r>
      <w:r w:rsidRPr="00A54CB9">
        <w:rPr>
          <w:rFonts w:ascii="Times New Roman" w:hAnsi="Times New Roman"/>
        </w:rPr>
        <w:lastRenderedPageBreak/>
        <w:t>the true sense of any form of words" and "construction" as "the drawing of conclusions respecting subjects".</w:t>
      </w:r>
      <w:r w:rsidRPr="00A54CB9">
        <w:rPr>
          <w:rStyle w:val="FootnoteReference"/>
          <w:rFonts w:ascii="Times New Roman" w:hAnsi="Times New Roman"/>
          <w:sz w:val="24"/>
        </w:rPr>
        <w:footnoteReference w:id="207"/>
      </w:r>
      <w:r w:rsidRPr="00A54CB9">
        <w:rPr>
          <w:rFonts w:ascii="Times New Roman" w:hAnsi="Times New Roman"/>
        </w:rPr>
        <w:t xml:space="preserve"> As Black explained in relation to written laws,</w:t>
      </w:r>
      <w:r w:rsidRPr="00A54CB9">
        <w:rPr>
          <w:rStyle w:val="FootnoteReference"/>
          <w:rFonts w:ascii="Times New Roman" w:hAnsi="Times New Roman"/>
          <w:sz w:val="24"/>
        </w:rPr>
        <w:footnoteReference w:id="208"/>
      </w:r>
      <w:r w:rsidRPr="00A54CB9">
        <w:rPr>
          <w:rFonts w:ascii="Times New Roman" w:hAnsi="Times New Roman"/>
        </w:rPr>
        <w:t xml:space="preserve"> "[i]nterpretation ... is the art or process of discovering and expounding the intended signification of the language used" while "[c]onstruction ... is the art or process of ... expounding [that] meaning ... with respect to its application to a given case". Whether the language used was "interpret and construe", "read and construe", or some other related expression, as Lindley LJ observed in </w:t>
      </w:r>
      <w:r w:rsidRPr="00A54CB9">
        <w:rPr>
          <w:rFonts w:ascii="Times New Roman" w:hAnsi="Times New Roman"/>
          <w:i/>
          <w:iCs/>
        </w:rPr>
        <w:t>Chatenay v Brazilian Submarine Telegraph Co</w:t>
      </w:r>
      <w:r w:rsidRPr="00A54CB9">
        <w:rPr>
          <w:rFonts w:ascii="Times New Roman" w:hAnsi="Times New Roman"/>
        </w:rPr>
        <w:t>,</w:t>
      </w:r>
      <w:r w:rsidRPr="00A54CB9">
        <w:rPr>
          <w:rStyle w:val="FootnoteReference"/>
          <w:rFonts w:ascii="Times New Roman" w:hAnsi="Times New Roman"/>
          <w:sz w:val="24"/>
        </w:rPr>
        <w:footnoteReference w:id="209"/>
      </w:r>
      <w:r w:rsidRPr="00A54CB9">
        <w:rPr>
          <w:rFonts w:ascii="Times New Roman" w:hAnsi="Times New Roman"/>
        </w:rPr>
        <w:t xml:space="preserve"> there were two different concepts involved: "first, the meaning of the words; and, secondly, their legal effect, or the effect which is to be given to them". As Isaacs J noted in 1925, the distinction was one between the "meaning of the words" (which he called "interpretation") and "[t]heir effect" (or application, which he called "construction").</w:t>
      </w:r>
      <w:r w:rsidRPr="00A54CB9">
        <w:rPr>
          <w:rStyle w:val="FootnoteReference"/>
          <w:rFonts w:ascii="Times New Roman" w:hAnsi="Times New Roman"/>
          <w:sz w:val="24"/>
        </w:rPr>
        <w:footnoteReference w:id="210"/>
      </w:r>
    </w:p>
    <w:p w14:paraId="4159ED2B"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two concepts were deployed as early as 1815</w:t>
      </w:r>
      <w:r w:rsidRPr="00A54CB9">
        <w:rPr>
          <w:rStyle w:val="FootnoteReference"/>
          <w:rFonts w:ascii="Times New Roman" w:hAnsi="Times New Roman"/>
          <w:sz w:val="24"/>
        </w:rPr>
        <w:footnoteReference w:id="211"/>
      </w:r>
      <w:r w:rsidRPr="00A54CB9">
        <w:rPr>
          <w:rFonts w:ascii="Times New Roman" w:hAnsi="Times New Roman"/>
        </w:rPr>
        <w:t xml:space="preserve"> in the antique expression "read and construed", which was grandiloquent gobbledegook to describe the process of interpreting and applying different legislation as though it were a single Act.</w:t>
      </w:r>
      <w:r w:rsidRPr="00A54CB9">
        <w:rPr>
          <w:rStyle w:val="FootnoteReference"/>
          <w:rFonts w:ascii="Times New Roman" w:hAnsi="Times New Roman"/>
          <w:sz w:val="24"/>
        </w:rPr>
        <w:footnoteReference w:id="212"/>
      </w:r>
      <w:r w:rsidRPr="00A54CB9">
        <w:rPr>
          <w:rFonts w:ascii="Times New Roman" w:hAnsi="Times New Roman"/>
        </w:rPr>
        <w:t xml:space="preserve"> That unfortunate expression was then adopted in s 2(2) of the </w:t>
      </w:r>
      <w:r w:rsidRPr="00A54CB9">
        <w:rPr>
          <w:rFonts w:ascii="Times New Roman" w:hAnsi="Times New Roman"/>
          <w:i/>
          <w:iCs/>
        </w:rPr>
        <w:t xml:space="preserve">Navigation Act 1912 </w:t>
      </w:r>
      <w:r w:rsidRPr="00A54CB9">
        <w:rPr>
          <w:rFonts w:ascii="Times New Roman" w:hAnsi="Times New Roman"/>
        </w:rPr>
        <w:t xml:space="preserve">(Cth), from which s 15A of the </w:t>
      </w:r>
      <w:r w:rsidRPr="00A54CB9">
        <w:rPr>
          <w:rFonts w:ascii="Times New Roman" w:hAnsi="Times New Roman"/>
          <w:i/>
          <w:iCs/>
        </w:rPr>
        <w:t xml:space="preserve">Acts Interpretation Act </w:t>
      </w:r>
      <w:r w:rsidRPr="00A54CB9">
        <w:rPr>
          <w:rFonts w:ascii="Times New Roman" w:hAnsi="Times New Roman"/>
        </w:rPr>
        <w:t>was modelled,</w:t>
      </w:r>
      <w:r w:rsidRPr="00A54CB9">
        <w:rPr>
          <w:rStyle w:val="FootnoteReference"/>
          <w:rFonts w:ascii="Times New Roman" w:hAnsi="Times New Roman"/>
          <w:sz w:val="24"/>
        </w:rPr>
        <w:footnoteReference w:id="213"/>
      </w:r>
      <w:r w:rsidRPr="00A54CB9">
        <w:rPr>
          <w:rFonts w:ascii="Times New Roman" w:hAnsi="Times New Roman"/>
        </w:rPr>
        <w:t xml:space="preserve"> to mandate, where possible, the interpretation and application of an invalid part of a law separately from the valid part.  </w:t>
      </w:r>
    </w:p>
    <w:p w14:paraId="31EC6B81"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separate techniques of ensuring the validity of legislation or regulations—by (i) interpretation (ascertainment of meaning) and (ii) application of meaning—became further confused by the jargonic mess introduced by the use of the phrase "reading down" to describe both techniques. The phrase "reading down" appears to have been coined, at least in Australia, by Isaacs J</w:t>
      </w:r>
      <w:r w:rsidRPr="00A54CB9">
        <w:rPr>
          <w:rStyle w:val="FootnoteReference"/>
          <w:rFonts w:ascii="Times New Roman" w:hAnsi="Times New Roman"/>
          <w:sz w:val="24"/>
        </w:rPr>
        <w:footnoteReference w:id="214"/>
      </w:r>
      <w:r w:rsidRPr="00A54CB9">
        <w:rPr>
          <w:rFonts w:ascii="Times New Roman" w:hAnsi="Times New Roman"/>
        </w:rPr>
        <w:t xml:space="preserve"> at a time </w:t>
      </w:r>
      <w:r w:rsidRPr="00A54CB9">
        <w:rPr>
          <w:rFonts w:ascii="Times New Roman" w:hAnsi="Times New Roman"/>
        </w:rPr>
        <w:lastRenderedPageBreak/>
        <w:t xml:space="preserve">when the common law techniques of saving legislation were only interpretative: the validity of legislation could be preserved only by choice of a valid meaning, not by reducing the scope of its application. A court would prefer a meaning that ensured constitutional validity, in the words of Isaacs J, by the application "with more than ordinary anxiety [of] the maxim </w:t>
      </w:r>
      <w:r w:rsidRPr="00A54CB9">
        <w:rPr>
          <w:rFonts w:ascii="Times New Roman" w:hAnsi="Times New Roman"/>
          <w:i/>
          <w:iCs/>
        </w:rPr>
        <w:t>Ut res magis valeat quam pereat</w:t>
      </w:r>
      <w:r w:rsidRPr="00A54CB9">
        <w:rPr>
          <w:rFonts w:ascii="Times New Roman" w:hAnsi="Times New Roman"/>
        </w:rPr>
        <w:t>".</w:t>
      </w:r>
      <w:r w:rsidRPr="00A54CB9">
        <w:rPr>
          <w:rStyle w:val="FootnoteReference"/>
          <w:rFonts w:ascii="Times New Roman" w:hAnsi="Times New Roman"/>
          <w:sz w:val="24"/>
        </w:rPr>
        <w:footnoteReference w:id="215"/>
      </w:r>
      <w:r w:rsidRPr="00A54CB9">
        <w:rPr>
          <w:rFonts w:ascii="Times New Roman" w:hAnsi="Times New Roman"/>
        </w:rPr>
        <w:t xml:space="preserve"> </w:t>
      </w:r>
    </w:p>
    <w:p w14:paraId="55E50862"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use by Isaacs J of the expression "reading down" to describe this process of conforming interpretation was little better than the expression "writing down", which had been described as a "meaningless" label.</w:t>
      </w:r>
      <w:r w:rsidRPr="00A54CB9">
        <w:rPr>
          <w:rStyle w:val="FootnoteReference"/>
          <w:rFonts w:ascii="Times New Roman" w:hAnsi="Times New Roman"/>
          <w:sz w:val="24"/>
        </w:rPr>
        <w:footnoteReference w:id="216"/>
      </w:r>
      <w:r w:rsidRPr="00A54CB9">
        <w:rPr>
          <w:rFonts w:ascii="Times New Roman" w:hAnsi="Times New Roman"/>
        </w:rPr>
        <w:t xml:space="preserve"> But at least "reading down" was understood to refer to the technique of conforming interpretation. And it was understood that this technique would not always be sufficient to avoid invalidity. For instance, in </w:t>
      </w:r>
      <w:r w:rsidRPr="00A54CB9">
        <w:rPr>
          <w:rFonts w:ascii="Times New Roman" w:hAnsi="Times New Roman"/>
          <w:i/>
          <w:iCs/>
        </w:rPr>
        <w:t>Owners of SS Kalibia v Wilson</w:t>
      </w:r>
      <w:r w:rsidRPr="00A54CB9">
        <w:rPr>
          <w:rFonts w:ascii="Times New Roman" w:hAnsi="Times New Roman"/>
        </w:rPr>
        <w:t>,</w:t>
      </w:r>
      <w:r w:rsidRPr="00A54CB9">
        <w:rPr>
          <w:rStyle w:val="FootnoteReference"/>
          <w:rFonts w:ascii="Times New Roman" w:hAnsi="Times New Roman"/>
          <w:sz w:val="24"/>
        </w:rPr>
        <w:footnoteReference w:id="217"/>
      </w:r>
      <w:r w:rsidRPr="00A54CB9">
        <w:rPr>
          <w:rFonts w:ascii="Times New Roman" w:hAnsi="Times New Roman"/>
        </w:rPr>
        <w:t xml:space="preserve"> Isaacs J (in the majority) had held that the expression "coasting trade" was a single expression which could not be divided by interpretation between interstate trade (valid) and intrastate trade (invalid). As a technique of </w:t>
      </w:r>
      <w:r w:rsidRPr="00A54CB9">
        <w:rPr>
          <w:rFonts w:ascii="Times New Roman" w:hAnsi="Times New Roman"/>
          <w:i/>
          <w:iCs/>
        </w:rPr>
        <w:t>interpretation</w:t>
      </w:r>
      <w:r w:rsidRPr="00A54CB9">
        <w:rPr>
          <w:rFonts w:ascii="Times New Roman" w:hAnsi="Times New Roman"/>
        </w:rPr>
        <w:t>, Isaacs J said,</w:t>
      </w:r>
      <w:r w:rsidRPr="00A54CB9">
        <w:rPr>
          <w:rFonts w:ascii="Times New Roman" w:hAnsi="Times New Roman"/>
          <w:i/>
          <w:iCs/>
        </w:rPr>
        <w:t xml:space="preserve"> </w:t>
      </w:r>
      <w:r w:rsidRPr="00A54CB9">
        <w:rPr>
          <w:rFonts w:ascii="Times New Roman" w:hAnsi="Times New Roman"/>
        </w:rPr>
        <w:t>this would "exceed[] our functions as interpreters of the law".</w:t>
      </w:r>
      <w:r w:rsidRPr="00A54CB9">
        <w:rPr>
          <w:rStyle w:val="FootnoteReference"/>
          <w:rFonts w:ascii="Times New Roman" w:hAnsi="Times New Roman"/>
          <w:sz w:val="24"/>
        </w:rPr>
        <w:footnoteReference w:id="218"/>
      </w:r>
      <w:r w:rsidRPr="00A54CB9">
        <w:rPr>
          <w:rFonts w:ascii="Times New Roman" w:hAnsi="Times New Roman"/>
        </w:rPr>
        <w:t xml:space="preserve"> It was in response to that decision that s 2(2) of the </w:t>
      </w:r>
      <w:r w:rsidRPr="00A54CB9">
        <w:rPr>
          <w:rFonts w:ascii="Times New Roman" w:hAnsi="Times New Roman"/>
          <w:i/>
          <w:iCs/>
        </w:rPr>
        <w:t xml:space="preserve">Navigation Act </w:t>
      </w:r>
      <w:r w:rsidRPr="00A54CB9">
        <w:rPr>
          <w:rFonts w:ascii="Times New Roman" w:hAnsi="Times New Roman"/>
        </w:rPr>
        <w:t>was introduced.</w:t>
      </w:r>
      <w:r w:rsidRPr="00A54CB9">
        <w:rPr>
          <w:rStyle w:val="FootnoteReference"/>
          <w:rFonts w:ascii="Times New Roman" w:hAnsi="Times New Roman"/>
          <w:sz w:val="24"/>
        </w:rPr>
        <w:footnoteReference w:id="219"/>
      </w:r>
      <w:r w:rsidRPr="00A54CB9">
        <w:rPr>
          <w:rFonts w:ascii="Times New Roman" w:hAnsi="Times New Roman"/>
        </w:rPr>
        <w:t xml:space="preserve"> </w:t>
      </w:r>
    </w:p>
    <w:p w14:paraId="4E7F6D3E"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In respect of their inclusion of the technique of conforming interpretation (the unfortunate "reading down"), s 2(2) of the </w:t>
      </w:r>
      <w:r w:rsidRPr="00A54CB9">
        <w:rPr>
          <w:rFonts w:ascii="Times New Roman" w:hAnsi="Times New Roman"/>
          <w:i/>
          <w:iCs/>
        </w:rPr>
        <w:t>Navigation Act</w:t>
      </w:r>
      <w:r w:rsidRPr="00A54CB9">
        <w:rPr>
          <w:rFonts w:ascii="Times New Roman" w:hAnsi="Times New Roman"/>
        </w:rPr>
        <w:t xml:space="preserve">—and, following s 2(2), s 15A of the </w:t>
      </w:r>
      <w:r w:rsidRPr="00A54CB9">
        <w:rPr>
          <w:rFonts w:ascii="Times New Roman" w:hAnsi="Times New Roman"/>
          <w:i/>
          <w:iCs/>
        </w:rPr>
        <w:t>Acts Interpretation Act</w:t>
      </w:r>
      <w:r w:rsidRPr="00A54CB9">
        <w:rPr>
          <w:rFonts w:ascii="Times New Roman" w:hAnsi="Times New Roman"/>
        </w:rPr>
        <w:t>—reflected, and possibly even developed, the common law. As many, many judges in this Court have held, the command in s 15A includes the duty to apply the technique of conforming interpretation.</w:t>
      </w:r>
      <w:r w:rsidRPr="00A54CB9">
        <w:rPr>
          <w:rStyle w:val="FootnoteReference"/>
          <w:rFonts w:ascii="Times New Roman" w:hAnsi="Times New Roman"/>
          <w:sz w:val="24"/>
        </w:rPr>
        <w:footnoteReference w:id="220"/>
      </w:r>
      <w:r w:rsidRPr="00A54CB9">
        <w:rPr>
          <w:rFonts w:ascii="Times New Roman" w:hAnsi="Times New Roman"/>
        </w:rPr>
        <w:t xml:space="preserve"> It is unnecessary in this case to consider whether the statutory </w:t>
      </w:r>
      <w:r w:rsidRPr="00A54CB9">
        <w:rPr>
          <w:rFonts w:ascii="Times New Roman" w:hAnsi="Times New Roman"/>
        </w:rPr>
        <w:lastRenderedPageBreak/>
        <w:t>command permits an approach to conforming interpretation that is broader than that recognised by the common law, with more weight on the "presumption" of conformity, although without interpreting s 15A as "impermissibly entrusting legislative power to Ch III courts".</w:t>
      </w:r>
      <w:r w:rsidRPr="00A54CB9">
        <w:rPr>
          <w:rStyle w:val="FootnoteReference"/>
          <w:rFonts w:ascii="Times New Roman" w:hAnsi="Times New Roman"/>
          <w:sz w:val="24"/>
        </w:rPr>
        <w:footnoteReference w:id="221"/>
      </w:r>
      <w:r w:rsidRPr="00A54CB9">
        <w:rPr>
          <w:rFonts w:ascii="Times New Roman" w:hAnsi="Times New Roman"/>
        </w:rPr>
        <w:t xml:space="preserve"> No submission was made in this Court to that effect because the issue of conforming interpretation does not arise in this case. </w:t>
      </w:r>
    </w:p>
    <w:p w14:paraId="098ED4F8"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There was, however, a respect in which s 2(2) (and later the similar provision in s 15A) certainly extended beyond the common law. That was by introducing an additional technique of partial disapplication. As this Court held in </w:t>
      </w:r>
      <w:r w:rsidRPr="00A54CB9">
        <w:rPr>
          <w:rFonts w:ascii="Times New Roman" w:hAnsi="Times New Roman"/>
          <w:i/>
          <w:iCs/>
        </w:rPr>
        <w:t>Newcastle and Hunter River Steamship Co Ltd v Attorney-General for the Commonwealth</w:t>
      </w:r>
      <w:r w:rsidRPr="00A54CB9">
        <w:rPr>
          <w:rFonts w:ascii="Times New Roman" w:hAnsi="Times New Roman"/>
        </w:rPr>
        <w:t>,</w:t>
      </w:r>
      <w:r w:rsidRPr="00A54CB9">
        <w:rPr>
          <w:rStyle w:val="FootnoteReference"/>
          <w:rFonts w:ascii="Times New Roman" w:hAnsi="Times New Roman"/>
          <w:sz w:val="24"/>
        </w:rPr>
        <w:footnoteReference w:id="222"/>
      </w:r>
      <w:r w:rsidRPr="00A54CB9">
        <w:rPr>
          <w:rFonts w:ascii="Times New Roman" w:hAnsi="Times New Roman"/>
          <w:i/>
          <w:iCs/>
        </w:rPr>
        <w:t xml:space="preserve"> </w:t>
      </w:r>
      <w:r w:rsidRPr="00A54CB9">
        <w:rPr>
          <w:rFonts w:ascii="Times New Roman" w:hAnsi="Times New Roman"/>
        </w:rPr>
        <w:t xml:space="preserve">one effect of s 2(2) of the </w:t>
      </w:r>
      <w:r w:rsidRPr="00A54CB9">
        <w:rPr>
          <w:rFonts w:ascii="Times New Roman" w:hAnsi="Times New Roman"/>
          <w:i/>
          <w:iCs/>
        </w:rPr>
        <w:t>Navigation Act</w:t>
      </w:r>
      <w:r w:rsidRPr="00A54CB9">
        <w:rPr>
          <w:rFonts w:ascii="Times New Roman" w:hAnsi="Times New Roman"/>
        </w:rPr>
        <w:t xml:space="preserve"> was to permit the opposite result from the decision in </w:t>
      </w:r>
      <w:r w:rsidRPr="00A54CB9">
        <w:rPr>
          <w:rFonts w:ascii="Times New Roman" w:hAnsi="Times New Roman"/>
          <w:i/>
          <w:iCs/>
        </w:rPr>
        <w:t xml:space="preserve">Owners of SS Kalibia </w:t>
      </w:r>
      <w:r w:rsidRPr="00A54CB9">
        <w:rPr>
          <w:rFonts w:ascii="Times New Roman" w:hAnsi="Times New Roman"/>
        </w:rPr>
        <w:t xml:space="preserve">to be achieved. The major addition that was introduced by s 2(2) of the </w:t>
      </w:r>
      <w:r w:rsidRPr="00A54CB9">
        <w:rPr>
          <w:rFonts w:ascii="Times New Roman" w:hAnsi="Times New Roman"/>
          <w:i/>
          <w:iCs/>
        </w:rPr>
        <w:t xml:space="preserve">Navigation Act </w:t>
      </w:r>
      <w:r w:rsidRPr="00A54CB9">
        <w:rPr>
          <w:rFonts w:ascii="Times New Roman" w:hAnsi="Times New Roman"/>
        </w:rPr>
        <w:t>was that it also required a court, wherever possible, to disapply a provision's meaning from particular facts or circumstances if application would lead to invalidity. This was not to confer on a court "the power of making a new law"</w:t>
      </w:r>
      <w:r w:rsidRPr="00A54CB9">
        <w:rPr>
          <w:rStyle w:val="FootnoteReference"/>
          <w:rFonts w:ascii="Times New Roman" w:hAnsi="Times New Roman"/>
          <w:sz w:val="24"/>
        </w:rPr>
        <w:footnoteReference w:id="223"/>
      </w:r>
      <w:r w:rsidRPr="00A54CB9">
        <w:rPr>
          <w:rFonts w:ascii="Times New Roman" w:hAnsi="Times New Roman"/>
        </w:rPr>
        <w:t xml:space="preserve"> by giving the words of the legislation a new meaning rather than choosing a conforming meaning. Instead, s 2(2) did this by requiring a court, where possible, to disapply the invalid application of the law. </w:t>
      </w:r>
    </w:p>
    <w:p w14:paraId="478CE1B8"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As mentioned, the language in s 2(2) of the </w:t>
      </w:r>
      <w:r w:rsidRPr="00A54CB9">
        <w:rPr>
          <w:rFonts w:ascii="Times New Roman" w:hAnsi="Times New Roman"/>
          <w:i/>
          <w:iCs/>
        </w:rPr>
        <w:t>Navigation Act</w:t>
      </w:r>
      <w:r w:rsidRPr="00A54CB9">
        <w:rPr>
          <w:rFonts w:ascii="Times New Roman" w:hAnsi="Times New Roman"/>
        </w:rPr>
        <w:t xml:space="preserve">, and s 15A of the </w:t>
      </w:r>
      <w:r w:rsidRPr="00A54CB9">
        <w:rPr>
          <w:rFonts w:ascii="Times New Roman" w:hAnsi="Times New Roman"/>
          <w:i/>
          <w:iCs/>
        </w:rPr>
        <w:t xml:space="preserve">Acts Interpretation Act </w:t>
      </w:r>
      <w:r w:rsidRPr="00A54CB9">
        <w:rPr>
          <w:rFonts w:ascii="Times New Roman" w:hAnsi="Times New Roman"/>
        </w:rPr>
        <w:t>which followed s 2(2), that was used to describe the two techniques of conforming interpretation and partial disapplication was "read and construe[]".</w:t>
      </w:r>
      <w:r w:rsidRPr="00A54CB9">
        <w:rPr>
          <w:rFonts w:ascii="Times New Roman" w:hAnsi="Times New Roman"/>
          <w:i/>
          <w:iCs/>
        </w:rPr>
        <w:t xml:space="preserve"> </w:t>
      </w:r>
      <w:r w:rsidRPr="00A54CB9">
        <w:rPr>
          <w:rFonts w:ascii="Times New Roman" w:hAnsi="Times New Roman"/>
        </w:rPr>
        <w:t>Unfortunately, however, the expression "reading down", which had previously been used only to describe conforming interpretation, came to be used to describe the techniques of both conforming interpretation and partial disapplication of a law.</w:t>
      </w:r>
      <w:r w:rsidRPr="00A54CB9">
        <w:rPr>
          <w:rStyle w:val="FootnoteReference"/>
          <w:rFonts w:ascii="Times New Roman" w:hAnsi="Times New Roman"/>
          <w:sz w:val="24"/>
        </w:rPr>
        <w:footnoteReference w:id="224"/>
      </w:r>
      <w:r w:rsidRPr="00A54CB9">
        <w:rPr>
          <w:rFonts w:ascii="Times New Roman" w:hAnsi="Times New Roman"/>
        </w:rPr>
        <w:t xml:space="preserve"> In the words of Dixon J, the expression "read and </w:t>
      </w:r>
      <w:r w:rsidRPr="00A54CB9">
        <w:rPr>
          <w:rFonts w:ascii="Times New Roman" w:hAnsi="Times New Roman"/>
        </w:rPr>
        <w:lastRenderedPageBreak/>
        <w:t>construed" covered the two separate techniques of "rescue", being the "imputation of a meaning" and a change to "the legal operation or effect" (although he speculated that the expression might be confined to the latter).</w:t>
      </w:r>
      <w:r w:rsidRPr="00A54CB9">
        <w:rPr>
          <w:rStyle w:val="FootnoteReference"/>
          <w:rFonts w:ascii="Times New Roman" w:hAnsi="Times New Roman"/>
          <w:sz w:val="24"/>
        </w:rPr>
        <w:footnoteReference w:id="225"/>
      </w:r>
      <w:r w:rsidRPr="00A54CB9">
        <w:rPr>
          <w:rFonts w:ascii="Times New Roman" w:hAnsi="Times New Roman"/>
        </w:rPr>
        <w:t xml:space="preserve"> </w:t>
      </w:r>
    </w:p>
    <w:p w14:paraId="02BC2F75"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problems of jargon in this area are not limited to the expression "reading down" being born to describe a technique of conforming interpretation but growing up to be used also as an expression concerning circumstances that in no real sense involve "reading". To make matters worse, the technique described by the confused language of "reading down" was also used to describe "read[ing] up" by giving a broader conforming interpretation to a provision.</w:t>
      </w:r>
      <w:r w:rsidRPr="00A54CB9">
        <w:rPr>
          <w:rStyle w:val="FootnoteReference"/>
          <w:rFonts w:ascii="Times New Roman" w:hAnsi="Times New Roman"/>
          <w:sz w:val="24"/>
        </w:rPr>
        <w:footnoteReference w:id="226"/>
      </w:r>
      <w:r w:rsidRPr="00A54CB9">
        <w:rPr>
          <w:rFonts w:ascii="Times New Roman" w:hAnsi="Times New Roman"/>
        </w:rPr>
        <w:t xml:space="preserve"> Fortunately, some modernising State legislation, by provisions equivalent to s 15A, now focuses upon the language of interpretation and application of meaning rather than the antique language of "read and construed". Thus, New South Wales legislation refers to the possibility of invalidity arising from construing "any provision ... or the application of any such provision".</w:t>
      </w:r>
      <w:r w:rsidRPr="00A54CB9">
        <w:rPr>
          <w:rStyle w:val="FootnoteReference"/>
          <w:rFonts w:ascii="Times New Roman" w:hAnsi="Times New Roman"/>
          <w:sz w:val="24"/>
        </w:rPr>
        <w:footnoteReference w:id="227"/>
      </w:r>
      <w:r w:rsidRPr="00A54CB9">
        <w:rPr>
          <w:rFonts w:ascii="Times New Roman" w:hAnsi="Times New Roman"/>
        </w:rPr>
        <w:t xml:space="preserve"> And Queensland legislation refers to the possibility of invalidity arising from a provision being "</w:t>
      </w:r>
      <w:r w:rsidRPr="00A54CB9">
        <w:rPr>
          <w:rFonts w:ascii="Times New Roman" w:hAnsi="Times New Roman"/>
          <w:i/>
          <w:iCs/>
        </w:rPr>
        <w:t>interpreted</w:t>
      </w:r>
      <w:r w:rsidRPr="00A54CB9">
        <w:rPr>
          <w:rFonts w:ascii="Times New Roman" w:hAnsi="Times New Roman"/>
        </w:rPr>
        <w:t xml:space="preserve"> as exceeding power" or from "the </w:t>
      </w:r>
      <w:r w:rsidRPr="00A54CB9">
        <w:rPr>
          <w:rFonts w:ascii="Times New Roman" w:hAnsi="Times New Roman"/>
          <w:i/>
          <w:iCs/>
        </w:rPr>
        <w:t>application</w:t>
      </w:r>
      <w:r w:rsidRPr="00A54CB9">
        <w:rPr>
          <w:rFonts w:ascii="Times New Roman" w:hAnsi="Times New Roman"/>
        </w:rPr>
        <w:t xml:space="preserve"> of a provision".</w:t>
      </w:r>
      <w:r w:rsidRPr="00A54CB9">
        <w:rPr>
          <w:rStyle w:val="FootnoteReference"/>
          <w:rFonts w:ascii="Times New Roman" w:hAnsi="Times New Roman"/>
          <w:sz w:val="24"/>
        </w:rPr>
        <w:footnoteReference w:id="228"/>
      </w:r>
      <w:r w:rsidRPr="00A54CB9">
        <w:rPr>
          <w:rFonts w:ascii="Times New Roman" w:hAnsi="Times New Roman"/>
        </w:rPr>
        <w:t xml:space="preserve"> So too, Commonwealth provisions such as s 3A of the </w:t>
      </w:r>
      <w:r w:rsidRPr="00A54CB9">
        <w:rPr>
          <w:rFonts w:ascii="Times New Roman" w:hAnsi="Times New Roman"/>
          <w:i/>
          <w:iCs/>
        </w:rPr>
        <w:t xml:space="preserve">Migration Act 1958 </w:t>
      </w:r>
      <w:r w:rsidRPr="00A54CB9">
        <w:rPr>
          <w:rFonts w:ascii="Times New Roman" w:hAnsi="Times New Roman"/>
        </w:rPr>
        <w:t>(Cth) are now more clearly expressed as concerned with the disapplication of a law from those facts or circumstances where it does "not validly apply[]".</w:t>
      </w:r>
      <w:r w:rsidRPr="00A54CB9">
        <w:rPr>
          <w:rStyle w:val="FootnoteReference"/>
          <w:rFonts w:ascii="Times New Roman" w:hAnsi="Times New Roman"/>
          <w:sz w:val="24"/>
        </w:rPr>
        <w:footnoteReference w:id="229"/>
      </w:r>
    </w:p>
    <w:p w14:paraId="0875464B"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It might be said, in Pythonesque fashion, that to use the expression "reading down" to describe the technique of partial disapplication is perfectly adequate provided that it is not forgotten that the technique: (i) has nothing to do with "reading"; (ii) has no one direction; and (iii) was coined to describe a different concept. At the very least, if the unfortunate expression is to be used, then it should be clearly explained that the court is not here involved in the usual interpretative process. The issues in this case are therefore whether: (i) the regulation-making power in s 28 of the </w:t>
      </w:r>
      <w:r w:rsidRPr="00A54CB9">
        <w:rPr>
          <w:rFonts w:ascii="Times New Roman" w:hAnsi="Times New Roman"/>
          <w:i/>
          <w:iCs/>
        </w:rPr>
        <w:t>Autonomous Sanctions Act</w:t>
      </w:r>
      <w:r w:rsidRPr="00A54CB9">
        <w:rPr>
          <w:rFonts w:ascii="Times New Roman" w:hAnsi="Times New Roman"/>
        </w:rPr>
        <w:t xml:space="preserve"> can be "read"</w:t>
      </w:r>
      <w:r w:rsidRPr="00A54CB9" w:rsidDel="00F9077B">
        <w:rPr>
          <w:rFonts w:ascii="Times New Roman" w:hAnsi="Times New Roman"/>
        </w:rPr>
        <w:t xml:space="preserve"> </w:t>
      </w:r>
      <w:r w:rsidRPr="00A54CB9">
        <w:rPr>
          <w:rFonts w:ascii="Times New Roman" w:hAnsi="Times New Roman"/>
        </w:rPr>
        <w:t xml:space="preserve">in a manner that confines its </w:t>
      </w:r>
      <w:r w:rsidRPr="00A54CB9">
        <w:rPr>
          <w:rFonts w:ascii="Times New Roman" w:hAnsi="Times New Roman"/>
          <w:i/>
          <w:iCs/>
        </w:rPr>
        <w:t>application</w:t>
      </w:r>
      <w:r w:rsidRPr="00A54CB9">
        <w:rPr>
          <w:rFonts w:ascii="Times New Roman" w:hAnsi="Times New Roman"/>
        </w:rPr>
        <w:t xml:space="preserve"> to ensure its constitutional validity; and (ii) whether </w:t>
      </w:r>
      <w:r w:rsidRPr="00A54CB9">
        <w:rPr>
          <w:rFonts w:ascii="Times New Roman" w:hAnsi="Times New Roman"/>
        </w:rPr>
        <w:lastRenderedPageBreak/>
        <w:t xml:space="preserve">regs 14 and 15 of the </w:t>
      </w:r>
      <w:r w:rsidRPr="00A54CB9">
        <w:rPr>
          <w:rFonts w:ascii="Times New Roman" w:hAnsi="Times New Roman"/>
          <w:i/>
          <w:iCs/>
        </w:rPr>
        <w:t xml:space="preserve">Autonomous Sanctions Regulations </w:t>
      </w:r>
      <w:r w:rsidRPr="00A54CB9">
        <w:rPr>
          <w:rFonts w:ascii="Times New Roman" w:hAnsi="Times New Roman"/>
        </w:rPr>
        <w:t>can be "read"</w:t>
      </w:r>
      <w:r w:rsidRPr="00A54CB9" w:rsidDel="00F9077B">
        <w:rPr>
          <w:rFonts w:ascii="Times New Roman" w:hAnsi="Times New Roman"/>
        </w:rPr>
        <w:t xml:space="preserve"> </w:t>
      </w:r>
      <w:r w:rsidRPr="00A54CB9">
        <w:rPr>
          <w:rFonts w:ascii="Times New Roman" w:hAnsi="Times New Roman"/>
        </w:rPr>
        <w:t xml:space="preserve">in a manner that confines their </w:t>
      </w:r>
      <w:r w:rsidRPr="00A54CB9">
        <w:rPr>
          <w:rFonts w:ascii="Times New Roman" w:hAnsi="Times New Roman"/>
          <w:i/>
          <w:iCs/>
        </w:rPr>
        <w:t>application</w:t>
      </w:r>
      <w:r w:rsidRPr="00A54CB9">
        <w:rPr>
          <w:rFonts w:ascii="Times New Roman" w:hAnsi="Times New Roman"/>
        </w:rPr>
        <w:t xml:space="preserve"> to ensure that they are not otherwise ultra vires the regulation-making power in s 28. As the Solicitor-General of the Commonwealth correctly expressed the point, there is no issue concerning "the task of working out a [constraining] phrase or a set of precise words that are to be read into [regs 14 and 15]". Since this case is concerned only with partial disapplication, I will use only the language of partial disapplication rather than "reading down" or "conforming interpretation".</w:t>
      </w:r>
    </w:p>
    <w:p w14:paraId="161653DD"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Limits to partial disapplication of a law</w:t>
      </w:r>
    </w:p>
    <w:p w14:paraId="719BFA9F"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As the primary judge recognised, there are three limits to partial disapplication of a law.</w:t>
      </w:r>
      <w:r w:rsidRPr="00A54CB9">
        <w:rPr>
          <w:rStyle w:val="FootnoteReference"/>
          <w:rFonts w:ascii="Times New Roman" w:hAnsi="Times New Roman"/>
          <w:sz w:val="24"/>
        </w:rPr>
        <w:footnoteReference w:id="230"/>
      </w:r>
      <w:r w:rsidRPr="00A54CB9">
        <w:rPr>
          <w:rFonts w:ascii="Times New Roman" w:hAnsi="Times New Roman"/>
        </w:rPr>
        <w:t xml:space="preserve"> The first two limits are based on the same principle, namely that a court cannot partially disapply a law if doing so would change the scheme of the statute or the purpose of the law.</w:t>
      </w:r>
      <w:r w:rsidRPr="00A54CB9">
        <w:rPr>
          <w:rStyle w:val="FootnoteReference"/>
          <w:rFonts w:ascii="Times New Roman" w:hAnsi="Times New Roman"/>
          <w:sz w:val="24"/>
        </w:rPr>
        <w:footnoteReference w:id="231"/>
      </w:r>
      <w:r w:rsidRPr="00A54CB9">
        <w:rPr>
          <w:rFonts w:ascii="Times New Roman" w:hAnsi="Times New Roman"/>
        </w:rPr>
        <w:t xml:space="preserve"> Hence, a court cannot partially disapply a law in a manner which would change the application of the law in the remaining circumstances.</w:t>
      </w:r>
      <w:r w:rsidRPr="00A54CB9">
        <w:rPr>
          <w:rStyle w:val="FootnoteReference"/>
          <w:rFonts w:ascii="Times New Roman" w:hAnsi="Times New Roman"/>
          <w:sz w:val="24"/>
        </w:rPr>
        <w:footnoteReference w:id="232"/>
      </w:r>
      <w:r w:rsidRPr="00A54CB9">
        <w:rPr>
          <w:rFonts w:ascii="Times New Roman" w:hAnsi="Times New Roman"/>
        </w:rPr>
        <w:t xml:space="preserve"> Nor can a court partially disapply a law if the intention of the enacting Parliament is that the law should have an all-or-nothing operation.</w:t>
      </w:r>
      <w:r w:rsidRPr="00A54CB9">
        <w:rPr>
          <w:rStyle w:val="FootnoteReference"/>
          <w:rFonts w:ascii="Times New Roman" w:hAnsi="Times New Roman"/>
          <w:sz w:val="24"/>
        </w:rPr>
        <w:footnoteReference w:id="233"/>
      </w:r>
      <w:r w:rsidRPr="00A54CB9">
        <w:rPr>
          <w:rFonts w:ascii="Times New Roman" w:hAnsi="Times New Roman"/>
        </w:rPr>
        <w:t xml:space="preserve">   </w:t>
      </w:r>
    </w:p>
    <w:p w14:paraId="07EAA34F"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A third limit is that "there should be a partial operation of the law based upon some particular standard criterion or test ... discovered from the terms of the law itself or from the nature of the subject matter with which the law deals".</w:t>
      </w:r>
      <w:r w:rsidRPr="00A54CB9">
        <w:rPr>
          <w:rStyle w:val="FootnoteReference"/>
          <w:rFonts w:ascii="Times New Roman" w:hAnsi="Times New Roman"/>
          <w:sz w:val="24"/>
        </w:rPr>
        <w:footnoteReference w:id="234"/>
      </w:r>
      <w:r w:rsidRPr="00A54CB9">
        <w:rPr>
          <w:rFonts w:ascii="Times New Roman" w:hAnsi="Times New Roman"/>
        </w:rPr>
        <w:t xml:space="preserve"> This limit really just reiterates the nature of partial disapplication as a technique that operates by reference to specific facts or circumstances. For instance, if a law is challenged on the basis that it operates, in part, to impose an unjustified burden upon freedom of political communication then it is not permissible for a court to declare that the law is disapplied wherever there would be an unjustified burden upon freedom of political communication by reference to unspecified facts or </w:t>
      </w:r>
      <w:r w:rsidRPr="00A54CB9">
        <w:rPr>
          <w:rFonts w:ascii="Times New Roman" w:hAnsi="Times New Roman"/>
        </w:rPr>
        <w:lastRenderedPageBreak/>
        <w:t>circumstances.</w:t>
      </w:r>
      <w:r w:rsidRPr="00A54CB9">
        <w:rPr>
          <w:rStyle w:val="FootnoteReference"/>
          <w:rFonts w:ascii="Times New Roman" w:hAnsi="Times New Roman"/>
          <w:sz w:val="24"/>
        </w:rPr>
        <w:footnoteReference w:id="235"/>
      </w:r>
      <w:r w:rsidRPr="00A54CB9">
        <w:rPr>
          <w:rFonts w:ascii="Times New Roman" w:hAnsi="Times New Roman"/>
        </w:rPr>
        <w:t xml:space="preserve"> It is not open for a court to validate the law by reasoning that it can "discover and prescribe an appropriate limitation as various cases present[] themselves".</w:t>
      </w:r>
      <w:r w:rsidRPr="00A54CB9">
        <w:rPr>
          <w:rStyle w:val="FootnoteReference"/>
          <w:rFonts w:ascii="Times New Roman" w:hAnsi="Times New Roman"/>
          <w:sz w:val="24"/>
        </w:rPr>
        <w:footnoteReference w:id="236"/>
      </w:r>
      <w:r w:rsidRPr="00A54CB9">
        <w:rPr>
          <w:rFonts w:ascii="Times New Roman" w:hAnsi="Times New Roman"/>
        </w:rPr>
        <w:t xml:space="preserve"> By contrast, if a law is challenged on the basis that it operates invalidly in particular circumstances, such as intrastate or interstate trade, then it can be disapplied from that particular invalid application.</w:t>
      </w:r>
      <w:r w:rsidRPr="00A54CB9">
        <w:rPr>
          <w:rStyle w:val="FootnoteReference"/>
          <w:rFonts w:ascii="Times New Roman" w:hAnsi="Times New Roman"/>
          <w:sz w:val="24"/>
        </w:rPr>
        <w:footnoteReference w:id="237"/>
      </w:r>
      <w:r w:rsidRPr="00A54CB9">
        <w:rPr>
          <w:rFonts w:ascii="Times New Roman" w:hAnsi="Times New Roman"/>
        </w:rPr>
        <w:t xml:space="preserve"> </w:t>
      </w:r>
    </w:p>
    <w:p w14:paraId="4F87BB08"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Apart from these three limits there is no limit to the extent of partial disapplication of a law.</w:t>
      </w:r>
      <w:r w:rsidRPr="00A54CB9">
        <w:rPr>
          <w:rStyle w:val="FootnoteReference"/>
          <w:rFonts w:ascii="Times New Roman" w:hAnsi="Times New Roman"/>
          <w:sz w:val="24"/>
        </w:rPr>
        <w:footnoteReference w:id="238"/>
      </w:r>
      <w:r w:rsidRPr="00A54CB9">
        <w:rPr>
          <w:rFonts w:ascii="Times New Roman" w:hAnsi="Times New Roman"/>
        </w:rPr>
        <w:t xml:space="preserve"> And therein lies the distinction of greatest importance between the different techniques of preserving the validity of legislation in: (i) conforming interpretation; and (ii) partial disapplication. If there were almost no further limits to the technique of conforming interpretation, such that judges could effectively add or subtract any words in legislation to change meaning, then judges would truly have legislative power.  </w:t>
      </w:r>
    </w:p>
    <w:p w14:paraId="251EF7A0" w14:textId="77777777" w:rsidR="00DE281D" w:rsidRPr="00A54CB9" w:rsidRDefault="00DE281D" w:rsidP="00A54CB9">
      <w:pPr>
        <w:pStyle w:val="HeadingL1"/>
        <w:spacing w:after="260" w:line="280" w:lineRule="exact"/>
        <w:ind w:right="0"/>
        <w:jc w:val="both"/>
        <w:rPr>
          <w:rFonts w:ascii="Times New Roman" w:hAnsi="Times New Roman"/>
        </w:rPr>
      </w:pPr>
      <w:r w:rsidRPr="00A54CB9">
        <w:rPr>
          <w:rFonts w:ascii="Times New Roman" w:hAnsi="Times New Roman"/>
        </w:rPr>
        <w:t>Partial disapplication of s 28 and regs 14 and 15</w:t>
      </w:r>
    </w:p>
    <w:p w14:paraId="300E872C" w14:textId="77777777" w:rsidR="00DE281D" w:rsidRPr="00A54CB9" w:rsidRDefault="00DE281D" w:rsidP="00A54CB9">
      <w:pPr>
        <w:pStyle w:val="HeadingL2"/>
        <w:spacing w:after="260" w:line="280" w:lineRule="exact"/>
        <w:ind w:right="0"/>
        <w:jc w:val="both"/>
        <w:rPr>
          <w:rFonts w:ascii="Times New Roman" w:hAnsi="Times New Roman"/>
          <w:iCs/>
        </w:rPr>
      </w:pPr>
      <w:r w:rsidRPr="00A54CB9">
        <w:rPr>
          <w:rFonts w:ascii="Times New Roman" w:hAnsi="Times New Roman"/>
        </w:rPr>
        <w:t xml:space="preserve">The scope of the constitutional implication in </w:t>
      </w:r>
      <w:r w:rsidRPr="00A54CB9">
        <w:rPr>
          <w:rFonts w:ascii="Times New Roman" w:hAnsi="Times New Roman"/>
          <w:i w:val="0"/>
        </w:rPr>
        <w:t>Graham</w:t>
      </w:r>
      <w:r w:rsidRPr="00A54CB9">
        <w:rPr>
          <w:rFonts w:ascii="Times New Roman" w:hAnsi="Times New Roman"/>
          <w:iCs/>
        </w:rPr>
        <w:t xml:space="preserve"> </w:t>
      </w:r>
    </w:p>
    <w:p w14:paraId="386478DA"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In </w:t>
      </w:r>
      <w:r w:rsidRPr="00A54CB9">
        <w:rPr>
          <w:rFonts w:ascii="Times New Roman" w:hAnsi="Times New Roman"/>
          <w:i/>
          <w:iCs/>
        </w:rPr>
        <w:t>Graham v Minister for Immigration and Border Protection</w:t>
      </w:r>
      <w:r w:rsidRPr="00A54CB9">
        <w:rPr>
          <w:rFonts w:ascii="Times New Roman" w:hAnsi="Times New Roman"/>
        </w:rPr>
        <w:t>,</w:t>
      </w:r>
      <w:r w:rsidRPr="00A54CB9">
        <w:rPr>
          <w:rStyle w:val="FootnoteReference"/>
          <w:rFonts w:ascii="Times New Roman" w:hAnsi="Times New Roman"/>
          <w:sz w:val="24"/>
        </w:rPr>
        <w:footnoteReference w:id="239"/>
      </w:r>
      <w:r w:rsidRPr="00A54CB9">
        <w:rPr>
          <w:rFonts w:ascii="Times New Roman" w:hAnsi="Times New Roman"/>
          <w:i/>
          <w:iCs/>
        </w:rPr>
        <w:t xml:space="preserve"> </w:t>
      </w:r>
      <w:r w:rsidRPr="00A54CB9">
        <w:rPr>
          <w:rFonts w:ascii="Times New Roman" w:hAnsi="Times New Roman"/>
        </w:rPr>
        <w:t xml:space="preserve">a majority of this Court held that "first principles" gave rise to a newly discovered implication within s 75(v) of the </w:t>
      </w:r>
      <w:r w:rsidRPr="00A54CB9">
        <w:rPr>
          <w:rFonts w:ascii="Times New Roman" w:hAnsi="Times New Roman"/>
          <w:i/>
          <w:iCs/>
        </w:rPr>
        <w:t xml:space="preserve">Constitution </w:t>
      </w:r>
      <w:r w:rsidRPr="00A54CB9">
        <w:rPr>
          <w:rFonts w:ascii="Times New Roman" w:hAnsi="Times New Roman"/>
        </w:rPr>
        <w:t xml:space="preserve">constraining the power of the Commonwealth Parliament. The implication was not merely the natural implicature that the Commonwealth Parliament cannot remove the remedies provided by s 75(v): writs of mandamus or prohibition, or an injunction, against an officer of the Commonwealth. The implication was said to be one that prohibited legislation that involved any "substantial curtailment of the capacity of a court exercising </w:t>
      </w:r>
      <w:r w:rsidRPr="00A54CB9">
        <w:rPr>
          <w:rFonts w:ascii="Times New Roman" w:hAnsi="Times New Roman"/>
        </w:rPr>
        <w:lastRenderedPageBreak/>
        <w:t xml:space="preserve">jurisdiction under or derived from s 75(v) of the </w:t>
      </w:r>
      <w:r w:rsidRPr="00A54CB9">
        <w:rPr>
          <w:rFonts w:ascii="Times New Roman" w:hAnsi="Times New Roman"/>
          <w:i/>
          <w:iCs/>
        </w:rPr>
        <w:t xml:space="preserve">Constitution </w:t>
      </w:r>
      <w:r w:rsidRPr="00A54CB9">
        <w:rPr>
          <w:rFonts w:ascii="Times New Roman" w:hAnsi="Times New Roman"/>
        </w:rPr>
        <w:t>to discern and declare whether or not the legal limits of powers ... have been observed".</w:t>
      </w:r>
      <w:r w:rsidRPr="00A54CB9">
        <w:rPr>
          <w:rStyle w:val="FootnoteReference"/>
          <w:rFonts w:ascii="Times New Roman" w:hAnsi="Times New Roman"/>
          <w:sz w:val="24"/>
        </w:rPr>
        <w:footnoteReference w:id="240"/>
      </w:r>
      <w:r w:rsidRPr="00A54CB9">
        <w:rPr>
          <w:rFonts w:ascii="Times New Roman" w:hAnsi="Times New Roman"/>
        </w:rPr>
        <w:t xml:space="preserve">  </w:t>
      </w:r>
    </w:p>
    <w:p w14:paraId="017D232F"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application of the new implication which prevented "substantial curtailment" of judicial review under s 75(v), as well as statutory judicial review by the Federal Court,</w:t>
      </w:r>
      <w:r w:rsidRPr="00A54CB9">
        <w:rPr>
          <w:rStyle w:val="FootnoteReference"/>
          <w:rFonts w:ascii="Times New Roman" w:hAnsi="Times New Roman"/>
          <w:sz w:val="24"/>
        </w:rPr>
        <w:footnoteReference w:id="241"/>
      </w:r>
      <w:r w:rsidRPr="00A54CB9">
        <w:rPr>
          <w:rFonts w:ascii="Times New Roman" w:hAnsi="Times New Roman"/>
        </w:rPr>
        <w:t xml:space="preserve"> was said to be a question of "substance and degree".</w:t>
      </w:r>
      <w:r w:rsidRPr="00A54CB9">
        <w:rPr>
          <w:rStyle w:val="FootnoteReference"/>
          <w:rFonts w:ascii="Times New Roman" w:hAnsi="Times New Roman"/>
          <w:sz w:val="24"/>
        </w:rPr>
        <w:footnoteReference w:id="242"/>
      </w:r>
      <w:r w:rsidRPr="00A54CB9">
        <w:rPr>
          <w:rFonts w:ascii="Times New Roman" w:hAnsi="Times New Roman"/>
        </w:rPr>
        <w:t xml:space="preserve"> The implication was applied to invalidate a law that, with long antecedents prior to Federation and subsequently,</w:t>
      </w:r>
      <w:r w:rsidRPr="00A54CB9">
        <w:rPr>
          <w:rStyle w:val="FootnoteReference"/>
          <w:rFonts w:ascii="Times New Roman" w:hAnsi="Times New Roman"/>
          <w:sz w:val="24"/>
        </w:rPr>
        <w:footnoteReference w:id="243"/>
      </w:r>
      <w:r w:rsidRPr="00A54CB9">
        <w:rPr>
          <w:rFonts w:ascii="Times New Roman" w:hAnsi="Times New Roman"/>
        </w:rPr>
        <w:t xml:space="preserve"> had purported to limit the powers of the court to obtain access to a category of information.</w:t>
      </w:r>
      <w:r w:rsidRPr="00A54CB9">
        <w:rPr>
          <w:rStyle w:val="FootnoteReference"/>
          <w:rFonts w:ascii="Times New Roman" w:hAnsi="Times New Roman"/>
          <w:sz w:val="24"/>
        </w:rPr>
        <w:footnoteReference w:id="244"/>
      </w:r>
      <w:r w:rsidRPr="00A54CB9">
        <w:rPr>
          <w:rFonts w:ascii="Times New Roman" w:hAnsi="Times New Roman"/>
        </w:rPr>
        <w:t xml:space="preserve"> </w:t>
      </w:r>
    </w:p>
    <w:p w14:paraId="38BB6956"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No party to this appeal sought to challenge any aspect of the implicature recognised in </w:t>
      </w:r>
      <w:r w:rsidRPr="00A54CB9">
        <w:rPr>
          <w:rFonts w:ascii="Times New Roman" w:hAnsi="Times New Roman"/>
          <w:i/>
          <w:iCs/>
        </w:rPr>
        <w:t xml:space="preserve">Graham </w:t>
      </w:r>
      <w:r w:rsidRPr="00A54CB9">
        <w:rPr>
          <w:rFonts w:ascii="Times New Roman" w:hAnsi="Times New Roman"/>
        </w:rPr>
        <w:t>concerning restrictions on the capacity of a court exercising the relevant jurisdiction</w:t>
      </w:r>
      <w:r w:rsidRPr="00A54CB9">
        <w:rPr>
          <w:rFonts w:ascii="Times New Roman" w:hAnsi="Times New Roman"/>
          <w:i/>
          <w:iCs/>
        </w:rPr>
        <w:t xml:space="preserve">. </w:t>
      </w:r>
      <w:r w:rsidRPr="00A54CB9">
        <w:rPr>
          <w:rFonts w:ascii="Times New Roman" w:hAnsi="Times New Roman"/>
        </w:rPr>
        <w:t xml:space="preserve">But even on the broadest application of that decision it is difficult to see the basis for the concession by the Minister that the implicature recognised in </w:t>
      </w:r>
      <w:r w:rsidRPr="00A54CB9">
        <w:rPr>
          <w:rFonts w:ascii="Times New Roman" w:hAnsi="Times New Roman"/>
          <w:i/>
          <w:iCs/>
        </w:rPr>
        <w:t>Graham</w:t>
      </w:r>
      <w:r w:rsidRPr="00A54CB9">
        <w:rPr>
          <w:rFonts w:ascii="Times New Roman" w:hAnsi="Times New Roman"/>
        </w:rPr>
        <w:t xml:space="preserve"> is, by itself, sufficient to constrain the power of the Commonwealth Parliament to limit a person's access to legal services for the objective purpose of seeking relief under s 75(v) of the </w:t>
      </w:r>
      <w:r w:rsidRPr="00A54CB9">
        <w:rPr>
          <w:rFonts w:ascii="Times New Roman" w:hAnsi="Times New Roman"/>
          <w:i/>
          <w:iCs/>
        </w:rPr>
        <w:t xml:space="preserve">Constitution </w:t>
      </w:r>
      <w:r w:rsidRPr="00A54CB9">
        <w:rPr>
          <w:rFonts w:ascii="Times New Roman" w:hAnsi="Times New Roman"/>
        </w:rPr>
        <w:t xml:space="preserve">or s 39B(1) of the </w:t>
      </w:r>
      <w:r w:rsidRPr="00A54CB9">
        <w:rPr>
          <w:rFonts w:ascii="Times New Roman" w:hAnsi="Times New Roman"/>
          <w:i/>
          <w:iCs/>
        </w:rPr>
        <w:t>Judiciary Act</w:t>
      </w:r>
      <w:r w:rsidRPr="00A54CB9">
        <w:rPr>
          <w:rFonts w:ascii="Times New Roman" w:hAnsi="Times New Roman"/>
        </w:rPr>
        <w:t xml:space="preserve">. Under the purported application of s 28 of the </w:t>
      </w:r>
      <w:r w:rsidRPr="00A54CB9">
        <w:rPr>
          <w:rFonts w:ascii="Times New Roman" w:hAnsi="Times New Roman"/>
          <w:i/>
          <w:iCs/>
        </w:rPr>
        <w:t xml:space="preserve">Autonomous Sanctions Act </w:t>
      </w:r>
      <w:r w:rsidRPr="00A54CB9">
        <w:rPr>
          <w:rFonts w:ascii="Times New Roman" w:hAnsi="Times New Roman"/>
        </w:rPr>
        <w:t xml:space="preserve">and regs 14 and 15 of the </w:t>
      </w:r>
      <w:r w:rsidRPr="00A54CB9">
        <w:rPr>
          <w:rFonts w:ascii="Times New Roman" w:hAnsi="Times New Roman"/>
          <w:i/>
          <w:iCs/>
        </w:rPr>
        <w:t>Autonomous Sanctions Regulations</w:t>
      </w:r>
      <w:r w:rsidRPr="00A54CB9">
        <w:rPr>
          <w:rFonts w:ascii="Times New Roman" w:hAnsi="Times New Roman"/>
        </w:rPr>
        <w:t>,</w:t>
      </w:r>
      <w:r w:rsidRPr="00A54CB9">
        <w:rPr>
          <w:rFonts w:ascii="Times New Roman" w:hAnsi="Times New Roman"/>
          <w:i/>
          <w:iCs/>
        </w:rPr>
        <w:t xml:space="preserve"> </w:t>
      </w:r>
      <w:r w:rsidRPr="00A54CB9">
        <w:rPr>
          <w:rFonts w:ascii="Times New Roman" w:hAnsi="Times New Roman"/>
        </w:rPr>
        <w:t xml:space="preserve">the practical impossibility of a designated person obtaining legal services without a permit will impair both the ability of a designated person to identify the potential for such a proceeding and the cogency of any submissions that might be made by a designated person in such a proceeding. Yet that impairment says nothing about the capacity of a court exercising jurisdiction under or derived from s 75(v) of the </w:t>
      </w:r>
      <w:r w:rsidRPr="00A54CB9">
        <w:rPr>
          <w:rFonts w:ascii="Times New Roman" w:hAnsi="Times New Roman"/>
          <w:i/>
          <w:iCs/>
        </w:rPr>
        <w:t xml:space="preserve">Constitution </w:t>
      </w:r>
      <w:r w:rsidRPr="00A54CB9">
        <w:rPr>
          <w:rFonts w:ascii="Times New Roman" w:hAnsi="Times New Roman"/>
        </w:rPr>
        <w:t xml:space="preserve">to discern and declare whether the legal limits of powers have been observed. The court's capacity is unaffected. The impairment concerns a </w:t>
      </w:r>
      <w:r w:rsidRPr="00A54CB9">
        <w:rPr>
          <w:rFonts w:ascii="Times New Roman" w:hAnsi="Times New Roman"/>
          <w:i/>
          <w:iCs/>
        </w:rPr>
        <w:t xml:space="preserve">designated person's </w:t>
      </w:r>
      <w:r w:rsidRPr="00A54CB9">
        <w:rPr>
          <w:rFonts w:ascii="Times New Roman" w:hAnsi="Times New Roman"/>
        </w:rPr>
        <w:t xml:space="preserve">ability to seek and prosecute a claim for relief in a Ch III court. It does not concern the capacity of a court. </w:t>
      </w:r>
    </w:p>
    <w:p w14:paraId="08C4E8FB"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Minister submitted that this concession concerning s 75(v) should not be extended to s 75(iii) of the </w:t>
      </w:r>
      <w:r w:rsidRPr="00A54CB9">
        <w:rPr>
          <w:rFonts w:ascii="Times New Roman" w:hAnsi="Times New Roman"/>
          <w:i/>
          <w:iCs/>
        </w:rPr>
        <w:t>Constitution</w:t>
      </w:r>
      <w:r w:rsidRPr="00A54CB9">
        <w:rPr>
          <w:rFonts w:ascii="Times New Roman" w:hAnsi="Times New Roman"/>
        </w:rPr>
        <w:t>,</w:t>
      </w:r>
      <w:r w:rsidRPr="00A54CB9">
        <w:rPr>
          <w:rFonts w:ascii="Times New Roman" w:hAnsi="Times New Roman"/>
          <w:i/>
          <w:iCs/>
        </w:rPr>
        <w:t xml:space="preserve"> </w:t>
      </w:r>
      <w:r w:rsidRPr="00A54CB9">
        <w:rPr>
          <w:rFonts w:ascii="Times New Roman" w:hAnsi="Times New Roman"/>
        </w:rPr>
        <w:t xml:space="preserve">which provides for original jurisdiction </w:t>
      </w:r>
      <w:r w:rsidRPr="00A54CB9">
        <w:rPr>
          <w:rFonts w:ascii="Times New Roman" w:hAnsi="Times New Roman"/>
        </w:rPr>
        <w:lastRenderedPageBreak/>
        <w:t>of this Court in any case "in which the Commonwealth, or a person suing or being sued on behalf of the Commonwealth, is a party". The Minister submitted that, unlike s 75(v), s 75(iii) "is predicated on liability existing under the general law". But so too is liability for the remedy of an injunction in s 75(v).</w:t>
      </w:r>
      <w:r w:rsidRPr="00A54CB9">
        <w:rPr>
          <w:rStyle w:val="FootnoteReference"/>
          <w:rFonts w:ascii="Times New Roman" w:hAnsi="Times New Roman"/>
          <w:sz w:val="24"/>
        </w:rPr>
        <w:footnoteReference w:id="245"/>
      </w:r>
      <w:r w:rsidRPr="00A54CB9">
        <w:rPr>
          <w:rFonts w:ascii="Times New Roman" w:hAnsi="Times New Roman"/>
        </w:rPr>
        <w:t xml:space="preserve"> There is some strain in treating the reasoning of the majority in </w:t>
      </w:r>
      <w:r w:rsidRPr="00A54CB9">
        <w:rPr>
          <w:rFonts w:ascii="Times New Roman" w:hAnsi="Times New Roman"/>
          <w:i/>
          <w:iCs/>
        </w:rPr>
        <w:t xml:space="preserve">Graham </w:t>
      </w:r>
      <w:r w:rsidRPr="00A54CB9">
        <w:rPr>
          <w:rFonts w:ascii="Times New Roman" w:hAnsi="Times New Roman"/>
        </w:rPr>
        <w:t xml:space="preserve">as concerned only with two of the three remedies in s 75(v). Further, even if the injunction were treated as falling within the scope of the </w:t>
      </w:r>
      <w:r w:rsidRPr="00A54CB9">
        <w:rPr>
          <w:rFonts w:ascii="Times New Roman" w:hAnsi="Times New Roman"/>
          <w:i/>
          <w:iCs/>
        </w:rPr>
        <w:t xml:space="preserve">Graham </w:t>
      </w:r>
      <w:r w:rsidRPr="00A54CB9">
        <w:rPr>
          <w:rFonts w:ascii="Times New Roman" w:hAnsi="Times New Roman"/>
        </w:rPr>
        <w:t xml:space="preserve">implication only in circumstances concerning exercises of power by an officer of the Commonwealth, the injunction in those cases, like the liability in s 75(iii), remains based upon general law principles. </w:t>
      </w:r>
    </w:p>
    <w:p w14:paraId="052A90DF"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On the assumption that the reasoning in </w:t>
      </w:r>
      <w:r w:rsidRPr="00A54CB9">
        <w:rPr>
          <w:rFonts w:ascii="Times New Roman" w:hAnsi="Times New Roman"/>
          <w:i/>
          <w:iCs/>
        </w:rPr>
        <w:t xml:space="preserve">Graham </w:t>
      </w:r>
      <w:r w:rsidRPr="00A54CB9">
        <w:rPr>
          <w:rFonts w:ascii="Times New Roman" w:hAnsi="Times New Roman"/>
        </w:rPr>
        <w:t xml:space="preserve">applies equally to the availability of relief under s 75(iii), the same leap in logic arises when attempting to extend the implication in </w:t>
      </w:r>
      <w:r w:rsidRPr="00A54CB9">
        <w:rPr>
          <w:rFonts w:ascii="Times New Roman" w:hAnsi="Times New Roman"/>
          <w:i/>
          <w:iCs/>
        </w:rPr>
        <w:t xml:space="preserve">Graham </w:t>
      </w:r>
      <w:r w:rsidRPr="00A54CB9">
        <w:rPr>
          <w:rFonts w:ascii="Times New Roman" w:hAnsi="Times New Roman"/>
        </w:rPr>
        <w:t xml:space="preserve">so that it would apply to a law which empowers regulations that would create a practical impossibility of the provision of legal services to a designated person without a permit. Again, the impairment of a </w:t>
      </w:r>
      <w:r w:rsidRPr="00A54CB9">
        <w:rPr>
          <w:rFonts w:ascii="Times New Roman" w:hAnsi="Times New Roman"/>
          <w:i/>
          <w:iCs/>
        </w:rPr>
        <w:t xml:space="preserve">designated person's </w:t>
      </w:r>
      <w:r w:rsidRPr="00A54CB9">
        <w:rPr>
          <w:rFonts w:ascii="Times New Roman" w:hAnsi="Times New Roman"/>
        </w:rPr>
        <w:t xml:space="preserve">ability to seek and prosecute a claim concerning s 75(iii) says nothing about the capacity of a court to exercise jurisdiction under or derived from s 75(iii). </w:t>
      </w:r>
    </w:p>
    <w:p w14:paraId="4D046A84"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 xml:space="preserve">The true basis for the implication in </w:t>
      </w:r>
      <w:r w:rsidRPr="00A54CB9">
        <w:rPr>
          <w:rFonts w:ascii="Times New Roman" w:hAnsi="Times New Roman"/>
          <w:i w:val="0"/>
          <w:iCs/>
        </w:rPr>
        <w:t xml:space="preserve">Graham </w:t>
      </w:r>
      <w:r w:rsidRPr="00A54CB9">
        <w:rPr>
          <w:rFonts w:ascii="Times New Roman" w:hAnsi="Times New Roman"/>
        </w:rPr>
        <w:t xml:space="preserve">  </w:t>
      </w:r>
    </w:p>
    <w:p w14:paraId="3D7729F0"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In </w:t>
      </w:r>
      <w:r w:rsidRPr="00A54CB9">
        <w:rPr>
          <w:rFonts w:ascii="Times New Roman" w:hAnsi="Times New Roman"/>
          <w:i/>
          <w:iCs/>
        </w:rPr>
        <w:t>Graham</w:t>
      </w:r>
      <w:r w:rsidRPr="00A54CB9">
        <w:rPr>
          <w:rFonts w:ascii="Times New Roman" w:hAnsi="Times New Roman"/>
        </w:rPr>
        <w:t>, the majority of this Court supported the new constitutional implication by reference to "the rule of law".</w:t>
      </w:r>
      <w:r w:rsidRPr="00A54CB9">
        <w:rPr>
          <w:rStyle w:val="FootnoteReference"/>
          <w:rFonts w:ascii="Times New Roman" w:hAnsi="Times New Roman"/>
          <w:sz w:val="24"/>
        </w:rPr>
        <w:footnoteReference w:id="246"/>
      </w:r>
      <w:r w:rsidRPr="00A54CB9">
        <w:rPr>
          <w:rFonts w:ascii="Times New Roman" w:hAnsi="Times New Roman"/>
        </w:rPr>
        <w:t xml:space="preserve"> The rule of law is a marvellous sounding thing but it is a concept with hotly disputed content and boundaries.</w:t>
      </w:r>
      <w:r w:rsidRPr="00A54CB9">
        <w:rPr>
          <w:rStyle w:val="FootnoteReference"/>
          <w:rFonts w:ascii="Times New Roman" w:hAnsi="Times New Roman"/>
          <w:sz w:val="24"/>
        </w:rPr>
        <w:footnoteReference w:id="247"/>
      </w:r>
      <w:r w:rsidRPr="00A54CB9">
        <w:rPr>
          <w:rFonts w:ascii="Times New Roman" w:hAnsi="Times New Roman"/>
        </w:rPr>
        <w:t xml:space="preserve"> It is perhaps best understood as a "cluster of ideals",</w:t>
      </w:r>
      <w:r w:rsidRPr="00A54CB9">
        <w:rPr>
          <w:rStyle w:val="FootnoteReference"/>
          <w:rFonts w:ascii="Times New Roman" w:hAnsi="Times New Roman"/>
          <w:sz w:val="24"/>
        </w:rPr>
        <w:footnoteReference w:id="248"/>
      </w:r>
      <w:r w:rsidRPr="00A54CB9">
        <w:rPr>
          <w:rFonts w:ascii="Times New Roman" w:hAnsi="Times New Roman"/>
        </w:rPr>
        <w:t xml:space="preserve"> although it has a habit of being used to replace substantive reasoning and treated as "so uniquely important that other ideals (democracy, respect for human rights, the eradication of poverty, 'life, liberty, and the pursuit of happiness,' solidarity, cultural diversity, etc) had better </w:t>
      </w:r>
      <w:r w:rsidRPr="00A54CB9">
        <w:rPr>
          <w:rFonts w:ascii="Times New Roman" w:hAnsi="Times New Roman"/>
        </w:rPr>
        <w:lastRenderedPageBreak/>
        <w:t>be part of it, or else be condemned to unimportance".</w:t>
      </w:r>
      <w:r w:rsidRPr="00A54CB9">
        <w:rPr>
          <w:rStyle w:val="FootnoteReference"/>
          <w:rFonts w:ascii="Times New Roman" w:hAnsi="Times New Roman"/>
          <w:sz w:val="24"/>
        </w:rPr>
        <w:footnoteReference w:id="249"/>
      </w:r>
      <w:r w:rsidRPr="00A54CB9">
        <w:rPr>
          <w:rFonts w:ascii="Times New Roman" w:hAnsi="Times New Roman"/>
        </w:rPr>
        <w:t xml:space="preserve"> Nevertheless, at the core of that concept is the "constitutional right of access to the courts".</w:t>
      </w:r>
      <w:r w:rsidRPr="00A54CB9">
        <w:rPr>
          <w:rStyle w:val="FootnoteReference"/>
          <w:rFonts w:ascii="Times New Roman" w:hAnsi="Times New Roman"/>
          <w:sz w:val="24"/>
        </w:rPr>
        <w:footnoteReference w:id="250"/>
      </w:r>
      <w:r w:rsidRPr="00A54CB9">
        <w:rPr>
          <w:rFonts w:ascii="Times New Roman" w:hAnsi="Times New Roman"/>
        </w:rPr>
        <w:t xml:space="preserve"> </w:t>
      </w:r>
    </w:p>
    <w:p w14:paraId="1F90A9D1"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concept of the rule of law, as used in </w:t>
      </w:r>
      <w:r w:rsidRPr="00A54CB9">
        <w:rPr>
          <w:rFonts w:ascii="Times New Roman" w:hAnsi="Times New Roman"/>
          <w:i/>
          <w:iCs/>
        </w:rPr>
        <w:t>Graham</w:t>
      </w:r>
      <w:r w:rsidRPr="00A54CB9">
        <w:rPr>
          <w:rFonts w:ascii="Times New Roman" w:hAnsi="Times New Roman"/>
        </w:rPr>
        <w:t xml:space="preserve"> to describe the foundation for the novel implication recognised in that case, can equally be seen as the foundation of the novel reasoning in the extreme circumstances arising in cases such as </w:t>
      </w:r>
      <w:r w:rsidRPr="00A54CB9">
        <w:rPr>
          <w:rFonts w:ascii="Times New Roman" w:hAnsi="Times New Roman"/>
          <w:i/>
          <w:iCs/>
        </w:rPr>
        <w:t>Kable v Director of Public Prosecutions (NSW)</w:t>
      </w:r>
      <w:r w:rsidRPr="00A54CB9">
        <w:rPr>
          <w:rFonts w:ascii="Times New Roman" w:hAnsi="Times New Roman"/>
        </w:rPr>
        <w:t>,</w:t>
      </w:r>
      <w:r w:rsidRPr="00A54CB9">
        <w:rPr>
          <w:rStyle w:val="FootnoteReference"/>
          <w:rFonts w:ascii="Times New Roman" w:hAnsi="Times New Roman"/>
          <w:sz w:val="24"/>
        </w:rPr>
        <w:footnoteReference w:id="251"/>
      </w:r>
      <w:r w:rsidRPr="00A54CB9">
        <w:rPr>
          <w:rFonts w:ascii="Times New Roman" w:hAnsi="Times New Roman"/>
          <w:i/>
          <w:iCs/>
        </w:rPr>
        <w:t xml:space="preserve"> </w:t>
      </w:r>
      <w:r w:rsidRPr="00A54CB9">
        <w:rPr>
          <w:rFonts w:ascii="Times New Roman" w:hAnsi="Times New Roman"/>
        </w:rPr>
        <w:t xml:space="preserve">and contemplated in cases such as </w:t>
      </w:r>
      <w:r w:rsidRPr="00A54CB9">
        <w:rPr>
          <w:rFonts w:ascii="Times New Roman" w:hAnsi="Times New Roman"/>
          <w:i/>
          <w:iCs/>
        </w:rPr>
        <w:t xml:space="preserve">Plaintiff S157/2002 v </w:t>
      </w:r>
      <w:r w:rsidRPr="00A54CB9">
        <w:rPr>
          <w:rFonts w:ascii="Times New Roman" w:hAnsi="Times New Roman"/>
          <w:i/>
        </w:rPr>
        <w:t>The</w:t>
      </w:r>
      <w:r w:rsidRPr="00A54CB9">
        <w:rPr>
          <w:rFonts w:ascii="Times New Roman" w:hAnsi="Times New Roman"/>
          <w:i/>
          <w:iCs/>
        </w:rPr>
        <w:t xml:space="preserve"> Commonwealth</w:t>
      </w:r>
      <w:r w:rsidRPr="00A54CB9">
        <w:rPr>
          <w:rStyle w:val="FootnoteReference"/>
          <w:rFonts w:ascii="Times New Roman" w:hAnsi="Times New Roman"/>
          <w:sz w:val="24"/>
        </w:rPr>
        <w:footnoteReference w:id="252"/>
      </w:r>
      <w:r w:rsidRPr="00A54CB9">
        <w:rPr>
          <w:rFonts w:ascii="Times New Roman" w:hAnsi="Times New Roman"/>
        </w:rPr>
        <w:t xml:space="preserve"> and</w:t>
      </w:r>
      <w:r w:rsidRPr="00A54CB9">
        <w:rPr>
          <w:rFonts w:ascii="Times New Roman" w:hAnsi="Times New Roman"/>
          <w:i/>
          <w:iCs/>
        </w:rPr>
        <w:t xml:space="preserve"> Kirk v Industrial Court (NSW).</w:t>
      </w:r>
      <w:r w:rsidRPr="00A54CB9">
        <w:rPr>
          <w:rStyle w:val="FootnoteReference"/>
          <w:rFonts w:ascii="Times New Roman" w:hAnsi="Times New Roman"/>
          <w:sz w:val="24"/>
        </w:rPr>
        <w:footnoteReference w:id="253"/>
      </w:r>
      <w:r w:rsidRPr="00A54CB9">
        <w:rPr>
          <w:rFonts w:ascii="Times New Roman" w:hAnsi="Times New Roman"/>
        </w:rPr>
        <w:t xml:space="preserve"> Perhaps with a little more precision, that foundation can be alternatively described, in the words of the submission of Mr Deripaska, which echoed the language of Gummow J,</w:t>
      </w:r>
      <w:r w:rsidRPr="00A54CB9">
        <w:rPr>
          <w:rStyle w:val="FootnoteReference"/>
          <w:rFonts w:ascii="Times New Roman" w:hAnsi="Times New Roman"/>
          <w:sz w:val="24"/>
        </w:rPr>
        <w:footnoteReference w:id="254"/>
      </w:r>
      <w:r w:rsidRPr="00A54CB9">
        <w:rPr>
          <w:rFonts w:ascii="Times New Roman" w:hAnsi="Times New Roman"/>
        </w:rPr>
        <w:t xml:space="preserve"> as concerned with extreme laws that are considered to be "obnoxious" to presuppositions of Ch III of the </w:t>
      </w:r>
      <w:r w:rsidRPr="00A54CB9">
        <w:rPr>
          <w:rFonts w:ascii="Times New Roman" w:hAnsi="Times New Roman"/>
          <w:i/>
          <w:iCs/>
        </w:rPr>
        <w:t xml:space="preserve">Constitution </w:t>
      </w:r>
      <w:r w:rsidRPr="00A54CB9">
        <w:rPr>
          <w:rFonts w:ascii="Times New Roman" w:hAnsi="Times New Roman"/>
        </w:rPr>
        <w:t>concerning the exercise of judicial power (in accordance with substantive and procedural justice). For the terms of particular presuppositions, there are different textual indications which support their existence and shape their content as constitutional</w:t>
      </w:r>
      <w:r w:rsidRPr="00A54CB9">
        <w:rPr>
          <w:rFonts w:ascii="Times New Roman" w:hAnsi="Times New Roman"/>
          <w:i/>
          <w:iCs/>
        </w:rPr>
        <w:t xml:space="preserve"> </w:t>
      </w:r>
      <w:r w:rsidRPr="00A54CB9">
        <w:rPr>
          <w:rFonts w:ascii="Times New Roman" w:hAnsi="Times New Roman"/>
        </w:rPr>
        <w:t>implications. But the presuppositions are closely related.</w:t>
      </w:r>
      <w:r w:rsidRPr="00A54CB9">
        <w:rPr>
          <w:rStyle w:val="FootnoteReference"/>
          <w:rFonts w:ascii="Times New Roman" w:hAnsi="Times New Roman"/>
          <w:sz w:val="24"/>
        </w:rPr>
        <w:footnoteReference w:id="255"/>
      </w:r>
      <w:r w:rsidRPr="00A54CB9">
        <w:rPr>
          <w:rFonts w:ascii="Times New Roman" w:hAnsi="Times New Roman"/>
        </w:rPr>
        <w:t xml:space="preserve"> </w:t>
      </w:r>
    </w:p>
    <w:p w14:paraId="0BCF714C" w14:textId="02A012B9"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r>
      <w:r>
        <w:rPr>
          <w:rFonts w:ascii="Times New Roman" w:hAnsi="Times New Roman"/>
        </w:rPr>
        <w:t xml:space="preserve">The particular presupposition recognised by the majority in </w:t>
      </w:r>
      <w:r>
        <w:rPr>
          <w:rFonts w:ascii="Times New Roman" w:hAnsi="Times New Roman"/>
          <w:i/>
          <w:iCs/>
        </w:rPr>
        <w:t xml:space="preserve">Graham </w:t>
      </w:r>
      <w:r>
        <w:rPr>
          <w:rFonts w:ascii="Times New Roman" w:hAnsi="Times New Roman"/>
        </w:rPr>
        <w:t xml:space="preserve">is </w:t>
      </w:r>
      <w:r w:rsidRPr="00A54CB9">
        <w:rPr>
          <w:rFonts w:ascii="Times New Roman" w:hAnsi="Times New Roman"/>
        </w:rPr>
        <w:t xml:space="preserve">an implicature, an implication derived more from context </w:t>
      </w:r>
      <w:r>
        <w:rPr>
          <w:rFonts w:ascii="Times New Roman" w:hAnsi="Times New Roman"/>
        </w:rPr>
        <w:t xml:space="preserve">and assumptions </w:t>
      </w:r>
      <w:r w:rsidRPr="00A54CB9">
        <w:rPr>
          <w:rFonts w:ascii="Times New Roman" w:hAnsi="Times New Roman"/>
        </w:rPr>
        <w:t>(such as the rule of law) than from the text of s 75(v)</w:t>
      </w:r>
      <w:r>
        <w:rPr>
          <w:rFonts w:ascii="Times New Roman" w:hAnsi="Times New Roman"/>
        </w:rPr>
        <w:t>.</w:t>
      </w:r>
      <w:r w:rsidRPr="00A54CB9">
        <w:rPr>
          <w:rFonts w:ascii="Times New Roman" w:hAnsi="Times New Roman"/>
        </w:rPr>
        <w:t xml:space="preserve"> </w:t>
      </w:r>
      <w:r>
        <w:rPr>
          <w:rFonts w:ascii="Times New Roman" w:hAnsi="Times New Roman"/>
        </w:rPr>
        <w:t xml:space="preserve">Whatever the view of its legitimacy, that implicature </w:t>
      </w:r>
      <w:r w:rsidRPr="00A54CB9">
        <w:rPr>
          <w:rFonts w:ascii="Times New Roman" w:hAnsi="Times New Roman"/>
        </w:rPr>
        <w:t xml:space="preserve">recognised by the majority in </w:t>
      </w:r>
      <w:r w:rsidRPr="00A54CB9">
        <w:rPr>
          <w:rFonts w:ascii="Times New Roman" w:hAnsi="Times New Roman"/>
          <w:i/>
          <w:iCs/>
        </w:rPr>
        <w:t xml:space="preserve">Graham </w:t>
      </w:r>
      <w:r w:rsidRPr="00A54CB9">
        <w:rPr>
          <w:rFonts w:ascii="Times New Roman" w:hAnsi="Times New Roman"/>
        </w:rPr>
        <w:t>should be seen, at a higher level of generality, as forming part of the now-established skein of constitutional jurisprudence mentioned above in which, at the extreme boundaries,</w:t>
      </w:r>
      <w:r w:rsidRPr="00A54CB9">
        <w:rPr>
          <w:rStyle w:val="FootnoteReference"/>
          <w:rFonts w:ascii="Times New Roman" w:hAnsi="Times New Roman"/>
          <w:sz w:val="24"/>
        </w:rPr>
        <w:footnoteReference w:id="256"/>
      </w:r>
      <w:r w:rsidRPr="00A54CB9">
        <w:rPr>
          <w:rFonts w:ascii="Times New Roman" w:hAnsi="Times New Roman"/>
        </w:rPr>
        <w:t xml:space="preserve"> Commonwealth or even State laws are invalid if they substantially impair the institutional integrity of a court within the integrated federal system established by Ch III of the </w:t>
      </w:r>
      <w:r w:rsidRPr="00A54CB9">
        <w:rPr>
          <w:rFonts w:ascii="Times New Roman" w:hAnsi="Times New Roman"/>
          <w:i/>
          <w:iCs/>
        </w:rPr>
        <w:t>Constitution</w:t>
      </w:r>
      <w:r w:rsidRPr="00A54CB9">
        <w:rPr>
          <w:rFonts w:ascii="Times New Roman" w:hAnsi="Times New Roman"/>
        </w:rPr>
        <w:t xml:space="preserve">. Indeed, the Supreme Court of Canada has recognised an implicature involving a constitutional guarantee of judicial review, encompassing similar content to those recognised in </w:t>
      </w:r>
      <w:r w:rsidRPr="00A54CB9">
        <w:rPr>
          <w:rFonts w:ascii="Times New Roman" w:hAnsi="Times New Roman"/>
          <w:i/>
          <w:iCs/>
        </w:rPr>
        <w:t xml:space="preserve">Kirk </w:t>
      </w:r>
      <w:r w:rsidRPr="00A54CB9">
        <w:rPr>
          <w:rFonts w:ascii="Times New Roman" w:hAnsi="Times New Roman"/>
        </w:rPr>
        <w:t xml:space="preserve">and in </w:t>
      </w:r>
      <w:r w:rsidRPr="00A54CB9">
        <w:rPr>
          <w:rFonts w:ascii="Times New Roman" w:hAnsi="Times New Roman"/>
          <w:i/>
          <w:iCs/>
        </w:rPr>
        <w:t>Graham</w:t>
      </w:r>
      <w:r w:rsidRPr="00A54CB9">
        <w:rPr>
          <w:rFonts w:ascii="Times New Roman" w:hAnsi="Times New Roman"/>
        </w:rPr>
        <w:t xml:space="preserve">, from the very different text of s 96 of the </w:t>
      </w:r>
      <w:r w:rsidRPr="00A54CB9">
        <w:rPr>
          <w:rFonts w:ascii="Times New Roman" w:hAnsi="Times New Roman"/>
          <w:i/>
          <w:iCs/>
        </w:rPr>
        <w:t xml:space="preserve">Constitution Act </w:t>
      </w:r>
      <w:r w:rsidRPr="00A54CB9">
        <w:rPr>
          <w:rFonts w:ascii="Times New Roman" w:hAnsi="Times New Roman"/>
          <w:i/>
        </w:rPr>
        <w:t xml:space="preserve">1867 </w:t>
      </w:r>
      <w:r w:rsidRPr="00A54CB9">
        <w:rPr>
          <w:rFonts w:ascii="Times New Roman" w:hAnsi="Times New Roman"/>
        </w:rPr>
        <w:t xml:space="preserve">(Can), which (in broad terms) provides </w:t>
      </w:r>
      <w:r w:rsidRPr="00A54CB9">
        <w:rPr>
          <w:rFonts w:ascii="Times New Roman" w:hAnsi="Times New Roman"/>
        </w:rPr>
        <w:lastRenderedPageBreak/>
        <w:t>for federal appointment of provincial judges.</w:t>
      </w:r>
      <w:r w:rsidRPr="00A54CB9">
        <w:rPr>
          <w:rStyle w:val="FootnoteReference"/>
          <w:rFonts w:ascii="Times New Roman" w:hAnsi="Times New Roman"/>
          <w:sz w:val="24"/>
        </w:rPr>
        <w:footnoteReference w:id="257"/>
      </w:r>
      <w:r w:rsidRPr="00A54CB9">
        <w:rPr>
          <w:rFonts w:ascii="Times New Roman" w:hAnsi="Times New Roman"/>
        </w:rPr>
        <w:t xml:space="preserve"> That implicature has since been said to be based upon the same "rule of law" foundation,</w:t>
      </w:r>
      <w:r w:rsidRPr="00A54CB9">
        <w:rPr>
          <w:rStyle w:val="FootnoteReference"/>
          <w:rFonts w:ascii="Times New Roman" w:hAnsi="Times New Roman"/>
          <w:sz w:val="24"/>
        </w:rPr>
        <w:footnoteReference w:id="258"/>
      </w:r>
      <w:r w:rsidRPr="00A54CB9">
        <w:rPr>
          <w:rFonts w:ascii="Times New Roman" w:hAnsi="Times New Roman"/>
        </w:rPr>
        <w:t xml:space="preserve"> and has been applied to recognise that all "powers which are 'hallmarks of superior [sic</w:t>
      </w:r>
      <w:r w:rsidRPr="00A54CB9">
        <w:rPr>
          <w:rStyle w:val="FootnoteReference"/>
          <w:rFonts w:ascii="Times New Roman" w:hAnsi="Times New Roman"/>
          <w:sz w:val="24"/>
        </w:rPr>
        <w:footnoteReference w:id="259"/>
      </w:r>
      <w:r w:rsidRPr="00A54CB9">
        <w:rPr>
          <w:rFonts w:ascii="Times New Roman" w:hAnsi="Times New Roman"/>
        </w:rPr>
        <w:t>] courts' cannot be removed from those courts",</w:t>
      </w:r>
      <w:r w:rsidRPr="00A54CB9">
        <w:rPr>
          <w:rStyle w:val="FootnoteReference"/>
          <w:rFonts w:ascii="Times New Roman" w:hAnsi="Times New Roman"/>
          <w:sz w:val="24"/>
        </w:rPr>
        <w:footnoteReference w:id="260"/>
      </w:r>
      <w:r w:rsidRPr="00A54CB9">
        <w:rPr>
          <w:rFonts w:ascii="Times New Roman" w:hAnsi="Times New Roman"/>
        </w:rPr>
        <w:t xml:space="preserve"> and that "[m]easures that prevent people from coming to the courts to have [disputes] resolved are at odds with" the "very book of business" of courts and strike "at the core" of the jurisdiction protected by s</w:t>
      </w:r>
      <w:r w:rsidR="00BC50F0">
        <w:rPr>
          <w:rFonts w:ascii="Times New Roman" w:hAnsi="Times New Roman"/>
        </w:rPr>
        <w:t> </w:t>
      </w:r>
      <w:r w:rsidRPr="00A54CB9">
        <w:rPr>
          <w:rFonts w:ascii="Times New Roman" w:hAnsi="Times New Roman"/>
        </w:rPr>
        <w:t>96.</w:t>
      </w:r>
      <w:r w:rsidRPr="00A54CB9">
        <w:rPr>
          <w:rStyle w:val="FootnoteReference"/>
          <w:rFonts w:ascii="Times New Roman" w:hAnsi="Times New Roman"/>
          <w:sz w:val="24"/>
        </w:rPr>
        <w:footnoteReference w:id="261"/>
      </w:r>
      <w:r w:rsidRPr="00A54CB9">
        <w:rPr>
          <w:rFonts w:ascii="Times New Roman" w:hAnsi="Times New Roman"/>
        </w:rPr>
        <w:t xml:space="preserve"> </w:t>
      </w:r>
    </w:p>
    <w:p w14:paraId="303A3731"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For these reasons, there must be at least serious doubt whether the decision in </w:t>
      </w:r>
      <w:r w:rsidRPr="00A54CB9">
        <w:rPr>
          <w:rFonts w:ascii="Times New Roman" w:hAnsi="Times New Roman"/>
          <w:i/>
          <w:iCs/>
        </w:rPr>
        <w:t xml:space="preserve">Graham </w:t>
      </w:r>
      <w:r w:rsidRPr="00A54CB9">
        <w:rPr>
          <w:rFonts w:ascii="Times New Roman" w:hAnsi="Times New Roman"/>
        </w:rPr>
        <w:t xml:space="preserve">should be taken to have been intended by the majority in that case to be confined to the pocket of the </w:t>
      </w:r>
      <w:r w:rsidRPr="00A54CB9">
        <w:rPr>
          <w:rFonts w:ascii="Times New Roman" w:hAnsi="Times New Roman"/>
          <w:i/>
          <w:iCs/>
        </w:rPr>
        <w:t xml:space="preserve">Constitution </w:t>
      </w:r>
      <w:r w:rsidRPr="00A54CB9">
        <w:rPr>
          <w:rFonts w:ascii="Times New Roman" w:hAnsi="Times New Roman"/>
        </w:rPr>
        <w:t xml:space="preserve">concerned with preventing curtailment only of judicial review capacities of a court exercising federal jurisdiction under s 75(v) of the </w:t>
      </w:r>
      <w:r w:rsidRPr="00A54CB9">
        <w:rPr>
          <w:rFonts w:ascii="Times New Roman" w:hAnsi="Times New Roman"/>
          <w:i/>
          <w:iCs/>
        </w:rPr>
        <w:t xml:space="preserve">Constitution </w:t>
      </w:r>
      <w:r w:rsidRPr="00A54CB9">
        <w:rPr>
          <w:rFonts w:ascii="Times New Roman" w:hAnsi="Times New Roman"/>
        </w:rPr>
        <w:t xml:space="preserve">or s 39B(1) of the </w:t>
      </w:r>
      <w:r w:rsidRPr="00A54CB9">
        <w:rPr>
          <w:rFonts w:ascii="Times New Roman" w:hAnsi="Times New Roman"/>
          <w:i/>
          <w:iCs/>
        </w:rPr>
        <w:t xml:space="preserve">Judiciary Act. </w:t>
      </w:r>
      <w:r w:rsidRPr="00A54CB9">
        <w:rPr>
          <w:rFonts w:ascii="Times New Roman" w:hAnsi="Times New Roman"/>
        </w:rPr>
        <w:t>Indeed,</w:t>
      </w:r>
      <w:r w:rsidRPr="00A54CB9">
        <w:rPr>
          <w:rFonts w:ascii="Times New Roman" w:hAnsi="Times New Roman"/>
          <w:i/>
          <w:iCs/>
        </w:rPr>
        <w:t xml:space="preserve"> </w:t>
      </w:r>
      <w:r w:rsidRPr="00A54CB9">
        <w:rPr>
          <w:rFonts w:ascii="Times New Roman" w:hAnsi="Times New Roman"/>
        </w:rPr>
        <w:t>as has been astutely observed,</w:t>
      </w:r>
      <w:r w:rsidRPr="00A54CB9">
        <w:rPr>
          <w:rStyle w:val="FootnoteReference"/>
          <w:rFonts w:ascii="Times New Roman" w:hAnsi="Times New Roman"/>
          <w:sz w:val="24"/>
        </w:rPr>
        <w:footnoteReference w:id="262"/>
      </w:r>
      <w:r w:rsidRPr="00A54CB9">
        <w:rPr>
          <w:rFonts w:ascii="Times New Roman" w:hAnsi="Times New Roman"/>
        </w:rPr>
        <w:t xml:space="preserve"> if the decision in </w:t>
      </w:r>
      <w:r w:rsidRPr="00A54CB9">
        <w:rPr>
          <w:rFonts w:ascii="Times New Roman" w:hAnsi="Times New Roman"/>
          <w:i/>
          <w:iCs/>
        </w:rPr>
        <w:t xml:space="preserve">Graham </w:t>
      </w:r>
      <w:r w:rsidRPr="00A54CB9">
        <w:rPr>
          <w:rFonts w:ascii="Times New Roman" w:hAnsi="Times New Roman"/>
        </w:rPr>
        <w:t>were so confined then the majority may have created one of the very things which Ch III is said to deny: two separate systems of justice, one for Ch III courts operating in federal jurisdiction and one for Ch III courts operating outside it.</w:t>
      </w:r>
      <w:r w:rsidRPr="00A54CB9">
        <w:rPr>
          <w:rStyle w:val="FootnoteReference"/>
          <w:rFonts w:ascii="Times New Roman" w:hAnsi="Times New Roman"/>
          <w:sz w:val="24"/>
        </w:rPr>
        <w:footnoteReference w:id="263"/>
      </w:r>
      <w:r w:rsidRPr="00A54CB9">
        <w:rPr>
          <w:rFonts w:ascii="Times New Roman" w:hAnsi="Times New Roman"/>
        </w:rPr>
        <w:t xml:space="preserve"> </w:t>
      </w:r>
    </w:p>
    <w:p w14:paraId="446430B0"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lastRenderedPageBreak/>
        <w:tab/>
        <w:t xml:space="preserve">Curiously, despite concluding that the impugned law in </w:t>
      </w:r>
      <w:r w:rsidRPr="00A54CB9">
        <w:rPr>
          <w:rFonts w:ascii="Times New Roman" w:hAnsi="Times New Roman"/>
          <w:i/>
          <w:iCs/>
        </w:rPr>
        <w:t xml:space="preserve">Graham </w:t>
      </w:r>
      <w:r w:rsidRPr="00A54CB9">
        <w:rPr>
          <w:rFonts w:ascii="Times New Roman" w:hAnsi="Times New Roman"/>
        </w:rPr>
        <w:t xml:space="preserve">involved a substantial curtailment of the court's judicial review capacity, the majority also held, in succinct reasoning, that the same impugned law did not offend the doctrine developed in </w:t>
      </w:r>
      <w:r w:rsidRPr="00A54CB9">
        <w:rPr>
          <w:rFonts w:ascii="Times New Roman" w:hAnsi="Times New Roman"/>
          <w:i/>
          <w:iCs/>
        </w:rPr>
        <w:t xml:space="preserve">Kable </w:t>
      </w:r>
      <w:r w:rsidRPr="00A54CB9">
        <w:rPr>
          <w:rFonts w:ascii="Times New Roman" w:hAnsi="Times New Roman"/>
        </w:rPr>
        <w:t>in that it did not substantially impair the court's institutional integrity.</w:t>
      </w:r>
      <w:r w:rsidRPr="00A54CB9">
        <w:rPr>
          <w:rStyle w:val="FootnoteReference"/>
          <w:rFonts w:ascii="Times New Roman" w:hAnsi="Times New Roman"/>
          <w:sz w:val="24"/>
        </w:rPr>
        <w:footnoteReference w:id="264"/>
      </w:r>
      <w:r w:rsidRPr="00A54CB9">
        <w:rPr>
          <w:rFonts w:ascii="Times New Roman" w:hAnsi="Times New Roman"/>
        </w:rPr>
        <w:t xml:space="preserve"> I agreed with that conclusion,</w:t>
      </w:r>
      <w:r w:rsidRPr="00A54CB9">
        <w:rPr>
          <w:rStyle w:val="FootnoteReference"/>
          <w:rFonts w:ascii="Times New Roman" w:hAnsi="Times New Roman"/>
          <w:sz w:val="24"/>
        </w:rPr>
        <w:footnoteReference w:id="265"/>
      </w:r>
      <w:r w:rsidRPr="00A54CB9">
        <w:rPr>
          <w:rFonts w:ascii="Times New Roman" w:hAnsi="Times New Roman"/>
        </w:rPr>
        <w:t xml:space="preserve"> but essentially for the same reasons that I held that there was no substantial curtailment of the court's judicial review capacity: it is implausible that the </w:t>
      </w:r>
      <w:r w:rsidRPr="00A54CB9">
        <w:rPr>
          <w:rFonts w:ascii="Times New Roman" w:hAnsi="Times New Roman"/>
          <w:i/>
          <w:iCs/>
        </w:rPr>
        <w:t xml:space="preserve">Constitution </w:t>
      </w:r>
      <w:r w:rsidRPr="00A54CB9">
        <w:rPr>
          <w:rFonts w:ascii="Times New Roman" w:hAnsi="Times New Roman"/>
        </w:rPr>
        <w:t>had impliedly excluded a law that reflected an unbroken tradition of more extreme constraints "which had existed for more than 150 years before Federation, and which had become a standardised restriction in the mid-19th century".</w:t>
      </w:r>
      <w:r w:rsidRPr="00A54CB9">
        <w:rPr>
          <w:rStyle w:val="FootnoteReference"/>
          <w:rFonts w:ascii="Times New Roman" w:hAnsi="Times New Roman"/>
          <w:sz w:val="24"/>
        </w:rPr>
        <w:footnoteReference w:id="266"/>
      </w:r>
      <w:r w:rsidRPr="00A54CB9">
        <w:rPr>
          <w:rFonts w:ascii="Times New Roman" w:hAnsi="Times New Roman"/>
        </w:rPr>
        <w:t xml:space="preserve"> This was especially so in circumstances in which this Court had upheld constraints on judicial review that were more extreme than the impugned law.</w:t>
      </w:r>
      <w:r w:rsidRPr="00A54CB9">
        <w:rPr>
          <w:rStyle w:val="FootnoteReference"/>
          <w:rFonts w:ascii="Times New Roman" w:hAnsi="Times New Roman"/>
          <w:sz w:val="24"/>
        </w:rPr>
        <w:footnoteReference w:id="267"/>
      </w:r>
      <w:r w:rsidRPr="00A54CB9">
        <w:rPr>
          <w:rFonts w:ascii="Times New Roman" w:hAnsi="Times New Roman"/>
        </w:rPr>
        <w:t xml:space="preserve"> But if the objections in my minority reasons are put to one side, as they must now be, and it is accepted that there was a substantial curtailment of the court's judicial review capacity by the law considered in </w:t>
      </w:r>
      <w:r w:rsidRPr="00A54CB9">
        <w:rPr>
          <w:rFonts w:ascii="Times New Roman" w:hAnsi="Times New Roman"/>
          <w:i/>
          <w:iCs/>
        </w:rPr>
        <w:t>Graham</w:t>
      </w:r>
      <w:r w:rsidRPr="00A54CB9">
        <w:rPr>
          <w:rFonts w:ascii="Times New Roman" w:hAnsi="Times New Roman"/>
        </w:rPr>
        <w:t xml:space="preserve">, then it is very difficult to see why such a curtailment of a core function of a Ch III court is not a substantial impairment of the institutional integrity of that Ch III court.  </w:t>
      </w:r>
    </w:p>
    <w:p w14:paraId="52AC9A44"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same point has been made by commentators concerning the succinct reasoning of the majority on this </w:t>
      </w:r>
      <w:r w:rsidRPr="00A54CB9">
        <w:rPr>
          <w:rFonts w:ascii="Times New Roman" w:hAnsi="Times New Roman"/>
          <w:i/>
          <w:iCs/>
        </w:rPr>
        <w:t>Kable</w:t>
      </w:r>
      <w:r w:rsidRPr="00A54CB9">
        <w:rPr>
          <w:rFonts w:ascii="Times New Roman" w:hAnsi="Times New Roman"/>
        </w:rPr>
        <w:t xml:space="preserve"> issue, in terms which, respectfully, are unanswerable. As one commentator observed:</w:t>
      </w:r>
      <w:r w:rsidRPr="00A54CB9">
        <w:rPr>
          <w:rStyle w:val="FootnoteReference"/>
          <w:rFonts w:ascii="Times New Roman" w:hAnsi="Times New Roman"/>
          <w:sz w:val="24"/>
        </w:rPr>
        <w:footnoteReference w:id="268"/>
      </w:r>
      <w:r w:rsidRPr="00A54CB9">
        <w:rPr>
          <w:rFonts w:ascii="Times New Roman" w:hAnsi="Times New Roman"/>
        </w:rPr>
        <w:t xml:space="preserve"> (i) the majority reasoning was in tension with reasoning in earlier decisions of this Court concerning the matters that could be a substantial impairment of the institutional integrity of a Ch III court;</w:t>
      </w:r>
      <w:r w:rsidRPr="00A54CB9">
        <w:rPr>
          <w:rStyle w:val="FootnoteReference"/>
          <w:rFonts w:ascii="Times New Roman" w:hAnsi="Times New Roman"/>
          <w:sz w:val="24"/>
        </w:rPr>
        <w:footnoteReference w:id="269"/>
      </w:r>
      <w:r w:rsidRPr="00A54CB9">
        <w:rPr>
          <w:rFonts w:ascii="Times New Roman" w:hAnsi="Times New Roman"/>
        </w:rPr>
        <w:t xml:space="preserve"> (ii) the majority reasoning "sat uneasily" with the implication drawn by the Court concerning s 75(v); and (iii) the majority reasoning involved "an apparent failure </w:t>
      </w:r>
      <w:r w:rsidRPr="00A54CB9">
        <w:rPr>
          <w:rFonts w:ascii="Times New Roman" w:hAnsi="Times New Roman"/>
        </w:rPr>
        <w:lastRenderedPageBreak/>
        <w:t xml:space="preserve">... to fully appreciate the relationship between jurisdiction and judicial power". As another commentator observed, the factors relied upon by the majority in support of the implication concerning s 75(v) were "the very same factors that did not move the Court in the context of the broader Chapter III argument [concerning </w:t>
      </w:r>
      <w:r w:rsidRPr="00A54CB9">
        <w:rPr>
          <w:rFonts w:ascii="Times New Roman" w:hAnsi="Times New Roman"/>
          <w:i/>
          <w:iCs/>
        </w:rPr>
        <w:t>Kable</w:t>
      </w:r>
      <w:r w:rsidRPr="00A54CB9">
        <w:rPr>
          <w:rFonts w:ascii="Times New Roman" w:hAnsi="Times New Roman"/>
        </w:rPr>
        <w:t>]".</w:t>
      </w:r>
      <w:r w:rsidRPr="00A54CB9">
        <w:rPr>
          <w:rStyle w:val="FootnoteReference"/>
          <w:rFonts w:ascii="Times New Roman" w:hAnsi="Times New Roman"/>
          <w:sz w:val="24"/>
        </w:rPr>
        <w:footnoteReference w:id="270"/>
      </w:r>
      <w:r w:rsidRPr="00A54CB9">
        <w:rPr>
          <w:rFonts w:ascii="Times New Roman" w:hAnsi="Times New Roman"/>
        </w:rPr>
        <w:t xml:space="preserve"> In short, what the majority in </w:t>
      </w:r>
      <w:r w:rsidRPr="00A54CB9">
        <w:rPr>
          <w:rFonts w:ascii="Times New Roman" w:hAnsi="Times New Roman"/>
          <w:i/>
          <w:iCs/>
        </w:rPr>
        <w:t>Graham</w:t>
      </w:r>
      <w:r w:rsidRPr="00A54CB9">
        <w:rPr>
          <w:rFonts w:ascii="Times New Roman" w:hAnsi="Times New Roman"/>
        </w:rPr>
        <w:t xml:space="preserve"> took away with the hand that denied a substantial impairment of the institutional integrity of a court was given right back with the hand that recognised "a substantial curtailment of the capacity of a court".</w:t>
      </w:r>
      <w:r w:rsidRPr="00A54CB9">
        <w:rPr>
          <w:rStyle w:val="FootnoteReference"/>
          <w:rFonts w:ascii="Times New Roman" w:hAnsi="Times New Roman"/>
          <w:sz w:val="24"/>
        </w:rPr>
        <w:footnoteReference w:id="271"/>
      </w:r>
      <w:r w:rsidRPr="00A54CB9">
        <w:rPr>
          <w:rFonts w:ascii="Times New Roman" w:hAnsi="Times New Roman"/>
        </w:rPr>
        <w:t xml:space="preserve">  </w:t>
      </w:r>
    </w:p>
    <w:p w14:paraId="42A703BC"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The expression "institutional integrity" might not provide much more clarity than the well-meaning sloppiness of thought sometimes underlying rhetorical appeals to the rule of law. But it does encapsulate</w:t>
      </w:r>
      <w:r>
        <w:rPr>
          <w:rFonts w:ascii="Times New Roman" w:hAnsi="Times New Roman"/>
        </w:rPr>
        <w:t>, at that higher level of generality,</w:t>
      </w:r>
      <w:r w:rsidRPr="00A54CB9">
        <w:rPr>
          <w:rFonts w:ascii="Times New Roman" w:hAnsi="Times New Roman"/>
        </w:rPr>
        <w:t xml:space="preserve"> the presupposition, or "assumption",</w:t>
      </w:r>
      <w:r w:rsidRPr="00A54CB9">
        <w:rPr>
          <w:rStyle w:val="FootnoteReference"/>
          <w:rFonts w:ascii="Times New Roman" w:hAnsi="Times New Roman"/>
          <w:sz w:val="24"/>
        </w:rPr>
        <w:footnoteReference w:id="272"/>
      </w:r>
      <w:r w:rsidRPr="00A54CB9">
        <w:rPr>
          <w:rFonts w:ascii="Times New Roman" w:hAnsi="Times New Roman"/>
        </w:rPr>
        <w:t xml:space="preserve"> which has been consistently reinforced by what is now a significant line of decisions concerning Ch III of the </w:t>
      </w:r>
      <w:r w:rsidRPr="00A54CB9">
        <w:rPr>
          <w:rFonts w:ascii="Times New Roman" w:hAnsi="Times New Roman"/>
          <w:i/>
          <w:iCs/>
        </w:rPr>
        <w:t>Constitution</w:t>
      </w:r>
      <w:r w:rsidRPr="00A54CB9">
        <w:rPr>
          <w:rFonts w:ascii="Times New Roman" w:hAnsi="Times New Roman"/>
        </w:rPr>
        <w:t xml:space="preserve">. The numerous applications of the concept of substantial impairment of institutional integrity range from depriving a Ch III court of one of its essential functions, to treating a Ch III court as a mere arm of the Executive, to conferring incompatible functions upon a judge of a Ch III court as </w:t>
      </w:r>
      <w:r w:rsidRPr="00A54CB9">
        <w:rPr>
          <w:rFonts w:ascii="Times New Roman" w:hAnsi="Times New Roman"/>
          <w:i/>
          <w:iCs/>
        </w:rPr>
        <w:t>persona designata</w:t>
      </w:r>
      <w:r w:rsidRPr="00A54CB9">
        <w:rPr>
          <w:rFonts w:ascii="Times New Roman" w:hAnsi="Times New Roman"/>
        </w:rPr>
        <w:t>. The applications of the concept must also extend to extreme instances where a Ch III court is required by Parliament to act with manifest individual injustice, in its procedure or outcome, where that action is not reasonably capable of being seen as necessary for any legitimate purpose of Parliament.</w:t>
      </w:r>
      <w:r w:rsidRPr="00A54CB9">
        <w:rPr>
          <w:rStyle w:val="FootnoteReference"/>
          <w:rFonts w:ascii="Times New Roman" w:hAnsi="Times New Roman"/>
          <w:sz w:val="24"/>
        </w:rPr>
        <w:footnoteReference w:id="273"/>
      </w:r>
      <w:r w:rsidRPr="00A54CB9">
        <w:rPr>
          <w:rFonts w:ascii="Times New Roman" w:hAnsi="Times New Roman"/>
        </w:rPr>
        <w:t xml:space="preserve"> </w:t>
      </w:r>
    </w:p>
    <w:p w14:paraId="1C4725C1"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 xml:space="preserve">The application of the constitutional implication  </w:t>
      </w:r>
    </w:p>
    <w:p w14:paraId="70802A83"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 xml:space="preserve"> </w:t>
      </w:r>
      <w:r w:rsidRPr="00A54CB9">
        <w:rPr>
          <w:rFonts w:ascii="Times New Roman" w:hAnsi="Times New Roman"/>
        </w:rPr>
        <w:tab/>
        <w:t xml:space="preserve">One instance where manifest injustice can arise is by a law which, without being necessary for any legitimate purpose, denies a person the liberty to access legal services by which they might seek to vindicate their rights in a Ch III court. Hence, in </w:t>
      </w:r>
      <w:r w:rsidRPr="00A54CB9">
        <w:rPr>
          <w:rFonts w:ascii="Times New Roman" w:hAnsi="Times New Roman"/>
          <w:i/>
          <w:iCs/>
        </w:rPr>
        <w:t>APLA Ltd v Legal Services Commissioner (NSW)</w:t>
      </w:r>
      <w:r w:rsidRPr="00A54CB9">
        <w:rPr>
          <w:rFonts w:ascii="Times New Roman" w:hAnsi="Times New Roman"/>
        </w:rPr>
        <w:t>,</w:t>
      </w:r>
      <w:r w:rsidRPr="00A54CB9">
        <w:rPr>
          <w:rStyle w:val="FootnoteReference"/>
          <w:rFonts w:ascii="Times New Roman" w:hAnsi="Times New Roman"/>
          <w:sz w:val="24"/>
        </w:rPr>
        <w:footnoteReference w:id="274"/>
      </w:r>
      <w:r w:rsidRPr="00A54CB9">
        <w:rPr>
          <w:rFonts w:ascii="Times New Roman" w:hAnsi="Times New Roman"/>
        </w:rPr>
        <w:t xml:space="preserve"> McHugh J described as a "principle inherent in Ch III" that "persons who have rights under federal law may enforce them in federal jurisdiction with the advice and assistance of qualified legal practitioners in accordance with the traditional judicial process". </w:t>
      </w:r>
      <w:r w:rsidRPr="00A54CB9">
        <w:rPr>
          <w:rFonts w:ascii="Times New Roman" w:hAnsi="Times New Roman"/>
        </w:rPr>
        <w:lastRenderedPageBreak/>
        <w:t>So too, Gummow J said that it may be conceded, without deciding, that a law "denying or forbidding ... legal representation" would be "obnoxious to the exercise of the judicial power of the Commonwealth".</w:t>
      </w:r>
      <w:r w:rsidRPr="00A54CB9">
        <w:rPr>
          <w:rStyle w:val="FootnoteReference"/>
          <w:rFonts w:ascii="Times New Roman" w:hAnsi="Times New Roman"/>
          <w:sz w:val="24"/>
        </w:rPr>
        <w:footnoteReference w:id="275"/>
      </w:r>
      <w:r w:rsidRPr="00A54CB9">
        <w:rPr>
          <w:rFonts w:ascii="Times New Roman" w:hAnsi="Times New Roman"/>
        </w:rPr>
        <w:t xml:space="preserve"> Again, in the same case, Gleeson CJ and Heydon J said:</w:t>
      </w:r>
      <w:r w:rsidRPr="00A54CB9">
        <w:rPr>
          <w:rStyle w:val="FootnoteReference"/>
          <w:rFonts w:ascii="Times New Roman" w:hAnsi="Times New Roman"/>
          <w:sz w:val="24"/>
        </w:rPr>
        <w:footnoteReference w:id="276"/>
      </w:r>
    </w:p>
    <w:p w14:paraId="7FEBD5C7" w14:textId="77777777" w:rsidR="00DE281D" w:rsidRDefault="00DE281D" w:rsidP="00A54CB9">
      <w:pPr>
        <w:pStyle w:val="LeftrightafterHC"/>
        <w:spacing w:before="0" w:after="260" w:line="280" w:lineRule="exact"/>
        <w:ind w:right="0"/>
        <w:jc w:val="both"/>
        <w:rPr>
          <w:rFonts w:ascii="Times New Roman" w:hAnsi="Times New Roman"/>
        </w:rPr>
      </w:pPr>
      <w:r w:rsidRPr="00A54CB9">
        <w:rPr>
          <w:rFonts w:ascii="Times New Roman" w:hAnsi="Times New Roman"/>
        </w:rPr>
        <w:t>"The effective exercise of judicial power, and the maintenance of the rule of law, depend upon the providing of professional legal services so that citizens may know their rights and obligations, and have the capacity to invoke judicial power."</w:t>
      </w:r>
    </w:p>
    <w:p w14:paraId="15752C9B"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extreme denial of a person's liberty to obtain legal services in all courts and in all circumstances is an indirect attack on all of a person's basic rights. It is hard to see how such an extreme denial could ever be justified. The protection of basic rights in civilised societies depends upon the extent to which the State will permit those rights to be prosecuted and vindicated. Information technology has not yet bridged the vast gap in the protection of basic rights between those who obtain legal services to assist with the prosecution of their rights and those who do not. The practical effect of regs 14 and 15, in denying a designated person the ability to obtain any legal services, is to place a substantial impediment upon that person's ability to protect their basic rights. The operation of regs 14 and 15 in this respect is an extreme instance of manifest injustice. </w:t>
      </w:r>
    </w:p>
    <w:p w14:paraId="4B3CECC8"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The Minister did not even attempt to point to any legitimate purpose for treating s 28 of the </w:t>
      </w:r>
      <w:r w:rsidRPr="00A54CB9">
        <w:rPr>
          <w:rFonts w:ascii="Times New Roman" w:hAnsi="Times New Roman"/>
          <w:i/>
          <w:iCs/>
        </w:rPr>
        <w:t xml:space="preserve">Autonomous Sanctions Act </w:t>
      </w:r>
      <w:r w:rsidRPr="00A54CB9">
        <w:rPr>
          <w:rFonts w:ascii="Times New Roman" w:hAnsi="Times New Roman"/>
        </w:rPr>
        <w:t>as extending to regulations of the scope of regs 14 and 15 with the practical effect of denying a designated person the liberty of obtaining any legal services in relation to any matter that might arise in a Ch III court. Instead, the Minister submitted only that "there is no decision ever that Chapter III constitutionally entrenches [a] right to seek legal advice". The Full Court had effectively rejected Mr Deripaska's submission for the same reason.</w:t>
      </w:r>
      <w:r w:rsidRPr="00A54CB9">
        <w:rPr>
          <w:rStyle w:val="FootnoteReference"/>
          <w:rFonts w:ascii="Times New Roman" w:hAnsi="Times New Roman"/>
          <w:sz w:val="24"/>
        </w:rPr>
        <w:footnoteReference w:id="277"/>
      </w:r>
      <w:r w:rsidRPr="00A54CB9">
        <w:rPr>
          <w:rFonts w:ascii="Times New Roman" w:hAnsi="Times New Roman"/>
        </w:rPr>
        <w:t xml:space="preserve"> But, putting to one side the point that a liberty to obtain legal services is not absolute, and might therefore be confined in limited circumstances in the pursuit of legitimate purposes, Mr Deripaska is entirely correct to submit that, by itself, an appeal to novelty "is not a recognised mode of judicial reasoning". </w:t>
      </w:r>
    </w:p>
    <w:p w14:paraId="7B549084"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In the application of the constitutional implication that prevents substantial impairment of the institutional integrity of a Ch III court, there is no principled reason for confining (or limiting the consideration in this case to) a constitutional freedom to laws which impair a designated person's liberty to take actions for the objective purpose of challenging the validity of decisions or actions under the </w:t>
      </w:r>
      <w:r w:rsidRPr="00A54CB9">
        <w:rPr>
          <w:rFonts w:ascii="Times New Roman" w:hAnsi="Times New Roman"/>
          <w:i/>
          <w:iCs/>
        </w:rPr>
        <w:lastRenderedPageBreak/>
        <w:t>Autonomous Sanctions Act</w:t>
      </w:r>
      <w:r w:rsidRPr="00A54CB9">
        <w:rPr>
          <w:rFonts w:ascii="Times New Roman" w:hAnsi="Times New Roman"/>
        </w:rPr>
        <w:t xml:space="preserve"> pursuant to s 75(v) of the </w:t>
      </w:r>
      <w:r w:rsidRPr="00A54CB9">
        <w:rPr>
          <w:rFonts w:ascii="Times New Roman" w:hAnsi="Times New Roman"/>
          <w:i/>
        </w:rPr>
        <w:t>Constitution</w:t>
      </w:r>
      <w:r w:rsidRPr="00A54CB9">
        <w:rPr>
          <w:rFonts w:ascii="Times New Roman" w:hAnsi="Times New Roman"/>
        </w:rPr>
        <w:t xml:space="preserve"> or s 39B(1) of the </w:t>
      </w:r>
      <w:r w:rsidRPr="00A54CB9">
        <w:rPr>
          <w:rFonts w:ascii="Times New Roman" w:hAnsi="Times New Roman"/>
          <w:i/>
          <w:iCs/>
        </w:rPr>
        <w:t>Judiciary Act</w:t>
      </w:r>
      <w:r w:rsidRPr="00A54CB9">
        <w:rPr>
          <w:rFonts w:ascii="Times New Roman" w:hAnsi="Times New Roman"/>
        </w:rPr>
        <w:t>. Suppose, for instance, Mr Deripaska's life or liberty were in immediate peril and the permit which covered his ability to obtain legal services had been revoked. Could it seriously be suggested that the institutional integrity of a Ch III court would require only that Mr Deripaska have the liberty of obtaining legal services for the sterile purpose of challenging the revocation of the permit but not for purposes of protecting or prosecuting his rights to life and liberty? That would be the effect tomorrow if the Minister's submission were accepted today.</w:t>
      </w:r>
    </w:p>
    <w:p w14:paraId="76390C50" w14:textId="77777777" w:rsidR="00DE281D" w:rsidRPr="00A54CB9" w:rsidRDefault="00DE281D" w:rsidP="00A54CB9">
      <w:pPr>
        <w:pStyle w:val="HeadingL2"/>
        <w:spacing w:after="260" w:line="280" w:lineRule="exact"/>
        <w:ind w:right="0"/>
        <w:jc w:val="both"/>
        <w:rPr>
          <w:rFonts w:ascii="Times New Roman" w:hAnsi="Times New Roman"/>
        </w:rPr>
      </w:pPr>
      <w:r w:rsidRPr="00A54CB9">
        <w:rPr>
          <w:rFonts w:ascii="Times New Roman" w:hAnsi="Times New Roman"/>
        </w:rPr>
        <w:t>No barrier to disapplication</w:t>
      </w:r>
    </w:p>
    <w:p w14:paraId="059A5CB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Mr Deripaska submitted that regs 14 and 15 of the </w:t>
      </w:r>
      <w:r w:rsidRPr="00A54CB9">
        <w:rPr>
          <w:rFonts w:ascii="Times New Roman" w:hAnsi="Times New Roman"/>
          <w:i/>
          <w:iCs/>
        </w:rPr>
        <w:t xml:space="preserve">Autonomous Sanctions Regulations </w:t>
      </w:r>
      <w:r w:rsidRPr="00A54CB9">
        <w:rPr>
          <w:rFonts w:ascii="Times New Roman" w:hAnsi="Times New Roman"/>
        </w:rPr>
        <w:t>were entirely invalid because there were different ways in which those regulations could be disapplied. In effect, his submission was that the choice of the extent of disapplication would cross "the borderland between legislative and judicial power".</w:t>
      </w:r>
      <w:r w:rsidRPr="00A54CB9">
        <w:rPr>
          <w:rStyle w:val="FootnoteReference"/>
          <w:rFonts w:ascii="Times New Roman" w:hAnsi="Times New Roman"/>
          <w:sz w:val="24"/>
        </w:rPr>
        <w:footnoteReference w:id="278"/>
      </w:r>
      <w:r w:rsidRPr="00A54CB9">
        <w:rPr>
          <w:rFonts w:ascii="Times New Roman" w:hAnsi="Times New Roman"/>
        </w:rPr>
        <w:t xml:space="preserve"> That submission should not be accepted. The statutory direction to disapply a law (ie a legal rule), relevantly here by s 15A of the </w:t>
      </w:r>
      <w:r w:rsidRPr="00A54CB9">
        <w:rPr>
          <w:rFonts w:ascii="Times New Roman" w:hAnsi="Times New Roman"/>
          <w:i/>
          <w:iCs/>
        </w:rPr>
        <w:t xml:space="preserve">Acts Interpretation Act </w:t>
      </w:r>
      <w:r w:rsidRPr="00A54CB9">
        <w:rPr>
          <w:rFonts w:ascii="Times New Roman" w:hAnsi="Times New Roman"/>
        </w:rPr>
        <w:t xml:space="preserve">and s 13(1)(a) of the </w:t>
      </w:r>
      <w:r w:rsidRPr="00A54CB9">
        <w:rPr>
          <w:rFonts w:ascii="Times New Roman" w:hAnsi="Times New Roman"/>
          <w:i/>
          <w:iCs/>
        </w:rPr>
        <w:t>Legislation Act</w:t>
      </w:r>
      <w:r w:rsidRPr="00A54CB9">
        <w:rPr>
          <w:rFonts w:ascii="Times New Roman" w:hAnsi="Times New Roman"/>
        </w:rPr>
        <w:t xml:space="preserve">, is to disapply partially a law or to sever an invalid law and any other laws inextricable from it, but only to the extent of invalidity and inseverability. It is not a legislative act for a court to determine the minimum degree to which a law can be partially disapplied.  </w:t>
      </w:r>
    </w:p>
    <w:p w14:paraId="0DE39181"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In any event, however, Mr Deripaska's broadest submission concerning disapplication—that s 28 of the </w:t>
      </w:r>
      <w:r w:rsidRPr="00A54CB9">
        <w:rPr>
          <w:rFonts w:ascii="Times New Roman" w:hAnsi="Times New Roman"/>
          <w:i/>
          <w:iCs/>
        </w:rPr>
        <w:t xml:space="preserve">Autonomous Sanctions Act </w:t>
      </w:r>
      <w:r w:rsidRPr="00A54CB9">
        <w:rPr>
          <w:rFonts w:ascii="Times New Roman" w:hAnsi="Times New Roman"/>
        </w:rPr>
        <w:t xml:space="preserve">does not authorise regulations that constrain a designated person from any action for the purpose of obtaining legal services concerning a matter that could arise in a Ch III court—should be accepted. For that reason, Mr Deripaska cannot succeed in the submission that because the disapplication proposed by the Minister is too limited or might involve choices by this Court, the entirety of regs 14 and 15 should be treated as invalid. It is also unnecessary to consider in any detail Mr Deripaska's submissions about the uncertainty of the Minister's more limited partial disapplication of s 28 and regs 14 and 15, the asserted lack of "factual reality" of that partial disapplication, or the asserted inconsistency of that partial disapplication with the scheme of regs 14 and 15. It suffices to make two observations. </w:t>
      </w:r>
    </w:p>
    <w:p w14:paraId="6E51BE1A"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First, in their application, both s 28 of the </w:t>
      </w:r>
      <w:r w:rsidRPr="00A54CB9">
        <w:rPr>
          <w:rFonts w:ascii="Times New Roman" w:hAnsi="Times New Roman"/>
          <w:i/>
          <w:iCs/>
        </w:rPr>
        <w:t>Autonomous Sanctions Act</w:t>
      </w:r>
      <w:r w:rsidRPr="00A54CB9">
        <w:rPr>
          <w:rFonts w:ascii="Times New Roman" w:hAnsi="Times New Roman"/>
        </w:rPr>
        <w:t xml:space="preserve"> and regs 14 and 15 of the </w:t>
      </w:r>
      <w:r w:rsidRPr="00A54CB9">
        <w:rPr>
          <w:rFonts w:ascii="Times New Roman" w:hAnsi="Times New Roman"/>
          <w:i/>
          <w:iCs/>
        </w:rPr>
        <w:t xml:space="preserve">Autonomous Sanctions Regulations </w:t>
      </w:r>
      <w:r w:rsidRPr="00A54CB9">
        <w:rPr>
          <w:rFonts w:ascii="Times New Roman" w:hAnsi="Times New Roman"/>
        </w:rPr>
        <w:t xml:space="preserve">are "distributable or </w:t>
      </w:r>
      <w:r w:rsidRPr="00A54CB9">
        <w:rPr>
          <w:rFonts w:ascii="Times New Roman" w:hAnsi="Times New Roman"/>
        </w:rPr>
        <w:lastRenderedPageBreak/>
        <w:t>divisible"</w:t>
      </w:r>
      <w:r w:rsidRPr="00A54CB9">
        <w:rPr>
          <w:rStyle w:val="FootnoteReference"/>
          <w:rFonts w:ascii="Times New Roman" w:hAnsi="Times New Roman"/>
          <w:sz w:val="24"/>
        </w:rPr>
        <w:footnoteReference w:id="279"/>
      </w:r>
      <w:r w:rsidRPr="00A54CB9">
        <w:rPr>
          <w:rFonts w:ascii="Times New Roman" w:hAnsi="Times New Roman"/>
        </w:rPr>
        <w:t xml:space="preserve"> laws in the sense that there is no intention by Parliament or the Executive that they cannot be partially disapplied to preserve their validity.  </w:t>
      </w:r>
    </w:p>
    <w:p w14:paraId="50F6ED25"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 xml:space="preserve">Secondly, the Minister's submission that a lesser extent of partial disapplication should occur by reference to some "objective" purpose of obtaining legal services (whether confined to s 75(v) of the </w:t>
      </w:r>
      <w:r w:rsidRPr="00A54CB9">
        <w:rPr>
          <w:rFonts w:ascii="Times New Roman" w:hAnsi="Times New Roman"/>
          <w:i/>
          <w:iCs/>
        </w:rPr>
        <w:t xml:space="preserve">Constitution </w:t>
      </w:r>
      <w:r w:rsidRPr="00A54CB9">
        <w:rPr>
          <w:rFonts w:ascii="Times New Roman" w:hAnsi="Times New Roman"/>
        </w:rPr>
        <w:t xml:space="preserve">or not) is confusing. One sensible possibility, which may be what the Full Court meant when it adopted this submission, is that the purpose is the "ultimate end, object or goal </w:t>
      </w:r>
      <w:r w:rsidRPr="00A54CB9">
        <w:rPr>
          <w:rFonts w:ascii="Times New Roman" w:hAnsi="Times New Roman"/>
          <w:i/>
          <w:iCs/>
        </w:rPr>
        <w:t xml:space="preserve">the person </w:t>
      </w:r>
      <w:r w:rsidRPr="00A54CB9">
        <w:rPr>
          <w:rFonts w:ascii="Times New Roman" w:hAnsi="Times New Roman"/>
        </w:rPr>
        <w:t>seeks to achieve".</w:t>
      </w:r>
      <w:r w:rsidRPr="00A54CB9">
        <w:rPr>
          <w:rStyle w:val="FootnoteReference"/>
          <w:rFonts w:ascii="Times New Roman" w:hAnsi="Times New Roman"/>
          <w:sz w:val="24"/>
        </w:rPr>
        <w:footnoteReference w:id="280"/>
      </w:r>
      <w:r w:rsidRPr="00A54CB9">
        <w:rPr>
          <w:rFonts w:ascii="Times New Roman" w:hAnsi="Times New Roman"/>
        </w:rPr>
        <w:t xml:space="preserve"> The reference by the Full Court to the "objective sense" of that purpose may be coherently understood as emphasising that the person's object could be established indirectly by inference from the circumstances independently of any direct evidence of the person about their state of mind.  </w:t>
      </w:r>
    </w:p>
    <w:p w14:paraId="2BF48E77" w14:textId="77777777" w:rsidR="00DE281D" w:rsidRPr="00A54CB9" w:rsidRDefault="00DE281D" w:rsidP="00A54CB9">
      <w:pPr>
        <w:pStyle w:val="FixListStyle"/>
        <w:spacing w:after="260" w:line="280" w:lineRule="exact"/>
        <w:ind w:right="0"/>
        <w:jc w:val="both"/>
        <w:rPr>
          <w:rFonts w:ascii="Times New Roman" w:hAnsi="Times New Roman"/>
        </w:rPr>
      </w:pPr>
      <w:r w:rsidRPr="00A54CB9">
        <w:rPr>
          <w:rFonts w:ascii="Times New Roman" w:hAnsi="Times New Roman"/>
        </w:rPr>
        <w:tab/>
        <w:t>A far less coherent possibility is that the Full Court's reference to an "objective" purpose of a designated person was a reference to a purpose that would be held by a reasonable person in the designated person's position.</w:t>
      </w:r>
      <w:r w:rsidRPr="00A54CB9">
        <w:rPr>
          <w:rStyle w:val="FootnoteReference"/>
          <w:rFonts w:ascii="Times New Roman" w:hAnsi="Times New Roman"/>
          <w:sz w:val="24"/>
        </w:rPr>
        <w:footnoteReference w:id="281"/>
      </w:r>
      <w:r w:rsidRPr="00A54CB9">
        <w:rPr>
          <w:rFonts w:ascii="Times New Roman" w:hAnsi="Times New Roman"/>
        </w:rPr>
        <w:t xml:space="preserve"> It would be most curious if constitutional justification were required for laws that abolish</w:t>
      </w:r>
      <w:r w:rsidRPr="00A54CB9" w:rsidDel="00B626CE">
        <w:rPr>
          <w:rFonts w:ascii="Times New Roman" w:hAnsi="Times New Roman"/>
        </w:rPr>
        <w:t xml:space="preserve"> </w:t>
      </w:r>
      <w:r w:rsidRPr="00A54CB9">
        <w:rPr>
          <w:rFonts w:ascii="Times New Roman" w:hAnsi="Times New Roman"/>
        </w:rPr>
        <w:t>a liberty to obtain legal services concerning any rights and freedoms which might be vindicated in any Ch III court, but only in circumstances where a reasonable person would have sought those legal services. When would it be unreasonable for a designated person to seek legal services? Would the answer depend upon the level of education or legal knowledge of the designated person concerned? Could it really be said that a designated person is required to ask themself before obtaining legal advice concerning a matter that might arise in a Ch III court whether a reasonable person in their position would obtain legal advice? Would a reasonable person in their position require legal advice to answer that question?</w:t>
      </w:r>
    </w:p>
    <w:p w14:paraId="600A45E4" w14:textId="77777777" w:rsidR="00DE281D" w:rsidRPr="00A54CB9" w:rsidRDefault="00DE281D" w:rsidP="00A54CB9">
      <w:pPr>
        <w:pStyle w:val="Style1"/>
        <w:spacing w:after="260" w:line="280" w:lineRule="exact"/>
        <w:ind w:right="0"/>
        <w:jc w:val="both"/>
        <w:rPr>
          <w:rFonts w:ascii="Times New Roman" w:hAnsi="Times New Roman"/>
        </w:rPr>
      </w:pPr>
      <w:r w:rsidRPr="00A54CB9">
        <w:rPr>
          <w:rFonts w:ascii="Times New Roman" w:hAnsi="Times New Roman"/>
        </w:rPr>
        <w:t xml:space="preserve">Conclusion    </w:t>
      </w:r>
    </w:p>
    <w:p w14:paraId="2C3A2FFB" w14:textId="77777777" w:rsidR="00D34C84" w:rsidRDefault="00DE281D" w:rsidP="00DE281D">
      <w:pPr>
        <w:pStyle w:val="FixListStyle"/>
        <w:spacing w:after="260" w:line="280" w:lineRule="exact"/>
        <w:ind w:right="0"/>
        <w:jc w:val="both"/>
        <w:rPr>
          <w:rFonts w:ascii="Times New Roman" w:hAnsi="Times New Roman"/>
        </w:rPr>
      </w:pPr>
      <w:r w:rsidRPr="00A54CB9">
        <w:rPr>
          <w:rFonts w:ascii="Times New Roman" w:hAnsi="Times New Roman"/>
        </w:rPr>
        <w:tab/>
        <w:t xml:space="preserve">Section 28 of the </w:t>
      </w:r>
      <w:r w:rsidRPr="00A54CB9">
        <w:rPr>
          <w:rFonts w:ascii="Times New Roman" w:hAnsi="Times New Roman"/>
          <w:i/>
          <w:iCs/>
        </w:rPr>
        <w:t>Autonomous Sanctions Act</w:t>
      </w:r>
      <w:r w:rsidRPr="00A54CB9">
        <w:rPr>
          <w:rFonts w:ascii="Times New Roman" w:hAnsi="Times New Roman"/>
        </w:rPr>
        <w:t xml:space="preserve"> must be partially disapplied to the extent that it empowers regulations that constrain a designated person from undertaking any action for the purpose of obtaining legal services (whether legal advice or legal representation or anything associated with such advice or representation) concerning a matter that could arise in a Ch III court. Regulations 14 and 15 of the </w:t>
      </w:r>
      <w:r w:rsidRPr="00A54CB9">
        <w:rPr>
          <w:rFonts w:ascii="Times New Roman" w:hAnsi="Times New Roman"/>
          <w:i/>
          <w:iCs/>
        </w:rPr>
        <w:t>Autonomous Sanctions Regulations</w:t>
      </w:r>
      <w:r w:rsidRPr="00A54CB9">
        <w:rPr>
          <w:rFonts w:ascii="Times New Roman" w:hAnsi="Times New Roman"/>
        </w:rPr>
        <w:t xml:space="preserve"> must be disapplied to the same extent to ensure that they remain within power. That partial disapplication of </w:t>
      </w:r>
      <w:r w:rsidRPr="00A54CB9">
        <w:rPr>
          <w:rFonts w:ascii="Times New Roman" w:hAnsi="Times New Roman"/>
        </w:rPr>
        <w:lastRenderedPageBreak/>
        <w:t xml:space="preserve">regs 14 and 15 leaves the remainder of those regulations to apply validly within the regulation-making power of the </w:t>
      </w:r>
      <w:r w:rsidRPr="00A54CB9">
        <w:rPr>
          <w:rFonts w:ascii="Times New Roman" w:hAnsi="Times New Roman"/>
          <w:i/>
          <w:iCs/>
        </w:rPr>
        <w:t>Autonomous Sanctions Act</w:t>
      </w:r>
      <w:r w:rsidRPr="00A54CB9">
        <w:rPr>
          <w:rFonts w:ascii="Times New Roman" w:hAnsi="Times New Roman"/>
        </w:rPr>
        <w:t>. Mr Deripaska's challenge to regs 14 and 15 in their entirety cannot succeed. The appeal must be dismissed with costs.</w:t>
      </w:r>
    </w:p>
    <w:p w14:paraId="4F4F7305" w14:textId="77777777" w:rsidR="00D34C84" w:rsidRDefault="00D34C84" w:rsidP="00DE281D">
      <w:pPr>
        <w:pStyle w:val="FixListStyle"/>
        <w:spacing w:after="260" w:line="280" w:lineRule="exact"/>
        <w:ind w:right="0"/>
        <w:jc w:val="both"/>
        <w:rPr>
          <w:rFonts w:ascii="Times New Roman" w:hAnsi="Times New Roman"/>
        </w:rPr>
        <w:sectPr w:rsidR="00D34C84" w:rsidSect="00DE281D">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pPr>
    </w:p>
    <w:p w14:paraId="4A54C40B" w14:textId="77777777" w:rsidR="00D34C84" w:rsidRPr="0099172B" w:rsidRDefault="00D34C84" w:rsidP="0099172B">
      <w:pPr>
        <w:pStyle w:val="FixListStyle"/>
        <w:tabs>
          <w:tab w:val="clear" w:pos="720"/>
          <w:tab w:val="left" w:pos="0"/>
        </w:tabs>
        <w:spacing w:after="260" w:line="280" w:lineRule="exact"/>
        <w:ind w:right="0"/>
        <w:jc w:val="both"/>
        <w:rPr>
          <w:rFonts w:ascii="Times New Roman" w:hAnsi="Times New Roman"/>
        </w:rPr>
      </w:pPr>
      <w:r w:rsidRPr="0099172B">
        <w:rPr>
          <w:rFonts w:ascii="Times New Roman" w:hAnsi="Times New Roman"/>
        </w:rPr>
        <w:lastRenderedPageBreak/>
        <w:t xml:space="preserve">BEECH-JONES J.   The appellant, Oleg Deripaska, is a Russian national. On 17 March 2022, the respondent, the Minister for Foreign Affairs ("the Minister"), acting pursuant to reg 6 of the </w:t>
      </w:r>
      <w:r w:rsidRPr="0099172B">
        <w:rPr>
          <w:rFonts w:ascii="Times New Roman" w:hAnsi="Times New Roman"/>
          <w:i/>
          <w:iCs/>
        </w:rPr>
        <w:t xml:space="preserve">Autonomous Sanctions Regulations 2011 </w:t>
      </w:r>
      <w:r w:rsidRPr="0099172B">
        <w:rPr>
          <w:rFonts w:ascii="Times New Roman" w:hAnsi="Times New Roman"/>
        </w:rPr>
        <w:t>(Cth) ("the Sanctions Regulations"), determined the appellant to be a "designated person" and "declared" him for the purpose of preventing his travelling to, entering or remaining in Australia ("the Minister's decision").</w:t>
      </w:r>
      <w:r w:rsidRPr="0099172B">
        <w:rPr>
          <w:rFonts w:ascii="Times New Roman" w:hAnsi="Times New Roman"/>
          <w:b/>
          <w:sz w:val="24"/>
          <w:vertAlign w:val="superscript"/>
        </w:rPr>
        <w:footnoteReference w:id="282"/>
      </w:r>
      <w:r w:rsidRPr="0099172B">
        <w:rPr>
          <w:rFonts w:ascii="Times New Roman" w:hAnsi="Times New Roman"/>
        </w:rPr>
        <w:t xml:space="preserve"> </w:t>
      </w:r>
    </w:p>
    <w:p w14:paraId="30F1BDE0"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Sanctions Regulations impose broad prohibitions on any person using or dealing with any assets (including any legal document or instrument evidencing title to or interest in such an asset)</w:t>
      </w:r>
      <w:r w:rsidRPr="0099172B">
        <w:rPr>
          <w:rStyle w:val="FootnoteReference"/>
          <w:rFonts w:ascii="Times New Roman" w:hAnsi="Times New Roman"/>
          <w:sz w:val="24"/>
        </w:rPr>
        <w:footnoteReference w:id="283"/>
      </w:r>
      <w:r w:rsidRPr="0099172B">
        <w:rPr>
          <w:rFonts w:ascii="Times New Roman" w:hAnsi="Times New Roman"/>
        </w:rPr>
        <w:t xml:space="preserve"> owned or controlled by a designated person</w:t>
      </w:r>
      <w:r w:rsidRPr="0099172B">
        <w:rPr>
          <w:rFonts w:ascii="Times New Roman" w:hAnsi="Times New Roman"/>
          <w:b/>
          <w:sz w:val="24"/>
          <w:vertAlign w:val="superscript"/>
        </w:rPr>
        <w:footnoteReference w:id="284"/>
      </w:r>
      <w:r w:rsidRPr="0099172B">
        <w:rPr>
          <w:rFonts w:ascii="Times New Roman" w:hAnsi="Times New Roman"/>
        </w:rPr>
        <w:t xml:space="preserve"> and any person directly or indirectly making any assets available to, or for the benefit of, a designated person.</w:t>
      </w:r>
      <w:r w:rsidRPr="0099172B">
        <w:rPr>
          <w:rFonts w:ascii="Times New Roman" w:hAnsi="Times New Roman"/>
          <w:b/>
          <w:sz w:val="24"/>
          <w:vertAlign w:val="superscript"/>
        </w:rPr>
        <w:footnoteReference w:id="285"/>
      </w:r>
      <w:r w:rsidRPr="0099172B">
        <w:rPr>
          <w:rFonts w:ascii="Times New Roman" w:hAnsi="Times New Roman"/>
        </w:rPr>
        <w:t xml:space="preserve"> A contravention of the prohibitions in the Sanctions Regulations is a criminal offence. On their face, these prohibitions preclude designated persons from retaining lawyers, and preclude any lawyer from advising or acting for the designated person, regardless of whether the lawyer is remunerated by the designated person, by someone else, from public funds or not at all, and render it practically impossible for a designated person to represent themselves in court.</w:t>
      </w:r>
      <w:r w:rsidRPr="0099172B">
        <w:rPr>
          <w:rFonts w:ascii="Times New Roman" w:hAnsi="Times New Roman"/>
          <w:b/>
          <w:sz w:val="24"/>
          <w:vertAlign w:val="superscript"/>
        </w:rPr>
        <w:footnoteReference w:id="286"/>
      </w:r>
      <w:r w:rsidRPr="0099172B">
        <w:rPr>
          <w:rFonts w:ascii="Times New Roman" w:hAnsi="Times New Roman"/>
        </w:rPr>
        <w:t xml:space="preserve"> </w:t>
      </w:r>
    </w:p>
    <w:p w14:paraId="450E1916"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appellant brought proceedings in the Federal Court of Australia seeking to set aside the Minister's decision. Those proceedings were dismissed.</w:t>
      </w:r>
      <w:r w:rsidRPr="0099172B">
        <w:rPr>
          <w:rStyle w:val="FootnoteReference"/>
          <w:rFonts w:ascii="Times New Roman" w:hAnsi="Times New Roman"/>
          <w:sz w:val="24"/>
        </w:rPr>
        <w:footnoteReference w:id="287"/>
      </w:r>
      <w:r w:rsidRPr="0099172B">
        <w:rPr>
          <w:rFonts w:ascii="Times New Roman" w:hAnsi="Times New Roman"/>
        </w:rPr>
        <w:t xml:space="preserve"> The appellant's appeal to the Full Court of the Federal Court was also dismissed.</w:t>
      </w:r>
      <w:r w:rsidRPr="0099172B">
        <w:rPr>
          <w:rStyle w:val="FootnoteReference"/>
          <w:rFonts w:ascii="Times New Roman" w:hAnsi="Times New Roman"/>
          <w:sz w:val="24"/>
        </w:rPr>
        <w:footnoteReference w:id="288"/>
      </w:r>
      <w:r w:rsidRPr="0099172B">
        <w:rPr>
          <w:rFonts w:ascii="Times New Roman" w:hAnsi="Times New Roman"/>
        </w:rPr>
        <w:t xml:space="preserve"> Having been granted special leave to appeal to this Court, the appellant contends that the Minister's decision should be set aside because the regulations that effect the prohibitions are wholly invalid as they contravene limitations that derive from </w:t>
      </w:r>
      <w:r w:rsidRPr="0099172B">
        <w:rPr>
          <w:rFonts w:ascii="Times New Roman" w:hAnsi="Times New Roman"/>
        </w:rPr>
        <w:lastRenderedPageBreak/>
        <w:t xml:space="preserve">Ch III of the </w:t>
      </w:r>
      <w:r w:rsidRPr="0099172B">
        <w:rPr>
          <w:rFonts w:ascii="Times New Roman" w:hAnsi="Times New Roman"/>
          <w:i/>
          <w:iCs/>
        </w:rPr>
        <w:t>Constitution</w:t>
      </w:r>
      <w:r w:rsidRPr="0099172B">
        <w:rPr>
          <w:rFonts w:ascii="Times New Roman" w:hAnsi="Times New Roman"/>
        </w:rPr>
        <w:t xml:space="preserve"> and cannot be "read down" by applying s 15A of the </w:t>
      </w:r>
      <w:r w:rsidRPr="0099172B">
        <w:rPr>
          <w:rFonts w:ascii="Times New Roman" w:hAnsi="Times New Roman"/>
          <w:i/>
          <w:iCs/>
        </w:rPr>
        <w:t>Acts Interpretation Act 1901</w:t>
      </w:r>
      <w:r w:rsidRPr="0099172B">
        <w:rPr>
          <w:rFonts w:ascii="Times New Roman" w:hAnsi="Times New Roman"/>
        </w:rPr>
        <w:t xml:space="preserve"> (Cth) ("the AIA").</w:t>
      </w:r>
      <w:r w:rsidRPr="0099172B">
        <w:rPr>
          <w:rStyle w:val="FootnoteReference"/>
          <w:rFonts w:ascii="Times New Roman" w:hAnsi="Times New Roman"/>
          <w:sz w:val="24"/>
        </w:rPr>
        <w:footnoteReference w:id="289"/>
      </w:r>
      <w:r w:rsidRPr="0099172B">
        <w:rPr>
          <w:rFonts w:ascii="Times New Roman" w:hAnsi="Times New Roman"/>
        </w:rPr>
        <w:t xml:space="preserve"> </w:t>
      </w:r>
    </w:p>
    <w:p w14:paraId="48E52B3F"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For the reasons that follow, the appellant's contention should be rejected and the appeal dismissed. The regulations that effect the prohibitions described above are not wholly invalid. Instead, in accordance with s 15A of the AIA the prohibitions should be read down so as to not prohibit making available, using or dealing with assets for the (objective) purpose of a designated person: (i)</w:t>
      </w:r>
      <w:r>
        <w:rPr>
          <w:rFonts w:ascii="Times New Roman" w:hAnsi="Times New Roman"/>
        </w:rPr>
        <w:t> </w:t>
      </w:r>
      <w:r w:rsidRPr="0099172B">
        <w:rPr>
          <w:rFonts w:ascii="Times New Roman" w:hAnsi="Times New Roman"/>
        </w:rPr>
        <w:t xml:space="preserve">challenging the validity of decisions or actions taken under the </w:t>
      </w:r>
      <w:r w:rsidRPr="0099172B">
        <w:rPr>
          <w:rFonts w:ascii="Times New Roman" w:hAnsi="Times New Roman"/>
          <w:i/>
          <w:iCs/>
        </w:rPr>
        <w:t>Autonomous Sanctions Act 2011</w:t>
      </w:r>
      <w:r w:rsidRPr="0099172B">
        <w:rPr>
          <w:rFonts w:ascii="Times New Roman" w:hAnsi="Times New Roman"/>
        </w:rPr>
        <w:t xml:space="preserve"> (Cth) (</w:t>
      </w:r>
      <w:r>
        <w:rPr>
          <w:rFonts w:ascii="Times New Roman" w:hAnsi="Times New Roman"/>
        </w:rPr>
        <w:t>"</w:t>
      </w:r>
      <w:r w:rsidRPr="0099172B">
        <w:rPr>
          <w:rFonts w:ascii="Times New Roman" w:hAnsi="Times New Roman"/>
        </w:rPr>
        <w:t xml:space="preserve">the Sanctions Act") (or the Sanctions Regulations) or some other exercise of statutory or non-statutory power pursuant to s 75(v) of the </w:t>
      </w:r>
      <w:r w:rsidRPr="0099172B">
        <w:rPr>
          <w:rFonts w:ascii="Times New Roman" w:hAnsi="Times New Roman"/>
          <w:i/>
          <w:iCs/>
        </w:rPr>
        <w:t>Constitution</w:t>
      </w:r>
      <w:r w:rsidRPr="0099172B">
        <w:rPr>
          <w:rFonts w:ascii="Times New Roman" w:hAnsi="Times New Roman"/>
        </w:rPr>
        <w:t xml:space="preserve"> or s 39B(1) of the </w:t>
      </w:r>
      <w:r w:rsidRPr="0099172B">
        <w:rPr>
          <w:rFonts w:ascii="Times New Roman" w:hAnsi="Times New Roman"/>
          <w:i/>
          <w:iCs/>
        </w:rPr>
        <w:t>Judiciary Act 1903</w:t>
      </w:r>
      <w:r w:rsidRPr="0099172B">
        <w:rPr>
          <w:rFonts w:ascii="Times New Roman" w:hAnsi="Times New Roman"/>
        </w:rPr>
        <w:t xml:space="preserve"> (Cth) or seeking and obtaining legal advice in relation thereto; or (ii) applying to a Ch III court</w:t>
      </w:r>
      <w:r w:rsidRPr="0099172B">
        <w:rPr>
          <w:rStyle w:val="FootnoteReference"/>
          <w:rFonts w:ascii="Times New Roman" w:hAnsi="Times New Roman"/>
          <w:sz w:val="24"/>
        </w:rPr>
        <w:footnoteReference w:id="290"/>
      </w:r>
      <w:r w:rsidRPr="0099172B">
        <w:rPr>
          <w:rFonts w:ascii="Times New Roman" w:hAnsi="Times New Roman"/>
        </w:rPr>
        <w:t xml:space="preserve"> to determine their rights and obligations under the Sanctions Act (or the Sanctions Regulations) or seeking and obtaining legal advice in relation thereto.</w:t>
      </w:r>
    </w:p>
    <w:p w14:paraId="1AB8E9F4" w14:textId="77777777" w:rsidR="00D34C84" w:rsidRPr="0099172B" w:rsidRDefault="00D34C84" w:rsidP="0099172B">
      <w:pPr>
        <w:pStyle w:val="HeadingL1"/>
        <w:spacing w:after="260" w:line="280" w:lineRule="exact"/>
        <w:ind w:right="0"/>
        <w:jc w:val="both"/>
        <w:rPr>
          <w:rFonts w:ascii="Times New Roman" w:hAnsi="Times New Roman"/>
        </w:rPr>
      </w:pPr>
      <w:r w:rsidRPr="0099172B">
        <w:rPr>
          <w:rFonts w:ascii="Times New Roman" w:hAnsi="Times New Roman"/>
        </w:rPr>
        <w:t>The Sanctions Act and the Sanctions Regulations</w:t>
      </w:r>
    </w:p>
    <w:p w14:paraId="42F3F5DB"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combination of ss 10 and 28 of the Sanctions Act authorises the Governor-General to make regulations which relevantly relate to the "proscription of persons or entities (for specified purposes or more generally)";</w:t>
      </w:r>
      <w:r w:rsidRPr="0099172B">
        <w:rPr>
          <w:rStyle w:val="FootnoteReference"/>
          <w:rFonts w:ascii="Times New Roman" w:hAnsi="Times New Roman"/>
          <w:sz w:val="24"/>
        </w:rPr>
        <w:footnoteReference w:id="291"/>
      </w:r>
      <w:r w:rsidRPr="0099172B">
        <w:rPr>
          <w:rFonts w:ascii="Times New Roman" w:hAnsi="Times New Roman"/>
        </w:rPr>
        <w:t xml:space="preserve"> the "restriction or prevention of uses of, dealings with, and making available" of assets;</w:t>
      </w:r>
      <w:r w:rsidRPr="0099172B">
        <w:rPr>
          <w:rStyle w:val="FootnoteReference"/>
          <w:rFonts w:ascii="Times New Roman" w:hAnsi="Times New Roman"/>
          <w:sz w:val="24"/>
        </w:rPr>
        <w:footnoteReference w:id="292"/>
      </w:r>
      <w:r w:rsidRPr="0099172B">
        <w:rPr>
          <w:rFonts w:ascii="Times New Roman" w:hAnsi="Times New Roman"/>
        </w:rPr>
        <w:t xml:space="preserve"> and the "restriction or prevention of the supply, sale or transfer of goods or services".</w:t>
      </w:r>
      <w:r w:rsidRPr="0099172B">
        <w:rPr>
          <w:rFonts w:ascii="Times New Roman" w:hAnsi="Times New Roman"/>
          <w:b/>
          <w:sz w:val="24"/>
          <w:vertAlign w:val="superscript"/>
        </w:rPr>
        <w:footnoteReference w:id="293"/>
      </w:r>
      <w:r w:rsidRPr="0099172B">
        <w:rPr>
          <w:rFonts w:ascii="Times New Roman" w:hAnsi="Times New Roman"/>
        </w:rPr>
        <w:t xml:space="preserve"> "Asset" is defined widely as meaning any asset or property of any kind including intangible assets and, as noted, specifically includes a legal document or instrument evidencing title to or interest in an asset.</w:t>
      </w:r>
      <w:r w:rsidRPr="0099172B">
        <w:rPr>
          <w:rFonts w:ascii="Times New Roman" w:hAnsi="Times New Roman"/>
          <w:b/>
          <w:sz w:val="24"/>
          <w:vertAlign w:val="superscript"/>
        </w:rPr>
        <w:footnoteReference w:id="294"/>
      </w:r>
      <w:r w:rsidRPr="0099172B">
        <w:rPr>
          <w:rFonts w:ascii="Times New Roman" w:hAnsi="Times New Roman"/>
        </w:rPr>
        <w:t xml:space="preserve"> Before the Governor-General can make such regulations, the Minister must be satisfied that the proposed regulations will facilitate the conduct of Australia's relations with other countries or with entities or persons outside Australia or will otherwise deal with matters, things or relationships outside Australia.</w:t>
      </w:r>
      <w:r w:rsidRPr="0099172B">
        <w:rPr>
          <w:rFonts w:ascii="Times New Roman" w:hAnsi="Times New Roman"/>
          <w:b/>
          <w:sz w:val="24"/>
          <w:vertAlign w:val="superscript"/>
        </w:rPr>
        <w:footnoteReference w:id="295"/>
      </w:r>
      <w:r w:rsidRPr="0099172B">
        <w:rPr>
          <w:rFonts w:ascii="Times New Roman" w:hAnsi="Times New Roman"/>
        </w:rPr>
        <w:t xml:space="preserve"> </w:t>
      </w:r>
    </w:p>
    <w:p w14:paraId="242B9F96"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lastRenderedPageBreak/>
        <w:tab/>
        <w:t>The prohibitions in the Sanctions Regulations may be enforced by an injunction granted by the Federal Court of Australia or the Supreme Court of a State or Territory on the application of the Attorney-General of the Commonwealth.</w:t>
      </w:r>
      <w:r w:rsidRPr="0099172B">
        <w:rPr>
          <w:rFonts w:ascii="Times New Roman" w:hAnsi="Times New Roman"/>
          <w:b/>
          <w:sz w:val="24"/>
          <w:vertAlign w:val="superscript"/>
        </w:rPr>
        <w:footnoteReference w:id="296"/>
      </w:r>
      <w:r w:rsidRPr="0099172B">
        <w:rPr>
          <w:rFonts w:ascii="Times New Roman" w:hAnsi="Times New Roman"/>
        </w:rPr>
        <w:t xml:space="preserve"> It is an offence punishable by a fine or a maximum term of imprisonment of 10 years for any individual to engage in conduct that contravenes a "sanction law" or a condition of an authorisation under a sanction law.</w:t>
      </w:r>
      <w:r w:rsidRPr="0099172B">
        <w:rPr>
          <w:rFonts w:ascii="Times New Roman" w:hAnsi="Times New Roman"/>
          <w:b/>
          <w:sz w:val="24"/>
          <w:vertAlign w:val="superscript"/>
        </w:rPr>
        <w:footnoteReference w:id="297"/>
      </w:r>
      <w:r w:rsidRPr="0099172B">
        <w:rPr>
          <w:rFonts w:ascii="Times New Roman" w:hAnsi="Times New Roman"/>
        </w:rPr>
        <w:t xml:space="preserve"> </w:t>
      </w:r>
    </w:p>
    <w:p w14:paraId="38960CD8"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Within Pt 2 of the Sanctions Regulations, reg 6 provides country-specific criteria for the designation of persons or entities as a "designated person or entity" (a "designation") and the declaration of persons for the purpose of preventing those persons from travelling to, entering or remaining in Australia (a "declaration"). The Minister may do either or both of making a designation or a declaration with respect to a person where the person is mentioned in an item in the table of countries listed in reg 6 of the Sanctions Regulations.</w:t>
      </w:r>
      <w:r w:rsidRPr="0099172B">
        <w:rPr>
          <w:rFonts w:ascii="Times New Roman" w:hAnsi="Times New Roman"/>
          <w:b/>
          <w:sz w:val="24"/>
          <w:vertAlign w:val="superscript"/>
        </w:rPr>
        <w:footnoteReference w:id="298"/>
      </w:r>
      <w:r w:rsidRPr="0099172B">
        <w:rPr>
          <w:rFonts w:ascii="Times New Roman" w:hAnsi="Times New Roman"/>
        </w:rPr>
        <w:t xml:space="preserve"> In the case of Russia, the declaration or designation may be made in respect of a person or entity where the Minister is (relevantly) satisfied that the person or entity is, or has been, engaging in an activity or performing a function that is of economic or strategic significance to Russia.</w:t>
      </w:r>
      <w:r w:rsidRPr="0099172B">
        <w:rPr>
          <w:rStyle w:val="FootnoteReference"/>
          <w:rFonts w:ascii="Times New Roman" w:hAnsi="Times New Roman"/>
          <w:sz w:val="24"/>
        </w:rPr>
        <w:footnoteReference w:id="299"/>
      </w:r>
    </w:p>
    <w:p w14:paraId="6F777BA7"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A declaration is a ground for a refusal of a visa</w:t>
      </w:r>
      <w:r w:rsidRPr="0099172B">
        <w:rPr>
          <w:rFonts w:ascii="Times New Roman" w:hAnsi="Times New Roman"/>
          <w:b/>
          <w:sz w:val="24"/>
          <w:vertAlign w:val="superscript"/>
        </w:rPr>
        <w:footnoteReference w:id="300"/>
      </w:r>
      <w:r w:rsidRPr="0099172B">
        <w:rPr>
          <w:rFonts w:ascii="Times New Roman" w:hAnsi="Times New Roman"/>
        </w:rPr>
        <w:t xml:space="preserve"> or the cancellation of an existing visa.</w:t>
      </w:r>
      <w:r w:rsidRPr="0099172B">
        <w:rPr>
          <w:rFonts w:ascii="Times New Roman" w:hAnsi="Times New Roman"/>
          <w:b/>
          <w:sz w:val="24"/>
          <w:vertAlign w:val="superscript"/>
        </w:rPr>
        <w:footnoteReference w:id="301"/>
      </w:r>
      <w:r w:rsidRPr="0099172B">
        <w:rPr>
          <w:rFonts w:ascii="Times New Roman" w:hAnsi="Times New Roman"/>
        </w:rPr>
        <w:t xml:space="preserve"> A designation enlivens the prohibitions provided for in regs 14 and 15 of the Sanctions Regulations. Regulations 14 and 15 have each</w:t>
      </w:r>
      <w:r w:rsidRPr="0099172B" w:rsidDel="00D377E3">
        <w:rPr>
          <w:rFonts w:ascii="Times New Roman" w:hAnsi="Times New Roman"/>
        </w:rPr>
        <w:t xml:space="preserve"> </w:t>
      </w:r>
      <w:r w:rsidRPr="0099172B">
        <w:rPr>
          <w:rFonts w:ascii="Times New Roman" w:hAnsi="Times New Roman"/>
        </w:rPr>
        <w:t>been declared to be a "sanction law" for the purposes of s 6 of the Sanctions Act, making a contravention of those regulations an offence.</w:t>
      </w:r>
      <w:r w:rsidRPr="0099172B">
        <w:rPr>
          <w:rFonts w:ascii="Times New Roman" w:hAnsi="Times New Roman"/>
          <w:b/>
          <w:sz w:val="24"/>
          <w:vertAlign w:val="superscript"/>
        </w:rPr>
        <w:footnoteReference w:id="302"/>
      </w:r>
      <w:r w:rsidRPr="0099172B">
        <w:rPr>
          <w:rFonts w:ascii="Times New Roman" w:hAnsi="Times New Roman"/>
        </w:rPr>
        <w:t xml:space="preserve"> </w:t>
      </w:r>
    </w:p>
    <w:p w14:paraId="55CFB6EB"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Within Pt 3, reg 14(1) prohibits any person from "directly or indirectly mak[ing] an asset available to, or for the benefit of, a designated person or entity" unless the making available of the asset is authorised by a permit granted under reg 18. Regulation 15(1) prohibits any person who holds any "controlled asset" – </w:t>
      </w:r>
      <w:r w:rsidRPr="0099172B">
        <w:rPr>
          <w:rFonts w:ascii="Times New Roman" w:hAnsi="Times New Roman"/>
        </w:rPr>
        <w:lastRenderedPageBreak/>
        <w:t>that is, an asset owned or controlled by a designated person or entity</w:t>
      </w:r>
      <w:r w:rsidRPr="0099172B">
        <w:rPr>
          <w:rFonts w:ascii="Times New Roman" w:hAnsi="Times New Roman"/>
          <w:b/>
          <w:sz w:val="24"/>
          <w:vertAlign w:val="superscript"/>
        </w:rPr>
        <w:footnoteReference w:id="303"/>
      </w:r>
      <w:r w:rsidRPr="0099172B">
        <w:rPr>
          <w:rFonts w:ascii="Times New Roman" w:hAnsi="Times New Roman"/>
        </w:rPr>
        <w:t xml:space="preserve"> – from "us[ing] or deal[ing] with [that] asset", "allow[ing] the asset to be used or dealt with", or "facilitat[ing] the use of the asset or dealing with the asset" unless the use or dealing is authorised by a permit granted under reg 18. With both regulations, strict liability applies to the circumstance that the "making available of" or "use or dealing with" the asset, as the case may be, is not in accordance with a permit under reg 18.</w:t>
      </w:r>
      <w:r w:rsidRPr="0099172B">
        <w:rPr>
          <w:rFonts w:ascii="Times New Roman" w:hAnsi="Times New Roman"/>
          <w:b/>
          <w:sz w:val="24"/>
          <w:vertAlign w:val="superscript"/>
        </w:rPr>
        <w:footnoteReference w:id="304"/>
      </w:r>
      <w:r w:rsidRPr="0099172B">
        <w:rPr>
          <w:rFonts w:ascii="Times New Roman" w:hAnsi="Times New Roman"/>
        </w:rPr>
        <w:t xml:space="preserve"> </w:t>
      </w:r>
    </w:p>
    <w:p w14:paraId="1CA93BF3"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prohibitions in regs 14 and 15 have extraterritorial operation.</w:t>
      </w:r>
      <w:r w:rsidRPr="0099172B">
        <w:rPr>
          <w:rFonts w:ascii="Times New Roman" w:hAnsi="Times New Roman"/>
          <w:b/>
          <w:sz w:val="24"/>
          <w:vertAlign w:val="superscript"/>
        </w:rPr>
        <w:footnoteReference w:id="305"/>
      </w:r>
      <w:r w:rsidRPr="0099172B">
        <w:rPr>
          <w:rFonts w:ascii="Times New Roman" w:hAnsi="Times New Roman"/>
        </w:rPr>
        <w:t xml:space="preserve"> It suffices to state that the prohibitions operate upon any conduct engaged in by a person who is an Australian citizen,</w:t>
      </w:r>
      <w:r w:rsidRPr="0099172B">
        <w:rPr>
          <w:rFonts w:ascii="Times New Roman" w:hAnsi="Times New Roman"/>
          <w:b/>
          <w:sz w:val="24"/>
          <w:vertAlign w:val="superscript"/>
        </w:rPr>
        <w:footnoteReference w:id="306"/>
      </w:r>
      <w:r w:rsidRPr="0099172B">
        <w:rPr>
          <w:rFonts w:ascii="Times New Roman" w:hAnsi="Times New Roman"/>
        </w:rPr>
        <w:t xml:space="preserve"> or upon any conduct or the result of any conduct that occurs partly in Australia.</w:t>
      </w:r>
      <w:r w:rsidRPr="0099172B">
        <w:rPr>
          <w:rFonts w:ascii="Times New Roman" w:hAnsi="Times New Roman"/>
          <w:b/>
          <w:sz w:val="24"/>
          <w:vertAlign w:val="superscript"/>
        </w:rPr>
        <w:footnoteReference w:id="307"/>
      </w:r>
      <w:r w:rsidRPr="0099172B">
        <w:rPr>
          <w:rFonts w:ascii="Times New Roman" w:hAnsi="Times New Roman"/>
        </w:rPr>
        <w:t xml:space="preserve"> The former would include any legal services provided anywhere in the world by an Australian citizen. The latter would cover any conduct in, or in relation to, any Australian court or the provision of legal services within or from Australia. </w:t>
      </w:r>
    </w:p>
    <w:p w14:paraId="236DA64E"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Relevantly, reg 18 of the Sanctions Regulations permits the Minister to grant a permit authorising the making available of an asset to a person that would otherwise contravene reg 14 or the use of or dealing with an asset owned or controlled by a designated person or entity.</w:t>
      </w:r>
      <w:r w:rsidRPr="0099172B">
        <w:rPr>
          <w:rFonts w:ascii="Times New Roman" w:hAnsi="Times New Roman"/>
          <w:b/>
          <w:sz w:val="24"/>
          <w:vertAlign w:val="superscript"/>
        </w:rPr>
        <w:footnoteReference w:id="308"/>
      </w:r>
      <w:r w:rsidRPr="0099172B">
        <w:rPr>
          <w:rFonts w:ascii="Times New Roman" w:hAnsi="Times New Roman"/>
        </w:rPr>
        <w:t xml:space="preserve"> On 7 November 2022 the Assistant Minister for Foreign Affairs granted a permit the overall effect of which was to enable the retention, instruction and remuneration of "legal service providers" to provide legal advice, legal representation and ancillary services to or on behalf of designated persons in relation to matters arising under or related to Australian law. This permit operated for two years or until it was revoked by the Minister. One condition of the permit was that it could be amended or revoked at the discretion of the Minister.</w:t>
      </w:r>
      <w:r w:rsidRPr="0099172B">
        <w:rPr>
          <w:rFonts w:ascii="Times New Roman" w:hAnsi="Times New Roman"/>
          <w:b/>
          <w:bCs/>
        </w:rPr>
        <w:t xml:space="preserve"> </w:t>
      </w:r>
      <w:r w:rsidRPr="0099172B">
        <w:rPr>
          <w:rFonts w:ascii="Times New Roman" w:hAnsi="Times New Roman"/>
        </w:rPr>
        <w:t>Shortly before its expiry a new permit in similar terms was granted.</w:t>
      </w:r>
    </w:p>
    <w:p w14:paraId="4091CDAF" w14:textId="77777777" w:rsidR="00D34C84" w:rsidRPr="0099172B" w:rsidRDefault="00D34C84" w:rsidP="0099172B">
      <w:pPr>
        <w:pStyle w:val="HeadingL2"/>
        <w:spacing w:after="260" w:line="280" w:lineRule="exact"/>
        <w:ind w:right="0"/>
        <w:jc w:val="both"/>
        <w:rPr>
          <w:rFonts w:ascii="Times New Roman" w:hAnsi="Times New Roman"/>
        </w:rPr>
      </w:pPr>
      <w:r w:rsidRPr="0099172B">
        <w:rPr>
          <w:rFonts w:ascii="Times New Roman" w:hAnsi="Times New Roman"/>
        </w:rPr>
        <w:t>Effect of prohibitions on legal advice and proceedings</w:t>
      </w:r>
    </w:p>
    <w:p w14:paraId="348C9A20"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Of significance to this appeal is the effect of regs 14 and 15 on the capacity of a designated person such as the appellant to retain and instruct a lawyer to provide legal services in or in relation to proceedings in an Australian court or </w:t>
      </w:r>
      <w:r w:rsidRPr="0099172B">
        <w:rPr>
          <w:rFonts w:ascii="Times New Roman" w:hAnsi="Times New Roman"/>
        </w:rPr>
        <w:lastRenderedPageBreak/>
        <w:t>otherwise arising under and concerning Australian law. The primary judge described that effect as follows:</w:t>
      </w:r>
      <w:r w:rsidRPr="0099172B">
        <w:rPr>
          <w:rFonts w:ascii="Times New Roman" w:hAnsi="Times New Roman"/>
          <w:b/>
          <w:sz w:val="24"/>
          <w:vertAlign w:val="superscript"/>
        </w:rPr>
        <w:footnoteReference w:id="309"/>
      </w:r>
    </w:p>
    <w:p w14:paraId="11019884" w14:textId="77777777" w:rsidR="00D34C84" w:rsidRDefault="00D34C84" w:rsidP="0099172B">
      <w:pPr>
        <w:pStyle w:val="LeftrightafterHC"/>
        <w:spacing w:before="0" w:after="260" w:line="280" w:lineRule="exact"/>
        <w:ind w:right="0"/>
        <w:jc w:val="both"/>
        <w:rPr>
          <w:rFonts w:ascii="Times New Roman" w:hAnsi="Times New Roman"/>
        </w:rPr>
      </w:pPr>
      <w:r w:rsidRPr="0099172B">
        <w:rPr>
          <w:rFonts w:ascii="Times New Roman" w:hAnsi="Times New Roman"/>
        </w:rPr>
        <w:t>"First, a designated person or entity is prevented from remunerating an Australian lawyer who works for them. Secondly, it will very likely be impossible for a lawyer effectively to advise or represent a designated person or entity without dealing with 'controlled assets' (which include legal documents or instruments belonging to the person or entity, including documents brought into existence by the lawyer on the client's instructions). Thirdly, any 'asset' in the lawyer's possession, including intellectual property (and likely including the lawyer's own notes) would not be able to be made available 'to, or for the benefit of' a designated person or entity who was the lawyer's client."</w:t>
      </w:r>
    </w:p>
    <w:p w14:paraId="0544C018"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To be specific, one of the practical effects of regs 14 and 15 is that, absent a permit granted under reg 18, a designated person is prohibited from retaining, instructing or remunerating any lawyer practising in Australia to provide legal services in relation to any matter arising under Australian law, including in relation to any matter that is or may be litigated in a court established under, or referred to in, Ch III of the </w:t>
      </w:r>
      <w:r w:rsidRPr="0099172B">
        <w:rPr>
          <w:rFonts w:ascii="Times New Roman" w:hAnsi="Times New Roman"/>
          <w:i/>
          <w:iCs/>
        </w:rPr>
        <w:t xml:space="preserve">Constitution </w:t>
      </w:r>
      <w:r w:rsidRPr="0099172B">
        <w:rPr>
          <w:rFonts w:ascii="Times New Roman" w:hAnsi="Times New Roman"/>
        </w:rPr>
        <w:t xml:space="preserve">(a "Ch III court"). Regulation 14 also has the consequence that, absent a permit under reg 18, no lawyer can accept a retainer or otherwise advise or appear on behalf of a designated person in relation to any matter arising under Australian law, including in relation to any matter that is or may be litigated in a Ch III court. </w:t>
      </w:r>
    </w:p>
    <w:p w14:paraId="398A1EC7"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effect of these regulations on a designated person's capacity to receive legal assistance and representation extends beyond that which results from the seizure of assets of an accused person under proceeds of crime legislation.</w:t>
      </w:r>
      <w:r w:rsidRPr="0099172B">
        <w:rPr>
          <w:rFonts w:ascii="Times New Roman" w:hAnsi="Times New Roman"/>
          <w:b/>
          <w:sz w:val="24"/>
          <w:vertAlign w:val="superscript"/>
        </w:rPr>
        <w:footnoteReference w:id="310"/>
      </w:r>
      <w:r w:rsidRPr="0099172B">
        <w:rPr>
          <w:rFonts w:ascii="Times New Roman" w:hAnsi="Times New Roman"/>
        </w:rPr>
        <w:t xml:space="preserve"> Unlike those provisions, the practical effect of reg 14 is to preclude any lawyer who might be willing to act pro bono on behalf of a designated person in an Australian court from so acting and to preclude any lawyer remunerated by public funds from appearing on behalf of a designated person in a Ch III court, including at a criminal trial. </w:t>
      </w:r>
    </w:p>
    <w:p w14:paraId="02CB8BC4"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Lastly, the wide definition of "asset" confirms that, on its face, reg 15 seriously impedes, if not completely precludes, a designated person from appearing for themselves and presenting their own case in a Ch III court. For </w:t>
      </w:r>
      <w:r w:rsidRPr="0099172B">
        <w:rPr>
          <w:rFonts w:ascii="Times New Roman" w:hAnsi="Times New Roman"/>
        </w:rPr>
        <w:lastRenderedPageBreak/>
        <w:t>example, a designated person's conduct in serving and filing a pleading or submission they have prepared or which has been prepared on their behalf or tendering a documentary exhibit (or other tangible asset) which they control would constitute a "use[]" of or "deal[ing]" with an asset as defined.</w:t>
      </w:r>
      <w:r w:rsidRPr="0099172B">
        <w:rPr>
          <w:rStyle w:val="FootnoteReference"/>
          <w:rFonts w:ascii="Times New Roman" w:hAnsi="Times New Roman"/>
          <w:sz w:val="24"/>
        </w:rPr>
        <w:footnoteReference w:id="311"/>
      </w:r>
      <w:r w:rsidRPr="0099172B">
        <w:rPr>
          <w:rFonts w:ascii="Times New Roman" w:hAnsi="Times New Roman"/>
        </w:rPr>
        <w:t xml:space="preserve"> </w:t>
      </w:r>
    </w:p>
    <w:p w14:paraId="55BD9F04" w14:textId="77777777" w:rsidR="00D34C84" w:rsidRPr="0099172B" w:rsidRDefault="00D34C84" w:rsidP="0099172B">
      <w:pPr>
        <w:pStyle w:val="HeadingL1"/>
        <w:spacing w:after="260" w:line="280" w:lineRule="exact"/>
        <w:ind w:right="0"/>
        <w:jc w:val="both"/>
        <w:rPr>
          <w:rFonts w:ascii="Times New Roman" w:hAnsi="Times New Roman"/>
        </w:rPr>
      </w:pPr>
      <w:r w:rsidRPr="0099172B">
        <w:rPr>
          <w:rFonts w:ascii="Times New Roman" w:hAnsi="Times New Roman"/>
        </w:rPr>
        <w:t>Proceedings in the Federal Court</w:t>
      </w:r>
    </w:p>
    <w:p w14:paraId="668A3ADD"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only basis for the appellant's challenge to the Minister's decision in the Federal Court which is presently relevant is that the effect of regs 14 and 15 on the appellant's ability to obtain legal representation is "inconsistent with principles embedded in Ch III of the Constitution"</w:t>
      </w:r>
      <w:r w:rsidRPr="0099172B">
        <w:rPr>
          <w:rStyle w:val="FootnoteReference"/>
          <w:rFonts w:ascii="Times New Roman" w:hAnsi="Times New Roman"/>
          <w:sz w:val="24"/>
        </w:rPr>
        <w:footnoteReference w:id="312"/>
      </w:r>
      <w:r w:rsidRPr="0099172B">
        <w:rPr>
          <w:rFonts w:ascii="Times New Roman" w:hAnsi="Times New Roman"/>
        </w:rPr>
        <w:t xml:space="preserve"> and, as a consequence, those regulations are wholly invalid. The appellant contended that, if those regulations are invalid, then the Minister's decision was made on an erroneous understanding as to the effect of designating the appellant and must be set aside.</w:t>
      </w:r>
      <w:r w:rsidRPr="0099172B">
        <w:rPr>
          <w:rStyle w:val="FootnoteReference"/>
          <w:rFonts w:ascii="Times New Roman" w:hAnsi="Times New Roman"/>
          <w:sz w:val="24"/>
        </w:rPr>
        <w:footnoteReference w:id="313"/>
      </w:r>
      <w:r w:rsidRPr="0099172B">
        <w:rPr>
          <w:rFonts w:ascii="Times New Roman" w:hAnsi="Times New Roman"/>
        </w:rPr>
        <w:t xml:space="preserve">  </w:t>
      </w:r>
    </w:p>
    <w:p w14:paraId="60011C08"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As the issue of constitutional validity arose in relation to the exercise of the broadly expressed regulation-making power conferred by s 10 of the Sanctions Act, the validity of regs 14 and 15 fell to be addressed as a "composite hypothetical question",</w:t>
      </w:r>
      <w:r w:rsidRPr="0099172B">
        <w:rPr>
          <w:rStyle w:val="FootnoteReference"/>
          <w:rFonts w:ascii="Times New Roman" w:hAnsi="Times New Roman"/>
          <w:sz w:val="24"/>
        </w:rPr>
        <w:footnoteReference w:id="314"/>
      </w:r>
      <w:r w:rsidRPr="0099172B">
        <w:rPr>
          <w:rFonts w:ascii="Times New Roman" w:hAnsi="Times New Roman"/>
        </w:rPr>
        <w:t xml:space="preserve"> namely whether, if those regulations had been enacted as primary legislation, they would have been compliant with the relevant constitutional limitation(s) found within Ch III.</w:t>
      </w:r>
      <w:r w:rsidRPr="0099172B">
        <w:rPr>
          <w:rStyle w:val="FootnoteReference"/>
          <w:rFonts w:ascii="Times New Roman" w:hAnsi="Times New Roman"/>
          <w:sz w:val="24"/>
        </w:rPr>
        <w:footnoteReference w:id="315"/>
      </w:r>
    </w:p>
    <w:p w14:paraId="259D4064"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It was not in dispute before the primary judge and the Full Court that one such limitation is the conferral of original jurisdiction on this Court by s 75(v) of the </w:t>
      </w:r>
      <w:r w:rsidRPr="0099172B">
        <w:rPr>
          <w:rFonts w:ascii="Times New Roman" w:hAnsi="Times New Roman"/>
          <w:i/>
          <w:iCs/>
        </w:rPr>
        <w:t>Constitution</w:t>
      </w:r>
      <w:r w:rsidRPr="0099172B">
        <w:rPr>
          <w:rFonts w:ascii="Times New Roman" w:hAnsi="Times New Roman"/>
        </w:rPr>
        <w:t xml:space="preserve">. The primary judge held that, by the application of s 15A of the AIA, regs 14 and 15 are not wholly invalid but instead should be read down so that they do not operate upon "actions taken for the purpose [in an objective sense] of challenging the validity of decisions or actions [taken] under the [Sanctions] Act pursuant to s 75(v) [of the </w:t>
      </w:r>
      <w:r w:rsidRPr="0099172B">
        <w:rPr>
          <w:rFonts w:ascii="Times New Roman" w:hAnsi="Times New Roman"/>
          <w:i/>
          <w:iCs/>
        </w:rPr>
        <w:t>Constitution</w:t>
      </w:r>
      <w:r w:rsidRPr="0099172B">
        <w:rPr>
          <w:rFonts w:ascii="Times New Roman" w:hAnsi="Times New Roman"/>
        </w:rPr>
        <w:t>] or s 39B(1) of the Judiciary Act".</w:t>
      </w:r>
      <w:r w:rsidRPr="0099172B">
        <w:rPr>
          <w:rStyle w:val="FootnoteReference"/>
          <w:rFonts w:ascii="Times New Roman" w:hAnsi="Times New Roman"/>
          <w:sz w:val="24"/>
        </w:rPr>
        <w:footnoteReference w:id="316"/>
      </w:r>
      <w:r w:rsidRPr="0099172B">
        <w:rPr>
          <w:rFonts w:ascii="Times New Roman" w:hAnsi="Times New Roman"/>
        </w:rPr>
        <w:t xml:space="preserve"> The Full Court went further and held that this constitutional limit on the operation of regs 14 and 15 also extends to actions taken for the (objective) purpose of not only </w:t>
      </w:r>
      <w:r w:rsidRPr="0099172B">
        <w:rPr>
          <w:rFonts w:ascii="Times New Roman" w:hAnsi="Times New Roman"/>
        </w:rPr>
        <w:lastRenderedPageBreak/>
        <w:t>challenging the validity of decisions or actions taken under the Sanctions Act but also challenging any other exercise of statutory or non-statutory power.</w:t>
      </w:r>
      <w:r w:rsidRPr="0099172B">
        <w:rPr>
          <w:rStyle w:val="FootnoteReference"/>
          <w:rFonts w:ascii="Times New Roman" w:hAnsi="Times New Roman"/>
          <w:sz w:val="24"/>
        </w:rPr>
        <w:footnoteReference w:id="317"/>
      </w:r>
    </w:p>
    <w:p w14:paraId="1CBBFBDF"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Before the primary judge and the Full Court the appellant contended that there were other limitations derived from Ch III that were violated by regs 14 and 15. The formulation of those asserted limits varied in ways that are unnecessary to describe. The existence of some of those limits was either rejected by the primary judge and the Full Court or not determined because the appellant did not contend that the operation of the Sanctions Regulations in relation to him breached those limits. In this latter respect the Full Court applied a practice, based on "prudential considerations",</w:t>
      </w:r>
      <w:r w:rsidRPr="0099172B">
        <w:rPr>
          <w:rStyle w:val="FootnoteReference"/>
          <w:rFonts w:ascii="Times New Roman" w:hAnsi="Times New Roman"/>
          <w:sz w:val="24"/>
        </w:rPr>
        <w:footnoteReference w:id="318"/>
      </w:r>
      <w:r w:rsidRPr="0099172B">
        <w:rPr>
          <w:rFonts w:ascii="Times New Roman" w:hAnsi="Times New Roman"/>
        </w:rPr>
        <w:t xml:space="preserve"> of not deciding whether a legislative provision would have an invalid operation in circumstances which have not yet arisen.</w:t>
      </w:r>
      <w:r w:rsidRPr="0099172B">
        <w:rPr>
          <w:rStyle w:val="FootnoteReference"/>
          <w:rFonts w:ascii="Times New Roman" w:hAnsi="Times New Roman"/>
          <w:sz w:val="24"/>
        </w:rPr>
        <w:footnoteReference w:id="319"/>
      </w:r>
    </w:p>
    <w:p w14:paraId="72BA4EAF" w14:textId="77777777" w:rsidR="00D34C84" w:rsidRPr="0099172B" w:rsidRDefault="00D34C84" w:rsidP="0099172B">
      <w:pPr>
        <w:pStyle w:val="HeadingL1"/>
        <w:spacing w:after="260" w:line="280" w:lineRule="exact"/>
        <w:ind w:right="0"/>
        <w:jc w:val="both"/>
        <w:rPr>
          <w:rFonts w:ascii="Times New Roman" w:hAnsi="Times New Roman"/>
        </w:rPr>
      </w:pPr>
      <w:r w:rsidRPr="0099172B">
        <w:rPr>
          <w:rFonts w:ascii="Times New Roman" w:hAnsi="Times New Roman"/>
        </w:rPr>
        <w:t>The appeal to this Court</w:t>
      </w:r>
    </w:p>
    <w:p w14:paraId="70698403"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In this Court, the appellant again seeks to have the Minister's decision set aside on the basis that the Minister misunderstood the effect of regs 14 and 15.</w:t>
      </w:r>
      <w:r w:rsidRPr="0099172B">
        <w:rPr>
          <w:rStyle w:val="FootnoteReference"/>
          <w:rFonts w:ascii="Times New Roman" w:hAnsi="Times New Roman"/>
          <w:sz w:val="24"/>
        </w:rPr>
        <w:footnoteReference w:id="320"/>
      </w:r>
      <w:r w:rsidRPr="0099172B">
        <w:rPr>
          <w:rFonts w:ascii="Times New Roman" w:hAnsi="Times New Roman"/>
        </w:rPr>
        <w:t xml:space="preserve"> The appellant contended that, having identified a limit on their operation by reference to s 75(v) of the </w:t>
      </w:r>
      <w:r w:rsidRPr="0099172B">
        <w:rPr>
          <w:rFonts w:ascii="Times New Roman" w:hAnsi="Times New Roman"/>
          <w:i/>
          <w:iCs/>
        </w:rPr>
        <w:t>Constitution</w:t>
      </w:r>
      <w:r w:rsidRPr="0099172B">
        <w:rPr>
          <w:rFonts w:ascii="Times New Roman" w:hAnsi="Times New Roman"/>
        </w:rPr>
        <w:t xml:space="preserve">, the Full Court erred in applying s 15A of the AIA and not concluding that those regulations were wholly invalid. </w:t>
      </w:r>
    </w:p>
    <w:p w14:paraId="1AFA4B6C"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The appellant also contended that regs 14 and 15 infringe two further constitutional limitations said to be derived from Ch III. The first asserted limitation is that legislation cannot prohibit the legal representation of designated persons in Ch III courts. The second asserted limitation is that legislation cannot prohibit designated persons from invoking the jurisdiction conferred by s 75(iii) of the </w:t>
      </w:r>
      <w:r w:rsidRPr="0099172B">
        <w:rPr>
          <w:rFonts w:ascii="Times New Roman" w:hAnsi="Times New Roman"/>
          <w:i/>
          <w:iCs/>
        </w:rPr>
        <w:t>Constitution</w:t>
      </w:r>
      <w:r w:rsidRPr="0099172B">
        <w:rPr>
          <w:rFonts w:ascii="Times New Roman" w:hAnsi="Times New Roman"/>
        </w:rPr>
        <w:t xml:space="preserve"> without the favourable exercise of a discretion by a Minister or officer of the Commonwealth. Section 75(iii) confers original jurisdiction on this Court in a matter in which the Commonwealth, or a person suing or being sued on behalf of the Commonwealth, is a party.</w:t>
      </w:r>
    </w:p>
    <w:p w14:paraId="0F2C2A1B" w14:textId="77777777" w:rsidR="00D34C84" w:rsidRPr="0099172B" w:rsidRDefault="00D34C84" w:rsidP="0099172B">
      <w:pPr>
        <w:pStyle w:val="HeadingL1"/>
        <w:spacing w:after="260" w:line="280" w:lineRule="exact"/>
        <w:ind w:right="0"/>
        <w:jc w:val="both"/>
        <w:rPr>
          <w:rFonts w:ascii="Times New Roman" w:hAnsi="Times New Roman"/>
        </w:rPr>
      </w:pPr>
      <w:r w:rsidRPr="0099172B">
        <w:rPr>
          <w:rFonts w:ascii="Times New Roman" w:hAnsi="Times New Roman"/>
        </w:rPr>
        <w:t xml:space="preserve">The s 75(v) limitation </w:t>
      </w:r>
    </w:p>
    <w:p w14:paraId="2C58064E"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Section 75(v) of the </w:t>
      </w:r>
      <w:r w:rsidRPr="0099172B">
        <w:rPr>
          <w:rFonts w:ascii="Times New Roman" w:hAnsi="Times New Roman"/>
          <w:i/>
          <w:iCs/>
        </w:rPr>
        <w:t>Constitution</w:t>
      </w:r>
      <w:r w:rsidRPr="0099172B">
        <w:rPr>
          <w:rFonts w:ascii="Times New Roman" w:hAnsi="Times New Roman"/>
        </w:rPr>
        <w:t xml:space="preserve"> confers original jurisdiction on this Court in matters in which a writ of mandamus or prohibition or an injunction is sought against an officer of the Commonwealth. </w:t>
      </w:r>
    </w:p>
    <w:p w14:paraId="47F6B687"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lastRenderedPageBreak/>
        <w:tab/>
        <w:t xml:space="preserve">The power of this Court in exercising jurisdiction under or derived from s 75(v) of the </w:t>
      </w:r>
      <w:r w:rsidRPr="0099172B">
        <w:rPr>
          <w:rFonts w:ascii="Times New Roman" w:hAnsi="Times New Roman"/>
          <w:i/>
          <w:iCs/>
        </w:rPr>
        <w:t>Constitution</w:t>
      </w:r>
      <w:r w:rsidRPr="0099172B">
        <w:rPr>
          <w:rFonts w:ascii="Times New Roman" w:hAnsi="Times New Roman"/>
        </w:rPr>
        <w:t xml:space="preserve"> to grant one of the specified (or "constitutional") writs against an officer of the Commonwealth is a "power to enforce the law that limits and governs the power of that officer".</w:t>
      </w:r>
      <w:r w:rsidRPr="0099172B">
        <w:rPr>
          <w:rStyle w:val="FootnoteReference"/>
          <w:rFonts w:ascii="Times New Roman" w:hAnsi="Times New Roman"/>
          <w:sz w:val="24"/>
        </w:rPr>
        <w:footnoteReference w:id="321"/>
      </w:r>
      <w:r w:rsidRPr="0099172B">
        <w:rPr>
          <w:rFonts w:ascii="Times New Roman" w:hAnsi="Times New Roman"/>
        </w:rPr>
        <w:t xml:space="preserve"> Section 77(i) and (iii) of the </w:t>
      </w:r>
      <w:r w:rsidRPr="0099172B">
        <w:rPr>
          <w:rFonts w:ascii="Times New Roman" w:hAnsi="Times New Roman"/>
          <w:i/>
          <w:iCs/>
        </w:rPr>
        <w:t>Constitution</w:t>
      </w:r>
      <w:r w:rsidRPr="0099172B">
        <w:rPr>
          <w:rFonts w:ascii="Times New Roman" w:hAnsi="Times New Roman"/>
        </w:rPr>
        <w:t xml:space="preserve"> empower the Commonwealth Parliament to confer or invest an equivalent statutory jurisdiction to s 75(v) on or in other courts. Such a jurisdiction has been conferred on the Federal Court.</w:t>
      </w:r>
      <w:r w:rsidRPr="0099172B">
        <w:rPr>
          <w:rStyle w:val="FootnoteReference"/>
          <w:rFonts w:ascii="Times New Roman" w:hAnsi="Times New Roman"/>
          <w:sz w:val="24"/>
        </w:rPr>
        <w:footnoteReference w:id="322"/>
      </w:r>
      <w:r w:rsidRPr="0099172B">
        <w:rPr>
          <w:rFonts w:ascii="Times New Roman" w:hAnsi="Times New Roman"/>
        </w:rPr>
        <w:t xml:space="preserve"> According to </w:t>
      </w:r>
      <w:r w:rsidRPr="0099172B">
        <w:rPr>
          <w:rFonts w:ascii="Times New Roman" w:hAnsi="Times New Roman"/>
          <w:i/>
          <w:iCs/>
        </w:rPr>
        <w:t>Graham v Minister for Immigration and Border Protection</w:t>
      </w:r>
      <w:r w:rsidRPr="0099172B">
        <w:rPr>
          <w:rFonts w:ascii="Times New Roman" w:hAnsi="Times New Roman"/>
        </w:rPr>
        <w:t>, while the Commonwealth Parliament may delimit the jurisdiction conferred on other courts by reference to s 77(i) and (iii), and may regulate that jurisdiction and the jurisdiction conferred on this Court under s 75(v),</w:t>
      </w:r>
      <w:r w:rsidRPr="0099172B">
        <w:rPr>
          <w:rStyle w:val="FootnoteReference"/>
          <w:rFonts w:ascii="Times New Roman" w:hAnsi="Times New Roman"/>
          <w:sz w:val="24"/>
        </w:rPr>
        <w:footnoteReference w:id="323"/>
      </w:r>
      <w:r w:rsidRPr="0099172B">
        <w:rPr>
          <w:rFonts w:ascii="Times New Roman" w:hAnsi="Times New Roman"/>
        </w:rPr>
        <w:t xml:space="preserve"> Parliament cannot deny such courts "the ability to enforce the legislated limits of an officer's power".</w:t>
      </w:r>
      <w:r w:rsidRPr="0099172B">
        <w:rPr>
          <w:rStyle w:val="FootnoteReference"/>
          <w:rFonts w:ascii="Times New Roman" w:hAnsi="Times New Roman"/>
          <w:sz w:val="24"/>
        </w:rPr>
        <w:footnoteReference w:id="324"/>
      </w:r>
      <w:r w:rsidRPr="0099172B">
        <w:rPr>
          <w:rFonts w:ascii="Times New Roman" w:hAnsi="Times New Roman"/>
        </w:rPr>
        <w:t xml:space="preserve"> </w:t>
      </w:r>
    </w:p>
    <w:p w14:paraId="5EC52ADD"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Consistent with the position the Minister adopted before the primary judge and the Full Court, in this Court the Minister, joined by the Attorney-General of the Commonwealth intervening,</w:t>
      </w:r>
      <w:r w:rsidRPr="0099172B">
        <w:rPr>
          <w:rStyle w:val="FootnoteReference"/>
          <w:rFonts w:ascii="Times New Roman" w:hAnsi="Times New Roman"/>
          <w:sz w:val="24"/>
        </w:rPr>
        <w:footnoteReference w:id="325"/>
      </w:r>
      <w:r w:rsidRPr="0099172B">
        <w:rPr>
          <w:rFonts w:ascii="Times New Roman" w:hAnsi="Times New Roman"/>
        </w:rPr>
        <w:t xml:space="preserve"> accepted that regs 14 and 15 cannot validly impede or stultify the invocation of the jurisdiction conferred by s 75(v) of the </w:t>
      </w:r>
      <w:r w:rsidRPr="0099172B">
        <w:rPr>
          <w:rFonts w:ascii="Times New Roman" w:hAnsi="Times New Roman"/>
          <w:i/>
          <w:iCs/>
        </w:rPr>
        <w:t>Constitution</w:t>
      </w:r>
      <w:r w:rsidRPr="0099172B">
        <w:rPr>
          <w:rFonts w:ascii="Times New Roman" w:hAnsi="Times New Roman"/>
        </w:rPr>
        <w:t xml:space="preserve"> or its statutory analogue in s 39B(1) of the </w:t>
      </w:r>
      <w:r w:rsidRPr="0099172B">
        <w:rPr>
          <w:rFonts w:ascii="Times New Roman" w:hAnsi="Times New Roman"/>
          <w:i/>
          <w:iCs/>
        </w:rPr>
        <w:t>Judiciary Act</w:t>
      </w:r>
      <w:r w:rsidRPr="0099172B">
        <w:rPr>
          <w:rFonts w:ascii="Times New Roman" w:hAnsi="Times New Roman"/>
        </w:rPr>
        <w:t>. The Minister embraced the Full Court's "partial disapplication" or reading down</w:t>
      </w:r>
      <w:r w:rsidRPr="0099172B">
        <w:rPr>
          <w:rStyle w:val="FootnoteReference"/>
          <w:rFonts w:ascii="Times New Roman" w:hAnsi="Times New Roman"/>
          <w:sz w:val="24"/>
        </w:rPr>
        <w:footnoteReference w:id="326"/>
      </w:r>
      <w:r w:rsidRPr="0099172B">
        <w:rPr>
          <w:rFonts w:ascii="Times New Roman" w:hAnsi="Times New Roman"/>
        </w:rPr>
        <w:t xml:space="preserve"> of regs 14 and 15 by the application of s 15A of the AIA so that they do not apply to actions undertaken "for the purpose, in an objective sense, of challenging the validity of decisions or actions under the [Sanctions] Act pursuant to s 75(v) of the </w:t>
      </w:r>
      <w:r w:rsidRPr="0099172B">
        <w:rPr>
          <w:rFonts w:ascii="Times New Roman" w:hAnsi="Times New Roman"/>
          <w:i/>
          <w:iCs/>
        </w:rPr>
        <w:t xml:space="preserve">Constitution </w:t>
      </w:r>
      <w:r w:rsidRPr="0099172B">
        <w:rPr>
          <w:rFonts w:ascii="Times New Roman" w:hAnsi="Times New Roman"/>
        </w:rPr>
        <w:t xml:space="preserve">or s 39B(1) of the </w:t>
      </w:r>
      <w:r w:rsidRPr="0099172B">
        <w:rPr>
          <w:rFonts w:ascii="Times New Roman" w:hAnsi="Times New Roman"/>
          <w:i/>
          <w:iCs/>
        </w:rPr>
        <w:t>Judiciary Act</w:t>
      </w:r>
      <w:r w:rsidRPr="0099172B">
        <w:rPr>
          <w:rFonts w:ascii="Times New Roman" w:hAnsi="Times New Roman"/>
        </w:rPr>
        <w:t>".</w:t>
      </w:r>
      <w:r w:rsidRPr="0099172B">
        <w:rPr>
          <w:rStyle w:val="FootnoteReference"/>
          <w:rFonts w:ascii="Times New Roman" w:hAnsi="Times New Roman"/>
          <w:sz w:val="24"/>
        </w:rPr>
        <w:footnoteReference w:id="327"/>
      </w:r>
      <w:r w:rsidRPr="0099172B">
        <w:rPr>
          <w:rFonts w:ascii="Times New Roman" w:hAnsi="Times New Roman"/>
        </w:rPr>
        <w:t xml:space="preserve"> The appellant described that formulation as "self-defeating" in that it precludes conduct that is a necessary precursor to a client embarking on that challenge, such as by ascertaining their rights in order to evaluate their "capacity to invoke judicial power". </w:t>
      </w:r>
    </w:p>
    <w:p w14:paraId="4D0A479C"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lastRenderedPageBreak/>
        <w:tab/>
      </w:r>
      <w:r w:rsidRPr="0099172B">
        <w:rPr>
          <w:rFonts w:ascii="Times New Roman" w:hAnsi="Times New Roman"/>
          <w:i/>
          <w:iCs/>
        </w:rPr>
        <w:t>Graham</w:t>
      </w:r>
      <w:r w:rsidRPr="0099172B">
        <w:rPr>
          <w:rFonts w:ascii="Times New Roman" w:hAnsi="Times New Roman"/>
        </w:rPr>
        <w:t xml:space="preserve"> described the question of whether or not a law infringes upon the conferral of jurisdiction by s 75(v) of the </w:t>
      </w:r>
      <w:r w:rsidRPr="0099172B">
        <w:rPr>
          <w:rFonts w:ascii="Times New Roman" w:hAnsi="Times New Roman"/>
          <w:i/>
          <w:iCs/>
        </w:rPr>
        <w:t>Constitution</w:t>
      </w:r>
      <w:r w:rsidRPr="0099172B">
        <w:rPr>
          <w:rFonts w:ascii="Times New Roman" w:hAnsi="Times New Roman"/>
        </w:rPr>
        <w:t xml:space="preserve"> as "one of substance, and therefore of degree", the answer to which "requires an examination not only of the legal operation of the law but also of the practical impact of the law on the ability of a court, through the application of judicial process, to discern and declare whether or not the conditions of and constraints on the lawful exercise of the power conferred on an officer have been observed in a particular case".</w:t>
      </w:r>
      <w:r w:rsidRPr="0099172B">
        <w:rPr>
          <w:rStyle w:val="FootnoteReference"/>
          <w:rFonts w:ascii="Times New Roman" w:hAnsi="Times New Roman"/>
          <w:sz w:val="24"/>
        </w:rPr>
        <w:footnoteReference w:id="328"/>
      </w:r>
      <w:r w:rsidRPr="0099172B">
        <w:rPr>
          <w:rFonts w:ascii="Times New Roman" w:hAnsi="Times New Roman"/>
        </w:rPr>
        <w:t xml:space="preserve"> </w:t>
      </w:r>
    </w:p>
    <w:p w14:paraId="1E6A1805"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findings of the primary judge as to the practical impact of the regulations on a designated person's capacity to be legally represented are set out above.</w:t>
      </w:r>
      <w:r w:rsidRPr="0099172B">
        <w:rPr>
          <w:rStyle w:val="FootnoteReference"/>
          <w:rFonts w:ascii="Times New Roman" w:hAnsi="Times New Roman"/>
          <w:sz w:val="24"/>
        </w:rPr>
        <w:footnoteReference w:id="329"/>
      </w:r>
      <w:r w:rsidRPr="0099172B">
        <w:rPr>
          <w:rFonts w:ascii="Times New Roman" w:hAnsi="Times New Roman"/>
        </w:rPr>
        <w:t xml:space="preserve"> The Minister's concession that, to preserve their validity, regs 14 and 15 should be disapplied or read down so that they do not prohibit actions taken for the (objective) purpose of invoking s 75(v) carries with it an acceptance that prohibiting lawyers advising and acting for a party seeking to invoke s 75(v) has at least a tendency to stultify that grant of jurisdiction. This concession accords with the observation of Gleeson CJ and Heydon J in </w:t>
      </w:r>
      <w:r w:rsidRPr="0099172B">
        <w:rPr>
          <w:rFonts w:ascii="Times New Roman" w:hAnsi="Times New Roman"/>
          <w:i/>
          <w:iCs/>
        </w:rPr>
        <w:t>APLA</w:t>
      </w:r>
      <w:r w:rsidRPr="0099172B">
        <w:rPr>
          <w:rFonts w:ascii="Times New Roman" w:hAnsi="Times New Roman"/>
          <w:i/>
        </w:rPr>
        <w:t xml:space="preserve"> </w:t>
      </w:r>
      <w:r w:rsidRPr="0099172B">
        <w:rPr>
          <w:rFonts w:ascii="Times New Roman" w:hAnsi="Times New Roman"/>
          <w:i/>
          <w:iCs/>
        </w:rPr>
        <w:t>Ltd v Legal Services Commissioner (NSW)</w:t>
      </w:r>
      <w:r w:rsidRPr="0099172B">
        <w:rPr>
          <w:rFonts w:ascii="Times New Roman" w:hAnsi="Times New Roman"/>
        </w:rPr>
        <w:t xml:space="preserve"> that the "effective exercise of judicial power, and the maintenance of the rule of law, depend upon the providing of professional legal services so that citizens may know their rights and obligations, and have the capacity to invoke judicial power".</w:t>
      </w:r>
      <w:r w:rsidRPr="0099172B">
        <w:rPr>
          <w:rStyle w:val="FootnoteReference"/>
          <w:rFonts w:ascii="Times New Roman" w:hAnsi="Times New Roman"/>
          <w:sz w:val="24"/>
        </w:rPr>
        <w:footnoteReference w:id="330"/>
      </w:r>
      <w:r w:rsidRPr="0099172B">
        <w:rPr>
          <w:rFonts w:ascii="Times New Roman" w:hAnsi="Times New Roman"/>
        </w:rPr>
        <w:t xml:space="preserve"> In this context that statement can be extended to non-citizens affected by Australian laws and taken as encompassing so much of judicial power as is conferred by s 75(v), the capacity to determine rights and obligations that is entrenched by that provision and the provision of professional legal services (including legal advice) in relation thereto. </w:t>
      </w:r>
    </w:p>
    <w:p w14:paraId="67284451" w14:textId="77777777" w:rsidR="00D34C84" w:rsidRPr="0099172B" w:rsidRDefault="00D34C84" w:rsidP="0099172B">
      <w:pPr>
        <w:pStyle w:val="HeadingL2"/>
        <w:spacing w:after="260" w:line="280" w:lineRule="exact"/>
        <w:ind w:right="0"/>
        <w:jc w:val="both"/>
        <w:rPr>
          <w:rFonts w:ascii="Times New Roman" w:hAnsi="Times New Roman"/>
        </w:rPr>
      </w:pPr>
      <w:r w:rsidRPr="0099172B">
        <w:rPr>
          <w:rFonts w:ascii="Times New Roman" w:hAnsi="Times New Roman"/>
        </w:rPr>
        <w:t>Severance clauses and reading down</w:t>
      </w:r>
      <w:r w:rsidRPr="0099172B">
        <w:rPr>
          <w:rFonts w:ascii="Times New Roman" w:hAnsi="Times New Roman"/>
        </w:rPr>
        <w:tab/>
      </w:r>
    </w:p>
    <w:p w14:paraId="0ED1C2BA"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As noted, the appellant contended that, having identified a limit on the ex facie operation of regs 14 and 15 derived from s 75(v) of the </w:t>
      </w:r>
      <w:r w:rsidRPr="0099172B">
        <w:rPr>
          <w:rFonts w:ascii="Times New Roman" w:hAnsi="Times New Roman"/>
          <w:i/>
          <w:iCs/>
        </w:rPr>
        <w:t>Constitution</w:t>
      </w:r>
      <w:r w:rsidRPr="0099172B">
        <w:rPr>
          <w:rFonts w:ascii="Times New Roman" w:hAnsi="Times New Roman"/>
        </w:rPr>
        <w:t xml:space="preserve">, the Full Court erred in applying s 15A of the AIA to preserve the validity of regs 14 and 15. </w:t>
      </w:r>
    </w:p>
    <w:p w14:paraId="2028113F"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effect of a so-called severance clause such as s 15A of the AIA is "to reverse the presumption that a statute is to operate as a whole".</w:t>
      </w:r>
      <w:r w:rsidRPr="0099172B">
        <w:rPr>
          <w:rStyle w:val="FootnoteReference"/>
          <w:rFonts w:ascii="Times New Roman" w:hAnsi="Times New Roman"/>
          <w:sz w:val="24"/>
        </w:rPr>
        <w:footnoteReference w:id="331"/>
      </w:r>
      <w:r w:rsidRPr="0099172B">
        <w:rPr>
          <w:rFonts w:ascii="Times New Roman" w:hAnsi="Times New Roman"/>
        </w:rPr>
        <w:t xml:space="preserve"> Instead, s 15A effects a presumption that the legislature is taken to have prima facie intended that </w:t>
      </w:r>
      <w:r w:rsidRPr="0099172B">
        <w:rPr>
          <w:rFonts w:ascii="Times New Roman" w:hAnsi="Times New Roman"/>
        </w:rPr>
        <w:lastRenderedPageBreak/>
        <w:t>a statute is divisible and that any parts found constitutionally unobjectionable should be carried into effect independently of those which fail.</w:t>
      </w:r>
      <w:r w:rsidRPr="0099172B">
        <w:rPr>
          <w:rStyle w:val="FootnoteReference"/>
          <w:rFonts w:ascii="Times New Roman" w:hAnsi="Times New Roman"/>
          <w:sz w:val="24"/>
        </w:rPr>
        <w:footnoteReference w:id="332"/>
      </w:r>
      <w:r w:rsidRPr="0099172B">
        <w:rPr>
          <w:rFonts w:ascii="Times New Roman" w:hAnsi="Times New Roman"/>
        </w:rPr>
        <w:t xml:space="preserve"> The outcome of the application of s 15A will or may be that an "entirely artificial construction" is to be placed on a statute found to be partly invalid to save that part which could be validly enacted.</w:t>
      </w:r>
      <w:r w:rsidRPr="0099172B">
        <w:rPr>
          <w:rStyle w:val="FootnoteReference"/>
          <w:rFonts w:ascii="Times New Roman" w:hAnsi="Times New Roman"/>
          <w:sz w:val="24"/>
        </w:rPr>
        <w:footnoteReference w:id="333"/>
      </w:r>
      <w:r w:rsidRPr="0099172B">
        <w:rPr>
          <w:rFonts w:ascii="Times New Roman" w:hAnsi="Times New Roman"/>
        </w:rPr>
        <w:t xml:space="preserve"> When engaged, severance clauses can operate with the prudential practice noted earlier so that, if the alleged unconstitutional operation of a broadly expressed provision can be severed from the balance of the provision which has valid application, a litigant whose conduct falls within the valid application of the law cannot be heard to challenge the statute on the basis that it is invalid in its application to other conduct.</w:t>
      </w:r>
      <w:r w:rsidRPr="0099172B">
        <w:rPr>
          <w:rStyle w:val="FootnoteReference"/>
          <w:rFonts w:ascii="Times New Roman" w:hAnsi="Times New Roman"/>
          <w:sz w:val="24"/>
        </w:rPr>
        <w:footnoteReference w:id="334"/>
      </w:r>
      <w:r w:rsidRPr="0099172B">
        <w:rPr>
          <w:rFonts w:ascii="Times New Roman" w:hAnsi="Times New Roman"/>
        </w:rPr>
        <w:t xml:space="preserve"> </w:t>
      </w:r>
    </w:p>
    <w:p w14:paraId="3C2A4FCA"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Three limits on the operation of s 15A should be noted. </w:t>
      </w:r>
    </w:p>
    <w:p w14:paraId="3E43D12C"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First, s 15A is not engaged if it is apparent that the law was intended to "operate fully and completely according to its terms, or not at all".</w:t>
      </w:r>
      <w:r w:rsidRPr="0099172B">
        <w:rPr>
          <w:rStyle w:val="FootnoteReference"/>
          <w:rFonts w:ascii="Times New Roman" w:hAnsi="Times New Roman"/>
          <w:sz w:val="24"/>
        </w:rPr>
        <w:footnoteReference w:id="335"/>
      </w:r>
      <w:r w:rsidRPr="0099172B">
        <w:rPr>
          <w:rFonts w:ascii="Times New Roman" w:hAnsi="Times New Roman"/>
        </w:rPr>
        <w:t xml:space="preserve"> However, there is nothing in the Sanctions Act or the Sanctions Regulations which suggests that regs 14 and 15 were not meant to operate unless those regulations applied to all forms of conduct that fall within their terms. </w:t>
      </w:r>
    </w:p>
    <w:p w14:paraId="4ABC6830"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Second, s 15A can only be applied if to restrict the operation of a provision by reference to some relevant constitutional limitation such as that referable to s 75(v) would leave the "operation of the remaining parts of the law … unchanged".</w:t>
      </w:r>
      <w:r w:rsidRPr="0099172B">
        <w:rPr>
          <w:rStyle w:val="FootnoteReference"/>
          <w:rFonts w:ascii="Times New Roman" w:hAnsi="Times New Roman"/>
          <w:sz w:val="24"/>
        </w:rPr>
        <w:footnoteReference w:id="336"/>
      </w:r>
      <w:r w:rsidRPr="0099172B">
        <w:rPr>
          <w:rFonts w:ascii="Times New Roman" w:hAnsi="Times New Roman"/>
        </w:rPr>
        <w:t xml:space="preserve"> Provided a reading down of regs 14 and 15 referable to s 75(v) operates to limit some circumstances in which the "mak[ing] available" of, "use" of or "dealing with" an asset is prohibited then the operation of the remaining parts of those regulations would be unchanged. </w:t>
      </w:r>
    </w:p>
    <w:p w14:paraId="38F5E629"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Third, s 15A does not authorise a court to hold that "all laws are to be construed as validly applying wherever they could by suitable limitations [having] been made validly applicable", as that approach would require the court to engage </w:t>
      </w:r>
      <w:r w:rsidRPr="0099172B">
        <w:rPr>
          <w:rFonts w:ascii="Times New Roman" w:hAnsi="Times New Roman"/>
        </w:rPr>
        <w:lastRenderedPageBreak/>
        <w:t>in the essentially "legislative and not judicial" task of "discover[ing] and prescrib[ing] an appropriate limitation as various cases presented themselves".</w:t>
      </w:r>
      <w:r w:rsidRPr="0099172B">
        <w:rPr>
          <w:rStyle w:val="FootnoteReference"/>
          <w:rFonts w:ascii="Times New Roman" w:hAnsi="Times New Roman"/>
          <w:sz w:val="24"/>
        </w:rPr>
        <w:footnoteReference w:id="337"/>
      </w:r>
      <w:r w:rsidRPr="0099172B">
        <w:rPr>
          <w:rFonts w:ascii="Times New Roman" w:hAnsi="Times New Roman"/>
        </w:rPr>
        <w:t xml:space="preserve"> However, the position is different where the law itself indicates a standard or test which may be applied for the purpose of limiting, and thereby preserving the validity of, a law.</w:t>
      </w:r>
      <w:r w:rsidRPr="0099172B">
        <w:rPr>
          <w:rStyle w:val="FootnoteReference"/>
          <w:rFonts w:ascii="Times New Roman" w:hAnsi="Times New Roman"/>
          <w:sz w:val="24"/>
        </w:rPr>
        <w:footnoteReference w:id="338"/>
      </w:r>
      <w:r w:rsidRPr="0099172B">
        <w:rPr>
          <w:rFonts w:ascii="Times New Roman" w:hAnsi="Times New Roman"/>
        </w:rPr>
        <w:t xml:space="preserve"> In the case of a law which uses general words or expressions and which applies in its terms both to cases within power and to cases beyond power, then "if an intention of Parliament that there should be a partial operation of the law based upon some particular standard criterion or test can be discovered from the terms of the law itself or from the nature of the subject matter with which the law deals, it can be </w:t>
      </w:r>
      <w:r w:rsidRPr="0099172B">
        <w:rPr>
          <w:rFonts w:ascii="Times New Roman" w:hAnsi="Times New Roman"/>
          <w:i/>
          <w:iCs/>
        </w:rPr>
        <w:t>read down</w:t>
      </w:r>
      <w:r w:rsidRPr="0099172B">
        <w:rPr>
          <w:rFonts w:ascii="Times New Roman" w:hAnsi="Times New Roman"/>
        </w:rPr>
        <w:t xml:space="preserve"> so as to give valid operation of a partial character".</w:t>
      </w:r>
      <w:r w:rsidRPr="0099172B">
        <w:rPr>
          <w:rStyle w:val="FootnoteReference"/>
          <w:rFonts w:ascii="Times New Roman" w:hAnsi="Times New Roman"/>
          <w:sz w:val="24"/>
        </w:rPr>
        <w:footnoteReference w:id="339"/>
      </w:r>
      <w:r w:rsidRPr="0099172B">
        <w:rPr>
          <w:rFonts w:ascii="Times New Roman" w:hAnsi="Times New Roman"/>
        </w:rPr>
        <w:t xml:space="preserve"> In applying this principle in this case it is</w:t>
      </w:r>
      <w:r w:rsidRPr="0099172B" w:rsidDel="00AA3A22">
        <w:rPr>
          <w:rFonts w:ascii="Times New Roman" w:hAnsi="Times New Roman"/>
        </w:rPr>
        <w:t xml:space="preserve"> </w:t>
      </w:r>
      <w:r w:rsidRPr="0099172B">
        <w:rPr>
          <w:rFonts w:ascii="Times New Roman" w:hAnsi="Times New Roman"/>
        </w:rPr>
        <w:t>not necessary to consider whether the principle involves a "reading down" or a partial disapplication of the Sanctions Regulations or whether there is any difference between the two concepts.</w:t>
      </w:r>
      <w:r w:rsidRPr="0099172B">
        <w:rPr>
          <w:rStyle w:val="FootnoteReference"/>
          <w:rFonts w:ascii="Times New Roman" w:hAnsi="Times New Roman"/>
          <w:sz w:val="24"/>
        </w:rPr>
        <w:footnoteReference w:id="340"/>
      </w:r>
      <w:r w:rsidRPr="0099172B">
        <w:rPr>
          <w:rFonts w:ascii="Times New Roman" w:hAnsi="Times New Roman"/>
        </w:rPr>
        <w:t xml:space="preserve"> </w:t>
      </w:r>
    </w:p>
    <w:p w14:paraId="4C8B7BE0"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approach to reading down a broadly expressed statutory provision is applicable to both the circumstance where certain of its applications exceed the grant of legislative power</w:t>
      </w:r>
      <w:r w:rsidRPr="0099172B" w:rsidDel="008B53B9">
        <w:rPr>
          <w:rFonts w:ascii="Times New Roman" w:hAnsi="Times New Roman"/>
        </w:rPr>
        <w:t xml:space="preserve"> that may support </w:t>
      </w:r>
      <w:r w:rsidRPr="0099172B">
        <w:rPr>
          <w:rFonts w:ascii="Times New Roman" w:hAnsi="Times New Roman"/>
        </w:rPr>
        <w:t>the provision,</w:t>
      </w:r>
      <w:r w:rsidRPr="0099172B">
        <w:rPr>
          <w:rStyle w:val="FootnoteReference"/>
          <w:rFonts w:ascii="Times New Roman" w:hAnsi="Times New Roman"/>
          <w:sz w:val="24"/>
        </w:rPr>
        <w:footnoteReference w:id="341"/>
      </w:r>
      <w:r w:rsidRPr="0099172B">
        <w:rPr>
          <w:rFonts w:ascii="Times New Roman" w:hAnsi="Times New Roman"/>
        </w:rPr>
        <w:t xml:space="preserve"> and where certain of its applications traverse some clear limitation on legislative power.</w:t>
      </w:r>
      <w:r w:rsidRPr="0099172B">
        <w:rPr>
          <w:rStyle w:val="FootnoteReference"/>
          <w:rFonts w:ascii="Times New Roman" w:hAnsi="Times New Roman"/>
          <w:sz w:val="24"/>
        </w:rPr>
        <w:footnoteReference w:id="342"/>
      </w:r>
      <w:r w:rsidRPr="0099172B">
        <w:rPr>
          <w:rFonts w:ascii="Times New Roman" w:hAnsi="Times New Roman"/>
        </w:rPr>
        <w:t xml:space="preserve"> In such cases, s 15A can be applied to restrict the scope of application of the generally expressed provision. Thus, a law expressed to apply to all "trade and commerce" has been read down so that the law only applies to "inter-State and foreign trade and commerce".</w:t>
      </w:r>
      <w:r w:rsidRPr="0099172B">
        <w:rPr>
          <w:rStyle w:val="FootnoteReference"/>
          <w:rFonts w:ascii="Times New Roman" w:hAnsi="Times New Roman"/>
          <w:sz w:val="24"/>
        </w:rPr>
        <w:footnoteReference w:id="343"/>
      </w:r>
      <w:r w:rsidRPr="0099172B">
        <w:rPr>
          <w:rFonts w:ascii="Times New Roman" w:hAnsi="Times New Roman"/>
        </w:rPr>
        <w:t xml:space="preserve"> A law expressed to bind the States in relation to the terms and </w:t>
      </w:r>
      <w:r w:rsidRPr="0099172B">
        <w:rPr>
          <w:rFonts w:ascii="Times New Roman" w:hAnsi="Times New Roman"/>
        </w:rPr>
        <w:lastRenderedPageBreak/>
        <w:t xml:space="preserve">conditions of employment generally has been read down to conform to the principle derived from </w:t>
      </w:r>
      <w:r w:rsidRPr="0099172B">
        <w:rPr>
          <w:rFonts w:ascii="Times New Roman" w:hAnsi="Times New Roman"/>
          <w:i/>
          <w:iCs/>
        </w:rPr>
        <w:t>Melbourne Corporation v The Commonwealth</w:t>
      </w:r>
      <w:r w:rsidRPr="0099172B">
        <w:rPr>
          <w:rStyle w:val="FootnoteReference"/>
          <w:rFonts w:ascii="Times New Roman" w:hAnsi="Times New Roman"/>
          <w:sz w:val="24"/>
        </w:rPr>
        <w:footnoteReference w:id="344"/>
      </w:r>
      <w:r w:rsidRPr="0099172B">
        <w:rPr>
          <w:rFonts w:ascii="Times New Roman" w:hAnsi="Times New Roman"/>
        </w:rPr>
        <w:t xml:space="preserve"> so that the law did not bind the States in relation to persons "employed at the higher levels of [State] government".</w:t>
      </w:r>
      <w:r w:rsidRPr="0099172B">
        <w:rPr>
          <w:rStyle w:val="FootnoteReference"/>
          <w:rFonts w:ascii="Times New Roman" w:hAnsi="Times New Roman"/>
          <w:sz w:val="24"/>
        </w:rPr>
        <w:footnoteReference w:id="345"/>
      </w:r>
      <w:r w:rsidRPr="0099172B">
        <w:rPr>
          <w:rFonts w:ascii="Times New Roman" w:hAnsi="Times New Roman"/>
        </w:rPr>
        <w:t xml:space="preserve"> A law expressed to apply to the conduct of s 51(xx) corporations generally has been read down so that it had no application to a corporation's conduct to the extent that the corporation engaged in State banking not extending beyond the limits of the State concerned (to conform to s 51(xiii) of the </w:t>
      </w:r>
      <w:r w:rsidRPr="0099172B">
        <w:rPr>
          <w:rFonts w:ascii="Times New Roman" w:hAnsi="Times New Roman"/>
          <w:i/>
          <w:iCs/>
        </w:rPr>
        <w:t>Constitution</w:t>
      </w:r>
      <w:r w:rsidRPr="0099172B">
        <w:rPr>
          <w:rFonts w:ascii="Times New Roman" w:hAnsi="Times New Roman"/>
        </w:rPr>
        <w:t>).</w:t>
      </w:r>
      <w:r w:rsidRPr="0099172B">
        <w:rPr>
          <w:rStyle w:val="FootnoteReference"/>
          <w:rFonts w:ascii="Times New Roman" w:hAnsi="Times New Roman"/>
          <w:sz w:val="24"/>
        </w:rPr>
        <w:footnoteReference w:id="346"/>
      </w:r>
      <w:r w:rsidRPr="0099172B">
        <w:rPr>
          <w:rFonts w:ascii="Times New Roman" w:hAnsi="Times New Roman"/>
        </w:rPr>
        <w:t xml:space="preserve"> </w:t>
      </w:r>
    </w:p>
    <w:p w14:paraId="1E1C1712"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appellant contended that the courts below erred because this principle could only be engaged to read down a statute by reference to a constitutional limitation where the subject matter of the Act suggested the limitation, and that the principle could not be engaged by a limitation that was "alien to the statute". This submission is overly restrictive if it is meant to suggest anything other than the necessity to identify, from a law's terms or subject matter,</w:t>
      </w:r>
      <w:r w:rsidRPr="0099172B">
        <w:rPr>
          <w:rStyle w:val="FootnoteReference"/>
          <w:rFonts w:ascii="Times New Roman" w:hAnsi="Times New Roman"/>
          <w:sz w:val="24"/>
        </w:rPr>
        <w:footnoteReference w:id="347"/>
      </w:r>
      <w:r w:rsidRPr="0099172B">
        <w:rPr>
          <w:rFonts w:ascii="Times New Roman" w:hAnsi="Times New Roman"/>
        </w:rPr>
        <w:t xml:space="preserve"> a textual basis upon which a constitutional restriction on a broadly expressed provision can operate so as to make the provision conform with the relevant constitutional limitation. Hence, in </w:t>
      </w:r>
      <w:r w:rsidRPr="0099172B">
        <w:rPr>
          <w:rFonts w:ascii="Times New Roman" w:hAnsi="Times New Roman"/>
          <w:i/>
          <w:iCs/>
        </w:rPr>
        <w:t>Tajjour v New South Wales</w:t>
      </w:r>
      <w:r w:rsidRPr="0099172B">
        <w:rPr>
          <w:rFonts w:ascii="Times New Roman" w:hAnsi="Times New Roman"/>
        </w:rPr>
        <w:t xml:space="preserve">, Gageler J applied an analogue to s 15A so that a criminal offence, an element of which was "consort[ing] with convicted offenders", </w:t>
      </w:r>
      <w:r w:rsidRPr="0099172B" w:rsidDel="001C4116">
        <w:rPr>
          <w:rFonts w:ascii="Times New Roman" w:hAnsi="Times New Roman"/>
        </w:rPr>
        <w:t xml:space="preserve">was </w:t>
      </w:r>
      <w:r w:rsidRPr="0099172B">
        <w:rPr>
          <w:rFonts w:ascii="Times New Roman" w:hAnsi="Times New Roman"/>
        </w:rPr>
        <w:t>read down so that the offence would not infringe the constitutional freedom of political communication.</w:t>
      </w:r>
      <w:r w:rsidRPr="0099172B">
        <w:rPr>
          <w:rStyle w:val="FootnoteReference"/>
          <w:rFonts w:ascii="Times New Roman" w:hAnsi="Times New Roman"/>
          <w:sz w:val="24"/>
        </w:rPr>
        <w:footnoteReference w:id="348"/>
      </w:r>
      <w:r w:rsidRPr="0099172B">
        <w:rPr>
          <w:rFonts w:ascii="Times New Roman" w:hAnsi="Times New Roman"/>
        </w:rPr>
        <w:t xml:space="preserve"> His Honour held that the offence could have "no application in so far as the section would apply to consorting which is or forms part of an association for a purpose of engaging in communication on governmental or political matter".</w:t>
      </w:r>
      <w:r w:rsidRPr="0099172B">
        <w:rPr>
          <w:rStyle w:val="FootnoteReference"/>
          <w:rFonts w:ascii="Times New Roman" w:hAnsi="Times New Roman"/>
          <w:sz w:val="24"/>
        </w:rPr>
        <w:footnoteReference w:id="349"/>
      </w:r>
      <w:r w:rsidRPr="0099172B">
        <w:rPr>
          <w:rFonts w:ascii="Times New Roman" w:hAnsi="Times New Roman"/>
        </w:rPr>
        <w:t xml:space="preserve"> The definition of consorting in the relevant legislation included communication,</w:t>
      </w:r>
      <w:r w:rsidRPr="0099172B">
        <w:rPr>
          <w:rStyle w:val="FootnoteReference"/>
          <w:rFonts w:ascii="Times New Roman" w:hAnsi="Times New Roman"/>
          <w:sz w:val="24"/>
        </w:rPr>
        <w:footnoteReference w:id="350"/>
      </w:r>
      <w:r w:rsidRPr="0099172B">
        <w:rPr>
          <w:rFonts w:ascii="Times New Roman" w:hAnsi="Times New Roman"/>
        </w:rPr>
        <w:t xml:space="preserve"> but nothing in the text of the relevant </w:t>
      </w:r>
      <w:r w:rsidRPr="0099172B">
        <w:rPr>
          <w:rFonts w:ascii="Times New Roman" w:hAnsi="Times New Roman"/>
        </w:rPr>
        <w:lastRenderedPageBreak/>
        <w:t>legislation referred to government or political matters, and the provision "creating the offence" "sa[id] nothing at all about the purpose for the consorting".</w:t>
      </w:r>
      <w:r w:rsidRPr="0099172B">
        <w:rPr>
          <w:rStyle w:val="FootnoteReference"/>
          <w:rFonts w:ascii="Times New Roman" w:hAnsi="Times New Roman"/>
          <w:sz w:val="24"/>
        </w:rPr>
        <w:footnoteReference w:id="351"/>
      </w:r>
      <w:r w:rsidRPr="0099172B">
        <w:rPr>
          <w:rFonts w:ascii="Times New Roman" w:hAnsi="Times New Roman"/>
        </w:rPr>
        <w:t xml:space="preserve">  </w:t>
      </w:r>
    </w:p>
    <w:p w14:paraId="36ADC716"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As noted, regs 14 and 15 effect a broad prohibition on conduct in the form of making available, using and dealing with assets for all purposes, where assets are defined to include "legal document[s]".</w:t>
      </w:r>
      <w:r w:rsidRPr="0099172B">
        <w:rPr>
          <w:rStyle w:val="FootnoteReference"/>
          <w:rFonts w:ascii="Times New Roman" w:hAnsi="Times New Roman"/>
          <w:sz w:val="24"/>
        </w:rPr>
        <w:footnoteReference w:id="352"/>
      </w:r>
      <w:r w:rsidRPr="0099172B">
        <w:rPr>
          <w:rFonts w:ascii="Times New Roman" w:hAnsi="Times New Roman"/>
        </w:rPr>
        <w:t xml:space="preserve"> These aspects of the prohibitions only serve to emphasise that the subject matter of the regulations "operate[s] in an area where Parliament's legislative power is subject to a clear limitation".</w:t>
      </w:r>
      <w:r w:rsidRPr="0099172B">
        <w:rPr>
          <w:rStyle w:val="FootnoteReference"/>
          <w:rFonts w:ascii="Times New Roman" w:hAnsi="Times New Roman"/>
          <w:sz w:val="24"/>
        </w:rPr>
        <w:footnoteReference w:id="353"/>
      </w:r>
      <w:r w:rsidRPr="0099172B">
        <w:rPr>
          <w:rFonts w:ascii="Times New Roman" w:hAnsi="Times New Roman"/>
        </w:rPr>
        <w:t xml:space="preserve"> Thus the regulations, by their terms and subject matter,</w:t>
      </w:r>
      <w:r w:rsidRPr="0099172B">
        <w:rPr>
          <w:rStyle w:val="FootnoteReference"/>
          <w:rFonts w:ascii="Times New Roman" w:hAnsi="Times New Roman"/>
          <w:sz w:val="24"/>
        </w:rPr>
        <w:footnoteReference w:id="354"/>
      </w:r>
      <w:r w:rsidRPr="0099172B">
        <w:rPr>
          <w:rFonts w:ascii="Times New Roman" w:hAnsi="Times New Roman"/>
        </w:rPr>
        <w:t xml:space="preserve"> provide a textual basis upon which a limitation derived from s 75(v) can be applied. The scope of the blanket prohibition on making available of, "use" of, or "dealing with" assets can be limited to permit that conduct to occur for some purpose or purposes associated with invoking the jurisdiction conferred by s 75(v). </w:t>
      </w:r>
    </w:p>
    <w:p w14:paraId="43BB5DA6" w14:textId="77777777" w:rsidR="00D34C84" w:rsidRPr="0099172B" w:rsidRDefault="00D34C84" w:rsidP="0099172B">
      <w:pPr>
        <w:pStyle w:val="HeadingL2"/>
        <w:spacing w:after="260" w:line="280" w:lineRule="exact"/>
        <w:ind w:right="0"/>
        <w:jc w:val="both"/>
        <w:rPr>
          <w:rFonts w:ascii="Times New Roman" w:hAnsi="Times New Roman"/>
        </w:rPr>
      </w:pPr>
      <w:r w:rsidRPr="0099172B">
        <w:rPr>
          <w:rFonts w:ascii="Times New Roman" w:hAnsi="Times New Roman"/>
        </w:rPr>
        <w:t>The formulation of the s 75(v) limitation</w:t>
      </w:r>
    </w:p>
    <w:p w14:paraId="06048E29"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An important aspect of the appellant's resistance to the application of s 15A to regs 14 and 15 concerned the alleged imprecision in the formulation of any limitation referable to s 75(v). It is no impediment to the process of reading down by applying s 15A that the constitutional limitation is "incapable of precise definition"</w:t>
      </w:r>
      <w:r w:rsidRPr="0099172B">
        <w:rPr>
          <w:rStyle w:val="FootnoteReference"/>
          <w:rFonts w:ascii="Times New Roman" w:hAnsi="Times New Roman"/>
          <w:sz w:val="24"/>
        </w:rPr>
        <w:footnoteReference w:id="355"/>
      </w:r>
      <w:r w:rsidRPr="0099172B">
        <w:rPr>
          <w:rFonts w:ascii="Times New Roman" w:hAnsi="Times New Roman"/>
        </w:rPr>
        <w:t xml:space="preserve"> or that an inquiry of fact is required to determine whether the constitutional limitation would or would not be engaged in its application to particular persons in particular circumstances.</w:t>
      </w:r>
      <w:r w:rsidRPr="0099172B">
        <w:rPr>
          <w:rStyle w:val="FootnoteReference"/>
          <w:rFonts w:ascii="Times New Roman" w:hAnsi="Times New Roman"/>
          <w:sz w:val="24"/>
        </w:rPr>
        <w:footnoteReference w:id="356"/>
      </w:r>
      <w:r w:rsidRPr="0099172B">
        <w:rPr>
          <w:rFonts w:ascii="Times New Roman" w:hAnsi="Times New Roman"/>
        </w:rPr>
        <w:t xml:space="preserve"> That said, the formulation of any limit that reflects any reading down should not undermine the constitutional limit </w:t>
      </w:r>
      <w:r w:rsidRPr="0099172B" w:rsidDel="00AC42DD">
        <w:rPr>
          <w:rFonts w:ascii="Times New Roman" w:hAnsi="Times New Roman"/>
        </w:rPr>
        <w:t xml:space="preserve">or values </w:t>
      </w:r>
      <w:r w:rsidRPr="0099172B">
        <w:rPr>
          <w:rFonts w:ascii="Times New Roman" w:hAnsi="Times New Roman"/>
        </w:rPr>
        <w:t xml:space="preserve">that </w:t>
      </w:r>
      <w:r w:rsidRPr="0099172B" w:rsidDel="00AC42DD">
        <w:rPr>
          <w:rFonts w:ascii="Times New Roman" w:hAnsi="Times New Roman"/>
        </w:rPr>
        <w:t xml:space="preserve">are </w:t>
      </w:r>
      <w:r w:rsidRPr="0099172B">
        <w:rPr>
          <w:rFonts w:ascii="Times New Roman" w:hAnsi="Times New Roman"/>
        </w:rPr>
        <w:t>at stake.</w:t>
      </w:r>
    </w:p>
    <w:p w14:paraId="77CE8119"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The appellant contended that the practical infringement of Ch III that would result from any reading down of regs 14 and 15 referable to s 75(v) being framed too narrowly means that the capacity to invoke s 75(v) would still be imperilled, casting doubt on whether the regulations can be read down at all. Absent a permit </w:t>
      </w:r>
      <w:r w:rsidRPr="0099172B">
        <w:rPr>
          <w:rFonts w:ascii="Times New Roman" w:hAnsi="Times New Roman"/>
        </w:rPr>
        <w:lastRenderedPageBreak/>
        <w:t>granted under reg 18, the express terms of regs 14 and 15 render a lawyer who advises or appears for a designated person in relation to matters arising in a Ch III court liable to criminal prosecution. The effect of regs 14 and 15 is such that, if any limitation on their operation to prevent the stultification of s 75(v) is expressed too narrowly, then the practical impact of those regulations will still result in that stultification. Lawyers most likely will not (and should not be expected to) run the gauntlet of potential prosecution, disbarment and incarceration by advising and acting for a designated person where there is an appreciable risk that their conduct will not fall within any judicially expressed reading down of regs 14 and 15.</w:t>
      </w:r>
    </w:p>
    <w:p w14:paraId="483BA3DA"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As noted, one concern raised by the appellant concerning the Full Court's formulation was that it prohibits conduct engaged in by the designated person and their lawyer to ascertain the designated person's rights prior to invoking judicial power, including by preventing the designated person from obtaining and being provided with legal advice.</w:t>
      </w:r>
      <w:r w:rsidRPr="0099172B">
        <w:rPr>
          <w:rStyle w:val="FootnoteReference"/>
          <w:rFonts w:ascii="Times New Roman" w:hAnsi="Times New Roman"/>
          <w:sz w:val="24"/>
        </w:rPr>
        <w:footnoteReference w:id="357"/>
      </w:r>
      <w:r w:rsidRPr="0099172B">
        <w:rPr>
          <w:rFonts w:ascii="Times New Roman" w:hAnsi="Times New Roman"/>
        </w:rPr>
        <w:t xml:space="preserve"> I have already accepted that the entrenchment of the jurisdiction conferred by s 75(v) extends to the provision of advice in relation thereto.</w:t>
      </w:r>
      <w:r w:rsidRPr="0099172B">
        <w:rPr>
          <w:rStyle w:val="FootnoteReference"/>
          <w:rFonts w:ascii="Times New Roman" w:hAnsi="Times New Roman"/>
          <w:sz w:val="24"/>
        </w:rPr>
        <w:footnoteReference w:id="358"/>
      </w:r>
      <w:r w:rsidRPr="0099172B">
        <w:rPr>
          <w:rFonts w:ascii="Times New Roman" w:hAnsi="Times New Roman"/>
        </w:rPr>
        <w:t xml:space="preserve"> The Full Court's formulation can be modified accordingly. </w:t>
      </w:r>
    </w:p>
    <w:p w14:paraId="3309C121"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Even so, a broader potential for</w:t>
      </w:r>
      <w:r w:rsidRPr="0099172B" w:rsidDel="00D456B3">
        <w:rPr>
          <w:rFonts w:ascii="Times New Roman" w:hAnsi="Times New Roman"/>
        </w:rPr>
        <w:t xml:space="preserve"> </w:t>
      </w:r>
      <w:r w:rsidRPr="0099172B">
        <w:rPr>
          <w:rFonts w:ascii="Times New Roman" w:hAnsi="Times New Roman"/>
        </w:rPr>
        <w:t>possible stultification remains where there is doubt about whether legal advice sought by or given to a designated person relates to their rights and obligations under the Sanctions Act, the Sanctions Regulations or Commonwealth law generally but does not concern any proceeding against an officer of the Commonwealth that could be the subject of a constitutional writ. In those circumstances a lawyer may, and most likely will, be reticent to advise and act. It is no answer to that difficulty to postulate the making of an application to a Ch III court for the grant of declaratory relief to resolve a doubt about whether some proposed step falls within any reading down of regs 14 and 15 formulated to preclude the stultification of s 75(v). Such a proceeding would invoke the jurisdiction conferred by s 75(iii)</w:t>
      </w:r>
      <w:r w:rsidRPr="0099172B">
        <w:rPr>
          <w:rStyle w:val="FootnoteReference"/>
          <w:rFonts w:ascii="Times New Roman" w:hAnsi="Times New Roman"/>
          <w:sz w:val="24"/>
        </w:rPr>
        <w:footnoteReference w:id="359"/>
      </w:r>
      <w:r w:rsidRPr="0099172B">
        <w:rPr>
          <w:rFonts w:ascii="Times New Roman" w:hAnsi="Times New Roman"/>
        </w:rPr>
        <w:t xml:space="preserve"> of the </w:t>
      </w:r>
      <w:r w:rsidRPr="0099172B">
        <w:rPr>
          <w:rFonts w:ascii="Times New Roman" w:hAnsi="Times New Roman"/>
          <w:i/>
          <w:iCs/>
        </w:rPr>
        <w:t>Constitution</w:t>
      </w:r>
      <w:r w:rsidRPr="0099172B">
        <w:rPr>
          <w:rFonts w:ascii="Times New Roman" w:hAnsi="Times New Roman"/>
        </w:rPr>
        <w:t xml:space="preserve"> in that the Commonwealth in one manifestation or another</w:t>
      </w:r>
      <w:r w:rsidRPr="0099172B">
        <w:rPr>
          <w:rStyle w:val="FootnoteReference"/>
          <w:rFonts w:ascii="Times New Roman" w:hAnsi="Times New Roman"/>
          <w:sz w:val="24"/>
        </w:rPr>
        <w:footnoteReference w:id="360"/>
      </w:r>
      <w:r w:rsidRPr="0099172B">
        <w:rPr>
          <w:rFonts w:ascii="Times New Roman" w:hAnsi="Times New Roman"/>
        </w:rPr>
        <w:t xml:space="preserve"> would be a necessary party. However, absent a "genuinely raised" claim for a constitutional writ not "incapable </w:t>
      </w:r>
      <w:r w:rsidRPr="0099172B">
        <w:rPr>
          <w:rFonts w:ascii="Times New Roman" w:hAnsi="Times New Roman"/>
        </w:rPr>
        <w:lastRenderedPageBreak/>
        <w:t>on its face of legal argument",</w:t>
      </w:r>
      <w:r w:rsidRPr="0099172B">
        <w:rPr>
          <w:rStyle w:val="FootnoteReference"/>
          <w:rFonts w:ascii="Times New Roman" w:hAnsi="Times New Roman"/>
          <w:sz w:val="24"/>
        </w:rPr>
        <w:footnoteReference w:id="361"/>
      </w:r>
      <w:r w:rsidRPr="0099172B">
        <w:rPr>
          <w:rFonts w:ascii="Times New Roman" w:hAnsi="Times New Roman"/>
        </w:rPr>
        <w:t xml:space="preserve"> such proceedings would not invoke s 75(v).</w:t>
      </w:r>
      <w:r w:rsidRPr="0099172B">
        <w:rPr>
          <w:rStyle w:val="FootnoteReference"/>
          <w:rFonts w:ascii="Times New Roman" w:hAnsi="Times New Roman"/>
          <w:sz w:val="24"/>
        </w:rPr>
        <w:footnoteReference w:id="362"/>
      </w:r>
      <w:r w:rsidRPr="0099172B">
        <w:rPr>
          <w:rFonts w:ascii="Times New Roman" w:hAnsi="Times New Roman"/>
        </w:rPr>
        <w:t xml:space="preserve"> Thus, it may be doubted that such a proceeding would itself be considered for the (objective) purpose of invoking s 75(v) and thus the conduct of the designated person and their lawyer in bringing those proceedings might leave them exposed to prosecution for a breach of regs 14 and 15. Ultimately, the resolution of this concern is interrelated with the issue of whether regs 14 and 15 infringe further limitations derived from Ch III, as contended for by the appellant. That issue is addressed next.</w:t>
      </w:r>
    </w:p>
    <w:p w14:paraId="1842EE26" w14:textId="77777777" w:rsidR="00D34C84" w:rsidRPr="0099172B" w:rsidRDefault="00D34C84" w:rsidP="0099172B">
      <w:pPr>
        <w:pStyle w:val="HeadingL1"/>
        <w:spacing w:after="260" w:line="280" w:lineRule="exact"/>
        <w:ind w:right="0"/>
        <w:jc w:val="both"/>
        <w:rPr>
          <w:rFonts w:ascii="Times New Roman" w:hAnsi="Times New Roman"/>
        </w:rPr>
      </w:pPr>
      <w:r w:rsidRPr="0099172B">
        <w:rPr>
          <w:rFonts w:ascii="Times New Roman" w:hAnsi="Times New Roman"/>
        </w:rPr>
        <w:t>Further limitations derived from Ch III?</w:t>
      </w:r>
    </w:p>
    <w:p w14:paraId="5AB6F581"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The appellant contended that regs 14 and 15 contravene Ch III by prohibiting (absent ministerial permission) the legal representation of a designated person in a Ch III court and also by prohibiting the designated person from invoking the jurisdiction conferred by s 75(iii) of the </w:t>
      </w:r>
      <w:r w:rsidRPr="0099172B">
        <w:rPr>
          <w:rFonts w:ascii="Times New Roman" w:hAnsi="Times New Roman"/>
          <w:i/>
          <w:iCs/>
        </w:rPr>
        <w:t>Constitution</w:t>
      </w:r>
      <w:r w:rsidRPr="0099172B">
        <w:rPr>
          <w:rFonts w:ascii="Times New Roman" w:hAnsi="Times New Roman"/>
        </w:rPr>
        <w:t xml:space="preserve"> without the favourable exercise of a discretion by a Minister. </w:t>
      </w:r>
    </w:p>
    <w:p w14:paraId="37F53D91"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appellant referred to the proceedings that have just been described,</w:t>
      </w:r>
      <w:r w:rsidRPr="0099172B">
        <w:rPr>
          <w:rStyle w:val="FootnoteReference"/>
          <w:rFonts w:ascii="Times New Roman" w:hAnsi="Times New Roman"/>
          <w:sz w:val="24"/>
        </w:rPr>
        <w:footnoteReference w:id="363"/>
      </w:r>
      <w:r w:rsidRPr="0099172B">
        <w:rPr>
          <w:rFonts w:ascii="Times New Roman" w:hAnsi="Times New Roman"/>
        </w:rPr>
        <w:t xml:space="preserve"> namely an application for declaratory relief as to the scope and effect of the Sanctions Regulations, as an example of proceedings that he may bring in the event that his challenge to regs 14 and 15 in this appeal fails. As noted, the Commonwealth would be a necessary party to those proceedings</w:t>
      </w:r>
      <w:r w:rsidRPr="00D634C7">
        <w:rPr>
          <w:rFonts w:ascii="Times New Roman" w:hAnsi="Times New Roman"/>
        </w:rPr>
        <w:t>.</w:t>
      </w:r>
      <w:r w:rsidRPr="0099172B">
        <w:rPr>
          <w:rFonts w:ascii="Times New Roman" w:hAnsi="Times New Roman"/>
          <w:b/>
          <w:bCs/>
        </w:rPr>
        <w:t xml:space="preserve"> </w:t>
      </w:r>
      <w:r w:rsidRPr="0099172B">
        <w:rPr>
          <w:rFonts w:ascii="Times New Roman" w:hAnsi="Times New Roman"/>
        </w:rPr>
        <w:t>The appellant contends that if regs 14 and 15 are not invalid or read down further any such proceedings would be affected by these regulations, because he cannot be legally represented in those proceedings absent ministerial exemption. As explained, in that event he would also be effectively precluded from appearing for himself.</w:t>
      </w:r>
    </w:p>
    <w:p w14:paraId="5647A623" w14:textId="77777777" w:rsidR="00D34C84" w:rsidRPr="0099172B" w:rsidRDefault="00D34C84" w:rsidP="0099172B">
      <w:pPr>
        <w:pStyle w:val="HeadingL2"/>
        <w:spacing w:after="260" w:line="280" w:lineRule="exact"/>
        <w:ind w:right="0"/>
        <w:jc w:val="both"/>
        <w:rPr>
          <w:rFonts w:ascii="Times New Roman" w:hAnsi="Times New Roman"/>
        </w:rPr>
      </w:pPr>
      <w:r w:rsidRPr="0099172B">
        <w:rPr>
          <w:rFonts w:ascii="Times New Roman" w:hAnsi="Times New Roman"/>
        </w:rPr>
        <w:t>Incapacity to challenge sanctions must be addressed</w:t>
      </w:r>
    </w:p>
    <w:p w14:paraId="15BD6AFA"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Minister's principal contention was that, applying s 15A of the AIA and adopting the prudential practice described above, these further limitations should not be addressed as no factual foundation was established for concluding that the appellant would seek to bring and to be represented in other proceedings in a Ch III court or to bring and be represented in proceedings that invoke s 75(iii).</w:t>
      </w:r>
      <w:r w:rsidRPr="0099172B">
        <w:rPr>
          <w:rStyle w:val="FootnoteReference"/>
          <w:rFonts w:ascii="Times New Roman" w:hAnsi="Times New Roman"/>
          <w:sz w:val="24"/>
        </w:rPr>
        <w:footnoteReference w:id="364"/>
      </w:r>
      <w:r w:rsidRPr="0099172B">
        <w:rPr>
          <w:rFonts w:ascii="Times New Roman" w:hAnsi="Times New Roman"/>
        </w:rPr>
        <w:t xml:space="preserve"> </w:t>
      </w:r>
    </w:p>
    <w:p w14:paraId="1EBDBFA1"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lastRenderedPageBreak/>
        <w:tab/>
        <w:t xml:space="preserve">To the extent that the Minister's submission concerns proceedings that do not involve a determination of the appellant's rights and obligations under the Sanctions Act or the Sanctions Regulations, they should be accepted. There is nothing at present to suggest the possibility of factual circumstances arising that might result in such proceedings being commenced. However, the position is different so far as proceedings concerning the appellant's rights and obligations under the Sanctions Act or </w:t>
      </w:r>
      <w:r>
        <w:rPr>
          <w:rFonts w:ascii="Times New Roman" w:hAnsi="Times New Roman"/>
        </w:rPr>
        <w:t xml:space="preserve">the </w:t>
      </w:r>
      <w:r w:rsidRPr="0099172B">
        <w:rPr>
          <w:rFonts w:ascii="Times New Roman" w:hAnsi="Times New Roman"/>
        </w:rPr>
        <w:t>Sanctions Regulations are concerned. On the Minister's approach, absent a permit, the appellant would have to bring separate proceedings invoking the jurisdiction conferred by s 75(iii) to ascertain the scope of his rights and obligations under the Sanctions Act or the Sanctions Regulations and in so doing contend that the commencement and conduct of those proceedings was not validly precluded by regs 14 and 15. If that contention was not accepted then the appellant and his lawyers would be exposed to prosecution for having brought those proceedings.</w:t>
      </w:r>
    </w:p>
    <w:p w14:paraId="706D4FEA"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A variation on this dilemma also arises in relation to any suit commenced by or on behalf of the Commonwealth against the designated person</w:t>
      </w:r>
      <w:r>
        <w:rPr>
          <w:rFonts w:ascii="Times New Roman" w:hAnsi="Times New Roman"/>
        </w:rPr>
        <w:t>,</w:t>
      </w:r>
      <w:r w:rsidRPr="0099172B">
        <w:rPr>
          <w:rFonts w:ascii="Times New Roman" w:hAnsi="Times New Roman"/>
        </w:rPr>
        <w:t xml:space="preserve"> including a criminal prosecution. Such proceedings would also invoke the jurisdiction conferred by s 75(iii).</w:t>
      </w:r>
      <w:r w:rsidRPr="0099172B">
        <w:rPr>
          <w:rStyle w:val="FootnoteReference"/>
          <w:rFonts w:ascii="Times New Roman" w:hAnsi="Times New Roman"/>
          <w:sz w:val="24"/>
        </w:rPr>
        <w:footnoteReference w:id="365"/>
      </w:r>
      <w:r w:rsidRPr="0099172B">
        <w:rPr>
          <w:rFonts w:ascii="Times New Roman" w:hAnsi="Times New Roman"/>
        </w:rPr>
        <w:t xml:space="preserve"> On their face the regulations would preclude a designated person retaining a lawyer in those proceedings, prevent any lawyer from acting on </w:t>
      </w:r>
      <w:r>
        <w:rPr>
          <w:rFonts w:ascii="Times New Roman" w:hAnsi="Times New Roman"/>
        </w:rPr>
        <w:t>their</w:t>
      </w:r>
      <w:r w:rsidRPr="0099172B">
        <w:rPr>
          <w:rFonts w:ascii="Times New Roman" w:hAnsi="Times New Roman"/>
        </w:rPr>
        <w:t xml:space="preserve"> behalf in relation to the proceedings, and seriously impede the designated person representing themsel</w:t>
      </w:r>
      <w:r>
        <w:rPr>
          <w:rFonts w:ascii="Times New Roman" w:hAnsi="Times New Roman"/>
        </w:rPr>
        <w:t>ves</w:t>
      </w:r>
      <w:r w:rsidRPr="0099172B">
        <w:rPr>
          <w:rFonts w:ascii="Times New Roman" w:hAnsi="Times New Roman"/>
        </w:rPr>
        <w:t xml:space="preserve">. In those circumstances a lawyer would likely not act on any application in those proceedings challenging the scope of regs 14 and 15 because, if the application were unsuccessful, then the designated person and the lawyer would have committed a criminal offence. The end result is that, on the Minister's approach, even if regs 14 and 15 impose an invalid limitation on the capacity of a designated person to invoke the jurisdiction conferred by s 75(iii), and thus the regulations need to be read down to be valid, a judicial determination to that effect is unlikely to occur. </w:t>
      </w:r>
    </w:p>
    <w:p w14:paraId="2C9FA857"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Ultimately I do not accept that the prudential practice</w:t>
      </w:r>
      <w:r w:rsidRPr="0099172B">
        <w:rPr>
          <w:rStyle w:val="FootnoteReference"/>
          <w:rFonts w:ascii="Times New Roman" w:hAnsi="Times New Roman"/>
          <w:sz w:val="24"/>
        </w:rPr>
        <w:footnoteReference w:id="366"/>
      </w:r>
      <w:r w:rsidRPr="0099172B">
        <w:rPr>
          <w:rFonts w:ascii="Times New Roman" w:hAnsi="Times New Roman"/>
        </w:rPr>
        <w:t xml:space="preserve"> described above precludes the Court from determining in this appeal whether there is any further limit on regs 14 and 15 derived from Ch III as concerns the practical capacity of the appellant to invoke this Court's jurisdiction under s 75(iii) (and the equivalent jurisdiction in the Federal Court) to determine his rights and obligations under the Sanctions Act or the Sanctions Regulations. The appellant is currently engaged in </w:t>
      </w:r>
      <w:r w:rsidRPr="0099172B">
        <w:rPr>
          <w:rFonts w:ascii="Times New Roman" w:hAnsi="Times New Roman"/>
        </w:rPr>
        <w:lastRenderedPageBreak/>
        <w:t>litigation that seeks to set aside his designation and declaration under the Sanctions Regulations. As part of that challenge he contends that regs 14 and 15 are wholly invalid. If he is unsuccessful he will be subject to an ongoing legal disability under the Sanctions Regulations of uncertain scope in circumstances where it is unlikely that this uncertainty can be resolved unless the question of whether regs 14 and 15 are to be further read down is now determined. Those circumstances, especially the uncertainty over what is prohibited and what is not,</w:t>
      </w:r>
      <w:r w:rsidRPr="0099172B">
        <w:rPr>
          <w:rStyle w:val="FootnoteReference"/>
          <w:rFonts w:ascii="Times New Roman" w:hAnsi="Times New Roman"/>
          <w:sz w:val="24"/>
        </w:rPr>
        <w:footnoteReference w:id="367"/>
      </w:r>
      <w:r w:rsidRPr="0099172B">
        <w:rPr>
          <w:rFonts w:ascii="Times New Roman" w:hAnsi="Times New Roman"/>
        </w:rPr>
        <w:t xml:space="preserve"> mean that there does presently exist a "state of facts which makes it necessary to decide [a question about the validity and permissible scope of regs 14 and 15] in order to do justice in [this] case and to determine the rights of the parties".</w:t>
      </w:r>
      <w:r w:rsidRPr="0099172B">
        <w:rPr>
          <w:rStyle w:val="FootnoteReference"/>
          <w:rFonts w:ascii="Times New Roman" w:hAnsi="Times New Roman"/>
          <w:sz w:val="24"/>
        </w:rPr>
        <w:footnoteReference w:id="368"/>
      </w:r>
      <w:r w:rsidRPr="0099172B">
        <w:rPr>
          <w:rFonts w:ascii="Times New Roman" w:hAnsi="Times New Roman"/>
        </w:rPr>
        <w:t xml:space="preserve"> </w:t>
      </w:r>
    </w:p>
    <w:p w14:paraId="0409CD7A"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This conclusion is not affected by the fact that the Minister has granted permits under reg 18 which authorise making assets available to the appellant in connection with legal services, settlement of legal proceedings, and payment of legal costs. The current permit is of limited duration and can be revoked by the Minister. Thus the current "state of facts" is that the appellant's entitlement to retain lawyers and bring proceedings is fragile and dependent on executive favour. To make access to a Ch III court so dependent on the exercise of executive power is to subvert the proper relationship between the judicial branch and the executive branch that is at the heart of s 75(v)</w:t>
      </w:r>
      <w:r w:rsidRPr="0099172B">
        <w:rPr>
          <w:rStyle w:val="FootnoteReference"/>
          <w:rFonts w:ascii="Times New Roman" w:hAnsi="Times New Roman"/>
          <w:sz w:val="24"/>
        </w:rPr>
        <w:footnoteReference w:id="369"/>
      </w:r>
      <w:r w:rsidRPr="0099172B">
        <w:rPr>
          <w:rFonts w:ascii="Times New Roman" w:hAnsi="Times New Roman"/>
        </w:rPr>
        <w:t xml:space="preserve"> and the balance of Ch III.</w:t>
      </w:r>
      <w:r w:rsidRPr="0099172B">
        <w:rPr>
          <w:rStyle w:val="FootnoteReference"/>
          <w:rFonts w:ascii="Times New Roman" w:hAnsi="Times New Roman"/>
          <w:sz w:val="24"/>
        </w:rPr>
        <w:footnoteReference w:id="370"/>
      </w:r>
      <w:r w:rsidRPr="0099172B">
        <w:rPr>
          <w:rFonts w:ascii="Times New Roman" w:hAnsi="Times New Roman"/>
        </w:rPr>
        <w:t xml:space="preserve"> </w:t>
      </w:r>
    </w:p>
    <w:p w14:paraId="071C79D2" w14:textId="77777777" w:rsidR="00D34C84" w:rsidRPr="0099172B" w:rsidRDefault="00D34C84" w:rsidP="0099172B">
      <w:pPr>
        <w:pStyle w:val="HeadingL2"/>
        <w:spacing w:after="260" w:line="280" w:lineRule="exact"/>
        <w:ind w:right="0"/>
        <w:jc w:val="both"/>
        <w:rPr>
          <w:rFonts w:ascii="Times New Roman" w:hAnsi="Times New Roman"/>
        </w:rPr>
      </w:pPr>
      <w:r w:rsidRPr="0099172B">
        <w:rPr>
          <w:rFonts w:ascii="Times New Roman" w:hAnsi="Times New Roman"/>
        </w:rPr>
        <w:t>Prescribing an unfair procedure for challenging sanctions</w:t>
      </w:r>
    </w:p>
    <w:p w14:paraId="6A7A1F1D"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Accordingly, the appellant's contention that Parliament may not limit or exclude legal representation in Ch III courts or limit or exclude proceedings that might fall within s 75(iii) of the </w:t>
      </w:r>
      <w:r w:rsidRPr="0099172B">
        <w:rPr>
          <w:rFonts w:ascii="Times New Roman" w:hAnsi="Times New Roman"/>
          <w:i/>
          <w:iCs/>
        </w:rPr>
        <w:t>Constitution</w:t>
      </w:r>
      <w:r w:rsidRPr="0099172B">
        <w:rPr>
          <w:rFonts w:ascii="Times New Roman" w:hAnsi="Times New Roman"/>
        </w:rPr>
        <w:t xml:space="preserve"> should be addressed, but only so far as that contention concerns actions and potential actions falling within s 75(iii) that relate to the appellant's rights and obligations under the Sanctions Act and Sanctions Regulations. </w:t>
      </w:r>
    </w:p>
    <w:p w14:paraId="6A0893B8"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The Minister accepted that, to the extent that the jurisdiction conferred by s 75(iii) overlaps with that conferred by s 75(v), it is entrenched. However, the Minister submitted that the extent to which the balance of the grant of jurisdiction conferred by s 75(iii) can be inhibited is "far from settled" because, unlike s 75(v), </w:t>
      </w:r>
      <w:r w:rsidRPr="0099172B">
        <w:rPr>
          <w:rFonts w:ascii="Times New Roman" w:hAnsi="Times New Roman"/>
        </w:rPr>
        <w:lastRenderedPageBreak/>
        <w:t>s 75(iii) does not require the existence of a particular cause of action or remedy but instead is "expressed in terms of parties"</w:t>
      </w:r>
      <w:r w:rsidRPr="0099172B">
        <w:rPr>
          <w:rStyle w:val="FootnoteReference"/>
          <w:rFonts w:ascii="Times New Roman" w:hAnsi="Times New Roman"/>
          <w:sz w:val="24"/>
        </w:rPr>
        <w:footnoteReference w:id="371"/>
      </w:r>
      <w:r w:rsidRPr="0099172B">
        <w:rPr>
          <w:rFonts w:ascii="Times New Roman" w:hAnsi="Times New Roman"/>
        </w:rPr>
        <w:t xml:space="preserve"> and is predicated on a claim for liability under general law, such as the law of tort.</w:t>
      </w:r>
      <w:r w:rsidRPr="0099172B">
        <w:rPr>
          <w:rStyle w:val="FootnoteReference"/>
          <w:rFonts w:ascii="Times New Roman" w:hAnsi="Times New Roman"/>
          <w:sz w:val="24"/>
        </w:rPr>
        <w:footnoteReference w:id="372"/>
      </w:r>
      <w:r w:rsidRPr="0099172B">
        <w:rPr>
          <w:rFonts w:ascii="Times New Roman" w:hAnsi="Times New Roman"/>
        </w:rPr>
        <w:t xml:space="preserve"> </w:t>
      </w:r>
    </w:p>
    <w:p w14:paraId="6617E12B"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 different types of proceedings that involve matters attracting jurisdiction under s 75(iii)</w:t>
      </w:r>
      <w:r w:rsidRPr="0099172B">
        <w:rPr>
          <w:rStyle w:val="FootnoteReference"/>
          <w:rFonts w:ascii="Times New Roman" w:hAnsi="Times New Roman"/>
          <w:sz w:val="24"/>
        </w:rPr>
        <w:footnoteReference w:id="373"/>
      </w:r>
      <w:r w:rsidRPr="0099172B">
        <w:rPr>
          <w:rFonts w:ascii="Times New Roman" w:hAnsi="Times New Roman"/>
        </w:rPr>
        <w:t xml:space="preserve"> suggest that the question of whether some aspect of the jurisdiction that is conferred by or reflected in s 75(iii) is "entrenched" should only be determined in a case that concerns that aspect.</w:t>
      </w:r>
      <w:r w:rsidRPr="0099172B">
        <w:rPr>
          <w:rStyle w:val="FootnoteReference"/>
          <w:rFonts w:ascii="Times New Roman" w:hAnsi="Times New Roman"/>
          <w:sz w:val="24"/>
        </w:rPr>
        <w:footnoteReference w:id="374"/>
      </w:r>
      <w:r w:rsidRPr="0099172B">
        <w:rPr>
          <w:rFonts w:ascii="Times New Roman" w:hAnsi="Times New Roman"/>
        </w:rPr>
        <w:t xml:space="preserve"> That said, it is difficult to see how Parliament could remove so much of the original jurisdiction of this Court conferred by s 75(iii) which encompasses matters involving the interpretation of the </w:t>
      </w:r>
      <w:r w:rsidRPr="0099172B">
        <w:rPr>
          <w:rFonts w:ascii="Times New Roman" w:hAnsi="Times New Roman"/>
          <w:i/>
          <w:iCs/>
        </w:rPr>
        <w:t>Constitution</w:t>
      </w:r>
      <w:r w:rsidRPr="0099172B">
        <w:rPr>
          <w:rFonts w:ascii="Times New Roman" w:hAnsi="Times New Roman"/>
        </w:rPr>
        <w:t xml:space="preserve"> or which involves ascertaining the interpretation, boundaries and limits of Commonwealth law,</w:t>
      </w:r>
      <w:r w:rsidRPr="0099172B">
        <w:rPr>
          <w:rStyle w:val="FootnoteReference"/>
          <w:rFonts w:ascii="Times New Roman" w:hAnsi="Times New Roman"/>
          <w:sz w:val="24"/>
        </w:rPr>
        <w:footnoteReference w:id="375"/>
      </w:r>
      <w:r w:rsidRPr="0099172B">
        <w:rPr>
          <w:rFonts w:ascii="Times New Roman" w:hAnsi="Times New Roman"/>
        </w:rPr>
        <w:t xml:space="preserve"> irrespective of whether that jurisdiction overlaps with s 75(v).</w:t>
      </w:r>
      <w:r w:rsidRPr="0099172B">
        <w:rPr>
          <w:rStyle w:val="FootnoteReference"/>
          <w:rFonts w:ascii="Times New Roman" w:hAnsi="Times New Roman"/>
          <w:sz w:val="24"/>
        </w:rPr>
        <w:footnoteReference w:id="376"/>
      </w:r>
      <w:r w:rsidRPr="0099172B">
        <w:rPr>
          <w:rFonts w:ascii="Times New Roman" w:hAnsi="Times New Roman"/>
        </w:rPr>
        <w:t xml:space="preserve"> The contrary conclusion is hard to reconcile with the "assumption of the rule of law",</w:t>
      </w:r>
      <w:r w:rsidRPr="0099172B">
        <w:rPr>
          <w:rStyle w:val="FootnoteReference"/>
          <w:rFonts w:ascii="Times New Roman" w:hAnsi="Times New Roman"/>
          <w:sz w:val="24"/>
        </w:rPr>
        <w:footnoteReference w:id="377"/>
      </w:r>
      <w:r w:rsidRPr="0099172B">
        <w:rPr>
          <w:rFonts w:ascii="Times New Roman" w:hAnsi="Times New Roman"/>
        </w:rPr>
        <w:t xml:space="preserve"> in the sense of government under law, upon which the </w:t>
      </w:r>
      <w:r w:rsidRPr="0099172B">
        <w:rPr>
          <w:rFonts w:ascii="Times New Roman" w:hAnsi="Times New Roman"/>
          <w:i/>
          <w:iCs/>
        </w:rPr>
        <w:t>Constitution</w:t>
      </w:r>
      <w:r w:rsidRPr="0099172B">
        <w:rPr>
          <w:rFonts w:ascii="Times New Roman" w:hAnsi="Times New Roman"/>
        </w:rPr>
        <w:t xml:space="preserve"> is framed</w:t>
      </w:r>
      <w:r w:rsidRPr="0099172B" w:rsidDel="002D2B0B">
        <w:rPr>
          <w:rFonts w:ascii="Times New Roman" w:hAnsi="Times New Roman"/>
        </w:rPr>
        <w:t>.</w:t>
      </w:r>
      <w:r w:rsidRPr="0099172B">
        <w:rPr>
          <w:rStyle w:val="FootnoteReference"/>
          <w:rFonts w:ascii="Times New Roman" w:hAnsi="Times New Roman"/>
          <w:sz w:val="24"/>
        </w:rPr>
        <w:footnoteReference w:id="378"/>
      </w:r>
      <w:r w:rsidRPr="0099172B">
        <w:rPr>
          <w:rFonts w:ascii="Times New Roman" w:hAnsi="Times New Roman"/>
        </w:rPr>
        <w:t xml:space="preserve"> </w:t>
      </w:r>
    </w:p>
    <w:p w14:paraId="3D261AF8"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lastRenderedPageBreak/>
        <w:tab/>
        <w:t>In any event, both parties' submissions do not engage with how regs 14 and 15 operate upon a designated person in relation to matters which involve or concern their rights and obligations under the Sanctions Act and Sanctions Regulations in relation to s 75(iii). Regulations 14 and 15 do not purport to exclude such actions against the Commonwealth in this Court or any other court with similar jurisdiction.</w:t>
      </w:r>
      <w:r w:rsidRPr="0099172B">
        <w:rPr>
          <w:rStyle w:val="FootnoteReference"/>
          <w:rFonts w:ascii="Times New Roman" w:hAnsi="Times New Roman"/>
          <w:sz w:val="24"/>
        </w:rPr>
        <w:footnoteReference w:id="379"/>
      </w:r>
      <w:r w:rsidRPr="0099172B">
        <w:rPr>
          <w:rFonts w:ascii="Times New Roman" w:hAnsi="Times New Roman"/>
        </w:rPr>
        <w:t xml:space="preserve"> The regulations also do not give effect to some generally applicable rule affecting all parties to litigation such as restricting advertising by lawyers to persons other than their clients.</w:t>
      </w:r>
      <w:r w:rsidRPr="0099172B">
        <w:rPr>
          <w:rStyle w:val="FootnoteReference"/>
          <w:rFonts w:ascii="Times New Roman" w:hAnsi="Times New Roman"/>
          <w:sz w:val="24"/>
        </w:rPr>
        <w:footnoteReference w:id="380"/>
      </w:r>
      <w:r w:rsidRPr="0099172B">
        <w:rPr>
          <w:rFonts w:ascii="Times New Roman" w:hAnsi="Times New Roman"/>
        </w:rPr>
        <w:t xml:space="preserve"> Instead, those regulations preclude a designated person from being legally represented and seriously impede the designated person from representing themselves while placing no limitation or restriction on representation by the Commonwealth. This not only includes matters against the Commonwealth but matters in which the Commonwealth is suing the designated person, including an application by the Commonwealth for an injunction under the Sanctions Act</w:t>
      </w:r>
      <w:r w:rsidRPr="0099172B">
        <w:rPr>
          <w:rStyle w:val="FootnoteReference"/>
          <w:rFonts w:ascii="Times New Roman" w:hAnsi="Times New Roman"/>
          <w:sz w:val="24"/>
        </w:rPr>
        <w:footnoteReference w:id="381"/>
      </w:r>
      <w:r w:rsidRPr="0099172B">
        <w:rPr>
          <w:rFonts w:ascii="Times New Roman" w:hAnsi="Times New Roman"/>
        </w:rPr>
        <w:t xml:space="preserve"> or a criminal prosecution for an offence under the Sanctions Act or the Sanctions Regulations.</w:t>
      </w:r>
      <w:r w:rsidRPr="0099172B">
        <w:rPr>
          <w:rStyle w:val="FootnoteReference"/>
          <w:rFonts w:ascii="Times New Roman" w:hAnsi="Times New Roman"/>
          <w:sz w:val="24"/>
        </w:rPr>
        <w:footnoteReference w:id="382"/>
      </w:r>
      <w:r w:rsidRPr="0099172B">
        <w:rPr>
          <w:rFonts w:ascii="Times New Roman" w:hAnsi="Times New Roman"/>
        </w:rPr>
        <w:t xml:space="preserve"> </w:t>
      </w:r>
    </w:p>
    <w:p w14:paraId="79E56898"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If the effect of a Commonwealth law is that, in proceedings in a Ch III court between a person and the Commonwealth, including a criminal prosecution, the Commonwealth may be legally represented but the other person cannot and the other person is otherwise impeded in representing themselves then a real question arises as to whether such a law "requires or authorizes the courts in which the judicial power of the Commonwealth is exclusively vested to exercise judicial power in a manner which is inconsistent with the essential character of a court or with the nature of judicial power".</w:t>
      </w:r>
      <w:r w:rsidRPr="0099172B">
        <w:rPr>
          <w:rStyle w:val="FootnoteReference"/>
          <w:rFonts w:ascii="Times New Roman" w:hAnsi="Times New Roman"/>
          <w:sz w:val="24"/>
        </w:rPr>
        <w:footnoteReference w:id="383"/>
      </w:r>
      <w:r w:rsidRPr="0099172B">
        <w:rPr>
          <w:rFonts w:ascii="Times New Roman" w:hAnsi="Times New Roman"/>
        </w:rPr>
        <w:t xml:space="preserve"> In the case of a criminal prosecution, the unfairness that would result from the legislated outcome of the prosecutor being represented and the accused being unable to be represented and seriously impeded in representing themselves may enable the court to grant a stay of the prosecution.</w:t>
      </w:r>
      <w:r w:rsidRPr="0099172B">
        <w:rPr>
          <w:rStyle w:val="FootnoteReference"/>
          <w:rFonts w:ascii="Times New Roman" w:hAnsi="Times New Roman"/>
          <w:sz w:val="24"/>
        </w:rPr>
        <w:footnoteReference w:id="384"/>
      </w:r>
      <w:r w:rsidRPr="0099172B">
        <w:rPr>
          <w:rFonts w:ascii="Times New Roman" w:hAnsi="Times New Roman"/>
        </w:rPr>
        <w:t xml:space="preserve"> </w:t>
      </w:r>
    </w:p>
    <w:p w14:paraId="70EA7A83"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 xml:space="preserve">However, the remedy of a stay is irrelevant in the case of a suit by a designated person against the Commonwealth in which that person seeks to ascertain their rights and obligations under the Sanctions Act or the Sanctions </w:t>
      </w:r>
      <w:r w:rsidRPr="0099172B">
        <w:rPr>
          <w:rFonts w:ascii="Times New Roman" w:hAnsi="Times New Roman"/>
        </w:rPr>
        <w:lastRenderedPageBreak/>
        <w:t>Regulations.</w:t>
      </w:r>
      <w:r w:rsidRPr="0099172B">
        <w:rPr>
          <w:rStyle w:val="FootnoteReference"/>
          <w:rFonts w:ascii="Times New Roman" w:hAnsi="Times New Roman"/>
          <w:sz w:val="24"/>
        </w:rPr>
        <w:footnoteReference w:id="385"/>
      </w:r>
      <w:r w:rsidRPr="0099172B">
        <w:rPr>
          <w:rFonts w:ascii="Times New Roman" w:hAnsi="Times New Roman"/>
        </w:rPr>
        <w:t xml:space="preserve"> In such a case the court would be obliged to hear and determine the case in circumstances where the designated person is prevented from being legally represented and is seriously impeded in representing themselves while the Commonwealth is legally represented and not subject to any restrictions on the assets and resources it could deploy in the litigation. The unfairness occasioned by that disparity travels well beyond that which might follow from such measures as limiting the evidence a party may have access to and challenge in a proceeding.</w:t>
      </w:r>
      <w:r w:rsidRPr="0099172B">
        <w:rPr>
          <w:rStyle w:val="FootnoteReference"/>
          <w:rFonts w:ascii="Times New Roman" w:hAnsi="Times New Roman"/>
          <w:sz w:val="24"/>
        </w:rPr>
        <w:footnoteReference w:id="386"/>
      </w:r>
      <w:r w:rsidRPr="0099172B">
        <w:rPr>
          <w:rFonts w:ascii="Times New Roman" w:hAnsi="Times New Roman"/>
        </w:rPr>
        <w:t xml:space="preserve"> Instead, the practical effect of regs 14 and 15 is that the designated person cannot effectively be heard at all in a Ch III court while the Commonwealth can. Such a manner of proceeding is inconsistent with the essential character of a court or with the nature of judicial power.</w:t>
      </w:r>
      <w:r w:rsidRPr="0099172B">
        <w:rPr>
          <w:rStyle w:val="FootnoteReference"/>
          <w:rFonts w:ascii="Times New Roman" w:hAnsi="Times New Roman"/>
          <w:sz w:val="24"/>
        </w:rPr>
        <w:footnoteReference w:id="387"/>
      </w:r>
      <w:r w:rsidRPr="0099172B">
        <w:rPr>
          <w:rFonts w:ascii="Times New Roman" w:hAnsi="Times New Roman"/>
        </w:rPr>
        <w:t xml:space="preserve"> </w:t>
      </w:r>
    </w:p>
    <w:p w14:paraId="6E6AF7FC"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Applying s 15A of the AIA in the manner described, it follows that regs 14 and 15 should be (further) read down so as to not preclude the making available of, dealing with or using of assets for the (objective) purpose of a designated person applying to a Ch III court to determine their rights and obligations under the Sanctions Act or the Sanctions Regulations or seeking and obtaining legal advice in relation thereto.</w:t>
      </w:r>
    </w:p>
    <w:p w14:paraId="18B87D41" w14:textId="77777777" w:rsidR="00D34C84" w:rsidRPr="0099172B" w:rsidRDefault="00D34C84" w:rsidP="0099172B">
      <w:pPr>
        <w:pStyle w:val="FixListStyle"/>
        <w:spacing w:after="260" w:line="280" w:lineRule="exact"/>
        <w:ind w:right="0"/>
        <w:jc w:val="both"/>
        <w:rPr>
          <w:rFonts w:ascii="Times New Roman" w:hAnsi="Times New Roman"/>
        </w:rPr>
      </w:pPr>
      <w:r w:rsidRPr="0099172B">
        <w:rPr>
          <w:rFonts w:ascii="Times New Roman" w:hAnsi="Times New Roman"/>
        </w:rPr>
        <w:tab/>
        <w:t>There may be further limits on the permissible operation of regs 14 and 15 that derive from Ch III but no factual predicate currently exists to ascertain those limits. In the event that factual circumstances arise which require that any additional limit be considered then the restriction on the scope of operation of regs 14 and 15 that I have identified would enable that inquiry to be undertaken. This restriction also avoids the potential difficulty that arises from</w:t>
      </w:r>
      <w:r w:rsidRPr="0099172B" w:rsidDel="000B6093">
        <w:rPr>
          <w:rFonts w:ascii="Times New Roman" w:hAnsi="Times New Roman"/>
        </w:rPr>
        <w:t xml:space="preserve"> </w:t>
      </w:r>
      <w:r w:rsidRPr="0099172B">
        <w:rPr>
          <w:rFonts w:ascii="Times New Roman" w:hAnsi="Times New Roman"/>
        </w:rPr>
        <w:t xml:space="preserve">only limiting the scope of regs 14 and 15 by reference to s 75(v) of the </w:t>
      </w:r>
      <w:r w:rsidRPr="0099172B">
        <w:rPr>
          <w:rFonts w:ascii="Times New Roman" w:hAnsi="Times New Roman"/>
          <w:i/>
          <w:iCs/>
        </w:rPr>
        <w:t>Constitution</w:t>
      </w:r>
      <w:r w:rsidRPr="0099172B">
        <w:rPr>
          <w:rFonts w:ascii="Times New Roman" w:hAnsi="Times New Roman"/>
        </w:rPr>
        <w:t xml:space="preserve"> as discussed above.</w:t>
      </w:r>
      <w:r w:rsidRPr="0099172B">
        <w:rPr>
          <w:rStyle w:val="FootnoteReference"/>
          <w:rFonts w:ascii="Times New Roman" w:hAnsi="Times New Roman"/>
          <w:sz w:val="24"/>
        </w:rPr>
        <w:footnoteReference w:id="388"/>
      </w:r>
    </w:p>
    <w:p w14:paraId="78A9E015" w14:textId="77777777" w:rsidR="00D34C84" w:rsidRPr="0099172B" w:rsidRDefault="00D34C84" w:rsidP="0099172B">
      <w:pPr>
        <w:pStyle w:val="HeadingL1"/>
        <w:spacing w:after="260" w:line="280" w:lineRule="exact"/>
        <w:ind w:right="0"/>
        <w:jc w:val="both"/>
        <w:rPr>
          <w:rFonts w:ascii="Times New Roman" w:hAnsi="Times New Roman"/>
        </w:rPr>
      </w:pPr>
      <w:r w:rsidRPr="0099172B">
        <w:rPr>
          <w:rFonts w:ascii="Times New Roman" w:hAnsi="Times New Roman"/>
        </w:rPr>
        <w:lastRenderedPageBreak/>
        <w:t>Conclusion</w:t>
      </w:r>
    </w:p>
    <w:p w14:paraId="7AD00D4F" w14:textId="2BA5A473" w:rsidR="00D3023C" w:rsidRPr="00AD7518" w:rsidRDefault="00D34C84" w:rsidP="00AD7518">
      <w:pPr>
        <w:pStyle w:val="FixListStyle"/>
        <w:spacing w:after="260" w:line="280" w:lineRule="exact"/>
        <w:ind w:right="0"/>
        <w:jc w:val="both"/>
        <w:rPr>
          <w:rFonts w:ascii="Times New Roman" w:hAnsi="Times New Roman"/>
        </w:rPr>
      </w:pPr>
      <w:r w:rsidRPr="0099172B">
        <w:rPr>
          <w:rFonts w:ascii="Times New Roman" w:hAnsi="Times New Roman"/>
        </w:rPr>
        <w:tab/>
        <w:t>In this Court the appellant's challenge to the Minister's decision was predicated on establishing that regs 14 and 15 were wholly invalid. As he has not done so, it follows that the appeal should be dismissed with costs.</w:t>
      </w:r>
    </w:p>
    <w:sectPr w:rsidR="00D3023C" w:rsidRPr="00AD7518" w:rsidSect="00D34C84">
      <w:headerReference w:type="even" r:id="rId32"/>
      <w:headerReference w:type="default" r:id="rId33"/>
      <w:footerReference w:type="even" r:id="rId34"/>
      <w:footerReference w:type="default" r:id="rId35"/>
      <w:headerReference w:type="first" r:id="rId36"/>
      <w:footerReference w:type="first" r:id="rId37"/>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5B67" w14:textId="77777777" w:rsidR="00E3185B" w:rsidRDefault="00E3185B">
      <w:pPr>
        <w:spacing w:line="240" w:lineRule="auto"/>
      </w:pPr>
      <w:r>
        <w:separator/>
      </w:r>
    </w:p>
  </w:endnote>
  <w:endnote w:type="continuationSeparator" w:id="0">
    <w:p w14:paraId="1222333B" w14:textId="77777777" w:rsidR="00E3185B" w:rsidRDefault="00E31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48AC" w14:textId="77777777" w:rsidR="00C54135" w:rsidRDefault="00C5413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F345" w14:textId="77777777" w:rsidR="00D34C84" w:rsidRDefault="00D34C8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0195" w14:textId="77777777" w:rsidR="00D34C84" w:rsidRDefault="00D34C8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D8C5" w14:textId="77777777" w:rsidR="00D34C84" w:rsidRDefault="00D34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B907" w14:textId="77777777" w:rsidR="00C54135" w:rsidRDefault="00C54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336" w14:textId="77777777" w:rsidR="00C54135" w:rsidRDefault="00C541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9446" w14:textId="77777777" w:rsidR="00C54135" w:rsidRDefault="00C541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9359" w14:textId="77777777" w:rsidR="00C54135" w:rsidRDefault="00C541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84D6" w14:textId="77777777" w:rsidR="00C54135" w:rsidRDefault="00C541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BFF9" w14:textId="77777777" w:rsidR="00DE281D" w:rsidRDefault="00DE28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F2D4" w14:textId="77777777" w:rsidR="00DE281D" w:rsidRDefault="00DE28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0085" w14:textId="77777777" w:rsidR="00DE281D" w:rsidRDefault="00DE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79E9" w14:textId="77777777" w:rsidR="00E3185B" w:rsidRPr="007A11CE" w:rsidRDefault="00E3185B" w:rsidP="007A11CE">
      <w:pPr>
        <w:pStyle w:val="Footer"/>
        <w:spacing w:before="120" w:after="20"/>
        <w:ind w:right="0"/>
        <w:rPr>
          <w:rFonts w:ascii="Times New Roman" w:hAnsi="Times New Roman"/>
        </w:rPr>
      </w:pPr>
      <w:r>
        <w:continuationSeparator/>
      </w:r>
    </w:p>
  </w:footnote>
  <w:footnote w:type="continuationSeparator" w:id="0">
    <w:p w14:paraId="25740B84" w14:textId="77777777" w:rsidR="00E3185B" w:rsidRPr="007A11CE" w:rsidRDefault="00E3185B" w:rsidP="007A11CE">
      <w:pPr>
        <w:pStyle w:val="Footer"/>
        <w:spacing w:before="120" w:after="20"/>
        <w:ind w:right="0"/>
        <w:rPr>
          <w:rFonts w:ascii="Times New Roman" w:hAnsi="Times New Roman"/>
        </w:rPr>
      </w:pPr>
      <w:r w:rsidRPr="007A11CE">
        <w:rPr>
          <w:rFonts w:ascii="Times New Roman" w:hAnsi="Times New Roman"/>
        </w:rPr>
        <w:continuationSeparator/>
      </w:r>
    </w:p>
  </w:footnote>
  <w:footnote w:type="continuationNotice" w:id="1">
    <w:p w14:paraId="12F16DEB" w14:textId="77777777" w:rsidR="00E3185B" w:rsidRPr="000525DE" w:rsidRDefault="00E3185B">
      <w:pPr>
        <w:jc w:val="right"/>
        <w:rPr>
          <w:rFonts w:ascii="Times New Roman" w:hAnsi="Times New Roman"/>
          <w:sz w:val="24"/>
        </w:rPr>
      </w:pPr>
    </w:p>
  </w:footnote>
  <w:footnote w:id="2">
    <w:p w14:paraId="43F5B6A1" w14:textId="54DD5622" w:rsidR="00F273B5" w:rsidRPr="007A11CE" w:rsidRDefault="00F273B5"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5F7F53" w:rsidRPr="007A11CE">
        <w:rPr>
          <w:rFonts w:ascii="Times New Roman" w:hAnsi="Times New Roman"/>
          <w:sz w:val="24"/>
        </w:rPr>
        <w:tab/>
      </w:r>
      <w:r w:rsidR="005F7F53" w:rsidRPr="007A11CE">
        <w:rPr>
          <w:rFonts w:ascii="Times New Roman" w:hAnsi="Times New Roman"/>
          <w:i/>
          <w:iCs/>
          <w:sz w:val="24"/>
        </w:rPr>
        <w:t xml:space="preserve">Autonomous Sanctions </w:t>
      </w:r>
      <w:r w:rsidR="0078579E" w:rsidRPr="007A11CE">
        <w:rPr>
          <w:rFonts w:ascii="Times New Roman" w:hAnsi="Times New Roman"/>
          <w:i/>
          <w:iCs/>
          <w:sz w:val="24"/>
        </w:rPr>
        <w:t xml:space="preserve">(Designated Persons and Entities and Declared Persons </w:t>
      </w:r>
      <w:r w:rsidR="00D452D2" w:rsidRPr="007A11CE">
        <w:rPr>
          <w:rFonts w:ascii="Times New Roman" w:hAnsi="Times New Roman"/>
          <w:i/>
          <w:iCs/>
          <w:sz w:val="24"/>
        </w:rPr>
        <w:t xml:space="preserve">– </w:t>
      </w:r>
      <w:r w:rsidR="0078579E" w:rsidRPr="007A11CE">
        <w:rPr>
          <w:rFonts w:ascii="Times New Roman" w:hAnsi="Times New Roman"/>
          <w:i/>
          <w:iCs/>
          <w:sz w:val="24"/>
        </w:rPr>
        <w:t>Russia and Ukraine) Amendment (No 7</w:t>
      </w:r>
      <w:r w:rsidR="00352519" w:rsidRPr="007A11CE">
        <w:rPr>
          <w:rFonts w:ascii="Times New Roman" w:hAnsi="Times New Roman"/>
          <w:i/>
          <w:iCs/>
          <w:sz w:val="24"/>
        </w:rPr>
        <w:t xml:space="preserve">) Instrument </w:t>
      </w:r>
      <w:r w:rsidR="005F7F53" w:rsidRPr="007A11CE">
        <w:rPr>
          <w:rFonts w:ascii="Times New Roman" w:hAnsi="Times New Roman"/>
          <w:i/>
          <w:iCs/>
          <w:sz w:val="24"/>
        </w:rPr>
        <w:t>20</w:t>
      </w:r>
      <w:r w:rsidR="00352519" w:rsidRPr="007A11CE">
        <w:rPr>
          <w:rFonts w:ascii="Times New Roman" w:hAnsi="Times New Roman"/>
          <w:i/>
          <w:iCs/>
          <w:sz w:val="24"/>
        </w:rPr>
        <w:t>22</w:t>
      </w:r>
      <w:r w:rsidR="005F7F53" w:rsidRPr="007A11CE">
        <w:rPr>
          <w:rFonts w:ascii="Times New Roman" w:hAnsi="Times New Roman"/>
          <w:sz w:val="24"/>
        </w:rPr>
        <w:t xml:space="preserve"> (Cth)</w:t>
      </w:r>
      <w:r w:rsidR="00D452D2" w:rsidRPr="007A11CE">
        <w:rPr>
          <w:rFonts w:ascii="Times New Roman" w:hAnsi="Times New Roman"/>
          <w:sz w:val="24"/>
        </w:rPr>
        <w:t>.</w:t>
      </w:r>
    </w:p>
  </w:footnote>
  <w:footnote w:id="3">
    <w:p w14:paraId="5C74562D" w14:textId="17621E55" w:rsidR="00E1377B" w:rsidRPr="007A11CE" w:rsidRDefault="00E1377B"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7B4B1B" w:rsidRPr="007A11CE">
        <w:rPr>
          <w:rFonts w:ascii="Times New Roman" w:hAnsi="Times New Roman"/>
          <w:sz w:val="24"/>
        </w:rPr>
        <w:tab/>
      </w:r>
      <w:r w:rsidR="00D452D2" w:rsidRPr="007A11CE">
        <w:rPr>
          <w:rFonts w:ascii="Times New Roman" w:hAnsi="Times New Roman"/>
          <w:i/>
          <w:iCs/>
          <w:sz w:val="24"/>
        </w:rPr>
        <w:t xml:space="preserve">Deripaska v Minister for Foreign Affairs </w:t>
      </w:r>
      <w:r w:rsidR="007B4B1B" w:rsidRPr="007A11CE" w:rsidDel="00D452D2">
        <w:rPr>
          <w:rFonts w:ascii="Times New Roman" w:hAnsi="Times New Roman"/>
          <w:sz w:val="24"/>
        </w:rPr>
        <w:t>[</w:t>
      </w:r>
      <w:r w:rsidR="007B4B1B" w:rsidRPr="007A11CE">
        <w:rPr>
          <w:rFonts w:ascii="Times New Roman" w:hAnsi="Times New Roman"/>
          <w:sz w:val="24"/>
        </w:rPr>
        <w:t>2024</w:t>
      </w:r>
      <w:r w:rsidR="007B4B1B" w:rsidRPr="007A11CE" w:rsidDel="00D452D2">
        <w:rPr>
          <w:rFonts w:ascii="Times New Roman" w:hAnsi="Times New Roman"/>
          <w:sz w:val="24"/>
        </w:rPr>
        <w:t xml:space="preserve">] </w:t>
      </w:r>
      <w:r w:rsidR="007A6692" w:rsidRPr="007A11CE" w:rsidDel="00D452D2">
        <w:rPr>
          <w:rFonts w:ascii="Times New Roman" w:hAnsi="Times New Roman"/>
          <w:sz w:val="24"/>
        </w:rPr>
        <w:t>FCA 62</w:t>
      </w:r>
      <w:r w:rsidR="007A6692" w:rsidRPr="007A11CE">
        <w:rPr>
          <w:rFonts w:ascii="Times New Roman" w:hAnsi="Times New Roman"/>
          <w:sz w:val="24"/>
        </w:rPr>
        <w:t>.</w:t>
      </w:r>
    </w:p>
  </w:footnote>
  <w:footnote w:id="4">
    <w:p w14:paraId="3CF76C2F" w14:textId="7A111137" w:rsidR="003511C0" w:rsidRPr="007A11CE" w:rsidRDefault="003511C0"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D452D2" w:rsidRPr="007A11CE">
        <w:rPr>
          <w:rFonts w:ascii="Times New Roman" w:hAnsi="Times New Roman"/>
          <w:i/>
          <w:iCs/>
          <w:sz w:val="24"/>
        </w:rPr>
        <w:t xml:space="preserve">Deripaska v Minister for Foreign Affairs </w:t>
      </w:r>
      <w:r w:rsidRPr="007A11CE">
        <w:rPr>
          <w:rFonts w:ascii="Times New Roman" w:hAnsi="Times New Roman"/>
          <w:sz w:val="24"/>
        </w:rPr>
        <w:t xml:space="preserve">(2025) </w:t>
      </w:r>
      <w:r w:rsidR="00D015BE" w:rsidRPr="007A11CE">
        <w:rPr>
          <w:rFonts w:ascii="Times New Roman" w:hAnsi="Times New Roman"/>
          <w:sz w:val="24"/>
        </w:rPr>
        <w:t xml:space="preserve">308 FCR </w:t>
      </w:r>
      <w:r w:rsidR="009D0B9D" w:rsidRPr="007A11CE">
        <w:rPr>
          <w:rFonts w:ascii="Times New Roman" w:hAnsi="Times New Roman"/>
          <w:sz w:val="24"/>
        </w:rPr>
        <w:t>175.</w:t>
      </w:r>
    </w:p>
  </w:footnote>
  <w:footnote w:id="5">
    <w:p w14:paraId="7A5ED18F" w14:textId="07E7BF75" w:rsidR="00467851" w:rsidRPr="007A11CE" w:rsidRDefault="00467851"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Section 3(1)</w:t>
      </w:r>
      <w:r w:rsidR="00AA637D" w:rsidRPr="007A11CE">
        <w:rPr>
          <w:rFonts w:ascii="Times New Roman" w:hAnsi="Times New Roman"/>
          <w:sz w:val="24"/>
        </w:rPr>
        <w:t>(a) and (b)</w:t>
      </w:r>
      <w:r w:rsidR="00127EAF" w:rsidRPr="007A11CE">
        <w:rPr>
          <w:rFonts w:ascii="Times New Roman" w:hAnsi="Times New Roman"/>
          <w:sz w:val="24"/>
        </w:rPr>
        <w:t xml:space="preserve"> </w:t>
      </w:r>
      <w:r w:rsidRPr="007A11CE">
        <w:rPr>
          <w:rFonts w:ascii="Times New Roman" w:hAnsi="Times New Roman"/>
          <w:sz w:val="24"/>
        </w:rPr>
        <w:t>of the Act.</w:t>
      </w:r>
    </w:p>
  </w:footnote>
  <w:footnote w:id="6">
    <w:p w14:paraId="705E8704" w14:textId="36E1B15A" w:rsidR="00E826CB" w:rsidRPr="007A11CE" w:rsidRDefault="00E826CB"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0713AC" w:rsidRPr="007A11CE">
        <w:rPr>
          <w:rFonts w:ascii="Times New Roman" w:hAnsi="Times New Roman"/>
          <w:sz w:val="24"/>
        </w:rPr>
        <w:tab/>
        <w:t xml:space="preserve">Section 4 </w:t>
      </w:r>
      <w:r w:rsidR="00D509AA" w:rsidRPr="007A11CE">
        <w:rPr>
          <w:rFonts w:ascii="Times New Roman" w:hAnsi="Times New Roman"/>
          <w:sz w:val="24"/>
        </w:rPr>
        <w:t xml:space="preserve">(definition of "autonomous sanction") </w:t>
      </w:r>
      <w:r w:rsidR="000713AC" w:rsidRPr="007A11CE">
        <w:rPr>
          <w:rFonts w:ascii="Times New Roman" w:hAnsi="Times New Roman"/>
          <w:sz w:val="24"/>
        </w:rPr>
        <w:t>of the Act</w:t>
      </w:r>
      <w:r w:rsidR="0095211A" w:rsidRPr="007A11CE">
        <w:rPr>
          <w:rFonts w:ascii="Times New Roman" w:hAnsi="Times New Roman"/>
          <w:sz w:val="24"/>
        </w:rPr>
        <w:t>.</w:t>
      </w:r>
      <w:r w:rsidR="000E22B3" w:rsidRPr="007A11CE">
        <w:rPr>
          <w:rFonts w:ascii="Times New Roman" w:hAnsi="Times New Roman"/>
          <w:sz w:val="24"/>
        </w:rPr>
        <w:t xml:space="preserve"> </w:t>
      </w:r>
    </w:p>
  </w:footnote>
  <w:footnote w:id="7">
    <w:p w14:paraId="59603A75" w14:textId="6418B1F1" w:rsidR="0095211A" w:rsidRPr="007A11CE" w:rsidRDefault="0095211A"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 xml:space="preserve">Section 4 </w:t>
      </w:r>
      <w:r w:rsidR="00EE1DCA" w:rsidRPr="007A11CE">
        <w:rPr>
          <w:rFonts w:ascii="Times New Roman" w:hAnsi="Times New Roman"/>
          <w:sz w:val="24"/>
        </w:rPr>
        <w:t xml:space="preserve">(definition of "foreign government entity") </w:t>
      </w:r>
      <w:r w:rsidRPr="007A11CE">
        <w:rPr>
          <w:rFonts w:ascii="Times New Roman" w:hAnsi="Times New Roman"/>
          <w:sz w:val="24"/>
        </w:rPr>
        <w:t>of the Act.</w:t>
      </w:r>
    </w:p>
  </w:footnote>
  <w:footnote w:id="8">
    <w:p w14:paraId="62B557C5" w14:textId="0D655615" w:rsidR="002C5217" w:rsidRPr="007A11CE" w:rsidRDefault="002C5217"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Section 28(</w:t>
      </w:r>
      <w:r w:rsidR="00DD49A3" w:rsidRPr="007A11CE">
        <w:rPr>
          <w:rFonts w:ascii="Times New Roman" w:hAnsi="Times New Roman"/>
          <w:sz w:val="24"/>
        </w:rPr>
        <w:t>a)</w:t>
      </w:r>
      <w:r w:rsidRPr="007A11CE">
        <w:rPr>
          <w:rFonts w:ascii="Times New Roman" w:hAnsi="Times New Roman"/>
          <w:sz w:val="24"/>
        </w:rPr>
        <w:t xml:space="preserve"> of the Act.</w:t>
      </w:r>
    </w:p>
  </w:footnote>
  <w:footnote w:id="9">
    <w:p w14:paraId="54A6457A" w14:textId="23576710" w:rsidR="002856FE" w:rsidRPr="007A11CE" w:rsidRDefault="002856FE"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Section 10(1)(a) of the Act.</w:t>
      </w:r>
    </w:p>
  </w:footnote>
  <w:footnote w:id="10">
    <w:p w14:paraId="5030B74F" w14:textId="6D490F25" w:rsidR="002856FE" w:rsidRPr="007A11CE" w:rsidRDefault="002856FE"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Section 10(1)(b) of the Act.</w:t>
      </w:r>
    </w:p>
  </w:footnote>
  <w:footnote w:id="11">
    <w:p w14:paraId="0E52F711" w14:textId="01836310" w:rsidR="005B4072" w:rsidRPr="007A11CE" w:rsidRDefault="005B4072"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A83173" w:rsidRPr="007A11CE">
        <w:rPr>
          <w:rFonts w:ascii="Times New Roman" w:hAnsi="Times New Roman"/>
          <w:sz w:val="24"/>
        </w:rPr>
        <w:tab/>
        <w:t>Section 10(2) of the Act.</w:t>
      </w:r>
    </w:p>
  </w:footnote>
  <w:footnote w:id="12">
    <w:p w14:paraId="04136889" w14:textId="759969BF" w:rsidR="00082F37" w:rsidRPr="007A11CE" w:rsidRDefault="00082F37"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8C78E0" w:rsidRPr="007A11CE">
        <w:rPr>
          <w:rFonts w:ascii="Times New Roman" w:hAnsi="Times New Roman"/>
          <w:sz w:val="24"/>
        </w:rPr>
        <w:t xml:space="preserve">Section 13(1)(b) of the </w:t>
      </w:r>
      <w:r w:rsidR="008C78E0" w:rsidRPr="007A11CE">
        <w:rPr>
          <w:rFonts w:ascii="Times New Roman" w:hAnsi="Times New Roman"/>
          <w:i/>
          <w:sz w:val="24"/>
        </w:rPr>
        <w:t>Legislation Act</w:t>
      </w:r>
      <w:r w:rsidR="00316F4F" w:rsidRPr="007A11CE">
        <w:rPr>
          <w:rFonts w:ascii="Times New Roman" w:hAnsi="Times New Roman"/>
          <w:i/>
          <w:iCs/>
          <w:sz w:val="24"/>
        </w:rPr>
        <w:t xml:space="preserve"> 2003 </w:t>
      </w:r>
      <w:r w:rsidR="00316F4F" w:rsidRPr="007A11CE">
        <w:rPr>
          <w:rFonts w:ascii="Times New Roman" w:hAnsi="Times New Roman"/>
          <w:sz w:val="24"/>
        </w:rPr>
        <w:t>(Cth)</w:t>
      </w:r>
      <w:r w:rsidR="008C78E0" w:rsidRPr="007A11CE">
        <w:rPr>
          <w:rFonts w:ascii="Times New Roman" w:hAnsi="Times New Roman"/>
          <w:sz w:val="24"/>
        </w:rPr>
        <w:t>.</w:t>
      </w:r>
    </w:p>
  </w:footnote>
  <w:footnote w:id="13">
    <w:p w14:paraId="79C88D9E" w14:textId="0B8F3873" w:rsidR="00BD5AFB" w:rsidRPr="007A11CE" w:rsidRDefault="00BD5AFB"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3258AB" w:rsidRPr="007A11CE">
        <w:rPr>
          <w:rFonts w:ascii="Times New Roman" w:hAnsi="Times New Roman"/>
          <w:sz w:val="24"/>
        </w:rPr>
        <w:t xml:space="preserve">Section 4 </w:t>
      </w:r>
      <w:r w:rsidR="00EE1DCA" w:rsidRPr="007A11CE">
        <w:rPr>
          <w:rFonts w:ascii="Times New Roman" w:hAnsi="Times New Roman"/>
          <w:sz w:val="24"/>
        </w:rPr>
        <w:t xml:space="preserve">(definition of "asset") </w:t>
      </w:r>
      <w:r w:rsidR="003258AB" w:rsidRPr="007A11CE">
        <w:rPr>
          <w:rFonts w:ascii="Times New Roman" w:hAnsi="Times New Roman"/>
          <w:sz w:val="24"/>
        </w:rPr>
        <w:t>of the Act.</w:t>
      </w:r>
    </w:p>
  </w:footnote>
  <w:footnote w:id="14">
    <w:p w14:paraId="7E688201" w14:textId="321CBEAB" w:rsidR="0022626F" w:rsidRPr="007A11CE" w:rsidRDefault="0022626F"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 xml:space="preserve">Section 4 </w:t>
      </w:r>
      <w:r w:rsidR="00EE1DCA" w:rsidRPr="007A11CE">
        <w:rPr>
          <w:rFonts w:ascii="Times New Roman" w:hAnsi="Times New Roman"/>
          <w:sz w:val="24"/>
        </w:rPr>
        <w:t xml:space="preserve">(note to definition of "asset") </w:t>
      </w:r>
      <w:r w:rsidRPr="007A11CE">
        <w:rPr>
          <w:rFonts w:ascii="Times New Roman" w:hAnsi="Times New Roman"/>
          <w:sz w:val="24"/>
        </w:rPr>
        <w:t>of the Act.</w:t>
      </w:r>
    </w:p>
  </w:footnote>
  <w:footnote w:id="15">
    <w:p w14:paraId="282692B3" w14:textId="724C1BF0" w:rsidR="0003158D" w:rsidRPr="007A11CE" w:rsidRDefault="0003158D"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Section 14 of the Act.</w:t>
      </w:r>
    </w:p>
  </w:footnote>
  <w:footnote w:id="16">
    <w:p w14:paraId="02E15DB4" w14:textId="4AB24309" w:rsidR="0090271D" w:rsidRPr="007A11CE" w:rsidRDefault="0090271D"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Section 6</w:t>
      </w:r>
      <w:r w:rsidR="00C52734" w:rsidRPr="007A11CE">
        <w:rPr>
          <w:rFonts w:ascii="Times New Roman" w:hAnsi="Times New Roman"/>
          <w:sz w:val="24"/>
        </w:rPr>
        <w:t>(1) of the Act.</w:t>
      </w:r>
    </w:p>
  </w:footnote>
  <w:footnote w:id="17">
    <w:p w14:paraId="0ABCC2B4" w14:textId="655A3D7E" w:rsidR="00C52734" w:rsidRPr="007A11CE" w:rsidRDefault="00C52734"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 xml:space="preserve">Section </w:t>
      </w:r>
      <w:r w:rsidR="00696EFD" w:rsidRPr="007A11CE">
        <w:rPr>
          <w:rFonts w:ascii="Times New Roman" w:hAnsi="Times New Roman"/>
          <w:sz w:val="24"/>
        </w:rPr>
        <w:t>16 of the Act.</w:t>
      </w:r>
    </w:p>
  </w:footnote>
  <w:footnote w:id="18">
    <w:p w14:paraId="3EF7ED2A" w14:textId="730C55E0" w:rsidR="008D339A" w:rsidRPr="007A11CE" w:rsidRDefault="008D339A"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514C2A" w:rsidRPr="007A11CE">
        <w:rPr>
          <w:rFonts w:ascii="Times New Roman" w:hAnsi="Times New Roman"/>
          <w:sz w:val="24"/>
        </w:rPr>
        <w:tab/>
      </w:r>
      <w:r w:rsidR="009E2EDC" w:rsidRPr="007A11CE">
        <w:rPr>
          <w:rFonts w:ascii="Times New Roman" w:hAnsi="Times New Roman"/>
          <w:sz w:val="24"/>
        </w:rPr>
        <w:t xml:space="preserve">Regulation 2.43(1)(aa)(i) </w:t>
      </w:r>
      <w:r w:rsidR="001F691F" w:rsidRPr="007A11CE">
        <w:rPr>
          <w:rFonts w:ascii="Times New Roman" w:hAnsi="Times New Roman"/>
          <w:sz w:val="24"/>
        </w:rPr>
        <w:t xml:space="preserve">of, </w:t>
      </w:r>
      <w:r w:rsidR="009E2EDC" w:rsidRPr="007A11CE">
        <w:rPr>
          <w:rFonts w:ascii="Times New Roman" w:hAnsi="Times New Roman"/>
          <w:sz w:val="24"/>
        </w:rPr>
        <w:t xml:space="preserve">and </w:t>
      </w:r>
      <w:r w:rsidR="004D55D3" w:rsidRPr="007A11CE">
        <w:rPr>
          <w:rFonts w:ascii="Times New Roman" w:hAnsi="Times New Roman"/>
          <w:sz w:val="24"/>
        </w:rPr>
        <w:t xml:space="preserve">public interest criterion </w:t>
      </w:r>
      <w:r w:rsidR="009E2EDC" w:rsidRPr="007A11CE">
        <w:rPr>
          <w:rFonts w:ascii="Times New Roman" w:hAnsi="Times New Roman"/>
          <w:sz w:val="24"/>
        </w:rPr>
        <w:t xml:space="preserve">4003 in Sch </w:t>
      </w:r>
      <w:r w:rsidR="001F691F" w:rsidRPr="007A11CE">
        <w:rPr>
          <w:rFonts w:ascii="Times New Roman" w:hAnsi="Times New Roman"/>
          <w:sz w:val="24"/>
        </w:rPr>
        <w:t xml:space="preserve">4 to, the </w:t>
      </w:r>
      <w:r w:rsidR="001F691F" w:rsidRPr="007A11CE">
        <w:rPr>
          <w:rFonts w:ascii="Times New Roman" w:hAnsi="Times New Roman"/>
          <w:i/>
          <w:iCs/>
          <w:sz w:val="24"/>
        </w:rPr>
        <w:t xml:space="preserve">Migration Regulations </w:t>
      </w:r>
      <w:r w:rsidR="00205DE5" w:rsidRPr="007A11CE">
        <w:rPr>
          <w:rFonts w:ascii="Times New Roman" w:hAnsi="Times New Roman"/>
          <w:i/>
          <w:iCs/>
          <w:sz w:val="24"/>
        </w:rPr>
        <w:t>1994</w:t>
      </w:r>
      <w:r w:rsidR="00205DE5" w:rsidRPr="007A11CE">
        <w:rPr>
          <w:rFonts w:ascii="Times New Roman" w:hAnsi="Times New Roman"/>
          <w:sz w:val="24"/>
        </w:rPr>
        <w:t xml:space="preserve"> (Cth).</w:t>
      </w:r>
    </w:p>
  </w:footnote>
  <w:footnote w:id="19">
    <w:p w14:paraId="4A014E1F" w14:textId="3DCB9E62" w:rsidR="00774166" w:rsidRPr="007A11CE" w:rsidRDefault="00774166"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6006DD" w:rsidRPr="007A11CE">
        <w:rPr>
          <w:rFonts w:ascii="Times New Roman" w:hAnsi="Times New Roman"/>
          <w:sz w:val="24"/>
        </w:rPr>
        <w:t xml:space="preserve">Section 3 </w:t>
      </w:r>
      <w:r w:rsidR="00E76610" w:rsidRPr="007A11CE">
        <w:rPr>
          <w:rFonts w:ascii="Times New Roman" w:hAnsi="Times New Roman"/>
          <w:sz w:val="24"/>
        </w:rPr>
        <w:t xml:space="preserve">of, </w:t>
      </w:r>
      <w:r w:rsidR="006006DD" w:rsidRPr="007A11CE">
        <w:rPr>
          <w:rFonts w:ascii="Times New Roman" w:hAnsi="Times New Roman"/>
          <w:sz w:val="24"/>
        </w:rPr>
        <w:t xml:space="preserve">and </w:t>
      </w:r>
      <w:r w:rsidR="00D908BD" w:rsidRPr="007A11CE">
        <w:rPr>
          <w:rFonts w:ascii="Times New Roman" w:hAnsi="Times New Roman"/>
          <w:sz w:val="24"/>
        </w:rPr>
        <w:t xml:space="preserve">item 1 </w:t>
      </w:r>
      <w:r w:rsidR="00FB1CC9" w:rsidRPr="007A11CE">
        <w:rPr>
          <w:rFonts w:ascii="Times New Roman" w:hAnsi="Times New Roman"/>
          <w:sz w:val="24"/>
        </w:rPr>
        <w:t xml:space="preserve">in Sch 1 </w:t>
      </w:r>
      <w:r w:rsidR="00E76610" w:rsidRPr="007A11CE">
        <w:rPr>
          <w:rFonts w:ascii="Times New Roman" w:hAnsi="Times New Roman"/>
          <w:sz w:val="24"/>
        </w:rPr>
        <w:t>to,</w:t>
      </w:r>
      <w:r w:rsidR="00FB1CC9" w:rsidRPr="007A11CE">
        <w:rPr>
          <w:rFonts w:ascii="Times New Roman" w:hAnsi="Times New Roman"/>
          <w:sz w:val="24"/>
        </w:rPr>
        <w:t xml:space="preserve"> the </w:t>
      </w:r>
      <w:r w:rsidRPr="007A11CE">
        <w:rPr>
          <w:rFonts w:ascii="Times New Roman" w:hAnsi="Times New Roman"/>
          <w:i/>
          <w:iCs/>
          <w:sz w:val="24"/>
        </w:rPr>
        <w:t>Autonomous Sanctions (Sanction Law) Declaration 2012</w:t>
      </w:r>
      <w:r w:rsidRPr="007A11CE">
        <w:rPr>
          <w:rFonts w:ascii="Times New Roman" w:hAnsi="Times New Roman"/>
          <w:sz w:val="24"/>
        </w:rPr>
        <w:t xml:space="preserve"> (Cth).</w:t>
      </w:r>
    </w:p>
  </w:footnote>
  <w:footnote w:id="20">
    <w:p w14:paraId="2C04C00C" w14:textId="62DE5693" w:rsidR="00235EB1" w:rsidRPr="007A11CE" w:rsidRDefault="00235EB1"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Regulation 14(1) of the Regulations.</w:t>
      </w:r>
    </w:p>
  </w:footnote>
  <w:footnote w:id="21">
    <w:p w14:paraId="5D1C534E" w14:textId="72E97A48" w:rsidR="0001029B" w:rsidRPr="007A11CE" w:rsidRDefault="0001029B"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 xml:space="preserve">Regulation 3 </w:t>
      </w:r>
      <w:r w:rsidR="00EE1DCA" w:rsidRPr="007A11CE">
        <w:rPr>
          <w:rFonts w:ascii="Times New Roman" w:hAnsi="Times New Roman"/>
          <w:sz w:val="24"/>
        </w:rPr>
        <w:t xml:space="preserve">(definition of "controlled asset") </w:t>
      </w:r>
      <w:r w:rsidRPr="007A11CE">
        <w:rPr>
          <w:rFonts w:ascii="Times New Roman" w:hAnsi="Times New Roman"/>
          <w:sz w:val="24"/>
        </w:rPr>
        <w:t>of the Regulations</w:t>
      </w:r>
      <w:r w:rsidR="00774166" w:rsidRPr="007A11CE">
        <w:rPr>
          <w:rFonts w:ascii="Times New Roman" w:hAnsi="Times New Roman"/>
          <w:sz w:val="24"/>
        </w:rPr>
        <w:t>.</w:t>
      </w:r>
    </w:p>
  </w:footnote>
  <w:footnote w:id="22">
    <w:p w14:paraId="6121E150" w14:textId="4D8F5E76" w:rsidR="009E51E5" w:rsidRPr="007A11CE" w:rsidRDefault="009E51E5"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Regulation 15(1) of the Regulations.</w:t>
      </w:r>
    </w:p>
  </w:footnote>
  <w:footnote w:id="23">
    <w:p w14:paraId="4391241D" w14:textId="17C7F996" w:rsidR="007F128A" w:rsidRPr="007A11CE" w:rsidRDefault="007F128A"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Regulation 18(1)(e) and (f) of the Regulations</w:t>
      </w:r>
      <w:r w:rsidR="00DA5683" w:rsidRPr="007A11CE">
        <w:rPr>
          <w:rFonts w:ascii="Times New Roman" w:hAnsi="Times New Roman"/>
          <w:sz w:val="24"/>
        </w:rPr>
        <w:t>.</w:t>
      </w:r>
    </w:p>
  </w:footnote>
  <w:footnote w:id="24">
    <w:p w14:paraId="14E653B1" w14:textId="5EC6E7AC" w:rsidR="007F128A" w:rsidRPr="007A11CE" w:rsidRDefault="007F128A"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Regulation 18(2) of the Regulations.</w:t>
      </w:r>
    </w:p>
  </w:footnote>
  <w:footnote w:id="25">
    <w:p w14:paraId="62EA27A4" w14:textId="3C72CD19" w:rsidR="007F128A" w:rsidRPr="007A11CE" w:rsidRDefault="007F128A"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Regulation 18(3)(a) of the Regulations.</w:t>
      </w:r>
    </w:p>
  </w:footnote>
  <w:footnote w:id="26">
    <w:p w14:paraId="6BEB39D6" w14:textId="6F0E9DAD" w:rsidR="00721308" w:rsidRPr="007A11CE" w:rsidRDefault="00721308"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E330C5" w:rsidRPr="007A11CE">
        <w:rPr>
          <w:rFonts w:ascii="Times New Roman" w:hAnsi="Times New Roman"/>
          <w:sz w:val="24"/>
        </w:rPr>
        <w:t>Section 33(</w:t>
      </w:r>
      <w:r w:rsidR="00BD1836" w:rsidRPr="007A11CE">
        <w:rPr>
          <w:rFonts w:ascii="Times New Roman" w:hAnsi="Times New Roman"/>
          <w:sz w:val="24"/>
        </w:rPr>
        <w:t xml:space="preserve">3) </w:t>
      </w:r>
      <w:r w:rsidR="00E330C5" w:rsidRPr="007A11CE">
        <w:rPr>
          <w:rFonts w:ascii="Times New Roman" w:hAnsi="Times New Roman"/>
          <w:sz w:val="24"/>
        </w:rPr>
        <w:t xml:space="preserve">of the </w:t>
      </w:r>
      <w:r w:rsidR="00E330C5" w:rsidRPr="007A11CE">
        <w:rPr>
          <w:rFonts w:ascii="Times New Roman" w:hAnsi="Times New Roman"/>
          <w:i/>
          <w:iCs/>
          <w:sz w:val="24"/>
        </w:rPr>
        <w:t>Acts Interpretation Act 1901</w:t>
      </w:r>
      <w:r w:rsidR="00E330C5" w:rsidRPr="007A11CE">
        <w:rPr>
          <w:rFonts w:ascii="Times New Roman" w:hAnsi="Times New Roman"/>
          <w:sz w:val="24"/>
        </w:rPr>
        <w:t xml:space="preserve"> (Cth) </w:t>
      </w:r>
      <w:r w:rsidR="00BD1836" w:rsidRPr="007A11CE">
        <w:rPr>
          <w:rFonts w:ascii="Times New Roman" w:hAnsi="Times New Roman"/>
          <w:sz w:val="24"/>
        </w:rPr>
        <w:t>read with</w:t>
      </w:r>
      <w:r w:rsidR="00E330C5" w:rsidRPr="007A11CE">
        <w:rPr>
          <w:rFonts w:ascii="Times New Roman" w:hAnsi="Times New Roman"/>
          <w:sz w:val="24"/>
        </w:rPr>
        <w:t xml:space="preserve"> s 13</w:t>
      </w:r>
      <w:r w:rsidR="007E3EE9" w:rsidRPr="007A11CE">
        <w:rPr>
          <w:rFonts w:ascii="Times New Roman" w:hAnsi="Times New Roman"/>
          <w:sz w:val="24"/>
        </w:rPr>
        <w:t>(1)(a)</w:t>
      </w:r>
      <w:r w:rsidR="00E330C5" w:rsidRPr="007A11CE">
        <w:rPr>
          <w:rFonts w:ascii="Times New Roman" w:hAnsi="Times New Roman"/>
          <w:sz w:val="24"/>
        </w:rPr>
        <w:t xml:space="preserve"> of the </w:t>
      </w:r>
      <w:r w:rsidR="00E330C5" w:rsidRPr="007A11CE">
        <w:rPr>
          <w:rFonts w:ascii="Times New Roman" w:hAnsi="Times New Roman"/>
          <w:i/>
          <w:iCs/>
          <w:sz w:val="24"/>
        </w:rPr>
        <w:t>Legislation Act 2003</w:t>
      </w:r>
      <w:r w:rsidR="00E330C5" w:rsidRPr="007A11CE">
        <w:rPr>
          <w:rFonts w:ascii="Times New Roman" w:hAnsi="Times New Roman"/>
          <w:sz w:val="24"/>
        </w:rPr>
        <w:t xml:space="preserve"> (Cth)</w:t>
      </w:r>
      <w:r w:rsidR="007E3EE9" w:rsidRPr="007A11CE">
        <w:rPr>
          <w:rFonts w:ascii="Times New Roman" w:hAnsi="Times New Roman"/>
          <w:sz w:val="24"/>
        </w:rPr>
        <w:t>.</w:t>
      </w:r>
    </w:p>
  </w:footnote>
  <w:footnote w:id="27">
    <w:p w14:paraId="7F3C84C4" w14:textId="79E9FF3F" w:rsidR="004A2150" w:rsidRPr="007A11CE" w:rsidRDefault="004A2150"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013A05" w:rsidRPr="007A11CE">
        <w:rPr>
          <w:rFonts w:ascii="Times New Roman" w:hAnsi="Times New Roman"/>
          <w:i/>
          <w:iCs/>
          <w:sz w:val="24"/>
        </w:rPr>
        <w:t xml:space="preserve">Deripaska v Minister for Foreign Affairs </w:t>
      </w:r>
      <w:r w:rsidR="00535587" w:rsidRPr="007A11CE">
        <w:rPr>
          <w:rFonts w:ascii="Times New Roman" w:hAnsi="Times New Roman"/>
          <w:sz w:val="24"/>
        </w:rPr>
        <w:t>[2024] FCA 62 at [41].</w:t>
      </w:r>
    </w:p>
  </w:footnote>
  <w:footnote w:id="28">
    <w:p w14:paraId="0746F6C7" w14:textId="5D39113A" w:rsidR="00493FD9" w:rsidRPr="007A11CE" w:rsidRDefault="00493FD9"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1162A6" w:rsidRPr="007A11CE">
        <w:rPr>
          <w:rFonts w:ascii="Times New Roman" w:hAnsi="Times New Roman"/>
          <w:sz w:val="24"/>
        </w:rPr>
        <w:t>(2017) 263 CLR 1</w:t>
      </w:r>
      <w:r w:rsidR="00B4346E" w:rsidRPr="007A11CE">
        <w:rPr>
          <w:rFonts w:ascii="Times New Roman" w:hAnsi="Times New Roman"/>
          <w:sz w:val="24"/>
        </w:rPr>
        <w:t xml:space="preserve"> at 27 [48]</w:t>
      </w:r>
      <w:r w:rsidR="00FC27C6" w:rsidRPr="007A11CE">
        <w:rPr>
          <w:rFonts w:ascii="Times New Roman" w:hAnsi="Times New Roman"/>
          <w:sz w:val="24"/>
        </w:rPr>
        <w:t>.</w:t>
      </w:r>
    </w:p>
  </w:footnote>
  <w:footnote w:id="29">
    <w:p w14:paraId="1F0B6944" w14:textId="75BA3175" w:rsidR="009665F1" w:rsidRPr="007A11CE" w:rsidRDefault="009665F1"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C91FEF" w:rsidRPr="007A11CE">
        <w:rPr>
          <w:rFonts w:ascii="Times New Roman" w:hAnsi="Times New Roman"/>
          <w:sz w:val="24"/>
        </w:rPr>
        <w:t>(2017) 263 CLR 1 at 27 [48].</w:t>
      </w:r>
      <w:r w:rsidR="0082075E" w:rsidRPr="007A11CE">
        <w:rPr>
          <w:rFonts w:ascii="Times New Roman" w:hAnsi="Times New Roman"/>
          <w:i/>
          <w:iCs/>
          <w:sz w:val="24"/>
        </w:rPr>
        <w:t xml:space="preserve"> </w:t>
      </w:r>
    </w:p>
  </w:footnote>
  <w:footnote w:id="30">
    <w:p w14:paraId="0ACBBF0E" w14:textId="0A99A5C7" w:rsidR="00FC449A" w:rsidRPr="007A11CE" w:rsidRDefault="00FC449A"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(2017) 263 CLR 1 at 27 [48].</w:t>
      </w:r>
    </w:p>
  </w:footnote>
  <w:footnote w:id="31">
    <w:p w14:paraId="53A69A0A" w14:textId="488E53D3" w:rsidR="0004570D" w:rsidRPr="007A11CE" w:rsidRDefault="0004570D"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7D0B09" w:rsidRPr="007A11CE">
        <w:rPr>
          <w:rFonts w:ascii="Times New Roman" w:hAnsi="Times New Roman"/>
          <w:sz w:val="24"/>
        </w:rPr>
        <w:tab/>
      </w:r>
      <w:r w:rsidR="00815A84" w:rsidRPr="007A11CE">
        <w:rPr>
          <w:rFonts w:ascii="Times New Roman" w:hAnsi="Times New Roman"/>
          <w:i/>
          <w:iCs/>
          <w:sz w:val="24"/>
        </w:rPr>
        <w:t xml:space="preserve">Deripaska v Minister for Foreign Affairs </w:t>
      </w:r>
      <w:r w:rsidR="0050544D" w:rsidRPr="007A11CE">
        <w:rPr>
          <w:rFonts w:ascii="Times New Roman" w:hAnsi="Times New Roman"/>
          <w:sz w:val="24"/>
        </w:rPr>
        <w:t xml:space="preserve">(2025) 308 FCR 175 </w:t>
      </w:r>
      <w:r w:rsidR="00815A84" w:rsidRPr="007A11CE">
        <w:rPr>
          <w:rFonts w:ascii="Times New Roman" w:hAnsi="Times New Roman"/>
          <w:sz w:val="24"/>
        </w:rPr>
        <w:t xml:space="preserve">at </w:t>
      </w:r>
      <w:r w:rsidR="00FE7EB2" w:rsidRPr="007A11CE">
        <w:rPr>
          <w:rFonts w:ascii="Times New Roman" w:hAnsi="Times New Roman"/>
          <w:sz w:val="24"/>
        </w:rPr>
        <w:t xml:space="preserve">186 </w:t>
      </w:r>
      <w:r w:rsidR="00815A84" w:rsidRPr="007A11CE">
        <w:rPr>
          <w:rFonts w:ascii="Times New Roman" w:hAnsi="Times New Roman"/>
          <w:sz w:val="24"/>
        </w:rPr>
        <w:t>[48]</w:t>
      </w:r>
      <w:r w:rsidR="009A5BC9" w:rsidRPr="007A11CE">
        <w:rPr>
          <w:rFonts w:ascii="Times New Roman" w:hAnsi="Times New Roman"/>
          <w:sz w:val="24"/>
        </w:rPr>
        <w:t xml:space="preserve">; </w:t>
      </w:r>
      <w:r w:rsidR="009A5BC9" w:rsidRPr="007A11CE">
        <w:rPr>
          <w:rFonts w:ascii="Times New Roman" w:hAnsi="Times New Roman"/>
          <w:i/>
          <w:iCs/>
          <w:sz w:val="24"/>
        </w:rPr>
        <w:t xml:space="preserve">Deripaska v Minister for Foreign Affairs </w:t>
      </w:r>
      <w:r w:rsidR="009A5BC9" w:rsidRPr="007A11CE">
        <w:rPr>
          <w:rFonts w:ascii="Times New Roman" w:hAnsi="Times New Roman"/>
          <w:sz w:val="24"/>
        </w:rPr>
        <w:t>[2024] FCA 62 at [68]</w:t>
      </w:r>
      <w:r w:rsidR="00815A84" w:rsidRPr="007A11CE">
        <w:rPr>
          <w:rFonts w:ascii="Times New Roman" w:hAnsi="Times New Roman"/>
          <w:sz w:val="24"/>
        </w:rPr>
        <w:t xml:space="preserve">. </w:t>
      </w:r>
    </w:p>
  </w:footnote>
  <w:footnote w:id="32">
    <w:p w14:paraId="1847BB7A" w14:textId="15FA2AEB" w:rsidR="001F49A7" w:rsidRPr="007A11CE" w:rsidRDefault="001F49A7"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C2063C" w:rsidRPr="007A11CE">
        <w:rPr>
          <w:rFonts w:ascii="Times New Roman" w:hAnsi="Times New Roman"/>
          <w:sz w:val="24"/>
        </w:rPr>
        <w:tab/>
      </w:r>
      <w:r w:rsidR="00C2063C" w:rsidRPr="007A11CE">
        <w:rPr>
          <w:rFonts w:ascii="Times New Roman" w:hAnsi="Times New Roman"/>
          <w:i/>
          <w:iCs/>
          <w:sz w:val="24"/>
        </w:rPr>
        <w:t xml:space="preserve">Deripaska v Minister for Foreign Affairs </w:t>
      </w:r>
      <w:r w:rsidR="00C2063C" w:rsidRPr="007A11CE">
        <w:rPr>
          <w:rFonts w:ascii="Times New Roman" w:hAnsi="Times New Roman"/>
          <w:sz w:val="24"/>
        </w:rPr>
        <w:t>(2025) 308 FCR 175 at 193 [84]</w:t>
      </w:r>
      <w:r w:rsidR="00297BD2" w:rsidRPr="007A11CE">
        <w:rPr>
          <w:rFonts w:ascii="Times New Roman" w:hAnsi="Times New Roman"/>
          <w:sz w:val="24"/>
        </w:rPr>
        <w:t xml:space="preserve">; </w:t>
      </w:r>
      <w:r w:rsidR="00E10E0B" w:rsidRPr="007A11CE">
        <w:rPr>
          <w:rFonts w:ascii="Times New Roman" w:hAnsi="Times New Roman"/>
          <w:i/>
          <w:iCs/>
          <w:sz w:val="24"/>
        </w:rPr>
        <w:t xml:space="preserve">Deripaska v Minister for Foreign Affairs </w:t>
      </w:r>
      <w:r w:rsidR="00E10E0B" w:rsidRPr="007A11CE">
        <w:rPr>
          <w:rFonts w:ascii="Times New Roman" w:hAnsi="Times New Roman"/>
          <w:sz w:val="24"/>
        </w:rPr>
        <w:t>[2024] FCA 62 at [51], [73]-[74]</w:t>
      </w:r>
      <w:r w:rsidR="00C2063C" w:rsidRPr="007A11CE">
        <w:rPr>
          <w:rFonts w:ascii="Times New Roman" w:hAnsi="Times New Roman"/>
          <w:sz w:val="24"/>
        </w:rPr>
        <w:t xml:space="preserve">. </w:t>
      </w:r>
    </w:p>
  </w:footnote>
  <w:footnote w:id="33">
    <w:p w14:paraId="003E8AC1" w14:textId="4C0594C8" w:rsidR="00B16AA2" w:rsidRPr="007A11CE" w:rsidRDefault="00B16AA2"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7C2C3F" w:rsidRPr="007A11CE">
        <w:rPr>
          <w:rFonts w:ascii="Times New Roman" w:hAnsi="Times New Roman"/>
          <w:sz w:val="24"/>
        </w:rPr>
        <w:tab/>
      </w:r>
      <w:r w:rsidR="007C2C3F" w:rsidRPr="007A11CE">
        <w:rPr>
          <w:rFonts w:ascii="Times New Roman" w:hAnsi="Times New Roman"/>
          <w:i/>
          <w:sz w:val="24"/>
        </w:rPr>
        <w:t>Palmer</w:t>
      </w:r>
      <w:r w:rsidR="00AE41AE" w:rsidRPr="007A11CE">
        <w:rPr>
          <w:rFonts w:ascii="Times New Roman" w:hAnsi="Times New Roman"/>
          <w:i/>
          <w:sz w:val="24"/>
        </w:rPr>
        <w:t xml:space="preserve"> v Western Australia</w:t>
      </w:r>
      <w:r w:rsidR="00AE41AE" w:rsidRPr="007A11CE">
        <w:rPr>
          <w:rFonts w:ascii="Times New Roman" w:hAnsi="Times New Roman"/>
          <w:sz w:val="24"/>
        </w:rPr>
        <w:t xml:space="preserve"> </w:t>
      </w:r>
      <w:r w:rsidR="00066CE9" w:rsidRPr="007A11CE">
        <w:rPr>
          <w:rFonts w:ascii="Times New Roman" w:hAnsi="Times New Roman"/>
          <w:sz w:val="24"/>
        </w:rPr>
        <w:t xml:space="preserve">(2021) 272 CLR 505 </w:t>
      </w:r>
      <w:r w:rsidR="003D6C45" w:rsidRPr="007A11CE">
        <w:rPr>
          <w:rFonts w:ascii="Times New Roman" w:hAnsi="Times New Roman"/>
          <w:sz w:val="24"/>
        </w:rPr>
        <w:t xml:space="preserve">at </w:t>
      </w:r>
      <w:r w:rsidR="00D27F35" w:rsidRPr="007A11CE">
        <w:rPr>
          <w:rFonts w:ascii="Times New Roman" w:hAnsi="Times New Roman"/>
          <w:sz w:val="24"/>
        </w:rPr>
        <w:t xml:space="preserve">546 </w:t>
      </w:r>
      <w:r w:rsidR="003D6C45" w:rsidRPr="007A11CE">
        <w:rPr>
          <w:rFonts w:ascii="Times New Roman" w:hAnsi="Times New Roman"/>
          <w:sz w:val="24"/>
        </w:rPr>
        <w:t>[11</w:t>
      </w:r>
      <w:r w:rsidR="00FA2BB7" w:rsidRPr="007A11CE">
        <w:rPr>
          <w:rFonts w:ascii="Times New Roman" w:hAnsi="Times New Roman"/>
          <w:sz w:val="24"/>
        </w:rPr>
        <w:t xml:space="preserve">9]-[120]; </w:t>
      </w:r>
      <w:r w:rsidR="00FA2BB7" w:rsidRPr="007A11CE">
        <w:rPr>
          <w:rFonts w:ascii="Times New Roman" w:hAnsi="Times New Roman"/>
          <w:i/>
          <w:sz w:val="24"/>
        </w:rPr>
        <w:t xml:space="preserve">YBFZ </w:t>
      </w:r>
      <w:r w:rsidR="00182F75" w:rsidRPr="007A11CE">
        <w:rPr>
          <w:rFonts w:ascii="Times New Roman" w:hAnsi="Times New Roman"/>
          <w:i/>
          <w:sz w:val="24"/>
        </w:rPr>
        <w:t>v Minister for Immigration, Citizenship and Multicultural Affairs</w:t>
      </w:r>
      <w:r w:rsidR="00182F75" w:rsidRPr="007A11CE">
        <w:rPr>
          <w:rFonts w:ascii="Times New Roman" w:hAnsi="Times New Roman"/>
          <w:sz w:val="24"/>
        </w:rPr>
        <w:t xml:space="preserve"> </w:t>
      </w:r>
      <w:r w:rsidR="00DE6395" w:rsidRPr="007A11CE">
        <w:rPr>
          <w:rFonts w:ascii="Times New Roman" w:hAnsi="Times New Roman"/>
          <w:sz w:val="24"/>
        </w:rPr>
        <w:t>(2024) 99 ALJR 1</w:t>
      </w:r>
      <w:r w:rsidR="002C4418" w:rsidRPr="007A11CE">
        <w:rPr>
          <w:rFonts w:ascii="Times New Roman" w:hAnsi="Times New Roman"/>
          <w:sz w:val="24"/>
        </w:rPr>
        <w:t xml:space="preserve"> at 12 [19]</w:t>
      </w:r>
      <w:r w:rsidR="00DE6395" w:rsidRPr="007A11CE">
        <w:rPr>
          <w:rFonts w:ascii="Times New Roman" w:hAnsi="Times New Roman"/>
          <w:sz w:val="24"/>
        </w:rPr>
        <w:t xml:space="preserve">; </w:t>
      </w:r>
      <w:r w:rsidR="007D3C73" w:rsidRPr="007A11CE">
        <w:rPr>
          <w:rFonts w:ascii="Times New Roman" w:hAnsi="Times New Roman"/>
          <w:sz w:val="24"/>
        </w:rPr>
        <w:t xml:space="preserve">419 ALR 457 </w:t>
      </w:r>
      <w:r w:rsidR="00FA2BB7" w:rsidRPr="007A11CE">
        <w:rPr>
          <w:rFonts w:ascii="Times New Roman" w:hAnsi="Times New Roman"/>
          <w:sz w:val="24"/>
        </w:rPr>
        <w:t xml:space="preserve">at </w:t>
      </w:r>
      <w:r w:rsidR="00673150" w:rsidRPr="007A11CE">
        <w:rPr>
          <w:rFonts w:ascii="Times New Roman" w:hAnsi="Times New Roman"/>
          <w:sz w:val="24"/>
        </w:rPr>
        <w:t>468</w:t>
      </w:r>
      <w:r w:rsidR="00FA2BB7" w:rsidRPr="007A11CE">
        <w:rPr>
          <w:rFonts w:ascii="Times New Roman" w:hAnsi="Times New Roman"/>
          <w:sz w:val="24"/>
        </w:rPr>
        <w:t>.</w:t>
      </w:r>
    </w:p>
  </w:footnote>
  <w:footnote w:id="34">
    <w:p w14:paraId="4D2B5EDA" w14:textId="433B2616" w:rsidR="00807E36" w:rsidRPr="007A11CE" w:rsidRDefault="00807E36"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8640BD" w:rsidRPr="007A11CE">
        <w:rPr>
          <w:rFonts w:ascii="Times New Roman" w:hAnsi="Times New Roman"/>
          <w:sz w:val="24"/>
        </w:rPr>
        <w:tab/>
      </w:r>
      <w:r w:rsidR="008640BD" w:rsidRPr="007A11CE">
        <w:rPr>
          <w:rFonts w:ascii="Times New Roman" w:hAnsi="Times New Roman"/>
          <w:i/>
          <w:iCs/>
          <w:sz w:val="24"/>
        </w:rPr>
        <w:t>Pidoto v Victoria</w:t>
      </w:r>
      <w:r w:rsidR="008640BD" w:rsidRPr="007A11CE">
        <w:rPr>
          <w:rFonts w:ascii="Times New Roman" w:hAnsi="Times New Roman"/>
          <w:sz w:val="24"/>
        </w:rPr>
        <w:t xml:space="preserve"> (1943) 68 CLR 87 at 110; </w:t>
      </w:r>
      <w:r w:rsidR="008640BD" w:rsidRPr="007A11CE">
        <w:rPr>
          <w:rFonts w:ascii="Times New Roman" w:hAnsi="Times New Roman"/>
          <w:i/>
          <w:iCs/>
          <w:sz w:val="24"/>
        </w:rPr>
        <w:t>Tajjour v New South Wales</w:t>
      </w:r>
      <w:r w:rsidR="008640BD" w:rsidRPr="007A11CE">
        <w:rPr>
          <w:rFonts w:ascii="Times New Roman" w:hAnsi="Times New Roman"/>
          <w:sz w:val="24"/>
        </w:rPr>
        <w:t xml:space="preserve"> (2014) 254 CLR 508 at 586 [170].</w:t>
      </w:r>
    </w:p>
  </w:footnote>
  <w:footnote w:id="35">
    <w:p w14:paraId="7207A31D" w14:textId="059F9E31" w:rsidR="00C2779D" w:rsidRPr="007A11CE" w:rsidRDefault="00C2779D"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Pr="007A11CE">
        <w:rPr>
          <w:rFonts w:ascii="Times New Roman" w:hAnsi="Times New Roman"/>
          <w:i/>
          <w:iCs/>
          <w:sz w:val="24"/>
        </w:rPr>
        <w:t xml:space="preserve">Palmanova Pty Ltd v </w:t>
      </w:r>
      <w:r w:rsidR="00A200E1" w:rsidRPr="007A11CE">
        <w:rPr>
          <w:rFonts w:ascii="Times New Roman" w:hAnsi="Times New Roman"/>
          <w:i/>
          <w:iCs/>
          <w:sz w:val="24"/>
        </w:rPr>
        <w:t xml:space="preserve">The </w:t>
      </w:r>
      <w:r w:rsidRPr="007A11CE">
        <w:rPr>
          <w:rFonts w:ascii="Times New Roman" w:hAnsi="Times New Roman"/>
          <w:i/>
          <w:iCs/>
          <w:sz w:val="24"/>
        </w:rPr>
        <w:t>Commonwealth</w:t>
      </w:r>
      <w:r w:rsidRPr="007A11CE">
        <w:rPr>
          <w:rFonts w:ascii="Times New Roman" w:hAnsi="Times New Roman"/>
          <w:sz w:val="24"/>
        </w:rPr>
        <w:t xml:space="preserve"> (2025)</w:t>
      </w:r>
      <w:r w:rsidR="00902C76" w:rsidRPr="007A11CE">
        <w:rPr>
          <w:rFonts w:ascii="Times New Roman" w:hAnsi="Times New Roman"/>
          <w:sz w:val="24"/>
        </w:rPr>
        <w:t xml:space="preserve"> </w:t>
      </w:r>
      <w:r w:rsidR="00C97840" w:rsidRPr="007A11CE">
        <w:rPr>
          <w:rFonts w:ascii="Times New Roman" w:hAnsi="Times New Roman"/>
          <w:sz w:val="24"/>
        </w:rPr>
        <w:t>99 ALJR 1362</w:t>
      </w:r>
      <w:r w:rsidR="000D6139" w:rsidRPr="007A11CE">
        <w:rPr>
          <w:rFonts w:ascii="Times New Roman" w:hAnsi="Times New Roman"/>
          <w:sz w:val="24"/>
        </w:rPr>
        <w:t xml:space="preserve"> at </w:t>
      </w:r>
      <w:r w:rsidR="004176E2" w:rsidRPr="007A11CE">
        <w:rPr>
          <w:rFonts w:ascii="Times New Roman" w:hAnsi="Times New Roman"/>
          <w:sz w:val="24"/>
        </w:rPr>
        <w:t xml:space="preserve">1364 </w:t>
      </w:r>
      <w:r w:rsidR="000D6139" w:rsidRPr="007A11CE">
        <w:rPr>
          <w:rFonts w:ascii="Times New Roman" w:hAnsi="Times New Roman"/>
          <w:sz w:val="24"/>
        </w:rPr>
        <w:t>[4]</w:t>
      </w:r>
      <w:r w:rsidR="00C97840" w:rsidRPr="007A11CE">
        <w:rPr>
          <w:rFonts w:ascii="Times New Roman" w:hAnsi="Times New Roman"/>
          <w:sz w:val="24"/>
        </w:rPr>
        <w:t>; 424 ALR 768</w:t>
      </w:r>
      <w:r w:rsidRPr="007A11CE">
        <w:rPr>
          <w:rFonts w:ascii="Times New Roman" w:hAnsi="Times New Roman"/>
          <w:sz w:val="24"/>
        </w:rPr>
        <w:t xml:space="preserve"> </w:t>
      </w:r>
      <w:r w:rsidR="00AA222B" w:rsidRPr="007A11CE">
        <w:rPr>
          <w:rFonts w:ascii="Times New Roman" w:hAnsi="Times New Roman"/>
          <w:sz w:val="24"/>
        </w:rPr>
        <w:t xml:space="preserve">at </w:t>
      </w:r>
      <w:r w:rsidR="006F5A23" w:rsidRPr="007A11CE">
        <w:rPr>
          <w:rFonts w:ascii="Times New Roman" w:hAnsi="Times New Roman"/>
          <w:sz w:val="24"/>
        </w:rPr>
        <w:t>769</w:t>
      </w:r>
      <w:r w:rsidR="00AA222B" w:rsidRPr="007A11CE">
        <w:rPr>
          <w:rFonts w:ascii="Times New Roman" w:hAnsi="Times New Roman"/>
          <w:sz w:val="24"/>
        </w:rPr>
        <w:t>.</w:t>
      </w:r>
    </w:p>
  </w:footnote>
  <w:footnote w:id="36">
    <w:p w14:paraId="763B16BC" w14:textId="7FA9380F" w:rsidR="00807E36" w:rsidRPr="007A11CE" w:rsidRDefault="00807E36"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645BF9" w:rsidRPr="007A11CE">
        <w:rPr>
          <w:rFonts w:ascii="Times New Roman" w:hAnsi="Times New Roman"/>
          <w:sz w:val="24"/>
        </w:rPr>
        <w:tab/>
      </w:r>
      <w:r w:rsidR="00645BF9" w:rsidRPr="007A11CE">
        <w:rPr>
          <w:rFonts w:ascii="Times New Roman" w:hAnsi="Times New Roman"/>
          <w:i/>
          <w:iCs/>
          <w:sz w:val="24"/>
        </w:rPr>
        <w:t>Clubb v Edwards</w:t>
      </w:r>
      <w:r w:rsidR="00645BF9" w:rsidRPr="007A11CE">
        <w:rPr>
          <w:rFonts w:ascii="Times New Roman" w:hAnsi="Times New Roman"/>
          <w:sz w:val="24"/>
        </w:rPr>
        <w:t xml:space="preserve"> (2019) 267 CLR 171 at 218 [140].</w:t>
      </w:r>
    </w:p>
  </w:footnote>
  <w:footnote w:id="37">
    <w:p w14:paraId="52B9460F" w14:textId="3A5CA39E" w:rsidR="007C350B" w:rsidRPr="007A11CE" w:rsidRDefault="007C350B"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25062C" w:rsidRPr="007A11CE">
        <w:rPr>
          <w:rFonts w:ascii="Times New Roman" w:hAnsi="Times New Roman"/>
          <w:i/>
          <w:iCs/>
          <w:sz w:val="24"/>
        </w:rPr>
        <w:t>R v Poole; Ex parte Henry [No 2]</w:t>
      </w:r>
      <w:r w:rsidR="0025062C" w:rsidRPr="007A11CE">
        <w:rPr>
          <w:rFonts w:ascii="Times New Roman" w:hAnsi="Times New Roman"/>
          <w:sz w:val="24"/>
        </w:rPr>
        <w:t xml:space="preserve"> (1939) 61 CLR 634 at 657; </w:t>
      </w:r>
      <w:r w:rsidRPr="007A11CE">
        <w:rPr>
          <w:rFonts w:ascii="Times New Roman" w:hAnsi="Times New Roman"/>
          <w:i/>
          <w:sz w:val="24"/>
        </w:rPr>
        <w:t>YBFZ v Minister for Immigration, Citizenship and Multicultural Affairs</w:t>
      </w:r>
      <w:r w:rsidRPr="007A11CE">
        <w:rPr>
          <w:rFonts w:ascii="Times New Roman" w:hAnsi="Times New Roman"/>
          <w:sz w:val="24"/>
        </w:rPr>
        <w:t xml:space="preserve"> (2024) 99 ALJR 1 at </w:t>
      </w:r>
      <w:r w:rsidR="00B91007" w:rsidRPr="007A11CE">
        <w:rPr>
          <w:rFonts w:ascii="Times New Roman" w:hAnsi="Times New Roman"/>
          <w:sz w:val="24"/>
        </w:rPr>
        <w:t xml:space="preserve">22 </w:t>
      </w:r>
      <w:r w:rsidRPr="007A11CE">
        <w:rPr>
          <w:rFonts w:ascii="Times New Roman" w:hAnsi="Times New Roman"/>
          <w:sz w:val="24"/>
        </w:rPr>
        <w:t>[</w:t>
      </w:r>
      <w:r w:rsidR="00C9341B" w:rsidRPr="007A11CE">
        <w:rPr>
          <w:rFonts w:ascii="Times New Roman" w:hAnsi="Times New Roman"/>
          <w:sz w:val="24"/>
        </w:rPr>
        <w:t>75</w:t>
      </w:r>
      <w:r w:rsidRPr="007A11CE">
        <w:rPr>
          <w:rFonts w:ascii="Times New Roman" w:hAnsi="Times New Roman"/>
          <w:sz w:val="24"/>
        </w:rPr>
        <w:t xml:space="preserve">]; 419 ALR 457 at </w:t>
      </w:r>
      <w:r w:rsidR="00B91007" w:rsidRPr="007A11CE">
        <w:rPr>
          <w:rFonts w:ascii="Times New Roman" w:hAnsi="Times New Roman"/>
          <w:sz w:val="24"/>
        </w:rPr>
        <w:t>481</w:t>
      </w:r>
      <w:r w:rsidRPr="007A11CE">
        <w:rPr>
          <w:rFonts w:ascii="Times New Roman" w:hAnsi="Times New Roman"/>
          <w:sz w:val="24"/>
        </w:rPr>
        <w:t>.</w:t>
      </w:r>
    </w:p>
  </w:footnote>
  <w:footnote w:id="38">
    <w:p w14:paraId="424E209A" w14:textId="3E4441E9" w:rsidR="001535EE" w:rsidRPr="007A11CE" w:rsidRDefault="001535EE"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Pr="007A11CE">
        <w:rPr>
          <w:rFonts w:ascii="Times New Roman" w:hAnsi="Times New Roman"/>
          <w:i/>
          <w:iCs/>
          <w:sz w:val="24"/>
        </w:rPr>
        <w:t xml:space="preserve">Residual Assco Group Ltd v Spalvins </w:t>
      </w:r>
      <w:r w:rsidRPr="007A11CE">
        <w:rPr>
          <w:rFonts w:ascii="Times New Roman" w:hAnsi="Times New Roman"/>
          <w:sz w:val="24"/>
        </w:rPr>
        <w:t>(2000) 202 CLR 629 at 644 [28]</w:t>
      </w:r>
      <w:r w:rsidR="00AA75BE" w:rsidRPr="007A11CE">
        <w:rPr>
          <w:rFonts w:ascii="Times New Roman" w:hAnsi="Times New Roman"/>
          <w:sz w:val="24"/>
        </w:rPr>
        <w:t>.</w:t>
      </w:r>
      <w:r w:rsidR="005F2556" w:rsidRPr="007A11CE">
        <w:rPr>
          <w:rFonts w:ascii="Times New Roman" w:hAnsi="Times New Roman"/>
          <w:sz w:val="24"/>
        </w:rPr>
        <w:t xml:space="preserve"> Eg</w:t>
      </w:r>
      <w:r w:rsidR="00F422AF" w:rsidRPr="007A11CE">
        <w:rPr>
          <w:rFonts w:ascii="Times New Roman" w:hAnsi="Times New Roman"/>
          <w:sz w:val="24"/>
        </w:rPr>
        <w:t xml:space="preserve"> </w:t>
      </w:r>
      <w:r w:rsidR="00F422AF" w:rsidRPr="007A11CE">
        <w:rPr>
          <w:rFonts w:ascii="Times New Roman" w:hAnsi="Times New Roman"/>
          <w:i/>
          <w:iCs/>
          <w:sz w:val="24"/>
        </w:rPr>
        <w:t>Western Australia v The Commonwealth</w:t>
      </w:r>
      <w:r w:rsidR="00013921" w:rsidRPr="007A11CE">
        <w:rPr>
          <w:rFonts w:ascii="Times New Roman" w:hAnsi="Times New Roman"/>
          <w:i/>
          <w:iCs/>
          <w:sz w:val="24"/>
        </w:rPr>
        <w:t xml:space="preserve"> (Native Title Act Case)</w:t>
      </w:r>
      <w:r w:rsidR="00F422AF" w:rsidRPr="007A11CE">
        <w:rPr>
          <w:rFonts w:ascii="Times New Roman" w:hAnsi="Times New Roman"/>
          <w:i/>
          <w:iCs/>
          <w:sz w:val="24"/>
        </w:rPr>
        <w:t xml:space="preserve"> </w:t>
      </w:r>
      <w:r w:rsidR="00F422AF" w:rsidRPr="007A11CE">
        <w:rPr>
          <w:rFonts w:ascii="Times New Roman" w:hAnsi="Times New Roman"/>
          <w:sz w:val="24"/>
        </w:rPr>
        <w:t>(1995) 183 CLR 373 at 469.</w:t>
      </w:r>
    </w:p>
  </w:footnote>
  <w:footnote w:id="39">
    <w:p w14:paraId="5E11F477" w14:textId="02869F5D" w:rsidR="008C4024" w:rsidRPr="007A11CE" w:rsidRDefault="008C4024"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F465BA" w:rsidRPr="007A11CE">
        <w:rPr>
          <w:rFonts w:ascii="Times New Roman" w:hAnsi="Times New Roman"/>
          <w:sz w:val="24"/>
        </w:rPr>
        <w:tab/>
      </w:r>
      <w:r w:rsidR="00901FF5" w:rsidRPr="007A11CE">
        <w:rPr>
          <w:rFonts w:ascii="Times New Roman" w:hAnsi="Times New Roman"/>
          <w:i/>
          <w:iCs/>
          <w:sz w:val="24"/>
        </w:rPr>
        <w:t>R v Poole; Ex parte Henry [No 2]</w:t>
      </w:r>
      <w:r w:rsidR="00901FF5" w:rsidRPr="007A11CE">
        <w:rPr>
          <w:rFonts w:ascii="Times New Roman" w:hAnsi="Times New Roman"/>
          <w:sz w:val="24"/>
        </w:rPr>
        <w:t xml:space="preserve"> (1939) 61 CLR 634 at 65</w:t>
      </w:r>
      <w:r w:rsidR="00884B5A" w:rsidRPr="007A11CE">
        <w:rPr>
          <w:rFonts w:ascii="Times New Roman" w:hAnsi="Times New Roman"/>
          <w:sz w:val="24"/>
        </w:rPr>
        <w:t>2</w:t>
      </w:r>
      <w:r w:rsidR="00901FF5" w:rsidRPr="007A11CE">
        <w:rPr>
          <w:rFonts w:ascii="Times New Roman" w:hAnsi="Times New Roman"/>
          <w:sz w:val="24"/>
        </w:rPr>
        <w:t>.</w:t>
      </w:r>
      <w:r w:rsidR="002E0DE9" w:rsidRPr="007A11CE">
        <w:rPr>
          <w:rFonts w:ascii="Times New Roman" w:hAnsi="Times New Roman"/>
          <w:sz w:val="24"/>
        </w:rPr>
        <w:t xml:space="preserve"> See also </w:t>
      </w:r>
      <w:r w:rsidR="002E0DE9" w:rsidRPr="007A11CE">
        <w:rPr>
          <w:rFonts w:ascii="Times New Roman" w:hAnsi="Times New Roman"/>
          <w:i/>
          <w:iCs/>
          <w:sz w:val="24"/>
        </w:rPr>
        <w:t>Clubb v Edwards</w:t>
      </w:r>
      <w:r w:rsidR="002E0DE9" w:rsidRPr="007A11CE">
        <w:rPr>
          <w:rFonts w:ascii="Times New Roman" w:hAnsi="Times New Roman"/>
          <w:sz w:val="24"/>
        </w:rPr>
        <w:t xml:space="preserve"> (2019) 267 CLR 171 at </w:t>
      </w:r>
      <w:r w:rsidR="0038639F" w:rsidRPr="007A11CE">
        <w:rPr>
          <w:rFonts w:ascii="Times New Roman" w:hAnsi="Times New Roman"/>
          <w:sz w:val="24"/>
        </w:rPr>
        <w:t>218 [141].</w:t>
      </w:r>
    </w:p>
  </w:footnote>
  <w:footnote w:id="40">
    <w:p w14:paraId="6FFFF989" w14:textId="104ACD7B" w:rsidR="004832E9" w:rsidRPr="007A11CE" w:rsidRDefault="004832E9"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0F391F" w:rsidRPr="007A11CE">
        <w:rPr>
          <w:rFonts w:ascii="Times New Roman" w:hAnsi="Times New Roman"/>
          <w:i/>
          <w:iCs/>
          <w:sz w:val="24"/>
        </w:rPr>
        <w:t xml:space="preserve">Strickland </w:t>
      </w:r>
      <w:r w:rsidR="00CE6307" w:rsidRPr="007A11CE">
        <w:rPr>
          <w:rFonts w:ascii="Times New Roman" w:hAnsi="Times New Roman"/>
          <w:i/>
          <w:iCs/>
          <w:sz w:val="24"/>
        </w:rPr>
        <w:t>v Rocla Concrete Pipes Ltd</w:t>
      </w:r>
      <w:r w:rsidR="00CE6307" w:rsidRPr="007A11CE">
        <w:rPr>
          <w:rFonts w:ascii="Times New Roman" w:hAnsi="Times New Roman"/>
          <w:sz w:val="24"/>
        </w:rPr>
        <w:t xml:space="preserve"> (1971) 124 CLR 46</w:t>
      </w:r>
      <w:r w:rsidR="00D022C0" w:rsidRPr="007A11CE">
        <w:rPr>
          <w:rFonts w:ascii="Times New Roman" w:hAnsi="Times New Roman"/>
          <w:sz w:val="24"/>
        </w:rPr>
        <w:t>8</w:t>
      </w:r>
      <w:r w:rsidR="00CE6307" w:rsidRPr="007A11CE">
        <w:rPr>
          <w:rFonts w:ascii="Times New Roman" w:hAnsi="Times New Roman"/>
          <w:sz w:val="24"/>
        </w:rPr>
        <w:t xml:space="preserve"> at 493; </w:t>
      </w:r>
      <w:r w:rsidRPr="007A11CE">
        <w:rPr>
          <w:rFonts w:ascii="Times New Roman" w:hAnsi="Times New Roman"/>
          <w:i/>
          <w:iCs/>
          <w:sz w:val="24"/>
        </w:rPr>
        <w:t>Tajjour v New South Wales</w:t>
      </w:r>
      <w:r w:rsidRPr="007A11CE">
        <w:rPr>
          <w:rFonts w:ascii="Times New Roman" w:hAnsi="Times New Roman"/>
          <w:sz w:val="24"/>
        </w:rPr>
        <w:t xml:space="preserve"> (2014) 254 CLR 508 at</w:t>
      </w:r>
      <w:r w:rsidR="009C35FC" w:rsidRPr="007A11CE">
        <w:rPr>
          <w:rFonts w:ascii="Times New Roman" w:hAnsi="Times New Roman"/>
          <w:sz w:val="24"/>
        </w:rPr>
        <w:t xml:space="preserve"> </w:t>
      </w:r>
      <w:r w:rsidR="00A65A70" w:rsidRPr="007A11CE">
        <w:rPr>
          <w:rFonts w:ascii="Times New Roman" w:hAnsi="Times New Roman"/>
          <w:sz w:val="24"/>
        </w:rPr>
        <w:t xml:space="preserve">586 </w:t>
      </w:r>
      <w:r w:rsidR="009C35FC" w:rsidRPr="007A11CE">
        <w:rPr>
          <w:rFonts w:ascii="Times New Roman" w:hAnsi="Times New Roman"/>
          <w:sz w:val="24"/>
        </w:rPr>
        <w:t>[171].</w:t>
      </w:r>
    </w:p>
  </w:footnote>
  <w:footnote w:id="41">
    <w:p w14:paraId="1D0A4100" w14:textId="28BF5EAC" w:rsidR="002456E4" w:rsidRPr="007A11CE" w:rsidRDefault="002456E4"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793E8E" w:rsidRPr="007A11CE">
        <w:rPr>
          <w:rFonts w:ascii="Times New Roman" w:hAnsi="Times New Roman"/>
          <w:i/>
          <w:iCs/>
          <w:sz w:val="24"/>
        </w:rPr>
        <w:t>Tajjour v New South Wales</w:t>
      </w:r>
      <w:r w:rsidR="00793E8E" w:rsidRPr="007A11CE">
        <w:rPr>
          <w:rFonts w:ascii="Times New Roman" w:hAnsi="Times New Roman"/>
          <w:sz w:val="24"/>
        </w:rPr>
        <w:t xml:space="preserve"> (2014) 254 CLR 508 at 585 [169].</w:t>
      </w:r>
    </w:p>
  </w:footnote>
  <w:footnote w:id="42">
    <w:p w14:paraId="3AFD2B90" w14:textId="6F9677BF" w:rsidR="002456E4" w:rsidRPr="007A11CE" w:rsidRDefault="002456E4"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886A2D" w:rsidRPr="007A11CE">
        <w:rPr>
          <w:rFonts w:ascii="Times New Roman" w:hAnsi="Times New Roman"/>
          <w:i/>
          <w:iCs/>
          <w:sz w:val="24"/>
        </w:rPr>
        <w:t xml:space="preserve">Cam &amp; Sons Pty Ltd v </w:t>
      </w:r>
      <w:r w:rsidR="00156A92" w:rsidRPr="007A11CE">
        <w:rPr>
          <w:rFonts w:ascii="Times New Roman" w:hAnsi="Times New Roman"/>
          <w:i/>
          <w:iCs/>
          <w:sz w:val="24"/>
        </w:rPr>
        <w:t xml:space="preserve">The </w:t>
      </w:r>
      <w:r w:rsidR="00886A2D" w:rsidRPr="007A11CE">
        <w:rPr>
          <w:rFonts w:ascii="Times New Roman" w:hAnsi="Times New Roman"/>
          <w:i/>
          <w:iCs/>
          <w:sz w:val="24"/>
        </w:rPr>
        <w:t xml:space="preserve">Chief Secretary </w:t>
      </w:r>
      <w:r w:rsidR="00156A92" w:rsidRPr="007A11CE">
        <w:rPr>
          <w:rFonts w:ascii="Times New Roman" w:hAnsi="Times New Roman"/>
          <w:i/>
          <w:iCs/>
          <w:sz w:val="24"/>
        </w:rPr>
        <w:t xml:space="preserve">of </w:t>
      </w:r>
      <w:r w:rsidR="00886A2D" w:rsidRPr="007A11CE">
        <w:rPr>
          <w:rFonts w:ascii="Times New Roman" w:hAnsi="Times New Roman"/>
          <w:i/>
          <w:iCs/>
          <w:sz w:val="24"/>
        </w:rPr>
        <w:t>N</w:t>
      </w:r>
      <w:r w:rsidR="00156A92" w:rsidRPr="007A11CE">
        <w:rPr>
          <w:rFonts w:ascii="Times New Roman" w:hAnsi="Times New Roman"/>
          <w:i/>
          <w:iCs/>
          <w:sz w:val="24"/>
        </w:rPr>
        <w:t xml:space="preserve">ew </w:t>
      </w:r>
      <w:r w:rsidR="00886A2D" w:rsidRPr="007A11CE">
        <w:rPr>
          <w:rFonts w:ascii="Times New Roman" w:hAnsi="Times New Roman"/>
          <w:i/>
          <w:iCs/>
          <w:sz w:val="24"/>
        </w:rPr>
        <w:t>S</w:t>
      </w:r>
      <w:r w:rsidR="00156A92" w:rsidRPr="007A11CE">
        <w:rPr>
          <w:rFonts w:ascii="Times New Roman" w:hAnsi="Times New Roman"/>
          <w:i/>
          <w:iCs/>
          <w:sz w:val="24"/>
        </w:rPr>
        <w:t xml:space="preserve">outh </w:t>
      </w:r>
      <w:r w:rsidR="00886A2D" w:rsidRPr="007A11CE">
        <w:rPr>
          <w:rFonts w:ascii="Times New Roman" w:hAnsi="Times New Roman"/>
          <w:i/>
          <w:iCs/>
          <w:sz w:val="24"/>
        </w:rPr>
        <w:t>W</w:t>
      </w:r>
      <w:r w:rsidR="00156A92" w:rsidRPr="007A11CE">
        <w:rPr>
          <w:rFonts w:ascii="Times New Roman" w:hAnsi="Times New Roman"/>
          <w:i/>
          <w:iCs/>
          <w:sz w:val="24"/>
        </w:rPr>
        <w:t>ales</w:t>
      </w:r>
      <w:r w:rsidR="00886A2D" w:rsidRPr="007A11CE">
        <w:rPr>
          <w:rFonts w:ascii="Times New Roman" w:hAnsi="Times New Roman"/>
          <w:sz w:val="24"/>
        </w:rPr>
        <w:t xml:space="preserve"> (1951) 84 CLR 442 at 454</w:t>
      </w:r>
      <w:r w:rsidR="00A60F40" w:rsidRPr="007A11CE">
        <w:rPr>
          <w:rFonts w:ascii="Times New Roman" w:hAnsi="Times New Roman"/>
          <w:sz w:val="24"/>
        </w:rPr>
        <w:t>. See also</w:t>
      </w:r>
      <w:r w:rsidR="00886A2D" w:rsidRPr="007A11CE">
        <w:rPr>
          <w:rFonts w:ascii="Times New Roman" w:hAnsi="Times New Roman"/>
          <w:sz w:val="24"/>
        </w:rPr>
        <w:t xml:space="preserve"> </w:t>
      </w:r>
      <w:r w:rsidR="00537FC8" w:rsidRPr="007A11CE">
        <w:rPr>
          <w:rFonts w:ascii="Times New Roman" w:hAnsi="Times New Roman"/>
          <w:i/>
          <w:iCs/>
          <w:sz w:val="24"/>
        </w:rPr>
        <w:t>Victoria v The Commonwealth (Industrial Relations Act Case)</w:t>
      </w:r>
      <w:r w:rsidR="00537FC8" w:rsidRPr="007A11CE">
        <w:rPr>
          <w:rFonts w:ascii="Times New Roman" w:hAnsi="Times New Roman"/>
          <w:sz w:val="24"/>
        </w:rPr>
        <w:t xml:space="preserve"> </w:t>
      </w:r>
      <w:r w:rsidR="003A36DF" w:rsidRPr="007A11CE">
        <w:rPr>
          <w:rFonts w:ascii="Times New Roman" w:hAnsi="Times New Roman"/>
          <w:sz w:val="24"/>
        </w:rPr>
        <w:t xml:space="preserve">(1996) 187 CLR 416 at 502; </w:t>
      </w:r>
      <w:r w:rsidR="006A39A2" w:rsidRPr="007A11CE">
        <w:rPr>
          <w:rFonts w:ascii="Times New Roman" w:hAnsi="Times New Roman"/>
          <w:i/>
          <w:iCs/>
          <w:sz w:val="24"/>
        </w:rPr>
        <w:t>Knight v Victoria</w:t>
      </w:r>
      <w:r w:rsidR="006A39A2" w:rsidRPr="007A11CE">
        <w:rPr>
          <w:rFonts w:ascii="Times New Roman" w:hAnsi="Times New Roman"/>
          <w:sz w:val="24"/>
        </w:rPr>
        <w:t xml:space="preserve"> (2017) 261 CLR 306 at 325 </w:t>
      </w:r>
      <w:r w:rsidR="00BC24C5" w:rsidRPr="007A11CE">
        <w:rPr>
          <w:rFonts w:ascii="Times New Roman" w:hAnsi="Times New Roman"/>
          <w:sz w:val="24"/>
        </w:rPr>
        <w:t xml:space="preserve">[35]. </w:t>
      </w:r>
    </w:p>
  </w:footnote>
  <w:footnote w:id="43">
    <w:p w14:paraId="306ABD48" w14:textId="3A943318" w:rsidR="00C05D7F" w:rsidRPr="007A11CE" w:rsidRDefault="00C05D7F"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8C382A" w:rsidRPr="007A11CE">
        <w:rPr>
          <w:rFonts w:ascii="Times New Roman" w:hAnsi="Times New Roman"/>
          <w:sz w:val="24"/>
        </w:rPr>
        <w:tab/>
      </w:r>
      <w:r w:rsidR="008E3D80" w:rsidRPr="007A11CE">
        <w:rPr>
          <w:rFonts w:ascii="Times New Roman" w:hAnsi="Times New Roman"/>
          <w:sz w:val="24"/>
        </w:rPr>
        <w:t>(</w:t>
      </w:r>
      <w:r w:rsidR="00A0529D" w:rsidRPr="007A11CE">
        <w:rPr>
          <w:rFonts w:ascii="Times New Roman" w:hAnsi="Times New Roman"/>
          <w:sz w:val="24"/>
        </w:rPr>
        <w:t>1996</w:t>
      </w:r>
      <w:r w:rsidR="008E3D80" w:rsidRPr="007A11CE">
        <w:rPr>
          <w:rFonts w:ascii="Times New Roman" w:hAnsi="Times New Roman"/>
          <w:sz w:val="24"/>
        </w:rPr>
        <w:t xml:space="preserve">) 187 CLR 416 at </w:t>
      </w:r>
      <w:r w:rsidR="00A0529D" w:rsidRPr="007A11CE">
        <w:rPr>
          <w:rFonts w:ascii="Times New Roman" w:hAnsi="Times New Roman"/>
          <w:sz w:val="24"/>
        </w:rPr>
        <w:t>502</w:t>
      </w:r>
      <w:r w:rsidR="008E3D80" w:rsidRPr="007A11CE">
        <w:rPr>
          <w:rFonts w:ascii="Times New Roman" w:hAnsi="Times New Roman"/>
          <w:sz w:val="24"/>
        </w:rPr>
        <w:t>-</w:t>
      </w:r>
      <w:r w:rsidR="00A0529D" w:rsidRPr="007A11CE">
        <w:rPr>
          <w:rFonts w:ascii="Times New Roman" w:hAnsi="Times New Roman"/>
          <w:sz w:val="24"/>
        </w:rPr>
        <w:t>503</w:t>
      </w:r>
      <w:r w:rsidR="008E3D80" w:rsidRPr="007A11CE">
        <w:rPr>
          <w:rFonts w:ascii="Times New Roman" w:hAnsi="Times New Roman"/>
          <w:sz w:val="24"/>
        </w:rPr>
        <w:t>.</w:t>
      </w:r>
    </w:p>
  </w:footnote>
  <w:footnote w:id="44">
    <w:p w14:paraId="43429A63" w14:textId="161770C4" w:rsidR="00C05D7F" w:rsidRPr="007A11CE" w:rsidRDefault="00C05D7F"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A0529D" w:rsidRPr="007A11CE">
        <w:rPr>
          <w:rFonts w:ascii="Times New Roman" w:hAnsi="Times New Roman"/>
          <w:sz w:val="24"/>
        </w:rPr>
        <w:tab/>
        <w:t>(2017) 263 CLR 1 at 32-33 [66].</w:t>
      </w:r>
    </w:p>
  </w:footnote>
  <w:footnote w:id="45">
    <w:p w14:paraId="1368320D" w14:textId="3F4983C5" w:rsidR="009E7392" w:rsidRPr="007A11CE" w:rsidRDefault="009E7392"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A0529D" w:rsidRPr="007A11CE">
        <w:rPr>
          <w:rFonts w:ascii="Times New Roman" w:hAnsi="Times New Roman"/>
          <w:i/>
          <w:iCs/>
          <w:sz w:val="24"/>
        </w:rPr>
        <w:t>Tajjour v New South Wales</w:t>
      </w:r>
      <w:r w:rsidR="00A0529D" w:rsidRPr="007A11CE">
        <w:rPr>
          <w:rFonts w:ascii="Times New Roman" w:hAnsi="Times New Roman"/>
          <w:sz w:val="24"/>
        </w:rPr>
        <w:t xml:space="preserve"> (2014) 254 CLR 508 at 5</w:t>
      </w:r>
      <w:r w:rsidR="00C423DE" w:rsidRPr="007A11CE">
        <w:rPr>
          <w:rFonts w:ascii="Times New Roman" w:hAnsi="Times New Roman"/>
          <w:sz w:val="24"/>
        </w:rPr>
        <w:t>8</w:t>
      </w:r>
      <w:r w:rsidR="00A0529D" w:rsidRPr="007A11CE">
        <w:rPr>
          <w:rFonts w:ascii="Times New Roman" w:hAnsi="Times New Roman"/>
          <w:sz w:val="24"/>
        </w:rPr>
        <w:t xml:space="preserve">6 [171]; </w:t>
      </w:r>
      <w:r w:rsidR="0023524F" w:rsidRPr="007A11CE">
        <w:rPr>
          <w:rFonts w:ascii="Times New Roman" w:hAnsi="Times New Roman"/>
          <w:i/>
          <w:iCs/>
          <w:sz w:val="24"/>
        </w:rPr>
        <w:t xml:space="preserve">Ravbar v The Commonwealth </w:t>
      </w:r>
      <w:r w:rsidR="0023524F" w:rsidRPr="007A11CE">
        <w:rPr>
          <w:rFonts w:ascii="Times New Roman" w:hAnsi="Times New Roman"/>
          <w:sz w:val="24"/>
        </w:rPr>
        <w:t xml:space="preserve">(2025) 99 ALJR 1000 at </w:t>
      </w:r>
      <w:r w:rsidR="00A9346C" w:rsidRPr="007A11CE">
        <w:rPr>
          <w:rFonts w:ascii="Times New Roman" w:hAnsi="Times New Roman"/>
          <w:sz w:val="24"/>
        </w:rPr>
        <w:t xml:space="preserve">1023 [63]; 423 ALR 241 at </w:t>
      </w:r>
      <w:r w:rsidR="007636B7" w:rsidRPr="007A11CE">
        <w:rPr>
          <w:rFonts w:ascii="Times New Roman" w:hAnsi="Times New Roman"/>
          <w:sz w:val="24"/>
        </w:rPr>
        <w:t>263.</w:t>
      </w:r>
    </w:p>
  </w:footnote>
  <w:footnote w:id="46">
    <w:p w14:paraId="5E43A17A" w14:textId="3C10FC60" w:rsidR="002330E1" w:rsidRPr="007A11CE" w:rsidRDefault="002330E1"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CB562C" w:rsidRPr="007A11CE">
        <w:rPr>
          <w:rFonts w:ascii="Times New Roman" w:hAnsi="Times New Roman"/>
          <w:sz w:val="24"/>
        </w:rPr>
        <w:tab/>
      </w:r>
      <w:r w:rsidR="00CB562C" w:rsidRPr="007A11CE">
        <w:rPr>
          <w:rFonts w:ascii="Times New Roman" w:hAnsi="Times New Roman"/>
          <w:i/>
          <w:iCs/>
          <w:sz w:val="24"/>
        </w:rPr>
        <w:t xml:space="preserve">Farm Transparency </w:t>
      </w:r>
      <w:r w:rsidR="009E72FF" w:rsidRPr="007A11CE">
        <w:rPr>
          <w:rFonts w:ascii="Times New Roman" w:hAnsi="Times New Roman"/>
          <w:i/>
          <w:iCs/>
          <w:sz w:val="24"/>
        </w:rPr>
        <w:t>International Ltd v New South Wales</w:t>
      </w:r>
      <w:r w:rsidR="009E72FF" w:rsidRPr="007A11CE">
        <w:rPr>
          <w:rFonts w:ascii="Times New Roman" w:hAnsi="Times New Roman"/>
          <w:sz w:val="24"/>
        </w:rPr>
        <w:t xml:space="preserve"> (2022) </w:t>
      </w:r>
      <w:r w:rsidR="002124F3" w:rsidRPr="007A11CE">
        <w:rPr>
          <w:rFonts w:ascii="Times New Roman" w:hAnsi="Times New Roman"/>
          <w:sz w:val="24"/>
        </w:rPr>
        <w:t>277 CLR 537</w:t>
      </w:r>
      <w:r w:rsidR="00D033FF" w:rsidRPr="007A11CE">
        <w:rPr>
          <w:rFonts w:ascii="Times New Roman" w:hAnsi="Times New Roman"/>
          <w:sz w:val="24"/>
        </w:rPr>
        <w:t xml:space="preserve"> at </w:t>
      </w:r>
      <w:r w:rsidR="00E35120" w:rsidRPr="007A11CE">
        <w:rPr>
          <w:rFonts w:ascii="Times New Roman" w:hAnsi="Times New Roman"/>
          <w:sz w:val="24"/>
        </w:rPr>
        <w:t xml:space="preserve">573 </w:t>
      </w:r>
      <w:r w:rsidR="00CC6B29" w:rsidRPr="007A11CE">
        <w:rPr>
          <w:rFonts w:ascii="Times New Roman" w:hAnsi="Times New Roman"/>
          <w:sz w:val="24"/>
        </w:rPr>
        <w:t>[102].</w:t>
      </w:r>
    </w:p>
  </w:footnote>
  <w:footnote w:id="47">
    <w:p w14:paraId="77C4F6CF" w14:textId="301C3818" w:rsidR="00DD3B5C" w:rsidRPr="007A11CE" w:rsidRDefault="00DD3B5C"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7C3401" w:rsidRPr="007A11CE">
        <w:rPr>
          <w:rFonts w:ascii="Times New Roman" w:hAnsi="Times New Roman"/>
          <w:sz w:val="24"/>
        </w:rPr>
        <w:tab/>
      </w:r>
      <w:r w:rsidR="00E609F0" w:rsidRPr="007A11CE">
        <w:rPr>
          <w:rFonts w:ascii="Times New Roman" w:hAnsi="Times New Roman"/>
          <w:sz w:val="24"/>
        </w:rPr>
        <w:t xml:space="preserve">cf </w:t>
      </w:r>
      <w:r w:rsidR="00E609F0" w:rsidRPr="007A11CE">
        <w:rPr>
          <w:rFonts w:ascii="Times New Roman" w:hAnsi="Times New Roman"/>
          <w:i/>
          <w:iCs/>
          <w:sz w:val="24"/>
        </w:rPr>
        <w:t>Clubb v Edwards</w:t>
      </w:r>
      <w:r w:rsidR="00E609F0" w:rsidRPr="007A11CE">
        <w:rPr>
          <w:rFonts w:ascii="Times New Roman" w:hAnsi="Times New Roman"/>
          <w:sz w:val="24"/>
        </w:rPr>
        <w:t xml:space="preserve"> (2019) 267 CLR 171 at </w:t>
      </w:r>
      <w:r w:rsidR="00D24825" w:rsidRPr="007A11CE">
        <w:rPr>
          <w:rFonts w:ascii="Times New Roman" w:hAnsi="Times New Roman"/>
          <w:sz w:val="24"/>
        </w:rPr>
        <w:t>313</w:t>
      </w:r>
      <w:r w:rsidR="00A108AE" w:rsidRPr="007A11CE">
        <w:rPr>
          <w:rFonts w:ascii="Times New Roman" w:hAnsi="Times New Roman"/>
          <w:sz w:val="24"/>
        </w:rPr>
        <w:t>-318 [415]-[425]</w:t>
      </w:r>
      <w:r w:rsidR="00E609F0" w:rsidRPr="007A11CE">
        <w:rPr>
          <w:rFonts w:ascii="Times New Roman" w:hAnsi="Times New Roman"/>
          <w:sz w:val="24"/>
        </w:rPr>
        <w:t>;</w:t>
      </w:r>
      <w:r w:rsidR="00A108AE" w:rsidRPr="007A11CE">
        <w:rPr>
          <w:rFonts w:ascii="Times New Roman" w:hAnsi="Times New Roman"/>
          <w:sz w:val="24"/>
        </w:rPr>
        <w:t xml:space="preserve"> </w:t>
      </w:r>
      <w:r w:rsidR="002124F3" w:rsidRPr="007A11CE">
        <w:rPr>
          <w:rFonts w:ascii="Times New Roman" w:hAnsi="Times New Roman"/>
          <w:i/>
          <w:iCs/>
          <w:sz w:val="24"/>
        </w:rPr>
        <w:t xml:space="preserve">LibertyWorks Inc v The Commonwealth </w:t>
      </w:r>
      <w:r w:rsidR="002124F3" w:rsidRPr="007A11CE">
        <w:rPr>
          <w:rFonts w:ascii="Times New Roman" w:hAnsi="Times New Roman"/>
          <w:sz w:val="24"/>
        </w:rPr>
        <w:t>(2021) 274 CLR 1 at</w:t>
      </w:r>
      <w:r w:rsidR="00E609F0" w:rsidRPr="007A11CE">
        <w:rPr>
          <w:rFonts w:ascii="Times New Roman" w:hAnsi="Times New Roman"/>
          <w:sz w:val="24"/>
        </w:rPr>
        <w:t xml:space="preserve"> 35 [89]; </w:t>
      </w:r>
      <w:r w:rsidR="00E609F0" w:rsidRPr="007A11CE">
        <w:rPr>
          <w:rFonts w:ascii="Times New Roman" w:hAnsi="Times New Roman"/>
          <w:i/>
          <w:iCs/>
          <w:sz w:val="24"/>
        </w:rPr>
        <w:t>Farm Transparency International Ltd v New South Wales</w:t>
      </w:r>
      <w:r w:rsidR="00E609F0" w:rsidRPr="007A11CE">
        <w:rPr>
          <w:rFonts w:ascii="Times New Roman" w:hAnsi="Times New Roman"/>
          <w:sz w:val="24"/>
        </w:rPr>
        <w:t xml:space="preserve"> (2022) 277 CLR 537</w:t>
      </w:r>
      <w:r w:rsidR="00D24825" w:rsidRPr="007A11CE">
        <w:rPr>
          <w:rFonts w:ascii="Times New Roman" w:hAnsi="Times New Roman"/>
          <w:sz w:val="24"/>
        </w:rPr>
        <w:t xml:space="preserve"> at 625-626.</w:t>
      </w:r>
    </w:p>
  </w:footnote>
  <w:footnote w:id="48">
    <w:p w14:paraId="4C327CD1" w14:textId="34730481" w:rsidR="00825B98" w:rsidRPr="007A11CE" w:rsidRDefault="00825B98"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4371A2" w:rsidRPr="007A11CE">
        <w:rPr>
          <w:rFonts w:ascii="Times New Roman" w:hAnsi="Times New Roman"/>
          <w:sz w:val="24"/>
        </w:rPr>
        <w:tab/>
        <w:t xml:space="preserve">eg </w:t>
      </w:r>
      <w:r w:rsidR="008E48A6" w:rsidRPr="007A11CE">
        <w:rPr>
          <w:rFonts w:ascii="Times New Roman" w:hAnsi="Times New Roman"/>
          <w:i/>
          <w:iCs/>
          <w:sz w:val="24"/>
        </w:rPr>
        <w:t>Tajjour v New South Wales</w:t>
      </w:r>
      <w:r w:rsidR="008E48A6" w:rsidRPr="007A11CE">
        <w:rPr>
          <w:rFonts w:ascii="Times New Roman" w:hAnsi="Times New Roman"/>
          <w:sz w:val="24"/>
        </w:rPr>
        <w:t xml:space="preserve"> (2014) 254 CLR 508 at 585-589 [168]-[178]; </w:t>
      </w:r>
      <w:r w:rsidR="004371A2" w:rsidRPr="007A11CE">
        <w:rPr>
          <w:rFonts w:ascii="Times New Roman" w:hAnsi="Times New Roman"/>
          <w:i/>
          <w:iCs/>
          <w:sz w:val="24"/>
        </w:rPr>
        <w:t xml:space="preserve">Graham v Minister for Immigration and Border Protection </w:t>
      </w:r>
      <w:r w:rsidR="004371A2" w:rsidRPr="007A11CE">
        <w:rPr>
          <w:rFonts w:ascii="Times New Roman" w:hAnsi="Times New Roman"/>
          <w:sz w:val="24"/>
        </w:rPr>
        <w:t xml:space="preserve">(2017) 263 CLR 1 at </w:t>
      </w:r>
      <w:r w:rsidR="00011258" w:rsidRPr="007A11CE">
        <w:rPr>
          <w:rFonts w:ascii="Times New Roman" w:hAnsi="Times New Roman"/>
          <w:sz w:val="24"/>
        </w:rPr>
        <w:t xml:space="preserve">32-33 </w:t>
      </w:r>
      <w:r w:rsidR="004371A2" w:rsidRPr="007A11CE">
        <w:rPr>
          <w:rFonts w:ascii="Times New Roman" w:hAnsi="Times New Roman"/>
          <w:sz w:val="24"/>
        </w:rPr>
        <w:t>[66].</w:t>
      </w:r>
    </w:p>
  </w:footnote>
  <w:footnote w:id="49">
    <w:p w14:paraId="7BCF85C6" w14:textId="332A99FE" w:rsidR="007A7C72" w:rsidRPr="007A11CE" w:rsidRDefault="007A7C72"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(1943) 68 CLR 87 at 108-111.</w:t>
      </w:r>
      <w:r w:rsidR="00377EFA" w:rsidRPr="007A11CE">
        <w:rPr>
          <w:rFonts w:ascii="Times New Roman" w:hAnsi="Times New Roman"/>
          <w:sz w:val="24"/>
        </w:rPr>
        <w:t xml:space="preserve"> See also </w:t>
      </w:r>
      <w:r w:rsidR="00377EFA" w:rsidRPr="007A11CE">
        <w:rPr>
          <w:rFonts w:ascii="Times New Roman" w:hAnsi="Times New Roman"/>
          <w:i/>
          <w:iCs/>
          <w:sz w:val="24"/>
        </w:rPr>
        <w:t>Re Nolan; Ex parte Young</w:t>
      </w:r>
      <w:r w:rsidR="00377EFA" w:rsidRPr="007A11CE">
        <w:rPr>
          <w:rFonts w:ascii="Times New Roman" w:hAnsi="Times New Roman"/>
          <w:sz w:val="24"/>
        </w:rPr>
        <w:t xml:space="preserve"> (1991) 172 CLR </w:t>
      </w:r>
      <w:r w:rsidR="00EA778A" w:rsidRPr="007A11CE">
        <w:rPr>
          <w:rFonts w:ascii="Times New Roman" w:hAnsi="Times New Roman"/>
          <w:sz w:val="24"/>
        </w:rPr>
        <w:t>460 at 485-487</w:t>
      </w:r>
      <w:r w:rsidR="00D86E12" w:rsidRPr="007A11CE">
        <w:rPr>
          <w:rFonts w:ascii="Times New Roman" w:hAnsi="Times New Roman"/>
          <w:sz w:val="24"/>
        </w:rPr>
        <w:t xml:space="preserve">; </w:t>
      </w:r>
      <w:r w:rsidR="00D86E12" w:rsidRPr="007A11CE">
        <w:rPr>
          <w:rFonts w:ascii="Times New Roman" w:hAnsi="Times New Roman"/>
          <w:i/>
          <w:iCs/>
          <w:sz w:val="24"/>
        </w:rPr>
        <w:t xml:space="preserve">Nationwide News </w:t>
      </w:r>
      <w:r w:rsidR="005F66FC" w:rsidRPr="007A11CE">
        <w:rPr>
          <w:rFonts w:ascii="Times New Roman" w:hAnsi="Times New Roman"/>
          <w:i/>
          <w:iCs/>
          <w:sz w:val="24"/>
        </w:rPr>
        <w:t xml:space="preserve">Pty Ltd v Wills </w:t>
      </w:r>
      <w:r w:rsidR="005F66FC" w:rsidRPr="007A11CE">
        <w:rPr>
          <w:rFonts w:ascii="Times New Roman" w:hAnsi="Times New Roman"/>
          <w:sz w:val="24"/>
        </w:rPr>
        <w:t xml:space="preserve">(1992) 177 CLR 1 at </w:t>
      </w:r>
      <w:r w:rsidR="008B27C7" w:rsidRPr="007A11CE">
        <w:rPr>
          <w:rFonts w:ascii="Times New Roman" w:hAnsi="Times New Roman"/>
          <w:sz w:val="24"/>
        </w:rPr>
        <w:t>61, 80</w:t>
      </w:r>
      <w:r w:rsidR="00A22E91" w:rsidRPr="007A11CE">
        <w:rPr>
          <w:rFonts w:ascii="Times New Roman" w:hAnsi="Times New Roman"/>
          <w:sz w:val="24"/>
        </w:rPr>
        <w:t>.</w:t>
      </w:r>
    </w:p>
  </w:footnote>
  <w:footnote w:id="50">
    <w:p w14:paraId="2D37C2A5" w14:textId="418A6C63" w:rsidR="0037409F" w:rsidRPr="007A11CE" w:rsidRDefault="0037409F"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EF3482" w:rsidRPr="007A11CE">
        <w:rPr>
          <w:rFonts w:ascii="Times New Roman" w:hAnsi="Times New Roman"/>
          <w:sz w:val="24"/>
        </w:rPr>
        <w:tab/>
      </w:r>
      <w:r w:rsidR="000C7425" w:rsidRPr="007A11CE">
        <w:rPr>
          <w:rFonts w:ascii="Times New Roman" w:hAnsi="Times New Roman"/>
          <w:sz w:val="24"/>
        </w:rPr>
        <w:t>(</w:t>
      </w:r>
      <w:r w:rsidR="006D4C9E" w:rsidRPr="007A11CE">
        <w:rPr>
          <w:rFonts w:ascii="Times New Roman" w:hAnsi="Times New Roman"/>
          <w:sz w:val="24"/>
        </w:rPr>
        <w:t>1996</w:t>
      </w:r>
      <w:r w:rsidR="008E3D80" w:rsidRPr="007A11CE">
        <w:rPr>
          <w:rFonts w:ascii="Times New Roman" w:hAnsi="Times New Roman"/>
          <w:sz w:val="24"/>
        </w:rPr>
        <w:t xml:space="preserve">) 187 CLR 416 at </w:t>
      </w:r>
      <w:r w:rsidR="006D4C9E" w:rsidRPr="007A11CE">
        <w:rPr>
          <w:rFonts w:ascii="Times New Roman" w:hAnsi="Times New Roman"/>
          <w:sz w:val="24"/>
        </w:rPr>
        <w:t>502</w:t>
      </w:r>
      <w:r w:rsidR="008E3D80" w:rsidRPr="007A11CE">
        <w:rPr>
          <w:rFonts w:ascii="Times New Roman" w:hAnsi="Times New Roman"/>
          <w:sz w:val="24"/>
        </w:rPr>
        <w:t>.</w:t>
      </w:r>
    </w:p>
  </w:footnote>
  <w:footnote w:id="51">
    <w:p w14:paraId="3BDC8027" w14:textId="4B1286C4" w:rsidR="00D5581C" w:rsidRPr="007A11CE" w:rsidRDefault="00D5581C"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741237" w:rsidRPr="007A11CE">
        <w:rPr>
          <w:rFonts w:ascii="Times New Roman" w:hAnsi="Times New Roman"/>
          <w:sz w:val="24"/>
        </w:rPr>
        <w:tab/>
        <w:t>(1996) 187 CLR 416 at 503.</w:t>
      </w:r>
      <w:r w:rsidR="00B7687A" w:rsidRPr="007A11CE">
        <w:rPr>
          <w:rFonts w:ascii="Times New Roman" w:hAnsi="Times New Roman"/>
          <w:sz w:val="24"/>
        </w:rPr>
        <w:t xml:space="preserve"> See also at </w:t>
      </w:r>
      <w:r w:rsidR="00B82642" w:rsidRPr="007A11CE">
        <w:rPr>
          <w:rFonts w:ascii="Times New Roman" w:hAnsi="Times New Roman"/>
          <w:sz w:val="24"/>
        </w:rPr>
        <w:t>574-575.</w:t>
      </w:r>
      <w:r w:rsidR="000C7425" w:rsidRPr="007A11CE">
        <w:rPr>
          <w:rFonts w:ascii="Times New Roman" w:hAnsi="Times New Roman"/>
          <w:sz w:val="24"/>
        </w:rPr>
        <w:t xml:space="preserve"> </w:t>
      </w:r>
    </w:p>
  </w:footnote>
  <w:footnote w:id="52">
    <w:p w14:paraId="7458FA30" w14:textId="479E3D45" w:rsidR="000437DD" w:rsidRPr="007A11CE" w:rsidRDefault="000437DD"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E2320B" w:rsidRPr="007A11CE">
        <w:rPr>
          <w:rFonts w:ascii="Times New Roman" w:hAnsi="Times New Roman"/>
          <w:sz w:val="24"/>
        </w:rPr>
        <w:t xml:space="preserve">(1947) </w:t>
      </w:r>
      <w:r w:rsidR="00142BCA" w:rsidRPr="007A11CE">
        <w:rPr>
          <w:rFonts w:ascii="Times New Roman" w:hAnsi="Times New Roman"/>
          <w:sz w:val="24"/>
        </w:rPr>
        <w:t>7</w:t>
      </w:r>
      <w:r w:rsidR="001733B3" w:rsidRPr="007A11CE">
        <w:rPr>
          <w:rFonts w:ascii="Times New Roman" w:hAnsi="Times New Roman"/>
          <w:sz w:val="24"/>
        </w:rPr>
        <w:t>4</w:t>
      </w:r>
      <w:r w:rsidR="00142BCA" w:rsidRPr="007A11CE">
        <w:rPr>
          <w:rFonts w:ascii="Times New Roman" w:hAnsi="Times New Roman"/>
          <w:sz w:val="24"/>
        </w:rPr>
        <w:t xml:space="preserve"> CLR 31, as explained in </w:t>
      </w:r>
      <w:r w:rsidR="00142BCA" w:rsidRPr="007A11CE">
        <w:rPr>
          <w:rFonts w:ascii="Times New Roman" w:hAnsi="Times New Roman"/>
          <w:i/>
          <w:iCs/>
          <w:sz w:val="24"/>
        </w:rPr>
        <w:t xml:space="preserve">Re Australian Education Union; Ex parte Victoria </w:t>
      </w:r>
      <w:r w:rsidR="001B52B4" w:rsidRPr="007A11CE">
        <w:rPr>
          <w:rFonts w:ascii="Times New Roman" w:hAnsi="Times New Roman"/>
          <w:sz w:val="24"/>
        </w:rPr>
        <w:t>(1995) 184 CLR 188.</w:t>
      </w:r>
    </w:p>
  </w:footnote>
  <w:footnote w:id="53">
    <w:p w14:paraId="788A7709" w14:textId="3244DEC2" w:rsidR="00E2320B" w:rsidRPr="007A11CE" w:rsidRDefault="00E2320B"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(2017) 263 CLR 1 at 32-33 [66].</w:t>
      </w:r>
    </w:p>
  </w:footnote>
  <w:footnote w:id="54">
    <w:p w14:paraId="7E0C6AAA" w14:textId="176E4F13" w:rsidR="00923F43" w:rsidRPr="007A11CE" w:rsidRDefault="00923F43"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94736E" w:rsidRPr="007A11CE">
        <w:rPr>
          <w:rFonts w:ascii="Times New Roman" w:hAnsi="Times New Roman"/>
          <w:sz w:val="24"/>
        </w:rPr>
        <w:tab/>
      </w:r>
      <w:r w:rsidR="009F2BF3" w:rsidRPr="007A11CE">
        <w:rPr>
          <w:rFonts w:ascii="Times New Roman" w:hAnsi="Times New Roman"/>
          <w:i/>
          <w:iCs/>
          <w:sz w:val="24"/>
        </w:rPr>
        <w:t>Port of Newcastle Operations Pty Ltd v Glencore Coal Assets Australia Pty Ltd</w:t>
      </w:r>
      <w:r w:rsidR="007D1680" w:rsidRPr="007A11CE">
        <w:rPr>
          <w:rFonts w:ascii="Times New Roman" w:hAnsi="Times New Roman"/>
          <w:sz w:val="24"/>
        </w:rPr>
        <w:t xml:space="preserve"> (2021) 274 CLR 565 at 594</w:t>
      </w:r>
      <w:r w:rsidR="00F03C5A">
        <w:rPr>
          <w:rFonts w:ascii="Times New Roman" w:hAnsi="Times New Roman"/>
          <w:sz w:val="24"/>
        </w:rPr>
        <w:t>-</w:t>
      </w:r>
      <w:r w:rsidR="007D1680" w:rsidRPr="007A11CE">
        <w:rPr>
          <w:rFonts w:ascii="Times New Roman" w:hAnsi="Times New Roman"/>
          <w:sz w:val="24"/>
        </w:rPr>
        <w:t>595 [88]</w:t>
      </w:r>
      <w:r w:rsidR="00F03C5A">
        <w:rPr>
          <w:rFonts w:ascii="Times New Roman" w:hAnsi="Times New Roman"/>
          <w:sz w:val="24"/>
        </w:rPr>
        <w:t>-</w:t>
      </w:r>
      <w:r w:rsidR="007D1680" w:rsidRPr="007A11CE">
        <w:rPr>
          <w:rFonts w:ascii="Times New Roman" w:hAnsi="Times New Roman"/>
          <w:sz w:val="24"/>
        </w:rPr>
        <w:t xml:space="preserve">[89]; </w:t>
      </w:r>
      <w:r w:rsidR="00A453D5" w:rsidRPr="007A11CE">
        <w:rPr>
          <w:rFonts w:ascii="Times New Roman" w:hAnsi="Times New Roman"/>
          <w:i/>
          <w:iCs/>
          <w:sz w:val="24"/>
        </w:rPr>
        <w:t xml:space="preserve">Farmer v Minister for Home Affairs </w:t>
      </w:r>
      <w:r w:rsidR="00D95B38" w:rsidRPr="007A11CE">
        <w:rPr>
          <w:rFonts w:ascii="Times New Roman" w:hAnsi="Times New Roman"/>
          <w:sz w:val="24"/>
        </w:rPr>
        <w:t>(2025)</w:t>
      </w:r>
      <w:r w:rsidR="002C2187" w:rsidRPr="007A11CE">
        <w:rPr>
          <w:rFonts w:ascii="Times New Roman" w:hAnsi="Times New Roman"/>
          <w:sz w:val="24"/>
        </w:rPr>
        <w:t xml:space="preserve"> 99 ALJR 1408 at 1418</w:t>
      </w:r>
      <w:r w:rsidR="00D95B38" w:rsidRPr="007A11CE">
        <w:rPr>
          <w:rFonts w:ascii="Times New Roman" w:hAnsi="Times New Roman"/>
          <w:sz w:val="24"/>
        </w:rPr>
        <w:t xml:space="preserve"> [25]</w:t>
      </w:r>
      <w:r w:rsidR="002C2187" w:rsidRPr="007A11CE">
        <w:rPr>
          <w:rFonts w:ascii="Times New Roman" w:hAnsi="Times New Roman"/>
          <w:sz w:val="24"/>
        </w:rPr>
        <w:t>; 425 ALR 116 at 124-125</w:t>
      </w:r>
      <w:r w:rsidR="00D95B38" w:rsidRPr="007A11CE">
        <w:rPr>
          <w:rFonts w:ascii="Times New Roman" w:hAnsi="Times New Roman"/>
          <w:sz w:val="24"/>
        </w:rPr>
        <w:t>.</w:t>
      </w:r>
    </w:p>
  </w:footnote>
  <w:footnote w:id="55">
    <w:p w14:paraId="59CCB78B" w14:textId="2554750D" w:rsidR="00A47AF0" w:rsidRPr="007A11CE" w:rsidRDefault="00A47AF0"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w:t>
      </w:r>
      <w:r w:rsidR="00552A2B" w:rsidRPr="007A11CE">
        <w:rPr>
          <w:rFonts w:ascii="Times New Roman" w:hAnsi="Times New Roman"/>
          <w:sz w:val="24"/>
        </w:rPr>
        <w:t>194</w:t>
      </w:r>
      <w:r w:rsidR="004D5E34" w:rsidRPr="007A11CE">
        <w:rPr>
          <w:rFonts w:ascii="Times New Roman" w:hAnsi="Times New Roman"/>
          <w:sz w:val="24"/>
        </w:rPr>
        <w:t>3</w:t>
      </w:r>
      <w:r w:rsidR="00552A2B" w:rsidRPr="007A11CE">
        <w:rPr>
          <w:rFonts w:ascii="Times New Roman" w:hAnsi="Times New Roman"/>
          <w:sz w:val="24"/>
        </w:rPr>
        <w:t>) 68 CLR 87 at 111.</w:t>
      </w:r>
      <w:r w:rsidR="00E146F5" w:rsidRPr="007A11CE">
        <w:rPr>
          <w:rFonts w:ascii="Times New Roman" w:hAnsi="Times New Roman"/>
          <w:sz w:val="24"/>
        </w:rPr>
        <w:t xml:space="preserve"> </w:t>
      </w:r>
      <w:r w:rsidR="002D7908" w:rsidRPr="007A11CE">
        <w:rPr>
          <w:rFonts w:ascii="Times New Roman" w:hAnsi="Times New Roman"/>
          <w:sz w:val="24"/>
        </w:rPr>
        <w:t xml:space="preserve">See also </w:t>
      </w:r>
      <w:r w:rsidR="002D7908" w:rsidRPr="007A11CE">
        <w:rPr>
          <w:rFonts w:ascii="Times New Roman" w:hAnsi="Times New Roman"/>
          <w:i/>
          <w:iCs/>
          <w:sz w:val="24"/>
        </w:rPr>
        <w:t>Spence v Queensland</w:t>
      </w:r>
      <w:r w:rsidR="002D7908" w:rsidRPr="007A11CE">
        <w:rPr>
          <w:rFonts w:ascii="Times New Roman" w:hAnsi="Times New Roman"/>
          <w:sz w:val="24"/>
        </w:rPr>
        <w:t xml:space="preserve"> (2019) 268 CLR 355 at 414-415 [87]</w:t>
      </w:r>
      <w:r w:rsidR="00E146F5" w:rsidRPr="007A11CE">
        <w:rPr>
          <w:rFonts w:ascii="Times New Roman" w:hAnsi="Times New Roman"/>
          <w:sz w:val="24"/>
        </w:rPr>
        <w:t>.</w:t>
      </w:r>
    </w:p>
  </w:footnote>
  <w:footnote w:id="56">
    <w:p w14:paraId="7377C1C5" w14:textId="597457E0" w:rsidR="00FE416C" w:rsidRPr="007A11CE" w:rsidRDefault="00FE416C"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Pr="007A11CE">
        <w:rPr>
          <w:rFonts w:ascii="Times New Roman" w:hAnsi="Times New Roman"/>
          <w:i/>
          <w:iCs/>
          <w:sz w:val="24"/>
        </w:rPr>
        <w:t>Tajjour v New South Wales</w:t>
      </w:r>
      <w:r w:rsidRPr="007A11CE">
        <w:rPr>
          <w:rFonts w:ascii="Times New Roman" w:hAnsi="Times New Roman"/>
          <w:sz w:val="24"/>
        </w:rPr>
        <w:t xml:space="preserve"> (2014) 254 CLR 508 at 586 [171], citing </w:t>
      </w:r>
      <w:r w:rsidR="008B35F3" w:rsidRPr="007A11CE">
        <w:rPr>
          <w:rFonts w:ascii="Times New Roman" w:hAnsi="Times New Roman"/>
          <w:i/>
          <w:iCs/>
          <w:sz w:val="24"/>
        </w:rPr>
        <w:t>Victoria v The Commonwealth (Industrial Relations Act Case)</w:t>
      </w:r>
      <w:r w:rsidR="008B35F3" w:rsidRPr="007A11CE">
        <w:rPr>
          <w:rFonts w:ascii="Times New Roman" w:hAnsi="Times New Roman"/>
          <w:sz w:val="24"/>
        </w:rPr>
        <w:t xml:space="preserve"> (1996) 187 CLR 416 at 503</w:t>
      </w:r>
      <w:r w:rsidR="00BE0709" w:rsidRPr="007A11CE">
        <w:rPr>
          <w:rFonts w:ascii="Times New Roman" w:hAnsi="Times New Roman"/>
          <w:sz w:val="24"/>
        </w:rPr>
        <w:t xml:space="preserve"> and</w:t>
      </w:r>
      <w:r w:rsidR="009C3319" w:rsidRPr="007A11CE">
        <w:rPr>
          <w:rFonts w:ascii="Times New Roman" w:hAnsi="Times New Roman"/>
          <w:sz w:val="24"/>
        </w:rPr>
        <w:t xml:space="preserve"> </w:t>
      </w:r>
      <w:r w:rsidR="009C3319" w:rsidRPr="007A11CE">
        <w:rPr>
          <w:rFonts w:ascii="Times New Roman" w:hAnsi="Times New Roman"/>
          <w:i/>
          <w:iCs/>
          <w:sz w:val="24"/>
        </w:rPr>
        <w:t>Clarke v Federal Commissioner of Taxation</w:t>
      </w:r>
      <w:r w:rsidR="009C3319" w:rsidRPr="007A11CE">
        <w:rPr>
          <w:rFonts w:ascii="Times New Roman" w:hAnsi="Times New Roman"/>
          <w:sz w:val="24"/>
        </w:rPr>
        <w:t xml:space="preserve"> (2009) </w:t>
      </w:r>
      <w:r w:rsidR="00AE061B" w:rsidRPr="007A11CE">
        <w:rPr>
          <w:rFonts w:ascii="Times New Roman" w:hAnsi="Times New Roman"/>
          <w:sz w:val="24"/>
        </w:rPr>
        <w:t>2</w:t>
      </w:r>
      <w:r w:rsidR="009C3319" w:rsidRPr="007A11CE">
        <w:rPr>
          <w:rFonts w:ascii="Times New Roman" w:hAnsi="Times New Roman"/>
          <w:sz w:val="24"/>
        </w:rPr>
        <w:t xml:space="preserve">40 CLR </w:t>
      </w:r>
      <w:r w:rsidR="00AE061B" w:rsidRPr="007A11CE">
        <w:rPr>
          <w:rFonts w:ascii="Times New Roman" w:hAnsi="Times New Roman"/>
          <w:sz w:val="24"/>
        </w:rPr>
        <w:t>272</w:t>
      </w:r>
      <w:r w:rsidR="009C3319" w:rsidRPr="007A11CE">
        <w:rPr>
          <w:rFonts w:ascii="Times New Roman" w:hAnsi="Times New Roman"/>
          <w:sz w:val="24"/>
        </w:rPr>
        <w:t xml:space="preserve"> at 307 [66], 317-318</w:t>
      </w:r>
      <w:r w:rsidRPr="007A11CE">
        <w:rPr>
          <w:rFonts w:ascii="Times New Roman" w:hAnsi="Times New Roman"/>
          <w:sz w:val="24"/>
        </w:rPr>
        <w:t>.</w:t>
      </w:r>
    </w:p>
  </w:footnote>
  <w:footnote w:id="57">
    <w:p w14:paraId="61EED444" w14:textId="795CB9F5" w:rsidR="00C46B43" w:rsidRPr="007A11CE" w:rsidRDefault="00C46B43"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5C4E23" w:rsidRPr="007A11CE">
        <w:rPr>
          <w:rFonts w:ascii="Times New Roman" w:hAnsi="Times New Roman"/>
          <w:i/>
          <w:iCs/>
          <w:sz w:val="24"/>
        </w:rPr>
        <w:t>Tajjour v New South Wales</w:t>
      </w:r>
      <w:r w:rsidR="005C4E23" w:rsidRPr="007A11CE">
        <w:rPr>
          <w:rFonts w:ascii="Times New Roman" w:hAnsi="Times New Roman"/>
          <w:sz w:val="24"/>
        </w:rPr>
        <w:t xml:space="preserve"> (2014) 254 CLR 508 at 586 [171]</w:t>
      </w:r>
      <w:r w:rsidR="00D81DE6" w:rsidRPr="007A11CE">
        <w:rPr>
          <w:rFonts w:ascii="Times New Roman" w:hAnsi="Times New Roman"/>
          <w:sz w:val="24"/>
        </w:rPr>
        <w:t xml:space="preserve">, citing </w:t>
      </w:r>
      <w:r w:rsidR="00EE0599" w:rsidRPr="007A11CE">
        <w:rPr>
          <w:rFonts w:ascii="Times New Roman" w:hAnsi="Times New Roman"/>
          <w:i/>
          <w:iCs/>
          <w:sz w:val="24"/>
        </w:rPr>
        <w:t>Bourke</w:t>
      </w:r>
      <w:r w:rsidR="009C3319" w:rsidRPr="007A11CE">
        <w:rPr>
          <w:rFonts w:ascii="Times New Roman" w:hAnsi="Times New Roman"/>
          <w:i/>
          <w:iCs/>
          <w:sz w:val="24"/>
        </w:rPr>
        <w:t xml:space="preserve"> v State Bank of New South Wales </w:t>
      </w:r>
      <w:r w:rsidR="009C3319" w:rsidRPr="007A11CE">
        <w:rPr>
          <w:rFonts w:ascii="Times New Roman" w:hAnsi="Times New Roman"/>
          <w:sz w:val="24"/>
        </w:rPr>
        <w:t>(1990) 170 CLR 276 at 291-292</w:t>
      </w:r>
      <w:r w:rsidR="009A18C4" w:rsidRPr="007A11CE">
        <w:rPr>
          <w:rFonts w:ascii="Times New Roman" w:hAnsi="Times New Roman"/>
          <w:sz w:val="24"/>
        </w:rPr>
        <w:t xml:space="preserve"> and</w:t>
      </w:r>
      <w:r w:rsidR="009C3319" w:rsidRPr="007A11CE">
        <w:rPr>
          <w:rFonts w:ascii="Times New Roman" w:hAnsi="Times New Roman"/>
          <w:sz w:val="24"/>
        </w:rPr>
        <w:t xml:space="preserve"> </w:t>
      </w:r>
      <w:r w:rsidR="00CA1C61" w:rsidRPr="007A11CE">
        <w:rPr>
          <w:rFonts w:ascii="Times New Roman" w:hAnsi="Times New Roman"/>
          <w:i/>
          <w:iCs/>
          <w:sz w:val="24"/>
        </w:rPr>
        <w:t>Re Nolan; Ex parte Young</w:t>
      </w:r>
      <w:r w:rsidR="00CA1C61" w:rsidRPr="007A11CE">
        <w:rPr>
          <w:rFonts w:ascii="Times New Roman" w:hAnsi="Times New Roman"/>
          <w:sz w:val="24"/>
        </w:rPr>
        <w:t xml:space="preserve"> (1991) 172 CLR 460 at 487-488</w:t>
      </w:r>
      <w:r w:rsidR="00D81DE6" w:rsidRPr="007A11CE">
        <w:rPr>
          <w:rFonts w:ascii="Times New Roman" w:hAnsi="Times New Roman"/>
          <w:sz w:val="24"/>
        </w:rPr>
        <w:t>.</w:t>
      </w:r>
      <w:r w:rsidR="00A22E91" w:rsidRPr="007A11CE">
        <w:rPr>
          <w:rFonts w:ascii="Times New Roman" w:hAnsi="Times New Roman"/>
          <w:sz w:val="24"/>
        </w:rPr>
        <w:t xml:space="preserve"> See also </w:t>
      </w:r>
      <w:r w:rsidR="00A22E91" w:rsidRPr="007A11CE">
        <w:rPr>
          <w:rFonts w:ascii="Times New Roman" w:hAnsi="Times New Roman"/>
          <w:i/>
          <w:iCs/>
          <w:sz w:val="24"/>
        </w:rPr>
        <w:t>R v Hughes</w:t>
      </w:r>
      <w:r w:rsidR="00A22E91" w:rsidRPr="007A11CE">
        <w:rPr>
          <w:rFonts w:ascii="Times New Roman" w:hAnsi="Times New Roman"/>
          <w:sz w:val="24"/>
        </w:rPr>
        <w:t xml:space="preserve"> (2000) 202 CLR 535 at 556-557 [43].</w:t>
      </w:r>
    </w:p>
  </w:footnote>
  <w:footnote w:id="58">
    <w:p w14:paraId="2EEA84B5" w14:textId="321A416D" w:rsidR="00E73708" w:rsidRPr="007A11CE" w:rsidRDefault="00E73708"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FD1174" w:rsidRPr="007A11CE">
        <w:rPr>
          <w:rFonts w:ascii="Times New Roman" w:hAnsi="Times New Roman"/>
          <w:sz w:val="24"/>
        </w:rPr>
        <w:tab/>
        <w:t>(2017) 261 CLR 306 at 324 [33].</w:t>
      </w:r>
    </w:p>
  </w:footnote>
  <w:footnote w:id="59">
    <w:p w14:paraId="727AE500" w14:textId="032BAF01" w:rsidR="00E73708" w:rsidRPr="007A11CE" w:rsidRDefault="00E73708"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FD1174" w:rsidRPr="007A11CE">
        <w:rPr>
          <w:rFonts w:ascii="Times New Roman" w:hAnsi="Times New Roman"/>
          <w:sz w:val="24"/>
        </w:rPr>
        <w:tab/>
        <w:t xml:space="preserve">(2021) 274 CLR 219 at </w:t>
      </w:r>
      <w:r w:rsidR="003601DF" w:rsidRPr="007A11CE">
        <w:rPr>
          <w:rFonts w:ascii="Times New Roman" w:hAnsi="Times New Roman"/>
          <w:sz w:val="24"/>
        </w:rPr>
        <w:t>248-249 [59].</w:t>
      </w:r>
    </w:p>
  </w:footnote>
  <w:footnote w:id="60">
    <w:p w14:paraId="77331A2C" w14:textId="07C4F334" w:rsidR="00CE4368" w:rsidRPr="007A11CE" w:rsidRDefault="00CE4368"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t>(2021) 273 CLR 216 at 230 [21].</w:t>
      </w:r>
    </w:p>
  </w:footnote>
  <w:footnote w:id="61">
    <w:p w14:paraId="45D4386E" w14:textId="61E678C2" w:rsidR="005D2F5F" w:rsidRPr="007A11CE" w:rsidRDefault="005D2F5F"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Pr="007A11CE">
        <w:rPr>
          <w:rFonts w:ascii="Times New Roman" w:hAnsi="Times New Roman"/>
          <w:sz w:val="24"/>
        </w:rPr>
        <w:tab/>
      </w:r>
      <w:r w:rsidR="00472939" w:rsidRPr="007A11CE">
        <w:rPr>
          <w:rFonts w:ascii="Times New Roman" w:hAnsi="Times New Roman"/>
          <w:sz w:val="24"/>
        </w:rPr>
        <w:t>(2017) 261 CLR 306 at 32</w:t>
      </w:r>
      <w:r w:rsidR="00D338E2" w:rsidRPr="007A11CE">
        <w:rPr>
          <w:rFonts w:ascii="Times New Roman" w:hAnsi="Times New Roman"/>
          <w:sz w:val="24"/>
        </w:rPr>
        <w:t>6 [37].</w:t>
      </w:r>
    </w:p>
  </w:footnote>
  <w:footnote w:id="62">
    <w:p w14:paraId="63714AA8" w14:textId="27B854C8" w:rsidR="009A7421" w:rsidRPr="007A11CE" w:rsidRDefault="009A7421" w:rsidP="007A11CE">
      <w:pPr>
        <w:pStyle w:val="FootnoteText"/>
        <w:spacing w:line="280" w:lineRule="exact"/>
        <w:ind w:right="0"/>
        <w:jc w:val="both"/>
        <w:rPr>
          <w:rFonts w:ascii="Times New Roman" w:hAnsi="Times New Roman"/>
          <w:sz w:val="24"/>
        </w:rPr>
      </w:pPr>
      <w:r w:rsidRPr="007A11CE">
        <w:rPr>
          <w:rStyle w:val="FootnoteReference"/>
          <w:rFonts w:ascii="Times New Roman" w:hAnsi="Times New Roman"/>
          <w:sz w:val="22"/>
          <w:vertAlign w:val="baseline"/>
        </w:rPr>
        <w:footnoteRef/>
      </w:r>
      <w:r w:rsidRPr="007A11CE">
        <w:rPr>
          <w:rFonts w:ascii="Times New Roman" w:hAnsi="Times New Roman"/>
          <w:sz w:val="24"/>
        </w:rPr>
        <w:t xml:space="preserve"> </w:t>
      </w:r>
      <w:r w:rsidR="00390EC8" w:rsidRPr="007A11CE">
        <w:rPr>
          <w:rFonts w:ascii="Times New Roman" w:hAnsi="Times New Roman"/>
          <w:sz w:val="24"/>
        </w:rPr>
        <w:tab/>
      </w:r>
      <w:r w:rsidR="000B137F" w:rsidRPr="007A11CE">
        <w:rPr>
          <w:rFonts w:ascii="Times New Roman" w:hAnsi="Times New Roman"/>
          <w:i/>
          <w:iCs/>
          <w:sz w:val="24"/>
        </w:rPr>
        <w:t xml:space="preserve">Deripaska v Minister for Foreign Affairs </w:t>
      </w:r>
      <w:r w:rsidR="000B137F" w:rsidRPr="007A11CE">
        <w:rPr>
          <w:rFonts w:ascii="Times New Roman" w:hAnsi="Times New Roman"/>
          <w:sz w:val="24"/>
        </w:rPr>
        <w:t xml:space="preserve">(2025) 308 FCR 175 </w:t>
      </w:r>
      <w:r w:rsidRPr="007A11CE">
        <w:rPr>
          <w:rFonts w:ascii="Times New Roman" w:hAnsi="Times New Roman"/>
          <w:sz w:val="24"/>
        </w:rPr>
        <w:t xml:space="preserve">at </w:t>
      </w:r>
      <w:r w:rsidR="000B137F" w:rsidRPr="007A11CE">
        <w:rPr>
          <w:rFonts w:ascii="Times New Roman" w:hAnsi="Times New Roman"/>
          <w:sz w:val="24"/>
        </w:rPr>
        <w:t xml:space="preserve">195 </w:t>
      </w:r>
      <w:r w:rsidRPr="007A11CE">
        <w:rPr>
          <w:rFonts w:ascii="Times New Roman" w:hAnsi="Times New Roman"/>
          <w:sz w:val="24"/>
        </w:rPr>
        <w:t>[</w:t>
      </w:r>
      <w:r w:rsidR="00390EC8" w:rsidRPr="007A11CE">
        <w:rPr>
          <w:rFonts w:ascii="Times New Roman" w:hAnsi="Times New Roman"/>
          <w:sz w:val="24"/>
        </w:rPr>
        <w:t>96].</w:t>
      </w:r>
    </w:p>
  </w:footnote>
  <w:footnote w:id="63">
    <w:p w14:paraId="2DDD00B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Palmer</w:t>
      </w:r>
      <w:r w:rsidRPr="000E12A4" w:rsidDel="003700DA">
        <w:rPr>
          <w:rFonts w:ascii="Times New Roman" w:hAnsi="Times New Roman"/>
          <w:i/>
          <w:iCs/>
          <w:sz w:val="24"/>
        </w:rPr>
        <w:t xml:space="preserve"> </w:t>
      </w:r>
      <w:r w:rsidRPr="000E12A4">
        <w:rPr>
          <w:rFonts w:ascii="Times New Roman" w:hAnsi="Times New Roman"/>
          <w:i/>
          <w:iCs/>
          <w:sz w:val="24"/>
        </w:rPr>
        <w:t>v Western Australia</w:t>
      </w:r>
      <w:r w:rsidRPr="000E12A4" w:rsidDel="003700DA">
        <w:rPr>
          <w:rFonts w:ascii="Times New Roman" w:hAnsi="Times New Roman"/>
          <w:i/>
          <w:iCs/>
          <w:sz w:val="24"/>
        </w:rPr>
        <w:t xml:space="preserve"> </w:t>
      </w:r>
      <w:r w:rsidRPr="000E12A4">
        <w:rPr>
          <w:rFonts w:ascii="Times New Roman" w:hAnsi="Times New Roman"/>
          <w:sz w:val="24"/>
        </w:rPr>
        <w:t xml:space="preserve">(2021) 272 CLR 505 at 547 [124], citing </w:t>
      </w:r>
      <w:r w:rsidRPr="000E12A4">
        <w:rPr>
          <w:rFonts w:ascii="Times New Roman" w:hAnsi="Times New Roman"/>
          <w:i/>
          <w:iCs/>
          <w:sz w:val="24"/>
        </w:rPr>
        <w:t>APLA</w:t>
      </w:r>
      <w:r w:rsidRPr="000E12A4">
        <w:rPr>
          <w:rFonts w:ascii="Times New Roman" w:hAnsi="Times New Roman"/>
          <w:sz w:val="24"/>
        </w:rPr>
        <w:t xml:space="preserve"> </w:t>
      </w:r>
      <w:r w:rsidRPr="000E12A4">
        <w:rPr>
          <w:rFonts w:ascii="Times New Roman" w:hAnsi="Times New Roman"/>
          <w:i/>
          <w:iCs/>
          <w:sz w:val="24"/>
        </w:rPr>
        <w:t>Ltd v Legal Services Commissioner (NSW)</w:t>
      </w:r>
      <w:r w:rsidRPr="000E12A4">
        <w:rPr>
          <w:rFonts w:ascii="Times New Roman" w:hAnsi="Times New Roman"/>
          <w:sz w:val="24"/>
        </w:rPr>
        <w:t xml:space="preserve"> (2005) 224 CLR 322 at 373 [104], in turn citing </w:t>
      </w:r>
      <w:r w:rsidRPr="000E12A4">
        <w:rPr>
          <w:rFonts w:ascii="Times New Roman" w:hAnsi="Times New Roman"/>
          <w:i/>
          <w:iCs/>
          <w:sz w:val="24"/>
        </w:rPr>
        <w:t xml:space="preserve">O'Sullivan v Noarlunga Meat Ltd </w:t>
      </w:r>
      <w:r w:rsidRPr="000E12A4">
        <w:rPr>
          <w:rFonts w:ascii="Times New Roman" w:hAnsi="Times New Roman"/>
          <w:sz w:val="24"/>
        </w:rPr>
        <w:t>(1954) 92 CLR 565 at 594.</w:t>
      </w:r>
    </w:p>
  </w:footnote>
  <w:footnote w:id="64">
    <w:p w14:paraId="1271BFD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Clubb v Edwards</w:t>
      </w:r>
      <w:r w:rsidRPr="000E12A4">
        <w:rPr>
          <w:rFonts w:ascii="Times New Roman" w:hAnsi="Times New Roman"/>
          <w:sz w:val="24"/>
        </w:rPr>
        <w:t xml:space="preserve"> (2019) 267 CLR 171 at 288 [334]; </w:t>
      </w:r>
      <w:r w:rsidRPr="000E12A4">
        <w:rPr>
          <w:rFonts w:ascii="Times New Roman" w:hAnsi="Times New Roman"/>
          <w:i/>
          <w:iCs/>
          <w:sz w:val="24"/>
        </w:rPr>
        <w:t>Farm Transparency International Ltd v New South Wales</w:t>
      </w:r>
      <w:r w:rsidRPr="000E12A4">
        <w:rPr>
          <w:rFonts w:ascii="Times New Roman" w:hAnsi="Times New Roman"/>
          <w:sz w:val="24"/>
        </w:rPr>
        <w:t xml:space="preserve"> (2022) 277 CLR 537 at 578 [122].</w:t>
      </w:r>
    </w:p>
  </w:footnote>
  <w:footnote w:id="65">
    <w:p w14:paraId="30D9F7B2"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AS Act, long title.</w:t>
      </w:r>
    </w:p>
  </w:footnote>
  <w:footnote w:id="66">
    <w:p w14:paraId="350037EA"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 foreign government entity is "the government of a foreign country or of part of a</w:t>
      </w:r>
      <w:r>
        <w:rPr>
          <w:rFonts w:ascii="Times New Roman" w:hAnsi="Times New Roman"/>
          <w:sz w:val="24"/>
        </w:rPr>
        <w:t> </w:t>
      </w:r>
      <w:r w:rsidRPr="000E12A4">
        <w:rPr>
          <w:rFonts w:ascii="Times New Roman" w:hAnsi="Times New Roman"/>
          <w:sz w:val="24"/>
        </w:rPr>
        <w:t xml:space="preserve">foreign country" or an "authority" of such a government: AS Act, s 4. </w:t>
      </w:r>
    </w:p>
  </w:footnote>
  <w:footnote w:id="67">
    <w:p w14:paraId="646DD416"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AS Act, s 4 definition of "autonomous sanction".</w:t>
      </w:r>
    </w:p>
  </w:footnote>
  <w:footnote w:id="68">
    <w:p w14:paraId="646E4627"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AS Act, s 10.</w:t>
      </w:r>
    </w:p>
  </w:footnote>
  <w:footnote w:id="69">
    <w:p w14:paraId="7586312A"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AS Act, s 10(1)(a) and (b). See also s 28.</w:t>
      </w:r>
    </w:p>
  </w:footnote>
  <w:footnote w:id="70">
    <w:p w14:paraId="381900C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Regulations, reg 9(1).</w:t>
      </w:r>
    </w:p>
  </w:footnote>
  <w:footnote w:id="71">
    <w:p w14:paraId="323FE17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sidDel="006C6EF4">
        <w:rPr>
          <w:rFonts w:ascii="Times New Roman" w:hAnsi="Times New Roman"/>
          <w:i/>
          <w:iCs/>
          <w:sz w:val="24"/>
        </w:rPr>
        <w:t>Autonomous Sanctions Amendment (Russia) Regulations 2022</w:t>
      </w:r>
      <w:r w:rsidRPr="000E12A4" w:rsidDel="006C6EF4">
        <w:rPr>
          <w:rFonts w:ascii="Times New Roman" w:hAnsi="Times New Roman"/>
          <w:sz w:val="24"/>
        </w:rPr>
        <w:t xml:space="preserve"> (Cth),</w:t>
      </w:r>
      <w:r w:rsidRPr="000E12A4">
        <w:rPr>
          <w:rFonts w:ascii="Times New Roman" w:hAnsi="Times New Roman"/>
          <w:sz w:val="24"/>
        </w:rPr>
        <w:t xml:space="preserve"> s 4 and Sch 1, item 1.</w:t>
      </w:r>
    </w:p>
  </w:footnote>
  <w:footnote w:id="72">
    <w:p w14:paraId="57BA09F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Autonomous Sanctions (Designated Persons and Entities and Declared Persons – Ukraine) Amendment (No 4) Instrument 2022 </w:t>
      </w:r>
      <w:r w:rsidRPr="000E12A4">
        <w:rPr>
          <w:rFonts w:ascii="Times New Roman" w:hAnsi="Times New Roman"/>
          <w:sz w:val="24"/>
        </w:rPr>
        <w:t>(Cth), s 4 and Sch 1, item 1.</w:t>
      </w:r>
    </w:p>
  </w:footnote>
  <w:footnote w:id="73">
    <w:p w14:paraId="171C4FB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Autonomous Sanctions (Designated Persons and Entities and Declared Persons – Ukraine) Amendment (No 4) Instrument 2022 </w:t>
      </w:r>
      <w:r w:rsidRPr="000E12A4">
        <w:rPr>
          <w:rFonts w:ascii="Times New Roman" w:hAnsi="Times New Roman"/>
          <w:sz w:val="24"/>
        </w:rPr>
        <w:t>(Cth), s 4 and Sch 1, item 10.</w:t>
      </w:r>
    </w:p>
  </w:footnote>
  <w:footnote w:id="74">
    <w:p w14:paraId="342B38A3"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Autonomous Sanctions (Designated Persons and Entities and Declared Persons – Ukraine) Amendment (No 4) Instrument 2022 </w:t>
      </w:r>
      <w:r w:rsidRPr="000E12A4">
        <w:rPr>
          <w:rFonts w:ascii="Times New Roman" w:hAnsi="Times New Roman"/>
          <w:sz w:val="24"/>
        </w:rPr>
        <w:t>(Cth), s 4 and Sch 1, item 13.</w:t>
      </w:r>
    </w:p>
  </w:footnote>
  <w:footnote w:id="75">
    <w:p w14:paraId="7928832D"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sz w:val="24"/>
        </w:rPr>
        <w:t>Autonomous Sanctions (Designated Persons and Entities and Declared Persons – Russia and Ukraine) Amendment (No 7) Instrument 2022</w:t>
      </w:r>
      <w:r w:rsidRPr="000E12A4">
        <w:rPr>
          <w:rFonts w:ascii="Times New Roman" w:hAnsi="Times New Roman"/>
          <w:sz w:val="24"/>
        </w:rPr>
        <w:t xml:space="preserve"> (Cth), s 4 and Sch 1, item</w:t>
      </w:r>
      <w:r>
        <w:rPr>
          <w:rFonts w:ascii="Times New Roman" w:hAnsi="Times New Roman"/>
          <w:sz w:val="24"/>
        </w:rPr>
        <w:t> </w:t>
      </w:r>
      <w:r w:rsidRPr="000E12A4">
        <w:rPr>
          <w:rFonts w:ascii="Times New Roman" w:hAnsi="Times New Roman"/>
          <w:sz w:val="24"/>
        </w:rPr>
        <w:t>1.</w:t>
      </w:r>
    </w:p>
  </w:footnote>
  <w:footnote w:id="76">
    <w:p w14:paraId="223D5DDF"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"Controlled asset" is defined in reg 3 to mean "an asset owned or controlled by a</w:t>
      </w:r>
      <w:r>
        <w:rPr>
          <w:rFonts w:ascii="Times New Roman" w:hAnsi="Times New Roman"/>
          <w:sz w:val="24"/>
        </w:rPr>
        <w:t> </w:t>
      </w:r>
      <w:r w:rsidRPr="000E12A4">
        <w:rPr>
          <w:rFonts w:ascii="Times New Roman" w:hAnsi="Times New Roman"/>
          <w:sz w:val="24"/>
        </w:rPr>
        <w:t>designated person or entity". "Asset" is defined in s 4 of the AS Act to mean "(a)</w:t>
      </w:r>
      <w:r>
        <w:rPr>
          <w:rFonts w:ascii="Times New Roman" w:hAnsi="Times New Roman"/>
          <w:sz w:val="24"/>
        </w:rPr>
        <w:t> </w:t>
      </w:r>
      <w:r w:rsidRPr="000E12A4">
        <w:rPr>
          <w:rFonts w:ascii="Times New Roman" w:hAnsi="Times New Roman"/>
          <w:sz w:val="24"/>
        </w:rPr>
        <w:t>an asset of any kind or property of any kind, whether tangible or intangible, movable or immovable, however acquired; and (b) a legal document or instrument in any form (including electronic or digital) evidencing title to, or interest in, such</w:t>
      </w:r>
      <w:r>
        <w:rPr>
          <w:rFonts w:ascii="Times New Roman" w:hAnsi="Times New Roman"/>
          <w:sz w:val="24"/>
        </w:rPr>
        <w:t> </w:t>
      </w:r>
      <w:r w:rsidRPr="000E12A4">
        <w:rPr>
          <w:rFonts w:ascii="Times New Roman" w:hAnsi="Times New Roman"/>
          <w:sz w:val="24"/>
        </w:rPr>
        <w:t>an</w:t>
      </w:r>
      <w:r>
        <w:rPr>
          <w:rFonts w:ascii="Times New Roman" w:hAnsi="Times New Roman"/>
          <w:sz w:val="24"/>
        </w:rPr>
        <w:t> </w:t>
      </w:r>
      <w:r w:rsidRPr="000E12A4">
        <w:rPr>
          <w:rFonts w:ascii="Times New Roman" w:hAnsi="Times New Roman"/>
          <w:sz w:val="24"/>
        </w:rPr>
        <w:t>asset or such property".</w:t>
      </w:r>
    </w:p>
  </w:footnote>
  <w:footnote w:id="77">
    <w:p w14:paraId="2746E5B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AS Act, s 3.</w:t>
      </w:r>
    </w:p>
  </w:footnote>
  <w:footnote w:id="78">
    <w:p w14:paraId="65E67B2F" w14:textId="77777777" w:rsidR="000525DE" w:rsidRPr="000E12A4" w:rsidRDefault="000525DE" w:rsidP="000E12A4">
      <w:pPr>
        <w:pStyle w:val="FootnoteText"/>
        <w:spacing w:line="280" w:lineRule="exact"/>
        <w:ind w:right="0"/>
        <w:jc w:val="both"/>
        <w:rPr>
          <w:rFonts w:ascii="Times New Roman" w:hAnsi="Times New Roman"/>
          <w:i/>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AS Act, </w:t>
      </w:r>
      <w:r w:rsidRPr="000E12A4" w:rsidDel="002841B4">
        <w:rPr>
          <w:rFonts w:ascii="Times New Roman" w:hAnsi="Times New Roman"/>
          <w:sz w:val="24"/>
        </w:rPr>
        <w:t>s</w:t>
      </w:r>
      <w:r w:rsidRPr="000E12A4">
        <w:rPr>
          <w:rFonts w:ascii="Times New Roman" w:hAnsi="Times New Roman"/>
          <w:sz w:val="24"/>
        </w:rPr>
        <w:t> 6(1).</w:t>
      </w:r>
    </w:p>
  </w:footnote>
  <w:footnote w:id="79">
    <w:p w14:paraId="5610A9A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i/>
          <w:sz w:val="24"/>
        </w:rPr>
        <w:t xml:space="preserve"> </w:t>
      </w:r>
      <w:r w:rsidRPr="000E12A4">
        <w:rPr>
          <w:rFonts w:ascii="Times New Roman" w:hAnsi="Times New Roman"/>
          <w:i/>
          <w:sz w:val="24"/>
        </w:rPr>
        <w:tab/>
        <w:t>Autonomous</w:t>
      </w:r>
      <w:r w:rsidRPr="000E12A4">
        <w:rPr>
          <w:rFonts w:ascii="Times New Roman" w:hAnsi="Times New Roman"/>
          <w:sz w:val="24"/>
        </w:rPr>
        <w:t xml:space="preserve"> </w:t>
      </w:r>
      <w:r w:rsidRPr="000E12A4">
        <w:rPr>
          <w:rFonts w:ascii="Times New Roman" w:hAnsi="Times New Roman"/>
          <w:i/>
          <w:sz w:val="24"/>
        </w:rPr>
        <w:t>Sanctions (Sanction Law) Declaration 2012</w:t>
      </w:r>
      <w:r w:rsidRPr="000E12A4">
        <w:rPr>
          <w:rFonts w:ascii="Times New Roman" w:hAnsi="Times New Roman"/>
          <w:sz w:val="24"/>
        </w:rPr>
        <w:t xml:space="preserve"> (Cth), s 3 and Sch 1, item</w:t>
      </w:r>
      <w:r>
        <w:rPr>
          <w:rFonts w:ascii="Times New Roman" w:hAnsi="Times New Roman"/>
          <w:sz w:val="24"/>
        </w:rPr>
        <w:t> </w:t>
      </w:r>
      <w:r w:rsidRPr="000E12A4">
        <w:rPr>
          <w:rFonts w:ascii="Times New Roman" w:hAnsi="Times New Roman"/>
          <w:sz w:val="24"/>
        </w:rPr>
        <w:t>1.</w:t>
      </w:r>
    </w:p>
  </w:footnote>
  <w:footnote w:id="80">
    <w:p w14:paraId="5848E42D"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Regulations, reg 18(1)(e) and (f).</w:t>
      </w:r>
    </w:p>
  </w:footnote>
  <w:footnote w:id="81">
    <w:p w14:paraId="7F6665E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Regulations, reg 18(2).</w:t>
      </w:r>
    </w:p>
  </w:footnote>
  <w:footnote w:id="82">
    <w:p w14:paraId="165FC9FA"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Section 33(3) of the </w:t>
      </w:r>
      <w:r w:rsidRPr="000E12A4">
        <w:rPr>
          <w:rFonts w:ascii="Times New Roman" w:hAnsi="Times New Roman"/>
          <w:i/>
          <w:iCs/>
          <w:sz w:val="24"/>
        </w:rPr>
        <w:t xml:space="preserve">Acts Interpretation Act 1901 </w:t>
      </w:r>
      <w:r w:rsidRPr="000E12A4">
        <w:rPr>
          <w:rFonts w:ascii="Times New Roman" w:hAnsi="Times New Roman"/>
          <w:sz w:val="24"/>
        </w:rPr>
        <w:t>(Cth) read with s 13(1)(a) of the</w:t>
      </w:r>
      <w:r>
        <w:rPr>
          <w:rFonts w:ascii="Times New Roman" w:hAnsi="Times New Roman"/>
          <w:sz w:val="24"/>
        </w:rPr>
        <w:t> </w:t>
      </w:r>
      <w:r w:rsidRPr="000E12A4">
        <w:rPr>
          <w:rFonts w:ascii="Times New Roman" w:hAnsi="Times New Roman"/>
          <w:i/>
          <w:iCs/>
          <w:sz w:val="24"/>
        </w:rPr>
        <w:t xml:space="preserve">Legislation Act 2003 </w:t>
      </w:r>
      <w:r w:rsidRPr="000E12A4">
        <w:rPr>
          <w:rFonts w:ascii="Times New Roman" w:hAnsi="Times New Roman"/>
          <w:sz w:val="24"/>
        </w:rPr>
        <w:t>(Cth).</w:t>
      </w:r>
    </w:p>
  </w:footnote>
  <w:footnote w:id="83">
    <w:p w14:paraId="73D42FE5"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An injunction would also be available to restrain such conduct: AS Act, s 14. </w:t>
      </w:r>
    </w:p>
  </w:footnote>
  <w:footnote w:id="84">
    <w:p w14:paraId="2E3E473F"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Regulations, reg 20(2)(a).</w:t>
      </w:r>
    </w:p>
  </w:footnote>
  <w:footnote w:id="85">
    <w:p w14:paraId="26401AD3"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Regulations, reg 20(3)(b)(vii) and (viii).</w:t>
      </w:r>
    </w:p>
  </w:footnote>
  <w:footnote w:id="86">
    <w:p w14:paraId="0451C97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Graham</w:t>
      </w:r>
      <w:r w:rsidRPr="000E12A4">
        <w:rPr>
          <w:rFonts w:ascii="Times New Roman" w:hAnsi="Times New Roman"/>
          <w:i/>
          <w:sz w:val="24"/>
        </w:rPr>
        <w:t xml:space="preserve"> </w:t>
      </w:r>
      <w:r w:rsidRPr="000E12A4">
        <w:rPr>
          <w:rFonts w:ascii="Times New Roman" w:hAnsi="Times New Roman"/>
          <w:i/>
          <w:iCs/>
          <w:sz w:val="24"/>
        </w:rPr>
        <w:t>v Minister for Immigration and Border Protection</w:t>
      </w:r>
      <w:r w:rsidRPr="000E12A4">
        <w:rPr>
          <w:rFonts w:ascii="Times New Roman" w:hAnsi="Times New Roman"/>
          <w:sz w:val="24"/>
        </w:rPr>
        <w:t xml:space="preserve"> (2017) 263 CLR 1 at 26 [47], citing </w:t>
      </w:r>
      <w:r w:rsidRPr="000E12A4">
        <w:rPr>
          <w:rFonts w:ascii="Times New Roman" w:hAnsi="Times New Roman"/>
          <w:i/>
          <w:iCs/>
          <w:sz w:val="24"/>
        </w:rPr>
        <w:t xml:space="preserve">Abebe v The Commonwealth </w:t>
      </w:r>
      <w:r w:rsidRPr="000E12A4">
        <w:rPr>
          <w:rFonts w:ascii="Times New Roman" w:hAnsi="Times New Roman"/>
          <w:sz w:val="24"/>
        </w:rPr>
        <w:t>(1999) 197 CLR 510.</w:t>
      </w:r>
    </w:p>
  </w:footnote>
  <w:footnote w:id="87">
    <w:p w14:paraId="50AA0E7A"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Graham</w:t>
      </w:r>
      <w:r w:rsidRPr="000E12A4">
        <w:rPr>
          <w:rFonts w:ascii="Times New Roman" w:hAnsi="Times New Roman"/>
          <w:sz w:val="24"/>
        </w:rPr>
        <w:t xml:space="preserve"> (2017) 263 CLR 1 at 26-27 [47].</w:t>
      </w:r>
    </w:p>
  </w:footnote>
  <w:footnote w:id="88">
    <w:p w14:paraId="26FA4606"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Graham</w:t>
      </w:r>
      <w:r w:rsidRPr="000E12A4">
        <w:rPr>
          <w:rFonts w:ascii="Times New Roman" w:hAnsi="Times New Roman"/>
          <w:sz w:val="24"/>
        </w:rPr>
        <w:t xml:space="preserve"> (2017) 263 CLR 1 at 27 [48]. See also </w:t>
      </w:r>
      <w:r w:rsidRPr="000E12A4">
        <w:rPr>
          <w:rFonts w:ascii="Times New Roman" w:hAnsi="Times New Roman"/>
          <w:i/>
          <w:iCs/>
          <w:sz w:val="24"/>
        </w:rPr>
        <w:t>Plaintiff S157/2002 v The</w:t>
      </w:r>
      <w:r>
        <w:rPr>
          <w:rFonts w:ascii="Times New Roman" w:hAnsi="Times New Roman"/>
          <w:i/>
          <w:iCs/>
          <w:sz w:val="24"/>
        </w:rPr>
        <w:t> </w:t>
      </w:r>
      <w:r w:rsidRPr="000E12A4">
        <w:rPr>
          <w:rFonts w:ascii="Times New Roman" w:hAnsi="Times New Roman"/>
          <w:i/>
          <w:iCs/>
          <w:sz w:val="24"/>
        </w:rPr>
        <w:t xml:space="preserve">Commonwealth </w:t>
      </w:r>
      <w:r w:rsidRPr="000E12A4">
        <w:rPr>
          <w:rFonts w:ascii="Times New Roman" w:hAnsi="Times New Roman"/>
          <w:sz w:val="24"/>
        </w:rPr>
        <w:t xml:space="preserve">(2003) 211 CLR 476 at 482-483 [5], 513-514 [103]-[104]; </w:t>
      </w:r>
      <w:r w:rsidRPr="000E12A4">
        <w:rPr>
          <w:rFonts w:ascii="Times New Roman" w:hAnsi="Times New Roman"/>
          <w:i/>
          <w:iCs/>
          <w:sz w:val="24"/>
        </w:rPr>
        <w:t xml:space="preserve">Bodruddaza v Minister for Immigration and Multicultural Affairs </w:t>
      </w:r>
      <w:r w:rsidRPr="000E12A4">
        <w:rPr>
          <w:rFonts w:ascii="Times New Roman" w:hAnsi="Times New Roman"/>
          <w:sz w:val="24"/>
        </w:rPr>
        <w:t>(2007) 228 CLR 651 at 668-669 [46</w:t>
      </w:r>
      <w:r w:rsidRPr="000E12A4" w:rsidDel="005339DB">
        <w:rPr>
          <w:rFonts w:ascii="Times New Roman" w:hAnsi="Times New Roman"/>
          <w:sz w:val="24"/>
        </w:rPr>
        <w:t>]</w:t>
      </w:r>
      <w:r w:rsidRPr="000E12A4">
        <w:rPr>
          <w:rFonts w:ascii="Times New Roman" w:hAnsi="Times New Roman"/>
          <w:sz w:val="24"/>
        </w:rPr>
        <w:t>.</w:t>
      </w:r>
    </w:p>
  </w:footnote>
  <w:footnote w:id="89">
    <w:p w14:paraId="6A5D16A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Plaintiff S157/2002 </w:t>
      </w:r>
      <w:r w:rsidRPr="000E12A4">
        <w:rPr>
          <w:rFonts w:ascii="Times New Roman" w:hAnsi="Times New Roman"/>
          <w:sz w:val="24"/>
        </w:rPr>
        <w:t>(2003) 211 CLR 476 at 513 [103].</w:t>
      </w:r>
    </w:p>
  </w:footnote>
  <w:footnote w:id="90">
    <w:p w14:paraId="103A6FD7"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Graham</w:t>
      </w:r>
      <w:r w:rsidRPr="000E12A4">
        <w:rPr>
          <w:rFonts w:ascii="Times New Roman" w:hAnsi="Times New Roman"/>
          <w:sz w:val="24"/>
        </w:rPr>
        <w:t xml:space="preserve"> (2017) 263 CLR 1 at 27 [48].</w:t>
      </w:r>
    </w:p>
  </w:footnote>
  <w:footnote w:id="91">
    <w:p w14:paraId="2CE151EA"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Graham</w:t>
      </w:r>
      <w:r w:rsidRPr="000E12A4">
        <w:rPr>
          <w:rFonts w:ascii="Times New Roman" w:hAnsi="Times New Roman"/>
          <w:sz w:val="24"/>
        </w:rPr>
        <w:t xml:space="preserve"> (2017) 263 CLR 1 at 27 [48].</w:t>
      </w:r>
    </w:p>
  </w:footnote>
  <w:footnote w:id="92">
    <w:p w14:paraId="5B104A6F"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(2007) 228 CLR 651 at 671 [53] (emphasis added).</w:t>
      </w:r>
    </w:p>
  </w:footnote>
  <w:footnote w:id="93">
    <w:p w14:paraId="1B0468A8" w14:textId="77777777" w:rsidR="000525DE" w:rsidRPr="000E12A4" w:rsidRDefault="000525DE" w:rsidP="000E12A4">
      <w:pPr>
        <w:pStyle w:val="FootnoteText"/>
        <w:spacing w:line="280" w:lineRule="exact"/>
        <w:ind w:right="0"/>
        <w:jc w:val="both"/>
        <w:rPr>
          <w:rFonts w:ascii="Times New Roman" w:hAnsi="Times New Roman"/>
          <w:b/>
          <w:bCs/>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Bank of NSW v The Commonwealth </w:t>
      </w:r>
      <w:r w:rsidRPr="000E12A4">
        <w:rPr>
          <w:rFonts w:ascii="Times New Roman" w:hAnsi="Times New Roman"/>
          <w:sz w:val="24"/>
        </w:rPr>
        <w:t xml:space="preserve">("the </w:t>
      </w:r>
      <w:r w:rsidRPr="000E12A4">
        <w:rPr>
          <w:rFonts w:ascii="Times New Roman" w:hAnsi="Times New Roman"/>
          <w:i/>
          <w:iCs/>
          <w:sz w:val="24"/>
        </w:rPr>
        <w:t>Bank Nationalisation Case</w:t>
      </w:r>
      <w:r w:rsidRPr="000E12A4">
        <w:rPr>
          <w:rFonts w:ascii="Times New Roman" w:hAnsi="Times New Roman"/>
          <w:sz w:val="24"/>
        </w:rPr>
        <w:t>")</w:t>
      </w:r>
      <w:r w:rsidRPr="000E12A4">
        <w:rPr>
          <w:rFonts w:ascii="Times New Roman" w:hAnsi="Times New Roman"/>
          <w:i/>
          <w:iCs/>
          <w:sz w:val="24"/>
        </w:rPr>
        <w:t xml:space="preserve"> </w:t>
      </w:r>
      <w:r w:rsidRPr="000E12A4">
        <w:rPr>
          <w:rFonts w:ascii="Times New Roman" w:hAnsi="Times New Roman"/>
          <w:sz w:val="24"/>
        </w:rPr>
        <w:t>(1948) 76 CLR 1 at 371.</w:t>
      </w:r>
    </w:p>
  </w:footnote>
  <w:footnote w:id="94">
    <w:p w14:paraId="132FB0D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Tajjour v New South Wales</w:t>
      </w:r>
      <w:r w:rsidRPr="000E12A4">
        <w:rPr>
          <w:rFonts w:ascii="Times New Roman" w:hAnsi="Times New Roman"/>
          <w:sz w:val="24"/>
        </w:rPr>
        <w:t xml:space="preserve"> (2014) 254 CLR 508 at 585-586 [169], citing </w:t>
      </w:r>
      <w:r w:rsidRPr="000E12A4">
        <w:rPr>
          <w:rFonts w:ascii="Times New Roman" w:hAnsi="Times New Roman"/>
          <w:i/>
          <w:sz w:val="24"/>
        </w:rPr>
        <w:t xml:space="preserve">Cam &amp; Sons Pty Ltd v The Chief Secretary </w:t>
      </w:r>
      <w:r w:rsidRPr="000E12A4">
        <w:rPr>
          <w:rFonts w:ascii="Times New Roman" w:hAnsi="Times New Roman"/>
          <w:i/>
          <w:iCs/>
          <w:sz w:val="24"/>
        </w:rPr>
        <w:t xml:space="preserve">of New South Wales </w:t>
      </w:r>
      <w:r w:rsidRPr="000E12A4">
        <w:rPr>
          <w:rFonts w:ascii="Times New Roman" w:hAnsi="Times New Roman"/>
          <w:sz w:val="24"/>
        </w:rPr>
        <w:t>(1951) 84 CLR 442 at 454.</w:t>
      </w:r>
    </w:p>
  </w:footnote>
  <w:footnote w:id="95">
    <w:p w14:paraId="279F668C"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Legislation Act</w:t>
      </w:r>
      <w:r w:rsidRPr="000E12A4">
        <w:rPr>
          <w:rFonts w:ascii="Times New Roman" w:hAnsi="Times New Roman"/>
          <w:sz w:val="24"/>
        </w:rPr>
        <w:t>, s 13(1)(a).</w:t>
      </w:r>
    </w:p>
  </w:footnote>
  <w:footnote w:id="96">
    <w:p w14:paraId="292DBECF"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See </w:t>
      </w:r>
      <w:r w:rsidRPr="000E12A4">
        <w:rPr>
          <w:rFonts w:ascii="Times New Roman" w:hAnsi="Times New Roman"/>
          <w:i/>
          <w:iCs/>
          <w:sz w:val="24"/>
        </w:rPr>
        <w:t xml:space="preserve">Palmer </w:t>
      </w:r>
      <w:r w:rsidRPr="000E12A4">
        <w:rPr>
          <w:rFonts w:ascii="Times New Roman" w:hAnsi="Times New Roman"/>
          <w:sz w:val="24"/>
        </w:rPr>
        <w:t xml:space="preserve">(2021) 272 CLR 505 at 547 [122]-[124]; </w:t>
      </w:r>
      <w:r w:rsidRPr="000E12A4">
        <w:rPr>
          <w:rFonts w:ascii="Times New Roman" w:hAnsi="Times New Roman"/>
          <w:i/>
          <w:iCs/>
          <w:sz w:val="24"/>
        </w:rPr>
        <w:t>YBFZ</w:t>
      </w:r>
      <w:r w:rsidRPr="000E12A4">
        <w:rPr>
          <w:rFonts w:ascii="Times New Roman" w:hAnsi="Times New Roman"/>
          <w:i/>
          <w:sz w:val="24"/>
        </w:rPr>
        <w:t xml:space="preserve"> </w:t>
      </w:r>
      <w:r w:rsidRPr="000E12A4">
        <w:rPr>
          <w:rFonts w:ascii="Times New Roman" w:hAnsi="Times New Roman"/>
          <w:i/>
          <w:iCs/>
          <w:sz w:val="24"/>
        </w:rPr>
        <w:t>v Minister for Immigration, Citizenship and Multicultural Affairs</w:t>
      </w:r>
      <w:r w:rsidRPr="000E12A4">
        <w:rPr>
          <w:rFonts w:ascii="Times New Roman" w:hAnsi="Times New Roman"/>
          <w:b/>
          <w:bCs/>
          <w:i/>
          <w:iCs/>
          <w:sz w:val="24"/>
        </w:rPr>
        <w:t xml:space="preserve"> </w:t>
      </w:r>
      <w:r w:rsidRPr="000E12A4">
        <w:rPr>
          <w:rFonts w:ascii="Times New Roman" w:hAnsi="Times New Roman"/>
          <w:sz w:val="24"/>
        </w:rPr>
        <w:t>(2024) 99 ALJR 1 at 12 [19]; 419 ALR 457 at 468.</w:t>
      </w:r>
    </w:p>
  </w:footnote>
  <w:footnote w:id="97">
    <w:p w14:paraId="5AFDDCA5"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(1943) 68 CLR 87.</w:t>
      </w:r>
    </w:p>
  </w:footnote>
  <w:footnote w:id="98">
    <w:p w14:paraId="580690CA" w14:textId="77777777" w:rsidR="000525DE" w:rsidRPr="000E12A4" w:rsidRDefault="000525DE" w:rsidP="000E12A4">
      <w:pPr>
        <w:pStyle w:val="FootnoteText"/>
        <w:spacing w:line="280" w:lineRule="exact"/>
        <w:ind w:right="0"/>
        <w:jc w:val="both"/>
        <w:rPr>
          <w:rFonts w:ascii="Times New Roman" w:hAnsi="Times New Roman"/>
          <w:i/>
          <w:iCs/>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Pidoto</w:t>
      </w:r>
      <w:r w:rsidRPr="000E12A4">
        <w:rPr>
          <w:rFonts w:ascii="Times New Roman" w:hAnsi="Times New Roman"/>
          <w:sz w:val="24"/>
        </w:rPr>
        <w:t xml:space="preserve"> (1943) 68 CLR 87 at 108.</w:t>
      </w:r>
    </w:p>
  </w:footnote>
  <w:footnote w:id="99">
    <w:p w14:paraId="0EED6FF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Bank Nationalisation Case</w:t>
      </w:r>
      <w:r w:rsidRPr="000E12A4" w:rsidDel="00836D18">
        <w:rPr>
          <w:rFonts w:ascii="Times New Roman" w:hAnsi="Times New Roman"/>
          <w:i/>
          <w:iCs/>
          <w:sz w:val="24"/>
        </w:rPr>
        <w:t xml:space="preserve"> </w:t>
      </w:r>
      <w:r w:rsidRPr="000E12A4">
        <w:rPr>
          <w:rFonts w:ascii="Times New Roman" w:hAnsi="Times New Roman"/>
          <w:sz w:val="24"/>
        </w:rPr>
        <w:t>(1948) 76 CLR 1 at 371.</w:t>
      </w:r>
    </w:p>
  </w:footnote>
  <w:footnote w:id="100">
    <w:p w14:paraId="45ED6E16"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AI Act, s 2(2).</w:t>
      </w:r>
    </w:p>
  </w:footnote>
  <w:footnote w:id="101">
    <w:p w14:paraId="40A5188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Pidoto</w:t>
      </w:r>
      <w:r w:rsidRPr="000E12A4">
        <w:rPr>
          <w:rFonts w:ascii="Times New Roman" w:hAnsi="Times New Roman"/>
          <w:sz w:val="24"/>
        </w:rPr>
        <w:t xml:space="preserve"> (1943) 68 CLR 87 at 111.</w:t>
      </w:r>
    </w:p>
  </w:footnote>
  <w:footnote w:id="102">
    <w:p w14:paraId="18AB11BE"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Victoria v The Commonwealth</w:t>
      </w:r>
      <w:r w:rsidRPr="000E12A4">
        <w:rPr>
          <w:rFonts w:ascii="Times New Roman" w:hAnsi="Times New Roman"/>
          <w:sz w:val="24"/>
        </w:rPr>
        <w:t xml:space="preserve"> </w:t>
      </w:r>
      <w:r w:rsidRPr="000E12A4">
        <w:rPr>
          <w:rFonts w:ascii="Times New Roman" w:hAnsi="Times New Roman"/>
          <w:i/>
          <w:iCs/>
          <w:sz w:val="24"/>
        </w:rPr>
        <w:t xml:space="preserve">(Industrial Relations Act Case) </w:t>
      </w:r>
      <w:r w:rsidRPr="000E12A4">
        <w:rPr>
          <w:rFonts w:ascii="Times New Roman" w:hAnsi="Times New Roman"/>
          <w:sz w:val="24"/>
        </w:rPr>
        <w:t xml:space="preserve">(1996) 187 CLR 416 at 502, quoting </w:t>
      </w:r>
      <w:r w:rsidRPr="000E12A4">
        <w:rPr>
          <w:rFonts w:ascii="Times New Roman" w:hAnsi="Times New Roman"/>
          <w:i/>
          <w:iCs/>
          <w:sz w:val="24"/>
        </w:rPr>
        <w:t xml:space="preserve">Pidoto </w:t>
      </w:r>
      <w:r w:rsidRPr="000E12A4">
        <w:rPr>
          <w:rFonts w:ascii="Times New Roman" w:hAnsi="Times New Roman"/>
          <w:sz w:val="24"/>
        </w:rPr>
        <w:t xml:space="preserve">(1943) 68 CLR 87 at 108. See also </w:t>
      </w:r>
      <w:r w:rsidRPr="000E12A4">
        <w:rPr>
          <w:rFonts w:ascii="Times New Roman" w:hAnsi="Times New Roman"/>
          <w:i/>
          <w:iCs/>
          <w:sz w:val="24"/>
        </w:rPr>
        <w:t xml:space="preserve">Bank Nationalisation Case </w:t>
      </w:r>
      <w:r w:rsidRPr="000E12A4">
        <w:rPr>
          <w:rFonts w:ascii="Times New Roman" w:hAnsi="Times New Roman"/>
          <w:sz w:val="24"/>
        </w:rPr>
        <w:t xml:space="preserve">(1948) 76 CLR 1 at 371; </w:t>
      </w:r>
      <w:r w:rsidRPr="000E12A4">
        <w:rPr>
          <w:rFonts w:ascii="Times New Roman" w:hAnsi="Times New Roman"/>
          <w:i/>
          <w:iCs/>
          <w:sz w:val="24"/>
        </w:rPr>
        <w:t xml:space="preserve">Spence v Queensland </w:t>
      </w:r>
      <w:r w:rsidRPr="000E12A4">
        <w:rPr>
          <w:rFonts w:ascii="Times New Roman" w:hAnsi="Times New Roman"/>
          <w:sz w:val="24"/>
        </w:rPr>
        <w:t xml:space="preserve">(2019) 268 CLR 355 at 414 [87]. </w:t>
      </w:r>
    </w:p>
  </w:footnote>
  <w:footnote w:id="103">
    <w:p w14:paraId="75D474EC"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Strickland v Rocla Concrete Pipes Ltd </w:t>
      </w:r>
      <w:r w:rsidRPr="000E12A4">
        <w:rPr>
          <w:rFonts w:ascii="Times New Roman" w:hAnsi="Times New Roman"/>
          <w:sz w:val="24"/>
        </w:rPr>
        <w:t>(1971) 124 CLR 468 at 493.</w:t>
      </w:r>
    </w:p>
  </w:footnote>
  <w:footnote w:id="104">
    <w:p w14:paraId="729665D6"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Pidoto</w:t>
      </w:r>
      <w:r w:rsidRPr="000E12A4">
        <w:rPr>
          <w:rFonts w:ascii="Times New Roman" w:hAnsi="Times New Roman"/>
          <w:sz w:val="24"/>
        </w:rPr>
        <w:t xml:space="preserve"> (1943) 68 CLR 87 at 111.</w:t>
      </w:r>
    </w:p>
  </w:footnote>
  <w:footnote w:id="105">
    <w:p w14:paraId="0ECDB65C"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Pidoto</w:t>
      </w:r>
      <w:r w:rsidRPr="000E12A4">
        <w:rPr>
          <w:rFonts w:ascii="Times New Roman" w:hAnsi="Times New Roman"/>
          <w:sz w:val="24"/>
        </w:rPr>
        <w:t xml:space="preserve"> (1943) 68 CLR 87 at 111. See </w:t>
      </w:r>
      <w:r w:rsidRPr="000E12A4">
        <w:rPr>
          <w:rFonts w:ascii="Times New Roman" w:hAnsi="Times New Roman"/>
          <w:i/>
          <w:iCs/>
          <w:sz w:val="24"/>
        </w:rPr>
        <w:t xml:space="preserve">Spence </w:t>
      </w:r>
      <w:r w:rsidRPr="000E12A4">
        <w:rPr>
          <w:rFonts w:ascii="Times New Roman" w:hAnsi="Times New Roman"/>
          <w:sz w:val="24"/>
        </w:rPr>
        <w:t>(2019) 268 CLR 355 at 414-415 [87]. See also s 15AA of the AI Act.</w:t>
      </w:r>
    </w:p>
  </w:footnote>
  <w:footnote w:id="106">
    <w:p w14:paraId="04D9A56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Pidoto</w:t>
      </w:r>
      <w:r w:rsidRPr="000E12A4">
        <w:rPr>
          <w:rFonts w:ascii="Times New Roman" w:hAnsi="Times New Roman"/>
          <w:sz w:val="24"/>
        </w:rPr>
        <w:t xml:space="preserve"> (1943) 68 CLR 87 at 111. See also </w:t>
      </w:r>
      <w:r w:rsidRPr="000E12A4">
        <w:rPr>
          <w:rFonts w:ascii="Times New Roman" w:hAnsi="Times New Roman"/>
          <w:i/>
          <w:iCs/>
          <w:sz w:val="24"/>
        </w:rPr>
        <w:t xml:space="preserve">Spence </w:t>
      </w:r>
      <w:r w:rsidRPr="000E12A4">
        <w:rPr>
          <w:rFonts w:ascii="Times New Roman" w:hAnsi="Times New Roman"/>
          <w:sz w:val="24"/>
        </w:rPr>
        <w:t xml:space="preserve">(2019) 268 CLR 355 at 415 [87]. </w:t>
      </w:r>
    </w:p>
  </w:footnote>
  <w:footnote w:id="107">
    <w:p w14:paraId="2CAAA91F"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(1996) 187 CLR 416 at 502.</w:t>
      </w:r>
    </w:p>
  </w:footnote>
  <w:footnote w:id="108">
    <w:p w14:paraId="2A26E227"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Industrial Relations Act Case</w:t>
      </w:r>
      <w:r w:rsidRPr="000E12A4">
        <w:rPr>
          <w:rFonts w:ascii="Times New Roman" w:hAnsi="Times New Roman"/>
          <w:sz w:val="24"/>
        </w:rPr>
        <w:t xml:space="preserve"> (1996) 187 CLR 416 at 502.</w:t>
      </w:r>
    </w:p>
  </w:footnote>
  <w:footnote w:id="109">
    <w:p w14:paraId="30BECE7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Industrial Relations Act Case</w:t>
      </w:r>
      <w:r w:rsidRPr="000E12A4">
        <w:rPr>
          <w:rFonts w:ascii="Times New Roman" w:hAnsi="Times New Roman"/>
          <w:sz w:val="24"/>
        </w:rPr>
        <w:t xml:space="preserve"> (1996) 187 CLR 416 at 502-503.</w:t>
      </w:r>
    </w:p>
  </w:footnote>
  <w:footnote w:id="110">
    <w:p w14:paraId="23041622"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Industrial Relations Act Case</w:t>
      </w:r>
      <w:r w:rsidRPr="000E12A4">
        <w:rPr>
          <w:rFonts w:ascii="Times New Roman" w:hAnsi="Times New Roman"/>
          <w:sz w:val="24"/>
        </w:rPr>
        <w:t xml:space="preserve"> (1996) 187 CLR 416 at 503, referring to </w:t>
      </w:r>
      <w:r w:rsidRPr="000E12A4">
        <w:rPr>
          <w:rFonts w:ascii="Times New Roman" w:hAnsi="Times New Roman"/>
          <w:i/>
          <w:iCs/>
          <w:sz w:val="24"/>
        </w:rPr>
        <w:t>Re Australian Education Union; Ex parte Victoria</w:t>
      </w:r>
      <w:r w:rsidRPr="000E12A4">
        <w:rPr>
          <w:rFonts w:ascii="Times New Roman" w:hAnsi="Times New Roman"/>
          <w:sz w:val="24"/>
        </w:rPr>
        <w:t xml:space="preserve"> (1995) 184 CLR 188.</w:t>
      </w:r>
    </w:p>
  </w:footnote>
  <w:footnote w:id="111">
    <w:p w14:paraId="6ED1DAD5"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Industrial Relations Act Case</w:t>
      </w:r>
      <w:r w:rsidRPr="000E12A4">
        <w:rPr>
          <w:rFonts w:ascii="Times New Roman" w:hAnsi="Times New Roman"/>
          <w:sz w:val="24"/>
        </w:rPr>
        <w:t xml:space="preserve"> (1996) 187 CLR 416 at 503.</w:t>
      </w:r>
    </w:p>
  </w:footnote>
  <w:footnote w:id="112">
    <w:p w14:paraId="03C51E56"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(2014) 254 CLR 508 at 576 [138].</w:t>
      </w:r>
    </w:p>
  </w:footnote>
  <w:footnote w:id="113">
    <w:p w14:paraId="3C296D95"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Tajjour </w:t>
      </w:r>
      <w:r w:rsidRPr="000E12A4">
        <w:rPr>
          <w:rFonts w:ascii="Times New Roman" w:hAnsi="Times New Roman"/>
          <w:sz w:val="24"/>
        </w:rPr>
        <w:t>(2014) 254 CLR 508 at 586 [171], 589 [178].</w:t>
      </w:r>
    </w:p>
  </w:footnote>
  <w:footnote w:id="114">
    <w:p w14:paraId="1C5DCAA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Tajjour </w:t>
      </w:r>
      <w:r w:rsidRPr="000E12A4">
        <w:rPr>
          <w:rFonts w:ascii="Times New Roman" w:hAnsi="Times New Roman"/>
          <w:sz w:val="24"/>
        </w:rPr>
        <w:t>(2014) 254 CLR 508 at 589 [178].</w:t>
      </w:r>
    </w:p>
  </w:footnote>
  <w:footnote w:id="115">
    <w:p w14:paraId="5533C36D"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Tajjour </w:t>
      </w:r>
      <w:r w:rsidRPr="000E12A4">
        <w:rPr>
          <w:rFonts w:ascii="Times New Roman" w:hAnsi="Times New Roman"/>
          <w:sz w:val="24"/>
        </w:rPr>
        <w:t>(2014) 254 CLR 508 at 586 [171] (footnotes omitted); see also 586-587 [172] and the authorities cited.</w:t>
      </w:r>
    </w:p>
  </w:footnote>
  <w:footnote w:id="116">
    <w:p w14:paraId="3DDD223C"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(2017) 263 CLR 1 at 32-33 [66].</w:t>
      </w:r>
    </w:p>
  </w:footnote>
  <w:footnote w:id="117">
    <w:p w14:paraId="6777386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Graham</w:t>
      </w:r>
      <w:r w:rsidRPr="000E12A4">
        <w:rPr>
          <w:rFonts w:ascii="Times New Roman" w:hAnsi="Times New Roman"/>
          <w:sz w:val="24"/>
        </w:rPr>
        <w:t xml:space="preserve"> (2017) 263 CLR 1 at 33 [66].</w:t>
      </w:r>
    </w:p>
  </w:footnote>
  <w:footnote w:id="118">
    <w:p w14:paraId="63BAC03F"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Industrial Relations Act Case</w:t>
      </w:r>
      <w:r w:rsidRPr="000E12A4">
        <w:rPr>
          <w:rFonts w:ascii="Times New Roman" w:hAnsi="Times New Roman"/>
          <w:sz w:val="24"/>
        </w:rPr>
        <w:t xml:space="preserve"> (1996) 187 CLR 416 at 503.</w:t>
      </w:r>
    </w:p>
  </w:footnote>
  <w:footnote w:id="119">
    <w:p w14:paraId="0E6E170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AS Act, s 4 definition of "asset".</w:t>
      </w:r>
    </w:p>
  </w:footnote>
  <w:footnote w:id="120">
    <w:p w14:paraId="3075BE0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Regulations, reg 20(3)(b)(vii) and (viii).</w:t>
      </w:r>
    </w:p>
  </w:footnote>
  <w:footnote w:id="121">
    <w:p w14:paraId="300820FC"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Tajjour </w:t>
      </w:r>
      <w:r w:rsidRPr="000E12A4">
        <w:rPr>
          <w:rFonts w:ascii="Times New Roman" w:hAnsi="Times New Roman"/>
          <w:sz w:val="24"/>
        </w:rPr>
        <w:t>(2014) 254 CLR 508 at 586 [171].</w:t>
      </w:r>
    </w:p>
  </w:footnote>
  <w:footnote w:id="122">
    <w:p w14:paraId="42E6227D"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Austin v The Commonwealth</w:t>
      </w:r>
      <w:r w:rsidRPr="000E12A4">
        <w:rPr>
          <w:rFonts w:ascii="Times New Roman" w:hAnsi="Times New Roman"/>
          <w:sz w:val="24"/>
        </w:rPr>
        <w:t xml:space="preserve"> (2003) 215 CLR 185 at 249 [124].</w:t>
      </w:r>
    </w:p>
  </w:footnote>
  <w:footnote w:id="123">
    <w:p w14:paraId="11C5DF1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(2014) 254 CLR 508 at 589 [178] (emphasis added).</w:t>
      </w:r>
    </w:p>
  </w:footnote>
  <w:footnote w:id="124">
    <w:p w14:paraId="6F0B57D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See, eg, </w:t>
      </w:r>
      <w:r w:rsidRPr="000E12A4">
        <w:rPr>
          <w:rFonts w:ascii="Times New Roman" w:hAnsi="Times New Roman"/>
          <w:i/>
          <w:iCs/>
          <w:sz w:val="24"/>
        </w:rPr>
        <w:t xml:space="preserve">Re Nolan; Ex parte Young </w:t>
      </w:r>
      <w:r w:rsidRPr="000E12A4">
        <w:rPr>
          <w:rFonts w:ascii="Times New Roman" w:hAnsi="Times New Roman"/>
          <w:sz w:val="24"/>
        </w:rPr>
        <w:t>(1991) 172 CLR 460 at 487</w:t>
      </w:r>
      <w:r w:rsidRPr="000E12A4">
        <w:rPr>
          <w:rFonts w:ascii="Times New Roman" w:hAnsi="Times New Roman"/>
          <w:sz w:val="24"/>
        </w:rPr>
        <w:noBreakHyphen/>
        <w:t>488. See also</w:t>
      </w:r>
      <w:r w:rsidRPr="000E12A4" w:rsidDel="007B15DF">
        <w:rPr>
          <w:rFonts w:ascii="Times New Roman" w:hAnsi="Times New Roman"/>
          <w:sz w:val="24"/>
        </w:rPr>
        <w:t xml:space="preserve"> </w:t>
      </w:r>
      <w:r w:rsidRPr="000E12A4">
        <w:rPr>
          <w:rFonts w:ascii="Times New Roman" w:hAnsi="Times New Roman"/>
          <w:i/>
          <w:iCs/>
          <w:sz w:val="24"/>
        </w:rPr>
        <w:t xml:space="preserve">Carter v The Potato Marketing Board </w:t>
      </w:r>
      <w:r w:rsidRPr="000E12A4">
        <w:rPr>
          <w:rFonts w:ascii="Times New Roman" w:hAnsi="Times New Roman"/>
          <w:sz w:val="24"/>
        </w:rPr>
        <w:t xml:space="preserve">(1951) 84 CLR 460 at 484; </w:t>
      </w:r>
      <w:r w:rsidRPr="000E12A4">
        <w:rPr>
          <w:rFonts w:ascii="Times New Roman" w:hAnsi="Times New Roman"/>
          <w:i/>
          <w:iCs/>
          <w:sz w:val="24"/>
        </w:rPr>
        <w:t>Nominal Defendant v Dunstan</w:t>
      </w:r>
      <w:r w:rsidRPr="000E12A4">
        <w:rPr>
          <w:rFonts w:ascii="Times New Roman" w:hAnsi="Times New Roman"/>
          <w:sz w:val="24"/>
        </w:rPr>
        <w:t xml:space="preserve"> (1963) 109 CLR 143 at 151-152; </w:t>
      </w:r>
      <w:r w:rsidRPr="000E12A4">
        <w:rPr>
          <w:rFonts w:ascii="Times New Roman" w:hAnsi="Times New Roman"/>
          <w:i/>
          <w:iCs/>
          <w:sz w:val="24"/>
        </w:rPr>
        <w:t xml:space="preserve">Bourke v State Bank of New South Wales </w:t>
      </w:r>
      <w:r w:rsidRPr="000E12A4">
        <w:rPr>
          <w:rFonts w:ascii="Times New Roman" w:hAnsi="Times New Roman"/>
          <w:sz w:val="24"/>
        </w:rPr>
        <w:t>(1990) 170 CLR 276 at 291-292.</w:t>
      </w:r>
    </w:p>
  </w:footnote>
  <w:footnote w:id="125">
    <w:p w14:paraId="21364DBE"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See </w:t>
      </w:r>
      <w:r w:rsidRPr="000E12A4">
        <w:rPr>
          <w:rFonts w:ascii="Times New Roman" w:hAnsi="Times New Roman"/>
          <w:i/>
          <w:iCs/>
          <w:sz w:val="24"/>
        </w:rPr>
        <w:t>Wentworth</w:t>
      </w:r>
      <w:r w:rsidRPr="000E12A4">
        <w:rPr>
          <w:rFonts w:ascii="Times New Roman" w:hAnsi="Times New Roman"/>
          <w:b/>
          <w:bCs/>
          <w:i/>
          <w:iCs/>
          <w:sz w:val="24"/>
        </w:rPr>
        <w:t xml:space="preserve"> </w:t>
      </w:r>
      <w:r w:rsidRPr="000E12A4">
        <w:rPr>
          <w:rFonts w:ascii="Times New Roman" w:hAnsi="Times New Roman"/>
          <w:i/>
          <w:iCs/>
          <w:sz w:val="24"/>
        </w:rPr>
        <w:t xml:space="preserve">v De Montfort </w:t>
      </w:r>
      <w:r w:rsidRPr="000E12A4">
        <w:rPr>
          <w:rFonts w:ascii="Times New Roman" w:hAnsi="Times New Roman"/>
          <w:sz w:val="24"/>
        </w:rPr>
        <w:t>(1988) 15 NSWLR 348 at 353.</w:t>
      </w:r>
    </w:p>
  </w:footnote>
  <w:footnote w:id="126">
    <w:p w14:paraId="3B513C2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See AS Act, s 16(1</w:t>
      </w:r>
      <w:r w:rsidRPr="000E12A4" w:rsidDel="007B6B09">
        <w:rPr>
          <w:rFonts w:ascii="Times New Roman" w:hAnsi="Times New Roman"/>
          <w:sz w:val="24"/>
        </w:rPr>
        <w:t>)</w:t>
      </w:r>
      <w:r w:rsidRPr="000E12A4">
        <w:rPr>
          <w:rFonts w:ascii="Times New Roman" w:hAnsi="Times New Roman"/>
          <w:sz w:val="24"/>
        </w:rPr>
        <w:t xml:space="preserve">; Regulations, reg 14(1)(a); </w:t>
      </w:r>
      <w:r w:rsidRPr="000E12A4">
        <w:rPr>
          <w:rFonts w:ascii="Times New Roman" w:hAnsi="Times New Roman"/>
          <w:i/>
          <w:iCs/>
          <w:sz w:val="24"/>
        </w:rPr>
        <w:t>Criminal Code</w:t>
      </w:r>
      <w:r w:rsidRPr="000E12A4">
        <w:rPr>
          <w:rFonts w:ascii="Times New Roman" w:hAnsi="Times New Roman"/>
          <w:sz w:val="24"/>
        </w:rPr>
        <w:t xml:space="preserve"> (Cth), s 5.6(2).</w:t>
      </w:r>
    </w:p>
  </w:footnote>
  <w:footnote w:id="127">
    <w:p w14:paraId="367C8A1E"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AS Act, s 16(1); Regulations, reg 15(1)(a</w:t>
      </w:r>
      <w:r w:rsidRPr="000E12A4" w:rsidDel="007B6B09">
        <w:rPr>
          <w:rFonts w:ascii="Times New Roman" w:hAnsi="Times New Roman"/>
          <w:sz w:val="24"/>
        </w:rPr>
        <w:t>)</w:t>
      </w:r>
      <w:r w:rsidRPr="000E12A4">
        <w:rPr>
          <w:rFonts w:ascii="Times New Roman" w:hAnsi="Times New Roman"/>
          <w:sz w:val="24"/>
        </w:rPr>
        <w:t xml:space="preserve"> and (b)(i).</w:t>
      </w:r>
    </w:p>
  </w:footnote>
  <w:footnote w:id="128">
    <w:p w14:paraId="62CB695A"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See </w:t>
      </w:r>
      <w:r w:rsidRPr="000E12A4">
        <w:rPr>
          <w:rFonts w:ascii="Times New Roman" w:hAnsi="Times New Roman"/>
          <w:i/>
          <w:iCs/>
          <w:sz w:val="24"/>
        </w:rPr>
        <w:t xml:space="preserve">Bodruddaza </w:t>
      </w:r>
      <w:r w:rsidRPr="000E12A4">
        <w:rPr>
          <w:rFonts w:ascii="Times New Roman" w:hAnsi="Times New Roman"/>
          <w:sz w:val="24"/>
        </w:rPr>
        <w:t>(2007) 228 CLR 651 at 671 [53].</w:t>
      </w:r>
    </w:p>
  </w:footnote>
  <w:footnote w:id="129">
    <w:p w14:paraId="30959456"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Tajjour </w:t>
      </w:r>
      <w:r w:rsidRPr="000E12A4">
        <w:rPr>
          <w:rFonts w:ascii="Times New Roman" w:hAnsi="Times New Roman"/>
          <w:sz w:val="24"/>
        </w:rPr>
        <w:t>(2014) 254 CLR 508 at 586 [171].</w:t>
      </w:r>
    </w:p>
  </w:footnote>
  <w:footnote w:id="130">
    <w:p w14:paraId="75687DA2"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(1996) 187 CLR 416 at 562.</w:t>
      </w:r>
    </w:p>
  </w:footnote>
  <w:footnote w:id="131">
    <w:p w14:paraId="44A89A40"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cf [</w:t>
      </w:r>
      <w:r>
        <w:rPr>
          <w:rFonts w:ascii="Times New Roman" w:hAnsi="Times New Roman"/>
          <w:sz w:val="24"/>
        </w:rPr>
        <w:t>53</w:t>
      </w:r>
      <w:r w:rsidRPr="000E12A4">
        <w:rPr>
          <w:rFonts w:ascii="Times New Roman" w:hAnsi="Times New Roman"/>
          <w:sz w:val="24"/>
        </w:rPr>
        <w:t>] above.</w:t>
      </w:r>
    </w:p>
  </w:footnote>
  <w:footnote w:id="132">
    <w:p w14:paraId="13326065"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Criminal Code</w:t>
      </w:r>
      <w:r w:rsidRPr="000E12A4">
        <w:rPr>
          <w:rFonts w:ascii="Times New Roman" w:hAnsi="Times New Roman"/>
          <w:sz w:val="24"/>
        </w:rPr>
        <w:t xml:space="preserve"> (Cth), s 5.6(1).</w:t>
      </w:r>
    </w:p>
  </w:footnote>
  <w:footnote w:id="133">
    <w:p w14:paraId="0EA8BFB0"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Farm Transparency</w:t>
      </w:r>
      <w:r w:rsidRPr="000E12A4">
        <w:rPr>
          <w:rFonts w:ascii="Times New Roman" w:hAnsi="Times New Roman"/>
          <w:sz w:val="24"/>
        </w:rPr>
        <w:t xml:space="preserve"> (2022) 277 CLR 537 at 549-550 [20], 576-577 [114]-[116], 602-603 [208] and the authorities cited. Cf </w:t>
      </w:r>
      <w:r w:rsidRPr="000E12A4">
        <w:rPr>
          <w:rFonts w:ascii="Times New Roman" w:hAnsi="Times New Roman"/>
          <w:i/>
          <w:iCs/>
          <w:sz w:val="24"/>
        </w:rPr>
        <w:t xml:space="preserve">Zhang v Commissioner of the Australian Federal Police </w:t>
      </w:r>
      <w:r w:rsidRPr="000E12A4">
        <w:rPr>
          <w:rFonts w:ascii="Times New Roman" w:hAnsi="Times New Roman"/>
          <w:sz w:val="24"/>
        </w:rPr>
        <w:t>(2021) 273 CLR 216 at 230 [22]-[23] and the authorities cited.</w:t>
      </w:r>
    </w:p>
  </w:footnote>
  <w:footnote w:id="134">
    <w:p w14:paraId="7ACE70DE"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(2021) 274 CLR 219 at 248 [57].</w:t>
      </w:r>
    </w:p>
  </w:footnote>
  <w:footnote w:id="135">
    <w:p w14:paraId="5CCCDBC0"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Mineralogy </w:t>
      </w:r>
      <w:r w:rsidRPr="000E12A4">
        <w:rPr>
          <w:rFonts w:ascii="Times New Roman" w:hAnsi="Times New Roman"/>
          <w:sz w:val="24"/>
        </w:rPr>
        <w:t xml:space="preserve">(2021) 274 CLR 219 at 248 [58], quoting </w:t>
      </w:r>
      <w:r w:rsidRPr="000E12A4">
        <w:rPr>
          <w:rFonts w:ascii="Times New Roman" w:hAnsi="Times New Roman"/>
          <w:i/>
          <w:iCs/>
          <w:sz w:val="24"/>
        </w:rPr>
        <w:t xml:space="preserve">Clubb </w:t>
      </w:r>
      <w:r w:rsidRPr="000E12A4">
        <w:rPr>
          <w:rFonts w:ascii="Times New Roman" w:hAnsi="Times New Roman"/>
          <w:sz w:val="24"/>
        </w:rPr>
        <w:t>(2019) 267 CLR 171 at 217 [137].</w:t>
      </w:r>
    </w:p>
  </w:footnote>
  <w:footnote w:id="136">
    <w:p w14:paraId="3A172C3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Mineralogy </w:t>
      </w:r>
      <w:r w:rsidRPr="000E12A4">
        <w:rPr>
          <w:rFonts w:ascii="Times New Roman" w:hAnsi="Times New Roman"/>
          <w:sz w:val="24"/>
        </w:rPr>
        <w:t>(2021) 274 CLR 219 at 248-249 [59]-[60].</w:t>
      </w:r>
    </w:p>
  </w:footnote>
  <w:footnote w:id="137">
    <w:p w14:paraId="26072CA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Mineralogy </w:t>
      </w:r>
      <w:r w:rsidRPr="000E12A4">
        <w:rPr>
          <w:rFonts w:ascii="Times New Roman" w:hAnsi="Times New Roman"/>
          <w:sz w:val="24"/>
        </w:rPr>
        <w:t xml:space="preserve">(2021) 274 CLR 219 at 248 [59], quoting </w:t>
      </w:r>
      <w:r w:rsidRPr="000E12A4">
        <w:rPr>
          <w:rFonts w:ascii="Times New Roman" w:hAnsi="Times New Roman"/>
          <w:i/>
          <w:iCs/>
          <w:sz w:val="24"/>
        </w:rPr>
        <w:t xml:space="preserve">Knight v Victoria </w:t>
      </w:r>
      <w:r w:rsidRPr="000E12A4">
        <w:rPr>
          <w:rFonts w:ascii="Times New Roman" w:hAnsi="Times New Roman"/>
          <w:sz w:val="24"/>
        </w:rPr>
        <w:t xml:space="preserve">(2017) 261 CLR 306 at 325 [33], in turn quoting </w:t>
      </w:r>
      <w:r w:rsidRPr="000E12A4">
        <w:rPr>
          <w:rFonts w:ascii="Times New Roman" w:hAnsi="Times New Roman"/>
          <w:i/>
          <w:iCs/>
          <w:sz w:val="24"/>
        </w:rPr>
        <w:t>The Real Estate Institute of NSW v Blair</w:t>
      </w:r>
      <w:r w:rsidRPr="000E12A4">
        <w:rPr>
          <w:rFonts w:ascii="Times New Roman" w:hAnsi="Times New Roman"/>
          <w:sz w:val="24"/>
        </w:rPr>
        <w:t xml:space="preserve"> (1946) 73 CLR 213 at 227.</w:t>
      </w:r>
    </w:p>
  </w:footnote>
  <w:footnote w:id="138">
    <w:p w14:paraId="7C495FEE"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Mineralogy </w:t>
      </w:r>
      <w:r w:rsidRPr="000E12A4">
        <w:rPr>
          <w:rFonts w:ascii="Times New Roman" w:hAnsi="Times New Roman"/>
          <w:sz w:val="24"/>
        </w:rPr>
        <w:t xml:space="preserve">(2021) 274 CLR 219 at 248-249 [59], quoting </w:t>
      </w:r>
      <w:r w:rsidRPr="000E12A4">
        <w:rPr>
          <w:rFonts w:ascii="Times New Roman" w:hAnsi="Times New Roman"/>
          <w:i/>
          <w:iCs/>
          <w:sz w:val="24"/>
        </w:rPr>
        <w:t xml:space="preserve">Knight </w:t>
      </w:r>
      <w:r w:rsidRPr="000E12A4">
        <w:rPr>
          <w:rFonts w:ascii="Times New Roman" w:hAnsi="Times New Roman"/>
          <w:sz w:val="24"/>
        </w:rPr>
        <w:t xml:space="preserve">(2017) 261 CLR 306 at 324 [33]. See also </w:t>
      </w:r>
      <w:r w:rsidRPr="000E12A4">
        <w:rPr>
          <w:rFonts w:ascii="Times New Roman" w:hAnsi="Times New Roman"/>
          <w:i/>
          <w:iCs/>
          <w:sz w:val="24"/>
        </w:rPr>
        <w:t>Mineralogy</w:t>
      </w:r>
      <w:r w:rsidRPr="000E12A4">
        <w:rPr>
          <w:rFonts w:ascii="Times New Roman" w:hAnsi="Times New Roman"/>
          <w:sz w:val="24"/>
        </w:rPr>
        <w:t xml:space="preserve"> (2021) 274 CLR 219 at 262 [107].</w:t>
      </w:r>
    </w:p>
  </w:footnote>
  <w:footnote w:id="139">
    <w:p w14:paraId="25F21610"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Mineralogy </w:t>
      </w:r>
      <w:r w:rsidRPr="000E12A4">
        <w:rPr>
          <w:rFonts w:ascii="Times New Roman" w:hAnsi="Times New Roman"/>
          <w:sz w:val="24"/>
        </w:rPr>
        <w:t>(2021) 274 CLR 219 at 249 [60].</w:t>
      </w:r>
    </w:p>
  </w:footnote>
  <w:footnote w:id="140">
    <w:p w14:paraId="53452D2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Mineralogy </w:t>
      </w:r>
      <w:r w:rsidRPr="000E12A4">
        <w:rPr>
          <w:rFonts w:ascii="Times New Roman" w:hAnsi="Times New Roman"/>
          <w:sz w:val="24"/>
        </w:rPr>
        <w:t>(2021) 274 CLR 219 at 249 [60].</w:t>
      </w:r>
    </w:p>
  </w:footnote>
  <w:footnote w:id="141">
    <w:p w14:paraId="1FE29DC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Smethurst v Commissioner of the Australian Federal Police </w:t>
      </w:r>
      <w:r w:rsidRPr="000E12A4">
        <w:rPr>
          <w:rFonts w:ascii="Times New Roman" w:hAnsi="Times New Roman"/>
          <w:sz w:val="24"/>
        </w:rPr>
        <w:t>(2020) 272 CLR 177 at 225 [112], 249 [176]; cf 206 [48], 219-221 [94]-[98], 238 [146], 266-271 [229]</w:t>
      </w:r>
      <w:r>
        <w:rPr>
          <w:rFonts w:ascii="Times New Roman" w:hAnsi="Times New Roman"/>
          <w:sz w:val="24"/>
        </w:rPr>
        <w:noBreakHyphen/>
      </w:r>
      <w:r w:rsidRPr="000E12A4">
        <w:rPr>
          <w:rFonts w:ascii="Times New Roman" w:hAnsi="Times New Roman"/>
          <w:sz w:val="24"/>
        </w:rPr>
        <w:t xml:space="preserve">[239]. </w:t>
      </w:r>
    </w:p>
  </w:footnote>
  <w:footnote w:id="142">
    <w:p w14:paraId="53CC400C"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See </w:t>
      </w:r>
      <w:r w:rsidRPr="000E12A4">
        <w:rPr>
          <w:rFonts w:ascii="Times New Roman" w:hAnsi="Times New Roman"/>
          <w:i/>
          <w:iCs/>
          <w:sz w:val="24"/>
        </w:rPr>
        <w:t xml:space="preserve">Smethurst </w:t>
      </w:r>
      <w:r w:rsidRPr="000E12A4">
        <w:rPr>
          <w:rFonts w:ascii="Times New Roman" w:hAnsi="Times New Roman"/>
          <w:sz w:val="24"/>
        </w:rPr>
        <w:t>(2020) 272 CLR 177 at 225 [112], 247-252 [171]-[182].</w:t>
      </w:r>
    </w:p>
  </w:footnote>
  <w:footnote w:id="143">
    <w:p w14:paraId="5DC1FB40"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(1992) 177 CLR 292 at 298, 326-329, 332, 357-358, 362-365.</w:t>
      </w:r>
    </w:p>
  </w:footnote>
  <w:footnote w:id="144">
    <w:p w14:paraId="75D0BFDB"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Dietrich </w:t>
      </w:r>
      <w:r w:rsidRPr="000E12A4">
        <w:rPr>
          <w:rFonts w:ascii="Times New Roman" w:hAnsi="Times New Roman"/>
          <w:sz w:val="24"/>
        </w:rPr>
        <w:t>(1992) 177 CLR 292 at 298.</w:t>
      </w:r>
    </w:p>
  </w:footnote>
  <w:footnote w:id="145">
    <w:p w14:paraId="645D2D3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AS Act, s 16(3); </w:t>
      </w:r>
      <w:r w:rsidRPr="000E12A4">
        <w:rPr>
          <w:rFonts w:ascii="Times New Roman" w:hAnsi="Times New Roman"/>
          <w:i/>
          <w:iCs/>
          <w:sz w:val="24"/>
        </w:rPr>
        <w:t>Crimes Act 1914</w:t>
      </w:r>
      <w:r w:rsidRPr="000E12A4">
        <w:rPr>
          <w:rFonts w:ascii="Times New Roman" w:hAnsi="Times New Roman"/>
          <w:sz w:val="24"/>
        </w:rPr>
        <w:t xml:space="preserve"> (Cth), s 4G.</w:t>
      </w:r>
    </w:p>
  </w:footnote>
  <w:footnote w:id="146">
    <w:p w14:paraId="659B9BB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See </w:t>
      </w:r>
      <w:r w:rsidRPr="000E12A4">
        <w:rPr>
          <w:rFonts w:ascii="Times New Roman" w:hAnsi="Times New Roman"/>
          <w:i/>
          <w:iCs/>
          <w:sz w:val="24"/>
        </w:rPr>
        <w:t xml:space="preserve">Dietrich </w:t>
      </w:r>
      <w:r w:rsidRPr="000E12A4">
        <w:rPr>
          <w:rFonts w:ascii="Times New Roman" w:hAnsi="Times New Roman"/>
          <w:sz w:val="24"/>
        </w:rPr>
        <w:t>(1992) 177 CLR 292 at 336.</w:t>
      </w:r>
    </w:p>
  </w:footnote>
  <w:footnote w:id="147">
    <w:p w14:paraId="1DB1E9C4"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(2005) 224 CLR 322.</w:t>
      </w:r>
    </w:p>
  </w:footnote>
  <w:footnote w:id="148">
    <w:p w14:paraId="4D61CAB6"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APLA </w:t>
      </w:r>
      <w:r w:rsidRPr="000E12A4">
        <w:rPr>
          <w:rFonts w:ascii="Times New Roman" w:hAnsi="Times New Roman"/>
          <w:sz w:val="24"/>
        </w:rPr>
        <w:t>(2005) 224 CLR 322 at 441 [350].</w:t>
      </w:r>
    </w:p>
  </w:footnote>
  <w:footnote w:id="149">
    <w:p w14:paraId="3BAA7F0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APLA </w:t>
      </w:r>
      <w:r w:rsidRPr="000E12A4">
        <w:rPr>
          <w:rFonts w:ascii="Times New Roman" w:hAnsi="Times New Roman"/>
          <w:sz w:val="24"/>
        </w:rPr>
        <w:t>(2005) 224 CLR 322 at 369 [87].</w:t>
      </w:r>
    </w:p>
  </w:footnote>
  <w:footnote w:id="150">
    <w:p w14:paraId="16D84AB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APLA </w:t>
      </w:r>
      <w:r w:rsidRPr="000E12A4">
        <w:rPr>
          <w:rFonts w:ascii="Times New Roman" w:hAnsi="Times New Roman"/>
          <w:sz w:val="24"/>
        </w:rPr>
        <w:t>(2005) 224 CLR 322 at 369 [87].</w:t>
      </w:r>
    </w:p>
  </w:footnote>
  <w:footnote w:id="151">
    <w:p w14:paraId="02B75581"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APLA </w:t>
      </w:r>
      <w:r w:rsidRPr="000E12A4">
        <w:rPr>
          <w:rFonts w:ascii="Times New Roman" w:hAnsi="Times New Roman"/>
          <w:sz w:val="24"/>
        </w:rPr>
        <w:t xml:space="preserve">(2005) 224 CLR 322 at 368 [84], citing </w:t>
      </w:r>
      <w:r w:rsidRPr="000E12A4">
        <w:rPr>
          <w:rFonts w:ascii="Times New Roman" w:hAnsi="Times New Roman"/>
          <w:i/>
          <w:iCs/>
          <w:sz w:val="24"/>
        </w:rPr>
        <w:t xml:space="preserve">Polyukhovich v The Commonwealth </w:t>
      </w:r>
      <w:r w:rsidRPr="000E12A4">
        <w:rPr>
          <w:rFonts w:ascii="Times New Roman" w:hAnsi="Times New Roman"/>
          <w:sz w:val="24"/>
        </w:rPr>
        <w:t xml:space="preserve">(1991) 172 CLR 501 at 607 and </w:t>
      </w:r>
      <w:r w:rsidRPr="000E12A4">
        <w:rPr>
          <w:rFonts w:ascii="Times New Roman" w:hAnsi="Times New Roman"/>
          <w:i/>
          <w:iCs/>
          <w:sz w:val="24"/>
        </w:rPr>
        <w:t xml:space="preserve">R v Quinn; Ex parte Consolidated Foods Corporation </w:t>
      </w:r>
      <w:r w:rsidRPr="000E12A4">
        <w:rPr>
          <w:rFonts w:ascii="Times New Roman" w:hAnsi="Times New Roman"/>
          <w:sz w:val="24"/>
        </w:rPr>
        <w:t>(1977) 138 CLR 1 at 11.</w:t>
      </w:r>
    </w:p>
  </w:footnote>
  <w:footnote w:id="152">
    <w:p w14:paraId="4E57F57A"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APLA</w:t>
      </w:r>
      <w:r w:rsidRPr="000E12A4">
        <w:rPr>
          <w:rFonts w:ascii="Times New Roman" w:hAnsi="Times New Roman"/>
          <w:sz w:val="24"/>
        </w:rPr>
        <w:t xml:space="preserve"> (2005) 224 CLR 322 at 351 [30]. See also </w:t>
      </w:r>
      <w:r w:rsidRPr="000E12A4">
        <w:rPr>
          <w:rFonts w:ascii="Times New Roman" w:hAnsi="Times New Roman"/>
          <w:i/>
          <w:iCs/>
          <w:sz w:val="24"/>
        </w:rPr>
        <w:t xml:space="preserve">Polyukhovich </w:t>
      </w:r>
      <w:r w:rsidRPr="000E12A4">
        <w:rPr>
          <w:rFonts w:ascii="Times New Roman" w:hAnsi="Times New Roman"/>
          <w:sz w:val="24"/>
        </w:rPr>
        <w:t>(1991) 172 CLR 501 at 607.</w:t>
      </w:r>
    </w:p>
  </w:footnote>
  <w:footnote w:id="153">
    <w:p w14:paraId="1F712B55"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APLA </w:t>
      </w:r>
      <w:r w:rsidRPr="000E12A4">
        <w:rPr>
          <w:rFonts w:ascii="Times New Roman" w:hAnsi="Times New Roman"/>
          <w:sz w:val="24"/>
        </w:rPr>
        <w:t>(2005) 224 CLR 322 at 410 [245].</w:t>
      </w:r>
    </w:p>
  </w:footnote>
  <w:footnote w:id="154">
    <w:p w14:paraId="53981679"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APLA </w:t>
      </w:r>
      <w:r w:rsidRPr="000E12A4">
        <w:rPr>
          <w:rFonts w:ascii="Times New Roman" w:hAnsi="Times New Roman"/>
          <w:sz w:val="24"/>
        </w:rPr>
        <w:t>(2005) 224 CLR 322 at 454-455 [394].</w:t>
      </w:r>
    </w:p>
  </w:footnote>
  <w:footnote w:id="155">
    <w:p w14:paraId="0CA2FB73"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 xml:space="preserve">APLA </w:t>
      </w:r>
      <w:r w:rsidRPr="000E12A4">
        <w:rPr>
          <w:rFonts w:ascii="Times New Roman" w:hAnsi="Times New Roman"/>
          <w:sz w:val="24"/>
        </w:rPr>
        <w:t xml:space="preserve">(2005) 224 CLR 322 at 351 [30], citing </w:t>
      </w:r>
      <w:r w:rsidRPr="000E12A4">
        <w:rPr>
          <w:rFonts w:ascii="Times New Roman" w:hAnsi="Times New Roman"/>
          <w:i/>
          <w:iCs/>
          <w:sz w:val="24"/>
        </w:rPr>
        <w:t xml:space="preserve">In re Judiciary and Navigation Acts </w:t>
      </w:r>
      <w:r w:rsidRPr="000E12A4">
        <w:rPr>
          <w:rFonts w:ascii="Times New Roman" w:hAnsi="Times New Roman"/>
          <w:sz w:val="24"/>
        </w:rPr>
        <w:t xml:space="preserve">(1921) 29 CLR 257 and </w:t>
      </w:r>
      <w:r w:rsidRPr="000E12A4">
        <w:rPr>
          <w:rFonts w:ascii="Times New Roman" w:hAnsi="Times New Roman"/>
          <w:i/>
          <w:iCs/>
          <w:sz w:val="24"/>
        </w:rPr>
        <w:t xml:space="preserve">Australian Communist Party v The Commonwealth </w:t>
      </w:r>
      <w:r w:rsidRPr="000E12A4">
        <w:rPr>
          <w:rFonts w:ascii="Times New Roman" w:hAnsi="Times New Roman"/>
          <w:sz w:val="24"/>
        </w:rPr>
        <w:t>(1951) 83 CLR 1 at 193.</w:t>
      </w:r>
    </w:p>
  </w:footnote>
  <w:footnote w:id="156">
    <w:p w14:paraId="639515EF"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t xml:space="preserve">See also </w:t>
      </w:r>
      <w:r w:rsidRPr="000E12A4">
        <w:rPr>
          <w:rFonts w:ascii="Times New Roman" w:hAnsi="Times New Roman"/>
          <w:i/>
          <w:iCs/>
          <w:sz w:val="24"/>
        </w:rPr>
        <w:t>Chu Kheng Lim v Minister for Immigration, Local Government and Ethnic Affairs</w:t>
      </w:r>
      <w:r w:rsidRPr="000E12A4">
        <w:rPr>
          <w:rFonts w:ascii="Times New Roman" w:hAnsi="Times New Roman"/>
          <w:sz w:val="24"/>
        </w:rPr>
        <w:t xml:space="preserve"> (1992) 176 CLR 1 at 36; </w:t>
      </w:r>
      <w:r w:rsidRPr="000E12A4">
        <w:rPr>
          <w:rFonts w:ascii="Times New Roman" w:hAnsi="Times New Roman"/>
          <w:i/>
          <w:iCs/>
          <w:sz w:val="24"/>
        </w:rPr>
        <w:t xml:space="preserve">Mutual Pools &amp; Staff Pty Ltd v The Commonwealth </w:t>
      </w:r>
      <w:r w:rsidRPr="000E12A4">
        <w:rPr>
          <w:rFonts w:ascii="Times New Roman" w:hAnsi="Times New Roman"/>
          <w:sz w:val="24"/>
        </w:rPr>
        <w:t xml:space="preserve">(1994) 179 CLR 155 at 216; </w:t>
      </w:r>
      <w:r w:rsidRPr="000E12A4">
        <w:rPr>
          <w:rFonts w:ascii="Times New Roman" w:hAnsi="Times New Roman"/>
          <w:i/>
          <w:iCs/>
          <w:sz w:val="24"/>
        </w:rPr>
        <w:t>Davis v Minister for Immigration, Citizenship, Migrant</w:t>
      </w:r>
      <w:r>
        <w:rPr>
          <w:rFonts w:ascii="Times New Roman" w:hAnsi="Times New Roman"/>
          <w:i/>
          <w:iCs/>
          <w:sz w:val="24"/>
        </w:rPr>
        <w:t> </w:t>
      </w:r>
      <w:r w:rsidRPr="000E12A4">
        <w:rPr>
          <w:rFonts w:ascii="Times New Roman" w:hAnsi="Times New Roman"/>
          <w:i/>
          <w:iCs/>
          <w:sz w:val="24"/>
        </w:rPr>
        <w:t>Services and Multicultural Affairs</w:t>
      </w:r>
      <w:r w:rsidRPr="000E12A4">
        <w:rPr>
          <w:rFonts w:ascii="Times New Roman" w:hAnsi="Times New Roman"/>
          <w:sz w:val="24"/>
        </w:rPr>
        <w:t xml:space="preserve"> (2023) 279 CLR 1 at 32 [85], 32-33 [87].</w:t>
      </w:r>
    </w:p>
  </w:footnote>
  <w:footnote w:id="157">
    <w:p w14:paraId="697763A3" w14:textId="77777777" w:rsidR="000525DE" w:rsidRPr="000E12A4" w:rsidRDefault="000525DE" w:rsidP="000E12A4">
      <w:pPr>
        <w:pStyle w:val="FootnoteText"/>
        <w:spacing w:line="280" w:lineRule="exact"/>
        <w:ind w:right="0"/>
        <w:jc w:val="both"/>
        <w:rPr>
          <w:rFonts w:ascii="Times New Roman" w:hAnsi="Times New Roman"/>
          <w:sz w:val="24"/>
        </w:rPr>
      </w:pPr>
      <w:r w:rsidRPr="000E12A4">
        <w:rPr>
          <w:rStyle w:val="FootnoteReference"/>
          <w:rFonts w:ascii="Times New Roman" w:hAnsi="Times New Roman"/>
          <w:sz w:val="22"/>
          <w:vertAlign w:val="baseline"/>
        </w:rPr>
        <w:footnoteRef/>
      </w:r>
      <w:r w:rsidRPr="000E12A4">
        <w:rPr>
          <w:rFonts w:ascii="Times New Roman" w:hAnsi="Times New Roman"/>
          <w:sz w:val="24"/>
        </w:rPr>
        <w:t xml:space="preserve"> </w:t>
      </w:r>
      <w:r w:rsidRPr="000E12A4">
        <w:rPr>
          <w:rFonts w:ascii="Times New Roman" w:hAnsi="Times New Roman"/>
          <w:sz w:val="24"/>
        </w:rPr>
        <w:tab/>
      </w:r>
      <w:r w:rsidRPr="000E12A4">
        <w:rPr>
          <w:rFonts w:ascii="Times New Roman" w:hAnsi="Times New Roman"/>
          <w:i/>
          <w:iCs/>
          <w:sz w:val="24"/>
        </w:rPr>
        <w:t>Western Australia v Ward</w:t>
      </w:r>
      <w:r w:rsidRPr="000E12A4">
        <w:rPr>
          <w:rFonts w:ascii="Times New Roman" w:hAnsi="Times New Roman"/>
          <w:sz w:val="24"/>
        </w:rPr>
        <w:t xml:space="preserve"> (1997) 76 FCR 492 at 497.</w:t>
      </w:r>
    </w:p>
  </w:footnote>
  <w:footnote w:id="158">
    <w:p w14:paraId="72579ECD"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Gray, "Some Definitions and Questions in Jurisprudence" (1892) 6 </w:t>
      </w:r>
      <w:r w:rsidRPr="00A54CB9">
        <w:rPr>
          <w:rFonts w:ascii="Times New Roman" w:hAnsi="Times New Roman"/>
          <w:i/>
          <w:sz w:val="24"/>
        </w:rPr>
        <w:t>Harvard Law Review</w:t>
      </w:r>
      <w:r w:rsidRPr="00A54CB9">
        <w:rPr>
          <w:rFonts w:ascii="Times New Roman" w:hAnsi="Times New Roman"/>
          <w:sz w:val="24"/>
        </w:rPr>
        <w:t xml:space="preserve"> 21 at 21, quoted in </w:t>
      </w:r>
      <w:r w:rsidRPr="00A54CB9">
        <w:rPr>
          <w:rFonts w:ascii="Times New Roman" w:hAnsi="Times New Roman"/>
          <w:i/>
          <w:iCs/>
          <w:sz w:val="24"/>
        </w:rPr>
        <w:t>Mann v Paterson Constructions Pty Ltd</w:t>
      </w:r>
      <w:r w:rsidRPr="00A54CB9">
        <w:rPr>
          <w:rFonts w:ascii="Times New Roman" w:hAnsi="Times New Roman"/>
          <w:sz w:val="24"/>
        </w:rPr>
        <w:t xml:space="preserve"> (2019) 267 CLR 560 at 618 [150].</w:t>
      </w:r>
    </w:p>
  </w:footnote>
  <w:footnote w:id="159">
    <w:p w14:paraId="2674172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No issue on this appeal arises in relation to the declaration for travel bans: </w:t>
      </w:r>
      <w:r w:rsidRPr="00A54CB9">
        <w:rPr>
          <w:rFonts w:ascii="Times New Roman" w:hAnsi="Times New Roman"/>
          <w:i/>
          <w:iCs/>
          <w:sz w:val="24"/>
        </w:rPr>
        <w:t xml:space="preserve">Deripaska v Minister for Foreign Affairs </w:t>
      </w:r>
      <w:r w:rsidRPr="00A54CB9">
        <w:rPr>
          <w:rFonts w:ascii="Times New Roman" w:hAnsi="Times New Roman"/>
          <w:sz w:val="24"/>
        </w:rPr>
        <w:t>(2024) 184 ALD 393 at</w:t>
      </w:r>
      <w:r w:rsidRPr="00A54CB9">
        <w:rPr>
          <w:rFonts w:ascii="Times New Roman" w:hAnsi="Times New Roman"/>
          <w:i/>
          <w:iCs/>
          <w:sz w:val="24"/>
        </w:rPr>
        <w:t xml:space="preserve"> </w:t>
      </w:r>
      <w:r w:rsidRPr="00A54CB9">
        <w:rPr>
          <w:rFonts w:ascii="Times New Roman" w:hAnsi="Times New Roman"/>
          <w:sz w:val="24"/>
        </w:rPr>
        <w:t>409 [64(b)].</w:t>
      </w:r>
    </w:p>
  </w:footnote>
  <w:footnote w:id="160">
    <w:p w14:paraId="4EAA318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Deripaska v Minister for Foreign Affairs </w:t>
      </w:r>
      <w:r w:rsidRPr="00A54CB9">
        <w:rPr>
          <w:rFonts w:ascii="Times New Roman" w:hAnsi="Times New Roman"/>
          <w:sz w:val="24"/>
        </w:rPr>
        <w:t>(2025) 308 FCR 175</w:t>
      </w:r>
      <w:r w:rsidRPr="00A54CB9">
        <w:rPr>
          <w:rFonts w:ascii="Times New Roman" w:hAnsi="Times New Roman"/>
          <w:i/>
          <w:iCs/>
          <w:sz w:val="24"/>
        </w:rPr>
        <w:t xml:space="preserve"> </w:t>
      </w:r>
      <w:r w:rsidRPr="00A54CB9">
        <w:rPr>
          <w:rFonts w:ascii="Times New Roman" w:hAnsi="Times New Roman"/>
          <w:sz w:val="24"/>
        </w:rPr>
        <w:t>at 183-184 [33].</w:t>
      </w:r>
    </w:p>
  </w:footnote>
  <w:footnote w:id="161">
    <w:p w14:paraId="723ADE82"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Pidoto v Victoria </w:t>
      </w:r>
      <w:r w:rsidRPr="00A54CB9">
        <w:rPr>
          <w:rFonts w:ascii="Times New Roman" w:hAnsi="Times New Roman"/>
          <w:sz w:val="24"/>
        </w:rPr>
        <w:t xml:space="preserve">(1943) 68 CLR 87 at 110-111. </w:t>
      </w:r>
    </w:p>
  </w:footnote>
  <w:footnote w:id="162">
    <w:p w14:paraId="57771298"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(2024) 184 ALD 393 at 406 [51].</w:t>
      </w:r>
    </w:p>
  </w:footnote>
  <w:footnote w:id="163">
    <w:p w14:paraId="0E11245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(2024) 184 ALD 393 at 406 [51], 411 [74].</w:t>
      </w:r>
    </w:p>
  </w:footnote>
  <w:footnote w:id="164">
    <w:p w14:paraId="42AAFBC3"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(2025) 308 FCR 175 at 184 [39], 195 [96].</w:t>
      </w:r>
    </w:p>
  </w:footnote>
  <w:footnote w:id="165">
    <w:p w14:paraId="3489347E"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ss 3(1), 3(2), 3(3)(b), 3(3)(d), 3(3)(f).</w:t>
      </w:r>
    </w:p>
  </w:footnote>
  <w:footnote w:id="166">
    <w:p w14:paraId="0EAF98A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xml:space="preserve">, s 4 (definition of "autonomous sanction"). </w:t>
      </w:r>
    </w:p>
  </w:footnote>
  <w:footnote w:id="167">
    <w:p w14:paraId="017FC7BD"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xml:space="preserve">, s 10(2). </w:t>
      </w:r>
    </w:p>
  </w:footnote>
  <w:footnote w:id="168">
    <w:p w14:paraId="1E1E505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xml:space="preserve">, s 6(1). </w:t>
      </w:r>
    </w:p>
  </w:footnote>
  <w:footnote w:id="169">
    <w:p w14:paraId="0BFBDED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s 16(1).</w:t>
      </w:r>
      <w:r w:rsidRPr="00A54CB9">
        <w:rPr>
          <w:rFonts w:ascii="Times New Roman" w:hAnsi="Times New Roman"/>
          <w:sz w:val="24"/>
        </w:rPr>
        <w:tab/>
      </w:r>
    </w:p>
  </w:footnote>
  <w:footnote w:id="170">
    <w:p w14:paraId="589F970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s 16(5).</w:t>
      </w:r>
      <w:r w:rsidRPr="00A54CB9">
        <w:rPr>
          <w:rFonts w:ascii="Times New Roman" w:hAnsi="Times New Roman"/>
          <w:sz w:val="24"/>
        </w:rPr>
        <w:tab/>
      </w:r>
    </w:p>
  </w:footnote>
  <w:footnote w:id="171">
    <w:p w14:paraId="7D72F333"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Autonomous Sanctions (Sanction Law) Declaration 2012 </w:t>
      </w:r>
      <w:r w:rsidRPr="00A54CB9">
        <w:rPr>
          <w:rFonts w:ascii="Times New Roman" w:hAnsi="Times New Roman"/>
          <w:sz w:val="24"/>
        </w:rPr>
        <w:t>(Cth), s 3 and Sch 1, item 1.</w:t>
      </w:r>
      <w:r w:rsidRPr="00A54CB9">
        <w:rPr>
          <w:rFonts w:ascii="Times New Roman" w:hAnsi="Times New Roman"/>
          <w:sz w:val="24"/>
        </w:rPr>
        <w:tab/>
      </w:r>
    </w:p>
  </w:footnote>
  <w:footnote w:id="172">
    <w:p w14:paraId="3DE8DE78"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Regulations</w:t>
      </w:r>
      <w:r w:rsidRPr="00A54CB9">
        <w:rPr>
          <w:rFonts w:ascii="Times New Roman" w:hAnsi="Times New Roman"/>
          <w:sz w:val="24"/>
        </w:rPr>
        <w:t>, reg 14(1).</w:t>
      </w:r>
    </w:p>
  </w:footnote>
  <w:footnote w:id="173">
    <w:p w14:paraId="29AB6DA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Regulations</w:t>
      </w:r>
      <w:r w:rsidRPr="00A54CB9">
        <w:rPr>
          <w:rFonts w:ascii="Times New Roman" w:hAnsi="Times New Roman"/>
          <w:sz w:val="24"/>
        </w:rPr>
        <w:t xml:space="preserve">, reg 15(1) read with reg 3 (definition of "controlled asset"). </w:t>
      </w:r>
    </w:p>
  </w:footnote>
  <w:footnote w:id="174">
    <w:p w14:paraId="309A3ACB"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Regulations</w:t>
      </w:r>
      <w:r w:rsidRPr="00A54CB9">
        <w:rPr>
          <w:rFonts w:ascii="Times New Roman" w:hAnsi="Times New Roman"/>
          <w:sz w:val="24"/>
        </w:rPr>
        <w:t>, reg 18(3)(a).</w:t>
      </w:r>
    </w:p>
  </w:footnote>
  <w:footnote w:id="175">
    <w:p w14:paraId="27CE4E2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Regulations</w:t>
      </w:r>
      <w:r w:rsidRPr="00A54CB9">
        <w:rPr>
          <w:rFonts w:ascii="Times New Roman" w:hAnsi="Times New Roman"/>
          <w:sz w:val="24"/>
        </w:rPr>
        <w:t>, regs 20(1)(a), 20(3)(b)(vii), 20(3)(b)(viii).</w:t>
      </w:r>
    </w:p>
  </w:footnote>
  <w:footnote w:id="176">
    <w:p w14:paraId="3098B77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Pilbara Infrastructure Pty Ltd v Australian Competition Tribunal </w:t>
      </w:r>
      <w:r w:rsidRPr="00A54CB9">
        <w:rPr>
          <w:rFonts w:ascii="Times New Roman" w:hAnsi="Times New Roman"/>
          <w:sz w:val="24"/>
        </w:rPr>
        <w:t xml:space="preserve">(2012) 246 CLR 379 at 401 [42]. </w:t>
      </w:r>
    </w:p>
  </w:footnote>
  <w:footnote w:id="177">
    <w:p w14:paraId="6DC2F16C"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Acts Interpretation Act 1901</w:t>
      </w:r>
      <w:r w:rsidRPr="00A54CB9">
        <w:rPr>
          <w:rFonts w:ascii="Times New Roman" w:hAnsi="Times New Roman"/>
          <w:sz w:val="24"/>
        </w:rPr>
        <w:t xml:space="preserve"> (Cth), s 33(3); </w:t>
      </w:r>
      <w:r w:rsidRPr="00A54CB9">
        <w:rPr>
          <w:rFonts w:ascii="Times New Roman" w:hAnsi="Times New Roman"/>
          <w:i/>
          <w:iCs/>
          <w:sz w:val="24"/>
        </w:rPr>
        <w:t>Legislation Act 2003</w:t>
      </w:r>
      <w:r w:rsidRPr="00A54CB9">
        <w:rPr>
          <w:rFonts w:ascii="Times New Roman" w:hAnsi="Times New Roman"/>
          <w:sz w:val="24"/>
        </w:rPr>
        <w:t xml:space="preserve"> (Cth), s 13(1)(a).</w:t>
      </w:r>
    </w:p>
  </w:footnote>
  <w:footnote w:id="178">
    <w:p w14:paraId="6AB4A7FB"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See </w:t>
      </w:r>
      <w:r w:rsidRPr="00A54CB9">
        <w:rPr>
          <w:rFonts w:ascii="Times New Roman" w:hAnsi="Times New Roman"/>
          <w:i/>
          <w:iCs/>
          <w:sz w:val="24"/>
        </w:rPr>
        <w:t>Wentworth v De Montfort</w:t>
      </w:r>
      <w:r w:rsidRPr="00A54CB9">
        <w:rPr>
          <w:rFonts w:ascii="Times New Roman" w:hAnsi="Times New Roman"/>
          <w:sz w:val="24"/>
        </w:rPr>
        <w:t xml:space="preserve"> (1988) 15 NSWLR 348. </w:t>
      </w:r>
    </w:p>
  </w:footnote>
  <w:footnote w:id="179">
    <w:p w14:paraId="2F9D29D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xml:space="preserve">, s 16(1); </w:t>
      </w:r>
      <w:r w:rsidRPr="00A54CB9">
        <w:rPr>
          <w:rFonts w:ascii="Times New Roman" w:hAnsi="Times New Roman"/>
          <w:i/>
          <w:iCs/>
          <w:sz w:val="24"/>
        </w:rPr>
        <w:t xml:space="preserve">Criminal Code </w:t>
      </w:r>
      <w:r w:rsidRPr="00A54CB9">
        <w:rPr>
          <w:rFonts w:ascii="Times New Roman" w:hAnsi="Times New Roman"/>
          <w:sz w:val="24"/>
        </w:rPr>
        <w:t>(Cth), ss 5.2(1), 5.6(1).</w:t>
      </w:r>
    </w:p>
  </w:footnote>
  <w:footnote w:id="180">
    <w:p w14:paraId="3B5A046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xml:space="preserve">, s 16(1); </w:t>
      </w:r>
      <w:r w:rsidRPr="00A54CB9">
        <w:rPr>
          <w:rFonts w:ascii="Times New Roman" w:hAnsi="Times New Roman"/>
          <w:i/>
          <w:iCs/>
          <w:sz w:val="24"/>
        </w:rPr>
        <w:t>Criminal Code</w:t>
      </w:r>
      <w:r w:rsidRPr="00A54CB9">
        <w:rPr>
          <w:rFonts w:ascii="Times New Roman" w:hAnsi="Times New Roman"/>
          <w:sz w:val="24"/>
        </w:rPr>
        <w:t>, ss 5.3, 5.4(1), 5.6(2).</w:t>
      </w:r>
    </w:p>
  </w:footnote>
  <w:footnote w:id="181">
    <w:p w14:paraId="0767B638"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Act</w:t>
      </w:r>
      <w:r w:rsidRPr="00A54CB9">
        <w:rPr>
          <w:rFonts w:ascii="Times New Roman" w:hAnsi="Times New Roman"/>
          <w:sz w:val="24"/>
        </w:rPr>
        <w:t>, ss 16(5), 16(7).</w:t>
      </w:r>
    </w:p>
  </w:footnote>
  <w:footnote w:id="182">
    <w:p w14:paraId="30C62ACE"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Autonomous Sanctions (Designated Persons and Entities and Declared Persons – Russia and Ukraine) Amendment (No 7) Instrument 2022</w:t>
      </w:r>
      <w:r w:rsidRPr="00A54CB9">
        <w:rPr>
          <w:rFonts w:ascii="Times New Roman" w:hAnsi="Times New Roman"/>
          <w:sz w:val="24"/>
        </w:rPr>
        <w:t xml:space="preserve"> (Cth), s 4 and Sch 1, item 1.</w:t>
      </w:r>
    </w:p>
  </w:footnote>
  <w:footnote w:id="183">
    <w:p w14:paraId="3D64FDF9"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Autonomous Sanctions (Designated Persons and Entities and Declared Persons – Russia and Ukraine) Amendment (No 7) Instrument 2022</w:t>
      </w:r>
      <w:r w:rsidRPr="00A54CB9">
        <w:rPr>
          <w:rFonts w:ascii="Times New Roman" w:hAnsi="Times New Roman"/>
          <w:sz w:val="24"/>
        </w:rPr>
        <w:t xml:space="preserve"> (Cth).</w:t>
      </w:r>
    </w:p>
  </w:footnote>
  <w:footnote w:id="184">
    <w:p w14:paraId="66700AD4"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Deripaska v Minister for Foreign Affairs</w:t>
      </w:r>
      <w:r w:rsidRPr="00A54CB9">
        <w:rPr>
          <w:rFonts w:ascii="Times New Roman" w:hAnsi="Times New Roman"/>
          <w:sz w:val="24"/>
        </w:rPr>
        <w:t xml:space="preserve"> (2025) 308 FCR 175 at 184 [39].</w:t>
      </w:r>
    </w:p>
  </w:footnote>
  <w:footnote w:id="185">
    <w:p w14:paraId="735C4AE4"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(2024) 184 ALD 393 at 410 [68].</w:t>
      </w:r>
    </w:p>
  </w:footnote>
  <w:footnote w:id="186">
    <w:p w14:paraId="36B211E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(2024) 184 ALD 393 at 415 [87].</w:t>
      </w:r>
    </w:p>
  </w:footnote>
  <w:footnote w:id="187">
    <w:p w14:paraId="6865952B"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(2025) 308 FCR 175 at 193 [84].</w:t>
      </w:r>
    </w:p>
  </w:footnote>
  <w:footnote w:id="188">
    <w:p w14:paraId="1C18930D"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(2025) 308 FCR 175 at 195-196 [93]-[104].</w:t>
      </w:r>
    </w:p>
  </w:footnote>
  <w:footnote w:id="189">
    <w:p w14:paraId="75CE19E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(2017) 261 CLR 306 at 324 [33].  </w:t>
      </w:r>
    </w:p>
  </w:footnote>
  <w:footnote w:id="190">
    <w:p w14:paraId="7EC5D93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Mineralogy Pty Ltd v Western Australia </w:t>
      </w:r>
      <w:r w:rsidRPr="00A54CB9">
        <w:rPr>
          <w:rFonts w:ascii="Times New Roman" w:hAnsi="Times New Roman"/>
          <w:sz w:val="24"/>
        </w:rPr>
        <w:t xml:space="preserve">(2021) 274 CLR 219 at 248-249 [59]. See also </w:t>
      </w:r>
      <w:r w:rsidRPr="00A54CB9">
        <w:rPr>
          <w:rFonts w:ascii="Times New Roman" w:hAnsi="Times New Roman"/>
          <w:i/>
          <w:iCs/>
          <w:sz w:val="24"/>
        </w:rPr>
        <w:t xml:space="preserve">Zhang v Commissioner of the Australian Federal Police </w:t>
      </w:r>
      <w:r w:rsidRPr="00A54CB9">
        <w:rPr>
          <w:rFonts w:ascii="Times New Roman" w:hAnsi="Times New Roman"/>
          <w:sz w:val="24"/>
        </w:rPr>
        <w:t>(2021) 273 CLR 216 at 230 [21].</w:t>
      </w:r>
    </w:p>
  </w:footnote>
  <w:footnote w:id="191">
    <w:p w14:paraId="072AE25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Zhang v Commissioner of the Australian Federal Police </w:t>
      </w:r>
      <w:r w:rsidRPr="00A54CB9">
        <w:rPr>
          <w:rFonts w:ascii="Times New Roman" w:hAnsi="Times New Roman"/>
          <w:sz w:val="24"/>
        </w:rPr>
        <w:t>(2021) 273 CLR 216 at 230 [23].</w:t>
      </w:r>
    </w:p>
  </w:footnote>
  <w:footnote w:id="192">
    <w:p w14:paraId="1339982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Lambert v Weichelt </w:t>
      </w:r>
      <w:r w:rsidRPr="00A54CB9">
        <w:rPr>
          <w:rFonts w:ascii="Times New Roman" w:hAnsi="Times New Roman"/>
          <w:sz w:val="24"/>
        </w:rPr>
        <w:t xml:space="preserve">(1954) 28 ALJ 282 at 283, quoted in </w:t>
      </w:r>
      <w:r w:rsidRPr="00A54CB9">
        <w:rPr>
          <w:rFonts w:ascii="Times New Roman" w:hAnsi="Times New Roman"/>
          <w:i/>
          <w:iCs/>
          <w:sz w:val="24"/>
        </w:rPr>
        <w:t xml:space="preserve">Knight v Victoria </w:t>
      </w:r>
      <w:r w:rsidRPr="00A54CB9">
        <w:rPr>
          <w:rFonts w:ascii="Times New Roman" w:hAnsi="Times New Roman"/>
          <w:sz w:val="24"/>
        </w:rPr>
        <w:t xml:space="preserve">(2017) 261 CLR 306 at 324 [32]. See also </w:t>
      </w:r>
      <w:r w:rsidRPr="00A54CB9">
        <w:rPr>
          <w:rFonts w:ascii="Times New Roman" w:hAnsi="Times New Roman"/>
          <w:i/>
          <w:iCs/>
          <w:sz w:val="24"/>
        </w:rPr>
        <w:t xml:space="preserve">Mineralogy Pty Ltd v Western Australia </w:t>
      </w:r>
      <w:r w:rsidRPr="00A54CB9">
        <w:rPr>
          <w:rFonts w:ascii="Times New Roman" w:hAnsi="Times New Roman"/>
          <w:sz w:val="24"/>
        </w:rPr>
        <w:t>(2021) 274 CLR 219 at 259 [99].</w:t>
      </w:r>
    </w:p>
  </w:footnote>
  <w:footnote w:id="193">
    <w:p w14:paraId="238E7EF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The Real Estate Institute of NSW v Blair</w:t>
      </w:r>
      <w:r w:rsidRPr="00A54CB9">
        <w:rPr>
          <w:rFonts w:ascii="Times New Roman" w:hAnsi="Times New Roman"/>
          <w:sz w:val="24"/>
        </w:rPr>
        <w:t xml:space="preserve"> (1946) 73 CLR 213 at 227; </w:t>
      </w:r>
      <w:r w:rsidRPr="00A54CB9">
        <w:rPr>
          <w:rFonts w:ascii="Times New Roman" w:hAnsi="Times New Roman"/>
          <w:i/>
          <w:iCs/>
          <w:sz w:val="24"/>
        </w:rPr>
        <w:t>Pape v Federal Commissioner of Taxation</w:t>
      </w:r>
      <w:r w:rsidRPr="00A54CB9">
        <w:rPr>
          <w:rFonts w:ascii="Times New Roman" w:hAnsi="Times New Roman"/>
          <w:sz w:val="24"/>
        </w:rPr>
        <w:t xml:space="preserve"> (2009) 238 CLR 1 at 69 [156].</w:t>
      </w:r>
    </w:p>
  </w:footnote>
  <w:footnote w:id="194">
    <w:p w14:paraId="2CA8793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(1997) 191 CLR 119.</w:t>
      </w:r>
    </w:p>
  </w:footnote>
  <w:footnote w:id="195">
    <w:p w14:paraId="563EACA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See </w:t>
      </w:r>
      <w:r w:rsidRPr="00A54CB9">
        <w:rPr>
          <w:rFonts w:ascii="Times New Roman" w:hAnsi="Times New Roman"/>
          <w:i/>
          <w:iCs/>
          <w:sz w:val="24"/>
        </w:rPr>
        <w:t>Private R v Cowen</w:t>
      </w:r>
      <w:r w:rsidRPr="00A54CB9">
        <w:rPr>
          <w:rFonts w:ascii="Times New Roman" w:hAnsi="Times New Roman"/>
          <w:sz w:val="24"/>
        </w:rPr>
        <w:t xml:space="preserve"> (2020) 271 CLR 316</w:t>
      </w:r>
      <w:r w:rsidRPr="00A54CB9" w:rsidDel="00E01C18">
        <w:rPr>
          <w:rFonts w:ascii="Times New Roman" w:hAnsi="Times New Roman"/>
          <w:sz w:val="24"/>
        </w:rPr>
        <w:t xml:space="preserve"> </w:t>
      </w:r>
      <w:r w:rsidRPr="00A54CB9">
        <w:rPr>
          <w:rFonts w:ascii="Times New Roman" w:hAnsi="Times New Roman"/>
          <w:sz w:val="24"/>
        </w:rPr>
        <w:t xml:space="preserve">at 375 [158]; </w:t>
      </w:r>
      <w:r w:rsidRPr="00A54CB9">
        <w:rPr>
          <w:rFonts w:ascii="Times New Roman" w:hAnsi="Times New Roman"/>
          <w:i/>
          <w:iCs/>
          <w:sz w:val="24"/>
        </w:rPr>
        <w:t xml:space="preserve">Farm Transparency International Ltd v New South Wales </w:t>
      </w:r>
      <w:r w:rsidRPr="00A54CB9">
        <w:rPr>
          <w:rFonts w:ascii="Times New Roman" w:hAnsi="Times New Roman"/>
          <w:sz w:val="24"/>
        </w:rPr>
        <w:t>(2022) 277 CLR 537</w:t>
      </w:r>
      <w:r w:rsidRPr="00A54CB9">
        <w:rPr>
          <w:rFonts w:ascii="Times New Roman" w:hAnsi="Times New Roman"/>
          <w:i/>
          <w:iCs/>
          <w:sz w:val="24"/>
        </w:rPr>
        <w:t xml:space="preserve"> </w:t>
      </w:r>
      <w:r w:rsidRPr="00A54CB9">
        <w:rPr>
          <w:rFonts w:ascii="Times New Roman" w:hAnsi="Times New Roman"/>
          <w:sz w:val="24"/>
        </w:rPr>
        <w:t xml:space="preserve">at 603 [209]. </w:t>
      </w:r>
    </w:p>
  </w:footnote>
  <w:footnote w:id="196">
    <w:p w14:paraId="3D73ABE3"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(2021) 274 CLR 219 at 259-262 [100]-[107].</w:t>
      </w:r>
    </w:p>
  </w:footnote>
  <w:footnote w:id="197">
    <w:p w14:paraId="1995F60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(2020) 271 CLR 316</w:t>
      </w:r>
      <w:r w:rsidRPr="00A54CB9" w:rsidDel="00E01C18">
        <w:rPr>
          <w:rFonts w:ascii="Times New Roman" w:hAnsi="Times New Roman"/>
          <w:sz w:val="24"/>
        </w:rPr>
        <w:t xml:space="preserve"> </w:t>
      </w:r>
      <w:r w:rsidRPr="00A54CB9">
        <w:rPr>
          <w:rFonts w:ascii="Times New Roman" w:hAnsi="Times New Roman"/>
          <w:sz w:val="24"/>
        </w:rPr>
        <w:t>at 355 [107].</w:t>
      </w:r>
    </w:p>
  </w:footnote>
  <w:footnote w:id="198">
    <w:p w14:paraId="290C978E"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Miller v TCN Channel Nine Pty Ltd</w:t>
      </w:r>
      <w:r w:rsidRPr="00A54CB9">
        <w:rPr>
          <w:rFonts w:ascii="Times New Roman" w:hAnsi="Times New Roman"/>
          <w:sz w:val="24"/>
        </w:rPr>
        <w:t xml:space="preserve"> (1986) 161 CLR 556 at 612-614; </w:t>
      </w:r>
      <w:r w:rsidRPr="00A54CB9">
        <w:rPr>
          <w:rFonts w:ascii="Times New Roman" w:hAnsi="Times New Roman"/>
          <w:i/>
          <w:iCs/>
          <w:sz w:val="24"/>
        </w:rPr>
        <w:t xml:space="preserve">Wotton v Queensland </w:t>
      </w:r>
      <w:r w:rsidRPr="00A54CB9">
        <w:rPr>
          <w:rFonts w:ascii="Times New Roman" w:hAnsi="Times New Roman"/>
          <w:sz w:val="24"/>
        </w:rPr>
        <w:t xml:space="preserve">(2012) 246 CLR 1 at 9-10 [10], 13-14 [21]-[24], 29-30 [74]; </w:t>
      </w:r>
      <w:r w:rsidRPr="00A54CB9">
        <w:rPr>
          <w:rFonts w:ascii="Times New Roman" w:hAnsi="Times New Roman"/>
          <w:i/>
          <w:iCs/>
          <w:sz w:val="24"/>
        </w:rPr>
        <w:t>Comcare v Banerji</w:t>
      </w:r>
      <w:r w:rsidRPr="00A54CB9">
        <w:rPr>
          <w:rFonts w:ascii="Times New Roman" w:hAnsi="Times New Roman"/>
          <w:sz w:val="24"/>
        </w:rPr>
        <w:t xml:space="preserve"> (2019) 267 CLR 373 at 405 [44], 421-422 [96], 458-459 [209]-[211]; </w:t>
      </w:r>
      <w:r w:rsidRPr="00A54CB9">
        <w:rPr>
          <w:rFonts w:ascii="Times New Roman" w:hAnsi="Times New Roman"/>
          <w:i/>
          <w:iCs/>
          <w:sz w:val="24"/>
        </w:rPr>
        <w:t xml:space="preserve">Palmer v Western Australia </w:t>
      </w:r>
      <w:r w:rsidRPr="00A54CB9">
        <w:rPr>
          <w:rFonts w:ascii="Times New Roman" w:hAnsi="Times New Roman"/>
          <w:sz w:val="24"/>
        </w:rPr>
        <w:t xml:space="preserve">(2021) 272 CLR 505 at 530-531 [63]-[68], 545-548 [117]-[128], 573-574 [200]-[202], 578 [219], 580 [224]-[225]; </w:t>
      </w:r>
      <w:r w:rsidRPr="00A54CB9">
        <w:rPr>
          <w:rFonts w:ascii="Times New Roman" w:hAnsi="Times New Roman"/>
          <w:i/>
          <w:sz w:val="24"/>
        </w:rPr>
        <w:t>The</w:t>
      </w:r>
      <w:r w:rsidRPr="00A54CB9">
        <w:rPr>
          <w:rFonts w:ascii="Times New Roman" w:hAnsi="Times New Roman"/>
          <w:i/>
          <w:iCs/>
          <w:sz w:val="24"/>
        </w:rPr>
        <w:t xml:space="preserve"> Commonwealth v AJL20</w:t>
      </w:r>
      <w:r w:rsidRPr="00A54CB9">
        <w:rPr>
          <w:rFonts w:ascii="Times New Roman" w:hAnsi="Times New Roman"/>
          <w:sz w:val="24"/>
        </w:rPr>
        <w:t xml:space="preserve"> (2021) 273 CLR 43 at 69-70 [43]; </w:t>
      </w:r>
      <w:r w:rsidRPr="00A54CB9">
        <w:rPr>
          <w:rFonts w:ascii="Times New Roman" w:hAnsi="Times New Roman"/>
          <w:i/>
          <w:iCs/>
          <w:sz w:val="24"/>
        </w:rPr>
        <w:t xml:space="preserve">YBFZ v Minister for Immigration, Citizenship and Multicultural Affairs </w:t>
      </w:r>
      <w:r w:rsidRPr="00A54CB9">
        <w:rPr>
          <w:rFonts w:ascii="Times New Roman" w:hAnsi="Times New Roman"/>
          <w:sz w:val="24"/>
        </w:rPr>
        <w:t>(2024) 99 ALJR 1</w:t>
      </w:r>
      <w:r w:rsidRPr="00A54CB9">
        <w:rPr>
          <w:rFonts w:ascii="Times New Roman" w:hAnsi="Times New Roman"/>
          <w:i/>
          <w:iCs/>
          <w:sz w:val="24"/>
        </w:rPr>
        <w:t xml:space="preserve"> </w:t>
      </w:r>
      <w:r w:rsidRPr="00A54CB9">
        <w:rPr>
          <w:rFonts w:ascii="Times New Roman" w:hAnsi="Times New Roman"/>
          <w:sz w:val="24"/>
        </w:rPr>
        <w:t xml:space="preserve">at 12 [19], 43 [170]; 419 ALR 457 at 468, 510. See also </w:t>
      </w:r>
      <w:r w:rsidRPr="00A54CB9">
        <w:rPr>
          <w:rFonts w:ascii="Times New Roman" w:hAnsi="Times New Roman"/>
          <w:i/>
          <w:iCs/>
          <w:sz w:val="24"/>
        </w:rPr>
        <w:t>A v Independent Commission Against Corruption</w:t>
      </w:r>
      <w:r w:rsidRPr="00A54CB9">
        <w:rPr>
          <w:rFonts w:ascii="Times New Roman" w:hAnsi="Times New Roman"/>
          <w:sz w:val="24"/>
        </w:rPr>
        <w:t xml:space="preserve"> (2014) 88 NSWLR 240 at 256-257 [56]; </w:t>
      </w:r>
      <w:r w:rsidRPr="00A54CB9">
        <w:rPr>
          <w:rFonts w:ascii="Times New Roman" w:hAnsi="Times New Roman"/>
          <w:i/>
          <w:iCs/>
          <w:sz w:val="24"/>
        </w:rPr>
        <w:t>Cotterill v Romanes</w:t>
      </w:r>
      <w:r w:rsidRPr="00A54CB9">
        <w:rPr>
          <w:rFonts w:ascii="Times New Roman" w:hAnsi="Times New Roman"/>
          <w:sz w:val="24"/>
        </w:rPr>
        <w:t xml:space="preserve"> (2023) 413 ALR 360 at 374 [64], 377 [81].  </w:t>
      </w:r>
    </w:p>
  </w:footnote>
  <w:footnote w:id="199">
    <w:p w14:paraId="631EE5B8"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Mill, </w:t>
      </w:r>
      <w:r w:rsidRPr="00A54CB9">
        <w:rPr>
          <w:rFonts w:ascii="Times New Roman" w:hAnsi="Times New Roman"/>
          <w:i/>
          <w:iCs/>
          <w:sz w:val="24"/>
        </w:rPr>
        <w:t>A System of Logic, Ratiocinative and Inductive, Being a Connected View of the Principles of Evidence, and the Methods of Scientific Investigation</w:t>
      </w:r>
      <w:r w:rsidRPr="00A54CB9">
        <w:rPr>
          <w:rFonts w:ascii="Times New Roman" w:hAnsi="Times New Roman"/>
          <w:sz w:val="24"/>
        </w:rPr>
        <w:t xml:space="preserve"> (1843), vol 1 at 37-50; Frege, "Über Sinn und Bedeutung" (1892) 100 </w:t>
      </w:r>
      <w:r w:rsidRPr="00A54CB9">
        <w:rPr>
          <w:rFonts w:ascii="Times New Roman" w:hAnsi="Times New Roman"/>
          <w:i/>
          <w:iCs/>
          <w:sz w:val="24"/>
        </w:rPr>
        <w:t>Zeitsch</w:t>
      </w:r>
      <w:r w:rsidRPr="00A54CB9">
        <w:rPr>
          <w:rFonts w:ascii="Times New Roman" w:hAnsi="Times New Roman"/>
          <w:i/>
          <w:sz w:val="24"/>
        </w:rPr>
        <w:t>r</w:t>
      </w:r>
      <w:r w:rsidRPr="00A54CB9">
        <w:rPr>
          <w:rFonts w:ascii="Times New Roman" w:hAnsi="Times New Roman"/>
          <w:i/>
          <w:iCs/>
          <w:sz w:val="24"/>
        </w:rPr>
        <w:t xml:space="preserve">ift </w:t>
      </w:r>
      <w:r w:rsidRPr="00A54CB9">
        <w:rPr>
          <w:rFonts w:ascii="Times New Roman" w:hAnsi="Times New Roman"/>
          <w:i/>
          <w:sz w:val="24"/>
        </w:rPr>
        <w:t>fü</w:t>
      </w:r>
      <w:r w:rsidRPr="00A54CB9">
        <w:rPr>
          <w:rFonts w:ascii="Times New Roman" w:hAnsi="Times New Roman"/>
          <w:i/>
          <w:iCs/>
          <w:sz w:val="24"/>
        </w:rPr>
        <w:t>r Philosophie und philosophische Kritik</w:t>
      </w:r>
      <w:r w:rsidRPr="00A54CB9">
        <w:rPr>
          <w:rFonts w:ascii="Times New Roman" w:hAnsi="Times New Roman"/>
          <w:sz w:val="24"/>
        </w:rPr>
        <w:t xml:space="preserve"> 25, translated as Frege, "Sense and Reference" (1948) 57 </w:t>
      </w:r>
      <w:r w:rsidRPr="00A54CB9">
        <w:rPr>
          <w:rFonts w:ascii="Times New Roman" w:hAnsi="Times New Roman"/>
          <w:i/>
          <w:iCs/>
          <w:sz w:val="24"/>
        </w:rPr>
        <w:t xml:space="preserve">The Philosophical Review </w:t>
      </w:r>
      <w:r w:rsidRPr="00A54CB9">
        <w:rPr>
          <w:rFonts w:ascii="Times New Roman" w:hAnsi="Times New Roman"/>
          <w:sz w:val="24"/>
        </w:rPr>
        <w:t xml:space="preserve">209, tr Black; Carnap, </w:t>
      </w:r>
      <w:r w:rsidRPr="00A54CB9">
        <w:rPr>
          <w:rFonts w:ascii="Times New Roman" w:hAnsi="Times New Roman"/>
          <w:i/>
          <w:iCs/>
          <w:sz w:val="24"/>
        </w:rPr>
        <w:t>Meaning and Necessity: A Study in Semantics and Modal Logic</w:t>
      </w:r>
      <w:r w:rsidRPr="00A54CB9">
        <w:rPr>
          <w:rFonts w:ascii="Times New Roman" w:hAnsi="Times New Roman"/>
          <w:sz w:val="24"/>
        </w:rPr>
        <w:t xml:space="preserve"> (1947) at 177-178; Grice, "Logic and Conversation", in Cole and Morgan (eds), </w:t>
      </w:r>
      <w:r w:rsidRPr="00A54CB9">
        <w:rPr>
          <w:rFonts w:ascii="Times New Roman" w:hAnsi="Times New Roman"/>
          <w:i/>
          <w:sz w:val="24"/>
        </w:rPr>
        <w:t>Syntax and Semantics, Volume 3: Speech Acts</w:t>
      </w:r>
      <w:r w:rsidRPr="00A54CB9">
        <w:rPr>
          <w:rFonts w:ascii="Times New Roman" w:hAnsi="Times New Roman"/>
          <w:i/>
          <w:iCs/>
          <w:sz w:val="24"/>
        </w:rPr>
        <w:t xml:space="preserve"> </w:t>
      </w:r>
      <w:r w:rsidRPr="00A54CB9">
        <w:rPr>
          <w:rFonts w:ascii="Times New Roman" w:hAnsi="Times New Roman"/>
          <w:sz w:val="24"/>
        </w:rPr>
        <w:t xml:space="preserve">(1975) 41 at 42-43; Kripke, </w:t>
      </w:r>
      <w:r w:rsidRPr="00A54CB9">
        <w:rPr>
          <w:rFonts w:ascii="Times New Roman" w:hAnsi="Times New Roman"/>
          <w:i/>
          <w:iCs/>
          <w:sz w:val="24"/>
        </w:rPr>
        <w:t>Wittgenstein on Rules and Private Language</w:t>
      </w:r>
      <w:r w:rsidRPr="00A54CB9">
        <w:rPr>
          <w:rFonts w:ascii="Times New Roman" w:hAnsi="Times New Roman"/>
          <w:sz w:val="24"/>
        </w:rPr>
        <w:t xml:space="preserve"> (1982) at 81-83; Dworkin,</w:t>
      </w:r>
      <w:r w:rsidRPr="00A54CB9">
        <w:rPr>
          <w:rFonts w:ascii="Times New Roman" w:hAnsi="Times New Roman"/>
          <w:i/>
          <w:iCs/>
          <w:sz w:val="24"/>
        </w:rPr>
        <w:t xml:space="preserve"> Law's Empire</w:t>
      </w:r>
      <w:r w:rsidRPr="00A54CB9">
        <w:rPr>
          <w:rFonts w:ascii="Times New Roman" w:hAnsi="Times New Roman"/>
          <w:sz w:val="24"/>
        </w:rPr>
        <w:t xml:space="preserve"> (1986) at 71; Endicott, </w:t>
      </w:r>
      <w:r w:rsidRPr="00A54CB9">
        <w:rPr>
          <w:rFonts w:ascii="Times New Roman" w:hAnsi="Times New Roman"/>
          <w:i/>
          <w:iCs/>
          <w:sz w:val="24"/>
        </w:rPr>
        <w:t xml:space="preserve">Vagueness in Law </w:t>
      </w:r>
      <w:r w:rsidRPr="00A54CB9">
        <w:rPr>
          <w:rFonts w:ascii="Times New Roman" w:hAnsi="Times New Roman"/>
          <w:sz w:val="24"/>
        </w:rPr>
        <w:t>(2000) at 31-32.</w:t>
      </w:r>
    </w:p>
  </w:footnote>
  <w:footnote w:id="200">
    <w:p w14:paraId="335FBA7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Fried, "Sonnet LXV and the 'Black Ink' of the Framers' Intention" (1987) 100 </w:t>
      </w:r>
      <w:r w:rsidRPr="00A54CB9">
        <w:rPr>
          <w:rFonts w:ascii="Times New Roman" w:hAnsi="Times New Roman"/>
          <w:i/>
          <w:iCs/>
          <w:sz w:val="24"/>
        </w:rPr>
        <w:t>Harvard Law Review</w:t>
      </w:r>
      <w:r w:rsidRPr="00A54CB9">
        <w:rPr>
          <w:rFonts w:ascii="Times New Roman" w:hAnsi="Times New Roman"/>
          <w:sz w:val="24"/>
        </w:rPr>
        <w:t xml:space="preserve"> 751 at 758.</w:t>
      </w:r>
    </w:p>
  </w:footnote>
  <w:footnote w:id="201">
    <w:p w14:paraId="7A80E295" w14:textId="77777777" w:rsidR="00DE281D" w:rsidRPr="00A54CB9" w:rsidRDefault="00DE281D" w:rsidP="00A54CB9">
      <w:pPr>
        <w:pStyle w:val="FootnoteText"/>
        <w:spacing w:line="280" w:lineRule="exact"/>
        <w:ind w:right="0"/>
        <w:jc w:val="both"/>
        <w:rPr>
          <w:rFonts w:ascii="Times New Roman" w:hAnsi="Times New Roman"/>
          <w:i/>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[2004] 1 AC 1034 at 1054 [29]. </w:t>
      </w:r>
    </w:p>
  </w:footnote>
  <w:footnote w:id="202">
    <w:p w14:paraId="3D81644B"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Lake Macquarie Shire Council v Aberdare County Council</w:t>
      </w:r>
      <w:r w:rsidRPr="00A54CB9">
        <w:rPr>
          <w:rFonts w:ascii="Times New Roman" w:hAnsi="Times New Roman"/>
          <w:sz w:val="24"/>
        </w:rPr>
        <w:t xml:space="preserve"> (1970) 123 CLR 327 at 331; </w:t>
      </w:r>
      <w:r w:rsidRPr="00A54CB9">
        <w:rPr>
          <w:rFonts w:ascii="Times New Roman" w:hAnsi="Times New Roman"/>
          <w:i/>
          <w:iCs/>
          <w:sz w:val="24"/>
        </w:rPr>
        <w:t>Aubrey v The Queen</w:t>
      </w:r>
      <w:r w:rsidRPr="00A54CB9">
        <w:rPr>
          <w:rFonts w:ascii="Times New Roman" w:hAnsi="Times New Roman"/>
          <w:sz w:val="24"/>
        </w:rPr>
        <w:t xml:space="preserve"> (2017) 260 CLR 305 at 321-322 [29]; </w:t>
      </w:r>
      <w:r w:rsidRPr="00A54CB9">
        <w:rPr>
          <w:rFonts w:ascii="Times New Roman" w:hAnsi="Times New Roman"/>
          <w:i/>
          <w:sz w:val="24"/>
        </w:rPr>
        <w:t>Clubb v Edwards</w:t>
      </w:r>
      <w:r w:rsidRPr="00A54CB9">
        <w:rPr>
          <w:rFonts w:ascii="Times New Roman" w:hAnsi="Times New Roman"/>
          <w:sz w:val="24"/>
        </w:rPr>
        <w:t xml:space="preserve"> (2019) 267 CLR 171 at 318 [425]; </w:t>
      </w:r>
      <w:r w:rsidRPr="00A54CB9">
        <w:rPr>
          <w:rFonts w:ascii="Times New Roman" w:hAnsi="Times New Roman"/>
          <w:i/>
          <w:iCs/>
          <w:sz w:val="24"/>
        </w:rPr>
        <w:t>R v A2</w:t>
      </w:r>
      <w:r w:rsidRPr="00A54CB9">
        <w:rPr>
          <w:rFonts w:ascii="Times New Roman" w:hAnsi="Times New Roman"/>
          <w:sz w:val="24"/>
        </w:rPr>
        <w:t xml:space="preserve"> (2019) 269 CLR 507 at 553 [144], 562-563 [169]-[170]; </w:t>
      </w:r>
      <w:r w:rsidRPr="00A54CB9">
        <w:rPr>
          <w:rFonts w:ascii="Times New Roman" w:hAnsi="Times New Roman"/>
          <w:i/>
          <w:sz w:val="24"/>
        </w:rPr>
        <w:t>BMW Australia Ltd v Brewster</w:t>
      </w:r>
      <w:r w:rsidRPr="00A54CB9">
        <w:rPr>
          <w:rFonts w:ascii="Times New Roman" w:hAnsi="Times New Roman"/>
          <w:sz w:val="24"/>
        </w:rPr>
        <w:t xml:space="preserve"> (2019) 269 CLR 574 at 598 [44], 638 [171]. See also </w:t>
      </w:r>
      <w:r w:rsidRPr="00A54CB9">
        <w:rPr>
          <w:rFonts w:ascii="Times New Roman" w:hAnsi="Times New Roman"/>
          <w:i/>
          <w:sz w:val="24"/>
        </w:rPr>
        <w:t>Birmingham City Council v Oakley</w:t>
      </w:r>
      <w:r w:rsidRPr="00A54CB9">
        <w:rPr>
          <w:rFonts w:ascii="Times New Roman" w:hAnsi="Times New Roman"/>
          <w:sz w:val="24"/>
        </w:rPr>
        <w:t xml:space="preserve"> [2001] 1 AC 617 at 631; </w:t>
      </w:r>
      <w:r w:rsidRPr="00A54CB9">
        <w:rPr>
          <w:rFonts w:ascii="Times New Roman" w:hAnsi="Times New Roman"/>
          <w:i/>
          <w:iCs/>
          <w:sz w:val="24"/>
        </w:rPr>
        <w:t xml:space="preserve">R (Quintavalle) v Secretary of State for Health </w:t>
      </w:r>
      <w:r w:rsidRPr="00A54CB9">
        <w:rPr>
          <w:rFonts w:ascii="Times New Roman" w:hAnsi="Times New Roman"/>
          <w:sz w:val="24"/>
        </w:rPr>
        <w:t xml:space="preserve">[2003] 2 AC 687 at 695 [9]; </w:t>
      </w:r>
      <w:r w:rsidRPr="00A54CB9">
        <w:rPr>
          <w:rFonts w:ascii="Times New Roman" w:hAnsi="Times New Roman"/>
          <w:i/>
          <w:iCs/>
          <w:sz w:val="24"/>
        </w:rPr>
        <w:t>Owens v Owens</w:t>
      </w:r>
      <w:r w:rsidRPr="00A54CB9">
        <w:rPr>
          <w:rFonts w:ascii="Times New Roman" w:hAnsi="Times New Roman"/>
          <w:sz w:val="24"/>
        </w:rPr>
        <w:t xml:space="preserve"> [2018] AC 899 at 916-917 [30].</w:t>
      </w:r>
    </w:p>
  </w:footnote>
  <w:footnote w:id="203">
    <w:p w14:paraId="27F155F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Farshchi v The King </w:t>
      </w:r>
      <w:r w:rsidRPr="00A54CB9">
        <w:rPr>
          <w:rFonts w:ascii="Times New Roman" w:hAnsi="Times New Roman"/>
          <w:sz w:val="24"/>
        </w:rPr>
        <w:t xml:space="preserve">(2025) 100 ALJR 6 at 16 [35]; 426 ALR 185 at 194-195. </w:t>
      </w:r>
    </w:p>
  </w:footnote>
  <w:footnote w:id="204">
    <w:p w14:paraId="707B6122"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(2019) 269 CLR 507 at 553 [144].</w:t>
      </w:r>
    </w:p>
  </w:footnote>
  <w:footnote w:id="205">
    <w:p w14:paraId="484A39FB"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Acts Interpretation Act 1931 </w:t>
      </w:r>
      <w:r w:rsidRPr="00A54CB9">
        <w:rPr>
          <w:rFonts w:ascii="Times New Roman" w:hAnsi="Times New Roman"/>
          <w:sz w:val="24"/>
        </w:rPr>
        <w:t xml:space="preserve">(Tas), s 3. </w:t>
      </w:r>
    </w:p>
  </w:footnote>
  <w:footnote w:id="206">
    <w:p w14:paraId="629F29EC"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Acts Interpretation Act 1931 </w:t>
      </w:r>
      <w:r w:rsidRPr="00A54CB9">
        <w:rPr>
          <w:rFonts w:ascii="Times New Roman" w:hAnsi="Times New Roman"/>
          <w:sz w:val="24"/>
        </w:rPr>
        <w:t>(Tas), s 4(1).</w:t>
      </w:r>
    </w:p>
  </w:footnote>
  <w:footnote w:id="207">
    <w:p w14:paraId="0F18377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Lieber, </w:t>
      </w:r>
      <w:r w:rsidRPr="00A54CB9">
        <w:rPr>
          <w:rFonts w:ascii="Times New Roman" w:hAnsi="Times New Roman"/>
          <w:i/>
          <w:iCs/>
          <w:sz w:val="24"/>
        </w:rPr>
        <w:t>Legal and Political Hermeneutics</w:t>
      </w:r>
      <w:r w:rsidRPr="00A54CB9">
        <w:rPr>
          <w:rFonts w:ascii="Times New Roman" w:hAnsi="Times New Roman"/>
          <w:sz w:val="24"/>
        </w:rPr>
        <w:t>, enlarged ed (1839) at 23, 56.</w:t>
      </w:r>
    </w:p>
  </w:footnote>
  <w:footnote w:id="208">
    <w:p w14:paraId="2F14F6A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Black, </w:t>
      </w:r>
      <w:r w:rsidRPr="00A54CB9">
        <w:rPr>
          <w:rFonts w:ascii="Times New Roman" w:hAnsi="Times New Roman"/>
          <w:i/>
          <w:iCs/>
          <w:sz w:val="24"/>
        </w:rPr>
        <w:t xml:space="preserve">Handbook on the Construction and Interpretation of the Laws </w:t>
      </w:r>
      <w:r w:rsidRPr="00A54CB9">
        <w:rPr>
          <w:rFonts w:ascii="Times New Roman" w:hAnsi="Times New Roman"/>
          <w:sz w:val="24"/>
        </w:rPr>
        <w:t xml:space="preserve">(1896) at 1. </w:t>
      </w:r>
    </w:p>
  </w:footnote>
  <w:footnote w:id="209">
    <w:p w14:paraId="5247020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[1891] 1 QB 79 at 85.</w:t>
      </w:r>
    </w:p>
  </w:footnote>
  <w:footnote w:id="210">
    <w:p w14:paraId="09261B4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Life Insurance Company of Australia Ltd v Phillips</w:t>
      </w:r>
      <w:r w:rsidRPr="00A54CB9">
        <w:rPr>
          <w:rFonts w:ascii="Times New Roman" w:hAnsi="Times New Roman"/>
          <w:sz w:val="24"/>
        </w:rPr>
        <w:t xml:space="preserve"> (1925) 36 CLR 60 at 78.</w:t>
      </w:r>
    </w:p>
  </w:footnote>
  <w:footnote w:id="211">
    <w:p w14:paraId="15F0CD2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Stamp Act 1815</w:t>
      </w:r>
      <w:r w:rsidRPr="00A54CB9">
        <w:rPr>
          <w:rFonts w:ascii="Times New Roman" w:hAnsi="Times New Roman"/>
          <w:sz w:val="24"/>
        </w:rPr>
        <w:t xml:space="preserve"> (55 Geo 3 c 184), s 2. See also 11 &amp; 12 Vict c 5, s 7; 11 &amp; 12 Vict c 18, s 4; 13 &amp; 14 Vict c 97, s 2; </w:t>
      </w:r>
      <w:r w:rsidRPr="00A54CB9">
        <w:rPr>
          <w:rFonts w:ascii="Times New Roman" w:hAnsi="Times New Roman"/>
          <w:i/>
          <w:iCs/>
          <w:sz w:val="24"/>
        </w:rPr>
        <w:t>International Copyright Act 1852</w:t>
      </w:r>
      <w:r w:rsidRPr="00A54CB9">
        <w:rPr>
          <w:rFonts w:ascii="Times New Roman" w:hAnsi="Times New Roman"/>
          <w:sz w:val="24"/>
        </w:rPr>
        <w:t xml:space="preserve"> (15 &amp; 16 Vict c 12), s 10; </w:t>
      </w:r>
      <w:r w:rsidRPr="00A54CB9">
        <w:rPr>
          <w:rFonts w:ascii="Times New Roman" w:hAnsi="Times New Roman"/>
          <w:i/>
          <w:iCs/>
          <w:sz w:val="24"/>
        </w:rPr>
        <w:t xml:space="preserve">Crown Lands Act Amendment Act 1903 </w:t>
      </w:r>
      <w:r w:rsidRPr="00A54CB9">
        <w:rPr>
          <w:rFonts w:ascii="Times New Roman" w:hAnsi="Times New Roman"/>
          <w:sz w:val="24"/>
        </w:rPr>
        <w:t xml:space="preserve">(NSW), s 1; </w:t>
      </w:r>
      <w:r w:rsidRPr="00A54CB9">
        <w:rPr>
          <w:rFonts w:ascii="Times New Roman" w:hAnsi="Times New Roman"/>
          <w:i/>
          <w:iCs/>
          <w:sz w:val="24"/>
        </w:rPr>
        <w:t xml:space="preserve">Public Service Act 1900 </w:t>
      </w:r>
      <w:r w:rsidRPr="00A54CB9">
        <w:rPr>
          <w:rFonts w:ascii="Times New Roman" w:hAnsi="Times New Roman"/>
          <w:sz w:val="24"/>
        </w:rPr>
        <w:t xml:space="preserve">(Vic), s 1.  </w:t>
      </w:r>
    </w:p>
  </w:footnote>
  <w:footnote w:id="212">
    <w:p w14:paraId="51FC3082"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Hardcastle and Craies, </w:t>
      </w:r>
      <w:r w:rsidRPr="00A54CB9">
        <w:rPr>
          <w:rFonts w:ascii="Times New Roman" w:hAnsi="Times New Roman"/>
          <w:i/>
          <w:sz w:val="24"/>
        </w:rPr>
        <w:t>A Treatise on</w:t>
      </w:r>
      <w:r w:rsidRPr="00A54CB9">
        <w:rPr>
          <w:rFonts w:ascii="Times New Roman" w:hAnsi="Times New Roman"/>
          <w:i/>
          <w:iCs/>
          <w:sz w:val="24"/>
        </w:rPr>
        <w:t xml:space="preserve"> the Construction and Effect of Statut</w:t>
      </w:r>
      <w:r w:rsidRPr="00A54CB9">
        <w:rPr>
          <w:rFonts w:ascii="Times New Roman" w:hAnsi="Times New Roman"/>
          <w:i/>
          <w:sz w:val="24"/>
        </w:rPr>
        <w:t>e</w:t>
      </w:r>
      <w:r w:rsidRPr="00A54CB9">
        <w:rPr>
          <w:rFonts w:ascii="Times New Roman" w:hAnsi="Times New Roman"/>
          <w:i/>
          <w:iCs/>
          <w:sz w:val="24"/>
        </w:rPr>
        <w:t xml:space="preserve"> Law</w:t>
      </w:r>
      <w:r w:rsidRPr="00A54CB9">
        <w:rPr>
          <w:rFonts w:ascii="Times New Roman" w:hAnsi="Times New Roman"/>
          <w:sz w:val="24"/>
        </w:rPr>
        <w:t>, 2nd ed (1892) at 148.</w:t>
      </w:r>
      <w:r w:rsidRPr="00A54CB9">
        <w:rPr>
          <w:rFonts w:ascii="Times New Roman" w:hAnsi="Times New Roman"/>
          <w:sz w:val="24"/>
        </w:rPr>
        <w:tab/>
      </w:r>
    </w:p>
  </w:footnote>
  <w:footnote w:id="213">
    <w:p w14:paraId="52DDBA0D"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See </w:t>
      </w:r>
      <w:r w:rsidRPr="00A54CB9">
        <w:rPr>
          <w:rFonts w:ascii="Times New Roman" w:hAnsi="Times New Roman"/>
          <w:i/>
          <w:sz w:val="24"/>
        </w:rPr>
        <w:t>Clubb v Edwards</w:t>
      </w:r>
      <w:r w:rsidRPr="00A54CB9">
        <w:rPr>
          <w:rFonts w:ascii="Times New Roman" w:hAnsi="Times New Roman"/>
          <w:sz w:val="24"/>
        </w:rPr>
        <w:t xml:space="preserve"> (2019) 267 CLR 171 at 319 [427].  </w:t>
      </w:r>
    </w:p>
  </w:footnote>
  <w:footnote w:id="214">
    <w:p w14:paraId="1F3761DC"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ab/>
      </w:r>
      <w:r w:rsidRPr="00A54CB9">
        <w:rPr>
          <w:rFonts w:ascii="Times New Roman" w:hAnsi="Times New Roman"/>
          <w:i/>
          <w:iCs/>
          <w:sz w:val="24"/>
        </w:rPr>
        <w:t xml:space="preserve">New South Wales </w:t>
      </w:r>
      <w:r w:rsidRPr="00A54CB9">
        <w:rPr>
          <w:rFonts w:ascii="Times New Roman" w:hAnsi="Times New Roman"/>
          <w:i/>
          <w:sz w:val="24"/>
        </w:rPr>
        <w:t>v The Commonwealth</w:t>
      </w:r>
      <w:r w:rsidRPr="00A54CB9">
        <w:rPr>
          <w:rFonts w:ascii="Times New Roman" w:hAnsi="Times New Roman"/>
          <w:i/>
          <w:iCs/>
          <w:sz w:val="24"/>
        </w:rPr>
        <w:t xml:space="preserve"> </w:t>
      </w:r>
      <w:r w:rsidRPr="00A54CB9">
        <w:rPr>
          <w:rFonts w:ascii="Times New Roman" w:hAnsi="Times New Roman"/>
          <w:sz w:val="24"/>
        </w:rPr>
        <w:t xml:space="preserve">(1915) 20 CLR 54 at 96. </w:t>
      </w:r>
    </w:p>
  </w:footnote>
  <w:footnote w:id="215">
    <w:p w14:paraId="2AB2064C"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Federal Commissioner of Taxation v Munro </w:t>
      </w:r>
      <w:r w:rsidRPr="00A54CB9">
        <w:rPr>
          <w:rFonts w:ascii="Times New Roman" w:hAnsi="Times New Roman"/>
          <w:sz w:val="24"/>
        </w:rPr>
        <w:t xml:space="preserve">(1926) 38 CLR 153 at 180. "[I]t is better for a thing to have effect than to be made void": </w:t>
      </w:r>
      <w:r w:rsidRPr="00A54CB9">
        <w:rPr>
          <w:rFonts w:ascii="Times New Roman" w:hAnsi="Times New Roman"/>
          <w:i/>
          <w:iCs/>
          <w:sz w:val="24"/>
        </w:rPr>
        <w:t>Jowitt's Dictionary of English Law</w:t>
      </w:r>
      <w:r w:rsidRPr="00A54CB9">
        <w:rPr>
          <w:rFonts w:ascii="Times New Roman" w:hAnsi="Times New Roman"/>
          <w:sz w:val="24"/>
        </w:rPr>
        <w:t>,</w:t>
      </w:r>
      <w:r w:rsidRPr="00A54CB9">
        <w:rPr>
          <w:rFonts w:ascii="Times New Roman" w:hAnsi="Times New Roman"/>
          <w:i/>
          <w:iCs/>
          <w:sz w:val="24"/>
        </w:rPr>
        <w:t xml:space="preserve"> </w:t>
      </w:r>
      <w:r w:rsidRPr="00A54CB9">
        <w:rPr>
          <w:rFonts w:ascii="Times New Roman" w:hAnsi="Times New Roman"/>
          <w:sz w:val="24"/>
        </w:rPr>
        <w:t>6th ed (2024), vol 2 at 2688.</w:t>
      </w:r>
    </w:p>
  </w:footnote>
  <w:footnote w:id="216">
    <w:p w14:paraId="0AA84F2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Dawson v The Commonwealth </w:t>
      </w:r>
      <w:r w:rsidRPr="00A54CB9">
        <w:rPr>
          <w:rFonts w:ascii="Times New Roman" w:hAnsi="Times New Roman"/>
          <w:sz w:val="24"/>
        </w:rPr>
        <w:t>(1946) 73 CLR 157 at 178.</w:t>
      </w:r>
    </w:p>
  </w:footnote>
  <w:footnote w:id="217">
    <w:p w14:paraId="75F05D5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(1910) 11 CLR 689.</w:t>
      </w:r>
    </w:p>
  </w:footnote>
  <w:footnote w:id="218">
    <w:p w14:paraId="2139768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Owners of SS Kalibia v Wilson</w:t>
      </w:r>
      <w:r w:rsidRPr="00A54CB9">
        <w:rPr>
          <w:rFonts w:ascii="Times New Roman" w:hAnsi="Times New Roman"/>
          <w:sz w:val="24"/>
        </w:rPr>
        <w:t xml:space="preserve"> (1910) 11 CLR 689 at 715.</w:t>
      </w:r>
    </w:p>
  </w:footnote>
  <w:footnote w:id="219">
    <w:p w14:paraId="3483C04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Australia, House of Representatives, </w:t>
      </w:r>
      <w:r w:rsidRPr="00A54CB9">
        <w:rPr>
          <w:rFonts w:ascii="Times New Roman" w:hAnsi="Times New Roman"/>
          <w:i/>
          <w:iCs/>
          <w:sz w:val="24"/>
        </w:rPr>
        <w:t xml:space="preserve">Parliamentary Debates </w:t>
      </w:r>
      <w:r w:rsidRPr="00A54CB9">
        <w:rPr>
          <w:rFonts w:ascii="Times New Roman" w:hAnsi="Times New Roman"/>
          <w:sz w:val="24"/>
        </w:rPr>
        <w:t xml:space="preserve">(Hansard), 19 July 1912 at 1058-1060; Australia, House of Representatives, </w:t>
      </w:r>
      <w:r w:rsidRPr="00A54CB9">
        <w:rPr>
          <w:rFonts w:ascii="Times New Roman" w:hAnsi="Times New Roman"/>
          <w:i/>
          <w:iCs/>
          <w:sz w:val="24"/>
        </w:rPr>
        <w:t xml:space="preserve">Parliamentary Debates </w:t>
      </w:r>
      <w:r w:rsidRPr="00A54CB9">
        <w:rPr>
          <w:rFonts w:ascii="Times New Roman" w:hAnsi="Times New Roman"/>
          <w:sz w:val="24"/>
        </w:rPr>
        <w:t>(Hansard), 17 October 1912 at 4387.</w:t>
      </w:r>
    </w:p>
  </w:footnote>
  <w:footnote w:id="220">
    <w:p w14:paraId="3D742AF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McDonald v Victoria</w:t>
      </w:r>
      <w:r w:rsidRPr="00A54CB9">
        <w:rPr>
          <w:rFonts w:ascii="Times New Roman" w:hAnsi="Times New Roman"/>
          <w:sz w:val="24"/>
        </w:rPr>
        <w:t xml:space="preserve"> (1937) 58 CLR 146 at 153-154; </w:t>
      </w:r>
      <w:r w:rsidRPr="00A54CB9">
        <w:rPr>
          <w:rFonts w:ascii="Times New Roman" w:hAnsi="Times New Roman"/>
          <w:i/>
          <w:iCs/>
          <w:sz w:val="24"/>
        </w:rPr>
        <w:t>Lockwood v The Commonwealth</w:t>
      </w:r>
      <w:r w:rsidRPr="00A54CB9">
        <w:rPr>
          <w:rFonts w:ascii="Times New Roman" w:hAnsi="Times New Roman"/>
          <w:sz w:val="24"/>
        </w:rPr>
        <w:t xml:space="preserve"> (1954) 90 CLR 177 at 183; </w:t>
      </w:r>
      <w:r w:rsidRPr="00A54CB9">
        <w:rPr>
          <w:rFonts w:ascii="Times New Roman" w:hAnsi="Times New Roman"/>
          <w:i/>
          <w:iCs/>
          <w:sz w:val="24"/>
        </w:rPr>
        <w:t>Chu Kheng Lim v Minister for Immigration, Local Government and Ethnic Affairs</w:t>
      </w:r>
      <w:r w:rsidRPr="00A54CB9">
        <w:rPr>
          <w:rFonts w:ascii="Times New Roman" w:hAnsi="Times New Roman"/>
          <w:sz w:val="24"/>
        </w:rPr>
        <w:t xml:space="preserve"> (1992) 176 CLR 1 at 14; </w:t>
      </w:r>
      <w:r w:rsidRPr="00A54CB9">
        <w:rPr>
          <w:rFonts w:ascii="Times New Roman" w:hAnsi="Times New Roman"/>
          <w:i/>
          <w:iCs/>
          <w:sz w:val="24"/>
        </w:rPr>
        <w:t>Western Australia v The Commonwealth (Native Title Act Case)</w:t>
      </w:r>
      <w:r w:rsidRPr="00A54CB9">
        <w:rPr>
          <w:rFonts w:ascii="Times New Roman" w:hAnsi="Times New Roman"/>
          <w:sz w:val="24"/>
        </w:rPr>
        <w:t xml:space="preserve"> (1995) 183 CLR 373 at 469; </w:t>
      </w:r>
      <w:r w:rsidRPr="00A54CB9">
        <w:rPr>
          <w:rFonts w:ascii="Times New Roman" w:hAnsi="Times New Roman"/>
          <w:i/>
          <w:iCs/>
          <w:sz w:val="24"/>
        </w:rPr>
        <w:t>Airservices Australia v Canadian Airlines International Ltd</w:t>
      </w:r>
      <w:r w:rsidRPr="00A54CB9">
        <w:rPr>
          <w:rFonts w:ascii="Times New Roman" w:hAnsi="Times New Roman"/>
          <w:sz w:val="24"/>
        </w:rPr>
        <w:t xml:space="preserve"> (2000) 202 CLR 133 at 271 [408]; </w:t>
      </w:r>
      <w:r w:rsidRPr="00A54CB9">
        <w:rPr>
          <w:rFonts w:ascii="Times New Roman" w:hAnsi="Times New Roman"/>
          <w:i/>
          <w:iCs/>
          <w:sz w:val="24"/>
        </w:rPr>
        <w:t xml:space="preserve">Plaintiff S157/2002 v The Commonwealth </w:t>
      </w:r>
      <w:r w:rsidRPr="00A54CB9">
        <w:rPr>
          <w:rFonts w:ascii="Times New Roman" w:hAnsi="Times New Roman"/>
          <w:sz w:val="24"/>
        </w:rPr>
        <w:t xml:space="preserve">(2003) 211 CLR 476 at 504 [71]; </w:t>
      </w:r>
      <w:r w:rsidRPr="00A54CB9">
        <w:rPr>
          <w:rFonts w:ascii="Times New Roman" w:hAnsi="Times New Roman"/>
          <w:i/>
          <w:iCs/>
          <w:sz w:val="24"/>
        </w:rPr>
        <w:t>Coleman v Power</w:t>
      </w:r>
      <w:r w:rsidRPr="00A54CB9">
        <w:rPr>
          <w:rFonts w:ascii="Times New Roman" w:hAnsi="Times New Roman"/>
          <w:sz w:val="24"/>
        </w:rPr>
        <w:t xml:space="preserve"> (2004) 220 CLR 1 at 87-88 [227]; </w:t>
      </w:r>
      <w:r w:rsidRPr="00A54CB9">
        <w:rPr>
          <w:rFonts w:ascii="Times New Roman" w:hAnsi="Times New Roman"/>
          <w:i/>
          <w:iCs/>
          <w:sz w:val="24"/>
        </w:rPr>
        <w:t>Ruhani v Director of Police</w:t>
      </w:r>
      <w:r w:rsidRPr="00A54CB9">
        <w:rPr>
          <w:rFonts w:ascii="Times New Roman" w:hAnsi="Times New Roman"/>
          <w:sz w:val="24"/>
        </w:rPr>
        <w:t xml:space="preserve"> (2005) 222 CLR 489 at 538-539 [148]; </w:t>
      </w:r>
      <w:r w:rsidRPr="00A54CB9">
        <w:rPr>
          <w:rFonts w:ascii="Times New Roman" w:hAnsi="Times New Roman"/>
          <w:i/>
          <w:iCs/>
          <w:sz w:val="24"/>
        </w:rPr>
        <w:t>Monis v The Queen</w:t>
      </w:r>
      <w:r w:rsidRPr="00A54CB9">
        <w:rPr>
          <w:rFonts w:ascii="Times New Roman" w:hAnsi="Times New Roman"/>
          <w:sz w:val="24"/>
        </w:rPr>
        <w:t xml:space="preserve"> (2013) 249 CLR 92 at 208 [327]-[328]; </w:t>
      </w:r>
      <w:r w:rsidRPr="00A54CB9">
        <w:rPr>
          <w:rFonts w:ascii="Times New Roman" w:hAnsi="Times New Roman"/>
          <w:i/>
          <w:iCs/>
          <w:sz w:val="24"/>
        </w:rPr>
        <w:t>MJZP v Director-General of Security</w:t>
      </w:r>
      <w:r w:rsidRPr="00A54CB9">
        <w:rPr>
          <w:rFonts w:ascii="Times New Roman" w:hAnsi="Times New Roman"/>
          <w:sz w:val="24"/>
        </w:rPr>
        <w:t xml:space="preserve"> (2025) 99 ALJR 1108 at 1122 [62]; 423 ALR 378 at 395. See also Pearce, </w:t>
      </w:r>
      <w:r w:rsidRPr="00A54CB9">
        <w:rPr>
          <w:rFonts w:ascii="Times New Roman" w:hAnsi="Times New Roman"/>
          <w:i/>
          <w:iCs/>
          <w:sz w:val="24"/>
        </w:rPr>
        <w:t>Statutory Interpretation in Australia</w:t>
      </w:r>
      <w:r w:rsidRPr="00A54CB9">
        <w:rPr>
          <w:rFonts w:ascii="Times New Roman" w:hAnsi="Times New Roman"/>
          <w:sz w:val="24"/>
        </w:rPr>
        <w:t>, 10th ed (2024) at 85-86 [2.67].</w:t>
      </w:r>
    </w:p>
  </w:footnote>
  <w:footnote w:id="221">
    <w:p w14:paraId="2CA181B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Pape v Federal Commissioner of Taxation </w:t>
      </w:r>
      <w:r w:rsidRPr="00A54CB9">
        <w:rPr>
          <w:rFonts w:ascii="Times New Roman" w:hAnsi="Times New Roman"/>
          <w:sz w:val="24"/>
        </w:rPr>
        <w:t xml:space="preserve">(2009) 238 CLR 1 at 94 [251], citing </w:t>
      </w:r>
      <w:r w:rsidRPr="00A54CB9">
        <w:rPr>
          <w:rFonts w:ascii="Times New Roman" w:hAnsi="Times New Roman"/>
          <w:i/>
          <w:sz w:val="24"/>
        </w:rPr>
        <w:t xml:space="preserve">Western Australia v The Commonwealth (Native Title Act Case) </w:t>
      </w:r>
      <w:r w:rsidRPr="00A54CB9">
        <w:rPr>
          <w:rFonts w:ascii="Times New Roman" w:hAnsi="Times New Roman"/>
          <w:sz w:val="24"/>
        </w:rPr>
        <w:t xml:space="preserve">(1995) 183 CLR 373 at 485-486. </w:t>
      </w:r>
    </w:p>
  </w:footnote>
  <w:footnote w:id="222">
    <w:p w14:paraId="4AFA8C4B"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(1921) 29 CLR 357 at 369. </w:t>
      </w:r>
    </w:p>
  </w:footnote>
  <w:footnote w:id="223">
    <w:p w14:paraId="08E4FD4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Owners of SS Kalibia v Wilson</w:t>
      </w:r>
      <w:r w:rsidRPr="00A54CB9">
        <w:rPr>
          <w:rFonts w:ascii="Times New Roman" w:hAnsi="Times New Roman"/>
          <w:sz w:val="24"/>
        </w:rPr>
        <w:t xml:space="preserve"> (1910) 11 CLR 689 at 709.</w:t>
      </w:r>
    </w:p>
  </w:footnote>
  <w:footnote w:id="224">
    <w:p w14:paraId="53D55313"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For instance, </w:t>
      </w:r>
      <w:r w:rsidRPr="00A54CB9">
        <w:rPr>
          <w:rFonts w:ascii="Times New Roman" w:hAnsi="Times New Roman"/>
          <w:i/>
          <w:iCs/>
          <w:sz w:val="24"/>
        </w:rPr>
        <w:t>Pape v Federal Commissioner of Taxation</w:t>
      </w:r>
      <w:r w:rsidRPr="00A54CB9">
        <w:rPr>
          <w:rFonts w:ascii="Times New Roman" w:hAnsi="Times New Roman"/>
          <w:sz w:val="24"/>
        </w:rPr>
        <w:t xml:space="preserve"> (2009) 238 CLR 1 at 93 [249]-[250]; </w:t>
      </w:r>
      <w:r w:rsidRPr="00A54CB9">
        <w:rPr>
          <w:rFonts w:ascii="Times New Roman" w:hAnsi="Times New Roman"/>
          <w:i/>
          <w:iCs/>
          <w:sz w:val="24"/>
        </w:rPr>
        <w:t xml:space="preserve">Tajjour v New South Wales </w:t>
      </w:r>
      <w:r w:rsidRPr="00A54CB9">
        <w:rPr>
          <w:rFonts w:ascii="Times New Roman" w:hAnsi="Times New Roman"/>
          <w:sz w:val="24"/>
        </w:rPr>
        <w:t>(2014) 254 CLR 508 at 585-589 [168]-[178].</w:t>
      </w:r>
    </w:p>
  </w:footnote>
  <w:footnote w:id="225">
    <w:p w14:paraId="39E0E84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R v Poole; Ex parte Henry [No 2]</w:t>
      </w:r>
      <w:r w:rsidRPr="00A54CB9">
        <w:rPr>
          <w:rFonts w:ascii="Times New Roman" w:hAnsi="Times New Roman"/>
          <w:sz w:val="24"/>
        </w:rPr>
        <w:t xml:space="preserve"> (1939) 61 CLR 634 at 653. </w:t>
      </w:r>
    </w:p>
  </w:footnote>
  <w:footnote w:id="226">
    <w:p w14:paraId="043BC69C" w14:textId="77777777" w:rsidR="00DE281D" w:rsidRPr="00A54CB9" w:rsidRDefault="00DE281D" w:rsidP="00A54CB9">
      <w:pPr>
        <w:pStyle w:val="FootnoteText"/>
        <w:spacing w:line="280" w:lineRule="exact"/>
        <w:ind w:right="0"/>
        <w:jc w:val="both"/>
        <w:rPr>
          <w:rFonts w:ascii="Times New Roman" w:hAnsi="Times New Roman"/>
          <w:i/>
          <w:iCs/>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Taylor v Owners </w:t>
      </w:r>
      <w:r w:rsidRPr="00A54CB9">
        <w:rPr>
          <w:rFonts w:ascii="Times New Roman" w:hAnsi="Times New Roman"/>
          <w:i/>
          <w:sz w:val="24"/>
        </w:rPr>
        <w:t>–</w:t>
      </w:r>
      <w:r w:rsidRPr="00A54CB9">
        <w:rPr>
          <w:rFonts w:ascii="Times New Roman" w:hAnsi="Times New Roman"/>
          <w:i/>
          <w:iCs/>
          <w:sz w:val="24"/>
        </w:rPr>
        <w:t xml:space="preserve"> Strata Plan No 11564 </w:t>
      </w:r>
      <w:r w:rsidRPr="00A54CB9">
        <w:rPr>
          <w:rFonts w:ascii="Times New Roman" w:hAnsi="Times New Roman"/>
          <w:sz w:val="24"/>
        </w:rPr>
        <w:t xml:space="preserve">(2014) 253 CLR 531 at 548 [37] compared with 547 [35], quoting </w:t>
      </w:r>
      <w:r w:rsidRPr="00A54CB9">
        <w:rPr>
          <w:rFonts w:ascii="Times New Roman" w:hAnsi="Times New Roman"/>
          <w:i/>
          <w:iCs/>
          <w:sz w:val="24"/>
        </w:rPr>
        <w:t xml:space="preserve">R v PLV </w:t>
      </w:r>
      <w:r w:rsidRPr="00A54CB9">
        <w:rPr>
          <w:rFonts w:ascii="Times New Roman" w:hAnsi="Times New Roman"/>
          <w:sz w:val="24"/>
        </w:rPr>
        <w:t xml:space="preserve">(2001) 51 NSWLR 736 at 743-744 [88] (doubting the authority of "reading up"). See also Hume, "The Rule of Law in Reading Down: Good Law for the 'Bad Man'" (2014) 37 </w:t>
      </w:r>
      <w:r w:rsidRPr="00A54CB9">
        <w:rPr>
          <w:rFonts w:ascii="Times New Roman" w:hAnsi="Times New Roman"/>
          <w:i/>
          <w:iCs/>
          <w:sz w:val="24"/>
        </w:rPr>
        <w:t xml:space="preserve">Melbourne University Law Review </w:t>
      </w:r>
      <w:r w:rsidRPr="00A54CB9">
        <w:rPr>
          <w:rFonts w:ascii="Times New Roman" w:hAnsi="Times New Roman"/>
          <w:sz w:val="24"/>
        </w:rPr>
        <w:t>620 at 623-624.</w:t>
      </w:r>
    </w:p>
  </w:footnote>
  <w:footnote w:id="227">
    <w:p w14:paraId="043F07D9"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Interpretation Act 1987</w:t>
      </w:r>
      <w:r w:rsidRPr="00A54CB9">
        <w:rPr>
          <w:rFonts w:ascii="Times New Roman" w:hAnsi="Times New Roman"/>
          <w:sz w:val="24"/>
        </w:rPr>
        <w:t xml:space="preserve"> (NSW), s 31(2).</w:t>
      </w:r>
    </w:p>
  </w:footnote>
  <w:footnote w:id="228">
    <w:p w14:paraId="011CB3A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Acts Interpretation Act 1954</w:t>
      </w:r>
      <w:r w:rsidRPr="00A54CB9">
        <w:rPr>
          <w:rFonts w:ascii="Times New Roman" w:hAnsi="Times New Roman"/>
          <w:sz w:val="24"/>
        </w:rPr>
        <w:t xml:space="preserve"> (Qld), ss 9(1), 9(3) (emphasis added).</w:t>
      </w:r>
    </w:p>
  </w:footnote>
  <w:footnote w:id="229">
    <w:p w14:paraId="4524BA6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NZYQ v Minister for Immigration, Citizenship and Multicultural Affairs </w:t>
      </w:r>
      <w:r w:rsidRPr="00A54CB9">
        <w:rPr>
          <w:rFonts w:ascii="Times New Roman" w:hAnsi="Times New Roman"/>
          <w:sz w:val="24"/>
        </w:rPr>
        <w:t>(2023) 280 CLR 137</w:t>
      </w:r>
      <w:r w:rsidRPr="00A54CB9">
        <w:rPr>
          <w:rFonts w:ascii="Times New Roman" w:hAnsi="Times New Roman"/>
          <w:i/>
          <w:iCs/>
          <w:sz w:val="24"/>
        </w:rPr>
        <w:t xml:space="preserve"> </w:t>
      </w:r>
      <w:r w:rsidRPr="00A54CB9">
        <w:rPr>
          <w:rFonts w:ascii="Times New Roman" w:hAnsi="Times New Roman"/>
          <w:sz w:val="24"/>
        </w:rPr>
        <w:t xml:space="preserve">at 166 [71]. </w:t>
      </w:r>
    </w:p>
  </w:footnote>
  <w:footnote w:id="230">
    <w:p w14:paraId="2D0FC5C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(2024) 184 ALD 393 at 408 [60].</w:t>
      </w:r>
    </w:p>
  </w:footnote>
  <w:footnote w:id="231">
    <w:p w14:paraId="5122553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Clubb v Edwards </w:t>
      </w:r>
      <w:r w:rsidRPr="00A54CB9">
        <w:rPr>
          <w:rFonts w:ascii="Times New Roman" w:hAnsi="Times New Roman"/>
          <w:sz w:val="24"/>
        </w:rPr>
        <w:t>(2019) 267 CLR 171 at 321 [431]-[432].</w:t>
      </w:r>
    </w:p>
  </w:footnote>
  <w:footnote w:id="232">
    <w:p w14:paraId="2D2C834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Re F; Ex parte F</w:t>
      </w:r>
      <w:r w:rsidRPr="00A54CB9">
        <w:rPr>
          <w:rFonts w:ascii="Times New Roman" w:hAnsi="Times New Roman"/>
          <w:sz w:val="24"/>
        </w:rPr>
        <w:t xml:space="preserve"> (1986) 161 CLR 376 at 385. See also </w:t>
      </w:r>
      <w:r w:rsidRPr="00A54CB9">
        <w:rPr>
          <w:rFonts w:ascii="Times New Roman" w:hAnsi="Times New Roman"/>
          <w:i/>
          <w:iCs/>
          <w:sz w:val="24"/>
        </w:rPr>
        <w:t>Pidoto v Victoria</w:t>
      </w:r>
      <w:r w:rsidRPr="00A54CB9">
        <w:rPr>
          <w:rFonts w:ascii="Times New Roman" w:hAnsi="Times New Roman"/>
          <w:sz w:val="24"/>
        </w:rPr>
        <w:t xml:space="preserve"> (1943) 68 CLR 87 at 110-111.</w:t>
      </w:r>
    </w:p>
  </w:footnote>
  <w:footnote w:id="233">
    <w:p w14:paraId="1FB572F8"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Cam &amp; Sons Pty Ltd v </w:t>
      </w:r>
      <w:r w:rsidRPr="00A54CB9">
        <w:rPr>
          <w:rFonts w:ascii="Times New Roman" w:hAnsi="Times New Roman"/>
          <w:i/>
          <w:sz w:val="24"/>
        </w:rPr>
        <w:t>The</w:t>
      </w:r>
      <w:r w:rsidRPr="00A54CB9">
        <w:rPr>
          <w:rFonts w:ascii="Times New Roman" w:hAnsi="Times New Roman"/>
          <w:i/>
          <w:iCs/>
          <w:sz w:val="24"/>
        </w:rPr>
        <w:t xml:space="preserve"> Chief Secretary </w:t>
      </w:r>
      <w:r w:rsidRPr="00A54CB9">
        <w:rPr>
          <w:rFonts w:ascii="Times New Roman" w:hAnsi="Times New Roman"/>
          <w:i/>
          <w:sz w:val="24"/>
        </w:rPr>
        <w:t xml:space="preserve">of </w:t>
      </w:r>
      <w:r w:rsidRPr="00A54CB9">
        <w:rPr>
          <w:rFonts w:ascii="Times New Roman" w:hAnsi="Times New Roman"/>
          <w:i/>
          <w:iCs/>
          <w:sz w:val="24"/>
        </w:rPr>
        <w:t>N</w:t>
      </w:r>
      <w:r w:rsidRPr="00A54CB9">
        <w:rPr>
          <w:rFonts w:ascii="Times New Roman" w:hAnsi="Times New Roman"/>
          <w:i/>
          <w:sz w:val="24"/>
        </w:rPr>
        <w:t>ew</w:t>
      </w:r>
      <w:r w:rsidRPr="00A54CB9">
        <w:rPr>
          <w:rFonts w:ascii="Times New Roman" w:hAnsi="Times New Roman"/>
          <w:i/>
          <w:iCs/>
          <w:sz w:val="24"/>
        </w:rPr>
        <w:t xml:space="preserve"> S</w:t>
      </w:r>
      <w:r w:rsidRPr="00A54CB9">
        <w:rPr>
          <w:rFonts w:ascii="Times New Roman" w:hAnsi="Times New Roman"/>
          <w:i/>
          <w:sz w:val="24"/>
        </w:rPr>
        <w:t>outh</w:t>
      </w:r>
      <w:r w:rsidRPr="00A54CB9">
        <w:rPr>
          <w:rFonts w:ascii="Times New Roman" w:hAnsi="Times New Roman"/>
          <w:i/>
          <w:iCs/>
          <w:sz w:val="24"/>
        </w:rPr>
        <w:t xml:space="preserve"> W</w:t>
      </w:r>
      <w:r w:rsidRPr="00A54CB9">
        <w:rPr>
          <w:rFonts w:ascii="Times New Roman" w:hAnsi="Times New Roman"/>
          <w:i/>
          <w:sz w:val="24"/>
        </w:rPr>
        <w:t>ales</w:t>
      </w:r>
      <w:r w:rsidRPr="00A54CB9">
        <w:rPr>
          <w:rFonts w:ascii="Times New Roman" w:hAnsi="Times New Roman"/>
          <w:sz w:val="24"/>
        </w:rPr>
        <w:t xml:space="preserve"> (1951) 84 CLR 442 at 454. See also </w:t>
      </w:r>
      <w:r w:rsidRPr="00A54CB9">
        <w:rPr>
          <w:rFonts w:ascii="Times New Roman" w:hAnsi="Times New Roman"/>
          <w:i/>
          <w:iCs/>
          <w:sz w:val="24"/>
        </w:rPr>
        <w:t>R v Poole; Ex parte Henry [No 2]</w:t>
      </w:r>
      <w:r w:rsidRPr="00A54CB9">
        <w:rPr>
          <w:rFonts w:ascii="Times New Roman" w:hAnsi="Times New Roman"/>
          <w:sz w:val="24"/>
        </w:rPr>
        <w:t xml:space="preserve"> (1939) 61 CLR 634 at 652; </w:t>
      </w:r>
      <w:r w:rsidRPr="00A54CB9">
        <w:rPr>
          <w:rFonts w:ascii="Times New Roman" w:hAnsi="Times New Roman"/>
          <w:i/>
          <w:iCs/>
          <w:sz w:val="24"/>
        </w:rPr>
        <w:t>Pidoto v Victoria</w:t>
      </w:r>
      <w:r w:rsidRPr="00A54CB9">
        <w:rPr>
          <w:rFonts w:ascii="Times New Roman" w:hAnsi="Times New Roman"/>
          <w:sz w:val="24"/>
        </w:rPr>
        <w:t xml:space="preserve"> (1943) 68 CLR 87 at 108; </w:t>
      </w:r>
      <w:r w:rsidRPr="00A54CB9">
        <w:rPr>
          <w:rFonts w:ascii="Times New Roman" w:hAnsi="Times New Roman"/>
          <w:i/>
          <w:iCs/>
          <w:sz w:val="24"/>
        </w:rPr>
        <w:t>Victoria v The Commonwealth (Industrial Relations Act Case)</w:t>
      </w:r>
      <w:r w:rsidRPr="00A54CB9">
        <w:rPr>
          <w:rFonts w:ascii="Times New Roman" w:hAnsi="Times New Roman"/>
          <w:sz w:val="24"/>
        </w:rPr>
        <w:t xml:space="preserve"> (1996) 187 CLR 416 at 502.</w:t>
      </w:r>
    </w:p>
  </w:footnote>
  <w:footnote w:id="234">
    <w:p w14:paraId="0F0859B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Pidoto v Victoria </w:t>
      </w:r>
      <w:r w:rsidRPr="00A54CB9">
        <w:rPr>
          <w:rFonts w:ascii="Times New Roman" w:hAnsi="Times New Roman"/>
          <w:sz w:val="24"/>
        </w:rPr>
        <w:t>(1943) 68 CLR 87 at 111.</w:t>
      </w:r>
    </w:p>
  </w:footnote>
  <w:footnote w:id="235">
    <w:p w14:paraId="4E661E6A" w14:textId="77777777" w:rsidR="00DE281D" w:rsidRPr="00A54CB9" w:rsidRDefault="00DE281D" w:rsidP="00A54CB9">
      <w:pPr>
        <w:pStyle w:val="FootnoteText"/>
        <w:spacing w:line="280" w:lineRule="exact"/>
        <w:ind w:right="0"/>
        <w:jc w:val="both"/>
        <w:rPr>
          <w:rFonts w:ascii="Times New Roman" w:hAnsi="Times New Roman"/>
          <w:i/>
          <w:iCs/>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Farm Transparency International </w:t>
      </w:r>
      <w:r w:rsidRPr="00A54CB9">
        <w:rPr>
          <w:rFonts w:ascii="Times New Roman" w:hAnsi="Times New Roman"/>
          <w:i/>
          <w:sz w:val="24"/>
        </w:rPr>
        <w:t>Ltd</w:t>
      </w:r>
      <w:r w:rsidRPr="00A54CB9">
        <w:rPr>
          <w:rFonts w:ascii="Times New Roman" w:hAnsi="Times New Roman"/>
          <w:i/>
          <w:iCs/>
          <w:sz w:val="24"/>
        </w:rPr>
        <w:t xml:space="preserve"> v New South Wales </w:t>
      </w:r>
      <w:r w:rsidRPr="00A54CB9">
        <w:rPr>
          <w:rFonts w:ascii="Times New Roman" w:hAnsi="Times New Roman"/>
          <w:sz w:val="24"/>
        </w:rPr>
        <w:t>(2022) 277 CLR 537</w:t>
      </w:r>
      <w:r w:rsidRPr="00A54CB9">
        <w:rPr>
          <w:rFonts w:ascii="Times New Roman" w:hAnsi="Times New Roman"/>
          <w:i/>
          <w:iCs/>
          <w:sz w:val="24"/>
        </w:rPr>
        <w:t xml:space="preserve"> </w:t>
      </w:r>
      <w:r w:rsidRPr="00A54CB9">
        <w:rPr>
          <w:rFonts w:ascii="Times New Roman" w:hAnsi="Times New Roman"/>
          <w:sz w:val="24"/>
        </w:rPr>
        <w:t xml:space="preserve">at 573 [102]. </w:t>
      </w:r>
      <w:r w:rsidRPr="00A54CB9">
        <w:rPr>
          <w:rFonts w:ascii="Times New Roman" w:hAnsi="Times New Roman"/>
          <w:i/>
          <w:iCs/>
          <w:sz w:val="24"/>
        </w:rPr>
        <w:t xml:space="preserve"> </w:t>
      </w:r>
    </w:p>
  </w:footnote>
  <w:footnote w:id="236">
    <w:p w14:paraId="3EA9A20C"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Pidoto v Victoria </w:t>
      </w:r>
      <w:r w:rsidRPr="00A54CB9">
        <w:rPr>
          <w:rFonts w:ascii="Times New Roman" w:hAnsi="Times New Roman"/>
          <w:sz w:val="24"/>
        </w:rPr>
        <w:t>(1943) 68 CLR 87 at 109.</w:t>
      </w:r>
    </w:p>
  </w:footnote>
  <w:footnote w:id="237">
    <w:p w14:paraId="0CBA828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Newcastle and Hunter River Steamship Co Ltd v Attorney-General for the Commonwealth</w:t>
      </w:r>
      <w:r w:rsidRPr="00A54CB9">
        <w:rPr>
          <w:rFonts w:ascii="Times New Roman" w:hAnsi="Times New Roman"/>
          <w:sz w:val="24"/>
        </w:rPr>
        <w:t xml:space="preserve"> (1921) 29 CLR 357 at 370; </w:t>
      </w:r>
      <w:r w:rsidRPr="00A54CB9">
        <w:rPr>
          <w:rFonts w:ascii="Times New Roman" w:hAnsi="Times New Roman"/>
          <w:i/>
          <w:iCs/>
          <w:sz w:val="24"/>
        </w:rPr>
        <w:t xml:space="preserve">Cam &amp; Sons Pty Ltd v The Chief Secretary of New South Wales </w:t>
      </w:r>
      <w:r w:rsidRPr="00A54CB9">
        <w:rPr>
          <w:rFonts w:ascii="Times New Roman" w:hAnsi="Times New Roman"/>
          <w:sz w:val="24"/>
        </w:rPr>
        <w:t xml:space="preserve">(1951) 84 CLR 442 at 454, 456; </w:t>
      </w:r>
      <w:r w:rsidRPr="00A54CB9">
        <w:rPr>
          <w:rFonts w:ascii="Times New Roman" w:hAnsi="Times New Roman"/>
          <w:i/>
          <w:iCs/>
          <w:sz w:val="24"/>
        </w:rPr>
        <w:t>Carter v Potato Marketing Board</w:t>
      </w:r>
      <w:r w:rsidRPr="00A54CB9">
        <w:rPr>
          <w:rFonts w:ascii="Times New Roman" w:hAnsi="Times New Roman"/>
          <w:sz w:val="24"/>
        </w:rPr>
        <w:t xml:space="preserve"> (1951) 84 CLR 460 at 477; </w:t>
      </w:r>
      <w:r w:rsidRPr="00A54CB9">
        <w:rPr>
          <w:rFonts w:ascii="Times New Roman" w:hAnsi="Times New Roman"/>
          <w:i/>
          <w:iCs/>
          <w:sz w:val="24"/>
        </w:rPr>
        <w:t>Grannall v Marrickville Margarine Pty Ltd</w:t>
      </w:r>
      <w:r w:rsidRPr="00A54CB9">
        <w:rPr>
          <w:rFonts w:ascii="Times New Roman" w:hAnsi="Times New Roman"/>
          <w:sz w:val="24"/>
        </w:rPr>
        <w:t xml:space="preserve"> (1955) 93 CLR 55 at 73; </w:t>
      </w:r>
      <w:r w:rsidRPr="00A54CB9">
        <w:rPr>
          <w:rFonts w:ascii="Times New Roman" w:hAnsi="Times New Roman"/>
          <w:i/>
          <w:iCs/>
          <w:sz w:val="24"/>
        </w:rPr>
        <w:t>Nominal Defendant v Dunstan</w:t>
      </w:r>
      <w:r w:rsidRPr="00A54CB9">
        <w:rPr>
          <w:rFonts w:ascii="Times New Roman" w:hAnsi="Times New Roman"/>
          <w:sz w:val="24"/>
        </w:rPr>
        <w:t xml:space="preserve"> (1963) 109 CLR 143 at 151-152.</w:t>
      </w:r>
    </w:p>
  </w:footnote>
  <w:footnote w:id="238">
    <w:p w14:paraId="6A2E123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Clubb v Edwards</w:t>
      </w:r>
      <w:r w:rsidRPr="00A54CB9">
        <w:rPr>
          <w:rFonts w:ascii="Times New Roman" w:hAnsi="Times New Roman"/>
          <w:sz w:val="24"/>
        </w:rPr>
        <w:t xml:space="preserve"> (2019) 267 CLR 171 at 322 [433]. </w:t>
      </w:r>
    </w:p>
  </w:footnote>
  <w:footnote w:id="239">
    <w:p w14:paraId="047CAE88"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(2017) 263 CLR 1 at 24 [38]. </w:t>
      </w:r>
    </w:p>
  </w:footnote>
  <w:footnote w:id="240">
    <w:p w14:paraId="3E404AE2"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Graham v Minister for Immigration and Border Protection</w:t>
      </w:r>
      <w:r w:rsidRPr="00A54CB9">
        <w:rPr>
          <w:rFonts w:ascii="Times New Roman" w:hAnsi="Times New Roman"/>
          <w:i/>
          <w:iCs/>
          <w:sz w:val="24"/>
        </w:rPr>
        <w:t xml:space="preserve"> </w:t>
      </w:r>
      <w:r w:rsidRPr="00A54CB9">
        <w:rPr>
          <w:rFonts w:ascii="Times New Roman" w:hAnsi="Times New Roman"/>
          <w:sz w:val="24"/>
        </w:rPr>
        <w:t>(2017) 263 CLR 1 at 32 [64].</w:t>
      </w:r>
    </w:p>
  </w:footnote>
  <w:footnote w:id="241">
    <w:p w14:paraId="438591C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Migration Act 1958 </w:t>
      </w:r>
      <w:r w:rsidRPr="00A54CB9">
        <w:rPr>
          <w:rFonts w:ascii="Times New Roman" w:hAnsi="Times New Roman"/>
          <w:sz w:val="24"/>
        </w:rPr>
        <w:t xml:space="preserve">(Cth), ss 476A(1)(c), 476A(2). See </w:t>
      </w:r>
      <w:r w:rsidRPr="00A54CB9">
        <w:rPr>
          <w:rFonts w:ascii="Times New Roman" w:hAnsi="Times New Roman"/>
          <w:i/>
          <w:sz w:val="24"/>
        </w:rPr>
        <w:t>Graham v Minister for Immigration and Border Protection</w:t>
      </w:r>
      <w:r w:rsidRPr="00A54CB9">
        <w:rPr>
          <w:rFonts w:ascii="Times New Roman" w:hAnsi="Times New Roman"/>
          <w:i/>
          <w:iCs/>
          <w:sz w:val="24"/>
        </w:rPr>
        <w:t xml:space="preserve"> </w:t>
      </w:r>
      <w:r w:rsidRPr="00A54CB9">
        <w:rPr>
          <w:rFonts w:ascii="Times New Roman" w:hAnsi="Times New Roman"/>
          <w:sz w:val="24"/>
        </w:rPr>
        <w:t>(2017) 263 CLR 1 at 28 [52].</w:t>
      </w:r>
    </w:p>
  </w:footnote>
  <w:footnote w:id="242">
    <w:p w14:paraId="7636325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Graham v Minister for Immigration and Border Protection </w:t>
      </w:r>
      <w:r w:rsidRPr="00A54CB9">
        <w:rPr>
          <w:rFonts w:ascii="Times New Roman" w:hAnsi="Times New Roman"/>
          <w:sz w:val="24"/>
        </w:rPr>
        <w:t>(2017) 263 CLR 1 at 32 [63].</w:t>
      </w:r>
    </w:p>
  </w:footnote>
  <w:footnote w:id="243">
    <w:p w14:paraId="18354204"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Graham v Minister for Immigration and Border Protection</w:t>
      </w:r>
      <w:r w:rsidRPr="00A54CB9">
        <w:rPr>
          <w:rFonts w:ascii="Times New Roman" w:hAnsi="Times New Roman"/>
          <w:i/>
          <w:iCs/>
          <w:sz w:val="24"/>
        </w:rPr>
        <w:t xml:space="preserve"> </w:t>
      </w:r>
      <w:r w:rsidRPr="00A54CB9">
        <w:rPr>
          <w:rFonts w:ascii="Times New Roman" w:hAnsi="Times New Roman"/>
          <w:sz w:val="24"/>
        </w:rPr>
        <w:t>(2017) 263 CLR 1 at 55-72 [123]-[167].</w:t>
      </w:r>
    </w:p>
  </w:footnote>
  <w:footnote w:id="244">
    <w:p w14:paraId="4E325F3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Graham v Minister for Immigration and Border Protection</w:t>
      </w:r>
      <w:r w:rsidRPr="00A54CB9">
        <w:rPr>
          <w:rFonts w:ascii="Times New Roman" w:hAnsi="Times New Roman"/>
          <w:i/>
          <w:iCs/>
          <w:sz w:val="24"/>
        </w:rPr>
        <w:t xml:space="preserve"> </w:t>
      </w:r>
      <w:r w:rsidRPr="00A54CB9">
        <w:rPr>
          <w:rFonts w:ascii="Times New Roman" w:hAnsi="Times New Roman"/>
          <w:sz w:val="24"/>
        </w:rPr>
        <w:t>(2017) 263 CLR 1 at 28 [52].</w:t>
      </w:r>
    </w:p>
  </w:footnote>
  <w:footnote w:id="245">
    <w:p w14:paraId="7D7B403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Smethurst v </w:t>
      </w:r>
      <w:r w:rsidRPr="00A54CB9">
        <w:rPr>
          <w:rFonts w:ascii="Times New Roman" w:hAnsi="Times New Roman"/>
          <w:i/>
          <w:sz w:val="24"/>
        </w:rPr>
        <w:t>Commissioner of the Australian Federal Police</w:t>
      </w:r>
      <w:r w:rsidRPr="00A54CB9">
        <w:rPr>
          <w:rFonts w:ascii="Times New Roman" w:hAnsi="Times New Roman"/>
          <w:sz w:val="24"/>
        </w:rPr>
        <w:t xml:space="preserve"> (2020) 272 CLR 177 at 221 [98], 236-238 [144]-[146], 266-268 [229]-[232].</w:t>
      </w:r>
    </w:p>
  </w:footnote>
  <w:footnote w:id="246">
    <w:p w14:paraId="7C5BF85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(2017) 263 CLR 1 at 24 [40], 25 [44], quoting (respectively) </w:t>
      </w:r>
      <w:r w:rsidRPr="00A54CB9">
        <w:rPr>
          <w:rFonts w:ascii="Times New Roman" w:hAnsi="Times New Roman"/>
          <w:i/>
          <w:iCs/>
          <w:sz w:val="24"/>
        </w:rPr>
        <w:t xml:space="preserve">Australian Communist Party v The Commonwealth </w:t>
      </w:r>
      <w:r w:rsidRPr="00A54CB9">
        <w:rPr>
          <w:rFonts w:ascii="Times New Roman" w:hAnsi="Times New Roman"/>
          <w:sz w:val="24"/>
        </w:rPr>
        <w:t xml:space="preserve">(1951) 83 CLR 1 at 193 and </w:t>
      </w:r>
      <w:r w:rsidRPr="00A54CB9">
        <w:rPr>
          <w:rFonts w:ascii="Times New Roman" w:hAnsi="Times New Roman"/>
          <w:i/>
          <w:iCs/>
          <w:sz w:val="24"/>
        </w:rPr>
        <w:t>Plaintiff S157/2002 v The Commonwealth</w:t>
      </w:r>
      <w:r w:rsidRPr="00A54CB9">
        <w:rPr>
          <w:rFonts w:ascii="Times New Roman" w:hAnsi="Times New Roman"/>
          <w:sz w:val="24"/>
        </w:rPr>
        <w:t xml:space="preserve"> (2003) 211 CLR 476 at 482 [5]. </w:t>
      </w:r>
    </w:p>
  </w:footnote>
  <w:footnote w:id="247">
    <w:p w14:paraId="6F521004" w14:textId="77777777" w:rsidR="00DE281D" w:rsidRPr="00A54CB9" w:rsidRDefault="00DE281D" w:rsidP="00A54CB9">
      <w:pPr>
        <w:pStyle w:val="FootnoteText"/>
        <w:spacing w:line="280" w:lineRule="exact"/>
        <w:ind w:right="0"/>
        <w:jc w:val="both"/>
        <w:rPr>
          <w:rFonts w:ascii="Times New Roman" w:hAnsi="Times New Roman"/>
          <w:i/>
          <w:iCs/>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Graham v Minister for Immigration and Border Protection</w:t>
      </w:r>
      <w:r w:rsidRPr="00A54CB9">
        <w:rPr>
          <w:rFonts w:ascii="Times New Roman" w:hAnsi="Times New Roman"/>
          <w:sz w:val="24"/>
        </w:rPr>
        <w:t xml:space="preserve"> (2017) 263 CLR 1 at 38 [82], 48-49 [105]-[107]. See also </w:t>
      </w:r>
      <w:r w:rsidRPr="00A54CB9">
        <w:rPr>
          <w:rFonts w:ascii="Times New Roman" w:hAnsi="Times New Roman"/>
          <w:i/>
          <w:iCs/>
          <w:sz w:val="24"/>
        </w:rPr>
        <w:t>Palmer v Western Australia</w:t>
      </w:r>
      <w:r w:rsidRPr="00A54CB9">
        <w:rPr>
          <w:rFonts w:ascii="Times New Roman" w:hAnsi="Times New Roman"/>
          <w:sz w:val="24"/>
        </w:rPr>
        <w:t xml:space="preserve"> (2021) 274 CLR 286 at 297-301 [19]-[25]; </w:t>
      </w:r>
      <w:r w:rsidRPr="00A54CB9">
        <w:rPr>
          <w:rFonts w:ascii="Times New Roman" w:hAnsi="Times New Roman"/>
          <w:i/>
          <w:iCs/>
          <w:sz w:val="24"/>
        </w:rPr>
        <w:t>Benbrika v Minister for Home Affairs</w:t>
      </w:r>
      <w:r w:rsidRPr="00A54CB9">
        <w:rPr>
          <w:rFonts w:ascii="Times New Roman" w:hAnsi="Times New Roman"/>
          <w:sz w:val="24"/>
        </w:rPr>
        <w:t xml:space="preserve"> (2023) 280 CLR 1 at 33-34 [87].</w:t>
      </w:r>
    </w:p>
  </w:footnote>
  <w:footnote w:id="248">
    <w:p w14:paraId="3A3D6C8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Waldron, </w:t>
      </w:r>
      <w:r w:rsidRPr="00A54CB9">
        <w:rPr>
          <w:rFonts w:ascii="Times New Roman" w:hAnsi="Times New Roman"/>
          <w:i/>
          <w:iCs/>
          <w:sz w:val="24"/>
        </w:rPr>
        <w:t xml:space="preserve">Thoughtfulness and the Rule of Law </w:t>
      </w:r>
      <w:r w:rsidRPr="00A54CB9">
        <w:rPr>
          <w:rFonts w:ascii="Times New Roman" w:hAnsi="Times New Roman"/>
          <w:sz w:val="24"/>
        </w:rPr>
        <w:t>(2023) at 35.</w:t>
      </w:r>
    </w:p>
  </w:footnote>
  <w:footnote w:id="249">
    <w:p w14:paraId="61785EDD"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Gardner, </w:t>
      </w:r>
      <w:r w:rsidRPr="00A54CB9">
        <w:rPr>
          <w:rFonts w:ascii="Times New Roman" w:hAnsi="Times New Roman"/>
          <w:i/>
          <w:iCs/>
          <w:sz w:val="24"/>
        </w:rPr>
        <w:t xml:space="preserve">Law as a Leap of Faith: Essays on Law in General </w:t>
      </w:r>
      <w:r w:rsidRPr="00A54CB9">
        <w:rPr>
          <w:rFonts w:ascii="Times New Roman" w:hAnsi="Times New Roman"/>
          <w:sz w:val="24"/>
        </w:rPr>
        <w:t>(2012) at 197.</w:t>
      </w:r>
    </w:p>
  </w:footnote>
  <w:footnote w:id="250">
    <w:p w14:paraId="61DC217F" w14:textId="77777777" w:rsidR="00DE281D" w:rsidRPr="00A54CB9" w:rsidRDefault="00DE281D" w:rsidP="00A54CB9">
      <w:pPr>
        <w:pStyle w:val="FootnoteText"/>
        <w:spacing w:line="280" w:lineRule="exact"/>
        <w:ind w:right="0"/>
        <w:jc w:val="both"/>
        <w:rPr>
          <w:rFonts w:ascii="Times New Roman" w:hAnsi="Times New Roman"/>
          <w:i/>
          <w:iCs/>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R (UNISON) v Lord Chancellor</w:t>
      </w:r>
      <w:r w:rsidRPr="00A54CB9">
        <w:rPr>
          <w:rFonts w:ascii="Times New Roman" w:hAnsi="Times New Roman"/>
          <w:sz w:val="24"/>
        </w:rPr>
        <w:t xml:space="preserve"> </w:t>
      </w:r>
      <w:r w:rsidRPr="00A54CB9">
        <w:rPr>
          <w:rFonts w:ascii="Times New Roman" w:hAnsi="Times New Roman"/>
          <w:i/>
          <w:sz w:val="24"/>
        </w:rPr>
        <w:t>[Nos 1 and 2]</w:t>
      </w:r>
      <w:r w:rsidRPr="00A54CB9">
        <w:rPr>
          <w:rFonts w:ascii="Times New Roman" w:hAnsi="Times New Roman"/>
          <w:i/>
          <w:iCs/>
          <w:sz w:val="24"/>
        </w:rPr>
        <w:t xml:space="preserve"> </w:t>
      </w:r>
      <w:r w:rsidRPr="00A54CB9">
        <w:rPr>
          <w:rFonts w:ascii="Times New Roman" w:hAnsi="Times New Roman"/>
          <w:sz w:val="24"/>
        </w:rPr>
        <w:t>[2020] AC 869 at 896 [66]. See also at 896-897 [67]-[68].</w:t>
      </w:r>
    </w:p>
  </w:footnote>
  <w:footnote w:id="251">
    <w:p w14:paraId="54FDDD7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(1996) 189 CLR 51.</w:t>
      </w:r>
    </w:p>
  </w:footnote>
  <w:footnote w:id="252">
    <w:p w14:paraId="2A26711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(2003) 211 CLR 476 at 512 [102]. </w:t>
      </w:r>
    </w:p>
  </w:footnote>
  <w:footnote w:id="253">
    <w:p w14:paraId="1FCCEB5A"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(2010) 239 CLR 531 at 579-581 [94]-[100].</w:t>
      </w:r>
    </w:p>
  </w:footnote>
  <w:footnote w:id="254">
    <w:p w14:paraId="136DA26E"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 xml:space="preserve">APLA Ltd v Legal Services Commissioner </w:t>
      </w:r>
      <w:r w:rsidRPr="00A54CB9">
        <w:rPr>
          <w:rFonts w:ascii="Times New Roman" w:hAnsi="Times New Roman"/>
          <w:i/>
          <w:iCs/>
          <w:sz w:val="24"/>
        </w:rPr>
        <w:t xml:space="preserve">(NSW) </w:t>
      </w:r>
      <w:r w:rsidRPr="00A54CB9">
        <w:rPr>
          <w:rFonts w:ascii="Times New Roman" w:hAnsi="Times New Roman"/>
          <w:sz w:val="24"/>
        </w:rPr>
        <w:t>(2005) 224 CLR 322 at 410 [245].</w:t>
      </w:r>
    </w:p>
  </w:footnote>
  <w:footnote w:id="255">
    <w:p w14:paraId="6FFD1B6B"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Cs/>
          <w:sz w:val="24"/>
        </w:rPr>
        <w:t>See</w:t>
      </w:r>
      <w:r w:rsidRPr="00A54CB9">
        <w:rPr>
          <w:rFonts w:ascii="Times New Roman" w:hAnsi="Times New Roman"/>
          <w:i/>
          <w:sz w:val="24"/>
        </w:rPr>
        <w:t xml:space="preserve"> Citta Hobart Pty Ltd v Cawthorn </w:t>
      </w:r>
      <w:r w:rsidRPr="00A54CB9">
        <w:rPr>
          <w:rFonts w:ascii="Times New Roman" w:hAnsi="Times New Roman"/>
          <w:iCs/>
          <w:sz w:val="24"/>
        </w:rPr>
        <w:t>(2022) 276 CLR 216 at 229 [18]-[20].</w:t>
      </w:r>
    </w:p>
  </w:footnote>
  <w:footnote w:id="256">
    <w:p w14:paraId="5C11C052"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Vella v Commissioner of Police (NSW) </w:t>
      </w:r>
      <w:r w:rsidRPr="00A54CB9">
        <w:rPr>
          <w:rFonts w:ascii="Times New Roman" w:hAnsi="Times New Roman"/>
          <w:sz w:val="24"/>
        </w:rPr>
        <w:t xml:space="preserve">(2019) 269 CLR 219 at 246 [56]. </w:t>
      </w:r>
    </w:p>
  </w:footnote>
  <w:footnote w:id="257">
    <w:p w14:paraId="300BEBB9"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Crevier v Attorney General of the Province of Quebec </w:t>
      </w:r>
      <w:r w:rsidRPr="00A54CB9">
        <w:rPr>
          <w:rFonts w:ascii="Times New Roman" w:hAnsi="Times New Roman"/>
          <w:sz w:val="24"/>
        </w:rPr>
        <w:t xml:space="preserve">[1981] 2 SCR 220 at 237-239. </w:t>
      </w:r>
    </w:p>
  </w:footnote>
  <w:footnote w:id="258">
    <w:p w14:paraId="545EDB3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See especially </w:t>
      </w:r>
      <w:r w:rsidRPr="00A54CB9">
        <w:rPr>
          <w:rFonts w:ascii="Times New Roman" w:hAnsi="Times New Roman"/>
          <w:i/>
          <w:iCs/>
          <w:sz w:val="24"/>
        </w:rPr>
        <w:t xml:space="preserve">Trial Lawyers Association of British Columbia v British Columbia (Attorney General) </w:t>
      </w:r>
      <w:r w:rsidRPr="00A54CB9">
        <w:rPr>
          <w:rFonts w:ascii="Times New Roman" w:hAnsi="Times New Roman"/>
          <w:sz w:val="24"/>
        </w:rPr>
        <w:t xml:space="preserve">[2014] 3 SCR 31 at 51-52 [38]-[40]; compare at 71 [93]. See also Tallent, "A Judicially Nourished Provision: Has Section 96 Once Again Become a Barrier to Justice?" (2024) 29 </w:t>
      </w:r>
      <w:r w:rsidRPr="00A54CB9">
        <w:rPr>
          <w:rFonts w:ascii="Times New Roman" w:hAnsi="Times New Roman"/>
          <w:i/>
          <w:iCs/>
          <w:sz w:val="24"/>
        </w:rPr>
        <w:t xml:space="preserve">Appeal </w:t>
      </w:r>
      <w:r w:rsidRPr="00A54CB9">
        <w:rPr>
          <w:rFonts w:ascii="Times New Roman" w:hAnsi="Times New Roman"/>
          <w:sz w:val="24"/>
        </w:rPr>
        <w:t>63.</w:t>
      </w:r>
    </w:p>
  </w:footnote>
  <w:footnote w:id="259">
    <w:p w14:paraId="560BCF79"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Queensland v Stradford (a pseudonym) </w:t>
      </w:r>
      <w:r w:rsidRPr="00A54CB9">
        <w:rPr>
          <w:rFonts w:ascii="Times New Roman" w:hAnsi="Times New Roman"/>
          <w:sz w:val="24"/>
        </w:rPr>
        <w:t xml:space="preserve">(2025) 99 ALJR 396 at 448 [228], 472 [325]; 421 ALR 376 at 435, 467-468. </w:t>
      </w:r>
    </w:p>
  </w:footnote>
  <w:footnote w:id="260">
    <w:p w14:paraId="1E234BA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MacMillan Bloedel Ltd v Simpson </w:t>
      </w:r>
      <w:r w:rsidRPr="00A54CB9">
        <w:rPr>
          <w:rFonts w:ascii="Times New Roman" w:hAnsi="Times New Roman"/>
          <w:sz w:val="24"/>
        </w:rPr>
        <w:t xml:space="preserve">[1995] 4 SCR 725 at 752 [35]. See also Mancini, "Foxes, Henhouses, and the Constitutional Guarantee of Judicial Review: Re-evaluating </w:t>
      </w:r>
      <w:r w:rsidRPr="00A54CB9">
        <w:rPr>
          <w:rFonts w:ascii="Times New Roman" w:hAnsi="Times New Roman"/>
          <w:i/>
          <w:iCs/>
          <w:sz w:val="24"/>
        </w:rPr>
        <w:t>Crevier</w:t>
      </w:r>
      <w:r w:rsidRPr="00A54CB9">
        <w:rPr>
          <w:rFonts w:ascii="Times New Roman" w:hAnsi="Times New Roman"/>
          <w:sz w:val="24"/>
        </w:rPr>
        <w:t xml:space="preserve">" (2024) 102 </w:t>
      </w:r>
      <w:r w:rsidRPr="00A54CB9">
        <w:rPr>
          <w:rFonts w:ascii="Times New Roman" w:hAnsi="Times New Roman"/>
          <w:i/>
          <w:iCs/>
          <w:sz w:val="24"/>
        </w:rPr>
        <w:t xml:space="preserve">Canadian Bar Review </w:t>
      </w:r>
      <w:r w:rsidRPr="00A54CB9">
        <w:rPr>
          <w:rFonts w:ascii="Times New Roman" w:hAnsi="Times New Roman"/>
          <w:sz w:val="24"/>
        </w:rPr>
        <w:t>315.</w:t>
      </w:r>
    </w:p>
  </w:footnote>
  <w:footnote w:id="261">
    <w:p w14:paraId="4B19C7FE"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Trial Lawyers Association of British Columbia v British Columbia (Attorney General) </w:t>
      </w:r>
      <w:r w:rsidRPr="00A54CB9">
        <w:rPr>
          <w:rFonts w:ascii="Times New Roman" w:hAnsi="Times New Roman"/>
          <w:sz w:val="24"/>
        </w:rPr>
        <w:t xml:space="preserve">[2014] 3 SCR 31 at 49 [32]. </w:t>
      </w:r>
    </w:p>
  </w:footnote>
  <w:footnote w:id="262">
    <w:p w14:paraId="371A26F4"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Forsaith, "</w:t>
      </w:r>
      <w:r w:rsidRPr="00A54CB9">
        <w:rPr>
          <w:rFonts w:ascii="Times New Roman" w:hAnsi="Times New Roman"/>
          <w:i/>
          <w:iCs/>
          <w:sz w:val="24"/>
        </w:rPr>
        <w:t>Graham</w:t>
      </w:r>
      <w:r w:rsidRPr="00A54CB9">
        <w:rPr>
          <w:rFonts w:ascii="Times New Roman" w:hAnsi="Times New Roman"/>
          <w:sz w:val="24"/>
        </w:rPr>
        <w:t xml:space="preserve"> and its Implications" (2019) 94 </w:t>
      </w:r>
      <w:r w:rsidRPr="00A54CB9">
        <w:rPr>
          <w:rFonts w:ascii="Times New Roman" w:hAnsi="Times New Roman"/>
          <w:i/>
          <w:iCs/>
          <w:sz w:val="24"/>
        </w:rPr>
        <w:t>AIAL Forum</w:t>
      </w:r>
      <w:r w:rsidRPr="00A54CB9">
        <w:rPr>
          <w:rFonts w:ascii="Times New Roman" w:hAnsi="Times New Roman"/>
          <w:sz w:val="24"/>
        </w:rPr>
        <w:t xml:space="preserve"> 24 at 30-34.</w:t>
      </w:r>
    </w:p>
  </w:footnote>
  <w:footnote w:id="263">
    <w:p w14:paraId="015523A7"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See </w:t>
      </w:r>
      <w:r w:rsidRPr="00A54CB9">
        <w:rPr>
          <w:rFonts w:ascii="Times New Roman" w:hAnsi="Times New Roman"/>
          <w:i/>
          <w:iCs/>
          <w:sz w:val="24"/>
        </w:rPr>
        <w:t>Kable v Director of Public Prosecutions (NSW)</w:t>
      </w:r>
      <w:r w:rsidRPr="00A54CB9">
        <w:rPr>
          <w:rFonts w:ascii="Times New Roman" w:hAnsi="Times New Roman"/>
          <w:sz w:val="24"/>
        </w:rPr>
        <w:t xml:space="preserve"> (1996) 189 CLR 51 at 103. See also </w:t>
      </w:r>
      <w:r w:rsidRPr="00A54CB9">
        <w:rPr>
          <w:rFonts w:ascii="Times New Roman" w:hAnsi="Times New Roman"/>
          <w:i/>
          <w:iCs/>
          <w:sz w:val="24"/>
        </w:rPr>
        <w:t xml:space="preserve">Fardon v Attorney-General (Qld) </w:t>
      </w:r>
      <w:r w:rsidRPr="00A54CB9">
        <w:rPr>
          <w:rFonts w:ascii="Times New Roman" w:hAnsi="Times New Roman"/>
          <w:sz w:val="24"/>
        </w:rPr>
        <w:t xml:space="preserve">(2004) 223 CLR 575 at 617 [101]; </w:t>
      </w:r>
      <w:r w:rsidRPr="00A54CB9">
        <w:rPr>
          <w:rFonts w:ascii="Times New Roman" w:hAnsi="Times New Roman"/>
          <w:i/>
          <w:iCs/>
          <w:sz w:val="24"/>
        </w:rPr>
        <w:t>Wainohu v New South Wales</w:t>
      </w:r>
      <w:r w:rsidRPr="00A54CB9">
        <w:rPr>
          <w:rFonts w:ascii="Times New Roman" w:hAnsi="Times New Roman"/>
          <w:sz w:val="24"/>
        </w:rPr>
        <w:t xml:space="preserve"> (2011) 243 CLR 181 at 209 [45], 229 [105]; </w:t>
      </w:r>
      <w:r w:rsidRPr="00A54CB9">
        <w:rPr>
          <w:rFonts w:ascii="Times New Roman" w:hAnsi="Times New Roman"/>
          <w:i/>
          <w:iCs/>
          <w:sz w:val="24"/>
        </w:rPr>
        <w:t>Condon v Pompano Pty Ltd</w:t>
      </w:r>
      <w:r w:rsidRPr="00A54CB9">
        <w:rPr>
          <w:rFonts w:ascii="Times New Roman" w:hAnsi="Times New Roman"/>
          <w:sz w:val="24"/>
        </w:rPr>
        <w:t xml:space="preserve"> (2013) 252 CLR 38 at 89 [123]; </w:t>
      </w:r>
      <w:r w:rsidRPr="00A54CB9">
        <w:rPr>
          <w:rFonts w:ascii="Times New Roman" w:hAnsi="Times New Roman"/>
          <w:i/>
          <w:iCs/>
          <w:sz w:val="24"/>
        </w:rPr>
        <w:t xml:space="preserve">Vella v Commissioner of Police (NSW) </w:t>
      </w:r>
      <w:r w:rsidRPr="00A54CB9">
        <w:rPr>
          <w:rFonts w:ascii="Times New Roman" w:hAnsi="Times New Roman"/>
          <w:sz w:val="24"/>
        </w:rPr>
        <w:t xml:space="preserve">(2019) 269 CLR 219 at 278 [147]; </w:t>
      </w:r>
      <w:r w:rsidRPr="00A54CB9">
        <w:rPr>
          <w:rFonts w:ascii="Times New Roman" w:hAnsi="Times New Roman"/>
          <w:i/>
          <w:iCs/>
          <w:sz w:val="24"/>
        </w:rPr>
        <w:t xml:space="preserve">Minister for Home Affairs v Benbrika </w:t>
      </w:r>
      <w:r w:rsidRPr="00A54CB9">
        <w:rPr>
          <w:rFonts w:ascii="Times New Roman" w:hAnsi="Times New Roman"/>
          <w:sz w:val="24"/>
        </w:rPr>
        <w:t xml:space="preserve">(2021) 272 CLR 68 at 92 [20]; </w:t>
      </w:r>
      <w:r w:rsidRPr="00A54CB9">
        <w:rPr>
          <w:rFonts w:ascii="Times New Roman" w:hAnsi="Times New Roman"/>
          <w:i/>
          <w:iCs/>
          <w:sz w:val="24"/>
        </w:rPr>
        <w:t xml:space="preserve">Garlett v Western Australia </w:t>
      </w:r>
      <w:r w:rsidRPr="00A54CB9">
        <w:rPr>
          <w:rFonts w:ascii="Times New Roman" w:hAnsi="Times New Roman"/>
          <w:sz w:val="24"/>
        </w:rPr>
        <w:t xml:space="preserve">(2022) 277 CLR 1 at 44 [115], 66 [181], 74-75 [199]; </w:t>
      </w:r>
      <w:r w:rsidRPr="00A54CB9">
        <w:rPr>
          <w:rFonts w:ascii="Times New Roman" w:hAnsi="Times New Roman"/>
          <w:i/>
          <w:iCs/>
          <w:sz w:val="24"/>
        </w:rPr>
        <w:t xml:space="preserve">SDCV v Director-General of Security </w:t>
      </w:r>
      <w:r w:rsidRPr="00A54CB9">
        <w:rPr>
          <w:rFonts w:ascii="Times New Roman" w:hAnsi="Times New Roman"/>
          <w:sz w:val="24"/>
        </w:rPr>
        <w:t xml:space="preserve">(2022) 277 CLR 241 at 269 [58], 291 [129], 323 [222]. </w:t>
      </w:r>
    </w:p>
  </w:footnote>
  <w:footnote w:id="264">
    <w:p w14:paraId="3A457C4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(2017) 263 CLR 1 at 24 [37].</w:t>
      </w:r>
    </w:p>
  </w:footnote>
  <w:footnote w:id="265">
    <w:p w14:paraId="16BEB6D9"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Graham v Minister for Immigration and Border Protection</w:t>
      </w:r>
      <w:r w:rsidRPr="00A54CB9">
        <w:rPr>
          <w:rFonts w:ascii="Times New Roman" w:hAnsi="Times New Roman"/>
          <w:sz w:val="24"/>
        </w:rPr>
        <w:t xml:space="preserve"> (2017) 263 CLR 1 at 35 [72].</w:t>
      </w:r>
    </w:p>
  </w:footnote>
  <w:footnote w:id="266">
    <w:p w14:paraId="2D796119"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Graham v Minister for Immigration and Border Protection</w:t>
      </w:r>
      <w:r w:rsidRPr="00A54CB9">
        <w:rPr>
          <w:rFonts w:ascii="Times New Roman" w:hAnsi="Times New Roman"/>
          <w:sz w:val="24"/>
        </w:rPr>
        <w:t xml:space="preserve"> (2017) 263 CLR 1 at 38 [80].</w:t>
      </w:r>
    </w:p>
  </w:footnote>
  <w:footnote w:id="267">
    <w:p w14:paraId="248ED3C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Graham v Minister for Immigration and Border Protection</w:t>
      </w:r>
      <w:r w:rsidRPr="00A54CB9">
        <w:rPr>
          <w:rFonts w:ascii="Times New Roman" w:hAnsi="Times New Roman"/>
          <w:sz w:val="24"/>
        </w:rPr>
        <w:t xml:space="preserve"> (2017) 263 CLR 1 at 40 [85].</w:t>
      </w:r>
    </w:p>
  </w:footnote>
  <w:footnote w:id="268">
    <w:p w14:paraId="165E3429"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Stellios, </w:t>
      </w:r>
      <w:r w:rsidRPr="00A54CB9">
        <w:rPr>
          <w:rFonts w:ascii="Times New Roman" w:hAnsi="Times New Roman"/>
          <w:i/>
          <w:sz w:val="24"/>
        </w:rPr>
        <w:t>Zines and Stellios's The High Court and the Constitution</w:t>
      </w:r>
      <w:r w:rsidRPr="00A54CB9">
        <w:rPr>
          <w:rFonts w:ascii="Times New Roman" w:hAnsi="Times New Roman"/>
          <w:sz w:val="24"/>
        </w:rPr>
        <w:t>, 7th ed</w:t>
      </w:r>
      <w:r w:rsidRPr="00A54CB9">
        <w:rPr>
          <w:rFonts w:ascii="Times New Roman" w:hAnsi="Times New Roman"/>
          <w:i/>
          <w:sz w:val="24"/>
        </w:rPr>
        <w:t xml:space="preserve"> </w:t>
      </w:r>
      <w:r w:rsidRPr="00A54CB9">
        <w:rPr>
          <w:rFonts w:ascii="Times New Roman" w:hAnsi="Times New Roman"/>
          <w:sz w:val="24"/>
        </w:rPr>
        <w:t xml:space="preserve">(2022) at 307-308. </w:t>
      </w:r>
    </w:p>
  </w:footnote>
  <w:footnote w:id="269">
    <w:p w14:paraId="3703C058" w14:textId="77777777" w:rsidR="00DE281D" w:rsidRPr="00A54CB9" w:rsidRDefault="00DE281D" w:rsidP="00A54CB9">
      <w:pPr>
        <w:pStyle w:val="FootnoteText"/>
        <w:spacing w:line="280" w:lineRule="exact"/>
        <w:ind w:right="0"/>
        <w:jc w:val="both"/>
        <w:rPr>
          <w:rFonts w:ascii="Times New Roman" w:hAnsi="Times New Roman"/>
          <w:i/>
          <w:iCs/>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Gypsy Jokers Motorcycle Club Inc v Commissioner of Police </w:t>
      </w:r>
      <w:r w:rsidRPr="00A54CB9">
        <w:rPr>
          <w:rFonts w:ascii="Times New Roman" w:hAnsi="Times New Roman"/>
          <w:sz w:val="24"/>
        </w:rPr>
        <w:t xml:space="preserve">(2008) 234 CLR 532; </w:t>
      </w:r>
      <w:r w:rsidRPr="00A54CB9">
        <w:rPr>
          <w:rFonts w:ascii="Times New Roman" w:hAnsi="Times New Roman"/>
          <w:i/>
          <w:iCs/>
          <w:sz w:val="24"/>
        </w:rPr>
        <w:t xml:space="preserve">K-Generation Pty Ltd v Liquor Licensing Court </w:t>
      </w:r>
      <w:r w:rsidRPr="00A54CB9">
        <w:rPr>
          <w:rFonts w:ascii="Times New Roman" w:hAnsi="Times New Roman"/>
          <w:sz w:val="24"/>
        </w:rPr>
        <w:t>(2009) 237 CLR 501;</w:t>
      </w:r>
      <w:r w:rsidRPr="00A54CB9">
        <w:rPr>
          <w:rFonts w:ascii="Times New Roman" w:hAnsi="Times New Roman"/>
          <w:i/>
          <w:sz w:val="24"/>
        </w:rPr>
        <w:t xml:space="preserve"> </w:t>
      </w:r>
      <w:r w:rsidRPr="00A54CB9">
        <w:rPr>
          <w:rFonts w:ascii="Times New Roman" w:hAnsi="Times New Roman"/>
          <w:i/>
          <w:iCs/>
          <w:sz w:val="24"/>
        </w:rPr>
        <w:t xml:space="preserve">Condon v Pompano Pty Ltd </w:t>
      </w:r>
      <w:r w:rsidRPr="00A54CB9">
        <w:rPr>
          <w:rFonts w:ascii="Times New Roman" w:hAnsi="Times New Roman"/>
          <w:sz w:val="24"/>
        </w:rPr>
        <w:t>(2013) 252 CLR 38.</w:t>
      </w:r>
    </w:p>
  </w:footnote>
  <w:footnote w:id="270">
    <w:p w14:paraId="25F6B35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Forsaith, "</w:t>
      </w:r>
      <w:r w:rsidRPr="00A54CB9">
        <w:rPr>
          <w:rFonts w:ascii="Times New Roman" w:hAnsi="Times New Roman"/>
          <w:i/>
          <w:sz w:val="24"/>
        </w:rPr>
        <w:t>Graham</w:t>
      </w:r>
      <w:r w:rsidRPr="00A54CB9">
        <w:rPr>
          <w:rFonts w:ascii="Times New Roman" w:hAnsi="Times New Roman"/>
          <w:sz w:val="24"/>
        </w:rPr>
        <w:t xml:space="preserve"> and its Implications" (2019) 94 </w:t>
      </w:r>
      <w:r w:rsidRPr="00A54CB9">
        <w:rPr>
          <w:rFonts w:ascii="Times New Roman" w:hAnsi="Times New Roman"/>
          <w:i/>
          <w:sz w:val="24"/>
        </w:rPr>
        <w:t xml:space="preserve">AIAL </w:t>
      </w:r>
      <w:r w:rsidRPr="00A54CB9">
        <w:rPr>
          <w:rFonts w:ascii="Times New Roman" w:hAnsi="Times New Roman"/>
          <w:i/>
          <w:iCs/>
          <w:sz w:val="24"/>
        </w:rPr>
        <w:t>Forum</w:t>
      </w:r>
      <w:r w:rsidRPr="00A54CB9">
        <w:rPr>
          <w:rFonts w:ascii="Times New Roman" w:hAnsi="Times New Roman"/>
          <w:sz w:val="24"/>
        </w:rPr>
        <w:t xml:space="preserve"> 24 at 30. See also Stellios, </w:t>
      </w:r>
      <w:r w:rsidRPr="00A54CB9">
        <w:rPr>
          <w:rFonts w:ascii="Times New Roman" w:hAnsi="Times New Roman"/>
          <w:i/>
          <w:iCs/>
          <w:sz w:val="24"/>
        </w:rPr>
        <w:t>The Federal Judicature: Chapter III of the Constitution</w:t>
      </w:r>
      <w:r w:rsidRPr="00A54CB9">
        <w:rPr>
          <w:rFonts w:ascii="Times New Roman" w:hAnsi="Times New Roman"/>
          <w:sz w:val="24"/>
        </w:rPr>
        <w:t>, 2nd ed (2020) at 340-341 [6.53].</w:t>
      </w:r>
    </w:p>
  </w:footnote>
  <w:footnote w:id="271">
    <w:p w14:paraId="044A82AC"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(2017) 263 CLR 1 at 32 [64].</w:t>
      </w:r>
    </w:p>
  </w:footnote>
  <w:footnote w:id="272">
    <w:p w14:paraId="3983BC34"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Polyukhovich v The Commonwealth </w:t>
      </w:r>
      <w:r w:rsidRPr="00A54CB9">
        <w:rPr>
          <w:rFonts w:ascii="Times New Roman" w:hAnsi="Times New Roman"/>
          <w:sz w:val="24"/>
        </w:rPr>
        <w:t xml:space="preserve">(1991) 172 CLR 501 at 607. </w:t>
      </w:r>
    </w:p>
  </w:footnote>
  <w:footnote w:id="273">
    <w:p w14:paraId="0DD7E7D1"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MJZP v Director-General of Security </w:t>
      </w:r>
      <w:r w:rsidRPr="00A54CB9">
        <w:rPr>
          <w:rFonts w:ascii="Times New Roman" w:hAnsi="Times New Roman"/>
          <w:sz w:val="24"/>
        </w:rPr>
        <w:t xml:space="preserve">(2025) 99 ALJR 1108 at 1122 [61]; 423 ALR 378 at 395. See also </w:t>
      </w:r>
      <w:r w:rsidRPr="00A54CB9">
        <w:rPr>
          <w:rFonts w:ascii="Times New Roman" w:hAnsi="Times New Roman"/>
          <w:i/>
          <w:iCs/>
          <w:sz w:val="24"/>
        </w:rPr>
        <w:t xml:space="preserve">SDCV v Director-General of Security </w:t>
      </w:r>
      <w:r w:rsidRPr="00A54CB9">
        <w:rPr>
          <w:rFonts w:ascii="Times New Roman" w:hAnsi="Times New Roman"/>
          <w:sz w:val="24"/>
        </w:rPr>
        <w:t xml:space="preserve">(2022) 277 CLR 241 at 325-326 [230]-[231]. </w:t>
      </w:r>
    </w:p>
  </w:footnote>
  <w:footnote w:id="274">
    <w:p w14:paraId="2EE4F6F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t xml:space="preserve">(2005) 224 CLR 322 at 369 [87]. </w:t>
      </w:r>
    </w:p>
  </w:footnote>
  <w:footnote w:id="275">
    <w:p w14:paraId="20E465B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 xml:space="preserve">APLA Ltd v Legal Services Commissioner </w:t>
      </w:r>
      <w:r w:rsidRPr="00A54CB9">
        <w:rPr>
          <w:rFonts w:ascii="Times New Roman" w:hAnsi="Times New Roman"/>
          <w:i/>
          <w:iCs/>
          <w:sz w:val="24"/>
        </w:rPr>
        <w:t xml:space="preserve">(NSW) </w:t>
      </w:r>
      <w:r w:rsidRPr="00A54CB9">
        <w:rPr>
          <w:rFonts w:ascii="Times New Roman" w:hAnsi="Times New Roman"/>
          <w:sz w:val="24"/>
        </w:rPr>
        <w:t>(2005) 224 CLR 322 at 410 [245].</w:t>
      </w:r>
    </w:p>
  </w:footnote>
  <w:footnote w:id="276">
    <w:p w14:paraId="751EBF1F"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sz w:val="24"/>
        </w:rPr>
        <w:t xml:space="preserve">APLA Ltd v Legal Services Commissioner </w:t>
      </w:r>
      <w:r w:rsidRPr="00A54CB9">
        <w:rPr>
          <w:rFonts w:ascii="Times New Roman" w:hAnsi="Times New Roman"/>
          <w:i/>
          <w:iCs/>
          <w:sz w:val="24"/>
        </w:rPr>
        <w:t xml:space="preserve">(NSW) </w:t>
      </w:r>
      <w:r w:rsidRPr="00A54CB9">
        <w:rPr>
          <w:rFonts w:ascii="Times New Roman" w:hAnsi="Times New Roman"/>
          <w:sz w:val="24"/>
        </w:rPr>
        <w:t>(2005) 224 CLR 322 at 351 [30].</w:t>
      </w:r>
    </w:p>
  </w:footnote>
  <w:footnote w:id="277">
    <w:p w14:paraId="3796F775"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(2025) 308 FCR 175 at 196 [101]-[104].</w:t>
      </w:r>
    </w:p>
  </w:footnote>
  <w:footnote w:id="278">
    <w:p w14:paraId="35A00C43"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Clubb v Edwards </w:t>
      </w:r>
      <w:r w:rsidRPr="00A54CB9">
        <w:rPr>
          <w:rFonts w:ascii="Times New Roman" w:hAnsi="Times New Roman"/>
          <w:sz w:val="24"/>
        </w:rPr>
        <w:t xml:space="preserve">(2019) 267 CLR 171 at 221 [148], citing </w:t>
      </w:r>
      <w:r w:rsidRPr="00A54CB9">
        <w:rPr>
          <w:rFonts w:ascii="Times New Roman" w:hAnsi="Times New Roman"/>
          <w:i/>
          <w:iCs/>
          <w:sz w:val="24"/>
        </w:rPr>
        <w:t>Victoria v The Commonwealth (Industrial Relations Act Case)</w:t>
      </w:r>
      <w:r w:rsidRPr="00A54CB9">
        <w:rPr>
          <w:rFonts w:ascii="Times New Roman" w:hAnsi="Times New Roman"/>
          <w:sz w:val="24"/>
        </w:rPr>
        <w:t xml:space="preserve"> (1996) 187 CLR 416 at 502. See more recently </w:t>
      </w:r>
      <w:r w:rsidRPr="00A54CB9">
        <w:rPr>
          <w:rFonts w:ascii="Times New Roman" w:hAnsi="Times New Roman"/>
          <w:i/>
          <w:iCs/>
          <w:sz w:val="24"/>
        </w:rPr>
        <w:t xml:space="preserve">Hopper v Victoria </w:t>
      </w:r>
      <w:r w:rsidRPr="00A54CB9">
        <w:rPr>
          <w:rFonts w:ascii="Times New Roman" w:hAnsi="Times New Roman"/>
          <w:sz w:val="24"/>
        </w:rPr>
        <w:t xml:space="preserve">[2026] HCA 11 at [53], [62], [68]. </w:t>
      </w:r>
    </w:p>
  </w:footnote>
  <w:footnote w:id="279">
    <w:p w14:paraId="58032820"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R v Poole; Ex parte Henry [No 2]</w:t>
      </w:r>
      <w:r w:rsidRPr="00A54CB9">
        <w:rPr>
          <w:rFonts w:ascii="Times New Roman" w:hAnsi="Times New Roman"/>
          <w:sz w:val="24"/>
        </w:rPr>
        <w:t xml:space="preserve"> (1939) 61 CLR 634 at 651.</w:t>
      </w:r>
    </w:p>
  </w:footnote>
  <w:footnote w:id="280">
    <w:p w14:paraId="0C273FE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Deripaska v Minister for Foreign Affairs</w:t>
      </w:r>
      <w:r w:rsidRPr="00A54CB9">
        <w:rPr>
          <w:rFonts w:ascii="Times New Roman" w:hAnsi="Times New Roman"/>
          <w:sz w:val="24"/>
        </w:rPr>
        <w:t xml:space="preserve"> (2025) 308 FCR 175 at 193 [86] (emphasis added), referring to </w:t>
      </w:r>
      <w:r w:rsidRPr="00A54CB9">
        <w:rPr>
          <w:rFonts w:ascii="Times New Roman" w:hAnsi="Times New Roman"/>
          <w:i/>
          <w:iCs/>
          <w:sz w:val="24"/>
        </w:rPr>
        <w:t xml:space="preserve">Automotive Invest Pty Ltd v Federal Commissioner of Taxation </w:t>
      </w:r>
      <w:r w:rsidRPr="00A54CB9">
        <w:rPr>
          <w:rFonts w:ascii="Times New Roman" w:hAnsi="Times New Roman"/>
          <w:sz w:val="24"/>
        </w:rPr>
        <w:t>(2024) 98 ALJR 1245 at 1265 [110]; 419 ALR 324 at 351.</w:t>
      </w:r>
    </w:p>
  </w:footnote>
  <w:footnote w:id="281">
    <w:p w14:paraId="58CB2016" w14:textId="77777777" w:rsidR="00DE281D" w:rsidRPr="00A54CB9" w:rsidRDefault="00DE281D" w:rsidP="00A54CB9">
      <w:pPr>
        <w:pStyle w:val="FootnoteText"/>
        <w:spacing w:line="280" w:lineRule="exact"/>
        <w:ind w:right="0"/>
        <w:jc w:val="both"/>
        <w:rPr>
          <w:rFonts w:ascii="Times New Roman" w:hAnsi="Times New Roman"/>
          <w:sz w:val="24"/>
        </w:rPr>
      </w:pPr>
      <w:r w:rsidRPr="00A54CB9">
        <w:rPr>
          <w:rStyle w:val="FootnoteReference"/>
          <w:rFonts w:ascii="Times New Roman" w:hAnsi="Times New Roman"/>
          <w:sz w:val="22"/>
          <w:vertAlign w:val="baseline"/>
        </w:rPr>
        <w:footnoteRef/>
      </w:r>
      <w:r w:rsidRPr="00A54CB9">
        <w:rPr>
          <w:rFonts w:ascii="Times New Roman" w:hAnsi="Times New Roman"/>
          <w:sz w:val="24"/>
        </w:rPr>
        <w:t xml:space="preserve"> </w:t>
      </w:r>
      <w:r w:rsidRPr="00A54CB9">
        <w:rPr>
          <w:rFonts w:ascii="Times New Roman" w:hAnsi="Times New Roman"/>
          <w:sz w:val="24"/>
        </w:rPr>
        <w:tab/>
      </w:r>
      <w:r w:rsidRPr="00A54CB9">
        <w:rPr>
          <w:rFonts w:ascii="Times New Roman" w:hAnsi="Times New Roman"/>
          <w:i/>
          <w:iCs/>
          <w:sz w:val="24"/>
        </w:rPr>
        <w:t xml:space="preserve">Automotive Invest Pty Ltd v Federal Commissioner of Taxation </w:t>
      </w:r>
      <w:r w:rsidRPr="00A54CB9">
        <w:rPr>
          <w:rFonts w:ascii="Times New Roman" w:hAnsi="Times New Roman"/>
          <w:sz w:val="24"/>
        </w:rPr>
        <w:t>(2024) 98 ALJR 1245 at 1266 [115]; 419 ALR 324 at 352-353.</w:t>
      </w:r>
    </w:p>
  </w:footnote>
  <w:footnote w:id="282">
    <w:p w14:paraId="195DDB57"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Autonomous Sanctions (Designated Persons and Entities and Declared Persons – Russia and Ukraine) List 2014 </w:t>
      </w:r>
      <w:r w:rsidRPr="0099172B">
        <w:rPr>
          <w:rFonts w:ascii="Times New Roman" w:hAnsi="Times New Roman"/>
          <w:iCs/>
          <w:sz w:val="24"/>
        </w:rPr>
        <w:t>(Cth)</w:t>
      </w:r>
      <w:r w:rsidRPr="0099172B">
        <w:rPr>
          <w:rFonts w:ascii="Times New Roman" w:hAnsi="Times New Roman"/>
          <w:sz w:val="24"/>
        </w:rPr>
        <w:t>, Sch 2, Pt 1, item 63.</w:t>
      </w:r>
    </w:p>
  </w:footnote>
  <w:footnote w:id="283">
    <w:p w14:paraId="40B4460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iCs/>
          <w:sz w:val="24"/>
        </w:rPr>
        <w:t>Autonomous Sanctions Act 2011</w:t>
      </w:r>
      <w:r w:rsidRPr="0099172B">
        <w:rPr>
          <w:rFonts w:ascii="Times New Roman" w:hAnsi="Times New Roman"/>
          <w:iCs/>
          <w:sz w:val="24"/>
        </w:rPr>
        <w:t xml:space="preserve"> (Cth) ("Sanctions Act")</w:t>
      </w:r>
      <w:r w:rsidRPr="0099172B">
        <w:rPr>
          <w:rFonts w:ascii="Times New Roman" w:hAnsi="Times New Roman"/>
          <w:sz w:val="24"/>
        </w:rPr>
        <w:t>, s 4 (definition of "asset").</w:t>
      </w:r>
    </w:p>
  </w:footnote>
  <w:footnote w:id="284">
    <w:p w14:paraId="5EEEBDC6"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Autonomous Sanctions Regulations 2011 </w:t>
      </w:r>
      <w:r w:rsidRPr="0099172B">
        <w:rPr>
          <w:rFonts w:ascii="Times New Roman" w:hAnsi="Times New Roman"/>
          <w:sz w:val="24"/>
        </w:rPr>
        <w:t>(Cth) ("Sanctions Regulations"), regs</w:t>
      </w:r>
      <w:r>
        <w:rPr>
          <w:rFonts w:ascii="Times New Roman" w:hAnsi="Times New Roman"/>
          <w:sz w:val="24"/>
        </w:rPr>
        <w:t> </w:t>
      </w:r>
      <w:r w:rsidRPr="0099172B">
        <w:rPr>
          <w:rFonts w:ascii="Times New Roman" w:hAnsi="Times New Roman"/>
          <w:sz w:val="24"/>
        </w:rPr>
        <w:t>3, 15(1).</w:t>
      </w:r>
    </w:p>
  </w:footnote>
  <w:footnote w:id="285">
    <w:p w14:paraId="07F3493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Regulations</w:t>
      </w:r>
      <w:r w:rsidRPr="0099172B">
        <w:rPr>
          <w:rFonts w:ascii="Times New Roman" w:hAnsi="Times New Roman"/>
          <w:sz w:val="24"/>
        </w:rPr>
        <w:t>, reg 14(1).</w:t>
      </w:r>
    </w:p>
  </w:footnote>
  <w:footnote w:id="286">
    <w:p w14:paraId="1B4CBF97"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See below at [</w:t>
      </w:r>
      <w:r>
        <w:rPr>
          <w:rFonts w:ascii="Times New Roman" w:hAnsi="Times New Roman"/>
          <w:sz w:val="24"/>
        </w:rPr>
        <w:t>188</w:t>
      </w:r>
      <w:r w:rsidRPr="0099172B">
        <w:rPr>
          <w:rFonts w:ascii="Times New Roman" w:hAnsi="Times New Roman"/>
          <w:sz w:val="24"/>
        </w:rPr>
        <w:t>]-[</w:t>
      </w:r>
      <w:r>
        <w:rPr>
          <w:rFonts w:ascii="Times New Roman" w:hAnsi="Times New Roman"/>
          <w:sz w:val="24"/>
        </w:rPr>
        <w:t>191</w:t>
      </w:r>
      <w:r w:rsidRPr="0099172B">
        <w:rPr>
          <w:rFonts w:ascii="Times New Roman" w:hAnsi="Times New Roman"/>
          <w:sz w:val="24"/>
        </w:rPr>
        <w:t>].</w:t>
      </w:r>
    </w:p>
  </w:footnote>
  <w:footnote w:id="287">
    <w:p w14:paraId="6A5EB9F4"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(2024) 184 ALD 393.</w:t>
      </w:r>
    </w:p>
  </w:footnote>
  <w:footnote w:id="288">
    <w:p w14:paraId="4F10A506"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(2025) 308 FCR 175.</w:t>
      </w:r>
    </w:p>
  </w:footnote>
  <w:footnote w:id="289">
    <w:p w14:paraId="4C97B9C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M</w:t>
      </w:r>
      <w:r w:rsidRPr="0099172B">
        <w:rPr>
          <w:rFonts w:ascii="Times New Roman" w:hAnsi="Times New Roman"/>
          <w:sz w:val="24"/>
        </w:rPr>
        <w:t xml:space="preserve">ade applicable to the </w:t>
      </w:r>
      <w:r w:rsidRPr="0099172B">
        <w:rPr>
          <w:rFonts w:ascii="Times New Roman" w:hAnsi="Times New Roman"/>
          <w:iCs/>
          <w:sz w:val="24"/>
        </w:rPr>
        <w:t>Sanctions Regulations</w:t>
      </w:r>
      <w:r w:rsidRPr="0099172B">
        <w:rPr>
          <w:rFonts w:ascii="Times New Roman" w:hAnsi="Times New Roman"/>
          <w:sz w:val="24"/>
        </w:rPr>
        <w:t xml:space="preserve"> by s 13(1)(a) of the </w:t>
      </w:r>
      <w:r w:rsidRPr="0099172B">
        <w:rPr>
          <w:rFonts w:ascii="Times New Roman" w:hAnsi="Times New Roman"/>
          <w:i/>
          <w:sz w:val="24"/>
        </w:rPr>
        <w:t>Legislation Act 2003</w:t>
      </w:r>
      <w:r w:rsidRPr="0099172B">
        <w:rPr>
          <w:rFonts w:ascii="Times New Roman" w:hAnsi="Times New Roman"/>
          <w:sz w:val="24"/>
        </w:rPr>
        <w:t xml:space="preserve"> (Cth).</w:t>
      </w:r>
    </w:p>
  </w:footnote>
  <w:footnote w:id="290">
    <w:p w14:paraId="73BF2F5B"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Pr>
          <w:rFonts w:ascii="Times New Roman" w:hAnsi="Times New Roman"/>
          <w:sz w:val="24"/>
        </w:rPr>
        <w:t xml:space="preserve">below at </w:t>
      </w:r>
      <w:r w:rsidRPr="0099172B">
        <w:rPr>
          <w:rFonts w:ascii="Times New Roman" w:hAnsi="Times New Roman"/>
          <w:sz w:val="24"/>
        </w:rPr>
        <w:t>[</w:t>
      </w:r>
      <w:r>
        <w:rPr>
          <w:rFonts w:ascii="Times New Roman" w:hAnsi="Times New Roman"/>
          <w:sz w:val="24"/>
        </w:rPr>
        <w:t>189</w:t>
      </w:r>
      <w:r w:rsidRPr="0099172B">
        <w:rPr>
          <w:rFonts w:ascii="Times New Roman" w:hAnsi="Times New Roman"/>
          <w:sz w:val="24"/>
        </w:rPr>
        <w:t>].</w:t>
      </w:r>
    </w:p>
  </w:footnote>
  <w:footnote w:id="291">
    <w:p w14:paraId="0888A00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Act</w:t>
      </w:r>
      <w:r w:rsidRPr="0099172B">
        <w:rPr>
          <w:rFonts w:ascii="Times New Roman" w:hAnsi="Times New Roman"/>
          <w:sz w:val="24"/>
        </w:rPr>
        <w:t>, s 10(1)(a).</w:t>
      </w:r>
    </w:p>
  </w:footnote>
  <w:footnote w:id="292">
    <w:p w14:paraId="7C6F409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Act,</w:t>
      </w:r>
      <w:r w:rsidRPr="0099172B">
        <w:rPr>
          <w:rFonts w:ascii="Times New Roman" w:hAnsi="Times New Roman"/>
          <w:i/>
          <w:sz w:val="24"/>
        </w:rPr>
        <w:t xml:space="preserve"> </w:t>
      </w:r>
      <w:r w:rsidRPr="0099172B">
        <w:rPr>
          <w:rFonts w:ascii="Times New Roman" w:hAnsi="Times New Roman"/>
          <w:sz w:val="24"/>
        </w:rPr>
        <w:t>s 10(1)(b).</w:t>
      </w:r>
    </w:p>
  </w:footnote>
  <w:footnote w:id="293">
    <w:p w14:paraId="530D04B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Act</w:t>
      </w:r>
      <w:r w:rsidRPr="0099172B">
        <w:rPr>
          <w:rFonts w:ascii="Times New Roman" w:hAnsi="Times New Roman"/>
          <w:sz w:val="24"/>
        </w:rPr>
        <w:t>, s 10(1)(c).</w:t>
      </w:r>
    </w:p>
  </w:footnote>
  <w:footnote w:id="294">
    <w:p w14:paraId="3579EA9F"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Act</w:t>
      </w:r>
      <w:r w:rsidRPr="0099172B">
        <w:rPr>
          <w:rFonts w:ascii="Times New Roman" w:hAnsi="Times New Roman"/>
          <w:sz w:val="24"/>
        </w:rPr>
        <w:t>, s 4.</w:t>
      </w:r>
    </w:p>
  </w:footnote>
  <w:footnote w:id="295">
    <w:p w14:paraId="212A93F4"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Act</w:t>
      </w:r>
      <w:r w:rsidRPr="0099172B">
        <w:rPr>
          <w:rFonts w:ascii="Times New Roman" w:hAnsi="Times New Roman"/>
          <w:sz w:val="24"/>
        </w:rPr>
        <w:t>, s 10(2).</w:t>
      </w:r>
    </w:p>
  </w:footnote>
  <w:footnote w:id="296">
    <w:p w14:paraId="797AC856"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Act</w:t>
      </w:r>
      <w:r w:rsidRPr="0099172B">
        <w:rPr>
          <w:rFonts w:ascii="Times New Roman" w:hAnsi="Times New Roman"/>
          <w:sz w:val="24"/>
        </w:rPr>
        <w:t>, s 14(1)-(2).</w:t>
      </w:r>
    </w:p>
  </w:footnote>
  <w:footnote w:id="297">
    <w:p w14:paraId="76647D2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Act</w:t>
      </w:r>
      <w:r w:rsidRPr="0099172B">
        <w:rPr>
          <w:rFonts w:ascii="Times New Roman" w:hAnsi="Times New Roman"/>
          <w:sz w:val="24"/>
        </w:rPr>
        <w:t>, s 16(1)-(4).</w:t>
      </w:r>
    </w:p>
  </w:footnote>
  <w:footnote w:id="298">
    <w:p w14:paraId="08215ECA"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Sanctions Regulations, reg 6(a)-(b).</w:t>
      </w:r>
    </w:p>
  </w:footnote>
  <w:footnote w:id="299">
    <w:p w14:paraId="033E3258"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Regulations</w:t>
      </w:r>
      <w:r w:rsidRPr="0099172B">
        <w:rPr>
          <w:rFonts w:ascii="Times New Roman" w:hAnsi="Times New Roman"/>
          <w:sz w:val="24"/>
        </w:rPr>
        <w:t xml:space="preserve">, reg 6, item 6A. </w:t>
      </w:r>
    </w:p>
  </w:footnote>
  <w:footnote w:id="300">
    <w:p w14:paraId="041E0DF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Migration Regulations 1994</w:t>
      </w:r>
      <w:r w:rsidRPr="0099172B">
        <w:rPr>
          <w:rFonts w:ascii="Times New Roman" w:hAnsi="Times New Roman"/>
          <w:sz w:val="24"/>
        </w:rPr>
        <w:t xml:space="preserve"> (Cth), Sch 4, cl 4003.</w:t>
      </w:r>
    </w:p>
  </w:footnote>
  <w:footnote w:id="301">
    <w:p w14:paraId="100ABF30"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Migration Regulations 1994 </w:t>
      </w:r>
      <w:r w:rsidRPr="0099172B">
        <w:rPr>
          <w:rFonts w:ascii="Times New Roman" w:hAnsi="Times New Roman"/>
          <w:sz w:val="24"/>
        </w:rPr>
        <w:t>(Cth), reg 2.43(1)(aa)(i).</w:t>
      </w:r>
    </w:p>
  </w:footnote>
  <w:footnote w:id="302">
    <w:p w14:paraId="0755419D" w14:textId="77777777" w:rsidR="00D34C84" w:rsidRPr="0099172B" w:rsidRDefault="00D34C84" w:rsidP="0099172B">
      <w:pPr>
        <w:pStyle w:val="FootnoteText"/>
        <w:spacing w:line="280" w:lineRule="exact"/>
        <w:ind w:right="0"/>
        <w:jc w:val="both"/>
        <w:rPr>
          <w:rFonts w:ascii="Times New Roman" w:hAnsi="Times New Roman"/>
          <w:i/>
          <w:iCs/>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Cs/>
          <w:sz w:val="24"/>
        </w:rPr>
        <w:t xml:space="preserve">Sanctions Act, s 16; </w:t>
      </w:r>
      <w:r w:rsidRPr="0099172B">
        <w:rPr>
          <w:rFonts w:ascii="Times New Roman" w:hAnsi="Times New Roman"/>
          <w:i/>
          <w:iCs/>
          <w:sz w:val="24"/>
        </w:rPr>
        <w:t xml:space="preserve">Autonomous Sanctions (Sanction Law) Declaration 2012 </w:t>
      </w:r>
      <w:r w:rsidRPr="0099172B">
        <w:rPr>
          <w:rFonts w:ascii="Times New Roman" w:hAnsi="Times New Roman"/>
          <w:sz w:val="24"/>
        </w:rPr>
        <w:t>(Cth), Sch 1.</w:t>
      </w:r>
    </w:p>
  </w:footnote>
  <w:footnote w:id="303">
    <w:p w14:paraId="6CC2DC9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Regulations,</w:t>
      </w:r>
      <w:r w:rsidRPr="0099172B">
        <w:rPr>
          <w:rFonts w:ascii="Times New Roman" w:hAnsi="Times New Roman"/>
          <w:i/>
          <w:sz w:val="24"/>
        </w:rPr>
        <w:t xml:space="preserve"> </w:t>
      </w:r>
      <w:r w:rsidRPr="0099172B">
        <w:rPr>
          <w:rFonts w:ascii="Times New Roman" w:hAnsi="Times New Roman"/>
          <w:sz w:val="24"/>
        </w:rPr>
        <w:t xml:space="preserve">reg 3. </w:t>
      </w:r>
    </w:p>
  </w:footnote>
  <w:footnote w:id="304">
    <w:p w14:paraId="0A94958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Regulations,</w:t>
      </w:r>
      <w:r w:rsidRPr="0099172B">
        <w:rPr>
          <w:rFonts w:ascii="Times New Roman" w:hAnsi="Times New Roman"/>
          <w:i/>
          <w:sz w:val="24"/>
        </w:rPr>
        <w:t xml:space="preserve"> </w:t>
      </w:r>
      <w:r w:rsidRPr="0099172B">
        <w:rPr>
          <w:rFonts w:ascii="Times New Roman" w:hAnsi="Times New Roman"/>
          <w:sz w:val="24"/>
        </w:rPr>
        <w:t>regs 14(1A), 15(1A).</w:t>
      </w:r>
    </w:p>
  </w:footnote>
  <w:footnote w:id="305">
    <w:p w14:paraId="01396564"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Regulations,</w:t>
      </w:r>
      <w:r w:rsidRPr="0099172B">
        <w:rPr>
          <w:rFonts w:ascii="Times New Roman" w:hAnsi="Times New Roman"/>
          <w:i/>
          <w:sz w:val="24"/>
        </w:rPr>
        <w:t xml:space="preserve"> </w:t>
      </w:r>
      <w:r w:rsidRPr="0099172B">
        <w:rPr>
          <w:rFonts w:ascii="Times New Roman" w:hAnsi="Times New Roman"/>
          <w:sz w:val="24"/>
        </w:rPr>
        <w:t>regs 14(2), 15(2).</w:t>
      </w:r>
    </w:p>
  </w:footnote>
  <w:footnote w:id="306">
    <w:p w14:paraId="11F35EC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Criminal Code </w:t>
      </w:r>
      <w:r w:rsidRPr="0099172B">
        <w:rPr>
          <w:rFonts w:ascii="Times New Roman" w:hAnsi="Times New Roman"/>
          <w:sz w:val="24"/>
        </w:rPr>
        <w:t>(Cth), s 15.1(1)(c)(i).</w:t>
      </w:r>
    </w:p>
  </w:footnote>
  <w:footnote w:id="307">
    <w:p w14:paraId="4087F400"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Criminal Code </w:t>
      </w:r>
      <w:r w:rsidRPr="0099172B">
        <w:rPr>
          <w:rFonts w:ascii="Times New Roman" w:hAnsi="Times New Roman"/>
          <w:sz w:val="24"/>
        </w:rPr>
        <w:t>(Cth), ss 15.1(1)(a), 15.1(1)(b).</w:t>
      </w:r>
    </w:p>
  </w:footnote>
  <w:footnote w:id="308">
    <w:p w14:paraId="3AA8851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 xml:space="preserve">Sanctions Regulations, </w:t>
      </w:r>
      <w:r w:rsidRPr="0099172B">
        <w:rPr>
          <w:rFonts w:ascii="Times New Roman" w:hAnsi="Times New Roman"/>
          <w:sz w:val="24"/>
        </w:rPr>
        <w:t>reg 18(1)(e)-(f); see also reg 20.</w:t>
      </w:r>
    </w:p>
  </w:footnote>
  <w:footnote w:id="309">
    <w:p w14:paraId="6E05D64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(2024) 184 ALD 393 at 404 [41].</w:t>
      </w:r>
    </w:p>
  </w:footnote>
  <w:footnote w:id="310">
    <w:p w14:paraId="70F9903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eg, </w:t>
      </w:r>
      <w:r w:rsidRPr="0099172B">
        <w:rPr>
          <w:rFonts w:ascii="Times New Roman" w:hAnsi="Times New Roman"/>
          <w:i/>
          <w:sz w:val="24"/>
        </w:rPr>
        <w:t>Proceeds of Crime Act 2002</w:t>
      </w:r>
      <w:r w:rsidRPr="0099172B">
        <w:rPr>
          <w:rFonts w:ascii="Times New Roman" w:hAnsi="Times New Roman"/>
          <w:sz w:val="24"/>
        </w:rPr>
        <w:t xml:space="preserve"> (Cth), s 293; </w:t>
      </w:r>
      <w:r w:rsidRPr="0099172B">
        <w:rPr>
          <w:rFonts w:ascii="Times New Roman" w:hAnsi="Times New Roman"/>
          <w:i/>
          <w:sz w:val="24"/>
        </w:rPr>
        <w:t>Criminal Assets Recovery Act 1990</w:t>
      </w:r>
      <w:r w:rsidRPr="0099172B">
        <w:rPr>
          <w:rFonts w:ascii="Times New Roman" w:hAnsi="Times New Roman"/>
          <w:sz w:val="24"/>
        </w:rPr>
        <w:t xml:space="preserve"> (NSW), s 16A-16B; </w:t>
      </w:r>
      <w:r w:rsidRPr="0099172B">
        <w:rPr>
          <w:rFonts w:ascii="Times New Roman" w:hAnsi="Times New Roman"/>
          <w:i/>
          <w:sz w:val="24"/>
        </w:rPr>
        <w:t>Confiscation Act 1997</w:t>
      </w:r>
      <w:r w:rsidRPr="0099172B">
        <w:rPr>
          <w:rFonts w:ascii="Times New Roman" w:hAnsi="Times New Roman"/>
          <w:sz w:val="24"/>
        </w:rPr>
        <w:t xml:space="preserve"> (Vic), s 143; </w:t>
      </w:r>
      <w:r w:rsidRPr="0099172B">
        <w:rPr>
          <w:rFonts w:ascii="Times New Roman" w:hAnsi="Times New Roman"/>
          <w:i/>
          <w:sz w:val="24"/>
        </w:rPr>
        <w:t xml:space="preserve">Criminal Assets Confiscation Act 2005 </w:t>
      </w:r>
      <w:r w:rsidRPr="0099172B">
        <w:rPr>
          <w:rFonts w:ascii="Times New Roman" w:hAnsi="Times New Roman"/>
          <w:sz w:val="24"/>
        </w:rPr>
        <w:t xml:space="preserve">(SA), s 207; </w:t>
      </w:r>
      <w:r w:rsidRPr="0099172B">
        <w:rPr>
          <w:rFonts w:ascii="Times New Roman" w:hAnsi="Times New Roman"/>
          <w:i/>
          <w:sz w:val="24"/>
        </w:rPr>
        <w:t>Criminal Proceeds Confiscation Act 2002</w:t>
      </w:r>
      <w:r w:rsidRPr="0099172B">
        <w:rPr>
          <w:rFonts w:ascii="Times New Roman" w:hAnsi="Times New Roman"/>
          <w:sz w:val="24"/>
        </w:rPr>
        <w:t xml:space="preserve"> (Qld), ss 227-230; </w:t>
      </w:r>
      <w:r w:rsidRPr="0099172B">
        <w:rPr>
          <w:rFonts w:ascii="Times New Roman" w:hAnsi="Times New Roman"/>
          <w:i/>
          <w:sz w:val="24"/>
        </w:rPr>
        <w:t xml:space="preserve">Crime (Confiscation of Profits) Act 1993 </w:t>
      </w:r>
      <w:r w:rsidRPr="0099172B">
        <w:rPr>
          <w:rFonts w:ascii="Times New Roman" w:hAnsi="Times New Roman"/>
          <w:sz w:val="24"/>
        </w:rPr>
        <w:t xml:space="preserve">(Tas), s 193. See also </w:t>
      </w:r>
      <w:r w:rsidRPr="0099172B">
        <w:rPr>
          <w:rFonts w:ascii="Times New Roman" w:hAnsi="Times New Roman"/>
          <w:i/>
          <w:sz w:val="24"/>
        </w:rPr>
        <w:t xml:space="preserve">Mansfield v Director of Public Prosecutions (WA) </w:t>
      </w:r>
      <w:r w:rsidRPr="0099172B">
        <w:rPr>
          <w:rFonts w:ascii="Times New Roman" w:hAnsi="Times New Roman"/>
          <w:sz w:val="24"/>
        </w:rPr>
        <w:t xml:space="preserve">(2006) 226 CLR 486. </w:t>
      </w:r>
    </w:p>
  </w:footnote>
  <w:footnote w:id="311">
    <w:p w14:paraId="311DAF7F"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Cs/>
          <w:sz w:val="24"/>
        </w:rPr>
        <w:t>Sanctions Regulations,</w:t>
      </w:r>
      <w:r w:rsidRPr="0099172B">
        <w:rPr>
          <w:rFonts w:ascii="Times New Roman" w:hAnsi="Times New Roman"/>
          <w:i/>
          <w:sz w:val="24"/>
        </w:rPr>
        <w:t xml:space="preserve"> </w:t>
      </w:r>
      <w:r w:rsidRPr="0099172B">
        <w:rPr>
          <w:rFonts w:ascii="Times New Roman" w:hAnsi="Times New Roman"/>
          <w:sz w:val="24"/>
        </w:rPr>
        <w:t>reg 15(1)(b)(i).</w:t>
      </w:r>
    </w:p>
  </w:footnote>
  <w:footnote w:id="312">
    <w:p w14:paraId="5AE2732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(2024) 184 ALD 393 at 404 [43].</w:t>
      </w:r>
    </w:p>
  </w:footnote>
  <w:footnote w:id="313">
    <w:p w14:paraId="3C696F9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Graham</w:t>
      </w:r>
      <w:r w:rsidRPr="0099172B">
        <w:rPr>
          <w:rFonts w:ascii="Times New Roman" w:hAnsi="Times New Roman"/>
          <w:sz w:val="24"/>
        </w:rPr>
        <w:t xml:space="preserve"> </w:t>
      </w:r>
      <w:r w:rsidRPr="0099172B">
        <w:rPr>
          <w:rFonts w:ascii="Times New Roman" w:hAnsi="Times New Roman"/>
          <w:i/>
          <w:sz w:val="24"/>
        </w:rPr>
        <w:t xml:space="preserve">v Minister for Immigration and Border Protection </w:t>
      </w:r>
      <w:r w:rsidRPr="0099172B">
        <w:rPr>
          <w:rFonts w:ascii="Times New Roman" w:hAnsi="Times New Roman"/>
          <w:sz w:val="24"/>
        </w:rPr>
        <w:t>(2017) 263 CLR 1 at 33 [68]-[69].</w:t>
      </w:r>
    </w:p>
  </w:footnote>
  <w:footnote w:id="314">
    <w:p w14:paraId="33EB09CA"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 xml:space="preserve">(2024) 184 ALD 393 at 407 [55]; </w:t>
      </w:r>
      <w:r w:rsidRPr="0099172B">
        <w:rPr>
          <w:rFonts w:ascii="Times New Roman" w:hAnsi="Times New Roman"/>
          <w:i/>
          <w:sz w:val="24"/>
        </w:rPr>
        <w:t xml:space="preserve">Deripaska v Minister for Foreign Affairs </w:t>
      </w:r>
      <w:r w:rsidRPr="0099172B">
        <w:rPr>
          <w:rFonts w:ascii="Times New Roman" w:hAnsi="Times New Roman"/>
          <w:sz w:val="24"/>
        </w:rPr>
        <w:t>(2025) 308 FCR 175 at 185 [41].</w:t>
      </w:r>
    </w:p>
  </w:footnote>
  <w:footnote w:id="315">
    <w:p w14:paraId="5AE34F9E"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Palmer</w:t>
      </w:r>
      <w:r w:rsidRPr="0099172B">
        <w:rPr>
          <w:rFonts w:ascii="Times New Roman" w:hAnsi="Times New Roman"/>
          <w:sz w:val="24"/>
        </w:rPr>
        <w:t xml:space="preserve"> </w:t>
      </w:r>
      <w:r w:rsidRPr="0099172B">
        <w:rPr>
          <w:rFonts w:ascii="Times New Roman" w:hAnsi="Times New Roman"/>
          <w:i/>
          <w:sz w:val="24"/>
        </w:rPr>
        <w:t xml:space="preserve">v Western Australia </w:t>
      </w:r>
      <w:r w:rsidRPr="0099172B">
        <w:rPr>
          <w:rFonts w:ascii="Times New Roman" w:hAnsi="Times New Roman"/>
          <w:sz w:val="24"/>
        </w:rPr>
        <w:t>(2021) 272 CLR 505 at 547 [122]-[124].</w:t>
      </w:r>
    </w:p>
  </w:footnote>
  <w:footnote w:id="316">
    <w:p w14:paraId="5D7233F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(2024) 184 ALD 393 at 406 [51].</w:t>
      </w:r>
    </w:p>
  </w:footnote>
  <w:footnote w:id="317">
    <w:p w14:paraId="013F92B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(2025) 308 FCR 175 at 194 [89].</w:t>
      </w:r>
    </w:p>
  </w:footnote>
  <w:footnote w:id="318">
    <w:p w14:paraId="7EEB90F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Clubb v Edwards </w:t>
      </w:r>
      <w:r w:rsidRPr="0099172B">
        <w:rPr>
          <w:rFonts w:ascii="Times New Roman" w:hAnsi="Times New Roman"/>
          <w:sz w:val="24"/>
        </w:rPr>
        <w:t>(2019) 267 CLR 171 at 192 [35].</w:t>
      </w:r>
    </w:p>
  </w:footnote>
  <w:footnote w:id="319">
    <w:p w14:paraId="2E24B5C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Knight v Victoria</w:t>
      </w:r>
      <w:r w:rsidRPr="0099172B">
        <w:rPr>
          <w:rFonts w:ascii="Times New Roman" w:hAnsi="Times New Roman"/>
          <w:sz w:val="24"/>
        </w:rPr>
        <w:t xml:space="preserve"> (2017) 261 CLR 306 at 324-325 [33]. </w:t>
      </w:r>
    </w:p>
  </w:footnote>
  <w:footnote w:id="320">
    <w:p w14:paraId="515DC60B"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Graham</w:t>
      </w:r>
      <w:r w:rsidRPr="0099172B">
        <w:rPr>
          <w:rFonts w:ascii="Times New Roman" w:hAnsi="Times New Roman"/>
          <w:sz w:val="24"/>
        </w:rPr>
        <w:t xml:space="preserve"> </w:t>
      </w:r>
      <w:r w:rsidRPr="0099172B">
        <w:rPr>
          <w:rFonts w:ascii="Times New Roman" w:hAnsi="Times New Roman"/>
          <w:i/>
          <w:sz w:val="24"/>
        </w:rPr>
        <w:t xml:space="preserve">v Minister for Immigration and Border Protection </w:t>
      </w:r>
      <w:r w:rsidRPr="0099172B">
        <w:rPr>
          <w:rFonts w:ascii="Times New Roman" w:hAnsi="Times New Roman"/>
          <w:sz w:val="24"/>
        </w:rPr>
        <w:t>(2017) 263 CLR 1 at 33 [68].</w:t>
      </w:r>
    </w:p>
  </w:footnote>
  <w:footnote w:id="321">
    <w:p w14:paraId="1583636C"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Graham</w:t>
      </w:r>
      <w:r w:rsidRPr="0099172B">
        <w:rPr>
          <w:rFonts w:ascii="Times New Roman" w:hAnsi="Times New Roman"/>
          <w:sz w:val="24"/>
        </w:rPr>
        <w:t xml:space="preserve"> </w:t>
      </w:r>
      <w:r w:rsidRPr="0099172B">
        <w:rPr>
          <w:rFonts w:ascii="Times New Roman" w:hAnsi="Times New Roman"/>
          <w:i/>
          <w:sz w:val="24"/>
        </w:rPr>
        <w:t>v Minister for Immigration and Border Protection</w:t>
      </w:r>
      <w:r w:rsidRPr="0099172B">
        <w:rPr>
          <w:rFonts w:ascii="Times New Roman" w:hAnsi="Times New Roman"/>
          <w:sz w:val="24"/>
        </w:rPr>
        <w:t xml:space="preserve"> (2017) 263 CLR 1 at 25 [42].</w:t>
      </w:r>
    </w:p>
  </w:footnote>
  <w:footnote w:id="322">
    <w:p w14:paraId="6C89EE6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Judiciary Act 1903 </w:t>
      </w:r>
      <w:r w:rsidRPr="0099172B">
        <w:rPr>
          <w:rFonts w:ascii="Times New Roman" w:hAnsi="Times New Roman"/>
          <w:sz w:val="24"/>
        </w:rPr>
        <w:t>(Cth), s 39B(1A).</w:t>
      </w:r>
    </w:p>
  </w:footnote>
  <w:footnote w:id="323">
    <w:p w14:paraId="028B491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Graham</w:t>
      </w:r>
      <w:r w:rsidRPr="0099172B">
        <w:rPr>
          <w:rFonts w:ascii="Times New Roman" w:hAnsi="Times New Roman"/>
          <w:sz w:val="24"/>
        </w:rPr>
        <w:t xml:space="preserve"> </w:t>
      </w:r>
      <w:r w:rsidRPr="0099172B">
        <w:rPr>
          <w:rFonts w:ascii="Times New Roman" w:hAnsi="Times New Roman"/>
          <w:i/>
          <w:sz w:val="24"/>
        </w:rPr>
        <w:t>v Minister for Immigration and Border Protection</w:t>
      </w:r>
      <w:r w:rsidRPr="0099172B">
        <w:rPr>
          <w:rFonts w:ascii="Times New Roman" w:hAnsi="Times New Roman"/>
          <w:sz w:val="24"/>
        </w:rPr>
        <w:t xml:space="preserve"> (2017) 263 CLR 1 at 26-27 [47].</w:t>
      </w:r>
    </w:p>
  </w:footnote>
  <w:footnote w:id="324">
    <w:p w14:paraId="348004BF"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Graham</w:t>
      </w:r>
      <w:r w:rsidRPr="0099172B">
        <w:rPr>
          <w:rFonts w:ascii="Times New Roman" w:hAnsi="Times New Roman"/>
          <w:sz w:val="24"/>
        </w:rPr>
        <w:t xml:space="preserve"> </w:t>
      </w:r>
      <w:r w:rsidRPr="0099172B">
        <w:rPr>
          <w:rFonts w:ascii="Times New Roman" w:hAnsi="Times New Roman"/>
          <w:i/>
          <w:sz w:val="24"/>
        </w:rPr>
        <w:t>v Minister for Immigration and Border Protection</w:t>
      </w:r>
      <w:r w:rsidRPr="0099172B">
        <w:rPr>
          <w:rFonts w:ascii="Times New Roman" w:hAnsi="Times New Roman"/>
          <w:sz w:val="24"/>
        </w:rPr>
        <w:t xml:space="preserve"> (2017) 263 CLR 1 at 27 [48]; cf </w:t>
      </w:r>
      <w:r w:rsidRPr="0099172B">
        <w:rPr>
          <w:rFonts w:ascii="Times New Roman" w:hAnsi="Times New Roman"/>
          <w:i/>
          <w:sz w:val="24"/>
        </w:rPr>
        <w:t>Abebe v The Commonwealth</w:t>
      </w:r>
      <w:r w:rsidRPr="0099172B">
        <w:rPr>
          <w:rFonts w:ascii="Times New Roman" w:hAnsi="Times New Roman"/>
          <w:sz w:val="24"/>
        </w:rPr>
        <w:t xml:space="preserve"> (1999) 197 CLR 510.</w:t>
      </w:r>
    </w:p>
  </w:footnote>
  <w:footnote w:id="325">
    <w:p w14:paraId="2E42E3D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Collectively referred to from this point as "the Minister", unless context indicates otherwise.</w:t>
      </w:r>
    </w:p>
  </w:footnote>
  <w:footnote w:id="326">
    <w:p w14:paraId="572C62E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Pr>
          <w:rFonts w:ascii="Times New Roman" w:hAnsi="Times New Roman"/>
          <w:sz w:val="24"/>
        </w:rPr>
        <w:t xml:space="preserve">below at </w:t>
      </w:r>
      <w:r w:rsidRPr="0099172B">
        <w:rPr>
          <w:rFonts w:ascii="Times New Roman" w:hAnsi="Times New Roman"/>
          <w:sz w:val="24"/>
        </w:rPr>
        <w:t>[</w:t>
      </w:r>
      <w:r>
        <w:rPr>
          <w:rFonts w:ascii="Times New Roman" w:hAnsi="Times New Roman"/>
          <w:sz w:val="24"/>
        </w:rPr>
        <w:t>208</w:t>
      </w:r>
      <w:r w:rsidRPr="0099172B">
        <w:rPr>
          <w:rFonts w:ascii="Times New Roman" w:hAnsi="Times New Roman"/>
          <w:sz w:val="24"/>
        </w:rPr>
        <w:t>].</w:t>
      </w:r>
    </w:p>
  </w:footnote>
  <w:footnote w:id="327">
    <w:p w14:paraId="5CDB6560"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Deripaska v Minister for Foreign Affairs </w:t>
      </w:r>
      <w:r w:rsidRPr="0099172B">
        <w:rPr>
          <w:rFonts w:ascii="Times New Roman" w:hAnsi="Times New Roman"/>
          <w:sz w:val="24"/>
        </w:rPr>
        <w:t>(2025) 308 FCR 175 at 193 [84].</w:t>
      </w:r>
    </w:p>
  </w:footnote>
  <w:footnote w:id="328">
    <w:p w14:paraId="67CD00D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Graham</w:t>
      </w:r>
      <w:r w:rsidRPr="0099172B">
        <w:rPr>
          <w:rFonts w:ascii="Times New Roman" w:hAnsi="Times New Roman"/>
          <w:sz w:val="24"/>
        </w:rPr>
        <w:t xml:space="preserve"> </w:t>
      </w:r>
      <w:r w:rsidRPr="0099172B">
        <w:rPr>
          <w:rFonts w:ascii="Times New Roman" w:hAnsi="Times New Roman"/>
          <w:i/>
          <w:sz w:val="24"/>
        </w:rPr>
        <w:t>v Minister for Immigration and Border Protection</w:t>
      </w:r>
      <w:r w:rsidRPr="0099172B">
        <w:rPr>
          <w:rFonts w:ascii="Times New Roman" w:hAnsi="Times New Roman"/>
          <w:sz w:val="24"/>
        </w:rPr>
        <w:t xml:space="preserve"> (2017) 263 CLR 1 at 27 [48]; see also </w:t>
      </w:r>
      <w:r w:rsidRPr="0099172B">
        <w:rPr>
          <w:rFonts w:ascii="Times New Roman" w:hAnsi="Times New Roman"/>
          <w:i/>
          <w:sz w:val="24"/>
        </w:rPr>
        <w:t>Bodruddaza v Minister for Immigration and Multicultural Affairs</w:t>
      </w:r>
      <w:r w:rsidRPr="0099172B">
        <w:rPr>
          <w:rFonts w:ascii="Times New Roman" w:hAnsi="Times New Roman"/>
          <w:sz w:val="24"/>
        </w:rPr>
        <w:t xml:space="preserve"> (2007) 228 CLR 651 at 671 [53].</w:t>
      </w:r>
    </w:p>
  </w:footnote>
  <w:footnote w:id="329">
    <w:p w14:paraId="3EA5562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See [</w:t>
      </w:r>
      <w:r>
        <w:rPr>
          <w:rFonts w:ascii="Times New Roman" w:hAnsi="Times New Roman"/>
          <w:sz w:val="24"/>
        </w:rPr>
        <w:t>188</w:t>
      </w:r>
      <w:r w:rsidRPr="0099172B">
        <w:rPr>
          <w:rFonts w:ascii="Times New Roman" w:hAnsi="Times New Roman"/>
          <w:sz w:val="24"/>
        </w:rPr>
        <w:t>].</w:t>
      </w:r>
    </w:p>
  </w:footnote>
  <w:footnote w:id="330">
    <w:p w14:paraId="67E7C6A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APLA Ltd v Legal Services Commissioner (NSW) </w:t>
      </w:r>
      <w:r w:rsidRPr="0099172B">
        <w:rPr>
          <w:rFonts w:ascii="Times New Roman" w:hAnsi="Times New Roman"/>
          <w:sz w:val="24"/>
        </w:rPr>
        <w:t>(2005) 224 CLR 322 at 351 [30].</w:t>
      </w:r>
    </w:p>
  </w:footnote>
  <w:footnote w:id="331">
    <w:p w14:paraId="41BDBBE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Bank of New South Wales v The Commonwealth</w:t>
      </w:r>
      <w:r w:rsidRPr="0099172B">
        <w:rPr>
          <w:rFonts w:ascii="Times New Roman" w:hAnsi="Times New Roman"/>
          <w:sz w:val="24"/>
        </w:rPr>
        <w:t xml:space="preserve"> (1948) 76 CLR 1 at 371.</w:t>
      </w:r>
    </w:p>
  </w:footnote>
  <w:footnote w:id="332">
    <w:p w14:paraId="26DD893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Bank of New South Wales v The Commonwealth</w:t>
      </w:r>
      <w:r w:rsidRPr="0099172B">
        <w:rPr>
          <w:rFonts w:ascii="Times New Roman" w:hAnsi="Times New Roman"/>
          <w:sz w:val="24"/>
        </w:rPr>
        <w:t xml:space="preserve"> (1948) 76 CLR 1 at 371; </w:t>
      </w:r>
      <w:r w:rsidRPr="0099172B">
        <w:rPr>
          <w:rFonts w:ascii="Times New Roman" w:hAnsi="Times New Roman"/>
          <w:i/>
          <w:sz w:val="24"/>
        </w:rPr>
        <w:t>Clubb v Edwards</w:t>
      </w:r>
      <w:r w:rsidRPr="0099172B">
        <w:rPr>
          <w:rFonts w:ascii="Times New Roman" w:hAnsi="Times New Roman"/>
          <w:sz w:val="24"/>
        </w:rPr>
        <w:t xml:space="preserve"> (2019) 267 CLR 171 at 218 [141].</w:t>
      </w:r>
    </w:p>
  </w:footnote>
  <w:footnote w:id="333">
    <w:p w14:paraId="1BE5109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R v Poole; Ex parte Henry [No 2]</w:t>
      </w:r>
      <w:r w:rsidRPr="0099172B">
        <w:rPr>
          <w:rFonts w:ascii="Times New Roman" w:hAnsi="Times New Roman"/>
          <w:sz w:val="24"/>
        </w:rPr>
        <w:t xml:space="preserve"> (1939) 61 CLR 634 at 652.</w:t>
      </w:r>
    </w:p>
  </w:footnote>
  <w:footnote w:id="334">
    <w:p w14:paraId="3DB95681"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Clubb v Edwards</w:t>
      </w:r>
      <w:r w:rsidRPr="0099172B">
        <w:rPr>
          <w:rFonts w:ascii="Times New Roman" w:hAnsi="Times New Roman"/>
          <w:sz w:val="24"/>
        </w:rPr>
        <w:t xml:space="preserve"> (2019) 267 CLR 171 at 220 [146], 288-289 [333]-[336]; see also </w:t>
      </w:r>
      <w:r w:rsidRPr="0099172B">
        <w:rPr>
          <w:rFonts w:ascii="Times New Roman" w:hAnsi="Times New Roman"/>
          <w:i/>
          <w:sz w:val="24"/>
        </w:rPr>
        <w:t>Tajjour v New South Wales</w:t>
      </w:r>
      <w:r w:rsidRPr="0099172B">
        <w:rPr>
          <w:rFonts w:ascii="Times New Roman" w:hAnsi="Times New Roman"/>
          <w:sz w:val="24"/>
        </w:rPr>
        <w:t xml:space="preserve"> (2014) 254 CLR 508 at 586-588 [170]-[174].</w:t>
      </w:r>
    </w:p>
  </w:footnote>
  <w:footnote w:id="335">
    <w:p w14:paraId="0A3865D0"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 v Victoria</w:t>
      </w:r>
      <w:r w:rsidRPr="0099172B">
        <w:rPr>
          <w:rFonts w:ascii="Times New Roman" w:hAnsi="Times New Roman"/>
          <w:sz w:val="24"/>
        </w:rPr>
        <w:t xml:space="preserve"> (1943) 68 CLR 87 at 108; </w:t>
      </w:r>
      <w:r w:rsidRPr="0099172B">
        <w:rPr>
          <w:rFonts w:ascii="Times New Roman" w:hAnsi="Times New Roman"/>
          <w:i/>
          <w:sz w:val="24"/>
        </w:rPr>
        <w:t>Victoria v The Commonwealth</w:t>
      </w:r>
      <w:r w:rsidRPr="0099172B">
        <w:rPr>
          <w:rFonts w:ascii="Times New Roman" w:hAnsi="Times New Roman"/>
          <w:sz w:val="24"/>
        </w:rPr>
        <w:t xml:space="preserve"> (1996) 187 CLR 416 at 502; see also </w:t>
      </w:r>
      <w:r w:rsidRPr="0099172B">
        <w:rPr>
          <w:rFonts w:ascii="Times New Roman" w:hAnsi="Times New Roman"/>
          <w:i/>
          <w:sz w:val="24"/>
        </w:rPr>
        <w:t>R v Poole; Ex parte Henry [No 2]</w:t>
      </w:r>
      <w:r w:rsidRPr="0099172B">
        <w:rPr>
          <w:rFonts w:ascii="Times New Roman" w:hAnsi="Times New Roman"/>
          <w:sz w:val="24"/>
        </w:rPr>
        <w:t xml:space="preserve"> (1939) 61 CLR 634 at 651-652.</w:t>
      </w:r>
    </w:p>
  </w:footnote>
  <w:footnote w:id="336">
    <w:p w14:paraId="30A692F6"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 v Victoria</w:t>
      </w:r>
      <w:r w:rsidRPr="0099172B">
        <w:rPr>
          <w:rFonts w:ascii="Times New Roman" w:hAnsi="Times New Roman"/>
          <w:sz w:val="24"/>
        </w:rPr>
        <w:t xml:space="preserve"> (1943) 68 CLR 87 at 108; </w:t>
      </w:r>
      <w:r w:rsidRPr="0099172B">
        <w:rPr>
          <w:rFonts w:ascii="Times New Roman" w:hAnsi="Times New Roman"/>
          <w:i/>
          <w:sz w:val="24"/>
        </w:rPr>
        <w:t>Victoria v The Commonwealth</w:t>
      </w:r>
      <w:r w:rsidRPr="0099172B">
        <w:rPr>
          <w:rFonts w:ascii="Times New Roman" w:hAnsi="Times New Roman"/>
          <w:sz w:val="24"/>
        </w:rPr>
        <w:t xml:space="preserve"> (1996) 187 CLR 416 at 502; see also </w:t>
      </w:r>
      <w:r w:rsidRPr="0099172B">
        <w:rPr>
          <w:rFonts w:ascii="Times New Roman" w:hAnsi="Times New Roman"/>
          <w:i/>
          <w:sz w:val="24"/>
        </w:rPr>
        <w:t>R v Poole; Ex parte Henry [No 2]</w:t>
      </w:r>
      <w:r w:rsidRPr="0099172B">
        <w:rPr>
          <w:rFonts w:ascii="Times New Roman" w:hAnsi="Times New Roman"/>
          <w:sz w:val="24"/>
        </w:rPr>
        <w:t xml:space="preserve"> (1939) 61 CLR 634 at 652.</w:t>
      </w:r>
    </w:p>
  </w:footnote>
  <w:footnote w:id="337">
    <w:p w14:paraId="0160BC44"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w:t>
      </w:r>
      <w:r w:rsidRPr="0099172B">
        <w:rPr>
          <w:rFonts w:ascii="Times New Roman" w:hAnsi="Times New Roman"/>
          <w:sz w:val="24"/>
        </w:rPr>
        <w:t xml:space="preserve"> </w:t>
      </w:r>
      <w:r w:rsidRPr="0099172B">
        <w:rPr>
          <w:rFonts w:ascii="Times New Roman" w:hAnsi="Times New Roman"/>
          <w:i/>
          <w:sz w:val="24"/>
        </w:rPr>
        <w:t>v Victoria</w:t>
      </w:r>
      <w:r w:rsidRPr="0099172B">
        <w:rPr>
          <w:rFonts w:ascii="Times New Roman" w:hAnsi="Times New Roman"/>
          <w:sz w:val="24"/>
        </w:rPr>
        <w:t xml:space="preserve"> (1943) 68 CLR 87 at 108-109, citing </w:t>
      </w:r>
      <w:r w:rsidRPr="0099172B">
        <w:rPr>
          <w:rFonts w:ascii="Times New Roman" w:hAnsi="Times New Roman"/>
          <w:i/>
          <w:sz w:val="24"/>
        </w:rPr>
        <w:t xml:space="preserve">R v Burgess; Ex parte Henry </w:t>
      </w:r>
      <w:r w:rsidRPr="0099172B">
        <w:rPr>
          <w:rFonts w:ascii="Times New Roman" w:hAnsi="Times New Roman"/>
          <w:sz w:val="24"/>
        </w:rPr>
        <w:t xml:space="preserve">(1936) 55 CLR 608 at 676. </w:t>
      </w:r>
    </w:p>
  </w:footnote>
  <w:footnote w:id="338">
    <w:p w14:paraId="77232875"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w:t>
      </w:r>
      <w:r w:rsidRPr="0099172B">
        <w:rPr>
          <w:rFonts w:ascii="Times New Roman" w:hAnsi="Times New Roman"/>
          <w:sz w:val="24"/>
        </w:rPr>
        <w:t xml:space="preserve"> </w:t>
      </w:r>
      <w:r w:rsidRPr="0099172B">
        <w:rPr>
          <w:rFonts w:ascii="Times New Roman" w:hAnsi="Times New Roman"/>
          <w:i/>
          <w:sz w:val="24"/>
        </w:rPr>
        <w:t>v Victoria</w:t>
      </w:r>
      <w:r w:rsidRPr="0099172B">
        <w:rPr>
          <w:rFonts w:ascii="Times New Roman" w:hAnsi="Times New Roman"/>
          <w:sz w:val="24"/>
        </w:rPr>
        <w:t xml:space="preserve"> (1943) 68 CLR 87 at 110-111.</w:t>
      </w:r>
    </w:p>
  </w:footnote>
  <w:footnote w:id="339">
    <w:p w14:paraId="1AD413B5"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 v Victoria</w:t>
      </w:r>
      <w:r w:rsidRPr="0099172B">
        <w:rPr>
          <w:rFonts w:ascii="Times New Roman" w:hAnsi="Times New Roman"/>
          <w:sz w:val="24"/>
        </w:rPr>
        <w:t xml:space="preserve"> (1943) 68 CLR 87 at 110-111 (emphasis added), cited in </w:t>
      </w:r>
      <w:r w:rsidRPr="0099172B">
        <w:rPr>
          <w:rFonts w:ascii="Times New Roman" w:hAnsi="Times New Roman"/>
          <w:i/>
          <w:sz w:val="24"/>
        </w:rPr>
        <w:t>Farm Transparency International Ltd v New South Wales</w:t>
      </w:r>
      <w:r w:rsidRPr="0099172B">
        <w:rPr>
          <w:rFonts w:ascii="Times New Roman" w:hAnsi="Times New Roman"/>
          <w:sz w:val="24"/>
        </w:rPr>
        <w:t xml:space="preserve"> (2022) 277 CLR 537 at 572 [100]; see also </w:t>
      </w:r>
      <w:r w:rsidRPr="0099172B">
        <w:rPr>
          <w:rFonts w:ascii="Times New Roman" w:hAnsi="Times New Roman"/>
          <w:i/>
          <w:sz w:val="24"/>
        </w:rPr>
        <w:t>Re Nolan; Ex parte Young</w:t>
      </w:r>
      <w:r w:rsidRPr="0099172B">
        <w:rPr>
          <w:rFonts w:ascii="Times New Roman" w:hAnsi="Times New Roman"/>
          <w:sz w:val="24"/>
        </w:rPr>
        <w:t xml:space="preserve"> (1991) 172 CLR 460 at 487.</w:t>
      </w:r>
    </w:p>
  </w:footnote>
  <w:footnote w:id="340">
    <w:p w14:paraId="5504C7DE"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cf </w:t>
      </w:r>
      <w:r w:rsidRPr="0099172B">
        <w:rPr>
          <w:rFonts w:ascii="Times New Roman" w:hAnsi="Times New Roman"/>
          <w:i/>
          <w:sz w:val="24"/>
        </w:rPr>
        <w:t>Clubb v Edwards</w:t>
      </w:r>
      <w:r w:rsidRPr="0099172B">
        <w:rPr>
          <w:rFonts w:ascii="Times New Roman" w:hAnsi="Times New Roman"/>
          <w:sz w:val="24"/>
        </w:rPr>
        <w:t xml:space="preserve"> (2019) 267 CLR 171 at 313-322 [415]-[433].</w:t>
      </w:r>
    </w:p>
  </w:footnote>
  <w:footnote w:id="341">
    <w:p w14:paraId="3374639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 v Victoria</w:t>
      </w:r>
      <w:r w:rsidRPr="0099172B">
        <w:rPr>
          <w:rFonts w:ascii="Times New Roman" w:hAnsi="Times New Roman"/>
          <w:sz w:val="24"/>
        </w:rPr>
        <w:t xml:space="preserve"> (1943) 68 CLR 87 at 110-111; </w:t>
      </w:r>
      <w:r w:rsidRPr="0099172B">
        <w:rPr>
          <w:rFonts w:ascii="Times New Roman" w:hAnsi="Times New Roman"/>
          <w:i/>
          <w:sz w:val="24"/>
        </w:rPr>
        <w:t xml:space="preserve">Strickland v Rocla Concrete Pipes Ltd </w:t>
      </w:r>
      <w:r w:rsidRPr="0099172B">
        <w:rPr>
          <w:rFonts w:ascii="Times New Roman" w:hAnsi="Times New Roman"/>
          <w:sz w:val="24"/>
        </w:rPr>
        <w:t xml:space="preserve">(1971) 124 CLR 468 at 518-521, 527; </w:t>
      </w:r>
      <w:r w:rsidRPr="0099172B">
        <w:rPr>
          <w:rFonts w:ascii="Times New Roman" w:hAnsi="Times New Roman"/>
          <w:i/>
          <w:sz w:val="24"/>
        </w:rPr>
        <w:t xml:space="preserve">Re Dingjan; Ex parte Wagner </w:t>
      </w:r>
      <w:r w:rsidRPr="0099172B">
        <w:rPr>
          <w:rFonts w:ascii="Times New Roman" w:hAnsi="Times New Roman"/>
          <w:sz w:val="24"/>
        </w:rPr>
        <w:t>(1995) 183 CLR 323 at 335, 339-340, 349, 366, 371-372.</w:t>
      </w:r>
    </w:p>
  </w:footnote>
  <w:footnote w:id="342">
    <w:p w14:paraId="131C9C4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Victoria v The Commonwealth</w:t>
      </w:r>
      <w:r w:rsidRPr="0099172B">
        <w:rPr>
          <w:rFonts w:ascii="Times New Roman" w:hAnsi="Times New Roman"/>
          <w:sz w:val="24"/>
        </w:rPr>
        <w:t xml:space="preserve"> (1996) 187 CLR 416 at 503; </w:t>
      </w:r>
      <w:r w:rsidRPr="0099172B">
        <w:rPr>
          <w:rFonts w:ascii="Times New Roman" w:hAnsi="Times New Roman"/>
          <w:i/>
          <w:sz w:val="24"/>
        </w:rPr>
        <w:t>Tajjour v New South Wales</w:t>
      </w:r>
      <w:r w:rsidRPr="0099172B">
        <w:rPr>
          <w:rFonts w:ascii="Times New Roman" w:hAnsi="Times New Roman"/>
          <w:sz w:val="24"/>
        </w:rPr>
        <w:t xml:space="preserve"> (2014) 254 CLR 508 at 586-588 [170]-[174]; </w:t>
      </w:r>
      <w:r w:rsidRPr="0099172B">
        <w:rPr>
          <w:rFonts w:ascii="Times New Roman" w:hAnsi="Times New Roman"/>
          <w:i/>
          <w:sz w:val="24"/>
        </w:rPr>
        <w:t>Clubb v Edwards</w:t>
      </w:r>
      <w:r w:rsidRPr="0099172B">
        <w:rPr>
          <w:rFonts w:ascii="Times New Roman" w:hAnsi="Times New Roman"/>
          <w:sz w:val="24"/>
        </w:rPr>
        <w:t xml:space="preserve"> (2019) 267 CLR 171 at 220 [146], 288-289 [333]-[336].</w:t>
      </w:r>
    </w:p>
  </w:footnote>
  <w:footnote w:id="343">
    <w:p w14:paraId="4BA4FBA8" w14:textId="4E4E5B26"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So as to conform to the </w:t>
      </w:r>
      <w:r w:rsidRPr="0099172B">
        <w:rPr>
          <w:rFonts w:ascii="Times New Roman" w:hAnsi="Times New Roman"/>
          <w:i/>
          <w:iCs/>
          <w:sz w:val="24"/>
        </w:rPr>
        <w:t>Constitution</w:t>
      </w:r>
      <w:r w:rsidRPr="0099172B">
        <w:rPr>
          <w:rFonts w:ascii="Times New Roman" w:hAnsi="Times New Roman"/>
          <w:sz w:val="24"/>
        </w:rPr>
        <w:t xml:space="preserve">, s 51(i): </w:t>
      </w:r>
      <w:r w:rsidRPr="0099172B">
        <w:rPr>
          <w:rFonts w:ascii="Times New Roman" w:hAnsi="Times New Roman"/>
          <w:i/>
          <w:sz w:val="24"/>
        </w:rPr>
        <w:t>Pidoto v Victoria</w:t>
      </w:r>
      <w:r w:rsidRPr="0099172B">
        <w:rPr>
          <w:rFonts w:ascii="Times New Roman" w:hAnsi="Times New Roman"/>
          <w:sz w:val="24"/>
        </w:rPr>
        <w:t xml:space="preserve"> (1943) 68 CLR 87 at 109-110, citing </w:t>
      </w:r>
      <w:r w:rsidRPr="0099172B">
        <w:rPr>
          <w:rFonts w:ascii="Times New Roman" w:hAnsi="Times New Roman"/>
          <w:i/>
          <w:sz w:val="24"/>
        </w:rPr>
        <w:t>Newcastle and Hunter River Steamship Co Ltd v Attorney-General for the Commonwealth</w:t>
      </w:r>
      <w:r w:rsidRPr="0099172B">
        <w:rPr>
          <w:rFonts w:ascii="Times New Roman" w:hAnsi="Times New Roman"/>
          <w:sz w:val="24"/>
        </w:rPr>
        <w:t> </w:t>
      </w:r>
      <w:r w:rsidRPr="00697BE4">
        <w:rPr>
          <w:rFonts w:ascii="Times New Roman" w:hAnsi="Times New Roman"/>
          <w:sz w:val="24"/>
        </w:rPr>
        <w:t>(1921) 29 CLR 357</w:t>
      </w:r>
      <w:r w:rsidRPr="0099172B">
        <w:rPr>
          <w:rFonts w:ascii="Times New Roman" w:hAnsi="Times New Roman"/>
          <w:sz w:val="24"/>
        </w:rPr>
        <w:t xml:space="preserve"> and </w:t>
      </w:r>
      <w:r w:rsidRPr="0099172B">
        <w:rPr>
          <w:rFonts w:ascii="Times New Roman" w:hAnsi="Times New Roman"/>
          <w:i/>
          <w:sz w:val="24"/>
        </w:rPr>
        <w:t xml:space="preserve">Huddart Parker Ltd v The Commonwealth </w:t>
      </w:r>
      <w:r w:rsidRPr="00F166E3">
        <w:rPr>
          <w:rFonts w:ascii="Times New Roman" w:hAnsi="Times New Roman"/>
          <w:sz w:val="24"/>
        </w:rPr>
        <w:t>(1931) 44 CLR 492</w:t>
      </w:r>
      <w:r w:rsidRPr="0099172B">
        <w:rPr>
          <w:rFonts w:ascii="Times New Roman" w:hAnsi="Times New Roman"/>
          <w:sz w:val="24"/>
        </w:rPr>
        <w:t>.</w:t>
      </w:r>
    </w:p>
  </w:footnote>
  <w:footnote w:id="344">
    <w:p w14:paraId="13573307"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i/>
          <w:iCs/>
          <w:sz w:val="24"/>
        </w:rPr>
        <w:tab/>
      </w:r>
      <w:r w:rsidRPr="0099172B">
        <w:rPr>
          <w:rFonts w:ascii="Times New Roman" w:hAnsi="Times New Roman"/>
          <w:sz w:val="24"/>
        </w:rPr>
        <w:t>(1947) 74 CLR 31.</w:t>
      </w:r>
    </w:p>
  </w:footnote>
  <w:footnote w:id="345">
    <w:p w14:paraId="134D429A"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Victoria v The Commonwealth</w:t>
      </w:r>
      <w:r w:rsidRPr="0099172B">
        <w:rPr>
          <w:rFonts w:ascii="Times New Roman" w:hAnsi="Times New Roman"/>
          <w:sz w:val="24"/>
        </w:rPr>
        <w:t xml:space="preserve"> (1996) 187 CLR 416 at 503, applying a limitation explained in </w:t>
      </w:r>
      <w:r w:rsidRPr="0099172B">
        <w:rPr>
          <w:rFonts w:ascii="Times New Roman" w:hAnsi="Times New Roman"/>
          <w:i/>
          <w:sz w:val="24"/>
        </w:rPr>
        <w:t xml:space="preserve">Re Australian Education Union; Ex parte Victoria </w:t>
      </w:r>
      <w:r w:rsidRPr="0099172B">
        <w:rPr>
          <w:rFonts w:ascii="Times New Roman" w:hAnsi="Times New Roman"/>
          <w:sz w:val="24"/>
        </w:rPr>
        <w:t>(1995) 184 CLR 188 at 233.</w:t>
      </w:r>
    </w:p>
  </w:footnote>
  <w:footnote w:id="346">
    <w:p w14:paraId="1600C41F"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Bourke v State Bank of New South Wales</w:t>
      </w:r>
      <w:r w:rsidRPr="0099172B">
        <w:rPr>
          <w:rFonts w:ascii="Times New Roman" w:hAnsi="Times New Roman"/>
          <w:sz w:val="24"/>
        </w:rPr>
        <w:t xml:space="preserve"> (1990) 170 CLR 276 at 291; see also </w:t>
      </w:r>
      <w:r w:rsidRPr="0099172B">
        <w:rPr>
          <w:rFonts w:ascii="Times New Roman" w:hAnsi="Times New Roman"/>
          <w:i/>
          <w:sz w:val="24"/>
        </w:rPr>
        <w:t>Re Nolan; Ex parte Young</w:t>
      </w:r>
      <w:r w:rsidRPr="0099172B">
        <w:rPr>
          <w:rFonts w:ascii="Times New Roman" w:hAnsi="Times New Roman"/>
          <w:sz w:val="24"/>
        </w:rPr>
        <w:t xml:space="preserve"> (1991) 172 CLR 460 at 486-488.</w:t>
      </w:r>
    </w:p>
  </w:footnote>
  <w:footnote w:id="347">
    <w:p w14:paraId="36709940"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 v Victoria</w:t>
      </w:r>
      <w:r w:rsidRPr="0099172B">
        <w:rPr>
          <w:rFonts w:ascii="Times New Roman" w:hAnsi="Times New Roman"/>
          <w:sz w:val="24"/>
        </w:rPr>
        <w:t xml:space="preserve"> (1943) 68 CLR 87 at 110-111.</w:t>
      </w:r>
    </w:p>
  </w:footnote>
  <w:footnote w:id="348">
    <w:p w14:paraId="18B40AB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Tajjour v New South Wales</w:t>
      </w:r>
      <w:r w:rsidRPr="0099172B">
        <w:rPr>
          <w:rFonts w:ascii="Times New Roman" w:hAnsi="Times New Roman"/>
          <w:sz w:val="24"/>
        </w:rPr>
        <w:t xml:space="preserve"> (2014) 254 CLR 508 at 589 [178].</w:t>
      </w:r>
    </w:p>
  </w:footnote>
  <w:footnote w:id="349">
    <w:p w14:paraId="4E0CAA0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Tajjour v New South Wales</w:t>
      </w:r>
      <w:r w:rsidRPr="0099172B">
        <w:rPr>
          <w:rFonts w:ascii="Times New Roman" w:hAnsi="Times New Roman"/>
          <w:sz w:val="24"/>
        </w:rPr>
        <w:t xml:space="preserve"> (2014) 254 CLR 508 at 589 [178].</w:t>
      </w:r>
    </w:p>
  </w:footnote>
  <w:footnote w:id="350">
    <w:p w14:paraId="56E2F527"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Tajjour v New South Wales</w:t>
      </w:r>
      <w:r w:rsidRPr="0099172B">
        <w:rPr>
          <w:rFonts w:ascii="Times New Roman" w:hAnsi="Times New Roman"/>
          <w:sz w:val="24"/>
        </w:rPr>
        <w:t xml:space="preserve"> (2014) 254 CLR 508 at 559 [63]-[64].</w:t>
      </w:r>
    </w:p>
  </w:footnote>
  <w:footnote w:id="351">
    <w:p w14:paraId="5BE3BE9F"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Tajjour v New South Wales</w:t>
      </w:r>
      <w:r w:rsidRPr="0099172B">
        <w:rPr>
          <w:rFonts w:ascii="Times New Roman" w:hAnsi="Times New Roman"/>
          <w:sz w:val="24"/>
        </w:rPr>
        <w:t xml:space="preserve"> (2014) 254 CLR 508 at 559 [66]. </w:t>
      </w:r>
    </w:p>
  </w:footnote>
  <w:footnote w:id="352">
    <w:p w14:paraId="4B14B15A"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Specifically, those "legal document[s] ... evidencing title to, or interest in, such an asset": </w:t>
      </w:r>
      <w:r w:rsidRPr="0099172B">
        <w:rPr>
          <w:rFonts w:ascii="Times New Roman" w:hAnsi="Times New Roman"/>
          <w:iCs/>
          <w:sz w:val="24"/>
        </w:rPr>
        <w:t>Sanctions Act</w:t>
      </w:r>
      <w:r w:rsidRPr="0099172B">
        <w:rPr>
          <w:rFonts w:ascii="Times New Roman" w:hAnsi="Times New Roman"/>
          <w:sz w:val="24"/>
        </w:rPr>
        <w:t>, s 4 (para (b) of the definition of "asset").</w:t>
      </w:r>
    </w:p>
  </w:footnote>
  <w:footnote w:id="353">
    <w:p w14:paraId="73E4B07E"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Victoria v The Commonwealth</w:t>
      </w:r>
      <w:r w:rsidRPr="0099172B">
        <w:rPr>
          <w:rFonts w:ascii="Times New Roman" w:hAnsi="Times New Roman"/>
          <w:sz w:val="24"/>
        </w:rPr>
        <w:t xml:space="preserve"> (1996) 187 CLR 416 at 503.</w:t>
      </w:r>
    </w:p>
  </w:footnote>
  <w:footnote w:id="354">
    <w:p w14:paraId="2753DA1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Pidoto v Victoria</w:t>
      </w:r>
      <w:r w:rsidRPr="0099172B">
        <w:rPr>
          <w:rFonts w:ascii="Times New Roman" w:hAnsi="Times New Roman"/>
          <w:sz w:val="24"/>
        </w:rPr>
        <w:t xml:space="preserve"> (1943) 68 CLR 87 at 110-111.</w:t>
      </w:r>
    </w:p>
  </w:footnote>
  <w:footnote w:id="355">
    <w:p w14:paraId="56E1A79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Tajjour</w:t>
      </w:r>
      <w:r w:rsidRPr="0099172B">
        <w:rPr>
          <w:rFonts w:ascii="Times New Roman" w:hAnsi="Times New Roman"/>
          <w:sz w:val="24"/>
        </w:rPr>
        <w:t xml:space="preserve"> </w:t>
      </w:r>
      <w:r w:rsidRPr="0099172B">
        <w:rPr>
          <w:rFonts w:ascii="Times New Roman" w:hAnsi="Times New Roman"/>
          <w:i/>
          <w:sz w:val="24"/>
        </w:rPr>
        <w:t>v New South Wales</w:t>
      </w:r>
      <w:r w:rsidRPr="0099172B">
        <w:rPr>
          <w:rFonts w:ascii="Times New Roman" w:hAnsi="Times New Roman"/>
          <w:sz w:val="24"/>
        </w:rPr>
        <w:t xml:space="preserve"> (2014) 254 CLR 508 at 586 [171], citing </w:t>
      </w:r>
      <w:r w:rsidRPr="0099172B">
        <w:rPr>
          <w:rFonts w:ascii="Times New Roman" w:hAnsi="Times New Roman"/>
          <w:i/>
          <w:sz w:val="24"/>
        </w:rPr>
        <w:t>Victoria v The Commonwealth</w:t>
      </w:r>
      <w:r w:rsidRPr="0099172B">
        <w:rPr>
          <w:rFonts w:ascii="Times New Roman" w:hAnsi="Times New Roman"/>
          <w:sz w:val="24"/>
        </w:rPr>
        <w:t xml:space="preserve"> (1996) 187 CLR 416 at 503.</w:t>
      </w:r>
    </w:p>
  </w:footnote>
  <w:footnote w:id="356">
    <w:p w14:paraId="29E7883A"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Tajjour</w:t>
      </w:r>
      <w:r w:rsidRPr="0099172B">
        <w:rPr>
          <w:rFonts w:ascii="Times New Roman" w:hAnsi="Times New Roman"/>
          <w:sz w:val="24"/>
        </w:rPr>
        <w:t xml:space="preserve"> </w:t>
      </w:r>
      <w:r w:rsidRPr="0099172B">
        <w:rPr>
          <w:rFonts w:ascii="Times New Roman" w:hAnsi="Times New Roman"/>
          <w:i/>
          <w:sz w:val="24"/>
        </w:rPr>
        <w:t>v New South Wales</w:t>
      </w:r>
      <w:r w:rsidRPr="0099172B">
        <w:rPr>
          <w:rFonts w:ascii="Times New Roman" w:hAnsi="Times New Roman"/>
          <w:sz w:val="24"/>
        </w:rPr>
        <w:t xml:space="preserve"> (2014) 254 CLR 508 at 586 [171], citing </w:t>
      </w:r>
      <w:r w:rsidRPr="0099172B">
        <w:rPr>
          <w:rFonts w:ascii="Times New Roman" w:hAnsi="Times New Roman"/>
          <w:i/>
          <w:sz w:val="24"/>
        </w:rPr>
        <w:t>Bourke v State Bank of New South Wales</w:t>
      </w:r>
      <w:r w:rsidRPr="0099172B">
        <w:rPr>
          <w:rFonts w:ascii="Times New Roman" w:hAnsi="Times New Roman"/>
          <w:sz w:val="24"/>
        </w:rPr>
        <w:t xml:space="preserve"> (1990) 170 CLR 276 at 291-292 and </w:t>
      </w:r>
      <w:r w:rsidRPr="0099172B">
        <w:rPr>
          <w:rFonts w:ascii="Times New Roman" w:hAnsi="Times New Roman"/>
          <w:i/>
          <w:sz w:val="24"/>
        </w:rPr>
        <w:t>Re Nolan; Ex parte Young</w:t>
      </w:r>
      <w:r w:rsidRPr="0099172B">
        <w:rPr>
          <w:rFonts w:ascii="Times New Roman" w:hAnsi="Times New Roman"/>
          <w:sz w:val="24"/>
        </w:rPr>
        <w:t xml:space="preserve"> (1991) 172 CLR 460 at 487-488.</w:t>
      </w:r>
    </w:p>
  </w:footnote>
  <w:footnote w:id="357">
    <w:p w14:paraId="3261E546" w14:textId="77777777" w:rsidR="00D34C84" w:rsidRPr="0099172B" w:rsidRDefault="00D34C84" w:rsidP="0099172B">
      <w:pPr>
        <w:pStyle w:val="FootnoteText"/>
        <w:spacing w:line="280" w:lineRule="exact"/>
        <w:ind w:right="0"/>
        <w:jc w:val="both"/>
        <w:rPr>
          <w:rFonts w:ascii="Times New Roman" w:hAnsi="Times New Roman"/>
          <w:i/>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Citing </w:t>
      </w:r>
      <w:r w:rsidRPr="0099172B">
        <w:rPr>
          <w:rFonts w:ascii="Times New Roman" w:hAnsi="Times New Roman"/>
          <w:i/>
          <w:sz w:val="24"/>
        </w:rPr>
        <w:t>APLA</w:t>
      </w:r>
      <w:r w:rsidRPr="0099172B">
        <w:rPr>
          <w:rFonts w:ascii="Times New Roman" w:hAnsi="Times New Roman"/>
          <w:b/>
          <w:i/>
          <w:sz w:val="24"/>
        </w:rPr>
        <w:t xml:space="preserve"> </w:t>
      </w:r>
      <w:r w:rsidRPr="0099172B">
        <w:rPr>
          <w:rFonts w:ascii="Times New Roman" w:hAnsi="Times New Roman"/>
          <w:i/>
          <w:sz w:val="24"/>
        </w:rPr>
        <w:t xml:space="preserve">Ltd v Legal Services Commissioner (NSW) </w:t>
      </w:r>
      <w:r w:rsidRPr="0099172B">
        <w:rPr>
          <w:rFonts w:ascii="Times New Roman" w:hAnsi="Times New Roman"/>
          <w:sz w:val="24"/>
        </w:rPr>
        <w:t>(2005) 224 CLR 322 at 351-352 [30].</w:t>
      </w:r>
    </w:p>
  </w:footnote>
  <w:footnote w:id="358">
    <w:p w14:paraId="70A57DDA"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See above at [</w:t>
      </w:r>
      <w:r>
        <w:rPr>
          <w:rFonts w:ascii="Times New Roman" w:hAnsi="Times New Roman"/>
          <w:sz w:val="24"/>
        </w:rPr>
        <w:t>202</w:t>
      </w:r>
      <w:r w:rsidRPr="0099172B">
        <w:rPr>
          <w:rFonts w:ascii="Times New Roman" w:hAnsi="Times New Roman"/>
          <w:sz w:val="24"/>
        </w:rPr>
        <w:t>].</w:t>
      </w:r>
    </w:p>
  </w:footnote>
  <w:footnote w:id="359">
    <w:p w14:paraId="17DA02B8"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Section 75(iii) confers original jurisdiction on this Court in a matter in which the Commonwealth, or a person suing or being sued on behalf of the Commonwealth, is a party.</w:t>
      </w:r>
    </w:p>
  </w:footnote>
  <w:footnote w:id="360">
    <w:p w14:paraId="21A6FD5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Bank of New South Wales v The Commonwealth</w:t>
      </w:r>
      <w:r w:rsidRPr="0099172B">
        <w:rPr>
          <w:rFonts w:ascii="Times New Roman" w:hAnsi="Times New Roman"/>
          <w:sz w:val="24"/>
        </w:rPr>
        <w:t xml:space="preserve"> (1948) 76 CLR 1 at 362-363; </w:t>
      </w:r>
      <w:r w:rsidRPr="0099172B">
        <w:rPr>
          <w:rFonts w:ascii="Times New Roman" w:hAnsi="Times New Roman"/>
          <w:i/>
          <w:sz w:val="24"/>
        </w:rPr>
        <w:t>Bainbridge-Hawker v The Minister of State for Trade and Customs</w:t>
      </w:r>
      <w:r w:rsidRPr="0099172B">
        <w:rPr>
          <w:rFonts w:ascii="Times New Roman" w:hAnsi="Times New Roman"/>
          <w:sz w:val="24"/>
        </w:rPr>
        <w:t xml:space="preserve"> (1958) 99 CLR 521 at 554; </w:t>
      </w:r>
      <w:r w:rsidRPr="0099172B">
        <w:rPr>
          <w:rFonts w:ascii="Times New Roman" w:hAnsi="Times New Roman"/>
          <w:i/>
          <w:sz w:val="24"/>
        </w:rPr>
        <w:t xml:space="preserve">Austral Pacific Group Ltd (In liq) v Airservices Australia </w:t>
      </w:r>
      <w:r w:rsidRPr="0099172B">
        <w:rPr>
          <w:rFonts w:ascii="Times New Roman" w:hAnsi="Times New Roman"/>
          <w:sz w:val="24"/>
        </w:rPr>
        <w:t>(2000) 203 CLR 136 at 152-153 [48].</w:t>
      </w:r>
    </w:p>
  </w:footnote>
  <w:footnote w:id="361">
    <w:p w14:paraId="1E5120A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Citta Hobart Pty Ltd v Cawthorn</w:t>
      </w:r>
      <w:r w:rsidRPr="0099172B">
        <w:rPr>
          <w:rFonts w:ascii="Times New Roman" w:hAnsi="Times New Roman"/>
          <w:sz w:val="24"/>
        </w:rPr>
        <w:t xml:space="preserve"> (2022) 276 CLR 216 at 234 [35].</w:t>
      </w:r>
    </w:p>
  </w:footnote>
  <w:footnote w:id="362">
    <w:p w14:paraId="295DCBA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Declarations not being a remedy enumerated in s 75(v): </w:t>
      </w:r>
      <w:r w:rsidRPr="0099172B">
        <w:rPr>
          <w:rFonts w:ascii="Times New Roman" w:hAnsi="Times New Roman"/>
          <w:iCs/>
          <w:sz w:val="24"/>
        </w:rPr>
        <w:t>Leeming</w:t>
      </w:r>
      <w:r w:rsidRPr="0099172B">
        <w:rPr>
          <w:rFonts w:ascii="Times New Roman" w:hAnsi="Times New Roman"/>
          <w:sz w:val="24"/>
        </w:rPr>
        <w:t xml:space="preserve">, </w:t>
      </w:r>
      <w:r w:rsidRPr="0099172B">
        <w:rPr>
          <w:rFonts w:ascii="Times New Roman" w:hAnsi="Times New Roman"/>
          <w:i/>
          <w:iCs/>
          <w:sz w:val="24"/>
        </w:rPr>
        <w:t>Authority to Decide: The Law of Jurisdiction in Australia</w:t>
      </w:r>
      <w:r w:rsidRPr="0099172B">
        <w:rPr>
          <w:rFonts w:ascii="Times New Roman" w:hAnsi="Times New Roman"/>
          <w:sz w:val="24"/>
        </w:rPr>
        <w:t>, 2nd ed (2020) at 247.</w:t>
      </w:r>
    </w:p>
  </w:footnote>
  <w:footnote w:id="363">
    <w:p w14:paraId="0E59C518"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See above at [</w:t>
      </w:r>
      <w:r>
        <w:rPr>
          <w:rFonts w:ascii="Times New Roman" w:hAnsi="Times New Roman"/>
          <w:sz w:val="24"/>
        </w:rPr>
        <w:t>215</w:t>
      </w:r>
      <w:r w:rsidRPr="0099172B">
        <w:rPr>
          <w:rFonts w:ascii="Times New Roman" w:hAnsi="Times New Roman"/>
          <w:sz w:val="24"/>
        </w:rPr>
        <w:t>].</w:t>
      </w:r>
    </w:p>
  </w:footnote>
  <w:footnote w:id="364">
    <w:p w14:paraId="24EAE8E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Citing </w:t>
      </w:r>
      <w:r w:rsidRPr="0099172B">
        <w:rPr>
          <w:rFonts w:ascii="Times New Roman" w:hAnsi="Times New Roman"/>
          <w:i/>
          <w:sz w:val="24"/>
        </w:rPr>
        <w:t>Knight v Victoria</w:t>
      </w:r>
      <w:r w:rsidRPr="0099172B">
        <w:rPr>
          <w:rFonts w:ascii="Times New Roman" w:hAnsi="Times New Roman"/>
          <w:sz w:val="24"/>
        </w:rPr>
        <w:t xml:space="preserve"> (2017) 261 CLR 306 at 324 [32]; </w:t>
      </w:r>
      <w:r w:rsidRPr="0099172B">
        <w:rPr>
          <w:rFonts w:ascii="Times New Roman" w:hAnsi="Times New Roman"/>
          <w:i/>
          <w:sz w:val="24"/>
        </w:rPr>
        <w:t xml:space="preserve">Mineralogy Pty Ltd v Western Australia </w:t>
      </w:r>
      <w:r w:rsidRPr="0099172B">
        <w:rPr>
          <w:rFonts w:ascii="Times New Roman" w:hAnsi="Times New Roman"/>
          <w:sz w:val="24"/>
        </w:rPr>
        <w:t>(2021) 274 CLR 219 at 248-249 [57]-[60].</w:t>
      </w:r>
    </w:p>
  </w:footnote>
  <w:footnote w:id="365">
    <w:p w14:paraId="62F504A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R v Kidman</w:t>
      </w:r>
      <w:r w:rsidRPr="0099172B">
        <w:rPr>
          <w:rFonts w:ascii="Times New Roman" w:hAnsi="Times New Roman"/>
          <w:sz w:val="24"/>
        </w:rPr>
        <w:t xml:space="preserve"> (1915) 20 CLR 425 at 438; see generally </w:t>
      </w:r>
      <w:r w:rsidRPr="0099172B">
        <w:rPr>
          <w:rFonts w:ascii="Times New Roman" w:hAnsi="Times New Roman"/>
          <w:i/>
          <w:sz w:val="24"/>
        </w:rPr>
        <w:t xml:space="preserve">Inglis v Commonwealth Trading Bank of Australia </w:t>
      </w:r>
      <w:r w:rsidRPr="0099172B">
        <w:rPr>
          <w:rFonts w:ascii="Times New Roman" w:hAnsi="Times New Roman"/>
          <w:sz w:val="24"/>
        </w:rPr>
        <w:t xml:space="preserve">(1969) 119 CLR 334 at 335-336; </w:t>
      </w:r>
      <w:r w:rsidRPr="0099172B">
        <w:rPr>
          <w:rFonts w:ascii="Times New Roman" w:hAnsi="Times New Roman"/>
          <w:i/>
          <w:sz w:val="24"/>
        </w:rPr>
        <w:t xml:space="preserve">Maguire v Simpson </w:t>
      </w:r>
      <w:r w:rsidRPr="0099172B">
        <w:rPr>
          <w:rFonts w:ascii="Times New Roman" w:hAnsi="Times New Roman"/>
          <w:sz w:val="24"/>
        </w:rPr>
        <w:t>(1977) 139 CLR 362 at 398, 406.</w:t>
      </w:r>
    </w:p>
  </w:footnote>
  <w:footnote w:id="366">
    <w:p w14:paraId="6CC0AA1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The practice being, in any event, "not a rigid rule imposed by law" and which can "yield to special circumstances": </w:t>
      </w:r>
      <w:r w:rsidRPr="0099172B">
        <w:rPr>
          <w:rFonts w:ascii="Times New Roman" w:hAnsi="Times New Roman"/>
          <w:i/>
          <w:sz w:val="24"/>
        </w:rPr>
        <w:t>Clubb v Edwards</w:t>
      </w:r>
      <w:r w:rsidRPr="0099172B">
        <w:rPr>
          <w:rFonts w:ascii="Times New Roman" w:hAnsi="Times New Roman"/>
          <w:sz w:val="24"/>
        </w:rPr>
        <w:t xml:space="preserve"> (2019) 267 CLR 171 at 193 [36], citing </w:t>
      </w:r>
      <w:r w:rsidRPr="0099172B">
        <w:rPr>
          <w:rFonts w:ascii="Times New Roman" w:hAnsi="Times New Roman"/>
          <w:i/>
          <w:sz w:val="24"/>
        </w:rPr>
        <w:t>Universal Film Manufacturing Co (Australasia) Ltd v New South Wales</w:t>
      </w:r>
      <w:r w:rsidRPr="0099172B">
        <w:rPr>
          <w:rFonts w:ascii="Times New Roman" w:hAnsi="Times New Roman"/>
          <w:sz w:val="24"/>
        </w:rPr>
        <w:t xml:space="preserve"> (1927) 40 CLR 333 at 350-351.</w:t>
      </w:r>
    </w:p>
  </w:footnote>
  <w:footnote w:id="367">
    <w:p w14:paraId="36497D36"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eg, </w:t>
      </w:r>
      <w:r w:rsidRPr="0099172B">
        <w:rPr>
          <w:rFonts w:ascii="Times New Roman" w:hAnsi="Times New Roman"/>
          <w:i/>
          <w:sz w:val="24"/>
        </w:rPr>
        <w:t>Clubb v Edwards</w:t>
      </w:r>
      <w:r w:rsidRPr="0099172B">
        <w:rPr>
          <w:rFonts w:ascii="Times New Roman" w:hAnsi="Times New Roman"/>
          <w:sz w:val="24"/>
        </w:rPr>
        <w:t xml:space="preserve"> (2019) 267 CLR 171 at 193 [37].</w:t>
      </w:r>
    </w:p>
  </w:footnote>
  <w:footnote w:id="368">
    <w:p w14:paraId="3C554015"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Lambert v Weichelt</w:t>
      </w:r>
      <w:r w:rsidRPr="0099172B">
        <w:rPr>
          <w:rFonts w:ascii="Times New Roman" w:hAnsi="Times New Roman"/>
          <w:sz w:val="24"/>
        </w:rPr>
        <w:t xml:space="preserve"> (1954) 28 ALJ 282 at 283.</w:t>
      </w:r>
    </w:p>
  </w:footnote>
  <w:footnote w:id="369">
    <w:p w14:paraId="2D8839B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eg, </w:t>
      </w:r>
      <w:r w:rsidRPr="0099172B">
        <w:rPr>
          <w:rFonts w:ascii="Times New Roman" w:hAnsi="Times New Roman"/>
          <w:i/>
          <w:sz w:val="24"/>
        </w:rPr>
        <w:t xml:space="preserve">Plaintiff S157/2002 v The Commonwealth </w:t>
      </w:r>
      <w:r w:rsidRPr="0099172B">
        <w:rPr>
          <w:rFonts w:ascii="Times New Roman" w:hAnsi="Times New Roman"/>
          <w:sz w:val="24"/>
        </w:rPr>
        <w:t xml:space="preserve">(2003) 211 CLR 476 at 513-514 [104]; </w:t>
      </w:r>
      <w:r w:rsidRPr="0099172B">
        <w:rPr>
          <w:rFonts w:ascii="Times New Roman" w:hAnsi="Times New Roman"/>
          <w:i/>
          <w:sz w:val="24"/>
        </w:rPr>
        <w:t xml:space="preserve">Graham v Minister for Immigration and Border Protection </w:t>
      </w:r>
      <w:r w:rsidRPr="0099172B">
        <w:rPr>
          <w:rFonts w:ascii="Times New Roman" w:hAnsi="Times New Roman"/>
          <w:sz w:val="24"/>
        </w:rPr>
        <w:t>(2017) 263 CLR 1 at 25-26 [42]-[46].</w:t>
      </w:r>
    </w:p>
  </w:footnote>
  <w:footnote w:id="370">
    <w:p w14:paraId="5E1A5A39"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eg, </w:t>
      </w:r>
      <w:r w:rsidRPr="0099172B">
        <w:rPr>
          <w:rFonts w:ascii="Times New Roman" w:hAnsi="Times New Roman"/>
          <w:i/>
          <w:sz w:val="24"/>
        </w:rPr>
        <w:t xml:space="preserve">Chu Kheng Lim v Minister for Immigration </w:t>
      </w:r>
      <w:r w:rsidRPr="0099172B">
        <w:rPr>
          <w:rFonts w:ascii="Times New Roman" w:hAnsi="Times New Roman"/>
          <w:sz w:val="24"/>
        </w:rPr>
        <w:t xml:space="preserve">(1992) 176 CLR 1 at 27-28; </w:t>
      </w:r>
      <w:r w:rsidRPr="0099172B">
        <w:rPr>
          <w:rFonts w:ascii="Times New Roman" w:hAnsi="Times New Roman"/>
          <w:i/>
          <w:sz w:val="24"/>
        </w:rPr>
        <w:t xml:space="preserve">Garlett v Western Australia </w:t>
      </w:r>
      <w:r w:rsidRPr="0099172B">
        <w:rPr>
          <w:rFonts w:ascii="Times New Roman" w:hAnsi="Times New Roman"/>
          <w:sz w:val="24"/>
        </w:rPr>
        <w:t>(2022) 277 CLR 1 at 48-50 [128]-[134].</w:t>
      </w:r>
    </w:p>
  </w:footnote>
  <w:footnote w:id="371">
    <w:p w14:paraId="3404208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Mutual Pools &amp; Staff Pty Ltd v The Commonwealth</w:t>
      </w:r>
      <w:r w:rsidRPr="0099172B">
        <w:rPr>
          <w:rFonts w:ascii="Times New Roman" w:hAnsi="Times New Roman"/>
          <w:sz w:val="24"/>
        </w:rPr>
        <w:t xml:space="preserve"> (1994) 179 CLR 155.</w:t>
      </w:r>
    </w:p>
  </w:footnote>
  <w:footnote w:id="372">
    <w:p w14:paraId="1D601955"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eg, </w:t>
      </w:r>
      <w:r w:rsidRPr="0099172B">
        <w:rPr>
          <w:rFonts w:ascii="Times New Roman" w:hAnsi="Times New Roman"/>
          <w:i/>
          <w:iCs/>
          <w:sz w:val="24"/>
        </w:rPr>
        <w:t xml:space="preserve">The </w:t>
      </w:r>
      <w:r w:rsidRPr="0099172B">
        <w:rPr>
          <w:rFonts w:ascii="Times New Roman" w:hAnsi="Times New Roman"/>
          <w:i/>
          <w:sz w:val="24"/>
        </w:rPr>
        <w:t>Commonwealth v Mewett</w:t>
      </w:r>
      <w:r w:rsidRPr="0099172B">
        <w:rPr>
          <w:rFonts w:ascii="Times New Roman" w:hAnsi="Times New Roman"/>
          <w:sz w:val="24"/>
        </w:rPr>
        <w:t xml:space="preserve"> (1997) 191 CLR 471.</w:t>
      </w:r>
    </w:p>
  </w:footnote>
  <w:footnote w:id="373">
    <w:p w14:paraId="0AB8A042" w14:textId="69A9B25F" w:rsidR="00D34C84" w:rsidRPr="0099172B" w:rsidRDefault="00D34C84" w:rsidP="0099172B">
      <w:pPr>
        <w:pStyle w:val="FootnoteText"/>
        <w:spacing w:line="280" w:lineRule="exact"/>
        <w:ind w:right="0"/>
        <w:jc w:val="both"/>
        <w:rPr>
          <w:rFonts w:ascii="Times New Roman" w:hAnsi="Times New Roman"/>
          <w:i/>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See, eg, claims against the Commonwealth in contract (</w:t>
      </w:r>
      <w:r w:rsidRPr="0099172B">
        <w:rPr>
          <w:rFonts w:ascii="Times New Roman" w:hAnsi="Times New Roman"/>
          <w:i/>
          <w:iCs/>
          <w:sz w:val="24"/>
        </w:rPr>
        <w:t xml:space="preserve">The </w:t>
      </w:r>
      <w:r w:rsidRPr="0099172B">
        <w:rPr>
          <w:rFonts w:ascii="Times New Roman" w:hAnsi="Times New Roman"/>
          <w:i/>
          <w:sz w:val="24"/>
        </w:rPr>
        <w:t>Commonwealth v Mewett</w:t>
      </w:r>
      <w:r w:rsidRPr="0099172B">
        <w:rPr>
          <w:rFonts w:ascii="Times New Roman" w:hAnsi="Times New Roman"/>
          <w:sz w:val="24"/>
        </w:rPr>
        <w:t xml:space="preserve"> (1997) 191 CLR 471), claims in tort (</w:t>
      </w:r>
      <w:r w:rsidRPr="0099172B">
        <w:rPr>
          <w:rFonts w:ascii="Times New Roman" w:hAnsi="Times New Roman"/>
          <w:i/>
          <w:iCs/>
          <w:sz w:val="24"/>
        </w:rPr>
        <w:t xml:space="preserve">The </w:t>
      </w:r>
      <w:r w:rsidRPr="0099172B">
        <w:rPr>
          <w:rFonts w:ascii="Times New Roman" w:hAnsi="Times New Roman"/>
          <w:i/>
          <w:sz w:val="24"/>
        </w:rPr>
        <w:t xml:space="preserve">Commonwealth v New South Wales </w:t>
      </w:r>
      <w:r w:rsidRPr="0099172B">
        <w:rPr>
          <w:rFonts w:ascii="Times New Roman" w:hAnsi="Times New Roman"/>
          <w:color w:val="000000" w:themeColor="text1"/>
          <w:sz w:val="24"/>
        </w:rPr>
        <w:t>(</w:t>
      </w:r>
      <w:r w:rsidRPr="00BC1467">
        <w:rPr>
          <w:rFonts w:ascii="Times New Roman" w:hAnsi="Times New Roman"/>
          <w:sz w:val="24"/>
        </w:rPr>
        <w:t>1923) 32 CLR 200</w:t>
      </w:r>
      <w:r w:rsidRPr="0099172B">
        <w:rPr>
          <w:rFonts w:ascii="Times New Roman" w:hAnsi="Times New Roman"/>
          <w:color w:val="000000" w:themeColor="text1"/>
          <w:sz w:val="24"/>
        </w:rPr>
        <w:t xml:space="preserve">; </w:t>
      </w:r>
      <w:r w:rsidRPr="0099172B">
        <w:rPr>
          <w:rFonts w:ascii="Times New Roman" w:hAnsi="Times New Roman"/>
          <w:i/>
          <w:sz w:val="24"/>
        </w:rPr>
        <w:t xml:space="preserve">Blunden v The Commonwealth </w:t>
      </w:r>
      <w:r w:rsidRPr="0099172B">
        <w:rPr>
          <w:rFonts w:ascii="Times New Roman" w:hAnsi="Times New Roman"/>
          <w:sz w:val="24"/>
        </w:rPr>
        <w:t>(2003) 218 CLR 330 at 336 [9]), claims in equity (</w:t>
      </w:r>
      <w:r w:rsidRPr="0099172B">
        <w:rPr>
          <w:rFonts w:ascii="Times New Roman" w:hAnsi="Times New Roman"/>
          <w:i/>
          <w:iCs/>
          <w:sz w:val="24"/>
        </w:rPr>
        <w:t xml:space="preserve">The </w:t>
      </w:r>
      <w:r w:rsidRPr="0099172B">
        <w:rPr>
          <w:rFonts w:ascii="Times New Roman" w:hAnsi="Times New Roman"/>
          <w:i/>
          <w:sz w:val="24"/>
        </w:rPr>
        <w:t xml:space="preserve">Commonwealth v Verwayen </w:t>
      </w:r>
      <w:r w:rsidRPr="0099172B">
        <w:rPr>
          <w:rFonts w:ascii="Times New Roman" w:hAnsi="Times New Roman"/>
          <w:sz w:val="24"/>
        </w:rPr>
        <w:t>(1990) 170 CLR 394), claims arising under and concerning the interpretation of a law made by the Commonwealth Parliament (</w:t>
      </w:r>
      <w:r w:rsidRPr="0099172B">
        <w:rPr>
          <w:rFonts w:ascii="Times New Roman" w:hAnsi="Times New Roman"/>
          <w:i/>
          <w:sz w:val="24"/>
        </w:rPr>
        <w:t xml:space="preserve">Austral Pacific Group Ltd (In liq) v Airservices Australia </w:t>
      </w:r>
      <w:r w:rsidRPr="0099172B">
        <w:rPr>
          <w:rFonts w:ascii="Times New Roman" w:hAnsi="Times New Roman"/>
          <w:sz w:val="24"/>
        </w:rPr>
        <w:t xml:space="preserve">(2000) 203 CLR 136 at 141-142 [10]) and claims arising under the </w:t>
      </w:r>
      <w:r w:rsidRPr="0099172B">
        <w:rPr>
          <w:rFonts w:ascii="Times New Roman" w:hAnsi="Times New Roman"/>
          <w:i/>
          <w:sz w:val="24"/>
        </w:rPr>
        <w:t>Constitution</w:t>
      </w:r>
      <w:r w:rsidRPr="0099172B">
        <w:rPr>
          <w:rFonts w:ascii="Times New Roman" w:hAnsi="Times New Roman"/>
          <w:sz w:val="24"/>
        </w:rPr>
        <w:t xml:space="preserve"> (</w:t>
      </w:r>
      <w:r w:rsidRPr="0099172B">
        <w:rPr>
          <w:rFonts w:ascii="Times New Roman" w:hAnsi="Times New Roman"/>
          <w:i/>
          <w:sz w:val="24"/>
        </w:rPr>
        <w:t xml:space="preserve">Chu Kheng Lim v Minister for Immigration </w:t>
      </w:r>
      <w:r w:rsidRPr="0099172B">
        <w:rPr>
          <w:rFonts w:ascii="Times New Roman" w:hAnsi="Times New Roman"/>
          <w:sz w:val="24"/>
        </w:rPr>
        <w:t>(1992) 176 CLR 1 at 36).</w:t>
      </w:r>
    </w:p>
  </w:footnote>
  <w:footnote w:id="374">
    <w:p w14:paraId="67E8B74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For example, as to tortious claims, see </w:t>
      </w:r>
      <w:r w:rsidRPr="0099172B">
        <w:rPr>
          <w:rFonts w:ascii="Times New Roman" w:hAnsi="Times New Roman"/>
          <w:i/>
          <w:sz w:val="24"/>
        </w:rPr>
        <w:t xml:space="preserve">Blunden v The Commonwealth </w:t>
      </w:r>
      <w:r w:rsidRPr="0099172B">
        <w:rPr>
          <w:rFonts w:ascii="Times New Roman" w:hAnsi="Times New Roman"/>
          <w:sz w:val="24"/>
        </w:rPr>
        <w:t>(2003) 218 CLR 330 at 336 [9].</w:t>
      </w:r>
    </w:p>
  </w:footnote>
  <w:footnote w:id="375">
    <w:p w14:paraId="65CCEF12"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Bank of New South Wales v The Commonwealth</w:t>
      </w:r>
      <w:r w:rsidRPr="0099172B">
        <w:rPr>
          <w:rFonts w:ascii="Times New Roman" w:hAnsi="Times New Roman"/>
          <w:sz w:val="24"/>
        </w:rPr>
        <w:t xml:space="preserve"> (1948) 76 CLR 1 at 276, 366-368;</w:t>
      </w:r>
      <w:r w:rsidRPr="0099172B">
        <w:rPr>
          <w:rFonts w:ascii="Times New Roman" w:hAnsi="Times New Roman"/>
          <w:i/>
          <w:sz w:val="24"/>
        </w:rPr>
        <w:t xml:space="preserve"> Chu Kheng Lim v Minister for Immigration</w:t>
      </w:r>
      <w:r w:rsidRPr="0099172B">
        <w:rPr>
          <w:rFonts w:ascii="Times New Roman" w:hAnsi="Times New Roman"/>
          <w:sz w:val="24"/>
        </w:rPr>
        <w:t xml:space="preserve"> (1992) 176 CLR 1 at 36; </w:t>
      </w:r>
      <w:r w:rsidRPr="0099172B">
        <w:rPr>
          <w:rFonts w:ascii="Times New Roman" w:hAnsi="Times New Roman"/>
          <w:i/>
          <w:sz w:val="24"/>
        </w:rPr>
        <w:t>Mutual Pools &amp; Staff Pty Ltd v The Commonwealth</w:t>
      </w:r>
      <w:r w:rsidRPr="0099172B">
        <w:rPr>
          <w:rFonts w:ascii="Times New Roman" w:hAnsi="Times New Roman"/>
          <w:sz w:val="24"/>
        </w:rPr>
        <w:t xml:space="preserve"> (1994) 179 CLR 155 at 216; </w:t>
      </w:r>
      <w:r w:rsidRPr="0099172B">
        <w:rPr>
          <w:rFonts w:ascii="Times New Roman" w:hAnsi="Times New Roman"/>
          <w:i/>
          <w:sz w:val="24"/>
        </w:rPr>
        <w:t>Plaintiff S157/2002</w:t>
      </w:r>
      <w:r w:rsidRPr="0099172B">
        <w:rPr>
          <w:rFonts w:ascii="Times New Roman" w:hAnsi="Times New Roman"/>
          <w:sz w:val="24"/>
        </w:rPr>
        <w:t xml:space="preserve"> </w:t>
      </w:r>
      <w:r w:rsidRPr="0099172B">
        <w:rPr>
          <w:rFonts w:ascii="Times New Roman" w:hAnsi="Times New Roman"/>
          <w:i/>
          <w:sz w:val="24"/>
        </w:rPr>
        <w:t xml:space="preserve">v The Commonwealth </w:t>
      </w:r>
      <w:r w:rsidRPr="0099172B">
        <w:rPr>
          <w:rFonts w:ascii="Times New Roman" w:hAnsi="Times New Roman"/>
          <w:sz w:val="24"/>
        </w:rPr>
        <w:t xml:space="preserve">(2003) 211 CLR 476 at 505 [73]. </w:t>
      </w:r>
    </w:p>
  </w:footnote>
  <w:footnote w:id="376">
    <w:p w14:paraId="01FC672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Or answers the description of matters in s 76(i) or s 76(ii).</w:t>
      </w:r>
    </w:p>
  </w:footnote>
  <w:footnote w:id="377">
    <w:p w14:paraId="4B0ED076"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Plaintiff S157/20</w:t>
      </w:r>
      <w:r>
        <w:rPr>
          <w:rFonts w:ascii="Times New Roman" w:hAnsi="Times New Roman"/>
          <w:i/>
          <w:sz w:val="24"/>
        </w:rPr>
        <w:t>0</w:t>
      </w:r>
      <w:r w:rsidRPr="0099172B">
        <w:rPr>
          <w:rFonts w:ascii="Times New Roman" w:hAnsi="Times New Roman"/>
          <w:i/>
          <w:sz w:val="24"/>
        </w:rPr>
        <w:t>2</w:t>
      </w:r>
      <w:r w:rsidRPr="0099172B">
        <w:rPr>
          <w:rFonts w:ascii="Times New Roman" w:hAnsi="Times New Roman"/>
          <w:sz w:val="24"/>
        </w:rPr>
        <w:t xml:space="preserve"> </w:t>
      </w:r>
      <w:r w:rsidRPr="0099172B">
        <w:rPr>
          <w:rFonts w:ascii="Times New Roman" w:hAnsi="Times New Roman"/>
          <w:i/>
          <w:sz w:val="24"/>
        </w:rPr>
        <w:t xml:space="preserve">v The Commonwealth </w:t>
      </w:r>
      <w:r w:rsidRPr="0099172B">
        <w:rPr>
          <w:rFonts w:ascii="Times New Roman" w:hAnsi="Times New Roman"/>
          <w:sz w:val="24"/>
        </w:rPr>
        <w:t>(2003) 211 CLR 476 at 492 [31], see also at 513 [103].</w:t>
      </w:r>
    </w:p>
  </w:footnote>
  <w:footnote w:id="378">
    <w:p w14:paraId="126011AB"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Davis v Minister for Immigration, Citizenship, Migrant Services and Multicultural Affairs</w:t>
      </w:r>
      <w:r w:rsidRPr="0099172B">
        <w:rPr>
          <w:rFonts w:ascii="Times New Roman" w:hAnsi="Times New Roman"/>
          <w:sz w:val="24"/>
        </w:rPr>
        <w:t xml:space="preserve"> (2023) 279 CLR 1 at 32-33 [85]-[87].</w:t>
      </w:r>
    </w:p>
  </w:footnote>
  <w:footnote w:id="379">
    <w:p w14:paraId="0A928C97"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Judiciary Act</w:t>
      </w:r>
      <w:r w:rsidRPr="0099172B">
        <w:rPr>
          <w:rFonts w:ascii="Times New Roman" w:hAnsi="Times New Roman"/>
          <w:sz w:val="24"/>
        </w:rPr>
        <w:t>, ss 39(2), 39B(1)-(1A).</w:t>
      </w:r>
    </w:p>
  </w:footnote>
  <w:footnote w:id="380">
    <w:p w14:paraId="33282A90"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 xml:space="preserve">APLA Ltd v Legal Services Commissioner (NSW) </w:t>
      </w:r>
      <w:r w:rsidRPr="0099172B">
        <w:rPr>
          <w:rFonts w:ascii="Times New Roman" w:hAnsi="Times New Roman"/>
          <w:sz w:val="24"/>
        </w:rPr>
        <w:t>(2005) 224 CLR 322.</w:t>
      </w:r>
    </w:p>
  </w:footnote>
  <w:footnote w:id="381">
    <w:p w14:paraId="26F5A88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Sanctions Act, s 14.</w:t>
      </w:r>
    </w:p>
  </w:footnote>
  <w:footnote w:id="382">
    <w:p w14:paraId="394E6708"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Sanctions Act, ss 16-17, 21-22; Sanctions Regulations, regs 12-16.</w:t>
      </w:r>
    </w:p>
  </w:footnote>
  <w:footnote w:id="383">
    <w:p w14:paraId="0FD375A7"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Chu Kheng Lim v Minister for Immigration</w:t>
      </w:r>
      <w:r w:rsidRPr="0099172B">
        <w:rPr>
          <w:rFonts w:ascii="Times New Roman" w:hAnsi="Times New Roman"/>
          <w:sz w:val="24"/>
        </w:rPr>
        <w:t xml:space="preserve"> (1992) 176 CLR 1 at 27, citing </w:t>
      </w:r>
      <w:r w:rsidRPr="0099172B">
        <w:rPr>
          <w:rFonts w:ascii="Times New Roman" w:hAnsi="Times New Roman"/>
          <w:i/>
          <w:sz w:val="24"/>
        </w:rPr>
        <w:t>Polyukhovich v The Commonwealth</w:t>
      </w:r>
      <w:r w:rsidRPr="0099172B">
        <w:rPr>
          <w:rFonts w:ascii="Times New Roman" w:hAnsi="Times New Roman"/>
          <w:sz w:val="24"/>
        </w:rPr>
        <w:t xml:space="preserve"> (1991) 172 CLR 501 at 607, 689, 703-704.</w:t>
      </w:r>
    </w:p>
  </w:footnote>
  <w:footnote w:id="384">
    <w:p w14:paraId="3E552FAE"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Dietrich v The Queen</w:t>
      </w:r>
      <w:r w:rsidRPr="0099172B">
        <w:rPr>
          <w:rFonts w:ascii="Times New Roman" w:hAnsi="Times New Roman"/>
          <w:sz w:val="24"/>
        </w:rPr>
        <w:t xml:space="preserve"> (1992) 177 CLR 292 at 311, 335-337; </w:t>
      </w:r>
      <w:r w:rsidRPr="0099172B">
        <w:rPr>
          <w:rFonts w:ascii="Times New Roman" w:hAnsi="Times New Roman"/>
          <w:i/>
          <w:sz w:val="24"/>
        </w:rPr>
        <w:t>Condon v Pompano Pty Ltd</w:t>
      </w:r>
      <w:r w:rsidRPr="0099172B" w:rsidDel="00715592">
        <w:rPr>
          <w:rFonts w:ascii="Times New Roman" w:hAnsi="Times New Roman"/>
          <w:i/>
          <w:sz w:val="24"/>
        </w:rPr>
        <w:t xml:space="preserve"> </w:t>
      </w:r>
      <w:r w:rsidRPr="0099172B">
        <w:rPr>
          <w:rFonts w:ascii="Times New Roman" w:hAnsi="Times New Roman"/>
          <w:sz w:val="24"/>
        </w:rPr>
        <w:t>(2013) 252 CLR 38 at 115 [212].</w:t>
      </w:r>
    </w:p>
  </w:footnote>
  <w:footnote w:id="385">
    <w:p w14:paraId="6512FFE6"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New South Wales v Canellis</w:t>
      </w:r>
      <w:r w:rsidRPr="0099172B">
        <w:rPr>
          <w:rFonts w:ascii="Times New Roman" w:hAnsi="Times New Roman"/>
          <w:sz w:val="24"/>
        </w:rPr>
        <w:t xml:space="preserve"> (1994) 181 CLR 309 at 328.</w:t>
      </w:r>
    </w:p>
  </w:footnote>
  <w:footnote w:id="386">
    <w:p w14:paraId="24F004A8"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r>
      <w:r w:rsidRPr="0099172B">
        <w:rPr>
          <w:rFonts w:ascii="Times New Roman" w:hAnsi="Times New Roman"/>
          <w:i/>
          <w:sz w:val="24"/>
        </w:rPr>
        <w:t>Gypsy Jokers Motorcycle Club Inc v Commissioner of Police</w:t>
      </w:r>
      <w:r w:rsidRPr="0099172B">
        <w:rPr>
          <w:rFonts w:ascii="Times New Roman" w:hAnsi="Times New Roman"/>
          <w:sz w:val="24"/>
        </w:rPr>
        <w:t xml:space="preserve"> (2008) 234 CLR 532; </w:t>
      </w:r>
      <w:r w:rsidRPr="0099172B">
        <w:rPr>
          <w:rFonts w:ascii="Times New Roman" w:hAnsi="Times New Roman"/>
          <w:i/>
          <w:sz w:val="24"/>
        </w:rPr>
        <w:t>Condon v Pompano Pty Ltd</w:t>
      </w:r>
      <w:r w:rsidRPr="0099172B" w:rsidDel="00715592">
        <w:rPr>
          <w:rFonts w:ascii="Times New Roman" w:hAnsi="Times New Roman"/>
          <w:i/>
          <w:sz w:val="24"/>
        </w:rPr>
        <w:t xml:space="preserve"> </w:t>
      </w:r>
      <w:r w:rsidRPr="0099172B">
        <w:rPr>
          <w:rFonts w:ascii="Times New Roman" w:hAnsi="Times New Roman"/>
          <w:sz w:val="24"/>
        </w:rPr>
        <w:t xml:space="preserve">(2013) 252 CLR 38; </w:t>
      </w:r>
      <w:r w:rsidRPr="0099172B">
        <w:rPr>
          <w:rFonts w:ascii="Times New Roman" w:hAnsi="Times New Roman"/>
          <w:i/>
          <w:sz w:val="24"/>
        </w:rPr>
        <w:t xml:space="preserve">SDCV v Director-General of Security </w:t>
      </w:r>
      <w:r w:rsidRPr="0099172B">
        <w:rPr>
          <w:rFonts w:ascii="Times New Roman" w:hAnsi="Times New Roman"/>
          <w:sz w:val="24"/>
        </w:rPr>
        <w:t xml:space="preserve">(2022) 277 CLR 241. See also </w:t>
      </w:r>
      <w:r w:rsidRPr="0099172B">
        <w:rPr>
          <w:rFonts w:ascii="Times New Roman" w:hAnsi="Times New Roman"/>
          <w:i/>
          <w:sz w:val="24"/>
        </w:rPr>
        <w:t xml:space="preserve">Graham v Minister for Immigration and Border Protection </w:t>
      </w:r>
      <w:r w:rsidRPr="0099172B">
        <w:rPr>
          <w:rFonts w:ascii="Times New Roman" w:hAnsi="Times New Roman"/>
          <w:sz w:val="24"/>
        </w:rPr>
        <w:t>(2017) 263 CLR 1.</w:t>
      </w:r>
    </w:p>
  </w:footnote>
  <w:footnote w:id="387">
    <w:p w14:paraId="26EF5C4D"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 xml:space="preserve">See </w:t>
      </w:r>
      <w:r w:rsidRPr="0099172B">
        <w:rPr>
          <w:rFonts w:ascii="Times New Roman" w:hAnsi="Times New Roman"/>
          <w:i/>
          <w:sz w:val="24"/>
        </w:rPr>
        <w:t xml:space="preserve">Chu Kheng Lim v Minister for Immigration </w:t>
      </w:r>
      <w:r w:rsidRPr="0099172B">
        <w:rPr>
          <w:rFonts w:ascii="Times New Roman" w:hAnsi="Times New Roman"/>
          <w:sz w:val="24"/>
        </w:rPr>
        <w:t xml:space="preserve">(1992) 176 CLR 1 at 27-28; see also </w:t>
      </w:r>
      <w:r w:rsidRPr="0099172B">
        <w:rPr>
          <w:rFonts w:ascii="Times New Roman" w:hAnsi="Times New Roman"/>
          <w:i/>
          <w:sz w:val="24"/>
        </w:rPr>
        <w:t>Cameron v Cole</w:t>
      </w:r>
      <w:r w:rsidRPr="0099172B">
        <w:rPr>
          <w:rFonts w:ascii="Times New Roman" w:hAnsi="Times New Roman"/>
          <w:sz w:val="24"/>
        </w:rPr>
        <w:t xml:space="preserve"> (1944) 68 CLR 571 at 589; </w:t>
      </w:r>
      <w:r w:rsidRPr="0099172B">
        <w:rPr>
          <w:rFonts w:ascii="Times New Roman" w:hAnsi="Times New Roman"/>
          <w:i/>
          <w:sz w:val="24"/>
        </w:rPr>
        <w:t>Taylor v Taylor</w:t>
      </w:r>
      <w:r w:rsidRPr="0099172B">
        <w:rPr>
          <w:rFonts w:ascii="Times New Roman" w:hAnsi="Times New Roman"/>
          <w:sz w:val="24"/>
        </w:rPr>
        <w:t xml:space="preserve"> (1979) 143 CLR 1 at 4; </w:t>
      </w:r>
      <w:r w:rsidRPr="0099172B">
        <w:rPr>
          <w:rFonts w:ascii="Times New Roman" w:hAnsi="Times New Roman"/>
          <w:i/>
          <w:sz w:val="24"/>
        </w:rPr>
        <w:t>Nicholas v The Queen</w:t>
      </w:r>
      <w:r w:rsidRPr="0099172B">
        <w:rPr>
          <w:rFonts w:ascii="Times New Roman" w:hAnsi="Times New Roman"/>
          <w:sz w:val="24"/>
        </w:rPr>
        <w:t xml:space="preserve"> (1998) 193 CLR 173 at 208-209 [73]-[74]; </w:t>
      </w:r>
      <w:r w:rsidRPr="0099172B">
        <w:rPr>
          <w:rFonts w:ascii="Times New Roman" w:hAnsi="Times New Roman"/>
          <w:i/>
          <w:sz w:val="24"/>
        </w:rPr>
        <w:t>Condon v Pompano Pty Ltd</w:t>
      </w:r>
      <w:r w:rsidRPr="0099172B" w:rsidDel="00715592">
        <w:rPr>
          <w:rFonts w:ascii="Times New Roman" w:hAnsi="Times New Roman"/>
          <w:i/>
          <w:sz w:val="24"/>
        </w:rPr>
        <w:t xml:space="preserve"> </w:t>
      </w:r>
      <w:r w:rsidRPr="0099172B">
        <w:rPr>
          <w:rFonts w:ascii="Times New Roman" w:hAnsi="Times New Roman"/>
          <w:sz w:val="24"/>
        </w:rPr>
        <w:t xml:space="preserve">(2013) 252 CLR 38 at 99 [156]; </w:t>
      </w:r>
      <w:r w:rsidRPr="0099172B">
        <w:rPr>
          <w:rFonts w:ascii="Times New Roman" w:hAnsi="Times New Roman"/>
          <w:i/>
          <w:sz w:val="24"/>
        </w:rPr>
        <w:t xml:space="preserve">SDCV v Director-General of Security </w:t>
      </w:r>
      <w:r w:rsidRPr="0099172B">
        <w:rPr>
          <w:rFonts w:ascii="Times New Roman" w:hAnsi="Times New Roman"/>
          <w:sz w:val="24"/>
        </w:rPr>
        <w:t xml:space="preserve">(2022) 277 CLR 241 at 297 [150], 306 [175]. </w:t>
      </w:r>
    </w:p>
  </w:footnote>
  <w:footnote w:id="388">
    <w:p w14:paraId="47B4C373" w14:textId="77777777" w:rsidR="00D34C84" w:rsidRPr="0099172B" w:rsidRDefault="00D34C84" w:rsidP="0099172B">
      <w:pPr>
        <w:pStyle w:val="FootnoteText"/>
        <w:spacing w:line="280" w:lineRule="exact"/>
        <w:ind w:right="0"/>
        <w:jc w:val="both"/>
        <w:rPr>
          <w:rFonts w:ascii="Times New Roman" w:hAnsi="Times New Roman"/>
          <w:sz w:val="24"/>
        </w:rPr>
      </w:pPr>
      <w:r w:rsidRPr="0099172B">
        <w:rPr>
          <w:rStyle w:val="FootnoteReference"/>
          <w:rFonts w:ascii="Times New Roman" w:hAnsi="Times New Roman"/>
          <w:sz w:val="22"/>
          <w:vertAlign w:val="baseline"/>
        </w:rPr>
        <w:footnoteRef/>
      </w:r>
      <w:r w:rsidRPr="0099172B">
        <w:rPr>
          <w:rFonts w:ascii="Times New Roman" w:hAnsi="Times New Roman"/>
          <w:sz w:val="24"/>
        </w:rPr>
        <w:t xml:space="preserve"> </w:t>
      </w:r>
      <w:r w:rsidRPr="0099172B">
        <w:rPr>
          <w:rFonts w:ascii="Times New Roman" w:hAnsi="Times New Roman"/>
          <w:sz w:val="24"/>
        </w:rPr>
        <w:tab/>
        <w:t>See [</w:t>
      </w:r>
      <w:r>
        <w:rPr>
          <w:rFonts w:ascii="Times New Roman" w:hAnsi="Times New Roman"/>
          <w:sz w:val="24"/>
        </w:rPr>
        <w:t>219</w:t>
      </w:r>
      <w:r w:rsidRPr="0099172B">
        <w:rPr>
          <w:rFonts w:ascii="Times New Roman" w:hAnsi="Times New Roman"/>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BE5C" w14:textId="77777777" w:rsidR="007A11CE" w:rsidRPr="00C54135" w:rsidRDefault="007A11CE" w:rsidP="00C541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DB6A" w14:textId="77777777" w:rsidR="00DE281D" w:rsidRDefault="00DE281D" w:rsidP="00A54CB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66E028CE" w14:textId="77777777" w:rsidR="00DE281D" w:rsidRDefault="00DE281D" w:rsidP="00A54CB9">
    <w:pPr>
      <w:pStyle w:val="Header"/>
      <w:tabs>
        <w:tab w:val="clear" w:pos="4153"/>
        <w:tab w:val="clear" w:pos="8306"/>
        <w:tab w:val="right" w:pos="1304"/>
      </w:tabs>
      <w:spacing w:line="280" w:lineRule="exact"/>
      <w:ind w:firstLine="0"/>
      <w:rPr>
        <w:rFonts w:ascii="Times New Roman" w:hAnsi="Times New Roman"/>
        <w:i/>
        <w:sz w:val="22"/>
      </w:rPr>
    </w:pPr>
  </w:p>
  <w:p w14:paraId="408A42A0" w14:textId="77777777" w:rsidR="00DE281D" w:rsidRDefault="00DE281D" w:rsidP="00A54CB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132ABB29" w14:textId="77777777" w:rsidR="00DE281D" w:rsidRPr="00A54CB9" w:rsidRDefault="00DE281D" w:rsidP="00A54CB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CC40" w14:textId="77777777" w:rsidR="00DE281D" w:rsidRDefault="00DE281D" w:rsidP="00A54CB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41AE9688" w14:textId="77777777" w:rsidR="00DE281D" w:rsidRDefault="00DE281D" w:rsidP="00A54CB9">
    <w:pPr>
      <w:pStyle w:val="Header"/>
      <w:tabs>
        <w:tab w:val="clear" w:pos="4153"/>
        <w:tab w:val="clear" w:pos="8306"/>
        <w:tab w:val="left" w:pos="7200"/>
        <w:tab w:val="right" w:pos="8504"/>
      </w:tabs>
      <w:spacing w:line="280" w:lineRule="exact"/>
      <w:jc w:val="right"/>
      <w:rPr>
        <w:rFonts w:ascii="Times New Roman" w:hAnsi="Times New Roman"/>
        <w:i/>
        <w:sz w:val="22"/>
      </w:rPr>
    </w:pPr>
  </w:p>
  <w:p w14:paraId="61D1ACBB" w14:textId="77777777" w:rsidR="00DE281D" w:rsidRDefault="00DE281D" w:rsidP="00A54CB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3DC6D28" w14:textId="77777777" w:rsidR="00DE281D" w:rsidRPr="00A54CB9" w:rsidRDefault="00DE281D" w:rsidP="00A54CB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529E" w14:textId="77777777" w:rsidR="00DE281D" w:rsidRDefault="00DE281D" w:rsidP="00A54CB9">
    <w:pPr>
      <w:pStyle w:val="Header"/>
      <w:tabs>
        <w:tab w:val="clear" w:pos="4153"/>
        <w:tab w:val="clear" w:pos="8306"/>
        <w:tab w:val="center" w:pos="1134"/>
      </w:tabs>
      <w:spacing w:line="280" w:lineRule="exact"/>
      <w:ind w:firstLine="0"/>
      <w:rPr>
        <w:rFonts w:ascii="Times New Roman" w:hAnsi="Times New Roman"/>
        <w:i/>
        <w:sz w:val="22"/>
      </w:rPr>
    </w:pPr>
  </w:p>
  <w:p w14:paraId="112B5C2E" w14:textId="77777777" w:rsidR="00DE281D" w:rsidRDefault="00DE281D" w:rsidP="00A54CB9">
    <w:pPr>
      <w:pStyle w:val="Header"/>
      <w:tabs>
        <w:tab w:val="clear" w:pos="4153"/>
        <w:tab w:val="clear" w:pos="8306"/>
        <w:tab w:val="center" w:pos="1134"/>
      </w:tabs>
      <w:spacing w:line="280" w:lineRule="exact"/>
      <w:ind w:firstLine="0"/>
      <w:rPr>
        <w:rFonts w:ascii="Times New Roman" w:hAnsi="Times New Roman"/>
        <w:i/>
        <w:sz w:val="22"/>
      </w:rPr>
    </w:pPr>
  </w:p>
  <w:p w14:paraId="477C0FF3" w14:textId="77777777" w:rsidR="00DE281D" w:rsidRDefault="00DE281D" w:rsidP="00A54CB9">
    <w:pPr>
      <w:pStyle w:val="Header"/>
      <w:tabs>
        <w:tab w:val="clear" w:pos="4153"/>
        <w:tab w:val="clear" w:pos="8306"/>
        <w:tab w:val="center" w:pos="1134"/>
      </w:tabs>
      <w:spacing w:line="280" w:lineRule="exact"/>
      <w:ind w:firstLine="0"/>
      <w:rPr>
        <w:rFonts w:ascii="Times New Roman" w:hAnsi="Times New Roman"/>
        <w:i/>
        <w:sz w:val="22"/>
      </w:rPr>
    </w:pPr>
  </w:p>
  <w:p w14:paraId="7D7CC2CD" w14:textId="77777777" w:rsidR="00DE281D" w:rsidRPr="00A54CB9" w:rsidRDefault="00DE281D" w:rsidP="00A54CB9">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E592" w14:textId="77777777" w:rsidR="00D34C84" w:rsidRDefault="00D34C84" w:rsidP="0099172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2906073B" w14:textId="77777777" w:rsidR="00D34C84" w:rsidRDefault="00D34C84" w:rsidP="0099172B">
    <w:pPr>
      <w:pStyle w:val="Header"/>
      <w:tabs>
        <w:tab w:val="clear" w:pos="4153"/>
        <w:tab w:val="clear" w:pos="8306"/>
        <w:tab w:val="right" w:pos="1304"/>
      </w:tabs>
      <w:spacing w:line="280" w:lineRule="exact"/>
      <w:ind w:firstLine="0"/>
      <w:rPr>
        <w:rFonts w:ascii="Times New Roman" w:hAnsi="Times New Roman"/>
        <w:i/>
        <w:sz w:val="22"/>
      </w:rPr>
    </w:pPr>
  </w:p>
  <w:p w14:paraId="67501934" w14:textId="77777777" w:rsidR="00D34C84" w:rsidRDefault="00D34C84" w:rsidP="0099172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06E3D7A1" w14:textId="77777777" w:rsidR="00D34C84" w:rsidRPr="0099172B" w:rsidRDefault="00D34C84" w:rsidP="0099172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7A12" w14:textId="77777777" w:rsidR="00D34C84" w:rsidRDefault="00D34C84" w:rsidP="0099172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5ECBF528" w14:textId="77777777" w:rsidR="00D34C84" w:rsidRDefault="00D34C84" w:rsidP="0099172B">
    <w:pPr>
      <w:pStyle w:val="Header"/>
      <w:tabs>
        <w:tab w:val="clear" w:pos="4153"/>
        <w:tab w:val="clear" w:pos="8306"/>
        <w:tab w:val="left" w:pos="7200"/>
        <w:tab w:val="right" w:pos="8504"/>
      </w:tabs>
      <w:spacing w:line="280" w:lineRule="exact"/>
      <w:jc w:val="right"/>
      <w:rPr>
        <w:rFonts w:ascii="Times New Roman" w:hAnsi="Times New Roman"/>
        <w:i/>
        <w:sz w:val="22"/>
      </w:rPr>
    </w:pPr>
  </w:p>
  <w:p w14:paraId="5188D9AB" w14:textId="77777777" w:rsidR="00D34C84" w:rsidRDefault="00D34C84" w:rsidP="0099172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0A1362AB" w14:textId="77777777" w:rsidR="00D34C84" w:rsidRPr="0099172B" w:rsidRDefault="00D34C84" w:rsidP="0099172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7F30" w14:textId="77777777" w:rsidR="00D34C84" w:rsidRDefault="00D34C84" w:rsidP="0099172B">
    <w:pPr>
      <w:pStyle w:val="Header"/>
      <w:tabs>
        <w:tab w:val="clear" w:pos="4153"/>
        <w:tab w:val="clear" w:pos="8306"/>
        <w:tab w:val="center" w:pos="1134"/>
      </w:tabs>
      <w:spacing w:line="280" w:lineRule="exact"/>
      <w:ind w:firstLine="0"/>
      <w:rPr>
        <w:rFonts w:ascii="Times New Roman" w:hAnsi="Times New Roman"/>
        <w:i/>
        <w:sz w:val="22"/>
      </w:rPr>
    </w:pPr>
  </w:p>
  <w:p w14:paraId="5F6F34CB" w14:textId="77777777" w:rsidR="00D34C84" w:rsidRDefault="00D34C84" w:rsidP="0099172B">
    <w:pPr>
      <w:pStyle w:val="Header"/>
      <w:tabs>
        <w:tab w:val="clear" w:pos="4153"/>
        <w:tab w:val="clear" w:pos="8306"/>
        <w:tab w:val="center" w:pos="1134"/>
      </w:tabs>
      <w:spacing w:line="280" w:lineRule="exact"/>
      <w:ind w:firstLine="0"/>
      <w:rPr>
        <w:rFonts w:ascii="Times New Roman" w:hAnsi="Times New Roman"/>
        <w:i/>
        <w:sz w:val="22"/>
      </w:rPr>
    </w:pPr>
  </w:p>
  <w:p w14:paraId="48494037" w14:textId="77777777" w:rsidR="00D34C84" w:rsidRDefault="00D34C84" w:rsidP="0099172B">
    <w:pPr>
      <w:pStyle w:val="Header"/>
      <w:tabs>
        <w:tab w:val="clear" w:pos="4153"/>
        <w:tab w:val="clear" w:pos="8306"/>
        <w:tab w:val="center" w:pos="1134"/>
      </w:tabs>
      <w:spacing w:line="280" w:lineRule="exact"/>
      <w:ind w:firstLine="0"/>
      <w:rPr>
        <w:rFonts w:ascii="Times New Roman" w:hAnsi="Times New Roman"/>
        <w:i/>
        <w:sz w:val="22"/>
      </w:rPr>
    </w:pPr>
  </w:p>
  <w:p w14:paraId="3D314A1C" w14:textId="77777777" w:rsidR="00D34C84" w:rsidRPr="0099172B" w:rsidRDefault="00D34C84" w:rsidP="0099172B">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9E40" w14:textId="1B7B294E" w:rsidR="007A11CE" w:rsidRPr="00C54135" w:rsidRDefault="00C54135" w:rsidP="00C54135">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EE7A15">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EE7A15">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80A2" w14:textId="77777777" w:rsidR="0023164E" w:rsidRPr="00C54135" w:rsidRDefault="0023164E" w:rsidP="00C54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13D7" w14:textId="77777777" w:rsidR="00C54135" w:rsidRPr="007A11CE" w:rsidRDefault="00C54135" w:rsidP="007A11CE">
    <w:pPr>
      <w:pStyle w:val="Header"/>
      <w:tabs>
        <w:tab w:val="clear" w:pos="4153"/>
        <w:tab w:val="clear" w:pos="8306"/>
        <w:tab w:val="right" w:pos="1304"/>
      </w:tabs>
      <w:spacing w:line="280" w:lineRule="exact"/>
      <w:ind w:firstLine="0"/>
      <w:rPr>
        <w:rFonts w:ascii="Times New Roman" w:hAnsi="Times New Roman"/>
        <w:i/>
        <w:sz w:val="22"/>
      </w:rPr>
    </w:pPr>
    <w:r w:rsidRPr="007A11CE">
      <w:rPr>
        <w:rFonts w:ascii="Times New Roman" w:hAnsi="Times New Roman"/>
        <w:i/>
        <w:sz w:val="22"/>
      </w:rPr>
      <w:t>Gageler</w:t>
    </w:r>
    <w:r w:rsidRPr="007A11CE">
      <w:rPr>
        <w:rFonts w:ascii="Times New Roman" w:hAnsi="Times New Roman"/>
        <w:i/>
        <w:sz w:val="22"/>
      </w:rPr>
      <w:tab/>
      <w:t>CJ</w:t>
    </w:r>
  </w:p>
  <w:p w14:paraId="76D5D25A" w14:textId="77777777" w:rsidR="00C54135" w:rsidRDefault="00C54135" w:rsidP="007A11CE">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03F3D031" w14:textId="77777777" w:rsidR="00C54135" w:rsidRDefault="00C54135" w:rsidP="007A11CE">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3B86A744" w14:textId="77777777" w:rsidR="00C54135" w:rsidRDefault="00C54135" w:rsidP="007A11CE">
    <w:pPr>
      <w:pStyle w:val="Header"/>
      <w:tabs>
        <w:tab w:val="clear" w:pos="4153"/>
        <w:tab w:val="clear" w:pos="8306"/>
        <w:tab w:val="right" w:pos="1304"/>
      </w:tabs>
      <w:spacing w:line="280" w:lineRule="exact"/>
      <w:ind w:firstLine="0"/>
      <w:rPr>
        <w:rFonts w:ascii="Times New Roman" w:hAnsi="Times New Roman"/>
        <w:i/>
        <w:sz w:val="22"/>
      </w:rPr>
    </w:pPr>
  </w:p>
  <w:p w14:paraId="37CBAFC6" w14:textId="77777777" w:rsidR="00C54135" w:rsidRDefault="00C54135" w:rsidP="007A11CE">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C231121" w14:textId="77777777" w:rsidR="00C54135" w:rsidRPr="007A11CE" w:rsidRDefault="00C54135" w:rsidP="007A11CE">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00F0" w14:textId="77777777" w:rsidR="00C54135" w:rsidRPr="007A11CE" w:rsidRDefault="00C54135" w:rsidP="007A11CE">
    <w:pPr>
      <w:pStyle w:val="Header"/>
      <w:tabs>
        <w:tab w:val="clear" w:pos="4153"/>
        <w:tab w:val="clear" w:pos="8306"/>
        <w:tab w:val="left" w:pos="7200"/>
        <w:tab w:val="right" w:pos="8504"/>
      </w:tabs>
      <w:spacing w:line="280" w:lineRule="exact"/>
      <w:jc w:val="right"/>
      <w:rPr>
        <w:rFonts w:ascii="Times New Roman" w:hAnsi="Times New Roman"/>
        <w:i/>
        <w:sz w:val="22"/>
      </w:rPr>
    </w:pPr>
    <w:r w:rsidRPr="007A11CE">
      <w:rPr>
        <w:rFonts w:ascii="Times New Roman" w:hAnsi="Times New Roman"/>
        <w:i/>
        <w:sz w:val="22"/>
      </w:rPr>
      <w:tab/>
      <w:t>Gageler</w:t>
    </w:r>
    <w:r w:rsidRPr="007A11CE">
      <w:rPr>
        <w:rFonts w:ascii="Times New Roman" w:hAnsi="Times New Roman"/>
        <w:i/>
        <w:sz w:val="22"/>
      </w:rPr>
      <w:tab/>
      <w:t>CJ</w:t>
    </w:r>
  </w:p>
  <w:p w14:paraId="7999EC5F" w14:textId="77777777" w:rsidR="00C54135" w:rsidRDefault="00C54135" w:rsidP="007A11CE">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210DFC03" w14:textId="77777777" w:rsidR="00C54135" w:rsidRDefault="00C54135" w:rsidP="007A11CE">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3089D08A" w14:textId="77777777" w:rsidR="00C54135" w:rsidRDefault="00C54135" w:rsidP="007A11CE">
    <w:pPr>
      <w:pStyle w:val="Header"/>
      <w:tabs>
        <w:tab w:val="clear" w:pos="4153"/>
        <w:tab w:val="clear" w:pos="8306"/>
        <w:tab w:val="left" w:pos="7200"/>
        <w:tab w:val="right" w:pos="8504"/>
      </w:tabs>
      <w:spacing w:line="280" w:lineRule="exact"/>
      <w:jc w:val="right"/>
      <w:rPr>
        <w:rFonts w:ascii="Times New Roman" w:hAnsi="Times New Roman"/>
        <w:i/>
        <w:sz w:val="22"/>
      </w:rPr>
    </w:pPr>
  </w:p>
  <w:p w14:paraId="3212029E" w14:textId="77777777" w:rsidR="00C54135" w:rsidRDefault="00C54135" w:rsidP="007A11CE">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7FB41FC" w14:textId="77777777" w:rsidR="00C54135" w:rsidRPr="007A11CE" w:rsidRDefault="00C54135" w:rsidP="007A11CE">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EA91" w14:textId="77777777" w:rsidR="00C54135" w:rsidRDefault="00C54135" w:rsidP="007A11CE">
    <w:pPr>
      <w:pStyle w:val="Header"/>
      <w:tabs>
        <w:tab w:val="clear" w:pos="4153"/>
        <w:tab w:val="clear" w:pos="8306"/>
        <w:tab w:val="center" w:pos="1134"/>
      </w:tabs>
      <w:spacing w:line="280" w:lineRule="exact"/>
      <w:ind w:firstLine="0"/>
      <w:rPr>
        <w:rFonts w:ascii="Times New Roman" w:hAnsi="Times New Roman"/>
        <w:i/>
        <w:sz w:val="22"/>
      </w:rPr>
    </w:pPr>
  </w:p>
  <w:p w14:paraId="27DF7493" w14:textId="77777777" w:rsidR="00C54135" w:rsidRDefault="00C54135" w:rsidP="007A11CE">
    <w:pPr>
      <w:pStyle w:val="Header"/>
      <w:tabs>
        <w:tab w:val="clear" w:pos="4153"/>
        <w:tab w:val="clear" w:pos="8306"/>
        <w:tab w:val="center" w:pos="1134"/>
      </w:tabs>
      <w:spacing w:line="280" w:lineRule="exact"/>
      <w:ind w:firstLine="0"/>
      <w:rPr>
        <w:rFonts w:ascii="Times New Roman" w:hAnsi="Times New Roman"/>
        <w:i/>
        <w:sz w:val="22"/>
      </w:rPr>
    </w:pPr>
  </w:p>
  <w:p w14:paraId="4287F236" w14:textId="77777777" w:rsidR="00C54135" w:rsidRDefault="00C54135" w:rsidP="007A11CE">
    <w:pPr>
      <w:pStyle w:val="Header"/>
      <w:tabs>
        <w:tab w:val="clear" w:pos="4153"/>
        <w:tab w:val="clear" w:pos="8306"/>
        <w:tab w:val="center" w:pos="1134"/>
      </w:tabs>
      <w:spacing w:line="280" w:lineRule="exact"/>
      <w:ind w:firstLine="0"/>
      <w:rPr>
        <w:rFonts w:ascii="Times New Roman" w:hAnsi="Times New Roman"/>
        <w:i/>
        <w:sz w:val="22"/>
      </w:rPr>
    </w:pPr>
  </w:p>
  <w:p w14:paraId="7463CE0B" w14:textId="77777777" w:rsidR="00C54135" w:rsidRDefault="00C54135" w:rsidP="007A11CE">
    <w:pPr>
      <w:pStyle w:val="Header"/>
      <w:tabs>
        <w:tab w:val="clear" w:pos="4153"/>
        <w:tab w:val="clear" w:pos="8306"/>
        <w:tab w:val="center" w:pos="1134"/>
      </w:tabs>
      <w:spacing w:line="280" w:lineRule="exact"/>
      <w:ind w:firstLine="0"/>
      <w:rPr>
        <w:rFonts w:ascii="Times New Roman" w:hAnsi="Times New Roman"/>
        <w:i/>
        <w:sz w:val="22"/>
      </w:rPr>
    </w:pPr>
  </w:p>
  <w:p w14:paraId="33E46053" w14:textId="77777777" w:rsidR="00C54135" w:rsidRDefault="00C54135" w:rsidP="007A11CE">
    <w:pPr>
      <w:pStyle w:val="Header"/>
      <w:tabs>
        <w:tab w:val="clear" w:pos="4153"/>
        <w:tab w:val="clear" w:pos="8306"/>
        <w:tab w:val="center" w:pos="1134"/>
      </w:tabs>
      <w:spacing w:line="280" w:lineRule="exact"/>
      <w:ind w:firstLine="0"/>
      <w:rPr>
        <w:rFonts w:ascii="Times New Roman" w:hAnsi="Times New Roman"/>
        <w:i/>
        <w:sz w:val="22"/>
      </w:rPr>
    </w:pPr>
  </w:p>
  <w:p w14:paraId="5B503262" w14:textId="77777777" w:rsidR="00C54135" w:rsidRPr="007A11CE" w:rsidRDefault="00C54135" w:rsidP="007A11CE">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610C" w14:textId="77777777" w:rsidR="000525DE" w:rsidRPr="000E12A4" w:rsidRDefault="000525DE" w:rsidP="000E12A4">
    <w:pPr>
      <w:pStyle w:val="Header"/>
      <w:tabs>
        <w:tab w:val="clear" w:pos="4153"/>
        <w:tab w:val="clear" w:pos="8306"/>
        <w:tab w:val="right" w:pos="1304"/>
      </w:tabs>
      <w:spacing w:line="280" w:lineRule="exact"/>
      <w:ind w:firstLine="0"/>
      <w:rPr>
        <w:rFonts w:ascii="Times New Roman" w:hAnsi="Times New Roman"/>
        <w:i/>
        <w:sz w:val="22"/>
      </w:rPr>
    </w:pPr>
    <w:r w:rsidRPr="000E12A4">
      <w:rPr>
        <w:rFonts w:ascii="Times New Roman" w:hAnsi="Times New Roman"/>
        <w:i/>
        <w:sz w:val="22"/>
      </w:rPr>
      <w:t>Gordon</w:t>
    </w:r>
    <w:r w:rsidRPr="000E12A4">
      <w:rPr>
        <w:rFonts w:ascii="Times New Roman" w:hAnsi="Times New Roman"/>
        <w:i/>
        <w:sz w:val="22"/>
      </w:rPr>
      <w:tab/>
      <w:t>J</w:t>
    </w:r>
  </w:p>
  <w:p w14:paraId="5535D45D" w14:textId="77777777" w:rsidR="000525DE" w:rsidRDefault="000525DE" w:rsidP="000E12A4">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0D20C6CF" w14:textId="77777777" w:rsidR="000525DE" w:rsidRDefault="000525DE" w:rsidP="000E12A4">
    <w:pPr>
      <w:pStyle w:val="Header"/>
      <w:tabs>
        <w:tab w:val="clear" w:pos="4153"/>
        <w:tab w:val="clear" w:pos="8306"/>
        <w:tab w:val="right" w:pos="1304"/>
      </w:tabs>
      <w:spacing w:line="280" w:lineRule="exact"/>
      <w:ind w:firstLine="0"/>
      <w:rPr>
        <w:rFonts w:ascii="Times New Roman" w:hAnsi="Times New Roman"/>
        <w:i/>
        <w:sz w:val="22"/>
      </w:rPr>
    </w:pPr>
  </w:p>
  <w:p w14:paraId="3D77B091" w14:textId="77777777" w:rsidR="000525DE" w:rsidRDefault="000525DE" w:rsidP="000E12A4">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3BD7B73" w14:textId="77777777" w:rsidR="000525DE" w:rsidRPr="000E12A4" w:rsidRDefault="000525DE" w:rsidP="000E12A4">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FFBF" w14:textId="77777777" w:rsidR="000525DE" w:rsidRPr="000E12A4" w:rsidRDefault="000525DE" w:rsidP="000E12A4">
    <w:pPr>
      <w:pStyle w:val="Header"/>
      <w:tabs>
        <w:tab w:val="clear" w:pos="4153"/>
        <w:tab w:val="clear" w:pos="8306"/>
        <w:tab w:val="left" w:pos="7200"/>
        <w:tab w:val="right" w:pos="8504"/>
      </w:tabs>
      <w:spacing w:line="280" w:lineRule="exact"/>
      <w:jc w:val="right"/>
      <w:rPr>
        <w:rFonts w:ascii="Times New Roman" w:hAnsi="Times New Roman"/>
        <w:i/>
        <w:sz w:val="22"/>
      </w:rPr>
    </w:pPr>
    <w:r w:rsidRPr="000E12A4">
      <w:rPr>
        <w:rFonts w:ascii="Times New Roman" w:hAnsi="Times New Roman"/>
        <w:i/>
        <w:sz w:val="22"/>
      </w:rPr>
      <w:tab/>
      <w:t>Gordon</w:t>
    </w:r>
    <w:r w:rsidRPr="000E12A4">
      <w:rPr>
        <w:rFonts w:ascii="Times New Roman" w:hAnsi="Times New Roman"/>
        <w:i/>
        <w:sz w:val="22"/>
      </w:rPr>
      <w:tab/>
      <w:t>J</w:t>
    </w:r>
  </w:p>
  <w:p w14:paraId="422209A5" w14:textId="77777777" w:rsidR="000525DE" w:rsidRDefault="000525DE" w:rsidP="000E12A4">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2ED8CED1" w14:textId="77777777" w:rsidR="000525DE" w:rsidRDefault="000525DE" w:rsidP="000E12A4">
    <w:pPr>
      <w:pStyle w:val="Header"/>
      <w:tabs>
        <w:tab w:val="clear" w:pos="4153"/>
        <w:tab w:val="clear" w:pos="8306"/>
        <w:tab w:val="left" w:pos="7200"/>
        <w:tab w:val="right" w:pos="8504"/>
      </w:tabs>
      <w:spacing w:line="280" w:lineRule="exact"/>
      <w:jc w:val="right"/>
      <w:rPr>
        <w:rFonts w:ascii="Times New Roman" w:hAnsi="Times New Roman"/>
        <w:i/>
        <w:sz w:val="22"/>
      </w:rPr>
    </w:pPr>
  </w:p>
  <w:p w14:paraId="4E82F387" w14:textId="77777777" w:rsidR="000525DE" w:rsidRDefault="000525DE" w:rsidP="000E12A4">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0C56673" w14:textId="77777777" w:rsidR="000525DE" w:rsidRPr="000E12A4" w:rsidRDefault="000525DE" w:rsidP="000E12A4">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DDE7" w14:textId="77777777" w:rsidR="000525DE" w:rsidRDefault="000525DE" w:rsidP="000E12A4">
    <w:pPr>
      <w:pStyle w:val="Header"/>
      <w:tabs>
        <w:tab w:val="clear" w:pos="4153"/>
        <w:tab w:val="clear" w:pos="8306"/>
        <w:tab w:val="center" w:pos="1134"/>
      </w:tabs>
      <w:spacing w:line="280" w:lineRule="exact"/>
      <w:ind w:firstLine="0"/>
      <w:rPr>
        <w:rFonts w:ascii="Times New Roman" w:hAnsi="Times New Roman"/>
        <w:i/>
        <w:sz w:val="22"/>
      </w:rPr>
    </w:pPr>
  </w:p>
  <w:p w14:paraId="7E1EC3C0" w14:textId="77777777" w:rsidR="000525DE" w:rsidRDefault="000525DE" w:rsidP="000E12A4">
    <w:pPr>
      <w:pStyle w:val="Header"/>
      <w:tabs>
        <w:tab w:val="clear" w:pos="4153"/>
        <w:tab w:val="clear" w:pos="8306"/>
        <w:tab w:val="center" w:pos="1134"/>
      </w:tabs>
      <w:spacing w:line="280" w:lineRule="exact"/>
      <w:ind w:firstLine="0"/>
      <w:rPr>
        <w:rFonts w:ascii="Times New Roman" w:hAnsi="Times New Roman"/>
        <w:i/>
        <w:sz w:val="22"/>
      </w:rPr>
    </w:pPr>
  </w:p>
  <w:p w14:paraId="7D489EF9" w14:textId="77777777" w:rsidR="000525DE" w:rsidRDefault="000525DE" w:rsidP="000E12A4">
    <w:pPr>
      <w:pStyle w:val="Header"/>
      <w:tabs>
        <w:tab w:val="clear" w:pos="4153"/>
        <w:tab w:val="clear" w:pos="8306"/>
        <w:tab w:val="center" w:pos="1134"/>
      </w:tabs>
      <w:spacing w:line="280" w:lineRule="exact"/>
      <w:ind w:firstLine="0"/>
      <w:rPr>
        <w:rFonts w:ascii="Times New Roman" w:hAnsi="Times New Roman"/>
        <w:i/>
        <w:sz w:val="22"/>
      </w:rPr>
    </w:pPr>
  </w:p>
  <w:p w14:paraId="6607AAF8" w14:textId="77777777" w:rsidR="000525DE" w:rsidRDefault="000525DE" w:rsidP="000E12A4">
    <w:pPr>
      <w:pStyle w:val="Header"/>
      <w:tabs>
        <w:tab w:val="clear" w:pos="4153"/>
        <w:tab w:val="clear" w:pos="8306"/>
        <w:tab w:val="center" w:pos="1134"/>
      </w:tabs>
      <w:spacing w:line="280" w:lineRule="exact"/>
      <w:ind w:firstLine="0"/>
      <w:rPr>
        <w:rFonts w:ascii="Times New Roman" w:hAnsi="Times New Roman"/>
        <w:i/>
        <w:sz w:val="22"/>
      </w:rPr>
    </w:pPr>
  </w:p>
  <w:p w14:paraId="4F36D751" w14:textId="77777777" w:rsidR="000525DE" w:rsidRPr="000E12A4" w:rsidRDefault="000525DE" w:rsidP="000E12A4">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A19D7"/>
    <w:multiLevelType w:val="hybridMultilevel"/>
    <w:tmpl w:val="20361514"/>
    <w:lvl w:ilvl="0" w:tplc="114E32E6">
      <w:start w:val="1"/>
      <w:numFmt w:val="bullet"/>
      <w:lvlText w:val=""/>
      <w:lvlJc w:val="left"/>
      <w:pPr>
        <w:ind w:left="720" w:hanging="360"/>
      </w:pPr>
      <w:rPr>
        <w:rFonts w:ascii="Symbol" w:hAnsi="Symbol"/>
      </w:rPr>
    </w:lvl>
    <w:lvl w:ilvl="1" w:tplc="02889E6C">
      <w:start w:val="1"/>
      <w:numFmt w:val="bullet"/>
      <w:lvlText w:val=""/>
      <w:lvlJc w:val="left"/>
      <w:pPr>
        <w:ind w:left="720" w:hanging="360"/>
      </w:pPr>
      <w:rPr>
        <w:rFonts w:ascii="Symbol" w:hAnsi="Symbol"/>
      </w:rPr>
    </w:lvl>
    <w:lvl w:ilvl="2" w:tplc="3940C7B0">
      <w:start w:val="1"/>
      <w:numFmt w:val="bullet"/>
      <w:lvlText w:val=""/>
      <w:lvlJc w:val="left"/>
      <w:pPr>
        <w:ind w:left="720" w:hanging="360"/>
      </w:pPr>
      <w:rPr>
        <w:rFonts w:ascii="Symbol" w:hAnsi="Symbol"/>
      </w:rPr>
    </w:lvl>
    <w:lvl w:ilvl="3" w:tplc="37E85176">
      <w:start w:val="1"/>
      <w:numFmt w:val="bullet"/>
      <w:lvlText w:val=""/>
      <w:lvlJc w:val="left"/>
      <w:pPr>
        <w:ind w:left="720" w:hanging="360"/>
      </w:pPr>
      <w:rPr>
        <w:rFonts w:ascii="Symbol" w:hAnsi="Symbol"/>
      </w:rPr>
    </w:lvl>
    <w:lvl w:ilvl="4" w:tplc="7E0CF1EA">
      <w:start w:val="1"/>
      <w:numFmt w:val="bullet"/>
      <w:lvlText w:val=""/>
      <w:lvlJc w:val="left"/>
      <w:pPr>
        <w:ind w:left="720" w:hanging="360"/>
      </w:pPr>
      <w:rPr>
        <w:rFonts w:ascii="Symbol" w:hAnsi="Symbol"/>
      </w:rPr>
    </w:lvl>
    <w:lvl w:ilvl="5" w:tplc="5992A418">
      <w:start w:val="1"/>
      <w:numFmt w:val="bullet"/>
      <w:lvlText w:val=""/>
      <w:lvlJc w:val="left"/>
      <w:pPr>
        <w:ind w:left="720" w:hanging="360"/>
      </w:pPr>
      <w:rPr>
        <w:rFonts w:ascii="Symbol" w:hAnsi="Symbol"/>
      </w:rPr>
    </w:lvl>
    <w:lvl w:ilvl="6" w:tplc="B374FCDE">
      <w:start w:val="1"/>
      <w:numFmt w:val="bullet"/>
      <w:lvlText w:val=""/>
      <w:lvlJc w:val="left"/>
      <w:pPr>
        <w:ind w:left="720" w:hanging="360"/>
      </w:pPr>
      <w:rPr>
        <w:rFonts w:ascii="Symbol" w:hAnsi="Symbol"/>
      </w:rPr>
    </w:lvl>
    <w:lvl w:ilvl="7" w:tplc="5DBECAD2">
      <w:start w:val="1"/>
      <w:numFmt w:val="bullet"/>
      <w:lvlText w:val=""/>
      <w:lvlJc w:val="left"/>
      <w:pPr>
        <w:ind w:left="720" w:hanging="360"/>
      </w:pPr>
      <w:rPr>
        <w:rFonts w:ascii="Symbol" w:hAnsi="Symbol"/>
      </w:rPr>
    </w:lvl>
    <w:lvl w:ilvl="8" w:tplc="6A20A500">
      <w:start w:val="1"/>
      <w:numFmt w:val="bullet"/>
      <w:lvlText w:val=""/>
      <w:lvlJc w:val="left"/>
      <w:pPr>
        <w:ind w:left="720" w:hanging="360"/>
      </w:pPr>
      <w:rPr>
        <w:rFonts w:ascii="Symbol" w:hAnsi="Symbol"/>
      </w:rPr>
    </w:lvl>
  </w:abstractNum>
  <w:abstractNum w:abstractNumId="11" w15:restartNumberingAfterBreak="0">
    <w:nsid w:val="027731E0"/>
    <w:multiLevelType w:val="hybridMultilevel"/>
    <w:tmpl w:val="43F44088"/>
    <w:lvl w:ilvl="0" w:tplc="2348D7F2">
      <w:start w:val="1"/>
      <w:numFmt w:val="bullet"/>
      <w:lvlText w:val=""/>
      <w:lvlJc w:val="left"/>
      <w:pPr>
        <w:ind w:left="720" w:hanging="360"/>
      </w:pPr>
      <w:rPr>
        <w:rFonts w:ascii="Symbol" w:hAnsi="Symbol"/>
      </w:rPr>
    </w:lvl>
    <w:lvl w:ilvl="1" w:tplc="DDCED3C4">
      <w:start w:val="1"/>
      <w:numFmt w:val="bullet"/>
      <w:lvlText w:val=""/>
      <w:lvlJc w:val="left"/>
      <w:pPr>
        <w:ind w:left="720" w:hanging="360"/>
      </w:pPr>
      <w:rPr>
        <w:rFonts w:ascii="Symbol" w:hAnsi="Symbol"/>
      </w:rPr>
    </w:lvl>
    <w:lvl w:ilvl="2" w:tplc="91C6DA22">
      <w:start w:val="1"/>
      <w:numFmt w:val="bullet"/>
      <w:lvlText w:val=""/>
      <w:lvlJc w:val="left"/>
      <w:pPr>
        <w:ind w:left="720" w:hanging="360"/>
      </w:pPr>
      <w:rPr>
        <w:rFonts w:ascii="Symbol" w:hAnsi="Symbol"/>
      </w:rPr>
    </w:lvl>
    <w:lvl w:ilvl="3" w:tplc="095C645E">
      <w:start w:val="1"/>
      <w:numFmt w:val="bullet"/>
      <w:lvlText w:val=""/>
      <w:lvlJc w:val="left"/>
      <w:pPr>
        <w:ind w:left="720" w:hanging="360"/>
      </w:pPr>
      <w:rPr>
        <w:rFonts w:ascii="Symbol" w:hAnsi="Symbol"/>
      </w:rPr>
    </w:lvl>
    <w:lvl w:ilvl="4" w:tplc="CAD01042">
      <w:start w:val="1"/>
      <w:numFmt w:val="bullet"/>
      <w:lvlText w:val=""/>
      <w:lvlJc w:val="left"/>
      <w:pPr>
        <w:ind w:left="720" w:hanging="360"/>
      </w:pPr>
      <w:rPr>
        <w:rFonts w:ascii="Symbol" w:hAnsi="Symbol"/>
      </w:rPr>
    </w:lvl>
    <w:lvl w:ilvl="5" w:tplc="26DC3C44">
      <w:start w:val="1"/>
      <w:numFmt w:val="bullet"/>
      <w:lvlText w:val=""/>
      <w:lvlJc w:val="left"/>
      <w:pPr>
        <w:ind w:left="720" w:hanging="360"/>
      </w:pPr>
      <w:rPr>
        <w:rFonts w:ascii="Symbol" w:hAnsi="Symbol"/>
      </w:rPr>
    </w:lvl>
    <w:lvl w:ilvl="6" w:tplc="701A34FC">
      <w:start w:val="1"/>
      <w:numFmt w:val="bullet"/>
      <w:lvlText w:val=""/>
      <w:lvlJc w:val="left"/>
      <w:pPr>
        <w:ind w:left="720" w:hanging="360"/>
      </w:pPr>
      <w:rPr>
        <w:rFonts w:ascii="Symbol" w:hAnsi="Symbol"/>
      </w:rPr>
    </w:lvl>
    <w:lvl w:ilvl="7" w:tplc="13DE6A36">
      <w:start w:val="1"/>
      <w:numFmt w:val="bullet"/>
      <w:lvlText w:val=""/>
      <w:lvlJc w:val="left"/>
      <w:pPr>
        <w:ind w:left="720" w:hanging="360"/>
      </w:pPr>
      <w:rPr>
        <w:rFonts w:ascii="Symbol" w:hAnsi="Symbol"/>
      </w:rPr>
    </w:lvl>
    <w:lvl w:ilvl="8" w:tplc="3A5AE82A">
      <w:start w:val="1"/>
      <w:numFmt w:val="bullet"/>
      <w:lvlText w:val=""/>
      <w:lvlJc w:val="left"/>
      <w:pPr>
        <w:ind w:left="720" w:hanging="360"/>
      </w:pPr>
      <w:rPr>
        <w:rFonts w:ascii="Symbol" w:hAnsi="Symbol"/>
      </w:rPr>
    </w:lvl>
  </w:abstractNum>
  <w:abstractNum w:abstractNumId="12"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0B8D4026"/>
    <w:multiLevelType w:val="hybridMultilevel"/>
    <w:tmpl w:val="833C39E4"/>
    <w:lvl w:ilvl="0" w:tplc="60841540">
      <w:start w:val="1"/>
      <w:numFmt w:val="bullet"/>
      <w:lvlText w:val=""/>
      <w:lvlJc w:val="left"/>
      <w:pPr>
        <w:ind w:left="720" w:hanging="360"/>
      </w:pPr>
      <w:rPr>
        <w:rFonts w:ascii="Symbol" w:hAnsi="Symbol"/>
      </w:rPr>
    </w:lvl>
    <w:lvl w:ilvl="1" w:tplc="B4D62826">
      <w:start w:val="1"/>
      <w:numFmt w:val="bullet"/>
      <w:lvlText w:val=""/>
      <w:lvlJc w:val="left"/>
      <w:pPr>
        <w:ind w:left="720" w:hanging="360"/>
      </w:pPr>
      <w:rPr>
        <w:rFonts w:ascii="Symbol" w:hAnsi="Symbol"/>
      </w:rPr>
    </w:lvl>
    <w:lvl w:ilvl="2" w:tplc="83FCF82E">
      <w:start w:val="1"/>
      <w:numFmt w:val="bullet"/>
      <w:lvlText w:val=""/>
      <w:lvlJc w:val="left"/>
      <w:pPr>
        <w:ind w:left="720" w:hanging="360"/>
      </w:pPr>
      <w:rPr>
        <w:rFonts w:ascii="Symbol" w:hAnsi="Symbol"/>
      </w:rPr>
    </w:lvl>
    <w:lvl w:ilvl="3" w:tplc="AD9E195A">
      <w:start w:val="1"/>
      <w:numFmt w:val="bullet"/>
      <w:lvlText w:val=""/>
      <w:lvlJc w:val="left"/>
      <w:pPr>
        <w:ind w:left="720" w:hanging="360"/>
      </w:pPr>
      <w:rPr>
        <w:rFonts w:ascii="Symbol" w:hAnsi="Symbol"/>
      </w:rPr>
    </w:lvl>
    <w:lvl w:ilvl="4" w:tplc="EC842046">
      <w:start w:val="1"/>
      <w:numFmt w:val="bullet"/>
      <w:lvlText w:val=""/>
      <w:lvlJc w:val="left"/>
      <w:pPr>
        <w:ind w:left="720" w:hanging="360"/>
      </w:pPr>
      <w:rPr>
        <w:rFonts w:ascii="Symbol" w:hAnsi="Symbol"/>
      </w:rPr>
    </w:lvl>
    <w:lvl w:ilvl="5" w:tplc="8DDCBD92">
      <w:start w:val="1"/>
      <w:numFmt w:val="bullet"/>
      <w:lvlText w:val=""/>
      <w:lvlJc w:val="left"/>
      <w:pPr>
        <w:ind w:left="720" w:hanging="360"/>
      </w:pPr>
      <w:rPr>
        <w:rFonts w:ascii="Symbol" w:hAnsi="Symbol"/>
      </w:rPr>
    </w:lvl>
    <w:lvl w:ilvl="6" w:tplc="3D8EFA56">
      <w:start w:val="1"/>
      <w:numFmt w:val="bullet"/>
      <w:lvlText w:val=""/>
      <w:lvlJc w:val="left"/>
      <w:pPr>
        <w:ind w:left="720" w:hanging="360"/>
      </w:pPr>
      <w:rPr>
        <w:rFonts w:ascii="Symbol" w:hAnsi="Symbol"/>
      </w:rPr>
    </w:lvl>
    <w:lvl w:ilvl="7" w:tplc="513E2460">
      <w:start w:val="1"/>
      <w:numFmt w:val="bullet"/>
      <w:lvlText w:val=""/>
      <w:lvlJc w:val="left"/>
      <w:pPr>
        <w:ind w:left="720" w:hanging="360"/>
      </w:pPr>
      <w:rPr>
        <w:rFonts w:ascii="Symbol" w:hAnsi="Symbol"/>
      </w:rPr>
    </w:lvl>
    <w:lvl w:ilvl="8" w:tplc="F7BC8940">
      <w:start w:val="1"/>
      <w:numFmt w:val="bullet"/>
      <w:lvlText w:val=""/>
      <w:lvlJc w:val="left"/>
      <w:pPr>
        <w:ind w:left="720" w:hanging="360"/>
      </w:pPr>
      <w:rPr>
        <w:rFonts w:ascii="Symbol" w:hAnsi="Symbol"/>
      </w:rPr>
    </w:lvl>
  </w:abstractNum>
  <w:abstractNum w:abstractNumId="14"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0D412A04"/>
    <w:multiLevelType w:val="hybridMultilevel"/>
    <w:tmpl w:val="3AA4F956"/>
    <w:lvl w:ilvl="0" w:tplc="ECB6BD72">
      <w:start w:val="1"/>
      <w:numFmt w:val="decimal"/>
      <w:lvlText w:val="%1)"/>
      <w:lvlJc w:val="left"/>
      <w:pPr>
        <w:ind w:left="720" w:hanging="360"/>
      </w:pPr>
    </w:lvl>
    <w:lvl w:ilvl="1" w:tplc="6CDA7DCC">
      <w:start w:val="1"/>
      <w:numFmt w:val="decimal"/>
      <w:lvlText w:val="%2)"/>
      <w:lvlJc w:val="left"/>
      <w:pPr>
        <w:ind w:left="720" w:hanging="360"/>
      </w:pPr>
    </w:lvl>
    <w:lvl w:ilvl="2" w:tplc="8C3425A0">
      <w:start w:val="1"/>
      <w:numFmt w:val="decimal"/>
      <w:lvlText w:val="%3)"/>
      <w:lvlJc w:val="left"/>
      <w:pPr>
        <w:ind w:left="720" w:hanging="360"/>
      </w:pPr>
    </w:lvl>
    <w:lvl w:ilvl="3" w:tplc="B91E4012">
      <w:start w:val="1"/>
      <w:numFmt w:val="decimal"/>
      <w:lvlText w:val="%4)"/>
      <w:lvlJc w:val="left"/>
      <w:pPr>
        <w:ind w:left="720" w:hanging="360"/>
      </w:pPr>
    </w:lvl>
    <w:lvl w:ilvl="4" w:tplc="422E6AF4">
      <w:start w:val="1"/>
      <w:numFmt w:val="decimal"/>
      <w:lvlText w:val="%5)"/>
      <w:lvlJc w:val="left"/>
      <w:pPr>
        <w:ind w:left="720" w:hanging="360"/>
      </w:pPr>
    </w:lvl>
    <w:lvl w:ilvl="5" w:tplc="8D800672">
      <w:start w:val="1"/>
      <w:numFmt w:val="decimal"/>
      <w:lvlText w:val="%6)"/>
      <w:lvlJc w:val="left"/>
      <w:pPr>
        <w:ind w:left="720" w:hanging="360"/>
      </w:pPr>
    </w:lvl>
    <w:lvl w:ilvl="6" w:tplc="C7BAA382">
      <w:start w:val="1"/>
      <w:numFmt w:val="decimal"/>
      <w:lvlText w:val="%7)"/>
      <w:lvlJc w:val="left"/>
      <w:pPr>
        <w:ind w:left="720" w:hanging="360"/>
      </w:pPr>
    </w:lvl>
    <w:lvl w:ilvl="7" w:tplc="421A35A2">
      <w:start w:val="1"/>
      <w:numFmt w:val="decimal"/>
      <w:lvlText w:val="%8)"/>
      <w:lvlJc w:val="left"/>
      <w:pPr>
        <w:ind w:left="720" w:hanging="360"/>
      </w:pPr>
    </w:lvl>
    <w:lvl w:ilvl="8" w:tplc="FF728628">
      <w:start w:val="1"/>
      <w:numFmt w:val="decimal"/>
      <w:lvlText w:val="%9)"/>
      <w:lvlJc w:val="left"/>
      <w:pPr>
        <w:ind w:left="720" w:hanging="360"/>
      </w:pPr>
    </w:lvl>
  </w:abstractNum>
  <w:abstractNum w:abstractNumId="16" w15:restartNumberingAfterBreak="0">
    <w:nsid w:val="0E5D33F4"/>
    <w:multiLevelType w:val="hybridMultilevel"/>
    <w:tmpl w:val="878C7186"/>
    <w:lvl w:ilvl="0" w:tplc="88243AE0">
      <w:start w:val="1"/>
      <w:numFmt w:val="lowerLetter"/>
      <w:lvlText w:val="%1)"/>
      <w:lvlJc w:val="left"/>
      <w:pPr>
        <w:ind w:left="1020" w:hanging="360"/>
      </w:pPr>
    </w:lvl>
    <w:lvl w:ilvl="1" w:tplc="3574F01C">
      <w:start w:val="1"/>
      <w:numFmt w:val="lowerLetter"/>
      <w:lvlText w:val="%2)"/>
      <w:lvlJc w:val="left"/>
      <w:pPr>
        <w:ind w:left="1020" w:hanging="360"/>
      </w:pPr>
    </w:lvl>
    <w:lvl w:ilvl="2" w:tplc="07F0CA84">
      <w:start w:val="1"/>
      <w:numFmt w:val="lowerLetter"/>
      <w:lvlText w:val="%3)"/>
      <w:lvlJc w:val="left"/>
      <w:pPr>
        <w:ind w:left="1020" w:hanging="360"/>
      </w:pPr>
    </w:lvl>
    <w:lvl w:ilvl="3" w:tplc="9D94CB5A">
      <w:start w:val="1"/>
      <w:numFmt w:val="lowerLetter"/>
      <w:lvlText w:val="%4)"/>
      <w:lvlJc w:val="left"/>
      <w:pPr>
        <w:ind w:left="1020" w:hanging="360"/>
      </w:pPr>
    </w:lvl>
    <w:lvl w:ilvl="4" w:tplc="F050B5F8">
      <w:start w:val="1"/>
      <w:numFmt w:val="lowerLetter"/>
      <w:lvlText w:val="%5)"/>
      <w:lvlJc w:val="left"/>
      <w:pPr>
        <w:ind w:left="1020" w:hanging="360"/>
      </w:pPr>
    </w:lvl>
    <w:lvl w:ilvl="5" w:tplc="761C9CD8">
      <w:start w:val="1"/>
      <w:numFmt w:val="lowerLetter"/>
      <w:lvlText w:val="%6)"/>
      <w:lvlJc w:val="left"/>
      <w:pPr>
        <w:ind w:left="1020" w:hanging="360"/>
      </w:pPr>
    </w:lvl>
    <w:lvl w:ilvl="6" w:tplc="B92EC474">
      <w:start w:val="1"/>
      <w:numFmt w:val="lowerLetter"/>
      <w:lvlText w:val="%7)"/>
      <w:lvlJc w:val="left"/>
      <w:pPr>
        <w:ind w:left="1020" w:hanging="360"/>
      </w:pPr>
    </w:lvl>
    <w:lvl w:ilvl="7" w:tplc="44EEDA96">
      <w:start w:val="1"/>
      <w:numFmt w:val="lowerLetter"/>
      <w:lvlText w:val="%8)"/>
      <w:lvlJc w:val="left"/>
      <w:pPr>
        <w:ind w:left="1020" w:hanging="360"/>
      </w:pPr>
    </w:lvl>
    <w:lvl w:ilvl="8" w:tplc="37E6CCEC">
      <w:start w:val="1"/>
      <w:numFmt w:val="lowerLetter"/>
      <w:lvlText w:val="%9)"/>
      <w:lvlJc w:val="left"/>
      <w:pPr>
        <w:ind w:left="1020" w:hanging="360"/>
      </w:pPr>
    </w:lvl>
  </w:abstractNum>
  <w:abstractNum w:abstractNumId="17" w15:restartNumberingAfterBreak="0">
    <w:nsid w:val="1A334132"/>
    <w:multiLevelType w:val="hybridMultilevel"/>
    <w:tmpl w:val="D36A4726"/>
    <w:lvl w:ilvl="0" w:tplc="08B8BBA8">
      <w:start w:val="1"/>
      <w:numFmt w:val="bullet"/>
      <w:lvlText w:val=""/>
      <w:lvlJc w:val="left"/>
      <w:pPr>
        <w:ind w:left="720" w:hanging="360"/>
      </w:pPr>
      <w:rPr>
        <w:rFonts w:ascii="Symbol" w:hAnsi="Symbol"/>
      </w:rPr>
    </w:lvl>
    <w:lvl w:ilvl="1" w:tplc="BEA09C74">
      <w:start w:val="1"/>
      <w:numFmt w:val="bullet"/>
      <w:lvlText w:val=""/>
      <w:lvlJc w:val="left"/>
      <w:pPr>
        <w:ind w:left="720" w:hanging="360"/>
      </w:pPr>
      <w:rPr>
        <w:rFonts w:ascii="Symbol" w:hAnsi="Symbol"/>
      </w:rPr>
    </w:lvl>
    <w:lvl w:ilvl="2" w:tplc="BA783AF4">
      <w:start w:val="1"/>
      <w:numFmt w:val="bullet"/>
      <w:lvlText w:val=""/>
      <w:lvlJc w:val="left"/>
      <w:pPr>
        <w:ind w:left="720" w:hanging="360"/>
      </w:pPr>
      <w:rPr>
        <w:rFonts w:ascii="Symbol" w:hAnsi="Symbol"/>
      </w:rPr>
    </w:lvl>
    <w:lvl w:ilvl="3" w:tplc="F12014A8">
      <w:start w:val="1"/>
      <w:numFmt w:val="bullet"/>
      <w:lvlText w:val=""/>
      <w:lvlJc w:val="left"/>
      <w:pPr>
        <w:ind w:left="720" w:hanging="360"/>
      </w:pPr>
      <w:rPr>
        <w:rFonts w:ascii="Symbol" w:hAnsi="Symbol"/>
      </w:rPr>
    </w:lvl>
    <w:lvl w:ilvl="4" w:tplc="C554A632">
      <w:start w:val="1"/>
      <w:numFmt w:val="bullet"/>
      <w:lvlText w:val=""/>
      <w:lvlJc w:val="left"/>
      <w:pPr>
        <w:ind w:left="720" w:hanging="360"/>
      </w:pPr>
      <w:rPr>
        <w:rFonts w:ascii="Symbol" w:hAnsi="Symbol"/>
      </w:rPr>
    </w:lvl>
    <w:lvl w:ilvl="5" w:tplc="62CA5464">
      <w:start w:val="1"/>
      <w:numFmt w:val="bullet"/>
      <w:lvlText w:val=""/>
      <w:lvlJc w:val="left"/>
      <w:pPr>
        <w:ind w:left="720" w:hanging="360"/>
      </w:pPr>
      <w:rPr>
        <w:rFonts w:ascii="Symbol" w:hAnsi="Symbol"/>
      </w:rPr>
    </w:lvl>
    <w:lvl w:ilvl="6" w:tplc="DEBED124">
      <w:start w:val="1"/>
      <w:numFmt w:val="bullet"/>
      <w:lvlText w:val=""/>
      <w:lvlJc w:val="left"/>
      <w:pPr>
        <w:ind w:left="720" w:hanging="360"/>
      </w:pPr>
      <w:rPr>
        <w:rFonts w:ascii="Symbol" w:hAnsi="Symbol"/>
      </w:rPr>
    </w:lvl>
    <w:lvl w:ilvl="7" w:tplc="F66E613A">
      <w:start w:val="1"/>
      <w:numFmt w:val="bullet"/>
      <w:lvlText w:val=""/>
      <w:lvlJc w:val="left"/>
      <w:pPr>
        <w:ind w:left="720" w:hanging="360"/>
      </w:pPr>
      <w:rPr>
        <w:rFonts w:ascii="Symbol" w:hAnsi="Symbol"/>
      </w:rPr>
    </w:lvl>
    <w:lvl w:ilvl="8" w:tplc="740A05F4">
      <w:start w:val="1"/>
      <w:numFmt w:val="bullet"/>
      <w:lvlText w:val=""/>
      <w:lvlJc w:val="left"/>
      <w:pPr>
        <w:ind w:left="720" w:hanging="360"/>
      </w:pPr>
      <w:rPr>
        <w:rFonts w:ascii="Symbol" w:hAnsi="Symbol"/>
      </w:rPr>
    </w:lvl>
  </w:abstractNum>
  <w:abstractNum w:abstractNumId="18"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E2105A"/>
    <w:multiLevelType w:val="hybridMultilevel"/>
    <w:tmpl w:val="E2C65A1E"/>
    <w:lvl w:ilvl="0" w:tplc="BC86E59C">
      <w:start w:val="1"/>
      <w:numFmt w:val="decimal"/>
      <w:lvlText w:val="%1)"/>
      <w:lvlJc w:val="left"/>
      <w:pPr>
        <w:ind w:left="720" w:hanging="360"/>
      </w:pPr>
    </w:lvl>
    <w:lvl w:ilvl="1" w:tplc="30C8CB78">
      <w:start w:val="1"/>
      <w:numFmt w:val="decimal"/>
      <w:lvlText w:val="%2)"/>
      <w:lvlJc w:val="left"/>
      <w:pPr>
        <w:ind w:left="720" w:hanging="360"/>
      </w:pPr>
    </w:lvl>
    <w:lvl w:ilvl="2" w:tplc="50EA9690">
      <w:start w:val="1"/>
      <w:numFmt w:val="decimal"/>
      <w:lvlText w:val="%3)"/>
      <w:lvlJc w:val="left"/>
      <w:pPr>
        <w:ind w:left="720" w:hanging="360"/>
      </w:pPr>
    </w:lvl>
    <w:lvl w:ilvl="3" w:tplc="7E46BC0E">
      <w:start w:val="1"/>
      <w:numFmt w:val="decimal"/>
      <w:lvlText w:val="%4)"/>
      <w:lvlJc w:val="left"/>
      <w:pPr>
        <w:ind w:left="720" w:hanging="360"/>
      </w:pPr>
    </w:lvl>
    <w:lvl w:ilvl="4" w:tplc="1FE032F8">
      <w:start w:val="1"/>
      <w:numFmt w:val="decimal"/>
      <w:lvlText w:val="%5)"/>
      <w:lvlJc w:val="left"/>
      <w:pPr>
        <w:ind w:left="720" w:hanging="360"/>
      </w:pPr>
    </w:lvl>
    <w:lvl w:ilvl="5" w:tplc="C57471D0">
      <w:start w:val="1"/>
      <w:numFmt w:val="decimal"/>
      <w:lvlText w:val="%6)"/>
      <w:lvlJc w:val="left"/>
      <w:pPr>
        <w:ind w:left="720" w:hanging="360"/>
      </w:pPr>
    </w:lvl>
    <w:lvl w:ilvl="6" w:tplc="DC6CCDDC">
      <w:start w:val="1"/>
      <w:numFmt w:val="decimal"/>
      <w:lvlText w:val="%7)"/>
      <w:lvlJc w:val="left"/>
      <w:pPr>
        <w:ind w:left="720" w:hanging="360"/>
      </w:pPr>
    </w:lvl>
    <w:lvl w:ilvl="7" w:tplc="016C0A76">
      <w:start w:val="1"/>
      <w:numFmt w:val="decimal"/>
      <w:lvlText w:val="%8)"/>
      <w:lvlJc w:val="left"/>
      <w:pPr>
        <w:ind w:left="720" w:hanging="360"/>
      </w:pPr>
    </w:lvl>
    <w:lvl w:ilvl="8" w:tplc="D390EE26">
      <w:start w:val="1"/>
      <w:numFmt w:val="decimal"/>
      <w:lvlText w:val="%9)"/>
      <w:lvlJc w:val="left"/>
      <w:pPr>
        <w:ind w:left="720" w:hanging="360"/>
      </w:pPr>
    </w:lvl>
  </w:abstractNum>
  <w:abstractNum w:abstractNumId="21" w15:restartNumberingAfterBreak="0">
    <w:nsid w:val="3769640E"/>
    <w:multiLevelType w:val="hybridMultilevel"/>
    <w:tmpl w:val="88B2C000"/>
    <w:lvl w:ilvl="0" w:tplc="67EC6998">
      <w:start w:val="1"/>
      <w:numFmt w:val="bullet"/>
      <w:lvlText w:val=""/>
      <w:lvlJc w:val="left"/>
      <w:pPr>
        <w:ind w:left="720" w:hanging="360"/>
      </w:pPr>
      <w:rPr>
        <w:rFonts w:ascii="Symbol" w:hAnsi="Symbol"/>
      </w:rPr>
    </w:lvl>
    <w:lvl w:ilvl="1" w:tplc="6A1635C2">
      <w:start w:val="1"/>
      <w:numFmt w:val="bullet"/>
      <w:lvlText w:val=""/>
      <w:lvlJc w:val="left"/>
      <w:pPr>
        <w:ind w:left="720" w:hanging="360"/>
      </w:pPr>
      <w:rPr>
        <w:rFonts w:ascii="Symbol" w:hAnsi="Symbol"/>
      </w:rPr>
    </w:lvl>
    <w:lvl w:ilvl="2" w:tplc="D67E177E">
      <w:start w:val="1"/>
      <w:numFmt w:val="bullet"/>
      <w:lvlText w:val=""/>
      <w:lvlJc w:val="left"/>
      <w:pPr>
        <w:ind w:left="720" w:hanging="360"/>
      </w:pPr>
      <w:rPr>
        <w:rFonts w:ascii="Symbol" w:hAnsi="Symbol"/>
      </w:rPr>
    </w:lvl>
    <w:lvl w:ilvl="3" w:tplc="BCBC09D0">
      <w:start w:val="1"/>
      <w:numFmt w:val="bullet"/>
      <w:lvlText w:val=""/>
      <w:lvlJc w:val="left"/>
      <w:pPr>
        <w:ind w:left="720" w:hanging="360"/>
      </w:pPr>
      <w:rPr>
        <w:rFonts w:ascii="Symbol" w:hAnsi="Symbol"/>
      </w:rPr>
    </w:lvl>
    <w:lvl w:ilvl="4" w:tplc="F31E7A54">
      <w:start w:val="1"/>
      <w:numFmt w:val="bullet"/>
      <w:lvlText w:val=""/>
      <w:lvlJc w:val="left"/>
      <w:pPr>
        <w:ind w:left="720" w:hanging="360"/>
      </w:pPr>
      <w:rPr>
        <w:rFonts w:ascii="Symbol" w:hAnsi="Symbol"/>
      </w:rPr>
    </w:lvl>
    <w:lvl w:ilvl="5" w:tplc="660679DA">
      <w:start w:val="1"/>
      <w:numFmt w:val="bullet"/>
      <w:lvlText w:val=""/>
      <w:lvlJc w:val="left"/>
      <w:pPr>
        <w:ind w:left="720" w:hanging="360"/>
      </w:pPr>
      <w:rPr>
        <w:rFonts w:ascii="Symbol" w:hAnsi="Symbol"/>
      </w:rPr>
    </w:lvl>
    <w:lvl w:ilvl="6" w:tplc="0DF82A50">
      <w:start w:val="1"/>
      <w:numFmt w:val="bullet"/>
      <w:lvlText w:val=""/>
      <w:lvlJc w:val="left"/>
      <w:pPr>
        <w:ind w:left="720" w:hanging="360"/>
      </w:pPr>
      <w:rPr>
        <w:rFonts w:ascii="Symbol" w:hAnsi="Symbol"/>
      </w:rPr>
    </w:lvl>
    <w:lvl w:ilvl="7" w:tplc="C4929B5E">
      <w:start w:val="1"/>
      <w:numFmt w:val="bullet"/>
      <w:lvlText w:val=""/>
      <w:lvlJc w:val="left"/>
      <w:pPr>
        <w:ind w:left="720" w:hanging="360"/>
      </w:pPr>
      <w:rPr>
        <w:rFonts w:ascii="Symbol" w:hAnsi="Symbol"/>
      </w:rPr>
    </w:lvl>
    <w:lvl w:ilvl="8" w:tplc="D7FA44A6">
      <w:start w:val="1"/>
      <w:numFmt w:val="bullet"/>
      <w:lvlText w:val=""/>
      <w:lvlJc w:val="left"/>
      <w:pPr>
        <w:ind w:left="720" w:hanging="360"/>
      </w:pPr>
      <w:rPr>
        <w:rFonts w:ascii="Symbol" w:hAnsi="Symbol"/>
      </w:rPr>
    </w:lvl>
  </w:abstractNum>
  <w:abstractNum w:abstractNumId="22"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3" w15:restartNumberingAfterBreak="0">
    <w:nsid w:val="461A1A43"/>
    <w:multiLevelType w:val="hybridMultilevel"/>
    <w:tmpl w:val="70909D6E"/>
    <w:lvl w:ilvl="0" w:tplc="29E212D0">
      <w:start w:val="1"/>
      <w:numFmt w:val="bullet"/>
      <w:lvlText w:val=""/>
      <w:lvlJc w:val="left"/>
      <w:pPr>
        <w:ind w:left="720" w:hanging="360"/>
      </w:pPr>
      <w:rPr>
        <w:rFonts w:ascii="Symbol" w:hAnsi="Symbol"/>
      </w:rPr>
    </w:lvl>
    <w:lvl w:ilvl="1" w:tplc="3BB0482A">
      <w:start w:val="1"/>
      <w:numFmt w:val="bullet"/>
      <w:lvlText w:val=""/>
      <w:lvlJc w:val="left"/>
      <w:pPr>
        <w:ind w:left="720" w:hanging="360"/>
      </w:pPr>
      <w:rPr>
        <w:rFonts w:ascii="Symbol" w:hAnsi="Symbol"/>
      </w:rPr>
    </w:lvl>
    <w:lvl w:ilvl="2" w:tplc="E19231DA">
      <w:start w:val="1"/>
      <w:numFmt w:val="bullet"/>
      <w:lvlText w:val=""/>
      <w:lvlJc w:val="left"/>
      <w:pPr>
        <w:ind w:left="720" w:hanging="360"/>
      </w:pPr>
      <w:rPr>
        <w:rFonts w:ascii="Symbol" w:hAnsi="Symbol"/>
      </w:rPr>
    </w:lvl>
    <w:lvl w:ilvl="3" w:tplc="E5686AEA">
      <w:start w:val="1"/>
      <w:numFmt w:val="bullet"/>
      <w:lvlText w:val=""/>
      <w:lvlJc w:val="left"/>
      <w:pPr>
        <w:ind w:left="720" w:hanging="360"/>
      </w:pPr>
      <w:rPr>
        <w:rFonts w:ascii="Symbol" w:hAnsi="Symbol"/>
      </w:rPr>
    </w:lvl>
    <w:lvl w:ilvl="4" w:tplc="ECE80442">
      <w:start w:val="1"/>
      <w:numFmt w:val="bullet"/>
      <w:lvlText w:val=""/>
      <w:lvlJc w:val="left"/>
      <w:pPr>
        <w:ind w:left="720" w:hanging="360"/>
      </w:pPr>
      <w:rPr>
        <w:rFonts w:ascii="Symbol" w:hAnsi="Symbol"/>
      </w:rPr>
    </w:lvl>
    <w:lvl w:ilvl="5" w:tplc="A8F66176">
      <w:start w:val="1"/>
      <w:numFmt w:val="bullet"/>
      <w:lvlText w:val=""/>
      <w:lvlJc w:val="left"/>
      <w:pPr>
        <w:ind w:left="720" w:hanging="360"/>
      </w:pPr>
      <w:rPr>
        <w:rFonts w:ascii="Symbol" w:hAnsi="Symbol"/>
      </w:rPr>
    </w:lvl>
    <w:lvl w:ilvl="6" w:tplc="3FC4C25C">
      <w:start w:val="1"/>
      <w:numFmt w:val="bullet"/>
      <w:lvlText w:val=""/>
      <w:lvlJc w:val="left"/>
      <w:pPr>
        <w:ind w:left="720" w:hanging="360"/>
      </w:pPr>
      <w:rPr>
        <w:rFonts w:ascii="Symbol" w:hAnsi="Symbol"/>
      </w:rPr>
    </w:lvl>
    <w:lvl w:ilvl="7" w:tplc="BCB4E646">
      <w:start w:val="1"/>
      <w:numFmt w:val="bullet"/>
      <w:lvlText w:val=""/>
      <w:lvlJc w:val="left"/>
      <w:pPr>
        <w:ind w:left="720" w:hanging="360"/>
      </w:pPr>
      <w:rPr>
        <w:rFonts w:ascii="Symbol" w:hAnsi="Symbol"/>
      </w:rPr>
    </w:lvl>
    <w:lvl w:ilvl="8" w:tplc="8E664D22">
      <w:start w:val="1"/>
      <w:numFmt w:val="bullet"/>
      <w:lvlText w:val=""/>
      <w:lvlJc w:val="left"/>
      <w:pPr>
        <w:ind w:left="720" w:hanging="360"/>
      </w:pPr>
      <w:rPr>
        <w:rFonts w:ascii="Symbol" w:hAnsi="Symbol"/>
      </w:rPr>
    </w:lvl>
  </w:abstractNum>
  <w:abstractNum w:abstractNumId="24" w15:restartNumberingAfterBreak="0">
    <w:nsid w:val="46C41036"/>
    <w:multiLevelType w:val="hybridMultilevel"/>
    <w:tmpl w:val="401268BC"/>
    <w:lvl w:ilvl="0" w:tplc="51C45B6C">
      <w:start w:val="1"/>
      <w:numFmt w:val="decimal"/>
      <w:lvlText w:val="%1)"/>
      <w:lvlJc w:val="left"/>
      <w:pPr>
        <w:ind w:left="1020" w:hanging="360"/>
      </w:pPr>
    </w:lvl>
    <w:lvl w:ilvl="1" w:tplc="964C4B22">
      <w:start w:val="1"/>
      <w:numFmt w:val="decimal"/>
      <w:lvlText w:val="%2)"/>
      <w:lvlJc w:val="left"/>
      <w:pPr>
        <w:ind w:left="1020" w:hanging="360"/>
      </w:pPr>
    </w:lvl>
    <w:lvl w:ilvl="2" w:tplc="AE64D194">
      <w:start w:val="1"/>
      <w:numFmt w:val="decimal"/>
      <w:lvlText w:val="%3)"/>
      <w:lvlJc w:val="left"/>
      <w:pPr>
        <w:ind w:left="1020" w:hanging="360"/>
      </w:pPr>
    </w:lvl>
    <w:lvl w:ilvl="3" w:tplc="A36C02BC">
      <w:start w:val="1"/>
      <w:numFmt w:val="decimal"/>
      <w:lvlText w:val="%4)"/>
      <w:lvlJc w:val="left"/>
      <w:pPr>
        <w:ind w:left="1020" w:hanging="360"/>
      </w:pPr>
    </w:lvl>
    <w:lvl w:ilvl="4" w:tplc="23721C1E">
      <w:start w:val="1"/>
      <w:numFmt w:val="decimal"/>
      <w:lvlText w:val="%5)"/>
      <w:lvlJc w:val="left"/>
      <w:pPr>
        <w:ind w:left="1020" w:hanging="360"/>
      </w:pPr>
    </w:lvl>
    <w:lvl w:ilvl="5" w:tplc="F918A5F0">
      <w:start w:val="1"/>
      <w:numFmt w:val="decimal"/>
      <w:lvlText w:val="%6)"/>
      <w:lvlJc w:val="left"/>
      <w:pPr>
        <w:ind w:left="1020" w:hanging="360"/>
      </w:pPr>
    </w:lvl>
    <w:lvl w:ilvl="6" w:tplc="9AD68E24">
      <w:start w:val="1"/>
      <w:numFmt w:val="decimal"/>
      <w:lvlText w:val="%7)"/>
      <w:lvlJc w:val="left"/>
      <w:pPr>
        <w:ind w:left="1020" w:hanging="360"/>
      </w:pPr>
    </w:lvl>
    <w:lvl w:ilvl="7" w:tplc="62FAB0A4">
      <w:start w:val="1"/>
      <w:numFmt w:val="decimal"/>
      <w:lvlText w:val="%8)"/>
      <w:lvlJc w:val="left"/>
      <w:pPr>
        <w:ind w:left="1020" w:hanging="360"/>
      </w:pPr>
    </w:lvl>
    <w:lvl w:ilvl="8" w:tplc="18D86D70">
      <w:start w:val="1"/>
      <w:numFmt w:val="decimal"/>
      <w:lvlText w:val="%9)"/>
      <w:lvlJc w:val="left"/>
      <w:pPr>
        <w:ind w:left="1020" w:hanging="360"/>
      </w:pPr>
    </w:lvl>
  </w:abstractNum>
  <w:abstractNum w:abstractNumId="25" w15:restartNumberingAfterBreak="0">
    <w:nsid w:val="47763EC1"/>
    <w:multiLevelType w:val="hybridMultilevel"/>
    <w:tmpl w:val="53068A70"/>
    <w:lvl w:ilvl="0" w:tplc="7456931C">
      <w:start w:val="1"/>
      <w:numFmt w:val="decimal"/>
      <w:lvlText w:val="%1)"/>
      <w:lvlJc w:val="left"/>
      <w:pPr>
        <w:ind w:left="1020" w:hanging="360"/>
      </w:pPr>
    </w:lvl>
    <w:lvl w:ilvl="1" w:tplc="3048B970">
      <w:start w:val="1"/>
      <w:numFmt w:val="decimal"/>
      <w:lvlText w:val="%2)"/>
      <w:lvlJc w:val="left"/>
      <w:pPr>
        <w:ind w:left="1020" w:hanging="360"/>
      </w:pPr>
    </w:lvl>
    <w:lvl w:ilvl="2" w:tplc="9FC84130">
      <w:start w:val="1"/>
      <w:numFmt w:val="decimal"/>
      <w:lvlText w:val="%3)"/>
      <w:lvlJc w:val="left"/>
      <w:pPr>
        <w:ind w:left="1020" w:hanging="360"/>
      </w:pPr>
    </w:lvl>
    <w:lvl w:ilvl="3" w:tplc="191493BC">
      <w:start w:val="1"/>
      <w:numFmt w:val="decimal"/>
      <w:lvlText w:val="%4)"/>
      <w:lvlJc w:val="left"/>
      <w:pPr>
        <w:ind w:left="1020" w:hanging="360"/>
      </w:pPr>
    </w:lvl>
    <w:lvl w:ilvl="4" w:tplc="11F2ECBA">
      <w:start w:val="1"/>
      <w:numFmt w:val="decimal"/>
      <w:lvlText w:val="%5)"/>
      <w:lvlJc w:val="left"/>
      <w:pPr>
        <w:ind w:left="1020" w:hanging="360"/>
      </w:pPr>
    </w:lvl>
    <w:lvl w:ilvl="5" w:tplc="5DD65628">
      <w:start w:val="1"/>
      <w:numFmt w:val="decimal"/>
      <w:lvlText w:val="%6)"/>
      <w:lvlJc w:val="left"/>
      <w:pPr>
        <w:ind w:left="1020" w:hanging="360"/>
      </w:pPr>
    </w:lvl>
    <w:lvl w:ilvl="6" w:tplc="C6CC37C8">
      <w:start w:val="1"/>
      <w:numFmt w:val="decimal"/>
      <w:lvlText w:val="%7)"/>
      <w:lvlJc w:val="left"/>
      <w:pPr>
        <w:ind w:left="1020" w:hanging="360"/>
      </w:pPr>
    </w:lvl>
    <w:lvl w:ilvl="7" w:tplc="83F0FA20">
      <w:start w:val="1"/>
      <w:numFmt w:val="decimal"/>
      <w:lvlText w:val="%8)"/>
      <w:lvlJc w:val="left"/>
      <w:pPr>
        <w:ind w:left="1020" w:hanging="360"/>
      </w:pPr>
    </w:lvl>
    <w:lvl w:ilvl="8" w:tplc="4F747146">
      <w:start w:val="1"/>
      <w:numFmt w:val="decimal"/>
      <w:lvlText w:val="%9)"/>
      <w:lvlJc w:val="left"/>
      <w:pPr>
        <w:ind w:left="1020" w:hanging="360"/>
      </w:pPr>
    </w:lvl>
  </w:abstractNum>
  <w:abstractNum w:abstractNumId="26" w15:restartNumberingAfterBreak="0">
    <w:nsid w:val="47E43854"/>
    <w:multiLevelType w:val="hybridMultilevel"/>
    <w:tmpl w:val="6F2C6194"/>
    <w:lvl w:ilvl="0" w:tplc="C43E2F6C">
      <w:start w:val="1"/>
      <w:numFmt w:val="lowerLetter"/>
      <w:lvlText w:val="%1)"/>
      <w:lvlJc w:val="left"/>
      <w:pPr>
        <w:ind w:left="720" w:hanging="360"/>
      </w:pPr>
    </w:lvl>
    <w:lvl w:ilvl="1" w:tplc="A20AE486">
      <w:start w:val="1"/>
      <w:numFmt w:val="lowerLetter"/>
      <w:lvlText w:val="%2)"/>
      <w:lvlJc w:val="left"/>
      <w:pPr>
        <w:ind w:left="720" w:hanging="360"/>
      </w:pPr>
    </w:lvl>
    <w:lvl w:ilvl="2" w:tplc="72965DC0">
      <w:start w:val="1"/>
      <w:numFmt w:val="lowerLetter"/>
      <w:lvlText w:val="%3)"/>
      <w:lvlJc w:val="left"/>
      <w:pPr>
        <w:ind w:left="720" w:hanging="360"/>
      </w:pPr>
    </w:lvl>
    <w:lvl w:ilvl="3" w:tplc="061CBBCA">
      <w:start w:val="1"/>
      <w:numFmt w:val="lowerLetter"/>
      <w:lvlText w:val="%4)"/>
      <w:lvlJc w:val="left"/>
      <w:pPr>
        <w:ind w:left="720" w:hanging="360"/>
      </w:pPr>
    </w:lvl>
    <w:lvl w:ilvl="4" w:tplc="C316B08E">
      <w:start w:val="1"/>
      <w:numFmt w:val="lowerLetter"/>
      <w:lvlText w:val="%5)"/>
      <w:lvlJc w:val="left"/>
      <w:pPr>
        <w:ind w:left="720" w:hanging="360"/>
      </w:pPr>
    </w:lvl>
    <w:lvl w:ilvl="5" w:tplc="E83852BE">
      <w:start w:val="1"/>
      <w:numFmt w:val="lowerLetter"/>
      <w:lvlText w:val="%6)"/>
      <w:lvlJc w:val="left"/>
      <w:pPr>
        <w:ind w:left="720" w:hanging="360"/>
      </w:pPr>
    </w:lvl>
    <w:lvl w:ilvl="6" w:tplc="B87E6B0C">
      <w:start w:val="1"/>
      <w:numFmt w:val="lowerLetter"/>
      <w:lvlText w:val="%7)"/>
      <w:lvlJc w:val="left"/>
      <w:pPr>
        <w:ind w:left="720" w:hanging="360"/>
      </w:pPr>
    </w:lvl>
    <w:lvl w:ilvl="7" w:tplc="44BA1386">
      <w:start w:val="1"/>
      <w:numFmt w:val="lowerLetter"/>
      <w:lvlText w:val="%8)"/>
      <w:lvlJc w:val="left"/>
      <w:pPr>
        <w:ind w:left="720" w:hanging="360"/>
      </w:pPr>
    </w:lvl>
    <w:lvl w:ilvl="8" w:tplc="41828BB8">
      <w:start w:val="1"/>
      <w:numFmt w:val="lowerLetter"/>
      <w:lvlText w:val="%9)"/>
      <w:lvlJc w:val="left"/>
      <w:pPr>
        <w:ind w:left="720" w:hanging="360"/>
      </w:pPr>
    </w:lvl>
  </w:abstractNum>
  <w:abstractNum w:abstractNumId="27"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9A6671"/>
    <w:multiLevelType w:val="hybridMultilevel"/>
    <w:tmpl w:val="76BECA84"/>
    <w:lvl w:ilvl="0" w:tplc="BDA62028">
      <w:start w:val="1"/>
      <w:numFmt w:val="decimal"/>
      <w:lvlText w:val="%1)"/>
      <w:lvlJc w:val="left"/>
      <w:pPr>
        <w:ind w:left="1020" w:hanging="360"/>
      </w:pPr>
    </w:lvl>
    <w:lvl w:ilvl="1" w:tplc="0F20BD4C">
      <w:start w:val="1"/>
      <w:numFmt w:val="decimal"/>
      <w:lvlText w:val="%2)"/>
      <w:lvlJc w:val="left"/>
      <w:pPr>
        <w:ind w:left="1020" w:hanging="360"/>
      </w:pPr>
    </w:lvl>
    <w:lvl w:ilvl="2" w:tplc="8BD87900">
      <w:start w:val="1"/>
      <w:numFmt w:val="decimal"/>
      <w:lvlText w:val="%3)"/>
      <w:lvlJc w:val="left"/>
      <w:pPr>
        <w:ind w:left="1020" w:hanging="360"/>
      </w:pPr>
    </w:lvl>
    <w:lvl w:ilvl="3" w:tplc="54721934">
      <w:start w:val="1"/>
      <w:numFmt w:val="decimal"/>
      <w:lvlText w:val="%4)"/>
      <w:lvlJc w:val="left"/>
      <w:pPr>
        <w:ind w:left="1020" w:hanging="360"/>
      </w:pPr>
    </w:lvl>
    <w:lvl w:ilvl="4" w:tplc="61C8B442">
      <w:start w:val="1"/>
      <w:numFmt w:val="decimal"/>
      <w:lvlText w:val="%5)"/>
      <w:lvlJc w:val="left"/>
      <w:pPr>
        <w:ind w:left="1020" w:hanging="360"/>
      </w:pPr>
    </w:lvl>
    <w:lvl w:ilvl="5" w:tplc="BF62AB10">
      <w:start w:val="1"/>
      <w:numFmt w:val="decimal"/>
      <w:lvlText w:val="%6)"/>
      <w:lvlJc w:val="left"/>
      <w:pPr>
        <w:ind w:left="1020" w:hanging="360"/>
      </w:pPr>
    </w:lvl>
    <w:lvl w:ilvl="6" w:tplc="1F0EA1D8">
      <w:start w:val="1"/>
      <w:numFmt w:val="decimal"/>
      <w:lvlText w:val="%7)"/>
      <w:lvlJc w:val="left"/>
      <w:pPr>
        <w:ind w:left="1020" w:hanging="360"/>
      </w:pPr>
    </w:lvl>
    <w:lvl w:ilvl="7" w:tplc="477A669E">
      <w:start w:val="1"/>
      <w:numFmt w:val="decimal"/>
      <w:lvlText w:val="%8)"/>
      <w:lvlJc w:val="left"/>
      <w:pPr>
        <w:ind w:left="1020" w:hanging="360"/>
      </w:pPr>
    </w:lvl>
    <w:lvl w:ilvl="8" w:tplc="1EA4BD52">
      <w:start w:val="1"/>
      <w:numFmt w:val="decimal"/>
      <w:lvlText w:val="%9)"/>
      <w:lvlJc w:val="left"/>
      <w:pPr>
        <w:ind w:left="1020" w:hanging="360"/>
      </w:pPr>
    </w:lvl>
  </w:abstractNum>
  <w:abstractNum w:abstractNumId="2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3701A3"/>
    <w:multiLevelType w:val="hybridMultilevel"/>
    <w:tmpl w:val="D3FC2440"/>
    <w:lvl w:ilvl="0" w:tplc="F08A8B20">
      <w:start w:val="1"/>
      <w:numFmt w:val="bullet"/>
      <w:lvlText w:val=""/>
      <w:lvlJc w:val="left"/>
      <w:pPr>
        <w:ind w:left="720" w:hanging="360"/>
      </w:pPr>
      <w:rPr>
        <w:rFonts w:ascii="Symbol" w:hAnsi="Symbol"/>
      </w:rPr>
    </w:lvl>
    <w:lvl w:ilvl="1" w:tplc="DEF609C2">
      <w:start w:val="1"/>
      <w:numFmt w:val="bullet"/>
      <w:lvlText w:val=""/>
      <w:lvlJc w:val="left"/>
      <w:pPr>
        <w:ind w:left="720" w:hanging="360"/>
      </w:pPr>
      <w:rPr>
        <w:rFonts w:ascii="Symbol" w:hAnsi="Symbol"/>
      </w:rPr>
    </w:lvl>
    <w:lvl w:ilvl="2" w:tplc="95569AF4">
      <w:start w:val="1"/>
      <w:numFmt w:val="bullet"/>
      <w:lvlText w:val=""/>
      <w:lvlJc w:val="left"/>
      <w:pPr>
        <w:ind w:left="720" w:hanging="360"/>
      </w:pPr>
      <w:rPr>
        <w:rFonts w:ascii="Symbol" w:hAnsi="Symbol"/>
      </w:rPr>
    </w:lvl>
    <w:lvl w:ilvl="3" w:tplc="2DD24FF6">
      <w:start w:val="1"/>
      <w:numFmt w:val="bullet"/>
      <w:lvlText w:val=""/>
      <w:lvlJc w:val="left"/>
      <w:pPr>
        <w:ind w:left="720" w:hanging="360"/>
      </w:pPr>
      <w:rPr>
        <w:rFonts w:ascii="Symbol" w:hAnsi="Symbol"/>
      </w:rPr>
    </w:lvl>
    <w:lvl w:ilvl="4" w:tplc="1076DF60">
      <w:start w:val="1"/>
      <w:numFmt w:val="bullet"/>
      <w:lvlText w:val=""/>
      <w:lvlJc w:val="left"/>
      <w:pPr>
        <w:ind w:left="720" w:hanging="360"/>
      </w:pPr>
      <w:rPr>
        <w:rFonts w:ascii="Symbol" w:hAnsi="Symbol"/>
      </w:rPr>
    </w:lvl>
    <w:lvl w:ilvl="5" w:tplc="FC6A33BE">
      <w:start w:val="1"/>
      <w:numFmt w:val="bullet"/>
      <w:lvlText w:val=""/>
      <w:lvlJc w:val="left"/>
      <w:pPr>
        <w:ind w:left="720" w:hanging="360"/>
      </w:pPr>
      <w:rPr>
        <w:rFonts w:ascii="Symbol" w:hAnsi="Symbol"/>
      </w:rPr>
    </w:lvl>
    <w:lvl w:ilvl="6" w:tplc="7F8C8D98">
      <w:start w:val="1"/>
      <w:numFmt w:val="bullet"/>
      <w:lvlText w:val=""/>
      <w:lvlJc w:val="left"/>
      <w:pPr>
        <w:ind w:left="720" w:hanging="360"/>
      </w:pPr>
      <w:rPr>
        <w:rFonts w:ascii="Symbol" w:hAnsi="Symbol"/>
      </w:rPr>
    </w:lvl>
    <w:lvl w:ilvl="7" w:tplc="6922A768">
      <w:start w:val="1"/>
      <w:numFmt w:val="bullet"/>
      <w:lvlText w:val=""/>
      <w:lvlJc w:val="left"/>
      <w:pPr>
        <w:ind w:left="720" w:hanging="360"/>
      </w:pPr>
      <w:rPr>
        <w:rFonts w:ascii="Symbol" w:hAnsi="Symbol"/>
      </w:rPr>
    </w:lvl>
    <w:lvl w:ilvl="8" w:tplc="EF5C51C6">
      <w:start w:val="1"/>
      <w:numFmt w:val="bullet"/>
      <w:lvlText w:val=""/>
      <w:lvlJc w:val="left"/>
      <w:pPr>
        <w:ind w:left="720" w:hanging="360"/>
      </w:pPr>
      <w:rPr>
        <w:rFonts w:ascii="Symbol" w:hAnsi="Symbol"/>
      </w:rPr>
    </w:lvl>
  </w:abstractNum>
  <w:abstractNum w:abstractNumId="31" w15:restartNumberingAfterBreak="0">
    <w:nsid w:val="64FA27D5"/>
    <w:multiLevelType w:val="hybridMultilevel"/>
    <w:tmpl w:val="8D2A10FE"/>
    <w:lvl w:ilvl="0" w:tplc="21D651BA">
      <w:start w:val="1"/>
      <w:numFmt w:val="decimal"/>
      <w:lvlText w:val="%1)"/>
      <w:lvlJc w:val="left"/>
      <w:pPr>
        <w:ind w:left="720" w:hanging="360"/>
      </w:pPr>
    </w:lvl>
    <w:lvl w:ilvl="1" w:tplc="BF1C2840">
      <w:start w:val="1"/>
      <w:numFmt w:val="decimal"/>
      <w:lvlText w:val="%2)"/>
      <w:lvlJc w:val="left"/>
      <w:pPr>
        <w:ind w:left="720" w:hanging="360"/>
      </w:pPr>
    </w:lvl>
    <w:lvl w:ilvl="2" w:tplc="79866E1A">
      <w:start w:val="1"/>
      <w:numFmt w:val="decimal"/>
      <w:lvlText w:val="%3)"/>
      <w:lvlJc w:val="left"/>
      <w:pPr>
        <w:ind w:left="720" w:hanging="360"/>
      </w:pPr>
    </w:lvl>
    <w:lvl w:ilvl="3" w:tplc="6E90F794">
      <w:start w:val="1"/>
      <w:numFmt w:val="decimal"/>
      <w:lvlText w:val="%4)"/>
      <w:lvlJc w:val="left"/>
      <w:pPr>
        <w:ind w:left="720" w:hanging="360"/>
      </w:pPr>
    </w:lvl>
    <w:lvl w:ilvl="4" w:tplc="8BEC7528">
      <w:start w:val="1"/>
      <w:numFmt w:val="decimal"/>
      <w:lvlText w:val="%5)"/>
      <w:lvlJc w:val="left"/>
      <w:pPr>
        <w:ind w:left="720" w:hanging="360"/>
      </w:pPr>
    </w:lvl>
    <w:lvl w:ilvl="5" w:tplc="EDD6E30E">
      <w:start w:val="1"/>
      <w:numFmt w:val="decimal"/>
      <w:lvlText w:val="%6)"/>
      <w:lvlJc w:val="left"/>
      <w:pPr>
        <w:ind w:left="720" w:hanging="360"/>
      </w:pPr>
    </w:lvl>
    <w:lvl w:ilvl="6" w:tplc="39223284">
      <w:start w:val="1"/>
      <w:numFmt w:val="decimal"/>
      <w:lvlText w:val="%7)"/>
      <w:lvlJc w:val="left"/>
      <w:pPr>
        <w:ind w:left="720" w:hanging="360"/>
      </w:pPr>
    </w:lvl>
    <w:lvl w:ilvl="7" w:tplc="3A1CA54C">
      <w:start w:val="1"/>
      <w:numFmt w:val="decimal"/>
      <w:lvlText w:val="%8)"/>
      <w:lvlJc w:val="left"/>
      <w:pPr>
        <w:ind w:left="720" w:hanging="360"/>
      </w:pPr>
    </w:lvl>
    <w:lvl w:ilvl="8" w:tplc="EA3248B0">
      <w:start w:val="1"/>
      <w:numFmt w:val="decimal"/>
      <w:lvlText w:val="%9)"/>
      <w:lvlJc w:val="left"/>
      <w:pPr>
        <w:ind w:left="720" w:hanging="360"/>
      </w:pPr>
    </w:lvl>
  </w:abstractNum>
  <w:abstractNum w:abstractNumId="32" w15:restartNumberingAfterBreak="0">
    <w:nsid w:val="70C504AB"/>
    <w:multiLevelType w:val="hybridMultilevel"/>
    <w:tmpl w:val="A1084D9E"/>
    <w:lvl w:ilvl="0" w:tplc="377C1606">
      <w:start w:val="1"/>
      <w:numFmt w:val="decimal"/>
      <w:lvlText w:val="%1."/>
      <w:lvlJc w:val="left"/>
      <w:pPr>
        <w:ind w:left="1020" w:hanging="360"/>
      </w:pPr>
    </w:lvl>
    <w:lvl w:ilvl="1" w:tplc="4A32AFE0">
      <w:start w:val="1"/>
      <w:numFmt w:val="decimal"/>
      <w:lvlText w:val="%2."/>
      <w:lvlJc w:val="left"/>
      <w:pPr>
        <w:ind w:left="1020" w:hanging="360"/>
      </w:pPr>
    </w:lvl>
    <w:lvl w:ilvl="2" w:tplc="A7C24E9C">
      <w:start w:val="1"/>
      <w:numFmt w:val="decimal"/>
      <w:lvlText w:val="%3."/>
      <w:lvlJc w:val="left"/>
      <w:pPr>
        <w:ind w:left="1020" w:hanging="360"/>
      </w:pPr>
    </w:lvl>
    <w:lvl w:ilvl="3" w:tplc="4E268A9C">
      <w:start w:val="1"/>
      <w:numFmt w:val="decimal"/>
      <w:lvlText w:val="%4."/>
      <w:lvlJc w:val="left"/>
      <w:pPr>
        <w:ind w:left="1020" w:hanging="360"/>
      </w:pPr>
    </w:lvl>
    <w:lvl w:ilvl="4" w:tplc="0BC271B2">
      <w:start w:val="1"/>
      <w:numFmt w:val="decimal"/>
      <w:lvlText w:val="%5."/>
      <w:lvlJc w:val="left"/>
      <w:pPr>
        <w:ind w:left="1020" w:hanging="360"/>
      </w:pPr>
    </w:lvl>
    <w:lvl w:ilvl="5" w:tplc="344812BC">
      <w:start w:val="1"/>
      <w:numFmt w:val="decimal"/>
      <w:lvlText w:val="%6."/>
      <w:lvlJc w:val="left"/>
      <w:pPr>
        <w:ind w:left="1020" w:hanging="360"/>
      </w:pPr>
    </w:lvl>
    <w:lvl w:ilvl="6" w:tplc="F32C92D8">
      <w:start w:val="1"/>
      <w:numFmt w:val="decimal"/>
      <w:lvlText w:val="%7."/>
      <w:lvlJc w:val="left"/>
      <w:pPr>
        <w:ind w:left="1020" w:hanging="360"/>
      </w:pPr>
    </w:lvl>
    <w:lvl w:ilvl="7" w:tplc="CC4871A2">
      <w:start w:val="1"/>
      <w:numFmt w:val="decimal"/>
      <w:lvlText w:val="%8."/>
      <w:lvlJc w:val="left"/>
      <w:pPr>
        <w:ind w:left="1020" w:hanging="360"/>
      </w:pPr>
    </w:lvl>
    <w:lvl w:ilvl="8" w:tplc="CE82D57C">
      <w:start w:val="1"/>
      <w:numFmt w:val="decimal"/>
      <w:lvlText w:val="%9."/>
      <w:lvlJc w:val="left"/>
      <w:pPr>
        <w:ind w:left="1020" w:hanging="360"/>
      </w:pPr>
    </w:lvl>
  </w:abstractNum>
  <w:abstractNum w:abstractNumId="33" w15:restartNumberingAfterBreak="0">
    <w:nsid w:val="75EF1925"/>
    <w:multiLevelType w:val="hybridMultilevel"/>
    <w:tmpl w:val="C478E56E"/>
    <w:lvl w:ilvl="0" w:tplc="4828A4C2">
      <w:start w:val="1"/>
      <w:numFmt w:val="decimal"/>
      <w:lvlText w:val="%1)"/>
      <w:lvlJc w:val="left"/>
      <w:pPr>
        <w:ind w:left="1020" w:hanging="360"/>
      </w:pPr>
    </w:lvl>
    <w:lvl w:ilvl="1" w:tplc="45009D68">
      <w:start w:val="1"/>
      <w:numFmt w:val="decimal"/>
      <w:lvlText w:val="%2)"/>
      <w:lvlJc w:val="left"/>
      <w:pPr>
        <w:ind w:left="1020" w:hanging="360"/>
      </w:pPr>
    </w:lvl>
    <w:lvl w:ilvl="2" w:tplc="1962478A">
      <w:start w:val="1"/>
      <w:numFmt w:val="decimal"/>
      <w:lvlText w:val="%3)"/>
      <w:lvlJc w:val="left"/>
      <w:pPr>
        <w:ind w:left="1020" w:hanging="360"/>
      </w:pPr>
    </w:lvl>
    <w:lvl w:ilvl="3" w:tplc="FA9842AC">
      <w:start w:val="1"/>
      <w:numFmt w:val="decimal"/>
      <w:lvlText w:val="%4)"/>
      <w:lvlJc w:val="left"/>
      <w:pPr>
        <w:ind w:left="1020" w:hanging="360"/>
      </w:pPr>
    </w:lvl>
    <w:lvl w:ilvl="4" w:tplc="18806B90">
      <w:start w:val="1"/>
      <w:numFmt w:val="decimal"/>
      <w:lvlText w:val="%5)"/>
      <w:lvlJc w:val="left"/>
      <w:pPr>
        <w:ind w:left="1020" w:hanging="360"/>
      </w:pPr>
    </w:lvl>
    <w:lvl w:ilvl="5" w:tplc="0C72C450">
      <w:start w:val="1"/>
      <w:numFmt w:val="decimal"/>
      <w:lvlText w:val="%6)"/>
      <w:lvlJc w:val="left"/>
      <w:pPr>
        <w:ind w:left="1020" w:hanging="360"/>
      </w:pPr>
    </w:lvl>
    <w:lvl w:ilvl="6" w:tplc="B3C06274">
      <w:start w:val="1"/>
      <w:numFmt w:val="decimal"/>
      <w:lvlText w:val="%7)"/>
      <w:lvlJc w:val="left"/>
      <w:pPr>
        <w:ind w:left="1020" w:hanging="360"/>
      </w:pPr>
    </w:lvl>
    <w:lvl w:ilvl="7" w:tplc="81448D1A">
      <w:start w:val="1"/>
      <w:numFmt w:val="decimal"/>
      <w:lvlText w:val="%8)"/>
      <w:lvlJc w:val="left"/>
      <w:pPr>
        <w:ind w:left="1020" w:hanging="360"/>
      </w:pPr>
    </w:lvl>
    <w:lvl w:ilvl="8" w:tplc="8FB8FE94">
      <w:start w:val="1"/>
      <w:numFmt w:val="decimal"/>
      <w:lvlText w:val="%9)"/>
      <w:lvlJc w:val="left"/>
      <w:pPr>
        <w:ind w:left="1020" w:hanging="360"/>
      </w:pPr>
    </w:lvl>
  </w:abstractNum>
  <w:abstractNum w:abstractNumId="34" w15:restartNumberingAfterBreak="0">
    <w:nsid w:val="7CBB707E"/>
    <w:multiLevelType w:val="hybridMultilevel"/>
    <w:tmpl w:val="B7245812"/>
    <w:lvl w:ilvl="0" w:tplc="121E61EE">
      <w:start w:val="1"/>
      <w:numFmt w:val="decimal"/>
      <w:lvlText w:val="%1)"/>
      <w:lvlJc w:val="left"/>
      <w:pPr>
        <w:ind w:left="720" w:hanging="360"/>
      </w:pPr>
    </w:lvl>
    <w:lvl w:ilvl="1" w:tplc="55147192">
      <w:start w:val="1"/>
      <w:numFmt w:val="decimal"/>
      <w:lvlText w:val="%2)"/>
      <w:lvlJc w:val="left"/>
      <w:pPr>
        <w:ind w:left="720" w:hanging="360"/>
      </w:pPr>
    </w:lvl>
    <w:lvl w:ilvl="2" w:tplc="71E2752E">
      <w:start w:val="1"/>
      <w:numFmt w:val="decimal"/>
      <w:lvlText w:val="%3)"/>
      <w:lvlJc w:val="left"/>
      <w:pPr>
        <w:ind w:left="720" w:hanging="360"/>
      </w:pPr>
    </w:lvl>
    <w:lvl w:ilvl="3" w:tplc="BFD02AA4">
      <w:start w:val="1"/>
      <w:numFmt w:val="decimal"/>
      <w:lvlText w:val="%4)"/>
      <w:lvlJc w:val="left"/>
      <w:pPr>
        <w:ind w:left="720" w:hanging="360"/>
      </w:pPr>
    </w:lvl>
    <w:lvl w:ilvl="4" w:tplc="499EA612">
      <w:start w:val="1"/>
      <w:numFmt w:val="decimal"/>
      <w:lvlText w:val="%5)"/>
      <w:lvlJc w:val="left"/>
      <w:pPr>
        <w:ind w:left="720" w:hanging="360"/>
      </w:pPr>
    </w:lvl>
    <w:lvl w:ilvl="5" w:tplc="8FC61188">
      <w:start w:val="1"/>
      <w:numFmt w:val="decimal"/>
      <w:lvlText w:val="%6)"/>
      <w:lvlJc w:val="left"/>
      <w:pPr>
        <w:ind w:left="720" w:hanging="360"/>
      </w:pPr>
    </w:lvl>
    <w:lvl w:ilvl="6" w:tplc="FDC06898">
      <w:start w:val="1"/>
      <w:numFmt w:val="decimal"/>
      <w:lvlText w:val="%7)"/>
      <w:lvlJc w:val="left"/>
      <w:pPr>
        <w:ind w:left="720" w:hanging="360"/>
      </w:pPr>
    </w:lvl>
    <w:lvl w:ilvl="7" w:tplc="3138B262">
      <w:start w:val="1"/>
      <w:numFmt w:val="decimal"/>
      <w:lvlText w:val="%8)"/>
      <w:lvlJc w:val="left"/>
      <w:pPr>
        <w:ind w:left="720" w:hanging="360"/>
      </w:pPr>
    </w:lvl>
    <w:lvl w:ilvl="8" w:tplc="D9041EA6">
      <w:start w:val="1"/>
      <w:numFmt w:val="decimal"/>
      <w:lvlText w:val="%9)"/>
      <w:lvlJc w:val="left"/>
      <w:pPr>
        <w:ind w:left="720" w:hanging="360"/>
      </w:pPr>
    </w:lvl>
  </w:abstractNum>
  <w:abstractNum w:abstractNumId="35"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2"/>
  </w:num>
  <w:num w:numId="2" w16cid:durableId="375815310">
    <w:abstractNumId w:val="22"/>
  </w:num>
  <w:num w:numId="3" w16cid:durableId="1375159326">
    <w:abstractNumId w:val="35"/>
  </w:num>
  <w:num w:numId="4" w16cid:durableId="1020468450">
    <w:abstractNumId w:val="19"/>
  </w:num>
  <w:num w:numId="5" w16cid:durableId="298609604">
    <w:abstractNumId w:val="2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8"/>
  </w:num>
  <w:num w:numId="17" w16cid:durableId="952325839">
    <w:abstractNumId w:val="27"/>
  </w:num>
  <w:num w:numId="18" w16cid:durableId="586305847">
    <w:abstractNumId w:val="14"/>
  </w:num>
  <w:num w:numId="19" w16cid:durableId="650985869">
    <w:abstractNumId w:val="14"/>
  </w:num>
  <w:num w:numId="20" w16cid:durableId="392234618">
    <w:abstractNumId w:val="16"/>
  </w:num>
  <w:num w:numId="21" w16cid:durableId="301035142">
    <w:abstractNumId w:val="25"/>
  </w:num>
  <w:num w:numId="22" w16cid:durableId="1442148635">
    <w:abstractNumId w:val="26"/>
  </w:num>
  <w:num w:numId="23" w16cid:durableId="1150636677">
    <w:abstractNumId w:val="28"/>
  </w:num>
  <w:num w:numId="24" w16cid:durableId="595290243">
    <w:abstractNumId w:val="15"/>
  </w:num>
  <w:num w:numId="25" w16cid:durableId="1771730455">
    <w:abstractNumId w:val="24"/>
  </w:num>
  <w:num w:numId="26" w16cid:durableId="1806005465">
    <w:abstractNumId w:val="31"/>
  </w:num>
  <w:num w:numId="27" w16cid:durableId="1716806049">
    <w:abstractNumId w:val="20"/>
  </w:num>
  <w:num w:numId="28" w16cid:durableId="372851342">
    <w:abstractNumId w:val="34"/>
  </w:num>
  <w:num w:numId="29" w16cid:durableId="559755668">
    <w:abstractNumId w:val="18"/>
    <w:lvlOverride w:ilvl="0">
      <w:startOverride w:val="1"/>
    </w:lvlOverride>
  </w:num>
  <w:num w:numId="30" w16cid:durableId="911812421">
    <w:abstractNumId w:val="18"/>
    <w:lvlOverride w:ilvl="0">
      <w:startOverride w:val="1"/>
    </w:lvlOverride>
  </w:num>
  <w:num w:numId="31" w16cid:durableId="194736554">
    <w:abstractNumId w:val="33"/>
  </w:num>
  <w:num w:numId="32" w16cid:durableId="1104806045">
    <w:abstractNumId w:val="10"/>
  </w:num>
  <w:num w:numId="33" w16cid:durableId="1952324063">
    <w:abstractNumId w:val="21"/>
  </w:num>
  <w:num w:numId="34" w16cid:durableId="1767076978">
    <w:abstractNumId w:val="17"/>
  </w:num>
  <w:num w:numId="35" w16cid:durableId="1259143579">
    <w:abstractNumId w:val="30"/>
  </w:num>
  <w:num w:numId="36" w16cid:durableId="720640170">
    <w:abstractNumId w:val="11"/>
  </w:num>
  <w:num w:numId="37" w16cid:durableId="1024556769">
    <w:abstractNumId w:val="23"/>
  </w:num>
  <w:num w:numId="38" w16cid:durableId="1879200086">
    <w:abstractNumId w:val="13"/>
  </w:num>
  <w:num w:numId="39" w16cid:durableId="10111093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0E"/>
    <w:rsid w:val="00000634"/>
    <w:rsid w:val="00002069"/>
    <w:rsid w:val="000025F0"/>
    <w:rsid w:val="00002CE6"/>
    <w:rsid w:val="00002D99"/>
    <w:rsid w:val="0000316A"/>
    <w:rsid w:val="00004054"/>
    <w:rsid w:val="0000480B"/>
    <w:rsid w:val="000049B7"/>
    <w:rsid w:val="00004CC4"/>
    <w:rsid w:val="00005B5E"/>
    <w:rsid w:val="00005BE1"/>
    <w:rsid w:val="00005D92"/>
    <w:rsid w:val="00006243"/>
    <w:rsid w:val="0000682A"/>
    <w:rsid w:val="00006DB7"/>
    <w:rsid w:val="00007C2A"/>
    <w:rsid w:val="0001029B"/>
    <w:rsid w:val="00010A88"/>
    <w:rsid w:val="00011258"/>
    <w:rsid w:val="0001358A"/>
    <w:rsid w:val="00013921"/>
    <w:rsid w:val="00013A05"/>
    <w:rsid w:val="00013A40"/>
    <w:rsid w:val="000141CA"/>
    <w:rsid w:val="00014A8F"/>
    <w:rsid w:val="00014B34"/>
    <w:rsid w:val="00015C3B"/>
    <w:rsid w:val="000168C9"/>
    <w:rsid w:val="00016C20"/>
    <w:rsid w:val="00016C9A"/>
    <w:rsid w:val="00016DBB"/>
    <w:rsid w:val="00017144"/>
    <w:rsid w:val="0002023D"/>
    <w:rsid w:val="00020678"/>
    <w:rsid w:val="0002078D"/>
    <w:rsid w:val="00021750"/>
    <w:rsid w:val="00022A53"/>
    <w:rsid w:val="00022C2A"/>
    <w:rsid w:val="00022D04"/>
    <w:rsid w:val="0002316E"/>
    <w:rsid w:val="0002387A"/>
    <w:rsid w:val="0002435F"/>
    <w:rsid w:val="000249A4"/>
    <w:rsid w:val="000250AF"/>
    <w:rsid w:val="00025490"/>
    <w:rsid w:val="0002561E"/>
    <w:rsid w:val="00025CE5"/>
    <w:rsid w:val="00026586"/>
    <w:rsid w:val="000268E1"/>
    <w:rsid w:val="000279B8"/>
    <w:rsid w:val="00030ABB"/>
    <w:rsid w:val="00030ADF"/>
    <w:rsid w:val="0003158D"/>
    <w:rsid w:val="00032053"/>
    <w:rsid w:val="00032F89"/>
    <w:rsid w:val="0003477F"/>
    <w:rsid w:val="00034828"/>
    <w:rsid w:val="0003575A"/>
    <w:rsid w:val="00035A8F"/>
    <w:rsid w:val="00035BDB"/>
    <w:rsid w:val="000360EB"/>
    <w:rsid w:val="00037A5F"/>
    <w:rsid w:val="00037AF4"/>
    <w:rsid w:val="00037D87"/>
    <w:rsid w:val="00040ACE"/>
    <w:rsid w:val="00040D53"/>
    <w:rsid w:val="000420AC"/>
    <w:rsid w:val="00042234"/>
    <w:rsid w:val="00042EF3"/>
    <w:rsid w:val="00042F8A"/>
    <w:rsid w:val="00043438"/>
    <w:rsid w:val="000437DD"/>
    <w:rsid w:val="00043B17"/>
    <w:rsid w:val="00043D2C"/>
    <w:rsid w:val="00044C99"/>
    <w:rsid w:val="0004570D"/>
    <w:rsid w:val="00045CC9"/>
    <w:rsid w:val="00046812"/>
    <w:rsid w:val="000478EA"/>
    <w:rsid w:val="0005029E"/>
    <w:rsid w:val="000504E7"/>
    <w:rsid w:val="0005123F"/>
    <w:rsid w:val="00051792"/>
    <w:rsid w:val="0005183E"/>
    <w:rsid w:val="000525DE"/>
    <w:rsid w:val="000528CC"/>
    <w:rsid w:val="000531C6"/>
    <w:rsid w:val="0005356E"/>
    <w:rsid w:val="00053789"/>
    <w:rsid w:val="000554F1"/>
    <w:rsid w:val="0005554B"/>
    <w:rsid w:val="00055ACD"/>
    <w:rsid w:val="0005606C"/>
    <w:rsid w:val="00056C3C"/>
    <w:rsid w:val="00056E3E"/>
    <w:rsid w:val="00056F27"/>
    <w:rsid w:val="000573AF"/>
    <w:rsid w:val="00057BF3"/>
    <w:rsid w:val="00060799"/>
    <w:rsid w:val="00060834"/>
    <w:rsid w:val="0006169E"/>
    <w:rsid w:val="000623D1"/>
    <w:rsid w:val="000626FD"/>
    <w:rsid w:val="00062C27"/>
    <w:rsid w:val="0006315A"/>
    <w:rsid w:val="00063DEF"/>
    <w:rsid w:val="0006432B"/>
    <w:rsid w:val="000653D4"/>
    <w:rsid w:val="00065C97"/>
    <w:rsid w:val="00065DCE"/>
    <w:rsid w:val="00065FCD"/>
    <w:rsid w:val="000662EA"/>
    <w:rsid w:val="00066CE9"/>
    <w:rsid w:val="000700E7"/>
    <w:rsid w:val="000709AB"/>
    <w:rsid w:val="000713AC"/>
    <w:rsid w:val="00071B98"/>
    <w:rsid w:val="00071C35"/>
    <w:rsid w:val="00072073"/>
    <w:rsid w:val="00072392"/>
    <w:rsid w:val="00072772"/>
    <w:rsid w:val="00072A23"/>
    <w:rsid w:val="00073812"/>
    <w:rsid w:val="00073EC2"/>
    <w:rsid w:val="00074FD6"/>
    <w:rsid w:val="00075069"/>
    <w:rsid w:val="000755FF"/>
    <w:rsid w:val="00075F50"/>
    <w:rsid w:val="00076D84"/>
    <w:rsid w:val="00077037"/>
    <w:rsid w:val="000770AD"/>
    <w:rsid w:val="00077156"/>
    <w:rsid w:val="00077828"/>
    <w:rsid w:val="00077A73"/>
    <w:rsid w:val="000803D5"/>
    <w:rsid w:val="00080D77"/>
    <w:rsid w:val="000810A0"/>
    <w:rsid w:val="000811A4"/>
    <w:rsid w:val="0008176D"/>
    <w:rsid w:val="000824E8"/>
    <w:rsid w:val="00082F37"/>
    <w:rsid w:val="00083394"/>
    <w:rsid w:val="00083D9F"/>
    <w:rsid w:val="0008435D"/>
    <w:rsid w:val="00084A9F"/>
    <w:rsid w:val="00084B1C"/>
    <w:rsid w:val="00084F5F"/>
    <w:rsid w:val="000850E5"/>
    <w:rsid w:val="00085146"/>
    <w:rsid w:val="00085552"/>
    <w:rsid w:val="0008558C"/>
    <w:rsid w:val="00085F13"/>
    <w:rsid w:val="00086179"/>
    <w:rsid w:val="00092606"/>
    <w:rsid w:val="00092E0B"/>
    <w:rsid w:val="000933B9"/>
    <w:rsid w:val="0009473A"/>
    <w:rsid w:val="000A0037"/>
    <w:rsid w:val="000A1139"/>
    <w:rsid w:val="000A1788"/>
    <w:rsid w:val="000A2500"/>
    <w:rsid w:val="000A28D4"/>
    <w:rsid w:val="000A2A31"/>
    <w:rsid w:val="000A2EB4"/>
    <w:rsid w:val="000A312C"/>
    <w:rsid w:val="000A3980"/>
    <w:rsid w:val="000A3DA3"/>
    <w:rsid w:val="000A3FE0"/>
    <w:rsid w:val="000A52EB"/>
    <w:rsid w:val="000A57B9"/>
    <w:rsid w:val="000A63C6"/>
    <w:rsid w:val="000A767F"/>
    <w:rsid w:val="000B0FAB"/>
    <w:rsid w:val="000B0FFE"/>
    <w:rsid w:val="000B1358"/>
    <w:rsid w:val="000B137F"/>
    <w:rsid w:val="000B1DC1"/>
    <w:rsid w:val="000B3120"/>
    <w:rsid w:val="000B32A7"/>
    <w:rsid w:val="000B3EA1"/>
    <w:rsid w:val="000B3F13"/>
    <w:rsid w:val="000B4630"/>
    <w:rsid w:val="000B4929"/>
    <w:rsid w:val="000B497F"/>
    <w:rsid w:val="000B710D"/>
    <w:rsid w:val="000B74CF"/>
    <w:rsid w:val="000B7558"/>
    <w:rsid w:val="000B779C"/>
    <w:rsid w:val="000B7813"/>
    <w:rsid w:val="000B7821"/>
    <w:rsid w:val="000C0086"/>
    <w:rsid w:val="000C039A"/>
    <w:rsid w:val="000C04DC"/>
    <w:rsid w:val="000C0D98"/>
    <w:rsid w:val="000C23E0"/>
    <w:rsid w:val="000C2896"/>
    <w:rsid w:val="000C3E67"/>
    <w:rsid w:val="000C6049"/>
    <w:rsid w:val="000C671E"/>
    <w:rsid w:val="000C7425"/>
    <w:rsid w:val="000C77EF"/>
    <w:rsid w:val="000D0895"/>
    <w:rsid w:val="000D25E6"/>
    <w:rsid w:val="000D26FF"/>
    <w:rsid w:val="000D4F90"/>
    <w:rsid w:val="000D507C"/>
    <w:rsid w:val="000D53C8"/>
    <w:rsid w:val="000D5EA4"/>
    <w:rsid w:val="000D6139"/>
    <w:rsid w:val="000D63CA"/>
    <w:rsid w:val="000D694D"/>
    <w:rsid w:val="000D7299"/>
    <w:rsid w:val="000D77F9"/>
    <w:rsid w:val="000D7B9A"/>
    <w:rsid w:val="000E06FE"/>
    <w:rsid w:val="000E0C94"/>
    <w:rsid w:val="000E2220"/>
    <w:rsid w:val="000E22B3"/>
    <w:rsid w:val="000E32E4"/>
    <w:rsid w:val="000E3FDB"/>
    <w:rsid w:val="000E44A2"/>
    <w:rsid w:val="000E61A0"/>
    <w:rsid w:val="000E65F7"/>
    <w:rsid w:val="000E6AA2"/>
    <w:rsid w:val="000E6CA1"/>
    <w:rsid w:val="000E727B"/>
    <w:rsid w:val="000F0456"/>
    <w:rsid w:val="000F06C7"/>
    <w:rsid w:val="000F07D8"/>
    <w:rsid w:val="000F1345"/>
    <w:rsid w:val="000F14B1"/>
    <w:rsid w:val="000F37D2"/>
    <w:rsid w:val="000F382C"/>
    <w:rsid w:val="000F391F"/>
    <w:rsid w:val="000F3BB3"/>
    <w:rsid w:val="000F421E"/>
    <w:rsid w:val="000F4274"/>
    <w:rsid w:val="000F42D7"/>
    <w:rsid w:val="000F4ECE"/>
    <w:rsid w:val="000F4FA9"/>
    <w:rsid w:val="000F51A3"/>
    <w:rsid w:val="000F5240"/>
    <w:rsid w:val="000F5343"/>
    <w:rsid w:val="000F5E59"/>
    <w:rsid w:val="000F6EBF"/>
    <w:rsid w:val="000F7071"/>
    <w:rsid w:val="000F77CE"/>
    <w:rsid w:val="000F7E2F"/>
    <w:rsid w:val="000F7EE0"/>
    <w:rsid w:val="001001B9"/>
    <w:rsid w:val="00102254"/>
    <w:rsid w:val="001022BC"/>
    <w:rsid w:val="00102FC2"/>
    <w:rsid w:val="00103680"/>
    <w:rsid w:val="00103986"/>
    <w:rsid w:val="00105417"/>
    <w:rsid w:val="001064BB"/>
    <w:rsid w:val="00106BF1"/>
    <w:rsid w:val="0010702C"/>
    <w:rsid w:val="00110970"/>
    <w:rsid w:val="00111536"/>
    <w:rsid w:val="00111568"/>
    <w:rsid w:val="0011177D"/>
    <w:rsid w:val="00111F21"/>
    <w:rsid w:val="001120C0"/>
    <w:rsid w:val="001127B0"/>
    <w:rsid w:val="00113E9B"/>
    <w:rsid w:val="001150BF"/>
    <w:rsid w:val="001151B3"/>
    <w:rsid w:val="001153CA"/>
    <w:rsid w:val="00115499"/>
    <w:rsid w:val="001154D6"/>
    <w:rsid w:val="00115EB0"/>
    <w:rsid w:val="001162A6"/>
    <w:rsid w:val="001167D8"/>
    <w:rsid w:val="001168F2"/>
    <w:rsid w:val="00117347"/>
    <w:rsid w:val="001179A2"/>
    <w:rsid w:val="001200E9"/>
    <w:rsid w:val="00120207"/>
    <w:rsid w:val="00120D1D"/>
    <w:rsid w:val="00121446"/>
    <w:rsid w:val="00122A49"/>
    <w:rsid w:val="0012389C"/>
    <w:rsid w:val="00123C1B"/>
    <w:rsid w:val="001240AE"/>
    <w:rsid w:val="00124D86"/>
    <w:rsid w:val="00125160"/>
    <w:rsid w:val="00125785"/>
    <w:rsid w:val="00125A8D"/>
    <w:rsid w:val="00125E3C"/>
    <w:rsid w:val="0012651E"/>
    <w:rsid w:val="00126A5F"/>
    <w:rsid w:val="00126D93"/>
    <w:rsid w:val="00127C88"/>
    <w:rsid w:val="00127EAF"/>
    <w:rsid w:val="001304AB"/>
    <w:rsid w:val="00130903"/>
    <w:rsid w:val="00131361"/>
    <w:rsid w:val="00131D4F"/>
    <w:rsid w:val="00132E3B"/>
    <w:rsid w:val="00133531"/>
    <w:rsid w:val="00133547"/>
    <w:rsid w:val="00133E7E"/>
    <w:rsid w:val="0013456F"/>
    <w:rsid w:val="001346D4"/>
    <w:rsid w:val="00134C19"/>
    <w:rsid w:val="00135103"/>
    <w:rsid w:val="001354BF"/>
    <w:rsid w:val="00136591"/>
    <w:rsid w:val="00137101"/>
    <w:rsid w:val="00140C72"/>
    <w:rsid w:val="00142072"/>
    <w:rsid w:val="00142094"/>
    <w:rsid w:val="00142102"/>
    <w:rsid w:val="00142BCA"/>
    <w:rsid w:val="00142F84"/>
    <w:rsid w:val="00143EC7"/>
    <w:rsid w:val="00143FCB"/>
    <w:rsid w:val="00144B94"/>
    <w:rsid w:val="00144FEF"/>
    <w:rsid w:val="00145553"/>
    <w:rsid w:val="00145627"/>
    <w:rsid w:val="00146865"/>
    <w:rsid w:val="00146A41"/>
    <w:rsid w:val="00146EC8"/>
    <w:rsid w:val="001472C4"/>
    <w:rsid w:val="0015031C"/>
    <w:rsid w:val="00150872"/>
    <w:rsid w:val="001508E3"/>
    <w:rsid w:val="00151679"/>
    <w:rsid w:val="0015251B"/>
    <w:rsid w:val="0015318E"/>
    <w:rsid w:val="00153422"/>
    <w:rsid w:val="001535EE"/>
    <w:rsid w:val="00153759"/>
    <w:rsid w:val="001554C2"/>
    <w:rsid w:val="0015552A"/>
    <w:rsid w:val="0015565B"/>
    <w:rsid w:val="001556BF"/>
    <w:rsid w:val="00155ED5"/>
    <w:rsid w:val="00156A92"/>
    <w:rsid w:val="00156F47"/>
    <w:rsid w:val="00160AF4"/>
    <w:rsid w:val="00161A7B"/>
    <w:rsid w:val="0016364D"/>
    <w:rsid w:val="00163D92"/>
    <w:rsid w:val="00164144"/>
    <w:rsid w:val="00165811"/>
    <w:rsid w:val="00165F58"/>
    <w:rsid w:val="00166CBA"/>
    <w:rsid w:val="00167D76"/>
    <w:rsid w:val="00167EAA"/>
    <w:rsid w:val="001706E8"/>
    <w:rsid w:val="001708DE"/>
    <w:rsid w:val="001709BB"/>
    <w:rsid w:val="0017117C"/>
    <w:rsid w:val="0017205C"/>
    <w:rsid w:val="00172ADE"/>
    <w:rsid w:val="001733B3"/>
    <w:rsid w:val="00173513"/>
    <w:rsid w:val="0017417B"/>
    <w:rsid w:val="00175703"/>
    <w:rsid w:val="001758DE"/>
    <w:rsid w:val="00176675"/>
    <w:rsid w:val="00176D25"/>
    <w:rsid w:val="001779C0"/>
    <w:rsid w:val="00177A03"/>
    <w:rsid w:val="00180773"/>
    <w:rsid w:val="00180F70"/>
    <w:rsid w:val="00180FB9"/>
    <w:rsid w:val="0018186B"/>
    <w:rsid w:val="00182461"/>
    <w:rsid w:val="00182F75"/>
    <w:rsid w:val="0018326D"/>
    <w:rsid w:val="0018342E"/>
    <w:rsid w:val="0018372F"/>
    <w:rsid w:val="001840C2"/>
    <w:rsid w:val="00184B46"/>
    <w:rsid w:val="00185939"/>
    <w:rsid w:val="00185FF2"/>
    <w:rsid w:val="00186AFB"/>
    <w:rsid w:val="00186E7E"/>
    <w:rsid w:val="001874E1"/>
    <w:rsid w:val="001876F6"/>
    <w:rsid w:val="00190220"/>
    <w:rsid w:val="00190356"/>
    <w:rsid w:val="0019121C"/>
    <w:rsid w:val="00191641"/>
    <w:rsid w:val="00191A6C"/>
    <w:rsid w:val="00191E23"/>
    <w:rsid w:val="0019272C"/>
    <w:rsid w:val="00192C5F"/>
    <w:rsid w:val="00193461"/>
    <w:rsid w:val="0019346B"/>
    <w:rsid w:val="001953B1"/>
    <w:rsid w:val="001955C2"/>
    <w:rsid w:val="001963C0"/>
    <w:rsid w:val="00197466"/>
    <w:rsid w:val="00197956"/>
    <w:rsid w:val="001A2976"/>
    <w:rsid w:val="001A3730"/>
    <w:rsid w:val="001A3D83"/>
    <w:rsid w:val="001A409D"/>
    <w:rsid w:val="001A446E"/>
    <w:rsid w:val="001A49D0"/>
    <w:rsid w:val="001A59F7"/>
    <w:rsid w:val="001A5EBC"/>
    <w:rsid w:val="001A7952"/>
    <w:rsid w:val="001A7C3F"/>
    <w:rsid w:val="001B08EC"/>
    <w:rsid w:val="001B1676"/>
    <w:rsid w:val="001B17A8"/>
    <w:rsid w:val="001B1FF3"/>
    <w:rsid w:val="001B27E4"/>
    <w:rsid w:val="001B38FC"/>
    <w:rsid w:val="001B4EED"/>
    <w:rsid w:val="001B50E8"/>
    <w:rsid w:val="001B52B4"/>
    <w:rsid w:val="001B55C8"/>
    <w:rsid w:val="001B5D13"/>
    <w:rsid w:val="001B63C6"/>
    <w:rsid w:val="001C0170"/>
    <w:rsid w:val="001C1012"/>
    <w:rsid w:val="001C1F66"/>
    <w:rsid w:val="001C24CD"/>
    <w:rsid w:val="001C289C"/>
    <w:rsid w:val="001C2F8B"/>
    <w:rsid w:val="001C375B"/>
    <w:rsid w:val="001C4307"/>
    <w:rsid w:val="001C48D4"/>
    <w:rsid w:val="001C57DD"/>
    <w:rsid w:val="001C6C20"/>
    <w:rsid w:val="001C7823"/>
    <w:rsid w:val="001C7A3E"/>
    <w:rsid w:val="001C7C93"/>
    <w:rsid w:val="001D02AC"/>
    <w:rsid w:val="001D0A3B"/>
    <w:rsid w:val="001D0B97"/>
    <w:rsid w:val="001D13B4"/>
    <w:rsid w:val="001D2FD7"/>
    <w:rsid w:val="001D34DD"/>
    <w:rsid w:val="001D36CD"/>
    <w:rsid w:val="001D4F49"/>
    <w:rsid w:val="001D59AD"/>
    <w:rsid w:val="001D6D1B"/>
    <w:rsid w:val="001D7241"/>
    <w:rsid w:val="001D7982"/>
    <w:rsid w:val="001E12B1"/>
    <w:rsid w:val="001E1D3D"/>
    <w:rsid w:val="001E1DD1"/>
    <w:rsid w:val="001E2205"/>
    <w:rsid w:val="001E29EF"/>
    <w:rsid w:val="001E38DE"/>
    <w:rsid w:val="001E42ED"/>
    <w:rsid w:val="001E47D1"/>
    <w:rsid w:val="001E512E"/>
    <w:rsid w:val="001E6093"/>
    <w:rsid w:val="001E619B"/>
    <w:rsid w:val="001E6A64"/>
    <w:rsid w:val="001E6CDC"/>
    <w:rsid w:val="001E6F18"/>
    <w:rsid w:val="001E73E8"/>
    <w:rsid w:val="001E75C5"/>
    <w:rsid w:val="001F09AA"/>
    <w:rsid w:val="001F09E0"/>
    <w:rsid w:val="001F1753"/>
    <w:rsid w:val="001F1B5F"/>
    <w:rsid w:val="001F3F2A"/>
    <w:rsid w:val="001F40F7"/>
    <w:rsid w:val="001F4132"/>
    <w:rsid w:val="001F49A7"/>
    <w:rsid w:val="001F540F"/>
    <w:rsid w:val="001F691F"/>
    <w:rsid w:val="001F69C2"/>
    <w:rsid w:val="001F6AA1"/>
    <w:rsid w:val="001F7037"/>
    <w:rsid w:val="001F7AEC"/>
    <w:rsid w:val="002004E1"/>
    <w:rsid w:val="0020130B"/>
    <w:rsid w:val="002038F4"/>
    <w:rsid w:val="0020427D"/>
    <w:rsid w:val="002048D1"/>
    <w:rsid w:val="0020583B"/>
    <w:rsid w:val="00205BC2"/>
    <w:rsid w:val="00205DE5"/>
    <w:rsid w:val="00206BD5"/>
    <w:rsid w:val="002079CB"/>
    <w:rsid w:val="00207F5B"/>
    <w:rsid w:val="0021096E"/>
    <w:rsid w:val="00210DE8"/>
    <w:rsid w:val="00211D73"/>
    <w:rsid w:val="00211EB3"/>
    <w:rsid w:val="002124F3"/>
    <w:rsid w:val="00212A3E"/>
    <w:rsid w:val="0021366A"/>
    <w:rsid w:val="00213BD0"/>
    <w:rsid w:val="00213F86"/>
    <w:rsid w:val="00214277"/>
    <w:rsid w:val="00214BF2"/>
    <w:rsid w:val="002152A1"/>
    <w:rsid w:val="00215A7F"/>
    <w:rsid w:val="00215D61"/>
    <w:rsid w:val="00216522"/>
    <w:rsid w:val="00216628"/>
    <w:rsid w:val="00217C71"/>
    <w:rsid w:val="00220189"/>
    <w:rsid w:val="00221D19"/>
    <w:rsid w:val="00222EB5"/>
    <w:rsid w:val="00223B98"/>
    <w:rsid w:val="00225DA6"/>
    <w:rsid w:val="00225DC6"/>
    <w:rsid w:val="00226072"/>
    <w:rsid w:val="0022626F"/>
    <w:rsid w:val="0022666B"/>
    <w:rsid w:val="00226FF5"/>
    <w:rsid w:val="0022734D"/>
    <w:rsid w:val="00227B9E"/>
    <w:rsid w:val="00227C42"/>
    <w:rsid w:val="002307EC"/>
    <w:rsid w:val="0023164E"/>
    <w:rsid w:val="002317FF"/>
    <w:rsid w:val="00231DDA"/>
    <w:rsid w:val="00232B87"/>
    <w:rsid w:val="00232BD1"/>
    <w:rsid w:val="002330E1"/>
    <w:rsid w:val="002340C9"/>
    <w:rsid w:val="0023447F"/>
    <w:rsid w:val="002350B3"/>
    <w:rsid w:val="0023524F"/>
    <w:rsid w:val="00235C13"/>
    <w:rsid w:val="00235CD4"/>
    <w:rsid w:val="00235EB1"/>
    <w:rsid w:val="0023778B"/>
    <w:rsid w:val="00237810"/>
    <w:rsid w:val="0023798E"/>
    <w:rsid w:val="0024039A"/>
    <w:rsid w:val="00240770"/>
    <w:rsid w:val="0024099F"/>
    <w:rsid w:val="00240DFC"/>
    <w:rsid w:val="00241F68"/>
    <w:rsid w:val="002423FA"/>
    <w:rsid w:val="00242EE4"/>
    <w:rsid w:val="00242F27"/>
    <w:rsid w:val="00243697"/>
    <w:rsid w:val="00244384"/>
    <w:rsid w:val="0024462E"/>
    <w:rsid w:val="002456E4"/>
    <w:rsid w:val="00245A56"/>
    <w:rsid w:val="00246E4E"/>
    <w:rsid w:val="002474FA"/>
    <w:rsid w:val="0025062C"/>
    <w:rsid w:val="002518FC"/>
    <w:rsid w:val="002519E9"/>
    <w:rsid w:val="00252ABE"/>
    <w:rsid w:val="002533CC"/>
    <w:rsid w:val="00253493"/>
    <w:rsid w:val="00253DE9"/>
    <w:rsid w:val="00253E47"/>
    <w:rsid w:val="00254671"/>
    <w:rsid w:val="00254E1A"/>
    <w:rsid w:val="002554C4"/>
    <w:rsid w:val="0025560A"/>
    <w:rsid w:val="0025735F"/>
    <w:rsid w:val="002575DC"/>
    <w:rsid w:val="002577A4"/>
    <w:rsid w:val="0025786C"/>
    <w:rsid w:val="00257AA6"/>
    <w:rsid w:val="00257AFB"/>
    <w:rsid w:val="00260BDC"/>
    <w:rsid w:val="0026293D"/>
    <w:rsid w:val="0026469C"/>
    <w:rsid w:val="00264940"/>
    <w:rsid w:val="002654EC"/>
    <w:rsid w:val="00265982"/>
    <w:rsid w:val="002665C2"/>
    <w:rsid w:val="00266DFA"/>
    <w:rsid w:val="00266EB6"/>
    <w:rsid w:val="00266F2E"/>
    <w:rsid w:val="00266FAF"/>
    <w:rsid w:val="0026723A"/>
    <w:rsid w:val="00267ED7"/>
    <w:rsid w:val="00270154"/>
    <w:rsid w:val="002705FC"/>
    <w:rsid w:val="00270BA4"/>
    <w:rsid w:val="002719CF"/>
    <w:rsid w:val="00271A3A"/>
    <w:rsid w:val="00271C49"/>
    <w:rsid w:val="00271F70"/>
    <w:rsid w:val="00271FEB"/>
    <w:rsid w:val="002726ED"/>
    <w:rsid w:val="00272A40"/>
    <w:rsid w:val="00273932"/>
    <w:rsid w:val="0027408B"/>
    <w:rsid w:val="002745B0"/>
    <w:rsid w:val="002747AB"/>
    <w:rsid w:val="002748D1"/>
    <w:rsid w:val="00275A57"/>
    <w:rsid w:val="0027680C"/>
    <w:rsid w:val="00276816"/>
    <w:rsid w:val="00276B56"/>
    <w:rsid w:val="00277053"/>
    <w:rsid w:val="00277BFC"/>
    <w:rsid w:val="00277CE6"/>
    <w:rsid w:val="00277EF2"/>
    <w:rsid w:val="002803EB"/>
    <w:rsid w:val="00280959"/>
    <w:rsid w:val="00280F46"/>
    <w:rsid w:val="002817AD"/>
    <w:rsid w:val="002819FD"/>
    <w:rsid w:val="002820E9"/>
    <w:rsid w:val="00284CDD"/>
    <w:rsid w:val="00284D6C"/>
    <w:rsid w:val="00284E30"/>
    <w:rsid w:val="002856FE"/>
    <w:rsid w:val="0028583A"/>
    <w:rsid w:val="00286ACA"/>
    <w:rsid w:val="00286E1F"/>
    <w:rsid w:val="002870AC"/>
    <w:rsid w:val="00287368"/>
    <w:rsid w:val="002874D9"/>
    <w:rsid w:val="00287873"/>
    <w:rsid w:val="00287F5A"/>
    <w:rsid w:val="002906FA"/>
    <w:rsid w:val="002916CC"/>
    <w:rsid w:val="002918FA"/>
    <w:rsid w:val="0029278C"/>
    <w:rsid w:val="00292E65"/>
    <w:rsid w:val="00292FDA"/>
    <w:rsid w:val="00293C11"/>
    <w:rsid w:val="00295154"/>
    <w:rsid w:val="002957DC"/>
    <w:rsid w:val="002966BF"/>
    <w:rsid w:val="0029697C"/>
    <w:rsid w:val="00296DFE"/>
    <w:rsid w:val="002971CB"/>
    <w:rsid w:val="002979F1"/>
    <w:rsid w:val="00297BD2"/>
    <w:rsid w:val="00297BF9"/>
    <w:rsid w:val="002A0B74"/>
    <w:rsid w:val="002A0FF1"/>
    <w:rsid w:val="002A1146"/>
    <w:rsid w:val="002A13E1"/>
    <w:rsid w:val="002A2409"/>
    <w:rsid w:val="002A273D"/>
    <w:rsid w:val="002A2C87"/>
    <w:rsid w:val="002A311B"/>
    <w:rsid w:val="002A319C"/>
    <w:rsid w:val="002A3248"/>
    <w:rsid w:val="002A59A1"/>
    <w:rsid w:val="002A7C86"/>
    <w:rsid w:val="002B0191"/>
    <w:rsid w:val="002B0846"/>
    <w:rsid w:val="002B0DA4"/>
    <w:rsid w:val="002B0F86"/>
    <w:rsid w:val="002B1304"/>
    <w:rsid w:val="002B2241"/>
    <w:rsid w:val="002B24FC"/>
    <w:rsid w:val="002B2513"/>
    <w:rsid w:val="002B3429"/>
    <w:rsid w:val="002B3D17"/>
    <w:rsid w:val="002B45DF"/>
    <w:rsid w:val="002B47FD"/>
    <w:rsid w:val="002B489B"/>
    <w:rsid w:val="002B4A45"/>
    <w:rsid w:val="002B4BB2"/>
    <w:rsid w:val="002B4D9D"/>
    <w:rsid w:val="002B552E"/>
    <w:rsid w:val="002B5937"/>
    <w:rsid w:val="002B5D38"/>
    <w:rsid w:val="002B6139"/>
    <w:rsid w:val="002B6500"/>
    <w:rsid w:val="002B6964"/>
    <w:rsid w:val="002B6D2C"/>
    <w:rsid w:val="002B7AAC"/>
    <w:rsid w:val="002B7D2C"/>
    <w:rsid w:val="002C0262"/>
    <w:rsid w:val="002C061D"/>
    <w:rsid w:val="002C0A0E"/>
    <w:rsid w:val="002C19A4"/>
    <w:rsid w:val="002C1EDE"/>
    <w:rsid w:val="002C2187"/>
    <w:rsid w:val="002C2BDC"/>
    <w:rsid w:val="002C3133"/>
    <w:rsid w:val="002C36EE"/>
    <w:rsid w:val="002C3E06"/>
    <w:rsid w:val="002C4418"/>
    <w:rsid w:val="002C500F"/>
    <w:rsid w:val="002C5217"/>
    <w:rsid w:val="002C5981"/>
    <w:rsid w:val="002C61C0"/>
    <w:rsid w:val="002C6FC7"/>
    <w:rsid w:val="002C7307"/>
    <w:rsid w:val="002C7A2B"/>
    <w:rsid w:val="002C7DED"/>
    <w:rsid w:val="002D0410"/>
    <w:rsid w:val="002D0899"/>
    <w:rsid w:val="002D0D0C"/>
    <w:rsid w:val="002D140C"/>
    <w:rsid w:val="002D1707"/>
    <w:rsid w:val="002D17E2"/>
    <w:rsid w:val="002D2457"/>
    <w:rsid w:val="002D254B"/>
    <w:rsid w:val="002D2EBE"/>
    <w:rsid w:val="002D346D"/>
    <w:rsid w:val="002D36DF"/>
    <w:rsid w:val="002D3AC4"/>
    <w:rsid w:val="002D3EA7"/>
    <w:rsid w:val="002D3F5B"/>
    <w:rsid w:val="002D5525"/>
    <w:rsid w:val="002D6556"/>
    <w:rsid w:val="002D67FF"/>
    <w:rsid w:val="002D7908"/>
    <w:rsid w:val="002E0001"/>
    <w:rsid w:val="002E0DE9"/>
    <w:rsid w:val="002E0EC8"/>
    <w:rsid w:val="002E1240"/>
    <w:rsid w:val="002E1F65"/>
    <w:rsid w:val="002E278F"/>
    <w:rsid w:val="002E3B4D"/>
    <w:rsid w:val="002E46FB"/>
    <w:rsid w:val="002E47A8"/>
    <w:rsid w:val="002F0522"/>
    <w:rsid w:val="002F0734"/>
    <w:rsid w:val="002F2778"/>
    <w:rsid w:val="002F36C4"/>
    <w:rsid w:val="002F3FAE"/>
    <w:rsid w:val="002F4A78"/>
    <w:rsid w:val="002F6CDA"/>
    <w:rsid w:val="002F7D8A"/>
    <w:rsid w:val="00300086"/>
    <w:rsid w:val="0030026A"/>
    <w:rsid w:val="00301413"/>
    <w:rsid w:val="00301975"/>
    <w:rsid w:val="00301A5A"/>
    <w:rsid w:val="00302D2C"/>
    <w:rsid w:val="00303364"/>
    <w:rsid w:val="0030337E"/>
    <w:rsid w:val="00303EE6"/>
    <w:rsid w:val="00304F18"/>
    <w:rsid w:val="0030542C"/>
    <w:rsid w:val="003057C5"/>
    <w:rsid w:val="0030756F"/>
    <w:rsid w:val="0031016F"/>
    <w:rsid w:val="00310418"/>
    <w:rsid w:val="003105E2"/>
    <w:rsid w:val="00310880"/>
    <w:rsid w:val="00311FAB"/>
    <w:rsid w:val="00312A8F"/>
    <w:rsid w:val="00312FFC"/>
    <w:rsid w:val="003137C4"/>
    <w:rsid w:val="00313812"/>
    <w:rsid w:val="0031488A"/>
    <w:rsid w:val="0031505C"/>
    <w:rsid w:val="003150BF"/>
    <w:rsid w:val="003150CE"/>
    <w:rsid w:val="00315E92"/>
    <w:rsid w:val="003167BF"/>
    <w:rsid w:val="00316F4F"/>
    <w:rsid w:val="00317190"/>
    <w:rsid w:val="00321467"/>
    <w:rsid w:val="00321BDD"/>
    <w:rsid w:val="00322113"/>
    <w:rsid w:val="00322EA4"/>
    <w:rsid w:val="003231EB"/>
    <w:rsid w:val="003234AF"/>
    <w:rsid w:val="0032370D"/>
    <w:rsid w:val="00323832"/>
    <w:rsid w:val="00323B9E"/>
    <w:rsid w:val="00323F97"/>
    <w:rsid w:val="0032560F"/>
    <w:rsid w:val="003258AB"/>
    <w:rsid w:val="00325C8E"/>
    <w:rsid w:val="00326A29"/>
    <w:rsid w:val="00327241"/>
    <w:rsid w:val="00327ABD"/>
    <w:rsid w:val="00330804"/>
    <w:rsid w:val="00331171"/>
    <w:rsid w:val="00331241"/>
    <w:rsid w:val="00331A35"/>
    <w:rsid w:val="003329A1"/>
    <w:rsid w:val="003329A7"/>
    <w:rsid w:val="00334A6B"/>
    <w:rsid w:val="003361A4"/>
    <w:rsid w:val="003363E1"/>
    <w:rsid w:val="003366B2"/>
    <w:rsid w:val="00336722"/>
    <w:rsid w:val="003376FD"/>
    <w:rsid w:val="00337BAA"/>
    <w:rsid w:val="00340066"/>
    <w:rsid w:val="00340582"/>
    <w:rsid w:val="003409CD"/>
    <w:rsid w:val="0034122D"/>
    <w:rsid w:val="0034288B"/>
    <w:rsid w:val="003431C5"/>
    <w:rsid w:val="003431E0"/>
    <w:rsid w:val="0034332B"/>
    <w:rsid w:val="00343C4C"/>
    <w:rsid w:val="003445AB"/>
    <w:rsid w:val="00344920"/>
    <w:rsid w:val="00344936"/>
    <w:rsid w:val="00345963"/>
    <w:rsid w:val="00345DDA"/>
    <w:rsid w:val="00346196"/>
    <w:rsid w:val="0034681C"/>
    <w:rsid w:val="00346B6C"/>
    <w:rsid w:val="00346F24"/>
    <w:rsid w:val="003470D3"/>
    <w:rsid w:val="00350D3C"/>
    <w:rsid w:val="003511C0"/>
    <w:rsid w:val="00351FE0"/>
    <w:rsid w:val="00352519"/>
    <w:rsid w:val="003540EE"/>
    <w:rsid w:val="00354CF6"/>
    <w:rsid w:val="00355421"/>
    <w:rsid w:val="00355609"/>
    <w:rsid w:val="003575EE"/>
    <w:rsid w:val="003600A8"/>
    <w:rsid w:val="003601DF"/>
    <w:rsid w:val="00360539"/>
    <w:rsid w:val="00360DA2"/>
    <w:rsid w:val="0036126F"/>
    <w:rsid w:val="00361402"/>
    <w:rsid w:val="00361665"/>
    <w:rsid w:val="0036246B"/>
    <w:rsid w:val="0036284D"/>
    <w:rsid w:val="0036396B"/>
    <w:rsid w:val="003659D1"/>
    <w:rsid w:val="00366524"/>
    <w:rsid w:val="00366622"/>
    <w:rsid w:val="003673A8"/>
    <w:rsid w:val="00370A3A"/>
    <w:rsid w:val="00371482"/>
    <w:rsid w:val="00371D47"/>
    <w:rsid w:val="00373355"/>
    <w:rsid w:val="00373786"/>
    <w:rsid w:val="0037386E"/>
    <w:rsid w:val="00373C7F"/>
    <w:rsid w:val="00373E58"/>
    <w:rsid w:val="0037409F"/>
    <w:rsid w:val="00374153"/>
    <w:rsid w:val="003744D5"/>
    <w:rsid w:val="00375722"/>
    <w:rsid w:val="00376073"/>
    <w:rsid w:val="00376B0F"/>
    <w:rsid w:val="00377452"/>
    <w:rsid w:val="003775E1"/>
    <w:rsid w:val="003779DE"/>
    <w:rsid w:val="00377A11"/>
    <w:rsid w:val="00377EFA"/>
    <w:rsid w:val="00381223"/>
    <w:rsid w:val="003815D6"/>
    <w:rsid w:val="00381849"/>
    <w:rsid w:val="00382158"/>
    <w:rsid w:val="00382356"/>
    <w:rsid w:val="003823A0"/>
    <w:rsid w:val="003825C3"/>
    <w:rsid w:val="00382AF3"/>
    <w:rsid w:val="00383231"/>
    <w:rsid w:val="003834E2"/>
    <w:rsid w:val="00383C17"/>
    <w:rsid w:val="00383CFD"/>
    <w:rsid w:val="00384F36"/>
    <w:rsid w:val="00385271"/>
    <w:rsid w:val="00385EC1"/>
    <w:rsid w:val="0038639F"/>
    <w:rsid w:val="00390AB7"/>
    <w:rsid w:val="00390D74"/>
    <w:rsid w:val="00390EC8"/>
    <w:rsid w:val="003919DF"/>
    <w:rsid w:val="0039226E"/>
    <w:rsid w:val="00392412"/>
    <w:rsid w:val="00392CC8"/>
    <w:rsid w:val="00394A2E"/>
    <w:rsid w:val="00395377"/>
    <w:rsid w:val="00395F1C"/>
    <w:rsid w:val="00396898"/>
    <w:rsid w:val="00396A49"/>
    <w:rsid w:val="00397708"/>
    <w:rsid w:val="00397776"/>
    <w:rsid w:val="003A0694"/>
    <w:rsid w:val="003A1D8B"/>
    <w:rsid w:val="003A2017"/>
    <w:rsid w:val="003A36DF"/>
    <w:rsid w:val="003A3824"/>
    <w:rsid w:val="003A3BF4"/>
    <w:rsid w:val="003A439F"/>
    <w:rsid w:val="003A48CC"/>
    <w:rsid w:val="003A51EE"/>
    <w:rsid w:val="003A54A6"/>
    <w:rsid w:val="003A72EF"/>
    <w:rsid w:val="003A7E21"/>
    <w:rsid w:val="003B03D9"/>
    <w:rsid w:val="003B1CED"/>
    <w:rsid w:val="003B1FEB"/>
    <w:rsid w:val="003B31E8"/>
    <w:rsid w:val="003B3758"/>
    <w:rsid w:val="003B3B74"/>
    <w:rsid w:val="003B3B8C"/>
    <w:rsid w:val="003B4179"/>
    <w:rsid w:val="003B4624"/>
    <w:rsid w:val="003B4EED"/>
    <w:rsid w:val="003B6B2C"/>
    <w:rsid w:val="003B6C11"/>
    <w:rsid w:val="003C0345"/>
    <w:rsid w:val="003C0DDC"/>
    <w:rsid w:val="003C266A"/>
    <w:rsid w:val="003C2814"/>
    <w:rsid w:val="003C3130"/>
    <w:rsid w:val="003C440F"/>
    <w:rsid w:val="003C473C"/>
    <w:rsid w:val="003C584F"/>
    <w:rsid w:val="003C602A"/>
    <w:rsid w:val="003C6972"/>
    <w:rsid w:val="003C7933"/>
    <w:rsid w:val="003C7B10"/>
    <w:rsid w:val="003D1438"/>
    <w:rsid w:val="003D143C"/>
    <w:rsid w:val="003D1759"/>
    <w:rsid w:val="003D1896"/>
    <w:rsid w:val="003D1996"/>
    <w:rsid w:val="003D1F7E"/>
    <w:rsid w:val="003D23DD"/>
    <w:rsid w:val="003D27DD"/>
    <w:rsid w:val="003D2B75"/>
    <w:rsid w:val="003D33E3"/>
    <w:rsid w:val="003D39DD"/>
    <w:rsid w:val="003D3B14"/>
    <w:rsid w:val="003D4494"/>
    <w:rsid w:val="003D49BE"/>
    <w:rsid w:val="003D60A7"/>
    <w:rsid w:val="003D62F7"/>
    <w:rsid w:val="003D6B8E"/>
    <w:rsid w:val="003D6C45"/>
    <w:rsid w:val="003D7240"/>
    <w:rsid w:val="003D733E"/>
    <w:rsid w:val="003E08F1"/>
    <w:rsid w:val="003E0D26"/>
    <w:rsid w:val="003E1035"/>
    <w:rsid w:val="003E17F2"/>
    <w:rsid w:val="003E19F7"/>
    <w:rsid w:val="003E1EB2"/>
    <w:rsid w:val="003E2B36"/>
    <w:rsid w:val="003E2BF4"/>
    <w:rsid w:val="003E2C64"/>
    <w:rsid w:val="003E3A1A"/>
    <w:rsid w:val="003E452D"/>
    <w:rsid w:val="003E4633"/>
    <w:rsid w:val="003E492C"/>
    <w:rsid w:val="003E5915"/>
    <w:rsid w:val="003E598C"/>
    <w:rsid w:val="003E61CF"/>
    <w:rsid w:val="003E710D"/>
    <w:rsid w:val="003E7458"/>
    <w:rsid w:val="003E7A9C"/>
    <w:rsid w:val="003E7EAF"/>
    <w:rsid w:val="003F00AB"/>
    <w:rsid w:val="003F00BA"/>
    <w:rsid w:val="003F0695"/>
    <w:rsid w:val="003F19A9"/>
    <w:rsid w:val="003F1E2B"/>
    <w:rsid w:val="003F328F"/>
    <w:rsid w:val="003F38C8"/>
    <w:rsid w:val="003F4AC0"/>
    <w:rsid w:val="003F531A"/>
    <w:rsid w:val="003F5627"/>
    <w:rsid w:val="003F7730"/>
    <w:rsid w:val="003F7AE5"/>
    <w:rsid w:val="003F7C9E"/>
    <w:rsid w:val="0040095F"/>
    <w:rsid w:val="0040135D"/>
    <w:rsid w:val="00401BF6"/>
    <w:rsid w:val="00402159"/>
    <w:rsid w:val="004025E8"/>
    <w:rsid w:val="00402768"/>
    <w:rsid w:val="00402CEC"/>
    <w:rsid w:val="004039AC"/>
    <w:rsid w:val="0040434E"/>
    <w:rsid w:val="00404A25"/>
    <w:rsid w:val="00404A58"/>
    <w:rsid w:val="00404C36"/>
    <w:rsid w:val="00405FE4"/>
    <w:rsid w:val="004060C4"/>
    <w:rsid w:val="00406F38"/>
    <w:rsid w:val="0040797C"/>
    <w:rsid w:val="0041031D"/>
    <w:rsid w:val="004107CA"/>
    <w:rsid w:val="004111BC"/>
    <w:rsid w:val="004114CB"/>
    <w:rsid w:val="004116E4"/>
    <w:rsid w:val="00411FF0"/>
    <w:rsid w:val="004125F4"/>
    <w:rsid w:val="004126D4"/>
    <w:rsid w:val="00413603"/>
    <w:rsid w:val="00414703"/>
    <w:rsid w:val="00415125"/>
    <w:rsid w:val="004158DF"/>
    <w:rsid w:val="00415D2B"/>
    <w:rsid w:val="004160AF"/>
    <w:rsid w:val="00416440"/>
    <w:rsid w:val="00416622"/>
    <w:rsid w:val="00416C0A"/>
    <w:rsid w:val="004176E2"/>
    <w:rsid w:val="00421343"/>
    <w:rsid w:val="00421941"/>
    <w:rsid w:val="004224D3"/>
    <w:rsid w:val="004236F0"/>
    <w:rsid w:val="004245E1"/>
    <w:rsid w:val="00424DE2"/>
    <w:rsid w:val="004252A6"/>
    <w:rsid w:val="004252B2"/>
    <w:rsid w:val="004268C8"/>
    <w:rsid w:val="00430C0C"/>
    <w:rsid w:val="00431609"/>
    <w:rsid w:val="00432467"/>
    <w:rsid w:val="00432528"/>
    <w:rsid w:val="00432836"/>
    <w:rsid w:val="0043510F"/>
    <w:rsid w:val="00435325"/>
    <w:rsid w:val="0043574A"/>
    <w:rsid w:val="004359BF"/>
    <w:rsid w:val="004371A2"/>
    <w:rsid w:val="004373D1"/>
    <w:rsid w:val="0043778D"/>
    <w:rsid w:val="004400AB"/>
    <w:rsid w:val="00441212"/>
    <w:rsid w:val="00441A8C"/>
    <w:rsid w:val="00441F0F"/>
    <w:rsid w:val="004454C2"/>
    <w:rsid w:val="0044558D"/>
    <w:rsid w:val="00446B28"/>
    <w:rsid w:val="00446F02"/>
    <w:rsid w:val="00447347"/>
    <w:rsid w:val="004474EB"/>
    <w:rsid w:val="00447F33"/>
    <w:rsid w:val="00450535"/>
    <w:rsid w:val="004508AE"/>
    <w:rsid w:val="00450958"/>
    <w:rsid w:val="00450A27"/>
    <w:rsid w:val="004511D5"/>
    <w:rsid w:val="00451B28"/>
    <w:rsid w:val="00451D04"/>
    <w:rsid w:val="00451EC2"/>
    <w:rsid w:val="0045225F"/>
    <w:rsid w:val="00453FCE"/>
    <w:rsid w:val="00454443"/>
    <w:rsid w:val="00455BF3"/>
    <w:rsid w:val="00455E4A"/>
    <w:rsid w:val="00457178"/>
    <w:rsid w:val="00457509"/>
    <w:rsid w:val="00462755"/>
    <w:rsid w:val="00463357"/>
    <w:rsid w:val="00463773"/>
    <w:rsid w:val="00463A04"/>
    <w:rsid w:val="00463F42"/>
    <w:rsid w:val="004647B9"/>
    <w:rsid w:val="00465091"/>
    <w:rsid w:val="00465255"/>
    <w:rsid w:val="0046550A"/>
    <w:rsid w:val="00465644"/>
    <w:rsid w:val="004657E9"/>
    <w:rsid w:val="00465C6B"/>
    <w:rsid w:val="00466EFC"/>
    <w:rsid w:val="00467851"/>
    <w:rsid w:val="00470C61"/>
    <w:rsid w:val="0047157B"/>
    <w:rsid w:val="00471862"/>
    <w:rsid w:val="00471EE7"/>
    <w:rsid w:val="004720FB"/>
    <w:rsid w:val="004722A3"/>
    <w:rsid w:val="00472939"/>
    <w:rsid w:val="00473140"/>
    <w:rsid w:val="00473718"/>
    <w:rsid w:val="00473869"/>
    <w:rsid w:val="0047410E"/>
    <w:rsid w:val="0047490C"/>
    <w:rsid w:val="00474CFF"/>
    <w:rsid w:val="0047565B"/>
    <w:rsid w:val="004763AF"/>
    <w:rsid w:val="00476A58"/>
    <w:rsid w:val="004770B6"/>
    <w:rsid w:val="00477ACC"/>
    <w:rsid w:val="0048054A"/>
    <w:rsid w:val="004811EB"/>
    <w:rsid w:val="004818E8"/>
    <w:rsid w:val="00482F67"/>
    <w:rsid w:val="00483006"/>
    <w:rsid w:val="004831D2"/>
    <w:rsid w:val="004832E9"/>
    <w:rsid w:val="004839B2"/>
    <w:rsid w:val="00483EFF"/>
    <w:rsid w:val="00484915"/>
    <w:rsid w:val="0048542D"/>
    <w:rsid w:val="00485961"/>
    <w:rsid w:val="00486BF9"/>
    <w:rsid w:val="00487387"/>
    <w:rsid w:val="00487F13"/>
    <w:rsid w:val="0049055D"/>
    <w:rsid w:val="0049058A"/>
    <w:rsid w:val="00490E50"/>
    <w:rsid w:val="00491917"/>
    <w:rsid w:val="004919FD"/>
    <w:rsid w:val="00491FF3"/>
    <w:rsid w:val="004921F4"/>
    <w:rsid w:val="004926EE"/>
    <w:rsid w:val="00493939"/>
    <w:rsid w:val="00493FD9"/>
    <w:rsid w:val="00494D0D"/>
    <w:rsid w:val="0049528F"/>
    <w:rsid w:val="004969F5"/>
    <w:rsid w:val="00496BB6"/>
    <w:rsid w:val="004A06FC"/>
    <w:rsid w:val="004A132C"/>
    <w:rsid w:val="004A176B"/>
    <w:rsid w:val="004A2150"/>
    <w:rsid w:val="004A4B3C"/>
    <w:rsid w:val="004A4ED8"/>
    <w:rsid w:val="004A5D02"/>
    <w:rsid w:val="004A74CA"/>
    <w:rsid w:val="004A7AA8"/>
    <w:rsid w:val="004B088E"/>
    <w:rsid w:val="004B0AAC"/>
    <w:rsid w:val="004B1948"/>
    <w:rsid w:val="004B22D7"/>
    <w:rsid w:val="004B26D9"/>
    <w:rsid w:val="004B2C5E"/>
    <w:rsid w:val="004B4CD7"/>
    <w:rsid w:val="004B4E7B"/>
    <w:rsid w:val="004B5121"/>
    <w:rsid w:val="004B5849"/>
    <w:rsid w:val="004B59E0"/>
    <w:rsid w:val="004B6BA3"/>
    <w:rsid w:val="004B7543"/>
    <w:rsid w:val="004B774B"/>
    <w:rsid w:val="004C0AE7"/>
    <w:rsid w:val="004C290E"/>
    <w:rsid w:val="004C32FF"/>
    <w:rsid w:val="004C3D44"/>
    <w:rsid w:val="004C40C7"/>
    <w:rsid w:val="004C41A8"/>
    <w:rsid w:val="004C4603"/>
    <w:rsid w:val="004C4629"/>
    <w:rsid w:val="004C4B71"/>
    <w:rsid w:val="004C64FB"/>
    <w:rsid w:val="004C7775"/>
    <w:rsid w:val="004C77AC"/>
    <w:rsid w:val="004D027D"/>
    <w:rsid w:val="004D087E"/>
    <w:rsid w:val="004D09E4"/>
    <w:rsid w:val="004D19DB"/>
    <w:rsid w:val="004D1A1B"/>
    <w:rsid w:val="004D1D42"/>
    <w:rsid w:val="004D1E88"/>
    <w:rsid w:val="004D2E2D"/>
    <w:rsid w:val="004D31BA"/>
    <w:rsid w:val="004D34D8"/>
    <w:rsid w:val="004D37E2"/>
    <w:rsid w:val="004D3CD7"/>
    <w:rsid w:val="004D4067"/>
    <w:rsid w:val="004D49F4"/>
    <w:rsid w:val="004D55D3"/>
    <w:rsid w:val="004D58DE"/>
    <w:rsid w:val="004D5E34"/>
    <w:rsid w:val="004D631B"/>
    <w:rsid w:val="004D63E2"/>
    <w:rsid w:val="004D6458"/>
    <w:rsid w:val="004D6E7C"/>
    <w:rsid w:val="004D79A3"/>
    <w:rsid w:val="004E000F"/>
    <w:rsid w:val="004E0431"/>
    <w:rsid w:val="004E218D"/>
    <w:rsid w:val="004E3521"/>
    <w:rsid w:val="004E3F30"/>
    <w:rsid w:val="004E430B"/>
    <w:rsid w:val="004E46F8"/>
    <w:rsid w:val="004E4C7F"/>
    <w:rsid w:val="004E50C8"/>
    <w:rsid w:val="004E653E"/>
    <w:rsid w:val="004E65F5"/>
    <w:rsid w:val="004E717E"/>
    <w:rsid w:val="004E7B45"/>
    <w:rsid w:val="004F01DA"/>
    <w:rsid w:val="004F216C"/>
    <w:rsid w:val="004F21F6"/>
    <w:rsid w:val="004F292E"/>
    <w:rsid w:val="004F2D77"/>
    <w:rsid w:val="004F33AD"/>
    <w:rsid w:val="004F3AE6"/>
    <w:rsid w:val="004F3C00"/>
    <w:rsid w:val="004F3E28"/>
    <w:rsid w:val="004F3F5F"/>
    <w:rsid w:val="004F5277"/>
    <w:rsid w:val="004F5700"/>
    <w:rsid w:val="004F621F"/>
    <w:rsid w:val="004F6B8E"/>
    <w:rsid w:val="00500528"/>
    <w:rsid w:val="00500E7A"/>
    <w:rsid w:val="005014A8"/>
    <w:rsid w:val="00501C24"/>
    <w:rsid w:val="0050269B"/>
    <w:rsid w:val="00502B4C"/>
    <w:rsid w:val="00502EAE"/>
    <w:rsid w:val="00503A1B"/>
    <w:rsid w:val="00503C72"/>
    <w:rsid w:val="005046DF"/>
    <w:rsid w:val="0050500F"/>
    <w:rsid w:val="00505279"/>
    <w:rsid w:val="0050544D"/>
    <w:rsid w:val="0050563F"/>
    <w:rsid w:val="005058BE"/>
    <w:rsid w:val="005063E1"/>
    <w:rsid w:val="00506FE2"/>
    <w:rsid w:val="00507A16"/>
    <w:rsid w:val="00507CC5"/>
    <w:rsid w:val="005103C3"/>
    <w:rsid w:val="00510BA0"/>
    <w:rsid w:val="00511569"/>
    <w:rsid w:val="00511FD5"/>
    <w:rsid w:val="0051239B"/>
    <w:rsid w:val="00514B77"/>
    <w:rsid w:val="00514C2A"/>
    <w:rsid w:val="00515B14"/>
    <w:rsid w:val="005169F3"/>
    <w:rsid w:val="00516BBB"/>
    <w:rsid w:val="00517543"/>
    <w:rsid w:val="005202DE"/>
    <w:rsid w:val="00520D38"/>
    <w:rsid w:val="00522513"/>
    <w:rsid w:val="0052281E"/>
    <w:rsid w:val="00523A79"/>
    <w:rsid w:val="00523E83"/>
    <w:rsid w:val="005248BB"/>
    <w:rsid w:val="00524A4C"/>
    <w:rsid w:val="005253D8"/>
    <w:rsid w:val="005257A1"/>
    <w:rsid w:val="005271DA"/>
    <w:rsid w:val="005308A5"/>
    <w:rsid w:val="005313F1"/>
    <w:rsid w:val="005314E9"/>
    <w:rsid w:val="00531655"/>
    <w:rsid w:val="00531723"/>
    <w:rsid w:val="00531E76"/>
    <w:rsid w:val="005326A5"/>
    <w:rsid w:val="0053275E"/>
    <w:rsid w:val="00532B0D"/>
    <w:rsid w:val="0053324F"/>
    <w:rsid w:val="005338AE"/>
    <w:rsid w:val="005343CB"/>
    <w:rsid w:val="005348BF"/>
    <w:rsid w:val="00534C9F"/>
    <w:rsid w:val="00535587"/>
    <w:rsid w:val="005364FE"/>
    <w:rsid w:val="00537980"/>
    <w:rsid w:val="00537FC8"/>
    <w:rsid w:val="00541AA1"/>
    <w:rsid w:val="00541CFD"/>
    <w:rsid w:val="00541E10"/>
    <w:rsid w:val="00541EF9"/>
    <w:rsid w:val="0054241F"/>
    <w:rsid w:val="00542BA7"/>
    <w:rsid w:val="00543029"/>
    <w:rsid w:val="005431CF"/>
    <w:rsid w:val="00543461"/>
    <w:rsid w:val="00543896"/>
    <w:rsid w:val="005439E9"/>
    <w:rsid w:val="00543BAD"/>
    <w:rsid w:val="00543D0A"/>
    <w:rsid w:val="00544765"/>
    <w:rsid w:val="00544EFB"/>
    <w:rsid w:val="00545259"/>
    <w:rsid w:val="005454F3"/>
    <w:rsid w:val="005455E5"/>
    <w:rsid w:val="0054566E"/>
    <w:rsid w:val="005458D5"/>
    <w:rsid w:val="0054681B"/>
    <w:rsid w:val="0054736D"/>
    <w:rsid w:val="0054779A"/>
    <w:rsid w:val="005478C5"/>
    <w:rsid w:val="00547BA1"/>
    <w:rsid w:val="0055098D"/>
    <w:rsid w:val="00550A01"/>
    <w:rsid w:val="00551F43"/>
    <w:rsid w:val="00552A2B"/>
    <w:rsid w:val="00553C64"/>
    <w:rsid w:val="0055432E"/>
    <w:rsid w:val="0055437A"/>
    <w:rsid w:val="00554A88"/>
    <w:rsid w:val="005553CE"/>
    <w:rsid w:val="00556101"/>
    <w:rsid w:val="0055652A"/>
    <w:rsid w:val="00557CB1"/>
    <w:rsid w:val="005601EA"/>
    <w:rsid w:val="0056072C"/>
    <w:rsid w:val="0056091E"/>
    <w:rsid w:val="00560DFC"/>
    <w:rsid w:val="0056100E"/>
    <w:rsid w:val="00561371"/>
    <w:rsid w:val="0056172D"/>
    <w:rsid w:val="00562C7B"/>
    <w:rsid w:val="00563299"/>
    <w:rsid w:val="005633ED"/>
    <w:rsid w:val="005635F3"/>
    <w:rsid w:val="0056411C"/>
    <w:rsid w:val="00564AA2"/>
    <w:rsid w:val="005657DE"/>
    <w:rsid w:val="00565B4C"/>
    <w:rsid w:val="005663FF"/>
    <w:rsid w:val="00566435"/>
    <w:rsid w:val="0056650B"/>
    <w:rsid w:val="005677E5"/>
    <w:rsid w:val="005700C2"/>
    <w:rsid w:val="00570195"/>
    <w:rsid w:val="005703AF"/>
    <w:rsid w:val="00570B72"/>
    <w:rsid w:val="00570C24"/>
    <w:rsid w:val="00570D24"/>
    <w:rsid w:val="00570F07"/>
    <w:rsid w:val="00571645"/>
    <w:rsid w:val="005717BF"/>
    <w:rsid w:val="00571EFF"/>
    <w:rsid w:val="00572269"/>
    <w:rsid w:val="00572B2E"/>
    <w:rsid w:val="00573F85"/>
    <w:rsid w:val="00574098"/>
    <w:rsid w:val="00574C1A"/>
    <w:rsid w:val="00575216"/>
    <w:rsid w:val="005755B1"/>
    <w:rsid w:val="005755D7"/>
    <w:rsid w:val="00575EFA"/>
    <w:rsid w:val="005778C4"/>
    <w:rsid w:val="005779FB"/>
    <w:rsid w:val="00577E4E"/>
    <w:rsid w:val="00580EEB"/>
    <w:rsid w:val="00580FCF"/>
    <w:rsid w:val="00581769"/>
    <w:rsid w:val="005828FD"/>
    <w:rsid w:val="00582F45"/>
    <w:rsid w:val="00583673"/>
    <w:rsid w:val="00583D08"/>
    <w:rsid w:val="005841A1"/>
    <w:rsid w:val="005846E4"/>
    <w:rsid w:val="005861FA"/>
    <w:rsid w:val="00587BE7"/>
    <w:rsid w:val="00587CBC"/>
    <w:rsid w:val="005903D9"/>
    <w:rsid w:val="00590587"/>
    <w:rsid w:val="00592284"/>
    <w:rsid w:val="0059254E"/>
    <w:rsid w:val="005935D6"/>
    <w:rsid w:val="00593C52"/>
    <w:rsid w:val="00593C78"/>
    <w:rsid w:val="00594B2B"/>
    <w:rsid w:val="00595C38"/>
    <w:rsid w:val="00595DF1"/>
    <w:rsid w:val="00596524"/>
    <w:rsid w:val="00596AA9"/>
    <w:rsid w:val="00597A34"/>
    <w:rsid w:val="00597C5D"/>
    <w:rsid w:val="00597D35"/>
    <w:rsid w:val="005A0F1C"/>
    <w:rsid w:val="005A19EC"/>
    <w:rsid w:val="005A1D5B"/>
    <w:rsid w:val="005A3343"/>
    <w:rsid w:val="005A3FE6"/>
    <w:rsid w:val="005A4125"/>
    <w:rsid w:val="005A4A36"/>
    <w:rsid w:val="005A5DB2"/>
    <w:rsid w:val="005A6D6D"/>
    <w:rsid w:val="005A7264"/>
    <w:rsid w:val="005A7565"/>
    <w:rsid w:val="005A7B94"/>
    <w:rsid w:val="005A7CBA"/>
    <w:rsid w:val="005B040B"/>
    <w:rsid w:val="005B0D87"/>
    <w:rsid w:val="005B1601"/>
    <w:rsid w:val="005B2017"/>
    <w:rsid w:val="005B2063"/>
    <w:rsid w:val="005B3535"/>
    <w:rsid w:val="005B3B1F"/>
    <w:rsid w:val="005B4072"/>
    <w:rsid w:val="005B40BE"/>
    <w:rsid w:val="005B413F"/>
    <w:rsid w:val="005B495D"/>
    <w:rsid w:val="005B4CFC"/>
    <w:rsid w:val="005B50B9"/>
    <w:rsid w:val="005B58B0"/>
    <w:rsid w:val="005B6664"/>
    <w:rsid w:val="005B6D3F"/>
    <w:rsid w:val="005B6E0D"/>
    <w:rsid w:val="005C0055"/>
    <w:rsid w:val="005C0298"/>
    <w:rsid w:val="005C0769"/>
    <w:rsid w:val="005C16D8"/>
    <w:rsid w:val="005C1B89"/>
    <w:rsid w:val="005C2F18"/>
    <w:rsid w:val="005C360A"/>
    <w:rsid w:val="005C4137"/>
    <w:rsid w:val="005C4E23"/>
    <w:rsid w:val="005C4E51"/>
    <w:rsid w:val="005C4F9E"/>
    <w:rsid w:val="005C55CD"/>
    <w:rsid w:val="005C77F4"/>
    <w:rsid w:val="005C7EE9"/>
    <w:rsid w:val="005D0454"/>
    <w:rsid w:val="005D221C"/>
    <w:rsid w:val="005D2764"/>
    <w:rsid w:val="005D285A"/>
    <w:rsid w:val="005D2A43"/>
    <w:rsid w:val="005D2F5F"/>
    <w:rsid w:val="005D2F83"/>
    <w:rsid w:val="005D4B27"/>
    <w:rsid w:val="005D678D"/>
    <w:rsid w:val="005D67CA"/>
    <w:rsid w:val="005D6EA0"/>
    <w:rsid w:val="005D72BC"/>
    <w:rsid w:val="005D7D32"/>
    <w:rsid w:val="005E0260"/>
    <w:rsid w:val="005E1596"/>
    <w:rsid w:val="005E1D6F"/>
    <w:rsid w:val="005E1FFA"/>
    <w:rsid w:val="005E2396"/>
    <w:rsid w:val="005E2EA3"/>
    <w:rsid w:val="005E3188"/>
    <w:rsid w:val="005E3A1F"/>
    <w:rsid w:val="005E4A17"/>
    <w:rsid w:val="005E4A66"/>
    <w:rsid w:val="005E66F2"/>
    <w:rsid w:val="005E6D3E"/>
    <w:rsid w:val="005E76E2"/>
    <w:rsid w:val="005E7B36"/>
    <w:rsid w:val="005F02E6"/>
    <w:rsid w:val="005F0811"/>
    <w:rsid w:val="005F0DA7"/>
    <w:rsid w:val="005F10F1"/>
    <w:rsid w:val="005F1911"/>
    <w:rsid w:val="005F2556"/>
    <w:rsid w:val="005F2CBA"/>
    <w:rsid w:val="005F3216"/>
    <w:rsid w:val="005F3DD5"/>
    <w:rsid w:val="005F40F9"/>
    <w:rsid w:val="005F41DC"/>
    <w:rsid w:val="005F4DFE"/>
    <w:rsid w:val="005F4EF9"/>
    <w:rsid w:val="005F5D08"/>
    <w:rsid w:val="005F5E3D"/>
    <w:rsid w:val="005F61AC"/>
    <w:rsid w:val="005F66FC"/>
    <w:rsid w:val="005F780F"/>
    <w:rsid w:val="005F7CB9"/>
    <w:rsid w:val="005F7F53"/>
    <w:rsid w:val="0060020B"/>
    <w:rsid w:val="006006DD"/>
    <w:rsid w:val="00600C4B"/>
    <w:rsid w:val="00600DF8"/>
    <w:rsid w:val="006015AE"/>
    <w:rsid w:val="006017B1"/>
    <w:rsid w:val="00601B03"/>
    <w:rsid w:val="0060211B"/>
    <w:rsid w:val="0060446C"/>
    <w:rsid w:val="00604968"/>
    <w:rsid w:val="00604AF8"/>
    <w:rsid w:val="00605CDC"/>
    <w:rsid w:val="0060685F"/>
    <w:rsid w:val="00607066"/>
    <w:rsid w:val="00607197"/>
    <w:rsid w:val="00607A16"/>
    <w:rsid w:val="0061068C"/>
    <w:rsid w:val="006109F8"/>
    <w:rsid w:val="00610F78"/>
    <w:rsid w:val="0061154D"/>
    <w:rsid w:val="00611FFF"/>
    <w:rsid w:val="00612D34"/>
    <w:rsid w:val="0061358B"/>
    <w:rsid w:val="0061427C"/>
    <w:rsid w:val="00614351"/>
    <w:rsid w:val="006147EA"/>
    <w:rsid w:val="006148BE"/>
    <w:rsid w:val="00616C9F"/>
    <w:rsid w:val="00617146"/>
    <w:rsid w:val="006175AF"/>
    <w:rsid w:val="00620CE5"/>
    <w:rsid w:val="0062137A"/>
    <w:rsid w:val="00622241"/>
    <w:rsid w:val="006222B7"/>
    <w:rsid w:val="00622A9E"/>
    <w:rsid w:val="00623075"/>
    <w:rsid w:val="00623910"/>
    <w:rsid w:val="00624308"/>
    <w:rsid w:val="00624A27"/>
    <w:rsid w:val="00624D74"/>
    <w:rsid w:val="00624FC7"/>
    <w:rsid w:val="00625B89"/>
    <w:rsid w:val="00625D3E"/>
    <w:rsid w:val="006260C4"/>
    <w:rsid w:val="00626ACE"/>
    <w:rsid w:val="0062716D"/>
    <w:rsid w:val="0062772C"/>
    <w:rsid w:val="00627AF2"/>
    <w:rsid w:val="006301D4"/>
    <w:rsid w:val="0063023F"/>
    <w:rsid w:val="00631F9D"/>
    <w:rsid w:val="00632802"/>
    <w:rsid w:val="006329F7"/>
    <w:rsid w:val="00632F94"/>
    <w:rsid w:val="00633776"/>
    <w:rsid w:val="006343EA"/>
    <w:rsid w:val="006344EC"/>
    <w:rsid w:val="0063632F"/>
    <w:rsid w:val="00636B1F"/>
    <w:rsid w:val="00640E38"/>
    <w:rsid w:val="00641D68"/>
    <w:rsid w:val="00643676"/>
    <w:rsid w:val="00644603"/>
    <w:rsid w:val="00645BF9"/>
    <w:rsid w:val="006460CA"/>
    <w:rsid w:val="0064629D"/>
    <w:rsid w:val="006474F6"/>
    <w:rsid w:val="00647819"/>
    <w:rsid w:val="00650C56"/>
    <w:rsid w:val="00651BBA"/>
    <w:rsid w:val="00652858"/>
    <w:rsid w:val="00653307"/>
    <w:rsid w:val="006535BB"/>
    <w:rsid w:val="006535D5"/>
    <w:rsid w:val="006558DC"/>
    <w:rsid w:val="00655A8C"/>
    <w:rsid w:val="006560BC"/>
    <w:rsid w:val="00656460"/>
    <w:rsid w:val="00656B27"/>
    <w:rsid w:val="00656CE2"/>
    <w:rsid w:val="00656E59"/>
    <w:rsid w:val="00657F8B"/>
    <w:rsid w:val="006601A1"/>
    <w:rsid w:val="00660401"/>
    <w:rsid w:val="006606A2"/>
    <w:rsid w:val="006618FC"/>
    <w:rsid w:val="00661C6A"/>
    <w:rsid w:val="0066277E"/>
    <w:rsid w:val="00662CD3"/>
    <w:rsid w:val="006635C8"/>
    <w:rsid w:val="0066393D"/>
    <w:rsid w:val="00663BA9"/>
    <w:rsid w:val="00663D00"/>
    <w:rsid w:val="00663E86"/>
    <w:rsid w:val="00664AB1"/>
    <w:rsid w:val="00664C69"/>
    <w:rsid w:val="00665B7D"/>
    <w:rsid w:val="00665BD5"/>
    <w:rsid w:val="00667BAF"/>
    <w:rsid w:val="00667DA9"/>
    <w:rsid w:val="00670325"/>
    <w:rsid w:val="0067041F"/>
    <w:rsid w:val="006708F5"/>
    <w:rsid w:val="006713B9"/>
    <w:rsid w:val="00671B7E"/>
    <w:rsid w:val="0067280E"/>
    <w:rsid w:val="00672FC1"/>
    <w:rsid w:val="00673150"/>
    <w:rsid w:val="006746B1"/>
    <w:rsid w:val="0067577C"/>
    <w:rsid w:val="006767BC"/>
    <w:rsid w:val="006771B4"/>
    <w:rsid w:val="00677B9F"/>
    <w:rsid w:val="00677EE2"/>
    <w:rsid w:val="00681282"/>
    <w:rsid w:val="00681D75"/>
    <w:rsid w:val="00681EAE"/>
    <w:rsid w:val="00682275"/>
    <w:rsid w:val="0068242E"/>
    <w:rsid w:val="00683349"/>
    <w:rsid w:val="006836D7"/>
    <w:rsid w:val="00684BAF"/>
    <w:rsid w:val="00685210"/>
    <w:rsid w:val="00685AC6"/>
    <w:rsid w:val="006865B1"/>
    <w:rsid w:val="0068700D"/>
    <w:rsid w:val="0068727E"/>
    <w:rsid w:val="00690ECC"/>
    <w:rsid w:val="006929C0"/>
    <w:rsid w:val="00695575"/>
    <w:rsid w:val="0069599C"/>
    <w:rsid w:val="00695F2D"/>
    <w:rsid w:val="00696583"/>
    <w:rsid w:val="00696EBB"/>
    <w:rsid w:val="00696EFD"/>
    <w:rsid w:val="00697BE4"/>
    <w:rsid w:val="006A17CD"/>
    <w:rsid w:val="006A1F10"/>
    <w:rsid w:val="006A2477"/>
    <w:rsid w:val="006A39A2"/>
    <w:rsid w:val="006A4207"/>
    <w:rsid w:val="006A4A62"/>
    <w:rsid w:val="006A4D4E"/>
    <w:rsid w:val="006A5CD2"/>
    <w:rsid w:val="006A6A99"/>
    <w:rsid w:val="006A6DB3"/>
    <w:rsid w:val="006B0093"/>
    <w:rsid w:val="006B0529"/>
    <w:rsid w:val="006B095D"/>
    <w:rsid w:val="006B0D7C"/>
    <w:rsid w:val="006B0EFB"/>
    <w:rsid w:val="006B15D8"/>
    <w:rsid w:val="006B1980"/>
    <w:rsid w:val="006B2071"/>
    <w:rsid w:val="006B2D53"/>
    <w:rsid w:val="006B40DD"/>
    <w:rsid w:val="006B630A"/>
    <w:rsid w:val="006B6505"/>
    <w:rsid w:val="006B6A4C"/>
    <w:rsid w:val="006B6DD8"/>
    <w:rsid w:val="006B7C24"/>
    <w:rsid w:val="006C013C"/>
    <w:rsid w:val="006C1577"/>
    <w:rsid w:val="006C1A37"/>
    <w:rsid w:val="006C1BA3"/>
    <w:rsid w:val="006C2475"/>
    <w:rsid w:val="006C26EE"/>
    <w:rsid w:val="006C2DE8"/>
    <w:rsid w:val="006C4ADA"/>
    <w:rsid w:val="006C5ACD"/>
    <w:rsid w:val="006C5C60"/>
    <w:rsid w:val="006C6300"/>
    <w:rsid w:val="006C6991"/>
    <w:rsid w:val="006C6B20"/>
    <w:rsid w:val="006C6DF2"/>
    <w:rsid w:val="006C7967"/>
    <w:rsid w:val="006D0954"/>
    <w:rsid w:val="006D0D19"/>
    <w:rsid w:val="006D1544"/>
    <w:rsid w:val="006D1BAD"/>
    <w:rsid w:val="006D1F86"/>
    <w:rsid w:val="006D2493"/>
    <w:rsid w:val="006D28D1"/>
    <w:rsid w:val="006D31E6"/>
    <w:rsid w:val="006D3280"/>
    <w:rsid w:val="006D36B7"/>
    <w:rsid w:val="006D3A49"/>
    <w:rsid w:val="006D4A6E"/>
    <w:rsid w:val="006D4C9E"/>
    <w:rsid w:val="006D5265"/>
    <w:rsid w:val="006D686D"/>
    <w:rsid w:val="006D68FE"/>
    <w:rsid w:val="006D781F"/>
    <w:rsid w:val="006E00A8"/>
    <w:rsid w:val="006E013E"/>
    <w:rsid w:val="006E07E3"/>
    <w:rsid w:val="006E16F1"/>
    <w:rsid w:val="006E2683"/>
    <w:rsid w:val="006E2B91"/>
    <w:rsid w:val="006E359B"/>
    <w:rsid w:val="006E35AF"/>
    <w:rsid w:val="006E37EC"/>
    <w:rsid w:val="006E39EE"/>
    <w:rsid w:val="006E3A42"/>
    <w:rsid w:val="006E434B"/>
    <w:rsid w:val="006E650B"/>
    <w:rsid w:val="006E683D"/>
    <w:rsid w:val="006E725D"/>
    <w:rsid w:val="006E75BF"/>
    <w:rsid w:val="006F09B5"/>
    <w:rsid w:val="006F0F60"/>
    <w:rsid w:val="006F1349"/>
    <w:rsid w:val="006F185A"/>
    <w:rsid w:val="006F201F"/>
    <w:rsid w:val="006F2C03"/>
    <w:rsid w:val="006F329D"/>
    <w:rsid w:val="006F3559"/>
    <w:rsid w:val="006F3E3F"/>
    <w:rsid w:val="006F48B3"/>
    <w:rsid w:val="006F48B8"/>
    <w:rsid w:val="006F4ACE"/>
    <w:rsid w:val="006F5468"/>
    <w:rsid w:val="006F553C"/>
    <w:rsid w:val="006F5924"/>
    <w:rsid w:val="006F5A23"/>
    <w:rsid w:val="006F6258"/>
    <w:rsid w:val="006F65E1"/>
    <w:rsid w:val="006F6B39"/>
    <w:rsid w:val="006F72C2"/>
    <w:rsid w:val="006F77D3"/>
    <w:rsid w:val="006F7F8E"/>
    <w:rsid w:val="007005DF"/>
    <w:rsid w:val="00700869"/>
    <w:rsid w:val="00700E4E"/>
    <w:rsid w:val="00701552"/>
    <w:rsid w:val="007029D0"/>
    <w:rsid w:val="00702A7B"/>
    <w:rsid w:val="00702F9A"/>
    <w:rsid w:val="00703D81"/>
    <w:rsid w:val="00704095"/>
    <w:rsid w:val="007042D4"/>
    <w:rsid w:val="0070457E"/>
    <w:rsid w:val="00704FDE"/>
    <w:rsid w:val="00705448"/>
    <w:rsid w:val="0070597B"/>
    <w:rsid w:val="007079FE"/>
    <w:rsid w:val="007104EF"/>
    <w:rsid w:val="007106D7"/>
    <w:rsid w:val="0071188B"/>
    <w:rsid w:val="00711C0A"/>
    <w:rsid w:val="007122EC"/>
    <w:rsid w:val="00713FC9"/>
    <w:rsid w:val="00714157"/>
    <w:rsid w:val="00714504"/>
    <w:rsid w:val="007173D9"/>
    <w:rsid w:val="0071742A"/>
    <w:rsid w:val="0071744B"/>
    <w:rsid w:val="00717FBC"/>
    <w:rsid w:val="00720511"/>
    <w:rsid w:val="00721308"/>
    <w:rsid w:val="00721485"/>
    <w:rsid w:val="007238ED"/>
    <w:rsid w:val="00723DEF"/>
    <w:rsid w:val="00724167"/>
    <w:rsid w:val="0072419D"/>
    <w:rsid w:val="007242C1"/>
    <w:rsid w:val="00725B1D"/>
    <w:rsid w:val="0072615B"/>
    <w:rsid w:val="0072653E"/>
    <w:rsid w:val="00727D0C"/>
    <w:rsid w:val="007304C4"/>
    <w:rsid w:val="0073081F"/>
    <w:rsid w:val="00730B82"/>
    <w:rsid w:val="00730E8F"/>
    <w:rsid w:val="00730EF2"/>
    <w:rsid w:val="00731D48"/>
    <w:rsid w:val="00733BE0"/>
    <w:rsid w:val="00733D9F"/>
    <w:rsid w:val="00734484"/>
    <w:rsid w:val="00735A67"/>
    <w:rsid w:val="00735AB1"/>
    <w:rsid w:val="00737842"/>
    <w:rsid w:val="00737B8A"/>
    <w:rsid w:val="00740188"/>
    <w:rsid w:val="007401CD"/>
    <w:rsid w:val="00740B06"/>
    <w:rsid w:val="00741237"/>
    <w:rsid w:val="00741CC0"/>
    <w:rsid w:val="00742076"/>
    <w:rsid w:val="00742360"/>
    <w:rsid w:val="00742598"/>
    <w:rsid w:val="0074342F"/>
    <w:rsid w:val="007442E6"/>
    <w:rsid w:val="00745136"/>
    <w:rsid w:val="00745A15"/>
    <w:rsid w:val="00745C13"/>
    <w:rsid w:val="00745DD2"/>
    <w:rsid w:val="007460CC"/>
    <w:rsid w:val="007461BF"/>
    <w:rsid w:val="007465E0"/>
    <w:rsid w:val="00747C13"/>
    <w:rsid w:val="00750F6B"/>
    <w:rsid w:val="0075121F"/>
    <w:rsid w:val="00751354"/>
    <w:rsid w:val="007515C7"/>
    <w:rsid w:val="007515EE"/>
    <w:rsid w:val="00752479"/>
    <w:rsid w:val="00753094"/>
    <w:rsid w:val="00753397"/>
    <w:rsid w:val="00753676"/>
    <w:rsid w:val="00753E1E"/>
    <w:rsid w:val="007543CB"/>
    <w:rsid w:val="00755C13"/>
    <w:rsid w:val="00756909"/>
    <w:rsid w:val="0075768B"/>
    <w:rsid w:val="00757FEB"/>
    <w:rsid w:val="00760D10"/>
    <w:rsid w:val="00760FA9"/>
    <w:rsid w:val="00761082"/>
    <w:rsid w:val="007614B7"/>
    <w:rsid w:val="00762108"/>
    <w:rsid w:val="007627A1"/>
    <w:rsid w:val="00762AAB"/>
    <w:rsid w:val="007636B7"/>
    <w:rsid w:val="00764ED1"/>
    <w:rsid w:val="00765986"/>
    <w:rsid w:val="00765B2B"/>
    <w:rsid w:val="0076685D"/>
    <w:rsid w:val="0076776D"/>
    <w:rsid w:val="00767E34"/>
    <w:rsid w:val="00767F67"/>
    <w:rsid w:val="00770027"/>
    <w:rsid w:val="0077026D"/>
    <w:rsid w:val="00770B16"/>
    <w:rsid w:val="00770E38"/>
    <w:rsid w:val="0077161F"/>
    <w:rsid w:val="0077231F"/>
    <w:rsid w:val="0077336F"/>
    <w:rsid w:val="00774166"/>
    <w:rsid w:val="007751DE"/>
    <w:rsid w:val="00775B4B"/>
    <w:rsid w:val="00776151"/>
    <w:rsid w:val="007765D9"/>
    <w:rsid w:val="00776AF1"/>
    <w:rsid w:val="00776B0D"/>
    <w:rsid w:val="00780C9E"/>
    <w:rsid w:val="00780D64"/>
    <w:rsid w:val="00780F64"/>
    <w:rsid w:val="00781086"/>
    <w:rsid w:val="0078133D"/>
    <w:rsid w:val="00781E34"/>
    <w:rsid w:val="00782B8D"/>
    <w:rsid w:val="00783D00"/>
    <w:rsid w:val="00784B85"/>
    <w:rsid w:val="00785785"/>
    <w:rsid w:val="0078579E"/>
    <w:rsid w:val="00786853"/>
    <w:rsid w:val="00786D25"/>
    <w:rsid w:val="00790606"/>
    <w:rsid w:val="00790F6D"/>
    <w:rsid w:val="00791862"/>
    <w:rsid w:val="00791DED"/>
    <w:rsid w:val="00792635"/>
    <w:rsid w:val="00792AA8"/>
    <w:rsid w:val="00793AAE"/>
    <w:rsid w:val="00793E8E"/>
    <w:rsid w:val="007945A0"/>
    <w:rsid w:val="00794972"/>
    <w:rsid w:val="007961E0"/>
    <w:rsid w:val="007962C1"/>
    <w:rsid w:val="007962E1"/>
    <w:rsid w:val="0079671D"/>
    <w:rsid w:val="00796EE7"/>
    <w:rsid w:val="00797022"/>
    <w:rsid w:val="00797A06"/>
    <w:rsid w:val="007A0189"/>
    <w:rsid w:val="007A0428"/>
    <w:rsid w:val="007A11CE"/>
    <w:rsid w:val="007A11F0"/>
    <w:rsid w:val="007A183D"/>
    <w:rsid w:val="007A2124"/>
    <w:rsid w:val="007A23C8"/>
    <w:rsid w:val="007A2A3A"/>
    <w:rsid w:val="007A2FE4"/>
    <w:rsid w:val="007A3ABE"/>
    <w:rsid w:val="007A4CB0"/>
    <w:rsid w:val="007A50A2"/>
    <w:rsid w:val="007A5346"/>
    <w:rsid w:val="007A5B52"/>
    <w:rsid w:val="007A60F8"/>
    <w:rsid w:val="007A62C3"/>
    <w:rsid w:val="007A6455"/>
    <w:rsid w:val="007A6692"/>
    <w:rsid w:val="007A6717"/>
    <w:rsid w:val="007A7C72"/>
    <w:rsid w:val="007B01D1"/>
    <w:rsid w:val="007B1888"/>
    <w:rsid w:val="007B1967"/>
    <w:rsid w:val="007B341B"/>
    <w:rsid w:val="007B3659"/>
    <w:rsid w:val="007B391D"/>
    <w:rsid w:val="007B4102"/>
    <w:rsid w:val="007B4A2B"/>
    <w:rsid w:val="007B4B1B"/>
    <w:rsid w:val="007B651A"/>
    <w:rsid w:val="007B6648"/>
    <w:rsid w:val="007B6669"/>
    <w:rsid w:val="007C10CA"/>
    <w:rsid w:val="007C1613"/>
    <w:rsid w:val="007C1690"/>
    <w:rsid w:val="007C2C3F"/>
    <w:rsid w:val="007C311B"/>
    <w:rsid w:val="007C3401"/>
    <w:rsid w:val="007C350B"/>
    <w:rsid w:val="007C364A"/>
    <w:rsid w:val="007C3A9D"/>
    <w:rsid w:val="007C462E"/>
    <w:rsid w:val="007C4F62"/>
    <w:rsid w:val="007C506B"/>
    <w:rsid w:val="007C6B17"/>
    <w:rsid w:val="007C78B3"/>
    <w:rsid w:val="007C792F"/>
    <w:rsid w:val="007C7AB5"/>
    <w:rsid w:val="007D02EE"/>
    <w:rsid w:val="007D0986"/>
    <w:rsid w:val="007D0B09"/>
    <w:rsid w:val="007D1680"/>
    <w:rsid w:val="007D2188"/>
    <w:rsid w:val="007D2B64"/>
    <w:rsid w:val="007D2B8A"/>
    <w:rsid w:val="007D2C6E"/>
    <w:rsid w:val="007D2DCC"/>
    <w:rsid w:val="007D2E34"/>
    <w:rsid w:val="007D3C73"/>
    <w:rsid w:val="007D3F45"/>
    <w:rsid w:val="007D4541"/>
    <w:rsid w:val="007D4AD3"/>
    <w:rsid w:val="007D4B9B"/>
    <w:rsid w:val="007D59A7"/>
    <w:rsid w:val="007D698B"/>
    <w:rsid w:val="007D74CE"/>
    <w:rsid w:val="007D7BB6"/>
    <w:rsid w:val="007E24E2"/>
    <w:rsid w:val="007E3121"/>
    <w:rsid w:val="007E3E9B"/>
    <w:rsid w:val="007E3EE9"/>
    <w:rsid w:val="007E5D35"/>
    <w:rsid w:val="007E7741"/>
    <w:rsid w:val="007E776B"/>
    <w:rsid w:val="007F09F7"/>
    <w:rsid w:val="007F128A"/>
    <w:rsid w:val="007F1EF5"/>
    <w:rsid w:val="007F234D"/>
    <w:rsid w:val="007F453C"/>
    <w:rsid w:val="007F4938"/>
    <w:rsid w:val="007F4D14"/>
    <w:rsid w:val="007F52A6"/>
    <w:rsid w:val="007F5789"/>
    <w:rsid w:val="007F5E16"/>
    <w:rsid w:val="007F6504"/>
    <w:rsid w:val="007F676F"/>
    <w:rsid w:val="007F67C4"/>
    <w:rsid w:val="007F68DA"/>
    <w:rsid w:val="007F71AA"/>
    <w:rsid w:val="008004E7"/>
    <w:rsid w:val="00800D6F"/>
    <w:rsid w:val="008011AA"/>
    <w:rsid w:val="008011B0"/>
    <w:rsid w:val="0080276C"/>
    <w:rsid w:val="00803E00"/>
    <w:rsid w:val="00804989"/>
    <w:rsid w:val="00804A58"/>
    <w:rsid w:val="00805828"/>
    <w:rsid w:val="008060C8"/>
    <w:rsid w:val="008066C5"/>
    <w:rsid w:val="00807662"/>
    <w:rsid w:val="00807E36"/>
    <w:rsid w:val="00810F5C"/>
    <w:rsid w:val="00811251"/>
    <w:rsid w:val="008116EB"/>
    <w:rsid w:val="00811A03"/>
    <w:rsid w:val="00812723"/>
    <w:rsid w:val="008130FA"/>
    <w:rsid w:val="00813E26"/>
    <w:rsid w:val="00814A6A"/>
    <w:rsid w:val="00814ED4"/>
    <w:rsid w:val="008152E3"/>
    <w:rsid w:val="0081557C"/>
    <w:rsid w:val="008159B1"/>
    <w:rsid w:val="00815A84"/>
    <w:rsid w:val="00816035"/>
    <w:rsid w:val="0081665C"/>
    <w:rsid w:val="0081697C"/>
    <w:rsid w:val="00817EE8"/>
    <w:rsid w:val="00820282"/>
    <w:rsid w:val="00820651"/>
    <w:rsid w:val="00820701"/>
    <w:rsid w:val="0082075E"/>
    <w:rsid w:val="0082117F"/>
    <w:rsid w:val="00821F00"/>
    <w:rsid w:val="00823450"/>
    <w:rsid w:val="00823476"/>
    <w:rsid w:val="00823AAE"/>
    <w:rsid w:val="0082582E"/>
    <w:rsid w:val="00825B98"/>
    <w:rsid w:val="00825CC7"/>
    <w:rsid w:val="0082607C"/>
    <w:rsid w:val="0082619C"/>
    <w:rsid w:val="00830ED1"/>
    <w:rsid w:val="00831A0D"/>
    <w:rsid w:val="00832A96"/>
    <w:rsid w:val="00832DCF"/>
    <w:rsid w:val="00833F27"/>
    <w:rsid w:val="00834D2B"/>
    <w:rsid w:val="008366AB"/>
    <w:rsid w:val="00836AD2"/>
    <w:rsid w:val="00836E96"/>
    <w:rsid w:val="008375CC"/>
    <w:rsid w:val="008413A1"/>
    <w:rsid w:val="008415CC"/>
    <w:rsid w:val="00841875"/>
    <w:rsid w:val="0084263C"/>
    <w:rsid w:val="00842862"/>
    <w:rsid w:val="00844802"/>
    <w:rsid w:val="00844A64"/>
    <w:rsid w:val="00845199"/>
    <w:rsid w:val="008452CC"/>
    <w:rsid w:val="008465BA"/>
    <w:rsid w:val="00846801"/>
    <w:rsid w:val="008469CD"/>
    <w:rsid w:val="00847DFE"/>
    <w:rsid w:val="008503C8"/>
    <w:rsid w:val="00851111"/>
    <w:rsid w:val="008525CF"/>
    <w:rsid w:val="008538E6"/>
    <w:rsid w:val="008542CC"/>
    <w:rsid w:val="008547A9"/>
    <w:rsid w:val="00854CA6"/>
    <w:rsid w:val="00855058"/>
    <w:rsid w:val="00856DA6"/>
    <w:rsid w:val="00860973"/>
    <w:rsid w:val="00860B77"/>
    <w:rsid w:val="00860E2C"/>
    <w:rsid w:val="008612C0"/>
    <w:rsid w:val="0086183E"/>
    <w:rsid w:val="00862F1E"/>
    <w:rsid w:val="00863F04"/>
    <w:rsid w:val="008640BD"/>
    <w:rsid w:val="008648B5"/>
    <w:rsid w:val="008650DF"/>
    <w:rsid w:val="0086566B"/>
    <w:rsid w:val="00865A78"/>
    <w:rsid w:val="0086641A"/>
    <w:rsid w:val="00867F20"/>
    <w:rsid w:val="00867F68"/>
    <w:rsid w:val="00870174"/>
    <w:rsid w:val="00871158"/>
    <w:rsid w:val="00871770"/>
    <w:rsid w:val="00871E2F"/>
    <w:rsid w:val="008720A3"/>
    <w:rsid w:val="00872589"/>
    <w:rsid w:val="008737D3"/>
    <w:rsid w:val="00873E0E"/>
    <w:rsid w:val="008741D6"/>
    <w:rsid w:val="008748E7"/>
    <w:rsid w:val="008752C6"/>
    <w:rsid w:val="0087589F"/>
    <w:rsid w:val="00875AED"/>
    <w:rsid w:val="00875BBE"/>
    <w:rsid w:val="00875C74"/>
    <w:rsid w:val="00876897"/>
    <w:rsid w:val="008779A7"/>
    <w:rsid w:val="00877CBF"/>
    <w:rsid w:val="00880744"/>
    <w:rsid w:val="00880FFB"/>
    <w:rsid w:val="0088137B"/>
    <w:rsid w:val="00882D53"/>
    <w:rsid w:val="00882E7D"/>
    <w:rsid w:val="0088340A"/>
    <w:rsid w:val="00883437"/>
    <w:rsid w:val="008834C5"/>
    <w:rsid w:val="00883C24"/>
    <w:rsid w:val="00884AAB"/>
    <w:rsid w:val="00884B5A"/>
    <w:rsid w:val="00884DA5"/>
    <w:rsid w:val="008853F8"/>
    <w:rsid w:val="00885D18"/>
    <w:rsid w:val="00886A2D"/>
    <w:rsid w:val="00886B14"/>
    <w:rsid w:val="00886C0B"/>
    <w:rsid w:val="00890435"/>
    <w:rsid w:val="008953BD"/>
    <w:rsid w:val="008959C4"/>
    <w:rsid w:val="00896622"/>
    <w:rsid w:val="008968C4"/>
    <w:rsid w:val="00896ABE"/>
    <w:rsid w:val="00897685"/>
    <w:rsid w:val="00897A21"/>
    <w:rsid w:val="00897D02"/>
    <w:rsid w:val="00897DB9"/>
    <w:rsid w:val="008A00AF"/>
    <w:rsid w:val="008A0210"/>
    <w:rsid w:val="008A0E2F"/>
    <w:rsid w:val="008A1D49"/>
    <w:rsid w:val="008A24AD"/>
    <w:rsid w:val="008A285D"/>
    <w:rsid w:val="008A2D57"/>
    <w:rsid w:val="008A43E2"/>
    <w:rsid w:val="008A4628"/>
    <w:rsid w:val="008A5880"/>
    <w:rsid w:val="008A63ED"/>
    <w:rsid w:val="008A6E56"/>
    <w:rsid w:val="008B0C00"/>
    <w:rsid w:val="008B102B"/>
    <w:rsid w:val="008B27C7"/>
    <w:rsid w:val="008B35F3"/>
    <w:rsid w:val="008B42A1"/>
    <w:rsid w:val="008B43B2"/>
    <w:rsid w:val="008B47CB"/>
    <w:rsid w:val="008B4EBE"/>
    <w:rsid w:val="008B546F"/>
    <w:rsid w:val="008B58FA"/>
    <w:rsid w:val="008B66CB"/>
    <w:rsid w:val="008B6A6C"/>
    <w:rsid w:val="008C0078"/>
    <w:rsid w:val="008C0C66"/>
    <w:rsid w:val="008C0E6C"/>
    <w:rsid w:val="008C0FC6"/>
    <w:rsid w:val="008C15BB"/>
    <w:rsid w:val="008C28E5"/>
    <w:rsid w:val="008C28F0"/>
    <w:rsid w:val="008C3100"/>
    <w:rsid w:val="008C320C"/>
    <w:rsid w:val="008C382A"/>
    <w:rsid w:val="008C4024"/>
    <w:rsid w:val="008C4564"/>
    <w:rsid w:val="008C4BEA"/>
    <w:rsid w:val="008C4E5F"/>
    <w:rsid w:val="008C5177"/>
    <w:rsid w:val="008C563C"/>
    <w:rsid w:val="008C6886"/>
    <w:rsid w:val="008C68F6"/>
    <w:rsid w:val="008C69ED"/>
    <w:rsid w:val="008C6C82"/>
    <w:rsid w:val="008C78E0"/>
    <w:rsid w:val="008D0245"/>
    <w:rsid w:val="008D0C8E"/>
    <w:rsid w:val="008D104F"/>
    <w:rsid w:val="008D15F7"/>
    <w:rsid w:val="008D1814"/>
    <w:rsid w:val="008D1FDE"/>
    <w:rsid w:val="008D339A"/>
    <w:rsid w:val="008D351D"/>
    <w:rsid w:val="008D39A4"/>
    <w:rsid w:val="008D3A0F"/>
    <w:rsid w:val="008D5353"/>
    <w:rsid w:val="008D67A0"/>
    <w:rsid w:val="008D6F43"/>
    <w:rsid w:val="008D77B5"/>
    <w:rsid w:val="008E0689"/>
    <w:rsid w:val="008E0735"/>
    <w:rsid w:val="008E0894"/>
    <w:rsid w:val="008E11DD"/>
    <w:rsid w:val="008E1910"/>
    <w:rsid w:val="008E1C45"/>
    <w:rsid w:val="008E1D37"/>
    <w:rsid w:val="008E242E"/>
    <w:rsid w:val="008E3D80"/>
    <w:rsid w:val="008E4180"/>
    <w:rsid w:val="008E4373"/>
    <w:rsid w:val="008E48A6"/>
    <w:rsid w:val="008E4C17"/>
    <w:rsid w:val="008E5895"/>
    <w:rsid w:val="008E5DAB"/>
    <w:rsid w:val="008E63D6"/>
    <w:rsid w:val="008E647B"/>
    <w:rsid w:val="008E7B61"/>
    <w:rsid w:val="008F221B"/>
    <w:rsid w:val="008F33C6"/>
    <w:rsid w:val="008F3AE2"/>
    <w:rsid w:val="008F6221"/>
    <w:rsid w:val="008F6B24"/>
    <w:rsid w:val="008F722B"/>
    <w:rsid w:val="008F7441"/>
    <w:rsid w:val="008F777B"/>
    <w:rsid w:val="008F79D4"/>
    <w:rsid w:val="008F7CCE"/>
    <w:rsid w:val="008F7F3B"/>
    <w:rsid w:val="0090102C"/>
    <w:rsid w:val="009014F2"/>
    <w:rsid w:val="00901AEE"/>
    <w:rsid w:val="00901FF5"/>
    <w:rsid w:val="0090271D"/>
    <w:rsid w:val="009028D0"/>
    <w:rsid w:val="00902AF7"/>
    <w:rsid w:val="00902C76"/>
    <w:rsid w:val="00903079"/>
    <w:rsid w:val="00905EE2"/>
    <w:rsid w:val="0090646F"/>
    <w:rsid w:val="009064E2"/>
    <w:rsid w:val="00907763"/>
    <w:rsid w:val="009077C7"/>
    <w:rsid w:val="00907FB5"/>
    <w:rsid w:val="00910449"/>
    <w:rsid w:val="0091049B"/>
    <w:rsid w:val="00910553"/>
    <w:rsid w:val="009106FB"/>
    <w:rsid w:val="0091090B"/>
    <w:rsid w:val="009111B6"/>
    <w:rsid w:val="00911221"/>
    <w:rsid w:val="0091220E"/>
    <w:rsid w:val="00912B03"/>
    <w:rsid w:val="00912C2B"/>
    <w:rsid w:val="00912DB8"/>
    <w:rsid w:val="00913306"/>
    <w:rsid w:val="0091465A"/>
    <w:rsid w:val="00915246"/>
    <w:rsid w:val="00915F40"/>
    <w:rsid w:val="00916EAF"/>
    <w:rsid w:val="0091782B"/>
    <w:rsid w:val="009201C7"/>
    <w:rsid w:val="00920216"/>
    <w:rsid w:val="00920463"/>
    <w:rsid w:val="00920F36"/>
    <w:rsid w:val="00922130"/>
    <w:rsid w:val="00922362"/>
    <w:rsid w:val="009231E5"/>
    <w:rsid w:val="009238C7"/>
    <w:rsid w:val="00923D68"/>
    <w:rsid w:val="00923E9A"/>
    <w:rsid w:val="00923F43"/>
    <w:rsid w:val="009245CA"/>
    <w:rsid w:val="00924D5D"/>
    <w:rsid w:val="00925E27"/>
    <w:rsid w:val="009263DE"/>
    <w:rsid w:val="00926E4D"/>
    <w:rsid w:val="0092744C"/>
    <w:rsid w:val="00930648"/>
    <w:rsid w:val="00930903"/>
    <w:rsid w:val="0093151C"/>
    <w:rsid w:val="0093224F"/>
    <w:rsid w:val="009333EB"/>
    <w:rsid w:val="0093352D"/>
    <w:rsid w:val="0093415E"/>
    <w:rsid w:val="009354D6"/>
    <w:rsid w:val="00935793"/>
    <w:rsid w:val="00935C27"/>
    <w:rsid w:val="00936C8B"/>
    <w:rsid w:val="00936E95"/>
    <w:rsid w:val="009370AA"/>
    <w:rsid w:val="009376FF"/>
    <w:rsid w:val="00940185"/>
    <w:rsid w:val="00940493"/>
    <w:rsid w:val="00940BCD"/>
    <w:rsid w:val="00940E41"/>
    <w:rsid w:val="00941132"/>
    <w:rsid w:val="00941279"/>
    <w:rsid w:val="0094241F"/>
    <w:rsid w:val="009436D3"/>
    <w:rsid w:val="009462D5"/>
    <w:rsid w:val="0094636C"/>
    <w:rsid w:val="00946B66"/>
    <w:rsid w:val="0094736E"/>
    <w:rsid w:val="00947693"/>
    <w:rsid w:val="00950305"/>
    <w:rsid w:val="00950536"/>
    <w:rsid w:val="00950544"/>
    <w:rsid w:val="009513EA"/>
    <w:rsid w:val="00951D4B"/>
    <w:rsid w:val="0095211A"/>
    <w:rsid w:val="009521A0"/>
    <w:rsid w:val="00953AC1"/>
    <w:rsid w:val="00953EB6"/>
    <w:rsid w:val="0095456C"/>
    <w:rsid w:val="009547B3"/>
    <w:rsid w:val="009551D0"/>
    <w:rsid w:val="00955669"/>
    <w:rsid w:val="00956148"/>
    <w:rsid w:val="009565B2"/>
    <w:rsid w:val="00956905"/>
    <w:rsid w:val="00956F90"/>
    <w:rsid w:val="00957E78"/>
    <w:rsid w:val="0096095E"/>
    <w:rsid w:val="00960E49"/>
    <w:rsid w:val="009614C6"/>
    <w:rsid w:val="00962BFB"/>
    <w:rsid w:val="00962E1C"/>
    <w:rsid w:val="0096338D"/>
    <w:rsid w:val="0096349D"/>
    <w:rsid w:val="0096351C"/>
    <w:rsid w:val="009638C5"/>
    <w:rsid w:val="00963D78"/>
    <w:rsid w:val="009644C4"/>
    <w:rsid w:val="00964954"/>
    <w:rsid w:val="00964F3C"/>
    <w:rsid w:val="00964F65"/>
    <w:rsid w:val="009657E4"/>
    <w:rsid w:val="009665F1"/>
    <w:rsid w:val="0096678E"/>
    <w:rsid w:val="00966974"/>
    <w:rsid w:val="00966C5F"/>
    <w:rsid w:val="00966DEC"/>
    <w:rsid w:val="00967135"/>
    <w:rsid w:val="00970051"/>
    <w:rsid w:val="00970381"/>
    <w:rsid w:val="0097077A"/>
    <w:rsid w:val="0097087B"/>
    <w:rsid w:val="009709BD"/>
    <w:rsid w:val="00970BE0"/>
    <w:rsid w:val="00970EA6"/>
    <w:rsid w:val="009731E5"/>
    <w:rsid w:val="0097427A"/>
    <w:rsid w:val="00974C6B"/>
    <w:rsid w:val="00974E25"/>
    <w:rsid w:val="0097633B"/>
    <w:rsid w:val="0097663A"/>
    <w:rsid w:val="0097673B"/>
    <w:rsid w:val="00976FD2"/>
    <w:rsid w:val="009776E5"/>
    <w:rsid w:val="009802FE"/>
    <w:rsid w:val="009803EE"/>
    <w:rsid w:val="009806C6"/>
    <w:rsid w:val="00980D63"/>
    <w:rsid w:val="009820C0"/>
    <w:rsid w:val="00982440"/>
    <w:rsid w:val="0098264F"/>
    <w:rsid w:val="00983DDD"/>
    <w:rsid w:val="009864DA"/>
    <w:rsid w:val="00986534"/>
    <w:rsid w:val="00986BA5"/>
    <w:rsid w:val="0098709A"/>
    <w:rsid w:val="00987C7D"/>
    <w:rsid w:val="00990380"/>
    <w:rsid w:val="0099102F"/>
    <w:rsid w:val="009921DB"/>
    <w:rsid w:val="009937B5"/>
    <w:rsid w:val="00993DFD"/>
    <w:rsid w:val="009940EF"/>
    <w:rsid w:val="0099471E"/>
    <w:rsid w:val="00994A8D"/>
    <w:rsid w:val="00994BDD"/>
    <w:rsid w:val="00994D06"/>
    <w:rsid w:val="009951EF"/>
    <w:rsid w:val="00996B22"/>
    <w:rsid w:val="00997B46"/>
    <w:rsid w:val="00997CF0"/>
    <w:rsid w:val="00997E2C"/>
    <w:rsid w:val="009A0BBC"/>
    <w:rsid w:val="009A0FC0"/>
    <w:rsid w:val="009A18C4"/>
    <w:rsid w:val="009A20B0"/>
    <w:rsid w:val="009A2759"/>
    <w:rsid w:val="009A3CD3"/>
    <w:rsid w:val="009A4126"/>
    <w:rsid w:val="009A4728"/>
    <w:rsid w:val="009A5041"/>
    <w:rsid w:val="009A5AFD"/>
    <w:rsid w:val="009A5BC9"/>
    <w:rsid w:val="009A65E7"/>
    <w:rsid w:val="009A667D"/>
    <w:rsid w:val="009A6EFD"/>
    <w:rsid w:val="009A7421"/>
    <w:rsid w:val="009A7ED5"/>
    <w:rsid w:val="009B0500"/>
    <w:rsid w:val="009B07E3"/>
    <w:rsid w:val="009B0ADA"/>
    <w:rsid w:val="009B222B"/>
    <w:rsid w:val="009B3207"/>
    <w:rsid w:val="009B39DC"/>
    <w:rsid w:val="009B61E7"/>
    <w:rsid w:val="009B6680"/>
    <w:rsid w:val="009B6BB0"/>
    <w:rsid w:val="009B76C5"/>
    <w:rsid w:val="009C0087"/>
    <w:rsid w:val="009C00DB"/>
    <w:rsid w:val="009C149D"/>
    <w:rsid w:val="009C3319"/>
    <w:rsid w:val="009C35FC"/>
    <w:rsid w:val="009C3FED"/>
    <w:rsid w:val="009C4ACA"/>
    <w:rsid w:val="009C57AB"/>
    <w:rsid w:val="009C5DCB"/>
    <w:rsid w:val="009C642B"/>
    <w:rsid w:val="009C6E72"/>
    <w:rsid w:val="009C72AF"/>
    <w:rsid w:val="009C7547"/>
    <w:rsid w:val="009D0B9D"/>
    <w:rsid w:val="009D1ECC"/>
    <w:rsid w:val="009D35F1"/>
    <w:rsid w:val="009D3AFF"/>
    <w:rsid w:val="009D3C3F"/>
    <w:rsid w:val="009D4D67"/>
    <w:rsid w:val="009D4F6D"/>
    <w:rsid w:val="009D58D6"/>
    <w:rsid w:val="009D5DA6"/>
    <w:rsid w:val="009D635B"/>
    <w:rsid w:val="009D66DC"/>
    <w:rsid w:val="009D7276"/>
    <w:rsid w:val="009D7F6F"/>
    <w:rsid w:val="009E02C3"/>
    <w:rsid w:val="009E0393"/>
    <w:rsid w:val="009E07D3"/>
    <w:rsid w:val="009E08B0"/>
    <w:rsid w:val="009E2326"/>
    <w:rsid w:val="009E254A"/>
    <w:rsid w:val="009E2EDC"/>
    <w:rsid w:val="009E4679"/>
    <w:rsid w:val="009E51E5"/>
    <w:rsid w:val="009E52B5"/>
    <w:rsid w:val="009E56FE"/>
    <w:rsid w:val="009E5FEA"/>
    <w:rsid w:val="009E65EB"/>
    <w:rsid w:val="009E6C1D"/>
    <w:rsid w:val="009E72FF"/>
    <w:rsid w:val="009E7392"/>
    <w:rsid w:val="009E76C3"/>
    <w:rsid w:val="009E7A3F"/>
    <w:rsid w:val="009F017F"/>
    <w:rsid w:val="009F06F2"/>
    <w:rsid w:val="009F07F4"/>
    <w:rsid w:val="009F0BE0"/>
    <w:rsid w:val="009F268A"/>
    <w:rsid w:val="009F277E"/>
    <w:rsid w:val="009F2BF3"/>
    <w:rsid w:val="009F2E0D"/>
    <w:rsid w:val="009F376D"/>
    <w:rsid w:val="009F43F1"/>
    <w:rsid w:val="009F588B"/>
    <w:rsid w:val="009F6225"/>
    <w:rsid w:val="009F635E"/>
    <w:rsid w:val="009F6993"/>
    <w:rsid w:val="009F7569"/>
    <w:rsid w:val="009F7BE6"/>
    <w:rsid w:val="00A00DB6"/>
    <w:rsid w:val="00A01760"/>
    <w:rsid w:val="00A01AC9"/>
    <w:rsid w:val="00A01D73"/>
    <w:rsid w:val="00A02097"/>
    <w:rsid w:val="00A02C5D"/>
    <w:rsid w:val="00A02EB5"/>
    <w:rsid w:val="00A0529D"/>
    <w:rsid w:val="00A062A5"/>
    <w:rsid w:val="00A066EC"/>
    <w:rsid w:val="00A06735"/>
    <w:rsid w:val="00A069B3"/>
    <w:rsid w:val="00A070BA"/>
    <w:rsid w:val="00A103D2"/>
    <w:rsid w:val="00A108AE"/>
    <w:rsid w:val="00A10D9A"/>
    <w:rsid w:val="00A140D3"/>
    <w:rsid w:val="00A1446B"/>
    <w:rsid w:val="00A1535F"/>
    <w:rsid w:val="00A167F2"/>
    <w:rsid w:val="00A173E7"/>
    <w:rsid w:val="00A1763E"/>
    <w:rsid w:val="00A17EFE"/>
    <w:rsid w:val="00A200E1"/>
    <w:rsid w:val="00A20C78"/>
    <w:rsid w:val="00A214CA"/>
    <w:rsid w:val="00A22456"/>
    <w:rsid w:val="00A224E0"/>
    <w:rsid w:val="00A22B19"/>
    <w:rsid w:val="00A22E02"/>
    <w:rsid w:val="00A22E91"/>
    <w:rsid w:val="00A2312E"/>
    <w:rsid w:val="00A2345E"/>
    <w:rsid w:val="00A24323"/>
    <w:rsid w:val="00A2512C"/>
    <w:rsid w:val="00A2515B"/>
    <w:rsid w:val="00A2588E"/>
    <w:rsid w:val="00A25BE0"/>
    <w:rsid w:val="00A26065"/>
    <w:rsid w:val="00A26951"/>
    <w:rsid w:val="00A26EDF"/>
    <w:rsid w:val="00A270B4"/>
    <w:rsid w:val="00A278EC"/>
    <w:rsid w:val="00A314A9"/>
    <w:rsid w:val="00A31E2F"/>
    <w:rsid w:val="00A33AD7"/>
    <w:rsid w:val="00A33C31"/>
    <w:rsid w:val="00A33DE9"/>
    <w:rsid w:val="00A340F5"/>
    <w:rsid w:val="00A34789"/>
    <w:rsid w:val="00A3592F"/>
    <w:rsid w:val="00A3630E"/>
    <w:rsid w:val="00A37BB8"/>
    <w:rsid w:val="00A37D74"/>
    <w:rsid w:val="00A40F1A"/>
    <w:rsid w:val="00A41903"/>
    <w:rsid w:val="00A41A3D"/>
    <w:rsid w:val="00A41FF8"/>
    <w:rsid w:val="00A42D87"/>
    <w:rsid w:val="00A42DFB"/>
    <w:rsid w:val="00A42F01"/>
    <w:rsid w:val="00A4473C"/>
    <w:rsid w:val="00A44934"/>
    <w:rsid w:val="00A44BD3"/>
    <w:rsid w:val="00A4521D"/>
    <w:rsid w:val="00A453D5"/>
    <w:rsid w:val="00A456C7"/>
    <w:rsid w:val="00A465F4"/>
    <w:rsid w:val="00A46D6F"/>
    <w:rsid w:val="00A471AF"/>
    <w:rsid w:val="00A47AF0"/>
    <w:rsid w:val="00A51F0A"/>
    <w:rsid w:val="00A526BF"/>
    <w:rsid w:val="00A53060"/>
    <w:rsid w:val="00A53CB6"/>
    <w:rsid w:val="00A542E2"/>
    <w:rsid w:val="00A54316"/>
    <w:rsid w:val="00A54414"/>
    <w:rsid w:val="00A54EF2"/>
    <w:rsid w:val="00A558D2"/>
    <w:rsid w:val="00A55D26"/>
    <w:rsid w:val="00A55D48"/>
    <w:rsid w:val="00A55E96"/>
    <w:rsid w:val="00A560D2"/>
    <w:rsid w:val="00A579B3"/>
    <w:rsid w:val="00A57BEB"/>
    <w:rsid w:val="00A606C5"/>
    <w:rsid w:val="00A60F40"/>
    <w:rsid w:val="00A6119B"/>
    <w:rsid w:val="00A61673"/>
    <w:rsid w:val="00A61E17"/>
    <w:rsid w:val="00A6214B"/>
    <w:rsid w:val="00A635EC"/>
    <w:rsid w:val="00A641E9"/>
    <w:rsid w:val="00A64926"/>
    <w:rsid w:val="00A649CE"/>
    <w:rsid w:val="00A65227"/>
    <w:rsid w:val="00A657A1"/>
    <w:rsid w:val="00A65A70"/>
    <w:rsid w:val="00A65E1C"/>
    <w:rsid w:val="00A665CF"/>
    <w:rsid w:val="00A678E1"/>
    <w:rsid w:val="00A67CA7"/>
    <w:rsid w:val="00A70083"/>
    <w:rsid w:val="00A71509"/>
    <w:rsid w:val="00A71FF2"/>
    <w:rsid w:val="00A72084"/>
    <w:rsid w:val="00A73989"/>
    <w:rsid w:val="00A74298"/>
    <w:rsid w:val="00A755EE"/>
    <w:rsid w:val="00A7566B"/>
    <w:rsid w:val="00A7739E"/>
    <w:rsid w:val="00A7752F"/>
    <w:rsid w:val="00A77816"/>
    <w:rsid w:val="00A80F9F"/>
    <w:rsid w:val="00A810C2"/>
    <w:rsid w:val="00A830FB"/>
    <w:rsid w:val="00A83173"/>
    <w:rsid w:val="00A83374"/>
    <w:rsid w:val="00A84681"/>
    <w:rsid w:val="00A855FB"/>
    <w:rsid w:val="00A85C35"/>
    <w:rsid w:val="00A86920"/>
    <w:rsid w:val="00A87675"/>
    <w:rsid w:val="00A900D4"/>
    <w:rsid w:val="00A90E7F"/>
    <w:rsid w:val="00A92061"/>
    <w:rsid w:val="00A928BA"/>
    <w:rsid w:val="00A9346C"/>
    <w:rsid w:val="00A938F2"/>
    <w:rsid w:val="00A94249"/>
    <w:rsid w:val="00A9434D"/>
    <w:rsid w:val="00A9464B"/>
    <w:rsid w:val="00A948D3"/>
    <w:rsid w:val="00A949F1"/>
    <w:rsid w:val="00A94B6C"/>
    <w:rsid w:val="00A94BC9"/>
    <w:rsid w:val="00A95181"/>
    <w:rsid w:val="00A959BC"/>
    <w:rsid w:val="00A9784C"/>
    <w:rsid w:val="00AA0B4A"/>
    <w:rsid w:val="00AA0BA7"/>
    <w:rsid w:val="00AA2034"/>
    <w:rsid w:val="00AA222B"/>
    <w:rsid w:val="00AA2562"/>
    <w:rsid w:val="00AA25E7"/>
    <w:rsid w:val="00AA26FA"/>
    <w:rsid w:val="00AA3C60"/>
    <w:rsid w:val="00AA5B2C"/>
    <w:rsid w:val="00AA637D"/>
    <w:rsid w:val="00AA6A8B"/>
    <w:rsid w:val="00AA6E6B"/>
    <w:rsid w:val="00AA75BE"/>
    <w:rsid w:val="00AA79F8"/>
    <w:rsid w:val="00AB03FA"/>
    <w:rsid w:val="00AB1221"/>
    <w:rsid w:val="00AB14B0"/>
    <w:rsid w:val="00AB2C1F"/>
    <w:rsid w:val="00AB2FF4"/>
    <w:rsid w:val="00AB326F"/>
    <w:rsid w:val="00AB33AD"/>
    <w:rsid w:val="00AB36FD"/>
    <w:rsid w:val="00AB3CB3"/>
    <w:rsid w:val="00AB495A"/>
    <w:rsid w:val="00AB4CD4"/>
    <w:rsid w:val="00AB51B2"/>
    <w:rsid w:val="00AB5F9C"/>
    <w:rsid w:val="00AB62E4"/>
    <w:rsid w:val="00AB638B"/>
    <w:rsid w:val="00AB7411"/>
    <w:rsid w:val="00AB7E96"/>
    <w:rsid w:val="00AC126C"/>
    <w:rsid w:val="00AC1438"/>
    <w:rsid w:val="00AC16AD"/>
    <w:rsid w:val="00AC1AD6"/>
    <w:rsid w:val="00AC2CDB"/>
    <w:rsid w:val="00AC5F55"/>
    <w:rsid w:val="00AC5FAE"/>
    <w:rsid w:val="00AD0B85"/>
    <w:rsid w:val="00AD25EA"/>
    <w:rsid w:val="00AD2E52"/>
    <w:rsid w:val="00AD3031"/>
    <w:rsid w:val="00AD34FE"/>
    <w:rsid w:val="00AD38B9"/>
    <w:rsid w:val="00AD452D"/>
    <w:rsid w:val="00AD64DF"/>
    <w:rsid w:val="00AD7518"/>
    <w:rsid w:val="00AE061B"/>
    <w:rsid w:val="00AE0C41"/>
    <w:rsid w:val="00AE0C57"/>
    <w:rsid w:val="00AE1025"/>
    <w:rsid w:val="00AE124D"/>
    <w:rsid w:val="00AE21ED"/>
    <w:rsid w:val="00AE3718"/>
    <w:rsid w:val="00AE3F03"/>
    <w:rsid w:val="00AE41AE"/>
    <w:rsid w:val="00AE42B5"/>
    <w:rsid w:val="00AE44A6"/>
    <w:rsid w:val="00AE5B26"/>
    <w:rsid w:val="00AE64F0"/>
    <w:rsid w:val="00AE7A88"/>
    <w:rsid w:val="00AF0AF9"/>
    <w:rsid w:val="00AF1479"/>
    <w:rsid w:val="00AF1743"/>
    <w:rsid w:val="00AF23C8"/>
    <w:rsid w:val="00AF2ABB"/>
    <w:rsid w:val="00AF2AE2"/>
    <w:rsid w:val="00AF2C2D"/>
    <w:rsid w:val="00AF3C8F"/>
    <w:rsid w:val="00AF3FA2"/>
    <w:rsid w:val="00AF7520"/>
    <w:rsid w:val="00AF7BC9"/>
    <w:rsid w:val="00B004B7"/>
    <w:rsid w:val="00B00EC6"/>
    <w:rsid w:val="00B01E9F"/>
    <w:rsid w:val="00B02ECA"/>
    <w:rsid w:val="00B0377E"/>
    <w:rsid w:val="00B03C7A"/>
    <w:rsid w:val="00B05796"/>
    <w:rsid w:val="00B07BA9"/>
    <w:rsid w:val="00B10055"/>
    <w:rsid w:val="00B103E3"/>
    <w:rsid w:val="00B105DE"/>
    <w:rsid w:val="00B1141E"/>
    <w:rsid w:val="00B11C09"/>
    <w:rsid w:val="00B11DBF"/>
    <w:rsid w:val="00B1278B"/>
    <w:rsid w:val="00B1317A"/>
    <w:rsid w:val="00B16AA2"/>
    <w:rsid w:val="00B16BA9"/>
    <w:rsid w:val="00B17295"/>
    <w:rsid w:val="00B17829"/>
    <w:rsid w:val="00B200F1"/>
    <w:rsid w:val="00B20A25"/>
    <w:rsid w:val="00B215F5"/>
    <w:rsid w:val="00B22710"/>
    <w:rsid w:val="00B22C61"/>
    <w:rsid w:val="00B22DE3"/>
    <w:rsid w:val="00B235D7"/>
    <w:rsid w:val="00B23EFE"/>
    <w:rsid w:val="00B240CE"/>
    <w:rsid w:val="00B24330"/>
    <w:rsid w:val="00B243E9"/>
    <w:rsid w:val="00B24517"/>
    <w:rsid w:val="00B24FA6"/>
    <w:rsid w:val="00B2599F"/>
    <w:rsid w:val="00B25AF1"/>
    <w:rsid w:val="00B25D66"/>
    <w:rsid w:val="00B264B7"/>
    <w:rsid w:val="00B26B62"/>
    <w:rsid w:val="00B27A54"/>
    <w:rsid w:val="00B27B2F"/>
    <w:rsid w:val="00B30783"/>
    <w:rsid w:val="00B30B8F"/>
    <w:rsid w:val="00B319C4"/>
    <w:rsid w:val="00B32486"/>
    <w:rsid w:val="00B32E1C"/>
    <w:rsid w:val="00B32F8D"/>
    <w:rsid w:val="00B34D07"/>
    <w:rsid w:val="00B355A5"/>
    <w:rsid w:val="00B357BD"/>
    <w:rsid w:val="00B35C15"/>
    <w:rsid w:val="00B36430"/>
    <w:rsid w:val="00B36CC6"/>
    <w:rsid w:val="00B370BC"/>
    <w:rsid w:val="00B41F0F"/>
    <w:rsid w:val="00B42560"/>
    <w:rsid w:val="00B4274E"/>
    <w:rsid w:val="00B4346E"/>
    <w:rsid w:val="00B440A2"/>
    <w:rsid w:val="00B455AA"/>
    <w:rsid w:val="00B45778"/>
    <w:rsid w:val="00B457A1"/>
    <w:rsid w:val="00B4630F"/>
    <w:rsid w:val="00B464B1"/>
    <w:rsid w:val="00B47A4A"/>
    <w:rsid w:val="00B47A8D"/>
    <w:rsid w:val="00B47B99"/>
    <w:rsid w:val="00B506F2"/>
    <w:rsid w:val="00B5074D"/>
    <w:rsid w:val="00B510E3"/>
    <w:rsid w:val="00B5171C"/>
    <w:rsid w:val="00B51AA9"/>
    <w:rsid w:val="00B5201E"/>
    <w:rsid w:val="00B521AC"/>
    <w:rsid w:val="00B52702"/>
    <w:rsid w:val="00B528A6"/>
    <w:rsid w:val="00B52D28"/>
    <w:rsid w:val="00B53184"/>
    <w:rsid w:val="00B5334A"/>
    <w:rsid w:val="00B535D4"/>
    <w:rsid w:val="00B5498D"/>
    <w:rsid w:val="00B5501D"/>
    <w:rsid w:val="00B565E5"/>
    <w:rsid w:val="00B5704F"/>
    <w:rsid w:val="00B60791"/>
    <w:rsid w:val="00B613C5"/>
    <w:rsid w:val="00B6151E"/>
    <w:rsid w:val="00B6179F"/>
    <w:rsid w:val="00B6209B"/>
    <w:rsid w:val="00B6291A"/>
    <w:rsid w:val="00B63A35"/>
    <w:rsid w:val="00B63F57"/>
    <w:rsid w:val="00B63FB9"/>
    <w:rsid w:val="00B64962"/>
    <w:rsid w:val="00B64A62"/>
    <w:rsid w:val="00B6514C"/>
    <w:rsid w:val="00B6694B"/>
    <w:rsid w:val="00B66FDB"/>
    <w:rsid w:val="00B676EC"/>
    <w:rsid w:val="00B6793E"/>
    <w:rsid w:val="00B679BF"/>
    <w:rsid w:val="00B67CB7"/>
    <w:rsid w:val="00B7016C"/>
    <w:rsid w:val="00B7039B"/>
    <w:rsid w:val="00B71351"/>
    <w:rsid w:val="00B71562"/>
    <w:rsid w:val="00B7376D"/>
    <w:rsid w:val="00B73FD9"/>
    <w:rsid w:val="00B74AAD"/>
    <w:rsid w:val="00B74D1E"/>
    <w:rsid w:val="00B7687A"/>
    <w:rsid w:val="00B768E8"/>
    <w:rsid w:val="00B76A18"/>
    <w:rsid w:val="00B76FD4"/>
    <w:rsid w:val="00B80FC5"/>
    <w:rsid w:val="00B82155"/>
    <w:rsid w:val="00B82455"/>
    <w:rsid w:val="00B82642"/>
    <w:rsid w:val="00B83C1D"/>
    <w:rsid w:val="00B84057"/>
    <w:rsid w:val="00B849C6"/>
    <w:rsid w:val="00B84C6C"/>
    <w:rsid w:val="00B860F9"/>
    <w:rsid w:val="00B86CEE"/>
    <w:rsid w:val="00B86E92"/>
    <w:rsid w:val="00B86F43"/>
    <w:rsid w:val="00B908A2"/>
    <w:rsid w:val="00B91007"/>
    <w:rsid w:val="00B92687"/>
    <w:rsid w:val="00B92D37"/>
    <w:rsid w:val="00B92D9C"/>
    <w:rsid w:val="00B934A1"/>
    <w:rsid w:val="00B935AD"/>
    <w:rsid w:val="00B94248"/>
    <w:rsid w:val="00B942A1"/>
    <w:rsid w:val="00B9490A"/>
    <w:rsid w:val="00B94B4F"/>
    <w:rsid w:val="00B954AA"/>
    <w:rsid w:val="00B95CC8"/>
    <w:rsid w:val="00B95E10"/>
    <w:rsid w:val="00B96717"/>
    <w:rsid w:val="00B97516"/>
    <w:rsid w:val="00B976F6"/>
    <w:rsid w:val="00B97DD6"/>
    <w:rsid w:val="00BA04A3"/>
    <w:rsid w:val="00BA064B"/>
    <w:rsid w:val="00BA2002"/>
    <w:rsid w:val="00BA23B0"/>
    <w:rsid w:val="00BA2E02"/>
    <w:rsid w:val="00BA30B6"/>
    <w:rsid w:val="00BA3394"/>
    <w:rsid w:val="00BA3DD8"/>
    <w:rsid w:val="00BA5F41"/>
    <w:rsid w:val="00BA5FF0"/>
    <w:rsid w:val="00BA6146"/>
    <w:rsid w:val="00BA7385"/>
    <w:rsid w:val="00BA77B4"/>
    <w:rsid w:val="00BB05D4"/>
    <w:rsid w:val="00BB0934"/>
    <w:rsid w:val="00BB0D7E"/>
    <w:rsid w:val="00BB0F9E"/>
    <w:rsid w:val="00BB187C"/>
    <w:rsid w:val="00BB296B"/>
    <w:rsid w:val="00BB2A9C"/>
    <w:rsid w:val="00BB2EBD"/>
    <w:rsid w:val="00BB3622"/>
    <w:rsid w:val="00BB4566"/>
    <w:rsid w:val="00BB588E"/>
    <w:rsid w:val="00BB65B0"/>
    <w:rsid w:val="00BB682C"/>
    <w:rsid w:val="00BB79E2"/>
    <w:rsid w:val="00BB7CA9"/>
    <w:rsid w:val="00BC0E3F"/>
    <w:rsid w:val="00BC1467"/>
    <w:rsid w:val="00BC1580"/>
    <w:rsid w:val="00BC2147"/>
    <w:rsid w:val="00BC236B"/>
    <w:rsid w:val="00BC24C5"/>
    <w:rsid w:val="00BC282B"/>
    <w:rsid w:val="00BC2BB4"/>
    <w:rsid w:val="00BC3594"/>
    <w:rsid w:val="00BC3AB1"/>
    <w:rsid w:val="00BC428E"/>
    <w:rsid w:val="00BC4B53"/>
    <w:rsid w:val="00BC50F0"/>
    <w:rsid w:val="00BC5182"/>
    <w:rsid w:val="00BC5347"/>
    <w:rsid w:val="00BC5ABC"/>
    <w:rsid w:val="00BC5B62"/>
    <w:rsid w:val="00BC6075"/>
    <w:rsid w:val="00BC655C"/>
    <w:rsid w:val="00BC65D9"/>
    <w:rsid w:val="00BC7C52"/>
    <w:rsid w:val="00BD0517"/>
    <w:rsid w:val="00BD0A77"/>
    <w:rsid w:val="00BD0CF6"/>
    <w:rsid w:val="00BD1471"/>
    <w:rsid w:val="00BD14C5"/>
    <w:rsid w:val="00BD1836"/>
    <w:rsid w:val="00BD196A"/>
    <w:rsid w:val="00BD2081"/>
    <w:rsid w:val="00BD2311"/>
    <w:rsid w:val="00BD286F"/>
    <w:rsid w:val="00BD366F"/>
    <w:rsid w:val="00BD36D4"/>
    <w:rsid w:val="00BD3C3E"/>
    <w:rsid w:val="00BD4463"/>
    <w:rsid w:val="00BD5017"/>
    <w:rsid w:val="00BD50B7"/>
    <w:rsid w:val="00BD5AFB"/>
    <w:rsid w:val="00BD5D33"/>
    <w:rsid w:val="00BD6262"/>
    <w:rsid w:val="00BD6474"/>
    <w:rsid w:val="00BD6E0B"/>
    <w:rsid w:val="00BD7EED"/>
    <w:rsid w:val="00BE0709"/>
    <w:rsid w:val="00BE3CB1"/>
    <w:rsid w:val="00BE4043"/>
    <w:rsid w:val="00BE4C48"/>
    <w:rsid w:val="00BE5CFC"/>
    <w:rsid w:val="00BE61C1"/>
    <w:rsid w:val="00BE64AF"/>
    <w:rsid w:val="00BE6717"/>
    <w:rsid w:val="00BE7291"/>
    <w:rsid w:val="00BF0381"/>
    <w:rsid w:val="00BF0476"/>
    <w:rsid w:val="00BF1D3B"/>
    <w:rsid w:val="00BF298A"/>
    <w:rsid w:val="00BF3B17"/>
    <w:rsid w:val="00BF446E"/>
    <w:rsid w:val="00BF54B5"/>
    <w:rsid w:val="00BF5B1D"/>
    <w:rsid w:val="00BF5F6B"/>
    <w:rsid w:val="00BF65BE"/>
    <w:rsid w:val="00BF671E"/>
    <w:rsid w:val="00BF6E7B"/>
    <w:rsid w:val="00C00586"/>
    <w:rsid w:val="00C0078A"/>
    <w:rsid w:val="00C01021"/>
    <w:rsid w:val="00C0141F"/>
    <w:rsid w:val="00C01BDC"/>
    <w:rsid w:val="00C0201A"/>
    <w:rsid w:val="00C048AF"/>
    <w:rsid w:val="00C04CB2"/>
    <w:rsid w:val="00C04D1E"/>
    <w:rsid w:val="00C051CE"/>
    <w:rsid w:val="00C05D7F"/>
    <w:rsid w:val="00C05EF6"/>
    <w:rsid w:val="00C077E0"/>
    <w:rsid w:val="00C07A47"/>
    <w:rsid w:val="00C07DE6"/>
    <w:rsid w:val="00C07E0C"/>
    <w:rsid w:val="00C11043"/>
    <w:rsid w:val="00C110AD"/>
    <w:rsid w:val="00C116D8"/>
    <w:rsid w:val="00C11974"/>
    <w:rsid w:val="00C11AEF"/>
    <w:rsid w:val="00C1227B"/>
    <w:rsid w:val="00C12E62"/>
    <w:rsid w:val="00C13DDF"/>
    <w:rsid w:val="00C143EC"/>
    <w:rsid w:val="00C1462B"/>
    <w:rsid w:val="00C14B0B"/>
    <w:rsid w:val="00C154B5"/>
    <w:rsid w:val="00C15D6D"/>
    <w:rsid w:val="00C162DF"/>
    <w:rsid w:val="00C165CA"/>
    <w:rsid w:val="00C17872"/>
    <w:rsid w:val="00C205E9"/>
    <w:rsid w:val="00C2063C"/>
    <w:rsid w:val="00C212FC"/>
    <w:rsid w:val="00C21A32"/>
    <w:rsid w:val="00C22170"/>
    <w:rsid w:val="00C22791"/>
    <w:rsid w:val="00C23F48"/>
    <w:rsid w:val="00C262BD"/>
    <w:rsid w:val="00C270B0"/>
    <w:rsid w:val="00C2779D"/>
    <w:rsid w:val="00C30E04"/>
    <w:rsid w:val="00C310C2"/>
    <w:rsid w:val="00C315A0"/>
    <w:rsid w:val="00C34043"/>
    <w:rsid w:val="00C349C0"/>
    <w:rsid w:val="00C34D9D"/>
    <w:rsid w:val="00C34DE9"/>
    <w:rsid w:val="00C357D4"/>
    <w:rsid w:val="00C36525"/>
    <w:rsid w:val="00C36DF1"/>
    <w:rsid w:val="00C36E9B"/>
    <w:rsid w:val="00C37B36"/>
    <w:rsid w:val="00C40451"/>
    <w:rsid w:val="00C40904"/>
    <w:rsid w:val="00C40EB3"/>
    <w:rsid w:val="00C41BD9"/>
    <w:rsid w:val="00C423DE"/>
    <w:rsid w:val="00C426FB"/>
    <w:rsid w:val="00C434FD"/>
    <w:rsid w:val="00C4350E"/>
    <w:rsid w:val="00C44E3C"/>
    <w:rsid w:val="00C46467"/>
    <w:rsid w:val="00C4647B"/>
    <w:rsid w:val="00C469A8"/>
    <w:rsid w:val="00C46B43"/>
    <w:rsid w:val="00C47355"/>
    <w:rsid w:val="00C47AC7"/>
    <w:rsid w:val="00C51122"/>
    <w:rsid w:val="00C5192E"/>
    <w:rsid w:val="00C52734"/>
    <w:rsid w:val="00C52DE6"/>
    <w:rsid w:val="00C54135"/>
    <w:rsid w:val="00C542B0"/>
    <w:rsid w:val="00C54D7E"/>
    <w:rsid w:val="00C56010"/>
    <w:rsid w:val="00C56D95"/>
    <w:rsid w:val="00C56F94"/>
    <w:rsid w:val="00C6016B"/>
    <w:rsid w:val="00C61BB4"/>
    <w:rsid w:val="00C6323D"/>
    <w:rsid w:val="00C6339A"/>
    <w:rsid w:val="00C634A7"/>
    <w:rsid w:val="00C63673"/>
    <w:rsid w:val="00C638D7"/>
    <w:rsid w:val="00C638DF"/>
    <w:rsid w:val="00C63A9E"/>
    <w:rsid w:val="00C63C2F"/>
    <w:rsid w:val="00C63FBB"/>
    <w:rsid w:val="00C640BD"/>
    <w:rsid w:val="00C64720"/>
    <w:rsid w:val="00C6517F"/>
    <w:rsid w:val="00C658B2"/>
    <w:rsid w:val="00C66D4A"/>
    <w:rsid w:val="00C6757A"/>
    <w:rsid w:val="00C67BA6"/>
    <w:rsid w:val="00C70CF2"/>
    <w:rsid w:val="00C70DA3"/>
    <w:rsid w:val="00C71762"/>
    <w:rsid w:val="00C71841"/>
    <w:rsid w:val="00C71920"/>
    <w:rsid w:val="00C72417"/>
    <w:rsid w:val="00C72A63"/>
    <w:rsid w:val="00C736D9"/>
    <w:rsid w:val="00C73B74"/>
    <w:rsid w:val="00C73ECB"/>
    <w:rsid w:val="00C74C42"/>
    <w:rsid w:val="00C75235"/>
    <w:rsid w:val="00C77A70"/>
    <w:rsid w:val="00C803BD"/>
    <w:rsid w:val="00C80AE4"/>
    <w:rsid w:val="00C8207A"/>
    <w:rsid w:val="00C8316C"/>
    <w:rsid w:val="00C84E42"/>
    <w:rsid w:val="00C857F1"/>
    <w:rsid w:val="00C868E4"/>
    <w:rsid w:val="00C86975"/>
    <w:rsid w:val="00C871C4"/>
    <w:rsid w:val="00C9058E"/>
    <w:rsid w:val="00C919A0"/>
    <w:rsid w:val="00C91FEF"/>
    <w:rsid w:val="00C9291B"/>
    <w:rsid w:val="00C932FB"/>
    <w:rsid w:val="00C9341B"/>
    <w:rsid w:val="00C93DE3"/>
    <w:rsid w:val="00C947E3"/>
    <w:rsid w:val="00C95B3D"/>
    <w:rsid w:val="00C95C4A"/>
    <w:rsid w:val="00C968CC"/>
    <w:rsid w:val="00C97198"/>
    <w:rsid w:val="00C97301"/>
    <w:rsid w:val="00C97551"/>
    <w:rsid w:val="00C97840"/>
    <w:rsid w:val="00C97A71"/>
    <w:rsid w:val="00CA026F"/>
    <w:rsid w:val="00CA1130"/>
    <w:rsid w:val="00CA1A7C"/>
    <w:rsid w:val="00CA1C61"/>
    <w:rsid w:val="00CA3079"/>
    <w:rsid w:val="00CA415F"/>
    <w:rsid w:val="00CA425F"/>
    <w:rsid w:val="00CA529D"/>
    <w:rsid w:val="00CA54E9"/>
    <w:rsid w:val="00CA5EA7"/>
    <w:rsid w:val="00CA6BED"/>
    <w:rsid w:val="00CA6CB4"/>
    <w:rsid w:val="00CB003C"/>
    <w:rsid w:val="00CB026C"/>
    <w:rsid w:val="00CB0618"/>
    <w:rsid w:val="00CB083C"/>
    <w:rsid w:val="00CB088B"/>
    <w:rsid w:val="00CB17D0"/>
    <w:rsid w:val="00CB1B0B"/>
    <w:rsid w:val="00CB26BE"/>
    <w:rsid w:val="00CB2C14"/>
    <w:rsid w:val="00CB33E8"/>
    <w:rsid w:val="00CB3A2A"/>
    <w:rsid w:val="00CB440B"/>
    <w:rsid w:val="00CB562C"/>
    <w:rsid w:val="00CB5706"/>
    <w:rsid w:val="00CB59E9"/>
    <w:rsid w:val="00CB5A49"/>
    <w:rsid w:val="00CB5C15"/>
    <w:rsid w:val="00CB63BE"/>
    <w:rsid w:val="00CB63CA"/>
    <w:rsid w:val="00CB678B"/>
    <w:rsid w:val="00CB7011"/>
    <w:rsid w:val="00CB71E4"/>
    <w:rsid w:val="00CB752D"/>
    <w:rsid w:val="00CC115F"/>
    <w:rsid w:val="00CC1228"/>
    <w:rsid w:val="00CC1A21"/>
    <w:rsid w:val="00CC210E"/>
    <w:rsid w:val="00CC2B69"/>
    <w:rsid w:val="00CC30C8"/>
    <w:rsid w:val="00CC4841"/>
    <w:rsid w:val="00CC64D0"/>
    <w:rsid w:val="00CC66DE"/>
    <w:rsid w:val="00CC69C7"/>
    <w:rsid w:val="00CC6B29"/>
    <w:rsid w:val="00CC7899"/>
    <w:rsid w:val="00CC7C0C"/>
    <w:rsid w:val="00CC7FE4"/>
    <w:rsid w:val="00CD1A41"/>
    <w:rsid w:val="00CD1DE9"/>
    <w:rsid w:val="00CD20A1"/>
    <w:rsid w:val="00CD32F6"/>
    <w:rsid w:val="00CD3648"/>
    <w:rsid w:val="00CD3F4B"/>
    <w:rsid w:val="00CD4453"/>
    <w:rsid w:val="00CD4563"/>
    <w:rsid w:val="00CD466E"/>
    <w:rsid w:val="00CD4F2F"/>
    <w:rsid w:val="00CD5694"/>
    <w:rsid w:val="00CD6869"/>
    <w:rsid w:val="00CD75E3"/>
    <w:rsid w:val="00CE0173"/>
    <w:rsid w:val="00CE12DA"/>
    <w:rsid w:val="00CE15BB"/>
    <w:rsid w:val="00CE1BD1"/>
    <w:rsid w:val="00CE25F0"/>
    <w:rsid w:val="00CE2627"/>
    <w:rsid w:val="00CE2761"/>
    <w:rsid w:val="00CE295E"/>
    <w:rsid w:val="00CE2EB2"/>
    <w:rsid w:val="00CE37AC"/>
    <w:rsid w:val="00CE4368"/>
    <w:rsid w:val="00CE50AE"/>
    <w:rsid w:val="00CE525D"/>
    <w:rsid w:val="00CE5C99"/>
    <w:rsid w:val="00CE5F92"/>
    <w:rsid w:val="00CE6307"/>
    <w:rsid w:val="00CE66DD"/>
    <w:rsid w:val="00CE6C11"/>
    <w:rsid w:val="00CE73FD"/>
    <w:rsid w:val="00CF1EB8"/>
    <w:rsid w:val="00CF23EE"/>
    <w:rsid w:val="00CF41D3"/>
    <w:rsid w:val="00CF4A7F"/>
    <w:rsid w:val="00CF5301"/>
    <w:rsid w:val="00CF53BE"/>
    <w:rsid w:val="00D0008F"/>
    <w:rsid w:val="00D00361"/>
    <w:rsid w:val="00D015BE"/>
    <w:rsid w:val="00D01EB7"/>
    <w:rsid w:val="00D022C0"/>
    <w:rsid w:val="00D033FF"/>
    <w:rsid w:val="00D037CA"/>
    <w:rsid w:val="00D03D6A"/>
    <w:rsid w:val="00D0413B"/>
    <w:rsid w:val="00D05779"/>
    <w:rsid w:val="00D06763"/>
    <w:rsid w:val="00D06B76"/>
    <w:rsid w:val="00D06DFC"/>
    <w:rsid w:val="00D06F6C"/>
    <w:rsid w:val="00D0761F"/>
    <w:rsid w:val="00D10EF0"/>
    <w:rsid w:val="00D10FB6"/>
    <w:rsid w:val="00D111C3"/>
    <w:rsid w:val="00D11357"/>
    <w:rsid w:val="00D11595"/>
    <w:rsid w:val="00D126F7"/>
    <w:rsid w:val="00D12864"/>
    <w:rsid w:val="00D129F5"/>
    <w:rsid w:val="00D12DD0"/>
    <w:rsid w:val="00D12ED9"/>
    <w:rsid w:val="00D12F3F"/>
    <w:rsid w:val="00D1390E"/>
    <w:rsid w:val="00D141DD"/>
    <w:rsid w:val="00D146BB"/>
    <w:rsid w:val="00D1494A"/>
    <w:rsid w:val="00D150B0"/>
    <w:rsid w:val="00D1588D"/>
    <w:rsid w:val="00D15951"/>
    <w:rsid w:val="00D15BF2"/>
    <w:rsid w:val="00D173E9"/>
    <w:rsid w:val="00D17620"/>
    <w:rsid w:val="00D21201"/>
    <w:rsid w:val="00D2122F"/>
    <w:rsid w:val="00D21887"/>
    <w:rsid w:val="00D21F59"/>
    <w:rsid w:val="00D242FA"/>
    <w:rsid w:val="00D243DC"/>
    <w:rsid w:val="00D24825"/>
    <w:rsid w:val="00D266DE"/>
    <w:rsid w:val="00D27F35"/>
    <w:rsid w:val="00D3023C"/>
    <w:rsid w:val="00D30451"/>
    <w:rsid w:val="00D30584"/>
    <w:rsid w:val="00D307CC"/>
    <w:rsid w:val="00D30987"/>
    <w:rsid w:val="00D31689"/>
    <w:rsid w:val="00D325D3"/>
    <w:rsid w:val="00D32925"/>
    <w:rsid w:val="00D338E2"/>
    <w:rsid w:val="00D33927"/>
    <w:rsid w:val="00D34978"/>
    <w:rsid w:val="00D34C84"/>
    <w:rsid w:val="00D355E8"/>
    <w:rsid w:val="00D360DD"/>
    <w:rsid w:val="00D36888"/>
    <w:rsid w:val="00D36F16"/>
    <w:rsid w:val="00D37B09"/>
    <w:rsid w:val="00D40195"/>
    <w:rsid w:val="00D40DCB"/>
    <w:rsid w:val="00D41D63"/>
    <w:rsid w:val="00D4229B"/>
    <w:rsid w:val="00D42639"/>
    <w:rsid w:val="00D43052"/>
    <w:rsid w:val="00D43CA5"/>
    <w:rsid w:val="00D43DD6"/>
    <w:rsid w:val="00D44393"/>
    <w:rsid w:val="00D443AD"/>
    <w:rsid w:val="00D44464"/>
    <w:rsid w:val="00D444F7"/>
    <w:rsid w:val="00D452D2"/>
    <w:rsid w:val="00D454EC"/>
    <w:rsid w:val="00D4566D"/>
    <w:rsid w:val="00D46CD5"/>
    <w:rsid w:val="00D4737C"/>
    <w:rsid w:val="00D47C24"/>
    <w:rsid w:val="00D509AA"/>
    <w:rsid w:val="00D50B68"/>
    <w:rsid w:val="00D50D5E"/>
    <w:rsid w:val="00D51C2C"/>
    <w:rsid w:val="00D51DB8"/>
    <w:rsid w:val="00D5413A"/>
    <w:rsid w:val="00D54B6F"/>
    <w:rsid w:val="00D5581C"/>
    <w:rsid w:val="00D55A36"/>
    <w:rsid w:val="00D55E87"/>
    <w:rsid w:val="00D5689A"/>
    <w:rsid w:val="00D57072"/>
    <w:rsid w:val="00D57D3F"/>
    <w:rsid w:val="00D57F1B"/>
    <w:rsid w:val="00D61207"/>
    <w:rsid w:val="00D61249"/>
    <w:rsid w:val="00D6165F"/>
    <w:rsid w:val="00D61AE5"/>
    <w:rsid w:val="00D61BAD"/>
    <w:rsid w:val="00D61D1A"/>
    <w:rsid w:val="00D61DD5"/>
    <w:rsid w:val="00D64636"/>
    <w:rsid w:val="00D65495"/>
    <w:rsid w:val="00D668E4"/>
    <w:rsid w:val="00D6706D"/>
    <w:rsid w:val="00D6721E"/>
    <w:rsid w:val="00D67466"/>
    <w:rsid w:val="00D7047B"/>
    <w:rsid w:val="00D70735"/>
    <w:rsid w:val="00D7179D"/>
    <w:rsid w:val="00D719E7"/>
    <w:rsid w:val="00D71B16"/>
    <w:rsid w:val="00D729A9"/>
    <w:rsid w:val="00D730EB"/>
    <w:rsid w:val="00D741F4"/>
    <w:rsid w:val="00D74FEC"/>
    <w:rsid w:val="00D75505"/>
    <w:rsid w:val="00D75D66"/>
    <w:rsid w:val="00D763E8"/>
    <w:rsid w:val="00D76695"/>
    <w:rsid w:val="00D772C8"/>
    <w:rsid w:val="00D77DAB"/>
    <w:rsid w:val="00D80128"/>
    <w:rsid w:val="00D80282"/>
    <w:rsid w:val="00D80998"/>
    <w:rsid w:val="00D81DE6"/>
    <w:rsid w:val="00D8228F"/>
    <w:rsid w:val="00D832E2"/>
    <w:rsid w:val="00D833EB"/>
    <w:rsid w:val="00D83CB1"/>
    <w:rsid w:val="00D8412F"/>
    <w:rsid w:val="00D850E1"/>
    <w:rsid w:val="00D85EE9"/>
    <w:rsid w:val="00D85F96"/>
    <w:rsid w:val="00D862DA"/>
    <w:rsid w:val="00D86394"/>
    <w:rsid w:val="00D8640C"/>
    <w:rsid w:val="00D86456"/>
    <w:rsid w:val="00D86E12"/>
    <w:rsid w:val="00D870BD"/>
    <w:rsid w:val="00D9025A"/>
    <w:rsid w:val="00D908BD"/>
    <w:rsid w:val="00D90C0D"/>
    <w:rsid w:val="00D90ED8"/>
    <w:rsid w:val="00D91A3C"/>
    <w:rsid w:val="00D91B9A"/>
    <w:rsid w:val="00D935E9"/>
    <w:rsid w:val="00D9369D"/>
    <w:rsid w:val="00D936C9"/>
    <w:rsid w:val="00D9455B"/>
    <w:rsid w:val="00D95385"/>
    <w:rsid w:val="00D9580B"/>
    <w:rsid w:val="00D95B38"/>
    <w:rsid w:val="00D96178"/>
    <w:rsid w:val="00D961E7"/>
    <w:rsid w:val="00DA04BB"/>
    <w:rsid w:val="00DA0D0A"/>
    <w:rsid w:val="00DA196B"/>
    <w:rsid w:val="00DA3522"/>
    <w:rsid w:val="00DA39F9"/>
    <w:rsid w:val="00DA3D7B"/>
    <w:rsid w:val="00DA4AE2"/>
    <w:rsid w:val="00DA5683"/>
    <w:rsid w:val="00DA6721"/>
    <w:rsid w:val="00DA7189"/>
    <w:rsid w:val="00DA7370"/>
    <w:rsid w:val="00DB06BF"/>
    <w:rsid w:val="00DB09A8"/>
    <w:rsid w:val="00DB1190"/>
    <w:rsid w:val="00DB1DFA"/>
    <w:rsid w:val="00DB336B"/>
    <w:rsid w:val="00DB3425"/>
    <w:rsid w:val="00DB4479"/>
    <w:rsid w:val="00DB4594"/>
    <w:rsid w:val="00DB473B"/>
    <w:rsid w:val="00DB4AA3"/>
    <w:rsid w:val="00DB68FF"/>
    <w:rsid w:val="00DB6EF1"/>
    <w:rsid w:val="00DB71F0"/>
    <w:rsid w:val="00DB7230"/>
    <w:rsid w:val="00DB790D"/>
    <w:rsid w:val="00DC2C22"/>
    <w:rsid w:val="00DC3144"/>
    <w:rsid w:val="00DC32BA"/>
    <w:rsid w:val="00DC3541"/>
    <w:rsid w:val="00DC3837"/>
    <w:rsid w:val="00DC5FD8"/>
    <w:rsid w:val="00DC6482"/>
    <w:rsid w:val="00DC767C"/>
    <w:rsid w:val="00DC7774"/>
    <w:rsid w:val="00DC79ED"/>
    <w:rsid w:val="00DC7E3E"/>
    <w:rsid w:val="00DD2A6A"/>
    <w:rsid w:val="00DD3B5C"/>
    <w:rsid w:val="00DD49A3"/>
    <w:rsid w:val="00DD54BB"/>
    <w:rsid w:val="00DD55EF"/>
    <w:rsid w:val="00DD5C05"/>
    <w:rsid w:val="00DD6518"/>
    <w:rsid w:val="00DD6537"/>
    <w:rsid w:val="00DD6667"/>
    <w:rsid w:val="00DD669C"/>
    <w:rsid w:val="00DD6707"/>
    <w:rsid w:val="00DD74A2"/>
    <w:rsid w:val="00DE0AFE"/>
    <w:rsid w:val="00DE1166"/>
    <w:rsid w:val="00DE1CC1"/>
    <w:rsid w:val="00DE281D"/>
    <w:rsid w:val="00DE3424"/>
    <w:rsid w:val="00DE3594"/>
    <w:rsid w:val="00DE383B"/>
    <w:rsid w:val="00DE3BC8"/>
    <w:rsid w:val="00DE49BE"/>
    <w:rsid w:val="00DE5284"/>
    <w:rsid w:val="00DE5AF2"/>
    <w:rsid w:val="00DE5EA9"/>
    <w:rsid w:val="00DE6395"/>
    <w:rsid w:val="00DE6576"/>
    <w:rsid w:val="00DE6A74"/>
    <w:rsid w:val="00DE7A56"/>
    <w:rsid w:val="00DF079E"/>
    <w:rsid w:val="00DF0FFE"/>
    <w:rsid w:val="00DF1814"/>
    <w:rsid w:val="00DF4614"/>
    <w:rsid w:val="00DF69CE"/>
    <w:rsid w:val="00DF6D10"/>
    <w:rsid w:val="00DF7388"/>
    <w:rsid w:val="00DF7543"/>
    <w:rsid w:val="00DF7A40"/>
    <w:rsid w:val="00DF7B25"/>
    <w:rsid w:val="00E00B67"/>
    <w:rsid w:val="00E02533"/>
    <w:rsid w:val="00E035D3"/>
    <w:rsid w:val="00E04187"/>
    <w:rsid w:val="00E04840"/>
    <w:rsid w:val="00E04BB7"/>
    <w:rsid w:val="00E069D5"/>
    <w:rsid w:val="00E07F9D"/>
    <w:rsid w:val="00E10880"/>
    <w:rsid w:val="00E10B2E"/>
    <w:rsid w:val="00E10E0B"/>
    <w:rsid w:val="00E111F8"/>
    <w:rsid w:val="00E112AB"/>
    <w:rsid w:val="00E127A4"/>
    <w:rsid w:val="00E12A75"/>
    <w:rsid w:val="00E135A1"/>
    <w:rsid w:val="00E1377B"/>
    <w:rsid w:val="00E138BC"/>
    <w:rsid w:val="00E145E8"/>
    <w:rsid w:val="00E146F5"/>
    <w:rsid w:val="00E1496E"/>
    <w:rsid w:val="00E1577D"/>
    <w:rsid w:val="00E16834"/>
    <w:rsid w:val="00E16B9C"/>
    <w:rsid w:val="00E16EF1"/>
    <w:rsid w:val="00E171E3"/>
    <w:rsid w:val="00E1774A"/>
    <w:rsid w:val="00E177A0"/>
    <w:rsid w:val="00E17F63"/>
    <w:rsid w:val="00E21180"/>
    <w:rsid w:val="00E21502"/>
    <w:rsid w:val="00E21872"/>
    <w:rsid w:val="00E228A9"/>
    <w:rsid w:val="00E22E82"/>
    <w:rsid w:val="00E2320B"/>
    <w:rsid w:val="00E25FB8"/>
    <w:rsid w:val="00E26147"/>
    <w:rsid w:val="00E26B81"/>
    <w:rsid w:val="00E27D97"/>
    <w:rsid w:val="00E30034"/>
    <w:rsid w:val="00E30F5F"/>
    <w:rsid w:val="00E3173D"/>
    <w:rsid w:val="00E3185B"/>
    <w:rsid w:val="00E31EA5"/>
    <w:rsid w:val="00E32238"/>
    <w:rsid w:val="00E3278B"/>
    <w:rsid w:val="00E330C5"/>
    <w:rsid w:val="00E3448F"/>
    <w:rsid w:val="00E35120"/>
    <w:rsid w:val="00E35D56"/>
    <w:rsid w:val="00E368C3"/>
    <w:rsid w:val="00E3764A"/>
    <w:rsid w:val="00E40468"/>
    <w:rsid w:val="00E4067F"/>
    <w:rsid w:val="00E40988"/>
    <w:rsid w:val="00E410F1"/>
    <w:rsid w:val="00E41317"/>
    <w:rsid w:val="00E417CE"/>
    <w:rsid w:val="00E43C06"/>
    <w:rsid w:val="00E44385"/>
    <w:rsid w:val="00E449B1"/>
    <w:rsid w:val="00E455A3"/>
    <w:rsid w:val="00E45F1C"/>
    <w:rsid w:val="00E46AAA"/>
    <w:rsid w:val="00E46DC0"/>
    <w:rsid w:val="00E46E4C"/>
    <w:rsid w:val="00E4749A"/>
    <w:rsid w:val="00E47B31"/>
    <w:rsid w:val="00E501F7"/>
    <w:rsid w:val="00E5082D"/>
    <w:rsid w:val="00E54048"/>
    <w:rsid w:val="00E55232"/>
    <w:rsid w:val="00E567D7"/>
    <w:rsid w:val="00E574A9"/>
    <w:rsid w:val="00E603CE"/>
    <w:rsid w:val="00E609F0"/>
    <w:rsid w:val="00E61355"/>
    <w:rsid w:val="00E613BC"/>
    <w:rsid w:val="00E61F1E"/>
    <w:rsid w:val="00E62269"/>
    <w:rsid w:val="00E63A09"/>
    <w:rsid w:val="00E63C74"/>
    <w:rsid w:val="00E63FE0"/>
    <w:rsid w:val="00E64768"/>
    <w:rsid w:val="00E64C33"/>
    <w:rsid w:val="00E65841"/>
    <w:rsid w:val="00E66365"/>
    <w:rsid w:val="00E66861"/>
    <w:rsid w:val="00E66E21"/>
    <w:rsid w:val="00E66F42"/>
    <w:rsid w:val="00E67063"/>
    <w:rsid w:val="00E67C26"/>
    <w:rsid w:val="00E70129"/>
    <w:rsid w:val="00E70950"/>
    <w:rsid w:val="00E70E3D"/>
    <w:rsid w:val="00E70F38"/>
    <w:rsid w:val="00E710FC"/>
    <w:rsid w:val="00E71915"/>
    <w:rsid w:val="00E71D59"/>
    <w:rsid w:val="00E721DA"/>
    <w:rsid w:val="00E7260D"/>
    <w:rsid w:val="00E72845"/>
    <w:rsid w:val="00E72CB8"/>
    <w:rsid w:val="00E73708"/>
    <w:rsid w:val="00E74022"/>
    <w:rsid w:val="00E740F6"/>
    <w:rsid w:val="00E744DD"/>
    <w:rsid w:val="00E7478C"/>
    <w:rsid w:val="00E74A81"/>
    <w:rsid w:val="00E74ADF"/>
    <w:rsid w:val="00E75CF4"/>
    <w:rsid w:val="00E76063"/>
    <w:rsid w:val="00E76610"/>
    <w:rsid w:val="00E76846"/>
    <w:rsid w:val="00E76869"/>
    <w:rsid w:val="00E802A3"/>
    <w:rsid w:val="00E80916"/>
    <w:rsid w:val="00E81DC7"/>
    <w:rsid w:val="00E826CB"/>
    <w:rsid w:val="00E8384C"/>
    <w:rsid w:val="00E83BAA"/>
    <w:rsid w:val="00E83E32"/>
    <w:rsid w:val="00E840DF"/>
    <w:rsid w:val="00E8452A"/>
    <w:rsid w:val="00E8560F"/>
    <w:rsid w:val="00E85751"/>
    <w:rsid w:val="00E85FDE"/>
    <w:rsid w:val="00E86391"/>
    <w:rsid w:val="00E86ADF"/>
    <w:rsid w:val="00E86F19"/>
    <w:rsid w:val="00E87478"/>
    <w:rsid w:val="00E875EA"/>
    <w:rsid w:val="00E8780A"/>
    <w:rsid w:val="00E921F4"/>
    <w:rsid w:val="00E92A34"/>
    <w:rsid w:val="00E9305A"/>
    <w:rsid w:val="00E945D2"/>
    <w:rsid w:val="00E953CF"/>
    <w:rsid w:val="00E957FC"/>
    <w:rsid w:val="00E963D0"/>
    <w:rsid w:val="00E96534"/>
    <w:rsid w:val="00E96A65"/>
    <w:rsid w:val="00E978DD"/>
    <w:rsid w:val="00E97E73"/>
    <w:rsid w:val="00EA0289"/>
    <w:rsid w:val="00EA078A"/>
    <w:rsid w:val="00EA1D83"/>
    <w:rsid w:val="00EA20C5"/>
    <w:rsid w:val="00EA2C8F"/>
    <w:rsid w:val="00EA2F48"/>
    <w:rsid w:val="00EA45C3"/>
    <w:rsid w:val="00EA4BAC"/>
    <w:rsid w:val="00EA4EAC"/>
    <w:rsid w:val="00EA4F25"/>
    <w:rsid w:val="00EA5FEA"/>
    <w:rsid w:val="00EA62C0"/>
    <w:rsid w:val="00EA778A"/>
    <w:rsid w:val="00EB039E"/>
    <w:rsid w:val="00EB0ECB"/>
    <w:rsid w:val="00EB11D1"/>
    <w:rsid w:val="00EB170C"/>
    <w:rsid w:val="00EB181B"/>
    <w:rsid w:val="00EB1CA4"/>
    <w:rsid w:val="00EB1D76"/>
    <w:rsid w:val="00EB243B"/>
    <w:rsid w:val="00EB2DEA"/>
    <w:rsid w:val="00EB3631"/>
    <w:rsid w:val="00EB4856"/>
    <w:rsid w:val="00EB5996"/>
    <w:rsid w:val="00EB613A"/>
    <w:rsid w:val="00EB78C6"/>
    <w:rsid w:val="00EB7F71"/>
    <w:rsid w:val="00EB7FFA"/>
    <w:rsid w:val="00EC08FB"/>
    <w:rsid w:val="00EC1241"/>
    <w:rsid w:val="00EC2703"/>
    <w:rsid w:val="00EC341C"/>
    <w:rsid w:val="00EC3F03"/>
    <w:rsid w:val="00EC4A33"/>
    <w:rsid w:val="00EC704A"/>
    <w:rsid w:val="00EC73CB"/>
    <w:rsid w:val="00EC7C4D"/>
    <w:rsid w:val="00EC7F95"/>
    <w:rsid w:val="00ED0DD8"/>
    <w:rsid w:val="00ED0FD1"/>
    <w:rsid w:val="00ED1657"/>
    <w:rsid w:val="00ED233A"/>
    <w:rsid w:val="00ED27AC"/>
    <w:rsid w:val="00ED3328"/>
    <w:rsid w:val="00ED3A40"/>
    <w:rsid w:val="00ED42F8"/>
    <w:rsid w:val="00ED4327"/>
    <w:rsid w:val="00ED4F0D"/>
    <w:rsid w:val="00ED5637"/>
    <w:rsid w:val="00ED65DE"/>
    <w:rsid w:val="00ED6618"/>
    <w:rsid w:val="00ED6663"/>
    <w:rsid w:val="00EE003C"/>
    <w:rsid w:val="00EE0599"/>
    <w:rsid w:val="00EE1981"/>
    <w:rsid w:val="00EE1DCA"/>
    <w:rsid w:val="00EE2AD4"/>
    <w:rsid w:val="00EE3888"/>
    <w:rsid w:val="00EE44C4"/>
    <w:rsid w:val="00EE54FA"/>
    <w:rsid w:val="00EE6C0E"/>
    <w:rsid w:val="00EE6EA0"/>
    <w:rsid w:val="00EE71C9"/>
    <w:rsid w:val="00EE736A"/>
    <w:rsid w:val="00EE79D7"/>
    <w:rsid w:val="00EE7A15"/>
    <w:rsid w:val="00EE7D34"/>
    <w:rsid w:val="00EF0BEB"/>
    <w:rsid w:val="00EF1574"/>
    <w:rsid w:val="00EF1B9C"/>
    <w:rsid w:val="00EF33F3"/>
    <w:rsid w:val="00EF3482"/>
    <w:rsid w:val="00EF352D"/>
    <w:rsid w:val="00EF359A"/>
    <w:rsid w:val="00EF3C6F"/>
    <w:rsid w:val="00EF429C"/>
    <w:rsid w:val="00EF481D"/>
    <w:rsid w:val="00EF4AEE"/>
    <w:rsid w:val="00EF5E73"/>
    <w:rsid w:val="00EF6848"/>
    <w:rsid w:val="00EF6E41"/>
    <w:rsid w:val="00EF7657"/>
    <w:rsid w:val="00F0030D"/>
    <w:rsid w:val="00F00D10"/>
    <w:rsid w:val="00F010E4"/>
    <w:rsid w:val="00F011B5"/>
    <w:rsid w:val="00F0173C"/>
    <w:rsid w:val="00F01981"/>
    <w:rsid w:val="00F02A00"/>
    <w:rsid w:val="00F02ECC"/>
    <w:rsid w:val="00F034A5"/>
    <w:rsid w:val="00F03BF4"/>
    <w:rsid w:val="00F03C5A"/>
    <w:rsid w:val="00F03F3B"/>
    <w:rsid w:val="00F040A7"/>
    <w:rsid w:val="00F0455B"/>
    <w:rsid w:val="00F05A9F"/>
    <w:rsid w:val="00F06527"/>
    <w:rsid w:val="00F066D3"/>
    <w:rsid w:val="00F07468"/>
    <w:rsid w:val="00F076B5"/>
    <w:rsid w:val="00F07E3C"/>
    <w:rsid w:val="00F106C2"/>
    <w:rsid w:val="00F11DDC"/>
    <w:rsid w:val="00F11EAD"/>
    <w:rsid w:val="00F1265A"/>
    <w:rsid w:val="00F128B9"/>
    <w:rsid w:val="00F12928"/>
    <w:rsid w:val="00F12AB3"/>
    <w:rsid w:val="00F1302B"/>
    <w:rsid w:val="00F13F76"/>
    <w:rsid w:val="00F140A2"/>
    <w:rsid w:val="00F14A8B"/>
    <w:rsid w:val="00F14ECC"/>
    <w:rsid w:val="00F153C1"/>
    <w:rsid w:val="00F163C3"/>
    <w:rsid w:val="00F16585"/>
    <w:rsid w:val="00F166E3"/>
    <w:rsid w:val="00F169B4"/>
    <w:rsid w:val="00F174BA"/>
    <w:rsid w:val="00F2176B"/>
    <w:rsid w:val="00F217E8"/>
    <w:rsid w:val="00F218FD"/>
    <w:rsid w:val="00F22D82"/>
    <w:rsid w:val="00F22DE1"/>
    <w:rsid w:val="00F22FE8"/>
    <w:rsid w:val="00F23773"/>
    <w:rsid w:val="00F237AF"/>
    <w:rsid w:val="00F23A8E"/>
    <w:rsid w:val="00F254B4"/>
    <w:rsid w:val="00F25FF4"/>
    <w:rsid w:val="00F26D40"/>
    <w:rsid w:val="00F273B5"/>
    <w:rsid w:val="00F276B7"/>
    <w:rsid w:val="00F27809"/>
    <w:rsid w:val="00F27A12"/>
    <w:rsid w:val="00F3021A"/>
    <w:rsid w:val="00F303D5"/>
    <w:rsid w:val="00F3056A"/>
    <w:rsid w:val="00F30CCC"/>
    <w:rsid w:val="00F31A90"/>
    <w:rsid w:val="00F33457"/>
    <w:rsid w:val="00F334EC"/>
    <w:rsid w:val="00F340B6"/>
    <w:rsid w:val="00F341F2"/>
    <w:rsid w:val="00F3427C"/>
    <w:rsid w:val="00F34650"/>
    <w:rsid w:val="00F34C47"/>
    <w:rsid w:val="00F3571D"/>
    <w:rsid w:val="00F35F10"/>
    <w:rsid w:val="00F36026"/>
    <w:rsid w:val="00F360A4"/>
    <w:rsid w:val="00F361B7"/>
    <w:rsid w:val="00F36AC8"/>
    <w:rsid w:val="00F370D0"/>
    <w:rsid w:val="00F37CB0"/>
    <w:rsid w:val="00F402CE"/>
    <w:rsid w:val="00F405B5"/>
    <w:rsid w:val="00F40866"/>
    <w:rsid w:val="00F40BAE"/>
    <w:rsid w:val="00F411D0"/>
    <w:rsid w:val="00F4166B"/>
    <w:rsid w:val="00F422AF"/>
    <w:rsid w:val="00F42E87"/>
    <w:rsid w:val="00F42FEE"/>
    <w:rsid w:val="00F43D1C"/>
    <w:rsid w:val="00F440C0"/>
    <w:rsid w:val="00F464D7"/>
    <w:rsid w:val="00F465BA"/>
    <w:rsid w:val="00F466DF"/>
    <w:rsid w:val="00F468EB"/>
    <w:rsid w:val="00F47B97"/>
    <w:rsid w:val="00F47C72"/>
    <w:rsid w:val="00F500D8"/>
    <w:rsid w:val="00F50211"/>
    <w:rsid w:val="00F5048E"/>
    <w:rsid w:val="00F511F4"/>
    <w:rsid w:val="00F51754"/>
    <w:rsid w:val="00F51ABD"/>
    <w:rsid w:val="00F52F93"/>
    <w:rsid w:val="00F531ED"/>
    <w:rsid w:val="00F535D0"/>
    <w:rsid w:val="00F537F9"/>
    <w:rsid w:val="00F53891"/>
    <w:rsid w:val="00F54608"/>
    <w:rsid w:val="00F54908"/>
    <w:rsid w:val="00F54E66"/>
    <w:rsid w:val="00F552F2"/>
    <w:rsid w:val="00F555C4"/>
    <w:rsid w:val="00F55E52"/>
    <w:rsid w:val="00F5611A"/>
    <w:rsid w:val="00F56DFE"/>
    <w:rsid w:val="00F57582"/>
    <w:rsid w:val="00F57B1B"/>
    <w:rsid w:val="00F57EF0"/>
    <w:rsid w:val="00F604D5"/>
    <w:rsid w:val="00F6148B"/>
    <w:rsid w:val="00F627E2"/>
    <w:rsid w:val="00F62B74"/>
    <w:rsid w:val="00F63D86"/>
    <w:rsid w:val="00F63F81"/>
    <w:rsid w:val="00F65316"/>
    <w:rsid w:val="00F65430"/>
    <w:rsid w:val="00F65758"/>
    <w:rsid w:val="00F66738"/>
    <w:rsid w:val="00F66DFC"/>
    <w:rsid w:val="00F66F0E"/>
    <w:rsid w:val="00F70A0A"/>
    <w:rsid w:val="00F71520"/>
    <w:rsid w:val="00F72455"/>
    <w:rsid w:val="00F73AB1"/>
    <w:rsid w:val="00F73CF3"/>
    <w:rsid w:val="00F74965"/>
    <w:rsid w:val="00F7590F"/>
    <w:rsid w:val="00F75A0F"/>
    <w:rsid w:val="00F75FE2"/>
    <w:rsid w:val="00F772CC"/>
    <w:rsid w:val="00F774B5"/>
    <w:rsid w:val="00F80C37"/>
    <w:rsid w:val="00F81A21"/>
    <w:rsid w:val="00F823B9"/>
    <w:rsid w:val="00F839E3"/>
    <w:rsid w:val="00F846B0"/>
    <w:rsid w:val="00F847DD"/>
    <w:rsid w:val="00F852DB"/>
    <w:rsid w:val="00F8569E"/>
    <w:rsid w:val="00F856DF"/>
    <w:rsid w:val="00F85A14"/>
    <w:rsid w:val="00F8713C"/>
    <w:rsid w:val="00F878EF"/>
    <w:rsid w:val="00F87B2A"/>
    <w:rsid w:val="00F90EB0"/>
    <w:rsid w:val="00F913C6"/>
    <w:rsid w:val="00F91EA9"/>
    <w:rsid w:val="00F92DEF"/>
    <w:rsid w:val="00F94355"/>
    <w:rsid w:val="00F946BC"/>
    <w:rsid w:val="00F94814"/>
    <w:rsid w:val="00F94864"/>
    <w:rsid w:val="00F9488E"/>
    <w:rsid w:val="00F9510B"/>
    <w:rsid w:val="00F95157"/>
    <w:rsid w:val="00F95BDD"/>
    <w:rsid w:val="00F96057"/>
    <w:rsid w:val="00F96F8B"/>
    <w:rsid w:val="00F97115"/>
    <w:rsid w:val="00F976BE"/>
    <w:rsid w:val="00F97732"/>
    <w:rsid w:val="00FA02EE"/>
    <w:rsid w:val="00FA0656"/>
    <w:rsid w:val="00FA1C80"/>
    <w:rsid w:val="00FA2BB7"/>
    <w:rsid w:val="00FA33A6"/>
    <w:rsid w:val="00FA5316"/>
    <w:rsid w:val="00FA5385"/>
    <w:rsid w:val="00FA6856"/>
    <w:rsid w:val="00FA73DA"/>
    <w:rsid w:val="00FA791E"/>
    <w:rsid w:val="00FA7B80"/>
    <w:rsid w:val="00FB0B18"/>
    <w:rsid w:val="00FB18EA"/>
    <w:rsid w:val="00FB1CC9"/>
    <w:rsid w:val="00FB22D5"/>
    <w:rsid w:val="00FB2ACA"/>
    <w:rsid w:val="00FB2B98"/>
    <w:rsid w:val="00FB4110"/>
    <w:rsid w:val="00FB52C5"/>
    <w:rsid w:val="00FB641E"/>
    <w:rsid w:val="00FB673E"/>
    <w:rsid w:val="00FB713E"/>
    <w:rsid w:val="00FB753B"/>
    <w:rsid w:val="00FC03A9"/>
    <w:rsid w:val="00FC1BA2"/>
    <w:rsid w:val="00FC27C6"/>
    <w:rsid w:val="00FC2F5C"/>
    <w:rsid w:val="00FC3222"/>
    <w:rsid w:val="00FC3B02"/>
    <w:rsid w:val="00FC3D57"/>
    <w:rsid w:val="00FC3EB4"/>
    <w:rsid w:val="00FC449A"/>
    <w:rsid w:val="00FC510B"/>
    <w:rsid w:val="00FC51B8"/>
    <w:rsid w:val="00FC5FD1"/>
    <w:rsid w:val="00FC6363"/>
    <w:rsid w:val="00FC6C2D"/>
    <w:rsid w:val="00FC738B"/>
    <w:rsid w:val="00FD018A"/>
    <w:rsid w:val="00FD078D"/>
    <w:rsid w:val="00FD0F8F"/>
    <w:rsid w:val="00FD1174"/>
    <w:rsid w:val="00FD136E"/>
    <w:rsid w:val="00FD16AB"/>
    <w:rsid w:val="00FD18DC"/>
    <w:rsid w:val="00FD2E3A"/>
    <w:rsid w:val="00FD38DC"/>
    <w:rsid w:val="00FD3ED4"/>
    <w:rsid w:val="00FD6457"/>
    <w:rsid w:val="00FD755E"/>
    <w:rsid w:val="00FD770C"/>
    <w:rsid w:val="00FD7C5D"/>
    <w:rsid w:val="00FD7CD3"/>
    <w:rsid w:val="00FD7DA7"/>
    <w:rsid w:val="00FE1536"/>
    <w:rsid w:val="00FE2F23"/>
    <w:rsid w:val="00FE410C"/>
    <w:rsid w:val="00FE416C"/>
    <w:rsid w:val="00FE44C5"/>
    <w:rsid w:val="00FE58A6"/>
    <w:rsid w:val="00FE5980"/>
    <w:rsid w:val="00FE607D"/>
    <w:rsid w:val="00FE71B4"/>
    <w:rsid w:val="00FE7EB2"/>
    <w:rsid w:val="00FF0720"/>
    <w:rsid w:val="00FF1021"/>
    <w:rsid w:val="00FF1230"/>
    <w:rsid w:val="00FF141F"/>
    <w:rsid w:val="00FF2F79"/>
    <w:rsid w:val="00FF323A"/>
    <w:rsid w:val="00FF406D"/>
    <w:rsid w:val="00FF5CE3"/>
    <w:rsid w:val="00FF6259"/>
    <w:rsid w:val="00FF6379"/>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9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qFormat="1"/>
    <w:lsdException w:name="heading 1" w:uiPriority="9" w:qFormat="1"/>
    <w:lsdException w:name="heading 2" w:qFormat="1"/>
    <w:lsdException w:name="heading 3" w:uiPriority="9"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EE7A15"/>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EE7A15"/>
    <w:pPr>
      <w:keepNext/>
      <w:numPr>
        <w:numId w:val="5"/>
      </w:numPr>
      <w:ind w:right="1296"/>
      <w:outlineLvl w:val="0"/>
    </w:pPr>
    <w:rPr>
      <w:u w:val="single"/>
    </w:rPr>
  </w:style>
  <w:style w:type="paragraph" w:styleId="Heading2">
    <w:name w:val="heading 2"/>
    <w:basedOn w:val="Normal"/>
    <w:next w:val="Normal"/>
    <w:uiPriority w:val="99"/>
    <w:qFormat/>
    <w:locked/>
    <w:rsid w:val="00EE7A15"/>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EE7A15"/>
    <w:pPr>
      <w:keepNext/>
      <w:numPr>
        <w:ilvl w:val="2"/>
        <w:numId w:val="5"/>
      </w:numPr>
      <w:spacing w:before="240" w:after="60"/>
      <w:outlineLvl w:val="2"/>
    </w:pPr>
    <w:rPr>
      <w:rFonts w:ascii="Arial" w:hAnsi="Arial"/>
      <w:sz w:val="24"/>
    </w:rPr>
  </w:style>
  <w:style w:type="paragraph" w:styleId="Heading4">
    <w:name w:val="heading 4"/>
    <w:basedOn w:val="NoNorm"/>
    <w:next w:val="Normal"/>
    <w:link w:val="Heading4Char"/>
    <w:uiPriority w:val="9"/>
    <w:unhideWhenUsed/>
    <w:qFormat/>
    <w:locked/>
    <w:rsid w:val="000525DE"/>
    <w:pPr>
      <w:ind w:left="720" w:firstLine="0"/>
      <w:outlineLvl w:val="3"/>
    </w:pPr>
    <w:rPr>
      <w:u w:val="single"/>
    </w:rPr>
  </w:style>
  <w:style w:type="character" w:default="1" w:styleId="DefaultParagraphFont">
    <w:name w:val="Default Paragraph Font"/>
    <w:uiPriority w:val="1"/>
    <w:semiHidden/>
    <w:unhideWhenUsed/>
    <w:rsid w:val="00EE7A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7A15"/>
  </w:style>
  <w:style w:type="paragraph" w:styleId="Footer">
    <w:name w:val="footer"/>
    <w:basedOn w:val="Normal"/>
    <w:link w:val="FooterChar"/>
    <w:uiPriority w:val="43"/>
    <w:locked/>
    <w:rsid w:val="00EE7A15"/>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EE7A15"/>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EE7A15"/>
    <w:pPr>
      <w:spacing w:before="240" w:line="240" w:lineRule="exact"/>
      <w:ind w:left="720" w:right="794" w:firstLine="0"/>
    </w:pPr>
  </w:style>
  <w:style w:type="paragraph" w:styleId="FootnoteText">
    <w:name w:val="footnote text"/>
    <w:basedOn w:val="Normal"/>
    <w:link w:val="FootnoteTextChar"/>
    <w:uiPriority w:val="53"/>
    <w:locked/>
    <w:rsid w:val="00EE7A15"/>
    <w:pPr>
      <w:spacing w:after="240" w:line="240" w:lineRule="exact"/>
      <w:ind w:left="510" w:hanging="510"/>
    </w:pPr>
  </w:style>
  <w:style w:type="character" w:styleId="FootnoteReference">
    <w:name w:val="footnote reference"/>
    <w:uiPriority w:val="51"/>
    <w:locked/>
    <w:rsid w:val="00EE7A15"/>
    <w:rPr>
      <w:b/>
      <w:sz w:val="28"/>
      <w:vertAlign w:val="superscript"/>
    </w:rPr>
  </w:style>
  <w:style w:type="paragraph" w:customStyle="1" w:styleId="FootIndAgain">
    <w:name w:val="FootIndAgain"/>
    <w:basedOn w:val="FootnoteText"/>
    <w:uiPriority w:val="47"/>
    <w:qFormat/>
    <w:locked/>
    <w:rsid w:val="00EE7A15"/>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EE7A15"/>
    <w:pPr>
      <w:ind w:firstLine="0"/>
    </w:pPr>
  </w:style>
  <w:style w:type="character" w:customStyle="1" w:styleId="Heading1Char">
    <w:name w:val="Heading 1 Char"/>
    <w:uiPriority w:val="99"/>
    <w:semiHidden/>
    <w:locked/>
    <w:rsid w:val="00EE7A15"/>
    <w:rPr>
      <w:rFonts w:ascii="Univers" w:hAnsi="Univers"/>
      <w:sz w:val="26"/>
      <w:u w:val="single"/>
      <w:lang w:val="en-AU"/>
    </w:rPr>
  </w:style>
  <w:style w:type="character" w:customStyle="1" w:styleId="Heading2Char">
    <w:name w:val="Heading 2 Char"/>
    <w:uiPriority w:val="99"/>
    <w:semiHidden/>
    <w:locked/>
    <w:rsid w:val="00EE7A15"/>
    <w:rPr>
      <w:rFonts w:ascii="Arial" w:hAnsi="Arial"/>
      <w:b/>
      <w:i/>
      <w:sz w:val="24"/>
      <w:lang w:val="en-AU"/>
    </w:rPr>
  </w:style>
  <w:style w:type="character" w:customStyle="1" w:styleId="Heading3Char">
    <w:name w:val="Heading 3 Char"/>
    <w:uiPriority w:val="99"/>
    <w:semiHidden/>
    <w:locked/>
    <w:rsid w:val="00EE7A15"/>
    <w:rPr>
      <w:rFonts w:ascii="Arial" w:hAnsi="Arial"/>
      <w:sz w:val="24"/>
      <w:lang w:val="en-AU"/>
    </w:rPr>
  </w:style>
  <w:style w:type="paragraph" w:customStyle="1" w:styleId="NormalHC">
    <w:name w:val="Normal HC"/>
    <w:basedOn w:val="Normal"/>
    <w:uiPriority w:val="27"/>
    <w:qFormat/>
    <w:locked/>
    <w:rsid w:val="00EE7A15"/>
    <w:pPr>
      <w:numPr>
        <w:numId w:val="16"/>
      </w:numPr>
      <w:spacing w:after="480"/>
      <w:ind w:left="0" w:hanging="720"/>
    </w:pPr>
  </w:style>
  <w:style w:type="paragraph" w:customStyle="1" w:styleId="HeadingFirst">
    <w:name w:val="Heading First"/>
    <w:basedOn w:val="NormalHC"/>
    <w:next w:val="HeadingV"/>
    <w:uiPriority w:val="15"/>
    <w:qFormat/>
    <w:locked/>
    <w:rsid w:val="00EE7A15"/>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EE7A15"/>
    <w:pPr>
      <w:keepNext/>
      <w:numPr>
        <w:numId w:val="0"/>
      </w:numPr>
      <w:outlineLvl w:val="2"/>
    </w:pPr>
    <w:rPr>
      <w:b/>
      <w:szCs w:val="20"/>
    </w:rPr>
  </w:style>
  <w:style w:type="paragraph" w:customStyle="1" w:styleId="HeadingL2">
    <w:name w:val="Heading L2"/>
    <w:basedOn w:val="HeadingL1"/>
    <w:next w:val="NormalHC"/>
    <w:uiPriority w:val="23"/>
    <w:qFormat/>
    <w:locked/>
    <w:rsid w:val="00EE7A15"/>
    <w:pPr>
      <w:outlineLvl w:val="3"/>
    </w:pPr>
    <w:rPr>
      <w:b w:val="0"/>
      <w:i/>
    </w:rPr>
  </w:style>
  <w:style w:type="paragraph" w:customStyle="1" w:styleId="HeadingMatter">
    <w:name w:val="Heading Matter"/>
    <w:basedOn w:val="NormalHC"/>
    <w:next w:val="HeadingFirst"/>
    <w:uiPriority w:val="13"/>
    <w:qFormat/>
    <w:locked/>
    <w:rsid w:val="00EE7A15"/>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EE7A15"/>
    <w:pPr>
      <w:keepNext w:val="0"/>
    </w:pPr>
  </w:style>
  <w:style w:type="paragraph" w:customStyle="1" w:styleId="HeadingV">
    <w:name w:val="Heading V"/>
    <w:basedOn w:val="HeadingFirst"/>
    <w:next w:val="HeadingSecond"/>
    <w:uiPriority w:val="17"/>
    <w:qFormat/>
    <w:locked/>
    <w:rsid w:val="00EE7A15"/>
    <w:rPr>
      <w:caps w:val="0"/>
      <w:u w:val="none"/>
    </w:rPr>
  </w:style>
  <w:style w:type="paragraph" w:customStyle="1" w:styleId="LeftrightafterHC">
    <w:name w:val="Leftright after HC"/>
    <w:basedOn w:val="Normal"/>
    <w:next w:val="leftright"/>
    <w:uiPriority w:val="31"/>
    <w:qFormat/>
    <w:locked/>
    <w:rsid w:val="00EE7A15"/>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E7A15"/>
    <w:pPr>
      <w:ind w:firstLine="720"/>
    </w:pPr>
  </w:style>
  <w:style w:type="paragraph" w:customStyle="1" w:styleId="LeftrightHanging">
    <w:name w:val="LeftrightHanging"/>
    <w:basedOn w:val="NormalHC"/>
    <w:uiPriority w:val="35"/>
    <w:qFormat/>
    <w:locked/>
    <w:rsid w:val="00EE7A15"/>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E7A15"/>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E7A15"/>
    <w:pPr>
      <w:spacing w:before="200"/>
      <w:ind w:left="2160"/>
    </w:pPr>
  </w:style>
  <w:style w:type="paragraph" w:customStyle="1" w:styleId="NormalafterHd2nd">
    <w:name w:val="Normal after Hd2nd"/>
    <w:basedOn w:val="NormalHC"/>
    <w:next w:val="NormalHC"/>
    <w:uiPriority w:val="29"/>
    <w:locked/>
    <w:rsid w:val="00EE7A15"/>
    <w:pPr>
      <w:numPr>
        <w:numId w:val="0"/>
      </w:numPr>
      <w:spacing w:before="1000"/>
    </w:pPr>
  </w:style>
  <w:style w:type="character" w:customStyle="1" w:styleId="NormalHCChar">
    <w:name w:val="Normal HC Char"/>
    <w:uiPriority w:val="99"/>
    <w:semiHidden/>
    <w:locked/>
    <w:rsid w:val="00EE7A15"/>
    <w:rPr>
      <w:rFonts w:ascii="Univers" w:hAnsi="Univers"/>
      <w:sz w:val="26"/>
      <w:szCs w:val="26"/>
    </w:rPr>
  </w:style>
  <w:style w:type="character" w:customStyle="1" w:styleId="StyleFootnoteReferenceChar">
    <w:name w:val="Style Footnote Reference Char"/>
    <w:uiPriority w:val="99"/>
    <w:semiHidden/>
    <w:locked/>
    <w:rsid w:val="00EE7A15"/>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EE7A15"/>
  </w:style>
  <w:style w:type="paragraph" w:customStyle="1" w:styleId="HeadingJudgment">
    <w:name w:val="Heading Judgment"/>
    <w:basedOn w:val="Normal"/>
    <w:uiPriority w:val="59"/>
    <w:qFormat/>
    <w:locked/>
    <w:rsid w:val="00EE7A15"/>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EE7A15"/>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EE7A15"/>
    <w:pPr>
      <w:outlineLvl w:val="4"/>
    </w:pPr>
    <w:rPr>
      <w:b w:val="0"/>
    </w:rPr>
  </w:style>
  <w:style w:type="character" w:styleId="PageNumber">
    <w:name w:val="page number"/>
    <w:basedOn w:val="DefaultParagraphFont"/>
    <w:uiPriority w:val="57"/>
    <w:locked/>
    <w:rsid w:val="00EE7A15"/>
  </w:style>
  <w:style w:type="paragraph" w:styleId="BalloonText">
    <w:name w:val="Balloon Text"/>
    <w:basedOn w:val="Normal"/>
    <w:link w:val="BalloonTextChar"/>
    <w:semiHidden/>
    <w:locked/>
    <w:rsid w:val="00EE7A15"/>
    <w:rPr>
      <w:rFonts w:ascii="Tahoma" w:hAnsi="Tahoma" w:cs="Tahoma"/>
      <w:sz w:val="16"/>
      <w:szCs w:val="16"/>
      <w:lang w:eastAsia="en-US"/>
    </w:rPr>
  </w:style>
  <w:style w:type="character" w:customStyle="1" w:styleId="BalloonTextChar">
    <w:name w:val="Balloon Text Char"/>
    <w:basedOn w:val="DefaultParagraphFont"/>
    <w:link w:val="BalloonText"/>
    <w:semiHidden/>
    <w:rsid w:val="00EE7A15"/>
    <w:rPr>
      <w:rFonts w:ascii="Tahoma" w:hAnsi="Tahoma" w:cs="Tahoma"/>
      <w:sz w:val="16"/>
      <w:szCs w:val="16"/>
      <w:lang w:eastAsia="en-US"/>
    </w:rPr>
  </w:style>
  <w:style w:type="paragraph" w:customStyle="1" w:styleId="ClosingText">
    <w:name w:val="Closing Text"/>
    <w:basedOn w:val="Normal"/>
    <w:uiPriority w:val="98"/>
    <w:semiHidden/>
    <w:qFormat/>
    <w:locked/>
    <w:rsid w:val="00EE7A15"/>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EE7A15"/>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EE7A15"/>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EE7A15"/>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EE7A15"/>
    <w:rPr>
      <w:szCs w:val="20"/>
      <w:lang w:eastAsia="en-US"/>
    </w:rPr>
  </w:style>
  <w:style w:type="paragraph" w:customStyle="1" w:styleId="NormalBody">
    <w:name w:val="Normal Body"/>
    <w:basedOn w:val="NormalHC"/>
    <w:uiPriority w:val="28"/>
    <w:qFormat/>
    <w:locked/>
    <w:rsid w:val="00EE7A15"/>
    <w:pPr>
      <w:numPr>
        <w:numId w:val="0"/>
      </w:numPr>
    </w:pPr>
    <w:rPr>
      <w:lang w:eastAsia="en-US"/>
    </w:rPr>
  </w:style>
  <w:style w:type="paragraph" w:customStyle="1" w:styleId="StyleFootnoteReference">
    <w:name w:val="Style Footnote Reference"/>
    <w:basedOn w:val="Normal"/>
    <w:next w:val="Normal"/>
    <w:semiHidden/>
    <w:rsid w:val="00EE7A15"/>
    <w:rPr>
      <w:vertAlign w:val="superscript"/>
      <w:lang w:eastAsia="en-US"/>
    </w:rPr>
  </w:style>
  <w:style w:type="paragraph" w:styleId="ListNumber">
    <w:name w:val="List Number"/>
    <w:basedOn w:val="Normal"/>
    <w:uiPriority w:val="56"/>
    <w:locked/>
    <w:rsid w:val="00EE7A15"/>
    <w:pPr>
      <w:numPr>
        <w:numId w:val="11"/>
      </w:numPr>
      <w:contextualSpacing/>
    </w:pPr>
  </w:style>
  <w:style w:type="paragraph" w:customStyle="1" w:styleId="FixListStyle">
    <w:name w:val="FixListStyle"/>
    <w:basedOn w:val="Normal"/>
    <w:uiPriority w:val="99"/>
    <w:qFormat/>
    <w:rsid w:val="00EE7A15"/>
    <w:pPr>
      <w:numPr>
        <w:numId w:val="19"/>
      </w:numPr>
      <w:spacing w:after="480"/>
      <w:ind w:left="0" w:hanging="720"/>
    </w:pPr>
  </w:style>
  <w:style w:type="paragraph" w:customStyle="1" w:styleId="CatchwordsBold">
    <w:name w:val="Catchwords Bold"/>
    <w:basedOn w:val="Normal"/>
    <w:link w:val="CatchwordsBoldChar"/>
    <w:qFormat/>
    <w:rsid w:val="00EE7A15"/>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EE7A15"/>
    <w:rPr>
      <w:rFonts w:ascii="Times New Roman" w:hAnsi="Times New Roman"/>
      <w:b/>
      <w:szCs w:val="20"/>
    </w:rPr>
  </w:style>
  <w:style w:type="paragraph" w:customStyle="1" w:styleId="CatchwordsRight">
    <w:name w:val="Catchwords Right"/>
    <w:basedOn w:val="Normal"/>
    <w:link w:val="CatchwordsRightChar"/>
    <w:qFormat/>
    <w:rsid w:val="00EE7A15"/>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EE7A15"/>
    <w:rPr>
      <w:rFonts w:ascii="Times New Roman" w:hAnsi="Times New Roman"/>
      <w:szCs w:val="20"/>
    </w:rPr>
  </w:style>
  <w:style w:type="paragraph" w:customStyle="1" w:styleId="CatchwordsText">
    <w:name w:val="Catchwords Text"/>
    <w:basedOn w:val="Normal"/>
    <w:link w:val="CatchwordsTextChar"/>
    <w:qFormat/>
    <w:rsid w:val="00EE7A15"/>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EE7A15"/>
    <w:rPr>
      <w:rFonts w:ascii="Times New Roman" w:hAnsi="Times New Roman"/>
      <w:szCs w:val="20"/>
    </w:rPr>
  </w:style>
  <w:style w:type="paragraph" w:customStyle="1" w:styleId="CenteredBorder">
    <w:name w:val="Centered Border"/>
    <w:qFormat/>
    <w:rsid w:val="00EE7A1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EE7A15"/>
    <w:pPr>
      <w:jc w:val="center"/>
    </w:pPr>
    <w:rPr>
      <w:rFonts w:ascii="Times New Roman" w:hAnsi="Times New Roman"/>
      <w:b/>
      <w:bCs/>
      <w:szCs w:val="20"/>
      <w:lang w:val="en-GB"/>
    </w:rPr>
  </w:style>
  <w:style w:type="character" w:customStyle="1" w:styleId="OrderCentred">
    <w:name w:val="Order Centred"/>
    <w:semiHidden/>
    <w:rsid w:val="00EE7A15"/>
    <w:rPr>
      <w:b/>
      <w:bCs/>
      <w:sz w:val="26"/>
    </w:rPr>
  </w:style>
  <w:style w:type="paragraph" w:customStyle="1" w:styleId="OrdersTopLine">
    <w:name w:val="Orders TopLine"/>
    <w:qFormat/>
    <w:rsid w:val="00EE7A15"/>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EE7A1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EE7A1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EE7A15"/>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EE7A1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EE7A15"/>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EE7A15"/>
    <w:rPr>
      <w:rFonts w:ascii="Times New Roman" w:hAnsi="Times New Roman"/>
      <w:i/>
      <w:lang w:eastAsia="en-US"/>
    </w:rPr>
  </w:style>
  <w:style w:type="paragraph" w:customStyle="1" w:styleId="OrdersIndentLevel2i">
    <w:name w:val="Orders Indent Level 2 (i)"/>
    <w:basedOn w:val="Normal"/>
    <w:link w:val="OrdersIndentLevel2iChar"/>
    <w:qFormat/>
    <w:rsid w:val="00EE7A15"/>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EE7A15"/>
    <w:rPr>
      <w:rFonts w:ascii="Times New Roman" w:hAnsi="Times New Roman"/>
      <w:i/>
      <w:lang w:eastAsia="en-US"/>
    </w:rPr>
  </w:style>
  <w:style w:type="paragraph" w:customStyle="1" w:styleId="OrdersMatter">
    <w:name w:val="Orders Matter"/>
    <w:basedOn w:val="OrderCentreBold"/>
    <w:link w:val="OrdersMatterChar"/>
    <w:qFormat/>
    <w:rsid w:val="00EE7A15"/>
  </w:style>
  <w:style w:type="character" w:customStyle="1" w:styleId="OrdersMatterChar">
    <w:name w:val="Orders Matter Char"/>
    <w:link w:val="OrdersMatter"/>
    <w:rsid w:val="00EE7A15"/>
    <w:rPr>
      <w:rFonts w:ascii="Times New Roman" w:hAnsi="Times New Roman"/>
      <w:b/>
      <w:bCs/>
      <w:szCs w:val="20"/>
      <w:lang w:val="en-GB"/>
    </w:rPr>
  </w:style>
  <w:style w:type="paragraph" w:customStyle="1" w:styleId="OrdersNotice">
    <w:name w:val="Orders Notice"/>
    <w:rsid w:val="00EE7A15"/>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EE7A15"/>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EE7A15"/>
    <w:rPr>
      <w:rFonts w:ascii="Times New Roman" w:hAnsi="Times New Roman"/>
      <w:szCs w:val="20"/>
      <w:lang w:eastAsia="en-US"/>
    </w:rPr>
  </w:style>
  <w:style w:type="paragraph" w:customStyle="1" w:styleId="OrdersText">
    <w:name w:val="Orders Text"/>
    <w:basedOn w:val="Normal"/>
    <w:link w:val="OrdersTextChar"/>
    <w:qFormat/>
    <w:rsid w:val="00EE7A15"/>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EE7A15"/>
    <w:rPr>
      <w:rFonts w:ascii="Times New Roman" w:hAnsi="Times New Roman"/>
      <w:i/>
      <w:lang w:eastAsia="en-US"/>
    </w:rPr>
  </w:style>
  <w:style w:type="paragraph" w:customStyle="1" w:styleId="OrdersCenteredBorder">
    <w:name w:val="Orders Centered Border"/>
    <w:qFormat/>
    <w:rsid w:val="00EE7A1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EE7A15"/>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EE7A15"/>
    <w:rPr>
      <w:rFonts w:ascii="Times New Roman" w:hAnsi="Times New Roman"/>
      <w:szCs w:val="20"/>
    </w:rPr>
  </w:style>
  <w:style w:type="paragraph" w:customStyle="1" w:styleId="LRHangingafterHC">
    <w:name w:val="LR Hanging after HC"/>
    <w:basedOn w:val="Normal"/>
    <w:next w:val="LeftrightHanging"/>
    <w:uiPriority w:val="99"/>
    <w:qFormat/>
    <w:rsid w:val="00EE7A15"/>
    <w:pPr>
      <w:spacing w:before="720" w:line="240" w:lineRule="exact"/>
      <w:ind w:left="1440" w:right="794" w:hanging="720"/>
    </w:pPr>
  </w:style>
  <w:style w:type="paragraph" w:styleId="Revision">
    <w:name w:val="Revision"/>
    <w:hidden/>
    <w:uiPriority w:val="99"/>
    <w:semiHidden/>
    <w:rsid w:val="000F77CE"/>
  </w:style>
  <w:style w:type="character" w:styleId="CommentReference">
    <w:name w:val="annotation reference"/>
    <w:basedOn w:val="DefaultParagraphFont"/>
    <w:uiPriority w:val="99"/>
    <w:semiHidden/>
    <w:unhideWhenUsed/>
    <w:locked/>
    <w:rsid w:val="00F3427C"/>
    <w:rPr>
      <w:sz w:val="16"/>
      <w:szCs w:val="16"/>
    </w:rPr>
  </w:style>
  <w:style w:type="paragraph" w:styleId="CommentText">
    <w:name w:val="annotation text"/>
    <w:basedOn w:val="Normal"/>
    <w:link w:val="CommentTextChar"/>
    <w:uiPriority w:val="99"/>
    <w:unhideWhenUsed/>
    <w:locked/>
    <w:rsid w:val="00F3427C"/>
    <w:pPr>
      <w:spacing w:line="240" w:lineRule="auto"/>
    </w:pPr>
    <w:rPr>
      <w:sz w:val="20"/>
      <w:szCs w:val="20"/>
    </w:rPr>
  </w:style>
  <w:style w:type="character" w:customStyle="1" w:styleId="CommentTextChar">
    <w:name w:val="Comment Text Char"/>
    <w:basedOn w:val="DefaultParagraphFont"/>
    <w:link w:val="CommentText"/>
    <w:uiPriority w:val="99"/>
    <w:rsid w:val="00F3427C"/>
    <w:rPr>
      <w:sz w:val="20"/>
      <w:szCs w:val="20"/>
    </w:rPr>
  </w:style>
  <w:style w:type="paragraph" w:styleId="CommentSubject">
    <w:name w:val="annotation subject"/>
    <w:basedOn w:val="CommentText"/>
    <w:next w:val="CommentText"/>
    <w:link w:val="CommentSubjectChar"/>
    <w:uiPriority w:val="99"/>
    <w:semiHidden/>
    <w:unhideWhenUsed/>
    <w:locked/>
    <w:rsid w:val="00F3427C"/>
    <w:rPr>
      <w:b/>
      <w:bCs/>
    </w:rPr>
  </w:style>
  <w:style w:type="character" w:customStyle="1" w:styleId="CommentSubjectChar">
    <w:name w:val="Comment Subject Char"/>
    <w:basedOn w:val="CommentTextChar"/>
    <w:link w:val="CommentSubject"/>
    <w:uiPriority w:val="99"/>
    <w:semiHidden/>
    <w:rsid w:val="00F3427C"/>
    <w:rPr>
      <w:b/>
      <w:bCs/>
      <w:sz w:val="20"/>
      <w:szCs w:val="20"/>
    </w:rPr>
  </w:style>
  <w:style w:type="character" w:styleId="Hyperlink">
    <w:name w:val="Hyperlink"/>
    <w:basedOn w:val="DefaultParagraphFont"/>
    <w:uiPriority w:val="99"/>
    <w:unhideWhenUsed/>
    <w:locked/>
    <w:rsid w:val="0025062C"/>
    <w:rPr>
      <w:color w:val="0000FF" w:themeColor="hyperlink"/>
      <w:u w:val="single"/>
    </w:rPr>
  </w:style>
  <w:style w:type="character" w:styleId="UnresolvedMention">
    <w:name w:val="Unresolved Mention"/>
    <w:basedOn w:val="DefaultParagraphFont"/>
    <w:uiPriority w:val="99"/>
    <w:semiHidden/>
    <w:unhideWhenUsed/>
    <w:rsid w:val="0025062C"/>
    <w:rPr>
      <w:color w:val="605E5C"/>
      <w:shd w:val="clear" w:color="auto" w:fill="E1DFDD"/>
    </w:rPr>
  </w:style>
  <w:style w:type="character" w:customStyle="1" w:styleId="Heading4Char">
    <w:name w:val="Heading 4 Char"/>
    <w:basedOn w:val="DefaultParagraphFont"/>
    <w:link w:val="Heading4"/>
    <w:uiPriority w:val="9"/>
    <w:rsid w:val="000525DE"/>
    <w:rPr>
      <w:rFonts w:ascii="Arial" w:eastAsia="Calibri" w:hAnsi="Arial" w:cs="Arial"/>
      <w:sz w:val="22"/>
      <w:szCs w:val="22"/>
      <w:u w:val="single"/>
    </w:rPr>
  </w:style>
  <w:style w:type="paragraph" w:customStyle="1" w:styleId="NoNorm">
    <w:name w:val="No Norm"/>
    <w:basedOn w:val="Normal"/>
    <w:qFormat/>
    <w:rsid w:val="000525DE"/>
    <w:pPr>
      <w:tabs>
        <w:tab w:val="clear" w:pos="720"/>
        <w:tab w:val="clear" w:pos="1440"/>
        <w:tab w:val="clear" w:pos="2160"/>
        <w:tab w:val="clear" w:pos="2880"/>
        <w:tab w:val="clear" w:pos="3600"/>
        <w:tab w:val="clear" w:pos="4320"/>
        <w:tab w:val="clear" w:pos="5040"/>
        <w:tab w:val="clear" w:pos="5760"/>
        <w:tab w:val="clear" w:pos="6480"/>
        <w:tab w:val="clear" w:pos="7200"/>
      </w:tabs>
      <w:spacing w:before="120" w:line="240" w:lineRule="auto"/>
      <w:ind w:left="709" w:hanging="709"/>
      <w:jc w:val="both"/>
    </w:pPr>
    <w:rPr>
      <w:rFonts w:ascii="Arial" w:eastAsia="Calibri" w:hAnsi="Arial" w:cs="Arial"/>
      <w:sz w:val="22"/>
      <w:szCs w:val="22"/>
    </w:rPr>
  </w:style>
  <w:style w:type="character" w:customStyle="1" w:styleId="FootnoteTextChar">
    <w:name w:val="Footnote Text Char"/>
    <w:link w:val="FootnoteText"/>
    <w:uiPriority w:val="53"/>
    <w:rsid w:val="000525DE"/>
  </w:style>
  <w:style w:type="paragraph" w:customStyle="1" w:styleId="Noindentnormal">
    <w:name w:val="No indent normal"/>
    <w:basedOn w:val="NoNorm"/>
    <w:qFormat/>
    <w:rsid w:val="000525DE"/>
    <w:pPr>
      <w:ind w:left="1418"/>
    </w:pPr>
  </w:style>
  <w:style w:type="paragraph" w:customStyle="1" w:styleId="Indentlista">
    <w:name w:val="Indent list a)"/>
    <w:basedOn w:val="Noindentnormal"/>
    <w:qFormat/>
    <w:rsid w:val="000525DE"/>
    <w:pPr>
      <w:tabs>
        <w:tab w:val="left" w:pos="2268"/>
      </w:tabs>
      <w:spacing w:before="60"/>
      <w:ind w:left="1779" w:hanging="360"/>
    </w:pPr>
  </w:style>
  <w:style w:type="paragraph" w:customStyle="1" w:styleId="Leg1">
    <w:name w:val="Leg1"/>
    <w:basedOn w:val="Quote"/>
    <w:link w:val="Leg1Char"/>
    <w:qFormat/>
    <w:rsid w:val="000525DE"/>
    <w:pPr>
      <w:tabs>
        <w:tab w:val="clear" w:pos="720"/>
        <w:tab w:val="clear" w:pos="1440"/>
        <w:tab w:val="clear" w:pos="2160"/>
        <w:tab w:val="clear" w:pos="2880"/>
        <w:tab w:val="left" w:pos="1276"/>
        <w:tab w:val="left" w:pos="1418"/>
        <w:tab w:val="left" w:pos="2410"/>
      </w:tabs>
      <w:spacing w:before="120" w:after="240" w:line="240" w:lineRule="auto"/>
      <w:ind w:left="1418" w:right="567" w:firstLine="23"/>
      <w:jc w:val="both"/>
    </w:pPr>
    <w:rPr>
      <w:rFonts w:ascii="Arial" w:eastAsia="Calibri" w:hAnsi="Arial" w:cs="Arial"/>
      <w:i w:val="0"/>
      <w:iCs w:val="0"/>
      <w:color w:val="auto"/>
      <w:sz w:val="20"/>
      <w:szCs w:val="22"/>
    </w:rPr>
  </w:style>
  <w:style w:type="character" w:customStyle="1" w:styleId="Leg1Char">
    <w:name w:val="Leg1 Char"/>
    <w:link w:val="Leg1"/>
    <w:rsid w:val="000525DE"/>
    <w:rPr>
      <w:rFonts w:ascii="Arial" w:eastAsia="Calibri" w:hAnsi="Arial" w:cs="Arial"/>
      <w:sz w:val="20"/>
      <w:szCs w:val="22"/>
    </w:rPr>
  </w:style>
  <w:style w:type="paragraph" w:styleId="Quote">
    <w:name w:val="Quote"/>
    <w:basedOn w:val="Normal"/>
    <w:next w:val="Normal"/>
    <w:link w:val="QuoteChar"/>
    <w:uiPriority w:val="99"/>
    <w:semiHidden/>
    <w:qFormat/>
    <w:locked/>
    <w:rsid w:val="000525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0525DE"/>
    <w:rPr>
      <w:i/>
      <w:iCs/>
      <w:color w:val="404040" w:themeColor="text1" w:themeTint="BF"/>
    </w:rPr>
  </w:style>
  <w:style w:type="paragraph" w:styleId="ListParagraph">
    <w:name w:val="List Paragraph"/>
    <w:basedOn w:val="Normal"/>
    <w:uiPriority w:val="55"/>
    <w:qFormat/>
    <w:locked/>
    <w:rsid w:val="00DE281D"/>
    <w:pPr>
      <w:ind w:left="720"/>
      <w:contextualSpacing/>
    </w:pPr>
  </w:style>
  <w:style w:type="paragraph" w:customStyle="1" w:styleId="Style1">
    <w:name w:val="Style1"/>
    <w:basedOn w:val="HeadingL1"/>
    <w:uiPriority w:val="99"/>
    <w:qFormat/>
    <w:rsid w:val="00DE281D"/>
  </w:style>
  <w:style w:type="paragraph" w:customStyle="1" w:styleId="Body">
    <w:name w:val="Body"/>
    <w:basedOn w:val="Normal"/>
    <w:qFormat/>
    <w:rsid w:val="00C5413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C5413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C54135"/>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C5413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C54135"/>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C54135"/>
    <w:pPr>
      <w:jc w:val="center"/>
    </w:pPr>
    <w:rPr>
      <w:rFonts w:ascii="Times New Roman" w:hAnsi="Times New Roman"/>
      <w:bCs/>
      <w:szCs w:val="20"/>
      <w:lang w:val="en-GB"/>
    </w:rPr>
  </w:style>
  <w:style w:type="paragraph" w:customStyle="1" w:styleId="Default">
    <w:name w:val="Default"/>
    <w:rsid w:val="00542BA7"/>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F9813F2B-EF66-490A-8909-56B31D671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93</Pages>
  <Words>29686</Words>
  <Characters>151698</Characters>
  <Application>Microsoft Office Word</Application>
  <DocSecurity>0</DocSecurity>
  <Lines>2486</Lines>
  <Paragraphs>403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2026-05-11T00:02:00Z</dcterms:created>
  <dcterms:modified xsi:type="dcterms:W3CDTF">2026-05-12T23:09:00Z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