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FEB27" w14:textId="77777777" w:rsidR="00873AA1" w:rsidRPr="00704FF8" w:rsidRDefault="00873AA1" w:rsidP="00704FF8">
      <w:pPr>
        <w:pStyle w:val="OrdersTopLine"/>
      </w:pPr>
      <w:r w:rsidRPr="00704FF8">
        <w:t>HIGH COURT OF AUSTRALIA</w:t>
      </w:r>
    </w:p>
    <w:p w14:paraId="7F0D2575" w14:textId="77777777" w:rsidR="00873AA1" w:rsidRPr="00704FF8" w:rsidRDefault="00873AA1" w:rsidP="00704FF8">
      <w:pPr>
        <w:pStyle w:val="OrderCentre"/>
      </w:pPr>
    </w:p>
    <w:p w14:paraId="36630818" w14:textId="77777777" w:rsidR="00873AA1" w:rsidRPr="00C46004" w:rsidRDefault="00873AA1" w:rsidP="00704FF8">
      <w:pPr>
        <w:pStyle w:val="OrderCentre"/>
        <w:rPr>
          <w:spacing w:val="-4"/>
          <w:sz w:val="24"/>
          <w:szCs w:val="24"/>
        </w:rPr>
      </w:pPr>
      <w:r w:rsidRPr="00C46004">
        <w:rPr>
          <w:spacing w:val="-4"/>
          <w:sz w:val="24"/>
          <w:szCs w:val="24"/>
        </w:rPr>
        <w:t>GAGELER CJ,</w:t>
      </w:r>
    </w:p>
    <w:p w14:paraId="103A4DAC" w14:textId="77777777" w:rsidR="00873AA1" w:rsidRPr="00704FF8" w:rsidRDefault="00873AA1" w:rsidP="00704FF8">
      <w:pPr>
        <w:pStyle w:val="OrderCentre"/>
      </w:pPr>
      <w:r w:rsidRPr="00C46004">
        <w:rPr>
          <w:spacing w:val="-4"/>
          <w:sz w:val="24"/>
          <w:szCs w:val="24"/>
        </w:rPr>
        <w:t>GORDON, EDELMAN, STEWARD, GLEESON, JAGOT AND BEECH</w:t>
      </w:r>
      <w:r w:rsidRPr="00C46004">
        <w:rPr>
          <w:spacing w:val="-4"/>
          <w:sz w:val="24"/>
          <w:szCs w:val="24"/>
        </w:rPr>
        <w:noBreakHyphen/>
        <w:t>JONES JJ</w:t>
      </w:r>
    </w:p>
    <w:p w14:paraId="27C287DE" w14:textId="77777777" w:rsidR="00873AA1" w:rsidRPr="00427F3A" w:rsidRDefault="00873AA1" w:rsidP="00EE5374">
      <w:pPr>
        <w:pStyle w:val="Centre"/>
        <w:rPr>
          <w:lang w:val="en-AU"/>
        </w:rPr>
      </w:pPr>
    </w:p>
    <w:p w14:paraId="6CE314F4" w14:textId="77777777" w:rsidR="00873AA1" w:rsidRPr="00704FF8" w:rsidRDefault="00873AA1" w:rsidP="00704FF8">
      <w:pPr>
        <w:pStyle w:val="OrdersCenteredBorder"/>
      </w:pPr>
    </w:p>
    <w:p w14:paraId="5EA7D584" w14:textId="77777777" w:rsidR="00873AA1" w:rsidRPr="00704FF8" w:rsidRDefault="00873AA1" w:rsidP="0032341F">
      <w:pPr>
        <w:pStyle w:val="OrdersBodyHeading"/>
      </w:pPr>
    </w:p>
    <w:p w14:paraId="67B712F9" w14:textId="77777777" w:rsidR="00873AA1" w:rsidRPr="0032341F" w:rsidRDefault="00873AA1" w:rsidP="009362E8">
      <w:pPr>
        <w:pStyle w:val="OrdersPartyName"/>
        <w:ind w:right="-1"/>
      </w:pPr>
      <w:r w:rsidRPr="00D624F3">
        <w:t>SAFWAT ABDEL</w:t>
      </w:r>
      <w:r>
        <w:t>-</w:t>
      </w:r>
      <w:r w:rsidRPr="00D624F3">
        <w:t>HADY</w:t>
      </w:r>
      <w:r w:rsidRPr="0032341F">
        <w:tab/>
      </w:r>
      <w:r w:rsidRPr="00D624F3">
        <w:t>PLAINTIFF</w:t>
      </w:r>
    </w:p>
    <w:p w14:paraId="755FDB7B" w14:textId="77777777" w:rsidR="00873AA1" w:rsidRPr="0032341F" w:rsidRDefault="00873AA1" w:rsidP="009362E8">
      <w:pPr>
        <w:pStyle w:val="OrdersPartyName"/>
        <w:ind w:right="-1"/>
      </w:pPr>
    </w:p>
    <w:p w14:paraId="7973F5A4" w14:textId="77777777" w:rsidR="00873AA1" w:rsidRPr="0032341F" w:rsidRDefault="00873AA1" w:rsidP="009362E8">
      <w:pPr>
        <w:pStyle w:val="OrdersPartyName"/>
        <w:ind w:right="-1"/>
      </w:pPr>
      <w:r w:rsidRPr="0032341F">
        <w:t>AND</w:t>
      </w:r>
    </w:p>
    <w:p w14:paraId="70A38D6F" w14:textId="77777777" w:rsidR="00873AA1" w:rsidRPr="0032341F" w:rsidRDefault="00873AA1" w:rsidP="009362E8">
      <w:pPr>
        <w:pStyle w:val="OrdersPartyName"/>
        <w:ind w:right="-1"/>
      </w:pPr>
    </w:p>
    <w:p w14:paraId="4D75DB14" w14:textId="77777777" w:rsidR="00873AA1" w:rsidRPr="0032341F" w:rsidRDefault="00873AA1" w:rsidP="009362E8">
      <w:pPr>
        <w:pStyle w:val="OrdersPartyName"/>
        <w:ind w:right="-1"/>
      </w:pPr>
      <w:r w:rsidRPr="00D624F3">
        <w:t>COMMONWEALTH OF AUSTRALIA</w:t>
      </w:r>
      <w:r w:rsidRPr="0032341F">
        <w:tab/>
      </w:r>
      <w:r w:rsidRPr="00D624F3">
        <w:t>DEFENDANT</w:t>
      </w:r>
    </w:p>
    <w:p w14:paraId="3D625C91" w14:textId="77777777" w:rsidR="00873AA1" w:rsidRPr="00427F3A" w:rsidRDefault="00873AA1" w:rsidP="00AF0A5E">
      <w:pPr>
        <w:pStyle w:val="BodyHeading"/>
      </w:pPr>
    </w:p>
    <w:p w14:paraId="0185F967" w14:textId="77777777" w:rsidR="00873AA1" w:rsidRPr="00427F3A" w:rsidRDefault="00873AA1" w:rsidP="00BE0A6C">
      <w:pPr>
        <w:pStyle w:val="BodyHeading"/>
      </w:pPr>
    </w:p>
    <w:p w14:paraId="0BBD85EA" w14:textId="77777777" w:rsidR="00873AA1" w:rsidRPr="00427F3A" w:rsidRDefault="00873AA1" w:rsidP="00EE5374">
      <w:pPr>
        <w:pStyle w:val="CentreItalics"/>
      </w:pPr>
      <w:r w:rsidRPr="00D624F3">
        <w:t>Abdel-Hady v Commonwealth of Australia</w:t>
      </w:r>
    </w:p>
    <w:p w14:paraId="00C71CE8" w14:textId="77777777" w:rsidR="00873AA1" w:rsidRPr="00427F3A" w:rsidRDefault="00873AA1" w:rsidP="00E90E4F">
      <w:pPr>
        <w:pStyle w:val="OrdersCentre"/>
      </w:pPr>
      <w:r>
        <w:t>[2026</w:t>
      </w:r>
      <w:r w:rsidRPr="00427F3A">
        <w:t xml:space="preserve">] HCA </w:t>
      </w:r>
      <w:r>
        <w:t>17</w:t>
      </w:r>
    </w:p>
    <w:p w14:paraId="71ACA66A" w14:textId="77777777" w:rsidR="00873AA1" w:rsidRDefault="00873AA1" w:rsidP="00E90E4F">
      <w:pPr>
        <w:pStyle w:val="OrdersCentreItalics"/>
      </w:pPr>
      <w:r>
        <w:t>Date of Hearing:</w:t>
      </w:r>
      <w:r w:rsidRPr="00D624F3">
        <w:t xml:space="preserve"> 11 November 2025</w:t>
      </w:r>
    </w:p>
    <w:p w14:paraId="07792690" w14:textId="77777777" w:rsidR="00873AA1" w:rsidRPr="00427F3A" w:rsidRDefault="00873AA1" w:rsidP="00E90E4F">
      <w:pPr>
        <w:pStyle w:val="OrdersCentreItalics"/>
      </w:pPr>
      <w:r>
        <w:t>Date of Judgment: 10 June 2026</w:t>
      </w:r>
    </w:p>
    <w:p w14:paraId="4DC914E3" w14:textId="77777777" w:rsidR="00873AA1" w:rsidRDefault="00873AA1" w:rsidP="00E90E4F">
      <w:pPr>
        <w:pStyle w:val="OrdersCentre"/>
      </w:pPr>
      <w:r w:rsidRPr="00D624F3">
        <w:t>S65/2021</w:t>
      </w:r>
    </w:p>
    <w:p w14:paraId="3633399C" w14:textId="77777777" w:rsidR="00873AA1" w:rsidRPr="00427F3A" w:rsidRDefault="00873AA1" w:rsidP="00E90E4F">
      <w:pPr>
        <w:pStyle w:val="OrdersCentre"/>
      </w:pPr>
    </w:p>
    <w:p w14:paraId="6635D3C9" w14:textId="77777777" w:rsidR="00873AA1" w:rsidRPr="00BE0A6C" w:rsidRDefault="00873AA1" w:rsidP="00E90E4F">
      <w:pPr>
        <w:pStyle w:val="OrderCentreBold"/>
      </w:pPr>
      <w:r w:rsidRPr="00BE0A6C">
        <w:t>ORDER</w:t>
      </w:r>
    </w:p>
    <w:p w14:paraId="3A0AB61D" w14:textId="77777777" w:rsidR="00873AA1" w:rsidRPr="00427F3A" w:rsidRDefault="00873AA1" w:rsidP="00736C52">
      <w:pPr>
        <w:pStyle w:val="Centre"/>
        <w:rPr>
          <w:lang w:val="en-AU"/>
        </w:rPr>
      </w:pPr>
    </w:p>
    <w:p w14:paraId="47F9462F" w14:textId="77777777" w:rsidR="00873AA1" w:rsidRDefault="00873AA1" w:rsidP="00F73A54">
      <w:pPr>
        <w:pStyle w:val="OrdersText"/>
        <w:ind w:left="0" w:firstLine="0"/>
      </w:pPr>
      <w:r w:rsidRPr="00DC11D7">
        <w:t xml:space="preserve">The question stated for the opinion of the Full Court in the special case filed on </w:t>
      </w:r>
      <w:r>
        <w:t xml:space="preserve">13 August 2025 </w:t>
      </w:r>
      <w:r w:rsidRPr="00DC11D7">
        <w:t>be answered as follows:</w:t>
      </w:r>
    </w:p>
    <w:p w14:paraId="41065623" w14:textId="77777777" w:rsidR="00873AA1" w:rsidRDefault="00873AA1" w:rsidP="00F73A54">
      <w:pPr>
        <w:pStyle w:val="OrdersText"/>
      </w:pPr>
    </w:p>
    <w:p w14:paraId="2B23471F" w14:textId="77777777" w:rsidR="00873AA1" w:rsidRDefault="00873AA1" w:rsidP="00C64FEE">
      <w:pPr>
        <w:pStyle w:val="OrdersText"/>
        <w:ind w:left="1440" w:hanging="1440"/>
      </w:pPr>
      <w:r>
        <w:t>Question:</w:t>
      </w:r>
      <w:r>
        <w:tab/>
        <w:t>Do the Commonwealth and its officers have a defence to liability for the tort of false imprisonment with respect to the immigration detention of the plaintiff in the period between 28 July 2022 and 8 November 2023?</w:t>
      </w:r>
    </w:p>
    <w:p w14:paraId="036C31E7" w14:textId="77777777" w:rsidR="00873AA1" w:rsidRPr="001A2E47" w:rsidRDefault="00873AA1" w:rsidP="00F73A54">
      <w:pPr>
        <w:pStyle w:val="OrdersText"/>
      </w:pPr>
    </w:p>
    <w:p w14:paraId="68C322E3" w14:textId="77777777" w:rsidR="00873AA1" w:rsidRPr="00D858A4" w:rsidRDefault="00873AA1" w:rsidP="00F73A54">
      <w:pPr>
        <w:pStyle w:val="OrdersText"/>
      </w:pPr>
      <w:r w:rsidRPr="001A2E47">
        <w:t xml:space="preserve">Answer: </w:t>
      </w:r>
      <w:r>
        <w:tab/>
        <w:t xml:space="preserve">No. </w:t>
      </w:r>
    </w:p>
    <w:p w14:paraId="211E529B" w14:textId="77777777" w:rsidR="00873AA1" w:rsidRDefault="00873AA1" w:rsidP="00EE5374">
      <w:pPr>
        <w:pStyle w:val="Body"/>
      </w:pPr>
    </w:p>
    <w:p w14:paraId="2353CC9E" w14:textId="77777777" w:rsidR="00873AA1" w:rsidRPr="00427F3A" w:rsidRDefault="00873AA1" w:rsidP="00EE5374">
      <w:pPr>
        <w:pStyle w:val="Body"/>
      </w:pPr>
    </w:p>
    <w:p w14:paraId="60DD87BD" w14:textId="77777777" w:rsidR="00873AA1" w:rsidRPr="00427F3A" w:rsidRDefault="00873AA1" w:rsidP="00E90E4F">
      <w:pPr>
        <w:pStyle w:val="OrdersBodyHeading"/>
      </w:pPr>
      <w:r w:rsidRPr="00427F3A">
        <w:t>Representation</w:t>
      </w:r>
    </w:p>
    <w:p w14:paraId="2DAD3C4C" w14:textId="77777777" w:rsidR="00873AA1" w:rsidRDefault="00873AA1" w:rsidP="00EE5374">
      <w:pPr>
        <w:pStyle w:val="Body"/>
      </w:pPr>
    </w:p>
    <w:p w14:paraId="69EEF2E5" w14:textId="77777777" w:rsidR="00873AA1" w:rsidRPr="00D624F3" w:rsidRDefault="00873AA1" w:rsidP="00E90E4F">
      <w:pPr>
        <w:pStyle w:val="OrdersBody"/>
      </w:pPr>
      <w:r w:rsidRPr="00D624F3">
        <w:t xml:space="preserve">B W Walker SC with M </w:t>
      </w:r>
      <w:proofErr w:type="spellStart"/>
      <w:r w:rsidRPr="00D624F3">
        <w:t>Tanevski</w:t>
      </w:r>
      <w:proofErr w:type="spellEnd"/>
      <w:r w:rsidRPr="00D624F3">
        <w:t xml:space="preserve"> and A M Khadra for the plaintiff (instructed by Slan Lawyers)</w:t>
      </w:r>
    </w:p>
    <w:p w14:paraId="0EE91961" w14:textId="77777777" w:rsidR="00873AA1" w:rsidRPr="00D624F3" w:rsidRDefault="00873AA1" w:rsidP="001B3C97">
      <w:pPr>
        <w:pStyle w:val="Body"/>
      </w:pPr>
    </w:p>
    <w:p w14:paraId="1F7F5E14" w14:textId="77777777" w:rsidR="00873AA1" w:rsidRPr="00D624F3" w:rsidRDefault="00873AA1" w:rsidP="00E90E4F">
      <w:pPr>
        <w:pStyle w:val="OrdersBody"/>
      </w:pPr>
      <w:r w:rsidRPr="00D624F3">
        <w:t>S P</w:t>
      </w:r>
      <w:r>
        <w:t xml:space="preserve"> </w:t>
      </w:r>
      <w:r w:rsidRPr="00D624F3">
        <w:t>Donaghue KC, Solicitor-General of the Commonwealth,</w:t>
      </w:r>
      <w:r>
        <w:t xml:space="preserve"> and </w:t>
      </w:r>
      <w:r w:rsidRPr="00D624F3">
        <w:t>T</w:t>
      </w:r>
      <w:r>
        <w:t> </w:t>
      </w:r>
      <w:r w:rsidRPr="00D624F3">
        <w:t>M</w:t>
      </w:r>
      <w:r>
        <w:t> </w:t>
      </w:r>
      <w:r w:rsidRPr="00D624F3">
        <w:t>Begbie</w:t>
      </w:r>
      <w:r>
        <w:t> </w:t>
      </w:r>
      <w:r w:rsidRPr="00D624F3">
        <w:t>KC with J E Davidson SC and O J Ronan for the defendant (instructed by Australian Government Solicitor)</w:t>
      </w:r>
    </w:p>
    <w:p w14:paraId="7448F5D0" w14:textId="77777777" w:rsidR="00873AA1" w:rsidRPr="009D4BB3" w:rsidRDefault="00873AA1" w:rsidP="00FF0E4C">
      <w:pPr>
        <w:pStyle w:val="OrdersBody"/>
      </w:pPr>
    </w:p>
    <w:p w14:paraId="2E0B1085" w14:textId="77777777" w:rsidR="00873AA1" w:rsidRDefault="00873AA1" w:rsidP="00FF0E4C">
      <w:pPr>
        <w:pStyle w:val="OrdersBody"/>
      </w:pPr>
    </w:p>
    <w:p w14:paraId="79857DC7" w14:textId="7DAAA155" w:rsidR="00873AA1" w:rsidRDefault="00873AA1">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szCs w:val="20"/>
          <w:lang w:val="en-GB"/>
        </w:rPr>
      </w:pPr>
      <w:r>
        <w:br w:type="page"/>
      </w:r>
    </w:p>
    <w:p w14:paraId="15FC32BE" w14:textId="0733560E" w:rsidR="00873AA1" w:rsidRDefault="00873AA1">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szCs w:val="20"/>
          <w:lang w:val="en-GB"/>
        </w:rPr>
      </w:pPr>
      <w:r>
        <w:lastRenderedPageBreak/>
        <w:br w:type="page"/>
      </w:r>
    </w:p>
    <w:p w14:paraId="5778FEF2" w14:textId="77777777" w:rsidR="00873AA1" w:rsidRDefault="00873AA1" w:rsidP="00FF0E4C">
      <w:pPr>
        <w:pStyle w:val="OrdersBody"/>
      </w:pPr>
    </w:p>
    <w:p w14:paraId="113735BB" w14:textId="77777777" w:rsidR="00873AA1" w:rsidRPr="009D4BB3" w:rsidRDefault="00873AA1" w:rsidP="00FF0E4C">
      <w:pPr>
        <w:pStyle w:val="OrdersBody"/>
      </w:pPr>
      <w:r w:rsidRPr="00FF0E4C">
        <w:t>BOE21 intervening by leave, limited to written submissions</w:t>
      </w:r>
    </w:p>
    <w:p w14:paraId="0E14F2EB" w14:textId="77777777" w:rsidR="00873AA1" w:rsidRDefault="00873AA1" w:rsidP="00A01277">
      <w:pPr>
        <w:pStyle w:val="Body"/>
      </w:pPr>
    </w:p>
    <w:p w14:paraId="54B7ECBF" w14:textId="77777777" w:rsidR="00873AA1" w:rsidRDefault="00873AA1" w:rsidP="00EE5374">
      <w:pPr>
        <w:pStyle w:val="Body"/>
      </w:pPr>
    </w:p>
    <w:p w14:paraId="2F025140" w14:textId="77777777" w:rsidR="00873AA1" w:rsidRDefault="00873AA1" w:rsidP="00EE5374">
      <w:pPr>
        <w:pStyle w:val="Body"/>
      </w:pPr>
    </w:p>
    <w:p w14:paraId="06F3D361" w14:textId="77777777" w:rsidR="00873AA1" w:rsidRDefault="00873AA1" w:rsidP="00EE5374">
      <w:pPr>
        <w:pStyle w:val="Body"/>
      </w:pPr>
    </w:p>
    <w:p w14:paraId="5300DC85" w14:textId="77777777" w:rsidR="00873AA1" w:rsidRDefault="00873AA1" w:rsidP="00EE5374">
      <w:pPr>
        <w:pStyle w:val="Body"/>
      </w:pPr>
    </w:p>
    <w:p w14:paraId="6318C191" w14:textId="77777777" w:rsidR="00873AA1" w:rsidRDefault="00873AA1" w:rsidP="00EE5374">
      <w:pPr>
        <w:pStyle w:val="Body"/>
      </w:pPr>
    </w:p>
    <w:p w14:paraId="47C6BD0E" w14:textId="77777777" w:rsidR="00873AA1" w:rsidRDefault="00873AA1" w:rsidP="00EE5374">
      <w:pPr>
        <w:pStyle w:val="Body"/>
      </w:pPr>
    </w:p>
    <w:p w14:paraId="2E4F92B6" w14:textId="77777777" w:rsidR="00873AA1" w:rsidRDefault="00873AA1" w:rsidP="00EE5374">
      <w:pPr>
        <w:pStyle w:val="Body"/>
      </w:pPr>
    </w:p>
    <w:p w14:paraId="3DBC14AD" w14:textId="77777777" w:rsidR="00873AA1" w:rsidRDefault="00873AA1" w:rsidP="00EE5374">
      <w:pPr>
        <w:pStyle w:val="Body"/>
      </w:pPr>
    </w:p>
    <w:p w14:paraId="73721267" w14:textId="77777777" w:rsidR="00873AA1" w:rsidRDefault="00873AA1" w:rsidP="00EE5374">
      <w:pPr>
        <w:pStyle w:val="Body"/>
      </w:pPr>
    </w:p>
    <w:p w14:paraId="7A38E649" w14:textId="77777777" w:rsidR="00873AA1" w:rsidRDefault="00873AA1" w:rsidP="00EE5374">
      <w:pPr>
        <w:pStyle w:val="Body"/>
      </w:pPr>
    </w:p>
    <w:p w14:paraId="73E77BDF" w14:textId="77777777" w:rsidR="00873AA1" w:rsidRDefault="00873AA1" w:rsidP="00EE5374">
      <w:pPr>
        <w:pStyle w:val="Body"/>
      </w:pPr>
    </w:p>
    <w:p w14:paraId="128815DF" w14:textId="77777777" w:rsidR="00873AA1" w:rsidRDefault="00873AA1" w:rsidP="00EE5374">
      <w:pPr>
        <w:pStyle w:val="Body"/>
      </w:pPr>
    </w:p>
    <w:p w14:paraId="09BBC93B" w14:textId="77777777" w:rsidR="00873AA1" w:rsidRDefault="00873AA1" w:rsidP="00EE5374">
      <w:pPr>
        <w:pStyle w:val="Body"/>
      </w:pPr>
    </w:p>
    <w:p w14:paraId="04239F46" w14:textId="77777777" w:rsidR="00873AA1" w:rsidRDefault="00873AA1" w:rsidP="00EE5374">
      <w:pPr>
        <w:pStyle w:val="Body"/>
      </w:pPr>
    </w:p>
    <w:p w14:paraId="65A1F4CD" w14:textId="77777777" w:rsidR="00873AA1" w:rsidRDefault="00873AA1" w:rsidP="00EE5374">
      <w:pPr>
        <w:pStyle w:val="Body"/>
      </w:pPr>
    </w:p>
    <w:p w14:paraId="11395B68" w14:textId="77777777" w:rsidR="00873AA1" w:rsidRDefault="00873AA1" w:rsidP="00EE5374">
      <w:pPr>
        <w:pStyle w:val="Body"/>
      </w:pPr>
    </w:p>
    <w:p w14:paraId="60744CB7" w14:textId="77777777" w:rsidR="00873AA1" w:rsidRDefault="00873AA1" w:rsidP="00EE5374">
      <w:pPr>
        <w:pStyle w:val="Body"/>
      </w:pPr>
    </w:p>
    <w:p w14:paraId="68B00190" w14:textId="77777777" w:rsidR="00873AA1" w:rsidRDefault="00873AA1" w:rsidP="00EE5374">
      <w:pPr>
        <w:pStyle w:val="Body"/>
      </w:pPr>
    </w:p>
    <w:p w14:paraId="4338DF88" w14:textId="77777777" w:rsidR="00873AA1" w:rsidRDefault="00873AA1" w:rsidP="00EE5374">
      <w:pPr>
        <w:pStyle w:val="Body"/>
      </w:pPr>
    </w:p>
    <w:p w14:paraId="77E445A9" w14:textId="77777777" w:rsidR="00873AA1" w:rsidRDefault="00873AA1" w:rsidP="00EE5374">
      <w:pPr>
        <w:pStyle w:val="Body"/>
      </w:pPr>
    </w:p>
    <w:p w14:paraId="0B515BC2" w14:textId="77777777" w:rsidR="00873AA1" w:rsidRDefault="00873AA1" w:rsidP="00EE5374">
      <w:pPr>
        <w:pStyle w:val="Body"/>
      </w:pPr>
    </w:p>
    <w:p w14:paraId="4B39E297" w14:textId="77777777" w:rsidR="00873AA1" w:rsidRDefault="00873AA1" w:rsidP="00EE5374">
      <w:pPr>
        <w:pStyle w:val="Body"/>
      </w:pPr>
    </w:p>
    <w:p w14:paraId="06B68EC7" w14:textId="77777777" w:rsidR="00873AA1" w:rsidRDefault="00873AA1" w:rsidP="00EE5374">
      <w:pPr>
        <w:pStyle w:val="Body"/>
      </w:pPr>
    </w:p>
    <w:p w14:paraId="24902C8E" w14:textId="77777777" w:rsidR="00873AA1" w:rsidRDefault="00873AA1" w:rsidP="00EE5374">
      <w:pPr>
        <w:pStyle w:val="Body"/>
      </w:pPr>
    </w:p>
    <w:p w14:paraId="4A0A0945" w14:textId="77777777" w:rsidR="00873AA1" w:rsidRDefault="00873AA1" w:rsidP="00EE5374">
      <w:pPr>
        <w:pStyle w:val="Body"/>
      </w:pPr>
    </w:p>
    <w:p w14:paraId="7E12730E" w14:textId="77777777" w:rsidR="00873AA1" w:rsidRDefault="00873AA1" w:rsidP="00EE5374">
      <w:pPr>
        <w:pStyle w:val="Body"/>
      </w:pPr>
    </w:p>
    <w:p w14:paraId="24D4DBDF" w14:textId="77777777" w:rsidR="00873AA1" w:rsidRDefault="00873AA1" w:rsidP="00EE5374">
      <w:pPr>
        <w:pStyle w:val="Body"/>
      </w:pPr>
    </w:p>
    <w:p w14:paraId="1503B030" w14:textId="77777777" w:rsidR="00873AA1" w:rsidRDefault="00873AA1" w:rsidP="00EE5374">
      <w:pPr>
        <w:pStyle w:val="Body"/>
      </w:pPr>
    </w:p>
    <w:p w14:paraId="498AE16D" w14:textId="77777777" w:rsidR="00873AA1" w:rsidRDefault="00873AA1" w:rsidP="00EE5374">
      <w:pPr>
        <w:pStyle w:val="Body"/>
      </w:pPr>
    </w:p>
    <w:p w14:paraId="6FF6F114" w14:textId="77777777" w:rsidR="00873AA1" w:rsidRDefault="00873AA1" w:rsidP="00EE5374">
      <w:pPr>
        <w:pStyle w:val="Body"/>
      </w:pPr>
    </w:p>
    <w:p w14:paraId="6F8B8E57" w14:textId="77777777" w:rsidR="00873AA1" w:rsidRDefault="00873AA1" w:rsidP="00EE5374">
      <w:pPr>
        <w:pStyle w:val="Body"/>
      </w:pPr>
    </w:p>
    <w:p w14:paraId="57E08608" w14:textId="77777777" w:rsidR="00873AA1" w:rsidRDefault="00873AA1" w:rsidP="00EE5374">
      <w:pPr>
        <w:pStyle w:val="Body"/>
      </w:pPr>
    </w:p>
    <w:p w14:paraId="5B82C66F" w14:textId="77777777" w:rsidR="00873AA1" w:rsidRDefault="00873AA1" w:rsidP="00EE5374">
      <w:pPr>
        <w:pStyle w:val="Body"/>
      </w:pPr>
    </w:p>
    <w:p w14:paraId="43036EE2" w14:textId="77777777" w:rsidR="00873AA1" w:rsidRPr="00427F3A" w:rsidRDefault="00873AA1" w:rsidP="00EE5374">
      <w:pPr>
        <w:pStyle w:val="Body"/>
      </w:pPr>
    </w:p>
    <w:p w14:paraId="75C1B6C7" w14:textId="77777777" w:rsidR="00873AA1" w:rsidRPr="00427F3A" w:rsidRDefault="00873AA1" w:rsidP="00F9713B">
      <w:pPr>
        <w:pStyle w:val="Notice"/>
        <w:rPr>
          <w:lang w:val="en-AU"/>
        </w:rPr>
      </w:pPr>
      <w:r w:rsidRPr="00427F3A">
        <w:rPr>
          <w:lang w:val="en-AU"/>
        </w:rPr>
        <w:t>Notice:  This copy of the Court's Reasons for Judgment is subject to formal revision prior to publication in the Commonwealth Law Reports.</w:t>
      </w:r>
    </w:p>
    <w:p w14:paraId="41DC025A" w14:textId="114660FD" w:rsidR="00873AA1" w:rsidRDefault="00873AA1">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0D14EDF0" w14:textId="77777777" w:rsidR="00873AA1" w:rsidRDefault="00873AA1">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sectPr w:rsidR="00873AA1" w:rsidSect="00873AA1">
          <w:headerReference w:type="even" r:id="rId11"/>
          <w:headerReference w:type="default" r:id="rId12"/>
          <w:footerReference w:type="even" r:id="rId13"/>
          <w:footerReference w:type="default" r:id="rId14"/>
          <w:headerReference w:type="first" r:id="rId15"/>
          <w:footerReference w:type="first" r:id="rId16"/>
          <w:pgSz w:w="11907" w:h="16839" w:code="9"/>
          <w:pgMar w:top="1440" w:right="1984" w:bottom="1984" w:left="1984" w:header="720" w:footer="720" w:gutter="0"/>
          <w:cols w:space="720"/>
          <w:titlePg/>
          <w:docGrid w:linePitch="354"/>
        </w:sectPr>
      </w:pPr>
      <w:r>
        <w:rPr>
          <w:rFonts w:ascii="Times New Roman" w:hAnsi="Times New Roman"/>
        </w:rPr>
        <w:lastRenderedPageBreak/>
        <w:br w:type="page"/>
      </w:r>
    </w:p>
    <w:p w14:paraId="6725A947" w14:textId="77777777" w:rsidR="00873AA1" w:rsidRPr="00094A09" w:rsidRDefault="00873AA1" w:rsidP="007A74C0">
      <w:pPr>
        <w:pStyle w:val="CatchwordsBold"/>
        <w:tabs>
          <w:tab w:val="clear" w:pos="3600"/>
          <w:tab w:val="clear" w:pos="6480"/>
          <w:tab w:val="left" w:pos="7560"/>
        </w:tabs>
      </w:pPr>
      <w:r w:rsidRPr="00094A09">
        <w:lastRenderedPageBreak/>
        <w:t>CATCHWORDS</w:t>
      </w:r>
    </w:p>
    <w:p w14:paraId="2ADBE721" w14:textId="77777777" w:rsidR="00873AA1" w:rsidRPr="00094A09" w:rsidRDefault="00873AA1" w:rsidP="001649CA">
      <w:pPr>
        <w:pStyle w:val="CatchwordsBold"/>
      </w:pPr>
    </w:p>
    <w:p w14:paraId="513EAAC3" w14:textId="77777777" w:rsidR="00873AA1" w:rsidRPr="00094A09" w:rsidRDefault="00873AA1" w:rsidP="00004287">
      <w:pPr>
        <w:pStyle w:val="CatchwordsBold"/>
      </w:pPr>
      <w:r>
        <w:t>Abdel-Hady v Commonwealth of Australia</w:t>
      </w:r>
    </w:p>
    <w:p w14:paraId="6C29E982" w14:textId="77777777" w:rsidR="00873AA1" w:rsidRPr="00094A09" w:rsidRDefault="00873AA1" w:rsidP="001649CA">
      <w:pPr>
        <w:pStyle w:val="CatchwordsText"/>
      </w:pPr>
    </w:p>
    <w:p w14:paraId="1EF004EF" w14:textId="77777777" w:rsidR="00873AA1" w:rsidRPr="002A176F" w:rsidRDefault="00873AA1" w:rsidP="00E15E41">
      <w:pPr>
        <w:pStyle w:val="CatchwordsText"/>
      </w:pPr>
      <w:r>
        <w:t xml:space="preserve">Tort – False imprisonment – Defences – Where plaintiff detained under s 189(1) of the </w:t>
      </w:r>
      <w:r>
        <w:rPr>
          <w:i/>
          <w:iCs/>
        </w:rPr>
        <w:t xml:space="preserve">Migration Act 1958 </w:t>
      </w:r>
      <w:r>
        <w:t>(</w:t>
      </w:r>
      <w:proofErr w:type="spellStart"/>
      <w:r>
        <w:t>Cth</w:t>
      </w:r>
      <w:proofErr w:type="spellEnd"/>
      <w:r>
        <w:t xml:space="preserve">) following visa cancellation – Where since 28 July 2022 there was no real prospect of plaintiff's removal from Australia becoming practicable in reasonably foreseeable future – Where in November 2023 </w:t>
      </w:r>
      <w:r>
        <w:rPr>
          <w:i/>
          <w:iCs/>
        </w:rPr>
        <w:t xml:space="preserve">NZYQ v Minister for Immigration, Citizenship and Multicultural Affairs </w:t>
      </w:r>
      <w:r>
        <w:t xml:space="preserve">(2023) 280 CLR 137 reopened and overruled </w:t>
      </w:r>
      <w:r>
        <w:rPr>
          <w:i/>
          <w:iCs/>
        </w:rPr>
        <w:t xml:space="preserve">Al-Kateb v Godwin </w:t>
      </w:r>
      <w:r>
        <w:t xml:space="preserve">(2004) 219 CLR 562 – Where effect of </w:t>
      </w:r>
      <w:r>
        <w:rPr>
          <w:i/>
          <w:iCs/>
        </w:rPr>
        <w:t>NZYQ</w:t>
      </w:r>
      <w:r>
        <w:t xml:space="preserve"> was that ss 189(1) and 196(1) of the </w:t>
      </w:r>
      <w:r>
        <w:rPr>
          <w:i/>
          <w:iCs/>
        </w:rPr>
        <w:t xml:space="preserve">Migration Act </w:t>
      </w:r>
      <w:r>
        <w:t xml:space="preserve">did not authorise plaintiff's detention from 28 July 2022 – Where Commonwealth accepted elements of tort of false imprisonment established – Where Commonwealth accepted it was vicariously liable for liability of detaining officer – Where Commonwealth propounded novel common law defence to negative liability from 28 July 2022 to time of orders in </w:t>
      </w:r>
      <w:r>
        <w:rPr>
          <w:i/>
          <w:iCs/>
        </w:rPr>
        <w:t>NZYQ</w:t>
      </w:r>
      <w:r>
        <w:t xml:space="preserve"> on 8 November 2023 – Whether Commonwealth's defence should be recognised to negative common law liability of detaining officer for tort of false imprisonment.</w:t>
      </w:r>
    </w:p>
    <w:p w14:paraId="78F9FD18" w14:textId="77777777" w:rsidR="00873AA1" w:rsidRDefault="00873AA1" w:rsidP="00E15E41">
      <w:pPr>
        <w:pStyle w:val="CatchwordsText"/>
      </w:pPr>
    </w:p>
    <w:p w14:paraId="296F6B5F" w14:textId="77777777" w:rsidR="00873AA1" w:rsidRPr="00E15E41" w:rsidRDefault="00873AA1" w:rsidP="00E15E41">
      <w:pPr>
        <w:pStyle w:val="CatchwordsText"/>
      </w:pPr>
      <w:r>
        <w:t xml:space="preserve">Constitutional law </w:t>
      </w:r>
      <w:r w:rsidRPr="00094A09">
        <w:t>–</w:t>
      </w:r>
      <w:r>
        <w:t xml:space="preserve"> Judicial power – Where detaining officer reasonably understood statutory duty to be to keep plaintiff in immigration detention by reason of </w:t>
      </w:r>
      <w:r>
        <w:rPr>
          <w:i/>
          <w:iCs/>
        </w:rPr>
        <w:t>Al-Kateb</w:t>
      </w:r>
      <w:r>
        <w:t xml:space="preserve"> – Whether protection of officer from liability would enhance respect for and compliance with law declared by High Court – Whether </w:t>
      </w:r>
      <w:r>
        <w:rPr>
          <w:i/>
          <w:iCs/>
        </w:rPr>
        <w:t xml:space="preserve">Queensland v Stradford (a pseudonym) </w:t>
      </w:r>
      <w:r>
        <w:t xml:space="preserve">(2025) 99 ALJR 396; 421 ALR 376 supported novel defence. </w:t>
      </w:r>
    </w:p>
    <w:p w14:paraId="3276D37C" w14:textId="77777777" w:rsidR="00873AA1" w:rsidRPr="00E15E41" w:rsidRDefault="00873AA1" w:rsidP="001649CA">
      <w:pPr>
        <w:pStyle w:val="CatchwordsText"/>
      </w:pPr>
    </w:p>
    <w:p w14:paraId="139C09D3" w14:textId="77777777" w:rsidR="00873AA1" w:rsidRPr="00E15E41" w:rsidRDefault="00873AA1" w:rsidP="00AC6517">
      <w:pPr>
        <w:pStyle w:val="CatchwordsText"/>
      </w:pPr>
      <w:r w:rsidRPr="00E15E41">
        <w:t>Words and phrases –</w:t>
      </w:r>
      <w:r>
        <w:t xml:space="preserve"> "agency", "bound to execute", "common law defence", "common law judicial immunity", "compliance with the law", "constitutional invalidity", "constitutional responsibility", "derivative liability", "detaining officer", "detention", "direct liability", "false imprisonment", "immunity", "institutional imperatives", "judicial independence and impartiality", "judicial power", "law enforcement privilege", "legal norm", "legislative power", "no real prospect of removal", "novel defence", "principle of legal equality", "purported performance", "reasonably foreseeable future", "rule of law", "separation of powers", "statutory duty", "unlawful non-citizen", "vicarious liability".</w:t>
      </w:r>
    </w:p>
    <w:p w14:paraId="6431ABF5" w14:textId="77777777" w:rsidR="00873AA1" w:rsidRDefault="00873AA1" w:rsidP="001649CA">
      <w:pPr>
        <w:pStyle w:val="CatchwordsText"/>
      </w:pPr>
    </w:p>
    <w:p w14:paraId="609EBAB5" w14:textId="77777777" w:rsidR="00873AA1" w:rsidRPr="00094A09" w:rsidRDefault="00873AA1" w:rsidP="001649CA">
      <w:pPr>
        <w:pStyle w:val="CatchwordsText"/>
      </w:pPr>
      <w:r w:rsidRPr="00D15991">
        <w:rPr>
          <w:i/>
          <w:iCs/>
        </w:rPr>
        <w:t>Constitution</w:t>
      </w:r>
      <w:r>
        <w:t>, Ch III.</w:t>
      </w:r>
    </w:p>
    <w:p w14:paraId="446D9063" w14:textId="77777777" w:rsidR="00873AA1" w:rsidRDefault="00873AA1" w:rsidP="001649CA">
      <w:pPr>
        <w:pStyle w:val="CatchwordsText"/>
      </w:pPr>
      <w:r>
        <w:rPr>
          <w:i/>
          <w:iCs/>
        </w:rPr>
        <w:t>Migration Act 1958</w:t>
      </w:r>
      <w:r>
        <w:t xml:space="preserve"> (</w:t>
      </w:r>
      <w:proofErr w:type="spellStart"/>
      <w:r>
        <w:t>Cth</w:t>
      </w:r>
      <w:proofErr w:type="spellEnd"/>
      <w:r>
        <w:t>), ss 3A, 5, 189(1), 196(1), 198.</w:t>
      </w:r>
    </w:p>
    <w:p w14:paraId="3A490F9D" w14:textId="77777777" w:rsidR="00873AA1" w:rsidRDefault="00873AA1" w:rsidP="001649CA">
      <w:pPr>
        <w:pStyle w:val="CatchwordsText"/>
      </w:pPr>
      <w:r>
        <w:rPr>
          <w:i/>
          <w:iCs/>
        </w:rPr>
        <w:t xml:space="preserve">Public Service Act 1999 </w:t>
      </w:r>
      <w:r>
        <w:t>(</w:t>
      </w:r>
      <w:proofErr w:type="spellStart"/>
      <w:r>
        <w:t>Cth</w:t>
      </w:r>
      <w:proofErr w:type="spellEnd"/>
      <w:r>
        <w:t>), ss 7, 13(4), 15.</w:t>
      </w:r>
    </w:p>
    <w:p w14:paraId="1FE8D839" w14:textId="77777777" w:rsidR="00873AA1" w:rsidRPr="009F71CB" w:rsidRDefault="00873AA1" w:rsidP="008949E7">
      <w:pPr>
        <w:pStyle w:val="CatchwordsText"/>
      </w:pPr>
      <w:r>
        <w:rPr>
          <w:i/>
          <w:iCs/>
        </w:rPr>
        <w:t>Canadian Charter of Rights and Freedoms</w:t>
      </w:r>
      <w:r>
        <w:t>, s 24.</w:t>
      </w:r>
    </w:p>
    <w:p w14:paraId="42BBC28C" w14:textId="77777777" w:rsidR="00873AA1" w:rsidRPr="0070214C" w:rsidRDefault="00873AA1" w:rsidP="001649CA">
      <w:pPr>
        <w:pStyle w:val="CatchwordsText"/>
      </w:pPr>
    </w:p>
    <w:p w14:paraId="54037811" w14:textId="2421F9D2" w:rsidR="00873AA1" w:rsidRDefault="00873AA1" w:rsidP="00873AA1">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p>
    <w:p w14:paraId="4679B85E" w14:textId="159FDA95" w:rsidR="00873AA1" w:rsidRDefault="00873AA1">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30914C6A" w14:textId="512D4085" w:rsidR="00873AA1" w:rsidRDefault="00873AA1">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lastRenderedPageBreak/>
        <w:br w:type="page"/>
      </w:r>
    </w:p>
    <w:p w14:paraId="50110921" w14:textId="77777777" w:rsidR="00873AA1" w:rsidRDefault="00873AA1" w:rsidP="007225C9">
      <w:pPr>
        <w:pStyle w:val="FixListStyle"/>
        <w:tabs>
          <w:tab w:val="clear" w:pos="720"/>
          <w:tab w:val="left" w:pos="0"/>
        </w:tabs>
        <w:spacing w:after="260" w:line="280" w:lineRule="exact"/>
        <w:ind w:right="0"/>
        <w:jc w:val="both"/>
        <w:rPr>
          <w:rFonts w:ascii="Times New Roman" w:hAnsi="Times New Roman"/>
        </w:rPr>
        <w:sectPr w:rsidR="00873AA1" w:rsidSect="00873AA1">
          <w:pgSz w:w="11907" w:h="16839" w:code="9"/>
          <w:pgMar w:top="1440" w:right="1701" w:bottom="1984" w:left="1701" w:header="720" w:footer="720" w:gutter="0"/>
          <w:pgNumType w:start="1"/>
          <w:cols w:space="720"/>
          <w:titlePg/>
          <w:docGrid w:linePitch="354"/>
        </w:sectPr>
      </w:pPr>
    </w:p>
    <w:p w14:paraId="18107B8C" w14:textId="064C0285" w:rsidR="00EC0EC9" w:rsidRPr="007225C9" w:rsidRDefault="007225C9" w:rsidP="007225C9">
      <w:pPr>
        <w:pStyle w:val="FixListStyle"/>
        <w:tabs>
          <w:tab w:val="clear" w:pos="720"/>
          <w:tab w:val="left" w:pos="0"/>
        </w:tabs>
        <w:spacing w:after="260" w:line="280" w:lineRule="exact"/>
        <w:ind w:right="0"/>
        <w:jc w:val="both"/>
        <w:rPr>
          <w:rFonts w:ascii="Times New Roman" w:hAnsi="Times New Roman"/>
        </w:rPr>
      </w:pPr>
      <w:r w:rsidRPr="007225C9">
        <w:rPr>
          <w:rFonts w:ascii="Times New Roman" w:hAnsi="Times New Roman"/>
        </w:rPr>
        <w:lastRenderedPageBreak/>
        <w:t xml:space="preserve">GAGELER CJ, GLEESON AND BEECH-JONES JJ.   </w:t>
      </w:r>
      <w:r w:rsidR="00C56658" w:rsidRPr="007225C9">
        <w:rPr>
          <w:rFonts w:ascii="Times New Roman" w:hAnsi="Times New Roman"/>
        </w:rPr>
        <w:t>Our constitutional system of r</w:t>
      </w:r>
      <w:r w:rsidR="003164D7" w:rsidRPr="007225C9">
        <w:rPr>
          <w:rFonts w:ascii="Times New Roman" w:hAnsi="Times New Roman"/>
        </w:rPr>
        <w:t xml:space="preserve">esponsible government </w:t>
      </w:r>
      <w:r w:rsidR="00F0336F" w:rsidRPr="007225C9">
        <w:rPr>
          <w:rFonts w:ascii="Times New Roman" w:hAnsi="Times New Roman"/>
        </w:rPr>
        <w:t xml:space="preserve">under the rule of law </w:t>
      </w:r>
      <w:r w:rsidR="00A0168E" w:rsidRPr="007225C9">
        <w:rPr>
          <w:rFonts w:ascii="Times New Roman" w:hAnsi="Times New Roman"/>
        </w:rPr>
        <w:t>is underpinned by t</w:t>
      </w:r>
      <w:r w:rsidR="00AC22D3" w:rsidRPr="007225C9">
        <w:rPr>
          <w:rFonts w:ascii="Times New Roman" w:hAnsi="Times New Roman"/>
        </w:rPr>
        <w:t>hree</w:t>
      </w:r>
      <w:r w:rsidR="00A0168E" w:rsidRPr="007225C9">
        <w:rPr>
          <w:rFonts w:ascii="Times New Roman" w:hAnsi="Times New Roman"/>
        </w:rPr>
        <w:t xml:space="preserve"> </w:t>
      </w:r>
      <w:r w:rsidR="00432250" w:rsidRPr="007225C9">
        <w:rPr>
          <w:rFonts w:ascii="Times New Roman" w:hAnsi="Times New Roman"/>
        </w:rPr>
        <w:t>foundational principles.</w:t>
      </w:r>
      <w:r w:rsidR="00562136" w:rsidRPr="007225C9">
        <w:rPr>
          <w:rFonts w:ascii="Times New Roman" w:hAnsi="Times New Roman"/>
        </w:rPr>
        <w:t xml:space="preserve"> </w:t>
      </w:r>
      <w:r w:rsidR="004C3776" w:rsidRPr="007225C9">
        <w:rPr>
          <w:rFonts w:ascii="Times New Roman" w:hAnsi="Times New Roman"/>
        </w:rPr>
        <w:t>The first is</w:t>
      </w:r>
      <w:r w:rsidR="003E5FCD" w:rsidRPr="007225C9">
        <w:rPr>
          <w:rFonts w:ascii="Times New Roman" w:hAnsi="Times New Roman"/>
        </w:rPr>
        <w:t xml:space="preserve"> </w:t>
      </w:r>
      <w:r w:rsidR="00620C39" w:rsidRPr="007225C9">
        <w:rPr>
          <w:rFonts w:ascii="Times New Roman" w:hAnsi="Times New Roman"/>
        </w:rPr>
        <w:t xml:space="preserve">that </w:t>
      </w:r>
      <w:r w:rsidR="00C5503F" w:rsidRPr="007225C9">
        <w:rPr>
          <w:rFonts w:ascii="Times New Roman" w:hAnsi="Times New Roman"/>
        </w:rPr>
        <w:t>"all power of government is limited by law".</w:t>
      </w:r>
      <w:r w:rsidR="00C5503F" w:rsidRPr="007225C9">
        <w:rPr>
          <w:rStyle w:val="FootnoteReference"/>
          <w:rFonts w:ascii="Times New Roman" w:hAnsi="Times New Roman"/>
          <w:sz w:val="24"/>
        </w:rPr>
        <w:footnoteReference w:id="2"/>
      </w:r>
      <w:r w:rsidR="00C5503F" w:rsidRPr="007225C9">
        <w:rPr>
          <w:rFonts w:ascii="Times New Roman" w:hAnsi="Times New Roman"/>
        </w:rPr>
        <w:t xml:space="preserve"> The second is </w:t>
      </w:r>
      <w:r w:rsidR="005A7EE8" w:rsidRPr="007225C9">
        <w:rPr>
          <w:rFonts w:ascii="Times New Roman" w:hAnsi="Times New Roman"/>
        </w:rPr>
        <w:t xml:space="preserve">that </w:t>
      </w:r>
      <w:r w:rsidR="00CD2A9D" w:rsidRPr="007225C9">
        <w:rPr>
          <w:rFonts w:ascii="Times New Roman" w:hAnsi="Times New Roman"/>
        </w:rPr>
        <w:t>"</w:t>
      </w:r>
      <w:r w:rsidR="004D2D2A" w:rsidRPr="007225C9">
        <w:rPr>
          <w:rFonts w:ascii="Times New Roman" w:hAnsi="Times New Roman"/>
        </w:rPr>
        <w:t>[</w:t>
      </w:r>
      <w:proofErr w:type="spellStart"/>
      <w:r w:rsidR="004D2D2A" w:rsidRPr="007225C9">
        <w:rPr>
          <w:rFonts w:ascii="Times New Roman" w:hAnsi="Times New Roman"/>
        </w:rPr>
        <w:t>i</w:t>
      </w:r>
      <w:proofErr w:type="spellEnd"/>
      <w:r w:rsidR="004D2D2A" w:rsidRPr="007225C9">
        <w:rPr>
          <w:rFonts w:ascii="Times New Roman" w:hAnsi="Times New Roman"/>
        </w:rPr>
        <w:t>]</w:t>
      </w:r>
      <w:r w:rsidR="00CD2A9D" w:rsidRPr="007225C9">
        <w:rPr>
          <w:rFonts w:ascii="Times New Roman" w:hAnsi="Times New Roman"/>
        </w:rPr>
        <w:t xml:space="preserve">t is emphatically </w:t>
      </w:r>
      <w:r w:rsidR="00B92A1E" w:rsidRPr="007225C9">
        <w:rPr>
          <w:rFonts w:ascii="Times New Roman" w:hAnsi="Times New Roman"/>
        </w:rPr>
        <w:t xml:space="preserve">the province and </w:t>
      </w:r>
      <w:r w:rsidR="00E5536B" w:rsidRPr="007225C9">
        <w:rPr>
          <w:rFonts w:ascii="Times New Roman" w:hAnsi="Times New Roman"/>
        </w:rPr>
        <w:t xml:space="preserve">duty </w:t>
      </w:r>
      <w:r w:rsidR="00B92A1E" w:rsidRPr="007225C9">
        <w:rPr>
          <w:rFonts w:ascii="Times New Roman" w:hAnsi="Times New Roman"/>
        </w:rPr>
        <w:t xml:space="preserve">of the </w:t>
      </w:r>
      <w:r w:rsidR="00193332" w:rsidRPr="007225C9">
        <w:rPr>
          <w:rFonts w:ascii="Times New Roman" w:hAnsi="Times New Roman"/>
        </w:rPr>
        <w:t xml:space="preserve">judicial </w:t>
      </w:r>
      <w:r w:rsidR="00AA1C8C" w:rsidRPr="007225C9">
        <w:rPr>
          <w:rFonts w:ascii="Times New Roman" w:hAnsi="Times New Roman"/>
        </w:rPr>
        <w:t>[branch of government] to say what the law is</w:t>
      </w:r>
      <w:r w:rsidR="00C04CDF" w:rsidRPr="007225C9">
        <w:rPr>
          <w:rFonts w:ascii="Times New Roman" w:hAnsi="Times New Roman"/>
        </w:rPr>
        <w:t>"</w:t>
      </w:r>
      <w:r w:rsidR="004C2E4F" w:rsidRPr="007225C9">
        <w:rPr>
          <w:rFonts w:ascii="Times New Roman" w:hAnsi="Times New Roman"/>
        </w:rPr>
        <w:t>,</w:t>
      </w:r>
      <w:r w:rsidR="00EC0EC9" w:rsidRPr="007225C9">
        <w:rPr>
          <w:rStyle w:val="FootnoteReference"/>
          <w:rFonts w:ascii="Times New Roman" w:hAnsi="Times New Roman"/>
          <w:sz w:val="24"/>
        </w:rPr>
        <w:footnoteReference w:id="3"/>
      </w:r>
      <w:r w:rsidR="00520B2E" w:rsidRPr="007225C9">
        <w:rPr>
          <w:rFonts w:ascii="Times New Roman" w:hAnsi="Times New Roman"/>
        </w:rPr>
        <w:t xml:space="preserve"> </w:t>
      </w:r>
      <w:r w:rsidR="00920BDE" w:rsidRPr="007225C9">
        <w:rPr>
          <w:rFonts w:ascii="Times New Roman" w:hAnsi="Times New Roman"/>
        </w:rPr>
        <w:t xml:space="preserve">including </w:t>
      </w:r>
      <w:r w:rsidR="008235E4" w:rsidRPr="007225C9">
        <w:rPr>
          <w:rFonts w:ascii="Times New Roman" w:hAnsi="Times New Roman"/>
        </w:rPr>
        <w:t>"</w:t>
      </w:r>
      <w:r w:rsidR="00920BDE" w:rsidRPr="007225C9">
        <w:rPr>
          <w:rFonts w:ascii="Times New Roman" w:hAnsi="Times New Roman"/>
        </w:rPr>
        <w:t>the law that limits its own power and the power of other branches of government</w:t>
      </w:r>
      <w:r w:rsidR="008235E4" w:rsidRPr="007225C9">
        <w:rPr>
          <w:rFonts w:ascii="Times New Roman" w:hAnsi="Times New Roman"/>
        </w:rPr>
        <w:t>".</w:t>
      </w:r>
      <w:r w:rsidR="00562136" w:rsidRPr="007225C9">
        <w:rPr>
          <w:rStyle w:val="FootnoteReference"/>
          <w:rFonts w:ascii="Times New Roman" w:hAnsi="Times New Roman"/>
          <w:sz w:val="24"/>
        </w:rPr>
        <w:footnoteReference w:id="4"/>
      </w:r>
      <w:r w:rsidR="00920BDE" w:rsidRPr="007225C9">
        <w:rPr>
          <w:rFonts w:ascii="Times New Roman" w:hAnsi="Times New Roman"/>
        </w:rPr>
        <w:t xml:space="preserve"> </w:t>
      </w:r>
      <w:r w:rsidR="00267162" w:rsidRPr="007225C9">
        <w:rPr>
          <w:rFonts w:ascii="Times New Roman" w:hAnsi="Times New Roman"/>
        </w:rPr>
        <w:t xml:space="preserve">The </w:t>
      </w:r>
      <w:r w:rsidR="005A7EE8" w:rsidRPr="007225C9">
        <w:rPr>
          <w:rFonts w:ascii="Times New Roman" w:hAnsi="Times New Roman"/>
        </w:rPr>
        <w:t xml:space="preserve">third </w:t>
      </w:r>
      <w:r w:rsidR="00C04CDF" w:rsidRPr="007225C9">
        <w:rPr>
          <w:rFonts w:ascii="Times New Roman" w:hAnsi="Times New Roman"/>
        </w:rPr>
        <w:t>is that</w:t>
      </w:r>
      <w:r w:rsidR="00C55E60" w:rsidRPr="007225C9">
        <w:rPr>
          <w:rFonts w:ascii="Times New Roman" w:hAnsi="Times New Roman"/>
        </w:rPr>
        <w:t xml:space="preserve"> it is</w:t>
      </w:r>
      <w:r w:rsidR="00AE404E" w:rsidRPr="007225C9">
        <w:rPr>
          <w:rFonts w:ascii="Times New Roman" w:hAnsi="Times New Roman"/>
        </w:rPr>
        <w:t xml:space="preserve">, </w:t>
      </w:r>
      <w:r w:rsidR="005A7EE8" w:rsidRPr="007225C9">
        <w:rPr>
          <w:rFonts w:ascii="Times New Roman" w:hAnsi="Times New Roman"/>
        </w:rPr>
        <w:t xml:space="preserve">equally </w:t>
      </w:r>
      <w:r w:rsidR="00AE404E" w:rsidRPr="007225C9">
        <w:rPr>
          <w:rFonts w:ascii="Times New Roman" w:hAnsi="Times New Roman"/>
        </w:rPr>
        <w:t xml:space="preserve">emphatically, </w:t>
      </w:r>
      <w:r w:rsidR="00C55E60" w:rsidRPr="007225C9">
        <w:rPr>
          <w:rFonts w:ascii="Times New Roman" w:hAnsi="Times New Roman"/>
        </w:rPr>
        <w:t>t</w:t>
      </w:r>
      <w:r w:rsidR="00191EFA" w:rsidRPr="007225C9">
        <w:rPr>
          <w:rFonts w:ascii="Times New Roman" w:hAnsi="Times New Roman"/>
        </w:rPr>
        <w:t xml:space="preserve">he </w:t>
      </w:r>
      <w:r w:rsidR="00BF6B21" w:rsidRPr="007225C9">
        <w:rPr>
          <w:rFonts w:ascii="Times New Roman" w:hAnsi="Times New Roman"/>
        </w:rPr>
        <w:t>responsibility</w:t>
      </w:r>
      <w:r w:rsidR="00191EFA" w:rsidRPr="007225C9">
        <w:rPr>
          <w:rFonts w:ascii="Times New Roman" w:hAnsi="Times New Roman"/>
        </w:rPr>
        <w:t xml:space="preserve"> </w:t>
      </w:r>
      <w:r w:rsidR="00394C30" w:rsidRPr="007225C9">
        <w:rPr>
          <w:rFonts w:ascii="Times New Roman" w:hAnsi="Times New Roman"/>
        </w:rPr>
        <w:t xml:space="preserve">of the executive branch of government to </w:t>
      </w:r>
      <w:r w:rsidR="006B185C" w:rsidRPr="007225C9">
        <w:rPr>
          <w:rFonts w:ascii="Times New Roman" w:hAnsi="Times New Roman"/>
        </w:rPr>
        <w:t xml:space="preserve">ascertain the law </w:t>
      </w:r>
      <w:r w:rsidR="00CE3936" w:rsidRPr="007225C9">
        <w:rPr>
          <w:rFonts w:ascii="Times New Roman" w:hAnsi="Times New Roman"/>
        </w:rPr>
        <w:t xml:space="preserve">that limits its own power </w:t>
      </w:r>
      <w:r w:rsidR="006B185C" w:rsidRPr="007225C9">
        <w:rPr>
          <w:rFonts w:ascii="Times New Roman" w:hAnsi="Times New Roman"/>
        </w:rPr>
        <w:t xml:space="preserve">and </w:t>
      </w:r>
      <w:r w:rsidR="00AF502A" w:rsidRPr="007225C9">
        <w:rPr>
          <w:rFonts w:ascii="Times New Roman" w:hAnsi="Times New Roman"/>
        </w:rPr>
        <w:t xml:space="preserve">to </w:t>
      </w:r>
      <w:r w:rsidR="008A66A4" w:rsidRPr="007225C9">
        <w:rPr>
          <w:rFonts w:ascii="Times New Roman" w:hAnsi="Times New Roman"/>
        </w:rPr>
        <w:t xml:space="preserve">comply </w:t>
      </w:r>
      <w:r w:rsidR="00B34F1E" w:rsidRPr="007225C9">
        <w:rPr>
          <w:rFonts w:ascii="Times New Roman" w:hAnsi="Times New Roman"/>
        </w:rPr>
        <w:t>with</w:t>
      </w:r>
      <w:r w:rsidR="00A93B64" w:rsidRPr="007225C9">
        <w:rPr>
          <w:rFonts w:ascii="Times New Roman" w:hAnsi="Times New Roman"/>
        </w:rPr>
        <w:t xml:space="preserve"> </w:t>
      </w:r>
      <w:r w:rsidR="00505312" w:rsidRPr="007225C9">
        <w:rPr>
          <w:rFonts w:ascii="Times New Roman" w:hAnsi="Times New Roman"/>
        </w:rPr>
        <w:t>that law</w:t>
      </w:r>
      <w:r w:rsidR="00A93B64" w:rsidRPr="007225C9">
        <w:rPr>
          <w:rFonts w:ascii="Times New Roman" w:hAnsi="Times New Roman"/>
        </w:rPr>
        <w:t>.</w:t>
      </w:r>
      <w:r w:rsidR="00A93B64" w:rsidRPr="007225C9">
        <w:rPr>
          <w:rStyle w:val="FootnoteReference"/>
          <w:rFonts w:ascii="Times New Roman" w:hAnsi="Times New Roman"/>
          <w:sz w:val="24"/>
        </w:rPr>
        <w:footnoteReference w:id="5"/>
      </w:r>
    </w:p>
    <w:p w14:paraId="3F4463ED" w14:textId="27AFF5DD" w:rsidR="00B97060" w:rsidRPr="007225C9" w:rsidRDefault="00311081" w:rsidP="007225C9">
      <w:pPr>
        <w:pStyle w:val="FixListStyle"/>
        <w:spacing w:after="260" w:line="280" w:lineRule="exact"/>
        <w:ind w:right="0"/>
        <w:jc w:val="both"/>
        <w:rPr>
          <w:rFonts w:ascii="Times New Roman" w:hAnsi="Times New Roman"/>
        </w:rPr>
      </w:pPr>
      <w:r w:rsidRPr="007225C9">
        <w:rPr>
          <w:rFonts w:ascii="Times New Roman" w:hAnsi="Times New Roman"/>
        </w:rPr>
        <w:tab/>
      </w:r>
      <w:r w:rsidR="004668D7" w:rsidRPr="007225C9">
        <w:rPr>
          <w:rFonts w:ascii="Times New Roman" w:hAnsi="Times New Roman"/>
        </w:rPr>
        <w:t>This Court, by virtue of its position at the apex of the judicial branch of government</w:t>
      </w:r>
      <w:r w:rsidR="00425C2F" w:rsidRPr="007225C9">
        <w:rPr>
          <w:rFonts w:ascii="Times New Roman" w:hAnsi="Times New Roman"/>
        </w:rPr>
        <w:t>, is "the ultimate decision-maker in all matters where there is a contest".</w:t>
      </w:r>
      <w:r w:rsidR="00425C2F" w:rsidRPr="007225C9">
        <w:rPr>
          <w:rStyle w:val="FootnoteReference"/>
          <w:rFonts w:ascii="Times New Roman" w:hAnsi="Times New Roman"/>
          <w:sz w:val="24"/>
        </w:rPr>
        <w:footnoteReference w:id="6"/>
      </w:r>
      <w:r w:rsidR="00425C2F" w:rsidRPr="007225C9">
        <w:rPr>
          <w:rFonts w:ascii="Times New Roman" w:hAnsi="Times New Roman"/>
        </w:rPr>
        <w:t xml:space="preserve"> </w:t>
      </w:r>
      <w:r w:rsidR="00F61199" w:rsidRPr="007225C9">
        <w:rPr>
          <w:rFonts w:ascii="Times New Roman" w:hAnsi="Times New Roman"/>
        </w:rPr>
        <w:t xml:space="preserve">The law declared by </w:t>
      </w:r>
      <w:r w:rsidR="00AF03D5" w:rsidRPr="007225C9">
        <w:rPr>
          <w:rFonts w:ascii="Times New Roman" w:hAnsi="Times New Roman"/>
        </w:rPr>
        <w:t xml:space="preserve">the Full Court of </w:t>
      </w:r>
      <w:r w:rsidR="00F61199" w:rsidRPr="007225C9">
        <w:rPr>
          <w:rFonts w:ascii="Times New Roman" w:hAnsi="Times New Roman"/>
        </w:rPr>
        <w:t>this Court in deciding</w:t>
      </w:r>
      <w:r w:rsidR="00016C48" w:rsidRPr="007225C9">
        <w:rPr>
          <w:rFonts w:ascii="Times New Roman" w:hAnsi="Times New Roman"/>
        </w:rPr>
        <w:t xml:space="preserve"> </w:t>
      </w:r>
      <w:r w:rsidR="0094655B" w:rsidRPr="007225C9">
        <w:rPr>
          <w:rFonts w:ascii="Times New Roman" w:hAnsi="Times New Roman"/>
        </w:rPr>
        <w:t xml:space="preserve">a </w:t>
      </w:r>
      <w:r w:rsidR="00F61199" w:rsidRPr="007225C9">
        <w:rPr>
          <w:rFonts w:ascii="Times New Roman" w:hAnsi="Times New Roman"/>
        </w:rPr>
        <w:t>matter</w:t>
      </w:r>
      <w:r w:rsidR="00290AFE" w:rsidRPr="007225C9">
        <w:rPr>
          <w:rFonts w:ascii="Times New Roman" w:hAnsi="Times New Roman"/>
        </w:rPr>
        <w:t xml:space="preserve"> </w:t>
      </w:r>
      <w:r w:rsidR="001976CC" w:rsidRPr="007225C9">
        <w:rPr>
          <w:rFonts w:ascii="Times New Roman" w:hAnsi="Times New Roman"/>
        </w:rPr>
        <w:t xml:space="preserve">in its original or appellate jurisdiction </w:t>
      </w:r>
      <w:r w:rsidR="00376F77" w:rsidRPr="007225C9">
        <w:rPr>
          <w:rFonts w:ascii="Times New Roman" w:hAnsi="Times New Roman"/>
        </w:rPr>
        <w:t>concerning</w:t>
      </w:r>
      <w:r w:rsidR="00F43EE7" w:rsidRPr="007225C9">
        <w:rPr>
          <w:rFonts w:ascii="Times New Roman" w:hAnsi="Times New Roman"/>
        </w:rPr>
        <w:t xml:space="preserve"> the </w:t>
      </w:r>
      <w:r w:rsidR="00117551" w:rsidRPr="007225C9">
        <w:rPr>
          <w:rFonts w:ascii="Times New Roman" w:hAnsi="Times New Roman"/>
        </w:rPr>
        <w:t xml:space="preserve">limits </w:t>
      </w:r>
      <w:r w:rsidR="003B3769" w:rsidRPr="007225C9">
        <w:rPr>
          <w:rFonts w:ascii="Times New Roman" w:hAnsi="Times New Roman"/>
        </w:rPr>
        <w:t>of</w:t>
      </w:r>
      <w:r w:rsidR="00F43EE7" w:rsidRPr="007225C9">
        <w:rPr>
          <w:rFonts w:ascii="Times New Roman" w:hAnsi="Times New Roman"/>
        </w:rPr>
        <w:t xml:space="preserve"> </w:t>
      </w:r>
      <w:r w:rsidR="006E1E4A" w:rsidRPr="007225C9">
        <w:rPr>
          <w:rFonts w:ascii="Times New Roman" w:hAnsi="Times New Roman"/>
        </w:rPr>
        <w:t xml:space="preserve">governmental </w:t>
      </w:r>
      <w:r w:rsidR="00F43EE7" w:rsidRPr="007225C9">
        <w:rPr>
          <w:rFonts w:ascii="Times New Roman" w:hAnsi="Times New Roman"/>
        </w:rPr>
        <w:t xml:space="preserve">power </w:t>
      </w:r>
      <w:r w:rsidR="00F549A8" w:rsidRPr="007225C9">
        <w:rPr>
          <w:rFonts w:ascii="Times New Roman" w:hAnsi="Times New Roman"/>
        </w:rPr>
        <w:t xml:space="preserve">is </w:t>
      </w:r>
      <w:r w:rsidR="0069143F" w:rsidRPr="007225C9">
        <w:rPr>
          <w:rFonts w:ascii="Times New Roman" w:hAnsi="Times New Roman"/>
        </w:rPr>
        <w:t xml:space="preserve">the law </w:t>
      </w:r>
      <w:r w:rsidR="000B4ED5" w:rsidRPr="007225C9">
        <w:rPr>
          <w:rFonts w:ascii="Times New Roman" w:hAnsi="Times New Roman"/>
        </w:rPr>
        <w:t>thereafter</w:t>
      </w:r>
      <w:r w:rsidR="00F549A8" w:rsidRPr="007225C9">
        <w:rPr>
          <w:rFonts w:ascii="Times New Roman" w:hAnsi="Times New Roman"/>
        </w:rPr>
        <w:t xml:space="preserve"> </w:t>
      </w:r>
      <w:r w:rsidR="00F46986" w:rsidRPr="007225C9">
        <w:rPr>
          <w:rFonts w:ascii="Times New Roman" w:hAnsi="Times New Roman"/>
        </w:rPr>
        <w:t xml:space="preserve">to be applied </w:t>
      </w:r>
      <w:r w:rsidR="004B119C" w:rsidRPr="007225C9">
        <w:rPr>
          <w:rFonts w:ascii="Times New Roman" w:hAnsi="Times New Roman"/>
        </w:rPr>
        <w:t>in accordance with the rules of precedent</w:t>
      </w:r>
      <w:r w:rsidR="003E1924" w:rsidRPr="007225C9">
        <w:rPr>
          <w:rFonts w:ascii="Times New Roman" w:hAnsi="Times New Roman"/>
        </w:rPr>
        <w:t xml:space="preserve"> by all Australian courts </w:t>
      </w:r>
      <w:r w:rsidR="001F2705" w:rsidRPr="007225C9">
        <w:rPr>
          <w:rFonts w:ascii="Times New Roman" w:hAnsi="Times New Roman"/>
        </w:rPr>
        <w:t>of competent</w:t>
      </w:r>
      <w:r w:rsidR="005F1380" w:rsidRPr="007225C9">
        <w:rPr>
          <w:rFonts w:ascii="Times New Roman" w:hAnsi="Times New Roman"/>
        </w:rPr>
        <w:t xml:space="preserve"> </w:t>
      </w:r>
      <w:r w:rsidR="00E97DA1" w:rsidRPr="007225C9">
        <w:rPr>
          <w:rFonts w:ascii="Times New Roman" w:hAnsi="Times New Roman"/>
        </w:rPr>
        <w:t xml:space="preserve">jurisdiction </w:t>
      </w:r>
      <w:r w:rsidR="00AB7041" w:rsidRPr="007225C9">
        <w:rPr>
          <w:rFonts w:ascii="Times New Roman" w:hAnsi="Times New Roman"/>
        </w:rPr>
        <w:t>to</w:t>
      </w:r>
      <w:r w:rsidR="00C972DC" w:rsidRPr="007225C9">
        <w:rPr>
          <w:rFonts w:ascii="Times New Roman" w:hAnsi="Times New Roman"/>
        </w:rPr>
        <w:t xml:space="preserve"> </w:t>
      </w:r>
      <w:r w:rsidR="00FF37A6" w:rsidRPr="007225C9">
        <w:rPr>
          <w:rFonts w:ascii="Times New Roman" w:hAnsi="Times New Roman"/>
        </w:rPr>
        <w:t>determine</w:t>
      </w:r>
      <w:r w:rsidR="00C972DC" w:rsidRPr="007225C9">
        <w:rPr>
          <w:rFonts w:ascii="Times New Roman" w:hAnsi="Times New Roman"/>
        </w:rPr>
        <w:t xml:space="preserve"> </w:t>
      </w:r>
      <w:r w:rsidR="00175B70" w:rsidRPr="007225C9">
        <w:rPr>
          <w:rFonts w:ascii="Times New Roman" w:hAnsi="Times New Roman"/>
        </w:rPr>
        <w:t xml:space="preserve">the rights and obligations of parties to </w:t>
      </w:r>
      <w:r w:rsidR="001F2705" w:rsidRPr="007225C9">
        <w:rPr>
          <w:rFonts w:ascii="Times New Roman" w:hAnsi="Times New Roman"/>
        </w:rPr>
        <w:t xml:space="preserve">disputes </w:t>
      </w:r>
      <w:r w:rsidR="00E72FC3" w:rsidRPr="007225C9">
        <w:rPr>
          <w:rFonts w:ascii="Times New Roman" w:hAnsi="Times New Roman"/>
        </w:rPr>
        <w:t>concerning</w:t>
      </w:r>
      <w:r w:rsidR="001F2705" w:rsidRPr="007225C9">
        <w:rPr>
          <w:rFonts w:ascii="Times New Roman" w:hAnsi="Times New Roman"/>
        </w:rPr>
        <w:t xml:space="preserve"> </w:t>
      </w:r>
      <w:r w:rsidR="00E8467C" w:rsidRPr="007225C9">
        <w:rPr>
          <w:rFonts w:ascii="Times New Roman" w:hAnsi="Times New Roman"/>
        </w:rPr>
        <w:t xml:space="preserve">compliance with those limits and </w:t>
      </w:r>
      <w:r w:rsidR="00FE3D48" w:rsidRPr="007225C9">
        <w:rPr>
          <w:rFonts w:ascii="Times New Roman" w:hAnsi="Times New Roman"/>
        </w:rPr>
        <w:t xml:space="preserve">concerning </w:t>
      </w:r>
      <w:r w:rsidR="00127CEA" w:rsidRPr="007225C9">
        <w:rPr>
          <w:rFonts w:ascii="Times New Roman" w:hAnsi="Times New Roman"/>
        </w:rPr>
        <w:t>legal consequences of non</w:t>
      </w:r>
      <w:r w:rsidR="00972E9B" w:rsidRPr="007225C9">
        <w:rPr>
          <w:rFonts w:ascii="Times New Roman" w:hAnsi="Times New Roman"/>
        </w:rPr>
        <w:t>-</w:t>
      </w:r>
      <w:r w:rsidR="00127CEA" w:rsidRPr="007225C9">
        <w:rPr>
          <w:rFonts w:ascii="Times New Roman" w:hAnsi="Times New Roman"/>
        </w:rPr>
        <w:t>compliance</w:t>
      </w:r>
      <w:r w:rsidR="00D32881" w:rsidRPr="007225C9">
        <w:rPr>
          <w:rFonts w:ascii="Times New Roman" w:hAnsi="Times New Roman"/>
        </w:rPr>
        <w:t xml:space="preserve">. The continuity </w:t>
      </w:r>
      <w:r w:rsidR="006D3C5B" w:rsidRPr="007225C9">
        <w:rPr>
          <w:rFonts w:ascii="Times New Roman" w:hAnsi="Times New Roman"/>
        </w:rPr>
        <w:t xml:space="preserve">of the law so declared </w:t>
      </w:r>
      <w:r w:rsidR="00787FB1" w:rsidRPr="007225C9">
        <w:rPr>
          <w:rFonts w:ascii="Times New Roman" w:hAnsi="Times New Roman"/>
        </w:rPr>
        <w:t xml:space="preserve">by this Court </w:t>
      </w:r>
      <w:r w:rsidR="006D3C5B" w:rsidRPr="007225C9">
        <w:rPr>
          <w:rFonts w:ascii="Times New Roman" w:hAnsi="Times New Roman"/>
        </w:rPr>
        <w:t xml:space="preserve">is </w:t>
      </w:r>
      <w:r w:rsidR="00F45B48" w:rsidRPr="007225C9">
        <w:rPr>
          <w:rFonts w:ascii="Times New Roman" w:hAnsi="Times New Roman"/>
        </w:rPr>
        <w:t xml:space="preserve">subject to </w:t>
      </w:r>
      <w:r w:rsidR="000D59C7" w:rsidRPr="007225C9">
        <w:rPr>
          <w:rFonts w:ascii="Times New Roman" w:hAnsi="Times New Roman"/>
        </w:rPr>
        <w:t xml:space="preserve">constitutional alteration </w:t>
      </w:r>
      <w:r w:rsidR="00CD3235" w:rsidRPr="007225C9">
        <w:rPr>
          <w:rFonts w:ascii="Times New Roman" w:hAnsi="Times New Roman"/>
        </w:rPr>
        <w:t>or valid legislative change</w:t>
      </w:r>
      <w:r w:rsidR="000C2B56" w:rsidRPr="007225C9">
        <w:rPr>
          <w:rFonts w:ascii="Times New Roman" w:hAnsi="Times New Roman"/>
        </w:rPr>
        <w:t xml:space="preserve">. The continuity of the law so declared is also </w:t>
      </w:r>
      <w:r w:rsidR="0069143F" w:rsidRPr="007225C9">
        <w:rPr>
          <w:rFonts w:ascii="Times New Roman" w:hAnsi="Times New Roman"/>
        </w:rPr>
        <w:t xml:space="preserve">subject </w:t>
      </w:r>
      <w:r w:rsidR="00CD3235" w:rsidRPr="007225C9">
        <w:rPr>
          <w:rFonts w:ascii="Times New Roman" w:hAnsi="Times New Roman"/>
        </w:rPr>
        <w:t xml:space="preserve">to </w:t>
      </w:r>
      <w:r w:rsidR="00F549A8" w:rsidRPr="007225C9">
        <w:rPr>
          <w:rFonts w:ascii="Times New Roman" w:hAnsi="Times New Roman"/>
        </w:rPr>
        <w:t>the</w:t>
      </w:r>
      <w:r w:rsidR="00F45B48" w:rsidRPr="007225C9">
        <w:rPr>
          <w:rFonts w:ascii="Times New Roman" w:hAnsi="Times New Roman"/>
        </w:rPr>
        <w:t xml:space="preserve"> </w:t>
      </w:r>
      <w:r w:rsidR="00255A5E" w:rsidRPr="007225C9">
        <w:rPr>
          <w:rFonts w:ascii="Times New Roman" w:hAnsi="Times New Roman"/>
        </w:rPr>
        <w:t xml:space="preserve">capacity </w:t>
      </w:r>
      <w:r w:rsidR="00F549A8" w:rsidRPr="007225C9">
        <w:rPr>
          <w:rFonts w:ascii="Times New Roman" w:hAnsi="Times New Roman"/>
        </w:rPr>
        <w:t xml:space="preserve">of this Court </w:t>
      </w:r>
      <w:r w:rsidR="00255A5E" w:rsidRPr="007225C9">
        <w:rPr>
          <w:rFonts w:ascii="Times New Roman" w:hAnsi="Times New Roman"/>
        </w:rPr>
        <w:t>to</w:t>
      </w:r>
      <w:r w:rsidR="00050BEA" w:rsidRPr="007225C9">
        <w:rPr>
          <w:rFonts w:ascii="Times New Roman" w:hAnsi="Times New Roman"/>
        </w:rPr>
        <w:t xml:space="preserve"> </w:t>
      </w:r>
      <w:r w:rsidR="00DD0650" w:rsidRPr="007225C9">
        <w:rPr>
          <w:rFonts w:ascii="Times New Roman" w:hAnsi="Times New Roman"/>
        </w:rPr>
        <w:t>reopen</w:t>
      </w:r>
      <w:r w:rsidR="00A40942" w:rsidRPr="007225C9">
        <w:rPr>
          <w:rFonts w:ascii="Times New Roman" w:hAnsi="Times New Roman"/>
        </w:rPr>
        <w:t xml:space="preserve">, to reconsider </w:t>
      </w:r>
      <w:r w:rsidR="00DD0650" w:rsidRPr="007225C9">
        <w:rPr>
          <w:rFonts w:ascii="Times New Roman" w:hAnsi="Times New Roman"/>
        </w:rPr>
        <w:t>and</w:t>
      </w:r>
      <w:r w:rsidR="0098759E" w:rsidRPr="007225C9">
        <w:rPr>
          <w:rFonts w:ascii="Times New Roman" w:hAnsi="Times New Roman"/>
        </w:rPr>
        <w:t>, "informed by a strongly conservative cautionary principle, adopted in the interests of continuity and consistency in the law, that such a course should not lightly be taken"</w:t>
      </w:r>
      <w:r w:rsidR="004B458B" w:rsidRPr="007225C9">
        <w:rPr>
          <w:rFonts w:ascii="Times New Roman" w:hAnsi="Times New Roman"/>
        </w:rPr>
        <w:t>,</w:t>
      </w:r>
      <w:r w:rsidR="00BB379F" w:rsidRPr="007225C9">
        <w:rPr>
          <w:rStyle w:val="FootnoteReference"/>
          <w:rFonts w:ascii="Times New Roman" w:hAnsi="Times New Roman"/>
          <w:sz w:val="24"/>
        </w:rPr>
        <w:footnoteReference w:id="7"/>
      </w:r>
      <w:r w:rsidR="004B458B" w:rsidRPr="007225C9">
        <w:rPr>
          <w:rFonts w:ascii="Times New Roman" w:hAnsi="Times New Roman"/>
        </w:rPr>
        <w:t xml:space="preserve"> </w:t>
      </w:r>
      <w:r w:rsidR="00000359" w:rsidRPr="007225C9">
        <w:rPr>
          <w:rFonts w:ascii="Times New Roman" w:hAnsi="Times New Roman"/>
        </w:rPr>
        <w:t xml:space="preserve">to </w:t>
      </w:r>
      <w:r w:rsidR="00DD0650" w:rsidRPr="007225C9">
        <w:rPr>
          <w:rFonts w:ascii="Times New Roman" w:hAnsi="Times New Roman"/>
        </w:rPr>
        <w:t xml:space="preserve">overrule </w:t>
      </w:r>
      <w:r w:rsidR="00F549A8" w:rsidRPr="007225C9">
        <w:rPr>
          <w:rFonts w:ascii="Times New Roman" w:hAnsi="Times New Roman"/>
        </w:rPr>
        <w:t>its</w:t>
      </w:r>
      <w:r w:rsidR="00A67EAF" w:rsidRPr="007225C9">
        <w:rPr>
          <w:rFonts w:ascii="Times New Roman" w:hAnsi="Times New Roman"/>
        </w:rPr>
        <w:t xml:space="preserve"> </w:t>
      </w:r>
      <w:r w:rsidR="00DD0650" w:rsidRPr="007225C9">
        <w:rPr>
          <w:rFonts w:ascii="Times New Roman" w:hAnsi="Times New Roman"/>
        </w:rPr>
        <w:t>prior decision</w:t>
      </w:r>
      <w:r w:rsidR="00F549A8" w:rsidRPr="007225C9">
        <w:rPr>
          <w:rFonts w:ascii="Times New Roman" w:hAnsi="Times New Roman"/>
        </w:rPr>
        <w:t>s</w:t>
      </w:r>
      <w:r w:rsidR="00DD0650" w:rsidRPr="007225C9">
        <w:rPr>
          <w:rFonts w:ascii="Times New Roman" w:hAnsi="Times New Roman"/>
        </w:rPr>
        <w:t>.</w:t>
      </w:r>
      <w:r w:rsidR="00835BCE" w:rsidRPr="007225C9">
        <w:rPr>
          <w:rFonts w:ascii="Times New Roman" w:hAnsi="Times New Roman"/>
        </w:rPr>
        <w:t xml:space="preserve"> </w:t>
      </w:r>
    </w:p>
    <w:p w14:paraId="72C3F736" w14:textId="6C6A3A2B" w:rsidR="002D3085" w:rsidRPr="007225C9" w:rsidRDefault="00B97060" w:rsidP="007225C9">
      <w:pPr>
        <w:pStyle w:val="FixListStyle"/>
        <w:spacing w:after="260" w:line="280" w:lineRule="exact"/>
        <w:ind w:right="0"/>
        <w:jc w:val="both"/>
        <w:rPr>
          <w:rFonts w:ascii="Times New Roman" w:hAnsi="Times New Roman"/>
        </w:rPr>
      </w:pPr>
      <w:r w:rsidRPr="007225C9">
        <w:rPr>
          <w:rFonts w:ascii="Times New Roman" w:hAnsi="Times New Roman"/>
        </w:rPr>
        <w:tab/>
      </w:r>
      <w:r w:rsidR="00535994" w:rsidRPr="007225C9">
        <w:rPr>
          <w:rFonts w:ascii="Times New Roman" w:hAnsi="Times New Roman"/>
        </w:rPr>
        <w:t>The</w:t>
      </w:r>
      <w:r w:rsidR="00613029" w:rsidRPr="007225C9">
        <w:rPr>
          <w:rFonts w:ascii="Times New Roman" w:hAnsi="Times New Roman"/>
        </w:rPr>
        <w:t xml:space="preserve"> </w:t>
      </w:r>
      <w:r w:rsidR="00E85AB1" w:rsidRPr="007225C9">
        <w:rPr>
          <w:rFonts w:ascii="Times New Roman" w:hAnsi="Times New Roman"/>
        </w:rPr>
        <w:t>constitutional</w:t>
      </w:r>
      <w:r w:rsidR="00630E75" w:rsidRPr="007225C9">
        <w:rPr>
          <w:rFonts w:ascii="Times New Roman" w:hAnsi="Times New Roman"/>
        </w:rPr>
        <w:t xml:space="preserve"> responsibility</w:t>
      </w:r>
      <w:r w:rsidR="00AF654D" w:rsidRPr="007225C9">
        <w:rPr>
          <w:rFonts w:ascii="Times New Roman" w:hAnsi="Times New Roman"/>
        </w:rPr>
        <w:t xml:space="preserve"> of </w:t>
      </w:r>
      <w:r w:rsidR="005F3752" w:rsidRPr="007225C9">
        <w:rPr>
          <w:rFonts w:ascii="Times New Roman" w:hAnsi="Times New Roman"/>
        </w:rPr>
        <w:t xml:space="preserve">an </w:t>
      </w:r>
      <w:r w:rsidR="006A6555" w:rsidRPr="007225C9">
        <w:rPr>
          <w:rFonts w:ascii="Times New Roman" w:hAnsi="Times New Roman"/>
        </w:rPr>
        <w:t>executive government</w:t>
      </w:r>
      <w:r w:rsidR="007A0A23" w:rsidRPr="007225C9">
        <w:rPr>
          <w:rFonts w:ascii="Times New Roman" w:hAnsi="Times New Roman"/>
        </w:rPr>
        <w:t xml:space="preserve"> </w:t>
      </w:r>
      <w:r w:rsidR="00C8241A" w:rsidRPr="007225C9">
        <w:rPr>
          <w:rFonts w:ascii="Times New Roman" w:hAnsi="Times New Roman"/>
        </w:rPr>
        <w:t xml:space="preserve">to </w:t>
      </w:r>
      <w:r w:rsidR="002D3AE2" w:rsidRPr="007225C9">
        <w:rPr>
          <w:rFonts w:ascii="Times New Roman" w:hAnsi="Times New Roman"/>
        </w:rPr>
        <w:t>ascertain and</w:t>
      </w:r>
      <w:r w:rsidR="00FA74E8" w:rsidRPr="007225C9">
        <w:rPr>
          <w:rFonts w:ascii="Times New Roman" w:hAnsi="Times New Roman"/>
        </w:rPr>
        <w:t xml:space="preserve"> comply with</w:t>
      </w:r>
      <w:r w:rsidR="00A24E80" w:rsidRPr="007225C9">
        <w:rPr>
          <w:rFonts w:ascii="Times New Roman" w:hAnsi="Times New Roman"/>
        </w:rPr>
        <w:t xml:space="preserve"> the law </w:t>
      </w:r>
      <w:r w:rsidR="00C66930" w:rsidRPr="007225C9">
        <w:rPr>
          <w:rFonts w:ascii="Times New Roman" w:hAnsi="Times New Roman"/>
        </w:rPr>
        <w:t>as</w:t>
      </w:r>
      <w:r w:rsidR="003A020B" w:rsidRPr="007225C9">
        <w:rPr>
          <w:rFonts w:ascii="Times New Roman" w:hAnsi="Times New Roman"/>
        </w:rPr>
        <w:t xml:space="preserve"> </w:t>
      </w:r>
      <w:r w:rsidR="00165D65" w:rsidRPr="007225C9">
        <w:rPr>
          <w:rFonts w:ascii="Times New Roman" w:hAnsi="Times New Roman"/>
        </w:rPr>
        <w:t xml:space="preserve">ultimately </w:t>
      </w:r>
      <w:r w:rsidR="00C66930" w:rsidRPr="007225C9">
        <w:rPr>
          <w:rFonts w:ascii="Times New Roman" w:hAnsi="Times New Roman"/>
        </w:rPr>
        <w:t xml:space="preserve">declared </w:t>
      </w:r>
      <w:r w:rsidR="00615670" w:rsidRPr="007225C9">
        <w:rPr>
          <w:rFonts w:ascii="Times New Roman" w:hAnsi="Times New Roman"/>
        </w:rPr>
        <w:t>by</w:t>
      </w:r>
      <w:r w:rsidR="00437DE9" w:rsidRPr="007225C9">
        <w:rPr>
          <w:rFonts w:ascii="Times New Roman" w:hAnsi="Times New Roman"/>
        </w:rPr>
        <w:t xml:space="preserve"> this Court</w:t>
      </w:r>
      <w:r w:rsidR="008B4490" w:rsidRPr="007225C9">
        <w:rPr>
          <w:rFonts w:ascii="Times New Roman" w:hAnsi="Times New Roman"/>
        </w:rPr>
        <w:t xml:space="preserve"> </w:t>
      </w:r>
      <w:r w:rsidR="0011683D" w:rsidRPr="007225C9">
        <w:rPr>
          <w:rFonts w:ascii="Times New Roman" w:hAnsi="Times New Roman"/>
        </w:rPr>
        <w:t>can</w:t>
      </w:r>
      <w:r w:rsidR="004F251C" w:rsidRPr="007225C9">
        <w:rPr>
          <w:rFonts w:ascii="Times New Roman" w:hAnsi="Times New Roman"/>
        </w:rPr>
        <w:t xml:space="preserve"> </w:t>
      </w:r>
      <w:r w:rsidR="00491547" w:rsidRPr="007225C9">
        <w:rPr>
          <w:rFonts w:ascii="Times New Roman" w:hAnsi="Times New Roman"/>
        </w:rPr>
        <w:t xml:space="preserve">combine </w:t>
      </w:r>
      <w:r w:rsidR="00042EAD" w:rsidRPr="007225C9">
        <w:rPr>
          <w:rFonts w:ascii="Times New Roman" w:hAnsi="Times New Roman"/>
        </w:rPr>
        <w:t>with the</w:t>
      </w:r>
      <w:r w:rsidR="007E07E6" w:rsidRPr="007225C9">
        <w:rPr>
          <w:rFonts w:ascii="Times New Roman" w:hAnsi="Times New Roman"/>
        </w:rPr>
        <w:t xml:space="preserve"> </w:t>
      </w:r>
      <w:r w:rsidR="00411B6F" w:rsidRPr="007225C9">
        <w:rPr>
          <w:rFonts w:ascii="Times New Roman" w:hAnsi="Times New Roman"/>
        </w:rPr>
        <w:t>susceptibility of</w:t>
      </w:r>
      <w:r w:rsidR="00F74D9A" w:rsidRPr="007225C9">
        <w:rPr>
          <w:rFonts w:ascii="Times New Roman" w:hAnsi="Times New Roman"/>
        </w:rPr>
        <w:t xml:space="preserve"> </w:t>
      </w:r>
      <w:r w:rsidR="000B248F" w:rsidRPr="007225C9">
        <w:rPr>
          <w:rFonts w:ascii="Times New Roman" w:hAnsi="Times New Roman"/>
        </w:rPr>
        <w:t>a</w:t>
      </w:r>
      <w:r w:rsidR="001F16D1" w:rsidRPr="007225C9">
        <w:rPr>
          <w:rFonts w:ascii="Times New Roman" w:hAnsi="Times New Roman"/>
        </w:rPr>
        <w:t xml:space="preserve"> prior decision</w:t>
      </w:r>
      <w:r w:rsidR="00535994" w:rsidRPr="007225C9">
        <w:rPr>
          <w:rFonts w:ascii="Times New Roman" w:hAnsi="Times New Roman"/>
        </w:rPr>
        <w:t xml:space="preserve"> </w:t>
      </w:r>
      <w:r w:rsidR="00167406" w:rsidRPr="007225C9">
        <w:rPr>
          <w:rFonts w:ascii="Times New Roman" w:hAnsi="Times New Roman"/>
        </w:rPr>
        <w:t xml:space="preserve">of this Court </w:t>
      </w:r>
      <w:r w:rsidR="00123D46" w:rsidRPr="007225C9">
        <w:rPr>
          <w:rFonts w:ascii="Times New Roman" w:hAnsi="Times New Roman"/>
        </w:rPr>
        <w:t xml:space="preserve">to </w:t>
      </w:r>
      <w:r w:rsidR="00167406" w:rsidRPr="007225C9">
        <w:rPr>
          <w:rFonts w:ascii="Times New Roman" w:hAnsi="Times New Roman"/>
        </w:rPr>
        <w:t>be</w:t>
      </w:r>
      <w:r w:rsidR="00411B6F" w:rsidRPr="007225C9">
        <w:rPr>
          <w:rFonts w:ascii="Times New Roman" w:hAnsi="Times New Roman"/>
        </w:rPr>
        <w:t>ing</w:t>
      </w:r>
      <w:r w:rsidR="00167406" w:rsidRPr="007225C9">
        <w:rPr>
          <w:rFonts w:ascii="Times New Roman" w:hAnsi="Times New Roman"/>
        </w:rPr>
        <w:t xml:space="preserve"> reopened and overruled </w:t>
      </w:r>
      <w:r w:rsidR="003A20D7" w:rsidRPr="007225C9">
        <w:rPr>
          <w:rFonts w:ascii="Times New Roman" w:hAnsi="Times New Roman"/>
        </w:rPr>
        <w:lastRenderedPageBreak/>
        <w:t xml:space="preserve">sometimes </w:t>
      </w:r>
      <w:r w:rsidR="00F006A0" w:rsidRPr="007225C9">
        <w:rPr>
          <w:rFonts w:ascii="Times New Roman" w:hAnsi="Times New Roman"/>
        </w:rPr>
        <w:t>to</w:t>
      </w:r>
      <w:r w:rsidR="00705500" w:rsidRPr="007225C9">
        <w:rPr>
          <w:rFonts w:ascii="Times New Roman" w:hAnsi="Times New Roman"/>
        </w:rPr>
        <w:t xml:space="preserve"> </w:t>
      </w:r>
      <w:r w:rsidR="00A27D4F" w:rsidRPr="007225C9">
        <w:rPr>
          <w:rFonts w:ascii="Times New Roman" w:hAnsi="Times New Roman"/>
        </w:rPr>
        <w:t>result</w:t>
      </w:r>
      <w:r w:rsidR="00D46EBC" w:rsidRPr="007225C9">
        <w:rPr>
          <w:rFonts w:ascii="Times New Roman" w:hAnsi="Times New Roman"/>
        </w:rPr>
        <w:t xml:space="preserve"> </w:t>
      </w:r>
      <w:r w:rsidR="00A27D4F" w:rsidRPr="007225C9">
        <w:rPr>
          <w:rFonts w:ascii="Times New Roman" w:hAnsi="Times New Roman"/>
        </w:rPr>
        <w:t>in</w:t>
      </w:r>
      <w:r w:rsidR="005B4D5F" w:rsidRPr="007225C9">
        <w:rPr>
          <w:rFonts w:ascii="Times New Roman" w:hAnsi="Times New Roman"/>
        </w:rPr>
        <w:t xml:space="preserve"> </w:t>
      </w:r>
      <w:r w:rsidR="00BC7AF0" w:rsidRPr="007225C9">
        <w:rPr>
          <w:rFonts w:ascii="Times New Roman" w:hAnsi="Times New Roman"/>
        </w:rPr>
        <w:t>executive action</w:t>
      </w:r>
      <w:r w:rsidR="00682F56" w:rsidRPr="007225C9">
        <w:rPr>
          <w:rFonts w:ascii="Times New Roman" w:hAnsi="Times New Roman"/>
        </w:rPr>
        <w:t xml:space="preserve"> </w:t>
      </w:r>
      <w:r w:rsidR="00AD0EAB" w:rsidRPr="007225C9">
        <w:rPr>
          <w:rFonts w:ascii="Times New Roman" w:hAnsi="Times New Roman"/>
        </w:rPr>
        <w:t xml:space="preserve">that was </w:t>
      </w:r>
      <w:r w:rsidR="00367277" w:rsidRPr="007225C9">
        <w:rPr>
          <w:rFonts w:ascii="Times New Roman" w:hAnsi="Times New Roman"/>
        </w:rPr>
        <w:t>compliant</w:t>
      </w:r>
      <w:r w:rsidR="00B0782B" w:rsidRPr="007225C9">
        <w:rPr>
          <w:rFonts w:ascii="Times New Roman" w:hAnsi="Times New Roman"/>
        </w:rPr>
        <w:t xml:space="preserve"> </w:t>
      </w:r>
      <w:r w:rsidR="001413F1" w:rsidRPr="007225C9">
        <w:rPr>
          <w:rFonts w:ascii="Times New Roman" w:hAnsi="Times New Roman"/>
        </w:rPr>
        <w:t xml:space="preserve">with </w:t>
      </w:r>
      <w:r w:rsidR="003B11C6" w:rsidRPr="007225C9">
        <w:rPr>
          <w:rFonts w:ascii="Times New Roman" w:hAnsi="Times New Roman"/>
        </w:rPr>
        <w:t xml:space="preserve">the </w:t>
      </w:r>
      <w:r w:rsidR="00757FC6" w:rsidRPr="007225C9">
        <w:rPr>
          <w:rFonts w:ascii="Times New Roman" w:hAnsi="Times New Roman"/>
        </w:rPr>
        <w:t>law</w:t>
      </w:r>
      <w:r w:rsidR="003B11C6" w:rsidRPr="007225C9">
        <w:rPr>
          <w:rFonts w:ascii="Times New Roman" w:hAnsi="Times New Roman"/>
        </w:rPr>
        <w:t xml:space="preserve"> </w:t>
      </w:r>
      <w:r w:rsidR="00401211" w:rsidRPr="007225C9">
        <w:rPr>
          <w:rFonts w:ascii="Times New Roman" w:hAnsi="Times New Roman"/>
        </w:rPr>
        <w:t xml:space="preserve">as </w:t>
      </w:r>
      <w:r w:rsidR="007D2670" w:rsidRPr="007225C9">
        <w:rPr>
          <w:rFonts w:ascii="Times New Roman" w:hAnsi="Times New Roman"/>
        </w:rPr>
        <w:t xml:space="preserve">previously </w:t>
      </w:r>
      <w:r w:rsidR="00401211" w:rsidRPr="007225C9">
        <w:rPr>
          <w:rFonts w:ascii="Times New Roman" w:hAnsi="Times New Roman"/>
        </w:rPr>
        <w:t>declared</w:t>
      </w:r>
      <w:r w:rsidR="005425A3" w:rsidRPr="007225C9">
        <w:rPr>
          <w:rFonts w:ascii="Times New Roman" w:hAnsi="Times New Roman"/>
        </w:rPr>
        <w:t xml:space="preserve"> </w:t>
      </w:r>
      <w:r w:rsidR="00A95B87" w:rsidRPr="007225C9">
        <w:rPr>
          <w:rFonts w:ascii="Times New Roman" w:hAnsi="Times New Roman"/>
        </w:rPr>
        <w:t xml:space="preserve">by this Court </w:t>
      </w:r>
      <w:r w:rsidR="00D37111" w:rsidRPr="007225C9">
        <w:rPr>
          <w:rFonts w:ascii="Times New Roman" w:hAnsi="Times New Roman"/>
        </w:rPr>
        <w:t>being</w:t>
      </w:r>
      <w:r w:rsidR="002D3085" w:rsidRPr="007225C9">
        <w:rPr>
          <w:rFonts w:ascii="Times New Roman" w:hAnsi="Times New Roman"/>
        </w:rPr>
        <w:t xml:space="preserve"> revealed</w:t>
      </w:r>
      <w:r w:rsidR="000F319F" w:rsidRPr="007225C9">
        <w:rPr>
          <w:rFonts w:ascii="Times New Roman" w:hAnsi="Times New Roman"/>
        </w:rPr>
        <w:t xml:space="preserve"> </w:t>
      </w:r>
      <w:r w:rsidR="00A95B87" w:rsidRPr="007225C9">
        <w:rPr>
          <w:rFonts w:ascii="Times New Roman" w:hAnsi="Times New Roman"/>
        </w:rPr>
        <w:t xml:space="preserve">by a subsequent decision of this Court </w:t>
      </w:r>
      <w:r w:rsidR="002D3085" w:rsidRPr="007225C9">
        <w:rPr>
          <w:rFonts w:ascii="Times New Roman" w:hAnsi="Times New Roman"/>
        </w:rPr>
        <w:t xml:space="preserve">to have </w:t>
      </w:r>
      <w:r w:rsidR="005A21C3" w:rsidRPr="007225C9">
        <w:rPr>
          <w:rFonts w:ascii="Times New Roman" w:hAnsi="Times New Roman"/>
        </w:rPr>
        <w:t xml:space="preserve">lacked </w:t>
      </w:r>
      <w:r w:rsidR="004C30F4" w:rsidRPr="007225C9">
        <w:rPr>
          <w:rFonts w:ascii="Times New Roman" w:hAnsi="Times New Roman"/>
        </w:rPr>
        <w:t>lawful</w:t>
      </w:r>
      <w:r w:rsidR="005A21C3" w:rsidRPr="007225C9">
        <w:rPr>
          <w:rFonts w:ascii="Times New Roman" w:hAnsi="Times New Roman"/>
        </w:rPr>
        <w:t xml:space="preserve"> </w:t>
      </w:r>
      <w:r w:rsidR="0080186B" w:rsidRPr="007225C9">
        <w:rPr>
          <w:rFonts w:ascii="Times New Roman" w:hAnsi="Times New Roman"/>
        </w:rPr>
        <w:t>authority</w:t>
      </w:r>
      <w:r w:rsidR="002D4876" w:rsidRPr="007225C9">
        <w:rPr>
          <w:rFonts w:ascii="Times New Roman" w:hAnsi="Times New Roman"/>
        </w:rPr>
        <w:t xml:space="preserve">. The </w:t>
      </w:r>
      <w:r w:rsidR="004C30F4" w:rsidRPr="007225C9">
        <w:rPr>
          <w:rFonts w:ascii="Times New Roman" w:hAnsi="Times New Roman"/>
        </w:rPr>
        <w:t xml:space="preserve">undisputed </w:t>
      </w:r>
      <w:r w:rsidR="002D4876" w:rsidRPr="007225C9">
        <w:rPr>
          <w:rFonts w:ascii="Times New Roman" w:hAnsi="Times New Roman"/>
        </w:rPr>
        <w:t>theory of our constitutional system being that invalid legislation "is, in legal contemplation, as inoperative as though it had never been passed"</w:t>
      </w:r>
      <w:r w:rsidR="0066430B" w:rsidRPr="007225C9">
        <w:rPr>
          <w:rFonts w:ascii="Times New Roman" w:hAnsi="Times New Roman"/>
        </w:rPr>
        <w:t xml:space="preserve"> (</w:t>
      </w:r>
      <w:r w:rsidR="002D4876" w:rsidRPr="007225C9">
        <w:rPr>
          <w:rFonts w:ascii="Times New Roman" w:hAnsi="Times New Roman"/>
        </w:rPr>
        <w:t xml:space="preserve">such that the invalid law "confers no rights", </w:t>
      </w:r>
      <w:r w:rsidR="0094008C" w:rsidRPr="007225C9">
        <w:rPr>
          <w:rFonts w:ascii="Times New Roman" w:hAnsi="Times New Roman"/>
        </w:rPr>
        <w:t>"</w:t>
      </w:r>
      <w:r w:rsidR="002D4876" w:rsidRPr="007225C9">
        <w:rPr>
          <w:rFonts w:ascii="Times New Roman" w:hAnsi="Times New Roman"/>
        </w:rPr>
        <w:t>imposes no duties" and "affords no protection"</w:t>
      </w:r>
      <w:r w:rsidR="007767E4" w:rsidRPr="007225C9">
        <w:rPr>
          <w:rFonts w:ascii="Times New Roman" w:hAnsi="Times New Roman"/>
        </w:rPr>
        <w:t>)</w:t>
      </w:r>
      <w:r w:rsidR="005A0E94" w:rsidRPr="007225C9">
        <w:rPr>
          <w:rFonts w:ascii="Times New Roman" w:hAnsi="Times New Roman"/>
        </w:rPr>
        <w:t>,</w:t>
      </w:r>
      <w:r w:rsidR="002D4876" w:rsidRPr="007225C9">
        <w:rPr>
          <w:rStyle w:val="FootnoteReference"/>
          <w:rFonts w:ascii="Times New Roman" w:hAnsi="Times New Roman"/>
          <w:sz w:val="24"/>
        </w:rPr>
        <w:footnoteReference w:id="8"/>
      </w:r>
      <w:r w:rsidR="004F0EA3" w:rsidRPr="007225C9">
        <w:rPr>
          <w:rFonts w:ascii="Times New Roman" w:hAnsi="Times New Roman"/>
        </w:rPr>
        <w:t xml:space="preserve"> </w:t>
      </w:r>
      <w:r w:rsidR="00543F46" w:rsidRPr="007225C9">
        <w:rPr>
          <w:rFonts w:ascii="Times New Roman" w:hAnsi="Times New Roman"/>
        </w:rPr>
        <w:t xml:space="preserve">a subsequent declaration of constitutional invalidity </w:t>
      </w:r>
      <w:r w:rsidR="00D9379C" w:rsidRPr="007225C9">
        <w:rPr>
          <w:rFonts w:ascii="Times New Roman" w:hAnsi="Times New Roman"/>
        </w:rPr>
        <w:t>can</w:t>
      </w:r>
      <w:r w:rsidR="002C7850" w:rsidRPr="007225C9">
        <w:rPr>
          <w:rFonts w:ascii="Times New Roman" w:hAnsi="Times New Roman"/>
        </w:rPr>
        <w:t xml:space="preserve"> ther</w:t>
      </w:r>
      <w:r w:rsidR="004D0BB1" w:rsidRPr="007225C9">
        <w:rPr>
          <w:rFonts w:ascii="Times New Roman" w:hAnsi="Times New Roman"/>
        </w:rPr>
        <w:t>eby</w:t>
      </w:r>
      <w:r w:rsidR="007667FE" w:rsidRPr="007225C9">
        <w:rPr>
          <w:rFonts w:ascii="Times New Roman" w:hAnsi="Times New Roman"/>
        </w:rPr>
        <w:t xml:space="preserve"> </w:t>
      </w:r>
      <w:r w:rsidR="00713CA7" w:rsidRPr="007225C9">
        <w:rPr>
          <w:rFonts w:ascii="Times New Roman" w:hAnsi="Times New Roman"/>
        </w:rPr>
        <w:t>reveal</w:t>
      </w:r>
      <w:r w:rsidR="008917CF" w:rsidRPr="007225C9">
        <w:rPr>
          <w:rFonts w:ascii="Times New Roman" w:hAnsi="Times New Roman"/>
        </w:rPr>
        <w:t xml:space="preserve"> the</w:t>
      </w:r>
      <w:r w:rsidR="008E379A" w:rsidRPr="007225C9">
        <w:rPr>
          <w:rFonts w:ascii="Times New Roman" w:hAnsi="Times New Roman"/>
        </w:rPr>
        <w:t xml:space="preserve"> action</w:t>
      </w:r>
      <w:r w:rsidR="00713CA7" w:rsidRPr="007225C9">
        <w:rPr>
          <w:rFonts w:ascii="Times New Roman" w:hAnsi="Times New Roman"/>
        </w:rPr>
        <w:t xml:space="preserve"> </w:t>
      </w:r>
      <w:r w:rsidR="00B213A7" w:rsidRPr="007225C9">
        <w:rPr>
          <w:rFonts w:ascii="Times New Roman" w:hAnsi="Times New Roman"/>
        </w:rPr>
        <w:t xml:space="preserve">in retrospect </w:t>
      </w:r>
      <w:r w:rsidR="00EC2B1E" w:rsidRPr="007225C9">
        <w:rPr>
          <w:rFonts w:ascii="Times New Roman" w:hAnsi="Times New Roman"/>
        </w:rPr>
        <w:t xml:space="preserve">to have exposed </w:t>
      </w:r>
      <w:r w:rsidR="0070326D" w:rsidRPr="007225C9">
        <w:rPr>
          <w:rFonts w:ascii="Times New Roman" w:hAnsi="Times New Roman"/>
        </w:rPr>
        <w:t xml:space="preserve">the </w:t>
      </w:r>
      <w:r w:rsidR="00F51EAE" w:rsidRPr="007225C9">
        <w:rPr>
          <w:rFonts w:ascii="Times New Roman" w:hAnsi="Times New Roman"/>
        </w:rPr>
        <w:t xml:space="preserve">executive government or its officers to </w:t>
      </w:r>
      <w:r w:rsidR="002C6FB6" w:rsidRPr="007225C9">
        <w:rPr>
          <w:rFonts w:ascii="Times New Roman" w:hAnsi="Times New Roman"/>
        </w:rPr>
        <w:t xml:space="preserve">civil </w:t>
      </w:r>
      <w:r w:rsidR="00983334" w:rsidRPr="007225C9">
        <w:rPr>
          <w:rFonts w:ascii="Times New Roman" w:hAnsi="Times New Roman"/>
        </w:rPr>
        <w:t>liability at common law</w:t>
      </w:r>
      <w:r w:rsidR="002D3085" w:rsidRPr="007225C9">
        <w:rPr>
          <w:rFonts w:ascii="Times New Roman" w:hAnsi="Times New Roman"/>
        </w:rPr>
        <w:t>.</w:t>
      </w:r>
      <w:r w:rsidR="00D9379C" w:rsidRPr="007225C9">
        <w:rPr>
          <w:rStyle w:val="FootnoteReference"/>
          <w:rFonts w:ascii="Times New Roman" w:hAnsi="Times New Roman"/>
          <w:sz w:val="24"/>
        </w:rPr>
        <w:footnoteReference w:id="9"/>
      </w:r>
    </w:p>
    <w:p w14:paraId="3B19D6FD" w14:textId="646D0860" w:rsidR="002A274A" w:rsidRPr="007225C9" w:rsidRDefault="0036566F" w:rsidP="007225C9">
      <w:pPr>
        <w:pStyle w:val="FixListStyle"/>
        <w:spacing w:after="260" w:line="280" w:lineRule="exact"/>
        <w:ind w:right="0"/>
        <w:jc w:val="both"/>
        <w:rPr>
          <w:rFonts w:ascii="Times New Roman" w:hAnsi="Times New Roman"/>
        </w:rPr>
      </w:pPr>
      <w:r w:rsidRPr="007225C9">
        <w:rPr>
          <w:rFonts w:ascii="Times New Roman" w:hAnsi="Times New Roman"/>
          <w:i/>
          <w:iCs/>
        </w:rPr>
        <w:tab/>
      </w:r>
      <w:r w:rsidR="00223899" w:rsidRPr="007225C9">
        <w:rPr>
          <w:rFonts w:ascii="Times New Roman" w:hAnsi="Times New Roman"/>
        </w:rPr>
        <w:t xml:space="preserve">That is what </w:t>
      </w:r>
      <w:r w:rsidR="002565FE" w:rsidRPr="007225C9">
        <w:rPr>
          <w:rFonts w:ascii="Times New Roman" w:hAnsi="Times New Roman"/>
        </w:rPr>
        <w:t>occurred</w:t>
      </w:r>
      <w:r w:rsidR="00064C0C" w:rsidRPr="007225C9">
        <w:rPr>
          <w:rFonts w:ascii="Times New Roman" w:hAnsi="Times New Roman"/>
        </w:rPr>
        <w:t xml:space="preserve"> </w:t>
      </w:r>
      <w:r w:rsidR="00937E08" w:rsidRPr="007225C9">
        <w:rPr>
          <w:rFonts w:ascii="Times New Roman" w:hAnsi="Times New Roman"/>
        </w:rPr>
        <w:t>in</w:t>
      </w:r>
      <w:r w:rsidR="0061212A" w:rsidRPr="007225C9">
        <w:rPr>
          <w:rFonts w:ascii="Times New Roman" w:hAnsi="Times New Roman"/>
        </w:rPr>
        <w:t xml:space="preserve"> </w:t>
      </w:r>
      <w:r w:rsidR="008F5F9B" w:rsidRPr="007225C9">
        <w:rPr>
          <w:rFonts w:ascii="Times New Roman" w:hAnsi="Times New Roman"/>
          <w:i/>
          <w:iCs/>
        </w:rPr>
        <w:t>NZYQ v Minister for Immigration, Citizenship and Multicultural Affairs</w:t>
      </w:r>
      <w:r w:rsidR="008F5F9B" w:rsidRPr="007225C9">
        <w:rPr>
          <w:rFonts w:ascii="Times New Roman" w:hAnsi="Times New Roman"/>
          <w:b/>
          <w:bCs/>
          <w:sz w:val="24"/>
          <w:szCs w:val="28"/>
          <w:vertAlign w:val="superscript"/>
        </w:rPr>
        <w:footnoteReference w:id="10"/>
      </w:r>
      <w:r w:rsidR="008F5F9B" w:rsidRPr="007225C9">
        <w:rPr>
          <w:rFonts w:ascii="Times New Roman" w:hAnsi="Times New Roman"/>
        </w:rPr>
        <w:t xml:space="preserve"> </w:t>
      </w:r>
      <w:r w:rsidR="00A61B38" w:rsidRPr="007225C9">
        <w:rPr>
          <w:rFonts w:ascii="Times New Roman" w:hAnsi="Times New Roman"/>
        </w:rPr>
        <w:t xml:space="preserve">when this Court </w:t>
      </w:r>
      <w:r w:rsidR="0061212A" w:rsidRPr="007225C9">
        <w:rPr>
          <w:rFonts w:ascii="Times New Roman" w:hAnsi="Times New Roman"/>
        </w:rPr>
        <w:t>reopened and overruled</w:t>
      </w:r>
      <w:r w:rsidR="000C4E69" w:rsidRPr="007225C9">
        <w:rPr>
          <w:rFonts w:ascii="Times New Roman" w:hAnsi="Times New Roman"/>
        </w:rPr>
        <w:t xml:space="preserve"> </w:t>
      </w:r>
      <w:r w:rsidR="00937E08" w:rsidRPr="007225C9">
        <w:rPr>
          <w:rFonts w:ascii="Times New Roman" w:hAnsi="Times New Roman"/>
        </w:rPr>
        <w:t xml:space="preserve">the constitutional holding in </w:t>
      </w:r>
      <w:r w:rsidR="000C4E69" w:rsidRPr="007225C9">
        <w:rPr>
          <w:rFonts w:ascii="Times New Roman" w:hAnsi="Times New Roman"/>
        </w:rPr>
        <w:t>its earlier decision in</w:t>
      </w:r>
      <w:r w:rsidR="0061212A" w:rsidRPr="007225C9">
        <w:rPr>
          <w:rFonts w:ascii="Times New Roman" w:hAnsi="Times New Roman"/>
        </w:rPr>
        <w:t xml:space="preserve"> </w:t>
      </w:r>
      <w:r w:rsidR="0061212A" w:rsidRPr="007225C9">
        <w:rPr>
          <w:rFonts w:ascii="Times New Roman" w:hAnsi="Times New Roman"/>
          <w:i/>
          <w:iCs/>
        </w:rPr>
        <w:t>Al-Kateb v Godwin</w:t>
      </w:r>
      <w:r w:rsidR="0061212A" w:rsidRPr="007225C9">
        <w:rPr>
          <w:rStyle w:val="FootnoteReference"/>
          <w:rFonts w:ascii="Times New Roman" w:hAnsi="Times New Roman"/>
          <w:sz w:val="24"/>
        </w:rPr>
        <w:footnoteReference w:id="11"/>
      </w:r>
      <w:r w:rsidR="0061212A" w:rsidRPr="007225C9">
        <w:rPr>
          <w:rFonts w:ascii="Times New Roman" w:hAnsi="Times New Roman"/>
        </w:rPr>
        <w:t xml:space="preserve"> </w:t>
      </w:r>
      <w:r w:rsidR="00480212" w:rsidRPr="007225C9">
        <w:rPr>
          <w:rFonts w:ascii="Times New Roman" w:hAnsi="Times New Roman"/>
        </w:rPr>
        <w:t>to hold</w:t>
      </w:r>
      <w:r w:rsidR="00322049" w:rsidRPr="007225C9">
        <w:rPr>
          <w:rFonts w:ascii="Times New Roman" w:hAnsi="Times New Roman"/>
        </w:rPr>
        <w:t xml:space="preserve">, </w:t>
      </w:r>
      <w:r w:rsidR="00997B44" w:rsidRPr="007225C9">
        <w:rPr>
          <w:rFonts w:ascii="Times New Roman" w:hAnsi="Times New Roman"/>
        </w:rPr>
        <w:t xml:space="preserve">contrary to </w:t>
      </w:r>
      <w:r w:rsidR="00997B44" w:rsidRPr="007225C9">
        <w:rPr>
          <w:rFonts w:ascii="Times New Roman" w:hAnsi="Times New Roman"/>
          <w:i/>
          <w:iCs/>
        </w:rPr>
        <w:t>Al-Kateb</w:t>
      </w:r>
      <w:r w:rsidR="00322049" w:rsidRPr="007225C9">
        <w:rPr>
          <w:rFonts w:ascii="Times New Roman" w:hAnsi="Times New Roman"/>
        </w:rPr>
        <w:t xml:space="preserve">, </w:t>
      </w:r>
      <w:r w:rsidR="000C460D" w:rsidRPr="007225C9">
        <w:rPr>
          <w:rFonts w:ascii="Times New Roman" w:hAnsi="Times New Roman"/>
        </w:rPr>
        <w:t xml:space="preserve">that </w:t>
      </w:r>
      <w:r w:rsidR="008F5F9B" w:rsidRPr="007225C9">
        <w:rPr>
          <w:rFonts w:ascii="Times New Roman" w:hAnsi="Times New Roman"/>
        </w:rPr>
        <w:t xml:space="preserve">ss 189(1) and 196(1) of the </w:t>
      </w:r>
      <w:r w:rsidR="008F5F9B" w:rsidRPr="007225C9">
        <w:rPr>
          <w:rFonts w:ascii="Times New Roman" w:hAnsi="Times New Roman"/>
          <w:i/>
          <w:iCs/>
        </w:rPr>
        <w:t>Migration Act 1958</w:t>
      </w:r>
      <w:r w:rsidR="008F5F9B" w:rsidRPr="007225C9">
        <w:rPr>
          <w:rFonts w:ascii="Times New Roman" w:hAnsi="Times New Roman"/>
        </w:rPr>
        <w:t xml:space="preserve"> (</w:t>
      </w:r>
      <w:proofErr w:type="spellStart"/>
      <w:r w:rsidR="008F5F9B" w:rsidRPr="007225C9">
        <w:rPr>
          <w:rFonts w:ascii="Times New Roman" w:hAnsi="Times New Roman"/>
        </w:rPr>
        <w:t>Cth</w:t>
      </w:r>
      <w:proofErr w:type="spellEnd"/>
      <w:r w:rsidR="008F5F9B" w:rsidRPr="007225C9">
        <w:rPr>
          <w:rFonts w:ascii="Times New Roman" w:hAnsi="Times New Roman"/>
        </w:rPr>
        <w:t xml:space="preserve">) </w:t>
      </w:r>
      <w:r w:rsidR="00DA11CF" w:rsidRPr="007225C9">
        <w:rPr>
          <w:rFonts w:ascii="Times New Roman" w:hAnsi="Times New Roman"/>
        </w:rPr>
        <w:t>are</w:t>
      </w:r>
      <w:r w:rsidR="008F5F9B" w:rsidRPr="007225C9">
        <w:rPr>
          <w:rFonts w:ascii="Times New Roman" w:hAnsi="Times New Roman"/>
        </w:rPr>
        <w:t xml:space="preserve"> inconsistent with Ch</w:t>
      </w:r>
      <w:r w:rsidR="008F49DC">
        <w:rPr>
          <w:rFonts w:ascii="Times New Roman" w:hAnsi="Times New Roman"/>
        </w:rPr>
        <w:t> </w:t>
      </w:r>
      <w:r w:rsidR="008F5F9B" w:rsidRPr="007225C9">
        <w:rPr>
          <w:rFonts w:ascii="Times New Roman" w:hAnsi="Times New Roman"/>
        </w:rPr>
        <w:t xml:space="preserve">III of the </w:t>
      </w:r>
      <w:r w:rsidR="008F5F9B" w:rsidRPr="007225C9">
        <w:rPr>
          <w:rFonts w:ascii="Times New Roman" w:hAnsi="Times New Roman"/>
          <w:i/>
          <w:iCs/>
        </w:rPr>
        <w:t>Constitution</w:t>
      </w:r>
      <w:r w:rsidR="007C797D" w:rsidRPr="007225C9">
        <w:rPr>
          <w:rFonts w:ascii="Times New Roman" w:hAnsi="Times New Roman"/>
        </w:rPr>
        <w:t xml:space="preserve">, </w:t>
      </w:r>
      <w:r w:rsidR="00DA11CF" w:rsidRPr="007225C9">
        <w:rPr>
          <w:rFonts w:ascii="Times New Roman" w:hAnsi="Times New Roman"/>
        </w:rPr>
        <w:t>and are therefore invalid</w:t>
      </w:r>
      <w:r w:rsidR="007C797D" w:rsidRPr="007225C9">
        <w:rPr>
          <w:rFonts w:ascii="Times New Roman" w:hAnsi="Times New Roman"/>
        </w:rPr>
        <w:t>,</w:t>
      </w:r>
      <w:r w:rsidR="00DA11CF" w:rsidRPr="007225C9">
        <w:rPr>
          <w:rFonts w:ascii="Times New Roman" w:hAnsi="Times New Roman"/>
        </w:rPr>
        <w:t xml:space="preserve"> i</w:t>
      </w:r>
      <w:r w:rsidR="00F21519" w:rsidRPr="007225C9">
        <w:rPr>
          <w:rFonts w:ascii="Times New Roman" w:hAnsi="Times New Roman"/>
        </w:rPr>
        <w:t>n</w:t>
      </w:r>
      <w:r w:rsidR="008F5F9B" w:rsidRPr="007225C9">
        <w:rPr>
          <w:rFonts w:ascii="Times New Roman" w:hAnsi="Times New Roman"/>
        </w:rPr>
        <w:t xml:space="preserve"> </w:t>
      </w:r>
      <w:r w:rsidR="00B762F8" w:rsidRPr="007225C9">
        <w:rPr>
          <w:rFonts w:ascii="Times New Roman" w:hAnsi="Times New Roman"/>
        </w:rPr>
        <w:t xml:space="preserve">their application </w:t>
      </w:r>
      <w:r w:rsidR="0077565A" w:rsidRPr="007225C9">
        <w:rPr>
          <w:rFonts w:ascii="Times New Roman" w:hAnsi="Times New Roman"/>
        </w:rPr>
        <w:t xml:space="preserve">to </w:t>
      </w:r>
      <w:r w:rsidR="008F5F9B" w:rsidRPr="007225C9">
        <w:rPr>
          <w:rFonts w:ascii="Times New Roman" w:hAnsi="Times New Roman"/>
        </w:rPr>
        <w:t xml:space="preserve">an unlawful non-citizen </w:t>
      </w:r>
      <w:r w:rsidR="00B762F8" w:rsidRPr="007225C9">
        <w:rPr>
          <w:rFonts w:ascii="Times New Roman" w:hAnsi="Times New Roman"/>
        </w:rPr>
        <w:t>whose removal</w:t>
      </w:r>
      <w:r w:rsidR="00671434" w:rsidRPr="007225C9">
        <w:rPr>
          <w:rFonts w:ascii="Times New Roman" w:hAnsi="Times New Roman"/>
        </w:rPr>
        <w:t xml:space="preserve"> </w:t>
      </w:r>
      <w:r w:rsidR="008F5F9B" w:rsidRPr="007225C9">
        <w:rPr>
          <w:rFonts w:ascii="Times New Roman" w:hAnsi="Times New Roman"/>
        </w:rPr>
        <w:t xml:space="preserve">from Australia </w:t>
      </w:r>
      <w:r w:rsidR="00480212" w:rsidRPr="007225C9">
        <w:rPr>
          <w:rFonts w:ascii="Times New Roman" w:hAnsi="Times New Roman"/>
        </w:rPr>
        <w:t xml:space="preserve">under s 198 </w:t>
      </w:r>
      <w:r w:rsidR="008F5F9B" w:rsidRPr="007225C9">
        <w:rPr>
          <w:rFonts w:ascii="Times New Roman" w:hAnsi="Times New Roman"/>
        </w:rPr>
        <w:t>ha</w:t>
      </w:r>
      <w:r w:rsidR="00B762F8" w:rsidRPr="007225C9">
        <w:rPr>
          <w:rFonts w:ascii="Times New Roman" w:hAnsi="Times New Roman"/>
        </w:rPr>
        <w:t>s</w:t>
      </w:r>
      <w:r w:rsidR="008F5F9B" w:rsidRPr="007225C9">
        <w:rPr>
          <w:rFonts w:ascii="Times New Roman" w:hAnsi="Times New Roman"/>
        </w:rPr>
        <w:t xml:space="preserve"> no real prospect of becoming practicable in the reasonably foreseeable future</w:t>
      </w:r>
      <w:r w:rsidR="00DA11CF" w:rsidRPr="007225C9">
        <w:rPr>
          <w:rFonts w:ascii="Times New Roman" w:hAnsi="Times New Roman"/>
        </w:rPr>
        <w:t xml:space="preserve">. </w:t>
      </w:r>
    </w:p>
    <w:p w14:paraId="7B933450" w14:textId="61F93485" w:rsidR="008F5F9B" w:rsidRPr="007225C9" w:rsidRDefault="002A274A" w:rsidP="007225C9">
      <w:pPr>
        <w:pStyle w:val="FixListStyle"/>
        <w:spacing w:after="260" w:line="280" w:lineRule="exact"/>
        <w:ind w:right="0"/>
        <w:jc w:val="both"/>
        <w:rPr>
          <w:rFonts w:ascii="Times New Roman" w:hAnsi="Times New Roman"/>
        </w:rPr>
      </w:pPr>
      <w:r w:rsidRPr="007225C9">
        <w:rPr>
          <w:rFonts w:ascii="Times New Roman" w:hAnsi="Times New Roman"/>
        </w:rPr>
        <w:tab/>
      </w:r>
      <w:r w:rsidR="002E1F3A" w:rsidRPr="007225C9">
        <w:rPr>
          <w:rFonts w:ascii="Times New Roman" w:hAnsi="Times New Roman"/>
        </w:rPr>
        <w:t>T</w:t>
      </w:r>
      <w:r w:rsidR="002F350E" w:rsidRPr="007225C9">
        <w:rPr>
          <w:rFonts w:ascii="Times New Roman" w:hAnsi="Times New Roman"/>
        </w:rPr>
        <w:t xml:space="preserve">he </w:t>
      </w:r>
      <w:r w:rsidR="002202C1" w:rsidRPr="007225C9">
        <w:rPr>
          <w:rFonts w:ascii="Times New Roman" w:hAnsi="Times New Roman"/>
        </w:rPr>
        <w:t>result of</w:t>
      </w:r>
      <w:r w:rsidR="0076593F" w:rsidRPr="007225C9">
        <w:rPr>
          <w:rFonts w:ascii="Times New Roman" w:hAnsi="Times New Roman"/>
        </w:rPr>
        <w:t xml:space="preserve"> the constitutional holding in</w:t>
      </w:r>
      <w:r w:rsidR="002202C1" w:rsidRPr="007225C9">
        <w:rPr>
          <w:rFonts w:ascii="Times New Roman" w:hAnsi="Times New Roman"/>
        </w:rPr>
        <w:t xml:space="preserve"> </w:t>
      </w:r>
      <w:r w:rsidR="002202C1" w:rsidRPr="007225C9">
        <w:rPr>
          <w:rFonts w:ascii="Times New Roman" w:hAnsi="Times New Roman"/>
          <w:i/>
          <w:iCs/>
        </w:rPr>
        <w:t xml:space="preserve">NZYQ </w:t>
      </w:r>
      <w:r w:rsidR="00533AFA" w:rsidRPr="007225C9">
        <w:rPr>
          <w:rFonts w:ascii="Times New Roman" w:hAnsi="Times New Roman"/>
        </w:rPr>
        <w:t>i</w:t>
      </w:r>
      <w:r w:rsidR="002202C1" w:rsidRPr="007225C9">
        <w:rPr>
          <w:rFonts w:ascii="Times New Roman" w:hAnsi="Times New Roman"/>
        </w:rPr>
        <w:t>s</w:t>
      </w:r>
      <w:r w:rsidR="003B7B5D" w:rsidRPr="007225C9">
        <w:rPr>
          <w:rFonts w:ascii="Times New Roman" w:hAnsi="Times New Roman"/>
        </w:rPr>
        <w:t xml:space="preserve"> </w:t>
      </w:r>
      <w:r w:rsidR="002202C1" w:rsidRPr="007225C9">
        <w:rPr>
          <w:rFonts w:ascii="Times New Roman" w:hAnsi="Times New Roman"/>
        </w:rPr>
        <w:t>that ss 189(1) and 196(1)</w:t>
      </w:r>
      <w:r w:rsidR="00C11915" w:rsidRPr="007225C9">
        <w:rPr>
          <w:rFonts w:ascii="Times New Roman" w:hAnsi="Times New Roman"/>
        </w:rPr>
        <w:t xml:space="preserve"> </w:t>
      </w:r>
      <w:r w:rsidR="00322B67" w:rsidRPr="007225C9">
        <w:rPr>
          <w:rFonts w:ascii="Times New Roman" w:hAnsi="Times New Roman"/>
        </w:rPr>
        <w:t xml:space="preserve">of the </w:t>
      </w:r>
      <w:r w:rsidR="00322B67" w:rsidRPr="007225C9">
        <w:rPr>
          <w:rFonts w:ascii="Times New Roman" w:hAnsi="Times New Roman"/>
          <w:i/>
          <w:iCs/>
        </w:rPr>
        <w:t>Migration Act</w:t>
      </w:r>
      <w:r w:rsidR="005740CF" w:rsidRPr="007225C9">
        <w:rPr>
          <w:rFonts w:ascii="Times New Roman" w:hAnsi="Times New Roman"/>
        </w:rPr>
        <w:t xml:space="preserve"> </w:t>
      </w:r>
      <w:r w:rsidR="00C11915" w:rsidRPr="007225C9">
        <w:rPr>
          <w:rFonts w:ascii="Times New Roman" w:hAnsi="Times New Roman"/>
        </w:rPr>
        <w:t xml:space="preserve">must be taken </w:t>
      </w:r>
      <w:r w:rsidR="00BC24A1" w:rsidRPr="007225C9">
        <w:rPr>
          <w:rFonts w:ascii="Times New Roman" w:hAnsi="Times New Roman"/>
        </w:rPr>
        <w:t xml:space="preserve">always to have been invalid in </w:t>
      </w:r>
      <w:r w:rsidR="00322B67" w:rsidRPr="007225C9">
        <w:rPr>
          <w:rFonts w:ascii="Times New Roman" w:hAnsi="Times New Roman"/>
        </w:rPr>
        <w:t>their application to an unlawful non-citizen whose removal from Australia under s 198 has no real prospect of becoming practicable in the reasonably foreseeable future</w:t>
      </w:r>
      <w:r w:rsidR="00356E71" w:rsidRPr="007225C9">
        <w:rPr>
          <w:rFonts w:ascii="Times New Roman" w:hAnsi="Times New Roman"/>
        </w:rPr>
        <w:t>.</w:t>
      </w:r>
      <w:r w:rsidR="004A79DA" w:rsidRPr="007225C9">
        <w:rPr>
          <w:rFonts w:ascii="Times New Roman" w:hAnsi="Times New Roman"/>
        </w:rPr>
        <w:t xml:space="preserve"> </w:t>
      </w:r>
      <w:r w:rsidR="00356E71" w:rsidRPr="007225C9">
        <w:rPr>
          <w:rFonts w:ascii="Times New Roman" w:hAnsi="Times New Roman"/>
        </w:rPr>
        <w:t>To</w:t>
      </w:r>
      <w:r w:rsidR="00F244F4" w:rsidRPr="007225C9">
        <w:rPr>
          <w:rFonts w:ascii="Times New Roman" w:hAnsi="Times New Roman"/>
        </w:rPr>
        <w:t xml:space="preserve"> the extent of</w:t>
      </w:r>
      <w:r w:rsidR="00C845EA" w:rsidRPr="007225C9">
        <w:rPr>
          <w:rFonts w:ascii="Times New Roman" w:hAnsi="Times New Roman"/>
        </w:rPr>
        <w:t xml:space="preserve"> th</w:t>
      </w:r>
      <w:r w:rsidR="00B76BA8" w:rsidRPr="007225C9">
        <w:rPr>
          <w:rFonts w:ascii="Times New Roman" w:hAnsi="Times New Roman"/>
        </w:rPr>
        <w:t xml:space="preserve">at invalidity, </w:t>
      </w:r>
      <w:r w:rsidR="007A2686" w:rsidRPr="007225C9">
        <w:rPr>
          <w:rFonts w:ascii="Times New Roman" w:hAnsi="Times New Roman"/>
        </w:rPr>
        <w:t xml:space="preserve">the statutory </w:t>
      </w:r>
      <w:r w:rsidR="008A1C38" w:rsidRPr="007225C9">
        <w:rPr>
          <w:rFonts w:ascii="Times New Roman" w:hAnsi="Times New Roman"/>
        </w:rPr>
        <w:t>dut</w:t>
      </w:r>
      <w:r w:rsidR="00EB26EE" w:rsidRPr="007225C9">
        <w:rPr>
          <w:rFonts w:ascii="Times New Roman" w:hAnsi="Times New Roman"/>
        </w:rPr>
        <w:t>y</w:t>
      </w:r>
      <w:r w:rsidR="008A1C38" w:rsidRPr="007225C9">
        <w:rPr>
          <w:rFonts w:ascii="Times New Roman" w:hAnsi="Times New Roman"/>
        </w:rPr>
        <w:t xml:space="preserve"> imposed</w:t>
      </w:r>
      <w:r w:rsidR="00C63D10" w:rsidRPr="007225C9">
        <w:rPr>
          <w:rFonts w:ascii="Times New Roman" w:hAnsi="Times New Roman"/>
        </w:rPr>
        <w:t xml:space="preserve"> </w:t>
      </w:r>
      <w:r w:rsidR="008A1C38" w:rsidRPr="007225C9">
        <w:rPr>
          <w:rFonts w:ascii="Times New Roman" w:hAnsi="Times New Roman"/>
        </w:rPr>
        <w:t xml:space="preserve">by ss 189(1) and 196(1) </w:t>
      </w:r>
      <w:r w:rsidR="005815F2" w:rsidRPr="007225C9">
        <w:rPr>
          <w:rFonts w:ascii="Times New Roman" w:hAnsi="Times New Roman"/>
        </w:rPr>
        <w:t xml:space="preserve">on an "officer" within the meaning of the </w:t>
      </w:r>
      <w:r w:rsidR="005815F2" w:rsidRPr="007225C9">
        <w:rPr>
          <w:rFonts w:ascii="Times New Roman" w:hAnsi="Times New Roman"/>
          <w:i/>
          <w:iCs/>
        </w:rPr>
        <w:t>Migration Act</w:t>
      </w:r>
      <w:r w:rsidR="005815F2" w:rsidRPr="007225C9">
        <w:rPr>
          <w:rFonts w:ascii="Times New Roman" w:hAnsi="Times New Roman"/>
        </w:rPr>
        <w:t>,</w:t>
      </w:r>
      <w:r w:rsidR="009B3F93" w:rsidRPr="007225C9">
        <w:rPr>
          <w:rFonts w:ascii="Times New Roman" w:hAnsi="Times New Roman"/>
        </w:rPr>
        <w:t xml:space="preserve"> who may </w:t>
      </w:r>
      <w:r w:rsidR="007035FA" w:rsidRPr="007225C9">
        <w:rPr>
          <w:rFonts w:ascii="Times New Roman" w:hAnsi="Times New Roman"/>
        </w:rPr>
        <w:t xml:space="preserve">but need not be an </w:t>
      </w:r>
      <w:r w:rsidR="00F96BF8" w:rsidRPr="007225C9">
        <w:rPr>
          <w:rFonts w:ascii="Times New Roman" w:hAnsi="Times New Roman"/>
        </w:rPr>
        <w:t>officer</w:t>
      </w:r>
      <w:r w:rsidR="007035FA" w:rsidRPr="007225C9">
        <w:rPr>
          <w:rFonts w:ascii="Times New Roman" w:hAnsi="Times New Roman"/>
        </w:rPr>
        <w:t xml:space="preserve"> of the </w:t>
      </w:r>
      <w:r w:rsidR="00532100" w:rsidRPr="007225C9">
        <w:rPr>
          <w:rFonts w:ascii="Times New Roman" w:hAnsi="Times New Roman"/>
        </w:rPr>
        <w:t xml:space="preserve">executive government of the </w:t>
      </w:r>
      <w:r w:rsidR="002773A8" w:rsidRPr="007225C9">
        <w:rPr>
          <w:rFonts w:ascii="Times New Roman" w:hAnsi="Times New Roman"/>
        </w:rPr>
        <w:t xml:space="preserve">Commonwealth </w:t>
      </w:r>
      <w:r w:rsidR="00532100" w:rsidRPr="007225C9">
        <w:rPr>
          <w:rFonts w:ascii="Times New Roman" w:hAnsi="Times New Roman"/>
        </w:rPr>
        <w:t>employed</w:t>
      </w:r>
      <w:r w:rsidR="005764AD" w:rsidRPr="007225C9">
        <w:rPr>
          <w:rFonts w:ascii="Times New Roman" w:hAnsi="Times New Roman"/>
        </w:rPr>
        <w:t xml:space="preserve"> </w:t>
      </w:r>
      <w:r w:rsidR="002773A8" w:rsidRPr="007225C9">
        <w:rPr>
          <w:rFonts w:ascii="Times New Roman" w:hAnsi="Times New Roman"/>
        </w:rPr>
        <w:t>under the</w:t>
      </w:r>
      <w:r w:rsidR="00A57755" w:rsidRPr="007225C9">
        <w:rPr>
          <w:rFonts w:ascii="Times New Roman" w:hAnsi="Times New Roman"/>
        </w:rPr>
        <w:t xml:space="preserve"> </w:t>
      </w:r>
      <w:r w:rsidR="00A57755" w:rsidRPr="007225C9">
        <w:rPr>
          <w:rFonts w:ascii="Times New Roman" w:hAnsi="Times New Roman"/>
          <w:i/>
          <w:iCs/>
        </w:rPr>
        <w:t>Public Service Act 1999</w:t>
      </w:r>
      <w:r w:rsidR="00A57755" w:rsidRPr="007225C9">
        <w:rPr>
          <w:rFonts w:ascii="Times New Roman" w:hAnsi="Times New Roman"/>
        </w:rPr>
        <w:t xml:space="preserve"> (</w:t>
      </w:r>
      <w:proofErr w:type="spellStart"/>
      <w:r w:rsidR="00A57755" w:rsidRPr="007225C9">
        <w:rPr>
          <w:rFonts w:ascii="Times New Roman" w:hAnsi="Times New Roman"/>
        </w:rPr>
        <w:t>Cth</w:t>
      </w:r>
      <w:proofErr w:type="spellEnd"/>
      <w:r w:rsidR="00A57755" w:rsidRPr="007225C9">
        <w:rPr>
          <w:rFonts w:ascii="Times New Roman" w:hAnsi="Times New Roman"/>
        </w:rPr>
        <w:t>),</w:t>
      </w:r>
      <w:r w:rsidR="00605E3A" w:rsidRPr="007225C9">
        <w:rPr>
          <w:rStyle w:val="FootnoteReference"/>
          <w:rFonts w:ascii="Times New Roman" w:hAnsi="Times New Roman"/>
          <w:sz w:val="24"/>
        </w:rPr>
        <w:footnoteReference w:id="12"/>
      </w:r>
      <w:r w:rsidR="00A57755" w:rsidRPr="007225C9">
        <w:rPr>
          <w:rFonts w:ascii="Times New Roman" w:hAnsi="Times New Roman"/>
        </w:rPr>
        <w:t xml:space="preserve"> </w:t>
      </w:r>
      <w:r w:rsidR="008A1C38" w:rsidRPr="007225C9">
        <w:rPr>
          <w:rFonts w:ascii="Times New Roman" w:hAnsi="Times New Roman"/>
        </w:rPr>
        <w:t xml:space="preserve">to detain a person whom </w:t>
      </w:r>
      <w:r w:rsidR="00C63D10" w:rsidRPr="007225C9">
        <w:rPr>
          <w:rFonts w:ascii="Times New Roman" w:hAnsi="Times New Roman"/>
        </w:rPr>
        <w:t>the</w:t>
      </w:r>
      <w:r w:rsidR="008A1C38" w:rsidRPr="007225C9">
        <w:rPr>
          <w:rFonts w:ascii="Times New Roman" w:hAnsi="Times New Roman"/>
        </w:rPr>
        <w:t xml:space="preserve"> officer reasonably suspect</w:t>
      </w:r>
      <w:r w:rsidR="00733B5C" w:rsidRPr="007225C9">
        <w:rPr>
          <w:rFonts w:ascii="Times New Roman" w:hAnsi="Times New Roman"/>
        </w:rPr>
        <w:t>s</w:t>
      </w:r>
      <w:r w:rsidR="008A1C38" w:rsidRPr="007225C9">
        <w:rPr>
          <w:rFonts w:ascii="Times New Roman" w:hAnsi="Times New Roman"/>
        </w:rPr>
        <w:t xml:space="preserve"> to be an unlawful non-citizen</w:t>
      </w:r>
      <w:r w:rsidR="004E3D17" w:rsidRPr="007225C9">
        <w:rPr>
          <w:rFonts w:ascii="Times New Roman" w:hAnsi="Times New Roman"/>
        </w:rPr>
        <w:t xml:space="preserve"> </w:t>
      </w:r>
      <w:r w:rsidR="008E466D" w:rsidRPr="007225C9">
        <w:rPr>
          <w:rFonts w:ascii="Times New Roman" w:hAnsi="Times New Roman"/>
        </w:rPr>
        <w:t xml:space="preserve">must be taken </w:t>
      </w:r>
      <w:r w:rsidR="007B785A" w:rsidRPr="007225C9">
        <w:rPr>
          <w:rFonts w:ascii="Times New Roman" w:hAnsi="Times New Roman"/>
        </w:rPr>
        <w:t xml:space="preserve">always </w:t>
      </w:r>
      <w:r w:rsidR="00B02ABD" w:rsidRPr="007225C9">
        <w:rPr>
          <w:rFonts w:ascii="Times New Roman" w:hAnsi="Times New Roman"/>
        </w:rPr>
        <w:t xml:space="preserve">to </w:t>
      </w:r>
      <w:r w:rsidR="00400168" w:rsidRPr="007225C9">
        <w:rPr>
          <w:rFonts w:ascii="Times New Roman" w:hAnsi="Times New Roman"/>
        </w:rPr>
        <w:t>have been</w:t>
      </w:r>
      <w:r w:rsidR="00764AE3" w:rsidRPr="007225C9">
        <w:rPr>
          <w:rFonts w:ascii="Times New Roman" w:hAnsi="Times New Roman"/>
        </w:rPr>
        <w:t xml:space="preserve"> incapable </w:t>
      </w:r>
      <w:r w:rsidR="00764AE3" w:rsidRPr="007225C9">
        <w:rPr>
          <w:rFonts w:ascii="Times New Roman" w:hAnsi="Times New Roman"/>
        </w:rPr>
        <w:lastRenderedPageBreak/>
        <w:t xml:space="preserve">of </w:t>
      </w:r>
      <w:r w:rsidR="0059070F" w:rsidRPr="007225C9">
        <w:rPr>
          <w:rFonts w:ascii="Times New Roman" w:hAnsi="Times New Roman"/>
        </w:rPr>
        <w:t>providing lawful justification for</w:t>
      </w:r>
      <w:r w:rsidR="006B2595" w:rsidRPr="007225C9">
        <w:rPr>
          <w:rFonts w:ascii="Times New Roman" w:hAnsi="Times New Roman"/>
        </w:rPr>
        <w:t xml:space="preserve"> </w:t>
      </w:r>
      <w:r w:rsidR="00F244F4" w:rsidRPr="007225C9">
        <w:rPr>
          <w:rFonts w:ascii="Times New Roman" w:hAnsi="Times New Roman"/>
        </w:rPr>
        <w:t>detention</w:t>
      </w:r>
      <w:r w:rsidR="006B2595" w:rsidRPr="007225C9">
        <w:rPr>
          <w:rFonts w:ascii="Times New Roman" w:hAnsi="Times New Roman"/>
        </w:rPr>
        <w:t xml:space="preserve"> </w:t>
      </w:r>
      <w:r w:rsidR="00B72084" w:rsidRPr="007225C9">
        <w:rPr>
          <w:rFonts w:ascii="Times New Roman" w:hAnsi="Times New Roman"/>
        </w:rPr>
        <w:t>in reliance on th</w:t>
      </w:r>
      <w:r w:rsidR="00735FBE" w:rsidRPr="007225C9">
        <w:rPr>
          <w:rFonts w:ascii="Times New Roman" w:hAnsi="Times New Roman"/>
        </w:rPr>
        <w:t>ose provisions</w:t>
      </w:r>
      <w:r w:rsidR="00921C64" w:rsidRPr="007225C9">
        <w:rPr>
          <w:rFonts w:ascii="Times New Roman" w:hAnsi="Times New Roman"/>
        </w:rPr>
        <w:t xml:space="preserve"> and can therefore</w:t>
      </w:r>
      <w:r w:rsidR="006C085E" w:rsidRPr="007225C9">
        <w:rPr>
          <w:rFonts w:ascii="Times New Roman" w:hAnsi="Times New Roman"/>
        </w:rPr>
        <w:t xml:space="preserve"> </w:t>
      </w:r>
      <w:r w:rsidR="00921C64" w:rsidRPr="007225C9">
        <w:rPr>
          <w:rFonts w:ascii="Times New Roman" w:hAnsi="Times New Roman"/>
        </w:rPr>
        <w:t xml:space="preserve">furnish </w:t>
      </w:r>
      <w:r w:rsidR="00F13B7E" w:rsidRPr="007225C9">
        <w:rPr>
          <w:rFonts w:ascii="Times New Roman" w:hAnsi="Times New Roman"/>
        </w:rPr>
        <w:t xml:space="preserve">no answer to a </w:t>
      </w:r>
      <w:r w:rsidR="00CE5FB0" w:rsidRPr="007225C9">
        <w:rPr>
          <w:rFonts w:ascii="Times New Roman" w:hAnsi="Times New Roman"/>
        </w:rPr>
        <w:t xml:space="preserve">common law action </w:t>
      </w:r>
      <w:r w:rsidR="00D6494F" w:rsidRPr="007225C9">
        <w:rPr>
          <w:rFonts w:ascii="Times New Roman" w:hAnsi="Times New Roman"/>
        </w:rPr>
        <w:t xml:space="preserve">in false imprisonment </w:t>
      </w:r>
      <w:r w:rsidR="00E55308" w:rsidRPr="007225C9">
        <w:rPr>
          <w:rFonts w:ascii="Times New Roman" w:hAnsi="Times New Roman"/>
        </w:rPr>
        <w:t xml:space="preserve">against </w:t>
      </w:r>
      <w:r w:rsidR="00A9776B" w:rsidRPr="007225C9">
        <w:rPr>
          <w:rFonts w:ascii="Times New Roman" w:hAnsi="Times New Roman"/>
        </w:rPr>
        <w:t>the</w:t>
      </w:r>
      <w:r w:rsidR="00CE1B9F" w:rsidRPr="007225C9">
        <w:rPr>
          <w:rFonts w:ascii="Times New Roman" w:hAnsi="Times New Roman"/>
        </w:rPr>
        <w:t xml:space="preserve"> </w:t>
      </w:r>
      <w:r w:rsidR="009F3BCE" w:rsidRPr="007225C9">
        <w:rPr>
          <w:rFonts w:ascii="Times New Roman" w:hAnsi="Times New Roman"/>
        </w:rPr>
        <w:t xml:space="preserve">detaining </w:t>
      </w:r>
      <w:r w:rsidR="0084434E" w:rsidRPr="007225C9">
        <w:rPr>
          <w:rFonts w:ascii="Times New Roman" w:hAnsi="Times New Roman"/>
        </w:rPr>
        <w:t>officer</w:t>
      </w:r>
      <w:r w:rsidR="00535B2D" w:rsidRPr="007225C9">
        <w:rPr>
          <w:rFonts w:ascii="Times New Roman" w:hAnsi="Times New Roman"/>
        </w:rPr>
        <w:t xml:space="preserve">. That is so even if the detention occurred </w:t>
      </w:r>
      <w:r w:rsidR="00C64A4B" w:rsidRPr="007225C9">
        <w:rPr>
          <w:rFonts w:ascii="Times New Roman" w:hAnsi="Times New Roman"/>
        </w:rPr>
        <w:t xml:space="preserve">during a period after the decision in </w:t>
      </w:r>
      <w:r w:rsidR="00EE6ACE" w:rsidRPr="007225C9">
        <w:rPr>
          <w:rFonts w:ascii="Times New Roman" w:hAnsi="Times New Roman"/>
          <w:i/>
          <w:iCs/>
        </w:rPr>
        <w:t>Al-Kateb</w:t>
      </w:r>
      <w:r w:rsidR="00B7246A" w:rsidRPr="007225C9">
        <w:rPr>
          <w:rFonts w:ascii="Times New Roman" w:hAnsi="Times New Roman"/>
          <w:i/>
          <w:iCs/>
        </w:rPr>
        <w:t xml:space="preserve"> </w:t>
      </w:r>
      <w:r w:rsidR="00B7246A" w:rsidRPr="007225C9">
        <w:rPr>
          <w:rFonts w:ascii="Times New Roman" w:hAnsi="Times New Roman"/>
        </w:rPr>
        <w:t xml:space="preserve">and before the decision in </w:t>
      </w:r>
      <w:r w:rsidR="00B7246A" w:rsidRPr="007225C9">
        <w:rPr>
          <w:rFonts w:ascii="Times New Roman" w:hAnsi="Times New Roman"/>
          <w:i/>
          <w:iCs/>
        </w:rPr>
        <w:t>NZYQ</w:t>
      </w:r>
      <w:r w:rsidR="000843BB" w:rsidRPr="007225C9">
        <w:rPr>
          <w:rFonts w:ascii="Times New Roman" w:hAnsi="Times New Roman"/>
        </w:rPr>
        <w:t>.</w:t>
      </w:r>
    </w:p>
    <w:p w14:paraId="6056D73D" w14:textId="203FA1A1" w:rsidR="00C14FA1" w:rsidRPr="007225C9" w:rsidRDefault="00A118A7" w:rsidP="007225C9">
      <w:pPr>
        <w:pStyle w:val="FixListStyle"/>
        <w:spacing w:after="260" w:line="280" w:lineRule="exact"/>
        <w:ind w:right="0"/>
        <w:jc w:val="both"/>
        <w:rPr>
          <w:rFonts w:ascii="Times New Roman" w:hAnsi="Times New Roman"/>
        </w:rPr>
      </w:pPr>
      <w:r w:rsidRPr="007225C9">
        <w:rPr>
          <w:rFonts w:ascii="Times New Roman" w:hAnsi="Times New Roman"/>
        </w:rPr>
        <w:tab/>
      </w:r>
      <w:r w:rsidR="00774F94" w:rsidRPr="007225C9">
        <w:rPr>
          <w:rFonts w:ascii="Times New Roman" w:hAnsi="Times New Roman"/>
        </w:rPr>
        <w:t xml:space="preserve">The </w:t>
      </w:r>
      <w:r w:rsidR="00F30ECE" w:rsidRPr="007225C9">
        <w:rPr>
          <w:rFonts w:ascii="Times New Roman" w:hAnsi="Times New Roman"/>
        </w:rPr>
        <w:t xml:space="preserve">sole </w:t>
      </w:r>
      <w:r w:rsidR="009970C3" w:rsidRPr="007225C9">
        <w:rPr>
          <w:rFonts w:ascii="Times New Roman" w:hAnsi="Times New Roman"/>
        </w:rPr>
        <w:t xml:space="preserve">question </w:t>
      </w:r>
      <w:r w:rsidR="004777F2" w:rsidRPr="007225C9">
        <w:rPr>
          <w:rFonts w:ascii="Times New Roman" w:hAnsi="Times New Roman"/>
        </w:rPr>
        <w:t xml:space="preserve">reserved </w:t>
      </w:r>
      <w:r w:rsidR="009970C3" w:rsidRPr="007225C9">
        <w:rPr>
          <w:rFonts w:ascii="Times New Roman" w:hAnsi="Times New Roman"/>
        </w:rPr>
        <w:t>for</w:t>
      </w:r>
      <w:r w:rsidR="00B046E8" w:rsidRPr="007225C9">
        <w:rPr>
          <w:rFonts w:ascii="Times New Roman" w:hAnsi="Times New Roman"/>
        </w:rPr>
        <w:t xml:space="preserve"> </w:t>
      </w:r>
      <w:r w:rsidR="009970C3" w:rsidRPr="007225C9">
        <w:rPr>
          <w:rFonts w:ascii="Times New Roman" w:hAnsi="Times New Roman"/>
        </w:rPr>
        <w:t xml:space="preserve">determination by </w:t>
      </w:r>
      <w:r w:rsidR="00A6310F" w:rsidRPr="007225C9">
        <w:rPr>
          <w:rFonts w:ascii="Times New Roman" w:hAnsi="Times New Roman"/>
        </w:rPr>
        <w:t>this</w:t>
      </w:r>
      <w:r w:rsidR="00185EDD" w:rsidRPr="007225C9">
        <w:rPr>
          <w:rFonts w:ascii="Times New Roman" w:hAnsi="Times New Roman"/>
        </w:rPr>
        <w:t xml:space="preserve"> </w:t>
      </w:r>
      <w:r w:rsidR="00B046E8" w:rsidRPr="007225C9">
        <w:rPr>
          <w:rFonts w:ascii="Times New Roman" w:hAnsi="Times New Roman"/>
        </w:rPr>
        <w:t xml:space="preserve">special case </w:t>
      </w:r>
      <w:r w:rsidR="00185EDD" w:rsidRPr="007225C9">
        <w:rPr>
          <w:rFonts w:ascii="Times New Roman" w:hAnsi="Times New Roman"/>
        </w:rPr>
        <w:t>in a proceeding in the original jurisdiction of th</w:t>
      </w:r>
      <w:r w:rsidR="004C7FBB" w:rsidRPr="007225C9">
        <w:rPr>
          <w:rFonts w:ascii="Times New Roman" w:hAnsi="Times New Roman"/>
        </w:rPr>
        <w:t>is</w:t>
      </w:r>
      <w:r w:rsidR="00185EDD" w:rsidRPr="007225C9">
        <w:rPr>
          <w:rFonts w:ascii="Times New Roman" w:hAnsi="Times New Roman"/>
        </w:rPr>
        <w:t xml:space="preserve"> Court is </w:t>
      </w:r>
      <w:r w:rsidR="00ED300D" w:rsidRPr="007225C9">
        <w:rPr>
          <w:rFonts w:ascii="Times New Roman" w:hAnsi="Times New Roman"/>
        </w:rPr>
        <w:t xml:space="preserve">whether </w:t>
      </w:r>
      <w:r w:rsidR="00827B37" w:rsidRPr="007225C9">
        <w:rPr>
          <w:rFonts w:ascii="Times New Roman" w:hAnsi="Times New Roman"/>
        </w:rPr>
        <w:t xml:space="preserve">that </w:t>
      </w:r>
      <w:r w:rsidR="00210CD9" w:rsidRPr="007225C9">
        <w:rPr>
          <w:rFonts w:ascii="Times New Roman" w:hAnsi="Times New Roman"/>
        </w:rPr>
        <w:t xml:space="preserve">exposure of the detaining officer to liability </w:t>
      </w:r>
      <w:r w:rsidR="00E7221D" w:rsidRPr="007225C9">
        <w:rPr>
          <w:rFonts w:ascii="Times New Roman" w:hAnsi="Times New Roman"/>
        </w:rPr>
        <w:t xml:space="preserve">for the tort </w:t>
      </w:r>
      <w:r w:rsidR="00CE02FB" w:rsidRPr="007225C9">
        <w:rPr>
          <w:rFonts w:ascii="Times New Roman" w:hAnsi="Times New Roman"/>
        </w:rPr>
        <w:t xml:space="preserve">of </w:t>
      </w:r>
      <w:r w:rsidR="00E7221D" w:rsidRPr="007225C9">
        <w:rPr>
          <w:rFonts w:ascii="Times New Roman" w:hAnsi="Times New Roman"/>
        </w:rPr>
        <w:t>false imprisonment</w:t>
      </w:r>
      <w:r w:rsidR="00827B37" w:rsidRPr="007225C9">
        <w:rPr>
          <w:rFonts w:ascii="Times New Roman" w:hAnsi="Times New Roman"/>
        </w:rPr>
        <w:t xml:space="preserve"> </w:t>
      </w:r>
      <w:r w:rsidR="00194E3F" w:rsidRPr="007225C9">
        <w:rPr>
          <w:rFonts w:ascii="Times New Roman" w:hAnsi="Times New Roman"/>
        </w:rPr>
        <w:t>should</w:t>
      </w:r>
      <w:r w:rsidR="00CF3A4F" w:rsidRPr="007225C9">
        <w:rPr>
          <w:rFonts w:ascii="Times New Roman" w:hAnsi="Times New Roman"/>
        </w:rPr>
        <w:t xml:space="preserve"> be ameliorated</w:t>
      </w:r>
      <w:r w:rsidR="00726CFC" w:rsidRPr="007225C9">
        <w:rPr>
          <w:rFonts w:ascii="Times New Roman" w:hAnsi="Times New Roman"/>
        </w:rPr>
        <w:t xml:space="preserve"> </w:t>
      </w:r>
      <w:r w:rsidR="00CF3A4F" w:rsidRPr="007225C9">
        <w:rPr>
          <w:rFonts w:ascii="Times New Roman" w:hAnsi="Times New Roman"/>
        </w:rPr>
        <w:t xml:space="preserve">by recognition of </w:t>
      </w:r>
      <w:r w:rsidR="009B70EF" w:rsidRPr="007225C9">
        <w:rPr>
          <w:rFonts w:ascii="Times New Roman" w:hAnsi="Times New Roman"/>
        </w:rPr>
        <w:t xml:space="preserve">a </w:t>
      </w:r>
      <w:r w:rsidR="00770FFA" w:rsidRPr="007225C9">
        <w:rPr>
          <w:rFonts w:ascii="Times New Roman" w:hAnsi="Times New Roman"/>
        </w:rPr>
        <w:t xml:space="preserve">novel </w:t>
      </w:r>
      <w:r w:rsidR="00587970" w:rsidRPr="007225C9">
        <w:rPr>
          <w:rFonts w:ascii="Times New Roman" w:hAnsi="Times New Roman"/>
        </w:rPr>
        <w:t xml:space="preserve">common law </w:t>
      </w:r>
      <w:r w:rsidR="009B70EF" w:rsidRPr="007225C9">
        <w:rPr>
          <w:rFonts w:ascii="Times New Roman" w:hAnsi="Times New Roman"/>
        </w:rPr>
        <w:t>defence</w:t>
      </w:r>
      <w:r w:rsidR="00186AC3" w:rsidRPr="007225C9">
        <w:rPr>
          <w:rFonts w:ascii="Times New Roman" w:hAnsi="Times New Roman"/>
        </w:rPr>
        <w:t>.</w:t>
      </w:r>
      <w:r w:rsidR="00231944" w:rsidRPr="007225C9">
        <w:rPr>
          <w:rFonts w:ascii="Times New Roman" w:hAnsi="Times New Roman"/>
        </w:rPr>
        <w:t xml:space="preserve"> The </w:t>
      </w:r>
      <w:r w:rsidR="008649F1" w:rsidRPr="007225C9">
        <w:rPr>
          <w:rFonts w:ascii="Times New Roman" w:hAnsi="Times New Roman"/>
        </w:rPr>
        <w:t xml:space="preserve">propounded </w:t>
      </w:r>
      <w:r w:rsidR="00855116" w:rsidRPr="007225C9">
        <w:rPr>
          <w:rFonts w:ascii="Times New Roman" w:hAnsi="Times New Roman"/>
        </w:rPr>
        <w:t>defence</w:t>
      </w:r>
      <w:r w:rsidR="00597354" w:rsidRPr="007225C9">
        <w:rPr>
          <w:rFonts w:ascii="Times New Roman" w:hAnsi="Times New Roman"/>
        </w:rPr>
        <w:t xml:space="preserve">, </w:t>
      </w:r>
      <w:r w:rsidR="00A25FB7" w:rsidRPr="007225C9">
        <w:rPr>
          <w:rFonts w:ascii="Times New Roman" w:hAnsi="Times New Roman"/>
        </w:rPr>
        <w:t>of uncertain scope</w:t>
      </w:r>
      <w:r w:rsidR="00597354" w:rsidRPr="007225C9">
        <w:rPr>
          <w:rFonts w:ascii="Times New Roman" w:hAnsi="Times New Roman"/>
        </w:rPr>
        <w:t xml:space="preserve">, is </w:t>
      </w:r>
      <w:r w:rsidR="000874F7" w:rsidRPr="007225C9">
        <w:rPr>
          <w:rFonts w:ascii="Times New Roman" w:hAnsi="Times New Roman"/>
        </w:rPr>
        <w:t xml:space="preserve">argued </w:t>
      </w:r>
      <w:r w:rsidR="00AE1A5E" w:rsidRPr="007225C9">
        <w:rPr>
          <w:rFonts w:ascii="Times New Roman" w:hAnsi="Times New Roman"/>
        </w:rPr>
        <w:t xml:space="preserve">by the Commonwealth </w:t>
      </w:r>
      <w:r w:rsidR="000874F7" w:rsidRPr="007225C9">
        <w:rPr>
          <w:rFonts w:ascii="Times New Roman" w:hAnsi="Times New Roman"/>
        </w:rPr>
        <w:t xml:space="preserve">to </w:t>
      </w:r>
      <w:r w:rsidR="0017059E" w:rsidRPr="007225C9">
        <w:rPr>
          <w:rFonts w:ascii="Times New Roman" w:hAnsi="Times New Roman"/>
        </w:rPr>
        <w:t xml:space="preserve">be available </w:t>
      </w:r>
      <w:r w:rsidR="00321A42" w:rsidRPr="007225C9">
        <w:rPr>
          <w:rFonts w:ascii="Times New Roman" w:hAnsi="Times New Roman"/>
        </w:rPr>
        <w:t>at least to</w:t>
      </w:r>
      <w:r w:rsidR="00E46C3B" w:rsidRPr="007225C9">
        <w:rPr>
          <w:rFonts w:ascii="Times New Roman" w:hAnsi="Times New Roman"/>
        </w:rPr>
        <w:t xml:space="preserve"> </w:t>
      </w:r>
      <w:r w:rsidR="001219DB" w:rsidRPr="007225C9">
        <w:rPr>
          <w:rFonts w:ascii="Times New Roman" w:hAnsi="Times New Roman"/>
        </w:rPr>
        <w:t>an</w:t>
      </w:r>
      <w:r w:rsidR="009C78E9" w:rsidRPr="007225C9">
        <w:rPr>
          <w:rFonts w:ascii="Times New Roman" w:hAnsi="Times New Roman"/>
        </w:rPr>
        <w:t xml:space="preserve"> officer of </w:t>
      </w:r>
      <w:r w:rsidR="00321A42" w:rsidRPr="007225C9">
        <w:rPr>
          <w:rFonts w:ascii="Times New Roman" w:hAnsi="Times New Roman"/>
        </w:rPr>
        <w:t>the</w:t>
      </w:r>
      <w:r w:rsidR="009C78E9" w:rsidRPr="007225C9">
        <w:rPr>
          <w:rFonts w:ascii="Times New Roman" w:hAnsi="Times New Roman"/>
        </w:rPr>
        <w:t xml:space="preserve"> executive government </w:t>
      </w:r>
      <w:r w:rsidR="00321A42" w:rsidRPr="007225C9">
        <w:rPr>
          <w:rFonts w:ascii="Times New Roman" w:hAnsi="Times New Roman"/>
        </w:rPr>
        <w:t>of the Commonwealth</w:t>
      </w:r>
      <w:r w:rsidR="00BC7876" w:rsidRPr="007225C9">
        <w:rPr>
          <w:rFonts w:ascii="Times New Roman" w:hAnsi="Times New Roman"/>
        </w:rPr>
        <w:t xml:space="preserve"> </w:t>
      </w:r>
      <w:r w:rsidR="001A4782" w:rsidRPr="007225C9">
        <w:rPr>
          <w:rFonts w:ascii="Times New Roman" w:hAnsi="Times New Roman"/>
        </w:rPr>
        <w:t xml:space="preserve">who is </w:t>
      </w:r>
      <w:r w:rsidR="00BC7876" w:rsidRPr="007225C9">
        <w:rPr>
          <w:rFonts w:ascii="Times New Roman" w:hAnsi="Times New Roman"/>
        </w:rPr>
        <w:t xml:space="preserve">employed under the </w:t>
      </w:r>
      <w:r w:rsidR="00BC7876" w:rsidRPr="007225C9">
        <w:rPr>
          <w:rFonts w:ascii="Times New Roman" w:hAnsi="Times New Roman"/>
          <w:i/>
          <w:iCs/>
        </w:rPr>
        <w:t>Public Service Act</w:t>
      </w:r>
      <w:r w:rsidR="00321A42" w:rsidRPr="007225C9">
        <w:rPr>
          <w:rFonts w:ascii="Times New Roman" w:hAnsi="Times New Roman"/>
        </w:rPr>
        <w:t xml:space="preserve"> </w:t>
      </w:r>
      <w:r w:rsidR="00FD5106" w:rsidRPr="007225C9">
        <w:rPr>
          <w:rFonts w:ascii="Times New Roman" w:hAnsi="Times New Roman"/>
        </w:rPr>
        <w:t xml:space="preserve">and </w:t>
      </w:r>
      <w:r w:rsidR="00321A42" w:rsidRPr="007225C9">
        <w:rPr>
          <w:rFonts w:ascii="Times New Roman" w:hAnsi="Times New Roman"/>
        </w:rPr>
        <w:t xml:space="preserve">who </w:t>
      </w:r>
      <w:r w:rsidR="00770FFA" w:rsidRPr="007225C9">
        <w:rPr>
          <w:rFonts w:ascii="Times New Roman" w:hAnsi="Times New Roman"/>
        </w:rPr>
        <w:t xml:space="preserve">acted </w:t>
      </w:r>
      <w:r w:rsidR="00A85A7C" w:rsidRPr="007225C9">
        <w:rPr>
          <w:rFonts w:ascii="Times New Roman" w:hAnsi="Times New Roman"/>
        </w:rPr>
        <w:t xml:space="preserve">in </w:t>
      </w:r>
      <w:r w:rsidR="00620CD9" w:rsidRPr="007225C9">
        <w:rPr>
          <w:rFonts w:ascii="Times New Roman" w:hAnsi="Times New Roman"/>
        </w:rPr>
        <w:t xml:space="preserve">the </w:t>
      </w:r>
      <w:r w:rsidR="00E935A1" w:rsidRPr="007225C9">
        <w:rPr>
          <w:rFonts w:ascii="Times New Roman" w:hAnsi="Times New Roman"/>
        </w:rPr>
        <w:t xml:space="preserve">purported </w:t>
      </w:r>
      <w:r w:rsidR="00620CD9" w:rsidRPr="007225C9">
        <w:rPr>
          <w:rFonts w:ascii="Times New Roman" w:hAnsi="Times New Roman"/>
        </w:rPr>
        <w:t xml:space="preserve">performance of </w:t>
      </w:r>
      <w:r w:rsidR="009E41CC" w:rsidRPr="007225C9">
        <w:rPr>
          <w:rFonts w:ascii="Times New Roman" w:hAnsi="Times New Roman"/>
        </w:rPr>
        <w:t>a statutory duty</w:t>
      </w:r>
      <w:r w:rsidR="00CE02FB" w:rsidRPr="007225C9">
        <w:rPr>
          <w:rFonts w:ascii="Times New Roman" w:hAnsi="Times New Roman"/>
        </w:rPr>
        <w:t xml:space="preserve"> to detain</w:t>
      </w:r>
      <w:r w:rsidR="009E41CC" w:rsidRPr="007225C9">
        <w:rPr>
          <w:rFonts w:ascii="Times New Roman" w:hAnsi="Times New Roman"/>
        </w:rPr>
        <w:t xml:space="preserve"> </w:t>
      </w:r>
      <w:r w:rsidR="004F72DA" w:rsidRPr="007225C9">
        <w:rPr>
          <w:rFonts w:ascii="Times New Roman" w:hAnsi="Times New Roman"/>
        </w:rPr>
        <w:t xml:space="preserve">in </w:t>
      </w:r>
      <w:r w:rsidR="00A85A7C" w:rsidRPr="007225C9">
        <w:rPr>
          <w:rFonts w:ascii="Times New Roman" w:hAnsi="Times New Roman"/>
        </w:rPr>
        <w:t xml:space="preserve">conformity with </w:t>
      </w:r>
      <w:r w:rsidR="00C32006" w:rsidRPr="007225C9">
        <w:rPr>
          <w:rFonts w:ascii="Times New Roman" w:hAnsi="Times New Roman"/>
        </w:rPr>
        <w:t xml:space="preserve">the law </w:t>
      </w:r>
      <w:r w:rsidR="00C4358D" w:rsidRPr="007225C9">
        <w:rPr>
          <w:rFonts w:ascii="Times New Roman" w:hAnsi="Times New Roman"/>
        </w:rPr>
        <w:t xml:space="preserve">as declared in </w:t>
      </w:r>
      <w:r w:rsidR="00A85A7C" w:rsidRPr="007225C9">
        <w:rPr>
          <w:rFonts w:ascii="Times New Roman" w:hAnsi="Times New Roman"/>
        </w:rPr>
        <w:t>a prior de</w:t>
      </w:r>
      <w:r w:rsidR="00C32006" w:rsidRPr="007225C9">
        <w:rPr>
          <w:rFonts w:ascii="Times New Roman" w:hAnsi="Times New Roman"/>
        </w:rPr>
        <w:t>cision</w:t>
      </w:r>
      <w:r w:rsidR="00A85A7C" w:rsidRPr="007225C9">
        <w:rPr>
          <w:rFonts w:ascii="Times New Roman" w:hAnsi="Times New Roman"/>
        </w:rPr>
        <w:t xml:space="preserve"> of </w:t>
      </w:r>
      <w:r w:rsidR="00C32006" w:rsidRPr="007225C9">
        <w:rPr>
          <w:rFonts w:ascii="Times New Roman" w:hAnsi="Times New Roman"/>
        </w:rPr>
        <w:t>this Court</w:t>
      </w:r>
      <w:r w:rsidR="00380F5C" w:rsidRPr="007225C9">
        <w:rPr>
          <w:rFonts w:ascii="Times New Roman" w:hAnsi="Times New Roman"/>
        </w:rPr>
        <w:t xml:space="preserve"> </w:t>
      </w:r>
      <w:r w:rsidR="00597C6A" w:rsidRPr="007225C9">
        <w:rPr>
          <w:rFonts w:ascii="Times New Roman" w:hAnsi="Times New Roman"/>
        </w:rPr>
        <w:t xml:space="preserve">which has been </w:t>
      </w:r>
      <w:r w:rsidR="00A85A7C" w:rsidRPr="007225C9">
        <w:rPr>
          <w:rFonts w:ascii="Times New Roman" w:hAnsi="Times New Roman"/>
        </w:rPr>
        <w:t xml:space="preserve">held </w:t>
      </w:r>
      <w:r w:rsidR="002F6371" w:rsidRPr="007225C9">
        <w:rPr>
          <w:rFonts w:ascii="Times New Roman" w:hAnsi="Times New Roman"/>
        </w:rPr>
        <w:t>in</w:t>
      </w:r>
      <w:r w:rsidR="002A5858" w:rsidRPr="007225C9">
        <w:rPr>
          <w:rFonts w:ascii="Times New Roman" w:hAnsi="Times New Roman"/>
        </w:rPr>
        <w:t xml:space="preserve"> a subsequent decision of this Court </w:t>
      </w:r>
      <w:r w:rsidR="00A85A7C" w:rsidRPr="007225C9">
        <w:rPr>
          <w:rFonts w:ascii="Times New Roman" w:hAnsi="Times New Roman"/>
        </w:rPr>
        <w:t xml:space="preserve">to </w:t>
      </w:r>
      <w:r w:rsidR="002A5858" w:rsidRPr="007225C9">
        <w:rPr>
          <w:rFonts w:ascii="Times New Roman" w:hAnsi="Times New Roman"/>
        </w:rPr>
        <w:t xml:space="preserve">have </w:t>
      </w:r>
      <w:r w:rsidR="00A85A7C" w:rsidRPr="007225C9">
        <w:rPr>
          <w:rFonts w:ascii="Times New Roman" w:hAnsi="Times New Roman"/>
        </w:rPr>
        <w:t>be</w:t>
      </w:r>
      <w:r w:rsidR="002A5858" w:rsidRPr="007225C9">
        <w:rPr>
          <w:rFonts w:ascii="Times New Roman" w:hAnsi="Times New Roman"/>
        </w:rPr>
        <w:t>en</w:t>
      </w:r>
      <w:r w:rsidR="00A85A7C" w:rsidRPr="007225C9">
        <w:rPr>
          <w:rFonts w:ascii="Times New Roman" w:hAnsi="Times New Roman"/>
        </w:rPr>
        <w:t xml:space="preserve"> erroneous. </w:t>
      </w:r>
    </w:p>
    <w:p w14:paraId="5C9D2D29" w14:textId="2613A525" w:rsidR="00A73989" w:rsidRPr="007225C9" w:rsidRDefault="00C14FA1" w:rsidP="007225C9">
      <w:pPr>
        <w:pStyle w:val="FixListStyle"/>
        <w:spacing w:after="260" w:line="280" w:lineRule="exact"/>
        <w:ind w:right="0"/>
        <w:jc w:val="both"/>
        <w:rPr>
          <w:rFonts w:ascii="Times New Roman" w:hAnsi="Times New Roman"/>
        </w:rPr>
      </w:pPr>
      <w:r w:rsidRPr="007225C9">
        <w:rPr>
          <w:rFonts w:ascii="Times New Roman" w:hAnsi="Times New Roman"/>
        </w:rPr>
        <w:tab/>
      </w:r>
      <w:r w:rsidR="00462922" w:rsidRPr="007225C9">
        <w:rPr>
          <w:rFonts w:ascii="Times New Roman" w:hAnsi="Times New Roman"/>
        </w:rPr>
        <w:t>N</w:t>
      </w:r>
      <w:r w:rsidR="002470C0" w:rsidRPr="007225C9">
        <w:rPr>
          <w:rFonts w:ascii="Times New Roman" w:hAnsi="Times New Roman"/>
        </w:rPr>
        <w:t xml:space="preserve">o </w:t>
      </w:r>
      <w:r w:rsidR="002D7A9F" w:rsidRPr="007225C9">
        <w:rPr>
          <w:rFonts w:ascii="Times New Roman" w:hAnsi="Times New Roman"/>
        </w:rPr>
        <w:t xml:space="preserve">such </w:t>
      </w:r>
      <w:r w:rsidR="00D769F4" w:rsidRPr="007225C9">
        <w:rPr>
          <w:rFonts w:ascii="Times New Roman" w:hAnsi="Times New Roman"/>
        </w:rPr>
        <w:t xml:space="preserve">common law </w:t>
      </w:r>
      <w:r w:rsidR="00C36887" w:rsidRPr="007225C9">
        <w:rPr>
          <w:rFonts w:ascii="Times New Roman" w:hAnsi="Times New Roman"/>
        </w:rPr>
        <w:t>defence</w:t>
      </w:r>
      <w:r w:rsidR="0025289D" w:rsidRPr="007225C9">
        <w:rPr>
          <w:rFonts w:ascii="Times New Roman" w:hAnsi="Times New Roman"/>
        </w:rPr>
        <w:t xml:space="preserve"> should</w:t>
      </w:r>
      <w:r w:rsidR="00C36887" w:rsidRPr="007225C9">
        <w:rPr>
          <w:rFonts w:ascii="Times New Roman" w:hAnsi="Times New Roman"/>
        </w:rPr>
        <w:t xml:space="preserve"> b</w:t>
      </w:r>
      <w:r w:rsidR="00855116" w:rsidRPr="007225C9">
        <w:rPr>
          <w:rFonts w:ascii="Times New Roman" w:hAnsi="Times New Roman"/>
        </w:rPr>
        <w:t>e</w:t>
      </w:r>
      <w:r w:rsidR="00C36887" w:rsidRPr="007225C9">
        <w:rPr>
          <w:rFonts w:ascii="Times New Roman" w:hAnsi="Times New Roman"/>
        </w:rPr>
        <w:t xml:space="preserve"> recognised</w:t>
      </w:r>
      <w:r w:rsidR="0025289D" w:rsidRPr="007225C9">
        <w:rPr>
          <w:rFonts w:ascii="Times New Roman" w:hAnsi="Times New Roman"/>
        </w:rPr>
        <w:t>.</w:t>
      </w:r>
      <w:r w:rsidR="00462922" w:rsidRPr="007225C9">
        <w:rPr>
          <w:rFonts w:ascii="Times New Roman" w:hAnsi="Times New Roman"/>
        </w:rPr>
        <w:t xml:space="preserve"> </w:t>
      </w:r>
      <w:r w:rsidR="00FA372E" w:rsidRPr="007225C9">
        <w:rPr>
          <w:rFonts w:ascii="Times New Roman" w:hAnsi="Times New Roman"/>
        </w:rPr>
        <w:t>No</w:t>
      </w:r>
      <w:r w:rsidR="00462922" w:rsidRPr="007225C9">
        <w:rPr>
          <w:rFonts w:ascii="Times New Roman" w:hAnsi="Times New Roman"/>
        </w:rPr>
        <w:t xml:space="preserve"> development of the common law </w:t>
      </w:r>
      <w:r w:rsidR="00FA372E" w:rsidRPr="007225C9">
        <w:rPr>
          <w:rFonts w:ascii="Times New Roman" w:hAnsi="Times New Roman"/>
        </w:rPr>
        <w:t>can</w:t>
      </w:r>
      <w:r w:rsidR="00462922" w:rsidRPr="007225C9">
        <w:rPr>
          <w:rFonts w:ascii="Times New Roman" w:hAnsi="Times New Roman"/>
        </w:rPr>
        <w:t xml:space="preserve"> be </w:t>
      </w:r>
      <w:r w:rsidR="00FA372E" w:rsidRPr="007225C9">
        <w:rPr>
          <w:rFonts w:ascii="Times New Roman" w:hAnsi="Times New Roman"/>
        </w:rPr>
        <w:t>in</w:t>
      </w:r>
      <w:r w:rsidR="00462922" w:rsidRPr="007225C9">
        <w:rPr>
          <w:rFonts w:ascii="Times New Roman" w:hAnsi="Times New Roman"/>
        </w:rPr>
        <w:t>consistent with constitutional principle.</w:t>
      </w:r>
      <w:r w:rsidR="00462922" w:rsidRPr="007225C9">
        <w:rPr>
          <w:rStyle w:val="FootnoteReference"/>
          <w:rFonts w:ascii="Times New Roman" w:hAnsi="Times New Roman"/>
          <w:sz w:val="24"/>
        </w:rPr>
        <w:footnoteReference w:id="13"/>
      </w:r>
      <w:r w:rsidR="00FA3CA1" w:rsidRPr="007225C9">
        <w:rPr>
          <w:rFonts w:ascii="Times New Roman" w:hAnsi="Times New Roman"/>
        </w:rPr>
        <w:t xml:space="preserve"> </w:t>
      </w:r>
      <w:r w:rsidR="002B6FB3" w:rsidRPr="007225C9">
        <w:rPr>
          <w:rFonts w:ascii="Times New Roman" w:hAnsi="Times New Roman"/>
        </w:rPr>
        <w:t xml:space="preserve">Far from </w:t>
      </w:r>
      <w:r w:rsidR="000D6F65" w:rsidRPr="007225C9">
        <w:rPr>
          <w:rFonts w:ascii="Times New Roman" w:hAnsi="Times New Roman"/>
        </w:rPr>
        <w:t xml:space="preserve">protecting the judicial declaration of the law and </w:t>
      </w:r>
      <w:r w:rsidR="002B6FB3" w:rsidRPr="007225C9">
        <w:rPr>
          <w:rFonts w:ascii="Times New Roman" w:hAnsi="Times New Roman"/>
        </w:rPr>
        <w:t xml:space="preserve">enhancing the responsibility of the executive branch of government to ascertain the law that limits its own power and to comply with that law, as the Commonwealth argues, </w:t>
      </w:r>
      <w:r w:rsidR="00D106BB" w:rsidRPr="007225C9">
        <w:rPr>
          <w:rFonts w:ascii="Times New Roman" w:hAnsi="Times New Roman"/>
        </w:rPr>
        <w:t>r</w:t>
      </w:r>
      <w:r w:rsidR="00F534E0" w:rsidRPr="007225C9">
        <w:rPr>
          <w:rFonts w:ascii="Times New Roman" w:hAnsi="Times New Roman"/>
        </w:rPr>
        <w:t xml:space="preserve">ecognition of </w:t>
      </w:r>
      <w:r w:rsidR="00195812" w:rsidRPr="007225C9">
        <w:rPr>
          <w:rFonts w:ascii="Times New Roman" w:hAnsi="Times New Roman"/>
        </w:rPr>
        <w:t>the propounded</w:t>
      </w:r>
      <w:r w:rsidR="00C77176" w:rsidRPr="007225C9">
        <w:rPr>
          <w:rFonts w:ascii="Times New Roman" w:hAnsi="Times New Roman"/>
        </w:rPr>
        <w:t xml:space="preserve"> common law</w:t>
      </w:r>
      <w:r w:rsidR="00F534E0" w:rsidRPr="007225C9">
        <w:rPr>
          <w:rFonts w:ascii="Times New Roman" w:hAnsi="Times New Roman"/>
        </w:rPr>
        <w:t xml:space="preserve"> defence</w:t>
      </w:r>
      <w:r w:rsidR="00195812" w:rsidRPr="007225C9">
        <w:rPr>
          <w:rFonts w:ascii="Times New Roman" w:hAnsi="Times New Roman"/>
        </w:rPr>
        <w:t xml:space="preserve"> would </w:t>
      </w:r>
      <w:r w:rsidR="00FA372E" w:rsidRPr="007225C9">
        <w:rPr>
          <w:rFonts w:ascii="Times New Roman" w:hAnsi="Times New Roman"/>
        </w:rPr>
        <w:t xml:space="preserve">subvert the </w:t>
      </w:r>
      <w:r w:rsidR="00847C5B" w:rsidRPr="007225C9">
        <w:rPr>
          <w:rFonts w:ascii="Times New Roman" w:hAnsi="Times New Roman"/>
        </w:rPr>
        <w:t xml:space="preserve">accepted </w:t>
      </w:r>
      <w:r w:rsidR="00FA372E" w:rsidRPr="007225C9">
        <w:rPr>
          <w:rFonts w:ascii="Times New Roman" w:hAnsi="Times New Roman"/>
        </w:rPr>
        <w:t xml:space="preserve">foundational </w:t>
      </w:r>
      <w:r w:rsidR="00FF2BCD" w:rsidRPr="007225C9">
        <w:rPr>
          <w:rFonts w:ascii="Times New Roman" w:hAnsi="Times New Roman"/>
        </w:rPr>
        <w:t xml:space="preserve">constitutional </w:t>
      </w:r>
      <w:r w:rsidR="00FA372E" w:rsidRPr="007225C9">
        <w:rPr>
          <w:rFonts w:ascii="Times New Roman" w:hAnsi="Times New Roman"/>
        </w:rPr>
        <w:t>principles of judicial authority and executive responsibility</w:t>
      </w:r>
      <w:r w:rsidR="00945C70" w:rsidRPr="007225C9">
        <w:rPr>
          <w:rFonts w:ascii="Times New Roman" w:hAnsi="Times New Roman"/>
        </w:rPr>
        <w:t>. I</w:t>
      </w:r>
      <w:r w:rsidR="00E90DBE" w:rsidRPr="007225C9">
        <w:rPr>
          <w:rFonts w:ascii="Times New Roman" w:hAnsi="Times New Roman"/>
        </w:rPr>
        <w:t xml:space="preserve">t would transform the responsibility of </w:t>
      </w:r>
      <w:r w:rsidR="00437D7B" w:rsidRPr="007225C9">
        <w:rPr>
          <w:rFonts w:ascii="Times New Roman" w:hAnsi="Times New Roman"/>
        </w:rPr>
        <w:t xml:space="preserve">an officer </w:t>
      </w:r>
      <w:r w:rsidR="00AA39DE" w:rsidRPr="007225C9">
        <w:rPr>
          <w:rFonts w:ascii="Times New Roman" w:hAnsi="Times New Roman"/>
        </w:rPr>
        <w:t xml:space="preserve">of </w:t>
      </w:r>
      <w:r w:rsidR="00E90DBE" w:rsidRPr="007225C9">
        <w:rPr>
          <w:rFonts w:ascii="Times New Roman" w:hAnsi="Times New Roman"/>
        </w:rPr>
        <w:t xml:space="preserve">the executive </w:t>
      </w:r>
      <w:r w:rsidR="00AA39DE" w:rsidRPr="007225C9">
        <w:rPr>
          <w:rFonts w:ascii="Times New Roman" w:hAnsi="Times New Roman"/>
        </w:rPr>
        <w:t xml:space="preserve">government of the Commonwealth </w:t>
      </w:r>
      <w:r w:rsidR="00E90DBE" w:rsidRPr="007225C9">
        <w:rPr>
          <w:rFonts w:ascii="Times New Roman" w:hAnsi="Times New Roman"/>
        </w:rPr>
        <w:t>to ascertain and comply with th</w:t>
      </w:r>
      <w:r w:rsidR="00163399" w:rsidRPr="007225C9">
        <w:rPr>
          <w:rFonts w:ascii="Times New Roman" w:hAnsi="Times New Roman"/>
        </w:rPr>
        <w:t>e</w:t>
      </w:r>
      <w:r w:rsidR="00E90DBE" w:rsidRPr="007225C9">
        <w:rPr>
          <w:rFonts w:ascii="Times New Roman" w:hAnsi="Times New Roman"/>
        </w:rPr>
        <w:t xml:space="preserve"> law</w:t>
      </w:r>
      <w:r w:rsidR="002E3740" w:rsidRPr="007225C9">
        <w:rPr>
          <w:rFonts w:ascii="Times New Roman" w:hAnsi="Times New Roman"/>
        </w:rPr>
        <w:t xml:space="preserve"> </w:t>
      </w:r>
      <w:r w:rsidR="00561F4E" w:rsidRPr="007225C9">
        <w:rPr>
          <w:rFonts w:ascii="Times New Roman" w:hAnsi="Times New Roman"/>
        </w:rPr>
        <w:t xml:space="preserve">that limits </w:t>
      </w:r>
      <w:r w:rsidR="00BB733F" w:rsidRPr="007225C9">
        <w:rPr>
          <w:rFonts w:ascii="Times New Roman" w:hAnsi="Times New Roman"/>
        </w:rPr>
        <w:t>the</w:t>
      </w:r>
      <w:r w:rsidR="00561F4E" w:rsidRPr="007225C9">
        <w:rPr>
          <w:rFonts w:ascii="Times New Roman" w:hAnsi="Times New Roman"/>
        </w:rPr>
        <w:t xml:space="preserve"> power </w:t>
      </w:r>
      <w:r w:rsidR="00E72AC9" w:rsidRPr="007225C9">
        <w:rPr>
          <w:rFonts w:ascii="Times New Roman" w:hAnsi="Times New Roman"/>
        </w:rPr>
        <w:t xml:space="preserve">of the officer </w:t>
      </w:r>
      <w:r w:rsidR="00561F4E" w:rsidRPr="007225C9">
        <w:rPr>
          <w:rFonts w:ascii="Times New Roman" w:hAnsi="Times New Roman"/>
        </w:rPr>
        <w:t xml:space="preserve">into </w:t>
      </w:r>
      <w:r w:rsidR="005F1586" w:rsidRPr="007225C9">
        <w:rPr>
          <w:rFonts w:ascii="Times New Roman" w:hAnsi="Times New Roman"/>
        </w:rPr>
        <w:t>a</w:t>
      </w:r>
      <w:r w:rsidR="00484042" w:rsidRPr="007225C9">
        <w:rPr>
          <w:rFonts w:ascii="Times New Roman" w:hAnsi="Times New Roman"/>
        </w:rPr>
        <w:t xml:space="preserve"> common law</w:t>
      </w:r>
      <w:r w:rsidR="00561F4E" w:rsidRPr="007225C9">
        <w:rPr>
          <w:rFonts w:ascii="Times New Roman" w:hAnsi="Times New Roman"/>
        </w:rPr>
        <w:t xml:space="preserve"> immunity </w:t>
      </w:r>
      <w:r w:rsidR="00A8451A" w:rsidRPr="007225C9">
        <w:rPr>
          <w:rFonts w:ascii="Times New Roman" w:hAnsi="Times New Roman"/>
        </w:rPr>
        <w:t xml:space="preserve">from </w:t>
      </w:r>
      <w:r w:rsidR="00B71F3D" w:rsidRPr="007225C9">
        <w:rPr>
          <w:rFonts w:ascii="Times New Roman" w:hAnsi="Times New Roman"/>
        </w:rPr>
        <w:t>a</w:t>
      </w:r>
      <w:r w:rsidR="00B016F5" w:rsidRPr="007225C9">
        <w:rPr>
          <w:rFonts w:ascii="Times New Roman" w:hAnsi="Times New Roman"/>
        </w:rPr>
        <w:t xml:space="preserve"> </w:t>
      </w:r>
      <w:r w:rsidR="00573225" w:rsidRPr="007225C9">
        <w:rPr>
          <w:rFonts w:ascii="Times New Roman" w:hAnsi="Times New Roman"/>
        </w:rPr>
        <w:t>common law</w:t>
      </w:r>
      <w:r w:rsidR="00B016F5" w:rsidRPr="007225C9">
        <w:rPr>
          <w:rFonts w:ascii="Times New Roman" w:hAnsi="Times New Roman"/>
        </w:rPr>
        <w:t xml:space="preserve"> consequence </w:t>
      </w:r>
      <w:r w:rsidR="00A00871" w:rsidRPr="007225C9">
        <w:rPr>
          <w:rFonts w:ascii="Times New Roman" w:hAnsi="Times New Roman"/>
        </w:rPr>
        <w:t xml:space="preserve">of action </w:t>
      </w:r>
      <w:r w:rsidR="0096468A" w:rsidRPr="007225C9">
        <w:rPr>
          <w:rFonts w:ascii="Times New Roman" w:hAnsi="Times New Roman"/>
        </w:rPr>
        <w:t xml:space="preserve">which has </w:t>
      </w:r>
      <w:r w:rsidR="006434F4" w:rsidRPr="007225C9">
        <w:rPr>
          <w:rFonts w:ascii="Times New Roman" w:hAnsi="Times New Roman"/>
        </w:rPr>
        <w:t xml:space="preserve">subsequently </w:t>
      </w:r>
      <w:r w:rsidR="0096468A" w:rsidRPr="007225C9">
        <w:rPr>
          <w:rFonts w:ascii="Times New Roman" w:hAnsi="Times New Roman"/>
        </w:rPr>
        <w:t xml:space="preserve">been </w:t>
      </w:r>
      <w:r w:rsidR="008B7CA4" w:rsidRPr="007225C9">
        <w:rPr>
          <w:rFonts w:ascii="Times New Roman" w:hAnsi="Times New Roman"/>
        </w:rPr>
        <w:t xml:space="preserve">judicially </w:t>
      </w:r>
      <w:r w:rsidR="00A00871" w:rsidRPr="007225C9">
        <w:rPr>
          <w:rFonts w:ascii="Times New Roman" w:hAnsi="Times New Roman"/>
        </w:rPr>
        <w:t xml:space="preserve">determined </w:t>
      </w:r>
      <w:r w:rsidR="008B7CA4" w:rsidRPr="007225C9">
        <w:rPr>
          <w:rFonts w:ascii="Times New Roman" w:hAnsi="Times New Roman"/>
        </w:rPr>
        <w:t xml:space="preserve">to have transgressed </w:t>
      </w:r>
      <w:r w:rsidR="00E72AC9" w:rsidRPr="007225C9">
        <w:rPr>
          <w:rFonts w:ascii="Times New Roman" w:hAnsi="Times New Roman"/>
        </w:rPr>
        <w:t>such a</w:t>
      </w:r>
      <w:r w:rsidR="008B7CA4" w:rsidRPr="007225C9">
        <w:rPr>
          <w:rFonts w:ascii="Times New Roman" w:hAnsi="Times New Roman"/>
        </w:rPr>
        <w:t xml:space="preserve"> </w:t>
      </w:r>
      <w:r w:rsidR="001A610C" w:rsidRPr="007225C9">
        <w:rPr>
          <w:rFonts w:ascii="Times New Roman" w:hAnsi="Times New Roman"/>
        </w:rPr>
        <w:t xml:space="preserve">legal </w:t>
      </w:r>
      <w:r w:rsidR="008B7CA4" w:rsidRPr="007225C9">
        <w:rPr>
          <w:rFonts w:ascii="Times New Roman" w:hAnsi="Times New Roman"/>
        </w:rPr>
        <w:t>limit</w:t>
      </w:r>
      <w:r w:rsidR="00CF591C" w:rsidRPr="007225C9">
        <w:rPr>
          <w:rFonts w:ascii="Times New Roman" w:hAnsi="Times New Roman"/>
        </w:rPr>
        <w:t xml:space="preserve"> and therefore to have exceeded </w:t>
      </w:r>
      <w:r w:rsidR="00416FAF" w:rsidRPr="007225C9">
        <w:rPr>
          <w:rFonts w:ascii="Times New Roman" w:hAnsi="Times New Roman"/>
        </w:rPr>
        <w:t>that power</w:t>
      </w:r>
      <w:r w:rsidR="008B7CA4" w:rsidRPr="007225C9">
        <w:rPr>
          <w:rFonts w:ascii="Times New Roman" w:hAnsi="Times New Roman"/>
        </w:rPr>
        <w:t>.</w:t>
      </w:r>
      <w:r w:rsidR="00A00871" w:rsidRPr="007225C9">
        <w:rPr>
          <w:rFonts w:ascii="Times New Roman" w:hAnsi="Times New Roman"/>
        </w:rPr>
        <w:t xml:space="preserve"> </w:t>
      </w:r>
    </w:p>
    <w:p w14:paraId="481F99AA" w14:textId="77A529DA" w:rsidR="00835089" w:rsidRPr="007225C9" w:rsidRDefault="00835089" w:rsidP="007225C9">
      <w:pPr>
        <w:pStyle w:val="HeadingL1"/>
        <w:spacing w:after="260" w:line="280" w:lineRule="exact"/>
        <w:ind w:right="0"/>
        <w:jc w:val="both"/>
        <w:rPr>
          <w:rFonts w:ascii="Times New Roman" w:hAnsi="Times New Roman"/>
        </w:rPr>
      </w:pPr>
      <w:r w:rsidRPr="007225C9">
        <w:rPr>
          <w:rFonts w:ascii="Times New Roman" w:hAnsi="Times New Roman"/>
        </w:rPr>
        <w:t>Factual and procedural history</w:t>
      </w:r>
    </w:p>
    <w:p w14:paraId="5C9711B8" w14:textId="796E3818" w:rsidR="00835089" w:rsidRPr="007225C9" w:rsidRDefault="00835089" w:rsidP="007225C9">
      <w:pPr>
        <w:pStyle w:val="FixListStyle"/>
        <w:spacing w:after="260" w:line="280" w:lineRule="exact"/>
        <w:ind w:right="0"/>
        <w:jc w:val="both"/>
        <w:rPr>
          <w:rFonts w:ascii="Times New Roman" w:hAnsi="Times New Roman"/>
        </w:rPr>
      </w:pPr>
      <w:r w:rsidRPr="007225C9">
        <w:rPr>
          <w:rFonts w:ascii="Times New Roman" w:hAnsi="Times New Roman"/>
        </w:rPr>
        <w:tab/>
      </w:r>
      <w:r w:rsidR="00EC4B77" w:rsidRPr="007225C9">
        <w:rPr>
          <w:rFonts w:ascii="Times New Roman" w:hAnsi="Times New Roman"/>
        </w:rPr>
        <w:t>The plaintiff is a citizen of Austria who has long</w:t>
      </w:r>
      <w:r w:rsidR="00474BC9" w:rsidRPr="007225C9">
        <w:rPr>
          <w:rFonts w:ascii="Times New Roman" w:hAnsi="Times New Roman"/>
        </w:rPr>
        <w:t xml:space="preserve"> suffered from </w:t>
      </w:r>
      <w:r w:rsidR="00B65D67" w:rsidRPr="007225C9">
        <w:rPr>
          <w:rFonts w:ascii="Times New Roman" w:hAnsi="Times New Roman"/>
        </w:rPr>
        <w:t>thrombophilia</w:t>
      </w:r>
      <w:r w:rsidR="006F33B0" w:rsidRPr="007225C9">
        <w:rPr>
          <w:rFonts w:ascii="Times New Roman" w:hAnsi="Times New Roman"/>
        </w:rPr>
        <w:t>,</w:t>
      </w:r>
      <w:r w:rsidR="00B65D67" w:rsidRPr="007225C9">
        <w:rPr>
          <w:rFonts w:ascii="Times New Roman" w:hAnsi="Times New Roman"/>
        </w:rPr>
        <w:t xml:space="preserve"> being </w:t>
      </w:r>
      <w:r w:rsidR="00474BC9" w:rsidRPr="007225C9">
        <w:rPr>
          <w:rFonts w:ascii="Times New Roman" w:hAnsi="Times New Roman"/>
        </w:rPr>
        <w:t xml:space="preserve">an </w:t>
      </w:r>
      <w:r w:rsidR="00D57966" w:rsidRPr="007225C9">
        <w:rPr>
          <w:rFonts w:ascii="Times New Roman" w:hAnsi="Times New Roman"/>
        </w:rPr>
        <w:t xml:space="preserve">extreme </w:t>
      </w:r>
      <w:r w:rsidR="006F77BB" w:rsidRPr="007225C9">
        <w:rPr>
          <w:rFonts w:ascii="Times New Roman" w:hAnsi="Times New Roman"/>
        </w:rPr>
        <w:t>tendency to th</w:t>
      </w:r>
      <w:r w:rsidR="00B81098" w:rsidRPr="007225C9">
        <w:rPr>
          <w:rFonts w:ascii="Times New Roman" w:hAnsi="Times New Roman"/>
        </w:rPr>
        <w:t xml:space="preserve">e </w:t>
      </w:r>
      <w:r w:rsidR="006F5783" w:rsidRPr="007225C9">
        <w:rPr>
          <w:rFonts w:ascii="Times New Roman" w:hAnsi="Times New Roman"/>
        </w:rPr>
        <w:t xml:space="preserve">formation of blood clots within arterial or venous blood vessels. Having first arrived in Australia in </w:t>
      </w:r>
      <w:r w:rsidR="00977088" w:rsidRPr="007225C9">
        <w:rPr>
          <w:rFonts w:ascii="Times New Roman" w:hAnsi="Times New Roman"/>
        </w:rPr>
        <w:t xml:space="preserve">1997, </w:t>
      </w:r>
      <w:r w:rsidR="00540246" w:rsidRPr="007225C9">
        <w:rPr>
          <w:rFonts w:ascii="Times New Roman" w:hAnsi="Times New Roman"/>
        </w:rPr>
        <w:t xml:space="preserve">he held various visas until </w:t>
      </w:r>
      <w:r w:rsidR="00141DC7" w:rsidRPr="007225C9">
        <w:rPr>
          <w:rFonts w:ascii="Times New Roman" w:hAnsi="Times New Roman"/>
        </w:rPr>
        <w:t xml:space="preserve">31 March </w:t>
      </w:r>
      <w:r w:rsidR="00540246" w:rsidRPr="007225C9">
        <w:rPr>
          <w:rFonts w:ascii="Times New Roman" w:hAnsi="Times New Roman"/>
        </w:rPr>
        <w:t xml:space="preserve">2017 </w:t>
      </w:r>
      <w:r w:rsidR="0035746B" w:rsidRPr="007225C9">
        <w:rPr>
          <w:rFonts w:ascii="Times New Roman" w:hAnsi="Times New Roman"/>
        </w:rPr>
        <w:t xml:space="preserve">when his then current visa was cancelled by the </w:t>
      </w:r>
      <w:r w:rsidR="00657984" w:rsidRPr="007225C9">
        <w:rPr>
          <w:rFonts w:ascii="Times New Roman" w:hAnsi="Times New Roman"/>
        </w:rPr>
        <w:t xml:space="preserve">Minister for Immigration and Border Protection </w:t>
      </w:r>
      <w:r w:rsidR="00AE093E" w:rsidRPr="007225C9">
        <w:rPr>
          <w:rFonts w:ascii="Times New Roman" w:hAnsi="Times New Roman"/>
        </w:rPr>
        <w:t xml:space="preserve">under s 501(2) of the </w:t>
      </w:r>
      <w:r w:rsidR="00AE093E" w:rsidRPr="007225C9">
        <w:rPr>
          <w:rFonts w:ascii="Times New Roman" w:hAnsi="Times New Roman"/>
          <w:i/>
          <w:iCs/>
        </w:rPr>
        <w:t xml:space="preserve">Migration </w:t>
      </w:r>
      <w:r w:rsidR="00AE093E" w:rsidRPr="007225C9">
        <w:rPr>
          <w:rFonts w:ascii="Times New Roman" w:hAnsi="Times New Roman"/>
          <w:i/>
          <w:iCs/>
        </w:rPr>
        <w:lastRenderedPageBreak/>
        <w:t>Act</w:t>
      </w:r>
      <w:r w:rsidR="007600FD" w:rsidRPr="007225C9">
        <w:rPr>
          <w:rFonts w:ascii="Times New Roman" w:hAnsi="Times New Roman"/>
        </w:rPr>
        <w:t>,</w:t>
      </w:r>
      <w:r w:rsidR="00AE093E" w:rsidRPr="007225C9">
        <w:rPr>
          <w:rFonts w:ascii="Times New Roman" w:hAnsi="Times New Roman"/>
          <w:i/>
          <w:iCs/>
        </w:rPr>
        <w:t xml:space="preserve"> </w:t>
      </w:r>
      <w:r w:rsidR="00657984" w:rsidRPr="007225C9">
        <w:rPr>
          <w:rFonts w:ascii="Times New Roman" w:hAnsi="Times New Roman"/>
        </w:rPr>
        <w:t>following which he was</w:t>
      </w:r>
      <w:r w:rsidR="00241DEE" w:rsidRPr="007225C9">
        <w:rPr>
          <w:rFonts w:ascii="Times New Roman" w:hAnsi="Times New Roman"/>
        </w:rPr>
        <w:t xml:space="preserve"> located and </w:t>
      </w:r>
      <w:r w:rsidR="00CD010E" w:rsidRPr="007225C9">
        <w:rPr>
          <w:rFonts w:ascii="Times New Roman" w:hAnsi="Times New Roman"/>
        </w:rPr>
        <w:t xml:space="preserve">on 22 August 2017 </w:t>
      </w:r>
      <w:r w:rsidR="00241DEE" w:rsidRPr="007225C9">
        <w:rPr>
          <w:rFonts w:ascii="Times New Roman" w:hAnsi="Times New Roman"/>
        </w:rPr>
        <w:t xml:space="preserve">detained </w:t>
      </w:r>
      <w:r w:rsidR="0023595A" w:rsidRPr="007225C9">
        <w:rPr>
          <w:rFonts w:ascii="Times New Roman" w:hAnsi="Times New Roman"/>
        </w:rPr>
        <w:t>under s</w:t>
      </w:r>
      <w:r w:rsidR="00593620">
        <w:rPr>
          <w:rFonts w:ascii="Times New Roman" w:hAnsi="Times New Roman"/>
        </w:rPr>
        <w:t> </w:t>
      </w:r>
      <w:r w:rsidR="0023595A" w:rsidRPr="007225C9">
        <w:rPr>
          <w:rFonts w:ascii="Times New Roman" w:hAnsi="Times New Roman"/>
        </w:rPr>
        <w:t xml:space="preserve">189(1) of the </w:t>
      </w:r>
      <w:r w:rsidR="0023595A" w:rsidRPr="007225C9">
        <w:rPr>
          <w:rFonts w:ascii="Times New Roman" w:hAnsi="Times New Roman"/>
          <w:i/>
          <w:iCs/>
        </w:rPr>
        <w:t>Migration Act</w:t>
      </w:r>
      <w:r w:rsidR="0023595A" w:rsidRPr="007225C9">
        <w:rPr>
          <w:rFonts w:ascii="Times New Roman" w:hAnsi="Times New Roman"/>
        </w:rPr>
        <w:t xml:space="preserve">. </w:t>
      </w:r>
    </w:p>
    <w:p w14:paraId="6B68EBCC" w14:textId="323278D4" w:rsidR="00AD0EB5" w:rsidRPr="007225C9" w:rsidRDefault="00AD0EB5" w:rsidP="007225C9">
      <w:pPr>
        <w:pStyle w:val="FixListStyle"/>
        <w:spacing w:after="260" w:line="280" w:lineRule="exact"/>
        <w:ind w:right="0"/>
        <w:jc w:val="both"/>
        <w:rPr>
          <w:rFonts w:ascii="Times New Roman" w:hAnsi="Times New Roman"/>
        </w:rPr>
      </w:pPr>
      <w:r w:rsidRPr="007225C9">
        <w:rPr>
          <w:rFonts w:ascii="Times New Roman" w:hAnsi="Times New Roman"/>
        </w:rPr>
        <w:tab/>
        <w:t>By a proceeding commenced in the original jurisdiction of th</w:t>
      </w:r>
      <w:r w:rsidR="00AD3A10" w:rsidRPr="007225C9">
        <w:rPr>
          <w:rFonts w:ascii="Times New Roman" w:hAnsi="Times New Roman"/>
        </w:rPr>
        <w:t>is</w:t>
      </w:r>
      <w:r w:rsidRPr="007225C9">
        <w:rPr>
          <w:rFonts w:ascii="Times New Roman" w:hAnsi="Times New Roman"/>
        </w:rPr>
        <w:t xml:space="preserve"> Court in 2021</w:t>
      </w:r>
      <w:r w:rsidR="00742B73" w:rsidRPr="007225C9">
        <w:rPr>
          <w:rFonts w:ascii="Times New Roman" w:hAnsi="Times New Roman"/>
        </w:rPr>
        <w:t xml:space="preserve"> against the Commonwealth,</w:t>
      </w:r>
      <w:r w:rsidR="004E7C91" w:rsidRPr="007225C9">
        <w:rPr>
          <w:rFonts w:ascii="Times New Roman" w:hAnsi="Times New Roman"/>
        </w:rPr>
        <w:t xml:space="preserve"> the </w:t>
      </w:r>
      <w:r w:rsidR="001456BD" w:rsidRPr="007225C9">
        <w:rPr>
          <w:rFonts w:ascii="Times New Roman" w:hAnsi="Times New Roman"/>
        </w:rPr>
        <w:t xml:space="preserve">plaintiff sought declaratory relief </w:t>
      </w:r>
      <w:r w:rsidR="00FB1590" w:rsidRPr="007225C9">
        <w:rPr>
          <w:rFonts w:ascii="Times New Roman" w:hAnsi="Times New Roman"/>
        </w:rPr>
        <w:t>together with</w:t>
      </w:r>
      <w:r w:rsidR="0071450B" w:rsidRPr="007225C9">
        <w:rPr>
          <w:rFonts w:ascii="Times New Roman" w:hAnsi="Times New Roman"/>
        </w:rPr>
        <w:t xml:space="preserve"> </w:t>
      </w:r>
      <w:r w:rsidR="00827E6D" w:rsidRPr="007225C9">
        <w:rPr>
          <w:rFonts w:ascii="Times New Roman" w:hAnsi="Times New Roman"/>
        </w:rPr>
        <w:t xml:space="preserve">constitutional and other writs </w:t>
      </w:r>
      <w:r w:rsidR="009374B6" w:rsidRPr="007225C9">
        <w:rPr>
          <w:rFonts w:ascii="Times New Roman" w:hAnsi="Times New Roman"/>
        </w:rPr>
        <w:t xml:space="preserve">with respect to </w:t>
      </w:r>
      <w:r w:rsidR="0049589C" w:rsidRPr="007225C9">
        <w:rPr>
          <w:rFonts w:ascii="Times New Roman" w:hAnsi="Times New Roman"/>
        </w:rPr>
        <w:t xml:space="preserve">his detention </w:t>
      </w:r>
      <w:r w:rsidR="00FB1590" w:rsidRPr="007225C9">
        <w:rPr>
          <w:rFonts w:ascii="Times New Roman" w:hAnsi="Times New Roman"/>
        </w:rPr>
        <w:t>as well as</w:t>
      </w:r>
      <w:r w:rsidR="0049589C" w:rsidRPr="007225C9">
        <w:rPr>
          <w:rFonts w:ascii="Times New Roman" w:hAnsi="Times New Roman"/>
        </w:rPr>
        <w:t xml:space="preserve"> </w:t>
      </w:r>
      <w:r w:rsidR="002D283C" w:rsidRPr="007225C9">
        <w:rPr>
          <w:rFonts w:ascii="Times New Roman" w:hAnsi="Times New Roman"/>
        </w:rPr>
        <w:t xml:space="preserve">damages for false imprisonment. </w:t>
      </w:r>
      <w:r w:rsidR="004121AD" w:rsidRPr="007225C9">
        <w:rPr>
          <w:rFonts w:ascii="Times New Roman" w:hAnsi="Times New Roman"/>
        </w:rPr>
        <w:t>Th</w:t>
      </w:r>
      <w:r w:rsidR="00F47D0D" w:rsidRPr="007225C9">
        <w:rPr>
          <w:rFonts w:ascii="Times New Roman" w:hAnsi="Times New Roman"/>
        </w:rPr>
        <w:t>e</w:t>
      </w:r>
      <w:r w:rsidR="002E1E7C" w:rsidRPr="007225C9">
        <w:rPr>
          <w:rFonts w:ascii="Times New Roman" w:hAnsi="Times New Roman"/>
        </w:rPr>
        <w:t xml:space="preserve"> part of the </w:t>
      </w:r>
      <w:r w:rsidR="004121AD" w:rsidRPr="007225C9">
        <w:rPr>
          <w:rFonts w:ascii="Times New Roman" w:hAnsi="Times New Roman"/>
        </w:rPr>
        <w:t xml:space="preserve">matter </w:t>
      </w:r>
      <w:r w:rsidR="005318C8" w:rsidRPr="007225C9">
        <w:rPr>
          <w:rFonts w:ascii="Times New Roman" w:hAnsi="Times New Roman"/>
        </w:rPr>
        <w:t xml:space="preserve">which </w:t>
      </w:r>
      <w:r w:rsidR="004408EC" w:rsidRPr="007225C9">
        <w:rPr>
          <w:rFonts w:ascii="Times New Roman" w:hAnsi="Times New Roman"/>
        </w:rPr>
        <w:t>involved</w:t>
      </w:r>
      <w:r w:rsidR="008B4159" w:rsidRPr="007225C9">
        <w:rPr>
          <w:rFonts w:ascii="Times New Roman" w:hAnsi="Times New Roman"/>
        </w:rPr>
        <w:t xml:space="preserve"> questions as to the </w:t>
      </w:r>
      <w:r w:rsidR="005A70B7" w:rsidRPr="007225C9">
        <w:rPr>
          <w:rFonts w:ascii="Times New Roman" w:hAnsi="Times New Roman"/>
        </w:rPr>
        <w:t xml:space="preserve">plaintiff's </w:t>
      </w:r>
      <w:r w:rsidR="008B4159" w:rsidRPr="007225C9">
        <w:rPr>
          <w:rFonts w:ascii="Times New Roman" w:hAnsi="Times New Roman"/>
        </w:rPr>
        <w:t>entitlement to</w:t>
      </w:r>
      <w:r w:rsidR="005B6646" w:rsidRPr="007225C9">
        <w:rPr>
          <w:rFonts w:ascii="Times New Roman" w:hAnsi="Times New Roman"/>
        </w:rPr>
        <w:t xml:space="preserve"> declaratory relief and constitutional and other writs with respect to his detention</w:t>
      </w:r>
      <w:r w:rsidR="005318C8" w:rsidRPr="007225C9">
        <w:rPr>
          <w:rFonts w:ascii="Times New Roman" w:hAnsi="Times New Roman"/>
        </w:rPr>
        <w:t xml:space="preserve"> was remitted to the Federal Circuit and Family Court of Australia </w:t>
      </w:r>
      <w:r w:rsidR="00E24B94" w:rsidRPr="007225C9">
        <w:rPr>
          <w:rFonts w:ascii="Times New Roman" w:hAnsi="Times New Roman"/>
        </w:rPr>
        <w:t>(</w:t>
      </w:r>
      <w:r w:rsidR="00405804" w:rsidRPr="007225C9">
        <w:rPr>
          <w:rFonts w:ascii="Times New Roman" w:hAnsi="Times New Roman"/>
        </w:rPr>
        <w:t>Division</w:t>
      </w:r>
      <w:r w:rsidR="00040812" w:rsidRPr="007225C9">
        <w:rPr>
          <w:rFonts w:ascii="Times New Roman" w:hAnsi="Times New Roman"/>
        </w:rPr>
        <w:t xml:space="preserve"> 2</w:t>
      </w:r>
      <w:r w:rsidR="00E24B94" w:rsidRPr="007225C9">
        <w:rPr>
          <w:rFonts w:ascii="Times New Roman" w:hAnsi="Times New Roman"/>
        </w:rPr>
        <w:t>)</w:t>
      </w:r>
      <w:r w:rsidR="00040812" w:rsidRPr="007225C9">
        <w:rPr>
          <w:rFonts w:ascii="Times New Roman" w:hAnsi="Times New Roman"/>
        </w:rPr>
        <w:t xml:space="preserve"> </w:t>
      </w:r>
      <w:r w:rsidR="008F17C0" w:rsidRPr="007225C9">
        <w:rPr>
          <w:rFonts w:ascii="Times New Roman" w:hAnsi="Times New Roman"/>
        </w:rPr>
        <w:t>("the F</w:t>
      </w:r>
      <w:r w:rsidR="00A712F7" w:rsidRPr="007225C9">
        <w:rPr>
          <w:rFonts w:ascii="Times New Roman" w:hAnsi="Times New Roman"/>
        </w:rPr>
        <w:t xml:space="preserve">CFCOA") </w:t>
      </w:r>
      <w:r w:rsidR="005318C8" w:rsidRPr="007225C9">
        <w:rPr>
          <w:rFonts w:ascii="Times New Roman" w:hAnsi="Times New Roman"/>
        </w:rPr>
        <w:t>under s 44</w:t>
      </w:r>
      <w:r w:rsidR="00EF39AE" w:rsidRPr="007225C9">
        <w:rPr>
          <w:rFonts w:ascii="Times New Roman" w:hAnsi="Times New Roman"/>
        </w:rPr>
        <w:t xml:space="preserve">(1) of the </w:t>
      </w:r>
      <w:r w:rsidR="00EF39AE" w:rsidRPr="007225C9">
        <w:rPr>
          <w:rFonts w:ascii="Times New Roman" w:hAnsi="Times New Roman"/>
          <w:i/>
          <w:iCs/>
        </w:rPr>
        <w:t>Judiciary Act 1903</w:t>
      </w:r>
      <w:r w:rsidR="00EF39AE" w:rsidRPr="007225C9">
        <w:rPr>
          <w:rFonts w:ascii="Times New Roman" w:hAnsi="Times New Roman"/>
        </w:rPr>
        <w:t xml:space="preserve"> (</w:t>
      </w:r>
      <w:proofErr w:type="spellStart"/>
      <w:r w:rsidR="00EF39AE" w:rsidRPr="007225C9">
        <w:rPr>
          <w:rFonts w:ascii="Times New Roman" w:hAnsi="Times New Roman"/>
        </w:rPr>
        <w:t>Cth</w:t>
      </w:r>
      <w:proofErr w:type="spellEnd"/>
      <w:r w:rsidR="00EF39AE" w:rsidRPr="007225C9">
        <w:rPr>
          <w:rFonts w:ascii="Times New Roman" w:hAnsi="Times New Roman"/>
        </w:rPr>
        <w:t>)</w:t>
      </w:r>
      <w:r w:rsidR="00633716" w:rsidRPr="007225C9">
        <w:rPr>
          <w:rFonts w:ascii="Times New Roman" w:hAnsi="Times New Roman"/>
        </w:rPr>
        <w:t>. T</w:t>
      </w:r>
      <w:r w:rsidR="004D6965" w:rsidRPr="007225C9">
        <w:rPr>
          <w:rFonts w:ascii="Times New Roman" w:hAnsi="Times New Roman"/>
        </w:rPr>
        <w:t>h</w:t>
      </w:r>
      <w:r w:rsidR="00F47D0D" w:rsidRPr="007225C9">
        <w:rPr>
          <w:rFonts w:ascii="Times New Roman" w:hAnsi="Times New Roman"/>
        </w:rPr>
        <w:t>e</w:t>
      </w:r>
      <w:r w:rsidR="004D6965" w:rsidRPr="007225C9">
        <w:rPr>
          <w:rFonts w:ascii="Times New Roman" w:hAnsi="Times New Roman"/>
        </w:rPr>
        <w:t xml:space="preserve"> part of the matter which involved questions as to the plaintiff's entitlement to damages for false imprisonment</w:t>
      </w:r>
      <w:r w:rsidR="00633716" w:rsidRPr="007225C9">
        <w:rPr>
          <w:rFonts w:ascii="Times New Roman" w:hAnsi="Times New Roman"/>
        </w:rPr>
        <w:t xml:space="preserve"> was left</w:t>
      </w:r>
      <w:r w:rsidR="005D2A01" w:rsidRPr="007225C9">
        <w:rPr>
          <w:rFonts w:ascii="Times New Roman" w:hAnsi="Times New Roman"/>
        </w:rPr>
        <w:t xml:space="preserve"> </w:t>
      </w:r>
      <w:r w:rsidR="00BA4569" w:rsidRPr="007225C9">
        <w:rPr>
          <w:rFonts w:ascii="Times New Roman" w:hAnsi="Times New Roman"/>
        </w:rPr>
        <w:t>pending in</w:t>
      </w:r>
      <w:r w:rsidR="005D2A01" w:rsidRPr="007225C9">
        <w:rPr>
          <w:rFonts w:ascii="Times New Roman" w:hAnsi="Times New Roman"/>
        </w:rPr>
        <w:t xml:space="preserve"> </w:t>
      </w:r>
      <w:r w:rsidR="00AD3A10" w:rsidRPr="007225C9">
        <w:rPr>
          <w:rFonts w:ascii="Times New Roman" w:hAnsi="Times New Roman"/>
        </w:rPr>
        <w:t>this Court.</w:t>
      </w:r>
    </w:p>
    <w:p w14:paraId="74950B0A" w14:textId="4E5FBD9C" w:rsidR="00EC737E" w:rsidRPr="007225C9" w:rsidRDefault="002A4663" w:rsidP="007225C9">
      <w:pPr>
        <w:pStyle w:val="FixListStyle"/>
        <w:spacing w:after="260" w:line="280" w:lineRule="exact"/>
        <w:ind w:right="0"/>
        <w:jc w:val="both"/>
        <w:rPr>
          <w:rFonts w:ascii="Times New Roman" w:hAnsi="Times New Roman"/>
        </w:rPr>
      </w:pPr>
      <w:r w:rsidRPr="007225C9">
        <w:rPr>
          <w:rFonts w:ascii="Times New Roman" w:hAnsi="Times New Roman"/>
        </w:rPr>
        <w:tab/>
      </w:r>
      <w:r w:rsidR="000E7C4F" w:rsidRPr="007225C9">
        <w:rPr>
          <w:rFonts w:ascii="Times New Roman" w:hAnsi="Times New Roman"/>
        </w:rPr>
        <w:t>Whilst t</w:t>
      </w:r>
      <w:r w:rsidR="001D410F" w:rsidRPr="007225C9">
        <w:rPr>
          <w:rFonts w:ascii="Times New Roman" w:hAnsi="Times New Roman"/>
        </w:rPr>
        <w:t>he part of the matter</w:t>
      </w:r>
      <w:r w:rsidR="008F44BF" w:rsidRPr="007225C9">
        <w:rPr>
          <w:rFonts w:ascii="Times New Roman" w:hAnsi="Times New Roman"/>
        </w:rPr>
        <w:t xml:space="preserve"> </w:t>
      </w:r>
      <w:r w:rsidR="001D410F" w:rsidRPr="007225C9">
        <w:rPr>
          <w:rFonts w:ascii="Times New Roman" w:hAnsi="Times New Roman"/>
        </w:rPr>
        <w:t xml:space="preserve">remitted to the </w:t>
      </w:r>
      <w:r w:rsidR="00A712F7" w:rsidRPr="007225C9">
        <w:rPr>
          <w:rFonts w:ascii="Times New Roman" w:hAnsi="Times New Roman"/>
        </w:rPr>
        <w:t>FCFCOA</w:t>
      </w:r>
      <w:r w:rsidR="008F44BF" w:rsidRPr="007225C9">
        <w:rPr>
          <w:rFonts w:ascii="Times New Roman" w:hAnsi="Times New Roman"/>
        </w:rPr>
        <w:t xml:space="preserve"> remained</w:t>
      </w:r>
      <w:r w:rsidR="000E7C4F" w:rsidRPr="007225C9">
        <w:rPr>
          <w:rFonts w:ascii="Times New Roman" w:hAnsi="Times New Roman"/>
        </w:rPr>
        <w:t xml:space="preserve"> </w:t>
      </w:r>
      <w:r w:rsidR="002E27ED" w:rsidRPr="007225C9">
        <w:rPr>
          <w:rFonts w:ascii="Times New Roman" w:hAnsi="Times New Roman"/>
        </w:rPr>
        <w:t>pending</w:t>
      </w:r>
      <w:r w:rsidR="00C46F46" w:rsidRPr="007225C9">
        <w:rPr>
          <w:rFonts w:ascii="Times New Roman" w:hAnsi="Times New Roman"/>
        </w:rPr>
        <w:t xml:space="preserve"> in </w:t>
      </w:r>
      <w:r w:rsidR="009B154F" w:rsidRPr="007225C9">
        <w:rPr>
          <w:rFonts w:ascii="Times New Roman" w:hAnsi="Times New Roman"/>
        </w:rPr>
        <w:t>that Court</w:t>
      </w:r>
      <w:r w:rsidR="002E27ED" w:rsidRPr="007225C9">
        <w:rPr>
          <w:rFonts w:ascii="Times New Roman" w:hAnsi="Times New Roman"/>
        </w:rPr>
        <w:t xml:space="preserve">, the plaintiff suffered </w:t>
      </w:r>
      <w:r w:rsidR="00C4369F" w:rsidRPr="007225C9">
        <w:rPr>
          <w:rFonts w:ascii="Times New Roman" w:hAnsi="Times New Roman"/>
        </w:rPr>
        <w:t xml:space="preserve">a documented episode of </w:t>
      </w:r>
      <w:r w:rsidR="008C1F58" w:rsidRPr="007225C9">
        <w:rPr>
          <w:rFonts w:ascii="Times New Roman" w:hAnsi="Times New Roman"/>
        </w:rPr>
        <w:t>thrombophilia</w:t>
      </w:r>
      <w:r w:rsidR="00607829" w:rsidRPr="007225C9">
        <w:rPr>
          <w:rFonts w:ascii="Times New Roman" w:hAnsi="Times New Roman"/>
        </w:rPr>
        <w:t>. The episode</w:t>
      </w:r>
      <w:r w:rsidR="005E71C5" w:rsidRPr="007225C9">
        <w:rPr>
          <w:rFonts w:ascii="Times New Roman" w:hAnsi="Times New Roman"/>
        </w:rPr>
        <w:t xml:space="preserve"> gave</w:t>
      </w:r>
      <w:r w:rsidR="00D96E4A" w:rsidRPr="007225C9">
        <w:rPr>
          <w:rFonts w:ascii="Times New Roman" w:hAnsi="Times New Roman"/>
        </w:rPr>
        <w:t xml:space="preserve"> rise to a question </w:t>
      </w:r>
      <w:r w:rsidR="00157395" w:rsidRPr="007225C9">
        <w:rPr>
          <w:rFonts w:ascii="Times New Roman" w:hAnsi="Times New Roman"/>
        </w:rPr>
        <w:t xml:space="preserve">as to his fitness to travel </w:t>
      </w:r>
      <w:r w:rsidR="0039694F" w:rsidRPr="007225C9">
        <w:rPr>
          <w:rFonts w:ascii="Times New Roman" w:hAnsi="Times New Roman"/>
        </w:rPr>
        <w:t>from Australia to Austria</w:t>
      </w:r>
      <w:r w:rsidR="00C01784" w:rsidRPr="007225C9">
        <w:rPr>
          <w:rFonts w:ascii="Times New Roman" w:hAnsi="Times New Roman"/>
        </w:rPr>
        <w:t xml:space="preserve">. </w:t>
      </w:r>
      <w:r w:rsidR="00BC2AFA" w:rsidRPr="007225C9">
        <w:rPr>
          <w:rFonts w:ascii="Times New Roman" w:hAnsi="Times New Roman"/>
        </w:rPr>
        <w:t xml:space="preserve">Having regard to medical assessments </w:t>
      </w:r>
      <w:r w:rsidR="005B2BFA" w:rsidRPr="007225C9">
        <w:rPr>
          <w:rFonts w:ascii="Times New Roman" w:hAnsi="Times New Roman"/>
        </w:rPr>
        <w:t>prepared for the purpose of</w:t>
      </w:r>
      <w:r w:rsidR="00C042E7" w:rsidRPr="007225C9">
        <w:rPr>
          <w:rFonts w:ascii="Times New Roman" w:hAnsi="Times New Roman"/>
        </w:rPr>
        <w:t xml:space="preserve"> the </w:t>
      </w:r>
      <w:r w:rsidR="00742B73" w:rsidRPr="007225C9">
        <w:rPr>
          <w:rFonts w:ascii="Times New Roman" w:hAnsi="Times New Roman"/>
        </w:rPr>
        <w:t xml:space="preserve">FCFCOA proceeding, </w:t>
      </w:r>
      <w:r w:rsidR="007F2149" w:rsidRPr="007225C9">
        <w:rPr>
          <w:rFonts w:ascii="Times New Roman" w:hAnsi="Times New Roman"/>
        </w:rPr>
        <w:t>the Commonwealth</w:t>
      </w:r>
      <w:r w:rsidR="00FA1BE9" w:rsidRPr="007225C9">
        <w:rPr>
          <w:rFonts w:ascii="Times New Roman" w:hAnsi="Times New Roman"/>
        </w:rPr>
        <w:t xml:space="preserve"> </w:t>
      </w:r>
      <w:r w:rsidR="00863CC9" w:rsidRPr="007225C9">
        <w:rPr>
          <w:rFonts w:ascii="Times New Roman" w:hAnsi="Times New Roman"/>
        </w:rPr>
        <w:t xml:space="preserve">eventually </w:t>
      </w:r>
      <w:r w:rsidR="00FA1BE9" w:rsidRPr="007225C9">
        <w:rPr>
          <w:rFonts w:ascii="Times New Roman" w:hAnsi="Times New Roman"/>
        </w:rPr>
        <w:t xml:space="preserve">came to accept that the plaintiff's thrombophilia </w:t>
      </w:r>
      <w:r w:rsidR="00420D4F" w:rsidRPr="007225C9">
        <w:rPr>
          <w:rFonts w:ascii="Times New Roman" w:hAnsi="Times New Roman"/>
        </w:rPr>
        <w:t xml:space="preserve">had rendered him medically unfit </w:t>
      </w:r>
      <w:r w:rsidR="001246AF" w:rsidRPr="007225C9">
        <w:rPr>
          <w:rFonts w:ascii="Times New Roman" w:hAnsi="Times New Roman"/>
        </w:rPr>
        <w:t>to</w:t>
      </w:r>
      <w:r w:rsidR="00420D4F" w:rsidRPr="007225C9">
        <w:rPr>
          <w:rFonts w:ascii="Times New Roman" w:hAnsi="Times New Roman"/>
        </w:rPr>
        <w:t xml:space="preserve"> travel </w:t>
      </w:r>
      <w:r w:rsidR="001246AF" w:rsidRPr="007225C9">
        <w:rPr>
          <w:rFonts w:ascii="Times New Roman" w:hAnsi="Times New Roman"/>
        </w:rPr>
        <w:t>by any commercial aeroplane from 28 July 2022</w:t>
      </w:r>
      <w:r w:rsidR="00DA206C" w:rsidRPr="007225C9">
        <w:rPr>
          <w:rFonts w:ascii="Times New Roman" w:hAnsi="Times New Roman"/>
        </w:rPr>
        <w:t>,</w:t>
      </w:r>
      <w:r w:rsidR="001246AF" w:rsidRPr="007225C9">
        <w:rPr>
          <w:rFonts w:ascii="Times New Roman" w:hAnsi="Times New Roman"/>
        </w:rPr>
        <w:t xml:space="preserve"> </w:t>
      </w:r>
      <w:proofErr w:type="gramStart"/>
      <w:r w:rsidR="00F10D9D" w:rsidRPr="007225C9">
        <w:rPr>
          <w:rFonts w:ascii="Times New Roman" w:hAnsi="Times New Roman"/>
        </w:rPr>
        <w:t>a</w:t>
      </w:r>
      <w:r w:rsidR="0056554C" w:rsidRPr="007225C9">
        <w:rPr>
          <w:rFonts w:ascii="Times New Roman" w:hAnsi="Times New Roman"/>
        </w:rPr>
        <w:t>s a consequence of</w:t>
      </w:r>
      <w:proofErr w:type="gramEnd"/>
      <w:r w:rsidR="0056554C" w:rsidRPr="007225C9">
        <w:rPr>
          <w:rFonts w:ascii="Times New Roman" w:hAnsi="Times New Roman"/>
        </w:rPr>
        <w:t xml:space="preserve"> which </w:t>
      </w:r>
      <w:r w:rsidR="00EC737E" w:rsidRPr="007225C9">
        <w:rPr>
          <w:rFonts w:ascii="Times New Roman" w:hAnsi="Times New Roman"/>
        </w:rPr>
        <w:t>he</w:t>
      </w:r>
      <w:r w:rsidR="0056554C" w:rsidRPr="007225C9">
        <w:rPr>
          <w:rFonts w:ascii="Times New Roman" w:hAnsi="Times New Roman"/>
        </w:rPr>
        <w:t xml:space="preserve"> was released </w:t>
      </w:r>
      <w:r w:rsidR="005B0344" w:rsidRPr="007225C9">
        <w:rPr>
          <w:rFonts w:ascii="Times New Roman" w:hAnsi="Times New Roman"/>
        </w:rPr>
        <w:t xml:space="preserve">from detention </w:t>
      </w:r>
      <w:r w:rsidR="00F10D9D" w:rsidRPr="007225C9">
        <w:rPr>
          <w:rFonts w:ascii="Times New Roman" w:hAnsi="Times New Roman"/>
        </w:rPr>
        <w:t>on 13 February 2024</w:t>
      </w:r>
      <w:r w:rsidR="005B0344" w:rsidRPr="007225C9">
        <w:rPr>
          <w:rFonts w:ascii="Times New Roman" w:hAnsi="Times New Roman"/>
        </w:rPr>
        <w:t xml:space="preserve">. </w:t>
      </w:r>
    </w:p>
    <w:p w14:paraId="4575F11C" w14:textId="67024FF6" w:rsidR="002A4663" w:rsidRPr="007225C9" w:rsidRDefault="00EC737E" w:rsidP="007225C9">
      <w:pPr>
        <w:pStyle w:val="FixListStyle"/>
        <w:spacing w:after="260" w:line="280" w:lineRule="exact"/>
        <w:ind w:right="0"/>
        <w:jc w:val="both"/>
        <w:rPr>
          <w:rFonts w:ascii="Times New Roman" w:hAnsi="Times New Roman"/>
        </w:rPr>
      </w:pPr>
      <w:r w:rsidRPr="007225C9">
        <w:rPr>
          <w:rFonts w:ascii="Times New Roman" w:hAnsi="Times New Roman"/>
        </w:rPr>
        <w:tab/>
      </w:r>
      <w:r w:rsidR="005B0344" w:rsidRPr="007225C9">
        <w:rPr>
          <w:rFonts w:ascii="Times New Roman" w:hAnsi="Times New Roman"/>
        </w:rPr>
        <w:t xml:space="preserve">The part of the matter </w:t>
      </w:r>
      <w:r w:rsidR="00AF1645" w:rsidRPr="007225C9">
        <w:rPr>
          <w:rFonts w:ascii="Times New Roman" w:hAnsi="Times New Roman"/>
        </w:rPr>
        <w:t xml:space="preserve">that had been </w:t>
      </w:r>
      <w:r w:rsidR="005B0344" w:rsidRPr="007225C9">
        <w:rPr>
          <w:rFonts w:ascii="Times New Roman" w:hAnsi="Times New Roman"/>
        </w:rPr>
        <w:t>remitted to the FCFCOA</w:t>
      </w:r>
      <w:r w:rsidR="0056554C" w:rsidRPr="007225C9">
        <w:rPr>
          <w:rFonts w:ascii="Times New Roman" w:hAnsi="Times New Roman"/>
        </w:rPr>
        <w:t xml:space="preserve"> was </w:t>
      </w:r>
      <w:r w:rsidR="005B0344" w:rsidRPr="007225C9">
        <w:rPr>
          <w:rFonts w:ascii="Times New Roman" w:hAnsi="Times New Roman"/>
        </w:rPr>
        <w:t>subsequently resolved</w:t>
      </w:r>
      <w:r w:rsidR="00FC6D40" w:rsidRPr="007225C9">
        <w:rPr>
          <w:rFonts w:ascii="Times New Roman" w:hAnsi="Times New Roman"/>
        </w:rPr>
        <w:t xml:space="preserve"> by </w:t>
      </w:r>
      <w:r w:rsidR="00DE7803" w:rsidRPr="007225C9">
        <w:rPr>
          <w:rFonts w:ascii="Times New Roman" w:hAnsi="Times New Roman"/>
        </w:rPr>
        <w:t xml:space="preserve">the FCFCOA </w:t>
      </w:r>
      <w:r w:rsidR="00FC6D40" w:rsidRPr="007225C9">
        <w:rPr>
          <w:rFonts w:ascii="Times New Roman" w:hAnsi="Times New Roman"/>
        </w:rPr>
        <w:t>making orders by consent</w:t>
      </w:r>
      <w:r w:rsidR="00C6609C" w:rsidRPr="007225C9">
        <w:rPr>
          <w:rFonts w:ascii="Times New Roman" w:hAnsi="Times New Roman"/>
        </w:rPr>
        <w:t>. Those orders</w:t>
      </w:r>
      <w:r w:rsidR="00DE7803" w:rsidRPr="007225C9">
        <w:rPr>
          <w:rFonts w:ascii="Times New Roman" w:hAnsi="Times New Roman"/>
        </w:rPr>
        <w:t xml:space="preserve"> included a declaration </w:t>
      </w:r>
      <w:r w:rsidR="00523185" w:rsidRPr="007225C9">
        <w:rPr>
          <w:rFonts w:ascii="Times New Roman" w:hAnsi="Times New Roman"/>
        </w:rPr>
        <w:t xml:space="preserve">to the effect </w:t>
      </w:r>
      <w:r w:rsidR="00DE7803" w:rsidRPr="007225C9">
        <w:rPr>
          <w:rFonts w:ascii="Times New Roman" w:hAnsi="Times New Roman"/>
        </w:rPr>
        <w:t>that</w:t>
      </w:r>
      <w:r w:rsidR="0046125F" w:rsidRPr="007225C9">
        <w:rPr>
          <w:rFonts w:ascii="Times New Roman" w:hAnsi="Times New Roman"/>
        </w:rPr>
        <w:t xml:space="preserve">, </w:t>
      </w:r>
      <w:r w:rsidR="005963DB" w:rsidRPr="007225C9">
        <w:rPr>
          <w:rFonts w:ascii="Times New Roman" w:hAnsi="Times New Roman"/>
        </w:rPr>
        <w:t>throughout the period from 28 July 2022 to 13 February 2024</w:t>
      </w:r>
      <w:r w:rsidR="0046125F" w:rsidRPr="007225C9">
        <w:rPr>
          <w:rFonts w:ascii="Times New Roman" w:hAnsi="Times New Roman"/>
        </w:rPr>
        <w:t xml:space="preserve">, </w:t>
      </w:r>
      <w:r w:rsidR="009F17F8" w:rsidRPr="007225C9">
        <w:rPr>
          <w:rFonts w:ascii="Times New Roman" w:hAnsi="Times New Roman"/>
        </w:rPr>
        <w:t xml:space="preserve">there was </w:t>
      </w:r>
      <w:r w:rsidR="00523185" w:rsidRPr="007225C9">
        <w:rPr>
          <w:rFonts w:ascii="Times New Roman" w:hAnsi="Times New Roman"/>
        </w:rPr>
        <w:t>no</w:t>
      </w:r>
      <w:r w:rsidR="009F17F8" w:rsidRPr="007225C9">
        <w:rPr>
          <w:rFonts w:ascii="Times New Roman" w:hAnsi="Times New Roman"/>
        </w:rPr>
        <w:t xml:space="preserve"> real prospect of removal of the plaintiff from Australia becoming practicable in the reasonably foreseeable future</w:t>
      </w:r>
      <w:r w:rsidR="005018AF" w:rsidRPr="007225C9">
        <w:rPr>
          <w:rFonts w:ascii="Times New Roman" w:hAnsi="Times New Roman"/>
        </w:rPr>
        <w:t>,</w:t>
      </w:r>
      <w:r w:rsidR="009C1EF8" w:rsidRPr="007225C9">
        <w:rPr>
          <w:rFonts w:ascii="Times New Roman" w:hAnsi="Times New Roman"/>
        </w:rPr>
        <w:t xml:space="preserve"> </w:t>
      </w:r>
      <w:r w:rsidR="00523185" w:rsidRPr="007225C9">
        <w:rPr>
          <w:rFonts w:ascii="Times New Roman" w:hAnsi="Times New Roman"/>
        </w:rPr>
        <w:t>as a consequence</w:t>
      </w:r>
      <w:r w:rsidR="009C1EF8" w:rsidRPr="007225C9">
        <w:rPr>
          <w:rFonts w:ascii="Times New Roman" w:hAnsi="Times New Roman"/>
        </w:rPr>
        <w:t xml:space="preserve"> </w:t>
      </w:r>
      <w:r w:rsidR="0046125F" w:rsidRPr="007225C9">
        <w:rPr>
          <w:rFonts w:ascii="Times New Roman" w:hAnsi="Times New Roman"/>
        </w:rPr>
        <w:t xml:space="preserve">of which </w:t>
      </w:r>
      <w:r w:rsidR="009C1EF8" w:rsidRPr="007225C9">
        <w:rPr>
          <w:rFonts w:ascii="Times New Roman" w:hAnsi="Times New Roman"/>
        </w:rPr>
        <w:t xml:space="preserve">his detention during that period </w:t>
      </w:r>
      <w:r w:rsidR="00297A70" w:rsidRPr="007225C9">
        <w:rPr>
          <w:rFonts w:ascii="Times New Roman" w:hAnsi="Times New Roman"/>
        </w:rPr>
        <w:t>w</w:t>
      </w:r>
      <w:r w:rsidR="009C1EF8" w:rsidRPr="007225C9">
        <w:rPr>
          <w:rFonts w:ascii="Times New Roman" w:hAnsi="Times New Roman"/>
        </w:rPr>
        <w:t>as not authorised by</w:t>
      </w:r>
      <w:r w:rsidR="00297A70" w:rsidRPr="007225C9">
        <w:rPr>
          <w:rFonts w:ascii="Times New Roman" w:hAnsi="Times New Roman"/>
        </w:rPr>
        <w:t xml:space="preserve"> ss</w:t>
      </w:r>
      <w:r w:rsidR="00593620">
        <w:rPr>
          <w:rFonts w:ascii="Times New Roman" w:hAnsi="Times New Roman"/>
        </w:rPr>
        <w:t> </w:t>
      </w:r>
      <w:r w:rsidR="00297A70" w:rsidRPr="007225C9">
        <w:rPr>
          <w:rFonts w:ascii="Times New Roman" w:hAnsi="Times New Roman"/>
        </w:rPr>
        <w:t xml:space="preserve">189(1) and 196(1) of the </w:t>
      </w:r>
      <w:r w:rsidR="00297A70" w:rsidRPr="007225C9">
        <w:rPr>
          <w:rFonts w:ascii="Times New Roman" w:hAnsi="Times New Roman"/>
          <w:i/>
          <w:iCs/>
        </w:rPr>
        <w:t>Migration Act</w:t>
      </w:r>
      <w:r w:rsidR="00297A70" w:rsidRPr="007225C9">
        <w:rPr>
          <w:rFonts w:ascii="Times New Roman" w:hAnsi="Times New Roman"/>
        </w:rPr>
        <w:t xml:space="preserve">. </w:t>
      </w:r>
    </w:p>
    <w:p w14:paraId="0429461A" w14:textId="66FCC2D2" w:rsidR="0031390E" w:rsidRPr="007225C9" w:rsidRDefault="00CD010E" w:rsidP="007225C9">
      <w:pPr>
        <w:pStyle w:val="FixListStyle"/>
        <w:spacing w:after="260" w:line="280" w:lineRule="exact"/>
        <w:ind w:right="0"/>
        <w:jc w:val="both"/>
        <w:rPr>
          <w:rFonts w:ascii="Times New Roman" w:hAnsi="Times New Roman"/>
        </w:rPr>
      </w:pPr>
      <w:r w:rsidRPr="007225C9">
        <w:rPr>
          <w:rFonts w:ascii="Times New Roman" w:hAnsi="Times New Roman"/>
        </w:rPr>
        <w:tab/>
      </w:r>
      <w:r w:rsidR="005018AF" w:rsidRPr="007225C9">
        <w:rPr>
          <w:rFonts w:ascii="Times New Roman" w:hAnsi="Times New Roman"/>
        </w:rPr>
        <w:t xml:space="preserve">Before this Court, the </w:t>
      </w:r>
      <w:r w:rsidR="000E4F6B" w:rsidRPr="007225C9">
        <w:rPr>
          <w:rFonts w:ascii="Times New Roman" w:hAnsi="Times New Roman"/>
        </w:rPr>
        <w:t xml:space="preserve">parties </w:t>
      </w:r>
      <w:r w:rsidR="004B260A" w:rsidRPr="007225C9">
        <w:rPr>
          <w:rFonts w:ascii="Times New Roman" w:hAnsi="Times New Roman"/>
        </w:rPr>
        <w:t>are</w:t>
      </w:r>
      <w:r w:rsidR="00364BC5" w:rsidRPr="007225C9">
        <w:rPr>
          <w:rFonts w:ascii="Times New Roman" w:hAnsi="Times New Roman"/>
        </w:rPr>
        <w:t xml:space="preserve"> agreed that</w:t>
      </w:r>
      <w:r w:rsidR="004B260A" w:rsidRPr="007225C9">
        <w:rPr>
          <w:rFonts w:ascii="Times New Roman" w:hAnsi="Times New Roman"/>
        </w:rPr>
        <w:t>,</w:t>
      </w:r>
      <w:r w:rsidR="00364BC5" w:rsidRPr="007225C9">
        <w:rPr>
          <w:rFonts w:ascii="Times New Roman" w:hAnsi="Times New Roman"/>
        </w:rPr>
        <w:t xml:space="preserve"> </w:t>
      </w:r>
      <w:r w:rsidR="00C323DA" w:rsidRPr="007225C9">
        <w:rPr>
          <w:rFonts w:ascii="Times New Roman" w:hAnsi="Times New Roman"/>
        </w:rPr>
        <w:t xml:space="preserve">from </w:t>
      </w:r>
      <w:r w:rsidR="005C0ED1" w:rsidRPr="007225C9">
        <w:rPr>
          <w:rFonts w:ascii="Times New Roman" w:hAnsi="Times New Roman"/>
        </w:rPr>
        <w:t xml:space="preserve">the time of </w:t>
      </w:r>
      <w:r w:rsidR="00413F2F" w:rsidRPr="007225C9">
        <w:rPr>
          <w:rFonts w:ascii="Times New Roman" w:hAnsi="Times New Roman"/>
        </w:rPr>
        <w:t xml:space="preserve">his </w:t>
      </w:r>
      <w:r w:rsidR="00C323DA" w:rsidRPr="007225C9">
        <w:rPr>
          <w:rFonts w:ascii="Times New Roman" w:hAnsi="Times New Roman"/>
        </w:rPr>
        <w:t xml:space="preserve">detention </w:t>
      </w:r>
      <w:r w:rsidR="009E4B0E" w:rsidRPr="007225C9">
        <w:rPr>
          <w:rFonts w:ascii="Times New Roman" w:hAnsi="Times New Roman"/>
        </w:rPr>
        <w:t>on 22 August 2017 until</w:t>
      </w:r>
      <w:r w:rsidR="005C0ED1" w:rsidRPr="007225C9">
        <w:rPr>
          <w:rFonts w:ascii="Times New Roman" w:hAnsi="Times New Roman"/>
        </w:rPr>
        <w:t xml:space="preserve"> the time of</w:t>
      </w:r>
      <w:r w:rsidR="009E4B0E" w:rsidRPr="007225C9">
        <w:rPr>
          <w:rFonts w:ascii="Times New Roman" w:hAnsi="Times New Roman"/>
        </w:rPr>
        <w:t xml:space="preserve"> his release on </w:t>
      </w:r>
      <w:r w:rsidR="0030230A" w:rsidRPr="007225C9">
        <w:rPr>
          <w:rFonts w:ascii="Times New Roman" w:hAnsi="Times New Roman"/>
        </w:rPr>
        <w:t>13 February 2024, the plaintiff</w:t>
      </w:r>
      <w:r w:rsidR="0052125A" w:rsidRPr="007225C9">
        <w:rPr>
          <w:rFonts w:ascii="Times New Roman" w:hAnsi="Times New Roman"/>
        </w:rPr>
        <w:t xml:space="preserve">: </w:t>
      </w:r>
      <w:r w:rsidR="0030230A" w:rsidRPr="007225C9">
        <w:rPr>
          <w:rFonts w:ascii="Times New Roman" w:hAnsi="Times New Roman"/>
        </w:rPr>
        <w:t xml:space="preserve">was an </w:t>
      </w:r>
      <w:r w:rsidR="00C64DBE" w:rsidRPr="007225C9">
        <w:rPr>
          <w:rFonts w:ascii="Times New Roman" w:hAnsi="Times New Roman"/>
        </w:rPr>
        <w:t>"</w:t>
      </w:r>
      <w:r w:rsidR="00224534" w:rsidRPr="007225C9">
        <w:rPr>
          <w:rFonts w:ascii="Times New Roman" w:hAnsi="Times New Roman"/>
        </w:rPr>
        <w:t>unlawful non-citizen</w:t>
      </w:r>
      <w:r w:rsidR="00C64DBE" w:rsidRPr="007225C9">
        <w:rPr>
          <w:rFonts w:ascii="Times New Roman" w:hAnsi="Times New Roman"/>
        </w:rPr>
        <w:t>"</w:t>
      </w:r>
      <w:r w:rsidR="00224534" w:rsidRPr="007225C9">
        <w:rPr>
          <w:rFonts w:ascii="Times New Roman" w:hAnsi="Times New Roman"/>
        </w:rPr>
        <w:t xml:space="preserve"> </w:t>
      </w:r>
      <w:r w:rsidR="00B52490" w:rsidRPr="007225C9">
        <w:rPr>
          <w:rFonts w:ascii="Times New Roman" w:hAnsi="Times New Roman"/>
        </w:rPr>
        <w:t xml:space="preserve">within the meaning of the </w:t>
      </w:r>
      <w:r w:rsidR="00B52490" w:rsidRPr="007225C9">
        <w:rPr>
          <w:rFonts w:ascii="Times New Roman" w:hAnsi="Times New Roman"/>
          <w:i/>
          <w:iCs/>
        </w:rPr>
        <w:t>Migration Act</w:t>
      </w:r>
      <w:r w:rsidR="0052125A" w:rsidRPr="007225C9">
        <w:rPr>
          <w:rFonts w:ascii="Times New Roman" w:hAnsi="Times New Roman"/>
        </w:rPr>
        <w:t>;</w:t>
      </w:r>
      <w:r w:rsidR="00C64DBE" w:rsidRPr="007225C9">
        <w:rPr>
          <w:rStyle w:val="FootnoteReference"/>
          <w:rFonts w:ascii="Times New Roman" w:hAnsi="Times New Roman"/>
          <w:sz w:val="24"/>
        </w:rPr>
        <w:footnoteReference w:id="14"/>
      </w:r>
      <w:r w:rsidR="0052125A" w:rsidRPr="007225C9">
        <w:rPr>
          <w:rFonts w:ascii="Times New Roman" w:hAnsi="Times New Roman"/>
        </w:rPr>
        <w:t xml:space="preserve"> </w:t>
      </w:r>
      <w:r w:rsidR="004B260A" w:rsidRPr="007225C9">
        <w:rPr>
          <w:rFonts w:ascii="Times New Roman" w:hAnsi="Times New Roman"/>
        </w:rPr>
        <w:t xml:space="preserve">and </w:t>
      </w:r>
      <w:r w:rsidR="00011625" w:rsidRPr="007225C9">
        <w:rPr>
          <w:rFonts w:ascii="Times New Roman" w:hAnsi="Times New Roman"/>
        </w:rPr>
        <w:t>was detained by an</w:t>
      </w:r>
      <w:r w:rsidR="00DC4359" w:rsidRPr="007225C9">
        <w:rPr>
          <w:rFonts w:ascii="Times New Roman" w:hAnsi="Times New Roman"/>
        </w:rPr>
        <w:t xml:space="preserve"> officer </w:t>
      </w:r>
      <w:r w:rsidR="003D5C71" w:rsidRPr="007225C9">
        <w:rPr>
          <w:rFonts w:ascii="Times New Roman" w:hAnsi="Times New Roman"/>
        </w:rPr>
        <w:t xml:space="preserve">in </w:t>
      </w:r>
      <w:r w:rsidR="00C64DBE" w:rsidRPr="007225C9">
        <w:rPr>
          <w:rFonts w:ascii="Times New Roman" w:hAnsi="Times New Roman"/>
        </w:rPr>
        <w:t>"</w:t>
      </w:r>
      <w:r w:rsidR="003D5C71" w:rsidRPr="007225C9">
        <w:rPr>
          <w:rFonts w:ascii="Times New Roman" w:hAnsi="Times New Roman"/>
        </w:rPr>
        <w:t>immigration detention</w:t>
      </w:r>
      <w:r w:rsidR="00C64DBE" w:rsidRPr="007225C9">
        <w:rPr>
          <w:rFonts w:ascii="Times New Roman" w:hAnsi="Times New Roman"/>
        </w:rPr>
        <w:t>"</w:t>
      </w:r>
      <w:r w:rsidR="003D5C71" w:rsidRPr="007225C9">
        <w:rPr>
          <w:rFonts w:ascii="Times New Roman" w:hAnsi="Times New Roman"/>
        </w:rPr>
        <w:t xml:space="preserve"> within the meaning of the </w:t>
      </w:r>
      <w:r w:rsidR="003D5C71" w:rsidRPr="007225C9">
        <w:rPr>
          <w:rFonts w:ascii="Times New Roman" w:hAnsi="Times New Roman"/>
          <w:i/>
          <w:iCs/>
        </w:rPr>
        <w:t>Migration Act</w:t>
      </w:r>
      <w:r w:rsidR="003D5C71" w:rsidRPr="007225C9">
        <w:rPr>
          <w:rFonts w:ascii="Times New Roman" w:hAnsi="Times New Roman"/>
        </w:rPr>
        <w:t>.</w:t>
      </w:r>
      <w:r w:rsidR="00C64DBE" w:rsidRPr="007225C9">
        <w:rPr>
          <w:rStyle w:val="FootnoteReference"/>
          <w:rFonts w:ascii="Times New Roman" w:hAnsi="Times New Roman"/>
          <w:sz w:val="24"/>
        </w:rPr>
        <w:footnoteReference w:id="15"/>
      </w:r>
      <w:r w:rsidR="003D5C71" w:rsidRPr="007225C9">
        <w:rPr>
          <w:rFonts w:ascii="Times New Roman" w:hAnsi="Times New Roman"/>
        </w:rPr>
        <w:t xml:space="preserve"> </w:t>
      </w:r>
    </w:p>
    <w:p w14:paraId="5F5E4652" w14:textId="686C85F7" w:rsidR="008D7CA1" w:rsidRPr="007225C9" w:rsidRDefault="0031390E" w:rsidP="007225C9">
      <w:pPr>
        <w:pStyle w:val="FixListStyle"/>
        <w:spacing w:after="260" w:line="280" w:lineRule="exact"/>
        <w:ind w:right="0"/>
        <w:jc w:val="both"/>
        <w:rPr>
          <w:rFonts w:ascii="Times New Roman" w:hAnsi="Times New Roman"/>
        </w:rPr>
      </w:pPr>
      <w:r w:rsidRPr="007225C9">
        <w:rPr>
          <w:rFonts w:ascii="Times New Roman" w:hAnsi="Times New Roman"/>
        </w:rPr>
        <w:tab/>
      </w:r>
      <w:r w:rsidR="003D5C71" w:rsidRPr="007225C9">
        <w:rPr>
          <w:rFonts w:ascii="Times New Roman" w:hAnsi="Times New Roman"/>
        </w:rPr>
        <w:t xml:space="preserve">The parties are also agreed that, </w:t>
      </w:r>
      <w:r w:rsidR="009C629B" w:rsidRPr="007225C9">
        <w:rPr>
          <w:rFonts w:ascii="Times New Roman" w:hAnsi="Times New Roman"/>
        </w:rPr>
        <w:t>during</w:t>
      </w:r>
      <w:r w:rsidR="00C67939" w:rsidRPr="007225C9">
        <w:rPr>
          <w:rFonts w:ascii="Times New Roman" w:hAnsi="Times New Roman"/>
        </w:rPr>
        <w:t xml:space="preserve"> the period </w:t>
      </w:r>
      <w:r w:rsidR="003D5C71" w:rsidRPr="007225C9">
        <w:rPr>
          <w:rFonts w:ascii="Times New Roman" w:hAnsi="Times New Roman"/>
        </w:rPr>
        <w:t xml:space="preserve">from 28 July 2022 </w:t>
      </w:r>
      <w:r w:rsidR="00C67939" w:rsidRPr="007225C9">
        <w:rPr>
          <w:rFonts w:ascii="Times New Roman" w:hAnsi="Times New Roman"/>
        </w:rPr>
        <w:t>to</w:t>
      </w:r>
      <w:r w:rsidR="002F0535" w:rsidRPr="007225C9">
        <w:rPr>
          <w:rFonts w:ascii="Times New Roman" w:hAnsi="Times New Roman"/>
        </w:rPr>
        <w:t xml:space="preserve"> </w:t>
      </w:r>
      <w:r w:rsidR="00BC0B12" w:rsidRPr="007225C9">
        <w:rPr>
          <w:rFonts w:ascii="Times New Roman" w:hAnsi="Times New Roman"/>
        </w:rPr>
        <w:t>8</w:t>
      </w:r>
      <w:r w:rsidR="00D26F0E">
        <w:rPr>
          <w:rFonts w:ascii="Times New Roman" w:hAnsi="Times New Roman"/>
        </w:rPr>
        <w:t> </w:t>
      </w:r>
      <w:r w:rsidR="00BC0B12" w:rsidRPr="007225C9">
        <w:rPr>
          <w:rFonts w:ascii="Times New Roman" w:hAnsi="Times New Roman"/>
        </w:rPr>
        <w:t xml:space="preserve">November </w:t>
      </w:r>
      <w:r w:rsidR="003D5C71" w:rsidRPr="007225C9">
        <w:rPr>
          <w:rFonts w:ascii="Times New Roman" w:hAnsi="Times New Roman"/>
        </w:rPr>
        <w:t>202</w:t>
      </w:r>
      <w:r w:rsidR="00BC0B12" w:rsidRPr="007225C9">
        <w:rPr>
          <w:rFonts w:ascii="Times New Roman" w:hAnsi="Times New Roman"/>
        </w:rPr>
        <w:t>3</w:t>
      </w:r>
      <w:r w:rsidR="00C67939" w:rsidRPr="007225C9">
        <w:rPr>
          <w:rFonts w:ascii="Times New Roman" w:hAnsi="Times New Roman"/>
        </w:rPr>
        <w:t xml:space="preserve"> </w:t>
      </w:r>
      <w:r w:rsidR="009C629B" w:rsidRPr="007225C9">
        <w:rPr>
          <w:rFonts w:ascii="Times New Roman" w:hAnsi="Times New Roman"/>
        </w:rPr>
        <w:t xml:space="preserve">when the plaintiff continued to be detained </w:t>
      </w:r>
      <w:r w:rsidR="00BB3D78" w:rsidRPr="007225C9">
        <w:rPr>
          <w:rFonts w:ascii="Times New Roman" w:hAnsi="Times New Roman"/>
        </w:rPr>
        <w:t>with</w:t>
      </w:r>
      <w:r w:rsidR="00C67939" w:rsidRPr="007225C9">
        <w:rPr>
          <w:rFonts w:ascii="Times New Roman" w:hAnsi="Times New Roman"/>
        </w:rPr>
        <w:t xml:space="preserve"> no real prospect of</w:t>
      </w:r>
      <w:r w:rsidR="009C629B" w:rsidRPr="007225C9">
        <w:rPr>
          <w:rFonts w:ascii="Times New Roman" w:hAnsi="Times New Roman"/>
        </w:rPr>
        <w:t xml:space="preserve"> </w:t>
      </w:r>
      <w:r w:rsidR="00C67939" w:rsidRPr="007225C9">
        <w:rPr>
          <w:rFonts w:ascii="Times New Roman" w:hAnsi="Times New Roman"/>
        </w:rPr>
        <w:t xml:space="preserve">removal from Australia becoming practicable in the reasonably foreseeable </w:t>
      </w:r>
      <w:r w:rsidR="00C67939" w:rsidRPr="007225C9">
        <w:rPr>
          <w:rFonts w:ascii="Times New Roman" w:hAnsi="Times New Roman"/>
        </w:rPr>
        <w:lastRenderedPageBreak/>
        <w:t>future</w:t>
      </w:r>
      <w:r w:rsidR="004E29E1" w:rsidRPr="007225C9">
        <w:rPr>
          <w:rFonts w:ascii="Times New Roman" w:hAnsi="Times New Roman"/>
        </w:rPr>
        <w:t>,</w:t>
      </w:r>
      <w:r w:rsidR="003D5C71" w:rsidRPr="007225C9">
        <w:rPr>
          <w:rFonts w:ascii="Times New Roman" w:hAnsi="Times New Roman"/>
        </w:rPr>
        <w:t xml:space="preserve"> </w:t>
      </w:r>
      <w:r w:rsidR="00AD260A" w:rsidRPr="007225C9">
        <w:rPr>
          <w:rFonts w:ascii="Times New Roman" w:hAnsi="Times New Roman"/>
        </w:rPr>
        <w:t>the detaining officer</w:t>
      </w:r>
      <w:r w:rsidR="00693E81" w:rsidRPr="007225C9">
        <w:rPr>
          <w:rFonts w:ascii="Times New Roman" w:hAnsi="Times New Roman"/>
        </w:rPr>
        <w:t xml:space="preserve">: </w:t>
      </w:r>
      <w:r w:rsidR="00585F1A" w:rsidRPr="007225C9">
        <w:rPr>
          <w:rFonts w:ascii="Times New Roman" w:hAnsi="Times New Roman"/>
        </w:rPr>
        <w:t xml:space="preserve">was an employee of the Commonwealth </w:t>
      </w:r>
      <w:r w:rsidR="00AF4431" w:rsidRPr="007225C9">
        <w:rPr>
          <w:rFonts w:ascii="Times New Roman" w:hAnsi="Times New Roman"/>
        </w:rPr>
        <w:t xml:space="preserve">employed under the </w:t>
      </w:r>
      <w:r w:rsidR="00AF4431" w:rsidRPr="007225C9">
        <w:rPr>
          <w:rFonts w:ascii="Times New Roman" w:hAnsi="Times New Roman"/>
          <w:i/>
          <w:iCs/>
        </w:rPr>
        <w:t>Public Service Act</w:t>
      </w:r>
      <w:r w:rsidR="00F02DA5" w:rsidRPr="007225C9">
        <w:rPr>
          <w:rFonts w:ascii="Times New Roman" w:hAnsi="Times New Roman"/>
          <w:i/>
          <w:iCs/>
        </w:rPr>
        <w:t xml:space="preserve"> </w:t>
      </w:r>
      <w:r w:rsidR="00F02DA5" w:rsidRPr="007225C9">
        <w:rPr>
          <w:rFonts w:ascii="Times New Roman" w:hAnsi="Times New Roman"/>
        </w:rPr>
        <w:t xml:space="preserve">and an "officer" within the meaning of the </w:t>
      </w:r>
      <w:r w:rsidR="00F02DA5" w:rsidRPr="007225C9">
        <w:rPr>
          <w:rFonts w:ascii="Times New Roman" w:hAnsi="Times New Roman"/>
          <w:i/>
          <w:iCs/>
        </w:rPr>
        <w:t>Migration Act</w:t>
      </w:r>
      <w:r w:rsidR="00693E81" w:rsidRPr="007225C9">
        <w:rPr>
          <w:rFonts w:ascii="Times New Roman" w:hAnsi="Times New Roman"/>
        </w:rPr>
        <w:t>;</w:t>
      </w:r>
      <w:r w:rsidR="00BC0B12" w:rsidRPr="007225C9">
        <w:rPr>
          <w:rStyle w:val="FootnoteReference"/>
          <w:rFonts w:ascii="Times New Roman" w:hAnsi="Times New Roman"/>
          <w:sz w:val="24"/>
        </w:rPr>
        <w:footnoteReference w:id="16"/>
      </w:r>
      <w:r w:rsidR="00693E81" w:rsidRPr="007225C9">
        <w:rPr>
          <w:rFonts w:ascii="Times New Roman" w:hAnsi="Times New Roman"/>
        </w:rPr>
        <w:t xml:space="preserve"> </w:t>
      </w:r>
      <w:r w:rsidR="00983579" w:rsidRPr="007225C9">
        <w:rPr>
          <w:rFonts w:ascii="Times New Roman" w:hAnsi="Times New Roman"/>
        </w:rPr>
        <w:t>was required as part of his duties</w:t>
      </w:r>
      <w:r w:rsidR="00C66A2F" w:rsidRPr="007225C9">
        <w:rPr>
          <w:rFonts w:ascii="Times New Roman" w:hAnsi="Times New Roman"/>
        </w:rPr>
        <w:t xml:space="preserve"> to assess from time to time whether he knew or reasonably suspected that </w:t>
      </w:r>
      <w:r w:rsidR="009B6329" w:rsidRPr="007225C9">
        <w:rPr>
          <w:rFonts w:ascii="Times New Roman" w:hAnsi="Times New Roman"/>
        </w:rPr>
        <w:t xml:space="preserve">persons including </w:t>
      </w:r>
      <w:r w:rsidR="00C66A2F" w:rsidRPr="007225C9">
        <w:rPr>
          <w:rFonts w:ascii="Times New Roman" w:hAnsi="Times New Roman"/>
        </w:rPr>
        <w:t>the plaintiff</w:t>
      </w:r>
      <w:r w:rsidR="009B6329" w:rsidRPr="007225C9">
        <w:rPr>
          <w:rFonts w:ascii="Times New Roman" w:hAnsi="Times New Roman"/>
        </w:rPr>
        <w:t xml:space="preserve"> were unlawful non-citizen</w:t>
      </w:r>
      <w:r w:rsidR="00B91058" w:rsidRPr="007225C9">
        <w:rPr>
          <w:rFonts w:ascii="Times New Roman" w:hAnsi="Times New Roman"/>
        </w:rPr>
        <w:t>s and, if so, to keep them in immigration detention under ss 189(1) and</w:t>
      </w:r>
      <w:r w:rsidR="00D26F0E">
        <w:rPr>
          <w:rFonts w:ascii="Times New Roman" w:hAnsi="Times New Roman"/>
        </w:rPr>
        <w:t xml:space="preserve"> </w:t>
      </w:r>
      <w:r w:rsidR="00B91058" w:rsidRPr="007225C9">
        <w:rPr>
          <w:rFonts w:ascii="Times New Roman" w:hAnsi="Times New Roman"/>
        </w:rPr>
        <w:t xml:space="preserve">196(1) of the </w:t>
      </w:r>
      <w:r w:rsidR="00B91058" w:rsidRPr="007225C9">
        <w:rPr>
          <w:rFonts w:ascii="Times New Roman" w:hAnsi="Times New Roman"/>
          <w:i/>
          <w:iCs/>
        </w:rPr>
        <w:t>Migration Act</w:t>
      </w:r>
      <w:r w:rsidR="00C84259" w:rsidRPr="007225C9">
        <w:rPr>
          <w:rFonts w:ascii="Times New Roman" w:hAnsi="Times New Roman"/>
        </w:rPr>
        <w:t>; and</w:t>
      </w:r>
      <w:r w:rsidR="008D7CA1" w:rsidRPr="007225C9">
        <w:rPr>
          <w:rFonts w:ascii="Times New Roman" w:hAnsi="Times New Roman"/>
        </w:rPr>
        <w:t xml:space="preserve"> </w:t>
      </w:r>
      <w:r w:rsidR="00B862D5" w:rsidRPr="007225C9">
        <w:rPr>
          <w:rFonts w:ascii="Times New Roman" w:hAnsi="Times New Roman"/>
        </w:rPr>
        <w:t xml:space="preserve">reasonably suspected that the plaintiff was </w:t>
      </w:r>
      <w:r w:rsidR="007402CD" w:rsidRPr="007225C9">
        <w:rPr>
          <w:rFonts w:ascii="Times New Roman" w:hAnsi="Times New Roman"/>
        </w:rPr>
        <w:t xml:space="preserve">an unlawful non-citizen. </w:t>
      </w:r>
    </w:p>
    <w:p w14:paraId="01D27929" w14:textId="477857F5" w:rsidR="00CD010E" w:rsidRPr="007225C9" w:rsidRDefault="008D7CA1" w:rsidP="007225C9">
      <w:pPr>
        <w:pStyle w:val="FixListStyle"/>
        <w:spacing w:after="260" w:line="280" w:lineRule="exact"/>
        <w:ind w:right="0"/>
        <w:jc w:val="both"/>
        <w:rPr>
          <w:rFonts w:ascii="Times New Roman" w:hAnsi="Times New Roman"/>
        </w:rPr>
      </w:pPr>
      <w:r w:rsidRPr="007225C9">
        <w:rPr>
          <w:rFonts w:ascii="Times New Roman" w:hAnsi="Times New Roman"/>
        </w:rPr>
        <w:tab/>
      </w:r>
      <w:r w:rsidR="00BB3DD8" w:rsidRPr="007225C9">
        <w:rPr>
          <w:rFonts w:ascii="Times New Roman" w:hAnsi="Times New Roman"/>
        </w:rPr>
        <w:t xml:space="preserve">Having regard to </w:t>
      </w:r>
      <w:r w:rsidR="00BB3DD8" w:rsidRPr="007225C9">
        <w:rPr>
          <w:rFonts w:ascii="Times New Roman" w:hAnsi="Times New Roman"/>
          <w:i/>
          <w:iCs/>
        </w:rPr>
        <w:t xml:space="preserve">Al-Kateb </w:t>
      </w:r>
      <w:r w:rsidR="003B5B15" w:rsidRPr="007225C9">
        <w:rPr>
          <w:rFonts w:ascii="Times New Roman" w:hAnsi="Times New Roman"/>
        </w:rPr>
        <w:t xml:space="preserve">having held ss 189(1) and 196(1) of the </w:t>
      </w:r>
      <w:r w:rsidR="003B5B15" w:rsidRPr="007225C9">
        <w:rPr>
          <w:rFonts w:ascii="Times New Roman" w:hAnsi="Times New Roman"/>
          <w:i/>
          <w:iCs/>
        </w:rPr>
        <w:t>Migration Act</w:t>
      </w:r>
      <w:r w:rsidR="003B5B15" w:rsidRPr="007225C9">
        <w:rPr>
          <w:rFonts w:ascii="Times New Roman" w:hAnsi="Times New Roman"/>
        </w:rPr>
        <w:t xml:space="preserve"> </w:t>
      </w:r>
      <w:r w:rsidR="00E93ADF" w:rsidRPr="007225C9">
        <w:rPr>
          <w:rFonts w:ascii="Times New Roman" w:hAnsi="Times New Roman"/>
        </w:rPr>
        <w:t xml:space="preserve">not to be invalid </w:t>
      </w:r>
      <w:r w:rsidR="00806404" w:rsidRPr="007225C9">
        <w:rPr>
          <w:rFonts w:ascii="Times New Roman" w:hAnsi="Times New Roman"/>
        </w:rPr>
        <w:t xml:space="preserve">in their application to an unlawful non-citizen whose removal from Australia under s 198 </w:t>
      </w:r>
      <w:r w:rsidR="00BC0B12" w:rsidRPr="007225C9">
        <w:rPr>
          <w:rFonts w:ascii="Times New Roman" w:hAnsi="Times New Roman"/>
        </w:rPr>
        <w:t xml:space="preserve">had </w:t>
      </w:r>
      <w:r w:rsidR="00806404" w:rsidRPr="007225C9">
        <w:rPr>
          <w:rFonts w:ascii="Times New Roman" w:hAnsi="Times New Roman"/>
        </w:rPr>
        <w:t>no real prospect of becoming practicable in the reasonably foreseeable future</w:t>
      </w:r>
      <w:r w:rsidR="00C30AF2" w:rsidRPr="007225C9">
        <w:rPr>
          <w:rFonts w:ascii="Times New Roman" w:hAnsi="Times New Roman"/>
        </w:rPr>
        <w:t xml:space="preserve">, and having regard </w:t>
      </w:r>
      <w:r w:rsidR="00BB3DD8" w:rsidRPr="007225C9">
        <w:rPr>
          <w:rFonts w:ascii="Times New Roman" w:hAnsi="Times New Roman"/>
        </w:rPr>
        <w:t xml:space="preserve">to the requirement of s 13(4) of the </w:t>
      </w:r>
      <w:r w:rsidR="00BB3DD8" w:rsidRPr="007225C9">
        <w:rPr>
          <w:rFonts w:ascii="Times New Roman" w:hAnsi="Times New Roman"/>
          <w:i/>
          <w:iCs/>
        </w:rPr>
        <w:t xml:space="preserve">Public Service Act </w:t>
      </w:r>
      <w:r w:rsidR="00BB3DD8" w:rsidRPr="007225C9">
        <w:rPr>
          <w:rFonts w:ascii="Times New Roman" w:hAnsi="Times New Roman"/>
        </w:rPr>
        <w:t>t</w:t>
      </w:r>
      <w:r w:rsidR="00D32669" w:rsidRPr="007225C9">
        <w:rPr>
          <w:rFonts w:ascii="Times New Roman" w:hAnsi="Times New Roman"/>
        </w:rPr>
        <w:t>hat the detaining officer as an employee of</w:t>
      </w:r>
      <w:r w:rsidR="00465762" w:rsidRPr="007225C9">
        <w:rPr>
          <w:rFonts w:ascii="Times New Roman" w:hAnsi="Times New Roman"/>
        </w:rPr>
        <w:t xml:space="preserve"> the Commonwealth</w:t>
      </w:r>
      <w:r w:rsidR="00D32669" w:rsidRPr="007225C9">
        <w:rPr>
          <w:rFonts w:ascii="Times New Roman" w:hAnsi="Times New Roman"/>
        </w:rPr>
        <w:t xml:space="preserve"> </w:t>
      </w:r>
      <w:r w:rsidR="00BB3DD8" w:rsidRPr="007225C9">
        <w:rPr>
          <w:rFonts w:ascii="Times New Roman" w:hAnsi="Times New Roman"/>
        </w:rPr>
        <w:t>"</w:t>
      </w:r>
      <w:r w:rsidR="00A66A7C" w:rsidRPr="007225C9">
        <w:rPr>
          <w:rFonts w:ascii="Times New Roman" w:hAnsi="Times New Roman"/>
        </w:rPr>
        <w:t xml:space="preserve">must </w:t>
      </w:r>
      <w:r w:rsidR="00BB3DD8" w:rsidRPr="007225C9">
        <w:rPr>
          <w:rFonts w:ascii="Times New Roman" w:hAnsi="Times New Roman"/>
        </w:rPr>
        <w:t xml:space="preserve">comply with all applicable Australian laws", </w:t>
      </w:r>
      <w:r w:rsidR="00D32669" w:rsidRPr="007225C9">
        <w:rPr>
          <w:rFonts w:ascii="Times New Roman" w:hAnsi="Times New Roman"/>
        </w:rPr>
        <w:t>t</w:t>
      </w:r>
      <w:r w:rsidR="007402CD" w:rsidRPr="007225C9">
        <w:rPr>
          <w:rFonts w:ascii="Times New Roman" w:hAnsi="Times New Roman"/>
        </w:rPr>
        <w:t xml:space="preserve">he parties are further agreed that, throughout the period from 28 July 2022 until the time of the making of orders </w:t>
      </w:r>
      <w:r w:rsidR="00546D61" w:rsidRPr="007225C9">
        <w:rPr>
          <w:rFonts w:ascii="Times New Roman" w:hAnsi="Times New Roman"/>
        </w:rPr>
        <w:t xml:space="preserve">in </w:t>
      </w:r>
      <w:r w:rsidR="00546D61" w:rsidRPr="007225C9">
        <w:rPr>
          <w:rFonts w:ascii="Times New Roman" w:hAnsi="Times New Roman"/>
          <w:i/>
          <w:iCs/>
        </w:rPr>
        <w:t>NZYQ</w:t>
      </w:r>
      <w:r w:rsidR="00546D61" w:rsidRPr="007225C9">
        <w:rPr>
          <w:rFonts w:ascii="Times New Roman" w:hAnsi="Times New Roman"/>
        </w:rPr>
        <w:t xml:space="preserve"> on 8 November 2023</w:t>
      </w:r>
      <w:r w:rsidR="007402CD" w:rsidRPr="007225C9">
        <w:rPr>
          <w:rFonts w:ascii="Times New Roman" w:hAnsi="Times New Roman"/>
        </w:rPr>
        <w:t>,</w:t>
      </w:r>
      <w:r w:rsidR="00546D61" w:rsidRPr="007225C9">
        <w:rPr>
          <w:rFonts w:ascii="Times New Roman" w:hAnsi="Times New Roman"/>
        </w:rPr>
        <w:t xml:space="preserve"> </w:t>
      </w:r>
      <w:r w:rsidR="00AA0F07" w:rsidRPr="007225C9">
        <w:rPr>
          <w:rFonts w:ascii="Times New Roman" w:hAnsi="Times New Roman"/>
        </w:rPr>
        <w:t xml:space="preserve">the </w:t>
      </w:r>
      <w:r w:rsidR="006F0F40" w:rsidRPr="007225C9">
        <w:rPr>
          <w:rFonts w:ascii="Times New Roman" w:hAnsi="Times New Roman"/>
        </w:rPr>
        <w:t xml:space="preserve">detaining officer reasonably understood his duty </w:t>
      </w:r>
      <w:r w:rsidR="00761DC9" w:rsidRPr="007225C9">
        <w:rPr>
          <w:rFonts w:ascii="Times New Roman" w:hAnsi="Times New Roman"/>
        </w:rPr>
        <w:t xml:space="preserve">to </w:t>
      </w:r>
      <w:r w:rsidR="00EE5FA6" w:rsidRPr="007225C9">
        <w:rPr>
          <w:rFonts w:ascii="Times New Roman" w:hAnsi="Times New Roman"/>
        </w:rPr>
        <w:t xml:space="preserve">be to keep the </w:t>
      </w:r>
      <w:r w:rsidR="0003376D" w:rsidRPr="007225C9">
        <w:rPr>
          <w:rFonts w:ascii="Times New Roman" w:hAnsi="Times New Roman"/>
        </w:rPr>
        <w:t>plaintiff in immigration detention until the plaintiff was actually removed from Australia.</w:t>
      </w:r>
    </w:p>
    <w:p w14:paraId="508F78F1" w14:textId="3EEB49BB" w:rsidR="00087CC0" w:rsidRPr="007225C9" w:rsidRDefault="002D3BCE" w:rsidP="007225C9">
      <w:pPr>
        <w:pStyle w:val="FixListStyle"/>
        <w:spacing w:after="260" w:line="280" w:lineRule="exact"/>
        <w:ind w:right="0"/>
        <w:jc w:val="both"/>
        <w:rPr>
          <w:rFonts w:ascii="Times New Roman" w:hAnsi="Times New Roman"/>
        </w:rPr>
      </w:pPr>
      <w:r w:rsidRPr="007225C9">
        <w:rPr>
          <w:rFonts w:ascii="Times New Roman" w:hAnsi="Times New Roman"/>
        </w:rPr>
        <w:tab/>
      </w:r>
      <w:r w:rsidR="00F8764A" w:rsidRPr="007225C9">
        <w:rPr>
          <w:rFonts w:ascii="Times New Roman" w:hAnsi="Times New Roman"/>
        </w:rPr>
        <w:t xml:space="preserve">By an amended statement of claim in that part of the matter which has remained pending in this Court, </w:t>
      </w:r>
      <w:r w:rsidR="00AD4C8B" w:rsidRPr="007225C9">
        <w:rPr>
          <w:rFonts w:ascii="Times New Roman" w:hAnsi="Times New Roman"/>
        </w:rPr>
        <w:t>relying</w:t>
      </w:r>
      <w:r w:rsidR="0066215F" w:rsidRPr="007225C9">
        <w:rPr>
          <w:rFonts w:ascii="Times New Roman" w:hAnsi="Times New Roman"/>
        </w:rPr>
        <w:t xml:space="preserve"> on the declaration made by the FCFCOA</w:t>
      </w:r>
      <w:r w:rsidR="0007174A" w:rsidRPr="007225C9">
        <w:rPr>
          <w:rFonts w:ascii="Times New Roman" w:hAnsi="Times New Roman"/>
        </w:rPr>
        <w:t xml:space="preserve"> that his detention from 28 July 2022 to 13 February 2024 was not authorised by ss</w:t>
      </w:r>
      <w:r w:rsidR="00D26F0E">
        <w:rPr>
          <w:rFonts w:ascii="Times New Roman" w:hAnsi="Times New Roman"/>
        </w:rPr>
        <w:t> </w:t>
      </w:r>
      <w:r w:rsidR="0007174A" w:rsidRPr="007225C9">
        <w:rPr>
          <w:rFonts w:ascii="Times New Roman" w:hAnsi="Times New Roman"/>
        </w:rPr>
        <w:t xml:space="preserve">189(1) and 196(1) of the </w:t>
      </w:r>
      <w:r w:rsidR="0007174A" w:rsidRPr="007225C9">
        <w:rPr>
          <w:rFonts w:ascii="Times New Roman" w:hAnsi="Times New Roman"/>
          <w:i/>
          <w:iCs/>
        </w:rPr>
        <w:t>Migration Act</w:t>
      </w:r>
      <w:r w:rsidR="0066215F" w:rsidRPr="007225C9">
        <w:rPr>
          <w:rFonts w:ascii="Times New Roman" w:hAnsi="Times New Roman"/>
        </w:rPr>
        <w:t xml:space="preserve">, </w:t>
      </w:r>
      <w:r w:rsidR="00D8675A" w:rsidRPr="007225C9">
        <w:rPr>
          <w:rFonts w:ascii="Times New Roman" w:hAnsi="Times New Roman"/>
        </w:rPr>
        <w:t xml:space="preserve">the plaintiff </w:t>
      </w:r>
      <w:r w:rsidR="002655E5" w:rsidRPr="007225C9">
        <w:rPr>
          <w:rFonts w:ascii="Times New Roman" w:hAnsi="Times New Roman"/>
        </w:rPr>
        <w:t xml:space="preserve">now </w:t>
      </w:r>
      <w:r w:rsidR="00D8675A" w:rsidRPr="007225C9">
        <w:rPr>
          <w:rFonts w:ascii="Times New Roman" w:hAnsi="Times New Roman"/>
        </w:rPr>
        <w:t xml:space="preserve">claims </w:t>
      </w:r>
      <w:r w:rsidR="008503E1" w:rsidRPr="007225C9">
        <w:rPr>
          <w:rFonts w:ascii="Times New Roman" w:hAnsi="Times New Roman"/>
        </w:rPr>
        <w:t xml:space="preserve">damages for false imprisonment </w:t>
      </w:r>
      <w:r w:rsidR="00351B69" w:rsidRPr="007225C9">
        <w:rPr>
          <w:rFonts w:ascii="Times New Roman" w:hAnsi="Times New Roman"/>
        </w:rPr>
        <w:t xml:space="preserve">against the Commonwealth </w:t>
      </w:r>
      <w:r w:rsidR="008511DC" w:rsidRPr="007225C9">
        <w:rPr>
          <w:rFonts w:ascii="Times New Roman" w:hAnsi="Times New Roman"/>
        </w:rPr>
        <w:t>in respect of</w:t>
      </w:r>
      <w:r w:rsidR="008503E1" w:rsidRPr="007225C9">
        <w:rPr>
          <w:rFonts w:ascii="Times New Roman" w:hAnsi="Times New Roman"/>
        </w:rPr>
        <w:t xml:space="preserve"> the </w:t>
      </w:r>
      <w:bookmarkStart w:id="0" w:name="_Hlk216645124"/>
      <w:r w:rsidR="006C7FF4" w:rsidRPr="007225C9">
        <w:rPr>
          <w:rFonts w:ascii="Times New Roman" w:hAnsi="Times New Roman"/>
        </w:rPr>
        <w:t>entirety of th</w:t>
      </w:r>
      <w:r w:rsidR="00D534F3" w:rsidRPr="007225C9">
        <w:rPr>
          <w:rFonts w:ascii="Times New Roman" w:hAnsi="Times New Roman"/>
        </w:rPr>
        <w:t>at</w:t>
      </w:r>
      <w:r w:rsidR="006C7FF4" w:rsidRPr="007225C9">
        <w:rPr>
          <w:rFonts w:ascii="Times New Roman" w:hAnsi="Times New Roman"/>
        </w:rPr>
        <w:t xml:space="preserve"> </w:t>
      </w:r>
      <w:r w:rsidR="008503E1" w:rsidRPr="007225C9">
        <w:rPr>
          <w:rFonts w:ascii="Times New Roman" w:hAnsi="Times New Roman"/>
        </w:rPr>
        <w:t>period</w:t>
      </w:r>
      <w:bookmarkEnd w:id="0"/>
      <w:r w:rsidR="00522445" w:rsidRPr="007225C9">
        <w:rPr>
          <w:rFonts w:ascii="Times New Roman" w:hAnsi="Times New Roman"/>
        </w:rPr>
        <w:t xml:space="preserve">. The </w:t>
      </w:r>
      <w:r w:rsidR="007777CA" w:rsidRPr="007225C9">
        <w:rPr>
          <w:rFonts w:ascii="Times New Roman" w:hAnsi="Times New Roman"/>
        </w:rPr>
        <w:t xml:space="preserve">plaintiff puts the </w:t>
      </w:r>
      <w:r w:rsidR="00522445" w:rsidRPr="007225C9">
        <w:rPr>
          <w:rFonts w:ascii="Times New Roman" w:hAnsi="Times New Roman"/>
        </w:rPr>
        <w:t xml:space="preserve">claim </w:t>
      </w:r>
      <w:r w:rsidR="0053447E" w:rsidRPr="007225C9">
        <w:rPr>
          <w:rFonts w:ascii="Times New Roman" w:hAnsi="Times New Roman"/>
        </w:rPr>
        <w:t xml:space="preserve">primarily on </w:t>
      </w:r>
      <w:r w:rsidR="00522445" w:rsidRPr="007225C9">
        <w:rPr>
          <w:rFonts w:ascii="Times New Roman" w:hAnsi="Times New Roman"/>
        </w:rPr>
        <w:t xml:space="preserve">the basis that the </w:t>
      </w:r>
      <w:r w:rsidR="00752E6E" w:rsidRPr="007225C9">
        <w:rPr>
          <w:rFonts w:ascii="Times New Roman" w:hAnsi="Times New Roman"/>
        </w:rPr>
        <w:t xml:space="preserve">detaining officer is liable in false imprisonment </w:t>
      </w:r>
      <w:r w:rsidR="00792202" w:rsidRPr="007225C9">
        <w:rPr>
          <w:rFonts w:ascii="Times New Roman" w:hAnsi="Times New Roman"/>
        </w:rPr>
        <w:t xml:space="preserve">and that the </w:t>
      </w:r>
      <w:r w:rsidR="001358D9" w:rsidRPr="007225C9">
        <w:rPr>
          <w:rFonts w:ascii="Times New Roman" w:hAnsi="Times New Roman"/>
        </w:rPr>
        <w:t xml:space="preserve">Commonwealth </w:t>
      </w:r>
      <w:r w:rsidR="00792202" w:rsidRPr="007225C9">
        <w:rPr>
          <w:rFonts w:ascii="Times New Roman" w:hAnsi="Times New Roman"/>
        </w:rPr>
        <w:t xml:space="preserve">as employer of the detaining officer </w:t>
      </w:r>
      <w:r w:rsidR="001358D9" w:rsidRPr="007225C9">
        <w:rPr>
          <w:rFonts w:ascii="Times New Roman" w:hAnsi="Times New Roman"/>
        </w:rPr>
        <w:t xml:space="preserve">is vicariously </w:t>
      </w:r>
      <w:r w:rsidR="0052572B" w:rsidRPr="007225C9">
        <w:rPr>
          <w:rFonts w:ascii="Times New Roman" w:hAnsi="Times New Roman"/>
        </w:rPr>
        <w:t xml:space="preserve">liable for </w:t>
      </w:r>
      <w:r w:rsidR="003B5C1E" w:rsidRPr="007225C9">
        <w:rPr>
          <w:rFonts w:ascii="Times New Roman" w:hAnsi="Times New Roman"/>
        </w:rPr>
        <w:t xml:space="preserve">any </w:t>
      </w:r>
      <w:r w:rsidR="0052572B" w:rsidRPr="007225C9">
        <w:rPr>
          <w:rFonts w:ascii="Times New Roman" w:hAnsi="Times New Roman"/>
        </w:rPr>
        <w:t xml:space="preserve">liability of the detaining </w:t>
      </w:r>
      <w:r w:rsidR="001173FA" w:rsidRPr="007225C9">
        <w:rPr>
          <w:rFonts w:ascii="Times New Roman" w:hAnsi="Times New Roman"/>
        </w:rPr>
        <w:t>officer</w:t>
      </w:r>
      <w:r w:rsidR="00351B69" w:rsidRPr="007225C9">
        <w:rPr>
          <w:rFonts w:ascii="Times New Roman" w:hAnsi="Times New Roman"/>
        </w:rPr>
        <w:t>.</w:t>
      </w:r>
      <w:r w:rsidR="00EB7D69" w:rsidRPr="007225C9">
        <w:rPr>
          <w:rStyle w:val="FootnoteReference"/>
          <w:rFonts w:ascii="Times New Roman" w:hAnsi="Times New Roman"/>
          <w:sz w:val="24"/>
        </w:rPr>
        <w:footnoteReference w:id="17"/>
      </w:r>
      <w:r w:rsidR="00351B69" w:rsidRPr="007225C9">
        <w:rPr>
          <w:rFonts w:ascii="Times New Roman" w:hAnsi="Times New Roman"/>
        </w:rPr>
        <w:t xml:space="preserve"> The </w:t>
      </w:r>
      <w:r w:rsidR="007777CA" w:rsidRPr="007225C9">
        <w:rPr>
          <w:rFonts w:ascii="Times New Roman" w:hAnsi="Times New Roman"/>
        </w:rPr>
        <w:t xml:space="preserve">plaintiff puts the claim </w:t>
      </w:r>
      <w:r w:rsidR="0053447E" w:rsidRPr="007225C9">
        <w:rPr>
          <w:rFonts w:ascii="Times New Roman" w:hAnsi="Times New Roman"/>
        </w:rPr>
        <w:t xml:space="preserve">alternatively on the basis that the </w:t>
      </w:r>
      <w:r w:rsidR="00DB0C55" w:rsidRPr="007225C9">
        <w:rPr>
          <w:rFonts w:ascii="Times New Roman" w:hAnsi="Times New Roman"/>
        </w:rPr>
        <w:t xml:space="preserve">detaining officer </w:t>
      </w:r>
      <w:r w:rsidR="005A248C" w:rsidRPr="007225C9">
        <w:rPr>
          <w:rFonts w:ascii="Times New Roman" w:hAnsi="Times New Roman"/>
        </w:rPr>
        <w:t xml:space="preserve">acted as </w:t>
      </w:r>
      <w:r w:rsidR="00B8738A" w:rsidRPr="007225C9">
        <w:rPr>
          <w:rFonts w:ascii="Times New Roman" w:hAnsi="Times New Roman"/>
        </w:rPr>
        <w:t xml:space="preserve">an </w:t>
      </w:r>
      <w:r w:rsidR="005A248C" w:rsidRPr="007225C9">
        <w:rPr>
          <w:rFonts w:ascii="Times New Roman" w:hAnsi="Times New Roman"/>
        </w:rPr>
        <w:t xml:space="preserve">agent of the </w:t>
      </w:r>
      <w:r w:rsidR="0053447E" w:rsidRPr="007225C9">
        <w:rPr>
          <w:rFonts w:ascii="Times New Roman" w:hAnsi="Times New Roman"/>
        </w:rPr>
        <w:t xml:space="preserve">Commonwealth </w:t>
      </w:r>
      <w:r w:rsidR="005A248C" w:rsidRPr="007225C9">
        <w:rPr>
          <w:rFonts w:ascii="Times New Roman" w:hAnsi="Times New Roman"/>
        </w:rPr>
        <w:t xml:space="preserve">such that the Commonwealth </w:t>
      </w:r>
      <w:r w:rsidR="0053447E" w:rsidRPr="007225C9">
        <w:rPr>
          <w:rFonts w:ascii="Times New Roman" w:hAnsi="Times New Roman"/>
        </w:rPr>
        <w:t>is</w:t>
      </w:r>
      <w:r w:rsidR="00EC7A61" w:rsidRPr="007225C9">
        <w:rPr>
          <w:rFonts w:ascii="Times New Roman" w:hAnsi="Times New Roman"/>
        </w:rPr>
        <w:t xml:space="preserve"> directly liable for the acts of the </w:t>
      </w:r>
      <w:r w:rsidR="00504817" w:rsidRPr="007225C9">
        <w:rPr>
          <w:rFonts w:ascii="Times New Roman" w:hAnsi="Times New Roman"/>
        </w:rPr>
        <w:t>detaining officer.</w:t>
      </w:r>
      <w:r w:rsidR="00EB7D69" w:rsidRPr="007225C9">
        <w:rPr>
          <w:rStyle w:val="FootnoteReference"/>
          <w:rFonts w:ascii="Times New Roman" w:hAnsi="Times New Roman"/>
          <w:sz w:val="24"/>
        </w:rPr>
        <w:footnoteReference w:id="18"/>
      </w:r>
    </w:p>
    <w:p w14:paraId="1AFD3B3D" w14:textId="4E1647B4" w:rsidR="005811CD" w:rsidRPr="007225C9" w:rsidRDefault="00504817" w:rsidP="007225C9">
      <w:pPr>
        <w:pStyle w:val="FixListStyle"/>
        <w:spacing w:after="260" w:line="280" w:lineRule="exact"/>
        <w:ind w:right="0"/>
        <w:jc w:val="both"/>
        <w:rPr>
          <w:rFonts w:ascii="Times New Roman" w:hAnsi="Times New Roman"/>
        </w:rPr>
      </w:pPr>
      <w:r w:rsidRPr="007225C9">
        <w:rPr>
          <w:rFonts w:ascii="Times New Roman" w:hAnsi="Times New Roman"/>
        </w:rPr>
        <w:tab/>
      </w:r>
      <w:r w:rsidR="00610174" w:rsidRPr="007225C9">
        <w:rPr>
          <w:rFonts w:ascii="Times New Roman" w:hAnsi="Times New Roman"/>
        </w:rPr>
        <w:t>B</w:t>
      </w:r>
      <w:r w:rsidR="00645D32" w:rsidRPr="007225C9">
        <w:rPr>
          <w:rFonts w:ascii="Times New Roman" w:hAnsi="Times New Roman"/>
        </w:rPr>
        <w:t>y its defence to the amended statement of claim</w:t>
      </w:r>
      <w:r w:rsidR="005A248C" w:rsidRPr="007225C9">
        <w:rPr>
          <w:rFonts w:ascii="Times New Roman" w:hAnsi="Times New Roman"/>
        </w:rPr>
        <w:t xml:space="preserve"> the Commonwealth admits</w:t>
      </w:r>
      <w:r w:rsidR="000E72A9" w:rsidRPr="007225C9">
        <w:rPr>
          <w:rFonts w:ascii="Times New Roman" w:hAnsi="Times New Roman"/>
        </w:rPr>
        <w:t>,</w:t>
      </w:r>
      <w:r w:rsidR="00610174" w:rsidRPr="007225C9">
        <w:rPr>
          <w:rFonts w:ascii="Times New Roman" w:hAnsi="Times New Roman"/>
        </w:rPr>
        <w:t xml:space="preserve"> c</w:t>
      </w:r>
      <w:r w:rsidR="000F2E7B" w:rsidRPr="007225C9">
        <w:rPr>
          <w:rFonts w:ascii="Times New Roman" w:hAnsi="Times New Roman"/>
        </w:rPr>
        <w:t xml:space="preserve">onsistently with the declaration </w:t>
      </w:r>
      <w:r w:rsidR="00392157" w:rsidRPr="007225C9">
        <w:rPr>
          <w:rFonts w:ascii="Times New Roman" w:hAnsi="Times New Roman"/>
        </w:rPr>
        <w:t xml:space="preserve">made by </w:t>
      </w:r>
      <w:r w:rsidR="000F2E7B" w:rsidRPr="007225C9">
        <w:rPr>
          <w:rFonts w:ascii="Times New Roman" w:hAnsi="Times New Roman"/>
        </w:rPr>
        <w:t>the FCFCOA</w:t>
      </w:r>
      <w:r w:rsidR="000E72A9" w:rsidRPr="007225C9">
        <w:rPr>
          <w:rFonts w:ascii="Times New Roman" w:hAnsi="Times New Roman"/>
        </w:rPr>
        <w:t>,</w:t>
      </w:r>
      <w:r w:rsidR="000F2E7B" w:rsidRPr="007225C9">
        <w:rPr>
          <w:rFonts w:ascii="Times New Roman" w:hAnsi="Times New Roman"/>
        </w:rPr>
        <w:t xml:space="preserve"> </w:t>
      </w:r>
      <w:r w:rsidR="00FB1521" w:rsidRPr="007225C9">
        <w:rPr>
          <w:rFonts w:ascii="Times New Roman" w:hAnsi="Times New Roman"/>
        </w:rPr>
        <w:t>that</w:t>
      </w:r>
      <w:r w:rsidR="005D16C4" w:rsidRPr="007225C9">
        <w:rPr>
          <w:rFonts w:ascii="Times New Roman" w:hAnsi="Times New Roman"/>
        </w:rPr>
        <w:t xml:space="preserve"> </w:t>
      </w:r>
      <w:r w:rsidR="00A97A3A" w:rsidRPr="007225C9">
        <w:rPr>
          <w:rFonts w:ascii="Times New Roman" w:hAnsi="Times New Roman"/>
        </w:rPr>
        <w:t xml:space="preserve">detention </w:t>
      </w:r>
      <w:r w:rsidR="00960307" w:rsidRPr="007225C9">
        <w:rPr>
          <w:rFonts w:ascii="Times New Roman" w:hAnsi="Times New Roman"/>
        </w:rPr>
        <w:t xml:space="preserve">of the plaintiff </w:t>
      </w:r>
      <w:r w:rsidR="00694E64" w:rsidRPr="007225C9">
        <w:rPr>
          <w:rFonts w:ascii="Times New Roman" w:hAnsi="Times New Roman"/>
        </w:rPr>
        <w:t xml:space="preserve">by the detaining officer </w:t>
      </w:r>
      <w:r w:rsidR="00A97A3A" w:rsidRPr="007225C9">
        <w:rPr>
          <w:rFonts w:ascii="Times New Roman" w:hAnsi="Times New Roman"/>
        </w:rPr>
        <w:t xml:space="preserve">from 28 July 2022 to 13 February 2024 </w:t>
      </w:r>
      <w:r w:rsidR="00BE3C3F" w:rsidRPr="007225C9">
        <w:rPr>
          <w:rFonts w:ascii="Times New Roman" w:hAnsi="Times New Roman"/>
        </w:rPr>
        <w:t xml:space="preserve">was not authorised by </w:t>
      </w:r>
      <w:r w:rsidR="0042321C" w:rsidRPr="007225C9">
        <w:rPr>
          <w:rFonts w:ascii="Times New Roman" w:hAnsi="Times New Roman"/>
        </w:rPr>
        <w:t xml:space="preserve">ss 189(1) and 196(1) of </w:t>
      </w:r>
      <w:r w:rsidR="00BE3C3F" w:rsidRPr="007225C9">
        <w:rPr>
          <w:rFonts w:ascii="Times New Roman" w:hAnsi="Times New Roman"/>
        </w:rPr>
        <w:t xml:space="preserve">the </w:t>
      </w:r>
      <w:r w:rsidR="00BE3C3F" w:rsidRPr="007225C9">
        <w:rPr>
          <w:rFonts w:ascii="Times New Roman" w:hAnsi="Times New Roman"/>
          <w:i/>
          <w:iCs/>
        </w:rPr>
        <w:t>Migration Act</w:t>
      </w:r>
      <w:r w:rsidR="00BE3C3F" w:rsidRPr="007225C9">
        <w:rPr>
          <w:rFonts w:ascii="Times New Roman" w:hAnsi="Times New Roman"/>
        </w:rPr>
        <w:t>.</w:t>
      </w:r>
      <w:r w:rsidR="00375E97" w:rsidRPr="007225C9">
        <w:rPr>
          <w:rFonts w:ascii="Times New Roman" w:hAnsi="Times New Roman"/>
        </w:rPr>
        <w:t xml:space="preserve"> </w:t>
      </w:r>
      <w:r w:rsidR="00BE1047" w:rsidRPr="007225C9">
        <w:rPr>
          <w:rFonts w:ascii="Times New Roman" w:hAnsi="Times New Roman"/>
        </w:rPr>
        <w:t>T</w:t>
      </w:r>
      <w:r w:rsidR="00590C92" w:rsidRPr="007225C9">
        <w:rPr>
          <w:rFonts w:ascii="Times New Roman" w:hAnsi="Times New Roman"/>
        </w:rPr>
        <w:t xml:space="preserve">he </w:t>
      </w:r>
      <w:r w:rsidR="00BE1047" w:rsidRPr="007225C9">
        <w:rPr>
          <w:rFonts w:ascii="Times New Roman" w:hAnsi="Times New Roman"/>
        </w:rPr>
        <w:t xml:space="preserve">Commonwealth </w:t>
      </w:r>
      <w:r w:rsidR="00ED64B1" w:rsidRPr="007225C9">
        <w:rPr>
          <w:rFonts w:ascii="Times New Roman" w:hAnsi="Times New Roman"/>
        </w:rPr>
        <w:lastRenderedPageBreak/>
        <w:t xml:space="preserve">thereby </w:t>
      </w:r>
      <w:r w:rsidR="00BE1047" w:rsidRPr="007225C9">
        <w:rPr>
          <w:rFonts w:ascii="Times New Roman" w:hAnsi="Times New Roman"/>
        </w:rPr>
        <w:t xml:space="preserve">accepts that the </w:t>
      </w:r>
      <w:r w:rsidR="00590C92" w:rsidRPr="007225C9">
        <w:rPr>
          <w:rFonts w:ascii="Times New Roman" w:hAnsi="Times New Roman"/>
        </w:rPr>
        <w:t>elements of the tort of false imprisonment</w:t>
      </w:r>
      <w:r w:rsidR="00B13EBA" w:rsidRPr="007225C9">
        <w:rPr>
          <w:rFonts w:ascii="Times New Roman" w:hAnsi="Times New Roman"/>
        </w:rPr>
        <w:t xml:space="preserve"> </w:t>
      </w:r>
      <w:r w:rsidR="00A3287B" w:rsidRPr="007225C9">
        <w:rPr>
          <w:rFonts w:ascii="Times New Roman" w:hAnsi="Times New Roman"/>
        </w:rPr>
        <w:t xml:space="preserve">– </w:t>
      </w:r>
      <w:r w:rsidR="00596A3D" w:rsidRPr="007225C9">
        <w:rPr>
          <w:rFonts w:ascii="Times New Roman" w:hAnsi="Times New Roman"/>
        </w:rPr>
        <w:t>the detention of the person and the unlawfulness of that detention</w:t>
      </w:r>
      <w:r w:rsidR="00596A3D" w:rsidRPr="007225C9">
        <w:rPr>
          <w:rStyle w:val="FootnoteReference"/>
          <w:rFonts w:ascii="Times New Roman" w:hAnsi="Times New Roman"/>
          <w:sz w:val="24"/>
        </w:rPr>
        <w:footnoteReference w:id="19"/>
      </w:r>
      <w:r w:rsidR="00596A3D" w:rsidRPr="007225C9">
        <w:rPr>
          <w:rFonts w:ascii="Times New Roman" w:hAnsi="Times New Roman"/>
        </w:rPr>
        <w:t xml:space="preserve"> </w:t>
      </w:r>
      <w:r w:rsidR="00A3287B" w:rsidRPr="007225C9">
        <w:rPr>
          <w:rFonts w:ascii="Times New Roman" w:hAnsi="Times New Roman"/>
        </w:rPr>
        <w:t>–</w:t>
      </w:r>
      <w:r w:rsidR="00590C92" w:rsidRPr="007225C9">
        <w:rPr>
          <w:rFonts w:ascii="Times New Roman" w:hAnsi="Times New Roman"/>
        </w:rPr>
        <w:t xml:space="preserve"> </w:t>
      </w:r>
      <w:r w:rsidR="00E453BC" w:rsidRPr="007225C9">
        <w:rPr>
          <w:rFonts w:ascii="Times New Roman" w:hAnsi="Times New Roman"/>
        </w:rPr>
        <w:t>are established</w:t>
      </w:r>
      <w:r w:rsidR="00FF6EFC" w:rsidRPr="007225C9">
        <w:rPr>
          <w:rFonts w:ascii="Times New Roman" w:hAnsi="Times New Roman"/>
        </w:rPr>
        <w:t xml:space="preserve"> in respect of </w:t>
      </w:r>
      <w:r w:rsidR="00847936" w:rsidRPr="007225C9">
        <w:rPr>
          <w:rFonts w:ascii="Times New Roman" w:hAnsi="Times New Roman"/>
        </w:rPr>
        <w:t xml:space="preserve">the entirety of </w:t>
      </w:r>
      <w:r w:rsidR="00FF6EFC" w:rsidRPr="007225C9">
        <w:rPr>
          <w:rFonts w:ascii="Times New Roman" w:hAnsi="Times New Roman"/>
        </w:rPr>
        <w:t>that period of detention.</w:t>
      </w:r>
      <w:r w:rsidR="00E453BC" w:rsidRPr="007225C9">
        <w:rPr>
          <w:rFonts w:ascii="Times New Roman" w:hAnsi="Times New Roman"/>
        </w:rPr>
        <w:t xml:space="preserve"> </w:t>
      </w:r>
    </w:p>
    <w:p w14:paraId="52FB5838" w14:textId="1D29CAB6" w:rsidR="00504817" w:rsidRPr="007225C9" w:rsidRDefault="005811CD" w:rsidP="007225C9">
      <w:pPr>
        <w:pStyle w:val="FixListStyle"/>
        <w:spacing w:after="260" w:line="280" w:lineRule="exact"/>
        <w:ind w:right="0"/>
        <w:jc w:val="both"/>
        <w:rPr>
          <w:rFonts w:ascii="Times New Roman" w:hAnsi="Times New Roman"/>
        </w:rPr>
      </w:pPr>
      <w:r w:rsidRPr="007225C9">
        <w:rPr>
          <w:rFonts w:ascii="Times New Roman" w:hAnsi="Times New Roman"/>
        </w:rPr>
        <w:tab/>
      </w:r>
      <w:r w:rsidR="00AB35D5" w:rsidRPr="007225C9">
        <w:rPr>
          <w:rFonts w:ascii="Times New Roman" w:hAnsi="Times New Roman"/>
        </w:rPr>
        <w:t xml:space="preserve">Eschewing reliance on the principle that </w:t>
      </w:r>
      <w:r w:rsidR="000D5AAE" w:rsidRPr="007225C9">
        <w:rPr>
          <w:rFonts w:ascii="Times New Roman" w:hAnsi="Times New Roman"/>
        </w:rPr>
        <w:t>"[w</w:t>
      </w:r>
      <w:r w:rsidR="00D52CE1" w:rsidRPr="007225C9">
        <w:rPr>
          <w:rFonts w:ascii="Times New Roman" w:hAnsi="Times New Roman"/>
        </w:rPr>
        <w:t>]</w:t>
      </w:r>
      <w:r w:rsidR="000D5AAE" w:rsidRPr="007225C9">
        <w:rPr>
          <w:rFonts w:ascii="Times New Roman" w:hAnsi="Times New Roman"/>
        </w:rPr>
        <w:t xml:space="preserve">hen the Crown or a public authority is the employer of a public officer who is charged by statute with the exercise of an </w:t>
      </w:r>
      <w:r w:rsidR="00D52CE1" w:rsidRPr="007225C9">
        <w:rPr>
          <w:rFonts w:ascii="Times New Roman" w:hAnsi="Times New Roman"/>
        </w:rPr>
        <w:t>'</w:t>
      </w:r>
      <w:r w:rsidR="000D5AAE" w:rsidRPr="007225C9">
        <w:rPr>
          <w:rFonts w:ascii="Times New Roman" w:hAnsi="Times New Roman"/>
        </w:rPr>
        <w:t>independent responsibility cast on him by law</w:t>
      </w:r>
      <w:r w:rsidR="00D52CE1" w:rsidRPr="007225C9">
        <w:rPr>
          <w:rFonts w:ascii="Times New Roman" w:hAnsi="Times New Roman"/>
        </w:rPr>
        <w:t>'</w:t>
      </w:r>
      <w:r w:rsidR="000D5AAE" w:rsidRPr="007225C9">
        <w:rPr>
          <w:rFonts w:ascii="Times New Roman" w:hAnsi="Times New Roman"/>
        </w:rPr>
        <w:t xml:space="preserve"> </w:t>
      </w:r>
      <w:r w:rsidR="00D52CE1" w:rsidRPr="007225C9">
        <w:rPr>
          <w:rFonts w:ascii="Times New Roman" w:hAnsi="Times New Roman"/>
        </w:rPr>
        <w:t>...</w:t>
      </w:r>
      <w:r w:rsidR="00C07F89" w:rsidRPr="007225C9">
        <w:rPr>
          <w:rFonts w:ascii="Times New Roman" w:hAnsi="Times New Roman"/>
        </w:rPr>
        <w:t xml:space="preserve"> </w:t>
      </w:r>
      <w:r w:rsidR="00AC39E2" w:rsidRPr="007225C9">
        <w:rPr>
          <w:rFonts w:ascii="Times New Roman" w:hAnsi="Times New Roman"/>
        </w:rPr>
        <w:t>,</w:t>
      </w:r>
      <w:r w:rsidR="000D5AAE" w:rsidRPr="007225C9">
        <w:rPr>
          <w:rFonts w:ascii="Times New Roman" w:hAnsi="Times New Roman"/>
        </w:rPr>
        <w:t xml:space="preserve"> what is done in discharge of that responsibility is not done on behalf of the employer</w:t>
      </w:r>
      <w:r w:rsidR="00D52CE1" w:rsidRPr="007225C9">
        <w:rPr>
          <w:rFonts w:ascii="Times New Roman" w:hAnsi="Times New Roman"/>
        </w:rPr>
        <w:t>",</w:t>
      </w:r>
      <w:r w:rsidR="00D52CE1" w:rsidRPr="007225C9">
        <w:rPr>
          <w:rStyle w:val="FootnoteReference"/>
          <w:rFonts w:ascii="Times New Roman" w:hAnsi="Times New Roman"/>
          <w:sz w:val="24"/>
        </w:rPr>
        <w:footnoteReference w:id="20"/>
      </w:r>
      <w:r w:rsidR="00D52CE1" w:rsidRPr="007225C9">
        <w:rPr>
          <w:rFonts w:ascii="Times New Roman" w:hAnsi="Times New Roman"/>
        </w:rPr>
        <w:t xml:space="preserve"> </w:t>
      </w:r>
      <w:r w:rsidR="005F10DD" w:rsidRPr="007225C9">
        <w:rPr>
          <w:rFonts w:ascii="Times New Roman" w:hAnsi="Times New Roman"/>
        </w:rPr>
        <w:t>the Commonwealth also admits</w:t>
      </w:r>
      <w:r w:rsidR="00277790" w:rsidRPr="007225C9">
        <w:rPr>
          <w:rFonts w:ascii="Times New Roman" w:hAnsi="Times New Roman"/>
        </w:rPr>
        <w:t xml:space="preserve"> that it is vicariously liable for any liability th</w:t>
      </w:r>
      <w:r w:rsidR="00C3463E" w:rsidRPr="007225C9">
        <w:rPr>
          <w:rFonts w:ascii="Times New Roman" w:hAnsi="Times New Roman"/>
        </w:rPr>
        <w:t>at the</w:t>
      </w:r>
      <w:r w:rsidR="00277790" w:rsidRPr="007225C9">
        <w:rPr>
          <w:rFonts w:ascii="Times New Roman" w:hAnsi="Times New Roman"/>
        </w:rPr>
        <w:t xml:space="preserve"> detaining officer </w:t>
      </w:r>
      <w:r w:rsidR="00C3463E" w:rsidRPr="007225C9">
        <w:rPr>
          <w:rFonts w:ascii="Times New Roman" w:hAnsi="Times New Roman"/>
        </w:rPr>
        <w:t>has for the tort of</w:t>
      </w:r>
      <w:r w:rsidR="00277790" w:rsidRPr="007225C9">
        <w:rPr>
          <w:rFonts w:ascii="Times New Roman" w:hAnsi="Times New Roman"/>
        </w:rPr>
        <w:t xml:space="preserve"> false imprisonment</w:t>
      </w:r>
      <w:r w:rsidR="00AF628F" w:rsidRPr="007225C9">
        <w:rPr>
          <w:rFonts w:ascii="Times New Roman" w:hAnsi="Times New Roman"/>
        </w:rPr>
        <w:t xml:space="preserve"> whilst</w:t>
      </w:r>
      <w:r w:rsidR="00206A5A" w:rsidRPr="007225C9">
        <w:rPr>
          <w:rFonts w:ascii="Times New Roman" w:hAnsi="Times New Roman"/>
        </w:rPr>
        <w:t xml:space="preserve"> </w:t>
      </w:r>
      <w:r w:rsidR="00277790" w:rsidRPr="007225C9">
        <w:rPr>
          <w:rFonts w:ascii="Times New Roman" w:hAnsi="Times New Roman"/>
        </w:rPr>
        <w:t>den</w:t>
      </w:r>
      <w:r w:rsidR="00AF628F" w:rsidRPr="007225C9">
        <w:rPr>
          <w:rFonts w:ascii="Times New Roman" w:hAnsi="Times New Roman"/>
        </w:rPr>
        <w:t>ying</w:t>
      </w:r>
      <w:r w:rsidR="00277790" w:rsidRPr="007225C9">
        <w:rPr>
          <w:rFonts w:ascii="Times New Roman" w:hAnsi="Times New Roman"/>
        </w:rPr>
        <w:t xml:space="preserve"> that it</w:t>
      </w:r>
      <w:r w:rsidR="003F14A0" w:rsidRPr="007225C9">
        <w:rPr>
          <w:rFonts w:ascii="Times New Roman" w:hAnsi="Times New Roman"/>
        </w:rPr>
        <w:t xml:space="preserve"> has any </w:t>
      </w:r>
      <w:r w:rsidR="00277790" w:rsidRPr="007225C9">
        <w:rPr>
          <w:rFonts w:ascii="Times New Roman" w:hAnsi="Times New Roman"/>
        </w:rPr>
        <w:t>direct liab</w:t>
      </w:r>
      <w:r w:rsidR="003F14A0" w:rsidRPr="007225C9">
        <w:rPr>
          <w:rFonts w:ascii="Times New Roman" w:hAnsi="Times New Roman"/>
        </w:rPr>
        <w:t>ility</w:t>
      </w:r>
      <w:r w:rsidR="00277790" w:rsidRPr="007225C9">
        <w:rPr>
          <w:rFonts w:ascii="Times New Roman" w:hAnsi="Times New Roman"/>
        </w:rPr>
        <w:t xml:space="preserve"> for the acts of the detaining officer</w:t>
      </w:r>
      <w:r w:rsidR="00DC112C" w:rsidRPr="007225C9">
        <w:rPr>
          <w:rFonts w:ascii="Times New Roman" w:hAnsi="Times New Roman"/>
        </w:rPr>
        <w:t xml:space="preserve"> </w:t>
      </w:r>
      <w:r w:rsidR="00464D6F" w:rsidRPr="007225C9">
        <w:rPr>
          <w:rFonts w:ascii="Times New Roman" w:hAnsi="Times New Roman"/>
        </w:rPr>
        <w:t xml:space="preserve">in purported performance of the duty imposed by </w:t>
      </w:r>
      <w:r w:rsidR="00DC112C" w:rsidRPr="007225C9">
        <w:rPr>
          <w:rFonts w:ascii="Times New Roman" w:hAnsi="Times New Roman"/>
        </w:rPr>
        <w:t xml:space="preserve">ss 189(1) and 196(1) of the </w:t>
      </w:r>
      <w:r w:rsidR="00DC112C" w:rsidRPr="007225C9">
        <w:rPr>
          <w:rFonts w:ascii="Times New Roman" w:hAnsi="Times New Roman"/>
          <w:i/>
          <w:iCs/>
        </w:rPr>
        <w:t>Migration Act</w:t>
      </w:r>
      <w:r w:rsidR="00277790" w:rsidRPr="007225C9">
        <w:rPr>
          <w:rFonts w:ascii="Times New Roman" w:hAnsi="Times New Roman"/>
        </w:rPr>
        <w:t>.</w:t>
      </w:r>
    </w:p>
    <w:p w14:paraId="004F72EC" w14:textId="55E28849" w:rsidR="009626C6" w:rsidRPr="007225C9" w:rsidRDefault="00201BF2" w:rsidP="007225C9">
      <w:pPr>
        <w:pStyle w:val="FixListStyle"/>
        <w:spacing w:after="260" w:line="280" w:lineRule="exact"/>
        <w:ind w:right="0"/>
        <w:jc w:val="both"/>
        <w:rPr>
          <w:rFonts w:ascii="Times New Roman" w:hAnsi="Times New Roman"/>
        </w:rPr>
      </w:pPr>
      <w:r w:rsidRPr="007225C9">
        <w:rPr>
          <w:rFonts w:ascii="Times New Roman" w:hAnsi="Times New Roman"/>
        </w:rPr>
        <w:tab/>
      </w:r>
      <w:r w:rsidR="005D33E6" w:rsidRPr="007225C9">
        <w:rPr>
          <w:rFonts w:ascii="Times New Roman" w:hAnsi="Times New Roman"/>
        </w:rPr>
        <w:t xml:space="preserve">With respect to </w:t>
      </w:r>
      <w:r w:rsidR="007E3F0D" w:rsidRPr="007225C9">
        <w:rPr>
          <w:rFonts w:ascii="Times New Roman" w:hAnsi="Times New Roman"/>
        </w:rPr>
        <w:t>the</w:t>
      </w:r>
      <w:r w:rsidR="002B2CBA" w:rsidRPr="007225C9">
        <w:rPr>
          <w:rFonts w:ascii="Times New Roman" w:hAnsi="Times New Roman"/>
        </w:rPr>
        <w:t xml:space="preserve"> period from </w:t>
      </w:r>
      <w:r w:rsidR="00F43911" w:rsidRPr="007225C9">
        <w:rPr>
          <w:rFonts w:ascii="Times New Roman" w:hAnsi="Times New Roman"/>
        </w:rPr>
        <w:t xml:space="preserve">the time </w:t>
      </w:r>
      <w:r w:rsidR="00A60A9A" w:rsidRPr="007225C9">
        <w:rPr>
          <w:rFonts w:ascii="Times New Roman" w:hAnsi="Times New Roman"/>
        </w:rPr>
        <w:t xml:space="preserve">of </w:t>
      </w:r>
      <w:proofErr w:type="spellStart"/>
      <w:r w:rsidR="009E6DBD" w:rsidRPr="007225C9">
        <w:rPr>
          <w:rFonts w:ascii="Times New Roman" w:hAnsi="Times New Roman"/>
        </w:rPr>
        <w:t>there</w:t>
      </w:r>
      <w:proofErr w:type="spellEnd"/>
      <w:r w:rsidR="009E6DBD" w:rsidRPr="007225C9">
        <w:rPr>
          <w:rFonts w:ascii="Times New Roman" w:hAnsi="Times New Roman"/>
        </w:rPr>
        <w:t xml:space="preserve"> </w:t>
      </w:r>
      <w:r w:rsidR="002B4AD2" w:rsidRPr="007225C9">
        <w:rPr>
          <w:rFonts w:ascii="Times New Roman" w:hAnsi="Times New Roman"/>
        </w:rPr>
        <w:t xml:space="preserve">first </w:t>
      </w:r>
      <w:r w:rsidR="00785229" w:rsidRPr="007225C9">
        <w:rPr>
          <w:rFonts w:ascii="Times New Roman" w:hAnsi="Times New Roman"/>
        </w:rPr>
        <w:t xml:space="preserve">being </w:t>
      </w:r>
      <w:r w:rsidR="009E6DBD" w:rsidRPr="007225C9">
        <w:rPr>
          <w:rFonts w:ascii="Times New Roman" w:hAnsi="Times New Roman"/>
        </w:rPr>
        <w:t xml:space="preserve">no real prospect of removal of the plaintiff from Australia becoming practicable in the reasonably foreseeable future on </w:t>
      </w:r>
      <w:r w:rsidR="002B2CBA" w:rsidRPr="007225C9">
        <w:rPr>
          <w:rFonts w:ascii="Times New Roman" w:hAnsi="Times New Roman"/>
        </w:rPr>
        <w:t xml:space="preserve">28 July 2022 </w:t>
      </w:r>
      <w:r w:rsidR="00CE5775" w:rsidRPr="007225C9">
        <w:rPr>
          <w:rFonts w:ascii="Times New Roman" w:hAnsi="Times New Roman"/>
        </w:rPr>
        <w:t xml:space="preserve">to the </w:t>
      </w:r>
      <w:r w:rsidR="009E6DBD" w:rsidRPr="007225C9">
        <w:rPr>
          <w:rFonts w:ascii="Times New Roman" w:hAnsi="Times New Roman"/>
        </w:rPr>
        <w:t xml:space="preserve">time of the </w:t>
      </w:r>
      <w:r w:rsidR="00CE5775" w:rsidRPr="007225C9">
        <w:rPr>
          <w:rFonts w:ascii="Times New Roman" w:hAnsi="Times New Roman"/>
        </w:rPr>
        <w:t xml:space="preserve">making of orders in </w:t>
      </w:r>
      <w:r w:rsidR="00CE5775" w:rsidRPr="007225C9">
        <w:rPr>
          <w:rFonts w:ascii="Times New Roman" w:hAnsi="Times New Roman"/>
          <w:i/>
          <w:iCs/>
        </w:rPr>
        <w:t>NZYQ</w:t>
      </w:r>
      <w:r w:rsidR="00CE5775" w:rsidRPr="007225C9">
        <w:rPr>
          <w:rFonts w:ascii="Times New Roman" w:hAnsi="Times New Roman"/>
        </w:rPr>
        <w:t xml:space="preserve"> on 8</w:t>
      </w:r>
      <w:r w:rsidR="00F30FD0">
        <w:rPr>
          <w:rFonts w:ascii="Times New Roman" w:hAnsi="Times New Roman"/>
        </w:rPr>
        <w:t> </w:t>
      </w:r>
      <w:r w:rsidR="00CE5775" w:rsidRPr="007225C9">
        <w:rPr>
          <w:rFonts w:ascii="Times New Roman" w:hAnsi="Times New Roman"/>
        </w:rPr>
        <w:t>November 2023</w:t>
      </w:r>
      <w:r w:rsidR="00A25CF0" w:rsidRPr="007225C9">
        <w:rPr>
          <w:rFonts w:ascii="Times New Roman" w:hAnsi="Times New Roman"/>
        </w:rPr>
        <w:t xml:space="preserve">, however, the Commonwealth </w:t>
      </w:r>
      <w:r w:rsidR="00E218ED" w:rsidRPr="007225C9">
        <w:rPr>
          <w:rFonts w:ascii="Times New Roman" w:hAnsi="Times New Roman"/>
        </w:rPr>
        <w:t>p</w:t>
      </w:r>
      <w:r w:rsidR="008D5A34" w:rsidRPr="007225C9">
        <w:rPr>
          <w:rFonts w:ascii="Times New Roman" w:hAnsi="Times New Roman"/>
        </w:rPr>
        <w:t>ropounds</w:t>
      </w:r>
      <w:r w:rsidR="00DE2A3B" w:rsidRPr="007225C9">
        <w:rPr>
          <w:rFonts w:ascii="Times New Roman" w:hAnsi="Times New Roman"/>
        </w:rPr>
        <w:t xml:space="preserve"> </w:t>
      </w:r>
      <w:r w:rsidR="00D52493" w:rsidRPr="007225C9">
        <w:rPr>
          <w:rFonts w:ascii="Times New Roman" w:hAnsi="Times New Roman"/>
        </w:rPr>
        <w:t>the novel defence</w:t>
      </w:r>
      <w:r w:rsidR="006B336B" w:rsidRPr="007225C9">
        <w:rPr>
          <w:rFonts w:ascii="Times New Roman" w:hAnsi="Times New Roman"/>
        </w:rPr>
        <w:t>,</w:t>
      </w:r>
      <w:r w:rsidR="00D52493" w:rsidRPr="007225C9">
        <w:rPr>
          <w:rFonts w:ascii="Times New Roman" w:hAnsi="Times New Roman"/>
        </w:rPr>
        <w:t xml:space="preserve"> which</w:t>
      </w:r>
      <w:r w:rsidR="00F27C87" w:rsidRPr="007225C9">
        <w:rPr>
          <w:rFonts w:ascii="Times New Roman" w:hAnsi="Times New Roman"/>
        </w:rPr>
        <w:t xml:space="preserve"> it </w:t>
      </w:r>
      <w:r w:rsidR="00937E85" w:rsidRPr="007225C9">
        <w:rPr>
          <w:rFonts w:ascii="Times New Roman" w:hAnsi="Times New Roman"/>
        </w:rPr>
        <w:t xml:space="preserve">argues to be </w:t>
      </w:r>
      <w:r w:rsidR="00CC6CE0" w:rsidRPr="007225C9">
        <w:rPr>
          <w:rFonts w:ascii="Times New Roman" w:hAnsi="Times New Roman"/>
        </w:rPr>
        <w:t>a</w:t>
      </w:r>
      <w:r w:rsidR="00190803" w:rsidRPr="007225C9">
        <w:rPr>
          <w:rFonts w:ascii="Times New Roman" w:hAnsi="Times New Roman"/>
        </w:rPr>
        <w:t xml:space="preserve"> </w:t>
      </w:r>
      <w:r w:rsidR="00CC6CE0" w:rsidRPr="007225C9">
        <w:rPr>
          <w:rFonts w:ascii="Times New Roman" w:hAnsi="Times New Roman"/>
        </w:rPr>
        <w:t>defence</w:t>
      </w:r>
      <w:r w:rsidR="00FA78BA" w:rsidRPr="007225C9">
        <w:rPr>
          <w:rFonts w:ascii="Times New Roman" w:hAnsi="Times New Roman"/>
        </w:rPr>
        <w:t xml:space="preserve"> </w:t>
      </w:r>
      <w:r w:rsidR="00E84225" w:rsidRPr="007225C9">
        <w:rPr>
          <w:rFonts w:ascii="Times New Roman" w:hAnsi="Times New Roman"/>
        </w:rPr>
        <w:t xml:space="preserve">to tortious liability </w:t>
      </w:r>
      <w:r w:rsidR="004F2B73" w:rsidRPr="007225C9">
        <w:rPr>
          <w:rFonts w:ascii="Times New Roman" w:hAnsi="Times New Roman"/>
        </w:rPr>
        <w:t xml:space="preserve">in the strict sense </w:t>
      </w:r>
      <w:r w:rsidR="00E84225" w:rsidRPr="007225C9">
        <w:rPr>
          <w:rFonts w:ascii="Times New Roman" w:hAnsi="Times New Roman"/>
        </w:rPr>
        <w:t xml:space="preserve">of </w:t>
      </w:r>
      <w:r w:rsidR="004F2B73" w:rsidRPr="007225C9">
        <w:rPr>
          <w:rFonts w:ascii="Times New Roman" w:hAnsi="Times New Roman"/>
        </w:rPr>
        <w:t>involving confession</w:t>
      </w:r>
      <w:r w:rsidR="008707F3" w:rsidRPr="007225C9">
        <w:rPr>
          <w:rFonts w:ascii="Times New Roman" w:hAnsi="Times New Roman"/>
        </w:rPr>
        <w:t xml:space="preserve"> and</w:t>
      </w:r>
      <w:r w:rsidR="004F2B73" w:rsidRPr="007225C9">
        <w:rPr>
          <w:rFonts w:ascii="Times New Roman" w:hAnsi="Times New Roman"/>
        </w:rPr>
        <w:t xml:space="preserve"> avoidance</w:t>
      </w:r>
      <w:r w:rsidR="00293282" w:rsidRPr="007225C9">
        <w:rPr>
          <w:rFonts w:ascii="Times New Roman" w:hAnsi="Times New Roman"/>
        </w:rPr>
        <w:t>.</w:t>
      </w:r>
      <w:r w:rsidR="004F2B73" w:rsidRPr="007225C9">
        <w:rPr>
          <w:rStyle w:val="FootnoteReference"/>
          <w:rFonts w:ascii="Times New Roman" w:hAnsi="Times New Roman"/>
          <w:sz w:val="24"/>
        </w:rPr>
        <w:footnoteReference w:id="21"/>
      </w:r>
      <w:r w:rsidR="00F46EEF" w:rsidRPr="007225C9">
        <w:rPr>
          <w:rFonts w:ascii="Times New Roman" w:hAnsi="Times New Roman"/>
        </w:rPr>
        <w:t xml:space="preserve"> </w:t>
      </w:r>
      <w:r w:rsidR="00FB7B34" w:rsidRPr="007225C9">
        <w:rPr>
          <w:rFonts w:ascii="Times New Roman" w:hAnsi="Times New Roman"/>
        </w:rPr>
        <w:t xml:space="preserve">The Commonwealth propounds the novel defence </w:t>
      </w:r>
      <w:r w:rsidR="00B51028" w:rsidRPr="007225C9">
        <w:rPr>
          <w:rFonts w:ascii="Times New Roman" w:hAnsi="Times New Roman"/>
        </w:rPr>
        <w:t>to negative</w:t>
      </w:r>
      <w:r w:rsidR="00FE184F" w:rsidRPr="007225C9">
        <w:rPr>
          <w:rFonts w:ascii="Times New Roman" w:hAnsi="Times New Roman"/>
        </w:rPr>
        <w:t xml:space="preserve"> </w:t>
      </w:r>
      <w:r w:rsidR="00B51028" w:rsidRPr="007225C9">
        <w:rPr>
          <w:rFonts w:ascii="Times New Roman" w:hAnsi="Times New Roman"/>
        </w:rPr>
        <w:t xml:space="preserve">the liability </w:t>
      </w:r>
      <w:r w:rsidR="00D46A1C" w:rsidRPr="007225C9">
        <w:rPr>
          <w:rFonts w:ascii="Times New Roman" w:hAnsi="Times New Roman"/>
        </w:rPr>
        <w:t>which it accepts</w:t>
      </w:r>
      <w:r w:rsidR="00B51028" w:rsidRPr="007225C9">
        <w:rPr>
          <w:rFonts w:ascii="Times New Roman" w:hAnsi="Times New Roman"/>
        </w:rPr>
        <w:t xml:space="preserve"> the detaining officer</w:t>
      </w:r>
      <w:r w:rsidR="00D46A1C" w:rsidRPr="007225C9">
        <w:rPr>
          <w:rFonts w:ascii="Times New Roman" w:hAnsi="Times New Roman"/>
        </w:rPr>
        <w:t xml:space="preserve"> otherwise </w:t>
      </w:r>
      <w:r w:rsidR="008D7E93" w:rsidRPr="007225C9">
        <w:rPr>
          <w:rFonts w:ascii="Times New Roman" w:hAnsi="Times New Roman"/>
        </w:rPr>
        <w:t xml:space="preserve">has </w:t>
      </w:r>
      <w:r w:rsidR="00444990" w:rsidRPr="007225C9">
        <w:rPr>
          <w:rFonts w:ascii="Times New Roman" w:hAnsi="Times New Roman"/>
        </w:rPr>
        <w:t>for the tort of</w:t>
      </w:r>
      <w:r w:rsidR="00B51028" w:rsidRPr="007225C9">
        <w:rPr>
          <w:rFonts w:ascii="Times New Roman" w:hAnsi="Times New Roman"/>
        </w:rPr>
        <w:t xml:space="preserve"> false imprisonment</w:t>
      </w:r>
      <w:r w:rsidR="008D7E93" w:rsidRPr="007225C9">
        <w:rPr>
          <w:rFonts w:ascii="Times New Roman" w:hAnsi="Times New Roman"/>
        </w:rPr>
        <w:t>,</w:t>
      </w:r>
      <w:r w:rsidR="00B51028" w:rsidRPr="007225C9">
        <w:rPr>
          <w:rFonts w:ascii="Times New Roman" w:hAnsi="Times New Roman"/>
        </w:rPr>
        <w:t xml:space="preserve"> </w:t>
      </w:r>
      <w:r w:rsidR="00FE184F" w:rsidRPr="007225C9">
        <w:rPr>
          <w:rFonts w:ascii="Times New Roman" w:hAnsi="Times New Roman"/>
        </w:rPr>
        <w:t>a</w:t>
      </w:r>
      <w:r w:rsidR="00F5668D" w:rsidRPr="007225C9">
        <w:rPr>
          <w:rFonts w:ascii="Times New Roman" w:hAnsi="Times New Roman"/>
        </w:rPr>
        <w:t>s well as</w:t>
      </w:r>
      <w:r w:rsidR="00FE184F" w:rsidRPr="007225C9">
        <w:rPr>
          <w:rFonts w:ascii="Times New Roman" w:hAnsi="Times New Roman"/>
        </w:rPr>
        <w:t xml:space="preserve"> </w:t>
      </w:r>
      <w:r w:rsidR="003578BB" w:rsidRPr="007225C9">
        <w:rPr>
          <w:rFonts w:ascii="Times New Roman" w:hAnsi="Times New Roman"/>
        </w:rPr>
        <w:t xml:space="preserve">to negative </w:t>
      </w:r>
      <w:r w:rsidR="002517AE" w:rsidRPr="007225C9">
        <w:rPr>
          <w:rFonts w:ascii="Times New Roman" w:hAnsi="Times New Roman"/>
        </w:rPr>
        <w:t>any</w:t>
      </w:r>
      <w:r w:rsidR="00B51028" w:rsidRPr="007225C9">
        <w:rPr>
          <w:rFonts w:ascii="Times New Roman" w:hAnsi="Times New Roman"/>
        </w:rPr>
        <w:t xml:space="preserve"> direct liability it might have for the acts of the detaining officer.</w:t>
      </w:r>
    </w:p>
    <w:p w14:paraId="08164249" w14:textId="107BF143" w:rsidR="001E3F07" w:rsidRPr="007225C9" w:rsidRDefault="009626C6" w:rsidP="007225C9">
      <w:pPr>
        <w:pStyle w:val="FixListStyle"/>
        <w:spacing w:after="260" w:line="280" w:lineRule="exact"/>
        <w:ind w:right="0"/>
        <w:jc w:val="both"/>
        <w:rPr>
          <w:rFonts w:ascii="Times New Roman" w:hAnsi="Times New Roman"/>
        </w:rPr>
      </w:pPr>
      <w:r w:rsidRPr="007225C9">
        <w:rPr>
          <w:rFonts w:ascii="Times New Roman" w:hAnsi="Times New Roman"/>
        </w:rPr>
        <w:tab/>
      </w:r>
      <w:r w:rsidR="006259D8" w:rsidRPr="007225C9">
        <w:rPr>
          <w:rFonts w:ascii="Times New Roman" w:hAnsi="Times New Roman"/>
        </w:rPr>
        <w:t>T</w:t>
      </w:r>
      <w:r w:rsidR="00A45BED" w:rsidRPr="007225C9">
        <w:rPr>
          <w:rFonts w:ascii="Times New Roman" w:hAnsi="Times New Roman"/>
        </w:rPr>
        <w:t xml:space="preserve">he </w:t>
      </w:r>
      <w:r w:rsidR="00B125F0" w:rsidRPr="007225C9">
        <w:rPr>
          <w:rFonts w:ascii="Times New Roman" w:hAnsi="Times New Roman"/>
        </w:rPr>
        <w:t xml:space="preserve">propounded </w:t>
      </w:r>
      <w:r w:rsidR="00C563D6" w:rsidRPr="007225C9">
        <w:rPr>
          <w:rFonts w:ascii="Times New Roman" w:hAnsi="Times New Roman"/>
        </w:rPr>
        <w:t xml:space="preserve">defence </w:t>
      </w:r>
      <w:r w:rsidR="000E6B65" w:rsidRPr="007225C9">
        <w:rPr>
          <w:rFonts w:ascii="Times New Roman" w:hAnsi="Times New Roman"/>
        </w:rPr>
        <w:t xml:space="preserve">distils to three elements. The first is that </w:t>
      </w:r>
      <w:r w:rsidR="00690A73" w:rsidRPr="007225C9">
        <w:rPr>
          <w:rFonts w:ascii="Times New Roman" w:hAnsi="Times New Roman"/>
        </w:rPr>
        <w:t xml:space="preserve">the detaining officer acted in the purported performance of </w:t>
      </w:r>
      <w:r w:rsidR="001235AE" w:rsidRPr="007225C9">
        <w:rPr>
          <w:rFonts w:ascii="Times New Roman" w:hAnsi="Times New Roman"/>
        </w:rPr>
        <w:t>a</w:t>
      </w:r>
      <w:r w:rsidR="00690A73" w:rsidRPr="007225C9">
        <w:rPr>
          <w:rFonts w:ascii="Times New Roman" w:hAnsi="Times New Roman"/>
        </w:rPr>
        <w:t xml:space="preserve"> statutory duty </w:t>
      </w:r>
      <w:r w:rsidR="00BB6CF6" w:rsidRPr="007225C9">
        <w:rPr>
          <w:rFonts w:ascii="Times New Roman" w:hAnsi="Times New Roman"/>
        </w:rPr>
        <w:t>to detain</w:t>
      </w:r>
      <w:r w:rsidR="001235AE" w:rsidRPr="007225C9">
        <w:rPr>
          <w:rFonts w:ascii="Times New Roman" w:hAnsi="Times New Roman"/>
        </w:rPr>
        <w:t xml:space="preserve">, being that </w:t>
      </w:r>
      <w:r w:rsidR="00690A73" w:rsidRPr="007225C9">
        <w:rPr>
          <w:rFonts w:ascii="Times New Roman" w:hAnsi="Times New Roman"/>
        </w:rPr>
        <w:t xml:space="preserve">imposed by ss 189(1) and 196(1) of the </w:t>
      </w:r>
      <w:r w:rsidR="00690A73" w:rsidRPr="007225C9">
        <w:rPr>
          <w:rFonts w:ascii="Times New Roman" w:hAnsi="Times New Roman"/>
          <w:i/>
          <w:iCs/>
        </w:rPr>
        <w:t>Migration Act</w:t>
      </w:r>
      <w:r w:rsidR="00690A73" w:rsidRPr="007225C9">
        <w:rPr>
          <w:rFonts w:ascii="Times New Roman" w:hAnsi="Times New Roman"/>
        </w:rPr>
        <w:t xml:space="preserve">. </w:t>
      </w:r>
      <w:r w:rsidR="00BB6CF6" w:rsidRPr="007225C9">
        <w:rPr>
          <w:rFonts w:ascii="Times New Roman" w:hAnsi="Times New Roman"/>
        </w:rPr>
        <w:t xml:space="preserve">The second is that the detaining officer so acted </w:t>
      </w:r>
      <w:r w:rsidR="00690A73" w:rsidRPr="007225C9">
        <w:rPr>
          <w:rFonts w:ascii="Times New Roman" w:hAnsi="Times New Roman"/>
        </w:rPr>
        <w:t>in conformity with the law as declared in</w:t>
      </w:r>
      <w:r w:rsidR="00525839" w:rsidRPr="007225C9">
        <w:rPr>
          <w:rFonts w:ascii="Times New Roman" w:hAnsi="Times New Roman"/>
        </w:rPr>
        <w:t xml:space="preserve"> a prior decision of this Court, being</w:t>
      </w:r>
      <w:r w:rsidR="00690A73" w:rsidRPr="007225C9">
        <w:rPr>
          <w:rFonts w:ascii="Times New Roman" w:hAnsi="Times New Roman"/>
        </w:rPr>
        <w:t xml:space="preserve"> </w:t>
      </w:r>
      <w:r w:rsidR="00690A73" w:rsidRPr="007225C9">
        <w:rPr>
          <w:rFonts w:ascii="Times New Roman" w:hAnsi="Times New Roman"/>
          <w:i/>
          <w:iCs/>
        </w:rPr>
        <w:t>Al</w:t>
      </w:r>
      <w:r w:rsidR="007B24F4" w:rsidRPr="007225C9">
        <w:rPr>
          <w:rFonts w:ascii="Times New Roman" w:hAnsi="Times New Roman"/>
          <w:i/>
          <w:iCs/>
        </w:rPr>
        <w:t>-</w:t>
      </w:r>
      <w:r w:rsidR="00690A73" w:rsidRPr="007225C9">
        <w:rPr>
          <w:rFonts w:ascii="Times New Roman" w:hAnsi="Times New Roman"/>
          <w:i/>
          <w:iCs/>
        </w:rPr>
        <w:t>Kateb</w:t>
      </w:r>
      <w:r w:rsidR="00BB6CF6" w:rsidRPr="007225C9">
        <w:rPr>
          <w:rFonts w:ascii="Times New Roman" w:hAnsi="Times New Roman"/>
        </w:rPr>
        <w:t xml:space="preserve">. The third </w:t>
      </w:r>
      <w:r w:rsidR="0015782B" w:rsidRPr="007225C9">
        <w:rPr>
          <w:rFonts w:ascii="Times New Roman" w:hAnsi="Times New Roman"/>
        </w:rPr>
        <w:t>is that the detaining officer, as an officer of the executive government of the Commonwealth and as an employee</w:t>
      </w:r>
      <w:r w:rsidR="007B24F4" w:rsidRPr="007225C9">
        <w:rPr>
          <w:rFonts w:ascii="Times New Roman" w:hAnsi="Times New Roman"/>
        </w:rPr>
        <w:t xml:space="preserve"> of the Commonwealth</w:t>
      </w:r>
      <w:r w:rsidR="0015782B" w:rsidRPr="007225C9">
        <w:rPr>
          <w:rFonts w:ascii="Times New Roman" w:hAnsi="Times New Roman"/>
        </w:rPr>
        <w:t xml:space="preserve"> subject to the requirement of s 13(4) of the </w:t>
      </w:r>
      <w:r w:rsidR="0015782B" w:rsidRPr="007225C9">
        <w:rPr>
          <w:rFonts w:ascii="Times New Roman" w:hAnsi="Times New Roman"/>
          <w:i/>
          <w:iCs/>
        </w:rPr>
        <w:t>Public Service Act</w:t>
      </w:r>
      <w:r w:rsidR="006711F8" w:rsidRPr="007225C9">
        <w:rPr>
          <w:rFonts w:ascii="Times New Roman" w:hAnsi="Times New Roman"/>
          <w:i/>
          <w:iCs/>
        </w:rPr>
        <w:t xml:space="preserve"> </w:t>
      </w:r>
      <w:r w:rsidR="006711F8" w:rsidRPr="007225C9">
        <w:rPr>
          <w:rFonts w:ascii="Times New Roman" w:hAnsi="Times New Roman"/>
        </w:rPr>
        <w:t xml:space="preserve">to comply with </w:t>
      </w:r>
      <w:r w:rsidR="005F6F7A" w:rsidRPr="007225C9">
        <w:rPr>
          <w:rFonts w:ascii="Times New Roman" w:hAnsi="Times New Roman"/>
        </w:rPr>
        <w:t xml:space="preserve">"all </w:t>
      </w:r>
      <w:r w:rsidR="006711F8" w:rsidRPr="007225C9">
        <w:rPr>
          <w:rFonts w:ascii="Times New Roman" w:hAnsi="Times New Roman"/>
        </w:rPr>
        <w:t xml:space="preserve">applicable </w:t>
      </w:r>
      <w:r w:rsidR="005F6F7A" w:rsidRPr="007225C9">
        <w:rPr>
          <w:rFonts w:ascii="Times New Roman" w:hAnsi="Times New Roman"/>
        </w:rPr>
        <w:t xml:space="preserve">Australian </w:t>
      </w:r>
      <w:r w:rsidR="006711F8" w:rsidRPr="007225C9">
        <w:rPr>
          <w:rFonts w:ascii="Times New Roman" w:hAnsi="Times New Roman"/>
        </w:rPr>
        <w:t>law</w:t>
      </w:r>
      <w:r w:rsidR="005F6F7A" w:rsidRPr="007225C9">
        <w:rPr>
          <w:rFonts w:ascii="Times New Roman" w:hAnsi="Times New Roman"/>
        </w:rPr>
        <w:t>s"</w:t>
      </w:r>
      <w:r w:rsidR="0015782B" w:rsidRPr="007225C9">
        <w:rPr>
          <w:rFonts w:ascii="Times New Roman" w:hAnsi="Times New Roman"/>
        </w:rPr>
        <w:t xml:space="preserve">, </w:t>
      </w:r>
      <w:r w:rsidR="00525839" w:rsidRPr="007225C9">
        <w:rPr>
          <w:rFonts w:ascii="Times New Roman" w:hAnsi="Times New Roman"/>
        </w:rPr>
        <w:t>was under</w:t>
      </w:r>
      <w:r w:rsidR="00E604A7" w:rsidRPr="007225C9">
        <w:rPr>
          <w:rFonts w:ascii="Times New Roman" w:hAnsi="Times New Roman"/>
        </w:rPr>
        <w:t xml:space="preserve"> a</w:t>
      </w:r>
      <w:r w:rsidR="009661DE" w:rsidRPr="007225C9">
        <w:rPr>
          <w:rFonts w:ascii="Times New Roman" w:hAnsi="Times New Roman"/>
        </w:rPr>
        <w:t xml:space="preserve">n </w:t>
      </w:r>
      <w:r w:rsidR="008A0752" w:rsidRPr="007225C9">
        <w:rPr>
          <w:rFonts w:ascii="Times New Roman" w:hAnsi="Times New Roman"/>
        </w:rPr>
        <w:t>"</w:t>
      </w:r>
      <w:r w:rsidR="009661DE" w:rsidRPr="007225C9">
        <w:rPr>
          <w:rFonts w:ascii="Times New Roman" w:hAnsi="Times New Roman"/>
        </w:rPr>
        <w:t xml:space="preserve">independent </w:t>
      </w:r>
      <w:r w:rsidR="000F07DB" w:rsidRPr="007225C9">
        <w:rPr>
          <w:rFonts w:ascii="Times New Roman" w:hAnsi="Times New Roman"/>
        </w:rPr>
        <w:t xml:space="preserve">legal </w:t>
      </w:r>
      <w:r w:rsidR="00E604A7" w:rsidRPr="007225C9">
        <w:rPr>
          <w:rFonts w:ascii="Times New Roman" w:hAnsi="Times New Roman"/>
        </w:rPr>
        <w:t>duty</w:t>
      </w:r>
      <w:r w:rsidR="008A0752" w:rsidRPr="007225C9">
        <w:rPr>
          <w:rFonts w:ascii="Times New Roman" w:hAnsi="Times New Roman"/>
        </w:rPr>
        <w:t>"</w:t>
      </w:r>
      <w:r w:rsidR="00E604A7" w:rsidRPr="007225C9">
        <w:rPr>
          <w:rFonts w:ascii="Times New Roman" w:hAnsi="Times New Roman"/>
        </w:rPr>
        <w:t xml:space="preserve"> to obey the law as</w:t>
      </w:r>
      <w:r w:rsidR="00B125F0" w:rsidRPr="007225C9">
        <w:rPr>
          <w:rFonts w:ascii="Times New Roman" w:hAnsi="Times New Roman"/>
        </w:rPr>
        <w:t xml:space="preserve"> declared by this Court.</w:t>
      </w:r>
      <w:r w:rsidR="00E604A7" w:rsidRPr="007225C9">
        <w:rPr>
          <w:rFonts w:ascii="Times New Roman" w:hAnsi="Times New Roman"/>
        </w:rPr>
        <w:t xml:space="preserve"> </w:t>
      </w:r>
    </w:p>
    <w:p w14:paraId="54F2A7F7" w14:textId="7DE354A1" w:rsidR="00DB2BBA" w:rsidRPr="007225C9" w:rsidRDefault="00DB2BBA" w:rsidP="007225C9">
      <w:pPr>
        <w:pStyle w:val="FixListStyle"/>
        <w:spacing w:after="260" w:line="280" w:lineRule="exact"/>
        <w:ind w:right="0"/>
        <w:jc w:val="both"/>
        <w:rPr>
          <w:rFonts w:ascii="Times New Roman" w:hAnsi="Times New Roman"/>
        </w:rPr>
      </w:pPr>
      <w:r w:rsidRPr="007225C9">
        <w:rPr>
          <w:rFonts w:ascii="Times New Roman" w:hAnsi="Times New Roman"/>
        </w:rPr>
        <w:lastRenderedPageBreak/>
        <w:tab/>
      </w:r>
      <w:r w:rsidR="00E40434" w:rsidRPr="007225C9">
        <w:rPr>
          <w:rFonts w:ascii="Times New Roman" w:hAnsi="Times New Roman"/>
        </w:rPr>
        <w:t>In that procedural context, t</w:t>
      </w:r>
      <w:r w:rsidR="00FE4006" w:rsidRPr="007225C9">
        <w:rPr>
          <w:rFonts w:ascii="Times New Roman" w:hAnsi="Times New Roman"/>
        </w:rPr>
        <w:t xml:space="preserve">he </w:t>
      </w:r>
      <w:r w:rsidR="00E2181E" w:rsidRPr="007225C9">
        <w:rPr>
          <w:rFonts w:ascii="Times New Roman" w:hAnsi="Times New Roman"/>
        </w:rPr>
        <w:t>parties r</w:t>
      </w:r>
      <w:r w:rsidR="00247394" w:rsidRPr="007225C9">
        <w:rPr>
          <w:rFonts w:ascii="Times New Roman" w:hAnsi="Times New Roman"/>
        </w:rPr>
        <w:t>eserve</w:t>
      </w:r>
      <w:r w:rsidR="00E2181E" w:rsidRPr="007225C9">
        <w:rPr>
          <w:rFonts w:ascii="Times New Roman" w:hAnsi="Times New Roman"/>
        </w:rPr>
        <w:t xml:space="preserve"> by the </w:t>
      </w:r>
      <w:r w:rsidR="00FE4006" w:rsidRPr="007225C9">
        <w:rPr>
          <w:rFonts w:ascii="Times New Roman" w:hAnsi="Times New Roman"/>
        </w:rPr>
        <w:t xml:space="preserve">special case </w:t>
      </w:r>
      <w:r w:rsidR="00EC2392" w:rsidRPr="007225C9">
        <w:rPr>
          <w:rFonts w:ascii="Times New Roman" w:hAnsi="Times New Roman"/>
        </w:rPr>
        <w:t>a single question</w:t>
      </w:r>
      <w:r w:rsidR="000F07DB" w:rsidRPr="007225C9">
        <w:rPr>
          <w:rFonts w:ascii="Times New Roman" w:hAnsi="Times New Roman"/>
        </w:rPr>
        <w:t xml:space="preserve"> of law for the opinion of </w:t>
      </w:r>
      <w:r w:rsidR="004C41D8" w:rsidRPr="007225C9">
        <w:rPr>
          <w:rFonts w:ascii="Times New Roman" w:hAnsi="Times New Roman"/>
        </w:rPr>
        <w:t>the Full Court</w:t>
      </w:r>
      <w:r w:rsidR="003F4E09" w:rsidRPr="007225C9">
        <w:rPr>
          <w:rFonts w:ascii="Times New Roman" w:hAnsi="Times New Roman"/>
        </w:rPr>
        <w:t>:</w:t>
      </w:r>
    </w:p>
    <w:p w14:paraId="1D244627" w14:textId="77777777" w:rsidR="007225C9" w:rsidRDefault="00453384" w:rsidP="007225C9">
      <w:pPr>
        <w:pStyle w:val="LeftrightafterHC"/>
        <w:spacing w:before="0" w:after="260" w:line="280" w:lineRule="exact"/>
        <w:ind w:right="0"/>
        <w:jc w:val="both"/>
        <w:rPr>
          <w:rFonts w:ascii="Times New Roman" w:hAnsi="Times New Roman"/>
        </w:rPr>
      </w:pPr>
      <w:r w:rsidRPr="007225C9">
        <w:rPr>
          <w:rFonts w:ascii="Times New Roman" w:hAnsi="Times New Roman"/>
        </w:rPr>
        <w:t>"Do the Commonwealth and its officers have a defence to liability for the tort of false imprisonment with respect to the immigration detention of the plaintiff in the period between 28 July 2022 and 8 November 202</w:t>
      </w:r>
      <w:r w:rsidR="000C386E" w:rsidRPr="007225C9">
        <w:rPr>
          <w:rFonts w:ascii="Times New Roman" w:hAnsi="Times New Roman"/>
        </w:rPr>
        <w:t>3</w:t>
      </w:r>
      <w:r w:rsidRPr="007225C9">
        <w:rPr>
          <w:rFonts w:ascii="Times New Roman" w:hAnsi="Times New Roman"/>
        </w:rPr>
        <w:t xml:space="preserve">?" </w:t>
      </w:r>
    </w:p>
    <w:p w14:paraId="77BB0419" w14:textId="12493288" w:rsidR="00951AC7" w:rsidRPr="007225C9" w:rsidRDefault="00B85FA6" w:rsidP="007225C9">
      <w:pPr>
        <w:pStyle w:val="FixListStyle"/>
        <w:spacing w:after="260" w:line="280" w:lineRule="exact"/>
        <w:ind w:right="0"/>
        <w:jc w:val="both"/>
        <w:rPr>
          <w:rFonts w:ascii="Times New Roman" w:hAnsi="Times New Roman"/>
        </w:rPr>
      </w:pPr>
      <w:r w:rsidRPr="007225C9">
        <w:rPr>
          <w:rFonts w:ascii="Times New Roman" w:hAnsi="Times New Roman"/>
        </w:rPr>
        <w:tab/>
      </w:r>
      <w:r w:rsidR="00474278" w:rsidRPr="007225C9">
        <w:rPr>
          <w:rFonts w:ascii="Times New Roman" w:hAnsi="Times New Roman"/>
        </w:rPr>
        <w:t xml:space="preserve">The framing of the question is problematic. </w:t>
      </w:r>
      <w:r w:rsidR="006F1289" w:rsidRPr="007225C9">
        <w:rPr>
          <w:rFonts w:ascii="Times New Roman" w:hAnsi="Times New Roman"/>
        </w:rPr>
        <w:t>By f</w:t>
      </w:r>
      <w:r w:rsidR="00F95E16" w:rsidRPr="007225C9">
        <w:rPr>
          <w:rFonts w:ascii="Times New Roman" w:hAnsi="Times New Roman"/>
        </w:rPr>
        <w:t>ail</w:t>
      </w:r>
      <w:r w:rsidR="00A44AC6" w:rsidRPr="007225C9">
        <w:rPr>
          <w:rFonts w:ascii="Times New Roman" w:hAnsi="Times New Roman"/>
        </w:rPr>
        <w:t xml:space="preserve">ing </w:t>
      </w:r>
      <w:r w:rsidR="00F95E16" w:rsidRPr="007225C9">
        <w:rPr>
          <w:rFonts w:ascii="Times New Roman" w:hAnsi="Times New Roman"/>
        </w:rPr>
        <w:t xml:space="preserve">to distinguish between </w:t>
      </w:r>
      <w:r w:rsidR="003655E1" w:rsidRPr="007225C9">
        <w:rPr>
          <w:rFonts w:ascii="Times New Roman" w:hAnsi="Times New Roman"/>
        </w:rPr>
        <w:t>the</w:t>
      </w:r>
      <w:r w:rsidR="00F95E16" w:rsidRPr="007225C9">
        <w:rPr>
          <w:rFonts w:ascii="Times New Roman" w:hAnsi="Times New Roman"/>
        </w:rPr>
        <w:t xml:space="preserve"> distinct bases</w:t>
      </w:r>
      <w:r w:rsidR="008543B2" w:rsidRPr="007225C9">
        <w:rPr>
          <w:rFonts w:ascii="Times New Roman" w:hAnsi="Times New Roman"/>
        </w:rPr>
        <w:t xml:space="preserve"> </w:t>
      </w:r>
      <w:r w:rsidR="007144EF" w:rsidRPr="007225C9">
        <w:rPr>
          <w:rFonts w:ascii="Times New Roman" w:hAnsi="Times New Roman"/>
        </w:rPr>
        <w:t xml:space="preserve">on which </w:t>
      </w:r>
      <w:r w:rsidR="005B4B74" w:rsidRPr="007225C9">
        <w:rPr>
          <w:rFonts w:ascii="Times New Roman" w:hAnsi="Times New Roman"/>
        </w:rPr>
        <w:t xml:space="preserve">the plaintiff claims </w:t>
      </w:r>
      <w:r w:rsidR="007144EF" w:rsidRPr="007225C9">
        <w:rPr>
          <w:rFonts w:ascii="Times New Roman" w:hAnsi="Times New Roman"/>
        </w:rPr>
        <w:t xml:space="preserve">the Commonwealth </w:t>
      </w:r>
      <w:r w:rsidR="00E9732A" w:rsidRPr="007225C9">
        <w:rPr>
          <w:rFonts w:ascii="Times New Roman" w:hAnsi="Times New Roman"/>
        </w:rPr>
        <w:t xml:space="preserve">to </w:t>
      </w:r>
      <w:r w:rsidR="005B4B74" w:rsidRPr="007225C9">
        <w:rPr>
          <w:rFonts w:ascii="Times New Roman" w:hAnsi="Times New Roman"/>
        </w:rPr>
        <w:t>be liable</w:t>
      </w:r>
      <w:r w:rsidR="008543B2" w:rsidRPr="007225C9">
        <w:rPr>
          <w:rFonts w:ascii="Times New Roman" w:hAnsi="Times New Roman"/>
        </w:rPr>
        <w:t xml:space="preserve"> for the tort of false imprisonment</w:t>
      </w:r>
      <w:r w:rsidR="00F9549F" w:rsidRPr="007225C9">
        <w:rPr>
          <w:rFonts w:ascii="Times New Roman" w:hAnsi="Times New Roman"/>
        </w:rPr>
        <w:t xml:space="preserve">, </w:t>
      </w:r>
      <w:r w:rsidR="003176F5" w:rsidRPr="007225C9">
        <w:rPr>
          <w:rFonts w:ascii="Times New Roman" w:hAnsi="Times New Roman"/>
        </w:rPr>
        <w:t>the question</w:t>
      </w:r>
      <w:r w:rsidR="008D41BF" w:rsidRPr="007225C9">
        <w:rPr>
          <w:rFonts w:ascii="Times New Roman" w:hAnsi="Times New Roman"/>
        </w:rPr>
        <w:t xml:space="preserve"> </w:t>
      </w:r>
      <w:r w:rsidR="00CC4D50" w:rsidRPr="007225C9">
        <w:rPr>
          <w:rFonts w:ascii="Times New Roman" w:hAnsi="Times New Roman"/>
        </w:rPr>
        <w:t>mask</w:t>
      </w:r>
      <w:r w:rsidR="00D13949" w:rsidRPr="007225C9">
        <w:rPr>
          <w:rFonts w:ascii="Times New Roman" w:hAnsi="Times New Roman"/>
        </w:rPr>
        <w:t>s</w:t>
      </w:r>
      <w:r w:rsidR="007D0D14" w:rsidRPr="007225C9">
        <w:rPr>
          <w:rFonts w:ascii="Times New Roman" w:hAnsi="Times New Roman"/>
        </w:rPr>
        <w:t xml:space="preserve"> </w:t>
      </w:r>
      <w:r w:rsidR="00B27DDF" w:rsidRPr="007225C9">
        <w:rPr>
          <w:rFonts w:ascii="Times New Roman" w:hAnsi="Times New Roman"/>
        </w:rPr>
        <w:t>a</w:t>
      </w:r>
      <w:r w:rsidR="00060B14" w:rsidRPr="007225C9">
        <w:rPr>
          <w:rFonts w:ascii="Times New Roman" w:hAnsi="Times New Roman"/>
        </w:rPr>
        <w:t xml:space="preserve"> </w:t>
      </w:r>
      <w:r w:rsidR="00A44C25" w:rsidRPr="007225C9">
        <w:rPr>
          <w:rFonts w:ascii="Times New Roman" w:hAnsi="Times New Roman"/>
        </w:rPr>
        <w:t xml:space="preserve">logically </w:t>
      </w:r>
      <w:r w:rsidR="009C0048" w:rsidRPr="007225C9">
        <w:rPr>
          <w:rFonts w:ascii="Times New Roman" w:hAnsi="Times New Roman"/>
        </w:rPr>
        <w:t xml:space="preserve">anterior question </w:t>
      </w:r>
      <w:r w:rsidR="00B27DDF" w:rsidRPr="007225C9">
        <w:rPr>
          <w:rFonts w:ascii="Times New Roman" w:hAnsi="Times New Roman"/>
        </w:rPr>
        <w:t xml:space="preserve">as to </w:t>
      </w:r>
      <w:r w:rsidR="00951AC7" w:rsidRPr="007225C9">
        <w:rPr>
          <w:rFonts w:ascii="Times New Roman" w:hAnsi="Times New Roman"/>
        </w:rPr>
        <w:t>whether</w:t>
      </w:r>
      <w:r w:rsidR="00832DAC" w:rsidRPr="007225C9">
        <w:rPr>
          <w:rFonts w:ascii="Times New Roman" w:hAnsi="Times New Roman"/>
        </w:rPr>
        <w:t>, absent the propounded defence,</w:t>
      </w:r>
      <w:r w:rsidR="00951AC7" w:rsidRPr="007225C9">
        <w:rPr>
          <w:rFonts w:ascii="Times New Roman" w:hAnsi="Times New Roman"/>
        </w:rPr>
        <w:t xml:space="preserve"> </w:t>
      </w:r>
      <w:r w:rsidR="008F1D3C" w:rsidRPr="007225C9">
        <w:rPr>
          <w:rFonts w:ascii="Times New Roman" w:hAnsi="Times New Roman"/>
        </w:rPr>
        <w:t xml:space="preserve">the Commonwealth </w:t>
      </w:r>
      <w:r w:rsidR="00951AC7" w:rsidRPr="007225C9">
        <w:rPr>
          <w:rFonts w:ascii="Times New Roman" w:hAnsi="Times New Roman"/>
        </w:rPr>
        <w:t>would be</w:t>
      </w:r>
      <w:r w:rsidR="008F1D3C" w:rsidRPr="007225C9">
        <w:rPr>
          <w:rFonts w:ascii="Times New Roman" w:hAnsi="Times New Roman"/>
        </w:rPr>
        <w:t xml:space="preserve"> directly liable for the acts of the detaining officer</w:t>
      </w:r>
      <w:r w:rsidR="009C0048" w:rsidRPr="007225C9">
        <w:rPr>
          <w:rFonts w:ascii="Times New Roman" w:hAnsi="Times New Roman"/>
        </w:rPr>
        <w:t xml:space="preserve"> </w:t>
      </w:r>
      <w:r w:rsidR="00095620" w:rsidRPr="007225C9">
        <w:rPr>
          <w:rFonts w:ascii="Times New Roman" w:hAnsi="Times New Roman"/>
        </w:rPr>
        <w:t xml:space="preserve">in the purported performance of the statutory duty to detain imposed by ss 189(1) and 196(1) of the </w:t>
      </w:r>
      <w:r w:rsidR="00095620" w:rsidRPr="007225C9">
        <w:rPr>
          <w:rFonts w:ascii="Times New Roman" w:hAnsi="Times New Roman"/>
          <w:i/>
          <w:iCs/>
        </w:rPr>
        <w:t>Migration Act</w:t>
      </w:r>
      <w:r w:rsidR="00951AC7" w:rsidRPr="007225C9">
        <w:rPr>
          <w:rFonts w:ascii="Times New Roman" w:hAnsi="Times New Roman"/>
        </w:rPr>
        <w:t>.</w:t>
      </w:r>
      <w:r w:rsidR="00060B14" w:rsidRPr="007225C9">
        <w:rPr>
          <w:rFonts w:ascii="Times New Roman" w:hAnsi="Times New Roman"/>
        </w:rPr>
        <w:t xml:space="preserve"> </w:t>
      </w:r>
      <w:r w:rsidR="00F82BB7" w:rsidRPr="007225C9">
        <w:rPr>
          <w:rFonts w:ascii="Times New Roman" w:hAnsi="Times New Roman"/>
        </w:rPr>
        <w:t xml:space="preserve">That </w:t>
      </w:r>
      <w:r w:rsidR="006F1289" w:rsidRPr="007225C9">
        <w:rPr>
          <w:rFonts w:ascii="Times New Roman" w:hAnsi="Times New Roman"/>
        </w:rPr>
        <w:t xml:space="preserve">logically anterior </w:t>
      </w:r>
      <w:r w:rsidR="00C35F77" w:rsidRPr="007225C9">
        <w:rPr>
          <w:rFonts w:ascii="Times New Roman" w:hAnsi="Times New Roman"/>
        </w:rPr>
        <w:t>question</w:t>
      </w:r>
      <w:r w:rsidR="00F35A97" w:rsidRPr="007225C9">
        <w:rPr>
          <w:rFonts w:ascii="Times New Roman" w:hAnsi="Times New Roman"/>
        </w:rPr>
        <w:t xml:space="preserve"> is legally and factually </w:t>
      </w:r>
      <w:r w:rsidR="00DE68EA" w:rsidRPr="007225C9">
        <w:rPr>
          <w:rFonts w:ascii="Times New Roman" w:hAnsi="Times New Roman"/>
        </w:rPr>
        <w:t xml:space="preserve">contested, </w:t>
      </w:r>
      <w:r w:rsidR="00A14C00" w:rsidRPr="007225C9">
        <w:rPr>
          <w:rFonts w:ascii="Times New Roman" w:hAnsi="Times New Roman"/>
        </w:rPr>
        <w:t xml:space="preserve">has not been the subject of full </w:t>
      </w:r>
      <w:r w:rsidR="00C205E1" w:rsidRPr="007225C9">
        <w:rPr>
          <w:rFonts w:ascii="Times New Roman" w:hAnsi="Times New Roman"/>
        </w:rPr>
        <w:t xml:space="preserve">agreement as to the facts or </w:t>
      </w:r>
      <w:r w:rsidR="00E8159E" w:rsidRPr="007225C9">
        <w:rPr>
          <w:rFonts w:ascii="Times New Roman" w:hAnsi="Times New Roman"/>
        </w:rPr>
        <w:t xml:space="preserve">full </w:t>
      </w:r>
      <w:r w:rsidR="00A14C00" w:rsidRPr="007225C9">
        <w:rPr>
          <w:rFonts w:ascii="Times New Roman" w:hAnsi="Times New Roman"/>
        </w:rPr>
        <w:t>argument</w:t>
      </w:r>
      <w:r w:rsidR="00E8159E" w:rsidRPr="007225C9">
        <w:rPr>
          <w:rFonts w:ascii="Times New Roman" w:hAnsi="Times New Roman"/>
        </w:rPr>
        <w:t xml:space="preserve"> as to the law</w:t>
      </w:r>
      <w:r w:rsidR="00052A23" w:rsidRPr="007225C9">
        <w:rPr>
          <w:rFonts w:ascii="Times New Roman" w:hAnsi="Times New Roman"/>
        </w:rPr>
        <w:t>,</w:t>
      </w:r>
      <w:r w:rsidR="00A14C00" w:rsidRPr="007225C9">
        <w:rPr>
          <w:rFonts w:ascii="Times New Roman" w:hAnsi="Times New Roman"/>
        </w:rPr>
        <w:t xml:space="preserve"> </w:t>
      </w:r>
      <w:r w:rsidR="00B02A6F" w:rsidRPr="007225C9">
        <w:rPr>
          <w:rFonts w:ascii="Times New Roman" w:hAnsi="Times New Roman"/>
        </w:rPr>
        <w:t xml:space="preserve">and need </w:t>
      </w:r>
      <w:r w:rsidR="003307DB" w:rsidRPr="007225C9">
        <w:rPr>
          <w:rFonts w:ascii="Times New Roman" w:hAnsi="Times New Roman"/>
        </w:rPr>
        <w:t>not be determined.</w:t>
      </w:r>
    </w:p>
    <w:p w14:paraId="2A8E1CDB" w14:textId="0463E41F" w:rsidR="00B85FA6" w:rsidRPr="007225C9" w:rsidRDefault="00FB0CF0" w:rsidP="007225C9">
      <w:pPr>
        <w:pStyle w:val="FixListStyle"/>
        <w:spacing w:after="260" w:line="280" w:lineRule="exact"/>
        <w:ind w:right="0"/>
        <w:jc w:val="both"/>
        <w:rPr>
          <w:rFonts w:ascii="Times New Roman" w:hAnsi="Times New Roman"/>
        </w:rPr>
      </w:pPr>
      <w:r w:rsidRPr="007225C9">
        <w:rPr>
          <w:rFonts w:ascii="Times New Roman" w:hAnsi="Times New Roman"/>
        </w:rPr>
        <w:tab/>
      </w:r>
      <w:r w:rsidR="006825AD" w:rsidRPr="007225C9">
        <w:rPr>
          <w:rFonts w:ascii="Times New Roman" w:hAnsi="Times New Roman"/>
        </w:rPr>
        <w:t xml:space="preserve">The </w:t>
      </w:r>
      <w:r w:rsidR="00165568" w:rsidRPr="007225C9">
        <w:rPr>
          <w:rFonts w:ascii="Times New Roman" w:hAnsi="Times New Roman"/>
        </w:rPr>
        <w:t>problem is resolved</w:t>
      </w:r>
      <w:r w:rsidR="00F04700" w:rsidRPr="007225C9">
        <w:rPr>
          <w:rFonts w:ascii="Times New Roman" w:hAnsi="Times New Roman"/>
        </w:rPr>
        <w:t xml:space="preserve"> </w:t>
      </w:r>
      <w:r w:rsidR="00EA346D" w:rsidRPr="007225C9">
        <w:rPr>
          <w:rFonts w:ascii="Times New Roman" w:hAnsi="Times New Roman"/>
        </w:rPr>
        <w:t xml:space="preserve">by the </w:t>
      </w:r>
      <w:r w:rsidR="00E53192" w:rsidRPr="007225C9">
        <w:rPr>
          <w:rFonts w:ascii="Times New Roman" w:hAnsi="Times New Roman"/>
        </w:rPr>
        <w:t xml:space="preserve">Commonwealth's </w:t>
      </w:r>
      <w:r w:rsidR="00725555" w:rsidRPr="007225C9">
        <w:rPr>
          <w:rFonts w:ascii="Times New Roman" w:hAnsi="Times New Roman"/>
        </w:rPr>
        <w:t xml:space="preserve">pleaded </w:t>
      </w:r>
      <w:r w:rsidR="00E53192" w:rsidRPr="007225C9">
        <w:rPr>
          <w:rFonts w:ascii="Times New Roman" w:hAnsi="Times New Roman"/>
        </w:rPr>
        <w:t>acceptance</w:t>
      </w:r>
      <w:r w:rsidR="00A34643" w:rsidRPr="007225C9">
        <w:rPr>
          <w:rFonts w:ascii="Times New Roman" w:hAnsi="Times New Roman"/>
        </w:rPr>
        <w:t xml:space="preserve"> </w:t>
      </w:r>
      <w:r w:rsidR="00633FA5" w:rsidRPr="007225C9">
        <w:rPr>
          <w:rFonts w:ascii="Times New Roman" w:hAnsi="Times New Roman"/>
        </w:rPr>
        <w:t>that</w:t>
      </w:r>
      <w:r w:rsidR="00582E59" w:rsidRPr="007225C9">
        <w:rPr>
          <w:rFonts w:ascii="Times New Roman" w:hAnsi="Times New Roman"/>
        </w:rPr>
        <w:t xml:space="preserve"> </w:t>
      </w:r>
      <w:r w:rsidR="00C57C68" w:rsidRPr="007225C9">
        <w:rPr>
          <w:rFonts w:ascii="Times New Roman" w:hAnsi="Times New Roman"/>
        </w:rPr>
        <w:t>the Commonwealth</w:t>
      </w:r>
      <w:r w:rsidR="00633FA5" w:rsidRPr="007225C9">
        <w:rPr>
          <w:rFonts w:ascii="Times New Roman" w:hAnsi="Times New Roman"/>
        </w:rPr>
        <w:t xml:space="preserve"> is vicariously liable</w:t>
      </w:r>
      <w:r w:rsidR="00AA21D6" w:rsidRPr="007225C9">
        <w:rPr>
          <w:rFonts w:ascii="Times New Roman" w:hAnsi="Times New Roman"/>
        </w:rPr>
        <w:t xml:space="preserve"> for the liability of the detaining officer</w:t>
      </w:r>
      <w:r w:rsidR="00582E59" w:rsidRPr="007225C9">
        <w:rPr>
          <w:rFonts w:ascii="Times New Roman" w:hAnsi="Times New Roman"/>
        </w:rPr>
        <w:t xml:space="preserve"> if the propounded defence </w:t>
      </w:r>
      <w:r w:rsidR="00D0304E" w:rsidRPr="007225C9">
        <w:rPr>
          <w:rFonts w:ascii="Times New Roman" w:hAnsi="Times New Roman"/>
        </w:rPr>
        <w:t>does</w:t>
      </w:r>
      <w:r w:rsidR="00582E59" w:rsidRPr="007225C9">
        <w:rPr>
          <w:rFonts w:ascii="Times New Roman" w:hAnsi="Times New Roman"/>
        </w:rPr>
        <w:t xml:space="preserve"> not</w:t>
      </w:r>
      <w:r w:rsidR="00960115" w:rsidRPr="007225C9">
        <w:rPr>
          <w:rFonts w:ascii="Times New Roman" w:hAnsi="Times New Roman"/>
        </w:rPr>
        <w:t xml:space="preserve"> </w:t>
      </w:r>
      <w:r w:rsidR="00582E59" w:rsidRPr="007225C9">
        <w:rPr>
          <w:rFonts w:ascii="Times New Roman" w:hAnsi="Times New Roman"/>
        </w:rPr>
        <w:t>negative the liability of the detaining officer</w:t>
      </w:r>
      <w:r w:rsidR="0008450E" w:rsidRPr="007225C9">
        <w:rPr>
          <w:rFonts w:ascii="Times New Roman" w:hAnsi="Times New Roman"/>
        </w:rPr>
        <w:t>. T</w:t>
      </w:r>
      <w:r w:rsidR="00900837" w:rsidRPr="007225C9">
        <w:rPr>
          <w:rFonts w:ascii="Times New Roman" w:hAnsi="Times New Roman"/>
        </w:rPr>
        <w:t>he Commonwealth</w:t>
      </w:r>
      <w:r w:rsidR="0008450E" w:rsidRPr="007225C9">
        <w:rPr>
          <w:rFonts w:ascii="Times New Roman" w:hAnsi="Times New Roman"/>
        </w:rPr>
        <w:t xml:space="preserve"> </w:t>
      </w:r>
      <w:r w:rsidR="004378D6" w:rsidRPr="007225C9">
        <w:rPr>
          <w:rFonts w:ascii="Times New Roman" w:hAnsi="Times New Roman"/>
        </w:rPr>
        <w:t xml:space="preserve">has </w:t>
      </w:r>
      <w:r w:rsidR="0008450E" w:rsidRPr="007225C9">
        <w:rPr>
          <w:rFonts w:ascii="Times New Roman" w:hAnsi="Times New Roman"/>
        </w:rPr>
        <w:t xml:space="preserve">also </w:t>
      </w:r>
      <w:r w:rsidR="008D2413" w:rsidRPr="007225C9">
        <w:rPr>
          <w:rFonts w:ascii="Times New Roman" w:hAnsi="Times New Roman"/>
        </w:rPr>
        <w:t>ma</w:t>
      </w:r>
      <w:r w:rsidR="004378D6" w:rsidRPr="007225C9">
        <w:rPr>
          <w:rFonts w:ascii="Times New Roman" w:hAnsi="Times New Roman"/>
        </w:rPr>
        <w:t>d</w:t>
      </w:r>
      <w:r w:rsidR="008D2413" w:rsidRPr="007225C9">
        <w:rPr>
          <w:rFonts w:ascii="Times New Roman" w:hAnsi="Times New Roman"/>
        </w:rPr>
        <w:t>e</w:t>
      </w:r>
      <w:r w:rsidR="004E5380" w:rsidRPr="007225C9">
        <w:rPr>
          <w:rFonts w:ascii="Times New Roman" w:hAnsi="Times New Roman"/>
        </w:rPr>
        <w:t xml:space="preserve"> plain </w:t>
      </w:r>
      <w:r w:rsidR="002E00EA" w:rsidRPr="007225C9">
        <w:rPr>
          <w:rFonts w:ascii="Times New Roman" w:hAnsi="Times New Roman"/>
        </w:rPr>
        <w:t xml:space="preserve">that, </w:t>
      </w:r>
      <w:r w:rsidR="0044437C" w:rsidRPr="007225C9">
        <w:rPr>
          <w:rFonts w:ascii="Times New Roman" w:hAnsi="Times New Roman"/>
        </w:rPr>
        <w:t>if the</w:t>
      </w:r>
      <w:r w:rsidR="00EF00F2" w:rsidRPr="007225C9">
        <w:rPr>
          <w:rFonts w:ascii="Times New Roman" w:hAnsi="Times New Roman"/>
        </w:rPr>
        <w:t xml:space="preserve"> </w:t>
      </w:r>
      <w:r w:rsidR="0044437C" w:rsidRPr="007225C9">
        <w:rPr>
          <w:rFonts w:ascii="Times New Roman" w:hAnsi="Times New Roman"/>
        </w:rPr>
        <w:t xml:space="preserve">defence </w:t>
      </w:r>
      <w:r w:rsidR="002C3DEC" w:rsidRPr="007225C9">
        <w:rPr>
          <w:rFonts w:ascii="Times New Roman" w:hAnsi="Times New Roman"/>
        </w:rPr>
        <w:t>does</w:t>
      </w:r>
      <w:r w:rsidR="0044437C" w:rsidRPr="007225C9">
        <w:rPr>
          <w:rFonts w:ascii="Times New Roman" w:hAnsi="Times New Roman"/>
        </w:rPr>
        <w:t xml:space="preserve"> not</w:t>
      </w:r>
      <w:r w:rsidR="00D0179E" w:rsidRPr="007225C9">
        <w:rPr>
          <w:rFonts w:ascii="Times New Roman" w:hAnsi="Times New Roman"/>
        </w:rPr>
        <w:t xml:space="preserve"> negativ</w:t>
      </w:r>
      <w:r w:rsidR="00421A6F" w:rsidRPr="007225C9">
        <w:rPr>
          <w:rFonts w:ascii="Times New Roman" w:hAnsi="Times New Roman"/>
        </w:rPr>
        <w:t>e</w:t>
      </w:r>
      <w:r w:rsidR="00D0179E" w:rsidRPr="007225C9">
        <w:rPr>
          <w:rFonts w:ascii="Times New Roman" w:hAnsi="Times New Roman"/>
        </w:rPr>
        <w:t xml:space="preserve"> the liability of the detaining officer</w:t>
      </w:r>
      <w:r w:rsidR="0044437C" w:rsidRPr="007225C9">
        <w:rPr>
          <w:rFonts w:ascii="Times New Roman" w:hAnsi="Times New Roman"/>
        </w:rPr>
        <w:t xml:space="preserve">, </w:t>
      </w:r>
      <w:r w:rsidR="00C6446A" w:rsidRPr="007225C9">
        <w:rPr>
          <w:rFonts w:ascii="Times New Roman" w:hAnsi="Times New Roman"/>
        </w:rPr>
        <w:t>the Commonwealth</w:t>
      </w:r>
      <w:r w:rsidR="004A0191" w:rsidRPr="007225C9">
        <w:rPr>
          <w:rFonts w:ascii="Times New Roman" w:hAnsi="Times New Roman"/>
        </w:rPr>
        <w:t xml:space="preserve"> would not</w:t>
      </w:r>
      <w:r w:rsidR="00E952A3" w:rsidRPr="007225C9">
        <w:rPr>
          <w:rFonts w:ascii="Times New Roman" w:hAnsi="Times New Roman"/>
        </w:rPr>
        <w:t xml:space="preserve"> </w:t>
      </w:r>
      <w:r w:rsidR="00B12FA5" w:rsidRPr="007225C9">
        <w:rPr>
          <w:rFonts w:ascii="Times New Roman" w:hAnsi="Times New Roman"/>
        </w:rPr>
        <w:t>propound</w:t>
      </w:r>
      <w:r w:rsidR="00C947EE" w:rsidRPr="007225C9">
        <w:rPr>
          <w:rFonts w:ascii="Times New Roman" w:hAnsi="Times New Roman"/>
        </w:rPr>
        <w:t xml:space="preserve"> the</w:t>
      </w:r>
      <w:r w:rsidR="00B12FA5" w:rsidRPr="007225C9">
        <w:rPr>
          <w:rFonts w:ascii="Times New Roman" w:hAnsi="Times New Roman"/>
        </w:rPr>
        <w:t xml:space="preserve"> </w:t>
      </w:r>
      <w:r w:rsidR="008417FA" w:rsidRPr="007225C9">
        <w:rPr>
          <w:rFonts w:ascii="Times New Roman" w:hAnsi="Times New Roman"/>
        </w:rPr>
        <w:t xml:space="preserve">defence </w:t>
      </w:r>
      <w:r w:rsidR="00D0179E" w:rsidRPr="007225C9">
        <w:rPr>
          <w:rFonts w:ascii="Times New Roman" w:hAnsi="Times New Roman"/>
        </w:rPr>
        <w:t xml:space="preserve">as </w:t>
      </w:r>
      <w:r w:rsidR="004C20CC" w:rsidRPr="007225C9">
        <w:rPr>
          <w:rFonts w:ascii="Times New Roman" w:hAnsi="Times New Roman"/>
        </w:rPr>
        <w:t>negativ</w:t>
      </w:r>
      <w:r w:rsidR="00CB0133" w:rsidRPr="007225C9">
        <w:rPr>
          <w:rFonts w:ascii="Times New Roman" w:hAnsi="Times New Roman"/>
        </w:rPr>
        <w:t>ing</w:t>
      </w:r>
      <w:r w:rsidR="008417FA" w:rsidRPr="007225C9">
        <w:rPr>
          <w:rFonts w:ascii="Times New Roman" w:hAnsi="Times New Roman"/>
        </w:rPr>
        <w:t xml:space="preserve"> </w:t>
      </w:r>
      <w:r w:rsidR="000C6095" w:rsidRPr="007225C9">
        <w:rPr>
          <w:rFonts w:ascii="Times New Roman" w:hAnsi="Times New Roman"/>
        </w:rPr>
        <w:t>any</w:t>
      </w:r>
      <w:r w:rsidR="00B7788D" w:rsidRPr="007225C9">
        <w:rPr>
          <w:rFonts w:ascii="Times New Roman" w:hAnsi="Times New Roman"/>
        </w:rPr>
        <w:t xml:space="preserve"> </w:t>
      </w:r>
      <w:r w:rsidR="005E002C" w:rsidRPr="007225C9">
        <w:rPr>
          <w:rFonts w:ascii="Times New Roman" w:hAnsi="Times New Roman"/>
        </w:rPr>
        <w:t xml:space="preserve">direct liability </w:t>
      </w:r>
      <w:r w:rsidR="00F32CF3" w:rsidRPr="007225C9">
        <w:rPr>
          <w:rFonts w:ascii="Times New Roman" w:hAnsi="Times New Roman"/>
        </w:rPr>
        <w:t xml:space="preserve">the Commonwealth </w:t>
      </w:r>
      <w:r w:rsidR="000C6095" w:rsidRPr="007225C9">
        <w:rPr>
          <w:rFonts w:ascii="Times New Roman" w:hAnsi="Times New Roman"/>
        </w:rPr>
        <w:t>it</w:t>
      </w:r>
      <w:r w:rsidR="00F32CF3" w:rsidRPr="007225C9">
        <w:rPr>
          <w:rFonts w:ascii="Times New Roman" w:hAnsi="Times New Roman"/>
        </w:rPr>
        <w:t>self</w:t>
      </w:r>
      <w:r w:rsidR="000C6095" w:rsidRPr="007225C9">
        <w:rPr>
          <w:rFonts w:ascii="Times New Roman" w:hAnsi="Times New Roman"/>
        </w:rPr>
        <w:t xml:space="preserve"> might have.</w:t>
      </w:r>
    </w:p>
    <w:p w14:paraId="1218E8A3" w14:textId="4B962CBE" w:rsidR="004C20CC" w:rsidRPr="007225C9" w:rsidRDefault="004C20CC" w:rsidP="007225C9">
      <w:pPr>
        <w:pStyle w:val="FixListStyle"/>
        <w:spacing w:after="260" w:line="280" w:lineRule="exact"/>
        <w:ind w:right="0"/>
        <w:jc w:val="both"/>
        <w:rPr>
          <w:rFonts w:ascii="Times New Roman" w:hAnsi="Times New Roman"/>
        </w:rPr>
      </w:pPr>
      <w:r w:rsidRPr="007225C9">
        <w:rPr>
          <w:rFonts w:ascii="Times New Roman" w:hAnsi="Times New Roman"/>
        </w:rPr>
        <w:tab/>
      </w:r>
      <w:r w:rsidR="005053E1" w:rsidRPr="007225C9">
        <w:rPr>
          <w:rFonts w:ascii="Times New Roman" w:hAnsi="Times New Roman"/>
        </w:rPr>
        <w:t xml:space="preserve">To </w:t>
      </w:r>
      <w:r w:rsidR="00B32CA1" w:rsidRPr="007225C9">
        <w:rPr>
          <w:rFonts w:ascii="Times New Roman" w:hAnsi="Times New Roman"/>
        </w:rPr>
        <w:t>determine the question r</w:t>
      </w:r>
      <w:r w:rsidR="00056186" w:rsidRPr="007225C9">
        <w:rPr>
          <w:rFonts w:ascii="Times New Roman" w:hAnsi="Times New Roman"/>
        </w:rPr>
        <w:t xml:space="preserve">eserved </w:t>
      </w:r>
      <w:r w:rsidR="00B32CA1" w:rsidRPr="007225C9">
        <w:rPr>
          <w:rFonts w:ascii="Times New Roman" w:hAnsi="Times New Roman"/>
        </w:rPr>
        <w:t xml:space="preserve">by the </w:t>
      </w:r>
      <w:r w:rsidR="003C5C7D" w:rsidRPr="007225C9">
        <w:rPr>
          <w:rFonts w:ascii="Times New Roman" w:hAnsi="Times New Roman"/>
        </w:rPr>
        <w:t xml:space="preserve">special case </w:t>
      </w:r>
      <w:r w:rsidR="00B32CA1" w:rsidRPr="007225C9">
        <w:rPr>
          <w:rFonts w:ascii="Times New Roman" w:hAnsi="Times New Roman"/>
        </w:rPr>
        <w:t>in the negative</w:t>
      </w:r>
      <w:r w:rsidR="003C5C7D" w:rsidRPr="007225C9">
        <w:rPr>
          <w:rFonts w:ascii="Times New Roman" w:hAnsi="Times New Roman"/>
        </w:rPr>
        <w:t xml:space="preserve">, it is therefore </w:t>
      </w:r>
      <w:r w:rsidR="00BB080F" w:rsidRPr="007225C9">
        <w:rPr>
          <w:rFonts w:ascii="Times New Roman" w:hAnsi="Times New Roman"/>
        </w:rPr>
        <w:t xml:space="preserve">sufficient </w:t>
      </w:r>
      <w:r w:rsidR="003C5C7D" w:rsidRPr="007225C9">
        <w:rPr>
          <w:rFonts w:ascii="Times New Roman" w:hAnsi="Times New Roman"/>
        </w:rPr>
        <w:t xml:space="preserve">to </w:t>
      </w:r>
      <w:r w:rsidR="005053E1" w:rsidRPr="007225C9">
        <w:rPr>
          <w:rFonts w:ascii="Times New Roman" w:hAnsi="Times New Roman"/>
        </w:rPr>
        <w:t xml:space="preserve">conclude that </w:t>
      </w:r>
      <w:r w:rsidR="00AF7A24" w:rsidRPr="007225C9">
        <w:rPr>
          <w:rFonts w:ascii="Times New Roman" w:hAnsi="Times New Roman"/>
        </w:rPr>
        <w:t xml:space="preserve">the propounded </w:t>
      </w:r>
      <w:r w:rsidR="00D05FC4" w:rsidRPr="007225C9">
        <w:rPr>
          <w:rFonts w:ascii="Times New Roman" w:hAnsi="Times New Roman"/>
        </w:rPr>
        <w:t xml:space="preserve">common law </w:t>
      </w:r>
      <w:r w:rsidR="00AF7A24" w:rsidRPr="007225C9">
        <w:rPr>
          <w:rFonts w:ascii="Times New Roman" w:hAnsi="Times New Roman"/>
        </w:rPr>
        <w:t xml:space="preserve">defence should not be recognised </w:t>
      </w:r>
      <w:r w:rsidR="005053E1" w:rsidRPr="007225C9">
        <w:rPr>
          <w:rFonts w:ascii="Times New Roman" w:hAnsi="Times New Roman"/>
        </w:rPr>
        <w:t xml:space="preserve">to negative the </w:t>
      </w:r>
      <w:r w:rsidR="00D05FC4" w:rsidRPr="007225C9">
        <w:rPr>
          <w:rFonts w:ascii="Times New Roman" w:hAnsi="Times New Roman"/>
        </w:rPr>
        <w:t xml:space="preserve">common law </w:t>
      </w:r>
      <w:r w:rsidR="005053E1" w:rsidRPr="007225C9">
        <w:rPr>
          <w:rFonts w:ascii="Times New Roman" w:hAnsi="Times New Roman"/>
        </w:rPr>
        <w:t>liability of the detaining officer</w:t>
      </w:r>
      <w:r w:rsidR="00067A53" w:rsidRPr="007225C9">
        <w:rPr>
          <w:rFonts w:ascii="Times New Roman" w:hAnsi="Times New Roman"/>
        </w:rPr>
        <w:t xml:space="preserve"> </w:t>
      </w:r>
      <w:r w:rsidR="00E33236" w:rsidRPr="007225C9">
        <w:rPr>
          <w:rFonts w:ascii="Times New Roman" w:hAnsi="Times New Roman"/>
        </w:rPr>
        <w:t>for the tort of false imprisonment</w:t>
      </w:r>
      <w:r w:rsidR="00901F68" w:rsidRPr="007225C9">
        <w:rPr>
          <w:rFonts w:ascii="Times New Roman" w:hAnsi="Times New Roman"/>
        </w:rPr>
        <w:t>.</w:t>
      </w:r>
      <w:r w:rsidR="00CB0133" w:rsidRPr="007225C9">
        <w:rPr>
          <w:rFonts w:ascii="Times New Roman" w:hAnsi="Times New Roman"/>
        </w:rPr>
        <w:t xml:space="preserve"> </w:t>
      </w:r>
    </w:p>
    <w:p w14:paraId="584DC3AC" w14:textId="4D398101" w:rsidR="00F07822" w:rsidRPr="007225C9" w:rsidRDefault="00764941" w:rsidP="007225C9">
      <w:pPr>
        <w:pStyle w:val="HeadingL1"/>
        <w:spacing w:after="260" w:line="280" w:lineRule="exact"/>
        <w:ind w:right="0"/>
        <w:jc w:val="both"/>
        <w:rPr>
          <w:rFonts w:ascii="Times New Roman" w:hAnsi="Times New Roman"/>
        </w:rPr>
      </w:pPr>
      <w:r w:rsidRPr="007225C9">
        <w:rPr>
          <w:rFonts w:ascii="Times New Roman" w:hAnsi="Times New Roman"/>
        </w:rPr>
        <w:t xml:space="preserve">The </w:t>
      </w:r>
      <w:r w:rsidR="008C62EC" w:rsidRPr="007225C9">
        <w:rPr>
          <w:rFonts w:ascii="Times New Roman" w:hAnsi="Times New Roman"/>
        </w:rPr>
        <w:t xml:space="preserve">asserted </w:t>
      </w:r>
      <w:r w:rsidRPr="007225C9">
        <w:rPr>
          <w:rFonts w:ascii="Times New Roman" w:hAnsi="Times New Roman"/>
        </w:rPr>
        <w:t>basis of the propounded defence</w:t>
      </w:r>
    </w:p>
    <w:p w14:paraId="77364CC2" w14:textId="21A92CC3" w:rsidR="003A7CA5" w:rsidRPr="007225C9" w:rsidRDefault="00EA0663" w:rsidP="007225C9">
      <w:pPr>
        <w:pStyle w:val="FixListStyle"/>
        <w:spacing w:after="260" w:line="280" w:lineRule="exact"/>
        <w:ind w:right="0"/>
        <w:jc w:val="both"/>
        <w:rPr>
          <w:rFonts w:ascii="Times New Roman" w:hAnsi="Times New Roman"/>
        </w:rPr>
      </w:pPr>
      <w:r w:rsidRPr="007225C9">
        <w:rPr>
          <w:rFonts w:ascii="Times New Roman" w:hAnsi="Times New Roman"/>
        </w:rPr>
        <w:tab/>
        <w:t>The Commonwealth</w:t>
      </w:r>
      <w:r w:rsidR="005B7FAA" w:rsidRPr="007225C9">
        <w:rPr>
          <w:rFonts w:ascii="Times New Roman" w:hAnsi="Times New Roman"/>
        </w:rPr>
        <w:t>'s</w:t>
      </w:r>
      <w:r w:rsidRPr="007225C9">
        <w:rPr>
          <w:rFonts w:ascii="Times New Roman" w:hAnsi="Times New Roman"/>
        </w:rPr>
        <w:t xml:space="preserve"> </w:t>
      </w:r>
      <w:r w:rsidR="005B7FAA" w:rsidRPr="007225C9">
        <w:rPr>
          <w:rFonts w:ascii="Times New Roman" w:hAnsi="Times New Roman"/>
        </w:rPr>
        <w:t xml:space="preserve">argument that the propounded </w:t>
      </w:r>
      <w:r w:rsidR="001E5570" w:rsidRPr="007225C9">
        <w:rPr>
          <w:rFonts w:ascii="Times New Roman" w:hAnsi="Times New Roman"/>
        </w:rPr>
        <w:t xml:space="preserve">common law </w:t>
      </w:r>
      <w:r w:rsidR="005B7FAA" w:rsidRPr="007225C9">
        <w:rPr>
          <w:rFonts w:ascii="Times New Roman" w:hAnsi="Times New Roman"/>
        </w:rPr>
        <w:t xml:space="preserve">defence </w:t>
      </w:r>
      <w:r w:rsidR="00D80BC3" w:rsidRPr="007225C9">
        <w:rPr>
          <w:rFonts w:ascii="Times New Roman" w:hAnsi="Times New Roman"/>
        </w:rPr>
        <w:t>should be recognised</w:t>
      </w:r>
      <w:r w:rsidR="005B7FAA" w:rsidRPr="007225C9">
        <w:rPr>
          <w:rFonts w:ascii="Times New Roman" w:hAnsi="Times New Roman"/>
        </w:rPr>
        <w:t xml:space="preserve"> </w:t>
      </w:r>
      <w:r w:rsidR="00607CB4" w:rsidRPr="007225C9">
        <w:rPr>
          <w:rFonts w:ascii="Times New Roman" w:hAnsi="Times New Roman"/>
        </w:rPr>
        <w:t xml:space="preserve">to negative the </w:t>
      </w:r>
      <w:r w:rsidR="00CD7D0D" w:rsidRPr="007225C9">
        <w:rPr>
          <w:rFonts w:ascii="Times New Roman" w:hAnsi="Times New Roman"/>
        </w:rPr>
        <w:t xml:space="preserve">common law </w:t>
      </w:r>
      <w:r w:rsidR="00607CB4" w:rsidRPr="007225C9">
        <w:rPr>
          <w:rFonts w:ascii="Times New Roman" w:hAnsi="Times New Roman"/>
        </w:rPr>
        <w:t xml:space="preserve">liability of the detaining officer for </w:t>
      </w:r>
      <w:r w:rsidR="00CD7D0D" w:rsidRPr="007225C9">
        <w:rPr>
          <w:rFonts w:ascii="Times New Roman" w:hAnsi="Times New Roman"/>
        </w:rPr>
        <w:t xml:space="preserve">the </w:t>
      </w:r>
      <w:r w:rsidR="00607CB4" w:rsidRPr="007225C9">
        <w:rPr>
          <w:rFonts w:ascii="Times New Roman" w:hAnsi="Times New Roman"/>
        </w:rPr>
        <w:t>tort of false imprisonment</w:t>
      </w:r>
      <w:r w:rsidR="005D1F10" w:rsidRPr="007225C9">
        <w:rPr>
          <w:rFonts w:ascii="Times New Roman" w:hAnsi="Times New Roman"/>
        </w:rPr>
        <w:t xml:space="preserve"> </w:t>
      </w:r>
      <w:r w:rsidR="00CE4F39" w:rsidRPr="007225C9">
        <w:rPr>
          <w:rFonts w:ascii="Times New Roman" w:hAnsi="Times New Roman"/>
        </w:rPr>
        <w:t xml:space="preserve">seeks to </w:t>
      </w:r>
      <w:r w:rsidR="004D553B" w:rsidRPr="007225C9">
        <w:rPr>
          <w:rFonts w:ascii="Times New Roman" w:hAnsi="Times New Roman"/>
        </w:rPr>
        <w:t xml:space="preserve">draw </w:t>
      </w:r>
      <w:r w:rsidR="00CA00C1" w:rsidRPr="007225C9">
        <w:rPr>
          <w:rFonts w:ascii="Times New Roman" w:hAnsi="Times New Roman"/>
        </w:rPr>
        <w:t>by analogy on</w:t>
      </w:r>
      <w:r w:rsidR="00ED20B7" w:rsidRPr="007225C9">
        <w:rPr>
          <w:rFonts w:ascii="Times New Roman" w:hAnsi="Times New Roman"/>
        </w:rPr>
        <w:t xml:space="preserve"> </w:t>
      </w:r>
      <w:r w:rsidR="00277AB8" w:rsidRPr="007225C9">
        <w:rPr>
          <w:rFonts w:ascii="Times New Roman" w:hAnsi="Times New Roman"/>
        </w:rPr>
        <w:t>reasoning</w:t>
      </w:r>
      <w:r w:rsidR="00464691" w:rsidRPr="007225C9">
        <w:rPr>
          <w:rFonts w:ascii="Times New Roman" w:hAnsi="Times New Roman"/>
        </w:rPr>
        <w:t xml:space="preserve"> of the plurality</w:t>
      </w:r>
      <w:r w:rsidR="00277AB8" w:rsidRPr="007225C9">
        <w:rPr>
          <w:rFonts w:ascii="Times New Roman" w:hAnsi="Times New Roman"/>
        </w:rPr>
        <w:t xml:space="preserve"> </w:t>
      </w:r>
      <w:r w:rsidR="00963BF5" w:rsidRPr="007225C9">
        <w:rPr>
          <w:rFonts w:ascii="Times New Roman" w:hAnsi="Times New Roman"/>
        </w:rPr>
        <w:t xml:space="preserve">in </w:t>
      </w:r>
      <w:r w:rsidR="00963BF5" w:rsidRPr="007225C9">
        <w:rPr>
          <w:rFonts w:ascii="Times New Roman" w:hAnsi="Times New Roman"/>
          <w:i/>
          <w:iCs/>
        </w:rPr>
        <w:t>Queensland v Stradford</w:t>
      </w:r>
      <w:r w:rsidR="00190F49" w:rsidRPr="007225C9">
        <w:rPr>
          <w:rFonts w:ascii="Times New Roman" w:hAnsi="Times New Roman"/>
          <w:i/>
          <w:iCs/>
        </w:rPr>
        <w:t xml:space="preserve"> (a pseudonym)</w:t>
      </w:r>
      <w:r w:rsidR="00963BF5" w:rsidRPr="007225C9">
        <w:rPr>
          <w:rStyle w:val="FootnoteReference"/>
          <w:rFonts w:ascii="Times New Roman" w:hAnsi="Times New Roman"/>
          <w:sz w:val="24"/>
        </w:rPr>
        <w:footnoteReference w:id="22"/>
      </w:r>
      <w:r w:rsidR="00963BF5" w:rsidRPr="007225C9">
        <w:rPr>
          <w:rFonts w:ascii="Times New Roman" w:hAnsi="Times New Roman"/>
        </w:rPr>
        <w:t xml:space="preserve"> </w:t>
      </w:r>
      <w:r w:rsidR="00493DE0" w:rsidRPr="007225C9">
        <w:rPr>
          <w:rFonts w:ascii="Times New Roman" w:hAnsi="Times New Roman"/>
        </w:rPr>
        <w:t xml:space="preserve">which </w:t>
      </w:r>
      <w:r w:rsidR="00464691" w:rsidRPr="007225C9">
        <w:rPr>
          <w:rFonts w:ascii="Times New Roman" w:hAnsi="Times New Roman"/>
        </w:rPr>
        <w:t>contributed</w:t>
      </w:r>
      <w:r w:rsidR="000F77B0" w:rsidRPr="007225C9">
        <w:rPr>
          <w:rFonts w:ascii="Times New Roman" w:hAnsi="Times New Roman"/>
        </w:rPr>
        <w:t xml:space="preserve"> </w:t>
      </w:r>
      <w:r w:rsidR="00EF3020" w:rsidRPr="007225C9">
        <w:rPr>
          <w:rFonts w:ascii="Times New Roman" w:hAnsi="Times New Roman"/>
        </w:rPr>
        <w:t xml:space="preserve">to </w:t>
      </w:r>
      <w:r w:rsidR="000F77B0" w:rsidRPr="007225C9">
        <w:rPr>
          <w:rFonts w:ascii="Times New Roman" w:hAnsi="Times New Roman"/>
        </w:rPr>
        <w:t>t</w:t>
      </w:r>
      <w:r w:rsidR="00EF3020" w:rsidRPr="007225C9">
        <w:rPr>
          <w:rFonts w:ascii="Times New Roman" w:hAnsi="Times New Roman"/>
        </w:rPr>
        <w:t>he</w:t>
      </w:r>
      <w:r w:rsidR="00CE4F39" w:rsidRPr="007225C9">
        <w:rPr>
          <w:rFonts w:ascii="Times New Roman" w:hAnsi="Times New Roman"/>
        </w:rPr>
        <w:t xml:space="preserve"> </w:t>
      </w:r>
      <w:r w:rsidR="001963F4" w:rsidRPr="007225C9">
        <w:rPr>
          <w:rFonts w:ascii="Times New Roman" w:hAnsi="Times New Roman"/>
        </w:rPr>
        <w:t xml:space="preserve">recognition </w:t>
      </w:r>
      <w:r w:rsidR="00EF3020" w:rsidRPr="007225C9">
        <w:rPr>
          <w:rFonts w:ascii="Times New Roman" w:hAnsi="Times New Roman"/>
        </w:rPr>
        <w:t xml:space="preserve">in that case </w:t>
      </w:r>
      <w:r w:rsidR="00CD7D0D" w:rsidRPr="007225C9">
        <w:rPr>
          <w:rFonts w:ascii="Times New Roman" w:hAnsi="Times New Roman"/>
        </w:rPr>
        <w:t xml:space="preserve">of </w:t>
      </w:r>
      <w:r w:rsidR="00203670" w:rsidRPr="007225C9">
        <w:rPr>
          <w:rFonts w:ascii="Times New Roman" w:hAnsi="Times New Roman"/>
        </w:rPr>
        <w:t xml:space="preserve">the common law </w:t>
      </w:r>
      <w:r w:rsidR="00F96A02" w:rsidRPr="007225C9">
        <w:rPr>
          <w:rFonts w:ascii="Times New Roman" w:hAnsi="Times New Roman"/>
        </w:rPr>
        <w:t xml:space="preserve">of Australia </w:t>
      </w:r>
      <w:r w:rsidR="00203670" w:rsidRPr="007225C9">
        <w:rPr>
          <w:rFonts w:ascii="Times New Roman" w:hAnsi="Times New Roman"/>
        </w:rPr>
        <w:t>afford</w:t>
      </w:r>
      <w:r w:rsidR="00D702B1" w:rsidRPr="007225C9">
        <w:rPr>
          <w:rFonts w:ascii="Times New Roman" w:hAnsi="Times New Roman"/>
        </w:rPr>
        <w:t>ing</w:t>
      </w:r>
      <w:r w:rsidR="00203670" w:rsidRPr="007225C9">
        <w:rPr>
          <w:rFonts w:ascii="Times New Roman" w:hAnsi="Times New Roman"/>
        </w:rPr>
        <w:t xml:space="preserve"> </w:t>
      </w:r>
      <w:r w:rsidR="00D231A1" w:rsidRPr="007225C9">
        <w:rPr>
          <w:rFonts w:ascii="Times New Roman" w:hAnsi="Times New Roman"/>
        </w:rPr>
        <w:t xml:space="preserve">a measure of protection from liability </w:t>
      </w:r>
      <w:r w:rsidR="00E5314D" w:rsidRPr="007225C9">
        <w:rPr>
          <w:rFonts w:ascii="Times New Roman" w:hAnsi="Times New Roman"/>
        </w:rPr>
        <w:t xml:space="preserve">"to those who have a legal duty </w:t>
      </w:r>
      <w:r w:rsidR="005D5D4B" w:rsidRPr="007225C9">
        <w:rPr>
          <w:rFonts w:ascii="Times New Roman" w:hAnsi="Times New Roman"/>
        </w:rPr>
        <w:t xml:space="preserve">to enforce or execute </w:t>
      </w:r>
      <w:r w:rsidR="005D5D4B" w:rsidRPr="007225C9">
        <w:rPr>
          <w:rFonts w:ascii="Times New Roman" w:hAnsi="Times New Roman"/>
        </w:rPr>
        <w:lastRenderedPageBreak/>
        <w:t xml:space="preserve">orders or warrants </w:t>
      </w:r>
      <w:r w:rsidR="00EB7DC2" w:rsidRPr="007225C9">
        <w:rPr>
          <w:rFonts w:ascii="Times New Roman" w:hAnsi="Times New Roman"/>
        </w:rPr>
        <w:t>made</w:t>
      </w:r>
      <w:r w:rsidR="005D5D4B" w:rsidRPr="007225C9">
        <w:rPr>
          <w:rFonts w:ascii="Times New Roman" w:hAnsi="Times New Roman"/>
        </w:rPr>
        <w:t xml:space="preserve"> or issued by a court </w:t>
      </w:r>
      <w:r w:rsidR="00EB7DC2" w:rsidRPr="007225C9">
        <w:rPr>
          <w:rFonts w:ascii="Times New Roman" w:hAnsi="Times New Roman"/>
        </w:rPr>
        <w:t>in judicial proceedings ... even if those orders or warrants are invalid".</w:t>
      </w:r>
      <w:r w:rsidR="00EB7DC2" w:rsidRPr="007225C9">
        <w:rPr>
          <w:rStyle w:val="FootnoteReference"/>
          <w:rFonts w:ascii="Times New Roman" w:hAnsi="Times New Roman"/>
          <w:sz w:val="24"/>
        </w:rPr>
        <w:footnoteReference w:id="23"/>
      </w:r>
      <w:r w:rsidR="00724AEC" w:rsidRPr="007225C9">
        <w:rPr>
          <w:rFonts w:ascii="Times New Roman" w:hAnsi="Times New Roman"/>
        </w:rPr>
        <w:t xml:space="preserve"> </w:t>
      </w:r>
    </w:p>
    <w:p w14:paraId="484495BF" w14:textId="10A35243" w:rsidR="00950E9C" w:rsidRPr="007225C9" w:rsidRDefault="003A7CA5" w:rsidP="007225C9">
      <w:pPr>
        <w:pStyle w:val="FixListStyle"/>
        <w:spacing w:after="260" w:line="280" w:lineRule="exact"/>
        <w:ind w:right="0"/>
        <w:jc w:val="both"/>
        <w:rPr>
          <w:rFonts w:ascii="Times New Roman" w:hAnsi="Times New Roman"/>
        </w:rPr>
      </w:pPr>
      <w:r w:rsidRPr="007225C9">
        <w:rPr>
          <w:rFonts w:ascii="Times New Roman" w:hAnsi="Times New Roman"/>
        </w:rPr>
        <w:tab/>
      </w:r>
      <w:r w:rsidR="00E71B9D" w:rsidRPr="007225C9">
        <w:rPr>
          <w:rFonts w:ascii="Times New Roman" w:hAnsi="Times New Roman"/>
        </w:rPr>
        <w:t>T</w:t>
      </w:r>
      <w:r w:rsidR="00604B9E" w:rsidRPr="007225C9">
        <w:rPr>
          <w:rFonts w:ascii="Times New Roman" w:hAnsi="Times New Roman"/>
        </w:rPr>
        <w:t>he premise</w:t>
      </w:r>
      <w:r w:rsidR="00035593" w:rsidRPr="007225C9">
        <w:rPr>
          <w:rFonts w:ascii="Times New Roman" w:hAnsi="Times New Roman"/>
        </w:rPr>
        <w:t xml:space="preserve"> </w:t>
      </w:r>
      <w:r w:rsidR="00E71B9D" w:rsidRPr="007225C9">
        <w:rPr>
          <w:rFonts w:ascii="Times New Roman" w:hAnsi="Times New Roman"/>
        </w:rPr>
        <w:t xml:space="preserve">of </w:t>
      </w:r>
      <w:r w:rsidR="00F21FFE" w:rsidRPr="007225C9">
        <w:rPr>
          <w:rFonts w:ascii="Times New Roman" w:hAnsi="Times New Roman"/>
        </w:rPr>
        <w:t xml:space="preserve">the </w:t>
      </w:r>
      <w:r w:rsidR="00E71B9D" w:rsidRPr="007225C9">
        <w:rPr>
          <w:rFonts w:ascii="Times New Roman" w:hAnsi="Times New Roman"/>
        </w:rPr>
        <w:t>Commonwealth's argument</w:t>
      </w:r>
      <w:r w:rsidR="0093269D" w:rsidRPr="007225C9">
        <w:rPr>
          <w:rFonts w:ascii="Times New Roman" w:hAnsi="Times New Roman"/>
        </w:rPr>
        <w:t xml:space="preserve">, </w:t>
      </w:r>
      <w:r w:rsidR="00D51295" w:rsidRPr="007225C9">
        <w:rPr>
          <w:rFonts w:ascii="Times New Roman" w:hAnsi="Times New Roman"/>
        </w:rPr>
        <w:t xml:space="preserve">as </w:t>
      </w:r>
      <w:r w:rsidR="00E07F9A" w:rsidRPr="007225C9">
        <w:rPr>
          <w:rFonts w:ascii="Times New Roman" w:hAnsi="Times New Roman"/>
        </w:rPr>
        <w:t xml:space="preserve">reflected in the </w:t>
      </w:r>
      <w:r w:rsidR="00D51295" w:rsidRPr="007225C9">
        <w:rPr>
          <w:rFonts w:ascii="Times New Roman" w:hAnsi="Times New Roman"/>
        </w:rPr>
        <w:t xml:space="preserve">framing of the third element </w:t>
      </w:r>
      <w:r w:rsidR="0081313C" w:rsidRPr="007225C9">
        <w:rPr>
          <w:rFonts w:ascii="Times New Roman" w:hAnsi="Times New Roman"/>
        </w:rPr>
        <w:t xml:space="preserve">of the propounded defence, </w:t>
      </w:r>
      <w:r w:rsidR="00736775" w:rsidRPr="007225C9">
        <w:rPr>
          <w:rFonts w:ascii="Times New Roman" w:hAnsi="Times New Roman"/>
        </w:rPr>
        <w:t xml:space="preserve">is that </w:t>
      </w:r>
      <w:r w:rsidR="0002751F" w:rsidRPr="007225C9">
        <w:rPr>
          <w:rFonts w:ascii="Times New Roman" w:hAnsi="Times New Roman"/>
        </w:rPr>
        <w:t xml:space="preserve">the responsibility of the executive government </w:t>
      </w:r>
      <w:r w:rsidR="000526B5" w:rsidRPr="007225C9">
        <w:rPr>
          <w:rFonts w:ascii="Times New Roman" w:hAnsi="Times New Roman"/>
        </w:rPr>
        <w:t>of t</w:t>
      </w:r>
      <w:r w:rsidR="007311A6" w:rsidRPr="007225C9">
        <w:rPr>
          <w:rFonts w:ascii="Times New Roman" w:hAnsi="Times New Roman"/>
        </w:rPr>
        <w:t xml:space="preserve">he Commonwealth </w:t>
      </w:r>
      <w:r w:rsidR="0002751F" w:rsidRPr="007225C9">
        <w:rPr>
          <w:rFonts w:ascii="Times New Roman" w:hAnsi="Times New Roman"/>
        </w:rPr>
        <w:t xml:space="preserve">to ascertain the law that limits its own power and to comply with that </w:t>
      </w:r>
      <w:r w:rsidR="007311A6" w:rsidRPr="007225C9">
        <w:rPr>
          <w:rFonts w:ascii="Times New Roman" w:hAnsi="Times New Roman"/>
        </w:rPr>
        <w:t xml:space="preserve">law </w:t>
      </w:r>
      <w:r w:rsidR="005E45DF" w:rsidRPr="007225C9">
        <w:rPr>
          <w:rFonts w:ascii="Times New Roman" w:hAnsi="Times New Roman"/>
        </w:rPr>
        <w:t xml:space="preserve">corresponds </w:t>
      </w:r>
      <w:r w:rsidR="005D380A" w:rsidRPr="007225C9">
        <w:rPr>
          <w:rFonts w:ascii="Times New Roman" w:hAnsi="Times New Roman"/>
        </w:rPr>
        <w:t xml:space="preserve">to an independent legal duty on the part </w:t>
      </w:r>
      <w:r w:rsidR="00FA5F2C" w:rsidRPr="007225C9">
        <w:rPr>
          <w:rFonts w:ascii="Times New Roman" w:hAnsi="Times New Roman"/>
        </w:rPr>
        <w:t xml:space="preserve">of </w:t>
      </w:r>
      <w:r w:rsidR="006D1A0A" w:rsidRPr="007225C9">
        <w:rPr>
          <w:rFonts w:ascii="Times New Roman" w:hAnsi="Times New Roman"/>
        </w:rPr>
        <w:t xml:space="preserve">an officer of the executive government of the Commonwealth </w:t>
      </w:r>
      <w:r w:rsidR="00A60A87" w:rsidRPr="007225C9">
        <w:rPr>
          <w:rFonts w:ascii="Times New Roman" w:hAnsi="Times New Roman"/>
        </w:rPr>
        <w:t>to ascertain and comply with the law that limits the power of th</w:t>
      </w:r>
      <w:r w:rsidR="005D380A" w:rsidRPr="007225C9">
        <w:rPr>
          <w:rFonts w:ascii="Times New Roman" w:hAnsi="Times New Roman"/>
        </w:rPr>
        <w:t>at</w:t>
      </w:r>
      <w:r w:rsidR="00A60A87" w:rsidRPr="007225C9">
        <w:rPr>
          <w:rFonts w:ascii="Times New Roman" w:hAnsi="Times New Roman"/>
        </w:rPr>
        <w:t xml:space="preserve"> officer </w:t>
      </w:r>
      <w:r w:rsidR="001A258D" w:rsidRPr="007225C9">
        <w:rPr>
          <w:rFonts w:ascii="Times New Roman" w:hAnsi="Times New Roman"/>
        </w:rPr>
        <w:t>which is</w:t>
      </w:r>
      <w:r w:rsidR="006549B1" w:rsidRPr="007225C9">
        <w:rPr>
          <w:rFonts w:ascii="Times New Roman" w:hAnsi="Times New Roman"/>
        </w:rPr>
        <w:t xml:space="preserve"> </w:t>
      </w:r>
      <w:r w:rsidR="009E01CD" w:rsidRPr="007225C9">
        <w:rPr>
          <w:rFonts w:ascii="Times New Roman" w:hAnsi="Times New Roman"/>
        </w:rPr>
        <w:t xml:space="preserve">analogous to </w:t>
      </w:r>
      <w:r w:rsidR="00FE4D54" w:rsidRPr="007225C9">
        <w:rPr>
          <w:rFonts w:ascii="Times New Roman" w:hAnsi="Times New Roman"/>
        </w:rPr>
        <w:t>a legal duty to enforce or execute orders or warrants made or issued by a court</w:t>
      </w:r>
      <w:r w:rsidR="00E71B9D" w:rsidRPr="007225C9">
        <w:rPr>
          <w:rFonts w:ascii="Times New Roman" w:hAnsi="Times New Roman"/>
        </w:rPr>
        <w:t xml:space="preserve">. </w:t>
      </w:r>
      <w:r w:rsidR="001C4CCB" w:rsidRPr="007225C9">
        <w:rPr>
          <w:rFonts w:ascii="Times New Roman" w:hAnsi="Times New Roman"/>
        </w:rPr>
        <w:t>Building o</w:t>
      </w:r>
      <w:r w:rsidR="005203C8" w:rsidRPr="007225C9">
        <w:rPr>
          <w:rFonts w:ascii="Times New Roman" w:hAnsi="Times New Roman"/>
        </w:rPr>
        <w:t xml:space="preserve">n that premise, </w:t>
      </w:r>
      <w:r w:rsidR="00C71D42" w:rsidRPr="007225C9">
        <w:rPr>
          <w:rFonts w:ascii="Times New Roman" w:hAnsi="Times New Roman"/>
        </w:rPr>
        <w:t>the Commonwealth</w:t>
      </w:r>
      <w:r w:rsidRPr="007225C9">
        <w:rPr>
          <w:rFonts w:ascii="Times New Roman" w:hAnsi="Times New Roman"/>
        </w:rPr>
        <w:t xml:space="preserve"> argues that</w:t>
      </w:r>
      <w:r w:rsidR="00C36F3E" w:rsidRPr="007225C9">
        <w:rPr>
          <w:rFonts w:ascii="Times New Roman" w:hAnsi="Times New Roman"/>
        </w:rPr>
        <w:t xml:space="preserve"> </w:t>
      </w:r>
      <w:r w:rsidR="00C71D42" w:rsidRPr="007225C9">
        <w:rPr>
          <w:rFonts w:ascii="Times New Roman" w:hAnsi="Times New Roman"/>
        </w:rPr>
        <w:t xml:space="preserve">to </w:t>
      </w:r>
      <w:r w:rsidR="00C36F3E" w:rsidRPr="007225C9">
        <w:rPr>
          <w:rFonts w:ascii="Times New Roman" w:hAnsi="Times New Roman"/>
        </w:rPr>
        <w:t xml:space="preserve">protect </w:t>
      </w:r>
      <w:r w:rsidR="003F0FE2" w:rsidRPr="007225C9">
        <w:rPr>
          <w:rFonts w:ascii="Times New Roman" w:hAnsi="Times New Roman"/>
        </w:rPr>
        <w:t xml:space="preserve">such </w:t>
      </w:r>
      <w:r w:rsidR="0096119C" w:rsidRPr="007225C9">
        <w:rPr>
          <w:rFonts w:ascii="Times New Roman" w:hAnsi="Times New Roman"/>
        </w:rPr>
        <w:t xml:space="preserve">an officer </w:t>
      </w:r>
      <w:r w:rsidR="00012CAE" w:rsidRPr="007225C9">
        <w:rPr>
          <w:rFonts w:ascii="Times New Roman" w:hAnsi="Times New Roman"/>
        </w:rPr>
        <w:t xml:space="preserve">who has </w:t>
      </w:r>
      <w:r w:rsidR="009E335F" w:rsidRPr="007225C9">
        <w:rPr>
          <w:rFonts w:ascii="Times New Roman" w:hAnsi="Times New Roman"/>
        </w:rPr>
        <w:t>acted in the purported performance of a statutory duty to detain</w:t>
      </w:r>
      <w:r w:rsidR="00893911" w:rsidRPr="007225C9">
        <w:rPr>
          <w:rFonts w:ascii="Times New Roman" w:hAnsi="Times New Roman"/>
        </w:rPr>
        <w:t xml:space="preserve"> in conformity with the law as declared in a prior decision of this Court </w:t>
      </w:r>
      <w:r w:rsidR="00BD2912" w:rsidRPr="007225C9">
        <w:rPr>
          <w:rFonts w:ascii="Times New Roman" w:hAnsi="Times New Roman"/>
        </w:rPr>
        <w:t>from liability for the tort of false imprisonment</w:t>
      </w:r>
      <w:r w:rsidR="00C665A3" w:rsidRPr="007225C9">
        <w:rPr>
          <w:rFonts w:ascii="Times New Roman" w:hAnsi="Times New Roman"/>
        </w:rPr>
        <w:t xml:space="preserve"> </w:t>
      </w:r>
      <w:r w:rsidR="0097710B" w:rsidRPr="007225C9">
        <w:rPr>
          <w:rFonts w:ascii="Times New Roman" w:hAnsi="Times New Roman"/>
        </w:rPr>
        <w:t xml:space="preserve">would </w:t>
      </w:r>
      <w:r w:rsidR="001E3CEA" w:rsidRPr="007225C9">
        <w:rPr>
          <w:rFonts w:ascii="Times New Roman" w:hAnsi="Times New Roman"/>
        </w:rPr>
        <w:t>enhance</w:t>
      </w:r>
      <w:r w:rsidR="00901046" w:rsidRPr="007225C9">
        <w:rPr>
          <w:rFonts w:ascii="Times New Roman" w:hAnsi="Times New Roman"/>
        </w:rPr>
        <w:t xml:space="preserve"> </w:t>
      </w:r>
      <w:r w:rsidR="00F647AA" w:rsidRPr="007225C9">
        <w:rPr>
          <w:rFonts w:ascii="Times New Roman" w:hAnsi="Times New Roman"/>
        </w:rPr>
        <w:t>"</w:t>
      </w:r>
      <w:r w:rsidR="00E93E36" w:rsidRPr="007225C9">
        <w:rPr>
          <w:rFonts w:ascii="Times New Roman" w:hAnsi="Times New Roman"/>
        </w:rPr>
        <w:t>the authority of judicial proceedings</w:t>
      </w:r>
      <w:r w:rsidR="00F647AA" w:rsidRPr="007225C9">
        <w:rPr>
          <w:rFonts w:ascii="Times New Roman" w:hAnsi="Times New Roman"/>
        </w:rPr>
        <w:t>"</w:t>
      </w:r>
      <w:r w:rsidR="00C665A3" w:rsidRPr="007225C9">
        <w:rPr>
          <w:rStyle w:val="FootnoteReference"/>
          <w:rFonts w:ascii="Times New Roman" w:hAnsi="Times New Roman"/>
          <w:sz w:val="24"/>
        </w:rPr>
        <w:footnoteReference w:id="24"/>
      </w:r>
      <w:r w:rsidR="00C665A3" w:rsidRPr="007225C9">
        <w:rPr>
          <w:rFonts w:ascii="Times New Roman" w:hAnsi="Times New Roman"/>
        </w:rPr>
        <w:t xml:space="preserve"> </w:t>
      </w:r>
      <w:r w:rsidR="009C49FC" w:rsidRPr="007225C9">
        <w:rPr>
          <w:rFonts w:ascii="Times New Roman" w:hAnsi="Times New Roman"/>
        </w:rPr>
        <w:t xml:space="preserve">in that </w:t>
      </w:r>
      <w:r w:rsidR="004E6A97" w:rsidRPr="007225C9">
        <w:rPr>
          <w:rFonts w:ascii="Times New Roman" w:hAnsi="Times New Roman"/>
        </w:rPr>
        <w:t xml:space="preserve">it would enhance respect for and compliance with </w:t>
      </w:r>
      <w:r w:rsidR="009C49FC" w:rsidRPr="007225C9">
        <w:rPr>
          <w:rFonts w:ascii="Times New Roman" w:hAnsi="Times New Roman"/>
        </w:rPr>
        <w:t xml:space="preserve">the law as declared </w:t>
      </w:r>
      <w:r w:rsidR="00DB4FB9" w:rsidRPr="007225C9">
        <w:rPr>
          <w:rFonts w:ascii="Times New Roman" w:hAnsi="Times New Roman"/>
        </w:rPr>
        <w:t>by</w:t>
      </w:r>
      <w:r w:rsidR="009C49FC" w:rsidRPr="007225C9">
        <w:rPr>
          <w:rFonts w:ascii="Times New Roman" w:hAnsi="Times New Roman"/>
        </w:rPr>
        <w:t xml:space="preserve"> this Court</w:t>
      </w:r>
      <w:r w:rsidR="004E6A97" w:rsidRPr="007225C9">
        <w:rPr>
          <w:rFonts w:ascii="Times New Roman" w:hAnsi="Times New Roman"/>
        </w:rPr>
        <w:t>.</w:t>
      </w:r>
    </w:p>
    <w:p w14:paraId="69341683" w14:textId="2564818A" w:rsidR="00764941" w:rsidRPr="007225C9" w:rsidRDefault="00950E9C" w:rsidP="007225C9">
      <w:pPr>
        <w:pStyle w:val="FixListStyle"/>
        <w:spacing w:after="260" w:line="280" w:lineRule="exact"/>
        <w:ind w:right="0"/>
        <w:jc w:val="both"/>
        <w:rPr>
          <w:rFonts w:ascii="Times New Roman" w:hAnsi="Times New Roman"/>
        </w:rPr>
      </w:pPr>
      <w:r w:rsidRPr="007225C9">
        <w:rPr>
          <w:rFonts w:ascii="Times New Roman" w:hAnsi="Times New Roman"/>
        </w:rPr>
        <w:tab/>
      </w:r>
      <w:r w:rsidR="00743B5E" w:rsidRPr="007225C9">
        <w:rPr>
          <w:rFonts w:ascii="Times New Roman" w:hAnsi="Times New Roman"/>
        </w:rPr>
        <w:t>The Commonwealth argues that</w:t>
      </w:r>
      <w:r w:rsidR="00C665A3" w:rsidRPr="007225C9">
        <w:rPr>
          <w:rFonts w:ascii="Times New Roman" w:hAnsi="Times New Roman"/>
        </w:rPr>
        <w:t xml:space="preserve"> </w:t>
      </w:r>
      <w:r w:rsidRPr="007225C9">
        <w:rPr>
          <w:rFonts w:ascii="Times New Roman" w:hAnsi="Times New Roman"/>
        </w:rPr>
        <w:t>affording</w:t>
      </w:r>
      <w:r w:rsidR="00F66D1F" w:rsidRPr="007225C9">
        <w:rPr>
          <w:rFonts w:ascii="Times New Roman" w:hAnsi="Times New Roman"/>
        </w:rPr>
        <w:t xml:space="preserve"> protection </w:t>
      </w:r>
      <w:r w:rsidR="003868BB" w:rsidRPr="007225C9">
        <w:rPr>
          <w:rFonts w:ascii="Times New Roman" w:hAnsi="Times New Roman"/>
        </w:rPr>
        <w:t xml:space="preserve">from liability for the tort of false imprisonment </w:t>
      </w:r>
      <w:r w:rsidR="00F66D1F" w:rsidRPr="007225C9">
        <w:rPr>
          <w:rFonts w:ascii="Times New Roman" w:hAnsi="Times New Roman"/>
        </w:rPr>
        <w:t xml:space="preserve">to such an officer </w:t>
      </w:r>
      <w:r w:rsidR="006A1321" w:rsidRPr="007225C9">
        <w:rPr>
          <w:rFonts w:ascii="Times New Roman" w:hAnsi="Times New Roman"/>
        </w:rPr>
        <w:t xml:space="preserve">would also </w:t>
      </w:r>
      <w:r w:rsidR="00C665A3" w:rsidRPr="007225C9">
        <w:rPr>
          <w:rFonts w:ascii="Times New Roman" w:hAnsi="Times New Roman"/>
        </w:rPr>
        <w:t>reflect the unreasonableness</w:t>
      </w:r>
      <w:r w:rsidR="004E6A97" w:rsidRPr="007225C9">
        <w:rPr>
          <w:rFonts w:ascii="Times New Roman" w:hAnsi="Times New Roman"/>
        </w:rPr>
        <w:t xml:space="preserve">, </w:t>
      </w:r>
      <w:r w:rsidR="000B56DF" w:rsidRPr="007225C9">
        <w:rPr>
          <w:rFonts w:ascii="Times New Roman" w:hAnsi="Times New Roman"/>
        </w:rPr>
        <w:t>if not invidiousness</w:t>
      </w:r>
      <w:r w:rsidR="004E6A97" w:rsidRPr="007225C9">
        <w:rPr>
          <w:rFonts w:ascii="Times New Roman" w:hAnsi="Times New Roman"/>
        </w:rPr>
        <w:t>,</w:t>
      </w:r>
      <w:r w:rsidR="000B56DF" w:rsidRPr="007225C9">
        <w:rPr>
          <w:rFonts w:ascii="Times New Roman" w:hAnsi="Times New Roman"/>
        </w:rPr>
        <w:t xml:space="preserve"> </w:t>
      </w:r>
      <w:r w:rsidR="007E636E" w:rsidRPr="007225C9">
        <w:rPr>
          <w:rFonts w:ascii="Times New Roman" w:hAnsi="Times New Roman"/>
        </w:rPr>
        <w:t xml:space="preserve">of </w:t>
      </w:r>
      <w:r w:rsidR="006B45D1" w:rsidRPr="007225C9">
        <w:rPr>
          <w:rFonts w:ascii="Times New Roman" w:hAnsi="Times New Roman"/>
        </w:rPr>
        <w:t>the</w:t>
      </w:r>
      <w:r w:rsidR="00BD6CE6" w:rsidRPr="007225C9">
        <w:rPr>
          <w:rFonts w:ascii="Times New Roman" w:hAnsi="Times New Roman"/>
        </w:rPr>
        <w:t xml:space="preserve"> </w:t>
      </w:r>
      <w:r w:rsidR="00B45B9A" w:rsidRPr="007225C9">
        <w:rPr>
          <w:rFonts w:ascii="Times New Roman" w:hAnsi="Times New Roman"/>
        </w:rPr>
        <w:t>officer being</w:t>
      </w:r>
      <w:r w:rsidR="00BD6CE6" w:rsidRPr="007225C9">
        <w:rPr>
          <w:rFonts w:ascii="Times New Roman" w:hAnsi="Times New Roman"/>
        </w:rPr>
        <w:t xml:space="preserve"> </w:t>
      </w:r>
      <w:r w:rsidR="00670904" w:rsidRPr="007225C9">
        <w:rPr>
          <w:rFonts w:ascii="Times New Roman" w:hAnsi="Times New Roman"/>
        </w:rPr>
        <w:t>put to a choice as to whether to</w:t>
      </w:r>
      <w:r w:rsidR="00BD6CE6" w:rsidRPr="007225C9">
        <w:rPr>
          <w:rFonts w:ascii="Times New Roman" w:hAnsi="Times New Roman"/>
        </w:rPr>
        <w:t xml:space="preserve"> </w:t>
      </w:r>
      <w:r w:rsidR="00624A74" w:rsidRPr="007225C9">
        <w:rPr>
          <w:rFonts w:ascii="Times New Roman" w:hAnsi="Times New Roman"/>
        </w:rPr>
        <w:t xml:space="preserve">comply with </w:t>
      </w:r>
      <w:r w:rsidR="006B45D1" w:rsidRPr="007225C9">
        <w:rPr>
          <w:rFonts w:ascii="Times New Roman" w:hAnsi="Times New Roman"/>
        </w:rPr>
        <w:t>the officer's</w:t>
      </w:r>
      <w:r w:rsidR="00624A74" w:rsidRPr="007225C9">
        <w:rPr>
          <w:rFonts w:ascii="Times New Roman" w:hAnsi="Times New Roman"/>
        </w:rPr>
        <w:t xml:space="preserve"> legal duty</w:t>
      </w:r>
      <w:r w:rsidR="00670904" w:rsidRPr="007225C9">
        <w:rPr>
          <w:rFonts w:ascii="Times New Roman" w:hAnsi="Times New Roman"/>
        </w:rPr>
        <w:t xml:space="preserve"> </w:t>
      </w:r>
      <w:r w:rsidR="0001245A" w:rsidRPr="007225C9">
        <w:rPr>
          <w:rFonts w:ascii="Times New Roman" w:hAnsi="Times New Roman"/>
        </w:rPr>
        <w:t>as</w:t>
      </w:r>
      <w:r w:rsidR="00CA01FE" w:rsidRPr="007225C9">
        <w:rPr>
          <w:rFonts w:ascii="Times New Roman" w:hAnsi="Times New Roman"/>
        </w:rPr>
        <w:t xml:space="preserve"> that duty has been</w:t>
      </w:r>
      <w:r w:rsidR="0001245A" w:rsidRPr="007225C9">
        <w:rPr>
          <w:rFonts w:ascii="Times New Roman" w:hAnsi="Times New Roman"/>
        </w:rPr>
        <w:t xml:space="preserve"> declared in a prior decision of this Court </w:t>
      </w:r>
      <w:r w:rsidR="00074B2A" w:rsidRPr="007225C9">
        <w:rPr>
          <w:rFonts w:ascii="Times New Roman" w:hAnsi="Times New Roman"/>
        </w:rPr>
        <w:t xml:space="preserve">or to comply with the officer's legal duty as </w:t>
      </w:r>
      <w:r w:rsidR="000D3362" w:rsidRPr="007225C9">
        <w:rPr>
          <w:rFonts w:ascii="Times New Roman" w:hAnsi="Times New Roman"/>
        </w:rPr>
        <w:t>that duty</w:t>
      </w:r>
      <w:r w:rsidR="00074B2A" w:rsidRPr="007225C9">
        <w:rPr>
          <w:rFonts w:ascii="Times New Roman" w:hAnsi="Times New Roman"/>
        </w:rPr>
        <w:t xml:space="preserve"> might be </w:t>
      </w:r>
      <w:r w:rsidR="00254C08" w:rsidRPr="007225C9">
        <w:rPr>
          <w:rFonts w:ascii="Times New Roman" w:hAnsi="Times New Roman"/>
        </w:rPr>
        <w:t xml:space="preserve">predicted to be </w:t>
      </w:r>
      <w:r w:rsidR="00074B2A" w:rsidRPr="007225C9">
        <w:rPr>
          <w:rFonts w:ascii="Times New Roman" w:hAnsi="Times New Roman"/>
        </w:rPr>
        <w:t xml:space="preserve">declared in a subsequent decision of this Court </w:t>
      </w:r>
      <w:r w:rsidR="00670904" w:rsidRPr="007225C9">
        <w:rPr>
          <w:rFonts w:ascii="Times New Roman" w:hAnsi="Times New Roman"/>
        </w:rPr>
        <w:t xml:space="preserve">and facing the </w:t>
      </w:r>
      <w:r w:rsidR="00336111" w:rsidRPr="007225C9">
        <w:rPr>
          <w:rFonts w:ascii="Times New Roman" w:hAnsi="Times New Roman"/>
        </w:rPr>
        <w:t>prospect of incurring legal liability either way</w:t>
      </w:r>
      <w:r w:rsidR="00624A74" w:rsidRPr="007225C9">
        <w:rPr>
          <w:rFonts w:ascii="Times New Roman" w:hAnsi="Times New Roman"/>
        </w:rPr>
        <w:t>.</w:t>
      </w:r>
      <w:r w:rsidR="003B6C90" w:rsidRPr="007225C9">
        <w:rPr>
          <w:rStyle w:val="FootnoteReference"/>
          <w:rFonts w:ascii="Times New Roman" w:hAnsi="Times New Roman"/>
          <w:sz w:val="24"/>
        </w:rPr>
        <w:footnoteReference w:id="25"/>
      </w:r>
      <w:r w:rsidR="000B56DF" w:rsidRPr="007225C9">
        <w:rPr>
          <w:rFonts w:ascii="Times New Roman" w:hAnsi="Times New Roman"/>
        </w:rPr>
        <w:t xml:space="preserve"> </w:t>
      </w:r>
      <w:r w:rsidR="00F574C3" w:rsidRPr="007225C9">
        <w:rPr>
          <w:rFonts w:ascii="Times New Roman" w:hAnsi="Times New Roman"/>
        </w:rPr>
        <w:t>T</w:t>
      </w:r>
      <w:r w:rsidR="000B56DF" w:rsidRPr="007225C9">
        <w:rPr>
          <w:rFonts w:ascii="Times New Roman" w:hAnsi="Times New Roman"/>
        </w:rPr>
        <w:t xml:space="preserve">he Commonwealth </w:t>
      </w:r>
      <w:r w:rsidR="003171EF" w:rsidRPr="007225C9">
        <w:rPr>
          <w:rFonts w:ascii="Times New Roman" w:hAnsi="Times New Roman"/>
        </w:rPr>
        <w:t xml:space="preserve">goes so far as to invoke language </w:t>
      </w:r>
      <w:r w:rsidR="00385C18" w:rsidRPr="007225C9">
        <w:rPr>
          <w:rFonts w:ascii="Times New Roman" w:hAnsi="Times New Roman"/>
        </w:rPr>
        <w:t xml:space="preserve">quoted by the plurality in </w:t>
      </w:r>
      <w:r w:rsidR="00165E8E" w:rsidRPr="007225C9">
        <w:rPr>
          <w:rFonts w:ascii="Times New Roman" w:hAnsi="Times New Roman"/>
          <w:i/>
          <w:iCs/>
        </w:rPr>
        <w:t>New</w:t>
      </w:r>
      <w:r w:rsidR="00261C87" w:rsidRPr="007225C9">
        <w:rPr>
          <w:rFonts w:ascii="Times New Roman" w:hAnsi="Times New Roman"/>
          <w:i/>
          <w:iCs/>
        </w:rPr>
        <w:t xml:space="preserve"> South Wales v </w:t>
      </w:r>
      <w:r w:rsidR="00F66D1F" w:rsidRPr="007225C9">
        <w:rPr>
          <w:rFonts w:ascii="Times New Roman" w:hAnsi="Times New Roman"/>
          <w:i/>
          <w:iCs/>
        </w:rPr>
        <w:t>Kable</w:t>
      </w:r>
      <w:r w:rsidR="00F66D1F" w:rsidRPr="007225C9">
        <w:rPr>
          <w:rStyle w:val="FootnoteReference"/>
          <w:rFonts w:ascii="Times New Roman" w:hAnsi="Times New Roman"/>
          <w:sz w:val="24"/>
        </w:rPr>
        <w:footnoteReference w:id="26"/>
      </w:r>
      <w:r w:rsidR="00F66D1F" w:rsidRPr="007225C9">
        <w:rPr>
          <w:rFonts w:ascii="Times New Roman" w:hAnsi="Times New Roman"/>
        </w:rPr>
        <w:t xml:space="preserve"> </w:t>
      </w:r>
      <w:r w:rsidR="00206808" w:rsidRPr="007225C9">
        <w:rPr>
          <w:rFonts w:ascii="Times New Roman" w:hAnsi="Times New Roman"/>
        </w:rPr>
        <w:t xml:space="preserve">in describing the status of the officer being put to </w:t>
      </w:r>
      <w:r w:rsidR="00816466" w:rsidRPr="007225C9">
        <w:rPr>
          <w:rFonts w:ascii="Times New Roman" w:hAnsi="Times New Roman"/>
        </w:rPr>
        <w:t xml:space="preserve">such </w:t>
      </w:r>
      <w:r w:rsidR="00206808" w:rsidRPr="007225C9">
        <w:rPr>
          <w:rFonts w:ascii="Times New Roman" w:hAnsi="Times New Roman"/>
        </w:rPr>
        <w:t xml:space="preserve">a choice as </w:t>
      </w:r>
      <w:r w:rsidR="004C1128" w:rsidRPr="007225C9">
        <w:rPr>
          <w:rFonts w:ascii="Times New Roman" w:hAnsi="Times New Roman"/>
        </w:rPr>
        <w:t>"almost a status of anarchy".</w:t>
      </w:r>
    </w:p>
    <w:p w14:paraId="76B60E82" w14:textId="1BCA43EE" w:rsidR="00336111" w:rsidRPr="007225C9" w:rsidRDefault="00336111" w:rsidP="007225C9">
      <w:pPr>
        <w:pStyle w:val="FixListStyle"/>
        <w:spacing w:after="260" w:line="280" w:lineRule="exact"/>
        <w:ind w:right="0"/>
        <w:jc w:val="both"/>
        <w:rPr>
          <w:rFonts w:ascii="Times New Roman" w:hAnsi="Times New Roman"/>
        </w:rPr>
      </w:pPr>
      <w:r w:rsidRPr="007225C9">
        <w:rPr>
          <w:rFonts w:ascii="Times New Roman" w:hAnsi="Times New Roman"/>
        </w:rPr>
        <w:tab/>
      </w:r>
      <w:r w:rsidR="00582375" w:rsidRPr="007225C9">
        <w:rPr>
          <w:rFonts w:ascii="Times New Roman" w:hAnsi="Times New Roman"/>
        </w:rPr>
        <w:t>The Commonwealth illustrate</w:t>
      </w:r>
      <w:r w:rsidR="0013759B" w:rsidRPr="007225C9">
        <w:rPr>
          <w:rFonts w:ascii="Times New Roman" w:hAnsi="Times New Roman"/>
        </w:rPr>
        <w:t>s</w:t>
      </w:r>
      <w:r w:rsidR="00582375" w:rsidRPr="007225C9">
        <w:rPr>
          <w:rFonts w:ascii="Times New Roman" w:hAnsi="Times New Roman"/>
        </w:rPr>
        <w:t xml:space="preserve"> </w:t>
      </w:r>
      <w:r w:rsidR="002A4F12" w:rsidRPr="007225C9">
        <w:rPr>
          <w:rFonts w:ascii="Times New Roman" w:hAnsi="Times New Roman"/>
        </w:rPr>
        <w:t>its</w:t>
      </w:r>
      <w:r w:rsidR="0013759B" w:rsidRPr="007225C9">
        <w:rPr>
          <w:rFonts w:ascii="Times New Roman" w:hAnsi="Times New Roman"/>
        </w:rPr>
        <w:t xml:space="preserve"> </w:t>
      </w:r>
      <w:r w:rsidR="007E1A94" w:rsidRPr="007225C9">
        <w:rPr>
          <w:rFonts w:ascii="Times New Roman" w:hAnsi="Times New Roman"/>
        </w:rPr>
        <w:t xml:space="preserve">argument by postulating the scenario of </w:t>
      </w:r>
      <w:r w:rsidR="00E248A6" w:rsidRPr="007225C9">
        <w:rPr>
          <w:rFonts w:ascii="Times New Roman" w:hAnsi="Times New Roman"/>
        </w:rPr>
        <w:t>an officer</w:t>
      </w:r>
      <w:r w:rsidR="00B1711A" w:rsidRPr="007225C9">
        <w:rPr>
          <w:rFonts w:ascii="Times New Roman" w:hAnsi="Times New Roman"/>
        </w:rPr>
        <w:t xml:space="preserve"> who chose</w:t>
      </w:r>
      <w:r w:rsidR="00E248A6" w:rsidRPr="007225C9">
        <w:rPr>
          <w:rFonts w:ascii="Times New Roman" w:hAnsi="Times New Roman"/>
        </w:rPr>
        <w:t xml:space="preserve"> </w:t>
      </w:r>
      <w:r w:rsidR="00593D54" w:rsidRPr="007225C9">
        <w:rPr>
          <w:rFonts w:ascii="Times New Roman" w:hAnsi="Times New Roman"/>
        </w:rPr>
        <w:t xml:space="preserve">in the period after </w:t>
      </w:r>
      <w:r w:rsidR="0084332A" w:rsidRPr="007225C9">
        <w:rPr>
          <w:rFonts w:ascii="Times New Roman" w:hAnsi="Times New Roman"/>
          <w:i/>
          <w:iCs/>
        </w:rPr>
        <w:t>Al</w:t>
      </w:r>
      <w:r w:rsidR="004362C0" w:rsidRPr="007225C9">
        <w:rPr>
          <w:rFonts w:ascii="Times New Roman" w:hAnsi="Times New Roman"/>
          <w:i/>
          <w:iCs/>
        </w:rPr>
        <w:t>-</w:t>
      </w:r>
      <w:r w:rsidR="0084332A" w:rsidRPr="007225C9">
        <w:rPr>
          <w:rFonts w:ascii="Times New Roman" w:hAnsi="Times New Roman"/>
          <w:i/>
          <w:iCs/>
        </w:rPr>
        <w:t xml:space="preserve">Kateb </w:t>
      </w:r>
      <w:r w:rsidR="0084332A" w:rsidRPr="007225C9">
        <w:rPr>
          <w:rFonts w:ascii="Times New Roman" w:hAnsi="Times New Roman"/>
        </w:rPr>
        <w:t xml:space="preserve">and before </w:t>
      </w:r>
      <w:r w:rsidR="0084332A" w:rsidRPr="007225C9">
        <w:rPr>
          <w:rFonts w:ascii="Times New Roman" w:hAnsi="Times New Roman"/>
          <w:i/>
          <w:iCs/>
        </w:rPr>
        <w:t>NZYQ</w:t>
      </w:r>
      <w:r w:rsidR="0084332A" w:rsidRPr="007225C9">
        <w:rPr>
          <w:rFonts w:ascii="Times New Roman" w:hAnsi="Times New Roman"/>
        </w:rPr>
        <w:t xml:space="preserve"> to release </w:t>
      </w:r>
      <w:r w:rsidR="00963862" w:rsidRPr="007225C9">
        <w:rPr>
          <w:rFonts w:ascii="Times New Roman" w:hAnsi="Times New Roman"/>
        </w:rPr>
        <w:t xml:space="preserve">from immigration detention </w:t>
      </w:r>
      <w:r w:rsidR="0084332A" w:rsidRPr="007225C9">
        <w:rPr>
          <w:rFonts w:ascii="Times New Roman" w:hAnsi="Times New Roman"/>
        </w:rPr>
        <w:t>an unlawful non-citizen whose removal from Australia under s 198 ha</w:t>
      </w:r>
      <w:r w:rsidR="00011A7D" w:rsidRPr="007225C9">
        <w:rPr>
          <w:rFonts w:ascii="Times New Roman" w:hAnsi="Times New Roman"/>
        </w:rPr>
        <w:t>d</w:t>
      </w:r>
      <w:r w:rsidR="0084332A" w:rsidRPr="007225C9">
        <w:rPr>
          <w:rFonts w:ascii="Times New Roman" w:hAnsi="Times New Roman"/>
        </w:rPr>
        <w:t xml:space="preserve"> no real prospect of becoming practicable in the reasonably foreseeable future. </w:t>
      </w:r>
      <w:r w:rsidR="00A47148" w:rsidRPr="007225C9">
        <w:rPr>
          <w:rFonts w:ascii="Times New Roman" w:hAnsi="Times New Roman"/>
        </w:rPr>
        <w:t xml:space="preserve">The Commonwealth points out that, consistently with the </w:t>
      </w:r>
      <w:r w:rsidR="00A47148" w:rsidRPr="007225C9">
        <w:rPr>
          <w:rFonts w:ascii="Times New Roman" w:hAnsi="Times New Roman"/>
        </w:rPr>
        <w:lastRenderedPageBreak/>
        <w:t xml:space="preserve">reasoning of the majority in </w:t>
      </w:r>
      <w:r w:rsidR="006F062B" w:rsidRPr="007225C9">
        <w:rPr>
          <w:rFonts w:ascii="Times New Roman" w:hAnsi="Times New Roman"/>
          <w:i/>
          <w:iCs/>
        </w:rPr>
        <w:t>The C</w:t>
      </w:r>
      <w:r w:rsidR="00A47148" w:rsidRPr="007225C9">
        <w:rPr>
          <w:rFonts w:ascii="Times New Roman" w:hAnsi="Times New Roman"/>
          <w:i/>
          <w:iCs/>
        </w:rPr>
        <w:t>ommonwealth v AJL20</w:t>
      </w:r>
      <w:r w:rsidR="006F062B" w:rsidRPr="007225C9">
        <w:rPr>
          <w:rFonts w:ascii="Times New Roman" w:hAnsi="Times New Roman"/>
        </w:rPr>
        <w:t>,</w:t>
      </w:r>
      <w:r w:rsidR="006F062B" w:rsidRPr="007225C9">
        <w:rPr>
          <w:rStyle w:val="FootnoteReference"/>
          <w:rFonts w:ascii="Times New Roman" w:hAnsi="Times New Roman"/>
          <w:sz w:val="24"/>
        </w:rPr>
        <w:footnoteReference w:id="27"/>
      </w:r>
      <w:r w:rsidR="006F062B" w:rsidRPr="007225C9">
        <w:rPr>
          <w:rFonts w:ascii="Times New Roman" w:hAnsi="Times New Roman"/>
        </w:rPr>
        <w:t xml:space="preserve"> </w:t>
      </w:r>
      <w:r w:rsidR="00F551DF" w:rsidRPr="007225C9">
        <w:rPr>
          <w:rFonts w:ascii="Times New Roman" w:hAnsi="Times New Roman"/>
        </w:rPr>
        <w:t xml:space="preserve">the officer </w:t>
      </w:r>
      <w:r w:rsidR="002C5D9E" w:rsidRPr="007225C9">
        <w:rPr>
          <w:rFonts w:ascii="Times New Roman" w:hAnsi="Times New Roman"/>
        </w:rPr>
        <w:t>might</w:t>
      </w:r>
      <w:r w:rsidR="00915893" w:rsidRPr="007225C9">
        <w:rPr>
          <w:rFonts w:ascii="Times New Roman" w:hAnsi="Times New Roman"/>
        </w:rPr>
        <w:t xml:space="preserve"> have been</w:t>
      </w:r>
      <w:r w:rsidR="00F551DF" w:rsidRPr="007225C9">
        <w:rPr>
          <w:rFonts w:ascii="Times New Roman" w:hAnsi="Times New Roman"/>
        </w:rPr>
        <w:t xml:space="preserve"> compelled </w:t>
      </w:r>
      <w:r w:rsidR="008B795D" w:rsidRPr="007225C9">
        <w:rPr>
          <w:rFonts w:ascii="Times New Roman" w:hAnsi="Times New Roman"/>
        </w:rPr>
        <w:t>by a writ of mandamus</w:t>
      </w:r>
      <w:r w:rsidR="0020338A" w:rsidRPr="007225C9">
        <w:rPr>
          <w:rFonts w:ascii="Times New Roman" w:hAnsi="Times New Roman"/>
        </w:rPr>
        <w:t xml:space="preserve">, </w:t>
      </w:r>
      <w:r w:rsidR="00D26837" w:rsidRPr="007225C9">
        <w:rPr>
          <w:rFonts w:ascii="Times New Roman" w:hAnsi="Times New Roman"/>
        </w:rPr>
        <w:t xml:space="preserve">issued </w:t>
      </w:r>
      <w:r w:rsidR="0020338A" w:rsidRPr="007225C9">
        <w:rPr>
          <w:rFonts w:ascii="Times New Roman" w:hAnsi="Times New Roman"/>
        </w:rPr>
        <w:t xml:space="preserve">on </w:t>
      </w:r>
      <w:r w:rsidR="003D7AA7" w:rsidRPr="007225C9">
        <w:rPr>
          <w:rFonts w:ascii="Times New Roman" w:hAnsi="Times New Roman"/>
        </w:rPr>
        <w:t xml:space="preserve">an </w:t>
      </w:r>
      <w:r w:rsidR="0020338A" w:rsidRPr="007225C9">
        <w:rPr>
          <w:rFonts w:ascii="Times New Roman" w:hAnsi="Times New Roman"/>
        </w:rPr>
        <w:t xml:space="preserve">application in the original jurisdiction </w:t>
      </w:r>
      <w:r w:rsidR="003D7AA7" w:rsidRPr="007225C9">
        <w:rPr>
          <w:rFonts w:ascii="Times New Roman" w:hAnsi="Times New Roman"/>
        </w:rPr>
        <w:t xml:space="preserve">of </w:t>
      </w:r>
      <w:r w:rsidR="0020338A" w:rsidRPr="007225C9">
        <w:rPr>
          <w:rFonts w:ascii="Times New Roman" w:hAnsi="Times New Roman"/>
        </w:rPr>
        <w:t xml:space="preserve">this Court </w:t>
      </w:r>
      <w:r w:rsidR="003D7AA7" w:rsidRPr="007225C9">
        <w:rPr>
          <w:rFonts w:ascii="Times New Roman" w:hAnsi="Times New Roman"/>
        </w:rPr>
        <w:t xml:space="preserve">conferred </w:t>
      </w:r>
      <w:r w:rsidR="0020338A" w:rsidRPr="007225C9">
        <w:rPr>
          <w:rFonts w:ascii="Times New Roman" w:hAnsi="Times New Roman"/>
        </w:rPr>
        <w:t>by</w:t>
      </w:r>
      <w:r w:rsidR="008B795D" w:rsidRPr="007225C9">
        <w:rPr>
          <w:rFonts w:ascii="Times New Roman" w:hAnsi="Times New Roman"/>
        </w:rPr>
        <w:t xml:space="preserve"> </w:t>
      </w:r>
      <w:r w:rsidR="009D097B" w:rsidRPr="007225C9">
        <w:rPr>
          <w:rFonts w:ascii="Times New Roman" w:hAnsi="Times New Roman"/>
        </w:rPr>
        <w:t xml:space="preserve">s 75(v) of the </w:t>
      </w:r>
      <w:r w:rsidR="009D097B" w:rsidRPr="007225C9">
        <w:rPr>
          <w:rFonts w:ascii="Times New Roman" w:hAnsi="Times New Roman"/>
          <w:i/>
          <w:iCs/>
        </w:rPr>
        <w:t>Constitution</w:t>
      </w:r>
      <w:r w:rsidR="0020338A" w:rsidRPr="007225C9">
        <w:rPr>
          <w:rFonts w:ascii="Times New Roman" w:hAnsi="Times New Roman"/>
        </w:rPr>
        <w:t xml:space="preserve">, </w:t>
      </w:r>
      <w:r w:rsidR="009D097B" w:rsidRPr="007225C9">
        <w:rPr>
          <w:rFonts w:ascii="Times New Roman" w:hAnsi="Times New Roman"/>
        </w:rPr>
        <w:t xml:space="preserve">to </w:t>
      </w:r>
      <w:r w:rsidR="00A10494" w:rsidRPr="007225C9">
        <w:rPr>
          <w:rFonts w:ascii="Times New Roman" w:hAnsi="Times New Roman"/>
        </w:rPr>
        <w:t xml:space="preserve">re-detain the unlawful non-citizen in </w:t>
      </w:r>
      <w:r w:rsidR="009D097B" w:rsidRPr="007225C9">
        <w:rPr>
          <w:rFonts w:ascii="Times New Roman" w:hAnsi="Times New Roman"/>
        </w:rPr>
        <w:t>compl</w:t>
      </w:r>
      <w:r w:rsidR="00A10494" w:rsidRPr="007225C9">
        <w:rPr>
          <w:rFonts w:ascii="Times New Roman" w:hAnsi="Times New Roman"/>
        </w:rPr>
        <w:t>iance</w:t>
      </w:r>
      <w:r w:rsidR="009D097B" w:rsidRPr="007225C9">
        <w:rPr>
          <w:rFonts w:ascii="Times New Roman" w:hAnsi="Times New Roman"/>
        </w:rPr>
        <w:t xml:space="preserve"> with </w:t>
      </w:r>
      <w:r w:rsidR="000E02CE" w:rsidRPr="007225C9">
        <w:rPr>
          <w:rFonts w:ascii="Times New Roman" w:hAnsi="Times New Roman"/>
        </w:rPr>
        <w:t xml:space="preserve">the statutory duty imposed by ss 189(1) and 196(1) of the </w:t>
      </w:r>
      <w:r w:rsidR="000E02CE" w:rsidRPr="007225C9">
        <w:rPr>
          <w:rFonts w:ascii="Times New Roman" w:hAnsi="Times New Roman"/>
          <w:i/>
          <w:iCs/>
        </w:rPr>
        <w:t>Migration Act</w:t>
      </w:r>
      <w:r w:rsidR="00131677" w:rsidRPr="007225C9">
        <w:rPr>
          <w:rFonts w:ascii="Times New Roman" w:hAnsi="Times New Roman"/>
          <w:i/>
          <w:iCs/>
        </w:rPr>
        <w:t xml:space="preserve"> </w:t>
      </w:r>
      <w:r w:rsidR="00131677" w:rsidRPr="007225C9">
        <w:rPr>
          <w:rFonts w:ascii="Times New Roman" w:hAnsi="Times New Roman"/>
        </w:rPr>
        <w:t>in accordance with</w:t>
      </w:r>
      <w:r w:rsidR="0048551B" w:rsidRPr="007225C9">
        <w:rPr>
          <w:rFonts w:ascii="Times New Roman" w:hAnsi="Times New Roman"/>
        </w:rPr>
        <w:t xml:space="preserve"> the law as it had been declared in</w:t>
      </w:r>
      <w:r w:rsidR="00131677" w:rsidRPr="007225C9">
        <w:rPr>
          <w:rFonts w:ascii="Times New Roman" w:hAnsi="Times New Roman"/>
        </w:rPr>
        <w:t xml:space="preserve"> </w:t>
      </w:r>
      <w:r w:rsidR="00676791" w:rsidRPr="007225C9">
        <w:rPr>
          <w:rFonts w:ascii="Times New Roman" w:hAnsi="Times New Roman"/>
          <w:i/>
          <w:iCs/>
        </w:rPr>
        <w:t>Al</w:t>
      </w:r>
      <w:r w:rsidR="00A71368" w:rsidRPr="007225C9">
        <w:rPr>
          <w:rFonts w:ascii="Times New Roman" w:hAnsi="Times New Roman"/>
          <w:i/>
          <w:iCs/>
        </w:rPr>
        <w:t>-</w:t>
      </w:r>
      <w:r w:rsidR="00676791" w:rsidRPr="007225C9">
        <w:rPr>
          <w:rFonts w:ascii="Times New Roman" w:hAnsi="Times New Roman"/>
          <w:i/>
          <w:iCs/>
        </w:rPr>
        <w:t>Kateb</w:t>
      </w:r>
      <w:r w:rsidR="00676791" w:rsidRPr="007225C9">
        <w:rPr>
          <w:rFonts w:ascii="Times New Roman" w:hAnsi="Times New Roman"/>
        </w:rPr>
        <w:t>.</w:t>
      </w:r>
    </w:p>
    <w:p w14:paraId="4B36F413" w14:textId="4FC43F98" w:rsidR="00904F19" w:rsidRPr="007225C9" w:rsidRDefault="00904F19" w:rsidP="007225C9">
      <w:pPr>
        <w:pStyle w:val="FixListStyle"/>
        <w:spacing w:after="260" w:line="280" w:lineRule="exact"/>
        <w:ind w:right="0"/>
        <w:jc w:val="both"/>
        <w:rPr>
          <w:rFonts w:ascii="Times New Roman" w:hAnsi="Times New Roman"/>
        </w:rPr>
      </w:pPr>
      <w:r w:rsidRPr="007225C9">
        <w:rPr>
          <w:rFonts w:ascii="Times New Roman" w:hAnsi="Times New Roman"/>
        </w:rPr>
        <w:tab/>
      </w:r>
      <w:r w:rsidR="006D334A" w:rsidRPr="007225C9">
        <w:rPr>
          <w:rFonts w:ascii="Times New Roman" w:hAnsi="Times New Roman"/>
        </w:rPr>
        <w:t>The Commonwealth does not identify any</w:t>
      </w:r>
      <w:r w:rsidR="007B6B88" w:rsidRPr="007225C9">
        <w:rPr>
          <w:rFonts w:ascii="Times New Roman" w:hAnsi="Times New Roman"/>
        </w:rPr>
        <w:t xml:space="preserve"> </w:t>
      </w:r>
      <w:r w:rsidR="00C84024" w:rsidRPr="007225C9">
        <w:rPr>
          <w:rFonts w:ascii="Times New Roman" w:hAnsi="Times New Roman"/>
        </w:rPr>
        <w:t>principle</w:t>
      </w:r>
      <w:r w:rsidR="00F03743" w:rsidRPr="007225C9">
        <w:rPr>
          <w:rFonts w:ascii="Times New Roman" w:hAnsi="Times New Roman"/>
        </w:rPr>
        <w:t xml:space="preserve">d reason </w:t>
      </w:r>
      <w:r w:rsidR="006D334A" w:rsidRPr="007225C9">
        <w:rPr>
          <w:rFonts w:ascii="Times New Roman" w:hAnsi="Times New Roman"/>
        </w:rPr>
        <w:t xml:space="preserve">as to why </w:t>
      </w:r>
      <w:r w:rsidR="00F03743" w:rsidRPr="007225C9">
        <w:rPr>
          <w:rFonts w:ascii="Times New Roman" w:hAnsi="Times New Roman"/>
        </w:rPr>
        <w:t xml:space="preserve">the </w:t>
      </w:r>
      <w:r w:rsidR="005E08D0" w:rsidRPr="007225C9">
        <w:rPr>
          <w:rFonts w:ascii="Times New Roman" w:hAnsi="Times New Roman"/>
        </w:rPr>
        <w:t xml:space="preserve">propounded </w:t>
      </w:r>
      <w:r w:rsidR="00F03743" w:rsidRPr="007225C9">
        <w:rPr>
          <w:rFonts w:ascii="Times New Roman" w:hAnsi="Times New Roman"/>
        </w:rPr>
        <w:t>common law defence</w:t>
      </w:r>
      <w:r w:rsidR="00C84024" w:rsidRPr="007225C9">
        <w:rPr>
          <w:rFonts w:ascii="Times New Roman" w:hAnsi="Times New Roman"/>
        </w:rPr>
        <w:t xml:space="preserve"> </w:t>
      </w:r>
      <w:r w:rsidR="0072187E" w:rsidRPr="007225C9">
        <w:rPr>
          <w:rFonts w:ascii="Times New Roman" w:hAnsi="Times New Roman"/>
        </w:rPr>
        <w:t xml:space="preserve">should be </w:t>
      </w:r>
      <w:r w:rsidR="00A21351" w:rsidRPr="007225C9">
        <w:rPr>
          <w:rFonts w:ascii="Times New Roman" w:hAnsi="Times New Roman"/>
        </w:rPr>
        <w:t xml:space="preserve">only </w:t>
      </w:r>
      <w:r w:rsidR="0072187E" w:rsidRPr="007225C9">
        <w:rPr>
          <w:rFonts w:ascii="Times New Roman" w:hAnsi="Times New Roman"/>
        </w:rPr>
        <w:t xml:space="preserve">confined to </w:t>
      </w:r>
      <w:r w:rsidR="009008B2" w:rsidRPr="007225C9">
        <w:rPr>
          <w:rFonts w:ascii="Times New Roman" w:hAnsi="Times New Roman"/>
        </w:rPr>
        <w:t xml:space="preserve">the tort of </w:t>
      </w:r>
      <w:r w:rsidR="00D27CE1" w:rsidRPr="007225C9">
        <w:rPr>
          <w:rFonts w:ascii="Times New Roman" w:hAnsi="Times New Roman"/>
        </w:rPr>
        <w:t>false imprisonment</w:t>
      </w:r>
      <w:r w:rsidR="0072187E" w:rsidRPr="007225C9">
        <w:rPr>
          <w:rFonts w:ascii="Times New Roman" w:hAnsi="Times New Roman"/>
        </w:rPr>
        <w:t>,</w:t>
      </w:r>
      <w:r w:rsidR="00A647AD" w:rsidRPr="007225C9">
        <w:rPr>
          <w:rStyle w:val="FootnoteReference"/>
          <w:rFonts w:ascii="Times New Roman" w:hAnsi="Times New Roman"/>
          <w:sz w:val="24"/>
        </w:rPr>
        <w:footnoteReference w:id="28"/>
      </w:r>
      <w:r w:rsidR="0072187E" w:rsidRPr="007225C9">
        <w:rPr>
          <w:rFonts w:ascii="Times New Roman" w:hAnsi="Times New Roman"/>
        </w:rPr>
        <w:t xml:space="preserve"> can </w:t>
      </w:r>
      <w:r w:rsidR="006A23E3" w:rsidRPr="007225C9">
        <w:rPr>
          <w:rFonts w:ascii="Times New Roman" w:hAnsi="Times New Roman"/>
        </w:rPr>
        <w:t xml:space="preserve">only </w:t>
      </w:r>
      <w:r w:rsidR="0072187E" w:rsidRPr="007225C9">
        <w:rPr>
          <w:rFonts w:ascii="Times New Roman" w:hAnsi="Times New Roman"/>
        </w:rPr>
        <w:t xml:space="preserve">be relied on </w:t>
      </w:r>
      <w:r w:rsidR="009E6F03" w:rsidRPr="007225C9">
        <w:rPr>
          <w:rFonts w:ascii="Times New Roman" w:hAnsi="Times New Roman"/>
        </w:rPr>
        <w:t xml:space="preserve">by </w:t>
      </w:r>
      <w:r w:rsidR="00BB5019" w:rsidRPr="007225C9">
        <w:rPr>
          <w:rFonts w:ascii="Times New Roman" w:hAnsi="Times New Roman"/>
        </w:rPr>
        <w:t xml:space="preserve">an officer </w:t>
      </w:r>
      <w:r w:rsidR="00074DCF" w:rsidRPr="007225C9">
        <w:rPr>
          <w:rFonts w:ascii="Times New Roman" w:hAnsi="Times New Roman"/>
        </w:rPr>
        <w:t xml:space="preserve">of the executive government of the Commonwealth </w:t>
      </w:r>
      <w:r w:rsidR="00194BE0" w:rsidRPr="007225C9">
        <w:rPr>
          <w:rFonts w:ascii="Times New Roman" w:hAnsi="Times New Roman"/>
        </w:rPr>
        <w:t>act</w:t>
      </w:r>
      <w:r w:rsidR="0067536B" w:rsidRPr="007225C9">
        <w:rPr>
          <w:rFonts w:ascii="Times New Roman" w:hAnsi="Times New Roman"/>
        </w:rPr>
        <w:t>ing</w:t>
      </w:r>
      <w:r w:rsidR="00BB5019" w:rsidRPr="007225C9">
        <w:rPr>
          <w:rFonts w:ascii="Times New Roman" w:hAnsi="Times New Roman"/>
        </w:rPr>
        <w:t xml:space="preserve"> in the purported performance of a statutory duty</w:t>
      </w:r>
      <w:r w:rsidR="009A3320" w:rsidRPr="007225C9">
        <w:rPr>
          <w:rStyle w:val="FootnoteReference"/>
          <w:rFonts w:ascii="Times New Roman" w:hAnsi="Times New Roman"/>
          <w:sz w:val="24"/>
        </w:rPr>
        <w:footnoteReference w:id="29"/>
      </w:r>
      <w:r w:rsidR="00BB5019" w:rsidRPr="007225C9">
        <w:rPr>
          <w:rFonts w:ascii="Times New Roman" w:hAnsi="Times New Roman"/>
        </w:rPr>
        <w:t xml:space="preserve"> </w:t>
      </w:r>
      <w:r w:rsidR="006E53E2" w:rsidRPr="007225C9">
        <w:rPr>
          <w:rFonts w:ascii="Times New Roman" w:hAnsi="Times New Roman"/>
        </w:rPr>
        <w:t xml:space="preserve">and is only available where the officer acts </w:t>
      </w:r>
      <w:r w:rsidR="00BB5019" w:rsidRPr="007225C9">
        <w:rPr>
          <w:rFonts w:ascii="Times New Roman" w:hAnsi="Times New Roman"/>
        </w:rPr>
        <w:t>in conformity with the law as declared in a prior decision of this Court</w:t>
      </w:r>
      <w:r w:rsidR="00765A77" w:rsidRPr="007225C9">
        <w:rPr>
          <w:rFonts w:ascii="Times New Roman" w:hAnsi="Times New Roman"/>
        </w:rPr>
        <w:t xml:space="preserve"> as opposed to another Ch</w:t>
      </w:r>
      <w:r w:rsidR="00552326" w:rsidRPr="007225C9">
        <w:rPr>
          <w:rFonts w:ascii="Times New Roman" w:hAnsi="Times New Roman"/>
        </w:rPr>
        <w:t> </w:t>
      </w:r>
      <w:r w:rsidR="00765A77" w:rsidRPr="007225C9">
        <w:rPr>
          <w:rFonts w:ascii="Times New Roman" w:hAnsi="Times New Roman"/>
        </w:rPr>
        <w:t xml:space="preserve">III Court. The </w:t>
      </w:r>
      <w:r w:rsidR="0067536B" w:rsidRPr="007225C9">
        <w:rPr>
          <w:rFonts w:ascii="Times New Roman" w:hAnsi="Times New Roman"/>
        </w:rPr>
        <w:t xml:space="preserve">Commonwealth seeks to </w:t>
      </w:r>
      <w:r w:rsidR="009269A0" w:rsidRPr="007225C9">
        <w:rPr>
          <w:rFonts w:ascii="Times New Roman" w:hAnsi="Times New Roman"/>
        </w:rPr>
        <w:t xml:space="preserve">avoid </w:t>
      </w:r>
      <w:r w:rsidR="00765A77" w:rsidRPr="007225C9">
        <w:rPr>
          <w:rFonts w:ascii="Times New Roman" w:hAnsi="Times New Roman"/>
        </w:rPr>
        <w:t xml:space="preserve">these issues being addressed in this case </w:t>
      </w:r>
      <w:r w:rsidR="009852A4" w:rsidRPr="007225C9">
        <w:rPr>
          <w:rFonts w:ascii="Times New Roman" w:hAnsi="Times New Roman"/>
        </w:rPr>
        <w:t xml:space="preserve">by stressing the incremental nature of </w:t>
      </w:r>
      <w:r w:rsidR="00465E07" w:rsidRPr="007225C9">
        <w:rPr>
          <w:rFonts w:ascii="Times New Roman" w:hAnsi="Times New Roman"/>
        </w:rPr>
        <w:t xml:space="preserve">the </w:t>
      </w:r>
      <w:r w:rsidR="009852A4" w:rsidRPr="007225C9">
        <w:rPr>
          <w:rFonts w:ascii="Times New Roman" w:hAnsi="Times New Roman"/>
        </w:rPr>
        <w:t>development of the common law.</w:t>
      </w:r>
      <w:r w:rsidR="009269A0" w:rsidRPr="007225C9">
        <w:rPr>
          <w:rFonts w:ascii="Times New Roman" w:hAnsi="Times New Roman"/>
        </w:rPr>
        <w:t xml:space="preserve"> </w:t>
      </w:r>
      <w:r w:rsidR="002C110F" w:rsidRPr="007225C9">
        <w:rPr>
          <w:rFonts w:ascii="Times New Roman" w:hAnsi="Times New Roman"/>
        </w:rPr>
        <w:t>Whether the propounded common law defence</w:t>
      </w:r>
      <w:r w:rsidR="0051157E" w:rsidRPr="007225C9">
        <w:rPr>
          <w:rFonts w:ascii="Times New Roman" w:hAnsi="Times New Roman"/>
        </w:rPr>
        <w:t xml:space="preserve"> or some version of it might</w:t>
      </w:r>
      <w:r w:rsidR="00717600" w:rsidRPr="007225C9">
        <w:rPr>
          <w:rFonts w:ascii="Times New Roman" w:hAnsi="Times New Roman"/>
        </w:rPr>
        <w:t xml:space="preserve"> be available </w:t>
      </w:r>
      <w:r w:rsidR="006A23E3" w:rsidRPr="007225C9">
        <w:rPr>
          <w:rFonts w:ascii="Times New Roman" w:hAnsi="Times New Roman"/>
        </w:rPr>
        <w:t xml:space="preserve">to an officer of an executive government </w:t>
      </w:r>
      <w:r w:rsidR="00717600" w:rsidRPr="007225C9">
        <w:rPr>
          <w:rFonts w:ascii="Times New Roman" w:hAnsi="Times New Roman"/>
        </w:rPr>
        <w:t>in other situations</w:t>
      </w:r>
      <w:r w:rsidR="00684CCE" w:rsidRPr="007225C9">
        <w:rPr>
          <w:rFonts w:ascii="Times New Roman" w:hAnsi="Times New Roman"/>
        </w:rPr>
        <w:t xml:space="preserve">, the Commonwealth argues, </w:t>
      </w:r>
      <w:r w:rsidR="00F52185" w:rsidRPr="007225C9">
        <w:rPr>
          <w:rFonts w:ascii="Times New Roman" w:hAnsi="Times New Roman"/>
        </w:rPr>
        <w:t>need</w:t>
      </w:r>
      <w:r w:rsidR="00684CCE" w:rsidRPr="007225C9">
        <w:rPr>
          <w:rFonts w:ascii="Times New Roman" w:hAnsi="Times New Roman"/>
        </w:rPr>
        <w:t xml:space="preserve"> </w:t>
      </w:r>
      <w:r w:rsidR="00477BCD" w:rsidRPr="007225C9">
        <w:rPr>
          <w:rFonts w:ascii="Times New Roman" w:hAnsi="Times New Roman"/>
        </w:rPr>
        <w:t xml:space="preserve">not be examined </w:t>
      </w:r>
      <w:r w:rsidR="00C157CE" w:rsidRPr="007225C9">
        <w:rPr>
          <w:rFonts w:ascii="Times New Roman" w:hAnsi="Times New Roman"/>
        </w:rPr>
        <w:t xml:space="preserve">in the absence of facts </w:t>
      </w:r>
      <w:r w:rsidR="002C626F" w:rsidRPr="007225C9">
        <w:rPr>
          <w:rFonts w:ascii="Times New Roman" w:hAnsi="Times New Roman"/>
        </w:rPr>
        <w:t xml:space="preserve">making it necessary </w:t>
      </w:r>
      <w:r w:rsidR="004C7601" w:rsidRPr="007225C9">
        <w:rPr>
          <w:rFonts w:ascii="Times New Roman" w:hAnsi="Times New Roman"/>
        </w:rPr>
        <w:t>for such a question to be determined.</w:t>
      </w:r>
    </w:p>
    <w:p w14:paraId="00560DCF" w14:textId="36C8930B" w:rsidR="00C12084" w:rsidRPr="007225C9" w:rsidRDefault="00C12084" w:rsidP="007225C9">
      <w:pPr>
        <w:pStyle w:val="FixListStyle"/>
        <w:spacing w:after="260" w:line="280" w:lineRule="exact"/>
        <w:ind w:right="0"/>
        <w:jc w:val="both"/>
        <w:rPr>
          <w:rFonts w:ascii="Times New Roman" w:hAnsi="Times New Roman"/>
        </w:rPr>
      </w:pPr>
      <w:r w:rsidRPr="007225C9">
        <w:rPr>
          <w:rFonts w:ascii="Times New Roman" w:hAnsi="Times New Roman"/>
        </w:rPr>
        <w:tab/>
      </w:r>
      <w:r w:rsidR="009507C1" w:rsidRPr="007225C9">
        <w:rPr>
          <w:rFonts w:ascii="Times New Roman" w:hAnsi="Times New Roman"/>
        </w:rPr>
        <w:t>Finally, t</w:t>
      </w:r>
      <w:r w:rsidRPr="007225C9">
        <w:rPr>
          <w:rFonts w:ascii="Times New Roman" w:hAnsi="Times New Roman"/>
        </w:rPr>
        <w:t xml:space="preserve">he Commonwealth </w:t>
      </w:r>
      <w:r w:rsidR="00A314D6" w:rsidRPr="007225C9">
        <w:rPr>
          <w:rFonts w:ascii="Times New Roman" w:hAnsi="Times New Roman"/>
        </w:rPr>
        <w:t>seeks to support its argument</w:t>
      </w:r>
      <w:r w:rsidR="00A233C5" w:rsidRPr="007225C9">
        <w:rPr>
          <w:rFonts w:ascii="Times New Roman" w:hAnsi="Times New Roman"/>
        </w:rPr>
        <w:t xml:space="preserve"> </w:t>
      </w:r>
      <w:r w:rsidR="00A314D6" w:rsidRPr="007225C9">
        <w:rPr>
          <w:rFonts w:ascii="Times New Roman" w:hAnsi="Times New Roman"/>
        </w:rPr>
        <w:t xml:space="preserve">by </w:t>
      </w:r>
      <w:r w:rsidR="00AA1073" w:rsidRPr="007225C9">
        <w:rPr>
          <w:rFonts w:ascii="Times New Roman" w:hAnsi="Times New Roman"/>
        </w:rPr>
        <w:t xml:space="preserve">reference to </w:t>
      </w:r>
      <w:r w:rsidR="004E36AF" w:rsidRPr="007225C9">
        <w:rPr>
          <w:rFonts w:ascii="Times New Roman" w:hAnsi="Times New Roman"/>
        </w:rPr>
        <w:t>United States and Canadian</w:t>
      </w:r>
      <w:r w:rsidR="005D5679" w:rsidRPr="007225C9">
        <w:rPr>
          <w:rFonts w:ascii="Times New Roman" w:hAnsi="Times New Roman"/>
        </w:rPr>
        <w:t xml:space="preserve"> cases </w:t>
      </w:r>
      <w:r w:rsidR="00A54552" w:rsidRPr="007225C9">
        <w:rPr>
          <w:rFonts w:ascii="Times New Roman" w:hAnsi="Times New Roman"/>
        </w:rPr>
        <w:t>in which courts</w:t>
      </w:r>
      <w:r w:rsidR="005D5679" w:rsidRPr="007225C9">
        <w:rPr>
          <w:rFonts w:ascii="Times New Roman" w:hAnsi="Times New Roman"/>
        </w:rPr>
        <w:t xml:space="preserve"> have</w:t>
      </w:r>
      <w:r w:rsidR="00A30882" w:rsidRPr="007225C9">
        <w:rPr>
          <w:rFonts w:ascii="Times New Roman" w:hAnsi="Times New Roman"/>
        </w:rPr>
        <w:t xml:space="preserve"> </w:t>
      </w:r>
      <w:r w:rsidR="00A54552" w:rsidRPr="007225C9">
        <w:rPr>
          <w:rFonts w:ascii="Times New Roman" w:hAnsi="Times New Roman"/>
        </w:rPr>
        <w:t xml:space="preserve">denied common law </w:t>
      </w:r>
      <w:r w:rsidR="00A30882" w:rsidRPr="007225C9">
        <w:rPr>
          <w:rFonts w:ascii="Times New Roman" w:hAnsi="Times New Roman"/>
        </w:rPr>
        <w:t xml:space="preserve">liability for </w:t>
      </w:r>
      <w:r w:rsidR="008962CF" w:rsidRPr="007225C9">
        <w:rPr>
          <w:rFonts w:ascii="Times New Roman" w:hAnsi="Times New Roman"/>
        </w:rPr>
        <w:t xml:space="preserve">executive action </w:t>
      </w:r>
      <w:r w:rsidR="004B5DD7" w:rsidRPr="007225C9">
        <w:rPr>
          <w:rFonts w:ascii="Times New Roman" w:hAnsi="Times New Roman"/>
        </w:rPr>
        <w:t>under</w:t>
      </w:r>
      <w:r w:rsidR="008962CF" w:rsidRPr="007225C9">
        <w:rPr>
          <w:rFonts w:ascii="Times New Roman" w:hAnsi="Times New Roman"/>
        </w:rPr>
        <w:t xml:space="preserve">taken in good faith in reliance on </w:t>
      </w:r>
      <w:r w:rsidR="004B5DD7" w:rsidRPr="007225C9">
        <w:rPr>
          <w:rFonts w:ascii="Times New Roman" w:hAnsi="Times New Roman"/>
        </w:rPr>
        <w:t xml:space="preserve">invalid laws </w:t>
      </w:r>
      <w:r w:rsidR="00DA5AFE" w:rsidRPr="007225C9">
        <w:rPr>
          <w:rFonts w:ascii="Times New Roman" w:hAnsi="Times New Roman"/>
        </w:rPr>
        <w:t xml:space="preserve">and suggests that a decision of the </w:t>
      </w:r>
      <w:r w:rsidR="00AB5B46" w:rsidRPr="007225C9">
        <w:rPr>
          <w:rFonts w:ascii="Times New Roman" w:hAnsi="Times New Roman"/>
        </w:rPr>
        <w:t xml:space="preserve">Court of Appeal of England and Wales </w:t>
      </w:r>
      <w:r w:rsidR="009E4850" w:rsidRPr="007225C9">
        <w:rPr>
          <w:rFonts w:ascii="Times New Roman" w:hAnsi="Times New Roman"/>
        </w:rPr>
        <w:t>supports the same conclusion.</w:t>
      </w:r>
    </w:p>
    <w:p w14:paraId="0F6ACC7A" w14:textId="7846A900" w:rsidR="00947092" w:rsidRPr="007225C9" w:rsidRDefault="00947092" w:rsidP="007225C9">
      <w:pPr>
        <w:pStyle w:val="HeadingL1"/>
        <w:spacing w:after="260" w:line="280" w:lineRule="exact"/>
        <w:ind w:right="0"/>
        <w:jc w:val="both"/>
        <w:rPr>
          <w:rFonts w:ascii="Times New Roman" w:hAnsi="Times New Roman"/>
        </w:rPr>
      </w:pPr>
      <w:r w:rsidRPr="007225C9">
        <w:rPr>
          <w:rFonts w:ascii="Times New Roman" w:hAnsi="Times New Roman"/>
        </w:rPr>
        <w:t>Rejection of the propounded defence</w:t>
      </w:r>
    </w:p>
    <w:p w14:paraId="73F09CB6" w14:textId="78146360" w:rsidR="00947092" w:rsidRPr="007225C9" w:rsidRDefault="00120F5A" w:rsidP="007225C9">
      <w:pPr>
        <w:pStyle w:val="FixListStyle"/>
        <w:spacing w:after="260" w:line="280" w:lineRule="exact"/>
        <w:ind w:right="0"/>
        <w:jc w:val="both"/>
        <w:rPr>
          <w:rFonts w:ascii="Times New Roman" w:hAnsi="Times New Roman"/>
        </w:rPr>
      </w:pPr>
      <w:r w:rsidRPr="007225C9">
        <w:rPr>
          <w:rFonts w:ascii="Times New Roman" w:hAnsi="Times New Roman"/>
        </w:rPr>
        <w:tab/>
      </w:r>
      <w:r w:rsidR="00B04693" w:rsidRPr="007225C9">
        <w:rPr>
          <w:rFonts w:ascii="Times New Roman" w:hAnsi="Times New Roman"/>
        </w:rPr>
        <w:t xml:space="preserve">The </w:t>
      </w:r>
      <w:r w:rsidR="00926950" w:rsidRPr="007225C9">
        <w:rPr>
          <w:rFonts w:ascii="Times New Roman" w:hAnsi="Times New Roman"/>
        </w:rPr>
        <w:t xml:space="preserve">Commonwealth's </w:t>
      </w:r>
      <w:r w:rsidR="00B04693" w:rsidRPr="007225C9">
        <w:rPr>
          <w:rFonts w:ascii="Times New Roman" w:hAnsi="Times New Roman"/>
        </w:rPr>
        <w:t xml:space="preserve">attempt to </w:t>
      </w:r>
      <w:r w:rsidR="00765A77" w:rsidRPr="007225C9">
        <w:rPr>
          <w:rFonts w:ascii="Times New Roman" w:hAnsi="Times New Roman"/>
        </w:rPr>
        <w:t>enli</w:t>
      </w:r>
      <w:r w:rsidR="007A203A" w:rsidRPr="007225C9">
        <w:rPr>
          <w:rFonts w:ascii="Times New Roman" w:hAnsi="Times New Roman"/>
        </w:rPr>
        <w:t>st</w:t>
      </w:r>
      <w:r w:rsidR="00552117" w:rsidRPr="007225C9">
        <w:rPr>
          <w:rFonts w:ascii="Times New Roman" w:hAnsi="Times New Roman"/>
        </w:rPr>
        <w:t xml:space="preserve"> support for </w:t>
      </w:r>
      <w:r w:rsidR="00546CC1" w:rsidRPr="007225C9">
        <w:rPr>
          <w:rFonts w:ascii="Times New Roman" w:hAnsi="Times New Roman"/>
        </w:rPr>
        <w:t>the propounded common law defence</w:t>
      </w:r>
      <w:r w:rsidR="001B315C" w:rsidRPr="007225C9">
        <w:rPr>
          <w:rFonts w:ascii="Times New Roman" w:hAnsi="Times New Roman"/>
        </w:rPr>
        <w:t xml:space="preserve"> from reasoning in </w:t>
      </w:r>
      <w:r w:rsidR="001B315C" w:rsidRPr="007225C9">
        <w:rPr>
          <w:rFonts w:ascii="Times New Roman" w:hAnsi="Times New Roman"/>
          <w:i/>
          <w:iCs/>
        </w:rPr>
        <w:t>Stradford</w:t>
      </w:r>
      <w:r w:rsidR="00336ABF" w:rsidRPr="007225C9">
        <w:rPr>
          <w:rFonts w:ascii="Times New Roman" w:hAnsi="Times New Roman"/>
          <w:i/>
          <w:iCs/>
        </w:rPr>
        <w:t xml:space="preserve"> </w:t>
      </w:r>
      <w:r w:rsidR="00926950" w:rsidRPr="007225C9">
        <w:rPr>
          <w:rFonts w:ascii="Times New Roman" w:hAnsi="Times New Roman"/>
        </w:rPr>
        <w:t>fails a</w:t>
      </w:r>
      <w:r w:rsidR="003E5742" w:rsidRPr="007225C9">
        <w:rPr>
          <w:rFonts w:ascii="Times New Roman" w:hAnsi="Times New Roman"/>
        </w:rPr>
        <w:t xml:space="preserve">s an exercise in </w:t>
      </w:r>
      <w:r w:rsidR="004D0988" w:rsidRPr="007225C9">
        <w:rPr>
          <w:rFonts w:ascii="Times New Roman" w:hAnsi="Times New Roman"/>
        </w:rPr>
        <w:t>analogical common law reasoning</w:t>
      </w:r>
      <w:r w:rsidR="00336ABF" w:rsidRPr="007225C9">
        <w:rPr>
          <w:rFonts w:ascii="Times New Roman" w:hAnsi="Times New Roman"/>
        </w:rPr>
        <w:t>.</w:t>
      </w:r>
      <w:r w:rsidR="004D0988" w:rsidRPr="007225C9">
        <w:rPr>
          <w:rFonts w:ascii="Times New Roman" w:hAnsi="Times New Roman"/>
        </w:rPr>
        <w:t xml:space="preserve"> </w:t>
      </w:r>
      <w:r w:rsidR="007A203A" w:rsidRPr="007225C9">
        <w:rPr>
          <w:rFonts w:ascii="Times New Roman" w:hAnsi="Times New Roman"/>
        </w:rPr>
        <w:t xml:space="preserve">The attempt also fails because of the doctrinal indeterminacy that results from the failure to address the issues noted above. More fundamentally, the Commonwealth's attempt </w:t>
      </w:r>
      <w:r w:rsidR="002C2095" w:rsidRPr="007225C9">
        <w:rPr>
          <w:rFonts w:ascii="Times New Roman" w:hAnsi="Times New Roman"/>
        </w:rPr>
        <w:t>fails at the level of constitutional principle.</w:t>
      </w:r>
    </w:p>
    <w:p w14:paraId="36E1A22F" w14:textId="67829679" w:rsidR="007A203A" w:rsidRPr="007225C9" w:rsidRDefault="007A203A" w:rsidP="007225C9">
      <w:pPr>
        <w:pStyle w:val="HeadingL2"/>
        <w:spacing w:after="260" w:line="280" w:lineRule="exact"/>
        <w:ind w:right="0"/>
        <w:jc w:val="both"/>
        <w:rPr>
          <w:rFonts w:ascii="Times New Roman" w:hAnsi="Times New Roman"/>
        </w:rPr>
      </w:pPr>
      <w:r w:rsidRPr="007225C9">
        <w:rPr>
          <w:rFonts w:ascii="Times New Roman" w:hAnsi="Times New Roman"/>
        </w:rPr>
        <w:lastRenderedPageBreak/>
        <w:t xml:space="preserve">Constitutional Principle </w:t>
      </w:r>
    </w:p>
    <w:p w14:paraId="08DDBDB8" w14:textId="4E842324" w:rsidR="00372BCF" w:rsidRPr="007225C9" w:rsidRDefault="00336ABF" w:rsidP="007225C9">
      <w:pPr>
        <w:pStyle w:val="FixListStyle"/>
        <w:spacing w:after="260" w:line="280" w:lineRule="exact"/>
        <w:ind w:right="0"/>
        <w:jc w:val="both"/>
        <w:rPr>
          <w:rFonts w:ascii="Times New Roman" w:hAnsi="Times New Roman"/>
        </w:rPr>
      </w:pPr>
      <w:r w:rsidRPr="007225C9">
        <w:rPr>
          <w:rFonts w:ascii="Times New Roman" w:hAnsi="Times New Roman"/>
        </w:rPr>
        <w:tab/>
      </w:r>
      <w:r w:rsidR="00D94D2B" w:rsidRPr="007225C9">
        <w:rPr>
          <w:rFonts w:ascii="Times New Roman" w:hAnsi="Times New Roman"/>
        </w:rPr>
        <w:t>T</w:t>
      </w:r>
      <w:r w:rsidR="00D72E62" w:rsidRPr="007225C9">
        <w:rPr>
          <w:rFonts w:ascii="Times New Roman" w:hAnsi="Times New Roman"/>
        </w:rPr>
        <w:t xml:space="preserve">he </w:t>
      </w:r>
      <w:r w:rsidR="002A44B2" w:rsidRPr="007225C9">
        <w:rPr>
          <w:rFonts w:ascii="Times New Roman" w:hAnsi="Times New Roman"/>
        </w:rPr>
        <w:t xml:space="preserve">constitutional </w:t>
      </w:r>
      <w:r w:rsidR="00D72E62" w:rsidRPr="007225C9">
        <w:rPr>
          <w:rFonts w:ascii="Times New Roman" w:hAnsi="Times New Roman"/>
        </w:rPr>
        <w:t xml:space="preserve">responsibility </w:t>
      </w:r>
      <w:r w:rsidR="002A44B2" w:rsidRPr="007225C9">
        <w:rPr>
          <w:rFonts w:ascii="Times New Roman" w:hAnsi="Times New Roman"/>
        </w:rPr>
        <w:t>of</w:t>
      </w:r>
      <w:r w:rsidR="00D72E62" w:rsidRPr="007225C9">
        <w:rPr>
          <w:rFonts w:ascii="Times New Roman" w:hAnsi="Times New Roman"/>
        </w:rPr>
        <w:t xml:space="preserve"> </w:t>
      </w:r>
      <w:r w:rsidR="0053442F" w:rsidRPr="007225C9">
        <w:rPr>
          <w:rFonts w:ascii="Times New Roman" w:hAnsi="Times New Roman"/>
        </w:rPr>
        <w:t>the</w:t>
      </w:r>
      <w:r w:rsidR="00D72E62" w:rsidRPr="007225C9">
        <w:rPr>
          <w:rFonts w:ascii="Times New Roman" w:hAnsi="Times New Roman"/>
        </w:rPr>
        <w:t xml:space="preserve"> executive branch of government to ascertain and comply with the law that limits </w:t>
      </w:r>
      <w:r w:rsidR="0053442F" w:rsidRPr="007225C9">
        <w:rPr>
          <w:rFonts w:ascii="Times New Roman" w:hAnsi="Times New Roman"/>
        </w:rPr>
        <w:t>its</w:t>
      </w:r>
      <w:r w:rsidR="00D72E62" w:rsidRPr="007225C9">
        <w:rPr>
          <w:rFonts w:ascii="Times New Roman" w:hAnsi="Times New Roman"/>
        </w:rPr>
        <w:t xml:space="preserve"> power is </w:t>
      </w:r>
      <w:r w:rsidR="00851D88" w:rsidRPr="007225C9">
        <w:rPr>
          <w:rFonts w:ascii="Times New Roman" w:hAnsi="Times New Roman"/>
        </w:rPr>
        <w:t>not</w:t>
      </w:r>
      <w:r w:rsidR="00D72E62" w:rsidRPr="007225C9">
        <w:rPr>
          <w:rFonts w:ascii="Times New Roman" w:hAnsi="Times New Roman"/>
        </w:rPr>
        <w:t xml:space="preserve"> </w:t>
      </w:r>
      <w:r w:rsidR="002E0D52" w:rsidRPr="007225C9">
        <w:rPr>
          <w:rFonts w:ascii="Times New Roman" w:hAnsi="Times New Roman"/>
        </w:rPr>
        <w:t xml:space="preserve">to be </w:t>
      </w:r>
      <w:r w:rsidR="001E3CEA" w:rsidRPr="007225C9">
        <w:rPr>
          <w:rFonts w:ascii="Times New Roman" w:hAnsi="Times New Roman"/>
        </w:rPr>
        <w:t>diminished</w:t>
      </w:r>
      <w:r w:rsidR="002E0D52" w:rsidRPr="007225C9">
        <w:rPr>
          <w:rFonts w:ascii="Times New Roman" w:hAnsi="Times New Roman"/>
        </w:rPr>
        <w:t xml:space="preserve"> by being characterised as </w:t>
      </w:r>
      <w:r w:rsidR="00D72E62" w:rsidRPr="007225C9">
        <w:rPr>
          <w:rFonts w:ascii="Times New Roman" w:hAnsi="Times New Roman"/>
        </w:rPr>
        <w:t>a</w:t>
      </w:r>
      <w:r w:rsidR="00DC6495" w:rsidRPr="007225C9">
        <w:rPr>
          <w:rFonts w:ascii="Times New Roman" w:hAnsi="Times New Roman"/>
        </w:rPr>
        <w:t>n independent</w:t>
      </w:r>
      <w:r w:rsidR="00D72E62" w:rsidRPr="007225C9">
        <w:rPr>
          <w:rFonts w:ascii="Times New Roman" w:hAnsi="Times New Roman"/>
        </w:rPr>
        <w:t xml:space="preserve"> legal duty</w:t>
      </w:r>
      <w:r w:rsidR="005A38A2" w:rsidRPr="007225C9">
        <w:rPr>
          <w:rFonts w:ascii="Times New Roman" w:hAnsi="Times New Roman"/>
        </w:rPr>
        <w:t xml:space="preserve"> imposed </w:t>
      </w:r>
      <w:r w:rsidR="00B21FDD" w:rsidRPr="007225C9">
        <w:rPr>
          <w:rFonts w:ascii="Times New Roman" w:hAnsi="Times New Roman"/>
        </w:rPr>
        <w:t xml:space="preserve">upon </w:t>
      </w:r>
      <w:r w:rsidR="00094578" w:rsidRPr="007225C9">
        <w:rPr>
          <w:rFonts w:ascii="Times New Roman" w:hAnsi="Times New Roman"/>
        </w:rPr>
        <w:t xml:space="preserve">executive </w:t>
      </w:r>
      <w:r w:rsidR="00026829" w:rsidRPr="007225C9">
        <w:rPr>
          <w:rFonts w:ascii="Times New Roman" w:hAnsi="Times New Roman"/>
        </w:rPr>
        <w:t>officers</w:t>
      </w:r>
      <w:r w:rsidR="0019506D" w:rsidRPr="007225C9">
        <w:rPr>
          <w:rFonts w:ascii="Times New Roman" w:hAnsi="Times New Roman"/>
        </w:rPr>
        <w:t xml:space="preserve">. </w:t>
      </w:r>
      <w:r w:rsidR="00372BCF" w:rsidRPr="007225C9">
        <w:rPr>
          <w:rFonts w:ascii="Times New Roman" w:hAnsi="Times New Roman"/>
        </w:rPr>
        <w:t xml:space="preserve">The constitutional responsibility </w:t>
      </w:r>
      <w:r w:rsidR="00C87F35" w:rsidRPr="007225C9">
        <w:rPr>
          <w:rFonts w:ascii="Times New Roman" w:hAnsi="Times New Roman"/>
        </w:rPr>
        <w:t>exists at the level of constitutional principle as</w:t>
      </w:r>
      <w:r w:rsidR="00372BCF" w:rsidRPr="007225C9">
        <w:rPr>
          <w:rFonts w:ascii="Times New Roman" w:hAnsi="Times New Roman"/>
        </w:rPr>
        <w:t xml:space="preserve"> </w:t>
      </w:r>
      <w:r w:rsidR="003B3B7C" w:rsidRPr="007225C9">
        <w:rPr>
          <w:rFonts w:ascii="Times New Roman" w:hAnsi="Times New Roman"/>
        </w:rPr>
        <w:t>a</w:t>
      </w:r>
      <w:r w:rsidR="00372BCF" w:rsidRPr="007225C9">
        <w:rPr>
          <w:rFonts w:ascii="Times New Roman" w:hAnsi="Times New Roman"/>
        </w:rPr>
        <w:t xml:space="preserve"> corollary of the constitutional incapacity of the executive government of a body politic to dispense with obedience to the law.</w:t>
      </w:r>
      <w:r w:rsidR="00372BCF" w:rsidRPr="007225C9">
        <w:rPr>
          <w:rStyle w:val="FootnoteReference"/>
          <w:rFonts w:ascii="Times New Roman" w:hAnsi="Times New Roman"/>
          <w:sz w:val="24"/>
        </w:rPr>
        <w:footnoteReference w:id="30"/>
      </w:r>
      <w:r w:rsidR="00372BCF" w:rsidRPr="007225C9">
        <w:rPr>
          <w:rFonts w:ascii="Times New Roman" w:hAnsi="Times New Roman"/>
        </w:rPr>
        <w:t xml:space="preserve"> "In Australia the absence of a power of executive dispensation of statute law, what Dixon CJ called a 'general constitutional principle', became an aspect of the rule of law and, as Wild CJ put it with respect to New Zealand, is 'a graphic illustration of the depth of our legal heritage'</w:t>
      </w:r>
      <w:r w:rsidR="003E4D95" w:rsidRPr="007225C9">
        <w:rPr>
          <w:rFonts w:ascii="Times New Roman" w:hAnsi="Times New Roman"/>
        </w:rPr>
        <w:t>.</w:t>
      </w:r>
      <w:r w:rsidR="00372BCF" w:rsidRPr="007225C9">
        <w:rPr>
          <w:rFonts w:ascii="Times New Roman" w:hAnsi="Times New Roman"/>
        </w:rPr>
        <w:t>"</w:t>
      </w:r>
      <w:r w:rsidR="00372BCF" w:rsidRPr="007225C9">
        <w:rPr>
          <w:rStyle w:val="FootnoteReference"/>
          <w:rFonts w:ascii="Times New Roman" w:hAnsi="Times New Roman"/>
          <w:sz w:val="24"/>
        </w:rPr>
        <w:footnoteReference w:id="31"/>
      </w:r>
      <w:r w:rsidR="00372BCF" w:rsidRPr="007225C9">
        <w:rPr>
          <w:rFonts w:ascii="Times New Roman" w:hAnsi="Times New Roman"/>
        </w:rPr>
        <w:t xml:space="preserve"> </w:t>
      </w:r>
    </w:p>
    <w:p w14:paraId="0F5308C3" w14:textId="627799EC" w:rsidR="005E7053" w:rsidRPr="007225C9" w:rsidRDefault="00372BCF" w:rsidP="007225C9">
      <w:pPr>
        <w:pStyle w:val="FixListStyle"/>
        <w:spacing w:after="260" w:line="280" w:lineRule="exact"/>
        <w:ind w:right="0"/>
        <w:jc w:val="both"/>
        <w:rPr>
          <w:rFonts w:ascii="Times New Roman" w:hAnsi="Times New Roman"/>
        </w:rPr>
      </w:pPr>
      <w:r w:rsidRPr="007225C9">
        <w:rPr>
          <w:rFonts w:ascii="Times New Roman" w:hAnsi="Times New Roman"/>
        </w:rPr>
        <w:tab/>
      </w:r>
      <w:r w:rsidR="00B11B39" w:rsidRPr="007225C9">
        <w:rPr>
          <w:rFonts w:ascii="Times New Roman" w:hAnsi="Times New Roman"/>
        </w:rPr>
        <w:t xml:space="preserve">The </w:t>
      </w:r>
      <w:r w:rsidR="003E0666" w:rsidRPr="007225C9">
        <w:rPr>
          <w:rFonts w:ascii="Times New Roman" w:hAnsi="Times New Roman"/>
        </w:rPr>
        <w:t xml:space="preserve">incapacity of the executive government of a body politic to dispense with obedience to the law </w:t>
      </w:r>
      <w:r w:rsidR="00856AD8" w:rsidRPr="007225C9">
        <w:rPr>
          <w:rFonts w:ascii="Times New Roman" w:hAnsi="Times New Roman"/>
        </w:rPr>
        <w:t>entails</w:t>
      </w:r>
      <w:r w:rsidR="003E0666" w:rsidRPr="007225C9">
        <w:rPr>
          <w:rFonts w:ascii="Times New Roman" w:hAnsi="Times New Roman"/>
        </w:rPr>
        <w:t xml:space="preserve"> that an</w:t>
      </w:r>
      <w:r w:rsidR="00B11B39" w:rsidRPr="007225C9">
        <w:rPr>
          <w:rFonts w:ascii="Times New Roman" w:hAnsi="Times New Roman"/>
        </w:rPr>
        <w:t xml:space="preserve"> officer of an executive government </w:t>
      </w:r>
      <w:r w:rsidR="008B6351" w:rsidRPr="007225C9">
        <w:rPr>
          <w:rFonts w:ascii="Times New Roman" w:hAnsi="Times New Roman"/>
        </w:rPr>
        <w:t xml:space="preserve">has no power </w:t>
      </w:r>
      <w:r w:rsidR="00B11B39" w:rsidRPr="007225C9">
        <w:rPr>
          <w:rFonts w:ascii="Times New Roman" w:hAnsi="Times New Roman"/>
        </w:rPr>
        <w:t>to interfere with or otherwise affect a legal right or interest other than such power as is conferred and limited by law. In the event of an executive officer committing an otherwise tortious act, the officer, like anyone else, "must find his justification, if any, in the common law or in some statutory provision, and it is for the courts of law to determine whether the justification exists".</w:t>
      </w:r>
      <w:r w:rsidR="00B11B39" w:rsidRPr="007225C9">
        <w:rPr>
          <w:rStyle w:val="FootnoteReference"/>
          <w:rFonts w:ascii="Times New Roman" w:hAnsi="Times New Roman"/>
          <w:sz w:val="24"/>
        </w:rPr>
        <w:footnoteReference w:id="32"/>
      </w:r>
      <w:r w:rsidR="00664537" w:rsidRPr="007225C9">
        <w:rPr>
          <w:rFonts w:ascii="Times New Roman" w:hAnsi="Times New Roman"/>
        </w:rPr>
        <w:t xml:space="preserve"> </w:t>
      </w:r>
    </w:p>
    <w:p w14:paraId="2C07A5E3" w14:textId="131F275A" w:rsidR="00CE5DD7" w:rsidRPr="007225C9" w:rsidRDefault="005E7053" w:rsidP="007225C9">
      <w:pPr>
        <w:pStyle w:val="FixListStyle"/>
        <w:spacing w:after="260" w:line="280" w:lineRule="exact"/>
        <w:ind w:right="0"/>
        <w:jc w:val="both"/>
        <w:rPr>
          <w:rFonts w:ascii="Times New Roman" w:hAnsi="Times New Roman"/>
        </w:rPr>
      </w:pPr>
      <w:r w:rsidRPr="007225C9">
        <w:rPr>
          <w:rFonts w:ascii="Times New Roman" w:hAnsi="Times New Roman"/>
        </w:rPr>
        <w:tab/>
      </w:r>
      <w:r w:rsidR="006347CE" w:rsidRPr="007225C9">
        <w:rPr>
          <w:rFonts w:ascii="Times New Roman" w:hAnsi="Times New Roman"/>
        </w:rPr>
        <w:t>Upon this basis, it can be said to be "</w:t>
      </w:r>
      <w:r w:rsidR="00463337" w:rsidRPr="007225C9">
        <w:rPr>
          <w:rFonts w:ascii="Times New Roman" w:hAnsi="Times New Roman"/>
        </w:rPr>
        <w:t xml:space="preserve">a fundamental principle of </w:t>
      </w:r>
      <w:r w:rsidR="00A26C0A" w:rsidRPr="007225C9">
        <w:rPr>
          <w:rFonts w:ascii="Times New Roman" w:hAnsi="Times New Roman"/>
        </w:rPr>
        <w:t>[</w:t>
      </w:r>
      <w:r w:rsidR="00463337" w:rsidRPr="007225C9">
        <w:rPr>
          <w:rFonts w:ascii="Times New Roman" w:hAnsi="Times New Roman"/>
        </w:rPr>
        <w:t>our</w:t>
      </w:r>
      <w:r w:rsidR="00A26C0A" w:rsidRPr="007225C9">
        <w:rPr>
          <w:rFonts w:ascii="Times New Roman" w:hAnsi="Times New Roman"/>
        </w:rPr>
        <w:t>]</w:t>
      </w:r>
      <w:r w:rsidR="00463337" w:rsidRPr="007225C9">
        <w:rPr>
          <w:rFonts w:ascii="Times New Roman" w:hAnsi="Times New Roman"/>
        </w:rPr>
        <w:t xml:space="preserve"> law that </w:t>
      </w:r>
      <w:r w:rsidR="007C1809" w:rsidRPr="007225C9">
        <w:rPr>
          <w:rFonts w:ascii="Times New Roman" w:hAnsi="Times New Roman"/>
        </w:rPr>
        <w:t xml:space="preserve">[an officer of an executive government] </w:t>
      </w:r>
      <w:r w:rsidR="00463337" w:rsidRPr="007225C9">
        <w:rPr>
          <w:rFonts w:ascii="Times New Roman" w:hAnsi="Times New Roman"/>
        </w:rPr>
        <w:t>must be prepared to justify before the ordinary courts the legality of any act which interferes with the person or property of the subject".</w:t>
      </w:r>
      <w:r w:rsidR="00463337" w:rsidRPr="007225C9">
        <w:rPr>
          <w:rStyle w:val="FootnoteReference"/>
          <w:rFonts w:ascii="Times New Roman" w:hAnsi="Times New Roman"/>
          <w:sz w:val="24"/>
        </w:rPr>
        <w:footnoteReference w:id="33"/>
      </w:r>
      <w:r w:rsidR="00F66CB4" w:rsidRPr="007225C9">
        <w:rPr>
          <w:rFonts w:ascii="Times New Roman" w:hAnsi="Times New Roman"/>
        </w:rPr>
        <w:t xml:space="preserve"> </w:t>
      </w:r>
      <w:r w:rsidR="0023382D" w:rsidRPr="007225C9">
        <w:rPr>
          <w:rFonts w:ascii="Times New Roman" w:hAnsi="Times New Roman"/>
        </w:rPr>
        <w:t xml:space="preserve">The constitutional responsibility </w:t>
      </w:r>
      <w:r w:rsidR="00DA5737" w:rsidRPr="007225C9">
        <w:rPr>
          <w:rFonts w:ascii="Times New Roman" w:hAnsi="Times New Roman"/>
        </w:rPr>
        <w:t xml:space="preserve">of an officer of </w:t>
      </w:r>
      <w:r w:rsidR="00046FA5" w:rsidRPr="007225C9">
        <w:rPr>
          <w:rFonts w:ascii="Times New Roman" w:hAnsi="Times New Roman"/>
        </w:rPr>
        <w:t>an</w:t>
      </w:r>
      <w:r w:rsidR="00DA5737" w:rsidRPr="007225C9">
        <w:rPr>
          <w:rFonts w:ascii="Times New Roman" w:hAnsi="Times New Roman"/>
        </w:rPr>
        <w:t xml:space="preserve"> executive government to ascertain and comply with the law that limits the power of the officer</w:t>
      </w:r>
      <w:r w:rsidR="0023382D" w:rsidRPr="007225C9">
        <w:rPr>
          <w:rFonts w:ascii="Times New Roman" w:hAnsi="Times New Roman"/>
        </w:rPr>
        <w:t xml:space="preserve"> </w:t>
      </w:r>
      <w:r w:rsidR="00046FA5" w:rsidRPr="007225C9">
        <w:rPr>
          <w:rFonts w:ascii="Times New Roman" w:hAnsi="Times New Roman"/>
        </w:rPr>
        <w:t xml:space="preserve">is an expression of that principle. </w:t>
      </w:r>
    </w:p>
    <w:p w14:paraId="0FB9FB4B" w14:textId="752B48B5" w:rsidR="002A22F6" w:rsidRPr="007225C9" w:rsidRDefault="002A22F6" w:rsidP="007225C9">
      <w:pPr>
        <w:pStyle w:val="FixListStyle"/>
        <w:spacing w:after="260" w:line="280" w:lineRule="exact"/>
        <w:ind w:right="0"/>
        <w:jc w:val="both"/>
        <w:rPr>
          <w:rFonts w:ascii="Times New Roman" w:hAnsi="Times New Roman"/>
        </w:rPr>
      </w:pPr>
      <w:r w:rsidRPr="007225C9">
        <w:rPr>
          <w:rFonts w:ascii="Times New Roman" w:hAnsi="Times New Roman"/>
        </w:rPr>
        <w:lastRenderedPageBreak/>
        <w:tab/>
        <w:t xml:space="preserve">To recognise the propounded common law defence would be to transform the </w:t>
      </w:r>
      <w:r w:rsidR="001D62BD" w:rsidRPr="007225C9">
        <w:rPr>
          <w:rFonts w:ascii="Times New Roman" w:hAnsi="Times New Roman"/>
        </w:rPr>
        <w:t xml:space="preserve">constitutional </w:t>
      </w:r>
      <w:r w:rsidRPr="007225C9">
        <w:rPr>
          <w:rFonts w:ascii="Times New Roman" w:hAnsi="Times New Roman"/>
        </w:rPr>
        <w:t>responsibility of an officer of the executive government of the Commonwealth to ascertain and comply with the law that limits the power of the officer into a common law immunity from a common law consequence of action</w:t>
      </w:r>
      <w:r w:rsidR="00B42900" w:rsidRPr="007225C9">
        <w:rPr>
          <w:rFonts w:ascii="Times New Roman" w:hAnsi="Times New Roman"/>
        </w:rPr>
        <w:t xml:space="preserve"> </w:t>
      </w:r>
      <w:r w:rsidR="006A5014" w:rsidRPr="007225C9">
        <w:rPr>
          <w:rFonts w:ascii="Times New Roman" w:hAnsi="Times New Roman"/>
        </w:rPr>
        <w:t xml:space="preserve">which </w:t>
      </w:r>
      <w:r w:rsidR="00B42900" w:rsidRPr="007225C9">
        <w:rPr>
          <w:rFonts w:ascii="Times New Roman" w:hAnsi="Times New Roman"/>
        </w:rPr>
        <w:t>interfer</w:t>
      </w:r>
      <w:r w:rsidR="006A5014" w:rsidRPr="007225C9">
        <w:rPr>
          <w:rFonts w:ascii="Times New Roman" w:hAnsi="Times New Roman"/>
        </w:rPr>
        <w:t>es</w:t>
      </w:r>
      <w:r w:rsidR="00B42900" w:rsidRPr="007225C9">
        <w:rPr>
          <w:rFonts w:ascii="Times New Roman" w:hAnsi="Times New Roman"/>
        </w:rPr>
        <w:t xml:space="preserve"> with the person or property</w:t>
      </w:r>
      <w:r w:rsidRPr="007225C9">
        <w:rPr>
          <w:rFonts w:ascii="Times New Roman" w:hAnsi="Times New Roman"/>
        </w:rPr>
        <w:t xml:space="preserve"> </w:t>
      </w:r>
      <w:r w:rsidR="00B42900" w:rsidRPr="007225C9">
        <w:rPr>
          <w:rFonts w:ascii="Times New Roman" w:hAnsi="Times New Roman"/>
        </w:rPr>
        <w:t xml:space="preserve">of another </w:t>
      </w:r>
      <w:r w:rsidR="006A5014" w:rsidRPr="007225C9">
        <w:rPr>
          <w:rFonts w:ascii="Times New Roman" w:hAnsi="Times New Roman"/>
        </w:rPr>
        <w:t xml:space="preserve">and which is </w:t>
      </w:r>
      <w:r w:rsidRPr="007225C9">
        <w:rPr>
          <w:rFonts w:ascii="Times New Roman" w:hAnsi="Times New Roman"/>
        </w:rPr>
        <w:t>subsequently judicially determined to have transgressed such a legal limit and therefore to have exceeded that power. To do so would amount to an inversion, if not a perversion, of constitutional principle.</w:t>
      </w:r>
    </w:p>
    <w:p w14:paraId="17A37847" w14:textId="4F0D1CA5" w:rsidR="002C5BA8" w:rsidRPr="007225C9" w:rsidRDefault="00D5297C" w:rsidP="007225C9">
      <w:pPr>
        <w:pStyle w:val="FixListStyle"/>
        <w:spacing w:after="260" w:line="280" w:lineRule="exact"/>
        <w:ind w:right="0"/>
        <w:jc w:val="both"/>
        <w:rPr>
          <w:rFonts w:ascii="Times New Roman" w:hAnsi="Times New Roman"/>
        </w:rPr>
      </w:pPr>
      <w:r w:rsidRPr="007225C9">
        <w:rPr>
          <w:rFonts w:ascii="Times New Roman" w:hAnsi="Times New Roman"/>
        </w:rPr>
        <w:tab/>
      </w:r>
      <w:r w:rsidR="00E36FC0" w:rsidRPr="007225C9">
        <w:rPr>
          <w:rFonts w:ascii="Times New Roman" w:hAnsi="Times New Roman"/>
        </w:rPr>
        <w:t>T</w:t>
      </w:r>
      <w:r w:rsidR="00F21EB1" w:rsidRPr="007225C9">
        <w:rPr>
          <w:rFonts w:ascii="Times New Roman" w:hAnsi="Times New Roman"/>
        </w:rPr>
        <w:t>he</w:t>
      </w:r>
      <w:r w:rsidR="007554E7" w:rsidRPr="007225C9">
        <w:rPr>
          <w:rFonts w:ascii="Times New Roman" w:hAnsi="Times New Roman"/>
        </w:rPr>
        <w:t xml:space="preserve"> </w:t>
      </w:r>
      <w:r w:rsidR="002A22F6" w:rsidRPr="007225C9">
        <w:rPr>
          <w:rFonts w:ascii="Times New Roman" w:hAnsi="Times New Roman"/>
        </w:rPr>
        <w:t xml:space="preserve">more specific </w:t>
      </w:r>
      <w:r w:rsidRPr="007225C9">
        <w:rPr>
          <w:rFonts w:ascii="Times New Roman" w:hAnsi="Times New Roman"/>
        </w:rPr>
        <w:t xml:space="preserve">notion that justification </w:t>
      </w:r>
      <w:r w:rsidR="00402BF7" w:rsidRPr="007225C9">
        <w:rPr>
          <w:rFonts w:ascii="Times New Roman" w:hAnsi="Times New Roman"/>
        </w:rPr>
        <w:t xml:space="preserve">for </w:t>
      </w:r>
      <w:r w:rsidR="002C4BB3" w:rsidRPr="007225C9">
        <w:rPr>
          <w:rFonts w:ascii="Times New Roman" w:hAnsi="Times New Roman"/>
        </w:rPr>
        <w:t xml:space="preserve">or excuse of </w:t>
      </w:r>
      <w:r w:rsidR="00402BF7" w:rsidRPr="007225C9">
        <w:rPr>
          <w:rFonts w:ascii="Times New Roman" w:hAnsi="Times New Roman"/>
        </w:rPr>
        <w:t xml:space="preserve">an otherwise tortious act </w:t>
      </w:r>
      <w:r w:rsidR="00BD0350" w:rsidRPr="007225C9">
        <w:rPr>
          <w:rFonts w:ascii="Times New Roman" w:hAnsi="Times New Roman"/>
        </w:rPr>
        <w:t xml:space="preserve">on the part of an officer of the </w:t>
      </w:r>
      <w:r w:rsidR="006C39D8" w:rsidRPr="007225C9">
        <w:rPr>
          <w:rFonts w:ascii="Times New Roman" w:hAnsi="Times New Roman"/>
        </w:rPr>
        <w:t xml:space="preserve">executive government of the </w:t>
      </w:r>
      <w:r w:rsidR="00BD0350" w:rsidRPr="007225C9">
        <w:rPr>
          <w:rFonts w:ascii="Times New Roman" w:hAnsi="Times New Roman"/>
        </w:rPr>
        <w:t xml:space="preserve">Commonwealth </w:t>
      </w:r>
      <w:r w:rsidR="006570FA" w:rsidRPr="007225C9">
        <w:rPr>
          <w:rFonts w:ascii="Times New Roman" w:hAnsi="Times New Roman"/>
        </w:rPr>
        <w:t>can</w:t>
      </w:r>
      <w:r w:rsidR="007E08B4" w:rsidRPr="007225C9">
        <w:rPr>
          <w:rFonts w:ascii="Times New Roman" w:hAnsi="Times New Roman"/>
        </w:rPr>
        <w:t xml:space="preserve"> be</w:t>
      </w:r>
      <w:r w:rsidR="000B34C2" w:rsidRPr="007225C9">
        <w:rPr>
          <w:rFonts w:ascii="Times New Roman" w:hAnsi="Times New Roman"/>
        </w:rPr>
        <w:t xml:space="preserve"> derived </w:t>
      </w:r>
      <w:r w:rsidR="001659A3" w:rsidRPr="007225C9">
        <w:rPr>
          <w:rFonts w:ascii="Times New Roman" w:hAnsi="Times New Roman"/>
        </w:rPr>
        <w:t xml:space="preserve">as an exercise in analogical common law reasoning </w:t>
      </w:r>
      <w:r w:rsidR="000B34C2" w:rsidRPr="007225C9">
        <w:rPr>
          <w:rFonts w:ascii="Times New Roman" w:hAnsi="Times New Roman"/>
        </w:rPr>
        <w:t>from</w:t>
      </w:r>
      <w:r w:rsidR="007E08B4" w:rsidRPr="007225C9">
        <w:rPr>
          <w:rFonts w:ascii="Times New Roman" w:hAnsi="Times New Roman"/>
        </w:rPr>
        <w:t xml:space="preserve"> </w:t>
      </w:r>
      <w:r w:rsidRPr="007225C9">
        <w:rPr>
          <w:rFonts w:ascii="Times New Roman" w:hAnsi="Times New Roman"/>
        </w:rPr>
        <w:t xml:space="preserve">the requirement of s 13(4) of the </w:t>
      </w:r>
      <w:r w:rsidRPr="007225C9">
        <w:rPr>
          <w:rFonts w:ascii="Times New Roman" w:hAnsi="Times New Roman"/>
          <w:i/>
          <w:iCs/>
        </w:rPr>
        <w:t xml:space="preserve">Public Service Act </w:t>
      </w:r>
      <w:r w:rsidRPr="007225C9">
        <w:rPr>
          <w:rFonts w:ascii="Times New Roman" w:hAnsi="Times New Roman"/>
        </w:rPr>
        <w:t xml:space="preserve">that </w:t>
      </w:r>
      <w:r w:rsidR="00285B94" w:rsidRPr="007225C9">
        <w:rPr>
          <w:rFonts w:ascii="Times New Roman" w:hAnsi="Times New Roman"/>
        </w:rPr>
        <w:t>a Commonwealth</w:t>
      </w:r>
      <w:r w:rsidRPr="007225C9">
        <w:rPr>
          <w:rFonts w:ascii="Times New Roman" w:hAnsi="Times New Roman"/>
        </w:rPr>
        <w:t xml:space="preserve"> employee "</w:t>
      </w:r>
      <w:r w:rsidR="00101265" w:rsidRPr="007225C9">
        <w:rPr>
          <w:rFonts w:ascii="Times New Roman" w:hAnsi="Times New Roman"/>
        </w:rPr>
        <w:t xml:space="preserve">must </w:t>
      </w:r>
      <w:r w:rsidRPr="007225C9">
        <w:rPr>
          <w:rFonts w:ascii="Times New Roman" w:hAnsi="Times New Roman"/>
        </w:rPr>
        <w:t>comply with all applicable Australian laws"</w:t>
      </w:r>
      <w:r w:rsidR="00CE36EC" w:rsidRPr="007225C9">
        <w:rPr>
          <w:rFonts w:ascii="Times New Roman" w:hAnsi="Times New Roman"/>
        </w:rPr>
        <w:t xml:space="preserve"> </w:t>
      </w:r>
      <w:r w:rsidR="005368BA" w:rsidRPr="007225C9">
        <w:rPr>
          <w:rFonts w:ascii="Times New Roman" w:hAnsi="Times New Roman"/>
        </w:rPr>
        <w:t xml:space="preserve">is contradicted by the plain meaning </w:t>
      </w:r>
      <w:r w:rsidR="00F3747B" w:rsidRPr="007225C9">
        <w:rPr>
          <w:rFonts w:ascii="Times New Roman" w:hAnsi="Times New Roman"/>
        </w:rPr>
        <w:t xml:space="preserve">of that requirement and </w:t>
      </w:r>
      <w:r w:rsidR="00CE36EC" w:rsidRPr="007225C9">
        <w:rPr>
          <w:rFonts w:ascii="Times New Roman" w:hAnsi="Times New Roman"/>
        </w:rPr>
        <w:t xml:space="preserve">is inconsistent with the </w:t>
      </w:r>
      <w:r w:rsidR="003B37E4" w:rsidRPr="007225C9">
        <w:rPr>
          <w:rFonts w:ascii="Times New Roman" w:hAnsi="Times New Roman"/>
        </w:rPr>
        <w:t>common law principle that "[s]</w:t>
      </w:r>
      <w:proofErr w:type="spellStart"/>
      <w:r w:rsidR="003B37E4" w:rsidRPr="007225C9">
        <w:rPr>
          <w:rFonts w:ascii="Times New Roman" w:hAnsi="Times New Roman"/>
        </w:rPr>
        <w:t>tatutory</w:t>
      </w:r>
      <w:proofErr w:type="spellEnd"/>
      <w:r w:rsidR="003B37E4" w:rsidRPr="007225C9">
        <w:rPr>
          <w:rFonts w:ascii="Times New Roman" w:hAnsi="Times New Roman"/>
        </w:rPr>
        <w:t xml:space="preserve"> authority to engage in what otherwise would be tortious conduct must be clearly expressed in unmistakable and unambiguous language"</w:t>
      </w:r>
      <w:r w:rsidR="00BA1B88" w:rsidRPr="007225C9">
        <w:rPr>
          <w:rFonts w:ascii="Times New Roman" w:hAnsi="Times New Roman"/>
        </w:rPr>
        <w:t>.</w:t>
      </w:r>
      <w:r w:rsidR="0077756E" w:rsidRPr="007225C9">
        <w:rPr>
          <w:rStyle w:val="FootnoteReference"/>
          <w:rFonts w:ascii="Times New Roman" w:hAnsi="Times New Roman"/>
          <w:sz w:val="24"/>
        </w:rPr>
        <w:footnoteReference w:id="34"/>
      </w:r>
    </w:p>
    <w:p w14:paraId="777E0E5A" w14:textId="398F4215" w:rsidR="004F0CFD" w:rsidRPr="007225C9" w:rsidRDefault="005B60CA" w:rsidP="007225C9">
      <w:pPr>
        <w:pStyle w:val="FixListStyle"/>
        <w:spacing w:after="260" w:line="280" w:lineRule="exact"/>
        <w:ind w:right="0"/>
        <w:jc w:val="both"/>
        <w:rPr>
          <w:rFonts w:ascii="Times New Roman" w:hAnsi="Times New Roman"/>
        </w:rPr>
      </w:pPr>
      <w:r w:rsidRPr="007225C9">
        <w:rPr>
          <w:rFonts w:ascii="Times New Roman" w:hAnsi="Times New Roman"/>
        </w:rPr>
        <w:tab/>
      </w:r>
      <w:r w:rsidR="00951388" w:rsidRPr="007225C9">
        <w:rPr>
          <w:rFonts w:ascii="Times New Roman" w:hAnsi="Times New Roman"/>
        </w:rPr>
        <w:t>M</w:t>
      </w:r>
      <w:r w:rsidR="001451A3" w:rsidRPr="007225C9">
        <w:rPr>
          <w:rFonts w:ascii="Times New Roman" w:hAnsi="Times New Roman"/>
        </w:rPr>
        <w:t>oreover</w:t>
      </w:r>
      <w:r w:rsidR="00CE0F2D" w:rsidRPr="007225C9">
        <w:rPr>
          <w:rFonts w:ascii="Times New Roman" w:hAnsi="Times New Roman"/>
        </w:rPr>
        <w:t>,</w:t>
      </w:r>
      <w:r w:rsidR="00951388" w:rsidRPr="007225C9">
        <w:rPr>
          <w:rFonts w:ascii="Times New Roman" w:hAnsi="Times New Roman"/>
        </w:rPr>
        <w:t xml:space="preserve"> the notion </w:t>
      </w:r>
      <w:r w:rsidR="00D0457C" w:rsidRPr="007225C9">
        <w:rPr>
          <w:rFonts w:ascii="Times New Roman" w:hAnsi="Times New Roman"/>
        </w:rPr>
        <w:t xml:space="preserve">that </w:t>
      </w:r>
      <w:r w:rsidRPr="007225C9">
        <w:rPr>
          <w:rFonts w:ascii="Times New Roman" w:hAnsi="Times New Roman"/>
        </w:rPr>
        <w:t>prote</w:t>
      </w:r>
      <w:r w:rsidR="00842134" w:rsidRPr="007225C9">
        <w:rPr>
          <w:rFonts w:ascii="Times New Roman" w:hAnsi="Times New Roman"/>
        </w:rPr>
        <w:t>ct</w:t>
      </w:r>
      <w:r w:rsidR="00736AE7" w:rsidRPr="007225C9">
        <w:rPr>
          <w:rFonts w:ascii="Times New Roman" w:hAnsi="Times New Roman"/>
        </w:rPr>
        <w:t xml:space="preserve">ing </w:t>
      </w:r>
      <w:r w:rsidRPr="007225C9">
        <w:rPr>
          <w:rFonts w:ascii="Times New Roman" w:hAnsi="Times New Roman"/>
        </w:rPr>
        <w:t xml:space="preserve">an </w:t>
      </w:r>
      <w:r w:rsidR="00583803" w:rsidRPr="007225C9">
        <w:rPr>
          <w:rFonts w:ascii="Times New Roman" w:hAnsi="Times New Roman"/>
        </w:rPr>
        <w:t xml:space="preserve">executive </w:t>
      </w:r>
      <w:r w:rsidRPr="007225C9">
        <w:rPr>
          <w:rFonts w:ascii="Times New Roman" w:hAnsi="Times New Roman"/>
        </w:rPr>
        <w:t xml:space="preserve">officer </w:t>
      </w:r>
      <w:r w:rsidR="00836907" w:rsidRPr="007225C9">
        <w:rPr>
          <w:rFonts w:ascii="Times New Roman" w:hAnsi="Times New Roman"/>
        </w:rPr>
        <w:t xml:space="preserve">of the Commonwealth </w:t>
      </w:r>
      <w:r w:rsidRPr="007225C9">
        <w:rPr>
          <w:rFonts w:ascii="Times New Roman" w:hAnsi="Times New Roman"/>
        </w:rPr>
        <w:t xml:space="preserve">who has acted in the purported performance of a statutory duty to detain in conformity with the law as declared in a prior decision of this Court </w:t>
      </w:r>
      <w:r w:rsidR="00FA39C0" w:rsidRPr="007225C9">
        <w:rPr>
          <w:rFonts w:ascii="Times New Roman" w:hAnsi="Times New Roman"/>
        </w:rPr>
        <w:t>from liability fo</w:t>
      </w:r>
      <w:r w:rsidR="007B69F6" w:rsidRPr="007225C9">
        <w:rPr>
          <w:rFonts w:ascii="Times New Roman" w:hAnsi="Times New Roman"/>
        </w:rPr>
        <w:t>r a</w:t>
      </w:r>
      <w:r w:rsidR="00FA39C0" w:rsidRPr="007225C9">
        <w:rPr>
          <w:rFonts w:ascii="Times New Roman" w:hAnsi="Times New Roman"/>
        </w:rPr>
        <w:t xml:space="preserve"> tort</w:t>
      </w:r>
      <w:r w:rsidR="007B69F6" w:rsidRPr="007225C9">
        <w:rPr>
          <w:rFonts w:ascii="Times New Roman" w:hAnsi="Times New Roman"/>
        </w:rPr>
        <w:t>ious act</w:t>
      </w:r>
      <w:r w:rsidR="00FA39C0" w:rsidRPr="007225C9">
        <w:rPr>
          <w:rFonts w:ascii="Times New Roman" w:hAnsi="Times New Roman"/>
        </w:rPr>
        <w:t xml:space="preserve"> </w:t>
      </w:r>
      <w:r w:rsidRPr="007225C9">
        <w:rPr>
          <w:rFonts w:ascii="Times New Roman" w:hAnsi="Times New Roman"/>
        </w:rPr>
        <w:t xml:space="preserve">would </w:t>
      </w:r>
      <w:r w:rsidR="006D53C0" w:rsidRPr="007225C9">
        <w:rPr>
          <w:rFonts w:ascii="Times New Roman" w:hAnsi="Times New Roman"/>
        </w:rPr>
        <w:t xml:space="preserve">enhance </w:t>
      </w:r>
      <w:r w:rsidR="001564EB" w:rsidRPr="007225C9">
        <w:rPr>
          <w:rFonts w:ascii="Times New Roman" w:hAnsi="Times New Roman"/>
        </w:rPr>
        <w:t>the authority of</w:t>
      </w:r>
      <w:r w:rsidR="00331A31" w:rsidRPr="007225C9">
        <w:rPr>
          <w:rFonts w:ascii="Times New Roman" w:hAnsi="Times New Roman"/>
        </w:rPr>
        <w:t xml:space="preserve"> </w:t>
      </w:r>
      <w:r w:rsidR="002234AF" w:rsidRPr="007225C9">
        <w:rPr>
          <w:rFonts w:ascii="Times New Roman" w:hAnsi="Times New Roman"/>
        </w:rPr>
        <w:t xml:space="preserve">this Court </w:t>
      </w:r>
      <w:r w:rsidR="00D063C1" w:rsidRPr="007225C9">
        <w:rPr>
          <w:rFonts w:ascii="Times New Roman" w:hAnsi="Times New Roman"/>
        </w:rPr>
        <w:t xml:space="preserve">is founded on a misconception </w:t>
      </w:r>
      <w:r w:rsidR="004B69BC" w:rsidRPr="007225C9">
        <w:rPr>
          <w:rFonts w:ascii="Times New Roman" w:hAnsi="Times New Roman"/>
        </w:rPr>
        <w:t xml:space="preserve">of the nature of </w:t>
      </w:r>
      <w:r w:rsidR="001F66BD" w:rsidRPr="007225C9">
        <w:rPr>
          <w:rFonts w:ascii="Times New Roman" w:hAnsi="Times New Roman"/>
        </w:rPr>
        <w:t xml:space="preserve">judicial </w:t>
      </w:r>
      <w:r w:rsidR="004B69BC" w:rsidRPr="007225C9">
        <w:rPr>
          <w:rFonts w:ascii="Times New Roman" w:hAnsi="Times New Roman"/>
        </w:rPr>
        <w:t>power</w:t>
      </w:r>
      <w:r w:rsidR="004F0CFD" w:rsidRPr="007225C9">
        <w:rPr>
          <w:rFonts w:ascii="Times New Roman" w:hAnsi="Times New Roman"/>
        </w:rPr>
        <w:t>, a</w:t>
      </w:r>
      <w:r w:rsidR="0069619C" w:rsidRPr="007225C9">
        <w:rPr>
          <w:rFonts w:ascii="Times New Roman" w:hAnsi="Times New Roman"/>
        </w:rPr>
        <w:t xml:space="preserve"> </w:t>
      </w:r>
      <w:r w:rsidR="00C95C58" w:rsidRPr="007225C9">
        <w:rPr>
          <w:rFonts w:ascii="Times New Roman" w:hAnsi="Times New Roman"/>
        </w:rPr>
        <w:t xml:space="preserve">"hallmark" </w:t>
      </w:r>
      <w:r w:rsidR="004F0CFD" w:rsidRPr="007225C9">
        <w:rPr>
          <w:rFonts w:ascii="Times New Roman" w:hAnsi="Times New Roman"/>
        </w:rPr>
        <w:t>of which</w:t>
      </w:r>
      <w:r w:rsidR="00EC2FFB" w:rsidRPr="007225C9">
        <w:rPr>
          <w:rFonts w:ascii="Times New Roman" w:hAnsi="Times New Roman"/>
        </w:rPr>
        <w:t xml:space="preserve"> </w:t>
      </w:r>
      <w:r w:rsidR="00631C35" w:rsidRPr="007225C9">
        <w:rPr>
          <w:rFonts w:ascii="Times New Roman" w:hAnsi="Times New Roman"/>
        </w:rPr>
        <w:t xml:space="preserve">is </w:t>
      </w:r>
      <w:r w:rsidR="00C14D1C" w:rsidRPr="007225C9">
        <w:rPr>
          <w:rFonts w:ascii="Times New Roman" w:hAnsi="Times New Roman"/>
        </w:rPr>
        <w:t>"</w:t>
      </w:r>
      <w:r w:rsidR="00274105" w:rsidRPr="007225C9">
        <w:rPr>
          <w:rFonts w:ascii="Times New Roman" w:hAnsi="Times New Roman"/>
        </w:rPr>
        <w:t>the making of binding declarations of rights and obligations arising from the operation of the law upon past events or conduct</w:t>
      </w:r>
      <w:r w:rsidR="00C95C58" w:rsidRPr="007225C9">
        <w:rPr>
          <w:rFonts w:ascii="Times New Roman" w:hAnsi="Times New Roman"/>
        </w:rPr>
        <w:t>".</w:t>
      </w:r>
      <w:r w:rsidR="00F30545" w:rsidRPr="007225C9">
        <w:rPr>
          <w:rStyle w:val="FootnoteReference"/>
          <w:rFonts w:ascii="Times New Roman" w:hAnsi="Times New Roman"/>
          <w:sz w:val="24"/>
        </w:rPr>
        <w:footnoteReference w:id="35"/>
      </w:r>
      <w:r w:rsidR="000E2D0F" w:rsidRPr="007225C9">
        <w:rPr>
          <w:rFonts w:ascii="Times New Roman" w:hAnsi="Times New Roman"/>
        </w:rPr>
        <w:t xml:space="preserve"> </w:t>
      </w:r>
    </w:p>
    <w:p w14:paraId="61527469" w14:textId="011F670E" w:rsidR="005B60CA" w:rsidRPr="007225C9" w:rsidRDefault="004F0CFD" w:rsidP="007225C9">
      <w:pPr>
        <w:pStyle w:val="FixListStyle"/>
        <w:spacing w:after="260" w:line="280" w:lineRule="exact"/>
        <w:ind w:right="0"/>
        <w:jc w:val="both"/>
        <w:rPr>
          <w:rFonts w:ascii="Times New Roman" w:hAnsi="Times New Roman"/>
        </w:rPr>
      </w:pPr>
      <w:r w:rsidRPr="007225C9">
        <w:rPr>
          <w:rFonts w:ascii="Times New Roman" w:hAnsi="Times New Roman"/>
        </w:rPr>
        <w:tab/>
      </w:r>
      <w:r w:rsidR="00347466" w:rsidRPr="007225C9">
        <w:rPr>
          <w:rFonts w:ascii="Times New Roman" w:hAnsi="Times New Roman"/>
        </w:rPr>
        <w:t>The critical point is that</w:t>
      </w:r>
      <w:r w:rsidR="001E3D5B" w:rsidRPr="007225C9">
        <w:rPr>
          <w:rFonts w:ascii="Times New Roman" w:hAnsi="Times New Roman"/>
        </w:rPr>
        <w:t xml:space="preserve"> </w:t>
      </w:r>
      <w:r w:rsidRPr="007225C9">
        <w:rPr>
          <w:rFonts w:ascii="Times New Roman" w:hAnsi="Times New Roman"/>
        </w:rPr>
        <w:t xml:space="preserve">this Court does not declare </w:t>
      </w:r>
      <w:r w:rsidR="003B5B3C" w:rsidRPr="007225C9">
        <w:rPr>
          <w:rFonts w:ascii="Times New Roman" w:hAnsi="Times New Roman"/>
        </w:rPr>
        <w:t xml:space="preserve">the law in the abstract </w:t>
      </w:r>
      <w:r w:rsidR="007B093E" w:rsidRPr="007225C9">
        <w:rPr>
          <w:rFonts w:ascii="Times New Roman" w:hAnsi="Times New Roman"/>
        </w:rPr>
        <w:t xml:space="preserve">for the future </w:t>
      </w:r>
      <w:r w:rsidR="003B5B3C" w:rsidRPr="007225C9">
        <w:rPr>
          <w:rFonts w:ascii="Times New Roman" w:hAnsi="Times New Roman"/>
        </w:rPr>
        <w:t xml:space="preserve">but only </w:t>
      </w:r>
      <w:r w:rsidR="00244F72" w:rsidRPr="007225C9">
        <w:rPr>
          <w:rFonts w:ascii="Times New Roman" w:hAnsi="Times New Roman"/>
        </w:rPr>
        <w:t xml:space="preserve">ever </w:t>
      </w:r>
      <w:r w:rsidR="000D5B58" w:rsidRPr="007225C9">
        <w:rPr>
          <w:rFonts w:ascii="Times New Roman" w:hAnsi="Times New Roman"/>
        </w:rPr>
        <w:t>in the exercise of</w:t>
      </w:r>
      <w:r w:rsidR="000E17D2" w:rsidRPr="007225C9">
        <w:rPr>
          <w:rFonts w:ascii="Times New Roman" w:hAnsi="Times New Roman"/>
        </w:rPr>
        <w:t xml:space="preserve"> judicial power </w:t>
      </w:r>
      <w:r w:rsidR="003B5B3C" w:rsidRPr="007225C9">
        <w:rPr>
          <w:rFonts w:ascii="Times New Roman" w:hAnsi="Times New Roman"/>
        </w:rPr>
        <w:t xml:space="preserve">as an incident </w:t>
      </w:r>
      <w:r w:rsidR="00DD7B8C" w:rsidRPr="007225C9">
        <w:rPr>
          <w:rFonts w:ascii="Times New Roman" w:hAnsi="Times New Roman"/>
        </w:rPr>
        <w:t xml:space="preserve">of </w:t>
      </w:r>
      <w:r w:rsidR="00833CB9" w:rsidRPr="007225C9">
        <w:rPr>
          <w:rFonts w:ascii="Times New Roman" w:hAnsi="Times New Roman"/>
        </w:rPr>
        <w:t>"the determination of the dispute in hand".</w:t>
      </w:r>
      <w:r w:rsidR="0037224B" w:rsidRPr="007225C9">
        <w:rPr>
          <w:rStyle w:val="FootnoteReference"/>
          <w:rFonts w:ascii="Times New Roman" w:hAnsi="Times New Roman"/>
          <w:sz w:val="24"/>
        </w:rPr>
        <w:footnoteReference w:id="36"/>
      </w:r>
      <w:r w:rsidR="00833CB9" w:rsidRPr="007225C9">
        <w:rPr>
          <w:rFonts w:ascii="Times New Roman" w:hAnsi="Times New Roman"/>
        </w:rPr>
        <w:t xml:space="preserve"> </w:t>
      </w:r>
      <w:r w:rsidR="0058090F" w:rsidRPr="007225C9">
        <w:rPr>
          <w:rFonts w:ascii="Times New Roman" w:hAnsi="Times New Roman"/>
        </w:rPr>
        <w:t>T</w:t>
      </w:r>
      <w:r w:rsidR="005B09D0" w:rsidRPr="007225C9">
        <w:rPr>
          <w:rFonts w:ascii="Times New Roman" w:hAnsi="Times New Roman"/>
        </w:rPr>
        <w:t>he law applicable to the determination of disputed rights or obligations will only ever be fully and finally revealed in retrospect</w:t>
      </w:r>
      <w:r w:rsidR="007B093E" w:rsidRPr="007225C9">
        <w:rPr>
          <w:rFonts w:ascii="Times New Roman" w:hAnsi="Times New Roman"/>
        </w:rPr>
        <w:t>.</w:t>
      </w:r>
    </w:p>
    <w:p w14:paraId="0FF50426" w14:textId="1297CFBB" w:rsidR="00FB5B13" w:rsidRPr="007225C9" w:rsidRDefault="008F0213" w:rsidP="007225C9">
      <w:pPr>
        <w:pStyle w:val="FixListStyle"/>
        <w:spacing w:after="260" w:line="280" w:lineRule="exact"/>
        <w:ind w:right="0"/>
        <w:jc w:val="both"/>
        <w:rPr>
          <w:rFonts w:ascii="Times New Roman" w:hAnsi="Times New Roman"/>
        </w:rPr>
      </w:pPr>
      <w:r w:rsidRPr="007225C9">
        <w:rPr>
          <w:rFonts w:ascii="Times New Roman" w:hAnsi="Times New Roman"/>
        </w:rPr>
        <w:lastRenderedPageBreak/>
        <w:tab/>
        <w:t xml:space="preserve">The point can be illustrated by </w:t>
      </w:r>
      <w:r w:rsidR="00BC1113" w:rsidRPr="007225C9">
        <w:rPr>
          <w:rFonts w:ascii="Times New Roman" w:hAnsi="Times New Roman"/>
        </w:rPr>
        <w:t>reference to</w:t>
      </w:r>
      <w:r w:rsidR="002F4871" w:rsidRPr="007225C9">
        <w:rPr>
          <w:rFonts w:ascii="Times New Roman" w:hAnsi="Times New Roman"/>
        </w:rPr>
        <w:t xml:space="preserve"> the scenario</w:t>
      </w:r>
      <w:r w:rsidR="00167BE1" w:rsidRPr="007225C9">
        <w:rPr>
          <w:rFonts w:ascii="Times New Roman" w:hAnsi="Times New Roman"/>
        </w:rPr>
        <w:t xml:space="preserve"> </w:t>
      </w:r>
      <w:r w:rsidR="00C82DF7" w:rsidRPr="007225C9">
        <w:rPr>
          <w:rFonts w:ascii="Times New Roman" w:hAnsi="Times New Roman"/>
        </w:rPr>
        <w:t xml:space="preserve">postulated by the Commonwealth </w:t>
      </w:r>
      <w:r w:rsidR="00167BE1" w:rsidRPr="007225C9">
        <w:rPr>
          <w:rFonts w:ascii="Times New Roman" w:hAnsi="Times New Roman"/>
        </w:rPr>
        <w:t xml:space="preserve">of an officer </w:t>
      </w:r>
      <w:r w:rsidR="00BD57C2" w:rsidRPr="007225C9">
        <w:rPr>
          <w:rFonts w:ascii="Times New Roman" w:hAnsi="Times New Roman"/>
        </w:rPr>
        <w:t>who chose</w:t>
      </w:r>
      <w:r w:rsidR="00167BE1" w:rsidRPr="007225C9">
        <w:rPr>
          <w:rFonts w:ascii="Times New Roman" w:hAnsi="Times New Roman"/>
        </w:rPr>
        <w:t xml:space="preserve"> </w:t>
      </w:r>
      <w:r w:rsidR="007928C6" w:rsidRPr="007225C9">
        <w:rPr>
          <w:rFonts w:ascii="Times New Roman" w:hAnsi="Times New Roman"/>
        </w:rPr>
        <w:t xml:space="preserve">in the period after </w:t>
      </w:r>
      <w:r w:rsidR="007928C6" w:rsidRPr="007225C9">
        <w:rPr>
          <w:rFonts w:ascii="Times New Roman" w:hAnsi="Times New Roman"/>
          <w:i/>
          <w:iCs/>
        </w:rPr>
        <w:t xml:space="preserve">Al-Kateb </w:t>
      </w:r>
      <w:r w:rsidR="007928C6" w:rsidRPr="007225C9">
        <w:rPr>
          <w:rFonts w:ascii="Times New Roman" w:hAnsi="Times New Roman"/>
        </w:rPr>
        <w:t xml:space="preserve">and before </w:t>
      </w:r>
      <w:r w:rsidR="007928C6" w:rsidRPr="007225C9">
        <w:rPr>
          <w:rFonts w:ascii="Times New Roman" w:hAnsi="Times New Roman"/>
          <w:i/>
          <w:iCs/>
        </w:rPr>
        <w:t>NZYQ</w:t>
      </w:r>
      <w:r w:rsidR="007928C6" w:rsidRPr="007225C9">
        <w:rPr>
          <w:rFonts w:ascii="Times New Roman" w:hAnsi="Times New Roman"/>
        </w:rPr>
        <w:t xml:space="preserve"> </w:t>
      </w:r>
      <w:r w:rsidR="002F4871" w:rsidRPr="007225C9">
        <w:rPr>
          <w:rFonts w:ascii="Times New Roman" w:hAnsi="Times New Roman"/>
        </w:rPr>
        <w:t xml:space="preserve">to release </w:t>
      </w:r>
      <w:r w:rsidR="007874AA" w:rsidRPr="007225C9">
        <w:rPr>
          <w:rFonts w:ascii="Times New Roman" w:hAnsi="Times New Roman"/>
        </w:rPr>
        <w:t xml:space="preserve">from immigration detention </w:t>
      </w:r>
      <w:r w:rsidR="002F4871" w:rsidRPr="007225C9">
        <w:rPr>
          <w:rFonts w:ascii="Times New Roman" w:hAnsi="Times New Roman"/>
        </w:rPr>
        <w:t xml:space="preserve">an unlawful non-citizen </w:t>
      </w:r>
      <w:r w:rsidR="003D515A" w:rsidRPr="007225C9">
        <w:rPr>
          <w:rFonts w:ascii="Times New Roman" w:hAnsi="Times New Roman"/>
        </w:rPr>
        <w:t xml:space="preserve">whose removal from Australia under s 198 </w:t>
      </w:r>
      <w:r w:rsidR="00997C12" w:rsidRPr="007225C9">
        <w:rPr>
          <w:rFonts w:ascii="Times New Roman" w:hAnsi="Times New Roman"/>
        </w:rPr>
        <w:t xml:space="preserve">of the </w:t>
      </w:r>
      <w:r w:rsidR="00997C12" w:rsidRPr="007225C9">
        <w:rPr>
          <w:rFonts w:ascii="Times New Roman" w:hAnsi="Times New Roman"/>
          <w:i/>
          <w:iCs/>
        </w:rPr>
        <w:t xml:space="preserve">Migration Act </w:t>
      </w:r>
      <w:r w:rsidR="003D515A" w:rsidRPr="007225C9">
        <w:rPr>
          <w:rFonts w:ascii="Times New Roman" w:hAnsi="Times New Roman"/>
        </w:rPr>
        <w:t>ha</w:t>
      </w:r>
      <w:r w:rsidR="00997C12" w:rsidRPr="007225C9">
        <w:rPr>
          <w:rFonts w:ascii="Times New Roman" w:hAnsi="Times New Roman"/>
        </w:rPr>
        <w:t>d</w:t>
      </w:r>
      <w:r w:rsidR="003D515A" w:rsidRPr="007225C9">
        <w:rPr>
          <w:rFonts w:ascii="Times New Roman" w:hAnsi="Times New Roman"/>
        </w:rPr>
        <w:t xml:space="preserve"> no real prospect of becoming practicable in the reasonably foreseeable future </w:t>
      </w:r>
      <w:r w:rsidR="007C6DED" w:rsidRPr="007225C9">
        <w:rPr>
          <w:rFonts w:ascii="Times New Roman" w:hAnsi="Times New Roman"/>
        </w:rPr>
        <w:t>then fac</w:t>
      </w:r>
      <w:r w:rsidR="00494F29" w:rsidRPr="007225C9">
        <w:rPr>
          <w:rFonts w:ascii="Times New Roman" w:hAnsi="Times New Roman"/>
        </w:rPr>
        <w:t>ing</w:t>
      </w:r>
      <w:r w:rsidR="00BD57C2" w:rsidRPr="007225C9">
        <w:rPr>
          <w:rFonts w:ascii="Times New Roman" w:hAnsi="Times New Roman"/>
        </w:rPr>
        <w:t xml:space="preserve"> </w:t>
      </w:r>
      <w:r w:rsidR="004C27F5" w:rsidRPr="007225C9">
        <w:rPr>
          <w:rFonts w:ascii="Times New Roman" w:hAnsi="Times New Roman"/>
        </w:rPr>
        <w:t>an</w:t>
      </w:r>
      <w:r w:rsidR="00787061" w:rsidRPr="007225C9">
        <w:rPr>
          <w:rFonts w:ascii="Times New Roman" w:hAnsi="Times New Roman"/>
        </w:rPr>
        <w:t xml:space="preserve"> application for</w:t>
      </w:r>
      <w:r w:rsidR="00167BE1" w:rsidRPr="007225C9">
        <w:rPr>
          <w:rFonts w:ascii="Times New Roman" w:hAnsi="Times New Roman"/>
        </w:rPr>
        <w:t xml:space="preserve"> a writ of mandamus </w:t>
      </w:r>
      <w:r w:rsidR="00787061" w:rsidRPr="007225C9">
        <w:rPr>
          <w:rFonts w:ascii="Times New Roman" w:hAnsi="Times New Roman"/>
        </w:rPr>
        <w:t xml:space="preserve">to compel the officer </w:t>
      </w:r>
      <w:r w:rsidR="00167BE1" w:rsidRPr="007225C9">
        <w:rPr>
          <w:rFonts w:ascii="Times New Roman" w:hAnsi="Times New Roman"/>
        </w:rPr>
        <w:t xml:space="preserve">to re-detain the unlawful non-citizen in compliance with ss 189(1) and 196(1) in accordance with the law as it had been declared in </w:t>
      </w:r>
      <w:r w:rsidR="00167BE1" w:rsidRPr="007225C9">
        <w:rPr>
          <w:rFonts w:ascii="Times New Roman" w:hAnsi="Times New Roman"/>
          <w:i/>
          <w:iCs/>
        </w:rPr>
        <w:t>Al</w:t>
      </w:r>
      <w:r w:rsidR="00BD57C2" w:rsidRPr="007225C9">
        <w:rPr>
          <w:rFonts w:ascii="Times New Roman" w:hAnsi="Times New Roman"/>
          <w:i/>
          <w:iCs/>
        </w:rPr>
        <w:t>-</w:t>
      </w:r>
      <w:r w:rsidR="00167BE1" w:rsidRPr="007225C9">
        <w:rPr>
          <w:rFonts w:ascii="Times New Roman" w:hAnsi="Times New Roman"/>
          <w:i/>
          <w:iCs/>
        </w:rPr>
        <w:t>Kateb</w:t>
      </w:r>
      <w:r w:rsidR="00167BE1" w:rsidRPr="007225C9">
        <w:rPr>
          <w:rFonts w:ascii="Times New Roman" w:hAnsi="Times New Roman"/>
        </w:rPr>
        <w:t>.</w:t>
      </w:r>
      <w:r w:rsidR="00E314B0" w:rsidRPr="007225C9">
        <w:rPr>
          <w:rFonts w:ascii="Times New Roman" w:hAnsi="Times New Roman"/>
        </w:rPr>
        <w:t xml:space="preserve"> </w:t>
      </w:r>
      <w:r w:rsidR="003C075F" w:rsidRPr="007225C9">
        <w:rPr>
          <w:rFonts w:ascii="Times New Roman" w:hAnsi="Times New Roman"/>
        </w:rPr>
        <w:t>A</w:t>
      </w:r>
      <w:r w:rsidR="000302E6" w:rsidRPr="007225C9">
        <w:rPr>
          <w:rFonts w:ascii="Times New Roman" w:hAnsi="Times New Roman"/>
        </w:rPr>
        <w:t xml:space="preserve">n issue </w:t>
      </w:r>
      <w:r w:rsidR="005A6019" w:rsidRPr="007225C9">
        <w:rPr>
          <w:rFonts w:ascii="Times New Roman" w:hAnsi="Times New Roman"/>
        </w:rPr>
        <w:t xml:space="preserve">about the correctness of </w:t>
      </w:r>
      <w:r w:rsidR="005A6019" w:rsidRPr="007225C9">
        <w:rPr>
          <w:rFonts w:ascii="Times New Roman" w:hAnsi="Times New Roman"/>
          <w:i/>
          <w:iCs/>
        </w:rPr>
        <w:t>Al</w:t>
      </w:r>
      <w:r w:rsidR="00CA2E48" w:rsidRPr="007225C9">
        <w:rPr>
          <w:rFonts w:ascii="Times New Roman" w:hAnsi="Times New Roman"/>
          <w:i/>
          <w:iCs/>
        </w:rPr>
        <w:t>-</w:t>
      </w:r>
      <w:r w:rsidR="005A6019" w:rsidRPr="007225C9">
        <w:rPr>
          <w:rFonts w:ascii="Times New Roman" w:hAnsi="Times New Roman"/>
          <w:i/>
          <w:iCs/>
        </w:rPr>
        <w:t>Kateb</w:t>
      </w:r>
      <w:r w:rsidR="005C3BA8" w:rsidRPr="007225C9">
        <w:rPr>
          <w:rFonts w:ascii="Times New Roman" w:hAnsi="Times New Roman"/>
          <w:i/>
          <w:iCs/>
        </w:rPr>
        <w:t xml:space="preserve"> </w:t>
      </w:r>
      <w:r w:rsidR="003C075F" w:rsidRPr="007225C9">
        <w:rPr>
          <w:rFonts w:ascii="Times New Roman" w:hAnsi="Times New Roman"/>
        </w:rPr>
        <w:t xml:space="preserve">could have </w:t>
      </w:r>
      <w:r w:rsidR="005C3BA8" w:rsidRPr="007225C9">
        <w:rPr>
          <w:rFonts w:ascii="Times New Roman" w:hAnsi="Times New Roman"/>
        </w:rPr>
        <w:t xml:space="preserve">been raised </w:t>
      </w:r>
      <w:r w:rsidR="00DD798A" w:rsidRPr="007225C9">
        <w:rPr>
          <w:rFonts w:ascii="Times New Roman" w:hAnsi="Times New Roman"/>
        </w:rPr>
        <w:t xml:space="preserve">in that scenario </w:t>
      </w:r>
      <w:r w:rsidR="005C3BA8" w:rsidRPr="007225C9">
        <w:rPr>
          <w:rFonts w:ascii="Times New Roman" w:hAnsi="Times New Roman"/>
        </w:rPr>
        <w:t>on the application for th</w:t>
      </w:r>
      <w:r w:rsidR="00964C1A" w:rsidRPr="007225C9">
        <w:rPr>
          <w:rFonts w:ascii="Times New Roman" w:hAnsi="Times New Roman"/>
        </w:rPr>
        <w:t>e</w:t>
      </w:r>
      <w:r w:rsidR="005C3BA8" w:rsidRPr="007225C9">
        <w:rPr>
          <w:rFonts w:ascii="Times New Roman" w:hAnsi="Times New Roman"/>
        </w:rPr>
        <w:t xml:space="preserve"> writ</w:t>
      </w:r>
      <w:r w:rsidR="00964C1A" w:rsidRPr="007225C9">
        <w:rPr>
          <w:rFonts w:ascii="Times New Roman" w:hAnsi="Times New Roman"/>
        </w:rPr>
        <w:t xml:space="preserve"> </w:t>
      </w:r>
      <w:r w:rsidR="00DD798A" w:rsidRPr="007225C9">
        <w:rPr>
          <w:rFonts w:ascii="Times New Roman" w:hAnsi="Times New Roman"/>
        </w:rPr>
        <w:t xml:space="preserve">of mandamus </w:t>
      </w:r>
      <w:r w:rsidR="001012E5" w:rsidRPr="007225C9">
        <w:rPr>
          <w:rFonts w:ascii="Times New Roman" w:hAnsi="Times New Roman"/>
        </w:rPr>
        <w:t>and</w:t>
      </w:r>
      <w:r w:rsidR="001A5E06" w:rsidRPr="007225C9">
        <w:rPr>
          <w:rFonts w:ascii="Times New Roman" w:hAnsi="Times New Roman"/>
        </w:rPr>
        <w:t>,</w:t>
      </w:r>
      <w:r w:rsidR="001012E5" w:rsidRPr="007225C9">
        <w:rPr>
          <w:rFonts w:ascii="Times New Roman" w:hAnsi="Times New Roman"/>
        </w:rPr>
        <w:t xml:space="preserve"> had the issue </w:t>
      </w:r>
      <w:r w:rsidR="00032E4D" w:rsidRPr="007225C9">
        <w:rPr>
          <w:rFonts w:ascii="Times New Roman" w:hAnsi="Times New Roman"/>
        </w:rPr>
        <w:t xml:space="preserve">then </w:t>
      </w:r>
      <w:r w:rsidR="001012E5" w:rsidRPr="007225C9">
        <w:rPr>
          <w:rFonts w:ascii="Times New Roman" w:hAnsi="Times New Roman"/>
        </w:rPr>
        <w:t>been raised,</w:t>
      </w:r>
      <w:r w:rsidR="005A6019" w:rsidRPr="007225C9">
        <w:rPr>
          <w:rFonts w:ascii="Times New Roman" w:hAnsi="Times New Roman"/>
          <w:i/>
          <w:iCs/>
        </w:rPr>
        <w:t xml:space="preserve"> </w:t>
      </w:r>
      <w:r w:rsidR="005A6019" w:rsidRPr="007225C9">
        <w:rPr>
          <w:rFonts w:ascii="Times New Roman" w:hAnsi="Times New Roman"/>
        </w:rPr>
        <w:t xml:space="preserve">the question </w:t>
      </w:r>
      <w:r w:rsidR="002766E0" w:rsidRPr="007225C9">
        <w:rPr>
          <w:rFonts w:ascii="Times New Roman" w:hAnsi="Times New Roman"/>
        </w:rPr>
        <w:t xml:space="preserve">of </w:t>
      </w:r>
      <w:r w:rsidR="005A6019" w:rsidRPr="007225C9">
        <w:rPr>
          <w:rFonts w:ascii="Times New Roman" w:hAnsi="Times New Roman"/>
        </w:rPr>
        <w:t xml:space="preserve">whether </w:t>
      </w:r>
      <w:r w:rsidR="005A6019" w:rsidRPr="007225C9">
        <w:rPr>
          <w:rFonts w:ascii="Times New Roman" w:hAnsi="Times New Roman"/>
          <w:i/>
          <w:iCs/>
        </w:rPr>
        <w:t xml:space="preserve">Al-Kateb </w:t>
      </w:r>
      <w:r w:rsidR="005A6019" w:rsidRPr="007225C9">
        <w:rPr>
          <w:rFonts w:ascii="Times New Roman" w:hAnsi="Times New Roman"/>
        </w:rPr>
        <w:t>should be reopened and overruled would</w:t>
      </w:r>
      <w:r w:rsidR="00B24D92" w:rsidRPr="007225C9">
        <w:rPr>
          <w:rFonts w:ascii="Times New Roman" w:hAnsi="Times New Roman"/>
        </w:rPr>
        <w:t xml:space="preserve"> </w:t>
      </w:r>
      <w:r w:rsidR="005A6019" w:rsidRPr="007225C9">
        <w:rPr>
          <w:rFonts w:ascii="Times New Roman" w:hAnsi="Times New Roman"/>
        </w:rPr>
        <w:t>have arisen for determination</w:t>
      </w:r>
      <w:r w:rsidR="00F563CE" w:rsidRPr="007225C9">
        <w:rPr>
          <w:rFonts w:ascii="Times New Roman" w:hAnsi="Times New Roman"/>
        </w:rPr>
        <w:t xml:space="preserve"> </w:t>
      </w:r>
      <w:r w:rsidR="0066573A" w:rsidRPr="007225C9">
        <w:rPr>
          <w:rFonts w:ascii="Times New Roman" w:hAnsi="Times New Roman"/>
        </w:rPr>
        <w:t>then</w:t>
      </w:r>
      <w:r w:rsidR="0071462C" w:rsidRPr="007225C9">
        <w:rPr>
          <w:rFonts w:ascii="Times New Roman" w:hAnsi="Times New Roman"/>
        </w:rPr>
        <w:t xml:space="preserve"> </w:t>
      </w:r>
      <w:r w:rsidR="00A66A08" w:rsidRPr="007225C9">
        <w:rPr>
          <w:rFonts w:ascii="Times New Roman" w:hAnsi="Times New Roman"/>
        </w:rPr>
        <w:t>in the same way</w:t>
      </w:r>
      <w:r w:rsidR="00F563CE" w:rsidRPr="007225C9">
        <w:rPr>
          <w:rFonts w:ascii="Times New Roman" w:hAnsi="Times New Roman"/>
        </w:rPr>
        <w:t xml:space="preserve"> as</w:t>
      </w:r>
      <w:r w:rsidR="00A66A08" w:rsidRPr="007225C9">
        <w:rPr>
          <w:rFonts w:ascii="Times New Roman" w:hAnsi="Times New Roman"/>
        </w:rPr>
        <w:t xml:space="preserve"> that question</w:t>
      </w:r>
      <w:r w:rsidR="00F563CE" w:rsidRPr="007225C9">
        <w:rPr>
          <w:rFonts w:ascii="Times New Roman" w:hAnsi="Times New Roman"/>
        </w:rPr>
        <w:t xml:space="preserve"> later </w:t>
      </w:r>
      <w:r w:rsidR="00B66A4E" w:rsidRPr="007225C9">
        <w:rPr>
          <w:rFonts w:ascii="Times New Roman" w:hAnsi="Times New Roman"/>
        </w:rPr>
        <w:t xml:space="preserve">arose </w:t>
      </w:r>
      <w:r w:rsidR="00F563CE" w:rsidRPr="007225C9">
        <w:rPr>
          <w:rFonts w:ascii="Times New Roman" w:hAnsi="Times New Roman"/>
        </w:rPr>
        <w:t xml:space="preserve">in </w:t>
      </w:r>
      <w:r w:rsidR="00F563CE" w:rsidRPr="007225C9">
        <w:rPr>
          <w:rFonts w:ascii="Times New Roman" w:hAnsi="Times New Roman"/>
          <w:i/>
          <w:iCs/>
        </w:rPr>
        <w:t>NZYQ</w:t>
      </w:r>
      <w:r w:rsidR="00F563CE" w:rsidRPr="007225C9">
        <w:rPr>
          <w:rFonts w:ascii="Times New Roman" w:hAnsi="Times New Roman"/>
        </w:rPr>
        <w:t>.</w:t>
      </w:r>
      <w:r w:rsidR="003D515A" w:rsidRPr="007225C9">
        <w:rPr>
          <w:rFonts w:ascii="Times New Roman" w:hAnsi="Times New Roman"/>
        </w:rPr>
        <w:t xml:space="preserve"> </w:t>
      </w:r>
      <w:r w:rsidR="00B66A4E" w:rsidRPr="007225C9">
        <w:rPr>
          <w:rFonts w:ascii="Times New Roman" w:hAnsi="Times New Roman"/>
        </w:rPr>
        <w:t>H</w:t>
      </w:r>
      <w:r w:rsidR="004D7C4E" w:rsidRPr="007225C9">
        <w:rPr>
          <w:rFonts w:ascii="Times New Roman" w:hAnsi="Times New Roman"/>
        </w:rPr>
        <w:t xml:space="preserve">ad </w:t>
      </w:r>
      <w:r w:rsidR="004D7C4E" w:rsidRPr="007225C9">
        <w:rPr>
          <w:rFonts w:ascii="Times New Roman" w:hAnsi="Times New Roman"/>
          <w:i/>
          <w:iCs/>
        </w:rPr>
        <w:t xml:space="preserve">Al-Kateb </w:t>
      </w:r>
      <w:r w:rsidR="004D7C4E" w:rsidRPr="007225C9">
        <w:rPr>
          <w:rFonts w:ascii="Times New Roman" w:hAnsi="Times New Roman"/>
        </w:rPr>
        <w:t xml:space="preserve">been reopened and overruled </w:t>
      </w:r>
      <w:r w:rsidR="00063B0F" w:rsidRPr="007225C9">
        <w:rPr>
          <w:rFonts w:ascii="Times New Roman" w:hAnsi="Times New Roman"/>
        </w:rPr>
        <w:t>in that scenario</w:t>
      </w:r>
      <w:r w:rsidR="004D7C4E" w:rsidRPr="007225C9">
        <w:rPr>
          <w:rFonts w:ascii="Times New Roman" w:hAnsi="Times New Roman"/>
        </w:rPr>
        <w:t>, as it later</w:t>
      </w:r>
      <w:r w:rsidR="00AA4329" w:rsidRPr="007225C9">
        <w:rPr>
          <w:rFonts w:ascii="Times New Roman" w:hAnsi="Times New Roman"/>
        </w:rPr>
        <w:t xml:space="preserve"> was</w:t>
      </w:r>
      <w:r w:rsidR="004D7C4E" w:rsidRPr="007225C9">
        <w:rPr>
          <w:rFonts w:ascii="Times New Roman" w:hAnsi="Times New Roman"/>
        </w:rPr>
        <w:t xml:space="preserve"> in </w:t>
      </w:r>
      <w:r w:rsidR="004D7C4E" w:rsidRPr="007225C9">
        <w:rPr>
          <w:rFonts w:ascii="Times New Roman" w:hAnsi="Times New Roman"/>
          <w:i/>
          <w:iCs/>
        </w:rPr>
        <w:t>NZYQ</w:t>
      </w:r>
      <w:r w:rsidR="00AA4329" w:rsidRPr="007225C9">
        <w:rPr>
          <w:rFonts w:ascii="Times New Roman" w:hAnsi="Times New Roman"/>
        </w:rPr>
        <w:t xml:space="preserve">, </w:t>
      </w:r>
      <w:r w:rsidR="00DC23F1" w:rsidRPr="007225C9">
        <w:rPr>
          <w:rFonts w:ascii="Times New Roman" w:hAnsi="Times New Roman"/>
        </w:rPr>
        <w:t xml:space="preserve">the </w:t>
      </w:r>
      <w:r w:rsidR="00014725" w:rsidRPr="007225C9">
        <w:rPr>
          <w:rFonts w:ascii="Times New Roman" w:hAnsi="Times New Roman"/>
        </w:rPr>
        <w:t xml:space="preserve">conduct of the officer </w:t>
      </w:r>
      <w:r w:rsidR="00670759" w:rsidRPr="007225C9">
        <w:rPr>
          <w:rFonts w:ascii="Times New Roman" w:hAnsi="Times New Roman"/>
        </w:rPr>
        <w:t xml:space="preserve">in </w:t>
      </w:r>
      <w:r w:rsidR="00DC23F1" w:rsidRPr="007225C9">
        <w:rPr>
          <w:rFonts w:ascii="Times New Roman" w:hAnsi="Times New Roman"/>
        </w:rPr>
        <w:t>releas</w:t>
      </w:r>
      <w:r w:rsidR="00670759" w:rsidRPr="007225C9">
        <w:rPr>
          <w:rFonts w:ascii="Times New Roman" w:hAnsi="Times New Roman"/>
        </w:rPr>
        <w:t>ing the unlawful non-citizen</w:t>
      </w:r>
      <w:r w:rsidR="00DC23F1" w:rsidRPr="007225C9">
        <w:rPr>
          <w:rFonts w:ascii="Times New Roman" w:hAnsi="Times New Roman"/>
        </w:rPr>
        <w:t xml:space="preserve"> </w:t>
      </w:r>
      <w:r w:rsidR="009F6ACD" w:rsidRPr="007225C9">
        <w:rPr>
          <w:rFonts w:ascii="Times New Roman" w:hAnsi="Times New Roman"/>
        </w:rPr>
        <w:t>would have been determined to be compliant with ss 189(1) and 196(1)</w:t>
      </w:r>
      <w:r w:rsidR="003016E5" w:rsidRPr="007225C9">
        <w:rPr>
          <w:rFonts w:ascii="Times New Roman" w:hAnsi="Times New Roman"/>
        </w:rPr>
        <w:t xml:space="preserve"> of the </w:t>
      </w:r>
      <w:r w:rsidR="003016E5" w:rsidRPr="007225C9">
        <w:rPr>
          <w:rFonts w:ascii="Times New Roman" w:hAnsi="Times New Roman"/>
          <w:i/>
          <w:iCs/>
        </w:rPr>
        <w:t>Migration Act</w:t>
      </w:r>
      <w:r w:rsidR="009F6ACD" w:rsidRPr="007225C9">
        <w:rPr>
          <w:rFonts w:ascii="Times New Roman" w:hAnsi="Times New Roman"/>
        </w:rPr>
        <w:t xml:space="preserve"> </w:t>
      </w:r>
      <w:r w:rsidR="009E6A91" w:rsidRPr="007225C9">
        <w:rPr>
          <w:rFonts w:ascii="Times New Roman" w:hAnsi="Times New Roman"/>
        </w:rPr>
        <w:t xml:space="preserve">notwithstanding that </w:t>
      </w:r>
      <w:r w:rsidR="00E94EFB" w:rsidRPr="007225C9">
        <w:rPr>
          <w:rFonts w:ascii="Times New Roman" w:hAnsi="Times New Roman"/>
        </w:rPr>
        <w:t xml:space="preserve">the conduct </w:t>
      </w:r>
      <w:r w:rsidR="009E6A91" w:rsidRPr="007225C9">
        <w:rPr>
          <w:rFonts w:ascii="Times New Roman" w:hAnsi="Times New Roman"/>
        </w:rPr>
        <w:t>failed to</w:t>
      </w:r>
      <w:r w:rsidR="00DC23F1" w:rsidRPr="007225C9">
        <w:rPr>
          <w:rFonts w:ascii="Times New Roman" w:hAnsi="Times New Roman"/>
        </w:rPr>
        <w:t xml:space="preserve"> accord with the law </w:t>
      </w:r>
      <w:r w:rsidR="00D64036" w:rsidRPr="007225C9">
        <w:rPr>
          <w:rFonts w:ascii="Times New Roman" w:hAnsi="Times New Roman"/>
        </w:rPr>
        <w:t xml:space="preserve">as it had been </w:t>
      </w:r>
      <w:r w:rsidR="00DC23F1" w:rsidRPr="007225C9">
        <w:rPr>
          <w:rFonts w:ascii="Times New Roman" w:hAnsi="Times New Roman"/>
        </w:rPr>
        <w:t xml:space="preserve">declared in </w:t>
      </w:r>
      <w:r w:rsidR="00DC23F1" w:rsidRPr="007225C9">
        <w:rPr>
          <w:rFonts w:ascii="Times New Roman" w:hAnsi="Times New Roman"/>
          <w:i/>
          <w:iCs/>
        </w:rPr>
        <w:t>Al Kateb</w:t>
      </w:r>
      <w:r w:rsidR="004D410C" w:rsidRPr="007225C9">
        <w:rPr>
          <w:rFonts w:ascii="Times New Roman" w:hAnsi="Times New Roman"/>
        </w:rPr>
        <w:t xml:space="preserve"> at the time </w:t>
      </w:r>
      <w:r w:rsidR="00D64036" w:rsidRPr="007225C9">
        <w:rPr>
          <w:rFonts w:ascii="Times New Roman" w:hAnsi="Times New Roman"/>
        </w:rPr>
        <w:t>the conduct occurred</w:t>
      </w:r>
      <w:r w:rsidR="004D410C" w:rsidRPr="007225C9">
        <w:rPr>
          <w:rFonts w:ascii="Times New Roman" w:hAnsi="Times New Roman"/>
        </w:rPr>
        <w:t>.</w:t>
      </w:r>
      <w:r w:rsidR="003457F5" w:rsidRPr="007225C9">
        <w:rPr>
          <w:rFonts w:ascii="Times New Roman" w:hAnsi="Times New Roman"/>
        </w:rPr>
        <w:t xml:space="preserve"> </w:t>
      </w:r>
    </w:p>
    <w:p w14:paraId="73CABC8F" w14:textId="5294F140" w:rsidR="00885B7B" w:rsidRPr="007225C9" w:rsidRDefault="00FB5B13" w:rsidP="007225C9">
      <w:pPr>
        <w:pStyle w:val="FixListStyle"/>
        <w:spacing w:after="260" w:line="280" w:lineRule="exact"/>
        <w:ind w:right="0"/>
        <w:jc w:val="both"/>
        <w:rPr>
          <w:rFonts w:ascii="Times New Roman" w:hAnsi="Times New Roman"/>
        </w:rPr>
      </w:pPr>
      <w:r w:rsidRPr="007225C9">
        <w:rPr>
          <w:rFonts w:ascii="Times New Roman" w:hAnsi="Times New Roman"/>
        </w:rPr>
        <w:tab/>
      </w:r>
      <w:r w:rsidR="00A54C6E" w:rsidRPr="007225C9">
        <w:rPr>
          <w:rFonts w:ascii="Times New Roman" w:hAnsi="Times New Roman"/>
        </w:rPr>
        <w:t>To explore the outworking of the scenario</w:t>
      </w:r>
      <w:r w:rsidR="00533F4B" w:rsidRPr="007225C9">
        <w:rPr>
          <w:rFonts w:ascii="Times New Roman" w:hAnsi="Times New Roman"/>
        </w:rPr>
        <w:t xml:space="preserve"> in thi</w:t>
      </w:r>
      <w:r w:rsidR="001E0609" w:rsidRPr="007225C9">
        <w:rPr>
          <w:rFonts w:ascii="Times New Roman" w:hAnsi="Times New Roman"/>
        </w:rPr>
        <w:t>s way</w:t>
      </w:r>
      <w:r w:rsidR="00172548" w:rsidRPr="007225C9">
        <w:rPr>
          <w:rFonts w:ascii="Times New Roman" w:hAnsi="Times New Roman"/>
        </w:rPr>
        <w:t xml:space="preserve"> is to </w:t>
      </w:r>
      <w:r w:rsidR="00321ED3" w:rsidRPr="007225C9">
        <w:rPr>
          <w:rFonts w:ascii="Times New Roman" w:hAnsi="Times New Roman"/>
        </w:rPr>
        <w:t xml:space="preserve">illustrate that </w:t>
      </w:r>
      <w:r w:rsidR="001D2911" w:rsidRPr="007225C9">
        <w:rPr>
          <w:rFonts w:ascii="Times New Roman" w:hAnsi="Times New Roman"/>
        </w:rPr>
        <w:t xml:space="preserve">it is in the nature of the </w:t>
      </w:r>
      <w:r w:rsidR="00F40ED1" w:rsidRPr="007225C9">
        <w:rPr>
          <w:rFonts w:ascii="Times New Roman" w:hAnsi="Times New Roman"/>
        </w:rPr>
        <w:t>judicial</w:t>
      </w:r>
      <w:r w:rsidR="001D2911" w:rsidRPr="007225C9">
        <w:rPr>
          <w:rFonts w:ascii="Times New Roman" w:hAnsi="Times New Roman"/>
        </w:rPr>
        <w:t xml:space="preserve"> process that </w:t>
      </w:r>
      <w:r w:rsidR="005D3A42" w:rsidRPr="007225C9">
        <w:rPr>
          <w:rFonts w:ascii="Times New Roman" w:hAnsi="Times New Roman"/>
        </w:rPr>
        <w:t xml:space="preserve">an issue about the correctness of the law </w:t>
      </w:r>
      <w:r w:rsidR="00CF3A86" w:rsidRPr="007225C9">
        <w:rPr>
          <w:rFonts w:ascii="Times New Roman" w:hAnsi="Times New Roman"/>
        </w:rPr>
        <w:t>as</w:t>
      </w:r>
      <w:r w:rsidR="005D3A42" w:rsidRPr="007225C9">
        <w:rPr>
          <w:rFonts w:ascii="Times New Roman" w:hAnsi="Times New Roman"/>
        </w:rPr>
        <w:t xml:space="preserve"> declared in a prior decision</w:t>
      </w:r>
      <w:r w:rsidR="003E1DB4" w:rsidRPr="007225C9">
        <w:rPr>
          <w:rFonts w:ascii="Times New Roman" w:hAnsi="Times New Roman"/>
        </w:rPr>
        <w:t>,</w:t>
      </w:r>
      <w:r w:rsidR="005D3A42" w:rsidRPr="007225C9">
        <w:rPr>
          <w:rFonts w:ascii="Times New Roman" w:hAnsi="Times New Roman"/>
        </w:rPr>
        <w:t xml:space="preserve"> </w:t>
      </w:r>
      <w:r w:rsidR="003B34F4" w:rsidRPr="007225C9">
        <w:rPr>
          <w:rFonts w:ascii="Times New Roman" w:hAnsi="Times New Roman"/>
        </w:rPr>
        <w:t>properly raised in a subsequent</w:t>
      </w:r>
      <w:r w:rsidR="007A2D7C" w:rsidRPr="007225C9">
        <w:rPr>
          <w:rFonts w:ascii="Times New Roman" w:hAnsi="Times New Roman"/>
        </w:rPr>
        <w:t xml:space="preserve"> proceeding</w:t>
      </w:r>
      <w:r w:rsidR="00993DCC" w:rsidRPr="007225C9">
        <w:rPr>
          <w:rFonts w:ascii="Times New Roman" w:hAnsi="Times New Roman"/>
        </w:rPr>
        <w:t xml:space="preserve"> in this Court</w:t>
      </w:r>
      <w:r w:rsidR="003E1DB4" w:rsidRPr="007225C9">
        <w:rPr>
          <w:rFonts w:ascii="Times New Roman" w:hAnsi="Times New Roman"/>
        </w:rPr>
        <w:t>,</w:t>
      </w:r>
      <w:r w:rsidR="00993DCC" w:rsidRPr="007225C9">
        <w:rPr>
          <w:rFonts w:ascii="Times New Roman" w:hAnsi="Times New Roman"/>
        </w:rPr>
        <w:t xml:space="preserve"> </w:t>
      </w:r>
      <w:r w:rsidR="009437DE" w:rsidRPr="007225C9">
        <w:rPr>
          <w:rFonts w:ascii="Times New Roman" w:hAnsi="Times New Roman"/>
        </w:rPr>
        <w:t>necessarily fall</w:t>
      </w:r>
      <w:r w:rsidR="00050BDE" w:rsidRPr="007225C9">
        <w:rPr>
          <w:rFonts w:ascii="Times New Roman" w:hAnsi="Times New Roman"/>
        </w:rPr>
        <w:t xml:space="preserve">s </w:t>
      </w:r>
      <w:r w:rsidR="009437DE" w:rsidRPr="007225C9">
        <w:rPr>
          <w:rFonts w:ascii="Times New Roman" w:hAnsi="Times New Roman"/>
        </w:rPr>
        <w:t>to be determined</w:t>
      </w:r>
      <w:r w:rsidR="00A2576E" w:rsidRPr="007225C9">
        <w:rPr>
          <w:rFonts w:ascii="Times New Roman" w:hAnsi="Times New Roman"/>
        </w:rPr>
        <w:t xml:space="preserve"> </w:t>
      </w:r>
      <w:r w:rsidR="009437DE" w:rsidRPr="007225C9">
        <w:rPr>
          <w:rFonts w:ascii="Times New Roman" w:hAnsi="Times New Roman"/>
        </w:rPr>
        <w:t>in a subsequent decision of</w:t>
      </w:r>
      <w:r w:rsidR="00A2576E" w:rsidRPr="007225C9">
        <w:rPr>
          <w:rFonts w:ascii="Times New Roman" w:hAnsi="Times New Roman"/>
        </w:rPr>
        <w:t xml:space="preserve"> this Court </w:t>
      </w:r>
      <w:r w:rsidR="008C305D" w:rsidRPr="007225C9">
        <w:rPr>
          <w:rFonts w:ascii="Times New Roman" w:hAnsi="Times New Roman"/>
        </w:rPr>
        <w:t>in the course of determining the law</w:t>
      </w:r>
      <w:r w:rsidR="008223A6" w:rsidRPr="007225C9">
        <w:rPr>
          <w:rFonts w:ascii="Times New Roman" w:hAnsi="Times New Roman"/>
        </w:rPr>
        <w:t xml:space="preserve"> applicable</w:t>
      </w:r>
      <w:r w:rsidR="00CD0E7C" w:rsidRPr="007225C9">
        <w:rPr>
          <w:rFonts w:ascii="Times New Roman" w:hAnsi="Times New Roman"/>
        </w:rPr>
        <w:t xml:space="preserve"> </w:t>
      </w:r>
      <w:r w:rsidR="00E97333" w:rsidRPr="007225C9">
        <w:rPr>
          <w:rFonts w:ascii="Times New Roman" w:hAnsi="Times New Roman"/>
        </w:rPr>
        <w:t>to</w:t>
      </w:r>
      <w:r w:rsidR="00E62CA0" w:rsidRPr="007225C9">
        <w:rPr>
          <w:rFonts w:ascii="Times New Roman" w:hAnsi="Times New Roman"/>
        </w:rPr>
        <w:t xml:space="preserve"> </w:t>
      </w:r>
      <w:r w:rsidR="001E2D87" w:rsidRPr="007225C9">
        <w:rPr>
          <w:rFonts w:ascii="Times New Roman" w:hAnsi="Times New Roman"/>
        </w:rPr>
        <w:t>events or conduct</w:t>
      </w:r>
      <w:r w:rsidR="00072001" w:rsidRPr="007225C9">
        <w:rPr>
          <w:rFonts w:ascii="Times New Roman" w:hAnsi="Times New Roman"/>
        </w:rPr>
        <w:t xml:space="preserve"> that occurred before th</w:t>
      </w:r>
      <w:r w:rsidR="00CF4149" w:rsidRPr="007225C9">
        <w:rPr>
          <w:rFonts w:ascii="Times New Roman" w:hAnsi="Times New Roman"/>
        </w:rPr>
        <w:t>at</w:t>
      </w:r>
      <w:r w:rsidR="00072001" w:rsidRPr="007225C9">
        <w:rPr>
          <w:rFonts w:ascii="Times New Roman" w:hAnsi="Times New Roman"/>
        </w:rPr>
        <w:t xml:space="preserve"> subsequent decision</w:t>
      </w:r>
      <w:r w:rsidR="00BD25F7" w:rsidRPr="007225C9">
        <w:rPr>
          <w:rFonts w:ascii="Times New Roman" w:hAnsi="Times New Roman"/>
        </w:rPr>
        <w:t xml:space="preserve">. </w:t>
      </w:r>
      <w:r w:rsidR="00DE0A34" w:rsidRPr="007225C9">
        <w:rPr>
          <w:rFonts w:ascii="Times New Roman" w:hAnsi="Times New Roman"/>
        </w:rPr>
        <w:t>"If an earlier case is erroneous and it is necessary to overrule it, it would be a perversion of judicial power to maintain in force that which is acknowledged not to be the law".</w:t>
      </w:r>
      <w:r w:rsidR="00DE0A34" w:rsidRPr="007225C9">
        <w:rPr>
          <w:rStyle w:val="FootnoteReference"/>
          <w:rFonts w:ascii="Times New Roman" w:hAnsi="Times New Roman"/>
          <w:sz w:val="24"/>
        </w:rPr>
        <w:footnoteReference w:id="37"/>
      </w:r>
      <w:r w:rsidR="002816BF" w:rsidRPr="007225C9">
        <w:rPr>
          <w:rFonts w:ascii="Times New Roman" w:hAnsi="Times New Roman"/>
        </w:rPr>
        <w:t xml:space="preserve"> </w:t>
      </w:r>
      <w:r w:rsidR="001E64A9" w:rsidRPr="007225C9">
        <w:rPr>
          <w:rFonts w:ascii="Times New Roman" w:hAnsi="Times New Roman"/>
        </w:rPr>
        <w:t xml:space="preserve">Yet the propounded common law defence </w:t>
      </w:r>
      <w:r w:rsidR="009759C0" w:rsidRPr="007225C9">
        <w:rPr>
          <w:rFonts w:ascii="Times New Roman" w:hAnsi="Times New Roman"/>
        </w:rPr>
        <w:t xml:space="preserve">would </w:t>
      </w:r>
      <w:r w:rsidR="00F50C19" w:rsidRPr="007225C9">
        <w:rPr>
          <w:rFonts w:ascii="Times New Roman" w:hAnsi="Times New Roman"/>
        </w:rPr>
        <w:t>have the</w:t>
      </w:r>
      <w:r w:rsidR="009759C0" w:rsidRPr="007225C9">
        <w:rPr>
          <w:rFonts w:ascii="Times New Roman" w:hAnsi="Times New Roman"/>
        </w:rPr>
        <w:t xml:space="preserve"> </w:t>
      </w:r>
      <w:r w:rsidR="00D12869" w:rsidRPr="007225C9">
        <w:rPr>
          <w:rFonts w:ascii="Times New Roman" w:hAnsi="Times New Roman"/>
        </w:rPr>
        <w:t xml:space="preserve">practical </w:t>
      </w:r>
      <w:r w:rsidR="009759C0" w:rsidRPr="007225C9">
        <w:rPr>
          <w:rFonts w:ascii="Times New Roman" w:hAnsi="Times New Roman"/>
        </w:rPr>
        <w:t xml:space="preserve">effect </w:t>
      </w:r>
      <w:r w:rsidR="00F50C19" w:rsidRPr="007225C9">
        <w:rPr>
          <w:rFonts w:ascii="Times New Roman" w:hAnsi="Times New Roman"/>
        </w:rPr>
        <w:t xml:space="preserve">of </w:t>
      </w:r>
      <w:r w:rsidR="005F3E3A" w:rsidRPr="007225C9">
        <w:rPr>
          <w:rFonts w:ascii="Times New Roman" w:hAnsi="Times New Roman"/>
        </w:rPr>
        <w:t xml:space="preserve">doing just that: </w:t>
      </w:r>
      <w:r w:rsidR="005D66CC" w:rsidRPr="007225C9">
        <w:rPr>
          <w:rFonts w:ascii="Times New Roman" w:hAnsi="Times New Roman"/>
        </w:rPr>
        <w:t>immunis</w:t>
      </w:r>
      <w:r w:rsidR="00F50C19" w:rsidRPr="007225C9">
        <w:rPr>
          <w:rFonts w:ascii="Times New Roman" w:hAnsi="Times New Roman"/>
        </w:rPr>
        <w:t>ing</w:t>
      </w:r>
      <w:r w:rsidR="005D66CC" w:rsidRPr="007225C9">
        <w:rPr>
          <w:rFonts w:ascii="Times New Roman" w:hAnsi="Times New Roman"/>
        </w:rPr>
        <w:t xml:space="preserve"> an </w:t>
      </w:r>
      <w:r w:rsidR="007B7330" w:rsidRPr="007225C9">
        <w:rPr>
          <w:rFonts w:ascii="Times New Roman" w:hAnsi="Times New Roman"/>
        </w:rPr>
        <w:t xml:space="preserve">executive officer </w:t>
      </w:r>
      <w:r w:rsidR="007F4E03" w:rsidRPr="007225C9">
        <w:rPr>
          <w:rFonts w:ascii="Times New Roman" w:hAnsi="Times New Roman"/>
        </w:rPr>
        <w:t xml:space="preserve">from </w:t>
      </w:r>
      <w:r w:rsidR="00F6735C" w:rsidRPr="007225C9">
        <w:rPr>
          <w:rFonts w:ascii="Times New Roman" w:hAnsi="Times New Roman"/>
        </w:rPr>
        <w:t xml:space="preserve">a </w:t>
      </w:r>
      <w:r w:rsidR="007F4E03" w:rsidRPr="007225C9">
        <w:rPr>
          <w:rFonts w:ascii="Times New Roman" w:hAnsi="Times New Roman"/>
        </w:rPr>
        <w:t xml:space="preserve">common law </w:t>
      </w:r>
      <w:r w:rsidR="00F6735C" w:rsidRPr="007225C9">
        <w:rPr>
          <w:rFonts w:ascii="Times New Roman" w:hAnsi="Times New Roman"/>
        </w:rPr>
        <w:t>consequence of having acted in accordance with that which is acknowledged not to be the law.</w:t>
      </w:r>
    </w:p>
    <w:p w14:paraId="7D6445C2" w14:textId="1FCA16F2" w:rsidR="0099127D" w:rsidRPr="007225C9" w:rsidRDefault="00BD32C9" w:rsidP="007225C9">
      <w:pPr>
        <w:pStyle w:val="FixListStyle"/>
        <w:spacing w:after="260" w:line="280" w:lineRule="exact"/>
        <w:ind w:right="0"/>
        <w:jc w:val="both"/>
        <w:rPr>
          <w:rFonts w:ascii="Times New Roman" w:hAnsi="Times New Roman"/>
        </w:rPr>
      </w:pPr>
      <w:r w:rsidRPr="007225C9">
        <w:rPr>
          <w:rFonts w:ascii="Times New Roman" w:hAnsi="Times New Roman"/>
        </w:rPr>
        <w:tab/>
      </w:r>
      <w:r w:rsidR="0099127D" w:rsidRPr="007225C9">
        <w:rPr>
          <w:rFonts w:ascii="Times New Roman" w:hAnsi="Times New Roman"/>
        </w:rPr>
        <w:t>Th</w:t>
      </w:r>
      <w:r w:rsidR="009760E3" w:rsidRPr="007225C9">
        <w:rPr>
          <w:rFonts w:ascii="Times New Roman" w:hAnsi="Times New Roman"/>
        </w:rPr>
        <w:t>at real</w:t>
      </w:r>
      <w:r w:rsidR="0099127D" w:rsidRPr="007225C9">
        <w:rPr>
          <w:rFonts w:ascii="Times New Roman" w:hAnsi="Times New Roman"/>
        </w:rPr>
        <w:t xml:space="preserve"> difficulties can be encountered </w:t>
      </w:r>
      <w:r w:rsidR="00814142" w:rsidRPr="007225C9">
        <w:rPr>
          <w:rFonts w:ascii="Times New Roman" w:hAnsi="Times New Roman"/>
        </w:rPr>
        <w:t xml:space="preserve">by </w:t>
      </w:r>
      <w:r w:rsidR="00313E84" w:rsidRPr="007225C9">
        <w:rPr>
          <w:rFonts w:ascii="Times New Roman" w:hAnsi="Times New Roman"/>
        </w:rPr>
        <w:t xml:space="preserve">officers of </w:t>
      </w:r>
      <w:r w:rsidR="001A210C" w:rsidRPr="007225C9">
        <w:rPr>
          <w:rFonts w:ascii="Times New Roman" w:hAnsi="Times New Roman"/>
        </w:rPr>
        <w:t>an</w:t>
      </w:r>
      <w:r w:rsidR="00814142" w:rsidRPr="007225C9">
        <w:rPr>
          <w:rFonts w:ascii="Times New Roman" w:hAnsi="Times New Roman"/>
        </w:rPr>
        <w:t xml:space="preserve"> executive </w:t>
      </w:r>
      <w:r w:rsidR="001A210C" w:rsidRPr="007225C9">
        <w:rPr>
          <w:rFonts w:ascii="Times New Roman" w:hAnsi="Times New Roman"/>
        </w:rPr>
        <w:t xml:space="preserve">branch of </w:t>
      </w:r>
      <w:r w:rsidR="00814142" w:rsidRPr="007225C9">
        <w:rPr>
          <w:rFonts w:ascii="Times New Roman" w:hAnsi="Times New Roman"/>
        </w:rPr>
        <w:t xml:space="preserve">government </w:t>
      </w:r>
      <w:r w:rsidR="0099127D" w:rsidRPr="007225C9">
        <w:rPr>
          <w:rFonts w:ascii="Times New Roman" w:hAnsi="Times New Roman"/>
        </w:rPr>
        <w:t xml:space="preserve">when "an elaborate enactment of a legislature of limited powers is found to be [invalid] after a substantial period of time during which its provisions have been administered and enforced" </w:t>
      </w:r>
      <w:r w:rsidR="00BC7C22" w:rsidRPr="007225C9">
        <w:rPr>
          <w:rFonts w:ascii="Times New Roman" w:hAnsi="Times New Roman"/>
        </w:rPr>
        <w:t>must be acknowledged</w:t>
      </w:r>
      <w:r w:rsidR="001A4941" w:rsidRPr="007225C9">
        <w:rPr>
          <w:rFonts w:ascii="Times New Roman" w:hAnsi="Times New Roman"/>
        </w:rPr>
        <w:t>.</w:t>
      </w:r>
      <w:r w:rsidR="0025264F" w:rsidRPr="007225C9">
        <w:rPr>
          <w:rStyle w:val="FootnoteReference"/>
          <w:rFonts w:ascii="Times New Roman" w:hAnsi="Times New Roman"/>
          <w:sz w:val="24"/>
        </w:rPr>
        <w:footnoteReference w:id="38"/>
      </w:r>
      <w:r w:rsidR="001A4941" w:rsidRPr="007225C9">
        <w:rPr>
          <w:rFonts w:ascii="Times New Roman" w:hAnsi="Times New Roman"/>
        </w:rPr>
        <w:t xml:space="preserve"> But they are </w:t>
      </w:r>
      <w:r w:rsidR="0099127D" w:rsidRPr="007225C9">
        <w:rPr>
          <w:rFonts w:ascii="Times New Roman" w:hAnsi="Times New Roman"/>
        </w:rPr>
        <w:t xml:space="preserve">not difficulties </w:t>
      </w:r>
      <w:r w:rsidR="00E14BF6" w:rsidRPr="007225C9">
        <w:rPr>
          <w:rFonts w:ascii="Times New Roman" w:hAnsi="Times New Roman"/>
        </w:rPr>
        <w:t xml:space="preserve">of a kind </w:t>
      </w:r>
      <w:r w:rsidR="00AC5EBC" w:rsidRPr="007225C9">
        <w:rPr>
          <w:rFonts w:ascii="Times New Roman" w:hAnsi="Times New Roman"/>
        </w:rPr>
        <w:t xml:space="preserve">that are encountered </w:t>
      </w:r>
      <w:r w:rsidR="00304442" w:rsidRPr="007225C9">
        <w:rPr>
          <w:rFonts w:ascii="Times New Roman" w:hAnsi="Times New Roman"/>
        </w:rPr>
        <w:t xml:space="preserve">only where the administration and enforcement </w:t>
      </w:r>
      <w:r w:rsidR="00421275" w:rsidRPr="007225C9">
        <w:rPr>
          <w:rFonts w:ascii="Times New Roman" w:hAnsi="Times New Roman"/>
        </w:rPr>
        <w:t xml:space="preserve">of the law </w:t>
      </w:r>
      <w:r w:rsidR="00007C86" w:rsidRPr="007225C9">
        <w:rPr>
          <w:rFonts w:ascii="Times New Roman" w:hAnsi="Times New Roman"/>
        </w:rPr>
        <w:t xml:space="preserve">have </w:t>
      </w:r>
      <w:r w:rsidR="00304442" w:rsidRPr="007225C9">
        <w:rPr>
          <w:rFonts w:ascii="Times New Roman" w:hAnsi="Times New Roman"/>
        </w:rPr>
        <w:t xml:space="preserve">been in accordance </w:t>
      </w:r>
      <w:r w:rsidR="00421275" w:rsidRPr="007225C9">
        <w:rPr>
          <w:rFonts w:ascii="Times New Roman" w:hAnsi="Times New Roman"/>
        </w:rPr>
        <w:t xml:space="preserve">with </w:t>
      </w:r>
      <w:r w:rsidR="002A5D97" w:rsidRPr="007225C9">
        <w:rPr>
          <w:rFonts w:ascii="Times New Roman" w:hAnsi="Times New Roman"/>
        </w:rPr>
        <w:t xml:space="preserve">the law as declared in a prior decision </w:t>
      </w:r>
      <w:r w:rsidR="00BF485B" w:rsidRPr="007225C9">
        <w:rPr>
          <w:rFonts w:ascii="Times New Roman" w:hAnsi="Times New Roman"/>
        </w:rPr>
        <w:t xml:space="preserve">of </w:t>
      </w:r>
      <w:r w:rsidR="00847F7C" w:rsidRPr="007225C9">
        <w:rPr>
          <w:rFonts w:ascii="Times New Roman" w:hAnsi="Times New Roman"/>
        </w:rPr>
        <w:t xml:space="preserve">this Court. </w:t>
      </w:r>
      <w:r w:rsidR="000D4452" w:rsidRPr="007225C9">
        <w:rPr>
          <w:rFonts w:ascii="Times New Roman" w:hAnsi="Times New Roman"/>
        </w:rPr>
        <w:t xml:space="preserve">Nor are they difficulties </w:t>
      </w:r>
      <w:r w:rsidR="0099127D" w:rsidRPr="007225C9">
        <w:rPr>
          <w:rFonts w:ascii="Times New Roman" w:hAnsi="Times New Roman"/>
        </w:rPr>
        <w:t xml:space="preserve">of a kind that are uniquely experienced by </w:t>
      </w:r>
      <w:r w:rsidR="00313E84" w:rsidRPr="007225C9">
        <w:rPr>
          <w:rFonts w:ascii="Times New Roman" w:hAnsi="Times New Roman"/>
        </w:rPr>
        <w:t xml:space="preserve">officers of </w:t>
      </w:r>
      <w:r w:rsidR="0099127D" w:rsidRPr="007225C9">
        <w:rPr>
          <w:rFonts w:ascii="Times New Roman" w:hAnsi="Times New Roman"/>
        </w:rPr>
        <w:t xml:space="preserve">an executive branch of government. They are "but an </w:t>
      </w:r>
      <w:r w:rsidR="0099127D" w:rsidRPr="007225C9">
        <w:rPr>
          <w:rFonts w:ascii="Times New Roman" w:hAnsi="Times New Roman"/>
        </w:rPr>
        <w:lastRenderedPageBreak/>
        <w:t>impressive example of the general doctrine that when for want of, or excess of, legal power or authority or for non-fulfilment of the conditions required by law, any purported act in the law is invalid, then rights and liabilities are to be ascertained upon the same footing as if the act had not been attempted".</w:t>
      </w:r>
      <w:r w:rsidR="0099127D" w:rsidRPr="007225C9">
        <w:rPr>
          <w:rStyle w:val="FootnoteReference"/>
          <w:rFonts w:ascii="Times New Roman" w:hAnsi="Times New Roman"/>
          <w:sz w:val="24"/>
        </w:rPr>
        <w:footnoteReference w:id="39"/>
      </w:r>
    </w:p>
    <w:p w14:paraId="15479211" w14:textId="73F006C6" w:rsidR="003C3FBD" w:rsidRPr="007225C9" w:rsidRDefault="003C3FBD" w:rsidP="007225C9">
      <w:pPr>
        <w:pStyle w:val="FixListStyle"/>
        <w:spacing w:after="260" w:line="280" w:lineRule="exact"/>
        <w:ind w:right="0"/>
        <w:jc w:val="both"/>
        <w:rPr>
          <w:rFonts w:ascii="Times New Roman" w:hAnsi="Times New Roman"/>
        </w:rPr>
      </w:pPr>
      <w:r w:rsidRPr="007225C9">
        <w:rPr>
          <w:rFonts w:ascii="Times New Roman" w:hAnsi="Times New Roman"/>
        </w:rPr>
        <w:tab/>
        <w:t xml:space="preserve">Those difficulties </w:t>
      </w:r>
      <w:r w:rsidR="00175D37" w:rsidRPr="007225C9">
        <w:rPr>
          <w:rFonts w:ascii="Times New Roman" w:hAnsi="Times New Roman"/>
        </w:rPr>
        <w:t xml:space="preserve">may to some extent be </w:t>
      </w:r>
      <w:r w:rsidR="006E255E" w:rsidRPr="007225C9">
        <w:rPr>
          <w:rFonts w:ascii="Times New Roman" w:hAnsi="Times New Roman"/>
        </w:rPr>
        <w:t>ameliorated by legislation.</w:t>
      </w:r>
      <w:r w:rsidR="00F406B2" w:rsidRPr="007225C9">
        <w:rPr>
          <w:rStyle w:val="FootnoteReference"/>
          <w:rFonts w:ascii="Times New Roman" w:hAnsi="Times New Roman"/>
          <w:sz w:val="24"/>
        </w:rPr>
        <w:footnoteReference w:id="40"/>
      </w:r>
      <w:r w:rsidR="006E255E" w:rsidRPr="007225C9">
        <w:rPr>
          <w:rFonts w:ascii="Times New Roman" w:hAnsi="Times New Roman"/>
        </w:rPr>
        <w:t xml:space="preserve"> </w:t>
      </w:r>
      <w:r w:rsidR="0071462C" w:rsidRPr="007225C9">
        <w:rPr>
          <w:rFonts w:ascii="Times New Roman" w:hAnsi="Times New Roman"/>
        </w:rPr>
        <w:t>T</w:t>
      </w:r>
      <w:r w:rsidR="009267B3" w:rsidRPr="007225C9">
        <w:rPr>
          <w:rFonts w:ascii="Times New Roman" w:hAnsi="Times New Roman"/>
        </w:rPr>
        <w:t xml:space="preserve">here </w:t>
      </w:r>
      <w:r w:rsidR="006E255E" w:rsidRPr="007225C9">
        <w:rPr>
          <w:rFonts w:ascii="Times New Roman" w:hAnsi="Times New Roman"/>
        </w:rPr>
        <w:t>is</w:t>
      </w:r>
      <w:r w:rsidR="0071462C" w:rsidRPr="007225C9">
        <w:rPr>
          <w:rFonts w:ascii="Times New Roman" w:hAnsi="Times New Roman"/>
        </w:rPr>
        <w:t>, however,</w:t>
      </w:r>
      <w:r w:rsidR="006E255E" w:rsidRPr="007225C9">
        <w:rPr>
          <w:rFonts w:ascii="Times New Roman" w:hAnsi="Times New Roman"/>
        </w:rPr>
        <w:t xml:space="preserve"> no principled basis on which </w:t>
      </w:r>
      <w:r w:rsidR="00C45C98" w:rsidRPr="007225C9">
        <w:rPr>
          <w:rFonts w:ascii="Times New Roman" w:hAnsi="Times New Roman"/>
        </w:rPr>
        <w:t>they are to be ameliorated through the development of the common law</w:t>
      </w:r>
      <w:r w:rsidR="00CF53AB" w:rsidRPr="007225C9">
        <w:rPr>
          <w:rFonts w:ascii="Times New Roman" w:hAnsi="Times New Roman"/>
        </w:rPr>
        <w:t xml:space="preserve"> in the manner for which the Commonwealth </w:t>
      </w:r>
      <w:r w:rsidR="000C11D3" w:rsidRPr="007225C9">
        <w:rPr>
          <w:rFonts w:ascii="Times New Roman" w:hAnsi="Times New Roman"/>
        </w:rPr>
        <w:t>contends</w:t>
      </w:r>
      <w:r w:rsidR="00C45C98" w:rsidRPr="007225C9">
        <w:rPr>
          <w:rFonts w:ascii="Times New Roman" w:hAnsi="Times New Roman"/>
        </w:rPr>
        <w:t>.</w:t>
      </w:r>
      <w:r w:rsidR="006E255E" w:rsidRPr="007225C9">
        <w:rPr>
          <w:rFonts w:ascii="Times New Roman" w:hAnsi="Times New Roman"/>
        </w:rPr>
        <w:t xml:space="preserve"> </w:t>
      </w:r>
    </w:p>
    <w:p w14:paraId="26A2DCC5" w14:textId="20976681" w:rsidR="00200234" w:rsidRPr="007225C9" w:rsidRDefault="00200234" w:rsidP="007225C9">
      <w:pPr>
        <w:pStyle w:val="HeadingL2"/>
        <w:spacing w:after="260" w:line="280" w:lineRule="exact"/>
        <w:ind w:right="0"/>
        <w:jc w:val="both"/>
        <w:rPr>
          <w:rFonts w:ascii="Times New Roman" w:hAnsi="Times New Roman"/>
        </w:rPr>
      </w:pPr>
      <w:r w:rsidRPr="007225C9">
        <w:rPr>
          <w:rFonts w:ascii="Times New Roman" w:hAnsi="Times New Roman"/>
        </w:rPr>
        <w:t>Stradford</w:t>
      </w:r>
    </w:p>
    <w:p w14:paraId="4FFC1921" w14:textId="5D64A11E" w:rsidR="00200234" w:rsidRPr="007225C9" w:rsidRDefault="006316C5" w:rsidP="007225C9">
      <w:pPr>
        <w:pStyle w:val="FixListStyle"/>
        <w:spacing w:after="260" w:line="280" w:lineRule="exact"/>
        <w:ind w:right="0"/>
        <w:jc w:val="both"/>
        <w:rPr>
          <w:rFonts w:ascii="Times New Roman" w:hAnsi="Times New Roman"/>
        </w:rPr>
      </w:pPr>
      <w:r w:rsidRPr="007225C9">
        <w:rPr>
          <w:rFonts w:ascii="Times New Roman" w:hAnsi="Times New Roman"/>
        </w:rPr>
        <w:tab/>
      </w:r>
      <w:r w:rsidR="00027CEE" w:rsidRPr="007225C9">
        <w:rPr>
          <w:rFonts w:ascii="Times New Roman" w:hAnsi="Times New Roman"/>
        </w:rPr>
        <w:t xml:space="preserve">That the proposed novel common law defence is inconsistent with constitutional principle is reinforced by the reasoning in </w:t>
      </w:r>
      <w:r w:rsidR="00027CEE" w:rsidRPr="007225C9">
        <w:rPr>
          <w:rFonts w:ascii="Times New Roman" w:hAnsi="Times New Roman"/>
          <w:i/>
          <w:iCs/>
        </w:rPr>
        <w:t>Stradford</w:t>
      </w:r>
      <w:r w:rsidR="00027CEE" w:rsidRPr="007225C9">
        <w:rPr>
          <w:rFonts w:ascii="Times New Roman" w:hAnsi="Times New Roman"/>
        </w:rPr>
        <w:t xml:space="preserve">. Although </w:t>
      </w:r>
      <w:r w:rsidR="00027CEE" w:rsidRPr="007225C9">
        <w:rPr>
          <w:rFonts w:ascii="Times New Roman" w:hAnsi="Times New Roman"/>
          <w:i/>
          <w:iCs/>
        </w:rPr>
        <w:t>Stradford</w:t>
      </w:r>
      <w:r w:rsidR="00027CEE" w:rsidRPr="007225C9">
        <w:rPr>
          <w:rFonts w:ascii="Times New Roman" w:hAnsi="Times New Roman"/>
        </w:rPr>
        <w:t xml:space="preserve"> recognised the difficulties faced by officers executing court orders and warrants that were found to be invalid,</w:t>
      </w:r>
      <w:r w:rsidR="00027CEE" w:rsidRPr="007225C9">
        <w:rPr>
          <w:rStyle w:val="FootnoteReference"/>
          <w:rFonts w:ascii="Times New Roman" w:hAnsi="Times New Roman"/>
          <w:sz w:val="24"/>
        </w:rPr>
        <w:footnoteReference w:id="41"/>
      </w:r>
      <w:r w:rsidR="00027CEE" w:rsidRPr="007225C9">
        <w:rPr>
          <w:rFonts w:ascii="Times New Roman" w:hAnsi="Times New Roman"/>
        </w:rPr>
        <w:t xml:space="preserve"> the rationale for affording a degree of protection at common law to those officers was that the </w:t>
      </w:r>
      <w:r w:rsidR="00647A2E" w:rsidRPr="007225C9">
        <w:rPr>
          <w:rFonts w:ascii="Times New Roman" w:hAnsi="Times New Roman"/>
        </w:rPr>
        <w:t>"</w:t>
      </w:r>
      <w:r w:rsidR="00027CEE" w:rsidRPr="007225C9">
        <w:rPr>
          <w:rFonts w:ascii="Times New Roman" w:hAnsi="Times New Roman"/>
        </w:rPr>
        <w:t>order and underlying</w:t>
      </w:r>
      <w:r w:rsidR="009B2638" w:rsidRPr="007225C9">
        <w:rPr>
          <w:rFonts w:ascii="Times New Roman" w:hAnsi="Times New Roman"/>
        </w:rPr>
        <w:t xml:space="preserve"> process</w:t>
      </w:r>
      <w:r w:rsidR="00CF2A1F" w:rsidRPr="007225C9">
        <w:rPr>
          <w:rFonts w:ascii="Times New Roman" w:hAnsi="Times New Roman"/>
        </w:rPr>
        <w:t>"</w:t>
      </w:r>
      <w:r w:rsidR="009B2638" w:rsidRPr="007225C9">
        <w:rPr>
          <w:rFonts w:ascii="Times New Roman" w:hAnsi="Times New Roman"/>
        </w:rPr>
        <w:t xml:space="preserve"> is judicial</w:t>
      </w:r>
      <w:r w:rsidR="009B2638" w:rsidRPr="007225C9">
        <w:rPr>
          <w:rStyle w:val="FootnoteReference"/>
          <w:rFonts w:ascii="Times New Roman" w:hAnsi="Times New Roman"/>
          <w:sz w:val="24"/>
        </w:rPr>
        <w:footnoteReference w:id="42"/>
      </w:r>
      <w:r w:rsidR="009B2638" w:rsidRPr="007225C9">
        <w:rPr>
          <w:rFonts w:ascii="Times New Roman" w:hAnsi="Times New Roman"/>
        </w:rPr>
        <w:t xml:space="preserve"> and that there is a need to protect the authority of judicial proceedings.</w:t>
      </w:r>
      <w:r w:rsidR="009B2638" w:rsidRPr="007225C9">
        <w:rPr>
          <w:rStyle w:val="FootnoteReference"/>
          <w:rFonts w:ascii="Times New Roman" w:hAnsi="Times New Roman"/>
          <w:sz w:val="24"/>
        </w:rPr>
        <w:footnoteReference w:id="43"/>
      </w:r>
      <w:r w:rsidR="009B2638" w:rsidRPr="007225C9">
        <w:rPr>
          <w:rFonts w:ascii="Times New Roman" w:hAnsi="Times New Roman"/>
        </w:rPr>
        <w:t xml:space="preserve"> It was observed:</w:t>
      </w:r>
      <w:r w:rsidR="009B2638" w:rsidRPr="007225C9">
        <w:rPr>
          <w:rStyle w:val="FootnoteReference"/>
          <w:rFonts w:ascii="Times New Roman" w:hAnsi="Times New Roman"/>
          <w:sz w:val="24"/>
        </w:rPr>
        <w:footnoteReference w:id="44"/>
      </w:r>
    </w:p>
    <w:p w14:paraId="5DBB9B4C" w14:textId="77777777" w:rsidR="007225C9" w:rsidRDefault="00496890" w:rsidP="007225C9">
      <w:pPr>
        <w:pStyle w:val="leftright"/>
        <w:spacing w:before="0" w:after="260" w:line="280" w:lineRule="exact"/>
        <w:ind w:right="0"/>
        <w:jc w:val="both"/>
        <w:rPr>
          <w:rFonts w:ascii="Times New Roman" w:hAnsi="Times New Roman"/>
        </w:rPr>
      </w:pPr>
      <w:r w:rsidRPr="007225C9">
        <w:rPr>
          <w:rFonts w:ascii="Times New Roman" w:hAnsi="Times New Roman"/>
        </w:rPr>
        <w:tab/>
      </w:r>
      <w:r w:rsidR="00A90ED5" w:rsidRPr="007225C9">
        <w:rPr>
          <w:rFonts w:ascii="Times New Roman" w:hAnsi="Times New Roman"/>
        </w:rPr>
        <w:t xml:space="preserve">"The </w:t>
      </w:r>
      <w:r w:rsidR="00A90ED5" w:rsidRPr="007225C9">
        <w:rPr>
          <w:rFonts w:ascii="Times New Roman" w:hAnsi="Times New Roman"/>
          <w:i/>
          <w:iCs/>
        </w:rPr>
        <w:t>authority of judicial proceedings</w:t>
      </w:r>
      <w:r w:rsidR="00A90ED5" w:rsidRPr="007225C9">
        <w:rPr>
          <w:rFonts w:ascii="Times New Roman" w:hAnsi="Times New Roman"/>
        </w:rPr>
        <w:t xml:space="preserve"> is best served by confirming that the common law affords some protection from civil liability to those who have a legal duty to enforce or execute </w:t>
      </w:r>
      <w:r w:rsidR="00A90ED5" w:rsidRPr="007225C9">
        <w:rPr>
          <w:rFonts w:ascii="Times New Roman" w:hAnsi="Times New Roman"/>
          <w:i/>
          <w:iCs/>
        </w:rPr>
        <w:t>orders or warrants</w:t>
      </w:r>
      <w:r w:rsidR="00A90ED5" w:rsidRPr="007225C9">
        <w:rPr>
          <w:rFonts w:ascii="Times New Roman" w:hAnsi="Times New Roman"/>
        </w:rPr>
        <w:t xml:space="preserve"> made or issued by a court in judicial proceedings ... To perform their role effectively, courts must have their orders enforced and that must be done by officials </w:t>
      </w:r>
      <w:r w:rsidR="00A90ED5" w:rsidRPr="007225C9">
        <w:rPr>
          <w:rFonts w:ascii="Times New Roman" w:hAnsi="Times New Roman"/>
        </w:rPr>
        <w:lastRenderedPageBreak/>
        <w:t>not subject to the unreasonable burden of having to investigate the validity of the orders or warrants presented to them."</w:t>
      </w:r>
    </w:p>
    <w:p w14:paraId="7A454DBD" w14:textId="04737E29" w:rsidR="009B2638" w:rsidRPr="007225C9" w:rsidRDefault="002D07FA" w:rsidP="007225C9">
      <w:pPr>
        <w:pStyle w:val="FixListStyle"/>
        <w:spacing w:after="260" w:line="280" w:lineRule="exact"/>
        <w:ind w:right="0"/>
        <w:jc w:val="both"/>
        <w:rPr>
          <w:rFonts w:ascii="Times New Roman" w:hAnsi="Times New Roman"/>
        </w:rPr>
      </w:pPr>
      <w:r w:rsidRPr="007225C9">
        <w:rPr>
          <w:rFonts w:ascii="Times New Roman" w:hAnsi="Times New Roman"/>
        </w:rPr>
        <w:tab/>
      </w:r>
      <w:proofErr w:type="gramStart"/>
      <w:r w:rsidR="00E511F7" w:rsidRPr="007225C9">
        <w:rPr>
          <w:rFonts w:ascii="Times New Roman" w:hAnsi="Times New Roman"/>
        </w:rPr>
        <w:t>Thus</w:t>
      </w:r>
      <w:proofErr w:type="gramEnd"/>
      <w:r w:rsidR="00E511F7" w:rsidRPr="007225C9">
        <w:rPr>
          <w:rFonts w:ascii="Times New Roman" w:hAnsi="Times New Roman"/>
        </w:rPr>
        <w:t xml:space="preserve"> the protection afforded to the officer by the common law recognised in </w:t>
      </w:r>
      <w:r w:rsidR="00E511F7" w:rsidRPr="007225C9">
        <w:rPr>
          <w:rFonts w:ascii="Times New Roman" w:hAnsi="Times New Roman"/>
          <w:i/>
          <w:iCs/>
        </w:rPr>
        <w:t>Stradford</w:t>
      </w:r>
      <w:r w:rsidR="00E511F7" w:rsidRPr="007225C9">
        <w:rPr>
          <w:rFonts w:ascii="Times New Roman" w:hAnsi="Times New Roman"/>
        </w:rPr>
        <w:t xml:space="preserve"> only arises in relation to the faithful execution of an (invalid) </w:t>
      </w:r>
      <w:r w:rsidR="00E511F7" w:rsidRPr="007225C9">
        <w:rPr>
          <w:rFonts w:ascii="Times New Roman" w:hAnsi="Times New Roman"/>
          <w:i/>
          <w:iCs/>
        </w:rPr>
        <w:t xml:space="preserve">order </w:t>
      </w:r>
      <w:r w:rsidR="00E511F7" w:rsidRPr="007225C9">
        <w:rPr>
          <w:rFonts w:ascii="Times New Roman" w:hAnsi="Times New Roman"/>
        </w:rPr>
        <w:t xml:space="preserve">or </w:t>
      </w:r>
      <w:r w:rsidR="00E511F7" w:rsidRPr="007225C9">
        <w:rPr>
          <w:rFonts w:ascii="Times New Roman" w:hAnsi="Times New Roman"/>
          <w:i/>
          <w:iCs/>
        </w:rPr>
        <w:t>warrant</w:t>
      </w:r>
      <w:r w:rsidR="00E511F7" w:rsidRPr="007225C9">
        <w:rPr>
          <w:rFonts w:ascii="Times New Roman" w:hAnsi="Times New Roman"/>
        </w:rPr>
        <w:t xml:space="preserve"> made or issued</w:t>
      </w:r>
      <w:r w:rsidR="00A97121" w:rsidRPr="007225C9">
        <w:rPr>
          <w:rFonts w:ascii="Times New Roman" w:hAnsi="Times New Roman"/>
        </w:rPr>
        <w:t xml:space="preserve"> by a court</w:t>
      </w:r>
      <w:r w:rsidR="00E511F7" w:rsidRPr="007225C9">
        <w:rPr>
          <w:rFonts w:ascii="Times New Roman" w:hAnsi="Times New Roman"/>
        </w:rPr>
        <w:t xml:space="preserve"> </w:t>
      </w:r>
      <w:proofErr w:type="gramStart"/>
      <w:r w:rsidR="00E511F7" w:rsidRPr="007225C9">
        <w:rPr>
          <w:rFonts w:ascii="Times New Roman" w:hAnsi="Times New Roman"/>
        </w:rPr>
        <w:t>in the course of</w:t>
      </w:r>
      <w:proofErr w:type="gramEnd"/>
      <w:r w:rsidR="00E511F7" w:rsidRPr="007225C9">
        <w:rPr>
          <w:rFonts w:ascii="Times New Roman" w:hAnsi="Times New Roman"/>
        </w:rPr>
        <w:t xml:space="preserve"> quelling disputes about previous conduct or events in the exercise of judicial power. The source of the officer</w:t>
      </w:r>
      <w:r w:rsidR="007E6AAC" w:rsidRPr="007225C9">
        <w:rPr>
          <w:rFonts w:ascii="Times New Roman" w:hAnsi="Times New Roman"/>
        </w:rPr>
        <w:t>'</w:t>
      </w:r>
      <w:r w:rsidR="00E511F7" w:rsidRPr="007225C9">
        <w:rPr>
          <w:rFonts w:ascii="Times New Roman" w:hAnsi="Times New Roman"/>
        </w:rPr>
        <w:t>s putative authority is their duty to execute the order itself, not the court</w:t>
      </w:r>
      <w:r w:rsidR="00A577D3" w:rsidRPr="007225C9">
        <w:rPr>
          <w:rFonts w:ascii="Times New Roman" w:hAnsi="Times New Roman"/>
        </w:rPr>
        <w:t>'</w:t>
      </w:r>
      <w:r w:rsidR="00E511F7" w:rsidRPr="007225C9">
        <w:rPr>
          <w:rFonts w:ascii="Times New Roman" w:hAnsi="Times New Roman"/>
        </w:rPr>
        <w:t xml:space="preserve">s reasoning or conclusion that purportedly justified the order. </w:t>
      </w:r>
      <w:r w:rsidR="00E511F7" w:rsidRPr="007225C9">
        <w:rPr>
          <w:rFonts w:ascii="Times New Roman" w:hAnsi="Times New Roman"/>
          <w:i/>
          <w:iCs/>
        </w:rPr>
        <w:t>Stradford</w:t>
      </w:r>
      <w:r w:rsidR="00E511F7" w:rsidRPr="007225C9">
        <w:rPr>
          <w:rFonts w:ascii="Times New Roman" w:hAnsi="Times New Roman"/>
        </w:rPr>
        <w:t xml:space="preserve"> does not afford protection to actions undertaken by an officer merely on the basis that the reasoning or conclusions of the court support the lawfulness of the officer</w:t>
      </w:r>
      <w:r w:rsidR="0021423D" w:rsidRPr="007225C9">
        <w:rPr>
          <w:rFonts w:ascii="Times New Roman" w:hAnsi="Times New Roman"/>
        </w:rPr>
        <w:t>'</w:t>
      </w:r>
      <w:r w:rsidR="00E511F7" w:rsidRPr="007225C9">
        <w:rPr>
          <w:rFonts w:ascii="Times New Roman" w:hAnsi="Times New Roman"/>
        </w:rPr>
        <w:t xml:space="preserve">s actions. Moreover, </w:t>
      </w:r>
      <w:r w:rsidR="00E511F7" w:rsidRPr="007225C9">
        <w:rPr>
          <w:rFonts w:ascii="Times New Roman" w:hAnsi="Times New Roman"/>
          <w:i/>
          <w:iCs/>
        </w:rPr>
        <w:t xml:space="preserve">Stradford </w:t>
      </w:r>
      <w:r w:rsidR="00E511F7" w:rsidRPr="007225C9">
        <w:rPr>
          <w:rFonts w:ascii="Times New Roman" w:hAnsi="Times New Roman"/>
        </w:rPr>
        <w:t xml:space="preserve">does not afford the officer any protection in relation to the execution of orders or warrants not issued by a court </w:t>
      </w:r>
      <w:proofErr w:type="gramStart"/>
      <w:r w:rsidR="00E511F7" w:rsidRPr="007225C9">
        <w:rPr>
          <w:rFonts w:ascii="Times New Roman" w:hAnsi="Times New Roman"/>
        </w:rPr>
        <w:t>in the course of</w:t>
      </w:r>
      <w:proofErr w:type="gramEnd"/>
      <w:r w:rsidR="00E511F7" w:rsidRPr="007225C9">
        <w:rPr>
          <w:rFonts w:ascii="Times New Roman" w:hAnsi="Times New Roman"/>
        </w:rPr>
        <w:t xml:space="preserve"> a judicial process (such as a search</w:t>
      </w:r>
      <w:r w:rsidR="00AA0CB8" w:rsidRPr="007225C9">
        <w:rPr>
          <w:rFonts w:ascii="Times New Roman" w:hAnsi="Times New Roman"/>
        </w:rPr>
        <w:t xml:space="preserve"> warrant).</w:t>
      </w:r>
      <w:r w:rsidR="00AA0CB8" w:rsidRPr="007225C9">
        <w:rPr>
          <w:rFonts w:ascii="Times New Roman" w:hAnsi="Times New Roman"/>
          <w:b/>
          <w:sz w:val="24"/>
          <w:vertAlign w:val="superscript"/>
        </w:rPr>
        <w:footnoteReference w:id="45"/>
      </w:r>
    </w:p>
    <w:p w14:paraId="43823136" w14:textId="6C55B725" w:rsidR="00AA0CB8" w:rsidRPr="007225C9" w:rsidRDefault="00E20C22" w:rsidP="007225C9">
      <w:pPr>
        <w:pStyle w:val="FixListStyle"/>
        <w:spacing w:after="260" w:line="280" w:lineRule="exact"/>
        <w:ind w:right="0"/>
        <w:jc w:val="both"/>
        <w:rPr>
          <w:rFonts w:ascii="Times New Roman" w:hAnsi="Times New Roman"/>
        </w:rPr>
      </w:pPr>
      <w:r w:rsidRPr="007225C9">
        <w:rPr>
          <w:rFonts w:ascii="Times New Roman" w:hAnsi="Times New Roman"/>
        </w:rPr>
        <w:tab/>
      </w:r>
      <w:r w:rsidR="00475AE1" w:rsidRPr="007225C9">
        <w:rPr>
          <w:rFonts w:ascii="Times New Roman" w:hAnsi="Times New Roman"/>
        </w:rPr>
        <w:t>If accepted</w:t>
      </w:r>
      <w:r w:rsidR="00C1133E" w:rsidRPr="007225C9">
        <w:rPr>
          <w:rFonts w:ascii="Times New Roman" w:hAnsi="Times New Roman"/>
        </w:rPr>
        <w:t>,</w:t>
      </w:r>
      <w:r w:rsidR="00475AE1" w:rsidRPr="007225C9">
        <w:rPr>
          <w:rFonts w:ascii="Times New Roman" w:hAnsi="Times New Roman"/>
        </w:rPr>
        <w:t xml:space="preserve"> the novel common law defence proposed by the Commonwealth would purport to confer protection on Commonwealth officers for unlawful acts they undertake, not in execution or on the basis of an order or warrant made in the exercise of judicial power, but instead on the basis of this Court's reasons or conclusions about the validity of Commonwealth legislation. That result would purport to confer on this Court</w:t>
      </w:r>
      <w:r w:rsidR="00490702" w:rsidRPr="007225C9">
        <w:rPr>
          <w:rFonts w:ascii="Times New Roman" w:hAnsi="Times New Roman"/>
        </w:rPr>
        <w:t>'</w:t>
      </w:r>
      <w:r w:rsidR="00475AE1" w:rsidRPr="007225C9">
        <w:rPr>
          <w:rFonts w:ascii="Times New Roman" w:hAnsi="Times New Roman"/>
        </w:rPr>
        <w:t>s reasons or conclusions an authority they do not possess.</w:t>
      </w:r>
      <w:r w:rsidR="00475AE1" w:rsidRPr="007225C9">
        <w:rPr>
          <w:rStyle w:val="FootnoteReference"/>
          <w:rFonts w:ascii="Times New Roman" w:hAnsi="Times New Roman"/>
          <w:sz w:val="24"/>
        </w:rPr>
        <w:footnoteReference w:id="46"/>
      </w:r>
      <w:r w:rsidR="00475AE1" w:rsidRPr="007225C9">
        <w:rPr>
          <w:rFonts w:ascii="Times New Roman" w:hAnsi="Times New Roman"/>
        </w:rPr>
        <w:t xml:space="preserve"> Otherwise the source and scope of the officer</w:t>
      </w:r>
      <w:r w:rsidR="006777F4" w:rsidRPr="007225C9">
        <w:rPr>
          <w:rFonts w:ascii="Times New Roman" w:hAnsi="Times New Roman"/>
        </w:rPr>
        <w:t>'</w:t>
      </w:r>
      <w:r w:rsidR="00475AE1" w:rsidRPr="007225C9">
        <w:rPr>
          <w:rFonts w:ascii="Times New Roman" w:hAnsi="Times New Roman"/>
        </w:rPr>
        <w:t xml:space="preserve">s putative authority would not be any court order but the legislation this Court ruled upon, but that legislation is not the outcome of the judicial process. Nothing in the rationale for the protection afforded to officers executing invalid orders or warrants recognised in </w:t>
      </w:r>
      <w:r w:rsidR="00475AE1" w:rsidRPr="007225C9">
        <w:rPr>
          <w:rFonts w:ascii="Times New Roman" w:hAnsi="Times New Roman"/>
          <w:i/>
          <w:iCs/>
        </w:rPr>
        <w:t>Stradford</w:t>
      </w:r>
      <w:r w:rsidR="00475AE1" w:rsidRPr="007225C9">
        <w:rPr>
          <w:rFonts w:ascii="Times New Roman" w:hAnsi="Times New Roman"/>
        </w:rPr>
        <w:t xml:space="preserve"> supports the adoption of a common law defence with those characteristics. Such a defence does not serve to protect the authority of judicial </w:t>
      </w:r>
      <w:proofErr w:type="gramStart"/>
      <w:r w:rsidR="00475AE1" w:rsidRPr="007225C9">
        <w:rPr>
          <w:rFonts w:ascii="Times New Roman" w:hAnsi="Times New Roman"/>
        </w:rPr>
        <w:t>proceedings</w:t>
      </w:r>
      <w:proofErr w:type="gramEnd"/>
      <w:r w:rsidR="00475AE1" w:rsidRPr="007225C9">
        <w:rPr>
          <w:rFonts w:ascii="Times New Roman" w:hAnsi="Times New Roman"/>
        </w:rPr>
        <w:t xml:space="preserve"> and it is inconsistent with fundamental principle to contend that the protection of the authority of Parliament requires the recognition of a common law defence for the unlawful acts of the executive. Both the rationale for the common law protection afforded to officers executing invalid orders or warrants</w:t>
      </w:r>
      <w:r w:rsidR="0065714C" w:rsidRPr="007225C9">
        <w:rPr>
          <w:rFonts w:ascii="Times New Roman" w:hAnsi="Times New Roman"/>
        </w:rPr>
        <w:t xml:space="preserve"> made or issued by a court</w:t>
      </w:r>
      <w:r w:rsidR="00475AE1" w:rsidRPr="007225C9">
        <w:rPr>
          <w:rFonts w:ascii="Times New Roman" w:hAnsi="Times New Roman"/>
        </w:rPr>
        <w:t xml:space="preserve"> recognised in </w:t>
      </w:r>
      <w:r w:rsidR="00475AE1" w:rsidRPr="007225C9">
        <w:rPr>
          <w:rFonts w:ascii="Times New Roman" w:hAnsi="Times New Roman"/>
          <w:i/>
          <w:iCs/>
        </w:rPr>
        <w:t>Stradford</w:t>
      </w:r>
      <w:r w:rsidR="00475AE1" w:rsidRPr="007225C9">
        <w:rPr>
          <w:rFonts w:ascii="Times New Roman" w:hAnsi="Times New Roman"/>
        </w:rPr>
        <w:t xml:space="preserve"> and the limits placed on that protection in </w:t>
      </w:r>
      <w:r w:rsidR="00475AE1" w:rsidRPr="007225C9">
        <w:rPr>
          <w:rFonts w:ascii="Times New Roman" w:hAnsi="Times New Roman"/>
          <w:i/>
          <w:iCs/>
        </w:rPr>
        <w:t>Stradford</w:t>
      </w:r>
      <w:r w:rsidR="00475AE1" w:rsidRPr="007225C9">
        <w:rPr>
          <w:rFonts w:ascii="Times New Roman" w:hAnsi="Times New Roman"/>
        </w:rPr>
        <w:t xml:space="preserve"> are inconsistent with the Commonwealth</w:t>
      </w:r>
      <w:r w:rsidR="00DF344B" w:rsidRPr="007225C9">
        <w:rPr>
          <w:rFonts w:ascii="Times New Roman" w:hAnsi="Times New Roman"/>
        </w:rPr>
        <w:t>'</w:t>
      </w:r>
      <w:r w:rsidR="00475AE1" w:rsidRPr="007225C9">
        <w:rPr>
          <w:rFonts w:ascii="Times New Roman" w:hAnsi="Times New Roman"/>
        </w:rPr>
        <w:t>s proposed novel common law defence.</w:t>
      </w:r>
    </w:p>
    <w:p w14:paraId="4AB8939C" w14:textId="6A95BA42" w:rsidR="00885B7B" w:rsidRPr="007225C9" w:rsidRDefault="00C03410" w:rsidP="007225C9">
      <w:pPr>
        <w:pStyle w:val="HeadingL1"/>
        <w:spacing w:after="260" w:line="280" w:lineRule="exact"/>
        <w:ind w:right="0"/>
        <w:jc w:val="both"/>
        <w:rPr>
          <w:rFonts w:ascii="Times New Roman" w:hAnsi="Times New Roman"/>
          <w:b w:val="0"/>
          <w:bCs/>
        </w:rPr>
      </w:pPr>
      <w:r w:rsidRPr="007225C9">
        <w:rPr>
          <w:rFonts w:ascii="Times New Roman" w:hAnsi="Times New Roman"/>
        </w:rPr>
        <w:lastRenderedPageBreak/>
        <w:t>Comparative case law</w:t>
      </w:r>
    </w:p>
    <w:p w14:paraId="00EDF699" w14:textId="2D97F61E" w:rsidR="009B7D19" w:rsidRPr="007225C9" w:rsidRDefault="00976B3C" w:rsidP="007225C9">
      <w:pPr>
        <w:pStyle w:val="FixListStyle"/>
        <w:spacing w:after="260" w:line="280" w:lineRule="exact"/>
        <w:ind w:right="0"/>
        <w:jc w:val="both"/>
        <w:rPr>
          <w:rFonts w:ascii="Times New Roman" w:hAnsi="Times New Roman"/>
        </w:rPr>
      </w:pPr>
      <w:r w:rsidRPr="007225C9">
        <w:rPr>
          <w:rFonts w:ascii="Times New Roman" w:hAnsi="Times New Roman"/>
        </w:rPr>
        <w:tab/>
      </w:r>
      <w:r w:rsidR="00C17A56" w:rsidRPr="007225C9">
        <w:rPr>
          <w:rFonts w:ascii="Times New Roman" w:hAnsi="Times New Roman"/>
        </w:rPr>
        <w:t>C</w:t>
      </w:r>
      <w:r w:rsidR="002203A3" w:rsidRPr="007225C9">
        <w:rPr>
          <w:rFonts w:ascii="Times New Roman" w:hAnsi="Times New Roman"/>
        </w:rPr>
        <w:t>ase law in the United Kin</w:t>
      </w:r>
      <w:r w:rsidR="007E1AF6" w:rsidRPr="007225C9">
        <w:rPr>
          <w:rFonts w:ascii="Times New Roman" w:hAnsi="Times New Roman"/>
        </w:rPr>
        <w:t xml:space="preserve">gdom </w:t>
      </w:r>
      <w:r w:rsidR="00AF3902" w:rsidRPr="007225C9">
        <w:rPr>
          <w:rFonts w:ascii="Times New Roman" w:hAnsi="Times New Roman"/>
        </w:rPr>
        <w:t>contains no</w:t>
      </w:r>
      <w:r w:rsidR="00FA3F28" w:rsidRPr="007225C9">
        <w:rPr>
          <w:rFonts w:ascii="Times New Roman" w:hAnsi="Times New Roman"/>
        </w:rPr>
        <w:t xml:space="preserve">thing </w:t>
      </w:r>
      <w:r w:rsidR="00AF3902" w:rsidRPr="007225C9">
        <w:rPr>
          <w:rFonts w:ascii="Times New Roman" w:hAnsi="Times New Roman"/>
        </w:rPr>
        <w:t xml:space="preserve">to </w:t>
      </w:r>
      <w:r w:rsidR="0033129F" w:rsidRPr="007225C9">
        <w:rPr>
          <w:rFonts w:ascii="Times New Roman" w:hAnsi="Times New Roman"/>
        </w:rPr>
        <w:t>indicate</w:t>
      </w:r>
      <w:r w:rsidR="00D3319E" w:rsidRPr="007225C9">
        <w:rPr>
          <w:rFonts w:ascii="Times New Roman" w:hAnsi="Times New Roman"/>
        </w:rPr>
        <w:t xml:space="preserve"> </w:t>
      </w:r>
      <w:r w:rsidR="0033129F" w:rsidRPr="007225C9">
        <w:rPr>
          <w:rFonts w:ascii="Times New Roman" w:hAnsi="Times New Roman"/>
        </w:rPr>
        <w:t xml:space="preserve">to </w:t>
      </w:r>
      <w:r w:rsidR="00AF3902" w:rsidRPr="007225C9">
        <w:rPr>
          <w:rFonts w:ascii="Times New Roman" w:hAnsi="Times New Roman"/>
        </w:rPr>
        <w:t>the contrary</w:t>
      </w:r>
      <w:r w:rsidR="00127BC5" w:rsidRPr="007225C9">
        <w:rPr>
          <w:rFonts w:ascii="Times New Roman" w:hAnsi="Times New Roman"/>
        </w:rPr>
        <w:t xml:space="preserve">. </w:t>
      </w:r>
      <w:r w:rsidR="00C2772C" w:rsidRPr="007225C9">
        <w:rPr>
          <w:rFonts w:ascii="Times New Roman" w:hAnsi="Times New Roman"/>
        </w:rPr>
        <w:t xml:space="preserve">The </w:t>
      </w:r>
      <w:r w:rsidR="007032A1" w:rsidRPr="007225C9">
        <w:rPr>
          <w:rFonts w:ascii="Times New Roman" w:hAnsi="Times New Roman"/>
        </w:rPr>
        <w:t xml:space="preserve">leading case </w:t>
      </w:r>
      <w:r w:rsidR="00C26010" w:rsidRPr="007225C9">
        <w:rPr>
          <w:rFonts w:ascii="Times New Roman" w:hAnsi="Times New Roman"/>
        </w:rPr>
        <w:t>is</w:t>
      </w:r>
      <w:r w:rsidR="002E7335" w:rsidRPr="007225C9">
        <w:rPr>
          <w:rFonts w:ascii="Times New Roman" w:hAnsi="Times New Roman"/>
        </w:rPr>
        <w:t xml:space="preserve"> </w:t>
      </w:r>
      <w:r w:rsidR="002E7335" w:rsidRPr="007225C9">
        <w:rPr>
          <w:rFonts w:ascii="Times New Roman" w:hAnsi="Times New Roman"/>
          <w:i/>
          <w:iCs/>
        </w:rPr>
        <w:t xml:space="preserve">R v Governor of </w:t>
      </w:r>
      <w:proofErr w:type="spellStart"/>
      <w:r w:rsidR="002E7335" w:rsidRPr="007225C9">
        <w:rPr>
          <w:rFonts w:ascii="Times New Roman" w:hAnsi="Times New Roman"/>
          <w:i/>
          <w:iCs/>
        </w:rPr>
        <w:t>Brockhill</w:t>
      </w:r>
      <w:proofErr w:type="spellEnd"/>
      <w:r w:rsidR="002E7335" w:rsidRPr="007225C9">
        <w:rPr>
          <w:rFonts w:ascii="Times New Roman" w:hAnsi="Times New Roman"/>
          <w:i/>
          <w:iCs/>
        </w:rPr>
        <w:t xml:space="preserve"> Prison; Ex </w:t>
      </w:r>
      <w:proofErr w:type="spellStart"/>
      <w:r w:rsidR="002E7335" w:rsidRPr="007225C9">
        <w:rPr>
          <w:rFonts w:ascii="Times New Roman" w:hAnsi="Times New Roman"/>
          <w:i/>
          <w:iCs/>
        </w:rPr>
        <w:t>parte</w:t>
      </w:r>
      <w:proofErr w:type="spellEnd"/>
      <w:r w:rsidR="002E7335" w:rsidRPr="007225C9">
        <w:rPr>
          <w:rFonts w:ascii="Times New Roman" w:hAnsi="Times New Roman"/>
          <w:i/>
          <w:iCs/>
        </w:rPr>
        <w:t xml:space="preserve"> Evans </w:t>
      </w:r>
      <w:r w:rsidR="009471ED" w:rsidRPr="007225C9">
        <w:rPr>
          <w:rFonts w:ascii="Times New Roman" w:hAnsi="Times New Roman"/>
          <w:i/>
          <w:iCs/>
        </w:rPr>
        <w:t>[</w:t>
      </w:r>
      <w:r w:rsidR="002E7335" w:rsidRPr="007225C9">
        <w:rPr>
          <w:rFonts w:ascii="Times New Roman" w:hAnsi="Times New Roman"/>
          <w:i/>
          <w:iCs/>
        </w:rPr>
        <w:t xml:space="preserve">No </w:t>
      </w:r>
      <w:r w:rsidR="00620A58" w:rsidRPr="007225C9">
        <w:rPr>
          <w:rFonts w:ascii="Times New Roman" w:hAnsi="Times New Roman"/>
          <w:i/>
          <w:iCs/>
        </w:rPr>
        <w:t>2</w:t>
      </w:r>
      <w:r w:rsidR="009471ED" w:rsidRPr="007225C9">
        <w:rPr>
          <w:rFonts w:ascii="Times New Roman" w:hAnsi="Times New Roman"/>
          <w:i/>
          <w:iCs/>
        </w:rPr>
        <w:t>]</w:t>
      </w:r>
      <w:r w:rsidR="00610530" w:rsidRPr="007225C9">
        <w:rPr>
          <w:rFonts w:ascii="Times New Roman" w:hAnsi="Times New Roman"/>
        </w:rPr>
        <w:t>,</w:t>
      </w:r>
      <w:r w:rsidR="000D450D" w:rsidRPr="007225C9">
        <w:rPr>
          <w:rStyle w:val="FootnoteReference"/>
          <w:rFonts w:ascii="Times New Roman" w:hAnsi="Times New Roman"/>
          <w:sz w:val="24"/>
        </w:rPr>
        <w:footnoteReference w:id="47"/>
      </w:r>
      <w:r w:rsidR="000D450D" w:rsidRPr="007225C9">
        <w:rPr>
          <w:rFonts w:ascii="Times New Roman" w:hAnsi="Times New Roman"/>
        </w:rPr>
        <w:t xml:space="preserve"> </w:t>
      </w:r>
      <w:r w:rsidR="00C26010" w:rsidRPr="007225C9">
        <w:rPr>
          <w:rFonts w:ascii="Times New Roman" w:hAnsi="Times New Roman"/>
        </w:rPr>
        <w:t xml:space="preserve">where the House of Lords was unanimous in holding </w:t>
      </w:r>
      <w:r w:rsidR="002104A0" w:rsidRPr="007225C9">
        <w:rPr>
          <w:rFonts w:ascii="Times New Roman" w:hAnsi="Times New Roman"/>
        </w:rPr>
        <w:t xml:space="preserve">that </w:t>
      </w:r>
      <w:r w:rsidR="002D7371" w:rsidRPr="007225C9">
        <w:rPr>
          <w:rFonts w:ascii="Times New Roman" w:hAnsi="Times New Roman"/>
        </w:rPr>
        <w:t xml:space="preserve">it </w:t>
      </w:r>
      <w:r w:rsidR="00742CDB" w:rsidRPr="007225C9">
        <w:rPr>
          <w:rFonts w:ascii="Times New Roman" w:hAnsi="Times New Roman"/>
        </w:rPr>
        <w:t>was</w:t>
      </w:r>
      <w:r w:rsidR="002D7371" w:rsidRPr="007225C9">
        <w:rPr>
          <w:rFonts w:ascii="Times New Roman" w:hAnsi="Times New Roman"/>
        </w:rPr>
        <w:t xml:space="preserve"> no defence to an action for false imprisonment</w:t>
      </w:r>
      <w:r w:rsidR="009B70B3" w:rsidRPr="007225C9">
        <w:rPr>
          <w:rFonts w:ascii="Times New Roman" w:hAnsi="Times New Roman"/>
        </w:rPr>
        <w:t xml:space="preserve"> that the defendant acted in accordance with a judicial interpretation of the law later held to be incorrect</w:t>
      </w:r>
      <w:r w:rsidR="000D450D" w:rsidRPr="007225C9">
        <w:rPr>
          <w:rFonts w:ascii="Times New Roman" w:hAnsi="Times New Roman"/>
          <w:i/>
          <w:iCs/>
        </w:rPr>
        <w:t xml:space="preserve">. </w:t>
      </w:r>
    </w:p>
    <w:p w14:paraId="6ECA1DC4" w14:textId="258132A9" w:rsidR="00C72B6D" w:rsidRPr="007225C9" w:rsidRDefault="009B7D19" w:rsidP="007225C9">
      <w:pPr>
        <w:pStyle w:val="FixListStyle"/>
        <w:spacing w:after="260" w:line="280" w:lineRule="exact"/>
        <w:ind w:right="0"/>
        <w:jc w:val="both"/>
        <w:rPr>
          <w:rFonts w:ascii="Times New Roman" w:hAnsi="Times New Roman"/>
        </w:rPr>
      </w:pPr>
      <w:r w:rsidRPr="007225C9">
        <w:rPr>
          <w:rFonts w:ascii="Times New Roman" w:hAnsi="Times New Roman"/>
          <w:i/>
          <w:iCs/>
        </w:rPr>
        <w:tab/>
      </w:r>
      <w:r w:rsidR="002364F7" w:rsidRPr="007225C9">
        <w:rPr>
          <w:rFonts w:ascii="Times New Roman" w:hAnsi="Times New Roman"/>
          <w:i/>
          <w:iCs/>
        </w:rPr>
        <w:t>Percy v Hall</w:t>
      </w:r>
      <w:r w:rsidR="002364F7" w:rsidRPr="007225C9">
        <w:rPr>
          <w:rFonts w:ascii="Times New Roman" w:hAnsi="Times New Roman"/>
        </w:rPr>
        <w:t>,</w:t>
      </w:r>
      <w:r w:rsidR="002364F7" w:rsidRPr="007225C9">
        <w:rPr>
          <w:rStyle w:val="FootnoteReference"/>
          <w:rFonts w:ascii="Times New Roman" w:hAnsi="Times New Roman"/>
          <w:sz w:val="24"/>
        </w:rPr>
        <w:footnoteReference w:id="48"/>
      </w:r>
      <w:r w:rsidR="002364F7" w:rsidRPr="007225C9">
        <w:rPr>
          <w:rFonts w:ascii="Times New Roman" w:hAnsi="Times New Roman"/>
        </w:rPr>
        <w:t xml:space="preserve"> </w:t>
      </w:r>
      <w:r w:rsidR="004D505C" w:rsidRPr="007225C9">
        <w:rPr>
          <w:rFonts w:ascii="Times New Roman" w:hAnsi="Times New Roman"/>
        </w:rPr>
        <w:t xml:space="preserve">an </w:t>
      </w:r>
      <w:r w:rsidR="007D47CD" w:rsidRPr="007225C9">
        <w:rPr>
          <w:rFonts w:ascii="Times New Roman" w:hAnsi="Times New Roman"/>
        </w:rPr>
        <w:t xml:space="preserve">earlier </w:t>
      </w:r>
      <w:r w:rsidR="002203A3" w:rsidRPr="007225C9">
        <w:rPr>
          <w:rFonts w:ascii="Times New Roman" w:hAnsi="Times New Roman"/>
        </w:rPr>
        <w:t>decision of the Court of Appeal of England and Wales</w:t>
      </w:r>
      <w:r w:rsidR="00B90530" w:rsidRPr="007225C9">
        <w:rPr>
          <w:rFonts w:ascii="Times New Roman" w:hAnsi="Times New Roman"/>
        </w:rPr>
        <w:t xml:space="preserve">, </w:t>
      </w:r>
      <w:r w:rsidR="00F90A64" w:rsidRPr="007225C9">
        <w:rPr>
          <w:rFonts w:ascii="Times New Roman" w:hAnsi="Times New Roman"/>
        </w:rPr>
        <w:t>on which the Commonwealth principally r</w:t>
      </w:r>
      <w:r w:rsidR="00AC0D83" w:rsidRPr="007225C9">
        <w:rPr>
          <w:rFonts w:ascii="Times New Roman" w:hAnsi="Times New Roman"/>
        </w:rPr>
        <w:t>e</w:t>
      </w:r>
      <w:r w:rsidR="00F90A64" w:rsidRPr="007225C9">
        <w:rPr>
          <w:rFonts w:ascii="Times New Roman" w:hAnsi="Times New Roman"/>
        </w:rPr>
        <w:t>lies</w:t>
      </w:r>
      <w:r w:rsidR="00942405" w:rsidRPr="007225C9">
        <w:rPr>
          <w:rFonts w:ascii="Times New Roman" w:hAnsi="Times New Roman"/>
        </w:rPr>
        <w:t xml:space="preserve">, </w:t>
      </w:r>
      <w:r w:rsidR="00F40AA7" w:rsidRPr="007225C9">
        <w:rPr>
          <w:rFonts w:ascii="Times New Roman" w:hAnsi="Times New Roman"/>
        </w:rPr>
        <w:t xml:space="preserve">was distinguished in </w:t>
      </w:r>
      <w:r w:rsidR="00F40AA7" w:rsidRPr="007225C9">
        <w:rPr>
          <w:rFonts w:ascii="Times New Roman" w:hAnsi="Times New Roman"/>
          <w:i/>
          <w:iCs/>
        </w:rPr>
        <w:t xml:space="preserve">Evans </w:t>
      </w:r>
      <w:r w:rsidR="002936E8" w:rsidRPr="007225C9">
        <w:rPr>
          <w:rFonts w:ascii="Times New Roman" w:hAnsi="Times New Roman"/>
          <w:i/>
          <w:iCs/>
        </w:rPr>
        <w:t>[</w:t>
      </w:r>
      <w:r w:rsidR="00F40AA7" w:rsidRPr="007225C9">
        <w:rPr>
          <w:rFonts w:ascii="Times New Roman" w:hAnsi="Times New Roman"/>
          <w:i/>
          <w:iCs/>
        </w:rPr>
        <w:t>No 2</w:t>
      </w:r>
      <w:r w:rsidR="002936E8" w:rsidRPr="007225C9">
        <w:rPr>
          <w:rFonts w:ascii="Times New Roman" w:hAnsi="Times New Roman"/>
          <w:i/>
          <w:iCs/>
        </w:rPr>
        <w:t>]</w:t>
      </w:r>
      <w:r w:rsidR="00A64B10" w:rsidRPr="007225C9">
        <w:rPr>
          <w:rStyle w:val="FootnoteReference"/>
          <w:rFonts w:ascii="Times New Roman" w:hAnsi="Times New Roman"/>
          <w:sz w:val="24"/>
        </w:rPr>
        <w:footnoteReference w:id="49"/>
      </w:r>
      <w:r w:rsidR="00F40AA7" w:rsidRPr="007225C9">
        <w:rPr>
          <w:rFonts w:ascii="Times New Roman" w:hAnsi="Times New Roman"/>
        </w:rPr>
        <w:t xml:space="preserve"> and </w:t>
      </w:r>
      <w:r w:rsidR="00C85338" w:rsidRPr="007225C9">
        <w:rPr>
          <w:rFonts w:ascii="Times New Roman" w:hAnsi="Times New Roman"/>
        </w:rPr>
        <w:t>has s</w:t>
      </w:r>
      <w:r w:rsidR="00F40AA7" w:rsidRPr="007225C9">
        <w:rPr>
          <w:rFonts w:ascii="Times New Roman" w:hAnsi="Times New Roman"/>
        </w:rPr>
        <w:t>ince</w:t>
      </w:r>
      <w:r w:rsidR="00C85338" w:rsidRPr="007225C9">
        <w:rPr>
          <w:rFonts w:ascii="Times New Roman" w:hAnsi="Times New Roman"/>
        </w:rPr>
        <w:t xml:space="preserve"> been </w:t>
      </w:r>
      <w:r w:rsidR="00DC13DB" w:rsidRPr="007225C9">
        <w:rPr>
          <w:rFonts w:ascii="Times New Roman" w:hAnsi="Times New Roman"/>
        </w:rPr>
        <w:t xml:space="preserve">explained </w:t>
      </w:r>
      <w:r w:rsidR="00926256" w:rsidRPr="007225C9">
        <w:rPr>
          <w:rFonts w:ascii="Times New Roman" w:hAnsi="Times New Roman"/>
        </w:rPr>
        <w:t xml:space="preserve">by </w:t>
      </w:r>
      <w:r w:rsidR="006174AC" w:rsidRPr="007225C9">
        <w:rPr>
          <w:rFonts w:ascii="Times New Roman" w:hAnsi="Times New Roman"/>
        </w:rPr>
        <w:t xml:space="preserve">the Supreme Court of </w:t>
      </w:r>
      <w:r w:rsidR="00C23ABB" w:rsidRPr="007225C9">
        <w:rPr>
          <w:rFonts w:ascii="Times New Roman" w:hAnsi="Times New Roman"/>
        </w:rPr>
        <w:t xml:space="preserve">the United Kingdom in </w:t>
      </w:r>
      <w:r w:rsidR="00AD3BCF" w:rsidRPr="007225C9">
        <w:rPr>
          <w:rFonts w:ascii="Times New Roman" w:hAnsi="Times New Roman"/>
          <w:i/>
          <w:iCs/>
        </w:rPr>
        <w:t xml:space="preserve">R </w:t>
      </w:r>
      <w:r w:rsidR="007800DA" w:rsidRPr="007225C9">
        <w:rPr>
          <w:rFonts w:ascii="Times New Roman" w:hAnsi="Times New Roman"/>
          <w:i/>
          <w:iCs/>
        </w:rPr>
        <w:t>(Majera</w:t>
      </w:r>
      <w:r w:rsidR="003E6272" w:rsidRPr="007225C9">
        <w:rPr>
          <w:rFonts w:ascii="Times New Roman" w:hAnsi="Times New Roman"/>
          <w:i/>
          <w:iCs/>
        </w:rPr>
        <w:t xml:space="preserve"> (formerly SM (Rwanda))</w:t>
      </w:r>
      <w:r w:rsidR="007800DA" w:rsidRPr="007225C9">
        <w:rPr>
          <w:rFonts w:ascii="Times New Roman" w:hAnsi="Times New Roman"/>
          <w:i/>
          <w:iCs/>
        </w:rPr>
        <w:t>) v Secretary of State for the Home Department</w:t>
      </w:r>
      <w:r w:rsidR="00AB08F2" w:rsidRPr="007225C9">
        <w:rPr>
          <w:rStyle w:val="FootnoteReference"/>
          <w:rFonts w:ascii="Times New Roman" w:hAnsi="Times New Roman"/>
          <w:sz w:val="24"/>
        </w:rPr>
        <w:footnoteReference w:id="50"/>
      </w:r>
      <w:r w:rsidR="00AE4692" w:rsidRPr="007225C9">
        <w:rPr>
          <w:rFonts w:ascii="Times New Roman" w:hAnsi="Times New Roman"/>
          <w:i/>
          <w:iCs/>
        </w:rPr>
        <w:t xml:space="preserve"> </w:t>
      </w:r>
      <w:r w:rsidR="00AC623A" w:rsidRPr="007225C9">
        <w:rPr>
          <w:rFonts w:ascii="Times New Roman" w:hAnsi="Times New Roman"/>
        </w:rPr>
        <w:t xml:space="preserve">to have </w:t>
      </w:r>
      <w:r w:rsidR="0072796C" w:rsidRPr="007225C9">
        <w:rPr>
          <w:rFonts w:ascii="Times New Roman" w:hAnsi="Times New Roman"/>
        </w:rPr>
        <w:t xml:space="preserve">involved </w:t>
      </w:r>
      <w:r w:rsidR="004850C4" w:rsidRPr="007225C9">
        <w:rPr>
          <w:rFonts w:ascii="Times New Roman" w:hAnsi="Times New Roman"/>
        </w:rPr>
        <w:t>police</w:t>
      </w:r>
      <w:r w:rsidR="0072796C" w:rsidRPr="007225C9">
        <w:rPr>
          <w:rFonts w:ascii="Times New Roman" w:hAnsi="Times New Roman"/>
        </w:rPr>
        <w:t xml:space="preserve"> officers being </w:t>
      </w:r>
      <w:r w:rsidR="009F3540" w:rsidRPr="007225C9">
        <w:rPr>
          <w:rFonts w:ascii="Times New Roman" w:hAnsi="Times New Roman"/>
        </w:rPr>
        <w:t>acknowledged</w:t>
      </w:r>
      <w:r w:rsidR="00F03C3C" w:rsidRPr="007225C9">
        <w:rPr>
          <w:rFonts w:ascii="Times New Roman" w:hAnsi="Times New Roman"/>
        </w:rPr>
        <w:t xml:space="preserve"> to have a</w:t>
      </w:r>
      <w:r w:rsidR="004850C4" w:rsidRPr="007225C9">
        <w:rPr>
          <w:rFonts w:ascii="Times New Roman" w:hAnsi="Times New Roman"/>
        </w:rPr>
        <w:t xml:space="preserve">cted </w:t>
      </w:r>
      <w:r w:rsidR="00AC4EB3" w:rsidRPr="007225C9">
        <w:rPr>
          <w:rFonts w:ascii="Times New Roman" w:hAnsi="Times New Roman"/>
        </w:rPr>
        <w:t xml:space="preserve">within the scope of </w:t>
      </w:r>
      <w:r w:rsidR="007217AF" w:rsidRPr="007225C9">
        <w:rPr>
          <w:rFonts w:ascii="Times New Roman" w:hAnsi="Times New Roman"/>
        </w:rPr>
        <w:t xml:space="preserve">the </w:t>
      </w:r>
      <w:r w:rsidR="00681981" w:rsidRPr="007225C9">
        <w:rPr>
          <w:rFonts w:ascii="Times New Roman" w:hAnsi="Times New Roman"/>
        </w:rPr>
        <w:t>power</w:t>
      </w:r>
      <w:r w:rsidR="00610530" w:rsidRPr="007225C9">
        <w:rPr>
          <w:rFonts w:ascii="Times New Roman" w:hAnsi="Times New Roman"/>
        </w:rPr>
        <w:t xml:space="preserve"> of arrest</w:t>
      </w:r>
      <w:r w:rsidR="007B2553" w:rsidRPr="007225C9">
        <w:rPr>
          <w:rFonts w:ascii="Times New Roman" w:hAnsi="Times New Roman"/>
        </w:rPr>
        <w:t xml:space="preserve"> </w:t>
      </w:r>
      <w:r w:rsidR="00671CEF" w:rsidRPr="007225C9">
        <w:rPr>
          <w:rFonts w:ascii="Times New Roman" w:hAnsi="Times New Roman"/>
        </w:rPr>
        <w:t xml:space="preserve">statutorily </w:t>
      </w:r>
      <w:r w:rsidR="00823F82" w:rsidRPr="007225C9">
        <w:rPr>
          <w:rFonts w:ascii="Times New Roman" w:hAnsi="Times New Roman"/>
        </w:rPr>
        <w:t xml:space="preserve">conferred </w:t>
      </w:r>
      <w:r w:rsidR="005315A5" w:rsidRPr="007225C9">
        <w:rPr>
          <w:rFonts w:ascii="Times New Roman" w:hAnsi="Times New Roman"/>
        </w:rPr>
        <w:t xml:space="preserve">on them </w:t>
      </w:r>
      <w:r w:rsidR="00517E93" w:rsidRPr="007225C9">
        <w:rPr>
          <w:rFonts w:ascii="Times New Roman" w:hAnsi="Times New Roman"/>
        </w:rPr>
        <w:t>when</w:t>
      </w:r>
      <w:r w:rsidR="006E06BF" w:rsidRPr="007225C9">
        <w:rPr>
          <w:rFonts w:ascii="Times New Roman" w:hAnsi="Times New Roman"/>
        </w:rPr>
        <w:t xml:space="preserve"> </w:t>
      </w:r>
      <w:r w:rsidR="0034431D" w:rsidRPr="007225C9">
        <w:rPr>
          <w:rFonts w:ascii="Times New Roman" w:hAnsi="Times New Roman"/>
        </w:rPr>
        <w:t xml:space="preserve">detaining </w:t>
      </w:r>
      <w:r w:rsidR="00A24646" w:rsidRPr="007225C9">
        <w:rPr>
          <w:rFonts w:ascii="Times New Roman" w:hAnsi="Times New Roman"/>
        </w:rPr>
        <w:t>indiv</w:t>
      </w:r>
      <w:r w:rsidR="004364D8" w:rsidRPr="007225C9">
        <w:rPr>
          <w:rFonts w:ascii="Times New Roman" w:hAnsi="Times New Roman"/>
        </w:rPr>
        <w:t xml:space="preserve">iduals </w:t>
      </w:r>
      <w:r w:rsidR="00DE33B2" w:rsidRPr="007225C9">
        <w:rPr>
          <w:rFonts w:ascii="Times New Roman" w:hAnsi="Times New Roman"/>
        </w:rPr>
        <w:t xml:space="preserve">for offences against </w:t>
      </w:r>
      <w:r w:rsidR="00801F7B" w:rsidRPr="007225C9">
        <w:rPr>
          <w:rFonts w:ascii="Times New Roman" w:hAnsi="Times New Roman"/>
        </w:rPr>
        <w:t xml:space="preserve">bylaws </w:t>
      </w:r>
      <w:r w:rsidR="0000772E" w:rsidRPr="007225C9">
        <w:rPr>
          <w:rFonts w:ascii="Times New Roman" w:hAnsi="Times New Roman"/>
        </w:rPr>
        <w:t xml:space="preserve">even if those bylaws </w:t>
      </w:r>
      <w:r w:rsidR="002F5CB5" w:rsidRPr="007225C9">
        <w:rPr>
          <w:rFonts w:ascii="Times New Roman" w:hAnsi="Times New Roman"/>
        </w:rPr>
        <w:t xml:space="preserve">had </w:t>
      </w:r>
      <w:r w:rsidR="00801F7B" w:rsidRPr="007225C9">
        <w:rPr>
          <w:rFonts w:ascii="Times New Roman" w:hAnsi="Times New Roman"/>
        </w:rPr>
        <w:t xml:space="preserve">subsequently </w:t>
      </w:r>
      <w:r w:rsidR="002F5CB5" w:rsidRPr="007225C9">
        <w:rPr>
          <w:rFonts w:ascii="Times New Roman" w:hAnsi="Times New Roman"/>
        </w:rPr>
        <w:t xml:space="preserve">been </w:t>
      </w:r>
      <w:r w:rsidR="00801F7B" w:rsidRPr="007225C9">
        <w:rPr>
          <w:rFonts w:ascii="Times New Roman" w:hAnsi="Times New Roman"/>
        </w:rPr>
        <w:t>held to have been invalid.</w:t>
      </w:r>
      <w:r w:rsidR="00517E93" w:rsidRPr="007225C9">
        <w:rPr>
          <w:rFonts w:ascii="Times New Roman" w:hAnsi="Times New Roman"/>
        </w:rPr>
        <w:t xml:space="preserve"> </w:t>
      </w:r>
      <w:r w:rsidR="001B6B54" w:rsidRPr="007225C9">
        <w:rPr>
          <w:rFonts w:ascii="Times New Roman" w:hAnsi="Times New Roman"/>
        </w:rPr>
        <w:t>That is to say,</w:t>
      </w:r>
      <w:r w:rsidR="0088399C" w:rsidRPr="007225C9">
        <w:rPr>
          <w:rFonts w:ascii="Times New Roman" w:hAnsi="Times New Roman"/>
        </w:rPr>
        <w:t xml:space="preserve"> </w:t>
      </w:r>
      <w:r w:rsidR="0088399C" w:rsidRPr="007225C9">
        <w:rPr>
          <w:rFonts w:ascii="Times New Roman" w:hAnsi="Times New Roman"/>
          <w:i/>
          <w:iCs/>
        </w:rPr>
        <w:t xml:space="preserve">Percy v Hall </w:t>
      </w:r>
      <w:r w:rsidR="00A518C7" w:rsidRPr="007225C9">
        <w:rPr>
          <w:rFonts w:ascii="Times New Roman" w:hAnsi="Times New Roman"/>
        </w:rPr>
        <w:t>can</w:t>
      </w:r>
      <w:r w:rsidR="006A31BF" w:rsidRPr="007225C9">
        <w:rPr>
          <w:rFonts w:ascii="Times New Roman" w:hAnsi="Times New Roman"/>
        </w:rPr>
        <w:t xml:space="preserve"> be understood</w:t>
      </w:r>
      <w:r w:rsidR="0088399C" w:rsidRPr="007225C9">
        <w:rPr>
          <w:rFonts w:ascii="Times New Roman" w:hAnsi="Times New Roman"/>
        </w:rPr>
        <w:t xml:space="preserve"> not </w:t>
      </w:r>
      <w:r w:rsidR="00D83124" w:rsidRPr="007225C9">
        <w:rPr>
          <w:rFonts w:ascii="Times New Roman" w:hAnsi="Times New Roman"/>
        </w:rPr>
        <w:t xml:space="preserve">as </w:t>
      </w:r>
      <w:r w:rsidR="0088399C" w:rsidRPr="007225C9">
        <w:rPr>
          <w:rFonts w:ascii="Times New Roman" w:hAnsi="Times New Roman"/>
        </w:rPr>
        <w:t xml:space="preserve">a case </w:t>
      </w:r>
      <w:r w:rsidR="00053FAA" w:rsidRPr="007225C9">
        <w:rPr>
          <w:rFonts w:ascii="Times New Roman" w:hAnsi="Times New Roman"/>
        </w:rPr>
        <w:t>in which</w:t>
      </w:r>
      <w:r w:rsidR="0088399C" w:rsidRPr="007225C9">
        <w:rPr>
          <w:rFonts w:ascii="Times New Roman" w:hAnsi="Times New Roman"/>
        </w:rPr>
        <w:t xml:space="preserve"> </w:t>
      </w:r>
      <w:r w:rsidR="0032442D" w:rsidRPr="007225C9">
        <w:rPr>
          <w:rFonts w:ascii="Times New Roman" w:hAnsi="Times New Roman"/>
        </w:rPr>
        <w:t xml:space="preserve">police officers </w:t>
      </w:r>
      <w:r w:rsidR="00053FAA" w:rsidRPr="007225C9">
        <w:rPr>
          <w:rFonts w:ascii="Times New Roman" w:hAnsi="Times New Roman"/>
        </w:rPr>
        <w:t>were</w:t>
      </w:r>
      <w:r w:rsidR="0032442D" w:rsidRPr="007225C9">
        <w:rPr>
          <w:rFonts w:ascii="Times New Roman" w:hAnsi="Times New Roman"/>
        </w:rPr>
        <w:t xml:space="preserve"> </w:t>
      </w:r>
      <w:r w:rsidR="002F5CB5" w:rsidRPr="007225C9">
        <w:rPr>
          <w:rFonts w:ascii="Times New Roman" w:hAnsi="Times New Roman"/>
        </w:rPr>
        <w:t>acknowledged</w:t>
      </w:r>
      <w:r w:rsidR="0032442D" w:rsidRPr="007225C9">
        <w:rPr>
          <w:rFonts w:ascii="Times New Roman" w:hAnsi="Times New Roman"/>
        </w:rPr>
        <w:t xml:space="preserve"> to have </w:t>
      </w:r>
      <w:r w:rsidR="0042527A" w:rsidRPr="007225C9">
        <w:rPr>
          <w:rFonts w:ascii="Times New Roman" w:hAnsi="Times New Roman"/>
        </w:rPr>
        <w:t xml:space="preserve">had a </w:t>
      </w:r>
      <w:r w:rsidR="00155926" w:rsidRPr="007225C9">
        <w:rPr>
          <w:rFonts w:ascii="Times New Roman" w:hAnsi="Times New Roman"/>
        </w:rPr>
        <w:t xml:space="preserve">common law </w:t>
      </w:r>
      <w:r w:rsidR="0042527A" w:rsidRPr="007225C9">
        <w:rPr>
          <w:rFonts w:ascii="Times New Roman" w:hAnsi="Times New Roman"/>
        </w:rPr>
        <w:t xml:space="preserve">defence to </w:t>
      </w:r>
      <w:r w:rsidR="00155926" w:rsidRPr="007225C9">
        <w:rPr>
          <w:rFonts w:ascii="Times New Roman" w:hAnsi="Times New Roman"/>
        </w:rPr>
        <w:t>an action for false imprisonment</w:t>
      </w:r>
      <w:r w:rsidR="004B09B9" w:rsidRPr="007225C9">
        <w:rPr>
          <w:rFonts w:ascii="Times New Roman" w:hAnsi="Times New Roman"/>
        </w:rPr>
        <w:t xml:space="preserve"> </w:t>
      </w:r>
      <w:r w:rsidR="002F5CB5" w:rsidRPr="007225C9">
        <w:rPr>
          <w:rFonts w:ascii="Times New Roman" w:hAnsi="Times New Roman"/>
        </w:rPr>
        <w:t xml:space="preserve">based on </w:t>
      </w:r>
      <w:r w:rsidR="00A2149F" w:rsidRPr="007225C9">
        <w:rPr>
          <w:rFonts w:ascii="Times New Roman" w:hAnsi="Times New Roman"/>
        </w:rPr>
        <w:t xml:space="preserve">their </w:t>
      </w:r>
      <w:r w:rsidR="002F5CB5" w:rsidRPr="007225C9">
        <w:rPr>
          <w:rFonts w:ascii="Times New Roman" w:hAnsi="Times New Roman"/>
        </w:rPr>
        <w:t xml:space="preserve">having </w:t>
      </w:r>
      <w:r w:rsidR="00C06664" w:rsidRPr="007225C9">
        <w:rPr>
          <w:rFonts w:ascii="Times New Roman" w:hAnsi="Times New Roman"/>
        </w:rPr>
        <w:t xml:space="preserve">acted on </w:t>
      </w:r>
      <w:r w:rsidR="00601F3B" w:rsidRPr="007225C9">
        <w:rPr>
          <w:rFonts w:ascii="Times New Roman" w:hAnsi="Times New Roman"/>
        </w:rPr>
        <w:t xml:space="preserve">the presumption that the bylaws were valid </w:t>
      </w:r>
      <w:r w:rsidR="004B09B9" w:rsidRPr="007225C9">
        <w:rPr>
          <w:rFonts w:ascii="Times New Roman" w:hAnsi="Times New Roman"/>
        </w:rPr>
        <w:t xml:space="preserve">but </w:t>
      </w:r>
      <w:r w:rsidR="00053FAA" w:rsidRPr="007225C9">
        <w:rPr>
          <w:rFonts w:ascii="Times New Roman" w:hAnsi="Times New Roman"/>
        </w:rPr>
        <w:t xml:space="preserve">as </w:t>
      </w:r>
      <w:r w:rsidR="004B09B9" w:rsidRPr="007225C9">
        <w:rPr>
          <w:rFonts w:ascii="Times New Roman" w:hAnsi="Times New Roman"/>
        </w:rPr>
        <w:t xml:space="preserve">a case </w:t>
      </w:r>
      <w:r w:rsidR="00053FAA" w:rsidRPr="007225C9">
        <w:rPr>
          <w:rFonts w:ascii="Times New Roman" w:hAnsi="Times New Roman"/>
        </w:rPr>
        <w:t xml:space="preserve">in which </w:t>
      </w:r>
      <w:r w:rsidR="004B09B9" w:rsidRPr="007225C9">
        <w:rPr>
          <w:rFonts w:ascii="Times New Roman" w:hAnsi="Times New Roman"/>
        </w:rPr>
        <w:t xml:space="preserve">the elements of the </w:t>
      </w:r>
      <w:r w:rsidR="004A20D3" w:rsidRPr="007225C9">
        <w:rPr>
          <w:rFonts w:ascii="Times New Roman" w:hAnsi="Times New Roman"/>
        </w:rPr>
        <w:t xml:space="preserve">tort of false imprisonment were not </w:t>
      </w:r>
      <w:r w:rsidR="00053FAA" w:rsidRPr="007225C9">
        <w:rPr>
          <w:rFonts w:ascii="Times New Roman" w:hAnsi="Times New Roman"/>
        </w:rPr>
        <w:t>established</w:t>
      </w:r>
      <w:r w:rsidR="004A20D3" w:rsidRPr="007225C9">
        <w:rPr>
          <w:rFonts w:ascii="Times New Roman" w:hAnsi="Times New Roman"/>
        </w:rPr>
        <w:t xml:space="preserve"> because the </w:t>
      </w:r>
      <w:r w:rsidR="00AF1CF7" w:rsidRPr="007225C9">
        <w:rPr>
          <w:rFonts w:ascii="Times New Roman" w:hAnsi="Times New Roman"/>
        </w:rPr>
        <w:t xml:space="preserve">detention </w:t>
      </w:r>
      <w:r w:rsidR="00B16AFF" w:rsidRPr="007225C9">
        <w:rPr>
          <w:rFonts w:ascii="Times New Roman" w:hAnsi="Times New Roman"/>
        </w:rPr>
        <w:t xml:space="preserve">pursuant to the </w:t>
      </w:r>
      <w:r w:rsidR="005F0132" w:rsidRPr="007225C9">
        <w:rPr>
          <w:rFonts w:ascii="Times New Roman" w:hAnsi="Times New Roman"/>
        </w:rPr>
        <w:t xml:space="preserve">statutory </w:t>
      </w:r>
      <w:r w:rsidR="00B16AFF" w:rsidRPr="007225C9">
        <w:rPr>
          <w:rFonts w:ascii="Times New Roman" w:hAnsi="Times New Roman"/>
        </w:rPr>
        <w:t xml:space="preserve">power of arrest </w:t>
      </w:r>
      <w:r w:rsidR="00C2015F" w:rsidRPr="007225C9">
        <w:rPr>
          <w:rFonts w:ascii="Times New Roman" w:hAnsi="Times New Roman"/>
        </w:rPr>
        <w:t xml:space="preserve">would have been </w:t>
      </w:r>
      <w:r w:rsidR="00AF1CF7" w:rsidRPr="007225C9">
        <w:rPr>
          <w:rFonts w:ascii="Times New Roman" w:hAnsi="Times New Roman"/>
        </w:rPr>
        <w:t>lawful</w:t>
      </w:r>
      <w:r w:rsidR="00C2015F" w:rsidRPr="007225C9">
        <w:rPr>
          <w:rFonts w:ascii="Times New Roman" w:hAnsi="Times New Roman"/>
        </w:rPr>
        <w:t xml:space="preserve"> even if the bylaws had been invalid</w:t>
      </w:r>
      <w:r w:rsidR="00AF1CF7" w:rsidRPr="007225C9">
        <w:rPr>
          <w:rFonts w:ascii="Times New Roman" w:hAnsi="Times New Roman"/>
        </w:rPr>
        <w:t>.</w:t>
      </w:r>
    </w:p>
    <w:p w14:paraId="68072B48" w14:textId="73E5DCBE" w:rsidR="003B659F" w:rsidRPr="007225C9" w:rsidRDefault="00C2015F" w:rsidP="007225C9">
      <w:pPr>
        <w:pStyle w:val="FixListStyle"/>
        <w:spacing w:after="260" w:line="280" w:lineRule="exact"/>
        <w:ind w:right="0"/>
        <w:jc w:val="both"/>
        <w:rPr>
          <w:rFonts w:ascii="Times New Roman" w:hAnsi="Times New Roman"/>
        </w:rPr>
      </w:pPr>
      <w:r w:rsidRPr="007225C9">
        <w:rPr>
          <w:rFonts w:ascii="Times New Roman" w:hAnsi="Times New Roman"/>
        </w:rPr>
        <w:tab/>
      </w:r>
      <w:r w:rsidR="00260627" w:rsidRPr="007225C9">
        <w:rPr>
          <w:rFonts w:ascii="Times New Roman" w:hAnsi="Times New Roman"/>
        </w:rPr>
        <w:t xml:space="preserve">Unlike </w:t>
      </w:r>
      <w:r w:rsidR="00705A79" w:rsidRPr="007225C9">
        <w:rPr>
          <w:rFonts w:ascii="Times New Roman" w:hAnsi="Times New Roman"/>
        </w:rPr>
        <w:t xml:space="preserve">in </w:t>
      </w:r>
      <w:r w:rsidR="00260627" w:rsidRPr="007225C9">
        <w:rPr>
          <w:rFonts w:ascii="Times New Roman" w:hAnsi="Times New Roman"/>
        </w:rPr>
        <w:t>the United Kingdom</w:t>
      </w:r>
      <w:r w:rsidR="0078044A" w:rsidRPr="007225C9">
        <w:rPr>
          <w:rFonts w:ascii="Times New Roman" w:hAnsi="Times New Roman"/>
        </w:rPr>
        <w:t>, c</w:t>
      </w:r>
      <w:r w:rsidR="00410AFB" w:rsidRPr="007225C9">
        <w:rPr>
          <w:rFonts w:ascii="Times New Roman" w:hAnsi="Times New Roman"/>
        </w:rPr>
        <w:t xml:space="preserve">ase law in Canada </w:t>
      </w:r>
      <w:r w:rsidR="00050CD4" w:rsidRPr="007225C9">
        <w:rPr>
          <w:rFonts w:ascii="Times New Roman" w:hAnsi="Times New Roman"/>
        </w:rPr>
        <w:t xml:space="preserve">does provide superficial support for the </w:t>
      </w:r>
      <w:r w:rsidR="00E545EF" w:rsidRPr="007225C9">
        <w:rPr>
          <w:rFonts w:ascii="Times New Roman" w:hAnsi="Times New Roman"/>
        </w:rPr>
        <w:t xml:space="preserve">argument of </w:t>
      </w:r>
      <w:r w:rsidR="0078044A" w:rsidRPr="007225C9">
        <w:rPr>
          <w:rFonts w:ascii="Times New Roman" w:hAnsi="Times New Roman"/>
        </w:rPr>
        <w:t xml:space="preserve">the Commonwealth to the </w:t>
      </w:r>
      <w:r w:rsidR="00D26D2B" w:rsidRPr="007225C9">
        <w:rPr>
          <w:rFonts w:ascii="Times New Roman" w:hAnsi="Times New Roman"/>
        </w:rPr>
        <w:t>extent that the</w:t>
      </w:r>
      <w:r w:rsidR="006F554D" w:rsidRPr="007225C9">
        <w:rPr>
          <w:rFonts w:ascii="Times New Roman" w:hAnsi="Times New Roman"/>
        </w:rPr>
        <w:t xml:space="preserve"> Supreme Court of Canada</w:t>
      </w:r>
      <w:r w:rsidR="006F3175" w:rsidRPr="007225C9">
        <w:rPr>
          <w:rFonts w:ascii="Times New Roman" w:hAnsi="Times New Roman"/>
        </w:rPr>
        <w:t xml:space="preserve"> has </w:t>
      </w:r>
      <w:r w:rsidR="00B227CE" w:rsidRPr="007225C9">
        <w:rPr>
          <w:rFonts w:ascii="Times New Roman" w:hAnsi="Times New Roman"/>
        </w:rPr>
        <w:t>developed</w:t>
      </w:r>
      <w:r w:rsidR="006F3175" w:rsidRPr="007225C9">
        <w:rPr>
          <w:rFonts w:ascii="Times New Roman" w:hAnsi="Times New Roman"/>
        </w:rPr>
        <w:t xml:space="preserve"> in the context of the </w:t>
      </w:r>
      <w:r w:rsidR="0090520C" w:rsidRPr="007225C9">
        <w:rPr>
          <w:rFonts w:ascii="Times New Roman" w:hAnsi="Times New Roman"/>
          <w:i/>
          <w:iCs/>
        </w:rPr>
        <w:t>Canadian Charter of Rights and Freedoms</w:t>
      </w:r>
      <w:r w:rsidR="0090520C" w:rsidRPr="007225C9">
        <w:rPr>
          <w:rFonts w:ascii="Times New Roman" w:hAnsi="Times New Roman"/>
        </w:rPr>
        <w:t xml:space="preserve"> </w:t>
      </w:r>
      <w:r w:rsidR="00B227CE" w:rsidRPr="007225C9">
        <w:rPr>
          <w:rFonts w:ascii="Times New Roman" w:hAnsi="Times New Roman"/>
        </w:rPr>
        <w:t xml:space="preserve">a general principle </w:t>
      </w:r>
      <w:r w:rsidR="003957E5" w:rsidRPr="007225C9">
        <w:rPr>
          <w:rFonts w:ascii="Times New Roman" w:hAnsi="Times New Roman"/>
        </w:rPr>
        <w:t xml:space="preserve">of "qualified immunity" </w:t>
      </w:r>
      <w:r w:rsidR="00285785" w:rsidRPr="007225C9">
        <w:rPr>
          <w:rFonts w:ascii="Times New Roman" w:hAnsi="Times New Roman"/>
        </w:rPr>
        <w:t xml:space="preserve">to the effect </w:t>
      </w:r>
      <w:r w:rsidR="007E5E44" w:rsidRPr="007225C9">
        <w:rPr>
          <w:rFonts w:ascii="Times New Roman" w:hAnsi="Times New Roman"/>
        </w:rPr>
        <w:t xml:space="preserve">that </w:t>
      </w:r>
      <w:r w:rsidR="001A3B20" w:rsidRPr="007225C9">
        <w:rPr>
          <w:rFonts w:ascii="Times New Roman" w:hAnsi="Times New Roman"/>
        </w:rPr>
        <w:t xml:space="preserve">where </w:t>
      </w:r>
      <w:r w:rsidR="007E5E44" w:rsidRPr="007225C9">
        <w:rPr>
          <w:rFonts w:ascii="Times New Roman" w:hAnsi="Times New Roman"/>
        </w:rPr>
        <w:t>a</w:t>
      </w:r>
      <w:r w:rsidR="000D23AF" w:rsidRPr="007225C9">
        <w:rPr>
          <w:rFonts w:ascii="Times New Roman" w:hAnsi="Times New Roman"/>
        </w:rPr>
        <w:t xml:space="preserve"> </w:t>
      </w:r>
      <w:r w:rsidR="00F35338" w:rsidRPr="007225C9">
        <w:rPr>
          <w:rFonts w:ascii="Times New Roman" w:hAnsi="Times New Roman"/>
        </w:rPr>
        <w:t xml:space="preserve">public </w:t>
      </w:r>
      <w:r w:rsidR="008E3A5A" w:rsidRPr="007225C9">
        <w:rPr>
          <w:rFonts w:ascii="Times New Roman" w:hAnsi="Times New Roman"/>
        </w:rPr>
        <w:t xml:space="preserve">official </w:t>
      </w:r>
      <w:r w:rsidR="002F4282" w:rsidRPr="007225C9">
        <w:rPr>
          <w:rFonts w:ascii="Times New Roman" w:hAnsi="Times New Roman"/>
        </w:rPr>
        <w:t xml:space="preserve">acts reasonably </w:t>
      </w:r>
      <w:r w:rsidR="00F32F0D" w:rsidRPr="007225C9">
        <w:rPr>
          <w:rFonts w:ascii="Times New Roman" w:hAnsi="Times New Roman"/>
        </w:rPr>
        <w:t xml:space="preserve">in </w:t>
      </w:r>
      <w:r w:rsidR="007B6C67" w:rsidRPr="007225C9">
        <w:rPr>
          <w:rFonts w:ascii="Times New Roman" w:hAnsi="Times New Roman"/>
        </w:rPr>
        <w:t>light of the current state of the law</w:t>
      </w:r>
      <w:r w:rsidR="00F35338" w:rsidRPr="007225C9">
        <w:rPr>
          <w:rFonts w:ascii="Times New Roman" w:hAnsi="Times New Roman"/>
        </w:rPr>
        <w:t xml:space="preserve">, </w:t>
      </w:r>
      <w:r w:rsidR="007B6C67" w:rsidRPr="007225C9">
        <w:rPr>
          <w:rFonts w:ascii="Times New Roman" w:hAnsi="Times New Roman"/>
        </w:rPr>
        <w:t xml:space="preserve">and it is only subsequently determined that the </w:t>
      </w:r>
      <w:r w:rsidR="00952922" w:rsidRPr="007225C9">
        <w:rPr>
          <w:rFonts w:ascii="Times New Roman" w:hAnsi="Times New Roman"/>
        </w:rPr>
        <w:t xml:space="preserve">official's </w:t>
      </w:r>
      <w:r w:rsidR="007B6C67" w:rsidRPr="007225C9">
        <w:rPr>
          <w:rFonts w:ascii="Times New Roman" w:hAnsi="Times New Roman"/>
        </w:rPr>
        <w:t xml:space="preserve">action was </w:t>
      </w:r>
      <w:r w:rsidR="00952922" w:rsidRPr="007225C9">
        <w:rPr>
          <w:rFonts w:ascii="Times New Roman" w:hAnsi="Times New Roman"/>
        </w:rPr>
        <w:t>unconstitutional</w:t>
      </w:r>
      <w:r w:rsidR="00F35338" w:rsidRPr="007225C9">
        <w:rPr>
          <w:rFonts w:ascii="Times New Roman" w:hAnsi="Times New Roman"/>
        </w:rPr>
        <w:t xml:space="preserve">, </w:t>
      </w:r>
      <w:r w:rsidR="00E53A15" w:rsidRPr="007225C9">
        <w:rPr>
          <w:rFonts w:ascii="Times New Roman" w:hAnsi="Times New Roman"/>
        </w:rPr>
        <w:t xml:space="preserve">the official will not be liable </w:t>
      </w:r>
      <w:r w:rsidR="006106E2" w:rsidRPr="007225C9">
        <w:rPr>
          <w:rFonts w:ascii="Times New Roman" w:hAnsi="Times New Roman"/>
        </w:rPr>
        <w:t xml:space="preserve">for </w:t>
      </w:r>
      <w:r w:rsidR="00E53A15" w:rsidRPr="007225C9">
        <w:rPr>
          <w:rFonts w:ascii="Times New Roman" w:hAnsi="Times New Roman"/>
        </w:rPr>
        <w:t xml:space="preserve">damages </w:t>
      </w:r>
      <w:r w:rsidR="00C91034" w:rsidRPr="007225C9">
        <w:rPr>
          <w:rFonts w:ascii="Times New Roman" w:hAnsi="Times New Roman"/>
        </w:rPr>
        <w:t>under s 24</w:t>
      </w:r>
      <w:r w:rsidR="00681614" w:rsidRPr="007225C9">
        <w:rPr>
          <w:rFonts w:ascii="Times New Roman" w:hAnsi="Times New Roman"/>
        </w:rPr>
        <w:t xml:space="preserve">(1) of the </w:t>
      </w:r>
      <w:r w:rsidR="00681614" w:rsidRPr="007225C9">
        <w:rPr>
          <w:rFonts w:ascii="Times New Roman" w:hAnsi="Times New Roman"/>
          <w:i/>
          <w:iCs/>
        </w:rPr>
        <w:t>Charter</w:t>
      </w:r>
      <w:r w:rsidR="00681614" w:rsidRPr="007225C9">
        <w:rPr>
          <w:rFonts w:ascii="Times New Roman" w:hAnsi="Times New Roman"/>
        </w:rPr>
        <w:t xml:space="preserve"> or under </w:t>
      </w:r>
      <w:r w:rsidR="00CE55DA" w:rsidRPr="007225C9">
        <w:rPr>
          <w:rFonts w:ascii="Times New Roman" w:hAnsi="Times New Roman"/>
        </w:rPr>
        <w:t xml:space="preserve">the general law of </w:t>
      </w:r>
      <w:r w:rsidR="00665648" w:rsidRPr="007225C9">
        <w:rPr>
          <w:rFonts w:ascii="Times New Roman" w:hAnsi="Times New Roman"/>
        </w:rPr>
        <w:t>civil liability</w:t>
      </w:r>
      <w:r w:rsidR="00BA428A" w:rsidRPr="007225C9">
        <w:rPr>
          <w:rFonts w:ascii="Times New Roman" w:hAnsi="Times New Roman"/>
        </w:rPr>
        <w:t>.</w:t>
      </w:r>
      <w:r w:rsidR="00665648" w:rsidRPr="007225C9">
        <w:rPr>
          <w:rStyle w:val="FootnoteReference"/>
          <w:rFonts w:ascii="Times New Roman" w:hAnsi="Times New Roman"/>
          <w:sz w:val="24"/>
        </w:rPr>
        <w:footnoteReference w:id="51"/>
      </w:r>
      <w:r w:rsidR="00BA428A" w:rsidRPr="007225C9">
        <w:rPr>
          <w:rFonts w:ascii="Times New Roman" w:hAnsi="Times New Roman"/>
        </w:rPr>
        <w:t xml:space="preserve"> The rationale for that </w:t>
      </w:r>
      <w:r w:rsidR="005F2F56" w:rsidRPr="007225C9">
        <w:rPr>
          <w:rFonts w:ascii="Times New Roman" w:hAnsi="Times New Roman"/>
        </w:rPr>
        <w:t xml:space="preserve">principle </w:t>
      </w:r>
      <w:r w:rsidR="00A367EB" w:rsidRPr="007225C9">
        <w:rPr>
          <w:rFonts w:ascii="Times New Roman" w:hAnsi="Times New Roman"/>
        </w:rPr>
        <w:t xml:space="preserve">has been stated </w:t>
      </w:r>
      <w:r w:rsidR="005F2F56" w:rsidRPr="007225C9">
        <w:rPr>
          <w:rFonts w:ascii="Times New Roman" w:hAnsi="Times New Roman"/>
        </w:rPr>
        <w:t>in terms th</w:t>
      </w:r>
      <w:r w:rsidR="00B053AD" w:rsidRPr="007225C9">
        <w:rPr>
          <w:rFonts w:ascii="Times New Roman" w:hAnsi="Times New Roman"/>
        </w:rPr>
        <w:t>at "</w:t>
      </w:r>
      <w:r w:rsidR="00712EC5" w:rsidRPr="007225C9">
        <w:rPr>
          <w:rFonts w:ascii="Times New Roman" w:hAnsi="Times New Roman"/>
        </w:rPr>
        <w:t>good governance requires that</w:t>
      </w:r>
      <w:r w:rsidR="0066307D" w:rsidRPr="007225C9">
        <w:rPr>
          <w:rFonts w:ascii="Times New Roman" w:hAnsi="Times New Roman"/>
        </w:rPr>
        <w:t xml:space="preserve"> public officials</w:t>
      </w:r>
      <w:r w:rsidR="00EA1EFD" w:rsidRPr="007225C9">
        <w:rPr>
          <w:rFonts w:ascii="Times New Roman" w:hAnsi="Times New Roman"/>
        </w:rPr>
        <w:t xml:space="preserve"> carry out their duties</w:t>
      </w:r>
      <w:r w:rsidR="00664044" w:rsidRPr="007225C9">
        <w:rPr>
          <w:rFonts w:ascii="Times New Roman" w:hAnsi="Times New Roman"/>
        </w:rPr>
        <w:t xml:space="preserve"> </w:t>
      </w:r>
      <w:r w:rsidR="00664044" w:rsidRPr="007225C9">
        <w:rPr>
          <w:rFonts w:ascii="Times New Roman" w:hAnsi="Times New Roman"/>
        </w:rPr>
        <w:lastRenderedPageBreak/>
        <w:t>under valid statutes</w:t>
      </w:r>
      <w:r w:rsidR="00433E66" w:rsidRPr="007225C9">
        <w:rPr>
          <w:rFonts w:ascii="Times New Roman" w:hAnsi="Times New Roman"/>
        </w:rPr>
        <w:t xml:space="preserve"> without fear of liability in the event that the statute is later struck down</w:t>
      </w:r>
      <w:r w:rsidR="009E716E" w:rsidRPr="007225C9">
        <w:rPr>
          <w:rFonts w:ascii="Times New Roman" w:hAnsi="Times New Roman"/>
        </w:rPr>
        <w:t>".</w:t>
      </w:r>
      <w:r w:rsidR="00A367EB" w:rsidRPr="007225C9">
        <w:rPr>
          <w:rStyle w:val="FootnoteReference"/>
          <w:rFonts w:ascii="Times New Roman" w:hAnsi="Times New Roman"/>
          <w:sz w:val="24"/>
        </w:rPr>
        <w:footnoteReference w:id="52"/>
      </w:r>
      <w:r w:rsidR="00F42905" w:rsidRPr="007225C9">
        <w:rPr>
          <w:rFonts w:ascii="Times New Roman" w:hAnsi="Times New Roman"/>
        </w:rPr>
        <w:t xml:space="preserve"> </w:t>
      </w:r>
    </w:p>
    <w:p w14:paraId="710A2EE0" w14:textId="79E71277" w:rsidR="00C2015F" w:rsidRPr="007225C9" w:rsidRDefault="003B659F" w:rsidP="007225C9">
      <w:pPr>
        <w:pStyle w:val="FixListStyle"/>
        <w:spacing w:after="260" w:line="280" w:lineRule="exact"/>
        <w:ind w:right="0"/>
        <w:jc w:val="both"/>
        <w:rPr>
          <w:rFonts w:ascii="Times New Roman" w:hAnsi="Times New Roman"/>
        </w:rPr>
      </w:pPr>
      <w:r w:rsidRPr="007225C9">
        <w:rPr>
          <w:rFonts w:ascii="Times New Roman" w:hAnsi="Times New Roman"/>
        </w:rPr>
        <w:tab/>
      </w:r>
      <w:r w:rsidR="00F42905" w:rsidRPr="007225C9">
        <w:rPr>
          <w:rFonts w:ascii="Times New Roman" w:hAnsi="Times New Roman"/>
        </w:rPr>
        <w:t xml:space="preserve">However, as is apparent even from that </w:t>
      </w:r>
      <w:r w:rsidR="003E03AB" w:rsidRPr="007225C9">
        <w:rPr>
          <w:rFonts w:ascii="Times New Roman" w:hAnsi="Times New Roman"/>
        </w:rPr>
        <w:t xml:space="preserve">statement of the rationale, </w:t>
      </w:r>
      <w:r w:rsidR="00110BFF" w:rsidRPr="007225C9">
        <w:rPr>
          <w:rFonts w:ascii="Times New Roman" w:hAnsi="Times New Roman"/>
        </w:rPr>
        <w:t>the principle</w:t>
      </w:r>
      <w:r w:rsidR="00992FF9" w:rsidRPr="007225C9">
        <w:rPr>
          <w:rFonts w:ascii="Times New Roman" w:hAnsi="Times New Roman"/>
        </w:rPr>
        <w:t xml:space="preserve"> of qualified immunity </w:t>
      </w:r>
      <w:r w:rsidR="00752A34" w:rsidRPr="007225C9">
        <w:rPr>
          <w:rFonts w:ascii="Times New Roman" w:hAnsi="Times New Roman"/>
        </w:rPr>
        <w:t xml:space="preserve">as developed by </w:t>
      </w:r>
      <w:r w:rsidR="00992FF9" w:rsidRPr="007225C9">
        <w:rPr>
          <w:rFonts w:ascii="Times New Roman" w:hAnsi="Times New Roman"/>
        </w:rPr>
        <w:t xml:space="preserve">the Supreme Court of Canada </w:t>
      </w:r>
      <w:r w:rsidR="00110BFF" w:rsidRPr="007225C9">
        <w:rPr>
          <w:rFonts w:ascii="Times New Roman" w:hAnsi="Times New Roman"/>
        </w:rPr>
        <w:t xml:space="preserve">is inextricably linked </w:t>
      </w:r>
      <w:r w:rsidR="00E22517" w:rsidRPr="007225C9">
        <w:rPr>
          <w:rFonts w:ascii="Times New Roman" w:hAnsi="Times New Roman"/>
        </w:rPr>
        <w:t xml:space="preserve">to the </w:t>
      </w:r>
      <w:r w:rsidR="00E802D1" w:rsidRPr="007225C9">
        <w:rPr>
          <w:rFonts w:ascii="Times New Roman" w:hAnsi="Times New Roman"/>
        </w:rPr>
        <w:t xml:space="preserve">understanding </w:t>
      </w:r>
      <w:r w:rsidR="00E22517" w:rsidRPr="007225C9">
        <w:rPr>
          <w:rFonts w:ascii="Times New Roman" w:hAnsi="Times New Roman"/>
        </w:rPr>
        <w:t xml:space="preserve">that the </w:t>
      </w:r>
      <w:r w:rsidR="00C70C62" w:rsidRPr="007225C9">
        <w:rPr>
          <w:rFonts w:ascii="Times New Roman" w:hAnsi="Times New Roman"/>
        </w:rPr>
        <w:t xml:space="preserve">power of the </w:t>
      </w:r>
      <w:r w:rsidR="00E22517" w:rsidRPr="007225C9">
        <w:rPr>
          <w:rFonts w:ascii="Times New Roman" w:hAnsi="Times New Roman"/>
        </w:rPr>
        <w:t xml:space="preserve">Supreme </w:t>
      </w:r>
      <w:r w:rsidR="00F409E7" w:rsidRPr="007225C9">
        <w:rPr>
          <w:rFonts w:ascii="Times New Roman" w:hAnsi="Times New Roman"/>
        </w:rPr>
        <w:t xml:space="preserve">Court </w:t>
      </w:r>
      <w:r w:rsidR="002E722E" w:rsidRPr="007225C9">
        <w:rPr>
          <w:rFonts w:ascii="Times New Roman" w:hAnsi="Times New Roman"/>
        </w:rPr>
        <w:t xml:space="preserve">to </w:t>
      </w:r>
      <w:r w:rsidR="0089236F" w:rsidRPr="007225C9">
        <w:rPr>
          <w:rFonts w:ascii="Times New Roman" w:hAnsi="Times New Roman"/>
        </w:rPr>
        <w:t xml:space="preserve">craft constitutional remedies </w:t>
      </w:r>
      <w:r w:rsidR="00293775" w:rsidRPr="007225C9">
        <w:rPr>
          <w:rFonts w:ascii="Times New Roman" w:hAnsi="Times New Roman"/>
        </w:rPr>
        <w:t xml:space="preserve">entitles it in an appropriate case to limit the retroactive effect of </w:t>
      </w:r>
      <w:r w:rsidR="007A36F1" w:rsidRPr="007225C9">
        <w:rPr>
          <w:rFonts w:ascii="Times New Roman" w:hAnsi="Times New Roman"/>
        </w:rPr>
        <w:t>a</w:t>
      </w:r>
      <w:r w:rsidR="00293775" w:rsidRPr="007225C9">
        <w:rPr>
          <w:rFonts w:ascii="Times New Roman" w:hAnsi="Times New Roman"/>
        </w:rPr>
        <w:t xml:space="preserve"> </w:t>
      </w:r>
      <w:r w:rsidR="0005041E" w:rsidRPr="007225C9">
        <w:rPr>
          <w:rFonts w:ascii="Times New Roman" w:hAnsi="Times New Roman"/>
        </w:rPr>
        <w:t xml:space="preserve">declaration </w:t>
      </w:r>
      <w:r w:rsidR="007A36F1" w:rsidRPr="007225C9">
        <w:rPr>
          <w:rFonts w:ascii="Times New Roman" w:hAnsi="Times New Roman"/>
        </w:rPr>
        <w:t>of unconstitutionality</w:t>
      </w:r>
      <w:r w:rsidR="00293775" w:rsidRPr="007225C9">
        <w:rPr>
          <w:rFonts w:ascii="Times New Roman" w:hAnsi="Times New Roman"/>
        </w:rPr>
        <w:t xml:space="preserve">. </w:t>
      </w:r>
      <w:r w:rsidR="00D85CB4" w:rsidRPr="007225C9">
        <w:rPr>
          <w:rFonts w:ascii="Times New Roman" w:hAnsi="Times New Roman"/>
        </w:rPr>
        <w:t>Th</w:t>
      </w:r>
      <w:r w:rsidR="00B30CD8" w:rsidRPr="007225C9">
        <w:rPr>
          <w:rFonts w:ascii="Times New Roman" w:hAnsi="Times New Roman"/>
        </w:rPr>
        <w:t>at</w:t>
      </w:r>
      <w:r w:rsidR="00D85CB4" w:rsidRPr="007225C9">
        <w:rPr>
          <w:rFonts w:ascii="Times New Roman" w:hAnsi="Times New Roman"/>
        </w:rPr>
        <w:t xml:space="preserve"> </w:t>
      </w:r>
      <w:r w:rsidR="00364786" w:rsidRPr="007225C9">
        <w:rPr>
          <w:rFonts w:ascii="Times New Roman" w:hAnsi="Times New Roman"/>
        </w:rPr>
        <w:t xml:space="preserve">link </w:t>
      </w:r>
      <w:r w:rsidR="007A36F1" w:rsidRPr="007225C9">
        <w:rPr>
          <w:rFonts w:ascii="Times New Roman" w:hAnsi="Times New Roman"/>
        </w:rPr>
        <w:t xml:space="preserve">was </w:t>
      </w:r>
      <w:r w:rsidR="003574CC" w:rsidRPr="007225C9">
        <w:rPr>
          <w:rFonts w:ascii="Times New Roman" w:hAnsi="Times New Roman"/>
        </w:rPr>
        <w:t xml:space="preserve">made </w:t>
      </w:r>
      <w:r w:rsidR="007A36F1" w:rsidRPr="007225C9">
        <w:rPr>
          <w:rFonts w:ascii="Times New Roman" w:hAnsi="Times New Roman"/>
        </w:rPr>
        <w:t>explicit</w:t>
      </w:r>
      <w:r w:rsidR="003574CC" w:rsidRPr="007225C9">
        <w:rPr>
          <w:rFonts w:ascii="Times New Roman" w:hAnsi="Times New Roman"/>
        </w:rPr>
        <w:t xml:space="preserve"> </w:t>
      </w:r>
      <w:r w:rsidR="00E161F1" w:rsidRPr="007225C9">
        <w:rPr>
          <w:rFonts w:ascii="Times New Roman" w:hAnsi="Times New Roman"/>
        </w:rPr>
        <w:t>by the Supreme Court</w:t>
      </w:r>
      <w:r w:rsidR="007A36F1" w:rsidRPr="007225C9">
        <w:rPr>
          <w:rFonts w:ascii="Times New Roman" w:hAnsi="Times New Roman"/>
        </w:rPr>
        <w:t xml:space="preserve"> </w:t>
      </w:r>
      <w:r w:rsidR="00E161F1" w:rsidRPr="007225C9">
        <w:rPr>
          <w:rFonts w:ascii="Times New Roman" w:hAnsi="Times New Roman"/>
        </w:rPr>
        <w:t xml:space="preserve">in </w:t>
      </w:r>
      <w:r w:rsidR="00E161F1" w:rsidRPr="007225C9">
        <w:rPr>
          <w:rFonts w:ascii="Times New Roman" w:hAnsi="Times New Roman"/>
          <w:i/>
          <w:iCs/>
        </w:rPr>
        <w:t>Canada</w:t>
      </w:r>
      <w:r w:rsidR="00CE5FD6" w:rsidRPr="007225C9">
        <w:rPr>
          <w:rFonts w:ascii="Times New Roman" w:hAnsi="Times New Roman"/>
          <w:i/>
          <w:iCs/>
        </w:rPr>
        <w:t xml:space="preserve"> (Attorney General)</w:t>
      </w:r>
      <w:r w:rsidR="00E161F1" w:rsidRPr="007225C9">
        <w:rPr>
          <w:rFonts w:ascii="Times New Roman" w:hAnsi="Times New Roman"/>
          <w:i/>
          <w:iCs/>
        </w:rPr>
        <w:t xml:space="preserve"> v </w:t>
      </w:r>
      <w:r w:rsidR="0002714B" w:rsidRPr="007225C9">
        <w:rPr>
          <w:rFonts w:ascii="Times New Roman" w:hAnsi="Times New Roman"/>
          <w:i/>
          <w:iCs/>
        </w:rPr>
        <w:t>Hislop</w:t>
      </w:r>
      <w:r w:rsidR="0002714B" w:rsidRPr="007225C9">
        <w:rPr>
          <w:rStyle w:val="FootnoteReference"/>
          <w:rFonts w:ascii="Times New Roman" w:hAnsi="Times New Roman"/>
          <w:sz w:val="24"/>
        </w:rPr>
        <w:footnoteReference w:id="53"/>
      </w:r>
      <w:r w:rsidR="003574CC" w:rsidRPr="007225C9">
        <w:rPr>
          <w:rFonts w:ascii="Times New Roman" w:hAnsi="Times New Roman"/>
        </w:rPr>
        <w:t xml:space="preserve"> </w:t>
      </w:r>
      <w:r w:rsidR="007D19BB" w:rsidRPr="007225C9">
        <w:rPr>
          <w:rFonts w:ascii="Times New Roman" w:hAnsi="Times New Roman"/>
        </w:rPr>
        <w:t xml:space="preserve">where </w:t>
      </w:r>
      <w:r w:rsidR="00ED36D5" w:rsidRPr="007225C9">
        <w:rPr>
          <w:rFonts w:ascii="Times New Roman" w:hAnsi="Times New Roman"/>
        </w:rPr>
        <w:t xml:space="preserve">the qualified immunity was explained to be irreconcilable </w:t>
      </w:r>
      <w:r w:rsidR="00D233A4" w:rsidRPr="007225C9">
        <w:rPr>
          <w:rFonts w:ascii="Times New Roman" w:hAnsi="Times New Roman"/>
        </w:rPr>
        <w:t xml:space="preserve">with </w:t>
      </w:r>
      <w:r w:rsidR="00175A9A" w:rsidRPr="007225C9">
        <w:rPr>
          <w:rFonts w:ascii="Times New Roman" w:hAnsi="Times New Roman"/>
        </w:rPr>
        <w:t xml:space="preserve">a "strict declaratory approach" to </w:t>
      </w:r>
      <w:r w:rsidR="00087F47" w:rsidRPr="007225C9">
        <w:rPr>
          <w:rFonts w:ascii="Times New Roman" w:hAnsi="Times New Roman"/>
        </w:rPr>
        <w:t>constitutional invalidity</w:t>
      </w:r>
      <w:r w:rsidR="00831396" w:rsidRPr="007225C9">
        <w:rPr>
          <w:rFonts w:ascii="Times New Roman" w:hAnsi="Times New Roman"/>
        </w:rPr>
        <w:t>.</w:t>
      </w:r>
      <w:r w:rsidR="00175A9A" w:rsidRPr="007225C9">
        <w:rPr>
          <w:rFonts w:ascii="Times New Roman" w:hAnsi="Times New Roman"/>
        </w:rPr>
        <w:t xml:space="preserve"> </w:t>
      </w:r>
      <w:r w:rsidR="006D59A7" w:rsidRPr="007225C9">
        <w:rPr>
          <w:rFonts w:ascii="Times New Roman" w:hAnsi="Times New Roman"/>
        </w:rPr>
        <w:t xml:space="preserve">The Canadian case law therefore proceeds </w:t>
      </w:r>
      <w:r w:rsidR="006D7D27" w:rsidRPr="007225C9">
        <w:rPr>
          <w:rFonts w:ascii="Times New Roman" w:hAnsi="Times New Roman"/>
        </w:rPr>
        <w:t xml:space="preserve">on </w:t>
      </w:r>
      <w:r w:rsidR="00B67098" w:rsidRPr="007225C9">
        <w:rPr>
          <w:rFonts w:ascii="Times New Roman" w:hAnsi="Times New Roman"/>
        </w:rPr>
        <w:t xml:space="preserve">a </w:t>
      </w:r>
      <w:r w:rsidR="006D7D27" w:rsidRPr="007225C9">
        <w:rPr>
          <w:rFonts w:ascii="Times New Roman" w:hAnsi="Times New Roman"/>
        </w:rPr>
        <w:t xml:space="preserve">conception of the nature </w:t>
      </w:r>
      <w:r w:rsidR="000279DD" w:rsidRPr="007225C9">
        <w:rPr>
          <w:rFonts w:ascii="Times New Roman" w:hAnsi="Times New Roman"/>
        </w:rPr>
        <w:t xml:space="preserve">of judicial power </w:t>
      </w:r>
      <w:r w:rsidR="005B3946" w:rsidRPr="007225C9">
        <w:rPr>
          <w:rFonts w:ascii="Times New Roman" w:hAnsi="Times New Roman"/>
        </w:rPr>
        <w:t xml:space="preserve">that is exercised in constitutional adjudication </w:t>
      </w:r>
      <w:r w:rsidR="00443AFF" w:rsidRPr="007225C9">
        <w:rPr>
          <w:rFonts w:ascii="Times New Roman" w:hAnsi="Times New Roman"/>
        </w:rPr>
        <w:t xml:space="preserve">contradictory </w:t>
      </w:r>
      <w:r w:rsidR="00EE2853" w:rsidRPr="007225C9">
        <w:rPr>
          <w:rFonts w:ascii="Times New Roman" w:hAnsi="Times New Roman"/>
        </w:rPr>
        <w:t xml:space="preserve">to </w:t>
      </w:r>
      <w:r w:rsidR="005B3946" w:rsidRPr="007225C9">
        <w:rPr>
          <w:rFonts w:ascii="Times New Roman" w:hAnsi="Times New Roman"/>
        </w:rPr>
        <w:t>that which prevails in Australia.</w:t>
      </w:r>
      <w:r w:rsidR="004A1FB7" w:rsidRPr="007225C9">
        <w:rPr>
          <w:rStyle w:val="FootnoteReference"/>
          <w:rFonts w:ascii="Times New Roman" w:hAnsi="Times New Roman"/>
          <w:sz w:val="24"/>
        </w:rPr>
        <w:footnoteReference w:id="54"/>
      </w:r>
    </w:p>
    <w:p w14:paraId="7164D6DB" w14:textId="7BC2C05B" w:rsidR="008349EF" w:rsidRPr="007225C9" w:rsidRDefault="008B7884" w:rsidP="007225C9">
      <w:pPr>
        <w:pStyle w:val="FixListStyle"/>
        <w:spacing w:after="260" w:line="280" w:lineRule="exact"/>
        <w:ind w:right="0"/>
        <w:jc w:val="both"/>
        <w:rPr>
          <w:rFonts w:ascii="Times New Roman" w:hAnsi="Times New Roman"/>
        </w:rPr>
      </w:pPr>
      <w:r w:rsidRPr="007225C9">
        <w:rPr>
          <w:rFonts w:ascii="Times New Roman" w:hAnsi="Times New Roman"/>
        </w:rPr>
        <w:tab/>
      </w:r>
      <w:r w:rsidR="00B13A70" w:rsidRPr="007225C9">
        <w:rPr>
          <w:rFonts w:ascii="Times New Roman" w:hAnsi="Times New Roman"/>
        </w:rPr>
        <w:t>As t</w:t>
      </w:r>
      <w:r w:rsidR="00BA2CB7" w:rsidRPr="007225C9">
        <w:rPr>
          <w:rFonts w:ascii="Times New Roman" w:hAnsi="Times New Roman"/>
        </w:rPr>
        <w:t>o the c</w:t>
      </w:r>
      <w:r w:rsidR="00AE6411" w:rsidRPr="007225C9">
        <w:rPr>
          <w:rFonts w:ascii="Times New Roman" w:hAnsi="Times New Roman"/>
        </w:rPr>
        <w:t>ase law in</w:t>
      </w:r>
      <w:r w:rsidR="009E0BB2" w:rsidRPr="007225C9">
        <w:rPr>
          <w:rFonts w:ascii="Times New Roman" w:hAnsi="Times New Roman"/>
        </w:rPr>
        <w:t xml:space="preserve"> </w:t>
      </w:r>
      <w:r w:rsidR="00AE6411" w:rsidRPr="007225C9">
        <w:rPr>
          <w:rFonts w:ascii="Times New Roman" w:hAnsi="Times New Roman"/>
        </w:rPr>
        <w:t>the United States</w:t>
      </w:r>
      <w:r w:rsidR="00BA2CB7" w:rsidRPr="007225C9">
        <w:rPr>
          <w:rFonts w:ascii="Times New Roman" w:hAnsi="Times New Roman"/>
        </w:rPr>
        <w:t xml:space="preserve">, the argument of the Commonwealth </w:t>
      </w:r>
      <w:r w:rsidR="004E5475" w:rsidRPr="007225C9">
        <w:rPr>
          <w:rFonts w:ascii="Times New Roman" w:hAnsi="Times New Roman"/>
        </w:rPr>
        <w:t>seize</w:t>
      </w:r>
      <w:r w:rsidR="00EB7F67" w:rsidRPr="007225C9">
        <w:rPr>
          <w:rFonts w:ascii="Times New Roman" w:hAnsi="Times New Roman"/>
        </w:rPr>
        <w:t>s</w:t>
      </w:r>
      <w:r w:rsidR="004E5475" w:rsidRPr="007225C9">
        <w:rPr>
          <w:rFonts w:ascii="Times New Roman" w:hAnsi="Times New Roman"/>
        </w:rPr>
        <w:t xml:space="preserve"> on the </w:t>
      </w:r>
      <w:r w:rsidR="004D1E63" w:rsidRPr="007225C9">
        <w:rPr>
          <w:rFonts w:ascii="Times New Roman" w:hAnsi="Times New Roman"/>
        </w:rPr>
        <w:t>observation</w:t>
      </w:r>
      <w:r w:rsidR="00EB7F67" w:rsidRPr="007225C9">
        <w:rPr>
          <w:rFonts w:ascii="Times New Roman" w:hAnsi="Times New Roman"/>
        </w:rPr>
        <w:t xml:space="preserve"> </w:t>
      </w:r>
      <w:r w:rsidR="00FE7359" w:rsidRPr="007225C9">
        <w:rPr>
          <w:rFonts w:ascii="Times New Roman" w:hAnsi="Times New Roman"/>
        </w:rPr>
        <w:t xml:space="preserve">of </w:t>
      </w:r>
      <w:r w:rsidR="00A6515C" w:rsidRPr="007225C9">
        <w:rPr>
          <w:rFonts w:ascii="Times New Roman" w:hAnsi="Times New Roman"/>
        </w:rPr>
        <w:t>the Supreme Court</w:t>
      </w:r>
      <w:r w:rsidR="00995351" w:rsidRPr="007225C9">
        <w:rPr>
          <w:rFonts w:ascii="Times New Roman" w:hAnsi="Times New Roman"/>
        </w:rPr>
        <w:t xml:space="preserve"> of the United States</w:t>
      </w:r>
      <w:r w:rsidR="00EB7F67" w:rsidRPr="007225C9">
        <w:rPr>
          <w:rFonts w:ascii="Times New Roman" w:hAnsi="Times New Roman"/>
        </w:rPr>
        <w:t xml:space="preserve"> in </w:t>
      </w:r>
      <w:r w:rsidR="00EB7F67" w:rsidRPr="007225C9">
        <w:rPr>
          <w:rFonts w:ascii="Times New Roman" w:hAnsi="Times New Roman"/>
          <w:i/>
          <w:iCs/>
        </w:rPr>
        <w:t>Pierson v Ray</w:t>
      </w:r>
      <w:r w:rsidR="004573C7" w:rsidRPr="007225C9">
        <w:rPr>
          <w:rStyle w:val="FootnoteReference"/>
          <w:rFonts w:ascii="Times New Roman" w:hAnsi="Times New Roman"/>
          <w:sz w:val="24"/>
        </w:rPr>
        <w:footnoteReference w:id="55"/>
      </w:r>
      <w:r w:rsidR="00AE6411" w:rsidRPr="007225C9">
        <w:rPr>
          <w:rFonts w:ascii="Times New Roman" w:hAnsi="Times New Roman"/>
        </w:rPr>
        <w:t xml:space="preserve"> </w:t>
      </w:r>
      <w:r w:rsidR="004D1E63" w:rsidRPr="007225C9">
        <w:rPr>
          <w:rFonts w:ascii="Times New Roman" w:hAnsi="Times New Roman"/>
        </w:rPr>
        <w:t>that</w:t>
      </w:r>
      <w:r w:rsidR="00DC7A72" w:rsidRPr="007225C9">
        <w:rPr>
          <w:rFonts w:ascii="Times New Roman" w:hAnsi="Times New Roman"/>
        </w:rPr>
        <w:t xml:space="preserve"> "</w:t>
      </w:r>
      <w:r w:rsidR="005A0203" w:rsidRPr="007225C9">
        <w:rPr>
          <w:rFonts w:ascii="Times New Roman" w:hAnsi="Times New Roman"/>
        </w:rPr>
        <w:t>[</w:t>
      </w:r>
      <w:r w:rsidR="00DC7A72" w:rsidRPr="007225C9">
        <w:rPr>
          <w:rFonts w:ascii="Times New Roman" w:hAnsi="Times New Roman"/>
        </w:rPr>
        <w:t>a</w:t>
      </w:r>
      <w:r w:rsidR="005A0203" w:rsidRPr="007225C9">
        <w:rPr>
          <w:rFonts w:ascii="Times New Roman" w:hAnsi="Times New Roman"/>
        </w:rPr>
        <w:t>]</w:t>
      </w:r>
      <w:r w:rsidR="00DC7A72" w:rsidRPr="007225C9">
        <w:rPr>
          <w:rFonts w:ascii="Times New Roman" w:hAnsi="Times New Roman"/>
        </w:rPr>
        <w:t xml:space="preserve"> policeman's lot </w:t>
      </w:r>
      <w:r w:rsidR="001147F5" w:rsidRPr="007225C9">
        <w:rPr>
          <w:rFonts w:ascii="Times New Roman" w:hAnsi="Times New Roman"/>
        </w:rPr>
        <w:t>is not so unhappy</w:t>
      </w:r>
      <w:r w:rsidR="000B407B" w:rsidRPr="007225C9">
        <w:rPr>
          <w:rFonts w:ascii="Times New Roman" w:hAnsi="Times New Roman"/>
        </w:rPr>
        <w:t xml:space="preserve"> that he must choose</w:t>
      </w:r>
      <w:r w:rsidR="002A5505" w:rsidRPr="007225C9">
        <w:rPr>
          <w:rFonts w:ascii="Times New Roman" w:hAnsi="Times New Roman"/>
        </w:rPr>
        <w:t xml:space="preserve"> between being charged with dereliction of duty if he does not arrest</w:t>
      </w:r>
      <w:r w:rsidR="00B249AF" w:rsidRPr="007225C9">
        <w:rPr>
          <w:rFonts w:ascii="Times New Roman" w:hAnsi="Times New Roman"/>
        </w:rPr>
        <w:t xml:space="preserve"> when he has probable cause</w:t>
      </w:r>
      <w:r w:rsidR="00F419AD" w:rsidRPr="007225C9">
        <w:rPr>
          <w:rFonts w:ascii="Times New Roman" w:hAnsi="Times New Roman"/>
        </w:rPr>
        <w:t>,</w:t>
      </w:r>
      <w:r w:rsidR="00AB7CD3" w:rsidRPr="007225C9">
        <w:rPr>
          <w:rFonts w:ascii="Times New Roman" w:hAnsi="Times New Roman"/>
        </w:rPr>
        <w:t xml:space="preserve"> and being </w:t>
      </w:r>
      <w:r w:rsidR="00575276" w:rsidRPr="007225C9">
        <w:rPr>
          <w:rFonts w:ascii="Times New Roman" w:hAnsi="Times New Roman"/>
        </w:rPr>
        <w:t>mulcted</w:t>
      </w:r>
      <w:r w:rsidR="009056AA" w:rsidRPr="007225C9">
        <w:rPr>
          <w:rFonts w:ascii="Times New Roman" w:hAnsi="Times New Roman"/>
        </w:rPr>
        <w:t xml:space="preserve"> </w:t>
      </w:r>
      <w:r w:rsidR="006F375A" w:rsidRPr="007225C9">
        <w:rPr>
          <w:rFonts w:ascii="Times New Roman" w:hAnsi="Times New Roman"/>
        </w:rPr>
        <w:t>in damages if he does"</w:t>
      </w:r>
      <w:r w:rsidR="00EF1403" w:rsidRPr="007225C9">
        <w:rPr>
          <w:rFonts w:ascii="Times New Roman" w:hAnsi="Times New Roman"/>
        </w:rPr>
        <w:t xml:space="preserve">. The Commonwealth </w:t>
      </w:r>
      <w:r w:rsidR="00995351" w:rsidRPr="007225C9">
        <w:rPr>
          <w:rFonts w:ascii="Times New Roman" w:hAnsi="Times New Roman"/>
        </w:rPr>
        <w:t xml:space="preserve">points to the </w:t>
      </w:r>
      <w:r w:rsidR="006E2F3D" w:rsidRPr="007225C9">
        <w:rPr>
          <w:rFonts w:ascii="Times New Roman" w:hAnsi="Times New Roman"/>
        </w:rPr>
        <w:t xml:space="preserve">recognition by the Supreme Court </w:t>
      </w:r>
      <w:r w:rsidR="00374388" w:rsidRPr="007225C9">
        <w:rPr>
          <w:rFonts w:ascii="Times New Roman" w:hAnsi="Times New Roman"/>
        </w:rPr>
        <w:t>of a form of "qualified immunity"</w:t>
      </w:r>
      <w:r w:rsidR="00AC0A7C" w:rsidRPr="007225C9">
        <w:rPr>
          <w:rFonts w:ascii="Times New Roman" w:hAnsi="Times New Roman"/>
        </w:rPr>
        <w:t>,</w:t>
      </w:r>
      <w:r w:rsidR="00374388" w:rsidRPr="007225C9">
        <w:rPr>
          <w:rFonts w:ascii="Times New Roman" w:hAnsi="Times New Roman"/>
        </w:rPr>
        <w:t xml:space="preserve"> </w:t>
      </w:r>
      <w:r w:rsidR="002D364C" w:rsidRPr="007225C9">
        <w:rPr>
          <w:rFonts w:ascii="Times New Roman" w:hAnsi="Times New Roman"/>
        </w:rPr>
        <w:t>subsequently</w:t>
      </w:r>
      <w:r w:rsidR="003B432D" w:rsidRPr="007225C9">
        <w:rPr>
          <w:rFonts w:ascii="Times New Roman" w:hAnsi="Times New Roman"/>
        </w:rPr>
        <w:t xml:space="preserve"> </w:t>
      </w:r>
      <w:r w:rsidR="009F117C" w:rsidRPr="007225C9">
        <w:rPr>
          <w:rFonts w:ascii="Times New Roman" w:hAnsi="Times New Roman"/>
        </w:rPr>
        <w:t>expressed</w:t>
      </w:r>
      <w:r w:rsidR="00381C07" w:rsidRPr="007225C9">
        <w:rPr>
          <w:rFonts w:ascii="Times New Roman" w:hAnsi="Times New Roman"/>
        </w:rPr>
        <w:t xml:space="preserve"> in</w:t>
      </w:r>
      <w:r w:rsidR="009F117C" w:rsidRPr="007225C9">
        <w:rPr>
          <w:rFonts w:ascii="Times New Roman" w:hAnsi="Times New Roman"/>
        </w:rPr>
        <w:t xml:space="preserve"> terms that "</w:t>
      </w:r>
      <w:r w:rsidR="00C9393B" w:rsidRPr="007225C9">
        <w:rPr>
          <w:rFonts w:ascii="Times New Roman" w:hAnsi="Times New Roman"/>
        </w:rPr>
        <w:t>government officials performing discretionary functions</w:t>
      </w:r>
      <w:r w:rsidR="007917E0" w:rsidRPr="007225C9">
        <w:rPr>
          <w:rFonts w:ascii="Times New Roman" w:hAnsi="Times New Roman"/>
        </w:rPr>
        <w:t>, generally are shielded from liability for civil damages</w:t>
      </w:r>
      <w:r w:rsidR="00EA45A4" w:rsidRPr="007225C9">
        <w:rPr>
          <w:rFonts w:ascii="Times New Roman" w:hAnsi="Times New Roman"/>
        </w:rPr>
        <w:t xml:space="preserve"> insofar as their conduct does not violate clearly established statutory or constitutional rights of which a reasonable person would have known</w:t>
      </w:r>
      <w:r w:rsidR="00412FE0" w:rsidRPr="007225C9">
        <w:rPr>
          <w:rFonts w:ascii="Times New Roman" w:hAnsi="Times New Roman"/>
        </w:rPr>
        <w:t>".</w:t>
      </w:r>
      <w:r w:rsidR="00DC056C" w:rsidRPr="007225C9">
        <w:rPr>
          <w:rStyle w:val="FootnoteReference"/>
          <w:rFonts w:ascii="Times New Roman" w:hAnsi="Times New Roman"/>
          <w:sz w:val="24"/>
        </w:rPr>
        <w:footnoteReference w:id="56"/>
      </w:r>
      <w:r w:rsidR="00412FE0" w:rsidRPr="007225C9">
        <w:rPr>
          <w:rFonts w:ascii="Times New Roman" w:hAnsi="Times New Roman"/>
        </w:rPr>
        <w:t xml:space="preserve"> </w:t>
      </w:r>
    </w:p>
    <w:p w14:paraId="23717865" w14:textId="7D333477" w:rsidR="008B7884" w:rsidRPr="007225C9" w:rsidRDefault="008349EF" w:rsidP="007225C9">
      <w:pPr>
        <w:pStyle w:val="FixListStyle"/>
        <w:spacing w:after="260" w:line="280" w:lineRule="exact"/>
        <w:ind w:right="0"/>
        <w:jc w:val="both"/>
        <w:rPr>
          <w:rFonts w:ascii="Times New Roman" w:hAnsi="Times New Roman"/>
        </w:rPr>
      </w:pPr>
      <w:r w:rsidRPr="007225C9">
        <w:rPr>
          <w:rFonts w:ascii="Times New Roman" w:hAnsi="Times New Roman"/>
        </w:rPr>
        <w:tab/>
      </w:r>
      <w:r w:rsidR="009921DA" w:rsidRPr="007225C9">
        <w:rPr>
          <w:rFonts w:ascii="Times New Roman" w:hAnsi="Times New Roman"/>
        </w:rPr>
        <w:t>The qualified immunity</w:t>
      </w:r>
      <w:r w:rsidR="009E7275" w:rsidRPr="007225C9">
        <w:rPr>
          <w:rFonts w:ascii="Times New Roman" w:hAnsi="Times New Roman"/>
        </w:rPr>
        <w:t xml:space="preserve"> </w:t>
      </w:r>
      <w:r w:rsidR="005042E6" w:rsidRPr="007225C9">
        <w:rPr>
          <w:rFonts w:ascii="Times New Roman" w:hAnsi="Times New Roman"/>
        </w:rPr>
        <w:t xml:space="preserve">of </w:t>
      </w:r>
      <w:r w:rsidR="009E7275" w:rsidRPr="007225C9">
        <w:rPr>
          <w:rFonts w:ascii="Times New Roman" w:hAnsi="Times New Roman"/>
        </w:rPr>
        <w:t>government officials</w:t>
      </w:r>
      <w:r w:rsidR="002C1C4D" w:rsidRPr="007225C9">
        <w:rPr>
          <w:rFonts w:ascii="Times New Roman" w:hAnsi="Times New Roman"/>
        </w:rPr>
        <w:t xml:space="preserve"> </w:t>
      </w:r>
      <w:r w:rsidR="007D61E5" w:rsidRPr="007225C9">
        <w:rPr>
          <w:rFonts w:ascii="Times New Roman" w:hAnsi="Times New Roman"/>
        </w:rPr>
        <w:t>that has been recognised by the Supreme Court of the United States</w:t>
      </w:r>
      <w:r w:rsidR="001C1FE4" w:rsidRPr="007225C9">
        <w:rPr>
          <w:rFonts w:ascii="Times New Roman" w:hAnsi="Times New Roman"/>
        </w:rPr>
        <w:t xml:space="preserve"> is</w:t>
      </w:r>
      <w:r w:rsidR="00B14B62" w:rsidRPr="007225C9">
        <w:rPr>
          <w:rFonts w:ascii="Times New Roman" w:hAnsi="Times New Roman"/>
        </w:rPr>
        <w:t xml:space="preserve">, however, </w:t>
      </w:r>
      <w:r w:rsidR="001539C1" w:rsidRPr="007225C9">
        <w:rPr>
          <w:rFonts w:ascii="Times New Roman" w:hAnsi="Times New Roman"/>
        </w:rPr>
        <w:t>"</w:t>
      </w:r>
      <w:r w:rsidR="00B14B62" w:rsidRPr="007225C9">
        <w:rPr>
          <w:rFonts w:ascii="Times New Roman" w:hAnsi="Times New Roman"/>
        </w:rPr>
        <w:t xml:space="preserve">an </w:t>
      </w:r>
      <w:r w:rsidR="009921DA" w:rsidRPr="007225C9">
        <w:rPr>
          <w:rFonts w:ascii="Times New Roman" w:hAnsi="Times New Roman"/>
        </w:rPr>
        <w:t>immunity from suit rather than a mere</w:t>
      </w:r>
      <w:r w:rsidR="00B14B62" w:rsidRPr="007225C9">
        <w:rPr>
          <w:rFonts w:ascii="Times New Roman" w:hAnsi="Times New Roman"/>
        </w:rPr>
        <w:t xml:space="preserve"> </w:t>
      </w:r>
      <w:proofErr w:type="spellStart"/>
      <w:r w:rsidR="009921DA" w:rsidRPr="007225C9">
        <w:rPr>
          <w:rFonts w:ascii="Times New Roman" w:hAnsi="Times New Roman"/>
        </w:rPr>
        <w:t>defense</w:t>
      </w:r>
      <w:proofErr w:type="spellEnd"/>
      <w:r w:rsidR="009921DA" w:rsidRPr="007225C9">
        <w:rPr>
          <w:rFonts w:ascii="Times New Roman" w:hAnsi="Times New Roman"/>
        </w:rPr>
        <w:t xml:space="preserve"> to liability</w:t>
      </w:r>
      <w:r w:rsidR="00B14B62" w:rsidRPr="007225C9">
        <w:rPr>
          <w:rFonts w:ascii="Times New Roman" w:hAnsi="Times New Roman"/>
        </w:rPr>
        <w:t>;</w:t>
      </w:r>
      <w:r w:rsidR="001539C1" w:rsidRPr="007225C9">
        <w:rPr>
          <w:rFonts w:ascii="Times New Roman" w:hAnsi="Times New Roman"/>
        </w:rPr>
        <w:t xml:space="preserve"> and </w:t>
      </w:r>
      <w:r w:rsidR="009921DA" w:rsidRPr="007225C9">
        <w:rPr>
          <w:rFonts w:ascii="Times New Roman" w:hAnsi="Times New Roman"/>
        </w:rPr>
        <w:t>like an absolute immunity, it is effectively lost if a case is erroneously permitted to go to trial</w:t>
      </w:r>
      <w:r w:rsidR="00B14B62" w:rsidRPr="007225C9">
        <w:rPr>
          <w:rFonts w:ascii="Times New Roman" w:hAnsi="Times New Roman"/>
        </w:rPr>
        <w:t>"</w:t>
      </w:r>
      <w:r w:rsidR="009921DA" w:rsidRPr="007225C9">
        <w:rPr>
          <w:rFonts w:ascii="Times New Roman" w:hAnsi="Times New Roman"/>
        </w:rPr>
        <w:t>.</w:t>
      </w:r>
      <w:r w:rsidR="001539C1" w:rsidRPr="007225C9">
        <w:rPr>
          <w:rStyle w:val="FootnoteReference"/>
          <w:rFonts w:ascii="Times New Roman" w:hAnsi="Times New Roman"/>
          <w:sz w:val="24"/>
        </w:rPr>
        <w:footnoteReference w:id="57"/>
      </w:r>
      <w:r w:rsidR="009921DA" w:rsidRPr="007225C9">
        <w:rPr>
          <w:rFonts w:ascii="Times New Roman" w:hAnsi="Times New Roman"/>
        </w:rPr>
        <w:t xml:space="preserve"> </w:t>
      </w:r>
      <w:r w:rsidR="00E742FB" w:rsidRPr="007225C9">
        <w:rPr>
          <w:rFonts w:ascii="Times New Roman" w:hAnsi="Times New Roman"/>
        </w:rPr>
        <w:t xml:space="preserve">However, </w:t>
      </w:r>
      <w:r w:rsidR="00EF1193" w:rsidRPr="007225C9">
        <w:rPr>
          <w:rFonts w:ascii="Times New Roman" w:hAnsi="Times New Roman"/>
        </w:rPr>
        <w:t>that</w:t>
      </w:r>
      <w:r w:rsidR="00824BC8" w:rsidRPr="007225C9">
        <w:rPr>
          <w:rFonts w:ascii="Times New Roman" w:hAnsi="Times New Roman"/>
        </w:rPr>
        <w:t xml:space="preserve"> </w:t>
      </w:r>
      <w:r w:rsidR="00BE57A6" w:rsidRPr="007225C9">
        <w:rPr>
          <w:rFonts w:ascii="Times New Roman" w:hAnsi="Times New Roman"/>
        </w:rPr>
        <w:t>qualified immunity</w:t>
      </w:r>
      <w:r w:rsidR="00E53F07" w:rsidRPr="007225C9">
        <w:rPr>
          <w:rFonts w:ascii="Times New Roman" w:hAnsi="Times New Roman"/>
        </w:rPr>
        <w:t xml:space="preserve"> </w:t>
      </w:r>
      <w:r w:rsidR="00824BC8" w:rsidRPr="007225C9">
        <w:rPr>
          <w:rFonts w:ascii="Times New Roman" w:hAnsi="Times New Roman"/>
        </w:rPr>
        <w:t xml:space="preserve">from suit </w:t>
      </w:r>
      <w:r w:rsidR="00374DB9" w:rsidRPr="007225C9">
        <w:rPr>
          <w:rFonts w:ascii="Times New Roman" w:hAnsi="Times New Roman"/>
        </w:rPr>
        <w:t xml:space="preserve">has been recognised </w:t>
      </w:r>
      <w:r w:rsidR="00CE051C" w:rsidRPr="007225C9">
        <w:rPr>
          <w:rFonts w:ascii="Times New Roman" w:hAnsi="Times New Roman"/>
        </w:rPr>
        <w:t xml:space="preserve">in </w:t>
      </w:r>
      <w:r w:rsidR="00E742FB" w:rsidRPr="007225C9">
        <w:rPr>
          <w:rFonts w:ascii="Times New Roman" w:hAnsi="Times New Roman"/>
        </w:rPr>
        <w:t xml:space="preserve">a constitutional </w:t>
      </w:r>
      <w:r w:rsidR="00CE051C" w:rsidRPr="007225C9">
        <w:rPr>
          <w:rFonts w:ascii="Times New Roman" w:hAnsi="Times New Roman"/>
        </w:rPr>
        <w:t xml:space="preserve">context </w:t>
      </w:r>
      <w:r w:rsidR="00E742FB" w:rsidRPr="007225C9">
        <w:rPr>
          <w:rFonts w:ascii="Times New Roman" w:hAnsi="Times New Roman"/>
        </w:rPr>
        <w:t xml:space="preserve">within </w:t>
      </w:r>
      <w:r w:rsidR="00A17952" w:rsidRPr="007225C9">
        <w:rPr>
          <w:rFonts w:ascii="Times New Roman" w:hAnsi="Times New Roman"/>
        </w:rPr>
        <w:t xml:space="preserve">which </w:t>
      </w:r>
      <w:r w:rsidR="001B6371" w:rsidRPr="007225C9">
        <w:rPr>
          <w:rFonts w:ascii="Times New Roman" w:hAnsi="Times New Roman"/>
        </w:rPr>
        <w:t xml:space="preserve">state and federal governments </w:t>
      </w:r>
      <w:r w:rsidR="00B92854" w:rsidRPr="007225C9">
        <w:rPr>
          <w:rFonts w:ascii="Times New Roman" w:hAnsi="Times New Roman"/>
        </w:rPr>
        <w:t xml:space="preserve">are entitled to </w:t>
      </w:r>
      <w:r w:rsidR="00380F59" w:rsidRPr="007225C9">
        <w:rPr>
          <w:rFonts w:ascii="Times New Roman" w:hAnsi="Times New Roman"/>
        </w:rPr>
        <w:t>sovereign immunity</w:t>
      </w:r>
      <w:r w:rsidR="004F122A" w:rsidRPr="007225C9">
        <w:rPr>
          <w:rFonts w:ascii="Times New Roman" w:hAnsi="Times New Roman"/>
        </w:rPr>
        <w:t>,</w:t>
      </w:r>
      <w:r w:rsidR="00F91306" w:rsidRPr="007225C9">
        <w:rPr>
          <w:rFonts w:ascii="Times New Roman" w:hAnsi="Times New Roman"/>
        </w:rPr>
        <w:t xml:space="preserve"> </w:t>
      </w:r>
      <w:r w:rsidR="00937471" w:rsidRPr="007225C9">
        <w:rPr>
          <w:rFonts w:ascii="Times New Roman" w:hAnsi="Times New Roman"/>
        </w:rPr>
        <w:t xml:space="preserve">and are </w:t>
      </w:r>
      <w:r w:rsidR="00937471" w:rsidRPr="007225C9">
        <w:rPr>
          <w:rFonts w:ascii="Times New Roman" w:hAnsi="Times New Roman"/>
        </w:rPr>
        <w:lastRenderedPageBreak/>
        <w:t xml:space="preserve">therefore </w:t>
      </w:r>
      <w:r w:rsidR="00D35065" w:rsidRPr="007225C9">
        <w:rPr>
          <w:rFonts w:ascii="Times New Roman" w:hAnsi="Times New Roman"/>
        </w:rPr>
        <w:t>in</w:t>
      </w:r>
      <w:r w:rsidR="002B1AE3" w:rsidRPr="007225C9">
        <w:rPr>
          <w:rFonts w:ascii="Times New Roman" w:hAnsi="Times New Roman"/>
        </w:rPr>
        <w:t xml:space="preserve">capable of </w:t>
      </w:r>
      <w:r w:rsidR="00D35065" w:rsidRPr="007225C9">
        <w:rPr>
          <w:rFonts w:ascii="Times New Roman" w:hAnsi="Times New Roman"/>
        </w:rPr>
        <w:t xml:space="preserve">being </w:t>
      </w:r>
      <w:r w:rsidR="00167986" w:rsidRPr="007225C9">
        <w:rPr>
          <w:rFonts w:ascii="Times New Roman" w:hAnsi="Times New Roman"/>
        </w:rPr>
        <w:t xml:space="preserve">subject to civil suit </w:t>
      </w:r>
      <w:r w:rsidR="00B672DD" w:rsidRPr="007225C9">
        <w:rPr>
          <w:rFonts w:ascii="Times New Roman" w:hAnsi="Times New Roman"/>
        </w:rPr>
        <w:t>unless that immunity is waived</w:t>
      </w:r>
      <w:r w:rsidR="00B429C3" w:rsidRPr="007225C9">
        <w:rPr>
          <w:rFonts w:ascii="Times New Roman" w:hAnsi="Times New Roman"/>
        </w:rPr>
        <w:t>.</w:t>
      </w:r>
      <w:r w:rsidR="00C47178" w:rsidRPr="007225C9">
        <w:rPr>
          <w:rStyle w:val="FootnoteReference"/>
          <w:rFonts w:ascii="Times New Roman" w:hAnsi="Times New Roman"/>
          <w:sz w:val="24"/>
        </w:rPr>
        <w:footnoteReference w:id="58"/>
      </w:r>
      <w:r w:rsidR="001A09D0" w:rsidRPr="007225C9">
        <w:rPr>
          <w:rFonts w:ascii="Times New Roman" w:hAnsi="Times New Roman"/>
        </w:rPr>
        <w:t xml:space="preserve"> Indeed, </w:t>
      </w:r>
      <w:r w:rsidR="00DC056C" w:rsidRPr="007225C9">
        <w:rPr>
          <w:rFonts w:ascii="Times New Roman" w:hAnsi="Times New Roman"/>
        </w:rPr>
        <w:t>it has been</w:t>
      </w:r>
      <w:r w:rsidR="00AC337F" w:rsidRPr="007225C9">
        <w:rPr>
          <w:rFonts w:ascii="Times New Roman" w:hAnsi="Times New Roman"/>
        </w:rPr>
        <w:t xml:space="preserve"> explained that </w:t>
      </w:r>
      <w:r w:rsidR="0011236A" w:rsidRPr="007225C9">
        <w:rPr>
          <w:rFonts w:ascii="Times New Roman" w:hAnsi="Times New Roman"/>
        </w:rPr>
        <w:t xml:space="preserve">"[t]he </w:t>
      </w:r>
      <w:r w:rsidR="001A568C" w:rsidRPr="007225C9">
        <w:rPr>
          <w:rFonts w:ascii="Times New Roman" w:hAnsi="Times New Roman"/>
        </w:rPr>
        <w:t>concept of</w:t>
      </w:r>
      <w:r w:rsidR="00D22E34" w:rsidRPr="007225C9">
        <w:rPr>
          <w:rFonts w:ascii="Times New Roman" w:hAnsi="Times New Roman"/>
        </w:rPr>
        <w:t xml:space="preserve"> the immunity of government officers from personal liability springs from the same root considerations that generated the doctrine of sovereign immunity</w:t>
      </w:r>
      <w:r w:rsidR="004F4E1C" w:rsidRPr="007225C9">
        <w:rPr>
          <w:rFonts w:ascii="Times New Roman" w:hAnsi="Times New Roman"/>
        </w:rPr>
        <w:t>".</w:t>
      </w:r>
      <w:r w:rsidR="007450B7" w:rsidRPr="007225C9">
        <w:rPr>
          <w:rStyle w:val="FootnoteReference"/>
          <w:rFonts w:ascii="Times New Roman" w:hAnsi="Times New Roman"/>
          <w:sz w:val="24"/>
        </w:rPr>
        <w:footnoteReference w:id="59"/>
      </w:r>
      <w:r w:rsidR="00B429C3" w:rsidRPr="007225C9">
        <w:rPr>
          <w:rFonts w:ascii="Times New Roman" w:hAnsi="Times New Roman"/>
        </w:rPr>
        <w:t xml:space="preserve"> </w:t>
      </w:r>
      <w:r w:rsidR="002F051D" w:rsidRPr="007225C9">
        <w:rPr>
          <w:rFonts w:ascii="Times New Roman" w:hAnsi="Times New Roman"/>
        </w:rPr>
        <w:t>The constitutional context</w:t>
      </w:r>
      <w:r w:rsidR="000270AB" w:rsidRPr="007225C9">
        <w:rPr>
          <w:rFonts w:ascii="Times New Roman" w:hAnsi="Times New Roman"/>
        </w:rPr>
        <w:t xml:space="preserve"> for its development</w:t>
      </w:r>
      <w:r w:rsidR="002F051D" w:rsidRPr="007225C9">
        <w:rPr>
          <w:rFonts w:ascii="Times New Roman" w:hAnsi="Times New Roman"/>
        </w:rPr>
        <w:t xml:space="preserve"> </w:t>
      </w:r>
      <w:r w:rsidR="00EC2DF0" w:rsidRPr="007225C9">
        <w:rPr>
          <w:rFonts w:ascii="Times New Roman" w:hAnsi="Times New Roman"/>
        </w:rPr>
        <w:t>being so starkly different,</w:t>
      </w:r>
      <w:r w:rsidR="00EC2DF0" w:rsidRPr="007225C9">
        <w:rPr>
          <w:rStyle w:val="FootnoteReference"/>
          <w:rFonts w:ascii="Times New Roman" w:hAnsi="Times New Roman"/>
          <w:sz w:val="24"/>
        </w:rPr>
        <w:footnoteReference w:id="60"/>
      </w:r>
      <w:r w:rsidR="002F051D" w:rsidRPr="007225C9">
        <w:rPr>
          <w:rFonts w:ascii="Times New Roman" w:hAnsi="Times New Roman"/>
        </w:rPr>
        <w:t xml:space="preserve"> </w:t>
      </w:r>
      <w:r w:rsidR="00D60091" w:rsidRPr="007225C9">
        <w:rPr>
          <w:rFonts w:ascii="Times New Roman" w:hAnsi="Times New Roman"/>
        </w:rPr>
        <w:t>n</w:t>
      </w:r>
      <w:r w:rsidR="0094384B" w:rsidRPr="007225C9">
        <w:rPr>
          <w:rFonts w:ascii="Times New Roman" w:hAnsi="Times New Roman"/>
        </w:rPr>
        <w:t>othing in th</w:t>
      </w:r>
      <w:r w:rsidR="00361C45" w:rsidRPr="007225C9">
        <w:rPr>
          <w:rFonts w:ascii="Times New Roman" w:hAnsi="Times New Roman"/>
        </w:rPr>
        <w:t xml:space="preserve">e </w:t>
      </w:r>
      <w:r w:rsidR="007728DF" w:rsidRPr="007225C9">
        <w:rPr>
          <w:rFonts w:ascii="Times New Roman" w:hAnsi="Times New Roman"/>
        </w:rPr>
        <w:t xml:space="preserve">stream of </w:t>
      </w:r>
      <w:r w:rsidR="0094384B" w:rsidRPr="007225C9">
        <w:rPr>
          <w:rFonts w:ascii="Times New Roman" w:hAnsi="Times New Roman"/>
        </w:rPr>
        <w:t>case</w:t>
      </w:r>
      <w:r w:rsidR="007728DF" w:rsidRPr="007225C9">
        <w:rPr>
          <w:rFonts w:ascii="Times New Roman" w:hAnsi="Times New Roman"/>
        </w:rPr>
        <w:t xml:space="preserve"> </w:t>
      </w:r>
      <w:r w:rsidR="0094384B" w:rsidRPr="007225C9">
        <w:rPr>
          <w:rFonts w:ascii="Times New Roman" w:hAnsi="Times New Roman"/>
        </w:rPr>
        <w:t xml:space="preserve">law </w:t>
      </w:r>
      <w:r w:rsidR="007728DF" w:rsidRPr="007225C9">
        <w:rPr>
          <w:rFonts w:ascii="Times New Roman" w:hAnsi="Times New Roman"/>
        </w:rPr>
        <w:t xml:space="preserve">in the United States on which the Commonwealth relies </w:t>
      </w:r>
      <w:r w:rsidR="00753CB9" w:rsidRPr="007225C9">
        <w:rPr>
          <w:rFonts w:ascii="Times New Roman" w:hAnsi="Times New Roman"/>
        </w:rPr>
        <w:t>can</w:t>
      </w:r>
      <w:r w:rsidR="00E54B50" w:rsidRPr="007225C9">
        <w:rPr>
          <w:rFonts w:ascii="Times New Roman" w:hAnsi="Times New Roman"/>
        </w:rPr>
        <w:t xml:space="preserve"> provide </w:t>
      </w:r>
      <w:r w:rsidR="00177B35" w:rsidRPr="007225C9">
        <w:rPr>
          <w:rFonts w:ascii="Times New Roman" w:hAnsi="Times New Roman"/>
        </w:rPr>
        <w:t>more</w:t>
      </w:r>
      <w:r w:rsidR="004624B2" w:rsidRPr="007225C9">
        <w:rPr>
          <w:rFonts w:ascii="Times New Roman" w:hAnsi="Times New Roman"/>
        </w:rPr>
        <w:t xml:space="preserve"> than rhetorical support </w:t>
      </w:r>
      <w:r w:rsidR="00FE5E8A" w:rsidRPr="007225C9">
        <w:rPr>
          <w:rFonts w:ascii="Times New Roman" w:hAnsi="Times New Roman"/>
        </w:rPr>
        <w:t xml:space="preserve">for </w:t>
      </w:r>
      <w:r w:rsidR="00EF1193" w:rsidRPr="007225C9">
        <w:rPr>
          <w:rFonts w:ascii="Times New Roman" w:hAnsi="Times New Roman"/>
        </w:rPr>
        <w:t xml:space="preserve">its </w:t>
      </w:r>
      <w:r w:rsidR="00736E2B" w:rsidRPr="007225C9">
        <w:rPr>
          <w:rFonts w:ascii="Times New Roman" w:hAnsi="Times New Roman"/>
        </w:rPr>
        <w:t>argument.</w:t>
      </w:r>
    </w:p>
    <w:p w14:paraId="08478D83" w14:textId="09652F0E" w:rsidR="00465E07" w:rsidRPr="007225C9" w:rsidRDefault="00465E07" w:rsidP="007225C9">
      <w:pPr>
        <w:pStyle w:val="HeadingL1"/>
        <w:spacing w:after="260" w:line="280" w:lineRule="exact"/>
        <w:ind w:right="0"/>
        <w:jc w:val="both"/>
        <w:rPr>
          <w:rFonts w:ascii="Times New Roman" w:hAnsi="Times New Roman"/>
        </w:rPr>
      </w:pPr>
      <w:r w:rsidRPr="007225C9">
        <w:rPr>
          <w:rFonts w:ascii="Times New Roman" w:hAnsi="Times New Roman"/>
        </w:rPr>
        <w:t>Conclusion</w:t>
      </w:r>
    </w:p>
    <w:p w14:paraId="696056F7" w14:textId="77777777" w:rsidR="009F6ECF" w:rsidRDefault="00465E07" w:rsidP="007225C9">
      <w:pPr>
        <w:pStyle w:val="FixListStyle"/>
        <w:spacing w:after="260" w:line="280" w:lineRule="exact"/>
        <w:ind w:right="0"/>
        <w:jc w:val="both"/>
        <w:rPr>
          <w:rFonts w:ascii="Times New Roman" w:hAnsi="Times New Roman"/>
        </w:rPr>
      </w:pPr>
      <w:r w:rsidRPr="007225C9">
        <w:rPr>
          <w:rFonts w:ascii="Times New Roman" w:hAnsi="Times New Roman"/>
        </w:rPr>
        <w:tab/>
      </w:r>
      <w:r w:rsidR="00125FCB" w:rsidRPr="007225C9">
        <w:rPr>
          <w:rFonts w:ascii="Times New Roman" w:hAnsi="Times New Roman"/>
        </w:rPr>
        <w:t>The question reserved in the special case should be</w:t>
      </w:r>
      <w:r w:rsidR="007E2CD1" w:rsidRPr="007225C9">
        <w:rPr>
          <w:rFonts w:ascii="Times New Roman" w:hAnsi="Times New Roman"/>
        </w:rPr>
        <w:t xml:space="preserve"> determined in the negative.</w:t>
      </w:r>
    </w:p>
    <w:p w14:paraId="2FF53C51" w14:textId="77777777" w:rsidR="009F6ECF" w:rsidRDefault="009F6ECF" w:rsidP="007225C9">
      <w:pPr>
        <w:pStyle w:val="FixListStyle"/>
        <w:spacing w:after="260" w:line="280" w:lineRule="exact"/>
        <w:ind w:right="0"/>
        <w:jc w:val="both"/>
        <w:rPr>
          <w:rFonts w:ascii="Times New Roman" w:hAnsi="Times New Roman"/>
        </w:rPr>
        <w:sectPr w:rsidR="009F6ECF" w:rsidSect="00873AA1">
          <w:headerReference w:type="even" r:id="rId17"/>
          <w:headerReference w:type="default" r:id="rId18"/>
          <w:footerReference w:type="even" r:id="rId19"/>
          <w:footerReference w:type="default" r:id="rId20"/>
          <w:headerReference w:type="first" r:id="rId21"/>
          <w:footerReference w:type="first" r:id="rId22"/>
          <w:pgSz w:w="11907" w:h="16839" w:code="9"/>
          <w:pgMar w:top="1440" w:right="1701" w:bottom="1984" w:left="1701" w:header="720" w:footer="720" w:gutter="0"/>
          <w:pgNumType w:start="1"/>
          <w:cols w:space="720"/>
          <w:titlePg/>
          <w:docGrid w:linePitch="354"/>
        </w:sectPr>
      </w:pPr>
    </w:p>
    <w:p w14:paraId="784E1393" w14:textId="77777777" w:rsidR="009F6ECF" w:rsidRPr="002E3F08" w:rsidRDefault="009F6ECF" w:rsidP="002E3F08">
      <w:pPr>
        <w:pStyle w:val="FixListStyle"/>
        <w:tabs>
          <w:tab w:val="clear" w:pos="720"/>
          <w:tab w:val="left" w:pos="0"/>
        </w:tabs>
        <w:spacing w:after="260" w:line="280" w:lineRule="exact"/>
        <w:ind w:right="0"/>
        <w:jc w:val="both"/>
        <w:rPr>
          <w:rFonts w:ascii="Times New Roman" w:hAnsi="Times New Roman"/>
        </w:rPr>
      </w:pPr>
      <w:r w:rsidRPr="002E3F08">
        <w:rPr>
          <w:rFonts w:ascii="Times New Roman" w:hAnsi="Times New Roman"/>
        </w:rPr>
        <w:lastRenderedPageBreak/>
        <w:t>GORDON J.   In 2017, the plaintiff, Mr Abdel-Hady, a citizen of Austria, was</w:t>
      </w:r>
      <w:r>
        <w:rPr>
          <w:rFonts w:ascii="Times New Roman" w:hAnsi="Times New Roman"/>
        </w:rPr>
        <w:t> </w:t>
      </w:r>
      <w:r w:rsidRPr="002E3F08">
        <w:rPr>
          <w:rFonts w:ascii="Times New Roman" w:hAnsi="Times New Roman"/>
        </w:rPr>
        <w:t xml:space="preserve">detained by an officer of the Commonwealth under s 189(1) of the </w:t>
      </w:r>
      <w:r w:rsidRPr="002E3F08">
        <w:rPr>
          <w:rFonts w:ascii="Times New Roman" w:hAnsi="Times New Roman"/>
          <w:i/>
        </w:rPr>
        <w:t>Migration Act 1958</w:t>
      </w:r>
      <w:r w:rsidRPr="002E3F08">
        <w:rPr>
          <w:rFonts w:ascii="Times New Roman" w:hAnsi="Times New Roman"/>
        </w:rPr>
        <w:t xml:space="preserve"> (</w:t>
      </w:r>
      <w:proofErr w:type="spellStart"/>
      <w:r w:rsidRPr="002E3F08">
        <w:rPr>
          <w:rFonts w:ascii="Times New Roman" w:hAnsi="Times New Roman"/>
        </w:rPr>
        <w:t>Cth</w:t>
      </w:r>
      <w:proofErr w:type="spellEnd"/>
      <w:r w:rsidRPr="002E3F08">
        <w:rPr>
          <w:rFonts w:ascii="Times New Roman" w:hAnsi="Times New Roman"/>
        </w:rPr>
        <w:t>) ("the Act"), which imposed a duty on the officer to detain a person in the migration zone who the officer "knows or reasonably suspects ... is an unlawful non-citizen". Section 196(1) relevantly provided that an unlawful non</w:t>
      </w:r>
      <w:r w:rsidRPr="002E3F08">
        <w:rPr>
          <w:rFonts w:ascii="Times New Roman" w:hAnsi="Times New Roman"/>
        </w:rPr>
        <w:noBreakHyphen/>
        <w:t xml:space="preserve">citizen detained under s 189 "must be kept in immigration detention until ... he or she is removed from Australia under section 198" of the Act. </w:t>
      </w:r>
    </w:p>
    <w:p w14:paraId="6651D4FA"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t>Mr Abdel-Hady suffers from an aggressive form of thrombophilia, being an extreme tendency to thrombosis. By early February 2024, the parties agreed that, since 28 July 2022, his thrombophilia had rendered him medically unfit to travel by any commercial aeroplane and, consequently, there had been no reasonable prospect of his removal from Australia becoming practicable in the reasonably foreseeable future.</w:t>
      </w:r>
    </w:p>
    <w:p w14:paraId="6C646E48"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t xml:space="preserve">In </w:t>
      </w:r>
      <w:r w:rsidRPr="002E3F08">
        <w:rPr>
          <w:rFonts w:ascii="Times New Roman" w:hAnsi="Times New Roman"/>
          <w:i/>
        </w:rPr>
        <w:t>Al-Kateb</w:t>
      </w:r>
      <w:r w:rsidRPr="002E3F08">
        <w:rPr>
          <w:rFonts w:ascii="Times New Roman" w:hAnsi="Times New Roman"/>
          <w:i/>
          <w:iCs/>
        </w:rPr>
        <w:t xml:space="preserve"> v Godwin</w:t>
      </w:r>
      <w:r w:rsidRPr="002E3F08">
        <w:rPr>
          <w:rFonts w:ascii="Times New Roman" w:hAnsi="Times New Roman"/>
        </w:rPr>
        <w:t>, a majority of this Court relevantly held that ss 189(1) and 196(1) of the Act</w:t>
      </w:r>
      <w:r w:rsidRPr="002E3F08">
        <w:rPr>
          <w:rFonts w:ascii="Times New Roman" w:hAnsi="Times New Roman"/>
          <w:i/>
          <w:iCs/>
        </w:rPr>
        <w:t xml:space="preserve"> </w:t>
      </w:r>
      <w:r w:rsidRPr="002E3F08">
        <w:rPr>
          <w:rFonts w:ascii="Times New Roman" w:hAnsi="Times New Roman"/>
        </w:rPr>
        <w:t xml:space="preserve">required the continuing detention of an unlawful non-citizen in respect of whom there was no real prospect of removal becoming practicable in the reasonably foreseeable future and, as so applied, those sections did not contravene Ch III of the </w:t>
      </w:r>
      <w:r w:rsidRPr="002E3F08">
        <w:rPr>
          <w:rFonts w:ascii="Times New Roman" w:hAnsi="Times New Roman"/>
          <w:i/>
          <w:iCs/>
        </w:rPr>
        <w:t>Constitution</w:t>
      </w:r>
      <w:r w:rsidRPr="002E3F08">
        <w:rPr>
          <w:rFonts w:ascii="Times New Roman" w:hAnsi="Times New Roman"/>
        </w:rPr>
        <w:t>.</w:t>
      </w:r>
      <w:r w:rsidRPr="002E3F08">
        <w:rPr>
          <w:rStyle w:val="FootnoteReference"/>
          <w:rFonts w:ascii="Times New Roman" w:hAnsi="Times New Roman"/>
          <w:sz w:val="24"/>
        </w:rPr>
        <w:footnoteReference w:id="61"/>
      </w:r>
      <w:r w:rsidRPr="002E3F08">
        <w:rPr>
          <w:rFonts w:ascii="Times New Roman" w:hAnsi="Times New Roman"/>
        </w:rPr>
        <w:t xml:space="preserve"> In </w:t>
      </w:r>
      <w:r w:rsidRPr="002E3F08">
        <w:rPr>
          <w:rFonts w:ascii="Times New Roman" w:hAnsi="Times New Roman"/>
          <w:i/>
        </w:rPr>
        <w:t>NZYQ v Minister for Immigration, Citizenship and Multicultural Affairs</w:t>
      </w:r>
      <w:r w:rsidRPr="002E3F08">
        <w:rPr>
          <w:rFonts w:ascii="Times New Roman" w:hAnsi="Times New Roman"/>
        </w:rPr>
        <w:t xml:space="preserve">, this Court reopened and overruled </w:t>
      </w:r>
      <w:r w:rsidRPr="002E3F08">
        <w:rPr>
          <w:rFonts w:ascii="Times New Roman" w:hAnsi="Times New Roman"/>
          <w:i/>
          <w:iCs/>
        </w:rPr>
        <w:t>Al-Kateb</w:t>
      </w:r>
      <w:r w:rsidRPr="002E3F08">
        <w:rPr>
          <w:rFonts w:ascii="Times New Roman" w:hAnsi="Times New Roman"/>
        </w:rPr>
        <w:t>, deciding that ss 189(1) and 196(1) of the Act were beyond the legislative power of the Commonwealth in so far as they applied to the plaintiff in that case by reason of there being no real prospect of his removal from Australia becoming practicable in the reasonably foreseeable future.</w:t>
      </w:r>
      <w:r w:rsidRPr="002E3F08">
        <w:rPr>
          <w:rStyle w:val="FootnoteReference"/>
          <w:rFonts w:ascii="Times New Roman" w:hAnsi="Times New Roman"/>
          <w:sz w:val="24"/>
        </w:rPr>
        <w:footnoteReference w:id="62"/>
      </w:r>
      <w:r w:rsidRPr="002E3F08">
        <w:rPr>
          <w:rFonts w:ascii="Times New Roman" w:hAnsi="Times New Roman"/>
        </w:rPr>
        <w:t xml:space="preserve"> The Commonwealth accepts that, by reason of this Court's decision in </w:t>
      </w:r>
      <w:r w:rsidRPr="002E3F08">
        <w:rPr>
          <w:rFonts w:ascii="Times New Roman" w:hAnsi="Times New Roman"/>
          <w:i/>
          <w:iCs/>
        </w:rPr>
        <w:t>NZYQ</w:t>
      </w:r>
      <w:r w:rsidRPr="002E3F08">
        <w:rPr>
          <w:rFonts w:ascii="Times New Roman" w:hAnsi="Times New Roman"/>
        </w:rPr>
        <w:t>, Mr Abdel-Hady's detention from 28 July 2022 was unlawful.</w:t>
      </w:r>
      <w:r w:rsidRPr="002E3F08">
        <w:rPr>
          <w:rFonts w:ascii="Times New Roman" w:hAnsi="Times New Roman"/>
          <w:b/>
          <w:bCs/>
        </w:rPr>
        <w:t xml:space="preserve"> </w:t>
      </w:r>
    </w:p>
    <w:p w14:paraId="63E7BCD6"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t>Mr Abdel-Hady seeks damages for false imprisonment in respect of the</w:t>
      </w:r>
      <w:r>
        <w:rPr>
          <w:rFonts w:ascii="Times New Roman" w:hAnsi="Times New Roman"/>
        </w:rPr>
        <w:t> </w:t>
      </w:r>
      <w:r w:rsidRPr="002E3F08">
        <w:rPr>
          <w:rFonts w:ascii="Times New Roman" w:hAnsi="Times New Roman"/>
        </w:rPr>
        <w:t>period in which he was unlawfully detained in immigration detention. In</w:t>
      </w:r>
      <w:r>
        <w:rPr>
          <w:rFonts w:ascii="Times New Roman" w:hAnsi="Times New Roman"/>
        </w:rPr>
        <w:t> </w:t>
      </w:r>
      <w:r w:rsidRPr="002E3F08">
        <w:rPr>
          <w:rFonts w:ascii="Times New Roman" w:hAnsi="Times New Roman"/>
          <w:i/>
          <w:iCs/>
        </w:rPr>
        <w:t>Queensland v Stradford (a pseudonym)</w:t>
      </w:r>
      <w:r w:rsidRPr="002E3F08">
        <w:rPr>
          <w:rFonts w:ascii="Times New Roman" w:hAnsi="Times New Roman"/>
        </w:rPr>
        <w:t>,</w:t>
      </w:r>
      <w:r w:rsidRPr="002E3F08" w:rsidDel="003C57D3">
        <w:rPr>
          <w:rFonts w:ascii="Times New Roman" w:hAnsi="Times New Roman"/>
        </w:rPr>
        <w:t xml:space="preserve"> </w:t>
      </w:r>
      <w:r w:rsidRPr="002E3F08">
        <w:rPr>
          <w:rFonts w:ascii="Times New Roman" w:hAnsi="Times New Roman"/>
        </w:rPr>
        <w:t>this Court held that court officers and other persons obliged to execute or enforce a warrant or judicial order made in judicial proceedings of courts have a defence to the tort of false imprisonment, even if the warrant or order is invalid or set aside for jurisdictional error.</w:t>
      </w:r>
      <w:r w:rsidRPr="002E3F08">
        <w:rPr>
          <w:rStyle w:val="FootnoteReference"/>
          <w:rFonts w:ascii="Times New Roman" w:hAnsi="Times New Roman"/>
          <w:sz w:val="24"/>
        </w:rPr>
        <w:footnoteReference w:id="63"/>
      </w:r>
      <w:r w:rsidRPr="002E3F08">
        <w:rPr>
          <w:rFonts w:ascii="Times New Roman" w:hAnsi="Times New Roman"/>
        </w:rPr>
        <w:t xml:space="preserve"> This</w:t>
      </w:r>
      <w:r>
        <w:rPr>
          <w:rFonts w:ascii="Times New Roman" w:hAnsi="Times New Roman"/>
        </w:rPr>
        <w:t> </w:t>
      </w:r>
      <w:r w:rsidRPr="002E3F08">
        <w:rPr>
          <w:rFonts w:ascii="Times New Roman" w:hAnsi="Times New Roman"/>
        </w:rPr>
        <w:t xml:space="preserve">proceeding concerns whether there is a defence to the tort of false imprisonment, by analogy to the defence recognised in </w:t>
      </w:r>
      <w:r w:rsidRPr="002E3F08">
        <w:rPr>
          <w:rFonts w:ascii="Times New Roman" w:hAnsi="Times New Roman"/>
          <w:i/>
          <w:iCs/>
        </w:rPr>
        <w:t>Stradford</w:t>
      </w:r>
      <w:r w:rsidRPr="002E3F08">
        <w:rPr>
          <w:rFonts w:ascii="Times New Roman" w:hAnsi="Times New Roman"/>
        </w:rPr>
        <w:t>, available to the</w:t>
      </w:r>
      <w:r>
        <w:rPr>
          <w:rFonts w:ascii="Times New Roman" w:hAnsi="Times New Roman"/>
        </w:rPr>
        <w:t> </w:t>
      </w:r>
      <w:r w:rsidRPr="002E3F08">
        <w:rPr>
          <w:rFonts w:ascii="Times New Roman" w:hAnsi="Times New Roman"/>
        </w:rPr>
        <w:t xml:space="preserve">officer who detained Mr Abdel-Hady and to the Commonwealth, in respect of </w:t>
      </w:r>
      <w:r w:rsidRPr="002E3F08">
        <w:rPr>
          <w:rFonts w:ascii="Times New Roman" w:hAnsi="Times New Roman"/>
        </w:rPr>
        <w:lastRenderedPageBreak/>
        <w:t xml:space="preserve">Mr Abdel-Hady's unlawful detention. That issue is reflected in the question of law reserved for the opinion of the Full Court: </w:t>
      </w:r>
    </w:p>
    <w:p w14:paraId="4C44412C" w14:textId="77777777" w:rsidR="009F6ECF" w:rsidRDefault="009F6ECF" w:rsidP="002E3F08">
      <w:pPr>
        <w:pStyle w:val="leftright"/>
        <w:spacing w:before="0" w:after="260" w:line="280" w:lineRule="exact"/>
        <w:ind w:right="0"/>
        <w:jc w:val="both"/>
        <w:rPr>
          <w:rFonts w:ascii="Times New Roman" w:hAnsi="Times New Roman"/>
        </w:rPr>
      </w:pPr>
      <w:r w:rsidRPr="002E3F08">
        <w:rPr>
          <w:rFonts w:ascii="Times New Roman" w:hAnsi="Times New Roman"/>
        </w:rPr>
        <w:t>"Do the Commonwealth and its officers have a defence to liability for the</w:t>
      </w:r>
      <w:r>
        <w:rPr>
          <w:rFonts w:ascii="Times New Roman" w:hAnsi="Times New Roman"/>
        </w:rPr>
        <w:t> </w:t>
      </w:r>
      <w:r w:rsidRPr="002E3F08">
        <w:rPr>
          <w:rFonts w:ascii="Times New Roman" w:hAnsi="Times New Roman"/>
        </w:rPr>
        <w:t>tort of false imprisonment with respect to the immigration detention of the plaintiff in the period between 28 July 2022 and 8 November 2023?"</w:t>
      </w:r>
    </w:p>
    <w:p w14:paraId="7185103F"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t>The Commonwealth accepted that if its officers</w:t>
      </w:r>
      <w:r w:rsidRPr="002E3F08" w:rsidDel="0018005B">
        <w:rPr>
          <w:rFonts w:ascii="Times New Roman" w:hAnsi="Times New Roman"/>
        </w:rPr>
        <w:t xml:space="preserve"> </w:t>
      </w:r>
      <w:r w:rsidRPr="002E3F08">
        <w:rPr>
          <w:rFonts w:ascii="Times New Roman" w:hAnsi="Times New Roman"/>
        </w:rPr>
        <w:t>do not have a defence, then</w:t>
      </w:r>
      <w:r>
        <w:rPr>
          <w:rFonts w:ascii="Times New Roman" w:hAnsi="Times New Roman"/>
        </w:rPr>
        <w:t> </w:t>
      </w:r>
      <w:r w:rsidRPr="002E3F08">
        <w:rPr>
          <w:rFonts w:ascii="Times New Roman" w:hAnsi="Times New Roman"/>
        </w:rPr>
        <w:t xml:space="preserve">the Commonwealth also does not have a </w:t>
      </w:r>
      <w:proofErr w:type="gramStart"/>
      <w:r w:rsidRPr="002E3F08">
        <w:rPr>
          <w:rFonts w:ascii="Times New Roman" w:hAnsi="Times New Roman"/>
        </w:rPr>
        <w:t>defence</w:t>
      </w:r>
      <w:proofErr w:type="gramEnd"/>
      <w:r w:rsidRPr="002E3F08">
        <w:rPr>
          <w:rFonts w:ascii="Times New Roman" w:hAnsi="Times New Roman"/>
        </w:rPr>
        <w:t xml:space="preserve"> and it will be vicariously liable for the unlawful detention by the officers. As a result, the determinative issue is whether officers of the Commonwealth have a defence. For the following reasons, the answer is "no".</w:t>
      </w:r>
    </w:p>
    <w:p w14:paraId="18CD23DF"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t>This case raises issues of fundamental importance concerning the</w:t>
      </w:r>
      <w:r>
        <w:rPr>
          <w:rFonts w:ascii="Times New Roman" w:hAnsi="Times New Roman"/>
        </w:rPr>
        <w:t> </w:t>
      </w:r>
      <w:r w:rsidRPr="002E3F08">
        <w:rPr>
          <w:rFonts w:ascii="Times New Roman" w:hAnsi="Times New Roman"/>
        </w:rPr>
        <w:t>separation of judicial power and the rule of law. The rule of law requires that everyone, including the Executive, obey the law and that, where the Executive exceeds its powers, there must be effective legal remedies.</w:t>
      </w:r>
      <w:r w:rsidRPr="002E3F08">
        <w:rPr>
          <w:rStyle w:val="FootnoteReference"/>
          <w:rFonts w:ascii="Times New Roman" w:hAnsi="Times New Roman"/>
          <w:sz w:val="24"/>
        </w:rPr>
        <w:footnoteReference w:id="64"/>
      </w:r>
      <w:r w:rsidRPr="002E3F08">
        <w:rPr>
          <w:rFonts w:ascii="Times New Roman" w:hAnsi="Times New Roman"/>
        </w:rPr>
        <w:t xml:space="preserve"> The Commonwealth submitted it was immune from liability for Mr Abdel-Hady's wrongful imprisonment because it had been acting in accordance with then</w:t>
      </w:r>
      <w:r w:rsidRPr="002E3F08">
        <w:rPr>
          <w:rFonts w:ascii="Times New Roman" w:hAnsi="Times New Roman"/>
        </w:rPr>
        <w:noBreakHyphen/>
        <w:t xml:space="preserve">existing authority of this Court. It sought to justify its position by invoking the rule of law, referring to a "deeper duty" on the part of the Executive to comply with the law as declared by this Court. It was said that this "deeper duty" made the present case analogous to the defence recognised in </w:t>
      </w:r>
      <w:r w:rsidRPr="002E3F08">
        <w:rPr>
          <w:rFonts w:ascii="Times New Roman" w:hAnsi="Times New Roman"/>
          <w:i/>
          <w:iCs/>
        </w:rPr>
        <w:t>Stradford</w:t>
      </w:r>
      <w:r w:rsidRPr="002E3F08">
        <w:rPr>
          <w:rFonts w:ascii="Times New Roman" w:hAnsi="Times New Roman"/>
        </w:rPr>
        <w:t xml:space="preserve">. However, as will be explained, the defence in </w:t>
      </w:r>
      <w:r w:rsidRPr="002E3F08">
        <w:rPr>
          <w:rFonts w:ascii="Times New Roman" w:hAnsi="Times New Roman"/>
          <w:i/>
          <w:iCs/>
        </w:rPr>
        <w:t xml:space="preserve">Stradford </w:t>
      </w:r>
      <w:r w:rsidRPr="002E3F08">
        <w:rPr>
          <w:rFonts w:ascii="Times New Roman" w:hAnsi="Times New Roman"/>
        </w:rPr>
        <w:t>rested upon fundamentally different principles. The</w:t>
      </w:r>
      <w:r>
        <w:rPr>
          <w:rFonts w:ascii="Times New Roman" w:hAnsi="Times New Roman"/>
        </w:rPr>
        <w:t> </w:t>
      </w:r>
      <w:r w:rsidRPr="002E3F08">
        <w:rPr>
          <w:rFonts w:ascii="Times New Roman" w:hAnsi="Times New Roman"/>
        </w:rPr>
        <w:t>Commonwealth's proposed defence would undermine the redress available to a person where the Executive exceeds its powers.</w:t>
      </w:r>
    </w:p>
    <w:p w14:paraId="10E5D38B" w14:textId="77777777" w:rsidR="009F6ECF" w:rsidRPr="002E3F08" w:rsidRDefault="009F6ECF" w:rsidP="002E3F08">
      <w:pPr>
        <w:pStyle w:val="HeadingL1"/>
        <w:spacing w:after="260" w:line="280" w:lineRule="exact"/>
        <w:ind w:right="0"/>
        <w:jc w:val="both"/>
        <w:rPr>
          <w:rFonts w:ascii="Times New Roman" w:hAnsi="Times New Roman"/>
        </w:rPr>
      </w:pPr>
      <w:r w:rsidRPr="002E3F08">
        <w:rPr>
          <w:rFonts w:ascii="Times New Roman" w:hAnsi="Times New Roman"/>
        </w:rPr>
        <w:t xml:space="preserve">Facts and background </w:t>
      </w:r>
    </w:p>
    <w:p w14:paraId="5BF13171"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t>The facts were not in dispute. Mr Abdel-Hady arrived in Australia in 1997 by aeroplane and travelled by aeroplane to and from Australia on 12 different occasions in the period from 1997 to 2006. Mr Abdel-Hady was granted several visas of various classes from 1997 to 2013.</w:t>
      </w:r>
    </w:p>
    <w:p w14:paraId="4F02B3DC"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t xml:space="preserve">On 31 March 2017, a delegate of the Minister for Immigration and Border Protection cancelled Mr Abdel-Hady's visa under s 501(2) of the Act. </w:t>
      </w:r>
      <w:r w:rsidRPr="002E3F08">
        <w:rPr>
          <w:rFonts w:ascii="Times New Roman" w:hAnsi="Times New Roman"/>
        </w:rPr>
        <w:lastRenderedPageBreak/>
        <w:t>On</w:t>
      </w:r>
      <w:r>
        <w:rPr>
          <w:rFonts w:ascii="Times New Roman" w:hAnsi="Times New Roman"/>
        </w:rPr>
        <w:t> </w:t>
      </w:r>
      <w:r w:rsidRPr="002E3F08">
        <w:rPr>
          <w:rFonts w:ascii="Times New Roman" w:hAnsi="Times New Roman"/>
        </w:rPr>
        <w:t>22</w:t>
      </w:r>
      <w:r>
        <w:rPr>
          <w:rFonts w:ascii="Times New Roman" w:hAnsi="Times New Roman"/>
        </w:rPr>
        <w:t> </w:t>
      </w:r>
      <w:r w:rsidRPr="002E3F08">
        <w:rPr>
          <w:rFonts w:ascii="Times New Roman" w:hAnsi="Times New Roman"/>
        </w:rPr>
        <w:t>August 2017, Mr Abdel</w:t>
      </w:r>
      <w:r w:rsidRPr="002E3F08">
        <w:rPr>
          <w:rFonts w:ascii="Times New Roman" w:hAnsi="Times New Roman"/>
        </w:rPr>
        <w:noBreakHyphen/>
        <w:t>Hady was located and detained by an officer of the</w:t>
      </w:r>
      <w:r>
        <w:rPr>
          <w:rFonts w:ascii="Times New Roman" w:hAnsi="Times New Roman"/>
        </w:rPr>
        <w:t> </w:t>
      </w:r>
      <w:r w:rsidRPr="002E3F08">
        <w:rPr>
          <w:rFonts w:ascii="Times New Roman" w:hAnsi="Times New Roman"/>
        </w:rPr>
        <w:t xml:space="preserve">Commonwealth pursuant to s 189(1) of the </w:t>
      </w:r>
      <w:r w:rsidRPr="002E3F08">
        <w:rPr>
          <w:rFonts w:ascii="Times New Roman" w:hAnsi="Times New Roman"/>
          <w:iCs/>
        </w:rPr>
        <w:t>Act</w:t>
      </w:r>
      <w:r w:rsidRPr="002E3F08">
        <w:rPr>
          <w:rFonts w:ascii="Times New Roman" w:hAnsi="Times New Roman"/>
        </w:rPr>
        <w:t>.</w:t>
      </w:r>
    </w:p>
    <w:p w14:paraId="35BAE9C5"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t>This proceeding was commenced in the original jurisdiction of the Court on 6 May 2021. Mr Abdel-Hady's application for declaratory and other relief in respect of his immigration detention was remitted to the Federal Circuit and Family Court of Australia (Division 2) ("the FCFCOA"). His claim for damages for false imprisonment remained in this Court.</w:t>
      </w:r>
    </w:p>
    <w:p w14:paraId="5EA70527"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t xml:space="preserve">On 8 November 2023, this Court made orders in </w:t>
      </w:r>
      <w:r w:rsidRPr="002E3F08">
        <w:rPr>
          <w:rFonts w:ascii="Times New Roman" w:hAnsi="Times New Roman"/>
          <w:i/>
          <w:iCs/>
        </w:rPr>
        <w:t>NZYQ</w:t>
      </w:r>
      <w:r w:rsidRPr="002E3F08">
        <w:rPr>
          <w:rFonts w:ascii="Times New Roman" w:hAnsi="Times New Roman"/>
        </w:rPr>
        <w:t xml:space="preserve">. Both before and after that date, the parties disputed Mr Abdel-Hady's fitness to travel from Australia to Austria following an episode of thrombophilia in July 2022. On 13 February 2024, Mr Abdel-Hady was granted a Bridging Visa E and released from immigration detention. This occurred because the Commonwealth accepted, having regard to medical assessments that were then available, that from 28 July 2022 there had been no reasonable prospect of Mr Abdel-Hady's removal from Australia becoming practicable in the reasonably foreseeable future. On 4 June 2024, the FCFCOA made declarations by consent to that effect, namely: </w:t>
      </w:r>
    </w:p>
    <w:p w14:paraId="487D9A29" w14:textId="77777777" w:rsidR="009F6ECF" w:rsidRPr="002E3F08" w:rsidRDefault="009F6ECF" w:rsidP="002E3F08">
      <w:pPr>
        <w:pStyle w:val="leftright"/>
        <w:spacing w:before="0" w:after="260" w:line="280" w:lineRule="exact"/>
        <w:ind w:right="0"/>
        <w:jc w:val="both"/>
        <w:rPr>
          <w:rFonts w:ascii="Times New Roman" w:hAnsi="Times New Roman"/>
        </w:rPr>
      </w:pPr>
      <w:r w:rsidRPr="002E3F08">
        <w:rPr>
          <w:rFonts w:ascii="Times New Roman" w:hAnsi="Times New Roman"/>
        </w:rPr>
        <w:t>"1.</w:t>
      </w:r>
      <w:r w:rsidRPr="002E3F08">
        <w:rPr>
          <w:rFonts w:ascii="Times New Roman" w:hAnsi="Times New Roman"/>
        </w:rPr>
        <w:tab/>
        <w:t>A declaration that:</w:t>
      </w:r>
    </w:p>
    <w:p w14:paraId="158FED71" w14:textId="77777777" w:rsidR="009F6ECF" w:rsidRPr="002E3F08" w:rsidRDefault="009F6ECF" w:rsidP="002E3F08">
      <w:pPr>
        <w:pStyle w:val="leftright"/>
        <w:spacing w:before="0" w:after="260" w:line="280" w:lineRule="exact"/>
        <w:ind w:left="2160" w:right="0" w:hanging="720"/>
        <w:jc w:val="both"/>
        <w:rPr>
          <w:rFonts w:ascii="Times New Roman" w:hAnsi="Times New Roman"/>
        </w:rPr>
      </w:pPr>
      <w:r w:rsidRPr="002E3F08">
        <w:rPr>
          <w:rFonts w:ascii="Times New Roman" w:hAnsi="Times New Roman"/>
        </w:rPr>
        <w:t>a.</w:t>
      </w:r>
      <w:r w:rsidRPr="002E3F08">
        <w:rPr>
          <w:rFonts w:ascii="Times New Roman" w:hAnsi="Times New Roman"/>
        </w:rPr>
        <w:tab/>
        <w:t>throughout the period 28 July 2022 to 13 February 2024 there was no real prospect of removal of [Mr Abdel-Hady] from</w:t>
      </w:r>
      <w:r>
        <w:rPr>
          <w:rFonts w:ascii="Times New Roman" w:hAnsi="Times New Roman"/>
        </w:rPr>
        <w:t> </w:t>
      </w:r>
      <w:r w:rsidRPr="002E3F08">
        <w:rPr>
          <w:rFonts w:ascii="Times New Roman" w:hAnsi="Times New Roman"/>
        </w:rPr>
        <w:t>Australia becoming practicable in the reasonably foreseeable future; and</w:t>
      </w:r>
    </w:p>
    <w:p w14:paraId="4D94B3A9" w14:textId="77777777" w:rsidR="009F6ECF" w:rsidRPr="002E3F08" w:rsidRDefault="009F6ECF" w:rsidP="002E3F08">
      <w:pPr>
        <w:pStyle w:val="leftright"/>
        <w:spacing w:before="0" w:after="260" w:line="280" w:lineRule="exact"/>
        <w:ind w:left="2160" w:right="0" w:hanging="720"/>
        <w:jc w:val="both"/>
        <w:rPr>
          <w:rFonts w:ascii="Times New Roman" w:hAnsi="Times New Roman"/>
        </w:rPr>
      </w:pPr>
      <w:r w:rsidRPr="002E3F08">
        <w:rPr>
          <w:rFonts w:ascii="Times New Roman" w:hAnsi="Times New Roman"/>
        </w:rPr>
        <w:t>b.</w:t>
      </w:r>
      <w:r w:rsidRPr="002E3F08">
        <w:rPr>
          <w:rFonts w:ascii="Times New Roman" w:hAnsi="Times New Roman"/>
        </w:rPr>
        <w:tab/>
        <w:t>on that basis, [Mr Abdel-Hady's] detention during that period was not authorised by ss 189(1) and 196(1) of the [Act].</w:t>
      </w:r>
    </w:p>
    <w:p w14:paraId="5CBD294B" w14:textId="77777777" w:rsidR="009F6ECF" w:rsidRPr="002E3F08" w:rsidRDefault="009F6ECF" w:rsidP="002E3F08">
      <w:pPr>
        <w:pStyle w:val="leftright"/>
        <w:spacing w:before="0" w:after="260" w:line="280" w:lineRule="exact"/>
        <w:ind w:left="1440" w:right="0" w:hanging="720"/>
        <w:jc w:val="both"/>
        <w:rPr>
          <w:rFonts w:ascii="Times New Roman" w:hAnsi="Times New Roman"/>
        </w:rPr>
      </w:pPr>
      <w:r w:rsidRPr="002E3F08">
        <w:rPr>
          <w:rFonts w:ascii="Times New Roman" w:hAnsi="Times New Roman"/>
        </w:rPr>
        <w:t>2.</w:t>
      </w:r>
      <w:r w:rsidRPr="002E3F08">
        <w:rPr>
          <w:rFonts w:ascii="Times New Roman" w:hAnsi="Times New Roman"/>
        </w:rPr>
        <w:tab/>
        <w:t>A declaration that [Mr Abdel-Hady] cannot presently be lawfully detained under ss 189 and 196 of the Act on the basis that:</w:t>
      </w:r>
    </w:p>
    <w:p w14:paraId="5FE60659" w14:textId="77777777" w:rsidR="009F6ECF" w:rsidRPr="002E3F08" w:rsidRDefault="009F6ECF" w:rsidP="002E3F08">
      <w:pPr>
        <w:pStyle w:val="leftright"/>
        <w:spacing w:before="0" w:after="260" w:line="280" w:lineRule="exact"/>
        <w:ind w:left="2160" w:right="0" w:hanging="720"/>
        <w:jc w:val="both"/>
        <w:rPr>
          <w:rFonts w:ascii="Times New Roman" w:hAnsi="Times New Roman"/>
        </w:rPr>
      </w:pPr>
      <w:r w:rsidRPr="002E3F08">
        <w:rPr>
          <w:rFonts w:ascii="Times New Roman" w:hAnsi="Times New Roman"/>
        </w:rPr>
        <w:t>a.</w:t>
      </w:r>
      <w:r w:rsidRPr="002E3F08">
        <w:rPr>
          <w:rFonts w:ascii="Times New Roman" w:hAnsi="Times New Roman"/>
        </w:rPr>
        <w:tab/>
        <w:t xml:space="preserve">there is currently not a real prospect of the removal of [Mr Abdel-Hady] from Australia to Austria becoming practicable in the reasonably foreseeable future by any means aside from commercial airliner; </w:t>
      </w:r>
    </w:p>
    <w:p w14:paraId="168E77F3" w14:textId="77777777" w:rsidR="009F6ECF" w:rsidRPr="002E3F08" w:rsidRDefault="009F6ECF" w:rsidP="002E3F08">
      <w:pPr>
        <w:pStyle w:val="leftright"/>
        <w:spacing w:before="0" w:after="260" w:line="280" w:lineRule="exact"/>
        <w:ind w:left="2160" w:right="0" w:hanging="720"/>
        <w:jc w:val="both"/>
        <w:rPr>
          <w:rFonts w:ascii="Times New Roman" w:hAnsi="Times New Roman"/>
        </w:rPr>
      </w:pPr>
      <w:r w:rsidRPr="002E3F08">
        <w:rPr>
          <w:rFonts w:ascii="Times New Roman" w:hAnsi="Times New Roman"/>
        </w:rPr>
        <w:t>b.</w:t>
      </w:r>
      <w:r w:rsidRPr="002E3F08">
        <w:rPr>
          <w:rFonts w:ascii="Times New Roman" w:hAnsi="Times New Roman"/>
        </w:rPr>
        <w:tab/>
        <w:t>[Mr Abdel-Hady] is not currently fit for travel to Austria on a commercial airliner;</w:t>
      </w:r>
    </w:p>
    <w:p w14:paraId="729C632A" w14:textId="77777777" w:rsidR="009F6ECF" w:rsidRPr="002E3F08" w:rsidRDefault="009F6ECF" w:rsidP="002E3F08">
      <w:pPr>
        <w:pStyle w:val="leftright"/>
        <w:spacing w:before="0" w:after="260" w:line="280" w:lineRule="exact"/>
        <w:ind w:left="2160" w:right="0" w:hanging="720"/>
        <w:jc w:val="both"/>
        <w:rPr>
          <w:rFonts w:ascii="Times New Roman" w:hAnsi="Times New Roman"/>
        </w:rPr>
      </w:pPr>
      <w:r w:rsidRPr="002E3F08">
        <w:rPr>
          <w:rFonts w:ascii="Times New Roman" w:hAnsi="Times New Roman"/>
        </w:rPr>
        <w:t>c.</w:t>
      </w:r>
      <w:r w:rsidRPr="002E3F08">
        <w:rPr>
          <w:rFonts w:ascii="Times New Roman" w:hAnsi="Times New Roman"/>
        </w:rPr>
        <w:tab/>
        <w:t>there is not a real prospect that [Mr Abdel-Hady] will become fit for travel to Austria on a commercial airliner in the</w:t>
      </w:r>
      <w:r>
        <w:rPr>
          <w:rFonts w:ascii="Times New Roman" w:hAnsi="Times New Roman"/>
        </w:rPr>
        <w:t> </w:t>
      </w:r>
      <w:r w:rsidRPr="002E3F08">
        <w:rPr>
          <w:rFonts w:ascii="Times New Roman" w:hAnsi="Times New Roman"/>
        </w:rPr>
        <w:t>reasonably foreseeable future; and</w:t>
      </w:r>
    </w:p>
    <w:p w14:paraId="749543CE" w14:textId="77777777" w:rsidR="009F6ECF" w:rsidRPr="002E3F08" w:rsidRDefault="009F6ECF" w:rsidP="002E3F08">
      <w:pPr>
        <w:pStyle w:val="leftright"/>
        <w:spacing w:before="0" w:after="260" w:line="280" w:lineRule="exact"/>
        <w:ind w:left="2160" w:right="0" w:hanging="720"/>
        <w:jc w:val="both"/>
        <w:rPr>
          <w:rFonts w:ascii="Times New Roman" w:hAnsi="Times New Roman"/>
        </w:rPr>
      </w:pPr>
      <w:r w:rsidRPr="002E3F08">
        <w:rPr>
          <w:rFonts w:ascii="Times New Roman" w:hAnsi="Times New Roman"/>
        </w:rPr>
        <w:t>d.</w:t>
      </w:r>
      <w:r w:rsidRPr="002E3F08">
        <w:rPr>
          <w:rFonts w:ascii="Times New Roman" w:hAnsi="Times New Roman"/>
        </w:rPr>
        <w:tab/>
        <w:t>there is not a real prospect of the removal of [Mr Abdel-Hady] from Australia to any other country aside from Austria in the</w:t>
      </w:r>
      <w:r>
        <w:rPr>
          <w:rFonts w:ascii="Times New Roman" w:hAnsi="Times New Roman"/>
        </w:rPr>
        <w:t> </w:t>
      </w:r>
      <w:r w:rsidRPr="002E3F08">
        <w:rPr>
          <w:rFonts w:ascii="Times New Roman" w:hAnsi="Times New Roman"/>
        </w:rPr>
        <w:t>reasonably foreseeable future.</w:t>
      </w:r>
    </w:p>
    <w:p w14:paraId="1D57384A" w14:textId="77777777" w:rsidR="009F6ECF" w:rsidRPr="002E3F08" w:rsidRDefault="009F6ECF" w:rsidP="002E3F08">
      <w:pPr>
        <w:pStyle w:val="leftright"/>
        <w:spacing w:before="0" w:after="260" w:line="280" w:lineRule="exact"/>
        <w:ind w:left="1440" w:right="0" w:hanging="720"/>
        <w:jc w:val="both"/>
        <w:rPr>
          <w:rFonts w:ascii="Times New Roman" w:hAnsi="Times New Roman"/>
        </w:rPr>
      </w:pPr>
      <w:r w:rsidRPr="002E3F08">
        <w:rPr>
          <w:rFonts w:ascii="Times New Roman" w:hAnsi="Times New Roman"/>
        </w:rPr>
        <w:lastRenderedPageBreak/>
        <w:t>3.</w:t>
      </w:r>
      <w:r w:rsidRPr="002E3F08">
        <w:rPr>
          <w:rFonts w:ascii="Times New Roman" w:hAnsi="Times New Roman"/>
        </w:rPr>
        <w:tab/>
        <w:t>Note that the declarations made in paragraphs 1 and 2:</w:t>
      </w:r>
    </w:p>
    <w:p w14:paraId="36172B80" w14:textId="77777777" w:rsidR="009F6ECF" w:rsidRPr="002E3F08" w:rsidRDefault="009F6ECF" w:rsidP="002E3F08">
      <w:pPr>
        <w:pStyle w:val="leftright"/>
        <w:spacing w:before="0" w:after="260" w:line="280" w:lineRule="exact"/>
        <w:ind w:left="2160" w:right="0" w:hanging="720"/>
        <w:jc w:val="both"/>
        <w:rPr>
          <w:rFonts w:ascii="Times New Roman" w:hAnsi="Times New Roman"/>
        </w:rPr>
      </w:pPr>
      <w:r w:rsidRPr="002E3F08">
        <w:rPr>
          <w:rFonts w:ascii="Times New Roman" w:hAnsi="Times New Roman"/>
        </w:rPr>
        <w:t>a.</w:t>
      </w:r>
      <w:r w:rsidRPr="002E3F08">
        <w:rPr>
          <w:rFonts w:ascii="Times New Roman" w:hAnsi="Times New Roman"/>
        </w:rPr>
        <w:tab/>
      </w:r>
      <w:proofErr w:type="gramStart"/>
      <w:r w:rsidRPr="002E3F08">
        <w:rPr>
          <w:rFonts w:ascii="Times New Roman" w:hAnsi="Times New Roman"/>
        </w:rPr>
        <w:t>do</w:t>
      </w:r>
      <w:proofErr w:type="gramEnd"/>
      <w:r w:rsidRPr="002E3F08">
        <w:rPr>
          <w:rFonts w:ascii="Times New Roman" w:hAnsi="Times New Roman"/>
        </w:rPr>
        <w:t xml:space="preserve"> not prevent [Mr Abdel-Hady] being detained under ss 189 and 196 of the Act </w:t>
      </w:r>
      <w:proofErr w:type="gramStart"/>
      <w:r w:rsidRPr="002E3F08">
        <w:rPr>
          <w:rFonts w:ascii="Times New Roman" w:hAnsi="Times New Roman"/>
        </w:rPr>
        <w:t>in the event that</w:t>
      </w:r>
      <w:proofErr w:type="gramEnd"/>
      <w:r w:rsidRPr="002E3F08">
        <w:rPr>
          <w:rFonts w:ascii="Times New Roman" w:hAnsi="Times New Roman"/>
        </w:rPr>
        <w:t xml:space="preserve"> changed circumstances mean that there becomes a real prospect of [Mr Abdel</w:t>
      </w:r>
      <w:r>
        <w:rPr>
          <w:rFonts w:ascii="Times New Roman" w:hAnsi="Times New Roman"/>
        </w:rPr>
        <w:noBreakHyphen/>
      </w:r>
      <w:r w:rsidRPr="002E3F08">
        <w:rPr>
          <w:rFonts w:ascii="Times New Roman" w:hAnsi="Times New Roman"/>
        </w:rPr>
        <w:t xml:space="preserve">Hady's] removal from Australia becoming practicable in the reasonably foreseeable future; </w:t>
      </w:r>
    </w:p>
    <w:p w14:paraId="31ECA551" w14:textId="77777777" w:rsidR="009F6ECF" w:rsidRPr="002E3F08" w:rsidRDefault="009F6ECF" w:rsidP="002E3F08">
      <w:pPr>
        <w:pStyle w:val="leftright"/>
        <w:spacing w:before="0" w:after="260" w:line="280" w:lineRule="exact"/>
        <w:ind w:left="2160" w:right="0" w:hanging="720"/>
        <w:jc w:val="both"/>
        <w:rPr>
          <w:rFonts w:ascii="Times New Roman" w:hAnsi="Times New Roman"/>
        </w:rPr>
      </w:pPr>
      <w:r w:rsidRPr="002E3F08">
        <w:rPr>
          <w:rFonts w:ascii="Times New Roman" w:hAnsi="Times New Roman"/>
        </w:rPr>
        <w:t>b.</w:t>
      </w:r>
      <w:r w:rsidRPr="002E3F08">
        <w:rPr>
          <w:rFonts w:ascii="Times New Roman" w:hAnsi="Times New Roman"/>
        </w:rPr>
        <w:tab/>
      </w:r>
      <w:proofErr w:type="gramStart"/>
      <w:r w:rsidRPr="002E3F08">
        <w:rPr>
          <w:rFonts w:ascii="Times New Roman" w:hAnsi="Times New Roman"/>
        </w:rPr>
        <w:t>do</w:t>
      </w:r>
      <w:proofErr w:type="gramEnd"/>
      <w:r w:rsidRPr="002E3F08">
        <w:rPr>
          <w:rFonts w:ascii="Times New Roman" w:hAnsi="Times New Roman"/>
        </w:rPr>
        <w:t xml:space="preserve"> not prevent [Mr Abdel-Hady] from making any claim for damages for false imprisonment either in these proceedings (to the extent the proceedings were not remitted by the High Court to this Court) or in any new proceedings; and</w:t>
      </w:r>
    </w:p>
    <w:p w14:paraId="5E8EE9C4" w14:textId="77777777" w:rsidR="009F6ECF" w:rsidRDefault="009F6ECF" w:rsidP="002E3F08">
      <w:pPr>
        <w:pStyle w:val="leftright"/>
        <w:spacing w:before="0" w:after="260" w:line="280" w:lineRule="exact"/>
        <w:ind w:left="2160" w:right="0" w:hanging="720"/>
        <w:jc w:val="both"/>
        <w:rPr>
          <w:rFonts w:ascii="Times New Roman" w:hAnsi="Times New Roman"/>
        </w:rPr>
      </w:pPr>
      <w:r w:rsidRPr="002E3F08">
        <w:rPr>
          <w:rFonts w:ascii="Times New Roman" w:hAnsi="Times New Roman"/>
        </w:rPr>
        <w:t>c.</w:t>
      </w:r>
      <w:r w:rsidRPr="002E3F08">
        <w:rPr>
          <w:rFonts w:ascii="Times New Roman" w:hAnsi="Times New Roman"/>
        </w:rPr>
        <w:tab/>
      </w:r>
      <w:proofErr w:type="gramStart"/>
      <w:r w:rsidRPr="002E3F08">
        <w:rPr>
          <w:rFonts w:ascii="Times New Roman" w:hAnsi="Times New Roman"/>
        </w:rPr>
        <w:t>do</w:t>
      </w:r>
      <w:proofErr w:type="gramEnd"/>
      <w:r w:rsidRPr="002E3F08">
        <w:rPr>
          <w:rFonts w:ascii="Times New Roman" w:hAnsi="Times New Roman"/>
        </w:rPr>
        <w:t xml:space="preserve"> not limit the respondents' defence to any claim for damages for false imprisonment brought by [Mr Abdel</w:t>
      </w:r>
      <w:r>
        <w:rPr>
          <w:rFonts w:ascii="Times New Roman" w:hAnsi="Times New Roman"/>
        </w:rPr>
        <w:noBreakHyphen/>
      </w:r>
      <w:r w:rsidRPr="002E3F08">
        <w:rPr>
          <w:rFonts w:ascii="Times New Roman" w:hAnsi="Times New Roman"/>
        </w:rPr>
        <w:t>Hady] except to the extent that that such defence would be inconsistent with the terms of the declarations."</w:t>
      </w:r>
    </w:p>
    <w:p w14:paraId="2BAB0023"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t>The parties agree that, from the commencement of Mr Abdel</w:t>
      </w:r>
      <w:r w:rsidRPr="002E3F08">
        <w:rPr>
          <w:rFonts w:ascii="Times New Roman" w:hAnsi="Times New Roman"/>
        </w:rPr>
        <w:noBreakHyphen/>
        <w:t xml:space="preserve">Hady's detention until the Court made orders in </w:t>
      </w:r>
      <w:r w:rsidRPr="002E3F08">
        <w:rPr>
          <w:rFonts w:ascii="Times New Roman" w:hAnsi="Times New Roman"/>
          <w:i/>
          <w:iCs/>
        </w:rPr>
        <w:t>NZYQ</w:t>
      </w:r>
      <w:r w:rsidRPr="002E3F08">
        <w:rPr>
          <w:rFonts w:ascii="Times New Roman" w:hAnsi="Times New Roman"/>
        </w:rPr>
        <w:t xml:space="preserve">, by reason of this Court's judgment in </w:t>
      </w:r>
      <w:r w:rsidRPr="002E3F08">
        <w:rPr>
          <w:rFonts w:ascii="Times New Roman" w:hAnsi="Times New Roman"/>
          <w:i/>
          <w:iCs/>
        </w:rPr>
        <w:t>Al-Kateb</w:t>
      </w:r>
      <w:r w:rsidRPr="002E3F08">
        <w:rPr>
          <w:rFonts w:ascii="Times New Roman" w:hAnsi="Times New Roman"/>
        </w:rPr>
        <w:t xml:space="preserve"> and s 13(4) of the </w:t>
      </w:r>
      <w:r w:rsidRPr="002E3F08">
        <w:rPr>
          <w:rFonts w:ascii="Times New Roman" w:hAnsi="Times New Roman"/>
          <w:i/>
          <w:iCs/>
        </w:rPr>
        <w:t>Public Service Act 1999</w:t>
      </w:r>
      <w:r w:rsidRPr="002E3F08">
        <w:rPr>
          <w:rFonts w:ascii="Times New Roman" w:hAnsi="Times New Roman"/>
        </w:rPr>
        <w:t xml:space="preserve"> (</w:t>
      </w:r>
      <w:proofErr w:type="spellStart"/>
      <w:r w:rsidRPr="002E3F08">
        <w:rPr>
          <w:rFonts w:ascii="Times New Roman" w:hAnsi="Times New Roman"/>
        </w:rPr>
        <w:t>Cth</w:t>
      </w:r>
      <w:proofErr w:type="spellEnd"/>
      <w:r w:rsidRPr="002E3F08">
        <w:rPr>
          <w:rFonts w:ascii="Times New Roman" w:hAnsi="Times New Roman"/>
        </w:rPr>
        <w:t>), which required Australian Public Service employees to "comply with all applicable Australian laws", the Commonwealth's "detaining officers" reasonably understood their duty to be to keep Mr Abdel</w:t>
      </w:r>
      <w:r w:rsidRPr="002E3F08">
        <w:rPr>
          <w:rFonts w:ascii="Times New Roman" w:hAnsi="Times New Roman"/>
        </w:rPr>
        <w:noBreakHyphen/>
        <w:t xml:space="preserve">Hady in immigration detention until he was actually removed from Australia. </w:t>
      </w:r>
    </w:p>
    <w:p w14:paraId="5A3102D3"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t xml:space="preserve">In sum, the facts are that Mr Abdel-Hady was detained: (1) by an officer of the Executive Government whose duty to obey the law as declared by this Court was reinforced by the </w:t>
      </w:r>
      <w:r w:rsidRPr="002E3F08">
        <w:rPr>
          <w:rFonts w:ascii="Times New Roman" w:hAnsi="Times New Roman"/>
          <w:i/>
          <w:iCs/>
        </w:rPr>
        <w:t>Public Service Act</w:t>
      </w:r>
      <w:r w:rsidRPr="002E3F08">
        <w:rPr>
          <w:rFonts w:ascii="Times New Roman" w:hAnsi="Times New Roman"/>
        </w:rPr>
        <w:t xml:space="preserve">; (2) acting pursuant to an apparent statutory duty to detain; (3) during a period of time when current and binding High Court authority held that the duty to detain validly applied to require such detention. These are the facts in respect of which the Commonwealth asks this Court to recognise a novel defence. </w:t>
      </w:r>
    </w:p>
    <w:p w14:paraId="254636C4" w14:textId="77777777" w:rsidR="009F6ECF" w:rsidRPr="002E3F08" w:rsidRDefault="009F6ECF" w:rsidP="002E3F08">
      <w:pPr>
        <w:pStyle w:val="HeadingL1"/>
        <w:spacing w:after="260" w:line="280" w:lineRule="exact"/>
        <w:ind w:right="0"/>
        <w:jc w:val="both"/>
        <w:rPr>
          <w:rFonts w:ascii="Times New Roman" w:hAnsi="Times New Roman"/>
        </w:rPr>
      </w:pPr>
      <w:r w:rsidRPr="002E3F08">
        <w:rPr>
          <w:rFonts w:ascii="Times New Roman" w:hAnsi="Times New Roman"/>
        </w:rPr>
        <w:t xml:space="preserve">Defence in </w:t>
      </w:r>
      <w:r w:rsidRPr="002E3F08">
        <w:rPr>
          <w:rFonts w:ascii="Times New Roman" w:hAnsi="Times New Roman"/>
          <w:i/>
          <w:iCs/>
        </w:rPr>
        <w:t>Stradford</w:t>
      </w:r>
    </w:p>
    <w:p w14:paraId="11AFB614"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t xml:space="preserve">In </w:t>
      </w:r>
      <w:r w:rsidRPr="002E3F08">
        <w:rPr>
          <w:rFonts w:ascii="Times New Roman" w:hAnsi="Times New Roman"/>
          <w:i/>
          <w:iCs/>
        </w:rPr>
        <w:t>Stradford</w:t>
      </w:r>
      <w:r w:rsidRPr="002E3F08">
        <w:rPr>
          <w:rFonts w:ascii="Times New Roman" w:hAnsi="Times New Roman"/>
        </w:rPr>
        <w:t>, the Court recognised a common law defence of justification or an immunity from suit for court officers and other persons obliged to execute or enforce a warrant or judicial order made in judicial proceedings of courts, even if the warrant or order is invalid or set aside for jurisdictional error.</w:t>
      </w:r>
      <w:r w:rsidRPr="002E3F08">
        <w:rPr>
          <w:rStyle w:val="FootnoteReference"/>
          <w:rFonts w:ascii="Times New Roman" w:hAnsi="Times New Roman"/>
          <w:sz w:val="24"/>
        </w:rPr>
        <w:footnoteReference w:id="65"/>
      </w:r>
      <w:r w:rsidRPr="002E3F08">
        <w:rPr>
          <w:rFonts w:ascii="Times New Roman" w:hAnsi="Times New Roman"/>
        </w:rPr>
        <w:t xml:space="preserve"> Edelman J </w:t>
      </w:r>
      <w:r w:rsidRPr="002E3F08">
        <w:rPr>
          <w:rFonts w:ascii="Times New Roman" w:hAnsi="Times New Roman"/>
        </w:rPr>
        <w:lastRenderedPageBreak/>
        <w:t>explained it as a "defence of justification" based on the legal authority of a judicial order made with jurisdictional error.</w:t>
      </w:r>
      <w:r w:rsidRPr="002E3F08">
        <w:rPr>
          <w:rStyle w:val="FootnoteReference"/>
          <w:rFonts w:ascii="Times New Roman" w:hAnsi="Times New Roman"/>
          <w:sz w:val="24"/>
        </w:rPr>
        <w:footnoteReference w:id="66"/>
      </w:r>
      <w:r w:rsidRPr="002E3F08">
        <w:rPr>
          <w:rFonts w:ascii="Times New Roman" w:hAnsi="Times New Roman"/>
        </w:rPr>
        <w:t xml:space="preserve"> The Commonwealth referred to a "defence" rather than an immunity. Describing it as a "defence" or an "immunity" does not affect the answer to the question of law. </w:t>
      </w:r>
    </w:p>
    <w:p w14:paraId="1CE8CB93"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t xml:space="preserve">The defence in </w:t>
      </w:r>
      <w:r w:rsidRPr="002E3F08">
        <w:rPr>
          <w:rFonts w:ascii="Times New Roman" w:hAnsi="Times New Roman"/>
          <w:i/>
          <w:iCs/>
        </w:rPr>
        <w:t>Stradford</w:t>
      </w:r>
      <w:r w:rsidRPr="002E3F08">
        <w:rPr>
          <w:rFonts w:ascii="Times New Roman" w:hAnsi="Times New Roman"/>
        </w:rPr>
        <w:t xml:space="preserve">, and its underlying rationale, must be understood against the background of Ch III of the </w:t>
      </w:r>
      <w:r w:rsidRPr="002E3F08">
        <w:rPr>
          <w:rFonts w:ascii="Times New Roman" w:hAnsi="Times New Roman"/>
          <w:i/>
        </w:rPr>
        <w:t>Constitution</w:t>
      </w:r>
      <w:r w:rsidRPr="002E3F08">
        <w:rPr>
          <w:rFonts w:ascii="Times New Roman" w:hAnsi="Times New Roman"/>
        </w:rPr>
        <w:t>. Chapter III</w:t>
      </w:r>
      <w:r w:rsidRPr="002E3F08" w:rsidDel="00A16F84">
        <w:rPr>
          <w:rFonts w:ascii="Times New Roman" w:hAnsi="Times New Roman"/>
        </w:rPr>
        <w:t xml:space="preserve"> </w:t>
      </w:r>
      <w:r w:rsidRPr="002E3F08">
        <w:rPr>
          <w:rFonts w:ascii="Times New Roman" w:hAnsi="Times New Roman"/>
        </w:rPr>
        <w:t>entrenches the</w:t>
      </w:r>
      <w:r>
        <w:rPr>
          <w:rFonts w:ascii="Times New Roman" w:hAnsi="Times New Roman"/>
        </w:rPr>
        <w:t> </w:t>
      </w:r>
      <w:r w:rsidRPr="002E3F08">
        <w:rPr>
          <w:rFonts w:ascii="Times New Roman" w:hAnsi="Times New Roman"/>
        </w:rPr>
        <w:t>fundamental constitutional principle of the separation of powers.</w:t>
      </w:r>
      <w:r w:rsidRPr="002E3F08">
        <w:rPr>
          <w:rStyle w:val="FootnoteReference"/>
          <w:rFonts w:ascii="Times New Roman" w:hAnsi="Times New Roman"/>
          <w:sz w:val="24"/>
        </w:rPr>
        <w:footnoteReference w:id="67"/>
      </w:r>
      <w:r w:rsidRPr="002E3F08">
        <w:rPr>
          <w:rFonts w:ascii="Times New Roman" w:hAnsi="Times New Roman"/>
        </w:rPr>
        <w:t xml:space="preserve"> The</w:t>
      </w:r>
      <w:r>
        <w:rPr>
          <w:rFonts w:ascii="Times New Roman" w:hAnsi="Times New Roman"/>
        </w:rPr>
        <w:t> </w:t>
      </w:r>
      <w:r w:rsidRPr="002E3F08">
        <w:rPr>
          <w:rFonts w:ascii="Times New Roman" w:hAnsi="Times New Roman"/>
        </w:rPr>
        <w:t>separation of judicial power from executive and legislative power is underpinned by two key rationales (or constitutional values), both of which are well established, and both of which lie at the centre of this case: the separation of judicial power protects liberty against incursions by the legislature or the</w:t>
      </w:r>
      <w:r>
        <w:rPr>
          <w:rFonts w:ascii="Times New Roman" w:hAnsi="Times New Roman"/>
        </w:rPr>
        <w:t> </w:t>
      </w:r>
      <w:r w:rsidRPr="002E3F08">
        <w:rPr>
          <w:rFonts w:ascii="Times New Roman" w:hAnsi="Times New Roman"/>
        </w:rPr>
        <w:t>Executive and it protects the impartiality and independence of the judiciary to ensure that the judiciary can operate effectively as a check on executive and legislative power.</w:t>
      </w:r>
      <w:r w:rsidRPr="002E3F08">
        <w:rPr>
          <w:rStyle w:val="FootnoteReference"/>
          <w:rFonts w:ascii="Times New Roman" w:hAnsi="Times New Roman"/>
          <w:sz w:val="24"/>
        </w:rPr>
        <w:footnoteReference w:id="68"/>
      </w:r>
      <w:r w:rsidRPr="002E3F08">
        <w:rPr>
          <w:rFonts w:ascii="Times New Roman" w:hAnsi="Times New Roman"/>
        </w:rPr>
        <w:t xml:space="preserve"> The Court must be cognisant of, and vigilant to protect against, laws that are corrosive of or erode those key rationales or constitutional values underpinning the separation of judicial power, which themselves are conventions of the rule of law.</w:t>
      </w:r>
      <w:r w:rsidRPr="002E3F08">
        <w:rPr>
          <w:rStyle w:val="FootnoteReference"/>
          <w:rFonts w:ascii="Times New Roman" w:hAnsi="Times New Roman"/>
          <w:sz w:val="24"/>
        </w:rPr>
        <w:footnoteReference w:id="69"/>
      </w:r>
    </w:p>
    <w:p w14:paraId="29D6839F"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t>The second key rationale underpinning the separation of powers, the</w:t>
      </w:r>
      <w:r>
        <w:rPr>
          <w:rFonts w:ascii="Times New Roman" w:hAnsi="Times New Roman"/>
        </w:rPr>
        <w:t> </w:t>
      </w:r>
      <w:r w:rsidRPr="002E3F08">
        <w:rPr>
          <w:rFonts w:ascii="Times New Roman" w:hAnsi="Times New Roman"/>
        </w:rPr>
        <w:t>protection of judicial independence, supports an immunity from suit for judicial officers in respect of acts done in their judicial function or capacity.</w:t>
      </w:r>
      <w:r w:rsidRPr="002E3F08">
        <w:rPr>
          <w:rStyle w:val="FootnoteReference"/>
          <w:rFonts w:ascii="Times New Roman" w:hAnsi="Times New Roman"/>
          <w:sz w:val="24"/>
        </w:rPr>
        <w:footnoteReference w:id="70"/>
      </w:r>
      <w:r w:rsidRPr="002E3F08">
        <w:rPr>
          <w:rFonts w:ascii="Times New Roman" w:hAnsi="Times New Roman"/>
        </w:rPr>
        <w:t xml:space="preserve"> Judicial immunity is necessary to ensure the independence of judges, in that "being</w:t>
      </w:r>
      <w:r>
        <w:rPr>
          <w:rFonts w:ascii="Times New Roman" w:hAnsi="Times New Roman"/>
        </w:rPr>
        <w:t> </w:t>
      </w:r>
      <w:r w:rsidRPr="002E3F08">
        <w:rPr>
          <w:rFonts w:ascii="Times New Roman" w:hAnsi="Times New Roman"/>
        </w:rPr>
        <w:t xml:space="preserve">free from actions they may be free in thought and independent in </w:t>
      </w:r>
      <w:r w:rsidRPr="002E3F08">
        <w:rPr>
          <w:rFonts w:ascii="Times New Roman" w:hAnsi="Times New Roman"/>
        </w:rPr>
        <w:lastRenderedPageBreak/>
        <w:t>judgment",</w:t>
      </w:r>
      <w:r w:rsidRPr="002E3F08">
        <w:rPr>
          <w:rStyle w:val="FootnoteReference"/>
          <w:rFonts w:ascii="Times New Roman" w:hAnsi="Times New Roman"/>
          <w:sz w:val="24"/>
        </w:rPr>
        <w:footnoteReference w:id="71"/>
      </w:r>
      <w:r w:rsidRPr="002E3F08">
        <w:rPr>
          <w:rFonts w:ascii="Times New Roman" w:hAnsi="Times New Roman"/>
        </w:rPr>
        <w:t xml:space="preserve"> and "may act fearlessly and without the harassing concern that they will be made personally liable for the performance of their functions before another judge at the suit of a person disgruntled by the decision".</w:t>
      </w:r>
      <w:r w:rsidRPr="002E3F08">
        <w:rPr>
          <w:rStyle w:val="FootnoteReference"/>
          <w:rFonts w:ascii="Times New Roman" w:hAnsi="Times New Roman"/>
          <w:sz w:val="24"/>
        </w:rPr>
        <w:footnoteReference w:id="72"/>
      </w:r>
      <w:r w:rsidRPr="002E3F08">
        <w:rPr>
          <w:rFonts w:ascii="Times New Roman" w:hAnsi="Times New Roman"/>
        </w:rPr>
        <w:t xml:space="preserve"> As Gleeson CJ explained in </w:t>
      </w:r>
      <w:r w:rsidRPr="002E3F08">
        <w:rPr>
          <w:rFonts w:ascii="Times New Roman" w:hAnsi="Times New Roman"/>
          <w:i/>
          <w:iCs/>
        </w:rPr>
        <w:t>Fingleton v The Queen</w:t>
      </w:r>
      <w:r w:rsidRPr="002E3F08">
        <w:rPr>
          <w:rFonts w:ascii="Times New Roman" w:hAnsi="Times New Roman"/>
        </w:rPr>
        <w:t>, "the public interest in maintaining the</w:t>
      </w:r>
      <w:r>
        <w:rPr>
          <w:rFonts w:ascii="Times New Roman" w:hAnsi="Times New Roman"/>
        </w:rPr>
        <w:t> </w:t>
      </w:r>
      <w:r w:rsidRPr="002E3F08">
        <w:rPr>
          <w:rFonts w:ascii="Times New Roman" w:hAnsi="Times New Roman"/>
        </w:rPr>
        <w:t>independence of the judiciary requires security, not only against the possibility of interference and influence by governments, but also against retaliation by persons or interests disappointed or displeased by judicial decisions".</w:t>
      </w:r>
      <w:r w:rsidRPr="002E3F08">
        <w:rPr>
          <w:rStyle w:val="FootnoteReference"/>
          <w:rFonts w:ascii="Times New Roman" w:hAnsi="Times New Roman"/>
          <w:sz w:val="24"/>
        </w:rPr>
        <w:footnoteReference w:id="73"/>
      </w:r>
    </w:p>
    <w:p w14:paraId="25842D9A"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t xml:space="preserve">The officers in </w:t>
      </w:r>
      <w:r w:rsidRPr="002E3F08">
        <w:rPr>
          <w:rFonts w:ascii="Times New Roman" w:hAnsi="Times New Roman"/>
          <w:i/>
          <w:iCs/>
        </w:rPr>
        <w:t>Stradford</w:t>
      </w:r>
      <w:r w:rsidRPr="002E3F08">
        <w:rPr>
          <w:rFonts w:ascii="Times New Roman" w:hAnsi="Times New Roman"/>
        </w:rPr>
        <w:t xml:space="preserve"> were acting in accordance with an exercise of judicial power, in the form of a judicial warrant or order.</w:t>
      </w:r>
      <w:r w:rsidRPr="002E3F08">
        <w:rPr>
          <w:rStyle w:val="FootnoteReference"/>
          <w:rFonts w:ascii="Times New Roman" w:hAnsi="Times New Roman"/>
          <w:sz w:val="24"/>
        </w:rPr>
        <w:footnoteReference w:id="74"/>
      </w:r>
      <w:r w:rsidRPr="002E3F08">
        <w:rPr>
          <w:rFonts w:ascii="Times New Roman" w:hAnsi="Times New Roman"/>
        </w:rPr>
        <w:t xml:space="preserve"> As has been explained, the judiciary occupies a unique position in the branches of government. Consistently with the constitutional separation of powers, the judiciary requires institutional protections to ensure it can operate effectively as a check on the</w:t>
      </w:r>
      <w:r>
        <w:rPr>
          <w:rFonts w:ascii="Times New Roman" w:hAnsi="Times New Roman"/>
        </w:rPr>
        <w:t> </w:t>
      </w:r>
      <w:r w:rsidRPr="002E3F08">
        <w:rPr>
          <w:rFonts w:ascii="Times New Roman" w:hAnsi="Times New Roman"/>
        </w:rPr>
        <w:t>legislature and Executive.</w:t>
      </w:r>
    </w:p>
    <w:p w14:paraId="5AD62152"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t xml:space="preserve">The defence in </w:t>
      </w:r>
      <w:r w:rsidRPr="002E3F08">
        <w:rPr>
          <w:rFonts w:ascii="Times New Roman" w:hAnsi="Times New Roman"/>
          <w:i/>
          <w:iCs/>
        </w:rPr>
        <w:t>Stradford</w:t>
      </w:r>
      <w:r w:rsidRPr="002E3F08">
        <w:rPr>
          <w:rFonts w:ascii="Times New Roman" w:hAnsi="Times New Roman"/>
        </w:rPr>
        <w:t xml:space="preserve"> is best understood as an extension or logical consequence of the judicial immunity itself: as applied in </w:t>
      </w:r>
      <w:r w:rsidRPr="002E3F08">
        <w:rPr>
          <w:rFonts w:ascii="Times New Roman" w:hAnsi="Times New Roman"/>
          <w:i/>
          <w:iCs/>
        </w:rPr>
        <w:t>Stradford</w:t>
      </w:r>
      <w:r w:rsidRPr="002E3F08">
        <w:rPr>
          <w:rFonts w:ascii="Times New Roman" w:hAnsi="Times New Roman"/>
        </w:rPr>
        <w:t>, the judicial immunity had the effect that acts of the judge that would otherwise have been unlawful were lawful, and that, as a consequence, the acts of the officials enforcing the judicial order or warrant were also lawful.</w:t>
      </w:r>
      <w:r w:rsidRPr="002E3F08">
        <w:rPr>
          <w:rStyle w:val="FootnoteReference"/>
          <w:rFonts w:ascii="Times New Roman" w:hAnsi="Times New Roman"/>
          <w:sz w:val="24"/>
        </w:rPr>
        <w:footnoteReference w:id="75"/>
      </w:r>
      <w:r w:rsidRPr="002E3F08">
        <w:rPr>
          <w:rFonts w:ascii="Times New Roman" w:hAnsi="Times New Roman"/>
        </w:rPr>
        <w:t xml:space="preserve"> Treating the acts of the officials as lawful was a necessary consequence of the need for the orders of the court to be obeyed. It is necessary for the orders of the court to be obeyed by officers of the</w:t>
      </w:r>
      <w:r>
        <w:rPr>
          <w:rFonts w:ascii="Times New Roman" w:hAnsi="Times New Roman"/>
        </w:rPr>
        <w:t> </w:t>
      </w:r>
      <w:r w:rsidRPr="002E3F08">
        <w:rPr>
          <w:rFonts w:ascii="Times New Roman" w:hAnsi="Times New Roman"/>
        </w:rPr>
        <w:t xml:space="preserve">court who are the means of completing the administration of justice by quelling a dispute. As Edelman J explained in </w:t>
      </w:r>
      <w:r w:rsidRPr="002E3F08">
        <w:rPr>
          <w:rFonts w:ascii="Times New Roman" w:hAnsi="Times New Roman"/>
          <w:i/>
          <w:iCs/>
        </w:rPr>
        <w:t>Stradford</w:t>
      </w:r>
      <w:r w:rsidRPr="002E3F08">
        <w:rPr>
          <w:rFonts w:ascii="Times New Roman" w:hAnsi="Times New Roman"/>
        </w:rPr>
        <w:t>, "[</w:t>
      </w:r>
      <w:proofErr w:type="spellStart"/>
      <w:r w:rsidRPr="002E3F08">
        <w:rPr>
          <w:rFonts w:ascii="Times New Roman" w:hAnsi="Times New Roman"/>
        </w:rPr>
        <w:t>i</w:t>
      </w:r>
      <w:proofErr w:type="spellEnd"/>
      <w:r w:rsidRPr="002E3F08">
        <w:rPr>
          <w:rFonts w:ascii="Times New Roman" w:hAnsi="Times New Roman"/>
        </w:rPr>
        <w:t>]f a judicial order, made with jurisdictional error, nevertheless has sufficient authority to provide a defence of justification for the judicial officer who made the order then, a fortiori, it ought to have sufficient authority to provide the same defence of justification for any person who is bound to take action in accordance with the order".</w:t>
      </w:r>
      <w:r w:rsidRPr="002E3F08">
        <w:rPr>
          <w:rStyle w:val="FootnoteReference"/>
          <w:rFonts w:ascii="Times New Roman" w:hAnsi="Times New Roman"/>
          <w:sz w:val="24"/>
        </w:rPr>
        <w:footnoteReference w:id="76"/>
      </w:r>
      <w:r w:rsidRPr="002E3F08">
        <w:rPr>
          <w:rFonts w:ascii="Times New Roman" w:hAnsi="Times New Roman"/>
        </w:rPr>
        <w:t xml:space="preserve"> The officers' defence </w:t>
      </w:r>
      <w:r w:rsidRPr="002E3F08">
        <w:rPr>
          <w:rFonts w:ascii="Times New Roman" w:hAnsi="Times New Roman"/>
        </w:rPr>
        <w:lastRenderedPageBreak/>
        <w:t>can therefore be seen to serve the same rationale as the judicial immunity itself: the maintenance of the impartiality and independence of the judiciary.</w:t>
      </w:r>
      <w:r w:rsidRPr="002E3F08">
        <w:rPr>
          <w:rStyle w:val="FootnoteReference"/>
          <w:rFonts w:ascii="Times New Roman" w:hAnsi="Times New Roman"/>
          <w:sz w:val="24"/>
        </w:rPr>
        <w:footnoteReference w:id="77"/>
      </w:r>
      <w:r w:rsidRPr="002E3F08">
        <w:rPr>
          <w:rFonts w:ascii="Times New Roman" w:hAnsi="Times New Roman"/>
        </w:rPr>
        <w:t xml:space="preserve"> </w:t>
      </w:r>
    </w:p>
    <w:p w14:paraId="63C91F5A"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t xml:space="preserve">In </w:t>
      </w:r>
      <w:r w:rsidRPr="002E3F08">
        <w:rPr>
          <w:rFonts w:ascii="Times New Roman" w:hAnsi="Times New Roman"/>
          <w:i/>
          <w:iCs/>
        </w:rPr>
        <w:t>Stradford</w:t>
      </w:r>
      <w:r w:rsidRPr="002E3F08">
        <w:rPr>
          <w:rFonts w:ascii="Times New Roman" w:hAnsi="Times New Roman"/>
        </w:rPr>
        <w:t>, the plurality framed the rationale for the defence in terms of judicial authority and the role of the courts. Their Honours referred approvingly</w:t>
      </w:r>
      <w:r w:rsidRPr="002E3F08">
        <w:rPr>
          <w:rStyle w:val="FootnoteReference"/>
          <w:rFonts w:ascii="Times New Roman" w:hAnsi="Times New Roman"/>
          <w:sz w:val="24"/>
        </w:rPr>
        <w:footnoteReference w:id="78"/>
      </w:r>
      <w:r w:rsidRPr="002E3F08">
        <w:rPr>
          <w:rFonts w:ascii="Times New Roman" w:hAnsi="Times New Roman"/>
        </w:rPr>
        <w:t xml:space="preserve"> to the statement of Allsop P in </w:t>
      </w:r>
      <w:r w:rsidRPr="002E3F08">
        <w:rPr>
          <w:rFonts w:ascii="Times New Roman" w:hAnsi="Times New Roman"/>
          <w:i/>
          <w:iCs/>
        </w:rPr>
        <w:t>Kable v New South Wales</w:t>
      </w:r>
      <w:r w:rsidRPr="002E3F08">
        <w:rPr>
          <w:rStyle w:val="FootnoteReference"/>
          <w:rFonts w:ascii="Times New Roman" w:hAnsi="Times New Roman"/>
          <w:sz w:val="24"/>
        </w:rPr>
        <w:footnoteReference w:id="79"/>
      </w:r>
      <w:r w:rsidRPr="002E3F08">
        <w:rPr>
          <w:rFonts w:ascii="Times New Roman" w:hAnsi="Times New Roman"/>
        </w:rPr>
        <w:t xml:space="preserve"> that the protection afforded by the principle was "rooted in the order and underlying process being judicial" and an aspect of the "protection of the authority of judicial proceedings".</w:t>
      </w:r>
      <w:r w:rsidRPr="002E3F08">
        <w:rPr>
          <w:rStyle w:val="FootnoteReference"/>
          <w:rFonts w:ascii="Times New Roman" w:hAnsi="Times New Roman"/>
          <w:sz w:val="24"/>
        </w:rPr>
        <w:footnoteReference w:id="80"/>
      </w:r>
      <w:r w:rsidRPr="002E3F08">
        <w:rPr>
          <w:rFonts w:ascii="Times New Roman" w:hAnsi="Times New Roman"/>
        </w:rPr>
        <w:t xml:space="preserve"> Allsop P also described the principle as "referable to the exercise of judicial acts".</w:t>
      </w:r>
      <w:r w:rsidRPr="002E3F08">
        <w:rPr>
          <w:rStyle w:val="FootnoteReference"/>
          <w:rFonts w:ascii="Times New Roman" w:hAnsi="Times New Roman"/>
          <w:sz w:val="24"/>
        </w:rPr>
        <w:footnoteReference w:id="81"/>
      </w:r>
      <w:r w:rsidRPr="002E3F08">
        <w:rPr>
          <w:rFonts w:ascii="Times New Roman" w:hAnsi="Times New Roman"/>
        </w:rPr>
        <w:t xml:space="preserve"> Indeed, in </w:t>
      </w:r>
      <w:r w:rsidRPr="002E3F08">
        <w:rPr>
          <w:rFonts w:ascii="Times New Roman" w:hAnsi="Times New Roman"/>
          <w:i/>
          <w:iCs/>
        </w:rPr>
        <w:t>Kable</w:t>
      </w:r>
      <w:r w:rsidRPr="002E3F08">
        <w:rPr>
          <w:rFonts w:ascii="Times New Roman" w:hAnsi="Times New Roman"/>
        </w:rPr>
        <w:t>, Allsop P declined to extend any defence to an order of a court which the Court of Appeal of New South Wales considered to be non-judicial in nature.</w:t>
      </w:r>
      <w:r w:rsidRPr="002E3F08">
        <w:rPr>
          <w:rStyle w:val="FootnoteReference"/>
          <w:rFonts w:ascii="Times New Roman" w:hAnsi="Times New Roman"/>
          <w:sz w:val="24"/>
        </w:rPr>
        <w:footnoteReference w:id="82"/>
      </w:r>
      <w:r w:rsidRPr="002E3F08">
        <w:rPr>
          <w:rFonts w:ascii="Times New Roman" w:hAnsi="Times New Roman"/>
        </w:rPr>
        <w:t xml:space="preserve"> As the plurality observed in </w:t>
      </w:r>
      <w:r w:rsidRPr="002E3F08">
        <w:rPr>
          <w:rFonts w:ascii="Times New Roman" w:hAnsi="Times New Roman"/>
          <w:i/>
          <w:iCs/>
        </w:rPr>
        <w:t>Stradford</w:t>
      </w:r>
      <w:r w:rsidRPr="002E3F08">
        <w:rPr>
          <w:rFonts w:ascii="Times New Roman" w:hAnsi="Times New Roman"/>
        </w:rPr>
        <w:t>, to "perform their role effectively, courts must have their orders enforced and that must be done by officials not subject to the unreasonable burden of having to investigate the validity of the</w:t>
      </w:r>
      <w:r>
        <w:rPr>
          <w:rFonts w:ascii="Times New Roman" w:hAnsi="Times New Roman"/>
        </w:rPr>
        <w:t> </w:t>
      </w:r>
      <w:r w:rsidRPr="002E3F08">
        <w:rPr>
          <w:rFonts w:ascii="Times New Roman" w:hAnsi="Times New Roman"/>
        </w:rPr>
        <w:t>orders or warrants presented to them".</w:t>
      </w:r>
      <w:r w:rsidRPr="002E3F08">
        <w:rPr>
          <w:rStyle w:val="FootnoteReference"/>
          <w:rFonts w:ascii="Times New Roman" w:hAnsi="Times New Roman"/>
          <w:sz w:val="24"/>
        </w:rPr>
        <w:footnoteReference w:id="83"/>
      </w:r>
    </w:p>
    <w:p w14:paraId="35C4B45C"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t>To the extent that the plurality's references to judicial authority were concerned with protecting judicial independence, which is required by the</w:t>
      </w:r>
      <w:r>
        <w:rPr>
          <w:rFonts w:ascii="Times New Roman" w:hAnsi="Times New Roman"/>
        </w:rPr>
        <w:t> </w:t>
      </w:r>
      <w:r w:rsidRPr="002E3F08">
        <w:rPr>
          <w:rFonts w:ascii="Times New Roman" w:hAnsi="Times New Roman"/>
        </w:rPr>
        <w:t xml:space="preserve">separation of powers, their Honours' reasoning is consistent with a view that the defence serves the same purpose as the judicial immunity itself. In any event, the common thread of the reasoning in </w:t>
      </w:r>
      <w:r w:rsidRPr="002E3F08">
        <w:rPr>
          <w:rFonts w:ascii="Times New Roman" w:hAnsi="Times New Roman"/>
          <w:i/>
          <w:iCs/>
        </w:rPr>
        <w:t>Stradford</w:t>
      </w:r>
      <w:r w:rsidRPr="002E3F08">
        <w:rPr>
          <w:rFonts w:ascii="Times New Roman" w:hAnsi="Times New Roman"/>
        </w:rPr>
        <w:t xml:space="preserve"> was a recognition that the source of the purported authority under which the officers were acting was judicial.</w:t>
      </w:r>
      <w:r w:rsidRPr="002E3F08">
        <w:rPr>
          <w:rStyle w:val="FootnoteReference"/>
          <w:rFonts w:ascii="Times New Roman" w:hAnsi="Times New Roman"/>
          <w:sz w:val="24"/>
        </w:rPr>
        <w:footnoteReference w:id="84"/>
      </w:r>
      <w:r w:rsidRPr="002E3F08">
        <w:rPr>
          <w:rFonts w:ascii="Times New Roman" w:hAnsi="Times New Roman"/>
        </w:rPr>
        <w:t xml:space="preserve"> </w:t>
      </w:r>
    </w:p>
    <w:p w14:paraId="56480024" w14:textId="77777777" w:rsidR="009F6ECF" w:rsidRPr="002E3F08" w:rsidRDefault="009F6ECF" w:rsidP="002E3F08">
      <w:pPr>
        <w:pStyle w:val="HeadingL1"/>
        <w:spacing w:after="260" w:line="280" w:lineRule="exact"/>
        <w:ind w:right="0"/>
        <w:jc w:val="both"/>
        <w:rPr>
          <w:rFonts w:ascii="Times New Roman" w:hAnsi="Times New Roman"/>
        </w:rPr>
      </w:pPr>
      <w:r w:rsidRPr="002E3F08">
        <w:rPr>
          <w:rFonts w:ascii="Times New Roman" w:hAnsi="Times New Roman"/>
        </w:rPr>
        <w:t>Proposed defence sought by the Commonwealth</w:t>
      </w:r>
    </w:p>
    <w:p w14:paraId="233A534D"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t>The Commonwealth asks this Court to recognise a novel defence, by</w:t>
      </w:r>
      <w:r>
        <w:rPr>
          <w:rFonts w:ascii="Times New Roman" w:hAnsi="Times New Roman"/>
        </w:rPr>
        <w:t> </w:t>
      </w:r>
      <w:r w:rsidRPr="002E3F08">
        <w:rPr>
          <w:rFonts w:ascii="Times New Roman" w:hAnsi="Times New Roman"/>
        </w:rPr>
        <w:t xml:space="preserve">analogy to the defence in </w:t>
      </w:r>
      <w:r w:rsidRPr="002E3F08">
        <w:rPr>
          <w:rFonts w:ascii="Times New Roman" w:hAnsi="Times New Roman"/>
          <w:i/>
          <w:iCs/>
        </w:rPr>
        <w:t>Stradford</w:t>
      </w:r>
      <w:r w:rsidRPr="002E3F08">
        <w:rPr>
          <w:rFonts w:ascii="Times New Roman" w:hAnsi="Times New Roman"/>
        </w:rPr>
        <w:t xml:space="preserve">, where a plaintiff was detained: (1) by an officer of the Executive Government whose duty to obey the law as declared by </w:t>
      </w:r>
      <w:r w:rsidRPr="002E3F08">
        <w:rPr>
          <w:rFonts w:ascii="Times New Roman" w:hAnsi="Times New Roman"/>
        </w:rPr>
        <w:lastRenderedPageBreak/>
        <w:t xml:space="preserve">this Court was reinforced by the </w:t>
      </w:r>
      <w:r w:rsidRPr="002E3F08">
        <w:rPr>
          <w:rFonts w:ascii="Times New Roman" w:hAnsi="Times New Roman"/>
          <w:i/>
          <w:iCs/>
        </w:rPr>
        <w:t>Public Service Act</w:t>
      </w:r>
      <w:r w:rsidRPr="002E3F08">
        <w:rPr>
          <w:rFonts w:ascii="Times New Roman" w:hAnsi="Times New Roman"/>
        </w:rPr>
        <w:t>; (2) acting pursuant to an apparent statutory duty to detain; and (3) during a period of time when current and binding authority of this Court held that the duty to detain validly applied to require such detention. The Commonwealth submitted that the principled basis for the</w:t>
      </w:r>
      <w:r>
        <w:rPr>
          <w:rFonts w:ascii="Times New Roman" w:hAnsi="Times New Roman"/>
        </w:rPr>
        <w:t> </w:t>
      </w:r>
      <w:r w:rsidRPr="002E3F08">
        <w:rPr>
          <w:rFonts w:ascii="Times New Roman" w:hAnsi="Times New Roman"/>
        </w:rPr>
        <w:t xml:space="preserve">defence recognised and applied in </w:t>
      </w:r>
      <w:r w:rsidRPr="002E3F08">
        <w:rPr>
          <w:rFonts w:ascii="Times New Roman" w:hAnsi="Times New Roman"/>
          <w:i/>
          <w:iCs/>
        </w:rPr>
        <w:t>Stradford</w:t>
      </w:r>
      <w:r w:rsidRPr="002E3F08">
        <w:rPr>
          <w:rFonts w:ascii="Times New Roman" w:hAnsi="Times New Roman"/>
        </w:rPr>
        <w:t xml:space="preserve"> warrants the conclusion that an analogous defence applies where detention occurs because an officer acts in accordance with an incorrect determination by this Court of the validity of a legislative duty to detain. </w:t>
      </w:r>
    </w:p>
    <w:p w14:paraId="0F9A6BDF"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t>The Commonwealth identified two propositions that it said underpinned the</w:t>
      </w:r>
      <w:r>
        <w:rPr>
          <w:rFonts w:ascii="Times New Roman" w:hAnsi="Times New Roman"/>
        </w:rPr>
        <w:t> </w:t>
      </w:r>
      <w:r w:rsidRPr="002E3F08">
        <w:rPr>
          <w:rFonts w:ascii="Times New Roman" w:hAnsi="Times New Roman"/>
        </w:rPr>
        <w:t xml:space="preserve">decision in </w:t>
      </w:r>
      <w:r w:rsidRPr="002E3F08">
        <w:rPr>
          <w:rFonts w:ascii="Times New Roman" w:hAnsi="Times New Roman"/>
          <w:i/>
          <w:iCs/>
        </w:rPr>
        <w:t>Stradford</w:t>
      </w:r>
      <w:r w:rsidRPr="002E3F08">
        <w:rPr>
          <w:rFonts w:ascii="Times New Roman" w:hAnsi="Times New Roman"/>
        </w:rPr>
        <w:t>, which were said to "resonate[] in ascertaining the</w:t>
      </w:r>
      <w:r>
        <w:rPr>
          <w:rFonts w:ascii="Times New Roman" w:hAnsi="Times New Roman"/>
        </w:rPr>
        <w:t> </w:t>
      </w:r>
      <w:r w:rsidRPr="002E3F08">
        <w:rPr>
          <w:rFonts w:ascii="Times New Roman" w:hAnsi="Times New Roman"/>
        </w:rPr>
        <w:t>appropriate common law principle applicable" in this case.</w:t>
      </w:r>
      <w:r w:rsidRPr="002E3F08">
        <w:rPr>
          <w:rStyle w:val="FootnoteReference"/>
          <w:rFonts w:ascii="Times New Roman" w:hAnsi="Times New Roman"/>
          <w:sz w:val="24"/>
        </w:rPr>
        <w:footnoteReference w:id="85"/>
      </w:r>
      <w:r w:rsidRPr="002E3F08">
        <w:rPr>
          <w:rFonts w:ascii="Times New Roman" w:hAnsi="Times New Roman"/>
        </w:rPr>
        <w:t xml:space="preserve"> The </w:t>
      </w:r>
      <w:r w:rsidRPr="002E3F08">
        <w:rPr>
          <w:rFonts w:ascii="Times New Roman" w:hAnsi="Times New Roman"/>
          <w:i/>
          <w:iCs/>
        </w:rPr>
        <w:t>first</w:t>
      </w:r>
      <w:r w:rsidRPr="002E3F08">
        <w:rPr>
          <w:rFonts w:ascii="Times New Roman" w:hAnsi="Times New Roman"/>
        </w:rPr>
        <w:t xml:space="preserve"> was that officers can be subject to a legal duty to detain arising from their general obligation to enforce orders made by a court, even if the particular orders they are called upon to enforce are invalid. This proposition was said to apply in this case because the</w:t>
      </w:r>
      <w:r>
        <w:rPr>
          <w:rFonts w:ascii="Times New Roman" w:hAnsi="Times New Roman"/>
        </w:rPr>
        <w:t> </w:t>
      </w:r>
      <w:r w:rsidRPr="002E3F08">
        <w:rPr>
          <w:rFonts w:ascii="Times New Roman" w:hAnsi="Times New Roman"/>
        </w:rPr>
        <w:t xml:space="preserve">detaining officer was under a legal duty to detain Mr Abdel-Hady, notwithstanding that </w:t>
      </w:r>
      <w:r w:rsidRPr="002E3F08">
        <w:rPr>
          <w:rFonts w:ascii="Times New Roman" w:hAnsi="Times New Roman"/>
          <w:i/>
          <w:iCs/>
        </w:rPr>
        <w:t>NZYQ</w:t>
      </w:r>
      <w:r w:rsidRPr="002E3F08">
        <w:rPr>
          <w:rFonts w:ascii="Times New Roman" w:hAnsi="Times New Roman"/>
        </w:rPr>
        <w:t xml:space="preserve"> subsequently revealed that ss 189(1) and 196(1) were invalid in their application to him during the relevant period. In</w:t>
      </w:r>
      <w:r>
        <w:rPr>
          <w:rFonts w:ascii="Times New Roman" w:hAnsi="Times New Roman"/>
        </w:rPr>
        <w:t> </w:t>
      </w:r>
      <w:r w:rsidRPr="002E3F08">
        <w:rPr>
          <w:rFonts w:ascii="Times New Roman" w:hAnsi="Times New Roman"/>
        </w:rPr>
        <w:t>the</w:t>
      </w:r>
      <w:r>
        <w:rPr>
          <w:rFonts w:ascii="Times New Roman" w:hAnsi="Times New Roman"/>
        </w:rPr>
        <w:t> </w:t>
      </w:r>
      <w:r w:rsidRPr="002E3F08">
        <w:rPr>
          <w:rFonts w:ascii="Times New Roman" w:hAnsi="Times New Roman"/>
        </w:rPr>
        <w:t>Commonwealth's submission, that duty arose from the obligation of the</w:t>
      </w:r>
      <w:r>
        <w:rPr>
          <w:rFonts w:ascii="Times New Roman" w:hAnsi="Times New Roman"/>
        </w:rPr>
        <w:t> </w:t>
      </w:r>
      <w:r w:rsidRPr="002E3F08">
        <w:rPr>
          <w:rFonts w:ascii="Times New Roman" w:hAnsi="Times New Roman"/>
        </w:rPr>
        <w:t>Executive to obey the law as the court has declared it to be, reinforced by the</w:t>
      </w:r>
      <w:r>
        <w:rPr>
          <w:rFonts w:ascii="Times New Roman" w:hAnsi="Times New Roman"/>
        </w:rPr>
        <w:t> </w:t>
      </w:r>
      <w:r w:rsidRPr="002E3F08">
        <w:rPr>
          <w:rFonts w:ascii="Times New Roman" w:hAnsi="Times New Roman"/>
        </w:rPr>
        <w:t>statutory system of public service discipline</w:t>
      </w:r>
      <w:r w:rsidRPr="002E3F08">
        <w:rPr>
          <w:rStyle w:val="FootnoteReference"/>
          <w:rFonts w:ascii="Times New Roman" w:hAnsi="Times New Roman"/>
          <w:sz w:val="24"/>
        </w:rPr>
        <w:footnoteReference w:id="86"/>
      </w:r>
      <w:r w:rsidRPr="002E3F08">
        <w:rPr>
          <w:rFonts w:ascii="Times New Roman" w:hAnsi="Times New Roman"/>
        </w:rPr>
        <w:t xml:space="preserve"> to which the detaining officer was subject. </w:t>
      </w:r>
    </w:p>
    <w:p w14:paraId="3228F4A6"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t xml:space="preserve">The </w:t>
      </w:r>
      <w:r w:rsidRPr="002E3F08">
        <w:rPr>
          <w:rFonts w:ascii="Times New Roman" w:hAnsi="Times New Roman"/>
          <w:i/>
          <w:iCs/>
        </w:rPr>
        <w:t>second</w:t>
      </w:r>
      <w:r w:rsidRPr="002E3F08">
        <w:rPr>
          <w:rFonts w:ascii="Times New Roman" w:hAnsi="Times New Roman"/>
        </w:rPr>
        <w:t xml:space="preserve"> was that holding detaining officers liable for acting in accordance with their duty to detain would undermine the authority of judicial proceedings and create unfairness and incoherence in the law. The Commonwealth submitted that there is manifest injustice and incoherence in recognising the legal duty of officers of the Executive to obey a statute that this Court has held to be valid, only to hold those officers personally liable for having complied with that duty in the event the Court decides to overrule its earlier decision. </w:t>
      </w:r>
    </w:p>
    <w:p w14:paraId="683E4557"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b/>
          <w:bCs/>
        </w:rPr>
        <w:tab/>
      </w:r>
      <w:r w:rsidRPr="002E3F08">
        <w:rPr>
          <w:rFonts w:ascii="Times New Roman" w:hAnsi="Times New Roman"/>
        </w:rPr>
        <w:t xml:space="preserve">The short answer to the Commonwealth's submissions is that those propositions were necessary steps to the conclusion reached in </w:t>
      </w:r>
      <w:r w:rsidRPr="002E3F08">
        <w:rPr>
          <w:rFonts w:ascii="Times New Roman" w:hAnsi="Times New Roman"/>
          <w:i/>
          <w:iCs/>
        </w:rPr>
        <w:t>Stradford</w:t>
      </w:r>
      <w:r w:rsidRPr="002E3F08">
        <w:rPr>
          <w:rFonts w:ascii="Times New Roman" w:hAnsi="Times New Roman"/>
        </w:rPr>
        <w:t xml:space="preserve">, but not sufficient. As has been explained, the defence recognised in </w:t>
      </w:r>
      <w:r w:rsidRPr="002E3F08">
        <w:rPr>
          <w:rFonts w:ascii="Times New Roman" w:hAnsi="Times New Roman"/>
          <w:i/>
          <w:iCs/>
        </w:rPr>
        <w:t>Stradford</w:t>
      </w:r>
      <w:r w:rsidRPr="002E3F08">
        <w:rPr>
          <w:rFonts w:ascii="Times New Roman" w:hAnsi="Times New Roman"/>
        </w:rPr>
        <w:t xml:space="preserve"> was grounded in the purported source of the authority being judicial, and derivative of the judicial immunity, which serves a range of purposes in regard to judicial independence and the finality of litigation. Once the underpinning of the defence in </w:t>
      </w:r>
      <w:r w:rsidRPr="002E3F08">
        <w:rPr>
          <w:rFonts w:ascii="Times New Roman" w:hAnsi="Times New Roman"/>
          <w:i/>
          <w:iCs/>
        </w:rPr>
        <w:t>Stradford</w:t>
      </w:r>
      <w:r w:rsidRPr="002E3F08">
        <w:rPr>
          <w:rFonts w:ascii="Times New Roman" w:hAnsi="Times New Roman"/>
        </w:rPr>
        <w:t xml:space="preserve"> is understood in those terms, the matters identified by the</w:t>
      </w:r>
      <w:r>
        <w:rPr>
          <w:rFonts w:ascii="Times New Roman" w:hAnsi="Times New Roman"/>
        </w:rPr>
        <w:t> </w:t>
      </w:r>
      <w:r w:rsidRPr="002E3F08">
        <w:rPr>
          <w:rFonts w:ascii="Times New Roman" w:hAnsi="Times New Roman"/>
        </w:rPr>
        <w:t>Commonwealth are not sufficient to sustain a defence in the terms it seeks. The</w:t>
      </w:r>
      <w:r>
        <w:rPr>
          <w:rFonts w:ascii="Times New Roman" w:hAnsi="Times New Roman"/>
        </w:rPr>
        <w:t> </w:t>
      </w:r>
      <w:r w:rsidRPr="002E3F08">
        <w:rPr>
          <w:rFonts w:ascii="Times New Roman" w:hAnsi="Times New Roman"/>
        </w:rPr>
        <w:t xml:space="preserve">rationale in </w:t>
      </w:r>
      <w:r w:rsidRPr="002E3F08">
        <w:rPr>
          <w:rFonts w:ascii="Times New Roman" w:hAnsi="Times New Roman"/>
          <w:i/>
          <w:iCs/>
        </w:rPr>
        <w:t>Stradford</w:t>
      </w:r>
      <w:r w:rsidRPr="002E3F08">
        <w:rPr>
          <w:rFonts w:ascii="Times New Roman" w:hAnsi="Times New Roman"/>
        </w:rPr>
        <w:t xml:space="preserve"> – whether expressed as the protection of judicial </w:t>
      </w:r>
      <w:r w:rsidRPr="002E3F08">
        <w:rPr>
          <w:rFonts w:ascii="Times New Roman" w:hAnsi="Times New Roman"/>
        </w:rPr>
        <w:lastRenderedPageBreak/>
        <w:t>independence or judicial authority – does not support extending the defence recognised in that case to public officials acting in accordance with the prevailing view of the law, even a view pronounced by this Court, more generally.</w:t>
      </w:r>
    </w:p>
    <w:p w14:paraId="37F70DEC"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r>
      <w:bookmarkStart w:id="1" w:name="_Ref213168852"/>
      <w:r w:rsidRPr="002E3F08">
        <w:rPr>
          <w:rFonts w:ascii="Times New Roman" w:hAnsi="Times New Roman"/>
        </w:rPr>
        <w:t xml:space="preserve">It may be accepted that an underlying concern justifying the defence recognised in </w:t>
      </w:r>
      <w:r w:rsidRPr="002E3F08">
        <w:rPr>
          <w:rFonts w:ascii="Times New Roman" w:hAnsi="Times New Roman"/>
          <w:i/>
          <w:iCs/>
        </w:rPr>
        <w:t>Stradford</w:t>
      </w:r>
      <w:r w:rsidRPr="002E3F08">
        <w:rPr>
          <w:rFonts w:ascii="Times New Roman" w:hAnsi="Times New Roman"/>
        </w:rPr>
        <w:t xml:space="preserve"> is the "difficulty that court officers, who are bound to execute orders or warrants, would face if they were required to investigate whether the orders or warrants were valid".</w:t>
      </w:r>
      <w:r w:rsidRPr="002E3F08">
        <w:rPr>
          <w:rStyle w:val="FootnoteReference"/>
          <w:rFonts w:ascii="Times New Roman" w:hAnsi="Times New Roman"/>
          <w:sz w:val="24"/>
        </w:rPr>
        <w:footnoteReference w:id="87"/>
      </w:r>
      <w:bookmarkEnd w:id="1"/>
      <w:r w:rsidRPr="002E3F08">
        <w:rPr>
          <w:rFonts w:ascii="Times New Roman" w:hAnsi="Times New Roman"/>
        </w:rPr>
        <w:t xml:space="preserve"> That concern, by analogy, might equally apply to officers bound to execute Commonwealth laws. However, in the latter case, the</w:t>
      </w:r>
      <w:r>
        <w:rPr>
          <w:rFonts w:ascii="Times New Roman" w:hAnsi="Times New Roman"/>
        </w:rPr>
        <w:t> </w:t>
      </w:r>
      <w:r w:rsidRPr="002E3F08">
        <w:rPr>
          <w:rFonts w:ascii="Times New Roman" w:hAnsi="Times New Roman"/>
        </w:rPr>
        <w:t>source of the officers' duty is a legislative command, not a judicial order. There</w:t>
      </w:r>
      <w:r>
        <w:rPr>
          <w:rFonts w:ascii="Times New Roman" w:hAnsi="Times New Roman"/>
        </w:rPr>
        <w:t> </w:t>
      </w:r>
      <w:r w:rsidRPr="002E3F08">
        <w:rPr>
          <w:rFonts w:ascii="Times New Roman" w:hAnsi="Times New Roman"/>
        </w:rPr>
        <w:t>is no established institutional need to protect the Parliament, its</w:t>
      </w:r>
      <w:r>
        <w:rPr>
          <w:rFonts w:ascii="Times New Roman" w:hAnsi="Times New Roman"/>
        </w:rPr>
        <w:t> </w:t>
      </w:r>
      <w:r w:rsidRPr="002E3F08">
        <w:rPr>
          <w:rFonts w:ascii="Times New Roman" w:hAnsi="Times New Roman"/>
        </w:rPr>
        <w:t xml:space="preserve">independence or its authority by reference to its role or function that would justify the creation of a defence available to officers performing a statutory duty. Rather, it is understood that Parliament may exceed its power, and it is the role of the court to act as a check on that power. </w:t>
      </w:r>
    </w:p>
    <w:p w14:paraId="1BDDDF1E"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t>This Court has consistently held that acts performed by the Executive in reliance on an unconstitutional statute may give rise to civil liability.</w:t>
      </w:r>
      <w:r w:rsidRPr="002E3F08">
        <w:rPr>
          <w:rStyle w:val="FootnoteReference"/>
          <w:rFonts w:ascii="Times New Roman" w:hAnsi="Times New Roman"/>
          <w:sz w:val="24"/>
        </w:rPr>
        <w:footnoteReference w:id="88"/>
      </w:r>
      <w:r w:rsidRPr="002E3F08">
        <w:rPr>
          <w:rFonts w:ascii="Times New Roman" w:hAnsi="Times New Roman"/>
        </w:rPr>
        <w:t xml:space="preserve"> The</w:t>
      </w:r>
      <w:r>
        <w:rPr>
          <w:rFonts w:ascii="Times New Roman" w:hAnsi="Times New Roman"/>
        </w:rPr>
        <w:t> </w:t>
      </w:r>
      <w:r w:rsidRPr="002E3F08">
        <w:rPr>
          <w:rFonts w:ascii="Times New Roman" w:hAnsi="Times New Roman"/>
        </w:rPr>
        <w:t>existence of a judgment of this Court confirming the constitutional validity of a statutory duty does not change this position. Reasons for decision which confirm the constitutional validity of a law, or interpret the operation of a law, are – unlike</w:t>
      </w:r>
      <w:r>
        <w:rPr>
          <w:rFonts w:ascii="Times New Roman" w:hAnsi="Times New Roman"/>
        </w:rPr>
        <w:t> </w:t>
      </w:r>
      <w:r w:rsidRPr="002E3F08">
        <w:rPr>
          <w:rFonts w:ascii="Times New Roman" w:hAnsi="Times New Roman"/>
        </w:rPr>
        <w:t xml:space="preserve">a judicial order or warrant – not a judicial command. </w:t>
      </w:r>
      <w:bookmarkStart w:id="2" w:name="_Ref213168781"/>
      <w:r w:rsidRPr="002E3F08">
        <w:rPr>
          <w:rFonts w:ascii="Times New Roman" w:hAnsi="Times New Roman"/>
        </w:rPr>
        <w:t>Although the orders of a court are, in many cases, valid until they are set aside,</w:t>
      </w:r>
      <w:r w:rsidRPr="002E3F08">
        <w:rPr>
          <w:rStyle w:val="FootnoteReference"/>
          <w:rFonts w:ascii="Times New Roman" w:hAnsi="Times New Roman"/>
          <w:sz w:val="24"/>
        </w:rPr>
        <w:footnoteReference w:id="89"/>
      </w:r>
      <w:r w:rsidRPr="002E3F08">
        <w:rPr>
          <w:rFonts w:ascii="Times New Roman" w:hAnsi="Times New Roman"/>
        </w:rPr>
        <w:t xml:space="preserve"> the same is not true of its reasons. As Lord Hobhouse explained in </w:t>
      </w:r>
      <w:r w:rsidRPr="002E3F08">
        <w:rPr>
          <w:rFonts w:ascii="Times New Roman" w:hAnsi="Times New Roman"/>
          <w:i/>
          <w:iCs/>
        </w:rPr>
        <w:t xml:space="preserve">R v Governor of </w:t>
      </w:r>
      <w:proofErr w:type="spellStart"/>
      <w:r w:rsidRPr="002E3F08">
        <w:rPr>
          <w:rFonts w:ascii="Times New Roman" w:hAnsi="Times New Roman"/>
          <w:i/>
          <w:iCs/>
        </w:rPr>
        <w:t>Brockhill</w:t>
      </w:r>
      <w:proofErr w:type="spellEnd"/>
      <w:r w:rsidRPr="002E3F08">
        <w:rPr>
          <w:rFonts w:ascii="Times New Roman" w:hAnsi="Times New Roman"/>
          <w:i/>
          <w:iCs/>
        </w:rPr>
        <w:t xml:space="preserve"> Prison, Ex</w:t>
      </w:r>
      <w:r>
        <w:rPr>
          <w:rFonts w:ascii="Times New Roman" w:hAnsi="Times New Roman"/>
          <w:i/>
          <w:iCs/>
        </w:rPr>
        <w:t> </w:t>
      </w:r>
      <w:proofErr w:type="spellStart"/>
      <w:r w:rsidRPr="002E3F08">
        <w:rPr>
          <w:rFonts w:ascii="Times New Roman" w:hAnsi="Times New Roman"/>
          <w:i/>
          <w:iCs/>
        </w:rPr>
        <w:t>parte</w:t>
      </w:r>
      <w:proofErr w:type="spellEnd"/>
      <w:r w:rsidRPr="002E3F08">
        <w:rPr>
          <w:rFonts w:ascii="Times New Roman" w:hAnsi="Times New Roman"/>
          <w:i/>
          <w:iCs/>
        </w:rPr>
        <w:t xml:space="preserve"> </w:t>
      </w:r>
      <w:r w:rsidRPr="002E3F08">
        <w:rPr>
          <w:rFonts w:ascii="Times New Roman" w:hAnsi="Times New Roman"/>
          <w:i/>
        </w:rPr>
        <w:t>Evans [No 2]</w:t>
      </w:r>
      <w:r w:rsidRPr="002E3F08">
        <w:rPr>
          <w:rFonts w:ascii="Times New Roman" w:hAnsi="Times New Roman"/>
        </w:rPr>
        <w:t>, "any legal decision is no more than evidence of the law ... [Decisions of courts] are a source of law but not a conclusive source ... They are not statutes which ... have an absolute and incontrovertible status."</w:t>
      </w:r>
      <w:r w:rsidRPr="002E3F08">
        <w:rPr>
          <w:rStyle w:val="FootnoteReference"/>
          <w:rFonts w:ascii="Times New Roman" w:hAnsi="Times New Roman"/>
          <w:sz w:val="24"/>
        </w:rPr>
        <w:footnoteReference w:id="90"/>
      </w:r>
      <w:r w:rsidRPr="002E3F08">
        <w:rPr>
          <w:rFonts w:ascii="Times New Roman" w:hAnsi="Times New Roman"/>
        </w:rPr>
        <w:t xml:space="preserve"> The Court's decision in </w:t>
      </w:r>
      <w:r w:rsidRPr="002E3F08">
        <w:rPr>
          <w:rFonts w:ascii="Times New Roman" w:hAnsi="Times New Roman"/>
          <w:i/>
          <w:iCs/>
        </w:rPr>
        <w:t>Al</w:t>
      </w:r>
      <w:r w:rsidRPr="002E3F08">
        <w:rPr>
          <w:rFonts w:ascii="Times New Roman" w:hAnsi="Times New Roman"/>
          <w:i/>
          <w:iCs/>
        </w:rPr>
        <w:noBreakHyphen/>
        <w:t>Kateb</w:t>
      </w:r>
      <w:r w:rsidRPr="002E3F08">
        <w:rPr>
          <w:rFonts w:ascii="Times New Roman" w:hAnsi="Times New Roman"/>
        </w:rPr>
        <w:t xml:space="preserve"> simply declared the law as understood at the earlier time, or</w:t>
      </w:r>
      <w:r>
        <w:rPr>
          <w:rFonts w:ascii="Times New Roman" w:hAnsi="Times New Roman"/>
        </w:rPr>
        <w:t> </w:t>
      </w:r>
      <w:r w:rsidRPr="002E3F08">
        <w:rPr>
          <w:rFonts w:ascii="Times New Roman" w:hAnsi="Times New Roman"/>
        </w:rPr>
        <w:t xml:space="preserve">"record[ed] </w:t>
      </w:r>
      <w:r w:rsidRPr="002E3F08">
        <w:rPr>
          <w:rFonts w:ascii="Times New Roman" w:hAnsi="Times New Roman"/>
        </w:rPr>
        <w:lastRenderedPageBreak/>
        <w:t>the perception" of the law as then current.</w:t>
      </w:r>
      <w:r w:rsidRPr="002E3F08">
        <w:rPr>
          <w:rStyle w:val="FootnoteReference"/>
          <w:rFonts w:ascii="Times New Roman" w:hAnsi="Times New Roman"/>
          <w:sz w:val="24"/>
        </w:rPr>
        <w:footnoteReference w:id="91"/>
      </w:r>
      <w:r w:rsidRPr="002E3F08">
        <w:rPr>
          <w:rFonts w:ascii="Times New Roman" w:hAnsi="Times New Roman"/>
        </w:rPr>
        <w:t xml:space="preserve"> It</w:t>
      </w:r>
      <w:r w:rsidRPr="002E3F08" w:rsidDel="008B277D">
        <w:rPr>
          <w:rFonts w:ascii="Times New Roman" w:hAnsi="Times New Roman"/>
        </w:rPr>
        <w:t xml:space="preserve"> </w:t>
      </w:r>
      <w:r w:rsidRPr="002E3F08">
        <w:rPr>
          <w:rFonts w:ascii="Times New Roman" w:hAnsi="Times New Roman"/>
        </w:rPr>
        <w:t>represented evidence of the law.</w:t>
      </w:r>
      <w:r w:rsidRPr="002E3F08">
        <w:rPr>
          <w:rStyle w:val="FootnoteReference"/>
          <w:rFonts w:ascii="Times New Roman" w:hAnsi="Times New Roman"/>
          <w:sz w:val="24"/>
        </w:rPr>
        <w:footnoteReference w:id="92"/>
      </w:r>
      <w:bookmarkEnd w:id="2"/>
      <w:r w:rsidRPr="002E3F08">
        <w:rPr>
          <w:rFonts w:ascii="Times New Roman" w:hAnsi="Times New Roman"/>
        </w:rPr>
        <w:t xml:space="preserve"> It</w:t>
      </w:r>
      <w:r>
        <w:rPr>
          <w:rFonts w:ascii="Times New Roman" w:hAnsi="Times New Roman"/>
        </w:rPr>
        <w:t> </w:t>
      </w:r>
      <w:r w:rsidRPr="002E3F08">
        <w:rPr>
          <w:rFonts w:ascii="Times New Roman" w:hAnsi="Times New Roman"/>
        </w:rPr>
        <w:t>did not alter the source of the duty to detain in this case,</w:t>
      </w:r>
      <w:r w:rsidRPr="002E3F08" w:rsidDel="00094B09">
        <w:rPr>
          <w:rFonts w:ascii="Times New Roman" w:hAnsi="Times New Roman"/>
        </w:rPr>
        <w:t xml:space="preserve"> </w:t>
      </w:r>
      <w:r w:rsidRPr="002E3F08">
        <w:rPr>
          <w:rFonts w:ascii="Times New Roman" w:hAnsi="Times New Roman"/>
        </w:rPr>
        <w:t xml:space="preserve">which was, at all times, statutory. </w:t>
      </w:r>
    </w:p>
    <w:p w14:paraId="29C54735"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t xml:space="preserve">In sum, the facts of this case do not fall within the common law defence identified in </w:t>
      </w:r>
      <w:r w:rsidRPr="002E3F08">
        <w:rPr>
          <w:rFonts w:ascii="Times New Roman" w:hAnsi="Times New Roman"/>
          <w:i/>
        </w:rPr>
        <w:t>Stradford</w:t>
      </w:r>
      <w:r w:rsidRPr="002E3F08">
        <w:rPr>
          <w:rFonts w:ascii="Times New Roman" w:hAnsi="Times New Roman"/>
        </w:rPr>
        <w:t xml:space="preserve">: the detaining officer was not complying with a court order, but rather the applicable statutory duty to detain, whose constitutional validity had been upheld by this Court in </w:t>
      </w:r>
      <w:r w:rsidRPr="002E3F08">
        <w:rPr>
          <w:rFonts w:ascii="Times New Roman" w:hAnsi="Times New Roman"/>
          <w:i/>
          <w:iCs/>
        </w:rPr>
        <w:t>Al-Kateb</w:t>
      </w:r>
      <w:r w:rsidRPr="002E3F08">
        <w:rPr>
          <w:rFonts w:ascii="Times New Roman" w:hAnsi="Times New Roman"/>
        </w:rPr>
        <w:t xml:space="preserve">. As we have seen, unlike the defence recognised in </w:t>
      </w:r>
      <w:r w:rsidRPr="002E3F08">
        <w:rPr>
          <w:rFonts w:ascii="Times New Roman" w:hAnsi="Times New Roman"/>
          <w:i/>
          <w:iCs/>
        </w:rPr>
        <w:t>Stradford</w:t>
      </w:r>
      <w:r w:rsidRPr="002E3F08">
        <w:rPr>
          <w:rFonts w:ascii="Times New Roman" w:hAnsi="Times New Roman"/>
        </w:rPr>
        <w:t>, the proposed novel defence is not necessary to protect the</w:t>
      </w:r>
      <w:r>
        <w:rPr>
          <w:rFonts w:ascii="Times New Roman" w:hAnsi="Times New Roman"/>
        </w:rPr>
        <w:t> </w:t>
      </w:r>
      <w:r w:rsidRPr="002E3F08">
        <w:rPr>
          <w:rFonts w:ascii="Times New Roman" w:hAnsi="Times New Roman"/>
        </w:rPr>
        <w:t>authority of judicial proceedings or judicial independence.</w:t>
      </w:r>
      <w:r w:rsidRPr="002E3F08">
        <w:rPr>
          <w:rStyle w:val="FootnoteReference"/>
          <w:rFonts w:ascii="Times New Roman" w:hAnsi="Times New Roman"/>
          <w:sz w:val="24"/>
        </w:rPr>
        <w:footnoteReference w:id="93"/>
      </w:r>
      <w:r w:rsidRPr="002E3F08">
        <w:rPr>
          <w:rFonts w:ascii="Times New Roman" w:hAnsi="Times New Roman"/>
        </w:rPr>
        <w:t xml:space="preserve"> But there are other difficulties with the proposed defence. First, it would be inconsistent with the</w:t>
      </w:r>
      <w:r>
        <w:rPr>
          <w:rFonts w:ascii="Times New Roman" w:hAnsi="Times New Roman"/>
        </w:rPr>
        <w:t> </w:t>
      </w:r>
      <w:r w:rsidRPr="002E3F08">
        <w:rPr>
          <w:rFonts w:ascii="Times New Roman" w:hAnsi="Times New Roman"/>
        </w:rPr>
        <w:t>constitutional role of courts and the rule of law. Second,</w:t>
      </w:r>
      <w:r w:rsidRPr="002E3F08" w:rsidDel="00D41E4C">
        <w:rPr>
          <w:rFonts w:ascii="Times New Roman" w:hAnsi="Times New Roman"/>
        </w:rPr>
        <w:t xml:space="preserve"> a</w:t>
      </w:r>
      <w:r w:rsidRPr="002E3F08">
        <w:rPr>
          <w:rFonts w:ascii="Times New Roman" w:hAnsi="Times New Roman"/>
        </w:rPr>
        <w:t>lthough not recognising the defence would result in some unfairness to the detaining officer, that must be weighed against the manifest unfairness of Mr Abdel-Hady being deprived of a remedy for his false imprisonment. Third,</w:t>
      </w:r>
      <w:r w:rsidRPr="002E3F08" w:rsidDel="00D342C3">
        <w:rPr>
          <w:rFonts w:ascii="Times New Roman" w:hAnsi="Times New Roman"/>
        </w:rPr>
        <w:t xml:space="preserve"> t</w:t>
      </w:r>
      <w:r w:rsidRPr="002E3F08">
        <w:rPr>
          <w:rFonts w:ascii="Times New Roman" w:hAnsi="Times New Roman"/>
        </w:rPr>
        <w:t>he novel defence is incoherent with the principled basis for the tort of false imprisonment. Fourth,</w:t>
      </w:r>
      <w:r w:rsidRPr="002E3F08" w:rsidDel="00D342C3">
        <w:rPr>
          <w:rFonts w:ascii="Times New Roman" w:hAnsi="Times New Roman"/>
        </w:rPr>
        <w:t xml:space="preserve"> t</w:t>
      </w:r>
      <w:r w:rsidRPr="002E3F08">
        <w:rPr>
          <w:rFonts w:ascii="Times New Roman" w:hAnsi="Times New Roman"/>
        </w:rPr>
        <w:t>he</w:t>
      </w:r>
      <w:r>
        <w:rPr>
          <w:rFonts w:ascii="Times New Roman" w:hAnsi="Times New Roman"/>
        </w:rPr>
        <w:t> </w:t>
      </w:r>
      <w:r w:rsidRPr="002E3F08">
        <w:rPr>
          <w:rFonts w:ascii="Times New Roman" w:hAnsi="Times New Roman"/>
        </w:rPr>
        <w:t xml:space="preserve">"confines" of the Commonwealth's proposed defence reveal its artificiality. Finally, the overseas authorities relied on by the Commonwealth did not justify recognising the proposed defence. </w:t>
      </w:r>
    </w:p>
    <w:p w14:paraId="104996C5" w14:textId="77777777" w:rsidR="009F6ECF" w:rsidRPr="002E3F08" w:rsidRDefault="009F6ECF" w:rsidP="002E3F08">
      <w:pPr>
        <w:pStyle w:val="HeadingL2"/>
        <w:spacing w:after="260" w:line="280" w:lineRule="exact"/>
        <w:ind w:right="0"/>
        <w:jc w:val="both"/>
        <w:rPr>
          <w:rFonts w:ascii="Times New Roman" w:hAnsi="Times New Roman"/>
        </w:rPr>
      </w:pPr>
      <w:r w:rsidRPr="002E3F08">
        <w:rPr>
          <w:rFonts w:ascii="Times New Roman" w:hAnsi="Times New Roman"/>
        </w:rPr>
        <w:t>Constitutional role of courts</w:t>
      </w:r>
    </w:p>
    <w:p w14:paraId="7229C739"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r>
      <w:bookmarkStart w:id="3" w:name="_Ref213168817"/>
      <w:r w:rsidRPr="002E3F08">
        <w:rPr>
          <w:rFonts w:ascii="Times New Roman" w:hAnsi="Times New Roman"/>
        </w:rPr>
        <w:t>The question underlying the Commonwealth's proposed defence is whether the existence of prevailing authority of this Court – which held that ss 189(1) and 196(1) of the Act validly authorised the detention of a person in Mr Abdel-Hady's circumstances – supplies a defence to the detaining officer and the</w:t>
      </w:r>
      <w:r>
        <w:rPr>
          <w:rFonts w:ascii="Times New Roman" w:hAnsi="Times New Roman"/>
        </w:rPr>
        <w:t> </w:t>
      </w:r>
      <w:r w:rsidRPr="002E3F08">
        <w:rPr>
          <w:rFonts w:ascii="Times New Roman" w:hAnsi="Times New Roman"/>
        </w:rPr>
        <w:t>Commonwealth.</w:t>
      </w:r>
      <w:bookmarkEnd w:id="3"/>
    </w:p>
    <w:p w14:paraId="47CCD6BC"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t xml:space="preserve">An immediate obstacle for this argument is that, when this Court decided </w:t>
      </w:r>
      <w:r w:rsidRPr="002E3F08">
        <w:rPr>
          <w:rFonts w:ascii="Times New Roman" w:hAnsi="Times New Roman"/>
          <w:i/>
          <w:iCs/>
        </w:rPr>
        <w:t>NZYQ</w:t>
      </w:r>
      <w:r w:rsidRPr="002E3F08">
        <w:rPr>
          <w:rFonts w:ascii="Times New Roman" w:hAnsi="Times New Roman"/>
        </w:rPr>
        <w:t xml:space="preserve">, overturning its prior decision in </w:t>
      </w:r>
      <w:r w:rsidRPr="002E3F08">
        <w:rPr>
          <w:rFonts w:ascii="Times New Roman" w:hAnsi="Times New Roman"/>
          <w:i/>
          <w:iCs/>
        </w:rPr>
        <w:t>Al-Kateb</w:t>
      </w:r>
      <w:r w:rsidRPr="002E3F08">
        <w:rPr>
          <w:rFonts w:ascii="Times New Roman" w:hAnsi="Times New Roman"/>
        </w:rPr>
        <w:t xml:space="preserve">, that decision did not operate only prospectively. The Court's decision in </w:t>
      </w:r>
      <w:r w:rsidRPr="002E3F08">
        <w:rPr>
          <w:rFonts w:ascii="Times New Roman" w:hAnsi="Times New Roman"/>
          <w:i/>
          <w:iCs/>
        </w:rPr>
        <w:t>NZYQ</w:t>
      </w:r>
      <w:r w:rsidRPr="002E3F08">
        <w:rPr>
          <w:rFonts w:ascii="Times New Roman" w:hAnsi="Times New Roman"/>
        </w:rPr>
        <w:t xml:space="preserve"> did not produce the invalidity of ss 189(1) and 196(1) to the extent that they purported to authorise the detention of an unlawful non-citizen where there was no real prospect of their removal from Australia becoming practicable in the reasonably foreseeable future. As explained </w:t>
      </w:r>
      <w:r w:rsidRPr="002E3F08">
        <w:rPr>
          <w:rFonts w:ascii="Times New Roman" w:hAnsi="Times New Roman"/>
        </w:rPr>
        <w:lastRenderedPageBreak/>
        <w:t xml:space="preserve">by Latham CJ in </w:t>
      </w:r>
      <w:r w:rsidRPr="002E3F08">
        <w:rPr>
          <w:rFonts w:ascii="Times New Roman" w:hAnsi="Times New Roman"/>
          <w:i/>
          <w:iCs/>
        </w:rPr>
        <w:t xml:space="preserve">South Australia v </w:t>
      </w:r>
      <w:proofErr w:type="gramStart"/>
      <w:r w:rsidRPr="002E3F08">
        <w:rPr>
          <w:rFonts w:ascii="Times New Roman" w:hAnsi="Times New Roman"/>
          <w:i/>
          <w:iCs/>
        </w:rPr>
        <w:t>The</w:t>
      </w:r>
      <w:proofErr w:type="gramEnd"/>
      <w:r w:rsidRPr="002E3F08">
        <w:rPr>
          <w:rFonts w:ascii="Times New Roman" w:hAnsi="Times New Roman"/>
          <w:i/>
          <w:iCs/>
        </w:rPr>
        <w:t xml:space="preserve"> Commonwealth </w:t>
      </w:r>
      <w:r w:rsidRPr="002E3F08">
        <w:rPr>
          <w:rFonts w:ascii="Times New Roman" w:hAnsi="Times New Roman"/>
        </w:rPr>
        <w:t xml:space="preserve">("the </w:t>
      </w:r>
      <w:r w:rsidRPr="002E3F08">
        <w:rPr>
          <w:rFonts w:ascii="Times New Roman" w:hAnsi="Times New Roman"/>
          <w:i/>
          <w:iCs/>
        </w:rPr>
        <w:t>First Uniform Tax Case</w:t>
      </w:r>
      <w:r w:rsidRPr="002E3F08">
        <w:rPr>
          <w:rFonts w:ascii="Times New Roman" w:hAnsi="Times New Roman"/>
        </w:rPr>
        <w:t>"):</w:t>
      </w:r>
      <w:r w:rsidRPr="002E3F08">
        <w:rPr>
          <w:rStyle w:val="FootnoteReference"/>
          <w:rFonts w:ascii="Times New Roman" w:hAnsi="Times New Roman"/>
          <w:sz w:val="24"/>
        </w:rPr>
        <w:footnoteReference w:id="94"/>
      </w:r>
    </w:p>
    <w:p w14:paraId="1856BC0C" w14:textId="77777777" w:rsidR="009F6ECF" w:rsidRDefault="009F6ECF" w:rsidP="002E3F08">
      <w:pPr>
        <w:pStyle w:val="leftright"/>
        <w:spacing w:before="0" w:after="260" w:line="280" w:lineRule="exact"/>
        <w:ind w:right="0"/>
        <w:jc w:val="both"/>
        <w:rPr>
          <w:rFonts w:ascii="Times New Roman" w:hAnsi="Times New Roman"/>
        </w:rPr>
      </w:pPr>
      <w:r w:rsidRPr="002E3F08">
        <w:rPr>
          <w:rFonts w:ascii="Times New Roman" w:hAnsi="Times New Roman"/>
        </w:rPr>
        <w:tab/>
        <w:t>"Common expressions, such as: 'The courts have declared a statute invalid,' sometimes lead to misunderstanding. A pretended law made in excess of power is not and never has been a law at all. Anybody in the</w:t>
      </w:r>
      <w:r>
        <w:rPr>
          <w:rFonts w:ascii="Times New Roman" w:hAnsi="Times New Roman"/>
        </w:rPr>
        <w:t> </w:t>
      </w:r>
      <w:r w:rsidRPr="002E3F08">
        <w:rPr>
          <w:rFonts w:ascii="Times New Roman" w:hAnsi="Times New Roman"/>
        </w:rPr>
        <w:t xml:space="preserve">country is entitled to disregard it. Naturally he will feel safer if he has a decision of a court in his favour – but such a decision is not an element which produces invalidity in any law. The law is not valid until a court pronounces against it – and thereafter invalid. If it is beyond </w:t>
      </w:r>
      <w:proofErr w:type="gramStart"/>
      <w:r w:rsidRPr="002E3F08">
        <w:rPr>
          <w:rFonts w:ascii="Times New Roman" w:hAnsi="Times New Roman"/>
        </w:rPr>
        <w:t>power</w:t>
      </w:r>
      <w:proofErr w:type="gramEnd"/>
      <w:r w:rsidRPr="002E3F08">
        <w:rPr>
          <w:rFonts w:ascii="Times New Roman" w:hAnsi="Times New Roman"/>
        </w:rPr>
        <w:t xml:space="preserve"> it is invalid </w:t>
      </w:r>
      <w:r w:rsidRPr="002E3F08">
        <w:rPr>
          <w:rFonts w:ascii="Times New Roman" w:hAnsi="Times New Roman"/>
          <w:i/>
          <w:iCs/>
        </w:rPr>
        <w:t>ab initio</w:t>
      </w:r>
      <w:r w:rsidRPr="002E3F08">
        <w:rPr>
          <w:rFonts w:ascii="Times New Roman" w:hAnsi="Times New Roman"/>
        </w:rPr>
        <w:t>."</w:t>
      </w:r>
    </w:p>
    <w:p w14:paraId="5278D25A"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t xml:space="preserve">Put another way, the effect of the Court's decision in </w:t>
      </w:r>
      <w:r w:rsidRPr="002E3F08">
        <w:rPr>
          <w:rFonts w:ascii="Times New Roman" w:hAnsi="Times New Roman"/>
          <w:i/>
          <w:iCs/>
        </w:rPr>
        <w:t>NZYQ</w:t>
      </w:r>
      <w:r w:rsidRPr="002E3F08">
        <w:rPr>
          <w:rFonts w:ascii="Times New Roman" w:hAnsi="Times New Roman"/>
        </w:rPr>
        <w:t xml:space="preserve"> was that ss 189(1) and 196(1) had </w:t>
      </w:r>
      <w:r w:rsidRPr="002E3F08">
        <w:rPr>
          <w:rFonts w:ascii="Times New Roman" w:hAnsi="Times New Roman"/>
          <w:i/>
          <w:iCs/>
        </w:rPr>
        <w:t>at no time</w:t>
      </w:r>
      <w:r w:rsidRPr="002E3F08">
        <w:rPr>
          <w:rFonts w:ascii="Times New Roman" w:hAnsi="Times New Roman"/>
        </w:rPr>
        <w:t xml:space="preserve"> authorised the detention of a person in Mr</w:t>
      </w:r>
      <w:r>
        <w:rPr>
          <w:rFonts w:ascii="Times New Roman" w:hAnsi="Times New Roman"/>
        </w:rPr>
        <w:t> </w:t>
      </w:r>
      <w:r w:rsidRPr="002E3F08">
        <w:rPr>
          <w:rFonts w:ascii="Times New Roman" w:hAnsi="Times New Roman"/>
        </w:rPr>
        <w:t xml:space="preserve">Abdel-Hady's circumstances. The decision in </w:t>
      </w:r>
      <w:r w:rsidRPr="002E3F08">
        <w:rPr>
          <w:rFonts w:ascii="Times New Roman" w:hAnsi="Times New Roman"/>
          <w:i/>
          <w:iCs/>
        </w:rPr>
        <w:t>NZYQ</w:t>
      </w:r>
      <w:r w:rsidRPr="002E3F08">
        <w:rPr>
          <w:rFonts w:ascii="Times New Roman" w:hAnsi="Times New Roman"/>
        </w:rPr>
        <w:t xml:space="preserve"> did not produce this effect; correspondingly, the decision in </w:t>
      </w:r>
      <w:r w:rsidRPr="002E3F08">
        <w:rPr>
          <w:rFonts w:ascii="Times New Roman" w:hAnsi="Times New Roman"/>
          <w:i/>
          <w:iCs/>
        </w:rPr>
        <w:t>Al-Kateb</w:t>
      </w:r>
      <w:r w:rsidRPr="002E3F08">
        <w:rPr>
          <w:rFonts w:ascii="Times New Roman" w:hAnsi="Times New Roman"/>
        </w:rPr>
        <w:t xml:space="preserve"> did not negate the effect. </w:t>
      </w:r>
    </w:p>
    <w:p w14:paraId="002AB72B"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t xml:space="preserve">Taking the Commonwealth's argument at its highest, a detaining officer may have felt some safety in the Court's decision in </w:t>
      </w:r>
      <w:r w:rsidRPr="002E3F08">
        <w:rPr>
          <w:rFonts w:ascii="Times New Roman" w:hAnsi="Times New Roman"/>
          <w:i/>
          <w:iCs/>
        </w:rPr>
        <w:t>Al-Kateb</w:t>
      </w:r>
      <w:r w:rsidRPr="002E3F08">
        <w:rPr>
          <w:rFonts w:ascii="Times New Roman" w:hAnsi="Times New Roman"/>
        </w:rPr>
        <w:t xml:space="preserve"> in proceeding (or</w:t>
      </w:r>
      <w:r>
        <w:rPr>
          <w:rFonts w:ascii="Times New Roman" w:hAnsi="Times New Roman"/>
        </w:rPr>
        <w:t> </w:t>
      </w:r>
      <w:r w:rsidRPr="002E3F08">
        <w:rPr>
          <w:rFonts w:ascii="Times New Roman" w:hAnsi="Times New Roman"/>
        </w:rPr>
        <w:t>continuing) to detain a person in Mr Abdel-Hady's circumstances. They were relying on existing precedent. However, precedent "is the best evidence of the law as enacted but it is not the enacted law".</w:t>
      </w:r>
      <w:r w:rsidRPr="002E3F08">
        <w:rPr>
          <w:rStyle w:val="FootnoteReference"/>
          <w:rFonts w:ascii="Times New Roman" w:hAnsi="Times New Roman"/>
          <w:sz w:val="24"/>
        </w:rPr>
        <w:footnoteReference w:id="95"/>
      </w:r>
      <w:r w:rsidRPr="002E3F08">
        <w:rPr>
          <w:rFonts w:ascii="Times New Roman" w:hAnsi="Times New Roman"/>
        </w:rPr>
        <w:t xml:space="preserve"> The enacted law did not validly authorise Mr Abdel-Hady's detention, and so the detention was unlawful.</w:t>
      </w:r>
      <w:r w:rsidRPr="002E3F08">
        <w:rPr>
          <w:rStyle w:val="FootnoteReference"/>
          <w:rFonts w:ascii="Times New Roman" w:hAnsi="Times New Roman"/>
          <w:sz w:val="24"/>
        </w:rPr>
        <w:footnoteReference w:id="96"/>
      </w:r>
      <w:r w:rsidRPr="002E3F08">
        <w:rPr>
          <w:rFonts w:ascii="Times New Roman" w:hAnsi="Times New Roman"/>
        </w:rPr>
        <w:t xml:space="preserve"> </w:t>
      </w:r>
    </w:p>
    <w:p w14:paraId="01C19264"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t>Despite its acceptance of this position, the Commonwealth submitted that the detaining officers should have the benefit of a defence that, in effect, allows</w:t>
      </w:r>
      <w:r>
        <w:rPr>
          <w:rFonts w:ascii="Times New Roman" w:hAnsi="Times New Roman"/>
        </w:rPr>
        <w:t> </w:t>
      </w:r>
      <w:r w:rsidRPr="002E3F08">
        <w:rPr>
          <w:rFonts w:ascii="Times New Roman" w:hAnsi="Times New Roman"/>
        </w:rPr>
        <w:t xml:space="preserve">them to rely on </w:t>
      </w:r>
      <w:r w:rsidRPr="002E3F08">
        <w:rPr>
          <w:rFonts w:ascii="Times New Roman" w:hAnsi="Times New Roman"/>
          <w:i/>
          <w:iCs/>
        </w:rPr>
        <w:t>Al-Kateb</w:t>
      </w:r>
      <w:r w:rsidRPr="002E3F08">
        <w:rPr>
          <w:rFonts w:ascii="Times New Roman" w:hAnsi="Times New Roman"/>
        </w:rPr>
        <w:t xml:space="preserve"> as representing the correct state of the law until </w:t>
      </w:r>
      <w:r w:rsidRPr="002E3F08">
        <w:rPr>
          <w:rFonts w:ascii="Times New Roman" w:hAnsi="Times New Roman"/>
          <w:i/>
          <w:iCs/>
        </w:rPr>
        <w:t>NZYQ</w:t>
      </w:r>
      <w:r w:rsidRPr="002E3F08">
        <w:rPr>
          <w:rFonts w:ascii="Times New Roman" w:hAnsi="Times New Roman"/>
        </w:rPr>
        <w:t xml:space="preserve"> was decided. In effect, this would mean that, as far as the civil liability of those detaining officers is concerned, </w:t>
      </w:r>
      <w:r w:rsidRPr="002E3F08">
        <w:rPr>
          <w:rFonts w:ascii="Times New Roman" w:hAnsi="Times New Roman"/>
          <w:i/>
          <w:iCs/>
        </w:rPr>
        <w:t>NZYQ</w:t>
      </w:r>
      <w:r w:rsidRPr="002E3F08">
        <w:rPr>
          <w:rFonts w:ascii="Times New Roman" w:hAnsi="Times New Roman"/>
        </w:rPr>
        <w:t xml:space="preserve"> </w:t>
      </w:r>
      <w:r w:rsidRPr="002E3F08">
        <w:rPr>
          <w:rFonts w:ascii="Times New Roman" w:hAnsi="Times New Roman"/>
          <w:i/>
          <w:iCs/>
        </w:rPr>
        <w:t>does</w:t>
      </w:r>
      <w:r w:rsidRPr="002E3F08">
        <w:rPr>
          <w:rFonts w:ascii="Times New Roman" w:hAnsi="Times New Roman"/>
        </w:rPr>
        <w:t xml:space="preserve"> only operate prospectively. For</w:t>
      </w:r>
      <w:r>
        <w:rPr>
          <w:rFonts w:ascii="Times New Roman" w:hAnsi="Times New Roman"/>
        </w:rPr>
        <w:t> </w:t>
      </w:r>
      <w:r w:rsidRPr="002E3F08">
        <w:rPr>
          <w:rFonts w:ascii="Times New Roman" w:hAnsi="Times New Roman"/>
        </w:rPr>
        <w:t xml:space="preserve">Mr Abdel-Hady, it recognises that his detention was unlawful but deprives him of any redress for the period of his unlawful imprisonment. The Commonwealth's submission would, in that way, deprive </w:t>
      </w:r>
      <w:r w:rsidRPr="002E3F08">
        <w:rPr>
          <w:rFonts w:ascii="Times New Roman" w:hAnsi="Times New Roman"/>
          <w:i/>
          <w:iCs/>
        </w:rPr>
        <w:t>NZYQ</w:t>
      </w:r>
      <w:r w:rsidRPr="002E3F08">
        <w:rPr>
          <w:rFonts w:ascii="Times New Roman" w:hAnsi="Times New Roman"/>
        </w:rPr>
        <w:t xml:space="preserve"> of part, if not all, of its retrospective effect. "If an earlier case is erroneous and it is necessary to overrule it, it would be a perversion of judicial power to maintain in force that which is acknowledged not </w:t>
      </w:r>
      <w:r w:rsidRPr="002E3F08">
        <w:rPr>
          <w:rFonts w:ascii="Times New Roman" w:hAnsi="Times New Roman"/>
        </w:rPr>
        <w:lastRenderedPageBreak/>
        <w:t>to be the law."</w:t>
      </w:r>
      <w:r w:rsidRPr="002E3F08">
        <w:rPr>
          <w:rStyle w:val="FootnoteReference"/>
          <w:rFonts w:ascii="Times New Roman" w:hAnsi="Times New Roman"/>
          <w:sz w:val="24"/>
        </w:rPr>
        <w:footnoteReference w:id="97"/>
      </w:r>
      <w:r w:rsidRPr="002E3F08">
        <w:rPr>
          <w:rFonts w:ascii="Times New Roman" w:hAnsi="Times New Roman"/>
        </w:rPr>
        <w:t xml:space="preserve"> Yet that is effectively the result the Commonwealth seeks to achieve. </w:t>
      </w:r>
    </w:p>
    <w:p w14:paraId="7A19A86B"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t>The fact that judicial decisions do not only operate prospectively is a key element of the separation of powers and the constitutional role of courts. As</w:t>
      </w:r>
      <w:r>
        <w:rPr>
          <w:rFonts w:ascii="Times New Roman" w:hAnsi="Times New Roman"/>
        </w:rPr>
        <w:t> </w:t>
      </w:r>
      <w:r w:rsidRPr="002E3F08">
        <w:rPr>
          <w:rFonts w:ascii="Times New Roman" w:hAnsi="Times New Roman"/>
        </w:rPr>
        <w:t xml:space="preserve">explained in </w:t>
      </w:r>
      <w:r w:rsidRPr="002E3F08">
        <w:rPr>
          <w:rFonts w:ascii="Times New Roman" w:hAnsi="Times New Roman"/>
          <w:i/>
          <w:iCs/>
        </w:rPr>
        <w:t>Ha v New South Wales</w:t>
      </w:r>
      <w:r w:rsidRPr="002E3F08">
        <w:rPr>
          <w:rFonts w:ascii="Times New Roman" w:hAnsi="Times New Roman"/>
        </w:rPr>
        <w:t>:</w:t>
      </w:r>
      <w:r w:rsidRPr="002E3F08">
        <w:rPr>
          <w:rStyle w:val="FootnoteReference"/>
          <w:rFonts w:ascii="Times New Roman" w:hAnsi="Times New Roman"/>
          <w:sz w:val="24"/>
        </w:rPr>
        <w:footnoteReference w:id="98"/>
      </w:r>
    </w:p>
    <w:p w14:paraId="455F11E3" w14:textId="77777777" w:rsidR="009F6ECF" w:rsidRDefault="009F6ECF" w:rsidP="002E3F08">
      <w:pPr>
        <w:pStyle w:val="leftright"/>
        <w:spacing w:before="0" w:after="260" w:line="280" w:lineRule="exact"/>
        <w:ind w:right="0"/>
        <w:jc w:val="both"/>
        <w:rPr>
          <w:rFonts w:ascii="Times New Roman" w:hAnsi="Times New Roman"/>
        </w:rPr>
      </w:pPr>
      <w:r w:rsidRPr="002E3F08">
        <w:rPr>
          <w:rFonts w:ascii="Times New Roman" w:hAnsi="Times New Roman"/>
        </w:rPr>
        <w:t>"A hallmark of the judicial process has long been the making of binding declarations of rights and obligations arising from the operation of the law upon past events or conduct. The adjudication of existing rights and obligations as distinct from the creation of rights and obligations distinguishes the judicial power from non-judicial power. Prospective</w:t>
      </w:r>
      <w:r>
        <w:rPr>
          <w:rFonts w:ascii="Times New Roman" w:hAnsi="Times New Roman"/>
        </w:rPr>
        <w:t> </w:t>
      </w:r>
      <w:r w:rsidRPr="002E3F08">
        <w:rPr>
          <w:rFonts w:ascii="Times New Roman" w:hAnsi="Times New Roman"/>
        </w:rPr>
        <w:t>overruling is thus inconsistent with judicial power on the</w:t>
      </w:r>
      <w:r>
        <w:rPr>
          <w:rFonts w:ascii="Times New Roman" w:hAnsi="Times New Roman"/>
        </w:rPr>
        <w:t> </w:t>
      </w:r>
      <w:r w:rsidRPr="002E3F08">
        <w:rPr>
          <w:rFonts w:ascii="Times New Roman" w:hAnsi="Times New Roman"/>
        </w:rPr>
        <w:t>simple ground that the new regime that would be ushered in when the</w:t>
      </w:r>
      <w:r>
        <w:rPr>
          <w:rFonts w:ascii="Times New Roman" w:hAnsi="Times New Roman"/>
        </w:rPr>
        <w:t> </w:t>
      </w:r>
      <w:r w:rsidRPr="002E3F08">
        <w:rPr>
          <w:rFonts w:ascii="Times New Roman" w:hAnsi="Times New Roman"/>
        </w:rPr>
        <w:t>overruling took effect would alter existing rights and obligations."</w:t>
      </w:r>
    </w:p>
    <w:p w14:paraId="6B3E0336" w14:textId="77777777" w:rsidR="009F6ECF" w:rsidRPr="002E3F08" w:rsidRDefault="009F6ECF" w:rsidP="002E3F08">
      <w:pPr>
        <w:pStyle w:val="FixListStyle"/>
        <w:spacing w:after="260" w:line="280" w:lineRule="exact"/>
        <w:ind w:right="0"/>
        <w:jc w:val="both"/>
        <w:rPr>
          <w:rFonts w:ascii="Times New Roman" w:hAnsi="Times New Roman"/>
        </w:rPr>
      </w:pPr>
      <w:bookmarkStart w:id="4" w:name="_Ref213168838"/>
      <w:r w:rsidRPr="002E3F08">
        <w:rPr>
          <w:rFonts w:ascii="Times New Roman" w:hAnsi="Times New Roman"/>
        </w:rPr>
        <w:tab/>
        <w:t>For a court to treat its decisions as only operating prospectively would be inconsistent with its constitutional role; it</w:t>
      </w:r>
      <w:r w:rsidRPr="002E3F08">
        <w:rPr>
          <w:rFonts w:ascii="Times New Roman" w:hAnsi="Times New Roman"/>
          <w:sz w:val="24"/>
          <w:szCs w:val="24"/>
        </w:rPr>
        <w:t> </w:t>
      </w:r>
      <w:r w:rsidRPr="002E3F08">
        <w:rPr>
          <w:rFonts w:ascii="Times New Roman" w:hAnsi="Times New Roman"/>
        </w:rPr>
        <w:t>would be adopting a legislative role by deciding what the law shall be for others in the future.</w:t>
      </w:r>
      <w:r w:rsidRPr="002E3F08">
        <w:rPr>
          <w:rStyle w:val="FootnoteReference"/>
          <w:rFonts w:ascii="Times New Roman" w:hAnsi="Times New Roman"/>
          <w:sz w:val="24"/>
        </w:rPr>
        <w:footnoteReference w:id="99"/>
      </w:r>
      <w:bookmarkEnd w:id="4"/>
      <w:r w:rsidRPr="002E3F08">
        <w:rPr>
          <w:rFonts w:ascii="Times New Roman" w:hAnsi="Times New Roman"/>
        </w:rPr>
        <w:t xml:space="preserve"> </w:t>
      </w:r>
    </w:p>
    <w:p w14:paraId="450E0EFA"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t xml:space="preserve">The </w:t>
      </w:r>
      <w:r w:rsidRPr="002E3F08">
        <w:rPr>
          <w:rFonts w:ascii="Times New Roman" w:hAnsi="Times New Roman"/>
          <w:i/>
          <w:iCs/>
        </w:rPr>
        <w:t>Constitution</w:t>
      </w:r>
      <w:r w:rsidRPr="002E3F08">
        <w:rPr>
          <w:rFonts w:ascii="Times New Roman" w:hAnsi="Times New Roman"/>
        </w:rPr>
        <w:t xml:space="preserve"> informs the development of the common law, and</w:t>
      </w:r>
      <w:r>
        <w:rPr>
          <w:rFonts w:ascii="Times New Roman" w:hAnsi="Times New Roman"/>
        </w:rPr>
        <w:t> </w:t>
      </w:r>
      <w:r w:rsidRPr="002E3F08">
        <w:rPr>
          <w:rFonts w:ascii="Times New Roman" w:hAnsi="Times New Roman"/>
        </w:rPr>
        <w:t>the</w:t>
      </w:r>
      <w:r>
        <w:rPr>
          <w:rFonts w:ascii="Times New Roman" w:hAnsi="Times New Roman"/>
        </w:rPr>
        <w:t> </w:t>
      </w:r>
      <w:r w:rsidRPr="002E3F08">
        <w:rPr>
          <w:rFonts w:ascii="Times New Roman" w:hAnsi="Times New Roman"/>
        </w:rPr>
        <w:t>development of the common law cannot run counter to constitutional imperatives.</w:t>
      </w:r>
      <w:r w:rsidRPr="002E3F08">
        <w:rPr>
          <w:rStyle w:val="FootnoteReference"/>
          <w:rFonts w:ascii="Times New Roman" w:hAnsi="Times New Roman"/>
          <w:sz w:val="24"/>
        </w:rPr>
        <w:footnoteReference w:id="100"/>
      </w:r>
      <w:r w:rsidRPr="002E3F08">
        <w:rPr>
          <w:rFonts w:ascii="Times New Roman" w:hAnsi="Times New Roman"/>
        </w:rPr>
        <w:t xml:space="preserve"> That the proposed defence sits in tension with key constitutional principles concerning the nature of judicial power and the constitutional role of courts reinforces the conclusion that the proposed defence must not be adopted. </w:t>
      </w:r>
    </w:p>
    <w:p w14:paraId="47615713" w14:textId="77777777" w:rsidR="009F6ECF" w:rsidRPr="002E3F08" w:rsidRDefault="009F6ECF" w:rsidP="002E3F08">
      <w:pPr>
        <w:pStyle w:val="HeadingL2"/>
        <w:spacing w:after="260" w:line="280" w:lineRule="exact"/>
        <w:ind w:right="0"/>
        <w:jc w:val="both"/>
        <w:rPr>
          <w:rFonts w:ascii="Times New Roman" w:hAnsi="Times New Roman"/>
        </w:rPr>
      </w:pPr>
      <w:r w:rsidRPr="002E3F08">
        <w:rPr>
          <w:rFonts w:ascii="Times New Roman" w:hAnsi="Times New Roman"/>
        </w:rPr>
        <w:t>Rule of law</w:t>
      </w:r>
    </w:p>
    <w:p w14:paraId="7C564DF6"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t>There is a further, and fundamental, issue with the Commonwealth's proposed defence – its implications for the rule of law. As already noted, the</w:t>
      </w:r>
      <w:r>
        <w:rPr>
          <w:rFonts w:ascii="Times New Roman" w:hAnsi="Times New Roman"/>
        </w:rPr>
        <w:t> </w:t>
      </w:r>
      <w:r w:rsidRPr="002E3F08">
        <w:rPr>
          <w:rFonts w:ascii="Times New Roman" w:hAnsi="Times New Roman"/>
        </w:rPr>
        <w:t xml:space="preserve">Commonwealth developed its proposed defence in the hearing by reference to what it described as a "deeper duty arising from the rule of law requirement that the Executive comply with the law as it has been declared by this Court". </w:t>
      </w:r>
    </w:p>
    <w:p w14:paraId="15F9E34F"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lastRenderedPageBreak/>
        <w:tab/>
        <w:t xml:space="preserve">In this context, both the Commonwealth and Mr Abdel-Hady referred to Latham CJ's remarks in the </w:t>
      </w:r>
      <w:r w:rsidRPr="002E3F08">
        <w:rPr>
          <w:rFonts w:ascii="Times New Roman" w:hAnsi="Times New Roman"/>
          <w:i/>
          <w:iCs/>
        </w:rPr>
        <w:t>First Uniform Tax Case</w:t>
      </w:r>
      <w:r w:rsidRPr="002E3F08">
        <w:rPr>
          <w:rFonts w:ascii="Times New Roman" w:hAnsi="Times New Roman"/>
        </w:rPr>
        <w:t xml:space="preserve"> that anybody is entitled to disregard a law made in excess of power. The Commonwealth submitted that the</w:t>
      </w:r>
      <w:r>
        <w:rPr>
          <w:rFonts w:ascii="Times New Roman" w:hAnsi="Times New Roman"/>
        </w:rPr>
        <w:t> </w:t>
      </w:r>
      <w:r w:rsidRPr="002E3F08">
        <w:rPr>
          <w:rFonts w:ascii="Times New Roman" w:hAnsi="Times New Roman"/>
        </w:rPr>
        <w:t xml:space="preserve">position may well be different for the Executive, particularly where this Court has declared the meaning and proper content of a law of the Parliament. It referred to </w:t>
      </w:r>
      <w:r w:rsidRPr="002E3F08">
        <w:rPr>
          <w:rFonts w:ascii="Times New Roman" w:hAnsi="Times New Roman"/>
          <w:i/>
          <w:iCs/>
        </w:rPr>
        <w:t>Federal Commissioner of Taxation v Indooroopilly Children Services (Qld) Pty Ltd</w:t>
      </w:r>
      <w:r w:rsidRPr="002E3F08">
        <w:rPr>
          <w:rFonts w:ascii="Times New Roman" w:hAnsi="Times New Roman"/>
        </w:rPr>
        <w:t>, in which the Full Court of the Federal Court of Australia was critical of an approach taken by the Commissioner which appeared to administer the relevant law in a way known to be contrary to how the Federal Court had declared the</w:t>
      </w:r>
      <w:r>
        <w:rPr>
          <w:rFonts w:ascii="Times New Roman" w:hAnsi="Times New Roman"/>
        </w:rPr>
        <w:t> </w:t>
      </w:r>
      <w:r w:rsidRPr="002E3F08">
        <w:rPr>
          <w:rFonts w:ascii="Times New Roman" w:hAnsi="Times New Roman"/>
        </w:rPr>
        <w:t>meaning of that statute.</w:t>
      </w:r>
      <w:r w:rsidRPr="002E3F08">
        <w:rPr>
          <w:rStyle w:val="FootnoteReference"/>
          <w:rFonts w:ascii="Times New Roman" w:hAnsi="Times New Roman"/>
          <w:sz w:val="24"/>
        </w:rPr>
        <w:footnoteReference w:id="101"/>
      </w:r>
      <w:r w:rsidRPr="002E3F08">
        <w:rPr>
          <w:rFonts w:ascii="Times New Roman" w:hAnsi="Times New Roman"/>
        </w:rPr>
        <w:t xml:space="preserve"> The Commonwealth submitted that its proposed defence would at least find expression where this Court (being a Full Court of this Court, rather than a single Justice) has "authoritatively" answered a question. </w:t>
      </w:r>
    </w:p>
    <w:p w14:paraId="2E921ACD"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t>It is uncontroversial that the Executive has a duty to obey the law.</w:t>
      </w:r>
      <w:r w:rsidRPr="002E3F08">
        <w:rPr>
          <w:rStyle w:val="FootnoteReference"/>
          <w:rFonts w:ascii="Times New Roman" w:hAnsi="Times New Roman"/>
          <w:sz w:val="24"/>
        </w:rPr>
        <w:footnoteReference w:id="102"/>
      </w:r>
      <w:r w:rsidRPr="002E3F08">
        <w:rPr>
          <w:rFonts w:ascii="Times New Roman" w:hAnsi="Times New Roman"/>
        </w:rPr>
        <w:t xml:space="preserve"> The</w:t>
      </w:r>
      <w:r>
        <w:rPr>
          <w:rFonts w:ascii="Times New Roman" w:hAnsi="Times New Roman"/>
        </w:rPr>
        <w:t> </w:t>
      </w:r>
      <w:r w:rsidRPr="002E3F08">
        <w:rPr>
          <w:rFonts w:ascii="Times New Roman" w:hAnsi="Times New Roman"/>
        </w:rPr>
        <w:t>principle that government officials are not exempt from the duty of obedience to the law which governs other citizens was a core component of Dicey's exposition of the rule of law.</w:t>
      </w:r>
      <w:r w:rsidRPr="002E3F08">
        <w:rPr>
          <w:rStyle w:val="FootnoteReference"/>
          <w:rFonts w:ascii="Times New Roman" w:hAnsi="Times New Roman"/>
          <w:sz w:val="24"/>
        </w:rPr>
        <w:footnoteReference w:id="103"/>
      </w:r>
      <w:r w:rsidRPr="002E3F08">
        <w:rPr>
          <w:rFonts w:ascii="Times New Roman" w:hAnsi="Times New Roman"/>
        </w:rPr>
        <w:t xml:space="preserve"> However, the Commonwealth's argument sought to turn a duty to obey the law into an immunity from liability for breaching the law. As Mr Abdel-Hady submitted, the rule of law is vindicated, not compromised, by</w:t>
      </w:r>
      <w:r>
        <w:rPr>
          <w:rFonts w:ascii="Times New Roman" w:hAnsi="Times New Roman"/>
        </w:rPr>
        <w:t> </w:t>
      </w:r>
      <w:r w:rsidRPr="002E3F08">
        <w:rPr>
          <w:rFonts w:ascii="Times New Roman" w:hAnsi="Times New Roman"/>
        </w:rPr>
        <w:t xml:space="preserve">saying that, in the absence of authority, that which you cannot do except with authority is a legal wrong. It would run contrary to the rule of law for the Executive or its officers to be exempted from liability for detention which was, at all times, unauthorised. </w:t>
      </w:r>
    </w:p>
    <w:p w14:paraId="361B00CA"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t>The Executive does not have some "</w:t>
      </w:r>
      <w:r w:rsidRPr="002E3F08">
        <w:rPr>
          <w:rFonts w:ascii="Times New Roman" w:hAnsi="Times New Roman"/>
          <w:i/>
        </w:rPr>
        <w:t>deeper</w:t>
      </w:r>
      <w:r w:rsidRPr="002E3F08">
        <w:rPr>
          <w:rFonts w:ascii="Times New Roman" w:hAnsi="Times New Roman"/>
        </w:rPr>
        <w:t xml:space="preserve"> duty" to comply with the law when any court, or this Court, has determined that law to be valid or has determined the interpretation of that law; nor does it have any </w:t>
      </w:r>
      <w:r w:rsidRPr="002E3F08">
        <w:rPr>
          <w:rFonts w:ascii="Times New Roman" w:hAnsi="Times New Roman"/>
          <w:i/>
        </w:rPr>
        <w:t>lesser</w:t>
      </w:r>
      <w:r w:rsidRPr="002E3F08">
        <w:rPr>
          <w:rFonts w:ascii="Times New Roman" w:hAnsi="Times New Roman"/>
        </w:rPr>
        <w:t xml:space="preserve"> duty to comply before a court has pronounced on the validity or interpretation of that law. The unacceptable consequence of the Commonwealth's argument would be</w:t>
      </w:r>
      <w:r w:rsidRPr="002E3F08" w:rsidDel="003B7D18">
        <w:rPr>
          <w:rFonts w:ascii="Times New Roman" w:hAnsi="Times New Roman"/>
        </w:rPr>
        <w:t xml:space="preserve"> </w:t>
      </w:r>
      <w:r w:rsidRPr="002E3F08">
        <w:rPr>
          <w:rFonts w:ascii="Times New Roman" w:hAnsi="Times New Roman"/>
        </w:rPr>
        <w:t>different standards of the</w:t>
      </w:r>
      <w:r>
        <w:rPr>
          <w:rFonts w:ascii="Times New Roman" w:hAnsi="Times New Roman"/>
        </w:rPr>
        <w:t> </w:t>
      </w:r>
      <w:r w:rsidRPr="002E3F08">
        <w:rPr>
          <w:rFonts w:ascii="Times New Roman" w:hAnsi="Times New Roman"/>
        </w:rPr>
        <w:t>rule of law where: (a) Parliament has enacted a statute whose validity has not yet been considered by any court; (b) Parliament has enacted a statute whose validity has been considered by a court other than a Full Court of this Court; and</w:t>
      </w:r>
      <w:r>
        <w:rPr>
          <w:rFonts w:ascii="Times New Roman" w:hAnsi="Times New Roman"/>
        </w:rPr>
        <w:t> </w:t>
      </w:r>
      <w:r w:rsidRPr="002E3F08">
        <w:rPr>
          <w:rFonts w:ascii="Times New Roman" w:hAnsi="Times New Roman"/>
        </w:rPr>
        <w:t xml:space="preserve">(c) Parliament has enacted a statute whose validity has been considered by a Full Court of this Court. </w:t>
      </w:r>
    </w:p>
    <w:p w14:paraId="44FA28D0"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lastRenderedPageBreak/>
        <w:tab/>
        <w:t xml:space="preserve">The </w:t>
      </w:r>
      <w:r w:rsidRPr="002E3F08">
        <w:rPr>
          <w:rFonts w:ascii="Times New Roman" w:hAnsi="Times New Roman"/>
          <w:i/>
          <w:iCs/>
        </w:rPr>
        <w:t>Constitution</w:t>
      </w:r>
      <w:r w:rsidRPr="002E3F08">
        <w:rPr>
          <w:rFonts w:ascii="Times New Roman" w:hAnsi="Times New Roman"/>
        </w:rPr>
        <w:t xml:space="preserve"> does not permit of different grades or qualities of justice as between different courts.</w:t>
      </w:r>
      <w:r w:rsidRPr="002E3F08">
        <w:rPr>
          <w:rStyle w:val="FootnoteReference"/>
          <w:rFonts w:ascii="Times New Roman" w:hAnsi="Times New Roman"/>
          <w:sz w:val="24"/>
        </w:rPr>
        <w:footnoteReference w:id="104"/>
      </w:r>
      <w:r w:rsidRPr="002E3F08">
        <w:rPr>
          <w:rFonts w:ascii="Times New Roman" w:hAnsi="Times New Roman"/>
        </w:rPr>
        <w:t xml:space="preserve"> The duty of the Executive could not be made contingent on whether a court has ruled on the validity of a statute or, alternatively, on the nature of the court that </w:t>
      </w:r>
      <w:r w:rsidRPr="002E3F08">
        <w:rPr>
          <w:rFonts w:ascii="Times New Roman" w:hAnsi="Times New Roman"/>
          <w:i/>
          <w:iCs/>
        </w:rPr>
        <w:t>has</w:t>
      </w:r>
      <w:r w:rsidRPr="002E3F08">
        <w:rPr>
          <w:rFonts w:ascii="Times New Roman" w:hAnsi="Times New Roman"/>
        </w:rPr>
        <w:t xml:space="preserve"> ruled on the validity of a statute. As has been explained, at all times the (putative) source of the duty to detain was statutory. </w:t>
      </w:r>
    </w:p>
    <w:p w14:paraId="4BFC8ED3" w14:textId="77777777" w:rsidR="009F6ECF" w:rsidRPr="002E3F08" w:rsidRDefault="009F6ECF" w:rsidP="002E3F08">
      <w:pPr>
        <w:pStyle w:val="HeadingL2"/>
        <w:spacing w:after="260" w:line="280" w:lineRule="exact"/>
        <w:ind w:right="0"/>
        <w:jc w:val="both"/>
        <w:rPr>
          <w:rFonts w:ascii="Times New Roman" w:hAnsi="Times New Roman"/>
        </w:rPr>
      </w:pPr>
      <w:r w:rsidRPr="002E3F08">
        <w:rPr>
          <w:rFonts w:ascii="Times New Roman" w:hAnsi="Times New Roman"/>
        </w:rPr>
        <w:t>Unfairness</w:t>
      </w:r>
    </w:p>
    <w:p w14:paraId="330017A2"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t xml:space="preserve">The Commonwealth contends that to hold a detaining officer liable for false imprisonment where this Court had previously considered the detention to be authorised would introduce unfairness in the law, since the officer was under a legal duty to detain Mr Abdel-Hady. </w:t>
      </w:r>
    </w:p>
    <w:p w14:paraId="259779AB"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t>It may be accepted that a</w:t>
      </w:r>
      <w:r w:rsidRPr="002E3F08" w:rsidDel="008760EA">
        <w:rPr>
          <w:rFonts w:ascii="Times New Roman" w:hAnsi="Times New Roman"/>
        </w:rPr>
        <w:t xml:space="preserve"> </w:t>
      </w:r>
      <w:r w:rsidRPr="002E3F08">
        <w:rPr>
          <w:rFonts w:ascii="Times New Roman" w:hAnsi="Times New Roman"/>
        </w:rPr>
        <w:t>result of not recognising the novel defence is that the detaining officer is personally liable despite having had no real choice but to detain Mr Abdel-Hady. The detaining officer is, in that sense, blameless. The result might, from that perspective, appear unreasonable.</w:t>
      </w:r>
      <w:r w:rsidRPr="002E3F08">
        <w:rPr>
          <w:rStyle w:val="FootnoteReference"/>
          <w:rFonts w:ascii="Times New Roman" w:hAnsi="Times New Roman"/>
          <w:sz w:val="24"/>
        </w:rPr>
        <w:footnoteReference w:id="105"/>
      </w:r>
      <w:r w:rsidRPr="002E3F08">
        <w:rPr>
          <w:rFonts w:ascii="Times New Roman" w:hAnsi="Times New Roman"/>
        </w:rPr>
        <w:t xml:space="preserve"> </w:t>
      </w:r>
    </w:p>
    <w:p w14:paraId="3F236A77"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t xml:space="preserve">Further, having regard to the observations of the Full Federal Court in </w:t>
      </w:r>
      <w:r w:rsidRPr="002E3F08">
        <w:rPr>
          <w:rFonts w:ascii="Times New Roman" w:hAnsi="Times New Roman"/>
          <w:i/>
          <w:iCs/>
        </w:rPr>
        <w:t>Indooroopilly</w:t>
      </w:r>
      <w:r w:rsidRPr="002E3F08">
        <w:rPr>
          <w:rFonts w:ascii="Times New Roman" w:hAnsi="Times New Roman"/>
        </w:rPr>
        <w:t>,</w:t>
      </w:r>
      <w:r w:rsidRPr="002E3F08">
        <w:rPr>
          <w:rStyle w:val="FootnoteReference"/>
          <w:rFonts w:ascii="Times New Roman" w:hAnsi="Times New Roman"/>
          <w:sz w:val="24"/>
        </w:rPr>
        <w:footnoteReference w:id="106"/>
      </w:r>
      <w:r w:rsidRPr="002E3F08">
        <w:rPr>
          <w:rFonts w:ascii="Times New Roman" w:hAnsi="Times New Roman"/>
        </w:rPr>
        <w:t xml:space="preserve"> without its proposed defence, the Executive is placed in the</w:t>
      </w:r>
      <w:r>
        <w:rPr>
          <w:rFonts w:ascii="Times New Roman" w:hAnsi="Times New Roman"/>
        </w:rPr>
        <w:t> </w:t>
      </w:r>
      <w:r w:rsidRPr="002E3F08">
        <w:rPr>
          <w:rFonts w:ascii="Times New Roman" w:hAnsi="Times New Roman"/>
        </w:rPr>
        <w:t xml:space="preserve">undesirable position of having been bound to administer the law whose validity was confirmed in </w:t>
      </w:r>
      <w:r w:rsidRPr="002E3F08">
        <w:rPr>
          <w:rFonts w:ascii="Times New Roman" w:hAnsi="Times New Roman"/>
          <w:i/>
          <w:iCs/>
        </w:rPr>
        <w:t>Al-Kateb</w:t>
      </w:r>
      <w:r w:rsidRPr="002E3F08">
        <w:rPr>
          <w:rFonts w:ascii="Times New Roman" w:hAnsi="Times New Roman"/>
        </w:rPr>
        <w:t xml:space="preserve"> before it was overturned, while also being liable for having done so once the decision was overturned. </w:t>
      </w:r>
    </w:p>
    <w:p w14:paraId="4CB82CCC"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t xml:space="preserve">On the other hand, recognising the proposed defence would result in manifest unfairness to Mr Abdel-Hady: despite having been unlawfully detained, he would not be entitled to any compensation so as to vindicate his right to liberty. Leaving Mr Abdel-Hady without a remedy for a substantial period of unlawful imprisonment is also unfair and highly undesirable. </w:t>
      </w:r>
    </w:p>
    <w:p w14:paraId="509B7895"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t>In weighing these two kinds of unfairness, it is relevant that, at least in this case, the Commonwealth has accepted that it will be vicariously liable for the</w:t>
      </w:r>
      <w:r>
        <w:rPr>
          <w:rFonts w:ascii="Times New Roman" w:hAnsi="Times New Roman"/>
        </w:rPr>
        <w:t> </w:t>
      </w:r>
      <w:r w:rsidRPr="002E3F08">
        <w:rPr>
          <w:rFonts w:ascii="Times New Roman" w:hAnsi="Times New Roman"/>
        </w:rPr>
        <w:t>conduct of the detaining officer, who was employed by the Commonwealth and detained Mr Abdel-Hady pursuant to a statutory power then seen to support the detention in the course of his employment.</w:t>
      </w:r>
      <w:r w:rsidRPr="002E3F08">
        <w:rPr>
          <w:rStyle w:val="FootnoteReference"/>
          <w:rFonts w:ascii="Times New Roman" w:hAnsi="Times New Roman"/>
          <w:sz w:val="24"/>
        </w:rPr>
        <w:footnoteReference w:id="107"/>
      </w:r>
      <w:r w:rsidRPr="002E3F08">
        <w:rPr>
          <w:rFonts w:ascii="Times New Roman" w:hAnsi="Times New Roman"/>
        </w:rPr>
        <w:t xml:space="preserve"> In any event, given that the result may be cast as unfair from either perspective, ultimately considerations of fairness </w:t>
      </w:r>
      <w:r w:rsidRPr="002E3F08">
        <w:rPr>
          <w:rFonts w:ascii="Times New Roman" w:hAnsi="Times New Roman"/>
        </w:rPr>
        <w:lastRenderedPageBreak/>
        <w:t>do not overcome the lack of a principled justification for the Commonwealth's proposed defence.</w:t>
      </w:r>
    </w:p>
    <w:p w14:paraId="776DCA3C" w14:textId="77777777" w:rsidR="009F6ECF" w:rsidRPr="002E3F08" w:rsidRDefault="009F6ECF" w:rsidP="002E3F08">
      <w:pPr>
        <w:pStyle w:val="HeadingL2"/>
        <w:spacing w:after="260" w:line="280" w:lineRule="exact"/>
        <w:ind w:right="0"/>
        <w:jc w:val="both"/>
        <w:rPr>
          <w:rFonts w:ascii="Times New Roman" w:hAnsi="Times New Roman"/>
        </w:rPr>
      </w:pPr>
      <w:r w:rsidRPr="002E3F08">
        <w:rPr>
          <w:rFonts w:ascii="Times New Roman" w:hAnsi="Times New Roman"/>
        </w:rPr>
        <w:t>Rationale for tort of false imprisonment</w:t>
      </w:r>
    </w:p>
    <w:p w14:paraId="49F46565" w14:textId="77777777" w:rsidR="009F6ECF" w:rsidRPr="002E3F08" w:rsidRDefault="009F6ECF" w:rsidP="002E3F08">
      <w:pPr>
        <w:pStyle w:val="FixListStyle"/>
        <w:spacing w:after="260" w:line="280" w:lineRule="exact"/>
        <w:ind w:right="0"/>
        <w:jc w:val="both"/>
        <w:rPr>
          <w:rFonts w:ascii="Times New Roman" w:hAnsi="Times New Roman"/>
        </w:rPr>
      </w:pPr>
      <w:bookmarkStart w:id="5" w:name="_Ref213066450"/>
      <w:r w:rsidRPr="002E3F08">
        <w:rPr>
          <w:rFonts w:ascii="Times New Roman" w:hAnsi="Times New Roman"/>
        </w:rPr>
        <w:tab/>
        <w:t>The rationale underlying the tort of false imprisonment supports the view that the Court should be reluctant to expand the scope of any defences.</w:t>
      </w:r>
      <w:bookmarkEnd w:id="5"/>
    </w:p>
    <w:p w14:paraId="3FE2A870"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t>False imprisonment, by interfering with a plaintiff's person and liberty, constitutes "prima facie a grave infringement of the most elementary and important of all common law rights".</w:t>
      </w:r>
      <w:r w:rsidRPr="002E3F08">
        <w:rPr>
          <w:rStyle w:val="FootnoteReference"/>
          <w:rFonts w:ascii="Times New Roman" w:hAnsi="Times New Roman"/>
          <w:sz w:val="24"/>
        </w:rPr>
        <w:footnoteReference w:id="108"/>
      </w:r>
      <w:r w:rsidRPr="002E3F08">
        <w:rPr>
          <w:rFonts w:ascii="Times New Roman" w:hAnsi="Times New Roman"/>
        </w:rPr>
        <w:t xml:space="preserve"> The tort has played a fundamental role, alongside</w:t>
      </w:r>
      <w:r>
        <w:rPr>
          <w:rFonts w:ascii="Times New Roman" w:hAnsi="Times New Roman"/>
        </w:rPr>
        <w:t> </w:t>
      </w:r>
      <w:r w:rsidRPr="002E3F08">
        <w:rPr>
          <w:rFonts w:ascii="Times New Roman" w:hAnsi="Times New Roman"/>
        </w:rPr>
        <w:t>the</w:t>
      </w:r>
      <w:r>
        <w:rPr>
          <w:rFonts w:ascii="Times New Roman" w:hAnsi="Times New Roman"/>
        </w:rPr>
        <w:t> </w:t>
      </w:r>
      <w:r w:rsidRPr="002E3F08">
        <w:rPr>
          <w:rFonts w:ascii="Times New Roman" w:hAnsi="Times New Roman"/>
        </w:rPr>
        <w:t>writ of habeas corpus, through the centuries in protecting the basic liberties of individuals against excesses of state power and may in that regard be considered a "constitutional safeguard[]".</w:t>
      </w:r>
      <w:r w:rsidRPr="002E3F08">
        <w:rPr>
          <w:rStyle w:val="FootnoteReference"/>
          <w:rFonts w:ascii="Times New Roman" w:hAnsi="Times New Roman"/>
          <w:sz w:val="24"/>
        </w:rPr>
        <w:footnoteReference w:id="109"/>
      </w:r>
    </w:p>
    <w:p w14:paraId="756494DF"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t>False imprisonment has been described as a tort of strict liability, reflecting</w:t>
      </w:r>
      <w:r>
        <w:rPr>
          <w:rFonts w:ascii="Times New Roman" w:hAnsi="Times New Roman"/>
        </w:rPr>
        <w:t> </w:t>
      </w:r>
      <w:r w:rsidRPr="002E3F08">
        <w:rPr>
          <w:rFonts w:ascii="Times New Roman" w:hAnsi="Times New Roman"/>
        </w:rPr>
        <w:t>that "the focus of this civil wrong is on the vindication of liberty and reparation to the victim, rather than upon the presence or absence of moral wrongdoing on the</w:t>
      </w:r>
      <w:r>
        <w:rPr>
          <w:rFonts w:ascii="Times New Roman" w:hAnsi="Times New Roman"/>
        </w:rPr>
        <w:t> </w:t>
      </w:r>
      <w:r w:rsidRPr="002E3F08">
        <w:rPr>
          <w:rFonts w:ascii="Times New Roman" w:hAnsi="Times New Roman"/>
        </w:rPr>
        <w:t>part of the defendant".</w:t>
      </w:r>
      <w:r w:rsidRPr="002E3F08">
        <w:rPr>
          <w:rStyle w:val="FootnoteReference"/>
          <w:rFonts w:ascii="Times New Roman" w:hAnsi="Times New Roman"/>
          <w:sz w:val="24"/>
        </w:rPr>
        <w:footnoteReference w:id="110"/>
      </w:r>
      <w:r w:rsidRPr="002E3F08">
        <w:rPr>
          <w:rFonts w:ascii="Times New Roman" w:hAnsi="Times New Roman"/>
        </w:rPr>
        <w:t xml:space="preserve"> In that sense, "the strict theory of civil liability is not inconsistent with the fact that in certain circumstances the harm complained of may have been inflicted justifiably".</w:t>
      </w:r>
      <w:r w:rsidRPr="002E3F08">
        <w:rPr>
          <w:rStyle w:val="FootnoteReference"/>
          <w:rFonts w:ascii="Times New Roman" w:hAnsi="Times New Roman"/>
          <w:sz w:val="24"/>
        </w:rPr>
        <w:footnoteReference w:id="111"/>
      </w:r>
      <w:bookmarkStart w:id="6" w:name="_Ref213066456"/>
    </w:p>
    <w:p w14:paraId="2EB01417"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t>The importance of the right vindicated by the tort of false imprisonment tends against the recognition of a defence in the terms sought by the</w:t>
      </w:r>
      <w:r>
        <w:rPr>
          <w:rFonts w:ascii="Times New Roman" w:hAnsi="Times New Roman"/>
        </w:rPr>
        <w:t> </w:t>
      </w:r>
      <w:r w:rsidRPr="002E3F08">
        <w:rPr>
          <w:rFonts w:ascii="Times New Roman" w:hAnsi="Times New Roman"/>
        </w:rPr>
        <w:t>Commonwealth. As</w:t>
      </w:r>
      <w:r w:rsidRPr="002E3F08" w:rsidDel="00767216">
        <w:rPr>
          <w:rFonts w:ascii="Times New Roman" w:hAnsi="Times New Roman"/>
        </w:rPr>
        <w:t xml:space="preserve"> </w:t>
      </w:r>
      <w:r w:rsidRPr="002E3F08">
        <w:rPr>
          <w:rFonts w:ascii="Times New Roman" w:hAnsi="Times New Roman"/>
        </w:rPr>
        <w:t>Lord Hope observed in</w:t>
      </w:r>
      <w:r w:rsidRPr="002E3F08" w:rsidDel="004C1162">
        <w:rPr>
          <w:rFonts w:ascii="Times New Roman" w:hAnsi="Times New Roman"/>
        </w:rPr>
        <w:t xml:space="preserve"> </w:t>
      </w:r>
      <w:r w:rsidRPr="002E3F08">
        <w:rPr>
          <w:rFonts w:ascii="Times New Roman" w:hAnsi="Times New Roman"/>
          <w:i/>
          <w:iCs/>
        </w:rPr>
        <w:t>Evans [No 2]</w:t>
      </w:r>
      <w:r w:rsidRPr="002E3F08">
        <w:rPr>
          <w:rFonts w:ascii="Times New Roman" w:hAnsi="Times New Roman"/>
        </w:rPr>
        <w:t>, the "defence of justification must be based upon a rigorous application of the principle that the</w:t>
      </w:r>
      <w:r>
        <w:rPr>
          <w:rFonts w:ascii="Times New Roman" w:hAnsi="Times New Roman"/>
        </w:rPr>
        <w:t> </w:t>
      </w:r>
      <w:r w:rsidRPr="002E3F08">
        <w:rPr>
          <w:rFonts w:ascii="Times New Roman" w:hAnsi="Times New Roman"/>
        </w:rPr>
        <w:t>liberty of the subject can be interfered with only upon grounds which a court will uphold as lawful".</w:t>
      </w:r>
      <w:r w:rsidRPr="002E3F08">
        <w:rPr>
          <w:rStyle w:val="FootnoteReference"/>
          <w:rFonts w:ascii="Times New Roman" w:hAnsi="Times New Roman"/>
          <w:sz w:val="24"/>
        </w:rPr>
        <w:footnoteReference w:id="112"/>
      </w:r>
      <w:r w:rsidRPr="002E3F08">
        <w:rPr>
          <w:rFonts w:ascii="Times New Roman" w:hAnsi="Times New Roman"/>
        </w:rPr>
        <w:t xml:space="preserve"> Acceptance of the Commonwealth's argument would erode the protection currently offered by the tort.</w:t>
      </w:r>
      <w:bookmarkEnd w:id="6"/>
      <w:r w:rsidRPr="002E3F08">
        <w:rPr>
          <w:rFonts w:ascii="Times New Roman" w:hAnsi="Times New Roman"/>
        </w:rPr>
        <w:t xml:space="preserve"> </w:t>
      </w:r>
    </w:p>
    <w:p w14:paraId="33FF918B" w14:textId="77777777" w:rsidR="009F6ECF" w:rsidRPr="002E3F08" w:rsidRDefault="009F6ECF" w:rsidP="002E3F08">
      <w:pPr>
        <w:pStyle w:val="HeadingL2"/>
        <w:spacing w:after="260" w:line="280" w:lineRule="exact"/>
        <w:ind w:right="0"/>
        <w:jc w:val="both"/>
        <w:rPr>
          <w:rFonts w:ascii="Times New Roman" w:hAnsi="Times New Roman"/>
        </w:rPr>
      </w:pPr>
      <w:r w:rsidRPr="002E3F08">
        <w:rPr>
          <w:rFonts w:ascii="Times New Roman" w:hAnsi="Times New Roman"/>
        </w:rPr>
        <w:lastRenderedPageBreak/>
        <w:t>Confines of proposed defence reveal its unstable basis and artificiality</w:t>
      </w:r>
    </w:p>
    <w:p w14:paraId="6E7F5D81" w14:textId="77777777" w:rsidR="009F6ECF" w:rsidRPr="002E3F08" w:rsidRDefault="009F6ECF" w:rsidP="002E3F08">
      <w:pPr>
        <w:pStyle w:val="FixListStyle"/>
        <w:spacing w:after="260" w:line="280" w:lineRule="exact"/>
        <w:ind w:right="0"/>
        <w:jc w:val="both"/>
        <w:rPr>
          <w:rFonts w:ascii="Times New Roman" w:hAnsi="Times New Roman"/>
        </w:rPr>
      </w:pPr>
      <w:bookmarkStart w:id="7" w:name="_Ref213168902"/>
      <w:r w:rsidRPr="002E3F08">
        <w:rPr>
          <w:rFonts w:ascii="Times New Roman" w:hAnsi="Times New Roman"/>
        </w:rPr>
        <w:tab/>
        <w:t>The Commonwealth resisted attempts to define the possible outer boundaries of the proposed defence by reference to the common law method of proceeding no further than necessary to determine the particular legal right or liability in controversy between the parties.</w:t>
      </w:r>
      <w:r w:rsidRPr="002E3F08">
        <w:rPr>
          <w:rStyle w:val="FootnoteReference"/>
          <w:rFonts w:ascii="Times New Roman" w:hAnsi="Times New Roman"/>
          <w:sz w:val="24"/>
        </w:rPr>
        <w:footnoteReference w:id="113"/>
      </w:r>
      <w:r w:rsidRPr="002E3F08">
        <w:rPr>
          <w:rFonts w:ascii="Times New Roman" w:hAnsi="Times New Roman"/>
        </w:rPr>
        <w:t xml:space="preserve"> It submitted that this case was the</w:t>
      </w:r>
      <w:r>
        <w:rPr>
          <w:rFonts w:ascii="Times New Roman" w:hAnsi="Times New Roman"/>
        </w:rPr>
        <w:t> </w:t>
      </w:r>
      <w:r w:rsidRPr="002E3F08">
        <w:rPr>
          <w:rFonts w:ascii="Times New Roman" w:hAnsi="Times New Roman"/>
        </w:rPr>
        <w:t>paradigm for when the defence would apply, and that the Court could, in a future case, decide not to apply it to a different set of circumstances. However, an</w:t>
      </w:r>
      <w:r>
        <w:rPr>
          <w:rFonts w:ascii="Times New Roman" w:hAnsi="Times New Roman"/>
        </w:rPr>
        <w:t> </w:t>
      </w:r>
      <w:r w:rsidRPr="002E3F08">
        <w:rPr>
          <w:rFonts w:ascii="Times New Roman" w:hAnsi="Times New Roman"/>
        </w:rPr>
        <w:t>analysis of the outer boundaries of the proposed defence illustrates that it is wholly artificial to confine its application to a particular set of facts. It is necessary to consider the implications of the Commonwealth's reasoning.</w:t>
      </w:r>
    </w:p>
    <w:p w14:paraId="2733202A"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t>It is axiomatic that the common law develops incrementally. That does not mean, however, that the development of the common law excludes consequentialist reasoning. To the contrary, consideration of the consequences of developing the common law is a key aspect of that development. Even incremental steps require implicit reference to general principles.</w:t>
      </w:r>
      <w:r w:rsidRPr="002E3F08">
        <w:rPr>
          <w:rStyle w:val="FootnoteReference"/>
          <w:rFonts w:ascii="Times New Roman" w:hAnsi="Times New Roman"/>
          <w:sz w:val="24"/>
        </w:rPr>
        <w:footnoteReference w:id="114"/>
      </w:r>
      <w:r w:rsidRPr="002E3F08">
        <w:rPr>
          <w:rFonts w:ascii="Times New Roman" w:hAnsi="Times New Roman"/>
        </w:rPr>
        <w:t xml:space="preserve"> </w:t>
      </w:r>
    </w:p>
    <w:p w14:paraId="6F65C04D"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t>The proposed defence is in confined terms, being applicable in circumstances where a plaintiff was detained (</w:t>
      </w:r>
      <w:proofErr w:type="spellStart"/>
      <w:r w:rsidRPr="002E3F08">
        <w:rPr>
          <w:rFonts w:ascii="Times New Roman" w:hAnsi="Times New Roman"/>
        </w:rPr>
        <w:t>i</w:t>
      </w:r>
      <w:proofErr w:type="spellEnd"/>
      <w:r w:rsidRPr="002E3F08">
        <w:rPr>
          <w:rFonts w:ascii="Times New Roman" w:hAnsi="Times New Roman"/>
        </w:rPr>
        <w:t xml:space="preserve">) by an officer of the Executive Government whose duty to obey the law as declared by this Court was reinforced by the </w:t>
      </w:r>
      <w:r w:rsidRPr="002E3F08">
        <w:rPr>
          <w:rFonts w:ascii="Times New Roman" w:hAnsi="Times New Roman"/>
          <w:i/>
        </w:rPr>
        <w:t>Public Service Act</w:t>
      </w:r>
      <w:r w:rsidRPr="002E3F08">
        <w:rPr>
          <w:rFonts w:ascii="Times New Roman" w:hAnsi="Times New Roman"/>
        </w:rPr>
        <w:t xml:space="preserve">; (ii) acting pursuant to an apparent statutory duty to detain; and (iii) during a period of time when current and binding authority of this Court held that the duty to detain validly applied to require such detention. </w:t>
      </w:r>
      <w:bookmarkEnd w:id="7"/>
    </w:p>
    <w:p w14:paraId="2D8F2A08"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t>However, the principles on which the Commonwealth sought to base its proposed defence apply far more widely. Properly analysed, the "confines" of</w:t>
      </w:r>
      <w:r>
        <w:rPr>
          <w:rFonts w:ascii="Times New Roman" w:hAnsi="Times New Roman"/>
        </w:rPr>
        <w:t> </w:t>
      </w:r>
      <w:r w:rsidRPr="002E3F08">
        <w:rPr>
          <w:rFonts w:ascii="Times New Roman" w:hAnsi="Times New Roman"/>
        </w:rPr>
        <w:t>the</w:t>
      </w:r>
      <w:r>
        <w:rPr>
          <w:rFonts w:ascii="Times New Roman" w:hAnsi="Times New Roman"/>
        </w:rPr>
        <w:t> </w:t>
      </w:r>
      <w:r w:rsidRPr="002E3F08">
        <w:rPr>
          <w:rFonts w:ascii="Times New Roman" w:hAnsi="Times New Roman"/>
        </w:rPr>
        <w:t xml:space="preserve">Commonwealth's proposed defence demonstrate that it is artificial only to consider its application in this case. </w:t>
      </w:r>
    </w:p>
    <w:p w14:paraId="684C49A6"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t xml:space="preserve">First, in so far as the rationale for the proposed defence is the protection of detaining officers against unfairness and the importance of detaining officers complying with legal obligations, the existence of authority suggesting the duty to detain validly applied to require such detention does not make the situation relevantly different from a case where there is not such relevant authority. As has been explained, the source (or purported source) of the duty to detain was, at all times, ss 189(1) and 196(1) of the </w:t>
      </w:r>
      <w:r w:rsidRPr="002E3F08">
        <w:rPr>
          <w:rFonts w:ascii="Times New Roman" w:hAnsi="Times New Roman"/>
          <w:iCs/>
        </w:rPr>
        <w:t>Act.</w:t>
      </w:r>
      <w:r w:rsidRPr="002E3F08">
        <w:rPr>
          <w:rFonts w:ascii="Times New Roman" w:hAnsi="Times New Roman"/>
        </w:rPr>
        <w:t xml:space="preserve"> The Court's decision in </w:t>
      </w:r>
      <w:r w:rsidRPr="002E3F08">
        <w:rPr>
          <w:rFonts w:ascii="Times New Roman" w:hAnsi="Times New Roman"/>
          <w:i/>
          <w:iCs/>
        </w:rPr>
        <w:t>Al-Kateb</w:t>
      </w:r>
      <w:r w:rsidRPr="002E3F08">
        <w:rPr>
          <w:rFonts w:ascii="Times New Roman" w:hAnsi="Times New Roman"/>
        </w:rPr>
        <w:t xml:space="preserve"> did not change this position. </w:t>
      </w:r>
    </w:p>
    <w:p w14:paraId="51B24FDA"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lastRenderedPageBreak/>
        <w:tab/>
        <w:t>Second, as a matter of principle, the fact that the source of the authority was this Court does not make the situation relevantly different from a case in which the</w:t>
      </w:r>
      <w:r>
        <w:rPr>
          <w:rFonts w:ascii="Times New Roman" w:hAnsi="Times New Roman"/>
        </w:rPr>
        <w:t> </w:t>
      </w:r>
      <w:r w:rsidRPr="002E3F08">
        <w:rPr>
          <w:rFonts w:ascii="Times New Roman" w:hAnsi="Times New Roman"/>
        </w:rPr>
        <w:t>source of authority is any lower court. The Commonwealth submitted that the</w:t>
      </w:r>
      <w:r>
        <w:rPr>
          <w:rFonts w:ascii="Times New Roman" w:hAnsi="Times New Roman"/>
        </w:rPr>
        <w:t> </w:t>
      </w:r>
      <w:r w:rsidRPr="002E3F08">
        <w:rPr>
          <w:rFonts w:ascii="Times New Roman" w:hAnsi="Times New Roman"/>
        </w:rPr>
        <w:t>rule of law responsibilities of the Executive when faced with decisions of lower courts with which it disagrees may well be different to those that arise when this Court has "authoritatively" answered a question. As has been explained, the</w:t>
      </w:r>
      <w:r>
        <w:rPr>
          <w:rFonts w:ascii="Times New Roman" w:hAnsi="Times New Roman"/>
        </w:rPr>
        <w:t> </w:t>
      </w:r>
      <w:r w:rsidRPr="002E3F08">
        <w:rPr>
          <w:rFonts w:ascii="Times New Roman" w:hAnsi="Times New Roman"/>
        </w:rPr>
        <w:t xml:space="preserve">Executive has no deeper duty to act in accordance with the rule of law when this Court </w:t>
      </w:r>
      <w:proofErr w:type="gramStart"/>
      <w:r w:rsidRPr="002E3F08">
        <w:rPr>
          <w:rFonts w:ascii="Times New Roman" w:hAnsi="Times New Roman"/>
        </w:rPr>
        <w:t>makes a decision</w:t>
      </w:r>
      <w:proofErr w:type="gramEnd"/>
      <w:r w:rsidRPr="002E3F08">
        <w:rPr>
          <w:rFonts w:ascii="Times New Roman" w:hAnsi="Times New Roman"/>
        </w:rPr>
        <w:t xml:space="preserve">. In </w:t>
      </w:r>
      <w:r w:rsidRPr="002E3F08">
        <w:rPr>
          <w:rFonts w:ascii="Times New Roman" w:hAnsi="Times New Roman"/>
          <w:i/>
          <w:iCs/>
        </w:rPr>
        <w:t>Indooroopilly</w:t>
      </w:r>
      <w:r w:rsidRPr="002E3F08">
        <w:rPr>
          <w:rFonts w:ascii="Times New Roman" w:hAnsi="Times New Roman"/>
        </w:rPr>
        <w:t>, the Full Federal Court's criticism was directed towards a submission by the Commissioner that it was not compelled to follow a line of single-judge decisions of the Federal Court.</w:t>
      </w:r>
      <w:r w:rsidRPr="002E3F08">
        <w:rPr>
          <w:rStyle w:val="FootnoteReference"/>
          <w:rFonts w:ascii="Times New Roman" w:hAnsi="Times New Roman"/>
          <w:sz w:val="24"/>
        </w:rPr>
        <w:footnoteReference w:id="115"/>
      </w:r>
      <w:r w:rsidRPr="002E3F08">
        <w:rPr>
          <w:rFonts w:ascii="Times New Roman" w:hAnsi="Times New Roman"/>
        </w:rPr>
        <w:t xml:space="preserve"> </w:t>
      </w:r>
    </w:p>
    <w:p w14:paraId="40AE4346"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t>The Commonwealth also accepted that the elements of the proposed defence "may well be capable of being generalised to other kinds of torts", and</w:t>
      </w:r>
      <w:r>
        <w:rPr>
          <w:rFonts w:ascii="Times New Roman" w:hAnsi="Times New Roman"/>
        </w:rPr>
        <w:t> </w:t>
      </w:r>
      <w:r w:rsidRPr="002E3F08">
        <w:rPr>
          <w:rFonts w:ascii="Times New Roman" w:hAnsi="Times New Roman"/>
        </w:rPr>
        <w:t>the</w:t>
      </w:r>
      <w:r>
        <w:rPr>
          <w:rFonts w:ascii="Times New Roman" w:hAnsi="Times New Roman"/>
        </w:rPr>
        <w:t> </w:t>
      </w:r>
      <w:r w:rsidRPr="002E3F08">
        <w:rPr>
          <w:rFonts w:ascii="Times New Roman" w:hAnsi="Times New Roman"/>
        </w:rPr>
        <w:t xml:space="preserve">principles underlying the defence might also apply to other common law claims, such as </w:t>
      </w:r>
      <w:r w:rsidRPr="002E3F08" w:rsidDel="00883C1D">
        <w:rPr>
          <w:rFonts w:ascii="Times New Roman" w:hAnsi="Times New Roman"/>
        </w:rPr>
        <w:t xml:space="preserve">a claim </w:t>
      </w:r>
      <w:r w:rsidRPr="002E3F08">
        <w:rPr>
          <w:rFonts w:ascii="Times New Roman" w:hAnsi="Times New Roman"/>
        </w:rPr>
        <w:t xml:space="preserve">for money had and received. </w:t>
      </w:r>
    </w:p>
    <w:p w14:paraId="7857AF8A"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t>The effect of the Commonwealth's submission was to artificially confine its proposed defence to what it described as a paradigmatic case. However, it could not identify any stable boundaries of the defence or show how it might properly be confined (other than to say that the Court did not need to decide those boundaries). Rather, it accepted that the defence likely had a wider, but unknown, scope of application. The Commonwealth did not even disavow the contention that the</w:t>
      </w:r>
      <w:r>
        <w:rPr>
          <w:rFonts w:ascii="Times New Roman" w:hAnsi="Times New Roman"/>
        </w:rPr>
        <w:t> </w:t>
      </w:r>
      <w:r w:rsidRPr="002E3F08">
        <w:rPr>
          <w:rFonts w:ascii="Times New Roman" w:hAnsi="Times New Roman"/>
        </w:rPr>
        <w:t>defence might apply to acts performed before a court has ruled upon the</w:t>
      </w:r>
      <w:r>
        <w:rPr>
          <w:rFonts w:ascii="Times New Roman" w:hAnsi="Times New Roman"/>
        </w:rPr>
        <w:t> </w:t>
      </w:r>
      <w:r w:rsidRPr="002E3F08">
        <w:rPr>
          <w:rFonts w:ascii="Times New Roman" w:hAnsi="Times New Roman"/>
        </w:rPr>
        <w:t xml:space="preserve">validity of a statute, which would run contrary to the established principle in this country that acts performed by the Executive in reliance on an unconstitutional statute may give rise to civil liability. </w:t>
      </w:r>
    </w:p>
    <w:p w14:paraId="56F63C8A"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b/>
          <w:bCs/>
        </w:rPr>
        <w:tab/>
      </w:r>
      <w:r w:rsidRPr="002E3F08">
        <w:rPr>
          <w:rFonts w:ascii="Times New Roman" w:hAnsi="Times New Roman"/>
        </w:rPr>
        <w:t>In reality, the proposed defence is akin to a "foot in the door" to a far more wide-ranging defence, which would significantly undermine the ability of a person to obtain redress where the Executive exceeds its authority. That door should remain closed.</w:t>
      </w:r>
    </w:p>
    <w:p w14:paraId="3F7D5A44" w14:textId="77777777" w:rsidR="009F6ECF" w:rsidRPr="002E3F08" w:rsidRDefault="009F6ECF" w:rsidP="002E3F08">
      <w:pPr>
        <w:pStyle w:val="HeadingL2"/>
        <w:spacing w:after="260" w:line="280" w:lineRule="exact"/>
        <w:ind w:right="0"/>
        <w:jc w:val="both"/>
        <w:rPr>
          <w:rFonts w:ascii="Times New Roman" w:hAnsi="Times New Roman"/>
          <w:iCs/>
        </w:rPr>
      </w:pPr>
      <w:r w:rsidRPr="002E3F08">
        <w:rPr>
          <w:rFonts w:ascii="Times New Roman" w:hAnsi="Times New Roman"/>
        </w:rPr>
        <w:t>Overseas authorities do not support proposed defence</w:t>
      </w:r>
    </w:p>
    <w:p w14:paraId="46FCBE44"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t>The Commonwealth also relied on the existence of defences or immunities recognised by the courts in the United Kingdom, Canada and the United States of America. They do not assist.</w:t>
      </w:r>
    </w:p>
    <w:p w14:paraId="691C0F31"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t xml:space="preserve">The Commonwealth relied upon the decision of the Court of Appeal of England and Wales in </w:t>
      </w:r>
      <w:r w:rsidRPr="002E3F08">
        <w:rPr>
          <w:rFonts w:ascii="Times New Roman" w:hAnsi="Times New Roman"/>
          <w:i/>
          <w:iCs/>
        </w:rPr>
        <w:t>Percy v Hall</w:t>
      </w:r>
      <w:r w:rsidRPr="002E3F08">
        <w:rPr>
          <w:rFonts w:ascii="Times New Roman" w:hAnsi="Times New Roman"/>
        </w:rPr>
        <w:t>,</w:t>
      </w:r>
      <w:r w:rsidRPr="002E3F08">
        <w:rPr>
          <w:rStyle w:val="FootnoteReference"/>
          <w:rFonts w:ascii="Times New Roman" w:hAnsi="Times New Roman"/>
          <w:sz w:val="24"/>
        </w:rPr>
        <w:footnoteReference w:id="116"/>
      </w:r>
      <w:r w:rsidRPr="002E3F08">
        <w:rPr>
          <w:rFonts w:ascii="Times New Roman" w:hAnsi="Times New Roman"/>
        </w:rPr>
        <w:t xml:space="preserve"> which involved constables who had made arrests for breach of certain byelaws. The Court of Appeal held that the byelaws </w:t>
      </w:r>
      <w:r w:rsidRPr="002E3F08">
        <w:rPr>
          <w:rFonts w:ascii="Times New Roman" w:hAnsi="Times New Roman"/>
        </w:rPr>
        <w:lastRenderedPageBreak/>
        <w:t>were valid, but had they been invalid, the constables would have had a defence of lawful justification where the byelaws were apparently valid, were in law to be presumed valid, and in the public interest needed to be enforced.</w:t>
      </w:r>
      <w:r w:rsidRPr="002E3F08">
        <w:rPr>
          <w:rStyle w:val="FootnoteReference"/>
          <w:rFonts w:ascii="Times New Roman" w:hAnsi="Times New Roman"/>
          <w:sz w:val="24"/>
        </w:rPr>
        <w:footnoteReference w:id="117"/>
      </w:r>
    </w:p>
    <w:p w14:paraId="747FB87E"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t xml:space="preserve">However, </w:t>
      </w:r>
      <w:r w:rsidRPr="002E3F08">
        <w:rPr>
          <w:rFonts w:ascii="Times New Roman" w:hAnsi="Times New Roman"/>
          <w:i/>
          <w:iCs/>
        </w:rPr>
        <w:t>Percy</w:t>
      </w:r>
      <w:r w:rsidRPr="002E3F08">
        <w:rPr>
          <w:rFonts w:ascii="Times New Roman" w:hAnsi="Times New Roman"/>
        </w:rPr>
        <w:t xml:space="preserve"> was distinguished by the House of Lords in </w:t>
      </w:r>
      <w:r w:rsidRPr="002E3F08">
        <w:rPr>
          <w:rFonts w:ascii="Times New Roman" w:hAnsi="Times New Roman"/>
          <w:i/>
          <w:iCs/>
        </w:rPr>
        <w:t>Evans [No 2]</w:t>
      </w:r>
      <w:r w:rsidRPr="002E3F08">
        <w:rPr>
          <w:rFonts w:ascii="Times New Roman" w:hAnsi="Times New Roman"/>
        </w:rPr>
        <w:t xml:space="preserve">. In </w:t>
      </w:r>
      <w:r w:rsidRPr="002E3F08">
        <w:rPr>
          <w:rFonts w:ascii="Times New Roman" w:hAnsi="Times New Roman"/>
          <w:i/>
          <w:iCs/>
        </w:rPr>
        <w:t xml:space="preserve">Evans </w:t>
      </w:r>
      <w:r w:rsidRPr="002E3F08">
        <w:rPr>
          <w:rFonts w:ascii="Times New Roman" w:hAnsi="Times New Roman"/>
          <w:i/>
        </w:rPr>
        <w:t>[No 2]</w:t>
      </w:r>
      <w:r w:rsidRPr="002E3F08">
        <w:rPr>
          <w:rFonts w:ascii="Times New Roman" w:hAnsi="Times New Roman"/>
        </w:rPr>
        <w:t>, the applicant was convicted of offences and sentenced to concurrent terms of imprisonment. A statutory regime allowed the period she spent in custody to be reduced to some extent to give effect to periods spent in custody before trial or sentence. The discount was to be applied by the governor of the</w:t>
      </w:r>
      <w:r>
        <w:rPr>
          <w:rFonts w:ascii="Times New Roman" w:hAnsi="Times New Roman"/>
        </w:rPr>
        <w:t> </w:t>
      </w:r>
      <w:r w:rsidRPr="002E3F08">
        <w:rPr>
          <w:rFonts w:ascii="Times New Roman" w:hAnsi="Times New Roman"/>
        </w:rPr>
        <w:t>institution responsible for detaining the applicant.</w:t>
      </w:r>
      <w:r w:rsidRPr="002E3F08">
        <w:rPr>
          <w:rStyle w:val="FootnoteReference"/>
          <w:rFonts w:ascii="Times New Roman" w:hAnsi="Times New Roman"/>
          <w:sz w:val="24"/>
        </w:rPr>
        <w:footnoteReference w:id="118"/>
      </w:r>
      <w:r w:rsidRPr="002E3F08">
        <w:rPr>
          <w:rFonts w:ascii="Times New Roman" w:hAnsi="Times New Roman"/>
        </w:rPr>
        <w:t xml:space="preserve"> The governor calculated the discount based on a Home Office explanation of the legal position of prisoners in the position of the applicant. The Home Office's view was founded on a line of Divisional Court decisions, which were then overruled by the Divisional Court on application by the applicant,</w:t>
      </w:r>
      <w:r w:rsidRPr="002E3F08">
        <w:rPr>
          <w:rStyle w:val="FootnoteReference"/>
          <w:rFonts w:ascii="Times New Roman" w:hAnsi="Times New Roman"/>
          <w:sz w:val="24"/>
        </w:rPr>
        <w:footnoteReference w:id="119"/>
      </w:r>
      <w:r w:rsidRPr="002E3F08">
        <w:rPr>
          <w:rFonts w:ascii="Times New Roman" w:hAnsi="Times New Roman"/>
        </w:rPr>
        <w:t xml:space="preserve"> with the result that she had been kept in prison for 59 days longer than she should have been.</w:t>
      </w:r>
      <w:r w:rsidRPr="002E3F08">
        <w:rPr>
          <w:rStyle w:val="FootnoteReference"/>
          <w:rFonts w:ascii="Times New Roman" w:hAnsi="Times New Roman"/>
          <w:sz w:val="24"/>
        </w:rPr>
        <w:footnoteReference w:id="120"/>
      </w:r>
      <w:r w:rsidRPr="002E3F08">
        <w:rPr>
          <w:rFonts w:ascii="Times New Roman" w:hAnsi="Times New Roman"/>
        </w:rPr>
        <w:t xml:space="preserve"> </w:t>
      </w:r>
    </w:p>
    <w:p w14:paraId="62D5B6FA"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t>The House of Lords unanimously held that the governor could not rely upon his compliance with the law as the court then said it was. Their Lordships did not consider that the governor could escape liability on the basis that he had acted in accordance with a view of the law which at the time was accepted by the courts as being correct.</w:t>
      </w:r>
      <w:r w:rsidRPr="002E3F08">
        <w:rPr>
          <w:rStyle w:val="FootnoteReference"/>
          <w:rFonts w:ascii="Times New Roman" w:hAnsi="Times New Roman"/>
          <w:sz w:val="24"/>
        </w:rPr>
        <w:footnoteReference w:id="121"/>
      </w:r>
      <w:r w:rsidRPr="002E3F08">
        <w:rPr>
          <w:rFonts w:ascii="Times New Roman" w:hAnsi="Times New Roman"/>
        </w:rPr>
        <w:t xml:space="preserve"> As Lord Slynn observed:</w:t>
      </w:r>
      <w:r w:rsidRPr="002E3F08">
        <w:rPr>
          <w:rStyle w:val="FootnoteReference"/>
          <w:rFonts w:ascii="Times New Roman" w:hAnsi="Times New Roman"/>
          <w:sz w:val="24"/>
        </w:rPr>
        <w:footnoteReference w:id="122"/>
      </w:r>
    </w:p>
    <w:p w14:paraId="3BD982BE" w14:textId="77777777" w:rsidR="009F6ECF" w:rsidRDefault="009F6ECF" w:rsidP="002E3F08">
      <w:pPr>
        <w:pStyle w:val="leftright"/>
        <w:spacing w:before="0" w:after="260" w:line="280" w:lineRule="exact"/>
        <w:ind w:right="0"/>
        <w:jc w:val="both"/>
        <w:rPr>
          <w:rFonts w:ascii="Times New Roman" w:hAnsi="Times New Roman"/>
        </w:rPr>
      </w:pPr>
      <w:r w:rsidRPr="002E3F08">
        <w:rPr>
          <w:rFonts w:ascii="Times New Roman" w:hAnsi="Times New Roman"/>
        </w:rPr>
        <w:tab/>
        <w:t>"Despite sympathy for the governor's position it seems to me that the</w:t>
      </w:r>
      <w:r>
        <w:rPr>
          <w:rFonts w:ascii="Times New Roman" w:hAnsi="Times New Roman"/>
        </w:rPr>
        <w:t> </w:t>
      </w:r>
      <w:r w:rsidRPr="002E3F08">
        <w:rPr>
          <w:rFonts w:ascii="Times New Roman" w:hAnsi="Times New Roman"/>
        </w:rPr>
        <w:t>result is clear. [The applicant] never was lawfully detained [after</w:t>
      </w:r>
      <w:r>
        <w:rPr>
          <w:rFonts w:ascii="Times New Roman" w:hAnsi="Times New Roman"/>
        </w:rPr>
        <w:t> </w:t>
      </w:r>
      <w:r w:rsidRPr="002E3F08">
        <w:rPr>
          <w:rFonts w:ascii="Times New Roman" w:hAnsi="Times New Roman"/>
        </w:rPr>
        <w:t>the</w:t>
      </w:r>
      <w:r>
        <w:rPr>
          <w:rFonts w:ascii="Times New Roman" w:hAnsi="Times New Roman"/>
        </w:rPr>
        <w:t> </w:t>
      </w:r>
      <w:r w:rsidRPr="002E3F08">
        <w:rPr>
          <w:rFonts w:ascii="Times New Roman" w:hAnsi="Times New Roman"/>
        </w:rPr>
        <w:t xml:space="preserve">date on which she should have been released]. </w:t>
      </w:r>
      <w:r w:rsidRPr="002E3F08">
        <w:rPr>
          <w:rFonts w:ascii="Times New Roman" w:hAnsi="Times New Roman"/>
          <w:i/>
          <w:iCs/>
        </w:rPr>
        <w:t>She was merely thought to be lawfully detained</w:t>
      </w:r>
      <w:r w:rsidRPr="002E3F08">
        <w:rPr>
          <w:rFonts w:ascii="Times New Roman" w:hAnsi="Times New Roman"/>
        </w:rPr>
        <w:t>. That is not a sufficient justification for the</w:t>
      </w:r>
      <w:r>
        <w:rPr>
          <w:rFonts w:ascii="Times New Roman" w:hAnsi="Times New Roman"/>
        </w:rPr>
        <w:t> </w:t>
      </w:r>
      <w:r w:rsidRPr="002E3F08">
        <w:rPr>
          <w:rFonts w:ascii="Times New Roman" w:hAnsi="Times New Roman"/>
        </w:rPr>
        <w:t>tort of false imprisonment even if based on rulings of the court."</w:t>
      </w:r>
    </w:p>
    <w:p w14:paraId="22797869" w14:textId="77777777" w:rsidR="009F6ECF" w:rsidRPr="002E3F08" w:rsidRDefault="009F6ECF" w:rsidP="002E3F08">
      <w:pPr>
        <w:pStyle w:val="FixListStyle"/>
        <w:spacing w:after="260" w:line="280" w:lineRule="exact"/>
        <w:ind w:right="0"/>
        <w:jc w:val="both"/>
        <w:rPr>
          <w:rFonts w:ascii="Times New Roman" w:hAnsi="Times New Roman"/>
        </w:rPr>
      </w:pPr>
      <w:bookmarkStart w:id="8" w:name="_Ref213137975"/>
      <w:r w:rsidRPr="002E3F08">
        <w:rPr>
          <w:rFonts w:ascii="Times New Roman" w:hAnsi="Times New Roman"/>
        </w:rPr>
        <w:tab/>
        <w:t>Lord Hope specifically distinguished the case from one in which a "defence</w:t>
      </w:r>
      <w:r>
        <w:rPr>
          <w:rFonts w:ascii="Times New Roman" w:hAnsi="Times New Roman"/>
        </w:rPr>
        <w:t> </w:t>
      </w:r>
      <w:r w:rsidRPr="002E3F08">
        <w:rPr>
          <w:rFonts w:ascii="Times New Roman" w:hAnsi="Times New Roman"/>
        </w:rPr>
        <w:t xml:space="preserve">of justification is advanced on the ground that the alleged tortfeasor was acting within the four corners of a warrant issued which had been issued to him by </w:t>
      </w:r>
      <w:r w:rsidRPr="002E3F08">
        <w:rPr>
          <w:rFonts w:ascii="Times New Roman" w:hAnsi="Times New Roman"/>
        </w:rPr>
        <w:lastRenderedPageBreak/>
        <w:t>the</w:t>
      </w:r>
      <w:r>
        <w:rPr>
          <w:rFonts w:ascii="Times New Roman" w:hAnsi="Times New Roman"/>
        </w:rPr>
        <w:t> </w:t>
      </w:r>
      <w:r w:rsidRPr="002E3F08">
        <w:rPr>
          <w:rFonts w:ascii="Times New Roman" w:hAnsi="Times New Roman"/>
        </w:rPr>
        <w:t xml:space="preserve">court" (in other words, the defence recognised in </w:t>
      </w:r>
      <w:r w:rsidRPr="002E3F08">
        <w:rPr>
          <w:rFonts w:ascii="Times New Roman" w:hAnsi="Times New Roman"/>
          <w:i/>
        </w:rPr>
        <w:t>Stradford</w:t>
      </w:r>
      <w:r w:rsidRPr="002E3F08">
        <w:rPr>
          <w:rFonts w:ascii="Times New Roman" w:hAnsi="Times New Roman"/>
          <w:iCs/>
        </w:rPr>
        <w:t>)</w:t>
      </w:r>
      <w:r w:rsidRPr="002E3F08">
        <w:rPr>
          <w:rFonts w:ascii="Times New Roman" w:hAnsi="Times New Roman"/>
        </w:rPr>
        <w:t>.</w:t>
      </w:r>
      <w:r w:rsidRPr="002E3F08">
        <w:rPr>
          <w:rStyle w:val="FootnoteReference"/>
          <w:rFonts w:ascii="Times New Roman" w:hAnsi="Times New Roman"/>
          <w:sz w:val="24"/>
        </w:rPr>
        <w:footnoteReference w:id="123"/>
      </w:r>
      <w:bookmarkEnd w:id="8"/>
      <w:r w:rsidRPr="002E3F08">
        <w:rPr>
          <w:rFonts w:ascii="Times New Roman" w:hAnsi="Times New Roman"/>
        </w:rPr>
        <w:t xml:space="preserve"> Lord Hope considered that </w:t>
      </w:r>
      <w:r w:rsidRPr="002E3F08">
        <w:rPr>
          <w:rFonts w:ascii="Times New Roman" w:hAnsi="Times New Roman"/>
          <w:i/>
          <w:iCs/>
        </w:rPr>
        <w:t>Percy</w:t>
      </w:r>
      <w:r w:rsidRPr="002E3F08">
        <w:rPr>
          <w:rFonts w:ascii="Times New Roman" w:hAnsi="Times New Roman"/>
        </w:rPr>
        <w:t xml:space="preserve"> was distinguishable on the basis that the constables "were</w:t>
      </w:r>
      <w:r>
        <w:rPr>
          <w:rFonts w:ascii="Times New Roman" w:hAnsi="Times New Roman"/>
        </w:rPr>
        <w:t> </w:t>
      </w:r>
      <w:r w:rsidRPr="002E3F08">
        <w:rPr>
          <w:rFonts w:ascii="Times New Roman" w:hAnsi="Times New Roman"/>
        </w:rPr>
        <w:t>seeking to enforce the byelaws in the reasonable belief that a byelaw offence was being committed".</w:t>
      </w:r>
      <w:r w:rsidRPr="002E3F08">
        <w:rPr>
          <w:rStyle w:val="FootnoteReference"/>
          <w:rFonts w:ascii="Times New Roman" w:hAnsi="Times New Roman"/>
          <w:sz w:val="24"/>
        </w:rPr>
        <w:footnoteReference w:id="124"/>
      </w:r>
      <w:r w:rsidRPr="002E3F08">
        <w:rPr>
          <w:rFonts w:ascii="Times New Roman" w:hAnsi="Times New Roman"/>
        </w:rPr>
        <w:t xml:space="preserve"> The Court of Appeal in </w:t>
      </w:r>
      <w:r w:rsidRPr="002E3F08">
        <w:rPr>
          <w:rFonts w:ascii="Times New Roman" w:hAnsi="Times New Roman"/>
          <w:i/>
          <w:iCs/>
        </w:rPr>
        <w:t>Percy</w:t>
      </w:r>
      <w:r w:rsidRPr="002E3F08">
        <w:rPr>
          <w:rFonts w:ascii="Times New Roman" w:hAnsi="Times New Roman"/>
        </w:rPr>
        <w:t xml:space="preserve"> considered that, in that case, the legislative provision under which the arrests were made offered protection to the constables making an arrest where they honestly (albeit</w:t>
      </w:r>
      <w:r>
        <w:rPr>
          <w:rFonts w:ascii="Times New Roman" w:hAnsi="Times New Roman"/>
        </w:rPr>
        <w:t> </w:t>
      </w:r>
      <w:r w:rsidRPr="002E3F08">
        <w:rPr>
          <w:rFonts w:ascii="Times New Roman" w:hAnsi="Times New Roman"/>
        </w:rPr>
        <w:t>mistakenly) believed on reasonable grounds the person was committing a stipulated offence.</w:t>
      </w:r>
      <w:r w:rsidRPr="002E3F08">
        <w:rPr>
          <w:rStyle w:val="FootnoteReference"/>
          <w:rFonts w:ascii="Times New Roman" w:hAnsi="Times New Roman"/>
          <w:sz w:val="24"/>
        </w:rPr>
        <w:footnoteReference w:id="125"/>
      </w:r>
      <w:r w:rsidRPr="002E3F08">
        <w:rPr>
          <w:rFonts w:ascii="Times New Roman" w:hAnsi="Times New Roman"/>
        </w:rPr>
        <w:t xml:space="preserve"> </w:t>
      </w:r>
    </w:p>
    <w:p w14:paraId="290D0F44"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t xml:space="preserve">For those reasons, </w:t>
      </w:r>
      <w:r w:rsidRPr="002E3F08">
        <w:rPr>
          <w:rFonts w:ascii="Times New Roman" w:hAnsi="Times New Roman"/>
          <w:i/>
          <w:iCs/>
        </w:rPr>
        <w:t>Percy</w:t>
      </w:r>
      <w:r w:rsidRPr="002E3F08">
        <w:rPr>
          <w:rFonts w:ascii="Times New Roman" w:hAnsi="Times New Roman"/>
        </w:rPr>
        <w:t xml:space="preserve"> does not relevantly assist the Commonwealth in this case. The Commonwealth's proposed defence is not concerned with the</w:t>
      </w:r>
      <w:r>
        <w:rPr>
          <w:rFonts w:ascii="Times New Roman" w:hAnsi="Times New Roman"/>
        </w:rPr>
        <w:t> </w:t>
      </w:r>
      <w:r w:rsidRPr="002E3F08">
        <w:rPr>
          <w:rFonts w:ascii="Times New Roman" w:hAnsi="Times New Roman"/>
        </w:rPr>
        <w:t>actions of constables or police officers in making an arrest.</w:t>
      </w:r>
      <w:r w:rsidRPr="002E3F08">
        <w:rPr>
          <w:rStyle w:val="FootnoteReference"/>
          <w:rFonts w:ascii="Times New Roman" w:hAnsi="Times New Roman"/>
          <w:sz w:val="24"/>
        </w:rPr>
        <w:footnoteReference w:id="126"/>
      </w:r>
      <w:r w:rsidRPr="002E3F08">
        <w:rPr>
          <w:rFonts w:ascii="Times New Roman" w:hAnsi="Times New Roman"/>
        </w:rPr>
        <w:t xml:space="preserve"> In any event, there</w:t>
      </w:r>
      <w:r>
        <w:rPr>
          <w:rFonts w:ascii="Times New Roman" w:hAnsi="Times New Roman"/>
        </w:rPr>
        <w:t> </w:t>
      </w:r>
      <w:r w:rsidRPr="002E3F08">
        <w:rPr>
          <w:rFonts w:ascii="Times New Roman" w:hAnsi="Times New Roman"/>
        </w:rPr>
        <w:t xml:space="preserve">is a stronger analogy between this case and the later decision of the House of Lords in </w:t>
      </w:r>
      <w:r w:rsidRPr="002E3F08">
        <w:rPr>
          <w:rFonts w:ascii="Times New Roman" w:hAnsi="Times New Roman"/>
          <w:i/>
          <w:iCs/>
        </w:rPr>
        <w:t>Evans [No 2]</w:t>
      </w:r>
      <w:r w:rsidRPr="002E3F08">
        <w:rPr>
          <w:rFonts w:ascii="Times New Roman" w:hAnsi="Times New Roman"/>
        </w:rPr>
        <w:t>, where the actions of the Executive were founded upon the</w:t>
      </w:r>
      <w:r>
        <w:rPr>
          <w:rFonts w:ascii="Times New Roman" w:hAnsi="Times New Roman"/>
        </w:rPr>
        <w:t> </w:t>
      </w:r>
      <w:r w:rsidRPr="002E3F08">
        <w:rPr>
          <w:rFonts w:ascii="Times New Roman" w:hAnsi="Times New Roman"/>
        </w:rPr>
        <w:t>state of judicial authority that existed at the time.</w:t>
      </w:r>
    </w:p>
    <w:p w14:paraId="750F633D"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t xml:space="preserve">The Commonwealth also referred to two principles in the United States and Canada supporting a form of immunity for </w:t>
      </w:r>
      <w:r>
        <w:rPr>
          <w:rFonts w:ascii="Times New Roman" w:hAnsi="Times New Roman"/>
        </w:rPr>
        <w:t>e</w:t>
      </w:r>
      <w:r w:rsidRPr="002E3F08">
        <w:rPr>
          <w:rFonts w:ascii="Times New Roman" w:hAnsi="Times New Roman"/>
        </w:rPr>
        <w:t>xecutive officers enforcing a law found to be invalid or unconstitutional. First, in the United States a "qualified</w:t>
      </w:r>
      <w:r>
        <w:rPr>
          <w:rFonts w:ascii="Times New Roman" w:hAnsi="Times New Roman"/>
        </w:rPr>
        <w:t> </w:t>
      </w:r>
      <w:r w:rsidRPr="002E3F08">
        <w:rPr>
          <w:rFonts w:ascii="Times New Roman" w:hAnsi="Times New Roman"/>
        </w:rPr>
        <w:t>immunity" protects government officials performing "discretionary</w:t>
      </w:r>
      <w:r>
        <w:rPr>
          <w:rFonts w:ascii="Times New Roman" w:hAnsi="Times New Roman"/>
        </w:rPr>
        <w:t> </w:t>
      </w:r>
      <w:r w:rsidRPr="002E3F08">
        <w:rPr>
          <w:rFonts w:ascii="Times New Roman" w:hAnsi="Times New Roman"/>
        </w:rPr>
        <w:t>functions" from a damages action "insofar as their conduct does not violate clearly established statutory or constitutional rights of which a reasonable person would have known".</w:t>
      </w:r>
      <w:r w:rsidRPr="002E3F08">
        <w:rPr>
          <w:rStyle w:val="FootnoteReference"/>
          <w:rFonts w:ascii="Times New Roman" w:hAnsi="Times New Roman"/>
          <w:sz w:val="24"/>
        </w:rPr>
        <w:footnoteReference w:id="127"/>
      </w:r>
      <w:r w:rsidRPr="002E3F08">
        <w:rPr>
          <w:rFonts w:ascii="Times New Roman" w:hAnsi="Times New Roman"/>
        </w:rPr>
        <w:t xml:space="preserve"> The existence of this immunity can be traced back to </w:t>
      </w:r>
      <w:r w:rsidRPr="002E3F08">
        <w:rPr>
          <w:rFonts w:ascii="Times New Roman" w:hAnsi="Times New Roman"/>
          <w:i/>
          <w:iCs/>
        </w:rPr>
        <w:t>Pierson v Ray</w:t>
      </w:r>
      <w:r w:rsidRPr="002E3F08">
        <w:rPr>
          <w:rFonts w:ascii="Times New Roman" w:hAnsi="Times New Roman"/>
        </w:rPr>
        <w:t>, in</w:t>
      </w:r>
      <w:r>
        <w:rPr>
          <w:rFonts w:ascii="Times New Roman" w:hAnsi="Times New Roman"/>
        </w:rPr>
        <w:t> </w:t>
      </w:r>
      <w:r w:rsidRPr="002E3F08">
        <w:rPr>
          <w:rFonts w:ascii="Times New Roman" w:hAnsi="Times New Roman"/>
        </w:rPr>
        <w:t>which the Supreme Court of the United States suggested that a police officer might be excused from liability for "acting under a statute that he reasonably believed to be valid but that was later held unconstitutional, on its face or as applied".</w:t>
      </w:r>
      <w:r w:rsidRPr="002E3F08">
        <w:rPr>
          <w:rStyle w:val="FootnoteReference"/>
          <w:rFonts w:ascii="Times New Roman" w:hAnsi="Times New Roman"/>
          <w:sz w:val="24"/>
        </w:rPr>
        <w:footnoteReference w:id="128"/>
      </w:r>
      <w:r w:rsidRPr="002E3F08">
        <w:rPr>
          <w:rFonts w:ascii="Times New Roman" w:hAnsi="Times New Roman"/>
        </w:rPr>
        <w:t xml:space="preserve"> As the Court explained, "[a] policeman's lot is not so unhappy that he must choose between being charged with dereliction of duty if he does not arrest when he has probable cause, and being mulcted in damages if he does".</w:t>
      </w:r>
      <w:r w:rsidRPr="002E3F08">
        <w:rPr>
          <w:rStyle w:val="FootnoteReference"/>
          <w:rFonts w:ascii="Times New Roman" w:hAnsi="Times New Roman"/>
          <w:sz w:val="24"/>
        </w:rPr>
        <w:footnoteReference w:id="129"/>
      </w:r>
      <w:r w:rsidRPr="002E3F08">
        <w:rPr>
          <w:rFonts w:ascii="Times New Roman" w:hAnsi="Times New Roman"/>
        </w:rPr>
        <w:t xml:space="preserve"> </w:t>
      </w:r>
    </w:p>
    <w:p w14:paraId="6A5F1C8F"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iCs/>
        </w:rPr>
        <w:lastRenderedPageBreak/>
        <w:tab/>
        <w:t xml:space="preserve">Second, </w:t>
      </w:r>
      <w:r w:rsidRPr="002E3F08">
        <w:rPr>
          <w:rFonts w:ascii="Times New Roman" w:hAnsi="Times New Roman"/>
        </w:rPr>
        <w:t>in Canada, there is a principle of public law to the effect that "absent conduct that is clearly wrong, in bad faith or an abuse of power, the courts will not award damages for the harm suffered as a result of the mere enactment or application of a law that is subsequently declared to be unconstitutional".</w:t>
      </w:r>
      <w:r w:rsidRPr="002E3F08">
        <w:rPr>
          <w:rStyle w:val="FootnoteReference"/>
          <w:rFonts w:ascii="Times New Roman" w:hAnsi="Times New Roman"/>
          <w:sz w:val="24"/>
        </w:rPr>
        <w:footnoteReference w:id="130"/>
      </w:r>
      <w:r w:rsidRPr="002E3F08">
        <w:rPr>
          <w:rFonts w:ascii="Times New Roman" w:hAnsi="Times New Roman"/>
        </w:rPr>
        <w:t xml:space="preserve"> The</w:t>
      </w:r>
      <w:r>
        <w:rPr>
          <w:rFonts w:ascii="Times New Roman" w:hAnsi="Times New Roman"/>
        </w:rPr>
        <w:t> </w:t>
      </w:r>
      <w:r w:rsidRPr="002E3F08">
        <w:rPr>
          <w:rFonts w:ascii="Times New Roman" w:hAnsi="Times New Roman"/>
        </w:rPr>
        <w:t xml:space="preserve">principle applies to civil law liability as well as liability under the </w:t>
      </w:r>
      <w:r w:rsidRPr="002E3F08">
        <w:rPr>
          <w:rFonts w:ascii="Times New Roman" w:hAnsi="Times New Roman"/>
          <w:i/>
          <w:iCs/>
        </w:rPr>
        <w:t>Canadian Charter of Rights and Freedoms</w:t>
      </w:r>
      <w:r w:rsidRPr="002E3F08">
        <w:rPr>
          <w:rFonts w:ascii="Times New Roman" w:hAnsi="Times New Roman"/>
        </w:rPr>
        <w:t>.</w:t>
      </w:r>
      <w:r w:rsidRPr="002E3F08">
        <w:rPr>
          <w:rStyle w:val="FootnoteReference"/>
          <w:rFonts w:ascii="Times New Roman" w:hAnsi="Times New Roman"/>
          <w:sz w:val="24"/>
        </w:rPr>
        <w:footnoteReference w:id="131"/>
      </w:r>
      <w:r w:rsidRPr="002E3F08">
        <w:rPr>
          <w:rFonts w:ascii="Times New Roman" w:hAnsi="Times New Roman"/>
        </w:rPr>
        <w:t xml:space="preserve"> The Commonwealth referred to </w:t>
      </w:r>
      <w:r w:rsidRPr="002E3F08">
        <w:rPr>
          <w:rFonts w:ascii="Times New Roman" w:hAnsi="Times New Roman"/>
          <w:i/>
          <w:iCs/>
        </w:rPr>
        <w:t>Guimond v Quebec (Attorney General)</w:t>
      </w:r>
      <w:r w:rsidRPr="002E3F08">
        <w:rPr>
          <w:rFonts w:ascii="Times New Roman" w:hAnsi="Times New Roman"/>
        </w:rPr>
        <w:t xml:space="preserve">, in which the respondent had been imprisoned for default of payment of fines. He spent 49 days in prison and, upon his release, sought to claim damages both at common law and under the </w:t>
      </w:r>
      <w:r w:rsidRPr="002E3F08">
        <w:rPr>
          <w:rFonts w:ascii="Times New Roman" w:hAnsi="Times New Roman"/>
          <w:i/>
          <w:iCs/>
        </w:rPr>
        <w:t>Charter</w:t>
      </w:r>
      <w:r w:rsidRPr="002E3F08">
        <w:rPr>
          <w:rFonts w:ascii="Times New Roman" w:hAnsi="Times New Roman"/>
        </w:rPr>
        <w:t xml:space="preserve"> for what he alleged was the constitutional invalidity of his detention. The Court considered the</w:t>
      </w:r>
      <w:r>
        <w:rPr>
          <w:rFonts w:ascii="Times New Roman" w:hAnsi="Times New Roman"/>
        </w:rPr>
        <w:t> </w:t>
      </w:r>
      <w:r w:rsidRPr="002E3F08">
        <w:rPr>
          <w:rFonts w:ascii="Times New Roman" w:hAnsi="Times New Roman"/>
        </w:rPr>
        <w:t>facts did not warrant a departure from the "general rule".</w:t>
      </w:r>
      <w:r w:rsidRPr="002E3F08">
        <w:rPr>
          <w:rStyle w:val="FootnoteReference"/>
          <w:rFonts w:ascii="Times New Roman" w:hAnsi="Times New Roman"/>
          <w:sz w:val="24"/>
        </w:rPr>
        <w:footnoteReference w:id="132"/>
      </w:r>
      <w:r w:rsidRPr="002E3F08">
        <w:rPr>
          <w:rFonts w:ascii="Times New Roman" w:hAnsi="Times New Roman"/>
        </w:rPr>
        <w:t xml:space="preserve"> </w:t>
      </w:r>
    </w:p>
    <w:p w14:paraId="5DD78E76" w14:textId="77777777" w:rsidR="009F6ECF" w:rsidRPr="002E3F08" w:rsidRDefault="009F6ECF" w:rsidP="002E3F08">
      <w:pPr>
        <w:pStyle w:val="FixListStyle"/>
        <w:spacing w:after="260" w:line="280" w:lineRule="exact"/>
        <w:ind w:right="0"/>
        <w:jc w:val="both"/>
        <w:rPr>
          <w:rFonts w:ascii="Times New Roman" w:hAnsi="Times New Roman"/>
        </w:rPr>
      </w:pPr>
      <w:r w:rsidRPr="002E3F08">
        <w:rPr>
          <w:rFonts w:ascii="Times New Roman" w:hAnsi="Times New Roman"/>
        </w:rPr>
        <w:tab/>
        <w:t>As the Commonwealth acknowledged, the defences or immunities existing in the United States and Canada are in a much wider form than the "confined" defence contended for by the Commonwealth. Recognition of a wide defence to government liability for acts performed in reliance upon an unconstitutional or invalid statute is not a step that should be taken in this country. It is contrary to both principle and authority. It suffices to acknowledge that the doctrines in the</w:t>
      </w:r>
      <w:r>
        <w:rPr>
          <w:rFonts w:ascii="Times New Roman" w:hAnsi="Times New Roman"/>
        </w:rPr>
        <w:t> </w:t>
      </w:r>
      <w:r w:rsidRPr="002E3F08">
        <w:rPr>
          <w:rFonts w:ascii="Times New Roman" w:hAnsi="Times New Roman"/>
        </w:rPr>
        <w:t>United States and Canada are founded upon their respective and different legal</w:t>
      </w:r>
      <w:r w:rsidRPr="002E3F08">
        <w:rPr>
          <w:rStyle w:val="FootnoteReference"/>
          <w:rFonts w:ascii="Times New Roman" w:hAnsi="Times New Roman"/>
          <w:sz w:val="24"/>
        </w:rPr>
        <w:footnoteReference w:id="133"/>
      </w:r>
      <w:r w:rsidRPr="002E3F08">
        <w:rPr>
          <w:rFonts w:ascii="Times New Roman" w:hAnsi="Times New Roman"/>
        </w:rPr>
        <w:t xml:space="preserve"> and constitutional contexts</w:t>
      </w:r>
      <w:r w:rsidRPr="002E3F08">
        <w:rPr>
          <w:rStyle w:val="FootnoteReference"/>
          <w:rFonts w:ascii="Times New Roman" w:hAnsi="Times New Roman"/>
          <w:sz w:val="24"/>
        </w:rPr>
        <w:footnoteReference w:id="134"/>
      </w:r>
      <w:r w:rsidRPr="002E3F08">
        <w:rPr>
          <w:rFonts w:ascii="Times New Roman" w:hAnsi="Times New Roman"/>
        </w:rPr>
        <w:t xml:space="preserve"> and need not be adopted here. </w:t>
      </w:r>
    </w:p>
    <w:p w14:paraId="31813004" w14:textId="77777777" w:rsidR="009F6ECF" w:rsidRPr="002E3F08" w:rsidRDefault="009F6ECF" w:rsidP="002E3F08">
      <w:pPr>
        <w:pStyle w:val="HeadingL1"/>
        <w:spacing w:after="260" w:line="280" w:lineRule="exact"/>
        <w:ind w:right="0"/>
        <w:jc w:val="both"/>
        <w:rPr>
          <w:rFonts w:ascii="Times New Roman" w:hAnsi="Times New Roman"/>
        </w:rPr>
      </w:pPr>
      <w:r w:rsidRPr="002E3F08">
        <w:rPr>
          <w:rFonts w:ascii="Times New Roman" w:hAnsi="Times New Roman"/>
        </w:rPr>
        <w:lastRenderedPageBreak/>
        <w:t>Conclusion</w:t>
      </w:r>
    </w:p>
    <w:p w14:paraId="441BD98D" w14:textId="77777777" w:rsidR="009F6ECF" w:rsidRPr="002E3F08" w:rsidRDefault="009F6ECF" w:rsidP="00857A0F">
      <w:pPr>
        <w:pStyle w:val="FixListStyle"/>
        <w:keepNext/>
        <w:spacing w:after="260" w:line="280" w:lineRule="exact"/>
        <w:ind w:right="0"/>
        <w:jc w:val="both"/>
        <w:rPr>
          <w:rFonts w:ascii="Times New Roman" w:hAnsi="Times New Roman"/>
        </w:rPr>
      </w:pPr>
      <w:r w:rsidRPr="002E3F08">
        <w:rPr>
          <w:rFonts w:ascii="Times New Roman" w:hAnsi="Times New Roman"/>
        </w:rPr>
        <w:tab/>
        <w:t xml:space="preserve">The question of law stated for the opinion of the Court should be answered as follows: </w:t>
      </w:r>
    </w:p>
    <w:p w14:paraId="7B75D6BA" w14:textId="77777777" w:rsidR="009F6ECF" w:rsidRPr="002E3F08" w:rsidRDefault="009F6ECF" w:rsidP="002E3F08">
      <w:pPr>
        <w:pStyle w:val="leftright"/>
        <w:keepNext/>
        <w:spacing w:before="0" w:after="260" w:line="280" w:lineRule="exact"/>
        <w:ind w:right="0"/>
        <w:jc w:val="both"/>
        <w:rPr>
          <w:rFonts w:ascii="Times New Roman" w:hAnsi="Times New Roman"/>
        </w:rPr>
      </w:pPr>
      <w:r w:rsidRPr="002E3F08">
        <w:rPr>
          <w:rFonts w:ascii="Times New Roman" w:hAnsi="Times New Roman"/>
        </w:rPr>
        <w:t>Do the Commonwealth and its officers have a defence to liability for the</w:t>
      </w:r>
      <w:r>
        <w:rPr>
          <w:rFonts w:ascii="Times New Roman" w:hAnsi="Times New Roman"/>
        </w:rPr>
        <w:t> </w:t>
      </w:r>
      <w:r w:rsidRPr="002E3F08">
        <w:rPr>
          <w:rFonts w:ascii="Times New Roman" w:hAnsi="Times New Roman"/>
        </w:rPr>
        <w:t>tort of false imprisonment with respect to the immigration detention of the</w:t>
      </w:r>
      <w:r>
        <w:rPr>
          <w:rFonts w:ascii="Times New Roman" w:hAnsi="Times New Roman"/>
        </w:rPr>
        <w:t> </w:t>
      </w:r>
      <w:r w:rsidRPr="002E3F08">
        <w:rPr>
          <w:rFonts w:ascii="Times New Roman" w:hAnsi="Times New Roman"/>
        </w:rPr>
        <w:t>plaintiff in the period between 28 July 2022 and 8 November 2023?</w:t>
      </w:r>
    </w:p>
    <w:p w14:paraId="7B878F5B" w14:textId="4F56872C" w:rsidR="009F6ECF" w:rsidRDefault="009F6ECF" w:rsidP="009F6ECF">
      <w:pPr>
        <w:pStyle w:val="leftright"/>
        <w:spacing w:before="0" w:after="260" w:line="280" w:lineRule="exact"/>
        <w:ind w:right="0"/>
        <w:jc w:val="both"/>
        <w:rPr>
          <w:rFonts w:ascii="Times New Roman" w:hAnsi="Times New Roman"/>
        </w:rPr>
      </w:pPr>
      <w:r w:rsidRPr="002E3F08">
        <w:rPr>
          <w:rFonts w:ascii="Times New Roman" w:hAnsi="Times New Roman"/>
        </w:rPr>
        <w:t>Answer:</w:t>
      </w:r>
      <w:r w:rsidRPr="002E3F08">
        <w:rPr>
          <w:rFonts w:ascii="Times New Roman" w:hAnsi="Times New Roman"/>
        </w:rPr>
        <w:tab/>
        <w:t>No.</w:t>
      </w:r>
    </w:p>
    <w:p w14:paraId="1A938BC6" w14:textId="77777777" w:rsidR="009F6ECF" w:rsidRDefault="009F6ECF" w:rsidP="007225C9">
      <w:pPr>
        <w:pStyle w:val="FixListStyle"/>
        <w:spacing w:after="260" w:line="280" w:lineRule="exact"/>
        <w:ind w:right="0"/>
        <w:jc w:val="both"/>
        <w:rPr>
          <w:rFonts w:ascii="Times New Roman" w:hAnsi="Times New Roman"/>
        </w:rPr>
        <w:sectPr w:rsidR="009F6ECF" w:rsidSect="009F6ECF">
          <w:headerReference w:type="even" r:id="rId23"/>
          <w:headerReference w:type="default" r:id="rId24"/>
          <w:headerReference w:type="first" r:id="rId25"/>
          <w:pgSz w:w="11907" w:h="16839" w:code="9"/>
          <w:pgMar w:top="1440" w:right="1701" w:bottom="1984" w:left="1701" w:header="720" w:footer="720" w:gutter="0"/>
          <w:cols w:space="720"/>
          <w:docGrid w:linePitch="354"/>
        </w:sectPr>
      </w:pPr>
    </w:p>
    <w:p w14:paraId="4544BBEF" w14:textId="77777777" w:rsidR="009F6ECF" w:rsidRPr="00CA4331" w:rsidRDefault="009F6ECF" w:rsidP="00CA4331">
      <w:pPr>
        <w:pStyle w:val="NormalBody"/>
        <w:tabs>
          <w:tab w:val="clear" w:pos="720"/>
          <w:tab w:val="left" w:pos="0"/>
        </w:tabs>
        <w:spacing w:after="260" w:line="280" w:lineRule="exact"/>
        <w:ind w:right="0"/>
        <w:jc w:val="both"/>
        <w:rPr>
          <w:rFonts w:ascii="Times New Roman" w:hAnsi="Times New Roman"/>
        </w:rPr>
      </w:pPr>
      <w:r w:rsidRPr="00CA4331">
        <w:rPr>
          <w:rFonts w:ascii="Times New Roman" w:hAnsi="Times New Roman"/>
        </w:rPr>
        <w:lastRenderedPageBreak/>
        <w:t xml:space="preserve">EDELMAN J.   </w:t>
      </w:r>
    </w:p>
    <w:p w14:paraId="78EA8967" w14:textId="77777777" w:rsidR="009F6ECF" w:rsidRPr="00CA4331" w:rsidRDefault="009F6ECF" w:rsidP="00CA4331">
      <w:pPr>
        <w:pStyle w:val="HeadingL1"/>
        <w:spacing w:after="260" w:line="280" w:lineRule="exact"/>
        <w:ind w:right="0"/>
        <w:jc w:val="both"/>
        <w:rPr>
          <w:rFonts w:ascii="Times New Roman" w:hAnsi="Times New Roman"/>
        </w:rPr>
      </w:pPr>
      <w:r w:rsidRPr="00CA4331">
        <w:rPr>
          <w:rFonts w:ascii="Times New Roman" w:hAnsi="Times New Roman"/>
        </w:rPr>
        <w:t>Introduction: a new immunity from liability for false imprisonment for the Executive and body politic?</w:t>
      </w:r>
    </w:p>
    <w:p w14:paraId="58A61C7E"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 xml:space="preserve">During the relevant period in 2022 and 2023, an officer of the Commonwealth Executive detained Mr Abdel-Hady. The officer did so consistently with what had been held by this Court in </w:t>
      </w:r>
      <w:r w:rsidRPr="00CA4331">
        <w:rPr>
          <w:rFonts w:ascii="Times New Roman" w:hAnsi="Times New Roman"/>
          <w:i/>
          <w:iCs/>
        </w:rPr>
        <w:t>Al-Kateb v Godwin</w:t>
      </w:r>
      <w:r w:rsidRPr="00CA4331">
        <w:rPr>
          <w:rStyle w:val="FootnoteReference"/>
          <w:rFonts w:ascii="Times New Roman" w:hAnsi="Times New Roman"/>
          <w:sz w:val="24"/>
        </w:rPr>
        <w:footnoteReference w:id="135"/>
      </w:r>
      <w:r w:rsidRPr="00CA4331">
        <w:rPr>
          <w:rFonts w:ascii="Times New Roman" w:hAnsi="Times New Roman"/>
          <w:i/>
          <w:iCs/>
        </w:rPr>
        <w:t xml:space="preserve"> </w:t>
      </w:r>
      <w:r w:rsidRPr="00CA4331">
        <w:rPr>
          <w:rFonts w:ascii="Times New Roman" w:hAnsi="Times New Roman"/>
        </w:rPr>
        <w:t xml:space="preserve">to be the meaning and required application of provisions of the </w:t>
      </w:r>
      <w:r w:rsidRPr="00CA4331">
        <w:rPr>
          <w:rFonts w:ascii="Times New Roman" w:hAnsi="Times New Roman"/>
          <w:i/>
          <w:iCs/>
        </w:rPr>
        <w:t>Migration Act 195</w:t>
      </w:r>
      <w:r w:rsidRPr="00CA4331">
        <w:rPr>
          <w:rFonts w:ascii="Times New Roman" w:hAnsi="Times New Roman"/>
          <w:i/>
        </w:rPr>
        <w:t>8</w:t>
      </w:r>
      <w:r w:rsidRPr="00CA4331">
        <w:rPr>
          <w:rFonts w:ascii="Times New Roman" w:hAnsi="Times New Roman"/>
          <w:i/>
          <w:iCs/>
        </w:rPr>
        <w:t xml:space="preserve"> </w:t>
      </w:r>
      <w:r w:rsidRPr="00CA4331">
        <w:rPr>
          <w:rFonts w:ascii="Times New Roman" w:hAnsi="Times New Roman"/>
        </w:rPr>
        <w:t>(</w:t>
      </w:r>
      <w:proofErr w:type="spellStart"/>
      <w:r w:rsidRPr="00CA4331">
        <w:rPr>
          <w:rFonts w:ascii="Times New Roman" w:hAnsi="Times New Roman"/>
        </w:rPr>
        <w:t>Cth</w:t>
      </w:r>
      <w:proofErr w:type="spellEnd"/>
      <w:r w:rsidRPr="00CA4331">
        <w:rPr>
          <w:rFonts w:ascii="Times New Roman" w:hAnsi="Times New Roman"/>
        </w:rPr>
        <w:t>).</w:t>
      </w:r>
      <w:r w:rsidRPr="00CA4331">
        <w:rPr>
          <w:rStyle w:val="FootnoteReference"/>
          <w:rFonts w:ascii="Times New Roman" w:hAnsi="Times New Roman"/>
          <w:sz w:val="24"/>
        </w:rPr>
        <w:footnoteReference w:id="136"/>
      </w:r>
      <w:r w:rsidRPr="00CA4331">
        <w:rPr>
          <w:rFonts w:ascii="Times New Roman" w:hAnsi="Times New Roman"/>
        </w:rPr>
        <w:t xml:space="preserve"> In November 2023, in </w:t>
      </w:r>
      <w:r w:rsidRPr="00CA4331">
        <w:rPr>
          <w:rFonts w:ascii="Times New Roman" w:hAnsi="Times New Roman"/>
          <w:i/>
          <w:iCs/>
        </w:rPr>
        <w:t>NZYQ v Minister for Immigration, Citizenship and Multicultural Affairs</w:t>
      </w:r>
      <w:r w:rsidRPr="00CA4331">
        <w:rPr>
          <w:rFonts w:ascii="Times New Roman" w:hAnsi="Times New Roman"/>
        </w:rPr>
        <w:t>,</w:t>
      </w:r>
      <w:r w:rsidRPr="00CA4331">
        <w:rPr>
          <w:rStyle w:val="FootnoteReference"/>
          <w:rFonts w:ascii="Times New Roman" w:hAnsi="Times New Roman"/>
          <w:sz w:val="24"/>
        </w:rPr>
        <w:footnoteReference w:id="137"/>
      </w:r>
      <w:r w:rsidRPr="00CA4331">
        <w:rPr>
          <w:rFonts w:ascii="Times New Roman" w:hAnsi="Times New Roman"/>
          <w:i/>
          <w:iCs/>
        </w:rPr>
        <w:t xml:space="preserve"> </w:t>
      </w:r>
      <w:r w:rsidRPr="00CA4331">
        <w:rPr>
          <w:rFonts w:ascii="Times New Roman" w:hAnsi="Times New Roman"/>
        </w:rPr>
        <w:t xml:space="preserve">this Court overturned the decision in </w:t>
      </w:r>
      <w:r w:rsidRPr="00CA4331">
        <w:rPr>
          <w:rFonts w:ascii="Times New Roman" w:hAnsi="Times New Roman"/>
          <w:i/>
          <w:iCs/>
        </w:rPr>
        <w:t xml:space="preserve">Al-Kateb </w:t>
      </w:r>
      <w:r w:rsidRPr="00CA4331">
        <w:rPr>
          <w:rFonts w:ascii="Times New Roman" w:hAnsi="Times New Roman"/>
        </w:rPr>
        <w:t xml:space="preserve">and held that the provisions of the </w:t>
      </w:r>
      <w:r w:rsidRPr="00CA4331">
        <w:rPr>
          <w:rFonts w:ascii="Times New Roman" w:hAnsi="Times New Roman"/>
          <w:i/>
          <w:iCs/>
        </w:rPr>
        <w:t xml:space="preserve">Migration Act </w:t>
      </w:r>
      <w:r w:rsidRPr="00CA4331">
        <w:rPr>
          <w:rFonts w:ascii="Times New Roman" w:hAnsi="Times New Roman"/>
        </w:rPr>
        <w:t xml:space="preserve">did not validly authorise officers to detain people in the position of Mr Abdel-Hady. The consequence of the decision in </w:t>
      </w:r>
      <w:r w:rsidRPr="00CA4331">
        <w:rPr>
          <w:rFonts w:ascii="Times New Roman" w:hAnsi="Times New Roman"/>
          <w:i/>
          <w:iCs/>
        </w:rPr>
        <w:t xml:space="preserve">NZYQ </w:t>
      </w:r>
      <w:r w:rsidRPr="00CA4331">
        <w:rPr>
          <w:rFonts w:ascii="Times New Roman" w:hAnsi="Times New Roman"/>
        </w:rPr>
        <w:t xml:space="preserve">is that the relevant provisions of the </w:t>
      </w:r>
      <w:r w:rsidRPr="00CA4331">
        <w:rPr>
          <w:rFonts w:ascii="Times New Roman" w:hAnsi="Times New Roman"/>
          <w:i/>
          <w:iCs/>
        </w:rPr>
        <w:t xml:space="preserve">Migration Act </w:t>
      </w:r>
      <w:r w:rsidRPr="00CA4331">
        <w:rPr>
          <w:rFonts w:ascii="Times New Roman" w:hAnsi="Times New Roman"/>
        </w:rPr>
        <w:t>were disapplied to the extent that they purported to authorise the detention of persons such as Mr</w:t>
      </w:r>
      <w:r>
        <w:rPr>
          <w:rFonts w:ascii="Times New Roman" w:hAnsi="Times New Roman"/>
        </w:rPr>
        <w:t> </w:t>
      </w:r>
      <w:r w:rsidRPr="00CA4331">
        <w:rPr>
          <w:rFonts w:ascii="Times New Roman" w:hAnsi="Times New Roman"/>
        </w:rPr>
        <w:t>Abdel</w:t>
      </w:r>
      <w:r>
        <w:rPr>
          <w:rFonts w:ascii="Times New Roman" w:hAnsi="Times New Roman"/>
        </w:rPr>
        <w:noBreakHyphen/>
      </w:r>
      <w:r w:rsidRPr="00CA4331">
        <w:rPr>
          <w:rFonts w:ascii="Times New Roman" w:hAnsi="Times New Roman"/>
        </w:rPr>
        <w:t>Hady.</w:t>
      </w:r>
    </w:p>
    <w:p w14:paraId="779FF326"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This special case is concerned with Mr Abdel-Hady's claim of false imprisonment. The tort of false imprisonment is a tort of strict liability. Liability is imposed, subject to defences, for a person's action which intentionally deprives another of their liberty no matter how honest the person's belief in their entitlement to act and no matter how reasonable the action.</w:t>
      </w:r>
      <w:r w:rsidRPr="00CA4331">
        <w:rPr>
          <w:rStyle w:val="FootnoteReference"/>
          <w:rFonts w:ascii="Times New Roman" w:hAnsi="Times New Roman"/>
          <w:sz w:val="24"/>
        </w:rPr>
        <w:footnoteReference w:id="138"/>
      </w:r>
      <w:r w:rsidRPr="00CA4331">
        <w:rPr>
          <w:rFonts w:ascii="Times New Roman" w:hAnsi="Times New Roman"/>
        </w:rPr>
        <w:t xml:space="preserve"> The effect of the decision in </w:t>
      </w:r>
      <w:r w:rsidRPr="00CA4331">
        <w:rPr>
          <w:rFonts w:ascii="Times New Roman" w:hAnsi="Times New Roman"/>
          <w:i/>
          <w:iCs/>
        </w:rPr>
        <w:t>NZYQ</w:t>
      </w:r>
      <w:r w:rsidRPr="00CA4331">
        <w:rPr>
          <w:rFonts w:ascii="Times New Roman" w:hAnsi="Times New Roman"/>
        </w:rPr>
        <w:t xml:space="preserve"> is that there can be no justification defence to the tort of false imprisonment of Mr</w:t>
      </w:r>
      <w:r>
        <w:rPr>
          <w:rFonts w:ascii="Times New Roman" w:hAnsi="Times New Roman"/>
        </w:rPr>
        <w:t> </w:t>
      </w:r>
      <w:r w:rsidRPr="00CA4331">
        <w:rPr>
          <w:rFonts w:ascii="Times New Roman" w:hAnsi="Times New Roman"/>
        </w:rPr>
        <w:t xml:space="preserve">Abdel-Hady based on statutory authority from ss 189(1) and 196(1) of the </w:t>
      </w:r>
      <w:r w:rsidRPr="00CA4331">
        <w:rPr>
          <w:rFonts w:ascii="Times New Roman" w:hAnsi="Times New Roman"/>
          <w:i/>
          <w:iCs/>
        </w:rPr>
        <w:t>Migration Act</w:t>
      </w:r>
      <w:r w:rsidRPr="00CA4331">
        <w:rPr>
          <w:rFonts w:ascii="Times New Roman" w:hAnsi="Times New Roman"/>
        </w:rPr>
        <w:t xml:space="preserve">. It is properly common ground that the decision in </w:t>
      </w:r>
      <w:r w:rsidRPr="00CA4331">
        <w:rPr>
          <w:rFonts w:ascii="Times New Roman" w:hAnsi="Times New Roman"/>
          <w:i/>
          <w:iCs/>
        </w:rPr>
        <w:t xml:space="preserve">NZYQ </w:t>
      </w:r>
      <w:r w:rsidRPr="00CA4331">
        <w:rPr>
          <w:rFonts w:ascii="Times New Roman" w:hAnsi="Times New Roman"/>
        </w:rPr>
        <w:t>has retroactive effect.</w:t>
      </w:r>
    </w:p>
    <w:p w14:paraId="4E3FEFCA"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The essential issue in this special case concerns a novel proposed defence to false imprisonment raised by the officer, and the Commonwealth of Australia as a body politic (in short, "the Commonwealth"). That proposed new defence is in the nature of an immunity from liability for false imprisonment for the officer and the Commonwealth based on the fact that the officer's action, whether known to them or not and whether in good faith or not, was consistent with the reasoning, which was still authoritative at the time of Mr Abdel</w:t>
      </w:r>
      <w:r>
        <w:rPr>
          <w:rFonts w:ascii="Times New Roman" w:hAnsi="Times New Roman"/>
        </w:rPr>
        <w:t>-</w:t>
      </w:r>
      <w:r w:rsidRPr="00CA4331">
        <w:rPr>
          <w:rFonts w:ascii="Times New Roman" w:hAnsi="Times New Roman"/>
        </w:rPr>
        <w:t xml:space="preserve">Hady's detention, of a majority of this Court in </w:t>
      </w:r>
      <w:r w:rsidRPr="00CA4331">
        <w:rPr>
          <w:rFonts w:ascii="Times New Roman" w:hAnsi="Times New Roman"/>
          <w:i/>
          <w:iCs/>
        </w:rPr>
        <w:t>Al-Kateb</w:t>
      </w:r>
      <w:r w:rsidRPr="00CA4331">
        <w:rPr>
          <w:rFonts w:ascii="Times New Roman" w:hAnsi="Times New Roman"/>
        </w:rPr>
        <w:t>.</w:t>
      </w:r>
    </w:p>
    <w:p w14:paraId="05DF034F"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 xml:space="preserve">It has been cogently observed of immunities as public policy defences that they can be "particularly odious since they are liable to create the impression that </w:t>
      </w:r>
      <w:r w:rsidRPr="00CA4331">
        <w:rPr>
          <w:rFonts w:ascii="Times New Roman" w:hAnsi="Times New Roman"/>
        </w:rPr>
        <w:lastRenderedPageBreak/>
        <w:t>the law is guilty of favouritism" and that "a defendant who asks the courts to forge a new public policy defence or extend the reach of an existing one will generally be fighting an uphill battle".</w:t>
      </w:r>
      <w:r w:rsidRPr="00CA4331">
        <w:rPr>
          <w:rStyle w:val="FootnoteReference"/>
          <w:rFonts w:ascii="Times New Roman" w:hAnsi="Times New Roman"/>
          <w:sz w:val="24"/>
        </w:rPr>
        <w:footnoteReference w:id="139"/>
      </w:r>
      <w:r w:rsidRPr="00CA4331">
        <w:rPr>
          <w:rFonts w:ascii="Times New Roman" w:hAnsi="Times New Roman"/>
        </w:rPr>
        <w:t xml:space="preserve"> The recognition in this case of such a novel immunity would result in different treatment of the Commonwealth and officers of the Executive on the one hand and all other persons on the other. The former would be immune from liability for false imprisonment if acting upon a mistaken understanding of the </w:t>
      </w:r>
      <w:proofErr w:type="gramStart"/>
      <w:r w:rsidRPr="00CA4331">
        <w:rPr>
          <w:rFonts w:ascii="Times New Roman" w:hAnsi="Times New Roman"/>
        </w:rPr>
        <w:t>law</w:t>
      </w:r>
      <w:proofErr w:type="gramEnd"/>
      <w:r w:rsidRPr="00CA4331">
        <w:rPr>
          <w:rFonts w:ascii="Times New Roman" w:hAnsi="Times New Roman"/>
        </w:rPr>
        <w:t xml:space="preserve"> but the latter would not. That different treatment would be inconsistent with the </w:t>
      </w:r>
      <w:proofErr w:type="spellStart"/>
      <w:r w:rsidRPr="00CA4331">
        <w:rPr>
          <w:rFonts w:ascii="Times New Roman" w:hAnsi="Times New Roman"/>
        </w:rPr>
        <w:t>Diceyan</w:t>
      </w:r>
      <w:proofErr w:type="spellEnd"/>
      <w:r w:rsidRPr="00CA4331">
        <w:rPr>
          <w:rFonts w:ascii="Times New Roman" w:hAnsi="Times New Roman"/>
        </w:rPr>
        <w:t xml:space="preserve"> principle of legal equality of all persons under the law. All persons are required to comply with the law in its proper application to their conduct as well as with orders and commands of the courts. Absent statutory authority to do so, there is no basis in these circumstances to treat the Commonwealth or officers of the Executive any differently from other people by conferring a special immunity upon the Commonwealth or officers of the</w:t>
      </w:r>
      <w:r>
        <w:rPr>
          <w:rFonts w:ascii="Times New Roman" w:hAnsi="Times New Roman"/>
        </w:rPr>
        <w:t> </w:t>
      </w:r>
      <w:r w:rsidRPr="00CA4331">
        <w:rPr>
          <w:rFonts w:ascii="Times New Roman" w:hAnsi="Times New Roman"/>
        </w:rPr>
        <w:t>Executive to infringe the liberty of others.</w:t>
      </w:r>
    </w:p>
    <w:p w14:paraId="578EA8E4"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 xml:space="preserve">The detaining officer was not a party to, or the privy of a party to, the decision in </w:t>
      </w:r>
      <w:r w:rsidRPr="00CA4331">
        <w:rPr>
          <w:rFonts w:ascii="Times New Roman" w:hAnsi="Times New Roman"/>
          <w:i/>
          <w:iCs/>
        </w:rPr>
        <w:t>Al-Kateb</w:t>
      </w:r>
      <w:r w:rsidRPr="00CA4331">
        <w:rPr>
          <w:rFonts w:ascii="Times New Roman" w:hAnsi="Times New Roman"/>
        </w:rPr>
        <w:t>. It has been recognised for centuries that, as precedents for similar cases, decisions on the common law or on the interpretation or valid application of legislation establish norms from which non-parties can ascertain the law that applies to their circumstances.</w:t>
      </w:r>
      <w:r w:rsidRPr="00CA4331">
        <w:rPr>
          <w:rStyle w:val="FootnoteReference"/>
          <w:rFonts w:ascii="Times New Roman" w:hAnsi="Times New Roman"/>
          <w:sz w:val="24"/>
        </w:rPr>
        <w:footnoteReference w:id="140"/>
      </w:r>
      <w:r w:rsidRPr="00CA4331">
        <w:rPr>
          <w:rFonts w:ascii="Times New Roman" w:hAnsi="Times New Roman"/>
        </w:rPr>
        <w:t xml:space="preserve"> Using the language of "evidence" to describe the norms created by judicial decisions, Blackstone said that "it sometimes may happen that the judge may </w:t>
      </w:r>
      <w:r w:rsidRPr="00CA4331">
        <w:rPr>
          <w:rFonts w:ascii="Times New Roman" w:hAnsi="Times New Roman"/>
          <w:i/>
          <w:iCs/>
        </w:rPr>
        <w:t xml:space="preserve">mistake </w:t>
      </w:r>
      <w:r w:rsidRPr="00CA4331">
        <w:rPr>
          <w:rFonts w:ascii="Times New Roman" w:hAnsi="Times New Roman"/>
        </w:rPr>
        <w:t>the law ... the decisions of courts of justice are the evidence of what is common law".</w:t>
      </w:r>
      <w:r w:rsidRPr="00CA4331">
        <w:rPr>
          <w:rStyle w:val="FootnoteReference"/>
          <w:rFonts w:ascii="Times New Roman" w:hAnsi="Times New Roman"/>
          <w:sz w:val="24"/>
        </w:rPr>
        <w:footnoteReference w:id="141"/>
      </w:r>
      <w:r w:rsidRPr="00CA4331">
        <w:rPr>
          <w:rFonts w:ascii="Times New Roman" w:hAnsi="Times New Roman"/>
        </w:rPr>
        <w:t xml:space="preserve"> Or, as Lord Mansfield expressed the point, "precedent, though it be evidence of law, is not law in itself; much less the whole of the law".</w:t>
      </w:r>
      <w:r w:rsidRPr="00CA4331">
        <w:rPr>
          <w:rStyle w:val="FootnoteReference"/>
          <w:rFonts w:ascii="Times New Roman" w:hAnsi="Times New Roman"/>
          <w:sz w:val="24"/>
        </w:rPr>
        <w:footnoteReference w:id="142"/>
      </w:r>
      <w:r w:rsidRPr="00CA4331">
        <w:rPr>
          <w:rFonts w:ascii="Times New Roman" w:hAnsi="Times New Roman"/>
        </w:rPr>
        <w:t xml:space="preserve"> In the case of the reasoning in </w:t>
      </w:r>
      <w:r w:rsidRPr="00CA4331">
        <w:rPr>
          <w:rFonts w:ascii="Times New Roman" w:hAnsi="Times New Roman"/>
          <w:i/>
          <w:iCs/>
        </w:rPr>
        <w:t>Al-Kateb</w:t>
      </w:r>
      <w:r w:rsidRPr="00CA4331">
        <w:rPr>
          <w:rFonts w:ascii="Times New Roman" w:hAnsi="Times New Roman"/>
        </w:rPr>
        <w:t xml:space="preserve">—that ss 189(1) and 196(1) of the </w:t>
      </w:r>
      <w:r w:rsidRPr="00CA4331">
        <w:rPr>
          <w:rFonts w:ascii="Times New Roman" w:hAnsi="Times New Roman"/>
          <w:i/>
          <w:iCs/>
        </w:rPr>
        <w:t xml:space="preserve">Migration Act </w:t>
      </w:r>
      <w:r w:rsidRPr="00CA4331">
        <w:rPr>
          <w:rFonts w:ascii="Times New Roman" w:hAnsi="Times New Roman"/>
        </w:rPr>
        <w:t>validly required the detention of a person in the position of Mr Abdel-Hady—that judicially created norm did not correctly reflect the law that should be applied to Mr Abdel-Hady. On the correct application of the legal position, the officer wrongly detained Mr Abdel-Hady.</w:t>
      </w:r>
    </w:p>
    <w:p w14:paraId="16F21FB4"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 xml:space="preserve">At the heart of the Commonwealth's submissions was the decision of this Court last year in </w:t>
      </w:r>
      <w:r w:rsidRPr="00CA4331">
        <w:rPr>
          <w:rFonts w:ascii="Times New Roman" w:hAnsi="Times New Roman"/>
          <w:i/>
          <w:iCs/>
        </w:rPr>
        <w:t>Queensland v Stradford (a pseudonym)</w:t>
      </w:r>
      <w:r w:rsidRPr="00CA4331">
        <w:rPr>
          <w:rFonts w:ascii="Times New Roman" w:hAnsi="Times New Roman"/>
        </w:rPr>
        <w:t>.</w:t>
      </w:r>
      <w:r w:rsidRPr="00CA4331">
        <w:rPr>
          <w:rStyle w:val="FootnoteReference"/>
          <w:rFonts w:ascii="Times New Roman" w:hAnsi="Times New Roman"/>
          <w:sz w:val="24"/>
        </w:rPr>
        <w:footnoteReference w:id="143"/>
      </w:r>
      <w:r w:rsidRPr="00CA4331">
        <w:rPr>
          <w:rFonts w:ascii="Times New Roman" w:hAnsi="Times New Roman"/>
        </w:rPr>
        <w:t xml:space="preserve"> In </w:t>
      </w:r>
      <w:r w:rsidRPr="00CA4331">
        <w:rPr>
          <w:rFonts w:ascii="Times New Roman" w:hAnsi="Times New Roman"/>
          <w:i/>
          <w:iCs/>
        </w:rPr>
        <w:t>Stradford</w:t>
      </w:r>
      <w:r w:rsidRPr="00CA4331">
        <w:rPr>
          <w:rFonts w:ascii="Times New Roman" w:hAnsi="Times New Roman"/>
        </w:rPr>
        <w:t xml:space="preserve">, this Court held that there was no liability for any of the following based on the </w:t>
      </w:r>
      <w:r w:rsidRPr="00CA4331">
        <w:rPr>
          <w:rFonts w:ascii="Times New Roman" w:hAnsi="Times New Roman"/>
        </w:rPr>
        <w:lastRenderedPageBreak/>
        <w:t>detention of Mr Stradford: (</w:t>
      </w:r>
      <w:proofErr w:type="spellStart"/>
      <w:r w:rsidRPr="00CA4331">
        <w:rPr>
          <w:rFonts w:ascii="Times New Roman" w:hAnsi="Times New Roman"/>
        </w:rPr>
        <w:t>i</w:t>
      </w:r>
      <w:proofErr w:type="spellEnd"/>
      <w:r w:rsidRPr="00CA4331">
        <w:rPr>
          <w:rFonts w:ascii="Times New Roman" w:hAnsi="Times New Roman"/>
        </w:rPr>
        <w:t xml:space="preserve">) the judge of the Federal Circuit Court of Australia who made the order to detain and who issued the warrant; (ii) the police and correctional officers who were commanded to execute the warrant; and (iii) the guards who were directed by the judge to escort Mr Stradford to a courthouse cell pending execution of the warrant. The Commonwealth in the present case essentially submitted that if judges, police, correctional officers, and guards were immune from liability where their acts were honest attempts at compliance with the existing law then the same should be the case for officers who enforce the law under the </w:t>
      </w:r>
      <w:r w:rsidRPr="00CA4331">
        <w:rPr>
          <w:rFonts w:ascii="Times New Roman" w:hAnsi="Times New Roman"/>
          <w:i/>
          <w:iCs/>
        </w:rPr>
        <w:t>Migration Act</w:t>
      </w:r>
      <w:r w:rsidRPr="00CA4331">
        <w:rPr>
          <w:rFonts w:ascii="Times New Roman" w:hAnsi="Times New Roman"/>
        </w:rPr>
        <w:t>.</w:t>
      </w:r>
    </w:p>
    <w:p w14:paraId="61B6ECF1"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 xml:space="preserve">The question in the special case can only be coherently answered by appreciating that the absence of liability for the judge, the police, the correctional officers, or the guards in </w:t>
      </w:r>
      <w:r w:rsidRPr="00CA4331">
        <w:rPr>
          <w:rFonts w:ascii="Times New Roman" w:hAnsi="Times New Roman"/>
          <w:i/>
          <w:iCs/>
        </w:rPr>
        <w:t xml:space="preserve">Stradford </w:t>
      </w:r>
      <w:r w:rsidRPr="00CA4331">
        <w:rPr>
          <w:rFonts w:ascii="Times New Roman" w:hAnsi="Times New Roman"/>
        </w:rPr>
        <w:t xml:space="preserve">has nothing to do with an immunity. Their absence of liability arises because, despite the antique, outdated, and unjustifiable description of the Federal Circuit Court as "inferior", the court order upon which each of those persons relied was not wholly void or invalid. By contrast, the relevant provisions of the </w:t>
      </w:r>
      <w:r w:rsidRPr="00CA4331">
        <w:rPr>
          <w:rFonts w:ascii="Times New Roman" w:hAnsi="Times New Roman"/>
          <w:i/>
          <w:iCs/>
        </w:rPr>
        <w:t xml:space="preserve">Migration Act </w:t>
      </w:r>
      <w:r w:rsidRPr="00CA4331">
        <w:rPr>
          <w:rFonts w:ascii="Times New Roman" w:hAnsi="Times New Roman"/>
        </w:rPr>
        <w:t>had no valid application to Mr</w:t>
      </w:r>
      <w:r>
        <w:rPr>
          <w:rFonts w:ascii="Times New Roman" w:hAnsi="Times New Roman"/>
        </w:rPr>
        <w:t> </w:t>
      </w:r>
      <w:r w:rsidRPr="00CA4331">
        <w:rPr>
          <w:rFonts w:ascii="Times New Roman" w:hAnsi="Times New Roman"/>
        </w:rPr>
        <w:t>Abdel</w:t>
      </w:r>
      <w:r>
        <w:rPr>
          <w:rFonts w:ascii="Times New Roman" w:hAnsi="Times New Roman"/>
          <w:i/>
          <w:iCs/>
        </w:rPr>
        <w:noBreakHyphen/>
      </w:r>
      <w:r w:rsidRPr="00CA4331">
        <w:rPr>
          <w:rFonts w:ascii="Times New Roman" w:hAnsi="Times New Roman"/>
        </w:rPr>
        <w:t xml:space="preserve">Hady. Further, neither Mr Abdel-Hady nor the officer detaining him was a party to the court orders in </w:t>
      </w:r>
      <w:r w:rsidRPr="00CA4331">
        <w:rPr>
          <w:rFonts w:ascii="Times New Roman" w:hAnsi="Times New Roman"/>
          <w:i/>
          <w:iCs/>
        </w:rPr>
        <w:t>Al-Kateb</w:t>
      </w:r>
      <w:r w:rsidRPr="00CA4331">
        <w:rPr>
          <w:rFonts w:ascii="Times New Roman" w:hAnsi="Times New Roman"/>
        </w:rPr>
        <w:t>.</w:t>
      </w:r>
      <w:r w:rsidRPr="00CA4331">
        <w:rPr>
          <w:rFonts w:ascii="Times New Roman" w:hAnsi="Times New Roman"/>
          <w:i/>
          <w:iCs/>
        </w:rPr>
        <w:t xml:space="preserve"> </w:t>
      </w:r>
      <w:r w:rsidRPr="00CA4331">
        <w:rPr>
          <w:rFonts w:ascii="Times New Roman" w:hAnsi="Times New Roman"/>
        </w:rPr>
        <w:t xml:space="preserve">The erroneous, and overturned, reasoning in </w:t>
      </w:r>
      <w:r w:rsidRPr="00CA4331">
        <w:rPr>
          <w:rFonts w:ascii="Times New Roman" w:hAnsi="Times New Roman"/>
          <w:i/>
          <w:iCs/>
        </w:rPr>
        <w:t>Al</w:t>
      </w:r>
      <w:r>
        <w:rPr>
          <w:rFonts w:ascii="Times New Roman" w:hAnsi="Times New Roman"/>
          <w:i/>
          <w:iCs/>
        </w:rPr>
        <w:noBreakHyphen/>
      </w:r>
      <w:r w:rsidRPr="00CA4331">
        <w:rPr>
          <w:rFonts w:ascii="Times New Roman" w:hAnsi="Times New Roman"/>
          <w:i/>
          <w:iCs/>
        </w:rPr>
        <w:t>Kateb</w:t>
      </w:r>
      <w:r w:rsidRPr="00CA4331">
        <w:rPr>
          <w:rFonts w:ascii="Times New Roman" w:hAnsi="Times New Roman"/>
        </w:rPr>
        <w:t xml:space="preserve"> could provide no authority for the officer or for the Commonwealth to detain Mr Abdel-Hady.</w:t>
      </w:r>
    </w:p>
    <w:p w14:paraId="41ACCE5D"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The Commonwealth is liable on two alternative bases. First, the Commonwealth is directly liable for the acts of the officer who was acting as its agent in detaining Mr Abdel-Hady. Secondly, the Commonwealth is vicariously liable by attribution of the liability of the detaining officer who was its employee.</w:t>
      </w:r>
    </w:p>
    <w:p w14:paraId="1D75A672" w14:textId="77777777" w:rsidR="009F6ECF" w:rsidRPr="00CA4331" w:rsidRDefault="009F6ECF" w:rsidP="00CA4331">
      <w:pPr>
        <w:pStyle w:val="HeadingL1"/>
        <w:spacing w:after="260" w:line="280" w:lineRule="exact"/>
        <w:ind w:right="0"/>
        <w:jc w:val="both"/>
        <w:rPr>
          <w:rFonts w:ascii="Times New Roman" w:hAnsi="Times New Roman"/>
        </w:rPr>
      </w:pPr>
      <w:r w:rsidRPr="00CA4331">
        <w:rPr>
          <w:rFonts w:ascii="Times New Roman" w:hAnsi="Times New Roman"/>
        </w:rPr>
        <w:t>The background and the question for this Court</w:t>
      </w:r>
      <w:r w:rsidRPr="00CA4331">
        <w:rPr>
          <w:rFonts w:ascii="Times New Roman" w:hAnsi="Times New Roman"/>
        </w:rPr>
        <w:tab/>
      </w:r>
    </w:p>
    <w:p w14:paraId="457F2307"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 xml:space="preserve">Mr Abdel-Hady is an alien who, at the relevant times, had no visa entitling him to remain in Australia. Over </w:t>
      </w:r>
      <w:proofErr w:type="gramStart"/>
      <w:r w:rsidRPr="00CA4331">
        <w:rPr>
          <w:rFonts w:ascii="Times New Roman" w:hAnsi="Times New Roman"/>
        </w:rPr>
        <w:t>a period of time</w:t>
      </w:r>
      <w:proofErr w:type="gramEnd"/>
      <w:r w:rsidRPr="00CA4331">
        <w:rPr>
          <w:rFonts w:ascii="Times New Roman" w:hAnsi="Times New Roman"/>
        </w:rPr>
        <w:t xml:space="preserve"> which included the relevant period of the alleged commission of the tort of false imprisonment—28 July 2022 to 8 November 2023—the plaintiff, Mr Abdel-Hady, was detained by the Commonwealth. The parties agree that during that relevant period: (</w:t>
      </w:r>
      <w:proofErr w:type="spellStart"/>
      <w:r w:rsidRPr="00CA4331">
        <w:rPr>
          <w:rFonts w:ascii="Times New Roman" w:hAnsi="Times New Roman"/>
        </w:rPr>
        <w:t>i</w:t>
      </w:r>
      <w:proofErr w:type="spellEnd"/>
      <w:r w:rsidRPr="00CA4331">
        <w:rPr>
          <w:rFonts w:ascii="Times New Roman" w:hAnsi="Times New Roman"/>
        </w:rPr>
        <w:t>) "there was no real prospect of [Mr Abdel-Hady's] removal to any country other than Austria becoming practicable in the reasonably foreseeable future"; and (ii) "there was no real prospect of [Mr Abdel-Hady's] removal from Australia to Austria becoming practicable in the reasonably foreseeable future, because [Mr Abdel-Hady's] aggressive thrombophilia rendered him medically unfit to travel by commercial aeroplane and no other mode of travel to Austria was reasonably practicable".</w:t>
      </w:r>
    </w:p>
    <w:p w14:paraId="396FA58D"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 xml:space="preserve">Although it was not reasonably practicable to remove Mr Abdel-Hady from Australia during the relevant period, the controversial decision of a majority of this Court in </w:t>
      </w:r>
      <w:r w:rsidRPr="00CA4331">
        <w:rPr>
          <w:rFonts w:ascii="Times New Roman" w:hAnsi="Times New Roman"/>
          <w:i/>
          <w:iCs/>
        </w:rPr>
        <w:t xml:space="preserve">Al-Kateb </w:t>
      </w:r>
      <w:r w:rsidRPr="00CA4331">
        <w:rPr>
          <w:rFonts w:ascii="Times New Roman" w:hAnsi="Times New Roman"/>
        </w:rPr>
        <w:t xml:space="preserve">held that ss 189(1) and 196(1) of the </w:t>
      </w:r>
      <w:r w:rsidRPr="00CA4331">
        <w:rPr>
          <w:rFonts w:ascii="Times New Roman" w:hAnsi="Times New Roman"/>
          <w:i/>
          <w:iCs/>
        </w:rPr>
        <w:t>Migration Act</w:t>
      </w:r>
      <w:r w:rsidRPr="00CA4331">
        <w:rPr>
          <w:rFonts w:ascii="Times New Roman" w:hAnsi="Times New Roman"/>
        </w:rPr>
        <w:t xml:space="preserve"> imposed a duty on officers of the Commonwealth to detain indefinitely people in the position of Mr Abdel-Hady who were reasonably suspected of being unlawful non-citizens. </w:t>
      </w:r>
      <w:r w:rsidRPr="00CA4331">
        <w:rPr>
          <w:rFonts w:ascii="Times New Roman" w:hAnsi="Times New Roman"/>
        </w:rPr>
        <w:lastRenderedPageBreak/>
        <w:t>Mr Abdel-Hady was detained for a period which included 22 August 2017 to 8</w:t>
      </w:r>
      <w:r>
        <w:rPr>
          <w:rFonts w:ascii="Times New Roman" w:hAnsi="Times New Roman"/>
        </w:rPr>
        <w:t> </w:t>
      </w:r>
      <w:r w:rsidRPr="00CA4331">
        <w:rPr>
          <w:rFonts w:ascii="Times New Roman" w:hAnsi="Times New Roman"/>
        </w:rPr>
        <w:t>November 2023.</w:t>
      </w:r>
    </w:p>
    <w:p w14:paraId="0B2EDC2E"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 xml:space="preserve">On 8 November 2023, in </w:t>
      </w:r>
      <w:r w:rsidRPr="00CA4331">
        <w:rPr>
          <w:rFonts w:ascii="Times New Roman" w:hAnsi="Times New Roman"/>
          <w:i/>
          <w:iCs/>
        </w:rPr>
        <w:t>NZYQ</w:t>
      </w:r>
      <w:r w:rsidRPr="00CA4331">
        <w:rPr>
          <w:rFonts w:ascii="Times New Roman" w:hAnsi="Times New Roman"/>
        </w:rPr>
        <w:t>,</w:t>
      </w:r>
      <w:r w:rsidRPr="00CA4331" w:rsidDel="00A325B0">
        <w:rPr>
          <w:rFonts w:ascii="Times New Roman" w:hAnsi="Times New Roman"/>
          <w:i/>
          <w:iCs/>
        </w:rPr>
        <w:t xml:space="preserve"> </w:t>
      </w:r>
      <w:r w:rsidRPr="00CA4331">
        <w:rPr>
          <w:rFonts w:ascii="Times New Roman" w:hAnsi="Times New Roman"/>
        </w:rPr>
        <w:t xml:space="preserve">this Court made orders which were based upon overturning the decision in </w:t>
      </w:r>
      <w:r w:rsidRPr="00CA4331">
        <w:rPr>
          <w:rFonts w:ascii="Times New Roman" w:hAnsi="Times New Roman"/>
          <w:i/>
          <w:iCs/>
        </w:rPr>
        <w:t>Al-Kateb</w:t>
      </w:r>
      <w:r w:rsidRPr="00CA4331">
        <w:rPr>
          <w:rFonts w:ascii="Times New Roman" w:hAnsi="Times New Roman"/>
        </w:rPr>
        <w:t xml:space="preserve">, holding that the </w:t>
      </w:r>
      <w:r w:rsidRPr="00CA4331">
        <w:rPr>
          <w:rFonts w:ascii="Times New Roman" w:hAnsi="Times New Roman"/>
          <w:i/>
          <w:iCs/>
        </w:rPr>
        <w:t xml:space="preserve">Constitution </w:t>
      </w:r>
      <w:r w:rsidRPr="00CA4331">
        <w:rPr>
          <w:rFonts w:ascii="Times New Roman" w:hAnsi="Times New Roman"/>
        </w:rPr>
        <w:t xml:space="preserve">did not permit the application of ss 189(1) and 196(1) of the </w:t>
      </w:r>
      <w:r w:rsidRPr="00CA4331">
        <w:rPr>
          <w:rFonts w:ascii="Times New Roman" w:hAnsi="Times New Roman"/>
          <w:i/>
          <w:iCs/>
        </w:rPr>
        <w:t xml:space="preserve">Migration Act </w:t>
      </w:r>
      <w:r w:rsidRPr="00CA4331">
        <w:rPr>
          <w:rFonts w:ascii="Times New Roman" w:hAnsi="Times New Roman"/>
        </w:rPr>
        <w:t xml:space="preserve">to the detention of a person where there was no real prospect of the removal of the person from Australia becoming practicable in the reasonably foreseeable future. The </w:t>
      </w:r>
      <w:r w:rsidRPr="00CA4331">
        <w:rPr>
          <w:rFonts w:ascii="Times New Roman" w:hAnsi="Times New Roman"/>
          <w:i/>
          <w:iCs/>
        </w:rPr>
        <w:t>Constitution</w:t>
      </w:r>
      <w:r w:rsidRPr="00CA4331">
        <w:rPr>
          <w:rFonts w:ascii="Times New Roman" w:hAnsi="Times New Roman"/>
        </w:rPr>
        <w:t xml:space="preserve">, and the application of s 3A of the </w:t>
      </w:r>
      <w:r w:rsidRPr="00CA4331">
        <w:rPr>
          <w:rFonts w:ascii="Times New Roman" w:hAnsi="Times New Roman"/>
          <w:i/>
          <w:iCs/>
        </w:rPr>
        <w:t>Migration Act</w:t>
      </w:r>
      <w:r w:rsidRPr="00CA4331">
        <w:rPr>
          <w:rFonts w:ascii="Times New Roman" w:hAnsi="Times New Roman"/>
        </w:rPr>
        <w:t>,</w:t>
      </w:r>
      <w:r w:rsidRPr="00CA4331">
        <w:rPr>
          <w:rFonts w:ascii="Times New Roman" w:hAnsi="Times New Roman"/>
          <w:i/>
          <w:iCs/>
        </w:rPr>
        <w:t xml:space="preserve"> </w:t>
      </w:r>
      <w:r w:rsidRPr="00CA4331">
        <w:rPr>
          <w:rFonts w:ascii="Times New Roman" w:hAnsi="Times New Roman"/>
        </w:rPr>
        <w:t xml:space="preserve">required the statutory duty in ss 189(1) and 196(1) of the </w:t>
      </w:r>
      <w:r w:rsidRPr="00CA4331">
        <w:rPr>
          <w:rFonts w:ascii="Times New Roman" w:hAnsi="Times New Roman"/>
          <w:i/>
        </w:rPr>
        <w:t xml:space="preserve">Migration Act </w:t>
      </w:r>
      <w:r w:rsidRPr="00CA4331">
        <w:rPr>
          <w:rFonts w:ascii="Times New Roman" w:hAnsi="Times New Roman"/>
        </w:rPr>
        <w:t>to be disapplied from such circumstances.</w:t>
      </w:r>
    </w:p>
    <w:p w14:paraId="1FC18EE7"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 xml:space="preserve">The retroactive effect of the decision in </w:t>
      </w:r>
      <w:r w:rsidRPr="00CA4331">
        <w:rPr>
          <w:rFonts w:ascii="Times New Roman" w:hAnsi="Times New Roman"/>
          <w:i/>
          <w:iCs/>
        </w:rPr>
        <w:t xml:space="preserve">NZYQ </w:t>
      </w:r>
      <w:r w:rsidRPr="00CA4331">
        <w:rPr>
          <w:rFonts w:ascii="Times New Roman" w:hAnsi="Times New Roman"/>
        </w:rPr>
        <w:t xml:space="preserve">was that although the decision in </w:t>
      </w:r>
      <w:r w:rsidRPr="00CA4331">
        <w:rPr>
          <w:rFonts w:ascii="Times New Roman" w:hAnsi="Times New Roman"/>
          <w:i/>
          <w:iCs/>
        </w:rPr>
        <w:t xml:space="preserve">Al-Kateb </w:t>
      </w:r>
      <w:r w:rsidRPr="00CA4331">
        <w:rPr>
          <w:rFonts w:ascii="Times New Roman" w:hAnsi="Times New Roman"/>
        </w:rPr>
        <w:t>was the authority in Australia while Mr Abdel-Hady was detained, relevantly between 28 July 2022 and 8 November 2023, that decision did not represent the correct legal position, which was that the detention of Mr</w:t>
      </w:r>
      <w:r>
        <w:rPr>
          <w:rFonts w:ascii="Times New Roman" w:hAnsi="Times New Roman"/>
        </w:rPr>
        <w:t> </w:t>
      </w:r>
      <w:r w:rsidRPr="00CA4331">
        <w:rPr>
          <w:rFonts w:ascii="Times New Roman" w:hAnsi="Times New Roman"/>
        </w:rPr>
        <w:t>Abdel</w:t>
      </w:r>
      <w:r>
        <w:rPr>
          <w:rFonts w:ascii="Times New Roman" w:hAnsi="Times New Roman"/>
          <w:i/>
          <w:iCs/>
        </w:rPr>
        <w:noBreakHyphen/>
      </w:r>
      <w:r w:rsidRPr="00CA4331">
        <w:rPr>
          <w:rFonts w:ascii="Times New Roman" w:hAnsi="Times New Roman"/>
        </w:rPr>
        <w:t>Hady during the relevant period was unlawful.</w:t>
      </w:r>
    </w:p>
    <w:p w14:paraId="5F94049D"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 xml:space="preserve">It is unnecessary to restate the procedural history of Mr Abdel-Hady's claims that resulted in only a single question of law stated in the special case for the opinion of this Court. That question of law arises </w:t>
      </w:r>
      <w:proofErr w:type="gramStart"/>
      <w:r w:rsidRPr="00CA4331">
        <w:rPr>
          <w:rFonts w:ascii="Times New Roman" w:hAnsi="Times New Roman"/>
        </w:rPr>
        <w:t>as a consequence of</w:t>
      </w:r>
      <w:proofErr w:type="gramEnd"/>
      <w:r w:rsidRPr="00CA4331">
        <w:rPr>
          <w:rFonts w:ascii="Times New Roman" w:hAnsi="Times New Roman"/>
        </w:rPr>
        <w:t xml:space="preserve"> the detention of Mr Abdel-Hady being unlawful, and therefore involving false imprisonment, in the period between 28 July 2022 and 8 November 2023. The question in this special case is a compound question:</w:t>
      </w:r>
    </w:p>
    <w:p w14:paraId="4C81ECED" w14:textId="77777777" w:rsidR="009F6ECF" w:rsidRDefault="009F6ECF" w:rsidP="00CA4331">
      <w:pPr>
        <w:pStyle w:val="LeftrightafterHC"/>
        <w:spacing w:before="0" w:after="260" w:line="280" w:lineRule="exact"/>
        <w:ind w:right="0"/>
        <w:jc w:val="both"/>
        <w:rPr>
          <w:rFonts w:ascii="Times New Roman" w:hAnsi="Times New Roman"/>
        </w:rPr>
      </w:pPr>
      <w:r w:rsidRPr="00CA4331">
        <w:rPr>
          <w:rFonts w:ascii="Times New Roman" w:hAnsi="Times New Roman"/>
        </w:rPr>
        <w:t>"Do [(</w:t>
      </w:r>
      <w:proofErr w:type="spellStart"/>
      <w:r w:rsidRPr="00CA4331">
        <w:rPr>
          <w:rFonts w:ascii="Times New Roman" w:hAnsi="Times New Roman"/>
        </w:rPr>
        <w:t>i</w:t>
      </w:r>
      <w:proofErr w:type="spellEnd"/>
      <w:r w:rsidRPr="00CA4331">
        <w:rPr>
          <w:rFonts w:ascii="Times New Roman" w:hAnsi="Times New Roman"/>
        </w:rPr>
        <w:t>)] the Commonwealth and [(ii)] its officers have a defence to liability for the tort of false imprisonment with respect to the immigration detention of the plaintiff in the period between 28 July 2022 and 8 November 2023?"</w:t>
      </w:r>
    </w:p>
    <w:p w14:paraId="2F6B1D89"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 xml:space="preserve">Despite having agreed to the statement of the question for this Court in these terms, the Commonwealth submits that the existence of the immunity should be considered only in relation to its officer and that the first question of the immunity of the Commonwealth should not be answered. The Commonwealth attempts to remove the first agreed question from this Court by a concession that if the officer has no </w:t>
      </w:r>
      <w:proofErr w:type="gramStart"/>
      <w:r w:rsidRPr="00CA4331">
        <w:rPr>
          <w:rFonts w:ascii="Times New Roman" w:hAnsi="Times New Roman"/>
        </w:rPr>
        <w:t>immunity</w:t>
      </w:r>
      <w:proofErr w:type="gramEnd"/>
      <w:r w:rsidRPr="00CA4331">
        <w:rPr>
          <w:rFonts w:ascii="Times New Roman" w:hAnsi="Times New Roman"/>
        </w:rPr>
        <w:t xml:space="preserve"> then the Commonwealth is vicariously liable for its officer as an employee even if the Commonwealth would itself be immune from any direct liability. It is necessary at the outset to explain why this concession is neither factually nor legally a suitable basis upon which to avoid answering the first question before this Court.</w:t>
      </w:r>
    </w:p>
    <w:p w14:paraId="3B58D7A7" w14:textId="77777777" w:rsidR="009F6ECF" w:rsidRPr="00CA4331" w:rsidRDefault="009F6ECF" w:rsidP="00CA4331">
      <w:pPr>
        <w:pStyle w:val="HeadingL1"/>
        <w:spacing w:after="260" w:line="280" w:lineRule="exact"/>
        <w:ind w:right="0"/>
        <w:jc w:val="both"/>
        <w:rPr>
          <w:rFonts w:ascii="Times New Roman" w:hAnsi="Times New Roman"/>
        </w:rPr>
      </w:pPr>
      <w:r w:rsidRPr="00CA4331">
        <w:rPr>
          <w:rFonts w:ascii="Times New Roman" w:hAnsi="Times New Roman"/>
        </w:rPr>
        <w:lastRenderedPageBreak/>
        <w:t>The first question before this Court should be addressed</w:t>
      </w:r>
    </w:p>
    <w:p w14:paraId="5A55F510"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The label "vicarious liability" has often been misused to describe three different and distinct legal doctrines.</w:t>
      </w:r>
      <w:r w:rsidRPr="00CA4331">
        <w:rPr>
          <w:rStyle w:val="FootnoteReference"/>
          <w:rFonts w:ascii="Times New Roman" w:hAnsi="Times New Roman"/>
          <w:sz w:val="24"/>
        </w:rPr>
        <w:footnoteReference w:id="144"/>
      </w:r>
      <w:r w:rsidRPr="00CA4331">
        <w:rPr>
          <w:rFonts w:ascii="Times New Roman" w:hAnsi="Times New Roman"/>
        </w:rPr>
        <w:t xml:space="preserve"> In </w:t>
      </w:r>
      <w:r w:rsidRPr="00CA4331">
        <w:rPr>
          <w:rFonts w:ascii="Times New Roman" w:hAnsi="Times New Roman"/>
          <w:i/>
          <w:iCs/>
        </w:rPr>
        <w:t>Bird v DP (a pseudonym)</w:t>
      </w:r>
      <w:r w:rsidRPr="00CA4331">
        <w:rPr>
          <w:rFonts w:ascii="Times New Roman" w:hAnsi="Times New Roman"/>
        </w:rPr>
        <w:t>,</w:t>
      </w:r>
      <w:r w:rsidRPr="00CA4331">
        <w:rPr>
          <w:rStyle w:val="FootnoteReference"/>
          <w:rFonts w:ascii="Times New Roman" w:hAnsi="Times New Roman"/>
          <w:sz w:val="24"/>
        </w:rPr>
        <w:footnoteReference w:id="145"/>
      </w:r>
      <w:r w:rsidRPr="00CA4331">
        <w:rPr>
          <w:rFonts w:ascii="Times New Roman" w:hAnsi="Times New Roman"/>
        </w:rPr>
        <w:t xml:space="preserve"> five members of this Court explained that the only proper, or "true", use of the label "vicarious liability" is to describe the attribution of the liability of an employee to an employer. The vicarious liability of the employer is a derivative liability. It is this vicarious or derivative liability that the Commonwealth concedes arises in this case if the officer responsible for the detention of Mr Abdel-Hady is liable.</w:t>
      </w:r>
    </w:p>
    <w:p w14:paraId="2EA74706"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The vicarious or derivative liability of an employer is separate and distinct from the direct liability of an employer or principal, including that arising from a relationship of agency, where the acts of one person are attributed to another.</w:t>
      </w:r>
      <w:r w:rsidRPr="00CA4331">
        <w:rPr>
          <w:rStyle w:val="FootnoteReference"/>
          <w:rFonts w:ascii="Times New Roman" w:hAnsi="Times New Roman"/>
          <w:sz w:val="24"/>
        </w:rPr>
        <w:footnoteReference w:id="146"/>
      </w:r>
      <w:r w:rsidRPr="00CA4331">
        <w:rPr>
          <w:rFonts w:ascii="Times New Roman" w:hAnsi="Times New Roman"/>
        </w:rPr>
        <w:t xml:space="preserve"> Direct liability based on the attribution of another's acts is a primary liability of the principal. It is not a derivative liability. Hence, a defence or immunity from liability held by the agent will not necessarily be held by the principal.</w:t>
      </w:r>
      <w:r w:rsidRPr="00CA4331">
        <w:rPr>
          <w:rStyle w:val="FootnoteReference"/>
          <w:rFonts w:ascii="Times New Roman" w:hAnsi="Times New Roman"/>
          <w:sz w:val="24"/>
        </w:rPr>
        <w:footnoteReference w:id="147"/>
      </w:r>
      <w:r w:rsidRPr="00CA4331">
        <w:rPr>
          <w:rFonts w:ascii="Times New Roman" w:hAnsi="Times New Roman"/>
        </w:rPr>
        <w:t xml:space="preserve"> The principal may need to have a defence or immunity of its own.</w:t>
      </w:r>
    </w:p>
    <w:p w14:paraId="625C6D58"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 xml:space="preserve">  In the pleadings before this Court, the Commonwealth admits vicarious liability but denies direct liability. The Commonwealth submits that it is therefore unnecessary to consider the question before this Court of whether the Commonwealth itself has an immunity from liability. The concession was not supported by any factual or legal reasoning. And the submission should not be accepted.</w:t>
      </w:r>
    </w:p>
    <w:p w14:paraId="0EDBC3B4"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 xml:space="preserve">A similar issue arose in </w:t>
      </w:r>
      <w:r w:rsidRPr="00CA4331">
        <w:rPr>
          <w:rFonts w:ascii="Times New Roman" w:hAnsi="Times New Roman"/>
          <w:i/>
          <w:iCs/>
        </w:rPr>
        <w:t>Darling Island Stevedoring and Lighterage Co Ltd v Long</w:t>
      </w:r>
      <w:r w:rsidRPr="00CA4331">
        <w:rPr>
          <w:rFonts w:ascii="Times New Roman" w:hAnsi="Times New Roman"/>
        </w:rPr>
        <w:t>.</w:t>
      </w:r>
      <w:r w:rsidRPr="00CA4331">
        <w:rPr>
          <w:rStyle w:val="FootnoteReference"/>
          <w:rFonts w:ascii="Times New Roman" w:hAnsi="Times New Roman"/>
          <w:sz w:val="24"/>
        </w:rPr>
        <w:footnoteReference w:id="148"/>
      </w:r>
      <w:r w:rsidRPr="00CA4331">
        <w:rPr>
          <w:rFonts w:ascii="Times New Roman" w:hAnsi="Times New Roman"/>
        </w:rPr>
        <w:t xml:space="preserve">  Mr Long, a wharf labourer, claimed damages from Darling Island Stevedoring and Lighterage Co Ltd ("Darling Island Stevedoring") for personal injuries suffered during the loading and unloading operations of a ship as a result of actions of an employee of Darling Island Stevedoring said to be in breach of statutory duty by infringement of reg 31 of the </w:t>
      </w:r>
      <w:r w:rsidRPr="00CA4331">
        <w:rPr>
          <w:rFonts w:ascii="Times New Roman" w:hAnsi="Times New Roman"/>
          <w:i/>
          <w:iCs/>
        </w:rPr>
        <w:t>Navigation (Loading and Unloading) Regulations</w:t>
      </w:r>
      <w:r w:rsidRPr="00CA4331">
        <w:rPr>
          <w:rFonts w:ascii="Times New Roman" w:hAnsi="Times New Roman"/>
          <w:i/>
        </w:rPr>
        <w:t xml:space="preserve"> 1941 </w:t>
      </w:r>
      <w:r w:rsidRPr="00CA4331">
        <w:rPr>
          <w:rFonts w:ascii="Times New Roman" w:hAnsi="Times New Roman"/>
        </w:rPr>
        <w:t>(</w:t>
      </w:r>
      <w:proofErr w:type="spellStart"/>
      <w:r w:rsidRPr="00CA4331">
        <w:rPr>
          <w:rFonts w:ascii="Times New Roman" w:hAnsi="Times New Roman"/>
        </w:rPr>
        <w:t>Cth</w:t>
      </w:r>
      <w:proofErr w:type="spellEnd"/>
      <w:r w:rsidRPr="00CA4331">
        <w:rPr>
          <w:rFonts w:ascii="Times New Roman" w:hAnsi="Times New Roman"/>
        </w:rPr>
        <w:t xml:space="preserve">), made under the </w:t>
      </w:r>
      <w:r w:rsidRPr="00CA4331">
        <w:rPr>
          <w:rFonts w:ascii="Times New Roman" w:hAnsi="Times New Roman"/>
          <w:i/>
          <w:iCs/>
        </w:rPr>
        <w:t xml:space="preserve">Navigation Act 1912 </w:t>
      </w:r>
      <w:r w:rsidRPr="00CA4331">
        <w:rPr>
          <w:rFonts w:ascii="Times New Roman" w:hAnsi="Times New Roman"/>
        </w:rPr>
        <w:t>(</w:t>
      </w:r>
      <w:proofErr w:type="spellStart"/>
      <w:r w:rsidRPr="00CA4331">
        <w:rPr>
          <w:rFonts w:ascii="Times New Roman" w:hAnsi="Times New Roman"/>
        </w:rPr>
        <w:t>Cth</w:t>
      </w:r>
      <w:proofErr w:type="spellEnd"/>
      <w:r w:rsidRPr="00CA4331">
        <w:rPr>
          <w:rFonts w:ascii="Times New Roman" w:hAnsi="Times New Roman"/>
        </w:rPr>
        <w:t xml:space="preserve">). </w:t>
      </w:r>
      <w:r w:rsidRPr="00CA4331">
        <w:rPr>
          <w:rFonts w:ascii="Times New Roman" w:hAnsi="Times New Roman"/>
        </w:rPr>
        <w:lastRenderedPageBreak/>
        <w:t>This Court unanimously held that Mr Long had no claim against Darling Island Stevedoring. Some members of this Court reached this conclusion by reasoning that the attribution of the employee's acts (direct liability based on agency) did not make Darling Island Stevedoring liable because the regulations imposed no duty on Darling Island Stevedoring. Other members of this Court reached this conclusion by reasoning that the attribution of the employee's liability (true vicarious liability) did not make the employer liable because the regulations did not contemplate vicarious liability.</w:t>
      </w:r>
    </w:p>
    <w:p w14:paraId="1FEF9819"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The clearest approach in relation to direct liability was that of Kitto J who rejected the existence of any concept of "true"</w:t>
      </w:r>
      <w:r w:rsidRPr="00CA4331">
        <w:rPr>
          <w:rStyle w:val="FootnoteReference"/>
          <w:rFonts w:ascii="Times New Roman" w:hAnsi="Times New Roman"/>
          <w:sz w:val="24"/>
        </w:rPr>
        <w:footnoteReference w:id="149"/>
      </w:r>
      <w:r w:rsidRPr="00CA4331">
        <w:rPr>
          <w:rFonts w:ascii="Times New Roman" w:hAnsi="Times New Roman"/>
        </w:rPr>
        <w:t xml:space="preserve"> vicarious liability and asserted that all such cases were really based upon "a liability for vicarious acts".</w:t>
      </w:r>
      <w:r w:rsidRPr="00CA4331">
        <w:rPr>
          <w:rStyle w:val="FootnoteReference"/>
          <w:rFonts w:ascii="Times New Roman" w:hAnsi="Times New Roman"/>
          <w:sz w:val="24"/>
        </w:rPr>
        <w:footnoteReference w:id="150"/>
      </w:r>
      <w:r w:rsidRPr="00CA4331">
        <w:rPr>
          <w:rFonts w:ascii="Times New Roman" w:hAnsi="Times New Roman"/>
        </w:rPr>
        <w:t xml:space="preserve"> For Kitto J, the appeal by Darling Island Stevedoring was allowed because any wrong of breach of statutory duty, based upon the regulations, was committed only by the "person-in-charge".</w:t>
      </w:r>
      <w:r w:rsidRPr="00CA4331">
        <w:rPr>
          <w:rStyle w:val="FootnoteReference"/>
          <w:rFonts w:ascii="Times New Roman" w:hAnsi="Times New Roman"/>
          <w:sz w:val="24"/>
        </w:rPr>
        <w:footnoteReference w:id="151"/>
      </w:r>
      <w:r w:rsidRPr="00CA4331">
        <w:rPr>
          <w:rFonts w:ascii="Times New Roman" w:hAnsi="Times New Roman"/>
        </w:rPr>
        <w:t xml:space="preserve"> The employer was not sued as the person-in-charge and therefore the attribution of the relevant acts to the employer could not result in liability.</w:t>
      </w:r>
    </w:p>
    <w:p w14:paraId="45AACA67"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By contrast, Fullagar J was the clearest in analysing the case as also involving a question of "true vicarious liability: that is to say, the master is liable not for a breach of a duty resting on him and broken by him but for a breach of duty resting on another and broken by another".</w:t>
      </w:r>
      <w:r w:rsidRPr="00CA4331">
        <w:rPr>
          <w:rStyle w:val="FootnoteReference"/>
          <w:rFonts w:ascii="Times New Roman" w:hAnsi="Times New Roman"/>
          <w:sz w:val="24"/>
        </w:rPr>
        <w:footnoteReference w:id="152"/>
      </w:r>
      <w:r w:rsidRPr="00CA4331">
        <w:rPr>
          <w:rFonts w:ascii="Times New Roman" w:hAnsi="Times New Roman"/>
        </w:rPr>
        <w:t xml:space="preserve"> That question, his Honour explained, was whether Darling Island Stevedoring could be liable (vicariously) for the liability arising from the breach of statutory duty of its employee. </w:t>
      </w:r>
      <w:proofErr w:type="gramStart"/>
      <w:r w:rsidRPr="00CA4331">
        <w:rPr>
          <w:rFonts w:ascii="Times New Roman" w:hAnsi="Times New Roman"/>
        </w:rPr>
        <w:t>In order to</w:t>
      </w:r>
      <w:proofErr w:type="gramEnd"/>
      <w:r w:rsidRPr="00CA4331">
        <w:rPr>
          <w:rFonts w:ascii="Times New Roman" w:hAnsi="Times New Roman"/>
        </w:rPr>
        <w:t xml:space="preserve"> answer that </w:t>
      </w:r>
      <w:proofErr w:type="gramStart"/>
      <w:r w:rsidRPr="00CA4331">
        <w:rPr>
          <w:rFonts w:ascii="Times New Roman" w:hAnsi="Times New Roman"/>
        </w:rPr>
        <w:t>question</w:t>
      </w:r>
      <w:proofErr w:type="gramEnd"/>
      <w:r w:rsidRPr="00CA4331">
        <w:rPr>
          <w:rFonts w:ascii="Times New Roman" w:hAnsi="Times New Roman"/>
        </w:rPr>
        <w:t xml:space="preserve"> it was necessary to engage in a careful analysis of the relationship between the common law of vicarious liability and the legislation from which liability was said to derive. Fullagar J agreed with Williams J that the relevant regulation, on its proper interpretation, had excluded the operation of vicarious liability at common law.</w:t>
      </w:r>
      <w:r w:rsidRPr="00CA4331">
        <w:rPr>
          <w:rStyle w:val="FootnoteReference"/>
          <w:rFonts w:ascii="Times New Roman" w:hAnsi="Times New Roman"/>
          <w:sz w:val="24"/>
        </w:rPr>
        <w:footnoteReference w:id="153"/>
      </w:r>
    </w:p>
    <w:p w14:paraId="4423AAA8"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lastRenderedPageBreak/>
        <w:tab/>
        <w:t xml:space="preserve">The concession of vicarious liability by the Commonwealth in this case was made without consideration of any of the difficult factual and legal questions arising from the interaction between common law vicarious liability and relevant legislation. For instance, an "officer" under the </w:t>
      </w:r>
      <w:r w:rsidRPr="00CA4331">
        <w:rPr>
          <w:rFonts w:ascii="Times New Roman" w:hAnsi="Times New Roman"/>
          <w:i/>
          <w:iCs/>
        </w:rPr>
        <w:t>Migration Act</w:t>
      </w:r>
      <w:r w:rsidRPr="00CA4331">
        <w:rPr>
          <w:rFonts w:ascii="Times New Roman" w:hAnsi="Times New Roman"/>
        </w:rPr>
        <w:t>,</w:t>
      </w:r>
      <w:r w:rsidRPr="00CA4331">
        <w:rPr>
          <w:rFonts w:ascii="Times New Roman" w:hAnsi="Times New Roman"/>
          <w:i/>
          <w:iCs/>
        </w:rPr>
        <w:t xml:space="preserve"> </w:t>
      </w:r>
      <w:r w:rsidRPr="00CA4331">
        <w:rPr>
          <w:rFonts w:ascii="Times New Roman" w:hAnsi="Times New Roman"/>
        </w:rPr>
        <w:t>who has the duty under ss 189(1) and 196(1) to detain,</w:t>
      </w:r>
      <w:r w:rsidRPr="00CA4331">
        <w:rPr>
          <w:rFonts w:ascii="Times New Roman" w:hAnsi="Times New Roman"/>
          <w:i/>
          <w:iCs/>
        </w:rPr>
        <w:t xml:space="preserve"> </w:t>
      </w:r>
      <w:r w:rsidRPr="00CA4331">
        <w:rPr>
          <w:rFonts w:ascii="Times New Roman" w:hAnsi="Times New Roman"/>
        </w:rPr>
        <w:t>can include a person who is not employed by the Commonwealth</w:t>
      </w:r>
      <w:r w:rsidRPr="00CA4331">
        <w:rPr>
          <w:rStyle w:val="FootnoteReference"/>
          <w:rFonts w:ascii="Times New Roman" w:hAnsi="Times New Roman"/>
          <w:sz w:val="24"/>
        </w:rPr>
        <w:footnoteReference w:id="154"/>
      </w:r>
      <w:r w:rsidRPr="00CA4331">
        <w:rPr>
          <w:rFonts w:ascii="Times New Roman" w:hAnsi="Times New Roman"/>
        </w:rPr>
        <w:t xml:space="preserve"> and for whose actions the Commonwealth would not be subject to vicarious liability. And in Div 8 of the </w:t>
      </w:r>
      <w:r w:rsidRPr="00CA4331">
        <w:rPr>
          <w:rFonts w:ascii="Times New Roman" w:hAnsi="Times New Roman"/>
          <w:i/>
          <w:iCs/>
        </w:rPr>
        <w:t xml:space="preserve">Migration Act </w:t>
      </w:r>
      <w:r w:rsidRPr="00CA4331">
        <w:rPr>
          <w:rFonts w:ascii="Times New Roman" w:hAnsi="Times New Roman"/>
        </w:rPr>
        <w:t>("Removal of unlawful non-citizens etc") the categories of an "officer" and an "officer of the Commonwealth" are now treated alike for the purpose of various defences.</w:t>
      </w:r>
      <w:r w:rsidRPr="00CA4331">
        <w:rPr>
          <w:rStyle w:val="FootnoteReference"/>
          <w:rFonts w:ascii="Times New Roman" w:hAnsi="Times New Roman"/>
          <w:sz w:val="24"/>
        </w:rPr>
        <w:footnoteReference w:id="155"/>
      </w:r>
      <w:r w:rsidRPr="00CA4331">
        <w:rPr>
          <w:rFonts w:ascii="Times New Roman" w:hAnsi="Times New Roman"/>
        </w:rPr>
        <w:t xml:space="preserve"> Should the Commonwealth Parliament be taken to intend that the </w:t>
      </w:r>
      <w:r w:rsidRPr="00CA4331">
        <w:rPr>
          <w:rFonts w:ascii="Times New Roman" w:hAnsi="Times New Roman"/>
          <w:i/>
          <w:iCs/>
        </w:rPr>
        <w:t xml:space="preserve">Migration Act </w:t>
      </w:r>
      <w:r w:rsidRPr="00CA4331">
        <w:rPr>
          <w:rFonts w:ascii="Times New Roman" w:hAnsi="Times New Roman"/>
        </w:rPr>
        <w:t>operate alongside a common law regime of vicarious liability based upon the liability of an officer for the same act but depending upon whether the officer is a Commonwealth officer or not?</w:t>
      </w:r>
    </w:p>
    <w:p w14:paraId="2756D5AF"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 xml:space="preserve">Beyond the operation of ss 189(1) and 196(1) there are questions concerning vicarious liability that loom in relation to the </w:t>
      </w:r>
      <w:r w:rsidRPr="00CA4331">
        <w:rPr>
          <w:rFonts w:ascii="Times New Roman" w:hAnsi="Times New Roman"/>
          <w:i/>
          <w:iCs/>
        </w:rPr>
        <w:t xml:space="preserve">Migration Act </w:t>
      </w:r>
      <w:r w:rsidRPr="00CA4331">
        <w:rPr>
          <w:rFonts w:ascii="Times New Roman" w:hAnsi="Times New Roman"/>
        </w:rPr>
        <w:t xml:space="preserve">generally. Should the Commonwealth Parliament be taken to intend that the </w:t>
      </w:r>
      <w:r w:rsidRPr="00CA4331">
        <w:rPr>
          <w:rFonts w:ascii="Times New Roman" w:hAnsi="Times New Roman"/>
          <w:i/>
          <w:iCs/>
        </w:rPr>
        <w:t xml:space="preserve">Migration Act </w:t>
      </w:r>
      <w:r w:rsidRPr="00CA4331">
        <w:rPr>
          <w:rFonts w:ascii="Times New Roman" w:hAnsi="Times New Roman"/>
        </w:rPr>
        <w:t>operate alongside a regime of common law vicarious liability based upon whether the person performing an act is the Minister or an officer who is a delegate of the Minister (and employed by the Commonwealth)? Are the good faith defences, such as those in s 198(13), concerned with liability based upon agency, rather than vicarious liability, since a condition of the defence, and the consequent absence of liability, is expressed as being "in relation to any act or thing done, or omitted to be done" rather than in relation to any liability incurred by another?</w:t>
      </w:r>
    </w:p>
    <w:p w14:paraId="49506E92"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 xml:space="preserve">None of these questions clearly arise in relation to direct liability of the Commonwealth. The </w:t>
      </w:r>
      <w:r w:rsidRPr="00CA4331">
        <w:rPr>
          <w:rFonts w:ascii="Times New Roman" w:hAnsi="Times New Roman"/>
          <w:i/>
          <w:iCs/>
        </w:rPr>
        <w:t xml:space="preserve">Migration Act </w:t>
      </w:r>
      <w:r w:rsidRPr="00CA4331">
        <w:rPr>
          <w:rFonts w:ascii="Times New Roman" w:hAnsi="Times New Roman"/>
        </w:rPr>
        <w:t xml:space="preserve">must have been drafted and amended in light of the long-established path to Commonwealth liability being liability for the attributable acts of its agents, which necessarily requires consideration of whether, despite any immunity of its agents, the Commonwealth itself has any immunity from liability based upon an act or omission that is attributed to it. In </w:t>
      </w:r>
      <w:r w:rsidRPr="00CA4331">
        <w:rPr>
          <w:rFonts w:ascii="Times New Roman" w:hAnsi="Times New Roman"/>
          <w:i/>
          <w:iCs/>
        </w:rPr>
        <w:t>Zachariassen v The Commonwealth</w:t>
      </w:r>
      <w:r w:rsidRPr="00CA4331">
        <w:rPr>
          <w:rFonts w:ascii="Times New Roman" w:hAnsi="Times New Roman"/>
        </w:rPr>
        <w:t>,</w:t>
      </w:r>
      <w:r w:rsidRPr="00CA4331">
        <w:rPr>
          <w:rStyle w:val="FootnoteReference"/>
          <w:rFonts w:ascii="Times New Roman" w:hAnsi="Times New Roman"/>
          <w:sz w:val="24"/>
        </w:rPr>
        <w:footnoteReference w:id="156"/>
      </w:r>
      <w:r w:rsidRPr="00CA4331">
        <w:rPr>
          <w:rFonts w:ascii="Times New Roman" w:hAnsi="Times New Roman"/>
        </w:rPr>
        <w:t xml:space="preserve"> a joint judgment of Barton, Isaacs and Rich JJ said of officers of the Department of Trade and Customs acting in the administration of the Department that it was:</w:t>
      </w:r>
    </w:p>
    <w:p w14:paraId="2DAEA245" w14:textId="77777777" w:rsidR="009F6ECF" w:rsidRDefault="009F6ECF" w:rsidP="00CA4331">
      <w:pPr>
        <w:pStyle w:val="LeftrightafterHC"/>
        <w:spacing w:before="0" w:after="260" w:line="280" w:lineRule="exact"/>
        <w:ind w:right="0"/>
        <w:jc w:val="both"/>
        <w:rPr>
          <w:rFonts w:ascii="Times New Roman" w:hAnsi="Times New Roman"/>
        </w:rPr>
      </w:pPr>
      <w:r w:rsidRPr="00CA4331">
        <w:rPr>
          <w:rFonts w:ascii="Times New Roman" w:hAnsi="Times New Roman"/>
        </w:rPr>
        <w:t>"</w:t>
      </w:r>
      <w:proofErr w:type="gramStart"/>
      <w:r w:rsidRPr="00CA4331">
        <w:rPr>
          <w:rFonts w:ascii="Times New Roman" w:hAnsi="Times New Roman"/>
        </w:rPr>
        <w:t>difficult</w:t>
      </w:r>
      <w:proofErr w:type="gramEnd"/>
      <w:r w:rsidRPr="00CA4331">
        <w:rPr>
          <w:rFonts w:ascii="Times New Roman" w:hAnsi="Times New Roman"/>
        </w:rPr>
        <w:t xml:space="preserve"> to see how the Commonwealth can so far dissociate itself from the administration of the Department as to say any of its functions are not </w:t>
      </w:r>
      <w:r w:rsidRPr="00CA4331">
        <w:rPr>
          <w:rFonts w:ascii="Times New Roman" w:hAnsi="Times New Roman"/>
        </w:rPr>
        <w:lastRenderedPageBreak/>
        <w:t>functions of the Commonwealth, but of some person in his own individual capacity, entirely independent of the Commonwealth".</w:t>
      </w:r>
    </w:p>
    <w:p w14:paraId="1F93F2A2" w14:textId="77777777" w:rsidR="009F6ECF" w:rsidRPr="00CA4331" w:rsidRDefault="009F6ECF" w:rsidP="00CA4331">
      <w:pPr>
        <w:pStyle w:val="NormalBody"/>
        <w:spacing w:after="260" w:line="280" w:lineRule="exact"/>
        <w:ind w:right="0"/>
        <w:jc w:val="both"/>
        <w:rPr>
          <w:rFonts w:ascii="Times New Roman" w:hAnsi="Times New Roman"/>
        </w:rPr>
      </w:pPr>
      <w:r w:rsidRPr="00CA4331">
        <w:rPr>
          <w:rFonts w:ascii="Times New Roman" w:hAnsi="Times New Roman"/>
        </w:rPr>
        <w:t xml:space="preserve">In relation to the execution of the </w:t>
      </w:r>
      <w:r w:rsidRPr="00CA4331">
        <w:rPr>
          <w:rFonts w:ascii="Times New Roman" w:hAnsi="Times New Roman"/>
          <w:i/>
          <w:iCs/>
        </w:rPr>
        <w:t>Customs</w:t>
      </w:r>
      <w:r w:rsidRPr="00CA4331">
        <w:rPr>
          <w:rFonts w:ascii="Times New Roman" w:hAnsi="Times New Roman"/>
          <w:i/>
        </w:rPr>
        <w:t xml:space="preserve"> Act</w:t>
      </w:r>
      <w:r w:rsidRPr="00CA4331">
        <w:rPr>
          <w:rFonts w:ascii="Times New Roman" w:hAnsi="Times New Roman"/>
          <w:i/>
          <w:iCs/>
        </w:rPr>
        <w:t xml:space="preserve"> </w:t>
      </w:r>
      <w:r w:rsidRPr="00CA4331">
        <w:rPr>
          <w:rFonts w:ascii="Times New Roman" w:hAnsi="Times New Roman"/>
          <w:i/>
        </w:rPr>
        <w:t>1901</w:t>
      </w:r>
      <w:r w:rsidRPr="00CA4331">
        <w:rPr>
          <w:rFonts w:ascii="Times New Roman" w:hAnsi="Times New Roman"/>
        </w:rPr>
        <w:t xml:space="preserve"> (</w:t>
      </w:r>
      <w:proofErr w:type="spellStart"/>
      <w:r w:rsidRPr="00CA4331">
        <w:rPr>
          <w:rFonts w:ascii="Times New Roman" w:hAnsi="Times New Roman"/>
        </w:rPr>
        <w:t>Cth</w:t>
      </w:r>
      <w:proofErr w:type="spellEnd"/>
      <w:r w:rsidRPr="00CA4331">
        <w:rPr>
          <w:rFonts w:ascii="Times New Roman" w:hAnsi="Times New Roman"/>
        </w:rPr>
        <w:t>), the joint judgment added "[s]o reading it, there is a duty on the Commonwealth (by the hand of the Collector) to grant the clearance if satisfied that the law has been complied with".</w:t>
      </w:r>
      <w:r w:rsidRPr="00CA4331">
        <w:rPr>
          <w:rStyle w:val="FootnoteReference"/>
          <w:rFonts w:ascii="Times New Roman" w:hAnsi="Times New Roman"/>
          <w:sz w:val="24"/>
        </w:rPr>
        <w:footnoteReference w:id="157"/>
      </w:r>
    </w:p>
    <w:p w14:paraId="09CFE1DC"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b/>
          <w:bCs/>
        </w:rPr>
        <w:tab/>
      </w:r>
      <w:r w:rsidRPr="00CA4331">
        <w:rPr>
          <w:rFonts w:ascii="Times New Roman" w:hAnsi="Times New Roman"/>
        </w:rPr>
        <w:t xml:space="preserve">Again, in </w:t>
      </w:r>
      <w:r w:rsidRPr="00CA4331">
        <w:rPr>
          <w:rFonts w:ascii="Times New Roman" w:hAnsi="Times New Roman"/>
          <w:i/>
          <w:iCs/>
        </w:rPr>
        <w:t>Shaw Savill and Albion Co Ltd v The Commonwealth,</w:t>
      </w:r>
      <w:r w:rsidRPr="00CA4331">
        <w:rPr>
          <w:rStyle w:val="FootnoteReference"/>
          <w:rFonts w:ascii="Times New Roman" w:hAnsi="Times New Roman"/>
          <w:sz w:val="24"/>
        </w:rPr>
        <w:footnoteReference w:id="158"/>
      </w:r>
      <w:r w:rsidRPr="00CA4331">
        <w:rPr>
          <w:rFonts w:ascii="Times New Roman" w:hAnsi="Times New Roman"/>
          <w:i/>
          <w:iCs/>
        </w:rPr>
        <w:t xml:space="preserve"> </w:t>
      </w:r>
      <w:r w:rsidRPr="00CA4331">
        <w:rPr>
          <w:rFonts w:ascii="Times New Roman" w:hAnsi="Times New Roman"/>
        </w:rPr>
        <w:t xml:space="preserve">Starke J spoke of the liability of the Commonwealth, consistently with ss 56 and 64 of the </w:t>
      </w:r>
      <w:r w:rsidRPr="00CA4331">
        <w:rPr>
          <w:rFonts w:ascii="Times New Roman" w:hAnsi="Times New Roman"/>
          <w:i/>
          <w:iCs/>
        </w:rPr>
        <w:t xml:space="preserve">Judiciary Act 1903 </w:t>
      </w:r>
      <w:r w:rsidRPr="00CA4331">
        <w:rPr>
          <w:rFonts w:ascii="Times New Roman" w:hAnsi="Times New Roman"/>
        </w:rPr>
        <w:t>(</w:t>
      </w:r>
      <w:proofErr w:type="spellStart"/>
      <w:r w:rsidRPr="00CA4331">
        <w:rPr>
          <w:rFonts w:ascii="Times New Roman" w:hAnsi="Times New Roman"/>
        </w:rPr>
        <w:t>Cth</w:t>
      </w:r>
      <w:proofErr w:type="spellEnd"/>
      <w:r w:rsidRPr="00CA4331">
        <w:rPr>
          <w:rFonts w:ascii="Times New Roman" w:hAnsi="Times New Roman"/>
        </w:rPr>
        <w:t xml:space="preserve">) and the </w:t>
      </w:r>
      <w:r w:rsidRPr="00CA4331">
        <w:rPr>
          <w:rFonts w:ascii="Times New Roman" w:hAnsi="Times New Roman"/>
          <w:i/>
          <w:iCs/>
        </w:rPr>
        <w:t>Constitution</w:t>
      </w:r>
      <w:r w:rsidRPr="00CA4331">
        <w:rPr>
          <w:rFonts w:ascii="Times New Roman" w:hAnsi="Times New Roman"/>
        </w:rPr>
        <w:t xml:space="preserve">, "for the </w:t>
      </w:r>
      <w:r w:rsidRPr="00CA4331">
        <w:rPr>
          <w:rFonts w:ascii="Times New Roman" w:hAnsi="Times New Roman"/>
          <w:i/>
          <w:iCs/>
        </w:rPr>
        <w:t>acts, neglects or defaults</w:t>
      </w:r>
      <w:r w:rsidRPr="00CA4331">
        <w:rPr>
          <w:rFonts w:ascii="Times New Roman" w:hAnsi="Times New Roman"/>
        </w:rPr>
        <w:t xml:space="preserve"> of its officers in the course of their service as in a suit between subject and subject unless the officer is executing some independent duty cast upon him by the law". The reference to an independent duty is to the doctrine derived from </w:t>
      </w:r>
      <w:proofErr w:type="spellStart"/>
      <w:r w:rsidRPr="00CA4331">
        <w:rPr>
          <w:rFonts w:ascii="Times New Roman" w:hAnsi="Times New Roman"/>
          <w:i/>
          <w:iCs/>
        </w:rPr>
        <w:t>Enever</w:t>
      </w:r>
      <w:proofErr w:type="spellEnd"/>
      <w:r w:rsidRPr="00CA4331">
        <w:rPr>
          <w:rFonts w:ascii="Times New Roman" w:hAnsi="Times New Roman"/>
          <w:i/>
          <w:iCs/>
        </w:rPr>
        <w:t xml:space="preserve"> v The</w:t>
      </w:r>
      <w:r>
        <w:rPr>
          <w:rFonts w:ascii="Times New Roman" w:hAnsi="Times New Roman"/>
          <w:i/>
          <w:iCs/>
        </w:rPr>
        <w:t> </w:t>
      </w:r>
      <w:r w:rsidRPr="00CA4331">
        <w:rPr>
          <w:rFonts w:ascii="Times New Roman" w:hAnsi="Times New Roman"/>
          <w:i/>
          <w:iCs/>
        </w:rPr>
        <w:t>King</w:t>
      </w:r>
      <w:r w:rsidRPr="00CA4331">
        <w:rPr>
          <w:rFonts w:ascii="Times New Roman" w:hAnsi="Times New Roman"/>
        </w:rPr>
        <w:t>.</w:t>
      </w:r>
      <w:r w:rsidRPr="00CA4331">
        <w:rPr>
          <w:rStyle w:val="FootnoteReference"/>
          <w:rFonts w:ascii="Times New Roman" w:hAnsi="Times New Roman"/>
          <w:sz w:val="24"/>
        </w:rPr>
        <w:footnoteReference w:id="159"/>
      </w:r>
      <w:r w:rsidRPr="00CA4331">
        <w:rPr>
          <w:rFonts w:ascii="Times New Roman" w:hAnsi="Times New Roman"/>
        </w:rPr>
        <w:t xml:space="preserve"> That "firmly established"</w:t>
      </w:r>
      <w:r w:rsidRPr="00CA4331">
        <w:rPr>
          <w:rStyle w:val="FootnoteReference"/>
          <w:rFonts w:ascii="Times New Roman" w:hAnsi="Times New Roman"/>
          <w:sz w:val="24"/>
        </w:rPr>
        <w:footnoteReference w:id="160"/>
      </w:r>
      <w:r w:rsidRPr="00CA4331">
        <w:rPr>
          <w:rFonts w:ascii="Times New Roman" w:hAnsi="Times New Roman"/>
        </w:rPr>
        <w:t xml:space="preserve"> doctrine, consistently with the principles of the "general law of agency",</w:t>
      </w:r>
      <w:r w:rsidRPr="00CA4331">
        <w:rPr>
          <w:rStyle w:val="FootnoteReference"/>
          <w:rFonts w:ascii="Times New Roman" w:hAnsi="Times New Roman"/>
          <w:sz w:val="24"/>
        </w:rPr>
        <w:footnoteReference w:id="161"/>
      </w:r>
      <w:r w:rsidRPr="00CA4331">
        <w:rPr>
          <w:rFonts w:ascii="Times New Roman" w:hAnsi="Times New Roman"/>
        </w:rPr>
        <w:t xml:space="preserve"> excludes the attribution to the Commonwealth of an act by an officer where the act is not  undertaken as an agent for the Commonwealth but is undertaken on the officer's own behalf.</w:t>
      </w:r>
      <w:r w:rsidRPr="00CA4331">
        <w:rPr>
          <w:rStyle w:val="FootnoteReference"/>
          <w:rFonts w:ascii="Times New Roman" w:hAnsi="Times New Roman"/>
          <w:sz w:val="24"/>
        </w:rPr>
        <w:footnoteReference w:id="162"/>
      </w:r>
      <w:r w:rsidRPr="00CA4331">
        <w:rPr>
          <w:rFonts w:ascii="Times New Roman" w:hAnsi="Times New Roman"/>
        </w:rPr>
        <w:t xml:space="preserve"> The "Crown is not acting through [the officer]".</w:t>
      </w:r>
      <w:r w:rsidRPr="00CA4331">
        <w:rPr>
          <w:rStyle w:val="FootnoteReference"/>
          <w:rFonts w:ascii="Times New Roman" w:hAnsi="Times New Roman"/>
          <w:sz w:val="24"/>
        </w:rPr>
        <w:footnoteReference w:id="163"/>
      </w:r>
    </w:p>
    <w:p w14:paraId="07186076"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 xml:space="preserve">It is unnecessary to consider whether the doctrine that precludes attribution to the Commonwealth of the independent acts of an officer could, or should, apply to "true" vicarious liability which does not rest upon principles of agency. The acts of detention, purportedly authorised under ss 189(1) and 196(1) of the </w:t>
      </w:r>
      <w:r w:rsidRPr="00CA4331">
        <w:rPr>
          <w:rFonts w:ascii="Times New Roman" w:hAnsi="Times New Roman"/>
          <w:i/>
          <w:iCs/>
        </w:rPr>
        <w:t>Migration</w:t>
      </w:r>
      <w:r>
        <w:rPr>
          <w:rFonts w:ascii="Times New Roman" w:hAnsi="Times New Roman"/>
          <w:i/>
          <w:iCs/>
        </w:rPr>
        <w:t> </w:t>
      </w:r>
      <w:r w:rsidRPr="00CA4331">
        <w:rPr>
          <w:rFonts w:ascii="Times New Roman" w:hAnsi="Times New Roman"/>
          <w:i/>
          <w:iCs/>
        </w:rPr>
        <w:t>Act</w:t>
      </w:r>
      <w:r w:rsidRPr="00CA4331">
        <w:rPr>
          <w:rFonts w:ascii="Times New Roman" w:hAnsi="Times New Roman"/>
        </w:rPr>
        <w:t>, were not performed in this case by the detaining officer on their own behalf and by their own discretion.</w:t>
      </w:r>
      <w:r w:rsidRPr="00CA4331">
        <w:rPr>
          <w:rStyle w:val="FootnoteReference"/>
          <w:rFonts w:ascii="Times New Roman" w:hAnsi="Times New Roman"/>
          <w:sz w:val="24"/>
        </w:rPr>
        <w:footnoteReference w:id="164"/>
      </w:r>
      <w:r w:rsidRPr="00CA4331">
        <w:rPr>
          <w:rFonts w:ascii="Times New Roman" w:hAnsi="Times New Roman"/>
        </w:rPr>
        <w:t xml:space="preserve"> The officers to which the </w:t>
      </w:r>
      <w:r w:rsidRPr="00CA4331">
        <w:rPr>
          <w:rFonts w:ascii="Times New Roman" w:hAnsi="Times New Roman"/>
          <w:i/>
          <w:iCs/>
        </w:rPr>
        <w:t xml:space="preserve">Migration Act </w:t>
      </w:r>
      <w:r w:rsidRPr="00CA4331">
        <w:rPr>
          <w:rFonts w:ascii="Times New Roman" w:hAnsi="Times New Roman"/>
        </w:rPr>
        <w:lastRenderedPageBreak/>
        <w:t xml:space="preserve">refers are generally not persons who occupy a prescribed statutory position where they act on their own behalf. Rather, the definition of an officer in s 5(1) of the </w:t>
      </w:r>
      <w:r w:rsidRPr="00CA4331">
        <w:rPr>
          <w:rFonts w:ascii="Times New Roman" w:hAnsi="Times New Roman"/>
          <w:i/>
          <w:iCs/>
        </w:rPr>
        <w:t xml:space="preserve">Migration Act </w:t>
      </w:r>
      <w:r w:rsidRPr="00CA4331">
        <w:rPr>
          <w:rFonts w:ascii="Times New Roman" w:hAnsi="Times New Roman"/>
        </w:rPr>
        <w:t>includes "an officer of the Department, other than an officer specified by the Minister in writing for the purposes of this paragraph".</w:t>
      </w:r>
    </w:p>
    <w:p w14:paraId="4D39306F"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 xml:space="preserve">The natural manner of imposing liability upon the Commonwealth, subject to defences, is therefore through the principles of agency. And the only true defence to direct liability which has been suggested by the Commonwealth to be applicable in this case is the proposed new defence. The issues raised in this special case should not be complicated by assuming contentious facts and legal propositions </w:t>
      </w:r>
      <w:proofErr w:type="gramStart"/>
      <w:r w:rsidRPr="00CA4331">
        <w:rPr>
          <w:rFonts w:ascii="Times New Roman" w:hAnsi="Times New Roman"/>
        </w:rPr>
        <w:t>in order to</w:t>
      </w:r>
      <w:proofErr w:type="gramEnd"/>
      <w:r w:rsidRPr="00CA4331">
        <w:rPr>
          <w:rFonts w:ascii="Times New Roman" w:hAnsi="Times New Roman"/>
        </w:rPr>
        <w:t xml:space="preserve"> treat the Commonwealth as vicariously liable </w:t>
      </w:r>
      <w:proofErr w:type="gramStart"/>
      <w:r w:rsidRPr="00CA4331">
        <w:rPr>
          <w:rFonts w:ascii="Times New Roman" w:hAnsi="Times New Roman"/>
        </w:rPr>
        <w:t>in the event that</w:t>
      </w:r>
      <w:proofErr w:type="gramEnd"/>
      <w:r w:rsidRPr="00CA4331">
        <w:rPr>
          <w:rFonts w:ascii="Times New Roman" w:hAnsi="Times New Roman"/>
        </w:rPr>
        <w:t xml:space="preserve"> the detaining officer is not immune from liability. The better approach is to address directly the special case question before the Court which asks whether the proposed new defence (</w:t>
      </w:r>
      <w:proofErr w:type="gramStart"/>
      <w:r w:rsidRPr="00CA4331">
        <w:rPr>
          <w:rFonts w:ascii="Times New Roman" w:hAnsi="Times New Roman"/>
        </w:rPr>
        <w:t>in the nature of an</w:t>
      </w:r>
      <w:proofErr w:type="gramEnd"/>
      <w:r w:rsidRPr="00CA4331">
        <w:rPr>
          <w:rFonts w:ascii="Times New Roman" w:hAnsi="Times New Roman"/>
        </w:rPr>
        <w:t xml:space="preserve"> immunity) is available to both the officers and the Commonwealth.</w:t>
      </w:r>
    </w:p>
    <w:p w14:paraId="2603FA8D" w14:textId="77777777" w:rsidR="009F6ECF" w:rsidRPr="00CA4331" w:rsidRDefault="009F6ECF" w:rsidP="00CA4331">
      <w:pPr>
        <w:pStyle w:val="HeadingL1"/>
        <w:spacing w:after="260" w:line="280" w:lineRule="exact"/>
        <w:ind w:right="0"/>
        <w:jc w:val="both"/>
        <w:rPr>
          <w:rFonts w:ascii="Times New Roman" w:hAnsi="Times New Roman"/>
        </w:rPr>
      </w:pPr>
      <w:r w:rsidRPr="00CA4331">
        <w:rPr>
          <w:rFonts w:ascii="Times New Roman" w:hAnsi="Times New Roman"/>
        </w:rPr>
        <w:t>The proposed new defence</w:t>
      </w:r>
    </w:p>
    <w:p w14:paraId="01AFC01A"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 xml:space="preserve">The proposed new defence, which is </w:t>
      </w:r>
      <w:proofErr w:type="gramStart"/>
      <w:r w:rsidRPr="00CA4331">
        <w:rPr>
          <w:rFonts w:ascii="Times New Roman" w:hAnsi="Times New Roman"/>
        </w:rPr>
        <w:t>in the nature of an</w:t>
      </w:r>
      <w:proofErr w:type="gramEnd"/>
      <w:r w:rsidRPr="00CA4331">
        <w:rPr>
          <w:rFonts w:ascii="Times New Roman" w:hAnsi="Times New Roman"/>
        </w:rPr>
        <w:t xml:space="preserve"> immunity, must be considered as both an immunity from liability for the Executive and an immunity from liability for the Commonwealth body politic. The Commonwealth submitted that the new defence required, at most, three aspects (with later cases to consider whether any of these aspects might be unnecessary): (</w:t>
      </w:r>
      <w:proofErr w:type="spellStart"/>
      <w:r w:rsidRPr="00CA4331">
        <w:rPr>
          <w:rFonts w:ascii="Times New Roman" w:hAnsi="Times New Roman"/>
        </w:rPr>
        <w:t>i</w:t>
      </w:r>
      <w:proofErr w:type="spellEnd"/>
      <w:r w:rsidRPr="00CA4331">
        <w:rPr>
          <w:rFonts w:ascii="Times New Roman" w:hAnsi="Times New Roman"/>
        </w:rPr>
        <w:t xml:space="preserve">) actions were taken by an officer of the Executive whose duty to obey the law as declared by this Court was reinforced by the </w:t>
      </w:r>
      <w:r w:rsidRPr="00CA4331">
        <w:rPr>
          <w:rFonts w:ascii="Times New Roman" w:hAnsi="Times New Roman"/>
          <w:i/>
          <w:iCs/>
        </w:rPr>
        <w:t xml:space="preserve">Public Service Act 1999 </w:t>
      </w:r>
      <w:r w:rsidRPr="00CA4331">
        <w:rPr>
          <w:rFonts w:ascii="Times New Roman" w:hAnsi="Times New Roman"/>
        </w:rPr>
        <w:t>(</w:t>
      </w:r>
      <w:proofErr w:type="spellStart"/>
      <w:r w:rsidRPr="00CA4331">
        <w:rPr>
          <w:rFonts w:ascii="Times New Roman" w:hAnsi="Times New Roman"/>
        </w:rPr>
        <w:t>Cth</w:t>
      </w:r>
      <w:proofErr w:type="spellEnd"/>
      <w:r w:rsidRPr="00CA4331">
        <w:rPr>
          <w:rFonts w:ascii="Times New Roman" w:hAnsi="Times New Roman"/>
        </w:rPr>
        <w:t xml:space="preserve">), particularly s 13(4); (ii) the officer was acting pursuant to an apparent statutory duty to detain (such as ss 189(1) and 196(1) of the </w:t>
      </w:r>
      <w:r w:rsidRPr="00CA4331">
        <w:rPr>
          <w:rFonts w:ascii="Times New Roman" w:hAnsi="Times New Roman"/>
          <w:i/>
          <w:iCs/>
        </w:rPr>
        <w:t>Migration Act</w:t>
      </w:r>
      <w:r w:rsidRPr="00CA4331">
        <w:rPr>
          <w:rFonts w:ascii="Times New Roman" w:hAnsi="Times New Roman"/>
        </w:rPr>
        <w:t xml:space="preserve">); and (iii) the officer was acting during a period of time when current and binding High Court authority (such as </w:t>
      </w:r>
      <w:r w:rsidRPr="00CA4331">
        <w:rPr>
          <w:rFonts w:ascii="Times New Roman" w:hAnsi="Times New Roman"/>
          <w:i/>
          <w:iCs/>
        </w:rPr>
        <w:t>Al-Kateb</w:t>
      </w:r>
      <w:r w:rsidRPr="00CA4331">
        <w:rPr>
          <w:rFonts w:ascii="Times New Roman" w:hAnsi="Times New Roman"/>
        </w:rPr>
        <w:t>) held that the duty to detain validly applied to require such detention.</w:t>
      </w:r>
    </w:p>
    <w:p w14:paraId="4E6966DB"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As to the first aspect of the formulation of the proposed new defence, s</w:t>
      </w:r>
      <w:r>
        <w:rPr>
          <w:rFonts w:ascii="Times New Roman" w:hAnsi="Times New Roman"/>
        </w:rPr>
        <w:t> </w:t>
      </w:r>
      <w:r w:rsidRPr="00CA4331">
        <w:rPr>
          <w:rFonts w:ascii="Times New Roman" w:hAnsi="Times New Roman"/>
        </w:rPr>
        <w:t xml:space="preserve">13(4) of the </w:t>
      </w:r>
      <w:r w:rsidRPr="00CA4331">
        <w:rPr>
          <w:rFonts w:ascii="Times New Roman" w:hAnsi="Times New Roman"/>
          <w:i/>
          <w:iCs/>
        </w:rPr>
        <w:t>Public Service Act</w:t>
      </w:r>
      <w:r w:rsidRPr="00CA4331">
        <w:rPr>
          <w:rFonts w:ascii="Times New Roman" w:hAnsi="Times New Roman"/>
        </w:rPr>
        <w:t>, when read with the definitions in s 7, provides that an Australian Public Service employee "when acting in connection with [Australian Public Service] employment, must comply with all applicable Australian laws". Section 13(4) provides for the meaning of "Australian law" in terms which include "any Act (including this Act)".</w:t>
      </w:r>
      <w:r w:rsidRPr="00CA4331">
        <w:rPr>
          <w:rStyle w:val="FootnoteReference"/>
          <w:rFonts w:ascii="Times New Roman" w:hAnsi="Times New Roman"/>
          <w:sz w:val="24"/>
        </w:rPr>
        <w:footnoteReference w:id="165"/>
      </w:r>
      <w:r w:rsidRPr="00CA4331">
        <w:rPr>
          <w:rFonts w:ascii="Times New Roman" w:hAnsi="Times New Roman"/>
        </w:rPr>
        <w:t xml:space="preserve"> Section 15 provides for disciplinary sanctions for breaches of the Code of Conduct, which includes s 13(4).</w:t>
      </w:r>
    </w:p>
    <w:p w14:paraId="3C9BCF5B"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 xml:space="preserve">This first aspect of the formulation of the proposed new defence does not add anything to the second and third aspects of the defence. The Australian laws to which s 13(4) of the </w:t>
      </w:r>
      <w:r w:rsidRPr="00CA4331">
        <w:rPr>
          <w:rFonts w:ascii="Times New Roman" w:hAnsi="Times New Roman"/>
          <w:i/>
          <w:iCs/>
        </w:rPr>
        <w:t xml:space="preserve">Public Service Act </w:t>
      </w:r>
      <w:r w:rsidRPr="00CA4331">
        <w:rPr>
          <w:rFonts w:ascii="Times New Roman" w:hAnsi="Times New Roman"/>
        </w:rPr>
        <w:t xml:space="preserve">refers are only those laws which are valid and applicable. Of course, the exclusion from s 13(4) of invalid or inapplicable laws does not mean that officers are free to disregard binding orders </w:t>
      </w:r>
      <w:r w:rsidRPr="00CA4331">
        <w:rPr>
          <w:rFonts w:ascii="Times New Roman" w:hAnsi="Times New Roman"/>
        </w:rPr>
        <w:lastRenderedPageBreak/>
        <w:t>of a court.</w:t>
      </w:r>
      <w:r w:rsidRPr="00CA4331">
        <w:rPr>
          <w:rStyle w:val="FootnoteReference"/>
          <w:rFonts w:ascii="Times New Roman" w:hAnsi="Times New Roman"/>
          <w:sz w:val="24"/>
        </w:rPr>
        <w:footnoteReference w:id="166"/>
      </w:r>
      <w:r w:rsidRPr="00CA4331">
        <w:rPr>
          <w:rFonts w:ascii="Times New Roman" w:hAnsi="Times New Roman"/>
        </w:rPr>
        <w:t xml:space="preserve"> Court orders, even if supported by incorrect reasoning, have binding effect until set aside. But neither orders nor reasoning of a court, in a case to which an officer is not a party (or a privy of a party), is directly binding on the officer. The reasoning in such cases creates norms that the officer should usually follow but the officer is not directly bound to do so. Section 13(4) therefore does not create a duty of obedience to invalid or inapplicable laws which might appear from reasoning in court decisions (other than those in which the officer is a party), perhaps even very clearly, to be valid and applicable.</w:t>
      </w:r>
    </w:p>
    <w:p w14:paraId="406EA0D6"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An officer might receive legal advice that the circumstances of a case were sufficiently different from a similar case to require a different application. Or the officer might receive legal advice that it is unclear from the reasoning in the similar case whether that case applies to the facts before the officer. Or the officer might receive legal advice that the similar case is vulnerable to challenge. In each instance, the officer would no doubt be advised of the risk involved if the officer did not apply the legal norm set out in the similar case and it was later held that the legal norm did apply to the circumstances. The legal norms created by the reasoning in judicial decisions are not things writ in water; they must be weighed carefully and usually followed. But they do not bind directly. Hence, s 13(4) does not require an officer to apply a statutory law if, on the correct application, that law is inapplicable to the circumstances before the officer.</w:t>
      </w:r>
    </w:p>
    <w:p w14:paraId="6F1D1638"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The content of the proposed new defence therefore reduces to the second and third aspects. Those aspects are rife with uncertainty as to their limits and their rationale. Why would the immunity be limited to false imprisonment arising from an apparent duty to detain? Would it extend to a claim of trespass where the officer relies upon an apparent duty to enter the land of another? Would it extend to a claim of assault or battery where the officer relies upon an apparent duty to act in a way that involves an assault or battery? Would the immunity extend to the exercise of statutory powers in addition to duties? When is a duty to detain sufficiently "apparent" from legislation? Would a duty that is sufficiently apparent cease to be so if the officer had received legal advice that the position was uncertain? Would the binding authority that is one of the criteria for the immunity be limited to binding authority of this Court, as the Commonwealth sought to confine it for the purposes of this case? Would the immunity apply if the only reason that there was no binding authority of any court was that there was no doubt at the time concerning the interpretation of the apparent statutory duty?</w:t>
      </w:r>
    </w:p>
    <w:p w14:paraId="49EA5270"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 xml:space="preserve">The vast uncertainty in the formulation of this proposed new defence is not a promising start. Perhaps recognising this, the Commonwealth sought to avoid the questions surrounding the proposed immunity effectively by submitting that the immunity should be recognised in this case in terms closely tailored to the particular facts, leaving the identification of the boundaries and operation of the </w:t>
      </w:r>
      <w:r w:rsidRPr="00CA4331">
        <w:rPr>
          <w:rFonts w:ascii="Times New Roman" w:hAnsi="Times New Roman"/>
        </w:rPr>
        <w:lastRenderedPageBreak/>
        <w:t>proposed immunity, and thus its principled foundation, to future cases. The Commonwealth relied upon reasoning of some members of this Court that the "performance of an adjudicative function in an adversary setting 'proceeds best when it proceeds if, and no further than is, warranted to determine a legal right or legal liability in controversy'".</w:t>
      </w:r>
      <w:r w:rsidRPr="00CA4331">
        <w:rPr>
          <w:rStyle w:val="FootnoteReference"/>
          <w:rFonts w:ascii="Times New Roman" w:hAnsi="Times New Roman"/>
          <w:sz w:val="24"/>
        </w:rPr>
        <w:footnoteReference w:id="167"/>
      </w:r>
      <w:r w:rsidRPr="00CA4331">
        <w:rPr>
          <w:rFonts w:ascii="Times New Roman" w:hAnsi="Times New Roman"/>
        </w:rPr>
        <w:t xml:space="preserve"> Whatever that reasoning might mean,</w:t>
      </w:r>
      <w:r w:rsidRPr="00CA4331">
        <w:rPr>
          <w:rStyle w:val="FootnoteReference"/>
          <w:rFonts w:ascii="Times New Roman" w:hAnsi="Times New Roman"/>
          <w:sz w:val="24"/>
        </w:rPr>
        <w:footnoteReference w:id="168"/>
      </w:r>
      <w:r w:rsidRPr="00CA4331">
        <w:rPr>
          <w:rFonts w:ascii="Times New Roman" w:hAnsi="Times New Roman"/>
        </w:rPr>
        <w:t xml:space="preserve"> it cannot be taken literally. No court, including this Court, enjoys a licence to abandon the principled development of the law at the altar of ad hoc teleological reasoning under a mask of judicial minimalism. The basis in principle for the proposed immunity must be addressed.</w:t>
      </w:r>
    </w:p>
    <w:p w14:paraId="3D696256" w14:textId="77777777" w:rsidR="009F6ECF" w:rsidRPr="00CA4331" w:rsidRDefault="009F6ECF" w:rsidP="00CA4331">
      <w:pPr>
        <w:pStyle w:val="HeadingL1"/>
        <w:spacing w:after="260" w:line="280" w:lineRule="exact"/>
        <w:ind w:right="0"/>
        <w:jc w:val="both"/>
        <w:rPr>
          <w:rFonts w:ascii="Times New Roman" w:hAnsi="Times New Roman"/>
        </w:rPr>
      </w:pPr>
      <w:r w:rsidRPr="00CA4331">
        <w:rPr>
          <w:rFonts w:ascii="Times New Roman" w:hAnsi="Times New Roman"/>
        </w:rPr>
        <w:t>Problems with the proposed new immunity</w:t>
      </w:r>
    </w:p>
    <w:p w14:paraId="0EEE5A4E" w14:textId="77777777" w:rsidR="009F6ECF" w:rsidRPr="00CA4331" w:rsidRDefault="009F6ECF" w:rsidP="00CA4331">
      <w:pPr>
        <w:pStyle w:val="HeadingL2"/>
        <w:spacing w:after="260" w:line="280" w:lineRule="exact"/>
        <w:ind w:right="0"/>
        <w:jc w:val="both"/>
        <w:rPr>
          <w:rFonts w:ascii="Times New Roman" w:hAnsi="Times New Roman"/>
        </w:rPr>
      </w:pPr>
      <w:r w:rsidRPr="00CA4331">
        <w:rPr>
          <w:rFonts w:ascii="Times New Roman" w:hAnsi="Times New Roman"/>
        </w:rPr>
        <w:t>The retroactive nature of judicial decision-making</w:t>
      </w:r>
      <w:r w:rsidRPr="00CA4331">
        <w:rPr>
          <w:rFonts w:ascii="Times New Roman" w:hAnsi="Times New Roman"/>
        </w:rPr>
        <w:tab/>
      </w:r>
    </w:p>
    <w:p w14:paraId="690B2CBD"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 xml:space="preserve">In </w:t>
      </w:r>
      <w:r w:rsidRPr="00CA4331">
        <w:rPr>
          <w:rFonts w:ascii="Times New Roman" w:hAnsi="Times New Roman"/>
          <w:i/>
          <w:iCs/>
        </w:rPr>
        <w:t xml:space="preserve">R v Governor of </w:t>
      </w:r>
      <w:proofErr w:type="spellStart"/>
      <w:r w:rsidRPr="00CA4331">
        <w:rPr>
          <w:rFonts w:ascii="Times New Roman" w:hAnsi="Times New Roman"/>
          <w:i/>
          <w:iCs/>
        </w:rPr>
        <w:t>Brockhill</w:t>
      </w:r>
      <w:proofErr w:type="spellEnd"/>
      <w:r w:rsidRPr="00CA4331">
        <w:rPr>
          <w:rFonts w:ascii="Times New Roman" w:hAnsi="Times New Roman"/>
          <w:i/>
          <w:iCs/>
        </w:rPr>
        <w:t xml:space="preserve"> Prison, Ex </w:t>
      </w:r>
      <w:proofErr w:type="spellStart"/>
      <w:r w:rsidRPr="00CA4331">
        <w:rPr>
          <w:rFonts w:ascii="Times New Roman" w:hAnsi="Times New Roman"/>
          <w:i/>
          <w:iCs/>
        </w:rPr>
        <w:t>parte</w:t>
      </w:r>
      <w:proofErr w:type="spellEnd"/>
      <w:r w:rsidRPr="00CA4331">
        <w:rPr>
          <w:rFonts w:ascii="Times New Roman" w:hAnsi="Times New Roman"/>
          <w:i/>
          <w:iCs/>
        </w:rPr>
        <w:t xml:space="preserve"> Evans [No 2]</w:t>
      </w:r>
      <w:r w:rsidRPr="00CA4331">
        <w:rPr>
          <w:rFonts w:ascii="Times New Roman" w:hAnsi="Times New Roman"/>
        </w:rPr>
        <w:t>,</w:t>
      </w:r>
      <w:r w:rsidRPr="00CA4331">
        <w:rPr>
          <w:rStyle w:val="FootnoteReference"/>
          <w:rFonts w:ascii="Times New Roman" w:hAnsi="Times New Roman"/>
          <w:sz w:val="24"/>
        </w:rPr>
        <w:footnoteReference w:id="169"/>
      </w:r>
      <w:r w:rsidRPr="00CA4331">
        <w:rPr>
          <w:rFonts w:ascii="Times New Roman" w:hAnsi="Times New Roman"/>
        </w:rPr>
        <w:t xml:space="preserve"> a prison governor calculated the conditional release date for a prisoner, Ms Evans, based upon a 1982 decision of the Divisional Court</w:t>
      </w:r>
      <w:r w:rsidRPr="00CA4331">
        <w:rPr>
          <w:rStyle w:val="FootnoteReference"/>
          <w:rFonts w:ascii="Times New Roman" w:hAnsi="Times New Roman"/>
          <w:sz w:val="24"/>
        </w:rPr>
        <w:footnoteReference w:id="170"/>
      </w:r>
      <w:r w:rsidRPr="00CA4331">
        <w:rPr>
          <w:rFonts w:ascii="Times New Roman" w:hAnsi="Times New Roman"/>
        </w:rPr>
        <w:t xml:space="preserve"> that had been followed in later cases but had been strongly criticised,</w:t>
      </w:r>
      <w:r w:rsidRPr="00CA4331">
        <w:rPr>
          <w:rStyle w:val="FootnoteReference"/>
          <w:rFonts w:ascii="Times New Roman" w:hAnsi="Times New Roman"/>
          <w:sz w:val="24"/>
        </w:rPr>
        <w:footnoteReference w:id="171"/>
      </w:r>
      <w:r w:rsidRPr="00CA4331">
        <w:rPr>
          <w:rFonts w:ascii="Times New Roman" w:hAnsi="Times New Roman"/>
        </w:rPr>
        <w:t xml:space="preserve"> and was in tension with a decision delivered shortly after the governor calculated the conditional release date.</w:t>
      </w:r>
      <w:r w:rsidRPr="00CA4331">
        <w:rPr>
          <w:rStyle w:val="FootnoteReference"/>
          <w:rFonts w:ascii="Times New Roman" w:hAnsi="Times New Roman"/>
          <w:sz w:val="24"/>
        </w:rPr>
        <w:footnoteReference w:id="172"/>
      </w:r>
      <w:r w:rsidRPr="00CA4331">
        <w:rPr>
          <w:rFonts w:ascii="Times New Roman" w:hAnsi="Times New Roman"/>
        </w:rPr>
        <w:t xml:space="preserve"> Ms Evans successfully challenged that calculation and the Divisional Court held that the 1982 decision of the Divisional Court and the authorities applying that decision should not be followed. The Divisional Court ordered that Ms Evans had been entitled to release 59 days earlier, with the effect that she had been kept in prison for 59 days longer than she should have been. Following her release, Ms Evans claimed damages against the governor for false imprisonment. The governor alleged that he had a defence of justification because "what he did was in </w:t>
      </w:r>
      <w:r w:rsidRPr="00CA4331">
        <w:rPr>
          <w:rFonts w:ascii="Times New Roman" w:hAnsi="Times New Roman"/>
        </w:rPr>
        <w:lastRenderedPageBreak/>
        <w:t>compliance with what the law was thought to be". The governor submitted that he "had no choice" other than to comply with the law as expounded by the courts.</w:t>
      </w:r>
      <w:r w:rsidRPr="00CA4331">
        <w:rPr>
          <w:rStyle w:val="FootnoteReference"/>
          <w:rFonts w:ascii="Times New Roman" w:hAnsi="Times New Roman"/>
          <w:sz w:val="24"/>
        </w:rPr>
        <w:footnoteReference w:id="173"/>
      </w:r>
    </w:p>
    <w:p w14:paraId="6CC036A9"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The governor's calculation of the conditional release date of Ms Evans was not mandated by any court order or warrant for the imprisonment of Ms Evans. Although the warrant had sufficient legal effect to justify imprisonment, as it was not "on its face issued by persons who have no jurisdiction to issue a warrant",</w:t>
      </w:r>
      <w:r w:rsidRPr="00CA4331">
        <w:rPr>
          <w:rStyle w:val="FootnoteReference"/>
          <w:rFonts w:ascii="Times New Roman" w:hAnsi="Times New Roman"/>
          <w:sz w:val="24"/>
        </w:rPr>
        <w:footnoteReference w:id="174"/>
      </w:r>
      <w:r w:rsidRPr="00CA4331">
        <w:rPr>
          <w:rFonts w:ascii="Times New Roman" w:hAnsi="Times New Roman"/>
        </w:rPr>
        <w:t xml:space="preserve"> there was no court order or warrant that identified her conditional release date.</w:t>
      </w:r>
      <w:r w:rsidRPr="00CA4331">
        <w:rPr>
          <w:rStyle w:val="FootnoteReference"/>
          <w:rFonts w:ascii="Times New Roman" w:hAnsi="Times New Roman"/>
          <w:sz w:val="24"/>
        </w:rPr>
        <w:footnoteReference w:id="175"/>
      </w:r>
      <w:r w:rsidRPr="00CA4331">
        <w:rPr>
          <w:rFonts w:ascii="Times New Roman" w:hAnsi="Times New Roman"/>
        </w:rPr>
        <w:t xml:space="preserve"> The governor could not argue that his action was justified based on compliance with a court order or a warrant. Nor could he argue that his decision was one of application of a legal rule for which judicial latitude should be afforded on review.</w:t>
      </w:r>
      <w:r w:rsidRPr="00CA4331">
        <w:rPr>
          <w:rStyle w:val="FootnoteReference"/>
          <w:rFonts w:ascii="Times New Roman" w:hAnsi="Times New Roman"/>
          <w:sz w:val="24"/>
        </w:rPr>
        <w:footnoteReference w:id="176"/>
      </w:r>
      <w:r w:rsidRPr="00CA4331">
        <w:rPr>
          <w:rFonts w:ascii="Times New Roman" w:hAnsi="Times New Roman"/>
        </w:rPr>
        <w:t xml:space="preserve"> Instead, his argument was that the law should recognise a new defence that either: (</w:t>
      </w:r>
      <w:proofErr w:type="spellStart"/>
      <w:r w:rsidRPr="00CA4331">
        <w:rPr>
          <w:rFonts w:ascii="Times New Roman" w:hAnsi="Times New Roman"/>
        </w:rPr>
        <w:t>i</w:t>
      </w:r>
      <w:proofErr w:type="spellEnd"/>
      <w:r w:rsidRPr="00CA4331">
        <w:rPr>
          <w:rFonts w:ascii="Times New Roman" w:hAnsi="Times New Roman"/>
        </w:rPr>
        <w:t>) his action was justified based on his compliance with an applicable finding of a court in a different case about the construction of a statute; or (ii)</w:t>
      </w:r>
      <w:r>
        <w:rPr>
          <w:rFonts w:ascii="Times New Roman" w:hAnsi="Times New Roman"/>
        </w:rPr>
        <w:t> </w:t>
      </w:r>
      <w:r w:rsidRPr="00CA4331">
        <w:rPr>
          <w:rFonts w:ascii="Times New Roman" w:hAnsi="Times New Roman"/>
        </w:rPr>
        <w:t>English law should recognise a principle of non-retrospectivity of judicial decision-making where an earlier decision is overruled or not followed or where a court departs from a widely held assumption as to the state of the law.</w:t>
      </w:r>
      <w:r w:rsidRPr="00CA4331">
        <w:rPr>
          <w:rStyle w:val="FootnoteReference"/>
          <w:rFonts w:ascii="Times New Roman" w:hAnsi="Times New Roman"/>
          <w:sz w:val="24"/>
        </w:rPr>
        <w:footnoteReference w:id="177"/>
      </w:r>
    </w:p>
    <w:p w14:paraId="24FDCFBB"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The two submissions were not entirely independent. The ultimate foundation of the first submission was that the retroactive effect of overturning a judicial decision should be limited so that the overturned judicial decision is capable of providing justification for the actions of third parties, in the same way that compliance with orders and warrants issued by a court provides justification for actions by persons to whom the orders and warrants are directed. On the issue of non-retrospectivity directly raised by the second submission, Mr Rabinowitz, whose great learning and assistance as amicus curiae had been sought in the House of Lords,</w:t>
      </w:r>
      <w:r w:rsidRPr="00CA4331">
        <w:rPr>
          <w:rStyle w:val="FootnoteReference"/>
          <w:rFonts w:ascii="Times New Roman" w:hAnsi="Times New Roman"/>
          <w:sz w:val="24"/>
        </w:rPr>
        <w:footnoteReference w:id="178"/>
      </w:r>
      <w:r w:rsidRPr="00CA4331">
        <w:rPr>
          <w:rFonts w:ascii="Times New Roman" w:hAnsi="Times New Roman"/>
        </w:rPr>
        <w:t xml:space="preserve"> creatively submitted that a "more flexible approach" should be applied to judicial overruling since "the fundamental tenet of the declaratory theory, that </w:t>
      </w:r>
      <w:r w:rsidRPr="00CA4331">
        <w:rPr>
          <w:rFonts w:ascii="Times New Roman" w:hAnsi="Times New Roman"/>
        </w:rPr>
        <w:lastRenderedPageBreak/>
        <w:t>judges do not make law, is generally regarded as a fairy tale".</w:t>
      </w:r>
      <w:r w:rsidRPr="00CA4331">
        <w:rPr>
          <w:rStyle w:val="FootnoteReference"/>
          <w:rFonts w:ascii="Times New Roman" w:hAnsi="Times New Roman"/>
          <w:sz w:val="24"/>
        </w:rPr>
        <w:footnoteReference w:id="179"/>
      </w:r>
      <w:r w:rsidRPr="00CA4331">
        <w:rPr>
          <w:rFonts w:ascii="Times New Roman" w:hAnsi="Times New Roman"/>
        </w:rPr>
        <w:t xml:space="preserve"> His submissions reflected, in more polite and nuanced terms, the bellicose dissent of Holmes J in </w:t>
      </w:r>
      <w:r w:rsidRPr="00CA4331">
        <w:rPr>
          <w:rFonts w:ascii="Times New Roman" w:hAnsi="Times New Roman"/>
          <w:i/>
          <w:iCs/>
        </w:rPr>
        <w:t>Black &amp; White Taxicab Co v Brown &amp; Yellow Taxicab Co</w:t>
      </w:r>
      <w:r w:rsidRPr="00CA4331">
        <w:rPr>
          <w:rFonts w:ascii="Times New Roman" w:hAnsi="Times New Roman"/>
          <w:i/>
        </w:rPr>
        <w:t>.</w:t>
      </w:r>
      <w:r w:rsidRPr="00CA4331">
        <w:rPr>
          <w:rStyle w:val="FootnoteReference"/>
          <w:rFonts w:ascii="Times New Roman" w:hAnsi="Times New Roman"/>
          <w:sz w:val="24"/>
        </w:rPr>
        <w:footnoteReference w:id="180"/>
      </w:r>
    </w:p>
    <w:p w14:paraId="381706C9"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Both submissions by the governor were unanimously rejected. The House of Lords concluded that the governor was liable for false imprisonment of Ms</w:t>
      </w:r>
      <w:r>
        <w:rPr>
          <w:rFonts w:ascii="Times New Roman" w:hAnsi="Times New Roman"/>
        </w:rPr>
        <w:t> </w:t>
      </w:r>
      <w:r w:rsidRPr="00CA4331">
        <w:rPr>
          <w:rFonts w:ascii="Times New Roman" w:hAnsi="Times New Roman"/>
        </w:rPr>
        <w:t>Evans. As Lord Slynn recognised, from the point of view of the governor it might be thought that liability for false imprisonment "seems unreasonable" since "what more could he have done?" Nevertheless, the result was "clear".</w:t>
      </w:r>
      <w:r w:rsidRPr="00CA4331">
        <w:rPr>
          <w:rStyle w:val="FootnoteReference"/>
          <w:rFonts w:ascii="Times New Roman" w:hAnsi="Times New Roman"/>
          <w:sz w:val="24"/>
        </w:rPr>
        <w:footnoteReference w:id="181"/>
      </w:r>
      <w:r w:rsidRPr="00CA4331">
        <w:rPr>
          <w:rFonts w:ascii="Times New Roman" w:hAnsi="Times New Roman"/>
        </w:rPr>
        <w:t xml:space="preserve"> The governor had no defence based upon the judicial interpretation of the relevant legislation that prevailed at the time that the governor calculated the conditional release date of Ms Evans. As Lord Hope held, it could not be "sensibly argued" that the legislation "meant one thing at the time when the governor made his calculation and another when its meaning was [later] determined authoritatively by the Divisional Court".</w:t>
      </w:r>
      <w:r w:rsidRPr="00CA4331">
        <w:rPr>
          <w:rStyle w:val="FootnoteReference"/>
          <w:rFonts w:ascii="Times New Roman" w:hAnsi="Times New Roman"/>
          <w:sz w:val="24"/>
        </w:rPr>
        <w:footnoteReference w:id="182"/>
      </w:r>
    </w:p>
    <w:p w14:paraId="666C1C4B"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 xml:space="preserve">The result in </w:t>
      </w:r>
      <w:r w:rsidRPr="00CA4331">
        <w:rPr>
          <w:rFonts w:ascii="Times New Roman" w:hAnsi="Times New Roman"/>
          <w:i/>
          <w:iCs/>
        </w:rPr>
        <w:t xml:space="preserve">Evans </w:t>
      </w:r>
      <w:r w:rsidRPr="00CA4331">
        <w:rPr>
          <w:rFonts w:ascii="Times New Roman" w:hAnsi="Times New Roman"/>
        </w:rPr>
        <w:t>also represents Australian law.</w:t>
      </w:r>
      <w:r w:rsidRPr="00CA4331">
        <w:rPr>
          <w:rStyle w:val="FootnoteReference"/>
          <w:rFonts w:ascii="Times New Roman" w:hAnsi="Times New Roman"/>
          <w:sz w:val="24"/>
        </w:rPr>
        <w:footnoteReference w:id="183"/>
      </w:r>
      <w:r w:rsidRPr="00CA4331">
        <w:rPr>
          <w:rFonts w:ascii="Times New Roman" w:hAnsi="Times New Roman"/>
        </w:rPr>
        <w:t xml:space="preserve"> It is solidly based upon foundational principles. When, on a matter involving interpretation of meaning or identification of a legal rule, a decision is overruled, or a decision of a co-ordinate court is overturned, the implicit assumption is generally that the legal principle that takes the place of that which previously obtained was "at all relevant times legally correct and an authentic legal rule".</w:t>
      </w:r>
      <w:r w:rsidRPr="00CA4331">
        <w:rPr>
          <w:rStyle w:val="FootnoteReference"/>
          <w:rFonts w:ascii="Times New Roman" w:hAnsi="Times New Roman"/>
          <w:sz w:val="24"/>
        </w:rPr>
        <w:footnoteReference w:id="184"/>
      </w:r>
      <w:r w:rsidRPr="00CA4331">
        <w:rPr>
          <w:rFonts w:ascii="Times New Roman" w:hAnsi="Times New Roman"/>
        </w:rPr>
        <w:t xml:space="preserve"> This assumption does not deny that judges can create, and retroactively change, law (in the sense of legal norms posited by judges) by decisions concerning the common law. Nor does it deny that judges can create and retroactively change posited legal norms by decisions concerning the interpretation or application of legislation. Nor does the assumption deny that these posited legal norms can influence the direction of the common law, or the future interpretation or application of legislation.</w:t>
      </w:r>
      <w:r w:rsidRPr="00CA4331">
        <w:rPr>
          <w:rStyle w:val="FootnoteReference"/>
          <w:rFonts w:ascii="Times New Roman" w:hAnsi="Times New Roman"/>
          <w:sz w:val="24"/>
        </w:rPr>
        <w:footnoteReference w:id="185"/>
      </w:r>
      <w:r w:rsidRPr="00CA4331">
        <w:rPr>
          <w:rFonts w:ascii="Times New Roman" w:hAnsi="Times New Roman"/>
        </w:rPr>
        <w:t xml:space="preserve"> Such denials would </w:t>
      </w:r>
      <w:r w:rsidRPr="00CA4331">
        <w:rPr>
          <w:rFonts w:ascii="Times New Roman" w:hAnsi="Times New Roman"/>
        </w:rPr>
        <w:lastRenderedPageBreak/>
        <w:t>indeed be a fairy tale.</w:t>
      </w:r>
      <w:r w:rsidRPr="00CA4331">
        <w:rPr>
          <w:rStyle w:val="FootnoteReference"/>
          <w:rFonts w:ascii="Times New Roman" w:hAnsi="Times New Roman"/>
          <w:sz w:val="24"/>
        </w:rPr>
        <w:footnoteReference w:id="186"/>
      </w:r>
      <w:r w:rsidRPr="00CA4331">
        <w:rPr>
          <w:rFonts w:ascii="Times New Roman" w:hAnsi="Times New Roman"/>
        </w:rPr>
        <w:t xml:space="preserve"> But the posited legal norms created or retroactively changed by judges concerning the common law are not, themselves, the "common law" that binds members of the public generally in its application to a particular circumstance. The common law is "common" because it consists of</w:t>
      </w:r>
      <w:r w:rsidRPr="00CA4331" w:rsidDel="009C0847">
        <w:rPr>
          <w:rFonts w:ascii="Times New Roman" w:hAnsi="Times New Roman"/>
        </w:rPr>
        <w:t xml:space="preserve"> </w:t>
      </w:r>
      <w:r w:rsidRPr="00CA4331">
        <w:rPr>
          <w:rFonts w:ascii="Times New Roman" w:hAnsi="Times New Roman"/>
        </w:rPr>
        <w:t>the directly binding rules and principles deducible from principled reasoning based upon, but not limited to, judicially posited legal norms. The posited legal norms created or retroactively changed by judges in the interpretation or application of legislation are not directly binding on members of the public generally. The lack of a directly binding nature of the legal norms posited by judges thus contrasts with judicial orders of courts which bind those who are subject to them, usually only the parties.</w:t>
      </w:r>
    </w:p>
    <w:p w14:paraId="5C8649D4"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The assumption is that when judges posit legal norms which change the way in which the common law or the meaning of a legislative provision is understood they are generally doing so by endeavouring to state what the correct legal position has always been.</w:t>
      </w:r>
      <w:r w:rsidRPr="00CA4331">
        <w:rPr>
          <w:rStyle w:val="FootnoteReference"/>
          <w:rFonts w:ascii="Times New Roman" w:hAnsi="Times New Roman"/>
          <w:sz w:val="24"/>
        </w:rPr>
        <w:footnoteReference w:id="187"/>
      </w:r>
      <w:r w:rsidRPr="00CA4331">
        <w:rPr>
          <w:rFonts w:ascii="Times New Roman" w:hAnsi="Times New Roman"/>
        </w:rPr>
        <w:t xml:space="preserve"> That is why, unlike some instances of </w:t>
      </w:r>
      <w:r w:rsidRPr="00CA4331">
        <w:rPr>
          <w:rFonts w:ascii="Times New Roman" w:hAnsi="Times New Roman"/>
          <w:i/>
        </w:rPr>
        <w:t>application</w:t>
      </w:r>
      <w:r w:rsidRPr="00CA4331">
        <w:rPr>
          <w:rFonts w:ascii="Times New Roman" w:hAnsi="Times New Roman"/>
        </w:rPr>
        <w:t xml:space="preserve"> of legal principles and rules where there is no single correct answer,</w:t>
      </w:r>
      <w:r w:rsidRPr="00CA4331">
        <w:rPr>
          <w:rStyle w:val="FootnoteReference"/>
          <w:rFonts w:ascii="Times New Roman" w:hAnsi="Times New Roman"/>
          <w:sz w:val="24"/>
        </w:rPr>
        <w:footnoteReference w:id="188"/>
      </w:r>
      <w:r w:rsidRPr="00CA4331">
        <w:rPr>
          <w:rFonts w:ascii="Times New Roman" w:hAnsi="Times New Roman"/>
        </w:rPr>
        <w:t xml:space="preserve"> even when the meaning of a legislative provision is ambiguous, and even when a contrary, and reasonable, interpretation might have been adopted by another court, any interpretation must be reviewed on appeal on the basis that there is only one correct answer to the meaning of that legislative provision.</w:t>
      </w:r>
      <w:r w:rsidRPr="00CA4331">
        <w:rPr>
          <w:rStyle w:val="FootnoteReference"/>
          <w:rFonts w:ascii="Times New Roman" w:hAnsi="Times New Roman"/>
          <w:sz w:val="24"/>
        </w:rPr>
        <w:footnoteReference w:id="189"/>
      </w:r>
    </w:p>
    <w:p w14:paraId="26CB2907"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These foundational principles form part of the basis for the difference between judicial and legislative power. When judges pronounce the common law or interpret legislation they are not legislating. Their primary purpose is "the determination of the dispute in hand".</w:t>
      </w:r>
      <w:r w:rsidRPr="00CA4331">
        <w:rPr>
          <w:rStyle w:val="FootnoteReference"/>
          <w:rFonts w:ascii="Times New Roman" w:hAnsi="Times New Roman"/>
          <w:sz w:val="24"/>
        </w:rPr>
        <w:footnoteReference w:id="190"/>
      </w:r>
      <w:r w:rsidRPr="00CA4331">
        <w:rPr>
          <w:rFonts w:ascii="Times New Roman" w:hAnsi="Times New Roman"/>
        </w:rPr>
        <w:t xml:space="preserve"> In fulfilling that primary purpose, it is the duty of judges "to ascertain as best they may"</w:t>
      </w:r>
      <w:r w:rsidRPr="00CA4331">
        <w:rPr>
          <w:rStyle w:val="FootnoteReference"/>
          <w:rFonts w:ascii="Times New Roman" w:hAnsi="Times New Roman"/>
          <w:sz w:val="24"/>
        </w:rPr>
        <w:footnoteReference w:id="191"/>
      </w:r>
      <w:r w:rsidRPr="00CA4331">
        <w:rPr>
          <w:rFonts w:ascii="Times New Roman" w:hAnsi="Times New Roman"/>
        </w:rPr>
        <w:t xml:space="preserve"> the common law or the meaning of legislation in order to pronounce upon how the common law or the meaning of </w:t>
      </w:r>
      <w:r w:rsidRPr="00CA4331">
        <w:rPr>
          <w:rFonts w:ascii="Times New Roman" w:hAnsi="Times New Roman"/>
        </w:rPr>
        <w:lastRenderedPageBreak/>
        <w:t>legislation should always have been understood.</w:t>
      </w:r>
      <w:r w:rsidRPr="00CA4331">
        <w:rPr>
          <w:rStyle w:val="FootnoteReference"/>
          <w:rFonts w:ascii="Times New Roman" w:hAnsi="Times New Roman"/>
          <w:sz w:val="24"/>
        </w:rPr>
        <w:footnoteReference w:id="192"/>
      </w:r>
      <w:r w:rsidRPr="00CA4331">
        <w:rPr>
          <w:rFonts w:ascii="Times New Roman" w:hAnsi="Times New Roman"/>
        </w:rPr>
        <w:t xml:space="preserve"> In unusual circumstances, an amendment by Parliament to laws contained in a statute might change the meaning of other laws within that statute as well as the laws upon which the amended provision operates. Or a significant change in economic or social conditions might change a common law rule,</w:t>
      </w:r>
      <w:r w:rsidRPr="00CA4331">
        <w:rPr>
          <w:rStyle w:val="FootnoteReference"/>
          <w:rFonts w:ascii="Times New Roman" w:hAnsi="Times New Roman"/>
          <w:sz w:val="24"/>
        </w:rPr>
        <w:footnoteReference w:id="193"/>
      </w:r>
      <w:r w:rsidRPr="00CA4331">
        <w:rPr>
          <w:rFonts w:ascii="Times New Roman" w:hAnsi="Times New Roman"/>
        </w:rPr>
        <w:t xml:space="preserve"> or the application of legislative meaning,</w:t>
      </w:r>
      <w:r w:rsidRPr="00CA4331">
        <w:rPr>
          <w:rStyle w:val="FootnoteReference"/>
          <w:rFonts w:ascii="Times New Roman" w:hAnsi="Times New Roman"/>
          <w:sz w:val="24"/>
        </w:rPr>
        <w:footnoteReference w:id="194"/>
      </w:r>
      <w:r w:rsidRPr="00CA4331">
        <w:rPr>
          <w:rFonts w:ascii="Times New Roman" w:hAnsi="Times New Roman"/>
        </w:rPr>
        <w:t xml:space="preserve"> although not the basal principles that underlie the common law or the essential meaning of the legislation. In such cases, the meaning of the legislative rule changes from the time of the amendment and the common law rule can sometimes change only from the time of an economic or social change.</w:t>
      </w:r>
      <w:r w:rsidRPr="00CA4331">
        <w:rPr>
          <w:rStyle w:val="FootnoteReference"/>
          <w:rFonts w:ascii="Times New Roman" w:hAnsi="Times New Roman"/>
          <w:sz w:val="24"/>
        </w:rPr>
        <w:footnoteReference w:id="195"/>
      </w:r>
      <w:r w:rsidRPr="00CA4331">
        <w:rPr>
          <w:rFonts w:ascii="Times New Roman" w:hAnsi="Times New Roman"/>
        </w:rPr>
        <w:t xml:space="preserve"> Judicial reasoning, which posits the legal norms that aim to reflect that common law rule or statutory meaning at the time that the events occurred, is therefore not confined to what the posited legal norm should be </w:t>
      </w:r>
      <w:r w:rsidRPr="00CA4331">
        <w:rPr>
          <w:rFonts w:ascii="Times New Roman" w:hAnsi="Times New Roman"/>
          <w:i/>
          <w:iCs/>
        </w:rPr>
        <w:t xml:space="preserve">prospectively </w:t>
      </w:r>
      <w:r w:rsidRPr="00CA4331">
        <w:rPr>
          <w:rFonts w:ascii="Times New Roman" w:hAnsi="Times New Roman"/>
        </w:rPr>
        <w:t>from the date of the decision.</w:t>
      </w:r>
    </w:p>
    <w:p w14:paraId="5AF1B14E"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 xml:space="preserve">For these reasons this Court was right in </w:t>
      </w:r>
      <w:r w:rsidRPr="00CA4331">
        <w:rPr>
          <w:rFonts w:ascii="Times New Roman" w:hAnsi="Times New Roman"/>
          <w:i/>
          <w:iCs/>
        </w:rPr>
        <w:t>Ha v New South Wales</w:t>
      </w:r>
      <w:r w:rsidRPr="00CA4331">
        <w:rPr>
          <w:rStyle w:val="FootnoteReference"/>
          <w:rFonts w:ascii="Times New Roman" w:hAnsi="Times New Roman"/>
          <w:sz w:val="24"/>
        </w:rPr>
        <w:footnoteReference w:id="196"/>
      </w:r>
      <w:r w:rsidRPr="00CA4331">
        <w:rPr>
          <w:rFonts w:ascii="Times New Roman" w:hAnsi="Times New Roman"/>
        </w:rPr>
        <w:t xml:space="preserve"> to reject unanimously a judicial power to overrule prospectively. As four members of the Court said (with the agreement of the other three), the "adjudication of existing rights and obligations as distinct from the creation of rights and obligations distinguishes the judicial power from non-judicial power". In speaking of the impermissible judicial "creation of [new] rights", their Honours were attempting to convey the same point made almost 150 years earlier by Pollock CB: "the Common Law cannot create new rights ... because, in the opinion of those who administer the Common Law, such rights ought to exist".</w:t>
      </w:r>
      <w:r w:rsidRPr="00CA4331">
        <w:rPr>
          <w:rStyle w:val="FootnoteReference"/>
          <w:rFonts w:ascii="Times New Roman" w:hAnsi="Times New Roman"/>
          <w:sz w:val="24"/>
        </w:rPr>
        <w:footnoteReference w:id="197"/>
      </w:r>
      <w:r w:rsidRPr="00CA4331">
        <w:rPr>
          <w:rFonts w:ascii="Times New Roman" w:hAnsi="Times New Roman"/>
        </w:rPr>
        <w:t xml:space="preserve"> Either rights and obligations existed at the time of the events in issue or they did not. So too, in </w:t>
      </w:r>
      <w:r w:rsidRPr="00CA4331">
        <w:rPr>
          <w:rFonts w:ascii="Times New Roman" w:hAnsi="Times New Roman"/>
          <w:i/>
          <w:iCs/>
        </w:rPr>
        <w:t>Evans</w:t>
      </w:r>
      <w:r w:rsidRPr="00CA4331">
        <w:rPr>
          <w:rFonts w:ascii="Times New Roman" w:hAnsi="Times New Roman"/>
        </w:rPr>
        <w:t xml:space="preserve"> Lord Hobhouse of Woodborough said that apart from decisions on</w:t>
      </w:r>
      <w:r w:rsidRPr="00CA4331" w:rsidDel="008B02AF">
        <w:rPr>
          <w:rFonts w:ascii="Times New Roman" w:hAnsi="Times New Roman"/>
        </w:rPr>
        <w:t xml:space="preserve"> </w:t>
      </w:r>
      <w:r w:rsidRPr="00CA4331">
        <w:rPr>
          <w:rFonts w:ascii="Times New Roman" w:hAnsi="Times New Roman"/>
        </w:rPr>
        <w:t>practice and procedure:</w:t>
      </w:r>
      <w:r w:rsidRPr="00CA4331">
        <w:rPr>
          <w:rStyle w:val="FootnoteReference"/>
          <w:rFonts w:ascii="Times New Roman" w:hAnsi="Times New Roman"/>
          <w:sz w:val="24"/>
        </w:rPr>
        <w:footnoteReference w:id="198"/>
      </w:r>
    </w:p>
    <w:p w14:paraId="052BED48" w14:textId="77777777" w:rsidR="009F6ECF" w:rsidRDefault="009F6ECF" w:rsidP="00CA4331">
      <w:pPr>
        <w:pStyle w:val="LeftrightafterHC"/>
        <w:spacing w:before="0" w:after="260" w:line="280" w:lineRule="exact"/>
        <w:ind w:right="0"/>
        <w:jc w:val="both"/>
        <w:rPr>
          <w:rFonts w:ascii="Times New Roman" w:hAnsi="Times New Roman"/>
        </w:rPr>
      </w:pPr>
      <w:r w:rsidRPr="00CA4331">
        <w:rPr>
          <w:rFonts w:ascii="Times New Roman" w:hAnsi="Times New Roman"/>
        </w:rPr>
        <w:t xml:space="preserve">"It is a denial of the constitutional role of the courts for courts to say that the party challenging the status quo is right, that the previous decision is over-ruled, but that the decision will not affect the parties and only apply subsequently. They would be declining to exercise their constitutional role </w:t>
      </w:r>
      <w:r w:rsidRPr="00CA4331">
        <w:rPr>
          <w:rFonts w:ascii="Times New Roman" w:hAnsi="Times New Roman"/>
        </w:rPr>
        <w:lastRenderedPageBreak/>
        <w:t>and adopting a legislative role deciding what the law shall be for others in the future. This anomaly is also illustrated by the law of precedent and the concept of ratio decidendi which it uses. Such a decision would by definition not be part of the ratio decidendi of the case and therefore would not constitute an authoritative decision."</w:t>
      </w:r>
    </w:p>
    <w:p w14:paraId="013AA4DF"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In rare cases, the effect of these basic principles can be to create an almost impossible dilemma for law-abiding persons, such as the detaining officer in this case. They are required to comply with legal rules created by valid legislation. And they might become aware of the legal norms created by a judicial interpretation of those rules, or a ruling on the validity of that legislation, in a case where they were not parties and are not directly bound by the orders. The norms created by such decisions will shape the behaviour of law-abiding persons as to how to respond to the facts before them by applying an interpretation of the legislation or by reaching a conclusion about the validity of legislation on the facts before them. But, in unusual cases (of which this is one), those norms might be found to have been incorrectly stated, leading to unlawful behaviour by those who have sought to comply with the law as stated in other cases.</w:t>
      </w:r>
    </w:p>
    <w:p w14:paraId="41D3BDF4" w14:textId="77777777" w:rsidR="009F6ECF" w:rsidRPr="00CA4331" w:rsidRDefault="009F6ECF" w:rsidP="00CA4331">
      <w:pPr>
        <w:pStyle w:val="HeadingL2"/>
        <w:spacing w:after="260" w:line="280" w:lineRule="exact"/>
        <w:ind w:right="0"/>
        <w:jc w:val="both"/>
        <w:rPr>
          <w:rFonts w:ascii="Times New Roman" w:hAnsi="Times New Roman"/>
        </w:rPr>
      </w:pPr>
      <w:r w:rsidRPr="00CA4331">
        <w:rPr>
          <w:rFonts w:ascii="Times New Roman" w:hAnsi="Times New Roman"/>
        </w:rPr>
        <w:t xml:space="preserve">The decision of this Court in </w:t>
      </w:r>
      <w:r w:rsidRPr="00CA4331">
        <w:rPr>
          <w:rFonts w:ascii="Times New Roman" w:hAnsi="Times New Roman"/>
          <w:i w:val="0"/>
        </w:rPr>
        <w:t>Stradford</w:t>
      </w:r>
      <w:r w:rsidRPr="00CA4331">
        <w:rPr>
          <w:rFonts w:ascii="Times New Roman" w:hAnsi="Times New Roman"/>
        </w:rPr>
        <w:tab/>
      </w:r>
    </w:p>
    <w:p w14:paraId="732B034B"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 xml:space="preserve">The Commonwealth relied heavily upon the decision of this Court in </w:t>
      </w:r>
      <w:r w:rsidRPr="00CA4331">
        <w:rPr>
          <w:rFonts w:ascii="Times New Roman" w:hAnsi="Times New Roman"/>
          <w:i/>
          <w:iCs/>
        </w:rPr>
        <w:t>Stradford</w:t>
      </w:r>
      <w:r w:rsidRPr="00CA4331">
        <w:rPr>
          <w:rStyle w:val="FootnoteReference"/>
          <w:rFonts w:ascii="Times New Roman" w:hAnsi="Times New Roman"/>
          <w:sz w:val="24"/>
        </w:rPr>
        <w:footnoteReference w:id="199"/>
      </w:r>
      <w:r w:rsidRPr="00CA4331">
        <w:rPr>
          <w:rFonts w:ascii="Times New Roman" w:hAnsi="Times New Roman"/>
          <w:i/>
          <w:iCs/>
        </w:rPr>
        <w:t xml:space="preserve"> </w:t>
      </w:r>
      <w:r w:rsidRPr="00CA4331">
        <w:rPr>
          <w:rFonts w:ascii="Times New Roman" w:hAnsi="Times New Roman"/>
        </w:rPr>
        <w:t>as providing support for the proposed new defence. Although some language in the decision might be thought to provide support for the Commonwealth's proposed new defence, such language, properly understood, cannot support the proposed new defence.</w:t>
      </w:r>
    </w:p>
    <w:p w14:paraId="542A4EC1"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 xml:space="preserve">In </w:t>
      </w:r>
      <w:r w:rsidRPr="00CA4331">
        <w:rPr>
          <w:rFonts w:ascii="Times New Roman" w:hAnsi="Times New Roman"/>
          <w:i/>
          <w:iCs/>
        </w:rPr>
        <w:t>Stradford</w:t>
      </w:r>
      <w:r w:rsidRPr="00CA4331">
        <w:rPr>
          <w:rFonts w:ascii="Times New Roman" w:hAnsi="Times New Roman"/>
        </w:rPr>
        <w:t xml:space="preserve">, Mr Stradford claimed that he had been falsely imprisoned </w:t>
      </w:r>
      <w:proofErr w:type="gramStart"/>
      <w:r w:rsidRPr="00CA4331">
        <w:rPr>
          <w:rFonts w:ascii="Times New Roman" w:hAnsi="Times New Roman"/>
        </w:rPr>
        <w:t>as a result of</w:t>
      </w:r>
      <w:proofErr w:type="gramEnd"/>
      <w:r w:rsidRPr="00CA4331">
        <w:rPr>
          <w:rFonts w:ascii="Times New Roman" w:hAnsi="Times New Roman"/>
        </w:rPr>
        <w:t xml:space="preserve"> what he claimed was an invalid order made by, and an invalid warrant issued by, a judge of the (then) Federal Circuit Court of Australia, Judge Vasta. Mr Stradford claimed damages against various parties to his false imprisonment. In the false imprisonment proceedings, the primary judge in the Federal Court of Australia found that the order made by, and the warrant issued by, Judge Vasta were the product of jurisdictional errors and were invalid. Since the judicial order and warrant had no authority, the order could not justify the false imprisonment caused by, or participated in by, the Federal Circuit Court judge, the guards, the police officers, and the correctional officers.</w:t>
      </w:r>
    </w:p>
    <w:p w14:paraId="761C1B5A"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 xml:space="preserve">On the appeals, which were removed from the Full Court of the Federal Court of Australia, this Court unanimously held that, in the words of four Justices, "the common law affords some protection from civil liability to those who have a legal duty to enforce or execute orders or warrants made or issued in judicial proceedings of the courts just described" and that this protection applies to orders </w:t>
      </w:r>
      <w:r w:rsidRPr="00CA4331">
        <w:rPr>
          <w:rFonts w:ascii="Times New Roman" w:hAnsi="Times New Roman"/>
        </w:rPr>
        <w:lastRenderedPageBreak/>
        <w:t>or warrants made or issued by a court "even if those orders or warrants" were the consequence of jurisdictional error.</w:t>
      </w:r>
      <w:r w:rsidRPr="00CA4331">
        <w:rPr>
          <w:rStyle w:val="FootnoteReference"/>
          <w:rFonts w:ascii="Times New Roman" w:hAnsi="Times New Roman"/>
          <w:sz w:val="24"/>
        </w:rPr>
        <w:footnoteReference w:id="200"/>
      </w:r>
    </w:p>
    <w:p w14:paraId="2F523259"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 xml:space="preserve">For the reasons I gave in </w:t>
      </w:r>
      <w:r w:rsidRPr="00CA4331">
        <w:rPr>
          <w:rFonts w:ascii="Times New Roman" w:hAnsi="Times New Roman"/>
          <w:i/>
          <w:iCs/>
        </w:rPr>
        <w:t>Stradford</w:t>
      </w:r>
      <w:r w:rsidRPr="00CA4331">
        <w:rPr>
          <w:rFonts w:ascii="Times New Roman" w:hAnsi="Times New Roman"/>
        </w:rPr>
        <w:t>, the order and warrant of Judge Vasta were valid despite being the consequence of legal error and therefore provided authority for those who had a legal duty to enforce or execute them to do so. Even the guards had subjected themselves, by their contractual duty of "guarding as directed"</w:t>
      </w:r>
      <w:r w:rsidRPr="00CA4331">
        <w:rPr>
          <w:rStyle w:val="FootnoteReference"/>
          <w:rFonts w:ascii="Times New Roman" w:hAnsi="Times New Roman"/>
          <w:sz w:val="24"/>
        </w:rPr>
        <w:footnoteReference w:id="201"/>
      </w:r>
      <w:r w:rsidRPr="00CA4331">
        <w:rPr>
          <w:rFonts w:ascii="Times New Roman" w:hAnsi="Times New Roman"/>
        </w:rPr>
        <w:t xml:space="preserve"> in court, to the concurrent duty to comply with judicial directions that have sufficient validity.</w:t>
      </w:r>
      <w:r w:rsidRPr="00CA4331">
        <w:rPr>
          <w:rStyle w:val="FootnoteReference"/>
          <w:rFonts w:ascii="Times New Roman" w:hAnsi="Times New Roman"/>
          <w:sz w:val="24"/>
        </w:rPr>
        <w:footnoteReference w:id="202"/>
      </w:r>
      <w:r w:rsidRPr="00CA4331">
        <w:rPr>
          <w:rFonts w:ascii="Times New Roman" w:hAnsi="Times New Roman"/>
        </w:rPr>
        <w:t xml:space="preserve"> There was properly no doubt in </w:t>
      </w:r>
      <w:r w:rsidRPr="00CA4331">
        <w:rPr>
          <w:rFonts w:ascii="Times New Roman" w:hAnsi="Times New Roman"/>
          <w:i/>
          <w:iCs/>
        </w:rPr>
        <w:t xml:space="preserve">Stradford </w:t>
      </w:r>
      <w:r w:rsidRPr="00CA4331">
        <w:rPr>
          <w:rFonts w:ascii="Times New Roman" w:hAnsi="Times New Roman"/>
        </w:rPr>
        <w:t xml:space="preserve">that orders of, and warrants issued by, a so-called "superior court", even if the subject of legal error, would have sufficient validity to provide authority for those whose legal duty was to enforce or execute them to do so. At least in respect of this protection, therefore, no member of this Court applied the antique common law distinction that would draw a divide between different courts, including a divide, unrecognised in Ch III of the </w:t>
      </w:r>
      <w:r w:rsidRPr="00CA4331">
        <w:rPr>
          <w:rFonts w:ascii="Times New Roman" w:hAnsi="Times New Roman"/>
          <w:i/>
          <w:iCs/>
        </w:rPr>
        <w:t>Constitution</w:t>
      </w:r>
      <w:r w:rsidRPr="00CA4331">
        <w:rPr>
          <w:rFonts w:ascii="Times New Roman" w:hAnsi="Times New Roman"/>
        </w:rPr>
        <w:t>, between "inferior" [sic] federal courts and so-called "superior" federal courts. Steward J and I held that such a divide should not be recognised either in the common law or constitutional law of Australia.</w:t>
      </w:r>
    </w:p>
    <w:p w14:paraId="7F625479"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 xml:space="preserve">The decision in </w:t>
      </w:r>
      <w:r w:rsidRPr="00CA4331">
        <w:rPr>
          <w:rFonts w:ascii="Times New Roman" w:hAnsi="Times New Roman"/>
          <w:i/>
          <w:iCs/>
        </w:rPr>
        <w:t xml:space="preserve">Stradford </w:t>
      </w:r>
      <w:r w:rsidRPr="00CA4331">
        <w:rPr>
          <w:rFonts w:ascii="Times New Roman" w:hAnsi="Times New Roman"/>
        </w:rPr>
        <w:t>was therefore that each of the persons who were alleged to have committed the tort of false imprisonment had done so with legal authority and therefore had committed no wrong. The same reasoning has been used to explain the result in a decision relied upon by the Commonwealth in this case, in which constables acted lawfully under common law powers and would have done so even if their exercise of those powers had been for offences against invalid byelaws.</w:t>
      </w:r>
      <w:r w:rsidRPr="00CA4331">
        <w:rPr>
          <w:rStyle w:val="FootnoteReference"/>
          <w:rFonts w:ascii="Times New Roman" w:hAnsi="Times New Roman"/>
          <w:sz w:val="24"/>
        </w:rPr>
        <w:footnoteReference w:id="203"/>
      </w:r>
      <w:r w:rsidRPr="00CA4331">
        <w:rPr>
          <w:rFonts w:ascii="Times New Roman" w:hAnsi="Times New Roman"/>
        </w:rPr>
        <w:t xml:space="preserve"> This defence of authority is anterior to, and distinct from, an immunity which can arise from a person's status. An immunity concedes that a wrong has been committed but immunises a person from another's power to impose liability for that wrong for reasons such as some status of the person.</w:t>
      </w:r>
      <w:r w:rsidRPr="00CA4331">
        <w:rPr>
          <w:rStyle w:val="FootnoteReference"/>
          <w:rFonts w:ascii="Times New Roman" w:hAnsi="Times New Roman"/>
          <w:sz w:val="24"/>
        </w:rPr>
        <w:footnoteReference w:id="204"/>
      </w:r>
      <w:r w:rsidRPr="00CA4331">
        <w:rPr>
          <w:rFonts w:ascii="Times New Roman" w:hAnsi="Times New Roman"/>
        </w:rPr>
        <w:t xml:space="preserve"> There are respects in which the common law affords to a judicial officer an immunity from </w:t>
      </w:r>
      <w:r w:rsidRPr="00CA4331">
        <w:rPr>
          <w:rFonts w:ascii="Times New Roman" w:hAnsi="Times New Roman"/>
        </w:rPr>
        <w:lastRenderedPageBreak/>
        <w:t>liability "for the protection of judicial independence in the public interest".</w:t>
      </w:r>
      <w:r w:rsidRPr="00CA4331">
        <w:rPr>
          <w:rStyle w:val="FootnoteReference"/>
          <w:rFonts w:ascii="Times New Roman" w:hAnsi="Times New Roman"/>
          <w:sz w:val="24"/>
        </w:rPr>
        <w:footnoteReference w:id="205"/>
      </w:r>
      <w:r w:rsidRPr="00CA4331">
        <w:rPr>
          <w:rFonts w:ascii="Times New Roman" w:hAnsi="Times New Roman"/>
        </w:rPr>
        <w:t xml:space="preserve"> That limited immunity is co-extensive with its rationale of protecting judicial independence.</w:t>
      </w:r>
      <w:r w:rsidRPr="00CA4331">
        <w:rPr>
          <w:rStyle w:val="FootnoteReference"/>
          <w:rFonts w:ascii="Times New Roman" w:hAnsi="Times New Roman"/>
          <w:sz w:val="24"/>
        </w:rPr>
        <w:footnoteReference w:id="206"/>
      </w:r>
      <w:r w:rsidRPr="00CA4331">
        <w:rPr>
          <w:rFonts w:ascii="Times New Roman" w:hAnsi="Times New Roman"/>
        </w:rPr>
        <w:t xml:space="preserve"> Whether or not Judge Vasta had any judicial immunity in relation to the consequences of the order he pronounced or the warrant that he issued, none of the guards, police officers, or correctional officers were immunised from liability because of the status of those persons. It is well established that none of those statuses afford any common law immunity from liability.</w:t>
      </w:r>
      <w:r w:rsidRPr="00CA4331">
        <w:rPr>
          <w:rStyle w:val="FootnoteReference"/>
          <w:rFonts w:ascii="Times New Roman" w:hAnsi="Times New Roman"/>
          <w:sz w:val="24"/>
        </w:rPr>
        <w:footnoteReference w:id="207"/>
      </w:r>
    </w:p>
    <w:p w14:paraId="7A4FA57B"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 xml:space="preserve">The foundational basis for the defences in </w:t>
      </w:r>
      <w:r w:rsidRPr="00CA4331">
        <w:rPr>
          <w:rFonts w:ascii="Times New Roman" w:hAnsi="Times New Roman"/>
          <w:i/>
          <w:iCs/>
        </w:rPr>
        <w:t xml:space="preserve">Stradford </w:t>
      </w:r>
      <w:r w:rsidRPr="00CA4331">
        <w:rPr>
          <w:rFonts w:ascii="Times New Roman" w:hAnsi="Times New Roman"/>
        </w:rPr>
        <w:t xml:space="preserve">thus lay in the effect of the order made by, and warrant issued by, Judge Vasta, not upon some notion of immunity based upon the status of Judge Vasta as a judge. The order and warrant were not wholly invalid. No aspect of the defences rested upon any honest or reasonable belief by the guards, police officers, and correctional officers as to the legality of their conduct based upon reasoning expressed by Judge Vasta. It was only the order and warrant that were binding upon the persons to whom they were directed: the guards, police officers, and correctional officers. As Lord Hobhouse said in </w:t>
      </w:r>
      <w:r w:rsidRPr="00CA4331">
        <w:rPr>
          <w:rFonts w:ascii="Times New Roman" w:hAnsi="Times New Roman"/>
          <w:i/>
          <w:iCs/>
        </w:rPr>
        <w:t>Evans</w:t>
      </w:r>
      <w:r w:rsidRPr="00CA4331">
        <w:rPr>
          <w:rFonts w:ascii="Times New Roman" w:hAnsi="Times New Roman"/>
        </w:rPr>
        <w:t>,</w:t>
      </w:r>
      <w:r w:rsidRPr="00CA4331">
        <w:rPr>
          <w:rStyle w:val="FootnoteReference"/>
          <w:rFonts w:ascii="Times New Roman" w:hAnsi="Times New Roman"/>
          <w:sz w:val="24"/>
        </w:rPr>
        <w:footnoteReference w:id="208"/>
      </w:r>
      <w:r w:rsidRPr="00CA4331">
        <w:rPr>
          <w:rFonts w:ascii="Times New Roman" w:hAnsi="Times New Roman"/>
        </w:rPr>
        <w:t xml:space="preserve"> "[j]</w:t>
      </w:r>
      <w:proofErr w:type="spellStart"/>
      <w:r w:rsidRPr="00CA4331">
        <w:rPr>
          <w:rFonts w:ascii="Times New Roman" w:hAnsi="Times New Roman"/>
        </w:rPr>
        <w:t>udicial</w:t>
      </w:r>
      <w:proofErr w:type="spellEnd"/>
      <w:r w:rsidRPr="00CA4331">
        <w:rPr>
          <w:rFonts w:ascii="Times New Roman" w:hAnsi="Times New Roman"/>
        </w:rPr>
        <w:t xml:space="preserve"> decisions are only conclusive as between the parties to them and their privies".</w:t>
      </w:r>
    </w:p>
    <w:p w14:paraId="5C8C65E1"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 xml:space="preserve">Although </w:t>
      </w:r>
      <w:r w:rsidRPr="00CA4331">
        <w:rPr>
          <w:rFonts w:ascii="Times New Roman" w:hAnsi="Times New Roman"/>
          <w:i/>
          <w:iCs/>
        </w:rPr>
        <w:t xml:space="preserve">Stradford </w:t>
      </w:r>
      <w:r w:rsidRPr="00CA4331">
        <w:rPr>
          <w:rFonts w:ascii="Times New Roman" w:hAnsi="Times New Roman"/>
        </w:rPr>
        <w:t xml:space="preserve">was concerned with the authority to act of the various persons who relied upon an order and a warrant that were the result of legal errors, some of the reasons of this Court in </w:t>
      </w:r>
      <w:r w:rsidRPr="00CA4331">
        <w:rPr>
          <w:rFonts w:ascii="Times New Roman" w:hAnsi="Times New Roman"/>
          <w:i/>
          <w:iCs/>
        </w:rPr>
        <w:t xml:space="preserve">Stradford </w:t>
      </w:r>
      <w:r w:rsidRPr="00CA4331">
        <w:rPr>
          <w:rFonts w:ascii="Times New Roman" w:hAnsi="Times New Roman"/>
        </w:rPr>
        <w:t>describe the lack of liability of each of Judge Vasta, the guards, the police officers, and the correctional officers as arising from an "immunity" or a "judicial immunity". In the present case, the Commonwealth fastened upon this use of language by a submission that since the absence of liability for Judge Vasta arose from a judicial immunity, the absence of liability for the guards and other officers must arise from a separate common law defence founded upon compliance with the state of existing law as declared by a court. The Commonwealth submitted that "[t]</w:t>
      </w:r>
      <w:proofErr w:type="gramStart"/>
      <w:r w:rsidRPr="00CA4331">
        <w:rPr>
          <w:rFonts w:ascii="Times New Roman" w:hAnsi="Times New Roman"/>
        </w:rPr>
        <w:t>he</w:t>
      </w:r>
      <w:proofErr w:type="gramEnd"/>
      <w:r w:rsidRPr="00CA4331">
        <w:rPr>
          <w:rFonts w:ascii="Times New Roman" w:hAnsi="Times New Roman"/>
        </w:rPr>
        <w:t xml:space="preserve"> issue of judicial immunity in </w:t>
      </w:r>
      <w:r w:rsidRPr="00CA4331">
        <w:rPr>
          <w:rFonts w:ascii="Times New Roman" w:hAnsi="Times New Roman"/>
          <w:i/>
          <w:iCs/>
        </w:rPr>
        <w:t>Stradford</w:t>
      </w:r>
      <w:r w:rsidRPr="00CA4331">
        <w:rPr>
          <w:rFonts w:ascii="Times New Roman" w:hAnsi="Times New Roman"/>
        </w:rPr>
        <w:t xml:space="preserve"> arose only in relation to the liability of Judge Vasta and not in relation to the availability of the common law defence for the enforcing officials".</w:t>
      </w:r>
    </w:p>
    <w:p w14:paraId="112D4EDE"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 xml:space="preserve">If the basis upon which Judge Vasta was able to avoid liability for false imprisonment had been judicial immunity then, since the status of the guards, police officers, and correctional officers could not afford them any immunity, this </w:t>
      </w:r>
      <w:r w:rsidRPr="00CA4331">
        <w:rPr>
          <w:rFonts w:ascii="Times New Roman" w:hAnsi="Times New Roman"/>
        </w:rPr>
        <w:lastRenderedPageBreak/>
        <w:t xml:space="preserve">Court would have implicitly recognised, contrary to longstanding authority, a remarkable new common law defence for persons who perform a duty in compliance with an apparent, although invalid, law. The submission by the Commonwealth would be unanswerable. But, despite the loose use of the language of "immunity", that is a mischaracterisation of the decision in </w:t>
      </w:r>
      <w:r w:rsidRPr="00CA4331">
        <w:rPr>
          <w:rFonts w:ascii="Times New Roman" w:hAnsi="Times New Roman"/>
          <w:i/>
          <w:iCs/>
        </w:rPr>
        <w:t>Stradford</w:t>
      </w:r>
      <w:r w:rsidRPr="00CA4331">
        <w:rPr>
          <w:rFonts w:ascii="Times New Roman" w:hAnsi="Times New Roman"/>
        </w:rPr>
        <w:t>.</w:t>
      </w:r>
    </w:p>
    <w:p w14:paraId="1237643B" w14:textId="77777777" w:rsidR="009F6ECF" w:rsidRPr="00CA4331" w:rsidRDefault="009F6ECF" w:rsidP="00CA4331">
      <w:pPr>
        <w:pStyle w:val="HeadingL2"/>
        <w:spacing w:after="260" w:line="280" w:lineRule="exact"/>
        <w:ind w:right="0"/>
        <w:jc w:val="both"/>
        <w:rPr>
          <w:rFonts w:ascii="Times New Roman" w:hAnsi="Times New Roman"/>
        </w:rPr>
      </w:pPr>
      <w:r w:rsidRPr="00CA4331">
        <w:rPr>
          <w:rFonts w:ascii="Times New Roman" w:hAnsi="Times New Roman"/>
        </w:rPr>
        <w:t>A V Dicey and the lack of analogy with United States and Canadian law</w:t>
      </w:r>
    </w:p>
    <w:p w14:paraId="720CED25" w14:textId="77777777" w:rsidR="009F6ECF" w:rsidRPr="00CA4331" w:rsidRDefault="009F6ECF" w:rsidP="00CA4331">
      <w:pPr>
        <w:pStyle w:val="FixListStyle"/>
        <w:spacing w:after="260" w:line="280" w:lineRule="exact"/>
        <w:ind w:right="0"/>
        <w:jc w:val="both"/>
        <w:rPr>
          <w:rFonts w:ascii="Times New Roman" w:hAnsi="Times New Roman"/>
        </w:rPr>
      </w:pPr>
      <w:r>
        <w:rPr>
          <w:rFonts w:ascii="Times New Roman" w:hAnsi="Times New Roman"/>
        </w:rPr>
        <w:tab/>
      </w:r>
      <w:r w:rsidRPr="00CA4331">
        <w:rPr>
          <w:rFonts w:ascii="Times New Roman" w:hAnsi="Times New Roman"/>
        </w:rPr>
        <w:t xml:space="preserve">In the absence of any coherent principled basis for the proposed new defence, and in the teeth of Australian and English authority, the Commonwealth relied upon United States and Canadian authority which recognises a qualified immunity for executive officers and the body politic. Those decisions cannot be transplanted into Australian law. Indeed, an analysis of those decisions reveals the most fundamental problem for the immunity proposed by the Commonwealth: its inconsistency with the </w:t>
      </w:r>
      <w:proofErr w:type="spellStart"/>
      <w:r w:rsidRPr="00CA4331">
        <w:rPr>
          <w:rFonts w:ascii="Times New Roman" w:hAnsi="Times New Roman"/>
        </w:rPr>
        <w:t>Diceyan</w:t>
      </w:r>
      <w:proofErr w:type="spellEnd"/>
      <w:r w:rsidRPr="00CA4331">
        <w:rPr>
          <w:rFonts w:ascii="Times New Roman" w:hAnsi="Times New Roman"/>
        </w:rPr>
        <w:t xml:space="preserve"> principle of legal equality.</w:t>
      </w:r>
    </w:p>
    <w:p w14:paraId="74F289BE"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 xml:space="preserve">The leading decision in the United States is that of the Supreme Court of the United States in </w:t>
      </w:r>
      <w:r w:rsidRPr="00CA4331">
        <w:rPr>
          <w:rFonts w:ascii="Times New Roman" w:hAnsi="Times New Roman"/>
          <w:i/>
          <w:iCs/>
        </w:rPr>
        <w:t>Pierson v Ray</w:t>
      </w:r>
      <w:r w:rsidRPr="00CA4331">
        <w:rPr>
          <w:rFonts w:ascii="Times New Roman" w:hAnsi="Times New Roman"/>
        </w:rPr>
        <w:t>.</w:t>
      </w:r>
      <w:r w:rsidRPr="00CA4331">
        <w:rPr>
          <w:rStyle w:val="FootnoteReference"/>
          <w:rFonts w:ascii="Times New Roman" w:hAnsi="Times New Roman"/>
          <w:sz w:val="24"/>
        </w:rPr>
        <w:footnoteReference w:id="209"/>
      </w:r>
      <w:r w:rsidRPr="00CA4331">
        <w:rPr>
          <w:rFonts w:ascii="Times New Roman" w:hAnsi="Times New Roman"/>
        </w:rPr>
        <w:t xml:space="preserve"> In that case, a claim had been brought against police officers and a local judge for false arrest and false imprisonment, and for statutory civil rights violations. The petitioners were part of a group of black and white clergymen who were part of a tour to promote racial equality. They entered a waiting area at an interstate bus terminal which was designated "White Waiting Room Only—By Order of the Police Department". The clergymen petitioners were arrested and detained by the police officers for a misdemeanour under the </w:t>
      </w:r>
      <w:r w:rsidRPr="00CA4331">
        <w:rPr>
          <w:rFonts w:ascii="Times New Roman" w:hAnsi="Times New Roman"/>
          <w:i/>
          <w:iCs/>
        </w:rPr>
        <w:t>Mississippi Code</w:t>
      </w:r>
      <w:r w:rsidRPr="00CA4331">
        <w:rPr>
          <w:rFonts w:ascii="Times New Roman" w:hAnsi="Times New Roman"/>
        </w:rPr>
        <w:t xml:space="preserve"> that, some years later, was found to be unconstitutional in its application to similar facts. The clergymen were sentenced to four months in jail by the local judge.</w:t>
      </w:r>
    </w:p>
    <w:p w14:paraId="179B2E0B"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 xml:space="preserve">Unlike the guards, police officers, and correctional officers in </w:t>
      </w:r>
      <w:r w:rsidRPr="00CA4331">
        <w:rPr>
          <w:rFonts w:ascii="Times New Roman" w:hAnsi="Times New Roman"/>
          <w:i/>
          <w:iCs/>
        </w:rPr>
        <w:t>Stradford</w:t>
      </w:r>
      <w:r w:rsidRPr="00CA4331">
        <w:rPr>
          <w:rFonts w:ascii="Times New Roman" w:hAnsi="Times New Roman"/>
        </w:rPr>
        <w:t xml:space="preserve">, the arresting and detaining police officers in </w:t>
      </w:r>
      <w:r w:rsidRPr="00CA4331">
        <w:rPr>
          <w:rFonts w:ascii="Times New Roman" w:hAnsi="Times New Roman"/>
          <w:i/>
          <w:iCs/>
        </w:rPr>
        <w:t xml:space="preserve">Pierson </w:t>
      </w:r>
      <w:r w:rsidRPr="00CA4331">
        <w:rPr>
          <w:rFonts w:ascii="Times New Roman" w:hAnsi="Times New Roman"/>
        </w:rPr>
        <w:t>had no defence (justification) of authority based upon compliance with binding judicial orders. The only basis upon which the police officers could avoid liability was the existence of a particular privilege or immunity special to the police. Warren CJ, delivering the reasons of the majority of the Supreme Court, considered that an immunity existed at common law which was part of the "background" to the relevant civil rights legislation, describing the defence as one of "good faith and probable cause" where "the officers reasonably believed in good faith that the arrest was constitutional".</w:t>
      </w:r>
      <w:r w:rsidRPr="00CA4331">
        <w:rPr>
          <w:rStyle w:val="FootnoteReference"/>
          <w:rFonts w:ascii="Times New Roman" w:hAnsi="Times New Roman"/>
          <w:sz w:val="24"/>
        </w:rPr>
        <w:footnoteReference w:id="210"/>
      </w:r>
      <w:r w:rsidRPr="00CA4331">
        <w:rPr>
          <w:rFonts w:ascii="Times New Roman" w:hAnsi="Times New Roman"/>
        </w:rPr>
        <w:t xml:space="preserve"> The Chief Justice explained:</w:t>
      </w:r>
      <w:r w:rsidRPr="00CA4331">
        <w:rPr>
          <w:rStyle w:val="FootnoteReference"/>
          <w:rFonts w:ascii="Times New Roman" w:hAnsi="Times New Roman"/>
          <w:sz w:val="24"/>
        </w:rPr>
        <w:footnoteReference w:id="211"/>
      </w:r>
    </w:p>
    <w:p w14:paraId="374224C1" w14:textId="77777777" w:rsidR="009F6ECF" w:rsidRDefault="009F6ECF" w:rsidP="00CA4331">
      <w:pPr>
        <w:pStyle w:val="LeftrightafterHC"/>
        <w:spacing w:before="0" w:after="260" w:line="280" w:lineRule="exact"/>
        <w:ind w:right="0"/>
        <w:jc w:val="both"/>
        <w:rPr>
          <w:rFonts w:ascii="Times New Roman" w:hAnsi="Times New Roman"/>
        </w:rPr>
      </w:pPr>
      <w:r w:rsidRPr="00CA4331">
        <w:rPr>
          <w:rFonts w:ascii="Times New Roman" w:hAnsi="Times New Roman"/>
        </w:rPr>
        <w:lastRenderedPageBreak/>
        <w:t>"A policeman's lot is not so unhappy that he must choose between being charged with dereliction of duty if he does not arrest when he has probable cause, and being mulcted in damages if he does. Although the matter is not entirely free from doubt, the same consideration would seem to require excusing him from liability for acting under a statute that he reasonably believed to be valid but that was later held unconstitutional, on its face or as applied."</w:t>
      </w:r>
    </w:p>
    <w:p w14:paraId="7F88C1E6"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 xml:space="preserve">The majority of the Supreme Court did not attempt to justify the defence recognised in </w:t>
      </w:r>
      <w:r w:rsidRPr="00CA4331">
        <w:rPr>
          <w:rFonts w:ascii="Times New Roman" w:hAnsi="Times New Roman"/>
          <w:i/>
          <w:iCs/>
        </w:rPr>
        <w:t xml:space="preserve">Pierson </w:t>
      </w:r>
      <w:r w:rsidRPr="00CA4331">
        <w:rPr>
          <w:rFonts w:ascii="Times New Roman" w:hAnsi="Times New Roman"/>
        </w:rPr>
        <w:t>as a matter of principle in instances where the arrest is made for a felony or misdemeanour under a law that is unconstitutional. The defence was simply asserted, with little reference to authority, to exist as a matter of common law. That assertion has been powerfully criticised as being historically inaccurate,</w:t>
      </w:r>
      <w:r w:rsidRPr="00CA4331">
        <w:rPr>
          <w:rStyle w:val="FootnoteReference"/>
          <w:rFonts w:ascii="Times New Roman" w:hAnsi="Times New Roman"/>
          <w:sz w:val="24"/>
        </w:rPr>
        <w:footnoteReference w:id="212"/>
      </w:r>
      <w:r w:rsidRPr="00CA4331">
        <w:rPr>
          <w:rFonts w:ascii="Times New Roman" w:hAnsi="Times New Roman"/>
        </w:rPr>
        <w:t xml:space="preserve"> including on the basis that it is inconsistent with a foundational decision of Marshall CJ.</w:t>
      </w:r>
      <w:r w:rsidRPr="00CA4331">
        <w:rPr>
          <w:rStyle w:val="FootnoteReference"/>
          <w:rFonts w:ascii="Times New Roman" w:hAnsi="Times New Roman"/>
          <w:sz w:val="24"/>
        </w:rPr>
        <w:footnoteReference w:id="213"/>
      </w:r>
      <w:r w:rsidRPr="00CA4331">
        <w:rPr>
          <w:rFonts w:ascii="Times New Roman" w:hAnsi="Times New Roman"/>
        </w:rPr>
        <w:t xml:space="preserve"> The majority referred to the recognition of the defence in, inter alia, the </w:t>
      </w:r>
      <w:r w:rsidRPr="00CA4331">
        <w:rPr>
          <w:rFonts w:ascii="Times New Roman" w:hAnsi="Times New Roman"/>
          <w:i/>
          <w:iCs/>
        </w:rPr>
        <w:t>Restatement (Second) of Torts</w:t>
      </w:r>
      <w:r w:rsidRPr="00CA4331">
        <w:rPr>
          <w:rFonts w:ascii="Times New Roman" w:hAnsi="Times New Roman"/>
        </w:rPr>
        <w:t>,</w:t>
      </w:r>
      <w:r w:rsidRPr="00CA4331">
        <w:rPr>
          <w:rStyle w:val="FootnoteReference"/>
          <w:rFonts w:ascii="Times New Roman" w:hAnsi="Times New Roman"/>
          <w:sz w:val="24"/>
        </w:rPr>
        <w:footnoteReference w:id="214"/>
      </w:r>
      <w:r w:rsidRPr="00CA4331">
        <w:rPr>
          <w:rFonts w:ascii="Times New Roman" w:hAnsi="Times New Roman"/>
        </w:rPr>
        <w:t xml:space="preserve"> albeit that the recognition in that text came with a caveat that no opinion was expressed as to the circumstance where the arrest was made for a suspected offence under a provision of legislation later found to be unconstitutional.</w:t>
      </w:r>
    </w:p>
    <w:p w14:paraId="3C8380D4"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 xml:space="preserve">Even apart from the controversy surrounding the decision, there are serious difficulties with the reliance by the Commonwealth upon the controversial "immunity" recognised in </w:t>
      </w:r>
      <w:r w:rsidRPr="00CA4331">
        <w:rPr>
          <w:rFonts w:ascii="Times New Roman" w:hAnsi="Times New Roman"/>
          <w:i/>
          <w:iCs/>
        </w:rPr>
        <w:t>Pierson</w:t>
      </w:r>
      <w:r w:rsidRPr="00CA4331">
        <w:rPr>
          <w:rFonts w:ascii="Times New Roman" w:hAnsi="Times New Roman"/>
        </w:rPr>
        <w:t>. As</w:t>
      </w:r>
      <w:r w:rsidRPr="00CA4331" w:rsidDel="00D9593F">
        <w:rPr>
          <w:rFonts w:ascii="Times New Roman" w:hAnsi="Times New Roman"/>
        </w:rPr>
        <w:t xml:space="preserve"> </w:t>
      </w:r>
      <w:r w:rsidRPr="00CA4331">
        <w:rPr>
          <w:rFonts w:ascii="Times New Roman" w:hAnsi="Times New Roman"/>
        </w:rPr>
        <w:t xml:space="preserve">Tentative Draft No 6 of the </w:t>
      </w:r>
      <w:r w:rsidRPr="00CA4331">
        <w:rPr>
          <w:rFonts w:ascii="Times New Roman" w:hAnsi="Times New Roman"/>
          <w:i/>
          <w:iCs/>
        </w:rPr>
        <w:t>Restatement (Third) of Torts</w:t>
      </w:r>
      <w:r w:rsidRPr="00CA4331">
        <w:rPr>
          <w:rStyle w:val="FootnoteReference"/>
          <w:rFonts w:ascii="Times New Roman" w:hAnsi="Times New Roman"/>
          <w:sz w:val="24"/>
        </w:rPr>
        <w:footnoteReference w:id="215"/>
      </w:r>
      <w:r w:rsidRPr="00CA4331">
        <w:rPr>
          <w:rFonts w:ascii="Times New Roman" w:hAnsi="Times New Roman"/>
          <w:i/>
          <w:iCs/>
        </w:rPr>
        <w:t xml:space="preserve"> </w:t>
      </w:r>
      <w:r w:rsidRPr="00CA4331">
        <w:rPr>
          <w:rFonts w:ascii="Times New Roman" w:hAnsi="Times New Roman"/>
        </w:rPr>
        <w:t>makes clear, although "[</w:t>
      </w:r>
      <w:proofErr w:type="spellStart"/>
      <w:r w:rsidRPr="00CA4331">
        <w:rPr>
          <w:rFonts w:ascii="Times New Roman" w:hAnsi="Times New Roman"/>
        </w:rPr>
        <w:t>i</w:t>
      </w:r>
      <w:proofErr w:type="spellEnd"/>
      <w:r w:rsidRPr="00CA4331">
        <w:rPr>
          <w:rFonts w:ascii="Times New Roman" w:hAnsi="Times New Roman"/>
        </w:rPr>
        <w:t>]t is not uncommon for courts improperly to conflate these analyses", a defence of law enforcement officials to a claim of wrongful arrest and imprisonment is not an immunity from the law at all. It is a privilege. The defence does not concede the wrongfulness of the action and assert an immunity from liability based upon status. Rather, the defence claims that the action was not wrongful because the official enjoyed a privilege to perform that action.</w:t>
      </w:r>
    </w:p>
    <w:p w14:paraId="1BF20AA0"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lastRenderedPageBreak/>
        <w:tab/>
        <w:t xml:space="preserve">The common law "law enforcement privilege" upon which the decision in </w:t>
      </w:r>
      <w:r w:rsidRPr="00CA4331">
        <w:rPr>
          <w:rFonts w:ascii="Times New Roman" w:hAnsi="Times New Roman"/>
          <w:i/>
          <w:iCs/>
        </w:rPr>
        <w:t xml:space="preserve">Pierson </w:t>
      </w:r>
      <w:r w:rsidRPr="00CA4331">
        <w:rPr>
          <w:rFonts w:ascii="Times New Roman" w:hAnsi="Times New Roman"/>
        </w:rPr>
        <w:t>may have been based (which also includes a more limited form for private citizens</w:t>
      </w:r>
      <w:r w:rsidRPr="00CA4331">
        <w:rPr>
          <w:rStyle w:val="FootnoteReference"/>
          <w:rFonts w:ascii="Times New Roman" w:hAnsi="Times New Roman"/>
          <w:sz w:val="24"/>
        </w:rPr>
        <w:footnoteReference w:id="216"/>
      </w:r>
      <w:r w:rsidRPr="00CA4331">
        <w:rPr>
          <w:rFonts w:ascii="Times New Roman" w:hAnsi="Times New Roman"/>
        </w:rPr>
        <w:t>) is not unique to the United States. Such a privilege—to arrest and detain a person reasonably suspected of committing a crime for the purpose of bringing the person before a magistrate—is long-established in English common law</w:t>
      </w:r>
      <w:r w:rsidRPr="00CA4331">
        <w:rPr>
          <w:rStyle w:val="FootnoteReference"/>
          <w:rFonts w:ascii="Times New Roman" w:hAnsi="Times New Roman"/>
          <w:sz w:val="24"/>
        </w:rPr>
        <w:footnoteReference w:id="217"/>
      </w:r>
      <w:r w:rsidRPr="00CA4331">
        <w:rPr>
          <w:rFonts w:ascii="Times New Roman" w:hAnsi="Times New Roman"/>
        </w:rPr>
        <w:t xml:space="preserve"> and recognised by this Court.</w:t>
      </w:r>
      <w:r w:rsidRPr="00CA4331">
        <w:rPr>
          <w:rStyle w:val="FootnoteReference"/>
          <w:rFonts w:ascii="Times New Roman" w:hAnsi="Times New Roman"/>
          <w:sz w:val="24"/>
        </w:rPr>
        <w:footnoteReference w:id="218"/>
      </w:r>
      <w:r w:rsidRPr="00CA4331">
        <w:rPr>
          <w:rFonts w:ascii="Times New Roman" w:hAnsi="Times New Roman"/>
        </w:rPr>
        <w:t xml:space="preserve"> It has nothing to do with the facts of this case, which concern the unlawful detention of a person by an officer of the Executive acting</w:t>
      </w:r>
      <w:r w:rsidRPr="00CA4331" w:rsidDel="00542E01">
        <w:rPr>
          <w:rFonts w:ascii="Times New Roman" w:hAnsi="Times New Roman"/>
        </w:rPr>
        <w:t xml:space="preserve"> </w:t>
      </w:r>
      <w:r w:rsidRPr="00CA4331">
        <w:rPr>
          <w:rFonts w:ascii="Times New Roman" w:hAnsi="Times New Roman"/>
        </w:rPr>
        <w:t>without authority. The Commonwealth properly concedes that the action of the officer was unlawful (</w:t>
      </w:r>
      <w:proofErr w:type="spellStart"/>
      <w:r w:rsidRPr="00CA4331">
        <w:rPr>
          <w:rFonts w:ascii="Times New Roman" w:hAnsi="Times New Roman"/>
        </w:rPr>
        <w:t>ie</w:t>
      </w:r>
      <w:proofErr w:type="spellEnd"/>
      <w:r w:rsidRPr="00CA4331">
        <w:rPr>
          <w:rFonts w:ascii="Times New Roman" w:hAnsi="Times New Roman"/>
        </w:rPr>
        <w:t xml:space="preserve"> that there was no privilege).</w:t>
      </w:r>
    </w:p>
    <w:p w14:paraId="2F8E6C26"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 xml:space="preserve">It may be, however, that the defence recognised by the Supreme Court of the United States in </w:t>
      </w:r>
      <w:r w:rsidRPr="00CA4331">
        <w:rPr>
          <w:rFonts w:ascii="Times New Roman" w:hAnsi="Times New Roman"/>
          <w:i/>
          <w:iCs/>
        </w:rPr>
        <w:t xml:space="preserve">Pierson </w:t>
      </w:r>
      <w:r w:rsidRPr="00CA4331">
        <w:rPr>
          <w:rFonts w:ascii="Times New Roman" w:hAnsi="Times New Roman"/>
        </w:rPr>
        <w:t>is capable of an alternative understanding not as a privilege but, consistently with the language used by the Supreme Court in other cases, as a "governmental immunity".</w:t>
      </w:r>
      <w:r w:rsidRPr="00CA4331">
        <w:rPr>
          <w:rStyle w:val="FootnoteReference"/>
          <w:rFonts w:ascii="Times New Roman" w:hAnsi="Times New Roman"/>
          <w:sz w:val="24"/>
        </w:rPr>
        <w:footnoteReference w:id="219"/>
      </w:r>
      <w:r w:rsidRPr="00CA4331">
        <w:rPr>
          <w:rFonts w:ascii="Times New Roman" w:hAnsi="Times New Roman"/>
        </w:rPr>
        <w:t xml:space="preserve"> For instance, in </w:t>
      </w:r>
      <w:proofErr w:type="spellStart"/>
      <w:r w:rsidRPr="00CA4331">
        <w:rPr>
          <w:rFonts w:ascii="Times New Roman" w:hAnsi="Times New Roman"/>
          <w:i/>
          <w:iCs/>
        </w:rPr>
        <w:t>Filarsky</w:t>
      </w:r>
      <w:proofErr w:type="spellEnd"/>
      <w:r w:rsidRPr="00CA4331">
        <w:rPr>
          <w:rFonts w:ascii="Times New Roman" w:hAnsi="Times New Roman"/>
          <w:i/>
          <w:iCs/>
        </w:rPr>
        <w:t xml:space="preserve"> v Delia</w:t>
      </w:r>
      <w:r w:rsidRPr="00CA4331">
        <w:rPr>
          <w:rFonts w:ascii="Times New Roman" w:hAnsi="Times New Roman"/>
        </w:rPr>
        <w:t>,</w:t>
      </w:r>
      <w:r w:rsidRPr="00CA4331">
        <w:rPr>
          <w:rStyle w:val="FootnoteReference"/>
          <w:rFonts w:ascii="Times New Roman" w:hAnsi="Times New Roman"/>
          <w:sz w:val="24"/>
        </w:rPr>
        <w:footnoteReference w:id="220"/>
      </w:r>
      <w:r w:rsidRPr="00CA4331">
        <w:rPr>
          <w:rFonts w:ascii="Times New Roman" w:hAnsi="Times New Roman"/>
        </w:rPr>
        <w:t xml:space="preserve"> Roberts</w:t>
      </w:r>
      <w:r>
        <w:rPr>
          <w:rFonts w:ascii="Times New Roman" w:hAnsi="Times New Roman"/>
        </w:rPr>
        <w:t> </w:t>
      </w:r>
      <w:r w:rsidRPr="00CA4331">
        <w:rPr>
          <w:rFonts w:ascii="Times New Roman" w:hAnsi="Times New Roman"/>
        </w:rPr>
        <w:t>CJ, delivering the opinion of the Court, said that "[a]t common law, those who carried out the work of government enjoyed various protections from liability when doing so, in order to allow them to serve the government without undue fear of personal exposure".</w:t>
      </w:r>
    </w:p>
    <w:p w14:paraId="05D7C759"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 xml:space="preserve">The same broad-based governmental immunity is recognised in Canadian law in the context of the </w:t>
      </w:r>
      <w:r w:rsidRPr="00CA4331">
        <w:rPr>
          <w:rFonts w:ascii="Times New Roman" w:hAnsi="Times New Roman"/>
          <w:i/>
          <w:iCs/>
        </w:rPr>
        <w:t>Canadian Charter of Rights and Freedoms</w:t>
      </w:r>
      <w:r w:rsidRPr="00CA4331">
        <w:rPr>
          <w:rFonts w:ascii="Times New Roman" w:hAnsi="Times New Roman"/>
        </w:rPr>
        <w:t xml:space="preserve">. In the leading decision, </w:t>
      </w:r>
      <w:r w:rsidRPr="00CA4331">
        <w:rPr>
          <w:rFonts w:ascii="Times New Roman" w:hAnsi="Times New Roman"/>
          <w:i/>
          <w:iCs/>
        </w:rPr>
        <w:t>Mackin v New Brunswick (Minister of Finance)</w:t>
      </w:r>
      <w:r w:rsidRPr="00CA4331">
        <w:rPr>
          <w:rFonts w:ascii="Times New Roman" w:hAnsi="Times New Roman"/>
        </w:rPr>
        <w:t>,</w:t>
      </w:r>
      <w:r w:rsidRPr="00CA4331">
        <w:rPr>
          <w:rStyle w:val="FootnoteReference"/>
          <w:rFonts w:ascii="Times New Roman" w:hAnsi="Times New Roman"/>
          <w:sz w:val="24"/>
        </w:rPr>
        <w:footnoteReference w:id="221"/>
      </w:r>
      <w:r w:rsidRPr="00CA4331">
        <w:rPr>
          <w:rFonts w:ascii="Times New Roman" w:hAnsi="Times New Roman"/>
        </w:rPr>
        <w:t xml:space="preserve"> Gonthier</w:t>
      </w:r>
      <w:r>
        <w:rPr>
          <w:rFonts w:ascii="Times New Roman" w:hAnsi="Times New Roman"/>
        </w:rPr>
        <w:t> </w:t>
      </w:r>
      <w:r w:rsidRPr="00CA4331">
        <w:rPr>
          <w:rFonts w:ascii="Times New Roman" w:hAnsi="Times New Roman"/>
        </w:rPr>
        <w:t>J (giving the judgment of L'Heureux-Dubé, Gonthier, Iacobucci, Major and Arbour JJ) considered a claim against the Province of New Brunswick for the enactment of unconstitutional legislation that abolished supernumerary judicial status. Gonthier</w:t>
      </w:r>
      <w:r>
        <w:rPr>
          <w:rFonts w:ascii="Times New Roman" w:hAnsi="Times New Roman"/>
        </w:rPr>
        <w:t> </w:t>
      </w:r>
      <w:r w:rsidRPr="00CA4331">
        <w:rPr>
          <w:rFonts w:ascii="Times New Roman" w:hAnsi="Times New Roman"/>
        </w:rPr>
        <w:t>J said of liability for</w:t>
      </w:r>
      <w:r w:rsidRPr="00CA4331" w:rsidDel="00E325E2">
        <w:rPr>
          <w:rFonts w:ascii="Times New Roman" w:hAnsi="Times New Roman"/>
        </w:rPr>
        <w:t xml:space="preserve"> </w:t>
      </w:r>
      <w:r w:rsidRPr="00CA4331">
        <w:rPr>
          <w:rFonts w:ascii="Times New Roman" w:hAnsi="Times New Roman"/>
        </w:rPr>
        <w:t>damages under s 24(1) of the</w:t>
      </w:r>
      <w:r w:rsidRPr="00CA4331">
        <w:rPr>
          <w:rFonts w:ascii="Times New Roman" w:hAnsi="Times New Roman"/>
          <w:i/>
          <w:iCs/>
        </w:rPr>
        <w:t xml:space="preserve"> Canadian Charter </w:t>
      </w:r>
      <w:r w:rsidRPr="00CA4331">
        <w:rPr>
          <w:rFonts w:ascii="Times New Roman" w:hAnsi="Times New Roman"/>
        </w:rPr>
        <w:t xml:space="preserve">that it is "only in the event of conduct that is clearly wrong, in bad faith or an abuse of </w:t>
      </w:r>
      <w:r w:rsidRPr="00CA4331">
        <w:rPr>
          <w:rFonts w:ascii="Times New Roman" w:hAnsi="Times New Roman"/>
        </w:rPr>
        <w:lastRenderedPageBreak/>
        <w:t>power that damages may be awarded". The rationale for this immunity was said to be that "[o]</w:t>
      </w:r>
      <w:proofErr w:type="spellStart"/>
      <w:r w:rsidRPr="00CA4331">
        <w:rPr>
          <w:rFonts w:ascii="Times New Roman" w:hAnsi="Times New Roman"/>
        </w:rPr>
        <w:t>therwise</w:t>
      </w:r>
      <w:proofErr w:type="spellEnd"/>
      <w:r w:rsidRPr="00CA4331">
        <w:rPr>
          <w:rFonts w:ascii="Times New Roman" w:hAnsi="Times New Roman"/>
        </w:rPr>
        <w:t>, the effectiveness and efficiency of government action would be excessively constrained".</w:t>
      </w:r>
    </w:p>
    <w:p w14:paraId="42075721"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 xml:space="preserve">In </w:t>
      </w:r>
      <w:r w:rsidRPr="00CA4331">
        <w:rPr>
          <w:rFonts w:ascii="Times New Roman" w:hAnsi="Times New Roman"/>
          <w:i/>
          <w:iCs/>
        </w:rPr>
        <w:t>Mackin</w:t>
      </w:r>
      <w:r w:rsidRPr="00CA4331">
        <w:rPr>
          <w:rFonts w:ascii="Times New Roman" w:hAnsi="Times New Roman"/>
        </w:rPr>
        <w:t xml:space="preserve">, the remarks by Gonthier J were not made in the context of considering the liability of public officials. As Wagner CJ and Karakatsanis J (delivering the judgment also of Martin, </w:t>
      </w:r>
      <w:proofErr w:type="spellStart"/>
      <w:r w:rsidRPr="00CA4331">
        <w:rPr>
          <w:rFonts w:ascii="Times New Roman" w:hAnsi="Times New Roman"/>
        </w:rPr>
        <w:t>O'Bonsawin</w:t>
      </w:r>
      <w:proofErr w:type="spellEnd"/>
      <w:r w:rsidRPr="00CA4331">
        <w:rPr>
          <w:rFonts w:ascii="Times New Roman" w:hAnsi="Times New Roman"/>
        </w:rPr>
        <w:t xml:space="preserve"> and Moreau JJ) later explained in </w:t>
      </w:r>
      <w:r w:rsidRPr="00CA4331">
        <w:rPr>
          <w:rFonts w:ascii="Times New Roman" w:hAnsi="Times New Roman"/>
          <w:i/>
          <w:iCs/>
        </w:rPr>
        <w:t>Canada (Attorney General) v Power</w:t>
      </w:r>
      <w:r w:rsidRPr="00CA4331">
        <w:rPr>
          <w:rFonts w:ascii="Times New Roman" w:hAnsi="Times New Roman"/>
        </w:rPr>
        <w:t>,</w:t>
      </w:r>
      <w:r w:rsidRPr="00CA4331">
        <w:rPr>
          <w:rStyle w:val="FootnoteReference"/>
          <w:rFonts w:ascii="Times New Roman" w:hAnsi="Times New Roman"/>
          <w:sz w:val="24"/>
        </w:rPr>
        <w:footnoteReference w:id="222"/>
      </w:r>
      <w:r w:rsidRPr="00CA4331">
        <w:rPr>
          <w:rFonts w:ascii="Times New Roman" w:hAnsi="Times New Roman"/>
        </w:rPr>
        <w:t xml:space="preserve"> "</w:t>
      </w:r>
      <w:r w:rsidRPr="00CA4331">
        <w:rPr>
          <w:rFonts w:ascii="Times New Roman" w:hAnsi="Times New Roman"/>
          <w:i/>
          <w:iCs/>
        </w:rPr>
        <w:t xml:space="preserve">Mackin </w:t>
      </w:r>
      <w:r w:rsidRPr="00CA4331">
        <w:rPr>
          <w:rFonts w:ascii="Times New Roman" w:hAnsi="Times New Roman"/>
        </w:rPr>
        <w:t xml:space="preserve">concerned only the enactment of legislation ... The </w:t>
      </w:r>
      <w:r w:rsidRPr="00CA4331">
        <w:rPr>
          <w:rFonts w:ascii="Times New Roman" w:hAnsi="Times New Roman"/>
          <w:i/>
          <w:iCs/>
        </w:rPr>
        <w:t xml:space="preserve">Mackin </w:t>
      </w:r>
      <w:r w:rsidRPr="00CA4331">
        <w:rPr>
          <w:rFonts w:ascii="Times New Roman" w:hAnsi="Times New Roman"/>
        </w:rPr>
        <w:t xml:space="preserve">principle of limited immunity was plainly set out in the context of the 'enactment' of law, and as applying to 'legislative bodies'". Nevertheless, the </w:t>
      </w:r>
      <w:r w:rsidRPr="00CA4331">
        <w:rPr>
          <w:rFonts w:ascii="Times New Roman" w:hAnsi="Times New Roman"/>
          <w:i/>
          <w:iCs/>
        </w:rPr>
        <w:t xml:space="preserve">Mackin </w:t>
      </w:r>
      <w:r w:rsidRPr="00CA4331">
        <w:rPr>
          <w:rFonts w:ascii="Times New Roman" w:hAnsi="Times New Roman"/>
        </w:rPr>
        <w:t>principle has been held also to apply to executive action "because good governance requires that public officials carry out their duties under valid statutes without fear of liability in the event that the statute is later struck down".</w:t>
      </w:r>
      <w:r w:rsidRPr="00CA4331">
        <w:rPr>
          <w:rStyle w:val="FootnoteReference"/>
          <w:rFonts w:ascii="Times New Roman" w:hAnsi="Times New Roman"/>
          <w:sz w:val="24"/>
        </w:rPr>
        <w:footnoteReference w:id="223"/>
      </w:r>
      <w:r w:rsidRPr="00CA4331">
        <w:rPr>
          <w:rFonts w:ascii="Times New Roman" w:hAnsi="Times New Roman"/>
        </w:rPr>
        <w:t xml:space="preserve"> And it has been said that the principle applies to claims in tort as well as claims based on s 24(1) of the </w:t>
      </w:r>
      <w:r w:rsidRPr="00CA4331">
        <w:rPr>
          <w:rFonts w:ascii="Times New Roman" w:hAnsi="Times New Roman"/>
          <w:i/>
        </w:rPr>
        <w:t>Charter</w:t>
      </w:r>
      <w:r w:rsidRPr="00CA4331">
        <w:rPr>
          <w:rFonts w:ascii="Times New Roman" w:hAnsi="Times New Roman"/>
        </w:rPr>
        <w:t>.</w:t>
      </w:r>
      <w:r w:rsidRPr="00CA4331">
        <w:rPr>
          <w:rStyle w:val="FootnoteReference"/>
          <w:rFonts w:ascii="Times New Roman" w:hAnsi="Times New Roman"/>
          <w:sz w:val="24"/>
        </w:rPr>
        <w:footnoteReference w:id="224"/>
      </w:r>
    </w:p>
    <w:p w14:paraId="2EA676DD"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 xml:space="preserve">The justification in United States and Canadian law for a unique immunity for public officials based upon the notion of efficient and effective government silently brushes aside the powerful </w:t>
      </w:r>
      <w:proofErr w:type="spellStart"/>
      <w:r w:rsidRPr="00CA4331">
        <w:rPr>
          <w:rFonts w:ascii="Times New Roman" w:hAnsi="Times New Roman"/>
        </w:rPr>
        <w:t>Diceyan</w:t>
      </w:r>
      <w:proofErr w:type="spellEnd"/>
      <w:r w:rsidRPr="00CA4331">
        <w:rPr>
          <w:rFonts w:ascii="Times New Roman" w:hAnsi="Times New Roman"/>
        </w:rPr>
        <w:t xml:space="preserve"> principle of equality under the law. Dicey's second principle that every person is "subject to the ordinary law of the realm" was one that expressly excluded "the idea of any exemption of officials or others from the duty of obedience to the law".</w:t>
      </w:r>
      <w:r w:rsidRPr="00CA4331">
        <w:rPr>
          <w:rStyle w:val="FootnoteReference"/>
          <w:rFonts w:ascii="Times New Roman" w:hAnsi="Times New Roman"/>
          <w:sz w:val="24"/>
        </w:rPr>
        <w:footnoteReference w:id="225"/>
      </w:r>
      <w:r w:rsidRPr="00CA4331">
        <w:rPr>
          <w:rFonts w:ascii="Times New Roman" w:hAnsi="Times New Roman"/>
        </w:rPr>
        <w:t xml:space="preserve"> The cogency of that second principle has been consistently recognised from the earliest decisions of this Court: "[</w:t>
      </w:r>
      <w:proofErr w:type="spellStart"/>
      <w:r w:rsidRPr="00CA4331">
        <w:rPr>
          <w:rFonts w:ascii="Times New Roman" w:hAnsi="Times New Roman"/>
        </w:rPr>
        <w:t>i</w:t>
      </w:r>
      <w:proofErr w:type="spellEnd"/>
      <w:r w:rsidRPr="00CA4331">
        <w:rPr>
          <w:rFonts w:ascii="Times New Roman" w:hAnsi="Times New Roman"/>
        </w:rPr>
        <w:t>]f an act is unlawful ... a person who does it can claim no protection by saying that he acted under the authority of the Crown".</w:t>
      </w:r>
      <w:r w:rsidRPr="00CA4331">
        <w:rPr>
          <w:rStyle w:val="FootnoteReference"/>
          <w:rFonts w:ascii="Times New Roman" w:hAnsi="Times New Roman"/>
          <w:sz w:val="24"/>
        </w:rPr>
        <w:footnoteReference w:id="226"/>
      </w:r>
      <w:r w:rsidRPr="00CA4331">
        <w:rPr>
          <w:rFonts w:ascii="Times New Roman" w:hAnsi="Times New Roman"/>
        </w:rPr>
        <w:t xml:space="preserve"> The force of the second principle led to the claim by Deane and Toohey JJ, later rejected by a majority of this </w:t>
      </w:r>
      <w:r w:rsidRPr="00CA4331">
        <w:rPr>
          <w:rFonts w:ascii="Times New Roman" w:hAnsi="Times New Roman"/>
        </w:rPr>
        <w:lastRenderedPageBreak/>
        <w:t>Court</w:t>
      </w:r>
      <w:r w:rsidRPr="00CA4331">
        <w:rPr>
          <w:rStyle w:val="FootnoteReference"/>
          <w:rFonts w:ascii="Times New Roman" w:hAnsi="Times New Roman"/>
          <w:sz w:val="24"/>
        </w:rPr>
        <w:footnoteReference w:id="227"/>
      </w:r>
      <w:r w:rsidRPr="00CA4331">
        <w:rPr>
          <w:rFonts w:ascii="Times New Roman" w:hAnsi="Times New Roman"/>
        </w:rPr>
        <w:t xml:space="preserve"> but perhaps not entirely,</w:t>
      </w:r>
      <w:r w:rsidRPr="00CA4331">
        <w:rPr>
          <w:rStyle w:val="FootnoteReference"/>
          <w:rFonts w:ascii="Times New Roman" w:hAnsi="Times New Roman"/>
          <w:sz w:val="24"/>
        </w:rPr>
        <w:footnoteReference w:id="228"/>
      </w:r>
      <w:r w:rsidRPr="00CA4331">
        <w:rPr>
          <w:rFonts w:ascii="Times New Roman" w:hAnsi="Times New Roman"/>
        </w:rPr>
        <w:t xml:space="preserve"> that the </w:t>
      </w:r>
      <w:r w:rsidRPr="00CA4331">
        <w:rPr>
          <w:rFonts w:ascii="Times New Roman" w:hAnsi="Times New Roman"/>
          <w:i/>
          <w:iCs/>
        </w:rPr>
        <w:t xml:space="preserve">Constitution </w:t>
      </w:r>
      <w:r w:rsidRPr="00CA4331">
        <w:rPr>
          <w:rFonts w:ascii="Times New Roman" w:hAnsi="Times New Roman"/>
        </w:rPr>
        <w:t>itself contains an assumption of legal equality.</w:t>
      </w:r>
      <w:r w:rsidRPr="00CA4331">
        <w:rPr>
          <w:rStyle w:val="FootnoteReference"/>
          <w:rFonts w:ascii="Times New Roman" w:hAnsi="Times New Roman"/>
          <w:sz w:val="24"/>
        </w:rPr>
        <w:footnoteReference w:id="229"/>
      </w:r>
    </w:p>
    <w:p w14:paraId="432AC903"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 xml:space="preserve">The undermining of the </w:t>
      </w:r>
      <w:proofErr w:type="spellStart"/>
      <w:r w:rsidRPr="00CA4331">
        <w:rPr>
          <w:rFonts w:ascii="Times New Roman" w:hAnsi="Times New Roman"/>
        </w:rPr>
        <w:t>Diceyan</w:t>
      </w:r>
      <w:proofErr w:type="spellEnd"/>
      <w:r w:rsidRPr="00CA4331">
        <w:rPr>
          <w:rFonts w:ascii="Times New Roman" w:hAnsi="Times New Roman"/>
        </w:rPr>
        <w:t xml:space="preserve"> principle of legal equality can also be seen in the suggestion in the </w:t>
      </w:r>
      <w:r w:rsidRPr="00CA4331">
        <w:rPr>
          <w:rFonts w:ascii="Times New Roman" w:hAnsi="Times New Roman"/>
          <w:i/>
          <w:iCs/>
        </w:rPr>
        <w:t>Restatement (Second) of Torts</w:t>
      </w:r>
      <w:r w:rsidRPr="00CA4331">
        <w:rPr>
          <w:rStyle w:val="FootnoteReference"/>
          <w:rFonts w:ascii="Times New Roman" w:hAnsi="Times New Roman"/>
          <w:sz w:val="24"/>
        </w:rPr>
        <w:footnoteReference w:id="230"/>
      </w:r>
      <w:r w:rsidRPr="00CA4331">
        <w:rPr>
          <w:rFonts w:ascii="Times New Roman" w:hAnsi="Times New Roman"/>
          <w:i/>
          <w:iCs/>
        </w:rPr>
        <w:t xml:space="preserve"> </w:t>
      </w:r>
      <w:r w:rsidRPr="00CA4331">
        <w:rPr>
          <w:rFonts w:ascii="Times New Roman" w:hAnsi="Times New Roman"/>
        </w:rPr>
        <w:t xml:space="preserve">that the history of governmental immunity in the United States is derived from a notion of sovereign immunity; the immunity from liability of the King in his courts. That notion of immunity is inconsistent with s 75(iii) of the </w:t>
      </w:r>
      <w:r w:rsidRPr="00CA4331">
        <w:rPr>
          <w:rFonts w:ascii="Times New Roman" w:hAnsi="Times New Roman"/>
          <w:i/>
          <w:iCs/>
        </w:rPr>
        <w:t xml:space="preserve">Constitution </w:t>
      </w:r>
      <w:r w:rsidRPr="00CA4331">
        <w:rPr>
          <w:rFonts w:ascii="Times New Roman" w:hAnsi="Times New Roman"/>
        </w:rPr>
        <w:t>and</w:t>
      </w:r>
      <w:r w:rsidRPr="00CA4331">
        <w:rPr>
          <w:rFonts w:ascii="Times New Roman" w:hAnsi="Times New Roman"/>
          <w:i/>
          <w:iCs/>
        </w:rPr>
        <w:t xml:space="preserve"> </w:t>
      </w:r>
      <w:r w:rsidRPr="00CA4331">
        <w:rPr>
          <w:rFonts w:ascii="Times New Roman" w:hAnsi="Times New Roman"/>
        </w:rPr>
        <w:t>is no part of Australian law.</w:t>
      </w:r>
      <w:r w:rsidRPr="00CA4331">
        <w:rPr>
          <w:rStyle w:val="FootnoteReference"/>
          <w:rFonts w:ascii="Times New Roman" w:hAnsi="Times New Roman"/>
          <w:sz w:val="24"/>
        </w:rPr>
        <w:footnoteReference w:id="231"/>
      </w:r>
      <w:r w:rsidRPr="00CA4331">
        <w:rPr>
          <w:rFonts w:ascii="Times New Roman" w:hAnsi="Times New Roman"/>
        </w:rPr>
        <w:t xml:space="preserve"> Indeed, even the so-called "presumptions" that the Commonwealth Parliament intends to exempt the Commonwealth body politic or its officers from civil, and sometimes criminal, liability ha</w:t>
      </w:r>
      <w:r>
        <w:rPr>
          <w:rFonts w:ascii="Times New Roman" w:hAnsi="Times New Roman"/>
        </w:rPr>
        <w:t>ve</w:t>
      </w:r>
      <w:r w:rsidRPr="00CA4331">
        <w:rPr>
          <w:rFonts w:ascii="Times New Roman" w:hAnsi="Times New Roman"/>
        </w:rPr>
        <w:t xml:space="preserve"> been reduced to vanishing insignificance, perhaps awaiting a final burial.</w:t>
      </w:r>
      <w:r w:rsidRPr="00CA4331">
        <w:rPr>
          <w:rStyle w:val="FootnoteReference"/>
          <w:rFonts w:ascii="Times New Roman" w:hAnsi="Times New Roman"/>
          <w:sz w:val="24"/>
        </w:rPr>
        <w:footnoteReference w:id="232"/>
      </w:r>
    </w:p>
    <w:p w14:paraId="5B6E51ED"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 xml:space="preserve">There is no principled basis to use United States or Canadian jurisprudence </w:t>
      </w:r>
      <w:proofErr w:type="gramStart"/>
      <w:r w:rsidRPr="00CA4331">
        <w:rPr>
          <w:rFonts w:ascii="Times New Roman" w:hAnsi="Times New Roman"/>
        </w:rPr>
        <w:t>as a means to</w:t>
      </w:r>
      <w:proofErr w:type="gramEnd"/>
      <w:r w:rsidRPr="00CA4331">
        <w:rPr>
          <w:rFonts w:ascii="Times New Roman" w:hAnsi="Times New Roman"/>
        </w:rPr>
        <w:t xml:space="preserve"> develop a new immunity in Australian law.</w:t>
      </w:r>
    </w:p>
    <w:p w14:paraId="3249E922" w14:textId="77777777" w:rsidR="009F6ECF" w:rsidRPr="00CA4331" w:rsidRDefault="009F6ECF" w:rsidP="00CA4331">
      <w:pPr>
        <w:pStyle w:val="HeadingL1"/>
        <w:spacing w:after="260" w:line="280" w:lineRule="exact"/>
        <w:ind w:right="0"/>
        <w:jc w:val="both"/>
        <w:rPr>
          <w:rFonts w:ascii="Times New Roman" w:hAnsi="Times New Roman"/>
        </w:rPr>
      </w:pPr>
      <w:r w:rsidRPr="00CA4331">
        <w:rPr>
          <w:rFonts w:ascii="Times New Roman" w:hAnsi="Times New Roman"/>
        </w:rPr>
        <w:t>Conclusion</w:t>
      </w:r>
    </w:p>
    <w:p w14:paraId="588196BD" w14:textId="77777777" w:rsidR="009F6ECF" w:rsidRPr="00CA4331" w:rsidRDefault="009F6ECF" w:rsidP="00CA4331">
      <w:pPr>
        <w:pStyle w:val="FixListStyle"/>
        <w:spacing w:after="260" w:line="280" w:lineRule="exact"/>
        <w:ind w:right="0"/>
        <w:jc w:val="both"/>
        <w:rPr>
          <w:rFonts w:ascii="Times New Roman" w:hAnsi="Times New Roman"/>
        </w:rPr>
      </w:pPr>
      <w:r w:rsidRPr="00CA4331">
        <w:rPr>
          <w:rFonts w:ascii="Times New Roman" w:hAnsi="Times New Roman"/>
        </w:rPr>
        <w:tab/>
        <w:t xml:space="preserve">The absence of any immunity from liability of either the Commonwealth or its officers makes it unnecessary to consider the submissions of the intervener, BOE21, concerning whether any such immunity would be inconsistent with "constitutional imperatives, as proscribed by this Court in </w:t>
      </w:r>
      <w:r w:rsidRPr="00CA4331">
        <w:rPr>
          <w:rFonts w:ascii="Times New Roman" w:hAnsi="Times New Roman"/>
          <w:i/>
          <w:iCs/>
        </w:rPr>
        <w:t xml:space="preserve">Lange v Australian Broadcasting </w:t>
      </w:r>
      <w:proofErr w:type="gramStart"/>
      <w:r w:rsidRPr="00CA4331">
        <w:rPr>
          <w:rFonts w:ascii="Times New Roman" w:hAnsi="Times New Roman"/>
          <w:i/>
          <w:iCs/>
        </w:rPr>
        <w:t>Corporation</w:t>
      </w:r>
      <w:r w:rsidRPr="00CA4331">
        <w:rPr>
          <w:rFonts w:ascii="Times New Roman" w:hAnsi="Times New Roman"/>
          <w:sz w:val="24"/>
          <w:vertAlign w:val="superscript"/>
        </w:rPr>
        <w:t>[</w:t>
      </w:r>
      <w:proofErr w:type="gramEnd"/>
      <w:r w:rsidRPr="00CA4331">
        <w:rPr>
          <w:rStyle w:val="FootnoteReference"/>
          <w:rFonts w:ascii="Times New Roman" w:hAnsi="Times New Roman"/>
          <w:sz w:val="24"/>
        </w:rPr>
        <w:footnoteReference w:id="233"/>
      </w:r>
      <w:r w:rsidRPr="00CA4331">
        <w:rPr>
          <w:rFonts w:ascii="Times New Roman" w:hAnsi="Times New Roman"/>
          <w:sz w:val="24"/>
          <w:vertAlign w:val="superscript"/>
        </w:rPr>
        <w:t>]</w:t>
      </w:r>
      <w:r w:rsidRPr="00CA4331">
        <w:rPr>
          <w:rFonts w:ascii="Times New Roman" w:hAnsi="Times New Roman"/>
        </w:rPr>
        <w:t>".</w:t>
      </w:r>
    </w:p>
    <w:p w14:paraId="7E80C53F" w14:textId="77777777" w:rsidR="009F6ECF" w:rsidRPr="00CA4331" w:rsidRDefault="009F6ECF" w:rsidP="00347A6E">
      <w:pPr>
        <w:pStyle w:val="FixListStyle"/>
        <w:keepNext/>
        <w:spacing w:after="260" w:line="280" w:lineRule="exact"/>
        <w:ind w:right="0"/>
        <w:jc w:val="both"/>
        <w:rPr>
          <w:rFonts w:ascii="Times New Roman" w:hAnsi="Times New Roman"/>
        </w:rPr>
      </w:pPr>
      <w:r w:rsidRPr="00CA4331">
        <w:rPr>
          <w:rFonts w:ascii="Times New Roman" w:hAnsi="Times New Roman"/>
        </w:rPr>
        <w:lastRenderedPageBreak/>
        <w:tab/>
        <w:t>The compound question in the special case should be answered as follows:</w:t>
      </w:r>
    </w:p>
    <w:p w14:paraId="2D1BF401" w14:textId="77777777" w:rsidR="009F6ECF" w:rsidRPr="00CA4331" w:rsidRDefault="009F6ECF" w:rsidP="00CA4331">
      <w:pPr>
        <w:pStyle w:val="LeftrightafterHC"/>
        <w:spacing w:before="0" w:after="260" w:line="280" w:lineRule="exact"/>
        <w:ind w:right="0"/>
        <w:jc w:val="both"/>
        <w:rPr>
          <w:rFonts w:ascii="Times New Roman" w:hAnsi="Times New Roman"/>
          <w:i/>
          <w:iCs/>
        </w:rPr>
      </w:pPr>
      <w:r w:rsidRPr="00CA4331">
        <w:rPr>
          <w:rFonts w:ascii="Times New Roman" w:hAnsi="Times New Roman"/>
        </w:rPr>
        <w:t>Question:</w:t>
      </w:r>
      <w:r w:rsidRPr="00CA4331">
        <w:rPr>
          <w:rFonts w:ascii="Times New Roman" w:hAnsi="Times New Roman"/>
          <w:i/>
          <w:iCs/>
        </w:rPr>
        <w:t xml:space="preserve"> Do </w:t>
      </w:r>
      <w:r w:rsidRPr="00CA4331">
        <w:rPr>
          <w:rFonts w:ascii="Times New Roman" w:hAnsi="Times New Roman"/>
        </w:rPr>
        <w:t>[(</w:t>
      </w:r>
      <w:proofErr w:type="spellStart"/>
      <w:r w:rsidRPr="00CA4331">
        <w:rPr>
          <w:rFonts w:ascii="Times New Roman" w:hAnsi="Times New Roman"/>
        </w:rPr>
        <w:t>i</w:t>
      </w:r>
      <w:proofErr w:type="spellEnd"/>
      <w:r w:rsidRPr="00CA4331">
        <w:rPr>
          <w:rFonts w:ascii="Times New Roman" w:hAnsi="Times New Roman"/>
        </w:rPr>
        <w:t xml:space="preserve">)] </w:t>
      </w:r>
      <w:r w:rsidRPr="00CA4331">
        <w:rPr>
          <w:rFonts w:ascii="Times New Roman" w:hAnsi="Times New Roman"/>
          <w:i/>
          <w:iCs/>
        </w:rPr>
        <w:t>the Commonwealth and</w:t>
      </w:r>
      <w:r w:rsidRPr="00CA4331">
        <w:rPr>
          <w:rFonts w:ascii="Times New Roman" w:hAnsi="Times New Roman"/>
        </w:rPr>
        <w:t xml:space="preserve"> [(ii)] </w:t>
      </w:r>
      <w:r w:rsidRPr="00CA4331">
        <w:rPr>
          <w:rFonts w:ascii="Times New Roman" w:hAnsi="Times New Roman"/>
          <w:i/>
          <w:iCs/>
        </w:rPr>
        <w:t>its officers have a defence to liability for the tort of false imprisonment with respect to the immigration detention of the plaintiff in the period between 28 July 2022 and 8</w:t>
      </w:r>
      <w:r>
        <w:rPr>
          <w:rFonts w:ascii="Times New Roman" w:hAnsi="Times New Roman"/>
          <w:i/>
          <w:iCs/>
        </w:rPr>
        <w:t> </w:t>
      </w:r>
      <w:r w:rsidRPr="00CA4331">
        <w:rPr>
          <w:rFonts w:ascii="Times New Roman" w:hAnsi="Times New Roman"/>
          <w:i/>
          <w:iCs/>
        </w:rPr>
        <w:t>November 2023?</w:t>
      </w:r>
    </w:p>
    <w:p w14:paraId="246C966B" w14:textId="77777777" w:rsidR="009F6ECF" w:rsidRPr="00CA4331" w:rsidRDefault="009F6ECF" w:rsidP="00915A92">
      <w:pPr>
        <w:pStyle w:val="FixListStyle"/>
        <w:numPr>
          <w:ilvl w:val="0"/>
          <w:numId w:val="0"/>
        </w:numPr>
        <w:spacing w:after="260" w:line="280" w:lineRule="exact"/>
        <w:ind w:right="0"/>
        <w:jc w:val="both"/>
        <w:rPr>
          <w:rFonts w:ascii="Times New Roman" w:hAnsi="Times New Roman"/>
        </w:rPr>
      </w:pPr>
      <w:r w:rsidRPr="00CA4331">
        <w:rPr>
          <w:rFonts w:ascii="Times New Roman" w:hAnsi="Times New Roman"/>
        </w:rPr>
        <w:tab/>
      </w:r>
      <w:r>
        <w:rPr>
          <w:rFonts w:ascii="Times New Roman" w:hAnsi="Times New Roman"/>
        </w:rPr>
        <w:t>(</w:t>
      </w:r>
      <w:proofErr w:type="spellStart"/>
      <w:r w:rsidRPr="00CA4331">
        <w:rPr>
          <w:rFonts w:ascii="Times New Roman" w:hAnsi="Times New Roman"/>
        </w:rPr>
        <w:t>i</w:t>
      </w:r>
      <w:proofErr w:type="spellEnd"/>
      <w:r>
        <w:rPr>
          <w:rFonts w:ascii="Times New Roman" w:hAnsi="Times New Roman"/>
        </w:rPr>
        <w:t>)</w:t>
      </w:r>
      <w:r w:rsidRPr="00CA4331">
        <w:rPr>
          <w:rFonts w:ascii="Times New Roman" w:hAnsi="Times New Roman"/>
        </w:rPr>
        <w:t xml:space="preserve"> </w:t>
      </w:r>
      <w:r w:rsidRPr="00CA4331">
        <w:rPr>
          <w:rFonts w:ascii="Times New Roman" w:hAnsi="Times New Roman"/>
          <w:i/>
          <w:iCs/>
        </w:rPr>
        <w:t>No.</w:t>
      </w:r>
    </w:p>
    <w:p w14:paraId="45C9DFC9" w14:textId="0D499EDF" w:rsidR="009F6ECF" w:rsidRDefault="009F6ECF" w:rsidP="009F6ECF">
      <w:pPr>
        <w:pStyle w:val="LeftrightafterHC"/>
        <w:spacing w:before="0" w:after="260" w:line="280" w:lineRule="exact"/>
        <w:ind w:right="0"/>
        <w:jc w:val="both"/>
        <w:rPr>
          <w:rFonts w:ascii="Times New Roman" w:hAnsi="Times New Roman"/>
        </w:rPr>
      </w:pPr>
      <w:r>
        <w:rPr>
          <w:rFonts w:ascii="Times New Roman" w:hAnsi="Times New Roman"/>
        </w:rPr>
        <w:t>(</w:t>
      </w:r>
      <w:r w:rsidRPr="00CA4331">
        <w:rPr>
          <w:rFonts w:ascii="Times New Roman" w:hAnsi="Times New Roman"/>
        </w:rPr>
        <w:t>ii</w:t>
      </w:r>
      <w:r>
        <w:rPr>
          <w:rFonts w:ascii="Times New Roman" w:hAnsi="Times New Roman"/>
        </w:rPr>
        <w:t>)</w:t>
      </w:r>
      <w:r w:rsidRPr="00CA4331">
        <w:rPr>
          <w:rFonts w:ascii="Times New Roman" w:hAnsi="Times New Roman"/>
        </w:rPr>
        <w:t xml:space="preserve"> </w:t>
      </w:r>
      <w:r w:rsidRPr="00CA4331">
        <w:rPr>
          <w:rFonts w:ascii="Times New Roman" w:hAnsi="Times New Roman"/>
          <w:i/>
          <w:iCs/>
        </w:rPr>
        <w:t>No.</w:t>
      </w:r>
    </w:p>
    <w:p w14:paraId="6C9AFD94" w14:textId="77777777" w:rsidR="009F6ECF" w:rsidRDefault="009F6ECF" w:rsidP="007225C9">
      <w:pPr>
        <w:pStyle w:val="FixListStyle"/>
        <w:spacing w:after="260" w:line="280" w:lineRule="exact"/>
        <w:ind w:right="0"/>
        <w:jc w:val="both"/>
        <w:rPr>
          <w:rFonts w:ascii="Times New Roman" w:hAnsi="Times New Roman"/>
        </w:rPr>
        <w:sectPr w:rsidR="009F6ECF" w:rsidSect="009F6ECF">
          <w:headerReference w:type="even" r:id="rId26"/>
          <w:headerReference w:type="default" r:id="rId27"/>
          <w:footerReference w:type="even" r:id="rId28"/>
          <w:footerReference w:type="default" r:id="rId29"/>
          <w:headerReference w:type="first" r:id="rId30"/>
          <w:footerReference w:type="first" r:id="rId31"/>
          <w:pgSz w:w="11907" w:h="16839" w:code="9"/>
          <w:pgMar w:top="1440" w:right="1701" w:bottom="1984" w:left="1701" w:header="720" w:footer="720" w:gutter="0"/>
          <w:cols w:space="720"/>
          <w:docGrid w:linePitch="354"/>
        </w:sectPr>
      </w:pPr>
    </w:p>
    <w:p w14:paraId="3F4D451D" w14:textId="77777777" w:rsidR="009F6ECF" w:rsidRPr="004C7595" w:rsidRDefault="009F6ECF" w:rsidP="004C7595">
      <w:pPr>
        <w:pStyle w:val="FixListStyle"/>
        <w:tabs>
          <w:tab w:val="clear" w:pos="720"/>
          <w:tab w:val="left" w:pos="0"/>
        </w:tabs>
        <w:spacing w:after="260" w:line="280" w:lineRule="exact"/>
        <w:ind w:right="0"/>
        <w:jc w:val="both"/>
        <w:rPr>
          <w:rFonts w:ascii="Times New Roman" w:hAnsi="Times New Roman"/>
        </w:rPr>
      </w:pPr>
      <w:r w:rsidRPr="004C7595">
        <w:rPr>
          <w:rFonts w:ascii="Times New Roman" w:hAnsi="Times New Roman"/>
        </w:rPr>
        <w:lastRenderedPageBreak/>
        <w:t>STEWARD J.   I respectfully agree with the answer given by Gordon J to the question of law stated for the opinion of this Court. I also gratefully adopt Gordon J's description of facts and issues.</w:t>
      </w:r>
    </w:p>
    <w:p w14:paraId="12612C99" w14:textId="77777777" w:rsidR="009F6ECF" w:rsidRPr="004C7595" w:rsidRDefault="009F6ECF" w:rsidP="004C7595">
      <w:pPr>
        <w:pStyle w:val="FixListStyle"/>
        <w:spacing w:after="260" w:line="280" w:lineRule="exact"/>
        <w:ind w:right="0"/>
        <w:jc w:val="both"/>
        <w:rPr>
          <w:rFonts w:ascii="Times New Roman" w:hAnsi="Times New Roman"/>
        </w:rPr>
      </w:pPr>
      <w:r w:rsidRPr="004C7595">
        <w:rPr>
          <w:rFonts w:ascii="Times New Roman" w:hAnsi="Times New Roman"/>
        </w:rPr>
        <w:tab/>
        <w:t>Before this Court is a simple dilemma: should an officer of the Commonwealth be liable for acting in accordance with that officer's duty, as accurately and lawfully perceived at that time, where – by reason of a subsequent decision of this Court</w:t>
      </w:r>
      <w:r w:rsidRPr="004C7595">
        <w:rPr>
          <w:rStyle w:val="FootnoteReference"/>
          <w:rFonts w:ascii="Times New Roman" w:hAnsi="Times New Roman"/>
          <w:sz w:val="24"/>
        </w:rPr>
        <w:footnoteReference w:id="234"/>
      </w:r>
      <w:r w:rsidRPr="004C7595">
        <w:rPr>
          <w:rFonts w:ascii="Times New Roman" w:hAnsi="Times New Roman"/>
        </w:rPr>
        <w:t xml:space="preserve"> – the officer is later found to have thereby acted unlawfully? In my view, the officer is indeed liable in such circumstances.</w:t>
      </w:r>
    </w:p>
    <w:p w14:paraId="34F8B2DD" w14:textId="77777777" w:rsidR="009F6ECF" w:rsidRPr="004C7595" w:rsidRDefault="009F6ECF" w:rsidP="004C7595">
      <w:pPr>
        <w:pStyle w:val="FixListStyle"/>
        <w:spacing w:after="260" w:line="280" w:lineRule="exact"/>
        <w:ind w:right="0"/>
        <w:jc w:val="both"/>
        <w:rPr>
          <w:rFonts w:ascii="Times New Roman" w:hAnsi="Times New Roman"/>
        </w:rPr>
      </w:pPr>
      <w:r w:rsidRPr="004C7595">
        <w:rPr>
          <w:rFonts w:ascii="Times New Roman" w:hAnsi="Times New Roman"/>
        </w:rPr>
        <w:tab/>
        <w:t xml:space="preserve">The same dilemma confronted the House of Lords in </w:t>
      </w:r>
      <w:r w:rsidRPr="004C7595">
        <w:rPr>
          <w:rFonts w:ascii="Times New Roman" w:hAnsi="Times New Roman"/>
          <w:i/>
          <w:iCs/>
        </w:rPr>
        <w:t xml:space="preserve">R v Governor of </w:t>
      </w:r>
      <w:proofErr w:type="spellStart"/>
      <w:r w:rsidRPr="004C7595">
        <w:rPr>
          <w:rFonts w:ascii="Times New Roman" w:hAnsi="Times New Roman"/>
          <w:i/>
          <w:iCs/>
        </w:rPr>
        <w:t>Brockhill</w:t>
      </w:r>
      <w:proofErr w:type="spellEnd"/>
      <w:r w:rsidRPr="004C7595">
        <w:rPr>
          <w:rFonts w:ascii="Times New Roman" w:hAnsi="Times New Roman"/>
          <w:i/>
          <w:iCs/>
        </w:rPr>
        <w:t xml:space="preserve"> Prison; Ex </w:t>
      </w:r>
      <w:proofErr w:type="spellStart"/>
      <w:r w:rsidRPr="004C7595">
        <w:rPr>
          <w:rFonts w:ascii="Times New Roman" w:hAnsi="Times New Roman"/>
          <w:i/>
          <w:iCs/>
        </w:rPr>
        <w:t>parte</w:t>
      </w:r>
      <w:proofErr w:type="spellEnd"/>
      <w:r w:rsidRPr="004C7595">
        <w:rPr>
          <w:rFonts w:ascii="Times New Roman" w:hAnsi="Times New Roman"/>
          <w:i/>
          <w:iCs/>
        </w:rPr>
        <w:t xml:space="preserve"> Evans [No 2]</w:t>
      </w:r>
      <w:r w:rsidRPr="004C7595">
        <w:rPr>
          <w:rFonts w:ascii="Times New Roman" w:hAnsi="Times New Roman"/>
        </w:rPr>
        <w:t>.</w:t>
      </w:r>
      <w:r w:rsidRPr="004C7595">
        <w:rPr>
          <w:rStyle w:val="FootnoteReference"/>
          <w:rFonts w:ascii="Times New Roman" w:hAnsi="Times New Roman"/>
          <w:sz w:val="24"/>
        </w:rPr>
        <w:footnoteReference w:id="235"/>
      </w:r>
      <w:r w:rsidRPr="004C7595">
        <w:rPr>
          <w:rFonts w:ascii="Times New Roman" w:hAnsi="Times New Roman"/>
        </w:rPr>
        <w:t xml:space="preserve"> In that case the governor of a British prison unlawfully detained a prisoner for 59 days. He detained that prisoner in reliance upon a series of previous judicial decisions relating to the calculation of the prisoner's correct release date. But those decisions were subsequently found by the Divisional Court to be relevantly erroneous. The prisoner claimed damages for false imprisonment.</w:t>
      </w:r>
    </w:p>
    <w:p w14:paraId="43F2947D" w14:textId="77777777" w:rsidR="009F6ECF" w:rsidRPr="004C7595" w:rsidRDefault="009F6ECF" w:rsidP="004C7595">
      <w:pPr>
        <w:pStyle w:val="FixListStyle"/>
        <w:spacing w:after="260" w:line="280" w:lineRule="exact"/>
        <w:ind w:right="0"/>
        <w:jc w:val="both"/>
        <w:rPr>
          <w:rFonts w:ascii="Times New Roman" w:hAnsi="Times New Roman"/>
        </w:rPr>
      </w:pPr>
      <w:r w:rsidRPr="004C7595">
        <w:rPr>
          <w:rFonts w:ascii="Times New Roman" w:hAnsi="Times New Roman"/>
        </w:rPr>
        <w:tab/>
        <w:t>In his speech, Lord Slynn of Hadley succinctly posed the question for determination thus: "[</w:t>
      </w:r>
      <w:proofErr w:type="spellStart"/>
      <w:r w:rsidRPr="004C7595">
        <w:rPr>
          <w:rFonts w:ascii="Times New Roman" w:hAnsi="Times New Roman"/>
        </w:rPr>
        <w:t>i</w:t>
      </w:r>
      <w:proofErr w:type="spellEnd"/>
      <w:r w:rsidRPr="004C7595">
        <w:rPr>
          <w:rFonts w:ascii="Times New Roman" w:hAnsi="Times New Roman"/>
        </w:rPr>
        <w:t>]s it a defence to a claim for false imprisonment that [the governor] complied with the law as the court then said it was?"</w:t>
      </w:r>
      <w:r w:rsidRPr="004C7595">
        <w:rPr>
          <w:rStyle w:val="FootnoteReference"/>
          <w:rFonts w:ascii="Times New Roman" w:hAnsi="Times New Roman"/>
          <w:sz w:val="24"/>
        </w:rPr>
        <w:footnoteReference w:id="236"/>
      </w:r>
      <w:r w:rsidRPr="004C7595">
        <w:rPr>
          <w:rFonts w:ascii="Times New Roman" w:hAnsi="Times New Roman"/>
        </w:rPr>
        <w:t xml:space="preserve"> Lord Slynn described the dilemma for the law in these terms:</w:t>
      </w:r>
      <w:r w:rsidRPr="004C7595">
        <w:rPr>
          <w:rStyle w:val="FootnoteReference"/>
          <w:rFonts w:ascii="Times New Roman" w:hAnsi="Times New Roman"/>
          <w:sz w:val="24"/>
        </w:rPr>
        <w:footnoteReference w:id="237"/>
      </w:r>
    </w:p>
    <w:p w14:paraId="4C374ED5" w14:textId="77777777" w:rsidR="009F6ECF" w:rsidRDefault="009F6ECF" w:rsidP="004C7595">
      <w:pPr>
        <w:pStyle w:val="LRIndentafterHC"/>
        <w:spacing w:before="0" w:after="260" w:line="280" w:lineRule="exact"/>
        <w:ind w:right="0"/>
        <w:jc w:val="both"/>
        <w:rPr>
          <w:rFonts w:ascii="Times New Roman" w:hAnsi="Times New Roman"/>
        </w:rPr>
      </w:pPr>
      <w:r w:rsidRPr="004C7595">
        <w:rPr>
          <w:rFonts w:ascii="Times New Roman" w:hAnsi="Times New Roman"/>
        </w:rPr>
        <w:t>"If the claim is looked at from the governor's point of view liability seems unreasonable; what more could he have done? If looked at from the applicant's point of view she was, it is accepted, kept in prison unlawfully for 59 days and she should be compensated. Which is to prevail?"</w:t>
      </w:r>
    </w:p>
    <w:p w14:paraId="00D82FE7" w14:textId="77777777" w:rsidR="009F6ECF" w:rsidRPr="004C7595" w:rsidRDefault="009F6ECF" w:rsidP="004C7595">
      <w:pPr>
        <w:pStyle w:val="FixListStyle"/>
        <w:spacing w:after="260" w:line="280" w:lineRule="exact"/>
        <w:ind w:right="0"/>
        <w:jc w:val="both"/>
        <w:rPr>
          <w:rFonts w:ascii="Times New Roman" w:hAnsi="Times New Roman"/>
        </w:rPr>
      </w:pPr>
      <w:r w:rsidRPr="004C7595">
        <w:rPr>
          <w:rFonts w:ascii="Times New Roman" w:hAnsi="Times New Roman"/>
        </w:rPr>
        <w:tab/>
        <w:t>Lord Slynn answered the dilemma in the clearest possible terms. Despite sympathy for the governor's position, it was not enough that it was "merely thought" that the prisoner was lawfully detained when in fact she was not.</w:t>
      </w:r>
      <w:r w:rsidRPr="004C7595">
        <w:rPr>
          <w:rStyle w:val="FootnoteReference"/>
          <w:rFonts w:ascii="Times New Roman" w:hAnsi="Times New Roman"/>
          <w:sz w:val="24"/>
        </w:rPr>
        <w:footnoteReference w:id="238"/>
      </w:r>
      <w:r w:rsidRPr="004C7595">
        <w:rPr>
          <w:rFonts w:ascii="Times New Roman" w:hAnsi="Times New Roman"/>
        </w:rPr>
        <w:t xml:space="preserve"> A false but honestly held belief about the lawfulness of the detention was no defence. The prisoner was either lawfully detained or not in fact; if not, the prisoner was entitled to her remedy.</w:t>
      </w:r>
    </w:p>
    <w:p w14:paraId="00B26153" w14:textId="77777777" w:rsidR="009F6ECF" w:rsidRPr="004C7595" w:rsidRDefault="009F6ECF" w:rsidP="004C7595">
      <w:pPr>
        <w:pStyle w:val="FixListStyle"/>
        <w:spacing w:after="260" w:line="280" w:lineRule="exact"/>
        <w:ind w:right="0"/>
        <w:jc w:val="both"/>
        <w:rPr>
          <w:rFonts w:ascii="Times New Roman" w:hAnsi="Times New Roman"/>
        </w:rPr>
      </w:pPr>
      <w:r w:rsidRPr="004C7595">
        <w:rPr>
          <w:rFonts w:ascii="Times New Roman" w:hAnsi="Times New Roman"/>
        </w:rPr>
        <w:lastRenderedPageBreak/>
        <w:tab/>
        <w:t>That conclusion was compelled by an ancient and foundational principle of law, articulated by Lord Atkin in the past,</w:t>
      </w:r>
      <w:r w:rsidRPr="004C7595">
        <w:rPr>
          <w:rStyle w:val="FootnoteReference"/>
          <w:rFonts w:ascii="Times New Roman" w:hAnsi="Times New Roman"/>
          <w:sz w:val="24"/>
        </w:rPr>
        <w:footnoteReference w:id="239"/>
      </w:r>
      <w:r w:rsidRPr="004C7595">
        <w:rPr>
          <w:rFonts w:ascii="Times New Roman" w:hAnsi="Times New Roman"/>
        </w:rPr>
        <w:t xml:space="preserve"> and cited by both Lord Steyn and Lord Hobhouse of Woodborough in </w:t>
      </w:r>
      <w:r w:rsidRPr="004C7595">
        <w:rPr>
          <w:rFonts w:ascii="Times New Roman" w:hAnsi="Times New Roman"/>
          <w:i/>
          <w:iCs/>
        </w:rPr>
        <w:t>Evans [No 2]</w:t>
      </w:r>
      <w:r w:rsidRPr="004C7595">
        <w:rPr>
          <w:rFonts w:ascii="Times New Roman" w:hAnsi="Times New Roman"/>
        </w:rPr>
        <w:t>,</w:t>
      </w:r>
      <w:r w:rsidRPr="004C7595">
        <w:rPr>
          <w:rStyle w:val="FootnoteReference"/>
          <w:rFonts w:ascii="Times New Roman" w:hAnsi="Times New Roman"/>
          <w:sz w:val="24"/>
        </w:rPr>
        <w:footnoteReference w:id="240"/>
      </w:r>
      <w:r w:rsidRPr="004C7595">
        <w:rPr>
          <w:rFonts w:ascii="Times New Roman" w:hAnsi="Times New Roman"/>
        </w:rPr>
        <w:t xml:space="preserve"> and which is the law in this country. That principle is as follows:</w:t>
      </w:r>
      <w:r w:rsidRPr="004C7595">
        <w:rPr>
          <w:rStyle w:val="FootnoteReference"/>
          <w:rFonts w:ascii="Times New Roman" w:hAnsi="Times New Roman"/>
          <w:sz w:val="24"/>
        </w:rPr>
        <w:footnoteReference w:id="241"/>
      </w:r>
    </w:p>
    <w:p w14:paraId="564C6DAA" w14:textId="77777777" w:rsidR="009F6ECF" w:rsidRDefault="009F6ECF" w:rsidP="004C7595">
      <w:pPr>
        <w:pStyle w:val="LeftrightafterHC"/>
        <w:spacing w:before="0" w:after="260" w:line="280" w:lineRule="exact"/>
        <w:ind w:right="0"/>
        <w:jc w:val="both"/>
        <w:rPr>
          <w:rFonts w:ascii="Times New Roman" w:hAnsi="Times New Roman"/>
        </w:rPr>
      </w:pPr>
      <w:r w:rsidRPr="004C7595">
        <w:rPr>
          <w:rFonts w:ascii="Times New Roman" w:hAnsi="Times New Roman"/>
        </w:rPr>
        <w:t>"</w:t>
      </w:r>
      <w:proofErr w:type="gramStart"/>
      <w:r w:rsidRPr="004C7595">
        <w:rPr>
          <w:rFonts w:ascii="Times New Roman" w:hAnsi="Times New Roman"/>
        </w:rPr>
        <w:t>no</w:t>
      </w:r>
      <w:proofErr w:type="gramEnd"/>
      <w:r w:rsidRPr="004C7595">
        <w:rPr>
          <w:rFonts w:ascii="Times New Roman" w:hAnsi="Times New Roman"/>
        </w:rPr>
        <w:t xml:space="preserve"> member of the executive can interfere with the liberty or property of a [person] except on the condition that he can support the legality of his action before a court of justice".</w:t>
      </w:r>
    </w:p>
    <w:p w14:paraId="44490970" w14:textId="31FC5FDD" w:rsidR="009F6ECF" w:rsidRPr="009F6ECF" w:rsidRDefault="009F6ECF" w:rsidP="009F6ECF">
      <w:pPr>
        <w:pStyle w:val="FixListStyle"/>
        <w:spacing w:after="260" w:line="280" w:lineRule="exact"/>
        <w:ind w:right="0"/>
        <w:jc w:val="both"/>
        <w:rPr>
          <w:rFonts w:ascii="Times New Roman" w:hAnsi="Times New Roman"/>
        </w:rPr>
      </w:pPr>
      <w:r w:rsidRPr="004C7595">
        <w:rPr>
          <w:rFonts w:ascii="Times New Roman" w:hAnsi="Times New Roman"/>
        </w:rPr>
        <w:tab/>
        <w:t xml:space="preserve">I respectfully agree with the foregoing reasoning. In addition, subject to what is said about the operation of Ch III of the </w:t>
      </w:r>
      <w:r w:rsidRPr="004C7595">
        <w:rPr>
          <w:rFonts w:ascii="Times New Roman" w:hAnsi="Times New Roman"/>
          <w:i/>
          <w:iCs/>
        </w:rPr>
        <w:t>Constitution</w:t>
      </w:r>
      <w:r w:rsidRPr="004C7595">
        <w:rPr>
          <w:rFonts w:ascii="Times New Roman" w:hAnsi="Times New Roman"/>
        </w:rPr>
        <w:t xml:space="preserve">, I generally, and very respectfully, agree with the reasons of Gordon J and of Edelman J. </w:t>
      </w:r>
    </w:p>
    <w:p w14:paraId="40FBF9F6" w14:textId="77777777" w:rsidR="009F6ECF" w:rsidRDefault="009F6ECF" w:rsidP="007225C9">
      <w:pPr>
        <w:pStyle w:val="FixListStyle"/>
        <w:spacing w:after="260" w:line="280" w:lineRule="exact"/>
        <w:ind w:right="0"/>
        <w:jc w:val="both"/>
        <w:rPr>
          <w:rFonts w:ascii="Times New Roman" w:hAnsi="Times New Roman"/>
        </w:rPr>
        <w:sectPr w:rsidR="009F6ECF" w:rsidSect="009F6ECF">
          <w:headerReference w:type="even" r:id="rId32"/>
          <w:headerReference w:type="default" r:id="rId33"/>
          <w:headerReference w:type="first" r:id="rId34"/>
          <w:pgSz w:w="11907" w:h="16839" w:code="9"/>
          <w:pgMar w:top="1440" w:right="1701" w:bottom="1984" w:left="1701" w:header="720" w:footer="720" w:gutter="0"/>
          <w:cols w:space="720"/>
          <w:docGrid w:linePitch="354"/>
        </w:sectPr>
      </w:pPr>
    </w:p>
    <w:p w14:paraId="629E02B2" w14:textId="77777777" w:rsidR="009F6ECF" w:rsidRPr="0066441E" w:rsidRDefault="009F6ECF" w:rsidP="0066441E">
      <w:pPr>
        <w:pStyle w:val="NormalBody"/>
        <w:tabs>
          <w:tab w:val="clear" w:pos="720"/>
          <w:tab w:val="left" w:pos="0"/>
        </w:tabs>
        <w:spacing w:after="260" w:line="280" w:lineRule="exact"/>
        <w:ind w:right="0"/>
        <w:jc w:val="both"/>
        <w:rPr>
          <w:rFonts w:ascii="Times New Roman" w:hAnsi="Times New Roman"/>
        </w:rPr>
      </w:pPr>
      <w:r w:rsidRPr="0066441E">
        <w:rPr>
          <w:rFonts w:ascii="Times New Roman" w:hAnsi="Times New Roman"/>
        </w:rPr>
        <w:lastRenderedPageBreak/>
        <w:t xml:space="preserve">JAGOT J.   </w:t>
      </w:r>
    </w:p>
    <w:p w14:paraId="62DA45E5" w14:textId="77777777" w:rsidR="009F6ECF" w:rsidRPr="0066441E" w:rsidRDefault="009F6ECF" w:rsidP="0066441E">
      <w:pPr>
        <w:pStyle w:val="HeadingL1"/>
        <w:spacing w:after="260" w:line="280" w:lineRule="exact"/>
        <w:ind w:right="0"/>
        <w:jc w:val="both"/>
        <w:rPr>
          <w:rFonts w:ascii="Times New Roman" w:hAnsi="Times New Roman"/>
        </w:rPr>
      </w:pPr>
      <w:r w:rsidRPr="0066441E">
        <w:rPr>
          <w:rFonts w:ascii="Times New Roman" w:hAnsi="Times New Roman"/>
        </w:rPr>
        <w:t>The question of law in the special case</w:t>
      </w:r>
    </w:p>
    <w:p w14:paraId="6AB85D39" w14:textId="77777777" w:rsidR="009F6ECF" w:rsidRPr="0066441E" w:rsidRDefault="009F6ECF" w:rsidP="0066441E">
      <w:pPr>
        <w:pStyle w:val="FixListStyle"/>
        <w:spacing w:after="260" w:line="280" w:lineRule="exact"/>
        <w:ind w:right="0"/>
        <w:jc w:val="both"/>
        <w:rPr>
          <w:rFonts w:ascii="Times New Roman" w:hAnsi="Times New Roman"/>
        </w:rPr>
      </w:pPr>
      <w:r w:rsidRPr="0066441E">
        <w:rPr>
          <w:rFonts w:ascii="Times New Roman" w:hAnsi="Times New Roman"/>
        </w:rPr>
        <w:tab/>
        <w:t xml:space="preserve">The question of law stated by the parties for the opinion of the Court in the special case is: </w:t>
      </w:r>
    </w:p>
    <w:p w14:paraId="3DDD374A" w14:textId="77777777" w:rsidR="009F6ECF" w:rsidRDefault="009F6ECF" w:rsidP="0066441E">
      <w:pPr>
        <w:pStyle w:val="leftright"/>
        <w:spacing w:before="0" w:after="260" w:line="280" w:lineRule="exact"/>
        <w:ind w:right="0"/>
        <w:jc w:val="both"/>
        <w:rPr>
          <w:rFonts w:ascii="Times New Roman" w:hAnsi="Times New Roman"/>
        </w:rPr>
      </w:pPr>
      <w:r w:rsidRPr="0066441E">
        <w:rPr>
          <w:rFonts w:ascii="Times New Roman" w:hAnsi="Times New Roman"/>
        </w:rPr>
        <w:t>"Do the Commonwealth and its officers have a defence to liability for the tort of false imprisonment with respect to the immigration detention of the plaintiff in the period between 28 July 2022 and 8 November 2023?"</w:t>
      </w:r>
    </w:p>
    <w:p w14:paraId="6A9ED4B7" w14:textId="77777777" w:rsidR="009F6ECF" w:rsidRPr="0066441E" w:rsidRDefault="009F6ECF" w:rsidP="0066441E">
      <w:pPr>
        <w:pStyle w:val="FixListStyle"/>
        <w:spacing w:after="260" w:line="280" w:lineRule="exact"/>
        <w:ind w:right="0"/>
        <w:jc w:val="both"/>
        <w:rPr>
          <w:rFonts w:ascii="Times New Roman" w:hAnsi="Times New Roman"/>
        </w:rPr>
      </w:pPr>
      <w:r w:rsidRPr="0066441E">
        <w:rPr>
          <w:rFonts w:ascii="Times New Roman" w:hAnsi="Times New Roman"/>
        </w:rPr>
        <w:tab/>
        <w:t>The significance of the dates in this question is that 28 July 2022 is the date on and from which the defendant, the Commonwealth, accepts that the plaintiff's medical condition rendered him medically unfit to travel by any commercial aeroplane.</w:t>
      </w:r>
      <w:r w:rsidRPr="0066441E" w:rsidDel="009D3DE4">
        <w:rPr>
          <w:rFonts w:ascii="Times New Roman" w:hAnsi="Times New Roman"/>
        </w:rPr>
        <w:t xml:space="preserve"> </w:t>
      </w:r>
      <w:r w:rsidRPr="0066441E">
        <w:rPr>
          <w:rFonts w:ascii="Times New Roman" w:hAnsi="Times New Roman"/>
        </w:rPr>
        <w:t xml:space="preserve">Consequently, the defendant also accepts that since 28 July 2022 there has been no real prospect of the plaintiff's removal from Australia becoming practicable in the reasonably foreseeable future. The date 8 November 2023 is the date on which the Court made orders in </w:t>
      </w:r>
      <w:r w:rsidRPr="0066441E">
        <w:rPr>
          <w:rFonts w:ascii="Times New Roman" w:hAnsi="Times New Roman"/>
          <w:i/>
          <w:iCs/>
        </w:rPr>
        <w:t xml:space="preserve">NZYQ v Minister for Immigration, Citizenship and Multicultural Affairs </w:t>
      </w:r>
      <w:r w:rsidRPr="0066441E">
        <w:rPr>
          <w:rFonts w:ascii="Times New Roman" w:hAnsi="Times New Roman"/>
        </w:rPr>
        <w:t>("</w:t>
      </w:r>
      <w:r w:rsidRPr="0066441E">
        <w:rPr>
          <w:rFonts w:ascii="Times New Roman" w:hAnsi="Times New Roman"/>
          <w:i/>
          <w:iCs/>
        </w:rPr>
        <w:t>NZYQ</w:t>
      </w:r>
      <w:r w:rsidRPr="0066441E">
        <w:rPr>
          <w:rFonts w:ascii="Times New Roman" w:hAnsi="Times New Roman"/>
        </w:rPr>
        <w:t>").</w:t>
      </w:r>
      <w:r w:rsidRPr="0066441E">
        <w:rPr>
          <w:rStyle w:val="FootnoteReference"/>
          <w:rFonts w:ascii="Times New Roman" w:hAnsi="Times New Roman"/>
          <w:sz w:val="24"/>
        </w:rPr>
        <w:footnoteReference w:id="242"/>
      </w:r>
      <w:r w:rsidRPr="0066441E">
        <w:rPr>
          <w:rFonts w:ascii="Times New Roman" w:hAnsi="Times New Roman"/>
        </w:rPr>
        <w:t xml:space="preserve"> Those orders included an answer to a question of law in a special case to the effect that ss 189(1) and 196(1) of the </w:t>
      </w:r>
      <w:r w:rsidRPr="0066441E">
        <w:rPr>
          <w:rFonts w:ascii="Times New Roman" w:hAnsi="Times New Roman"/>
          <w:i/>
          <w:iCs/>
        </w:rPr>
        <w:t>Migration Act</w:t>
      </w:r>
      <w:r w:rsidRPr="0066441E">
        <w:rPr>
          <w:rFonts w:ascii="Times New Roman" w:hAnsi="Times New Roman"/>
        </w:rPr>
        <w:t xml:space="preserve"> </w:t>
      </w:r>
      <w:r w:rsidRPr="0066441E">
        <w:rPr>
          <w:rFonts w:ascii="Times New Roman" w:hAnsi="Times New Roman"/>
          <w:i/>
          <w:iCs/>
        </w:rPr>
        <w:t>1958</w:t>
      </w:r>
      <w:r w:rsidRPr="0066441E">
        <w:rPr>
          <w:rFonts w:ascii="Times New Roman" w:hAnsi="Times New Roman"/>
        </w:rPr>
        <w:t> (</w:t>
      </w:r>
      <w:proofErr w:type="spellStart"/>
      <w:r w:rsidRPr="0066441E">
        <w:rPr>
          <w:rFonts w:ascii="Times New Roman" w:hAnsi="Times New Roman"/>
        </w:rPr>
        <w:t>Cth</w:t>
      </w:r>
      <w:proofErr w:type="spellEnd"/>
      <w:r w:rsidRPr="0066441E">
        <w:rPr>
          <w:rFonts w:ascii="Times New Roman" w:hAnsi="Times New Roman"/>
        </w:rPr>
        <w:t xml:space="preserve">) were beyond the legislative power of the Commonwealth insofar as they applied to plaintiff NZYQ. This answer followed from the Court having re-opened and overruled its earlier holding in </w:t>
      </w:r>
      <w:r w:rsidRPr="0066441E">
        <w:rPr>
          <w:rFonts w:ascii="Times New Roman" w:hAnsi="Times New Roman"/>
          <w:i/>
          <w:iCs/>
        </w:rPr>
        <w:t xml:space="preserve">Al-Kateb v Godwin </w:t>
      </w:r>
      <w:r w:rsidRPr="0066441E">
        <w:rPr>
          <w:rFonts w:ascii="Times New Roman" w:hAnsi="Times New Roman"/>
        </w:rPr>
        <w:t>("</w:t>
      </w:r>
      <w:r w:rsidRPr="0066441E">
        <w:rPr>
          <w:rFonts w:ascii="Times New Roman" w:hAnsi="Times New Roman"/>
          <w:i/>
          <w:iCs/>
        </w:rPr>
        <w:t>Al-Kateb</w:t>
      </w:r>
      <w:r w:rsidRPr="0066441E">
        <w:rPr>
          <w:rFonts w:ascii="Times New Roman" w:hAnsi="Times New Roman"/>
        </w:rPr>
        <w:t>")</w:t>
      </w:r>
      <w:r w:rsidRPr="0066441E">
        <w:rPr>
          <w:rStyle w:val="FootnoteReference"/>
          <w:rFonts w:ascii="Times New Roman" w:hAnsi="Times New Roman"/>
          <w:sz w:val="24"/>
        </w:rPr>
        <w:footnoteReference w:id="243"/>
      </w:r>
      <w:r w:rsidRPr="0066441E">
        <w:rPr>
          <w:rFonts w:ascii="Times New Roman" w:hAnsi="Times New Roman"/>
          <w:i/>
          <w:iCs/>
        </w:rPr>
        <w:t xml:space="preserve"> </w:t>
      </w:r>
      <w:r w:rsidRPr="0066441E">
        <w:rPr>
          <w:rFonts w:ascii="Times New Roman" w:hAnsi="Times New Roman"/>
        </w:rPr>
        <w:t xml:space="preserve">that those provisions did not contravene Ch III of the </w:t>
      </w:r>
      <w:r w:rsidRPr="0066441E">
        <w:rPr>
          <w:rFonts w:ascii="Times New Roman" w:hAnsi="Times New Roman"/>
          <w:i/>
          <w:iCs/>
        </w:rPr>
        <w:t>Constitution</w:t>
      </w:r>
      <w:r w:rsidRPr="0066441E">
        <w:rPr>
          <w:rFonts w:ascii="Times New Roman" w:hAnsi="Times New Roman"/>
        </w:rPr>
        <w:t xml:space="preserve"> in their application to an unlawful non-citizen in respect of whom there was no real prospect of removal from Australia becoming practicable in the reasonably foreseeable future. These circumstances explain why the defendant also accepts that the involuntary detention of the plaintiff in this case as an unlawful non-citizen by an officer of the Commonwealth purportedly under ss 189(1) and 196(1) of the </w:t>
      </w:r>
      <w:r w:rsidRPr="0066441E">
        <w:rPr>
          <w:rFonts w:ascii="Times New Roman" w:hAnsi="Times New Roman"/>
          <w:i/>
          <w:iCs/>
        </w:rPr>
        <w:t xml:space="preserve">Migration Act </w:t>
      </w:r>
      <w:r w:rsidRPr="0066441E">
        <w:rPr>
          <w:rFonts w:ascii="Times New Roman" w:hAnsi="Times New Roman"/>
        </w:rPr>
        <w:t>from 28 July 2022 until 8 November 2023 was not authorised by those provisions and would constitute the commission by the officer of the Commonwealth of the tort of false imprisonment against the plaintiff. The defendant concedes it would be vicariously liable for the acts of its officer, subject to recognition of a new defence to liability for that tort as the defendant proposes.</w:t>
      </w:r>
    </w:p>
    <w:p w14:paraId="6A537194" w14:textId="77777777" w:rsidR="009F6ECF" w:rsidRPr="0066441E" w:rsidRDefault="009F6ECF" w:rsidP="0066441E">
      <w:pPr>
        <w:pStyle w:val="FixListStyle"/>
        <w:spacing w:after="260" w:line="280" w:lineRule="exact"/>
        <w:ind w:right="0"/>
        <w:jc w:val="both"/>
        <w:rPr>
          <w:rFonts w:ascii="Times New Roman" w:hAnsi="Times New Roman"/>
        </w:rPr>
      </w:pPr>
      <w:r w:rsidRPr="0066441E">
        <w:rPr>
          <w:rFonts w:ascii="Times New Roman" w:hAnsi="Times New Roman"/>
        </w:rPr>
        <w:tab/>
        <w:t xml:space="preserve">The common law of Australia does not presently recognise a defence to liability for the tort of false imprisonment by reason of a defendant having acted to restrain the liberty of another person under a reasonable but mistaken belief that they were subject to a statutory duty to </w:t>
      </w:r>
      <w:proofErr w:type="gramStart"/>
      <w:r w:rsidRPr="0066441E">
        <w:rPr>
          <w:rFonts w:ascii="Times New Roman" w:hAnsi="Times New Roman"/>
        </w:rPr>
        <w:t>effect</w:t>
      </w:r>
      <w:proofErr w:type="gramEnd"/>
      <w:r w:rsidRPr="0066441E">
        <w:rPr>
          <w:rFonts w:ascii="Times New Roman" w:hAnsi="Times New Roman"/>
        </w:rPr>
        <w:t xml:space="preserve"> that restraint. The tort is one of strict liability and for a defendant to have acted in good faith in unlawfully detaining </w:t>
      </w:r>
      <w:r w:rsidRPr="0066441E">
        <w:rPr>
          <w:rFonts w:ascii="Times New Roman" w:hAnsi="Times New Roman"/>
        </w:rPr>
        <w:lastRenderedPageBreak/>
        <w:t>another person has never provided a defence of justification for the commission of false imprisonment in the common law of Australia.</w:t>
      </w:r>
    </w:p>
    <w:p w14:paraId="1E3939B2" w14:textId="77777777" w:rsidR="009F6ECF" w:rsidRPr="0066441E" w:rsidRDefault="009F6ECF" w:rsidP="0066441E">
      <w:pPr>
        <w:pStyle w:val="FixListStyle"/>
        <w:spacing w:after="260" w:line="280" w:lineRule="exact"/>
        <w:ind w:right="0"/>
        <w:jc w:val="both"/>
        <w:rPr>
          <w:rFonts w:ascii="Times New Roman" w:hAnsi="Times New Roman"/>
        </w:rPr>
      </w:pPr>
      <w:r w:rsidRPr="0066441E">
        <w:rPr>
          <w:rFonts w:ascii="Times New Roman" w:hAnsi="Times New Roman"/>
        </w:rPr>
        <w:tab/>
      </w:r>
      <w:r w:rsidRPr="0066441E">
        <w:rPr>
          <w:rFonts w:ascii="Times New Roman" w:hAnsi="Times New Roman"/>
          <w:i/>
          <w:iCs/>
        </w:rPr>
        <w:t xml:space="preserve">Queensland v Stradford (a pseudonym) </w:t>
      </w:r>
      <w:r w:rsidRPr="0066441E">
        <w:rPr>
          <w:rFonts w:ascii="Times New Roman" w:hAnsi="Times New Roman"/>
        </w:rPr>
        <w:t>("</w:t>
      </w:r>
      <w:r w:rsidRPr="0066441E">
        <w:rPr>
          <w:rFonts w:ascii="Times New Roman" w:hAnsi="Times New Roman"/>
          <w:i/>
          <w:iCs/>
        </w:rPr>
        <w:t>Stradford</w:t>
      </w:r>
      <w:r w:rsidRPr="0066441E">
        <w:rPr>
          <w:rFonts w:ascii="Times New Roman" w:hAnsi="Times New Roman"/>
        </w:rPr>
        <w:t>")</w:t>
      </w:r>
      <w:r w:rsidRPr="0066441E">
        <w:rPr>
          <w:rStyle w:val="FootnoteReference"/>
          <w:rFonts w:ascii="Times New Roman" w:hAnsi="Times New Roman"/>
          <w:sz w:val="24"/>
        </w:rPr>
        <w:footnoteReference w:id="244"/>
      </w:r>
      <w:r w:rsidRPr="0066441E">
        <w:rPr>
          <w:rFonts w:ascii="Times New Roman" w:hAnsi="Times New Roman"/>
        </w:rPr>
        <w:t xml:space="preserve"> did not create such a defence. Rather, </w:t>
      </w:r>
      <w:r w:rsidRPr="0066441E">
        <w:rPr>
          <w:rFonts w:ascii="Times New Roman" w:hAnsi="Times New Roman"/>
          <w:i/>
          <w:iCs/>
        </w:rPr>
        <w:t>Stradford</w:t>
      </w:r>
      <w:r w:rsidRPr="0066441E">
        <w:rPr>
          <w:rFonts w:ascii="Times New Roman" w:hAnsi="Times New Roman"/>
        </w:rPr>
        <w:t xml:space="preserve"> modified (or clarified) in two respects the scope of existing common law judicial immunity from civil suit, including the tort of false imprisonment, in respect of an exercise of judicial power. In </w:t>
      </w:r>
      <w:r w:rsidRPr="0066441E">
        <w:rPr>
          <w:rFonts w:ascii="Times New Roman" w:hAnsi="Times New Roman"/>
          <w:i/>
          <w:iCs/>
        </w:rPr>
        <w:t>Stradford</w:t>
      </w:r>
      <w:r w:rsidRPr="0066441E">
        <w:rPr>
          <w:rFonts w:ascii="Times New Roman" w:hAnsi="Times New Roman"/>
        </w:rPr>
        <w:t xml:space="preserve"> it was held that: (</w:t>
      </w:r>
      <w:proofErr w:type="spellStart"/>
      <w:r w:rsidRPr="0066441E">
        <w:rPr>
          <w:rFonts w:ascii="Times New Roman" w:hAnsi="Times New Roman"/>
        </w:rPr>
        <w:t>i</w:t>
      </w:r>
      <w:proofErr w:type="spellEnd"/>
      <w:r w:rsidRPr="0066441E">
        <w:rPr>
          <w:rFonts w:ascii="Times New Roman" w:hAnsi="Times New Roman"/>
        </w:rPr>
        <w:t>) the judicial immunity from civil suit in respect of an exercise of judicial power which had always applied to judges of superior courts of record also applies to judges of inferior courts;</w:t>
      </w:r>
      <w:r w:rsidRPr="0066441E">
        <w:rPr>
          <w:rStyle w:val="FootnoteReference"/>
          <w:rFonts w:ascii="Times New Roman" w:hAnsi="Times New Roman"/>
          <w:sz w:val="24"/>
        </w:rPr>
        <w:footnoteReference w:id="245"/>
      </w:r>
      <w:r w:rsidRPr="0066441E">
        <w:rPr>
          <w:rFonts w:ascii="Times New Roman" w:hAnsi="Times New Roman"/>
        </w:rPr>
        <w:t xml:space="preserve"> and (ii) in consequence, the immunity derived from judicial immunity which had always applied to a person under a duty to execute an order of a superior court of record also applies to a person under a duty to execute an order of an inferior court.</w:t>
      </w:r>
      <w:r w:rsidRPr="0066441E">
        <w:rPr>
          <w:rStyle w:val="FootnoteReference"/>
          <w:rFonts w:ascii="Times New Roman" w:hAnsi="Times New Roman"/>
          <w:sz w:val="24"/>
        </w:rPr>
        <w:footnoteReference w:id="246"/>
      </w:r>
      <w:r w:rsidRPr="0066441E">
        <w:rPr>
          <w:rFonts w:ascii="Times New Roman" w:hAnsi="Times New Roman"/>
        </w:rPr>
        <w:t xml:space="preserve"> </w:t>
      </w:r>
      <w:r w:rsidRPr="0066441E">
        <w:rPr>
          <w:rFonts w:ascii="Times New Roman" w:hAnsi="Times New Roman"/>
          <w:i/>
          <w:iCs/>
        </w:rPr>
        <w:t>Stradford</w:t>
      </w:r>
      <w:r w:rsidRPr="0066441E">
        <w:rPr>
          <w:rFonts w:ascii="Times New Roman" w:hAnsi="Times New Roman"/>
        </w:rPr>
        <w:t xml:space="preserve"> thereby aligned the scope of the doctrine of judicial immunity from civil suit in respect of an exercise of judicial power as between superior courts of record and inferior courts.</w:t>
      </w:r>
    </w:p>
    <w:p w14:paraId="14672FF8" w14:textId="77777777" w:rsidR="009F6ECF" w:rsidRPr="0066441E" w:rsidRDefault="009F6ECF" w:rsidP="0066441E">
      <w:pPr>
        <w:pStyle w:val="FixListStyle"/>
        <w:spacing w:after="260" w:line="280" w:lineRule="exact"/>
        <w:ind w:right="0"/>
        <w:jc w:val="both"/>
        <w:rPr>
          <w:rFonts w:ascii="Times New Roman" w:hAnsi="Times New Roman"/>
        </w:rPr>
      </w:pPr>
      <w:r w:rsidRPr="0066441E">
        <w:rPr>
          <w:rFonts w:ascii="Times New Roman" w:hAnsi="Times New Roman"/>
        </w:rPr>
        <w:tab/>
        <w:t xml:space="preserve">The alignment of the scope of the doctrine of judicial immunity effected in </w:t>
      </w:r>
      <w:r w:rsidRPr="0066441E">
        <w:rPr>
          <w:rFonts w:ascii="Times New Roman" w:hAnsi="Times New Roman"/>
          <w:i/>
          <w:iCs/>
        </w:rPr>
        <w:t>Stradford</w:t>
      </w:r>
      <w:r w:rsidRPr="0066441E">
        <w:rPr>
          <w:rFonts w:ascii="Times New Roman" w:hAnsi="Times New Roman"/>
        </w:rPr>
        <w:t xml:space="preserve"> reflects both the contemporary fact that the Australian judiciary is fully professionalised, each judge being legally qualified and bound by oath or affirmation, in effect, to "do right to all manner of people according to law without fear or favour, affection or ill-will",</w:t>
      </w:r>
      <w:r w:rsidRPr="0066441E">
        <w:rPr>
          <w:rStyle w:val="FootnoteReference"/>
          <w:rFonts w:ascii="Times New Roman" w:hAnsi="Times New Roman"/>
          <w:sz w:val="24"/>
        </w:rPr>
        <w:footnoteReference w:id="247"/>
      </w:r>
      <w:r w:rsidRPr="0066441E">
        <w:rPr>
          <w:rFonts w:ascii="Times New Roman" w:hAnsi="Times New Roman"/>
        </w:rPr>
        <w:t xml:space="preserve"> and that the consequential institutional imperative of protecting the fact and the appearance of judicial independence and impartiality in order to maintain the rule of law applies equally to superior courts of record and inferior courts. That the derivative immunity flowing from judicial immunity for persons under a duty to execute court orders was also consequentially aligned as between orders of superior courts of record and inferior courts reflects that the institutional imperative of vindicating judicial authority also applies equally to superior courts of record and inferior courts.</w:t>
      </w:r>
    </w:p>
    <w:p w14:paraId="55A7E973" w14:textId="77777777" w:rsidR="009F6ECF" w:rsidRPr="0066441E" w:rsidRDefault="009F6ECF" w:rsidP="0066441E">
      <w:pPr>
        <w:pStyle w:val="FixListStyle"/>
        <w:spacing w:after="260" w:line="280" w:lineRule="exact"/>
        <w:ind w:right="0"/>
        <w:jc w:val="both"/>
        <w:rPr>
          <w:rFonts w:ascii="Times New Roman" w:hAnsi="Times New Roman"/>
        </w:rPr>
      </w:pPr>
      <w:r w:rsidRPr="0066441E">
        <w:rPr>
          <w:rFonts w:ascii="Times New Roman" w:hAnsi="Times New Roman"/>
        </w:rPr>
        <w:tab/>
        <w:t xml:space="preserve">The defendant acknowledges that for the Court to answer the question of law in the stated case in the affirmative it would be necessary for the Court to recognise a new defence to the tort of false imprisonment available to officers of the Commonwealth having acted to restrain the liberty of another person under a reasonable but mistaken belief that they were subject to a statutory duty to effect that restraint. The defendant proposes further that the source of the mistaken belief </w:t>
      </w:r>
      <w:r w:rsidRPr="0066441E">
        <w:rPr>
          <w:rFonts w:ascii="Times New Roman" w:hAnsi="Times New Roman"/>
        </w:rPr>
        <w:lastRenderedPageBreak/>
        <w:t xml:space="preserve">must be authority of this Court establishing that the statutory duty applied as understood by the officers of the Commonwealth at the time they effected and continued the restraint of the person. The defendant relies on </w:t>
      </w:r>
      <w:r w:rsidRPr="0066441E">
        <w:rPr>
          <w:rFonts w:ascii="Times New Roman" w:hAnsi="Times New Roman"/>
          <w:i/>
          <w:iCs/>
        </w:rPr>
        <w:t>Stradford</w:t>
      </w:r>
      <w:r w:rsidRPr="0066441E">
        <w:rPr>
          <w:rFonts w:ascii="Times New Roman" w:hAnsi="Times New Roman"/>
        </w:rPr>
        <w:t xml:space="preserve"> as providing an analogical foundation for the recognition of this new defence.</w:t>
      </w:r>
    </w:p>
    <w:p w14:paraId="25B3CF00" w14:textId="77777777" w:rsidR="009F6ECF" w:rsidRPr="0066441E" w:rsidRDefault="009F6ECF" w:rsidP="0066441E">
      <w:pPr>
        <w:pStyle w:val="FixListStyle"/>
        <w:spacing w:after="260" w:line="280" w:lineRule="exact"/>
        <w:ind w:right="0"/>
        <w:jc w:val="both"/>
        <w:rPr>
          <w:rFonts w:ascii="Times New Roman" w:hAnsi="Times New Roman"/>
        </w:rPr>
      </w:pPr>
      <w:r w:rsidRPr="0066441E">
        <w:rPr>
          <w:rFonts w:ascii="Times New Roman" w:hAnsi="Times New Roman"/>
        </w:rPr>
        <w:tab/>
        <w:t xml:space="preserve">The proposed new defence to the tort of false imprisonment is not supported by the reasoning in </w:t>
      </w:r>
      <w:r w:rsidRPr="0066441E">
        <w:rPr>
          <w:rFonts w:ascii="Times New Roman" w:hAnsi="Times New Roman"/>
          <w:i/>
          <w:iCs/>
        </w:rPr>
        <w:t>Stradford</w:t>
      </w:r>
      <w:r w:rsidRPr="0066441E">
        <w:rPr>
          <w:rFonts w:ascii="Times New Roman" w:hAnsi="Times New Roman"/>
        </w:rPr>
        <w:t xml:space="preserve">, is not closely (or at all) analogous to the modification to the common law concerning judicial immunity effected by </w:t>
      </w:r>
      <w:r w:rsidRPr="0066441E">
        <w:rPr>
          <w:rFonts w:ascii="Times New Roman" w:hAnsi="Times New Roman"/>
          <w:i/>
          <w:iCs/>
        </w:rPr>
        <w:t>Stradford</w:t>
      </w:r>
      <w:r w:rsidRPr="0066441E">
        <w:rPr>
          <w:rFonts w:ascii="Times New Roman" w:hAnsi="Times New Roman"/>
        </w:rPr>
        <w:t>, lacks cogent foundation, and is inconsistent with constitutional and common law principles. Accordingly, the question of law posed in the stated case must be answered "No".</w:t>
      </w:r>
    </w:p>
    <w:p w14:paraId="7E18EDE4" w14:textId="77777777" w:rsidR="009F6ECF" w:rsidRPr="0066441E" w:rsidRDefault="009F6ECF" w:rsidP="0066441E">
      <w:pPr>
        <w:pStyle w:val="HeadingL1"/>
        <w:spacing w:after="260" w:line="280" w:lineRule="exact"/>
        <w:ind w:right="0"/>
        <w:jc w:val="both"/>
        <w:rPr>
          <w:rFonts w:ascii="Times New Roman" w:hAnsi="Times New Roman"/>
        </w:rPr>
      </w:pPr>
      <w:r w:rsidRPr="0066441E">
        <w:rPr>
          <w:rFonts w:ascii="Times New Roman" w:hAnsi="Times New Roman"/>
          <w:i/>
          <w:iCs/>
        </w:rPr>
        <w:t>Stradford's</w:t>
      </w:r>
      <w:r w:rsidRPr="0066441E">
        <w:rPr>
          <w:rFonts w:ascii="Times New Roman" w:hAnsi="Times New Roman"/>
        </w:rPr>
        <w:t xml:space="preserve"> modification to or clarification of common law doctrine</w:t>
      </w:r>
    </w:p>
    <w:p w14:paraId="1D6B3B31" w14:textId="77777777" w:rsidR="009F6ECF" w:rsidRPr="0066441E" w:rsidRDefault="009F6ECF" w:rsidP="0066441E">
      <w:pPr>
        <w:pStyle w:val="FixListStyle"/>
        <w:spacing w:after="260" w:line="280" w:lineRule="exact"/>
        <w:ind w:right="0"/>
        <w:jc w:val="both"/>
        <w:rPr>
          <w:rFonts w:ascii="Times New Roman" w:hAnsi="Times New Roman"/>
        </w:rPr>
      </w:pPr>
      <w:r w:rsidRPr="0066441E">
        <w:rPr>
          <w:rFonts w:ascii="Times New Roman" w:hAnsi="Times New Roman"/>
        </w:rPr>
        <w:tab/>
        <w:t>The modification to or clarification of the scope of the common law doctrine of judicial immunity effected by the reasoning of Gageler CJ, Gleeson, Jagot and Beech-Jones JJ</w:t>
      </w:r>
      <w:r w:rsidRPr="0066441E" w:rsidDel="007B4F03">
        <w:rPr>
          <w:rFonts w:ascii="Times New Roman" w:hAnsi="Times New Roman"/>
        </w:rPr>
        <w:t xml:space="preserve"> </w:t>
      </w:r>
      <w:r w:rsidRPr="0066441E">
        <w:rPr>
          <w:rFonts w:ascii="Times New Roman" w:hAnsi="Times New Roman"/>
        </w:rPr>
        <w:t xml:space="preserve">in </w:t>
      </w:r>
      <w:r w:rsidRPr="0066441E">
        <w:rPr>
          <w:rFonts w:ascii="Times New Roman" w:hAnsi="Times New Roman"/>
          <w:i/>
          <w:iCs/>
        </w:rPr>
        <w:t>Stradford</w:t>
      </w:r>
      <w:r w:rsidRPr="0066441E">
        <w:rPr>
          <w:rFonts w:ascii="Times New Roman" w:hAnsi="Times New Roman"/>
        </w:rPr>
        <w:t xml:space="preserve"> was modest. As noted, at most, this reasoning aligned the scope of the doctrine of judicial immunity from civil suit in respect of an exercise of judicial power as between judges of superior courts of record and judges of inferior courts referred to in s 77(iii) of the </w:t>
      </w:r>
      <w:r w:rsidRPr="0066441E">
        <w:rPr>
          <w:rFonts w:ascii="Times New Roman" w:hAnsi="Times New Roman"/>
          <w:i/>
          <w:iCs/>
        </w:rPr>
        <w:t>Constitution</w:t>
      </w:r>
      <w:r w:rsidRPr="0066441E">
        <w:rPr>
          <w:rFonts w:ascii="Times New Roman" w:hAnsi="Times New Roman"/>
        </w:rPr>
        <w:t xml:space="preserve"> (irrespective of whether those courts are invested with federal jurisdiction).</w:t>
      </w:r>
      <w:r w:rsidRPr="0066441E">
        <w:rPr>
          <w:rStyle w:val="FootnoteReference"/>
          <w:rFonts w:ascii="Times New Roman" w:hAnsi="Times New Roman"/>
          <w:sz w:val="24"/>
        </w:rPr>
        <w:footnoteReference w:id="248"/>
      </w:r>
      <w:r w:rsidRPr="0066441E">
        <w:rPr>
          <w:rFonts w:ascii="Times New Roman" w:hAnsi="Times New Roman"/>
        </w:rPr>
        <w:t xml:space="preserve"> From this, a consequential alignment of the scope of derivative immunity followed.</w:t>
      </w:r>
      <w:r w:rsidRPr="0066441E">
        <w:rPr>
          <w:rStyle w:val="FootnoteReference"/>
          <w:rFonts w:ascii="Times New Roman" w:hAnsi="Times New Roman"/>
          <w:sz w:val="24"/>
        </w:rPr>
        <w:footnoteReference w:id="249"/>
      </w:r>
      <w:r w:rsidRPr="0066441E">
        <w:rPr>
          <w:rFonts w:ascii="Times New Roman" w:hAnsi="Times New Roman"/>
        </w:rPr>
        <w:t xml:space="preserve"> </w:t>
      </w:r>
    </w:p>
    <w:p w14:paraId="35CA87EA" w14:textId="77777777" w:rsidR="009F6ECF" w:rsidRPr="0066441E" w:rsidRDefault="009F6ECF" w:rsidP="0066441E">
      <w:pPr>
        <w:pStyle w:val="FixListStyle"/>
        <w:spacing w:after="260" w:line="280" w:lineRule="exact"/>
        <w:ind w:right="0"/>
        <w:jc w:val="both"/>
        <w:rPr>
          <w:rFonts w:ascii="Times New Roman" w:hAnsi="Times New Roman"/>
        </w:rPr>
      </w:pPr>
      <w:r w:rsidRPr="0066441E">
        <w:rPr>
          <w:rFonts w:ascii="Times New Roman" w:hAnsi="Times New Roman"/>
        </w:rPr>
        <w:tab/>
        <w:t xml:space="preserve">As explained in </w:t>
      </w:r>
      <w:r w:rsidRPr="0066441E">
        <w:rPr>
          <w:rFonts w:ascii="Times New Roman" w:hAnsi="Times New Roman"/>
          <w:i/>
          <w:iCs/>
        </w:rPr>
        <w:t>Stradford</w:t>
      </w:r>
      <w:r w:rsidRPr="0066441E">
        <w:rPr>
          <w:rFonts w:ascii="Times New Roman" w:hAnsi="Times New Roman"/>
        </w:rPr>
        <w:t>, the extent to which common law judicial immunity differed between superior courts of record and inferior courts in Australia was unclear.</w:t>
      </w:r>
      <w:r w:rsidRPr="0066441E">
        <w:rPr>
          <w:rStyle w:val="FootnoteReference"/>
          <w:rFonts w:ascii="Times New Roman" w:hAnsi="Times New Roman"/>
          <w:sz w:val="24"/>
        </w:rPr>
        <w:footnoteReference w:id="250"/>
      </w:r>
      <w:r w:rsidRPr="0066441E">
        <w:rPr>
          <w:rFonts w:ascii="Times New Roman" w:hAnsi="Times New Roman"/>
        </w:rPr>
        <w:t xml:space="preserve"> Lack of clarity in the common law is a proper foundation for modification of common law principle to enhance clarity and internal consistency of the whole body of the law. As Barwick CJ explained, in the common law method the "law develops case by case, the Court in each case deciding so much as is necessary to dispose of the case before it"</w:t>
      </w:r>
      <w:r w:rsidRPr="0066441E">
        <w:rPr>
          <w:rStyle w:val="FootnoteReference"/>
          <w:rFonts w:ascii="Times New Roman" w:hAnsi="Times New Roman"/>
          <w:sz w:val="24"/>
        </w:rPr>
        <w:footnoteReference w:id="251"/>
      </w:r>
      <w:r w:rsidRPr="0066441E">
        <w:rPr>
          <w:rFonts w:ascii="Times New Roman" w:hAnsi="Times New Roman"/>
        </w:rPr>
        <w:t xml:space="preserve"> and by "a course of decision in which the application of general statements is illustrated by example".</w:t>
      </w:r>
      <w:r w:rsidRPr="0066441E">
        <w:rPr>
          <w:rStyle w:val="FootnoteReference"/>
          <w:rFonts w:ascii="Times New Roman" w:hAnsi="Times New Roman"/>
          <w:sz w:val="24"/>
        </w:rPr>
        <w:footnoteReference w:id="252"/>
      </w:r>
      <w:r w:rsidRPr="0066441E">
        <w:rPr>
          <w:rFonts w:ascii="Times New Roman" w:hAnsi="Times New Roman"/>
        </w:rPr>
        <w:t xml:space="preserve"> Further, as Gageler J observed in referring to the extra-judicial statements of Sir Frederick Jordan and Oliver Wendell Holmes, in the common law method the "general principles of the common law are ...'built up' from the </w:t>
      </w:r>
      <w:r w:rsidRPr="0066441E">
        <w:rPr>
          <w:rFonts w:ascii="Times New Roman" w:hAnsi="Times New Roman"/>
        </w:rPr>
        <w:lastRenderedPageBreak/>
        <w:t>'collation of decided cases'",</w:t>
      </w:r>
      <w:r w:rsidRPr="0066441E">
        <w:rPr>
          <w:rStyle w:val="FootnoteReference"/>
          <w:rFonts w:ascii="Times New Roman" w:hAnsi="Times New Roman"/>
          <w:sz w:val="24"/>
        </w:rPr>
        <w:footnoteReference w:id="253"/>
      </w:r>
      <w:r w:rsidRPr="0066441E">
        <w:rPr>
          <w:rFonts w:ascii="Times New Roman" w:hAnsi="Times New Roman"/>
        </w:rPr>
        <w:t xml:space="preserve"> in accordance with "the adage that the life of the common law has been not logic but experience",</w:t>
      </w:r>
      <w:r w:rsidRPr="0066441E">
        <w:rPr>
          <w:rStyle w:val="FootnoteReference"/>
          <w:rFonts w:ascii="Times New Roman" w:hAnsi="Times New Roman"/>
          <w:sz w:val="24"/>
        </w:rPr>
        <w:footnoteReference w:id="254"/>
      </w:r>
      <w:r w:rsidRPr="0066441E">
        <w:rPr>
          <w:rFonts w:ascii="Times New Roman" w:hAnsi="Times New Roman"/>
        </w:rPr>
        <w:t xml:space="preserve"> case-by-case adjudications enabling principles to be "monitored by reference to how well they fit within the wider body of the law and how well they work in practice."</w:t>
      </w:r>
      <w:r w:rsidRPr="0066441E">
        <w:rPr>
          <w:rStyle w:val="FootnoteReference"/>
          <w:rFonts w:ascii="Times New Roman" w:hAnsi="Times New Roman"/>
          <w:sz w:val="24"/>
        </w:rPr>
        <w:footnoteReference w:id="255"/>
      </w:r>
      <w:r w:rsidRPr="0066441E">
        <w:rPr>
          <w:rFonts w:ascii="Times New Roman" w:hAnsi="Times New Roman"/>
        </w:rPr>
        <w:t xml:space="preserve"> It follows that "performance of an adjudicative function in an adversary setting 'proceeds best when it proceeds if, and no further than is, warranted to determine a legal right or legal liability in controversy'".</w:t>
      </w:r>
      <w:r w:rsidRPr="0066441E">
        <w:rPr>
          <w:rStyle w:val="FootnoteReference"/>
          <w:rFonts w:ascii="Times New Roman" w:hAnsi="Times New Roman"/>
          <w:sz w:val="24"/>
        </w:rPr>
        <w:footnoteReference w:id="256"/>
      </w:r>
    </w:p>
    <w:p w14:paraId="35CCEFEE" w14:textId="77777777" w:rsidR="009F6ECF" w:rsidRPr="0066441E" w:rsidRDefault="009F6ECF" w:rsidP="0066441E">
      <w:pPr>
        <w:pStyle w:val="FixListStyle"/>
        <w:spacing w:after="260" w:line="280" w:lineRule="exact"/>
        <w:ind w:right="0"/>
        <w:jc w:val="both"/>
        <w:rPr>
          <w:rFonts w:ascii="Times New Roman" w:hAnsi="Times New Roman"/>
        </w:rPr>
      </w:pPr>
      <w:r w:rsidRPr="0066441E">
        <w:rPr>
          <w:rFonts w:ascii="Times New Roman" w:hAnsi="Times New Roman"/>
        </w:rPr>
        <w:tab/>
        <w:t>Reasoning first from the basis that two of the institutional imperatives underlying the common law doctrine of judicial immunity, to facilitate the independent and impartial performance of the judicial function free from the spectre of litigation and thereby to enhance public confidence in the independence and impartiality of judicial decision-making,</w:t>
      </w:r>
      <w:r w:rsidRPr="0066441E" w:rsidDel="00CC5F36">
        <w:rPr>
          <w:rFonts w:ascii="Times New Roman" w:hAnsi="Times New Roman"/>
        </w:rPr>
        <w:t xml:space="preserve"> </w:t>
      </w:r>
      <w:r w:rsidRPr="0066441E">
        <w:rPr>
          <w:rFonts w:ascii="Times New Roman" w:hAnsi="Times New Roman"/>
        </w:rPr>
        <w:t xml:space="preserve">are the same for judges of all courts in Australia, </w:t>
      </w:r>
      <w:r w:rsidRPr="0066441E">
        <w:rPr>
          <w:rFonts w:ascii="Times New Roman" w:hAnsi="Times New Roman"/>
          <w:i/>
          <w:iCs/>
        </w:rPr>
        <w:t>Stradford</w:t>
      </w:r>
      <w:r w:rsidRPr="0066441E">
        <w:rPr>
          <w:rFonts w:ascii="Times New Roman" w:hAnsi="Times New Roman"/>
        </w:rPr>
        <w:t xml:space="preserve"> decided that judicial immunity from civil suit must apply irrespective of the status of the court as a superior court of record or as an inferior court.</w:t>
      </w:r>
      <w:r w:rsidRPr="0066441E">
        <w:rPr>
          <w:rStyle w:val="FootnoteReference"/>
          <w:rFonts w:ascii="Times New Roman" w:hAnsi="Times New Roman"/>
          <w:sz w:val="24"/>
        </w:rPr>
        <w:footnoteReference w:id="257"/>
      </w:r>
      <w:r w:rsidRPr="0066441E">
        <w:rPr>
          <w:rFonts w:ascii="Times New Roman" w:hAnsi="Times New Roman"/>
        </w:rPr>
        <w:t xml:space="preserve"> </w:t>
      </w:r>
    </w:p>
    <w:p w14:paraId="121D41B9" w14:textId="77777777" w:rsidR="009F6ECF" w:rsidRPr="0066441E" w:rsidRDefault="009F6ECF" w:rsidP="0066441E">
      <w:pPr>
        <w:pStyle w:val="FixListStyle"/>
        <w:spacing w:after="260" w:line="280" w:lineRule="exact"/>
        <w:ind w:right="0"/>
        <w:jc w:val="both"/>
        <w:rPr>
          <w:rFonts w:ascii="Times New Roman" w:hAnsi="Times New Roman"/>
        </w:rPr>
      </w:pPr>
      <w:r w:rsidRPr="0066441E">
        <w:rPr>
          <w:rFonts w:ascii="Times New Roman" w:hAnsi="Times New Roman"/>
        </w:rPr>
        <w:tab/>
        <w:t>Reasoning second from the basis that the rationale upon which the common law provided a derivative immunity to those under a duty to execute the orders of a superior court of record, such actions being "acts done in the execution of justice, which are compulsive",</w:t>
      </w:r>
      <w:r w:rsidRPr="0066441E">
        <w:rPr>
          <w:rStyle w:val="FootnoteReference"/>
          <w:rFonts w:ascii="Times New Roman" w:hAnsi="Times New Roman"/>
          <w:sz w:val="24"/>
        </w:rPr>
        <w:footnoteReference w:id="258"/>
      </w:r>
      <w:r w:rsidRPr="0066441E">
        <w:rPr>
          <w:rFonts w:ascii="Times New Roman" w:hAnsi="Times New Roman"/>
        </w:rPr>
        <w:t xml:space="preserve"> "rooted in the order and underlying process being judicial", and "an aspect of the 'protection of the authority of judicial proceedings'",</w:t>
      </w:r>
      <w:r w:rsidRPr="0066441E">
        <w:rPr>
          <w:rStyle w:val="FootnoteReference"/>
          <w:rFonts w:ascii="Times New Roman" w:hAnsi="Times New Roman"/>
          <w:sz w:val="24"/>
        </w:rPr>
        <w:footnoteReference w:id="259"/>
      </w:r>
      <w:r w:rsidRPr="0066441E">
        <w:rPr>
          <w:rFonts w:ascii="Times New Roman" w:hAnsi="Times New Roman"/>
        </w:rPr>
        <w:t xml:space="preserve"> applies equally to those under a duty to execute the orders of an inferior court, the reasoning in </w:t>
      </w:r>
      <w:r w:rsidRPr="0066441E">
        <w:rPr>
          <w:rFonts w:ascii="Times New Roman" w:hAnsi="Times New Roman"/>
          <w:i/>
          <w:iCs/>
        </w:rPr>
        <w:t>Stradford</w:t>
      </w:r>
      <w:r w:rsidRPr="0066441E">
        <w:rPr>
          <w:rFonts w:ascii="Times New Roman" w:hAnsi="Times New Roman"/>
        </w:rPr>
        <w:t xml:space="preserve"> also aligned the scope of the derivative immunity as between persons acting under a duty to execute orders of a superior </w:t>
      </w:r>
      <w:r w:rsidRPr="0066441E">
        <w:rPr>
          <w:rFonts w:ascii="Times New Roman" w:hAnsi="Times New Roman"/>
        </w:rPr>
        <w:lastRenderedPageBreak/>
        <w:t>court of record and an inferior court.</w:t>
      </w:r>
      <w:r w:rsidRPr="0066441E">
        <w:rPr>
          <w:rStyle w:val="FootnoteReference"/>
          <w:rFonts w:ascii="Times New Roman" w:hAnsi="Times New Roman"/>
          <w:sz w:val="24"/>
        </w:rPr>
        <w:footnoteReference w:id="260"/>
      </w:r>
      <w:r w:rsidRPr="0066441E">
        <w:rPr>
          <w:rFonts w:ascii="Times New Roman" w:hAnsi="Times New Roman"/>
        </w:rPr>
        <w:t xml:space="preserve"> As the reasoning in </w:t>
      </w:r>
      <w:r w:rsidRPr="0066441E">
        <w:rPr>
          <w:rFonts w:ascii="Times New Roman" w:hAnsi="Times New Roman"/>
          <w:i/>
          <w:iCs/>
        </w:rPr>
        <w:t>Stradford</w:t>
      </w:r>
      <w:r w:rsidRPr="0066441E">
        <w:rPr>
          <w:rFonts w:ascii="Times New Roman" w:hAnsi="Times New Roman"/>
        </w:rPr>
        <w:t xml:space="preserve"> explained, this reflected that the institutional need "for inferior courts to function by having their orders enforced" is the same as that of superior courts of record.</w:t>
      </w:r>
      <w:r w:rsidRPr="0066441E">
        <w:rPr>
          <w:rStyle w:val="FootnoteReference"/>
          <w:rFonts w:ascii="Times New Roman" w:hAnsi="Times New Roman"/>
          <w:sz w:val="24"/>
        </w:rPr>
        <w:footnoteReference w:id="261"/>
      </w:r>
      <w:r w:rsidRPr="0066441E">
        <w:rPr>
          <w:rFonts w:ascii="Times New Roman" w:hAnsi="Times New Roman"/>
        </w:rPr>
        <w:t xml:space="preserve"> </w:t>
      </w:r>
    </w:p>
    <w:p w14:paraId="076F1BE5" w14:textId="77777777" w:rsidR="009F6ECF" w:rsidRPr="0066441E" w:rsidRDefault="009F6ECF" w:rsidP="0066441E">
      <w:pPr>
        <w:pStyle w:val="FixListStyle"/>
        <w:spacing w:after="260" w:line="280" w:lineRule="exact"/>
        <w:ind w:right="0"/>
        <w:jc w:val="both"/>
        <w:rPr>
          <w:rFonts w:ascii="Times New Roman" w:hAnsi="Times New Roman"/>
        </w:rPr>
      </w:pPr>
      <w:r w:rsidRPr="0066441E">
        <w:rPr>
          <w:rFonts w:ascii="Times New Roman" w:hAnsi="Times New Roman"/>
        </w:rPr>
        <w:tab/>
        <w:t xml:space="preserve">The modification to or clarification of the scope of the common law doctrine of judicial immunity (of a judge making an order, including an order to restrain a person's liberty) and of the immunity derived from it (for persons under a duty to execute such an order) effected by </w:t>
      </w:r>
      <w:r w:rsidRPr="0066441E">
        <w:rPr>
          <w:rFonts w:ascii="Times New Roman" w:hAnsi="Times New Roman"/>
          <w:i/>
          <w:iCs/>
        </w:rPr>
        <w:t>Stradford</w:t>
      </w:r>
      <w:r w:rsidRPr="0066441E">
        <w:rPr>
          <w:rFonts w:ascii="Times New Roman" w:hAnsi="Times New Roman"/>
        </w:rPr>
        <w:t xml:space="preserve"> also otherwise accorded with the principles regulating judicial development of the common law. The modification to or clarification of the common law effected by the reasoning in </w:t>
      </w:r>
      <w:r w:rsidRPr="0066441E">
        <w:rPr>
          <w:rFonts w:ascii="Times New Roman" w:hAnsi="Times New Roman"/>
          <w:i/>
          <w:iCs/>
        </w:rPr>
        <w:t>Stradford</w:t>
      </w:r>
      <w:r w:rsidRPr="0066441E">
        <w:rPr>
          <w:rFonts w:ascii="Times New Roman" w:hAnsi="Times New Roman"/>
        </w:rPr>
        <w:t>: was founded on the existing doctrine of judicial and derivative immunity; at most represented a relatively minor and incremental extension to the existing doctrine;</w:t>
      </w:r>
      <w:r w:rsidRPr="0066441E">
        <w:rPr>
          <w:rStyle w:val="FootnoteReference"/>
          <w:rFonts w:ascii="Times New Roman" w:hAnsi="Times New Roman"/>
          <w:sz w:val="24"/>
        </w:rPr>
        <w:footnoteReference w:id="262"/>
      </w:r>
      <w:r w:rsidRPr="0066441E">
        <w:rPr>
          <w:rFonts w:ascii="Times New Roman" w:hAnsi="Times New Roman"/>
        </w:rPr>
        <w:t xml:space="preserve"> reflected an adjustment properly responsive to the contemporary reality of a fully professionalised judiciary throughout the judicial hierarchy in Australia; was no more than necessary to achieve coherence in and stability of existing doctrine given that contemporary reality; and introduced no conflict within the overall body of the law, but, rather, harmonised its content to remove potential tension in the operation of existing doctrine.</w:t>
      </w:r>
      <w:r w:rsidRPr="0066441E">
        <w:rPr>
          <w:rStyle w:val="FootnoteReference"/>
          <w:rFonts w:ascii="Times New Roman" w:hAnsi="Times New Roman"/>
          <w:sz w:val="24"/>
        </w:rPr>
        <w:footnoteReference w:id="263"/>
      </w:r>
      <w:r w:rsidRPr="0066441E">
        <w:rPr>
          <w:rFonts w:ascii="Times New Roman" w:hAnsi="Times New Roman"/>
        </w:rPr>
        <w:t xml:space="preserve"> The same cannot be said for the defendant's proposed new defence to liability for Commonwealth officers committing the tort of false imprisonment in purported execution of their statutory duty and the derivative defence the defendant contends would thereby be available to the Commonwealth itself.</w:t>
      </w:r>
    </w:p>
    <w:p w14:paraId="4C8DD0D2" w14:textId="77777777" w:rsidR="009F6ECF" w:rsidRPr="0066441E" w:rsidRDefault="009F6ECF" w:rsidP="0066441E">
      <w:pPr>
        <w:pStyle w:val="HeadingL1"/>
        <w:spacing w:after="260" w:line="280" w:lineRule="exact"/>
        <w:ind w:right="0"/>
        <w:jc w:val="both"/>
        <w:rPr>
          <w:rFonts w:ascii="Times New Roman" w:hAnsi="Times New Roman"/>
          <w:i/>
          <w:iCs/>
        </w:rPr>
      </w:pPr>
      <w:r w:rsidRPr="0066441E">
        <w:rPr>
          <w:rFonts w:ascii="Times New Roman" w:hAnsi="Times New Roman"/>
        </w:rPr>
        <w:t xml:space="preserve">No analogy to </w:t>
      </w:r>
      <w:r w:rsidRPr="0066441E">
        <w:rPr>
          <w:rFonts w:ascii="Times New Roman" w:hAnsi="Times New Roman"/>
          <w:i/>
          <w:iCs/>
        </w:rPr>
        <w:t>Stradford</w:t>
      </w:r>
    </w:p>
    <w:p w14:paraId="7790DDB4" w14:textId="77777777" w:rsidR="009F6ECF" w:rsidRPr="0066441E" w:rsidRDefault="009F6ECF" w:rsidP="0066441E">
      <w:pPr>
        <w:pStyle w:val="FixListStyle"/>
        <w:spacing w:after="260" w:line="280" w:lineRule="exact"/>
        <w:ind w:right="0"/>
        <w:jc w:val="both"/>
        <w:rPr>
          <w:rFonts w:ascii="Times New Roman" w:hAnsi="Times New Roman"/>
        </w:rPr>
      </w:pPr>
      <w:r w:rsidRPr="0066441E">
        <w:rPr>
          <w:rFonts w:ascii="Times New Roman" w:hAnsi="Times New Roman"/>
        </w:rPr>
        <w:tab/>
        <w:t xml:space="preserve">The defendant characterised recognition of the new defence to liability for officers of the Commonwealth in respect of the false imprisonment of the plaintiff as "closely analogous" to the immunity recognised to be available to the respondents in </w:t>
      </w:r>
      <w:r w:rsidRPr="0066441E">
        <w:rPr>
          <w:rFonts w:ascii="Times New Roman" w:hAnsi="Times New Roman"/>
          <w:i/>
          <w:iCs/>
        </w:rPr>
        <w:t>Stradford</w:t>
      </w:r>
      <w:r w:rsidRPr="0066441E">
        <w:rPr>
          <w:rFonts w:ascii="Times New Roman" w:hAnsi="Times New Roman"/>
        </w:rPr>
        <w:t xml:space="preserve"> under the duty to execute the judge's orders for imprisonment of the applicant. According to the defendant, the recognition of the new defence, consistent with the reasoning in </w:t>
      </w:r>
      <w:r w:rsidRPr="0066441E">
        <w:rPr>
          <w:rFonts w:ascii="Times New Roman" w:hAnsi="Times New Roman"/>
          <w:i/>
          <w:iCs/>
        </w:rPr>
        <w:t>Stradford</w:t>
      </w:r>
      <w:r w:rsidRPr="0066441E">
        <w:rPr>
          <w:rFonts w:ascii="Times New Roman" w:hAnsi="Times New Roman"/>
        </w:rPr>
        <w:t xml:space="preserve">, would reflect the </w:t>
      </w:r>
      <w:r w:rsidRPr="0066441E">
        <w:rPr>
          <w:rFonts w:ascii="Times New Roman" w:hAnsi="Times New Roman"/>
        </w:rPr>
        <w:lastRenderedPageBreak/>
        <w:t xml:space="preserve">underlying importance of the duty of the executive to comply with the law, an aspect of the rule of law assumed by the </w:t>
      </w:r>
      <w:r w:rsidRPr="0066441E">
        <w:rPr>
          <w:rFonts w:ascii="Times New Roman" w:hAnsi="Times New Roman"/>
          <w:i/>
          <w:iCs/>
        </w:rPr>
        <w:t>Constitution</w:t>
      </w:r>
      <w:r w:rsidRPr="0066441E">
        <w:rPr>
          <w:rFonts w:ascii="Times New Roman" w:hAnsi="Times New Roman"/>
        </w:rPr>
        <w:t>.</w:t>
      </w:r>
      <w:r w:rsidRPr="0066441E">
        <w:rPr>
          <w:rStyle w:val="FootnoteReference"/>
          <w:rFonts w:ascii="Times New Roman" w:hAnsi="Times New Roman"/>
          <w:sz w:val="24"/>
        </w:rPr>
        <w:footnoteReference w:id="264"/>
      </w:r>
      <w:r w:rsidRPr="0066441E">
        <w:rPr>
          <w:rFonts w:ascii="Times New Roman" w:hAnsi="Times New Roman"/>
        </w:rPr>
        <w:t xml:space="preserve"> </w:t>
      </w:r>
    </w:p>
    <w:p w14:paraId="0B96454B" w14:textId="77777777" w:rsidR="009F6ECF" w:rsidRPr="0066441E" w:rsidRDefault="009F6ECF" w:rsidP="0066441E">
      <w:pPr>
        <w:pStyle w:val="FixListStyle"/>
        <w:spacing w:after="260" w:line="280" w:lineRule="exact"/>
        <w:ind w:right="0"/>
        <w:jc w:val="both"/>
        <w:rPr>
          <w:rFonts w:ascii="Times New Roman" w:hAnsi="Times New Roman"/>
        </w:rPr>
      </w:pPr>
      <w:r w:rsidRPr="0066441E">
        <w:rPr>
          <w:rFonts w:ascii="Times New Roman" w:hAnsi="Times New Roman"/>
        </w:rPr>
        <w:tab/>
        <w:t xml:space="preserve">As the defendant puts it, this Court having decided in </w:t>
      </w:r>
      <w:r w:rsidRPr="0066441E">
        <w:rPr>
          <w:rFonts w:ascii="Times New Roman" w:hAnsi="Times New Roman"/>
          <w:i/>
          <w:iCs/>
        </w:rPr>
        <w:t>Al-Kateb</w:t>
      </w:r>
      <w:r w:rsidRPr="0066441E">
        <w:rPr>
          <w:rFonts w:ascii="Times New Roman" w:hAnsi="Times New Roman"/>
        </w:rPr>
        <w:t xml:space="preserve"> that ss 189(1) and 196(1) of the </w:t>
      </w:r>
      <w:r w:rsidRPr="0066441E">
        <w:rPr>
          <w:rFonts w:ascii="Times New Roman" w:hAnsi="Times New Roman"/>
          <w:i/>
          <w:iCs/>
        </w:rPr>
        <w:t>Migration Act</w:t>
      </w:r>
      <w:r w:rsidRPr="0066441E">
        <w:rPr>
          <w:rFonts w:ascii="Times New Roman" w:hAnsi="Times New Roman"/>
        </w:rPr>
        <w:t xml:space="preserve"> validly applied to impose a duty on Commonwealth officers to detain an unlawful non-citizen irrespective of whether it was reasonably practicable to remove that person from Australia in the reasonably foreseeable future, the Commonwealth officer in the present case was bound to act in accordance with that statutory duty by detaining the plaintiff. The defendant contended that it would be as (if not more) invidious to and as destructive of the rule of law for the Commonwealth officer in the present case to be liable for the false imprisonment of the plaintiff as it would have been for the respondents in </w:t>
      </w:r>
      <w:r w:rsidRPr="0066441E">
        <w:rPr>
          <w:rFonts w:ascii="Times New Roman" w:hAnsi="Times New Roman"/>
          <w:i/>
          <w:iCs/>
        </w:rPr>
        <w:t>Stradford</w:t>
      </w:r>
      <w:r w:rsidRPr="0066441E">
        <w:rPr>
          <w:rFonts w:ascii="Times New Roman" w:hAnsi="Times New Roman"/>
        </w:rPr>
        <w:t xml:space="preserve"> who were bound to execute the judge's orders. The respondents in </w:t>
      </w:r>
      <w:r w:rsidRPr="0066441E">
        <w:rPr>
          <w:rFonts w:ascii="Times New Roman" w:hAnsi="Times New Roman"/>
          <w:i/>
          <w:iCs/>
        </w:rPr>
        <w:t>Stradford</w:t>
      </w:r>
      <w:r w:rsidRPr="0066441E">
        <w:rPr>
          <w:rFonts w:ascii="Times New Roman" w:hAnsi="Times New Roman"/>
        </w:rPr>
        <w:t xml:space="preserve"> were bound to execute a single order of the judge whereas the Commonwealth officer in the present case was subject to an apparent ongoing statutory duty to detain all unlawful non-citizens. The defendant submitted further that it would have been impossible for the Commonwealth officer in the present case to have ascertained that, contrary to </w:t>
      </w:r>
      <w:r w:rsidRPr="0066441E">
        <w:rPr>
          <w:rFonts w:ascii="Times New Roman" w:hAnsi="Times New Roman"/>
          <w:i/>
          <w:iCs/>
        </w:rPr>
        <w:t xml:space="preserve">Al-Kateb </w:t>
      </w:r>
      <w:r w:rsidRPr="0066441E">
        <w:rPr>
          <w:rFonts w:ascii="Times New Roman" w:hAnsi="Times New Roman"/>
        </w:rPr>
        <w:t xml:space="preserve">and as ultimately held in </w:t>
      </w:r>
      <w:r w:rsidRPr="0066441E">
        <w:rPr>
          <w:rFonts w:ascii="Times New Roman" w:hAnsi="Times New Roman"/>
          <w:i/>
          <w:iCs/>
        </w:rPr>
        <w:t>NZYQ</w:t>
      </w:r>
      <w:r w:rsidRPr="0066441E">
        <w:rPr>
          <w:rFonts w:ascii="Times New Roman" w:hAnsi="Times New Roman"/>
        </w:rPr>
        <w:t xml:space="preserve">, ss 189(1) and 196(1) of the </w:t>
      </w:r>
      <w:r w:rsidRPr="0066441E">
        <w:rPr>
          <w:rFonts w:ascii="Times New Roman" w:hAnsi="Times New Roman"/>
          <w:i/>
          <w:iCs/>
        </w:rPr>
        <w:t>Migration Act</w:t>
      </w:r>
      <w:r w:rsidRPr="0066441E">
        <w:rPr>
          <w:rFonts w:ascii="Times New Roman" w:hAnsi="Times New Roman"/>
        </w:rPr>
        <w:t xml:space="preserve"> were not constitutionally valid insofar as they purported to apply to an unlawful non-citizen in respect of whom there was no real prospect of removal from Australia becoming practicable in the reasonably foreseeable future.</w:t>
      </w:r>
    </w:p>
    <w:p w14:paraId="1EED0E50" w14:textId="77777777" w:rsidR="009F6ECF" w:rsidRPr="0066441E" w:rsidRDefault="009F6ECF" w:rsidP="0066441E">
      <w:pPr>
        <w:pStyle w:val="FixListStyle"/>
        <w:spacing w:after="260" w:line="280" w:lineRule="exact"/>
        <w:ind w:right="0"/>
        <w:jc w:val="both"/>
        <w:rPr>
          <w:rFonts w:ascii="Times New Roman" w:hAnsi="Times New Roman"/>
        </w:rPr>
      </w:pPr>
      <w:r w:rsidRPr="0066441E">
        <w:rPr>
          <w:rFonts w:ascii="Times New Roman" w:hAnsi="Times New Roman"/>
        </w:rPr>
        <w:tab/>
        <w:t xml:space="preserve">These arguments for the defendant assume (wrongly) that the relevant starting point is to compare the position of the relevant officer of the Commonwealth subject to the duty imposed by ss 189(1) and 196(1) of the </w:t>
      </w:r>
      <w:r w:rsidRPr="0066441E">
        <w:rPr>
          <w:rFonts w:ascii="Times New Roman" w:hAnsi="Times New Roman"/>
          <w:i/>
          <w:iCs/>
        </w:rPr>
        <w:t>Migration Act</w:t>
      </w:r>
      <w:r w:rsidRPr="0066441E">
        <w:rPr>
          <w:rFonts w:ascii="Times New Roman" w:hAnsi="Times New Roman"/>
        </w:rPr>
        <w:t xml:space="preserve"> to the position of the relevant respondents in </w:t>
      </w:r>
      <w:r w:rsidRPr="0066441E">
        <w:rPr>
          <w:rFonts w:ascii="Times New Roman" w:hAnsi="Times New Roman"/>
          <w:i/>
          <w:iCs/>
        </w:rPr>
        <w:t>Stradford</w:t>
      </w:r>
      <w:r w:rsidRPr="0066441E">
        <w:rPr>
          <w:rFonts w:ascii="Times New Roman" w:hAnsi="Times New Roman"/>
        </w:rPr>
        <w:t xml:space="preserve"> subject to the duty to execute the judge's order</w:t>
      </w:r>
      <w:r w:rsidRPr="0066441E" w:rsidDel="004F496C">
        <w:rPr>
          <w:rFonts w:ascii="Times New Roman" w:hAnsi="Times New Roman"/>
        </w:rPr>
        <w:t>s</w:t>
      </w:r>
      <w:r w:rsidRPr="0066441E">
        <w:rPr>
          <w:rFonts w:ascii="Times New Roman" w:hAnsi="Times New Roman"/>
        </w:rPr>
        <w:t xml:space="preserve">. From that starting point, the arguments next assume (wrongly) that the applicable criterion for comparison between the relevant officer of the Commonwealth (on the one hand) and the relevant respondents in </w:t>
      </w:r>
      <w:r w:rsidRPr="0066441E">
        <w:rPr>
          <w:rFonts w:ascii="Times New Roman" w:hAnsi="Times New Roman"/>
          <w:i/>
          <w:iCs/>
        </w:rPr>
        <w:t>Stradford</w:t>
      </w:r>
      <w:r w:rsidRPr="0066441E">
        <w:rPr>
          <w:rFonts w:ascii="Times New Roman" w:hAnsi="Times New Roman"/>
        </w:rPr>
        <w:t xml:space="preserve"> (on the other hand) is their susceptibility to liability in a suit for false imprisonment. Within that (wrong) conceptual framework, the comparison yields the (wrong) answer that the position of the relevant officer of the Commonwealth and the relevant respondents in </w:t>
      </w:r>
      <w:r w:rsidRPr="0066441E">
        <w:rPr>
          <w:rFonts w:ascii="Times New Roman" w:hAnsi="Times New Roman"/>
          <w:i/>
          <w:iCs/>
        </w:rPr>
        <w:t>Stradford</w:t>
      </w:r>
      <w:r w:rsidRPr="0066441E">
        <w:rPr>
          <w:rFonts w:ascii="Times New Roman" w:hAnsi="Times New Roman"/>
        </w:rPr>
        <w:t xml:space="preserve"> is "closely analogous" because the members of each class, without a defence to or immunity from suit, are susceptible to liability for false imprisonment in circumstances where each has acted in accordance with an apparent legal duty. </w:t>
      </w:r>
    </w:p>
    <w:p w14:paraId="074AD228" w14:textId="77777777" w:rsidR="009F6ECF" w:rsidRPr="0066441E" w:rsidRDefault="009F6ECF" w:rsidP="0066441E">
      <w:pPr>
        <w:pStyle w:val="FixListStyle"/>
        <w:spacing w:after="260" w:line="280" w:lineRule="exact"/>
        <w:ind w:right="0"/>
        <w:jc w:val="both"/>
        <w:rPr>
          <w:rFonts w:ascii="Times New Roman" w:hAnsi="Times New Roman"/>
        </w:rPr>
      </w:pPr>
      <w:r w:rsidRPr="0066441E">
        <w:rPr>
          <w:rFonts w:ascii="Times New Roman" w:hAnsi="Times New Roman"/>
        </w:rPr>
        <w:tab/>
        <w:t xml:space="preserve">The defendant's starting point of comparing the position of the relevant officer of the Commonwealth to the relevant respondents in </w:t>
      </w:r>
      <w:r w:rsidRPr="0066441E">
        <w:rPr>
          <w:rFonts w:ascii="Times New Roman" w:hAnsi="Times New Roman"/>
          <w:i/>
          <w:iCs/>
        </w:rPr>
        <w:t>Stradford</w:t>
      </w:r>
      <w:r w:rsidRPr="0066441E">
        <w:rPr>
          <w:rFonts w:ascii="Times New Roman" w:hAnsi="Times New Roman"/>
        </w:rPr>
        <w:t xml:space="preserve"> inverts the </w:t>
      </w:r>
      <w:r w:rsidRPr="0066441E">
        <w:rPr>
          <w:rFonts w:ascii="Times New Roman" w:hAnsi="Times New Roman"/>
        </w:rPr>
        <w:lastRenderedPageBreak/>
        <w:t xml:space="preserve">reasoning process in that case. In </w:t>
      </w:r>
      <w:r w:rsidRPr="0066441E">
        <w:rPr>
          <w:rFonts w:ascii="Times New Roman" w:hAnsi="Times New Roman"/>
          <w:i/>
          <w:iCs/>
        </w:rPr>
        <w:t>Stradford</w:t>
      </w:r>
      <w:r w:rsidRPr="0066441E">
        <w:rPr>
          <w:rFonts w:ascii="Times New Roman" w:hAnsi="Times New Roman"/>
        </w:rPr>
        <w:t xml:space="preserve">, the immunity from liability of the relevant respondents for the tort of false imprisonment was derived from and a necessary consequence of the principal immunity of members of the judiciary from civil suit for their exercises of judicial power. In the present case, the defendant proposes the reverse – that the principal defence to liability would be that of the officer of the Commonwealth subject to the duty imposed by ss 189(1) and 196(1) of the </w:t>
      </w:r>
      <w:r w:rsidRPr="0066441E">
        <w:rPr>
          <w:rFonts w:ascii="Times New Roman" w:hAnsi="Times New Roman"/>
          <w:i/>
          <w:iCs/>
        </w:rPr>
        <w:t>Migration Act</w:t>
      </w:r>
      <w:r w:rsidRPr="0066441E">
        <w:rPr>
          <w:rFonts w:ascii="Times New Roman" w:hAnsi="Times New Roman"/>
        </w:rPr>
        <w:t xml:space="preserve"> and that the Commonwealth would then derive its own defence from that of its officer.</w:t>
      </w:r>
    </w:p>
    <w:p w14:paraId="5C6CF9C2" w14:textId="77777777" w:rsidR="009F6ECF" w:rsidRPr="0066441E" w:rsidRDefault="009F6ECF" w:rsidP="0066441E">
      <w:pPr>
        <w:pStyle w:val="FixListStyle"/>
        <w:spacing w:after="260" w:line="280" w:lineRule="exact"/>
        <w:ind w:right="0"/>
        <w:jc w:val="both"/>
        <w:rPr>
          <w:rFonts w:ascii="Times New Roman" w:hAnsi="Times New Roman"/>
        </w:rPr>
      </w:pPr>
      <w:r w:rsidRPr="0066441E">
        <w:rPr>
          <w:rFonts w:ascii="Times New Roman" w:hAnsi="Times New Roman"/>
        </w:rPr>
        <w:tab/>
        <w:t xml:space="preserve">That starting point is wrong because it avoids the importance to the reasoning in </w:t>
      </w:r>
      <w:r w:rsidRPr="0066441E">
        <w:rPr>
          <w:rFonts w:ascii="Times New Roman" w:hAnsi="Times New Roman"/>
          <w:i/>
          <w:iCs/>
        </w:rPr>
        <w:t>Stradford</w:t>
      </w:r>
      <w:r w:rsidRPr="0066441E">
        <w:rPr>
          <w:rFonts w:ascii="Times New Roman" w:hAnsi="Times New Roman"/>
        </w:rPr>
        <w:t xml:space="preserve"> of the foundation of policy and principle underlying the doctrine of judicial immunity from civil suit for an exercise of judicial power, being the institutional imperative of the maintenance of the rule of law which judicial immunity serves. The consequence is that the defendant's starting point assumes away or circumvents consideration of the difference between judicial power (on the one hand) and legislative and executive power (on the other hand), contrary to the separation of powers embodied in </w:t>
      </w:r>
      <w:proofErr w:type="spellStart"/>
      <w:r w:rsidRPr="0066441E">
        <w:rPr>
          <w:rFonts w:ascii="Times New Roman" w:hAnsi="Times New Roman"/>
        </w:rPr>
        <w:t>Chs</w:t>
      </w:r>
      <w:proofErr w:type="spellEnd"/>
      <w:r w:rsidRPr="0066441E">
        <w:rPr>
          <w:rFonts w:ascii="Times New Roman" w:hAnsi="Times New Roman"/>
        </w:rPr>
        <w:t xml:space="preserve"> I, II and III of the </w:t>
      </w:r>
      <w:r w:rsidRPr="0066441E">
        <w:rPr>
          <w:rFonts w:ascii="Times New Roman" w:hAnsi="Times New Roman"/>
          <w:i/>
          <w:iCs/>
        </w:rPr>
        <w:t>Constitution</w:t>
      </w:r>
      <w:r w:rsidRPr="0066441E">
        <w:rPr>
          <w:rFonts w:ascii="Times New Roman" w:hAnsi="Times New Roman"/>
        </w:rPr>
        <w:t xml:space="preserve">, within which the common law of Australia operates. From the constitutional separation of powers it follows that the proper starting point for the required analysis is the nature of judicial power as the justification for the doctrine of judicial immunity from civil suit (and the derivative immunity of those under a duty to execute judicial orders) compared to the nature of legislative and executive power as the justification for the recognition of the new defence for those Commonwealth officers under a duty to execute legislative commands (and the derivative defence of the Commonwealth for the acts of its officers). </w:t>
      </w:r>
    </w:p>
    <w:p w14:paraId="5BB66E47" w14:textId="77777777" w:rsidR="009F6ECF" w:rsidRPr="0066441E" w:rsidRDefault="009F6ECF" w:rsidP="0066441E">
      <w:pPr>
        <w:pStyle w:val="FixListStyle"/>
        <w:spacing w:after="260" w:line="280" w:lineRule="exact"/>
        <w:ind w:right="0"/>
        <w:jc w:val="both"/>
        <w:rPr>
          <w:rFonts w:ascii="Times New Roman" w:hAnsi="Times New Roman"/>
        </w:rPr>
      </w:pPr>
      <w:r w:rsidRPr="0066441E">
        <w:rPr>
          <w:rFonts w:ascii="Times New Roman" w:hAnsi="Times New Roman"/>
        </w:rPr>
        <w:tab/>
        <w:t xml:space="preserve">As explained in </w:t>
      </w:r>
      <w:r w:rsidRPr="0066441E">
        <w:rPr>
          <w:rFonts w:ascii="Times New Roman" w:hAnsi="Times New Roman"/>
          <w:i/>
          <w:iCs/>
        </w:rPr>
        <w:t>New South Wales v Kable</w:t>
      </w:r>
      <w:r w:rsidRPr="0066441E">
        <w:rPr>
          <w:rFonts w:ascii="Times New Roman" w:hAnsi="Times New Roman"/>
        </w:rPr>
        <w:t xml:space="preserve"> ("</w:t>
      </w:r>
      <w:r w:rsidRPr="0066441E">
        <w:rPr>
          <w:rFonts w:ascii="Times New Roman" w:hAnsi="Times New Roman"/>
          <w:i/>
          <w:iCs/>
        </w:rPr>
        <w:t>Kable (No 2)</w:t>
      </w:r>
      <w:r w:rsidRPr="0066441E">
        <w:rPr>
          <w:rFonts w:ascii="Times New Roman" w:hAnsi="Times New Roman"/>
        </w:rPr>
        <w:t>"),</w:t>
      </w:r>
      <w:r w:rsidRPr="0066441E">
        <w:rPr>
          <w:rStyle w:val="FootnoteReference"/>
          <w:rFonts w:ascii="Times New Roman" w:hAnsi="Times New Roman"/>
          <w:sz w:val="24"/>
        </w:rPr>
        <w:footnoteReference w:id="265"/>
      </w:r>
      <w:r w:rsidRPr="0066441E">
        <w:rPr>
          <w:rFonts w:ascii="Times New Roman" w:hAnsi="Times New Roman"/>
        </w:rPr>
        <w:t xml:space="preserve"> the "roots of the doctrine [of judicial immunity] ... lie in the nature of judicial power".</w:t>
      </w:r>
      <w:r w:rsidRPr="0066441E">
        <w:rPr>
          <w:rStyle w:val="FootnoteReference"/>
          <w:rFonts w:ascii="Times New Roman" w:hAnsi="Times New Roman"/>
          <w:sz w:val="24"/>
        </w:rPr>
        <w:footnoteReference w:id="266"/>
      </w:r>
      <w:r w:rsidRPr="0066441E">
        <w:rPr>
          <w:rFonts w:ascii="Times New Roman" w:hAnsi="Times New Roman"/>
        </w:rPr>
        <w:t xml:space="preserve"> Further, the doctrine of judicial immunity reflects "the distinction between the exercise of judicial power (by the </w:t>
      </w:r>
      <w:r w:rsidRPr="0066441E">
        <w:rPr>
          <w:rFonts w:ascii="Times New Roman" w:hAnsi="Times New Roman"/>
          <w:i/>
          <w:iCs/>
        </w:rPr>
        <w:t>final</w:t>
      </w:r>
      <w:r w:rsidRPr="0066441E">
        <w:rPr>
          <w:rFonts w:ascii="Times New Roman" w:hAnsi="Times New Roman"/>
        </w:rPr>
        <w:t xml:space="preserve"> quelling of controversies according to law) and the exercise of executive power (</w:t>
      </w:r>
      <w:r w:rsidRPr="0066441E">
        <w:rPr>
          <w:rFonts w:ascii="Times New Roman" w:hAnsi="Times New Roman"/>
          <w:i/>
          <w:iCs/>
        </w:rPr>
        <w:t>subject</w:t>
      </w:r>
      <w:r w:rsidRPr="0066441E">
        <w:rPr>
          <w:rFonts w:ascii="Times New Roman" w:hAnsi="Times New Roman"/>
        </w:rPr>
        <w:t xml:space="preserve"> to law)",</w:t>
      </w:r>
      <w:r w:rsidRPr="0066441E">
        <w:rPr>
          <w:rStyle w:val="FootnoteReference"/>
          <w:rFonts w:ascii="Times New Roman" w:hAnsi="Times New Roman"/>
          <w:sz w:val="24"/>
        </w:rPr>
        <w:footnoteReference w:id="267"/>
      </w:r>
      <w:r w:rsidRPr="0066441E">
        <w:rPr>
          <w:rFonts w:ascii="Times New Roman" w:hAnsi="Times New Roman"/>
        </w:rPr>
        <w:t xml:space="preserve"> to which may be added the exercise of legislative power (subject to the </w:t>
      </w:r>
      <w:r w:rsidRPr="0066441E">
        <w:rPr>
          <w:rFonts w:ascii="Times New Roman" w:hAnsi="Times New Roman"/>
          <w:i/>
          <w:iCs/>
        </w:rPr>
        <w:t>Constitution</w:t>
      </w:r>
      <w:r w:rsidRPr="0066441E">
        <w:rPr>
          <w:rFonts w:ascii="Times New Roman" w:hAnsi="Times New Roman"/>
        </w:rPr>
        <w:t>, the meaning and operation of which is "emphatically the province and duty of the judicial department to say"</w:t>
      </w:r>
      <w:r w:rsidRPr="0066441E">
        <w:rPr>
          <w:rStyle w:val="FootnoteReference"/>
          <w:rFonts w:ascii="Times New Roman" w:hAnsi="Times New Roman"/>
          <w:sz w:val="24"/>
        </w:rPr>
        <w:footnoteReference w:id="268"/>
      </w:r>
      <w:r w:rsidRPr="0066441E">
        <w:rPr>
          <w:rFonts w:ascii="Times New Roman" w:hAnsi="Times New Roman"/>
        </w:rPr>
        <w:t>).</w:t>
      </w:r>
    </w:p>
    <w:p w14:paraId="00B17BBA" w14:textId="77777777" w:rsidR="009F6ECF" w:rsidRPr="0066441E" w:rsidRDefault="009F6ECF" w:rsidP="0066441E">
      <w:pPr>
        <w:pStyle w:val="FixListStyle"/>
        <w:spacing w:after="260" w:line="280" w:lineRule="exact"/>
        <w:ind w:right="0"/>
        <w:jc w:val="both"/>
        <w:rPr>
          <w:rFonts w:ascii="Times New Roman" w:hAnsi="Times New Roman"/>
        </w:rPr>
      </w:pPr>
      <w:r w:rsidRPr="0066441E">
        <w:rPr>
          <w:rFonts w:ascii="Times New Roman" w:hAnsi="Times New Roman"/>
        </w:rPr>
        <w:lastRenderedPageBreak/>
        <w:tab/>
        <w:t>Within the framework of "the function of the judicial branch of government ... to declare and enforce the law",</w:t>
      </w:r>
      <w:r w:rsidRPr="0066441E">
        <w:rPr>
          <w:rStyle w:val="FootnoteReference"/>
          <w:rFonts w:ascii="Times New Roman" w:hAnsi="Times New Roman"/>
          <w:sz w:val="24"/>
        </w:rPr>
        <w:footnoteReference w:id="269"/>
      </w:r>
      <w:r w:rsidRPr="0066441E">
        <w:rPr>
          <w:rFonts w:ascii="Times New Roman" w:hAnsi="Times New Roman"/>
        </w:rPr>
        <w:t xml:space="preserve"> the effect of the performance of the judicial function by deciding a case and making orders is necessarily retrospective. A judicial declaration or holding in respect of the meaning and operation of a statute is a declaration or holding of the meaning and operation of a statute since its enactment in the form the subject of the declaration or holding. In contrast to the nature of an exercise of legislative power, which may be prospective only, no such judicial declaration or holding is capable of mere prospective operation, preserving the past from the effects of the declaration or holding.</w:t>
      </w:r>
      <w:r w:rsidRPr="0066441E">
        <w:rPr>
          <w:rStyle w:val="FootnoteReference"/>
          <w:rFonts w:ascii="Times New Roman" w:hAnsi="Times New Roman"/>
          <w:sz w:val="24"/>
        </w:rPr>
        <w:footnoteReference w:id="270"/>
      </w:r>
      <w:r w:rsidRPr="0066441E">
        <w:rPr>
          <w:rFonts w:ascii="Times New Roman" w:hAnsi="Times New Roman"/>
        </w:rPr>
        <w:t xml:space="preserve"> Within this framework, in which a judicial declaration or holding is constitutive of past legality, judicial immunity from civil suit protects the fact and the appearance of the independence and impartiality of each member of the judicial branch (as reflected in the judicial oath or affirmation that each judge must take which specifically requires judges to exercise judicial power "without fear or favour, affection or ill-will"</w:t>
      </w:r>
      <w:r w:rsidRPr="0066441E">
        <w:rPr>
          <w:rStyle w:val="FootnoteReference"/>
          <w:rFonts w:ascii="Times New Roman" w:hAnsi="Times New Roman"/>
          <w:sz w:val="24"/>
        </w:rPr>
        <w:footnoteReference w:id="271"/>
      </w:r>
      <w:r w:rsidRPr="0066441E">
        <w:rPr>
          <w:rFonts w:ascii="Times New Roman" w:hAnsi="Times New Roman"/>
        </w:rPr>
        <w:t xml:space="preserve">). It does so by removing the spectre of the judge being sued in separate proceedings for an exercise of judicial power. </w:t>
      </w:r>
    </w:p>
    <w:p w14:paraId="33E4518F" w14:textId="77777777" w:rsidR="009F6ECF" w:rsidRPr="0066441E" w:rsidRDefault="009F6ECF" w:rsidP="0066441E">
      <w:pPr>
        <w:pStyle w:val="FixListStyle"/>
        <w:spacing w:after="260" w:line="280" w:lineRule="exact"/>
        <w:ind w:right="0"/>
        <w:jc w:val="both"/>
        <w:rPr>
          <w:rFonts w:ascii="Times New Roman" w:hAnsi="Times New Roman"/>
        </w:rPr>
      </w:pPr>
      <w:r w:rsidRPr="0066441E">
        <w:rPr>
          <w:rFonts w:ascii="Times New Roman" w:hAnsi="Times New Roman"/>
        </w:rPr>
        <w:tab/>
        <w:t xml:space="preserve">Protecting the fact and the appearance of judicial independence and impartiality is essential to the functioning of the judicial branch and therefore to the maintenance of the rule of law which the </w:t>
      </w:r>
      <w:r w:rsidRPr="0066441E">
        <w:rPr>
          <w:rFonts w:ascii="Times New Roman" w:hAnsi="Times New Roman"/>
          <w:i/>
          <w:iCs/>
        </w:rPr>
        <w:t>Constitution</w:t>
      </w:r>
      <w:r w:rsidRPr="0066441E">
        <w:rPr>
          <w:rFonts w:ascii="Times New Roman" w:hAnsi="Times New Roman"/>
        </w:rPr>
        <w:t xml:space="preserve"> assumes as the fundamental underpinning of the compact it represents.</w:t>
      </w:r>
      <w:r w:rsidRPr="0066441E">
        <w:rPr>
          <w:rStyle w:val="FootnoteReference"/>
          <w:rFonts w:ascii="Times New Roman" w:hAnsi="Times New Roman"/>
          <w:sz w:val="24"/>
        </w:rPr>
        <w:footnoteReference w:id="272"/>
      </w:r>
      <w:r w:rsidRPr="0066441E">
        <w:rPr>
          <w:rFonts w:ascii="Times New Roman" w:hAnsi="Times New Roman"/>
        </w:rPr>
        <w:t xml:space="preserve"> The common law recognises a derivative immunity of those charged with the duty to execute judicial orders because that derivative immunity serves the same systemic imperative of maintaining the fact and the appearance of judicial independence and impartiality, and enables an exercise of judicial power to be vindicated. Without judicial immunity and its derivative immunity, it is readily apparent that the systemic imperative of the maintenance of the rule of law which the </w:t>
      </w:r>
      <w:r w:rsidRPr="0066441E">
        <w:rPr>
          <w:rFonts w:ascii="Times New Roman" w:hAnsi="Times New Roman"/>
          <w:i/>
          <w:iCs/>
        </w:rPr>
        <w:t>Constitution</w:t>
      </w:r>
      <w:r w:rsidRPr="0066441E">
        <w:rPr>
          <w:rFonts w:ascii="Times New Roman" w:hAnsi="Times New Roman"/>
        </w:rPr>
        <w:t xml:space="preserve"> assumes would be subject to significant, perhaps untenable, stress.</w:t>
      </w:r>
    </w:p>
    <w:p w14:paraId="59199D43" w14:textId="77777777" w:rsidR="009F6ECF" w:rsidRPr="0066441E" w:rsidRDefault="009F6ECF" w:rsidP="0066441E">
      <w:pPr>
        <w:pStyle w:val="FixListStyle"/>
        <w:spacing w:after="260" w:line="280" w:lineRule="exact"/>
        <w:ind w:right="0"/>
        <w:jc w:val="both"/>
        <w:rPr>
          <w:rFonts w:ascii="Times New Roman" w:hAnsi="Times New Roman"/>
        </w:rPr>
      </w:pPr>
      <w:r w:rsidRPr="0066441E">
        <w:rPr>
          <w:rFonts w:ascii="Times New Roman" w:hAnsi="Times New Roman"/>
        </w:rPr>
        <w:tab/>
        <w:t xml:space="preserve">Within the framework of Commonwealth legislative power (to enact laws of the Commonwealth, subject to limits imposed by the </w:t>
      </w:r>
      <w:r w:rsidRPr="0066441E">
        <w:rPr>
          <w:rFonts w:ascii="Times New Roman" w:hAnsi="Times New Roman"/>
          <w:i/>
          <w:iCs/>
        </w:rPr>
        <w:t>Constitution</w:t>
      </w:r>
      <w:r w:rsidRPr="0066441E">
        <w:rPr>
          <w:rStyle w:val="FootnoteReference"/>
          <w:rFonts w:ascii="Times New Roman" w:hAnsi="Times New Roman"/>
          <w:sz w:val="24"/>
        </w:rPr>
        <w:footnoteReference w:id="273"/>
      </w:r>
      <w:r w:rsidRPr="0066441E">
        <w:rPr>
          <w:rFonts w:ascii="Times New Roman" w:hAnsi="Times New Roman"/>
        </w:rPr>
        <w:t xml:space="preserve">) and Commonwealth executive power (to execute and maintain the </w:t>
      </w:r>
      <w:r w:rsidRPr="0066441E">
        <w:rPr>
          <w:rFonts w:ascii="Times New Roman" w:hAnsi="Times New Roman"/>
          <w:i/>
          <w:iCs/>
        </w:rPr>
        <w:t>Constitution</w:t>
      </w:r>
      <w:r w:rsidRPr="0066441E">
        <w:rPr>
          <w:rFonts w:ascii="Times New Roman" w:hAnsi="Times New Roman"/>
        </w:rPr>
        <w:t xml:space="preserve"> and the </w:t>
      </w:r>
      <w:r w:rsidRPr="0066441E">
        <w:rPr>
          <w:rFonts w:ascii="Times New Roman" w:hAnsi="Times New Roman"/>
        </w:rPr>
        <w:lastRenderedPageBreak/>
        <w:t>laws of the Commonwealth,</w:t>
      </w:r>
      <w:r w:rsidRPr="0066441E">
        <w:rPr>
          <w:rStyle w:val="FootnoteReference"/>
          <w:rFonts w:ascii="Times New Roman" w:hAnsi="Times New Roman"/>
          <w:sz w:val="24"/>
        </w:rPr>
        <w:footnoteReference w:id="274"/>
      </w:r>
      <w:r w:rsidRPr="0066441E">
        <w:rPr>
          <w:rFonts w:ascii="Times New Roman" w:hAnsi="Times New Roman"/>
        </w:rPr>
        <w:t xml:space="preserve"> subject to limits imposed by the </w:t>
      </w:r>
      <w:r w:rsidRPr="0066441E">
        <w:rPr>
          <w:rFonts w:ascii="Times New Roman" w:hAnsi="Times New Roman"/>
          <w:i/>
          <w:iCs/>
        </w:rPr>
        <w:t>Constitution</w:t>
      </w:r>
      <w:r w:rsidRPr="0066441E">
        <w:rPr>
          <w:rFonts w:ascii="Times New Roman" w:hAnsi="Times New Roman"/>
        </w:rPr>
        <w:t xml:space="preserve"> and those laws of the Commonwealth), there are no systemic imperatives for members of Parliament equivalent to the imperatives for the rule of law of protecting judicial independence and impartiality for members of the judicial branch. To the contrary, our system of government expects prospective Parliamentary members to exercise their functions having regard to party or other political allegiances and specific social and economic policies and objectives. This is reflected in the terms of the Parliamentary oath or affirmation under which members must swear or declare that they will be faithful and bear true allegiance to the monarch according to law.</w:t>
      </w:r>
      <w:r w:rsidRPr="0066441E">
        <w:rPr>
          <w:rStyle w:val="FootnoteReference"/>
          <w:rFonts w:ascii="Times New Roman" w:hAnsi="Times New Roman"/>
          <w:sz w:val="24"/>
        </w:rPr>
        <w:footnoteReference w:id="275"/>
      </w:r>
      <w:r w:rsidRPr="0066441E">
        <w:rPr>
          <w:rFonts w:ascii="Times New Roman" w:hAnsi="Times New Roman"/>
        </w:rPr>
        <w:t xml:space="preserve"> Further, members of the legislative branch of government do not exercise legislative power by voting on proposed enactments in Parliament. Rather, by s 1 of the </w:t>
      </w:r>
      <w:r w:rsidRPr="0066441E">
        <w:rPr>
          <w:rFonts w:ascii="Times New Roman" w:hAnsi="Times New Roman"/>
          <w:i/>
          <w:iCs/>
        </w:rPr>
        <w:t>Constitution</w:t>
      </w:r>
      <w:r w:rsidRPr="0066441E">
        <w:rPr>
          <w:rFonts w:ascii="Times New Roman" w:hAnsi="Times New Roman"/>
        </w:rPr>
        <w:t>, the legislative power of the Commonwealth is vested in the Federal Parliament, consisting of "the Queen [now King], a Senate, and a House of Representatives". Enacted laws are laws of Parliament. Moreover, subject to constitutional limits and the discipline of the ballot box, Parliament is free to enact laws both as and when it sees fit "for the peace, order, and good government of the Commonwealth".</w:t>
      </w:r>
      <w:r w:rsidRPr="0066441E">
        <w:rPr>
          <w:rStyle w:val="FootnoteReference"/>
          <w:rFonts w:ascii="Times New Roman" w:hAnsi="Times New Roman"/>
          <w:sz w:val="24"/>
        </w:rPr>
        <w:footnoteReference w:id="276"/>
      </w:r>
      <w:r w:rsidRPr="0066441E">
        <w:rPr>
          <w:rFonts w:ascii="Times New Roman" w:hAnsi="Times New Roman"/>
        </w:rPr>
        <w:t xml:space="preserve"> Members of Parliament are not bound to decide disputes which come before them but can, as and when they see fit, vote to change the law having regard to party or other political allegiances and to achieve certain social and economic policies and objectives as appears appropriate to them at the time. Accordingly, legislation may be amended or repealed from time to time depending on contemporary parliamentary assessments of its fitness for purpose. Within this regulatory framework, members of the Commonwealth Parliament are not exposed to liability in a civil suit for having merely voted in Parliament to enact legislation commanding officers of the Commonwealth to take action which, by subsequent judicial decision and order, may be declared to be beyond legislative competence in whole or in part – or to have a different meaning from that understood by the executive to be the case. </w:t>
      </w:r>
    </w:p>
    <w:p w14:paraId="46B2EF2A" w14:textId="77777777" w:rsidR="009F6ECF" w:rsidRPr="0066441E" w:rsidRDefault="009F6ECF" w:rsidP="0066441E">
      <w:pPr>
        <w:pStyle w:val="FixListStyle"/>
        <w:spacing w:after="260" w:line="280" w:lineRule="exact"/>
        <w:ind w:right="0"/>
        <w:jc w:val="both"/>
        <w:rPr>
          <w:rFonts w:ascii="Times New Roman" w:hAnsi="Times New Roman"/>
        </w:rPr>
      </w:pPr>
      <w:r w:rsidRPr="0066441E">
        <w:rPr>
          <w:rFonts w:ascii="Times New Roman" w:hAnsi="Times New Roman"/>
        </w:rPr>
        <w:tab/>
        <w:t>These different frameworks of judicial power (on the one hand) and legislative and executive power (on the other hand) expose that there is no institutional or other imperative for the Commonwealth (as the legal entity assumed in this case to be capable of suing and being sued for action of its officers taken under Commonwealth legislation</w:t>
      </w:r>
      <w:r w:rsidRPr="0066441E">
        <w:rPr>
          <w:rStyle w:val="FootnoteReference"/>
          <w:rFonts w:ascii="Times New Roman" w:hAnsi="Times New Roman"/>
          <w:sz w:val="24"/>
        </w:rPr>
        <w:footnoteReference w:id="277"/>
      </w:r>
      <w:r w:rsidRPr="0066441E">
        <w:rPr>
          <w:rFonts w:ascii="Times New Roman" w:hAnsi="Times New Roman"/>
        </w:rPr>
        <w:t xml:space="preserve">) to be protected from civil suit by the equivalent of judicial immunity. There being no justification for such a principal immunity on the part of the Commonwealth, there can be no derivative immunity </w:t>
      </w:r>
      <w:r w:rsidRPr="0066441E">
        <w:rPr>
          <w:rFonts w:ascii="Times New Roman" w:hAnsi="Times New Roman"/>
        </w:rPr>
        <w:lastRenderedPageBreak/>
        <w:t>for Commonwealth officers under a duty to execute the commands in Commonwealth legislation.</w:t>
      </w:r>
    </w:p>
    <w:p w14:paraId="598DFBEB" w14:textId="77777777" w:rsidR="009F6ECF" w:rsidRPr="0066441E" w:rsidRDefault="009F6ECF" w:rsidP="0066441E">
      <w:pPr>
        <w:pStyle w:val="FixListStyle"/>
        <w:spacing w:after="260" w:line="280" w:lineRule="exact"/>
        <w:ind w:right="0"/>
        <w:jc w:val="both"/>
        <w:rPr>
          <w:rFonts w:ascii="Times New Roman" w:hAnsi="Times New Roman"/>
        </w:rPr>
      </w:pPr>
      <w:r w:rsidRPr="0066441E">
        <w:rPr>
          <w:rFonts w:ascii="Times New Roman" w:hAnsi="Times New Roman"/>
        </w:rPr>
        <w:tab/>
        <w:t xml:space="preserve">Even from the wrong starting point of the position of the Commonwealth's officer, the only apparent justification for the new defence being supposedly analogous to the immunity of the relevant respondents recognised in </w:t>
      </w:r>
      <w:r w:rsidRPr="0066441E">
        <w:rPr>
          <w:rFonts w:ascii="Times New Roman" w:hAnsi="Times New Roman"/>
          <w:i/>
          <w:iCs/>
        </w:rPr>
        <w:t>Stradford</w:t>
      </w:r>
      <w:r w:rsidRPr="0066441E">
        <w:rPr>
          <w:rFonts w:ascii="Times New Roman" w:hAnsi="Times New Roman"/>
        </w:rPr>
        <w:t>, on analysis, collapses into a generalised notion of it being unfair or unjust for the Commonwealth's officer to be exposed to civil liability for having acted in accordance with the officer's apparent statutory duty.</w:t>
      </w:r>
      <w:r w:rsidRPr="0066441E">
        <w:rPr>
          <w:rStyle w:val="FootnoteReference"/>
          <w:rFonts w:ascii="Times New Roman" w:hAnsi="Times New Roman"/>
          <w:sz w:val="24"/>
        </w:rPr>
        <w:footnoteReference w:id="278"/>
      </w:r>
      <w:r w:rsidRPr="0066441E">
        <w:rPr>
          <w:rFonts w:ascii="Times New Roman" w:hAnsi="Times New Roman"/>
        </w:rPr>
        <w:t xml:space="preserve"> Again, the distinctive nature of judicial power is critical to understanding why a perception of unfairness to the Commonwealth's officer involves the wrong focus. The judicial power of the Commonwealth is to quell actual (not hypothetical or merely possible) controversies between parties. Without parties bringing a dispute before a court of proper jurisdiction, there can be no exercise of judicial power by judicial order. Parties choose whether to invoke a court's jurisdiction to quell a dispute, including the jurisdiction of any appellate court to review a judicial order. It follows that whether at all and, if so, the time when the meaning or constitutional validity of any legislative provision is subject to judicial decision and order depends on choices made by parties. Courts, unlike Parliaments, do not get to choose what matter to decide or when to decide that matter. If and when parties in dispute invoke a court's jurisdiction to decide the meaning and the validity of a law, a judicial decision and order will be made. Before any such judicial order is made it is the duty of the executive to execute the legislation based on its understanding of the terms of the law. </w:t>
      </w:r>
    </w:p>
    <w:p w14:paraId="37064229" w14:textId="77777777" w:rsidR="009F6ECF" w:rsidRPr="0066441E" w:rsidRDefault="009F6ECF" w:rsidP="0066441E">
      <w:pPr>
        <w:pStyle w:val="FixListStyle"/>
        <w:spacing w:after="260" w:line="280" w:lineRule="exact"/>
        <w:ind w:right="0"/>
        <w:jc w:val="both"/>
        <w:rPr>
          <w:rFonts w:ascii="Times New Roman" w:hAnsi="Times New Roman"/>
        </w:rPr>
      </w:pPr>
      <w:r w:rsidRPr="0066441E">
        <w:rPr>
          <w:rFonts w:ascii="Times New Roman" w:hAnsi="Times New Roman"/>
        </w:rPr>
        <w:tab/>
        <w:t>Within this context it is necessary to recognise that, while one fundamental aspect of the common law of Australia is the doctrine of precedent, so that (for example) decisions of this Court bind all other courts, an equally fundamental aspect of the common law of Australia is that this Court may re-open and overrule its own decisions, albeit that in doing so this Court applies "a strongly conservative cautionary principle, adopted in the interests of continuity and consistency in the law".</w:t>
      </w:r>
      <w:r w:rsidRPr="0066441E">
        <w:rPr>
          <w:rStyle w:val="FootnoteReference"/>
          <w:rFonts w:ascii="Times New Roman" w:hAnsi="Times New Roman"/>
          <w:sz w:val="24"/>
        </w:rPr>
        <w:footnoteReference w:id="279"/>
      </w:r>
      <w:r w:rsidRPr="0066441E">
        <w:rPr>
          <w:rFonts w:ascii="Times New Roman" w:hAnsi="Times New Roman"/>
        </w:rPr>
        <w:t xml:space="preserve"> Further, and subject to the doctrine of precedent, other courts may also re-open and overrule their own decisions. </w:t>
      </w:r>
    </w:p>
    <w:p w14:paraId="0624E5EE" w14:textId="77777777" w:rsidR="009F6ECF" w:rsidRPr="0066441E" w:rsidRDefault="009F6ECF" w:rsidP="0066441E">
      <w:pPr>
        <w:pStyle w:val="FixListStyle"/>
        <w:spacing w:after="260" w:line="280" w:lineRule="exact"/>
        <w:ind w:right="0"/>
        <w:jc w:val="both"/>
        <w:rPr>
          <w:rFonts w:ascii="Times New Roman" w:hAnsi="Times New Roman"/>
        </w:rPr>
      </w:pPr>
      <w:r w:rsidRPr="0066441E">
        <w:rPr>
          <w:rFonts w:ascii="Times New Roman" w:hAnsi="Times New Roman"/>
        </w:rPr>
        <w:tab/>
        <w:t xml:space="preserve">Take </w:t>
      </w:r>
      <w:r w:rsidRPr="0066441E">
        <w:rPr>
          <w:rFonts w:ascii="Times New Roman" w:hAnsi="Times New Roman"/>
          <w:i/>
          <w:iCs/>
        </w:rPr>
        <w:t>Stradford</w:t>
      </w:r>
      <w:r w:rsidRPr="0066441E">
        <w:rPr>
          <w:rFonts w:ascii="Times New Roman" w:hAnsi="Times New Roman"/>
        </w:rPr>
        <w:t xml:space="preserve"> as an example. In that case, the primary judge decided that the respondent judge, being a judge of an inferior court and not a superior court of record, was liable in a civil suit for false imprisonment for having made judicial </w:t>
      </w:r>
      <w:r w:rsidRPr="0066441E">
        <w:rPr>
          <w:rFonts w:ascii="Times New Roman" w:hAnsi="Times New Roman"/>
        </w:rPr>
        <w:lastRenderedPageBreak/>
        <w:t>orders which caused the applicant's imprisonment. It followed, on the primary judge's reasoning, that the persons who had executed those orders in accordance with their apparent duty to do so were also liable for damages for the commission of the tort of false imprisonment of the applicant.</w:t>
      </w:r>
      <w:r w:rsidRPr="0066441E">
        <w:rPr>
          <w:rStyle w:val="FootnoteReference"/>
          <w:rFonts w:ascii="Times New Roman" w:hAnsi="Times New Roman"/>
          <w:sz w:val="24"/>
        </w:rPr>
        <w:footnoteReference w:id="280"/>
      </w:r>
      <w:r w:rsidRPr="0066441E">
        <w:rPr>
          <w:rFonts w:ascii="Times New Roman" w:hAnsi="Times New Roman"/>
        </w:rPr>
        <w:t xml:space="preserve"> The primary judge's conclusion resulted from his Honour's "endeavour to distil the applicable principles from the authorities", which were described as not "entirely pellucid" and as "stretching back over 400 years".</w:t>
      </w:r>
      <w:r w:rsidRPr="0066441E">
        <w:rPr>
          <w:rStyle w:val="FootnoteReference"/>
          <w:rFonts w:ascii="Times New Roman" w:hAnsi="Times New Roman"/>
          <w:sz w:val="24"/>
        </w:rPr>
        <w:footnoteReference w:id="281"/>
      </w:r>
      <w:r w:rsidRPr="0066441E">
        <w:rPr>
          <w:rFonts w:ascii="Times New Roman" w:hAnsi="Times New Roman"/>
        </w:rPr>
        <w:t xml:space="preserve"> Needless to say, the primary judge might well have reached the contrary conclusion without offending the doctrine of precedent. If the primary judge had done so, the applicant may or may not have appealed the primary judge's orders, just as the respondents to that action had to decide whether to appeal against those orders to the effect that they were liable for false imprisonment. If the primary judge had decided that the respondents were not liable and the applicant had not appealed, the ratio of the primary judge's decision would have represented the law and been subject to the doctrine of precedent as applicable to such a decision. In neither circumstance could the primary judge's decision and orders have operated to prevent a subsequent party from challenging the correctness of the ratio of the primary judge's decision. If another court overruled that ratio as incorrect, the primary judge's decision would have continued to bind the parties to that decision, but the undetermined claims of other applicants and plaintiffs would have to be decided according to the law as applicable at the date of the judicial decision of their claims. That different effect on decided and undecided claims is a necessary and fundamental characteristic of judicial decisions and orders made in the exercise of judicial power.</w:t>
      </w:r>
    </w:p>
    <w:p w14:paraId="5095966E" w14:textId="77777777" w:rsidR="009F6ECF" w:rsidRPr="0066441E" w:rsidRDefault="009F6ECF" w:rsidP="0066441E">
      <w:pPr>
        <w:pStyle w:val="FixListStyle"/>
        <w:spacing w:after="260" w:line="280" w:lineRule="exact"/>
        <w:ind w:right="0"/>
        <w:jc w:val="both"/>
        <w:rPr>
          <w:rFonts w:ascii="Times New Roman" w:hAnsi="Times New Roman"/>
        </w:rPr>
      </w:pPr>
      <w:r w:rsidRPr="0066441E">
        <w:rPr>
          <w:rFonts w:ascii="Times New Roman" w:hAnsi="Times New Roman"/>
        </w:rPr>
        <w:tab/>
        <w:t xml:space="preserve">The contrary decisions as to the limit of constitutional validity of ss 189(1) and 196(1) of the </w:t>
      </w:r>
      <w:r w:rsidRPr="0066441E">
        <w:rPr>
          <w:rFonts w:ascii="Times New Roman" w:hAnsi="Times New Roman"/>
          <w:i/>
          <w:iCs/>
        </w:rPr>
        <w:t>Migration Act</w:t>
      </w:r>
      <w:r w:rsidRPr="0066441E">
        <w:rPr>
          <w:rFonts w:ascii="Times New Roman" w:hAnsi="Times New Roman"/>
        </w:rPr>
        <w:t xml:space="preserve"> in </w:t>
      </w:r>
      <w:r w:rsidRPr="0066441E">
        <w:rPr>
          <w:rFonts w:ascii="Times New Roman" w:hAnsi="Times New Roman"/>
          <w:i/>
          <w:iCs/>
        </w:rPr>
        <w:t>Al-Kateb</w:t>
      </w:r>
      <w:r w:rsidRPr="0066441E">
        <w:rPr>
          <w:rFonts w:ascii="Times New Roman" w:hAnsi="Times New Roman"/>
        </w:rPr>
        <w:t xml:space="preserve"> and </w:t>
      </w:r>
      <w:r w:rsidRPr="0066441E">
        <w:rPr>
          <w:rFonts w:ascii="Times New Roman" w:hAnsi="Times New Roman"/>
          <w:i/>
          <w:iCs/>
        </w:rPr>
        <w:t>NZYQ</w:t>
      </w:r>
      <w:r w:rsidRPr="0066441E">
        <w:rPr>
          <w:rFonts w:ascii="Times New Roman" w:hAnsi="Times New Roman"/>
        </w:rPr>
        <w:t xml:space="preserve">, as exercises of judicial power, each had the same characteristics. Had the issue in </w:t>
      </w:r>
      <w:r w:rsidRPr="0066441E">
        <w:rPr>
          <w:rFonts w:ascii="Times New Roman" w:hAnsi="Times New Roman"/>
          <w:i/>
          <w:iCs/>
        </w:rPr>
        <w:t>Al-Kateb</w:t>
      </w:r>
      <w:r w:rsidRPr="0066441E">
        <w:rPr>
          <w:rFonts w:ascii="Times New Roman" w:hAnsi="Times New Roman"/>
        </w:rPr>
        <w:t xml:space="preserve"> not been litigated, the executive would have been bound to execute ss 189(1) and 196(1) of the </w:t>
      </w:r>
      <w:r w:rsidRPr="0066441E">
        <w:rPr>
          <w:rFonts w:ascii="Times New Roman" w:hAnsi="Times New Roman"/>
          <w:i/>
          <w:iCs/>
        </w:rPr>
        <w:t>Migration Act</w:t>
      </w:r>
      <w:r w:rsidRPr="0066441E">
        <w:rPr>
          <w:rFonts w:ascii="Times New Roman" w:hAnsi="Times New Roman"/>
        </w:rPr>
        <w:t xml:space="preserve"> as the executive understood the law to be. Only if and when the jurisdiction of this Court was properly invoked to decide the meaning and the limit of the constitutional validity of those provisions would the executive be bound to execute those provisions consistently with the meaning and validity of the provisions as declared or held by this Court. Had the Court in </w:t>
      </w:r>
      <w:r w:rsidRPr="0066441E">
        <w:rPr>
          <w:rFonts w:ascii="Times New Roman" w:hAnsi="Times New Roman"/>
          <w:i/>
          <w:iCs/>
        </w:rPr>
        <w:t>Al-Kateb</w:t>
      </w:r>
      <w:r w:rsidRPr="0066441E">
        <w:rPr>
          <w:rFonts w:ascii="Times New Roman" w:hAnsi="Times New Roman"/>
        </w:rPr>
        <w:t xml:space="preserve"> reached the same conclusion as to the limit of constitutional validity expressed in </w:t>
      </w:r>
      <w:r w:rsidRPr="0066441E">
        <w:rPr>
          <w:rFonts w:ascii="Times New Roman" w:hAnsi="Times New Roman"/>
          <w:i/>
          <w:iCs/>
        </w:rPr>
        <w:t>NZYQ</w:t>
      </w:r>
      <w:r w:rsidRPr="0066441E">
        <w:rPr>
          <w:rFonts w:ascii="Times New Roman" w:hAnsi="Times New Roman"/>
        </w:rPr>
        <w:t xml:space="preserve">, persons unlawfully detained outside of those limits before that decision would have had a claim against the Commonwealth and its officers for false imprisonment (assuming any such claim had not been made and finally determined at an earlier time). As it was, the Court did not reach that conclusion in </w:t>
      </w:r>
      <w:r w:rsidRPr="0066441E">
        <w:rPr>
          <w:rFonts w:ascii="Times New Roman" w:hAnsi="Times New Roman"/>
          <w:i/>
          <w:iCs/>
        </w:rPr>
        <w:t>Al-Kateb</w:t>
      </w:r>
      <w:r w:rsidRPr="0066441E">
        <w:rPr>
          <w:rFonts w:ascii="Times New Roman" w:hAnsi="Times New Roman"/>
        </w:rPr>
        <w:t xml:space="preserve"> but has now done so in </w:t>
      </w:r>
      <w:r w:rsidRPr="0066441E">
        <w:rPr>
          <w:rFonts w:ascii="Times New Roman" w:hAnsi="Times New Roman"/>
          <w:i/>
          <w:iCs/>
        </w:rPr>
        <w:t>NZYQ</w:t>
      </w:r>
      <w:r w:rsidRPr="0066441E">
        <w:rPr>
          <w:rFonts w:ascii="Times New Roman" w:hAnsi="Times New Roman"/>
        </w:rPr>
        <w:t xml:space="preserve">, with the same effect that persons unlawfully detained outside of those limits before that decision have a claim against the Commonwealth and its officers for false imprisonment (assuming any such claim </w:t>
      </w:r>
      <w:r w:rsidRPr="0066441E">
        <w:rPr>
          <w:rFonts w:ascii="Times New Roman" w:hAnsi="Times New Roman"/>
        </w:rPr>
        <w:lastRenderedPageBreak/>
        <w:t xml:space="preserve">has not been made and finally determined at an earlier time). That </w:t>
      </w:r>
      <w:r w:rsidRPr="0066441E">
        <w:rPr>
          <w:rFonts w:ascii="Times New Roman" w:hAnsi="Times New Roman"/>
          <w:i/>
          <w:iCs/>
        </w:rPr>
        <w:t>Al-Kateb</w:t>
      </w:r>
      <w:r w:rsidRPr="0066441E">
        <w:rPr>
          <w:rFonts w:ascii="Times New Roman" w:hAnsi="Times New Roman"/>
        </w:rPr>
        <w:t xml:space="preserve"> was decided as it was never removed the fact that the ratio of that decision was open to subsequent challenge and that this Court had the capacity to re-open and overrule that decision. There can be no relevant unfairness to the Commonwealth or its officers arising from these inherent characteristics of judicial decisions and orders being an exercise of judicial power. </w:t>
      </w:r>
    </w:p>
    <w:p w14:paraId="15B8D1EE" w14:textId="77777777" w:rsidR="009F6ECF" w:rsidRPr="0066441E" w:rsidRDefault="009F6ECF" w:rsidP="0066441E">
      <w:pPr>
        <w:pStyle w:val="FixListStyle"/>
        <w:spacing w:after="260" w:line="280" w:lineRule="exact"/>
        <w:ind w:right="0"/>
        <w:jc w:val="both"/>
        <w:rPr>
          <w:rFonts w:ascii="Times New Roman" w:hAnsi="Times New Roman"/>
        </w:rPr>
      </w:pPr>
      <w:r w:rsidRPr="0066441E">
        <w:rPr>
          <w:rFonts w:ascii="Times New Roman" w:hAnsi="Times New Roman"/>
        </w:rPr>
        <w:tab/>
        <w:t xml:space="preserve">That </w:t>
      </w:r>
      <w:r w:rsidRPr="0066441E">
        <w:rPr>
          <w:rFonts w:ascii="Times New Roman" w:hAnsi="Times New Roman"/>
          <w:i/>
          <w:iCs/>
        </w:rPr>
        <w:t>Al-Kateb</w:t>
      </w:r>
      <w:r w:rsidRPr="0066441E">
        <w:rPr>
          <w:rFonts w:ascii="Times New Roman" w:hAnsi="Times New Roman"/>
        </w:rPr>
        <w:t xml:space="preserve"> was decided as it was also never altered the fact that the sole source of the duty of Commonwealth officers to execute the legislative provisions was those provisions as enacted as a law of the Commonwealth. The Court in </w:t>
      </w:r>
      <w:r w:rsidRPr="0066441E">
        <w:rPr>
          <w:rFonts w:ascii="Times New Roman" w:hAnsi="Times New Roman"/>
          <w:i/>
          <w:iCs/>
        </w:rPr>
        <w:t>Al</w:t>
      </w:r>
      <w:r w:rsidRPr="0066441E">
        <w:rPr>
          <w:rFonts w:ascii="Times New Roman" w:hAnsi="Times New Roman"/>
          <w:i/>
          <w:iCs/>
        </w:rPr>
        <w:noBreakHyphen/>
        <w:t>Kateb</w:t>
      </w:r>
      <w:r w:rsidRPr="0066441E">
        <w:rPr>
          <w:rFonts w:ascii="Times New Roman" w:hAnsi="Times New Roman"/>
        </w:rPr>
        <w:t xml:space="preserve"> decided the controversy between the appellant and the Commonwealth officers in that case as to the meaning and limit of the constitutional validity of those legislative provisions. The Commonwealth Parliament enacted those provisions and had the capacity to amend or repeal those provisions after </w:t>
      </w:r>
      <w:r w:rsidRPr="0066441E">
        <w:rPr>
          <w:rFonts w:ascii="Times New Roman" w:hAnsi="Times New Roman"/>
          <w:i/>
          <w:iCs/>
        </w:rPr>
        <w:t>Al-Kateb</w:t>
      </w:r>
      <w:r w:rsidRPr="0066441E">
        <w:rPr>
          <w:rFonts w:ascii="Times New Roman" w:hAnsi="Times New Roman"/>
        </w:rPr>
        <w:t xml:space="preserve">. Subject to legislative competence, it is not uncommon for Parliament to amend legislation if a court has interpreted it to have a particular meaning or to be invalid in a particular application to ensure the legislation operates as Parliament intends. </w:t>
      </w:r>
    </w:p>
    <w:p w14:paraId="6E5A5460" w14:textId="77777777" w:rsidR="009F6ECF" w:rsidRPr="0066441E" w:rsidRDefault="009F6ECF" w:rsidP="0066441E">
      <w:pPr>
        <w:pStyle w:val="HeadingL1"/>
        <w:spacing w:after="260" w:line="280" w:lineRule="exact"/>
        <w:ind w:right="0"/>
        <w:jc w:val="both"/>
        <w:rPr>
          <w:rFonts w:ascii="Times New Roman" w:hAnsi="Times New Roman"/>
        </w:rPr>
      </w:pPr>
      <w:r w:rsidRPr="0066441E">
        <w:rPr>
          <w:rFonts w:ascii="Times New Roman" w:hAnsi="Times New Roman"/>
        </w:rPr>
        <w:t>Recognising the new defence is contrary to constitutional and common law principle</w:t>
      </w:r>
    </w:p>
    <w:p w14:paraId="1A63DA91" w14:textId="77777777" w:rsidR="009F6ECF" w:rsidRPr="0066441E" w:rsidRDefault="009F6ECF" w:rsidP="0066441E">
      <w:pPr>
        <w:pStyle w:val="FixListStyle"/>
        <w:spacing w:after="260" w:line="280" w:lineRule="exact"/>
        <w:ind w:right="0"/>
        <w:jc w:val="both"/>
        <w:rPr>
          <w:rFonts w:ascii="Times New Roman" w:hAnsi="Times New Roman"/>
        </w:rPr>
      </w:pPr>
      <w:r w:rsidRPr="0066441E">
        <w:rPr>
          <w:rFonts w:ascii="Times New Roman" w:hAnsi="Times New Roman"/>
        </w:rPr>
        <w:tab/>
        <w:t>"Of necessity, the common law must conform with the [</w:t>
      </w:r>
      <w:r w:rsidRPr="0066441E">
        <w:rPr>
          <w:rFonts w:ascii="Times New Roman" w:hAnsi="Times New Roman"/>
          <w:i/>
        </w:rPr>
        <w:t>Constitution</w:t>
      </w:r>
      <w:r w:rsidRPr="0066441E">
        <w:rPr>
          <w:rFonts w:ascii="Times New Roman" w:hAnsi="Times New Roman"/>
        </w:rPr>
        <w:t>]. The development of the common law in Australia cannot run counter to constitutional imperatives. The common law and the requirements of the [</w:t>
      </w:r>
      <w:r w:rsidRPr="0066441E">
        <w:rPr>
          <w:rFonts w:ascii="Times New Roman" w:hAnsi="Times New Roman"/>
          <w:i/>
        </w:rPr>
        <w:t>Constitution</w:t>
      </w:r>
      <w:r w:rsidRPr="0066441E">
        <w:rPr>
          <w:rFonts w:ascii="Times New Roman" w:hAnsi="Times New Roman"/>
        </w:rPr>
        <w:t>] cannot be at odds."</w:t>
      </w:r>
      <w:r w:rsidRPr="0066441E">
        <w:rPr>
          <w:rStyle w:val="FootnoteReference"/>
          <w:rFonts w:ascii="Times New Roman" w:hAnsi="Times New Roman"/>
          <w:sz w:val="24"/>
        </w:rPr>
        <w:footnoteReference w:id="282"/>
      </w:r>
      <w:r w:rsidRPr="0066441E">
        <w:rPr>
          <w:rFonts w:ascii="Times New Roman" w:hAnsi="Times New Roman"/>
        </w:rPr>
        <w:t xml:space="preserve"> The conclusion that the new defence is inconsistent with constitutional imperatives and otherwise runs counter to common law principles in terms of both the substance of the law and its development does not require consideration of the dispute between the parties about the source of the Commonwealth's liability for the acts of its officers being direct or vicarious. That dispute does not matter to the issues of constitutional and common law principle in this case (albeit that, as noted, the defendant concedes that it would be vicariously liable for the acts of the officer of the Commonwealth in unlawfully detaining the plaintiff but for the new defence).</w:t>
      </w:r>
    </w:p>
    <w:p w14:paraId="03C4B18A" w14:textId="77777777" w:rsidR="009F6ECF" w:rsidRPr="0066441E" w:rsidRDefault="009F6ECF" w:rsidP="0066441E">
      <w:pPr>
        <w:pStyle w:val="HeadingL2"/>
        <w:spacing w:after="260" w:line="280" w:lineRule="exact"/>
        <w:ind w:right="0"/>
        <w:jc w:val="both"/>
        <w:rPr>
          <w:rFonts w:ascii="Times New Roman" w:hAnsi="Times New Roman"/>
        </w:rPr>
      </w:pPr>
      <w:r w:rsidRPr="0066441E">
        <w:rPr>
          <w:rFonts w:ascii="Times New Roman" w:hAnsi="Times New Roman"/>
        </w:rPr>
        <w:t>Constitutional principles</w:t>
      </w:r>
    </w:p>
    <w:p w14:paraId="2BDBABD6" w14:textId="77777777" w:rsidR="009F6ECF" w:rsidRPr="0066441E" w:rsidRDefault="009F6ECF" w:rsidP="0066441E">
      <w:pPr>
        <w:pStyle w:val="FixListStyle"/>
        <w:spacing w:after="260" w:line="280" w:lineRule="exact"/>
        <w:ind w:right="0"/>
        <w:jc w:val="both"/>
        <w:rPr>
          <w:rFonts w:ascii="Times New Roman" w:hAnsi="Times New Roman"/>
        </w:rPr>
      </w:pPr>
      <w:r w:rsidRPr="0066441E">
        <w:rPr>
          <w:rFonts w:ascii="Times New Roman" w:hAnsi="Times New Roman"/>
        </w:rPr>
        <w:tab/>
        <w:t xml:space="preserve">Within the Australian constitutional framework, the executive branch of government must comply with the law as in force from time to time and in </w:t>
      </w:r>
      <w:r w:rsidRPr="0066441E">
        <w:rPr>
          <w:rFonts w:ascii="Times New Roman" w:hAnsi="Times New Roman"/>
        </w:rPr>
        <w:lastRenderedPageBreak/>
        <w:t>accordance with the meaning and effect given to the law by the judicial branch.</w:t>
      </w:r>
      <w:r w:rsidRPr="0066441E">
        <w:rPr>
          <w:rStyle w:val="FootnoteReference"/>
          <w:rFonts w:ascii="Times New Roman" w:hAnsi="Times New Roman"/>
          <w:sz w:val="24"/>
        </w:rPr>
        <w:footnoteReference w:id="283"/>
      </w:r>
      <w:r w:rsidRPr="0066441E">
        <w:rPr>
          <w:rFonts w:ascii="Times New Roman" w:hAnsi="Times New Roman"/>
        </w:rPr>
        <w:t xml:space="preserve"> That a judicial decision about the meaning and effect of a law may be overruled by a later judicial decision and that the later judicial decision thereby declares the meaning and effect of the law as it has always been are fundamental characteristics of judicial power, a "hallmark" of which has "long been the making of binding declarations of rights and obligations arising from the operation of the law upon past events or conduct".</w:t>
      </w:r>
      <w:r w:rsidRPr="0066441E">
        <w:rPr>
          <w:rStyle w:val="FootnoteReference"/>
          <w:rFonts w:ascii="Times New Roman" w:hAnsi="Times New Roman"/>
          <w:sz w:val="24"/>
        </w:rPr>
        <w:footnoteReference w:id="284"/>
      </w:r>
      <w:r w:rsidRPr="0066441E">
        <w:rPr>
          <w:rFonts w:ascii="Times New Roman" w:hAnsi="Times New Roman"/>
        </w:rPr>
        <w:t xml:space="preserve"> Sir Owen Dixon described the applicable "general doctrine" as meaning that "when for want of, or excess of, legal power or authority or for non-fulfilment of the conditions required by law, any purported act in the law is invalid, then rights and liabilities are to be ascertained upon the same footing as if the act had not been attempted".</w:t>
      </w:r>
      <w:r w:rsidRPr="0066441E">
        <w:rPr>
          <w:rStyle w:val="FootnoteReference"/>
          <w:rFonts w:ascii="Times New Roman" w:hAnsi="Times New Roman"/>
          <w:sz w:val="24"/>
        </w:rPr>
        <w:footnoteReference w:id="285"/>
      </w:r>
      <w:r w:rsidRPr="0066441E">
        <w:rPr>
          <w:rFonts w:ascii="Times New Roman" w:hAnsi="Times New Roman"/>
        </w:rPr>
        <w:t xml:space="preserve"> The retrospective effect of judicial decisions, by reason of which past legality or illegality is constituted, is an important aspect of the checks and balances our </w:t>
      </w:r>
      <w:r w:rsidRPr="0066441E">
        <w:rPr>
          <w:rFonts w:ascii="Times New Roman" w:hAnsi="Times New Roman"/>
          <w:i/>
          <w:iCs/>
        </w:rPr>
        <w:t>Constitution</w:t>
      </w:r>
      <w:r w:rsidRPr="0066441E">
        <w:rPr>
          <w:rFonts w:ascii="Times New Roman" w:hAnsi="Times New Roman"/>
        </w:rPr>
        <w:t xml:space="preserve"> achieves between the different branches of government. </w:t>
      </w:r>
    </w:p>
    <w:p w14:paraId="255C0D21" w14:textId="77777777" w:rsidR="009F6ECF" w:rsidRPr="0066441E" w:rsidRDefault="009F6ECF" w:rsidP="0066441E">
      <w:pPr>
        <w:pStyle w:val="FixListStyle"/>
        <w:spacing w:after="260" w:line="280" w:lineRule="exact"/>
        <w:ind w:right="0"/>
        <w:jc w:val="both"/>
        <w:rPr>
          <w:rFonts w:ascii="Times New Roman" w:hAnsi="Times New Roman"/>
        </w:rPr>
      </w:pPr>
      <w:r w:rsidRPr="0066441E">
        <w:rPr>
          <w:rFonts w:ascii="Times New Roman" w:hAnsi="Times New Roman"/>
        </w:rPr>
        <w:tab/>
        <w:t>The most important way in which the constitutional separation of judicial power from legislative and executive power maintains the rule of law is by ensuring that "the life, liberty, and property of the subject [is not] in the hands of arbitrary judges, whose decisions [are] then regulated only by their own opinions, and not by any fundamental principles of law".</w:t>
      </w:r>
      <w:r w:rsidRPr="0066441E">
        <w:rPr>
          <w:rStyle w:val="FootnoteReference"/>
          <w:rFonts w:ascii="Times New Roman" w:hAnsi="Times New Roman"/>
          <w:sz w:val="24"/>
        </w:rPr>
        <w:footnoteReference w:id="286"/>
      </w:r>
      <w:r w:rsidRPr="0066441E">
        <w:rPr>
          <w:rFonts w:ascii="Times New Roman" w:hAnsi="Times New Roman"/>
        </w:rPr>
        <w:t xml:space="preserve"> The centrality to our form of government of protection of the liberty of the individual from unlawful interference is reflected in that fact that the "separation of the judicial function from the other functions of government advances two constitutional objectives: the guarantee of liberty and, to that end, the independence of Ch III judges".</w:t>
      </w:r>
      <w:r w:rsidRPr="0066441E">
        <w:rPr>
          <w:rStyle w:val="FootnoteReference"/>
          <w:rFonts w:ascii="Times New Roman" w:hAnsi="Times New Roman"/>
          <w:sz w:val="24"/>
        </w:rPr>
        <w:footnoteReference w:id="287"/>
      </w:r>
      <w:r w:rsidRPr="0066441E">
        <w:rPr>
          <w:rFonts w:ascii="Times New Roman" w:hAnsi="Times New Roman"/>
        </w:rPr>
        <w:t xml:space="preserve"> The tort of false imprisonment and the writ of habeas corpus are two powerful common law restraints on unlawful exercises of state power interfering with individual liberty, reflecting the principle that subject to "exceptional cases" the involuntary detention of a citizen in custody, being penal or punitive in character, "exists only as an incident of the exclusively judicial function of adjudging and punishing </w:t>
      </w:r>
      <w:r w:rsidRPr="0066441E">
        <w:rPr>
          <w:rFonts w:ascii="Times New Roman" w:hAnsi="Times New Roman"/>
        </w:rPr>
        <w:lastRenderedPageBreak/>
        <w:t>criminal guilt",</w:t>
      </w:r>
      <w:r w:rsidRPr="0066441E">
        <w:rPr>
          <w:rStyle w:val="FootnoteReference"/>
          <w:rFonts w:ascii="Times New Roman" w:hAnsi="Times New Roman"/>
          <w:sz w:val="24"/>
        </w:rPr>
        <w:footnoteReference w:id="288"/>
      </w:r>
      <w:r w:rsidRPr="0066441E">
        <w:rPr>
          <w:rFonts w:ascii="Times New Roman" w:hAnsi="Times New Roman"/>
        </w:rPr>
        <w:t xml:space="preserve"> the rationale for which is that "[e]very citizen is 'ruled by the law, and by the law alone' and 'may with us be punished for a breach of law, but ... can be punished for nothing else'".</w:t>
      </w:r>
      <w:r w:rsidRPr="0066441E">
        <w:rPr>
          <w:rStyle w:val="FootnoteReference"/>
          <w:rFonts w:ascii="Times New Roman" w:hAnsi="Times New Roman"/>
          <w:sz w:val="24"/>
        </w:rPr>
        <w:footnoteReference w:id="289"/>
      </w:r>
    </w:p>
    <w:p w14:paraId="57708367" w14:textId="77777777" w:rsidR="009F6ECF" w:rsidRPr="0066441E" w:rsidRDefault="009F6ECF" w:rsidP="0066441E">
      <w:pPr>
        <w:pStyle w:val="FixListStyle"/>
        <w:spacing w:after="260" w:line="280" w:lineRule="exact"/>
        <w:ind w:right="0"/>
        <w:jc w:val="both"/>
        <w:rPr>
          <w:rFonts w:ascii="Times New Roman" w:hAnsi="Times New Roman"/>
        </w:rPr>
      </w:pPr>
      <w:r w:rsidRPr="0066441E">
        <w:rPr>
          <w:rFonts w:ascii="Times New Roman" w:hAnsi="Times New Roman"/>
        </w:rPr>
        <w:tab/>
        <w:t xml:space="preserve">That the kind of civil wrong that would be subject to the new defence is the tort of false imprisonment, which together with the writ of habeas corpus protects individual liberty from unlawful interference, indicates that the change to the common law which recognition of the new defence would involve has a potential systemic significance far more extensive than the submissions for the defendant contemplates. </w:t>
      </w:r>
    </w:p>
    <w:p w14:paraId="126DED26" w14:textId="77777777" w:rsidR="009F6ECF" w:rsidRPr="0066441E" w:rsidRDefault="009F6ECF" w:rsidP="0066441E">
      <w:pPr>
        <w:pStyle w:val="FixListStyle"/>
        <w:spacing w:after="260" w:line="280" w:lineRule="exact"/>
        <w:ind w:right="0"/>
        <w:jc w:val="both"/>
        <w:rPr>
          <w:rFonts w:ascii="Times New Roman" w:hAnsi="Times New Roman"/>
        </w:rPr>
      </w:pPr>
      <w:r w:rsidRPr="0066441E">
        <w:rPr>
          <w:rFonts w:ascii="Times New Roman" w:hAnsi="Times New Roman"/>
        </w:rPr>
        <w:tab/>
        <w:t xml:space="preserve">This being so, it is not to be assumed that any apparent unfairness or injustice in the susceptibility of Commonwealth officers to liability in a civil suit for committing a civil wrong, in circumstances where the officers have in good faith executed a law in accordance with a judicial decision subsequently overruled, is other than our system of government operating as intended. That this paradigm represents the system operating as intended by our constitutional framework indicates that the new defence, if recognised by this Court, would involve a fundamental shift in the constitutional compact between the individual and the state inconsistent with the existing balance struck between the different branches of government. </w:t>
      </w:r>
    </w:p>
    <w:p w14:paraId="1E2F7F68" w14:textId="77777777" w:rsidR="009F6ECF" w:rsidRPr="0066441E" w:rsidRDefault="009F6ECF" w:rsidP="0066441E">
      <w:pPr>
        <w:pStyle w:val="FixListStyle"/>
        <w:spacing w:after="260" w:line="280" w:lineRule="exact"/>
        <w:ind w:right="0"/>
        <w:jc w:val="both"/>
        <w:rPr>
          <w:rFonts w:ascii="Times New Roman" w:hAnsi="Times New Roman"/>
        </w:rPr>
      </w:pPr>
      <w:r w:rsidRPr="0066441E">
        <w:rPr>
          <w:rFonts w:ascii="Times New Roman" w:hAnsi="Times New Roman"/>
        </w:rPr>
        <w:tab/>
        <w:t>An essential element of the tort of false imprisonment is the absence of lawful authority for the restraint on the liberty of the person. Once a restraint on liberty is proved it is for the defendant to prove lawful authority or other defence by way of justification.</w:t>
      </w:r>
      <w:r w:rsidRPr="0066441E">
        <w:rPr>
          <w:rStyle w:val="FootnoteReference"/>
          <w:rFonts w:ascii="Times New Roman" w:hAnsi="Times New Roman"/>
          <w:sz w:val="24"/>
        </w:rPr>
        <w:footnoteReference w:id="290"/>
      </w:r>
      <w:r w:rsidRPr="0066441E">
        <w:rPr>
          <w:rFonts w:ascii="Times New Roman" w:hAnsi="Times New Roman"/>
        </w:rPr>
        <w:t xml:space="preserve"> For the common law to recognise the new defence would mean that even if a defendant did not have lawful authority for the restraint, the new defence would protect the defendant from liability. By such means the protection of individual liberty from unlawful interference which the constitutional separation of judicial power from legislative and executive power secures would be diminished in respect of the liability of those very persons, officers of the Commonwealth, most likely to be purportedly empowered by statute to interfere with the liberty of the individual. </w:t>
      </w:r>
    </w:p>
    <w:p w14:paraId="1F377FE4" w14:textId="77777777" w:rsidR="009F6ECF" w:rsidRPr="0066441E" w:rsidRDefault="009F6ECF" w:rsidP="0066441E">
      <w:pPr>
        <w:pStyle w:val="FixListStyle"/>
        <w:spacing w:after="260" w:line="280" w:lineRule="exact"/>
        <w:ind w:right="0"/>
        <w:jc w:val="both"/>
        <w:rPr>
          <w:rFonts w:ascii="Times New Roman" w:hAnsi="Times New Roman"/>
        </w:rPr>
      </w:pPr>
      <w:r w:rsidRPr="0066441E">
        <w:rPr>
          <w:rFonts w:ascii="Times New Roman" w:hAnsi="Times New Roman"/>
        </w:rPr>
        <w:tab/>
        <w:t xml:space="preserve">Accordingly, for this Court to recognise a new defence of justification immunising officers of the Commonwealth, and thereby the Commonwealth itself, from liability for false imprisonment as proposed would represent a significant </w:t>
      </w:r>
      <w:r w:rsidRPr="0066441E">
        <w:rPr>
          <w:rFonts w:ascii="Times New Roman" w:hAnsi="Times New Roman"/>
        </w:rPr>
        <w:lastRenderedPageBreak/>
        <w:t xml:space="preserve">shift in the constitutional checks and balances on excesses of legislative and executive power in respect of a value – the protection of individual liberty from unlawful interference by state power – that lies at the heart of both the rationale for the separation of judicial power and the necessity of an independent and impartial judiciary. Such a development of the common law in Australia would run counter to the constitutional imperatives which the separation of judicial power in Ch III of the </w:t>
      </w:r>
      <w:r w:rsidRPr="0066441E">
        <w:rPr>
          <w:rFonts w:ascii="Times New Roman" w:hAnsi="Times New Roman"/>
          <w:i/>
          <w:iCs/>
        </w:rPr>
        <w:t>Constitution</w:t>
      </w:r>
      <w:r w:rsidRPr="0066441E">
        <w:rPr>
          <w:rFonts w:ascii="Times New Roman" w:hAnsi="Times New Roman"/>
        </w:rPr>
        <w:t xml:space="preserve"> was intended to safeguard.</w:t>
      </w:r>
    </w:p>
    <w:p w14:paraId="2F320FC4" w14:textId="77777777" w:rsidR="009F6ECF" w:rsidRPr="0066441E" w:rsidRDefault="009F6ECF" w:rsidP="0066441E">
      <w:pPr>
        <w:pStyle w:val="HeadingL2"/>
        <w:spacing w:after="260" w:line="280" w:lineRule="exact"/>
        <w:ind w:right="0"/>
        <w:jc w:val="both"/>
        <w:rPr>
          <w:rFonts w:ascii="Times New Roman" w:hAnsi="Times New Roman"/>
        </w:rPr>
      </w:pPr>
      <w:r w:rsidRPr="0066441E">
        <w:rPr>
          <w:rFonts w:ascii="Times New Roman" w:hAnsi="Times New Roman"/>
        </w:rPr>
        <w:t>Common law principles</w:t>
      </w:r>
    </w:p>
    <w:p w14:paraId="2E93A60D" w14:textId="77777777" w:rsidR="009F6ECF" w:rsidRPr="0066441E" w:rsidRDefault="009F6ECF" w:rsidP="0066441E">
      <w:pPr>
        <w:pStyle w:val="FixListStyle"/>
        <w:spacing w:after="260" w:line="280" w:lineRule="exact"/>
        <w:ind w:right="0"/>
        <w:jc w:val="both"/>
        <w:rPr>
          <w:rFonts w:ascii="Times New Roman" w:hAnsi="Times New Roman"/>
        </w:rPr>
      </w:pPr>
      <w:r w:rsidRPr="0066441E">
        <w:rPr>
          <w:rFonts w:ascii="Times New Roman" w:hAnsi="Times New Roman"/>
        </w:rPr>
        <w:tab/>
        <w:t xml:space="preserve">None of the existing defences of justification for the tort of false imprisonment include the restraint of another person based on a good faith but mistaken belief that the restraint was, for example, authorised or necessary. In the common law stream this country inherited from England, the only case approaching a good faith defence which the defendant could identify is </w:t>
      </w:r>
      <w:r w:rsidRPr="0066441E">
        <w:rPr>
          <w:rFonts w:ascii="Times New Roman" w:hAnsi="Times New Roman"/>
          <w:i/>
          <w:iCs/>
        </w:rPr>
        <w:t>Percy v Hall</w:t>
      </w:r>
      <w:r w:rsidRPr="0066441E">
        <w:rPr>
          <w:rFonts w:ascii="Times New Roman" w:hAnsi="Times New Roman"/>
        </w:rPr>
        <w:t>.</w:t>
      </w:r>
      <w:r w:rsidRPr="0066441E">
        <w:rPr>
          <w:rStyle w:val="FootnoteReference"/>
          <w:rFonts w:ascii="Times New Roman" w:hAnsi="Times New Roman"/>
          <w:sz w:val="24"/>
        </w:rPr>
        <w:footnoteReference w:id="291"/>
      </w:r>
      <w:r w:rsidRPr="0066441E">
        <w:rPr>
          <w:rFonts w:ascii="Times New Roman" w:hAnsi="Times New Roman"/>
        </w:rPr>
        <w:t xml:space="preserve"> That case contains dicta to the effect that police acting to arrest a person based on a reasonable belief that the person was breaching byelaws (a form of delegated legislation) would not be liable for false imprisonment if the byelaws were void for uncertainty. Being confined to police powers of arrest said to have been necessary "in the public interest",</w:t>
      </w:r>
      <w:r w:rsidRPr="0066441E">
        <w:rPr>
          <w:rStyle w:val="FootnoteReference"/>
          <w:rFonts w:ascii="Times New Roman" w:hAnsi="Times New Roman"/>
          <w:sz w:val="24"/>
        </w:rPr>
        <w:footnoteReference w:id="292"/>
      </w:r>
      <w:r w:rsidRPr="0066441E">
        <w:rPr>
          <w:rFonts w:ascii="Times New Roman" w:hAnsi="Times New Roman"/>
        </w:rPr>
        <w:t xml:space="preserve"> the case provides no analogy to the new defence the defendant proposes. As explained below, moreover, in the subsequent decision of </w:t>
      </w:r>
      <w:r w:rsidRPr="0066441E">
        <w:rPr>
          <w:rFonts w:ascii="Times New Roman" w:hAnsi="Times New Roman"/>
          <w:i/>
          <w:iCs/>
        </w:rPr>
        <w:t xml:space="preserve">R v Governor of </w:t>
      </w:r>
      <w:proofErr w:type="spellStart"/>
      <w:r w:rsidRPr="0066441E">
        <w:rPr>
          <w:rFonts w:ascii="Times New Roman" w:hAnsi="Times New Roman"/>
          <w:i/>
          <w:iCs/>
        </w:rPr>
        <w:t>Brockhill</w:t>
      </w:r>
      <w:proofErr w:type="spellEnd"/>
      <w:r w:rsidRPr="0066441E">
        <w:rPr>
          <w:rFonts w:ascii="Times New Roman" w:hAnsi="Times New Roman"/>
          <w:i/>
          <w:iCs/>
        </w:rPr>
        <w:t xml:space="preserve"> Prison, Ex </w:t>
      </w:r>
      <w:proofErr w:type="spellStart"/>
      <w:r w:rsidRPr="0066441E">
        <w:rPr>
          <w:rFonts w:ascii="Times New Roman" w:hAnsi="Times New Roman"/>
          <w:i/>
          <w:iCs/>
        </w:rPr>
        <w:t>parte</w:t>
      </w:r>
      <w:proofErr w:type="spellEnd"/>
      <w:r w:rsidRPr="0066441E">
        <w:rPr>
          <w:rFonts w:ascii="Times New Roman" w:hAnsi="Times New Roman"/>
          <w:i/>
          <w:iCs/>
        </w:rPr>
        <w:t xml:space="preserve"> Evans [No 2]</w:t>
      </w:r>
      <w:r w:rsidRPr="0066441E">
        <w:rPr>
          <w:rFonts w:ascii="Times New Roman" w:hAnsi="Times New Roman"/>
        </w:rPr>
        <w:t>,</w:t>
      </w:r>
      <w:r w:rsidRPr="0066441E">
        <w:rPr>
          <w:rStyle w:val="FootnoteReference"/>
          <w:rFonts w:ascii="Times New Roman" w:hAnsi="Times New Roman"/>
          <w:sz w:val="24"/>
        </w:rPr>
        <w:footnoteReference w:id="293"/>
      </w:r>
      <w:r w:rsidRPr="0066441E">
        <w:rPr>
          <w:rFonts w:ascii="Times New Roman" w:hAnsi="Times New Roman"/>
        </w:rPr>
        <w:t xml:space="preserve"> </w:t>
      </w:r>
      <w:r w:rsidRPr="0066441E">
        <w:rPr>
          <w:rFonts w:ascii="Times New Roman" w:hAnsi="Times New Roman"/>
          <w:i/>
          <w:iCs/>
        </w:rPr>
        <w:t>Percy v Hall</w:t>
      </w:r>
      <w:r w:rsidRPr="0066441E">
        <w:rPr>
          <w:rFonts w:ascii="Times New Roman" w:hAnsi="Times New Roman"/>
        </w:rPr>
        <w:t xml:space="preserve"> was not applied, Lord Hope of Craighead distinguishing the reasoning in </w:t>
      </w:r>
      <w:r w:rsidRPr="0066441E">
        <w:rPr>
          <w:rFonts w:ascii="Times New Roman" w:hAnsi="Times New Roman"/>
          <w:i/>
        </w:rPr>
        <w:t>Percy v Hall</w:t>
      </w:r>
      <w:r w:rsidRPr="0066441E">
        <w:rPr>
          <w:rFonts w:ascii="Times New Roman" w:hAnsi="Times New Roman"/>
        </w:rPr>
        <w:t xml:space="preserve"> as effectively confined to its facts.</w:t>
      </w:r>
      <w:r w:rsidRPr="0066441E">
        <w:rPr>
          <w:rStyle w:val="FootnoteReference"/>
          <w:rFonts w:ascii="Times New Roman" w:hAnsi="Times New Roman"/>
          <w:sz w:val="24"/>
        </w:rPr>
        <w:footnoteReference w:id="294"/>
      </w:r>
    </w:p>
    <w:p w14:paraId="7155FE03" w14:textId="77777777" w:rsidR="009F6ECF" w:rsidRPr="0066441E" w:rsidRDefault="009F6ECF" w:rsidP="0066441E">
      <w:pPr>
        <w:pStyle w:val="FixListStyle"/>
        <w:spacing w:after="260" w:line="280" w:lineRule="exact"/>
        <w:ind w:right="0"/>
        <w:jc w:val="both"/>
        <w:rPr>
          <w:rFonts w:ascii="Times New Roman" w:hAnsi="Times New Roman"/>
        </w:rPr>
      </w:pPr>
      <w:r w:rsidRPr="0066441E">
        <w:rPr>
          <w:rFonts w:ascii="Times New Roman" w:hAnsi="Times New Roman"/>
        </w:rPr>
        <w:tab/>
        <w:t>The upshot of this is that the new defence would be inconsistent with the common law's insistence that justification for acts that would otherwise constitute the tort of false imprisonment must be authorised in law (not merely purportedly authorised) or necessary in fact (not merely believed to be necessary) to protect the person restrained or another person from harm.</w:t>
      </w:r>
      <w:r w:rsidRPr="0066441E">
        <w:rPr>
          <w:rStyle w:val="FootnoteReference"/>
          <w:rFonts w:ascii="Times New Roman" w:hAnsi="Times New Roman"/>
          <w:sz w:val="24"/>
        </w:rPr>
        <w:footnoteReference w:id="295"/>
      </w:r>
      <w:r w:rsidRPr="0066441E">
        <w:rPr>
          <w:rFonts w:ascii="Times New Roman" w:hAnsi="Times New Roman"/>
        </w:rPr>
        <w:t xml:space="preserve"> If this Court recognised the new defence, it would introduce into a stable and coherent body of law concerning the tort of false imprisonment a source of incoherence and tension with the other classes of defence by way of justification. </w:t>
      </w:r>
    </w:p>
    <w:p w14:paraId="0AFEA943" w14:textId="77777777" w:rsidR="009F6ECF" w:rsidRPr="0066441E" w:rsidRDefault="009F6ECF" w:rsidP="0066441E">
      <w:pPr>
        <w:pStyle w:val="FixListStyle"/>
        <w:spacing w:after="260" w:line="280" w:lineRule="exact"/>
        <w:ind w:right="0"/>
        <w:jc w:val="both"/>
        <w:rPr>
          <w:rFonts w:ascii="Times New Roman" w:hAnsi="Times New Roman"/>
        </w:rPr>
      </w:pPr>
      <w:r w:rsidRPr="0066441E">
        <w:rPr>
          <w:rFonts w:ascii="Times New Roman" w:hAnsi="Times New Roman"/>
        </w:rPr>
        <w:lastRenderedPageBreak/>
        <w:tab/>
        <w:t xml:space="preserve">There is no common law analogy available to justify the new defence. Accordingly, if recognised, the defence would not represent an incremental development of the common law of Australia. It would be a novel and </w:t>
      </w:r>
      <w:r w:rsidRPr="0066441E">
        <w:rPr>
          <w:rFonts w:ascii="Times New Roman" w:hAnsi="Times New Roman"/>
          <w:i/>
          <w:iCs/>
        </w:rPr>
        <w:t>sui generis</w:t>
      </w:r>
      <w:r w:rsidRPr="0066441E">
        <w:rPr>
          <w:rFonts w:ascii="Times New Roman" w:hAnsi="Times New Roman"/>
        </w:rPr>
        <w:t xml:space="preserve"> defence giving an immunity to Commonwealth officers for committing the civil wrong of false imprisonment based on what is later established to be a mistaken understanding of the constitutional limits of a law. From that immunity the Commonwealth itself would derive immunity from civil suit in the circumstances described by the defendant. Those circumstances, which require both a decision of this Court to have been the source of the mistaken belief and a subsequent decision of this Court overruling the earlier decision to be the source of subsequent correction of the mistaken belief, would themselves introduce considerable incoherence and instability into the common law. While the defendant described the formulation of the new defence as reflecting the cautionary approach of a court deciding no more than is necessary to resolve the immediate dispute, the rationale for that cautionary approach is to protect the fact and the appearance of the coherence and continuity of the law by protecting legal doctrine from radical change, so that the law develops in response only to the actual exigencies of the immediate case. It would conflict with that cautionary approach for this Court to develop a new common law defence without considering its overall systemic effects. </w:t>
      </w:r>
    </w:p>
    <w:p w14:paraId="66B01FAB" w14:textId="77777777" w:rsidR="009F6ECF" w:rsidRPr="0066441E" w:rsidRDefault="009F6ECF" w:rsidP="0066441E">
      <w:pPr>
        <w:pStyle w:val="FixListStyle"/>
        <w:spacing w:after="260" w:line="280" w:lineRule="exact"/>
        <w:ind w:right="0"/>
        <w:jc w:val="both"/>
        <w:rPr>
          <w:rFonts w:ascii="Times New Roman" w:hAnsi="Times New Roman"/>
        </w:rPr>
      </w:pPr>
      <w:r w:rsidRPr="0066441E">
        <w:rPr>
          <w:rFonts w:ascii="Times New Roman" w:hAnsi="Times New Roman"/>
        </w:rPr>
        <w:tab/>
        <w:t>Unresolvable questions about the scope of the new defence are obvious. Why would such a defence, if recognised, be confined to false imprisonment and not extend at least to other, related, wrongs such as trespasses to the person? Why must it be a decision of this Court, as opposed to any court of relevant jurisdiction, that is the source of both the mistaken belief and its subsequent correction? How is the confining of the new defence to the operation of two decisions of this Court consistent with the common law doctrines of precedent and finality as they apply to different types of judicial decisions and orders?</w:t>
      </w:r>
    </w:p>
    <w:p w14:paraId="0DBBC308" w14:textId="77777777" w:rsidR="009F6ECF" w:rsidRPr="0066441E" w:rsidRDefault="009F6ECF" w:rsidP="0066441E">
      <w:pPr>
        <w:pStyle w:val="FixListStyle"/>
        <w:spacing w:after="260" w:line="280" w:lineRule="exact"/>
        <w:ind w:right="0"/>
        <w:jc w:val="both"/>
        <w:rPr>
          <w:rFonts w:ascii="Times New Roman" w:hAnsi="Times New Roman"/>
        </w:rPr>
      </w:pPr>
      <w:r w:rsidRPr="0066441E">
        <w:rPr>
          <w:rFonts w:ascii="Times New Roman" w:hAnsi="Times New Roman"/>
        </w:rPr>
        <w:tab/>
        <w:t xml:space="preserve">There is also apparent tension between the new defence and s 64 of the </w:t>
      </w:r>
      <w:r w:rsidRPr="0066441E">
        <w:rPr>
          <w:rFonts w:ascii="Times New Roman" w:hAnsi="Times New Roman"/>
          <w:i/>
          <w:iCs/>
        </w:rPr>
        <w:t>Judiciary Act 1903</w:t>
      </w:r>
      <w:r w:rsidRPr="0066441E">
        <w:rPr>
          <w:rFonts w:ascii="Times New Roman" w:hAnsi="Times New Roman"/>
        </w:rPr>
        <w:t xml:space="preserve"> (</w:t>
      </w:r>
      <w:proofErr w:type="spellStart"/>
      <w:r w:rsidRPr="0066441E">
        <w:rPr>
          <w:rFonts w:ascii="Times New Roman" w:hAnsi="Times New Roman"/>
        </w:rPr>
        <w:t>Cth</w:t>
      </w:r>
      <w:proofErr w:type="spellEnd"/>
      <w:r w:rsidRPr="0066441E">
        <w:rPr>
          <w:rFonts w:ascii="Times New Roman" w:hAnsi="Times New Roman"/>
        </w:rPr>
        <w:t xml:space="preserve">), which provides that in "any suit to which the Commonwealth or a State is a party, the rights of parties shall as nearly as possible be the same, and judgment may be given and costs awarded on either side, as in a suit between subject and subject". Because the new defence of the Commonwealth would be derived from the new defence of its officers, the rights of a party in a suit against the Commonwealth for false imprisonment, if the defence applied, would not be as nearly as possible the same as in a suit between subject and subject. </w:t>
      </w:r>
    </w:p>
    <w:p w14:paraId="7735D090" w14:textId="77777777" w:rsidR="009F6ECF" w:rsidRPr="0066441E" w:rsidRDefault="009F6ECF" w:rsidP="0066441E">
      <w:pPr>
        <w:pStyle w:val="HeadingL1"/>
        <w:spacing w:after="260" w:line="280" w:lineRule="exact"/>
        <w:ind w:right="0"/>
        <w:jc w:val="both"/>
        <w:rPr>
          <w:rFonts w:ascii="Times New Roman" w:hAnsi="Times New Roman"/>
        </w:rPr>
      </w:pPr>
      <w:r w:rsidRPr="0066441E">
        <w:rPr>
          <w:rFonts w:ascii="Times New Roman" w:hAnsi="Times New Roman"/>
        </w:rPr>
        <w:t>No relevant foreign precedent</w:t>
      </w:r>
    </w:p>
    <w:p w14:paraId="668F092A" w14:textId="77777777" w:rsidR="009F6ECF" w:rsidRPr="0066441E" w:rsidRDefault="009F6ECF" w:rsidP="0066441E">
      <w:pPr>
        <w:pStyle w:val="FixListStyle"/>
        <w:spacing w:after="260" w:line="280" w:lineRule="exact"/>
        <w:ind w:right="0"/>
        <w:jc w:val="both"/>
        <w:rPr>
          <w:rFonts w:ascii="Times New Roman" w:hAnsi="Times New Roman"/>
        </w:rPr>
      </w:pPr>
      <w:r w:rsidRPr="0066441E">
        <w:rPr>
          <w:rFonts w:ascii="Times New Roman" w:hAnsi="Times New Roman"/>
        </w:rPr>
        <w:tab/>
        <w:t xml:space="preserve">The common law of each of Canada and the United States is subject to different constitutional imperatives and different common law traditions. Therefore, decisions from those jurisdictions provide no assistance in determining if the common law of Australia should recognise the new defence. </w:t>
      </w:r>
    </w:p>
    <w:p w14:paraId="185F7CFB" w14:textId="77777777" w:rsidR="009F6ECF" w:rsidRPr="0066441E" w:rsidRDefault="009F6ECF" w:rsidP="0066441E">
      <w:pPr>
        <w:pStyle w:val="FixListStyle"/>
        <w:spacing w:after="260" w:line="280" w:lineRule="exact"/>
        <w:ind w:right="0"/>
        <w:jc w:val="both"/>
        <w:rPr>
          <w:rFonts w:ascii="Times New Roman" w:hAnsi="Times New Roman"/>
        </w:rPr>
      </w:pPr>
      <w:r w:rsidRPr="0066441E">
        <w:rPr>
          <w:rFonts w:ascii="Times New Roman" w:hAnsi="Times New Roman"/>
        </w:rPr>
        <w:lastRenderedPageBreak/>
        <w:tab/>
        <w:t xml:space="preserve">Contrary to the submissions for the defendant, English authority does not assist its case. It is not to the point that </w:t>
      </w:r>
      <w:r w:rsidRPr="0066441E">
        <w:rPr>
          <w:rFonts w:ascii="Times New Roman" w:hAnsi="Times New Roman"/>
          <w:i/>
          <w:iCs/>
        </w:rPr>
        <w:t xml:space="preserve">R v Governor of </w:t>
      </w:r>
      <w:proofErr w:type="spellStart"/>
      <w:r w:rsidRPr="0066441E">
        <w:rPr>
          <w:rFonts w:ascii="Times New Roman" w:hAnsi="Times New Roman"/>
          <w:i/>
          <w:iCs/>
        </w:rPr>
        <w:t>Brockhill</w:t>
      </w:r>
      <w:proofErr w:type="spellEnd"/>
      <w:r w:rsidRPr="0066441E">
        <w:rPr>
          <w:rFonts w:ascii="Times New Roman" w:hAnsi="Times New Roman"/>
          <w:i/>
          <w:iCs/>
        </w:rPr>
        <w:t xml:space="preserve"> Prison, Ex </w:t>
      </w:r>
      <w:proofErr w:type="spellStart"/>
      <w:r w:rsidRPr="0066441E">
        <w:rPr>
          <w:rFonts w:ascii="Times New Roman" w:hAnsi="Times New Roman"/>
          <w:i/>
          <w:iCs/>
        </w:rPr>
        <w:t>parte</w:t>
      </w:r>
      <w:proofErr w:type="spellEnd"/>
      <w:r w:rsidRPr="0066441E">
        <w:rPr>
          <w:rFonts w:ascii="Times New Roman" w:hAnsi="Times New Roman"/>
          <w:i/>
          <w:iCs/>
        </w:rPr>
        <w:t xml:space="preserve"> Evans [No 2]</w:t>
      </w:r>
      <w:r w:rsidRPr="0066441E">
        <w:rPr>
          <w:rStyle w:val="FootnoteReference"/>
          <w:rFonts w:ascii="Times New Roman" w:hAnsi="Times New Roman"/>
          <w:sz w:val="24"/>
        </w:rPr>
        <w:footnoteReference w:id="296"/>
      </w:r>
      <w:r w:rsidRPr="0066441E">
        <w:rPr>
          <w:rFonts w:ascii="Times New Roman" w:hAnsi="Times New Roman"/>
        </w:rPr>
        <w:t xml:space="preserve"> does not concern legislation held by a court to be valid in one application and subsequently declared to be invalid in that same application. The case concerned a reasonable but mistaken belief on the part of a member of the executive branch (a prison governor) about the operation of a law based on multiple court decisions which were subsequently held to be incorrect and overruled. As Lord Slynn of Hadley put it, the applicant was not lawfully detained for the additional period the governor had incorrectly calculated as part of the applicant's sentence, despite that calculation according with the governor's duty to detain the applicant as understood based on earlier court rulings. Rather, the applicant "was merely thought to be lawfully detained", which was "not a sufficient justification for the tort of false imprisonment even if based on rulings of the court". Further, "[a]</w:t>
      </w:r>
      <w:proofErr w:type="spellStart"/>
      <w:r w:rsidRPr="0066441E">
        <w:rPr>
          <w:rFonts w:ascii="Times New Roman" w:hAnsi="Times New Roman"/>
        </w:rPr>
        <w:t>lthough</w:t>
      </w:r>
      <w:proofErr w:type="spellEnd"/>
      <w:r w:rsidRPr="0066441E">
        <w:rPr>
          <w:rFonts w:ascii="Times New Roman" w:hAnsi="Times New Roman"/>
        </w:rPr>
        <w:t xml:space="preserve"> in form it is the governor, it is in reality the State which must compensate [the applicant] for [the applicant's] unlawful detention".</w:t>
      </w:r>
      <w:r w:rsidRPr="0066441E">
        <w:rPr>
          <w:rStyle w:val="FootnoteReference"/>
          <w:rFonts w:ascii="Times New Roman" w:hAnsi="Times New Roman"/>
          <w:sz w:val="24"/>
        </w:rPr>
        <w:footnoteReference w:id="297"/>
      </w:r>
      <w:r w:rsidRPr="0066441E">
        <w:rPr>
          <w:rFonts w:ascii="Times New Roman" w:hAnsi="Times New Roman"/>
        </w:rPr>
        <w:t xml:space="preserve"> Lord Browne-Wilkinson summarised the case as one resolved "on the grounds that false imprisonment is a tort of strict liability, the consequences of which cannot be escaped even by showing that the defendant acted in accordance with the view of the law which at the time was accepted by the courts as being correct".</w:t>
      </w:r>
      <w:r w:rsidRPr="0066441E">
        <w:rPr>
          <w:rStyle w:val="FootnoteReference"/>
          <w:rFonts w:ascii="Times New Roman" w:hAnsi="Times New Roman"/>
          <w:sz w:val="24"/>
        </w:rPr>
        <w:footnoteReference w:id="298"/>
      </w:r>
      <w:r w:rsidRPr="0066441E">
        <w:rPr>
          <w:rFonts w:ascii="Times New Roman" w:hAnsi="Times New Roman"/>
        </w:rPr>
        <w:t xml:space="preserve"> Lord Steyn referred with approval to the decision of the New South Wales Court of Appeal, </w:t>
      </w:r>
      <w:r w:rsidRPr="0066441E">
        <w:rPr>
          <w:rFonts w:ascii="Times New Roman" w:hAnsi="Times New Roman"/>
          <w:i/>
          <w:iCs/>
        </w:rPr>
        <w:t>Cowell v Corrective Services Commission of New South Wales</w:t>
      </w:r>
      <w:r w:rsidRPr="0066441E">
        <w:rPr>
          <w:rFonts w:ascii="Times New Roman" w:hAnsi="Times New Roman"/>
        </w:rPr>
        <w:t>,</w:t>
      </w:r>
      <w:r w:rsidRPr="0066441E">
        <w:rPr>
          <w:rStyle w:val="FootnoteReference"/>
          <w:rFonts w:ascii="Times New Roman" w:hAnsi="Times New Roman"/>
          <w:sz w:val="24"/>
        </w:rPr>
        <w:footnoteReference w:id="299"/>
      </w:r>
      <w:r w:rsidRPr="0066441E">
        <w:rPr>
          <w:rFonts w:ascii="Times New Roman" w:hAnsi="Times New Roman"/>
        </w:rPr>
        <w:t xml:space="preserve"> to the effect that a prison authority "could be liable for unlawful imprisonment in spite of the fact that those responsible for the detention acted in good faith in accordance with the law as they understood it".</w:t>
      </w:r>
      <w:r w:rsidRPr="0066441E">
        <w:rPr>
          <w:rStyle w:val="FootnoteReference"/>
          <w:rFonts w:ascii="Times New Roman" w:hAnsi="Times New Roman"/>
          <w:sz w:val="24"/>
        </w:rPr>
        <w:footnoteReference w:id="300"/>
      </w:r>
      <w:r w:rsidRPr="0066441E">
        <w:rPr>
          <w:rFonts w:ascii="Times New Roman" w:hAnsi="Times New Roman"/>
        </w:rPr>
        <w:t xml:space="preserve"> Lord Hope distinguished </w:t>
      </w:r>
      <w:r w:rsidRPr="0066441E">
        <w:rPr>
          <w:rFonts w:ascii="Times New Roman" w:hAnsi="Times New Roman"/>
          <w:i/>
          <w:iCs/>
        </w:rPr>
        <w:t>Percy v Hall</w:t>
      </w:r>
      <w:r w:rsidRPr="0066441E">
        <w:rPr>
          <w:rStyle w:val="FootnoteReference"/>
          <w:rFonts w:ascii="Times New Roman" w:hAnsi="Times New Roman"/>
          <w:sz w:val="24"/>
        </w:rPr>
        <w:footnoteReference w:id="301"/>
      </w:r>
      <w:r w:rsidRPr="0066441E">
        <w:rPr>
          <w:rFonts w:ascii="Times New Roman" w:hAnsi="Times New Roman"/>
        </w:rPr>
        <w:t xml:space="preserve"> by effectively confining the defence of justification held to be available in that case to police arresting and detaining a person in accordance with a byelaw subsequently held to be invalid,</w:t>
      </w:r>
      <w:r w:rsidRPr="0066441E">
        <w:rPr>
          <w:rStyle w:val="FootnoteReference"/>
          <w:rFonts w:ascii="Times New Roman" w:hAnsi="Times New Roman"/>
          <w:sz w:val="24"/>
        </w:rPr>
        <w:footnoteReference w:id="302"/>
      </w:r>
      <w:r w:rsidRPr="0066441E">
        <w:rPr>
          <w:rFonts w:ascii="Times New Roman" w:hAnsi="Times New Roman"/>
        </w:rPr>
        <w:t xml:space="preserve"> expressing the conclusion that the "defence of justification [for the tort of false imprisonment] must be based upon a rigorous application of the principle that the liberty of the subject can be interfered with only upon grounds which a court will uphold as lawful".</w:t>
      </w:r>
      <w:r w:rsidRPr="0066441E">
        <w:rPr>
          <w:rStyle w:val="FootnoteReference"/>
          <w:rFonts w:ascii="Times New Roman" w:hAnsi="Times New Roman"/>
          <w:sz w:val="24"/>
        </w:rPr>
        <w:footnoteReference w:id="303"/>
      </w:r>
      <w:r w:rsidRPr="0066441E">
        <w:rPr>
          <w:rFonts w:ascii="Times New Roman" w:hAnsi="Times New Roman"/>
        </w:rPr>
        <w:t xml:space="preserve"> Lord Hobhouse of </w:t>
      </w:r>
      <w:r w:rsidRPr="0066441E">
        <w:rPr>
          <w:rFonts w:ascii="Times New Roman" w:hAnsi="Times New Roman"/>
        </w:rPr>
        <w:lastRenderedPageBreak/>
        <w:t>Woodborough said "[</w:t>
      </w:r>
      <w:proofErr w:type="spellStart"/>
      <w:r w:rsidRPr="0066441E">
        <w:rPr>
          <w:rFonts w:ascii="Times New Roman" w:hAnsi="Times New Roman"/>
        </w:rPr>
        <w:t>i</w:t>
      </w:r>
      <w:proofErr w:type="spellEnd"/>
      <w:r w:rsidRPr="0066441E">
        <w:rPr>
          <w:rFonts w:ascii="Times New Roman" w:hAnsi="Times New Roman"/>
        </w:rPr>
        <w:t>]</w:t>
      </w:r>
      <w:proofErr w:type="spellStart"/>
      <w:r w:rsidRPr="0066441E">
        <w:rPr>
          <w:rFonts w:ascii="Times New Roman" w:hAnsi="Times New Roman"/>
        </w:rPr>
        <w:t>mprisonment</w:t>
      </w:r>
      <w:proofErr w:type="spellEnd"/>
      <w:r w:rsidRPr="0066441E">
        <w:rPr>
          <w:rFonts w:ascii="Times New Roman" w:hAnsi="Times New Roman"/>
        </w:rPr>
        <w:t xml:space="preserve"> involves the infringement of a legally protected right and therefore must be justified. If it cannot be lawfully justified, it is no defence for the defendant to say that he believed that he could justify it. In contrast with the tort of misfeasance in public office, bad faith is not an ingredient of the tort; it is not a defence for the defendant to say that he acted in good faith".</w:t>
      </w:r>
      <w:r w:rsidRPr="0066441E">
        <w:rPr>
          <w:rStyle w:val="FootnoteReference"/>
          <w:rFonts w:ascii="Times New Roman" w:hAnsi="Times New Roman"/>
          <w:sz w:val="24"/>
        </w:rPr>
        <w:footnoteReference w:id="304"/>
      </w:r>
    </w:p>
    <w:p w14:paraId="224A722A" w14:textId="77777777" w:rsidR="009F6ECF" w:rsidRPr="0066441E" w:rsidRDefault="009F6ECF" w:rsidP="0066441E">
      <w:pPr>
        <w:pStyle w:val="HeadingL1"/>
        <w:spacing w:after="260" w:line="280" w:lineRule="exact"/>
        <w:ind w:right="0"/>
        <w:jc w:val="both"/>
        <w:rPr>
          <w:rFonts w:ascii="Times New Roman" w:hAnsi="Times New Roman"/>
        </w:rPr>
      </w:pPr>
      <w:r w:rsidRPr="0066441E">
        <w:rPr>
          <w:rFonts w:ascii="Times New Roman" w:hAnsi="Times New Roman"/>
        </w:rPr>
        <w:t>Answer to the question of law</w:t>
      </w:r>
    </w:p>
    <w:p w14:paraId="1D0A8BF4" w14:textId="77777777" w:rsidR="009F6ECF" w:rsidRPr="00E339BF" w:rsidRDefault="009F6ECF" w:rsidP="00E339BF">
      <w:pPr>
        <w:pStyle w:val="FixListStyle"/>
        <w:spacing w:after="260" w:line="280" w:lineRule="exact"/>
        <w:ind w:right="0"/>
        <w:jc w:val="both"/>
        <w:rPr>
          <w:rFonts w:ascii="Times New Roman" w:hAnsi="Times New Roman"/>
        </w:rPr>
      </w:pPr>
      <w:r w:rsidRPr="0066441E">
        <w:rPr>
          <w:rFonts w:ascii="Times New Roman" w:hAnsi="Times New Roman"/>
        </w:rPr>
        <w:tab/>
        <w:t>For these reasons, the question of law stated by the parties for the opinion of the Court must be answered "No".</w:t>
      </w:r>
    </w:p>
    <w:p w14:paraId="26F41120" w14:textId="77777777" w:rsidR="009F6ECF" w:rsidRDefault="009F6ECF" w:rsidP="007225C9">
      <w:pPr>
        <w:pStyle w:val="FixListStyle"/>
        <w:spacing w:after="260" w:line="280" w:lineRule="exact"/>
        <w:ind w:right="0"/>
        <w:jc w:val="both"/>
        <w:rPr>
          <w:rFonts w:ascii="Times New Roman" w:hAnsi="Times New Roman"/>
        </w:rPr>
        <w:sectPr w:rsidR="009F6ECF" w:rsidSect="009F6ECF">
          <w:headerReference w:type="even" r:id="rId35"/>
          <w:headerReference w:type="default" r:id="rId36"/>
          <w:headerReference w:type="first" r:id="rId37"/>
          <w:pgSz w:w="11907" w:h="16839" w:code="9"/>
          <w:pgMar w:top="1440" w:right="1701" w:bottom="1984" w:left="1701" w:header="720" w:footer="720" w:gutter="0"/>
          <w:cols w:space="720"/>
          <w:docGrid w:linePitch="354"/>
        </w:sectPr>
      </w:pPr>
    </w:p>
    <w:p w14:paraId="35ED0A7C" w14:textId="1F52BDD3" w:rsidR="00465E07" w:rsidRPr="007225C9" w:rsidRDefault="00465E07" w:rsidP="009F6ECF">
      <w:pPr>
        <w:pStyle w:val="NormalBody"/>
      </w:pPr>
    </w:p>
    <w:sectPr w:rsidR="00465E07" w:rsidRPr="007225C9" w:rsidSect="009F6ECF">
      <w:headerReference w:type="default" r:id="rId38"/>
      <w:pgSz w:w="11907" w:h="16839" w:code="9"/>
      <w:pgMar w:top="1440" w:right="1701" w:bottom="1984" w:left="1701"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881D7" w14:textId="77777777" w:rsidR="007F5459" w:rsidRDefault="007F5459">
      <w:pPr>
        <w:spacing w:line="240" w:lineRule="auto"/>
      </w:pPr>
      <w:r>
        <w:separator/>
      </w:r>
    </w:p>
  </w:endnote>
  <w:endnote w:type="continuationSeparator" w:id="0">
    <w:p w14:paraId="072625F9" w14:textId="77777777" w:rsidR="007F5459" w:rsidRDefault="007F5459">
      <w:pPr>
        <w:spacing w:line="240" w:lineRule="auto"/>
      </w:pPr>
      <w:r>
        <w:continuationSeparator/>
      </w:r>
    </w:p>
  </w:endnote>
  <w:endnote w:type="continuationNotice" w:id="1">
    <w:p w14:paraId="49821877" w14:textId="77777777" w:rsidR="007F5459" w:rsidRDefault="007F54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panose1 w:val="020B0603020202030204"/>
    <w:charset w:val="00"/>
    <w:family w:val="swiss"/>
    <w:pitch w:val="variable"/>
    <w:sig w:usb0="8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9017" w14:textId="77777777" w:rsidR="00873AA1" w:rsidRDefault="00873A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FFE18" w14:textId="77777777" w:rsidR="00873AA1" w:rsidRDefault="00873A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68363" w14:textId="77777777" w:rsidR="00873AA1" w:rsidRDefault="00873A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B0CFF" w14:textId="77777777" w:rsidR="00873AA1" w:rsidRDefault="00873AA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276F7" w14:textId="77777777" w:rsidR="00873AA1" w:rsidRDefault="00873AA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D3504" w14:textId="77777777" w:rsidR="00873AA1" w:rsidRDefault="00873AA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D8C98" w14:textId="77777777" w:rsidR="009F6ECF" w:rsidRDefault="009F6EC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8D845" w14:textId="77777777" w:rsidR="009F6ECF" w:rsidRDefault="009F6EC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10575" w14:textId="77777777" w:rsidR="009F6ECF" w:rsidRDefault="009F6E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77947" w14:textId="77777777" w:rsidR="007F5459" w:rsidRPr="007225C9" w:rsidRDefault="007F5459" w:rsidP="007225C9">
      <w:pPr>
        <w:pStyle w:val="Footer"/>
        <w:spacing w:before="120" w:after="20"/>
        <w:ind w:right="0"/>
        <w:rPr>
          <w:rFonts w:ascii="Times New Roman" w:hAnsi="Times New Roman"/>
        </w:rPr>
      </w:pPr>
      <w:r>
        <w:continuationSeparator/>
      </w:r>
    </w:p>
  </w:footnote>
  <w:footnote w:type="continuationSeparator" w:id="0">
    <w:p w14:paraId="381B00EA" w14:textId="77777777" w:rsidR="007F5459" w:rsidRPr="007225C9" w:rsidRDefault="007F5459" w:rsidP="007225C9">
      <w:pPr>
        <w:pStyle w:val="Footer"/>
        <w:spacing w:before="120" w:after="20"/>
        <w:ind w:right="0"/>
        <w:rPr>
          <w:rFonts w:ascii="Times New Roman" w:hAnsi="Times New Roman"/>
        </w:rPr>
      </w:pPr>
      <w:r w:rsidRPr="007225C9">
        <w:rPr>
          <w:rFonts w:ascii="Times New Roman" w:hAnsi="Times New Roman"/>
        </w:rPr>
        <w:continuationSeparator/>
      </w:r>
    </w:p>
  </w:footnote>
  <w:footnote w:type="continuationNotice" w:id="1">
    <w:p w14:paraId="15DA691E" w14:textId="77777777" w:rsidR="007F5459" w:rsidRPr="009F6ECF" w:rsidRDefault="007F5459">
      <w:pPr>
        <w:jc w:val="right"/>
        <w:rPr>
          <w:rFonts w:ascii="Times New Roman" w:hAnsi="Times New Roman"/>
          <w:sz w:val="24"/>
        </w:rPr>
      </w:pPr>
    </w:p>
  </w:footnote>
  <w:footnote w:id="2">
    <w:p w14:paraId="5DFEE28A" w14:textId="3753CB70" w:rsidR="00C5503F" w:rsidRPr="007225C9" w:rsidRDefault="00C5503F"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Pr="007225C9">
        <w:rPr>
          <w:rFonts w:ascii="Times New Roman" w:hAnsi="Times New Roman"/>
          <w:sz w:val="24"/>
        </w:rPr>
        <w:tab/>
      </w:r>
      <w:r w:rsidRPr="007225C9">
        <w:rPr>
          <w:rFonts w:ascii="Times New Roman" w:hAnsi="Times New Roman"/>
          <w:i/>
          <w:iCs/>
          <w:sz w:val="24"/>
        </w:rPr>
        <w:t>Graham v Minister for Immigration and Border Protection</w:t>
      </w:r>
      <w:r w:rsidRPr="007225C9">
        <w:rPr>
          <w:rFonts w:ascii="Times New Roman" w:hAnsi="Times New Roman"/>
          <w:sz w:val="24"/>
        </w:rPr>
        <w:t xml:space="preserve"> (2017) 263 CLR 1 at 24 [39].</w:t>
      </w:r>
    </w:p>
  </w:footnote>
  <w:footnote w:id="3">
    <w:p w14:paraId="36A4C15A" w14:textId="6FCC1F98" w:rsidR="00EC0EC9" w:rsidRPr="007225C9" w:rsidRDefault="00EC0EC9"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00C908FC" w:rsidRPr="007225C9">
        <w:rPr>
          <w:rFonts w:ascii="Times New Roman" w:hAnsi="Times New Roman"/>
          <w:sz w:val="24"/>
        </w:rPr>
        <w:tab/>
      </w:r>
      <w:r w:rsidR="00121F6B" w:rsidRPr="007225C9">
        <w:rPr>
          <w:rFonts w:ascii="Times New Roman" w:hAnsi="Times New Roman"/>
          <w:i/>
          <w:iCs/>
          <w:sz w:val="24"/>
        </w:rPr>
        <w:t>Marbury v Madison</w:t>
      </w:r>
      <w:r w:rsidR="00121F6B" w:rsidRPr="007225C9">
        <w:rPr>
          <w:rFonts w:ascii="Times New Roman" w:hAnsi="Times New Roman"/>
          <w:sz w:val="24"/>
        </w:rPr>
        <w:t xml:space="preserve"> (1803) 5 US 137</w:t>
      </w:r>
      <w:r w:rsidR="002B11B1" w:rsidRPr="007225C9">
        <w:rPr>
          <w:rFonts w:ascii="Times New Roman" w:hAnsi="Times New Roman"/>
          <w:sz w:val="24"/>
        </w:rPr>
        <w:t xml:space="preserve"> at 177.</w:t>
      </w:r>
    </w:p>
  </w:footnote>
  <w:footnote w:id="4">
    <w:p w14:paraId="759B2BD9" w14:textId="08A9F9E0" w:rsidR="00562136" w:rsidRPr="007225C9" w:rsidRDefault="00562136"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00C908FC" w:rsidRPr="007225C9">
        <w:rPr>
          <w:rFonts w:ascii="Times New Roman" w:hAnsi="Times New Roman"/>
          <w:sz w:val="24"/>
        </w:rPr>
        <w:tab/>
      </w:r>
      <w:r w:rsidR="00C908FC" w:rsidRPr="007225C9">
        <w:rPr>
          <w:rFonts w:ascii="Times New Roman" w:hAnsi="Times New Roman"/>
          <w:i/>
          <w:iCs/>
          <w:sz w:val="24"/>
        </w:rPr>
        <w:t>Graham v Minister for Immigration and Border Protection</w:t>
      </w:r>
      <w:r w:rsidR="00C908FC" w:rsidRPr="007225C9">
        <w:rPr>
          <w:rFonts w:ascii="Times New Roman" w:hAnsi="Times New Roman"/>
          <w:sz w:val="24"/>
        </w:rPr>
        <w:t xml:space="preserve"> (2017) 263 CLR 1 at 24 [39].</w:t>
      </w:r>
    </w:p>
  </w:footnote>
  <w:footnote w:id="5">
    <w:p w14:paraId="5BF39939" w14:textId="5D729527" w:rsidR="00A93B64" w:rsidRPr="007225C9" w:rsidRDefault="00A93B64"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00ED64DA" w:rsidRPr="007225C9">
        <w:rPr>
          <w:rFonts w:ascii="Times New Roman" w:hAnsi="Times New Roman"/>
          <w:sz w:val="24"/>
        </w:rPr>
        <w:tab/>
      </w:r>
      <w:r w:rsidR="009E7F4F" w:rsidRPr="007225C9">
        <w:rPr>
          <w:rFonts w:ascii="Times New Roman" w:hAnsi="Times New Roman"/>
          <w:i/>
          <w:iCs/>
          <w:sz w:val="24"/>
        </w:rPr>
        <w:t xml:space="preserve">Enfield City </w:t>
      </w:r>
      <w:r w:rsidR="006D30BB" w:rsidRPr="007225C9">
        <w:rPr>
          <w:rFonts w:ascii="Times New Roman" w:hAnsi="Times New Roman"/>
          <w:i/>
          <w:iCs/>
          <w:sz w:val="24"/>
        </w:rPr>
        <w:t>Corporation v Development Assessment Commission</w:t>
      </w:r>
      <w:r w:rsidR="006D30BB" w:rsidRPr="007225C9">
        <w:rPr>
          <w:rFonts w:ascii="Times New Roman" w:hAnsi="Times New Roman"/>
          <w:sz w:val="24"/>
        </w:rPr>
        <w:t xml:space="preserve"> </w:t>
      </w:r>
      <w:r w:rsidR="00025956" w:rsidRPr="007225C9">
        <w:rPr>
          <w:rFonts w:ascii="Times New Roman" w:hAnsi="Times New Roman"/>
          <w:sz w:val="24"/>
        </w:rPr>
        <w:t>(</w:t>
      </w:r>
      <w:r w:rsidR="009E7F4F" w:rsidRPr="007225C9">
        <w:rPr>
          <w:rFonts w:ascii="Times New Roman" w:hAnsi="Times New Roman"/>
          <w:sz w:val="24"/>
        </w:rPr>
        <w:t>2000</w:t>
      </w:r>
      <w:r w:rsidR="00025956" w:rsidRPr="007225C9">
        <w:rPr>
          <w:rFonts w:ascii="Times New Roman" w:hAnsi="Times New Roman"/>
          <w:sz w:val="24"/>
        </w:rPr>
        <w:t xml:space="preserve">) 199 CLR 135 at </w:t>
      </w:r>
      <w:r w:rsidR="002E53D7" w:rsidRPr="007225C9">
        <w:rPr>
          <w:rFonts w:ascii="Times New Roman" w:hAnsi="Times New Roman"/>
          <w:sz w:val="24"/>
        </w:rPr>
        <w:t>157 [55]-[56]</w:t>
      </w:r>
      <w:r w:rsidR="0073186C" w:rsidRPr="007225C9">
        <w:rPr>
          <w:rFonts w:ascii="Times New Roman" w:hAnsi="Times New Roman"/>
          <w:sz w:val="24"/>
        </w:rPr>
        <w:t xml:space="preserve">; </w:t>
      </w:r>
      <w:r w:rsidR="00FE4835" w:rsidRPr="007225C9">
        <w:rPr>
          <w:rFonts w:ascii="Times New Roman" w:hAnsi="Times New Roman"/>
          <w:i/>
          <w:iCs/>
          <w:sz w:val="24"/>
        </w:rPr>
        <w:t xml:space="preserve">P &amp; C Cantarella Pty Ltd v Egg Marketing Board </w:t>
      </w:r>
      <w:r w:rsidR="0018193D" w:rsidRPr="007225C9">
        <w:rPr>
          <w:rFonts w:ascii="Times New Roman" w:hAnsi="Times New Roman"/>
          <w:i/>
          <w:iCs/>
          <w:sz w:val="24"/>
        </w:rPr>
        <w:t>(NSW)</w:t>
      </w:r>
      <w:r w:rsidR="0018193D" w:rsidRPr="007225C9">
        <w:rPr>
          <w:rFonts w:ascii="Times New Roman" w:hAnsi="Times New Roman"/>
          <w:sz w:val="24"/>
        </w:rPr>
        <w:t xml:space="preserve"> [1973] 2 NSWLR 366 at 383.</w:t>
      </w:r>
    </w:p>
  </w:footnote>
  <w:footnote w:id="6">
    <w:p w14:paraId="25FE81A6" w14:textId="7ECDBC18" w:rsidR="00425C2F" w:rsidRPr="007225C9" w:rsidRDefault="00425C2F"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00B93927" w:rsidRPr="007225C9">
        <w:rPr>
          <w:rFonts w:ascii="Times New Roman" w:hAnsi="Times New Roman"/>
          <w:sz w:val="24"/>
        </w:rPr>
        <w:tab/>
      </w:r>
      <w:r w:rsidR="00B93927" w:rsidRPr="007225C9">
        <w:rPr>
          <w:rFonts w:ascii="Times New Roman" w:hAnsi="Times New Roman"/>
          <w:i/>
          <w:iCs/>
          <w:sz w:val="24"/>
        </w:rPr>
        <w:t xml:space="preserve">Plaintiff S157/2002 v The Commonwealth </w:t>
      </w:r>
      <w:r w:rsidR="00B93927" w:rsidRPr="007225C9">
        <w:rPr>
          <w:rFonts w:ascii="Times New Roman" w:hAnsi="Times New Roman"/>
          <w:sz w:val="24"/>
        </w:rPr>
        <w:t>(2003) 211 CLR 476 at 514 [104].</w:t>
      </w:r>
    </w:p>
  </w:footnote>
  <w:footnote w:id="7">
    <w:p w14:paraId="294FBCF6" w14:textId="5B9E1AE3" w:rsidR="00BB379F" w:rsidRPr="007225C9" w:rsidRDefault="00BB379F"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Pr="007225C9">
        <w:rPr>
          <w:rFonts w:ascii="Times New Roman" w:hAnsi="Times New Roman"/>
          <w:sz w:val="24"/>
        </w:rPr>
        <w:tab/>
      </w:r>
      <w:proofErr w:type="spellStart"/>
      <w:r w:rsidR="00363B7E" w:rsidRPr="007225C9">
        <w:rPr>
          <w:rFonts w:ascii="Times New Roman" w:hAnsi="Times New Roman"/>
          <w:i/>
          <w:iCs/>
          <w:sz w:val="24"/>
        </w:rPr>
        <w:t>Wurridjal</w:t>
      </w:r>
      <w:proofErr w:type="spellEnd"/>
      <w:r w:rsidR="00363B7E" w:rsidRPr="007225C9">
        <w:rPr>
          <w:rFonts w:ascii="Times New Roman" w:hAnsi="Times New Roman"/>
          <w:i/>
          <w:iCs/>
          <w:sz w:val="24"/>
        </w:rPr>
        <w:t xml:space="preserve"> v The Commonwealth</w:t>
      </w:r>
      <w:r w:rsidR="00363B7E" w:rsidRPr="007225C9">
        <w:rPr>
          <w:rFonts w:ascii="Times New Roman" w:hAnsi="Times New Roman"/>
          <w:sz w:val="24"/>
        </w:rPr>
        <w:t xml:space="preserve"> (2009) 237 CLR 309 at 352 [70].</w:t>
      </w:r>
      <w:r w:rsidR="00B93927" w:rsidRPr="007225C9">
        <w:rPr>
          <w:rFonts w:ascii="Times New Roman" w:hAnsi="Times New Roman"/>
          <w:sz w:val="24"/>
        </w:rPr>
        <w:t xml:space="preserve"> See also </w:t>
      </w:r>
      <w:r w:rsidR="00B93927" w:rsidRPr="007225C9">
        <w:rPr>
          <w:rFonts w:ascii="Times New Roman" w:hAnsi="Times New Roman"/>
          <w:i/>
          <w:iCs/>
          <w:sz w:val="24"/>
        </w:rPr>
        <w:t xml:space="preserve">NZYQ v Minister for Immigration, Citizenship and Multicultural Affairs </w:t>
      </w:r>
      <w:r w:rsidR="00B93927" w:rsidRPr="007225C9">
        <w:rPr>
          <w:rFonts w:ascii="Times New Roman" w:hAnsi="Times New Roman"/>
          <w:sz w:val="24"/>
        </w:rPr>
        <w:t>(2023) 280 CLR 137 at 150 [17].</w:t>
      </w:r>
    </w:p>
  </w:footnote>
  <w:footnote w:id="8">
    <w:p w14:paraId="650F8A91" w14:textId="77777777" w:rsidR="002D4876" w:rsidRPr="007225C9" w:rsidRDefault="002D4876"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Pr="007225C9">
        <w:rPr>
          <w:rFonts w:ascii="Times New Roman" w:hAnsi="Times New Roman"/>
          <w:sz w:val="24"/>
        </w:rPr>
        <w:tab/>
      </w:r>
      <w:r w:rsidRPr="007225C9">
        <w:rPr>
          <w:rFonts w:ascii="Times New Roman" w:hAnsi="Times New Roman"/>
          <w:i/>
          <w:iCs/>
          <w:sz w:val="24"/>
        </w:rPr>
        <w:t>Haskins v The Commonwealth</w:t>
      </w:r>
      <w:r w:rsidRPr="007225C9">
        <w:rPr>
          <w:rFonts w:ascii="Times New Roman" w:hAnsi="Times New Roman"/>
          <w:sz w:val="24"/>
        </w:rPr>
        <w:t xml:space="preserve"> (2011) 244 CLR 22 at 42 [45], quoting </w:t>
      </w:r>
      <w:r w:rsidRPr="007225C9">
        <w:rPr>
          <w:rFonts w:ascii="Times New Roman" w:hAnsi="Times New Roman"/>
          <w:i/>
          <w:iCs/>
          <w:sz w:val="24"/>
        </w:rPr>
        <w:t>Norton v Shelby County</w:t>
      </w:r>
      <w:r w:rsidRPr="007225C9">
        <w:rPr>
          <w:rFonts w:ascii="Times New Roman" w:hAnsi="Times New Roman"/>
          <w:sz w:val="24"/>
        </w:rPr>
        <w:t xml:space="preserve"> (1886) 118 US 425 at 442. See also </w:t>
      </w:r>
      <w:r w:rsidRPr="007225C9">
        <w:rPr>
          <w:rFonts w:ascii="Times New Roman" w:hAnsi="Times New Roman"/>
          <w:i/>
          <w:iCs/>
          <w:sz w:val="24"/>
        </w:rPr>
        <w:t xml:space="preserve">South Australia v </w:t>
      </w:r>
      <w:proofErr w:type="gramStart"/>
      <w:r w:rsidRPr="007225C9">
        <w:rPr>
          <w:rFonts w:ascii="Times New Roman" w:hAnsi="Times New Roman"/>
          <w:i/>
          <w:iCs/>
          <w:sz w:val="24"/>
        </w:rPr>
        <w:t>The</w:t>
      </w:r>
      <w:proofErr w:type="gramEnd"/>
      <w:r w:rsidRPr="007225C9">
        <w:rPr>
          <w:rFonts w:ascii="Times New Roman" w:hAnsi="Times New Roman"/>
          <w:i/>
          <w:iCs/>
          <w:sz w:val="24"/>
        </w:rPr>
        <w:t xml:space="preserve"> Commonwealth</w:t>
      </w:r>
      <w:r w:rsidRPr="007225C9">
        <w:rPr>
          <w:rFonts w:ascii="Times New Roman" w:hAnsi="Times New Roman"/>
          <w:sz w:val="24"/>
        </w:rPr>
        <w:t xml:space="preserve"> (1942) 65 CLR 373 at 408; </w:t>
      </w:r>
      <w:r w:rsidRPr="007225C9">
        <w:rPr>
          <w:rFonts w:ascii="Times New Roman" w:hAnsi="Times New Roman"/>
          <w:i/>
          <w:iCs/>
          <w:sz w:val="24"/>
        </w:rPr>
        <w:t>New South Wales v Kable</w:t>
      </w:r>
      <w:r w:rsidRPr="007225C9">
        <w:rPr>
          <w:rFonts w:ascii="Times New Roman" w:hAnsi="Times New Roman"/>
          <w:sz w:val="24"/>
        </w:rPr>
        <w:t xml:space="preserve"> (2013) 252 CLR 118 at 138 [51].</w:t>
      </w:r>
    </w:p>
  </w:footnote>
  <w:footnote w:id="9">
    <w:p w14:paraId="05F08EFB" w14:textId="450F5303" w:rsidR="00D9379C" w:rsidRPr="007225C9" w:rsidRDefault="00D9379C"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Pr="007225C9">
        <w:rPr>
          <w:rFonts w:ascii="Times New Roman" w:hAnsi="Times New Roman"/>
          <w:sz w:val="24"/>
        </w:rPr>
        <w:tab/>
      </w:r>
      <w:r w:rsidR="007E6FCB" w:rsidRPr="007225C9">
        <w:rPr>
          <w:rFonts w:ascii="Times New Roman" w:hAnsi="Times New Roman"/>
          <w:sz w:val="24"/>
        </w:rPr>
        <w:t xml:space="preserve">See </w:t>
      </w:r>
      <w:r w:rsidR="007E6FCB" w:rsidRPr="007225C9">
        <w:rPr>
          <w:rFonts w:ascii="Times New Roman" w:hAnsi="Times New Roman"/>
          <w:i/>
          <w:iCs/>
          <w:sz w:val="24"/>
        </w:rPr>
        <w:t>Riverina Transport Pty Ltd v Victoria</w:t>
      </w:r>
      <w:r w:rsidR="007E6FCB" w:rsidRPr="007225C9">
        <w:rPr>
          <w:rFonts w:ascii="Times New Roman" w:hAnsi="Times New Roman"/>
          <w:sz w:val="24"/>
        </w:rPr>
        <w:t xml:space="preserve"> (1937) 57 CLR </w:t>
      </w:r>
      <w:r w:rsidR="002A5176" w:rsidRPr="007225C9">
        <w:rPr>
          <w:rFonts w:ascii="Times New Roman" w:hAnsi="Times New Roman"/>
          <w:sz w:val="24"/>
        </w:rPr>
        <w:t xml:space="preserve">327 at </w:t>
      </w:r>
      <w:r w:rsidR="00A61B38" w:rsidRPr="007225C9">
        <w:rPr>
          <w:rFonts w:ascii="Times New Roman" w:hAnsi="Times New Roman"/>
          <w:sz w:val="24"/>
        </w:rPr>
        <w:t>341-</w:t>
      </w:r>
      <w:r w:rsidR="002A5176" w:rsidRPr="007225C9">
        <w:rPr>
          <w:rFonts w:ascii="Times New Roman" w:hAnsi="Times New Roman"/>
          <w:sz w:val="24"/>
        </w:rPr>
        <w:t xml:space="preserve">342; </w:t>
      </w:r>
      <w:r w:rsidR="005C55A4" w:rsidRPr="007225C9">
        <w:rPr>
          <w:rFonts w:ascii="Times New Roman" w:hAnsi="Times New Roman"/>
          <w:i/>
          <w:iCs/>
          <w:sz w:val="24"/>
        </w:rPr>
        <w:t>Bank of New South Wales v The Commonwealth</w:t>
      </w:r>
      <w:r w:rsidR="005C55A4" w:rsidRPr="007225C9">
        <w:rPr>
          <w:rFonts w:ascii="Times New Roman" w:hAnsi="Times New Roman"/>
          <w:sz w:val="24"/>
        </w:rPr>
        <w:t xml:space="preserve"> </w:t>
      </w:r>
      <w:r w:rsidR="007C36A5" w:rsidRPr="007225C9">
        <w:rPr>
          <w:rFonts w:ascii="Times New Roman" w:hAnsi="Times New Roman"/>
          <w:sz w:val="24"/>
        </w:rPr>
        <w:t xml:space="preserve">(1948) </w:t>
      </w:r>
      <w:r w:rsidR="00E769D0" w:rsidRPr="007225C9">
        <w:rPr>
          <w:rFonts w:ascii="Times New Roman" w:hAnsi="Times New Roman"/>
          <w:sz w:val="24"/>
        </w:rPr>
        <w:t>76 CLR 1 at 230-231.</w:t>
      </w:r>
      <w:r w:rsidR="00AB0D13" w:rsidRPr="007225C9">
        <w:rPr>
          <w:rFonts w:ascii="Times New Roman" w:hAnsi="Times New Roman"/>
          <w:sz w:val="24"/>
        </w:rPr>
        <w:t xml:space="preserve"> </w:t>
      </w:r>
      <w:r w:rsidR="002A2F8E" w:rsidRPr="007225C9">
        <w:rPr>
          <w:rFonts w:ascii="Times New Roman" w:hAnsi="Times New Roman"/>
          <w:sz w:val="24"/>
        </w:rPr>
        <w:t>E</w:t>
      </w:r>
      <w:r w:rsidR="00AB0D13" w:rsidRPr="007225C9">
        <w:rPr>
          <w:rFonts w:ascii="Times New Roman" w:hAnsi="Times New Roman"/>
          <w:sz w:val="24"/>
        </w:rPr>
        <w:t xml:space="preserve">g </w:t>
      </w:r>
      <w:r w:rsidR="00AB0D13" w:rsidRPr="007225C9">
        <w:rPr>
          <w:rFonts w:ascii="Times New Roman" w:hAnsi="Times New Roman"/>
          <w:i/>
          <w:iCs/>
          <w:sz w:val="24"/>
        </w:rPr>
        <w:t>James v Cowan</w:t>
      </w:r>
      <w:r w:rsidR="00AB0D13" w:rsidRPr="007225C9">
        <w:rPr>
          <w:rFonts w:ascii="Times New Roman" w:hAnsi="Times New Roman"/>
          <w:sz w:val="24"/>
        </w:rPr>
        <w:t xml:space="preserve"> (1930) 43 CLR 386;</w:t>
      </w:r>
      <w:r w:rsidR="00AB0D13" w:rsidRPr="007225C9">
        <w:rPr>
          <w:rFonts w:ascii="Times New Roman" w:hAnsi="Times New Roman"/>
          <w:i/>
          <w:iCs/>
          <w:sz w:val="24"/>
        </w:rPr>
        <w:t xml:space="preserve"> James v The Commonwealth</w:t>
      </w:r>
      <w:r w:rsidR="00AB0D13" w:rsidRPr="007225C9">
        <w:rPr>
          <w:rFonts w:ascii="Times New Roman" w:hAnsi="Times New Roman"/>
          <w:sz w:val="24"/>
        </w:rPr>
        <w:t xml:space="preserve"> (1939) 62 CLR 339; </w:t>
      </w:r>
      <w:r w:rsidR="00AB0D13" w:rsidRPr="007225C9">
        <w:rPr>
          <w:rFonts w:ascii="Times New Roman" w:hAnsi="Times New Roman"/>
          <w:i/>
          <w:iCs/>
          <w:sz w:val="24"/>
        </w:rPr>
        <w:t xml:space="preserve">Barton v Commissioner for Motor Transport </w:t>
      </w:r>
      <w:r w:rsidR="00AB0D13" w:rsidRPr="007225C9">
        <w:rPr>
          <w:rFonts w:ascii="Times New Roman" w:hAnsi="Times New Roman"/>
          <w:sz w:val="24"/>
        </w:rPr>
        <w:t xml:space="preserve">(1957) 97 CLR 633; </w:t>
      </w:r>
      <w:r w:rsidR="00AB0D13" w:rsidRPr="007225C9">
        <w:rPr>
          <w:rFonts w:ascii="Times New Roman" w:hAnsi="Times New Roman"/>
          <w:i/>
          <w:iCs/>
          <w:sz w:val="24"/>
        </w:rPr>
        <w:t>Mason v New South Wales</w:t>
      </w:r>
      <w:r w:rsidR="00AB0D13" w:rsidRPr="007225C9">
        <w:rPr>
          <w:rFonts w:ascii="Times New Roman" w:hAnsi="Times New Roman"/>
          <w:sz w:val="24"/>
        </w:rPr>
        <w:t xml:space="preserve"> (1959) 102 CLR 108; </w:t>
      </w:r>
      <w:r w:rsidR="00AB0D13" w:rsidRPr="007225C9">
        <w:rPr>
          <w:rFonts w:ascii="Times New Roman" w:hAnsi="Times New Roman"/>
          <w:i/>
          <w:iCs/>
          <w:sz w:val="24"/>
        </w:rPr>
        <w:t>Ha v New South Wales</w:t>
      </w:r>
      <w:r w:rsidR="00AB0D13" w:rsidRPr="007225C9">
        <w:rPr>
          <w:rFonts w:ascii="Times New Roman" w:hAnsi="Times New Roman"/>
          <w:sz w:val="24"/>
        </w:rPr>
        <w:t xml:space="preserve"> (1997) 189 CLR 465.</w:t>
      </w:r>
    </w:p>
  </w:footnote>
  <w:footnote w:id="10">
    <w:p w14:paraId="2135D840" w14:textId="77777777" w:rsidR="008F5F9B" w:rsidRPr="007225C9" w:rsidRDefault="008F5F9B"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Pr="007225C9">
        <w:rPr>
          <w:rFonts w:ascii="Times New Roman" w:hAnsi="Times New Roman"/>
          <w:sz w:val="24"/>
        </w:rPr>
        <w:tab/>
        <w:t>(2023) 280 CLR 137.</w:t>
      </w:r>
    </w:p>
  </w:footnote>
  <w:footnote w:id="11">
    <w:p w14:paraId="61FA3AD4" w14:textId="77777777" w:rsidR="0061212A" w:rsidRPr="007225C9" w:rsidRDefault="0061212A"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Pr="007225C9">
        <w:rPr>
          <w:rFonts w:ascii="Times New Roman" w:hAnsi="Times New Roman"/>
          <w:sz w:val="24"/>
        </w:rPr>
        <w:tab/>
        <w:t>(2004) 219 CLR 562.</w:t>
      </w:r>
    </w:p>
  </w:footnote>
  <w:footnote w:id="12">
    <w:p w14:paraId="1B697F56" w14:textId="77777777" w:rsidR="00605E3A" w:rsidRPr="007225C9" w:rsidRDefault="00605E3A"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Pr="007225C9">
        <w:rPr>
          <w:rFonts w:ascii="Times New Roman" w:hAnsi="Times New Roman"/>
          <w:sz w:val="24"/>
        </w:rPr>
        <w:tab/>
        <w:t xml:space="preserve">See s 5(1) of the </w:t>
      </w:r>
      <w:r w:rsidRPr="007225C9">
        <w:rPr>
          <w:rFonts w:ascii="Times New Roman" w:hAnsi="Times New Roman"/>
          <w:i/>
          <w:iCs/>
          <w:sz w:val="24"/>
        </w:rPr>
        <w:t>Migration Act</w:t>
      </w:r>
      <w:r w:rsidRPr="007225C9">
        <w:rPr>
          <w:rFonts w:ascii="Times New Roman" w:hAnsi="Times New Roman"/>
          <w:sz w:val="24"/>
        </w:rPr>
        <w:t xml:space="preserve"> (definition of "officer").</w:t>
      </w:r>
    </w:p>
  </w:footnote>
  <w:footnote w:id="13">
    <w:p w14:paraId="57EDFEAB" w14:textId="0B2FB79B" w:rsidR="00462922" w:rsidRPr="007225C9" w:rsidRDefault="00462922"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00C569BC" w:rsidRPr="007225C9">
        <w:rPr>
          <w:rFonts w:ascii="Times New Roman" w:hAnsi="Times New Roman"/>
          <w:sz w:val="24"/>
        </w:rPr>
        <w:tab/>
      </w:r>
      <w:r w:rsidR="00C569BC" w:rsidRPr="007225C9">
        <w:rPr>
          <w:rFonts w:ascii="Times New Roman" w:hAnsi="Times New Roman"/>
          <w:i/>
          <w:iCs/>
          <w:sz w:val="24"/>
        </w:rPr>
        <w:t xml:space="preserve">Lange v Australian Broadcasting Corporation </w:t>
      </w:r>
      <w:r w:rsidR="00C569BC" w:rsidRPr="007225C9">
        <w:rPr>
          <w:rFonts w:ascii="Times New Roman" w:hAnsi="Times New Roman"/>
          <w:sz w:val="24"/>
        </w:rPr>
        <w:t xml:space="preserve">(1997) 189 CLR </w:t>
      </w:r>
      <w:r w:rsidR="00190D26" w:rsidRPr="007225C9">
        <w:rPr>
          <w:rFonts w:ascii="Times New Roman" w:hAnsi="Times New Roman"/>
          <w:sz w:val="24"/>
        </w:rPr>
        <w:t xml:space="preserve">520 at 562-566; </w:t>
      </w:r>
      <w:r w:rsidR="001A11DB" w:rsidRPr="007225C9">
        <w:rPr>
          <w:rFonts w:ascii="Times New Roman" w:hAnsi="Times New Roman"/>
          <w:i/>
          <w:iCs/>
          <w:sz w:val="24"/>
        </w:rPr>
        <w:t>Australian Broadcasting Corporation v Lenah Game Meats Pty Ltd</w:t>
      </w:r>
      <w:r w:rsidR="001A11DB" w:rsidRPr="007225C9">
        <w:rPr>
          <w:rFonts w:ascii="Times New Roman" w:hAnsi="Times New Roman"/>
          <w:sz w:val="24"/>
        </w:rPr>
        <w:t xml:space="preserve"> (2001) 208 CLR 199 at 220 [20]; </w:t>
      </w:r>
      <w:r w:rsidR="0030107C" w:rsidRPr="007225C9">
        <w:rPr>
          <w:rFonts w:ascii="Times New Roman" w:hAnsi="Times New Roman"/>
          <w:i/>
          <w:iCs/>
          <w:sz w:val="24"/>
        </w:rPr>
        <w:t xml:space="preserve">Aid/Watch Inc v </w:t>
      </w:r>
      <w:r w:rsidR="0096468A" w:rsidRPr="007225C9">
        <w:rPr>
          <w:rFonts w:ascii="Times New Roman" w:hAnsi="Times New Roman"/>
          <w:i/>
          <w:iCs/>
          <w:sz w:val="24"/>
        </w:rPr>
        <w:t xml:space="preserve">Federal </w:t>
      </w:r>
      <w:r w:rsidR="0030107C" w:rsidRPr="007225C9">
        <w:rPr>
          <w:rFonts w:ascii="Times New Roman" w:hAnsi="Times New Roman"/>
          <w:i/>
          <w:iCs/>
          <w:sz w:val="24"/>
        </w:rPr>
        <w:t xml:space="preserve">Commissioner of Taxation </w:t>
      </w:r>
      <w:r w:rsidR="0030107C" w:rsidRPr="007225C9">
        <w:rPr>
          <w:rFonts w:ascii="Times New Roman" w:hAnsi="Times New Roman"/>
          <w:sz w:val="24"/>
        </w:rPr>
        <w:t>(2010)</w:t>
      </w:r>
      <w:r w:rsidR="0096468A" w:rsidRPr="007225C9">
        <w:rPr>
          <w:rFonts w:ascii="Times New Roman" w:hAnsi="Times New Roman"/>
          <w:sz w:val="24"/>
        </w:rPr>
        <w:t xml:space="preserve"> 241 CLR 539</w:t>
      </w:r>
      <w:r w:rsidR="0030107C" w:rsidRPr="007225C9">
        <w:rPr>
          <w:rFonts w:ascii="Times New Roman" w:hAnsi="Times New Roman"/>
          <w:sz w:val="24"/>
        </w:rPr>
        <w:t xml:space="preserve"> at </w:t>
      </w:r>
      <w:r w:rsidR="0096468A" w:rsidRPr="007225C9">
        <w:rPr>
          <w:rFonts w:ascii="Times New Roman" w:hAnsi="Times New Roman"/>
          <w:sz w:val="24"/>
        </w:rPr>
        <w:t xml:space="preserve">556 </w:t>
      </w:r>
      <w:r w:rsidR="00FA3CA1" w:rsidRPr="007225C9">
        <w:rPr>
          <w:rFonts w:ascii="Times New Roman" w:hAnsi="Times New Roman"/>
          <w:sz w:val="24"/>
        </w:rPr>
        <w:t>[44].</w:t>
      </w:r>
      <w:r w:rsidR="00CD7919" w:rsidRPr="007225C9">
        <w:rPr>
          <w:rFonts w:ascii="Times New Roman" w:hAnsi="Times New Roman"/>
          <w:sz w:val="24"/>
        </w:rPr>
        <w:t xml:space="preserve"> </w:t>
      </w:r>
    </w:p>
  </w:footnote>
  <w:footnote w:id="14">
    <w:p w14:paraId="1AF5BA51" w14:textId="745FAF2E" w:rsidR="00C64DBE" w:rsidRPr="007225C9" w:rsidRDefault="00C64DBE"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Pr="007225C9">
        <w:rPr>
          <w:rFonts w:ascii="Times New Roman" w:hAnsi="Times New Roman"/>
          <w:sz w:val="24"/>
        </w:rPr>
        <w:tab/>
        <w:t xml:space="preserve">See ss 14 and 189(1) of the </w:t>
      </w:r>
      <w:r w:rsidRPr="007225C9">
        <w:rPr>
          <w:rFonts w:ascii="Times New Roman" w:hAnsi="Times New Roman"/>
          <w:i/>
          <w:iCs/>
          <w:sz w:val="24"/>
        </w:rPr>
        <w:t>Migration Act</w:t>
      </w:r>
      <w:r w:rsidRPr="007225C9">
        <w:rPr>
          <w:rFonts w:ascii="Times New Roman" w:hAnsi="Times New Roman"/>
          <w:sz w:val="24"/>
        </w:rPr>
        <w:t xml:space="preserve">. </w:t>
      </w:r>
    </w:p>
  </w:footnote>
  <w:footnote w:id="15">
    <w:p w14:paraId="04E0AB72" w14:textId="233A4ED7" w:rsidR="00C64DBE" w:rsidRPr="007225C9" w:rsidRDefault="00C64DBE"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Pr="007225C9">
        <w:rPr>
          <w:rFonts w:ascii="Times New Roman" w:hAnsi="Times New Roman"/>
          <w:sz w:val="24"/>
        </w:rPr>
        <w:tab/>
        <w:t xml:space="preserve">See </w:t>
      </w:r>
      <w:r w:rsidR="005A34E1" w:rsidRPr="007225C9">
        <w:rPr>
          <w:rFonts w:ascii="Times New Roman" w:hAnsi="Times New Roman"/>
          <w:sz w:val="24"/>
        </w:rPr>
        <w:t xml:space="preserve">s 5(1) of the </w:t>
      </w:r>
      <w:r w:rsidR="005A34E1" w:rsidRPr="007225C9">
        <w:rPr>
          <w:rFonts w:ascii="Times New Roman" w:hAnsi="Times New Roman"/>
          <w:i/>
          <w:iCs/>
          <w:sz w:val="24"/>
        </w:rPr>
        <w:t>Migration Act</w:t>
      </w:r>
      <w:r w:rsidR="005A34E1" w:rsidRPr="007225C9">
        <w:rPr>
          <w:rFonts w:ascii="Times New Roman" w:hAnsi="Times New Roman"/>
          <w:sz w:val="24"/>
        </w:rPr>
        <w:t xml:space="preserve"> (definition of "immigration detention"). </w:t>
      </w:r>
    </w:p>
  </w:footnote>
  <w:footnote w:id="16">
    <w:p w14:paraId="1BDF4713" w14:textId="4338AEB6" w:rsidR="00BC0B12" w:rsidRPr="007225C9" w:rsidRDefault="00BC0B12"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Pr="007225C9">
        <w:rPr>
          <w:rFonts w:ascii="Times New Roman" w:hAnsi="Times New Roman"/>
          <w:sz w:val="24"/>
        </w:rPr>
        <w:tab/>
        <w:t xml:space="preserve">See s 5(1) of the </w:t>
      </w:r>
      <w:r w:rsidRPr="007225C9">
        <w:rPr>
          <w:rFonts w:ascii="Times New Roman" w:hAnsi="Times New Roman"/>
          <w:i/>
          <w:iCs/>
          <w:sz w:val="24"/>
        </w:rPr>
        <w:t>Migration Act</w:t>
      </w:r>
      <w:r w:rsidRPr="007225C9">
        <w:rPr>
          <w:rFonts w:ascii="Times New Roman" w:hAnsi="Times New Roman"/>
          <w:sz w:val="24"/>
        </w:rPr>
        <w:t xml:space="preserve"> (definition of "officer").</w:t>
      </w:r>
    </w:p>
  </w:footnote>
  <w:footnote w:id="17">
    <w:p w14:paraId="521D208B" w14:textId="1EE2BF8D" w:rsidR="00EB7D69" w:rsidRPr="007225C9" w:rsidRDefault="00EB7D69"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Pr="007225C9">
        <w:rPr>
          <w:rFonts w:ascii="Times New Roman" w:hAnsi="Times New Roman"/>
          <w:sz w:val="24"/>
        </w:rPr>
        <w:tab/>
        <w:t xml:space="preserve">See </w:t>
      </w:r>
      <w:r w:rsidRPr="007225C9">
        <w:rPr>
          <w:rFonts w:ascii="Times New Roman" w:hAnsi="Times New Roman"/>
          <w:i/>
          <w:iCs/>
          <w:sz w:val="24"/>
        </w:rPr>
        <w:t>Bird</w:t>
      </w:r>
      <w:r w:rsidR="0088401D" w:rsidRPr="007225C9">
        <w:rPr>
          <w:rFonts w:ascii="Times New Roman" w:hAnsi="Times New Roman"/>
          <w:i/>
          <w:iCs/>
          <w:sz w:val="24"/>
        </w:rPr>
        <w:t xml:space="preserve"> v DP</w:t>
      </w:r>
      <w:r w:rsidR="000E72A9" w:rsidRPr="007225C9">
        <w:rPr>
          <w:rFonts w:ascii="Times New Roman" w:hAnsi="Times New Roman"/>
          <w:i/>
          <w:iCs/>
          <w:sz w:val="24"/>
        </w:rPr>
        <w:t xml:space="preserve"> (a pseudonym)</w:t>
      </w:r>
      <w:r w:rsidR="0088401D" w:rsidRPr="007225C9">
        <w:rPr>
          <w:rFonts w:ascii="Times New Roman" w:hAnsi="Times New Roman"/>
          <w:sz w:val="24"/>
        </w:rPr>
        <w:t xml:space="preserve"> (2024) </w:t>
      </w:r>
      <w:r w:rsidR="006762B0" w:rsidRPr="007225C9">
        <w:rPr>
          <w:rFonts w:ascii="Times New Roman" w:hAnsi="Times New Roman"/>
          <w:sz w:val="24"/>
        </w:rPr>
        <w:t xml:space="preserve">98 ALJR 1349 </w:t>
      </w:r>
      <w:r w:rsidR="003E1FFA" w:rsidRPr="007225C9">
        <w:rPr>
          <w:rFonts w:ascii="Times New Roman" w:hAnsi="Times New Roman"/>
          <w:sz w:val="24"/>
        </w:rPr>
        <w:t xml:space="preserve">at </w:t>
      </w:r>
      <w:r w:rsidR="006B6BD4" w:rsidRPr="007225C9">
        <w:rPr>
          <w:rFonts w:ascii="Times New Roman" w:hAnsi="Times New Roman"/>
          <w:sz w:val="24"/>
        </w:rPr>
        <w:t xml:space="preserve">1361 </w:t>
      </w:r>
      <w:r w:rsidR="003E1FFA" w:rsidRPr="007225C9">
        <w:rPr>
          <w:rFonts w:ascii="Times New Roman" w:hAnsi="Times New Roman"/>
          <w:sz w:val="24"/>
        </w:rPr>
        <w:t>[44]</w:t>
      </w:r>
      <w:r w:rsidR="006B6BD4" w:rsidRPr="007225C9">
        <w:rPr>
          <w:rFonts w:ascii="Times New Roman" w:hAnsi="Times New Roman"/>
          <w:sz w:val="24"/>
        </w:rPr>
        <w:t>; 419 ALR 552 at 564</w:t>
      </w:r>
      <w:r w:rsidR="003E1FFA" w:rsidRPr="007225C9">
        <w:rPr>
          <w:rFonts w:ascii="Times New Roman" w:hAnsi="Times New Roman"/>
          <w:sz w:val="24"/>
        </w:rPr>
        <w:t>.</w:t>
      </w:r>
    </w:p>
  </w:footnote>
  <w:footnote w:id="18">
    <w:p w14:paraId="3CFC0C68" w14:textId="66B99FA5" w:rsidR="00EB7D69" w:rsidRPr="007225C9" w:rsidRDefault="00EB7D69"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003E1FFA" w:rsidRPr="007225C9">
        <w:rPr>
          <w:rFonts w:ascii="Times New Roman" w:hAnsi="Times New Roman"/>
          <w:sz w:val="24"/>
        </w:rPr>
        <w:tab/>
        <w:t xml:space="preserve">See </w:t>
      </w:r>
      <w:r w:rsidR="003E1FFA" w:rsidRPr="007225C9">
        <w:rPr>
          <w:rFonts w:ascii="Times New Roman" w:hAnsi="Times New Roman"/>
          <w:i/>
          <w:iCs/>
          <w:sz w:val="24"/>
        </w:rPr>
        <w:t>Bird v DP</w:t>
      </w:r>
      <w:r w:rsidR="006B6BD4" w:rsidRPr="007225C9">
        <w:rPr>
          <w:rFonts w:ascii="Times New Roman" w:hAnsi="Times New Roman"/>
          <w:i/>
          <w:iCs/>
          <w:sz w:val="24"/>
        </w:rPr>
        <w:t xml:space="preserve"> (a pseudonym)</w:t>
      </w:r>
      <w:r w:rsidR="003E1FFA" w:rsidRPr="007225C9">
        <w:rPr>
          <w:rFonts w:ascii="Times New Roman" w:hAnsi="Times New Roman"/>
          <w:sz w:val="24"/>
        </w:rPr>
        <w:t xml:space="preserve"> (2024) 98 ALJR 1349 at </w:t>
      </w:r>
      <w:r w:rsidR="00867CF6" w:rsidRPr="007225C9">
        <w:rPr>
          <w:rFonts w:ascii="Times New Roman" w:hAnsi="Times New Roman"/>
          <w:sz w:val="24"/>
        </w:rPr>
        <w:t xml:space="preserve">1358 </w:t>
      </w:r>
      <w:r w:rsidR="006B6BD4" w:rsidRPr="007225C9">
        <w:rPr>
          <w:rFonts w:ascii="Times New Roman" w:hAnsi="Times New Roman"/>
          <w:sz w:val="24"/>
        </w:rPr>
        <w:t>[31]</w:t>
      </w:r>
      <w:r w:rsidR="00867CF6" w:rsidRPr="007225C9">
        <w:rPr>
          <w:rFonts w:ascii="Times New Roman" w:hAnsi="Times New Roman"/>
          <w:sz w:val="24"/>
        </w:rPr>
        <w:t>; 419 ALR 552 at 560</w:t>
      </w:r>
      <w:r w:rsidR="003E1FFA" w:rsidRPr="007225C9">
        <w:rPr>
          <w:rFonts w:ascii="Times New Roman" w:hAnsi="Times New Roman"/>
          <w:sz w:val="24"/>
        </w:rPr>
        <w:t>.</w:t>
      </w:r>
    </w:p>
  </w:footnote>
  <w:footnote w:id="19">
    <w:p w14:paraId="303ADB04" w14:textId="15B00D10" w:rsidR="00596A3D" w:rsidRPr="007225C9" w:rsidRDefault="00596A3D"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Pr="007225C9">
        <w:rPr>
          <w:rFonts w:ascii="Times New Roman" w:hAnsi="Times New Roman"/>
          <w:sz w:val="24"/>
        </w:rPr>
        <w:tab/>
        <w:t xml:space="preserve">See </w:t>
      </w:r>
      <w:r w:rsidRPr="007225C9">
        <w:rPr>
          <w:rFonts w:ascii="Times New Roman" w:hAnsi="Times New Roman"/>
          <w:i/>
          <w:iCs/>
          <w:sz w:val="24"/>
        </w:rPr>
        <w:t>Lewis v Australian Capital Territory</w:t>
      </w:r>
      <w:r w:rsidRPr="007225C9">
        <w:rPr>
          <w:rFonts w:ascii="Times New Roman" w:hAnsi="Times New Roman"/>
          <w:sz w:val="24"/>
        </w:rPr>
        <w:t xml:space="preserve"> (2020) 271 CLR 192 at </w:t>
      </w:r>
      <w:r w:rsidR="00AE43D1" w:rsidRPr="007225C9">
        <w:rPr>
          <w:rFonts w:ascii="Times New Roman" w:hAnsi="Times New Roman"/>
          <w:sz w:val="24"/>
        </w:rPr>
        <w:t xml:space="preserve">206-207 </w:t>
      </w:r>
      <w:r w:rsidRPr="007225C9">
        <w:rPr>
          <w:rFonts w:ascii="Times New Roman" w:hAnsi="Times New Roman"/>
          <w:sz w:val="24"/>
        </w:rPr>
        <w:t>[24]-[25]</w:t>
      </w:r>
      <w:r w:rsidR="00AE2B36" w:rsidRPr="007225C9">
        <w:rPr>
          <w:rFonts w:ascii="Times New Roman" w:hAnsi="Times New Roman"/>
          <w:sz w:val="24"/>
        </w:rPr>
        <w:t>; s</w:t>
      </w:r>
      <w:r w:rsidR="00AE43D1" w:rsidRPr="007225C9">
        <w:rPr>
          <w:rFonts w:ascii="Times New Roman" w:hAnsi="Times New Roman"/>
          <w:sz w:val="24"/>
        </w:rPr>
        <w:t xml:space="preserve">ee also at </w:t>
      </w:r>
      <w:r w:rsidR="00AC39E2" w:rsidRPr="007225C9">
        <w:rPr>
          <w:rFonts w:ascii="Times New Roman" w:hAnsi="Times New Roman"/>
          <w:sz w:val="24"/>
        </w:rPr>
        <w:t>238 [134].</w:t>
      </w:r>
    </w:p>
  </w:footnote>
  <w:footnote w:id="20">
    <w:p w14:paraId="2315683E" w14:textId="4B8FE847" w:rsidR="00D52CE1" w:rsidRPr="007225C9" w:rsidRDefault="00D52CE1"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Pr="007225C9">
        <w:rPr>
          <w:rFonts w:ascii="Times New Roman" w:hAnsi="Times New Roman"/>
          <w:sz w:val="24"/>
        </w:rPr>
        <w:tab/>
      </w:r>
      <w:r w:rsidR="00C071F1" w:rsidRPr="007225C9">
        <w:rPr>
          <w:rFonts w:ascii="Times New Roman" w:hAnsi="Times New Roman"/>
          <w:i/>
          <w:iCs/>
          <w:sz w:val="24"/>
        </w:rPr>
        <w:t>Oceanic Crest Shipping Co v Pilbara Harbour Services Pty Ltd</w:t>
      </w:r>
      <w:r w:rsidR="00C071F1" w:rsidRPr="007225C9">
        <w:rPr>
          <w:rFonts w:ascii="Times New Roman" w:hAnsi="Times New Roman"/>
          <w:sz w:val="24"/>
        </w:rPr>
        <w:t xml:space="preserve"> (1986) 160 CLR 626 at </w:t>
      </w:r>
      <w:r w:rsidR="0018674C" w:rsidRPr="007225C9">
        <w:rPr>
          <w:rFonts w:ascii="Times New Roman" w:hAnsi="Times New Roman"/>
          <w:sz w:val="24"/>
        </w:rPr>
        <w:t xml:space="preserve">662, quoting </w:t>
      </w:r>
      <w:r w:rsidR="0018674C" w:rsidRPr="007225C9">
        <w:rPr>
          <w:rFonts w:ascii="Times New Roman" w:hAnsi="Times New Roman"/>
          <w:i/>
          <w:iCs/>
          <w:sz w:val="24"/>
        </w:rPr>
        <w:t>Musg</w:t>
      </w:r>
      <w:r w:rsidR="00352982" w:rsidRPr="007225C9">
        <w:rPr>
          <w:rFonts w:ascii="Times New Roman" w:hAnsi="Times New Roman"/>
          <w:i/>
          <w:iCs/>
          <w:sz w:val="24"/>
        </w:rPr>
        <w:t xml:space="preserve">rave v The Commonwealth </w:t>
      </w:r>
      <w:r w:rsidR="00352982" w:rsidRPr="007225C9">
        <w:rPr>
          <w:rFonts w:ascii="Times New Roman" w:hAnsi="Times New Roman"/>
          <w:sz w:val="24"/>
        </w:rPr>
        <w:t>(1937) 57 CLR 514 at 548</w:t>
      </w:r>
      <w:r w:rsidR="00C071F1" w:rsidRPr="007225C9">
        <w:rPr>
          <w:rFonts w:ascii="Times New Roman" w:hAnsi="Times New Roman"/>
          <w:sz w:val="24"/>
        </w:rPr>
        <w:t xml:space="preserve">. </w:t>
      </w:r>
    </w:p>
  </w:footnote>
  <w:footnote w:id="21">
    <w:p w14:paraId="6CB40C47" w14:textId="2B83057E" w:rsidR="004F2B73" w:rsidRPr="007225C9" w:rsidRDefault="004F2B73"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Pr="007225C9">
        <w:rPr>
          <w:rFonts w:ascii="Times New Roman" w:hAnsi="Times New Roman"/>
          <w:sz w:val="24"/>
        </w:rPr>
        <w:tab/>
      </w:r>
      <w:r w:rsidR="00583DF0" w:rsidRPr="007225C9">
        <w:rPr>
          <w:rFonts w:ascii="Times New Roman" w:hAnsi="Times New Roman"/>
          <w:i/>
          <w:iCs/>
          <w:sz w:val="24"/>
        </w:rPr>
        <w:t>Fairfax Media Publications Pty Ltd v Voller</w:t>
      </w:r>
      <w:r w:rsidR="00583DF0" w:rsidRPr="007225C9">
        <w:rPr>
          <w:rFonts w:ascii="Times New Roman" w:hAnsi="Times New Roman"/>
          <w:sz w:val="24"/>
        </w:rPr>
        <w:t xml:space="preserve"> (2021) 273 CLR 346 </w:t>
      </w:r>
      <w:r w:rsidR="002B1478" w:rsidRPr="007225C9">
        <w:rPr>
          <w:rFonts w:ascii="Times New Roman" w:hAnsi="Times New Roman"/>
          <w:sz w:val="24"/>
        </w:rPr>
        <w:t xml:space="preserve">at </w:t>
      </w:r>
      <w:r w:rsidR="00CD05D1" w:rsidRPr="007225C9">
        <w:rPr>
          <w:rFonts w:ascii="Times New Roman" w:hAnsi="Times New Roman"/>
          <w:sz w:val="24"/>
        </w:rPr>
        <w:t xml:space="preserve">368 </w:t>
      </w:r>
      <w:r w:rsidR="002B1478" w:rsidRPr="007225C9">
        <w:rPr>
          <w:rFonts w:ascii="Times New Roman" w:hAnsi="Times New Roman"/>
          <w:sz w:val="24"/>
        </w:rPr>
        <w:t>[74]</w:t>
      </w:r>
      <w:r w:rsidR="005E7385" w:rsidRPr="007225C9">
        <w:rPr>
          <w:rFonts w:ascii="Times New Roman" w:hAnsi="Times New Roman"/>
          <w:sz w:val="24"/>
        </w:rPr>
        <w:t>; s</w:t>
      </w:r>
      <w:r w:rsidR="002B1478" w:rsidRPr="007225C9">
        <w:rPr>
          <w:rFonts w:ascii="Times New Roman" w:hAnsi="Times New Roman"/>
          <w:sz w:val="24"/>
        </w:rPr>
        <w:t xml:space="preserve">ee also at </w:t>
      </w:r>
      <w:r w:rsidR="00CD05D1" w:rsidRPr="007225C9">
        <w:rPr>
          <w:rFonts w:ascii="Times New Roman" w:hAnsi="Times New Roman"/>
          <w:sz w:val="24"/>
        </w:rPr>
        <w:t xml:space="preserve">382 </w:t>
      </w:r>
      <w:r w:rsidR="002B1478" w:rsidRPr="007225C9">
        <w:rPr>
          <w:rFonts w:ascii="Times New Roman" w:hAnsi="Times New Roman"/>
          <w:sz w:val="24"/>
        </w:rPr>
        <w:t>[118].</w:t>
      </w:r>
    </w:p>
  </w:footnote>
  <w:footnote w:id="22">
    <w:p w14:paraId="3B220DAE" w14:textId="4CC4A0FD" w:rsidR="00963BF5" w:rsidRPr="007225C9" w:rsidRDefault="00963BF5"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00A209BE" w:rsidRPr="007225C9">
        <w:rPr>
          <w:rFonts w:ascii="Times New Roman" w:hAnsi="Times New Roman"/>
          <w:sz w:val="24"/>
        </w:rPr>
        <w:tab/>
      </w:r>
      <w:r w:rsidR="00701174" w:rsidRPr="007225C9">
        <w:rPr>
          <w:rFonts w:ascii="Times New Roman" w:hAnsi="Times New Roman"/>
          <w:sz w:val="24"/>
        </w:rPr>
        <w:t>(2025) 99 ALJR 396</w:t>
      </w:r>
      <w:r w:rsidR="00906368" w:rsidRPr="007225C9">
        <w:rPr>
          <w:rFonts w:ascii="Times New Roman" w:hAnsi="Times New Roman"/>
          <w:sz w:val="24"/>
        </w:rPr>
        <w:t>; 421 ALR 376</w:t>
      </w:r>
      <w:r w:rsidR="00544DCD" w:rsidRPr="007225C9">
        <w:rPr>
          <w:rFonts w:ascii="Times New Roman" w:hAnsi="Times New Roman"/>
          <w:sz w:val="24"/>
        </w:rPr>
        <w:t>.</w:t>
      </w:r>
    </w:p>
  </w:footnote>
  <w:footnote w:id="23">
    <w:p w14:paraId="39C27482" w14:textId="72F71844" w:rsidR="00EB7DC2" w:rsidRPr="007225C9" w:rsidRDefault="00EB7DC2"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00544DCD" w:rsidRPr="007225C9">
        <w:rPr>
          <w:rFonts w:ascii="Times New Roman" w:hAnsi="Times New Roman"/>
          <w:sz w:val="24"/>
        </w:rPr>
        <w:tab/>
        <w:t>(2025) 99 ALJR 396 at 433 [14</w:t>
      </w:r>
      <w:r w:rsidR="00B80D5D" w:rsidRPr="007225C9">
        <w:rPr>
          <w:rFonts w:ascii="Times New Roman" w:hAnsi="Times New Roman"/>
          <w:sz w:val="24"/>
        </w:rPr>
        <w:t>9</w:t>
      </w:r>
      <w:r w:rsidR="00544DCD" w:rsidRPr="007225C9">
        <w:rPr>
          <w:rFonts w:ascii="Times New Roman" w:hAnsi="Times New Roman"/>
          <w:sz w:val="24"/>
        </w:rPr>
        <w:t>]</w:t>
      </w:r>
      <w:r w:rsidR="001715E0" w:rsidRPr="007225C9">
        <w:rPr>
          <w:rFonts w:ascii="Times New Roman" w:hAnsi="Times New Roman"/>
          <w:sz w:val="24"/>
        </w:rPr>
        <w:t>; 421 ALR 376 at 415</w:t>
      </w:r>
      <w:r w:rsidR="00724AEC" w:rsidRPr="007225C9">
        <w:rPr>
          <w:rFonts w:ascii="Times New Roman" w:hAnsi="Times New Roman"/>
          <w:sz w:val="24"/>
        </w:rPr>
        <w:t xml:space="preserve">. </w:t>
      </w:r>
    </w:p>
  </w:footnote>
  <w:footnote w:id="24">
    <w:p w14:paraId="7638E7B3" w14:textId="65888016" w:rsidR="00C665A3" w:rsidRPr="007225C9" w:rsidRDefault="00C665A3"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003B6C90" w:rsidRPr="007225C9">
        <w:rPr>
          <w:rFonts w:ascii="Times New Roman" w:hAnsi="Times New Roman"/>
          <w:sz w:val="24"/>
        </w:rPr>
        <w:tab/>
      </w:r>
      <w:proofErr w:type="spellStart"/>
      <w:r w:rsidR="00893318" w:rsidRPr="007225C9">
        <w:rPr>
          <w:rFonts w:ascii="Times New Roman" w:hAnsi="Times New Roman"/>
          <w:sz w:val="24"/>
        </w:rPr>
        <w:t>cf</w:t>
      </w:r>
      <w:proofErr w:type="spellEnd"/>
      <w:r w:rsidR="00893318" w:rsidRPr="007225C9">
        <w:rPr>
          <w:rFonts w:ascii="Times New Roman" w:hAnsi="Times New Roman"/>
          <w:sz w:val="24"/>
        </w:rPr>
        <w:t xml:space="preserve"> </w:t>
      </w:r>
      <w:r w:rsidR="003B6C90" w:rsidRPr="007225C9">
        <w:rPr>
          <w:rFonts w:ascii="Times New Roman" w:hAnsi="Times New Roman"/>
          <w:sz w:val="24"/>
        </w:rPr>
        <w:t xml:space="preserve">(2025) 99 ALJR 396 at </w:t>
      </w:r>
      <w:r w:rsidR="007C0680" w:rsidRPr="007225C9">
        <w:rPr>
          <w:rFonts w:ascii="Times New Roman" w:hAnsi="Times New Roman"/>
          <w:sz w:val="24"/>
        </w:rPr>
        <w:t xml:space="preserve">428 </w:t>
      </w:r>
      <w:r w:rsidR="003B6C90" w:rsidRPr="007225C9">
        <w:rPr>
          <w:rFonts w:ascii="Times New Roman" w:hAnsi="Times New Roman"/>
          <w:sz w:val="24"/>
        </w:rPr>
        <w:t>[</w:t>
      </w:r>
      <w:r w:rsidR="00D13126" w:rsidRPr="007225C9">
        <w:rPr>
          <w:rFonts w:ascii="Times New Roman" w:hAnsi="Times New Roman"/>
          <w:sz w:val="24"/>
        </w:rPr>
        <w:t>128</w:t>
      </w:r>
      <w:r w:rsidR="003B6C90" w:rsidRPr="007225C9">
        <w:rPr>
          <w:rFonts w:ascii="Times New Roman" w:hAnsi="Times New Roman"/>
          <w:sz w:val="24"/>
        </w:rPr>
        <w:t>]</w:t>
      </w:r>
      <w:r w:rsidR="005B09A5" w:rsidRPr="007225C9">
        <w:rPr>
          <w:rFonts w:ascii="Times New Roman" w:hAnsi="Times New Roman"/>
          <w:sz w:val="24"/>
        </w:rPr>
        <w:t xml:space="preserve">, </w:t>
      </w:r>
      <w:r w:rsidR="00013FC2" w:rsidRPr="007225C9">
        <w:rPr>
          <w:rFonts w:ascii="Times New Roman" w:hAnsi="Times New Roman"/>
          <w:sz w:val="24"/>
        </w:rPr>
        <w:t xml:space="preserve">433 </w:t>
      </w:r>
      <w:r w:rsidR="002732D1" w:rsidRPr="007225C9">
        <w:rPr>
          <w:rFonts w:ascii="Times New Roman" w:hAnsi="Times New Roman"/>
          <w:sz w:val="24"/>
        </w:rPr>
        <w:t>[</w:t>
      </w:r>
      <w:r w:rsidR="00013FC2" w:rsidRPr="007225C9">
        <w:rPr>
          <w:rFonts w:ascii="Times New Roman" w:hAnsi="Times New Roman"/>
          <w:sz w:val="24"/>
        </w:rPr>
        <w:t>148</w:t>
      </w:r>
      <w:r w:rsidR="002732D1" w:rsidRPr="007225C9">
        <w:rPr>
          <w:rFonts w:ascii="Times New Roman" w:hAnsi="Times New Roman"/>
          <w:sz w:val="24"/>
        </w:rPr>
        <w:t>]</w:t>
      </w:r>
      <w:r w:rsidR="00013FC2" w:rsidRPr="007225C9">
        <w:rPr>
          <w:rFonts w:ascii="Times New Roman" w:hAnsi="Times New Roman"/>
          <w:sz w:val="24"/>
        </w:rPr>
        <w:t>-[149]</w:t>
      </w:r>
      <w:r w:rsidR="003040F0" w:rsidRPr="007225C9">
        <w:rPr>
          <w:rFonts w:ascii="Times New Roman" w:hAnsi="Times New Roman"/>
          <w:sz w:val="24"/>
        </w:rPr>
        <w:t xml:space="preserve">; 421 ALR 376 at </w:t>
      </w:r>
      <w:r w:rsidR="00727489" w:rsidRPr="007225C9">
        <w:rPr>
          <w:rFonts w:ascii="Times New Roman" w:hAnsi="Times New Roman"/>
          <w:sz w:val="24"/>
        </w:rPr>
        <w:t>408, 415</w:t>
      </w:r>
      <w:r w:rsidR="00013FC2" w:rsidRPr="007225C9">
        <w:rPr>
          <w:rFonts w:ascii="Times New Roman" w:hAnsi="Times New Roman"/>
          <w:sz w:val="24"/>
        </w:rPr>
        <w:t xml:space="preserve">, citing </w:t>
      </w:r>
      <w:r w:rsidR="00013FC2" w:rsidRPr="007225C9">
        <w:rPr>
          <w:rFonts w:ascii="Times New Roman" w:hAnsi="Times New Roman"/>
          <w:i/>
          <w:iCs/>
          <w:sz w:val="24"/>
        </w:rPr>
        <w:t xml:space="preserve">Kable v New South Wales </w:t>
      </w:r>
      <w:r w:rsidR="00013FC2" w:rsidRPr="007225C9">
        <w:rPr>
          <w:rFonts w:ascii="Times New Roman" w:hAnsi="Times New Roman"/>
          <w:sz w:val="24"/>
        </w:rPr>
        <w:t xml:space="preserve">(2012) </w:t>
      </w:r>
      <w:r w:rsidR="000F3C35" w:rsidRPr="007225C9">
        <w:rPr>
          <w:rFonts w:ascii="Times New Roman" w:hAnsi="Times New Roman"/>
          <w:sz w:val="24"/>
        </w:rPr>
        <w:t>293 ALR 719</w:t>
      </w:r>
      <w:r w:rsidR="00013FC2" w:rsidRPr="007225C9">
        <w:rPr>
          <w:rFonts w:ascii="Times New Roman" w:hAnsi="Times New Roman"/>
          <w:sz w:val="24"/>
        </w:rPr>
        <w:t xml:space="preserve"> at </w:t>
      </w:r>
      <w:r w:rsidR="008B6A44" w:rsidRPr="007225C9">
        <w:rPr>
          <w:rFonts w:ascii="Times New Roman" w:hAnsi="Times New Roman"/>
          <w:sz w:val="24"/>
        </w:rPr>
        <w:t>730</w:t>
      </w:r>
      <w:r w:rsidR="00B80D5D" w:rsidRPr="007225C9">
        <w:rPr>
          <w:rFonts w:ascii="Times New Roman" w:hAnsi="Times New Roman"/>
          <w:sz w:val="24"/>
        </w:rPr>
        <w:t xml:space="preserve"> </w:t>
      </w:r>
      <w:r w:rsidR="00013FC2" w:rsidRPr="007225C9">
        <w:rPr>
          <w:rFonts w:ascii="Times New Roman" w:hAnsi="Times New Roman"/>
          <w:sz w:val="24"/>
        </w:rPr>
        <w:t>[35]</w:t>
      </w:r>
      <w:r w:rsidR="003B6C90" w:rsidRPr="007225C9">
        <w:rPr>
          <w:rFonts w:ascii="Times New Roman" w:hAnsi="Times New Roman"/>
          <w:sz w:val="24"/>
        </w:rPr>
        <w:t xml:space="preserve">. </w:t>
      </w:r>
    </w:p>
  </w:footnote>
  <w:footnote w:id="25">
    <w:p w14:paraId="055FA099" w14:textId="37893599" w:rsidR="003B6C90" w:rsidRPr="007225C9" w:rsidRDefault="003B6C90"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Pr="007225C9">
        <w:rPr>
          <w:rFonts w:ascii="Times New Roman" w:hAnsi="Times New Roman"/>
          <w:sz w:val="24"/>
        </w:rPr>
        <w:tab/>
      </w:r>
      <w:proofErr w:type="spellStart"/>
      <w:r w:rsidR="00893318" w:rsidRPr="007225C9">
        <w:rPr>
          <w:rFonts w:ascii="Times New Roman" w:hAnsi="Times New Roman"/>
          <w:sz w:val="24"/>
        </w:rPr>
        <w:t>cf</w:t>
      </w:r>
      <w:proofErr w:type="spellEnd"/>
      <w:r w:rsidR="00893318" w:rsidRPr="007225C9">
        <w:rPr>
          <w:rFonts w:ascii="Times New Roman" w:hAnsi="Times New Roman"/>
          <w:sz w:val="24"/>
        </w:rPr>
        <w:t xml:space="preserve"> </w:t>
      </w:r>
      <w:r w:rsidRPr="007225C9">
        <w:rPr>
          <w:rFonts w:ascii="Times New Roman" w:hAnsi="Times New Roman"/>
          <w:sz w:val="24"/>
        </w:rPr>
        <w:t xml:space="preserve">(2025) 99 ALJR 396 at </w:t>
      </w:r>
      <w:r w:rsidR="00372728" w:rsidRPr="007225C9">
        <w:rPr>
          <w:rFonts w:ascii="Times New Roman" w:hAnsi="Times New Roman"/>
          <w:sz w:val="24"/>
        </w:rPr>
        <w:t xml:space="preserve">430 </w:t>
      </w:r>
      <w:r w:rsidRPr="007225C9">
        <w:rPr>
          <w:rFonts w:ascii="Times New Roman" w:hAnsi="Times New Roman"/>
          <w:sz w:val="24"/>
        </w:rPr>
        <w:t>[</w:t>
      </w:r>
      <w:r w:rsidR="00372728" w:rsidRPr="007225C9">
        <w:rPr>
          <w:rFonts w:ascii="Times New Roman" w:hAnsi="Times New Roman"/>
          <w:sz w:val="24"/>
        </w:rPr>
        <w:t>138</w:t>
      </w:r>
      <w:r w:rsidRPr="007225C9">
        <w:rPr>
          <w:rFonts w:ascii="Times New Roman" w:hAnsi="Times New Roman"/>
          <w:sz w:val="24"/>
        </w:rPr>
        <w:t>]</w:t>
      </w:r>
      <w:r w:rsidR="00372728" w:rsidRPr="007225C9">
        <w:rPr>
          <w:rFonts w:ascii="Times New Roman" w:hAnsi="Times New Roman"/>
          <w:sz w:val="24"/>
        </w:rPr>
        <w:t xml:space="preserve">, 431 </w:t>
      </w:r>
      <w:r w:rsidR="002732D1" w:rsidRPr="007225C9">
        <w:rPr>
          <w:rFonts w:ascii="Times New Roman" w:hAnsi="Times New Roman"/>
          <w:sz w:val="24"/>
        </w:rPr>
        <w:t>[</w:t>
      </w:r>
      <w:r w:rsidR="00372728" w:rsidRPr="007225C9">
        <w:rPr>
          <w:rFonts w:ascii="Times New Roman" w:hAnsi="Times New Roman"/>
          <w:sz w:val="24"/>
        </w:rPr>
        <w:t>140</w:t>
      </w:r>
      <w:r w:rsidR="002732D1" w:rsidRPr="007225C9">
        <w:rPr>
          <w:rFonts w:ascii="Times New Roman" w:hAnsi="Times New Roman"/>
          <w:sz w:val="24"/>
        </w:rPr>
        <w:t>]</w:t>
      </w:r>
      <w:r w:rsidR="00AB4453" w:rsidRPr="007225C9">
        <w:rPr>
          <w:rFonts w:ascii="Times New Roman" w:hAnsi="Times New Roman"/>
          <w:sz w:val="24"/>
        </w:rPr>
        <w:t>; 421 ALR 376 at</w:t>
      </w:r>
      <w:r w:rsidR="00D431B9" w:rsidRPr="007225C9">
        <w:rPr>
          <w:rFonts w:ascii="Times New Roman" w:hAnsi="Times New Roman"/>
          <w:sz w:val="24"/>
        </w:rPr>
        <w:t xml:space="preserve"> 411-412</w:t>
      </w:r>
      <w:r w:rsidRPr="007225C9">
        <w:rPr>
          <w:rFonts w:ascii="Times New Roman" w:hAnsi="Times New Roman"/>
          <w:sz w:val="24"/>
        </w:rPr>
        <w:t xml:space="preserve">. </w:t>
      </w:r>
    </w:p>
  </w:footnote>
  <w:footnote w:id="26">
    <w:p w14:paraId="44466463" w14:textId="0C61F8A1" w:rsidR="00F66D1F" w:rsidRPr="007225C9" w:rsidRDefault="00F66D1F"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004C1128" w:rsidRPr="007225C9">
        <w:rPr>
          <w:rFonts w:ascii="Times New Roman" w:hAnsi="Times New Roman"/>
          <w:sz w:val="24"/>
        </w:rPr>
        <w:tab/>
        <w:t>(2013) 252 CLR 118 at 136 [4</w:t>
      </w:r>
      <w:r w:rsidR="00CF1259" w:rsidRPr="007225C9">
        <w:rPr>
          <w:rFonts w:ascii="Times New Roman" w:hAnsi="Times New Roman"/>
          <w:sz w:val="24"/>
        </w:rPr>
        <w:t>0</w:t>
      </w:r>
      <w:r w:rsidR="004C1128" w:rsidRPr="007225C9">
        <w:rPr>
          <w:rFonts w:ascii="Times New Roman" w:hAnsi="Times New Roman"/>
          <w:sz w:val="24"/>
        </w:rPr>
        <w:t>]</w:t>
      </w:r>
      <w:r w:rsidR="00CF1259" w:rsidRPr="007225C9">
        <w:rPr>
          <w:rFonts w:ascii="Times New Roman" w:hAnsi="Times New Roman"/>
          <w:sz w:val="24"/>
        </w:rPr>
        <w:t xml:space="preserve">, quoting Kelsen, </w:t>
      </w:r>
      <w:r w:rsidR="00CF1259" w:rsidRPr="007225C9">
        <w:rPr>
          <w:rFonts w:ascii="Times New Roman" w:hAnsi="Times New Roman"/>
          <w:i/>
          <w:iCs/>
          <w:sz w:val="24"/>
        </w:rPr>
        <w:t xml:space="preserve">General Theory of Law and State </w:t>
      </w:r>
      <w:r w:rsidR="00CF1259" w:rsidRPr="007225C9">
        <w:rPr>
          <w:rFonts w:ascii="Times New Roman" w:hAnsi="Times New Roman"/>
          <w:sz w:val="24"/>
        </w:rPr>
        <w:t>(1945) at 160</w:t>
      </w:r>
      <w:r w:rsidR="004C1128" w:rsidRPr="007225C9">
        <w:rPr>
          <w:rFonts w:ascii="Times New Roman" w:hAnsi="Times New Roman"/>
          <w:sz w:val="24"/>
        </w:rPr>
        <w:t>.</w:t>
      </w:r>
    </w:p>
  </w:footnote>
  <w:footnote w:id="27">
    <w:p w14:paraId="4606923A" w14:textId="2C33555C" w:rsidR="006F062B" w:rsidRPr="007225C9" w:rsidRDefault="006F062B"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00676791" w:rsidRPr="007225C9">
        <w:rPr>
          <w:rFonts w:ascii="Times New Roman" w:hAnsi="Times New Roman"/>
          <w:sz w:val="24"/>
        </w:rPr>
        <w:tab/>
        <w:t xml:space="preserve">(2021) 273 CLR 43 at </w:t>
      </w:r>
      <w:r w:rsidR="0066019E" w:rsidRPr="007225C9">
        <w:rPr>
          <w:rFonts w:ascii="Times New Roman" w:hAnsi="Times New Roman"/>
          <w:sz w:val="24"/>
        </w:rPr>
        <w:t>66</w:t>
      </w:r>
      <w:r w:rsidR="00A23BDB" w:rsidRPr="007225C9">
        <w:rPr>
          <w:rFonts w:ascii="Times New Roman" w:hAnsi="Times New Roman"/>
          <w:sz w:val="24"/>
        </w:rPr>
        <w:t xml:space="preserve"> </w:t>
      </w:r>
      <w:r w:rsidR="00676791" w:rsidRPr="007225C9">
        <w:rPr>
          <w:rFonts w:ascii="Times New Roman" w:hAnsi="Times New Roman"/>
          <w:sz w:val="24"/>
        </w:rPr>
        <w:t xml:space="preserve">[33]-[34], </w:t>
      </w:r>
      <w:r w:rsidR="00A23BDB" w:rsidRPr="007225C9">
        <w:rPr>
          <w:rFonts w:ascii="Times New Roman" w:hAnsi="Times New Roman"/>
          <w:sz w:val="24"/>
        </w:rPr>
        <w:t xml:space="preserve">72 </w:t>
      </w:r>
      <w:r w:rsidR="00676791" w:rsidRPr="007225C9">
        <w:rPr>
          <w:rFonts w:ascii="Times New Roman" w:hAnsi="Times New Roman"/>
          <w:sz w:val="24"/>
        </w:rPr>
        <w:t xml:space="preserve">[48], </w:t>
      </w:r>
      <w:r w:rsidR="00A23BDB" w:rsidRPr="007225C9">
        <w:rPr>
          <w:rFonts w:ascii="Times New Roman" w:hAnsi="Times New Roman"/>
          <w:sz w:val="24"/>
        </w:rPr>
        <w:t xml:space="preserve">73-74 </w:t>
      </w:r>
      <w:r w:rsidR="00676791" w:rsidRPr="007225C9">
        <w:rPr>
          <w:rFonts w:ascii="Times New Roman" w:hAnsi="Times New Roman"/>
          <w:sz w:val="24"/>
        </w:rPr>
        <w:t>[52]-[53].</w:t>
      </w:r>
    </w:p>
  </w:footnote>
  <w:footnote w:id="28">
    <w:p w14:paraId="109ABD1C" w14:textId="4FB537AA" w:rsidR="00A647AD" w:rsidRPr="007225C9" w:rsidRDefault="00A647AD"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Pr="007225C9">
        <w:rPr>
          <w:rFonts w:ascii="Times New Roman" w:hAnsi="Times New Roman"/>
          <w:sz w:val="24"/>
        </w:rPr>
        <w:tab/>
      </w:r>
      <w:proofErr w:type="spellStart"/>
      <w:r w:rsidR="0044023F" w:rsidRPr="007225C9">
        <w:rPr>
          <w:rFonts w:ascii="Times New Roman" w:hAnsi="Times New Roman"/>
          <w:sz w:val="24"/>
        </w:rPr>
        <w:t>cf</w:t>
      </w:r>
      <w:proofErr w:type="spellEnd"/>
      <w:r w:rsidR="0044023F" w:rsidRPr="007225C9">
        <w:rPr>
          <w:rFonts w:ascii="Times New Roman" w:hAnsi="Times New Roman"/>
          <w:sz w:val="24"/>
        </w:rPr>
        <w:t xml:space="preserve"> </w:t>
      </w:r>
      <w:r w:rsidR="009A3320" w:rsidRPr="007225C9">
        <w:rPr>
          <w:rFonts w:ascii="Times New Roman" w:hAnsi="Times New Roman"/>
          <w:i/>
          <w:iCs/>
          <w:sz w:val="24"/>
        </w:rPr>
        <w:t>Deacon v Grimshaw</w:t>
      </w:r>
      <w:r w:rsidR="00D60230" w:rsidRPr="007225C9">
        <w:rPr>
          <w:rFonts w:ascii="Times New Roman" w:hAnsi="Times New Roman"/>
          <w:sz w:val="24"/>
        </w:rPr>
        <w:t xml:space="preserve">, reported with </w:t>
      </w:r>
      <w:r w:rsidR="00D60230" w:rsidRPr="007225C9">
        <w:rPr>
          <w:rFonts w:ascii="Times New Roman" w:hAnsi="Times New Roman"/>
          <w:i/>
          <w:iCs/>
          <w:sz w:val="24"/>
        </w:rPr>
        <w:t>Antill Ranger</w:t>
      </w:r>
      <w:r w:rsidR="00ED1C5A" w:rsidRPr="007225C9">
        <w:rPr>
          <w:rFonts w:ascii="Times New Roman" w:hAnsi="Times New Roman"/>
          <w:i/>
          <w:iCs/>
          <w:sz w:val="24"/>
        </w:rPr>
        <w:t xml:space="preserve"> &amp; Co Pty Ltd v Commissioner for Motor Transport</w:t>
      </w:r>
      <w:r w:rsidR="009A3320" w:rsidRPr="007225C9">
        <w:rPr>
          <w:rFonts w:ascii="Times New Roman" w:hAnsi="Times New Roman"/>
          <w:i/>
          <w:iCs/>
          <w:sz w:val="24"/>
        </w:rPr>
        <w:t xml:space="preserve"> </w:t>
      </w:r>
      <w:r w:rsidR="009A3320" w:rsidRPr="007225C9">
        <w:rPr>
          <w:rFonts w:ascii="Times New Roman" w:hAnsi="Times New Roman"/>
          <w:sz w:val="24"/>
        </w:rPr>
        <w:t>(1955) 93 CLR 83 at 104-10</w:t>
      </w:r>
      <w:r w:rsidR="00DA4456" w:rsidRPr="007225C9">
        <w:rPr>
          <w:rFonts w:ascii="Times New Roman" w:hAnsi="Times New Roman"/>
          <w:sz w:val="24"/>
        </w:rPr>
        <w:t>8</w:t>
      </w:r>
      <w:r w:rsidR="009A3320" w:rsidRPr="007225C9">
        <w:rPr>
          <w:rFonts w:ascii="Times New Roman" w:hAnsi="Times New Roman"/>
          <w:sz w:val="24"/>
        </w:rPr>
        <w:t xml:space="preserve">. </w:t>
      </w:r>
    </w:p>
  </w:footnote>
  <w:footnote w:id="29">
    <w:p w14:paraId="12B242DE" w14:textId="56AD4363" w:rsidR="009A3320" w:rsidRPr="007225C9" w:rsidRDefault="009A3320"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Pr="007225C9">
        <w:rPr>
          <w:rFonts w:ascii="Times New Roman" w:hAnsi="Times New Roman"/>
          <w:sz w:val="24"/>
        </w:rPr>
        <w:tab/>
      </w:r>
      <w:proofErr w:type="spellStart"/>
      <w:r w:rsidR="0044023F" w:rsidRPr="007225C9">
        <w:rPr>
          <w:rFonts w:ascii="Times New Roman" w:hAnsi="Times New Roman"/>
          <w:sz w:val="24"/>
        </w:rPr>
        <w:t>cf</w:t>
      </w:r>
      <w:proofErr w:type="spellEnd"/>
      <w:r w:rsidR="0044023F" w:rsidRPr="007225C9">
        <w:rPr>
          <w:rFonts w:ascii="Times New Roman" w:hAnsi="Times New Roman"/>
          <w:sz w:val="24"/>
        </w:rPr>
        <w:t xml:space="preserve"> </w:t>
      </w:r>
      <w:r w:rsidR="0044023F" w:rsidRPr="007225C9">
        <w:rPr>
          <w:rFonts w:ascii="Times New Roman" w:hAnsi="Times New Roman"/>
          <w:i/>
          <w:iCs/>
          <w:sz w:val="24"/>
        </w:rPr>
        <w:t xml:space="preserve">MacDonald v Beare </w:t>
      </w:r>
      <w:r w:rsidR="0044023F" w:rsidRPr="007225C9">
        <w:rPr>
          <w:rFonts w:ascii="Times New Roman" w:hAnsi="Times New Roman"/>
          <w:sz w:val="24"/>
        </w:rPr>
        <w:t xml:space="preserve">(1904) 1 CLR 513 at 523-524. </w:t>
      </w:r>
    </w:p>
  </w:footnote>
  <w:footnote w:id="30">
    <w:p w14:paraId="7BF972FD" w14:textId="41796FBB" w:rsidR="00372BCF" w:rsidRPr="007225C9" w:rsidRDefault="00372BCF"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Pr="007225C9">
        <w:rPr>
          <w:rFonts w:ascii="Times New Roman" w:hAnsi="Times New Roman"/>
          <w:sz w:val="24"/>
        </w:rPr>
        <w:tab/>
      </w:r>
      <w:r w:rsidRPr="007225C9">
        <w:rPr>
          <w:rFonts w:ascii="Times New Roman" w:hAnsi="Times New Roman"/>
          <w:i/>
          <w:iCs/>
          <w:sz w:val="24"/>
        </w:rPr>
        <w:t xml:space="preserve">A v Hayden </w:t>
      </w:r>
      <w:r w:rsidRPr="007225C9">
        <w:rPr>
          <w:rFonts w:ascii="Times New Roman" w:hAnsi="Times New Roman"/>
          <w:sz w:val="24"/>
        </w:rPr>
        <w:t xml:space="preserve">(1984) 156 CLR 532 at 562, 580; </w:t>
      </w:r>
      <w:r w:rsidRPr="007225C9">
        <w:rPr>
          <w:rFonts w:ascii="Times New Roman" w:hAnsi="Times New Roman"/>
          <w:i/>
          <w:iCs/>
          <w:sz w:val="24"/>
        </w:rPr>
        <w:t xml:space="preserve">Re Residential Tenancies Tribunal (NSW); Ex </w:t>
      </w:r>
      <w:proofErr w:type="spellStart"/>
      <w:r w:rsidRPr="007225C9">
        <w:rPr>
          <w:rFonts w:ascii="Times New Roman" w:hAnsi="Times New Roman"/>
          <w:i/>
          <w:iCs/>
          <w:sz w:val="24"/>
        </w:rPr>
        <w:t>parte</w:t>
      </w:r>
      <w:proofErr w:type="spellEnd"/>
      <w:r w:rsidRPr="007225C9">
        <w:rPr>
          <w:rFonts w:ascii="Times New Roman" w:hAnsi="Times New Roman"/>
          <w:i/>
          <w:iCs/>
          <w:sz w:val="24"/>
        </w:rPr>
        <w:t xml:space="preserve"> Defence Housing Authority</w:t>
      </w:r>
      <w:r w:rsidRPr="007225C9">
        <w:rPr>
          <w:rFonts w:ascii="Times New Roman" w:hAnsi="Times New Roman"/>
          <w:sz w:val="24"/>
        </w:rPr>
        <w:t xml:space="preserve"> (1997) 190 CLR 410 at 427-428; </w:t>
      </w:r>
      <w:r w:rsidRPr="007225C9">
        <w:rPr>
          <w:rFonts w:ascii="Times New Roman" w:hAnsi="Times New Roman"/>
          <w:i/>
          <w:iCs/>
          <w:sz w:val="24"/>
        </w:rPr>
        <w:t>Chief Executive Officer, Aboriginal Areas Protection Authority v Director of National Parks</w:t>
      </w:r>
      <w:r w:rsidRPr="007225C9">
        <w:rPr>
          <w:rFonts w:ascii="Times New Roman" w:hAnsi="Times New Roman"/>
          <w:sz w:val="24"/>
        </w:rPr>
        <w:t xml:space="preserve"> (2024)</w:t>
      </w:r>
      <w:r w:rsidR="005F2FFD" w:rsidRPr="007225C9">
        <w:rPr>
          <w:rFonts w:ascii="Times New Roman" w:hAnsi="Times New Roman"/>
          <w:sz w:val="24"/>
        </w:rPr>
        <w:t xml:space="preserve"> </w:t>
      </w:r>
      <w:r w:rsidR="007A3A98" w:rsidRPr="007225C9">
        <w:rPr>
          <w:rFonts w:ascii="Times New Roman" w:hAnsi="Times New Roman"/>
          <w:sz w:val="24"/>
        </w:rPr>
        <w:t>281 CLR 525</w:t>
      </w:r>
      <w:r w:rsidRPr="007225C9">
        <w:rPr>
          <w:rFonts w:ascii="Times New Roman" w:hAnsi="Times New Roman"/>
          <w:sz w:val="24"/>
        </w:rPr>
        <w:t xml:space="preserve"> at </w:t>
      </w:r>
      <w:r w:rsidR="007A3A98" w:rsidRPr="007225C9">
        <w:rPr>
          <w:rFonts w:ascii="Times New Roman" w:hAnsi="Times New Roman"/>
          <w:sz w:val="24"/>
        </w:rPr>
        <w:t>536</w:t>
      </w:r>
      <w:r w:rsidR="0028204C" w:rsidRPr="007225C9">
        <w:rPr>
          <w:rFonts w:ascii="Times New Roman" w:hAnsi="Times New Roman"/>
          <w:sz w:val="24"/>
        </w:rPr>
        <w:t xml:space="preserve"> </w:t>
      </w:r>
      <w:r w:rsidRPr="007225C9">
        <w:rPr>
          <w:rFonts w:ascii="Times New Roman" w:hAnsi="Times New Roman"/>
          <w:sz w:val="24"/>
        </w:rPr>
        <w:t>[15]-[16].</w:t>
      </w:r>
    </w:p>
  </w:footnote>
  <w:footnote w:id="31">
    <w:p w14:paraId="2BBD468D" w14:textId="34A94C88" w:rsidR="00372BCF" w:rsidRPr="007225C9" w:rsidRDefault="00372BCF"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Pr="007225C9">
        <w:rPr>
          <w:rFonts w:ascii="Times New Roman" w:hAnsi="Times New Roman"/>
          <w:sz w:val="24"/>
        </w:rPr>
        <w:tab/>
      </w:r>
      <w:r w:rsidRPr="007225C9">
        <w:rPr>
          <w:rFonts w:ascii="Times New Roman" w:hAnsi="Times New Roman"/>
          <w:i/>
          <w:iCs/>
          <w:sz w:val="24"/>
        </w:rPr>
        <w:t>Port of Portland Pty Ltd v Victoria</w:t>
      </w:r>
      <w:r w:rsidRPr="007225C9">
        <w:rPr>
          <w:rFonts w:ascii="Times New Roman" w:hAnsi="Times New Roman"/>
          <w:sz w:val="24"/>
        </w:rPr>
        <w:t xml:space="preserve"> (2010)</w:t>
      </w:r>
      <w:r w:rsidR="00241736" w:rsidRPr="007225C9">
        <w:rPr>
          <w:rFonts w:ascii="Times New Roman" w:hAnsi="Times New Roman"/>
          <w:sz w:val="24"/>
        </w:rPr>
        <w:t xml:space="preserve"> 242 CLR 348</w:t>
      </w:r>
      <w:r w:rsidRPr="007225C9">
        <w:rPr>
          <w:rFonts w:ascii="Times New Roman" w:hAnsi="Times New Roman"/>
          <w:sz w:val="24"/>
        </w:rPr>
        <w:t xml:space="preserve"> at </w:t>
      </w:r>
      <w:r w:rsidR="00D03EB5" w:rsidRPr="007225C9">
        <w:rPr>
          <w:rFonts w:ascii="Times New Roman" w:hAnsi="Times New Roman"/>
          <w:sz w:val="24"/>
        </w:rPr>
        <w:t xml:space="preserve">359-360 </w:t>
      </w:r>
      <w:r w:rsidRPr="007225C9">
        <w:rPr>
          <w:rFonts w:ascii="Times New Roman" w:hAnsi="Times New Roman"/>
          <w:sz w:val="24"/>
        </w:rPr>
        <w:t>[13]</w:t>
      </w:r>
      <w:r w:rsidR="006B273E" w:rsidRPr="007225C9">
        <w:rPr>
          <w:rFonts w:ascii="Times New Roman" w:hAnsi="Times New Roman"/>
          <w:sz w:val="24"/>
        </w:rPr>
        <w:t xml:space="preserve"> (footnotes omitted)</w:t>
      </w:r>
      <w:r w:rsidR="008D5A0A" w:rsidRPr="007225C9">
        <w:rPr>
          <w:rFonts w:ascii="Times New Roman" w:hAnsi="Times New Roman"/>
          <w:sz w:val="24"/>
        </w:rPr>
        <w:t>,</w:t>
      </w:r>
      <w:r w:rsidRPr="007225C9">
        <w:rPr>
          <w:rFonts w:ascii="Times New Roman" w:hAnsi="Times New Roman"/>
          <w:sz w:val="24"/>
        </w:rPr>
        <w:t xml:space="preserve"> quoting </w:t>
      </w:r>
      <w:r w:rsidRPr="007225C9">
        <w:rPr>
          <w:rFonts w:ascii="Times New Roman" w:hAnsi="Times New Roman"/>
          <w:i/>
          <w:iCs/>
          <w:sz w:val="24"/>
        </w:rPr>
        <w:t xml:space="preserve">Cam and Sons Pty Ltd v Ramsay </w:t>
      </w:r>
      <w:r w:rsidRPr="007225C9">
        <w:rPr>
          <w:rFonts w:ascii="Times New Roman" w:hAnsi="Times New Roman"/>
          <w:sz w:val="24"/>
        </w:rPr>
        <w:t xml:space="preserve">(1960) 104 CLR 247 at 258 and </w:t>
      </w:r>
      <w:r w:rsidR="008D5A0A" w:rsidRPr="007225C9">
        <w:rPr>
          <w:rFonts w:ascii="Times New Roman" w:hAnsi="Times New Roman"/>
          <w:i/>
          <w:iCs/>
          <w:sz w:val="24"/>
        </w:rPr>
        <w:t xml:space="preserve">Fitzgerald v Muldoon </w:t>
      </w:r>
      <w:r w:rsidR="008D5A0A" w:rsidRPr="007225C9">
        <w:rPr>
          <w:rFonts w:ascii="Times New Roman" w:hAnsi="Times New Roman"/>
          <w:sz w:val="24"/>
        </w:rPr>
        <w:t>[1976] 2 NZLR 615 at 622.</w:t>
      </w:r>
    </w:p>
  </w:footnote>
  <w:footnote w:id="32">
    <w:p w14:paraId="5A656C71" w14:textId="11637831" w:rsidR="00B11B39" w:rsidRPr="007225C9" w:rsidRDefault="00B11B39"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Pr="007225C9">
        <w:rPr>
          <w:rFonts w:ascii="Times New Roman" w:hAnsi="Times New Roman"/>
          <w:sz w:val="24"/>
        </w:rPr>
        <w:tab/>
      </w:r>
      <w:r w:rsidRPr="007225C9">
        <w:rPr>
          <w:rFonts w:ascii="Times New Roman" w:hAnsi="Times New Roman"/>
          <w:i/>
          <w:iCs/>
          <w:sz w:val="24"/>
        </w:rPr>
        <w:t xml:space="preserve">Shaw Savill and Albion Co Ltd v The Commonwealth </w:t>
      </w:r>
      <w:r w:rsidRPr="007225C9">
        <w:rPr>
          <w:rFonts w:ascii="Times New Roman" w:hAnsi="Times New Roman"/>
          <w:sz w:val="24"/>
        </w:rPr>
        <w:t xml:space="preserve">(1940) </w:t>
      </w:r>
      <w:r w:rsidR="00C12846" w:rsidRPr="007225C9">
        <w:rPr>
          <w:rFonts w:ascii="Times New Roman" w:hAnsi="Times New Roman"/>
          <w:sz w:val="24"/>
        </w:rPr>
        <w:t>66 CLR 344</w:t>
      </w:r>
      <w:r w:rsidR="00691893" w:rsidRPr="007225C9">
        <w:rPr>
          <w:rFonts w:ascii="Times New Roman" w:hAnsi="Times New Roman"/>
          <w:sz w:val="24"/>
        </w:rPr>
        <w:t xml:space="preserve"> at 355</w:t>
      </w:r>
      <w:r w:rsidR="00C12846" w:rsidRPr="007225C9">
        <w:rPr>
          <w:rFonts w:ascii="Times New Roman" w:hAnsi="Times New Roman"/>
          <w:sz w:val="24"/>
        </w:rPr>
        <w:t>.</w:t>
      </w:r>
    </w:p>
  </w:footnote>
  <w:footnote w:id="33">
    <w:p w14:paraId="68335BEC" w14:textId="40921FC8" w:rsidR="00463337" w:rsidRPr="007225C9" w:rsidRDefault="00463337"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Pr="007225C9">
        <w:rPr>
          <w:rFonts w:ascii="Times New Roman" w:hAnsi="Times New Roman"/>
          <w:sz w:val="24"/>
        </w:rPr>
        <w:tab/>
      </w:r>
      <w:r w:rsidR="00A3257A" w:rsidRPr="007225C9">
        <w:rPr>
          <w:rFonts w:ascii="Times New Roman" w:hAnsi="Times New Roman"/>
          <w:sz w:val="24"/>
        </w:rPr>
        <w:t>Heuston and Buckley</w:t>
      </w:r>
      <w:r w:rsidR="00884F0C" w:rsidRPr="007225C9">
        <w:rPr>
          <w:rFonts w:ascii="Times New Roman" w:hAnsi="Times New Roman"/>
          <w:sz w:val="24"/>
        </w:rPr>
        <w:t xml:space="preserve">, </w:t>
      </w:r>
      <w:r w:rsidR="00884F0C" w:rsidRPr="007225C9">
        <w:rPr>
          <w:rFonts w:ascii="Times New Roman" w:hAnsi="Times New Roman"/>
          <w:i/>
          <w:iCs/>
          <w:sz w:val="24"/>
        </w:rPr>
        <w:t xml:space="preserve">Salmond </w:t>
      </w:r>
      <w:r w:rsidR="00420006" w:rsidRPr="007225C9">
        <w:rPr>
          <w:rFonts w:ascii="Times New Roman" w:hAnsi="Times New Roman"/>
          <w:i/>
          <w:iCs/>
          <w:sz w:val="24"/>
        </w:rPr>
        <w:t>and</w:t>
      </w:r>
      <w:r w:rsidR="00884F0C" w:rsidRPr="007225C9">
        <w:rPr>
          <w:rFonts w:ascii="Times New Roman" w:hAnsi="Times New Roman"/>
          <w:i/>
          <w:iCs/>
          <w:sz w:val="24"/>
        </w:rPr>
        <w:t xml:space="preserve"> Heuston on the Law of Torts</w:t>
      </w:r>
      <w:r w:rsidR="00B440D6" w:rsidRPr="007225C9">
        <w:rPr>
          <w:rFonts w:ascii="Times New Roman" w:hAnsi="Times New Roman"/>
          <w:sz w:val="24"/>
        </w:rPr>
        <w:t>, 21st ed (1996) at</w:t>
      </w:r>
      <w:r w:rsidR="00552998" w:rsidRPr="007225C9">
        <w:rPr>
          <w:rFonts w:ascii="Times New Roman" w:hAnsi="Times New Roman"/>
          <w:sz w:val="24"/>
        </w:rPr>
        <w:t xml:space="preserve"> 404. </w:t>
      </w:r>
      <w:r w:rsidR="00FE1432" w:rsidRPr="007225C9">
        <w:rPr>
          <w:rFonts w:ascii="Times New Roman" w:hAnsi="Times New Roman"/>
          <w:sz w:val="24"/>
        </w:rPr>
        <w:t xml:space="preserve">See also </w:t>
      </w:r>
      <w:proofErr w:type="spellStart"/>
      <w:r w:rsidR="00FE1432" w:rsidRPr="007225C9">
        <w:rPr>
          <w:rFonts w:ascii="Times New Roman" w:hAnsi="Times New Roman"/>
          <w:i/>
          <w:iCs/>
          <w:sz w:val="24"/>
        </w:rPr>
        <w:t>Eshugbayi</w:t>
      </w:r>
      <w:proofErr w:type="spellEnd"/>
      <w:r w:rsidR="00FE1432" w:rsidRPr="007225C9">
        <w:rPr>
          <w:rFonts w:ascii="Times New Roman" w:hAnsi="Times New Roman"/>
          <w:i/>
          <w:iCs/>
          <w:sz w:val="24"/>
        </w:rPr>
        <w:t xml:space="preserve"> </w:t>
      </w:r>
      <w:proofErr w:type="spellStart"/>
      <w:r w:rsidR="00FE1432" w:rsidRPr="007225C9">
        <w:rPr>
          <w:rFonts w:ascii="Times New Roman" w:hAnsi="Times New Roman"/>
          <w:i/>
          <w:iCs/>
          <w:sz w:val="24"/>
        </w:rPr>
        <w:t>Eleko</w:t>
      </w:r>
      <w:proofErr w:type="spellEnd"/>
      <w:r w:rsidR="00FE1432" w:rsidRPr="007225C9">
        <w:rPr>
          <w:rFonts w:ascii="Times New Roman" w:hAnsi="Times New Roman"/>
          <w:i/>
          <w:iCs/>
          <w:sz w:val="24"/>
        </w:rPr>
        <w:t xml:space="preserve"> v Government of Nigeria (Officer Administering)</w:t>
      </w:r>
      <w:r w:rsidR="00FE1432" w:rsidRPr="007225C9">
        <w:rPr>
          <w:rFonts w:ascii="Times New Roman" w:hAnsi="Times New Roman"/>
          <w:sz w:val="24"/>
        </w:rPr>
        <w:t xml:space="preserve"> [1931] AC 662 at 670.</w:t>
      </w:r>
    </w:p>
  </w:footnote>
  <w:footnote w:id="34">
    <w:p w14:paraId="595567DB" w14:textId="4FE75F6A" w:rsidR="0077756E" w:rsidRPr="007225C9" w:rsidRDefault="0077756E"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Pr="007225C9">
        <w:rPr>
          <w:rFonts w:ascii="Times New Roman" w:hAnsi="Times New Roman"/>
          <w:sz w:val="24"/>
        </w:rPr>
        <w:tab/>
      </w:r>
      <w:r w:rsidR="000B345F" w:rsidRPr="007225C9">
        <w:rPr>
          <w:rFonts w:ascii="Times New Roman" w:hAnsi="Times New Roman"/>
          <w:i/>
          <w:iCs/>
          <w:sz w:val="24"/>
        </w:rPr>
        <w:t>Coco v The Queen</w:t>
      </w:r>
      <w:r w:rsidR="00E4783E" w:rsidRPr="007225C9">
        <w:rPr>
          <w:rFonts w:ascii="Times New Roman" w:hAnsi="Times New Roman"/>
          <w:sz w:val="24"/>
        </w:rPr>
        <w:t xml:space="preserve"> (1994) 179 CLR 427 at 436</w:t>
      </w:r>
      <w:r w:rsidR="00FF4ED1" w:rsidRPr="007225C9">
        <w:rPr>
          <w:rFonts w:ascii="Times New Roman" w:hAnsi="Times New Roman"/>
          <w:sz w:val="24"/>
        </w:rPr>
        <w:t>. See also</w:t>
      </w:r>
      <w:r w:rsidR="006B6828" w:rsidRPr="007225C9">
        <w:rPr>
          <w:rFonts w:ascii="Times New Roman" w:hAnsi="Times New Roman"/>
          <w:sz w:val="24"/>
        </w:rPr>
        <w:t xml:space="preserve"> </w:t>
      </w:r>
      <w:proofErr w:type="spellStart"/>
      <w:r w:rsidR="006B6828" w:rsidRPr="007225C9">
        <w:rPr>
          <w:rFonts w:ascii="Times New Roman" w:hAnsi="Times New Roman"/>
          <w:i/>
          <w:iCs/>
          <w:sz w:val="24"/>
        </w:rPr>
        <w:t>Puntoriero</w:t>
      </w:r>
      <w:proofErr w:type="spellEnd"/>
      <w:r w:rsidR="006B6828" w:rsidRPr="007225C9">
        <w:rPr>
          <w:rFonts w:ascii="Times New Roman" w:hAnsi="Times New Roman"/>
          <w:i/>
          <w:iCs/>
          <w:sz w:val="24"/>
        </w:rPr>
        <w:t xml:space="preserve"> v Water Administration Ministerial Corporation</w:t>
      </w:r>
      <w:r w:rsidR="00B4151F" w:rsidRPr="007225C9">
        <w:rPr>
          <w:rFonts w:ascii="Times New Roman" w:hAnsi="Times New Roman"/>
          <w:i/>
          <w:iCs/>
          <w:sz w:val="24"/>
        </w:rPr>
        <w:t xml:space="preserve"> </w:t>
      </w:r>
      <w:r w:rsidR="00B4151F" w:rsidRPr="007225C9">
        <w:rPr>
          <w:rFonts w:ascii="Times New Roman" w:hAnsi="Times New Roman"/>
          <w:sz w:val="24"/>
        </w:rPr>
        <w:t xml:space="preserve">(1999) 199 CLR 575 at </w:t>
      </w:r>
      <w:r w:rsidR="00A81A67" w:rsidRPr="007225C9">
        <w:rPr>
          <w:rFonts w:ascii="Times New Roman" w:hAnsi="Times New Roman"/>
          <w:sz w:val="24"/>
        </w:rPr>
        <w:t>587-588 [33].</w:t>
      </w:r>
    </w:p>
  </w:footnote>
  <w:footnote w:id="35">
    <w:p w14:paraId="207D21B4" w14:textId="01D18364" w:rsidR="00F30545" w:rsidRPr="007225C9" w:rsidRDefault="00F30545"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Pr="007225C9">
        <w:rPr>
          <w:rFonts w:ascii="Times New Roman" w:hAnsi="Times New Roman"/>
          <w:sz w:val="24"/>
        </w:rPr>
        <w:tab/>
      </w:r>
      <w:r w:rsidRPr="007225C9">
        <w:rPr>
          <w:rFonts w:ascii="Times New Roman" w:hAnsi="Times New Roman"/>
          <w:i/>
          <w:iCs/>
          <w:sz w:val="24"/>
        </w:rPr>
        <w:t>Ha v New South Wales</w:t>
      </w:r>
      <w:r w:rsidRPr="007225C9">
        <w:rPr>
          <w:rFonts w:ascii="Times New Roman" w:hAnsi="Times New Roman"/>
          <w:sz w:val="24"/>
        </w:rPr>
        <w:t xml:space="preserve"> (1997) 189 CLR 465 at 503</w:t>
      </w:r>
      <w:r w:rsidR="006B5876" w:rsidRPr="007225C9">
        <w:rPr>
          <w:rFonts w:ascii="Times New Roman" w:hAnsi="Times New Roman"/>
          <w:sz w:val="24"/>
        </w:rPr>
        <w:t>-504</w:t>
      </w:r>
      <w:r w:rsidR="00A95461" w:rsidRPr="007225C9">
        <w:rPr>
          <w:rFonts w:ascii="Times New Roman" w:hAnsi="Times New Roman"/>
          <w:sz w:val="24"/>
        </w:rPr>
        <w:t xml:space="preserve">, citing </w:t>
      </w:r>
      <w:r w:rsidR="00A95461" w:rsidRPr="007225C9">
        <w:rPr>
          <w:rFonts w:ascii="Times New Roman" w:hAnsi="Times New Roman"/>
          <w:i/>
          <w:iCs/>
          <w:sz w:val="24"/>
        </w:rPr>
        <w:t xml:space="preserve">Precision Data Holdings Ltd v Wills </w:t>
      </w:r>
      <w:r w:rsidR="00A95461" w:rsidRPr="007225C9">
        <w:rPr>
          <w:rFonts w:ascii="Times New Roman" w:hAnsi="Times New Roman"/>
          <w:sz w:val="24"/>
        </w:rPr>
        <w:t>(1991) 173 CLR 167 at 188</w:t>
      </w:r>
      <w:r w:rsidRPr="007225C9">
        <w:rPr>
          <w:rFonts w:ascii="Times New Roman" w:hAnsi="Times New Roman"/>
          <w:sz w:val="24"/>
        </w:rPr>
        <w:t>.</w:t>
      </w:r>
      <w:r w:rsidR="00F30912" w:rsidRPr="007225C9">
        <w:rPr>
          <w:rFonts w:ascii="Times New Roman" w:hAnsi="Times New Roman"/>
          <w:sz w:val="24"/>
        </w:rPr>
        <w:t xml:space="preserve"> See also</w:t>
      </w:r>
      <w:r w:rsidR="006F3506" w:rsidRPr="007225C9">
        <w:rPr>
          <w:rFonts w:ascii="Times New Roman" w:hAnsi="Times New Roman"/>
          <w:sz w:val="24"/>
        </w:rPr>
        <w:t xml:space="preserve"> Beswick, "Retroactive Adjudication" (2020) 130 </w:t>
      </w:r>
      <w:r w:rsidR="006F3506" w:rsidRPr="007225C9">
        <w:rPr>
          <w:rFonts w:ascii="Times New Roman" w:hAnsi="Times New Roman"/>
          <w:i/>
          <w:iCs/>
          <w:sz w:val="24"/>
        </w:rPr>
        <w:t>Yale Law Journal</w:t>
      </w:r>
      <w:r w:rsidR="006F3506" w:rsidRPr="007225C9">
        <w:rPr>
          <w:rFonts w:ascii="Times New Roman" w:hAnsi="Times New Roman"/>
          <w:sz w:val="24"/>
        </w:rPr>
        <w:t xml:space="preserve"> 276 at 286.</w:t>
      </w:r>
    </w:p>
  </w:footnote>
  <w:footnote w:id="36">
    <w:p w14:paraId="50471788" w14:textId="2A38AFA0" w:rsidR="0037224B" w:rsidRPr="007225C9" w:rsidRDefault="0037224B"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0043701F" w:rsidRPr="007225C9">
        <w:rPr>
          <w:rFonts w:ascii="Times New Roman" w:hAnsi="Times New Roman"/>
          <w:sz w:val="24"/>
        </w:rPr>
        <w:tab/>
      </w:r>
      <w:proofErr w:type="spellStart"/>
      <w:r w:rsidR="00291A0D" w:rsidRPr="007225C9">
        <w:rPr>
          <w:rFonts w:ascii="Times New Roman" w:hAnsi="Times New Roman"/>
          <w:i/>
          <w:iCs/>
          <w:sz w:val="24"/>
        </w:rPr>
        <w:t>Fencott</w:t>
      </w:r>
      <w:proofErr w:type="spellEnd"/>
      <w:r w:rsidR="00291A0D" w:rsidRPr="007225C9">
        <w:rPr>
          <w:rFonts w:ascii="Times New Roman" w:hAnsi="Times New Roman"/>
          <w:i/>
          <w:iCs/>
          <w:sz w:val="24"/>
        </w:rPr>
        <w:t xml:space="preserve"> v Muller</w:t>
      </w:r>
      <w:r w:rsidR="00291A0D" w:rsidRPr="007225C9">
        <w:rPr>
          <w:rFonts w:ascii="Times New Roman" w:hAnsi="Times New Roman"/>
          <w:sz w:val="24"/>
        </w:rPr>
        <w:t xml:space="preserve"> (1983) 152 CLR 570 at </w:t>
      </w:r>
      <w:r w:rsidR="00DF066A" w:rsidRPr="007225C9">
        <w:rPr>
          <w:rFonts w:ascii="Times New Roman" w:hAnsi="Times New Roman"/>
          <w:sz w:val="24"/>
        </w:rPr>
        <w:t xml:space="preserve">609. See also </w:t>
      </w:r>
      <w:r w:rsidR="00DF066A" w:rsidRPr="007225C9">
        <w:rPr>
          <w:rFonts w:ascii="Times New Roman" w:hAnsi="Times New Roman"/>
          <w:i/>
          <w:iCs/>
          <w:sz w:val="24"/>
        </w:rPr>
        <w:t>Clubb v Edwards</w:t>
      </w:r>
      <w:r w:rsidR="00DF066A" w:rsidRPr="007225C9">
        <w:rPr>
          <w:rFonts w:ascii="Times New Roman" w:hAnsi="Times New Roman"/>
          <w:sz w:val="24"/>
        </w:rPr>
        <w:t xml:space="preserve"> (2019) 267 CLR 171 at 217 [136].</w:t>
      </w:r>
    </w:p>
  </w:footnote>
  <w:footnote w:id="37">
    <w:p w14:paraId="24D25EB7" w14:textId="1D4004A6" w:rsidR="00DE0A34" w:rsidRPr="007225C9" w:rsidRDefault="00DE0A34"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Pr="007225C9">
        <w:rPr>
          <w:rFonts w:ascii="Times New Roman" w:hAnsi="Times New Roman"/>
          <w:sz w:val="24"/>
        </w:rPr>
        <w:tab/>
      </w:r>
      <w:r w:rsidRPr="007225C9">
        <w:rPr>
          <w:rFonts w:ascii="Times New Roman" w:hAnsi="Times New Roman"/>
          <w:i/>
          <w:iCs/>
          <w:sz w:val="24"/>
        </w:rPr>
        <w:t>Ha v New South Wales</w:t>
      </w:r>
      <w:r w:rsidRPr="007225C9">
        <w:rPr>
          <w:rFonts w:ascii="Times New Roman" w:hAnsi="Times New Roman"/>
          <w:sz w:val="24"/>
        </w:rPr>
        <w:t xml:space="preserve"> (1997) 189 CLR 465 at 504.</w:t>
      </w:r>
    </w:p>
  </w:footnote>
  <w:footnote w:id="38">
    <w:p w14:paraId="1AA9E0CF" w14:textId="3197F9C8" w:rsidR="0025264F" w:rsidRPr="007225C9" w:rsidRDefault="0025264F"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Pr="007225C9">
        <w:rPr>
          <w:rFonts w:ascii="Times New Roman" w:hAnsi="Times New Roman"/>
          <w:sz w:val="24"/>
        </w:rPr>
        <w:tab/>
      </w:r>
      <w:r w:rsidR="00A10053" w:rsidRPr="007225C9">
        <w:rPr>
          <w:rFonts w:ascii="Times New Roman" w:hAnsi="Times New Roman"/>
          <w:sz w:val="24"/>
        </w:rPr>
        <w:t>Dixon, "</w:t>
      </w:r>
      <w:r w:rsidR="00A10053" w:rsidRPr="007225C9">
        <w:rPr>
          <w:rFonts w:ascii="Times New Roman" w:hAnsi="Times New Roman"/>
          <w:i/>
          <w:iCs/>
          <w:sz w:val="24"/>
        </w:rPr>
        <w:t xml:space="preserve">De Facto </w:t>
      </w:r>
      <w:r w:rsidR="00A10053" w:rsidRPr="007225C9">
        <w:rPr>
          <w:rFonts w:ascii="Times New Roman" w:hAnsi="Times New Roman"/>
          <w:sz w:val="24"/>
        </w:rPr>
        <w:t xml:space="preserve">Officers" (1938) 1 </w:t>
      </w:r>
      <w:r w:rsidR="00A10053" w:rsidRPr="007225C9">
        <w:rPr>
          <w:rFonts w:ascii="Times New Roman" w:hAnsi="Times New Roman"/>
          <w:i/>
          <w:iCs/>
          <w:sz w:val="24"/>
        </w:rPr>
        <w:t xml:space="preserve">Res </w:t>
      </w:r>
      <w:proofErr w:type="spellStart"/>
      <w:r w:rsidR="00A10053" w:rsidRPr="007225C9">
        <w:rPr>
          <w:rFonts w:ascii="Times New Roman" w:hAnsi="Times New Roman"/>
          <w:i/>
          <w:iCs/>
          <w:sz w:val="24"/>
        </w:rPr>
        <w:t>Judica</w:t>
      </w:r>
      <w:r w:rsidR="003B20A9" w:rsidRPr="007225C9">
        <w:rPr>
          <w:rFonts w:ascii="Times New Roman" w:hAnsi="Times New Roman"/>
          <w:i/>
          <w:iCs/>
          <w:sz w:val="24"/>
        </w:rPr>
        <w:t>tae</w:t>
      </w:r>
      <w:proofErr w:type="spellEnd"/>
      <w:r w:rsidR="003B20A9" w:rsidRPr="007225C9">
        <w:rPr>
          <w:rFonts w:ascii="Times New Roman" w:hAnsi="Times New Roman"/>
          <w:i/>
          <w:iCs/>
          <w:sz w:val="24"/>
        </w:rPr>
        <w:t xml:space="preserve"> </w:t>
      </w:r>
      <w:r w:rsidR="003B20A9" w:rsidRPr="007225C9">
        <w:rPr>
          <w:rFonts w:ascii="Times New Roman" w:hAnsi="Times New Roman"/>
          <w:sz w:val="24"/>
        </w:rPr>
        <w:t>285</w:t>
      </w:r>
      <w:r w:rsidR="00204751" w:rsidRPr="007225C9">
        <w:rPr>
          <w:rFonts w:ascii="Times New Roman" w:hAnsi="Times New Roman"/>
          <w:sz w:val="24"/>
        </w:rPr>
        <w:t xml:space="preserve"> at 285</w:t>
      </w:r>
      <w:r w:rsidR="00CE1B51" w:rsidRPr="007225C9">
        <w:rPr>
          <w:rFonts w:ascii="Times New Roman" w:hAnsi="Times New Roman"/>
          <w:sz w:val="24"/>
        </w:rPr>
        <w:t>, reproduced in</w:t>
      </w:r>
      <w:r w:rsidR="009F10E7" w:rsidRPr="007225C9">
        <w:rPr>
          <w:rFonts w:ascii="Times New Roman" w:hAnsi="Times New Roman"/>
          <w:sz w:val="24"/>
        </w:rPr>
        <w:t xml:space="preserve"> Crennan and Gummow (ed</w:t>
      </w:r>
      <w:r w:rsidR="00CD46F2" w:rsidRPr="007225C9">
        <w:rPr>
          <w:rFonts w:ascii="Times New Roman" w:hAnsi="Times New Roman"/>
          <w:sz w:val="24"/>
        </w:rPr>
        <w:t>s</w:t>
      </w:r>
      <w:r w:rsidR="009F10E7" w:rsidRPr="007225C9">
        <w:rPr>
          <w:rFonts w:ascii="Times New Roman" w:hAnsi="Times New Roman"/>
          <w:sz w:val="24"/>
        </w:rPr>
        <w:t>)</w:t>
      </w:r>
      <w:r w:rsidR="00CD46F2" w:rsidRPr="007225C9">
        <w:rPr>
          <w:rFonts w:ascii="Times New Roman" w:hAnsi="Times New Roman"/>
          <w:sz w:val="24"/>
        </w:rPr>
        <w:t>,</w:t>
      </w:r>
      <w:r w:rsidR="00CE1B51" w:rsidRPr="007225C9">
        <w:rPr>
          <w:rFonts w:ascii="Times New Roman" w:hAnsi="Times New Roman"/>
          <w:sz w:val="24"/>
        </w:rPr>
        <w:t xml:space="preserve"> </w:t>
      </w:r>
      <w:r w:rsidR="00CE1B51" w:rsidRPr="007225C9">
        <w:rPr>
          <w:rFonts w:ascii="Times New Roman" w:hAnsi="Times New Roman"/>
          <w:i/>
          <w:iCs/>
          <w:sz w:val="24"/>
        </w:rPr>
        <w:t xml:space="preserve">Jesting Pilate </w:t>
      </w:r>
      <w:proofErr w:type="gramStart"/>
      <w:r w:rsidR="009F10E7" w:rsidRPr="007225C9">
        <w:rPr>
          <w:rFonts w:ascii="Times New Roman" w:hAnsi="Times New Roman"/>
          <w:i/>
          <w:iCs/>
          <w:sz w:val="24"/>
        </w:rPr>
        <w:t>A</w:t>
      </w:r>
      <w:r w:rsidR="00CE1B51" w:rsidRPr="007225C9">
        <w:rPr>
          <w:rFonts w:ascii="Times New Roman" w:hAnsi="Times New Roman"/>
          <w:i/>
          <w:iCs/>
          <w:sz w:val="24"/>
        </w:rPr>
        <w:t>nd</w:t>
      </w:r>
      <w:proofErr w:type="gramEnd"/>
      <w:r w:rsidR="00CE1B51" w:rsidRPr="007225C9">
        <w:rPr>
          <w:rFonts w:ascii="Times New Roman" w:hAnsi="Times New Roman"/>
          <w:i/>
          <w:iCs/>
          <w:sz w:val="24"/>
        </w:rPr>
        <w:t xml:space="preserve"> Other Papers and Addresses</w:t>
      </w:r>
      <w:r w:rsidR="00CE1B51" w:rsidRPr="007225C9">
        <w:rPr>
          <w:rFonts w:ascii="Times New Roman" w:hAnsi="Times New Roman"/>
          <w:sz w:val="24"/>
        </w:rPr>
        <w:t xml:space="preserve">, </w:t>
      </w:r>
      <w:r w:rsidR="009F10E7" w:rsidRPr="007225C9">
        <w:rPr>
          <w:rFonts w:ascii="Times New Roman" w:hAnsi="Times New Roman"/>
          <w:sz w:val="24"/>
        </w:rPr>
        <w:t>3rd</w:t>
      </w:r>
      <w:r w:rsidR="00E57DB9">
        <w:rPr>
          <w:rFonts w:ascii="Times New Roman" w:hAnsi="Times New Roman"/>
          <w:sz w:val="24"/>
        </w:rPr>
        <w:t> </w:t>
      </w:r>
      <w:r w:rsidR="00CE1B51" w:rsidRPr="007225C9">
        <w:rPr>
          <w:rFonts w:ascii="Times New Roman" w:hAnsi="Times New Roman"/>
          <w:sz w:val="24"/>
        </w:rPr>
        <w:t>ed (</w:t>
      </w:r>
      <w:r w:rsidR="009F10E7" w:rsidRPr="007225C9">
        <w:rPr>
          <w:rFonts w:ascii="Times New Roman" w:hAnsi="Times New Roman"/>
          <w:sz w:val="24"/>
        </w:rPr>
        <w:t>2019</w:t>
      </w:r>
      <w:r w:rsidR="00CE1B51" w:rsidRPr="007225C9">
        <w:rPr>
          <w:rFonts w:ascii="Times New Roman" w:hAnsi="Times New Roman"/>
          <w:sz w:val="24"/>
        </w:rPr>
        <w:t>)</w:t>
      </w:r>
      <w:r w:rsidR="009F10E7" w:rsidRPr="007225C9">
        <w:rPr>
          <w:rFonts w:ascii="Times New Roman" w:hAnsi="Times New Roman"/>
          <w:sz w:val="24"/>
        </w:rPr>
        <w:t xml:space="preserve"> at </w:t>
      </w:r>
      <w:r w:rsidR="00C4298B" w:rsidRPr="007225C9">
        <w:rPr>
          <w:rFonts w:ascii="Times New Roman" w:hAnsi="Times New Roman"/>
          <w:sz w:val="24"/>
        </w:rPr>
        <w:t>212</w:t>
      </w:r>
      <w:r w:rsidR="003B20A9" w:rsidRPr="007225C9">
        <w:rPr>
          <w:rFonts w:ascii="Times New Roman" w:hAnsi="Times New Roman"/>
          <w:sz w:val="24"/>
        </w:rPr>
        <w:t xml:space="preserve">. </w:t>
      </w:r>
    </w:p>
  </w:footnote>
  <w:footnote w:id="39">
    <w:p w14:paraId="2CC3E799" w14:textId="3F9CDDD3" w:rsidR="0099127D" w:rsidRPr="007225C9" w:rsidRDefault="0099127D"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Pr="007225C9">
        <w:rPr>
          <w:rFonts w:ascii="Times New Roman" w:hAnsi="Times New Roman"/>
          <w:sz w:val="24"/>
        </w:rPr>
        <w:tab/>
      </w:r>
      <w:r w:rsidRPr="007225C9">
        <w:rPr>
          <w:rFonts w:ascii="Times New Roman" w:hAnsi="Times New Roman"/>
          <w:i/>
          <w:iCs/>
          <w:sz w:val="24"/>
        </w:rPr>
        <w:t>Haskins v The Commonwealth</w:t>
      </w:r>
      <w:r w:rsidRPr="007225C9">
        <w:rPr>
          <w:rFonts w:ascii="Times New Roman" w:hAnsi="Times New Roman"/>
          <w:sz w:val="24"/>
        </w:rPr>
        <w:t xml:space="preserve"> (2011) 244 CLR 22 at 42 [45], quoting </w:t>
      </w:r>
      <w:r w:rsidR="00CD46F2" w:rsidRPr="007225C9">
        <w:rPr>
          <w:rFonts w:ascii="Times New Roman" w:hAnsi="Times New Roman"/>
          <w:sz w:val="24"/>
        </w:rPr>
        <w:t>Dixon, "</w:t>
      </w:r>
      <w:r w:rsidR="00CD46F2" w:rsidRPr="007225C9">
        <w:rPr>
          <w:rFonts w:ascii="Times New Roman" w:hAnsi="Times New Roman"/>
          <w:i/>
          <w:iCs/>
          <w:sz w:val="24"/>
        </w:rPr>
        <w:t>De</w:t>
      </w:r>
      <w:r w:rsidR="00E57DB9">
        <w:rPr>
          <w:rFonts w:ascii="Times New Roman" w:hAnsi="Times New Roman"/>
          <w:i/>
          <w:iCs/>
          <w:sz w:val="24"/>
        </w:rPr>
        <w:t> </w:t>
      </w:r>
      <w:r w:rsidR="00CD46F2" w:rsidRPr="007225C9">
        <w:rPr>
          <w:rFonts w:ascii="Times New Roman" w:hAnsi="Times New Roman"/>
          <w:i/>
          <w:iCs/>
          <w:sz w:val="24"/>
        </w:rPr>
        <w:t xml:space="preserve">Facto </w:t>
      </w:r>
      <w:r w:rsidR="00CD46F2" w:rsidRPr="007225C9">
        <w:rPr>
          <w:rFonts w:ascii="Times New Roman" w:hAnsi="Times New Roman"/>
          <w:sz w:val="24"/>
        </w:rPr>
        <w:t xml:space="preserve">Officers" (1938) 1 </w:t>
      </w:r>
      <w:r w:rsidR="00CD46F2" w:rsidRPr="007225C9">
        <w:rPr>
          <w:rFonts w:ascii="Times New Roman" w:hAnsi="Times New Roman"/>
          <w:i/>
          <w:iCs/>
          <w:sz w:val="24"/>
        </w:rPr>
        <w:t xml:space="preserve">Res </w:t>
      </w:r>
      <w:proofErr w:type="spellStart"/>
      <w:r w:rsidR="00CD46F2" w:rsidRPr="007225C9">
        <w:rPr>
          <w:rFonts w:ascii="Times New Roman" w:hAnsi="Times New Roman"/>
          <w:i/>
          <w:iCs/>
          <w:sz w:val="24"/>
        </w:rPr>
        <w:t>Judicatae</w:t>
      </w:r>
      <w:proofErr w:type="spellEnd"/>
      <w:r w:rsidR="00CD46F2" w:rsidRPr="007225C9">
        <w:rPr>
          <w:rFonts w:ascii="Times New Roman" w:hAnsi="Times New Roman"/>
          <w:i/>
          <w:iCs/>
          <w:sz w:val="24"/>
        </w:rPr>
        <w:t xml:space="preserve"> </w:t>
      </w:r>
      <w:r w:rsidR="00CD46F2" w:rsidRPr="007225C9">
        <w:rPr>
          <w:rFonts w:ascii="Times New Roman" w:hAnsi="Times New Roman"/>
          <w:sz w:val="24"/>
        </w:rPr>
        <w:t xml:space="preserve">285 at 285, reproduced in Crennan and Gummow (eds), </w:t>
      </w:r>
      <w:r w:rsidR="00CD46F2" w:rsidRPr="007225C9">
        <w:rPr>
          <w:rFonts w:ascii="Times New Roman" w:hAnsi="Times New Roman"/>
          <w:i/>
          <w:iCs/>
          <w:sz w:val="24"/>
        </w:rPr>
        <w:t xml:space="preserve">Jesting Pilate </w:t>
      </w:r>
      <w:proofErr w:type="gramStart"/>
      <w:r w:rsidR="00CD46F2" w:rsidRPr="007225C9">
        <w:rPr>
          <w:rFonts w:ascii="Times New Roman" w:hAnsi="Times New Roman"/>
          <w:i/>
          <w:iCs/>
          <w:sz w:val="24"/>
        </w:rPr>
        <w:t>And</w:t>
      </w:r>
      <w:proofErr w:type="gramEnd"/>
      <w:r w:rsidR="00CD46F2" w:rsidRPr="007225C9">
        <w:rPr>
          <w:rFonts w:ascii="Times New Roman" w:hAnsi="Times New Roman"/>
          <w:i/>
          <w:iCs/>
          <w:sz w:val="24"/>
        </w:rPr>
        <w:t xml:space="preserve"> Other Papers and Addresses</w:t>
      </w:r>
      <w:r w:rsidR="00CD46F2" w:rsidRPr="007225C9">
        <w:rPr>
          <w:rFonts w:ascii="Times New Roman" w:hAnsi="Times New Roman"/>
          <w:sz w:val="24"/>
        </w:rPr>
        <w:t xml:space="preserve">, 3rd ed (2019) at </w:t>
      </w:r>
      <w:r w:rsidR="003E727D" w:rsidRPr="007225C9">
        <w:rPr>
          <w:rFonts w:ascii="Times New Roman" w:hAnsi="Times New Roman"/>
          <w:sz w:val="24"/>
        </w:rPr>
        <w:t>212</w:t>
      </w:r>
      <w:r w:rsidR="00CD46F2" w:rsidRPr="007225C9">
        <w:rPr>
          <w:rFonts w:ascii="Times New Roman" w:hAnsi="Times New Roman"/>
          <w:sz w:val="24"/>
        </w:rPr>
        <w:t>.</w:t>
      </w:r>
    </w:p>
  </w:footnote>
  <w:footnote w:id="40">
    <w:p w14:paraId="781FD65C" w14:textId="327C4550" w:rsidR="00F406B2" w:rsidRPr="007225C9" w:rsidRDefault="00F406B2"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005831C4" w:rsidRPr="007225C9">
        <w:rPr>
          <w:rFonts w:ascii="Times New Roman" w:hAnsi="Times New Roman"/>
          <w:sz w:val="24"/>
        </w:rPr>
        <w:tab/>
      </w:r>
      <w:proofErr w:type="spellStart"/>
      <w:r w:rsidR="005831C4" w:rsidRPr="007225C9">
        <w:rPr>
          <w:rFonts w:ascii="Times New Roman" w:hAnsi="Times New Roman"/>
          <w:sz w:val="24"/>
        </w:rPr>
        <w:t>eg</w:t>
      </w:r>
      <w:proofErr w:type="spellEnd"/>
      <w:r w:rsidR="005831C4" w:rsidRPr="007225C9">
        <w:rPr>
          <w:rFonts w:ascii="Times New Roman" w:hAnsi="Times New Roman"/>
          <w:sz w:val="24"/>
        </w:rPr>
        <w:t xml:space="preserve"> </w:t>
      </w:r>
      <w:r w:rsidR="005831C4" w:rsidRPr="007225C9">
        <w:rPr>
          <w:rFonts w:ascii="Times New Roman" w:hAnsi="Times New Roman"/>
          <w:i/>
          <w:iCs/>
          <w:sz w:val="24"/>
        </w:rPr>
        <w:t>Military Justice</w:t>
      </w:r>
      <w:r w:rsidR="00E65567" w:rsidRPr="007225C9">
        <w:rPr>
          <w:rFonts w:ascii="Times New Roman" w:hAnsi="Times New Roman"/>
          <w:i/>
          <w:iCs/>
          <w:sz w:val="24"/>
        </w:rPr>
        <w:t xml:space="preserve"> (Interim Measures) Act </w:t>
      </w:r>
      <w:r w:rsidR="002730F2" w:rsidRPr="007225C9">
        <w:rPr>
          <w:rFonts w:ascii="Times New Roman" w:hAnsi="Times New Roman"/>
          <w:i/>
          <w:iCs/>
          <w:sz w:val="24"/>
        </w:rPr>
        <w:t>(No 2) 2009</w:t>
      </w:r>
      <w:r w:rsidR="002730F2" w:rsidRPr="007225C9">
        <w:rPr>
          <w:rFonts w:ascii="Times New Roman" w:hAnsi="Times New Roman"/>
          <w:sz w:val="24"/>
        </w:rPr>
        <w:t xml:space="preserve"> (</w:t>
      </w:r>
      <w:proofErr w:type="spellStart"/>
      <w:r w:rsidR="002730F2" w:rsidRPr="007225C9">
        <w:rPr>
          <w:rFonts w:ascii="Times New Roman" w:hAnsi="Times New Roman"/>
          <w:sz w:val="24"/>
        </w:rPr>
        <w:t>Cth</w:t>
      </w:r>
      <w:proofErr w:type="spellEnd"/>
      <w:r w:rsidR="002730F2" w:rsidRPr="007225C9">
        <w:rPr>
          <w:rFonts w:ascii="Times New Roman" w:hAnsi="Times New Roman"/>
          <w:sz w:val="24"/>
        </w:rPr>
        <w:t xml:space="preserve">), considered in </w:t>
      </w:r>
      <w:r w:rsidR="002730F2" w:rsidRPr="007225C9">
        <w:rPr>
          <w:rFonts w:ascii="Times New Roman" w:hAnsi="Times New Roman"/>
          <w:i/>
          <w:iCs/>
          <w:sz w:val="24"/>
        </w:rPr>
        <w:t>Haskins v The Commonwealth</w:t>
      </w:r>
      <w:r w:rsidR="002730F2" w:rsidRPr="007225C9">
        <w:rPr>
          <w:rFonts w:ascii="Times New Roman" w:hAnsi="Times New Roman"/>
          <w:sz w:val="24"/>
        </w:rPr>
        <w:t xml:space="preserve"> (2011) 244 CLR 22</w:t>
      </w:r>
      <w:r w:rsidR="002D7DD9" w:rsidRPr="007225C9">
        <w:rPr>
          <w:rFonts w:ascii="Times New Roman" w:hAnsi="Times New Roman"/>
          <w:sz w:val="24"/>
        </w:rPr>
        <w:t>.</w:t>
      </w:r>
    </w:p>
  </w:footnote>
  <w:footnote w:id="41">
    <w:p w14:paraId="387CDA0B" w14:textId="77777777" w:rsidR="00027CEE" w:rsidRPr="007225C9" w:rsidRDefault="00027CEE"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Pr="007225C9">
        <w:rPr>
          <w:rFonts w:ascii="Times New Roman" w:hAnsi="Times New Roman"/>
          <w:sz w:val="24"/>
        </w:rPr>
        <w:tab/>
        <w:t>(2025) 99 ALJR 396 at 430 [138]; 421 ALR 376 at 411.</w:t>
      </w:r>
    </w:p>
  </w:footnote>
  <w:footnote w:id="42">
    <w:p w14:paraId="23F970F4" w14:textId="77777777" w:rsidR="009B2638" w:rsidRPr="007225C9" w:rsidRDefault="009B2638"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Pr="007225C9">
        <w:rPr>
          <w:rFonts w:ascii="Times New Roman" w:hAnsi="Times New Roman"/>
          <w:sz w:val="24"/>
        </w:rPr>
        <w:tab/>
      </w:r>
      <w:r w:rsidRPr="007225C9">
        <w:rPr>
          <w:rFonts w:ascii="Times New Roman" w:hAnsi="Times New Roman"/>
          <w:i/>
          <w:iCs/>
          <w:sz w:val="24"/>
        </w:rPr>
        <w:t xml:space="preserve">Kable v New South Wales </w:t>
      </w:r>
      <w:r w:rsidRPr="007225C9">
        <w:rPr>
          <w:rFonts w:ascii="Times New Roman" w:hAnsi="Times New Roman"/>
          <w:sz w:val="24"/>
        </w:rPr>
        <w:t xml:space="preserve">(2012) 293 ALR 719 at 728 [27], cited in </w:t>
      </w:r>
      <w:r w:rsidRPr="007225C9">
        <w:rPr>
          <w:rFonts w:ascii="Times New Roman" w:hAnsi="Times New Roman"/>
          <w:i/>
          <w:iCs/>
          <w:sz w:val="24"/>
        </w:rPr>
        <w:t xml:space="preserve">Queensland v Stradford (a pseudonym) </w:t>
      </w:r>
      <w:r w:rsidRPr="007225C9">
        <w:rPr>
          <w:rFonts w:ascii="Times New Roman" w:hAnsi="Times New Roman"/>
          <w:sz w:val="24"/>
        </w:rPr>
        <w:t>(2025) 99 ALJR 396 at 428 [128]; 421 ALR 376 at 408.</w:t>
      </w:r>
    </w:p>
  </w:footnote>
  <w:footnote w:id="43">
    <w:p w14:paraId="336EF34B" w14:textId="77777777" w:rsidR="009B2638" w:rsidRPr="007225C9" w:rsidRDefault="009B2638"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Pr="007225C9">
        <w:rPr>
          <w:rFonts w:ascii="Times New Roman" w:hAnsi="Times New Roman"/>
          <w:sz w:val="24"/>
        </w:rPr>
        <w:tab/>
      </w:r>
      <w:r w:rsidRPr="007225C9">
        <w:rPr>
          <w:rFonts w:ascii="Times New Roman" w:hAnsi="Times New Roman"/>
          <w:i/>
          <w:iCs/>
          <w:sz w:val="24"/>
        </w:rPr>
        <w:t xml:space="preserve">Kable v New South Wales </w:t>
      </w:r>
      <w:r w:rsidRPr="007225C9">
        <w:rPr>
          <w:rFonts w:ascii="Times New Roman" w:hAnsi="Times New Roman"/>
          <w:sz w:val="24"/>
        </w:rPr>
        <w:t xml:space="preserve">(2012) 293 ALR 719 at 730 [35], cited in </w:t>
      </w:r>
      <w:r w:rsidRPr="007225C9">
        <w:rPr>
          <w:rFonts w:ascii="Times New Roman" w:hAnsi="Times New Roman"/>
          <w:i/>
          <w:iCs/>
          <w:sz w:val="24"/>
        </w:rPr>
        <w:t xml:space="preserve">Queensland v Stradford (a pseudonym) </w:t>
      </w:r>
      <w:r w:rsidRPr="007225C9">
        <w:rPr>
          <w:rFonts w:ascii="Times New Roman" w:hAnsi="Times New Roman"/>
          <w:sz w:val="24"/>
        </w:rPr>
        <w:t>(2025) 99 ALJR 396 at 428 [128]; 421 ALR 376 at 408.</w:t>
      </w:r>
    </w:p>
  </w:footnote>
  <w:footnote w:id="44">
    <w:p w14:paraId="427855FE" w14:textId="77777777" w:rsidR="009B2638" w:rsidRPr="007225C9" w:rsidRDefault="009B2638"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Pr="007225C9">
        <w:rPr>
          <w:rFonts w:ascii="Times New Roman" w:hAnsi="Times New Roman"/>
          <w:sz w:val="24"/>
        </w:rPr>
        <w:tab/>
      </w:r>
      <w:r w:rsidRPr="007225C9">
        <w:rPr>
          <w:rFonts w:ascii="Times New Roman" w:hAnsi="Times New Roman"/>
          <w:i/>
          <w:iCs/>
          <w:sz w:val="24"/>
        </w:rPr>
        <w:t xml:space="preserve">Queensland v Stradford (a pseudonym) </w:t>
      </w:r>
      <w:r w:rsidRPr="007225C9">
        <w:rPr>
          <w:rFonts w:ascii="Times New Roman" w:hAnsi="Times New Roman"/>
          <w:sz w:val="24"/>
        </w:rPr>
        <w:t>(2025) 99 ALJR 396 at 433 [149]; 421 ALR 376 at 415 (emphasis added).</w:t>
      </w:r>
    </w:p>
  </w:footnote>
  <w:footnote w:id="45">
    <w:p w14:paraId="59B82D4D" w14:textId="77777777" w:rsidR="00AA0CB8" w:rsidRPr="007225C9" w:rsidRDefault="00AA0CB8"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Pr="007225C9">
        <w:rPr>
          <w:rFonts w:ascii="Times New Roman" w:hAnsi="Times New Roman"/>
          <w:sz w:val="24"/>
        </w:rPr>
        <w:tab/>
        <w:t xml:space="preserve">(2025) 99 ALJR 396 at 429 [131]; 421 ALR 376 at 409-410, referring to </w:t>
      </w:r>
      <w:r w:rsidRPr="007225C9">
        <w:rPr>
          <w:rFonts w:ascii="Times New Roman" w:hAnsi="Times New Roman"/>
          <w:i/>
          <w:iCs/>
          <w:sz w:val="24"/>
        </w:rPr>
        <w:t>Feather v Rogers</w:t>
      </w:r>
      <w:r w:rsidRPr="007225C9">
        <w:rPr>
          <w:rFonts w:ascii="Times New Roman" w:hAnsi="Times New Roman"/>
          <w:sz w:val="24"/>
        </w:rPr>
        <w:t xml:space="preserve"> (1909) 9 SR (NSW) 192 at 196-198, 200; </w:t>
      </w:r>
      <w:r w:rsidRPr="007225C9">
        <w:rPr>
          <w:rFonts w:ascii="Times New Roman" w:hAnsi="Times New Roman"/>
          <w:i/>
          <w:iCs/>
          <w:sz w:val="24"/>
        </w:rPr>
        <w:t>Kable v New South Wales</w:t>
      </w:r>
      <w:r w:rsidRPr="007225C9">
        <w:rPr>
          <w:rFonts w:ascii="Times New Roman" w:hAnsi="Times New Roman"/>
          <w:sz w:val="24"/>
        </w:rPr>
        <w:t xml:space="preserve"> (2012) 293 ALR 719 at 730 [35].</w:t>
      </w:r>
    </w:p>
  </w:footnote>
  <w:footnote w:id="46">
    <w:p w14:paraId="56CDDD18" w14:textId="397DC408" w:rsidR="00475AE1" w:rsidRPr="007225C9" w:rsidRDefault="00475AE1"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Pr="007225C9">
        <w:rPr>
          <w:rFonts w:ascii="Times New Roman" w:hAnsi="Times New Roman"/>
          <w:sz w:val="24"/>
        </w:rPr>
        <w:tab/>
      </w:r>
      <w:r w:rsidRPr="007225C9">
        <w:rPr>
          <w:rFonts w:ascii="Times New Roman" w:hAnsi="Times New Roman"/>
          <w:i/>
          <w:iCs/>
          <w:sz w:val="24"/>
        </w:rPr>
        <w:t>Australian Agricultural Co v Federated Engine-Drivers and Firemen</w:t>
      </w:r>
      <w:r w:rsidR="00586A55" w:rsidRPr="007225C9">
        <w:rPr>
          <w:rFonts w:ascii="Times New Roman" w:hAnsi="Times New Roman"/>
          <w:i/>
          <w:iCs/>
          <w:sz w:val="24"/>
        </w:rPr>
        <w:t>'</w:t>
      </w:r>
      <w:r w:rsidRPr="007225C9">
        <w:rPr>
          <w:rFonts w:ascii="Times New Roman" w:hAnsi="Times New Roman"/>
          <w:i/>
          <w:iCs/>
          <w:sz w:val="24"/>
        </w:rPr>
        <w:t>s Association of Australasia</w:t>
      </w:r>
      <w:r w:rsidRPr="007225C9">
        <w:rPr>
          <w:rFonts w:ascii="Times New Roman" w:hAnsi="Times New Roman"/>
          <w:sz w:val="24"/>
        </w:rPr>
        <w:t xml:space="preserve"> (1913) 17 CLR 261 at 275; </w:t>
      </w:r>
      <w:r w:rsidRPr="007225C9">
        <w:rPr>
          <w:rFonts w:ascii="Times New Roman" w:hAnsi="Times New Roman"/>
          <w:i/>
          <w:iCs/>
          <w:sz w:val="24"/>
        </w:rPr>
        <w:t xml:space="preserve">R v Governor of </w:t>
      </w:r>
      <w:proofErr w:type="spellStart"/>
      <w:r w:rsidRPr="007225C9">
        <w:rPr>
          <w:rFonts w:ascii="Times New Roman" w:hAnsi="Times New Roman"/>
          <w:i/>
          <w:iCs/>
          <w:sz w:val="24"/>
        </w:rPr>
        <w:t>Brockhill</w:t>
      </w:r>
      <w:proofErr w:type="spellEnd"/>
      <w:r w:rsidRPr="007225C9">
        <w:rPr>
          <w:rFonts w:ascii="Times New Roman" w:hAnsi="Times New Roman"/>
          <w:i/>
          <w:iCs/>
          <w:sz w:val="24"/>
        </w:rPr>
        <w:t xml:space="preserve"> Prison; Ex</w:t>
      </w:r>
      <w:r w:rsidR="00E57DB9">
        <w:rPr>
          <w:rFonts w:ascii="Times New Roman" w:hAnsi="Times New Roman"/>
          <w:i/>
          <w:iCs/>
          <w:sz w:val="24"/>
        </w:rPr>
        <w:t> </w:t>
      </w:r>
      <w:proofErr w:type="spellStart"/>
      <w:r w:rsidRPr="007225C9">
        <w:rPr>
          <w:rFonts w:ascii="Times New Roman" w:hAnsi="Times New Roman"/>
          <w:i/>
          <w:iCs/>
          <w:sz w:val="24"/>
        </w:rPr>
        <w:t>parte</w:t>
      </w:r>
      <w:proofErr w:type="spellEnd"/>
      <w:r w:rsidRPr="007225C9">
        <w:rPr>
          <w:rFonts w:ascii="Times New Roman" w:hAnsi="Times New Roman"/>
          <w:i/>
          <w:iCs/>
          <w:sz w:val="24"/>
        </w:rPr>
        <w:t xml:space="preserve"> Evans [No 2] </w:t>
      </w:r>
      <w:r w:rsidRPr="007225C9">
        <w:rPr>
          <w:rFonts w:ascii="Times New Roman" w:hAnsi="Times New Roman"/>
          <w:sz w:val="24"/>
        </w:rPr>
        <w:t>[2001] 2 AC 19 at 45.</w:t>
      </w:r>
    </w:p>
  </w:footnote>
  <w:footnote w:id="47">
    <w:p w14:paraId="4E8259C3" w14:textId="5A87569C" w:rsidR="000D450D" w:rsidRPr="007225C9" w:rsidRDefault="000D450D"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009343E2" w:rsidRPr="007225C9">
        <w:rPr>
          <w:rFonts w:ascii="Times New Roman" w:hAnsi="Times New Roman"/>
          <w:sz w:val="24"/>
        </w:rPr>
        <w:tab/>
      </w:r>
      <w:r w:rsidR="002715DC" w:rsidRPr="007225C9">
        <w:rPr>
          <w:rFonts w:ascii="Times New Roman" w:hAnsi="Times New Roman"/>
          <w:sz w:val="24"/>
        </w:rPr>
        <w:t xml:space="preserve">[2001] 2 AC </w:t>
      </w:r>
      <w:r w:rsidR="006C46D7" w:rsidRPr="007225C9">
        <w:rPr>
          <w:rFonts w:ascii="Times New Roman" w:hAnsi="Times New Roman"/>
          <w:sz w:val="24"/>
        </w:rPr>
        <w:t>19.</w:t>
      </w:r>
    </w:p>
  </w:footnote>
  <w:footnote w:id="48">
    <w:p w14:paraId="46B25B61" w14:textId="76A9A632" w:rsidR="002364F7" w:rsidRPr="007225C9" w:rsidRDefault="002364F7"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Pr="007225C9">
        <w:rPr>
          <w:rFonts w:ascii="Times New Roman" w:hAnsi="Times New Roman"/>
          <w:sz w:val="24"/>
        </w:rPr>
        <w:tab/>
        <w:t xml:space="preserve">[1997] QB </w:t>
      </w:r>
      <w:r w:rsidR="007F16F7" w:rsidRPr="007225C9">
        <w:rPr>
          <w:rFonts w:ascii="Times New Roman" w:hAnsi="Times New Roman"/>
          <w:sz w:val="24"/>
        </w:rPr>
        <w:t>924</w:t>
      </w:r>
      <w:r w:rsidRPr="007225C9">
        <w:rPr>
          <w:rFonts w:ascii="Times New Roman" w:hAnsi="Times New Roman"/>
          <w:sz w:val="24"/>
        </w:rPr>
        <w:t>.</w:t>
      </w:r>
    </w:p>
  </w:footnote>
  <w:footnote w:id="49">
    <w:p w14:paraId="7E163303" w14:textId="57CFDE41" w:rsidR="00A64B10" w:rsidRPr="007225C9" w:rsidRDefault="00A64B10"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007F16F7" w:rsidRPr="007225C9">
        <w:rPr>
          <w:rFonts w:ascii="Times New Roman" w:hAnsi="Times New Roman"/>
          <w:sz w:val="24"/>
        </w:rPr>
        <w:tab/>
        <w:t xml:space="preserve">[2001] 2 AC 19 at </w:t>
      </w:r>
      <w:r w:rsidR="002417D8" w:rsidRPr="007225C9">
        <w:rPr>
          <w:rFonts w:ascii="Times New Roman" w:hAnsi="Times New Roman"/>
          <w:sz w:val="24"/>
        </w:rPr>
        <w:t>34-35.</w:t>
      </w:r>
    </w:p>
  </w:footnote>
  <w:footnote w:id="50">
    <w:p w14:paraId="73E248F1" w14:textId="7015CB88" w:rsidR="00AB08F2" w:rsidRPr="007225C9" w:rsidRDefault="00AB08F2"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00B82AC9" w:rsidRPr="007225C9">
        <w:rPr>
          <w:rFonts w:ascii="Times New Roman" w:hAnsi="Times New Roman"/>
          <w:sz w:val="24"/>
        </w:rPr>
        <w:tab/>
        <w:t>[</w:t>
      </w:r>
      <w:r w:rsidR="00531040" w:rsidRPr="007225C9">
        <w:rPr>
          <w:rFonts w:ascii="Times New Roman" w:hAnsi="Times New Roman"/>
          <w:sz w:val="24"/>
        </w:rPr>
        <w:t>2022</w:t>
      </w:r>
      <w:r w:rsidR="00003566" w:rsidRPr="007225C9">
        <w:rPr>
          <w:rFonts w:ascii="Times New Roman" w:hAnsi="Times New Roman"/>
          <w:sz w:val="24"/>
        </w:rPr>
        <w:t xml:space="preserve">] </w:t>
      </w:r>
      <w:r w:rsidR="00531040" w:rsidRPr="007225C9">
        <w:rPr>
          <w:rFonts w:ascii="Times New Roman" w:hAnsi="Times New Roman"/>
          <w:sz w:val="24"/>
        </w:rPr>
        <w:t>AC 461</w:t>
      </w:r>
      <w:r w:rsidR="0092219E" w:rsidRPr="007225C9">
        <w:rPr>
          <w:rFonts w:ascii="Times New Roman" w:hAnsi="Times New Roman"/>
          <w:sz w:val="24"/>
        </w:rPr>
        <w:t xml:space="preserve"> at </w:t>
      </w:r>
      <w:r w:rsidR="0061714E" w:rsidRPr="007225C9">
        <w:rPr>
          <w:rFonts w:ascii="Times New Roman" w:hAnsi="Times New Roman"/>
          <w:sz w:val="24"/>
        </w:rPr>
        <w:t xml:space="preserve">477 </w:t>
      </w:r>
      <w:r w:rsidR="0092219E" w:rsidRPr="007225C9">
        <w:rPr>
          <w:rFonts w:ascii="Times New Roman" w:hAnsi="Times New Roman"/>
          <w:sz w:val="24"/>
        </w:rPr>
        <w:t>[</w:t>
      </w:r>
      <w:r w:rsidR="0061714E" w:rsidRPr="007225C9">
        <w:rPr>
          <w:rFonts w:ascii="Times New Roman" w:hAnsi="Times New Roman"/>
          <w:sz w:val="24"/>
        </w:rPr>
        <w:t>31</w:t>
      </w:r>
      <w:r w:rsidR="0092219E" w:rsidRPr="007225C9">
        <w:rPr>
          <w:rFonts w:ascii="Times New Roman" w:hAnsi="Times New Roman"/>
          <w:sz w:val="24"/>
        </w:rPr>
        <w:t>].</w:t>
      </w:r>
      <w:r w:rsidR="00DF670B" w:rsidRPr="007225C9">
        <w:rPr>
          <w:rFonts w:ascii="Times New Roman" w:hAnsi="Times New Roman"/>
          <w:sz w:val="24"/>
        </w:rPr>
        <w:t xml:space="preserve"> See also </w:t>
      </w:r>
      <w:r w:rsidR="00B26697" w:rsidRPr="007225C9">
        <w:rPr>
          <w:rFonts w:ascii="Times New Roman" w:hAnsi="Times New Roman"/>
          <w:sz w:val="24"/>
        </w:rPr>
        <w:t xml:space="preserve">Hickman, </w:t>
      </w:r>
      <w:r w:rsidR="00851F79" w:rsidRPr="007225C9">
        <w:rPr>
          <w:rFonts w:ascii="Times New Roman" w:hAnsi="Times New Roman"/>
          <w:sz w:val="24"/>
        </w:rPr>
        <w:t xml:space="preserve">"The </w:t>
      </w:r>
      <w:r w:rsidR="004B0F1D" w:rsidRPr="007225C9">
        <w:rPr>
          <w:rFonts w:ascii="Times New Roman" w:hAnsi="Times New Roman"/>
          <w:sz w:val="24"/>
        </w:rPr>
        <w:t xml:space="preserve">Consequences </w:t>
      </w:r>
      <w:r w:rsidR="00851F79" w:rsidRPr="007225C9">
        <w:rPr>
          <w:rFonts w:ascii="Times New Roman" w:hAnsi="Times New Roman"/>
          <w:sz w:val="24"/>
        </w:rPr>
        <w:t xml:space="preserve">of Nullities" </w:t>
      </w:r>
      <w:r w:rsidR="00E50063" w:rsidRPr="007225C9">
        <w:rPr>
          <w:rFonts w:ascii="Times New Roman" w:hAnsi="Times New Roman"/>
          <w:sz w:val="24"/>
        </w:rPr>
        <w:t xml:space="preserve">(2020) </w:t>
      </w:r>
      <w:r w:rsidR="003C15D6" w:rsidRPr="007225C9">
        <w:rPr>
          <w:rFonts w:ascii="Times New Roman" w:hAnsi="Times New Roman"/>
          <w:sz w:val="24"/>
        </w:rPr>
        <w:t xml:space="preserve">79 </w:t>
      </w:r>
      <w:r w:rsidR="005A77B3" w:rsidRPr="007225C9">
        <w:rPr>
          <w:rFonts w:ascii="Times New Roman" w:hAnsi="Times New Roman"/>
          <w:i/>
          <w:iCs/>
          <w:sz w:val="24"/>
        </w:rPr>
        <w:t>Cambridge Law Journal</w:t>
      </w:r>
      <w:r w:rsidR="005A77B3" w:rsidRPr="007225C9">
        <w:rPr>
          <w:rFonts w:ascii="Times New Roman" w:hAnsi="Times New Roman"/>
          <w:sz w:val="24"/>
        </w:rPr>
        <w:t xml:space="preserve"> </w:t>
      </w:r>
      <w:r w:rsidR="006F43BD" w:rsidRPr="007225C9">
        <w:rPr>
          <w:rFonts w:ascii="Times New Roman" w:hAnsi="Times New Roman"/>
          <w:sz w:val="24"/>
        </w:rPr>
        <w:t>384 at 385.</w:t>
      </w:r>
    </w:p>
  </w:footnote>
  <w:footnote w:id="51">
    <w:p w14:paraId="5A975800" w14:textId="6D89E009" w:rsidR="00665648" w:rsidRPr="007225C9" w:rsidRDefault="00665648"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00867052" w:rsidRPr="007225C9">
        <w:rPr>
          <w:rFonts w:ascii="Times New Roman" w:hAnsi="Times New Roman"/>
          <w:sz w:val="24"/>
        </w:rPr>
        <w:tab/>
      </w:r>
      <w:r w:rsidR="00DF27AF" w:rsidRPr="007225C9">
        <w:rPr>
          <w:rFonts w:ascii="Times New Roman" w:hAnsi="Times New Roman"/>
          <w:i/>
          <w:iCs/>
          <w:sz w:val="24"/>
        </w:rPr>
        <w:t>Guimond</w:t>
      </w:r>
      <w:r w:rsidR="00592B2F" w:rsidRPr="007225C9">
        <w:rPr>
          <w:rFonts w:ascii="Times New Roman" w:hAnsi="Times New Roman"/>
          <w:i/>
          <w:iCs/>
          <w:sz w:val="24"/>
        </w:rPr>
        <w:t xml:space="preserve"> v </w:t>
      </w:r>
      <w:r w:rsidR="00AF32BB" w:rsidRPr="007225C9">
        <w:rPr>
          <w:rFonts w:ascii="Times New Roman" w:hAnsi="Times New Roman"/>
          <w:i/>
          <w:iCs/>
          <w:sz w:val="24"/>
        </w:rPr>
        <w:t>Quebec (Attorney General)</w:t>
      </w:r>
      <w:r w:rsidR="00DF27AF" w:rsidRPr="007225C9">
        <w:rPr>
          <w:rFonts w:ascii="Times New Roman" w:hAnsi="Times New Roman"/>
          <w:sz w:val="24"/>
        </w:rPr>
        <w:t xml:space="preserve"> </w:t>
      </w:r>
      <w:r w:rsidR="00E31A41" w:rsidRPr="007225C9">
        <w:rPr>
          <w:rFonts w:ascii="Times New Roman" w:hAnsi="Times New Roman"/>
          <w:sz w:val="24"/>
        </w:rPr>
        <w:t xml:space="preserve">[1996] </w:t>
      </w:r>
      <w:r w:rsidR="00C6619E" w:rsidRPr="007225C9">
        <w:rPr>
          <w:rFonts w:ascii="Times New Roman" w:hAnsi="Times New Roman"/>
          <w:sz w:val="24"/>
        </w:rPr>
        <w:t>3 SCR 347 at 359</w:t>
      </w:r>
      <w:r w:rsidR="00495EDE" w:rsidRPr="007225C9">
        <w:rPr>
          <w:rFonts w:ascii="Times New Roman" w:hAnsi="Times New Roman"/>
          <w:sz w:val="24"/>
        </w:rPr>
        <w:t xml:space="preserve"> </w:t>
      </w:r>
      <w:r w:rsidR="003650FF" w:rsidRPr="007225C9">
        <w:rPr>
          <w:rFonts w:ascii="Times New Roman" w:hAnsi="Times New Roman"/>
          <w:sz w:val="24"/>
        </w:rPr>
        <w:t xml:space="preserve">[15]; </w:t>
      </w:r>
      <w:r w:rsidR="00867052" w:rsidRPr="007225C9">
        <w:rPr>
          <w:rFonts w:ascii="Times New Roman" w:hAnsi="Times New Roman"/>
          <w:i/>
          <w:iCs/>
          <w:sz w:val="24"/>
        </w:rPr>
        <w:t xml:space="preserve">Mackin </w:t>
      </w:r>
      <w:r w:rsidR="00AD3DE0" w:rsidRPr="007225C9">
        <w:rPr>
          <w:rFonts w:ascii="Times New Roman" w:hAnsi="Times New Roman"/>
          <w:i/>
          <w:iCs/>
          <w:sz w:val="24"/>
        </w:rPr>
        <w:t>v New Brunswick</w:t>
      </w:r>
      <w:r w:rsidR="00D8035C" w:rsidRPr="007225C9">
        <w:rPr>
          <w:rFonts w:ascii="Times New Roman" w:hAnsi="Times New Roman"/>
          <w:i/>
          <w:iCs/>
          <w:sz w:val="24"/>
        </w:rPr>
        <w:t xml:space="preserve"> (</w:t>
      </w:r>
      <w:r w:rsidR="006B31F6" w:rsidRPr="007225C9">
        <w:rPr>
          <w:rFonts w:ascii="Times New Roman" w:hAnsi="Times New Roman"/>
          <w:i/>
          <w:iCs/>
          <w:sz w:val="24"/>
        </w:rPr>
        <w:t>Minister of Finance)</w:t>
      </w:r>
      <w:r w:rsidR="00263799" w:rsidRPr="007225C9">
        <w:rPr>
          <w:rFonts w:ascii="Times New Roman" w:hAnsi="Times New Roman"/>
          <w:sz w:val="24"/>
        </w:rPr>
        <w:t xml:space="preserve"> [2002] </w:t>
      </w:r>
      <w:r w:rsidR="00167E08" w:rsidRPr="007225C9">
        <w:rPr>
          <w:rFonts w:ascii="Times New Roman" w:hAnsi="Times New Roman"/>
          <w:sz w:val="24"/>
        </w:rPr>
        <w:t xml:space="preserve">1 SCR </w:t>
      </w:r>
      <w:r w:rsidR="00A037CD" w:rsidRPr="007225C9">
        <w:rPr>
          <w:rFonts w:ascii="Times New Roman" w:hAnsi="Times New Roman"/>
          <w:sz w:val="24"/>
        </w:rPr>
        <w:t xml:space="preserve">405 at </w:t>
      </w:r>
      <w:r w:rsidR="008A526E" w:rsidRPr="007225C9">
        <w:rPr>
          <w:rFonts w:ascii="Times New Roman" w:hAnsi="Times New Roman"/>
          <w:sz w:val="24"/>
        </w:rPr>
        <w:t>441-443 [78]-[79].</w:t>
      </w:r>
    </w:p>
  </w:footnote>
  <w:footnote w:id="52">
    <w:p w14:paraId="472E36DF" w14:textId="4BB85811" w:rsidR="00A367EB" w:rsidRPr="007225C9" w:rsidRDefault="00A367EB"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Pr="007225C9">
        <w:rPr>
          <w:rFonts w:ascii="Times New Roman" w:hAnsi="Times New Roman"/>
          <w:sz w:val="24"/>
        </w:rPr>
        <w:tab/>
      </w:r>
      <w:r w:rsidR="00945C28" w:rsidRPr="007225C9">
        <w:rPr>
          <w:rFonts w:ascii="Times New Roman" w:hAnsi="Times New Roman"/>
          <w:i/>
          <w:iCs/>
          <w:sz w:val="24"/>
        </w:rPr>
        <w:t>Vancouver</w:t>
      </w:r>
      <w:r w:rsidR="00F0241B" w:rsidRPr="007225C9">
        <w:rPr>
          <w:rFonts w:ascii="Times New Roman" w:hAnsi="Times New Roman"/>
          <w:i/>
          <w:iCs/>
          <w:sz w:val="24"/>
        </w:rPr>
        <w:t xml:space="preserve"> (City)</w:t>
      </w:r>
      <w:r w:rsidR="00945C28" w:rsidRPr="007225C9">
        <w:rPr>
          <w:rFonts w:ascii="Times New Roman" w:hAnsi="Times New Roman"/>
          <w:i/>
          <w:iCs/>
          <w:sz w:val="24"/>
        </w:rPr>
        <w:t xml:space="preserve"> </w:t>
      </w:r>
      <w:r w:rsidR="008C0D8D" w:rsidRPr="007225C9">
        <w:rPr>
          <w:rFonts w:ascii="Times New Roman" w:hAnsi="Times New Roman"/>
          <w:i/>
          <w:iCs/>
          <w:sz w:val="24"/>
        </w:rPr>
        <w:t>v Ward</w:t>
      </w:r>
      <w:r w:rsidR="008C0D8D" w:rsidRPr="007225C9">
        <w:rPr>
          <w:rFonts w:ascii="Times New Roman" w:hAnsi="Times New Roman"/>
          <w:sz w:val="24"/>
        </w:rPr>
        <w:t xml:space="preserve"> </w:t>
      </w:r>
      <w:r w:rsidR="000702B2" w:rsidRPr="007225C9">
        <w:rPr>
          <w:rFonts w:ascii="Times New Roman" w:hAnsi="Times New Roman"/>
          <w:sz w:val="24"/>
        </w:rPr>
        <w:t xml:space="preserve">[2010] 2 SCR 28 at </w:t>
      </w:r>
      <w:r w:rsidR="00DF3E85" w:rsidRPr="007225C9">
        <w:rPr>
          <w:rFonts w:ascii="Times New Roman" w:hAnsi="Times New Roman"/>
          <w:sz w:val="24"/>
        </w:rPr>
        <w:t>47 [41].</w:t>
      </w:r>
    </w:p>
  </w:footnote>
  <w:footnote w:id="53">
    <w:p w14:paraId="2B142BE2" w14:textId="2B871CC4" w:rsidR="0002714B" w:rsidRPr="007225C9" w:rsidRDefault="0002714B"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Pr="007225C9">
        <w:rPr>
          <w:rFonts w:ascii="Times New Roman" w:hAnsi="Times New Roman"/>
          <w:sz w:val="24"/>
        </w:rPr>
        <w:tab/>
      </w:r>
      <w:r w:rsidR="007F1737" w:rsidRPr="007225C9">
        <w:rPr>
          <w:rFonts w:ascii="Times New Roman" w:hAnsi="Times New Roman"/>
          <w:sz w:val="24"/>
        </w:rPr>
        <w:t>[2007] 1 SCR 429</w:t>
      </w:r>
      <w:r w:rsidR="00F94E6F" w:rsidRPr="007225C9">
        <w:rPr>
          <w:rFonts w:ascii="Times New Roman" w:hAnsi="Times New Roman"/>
          <w:sz w:val="24"/>
        </w:rPr>
        <w:t xml:space="preserve"> </w:t>
      </w:r>
      <w:r w:rsidR="000A2CAB" w:rsidRPr="007225C9">
        <w:rPr>
          <w:rFonts w:ascii="Times New Roman" w:hAnsi="Times New Roman"/>
          <w:sz w:val="24"/>
        </w:rPr>
        <w:t xml:space="preserve">at </w:t>
      </w:r>
      <w:r w:rsidR="002C5BDF" w:rsidRPr="007225C9">
        <w:rPr>
          <w:rFonts w:ascii="Times New Roman" w:hAnsi="Times New Roman"/>
          <w:sz w:val="24"/>
        </w:rPr>
        <w:t xml:space="preserve">471 </w:t>
      </w:r>
      <w:r w:rsidR="000A2CAB" w:rsidRPr="007225C9">
        <w:rPr>
          <w:rFonts w:ascii="Times New Roman" w:hAnsi="Times New Roman"/>
          <w:sz w:val="24"/>
        </w:rPr>
        <w:t>[102]</w:t>
      </w:r>
      <w:r w:rsidR="00FA44E5" w:rsidRPr="007225C9">
        <w:rPr>
          <w:rFonts w:ascii="Times New Roman" w:hAnsi="Times New Roman"/>
          <w:sz w:val="24"/>
        </w:rPr>
        <w:t>.</w:t>
      </w:r>
    </w:p>
  </w:footnote>
  <w:footnote w:id="54">
    <w:p w14:paraId="4327073E" w14:textId="5FE573B1" w:rsidR="004A1FB7" w:rsidRPr="007225C9" w:rsidRDefault="004A1FB7"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Pr="007225C9">
        <w:rPr>
          <w:rFonts w:ascii="Times New Roman" w:hAnsi="Times New Roman"/>
          <w:sz w:val="24"/>
        </w:rPr>
        <w:tab/>
      </w:r>
      <w:r w:rsidRPr="007225C9">
        <w:rPr>
          <w:rFonts w:ascii="Times New Roman" w:hAnsi="Times New Roman"/>
          <w:i/>
          <w:iCs/>
          <w:sz w:val="24"/>
        </w:rPr>
        <w:t>Ha v New South Wales</w:t>
      </w:r>
      <w:r w:rsidRPr="007225C9">
        <w:rPr>
          <w:rFonts w:ascii="Times New Roman" w:hAnsi="Times New Roman"/>
          <w:sz w:val="24"/>
        </w:rPr>
        <w:t xml:space="preserve"> (1997) 189 CLR 465 at 503-504.</w:t>
      </w:r>
    </w:p>
  </w:footnote>
  <w:footnote w:id="55">
    <w:p w14:paraId="70C7F110" w14:textId="1F64510F" w:rsidR="004573C7" w:rsidRPr="007225C9" w:rsidRDefault="004573C7"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00985F9B" w:rsidRPr="007225C9">
        <w:rPr>
          <w:rFonts w:ascii="Times New Roman" w:hAnsi="Times New Roman"/>
          <w:sz w:val="24"/>
        </w:rPr>
        <w:tab/>
        <w:t xml:space="preserve">(1967) </w:t>
      </w:r>
      <w:r w:rsidR="00E66417" w:rsidRPr="007225C9">
        <w:rPr>
          <w:rFonts w:ascii="Times New Roman" w:hAnsi="Times New Roman"/>
          <w:sz w:val="24"/>
        </w:rPr>
        <w:t xml:space="preserve">386 US </w:t>
      </w:r>
      <w:r w:rsidR="00D970A3" w:rsidRPr="007225C9">
        <w:rPr>
          <w:rFonts w:ascii="Times New Roman" w:hAnsi="Times New Roman"/>
          <w:sz w:val="24"/>
        </w:rPr>
        <w:t xml:space="preserve">547 </w:t>
      </w:r>
      <w:r w:rsidR="00A0031B" w:rsidRPr="007225C9">
        <w:rPr>
          <w:rFonts w:ascii="Times New Roman" w:hAnsi="Times New Roman"/>
          <w:sz w:val="24"/>
        </w:rPr>
        <w:t>at 555.</w:t>
      </w:r>
    </w:p>
  </w:footnote>
  <w:footnote w:id="56">
    <w:p w14:paraId="720AB198" w14:textId="52BA53C4" w:rsidR="00DC056C" w:rsidRPr="007225C9" w:rsidRDefault="00DC056C"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Pr="007225C9">
        <w:rPr>
          <w:rFonts w:ascii="Times New Roman" w:hAnsi="Times New Roman"/>
          <w:sz w:val="24"/>
        </w:rPr>
        <w:tab/>
      </w:r>
      <w:r w:rsidRPr="007225C9">
        <w:rPr>
          <w:rFonts w:ascii="Times New Roman" w:hAnsi="Times New Roman"/>
          <w:i/>
          <w:iCs/>
          <w:sz w:val="24"/>
        </w:rPr>
        <w:t>Harlow v Fitzgerald</w:t>
      </w:r>
      <w:r w:rsidRPr="007225C9">
        <w:rPr>
          <w:rFonts w:ascii="Times New Roman" w:hAnsi="Times New Roman"/>
          <w:sz w:val="24"/>
        </w:rPr>
        <w:t xml:space="preserve"> (198</w:t>
      </w:r>
      <w:r w:rsidR="00637F8F" w:rsidRPr="007225C9">
        <w:rPr>
          <w:rFonts w:ascii="Times New Roman" w:hAnsi="Times New Roman"/>
          <w:sz w:val="24"/>
        </w:rPr>
        <w:t>2</w:t>
      </w:r>
      <w:r w:rsidRPr="007225C9">
        <w:rPr>
          <w:rFonts w:ascii="Times New Roman" w:hAnsi="Times New Roman"/>
          <w:sz w:val="24"/>
        </w:rPr>
        <w:t>) 457 US 800 at 818</w:t>
      </w:r>
      <w:r w:rsidR="00D466DB" w:rsidRPr="007225C9">
        <w:rPr>
          <w:rFonts w:ascii="Times New Roman" w:hAnsi="Times New Roman"/>
          <w:sz w:val="24"/>
        </w:rPr>
        <w:t xml:space="preserve">, citing </w:t>
      </w:r>
      <w:r w:rsidR="00D466DB" w:rsidRPr="007225C9">
        <w:rPr>
          <w:rFonts w:ascii="Times New Roman" w:hAnsi="Times New Roman"/>
          <w:i/>
          <w:iCs/>
          <w:sz w:val="24"/>
        </w:rPr>
        <w:t>Procunier v Navarette</w:t>
      </w:r>
      <w:r w:rsidR="00D466DB" w:rsidRPr="007225C9">
        <w:rPr>
          <w:rFonts w:ascii="Times New Roman" w:hAnsi="Times New Roman"/>
          <w:sz w:val="24"/>
        </w:rPr>
        <w:t xml:space="preserve"> (1978) 434 US 555 at 565 and </w:t>
      </w:r>
      <w:r w:rsidR="00D466DB" w:rsidRPr="007225C9">
        <w:rPr>
          <w:rFonts w:ascii="Times New Roman" w:hAnsi="Times New Roman"/>
          <w:i/>
          <w:iCs/>
          <w:sz w:val="24"/>
        </w:rPr>
        <w:t>Wood v Strickland</w:t>
      </w:r>
      <w:r w:rsidR="007C05C0" w:rsidRPr="007225C9">
        <w:rPr>
          <w:rFonts w:ascii="Times New Roman" w:hAnsi="Times New Roman"/>
          <w:i/>
          <w:iCs/>
          <w:sz w:val="24"/>
        </w:rPr>
        <w:t xml:space="preserve"> </w:t>
      </w:r>
      <w:r w:rsidR="007C05C0" w:rsidRPr="007225C9">
        <w:rPr>
          <w:rFonts w:ascii="Times New Roman" w:hAnsi="Times New Roman"/>
          <w:sz w:val="24"/>
        </w:rPr>
        <w:t xml:space="preserve">(1975) 420 US </w:t>
      </w:r>
      <w:r w:rsidR="006C7D22" w:rsidRPr="007225C9">
        <w:rPr>
          <w:rFonts w:ascii="Times New Roman" w:hAnsi="Times New Roman"/>
          <w:sz w:val="24"/>
        </w:rPr>
        <w:t xml:space="preserve">308 </w:t>
      </w:r>
      <w:r w:rsidR="007C05C0" w:rsidRPr="007225C9">
        <w:rPr>
          <w:rFonts w:ascii="Times New Roman" w:hAnsi="Times New Roman"/>
          <w:sz w:val="24"/>
        </w:rPr>
        <w:t>at 322</w:t>
      </w:r>
      <w:r w:rsidRPr="007225C9">
        <w:rPr>
          <w:rFonts w:ascii="Times New Roman" w:hAnsi="Times New Roman"/>
          <w:sz w:val="24"/>
        </w:rPr>
        <w:t>.</w:t>
      </w:r>
    </w:p>
  </w:footnote>
  <w:footnote w:id="57">
    <w:p w14:paraId="6DCD42B9" w14:textId="1C4F5C08" w:rsidR="001539C1" w:rsidRPr="007225C9" w:rsidRDefault="001539C1"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00972542" w:rsidRPr="007225C9">
        <w:rPr>
          <w:rFonts w:ascii="Times New Roman" w:hAnsi="Times New Roman"/>
          <w:sz w:val="24"/>
        </w:rPr>
        <w:tab/>
      </w:r>
      <w:r w:rsidR="001C30A0" w:rsidRPr="007225C9">
        <w:rPr>
          <w:rFonts w:ascii="Times New Roman" w:hAnsi="Times New Roman"/>
          <w:i/>
          <w:iCs/>
          <w:sz w:val="24"/>
        </w:rPr>
        <w:t xml:space="preserve">Mitchell v Forsyth </w:t>
      </w:r>
      <w:r w:rsidR="005042E6" w:rsidRPr="007225C9">
        <w:rPr>
          <w:rFonts w:ascii="Times New Roman" w:hAnsi="Times New Roman"/>
          <w:sz w:val="24"/>
        </w:rPr>
        <w:t>(1985) 472 US 511 at 526</w:t>
      </w:r>
      <w:r w:rsidR="00502A73" w:rsidRPr="007225C9">
        <w:rPr>
          <w:rFonts w:ascii="Times New Roman" w:hAnsi="Times New Roman"/>
          <w:sz w:val="24"/>
        </w:rPr>
        <w:t xml:space="preserve"> (emphasis omitted)</w:t>
      </w:r>
      <w:r w:rsidR="005042E6" w:rsidRPr="007225C9">
        <w:rPr>
          <w:rFonts w:ascii="Times New Roman" w:hAnsi="Times New Roman"/>
          <w:sz w:val="24"/>
        </w:rPr>
        <w:t>.</w:t>
      </w:r>
    </w:p>
  </w:footnote>
  <w:footnote w:id="58">
    <w:p w14:paraId="072887A9" w14:textId="4A04159B" w:rsidR="00C47178" w:rsidRPr="007225C9" w:rsidRDefault="00C47178"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0033475F" w:rsidRPr="007225C9">
        <w:rPr>
          <w:rFonts w:ascii="Times New Roman" w:hAnsi="Times New Roman"/>
          <w:sz w:val="24"/>
        </w:rPr>
        <w:tab/>
      </w:r>
      <w:proofErr w:type="spellStart"/>
      <w:r w:rsidR="00293AB4" w:rsidRPr="007225C9">
        <w:rPr>
          <w:rFonts w:ascii="Times New Roman" w:hAnsi="Times New Roman"/>
          <w:sz w:val="24"/>
        </w:rPr>
        <w:t>eg</w:t>
      </w:r>
      <w:proofErr w:type="spellEnd"/>
      <w:r w:rsidR="00293AB4" w:rsidRPr="007225C9">
        <w:rPr>
          <w:rFonts w:ascii="Times New Roman" w:hAnsi="Times New Roman"/>
          <w:sz w:val="24"/>
        </w:rPr>
        <w:t xml:space="preserve"> </w:t>
      </w:r>
      <w:r w:rsidR="0012119E" w:rsidRPr="007225C9">
        <w:rPr>
          <w:rFonts w:ascii="Times New Roman" w:hAnsi="Times New Roman"/>
          <w:i/>
          <w:iCs/>
          <w:sz w:val="24"/>
        </w:rPr>
        <w:t>United States v Lee</w:t>
      </w:r>
      <w:r w:rsidR="0012119E" w:rsidRPr="007225C9">
        <w:rPr>
          <w:rFonts w:ascii="Times New Roman" w:hAnsi="Times New Roman"/>
          <w:sz w:val="24"/>
        </w:rPr>
        <w:t xml:space="preserve"> (1882) 106 US 196 at 204</w:t>
      </w:r>
      <w:r w:rsidR="00292586" w:rsidRPr="007225C9">
        <w:rPr>
          <w:rFonts w:ascii="Times New Roman" w:hAnsi="Times New Roman"/>
          <w:sz w:val="24"/>
        </w:rPr>
        <w:t>-208.</w:t>
      </w:r>
    </w:p>
  </w:footnote>
  <w:footnote w:id="59">
    <w:p w14:paraId="2C10A40E" w14:textId="3EAB0102" w:rsidR="007450B7" w:rsidRPr="007225C9" w:rsidRDefault="007450B7"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004F4E1C" w:rsidRPr="007225C9">
        <w:rPr>
          <w:rFonts w:ascii="Times New Roman" w:hAnsi="Times New Roman"/>
          <w:sz w:val="24"/>
        </w:rPr>
        <w:tab/>
      </w:r>
      <w:r w:rsidR="004F4E1C" w:rsidRPr="007225C9">
        <w:rPr>
          <w:rFonts w:ascii="Times New Roman" w:hAnsi="Times New Roman"/>
          <w:i/>
          <w:iCs/>
          <w:sz w:val="24"/>
        </w:rPr>
        <w:t>Scheuer v Rhodes</w:t>
      </w:r>
      <w:r w:rsidR="004F4E1C" w:rsidRPr="007225C9">
        <w:rPr>
          <w:rFonts w:ascii="Times New Roman" w:hAnsi="Times New Roman"/>
          <w:sz w:val="24"/>
        </w:rPr>
        <w:t xml:space="preserve"> </w:t>
      </w:r>
      <w:r w:rsidR="00FE76EA" w:rsidRPr="007225C9">
        <w:rPr>
          <w:rFonts w:ascii="Times New Roman" w:hAnsi="Times New Roman"/>
          <w:sz w:val="24"/>
        </w:rPr>
        <w:t>(197</w:t>
      </w:r>
      <w:r w:rsidR="00A70D9D" w:rsidRPr="007225C9">
        <w:rPr>
          <w:rFonts w:ascii="Times New Roman" w:hAnsi="Times New Roman"/>
          <w:sz w:val="24"/>
        </w:rPr>
        <w:t>4</w:t>
      </w:r>
      <w:r w:rsidR="00AF5C08" w:rsidRPr="007225C9">
        <w:rPr>
          <w:rFonts w:ascii="Times New Roman" w:hAnsi="Times New Roman"/>
          <w:sz w:val="24"/>
        </w:rPr>
        <w:t>) 416 US 232</w:t>
      </w:r>
      <w:r w:rsidR="00BE4888" w:rsidRPr="007225C9">
        <w:rPr>
          <w:rFonts w:ascii="Times New Roman" w:hAnsi="Times New Roman"/>
          <w:sz w:val="24"/>
        </w:rPr>
        <w:t xml:space="preserve"> at</w:t>
      </w:r>
      <w:r w:rsidR="00EA0EB6" w:rsidRPr="007225C9">
        <w:rPr>
          <w:rFonts w:ascii="Times New Roman" w:hAnsi="Times New Roman"/>
          <w:sz w:val="24"/>
        </w:rPr>
        <w:t xml:space="preserve"> 239</w:t>
      </w:r>
      <w:r w:rsidR="00FE6EDB" w:rsidRPr="007225C9">
        <w:rPr>
          <w:rFonts w:ascii="Times New Roman" w:hAnsi="Times New Roman"/>
          <w:sz w:val="24"/>
        </w:rPr>
        <w:t>.</w:t>
      </w:r>
    </w:p>
  </w:footnote>
  <w:footnote w:id="60">
    <w:p w14:paraId="468DDF07" w14:textId="6FED8A87" w:rsidR="00EC2DF0" w:rsidRPr="007225C9" w:rsidRDefault="00EC2DF0" w:rsidP="007225C9">
      <w:pPr>
        <w:pStyle w:val="FootnoteText"/>
        <w:spacing w:line="280" w:lineRule="exact"/>
        <w:ind w:right="0"/>
        <w:jc w:val="both"/>
        <w:rPr>
          <w:rFonts w:ascii="Times New Roman" w:hAnsi="Times New Roman"/>
          <w:sz w:val="24"/>
        </w:rPr>
      </w:pPr>
      <w:r w:rsidRPr="007225C9">
        <w:rPr>
          <w:rStyle w:val="FootnoteReference"/>
          <w:rFonts w:ascii="Times New Roman" w:hAnsi="Times New Roman"/>
          <w:sz w:val="22"/>
          <w:vertAlign w:val="baseline"/>
        </w:rPr>
        <w:footnoteRef/>
      </w:r>
      <w:r w:rsidRPr="007225C9">
        <w:rPr>
          <w:rFonts w:ascii="Times New Roman" w:hAnsi="Times New Roman"/>
          <w:sz w:val="24"/>
        </w:rPr>
        <w:t xml:space="preserve"> </w:t>
      </w:r>
      <w:r w:rsidRPr="007225C9">
        <w:rPr>
          <w:rFonts w:ascii="Times New Roman" w:hAnsi="Times New Roman"/>
          <w:sz w:val="24"/>
        </w:rPr>
        <w:tab/>
      </w:r>
      <w:r w:rsidR="00581105" w:rsidRPr="007225C9">
        <w:rPr>
          <w:rFonts w:ascii="Times New Roman" w:hAnsi="Times New Roman"/>
          <w:sz w:val="24"/>
        </w:rPr>
        <w:t>See Can</w:t>
      </w:r>
      <w:r w:rsidR="00EA0EB6" w:rsidRPr="007225C9">
        <w:rPr>
          <w:rFonts w:ascii="Times New Roman" w:hAnsi="Times New Roman"/>
          <w:sz w:val="24"/>
        </w:rPr>
        <w:t>e</w:t>
      </w:r>
      <w:r w:rsidR="000D08DA" w:rsidRPr="007225C9">
        <w:rPr>
          <w:rFonts w:ascii="Times New Roman" w:hAnsi="Times New Roman"/>
          <w:sz w:val="24"/>
        </w:rPr>
        <w:t xml:space="preserve">, </w:t>
      </w:r>
      <w:r w:rsidR="000D08DA" w:rsidRPr="007225C9">
        <w:rPr>
          <w:rFonts w:ascii="Times New Roman" w:hAnsi="Times New Roman"/>
          <w:i/>
          <w:iCs/>
          <w:sz w:val="24"/>
        </w:rPr>
        <w:t xml:space="preserve">Controlling </w:t>
      </w:r>
      <w:r w:rsidR="00513D2C" w:rsidRPr="007225C9">
        <w:rPr>
          <w:rFonts w:ascii="Times New Roman" w:hAnsi="Times New Roman"/>
          <w:i/>
          <w:iCs/>
          <w:sz w:val="24"/>
        </w:rPr>
        <w:t>Administrative</w:t>
      </w:r>
      <w:r w:rsidR="000D08DA" w:rsidRPr="007225C9">
        <w:rPr>
          <w:rFonts w:ascii="Times New Roman" w:hAnsi="Times New Roman"/>
          <w:i/>
          <w:iCs/>
          <w:sz w:val="24"/>
        </w:rPr>
        <w:t xml:space="preserve"> Power</w:t>
      </w:r>
      <w:r w:rsidR="00E01081" w:rsidRPr="007225C9">
        <w:rPr>
          <w:rFonts w:ascii="Times New Roman" w:hAnsi="Times New Roman"/>
          <w:i/>
          <w:iCs/>
          <w:sz w:val="24"/>
        </w:rPr>
        <w:t>: An Historical Comparison</w:t>
      </w:r>
      <w:r w:rsidR="000D08DA" w:rsidRPr="007225C9">
        <w:rPr>
          <w:rFonts w:ascii="Times New Roman" w:hAnsi="Times New Roman"/>
          <w:sz w:val="24"/>
        </w:rPr>
        <w:t xml:space="preserve"> </w:t>
      </w:r>
      <w:r w:rsidR="00357F84" w:rsidRPr="007225C9">
        <w:rPr>
          <w:rFonts w:ascii="Times New Roman" w:hAnsi="Times New Roman"/>
          <w:sz w:val="24"/>
        </w:rPr>
        <w:t xml:space="preserve">(2016) at </w:t>
      </w:r>
      <w:r w:rsidR="00513D2C" w:rsidRPr="007225C9">
        <w:rPr>
          <w:rFonts w:ascii="Times New Roman" w:hAnsi="Times New Roman"/>
          <w:sz w:val="24"/>
        </w:rPr>
        <w:t>379-388.</w:t>
      </w:r>
    </w:p>
  </w:footnote>
  <w:footnote w:id="61">
    <w:p w14:paraId="225B89C8"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t>(2004) 219 CLR 562 at 581 [33], 584 [44], 640 [232], 649-650 [263], 658-660 [</w:t>
      </w:r>
      <w:proofErr w:type="gramStart"/>
      <w:r w:rsidRPr="002E3F08">
        <w:rPr>
          <w:rFonts w:ascii="Times New Roman" w:hAnsi="Times New Roman"/>
          <w:sz w:val="24"/>
        </w:rPr>
        <w:t>290]</w:t>
      </w:r>
      <w:r>
        <w:rPr>
          <w:rFonts w:ascii="Times New Roman" w:hAnsi="Times New Roman"/>
          <w:sz w:val="24"/>
        </w:rPr>
        <w:noBreakHyphen/>
      </w:r>
      <w:proofErr w:type="gramEnd"/>
      <w:r w:rsidRPr="002E3F08">
        <w:rPr>
          <w:rFonts w:ascii="Times New Roman" w:hAnsi="Times New Roman"/>
          <w:sz w:val="24"/>
        </w:rPr>
        <w:t>[292], 662-663 [303].</w:t>
      </w:r>
    </w:p>
  </w:footnote>
  <w:footnote w:id="62">
    <w:p w14:paraId="2CC18DE8"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t>(2023) 280 CLR 137 at 156 [37], 158 [43], [45], 161-162 [54].</w:t>
      </w:r>
    </w:p>
  </w:footnote>
  <w:footnote w:id="63">
    <w:p w14:paraId="186DC55D"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t xml:space="preserve">(2025) 99 ALJR 396 at 408 [13], 429 [132], 433 [150], 442 [198], 458 [264], 472 [324]; 421 ALR 376 at 381, 410, 415, 427, 448, 467. </w:t>
      </w:r>
    </w:p>
  </w:footnote>
  <w:footnote w:id="64">
    <w:p w14:paraId="46395095" w14:textId="77777777" w:rsidR="009F6ECF" w:rsidRPr="002E3F08" w:rsidRDefault="009F6ECF" w:rsidP="002E3F08">
      <w:pPr>
        <w:pStyle w:val="FootnoteText"/>
        <w:spacing w:line="280" w:lineRule="exact"/>
        <w:ind w:right="0"/>
        <w:jc w:val="both"/>
        <w:rPr>
          <w:rFonts w:ascii="Times New Roman" w:hAnsi="Times New Roman"/>
          <w:i/>
          <w:iCs/>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t xml:space="preserve">See, </w:t>
      </w:r>
      <w:proofErr w:type="spellStart"/>
      <w:r w:rsidRPr="002E3F08">
        <w:rPr>
          <w:rFonts w:ascii="Times New Roman" w:hAnsi="Times New Roman"/>
          <w:sz w:val="24"/>
        </w:rPr>
        <w:t>eg</w:t>
      </w:r>
      <w:proofErr w:type="spellEnd"/>
      <w:r w:rsidRPr="002E3F08">
        <w:rPr>
          <w:rFonts w:ascii="Times New Roman" w:hAnsi="Times New Roman"/>
          <w:sz w:val="24"/>
        </w:rPr>
        <w:t xml:space="preserve">, Dicey, </w:t>
      </w:r>
      <w:r w:rsidRPr="002E3F08">
        <w:rPr>
          <w:rFonts w:ascii="Times New Roman" w:hAnsi="Times New Roman"/>
          <w:i/>
          <w:iCs/>
          <w:sz w:val="24"/>
        </w:rPr>
        <w:t>Lectures Introductory to the Study of the Law of the Constitution</w:t>
      </w:r>
      <w:r w:rsidRPr="002E3F08">
        <w:rPr>
          <w:rFonts w:ascii="Times New Roman" w:hAnsi="Times New Roman"/>
          <w:sz w:val="24"/>
        </w:rPr>
        <w:t xml:space="preserve"> (1885) at 215; </w:t>
      </w:r>
      <w:r w:rsidRPr="002E3F08">
        <w:rPr>
          <w:rFonts w:ascii="Times New Roman" w:hAnsi="Times New Roman"/>
          <w:i/>
          <w:iCs/>
          <w:sz w:val="24"/>
        </w:rPr>
        <w:t>Clough v Leahy</w:t>
      </w:r>
      <w:r w:rsidRPr="002E3F08">
        <w:rPr>
          <w:rFonts w:ascii="Times New Roman" w:hAnsi="Times New Roman"/>
          <w:sz w:val="24"/>
        </w:rPr>
        <w:t xml:space="preserve"> (1904) 2 CLR 139 at 155-156; </w:t>
      </w:r>
      <w:r w:rsidRPr="002E3F08">
        <w:rPr>
          <w:rFonts w:ascii="Times New Roman" w:hAnsi="Times New Roman"/>
          <w:i/>
          <w:iCs/>
          <w:sz w:val="24"/>
        </w:rPr>
        <w:t>Cam and Sons Pty Ltd v Ramsay</w:t>
      </w:r>
      <w:r w:rsidRPr="002E3F08">
        <w:rPr>
          <w:rFonts w:ascii="Times New Roman" w:hAnsi="Times New Roman"/>
          <w:sz w:val="24"/>
        </w:rPr>
        <w:t xml:space="preserve"> (1960) 104 CLR 247 at 272; </w:t>
      </w:r>
      <w:r w:rsidRPr="002E3F08">
        <w:rPr>
          <w:rFonts w:ascii="Times New Roman" w:hAnsi="Times New Roman"/>
          <w:i/>
          <w:iCs/>
          <w:sz w:val="24"/>
        </w:rPr>
        <w:t>A v Hayden</w:t>
      </w:r>
      <w:r w:rsidRPr="002E3F08">
        <w:rPr>
          <w:rFonts w:ascii="Times New Roman" w:hAnsi="Times New Roman"/>
          <w:sz w:val="24"/>
        </w:rPr>
        <w:t xml:space="preserve"> (1984) 156 CLR 532 at 540, 562, 580; </w:t>
      </w:r>
      <w:r w:rsidRPr="002E3F08">
        <w:rPr>
          <w:rFonts w:ascii="Times New Roman" w:hAnsi="Times New Roman"/>
          <w:i/>
          <w:iCs/>
          <w:sz w:val="24"/>
        </w:rPr>
        <w:t>Enfield City Corporation v Development Assessment Corporation</w:t>
      </w:r>
      <w:r w:rsidRPr="002E3F08">
        <w:rPr>
          <w:rFonts w:ascii="Times New Roman" w:hAnsi="Times New Roman"/>
          <w:sz w:val="24"/>
        </w:rPr>
        <w:t xml:space="preserve"> (2000) 199 CLR 135 at 157 [56]; </w:t>
      </w:r>
      <w:r w:rsidRPr="002E3F08">
        <w:rPr>
          <w:rFonts w:ascii="Times New Roman" w:hAnsi="Times New Roman"/>
          <w:i/>
          <w:iCs/>
          <w:sz w:val="24"/>
        </w:rPr>
        <w:t>Smethurst v Commissioner of the Australian Federal Police</w:t>
      </w:r>
      <w:r w:rsidRPr="002E3F08">
        <w:rPr>
          <w:rFonts w:ascii="Times New Roman" w:hAnsi="Times New Roman"/>
          <w:sz w:val="24"/>
        </w:rPr>
        <w:t xml:space="preserve"> (2020) 272 CLR 177 at 246 [169].</w:t>
      </w:r>
    </w:p>
  </w:footnote>
  <w:footnote w:id="65">
    <w:p w14:paraId="1FD54F21"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t xml:space="preserve">(2025) 99 ALJR 396 at 408 [13], 429 [132], 433 [150], 442 [198], 458 [264], 472 [324]; 421 ALR 376 at 381, 410, 415, 427, 448, 467. That defence does not extend to an invalid search warrant issued by a court: </w:t>
      </w:r>
      <w:r w:rsidRPr="002E3F08">
        <w:rPr>
          <w:rFonts w:ascii="Times New Roman" w:hAnsi="Times New Roman"/>
          <w:i/>
          <w:iCs/>
          <w:sz w:val="24"/>
        </w:rPr>
        <w:t>Stradford</w:t>
      </w:r>
      <w:r w:rsidRPr="002E3F08">
        <w:rPr>
          <w:rFonts w:ascii="Times New Roman" w:hAnsi="Times New Roman"/>
          <w:sz w:val="24"/>
        </w:rPr>
        <w:t xml:space="preserve"> (2025) 99 ALJR 396 at 429 [131], 439-440 [181], 461 [272]; 421 ALR 376 at 409-410, 423-424, 452. See, </w:t>
      </w:r>
      <w:proofErr w:type="spellStart"/>
      <w:r w:rsidRPr="002E3F08">
        <w:rPr>
          <w:rFonts w:ascii="Times New Roman" w:hAnsi="Times New Roman"/>
          <w:sz w:val="24"/>
        </w:rPr>
        <w:t>eg</w:t>
      </w:r>
      <w:proofErr w:type="spellEnd"/>
      <w:r w:rsidRPr="002E3F08">
        <w:rPr>
          <w:rFonts w:ascii="Times New Roman" w:hAnsi="Times New Roman"/>
          <w:sz w:val="24"/>
        </w:rPr>
        <w:t xml:space="preserve">, </w:t>
      </w:r>
      <w:r w:rsidRPr="002E3F08">
        <w:rPr>
          <w:rFonts w:ascii="Times New Roman" w:hAnsi="Times New Roman"/>
          <w:i/>
          <w:iCs/>
          <w:sz w:val="24"/>
        </w:rPr>
        <w:t>Smethurst</w:t>
      </w:r>
      <w:r w:rsidRPr="002E3F08">
        <w:rPr>
          <w:rFonts w:ascii="Times New Roman" w:hAnsi="Times New Roman"/>
          <w:sz w:val="24"/>
        </w:rPr>
        <w:t xml:space="preserve"> (2020) 272 CLR 177 at 211 [67], 229 [119], 238-239 [148], 256-257 [196], 273-274 [246]-[247].</w:t>
      </w:r>
    </w:p>
  </w:footnote>
  <w:footnote w:id="66">
    <w:p w14:paraId="55496726"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r>
      <w:r w:rsidRPr="002E3F08">
        <w:rPr>
          <w:rFonts w:ascii="Times New Roman" w:hAnsi="Times New Roman"/>
          <w:i/>
          <w:iCs/>
          <w:sz w:val="24"/>
        </w:rPr>
        <w:t>Stradford</w:t>
      </w:r>
      <w:r w:rsidRPr="002E3F08">
        <w:rPr>
          <w:rFonts w:ascii="Times New Roman" w:hAnsi="Times New Roman"/>
          <w:sz w:val="24"/>
        </w:rPr>
        <w:t xml:space="preserve"> (2025) 99 ALJR 396 at 458 [264]; 421 ALR 376 at 448. </w:t>
      </w:r>
    </w:p>
  </w:footnote>
  <w:footnote w:id="67">
    <w:p w14:paraId="7C07058D"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t xml:space="preserve">See, </w:t>
      </w:r>
      <w:proofErr w:type="spellStart"/>
      <w:r w:rsidRPr="002E3F08">
        <w:rPr>
          <w:rFonts w:ascii="Times New Roman" w:hAnsi="Times New Roman"/>
          <w:sz w:val="24"/>
        </w:rPr>
        <w:t>eg</w:t>
      </w:r>
      <w:proofErr w:type="spellEnd"/>
      <w:r w:rsidRPr="002E3F08">
        <w:rPr>
          <w:rFonts w:ascii="Times New Roman" w:hAnsi="Times New Roman"/>
          <w:sz w:val="24"/>
        </w:rPr>
        <w:t xml:space="preserve">, </w:t>
      </w:r>
      <w:r w:rsidRPr="002E3F08">
        <w:rPr>
          <w:rFonts w:ascii="Times New Roman" w:hAnsi="Times New Roman"/>
          <w:i/>
          <w:iCs/>
          <w:sz w:val="24"/>
        </w:rPr>
        <w:t>In re Judiciary and Navigation Acts</w:t>
      </w:r>
      <w:r w:rsidRPr="002E3F08">
        <w:rPr>
          <w:rFonts w:ascii="Times New Roman" w:hAnsi="Times New Roman"/>
          <w:sz w:val="24"/>
        </w:rPr>
        <w:t xml:space="preserve"> (1921) 29 CLR 257 at 264; </w:t>
      </w:r>
      <w:r w:rsidRPr="002E3F08">
        <w:rPr>
          <w:rFonts w:ascii="Times New Roman" w:hAnsi="Times New Roman"/>
          <w:i/>
          <w:iCs/>
          <w:sz w:val="24"/>
        </w:rPr>
        <w:t xml:space="preserve">R v Kirby; Ex </w:t>
      </w:r>
      <w:proofErr w:type="spellStart"/>
      <w:r w:rsidRPr="002E3F08">
        <w:rPr>
          <w:rFonts w:ascii="Times New Roman" w:hAnsi="Times New Roman"/>
          <w:i/>
          <w:iCs/>
          <w:sz w:val="24"/>
        </w:rPr>
        <w:t>parte</w:t>
      </w:r>
      <w:proofErr w:type="spellEnd"/>
      <w:r w:rsidRPr="002E3F08">
        <w:rPr>
          <w:rFonts w:ascii="Times New Roman" w:hAnsi="Times New Roman"/>
          <w:i/>
          <w:iCs/>
          <w:sz w:val="24"/>
        </w:rPr>
        <w:t xml:space="preserve"> Boilermakers' Society of Australia</w:t>
      </w:r>
      <w:r w:rsidRPr="002E3F08">
        <w:rPr>
          <w:rFonts w:ascii="Times New Roman" w:hAnsi="Times New Roman"/>
          <w:sz w:val="24"/>
        </w:rPr>
        <w:t xml:space="preserve"> (1956) 94 CLR 254 at 273; </w:t>
      </w:r>
      <w:r w:rsidRPr="002E3F08">
        <w:rPr>
          <w:rFonts w:ascii="Times New Roman" w:hAnsi="Times New Roman"/>
          <w:i/>
          <w:iCs/>
          <w:sz w:val="24"/>
        </w:rPr>
        <w:t>Wilson v Minister for Aboriginal and Torres Strait Islander Affairs</w:t>
      </w:r>
      <w:r w:rsidRPr="002E3F08">
        <w:rPr>
          <w:rFonts w:ascii="Times New Roman" w:hAnsi="Times New Roman"/>
          <w:sz w:val="24"/>
        </w:rPr>
        <w:t xml:space="preserve"> (1996) 189 CLR 1 at 10</w:t>
      </w:r>
      <w:r>
        <w:rPr>
          <w:rFonts w:ascii="Times New Roman" w:hAnsi="Times New Roman"/>
          <w:sz w:val="24"/>
        </w:rPr>
        <w:noBreakHyphen/>
      </w:r>
      <w:r w:rsidRPr="002E3F08">
        <w:rPr>
          <w:rFonts w:ascii="Times New Roman" w:hAnsi="Times New Roman"/>
          <w:sz w:val="24"/>
        </w:rPr>
        <w:t xml:space="preserve">11. </w:t>
      </w:r>
    </w:p>
  </w:footnote>
  <w:footnote w:id="68">
    <w:p w14:paraId="346CEFE1"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r>
      <w:r w:rsidRPr="002E3F08">
        <w:rPr>
          <w:rFonts w:ascii="Times New Roman" w:hAnsi="Times New Roman"/>
          <w:i/>
          <w:iCs/>
          <w:sz w:val="24"/>
        </w:rPr>
        <w:t>Wilson</w:t>
      </w:r>
      <w:r w:rsidRPr="002E3F08">
        <w:rPr>
          <w:rFonts w:ascii="Times New Roman" w:hAnsi="Times New Roman"/>
          <w:sz w:val="24"/>
        </w:rPr>
        <w:t xml:space="preserve"> (1996) 189 CLR 1 at 11; </w:t>
      </w:r>
      <w:r w:rsidRPr="002E3F08">
        <w:rPr>
          <w:rFonts w:ascii="Times New Roman" w:hAnsi="Times New Roman"/>
          <w:i/>
          <w:iCs/>
          <w:sz w:val="24"/>
        </w:rPr>
        <w:t>Garlett v Western Australia</w:t>
      </w:r>
      <w:r w:rsidRPr="002E3F08">
        <w:rPr>
          <w:rFonts w:ascii="Times New Roman" w:hAnsi="Times New Roman"/>
          <w:sz w:val="24"/>
        </w:rPr>
        <w:t xml:space="preserve"> (2022) 277 CLR 1 at 74 [199]; </w:t>
      </w:r>
      <w:proofErr w:type="spellStart"/>
      <w:r w:rsidRPr="002E3F08">
        <w:rPr>
          <w:rFonts w:ascii="Times New Roman" w:hAnsi="Times New Roman"/>
          <w:i/>
          <w:iCs/>
          <w:sz w:val="24"/>
        </w:rPr>
        <w:t>Benbrika</w:t>
      </w:r>
      <w:proofErr w:type="spellEnd"/>
      <w:r w:rsidRPr="002E3F08">
        <w:rPr>
          <w:rFonts w:ascii="Times New Roman" w:hAnsi="Times New Roman"/>
          <w:i/>
          <w:iCs/>
          <w:sz w:val="24"/>
        </w:rPr>
        <w:t xml:space="preserve"> v Minister for Home Affairs</w:t>
      </w:r>
      <w:r w:rsidRPr="002E3F08">
        <w:rPr>
          <w:rFonts w:ascii="Times New Roman" w:hAnsi="Times New Roman"/>
          <w:sz w:val="24"/>
        </w:rPr>
        <w:t xml:space="preserve"> (2023) 280 CLR 1 at 21 [51]; </w:t>
      </w:r>
      <w:r w:rsidRPr="002E3F08">
        <w:rPr>
          <w:rFonts w:ascii="Times New Roman" w:hAnsi="Times New Roman"/>
          <w:i/>
          <w:iCs/>
          <w:sz w:val="24"/>
        </w:rPr>
        <w:t>EGH19 v The Commonwealth</w:t>
      </w:r>
      <w:r w:rsidRPr="002E3F08">
        <w:rPr>
          <w:rFonts w:ascii="Times New Roman" w:hAnsi="Times New Roman"/>
          <w:sz w:val="24"/>
        </w:rPr>
        <w:t xml:space="preserve"> </w:t>
      </w:r>
      <w:r>
        <w:rPr>
          <w:rFonts w:ascii="Times New Roman" w:hAnsi="Times New Roman"/>
          <w:sz w:val="24"/>
        </w:rPr>
        <w:t>(2026) 100 ALJR 400</w:t>
      </w:r>
      <w:r w:rsidRPr="002E3F08">
        <w:rPr>
          <w:rFonts w:ascii="Times New Roman" w:hAnsi="Times New Roman"/>
          <w:sz w:val="24"/>
        </w:rPr>
        <w:t xml:space="preserve"> at</w:t>
      </w:r>
      <w:r>
        <w:rPr>
          <w:rFonts w:ascii="Times New Roman" w:hAnsi="Times New Roman"/>
          <w:sz w:val="24"/>
        </w:rPr>
        <w:t xml:space="preserve"> 420</w:t>
      </w:r>
      <w:r w:rsidRPr="002E3F08">
        <w:rPr>
          <w:rFonts w:ascii="Times New Roman" w:hAnsi="Times New Roman"/>
          <w:sz w:val="24"/>
        </w:rPr>
        <w:t xml:space="preserve"> [71]. </w:t>
      </w:r>
    </w:p>
  </w:footnote>
  <w:footnote w:id="69">
    <w:p w14:paraId="523B55BE"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r>
      <w:r w:rsidRPr="002E3F08">
        <w:rPr>
          <w:rFonts w:ascii="Times New Roman" w:hAnsi="Times New Roman"/>
          <w:i/>
          <w:iCs/>
          <w:sz w:val="24"/>
        </w:rPr>
        <w:t xml:space="preserve">Garlett </w:t>
      </w:r>
      <w:r w:rsidRPr="002E3F08">
        <w:rPr>
          <w:rFonts w:ascii="Times New Roman" w:hAnsi="Times New Roman"/>
          <w:sz w:val="24"/>
        </w:rPr>
        <w:t>(2022) 277 CLR 1 at 59 [168], 62-63 [174].</w:t>
      </w:r>
    </w:p>
  </w:footnote>
  <w:footnote w:id="70">
    <w:p w14:paraId="49552D0B"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r>
      <w:r w:rsidRPr="002E3F08">
        <w:rPr>
          <w:rFonts w:ascii="Times New Roman" w:hAnsi="Times New Roman"/>
          <w:i/>
          <w:iCs/>
          <w:sz w:val="24"/>
        </w:rPr>
        <w:t>Stradford</w:t>
      </w:r>
      <w:r w:rsidRPr="002E3F08">
        <w:rPr>
          <w:rFonts w:ascii="Times New Roman" w:hAnsi="Times New Roman"/>
          <w:sz w:val="24"/>
        </w:rPr>
        <w:t xml:space="preserve"> (2025) 99 ALJR 396 at 417-418 [74]-[75], 442 [195]-[197], 443-444 [204]-[206], 456 [257]; 421 ALR 376 at 394, 427, 428-429, 446.</w:t>
      </w:r>
    </w:p>
  </w:footnote>
  <w:footnote w:id="71">
    <w:p w14:paraId="63ADE2B9"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r>
      <w:r w:rsidRPr="002E3F08">
        <w:rPr>
          <w:rFonts w:ascii="Times New Roman" w:hAnsi="Times New Roman"/>
          <w:i/>
          <w:iCs/>
          <w:sz w:val="24"/>
        </w:rPr>
        <w:t>Garnett v Ferrand</w:t>
      </w:r>
      <w:r w:rsidRPr="002E3F08">
        <w:rPr>
          <w:rFonts w:ascii="Times New Roman" w:hAnsi="Times New Roman"/>
          <w:sz w:val="24"/>
        </w:rPr>
        <w:t xml:space="preserve"> (1827) 6 B &amp; C 611 at 625-626 [108 ER 576 at 581].</w:t>
      </w:r>
    </w:p>
  </w:footnote>
  <w:footnote w:id="72">
    <w:p w14:paraId="20DFCA58"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r>
      <w:r w:rsidRPr="002E3F08">
        <w:rPr>
          <w:rFonts w:ascii="Times New Roman" w:hAnsi="Times New Roman"/>
          <w:i/>
          <w:iCs/>
          <w:sz w:val="24"/>
        </w:rPr>
        <w:t>Yeldham v Rajski</w:t>
      </w:r>
      <w:r w:rsidRPr="002E3F08">
        <w:rPr>
          <w:rFonts w:ascii="Times New Roman" w:hAnsi="Times New Roman"/>
          <w:sz w:val="24"/>
        </w:rPr>
        <w:t xml:space="preserve"> (1989) 18 NSWLR 48 at 52. See generally </w:t>
      </w:r>
      <w:r w:rsidRPr="002E3F08">
        <w:rPr>
          <w:rFonts w:ascii="Times New Roman" w:hAnsi="Times New Roman"/>
          <w:i/>
          <w:iCs/>
          <w:sz w:val="24"/>
        </w:rPr>
        <w:t>Stradford</w:t>
      </w:r>
      <w:r w:rsidRPr="002E3F08">
        <w:rPr>
          <w:rFonts w:ascii="Times New Roman" w:hAnsi="Times New Roman"/>
          <w:sz w:val="24"/>
        </w:rPr>
        <w:t xml:space="preserve"> (2025) 99 ALJR 396 at 443-444 [204]-[208]; 421 ALR 376 at 428-429. </w:t>
      </w:r>
    </w:p>
  </w:footnote>
  <w:footnote w:id="73">
    <w:p w14:paraId="44626477"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t>(2005) 227 CLR 166 at 186 [39].</w:t>
      </w:r>
    </w:p>
  </w:footnote>
  <w:footnote w:id="74">
    <w:p w14:paraId="0DB5028C"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t xml:space="preserve">See, </w:t>
      </w:r>
      <w:proofErr w:type="spellStart"/>
      <w:r w:rsidRPr="002E3F08">
        <w:rPr>
          <w:rFonts w:ascii="Times New Roman" w:hAnsi="Times New Roman"/>
          <w:sz w:val="24"/>
        </w:rPr>
        <w:t>eg</w:t>
      </w:r>
      <w:proofErr w:type="spellEnd"/>
      <w:r w:rsidRPr="002E3F08">
        <w:rPr>
          <w:rFonts w:ascii="Times New Roman" w:hAnsi="Times New Roman"/>
          <w:sz w:val="24"/>
        </w:rPr>
        <w:t xml:space="preserve">, </w:t>
      </w:r>
      <w:r w:rsidRPr="002E3F08">
        <w:rPr>
          <w:rFonts w:ascii="Times New Roman" w:hAnsi="Times New Roman"/>
          <w:i/>
          <w:iCs/>
          <w:sz w:val="24"/>
        </w:rPr>
        <w:t>Stradford</w:t>
      </w:r>
      <w:r w:rsidRPr="002E3F08">
        <w:rPr>
          <w:rFonts w:ascii="Times New Roman" w:hAnsi="Times New Roman"/>
          <w:sz w:val="24"/>
        </w:rPr>
        <w:t xml:space="preserve"> (2025) 99 ALJR 396 at 409 [26]-[28], 436 [162]; 421 ALR 376 at 383-384, 418.</w:t>
      </w:r>
    </w:p>
  </w:footnote>
  <w:footnote w:id="75">
    <w:p w14:paraId="742F7C1D"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r>
      <w:r w:rsidRPr="002E3F08">
        <w:rPr>
          <w:rFonts w:ascii="Times New Roman" w:hAnsi="Times New Roman"/>
          <w:i/>
          <w:iCs/>
          <w:sz w:val="24"/>
        </w:rPr>
        <w:t>Stradford</w:t>
      </w:r>
      <w:r w:rsidRPr="002E3F08">
        <w:rPr>
          <w:rFonts w:ascii="Times New Roman" w:hAnsi="Times New Roman"/>
          <w:sz w:val="24"/>
        </w:rPr>
        <w:t xml:space="preserve"> (2025) 99 ALJR 396 at 442 [198]; 421 ALR 376 at 427.</w:t>
      </w:r>
    </w:p>
  </w:footnote>
  <w:footnote w:id="76">
    <w:p w14:paraId="5CB95AC5"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t>(2025) 99 ALJR 396 at 458 [264]; 421 ALR 376 at 448.</w:t>
      </w:r>
    </w:p>
  </w:footnote>
  <w:footnote w:id="77">
    <w:p w14:paraId="4DDC29AF"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r>
      <w:r w:rsidRPr="002E3F08">
        <w:rPr>
          <w:rFonts w:ascii="Times New Roman" w:hAnsi="Times New Roman"/>
          <w:i/>
          <w:iCs/>
          <w:sz w:val="24"/>
        </w:rPr>
        <w:t>Stradford</w:t>
      </w:r>
      <w:r w:rsidRPr="002E3F08">
        <w:rPr>
          <w:rFonts w:ascii="Times New Roman" w:hAnsi="Times New Roman"/>
          <w:sz w:val="24"/>
        </w:rPr>
        <w:t xml:space="preserve"> (2025) 99 ALJR 396 at 443-444 [204]-[206]; 421 ALR 376 at 428-429.</w:t>
      </w:r>
    </w:p>
  </w:footnote>
  <w:footnote w:id="78">
    <w:p w14:paraId="1237EA8E"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r>
      <w:r w:rsidRPr="002E3F08">
        <w:rPr>
          <w:rFonts w:ascii="Times New Roman" w:hAnsi="Times New Roman"/>
          <w:i/>
          <w:iCs/>
          <w:sz w:val="24"/>
        </w:rPr>
        <w:t>Stradford</w:t>
      </w:r>
      <w:r w:rsidRPr="002E3F08">
        <w:rPr>
          <w:rFonts w:ascii="Times New Roman" w:hAnsi="Times New Roman"/>
          <w:sz w:val="24"/>
        </w:rPr>
        <w:t xml:space="preserve"> (2025) 99 ALJR 396 at 428 [128]; 421 ALR 376 at 408. </w:t>
      </w:r>
    </w:p>
  </w:footnote>
  <w:footnote w:id="79">
    <w:p w14:paraId="062E041C"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t xml:space="preserve">(2012) 293 ALR 719 at 728 [27], 730 [35]. </w:t>
      </w:r>
    </w:p>
  </w:footnote>
  <w:footnote w:id="80">
    <w:p w14:paraId="2E605454"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r>
      <w:r w:rsidRPr="002E3F08">
        <w:rPr>
          <w:rFonts w:ascii="Times New Roman" w:hAnsi="Times New Roman"/>
          <w:i/>
          <w:iCs/>
          <w:sz w:val="24"/>
        </w:rPr>
        <w:t>Stradford</w:t>
      </w:r>
      <w:r w:rsidRPr="002E3F08">
        <w:rPr>
          <w:rFonts w:ascii="Times New Roman" w:hAnsi="Times New Roman"/>
          <w:sz w:val="24"/>
        </w:rPr>
        <w:t xml:space="preserve"> (2025) 99 ALJR 396 at 428 [128], see also 433 [148]; 421 ALR 376 at 408, see also 415. </w:t>
      </w:r>
    </w:p>
  </w:footnote>
  <w:footnote w:id="81">
    <w:p w14:paraId="408FF029" w14:textId="77777777" w:rsidR="009F6ECF" w:rsidRPr="002E3F08" w:rsidRDefault="009F6ECF" w:rsidP="002E3F08">
      <w:pPr>
        <w:pStyle w:val="FootnoteText"/>
        <w:spacing w:line="280" w:lineRule="exact"/>
        <w:ind w:right="0"/>
        <w:jc w:val="both"/>
        <w:rPr>
          <w:rFonts w:ascii="Times New Roman" w:hAnsi="Times New Roman"/>
          <w:b/>
          <w:bCs/>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r>
      <w:r w:rsidRPr="002E3F08">
        <w:rPr>
          <w:rFonts w:ascii="Times New Roman" w:hAnsi="Times New Roman"/>
          <w:i/>
          <w:iCs/>
          <w:sz w:val="24"/>
        </w:rPr>
        <w:t>Kable</w:t>
      </w:r>
      <w:r w:rsidRPr="002E3F08">
        <w:rPr>
          <w:rFonts w:ascii="Times New Roman" w:hAnsi="Times New Roman"/>
          <w:sz w:val="24"/>
        </w:rPr>
        <w:t xml:space="preserve"> (2012) 293 ALR 719 at 729 [32].</w:t>
      </w:r>
    </w:p>
  </w:footnote>
  <w:footnote w:id="82">
    <w:p w14:paraId="6CFD1FF8"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t xml:space="preserve">(2012) 293 ALR 719 at 733-734 [48], 735 [57]; see also 757-758 [152]-[153]. </w:t>
      </w:r>
    </w:p>
  </w:footnote>
  <w:footnote w:id="83">
    <w:p w14:paraId="45C06D72"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t>(2025) 99 ALJR 396 at 433 [149]; 421 ALR 376 at 415.</w:t>
      </w:r>
    </w:p>
  </w:footnote>
  <w:footnote w:id="84">
    <w:p w14:paraId="02338E1A"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t>(2025) 99 ALJR 396 at 428 [128], 429 [132], 442 [195]-[198], 458 [264], 472 [324]; 421 ALR 376 at 408, 410, 427, 448, 467.</w:t>
      </w:r>
    </w:p>
  </w:footnote>
  <w:footnote w:id="85">
    <w:p w14:paraId="0EDF2D33"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r>
      <w:r w:rsidRPr="002E3F08">
        <w:rPr>
          <w:rFonts w:ascii="Times New Roman" w:hAnsi="Times New Roman"/>
          <w:i/>
          <w:iCs/>
          <w:sz w:val="24"/>
        </w:rPr>
        <w:t>Stradford</w:t>
      </w:r>
      <w:r w:rsidRPr="002E3F08">
        <w:rPr>
          <w:rFonts w:ascii="Times New Roman" w:hAnsi="Times New Roman"/>
          <w:sz w:val="24"/>
        </w:rPr>
        <w:t xml:space="preserve"> (2025) 99 ALJR 396 at 428 [128]; 421 ALR 376 at 408.</w:t>
      </w:r>
    </w:p>
  </w:footnote>
  <w:footnote w:id="86">
    <w:p w14:paraId="22D5C863"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r>
      <w:r w:rsidRPr="002E3F08">
        <w:rPr>
          <w:rFonts w:ascii="Times New Roman" w:hAnsi="Times New Roman"/>
          <w:i/>
          <w:iCs/>
          <w:sz w:val="24"/>
        </w:rPr>
        <w:t>Public Service Act</w:t>
      </w:r>
      <w:r w:rsidRPr="002E3F08">
        <w:rPr>
          <w:rFonts w:ascii="Times New Roman" w:hAnsi="Times New Roman"/>
          <w:sz w:val="24"/>
        </w:rPr>
        <w:t xml:space="preserve">, ss 13, 15(1). See generally </w:t>
      </w:r>
      <w:r w:rsidRPr="002E3F08">
        <w:rPr>
          <w:rFonts w:ascii="Times New Roman" w:hAnsi="Times New Roman"/>
          <w:i/>
          <w:iCs/>
          <w:sz w:val="24"/>
        </w:rPr>
        <w:t>Stradford</w:t>
      </w:r>
      <w:r w:rsidRPr="002E3F08">
        <w:rPr>
          <w:rFonts w:ascii="Times New Roman" w:hAnsi="Times New Roman"/>
          <w:sz w:val="24"/>
        </w:rPr>
        <w:t xml:space="preserve"> (2025) 99 ALJR 396 at 433 [147]; 421 ALR 376 at 414.</w:t>
      </w:r>
    </w:p>
  </w:footnote>
  <w:footnote w:id="87">
    <w:p w14:paraId="7E7533AF"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r>
      <w:r w:rsidRPr="002E3F08">
        <w:rPr>
          <w:rFonts w:ascii="Times New Roman" w:hAnsi="Times New Roman"/>
          <w:i/>
          <w:iCs/>
          <w:sz w:val="24"/>
        </w:rPr>
        <w:t>Stradford</w:t>
      </w:r>
      <w:r w:rsidRPr="002E3F08">
        <w:rPr>
          <w:rFonts w:ascii="Times New Roman" w:hAnsi="Times New Roman"/>
          <w:i/>
          <w:sz w:val="24"/>
        </w:rPr>
        <w:t xml:space="preserve"> </w:t>
      </w:r>
      <w:r w:rsidRPr="002E3F08">
        <w:rPr>
          <w:rFonts w:ascii="Times New Roman" w:hAnsi="Times New Roman"/>
          <w:sz w:val="24"/>
        </w:rPr>
        <w:t xml:space="preserve">(2025) 99 ALJR 396 at 431 [140]; 421 ALR 376 at 412. </w:t>
      </w:r>
    </w:p>
  </w:footnote>
  <w:footnote w:id="88">
    <w:p w14:paraId="714CC9D7"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t xml:space="preserve">See, </w:t>
      </w:r>
      <w:proofErr w:type="spellStart"/>
      <w:r w:rsidRPr="002E3F08">
        <w:rPr>
          <w:rFonts w:ascii="Times New Roman" w:hAnsi="Times New Roman"/>
          <w:sz w:val="24"/>
        </w:rPr>
        <w:t>eg</w:t>
      </w:r>
      <w:proofErr w:type="spellEnd"/>
      <w:r w:rsidRPr="002E3F08">
        <w:rPr>
          <w:rFonts w:ascii="Times New Roman" w:hAnsi="Times New Roman"/>
          <w:sz w:val="24"/>
        </w:rPr>
        <w:t xml:space="preserve">, </w:t>
      </w:r>
      <w:r w:rsidRPr="002E3F08">
        <w:rPr>
          <w:rFonts w:ascii="Times New Roman" w:hAnsi="Times New Roman"/>
          <w:i/>
          <w:iCs/>
          <w:sz w:val="24"/>
        </w:rPr>
        <w:t>Riverina Transport Pty Ltd v Victoria</w:t>
      </w:r>
      <w:r w:rsidRPr="002E3F08">
        <w:rPr>
          <w:rFonts w:ascii="Times New Roman" w:hAnsi="Times New Roman"/>
          <w:sz w:val="24"/>
        </w:rPr>
        <w:t xml:space="preserve"> (1937) 57 CLR 327 at 341-342; </w:t>
      </w:r>
      <w:r w:rsidRPr="002E3F08">
        <w:rPr>
          <w:rFonts w:ascii="Times New Roman" w:hAnsi="Times New Roman"/>
          <w:i/>
          <w:iCs/>
          <w:sz w:val="24"/>
        </w:rPr>
        <w:t>James v The Commonwealth</w:t>
      </w:r>
      <w:r w:rsidRPr="002E3F08">
        <w:rPr>
          <w:rFonts w:ascii="Times New Roman" w:hAnsi="Times New Roman"/>
          <w:sz w:val="24"/>
        </w:rPr>
        <w:t xml:space="preserve"> (1939) 62 CLR 339 at 362; </w:t>
      </w:r>
      <w:r w:rsidRPr="002E3F08">
        <w:rPr>
          <w:rFonts w:ascii="Times New Roman" w:hAnsi="Times New Roman"/>
          <w:i/>
          <w:iCs/>
          <w:sz w:val="24"/>
        </w:rPr>
        <w:t>McClintock v The Commonwealth</w:t>
      </w:r>
      <w:r w:rsidRPr="002E3F08">
        <w:rPr>
          <w:rFonts w:ascii="Times New Roman" w:hAnsi="Times New Roman"/>
          <w:sz w:val="24"/>
        </w:rPr>
        <w:t xml:space="preserve"> (1947) 75 CLR 1 at 19; </w:t>
      </w:r>
      <w:r w:rsidRPr="002E3F08">
        <w:rPr>
          <w:rFonts w:ascii="Times New Roman" w:hAnsi="Times New Roman"/>
          <w:i/>
          <w:iCs/>
          <w:sz w:val="24"/>
        </w:rPr>
        <w:t>Bank of New South Wales v The Commonwealth</w:t>
      </w:r>
      <w:r w:rsidRPr="002E3F08">
        <w:rPr>
          <w:rFonts w:ascii="Times New Roman" w:hAnsi="Times New Roman"/>
          <w:sz w:val="24"/>
        </w:rPr>
        <w:t xml:space="preserve"> (1948) 76 CLR 1 at 230-231; </w:t>
      </w:r>
      <w:r w:rsidRPr="002E3F08">
        <w:rPr>
          <w:rFonts w:ascii="Times New Roman" w:hAnsi="Times New Roman"/>
          <w:i/>
          <w:iCs/>
          <w:sz w:val="24"/>
        </w:rPr>
        <w:t>Antill Ranger &amp; Co Pty Ltd v Commissioner for Motor Transport</w:t>
      </w:r>
      <w:r w:rsidRPr="002E3F08">
        <w:rPr>
          <w:rFonts w:ascii="Times New Roman" w:hAnsi="Times New Roman"/>
          <w:sz w:val="24"/>
        </w:rPr>
        <w:t xml:space="preserve"> (1955) 93 CLR 83 at 99; </w:t>
      </w:r>
      <w:r w:rsidRPr="002E3F08">
        <w:rPr>
          <w:rFonts w:ascii="Times New Roman" w:hAnsi="Times New Roman"/>
          <w:i/>
          <w:iCs/>
          <w:sz w:val="24"/>
        </w:rPr>
        <w:t>Deacon v Grimshaw</w:t>
      </w:r>
      <w:r w:rsidRPr="002E3F08">
        <w:rPr>
          <w:rFonts w:ascii="Times New Roman" w:hAnsi="Times New Roman"/>
          <w:sz w:val="24"/>
        </w:rPr>
        <w:t xml:space="preserve">, reported with </w:t>
      </w:r>
      <w:r w:rsidRPr="002E3F08">
        <w:rPr>
          <w:rFonts w:ascii="Times New Roman" w:hAnsi="Times New Roman"/>
          <w:i/>
          <w:iCs/>
          <w:sz w:val="24"/>
        </w:rPr>
        <w:t>Antill Ranger</w:t>
      </w:r>
      <w:r w:rsidRPr="002E3F08">
        <w:rPr>
          <w:rFonts w:ascii="Times New Roman" w:hAnsi="Times New Roman"/>
          <w:sz w:val="24"/>
        </w:rPr>
        <w:t xml:space="preserve"> (1955) 93 CLR 83 at 104-108. See generally </w:t>
      </w:r>
      <w:proofErr w:type="spellStart"/>
      <w:r w:rsidRPr="002E3F08">
        <w:rPr>
          <w:rFonts w:ascii="Times New Roman" w:hAnsi="Times New Roman"/>
          <w:sz w:val="24"/>
        </w:rPr>
        <w:t>Pannam</w:t>
      </w:r>
      <w:proofErr w:type="spellEnd"/>
      <w:r w:rsidRPr="002E3F08">
        <w:rPr>
          <w:rFonts w:ascii="Times New Roman" w:hAnsi="Times New Roman"/>
          <w:sz w:val="24"/>
        </w:rPr>
        <w:t xml:space="preserve">, "Tortious Liability for Acts Performed under an Unconstitutional Statute" (1966) 5 </w:t>
      </w:r>
      <w:r w:rsidRPr="002E3F08">
        <w:rPr>
          <w:rFonts w:ascii="Times New Roman" w:hAnsi="Times New Roman"/>
          <w:i/>
          <w:iCs/>
          <w:sz w:val="24"/>
        </w:rPr>
        <w:t>Melbourne University Law Review</w:t>
      </w:r>
      <w:r w:rsidRPr="002E3F08">
        <w:rPr>
          <w:rFonts w:ascii="Times New Roman" w:hAnsi="Times New Roman"/>
          <w:sz w:val="24"/>
        </w:rPr>
        <w:t xml:space="preserve"> 113.</w:t>
      </w:r>
    </w:p>
  </w:footnote>
  <w:footnote w:id="89">
    <w:p w14:paraId="29E83451"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r>
      <w:r w:rsidRPr="002E3F08">
        <w:rPr>
          <w:rFonts w:ascii="Times New Roman" w:hAnsi="Times New Roman"/>
          <w:i/>
          <w:iCs/>
          <w:sz w:val="24"/>
        </w:rPr>
        <w:t xml:space="preserve">New South Wales v Kable </w:t>
      </w:r>
      <w:r w:rsidRPr="002E3F08">
        <w:rPr>
          <w:rFonts w:ascii="Times New Roman" w:hAnsi="Times New Roman"/>
          <w:sz w:val="24"/>
        </w:rPr>
        <w:t xml:space="preserve">(2013) 252 CLR 118 at 135 [38]; </w:t>
      </w:r>
      <w:r w:rsidRPr="002E3F08">
        <w:rPr>
          <w:rFonts w:ascii="Times New Roman" w:hAnsi="Times New Roman"/>
          <w:i/>
          <w:iCs/>
          <w:sz w:val="24"/>
        </w:rPr>
        <w:t>Stradford</w:t>
      </w:r>
      <w:r w:rsidRPr="002E3F08">
        <w:rPr>
          <w:rFonts w:ascii="Times New Roman" w:hAnsi="Times New Roman"/>
          <w:sz w:val="24"/>
        </w:rPr>
        <w:t xml:space="preserve"> (2025) 99 ALJR 396 at 438-439 [177]; 421 ALR 376 at 422.</w:t>
      </w:r>
    </w:p>
  </w:footnote>
  <w:footnote w:id="90">
    <w:p w14:paraId="4C2BE0F7"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t>[2001] 2 AC 19 at 45.</w:t>
      </w:r>
    </w:p>
  </w:footnote>
  <w:footnote w:id="91">
    <w:p w14:paraId="4A623FE4"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r>
      <w:r w:rsidRPr="002E3F08">
        <w:rPr>
          <w:rFonts w:ascii="Times New Roman" w:hAnsi="Times New Roman"/>
          <w:i/>
          <w:iCs/>
          <w:sz w:val="24"/>
        </w:rPr>
        <w:t xml:space="preserve">Giannarelli v Wraith </w:t>
      </w:r>
      <w:r w:rsidRPr="002E3F08">
        <w:rPr>
          <w:rFonts w:ascii="Times New Roman" w:hAnsi="Times New Roman"/>
          <w:sz w:val="24"/>
        </w:rPr>
        <w:t xml:space="preserve">(1988) 165 CLR 543 at 584. See also </w:t>
      </w:r>
      <w:r w:rsidRPr="002E3F08">
        <w:rPr>
          <w:rFonts w:ascii="Times New Roman" w:hAnsi="Times New Roman"/>
          <w:i/>
          <w:iCs/>
          <w:sz w:val="24"/>
        </w:rPr>
        <w:t>Australian Agricultural Co</w:t>
      </w:r>
      <w:r w:rsidRPr="002E3F08">
        <w:rPr>
          <w:rFonts w:ascii="Times New Roman" w:hAnsi="Times New Roman"/>
          <w:sz w:val="24"/>
        </w:rPr>
        <w:t xml:space="preserve"> </w:t>
      </w:r>
      <w:r w:rsidRPr="002E3F08">
        <w:rPr>
          <w:rFonts w:ascii="Times New Roman" w:hAnsi="Times New Roman"/>
          <w:i/>
          <w:iCs/>
          <w:sz w:val="24"/>
        </w:rPr>
        <w:t>v Federated Engine-Drivers and Firemen's Association of Australasia</w:t>
      </w:r>
      <w:r w:rsidRPr="002E3F08">
        <w:rPr>
          <w:rFonts w:ascii="Times New Roman" w:hAnsi="Times New Roman"/>
          <w:sz w:val="24"/>
        </w:rPr>
        <w:t xml:space="preserve"> (1913) 17 CLR 261 at 275. </w:t>
      </w:r>
    </w:p>
  </w:footnote>
  <w:footnote w:id="92">
    <w:p w14:paraId="3639F7B4"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r>
      <w:r w:rsidRPr="002E3F08">
        <w:rPr>
          <w:rFonts w:ascii="Times New Roman" w:hAnsi="Times New Roman"/>
          <w:i/>
          <w:iCs/>
          <w:sz w:val="24"/>
        </w:rPr>
        <w:t>Giannarelli</w:t>
      </w:r>
      <w:r w:rsidRPr="002E3F08">
        <w:rPr>
          <w:rFonts w:ascii="Times New Roman" w:hAnsi="Times New Roman"/>
          <w:sz w:val="24"/>
        </w:rPr>
        <w:t xml:space="preserve"> (1988) 165 CLR 543 at 584; </w:t>
      </w:r>
      <w:r w:rsidRPr="002E3F08">
        <w:rPr>
          <w:rFonts w:ascii="Times New Roman" w:hAnsi="Times New Roman"/>
          <w:i/>
          <w:iCs/>
          <w:sz w:val="24"/>
        </w:rPr>
        <w:t>John v Federal Commissioner of Taxation</w:t>
      </w:r>
      <w:r w:rsidRPr="002E3F08">
        <w:rPr>
          <w:rFonts w:ascii="Times New Roman" w:hAnsi="Times New Roman"/>
          <w:sz w:val="24"/>
        </w:rPr>
        <w:t xml:space="preserve"> (1989) 166 CLR 417 at 452.</w:t>
      </w:r>
    </w:p>
  </w:footnote>
  <w:footnote w:id="93">
    <w:p w14:paraId="68E0811D"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t>See [</w:t>
      </w:r>
      <w:r>
        <w:rPr>
          <w:rFonts w:ascii="Times New Roman" w:hAnsi="Times New Roman"/>
          <w:sz w:val="24"/>
        </w:rPr>
        <w:t>66</w:t>
      </w:r>
      <w:r w:rsidRPr="002E3F08">
        <w:rPr>
          <w:rFonts w:ascii="Times New Roman" w:hAnsi="Times New Roman"/>
          <w:sz w:val="24"/>
        </w:rPr>
        <w:t>]-[</w:t>
      </w:r>
      <w:r>
        <w:rPr>
          <w:rFonts w:ascii="Times New Roman" w:hAnsi="Times New Roman"/>
          <w:sz w:val="24"/>
        </w:rPr>
        <w:t>70</w:t>
      </w:r>
      <w:r w:rsidRPr="002E3F08">
        <w:rPr>
          <w:rFonts w:ascii="Times New Roman" w:hAnsi="Times New Roman"/>
          <w:sz w:val="24"/>
        </w:rPr>
        <w:t>], [</w:t>
      </w:r>
      <w:r>
        <w:rPr>
          <w:rFonts w:ascii="Times New Roman" w:hAnsi="Times New Roman"/>
          <w:sz w:val="24"/>
        </w:rPr>
        <w:t>74</w:t>
      </w:r>
      <w:r w:rsidRPr="002E3F08">
        <w:rPr>
          <w:rFonts w:ascii="Times New Roman" w:hAnsi="Times New Roman"/>
          <w:sz w:val="24"/>
        </w:rPr>
        <w:t>]-[</w:t>
      </w:r>
      <w:r>
        <w:rPr>
          <w:rFonts w:ascii="Times New Roman" w:hAnsi="Times New Roman"/>
          <w:sz w:val="24"/>
        </w:rPr>
        <w:t>75</w:t>
      </w:r>
      <w:r w:rsidRPr="002E3F08">
        <w:rPr>
          <w:rFonts w:ascii="Times New Roman" w:hAnsi="Times New Roman"/>
          <w:sz w:val="24"/>
        </w:rPr>
        <w:t>] above.</w:t>
      </w:r>
    </w:p>
  </w:footnote>
  <w:footnote w:id="94">
    <w:p w14:paraId="07C635BE"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t xml:space="preserve">(1942) 65 CLR 373 at 408. See also </w:t>
      </w:r>
      <w:r w:rsidRPr="002E3F08">
        <w:rPr>
          <w:rFonts w:ascii="Times New Roman" w:hAnsi="Times New Roman"/>
          <w:i/>
          <w:iCs/>
          <w:sz w:val="24"/>
        </w:rPr>
        <w:t xml:space="preserve">Ha v New South Wales </w:t>
      </w:r>
      <w:r w:rsidRPr="002E3F08">
        <w:rPr>
          <w:rFonts w:ascii="Times New Roman" w:hAnsi="Times New Roman"/>
          <w:sz w:val="24"/>
        </w:rPr>
        <w:t xml:space="preserve">(1997) 189 CLR 465 at 503-504, 515. </w:t>
      </w:r>
    </w:p>
  </w:footnote>
  <w:footnote w:id="95">
    <w:p w14:paraId="5A086555"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r>
      <w:r w:rsidRPr="002E3F08">
        <w:rPr>
          <w:rFonts w:ascii="Times New Roman" w:hAnsi="Times New Roman"/>
          <w:i/>
          <w:iCs/>
          <w:sz w:val="24"/>
        </w:rPr>
        <w:t xml:space="preserve">John </w:t>
      </w:r>
      <w:r w:rsidRPr="002E3F08">
        <w:rPr>
          <w:rFonts w:ascii="Times New Roman" w:hAnsi="Times New Roman"/>
          <w:sz w:val="24"/>
        </w:rPr>
        <w:t xml:space="preserve">(1989) 166 CLR 417 at 452. </w:t>
      </w:r>
    </w:p>
  </w:footnote>
  <w:footnote w:id="96">
    <w:p w14:paraId="0F244746"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r>
      <w:r w:rsidRPr="002E3F08">
        <w:rPr>
          <w:rFonts w:ascii="Times New Roman" w:hAnsi="Times New Roman"/>
          <w:i/>
          <w:iCs/>
          <w:sz w:val="24"/>
        </w:rPr>
        <w:t>NZYQ</w:t>
      </w:r>
      <w:r w:rsidRPr="002E3F08">
        <w:rPr>
          <w:rFonts w:ascii="Times New Roman" w:hAnsi="Times New Roman"/>
          <w:sz w:val="24"/>
        </w:rPr>
        <w:t xml:space="preserve"> (2023) 280 CLR 137.</w:t>
      </w:r>
    </w:p>
  </w:footnote>
  <w:footnote w:id="97">
    <w:p w14:paraId="7DCEF04A"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r>
      <w:r w:rsidRPr="002E3F08">
        <w:rPr>
          <w:rFonts w:ascii="Times New Roman" w:hAnsi="Times New Roman"/>
          <w:i/>
          <w:iCs/>
          <w:sz w:val="24"/>
        </w:rPr>
        <w:t>Ha</w:t>
      </w:r>
      <w:r w:rsidRPr="002E3F08">
        <w:rPr>
          <w:rFonts w:ascii="Times New Roman" w:hAnsi="Times New Roman"/>
          <w:sz w:val="24"/>
        </w:rPr>
        <w:t xml:space="preserve"> (1997) 189 CLR 465 at 504; </w:t>
      </w:r>
      <w:r w:rsidRPr="002E3F08">
        <w:rPr>
          <w:rFonts w:ascii="Times New Roman" w:hAnsi="Times New Roman"/>
          <w:i/>
          <w:iCs/>
          <w:sz w:val="24"/>
        </w:rPr>
        <w:t xml:space="preserve">Bell Lawyers Pty Ltd v </w:t>
      </w:r>
      <w:proofErr w:type="spellStart"/>
      <w:r w:rsidRPr="002E3F08">
        <w:rPr>
          <w:rFonts w:ascii="Times New Roman" w:hAnsi="Times New Roman"/>
          <w:i/>
          <w:iCs/>
          <w:sz w:val="24"/>
        </w:rPr>
        <w:t>Pentelow</w:t>
      </w:r>
      <w:proofErr w:type="spellEnd"/>
      <w:r w:rsidRPr="002E3F08">
        <w:rPr>
          <w:rFonts w:ascii="Times New Roman" w:hAnsi="Times New Roman"/>
          <w:i/>
          <w:iCs/>
          <w:sz w:val="24"/>
        </w:rPr>
        <w:t xml:space="preserve"> </w:t>
      </w:r>
      <w:r w:rsidRPr="002E3F08">
        <w:rPr>
          <w:rFonts w:ascii="Times New Roman" w:hAnsi="Times New Roman"/>
          <w:sz w:val="24"/>
        </w:rPr>
        <w:t>(2019) 269 CLR 333 at 353-354 [55]-[56].</w:t>
      </w:r>
    </w:p>
  </w:footnote>
  <w:footnote w:id="98">
    <w:p w14:paraId="06E53901"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t xml:space="preserve">(1997) 189 CLR 465 at 503-504 (footnotes omitted). </w:t>
      </w:r>
    </w:p>
  </w:footnote>
  <w:footnote w:id="99">
    <w:p w14:paraId="22C8810E"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r>
      <w:r w:rsidRPr="002E3F08">
        <w:rPr>
          <w:rFonts w:ascii="Times New Roman" w:hAnsi="Times New Roman"/>
          <w:i/>
          <w:iCs/>
          <w:sz w:val="24"/>
        </w:rPr>
        <w:t>Evans [No 2]</w:t>
      </w:r>
      <w:r w:rsidRPr="002E3F08">
        <w:rPr>
          <w:rFonts w:ascii="Times New Roman" w:hAnsi="Times New Roman"/>
          <w:sz w:val="24"/>
        </w:rPr>
        <w:t xml:space="preserve"> [2001] 2 AC 19 at 48. </w:t>
      </w:r>
    </w:p>
  </w:footnote>
  <w:footnote w:id="100">
    <w:p w14:paraId="010BB794"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r>
      <w:r w:rsidRPr="002E3F08">
        <w:rPr>
          <w:rFonts w:ascii="Times New Roman" w:hAnsi="Times New Roman"/>
          <w:i/>
          <w:iCs/>
          <w:sz w:val="24"/>
        </w:rPr>
        <w:t>Lange v Australian Broadcasting Corporation</w:t>
      </w:r>
      <w:r w:rsidRPr="002E3F08">
        <w:rPr>
          <w:rFonts w:ascii="Times New Roman" w:hAnsi="Times New Roman"/>
          <w:sz w:val="24"/>
        </w:rPr>
        <w:t xml:space="preserve"> (1997) 189 CLR 520 at 562-566, especially at 566; </w:t>
      </w:r>
      <w:r w:rsidRPr="002E3F08">
        <w:rPr>
          <w:rFonts w:ascii="Times New Roman" w:hAnsi="Times New Roman"/>
          <w:i/>
          <w:iCs/>
          <w:sz w:val="24"/>
        </w:rPr>
        <w:t>Australian Broadcasting Corporation v Lenah Game Meats Pty Ltd</w:t>
      </w:r>
      <w:r w:rsidRPr="002E3F08">
        <w:rPr>
          <w:rFonts w:ascii="Times New Roman" w:hAnsi="Times New Roman"/>
          <w:sz w:val="24"/>
        </w:rPr>
        <w:t xml:space="preserve"> (2001) 208 CLR 199 at 220 [20]; </w:t>
      </w:r>
      <w:r w:rsidRPr="002E3F08">
        <w:rPr>
          <w:rFonts w:ascii="Times New Roman" w:hAnsi="Times New Roman"/>
          <w:i/>
          <w:iCs/>
          <w:sz w:val="24"/>
        </w:rPr>
        <w:t>Aid/Watch Inc v Federal Commissioner of Taxation</w:t>
      </w:r>
      <w:r w:rsidRPr="002E3F08">
        <w:rPr>
          <w:rFonts w:ascii="Times New Roman" w:hAnsi="Times New Roman"/>
          <w:sz w:val="24"/>
        </w:rPr>
        <w:t xml:space="preserve"> (2010) 241 CLR 539 at 556 [44].</w:t>
      </w:r>
    </w:p>
  </w:footnote>
  <w:footnote w:id="101">
    <w:p w14:paraId="398E52CD"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t xml:space="preserve">(2007) 158 FCR 325 at 326 [1], 326-327 [3]-[6], 347-348 [47]-[48]. See also </w:t>
      </w:r>
      <w:r w:rsidRPr="002E3F08">
        <w:rPr>
          <w:rFonts w:ascii="Times New Roman" w:hAnsi="Times New Roman"/>
          <w:i/>
          <w:iCs/>
          <w:sz w:val="24"/>
        </w:rPr>
        <w:t>The</w:t>
      </w:r>
      <w:r>
        <w:rPr>
          <w:rFonts w:ascii="Times New Roman" w:hAnsi="Times New Roman"/>
          <w:i/>
          <w:iCs/>
          <w:sz w:val="24"/>
        </w:rPr>
        <w:t> </w:t>
      </w:r>
      <w:r w:rsidRPr="002E3F08">
        <w:rPr>
          <w:rFonts w:ascii="Times New Roman" w:hAnsi="Times New Roman"/>
          <w:i/>
          <w:iCs/>
          <w:sz w:val="24"/>
        </w:rPr>
        <w:t>Commonwealth v AJL20</w:t>
      </w:r>
      <w:r w:rsidRPr="002E3F08">
        <w:rPr>
          <w:rFonts w:ascii="Times New Roman" w:hAnsi="Times New Roman"/>
          <w:sz w:val="24"/>
        </w:rPr>
        <w:t xml:space="preserve"> (2021) 273 CLR 43 at 73-74 [52].</w:t>
      </w:r>
    </w:p>
  </w:footnote>
  <w:footnote w:id="102">
    <w:p w14:paraId="240B587E"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t xml:space="preserve">See, </w:t>
      </w:r>
      <w:proofErr w:type="spellStart"/>
      <w:r w:rsidRPr="002E3F08">
        <w:rPr>
          <w:rFonts w:ascii="Times New Roman" w:hAnsi="Times New Roman"/>
          <w:sz w:val="24"/>
        </w:rPr>
        <w:t>eg</w:t>
      </w:r>
      <w:proofErr w:type="spellEnd"/>
      <w:r w:rsidRPr="002E3F08">
        <w:rPr>
          <w:rFonts w:ascii="Times New Roman" w:hAnsi="Times New Roman"/>
          <w:sz w:val="24"/>
        </w:rPr>
        <w:t xml:space="preserve">, </w:t>
      </w:r>
      <w:r w:rsidRPr="002E3F08">
        <w:rPr>
          <w:rFonts w:ascii="Times New Roman" w:hAnsi="Times New Roman"/>
          <w:i/>
          <w:iCs/>
          <w:sz w:val="24"/>
        </w:rPr>
        <w:t>The Commonwealth v New South Wales</w:t>
      </w:r>
      <w:r w:rsidRPr="002E3F08">
        <w:rPr>
          <w:rFonts w:ascii="Times New Roman" w:hAnsi="Times New Roman"/>
          <w:sz w:val="24"/>
        </w:rPr>
        <w:t xml:space="preserve"> (1923) 32 CLR 200 at 214, citing</w:t>
      </w:r>
      <w:r>
        <w:rPr>
          <w:rFonts w:ascii="Times New Roman" w:hAnsi="Times New Roman"/>
          <w:sz w:val="24"/>
        </w:rPr>
        <w:t> </w:t>
      </w:r>
      <w:r w:rsidRPr="002E3F08">
        <w:rPr>
          <w:rFonts w:ascii="Times New Roman" w:hAnsi="Times New Roman"/>
          <w:i/>
          <w:iCs/>
          <w:sz w:val="24"/>
        </w:rPr>
        <w:t>Eastern Trust Co v McKenzie, Mann &amp; Co Ltd</w:t>
      </w:r>
      <w:r w:rsidRPr="002E3F08">
        <w:rPr>
          <w:rFonts w:ascii="Times New Roman" w:hAnsi="Times New Roman"/>
          <w:sz w:val="24"/>
        </w:rPr>
        <w:t xml:space="preserve"> [1915] AC 750 at 759; </w:t>
      </w:r>
      <w:r w:rsidRPr="002E3F08">
        <w:rPr>
          <w:rFonts w:ascii="Times New Roman" w:hAnsi="Times New Roman"/>
          <w:i/>
          <w:iCs/>
          <w:sz w:val="24"/>
        </w:rPr>
        <w:t xml:space="preserve">Smethurst </w:t>
      </w:r>
      <w:r w:rsidRPr="002E3F08">
        <w:rPr>
          <w:rFonts w:ascii="Times New Roman" w:hAnsi="Times New Roman"/>
          <w:sz w:val="24"/>
        </w:rPr>
        <w:t>(2020) 272 CLR 177 at 246 [169].</w:t>
      </w:r>
    </w:p>
  </w:footnote>
  <w:footnote w:id="103">
    <w:p w14:paraId="624EACCB"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t xml:space="preserve">Dicey, </w:t>
      </w:r>
      <w:r w:rsidRPr="002E3F08">
        <w:rPr>
          <w:rFonts w:ascii="Times New Roman" w:hAnsi="Times New Roman"/>
          <w:i/>
          <w:iCs/>
          <w:sz w:val="24"/>
        </w:rPr>
        <w:t>Lectures Introductory to the Study of the Law of the Constitution</w:t>
      </w:r>
      <w:r w:rsidRPr="002E3F08">
        <w:rPr>
          <w:rFonts w:ascii="Times New Roman" w:hAnsi="Times New Roman"/>
          <w:sz w:val="24"/>
        </w:rPr>
        <w:t xml:space="preserve"> (1885) at 215. </w:t>
      </w:r>
    </w:p>
  </w:footnote>
  <w:footnote w:id="104">
    <w:p w14:paraId="7F47CB79"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r>
      <w:proofErr w:type="spellStart"/>
      <w:r w:rsidRPr="002E3F08">
        <w:rPr>
          <w:rFonts w:ascii="Times New Roman" w:hAnsi="Times New Roman"/>
          <w:sz w:val="24"/>
        </w:rPr>
        <w:t>cf</w:t>
      </w:r>
      <w:proofErr w:type="spellEnd"/>
      <w:r w:rsidRPr="002E3F08">
        <w:rPr>
          <w:rFonts w:ascii="Times New Roman" w:hAnsi="Times New Roman"/>
          <w:sz w:val="24"/>
        </w:rPr>
        <w:t xml:space="preserve"> </w:t>
      </w:r>
      <w:r w:rsidRPr="002E3F08">
        <w:rPr>
          <w:rFonts w:ascii="Times New Roman" w:hAnsi="Times New Roman"/>
          <w:i/>
          <w:iCs/>
          <w:sz w:val="24"/>
        </w:rPr>
        <w:t>Kable v Director of Public Prosecutions (NSW)</w:t>
      </w:r>
      <w:r w:rsidRPr="002E3F08">
        <w:rPr>
          <w:rFonts w:ascii="Times New Roman" w:hAnsi="Times New Roman"/>
          <w:sz w:val="24"/>
        </w:rPr>
        <w:t xml:space="preserve"> (1996) 189 CLR 51 at 103. </w:t>
      </w:r>
    </w:p>
  </w:footnote>
  <w:footnote w:id="105">
    <w:p w14:paraId="0055D819"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r>
      <w:proofErr w:type="spellStart"/>
      <w:r w:rsidRPr="002E3F08">
        <w:rPr>
          <w:rFonts w:ascii="Times New Roman" w:hAnsi="Times New Roman"/>
          <w:sz w:val="24"/>
        </w:rPr>
        <w:t>cf</w:t>
      </w:r>
      <w:proofErr w:type="spellEnd"/>
      <w:r w:rsidRPr="002E3F08">
        <w:rPr>
          <w:rFonts w:ascii="Times New Roman" w:hAnsi="Times New Roman"/>
          <w:sz w:val="24"/>
        </w:rPr>
        <w:t xml:space="preserve"> </w:t>
      </w:r>
      <w:r w:rsidRPr="002E3F08">
        <w:rPr>
          <w:rFonts w:ascii="Times New Roman" w:hAnsi="Times New Roman"/>
          <w:i/>
          <w:iCs/>
          <w:sz w:val="24"/>
        </w:rPr>
        <w:t>Evans [No 2]</w:t>
      </w:r>
      <w:r w:rsidRPr="002E3F08">
        <w:rPr>
          <w:rFonts w:ascii="Times New Roman" w:hAnsi="Times New Roman"/>
          <w:sz w:val="24"/>
        </w:rPr>
        <w:t xml:space="preserve"> [2001] 2 AC 19 at 26. </w:t>
      </w:r>
    </w:p>
  </w:footnote>
  <w:footnote w:id="106">
    <w:p w14:paraId="784FE35D"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t xml:space="preserve">(2007) 158 FCR 325 at 326-327 [3], 347-348 [47]. </w:t>
      </w:r>
    </w:p>
  </w:footnote>
  <w:footnote w:id="107">
    <w:p w14:paraId="2BD24E0A"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r>
      <w:proofErr w:type="spellStart"/>
      <w:r w:rsidRPr="002E3F08">
        <w:rPr>
          <w:rFonts w:ascii="Times New Roman" w:hAnsi="Times New Roman"/>
          <w:sz w:val="24"/>
        </w:rPr>
        <w:t>cf</w:t>
      </w:r>
      <w:proofErr w:type="spellEnd"/>
      <w:r w:rsidRPr="002E3F08">
        <w:rPr>
          <w:rFonts w:ascii="Times New Roman" w:hAnsi="Times New Roman"/>
          <w:sz w:val="24"/>
        </w:rPr>
        <w:t xml:space="preserve"> </w:t>
      </w:r>
      <w:proofErr w:type="spellStart"/>
      <w:r w:rsidRPr="002E3F08">
        <w:rPr>
          <w:rFonts w:ascii="Times New Roman" w:hAnsi="Times New Roman"/>
          <w:i/>
          <w:sz w:val="24"/>
        </w:rPr>
        <w:t>Enever</w:t>
      </w:r>
      <w:proofErr w:type="spellEnd"/>
      <w:r w:rsidRPr="002E3F08">
        <w:rPr>
          <w:rFonts w:ascii="Times New Roman" w:hAnsi="Times New Roman"/>
          <w:i/>
          <w:sz w:val="24"/>
        </w:rPr>
        <w:t xml:space="preserve"> v The King</w:t>
      </w:r>
      <w:r w:rsidRPr="002E3F08">
        <w:rPr>
          <w:rFonts w:ascii="Times New Roman" w:hAnsi="Times New Roman"/>
          <w:sz w:val="24"/>
        </w:rPr>
        <w:t xml:space="preserve"> (1906) 3 CLR 969; </w:t>
      </w:r>
      <w:r w:rsidRPr="002E3F08">
        <w:rPr>
          <w:rFonts w:ascii="Times New Roman" w:hAnsi="Times New Roman"/>
          <w:i/>
          <w:sz w:val="24"/>
        </w:rPr>
        <w:t>Baume v The Commonwealth</w:t>
      </w:r>
      <w:r w:rsidRPr="002E3F08">
        <w:rPr>
          <w:rFonts w:ascii="Times New Roman" w:hAnsi="Times New Roman"/>
          <w:sz w:val="24"/>
        </w:rPr>
        <w:t xml:space="preserve"> (1906) 4 CLR 97 at 110.</w:t>
      </w:r>
    </w:p>
  </w:footnote>
  <w:footnote w:id="108">
    <w:p w14:paraId="3E08A309"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r>
      <w:r w:rsidRPr="002E3F08">
        <w:rPr>
          <w:rFonts w:ascii="Times New Roman" w:hAnsi="Times New Roman"/>
          <w:i/>
          <w:iCs/>
          <w:sz w:val="24"/>
        </w:rPr>
        <w:t>Trobridge v Hardy</w:t>
      </w:r>
      <w:r w:rsidRPr="002E3F08">
        <w:rPr>
          <w:rFonts w:ascii="Times New Roman" w:hAnsi="Times New Roman"/>
          <w:sz w:val="24"/>
        </w:rPr>
        <w:t xml:space="preserve"> (1955) 94 CLR 147 at 152.</w:t>
      </w:r>
    </w:p>
  </w:footnote>
  <w:footnote w:id="109">
    <w:p w14:paraId="6C635C18"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r>
      <w:r w:rsidRPr="002E3F08">
        <w:rPr>
          <w:rFonts w:ascii="Times New Roman" w:hAnsi="Times New Roman"/>
          <w:i/>
          <w:iCs/>
          <w:sz w:val="24"/>
        </w:rPr>
        <w:t>Evans [No 2]</w:t>
      </w:r>
      <w:r w:rsidRPr="002E3F08">
        <w:rPr>
          <w:rFonts w:ascii="Times New Roman" w:hAnsi="Times New Roman"/>
          <w:sz w:val="24"/>
        </w:rPr>
        <w:t xml:space="preserve"> [2001] 2 AC 19 at 43. See also </w:t>
      </w:r>
      <w:r w:rsidRPr="002E3F08">
        <w:rPr>
          <w:rFonts w:ascii="Times New Roman" w:hAnsi="Times New Roman"/>
          <w:i/>
          <w:iCs/>
          <w:sz w:val="24"/>
        </w:rPr>
        <w:t>Balkin &amp; Davis Law of Torts</w:t>
      </w:r>
      <w:r w:rsidRPr="002E3F08">
        <w:rPr>
          <w:rFonts w:ascii="Times New Roman" w:hAnsi="Times New Roman"/>
          <w:sz w:val="24"/>
        </w:rPr>
        <w:t xml:space="preserve">, 6th ed (2021) at 88 [3.29]. </w:t>
      </w:r>
    </w:p>
  </w:footnote>
  <w:footnote w:id="110">
    <w:p w14:paraId="3AD0FE07"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r>
      <w:r w:rsidRPr="002E3F08">
        <w:rPr>
          <w:rFonts w:ascii="Times New Roman" w:hAnsi="Times New Roman"/>
          <w:i/>
          <w:iCs/>
          <w:sz w:val="24"/>
        </w:rPr>
        <w:t>Ruddock v Taylor</w:t>
      </w:r>
      <w:r w:rsidRPr="002E3F08">
        <w:rPr>
          <w:rFonts w:ascii="Times New Roman" w:hAnsi="Times New Roman"/>
          <w:sz w:val="24"/>
        </w:rPr>
        <w:t xml:space="preserve"> (2005) 222 CLR 612 at 650 [140]. See also </w:t>
      </w:r>
      <w:r w:rsidRPr="002E3F08">
        <w:rPr>
          <w:rFonts w:ascii="Times New Roman" w:hAnsi="Times New Roman"/>
          <w:i/>
          <w:iCs/>
          <w:sz w:val="24"/>
        </w:rPr>
        <w:t xml:space="preserve">Google LLC v </w:t>
      </w:r>
      <w:proofErr w:type="spellStart"/>
      <w:r w:rsidRPr="002E3F08">
        <w:rPr>
          <w:rFonts w:ascii="Times New Roman" w:hAnsi="Times New Roman"/>
          <w:i/>
          <w:iCs/>
          <w:sz w:val="24"/>
        </w:rPr>
        <w:t>Defteros</w:t>
      </w:r>
      <w:proofErr w:type="spellEnd"/>
      <w:r w:rsidRPr="002E3F08">
        <w:rPr>
          <w:rFonts w:ascii="Times New Roman" w:hAnsi="Times New Roman"/>
          <w:sz w:val="24"/>
        </w:rPr>
        <w:t xml:space="preserve"> (2022) 277 CLR 358 at 431 [202]; </w:t>
      </w:r>
      <w:r w:rsidRPr="002E3F08">
        <w:rPr>
          <w:rFonts w:ascii="Times New Roman" w:hAnsi="Times New Roman"/>
          <w:i/>
          <w:iCs/>
          <w:sz w:val="24"/>
        </w:rPr>
        <w:t>Evans [No 2]</w:t>
      </w:r>
      <w:r w:rsidRPr="002E3F08">
        <w:rPr>
          <w:rFonts w:ascii="Times New Roman" w:hAnsi="Times New Roman"/>
          <w:sz w:val="24"/>
        </w:rPr>
        <w:t xml:space="preserve"> [2001] 2 AC 19 at 26-28, 32, 35.</w:t>
      </w:r>
    </w:p>
  </w:footnote>
  <w:footnote w:id="111">
    <w:p w14:paraId="7EAE2F60"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r>
      <w:r w:rsidRPr="002E3F08">
        <w:rPr>
          <w:rFonts w:ascii="Times New Roman" w:hAnsi="Times New Roman"/>
          <w:i/>
          <w:iCs/>
          <w:sz w:val="24"/>
        </w:rPr>
        <w:t>Evans [No 2]</w:t>
      </w:r>
      <w:r w:rsidRPr="002E3F08">
        <w:rPr>
          <w:rFonts w:ascii="Times New Roman" w:hAnsi="Times New Roman"/>
          <w:sz w:val="24"/>
        </w:rPr>
        <w:t xml:space="preserve"> [2001] 2 AC 19 at 32.</w:t>
      </w:r>
    </w:p>
  </w:footnote>
  <w:footnote w:id="112">
    <w:p w14:paraId="7B5C7819"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t>[2001] 2 AC 19 at 35.</w:t>
      </w:r>
    </w:p>
  </w:footnote>
  <w:footnote w:id="113">
    <w:p w14:paraId="25784B99"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t xml:space="preserve">See </w:t>
      </w:r>
      <w:r w:rsidRPr="002E3F08">
        <w:rPr>
          <w:rFonts w:ascii="Times New Roman" w:hAnsi="Times New Roman"/>
          <w:i/>
          <w:iCs/>
          <w:sz w:val="24"/>
        </w:rPr>
        <w:t>Strickland v Rocla Concrete Pipes Ltd</w:t>
      </w:r>
      <w:r w:rsidRPr="002E3F08">
        <w:rPr>
          <w:rFonts w:ascii="Times New Roman" w:hAnsi="Times New Roman"/>
          <w:sz w:val="24"/>
        </w:rPr>
        <w:t xml:space="preserve"> (1971) 124 CLR 468 at 490; </w:t>
      </w:r>
      <w:r w:rsidRPr="002E3F08">
        <w:rPr>
          <w:rFonts w:ascii="Times New Roman" w:hAnsi="Times New Roman"/>
          <w:i/>
          <w:iCs/>
          <w:sz w:val="24"/>
        </w:rPr>
        <w:t>Mineralogy Pty Ltd v Western Australia</w:t>
      </w:r>
      <w:r w:rsidRPr="002E3F08">
        <w:rPr>
          <w:rFonts w:ascii="Times New Roman" w:hAnsi="Times New Roman"/>
          <w:sz w:val="24"/>
        </w:rPr>
        <w:t xml:space="preserve"> (2021) 274 CLR 219 at 248 [58].</w:t>
      </w:r>
    </w:p>
  </w:footnote>
  <w:footnote w:id="114">
    <w:p w14:paraId="12F8F172"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r>
      <w:r w:rsidRPr="002E3F08">
        <w:rPr>
          <w:rFonts w:ascii="Times New Roman" w:hAnsi="Times New Roman"/>
          <w:i/>
          <w:iCs/>
          <w:sz w:val="24"/>
        </w:rPr>
        <w:t>Brodie v Singleton Shire Council</w:t>
      </w:r>
      <w:r w:rsidRPr="002E3F08">
        <w:rPr>
          <w:rFonts w:ascii="Times New Roman" w:hAnsi="Times New Roman"/>
          <w:sz w:val="24"/>
        </w:rPr>
        <w:t xml:space="preserve"> (2001) 206 CLR 512 at 630-631 [316]-[317].</w:t>
      </w:r>
    </w:p>
  </w:footnote>
  <w:footnote w:id="115">
    <w:p w14:paraId="7353531D"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t xml:space="preserve">(2007) 158 FCR 325 at 346-348 [44]-[47]; see also 326-327 [3]. </w:t>
      </w:r>
    </w:p>
  </w:footnote>
  <w:footnote w:id="116">
    <w:p w14:paraId="5EA88249"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t>[1997] QB 924.</w:t>
      </w:r>
    </w:p>
  </w:footnote>
  <w:footnote w:id="117">
    <w:p w14:paraId="019B0304"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r>
      <w:r w:rsidRPr="002E3F08">
        <w:rPr>
          <w:rFonts w:ascii="Times New Roman" w:hAnsi="Times New Roman"/>
          <w:i/>
          <w:iCs/>
          <w:sz w:val="24"/>
        </w:rPr>
        <w:t xml:space="preserve">Percy </w:t>
      </w:r>
      <w:r w:rsidRPr="002E3F08">
        <w:rPr>
          <w:rFonts w:ascii="Times New Roman" w:hAnsi="Times New Roman"/>
          <w:sz w:val="24"/>
        </w:rPr>
        <w:t>[1997] QB 924 at 947.</w:t>
      </w:r>
    </w:p>
  </w:footnote>
  <w:footnote w:id="118">
    <w:p w14:paraId="32CF516C"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r>
      <w:r w:rsidRPr="002E3F08">
        <w:rPr>
          <w:rFonts w:ascii="Times New Roman" w:hAnsi="Times New Roman"/>
          <w:i/>
          <w:iCs/>
          <w:sz w:val="24"/>
        </w:rPr>
        <w:t>Evans [No 2]</w:t>
      </w:r>
      <w:r w:rsidRPr="002E3F08">
        <w:rPr>
          <w:rFonts w:ascii="Times New Roman" w:hAnsi="Times New Roman"/>
          <w:sz w:val="24"/>
        </w:rPr>
        <w:t xml:space="preserve"> [2001] 2 AC 19 at 30-31. </w:t>
      </w:r>
    </w:p>
  </w:footnote>
  <w:footnote w:id="119">
    <w:p w14:paraId="56737314"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r>
      <w:r w:rsidRPr="002E3F08">
        <w:rPr>
          <w:rFonts w:ascii="Times New Roman" w:hAnsi="Times New Roman"/>
          <w:i/>
          <w:iCs/>
          <w:sz w:val="24"/>
        </w:rPr>
        <w:t>Evans [No 2]</w:t>
      </w:r>
      <w:r w:rsidRPr="002E3F08">
        <w:rPr>
          <w:rFonts w:ascii="Times New Roman" w:hAnsi="Times New Roman"/>
          <w:sz w:val="24"/>
        </w:rPr>
        <w:t xml:space="preserve"> [2001] 2 AC 19 at 27, discussing </w:t>
      </w:r>
      <w:r w:rsidRPr="002E3F08">
        <w:rPr>
          <w:rFonts w:ascii="Times New Roman" w:hAnsi="Times New Roman"/>
          <w:i/>
          <w:iCs/>
          <w:sz w:val="24"/>
        </w:rPr>
        <w:t xml:space="preserve">R v Governor of </w:t>
      </w:r>
      <w:proofErr w:type="spellStart"/>
      <w:r w:rsidRPr="002E3F08">
        <w:rPr>
          <w:rFonts w:ascii="Times New Roman" w:hAnsi="Times New Roman"/>
          <w:i/>
          <w:iCs/>
          <w:sz w:val="24"/>
        </w:rPr>
        <w:t>Brockhill</w:t>
      </w:r>
      <w:proofErr w:type="spellEnd"/>
      <w:r w:rsidRPr="002E3F08">
        <w:rPr>
          <w:rFonts w:ascii="Times New Roman" w:hAnsi="Times New Roman"/>
          <w:i/>
          <w:iCs/>
          <w:sz w:val="24"/>
        </w:rPr>
        <w:t xml:space="preserve"> Prison; Ex </w:t>
      </w:r>
      <w:proofErr w:type="spellStart"/>
      <w:r w:rsidRPr="002E3F08">
        <w:rPr>
          <w:rFonts w:ascii="Times New Roman" w:hAnsi="Times New Roman"/>
          <w:i/>
          <w:iCs/>
          <w:sz w:val="24"/>
        </w:rPr>
        <w:t>parte</w:t>
      </w:r>
      <w:proofErr w:type="spellEnd"/>
      <w:r w:rsidRPr="002E3F08">
        <w:rPr>
          <w:rFonts w:ascii="Times New Roman" w:hAnsi="Times New Roman"/>
          <w:i/>
          <w:iCs/>
          <w:sz w:val="24"/>
        </w:rPr>
        <w:t xml:space="preserve"> Evans</w:t>
      </w:r>
      <w:r w:rsidRPr="002E3F08">
        <w:rPr>
          <w:rFonts w:ascii="Times New Roman" w:hAnsi="Times New Roman"/>
          <w:sz w:val="24"/>
        </w:rPr>
        <w:t xml:space="preserve"> [1997] QB 443. </w:t>
      </w:r>
    </w:p>
  </w:footnote>
  <w:footnote w:id="120">
    <w:p w14:paraId="26129940"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r>
      <w:r w:rsidRPr="002E3F08">
        <w:rPr>
          <w:rFonts w:ascii="Times New Roman" w:hAnsi="Times New Roman"/>
          <w:i/>
          <w:iCs/>
          <w:sz w:val="24"/>
        </w:rPr>
        <w:t>Evans [No 2]</w:t>
      </w:r>
      <w:r w:rsidRPr="002E3F08">
        <w:rPr>
          <w:rFonts w:ascii="Times New Roman" w:hAnsi="Times New Roman"/>
          <w:sz w:val="24"/>
        </w:rPr>
        <w:t xml:space="preserve"> [2001] 2 AC 19 at 27. </w:t>
      </w:r>
    </w:p>
  </w:footnote>
  <w:footnote w:id="121">
    <w:p w14:paraId="328DF947"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r>
      <w:r w:rsidRPr="002E3F08">
        <w:rPr>
          <w:rFonts w:ascii="Times New Roman" w:hAnsi="Times New Roman"/>
          <w:i/>
          <w:iCs/>
          <w:sz w:val="24"/>
        </w:rPr>
        <w:t>Evans [No 2]</w:t>
      </w:r>
      <w:r w:rsidRPr="002E3F08">
        <w:rPr>
          <w:rFonts w:ascii="Times New Roman" w:hAnsi="Times New Roman"/>
          <w:sz w:val="24"/>
        </w:rPr>
        <w:t xml:space="preserve"> [2001] 2 AC 19 at 26-29, 33-35, 43, 47. </w:t>
      </w:r>
    </w:p>
  </w:footnote>
  <w:footnote w:id="122">
    <w:p w14:paraId="0BA0E825"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r>
      <w:r w:rsidRPr="002E3F08">
        <w:rPr>
          <w:rFonts w:ascii="Times New Roman" w:hAnsi="Times New Roman"/>
          <w:i/>
          <w:iCs/>
          <w:sz w:val="24"/>
        </w:rPr>
        <w:t>Evans [No 2]</w:t>
      </w:r>
      <w:r w:rsidRPr="002E3F08">
        <w:rPr>
          <w:rFonts w:ascii="Times New Roman" w:hAnsi="Times New Roman"/>
          <w:sz w:val="24"/>
        </w:rPr>
        <w:t xml:space="preserve"> [2001] 2 AC 19 at 26 (emphasis added). </w:t>
      </w:r>
    </w:p>
  </w:footnote>
  <w:footnote w:id="123">
    <w:p w14:paraId="36F694A1"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r>
      <w:r w:rsidRPr="002E3F08">
        <w:rPr>
          <w:rFonts w:ascii="Times New Roman" w:hAnsi="Times New Roman"/>
          <w:i/>
          <w:iCs/>
          <w:sz w:val="24"/>
        </w:rPr>
        <w:t>Evans [No 2]</w:t>
      </w:r>
      <w:r w:rsidRPr="002E3F08">
        <w:rPr>
          <w:rFonts w:ascii="Times New Roman" w:hAnsi="Times New Roman"/>
          <w:sz w:val="24"/>
        </w:rPr>
        <w:t xml:space="preserve"> [2001] 2 AC 19 at 33; see also 35.</w:t>
      </w:r>
    </w:p>
  </w:footnote>
  <w:footnote w:id="124">
    <w:p w14:paraId="2CB0BF61"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r>
      <w:r w:rsidRPr="002E3F08">
        <w:rPr>
          <w:rFonts w:ascii="Times New Roman" w:hAnsi="Times New Roman"/>
          <w:i/>
          <w:iCs/>
          <w:sz w:val="24"/>
        </w:rPr>
        <w:t>Evans [No 2]</w:t>
      </w:r>
      <w:r w:rsidRPr="002E3F08">
        <w:rPr>
          <w:rFonts w:ascii="Times New Roman" w:hAnsi="Times New Roman"/>
          <w:sz w:val="24"/>
        </w:rPr>
        <w:t xml:space="preserve"> [2001] 2 AC 19 at 35. </w:t>
      </w:r>
    </w:p>
  </w:footnote>
  <w:footnote w:id="125">
    <w:p w14:paraId="13AAAC61"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t>[1997] QB 924 at 943-945.</w:t>
      </w:r>
    </w:p>
  </w:footnote>
  <w:footnote w:id="126">
    <w:p w14:paraId="15A3CB4D"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t xml:space="preserve">It may be queried whether an arrest made in reliance </w:t>
      </w:r>
      <w:r>
        <w:rPr>
          <w:rFonts w:ascii="Times New Roman" w:hAnsi="Times New Roman"/>
          <w:sz w:val="24"/>
        </w:rPr>
        <w:t>upon</w:t>
      </w:r>
      <w:r w:rsidRPr="002E3F08">
        <w:rPr>
          <w:rFonts w:ascii="Times New Roman" w:hAnsi="Times New Roman"/>
          <w:sz w:val="24"/>
        </w:rPr>
        <w:t xml:space="preserve"> an unconstitutional offence is lawful: </w:t>
      </w:r>
      <w:r w:rsidRPr="002E3F08">
        <w:rPr>
          <w:rFonts w:ascii="Times New Roman" w:hAnsi="Times New Roman"/>
          <w:i/>
          <w:iCs/>
          <w:sz w:val="24"/>
        </w:rPr>
        <w:t>Coleman v Power</w:t>
      </w:r>
      <w:r w:rsidRPr="002E3F08">
        <w:rPr>
          <w:rFonts w:ascii="Times New Roman" w:hAnsi="Times New Roman"/>
          <w:sz w:val="24"/>
        </w:rPr>
        <w:t xml:space="preserve"> (2004) 220 CLR 1 at 62-64 [140]-[144]. </w:t>
      </w:r>
    </w:p>
  </w:footnote>
  <w:footnote w:id="127">
    <w:p w14:paraId="47BAF614"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i/>
          <w:iCs/>
          <w:sz w:val="24"/>
        </w:rPr>
        <w:tab/>
        <w:t>Harlow v Fitzgerald</w:t>
      </w:r>
      <w:r w:rsidRPr="002E3F08">
        <w:rPr>
          <w:rFonts w:ascii="Times New Roman" w:hAnsi="Times New Roman"/>
          <w:sz w:val="24"/>
        </w:rPr>
        <w:t xml:space="preserve"> (1982) 457 US 800 at 818. </w:t>
      </w:r>
    </w:p>
  </w:footnote>
  <w:footnote w:id="128">
    <w:p w14:paraId="6A7F4471"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t xml:space="preserve">(1967) 386 US 547 at 555. </w:t>
      </w:r>
    </w:p>
  </w:footnote>
  <w:footnote w:id="129">
    <w:p w14:paraId="2F718176"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t xml:space="preserve">(1967) 386 US 547 at 555. </w:t>
      </w:r>
    </w:p>
  </w:footnote>
  <w:footnote w:id="130">
    <w:p w14:paraId="3080609D"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r>
      <w:r w:rsidRPr="002E3F08">
        <w:rPr>
          <w:rFonts w:ascii="Times New Roman" w:hAnsi="Times New Roman"/>
          <w:i/>
          <w:iCs/>
          <w:sz w:val="24"/>
        </w:rPr>
        <w:t>Mackin v New Brunswick (Minister of Finance)</w:t>
      </w:r>
      <w:r w:rsidRPr="002E3F08">
        <w:rPr>
          <w:rFonts w:ascii="Times New Roman" w:hAnsi="Times New Roman"/>
          <w:sz w:val="24"/>
        </w:rPr>
        <w:t xml:space="preserve"> [2002] 1 SCR 405 at 441-442 [78], citing </w:t>
      </w:r>
      <w:proofErr w:type="spellStart"/>
      <w:r w:rsidRPr="002E3F08">
        <w:rPr>
          <w:rFonts w:ascii="Times New Roman" w:hAnsi="Times New Roman"/>
          <w:i/>
          <w:iCs/>
          <w:sz w:val="24"/>
        </w:rPr>
        <w:t>Welbridge</w:t>
      </w:r>
      <w:proofErr w:type="spellEnd"/>
      <w:r w:rsidRPr="002E3F08">
        <w:rPr>
          <w:rFonts w:ascii="Times New Roman" w:hAnsi="Times New Roman"/>
          <w:i/>
          <w:iCs/>
          <w:sz w:val="24"/>
        </w:rPr>
        <w:t xml:space="preserve"> Holdings Ltd v Metropolitan Corporation of Greater Winnipeg</w:t>
      </w:r>
      <w:r w:rsidRPr="002E3F08">
        <w:rPr>
          <w:rFonts w:ascii="Times New Roman" w:hAnsi="Times New Roman"/>
          <w:sz w:val="24"/>
        </w:rPr>
        <w:t xml:space="preserve"> [1971] SCR 957 and </w:t>
      </w:r>
      <w:r w:rsidRPr="002E3F08">
        <w:rPr>
          <w:rFonts w:ascii="Times New Roman" w:hAnsi="Times New Roman"/>
          <w:i/>
          <w:sz w:val="24"/>
        </w:rPr>
        <w:t>Central Canada Potash Co Ltd v Government of Saskatchewan</w:t>
      </w:r>
      <w:r w:rsidRPr="002E3F08">
        <w:rPr>
          <w:rFonts w:ascii="Times New Roman" w:hAnsi="Times New Roman"/>
          <w:sz w:val="24"/>
        </w:rPr>
        <w:t xml:space="preserve"> [1979] 1 SCR 42; </w:t>
      </w:r>
      <w:r w:rsidRPr="002E3F08">
        <w:rPr>
          <w:rFonts w:ascii="Times New Roman" w:hAnsi="Times New Roman"/>
          <w:i/>
          <w:iCs/>
          <w:sz w:val="24"/>
        </w:rPr>
        <w:t>Guimond</w:t>
      </w:r>
      <w:r w:rsidRPr="002E3F08">
        <w:rPr>
          <w:rFonts w:ascii="Times New Roman" w:hAnsi="Times New Roman"/>
          <w:i/>
          <w:sz w:val="24"/>
        </w:rPr>
        <w:t xml:space="preserve"> </w:t>
      </w:r>
      <w:r w:rsidRPr="002E3F08">
        <w:rPr>
          <w:rFonts w:ascii="Times New Roman" w:hAnsi="Times New Roman"/>
          <w:i/>
          <w:iCs/>
          <w:sz w:val="24"/>
        </w:rPr>
        <w:t>v Quebec</w:t>
      </w:r>
      <w:r w:rsidRPr="002E3F08">
        <w:rPr>
          <w:rFonts w:ascii="Times New Roman" w:hAnsi="Times New Roman"/>
          <w:i/>
          <w:sz w:val="24"/>
        </w:rPr>
        <w:t xml:space="preserve"> </w:t>
      </w:r>
      <w:r w:rsidRPr="002E3F08">
        <w:rPr>
          <w:rFonts w:ascii="Times New Roman" w:hAnsi="Times New Roman"/>
          <w:i/>
          <w:iCs/>
          <w:sz w:val="24"/>
        </w:rPr>
        <w:t>(Attorney General)</w:t>
      </w:r>
      <w:r w:rsidRPr="002E3F08">
        <w:rPr>
          <w:rFonts w:ascii="Times New Roman" w:hAnsi="Times New Roman"/>
          <w:sz w:val="24"/>
        </w:rPr>
        <w:t xml:space="preserve"> [1996] 3 SCR 347 at 359 [15]. </w:t>
      </w:r>
    </w:p>
  </w:footnote>
  <w:footnote w:id="131">
    <w:p w14:paraId="48072B38"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r>
      <w:r w:rsidRPr="002E3F08">
        <w:rPr>
          <w:rFonts w:ascii="Times New Roman" w:hAnsi="Times New Roman"/>
          <w:i/>
          <w:iCs/>
          <w:sz w:val="24"/>
        </w:rPr>
        <w:t>Mackin</w:t>
      </w:r>
      <w:r w:rsidRPr="002E3F08">
        <w:rPr>
          <w:rFonts w:ascii="Times New Roman" w:hAnsi="Times New Roman"/>
          <w:sz w:val="24"/>
        </w:rPr>
        <w:t xml:space="preserve"> [2002] 1 SCR 405 at 442 [79].</w:t>
      </w:r>
    </w:p>
  </w:footnote>
  <w:footnote w:id="132">
    <w:p w14:paraId="5611E86C"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r>
      <w:r w:rsidRPr="002E3F08">
        <w:rPr>
          <w:rFonts w:ascii="Times New Roman" w:hAnsi="Times New Roman"/>
          <w:i/>
          <w:iCs/>
          <w:sz w:val="24"/>
        </w:rPr>
        <w:t xml:space="preserve">Guimond </w:t>
      </w:r>
      <w:r w:rsidRPr="002E3F08">
        <w:rPr>
          <w:rFonts w:ascii="Times New Roman" w:hAnsi="Times New Roman"/>
          <w:sz w:val="24"/>
        </w:rPr>
        <w:t>[1996] 3 SCR 347 at 360 [19].</w:t>
      </w:r>
    </w:p>
  </w:footnote>
  <w:footnote w:id="133">
    <w:p w14:paraId="080E525A"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t xml:space="preserve">See, </w:t>
      </w:r>
      <w:proofErr w:type="spellStart"/>
      <w:r w:rsidRPr="002E3F08">
        <w:rPr>
          <w:rFonts w:ascii="Times New Roman" w:hAnsi="Times New Roman"/>
          <w:sz w:val="24"/>
        </w:rPr>
        <w:t>eg</w:t>
      </w:r>
      <w:proofErr w:type="spellEnd"/>
      <w:r w:rsidRPr="002E3F08">
        <w:rPr>
          <w:rFonts w:ascii="Times New Roman" w:hAnsi="Times New Roman"/>
          <w:sz w:val="24"/>
        </w:rPr>
        <w:t xml:space="preserve">, </w:t>
      </w:r>
      <w:r w:rsidRPr="002E3F08">
        <w:rPr>
          <w:rFonts w:ascii="Times New Roman" w:hAnsi="Times New Roman"/>
          <w:i/>
          <w:iCs/>
          <w:sz w:val="24"/>
        </w:rPr>
        <w:t>Canada (Attorney General) v Hislop</w:t>
      </w:r>
      <w:r w:rsidRPr="002E3F08">
        <w:rPr>
          <w:rFonts w:ascii="Times New Roman" w:hAnsi="Times New Roman"/>
          <w:sz w:val="24"/>
        </w:rPr>
        <w:t xml:space="preserve"> [2007] 1 SCR 429 at 471 [102]. </w:t>
      </w:r>
    </w:p>
  </w:footnote>
  <w:footnote w:id="134">
    <w:p w14:paraId="2879F561" w14:textId="77777777" w:rsidR="009F6ECF" w:rsidRPr="002E3F08" w:rsidRDefault="009F6ECF" w:rsidP="002E3F08">
      <w:pPr>
        <w:pStyle w:val="FootnoteText"/>
        <w:spacing w:line="280" w:lineRule="exact"/>
        <w:ind w:right="0"/>
        <w:jc w:val="both"/>
        <w:rPr>
          <w:rFonts w:ascii="Times New Roman" w:hAnsi="Times New Roman"/>
          <w:sz w:val="24"/>
        </w:rPr>
      </w:pPr>
      <w:r w:rsidRPr="002E3F08">
        <w:rPr>
          <w:rStyle w:val="FootnoteReference"/>
          <w:rFonts w:ascii="Times New Roman" w:hAnsi="Times New Roman"/>
          <w:sz w:val="22"/>
          <w:vertAlign w:val="baseline"/>
        </w:rPr>
        <w:footnoteRef/>
      </w:r>
      <w:r w:rsidRPr="002E3F08">
        <w:rPr>
          <w:rFonts w:ascii="Times New Roman" w:hAnsi="Times New Roman"/>
          <w:sz w:val="24"/>
        </w:rPr>
        <w:t xml:space="preserve"> </w:t>
      </w:r>
      <w:r w:rsidRPr="002E3F08">
        <w:rPr>
          <w:rFonts w:ascii="Times New Roman" w:hAnsi="Times New Roman"/>
          <w:sz w:val="24"/>
        </w:rPr>
        <w:tab/>
        <w:t xml:space="preserve">See, </w:t>
      </w:r>
      <w:proofErr w:type="spellStart"/>
      <w:r w:rsidRPr="002E3F08">
        <w:rPr>
          <w:rFonts w:ascii="Times New Roman" w:hAnsi="Times New Roman"/>
          <w:sz w:val="24"/>
        </w:rPr>
        <w:t>eg</w:t>
      </w:r>
      <w:proofErr w:type="spellEnd"/>
      <w:r w:rsidRPr="002E3F08">
        <w:rPr>
          <w:rFonts w:ascii="Times New Roman" w:hAnsi="Times New Roman"/>
          <w:sz w:val="24"/>
        </w:rPr>
        <w:t xml:space="preserve">, </w:t>
      </w:r>
      <w:r w:rsidRPr="002E3F08">
        <w:rPr>
          <w:rFonts w:ascii="Times New Roman" w:hAnsi="Times New Roman"/>
          <w:i/>
          <w:iCs/>
          <w:sz w:val="24"/>
        </w:rPr>
        <w:t>Scheuer v Rhodes</w:t>
      </w:r>
      <w:r w:rsidRPr="002E3F08">
        <w:rPr>
          <w:rFonts w:ascii="Times New Roman" w:hAnsi="Times New Roman"/>
          <w:sz w:val="24"/>
        </w:rPr>
        <w:t xml:space="preserve"> (1974) 416 US 232 at 239-240; </w:t>
      </w:r>
      <w:r w:rsidRPr="002E3F08">
        <w:rPr>
          <w:rFonts w:ascii="Times New Roman" w:hAnsi="Times New Roman"/>
          <w:i/>
          <w:iCs/>
          <w:sz w:val="24"/>
        </w:rPr>
        <w:t>Hislop</w:t>
      </w:r>
      <w:r w:rsidRPr="002E3F08">
        <w:rPr>
          <w:rFonts w:ascii="Times New Roman" w:hAnsi="Times New Roman"/>
          <w:sz w:val="24"/>
        </w:rPr>
        <w:t xml:space="preserve"> [2007] 1 SCR 429 at 471 [102]. </w:t>
      </w:r>
    </w:p>
  </w:footnote>
  <w:footnote w:id="135">
    <w:p w14:paraId="688BC1D1"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t xml:space="preserve">(2004) 219 CLR 562. </w:t>
      </w:r>
    </w:p>
  </w:footnote>
  <w:footnote w:id="136">
    <w:p w14:paraId="54976B61"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r w:rsidRPr="00CA4331">
        <w:rPr>
          <w:rFonts w:ascii="Times New Roman" w:hAnsi="Times New Roman"/>
          <w:i/>
          <w:iCs/>
          <w:sz w:val="24"/>
        </w:rPr>
        <w:t xml:space="preserve">Migration Act 1958 </w:t>
      </w:r>
      <w:r w:rsidRPr="00CA4331">
        <w:rPr>
          <w:rFonts w:ascii="Times New Roman" w:hAnsi="Times New Roman"/>
          <w:sz w:val="24"/>
        </w:rPr>
        <w:t>(</w:t>
      </w:r>
      <w:proofErr w:type="spellStart"/>
      <w:r w:rsidRPr="00CA4331">
        <w:rPr>
          <w:rFonts w:ascii="Times New Roman" w:hAnsi="Times New Roman"/>
          <w:sz w:val="24"/>
        </w:rPr>
        <w:t>Cth</w:t>
      </w:r>
      <w:proofErr w:type="spellEnd"/>
      <w:r w:rsidRPr="00CA4331">
        <w:rPr>
          <w:rFonts w:ascii="Times New Roman" w:hAnsi="Times New Roman"/>
          <w:sz w:val="24"/>
        </w:rPr>
        <w:t>), ss 189(1), 196(1).</w:t>
      </w:r>
    </w:p>
  </w:footnote>
  <w:footnote w:id="137">
    <w:p w14:paraId="4FFF5D20"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t>(2023) 280 CLR 137.</w:t>
      </w:r>
    </w:p>
  </w:footnote>
  <w:footnote w:id="138">
    <w:p w14:paraId="12A47C41"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t xml:space="preserve">See </w:t>
      </w:r>
      <w:r w:rsidRPr="00CA4331">
        <w:rPr>
          <w:rFonts w:ascii="Times New Roman" w:hAnsi="Times New Roman"/>
          <w:i/>
          <w:iCs/>
          <w:sz w:val="24"/>
        </w:rPr>
        <w:t xml:space="preserve">Fairfax Media Publications Pty Ltd v Voller </w:t>
      </w:r>
      <w:r w:rsidRPr="00CA4331">
        <w:rPr>
          <w:rFonts w:ascii="Times New Roman" w:hAnsi="Times New Roman"/>
          <w:sz w:val="24"/>
        </w:rPr>
        <w:t>(2021) 273 CLR 346 at 381 [115].</w:t>
      </w:r>
    </w:p>
  </w:footnote>
  <w:footnote w:id="139">
    <w:p w14:paraId="4B3F851B"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t xml:space="preserve">Goudkamp, </w:t>
      </w:r>
      <w:r w:rsidRPr="00CA4331">
        <w:rPr>
          <w:rFonts w:ascii="Times New Roman" w:hAnsi="Times New Roman"/>
          <w:i/>
          <w:iCs/>
          <w:sz w:val="24"/>
        </w:rPr>
        <w:t xml:space="preserve">Tort Law Defences </w:t>
      </w:r>
      <w:r w:rsidRPr="00CA4331">
        <w:rPr>
          <w:rFonts w:ascii="Times New Roman" w:hAnsi="Times New Roman"/>
          <w:sz w:val="24"/>
        </w:rPr>
        <w:t>(2013) at 137-138.</w:t>
      </w:r>
    </w:p>
  </w:footnote>
  <w:footnote w:id="140">
    <w:p w14:paraId="5EE23F30"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t xml:space="preserve">Hale, </w:t>
      </w:r>
      <w:r w:rsidRPr="00CA4331">
        <w:rPr>
          <w:rFonts w:ascii="Times New Roman" w:hAnsi="Times New Roman"/>
          <w:i/>
          <w:iCs/>
          <w:sz w:val="24"/>
        </w:rPr>
        <w:t>The History and Analysis of the Common Law of England</w:t>
      </w:r>
      <w:r w:rsidRPr="00CA4331">
        <w:rPr>
          <w:rFonts w:ascii="Times New Roman" w:hAnsi="Times New Roman"/>
          <w:sz w:val="24"/>
        </w:rPr>
        <w:t xml:space="preserve"> (1713) at 68; </w:t>
      </w:r>
      <w:r w:rsidRPr="00CA4331">
        <w:rPr>
          <w:rFonts w:ascii="Times New Roman" w:hAnsi="Times New Roman"/>
          <w:i/>
          <w:iCs/>
          <w:sz w:val="24"/>
        </w:rPr>
        <w:t xml:space="preserve">R v Governor of </w:t>
      </w:r>
      <w:proofErr w:type="spellStart"/>
      <w:r w:rsidRPr="00CA4331">
        <w:rPr>
          <w:rFonts w:ascii="Times New Roman" w:hAnsi="Times New Roman"/>
          <w:i/>
          <w:iCs/>
          <w:sz w:val="24"/>
        </w:rPr>
        <w:t>Brockhill</w:t>
      </w:r>
      <w:proofErr w:type="spellEnd"/>
      <w:r w:rsidRPr="00CA4331">
        <w:rPr>
          <w:rFonts w:ascii="Times New Roman" w:hAnsi="Times New Roman"/>
          <w:i/>
          <w:iCs/>
          <w:sz w:val="24"/>
        </w:rPr>
        <w:t xml:space="preserve"> Prison, Ex </w:t>
      </w:r>
      <w:proofErr w:type="spellStart"/>
      <w:r w:rsidRPr="00CA4331">
        <w:rPr>
          <w:rFonts w:ascii="Times New Roman" w:hAnsi="Times New Roman"/>
          <w:i/>
          <w:iCs/>
          <w:sz w:val="24"/>
        </w:rPr>
        <w:t>parte</w:t>
      </w:r>
      <w:proofErr w:type="spellEnd"/>
      <w:r w:rsidRPr="00CA4331">
        <w:rPr>
          <w:rFonts w:ascii="Times New Roman" w:hAnsi="Times New Roman"/>
          <w:i/>
          <w:iCs/>
          <w:sz w:val="24"/>
        </w:rPr>
        <w:t xml:space="preserve"> Evans [No 2]</w:t>
      </w:r>
      <w:r w:rsidRPr="00CA4331">
        <w:rPr>
          <w:rFonts w:ascii="Times New Roman" w:hAnsi="Times New Roman"/>
          <w:sz w:val="24"/>
        </w:rPr>
        <w:t xml:space="preserve"> [2001] 2 AC 19 at 45.</w:t>
      </w:r>
    </w:p>
  </w:footnote>
  <w:footnote w:id="141">
    <w:p w14:paraId="289F013C"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t xml:space="preserve">Blackstone, </w:t>
      </w:r>
      <w:r w:rsidRPr="00CA4331">
        <w:rPr>
          <w:rFonts w:ascii="Times New Roman" w:hAnsi="Times New Roman"/>
          <w:i/>
          <w:iCs/>
          <w:sz w:val="24"/>
        </w:rPr>
        <w:t xml:space="preserve">Commentaries on the Laws of England </w:t>
      </w:r>
      <w:r w:rsidRPr="00CA4331">
        <w:rPr>
          <w:rFonts w:ascii="Times New Roman" w:hAnsi="Times New Roman"/>
          <w:sz w:val="24"/>
        </w:rPr>
        <w:t>(1765), bk 1 at 71 (emphasis in original).</w:t>
      </w:r>
    </w:p>
  </w:footnote>
  <w:footnote w:id="142">
    <w:p w14:paraId="76FF2ABE"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bookmarkStart w:id="9" w:name="_Hlk218521552"/>
      <w:r w:rsidRPr="00CA4331">
        <w:rPr>
          <w:rFonts w:ascii="Times New Roman" w:hAnsi="Times New Roman"/>
          <w:i/>
          <w:iCs/>
          <w:sz w:val="24"/>
        </w:rPr>
        <w:t xml:space="preserve">Jones v Randall </w:t>
      </w:r>
      <w:r w:rsidRPr="00CA4331">
        <w:rPr>
          <w:rFonts w:ascii="Times New Roman" w:hAnsi="Times New Roman"/>
          <w:sz w:val="24"/>
        </w:rPr>
        <w:t>(1774) Lofft 383 at 385 [98 ER 706 at 707].</w:t>
      </w:r>
      <w:bookmarkEnd w:id="9"/>
    </w:p>
  </w:footnote>
  <w:footnote w:id="143">
    <w:p w14:paraId="3617B3F5"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t>(2025) 99 ALJR 396; 421 ALR 376.</w:t>
      </w:r>
    </w:p>
  </w:footnote>
  <w:footnote w:id="144">
    <w:p w14:paraId="465F9E70"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r w:rsidRPr="00CA4331">
        <w:rPr>
          <w:rFonts w:ascii="Times New Roman" w:hAnsi="Times New Roman"/>
          <w:i/>
          <w:iCs/>
          <w:sz w:val="24"/>
        </w:rPr>
        <w:t xml:space="preserve">CCIG Investments Pty Ltd v </w:t>
      </w:r>
      <w:proofErr w:type="spellStart"/>
      <w:r w:rsidRPr="00CA4331">
        <w:rPr>
          <w:rFonts w:ascii="Times New Roman" w:hAnsi="Times New Roman"/>
          <w:i/>
          <w:iCs/>
          <w:sz w:val="24"/>
        </w:rPr>
        <w:t>Schokman</w:t>
      </w:r>
      <w:proofErr w:type="spellEnd"/>
      <w:r w:rsidRPr="00CA4331">
        <w:rPr>
          <w:rFonts w:ascii="Times New Roman" w:hAnsi="Times New Roman"/>
          <w:i/>
          <w:iCs/>
          <w:sz w:val="24"/>
        </w:rPr>
        <w:t xml:space="preserve"> </w:t>
      </w:r>
      <w:r w:rsidRPr="00CA4331">
        <w:rPr>
          <w:rFonts w:ascii="Times New Roman" w:hAnsi="Times New Roman"/>
          <w:sz w:val="24"/>
        </w:rPr>
        <w:t xml:space="preserve">(2023) 278 CLR 165 at 185-187 [48]-[54]. </w:t>
      </w:r>
    </w:p>
  </w:footnote>
  <w:footnote w:id="145">
    <w:p w14:paraId="5D4DFFC2"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t>(2024) 98 ALJR 1349 at 1361-1362 [44], 1367 [63]; 419 ALR 552 at 564, 571.</w:t>
      </w:r>
    </w:p>
  </w:footnote>
  <w:footnote w:id="146">
    <w:p w14:paraId="1459A3D9"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t xml:space="preserve">See, for instance, the discussion in </w:t>
      </w:r>
      <w:r w:rsidRPr="00CA4331">
        <w:rPr>
          <w:rFonts w:ascii="Times New Roman" w:hAnsi="Times New Roman"/>
          <w:i/>
          <w:iCs/>
          <w:sz w:val="24"/>
        </w:rPr>
        <w:t>Bird v DP (a pseudonym)</w:t>
      </w:r>
      <w:r w:rsidRPr="00CA4331">
        <w:rPr>
          <w:rFonts w:ascii="Times New Roman" w:hAnsi="Times New Roman"/>
          <w:sz w:val="24"/>
        </w:rPr>
        <w:t xml:space="preserve"> (2024) 98 ALJR 1349 at 1358-1359 [31]-[34]; 419 ALR 552 at 560-561. See also </w:t>
      </w:r>
      <w:r w:rsidRPr="00CA4331">
        <w:rPr>
          <w:rFonts w:ascii="Times New Roman" w:hAnsi="Times New Roman"/>
          <w:i/>
          <w:iCs/>
          <w:sz w:val="24"/>
        </w:rPr>
        <w:t xml:space="preserve">CCIG Investments Pty Ltd v </w:t>
      </w:r>
      <w:proofErr w:type="spellStart"/>
      <w:r w:rsidRPr="00CA4331">
        <w:rPr>
          <w:rFonts w:ascii="Times New Roman" w:hAnsi="Times New Roman"/>
          <w:i/>
          <w:iCs/>
          <w:sz w:val="24"/>
        </w:rPr>
        <w:t>Schokman</w:t>
      </w:r>
      <w:proofErr w:type="spellEnd"/>
      <w:r w:rsidRPr="00CA4331">
        <w:rPr>
          <w:rFonts w:ascii="Times New Roman" w:hAnsi="Times New Roman"/>
          <w:i/>
          <w:iCs/>
          <w:sz w:val="24"/>
        </w:rPr>
        <w:t xml:space="preserve"> </w:t>
      </w:r>
      <w:r w:rsidRPr="00CA4331">
        <w:rPr>
          <w:rFonts w:ascii="Times New Roman" w:hAnsi="Times New Roman"/>
          <w:sz w:val="24"/>
        </w:rPr>
        <w:t>(2023) 278 CLR 165 at 187-189 [55]-[58].</w:t>
      </w:r>
    </w:p>
  </w:footnote>
  <w:footnote w:id="147">
    <w:p w14:paraId="4DEF84A9" w14:textId="77777777" w:rsidR="009F6ECF" w:rsidRPr="00CA4331" w:rsidRDefault="009F6ECF" w:rsidP="00CA4331">
      <w:pPr>
        <w:pStyle w:val="FootnoteText"/>
        <w:spacing w:line="280" w:lineRule="exact"/>
        <w:ind w:right="0"/>
        <w:jc w:val="both"/>
        <w:rPr>
          <w:rFonts w:ascii="Times New Roman" w:hAnsi="Times New Roman"/>
          <w:i/>
          <w:iCs/>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r w:rsidRPr="00CA4331">
        <w:rPr>
          <w:rFonts w:ascii="Times New Roman" w:hAnsi="Times New Roman"/>
          <w:i/>
          <w:iCs/>
          <w:sz w:val="24"/>
        </w:rPr>
        <w:t>Darling Island Stevedoring and Lighterage Co Ltd v Long</w:t>
      </w:r>
      <w:r w:rsidRPr="00CA4331">
        <w:rPr>
          <w:rFonts w:ascii="Times New Roman" w:hAnsi="Times New Roman"/>
          <w:sz w:val="24"/>
        </w:rPr>
        <w:t xml:space="preserve"> (1957) 97 CLR 36 at 61, discussing </w:t>
      </w:r>
      <w:r w:rsidRPr="00CA4331">
        <w:rPr>
          <w:rFonts w:ascii="Times New Roman" w:hAnsi="Times New Roman"/>
          <w:i/>
          <w:iCs/>
          <w:sz w:val="24"/>
        </w:rPr>
        <w:t xml:space="preserve">Broom v Morgan </w:t>
      </w:r>
      <w:r w:rsidRPr="00CA4331">
        <w:rPr>
          <w:rFonts w:ascii="Times New Roman" w:hAnsi="Times New Roman"/>
          <w:sz w:val="24"/>
        </w:rPr>
        <w:t xml:space="preserve">[1953] 1 QB 597 and </w:t>
      </w:r>
      <w:r w:rsidRPr="00CA4331">
        <w:rPr>
          <w:rFonts w:ascii="Times New Roman" w:hAnsi="Times New Roman"/>
          <w:i/>
          <w:iCs/>
          <w:sz w:val="24"/>
        </w:rPr>
        <w:t xml:space="preserve">Stapley v Gypsum Mines Ltd </w:t>
      </w:r>
      <w:r w:rsidRPr="00CA4331">
        <w:rPr>
          <w:rFonts w:ascii="Times New Roman" w:hAnsi="Times New Roman"/>
          <w:sz w:val="24"/>
        </w:rPr>
        <w:t>[1953] AC 663.</w:t>
      </w:r>
    </w:p>
  </w:footnote>
  <w:footnote w:id="148">
    <w:p w14:paraId="78C13683"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t>(1957) 97 CLR 36.</w:t>
      </w:r>
    </w:p>
  </w:footnote>
  <w:footnote w:id="149">
    <w:p w14:paraId="275527BE"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t xml:space="preserve">See </w:t>
      </w:r>
      <w:r w:rsidRPr="00CA4331">
        <w:rPr>
          <w:rFonts w:ascii="Times New Roman" w:hAnsi="Times New Roman"/>
          <w:i/>
          <w:iCs/>
          <w:sz w:val="24"/>
        </w:rPr>
        <w:t>Bird v DP (a pseudonym)</w:t>
      </w:r>
      <w:r w:rsidRPr="00CA4331">
        <w:rPr>
          <w:rFonts w:ascii="Times New Roman" w:hAnsi="Times New Roman"/>
          <w:sz w:val="24"/>
        </w:rPr>
        <w:t xml:space="preserve"> (2024) 98 ALJR 1349 at 1358 [31]; 419 ALR 552 at 560.</w:t>
      </w:r>
    </w:p>
  </w:footnote>
  <w:footnote w:id="150">
    <w:p w14:paraId="08E26A16"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r w:rsidRPr="00CA4331">
        <w:rPr>
          <w:rFonts w:ascii="Times New Roman" w:hAnsi="Times New Roman"/>
          <w:i/>
          <w:iCs/>
          <w:sz w:val="24"/>
        </w:rPr>
        <w:t>Darling Island Stevedoring and Lighterage Co Ltd v Long</w:t>
      </w:r>
      <w:r w:rsidRPr="00CA4331">
        <w:rPr>
          <w:rFonts w:ascii="Times New Roman" w:hAnsi="Times New Roman"/>
          <w:sz w:val="24"/>
        </w:rPr>
        <w:t xml:space="preserve"> (1957) 97 CLR 36 at 61; see also at 54 per Webb J, at 68-70 per Taylor J.</w:t>
      </w:r>
    </w:p>
  </w:footnote>
  <w:footnote w:id="151">
    <w:p w14:paraId="710C7B19"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r w:rsidRPr="00CA4331">
        <w:rPr>
          <w:rFonts w:ascii="Times New Roman" w:hAnsi="Times New Roman"/>
          <w:i/>
          <w:sz w:val="24"/>
        </w:rPr>
        <w:t>Darling Island Stevedoring and Lighterage Co Ltd v Long</w:t>
      </w:r>
      <w:r w:rsidRPr="00CA4331">
        <w:rPr>
          <w:rFonts w:ascii="Times New Roman" w:hAnsi="Times New Roman"/>
          <w:sz w:val="24"/>
        </w:rPr>
        <w:t xml:space="preserve"> (1957) 97 CLR 36 at 59.</w:t>
      </w:r>
    </w:p>
  </w:footnote>
  <w:footnote w:id="152">
    <w:p w14:paraId="06DB5543"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r w:rsidRPr="00CA4331">
        <w:rPr>
          <w:rFonts w:ascii="Times New Roman" w:hAnsi="Times New Roman"/>
          <w:i/>
          <w:iCs/>
          <w:sz w:val="24"/>
        </w:rPr>
        <w:t>Darling Island Stevedoring and Lighterage Co Ltd v Long</w:t>
      </w:r>
      <w:r w:rsidRPr="00CA4331">
        <w:rPr>
          <w:rFonts w:ascii="Times New Roman" w:hAnsi="Times New Roman"/>
          <w:sz w:val="24"/>
        </w:rPr>
        <w:t xml:space="preserve"> (1957) 97 CLR 36 at 57; see also at 52 per Williams J.</w:t>
      </w:r>
    </w:p>
  </w:footnote>
  <w:footnote w:id="153">
    <w:p w14:paraId="2762A377"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r w:rsidRPr="00CA4331">
        <w:rPr>
          <w:rFonts w:ascii="Times New Roman" w:hAnsi="Times New Roman"/>
          <w:i/>
          <w:sz w:val="24"/>
        </w:rPr>
        <w:t>Darling Island Stevedoring and Lighterage Co Ltd v Long</w:t>
      </w:r>
      <w:r w:rsidRPr="00CA4331">
        <w:rPr>
          <w:rFonts w:ascii="Times New Roman" w:hAnsi="Times New Roman"/>
          <w:sz w:val="24"/>
        </w:rPr>
        <w:t xml:space="preserve"> (1957) 97 CLR 36 at 58; see at 51-53 per Williams J; see also at 53-54 per Webb J. See, further, </w:t>
      </w:r>
      <w:r w:rsidRPr="00CA4331">
        <w:rPr>
          <w:rFonts w:ascii="Times New Roman" w:hAnsi="Times New Roman"/>
          <w:i/>
          <w:iCs/>
          <w:sz w:val="24"/>
        </w:rPr>
        <w:t xml:space="preserve">Stoneman v Lyons </w:t>
      </w:r>
      <w:r w:rsidRPr="00CA4331">
        <w:rPr>
          <w:rFonts w:ascii="Times New Roman" w:hAnsi="Times New Roman"/>
          <w:sz w:val="24"/>
        </w:rPr>
        <w:t>(1975) 133 CLR 550 at 577-579.</w:t>
      </w:r>
    </w:p>
  </w:footnote>
  <w:footnote w:id="154">
    <w:p w14:paraId="0E25C195"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r w:rsidRPr="00CA4331">
        <w:rPr>
          <w:rFonts w:ascii="Times New Roman" w:hAnsi="Times New Roman"/>
          <w:i/>
          <w:iCs/>
          <w:sz w:val="24"/>
        </w:rPr>
        <w:t>Migration Act</w:t>
      </w:r>
      <w:r w:rsidRPr="00CA4331">
        <w:rPr>
          <w:rFonts w:ascii="Times New Roman" w:hAnsi="Times New Roman"/>
          <w:sz w:val="24"/>
        </w:rPr>
        <w:t>, s 5(1): definition of "officer", para (d) ("a member of ... the police force of a State or an internal Territory"),</w:t>
      </w:r>
      <w:r w:rsidRPr="00CA4331" w:rsidDel="00E97C0E">
        <w:rPr>
          <w:rFonts w:ascii="Times New Roman" w:hAnsi="Times New Roman"/>
          <w:sz w:val="24"/>
        </w:rPr>
        <w:t xml:space="preserve"> </w:t>
      </w:r>
      <w:r w:rsidRPr="00CA4331">
        <w:rPr>
          <w:rFonts w:ascii="Times New Roman" w:hAnsi="Times New Roman"/>
          <w:sz w:val="24"/>
        </w:rPr>
        <w:t xml:space="preserve">para (f) ("a person who is authorised in writing by the Minister to be an officer for the purposes of [the </w:t>
      </w:r>
      <w:r w:rsidRPr="00CA4331">
        <w:rPr>
          <w:rFonts w:ascii="Times New Roman" w:hAnsi="Times New Roman"/>
          <w:i/>
          <w:iCs/>
          <w:sz w:val="24"/>
        </w:rPr>
        <w:t>Migration Act</w:t>
      </w:r>
      <w:r w:rsidRPr="00CA4331">
        <w:rPr>
          <w:rFonts w:ascii="Times New Roman" w:hAnsi="Times New Roman"/>
          <w:sz w:val="24"/>
        </w:rPr>
        <w:t>]").</w:t>
      </w:r>
    </w:p>
  </w:footnote>
  <w:footnote w:id="155">
    <w:p w14:paraId="59803131"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r w:rsidRPr="00CA4331">
        <w:rPr>
          <w:rFonts w:ascii="Times New Roman" w:hAnsi="Times New Roman"/>
          <w:i/>
          <w:iCs/>
          <w:sz w:val="24"/>
        </w:rPr>
        <w:t>Migration Act</w:t>
      </w:r>
      <w:r w:rsidRPr="00CA4331">
        <w:rPr>
          <w:rFonts w:ascii="Times New Roman" w:hAnsi="Times New Roman"/>
          <w:sz w:val="24"/>
        </w:rPr>
        <w:t>, s 198(13).</w:t>
      </w:r>
    </w:p>
  </w:footnote>
  <w:footnote w:id="156">
    <w:p w14:paraId="25EC0A41"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t xml:space="preserve">(1917) 24 CLR 166 at 179. </w:t>
      </w:r>
    </w:p>
  </w:footnote>
  <w:footnote w:id="157">
    <w:p w14:paraId="6B523734"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r w:rsidRPr="00CA4331">
        <w:rPr>
          <w:rFonts w:ascii="Times New Roman" w:hAnsi="Times New Roman"/>
          <w:i/>
          <w:iCs/>
          <w:sz w:val="24"/>
        </w:rPr>
        <w:t>Zachariassen v The Commonwealth</w:t>
      </w:r>
      <w:r w:rsidRPr="00CA4331">
        <w:rPr>
          <w:rFonts w:ascii="Times New Roman" w:hAnsi="Times New Roman"/>
          <w:sz w:val="24"/>
        </w:rPr>
        <w:t xml:space="preserve"> (1917) 24 CLR 166 at 181. </w:t>
      </w:r>
    </w:p>
  </w:footnote>
  <w:footnote w:id="158">
    <w:p w14:paraId="4C1CACB1"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t>(1940) 66 CLR 344 at 352-353 (emphasis added).</w:t>
      </w:r>
    </w:p>
  </w:footnote>
  <w:footnote w:id="159">
    <w:p w14:paraId="0319E43C"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t xml:space="preserve">(1906) 3 CLR 969. See also </w:t>
      </w:r>
      <w:r w:rsidRPr="00CA4331">
        <w:rPr>
          <w:rFonts w:ascii="Times New Roman" w:hAnsi="Times New Roman"/>
          <w:i/>
          <w:iCs/>
          <w:sz w:val="24"/>
        </w:rPr>
        <w:t xml:space="preserve">Baume v The Commonwealth </w:t>
      </w:r>
      <w:r w:rsidRPr="00CA4331">
        <w:rPr>
          <w:rFonts w:ascii="Times New Roman" w:hAnsi="Times New Roman"/>
          <w:sz w:val="24"/>
        </w:rPr>
        <w:t xml:space="preserve">(1906) 4 CLR 97; </w:t>
      </w:r>
      <w:r w:rsidRPr="00CA4331">
        <w:rPr>
          <w:rFonts w:ascii="Times New Roman" w:hAnsi="Times New Roman"/>
          <w:i/>
          <w:iCs/>
          <w:sz w:val="24"/>
        </w:rPr>
        <w:t xml:space="preserve">Pitcher v Federal Capital Commission </w:t>
      </w:r>
      <w:r w:rsidRPr="00CA4331">
        <w:rPr>
          <w:rFonts w:ascii="Times New Roman" w:hAnsi="Times New Roman"/>
          <w:sz w:val="24"/>
        </w:rPr>
        <w:t xml:space="preserve">(1928) 41 CLR 385; </w:t>
      </w:r>
      <w:r w:rsidRPr="00CA4331">
        <w:rPr>
          <w:rFonts w:ascii="Times New Roman" w:hAnsi="Times New Roman"/>
          <w:i/>
          <w:iCs/>
          <w:sz w:val="24"/>
        </w:rPr>
        <w:t xml:space="preserve">Musgrave v The Commonwealth </w:t>
      </w:r>
      <w:r w:rsidRPr="00CA4331">
        <w:rPr>
          <w:rFonts w:ascii="Times New Roman" w:hAnsi="Times New Roman"/>
          <w:sz w:val="24"/>
        </w:rPr>
        <w:t>(1937) 57 CLR 514.</w:t>
      </w:r>
    </w:p>
  </w:footnote>
  <w:footnote w:id="160">
    <w:p w14:paraId="135594C9"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r w:rsidRPr="00CA4331">
        <w:rPr>
          <w:rFonts w:ascii="Times New Roman" w:hAnsi="Times New Roman"/>
          <w:i/>
          <w:iCs/>
          <w:sz w:val="24"/>
        </w:rPr>
        <w:t xml:space="preserve">Oceanic Crest Shipping Co v Pilbara Harbour Services Pty Ltd </w:t>
      </w:r>
      <w:r w:rsidRPr="00CA4331">
        <w:rPr>
          <w:rFonts w:ascii="Times New Roman" w:hAnsi="Times New Roman"/>
          <w:sz w:val="24"/>
        </w:rPr>
        <w:t>(1986) 160 CLR 626 at 637.</w:t>
      </w:r>
    </w:p>
  </w:footnote>
  <w:footnote w:id="161">
    <w:p w14:paraId="5539A555"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proofErr w:type="spellStart"/>
      <w:r w:rsidRPr="00CA4331">
        <w:rPr>
          <w:rFonts w:ascii="Times New Roman" w:hAnsi="Times New Roman"/>
          <w:i/>
          <w:iCs/>
          <w:sz w:val="24"/>
        </w:rPr>
        <w:t>Enever</w:t>
      </w:r>
      <w:proofErr w:type="spellEnd"/>
      <w:r w:rsidRPr="00CA4331">
        <w:rPr>
          <w:rFonts w:ascii="Times New Roman" w:hAnsi="Times New Roman"/>
          <w:i/>
          <w:iCs/>
          <w:sz w:val="24"/>
        </w:rPr>
        <w:t xml:space="preserve"> v The King</w:t>
      </w:r>
      <w:r w:rsidRPr="00CA4331">
        <w:rPr>
          <w:rFonts w:ascii="Times New Roman" w:hAnsi="Times New Roman"/>
          <w:sz w:val="24"/>
        </w:rPr>
        <w:t xml:space="preserve"> (1906) 3 CLR 969 at 977.</w:t>
      </w:r>
    </w:p>
  </w:footnote>
  <w:footnote w:id="162">
    <w:p w14:paraId="1F889535"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t xml:space="preserve">See </w:t>
      </w:r>
      <w:r w:rsidRPr="00CA4331">
        <w:rPr>
          <w:rFonts w:ascii="Times New Roman" w:hAnsi="Times New Roman"/>
          <w:i/>
          <w:iCs/>
          <w:sz w:val="24"/>
        </w:rPr>
        <w:t xml:space="preserve">Northern Land Council v Quall </w:t>
      </w:r>
      <w:r w:rsidRPr="00CA4331">
        <w:rPr>
          <w:rFonts w:ascii="Times New Roman" w:hAnsi="Times New Roman"/>
          <w:sz w:val="24"/>
        </w:rPr>
        <w:t>(2020) 271 CLR 394 at 430-432 [81]-[84].</w:t>
      </w:r>
    </w:p>
  </w:footnote>
  <w:footnote w:id="163">
    <w:p w14:paraId="55D0D83C"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r w:rsidRPr="00CA4331">
        <w:rPr>
          <w:rFonts w:ascii="Times New Roman" w:hAnsi="Times New Roman"/>
          <w:i/>
          <w:iCs/>
          <w:sz w:val="24"/>
        </w:rPr>
        <w:t xml:space="preserve">Field v Nott </w:t>
      </w:r>
      <w:r w:rsidRPr="00CA4331">
        <w:rPr>
          <w:rFonts w:ascii="Times New Roman" w:hAnsi="Times New Roman"/>
          <w:sz w:val="24"/>
        </w:rPr>
        <w:t>(1939) 62 CLR 660 at 675.</w:t>
      </w:r>
    </w:p>
  </w:footnote>
  <w:footnote w:id="164">
    <w:p w14:paraId="480468A9"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t>See</w:t>
      </w:r>
      <w:r w:rsidRPr="00CA4331" w:rsidDel="009B1B7F">
        <w:rPr>
          <w:rFonts w:ascii="Times New Roman" w:hAnsi="Times New Roman"/>
          <w:sz w:val="24"/>
        </w:rPr>
        <w:t xml:space="preserve"> </w:t>
      </w:r>
      <w:r w:rsidRPr="00CA4331">
        <w:rPr>
          <w:rFonts w:ascii="Times New Roman" w:hAnsi="Times New Roman"/>
          <w:i/>
          <w:iCs/>
          <w:sz w:val="24"/>
        </w:rPr>
        <w:t>Cowell v Corrective Services Commission of New South Wales</w:t>
      </w:r>
      <w:r w:rsidRPr="00CA4331">
        <w:rPr>
          <w:rFonts w:ascii="Times New Roman" w:hAnsi="Times New Roman"/>
          <w:sz w:val="24"/>
        </w:rPr>
        <w:t xml:space="preserve"> (1988) 13 NSWLR 714 at 724.</w:t>
      </w:r>
    </w:p>
  </w:footnote>
  <w:footnote w:id="165">
    <w:p w14:paraId="6C3006B1"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r w:rsidRPr="00CA4331">
        <w:rPr>
          <w:rFonts w:ascii="Times New Roman" w:hAnsi="Times New Roman"/>
          <w:i/>
          <w:iCs/>
          <w:sz w:val="24"/>
        </w:rPr>
        <w:t>Public Service Act</w:t>
      </w:r>
      <w:r w:rsidRPr="00CA4331">
        <w:rPr>
          <w:rFonts w:ascii="Times New Roman" w:hAnsi="Times New Roman"/>
          <w:sz w:val="24"/>
        </w:rPr>
        <w:t>, s 13(4)(a).</w:t>
      </w:r>
    </w:p>
  </w:footnote>
  <w:footnote w:id="166">
    <w:p w14:paraId="097D9257"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r w:rsidRPr="00CA4331">
        <w:rPr>
          <w:rFonts w:ascii="Times New Roman" w:hAnsi="Times New Roman"/>
          <w:i/>
          <w:iCs/>
          <w:sz w:val="24"/>
        </w:rPr>
        <w:t>New South Wales v Kable</w:t>
      </w:r>
      <w:r w:rsidRPr="00CA4331" w:rsidDel="003E2AC4">
        <w:rPr>
          <w:rFonts w:ascii="Times New Roman" w:hAnsi="Times New Roman"/>
          <w:i/>
          <w:iCs/>
          <w:sz w:val="24"/>
        </w:rPr>
        <w:t xml:space="preserve"> </w:t>
      </w:r>
      <w:r w:rsidRPr="00CA4331">
        <w:rPr>
          <w:rFonts w:ascii="Times New Roman" w:hAnsi="Times New Roman"/>
          <w:sz w:val="24"/>
        </w:rPr>
        <w:t>(2013) 252 CLR 118 at 135-136 [38]-[40].</w:t>
      </w:r>
    </w:p>
  </w:footnote>
  <w:footnote w:id="167">
    <w:p w14:paraId="3163C595"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r w:rsidRPr="00CA4331">
        <w:rPr>
          <w:rFonts w:ascii="Times New Roman" w:hAnsi="Times New Roman"/>
          <w:i/>
          <w:iCs/>
          <w:sz w:val="24"/>
        </w:rPr>
        <w:t xml:space="preserve">Mineralogy Pty Ltd v Western Australia </w:t>
      </w:r>
      <w:r w:rsidRPr="00CA4331">
        <w:rPr>
          <w:rFonts w:ascii="Times New Roman" w:hAnsi="Times New Roman"/>
          <w:sz w:val="24"/>
        </w:rPr>
        <w:t>(2021) 274 CLR 219</w:t>
      </w:r>
      <w:r w:rsidRPr="00CA4331">
        <w:rPr>
          <w:rFonts w:ascii="Times New Roman" w:hAnsi="Times New Roman"/>
          <w:i/>
          <w:iCs/>
          <w:sz w:val="24"/>
        </w:rPr>
        <w:t xml:space="preserve"> </w:t>
      </w:r>
      <w:r w:rsidRPr="00CA4331">
        <w:rPr>
          <w:rFonts w:ascii="Times New Roman" w:hAnsi="Times New Roman"/>
          <w:sz w:val="24"/>
        </w:rPr>
        <w:t xml:space="preserve">at 248 [58], quoting </w:t>
      </w:r>
      <w:r w:rsidRPr="00CA4331">
        <w:rPr>
          <w:rFonts w:ascii="Times New Roman" w:hAnsi="Times New Roman"/>
          <w:i/>
          <w:iCs/>
          <w:sz w:val="24"/>
        </w:rPr>
        <w:t xml:space="preserve">Clubb v Edwards </w:t>
      </w:r>
      <w:r w:rsidRPr="00CA4331">
        <w:rPr>
          <w:rFonts w:ascii="Times New Roman" w:hAnsi="Times New Roman"/>
          <w:sz w:val="24"/>
        </w:rPr>
        <w:t>(2019)</w:t>
      </w:r>
      <w:r w:rsidRPr="00CA4331">
        <w:rPr>
          <w:rFonts w:ascii="Times New Roman" w:hAnsi="Times New Roman"/>
          <w:i/>
          <w:iCs/>
          <w:sz w:val="24"/>
        </w:rPr>
        <w:t xml:space="preserve"> </w:t>
      </w:r>
      <w:r w:rsidRPr="00CA4331">
        <w:rPr>
          <w:rFonts w:ascii="Times New Roman" w:hAnsi="Times New Roman"/>
          <w:sz w:val="24"/>
        </w:rPr>
        <w:t>267 CLR 171 at 217 [137].</w:t>
      </w:r>
    </w:p>
  </w:footnote>
  <w:footnote w:id="168">
    <w:p w14:paraId="5B9FC4E3"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t xml:space="preserve">Compare </w:t>
      </w:r>
      <w:r w:rsidRPr="00CA4331">
        <w:rPr>
          <w:rFonts w:ascii="Times New Roman" w:hAnsi="Times New Roman"/>
          <w:i/>
          <w:iCs/>
          <w:sz w:val="24"/>
        </w:rPr>
        <w:t xml:space="preserve">Mineralogy Pty Ltd v Western Australia </w:t>
      </w:r>
      <w:r w:rsidRPr="00CA4331">
        <w:rPr>
          <w:rFonts w:ascii="Times New Roman" w:hAnsi="Times New Roman"/>
          <w:sz w:val="24"/>
        </w:rPr>
        <w:t>(2021) 274 CLR 219</w:t>
      </w:r>
      <w:r w:rsidRPr="00CA4331">
        <w:rPr>
          <w:rFonts w:ascii="Times New Roman" w:hAnsi="Times New Roman"/>
          <w:i/>
          <w:iCs/>
          <w:sz w:val="24"/>
        </w:rPr>
        <w:t xml:space="preserve"> </w:t>
      </w:r>
      <w:r w:rsidRPr="00CA4331">
        <w:rPr>
          <w:rFonts w:ascii="Times New Roman" w:hAnsi="Times New Roman"/>
          <w:sz w:val="24"/>
        </w:rPr>
        <w:t>at 259 [</w:t>
      </w:r>
      <w:proofErr w:type="gramStart"/>
      <w:r w:rsidRPr="00CA4331">
        <w:rPr>
          <w:rFonts w:ascii="Times New Roman" w:hAnsi="Times New Roman"/>
          <w:sz w:val="24"/>
        </w:rPr>
        <w:t>98]</w:t>
      </w:r>
      <w:r w:rsidRPr="00F6599F">
        <w:rPr>
          <w:rFonts w:ascii="Times New Roman" w:hAnsi="Times New Roman"/>
        </w:rPr>
        <w:noBreakHyphen/>
      </w:r>
      <w:proofErr w:type="gramEnd"/>
      <w:r w:rsidRPr="00CA4331">
        <w:rPr>
          <w:rFonts w:ascii="Times New Roman" w:hAnsi="Times New Roman"/>
          <w:sz w:val="24"/>
        </w:rPr>
        <w:t>[99].</w:t>
      </w:r>
    </w:p>
  </w:footnote>
  <w:footnote w:id="169">
    <w:p w14:paraId="1B51178D"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t>[2001] 2 AC 19 at 25-27, 39.</w:t>
      </w:r>
    </w:p>
  </w:footnote>
  <w:footnote w:id="170">
    <w:p w14:paraId="110142F5"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r w:rsidRPr="00CA4331">
        <w:rPr>
          <w:rFonts w:ascii="Times New Roman" w:hAnsi="Times New Roman"/>
          <w:i/>
          <w:iCs/>
          <w:sz w:val="24"/>
        </w:rPr>
        <w:t xml:space="preserve">R v Governor of </w:t>
      </w:r>
      <w:proofErr w:type="spellStart"/>
      <w:r w:rsidRPr="00CA4331">
        <w:rPr>
          <w:rFonts w:ascii="Times New Roman" w:hAnsi="Times New Roman"/>
          <w:i/>
          <w:iCs/>
          <w:sz w:val="24"/>
        </w:rPr>
        <w:t>Blundeston</w:t>
      </w:r>
      <w:proofErr w:type="spellEnd"/>
      <w:r w:rsidRPr="00CA4331">
        <w:rPr>
          <w:rFonts w:ascii="Times New Roman" w:hAnsi="Times New Roman"/>
          <w:i/>
          <w:iCs/>
          <w:sz w:val="24"/>
        </w:rPr>
        <w:t xml:space="preserve"> Prison, Ex </w:t>
      </w:r>
      <w:proofErr w:type="spellStart"/>
      <w:r w:rsidRPr="00CA4331">
        <w:rPr>
          <w:rFonts w:ascii="Times New Roman" w:hAnsi="Times New Roman"/>
          <w:i/>
          <w:iCs/>
          <w:sz w:val="24"/>
        </w:rPr>
        <w:t>parte</w:t>
      </w:r>
      <w:proofErr w:type="spellEnd"/>
      <w:r w:rsidRPr="00CA4331">
        <w:rPr>
          <w:rFonts w:ascii="Times New Roman" w:hAnsi="Times New Roman"/>
          <w:i/>
          <w:iCs/>
          <w:sz w:val="24"/>
        </w:rPr>
        <w:t xml:space="preserve"> Gaffney </w:t>
      </w:r>
      <w:r w:rsidRPr="00CA4331">
        <w:rPr>
          <w:rFonts w:ascii="Times New Roman" w:hAnsi="Times New Roman"/>
          <w:sz w:val="24"/>
        </w:rPr>
        <w:t>[1982] 1 WLR 696; [1982] 2 All ER 492.</w:t>
      </w:r>
    </w:p>
  </w:footnote>
  <w:footnote w:id="171">
    <w:p w14:paraId="78727676"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t xml:space="preserve">See Thomas, </w:t>
      </w:r>
      <w:r w:rsidRPr="00CA4331" w:rsidDel="00C36421">
        <w:rPr>
          <w:rFonts w:ascii="Times New Roman" w:hAnsi="Times New Roman"/>
          <w:sz w:val="24"/>
        </w:rPr>
        <w:t>"</w:t>
      </w:r>
      <w:r w:rsidRPr="00CA4331">
        <w:rPr>
          <w:rFonts w:ascii="Times New Roman" w:hAnsi="Times New Roman"/>
          <w:i/>
          <w:iCs/>
          <w:sz w:val="24"/>
        </w:rPr>
        <w:t xml:space="preserve">R v Governor of HM Prison </w:t>
      </w:r>
      <w:proofErr w:type="spellStart"/>
      <w:r w:rsidRPr="00CA4331">
        <w:rPr>
          <w:rFonts w:ascii="Times New Roman" w:hAnsi="Times New Roman"/>
          <w:i/>
          <w:iCs/>
          <w:sz w:val="24"/>
        </w:rPr>
        <w:t>Styal</w:t>
      </w:r>
      <w:proofErr w:type="spellEnd"/>
      <w:r w:rsidRPr="00CA4331">
        <w:rPr>
          <w:rFonts w:ascii="Times New Roman" w:hAnsi="Times New Roman"/>
          <w:i/>
          <w:iCs/>
          <w:sz w:val="24"/>
        </w:rPr>
        <w:t xml:space="preserve">, Ex </w:t>
      </w:r>
      <w:proofErr w:type="spellStart"/>
      <w:r w:rsidRPr="00CA4331">
        <w:rPr>
          <w:rFonts w:ascii="Times New Roman" w:hAnsi="Times New Roman"/>
          <w:i/>
          <w:iCs/>
          <w:sz w:val="24"/>
        </w:rPr>
        <w:t>parte</w:t>
      </w:r>
      <w:proofErr w:type="spellEnd"/>
      <w:r w:rsidRPr="00CA4331">
        <w:rPr>
          <w:rFonts w:ascii="Times New Roman" w:hAnsi="Times New Roman"/>
          <w:i/>
          <w:iCs/>
          <w:sz w:val="24"/>
        </w:rPr>
        <w:t xml:space="preserve"> Mooney</w:t>
      </w:r>
      <w:r w:rsidRPr="00CA4331">
        <w:rPr>
          <w:rFonts w:ascii="Times New Roman" w:hAnsi="Times New Roman"/>
          <w:sz w:val="24"/>
        </w:rPr>
        <w:t xml:space="preserve">" [1995] </w:t>
      </w:r>
      <w:r w:rsidRPr="00CA4331">
        <w:rPr>
          <w:rFonts w:ascii="Times New Roman" w:hAnsi="Times New Roman"/>
          <w:i/>
          <w:iCs/>
          <w:sz w:val="24"/>
        </w:rPr>
        <w:t xml:space="preserve">Criminal Law Review </w:t>
      </w:r>
      <w:r w:rsidRPr="00CA4331">
        <w:rPr>
          <w:rFonts w:ascii="Times New Roman" w:hAnsi="Times New Roman"/>
          <w:sz w:val="24"/>
        </w:rPr>
        <w:t xml:space="preserve">753 at 753, referred to in </w:t>
      </w:r>
      <w:r w:rsidRPr="00CA4331">
        <w:rPr>
          <w:rFonts w:ascii="Times New Roman" w:hAnsi="Times New Roman"/>
          <w:i/>
          <w:iCs/>
          <w:sz w:val="24"/>
        </w:rPr>
        <w:t xml:space="preserve">R v Governor of </w:t>
      </w:r>
      <w:proofErr w:type="spellStart"/>
      <w:r w:rsidRPr="00CA4331">
        <w:rPr>
          <w:rFonts w:ascii="Times New Roman" w:hAnsi="Times New Roman"/>
          <w:i/>
          <w:iCs/>
          <w:sz w:val="24"/>
        </w:rPr>
        <w:t>Brockhill</w:t>
      </w:r>
      <w:proofErr w:type="spellEnd"/>
      <w:r w:rsidRPr="00CA4331">
        <w:rPr>
          <w:rFonts w:ascii="Times New Roman" w:hAnsi="Times New Roman"/>
          <w:i/>
          <w:iCs/>
          <w:sz w:val="24"/>
        </w:rPr>
        <w:t xml:space="preserve"> Prison, Ex </w:t>
      </w:r>
      <w:proofErr w:type="spellStart"/>
      <w:r w:rsidRPr="00CA4331">
        <w:rPr>
          <w:rFonts w:ascii="Times New Roman" w:hAnsi="Times New Roman"/>
          <w:i/>
          <w:iCs/>
          <w:sz w:val="24"/>
        </w:rPr>
        <w:t>parte</w:t>
      </w:r>
      <w:proofErr w:type="spellEnd"/>
      <w:r w:rsidRPr="00CA4331">
        <w:rPr>
          <w:rFonts w:ascii="Times New Roman" w:hAnsi="Times New Roman"/>
          <w:i/>
          <w:iCs/>
          <w:sz w:val="24"/>
        </w:rPr>
        <w:t xml:space="preserve"> Evans [No 2] </w:t>
      </w:r>
      <w:r w:rsidRPr="00CA4331">
        <w:rPr>
          <w:rFonts w:ascii="Times New Roman" w:hAnsi="Times New Roman"/>
          <w:sz w:val="24"/>
        </w:rPr>
        <w:t>[2001] 2 AC 19 at 41.</w:t>
      </w:r>
    </w:p>
  </w:footnote>
  <w:footnote w:id="172">
    <w:p w14:paraId="5A377551"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r w:rsidRPr="00CA4331">
        <w:rPr>
          <w:rFonts w:ascii="Times New Roman" w:hAnsi="Times New Roman"/>
          <w:i/>
          <w:iCs/>
          <w:sz w:val="24"/>
        </w:rPr>
        <w:t xml:space="preserve">R v Secretary of State for the Home Department, Ex </w:t>
      </w:r>
      <w:proofErr w:type="spellStart"/>
      <w:r w:rsidRPr="00CA4331">
        <w:rPr>
          <w:rFonts w:ascii="Times New Roman" w:hAnsi="Times New Roman"/>
          <w:i/>
          <w:iCs/>
          <w:sz w:val="24"/>
        </w:rPr>
        <w:t>parte</w:t>
      </w:r>
      <w:proofErr w:type="spellEnd"/>
      <w:r w:rsidRPr="00CA4331">
        <w:rPr>
          <w:rFonts w:ascii="Times New Roman" w:hAnsi="Times New Roman"/>
          <w:i/>
          <w:iCs/>
          <w:sz w:val="24"/>
        </w:rPr>
        <w:t xml:space="preserve"> Naughton </w:t>
      </w:r>
      <w:r w:rsidRPr="00CA4331">
        <w:rPr>
          <w:rFonts w:ascii="Times New Roman" w:hAnsi="Times New Roman"/>
          <w:sz w:val="24"/>
        </w:rPr>
        <w:t>[1997] 1 WLR 118; [1997] 1 All ER 426.</w:t>
      </w:r>
    </w:p>
  </w:footnote>
  <w:footnote w:id="173">
    <w:p w14:paraId="1C9C865C"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r w:rsidRPr="00CA4331">
        <w:rPr>
          <w:rFonts w:ascii="Times New Roman" w:hAnsi="Times New Roman"/>
          <w:i/>
          <w:iCs/>
          <w:sz w:val="24"/>
        </w:rPr>
        <w:t xml:space="preserve">R v Governor of </w:t>
      </w:r>
      <w:proofErr w:type="spellStart"/>
      <w:r w:rsidRPr="00CA4331">
        <w:rPr>
          <w:rFonts w:ascii="Times New Roman" w:hAnsi="Times New Roman"/>
          <w:i/>
          <w:iCs/>
          <w:sz w:val="24"/>
        </w:rPr>
        <w:t>Brockhill</w:t>
      </w:r>
      <w:proofErr w:type="spellEnd"/>
      <w:r w:rsidRPr="00CA4331">
        <w:rPr>
          <w:rFonts w:ascii="Times New Roman" w:hAnsi="Times New Roman"/>
          <w:i/>
          <w:iCs/>
          <w:sz w:val="24"/>
        </w:rPr>
        <w:t xml:space="preserve"> Prison, Ex </w:t>
      </w:r>
      <w:proofErr w:type="spellStart"/>
      <w:r w:rsidRPr="00CA4331">
        <w:rPr>
          <w:rFonts w:ascii="Times New Roman" w:hAnsi="Times New Roman"/>
          <w:i/>
          <w:iCs/>
          <w:sz w:val="24"/>
        </w:rPr>
        <w:t>parte</w:t>
      </w:r>
      <w:proofErr w:type="spellEnd"/>
      <w:r w:rsidRPr="00CA4331">
        <w:rPr>
          <w:rFonts w:ascii="Times New Roman" w:hAnsi="Times New Roman"/>
          <w:i/>
          <w:iCs/>
          <w:sz w:val="24"/>
        </w:rPr>
        <w:t xml:space="preserve"> Evans [No 2]</w:t>
      </w:r>
      <w:r w:rsidRPr="00CA4331">
        <w:rPr>
          <w:rFonts w:ascii="Times New Roman" w:hAnsi="Times New Roman"/>
          <w:sz w:val="24"/>
        </w:rPr>
        <w:t xml:space="preserve"> [2001] 2 AC 19 at 26; see also at 32.</w:t>
      </w:r>
    </w:p>
  </w:footnote>
  <w:footnote w:id="174">
    <w:p w14:paraId="3BDB3A69"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r w:rsidRPr="00CA4331">
        <w:rPr>
          <w:rFonts w:ascii="Times New Roman" w:hAnsi="Times New Roman"/>
          <w:i/>
          <w:iCs/>
          <w:sz w:val="24"/>
        </w:rPr>
        <w:t xml:space="preserve">R v Governor of </w:t>
      </w:r>
      <w:proofErr w:type="spellStart"/>
      <w:r w:rsidRPr="00CA4331">
        <w:rPr>
          <w:rFonts w:ascii="Times New Roman" w:hAnsi="Times New Roman"/>
          <w:i/>
          <w:iCs/>
          <w:sz w:val="24"/>
        </w:rPr>
        <w:t>Brockhill</w:t>
      </w:r>
      <w:proofErr w:type="spellEnd"/>
      <w:r w:rsidRPr="00CA4331">
        <w:rPr>
          <w:rFonts w:ascii="Times New Roman" w:hAnsi="Times New Roman"/>
          <w:i/>
          <w:iCs/>
          <w:sz w:val="24"/>
        </w:rPr>
        <w:t xml:space="preserve"> Prison, Ex </w:t>
      </w:r>
      <w:proofErr w:type="spellStart"/>
      <w:r w:rsidRPr="00CA4331">
        <w:rPr>
          <w:rFonts w:ascii="Times New Roman" w:hAnsi="Times New Roman"/>
          <w:i/>
          <w:iCs/>
          <w:sz w:val="24"/>
        </w:rPr>
        <w:t>parte</w:t>
      </w:r>
      <w:proofErr w:type="spellEnd"/>
      <w:r w:rsidRPr="00CA4331">
        <w:rPr>
          <w:rFonts w:ascii="Times New Roman" w:hAnsi="Times New Roman"/>
          <w:i/>
          <w:iCs/>
          <w:sz w:val="24"/>
        </w:rPr>
        <w:t xml:space="preserve"> Evans [No 2]</w:t>
      </w:r>
      <w:r w:rsidRPr="00CA4331">
        <w:rPr>
          <w:rFonts w:ascii="Times New Roman" w:hAnsi="Times New Roman"/>
          <w:sz w:val="24"/>
        </w:rPr>
        <w:t xml:space="preserve"> [2001] 2 AC 19 at 44, quoting </w:t>
      </w:r>
      <w:r w:rsidRPr="00CA4331">
        <w:rPr>
          <w:rFonts w:ascii="Times New Roman" w:hAnsi="Times New Roman"/>
          <w:i/>
          <w:iCs/>
          <w:sz w:val="24"/>
        </w:rPr>
        <w:t xml:space="preserve">Henderson v Preston </w:t>
      </w:r>
      <w:r w:rsidRPr="00CA4331">
        <w:rPr>
          <w:rFonts w:ascii="Times New Roman" w:hAnsi="Times New Roman"/>
          <w:sz w:val="24"/>
        </w:rPr>
        <w:t>(1888) 21 QBD 362 at 366.</w:t>
      </w:r>
    </w:p>
  </w:footnote>
  <w:footnote w:id="175">
    <w:p w14:paraId="645C9074"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r w:rsidRPr="00CA4331">
        <w:rPr>
          <w:rFonts w:ascii="Times New Roman" w:hAnsi="Times New Roman"/>
          <w:i/>
          <w:iCs/>
          <w:sz w:val="24"/>
        </w:rPr>
        <w:t xml:space="preserve">R v Governor of </w:t>
      </w:r>
      <w:proofErr w:type="spellStart"/>
      <w:r w:rsidRPr="00CA4331">
        <w:rPr>
          <w:rFonts w:ascii="Times New Roman" w:hAnsi="Times New Roman"/>
          <w:i/>
          <w:iCs/>
          <w:sz w:val="24"/>
        </w:rPr>
        <w:t>Brockhill</w:t>
      </w:r>
      <w:proofErr w:type="spellEnd"/>
      <w:r w:rsidRPr="00CA4331">
        <w:rPr>
          <w:rFonts w:ascii="Times New Roman" w:hAnsi="Times New Roman"/>
          <w:i/>
          <w:iCs/>
          <w:sz w:val="24"/>
        </w:rPr>
        <w:t xml:space="preserve"> Prison, Ex </w:t>
      </w:r>
      <w:proofErr w:type="spellStart"/>
      <w:r w:rsidRPr="00CA4331">
        <w:rPr>
          <w:rFonts w:ascii="Times New Roman" w:hAnsi="Times New Roman"/>
          <w:i/>
          <w:iCs/>
          <w:sz w:val="24"/>
        </w:rPr>
        <w:t>parte</w:t>
      </w:r>
      <w:proofErr w:type="spellEnd"/>
      <w:r w:rsidRPr="00CA4331">
        <w:rPr>
          <w:rFonts w:ascii="Times New Roman" w:hAnsi="Times New Roman"/>
          <w:i/>
          <w:iCs/>
          <w:sz w:val="24"/>
        </w:rPr>
        <w:t xml:space="preserve"> Evans</w:t>
      </w:r>
      <w:r w:rsidRPr="00CA4331">
        <w:rPr>
          <w:rFonts w:ascii="Times New Roman" w:hAnsi="Times New Roman"/>
          <w:sz w:val="24"/>
        </w:rPr>
        <w:t xml:space="preserve"> </w:t>
      </w:r>
      <w:r w:rsidRPr="00CA4331">
        <w:rPr>
          <w:rFonts w:ascii="Times New Roman" w:hAnsi="Times New Roman"/>
          <w:i/>
          <w:sz w:val="24"/>
        </w:rPr>
        <w:t>[No 2]</w:t>
      </w:r>
      <w:r w:rsidRPr="00CA4331">
        <w:rPr>
          <w:rFonts w:ascii="Times New Roman" w:hAnsi="Times New Roman"/>
          <w:sz w:val="24"/>
        </w:rPr>
        <w:t xml:space="preserve"> [2001] 2 AC 19 at 34, 44-45.</w:t>
      </w:r>
    </w:p>
  </w:footnote>
  <w:footnote w:id="176">
    <w:p w14:paraId="4E1EA8D4"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t xml:space="preserve">See </w:t>
      </w:r>
      <w:r w:rsidRPr="00CA4331">
        <w:rPr>
          <w:rFonts w:ascii="Times New Roman" w:hAnsi="Times New Roman"/>
          <w:i/>
          <w:iCs/>
          <w:sz w:val="24"/>
        </w:rPr>
        <w:t xml:space="preserve">Bellenden (formerly Satterthwaite) v Satterthwaite </w:t>
      </w:r>
      <w:r w:rsidRPr="00CA4331">
        <w:rPr>
          <w:rFonts w:ascii="Times New Roman" w:hAnsi="Times New Roman"/>
          <w:sz w:val="24"/>
        </w:rPr>
        <w:t xml:space="preserve">[1948] 1 All ER 343 at 345; </w:t>
      </w:r>
      <w:proofErr w:type="spellStart"/>
      <w:r w:rsidRPr="00CA4331">
        <w:rPr>
          <w:rFonts w:ascii="Times New Roman" w:hAnsi="Times New Roman"/>
          <w:i/>
          <w:iCs/>
          <w:sz w:val="24"/>
        </w:rPr>
        <w:t>Norbis</w:t>
      </w:r>
      <w:proofErr w:type="spellEnd"/>
      <w:r w:rsidRPr="00CA4331">
        <w:rPr>
          <w:rFonts w:ascii="Times New Roman" w:hAnsi="Times New Roman"/>
          <w:i/>
          <w:iCs/>
          <w:sz w:val="24"/>
        </w:rPr>
        <w:t xml:space="preserve"> v </w:t>
      </w:r>
      <w:proofErr w:type="spellStart"/>
      <w:r w:rsidRPr="00CA4331">
        <w:rPr>
          <w:rFonts w:ascii="Times New Roman" w:hAnsi="Times New Roman"/>
          <w:i/>
          <w:iCs/>
          <w:sz w:val="24"/>
        </w:rPr>
        <w:t>Norbis</w:t>
      </w:r>
      <w:proofErr w:type="spellEnd"/>
      <w:r w:rsidRPr="00CA4331">
        <w:rPr>
          <w:rFonts w:ascii="Times New Roman" w:hAnsi="Times New Roman"/>
          <w:i/>
          <w:iCs/>
          <w:sz w:val="24"/>
        </w:rPr>
        <w:t xml:space="preserve"> </w:t>
      </w:r>
      <w:r w:rsidRPr="00CA4331">
        <w:rPr>
          <w:rFonts w:ascii="Times New Roman" w:hAnsi="Times New Roman"/>
          <w:sz w:val="24"/>
        </w:rPr>
        <w:t>(1986) 161 CLR 513 at 539-540.</w:t>
      </w:r>
    </w:p>
  </w:footnote>
  <w:footnote w:id="177">
    <w:p w14:paraId="093F9C12"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r w:rsidRPr="00CA4331">
        <w:rPr>
          <w:rFonts w:ascii="Times New Roman" w:hAnsi="Times New Roman"/>
          <w:i/>
          <w:iCs/>
          <w:sz w:val="24"/>
        </w:rPr>
        <w:t xml:space="preserve">R v Governor of </w:t>
      </w:r>
      <w:proofErr w:type="spellStart"/>
      <w:r w:rsidRPr="00CA4331">
        <w:rPr>
          <w:rFonts w:ascii="Times New Roman" w:hAnsi="Times New Roman"/>
          <w:i/>
          <w:iCs/>
          <w:sz w:val="24"/>
        </w:rPr>
        <w:t>Brockhill</w:t>
      </w:r>
      <w:proofErr w:type="spellEnd"/>
      <w:r w:rsidRPr="00CA4331">
        <w:rPr>
          <w:rFonts w:ascii="Times New Roman" w:hAnsi="Times New Roman"/>
          <w:i/>
          <w:iCs/>
          <w:sz w:val="24"/>
        </w:rPr>
        <w:t xml:space="preserve"> Prison, Ex </w:t>
      </w:r>
      <w:proofErr w:type="spellStart"/>
      <w:r w:rsidRPr="00CA4331">
        <w:rPr>
          <w:rFonts w:ascii="Times New Roman" w:hAnsi="Times New Roman"/>
          <w:i/>
          <w:iCs/>
          <w:sz w:val="24"/>
        </w:rPr>
        <w:t>parte</w:t>
      </w:r>
      <w:proofErr w:type="spellEnd"/>
      <w:r w:rsidRPr="00CA4331">
        <w:rPr>
          <w:rFonts w:ascii="Times New Roman" w:hAnsi="Times New Roman"/>
          <w:i/>
          <w:iCs/>
          <w:sz w:val="24"/>
        </w:rPr>
        <w:t xml:space="preserve"> Evans</w:t>
      </w:r>
      <w:r w:rsidRPr="00CA4331">
        <w:rPr>
          <w:rFonts w:ascii="Times New Roman" w:hAnsi="Times New Roman"/>
          <w:sz w:val="24"/>
        </w:rPr>
        <w:t xml:space="preserve"> </w:t>
      </w:r>
      <w:r w:rsidRPr="00CA4331">
        <w:rPr>
          <w:rFonts w:ascii="Times New Roman" w:hAnsi="Times New Roman"/>
          <w:i/>
          <w:sz w:val="24"/>
        </w:rPr>
        <w:t>[No 2]</w:t>
      </w:r>
      <w:r w:rsidRPr="00CA4331">
        <w:rPr>
          <w:rFonts w:ascii="Times New Roman" w:hAnsi="Times New Roman"/>
          <w:sz w:val="24"/>
        </w:rPr>
        <w:t xml:space="preserve"> [2001] 2 AC 19 at 42-43.</w:t>
      </w:r>
    </w:p>
  </w:footnote>
  <w:footnote w:id="178">
    <w:p w14:paraId="685303DA"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r w:rsidRPr="00CA4331">
        <w:rPr>
          <w:rFonts w:ascii="Times New Roman" w:hAnsi="Times New Roman"/>
          <w:i/>
          <w:iCs/>
          <w:sz w:val="24"/>
        </w:rPr>
        <w:t xml:space="preserve">R v Governor of </w:t>
      </w:r>
      <w:proofErr w:type="spellStart"/>
      <w:r w:rsidRPr="00CA4331">
        <w:rPr>
          <w:rFonts w:ascii="Times New Roman" w:hAnsi="Times New Roman"/>
          <w:i/>
          <w:iCs/>
          <w:sz w:val="24"/>
        </w:rPr>
        <w:t>Brockhill</w:t>
      </w:r>
      <w:proofErr w:type="spellEnd"/>
      <w:r w:rsidRPr="00CA4331">
        <w:rPr>
          <w:rFonts w:ascii="Times New Roman" w:hAnsi="Times New Roman"/>
          <w:i/>
          <w:iCs/>
          <w:sz w:val="24"/>
        </w:rPr>
        <w:t xml:space="preserve"> Prison, Ex </w:t>
      </w:r>
      <w:proofErr w:type="spellStart"/>
      <w:r w:rsidRPr="00CA4331">
        <w:rPr>
          <w:rFonts w:ascii="Times New Roman" w:hAnsi="Times New Roman"/>
          <w:i/>
          <w:iCs/>
          <w:sz w:val="24"/>
        </w:rPr>
        <w:t>parte</w:t>
      </w:r>
      <w:proofErr w:type="spellEnd"/>
      <w:r w:rsidRPr="00CA4331">
        <w:rPr>
          <w:rFonts w:ascii="Times New Roman" w:hAnsi="Times New Roman"/>
          <w:i/>
          <w:iCs/>
          <w:sz w:val="24"/>
        </w:rPr>
        <w:t xml:space="preserve"> Evans </w:t>
      </w:r>
      <w:r w:rsidRPr="00CA4331">
        <w:rPr>
          <w:rFonts w:ascii="Times New Roman" w:hAnsi="Times New Roman"/>
          <w:i/>
          <w:sz w:val="24"/>
        </w:rPr>
        <w:t>[No 2]</w:t>
      </w:r>
      <w:r w:rsidRPr="00CA4331">
        <w:rPr>
          <w:rFonts w:ascii="Times New Roman" w:hAnsi="Times New Roman"/>
          <w:sz w:val="24"/>
        </w:rPr>
        <w:t xml:space="preserve"> [2001] 2 AC 19 at 36.</w:t>
      </w:r>
    </w:p>
  </w:footnote>
  <w:footnote w:id="179">
    <w:p w14:paraId="53C7AD91"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r w:rsidRPr="00CA4331">
        <w:rPr>
          <w:rFonts w:ascii="Times New Roman" w:hAnsi="Times New Roman"/>
          <w:i/>
          <w:iCs/>
          <w:sz w:val="24"/>
        </w:rPr>
        <w:t xml:space="preserve">R v Governor of </w:t>
      </w:r>
      <w:proofErr w:type="spellStart"/>
      <w:r w:rsidRPr="00CA4331">
        <w:rPr>
          <w:rFonts w:ascii="Times New Roman" w:hAnsi="Times New Roman"/>
          <w:i/>
          <w:iCs/>
          <w:sz w:val="24"/>
        </w:rPr>
        <w:t>Brockhill</w:t>
      </w:r>
      <w:proofErr w:type="spellEnd"/>
      <w:r w:rsidRPr="00CA4331">
        <w:rPr>
          <w:rFonts w:ascii="Times New Roman" w:hAnsi="Times New Roman"/>
          <w:i/>
          <w:iCs/>
          <w:sz w:val="24"/>
        </w:rPr>
        <w:t xml:space="preserve"> Prison, Ex </w:t>
      </w:r>
      <w:proofErr w:type="spellStart"/>
      <w:r w:rsidRPr="00CA4331">
        <w:rPr>
          <w:rFonts w:ascii="Times New Roman" w:hAnsi="Times New Roman"/>
          <w:i/>
          <w:iCs/>
          <w:sz w:val="24"/>
        </w:rPr>
        <w:t>parte</w:t>
      </w:r>
      <w:proofErr w:type="spellEnd"/>
      <w:r w:rsidRPr="00CA4331">
        <w:rPr>
          <w:rFonts w:ascii="Times New Roman" w:hAnsi="Times New Roman"/>
          <w:i/>
          <w:iCs/>
          <w:sz w:val="24"/>
        </w:rPr>
        <w:t xml:space="preserve"> Evans </w:t>
      </w:r>
      <w:r w:rsidRPr="00CA4331">
        <w:rPr>
          <w:rFonts w:ascii="Times New Roman" w:hAnsi="Times New Roman"/>
          <w:i/>
          <w:sz w:val="24"/>
        </w:rPr>
        <w:t>[No 2]</w:t>
      </w:r>
      <w:r w:rsidRPr="00CA4331">
        <w:rPr>
          <w:rFonts w:ascii="Times New Roman" w:hAnsi="Times New Roman"/>
          <w:sz w:val="24"/>
        </w:rPr>
        <w:t xml:space="preserve"> [2001] 2 AC 19 at 24.</w:t>
      </w:r>
    </w:p>
  </w:footnote>
  <w:footnote w:id="180">
    <w:p w14:paraId="2E5A78AE"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t xml:space="preserve">(1928) 276 US 518 at 533-534, rejected in Dixon, "Sources of Legal Authority", reproduced in </w:t>
      </w:r>
      <w:r w:rsidRPr="00CA4331">
        <w:rPr>
          <w:rFonts w:ascii="Times New Roman" w:hAnsi="Times New Roman"/>
          <w:i/>
          <w:iCs/>
          <w:sz w:val="24"/>
        </w:rPr>
        <w:t>Jesting Pilate and Other Papers and Addresses</w:t>
      </w:r>
      <w:r w:rsidRPr="00CA4331">
        <w:rPr>
          <w:rFonts w:ascii="Times New Roman" w:hAnsi="Times New Roman"/>
          <w:sz w:val="24"/>
        </w:rPr>
        <w:t xml:space="preserve"> (1965) 198 at 198</w:t>
      </w:r>
      <w:r>
        <w:rPr>
          <w:rFonts w:ascii="Times New Roman" w:hAnsi="Times New Roman"/>
          <w:i/>
          <w:iCs/>
        </w:rPr>
        <w:noBreakHyphen/>
      </w:r>
      <w:r w:rsidRPr="00CA4331">
        <w:rPr>
          <w:rFonts w:ascii="Times New Roman" w:hAnsi="Times New Roman"/>
          <w:sz w:val="24"/>
        </w:rPr>
        <w:t>199.</w:t>
      </w:r>
    </w:p>
  </w:footnote>
  <w:footnote w:id="181">
    <w:p w14:paraId="5FD47F5B"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r w:rsidRPr="00CA4331">
        <w:rPr>
          <w:rFonts w:ascii="Times New Roman" w:hAnsi="Times New Roman"/>
          <w:i/>
          <w:iCs/>
          <w:sz w:val="24"/>
        </w:rPr>
        <w:t xml:space="preserve">R v Governor of </w:t>
      </w:r>
      <w:proofErr w:type="spellStart"/>
      <w:r w:rsidRPr="00CA4331">
        <w:rPr>
          <w:rFonts w:ascii="Times New Roman" w:hAnsi="Times New Roman"/>
          <w:i/>
          <w:iCs/>
          <w:sz w:val="24"/>
        </w:rPr>
        <w:t>Brockhill</w:t>
      </w:r>
      <w:proofErr w:type="spellEnd"/>
      <w:r w:rsidRPr="00CA4331">
        <w:rPr>
          <w:rFonts w:ascii="Times New Roman" w:hAnsi="Times New Roman"/>
          <w:i/>
          <w:iCs/>
          <w:sz w:val="24"/>
        </w:rPr>
        <w:t xml:space="preserve"> Prison, Ex </w:t>
      </w:r>
      <w:proofErr w:type="spellStart"/>
      <w:r w:rsidRPr="00CA4331">
        <w:rPr>
          <w:rFonts w:ascii="Times New Roman" w:hAnsi="Times New Roman"/>
          <w:i/>
          <w:iCs/>
          <w:sz w:val="24"/>
        </w:rPr>
        <w:t>parte</w:t>
      </w:r>
      <w:proofErr w:type="spellEnd"/>
      <w:r w:rsidRPr="00CA4331">
        <w:rPr>
          <w:rFonts w:ascii="Times New Roman" w:hAnsi="Times New Roman"/>
          <w:i/>
          <w:iCs/>
          <w:sz w:val="24"/>
        </w:rPr>
        <w:t xml:space="preserve"> Evans</w:t>
      </w:r>
      <w:r w:rsidRPr="00CA4331">
        <w:rPr>
          <w:rFonts w:ascii="Times New Roman" w:hAnsi="Times New Roman"/>
          <w:sz w:val="24"/>
        </w:rPr>
        <w:t xml:space="preserve"> </w:t>
      </w:r>
      <w:r w:rsidRPr="00CA4331">
        <w:rPr>
          <w:rFonts w:ascii="Times New Roman" w:hAnsi="Times New Roman"/>
          <w:i/>
          <w:iCs/>
          <w:sz w:val="24"/>
        </w:rPr>
        <w:t xml:space="preserve">[No 2] </w:t>
      </w:r>
      <w:r w:rsidRPr="00CA4331">
        <w:rPr>
          <w:rFonts w:ascii="Times New Roman" w:hAnsi="Times New Roman"/>
          <w:sz w:val="24"/>
        </w:rPr>
        <w:t>[2001] 2 AC 19 at 26.</w:t>
      </w:r>
    </w:p>
  </w:footnote>
  <w:footnote w:id="182">
    <w:p w14:paraId="76269F38"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r w:rsidRPr="00CA4331">
        <w:rPr>
          <w:rFonts w:ascii="Times New Roman" w:hAnsi="Times New Roman"/>
          <w:i/>
          <w:iCs/>
          <w:sz w:val="24"/>
        </w:rPr>
        <w:t xml:space="preserve">R v Governor of </w:t>
      </w:r>
      <w:proofErr w:type="spellStart"/>
      <w:r w:rsidRPr="00CA4331">
        <w:rPr>
          <w:rFonts w:ascii="Times New Roman" w:hAnsi="Times New Roman"/>
          <w:i/>
          <w:iCs/>
          <w:sz w:val="24"/>
        </w:rPr>
        <w:t>Brockhill</w:t>
      </w:r>
      <w:proofErr w:type="spellEnd"/>
      <w:r w:rsidRPr="00CA4331">
        <w:rPr>
          <w:rFonts w:ascii="Times New Roman" w:hAnsi="Times New Roman"/>
          <w:i/>
          <w:iCs/>
          <w:sz w:val="24"/>
        </w:rPr>
        <w:t xml:space="preserve"> Prison, Ex </w:t>
      </w:r>
      <w:proofErr w:type="spellStart"/>
      <w:r w:rsidRPr="00CA4331">
        <w:rPr>
          <w:rFonts w:ascii="Times New Roman" w:hAnsi="Times New Roman"/>
          <w:i/>
          <w:iCs/>
          <w:sz w:val="24"/>
        </w:rPr>
        <w:t>parte</w:t>
      </w:r>
      <w:proofErr w:type="spellEnd"/>
      <w:r w:rsidRPr="00CA4331">
        <w:rPr>
          <w:rFonts w:ascii="Times New Roman" w:hAnsi="Times New Roman"/>
          <w:i/>
          <w:iCs/>
          <w:sz w:val="24"/>
        </w:rPr>
        <w:t xml:space="preserve"> Evans [No 2]</w:t>
      </w:r>
      <w:r w:rsidRPr="00CA4331">
        <w:rPr>
          <w:rFonts w:ascii="Times New Roman" w:hAnsi="Times New Roman"/>
          <w:sz w:val="24"/>
        </w:rPr>
        <w:t xml:space="preserve"> [2001] 2 AC 19 at 37.</w:t>
      </w:r>
    </w:p>
  </w:footnote>
  <w:footnote w:id="183">
    <w:p w14:paraId="42B72D64"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t xml:space="preserve">See </w:t>
      </w:r>
      <w:r w:rsidRPr="00CA4331">
        <w:rPr>
          <w:rFonts w:ascii="Times New Roman" w:hAnsi="Times New Roman"/>
          <w:i/>
          <w:iCs/>
          <w:sz w:val="24"/>
        </w:rPr>
        <w:t xml:space="preserve">Cowell v Corrective Services Commission of New South Wales </w:t>
      </w:r>
      <w:r w:rsidRPr="00CA4331">
        <w:rPr>
          <w:rFonts w:ascii="Times New Roman" w:hAnsi="Times New Roman"/>
          <w:sz w:val="24"/>
        </w:rPr>
        <w:t>(1988) 13 NSWLR 714.</w:t>
      </w:r>
    </w:p>
  </w:footnote>
  <w:footnote w:id="184">
    <w:p w14:paraId="08552D86"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t xml:space="preserve">Finnis, "The Fairy Tale's Moral" (1999) 115 </w:t>
      </w:r>
      <w:r w:rsidRPr="00CA4331">
        <w:rPr>
          <w:rFonts w:ascii="Times New Roman" w:hAnsi="Times New Roman"/>
          <w:i/>
          <w:iCs/>
          <w:sz w:val="24"/>
        </w:rPr>
        <w:t xml:space="preserve">Law Quarterly Review </w:t>
      </w:r>
      <w:r w:rsidRPr="00CA4331">
        <w:rPr>
          <w:rFonts w:ascii="Times New Roman" w:hAnsi="Times New Roman"/>
          <w:sz w:val="24"/>
        </w:rPr>
        <w:t xml:space="preserve">170 at 174-175. See </w:t>
      </w:r>
      <w:r w:rsidRPr="00CA4331">
        <w:rPr>
          <w:rFonts w:ascii="Times New Roman" w:hAnsi="Times New Roman"/>
          <w:i/>
          <w:iCs/>
          <w:sz w:val="24"/>
        </w:rPr>
        <w:t xml:space="preserve">Bell Lawyers Pty Ltd v </w:t>
      </w:r>
      <w:proofErr w:type="spellStart"/>
      <w:r w:rsidRPr="00CA4331">
        <w:rPr>
          <w:rFonts w:ascii="Times New Roman" w:hAnsi="Times New Roman"/>
          <w:i/>
          <w:iCs/>
          <w:sz w:val="24"/>
        </w:rPr>
        <w:t>Pentelow</w:t>
      </w:r>
      <w:proofErr w:type="spellEnd"/>
      <w:r w:rsidRPr="00CA4331">
        <w:rPr>
          <w:rFonts w:ascii="Times New Roman" w:hAnsi="Times New Roman"/>
          <w:i/>
          <w:iCs/>
          <w:sz w:val="24"/>
        </w:rPr>
        <w:t xml:space="preserve"> </w:t>
      </w:r>
      <w:r w:rsidRPr="00CA4331">
        <w:rPr>
          <w:rFonts w:ascii="Times New Roman" w:hAnsi="Times New Roman"/>
          <w:sz w:val="24"/>
        </w:rPr>
        <w:t>(2019) 269 CLR 333 at 368 [96].</w:t>
      </w:r>
    </w:p>
  </w:footnote>
  <w:footnote w:id="185">
    <w:p w14:paraId="46C01923"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proofErr w:type="spellStart"/>
      <w:r w:rsidRPr="00CA4331">
        <w:rPr>
          <w:rFonts w:ascii="Times New Roman" w:hAnsi="Times New Roman"/>
          <w:i/>
          <w:iCs/>
          <w:sz w:val="24"/>
        </w:rPr>
        <w:t>Vunilagi</w:t>
      </w:r>
      <w:proofErr w:type="spellEnd"/>
      <w:r w:rsidRPr="00CA4331">
        <w:rPr>
          <w:rFonts w:ascii="Times New Roman" w:hAnsi="Times New Roman"/>
          <w:i/>
          <w:iCs/>
          <w:sz w:val="24"/>
        </w:rPr>
        <w:t xml:space="preserve"> v The Queen </w:t>
      </w:r>
      <w:r w:rsidRPr="00CA4331">
        <w:rPr>
          <w:rFonts w:ascii="Times New Roman" w:hAnsi="Times New Roman"/>
          <w:sz w:val="24"/>
        </w:rPr>
        <w:t>(2023) 279 CLR 259 at 310-312 [159]-[165].</w:t>
      </w:r>
    </w:p>
  </w:footnote>
  <w:footnote w:id="186">
    <w:p w14:paraId="52913B0A"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t xml:space="preserve">Reid, "The Judge as Law Maker" (1972) 12 </w:t>
      </w:r>
      <w:r w:rsidRPr="00CA4331">
        <w:rPr>
          <w:rFonts w:ascii="Times New Roman" w:hAnsi="Times New Roman"/>
          <w:i/>
          <w:iCs/>
          <w:sz w:val="24"/>
        </w:rPr>
        <w:t>Journal of the Society of Public Teachers of Law</w:t>
      </w:r>
      <w:r w:rsidRPr="00CA4331">
        <w:rPr>
          <w:rFonts w:ascii="Times New Roman" w:hAnsi="Times New Roman"/>
          <w:sz w:val="24"/>
        </w:rPr>
        <w:t xml:space="preserve"> 22 at 22.</w:t>
      </w:r>
    </w:p>
  </w:footnote>
  <w:footnote w:id="187">
    <w:p w14:paraId="2892DAFB"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proofErr w:type="spellStart"/>
      <w:r w:rsidRPr="00CA4331">
        <w:rPr>
          <w:rFonts w:ascii="Times New Roman" w:hAnsi="Times New Roman"/>
          <w:sz w:val="24"/>
        </w:rPr>
        <w:t>Juratowitch</w:t>
      </w:r>
      <w:proofErr w:type="spellEnd"/>
      <w:r w:rsidRPr="00CA4331">
        <w:rPr>
          <w:rFonts w:ascii="Times New Roman" w:hAnsi="Times New Roman"/>
          <w:sz w:val="24"/>
        </w:rPr>
        <w:t xml:space="preserve">, </w:t>
      </w:r>
      <w:r w:rsidRPr="00CA4331">
        <w:rPr>
          <w:rFonts w:ascii="Times New Roman" w:hAnsi="Times New Roman"/>
          <w:i/>
          <w:iCs/>
          <w:sz w:val="24"/>
        </w:rPr>
        <w:t>Retroactivity and the Common Law</w:t>
      </w:r>
      <w:r w:rsidRPr="00CA4331">
        <w:rPr>
          <w:rFonts w:ascii="Times New Roman" w:hAnsi="Times New Roman"/>
          <w:sz w:val="24"/>
        </w:rPr>
        <w:t xml:space="preserve"> (2008) at 41-42; Beever, "The Declaratory Theory of Law" (2013) 33(3) </w:t>
      </w:r>
      <w:r w:rsidRPr="00CA4331">
        <w:rPr>
          <w:rFonts w:ascii="Times New Roman" w:hAnsi="Times New Roman"/>
          <w:i/>
          <w:iCs/>
          <w:sz w:val="24"/>
        </w:rPr>
        <w:t xml:space="preserve">Oxford Journal of Legal Studies </w:t>
      </w:r>
      <w:r w:rsidRPr="00CA4331">
        <w:rPr>
          <w:rFonts w:ascii="Times New Roman" w:hAnsi="Times New Roman"/>
          <w:sz w:val="24"/>
        </w:rPr>
        <w:t>421.</w:t>
      </w:r>
    </w:p>
  </w:footnote>
  <w:footnote w:id="188">
    <w:p w14:paraId="24E79BB0"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r w:rsidRPr="00CA4331">
        <w:rPr>
          <w:rFonts w:ascii="Times New Roman" w:hAnsi="Times New Roman"/>
          <w:i/>
          <w:iCs/>
          <w:sz w:val="24"/>
        </w:rPr>
        <w:t xml:space="preserve">Minister for Immigration and Border Protection v SZVFW </w:t>
      </w:r>
      <w:r w:rsidRPr="00CA4331">
        <w:rPr>
          <w:rFonts w:ascii="Times New Roman" w:hAnsi="Times New Roman"/>
          <w:sz w:val="24"/>
        </w:rPr>
        <w:t>(2018) 264 CLR 541 at 561 [44], 582-583 [128].</w:t>
      </w:r>
    </w:p>
  </w:footnote>
  <w:footnote w:id="189">
    <w:p w14:paraId="644C73DF"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r w:rsidRPr="00CA4331">
        <w:rPr>
          <w:rFonts w:ascii="Times New Roman" w:hAnsi="Times New Roman"/>
          <w:i/>
          <w:iCs/>
          <w:sz w:val="24"/>
        </w:rPr>
        <w:t xml:space="preserve">Life Insurance Co of Australia Ltd v Phillips </w:t>
      </w:r>
      <w:r w:rsidRPr="00CA4331">
        <w:rPr>
          <w:rFonts w:ascii="Times New Roman" w:hAnsi="Times New Roman"/>
          <w:sz w:val="24"/>
        </w:rPr>
        <w:t xml:space="preserve">(1925) 36 CLR 60 at 78-79, citing </w:t>
      </w:r>
      <w:r w:rsidRPr="00CA4331">
        <w:rPr>
          <w:rFonts w:ascii="Times New Roman" w:hAnsi="Times New Roman"/>
          <w:i/>
          <w:iCs/>
          <w:sz w:val="24"/>
        </w:rPr>
        <w:t xml:space="preserve">McConnel v Murphy </w:t>
      </w:r>
      <w:r w:rsidRPr="00CA4331">
        <w:rPr>
          <w:rFonts w:ascii="Times New Roman" w:hAnsi="Times New Roman"/>
          <w:sz w:val="24"/>
        </w:rPr>
        <w:t xml:space="preserve">(1873) LR 5 PC 203 at 219; </w:t>
      </w:r>
      <w:r w:rsidRPr="00CA4331">
        <w:rPr>
          <w:rFonts w:ascii="Times New Roman" w:hAnsi="Times New Roman"/>
          <w:i/>
          <w:iCs/>
          <w:sz w:val="24"/>
        </w:rPr>
        <w:t xml:space="preserve">Minister for Immigration and Border Protection v SZVFW </w:t>
      </w:r>
      <w:r w:rsidRPr="00CA4331">
        <w:rPr>
          <w:rFonts w:ascii="Times New Roman" w:hAnsi="Times New Roman"/>
          <w:sz w:val="24"/>
        </w:rPr>
        <w:t>(2018) 264 CLR 541 at 567 [60], 591 [150], 593 [154].</w:t>
      </w:r>
    </w:p>
  </w:footnote>
  <w:footnote w:id="190">
    <w:p w14:paraId="6406100B"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proofErr w:type="spellStart"/>
      <w:r w:rsidRPr="00CA4331">
        <w:rPr>
          <w:rFonts w:ascii="Times New Roman" w:hAnsi="Times New Roman"/>
          <w:i/>
          <w:iCs/>
          <w:sz w:val="24"/>
        </w:rPr>
        <w:t>Fencott</w:t>
      </w:r>
      <w:proofErr w:type="spellEnd"/>
      <w:r w:rsidRPr="00CA4331">
        <w:rPr>
          <w:rFonts w:ascii="Times New Roman" w:hAnsi="Times New Roman"/>
          <w:i/>
          <w:iCs/>
          <w:sz w:val="24"/>
        </w:rPr>
        <w:t xml:space="preserve"> v Muller</w:t>
      </w:r>
      <w:r w:rsidRPr="00CA4331">
        <w:rPr>
          <w:rFonts w:ascii="Times New Roman" w:hAnsi="Times New Roman"/>
          <w:sz w:val="24"/>
        </w:rPr>
        <w:t xml:space="preserve"> (1983) 152 CLR 570 at 609.</w:t>
      </w:r>
    </w:p>
  </w:footnote>
  <w:footnote w:id="191">
    <w:p w14:paraId="57A274A0"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t xml:space="preserve">Dixon, "Sources of Legal Authority", reproduced in </w:t>
      </w:r>
      <w:r w:rsidRPr="00CA4331">
        <w:rPr>
          <w:rFonts w:ascii="Times New Roman" w:hAnsi="Times New Roman"/>
          <w:i/>
          <w:iCs/>
          <w:sz w:val="24"/>
        </w:rPr>
        <w:t xml:space="preserve">Jesting Pilate and Other Papers and Addresses </w:t>
      </w:r>
      <w:r w:rsidRPr="00CA4331">
        <w:rPr>
          <w:rFonts w:ascii="Times New Roman" w:hAnsi="Times New Roman"/>
          <w:sz w:val="24"/>
        </w:rPr>
        <w:t>(1965) 198 at 199.</w:t>
      </w:r>
    </w:p>
  </w:footnote>
  <w:footnote w:id="192">
    <w:p w14:paraId="0E60F6EB"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r w:rsidRPr="00CA4331">
        <w:rPr>
          <w:rFonts w:ascii="Times New Roman" w:hAnsi="Times New Roman"/>
          <w:i/>
          <w:iCs/>
          <w:sz w:val="24"/>
        </w:rPr>
        <w:t xml:space="preserve">Bell Lawyers Pty Ltd v </w:t>
      </w:r>
      <w:proofErr w:type="spellStart"/>
      <w:r w:rsidRPr="00CA4331">
        <w:rPr>
          <w:rFonts w:ascii="Times New Roman" w:hAnsi="Times New Roman"/>
          <w:i/>
          <w:iCs/>
          <w:sz w:val="24"/>
        </w:rPr>
        <w:t>Pentelow</w:t>
      </w:r>
      <w:proofErr w:type="spellEnd"/>
      <w:r w:rsidRPr="00CA4331">
        <w:rPr>
          <w:rFonts w:ascii="Times New Roman" w:hAnsi="Times New Roman"/>
          <w:i/>
          <w:iCs/>
          <w:sz w:val="24"/>
        </w:rPr>
        <w:t xml:space="preserve"> </w:t>
      </w:r>
      <w:r w:rsidRPr="00CA4331">
        <w:rPr>
          <w:rFonts w:ascii="Times New Roman" w:hAnsi="Times New Roman"/>
          <w:sz w:val="24"/>
        </w:rPr>
        <w:t>(2019) 269 CLR 333 at 367-369 [94]-[98].</w:t>
      </w:r>
    </w:p>
  </w:footnote>
  <w:footnote w:id="193">
    <w:p w14:paraId="38ED5237"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t xml:space="preserve">See </w:t>
      </w:r>
      <w:r w:rsidRPr="00CA4331">
        <w:rPr>
          <w:rFonts w:ascii="Times New Roman" w:hAnsi="Times New Roman"/>
          <w:i/>
          <w:iCs/>
          <w:sz w:val="24"/>
        </w:rPr>
        <w:t xml:space="preserve">Edwards v Porter </w:t>
      </w:r>
      <w:r w:rsidRPr="00CA4331">
        <w:rPr>
          <w:rFonts w:ascii="Times New Roman" w:hAnsi="Times New Roman"/>
          <w:sz w:val="24"/>
        </w:rPr>
        <w:t xml:space="preserve">[1925] AC 1. </w:t>
      </w:r>
    </w:p>
  </w:footnote>
  <w:footnote w:id="194">
    <w:p w14:paraId="0377CE58"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r w:rsidRPr="00CA4331">
        <w:rPr>
          <w:rFonts w:ascii="Times New Roman" w:hAnsi="Times New Roman"/>
          <w:i/>
          <w:sz w:val="24"/>
        </w:rPr>
        <w:t xml:space="preserve">News Corp UK &amp; Ireland Ltd v Revenue and Customs Commissioners </w:t>
      </w:r>
      <w:r w:rsidRPr="00CA4331">
        <w:rPr>
          <w:rFonts w:ascii="Times New Roman" w:hAnsi="Times New Roman"/>
          <w:sz w:val="24"/>
        </w:rPr>
        <w:t>[2024] AC 89 at 118-120 [84]-[88], 122 [95].</w:t>
      </w:r>
    </w:p>
  </w:footnote>
  <w:footnote w:id="195">
    <w:p w14:paraId="2633A896"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proofErr w:type="spellStart"/>
      <w:r w:rsidRPr="00CA4331">
        <w:rPr>
          <w:rFonts w:ascii="Times New Roman" w:hAnsi="Times New Roman"/>
          <w:i/>
          <w:iCs/>
          <w:sz w:val="24"/>
        </w:rPr>
        <w:t>Miliangos</w:t>
      </w:r>
      <w:proofErr w:type="spellEnd"/>
      <w:r w:rsidRPr="00CA4331">
        <w:rPr>
          <w:rFonts w:ascii="Times New Roman" w:hAnsi="Times New Roman"/>
          <w:i/>
          <w:iCs/>
          <w:sz w:val="24"/>
        </w:rPr>
        <w:t xml:space="preserve"> v George Frank (Textiles) Ltd </w:t>
      </w:r>
      <w:r w:rsidRPr="00CA4331">
        <w:rPr>
          <w:rFonts w:ascii="Times New Roman" w:hAnsi="Times New Roman"/>
          <w:sz w:val="24"/>
        </w:rPr>
        <w:t>[1976] AC 443 at 460, 463-464, 469-470.</w:t>
      </w:r>
    </w:p>
  </w:footnote>
  <w:footnote w:id="196">
    <w:p w14:paraId="26D75930"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t>(1997) 189 CLR 465 at 504; see also at 515.</w:t>
      </w:r>
    </w:p>
  </w:footnote>
  <w:footnote w:id="197">
    <w:p w14:paraId="2E853FFC"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r w:rsidRPr="00CA4331">
        <w:rPr>
          <w:rFonts w:ascii="Times New Roman" w:hAnsi="Times New Roman"/>
          <w:i/>
          <w:iCs/>
          <w:sz w:val="24"/>
        </w:rPr>
        <w:t xml:space="preserve">Jefferys v Boosey </w:t>
      </w:r>
      <w:r w:rsidRPr="00CA4331">
        <w:rPr>
          <w:rFonts w:ascii="Times New Roman" w:hAnsi="Times New Roman"/>
          <w:sz w:val="24"/>
        </w:rPr>
        <w:t>(1854) 4 HLC 815 at 936 [10 ER 681 at 729].</w:t>
      </w:r>
    </w:p>
  </w:footnote>
  <w:footnote w:id="198">
    <w:p w14:paraId="48F46D34"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t xml:space="preserve">[2001] 2 AC 19 at 48. See also </w:t>
      </w:r>
      <w:r w:rsidRPr="00CA4331">
        <w:rPr>
          <w:rFonts w:ascii="Times New Roman" w:hAnsi="Times New Roman"/>
          <w:i/>
          <w:iCs/>
          <w:sz w:val="24"/>
        </w:rPr>
        <w:t xml:space="preserve">Bell Lawyers Pty Ltd v </w:t>
      </w:r>
      <w:proofErr w:type="spellStart"/>
      <w:r w:rsidRPr="00CA4331">
        <w:rPr>
          <w:rFonts w:ascii="Times New Roman" w:hAnsi="Times New Roman"/>
          <w:i/>
          <w:iCs/>
          <w:sz w:val="24"/>
        </w:rPr>
        <w:t>Pentelow</w:t>
      </w:r>
      <w:proofErr w:type="spellEnd"/>
      <w:r w:rsidRPr="00CA4331">
        <w:rPr>
          <w:rFonts w:ascii="Times New Roman" w:hAnsi="Times New Roman"/>
          <w:i/>
          <w:iCs/>
          <w:sz w:val="24"/>
        </w:rPr>
        <w:t xml:space="preserve"> </w:t>
      </w:r>
      <w:r w:rsidRPr="00CA4331">
        <w:rPr>
          <w:rFonts w:ascii="Times New Roman" w:hAnsi="Times New Roman"/>
          <w:sz w:val="24"/>
        </w:rPr>
        <w:t>(2019) 269 CLR 333 at 368-369 [97].</w:t>
      </w:r>
    </w:p>
  </w:footnote>
  <w:footnote w:id="199">
    <w:p w14:paraId="640E48BE"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t>(2025) 99 ALJR 396; 421 ALR 376.</w:t>
      </w:r>
    </w:p>
  </w:footnote>
  <w:footnote w:id="200">
    <w:p w14:paraId="13098D99"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r w:rsidRPr="00CA4331">
        <w:rPr>
          <w:rFonts w:ascii="Times New Roman" w:hAnsi="Times New Roman"/>
          <w:i/>
          <w:iCs/>
          <w:sz w:val="24"/>
        </w:rPr>
        <w:t xml:space="preserve">Queensland v Stradford (a pseudonym) </w:t>
      </w:r>
      <w:r w:rsidRPr="00CA4331">
        <w:rPr>
          <w:rFonts w:ascii="Times New Roman" w:hAnsi="Times New Roman"/>
          <w:sz w:val="24"/>
        </w:rPr>
        <w:t>(2025) 99 ALJR 396 at 408 [13]; 421 ALR 376 at 381.</w:t>
      </w:r>
    </w:p>
  </w:footnote>
  <w:footnote w:id="201">
    <w:p w14:paraId="7089E19F"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r w:rsidRPr="00CA4331">
        <w:rPr>
          <w:rFonts w:ascii="Times New Roman" w:hAnsi="Times New Roman"/>
          <w:i/>
          <w:iCs/>
          <w:sz w:val="24"/>
        </w:rPr>
        <w:t xml:space="preserve">Queensland v Stradford (a pseudonym) </w:t>
      </w:r>
      <w:r w:rsidRPr="00CA4331">
        <w:rPr>
          <w:rFonts w:ascii="Times New Roman" w:hAnsi="Times New Roman"/>
          <w:sz w:val="24"/>
        </w:rPr>
        <w:t>(2025) 99 ALJR 396 at 471 [318]; 421 ALR 376 at 466.</w:t>
      </w:r>
    </w:p>
  </w:footnote>
  <w:footnote w:id="202">
    <w:p w14:paraId="74A1960E"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r w:rsidRPr="00CA4331">
        <w:rPr>
          <w:rFonts w:ascii="Times New Roman" w:hAnsi="Times New Roman"/>
          <w:i/>
          <w:iCs/>
          <w:sz w:val="24"/>
        </w:rPr>
        <w:t xml:space="preserve">Federal Circuit Court of Australia Act 1999 </w:t>
      </w:r>
      <w:r w:rsidRPr="00CA4331">
        <w:rPr>
          <w:rFonts w:ascii="Times New Roman" w:hAnsi="Times New Roman"/>
          <w:sz w:val="24"/>
        </w:rPr>
        <w:t>(</w:t>
      </w:r>
      <w:proofErr w:type="spellStart"/>
      <w:r w:rsidRPr="00CA4331">
        <w:rPr>
          <w:rFonts w:ascii="Times New Roman" w:hAnsi="Times New Roman"/>
          <w:sz w:val="24"/>
        </w:rPr>
        <w:t>Cth</w:t>
      </w:r>
      <w:proofErr w:type="spellEnd"/>
      <w:r w:rsidRPr="00CA4331">
        <w:rPr>
          <w:rFonts w:ascii="Times New Roman" w:hAnsi="Times New Roman"/>
          <w:sz w:val="24"/>
        </w:rPr>
        <w:t xml:space="preserve">), s 17.  </w:t>
      </w:r>
    </w:p>
  </w:footnote>
  <w:footnote w:id="203">
    <w:p w14:paraId="76069CAE"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t xml:space="preserve">See </w:t>
      </w:r>
      <w:r w:rsidRPr="00CA4331">
        <w:rPr>
          <w:rFonts w:ascii="Times New Roman" w:hAnsi="Times New Roman"/>
          <w:i/>
          <w:iCs/>
          <w:sz w:val="24"/>
        </w:rPr>
        <w:t xml:space="preserve">Percy v Hall </w:t>
      </w:r>
      <w:r w:rsidRPr="00CA4331">
        <w:rPr>
          <w:rFonts w:ascii="Times New Roman" w:hAnsi="Times New Roman"/>
          <w:sz w:val="24"/>
        </w:rPr>
        <w:t xml:space="preserve">[1997] QB 924 at 947-948, explained in </w:t>
      </w:r>
      <w:r w:rsidRPr="00CA4331">
        <w:rPr>
          <w:rFonts w:ascii="Times New Roman" w:hAnsi="Times New Roman"/>
          <w:i/>
          <w:iCs/>
          <w:sz w:val="24"/>
        </w:rPr>
        <w:t xml:space="preserve">R (Majera) v Secretary of State for the Home Department </w:t>
      </w:r>
      <w:r w:rsidRPr="00CA4331">
        <w:rPr>
          <w:rFonts w:ascii="Times New Roman" w:hAnsi="Times New Roman"/>
          <w:sz w:val="24"/>
        </w:rPr>
        <w:t>[2022] AC 461 at 477 [31].</w:t>
      </w:r>
    </w:p>
  </w:footnote>
  <w:footnote w:id="204">
    <w:p w14:paraId="76B5BA51"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t xml:space="preserve">See </w:t>
      </w:r>
      <w:proofErr w:type="spellStart"/>
      <w:r w:rsidRPr="00CA4331">
        <w:rPr>
          <w:rFonts w:ascii="Times New Roman" w:hAnsi="Times New Roman"/>
          <w:sz w:val="24"/>
        </w:rPr>
        <w:t>Hohfeld</w:t>
      </w:r>
      <w:proofErr w:type="spellEnd"/>
      <w:r w:rsidRPr="00CA4331">
        <w:rPr>
          <w:rFonts w:ascii="Times New Roman" w:hAnsi="Times New Roman"/>
          <w:sz w:val="24"/>
        </w:rPr>
        <w:t xml:space="preserve">, "Some Fundamental Legal Conceptions as Applied in Judicial Reasoning" (1913) 23 </w:t>
      </w:r>
      <w:r w:rsidRPr="00CA4331">
        <w:rPr>
          <w:rFonts w:ascii="Times New Roman" w:hAnsi="Times New Roman"/>
          <w:i/>
          <w:iCs/>
          <w:sz w:val="24"/>
        </w:rPr>
        <w:t>Yale Law Journal</w:t>
      </w:r>
      <w:r w:rsidRPr="00CA4331">
        <w:rPr>
          <w:rFonts w:ascii="Times New Roman" w:hAnsi="Times New Roman"/>
          <w:sz w:val="24"/>
        </w:rPr>
        <w:t xml:space="preserve"> 16 at 55-58.</w:t>
      </w:r>
    </w:p>
  </w:footnote>
  <w:footnote w:id="205">
    <w:p w14:paraId="34B9A00D"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r w:rsidRPr="00CA4331">
        <w:rPr>
          <w:rFonts w:ascii="Times New Roman" w:hAnsi="Times New Roman"/>
          <w:i/>
          <w:iCs/>
          <w:sz w:val="24"/>
        </w:rPr>
        <w:t>Fingleton v The Queen</w:t>
      </w:r>
      <w:r w:rsidRPr="00CA4331">
        <w:rPr>
          <w:rFonts w:ascii="Times New Roman" w:hAnsi="Times New Roman"/>
          <w:sz w:val="24"/>
        </w:rPr>
        <w:t xml:space="preserve"> (2005) 227 CLR 166 at 186 [38].</w:t>
      </w:r>
    </w:p>
  </w:footnote>
  <w:footnote w:id="206">
    <w:p w14:paraId="503DD87B"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r w:rsidRPr="00CA4331">
        <w:rPr>
          <w:rFonts w:ascii="Times New Roman" w:hAnsi="Times New Roman"/>
          <w:i/>
          <w:iCs/>
          <w:sz w:val="24"/>
        </w:rPr>
        <w:t xml:space="preserve">Yeldham v Rajski </w:t>
      </w:r>
      <w:r w:rsidRPr="00CA4331">
        <w:rPr>
          <w:rFonts w:ascii="Times New Roman" w:hAnsi="Times New Roman"/>
          <w:sz w:val="24"/>
        </w:rPr>
        <w:t>(1989) 18 NSWLR 48 at 69.</w:t>
      </w:r>
    </w:p>
  </w:footnote>
  <w:footnote w:id="207">
    <w:p w14:paraId="6FA6C4A4"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proofErr w:type="spellStart"/>
      <w:r w:rsidRPr="00CA4331">
        <w:rPr>
          <w:rFonts w:ascii="Times New Roman" w:hAnsi="Times New Roman"/>
          <w:i/>
          <w:iCs/>
          <w:sz w:val="24"/>
        </w:rPr>
        <w:t>Enever</w:t>
      </w:r>
      <w:proofErr w:type="spellEnd"/>
      <w:r w:rsidRPr="00CA4331">
        <w:rPr>
          <w:rFonts w:ascii="Times New Roman" w:hAnsi="Times New Roman"/>
          <w:i/>
          <w:iCs/>
          <w:sz w:val="24"/>
        </w:rPr>
        <w:t xml:space="preserve"> v The King</w:t>
      </w:r>
      <w:r w:rsidRPr="00CA4331">
        <w:rPr>
          <w:rFonts w:ascii="Times New Roman" w:hAnsi="Times New Roman"/>
          <w:sz w:val="24"/>
        </w:rPr>
        <w:t xml:space="preserve"> (1906) 3 CLR 969 at 976; </w:t>
      </w:r>
      <w:r w:rsidRPr="00CA4331">
        <w:rPr>
          <w:rFonts w:ascii="Times New Roman" w:hAnsi="Times New Roman"/>
          <w:i/>
          <w:iCs/>
          <w:sz w:val="24"/>
        </w:rPr>
        <w:t>Little v The Commonwealth</w:t>
      </w:r>
      <w:r w:rsidRPr="00CA4331">
        <w:rPr>
          <w:rFonts w:ascii="Times New Roman" w:hAnsi="Times New Roman"/>
          <w:sz w:val="24"/>
        </w:rPr>
        <w:t xml:space="preserve"> (1947) 75 CLR 94 at 114. See also</w:t>
      </w:r>
      <w:r w:rsidRPr="00CA4331">
        <w:rPr>
          <w:rFonts w:ascii="Times New Roman" w:hAnsi="Times New Roman"/>
          <w:i/>
          <w:iCs/>
          <w:sz w:val="24"/>
        </w:rPr>
        <w:t xml:space="preserve"> A v Hayden</w:t>
      </w:r>
      <w:r w:rsidRPr="00CA4331">
        <w:rPr>
          <w:rFonts w:ascii="Times New Roman" w:hAnsi="Times New Roman"/>
          <w:sz w:val="24"/>
        </w:rPr>
        <w:t xml:space="preserve"> (1984) 156 CLR 532; </w:t>
      </w:r>
      <w:r w:rsidRPr="00CA4331">
        <w:rPr>
          <w:rFonts w:ascii="Times New Roman" w:hAnsi="Times New Roman"/>
          <w:i/>
          <w:iCs/>
          <w:sz w:val="24"/>
        </w:rPr>
        <w:t>Cowell v Corrective Services Commission of New South Wales</w:t>
      </w:r>
      <w:r w:rsidRPr="00CA4331">
        <w:rPr>
          <w:rFonts w:ascii="Times New Roman" w:hAnsi="Times New Roman"/>
          <w:sz w:val="24"/>
        </w:rPr>
        <w:t xml:space="preserve"> (1988) 13 NSWLR 714 at 742.</w:t>
      </w:r>
    </w:p>
  </w:footnote>
  <w:footnote w:id="208">
    <w:p w14:paraId="6BD2BF3C"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t>[2001] 2 AC 19 at 45.</w:t>
      </w:r>
    </w:p>
  </w:footnote>
  <w:footnote w:id="209">
    <w:p w14:paraId="0EFF6426"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t>(1967) 386 US 547.</w:t>
      </w:r>
    </w:p>
  </w:footnote>
  <w:footnote w:id="210">
    <w:p w14:paraId="76B1C950"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r w:rsidRPr="00CA4331">
        <w:rPr>
          <w:rFonts w:ascii="Times New Roman" w:hAnsi="Times New Roman"/>
          <w:i/>
          <w:iCs/>
          <w:sz w:val="24"/>
        </w:rPr>
        <w:t>Pierson v Ray</w:t>
      </w:r>
      <w:r w:rsidRPr="00CA4331">
        <w:rPr>
          <w:rFonts w:ascii="Times New Roman" w:hAnsi="Times New Roman"/>
          <w:sz w:val="24"/>
        </w:rPr>
        <w:t xml:space="preserve"> (1967) 386 US 547 at 556-557.</w:t>
      </w:r>
    </w:p>
  </w:footnote>
  <w:footnote w:id="211">
    <w:p w14:paraId="1D84F528"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r w:rsidRPr="00CA4331">
        <w:rPr>
          <w:rFonts w:ascii="Times New Roman" w:hAnsi="Times New Roman"/>
          <w:i/>
          <w:iCs/>
          <w:sz w:val="24"/>
        </w:rPr>
        <w:t>Pierson v Ray</w:t>
      </w:r>
      <w:r w:rsidRPr="00CA4331">
        <w:rPr>
          <w:rFonts w:ascii="Times New Roman" w:hAnsi="Times New Roman"/>
          <w:sz w:val="24"/>
        </w:rPr>
        <w:t xml:space="preserve"> (1967) 386 US 547 at 555 (citation omitted).</w:t>
      </w:r>
    </w:p>
  </w:footnote>
  <w:footnote w:id="212">
    <w:p w14:paraId="10BDB303"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t xml:space="preserve">Pfander and Hunt, "Public Wrongs and Private Bills: Indemnification and Government Accountability in the Early Republic" (2010) 85 </w:t>
      </w:r>
      <w:r w:rsidRPr="00CA4331">
        <w:rPr>
          <w:rFonts w:ascii="Times New Roman" w:hAnsi="Times New Roman"/>
          <w:i/>
          <w:iCs/>
          <w:sz w:val="24"/>
        </w:rPr>
        <w:t xml:space="preserve">New York University Law Review </w:t>
      </w:r>
      <w:r w:rsidRPr="00CA4331">
        <w:rPr>
          <w:rFonts w:ascii="Times New Roman" w:hAnsi="Times New Roman"/>
          <w:sz w:val="24"/>
        </w:rPr>
        <w:t xml:space="preserve">1862 at 1923; </w:t>
      </w:r>
      <w:proofErr w:type="spellStart"/>
      <w:r w:rsidRPr="00CA4331">
        <w:rPr>
          <w:rFonts w:ascii="Times New Roman" w:hAnsi="Times New Roman"/>
          <w:sz w:val="24"/>
        </w:rPr>
        <w:t>Doernberg</w:t>
      </w:r>
      <w:proofErr w:type="spellEnd"/>
      <w:r w:rsidRPr="00CA4331">
        <w:rPr>
          <w:rFonts w:ascii="Times New Roman" w:hAnsi="Times New Roman"/>
          <w:sz w:val="24"/>
        </w:rPr>
        <w:t xml:space="preserve">, "Taking Supremacy Seriously: The Contrariety of Official Immunities" (2011) 80 </w:t>
      </w:r>
      <w:r w:rsidRPr="00CA4331">
        <w:rPr>
          <w:rFonts w:ascii="Times New Roman" w:hAnsi="Times New Roman"/>
          <w:i/>
          <w:iCs/>
          <w:sz w:val="24"/>
        </w:rPr>
        <w:t>Fordham Law Review</w:t>
      </w:r>
      <w:r w:rsidRPr="00CA4331">
        <w:rPr>
          <w:rFonts w:ascii="Times New Roman" w:hAnsi="Times New Roman"/>
          <w:sz w:val="24"/>
        </w:rPr>
        <w:t xml:space="preserve"> 443 at 466; Baude, "Is Qualified Immunity Unlawful?" (2018) 106 </w:t>
      </w:r>
      <w:r w:rsidRPr="00CA4331">
        <w:rPr>
          <w:rFonts w:ascii="Times New Roman" w:hAnsi="Times New Roman"/>
          <w:i/>
          <w:sz w:val="24"/>
        </w:rPr>
        <w:t>California Law Review</w:t>
      </w:r>
      <w:r w:rsidRPr="00CA4331">
        <w:rPr>
          <w:rFonts w:ascii="Times New Roman" w:hAnsi="Times New Roman"/>
          <w:sz w:val="24"/>
        </w:rPr>
        <w:t xml:space="preserve"> 45 at 55.</w:t>
      </w:r>
    </w:p>
  </w:footnote>
  <w:footnote w:id="213">
    <w:p w14:paraId="58892566"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r w:rsidRPr="00CA4331">
        <w:rPr>
          <w:rFonts w:ascii="Times New Roman" w:hAnsi="Times New Roman"/>
          <w:i/>
          <w:iCs/>
          <w:sz w:val="24"/>
        </w:rPr>
        <w:t xml:space="preserve">Little v </w:t>
      </w:r>
      <w:proofErr w:type="spellStart"/>
      <w:r w:rsidRPr="00CA4331">
        <w:rPr>
          <w:rFonts w:ascii="Times New Roman" w:hAnsi="Times New Roman"/>
          <w:i/>
          <w:iCs/>
          <w:sz w:val="24"/>
        </w:rPr>
        <w:t>Barreme</w:t>
      </w:r>
      <w:proofErr w:type="spellEnd"/>
      <w:r w:rsidRPr="00CA4331">
        <w:rPr>
          <w:rFonts w:ascii="Times New Roman" w:hAnsi="Times New Roman"/>
          <w:i/>
          <w:iCs/>
          <w:sz w:val="24"/>
        </w:rPr>
        <w:t xml:space="preserve"> </w:t>
      </w:r>
      <w:r w:rsidRPr="00CA4331">
        <w:rPr>
          <w:rFonts w:ascii="Times New Roman" w:hAnsi="Times New Roman"/>
          <w:sz w:val="24"/>
        </w:rPr>
        <w:t>(1804) 6 US 170.</w:t>
      </w:r>
    </w:p>
  </w:footnote>
  <w:footnote w:id="214">
    <w:p w14:paraId="206C9372"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t xml:space="preserve">American Law Institute, </w:t>
      </w:r>
      <w:r w:rsidRPr="00CA4331">
        <w:rPr>
          <w:rFonts w:ascii="Times New Roman" w:hAnsi="Times New Roman"/>
          <w:i/>
          <w:iCs/>
          <w:sz w:val="24"/>
        </w:rPr>
        <w:t xml:space="preserve">Restatement (Second) of Torts </w:t>
      </w:r>
      <w:r w:rsidRPr="00CA4331">
        <w:rPr>
          <w:rFonts w:ascii="Times New Roman" w:hAnsi="Times New Roman"/>
          <w:sz w:val="24"/>
        </w:rPr>
        <w:t>(1965) at §121.</w:t>
      </w:r>
    </w:p>
  </w:footnote>
  <w:footnote w:id="215">
    <w:p w14:paraId="00614AA5"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t xml:space="preserve">American Law Institute, </w:t>
      </w:r>
      <w:r w:rsidRPr="00CA4331">
        <w:rPr>
          <w:rFonts w:ascii="Times New Roman" w:hAnsi="Times New Roman"/>
          <w:i/>
          <w:iCs/>
          <w:sz w:val="24"/>
        </w:rPr>
        <w:t>Restatement (Third) of Torts</w:t>
      </w:r>
      <w:r w:rsidRPr="00CA4331">
        <w:rPr>
          <w:rFonts w:ascii="Times New Roman" w:hAnsi="Times New Roman"/>
          <w:sz w:val="24"/>
        </w:rPr>
        <w:t xml:space="preserve">, </w:t>
      </w:r>
      <w:r w:rsidRPr="00CA4331">
        <w:rPr>
          <w:rFonts w:ascii="Times New Roman" w:hAnsi="Times New Roman"/>
          <w:i/>
          <w:iCs/>
          <w:sz w:val="24"/>
        </w:rPr>
        <w:t>Tentative Draft No 6</w:t>
      </w:r>
      <w:r w:rsidRPr="00CA4331">
        <w:rPr>
          <w:rFonts w:ascii="Times New Roman" w:hAnsi="Times New Roman"/>
          <w:sz w:val="24"/>
        </w:rPr>
        <w:t xml:space="preserve"> (2021) at §39. </w:t>
      </w:r>
    </w:p>
  </w:footnote>
  <w:footnote w:id="216">
    <w:p w14:paraId="2F794155"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t xml:space="preserve">American Law Institute, </w:t>
      </w:r>
      <w:r w:rsidRPr="00CA4331">
        <w:rPr>
          <w:rFonts w:ascii="Times New Roman" w:hAnsi="Times New Roman"/>
          <w:i/>
          <w:iCs/>
          <w:sz w:val="24"/>
        </w:rPr>
        <w:t>Restatement (Third) of Torts</w:t>
      </w:r>
      <w:r w:rsidRPr="00CA4331">
        <w:rPr>
          <w:rFonts w:ascii="Times New Roman" w:hAnsi="Times New Roman"/>
          <w:sz w:val="24"/>
        </w:rPr>
        <w:t xml:space="preserve">, </w:t>
      </w:r>
      <w:r w:rsidRPr="00CA4331">
        <w:rPr>
          <w:rFonts w:ascii="Times New Roman" w:hAnsi="Times New Roman"/>
          <w:i/>
          <w:iCs/>
          <w:sz w:val="24"/>
        </w:rPr>
        <w:t>Tentative Draft No 6</w:t>
      </w:r>
      <w:r w:rsidRPr="00CA4331">
        <w:rPr>
          <w:rFonts w:ascii="Times New Roman" w:hAnsi="Times New Roman"/>
          <w:sz w:val="24"/>
        </w:rPr>
        <w:t xml:space="preserve"> (2021) at §39-§40.</w:t>
      </w:r>
    </w:p>
  </w:footnote>
  <w:footnote w:id="217">
    <w:p w14:paraId="59CC25DB"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proofErr w:type="spellStart"/>
      <w:r w:rsidRPr="00CA4331">
        <w:rPr>
          <w:rFonts w:ascii="Times New Roman" w:hAnsi="Times New Roman"/>
          <w:i/>
          <w:iCs/>
          <w:sz w:val="24"/>
        </w:rPr>
        <w:t>Dumbell</w:t>
      </w:r>
      <w:proofErr w:type="spellEnd"/>
      <w:r w:rsidRPr="00CA4331">
        <w:rPr>
          <w:rFonts w:ascii="Times New Roman" w:hAnsi="Times New Roman"/>
          <w:i/>
          <w:iCs/>
          <w:sz w:val="24"/>
        </w:rPr>
        <w:t xml:space="preserve"> v Roberts </w:t>
      </w:r>
      <w:r w:rsidRPr="00CA4331">
        <w:rPr>
          <w:rFonts w:ascii="Times New Roman" w:hAnsi="Times New Roman"/>
          <w:sz w:val="24"/>
        </w:rPr>
        <w:t xml:space="preserve">[1944] 1 All ER 326; </w:t>
      </w:r>
      <w:r w:rsidRPr="00CA4331">
        <w:rPr>
          <w:rFonts w:ascii="Times New Roman" w:hAnsi="Times New Roman"/>
          <w:i/>
          <w:iCs/>
          <w:sz w:val="24"/>
        </w:rPr>
        <w:t xml:space="preserve">Hussien v Chong Fook Kam </w:t>
      </w:r>
      <w:r w:rsidRPr="00CA4331">
        <w:rPr>
          <w:rFonts w:ascii="Times New Roman" w:hAnsi="Times New Roman"/>
          <w:sz w:val="24"/>
        </w:rPr>
        <w:t xml:space="preserve">[1970] AC 942 at 948. See also Bullen and Leake, </w:t>
      </w:r>
      <w:r w:rsidRPr="00CA4331">
        <w:rPr>
          <w:rFonts w:ascii="Times New Roman" w:hAnsi="Times New Roman"/>
          <w:i/>
          <w:iCs/>
          <w:sz w:val="24"/>
        </w:rPr>
        <w:t>Precedents of Pleadings</w:t>
      </w:r>
      <w:r w:rsidRPr="00CA4331">
        <w:rPr>
          <w:rFonts w:ascii="Times New Roman" w:hAnsi="Times New Roman"/>
          <w:i/>
          <w:sz w:val="24"/>
        </w:rPr>
        <w:t xml:space="preserve"> </w:t>
      </w:r>
      <w:r w:rsidRPr="00CA4331">
        <w:rPr>
          <w:rFonts w:ascii="Times New Roman" w:hAnsi="Times New Roman"/>
          <w:i/>
          <w:iCs/>
          <w:sz w:val="24"/>
        </w:rPr>
        <w:t>in Personal Actions in The Superior Courts of Common Law</w:t>
      </w:r>
      <w:r w:rsidRPr="00CA4331">
        <w:rPr>
          <w:rFonts w:ascii="Times New Roman" w:hAnsi="Times New Roman"/>
          <w:sz w:val="24"/>
        </w:rPr>
        <w:t>, 3rd ed (1868) at 795-796.</w:t>
      </w:r>
    </w:p>
  </w:footnote>
  <w:footnote w:id="218">
    <w:p w14:paraId="07D531D5"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r w:rsidRPr="00CA4331">
        <w:rPr>
          <w:rFonts w:ascii="Times New Roman" w:hAnsi="Times New Roman"/>
          <w:i/>
          <w:iCs/>
          <w:sz w:val="24"/>
        </w:rPr>
        <w:t xml:space="preserve">Williams v The Queen </w:t>
      </w:r>
      <w:r w:rsidRPr="00CA4331">
        <w:rPr>
          <w:rFonts w:ascii="Times New Roman" w:hAnsi="Times New Roman"/>
          <w:sz w:val="24"/>
        </w:rPr>
        <w:t xml:space="preserve">(1986) 161 CLR 278 at 283-284, 292-293, 305; </w:t>
      </w:r>
      <w:r w:rsidRPr="00CA4331">
        <w:rPr>
          <w:rFonts w:ascii="Times New Roman" w:hAnsi="Times New Roman"/>
          <w:i/>
          <w:iCs/>
          <w:sz w:val="24"/>
        </w:rPr>
        <w:t xml:space="preserve">New South Wales v Robinson </w:t>
      </w:r>
      <w:r w:rsidRPr="00CA4331">
        <w:rPr>
          <w:rFonts w:ascii="Times New Roman" w:hAnsi="Times New Roman"/>
          <w:sz w:val="24"/>
        </w:rPr>
        <w:t>(2019) 266 CLR 619</w:t>
      </w:r>
      <w:r w:rsidRPr="00CA4331">
        <w:rPr>
          <w:rFonts w:ascii="Times New Roman" w:hAnsi="Times New Roman"/>
          <w:i/>
          <w:iCs/>
          <w:sz w:val="24"/>
        </w:rPr>
        <w:t xml:space="preserve"> </w:t>
      </w:r>
      <w:r w:rsidRPr="00CA4331">
        <w:rPr>
          <w:rFonts w:ascii="Times New Roman" w:hAnsi="Times New Roman"/>
          <w:sz w:val="24"/>
        </w:rPr>
        <w:t>at 638-639 [30]-[31], 664-665 [89]-[91].</w:t>
      </w:r>
    </w:p>
  </w:footnote>
  <w:footnote w:id="219">
    <w:p w14:paraId="18E561BE"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r w:rsidRPr="00CA4331">
        <w:rPr>
          <w:rFonts w:ascii="Times New Roman" w:hAnsi="Times New Roman"/>
          <w:i/>
          <w:iCs/>
          <w:sz w:val="24"/>
        </w:rPr>
        <w:t xml:space="preserve">Richardson v McKnight </w:t>
      </w:r>
      <w:r w:rsidRPr="00CA4331">
        <w:rPr>
          <w:rFonts w:ascii="Times New Roman" w:hAnsi="Times New Roman"/>
          <w:sz w:val="24"/>
        </w:rPr>
        <w:t>(1997) 521 US 399 at 412. See also</w:t>
      </w:r>
      <w:r w:rsidRPr="00CA4331">
        <w:rPr>
          <w:rFonts w:ascii="Times New Roman" w:hAnsi="Times New Roman"/>
          <w:i/>
          <w:iCs/>
          <w:sz w:val="24"/>
        </w:rPr>
        <w:t xml:space="preserve"> Harlow v Fitzgerald </w:t>
      </w:r>
      <w:r w:rsidRPr="00CA4331">
        <w:rPr>
          <w:rFonts w:ascii="Times New Roman" w:hAnsi="Times New Roman"/>
          <w:sz w:val="24"/>
        </w:rPr>
        <w:t>(1982) 457 US 800.</w:t>
      </w:r>
    </w:p>
  </w:footnote>
  <w:footnote w:id="220">
    <w:p w14:paraId="32E373B1"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t xml:space="preserve">(2012) 566 US 377 at 380. See also </w:t>
      </w:r>
      <w:r w:rsidRPr="00CA4331">
        <w:rPr>
          <w:rFonts w:ascii="Times New Roman" w:hAnsi="Times New Roman"/>
          <w:i/>
          <w:iCs/>
          <w:sz w:val="24"/>
        </w:rPr>
        <w:t xml:space="preserve">Ashcroft v al-Kidd </w:t>
      </w:r>
      <w:r w:rsidRPr="00CA4331">
        <w:rPr>
          <w:rFonts w:ascii="Times New Roman" w:hAnsi="Times New Roman"/>
          <w:sz w:val="24"/>
        </w:rPr>
        <w:t>(2011) 563 US 731 at 743 ("[q]</w:t>
      </w:r>
      <w:proofErr w:type="spellStart"/>
      <w:r w:rsidRPr="00CA4331">
        <w:rPr>
          <w:rFonts w:ascii="Times New Roman" w:hAnsi="Times New Roman"/>
          <w:sz w:val="24"/>
        </w:rPr>
        <w:t>ualified</w:t>
      </w:r>
      <w:proofErr w:type="spellEnd"/>
      <w:r w:rsidRPr="00CA4331">
        <w:rPr>
          <w:rFonts w:ascii="Times New Roman" w:hAnsi="Times New Roman"/>
          <w:sz w:val="24"/>
        </w:rPr>
        <w:t xml:space="preserve"> immunity gives government officials breathing room to make reasonable but mistaken judgments about open legal questions").</w:t>
      </w:r>
    </w:p>
  </w:footnote>
  <w:footnote w:id="221">
    <w:p w14:paraId="5ADA1395"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t>[2002] 1 SCR 405 at 443 [79].</w:t>
      </w:r>
    </w:p>
  </w:footnote>
  <w:footnote w:id="222">
    <w:p w14:paraId="7B2E2380"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t xml:space="preserve">(2024) 494 DLR (4th) 191 at 232 [63]. </w:t>
      </w:r>
    </w:p>
  </w:footnote>
  <w:footnote w:id="223">
    <w:p w14:paraId="3414E6AD"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r w:rsidRPr="00CA4331">
        <w:rPr>
          <w:rFonts w:ascii="Times New Roman" w:hAnsi="Times New Roman"/>
          <w:i/>
          <w:iCs/>
          <w:sz w:val="24"/>
        </w:rPr>
        <w:t xml:space="preserve">Vancouver (City) v Ward </w:t>
      </w:r>
      <w:r w:rsidRPr="00CA4331">
        <w:rPr>
          <w:rFonts w:ascii="Times New Roman" w:hAnsi="Times New Roman"/>
          <w:sz w:val="24"/>
        </w:rPr>
        <w:t xml:space="preserve">[2010] 2 SCR 28 at 47 [41]. </w:t>
      </w:r>
    </w:p>
  </w:footnote>
  <w:footnote w:id="224">
    <w:p w14:paraId="20E25A62"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r w:rsidRPr="00CA4331">
        <w:rPr>
          <w:rFonts w:ascii="Times New Roman" w:hAnsi="Times New Roman"/>
          <w:i/>
          <w:iCs/>
          <w:sz w:val="24"/>
        </w:rPr>
        <w:t>Guimond v Quebec (Attorney General)</w:t>
      </w:r>
      <w:r w:rsidRPr="00CA4331">
        <w:rPr>
          <w:rFonts w:ascii="Times New Roman" w:hAnsi="Times New Roman"/>
          <w:sz w:val="24"/>
        </w:rPr>
        <w:t xml:space="preserve"> [1996] 3 SCR 347 at 357, citing </w:t>
      </w:r>
      <w:proofErr w:type="spellStart"/>
      <w:r w:rsidRPr="00CA4331">
        <w:rPr>
          <w:rFonts w:ascii="Times New Roman" w:hAnsi="Times New Roman"/>
          <w:i/>
          <w:iCs/>
          <w:sz w:val="24"/>
        </w:rPr>
        <w:t>Welbridge</w:t>
      </w:r>
      <w:proofErr w:type="spellEnd"/>
      <w:r w:rsidRPr="00CA4331">
        <w:rPr>
          <w:rFonts w:ascii="Times New Roman" w:hAnsi="Times New Roman"/>
          <w:i/>
          <w:iCs/>
          <w:sz w:val="24"/>
        </w:rPr>
        <w:t xml:space="preserve"> Holdings Ltd v Greater Winnipeg </w:t>
      </w:r>
      <w:r w:rsidRPr="00CA4331">
        <w:rPr>
          <w:rFonts w:ascii="Times New Roman" w:hAnsi="Times New Roman"/>
          <w:sz w:val="24"/>
        </w:rPr>
        <w:t xml:space="preserve">[1971] SCR 957. See also [1996] 3 SCR 347 at 358, quoting Cooper-Stephenson, </w:t>
      </w:r>
      <w:r w:rsidRPr="00CA4331">
        <w:rPr>
          <w:rFonts w:ascii="Times New Roman" w:hAnsi="Times New Roman"/>
          <w:i/>
          <w:iCs/>
          <w:sz w:val="24"/>
        </w:rPr>
        <w:t xml:space="preserve">Charter Damages Claims </w:t>
      </w:r>
      <w:r w:rsidRPr="00CA4331">
        <w:rPr>
          <w:rFonts w:ascii="Times New Roman" w:hAnsi="Times New Roman"/>
          <w:sz w:val="24"/>
        </w:rPr>
        <w:t xml:space="preserve">(1990) at 330-332. </w:t>
      </w:r>
    </w:p>
  </w:footnote>
  <w:footnote w:id="225">
    <w:p w14:paraId="26B22BC8"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t xml:space="preserve">Dicey, </w:t>
      </w:r>
      <w:r w:rsidRPr="00CA4331">
        <w:rPr>
          <w:rFonts w:ascii="Times New Roman" w:hAnsi="Times New Roman"/>
          <w:i/>
          <w:iCs/>
          <w:sz w:val="24"/>
        </w:rPr>
        <w:t>Lectures Introductory to the Study of the Law of the Constitution</w:t>
      </w:r>
      <w:r w:rsidRPr="00CA4331">
        <w:rPr>
          <w:rFonts w:ascii="Times New Roman" w:hAnsi="Times New Roman"/>
          <w:sz w:val="24"/>
        </w:rPr>
        <w:t xml:space="preserve"> (1885) at 177</w:t>
      </w:r>
      <w:r>
        <w:rPr>
          <w:rFonts w:ascii="Times New Roman" w:hAnsi="Times New Roman"/>
          <w:sz w:val="24"/>
        </w:rPr>
        <w:t>-</w:t>
      </w:r>
      <w:r w:rsidRPr="00CA4331">
        <w:rPr>
          <w:rFonts w:ascii="Times New Roman" w:hAnsi="Times New Roman"/>
          <w:sz w:val="24"/>
        </w:rPr>
        <w:t>178, 215.</w:t>
      </w:r>
    </w:p>
  </w:footnote>
  <w:footnote w:id="226">
    <w:p w14:paraId="1C466AC1"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r w:rsidRPr="00CA4331">
        <w:rPr>
          <w:rFonts w:ascii="Times New Roman" w:hAnsi="Times New Roman"/>
          <w:i/>
          <w:iCs/>
          <w:sz w:val="24"/>
        </w:rPr>
        <w:t xml:space="preserve">Clough v Leahy </w:t>
      </w:r>
      <w:r w:rsidRPr="00CA4331">
        <w:rPr>
          <w:rFonts w:ascii="Times New Roman" w:hAnsi="Times New Roman"/>
          <w:sz w:val="24"/>
        </w:rPr>
        <w:t xml:space="preserve">(1904) 2 CLR 139 at 155-156. See also </w:t>
      </w:r>
      <w:r w:rsidRPr="00CA4331">
        <w:rPr>
          <w:rFonts w:ascii="Times New Roman" w:hAnsi="Times New Roman"/>
          <w:i/>
          <w:iCs/>
          <w:sz w:val="24"/>
        </w:rPr>
        <w:t>Re Residential Tenancies Tribunal (NSW); Ex parte Defence Housing Authority</w:t>
      </w:r>
      <w:r w:rsidRPr="00CA4331">
        <w:rPr>
          <w:rFonts w:ascii="Times New Roman" w:hAnsi="Times New Roman"/>
          <w:sz w:val="24"/>
        </w:rPr>
        <w:t xml:space="preserve"> (1997) 190 CLR 410 at 427-428.</w:t>
      </w:r>
    </w:p>
  </w:footnote>
  <w:footnote w:id="227">
    <w:p w14:paraId="547A3272"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r w:rsidRPr="00CA4331">
        <w:rPr>
          <w:rFonts w:ascii="Times New Roman" w:hAnsi="Times New Roman"/>
          <w:i/>
          <w:iCs/>
          <w:sz w:val="24"/>
        </w:rPr>
        <w:t>Kruger v The Commonwealth</w:t>
      </w:r>
      <w:r w:rsidRPr="00CA4331">
        <w:rPr>
          <w:rFonts w:ascii="Times New Roman" w:hAnsi="Times New Roman"/>
          <w:sz w:val="24"/>
        </w:rPr>
        <w:t xml:space="preserve"> (1997) 190 CLR 1 at 44</w:t>
      </w:r>
      <w:r>
        <w:rPr>
          <w:rFonts w:ascii="Times New Roman" w:hAnsi="Times New Roman"/>
          <w:sz w:val="24"/>
        </w:rPr>
        <w:t>-</w:t>
      </w:r>
      <w:r w:rsidRPr="00CA4331">
        <w:rPr>
          <w:rFonts w:ascii="Times New Roman" w:hAnsi="Times New Roman"/>
          <w:sz w:val="24"/>
        </w:rPr>
        <w:t>45, 63</w:t>
      </w:r>
      <w:r>
        <w:rPr>
          <w:rFonts w:ascii="Times New Roman" w:hAnsi="Times New Roman"/>
          <w:sz w:val="24"/>
        </w:rPr>
        <w:t>-</w:t>
      </w:r>
      <w:r w:rsidRPr="00CA4331">
        <w:rPr>
          <w:rFonts w:ascii="Times New Roman" w:hAnsi="Times New Roman"/>
          <w:sz w:val="24"/>
        </w:rPr>
        <w:t>68,</w:t>
      </w:r>
      <w:r>
        <w:rPr>
          <w:rFonts w:ascii="Times New Roman" w:hAnsi="Times New Roman"/>
          <w:sz w:val="24"/>
        </w:rPr>
        <w:t xml:space="preserve"> </w:t>
      </w:r>
      <w:r w:rsidRPr="00CA4331">
        <w:rPr>
          <w:rFonts w:ascii="Times New Roman" w:hAnsi="Times New Roman"/>
          <w:sz w:val="24"/>
        </w:rPr>
        <w:t>142,</w:t>
      </w:r>
      <w:r>
        <w:rPr>
          <w:rFonts w:ascii="Times New Roman" w:hAnsi="Times New Roman"/>
          <w:sz w:val="24"/>
        </w:rPr>
        <w:t xml:space="preserve"> </w:t>
      </w:r>
      <w:r w:rsidRPr="00CA4331">
        <w:rPr>
          <w:rFonts w:ascii="Times New Roman" w:hAnsi="Times New Roman"/>
          <w:sz w:val="24"/>
        </w:rPr>
        <w:t>153</w:t>
      </w:r>
      <w:r>
        <w:rPr>
          <w:rFonts w:ascii="Times New Roman" w:hAnsi="Times New Roman"/>
          <w:sz w:val="24"/>
        </w:rPr>
        <w:t>-</w:t>
      </w:r>
      <w:r w:rsidRPr="00CA4331">
        <w:rPr>
          <w:rFonts w:ascii="Times New Roman" w:hAnsi="Times New Roman"/>
          <w:sz w:val="24"/>
        </w:rPr>
        <w:t>155.</w:t>
      </w:r>
    </w:p>
  </w:footnote>
  <w:footnote w:id="228">
    <w:p w14:paraId="6EEE326D"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r w:rsidRPr="00CA4331">
        <w:rPr>
          <w:rFonts w:ascii="Times New Roman" w:hAnsi="Times New Roman"/>
          <w:i/>
          <w:iCs/>
          <w:sz w:val="24"/>
        </w:rPr>
        <w:t xml:space="preserve">Palmer v Western Australia </w:t>
      </w:r>
      <w:r w:rsidRPr="00CA4331">
        <w:rPr>
          <w:rFonts w:ascii="Times New Roman" w:hAnsi="Times New Roman"/>
          <w:sz w:val="24"/>
        </w:rPr>
        <w:t>(2021) 274 CLR 286 at 300-301 [24].</w:t>
      </w:r>
    </w:p>
  </w:footnote>
  <w:footnote w:id="229">
    <w:p w14:paraId="431178D5"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r w:rsidRPr="00CA4331">
        <w:rPr>
          <w:rFonts w:ascii="Times New Roman" w:hAnsi="Times New Roman"/>
          <w:i/>
          <w:iCs/>
          <w:sz w:val="24"/>
        </w:rPr>
        <w:t>Leeth v The Commonwealth</w:t>
      </w:r>
      <w:r w:rsidRPr="00CA4331">
        <w:rPr>
          <w:rFonts w:ascii="Times New Roman" w:hAnsi="Times New Roman"/>
          <w:sz w:val="24"/>
        </w:rPr>
        <w:t xml:space="preserve"> (1992) 174 CLR 455 at 485</w:t>
      </w:r>
      <w:r>
        <w:rPr>
          <w:rFonts w:ascii="Times New Roman" w:hAnsi="Times New Roman"/>
          <w:sz w:val="24"/>
        </w:rPr>
        <w:t>-</w:t>
      </w:r>
      <w:r w:rsidRPr="00CA4331">
        <w:rPr>
          <w:rFonts w:ascii="Times New Roman" w:hAnsi="Times New Roman"/>
          <w:sz w:val="24"/>
        </w:rPr>
        <w:t>488.</w:t>
      </w:r>
    </w:p>
  </w:footnote>
  <w:footnote w:id="230">
    <w:p w14:paraId="10555953"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t xml:space="preserve">American Law Institute, </w:t>
      </w:r>
      <w:r w:rsidRPr="00CA4331">
        <w:rPr>
          <w:rFonts w:ascii="Times New Roman" w:hAnsi="Times New Roman"/>
          <w:i/>
          <w:iCs/>
          <w:sz w:val="24"/>
        </w:rPr>
        <w:t xml:space="preserve">Restatement (Second) of Torts </w:t>
      </w:r>
      <w:r w:rsidRPr="00CA4331">
        <w:rPr>
          <w:rFonts w:ascii="Times New Roman" w:hAnsi="Times New Roman"/>
          <w:sz w:val="24"/>
        </w:rPr>
        <w:t>(1979) at §895A (comment</w:t>
      </w:r>
      <w:r>
        <w:rPr>
          <w:rFonts w:ascii="Times New Roman" w:hAnsi="Times New Roman"/>
          <w:sz w:val="24"/>
        </w:rPr>
        <w:t> </w:t>
      </w:r>
      <w:r w:rsidRPr="00CA4331">
        <w:rPr>
          <w:rFonts w:ascii="Times New Roman" w:hAnsi="Times New Roman"/>
          <w:sz w:val="24"/>
        </w:rPr>
        <w:t>a), §895D (comment a).</w:t>
      </w:r>
    </w:p>
  </w:footnote>
  <w:footnote w:id="231">
    <w:p w14:paraId="355085BE"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i/>
          <w:iCs/>
          <w:sz w:val="24"/>
        </w:rPr>
        <w:tab/>
        <w:t xml:space="preserve">The Commonwealth v Mewett </w:t>
      </w:r>
      <w:r w:rsidRPr="00CA4331">
        <w:rPr>
          <w:rFonts w:ascii="Times New Roman" w:hAnsi="Times New Roman"/>
          <w:sz w:val="24"/>
        </w:rPr>
        <w:t xml:space="preserve">(1997) 191 CLR 471 at 551. See also </w:t>
      </w:r>
      <w:r w:rsidRPr="00CA4331">
        <w:rPr>
          <w:rFonts w:ascii="Times New Roman" w:hAnsi="Times New Roman"/>
          <w:i/>
          <w:iCs/>
          <w:sz w:val="24"/>
        </w:rPr>
        <w:t xml:space="preserve">Austral Pacific Group Ltd (In liq) v Airservices Australia </w:t>
      </w:r>
      <w:r w:rsidRPr="00CA4331">
        <w:rPr>
          <w:rFonts w:ascii="Times New Roman" w:hAnsi="Times New Roman"/>
          <w:sz w:val="24"/>
        </w:rPr>
        <w:t xml:space="preserve">(2000) 203 CLR 136 at 157 [59]; </w:t>
      </w:r>
      <w:r w:rsidRPr="00CA4331">
        <w:rPr>
          <w:rFonts w:ascii="Times New Roman" w:hAnsi="Times New Roman"/>
          <w:i/>
          <w:iCs/>
          <w:sz w:val="24"/>
        </w:rPr>
        <w:t>British American Tobacco Australia Ltd v Western Australia</w:t>
      </w:r>
      <w:r w:rsidRPr="00CA4331">
        <w:rPr>
          <w:rFonts w:ascii="Times New Roman" w:hAnsi="Times New Roman"/>
          <w:sz w:val="24"/>
        </w:rPr>
        <w:t xml:space="preserve"> (2003) 217 CLR 30 at 57-58 [59], 83 [142]; </w:t>
      </w:r>
      <w:r w:rsidRPr="00CA4331">
        <w:rPr>
          <w:rFonts w:ascii="Times New Roman" w:hAnsi="Times New Roman"/>
          <w:i/>
          <w:iCs/>
          <w:sz w:val="24"/>
        </w:rPr>
        <w:t>Blunden v The Commonwealth</w:t>
      </w:r>
      <w:r w:rsidRPr="00CA4331">
        <w:rPr>
          <w:rFonts w:ascii="Times New Roman" w:hAnsi="Times New Roman"/>
          <w:sz w:val="24"/>
        </w:rPr>
        <w:t xml:space="preserve"> (2003) 218 CLR 330 at 336 [9].</w:t>
      </w:r>
    </w:p>
  </w:footnote>
  <w:footnote w:id="232">
    <w:p w14:paraId="6D279387"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r>
      <w:r w:rsidRPr="00CA4331">
        <w:rPr>
          <w:rFonts w:ascii="Times New Roman" w:hAnsi="Times New Roman"/>
          <w:i/>
          <w:iCs/>
          <w:sz w:val="24"/>
        </w:rPr>
        <w:t xml:space="preserve">Chief Executive Officer, Aboriginal Areas Protection Authority v Director of National Parks </w:t>
      </w:r>
      <w:r w:rsidRPr="00CA4331">
        <w:rPr>
          <w:rFonts w:ascii="Times New Roman" w:hAnsi="Times New Roman"/>
          <w:sz w:val="24"/>
        </w:rPr>
        <w:t>(2024) 281 CLR 525 at 534-535 [11], 538 [21], 588-592 [176]-[185], 609 [244].</w:t>
      </w:r>
    </w:p>
  </w:footnote>
  <w:footnote w:id="233">
    <w:p w14:paraId="22538327" w14:textId="77777777" w:rsidR="009F6ECF" w:rsidRPr="00CA4331" w:rsidRDefault="009F6ECF" w:rsidP="00CA4331">
      <w:pPr>
        <w:pStyle w:val="FootnoteText"/>
        <w:spacing w:line="280" w:lineRule="exact"/>
        <w:ind w:right="0"/>
        <w:jc w:val="both"/>
        <w:rPr>
          <w:rFonts w:ascii="Times New Roman" w:hAnsi="Times New Roman"/>
          <w:sz w:val="24"/>
        </w:rPr>
      </w:pPr>
      <w:r w:rsidRPr="00CA4331">
        <w:rPr>
          <w:rStyle w:val="FootnoteReference"/>
          <w:rFonts w:ascii="Times New Roman" w:hAnsi="Times New Roman"/>
          <w:sz w:val="22"/>
          <w:vertAlign w:val="baseline"/>
        </w:rPr>
        <w:footnoteRef/>
      </w:r>
      <w:r w:rsidRPr="00CA4331">
        <w:rPr>
          <w:rFonts w:ascii="Times New Roman" w:hAnsi="Times New Roman"/>
          <w:sz w:val="24"/>
        </w:rPr>
        <w:t xml:space="preserve"> </w:t>
      </w:r>
      <w:r w:rsidRPr="00CA4331">
        <w:rPr>
          <w:rFonts w:ascii="Times New Roman" w:hAnsi="Times New Roman"/>
          <w:sz w:val="24"/>
        </w:rPr>
        <w:tab/>
        <w:t>(1997) 189 CLR 520 at 566.</w:t>
      </w:r>
    </w:p>
  </w:footnote>
  <w:footnote w:id="234">
    <w:p w14:paraId="2DD76672" w14:textId="77777777" w:rsidR="009F6ECF" w:rsidRPr="004C7595" w:rsidRDefault="009F6ECF" w:rsidP="004C7595">
      <w:pPr>
        <w:pStyle w:val="FootnoteText"/>
        <w:spacing w:line="280" w:lineRule="exact"/>
        <w:ind w:right="0"/>
        <w:jc w:val="both"/>
        <w:rPr>
          <w:rFonts w:ascii="Times New Roman" w:hAnsi="Times New Roman"/>
          <w:sz w:val="24"/>
        </w:rPr>
      </w:pPr>
      <w:r w:rsidRPr="004C7595">
        <w:rPr>
          <w:rStyle w:val="FootnoteReference"/>
          <w:rFonts w:ascii="Times New Roman" w:hAnsi="Times New Roman"/>
          <w:sz w:val="22"/>
          <w:vertAlign w:val="baseline"/>
        </w:rPr>
        <w:footnoteRef/>
      </w:r>
      <w:r w:rsidRPr="004C7595">
        <w:rPr>
          <w:rFonts w:ascii="Times New Roman" w:hAnsi="Times New Roman"/>
          <w:sz w:val="24"/>
        </w:rPr>
        <w:t xml:space="preserve"> </w:t>
      </w:r>
      <w:r w:rsidRPr="004C7595">
        <w:rPr>
          <w:rFonts w:ascii="Times New Roman" w:hAnsi="Times New Roman"/>
          <w:sz w:val="24"/>
        </w:rPr>
        <w:tab/>
        <w:t xml:space="preserve">See generally </w:t>
      </w:r>
      <w:r w:rsidRPr="004C7595">
        <w:rPr>
          <w:rFonts w:ascii="Times New Roman" w:hAnsi="Times New Roman"/>
          <w:i/>
          <w:iCs/>
          <w:sz w:val="24"/>
        </w:rPr>
        <w:t>NZYQ v Minister for Immigration, Citizenship and Multicultural Affairs</w:t>
      </w:r>
      <w:r w:rsidRPr="004C7595">
        <w:rPr>
          <w:rFonts w:ascii="Times New Roman" w:hAnsi="Times New Roman"/>
          <w:sz w:val="24"/>
        </w:rPr>
        <w:t xml:space="preserve"> (2023) 280 CLR 137.</w:t>
      </w:r>
    </w:p>
  </w:footnote>
  <w:footnote w:id="235">
    <w:p w14:paraId="3B81DFE2" w14:textId="77777777" w:rsidR="009F6ECF" w:rsidRPr="004C7595" w:rsidRDefault="009F6ECF" w:rsidP="004C7595">
      <w:pPr>
        <w:pStyle w:val="FootnoteText"/>
        <w:spacing w:line="280" w:lineRule="exact"/>
        <w:ind w:right="0"/>
        <w:jc w:val="both"/>
        <w:rPr>
          <w:rFonts w:ascii="Times New Roman" w:hAnsi="Times New Roman"/>
          <w:sz w:val="24"/>
        </w:rPr>
      </w:pPr>
      <w:r w:rsidRPr="004C7595">
        <w:rPr>
          <w:rStyle w:val="FootnoteReference"/>
          <w:rFonts w:ascii="Times New Roman" w:hAnsi="Times New Roman"/>
          <w:sz w:val="22"/>
          <w:vertAlign w:val="baseline"/>
        </w:rPr>
        <w:footnoteRef/>
      </w:r>
      <w:r w:rsidRPr="004C7595">
        <w:rPr>
          <w:rFonts w:ascii="Times New Roman" w:hAnsi="Times New Roman"/>
          <w:sz w:val="24"/>
        </w:rPr>
        <w:t xml:space="preserve"> </w:t>
      </w:r>
      <w:r w:rsidRPr="004C7595">
        <w:rPr>
          <w:rFonts w:ascii="Times New Roman" w:hAnsi="Times New Roman"/>
          <w:sz w:val="24"/>
        </w:rPr>
        <w:tab/>
        <w:t>[2001] 2 AC 19.</w:t>
      </w:r>
    </w:p>
  </w:footnote>
  <w:footnote w:id="236">
    <w:p w14:paraId="0076AAFC" w14:textId="77777777" w:rsidR="009F6ECF" w:rsidRPr="004C7595" w:rsidRDefault="009F6ECF" w:rsidP="004C7595">
      <w:pPr>
        <w:pStyle w:val="FootnoteText"/>
        <w:spacing w:line="280" w:lineRule="exact"/>
        <w:ind w:right="0"/>
        <w:jc w:val="both"/>
        <w:rPr>
          <w:rFonts w:ascii="Times New Roman" w:hAnsi="Times New Roman"/>
          <w:sz w:val="24"/>
        </w:rPr>
      </w:pPr>
      <w:r w:rsidRPr="004C7595">
        <w:rPr>
          <w:rStyle w:val="FootnoteReference"/>
          <w:rFonts w:ascii="Times New Roman" w:hAnsi="Times New Roman"/>
          <w:sz w:val="22"/>
          <w:vertAlign w:val="baseline"/>
        </w:rPr>
        <w:footnoteRef/>
      </w:r>
      <w:r w:rsidRPr="004C7595">
        <w:rPr>
          <w:rFonts w:ascii="Times New Roman" w:hAnsi="Times New Roman"/>
          <w:sz w:val="24"/>
        </w:rPr>
        <w:t xml:space="preserve"> </w:t>
      </w:r>
      <w:r w:rsidRPr="004C7595">
        <w:rPr>
          <w:rFonts w:ascii="Times New Roman" w:hAnsi="Times New Roman"/>
          <w:sz w:val="24"/>
        </w:rPr>
        <w:tab/>
      </w:r>
      <w:r w:rsidRPr="004C7595">
        <w:rPr>
          <w:rFonts w:ascii="Times New Roman" w:hAnsi="Times New Roman"/>
          <w:i/>
          <w:iCs/>
          <w:sz w:val="24"/>
        </w:rPr>
        <w:t>Evans [No 2]</w:t>
      </w:r>
      <w:r w:rsidRPr="004C7595">
        <w:rPr>
          <w:rFonts w:ascii="Times New Roman" w:hAnsi="Times New Roman"/>
          <w:sz w:val="24"/>
        </w:rPr>
        <w:t xml:space="preserve"> [2001] 2 AC 19 at 26.</w:t>
      </w:r>
    </w:p>
  </w:footnote>
  <w:footnote w:id="237">
    <w:p w14:paraId="638A3CC4" w14:textId="77777777" w:rsidR="009F6ECF" w:rsidRPr="004C7595" w:rsidRDefault="009F6ECF" w:rsidP="004C7595">
      <w:pPr>
        <w:pStyle w:val="FootnoteText"/>
        <w:spacing w:line="280" w:lineRule="exact"/>
        <w:ind w:right="0"/>
        <w:jc w:val="both"/>
        <w:rPr>
          <w:rFonts w:ascii="Times New Roman" w:hAnsi="Times New Roman"/>
          <w:sz w:val="24"/>
        </w:rPr>
      </w:pPr>
      <w:r w:rsidRPr="004C7595">
        <w:rPr>
          <w:rStyle w:val="FootnoteReference"/>
          <w:rFonts w:ascii="Times New Roman" w:hAnsi="Times New Roman"/>
          <w:sz w:val="22"/>
          <w:vertAlign w:val="baseline"/>
        </w:rPr>
        <w:footnoteRef/>
      </w:r>
      <w:r w:rsidRPr="004C7595">
        <w:rPr>
          <w:rFonts w:ascii="Times New Roman" w:hAnsi="Times New Roman"/>
          <w:sz w:val="24"/>
        </w:rPr>
        <w:t xml:space="preserve"> </w:t>
      </w:r>
      <w:r w:rsidRPr="004C7595">
        <w:rPr>
          <w:rFonts w:ascii="Times New Roman" w:hAnsi="Times New Roman"/>
          <w:sz w:val="24"/>
        </w:rPr>
        <w:tab/>
      </w:r>
      <w:r w:rsidRPr="004C7595">
        <w:rPr>
          <w:rFonts w:ascii="Times New Roman" w:hAnsi="Times New Roman"/>
          <w:i/>
          <w:iCs/>
          <w:sz w:val="24"/>
        </w:rPr>
        <w:t>Evans [No 2]</w:t>
      </w:r>
      <w:r w:rsidRPr="004C7595">
        <w:rPr>
          <w:rFonts w:ascii="Times New Roman" w:hAnsi="Times New Roman"/>
          <w:sz w:val="24"/>
        </w:rPr>
        <w:t xml:space="preserve"> [2001] 2 AC 19 at 26.</w:t>
      </w:r>
    </w:p>
  </w:footnote>
  <w:footnote w:id="238">
    <w:p w14:paraId="494A2663" w14:textId="77777777" w:rsidR="009F6ECF" w:rsidRPr="004C7595" w:rsidRDefault="009F6ECF" w:rsidP="004C7595">
      <w:pPr>
        <w:pStyle w:val="FootnoteText"/>
        <w:spacing w:line="280" w:lineRule="exact"/>
        <w:ind w:right="0"/>
        <w:jc w:val="both"/>
        <w:rPr>
          <w:rFonts w:ascii="Times New Roman" w:hAnsi="Times New Roman"/>
          <w:sz w:val="24"/>
        </w:rPr>
      </w:pPr>
      <w:r w:rsidRPr="004C7595">
        <w:rPr>
          <w:rStyle w:val="FootnoteReference"/>
          <w:rFonts w:ascii="Times New Roman" w:hAnsi="Times New Roman"/>
          <w:sz w:val="22"/>
          <w:vertAlign w:val="baseline"/>
        </w:rPr>
        <w:footnoteRef/>
      </w:r>
      <w:r w:rsidRPr="004C7595">
        <w:rPr>
          <w:rFonts w:ascii="Times New Roman" w:hAnsi="Times New Roman"/>
          <w:sz w:val="24"/>
        </w:rPr>
        <w:t xml:space="preserve"> </w:t>
      </w:r>
      <w:r w:rsidRPr="004C7595">
        <w:rPr>
          <w:rFonts w:ascii="Times New Roman" w:hAnsi="Times New Roman"/>
          <w:sz w:val="24"/>
        </w:rPr>
        <w:tab/>
      </w:r>
      <w:r w:rsidRPr="004C7595">
        <w:rPr>
          <w:rFonts w:ascii="Times New Roman" w:hAnsi="Times New Roman"/>
          <w:i/>
          <w:iCs/>
          <w:sz w:val="24"/>
        </w:rPr>
        <w:t>Evans [No 2]</w:t>
      </w:r>
      <w:r w:rsidRPr="004C7595">
        <w:rPr>
          <w:rFonts w:ascii="Times New Roman" w:hAnsi="Times New Roman"/>
          <w:sz w:val="24"/>
        </w:rPr>
        <w:t xml:space="preserve"> [2001] 2 AC 19 at 26.</w:t>
      </w:r>
    </w:p>
  </w:footnote>
  <w:footnote w:id="239">
    <w:p w14:paraId="3CAF7A95" w14:textId="77777777" w:rsidR="009F6ECF" w:rsidRPr="004C7595" w:rsidRDefault="009F6ECF" w:rsidP="004C7595">
      <w:pPr>
        <w:pStyle w:val="FootnoteText"/>
        <w:spacing w:line="280" w:lineRule="exact"/>
        <w:ind w:right="0"/>
        <w:jc w:val="both"/>
        <w:rPr>
          <w:rFonts w:ascii="Times New Roman" w:hAnsi="Times New Roman"/>
          <w:sz w:val="24"/>
        </w:rPr>
      </w:pPr>
      <w:r w:rsidRPr="004C7595">
        <w:rPr>
          <w:rStyle w:val="FootnoteReference"/>
          <w:rFonts w:ascii="Times New Roman" w:hAnsi="Times New Roman"/>
          <w:sz w:val="22"/>
          <w:vertAlign w:val="baseline"/>
        </w:rPr>
        <w:footnoteRef/>
      </w:r>
      <w:r w:rsidRPr="004C7595">
        <w:rPr>
          <w:rFonts w:ascii="Times New Roman" w:hAnsi="Times New Roman"/>
          <w:sz w:val="24"/>
        </w:rPr>
        <w:t xml:space="preserve"> </w:t>
      </w:r>
      <w:r w:rsidRPr="004C7595">
        <w:rPr>
          <w:rFonts w:ascii="Times New Roman" w:hAnsi="Times New Roman"/>
          <w:sz w:val="24"/>
        </w:rPr>
        <w:tab/>
        <w:t xml:space="preserve">See generally </w:t>
      </w:r>
      <w:r w:rsidRPr="004C7595">
        <w:rPr>
          <w:rFonts w:ascii="Times New Roman" w:hAnsi="Times New Roman"/>
          <w:i/>
          <w:iCs/>
          <w:sz w:val="24"/>
        </w:rPr>
        <w:t>Eshugbayi Eleko v Officer Administering the Government of Nigeria</w:t>
      </w:r>
      <w:r w:rsidRPr="004C7595">
        <w:rPr>
          <w:rFonts w:ascii="Times New Roman" w:hAnsi="Times New Roman"/>
          <w:sz w:val="24"/>
        </w:rPr>
        <w:t xml:space="preserve"> [1931] AC 662.</w:t>
      </w:r>
    </w:p>
  </w:footnote>
  <w:footnote w:id="240">
    <w:p w14:paraId="32FE7F12" w14:textId="77777777" w:rsidR="009F6ECF" w:rsidRPr="004C7595" w:rsidRDefault="009F6ECF" w:rsidP="004C7595">
      <w:pPr>
        <w:pStyle w:val="FootnoteText"/>
        <w:spacing w:line="280" w:lineRule="exact"/>
        <w:ind w:right="0"/>
        <w:jc w:val="both"/>
        <w:rPr>
          <w:rFonts w:ascii="Times New Roman" w:hAnsi="Times New Roman"/>
          <w:sz w:val="24"/>
        </w:rPr>
      </w:pPr>
      <w:r w:rsidRPr="004C7595">
        <w:rPr>
          <w:rStyle w:val="FootnoteReference"/>
          <w:rFonts w:ascii="Times New Roman" w:hAnsi="Times New Roman"/>
          <w:sz w:val="22"/>
          <w:vertAlign w:val="baseline"/>
        </w:rPr>
        <w:footnoteRef/>
      </w:r>
      <w:r w:rsidRPr="004C7595">
        <w:rPr>
          <w:rFonts w:ascii="Times New Roman" w:hAnsi="Times New Roman"/>
          <w:sz w:val="24"/>
        </w:rPr>
        <w:t xml:space="preserve"> </w:t>
      </w:r>
      <w:r w:rsidRPr="004C7595">
        <w:rPr>
          <w:rFonts w:ascii="Times New Roman" w:hAnsi="Times New Roman"/>
          <w:sz w:val="24"/>
        </w:rPr>
        <w:tab/>
        <w:t>[2001] 2 AC 19 at 28, 42.</w:t>
      </w:r>
    </w:p>
  </w:footnote>
  <w:footnote w:id="241">
    <w:p w14:paraId="685DA051" w14:textId="77777777" w:rsidR="009F6ECF" w:rsidRPr="004C7595" w:rsidRDefault="009F6ECF" w:rsidP="004C7595">
      <w:pPr>
        <w:pStyle w:val="FootnoteText"/>
        <w:spacing w:line="280" w:lineRule="exact"/>
        <w:ind w:right="0"/>
        <w:jc w:val="both"/>
        <w:rPr>
          <w:rFonts w:ascii="Times New Roman" w:hAnsi="Times New Roman"/>
          <w:sz w:val="24"/>
        </w:rPr>
      </w:pPr>
      <w:r w:rsidRPr="004C7595">
        <w:rPr>
          <w:rStyle w:val="FootnoteReference"/>
          <w:rFonts w:ascii="Times New Roman" w:hAnsi="Times New Roman"/>
          <w:sz w:val="22"/>
          <w:vertAlign w:val="baseline"/>
        </w:rPr>
        <w:footnoteRef/>
      </w:r>
      <w:r w:rsidRPr="004C7595">
        <w:rPr>
          <w:rFonts w:ascii="Times New Roman" w:hAnsi="Times New Roman"/>
          <w:sz w:val="24"/>
        </w:rPr>
        <w:t xml:space="preserve"> </w:t>
      </w:r>
      <w:r w:rsidRPr="004C7595">
        <w:rPr>
          <w:rFonts w:ascii="Times New Roman" w:hAnsi="Times New Roman"/>
          <w:sz w:val="24"/>
        </w:rPr>
        <w:tab/>
      </w:r>
      <w:r w:rsidRPr="004C7595">
        <w:rPr>
          <w:rFonts w:ascii="Times New Roman" w:hAnsi="Times New Roman"/>
          <w:i/>
          <w:iCs/>
          <w:sz w:val="24"/>
        </w:rPr>
        <w:t>Eshugbayi Eleko v Officer Administering the Government of Nigeria</w:t>
      </w:r>
      <w:r w:rsidRPr="004C7595">
        <w:rPr>
          <w:rFonts w:ascii="Times New Roman" w:hAnsi="Times New Roman"/>
          <w:sz w:val="24"/>
        </w:rPr>
        <w:t xml:space="preserve"> [1931] AC 662 at 670.</w:t>
      </w:r>
    </w:p>
  </w:footnote>
  <w:footnote w:id="242">
    <w:p w14:paraId="38A7C930"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t>(2023) 280 CLR 137.</w:t>
      </w:r>
    </w:p>
  </w:footnote>
  <w:footnote w:id="243">
    <w:p w14:paraId="17DDFD19"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t>(2004) 219 CLR 562.</w:t>
      </w:r>
    </w:p>
  </w:footnote>
  <w:footnote w:id="244">
    <w:p w14:paraId="3A436693"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t>(2025) 99 ALJR 396; 421 ALR 376.</w:t>
      </w:r>
    </w:p>
  </w:footnote>
  <w:footnote w:id="245">
    <w:p w14:paraId="46C2DB9C"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t>(2025) 99 ALJR 396 at 406 [2], 407-408 [12], 418 [76], 424-425 [112]; 421 ALR 376 at 379, 381, 394-395, 403-404.</w:t>
      </w:r>
    </w:p>
  </w:footnote>
  <w:footnote w:id="246">
    <w:p w14:paraId="3C6FD114"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t>(2025) 99 ALJR 396 at 408 [13], 433 [149], 434 [156]; 421 ALR 376 at 381, 415, 417.</w:t>
      </w:r>
    </w:p>
  </w:footnote>
  <w:footnote w:id="247">
    <w:p w14:paraId="28B4CB34"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t xml:space="preserve">See, eg, </w:t>
      </w:r>
      <w:r w:rsidRPr="0066441E">
        <w:rPr>
          <w:rFonts w:ascii="Times New Roman" w:hAnsi="Times New Roman"/>
          <w:i/>
          <w:iCs/>
          <w:sz w:val="24"/>
        </w:rPr>
        <w:t>High Court of Australia Act 1979</w:t>
      </w:r>
      <w:r w:rsidRPr="0066441E">
        <w:rPr>
          <w:rFonts w:ascii="Times New Roman" w:hAnsi="Times New Roman"/>
          <w:sz w:val="24"/>
        </w:rPr>
        <w:t xml:space="preserve"> (Cth), s 11 and Schedule.</w:t>
      </w:r>
    </w:p>
  </w:footnote>
  <w:footnote w:id="248">
    <w:p w14:paraId="3AE442B0"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t>(2025) 99 ALJR 396 at 424-425 [112]-[113]; 421 ALR 376 at 403-404.</w:t>
      </w:r>
    </w:p>
  </w:footnote>
  <w:footnote w:id="249">
    <w:p w14:paraId="61DF27A3"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t>(2025) 99 ALJR 396 at 433 [150]; 421 ALR 376 at 415.</w:t>
      </w:r>
    </w:p>
  </w:footnote>
  <w:footnote w:id="250">
    <w:p w14:paraId="49007FEA"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t xml:space="preserve">(2025) 99 ALJR 396 at 406 [1]; 421 ALR 376 at 379. </w:t>
      </w:r>
    </w:p>
  </w:footnote>
  <w:footnote w:id="251">
    <w:p w14:paraId="33381CD5"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r>
      <w:r w:rsidRPr="0066441E">
        <w:rPr>
          <w:rFonts w:ascii="Times New Roman" w:hAnsi="Times New Roman"/>
          <w:i/>
          <w:iCs/>
          <w:sz w:val="24"/>
        </w:rPr>
        <w:t>Strickland v Rocla Concrete Pipes Ltd</w:t>
      </w:r>
      <w:r w:rsidRPr="0066441E">
        <w:rPr>
          <w:rFonts w:ascii="Times New Roman" w:hAnsi="Times New Roman"/>
          <w:sz w:val="24"/>
        </w:rPr>
        <w:t xml:space="preserve"> (1971) 124 CLR 468 at 490.</w:t>
      </w:r>
    </w:p>
  </w:footnote>
  <w:footnote w:id="252">
    <w:p w14:paraId="0AB6F5A4"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r>
      <w:r w:rsidRPr="0066441E">
        <w:rPr>
          <w:rFonts w:ascii="Times New Roman" w:hAnsi="Times New Roman"/>
          <w:i/>
          <w:iCs/>
          <w:sz w:val="24"/>
        </w:rPr>
        <w:t>Strickland v Rocla Concrete Pipes Ltd</w:t>
      </w:r>
      <w:r w:rsidRPr="0066441E">
        <w:rPr>
          <w:rFonts w:ascii="Times New Roman" w:hAnsi="Times New Roman"/>
          <w:sz w:val="24"/>
        </w:rPr>
        <w:t xml:space="preserve"> (1971) 124 CLR 468 at 490, quoting </w:t>
      </w:r>
      <w:r w:rsidRPr="0066441E">
        <w:rPr>
          <w:rFonts w:ascii="Times New Roman" w:hAnsi="Times New Roman"/>
          <w:i/>
          <w:iCs/>
          <w:sz w:val="24"/>
        </w:rPr>
        <w:t>R v Burgess; Ex parte Henry</w:t>
      </w:r>
      <w:r w:rsidRPr="0066441E">
        <w:rPr>
          <w:rFonts w:ascii="Times New Roman" w:hAnsi="Times New Roman"/>
          <w:sz w:val="24"/>
        </w:rPr>
        <w:t xml:space="preserve"> (1936) 55 CLR 608 at 669.</w:t>
      </w:r>
    </w:p>
  </w:footnote>
  <w:footnote w:id="253">
    <w:p w14:paraId="27FA5B63"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r>
      <w:r w:rsidRPr="0066441E">
        <w:rPr>
          <w:rFonts w:ascii="Times New Roman" w:hAnsi="Times New Roman"/>
          <w:i/>
          <w:iCs/>
          <w:sz w:val="24"/>
        </w:rPr>
        <w:t>Mann v Paterson Constructions Pty Ltd</w:t>
      </w:r>
      <w:r w:rsidRPr="0066441E">
        <w:rPr>
          <w:rFonts w:ascii="Times New Roman" w:hAnsi="Times New Roman"/>
          <w:sz w:val="24"/>
        </w:rPr>
        <w:t xml:space="preserve"> (2019) 267 CLR 560 at 598 [79], quoting Jordan, </w:t>
      </w:r>
      <w:r w:rsidRPr="0066441E">
        <w:rPr>
          <w:rFonts w:ascii="Times New Roman" w:hAnsi="Times New Roman"/>
          <w:i/>
          <w:iCs/>
          <w:sz w:val="24"/>
        </w:rPr>
        <w:t>Appreciations</w:t>
      </w:r>
      <w:r w:rsidRPr="0066441E">
        <w:rPr>
          <w:rFonts w:ascii="Times New Roman" w:hAnsi="Times New Roman"/>
          <w:sz w:val="24"/>
        </w:rPr>
        <w:t xml:space="preserve"> (1950) at 58-59.</w:t>
      </w:r>
    </w:p>
  </w:footnote>
  <w:footnote w:id="254">
    <w:p w14:paraId="4A90B164"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r>
      <w:r w:rsidRPr="0066441E">
        <w:rPr>
          <w:rFonts w:ascii="Times New Roman" w:hAnsi="Times New Roman"/>
          <w:i/>
          <w:iCs/>
          <w:sz w:val="24"/>
        </w:rPr>
        <w:t>Mann v Paterson Constructions Pty Ltd</w:t>
      </w:r>
      <w:r w:rsidRPr="0066441E">
        <w:rPr>
          <w:rFonts w:ascii="Times New Roman" w:hAnsi="Times New Roman"/>
          <w:sz w:val="24"/>
        </w:rPr>
        <w:t xml:space="preserve"> (2019) 267 CLR 560 at 598 [80], citing Holmes, </w:t>
      </w:r>
      <w:r w:rsidRPr="0066441E">
        <w:rPr>
          <w:rFonts w:ascii="Times New Roman" w:hAnsi="Times New Roman"/>
          <w:i/>
          <w:iCs/>
          <w:sz w:val="24"/>
        </w:rPr>
        <w:t>The Common Law</w:t>
      </w:r>
      <w:r w:rsidRPr="0066441E">
        <w:rPr>
          <w:rFonts w:ascii="Times New Roman" w:hAnsi="Times New Roman"/>
          <w:sz w:val="24"/>
        </w:rPr>
        <w:t xml:space="preserve"> (1881) at 1.</w:t>
      </w:r>
    </w:p>
  </w:footnote>
  <w:footnote w:id="255">
    <w:p w14:paraId="2BF22DA9"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r>
      <w:r w:rsidRPr="0066441E">
        <w:rPr>
          <w:rFonts w:ascii="Times New Roman" w:hAnsi="Times New Roman"/>
          <w:i/>
          <w:iCs/>
          <w:sz w:val="24"/>
        </w:rPr>
        <w:t>Mann v Paterson Constructions Pty Ltd</w:t>
      </w:r>
      <w:r w:rsidRPr="0066441E">
        <w:rPr>
          <w:rFonts w:ascii="Times New Roman" w:hAnsi="Times New Roman"/>
          <w:sz w:val="24"/>
        </w:rPr>
        <w:t xml:space="preserve"> (2019) 267 CLR 560 at 598 [79].</w:t>
      </w:r>
    </w:p>
  </w:footnote>
  <w:footnote w:id="256">
    <w:p w14:paraId="04CE6831"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r>
      <w:r w:rsidRPr="0066441E">
        <w:rPr>
          <w:rFonts w:ascii="Times New Roman" w:hAnsi="Times New Roman"/>
          <w:i/>
          <w:iCs/>
          <w:sz w:val="24"/>
        </w:rPr>
        <w:t>Mineralogy Pty Ltd v Western Australia</w:t>
      </w:r>
      <w:r w:rsidRPr="0066441E">
        <w:rPr>
          <w:rFonts w:ascii="Times New Roman" w:hAnsi="Times New Roman"/>
          <w:sz w:val="24"/>
        </w:rPr>
        <w:t xml:space="preserve"> (2021) 274 CLR 219 at 248 [58], quoting </w:t>
      </w:r>
      <w:r w:rsidRPr="0066441E">
        <w:rPr>
          <w:rFonts w:ascii="Times New Roman" w:hAnsi="Times New Roman"/>
          <w:i/>
          <w:iCs/>
          <w:sz w:val="24"/>
        </w:rPr>
        <w:t>Clubb v Edwards</w:t>
      </w:r>
      <w:r w:rsidRPr="0066441E">
        <w:rPr>
          <w:rFonts w:ascii="Times New Roman" w:hAnsi="Times New Roman"/>
          <w:sz w:val="24"/>
        </w:rPr>
        <w:t xml:space="preserve"> (2019) 267 CLR 171 at 217 [137].</w:t>
      </w:r>
    </w:p>
  </w:footnote>
  <w:footnote w:id="257">
    <w:p w14:paraId="7D7FD153"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t xml:space="preserve">See, eg, (2025) 99 ALJR 396 at 406 [2]-[3], 407-408 [12], 417-418 [75]-[76], 423 [100], 424-425 [112]-[113]; 421 ALR 376 at 379, 381, 394-395, 401, 403-404. </w:t>
      </w:r>
    </w:p>
  </w:footnote>
  <w:footnote w:id="258">
    <w:p w14:paraId="2B8E5FD4"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t xml:space="preserve">(2025) 99 ALJR 396 at 428 [128]; 421 ALR 376 at 408, quoting </w:t>
      </w:r>
      <w:r w:rsidRPr="0066441E">
        <w:rPr>
          <w:rFonts w:ascii="Times New Roman" w:hAnsi="Times New Roman"/>
          <w:i/>
          <w:iCs/>
          <w:sz w:val="24"/>
        </w:rPr>
        <w:t>Commissioner for Railways (NSW) v Cavanough</w:t>
      </w:r>
      <w:r w:rsidRPr="0066441E">
        <w:rPr>
          <w:rFonts w:ascii="Times New Roman" w:hAnsi="Times New Roman"/>
          <w:sz w:val="24"/>
        </w:rPr>
        <w:t xml:space="preserve"> (1935) 53 CLR 220 at 225.</w:t>
      </w:r>
    </w:p>
  </w:footnote>
  <w:footnote w:id="259">
    <w:p w14:paraId="0FFF1977"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t>(2025) 99 ALJR 396 at 428 [128]; 421 ALR 376 at 408</w:t>
      </w:r>
      <w:r w:rsidRPr="0066441E" w:rsidDel="00BE6FFC">
        <w:rPr>
          <w:rFonts w:ascii="Times New Roman" w:hAnsi="Times New Roman"/>
          <w:sz w:val="24"/>
        </w:rPr>
        <w:t>,</w:t>
      </w:r>
      <w:r w:rsidRPr="0066441E">
        <w:rPr>
          <w:rFonts w:ascii="Times New Roman" w:hAnsi="Times New Roman"/>
          <w:sz w:val="24"/>
        </w:rPr>
        <w:t xml:space="preserve"> quoting </w:t>
      </w:r>
      <w:r w:rsidRPr="0066441E">
        <w:rPr>
          <w:rFonts w:ascii="Times New Roman" w:hAnsi="Times New Roman"/>
          <w:i/>
          <w:iCs/>
          <w:sz w:val="24"/>
        </w:rPr>
        <w:t>Kable v New South Wales</w:t>
      </w:r>
      <w:r w:rsidRPr="0066441E">
        <w:rPr>
          <w:rFonts w:ascii="Times New Roman" w:hAnsi="Times New Roman"/>
          <w:sz w:val="24"/>
        </w:rPr>
        <w:t xml:space="preserve"> (2012) 293 ALR 719 at 728 [27], 730 [35].</w:t>
      </w:r>
    </w:p>
  </w:footnote>
  <w:footnote w:id="260">
    <w:p w14:paraId="4880AEB7"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t>See, eg, (2025) 99 ALJR 396 at 429 [132]-[133], 433 [149]-[151], 434 [153]-[156]; 421 ALR 376 at 410, 415-417.</w:t>
      </w:r>
    </w:p>
  </w:footnote>
  <w:footnote w:id="261">
    <w:p w14:paraId="0BBB7D13"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t>(2025) 99 ALJR 396 at 429 [132]; 421 ALR 376 at 410.</w:t>
      </w:r>
    </w:p>
  </w:footnote>
  <w:footnote w:id="262">
    <w:p w14:paraId="32B9E62B"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t xml:space="preserve">See, eg, </w:t>
      </w:r>
      <w:r w:rsidRPr="0066441E">
        <w:rPr>
          <w:rFonts w:ascii="Times New Roman" w:hAnsi="Times New Roman"/>
          <w:i/>
          <w:iCs/>
          <w:sz w:val="24"/>
        </w:rPr>
        <w:t xml:space="preserve">Rinehart v Hancock Prospecting Pty Ltd </w:t>
      </w:r>
      <w:r w:rsidRPr="0066441E">
        <w:rPr>
          <w:rFonts w:ascii="Times New Roman" w:hAnsi="Times New Roman"/>
          <w:sz w:val="24"/>
        </w:rPr>
        <w:t xml:space="preserve">(2019) 267 CLR 514 at 546 [78]; </w:t>
      </w:r>
      <w:r w:rsidRPr="0066441E">
        <w:rPr>
          <w:rFonts w:ascii="Times New Roman" w:hAnsi="Times New Roman"/>
          <w:i/>
          <w:iCs/>
          <w:sz w:val="24"/>
        </w:rPr>
        <w:t>Mallonland Pty Ltd v Advanta Seeds Pty Ltd</w:t>
      </w:r>
      <w:r w:rsidRPr="0066441E">
        <w:rPr>
          <w:rFonts w:ascii="Times New Roman" w:hAnsi="Times New Roman"/>
          <w:sz w:val="24"/>
        </w:rPr>
        <w:t xml:space="preserve"> (2024) 98 ALJR 956 at 967 [37]; 418 ALR 639 at 649.</w:t>
      </w:r>
    </w:p>
  </w:footnote>
  <w:footnote w:id="263">
    <w:p w14:paraId="20BFD62A"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t xml:space="preserve">See, eg, </w:t>
      </w:r>
      <w:r w:rsidRPr="0066441E">
        <w:rPr>
          <w:rFonts w:ascii="Times New Roman" w:hAnsi="Times New Roman"/>
          <w:i/>
          <w:iCs/>
          <w:sz w:val="24"/>
        </w:rPr>
        <w:t>Breen v Williams</w:t>
      </w:r>
      <w:r w:rsidRPr="0066441E">
        <w:rPr>
          <w:rFonts w:ascii="Times New Roman" w:hAnsi="Times New Roman"/>
          <w:sz w:val="24"/>
        </w:rPr>
        <w:t xml:space="preserve"> (1996) 186 CLR 71 at 115.</w:t>
      </w:r>
    </w:p>
  </w:footnote>
  <w:footnote w:id="264">
    <w:p w14:paraId="7A87DB3A"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r>
      <w:r w:rsidRPr="0066441E">
        <w:rPr>
          <w:rFonts w:ascii="Times New Roman" w:hAnsi="Times New Roman"/>
          <w:i/>
          <w:iCs/>
          <w:sz w:val="24"/>
        </w:rPr>
        <w:t>Australian Communist Party v The Commonwealth</w:t>
      </w:r>
      <w:r w:rsidRPr="0066441E">
        <w:rPr>
          <w:rFonts w:ascii="Times New Roman" w:hAnsi="Times New Roman"/>
          <w:sz w:val="24"/>
        </w:rPr>
        <w:t xml:space="preserve"> (1951) 83 CLR 1 at 193, quoted in </w:t>
      </w:r>
      <w:r w:rsidRPr="0066441E">
        <w:rPr>
          <w:rFonts w:ascii="Times New Roman" w:hAnsi="Times New Roman"/>
          <w:i/>
          <w:iCs/>
          <w:sz w:val="24"/>
        </w:rPr>
        <w:t>Plaintiff S157/2002 v The Commonwealth</w:t>
      </w:r>
      <w:r w:rsidRPr="0066441E">
        <w:rPr>
          <w:rFonts w:ascii="Times New Roman" w:hAnsi="Times New Roman"/>
          <w:sz w:val="24"/>
        </w:rPr>
        <w:t xml:space="preserve"> (2003) 211 CLR 476 at 513 [103] and </w:t>
      </w:r>
      <w:r w:rsidRPr="0066441E">
        <w:rPr>
          <w:rFonts w:ascii="Times New Roman" w:hAnsi="Times New Roman"/>
          <w:i/>
          <w:iCs/>
          <w:sz w:val="24"/>
        </w:rPr>
        <w:t>Graham v Minister for Immigration and Border Protection</w:t>
      </w:r>
      <w:r w:rsidRPr="0066441E">
        <w:rPr>
          <w:rFonts w:ascii="Times New Roman" w:hAnsi="Times New Roman"/>
          <w:sz w:val="24"/>
        </w:rPr>
        <w:t xml:space="preserve"> (2017) 263 CLR 1 at 24 [40].</w:t>
      </w:r>
    </w:p>
  </w:footnote>
  <w:footnote w:id="265">
    <w:p w14:paraId="48F23555"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t>(2013) 252 CLR 118.</w:t>
      </w:r>
    </w:p>
  </w:footnote>
  <w:footnote w:id="266">
    <w:p w14:paraId="0EF4E210"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r>
      <w:r w:rsidRPr="0066441E">
        <w:rPr>
          <w:rFonts w:ascii="Times New Roman" w:hAnsi="Times New Roman"/>
          <w:i/>
          <w:iCs/>
          <w:sz w:val="24"/>
        </w:rPr>
        <w:t>Kable (No 2)</w:t>
      </w:r>
      <w:r w:rsidRPr="0066441E">
        <w:rPr>
          <w:rFonts w:ascii="Times New Roman" w:hAnsi="Times New Roman"/>
          <w:sz w:val="24"/>
        </w:rPr>
        <w:t xml:space="preserve"> (2013) 252 CLR 118 at 133 [33].</w:t>
      </w:r>
    </w:p>
  </w:footnote>
  <w:footnote w:id="267">
    <w:p w14:paraId="63912DAB"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r>
      <w:r w:rsidRPr="0066441E">
        <w:rPr>
          <w:rFonts w:ascii="Times New Roman" w:hAnsi="Times New Roman"/>
          <w:i/>
          <w:iCs/>
          <w:sz w:val="24"/>
        </w:rPr>
        <w:t>Kable (No 2)</w:t>
      </w:r>
      <w:r w:rsidRPr="0066441E">
        <w:rPr>
          <w:rFonts w:ascii="Times New Roman" w:hAnsi="Times New Roman"/>
          <w:sz w:val="24"/>
        </w:rPr>
        <w:t xml:space="preserve"> (2013) 252 CLR 118 at 134 [34] (emphasis in original).</w:t>
      </w:r>
    </w:p>
  </w:footnote>
  <w:footnote w:id="268">
    <w:p w14:paraId="5391D941"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r>
      <w:r w:rsidRPr="0066441E">
        <w:rPr>
          <w:rFonts w:ascii="Times New Roman" w:hAnsi="Times New Roman"/>
          <w:i/>
          <w:iCs/>
          <w:sz w:val="24"/>
        </w:rPr>
        <w:t>Marbury v Madison</w:t>
      </w:r>
      <w:r w:rsidRPr="0066441E">
        <w:rPr>
          <w:rFonts w:ascii="Times New Roman" w:hAnsi="Times New Roman"/>
          <w:sz w:val="24"/>
        </w:rPr>
        <w:t xml:space="preserve"> (1803) 5 US 137 at 177.</w:t>
      </w:r>
    </w:p>
  </w:footnote>
  <w:footnote w:id="269">
    <w:p w14:paraId="1D486E2E"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r>
      <w:r w:rsidRPr="0066441E">
        <w:rPr>
          <w:rFonts w:ascii="Times New Roman" w:hAnsi="Times New Roman"/>
          <w:i/>
          <w:iCs/>
          <w:sz w:val="24"/>
        </w:rPr>
        <w:t xml:space="preserve">Graham v Minister for Immigration and Border Protection </w:t>
      </w:r>
      <w:r w:rsidRPr="0066441E">
        <w:rPr>
          <w:rFonts w:ascii="Times New Roman" w:hAnsi="Times New Roman"/>
          <w:sz w:val="24"/>
        </w:rPr>
        <w:t>(2017) 263 CLR 1 at 24 [39].</w:t>
      </w:r>
    </w:p>
  </w:footnote>
  <w:footnote w:id="270">
    <w:p w14:paraId="7EB78CD6"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r>
      <w:r w:rsidRPr="0066441E">
        <w:rPr>
          <w:rFonts w:ascii="Times New Roman" w:hAnsi="Times New Roman"/>
          <w:i/>
          <w:iCs/>
          <w:sz w:val="24"/>
        </w:rPr>
        <w:t>Ha v New South Wales</w:t>
      </w:r>
      <w:r w:rsidRPr="0066441E">
        <w:rPr>
          <w:rFonts w:ascii="Times New Roman" w:hAnsi="Times New Roman"/>
          <w:sz w:val="24"/>
        </w:rPr>
        <w:t xml:space="preserve"> (1997) 189 CLR 465 at 503-504.</w:t>
      </w:r>
    </w:p>
  </w:footnote>
  <w:footnote w:id="271">
    <w:p w14:paraId="62A2DB6F"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t xml:space="preserve">See, eg, </w:t>
      </w:r>
      <w:r w:rsidRPr="0066441E">
        <w:rPr>
          <w:rFonts w:ascii="Times New Roman" w:hAnsi="Times New Roman"/>
          <w:i/>
          <w:iCs/>
          <w:sz w:val="24"/>
        </w:rPr>
        <w:t>High Court of Australia Act 1979</w:t>
      </w:r>
      <w:r w:rsidRPr="0066441E">
        <w:rPr>
          <w:rFonts w:ascii="Times New Roman" w:hAnsi="Times New Roman"/>
          <w:sz w:val="24"/>
        </w:rPr>
        <w:t xml:space="preserve"> (Cth), s 11 and Schedule.</w:t>
      </w:r>
    </w:p>
  </w:footnote>
  <w:footnote w:id="272">
    <w:p w14:paraId="1CC92E88"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r>
      <w:r w:rsidRPr="0066441E">
        <w:rPr>
          <w:rFonts w:ascii="Times New Roman" w:hAnsi="Times New Roman"/>
          <w:i/>
          <w:iCs/>
          <w:sz w:val="24"/>
        </w:rPr>
        <w:t>YBFZ v Minister for Immigration, Citizenship and Multicultural Affairs</w:t>
      </w:r>
      <w:r w:rsidRPr="0066441E">
        <w:rPr>
          <w:rFonts w:ascii="Times New Roman" w:hAnsi="Times New Roman"/>
          <w:sz w:val="24"/>
        </w:rPr>
        <w:t xml:space="preserve"> (2024) 99 ALJR 1 at 11 [12]; 419 ALR 457 at 466.</w:t>
      </w:r>
    </w:p>
  </w:footnote>
  <w:footnote w:id="273">
    <w:p w14:paraId="6D0ADEE3"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r>
      <w:r w:rsidRPr="0066441E">
        <w:rPr>
          <w:rFonts w:ascii="Times New Roman" w:hAnsi="Times New Roman"/>
          <w:i/>
          <w:iCs/>
          <w:sz w:val="24"/>
        </w:rPr>
        <w:t>Constitution</w:t>
      </w:r>
      <w:r w:rsidRPr="0066441E">
        <w:rPr>
          <w:rFonts w:ascii="Times New Roman" w:hAnsi="Times New Roman"/>
          <w:sz w:val="24"/>
        </w:rPr>
        <w:t>, s 51.</w:t>
      </w:r>
    </w:p>
  </w:footnote>
  <w:footnote w:id="274">
    <w:p w14:paraId="55158F3E"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r>
      <w:r w:rsidRPr="0066441E">
        <w:rPr>
          <w:rFonts w:ascii="Times New Roman" w:hAnsi="Times New Roman"/>
          <w:i/>
          <w:iCs/>
          <w:sz w:val="24"/>
        </w:rPr>
        <w:t>Constitution</w:t>
      </w:r>
      <w:r w:rsidRPr="0066441E">
        <w:rPr>
          <w:rFonts w:ascii="Times New Roman" w:hAnsi="Times New Roman"/>
          <w:sz w:val="24"/>
        </w:rPr>
        <w:t>, s 61.</w:t>
      </w:r>
    </w:p>
  </w:footnote>
  <w:footnote w:id="275">
    <w:p w14:paraId="37252334"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r>
      <w:r w:rsidRPr="0066441E">
        <w:rPr>
          <w:rFonts w:ascii="Times New Roman" w:hAnsi="Times New Roman"/>
          <w:i/>
          <w:iCs/>
          <w:sz w:val="24"/>
        </w:rPr>
        <w:t>Constitution</w:t>
      </w:r>
      <w:r w:rsidRPr="0066441E">
        <w:rPr>
          <w:rFonts w:ascii="Times New Roman" w:hAnsi="Times New Roman"/>
          <w:sz w:val="24"/>
        </w:rPr>
        <w:t>, s 42 and Schedule.</w:t>
      </w:r>
    </w:p>
  </w:footnote>
  <w:footnote w:id="276">
    <w:p w14:paraId="26C44806"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r>
      <w:r w:rsidRPr="0066441E">
        <w:rPr>
          <w:rFonts w:ascii="Times New Roman" w:hAnsi="Times New Roman"/>
          <w:i/>
          <w:iCs/>
          <w:sz w:val="24"/>
        </w:rPr>
        <w:t>Constitution</w:t>
      </w:r>
      <w:r w:rsidRPr="0066441E">
        <w:rPr>
          <w:rFonts w:ascii="Times New Roman" w:hAnsi="Times New Roman"/>
          <w:sz w:val="24"/>
        </w:rPr>
        <w:t>, s 51.</w:t>
      </w:r>
    </w:p>
  </w:footnote>
  <w:footnote w:id="277">
    <w:p w14:paraId="530BE89E"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r>
      <w:r w:rsidRPr="0066441E">
        <w:rPr>
          <w:rFonts w:ascii="Times New Roman" w:hAnsi="Times New Roman"/>
          <w:i/>
          <w:iCs/>
          <w:sz w:val="24"/>
        </w:rPr>
        <w:t>Judiciary Act 1903</w:t>
      </w:r>
      <w:r w:rsidRPr="0066441E">
        <w:rPr>
          <w:rFonts w:ascii="Times New Roman" w:hAnsi="Times New Roman"/>
          <w:sz w:val="24"/>
        </w:rPr>
        <w:t xml:space="preserve"> (Cth), </w:t>
      </w:r>
      <w:r w:rsidRPr="0066441E" w:rsidDel="00984351">
        <w:rPr>
          <w:rFonts w:ascii="Times New Roman" w:hAnsi="Times New Roman"/>
          <w:sz w:val="24"/>
        </w:rPr>
        <w:t>s</w:t>
      </w:r>
      <w:r w:rsidRPr="0066441E">
        <w:rPr>
          <w:rFonts w:ascii="Times New Roman" w:hAnsi="Times New Roman"/>
          <w:sz w:val="24"/>
        </w:rPr>
        <w:t> 38(c) and (d), Pt IX.</w:t>
      </w:r>
    </w:p>
  </w:footnote>
  <w:footnote w:id="278">
    <w:p w14:paraId="0AE7D875"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t xml:space="preserve">Pursuant to both ss 189(1) and 196(1) of the </w:t>
      </w:r>
      <w:r w:rsidRPr="0066441E">
        <w:rPr>
          <w:rFonts w:ascii="Times New Roman" w:hAnsi="Times New Roman"/>
          <w:i/>
          <w:iCs/>
          <w:sz w:val="24"/>
        </w:rPr>
        <w:t>Migration Act</w:t>
      </w:r>
      <w:r w:rsidRPr="0066441E">
        <w:rPr>
          <w:rFonts w:ascii="Times New Roman" w:hAnsi="Times New Roman"/>
          <w:sz w:val="24"/>
        </w:rPr>
        <w:t xml:space="preserve"> and, for example, s 13(4) of the </w:t>
      </w:r>
      <w:r w:rsidRPr="0066441E">
        <w:rPr>
          <w:rFonts w:ascii="Times New Roman" w:hAnsi="Times New Roman"/>
          <w:i/>
          <w:iCs/>
          <w:sz w:val="24"/>
        </w:rPr>
        <w:t>Public Service Act 1999</w:t>
      </w:r>
      <w:r w:rsidRPr="0066441E">
        <w:rPr>
          <w:rFonts w:ascii="Times New Roman" w:hAnsi="Times New Roman"/>
          <w:sz w:val="24"/>
        </w:rPr>
        <w:t xml:space="preserve"> (Cth), which provides that "[a]n [Australian Public Service ("APS")] employee, when acting in connection with APS employment, must comply with all applicable Australian laws". </w:t>
      </w:r>
    </w:p>
  </w:footnote>
  <w:footnote w:id="279">
    <w:p w14:paraId="7B67B8EC"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r>
      <w:r w:rsidRPr="0066441E">
        <w:rPr>
          <w:rFonts w:ascii="Times New Roman" w:hAnsi="Times New Roman"/>
          <w:i/>
          <w:iCs/>
          <w:sz w:val="24"/>
        </w:rPr>
        <w:t>Wurridjal v The Commonwealth</w:t>
      </w:r>
      <w:r w:rsidRPr="0066441E">
        <w:rPr>
          <w:rFonts w:ascii="Times New Roman" w:hAnsi="Times New Roman"/>
          <w:sz w:val="24"/>
        </w:rPr>
        <w:t xml:space="preserve"> (2009) 237 CLR 309 at 352 [70]; </w:t>
      </w:r>
      <w:r w:rsidRPr="0066441E">
        <w:rPr>
          <w:rFonts w:ascii="Times New Roman" w:hAnsi="Times New Roman"/>
          <w:i/>
          <w:iCs/>
          <w:sz w:val="24"/>
        </w:rPr>
        <w:t xml:space="preserve">NZYQ </w:t>
      </w:r>
      <w:r w:rsidRPr="0066441E">
        <w:rPr>
          <w:rFonts w:ascii="Times New Roman" w:hAnsi="Times New Roman"/>
          <w:sz w:val="24"/>
        </w:rPr>
        <w:t>(2023) 280 CLR 137 at 150 [17].</w:t>
      </w:r>
    </w:p>
  </w:footnote>
  <w:footnote w:id="280">
    <w:p w14:paraId="552E2D52"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r>
      <w:r w:rsidRPr="0066441E">
        <w:rPr>
          <w:rFonts w:ascii="Times New Roman" w:hAnsi="Times New Roman"/>
          <w:i/>
          <w:iCs/>
          <w:sz w:val="24"/>
        </w:rPr>
        <w:t>Stradford (a pseudonym) v Judge Vasta</w:t>
      </w:r>
      <w:r w:rsidRPr="0066441E">
        <w:rPr>
          <w:rFonts w:ascii="Times New Roman" w:hAnsi="Times New Roman"/>
          <w:sz w:val="24"/>
        </w:rPr>
        <w:t xml:space="preserve"> [2023] FCA 1020.</w:t>
      </w:r>
    </w:p>
  </w:footnote>
  <w:footnote w:id="281">
    <w:p w14:paraId="678D78BB"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r>
      <w:r w:rsidRPr="0066441E">
        <w:rPr>
          <w:rFonts w:ascii="Times New Roman" w:hAnsi="Times New Roman"/>
          <w:i/>
          <w:iCs/>
          <w:sz w:val="24"/>
        </w:rPr>
        <w:t>Stradford (a pseudonym) v Judge Vasta</w:t>
      </w:r>
      <w:r w:rsidRPr="0066441E">
        <w:rPr>
          <w:rFonts w:ascii="Times New Roman" w:hAnsi="Times New Roman"/>
          <w:sz w:val="24"/>
        </w:rPr>
        <w:t xml:space="preserve"> [2023] FCA 1020 at [340]-[341].</w:t>
      </w:r>
    </w:p>
  </w:footnote>
  <w:footnote w:id="282">
    <w:p w14:paraId="395D84E3"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r>
      <w:r w:rsidRPr="0066441E">
        <w:rPr>
          <w:rFonts w:ascii="Times New Roman" w:hAnsi="Times New Roman"/>
          <w:i/>
          <w:iCs/>
          <w:sz w:val="24"/>
        </w:rPr>
        <w:t>Lange v Australian Broadcasting Corporation</w:t>
      </w:r>
      <w:r w:rsidRPr="0066441E">
        <w:rPr>
          <w:rFonts w:ascii="Times New Roman" w:hAnsi="Times New Roman"/>
          <w:sz w:val="24"/>
        </w:rPr>
        <w:t xml:space="preserve"> (1997) 189 CLR 520 at 566 (footnote omitted), citing </w:t>
      </w:r>
      <w:r w:rsidRPr="0066441E">
        <w:rPr>
          <w:rFonts w:ascii="Times New Roman" w:hAnsi="Times New Roman"/>
          <w:i/>
          <w:iCs/>
          <w:sz w:val="24"/>
        </w:rPr>
        <w:t>Theophanous v Herald &amp; Weekly Times Ltd</w:t>
      </w:r>
      <w:r w:rsidRPr="0066441E">
        <w:rPr>
          <w:rFonts w:ascii="Times New Roman" w:hAnsi="Times New Roman"/>
          <w:sz w:val="24"/>
        </w:rPr>
        <w:t xml:space="preserve"> (1994) 182 CLR 104 at 140.</w:t>
      </w:r>
    </w:p>
  </w:footnote>
  <w:footnote w:id="283">
    <w:p w14:paraId="53BFC1F8"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t xml:space="preserve">See, eg, </w:t>
      </w:r>
      <w:r w:rsidRPr="0066441E">
        <w:rPr>
          <w:rFonts w:ascii="Times New Roman" w:hAnsi="Times New Roman"/>
          <w:i/>
          <w:iCs/>
          <w:sz w:val="24"/>
        </w:rPr>
        <w:t>Enfield City Corporation v Development Assessment Commission</w:t>
      </w:r>
      <w:r w:rsidRPr="0066441E">
        <w:rPr>
          <w:rFonts w:ascii="Times New Roman" w:hAnsi="Times New Roman"/>
          <w:sz w:val="24"/>
        </w:rPr>
        <w:t xml:space="preserve"> (2000) 199 CLR 135 at 157 [56].</w:t>
      </w:r>
    </w:p>
  </w:footnote>
  <w:footnote w:id="284">
    <w:p w14:paraId="7E812833"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r>
      <w:r w:rsidRPr="0066441E">
        <w:rPr>
          <w:rFonts w:ascii="Times New Roman" w:hAnsi="Times New Roman"/>
          <w:i/>
          <w:iCs/>
          <w:sz w:val="24"/>
        </w:rPr>
        <w:t>Ha v New South Wales</w:t>
      </w:r>
      <w:r w:rsidRPr="0066441E">
        <w:rPr>
          <w:rFonts w:ascii="Times New Roman" w:hAnsi="Times New Roman"/>
          <w:sz w:val="24"/>
        </w:rPr>
        <w:t xml:space="preserve"> (1997) 189 CLR 465 at 503-504.</w:t>
      </w:r>
    </w:p>
  </w:footnote>
  <w:footnote w:id="285">
    <w:p w14:paraId="3BF015F4"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t xml:space="preserve">Dixon, "De Facto Officers" (1938) 1 </w:t>
      </w:r>
      <w:r w:rsidRPr="0066441E">
        <w:rPr>
          <w:rFonts w:ascii="Times New Roman" w:hAnsi="Times New Roman"/>
          <w:i/>
          <w:iCs/>
          <w:sz w:val="24"/>
        </w:rPr>
        <w:t>Res Judicatae</w:t>
      </w:r>
      <w:r w:rsidRPr="0066441E">
        <w:rPr>
          <w:rFonts w:ascii="Times New Roman" w:hAnsi="Times New Roman"/>
          <w:sz w:val="24"/>
        </w:rPr>
        <w:t xml:space="preserve"> 285 at 285, reproduced in </w:t>
      </w:r>
      <w:r w:rsidRPr="0066441E">
        <w:rPr>
          <w:rFonts w:ascii="Times New Roman" w:hAnsi="Times New Roman"/>
          <w:i/>
          <w:iCs/>
          <w:sz w:val="24"/>
        </w:rPr>
        <w:t>Jesting Pilate and Other Papers and Addresses</w:t>
      </w:r>
      <w:r w:rsidRPr="0066441E">
        <w:rPr>
          <w:rFonts w:ascii="Times New Roman" w:hAnsi="Times New Roman"/>
          <w:sz w:val="24"/>
        </w:rPr>
        <w:t xml:space="preserve">, 2nd ed (1997) at 229, as quoted in </w:t>
      </w:r>
      <w:r w:rsidRPr="0066441E">
        <w:rPr>
          <w:rFonts w:ascii="Times New Roman" w:hAnsi="Times New Roman"/>
          <w:i/>
          <w:iCs/>
          <w:sz w:val="24"/>
        </w:rPr>
        <w:t>Haskins v The Commonwealth</w:t>
      </w:r>
      <w:r w:rsidRPr="0066441E">
        <w:rPr>
          <w:rFonts w:ascii="Times New Roman" w:hAnsi="Times New Roman"/>
          <w:sz w:val="24"/>
        </w:rPr>
        <w:t xml:space="preserve"> (2011) 244 CLR 22 at 42 [45].</w:t>
      </w:r>
    </w:p>
  </w:footnote>
  <w:footnote w:id="286">
    <w:p w14:paraId="0486FB00"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r>
      <w:r w:rsidRPr="0066441E">
        <w:rPr>
          <w:rFonts w:ascii="Times New Roman" w:hAnsi="Times New Roman"/>
          <w:i/>
          <w:iCs/>
          <w:sz w:val="24"/>
        </w:rPr>
        <w:t>Polyukhovich v The Commonwealth</w:t>
      </w:r>
      <w:r w:rsidRPr="0066441E">
        <w:rPr>
          <w:rFonts w:ascii="Times New Roman" w:hAnsi="Times New Roman"/>
          <w:sz w:val="24"/>
        </w:rPr>
        <w:t xml:space="preserve"> (1991) 172 CLR 501 at 606, quoting Blackstone, </w:t>
      </w:r>
      <w:r w:rsidRPr="0066441E">
        <w:rPr>
          <w:rFonts w:ascii="Times New Roman" w:hAnsi="Times New Roman"/>
          <w:i/>
          <w:iCs/>
          <w:sz w:val="24"/>
        </w:rPr>
        <w:t>Commentaries</w:t>
      </w:r>
      <w:r w:rsidRPr="0066441E">
        <w:rPr>
          <w:rFonts w:ascii="Times New Roman" w:hAnsi="Times New Roman"/>
          <w:sz w:val="24"/>
        </w:rPr>
        <w:t>, 17th ed (1830), vol I at 269.</w:t>
      </w:r>
    </w:p>
  </w:footnote>
  <w:footnote w:id="287">
    <w:p w14:paraId="4957DBCF"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r>
      <w:r w:rsidRPr="0066441E">
        <w:rPr>
          <w:rFonts w:ascii="Times New Roman" w:hAnsi="Times New Roman"/>
          <w:i/>
          <w:iCs/>
          <w:sz w:val="24"/>
        </w:rPr>
        <w:t>Wilson v Minister for Aboriginal and Torres Strait Islander Affairs</w:t>
      </w:r>
      <w:r w:rsidRPr="0066441E">
        <w:rPr>
          <w:rFonts w:ascii="Times New Roman" w:hAnsi="Times New Roman"/>
          <w:sz w:val="24"/>
        </w:rPr>
        <w:t xml:space="preserve"> (1996) 189 CLR 1 at 11.</w:t>
      </w:r>
    </w:p>
  </w:footnote>
  <w:footnote w:id="288">
    <w:p w14:paraId="4A985F80"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r>
      <w:r w:rsidRPr="0066441E">
        <w:rPr>
          <w:rFonts w:ascii="Times New Roman" w:hAnsi="Times New Roman"/>
          <w:i/>
          <w:iCs/>
          <w:sz w:val="24"/>
        </w:rPr>
        <w:t>Chu Kheng Lim v Minister for Immigration</w:t>
      </w:r>
      <w:r w:rsidRPr="0066441E">
        <w:rPr>
          <w:rFonts w:ascii="Times New Roman" w:hAnsi="Times New Roman"/>
          <w:sz w:val="24"/>
        </w:rPr>
        <w:t xml:space="preserve"> (1992) 176 CLR 1 at 27.</w:t>
      </w:r>
    </w:p>
  </w:footnote>
  <w:footnote w:id="289">
    <w:p w14:paraId="5294A065"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r>
      <w:r w:rsidRPr="0066441E">
        <w:rPr>
          <w:rFonts w:ascii="Times New Roman" w:hAnsi="Times New Roman"/>
          <w:i/>
          <w:iCs/>
          <w:sz w:val="24"/>
        </w:rPr>
        <w:t>Chu Kheng Lim v Minister for Immigration</w:t>
      </w:r>
      <w:r w:rsidRPr="0066441E">
        <w:rPr>
          <w:rFonts w:ascii="Times New Roman" w:hAnsi="Times New Roman"/>
          <w:sz w:val="24"/>
        </w:rPr>
        <w:t xml:space="preserve"> (1992) 176 CLR 1 at 27-28, quoting Dicey, </w:t>
      </w:r>
      <w:r w:rsidRPr="0066441E">
        <w:rPr>
          <w:rFonts w:ascii="Times New Roman" w:hAnsi="Times New Roman"/>
          <w:i/>
          <w:iCs/>
          <w:sz w:val="24"/>
        </w:rPr>
        <w:t>Introduction to the Study of the Law of the Constitution</w:t>
      </w:r>
      <w:r w:rsidRPr="0066441E">
        <w:rPr>
          <w:rFonts w:ascii="Times New Roman" w:hAnsi="Times New Roman"/>
          <w:sz w:val="24"/>
        </w:rPr>
        <w:t>, 10th ed (1959) at 202.</w:t>
      </w:r>
    </w:p>
  </w:footnote>
  <w:footnote w:id="290">
    <w:p w14:paraId="2ADA15F0"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t xml:space="preserve">eg, </w:t>
      </w:r>
      <w:r w:rsidRPr="0066441E">
        <w:rPr>
          <w:rFonts w:ascii="Times New Roman" w:hAnsi="Times New Roman"/>
          <w:i/>
          <w:iCs/>
          <w:sz w:val="24"/>
        </w:rPr>
        <w:t>Lewis v Australian Capital Territory</w:t>
      </w:r>
      <w:r w:rsidRPr="0066441E">
        <w:rPr>
          <w:rFonts w:ascii="Times New Roman" w:hAnsi="Times New Roman"/>
          <w:sz w:val="24"/>
        </w:rPr>
        <w:t xml:space="preserve"> (2020) 271 CLR 192 at 206-207 [24]-[25].</w:t>
      </w:r>
    </w:p>
  </w:footnote>
  <w:footnote w:id="291">
    <w:p w14:paraId="0B886A76"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t>[1997] QB 924.</w:t>
      </w:r>
    </w:p>
  </w:footnote>
  <w:footnote w:id="292">
    <w:p w14:paraId="0B68F548"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r>
      <w:r w:rsidRPr="0066441E">
        <w:rPr>
          <w:rFonts w:ascii="Times New Roman" w:hAnsi="Times New Roman"/>
          <w:i/>
          <w:iCs/>
          <w:sz w:val="24"/>
        </w:rPr>
        <w:t>Percy v Hall</w:t>
      </w:r>
      <w:r w:rsidRPr="0066441E">
        <w:rPr>
          <w:rFonts w:ascii="Times New Roman" w:hAnsi="Times New Roman"/>
          <w:sz w:val="24"/>
        </w:rPr>
        <w:t xml:space="preserve"> [1997] QB 924 at 947-948.</w:t>
      </w:r>
    </w:p>
  </w:footnote>
  <w:footnote w:id="293">
    <w:p w14:paraId="54967869"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t>[2001] 2 AC 19.</w:t>
      </w:r>
    </w:p>
  </w:footnote>
  <w:footnote w:id="294">
    <w:p w14:paraId="2B964942"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t>[2001] 2 AC 19 at 34-35.</w:t>
      </w:r>
    </w:p>
  </w:footnote>
  <w:footnote w:id="295">
    <w:p w14:paraId="3F853F25"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r>
      <w:r w:rsidRPr="0066441E">
        <w:rPr>
          <w:rFonts w:ascii="Times New Roman" w:hAnsi="Times New Roman"/>
          <w:i/>
          <w:iCs/>
          <w:sz w:val="24"/>
        </w:rPr>
        <w:t>Watson v Marshall</w:t>
      </w:r>
      <w:r w:rsidRPr="0066441E">
        <w:rPr>
          <w:rFonts w:ascii="Times New Roman" w:hAnsi="Times New Roman"/>
          <w:i/>
          <w:sz w:val="24"/>
        </w:rPr>
        <w:t xml:space="preserve"> </w:t>
      </w:r>
      <w:r w:rsidRPr="0066441E">
        <w:rPr>
          <w:rFonts w:ascii="Times New Roman" w:hAnsi="Times New Roman"/>
          <w:i/>
          <w:iCs/>
          <w:sz w:val="24"/>
        </w:rPr>
        <w:t>and Cade</w:t>
      </w:r>
      <w:r w:rsidRPr="0066441E">
        <w:rPr>
          <w:rFonts w:ascii="Times New Roman" w:hAnsi="Times New Roman"/>
          <w:sz w:val="24"/>
        </w:rPr>
        <w:t xml:space="preserve"> (1971) 124 CLR 621 at 627, affirmed in </w:t>
      </w:r>
      <w:r w:rsidRPr="0066441E">
        <w:rPr>
          <w:rFonts w:ascii="Times New Roman" w:hAnsi="Times New Roman"/>
          <w:i/>
          <w:iCs/>
          <w:sz w:val="24"/>
        </w:rPr>
        <w:t>Marshall v Watson</w:t>
      </w:r>
      <w:r w:rsidRPr="0066441E">
        <w:rPr>
          <w:rFonts w:ascii="Times New Roman" w:hAnsi="Times New Roman"/>
          <w:sz w:val="24"/>
        </w:rPr>
        <w:t xml:space="preserve"> (1972) 124 CLR 640.</w:t>
      </w:r>
    </w:p>
  </w:footnote>
  <w:footnote w:id="296">
    <w:p w14:paraId="75D443EE"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t>[2001] 2 AC 19.</w:t>
      </w:r>
    </w:p>
  </w:footnote>
  <w:footnote w:id="297">
    <w:p w14:paraId="6B3F0B54"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t>[2001] 2 AC 19 at 26.</w:t>
      </w:r>
    </w:p>
  </w:footnote>
  <w:footnote w:id="298">
    <w:p w14:paraId="6CA277BF"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t>[2001] 2 AC 19 at 27.</w:t>
      </w:r>
    </w:p>
  </w:footnote>
  <w:footnote w:id="299">
    <w:p w14:paraId="2FD8B952"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t>(1988) 13 NSWLR 714.</w:t>
      </w:r>
    </w:p>
  </w:footnote>
  <w:footnote w:id="300">
    <w:p w14:paraId="284A5E06"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t>[2001] 2 AC 19 at 29.</w:t>
      </w:r>
    </w:p>
  </w:footnote>
  <w:footnote w:id="301">
    <w:p w14:paraId="4805E0D9"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t>[1997] QB 924.</w:t>
      </w:r>
    </w:p>
  </w:footnote>
  <w:footnote w:id="302">
    <w:p w14:paraId="248FC86A"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t>[2001] 2 AC 19 at 34.</w:t>
      </w:r>
    </w:p>
  </w:footnote>
  <w:footnote w:id="303">
    <w:p w14:paraId="3B084D58"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t>[2001] 2 AC 19 at 35.</w:t>
      </w:r>
    </w:p>
  </w:footnote>
  <w:footnote w:id="304">
    <w:p w14:paraId="488C03B5" w14:textId="77777777" w:rsidR="009F6ECF" w:rsidRPr="0066441E" w:rsidRDefault="009F6ECF" w:rsidP="0066441E">
      <w:pPr>
        <w:pStyle w:val="FootnoteText"/>
        <w:spacing w:line="280" w:lineRule="exact"/>
        <w:ind w:right="0"/>
        <w:jc w:val="both"/>
        <w:rPr>
          <w:rFonts w:ascii="Times New Roman" w:hAnsi="Times New Roman"/>
          <w:sz w:val="24"/>
        </w:rPr>
      </w:pPr>
      <w:r w:rsidRPr="0066441E">
        <w:rPr>
          <w:rStyle w:val="FootnoteReference"/>
          <w:rFonts w:ascii="Times New Roman" w:hAnsi="Times New Roman"/>
          <w:sz w:val="22"/>
          <w:vertAlign w:val="baseline"/>
        </w:rPr>
        <w:footnoteRef/>
      </w:r>
      <w:r w:rsidRPr="0066441E">
        <w:rPr>
          <w:rFonts w:ascii="Times New Roman" w:hAnsi="Times New Roman"/>
          <w:sz w:val="24"/>
        </w:rPr>
        <w:t xml:space="preserve"> </w:t>
      </w:r>
      <w:r w:rsidRPr="0066441E">
        <w:rPr>
          <w:rFonts w:ascii="Times New Roman" w:hAnsi="Times New Roman"/>
          <w:sz w:val="24"/>
        </w:rPr>
        <w:tab/>
        <w:t>[2001] 2 AC 19 at 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2AD5" w14:textId="77777777" w:rsidR="007225C9" w:rsidRPr="00873AA1" w:rsidRDefault="007225C9" w:rsidP="00873AA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323A" w14:textId="77777777" w:rsidR="009F6ECF" w:rsidRDefault="009F6ECF" w:rsidP="00CA4331">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Edelman</w:t>
    </w:r>
    <w:r>
      <w:rPr>
        <w:rFonts w:ascii="Times New Roman" w:hAnsi="Times New Roman"/>
        <w:i/>
        <w:sz w:val="22"/>
      </w:rPr>
      <w:tab/>
      <w:t>J</w:t>
    </w:r>
  </w:p>
  <w:p w14:paraId="0C22CAB8" w14:textId="77777777" w:rsidR="009F6ECF" w:rsidRDefault="009F6ECF" w:rsidP="00CA4331">
    <w:pPr>
      <w:pStyle w:val="Header"/>
      <w:tabs>
        <w:tab w:val="clear" w:pos="4153"/>
        <w:tab w:val="clear" w:pos="8306"/>
        <w:tab w:val="right" w:pos="1304"/>
      </w:tabs>
      <w:spacing w:line="280" w:lineRule="exact"/>
      <w:ind w:firstLine="0"/>
      <w:rPr>
        <w:rFonts w:ascii="Times New Roman" w:hAnsi="Times New Roman"/>
        <w:i/>
        <w:sz w:val="22"/>
      </w:rPr>
    </w:pPr>
  </w:p>
  <w:p w14:paraId="2DC79AD5" w14:textId="77777777" w:rsidR="009F6ECF" w:rsidRDefault="009F6ECF" w:rsidP="00CA4331">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5D8BBABD" w14:textId="77777777" w:rsidR="009F6ECF" w:rsidRPr="00CA4331" w:rsidRDefault="009F6ECF" w:rsidP="00CA4331">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130B3" w14:textId="77777777" w:rsidR="009F6ECF" w:rsidRDefault="009F6ECF" w:rsidP="00CA4331">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Edelman</w:t>
    </w:r>
    <w:r>
      <w:rPr>
        <w:rFonts w:ascii="Times New Roman" w:hAnsi="Times New Roman"/>
        <w:i/>
        <w:sz w:val="22"/>
      </w:rPr>
      <w:tab/>
      <w:t>J</w:t>
    </w:r>
  </w:p>
  <w:p w14:paraId="0F36493A" w14:textId="77777777" w:rsidR="009F6ECF" w:rsidRDefault="009F6ECF" w:rsidP="00CA4331">
    <w:pPr>
      <w:pStyle w:val="Header"/>
      <w:tabs>
        <w:tab w:val="clear" w:pos="4153"/>
        <w:tab w:val="clear" w:pos="8306"/>
        <w:tab w:val="left" w:pos="7200"/>
        <w:tab w:val="right" w:pos="8504"/>
      </w:tabs>
      <w:spacing w:line="280" w:lineRule="exact"/>
      <w:jc w:val="right"/>
      <w:rPr>
        <w:rFonts w:ascii="Times New Roman" w:hAnsi="Times New Roman"/>
        <w:i/>
        <w:sz w:val="22"/>
      </w:rPr>
    </w:pPr>
  </w:p>
  <w:p w14:paraId="30A3F5D6" w14:textId="77777777" w:rsidR="009F6ECF" w:rsidRDefault="009F6ECF" w:rsidP="00CA4331">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1D1ADC53" w14:textId="77777777" w:rsidR="009F6ECF" w:rsidRPr="00CA4331" w:rsidRDefault="009F6ECF" w:rsidP="00CA4331">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1C994" w14:textId="77777777" w:rsidR="009F6ECF" w:rsidRDefault="009F6ECF" w:rsidP="00CA4331">
    <w:pPr>
      <w:pStyle w:val="Header"/>
      <w:tabs>
        <w:tab w:val="clear" w:pos="4153"/>
        <w:tab w:val="clear" w:pos="8306"/>
        <w:tab w:val="center" w:pos="1134"/>
      </w:tabs>
      <w:spacing w:line="280" w:lineRule="exact"/>
      <w:ind w:firstLine="0"/>
      <w:rPr>
        <w:rFonts w:ascii="Times New Roman" w:hAnsi="Times New Roman"/>
        <w:i/>
        <w:sz w:val="22"/>
      </w:rPr>
    </w:pPr>
  </w:p>
  <w:p w14:paraId="51CEF8BF" w14:textId="77777777" w:rsidR="009F6ECF" w:rsidRDefault="009F6ECF" w:rsidP="00CA4331">
    <w:pPr>
      <w:pStyle w:val="Header"/>
      <w:tabs>
        <w:tab w:val="clear" w:pos="4153"/>
        <w:tab w:val="clear" w:pos="8306"/>
        <w:tab w:val="center" w:pos="1134"/>
      </w:tabs>
      <w:spacing w:line="280" w:lineRule="exact"/>
      <w:ind w:firstLine="0"/>
      <w:rPr>
        <w:rFonts w:ascii="Times New Roman" w:hAnsi="Times New Roman"/>
        <w:i/>
        <w:sz w:val="22"/>
      </w:rPr>
    </w:pPr>
  </w:p>
  <w:p w14:paraId="0C29AA41" w14:textId="77777777" w:rsidR="009F6ECF" w:rsidRDefault="009F6ECF" w:rsidP="00CA4331">
    <w:pPr>
      <w:pStyle w:val="Header"/>
      <w:tabs>
        <w:tab w:val="clear" w:pos="4153"/>
        <w:tab w:val="clear" w:pos="8306"/>
        <w:tab w:val="center" w:pos="1134"/>
      </w:tabs>
      <w:spacing w:line="280" w:lineRule="exact"/>
      <w:ind w:firstLine="0"/>
      <w:rPr>
        <w:rFonts w:ascii="Times New Roman" w:hAnsi="Times New Roman"/>
        <w:i/>
        <w:sz w:val="22"/>
      </w:rPr>
    </w:pPr>
  </w:p>
  <w:p w14:paraId="3575448C" w14:textId="77777777" w:rsidR="009F6ECF" w:rsidRPr="00CA4331" w:rsidRDefault="009F6ECF" w:rsidP="00CA4331">
    <w:pPr>
      <w:pStyle w:val="Header"/>
      <w:tabs>
        <w:tab w:val="clear" w:pos="4153"/>
        <w:tab w:val="clear" w:pos="8306"/>
        <w:tab w:val="center" w:pos="1134"/>
      </w:tabs>
      <w:spacing w:line="280" w:lineRule="exact"/>
      <w:ind w:firstLine="0"/>
      <w:rPr>
        <w:rFonts w:ascii="Times New Roman" w:hAnsi="Times New Roman"/>
        <w:i/>
        <w:sz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C27E7" w14:textId="77777777" w:rsidR="009F6ECF" w:rsidRDefault="009F6ECF" w:rsidP="004C7595">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Steward</w:t>
    </w:r>
    <w:r>
      <w:rPr>
        <w:rFonts w:ascii="Times New Roman" w:hAnsi="Times New Roman"/>
        <w:i/>
        <w:sz w:val="22"/>
      </w:rPr>
      <w:tab/>
      <w:t>J</w:t>
    </w:r>
  </w:p>
  <w:p w14:paraId="1AF3B903" w14:textId="77777777" w:rsidR="009F6ECF" w:rsidRDefault="009F6ECF" w:rsidP="004C7595">
    <w:pPr>
      <w:pStyle w:val="Header"/>
      <w:tabs>
        <w:tab w:val="clear" w:pos="4153"/>
        <w:tab w:val="clear" w:pos="8306"/>
        <w:tab w:val="right" w:pos="1304"/>
      </w:tabs>
      <w:spacing w:line="280" w:lineRule="exact"/>
      <w:ind w:firstLine="0"/>
      <w:rPr>
        <w:rFonts w:ascii="Times New Roman" w:hAnsi="Times New Roman"/>
        <w:i/>
        <w:sz w:val="22"/>
      </w:rPr>
    </w:pPr>
  </w:p>
  <w:p w14:paraId="130D77BE" w14:textId="77777777" w:rsidR="009F6ECF" w:rsidRDefault="009F6ECF" w:rsidP="004C7595">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06B76ABA" w14:textId="77777777" w:rsidR="009F6ECF" w:rsidRPr="004C7595" w:rsidRDefault="009F6ECF" w:rsidP="004C7595">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219AC" w14:textId="77777777" w:rsidR="009F6ECF" w:rsidRDefault="009F6ECF" w:rsidP="004C7595">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Steward</w:t>
    </w:r>
    <w:r>
      <w:rPr>
        <w:rFonts w:ascii="Times New Roman" w:hAnsi="Times New Roman"/>
        <w:i/>
        <w:sz w:val="22"/>
      </w:rPr>
      <w:tab/>
      <w:t>J</w:t>
    </w:r>
  </w:p>
  <w:p w14:paraId="1CEFB9D2" w14:textId="77777777" w:rsidR="009F6ECF" w:rsidRDefault="009F6ECF" w:rsidP="004C7595">
    <w:pPr>
      <w:pStyle w:val="Header"/>
      <w:tabs>
        <w:tab w:val="clear" w:pos="4153"/>
        <w:tab w:val="clear" w:pos="8306"/>
        <w:tab w:val="left" w:pos="7200"/>
        <w:tab w:val="right" w:pos="8504"/>
      </w:tabs>
      <w:spacing w:line="280" w:lineRule="exact"/>
      <w:jc w:val="right"/>
      <w:rPr>
        <w:rFonts w:ascii="Times New Roman" w:hAnsi="Times New Roman"/>
        <w:i/>
        <w:sz w:val="22"/>
      </w:rPr>
    </w:pPr>
  </w:p>
  <w:p w14:paraId="33B87B11" w14:textId="77777777" w:rsidR="009F6ECF" w:rsidRDefault="009F6ECF" w:rsidP="004C7595">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4756037B" w14:textId="77777777" w:rsidR="009F6ECF" w:rsidRPr="004C7595" w:rsidRDefault="009F6ECF" w:rsidP="004C7595">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E3699" w14:textId="77777777" w:rsidR="009F6ECF" w:rsidRDefault="009F6ECF" w:rsidP="004C7595">
    <w:pPr>
      <w:pStyle w:val="Header"/>
      <w:tabs>
        <w:tab w:val="clear" w:pos="4153"/>
        <w:tab w:val="clear" w:pos="8306"/>
        <w:tab w:val="center" w:pos="1134"/>
      </w:tabs>
      <w:spacing w:line="280" w:lineRule="exact"/>
      <w:ind w:firstLine="0"/>
      <w:rPr>
        <w:rFonts w:ascii="Times New Roman" w:hAnsi="Times New Roman"/>
        <w:i/>
        <w:sz w:val="22"/>
      </w:rPr>
    </w:pPr>
  </w:p>
  <w:p w14:paraId="79D1753A" w14:textId="77777777" w:rsidR="009F6ECF" w:rsidRDefault="009F6ECF" w:rsidP="004C7595">
    <w:pPr>
      <w:pStyle w:val="Header"/>
      <w:tabs>
        <w:tab w:val="clear" w:pos="4153"/>
        <w:tab w:val="clear" w:pos="8306"/>
        <w:tab w:val="center" w:pos="1134"/>
      </w:tabs>
      <w:spacing w:line="280" w:lineRule="exact"/>
      <w:ind w:firstLine="0"/>
      <w:rPr>
        <w:rFonts w:ascii="Times New Roman" w:hAnsi="Times New Roman"/>
        <w:i/>
        <w:sz w:val="22"/>
      </w:rPr>
    </w:pPr>
  </w:p>
  <w:p w14:paraId="738B369E" w14:textId="77777777" w:rsidR="009F6ECF" w:rsidRDefault="009F6ECF" w:rsidP="004C7595">
    <w:pPr>
      <w:pStyle w:val="Header"/>
      <w:tabs>
        <w:tab w:val="clear" w:pos="4153"/>
        <w:tab w:val="clear" w:pos="8306"/>
        <w:tab w:val="center" w:pos="1134"/>
      </w:tabs>
      <w:spacing w:line="280" w:lineRule="exact"/>
      <w:ind w:firstLine="0"/>
      <w:rPr>
        <w:rFonts w:ascii="Times New Roman" w:hAnsi="Times New Roman"/>
        <w:i/>
        <w:sz w:val="22"/>
      </w:rPr>
    </w:pPr>
  </w:p>
  <w:p w14:paraId="3EBB31AD" w14:textId="77777777" w:rsidR="009F6ECF" w:rsidRPr="004C7595" w:rsidRDefault="009F6ECF" w:rsidP="004C7595">
    <w:pPr>
      <w:pStyle w:val="Header"/>
      <w:tabs>
        <w:tab w:val="clear" w:pos="4153"/>
        <w:tab w:val="clear" w:pos="8306"/>
        <w:tab w:val="center" w:pos="1134"/>
      </w:tabs>
      <w:spacing w:line="280" w:lineRule="exact"/>
      <w:ind w:firstLine="0"/>
      <w:rPr>
        <w:rFonts w:ascii="Times New Roman" w:hAnsi="Times New Roman"/>
        <w:i/>
        <w:sz w:val="2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0F52" w14:textId="77777777" w:rsidR="009F6ECF" w:rsidRDefault="009F6ECF" w:rsidP="0066441E">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Jagot</w:t>
    </w:r>
    <w:r>
      <w:rPr>
        <w:rFonts w:ascii="Times New Roman" w:hAnsi="Times New Roman"/>
        <w:i/>
        <w:sz w:val="22"/>
      </w:rPr>
      <w:tab/>
      <w:t>J</w:t>
    </w:r>
  </w:p>
  <w:p w14:paraId="78938B16" w14:textId="77777777" w:rsidR="009F6ECF" w:rsidRDefault="009F6ECF" w:rsidP="0066441E">
    <w:pPr>
      <w:pStyle w:val="Header"/>
      <w:tabs>
        <w:tab w:val="clear" w:pos="4153"/>
        <w:tab w:val="clear" w:pos="8306"/>
        <w:tab w:val="right" w:pos="1304"/>
      </w:tabs>
      <w:spacing w:line="280" w:lineRule="exact"/>
      <w:ind w:firstLine="0"/>
      <w:rPr>
        <w:rFonts w:ascii="Times New Roman" w:hAnsi="Times New Roman"/>
        <w:i/>
        <w:sz w:val="22"/>
      </w:rPr>
    </w:pPr>
  </w:p>
  <w:p w14:paraId="4F4BC413" w14:textId="77777777" w:rsidR="009F6ECF" w:rsidRDefault="009F6ECF" w:rsidP="0066441E">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5</w:t>
    </w:r>
    <w:r>
      <w:rPr>
        <w:rFonts w:ascii="Times New Roman" w:hAnsi="Times New Roman"/>
        <w:sz w:val="22"/>
      </w:rPr>
      <w:fldChar w:fldCharType="end"/>
    </w:r>
    <w:r>
      <w:rPr>
        <w:rFonts w:ascii="Times New Roman" w:hAnsi="Times New Roman"/>
        <w:sz w:val="22"/>
      </w:rPr>
      <w:t>.</w:t>
    </w:r>
  </w:p>
  <w:p w14:paraId="28ADFB20" w14:textId="77777777" w:rsidR="009F6ECF" w:rsidRPr="0066441E" w:rsidRDefault="009F6ECF" w:rsidP="0066441E">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B8051" w14:textId="77777777" w:rsidR="009F6ECF" w:rsidRDefault="009F6ECF" w:rsidP="0066441E">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Jagot</w:t>
    </w:r>
    <w:r>
      <w:rPr>
        <w:rFonts w:ascii="Times New Roman" w:hAnsi="Times New Roman"/>
        <w:i/>
        <w:sz w:val="22"/>
      </w:rPr>
      <w:tab/>
      <w:t>J</w:t>
    </w:r>
  </w:p>
  <w:p w14:paraId="15866477" w14:textId="77777777" w:rsidR="009F6ECF" w:rsidRDefault="009F6ECF" w:rsidP="0066441E">
    <w:pPr>
      <w:pStyle w:val="Header"/>
      <w:tabs>
        <w:tab w:val="clear" w:pos="4153"/>
        <w:tab w:val="clear" w:pos="8306"/>
        <w:tab w:val="left" w:pos="7200"/>
        <w:tab w:val="right" w:pos="8504"/>
      </w:tabs>
      <w:spacing w:line="280" w:lineRule="exact"/>
      <w:jc w:val="right"/>
      <w:rPr>
        <w:rFonts w:ascii="Times New Roman" w:hAnsi="Times New Roman"/>
        <w:i/>
        <w:sz w:val="22"/>
      </w:rPr>
    </w:pPr>
  </w:p>
  <w:p w14:paraId="5FC8F62E" w14:textId="77777777" w:rsidR="009F6ECF" w:rsidRDefault="009F6ECF" w:rsidP="0066441E">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5</w:t>
    </w:r>
    <w:r>
      <w:rPr>
        <w:rFonts w:ascii="Times New Roman" w:hAnsi="Times New Roman"/>
        <w:sz w:val="22"/>
      </w:rPr>
      <w:fldChar w:fldCharType="end"/>
    </w:r>
    <w:r>
      <w:rPr>
        <w:rFonts w:ascii="Times New Roman" w:hAnsi="Times New Roman"/>
        <w:sz w:val="22"/>
      </w:rPr>
      <w:t>.</w:t>
    </w:r>
  </w:p>
  <w:p w14:paraId="3B993175" w14:textId="77777777" w:rsidR="009F6ECF" w:rsidRPr="0066441E" w:rsidRDefault="009F6ECF" w:rsidP="0066441E">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07813" w14:textId="77777777" w:rsidR="009F6ECF" w:rsidRDefault="009F6ECF" w:rsidP="0066441E">
    <w:pPr>
      <w:pStyle w:val="Header"/>
      <w:tabs>
        <w:tab w:val="clear" w:pos="4153"/>
        <w:tab w:val="clear" w:pos="8306"/>
        <w:tab w:val="center" w:pos="1134"/>
      </w:tabs>
      <w:spacing w:line="280" w:lineRule="exact"/>
      <w:ind w:firstLine="0"/>
      <w:rPr>
        <w:rFonts w:ascii="Times New Roman" w:hAnsi="Times New Roman"/>
        <w:i/>
        <w:sz w:val="22"/>
      </w:rPr>
    </w:pPr>
  </w:p>
  <w:p w14:paraId="5ADB5AED" w14:textId="77777777" w:rsidR="009F6ECF" w:rsidRDefault="009F6ECF" w:rsidP="0066441E">
    <w:pPr>
      <w:pStyle w:val="Header"/>
      <w:tabs>
        <w:tab w:val="clear" w:pos="4153"/>
        <w:tab w:val="clear" w:pos="8306"/>
        <w:tab w:val="center" w:pos="1134"/>
      </w:tabs>
      <w:spacing w:line="280" w:lineRule="exact"/>
      <w:ind w:firstLine="0"/>
      <w:rPr>
        <w:rFonts w:ascii="Times New Roman" w:hAnsi="Times New Roman"/>
        <w:i/>
        <w:sz w:val="22"/>
      </w:rPr>
    </w:pPr>
  </w:p>
  <w:p w14:paraId="2C3C10C3" w14:textId="77777777" w:rsidR="009F6ECF" w:rsidRDefault="009F6ECF" w:rsidP="0066441E">
    <w:pPr>
      <w:pStyle w:val="Header"/>
      <w:tabs>
        <w:tab w:val="clear" w:pos="4153"/>
        <w:tab w:val="clear" w:pos="8306"/>
        <w:tab w:val="center" w:pos="1134"/>
      </w:tabs>
      <w:spacing w:line="280" w:lineRule="exact"/>
      <w:ind w:firstLine="0"/>
      <w:rPr>
        <w:rFonts w:ascii="Times New Roman" w:hAnsi="Times New Roman"/>
        <w:i/>
        <w:sz w:val="22"/>
      </w:rPr>
    </w:pPr>
  </w:p>
  <w:p w14:paraId="175BDA71" w14:textId="77777777" w:rsidR="009F6ECF" w:rsidRPr="0066441E" w:rsidRDefault="009F6ECF" w:rsidP="0066441E">
    <w:pPr>
      <w:pStyle w:val="Header"/>
      <w:tabs>
        <w:tab w:val="clear" w:pos="4153"/>
        <w:tab w:val="clear" w:pos="8306"/>
        <w:tab w:val="center" w:pos="1134"/>
      </w:tabs>
      <w:spacing w:line="280" w:lineRule="exact"/>
      <w:ind w:firstLine="0"/>
      <w:rPr>
        <w:rFonts w:ascii="Times New Roman" w:hAnsi="Times New Roman"/>
        <w:i/>
        <w:sz w:val="2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9F463" w14:textId="77777777" w:rsidR="009F6ECF" w:rsidRPr="0066441E" w:rsidRDefault="009F6ECF" w:rsidP="0066441E">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75DE7" w14:textId="7848AB53" w:rsidR="007225C9" w:rsidRPr="00873AA1" w:rsidRDefault="00873AA1" w:rsidP="00873AA1">
    <w:pPr>
      <w:pStyle w:val="Header"/>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 (</w:instrText>
    </w:r>
    <w:r>
      <w:rPr>
        <w:rFonts w:ascii="Times New Roman" w:hAnsi="Times New Roman"/>
        <w:sz w:val="22"/>
      </w:rPr>
      <w:fldChar w:fldCharType="begin"/>
    </w:r>
    <w:r>
      <w:rPr>
        <w:rFonts w:ascii="Times New Roman" w:hAnsi="Times New Roman"/>
        <w:sz w:val="22"/>
      </w:rPr>
      <w:instrText xml:space="preserve"> page </w:instrText>
    </w:r>
    <w:r>
      <w:rPr>
        <w:rFonts w:ascii="Times New Roman" w:hAnsi="Times New Roman"/>
        <w:sz w:val="22"/>
      </w:rPr>
      <w:fldChar w:fldCharType="separate"/>
    </w:r>
    <w:r w:rsidR="00347A6E">
      <w:rPr>
        <w:rFonts w:ascii="Times New Roman" w:hAnsi="Times New Roman"/>
        <w:noProof/>
        <w:sz w:val="22"/>
      </w:rPr>
      <w:instrText>3</w:instrText>
    </w:r>
    <w:r>
      <w:rPr>
        <w:rFonts w:ascii="Times New Roman" w:hAnsi="Times New Roman"/>
        <w:sz w:val="22"/>
      </w:rPr>
      <w:fldChar w:fldCharType="end"/>
    </w:r>
    <w:r>
      <w:rPr>
        <w:rFonts w:ascii="Times New Roman" w:hAnsi="Times New Roman"/>
        <w:sz w:val="22"/>
      </w:rPr>
      <w:instrText xml:space="preserve"> + 1)/2 </w:instrText>
    </w:r>
    <w:r>
      <w:rPr>
        <w:rFonts w:ascii="Times New Roman" w:hAnsi="Times New Roman"/>
        <w:sz w:val="22"/>
      </w:rPr>
      <w:fldChar w:fldCharType="separate"/>
    </w:r>
    <w:r w:rsidR="00347A6E">
      <w:rPr>
        <w:rFonts w:ascii="Times New Roman" w:hAnsi="Times New Roman"/>
        <w:noProof/>
        <w:sz w:val="22"/>
      </w:rPr>
      <w:t>2</w:t>
    </w:r>
    <w:r>
      <w:rPr>
        <w:rFonts w:ascii="Times New Roman" w:hAnsi="Times New Roman"/>
        <w:sz w:val="22"/>
      </w:rPr>
      <w:fldChar w:fldCharType="end"/>
    </w:r>
    <w:r>
      <w:rPr>
        <w:rFonts w:ascii="Times New Roman" w:hAnsi="Times New Roman"/>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B35D8" w14:textId="1CBCB016" w:rsidR="002A794A" w:rsidRPr="00873AA1" w:rsidRDefault="002A794A" w:rsidP="00873A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77EFD" w14:textId="77777777" w:rsidR="00873AA1" w:rsidRPr="007225C9" w:rsidRDefault="00873AA1" w:rsidP="007225C9">
    <w:pPr>
      <w:pStyle w:val="Header"/>
      <w:tabs>
        <w:tab w:val="clear" w:pos="4153"/>
        <w:tab w:val="clear" w:pos="8306"/>
        <w:tab w:val="right" w:pos="1304"/>
      </w:tabs>
      <w:spacing w:line="280" w:lineRule="exact"/>
      <w:ind w:firstLine="0"/>
      <w:rPr>
        <w:rFonts w:ascii="Times New Roman" w:hAnsi="Times New Roman"/>
        <w:i/>
        <w:sz w:val="22"/>
      </w:rPr>
    </w:pPr>
    <w:proofErr w:type="spellStart"/>
    <w:r w:rsidRPr="007225C9">
      <w:rPr>
        <w:rFonts w:ascii="Times New Roman" w:hAnsi="Times New Roman"/>
        <w:i/>
        <w:sz w:val="22"/>
      </w:rPr>
      <w:t>Gageler</w:t>
    </w:r>
    <w:proofErr w:type="spellEnd"/>
    <w:r w:rsidRPr="007225C9">
      <w:rPr>
        <w:rFonts w:ascii="Times New Roman" w:hAnsi="Times New Roman"/>
        <w:i/>
        <w:sz w:val="22"/>
      </w:rPr>
      <w:tab/>
      <w:t>CJ</w:t>
    </w:r>
  </w:p>
  <w:p w14:paraId="6EFFAFF6" w14:textId="77777777" w:rsidR="00873AA1" w:rsidRPr="007225C9" w:rsidRDefault="00873AA1" w:rsidP="007225C9">
    <w:pPr>
      <w:pStyle w:val="Header"/>
      <w:tabs>
        <w:tab w:val="clear" w:pos="4153"/>
        <w:tab w:val="clear" w:pos="8306"/>
        <w:tab w:val="right" w:pos="1304"/>
      </w:tabs>
      <w:spacing w:line="280" w:lineRule="exact"/>
      <w:ind w:firstLine="0"/>
      <w:rPr>
        <w:rFonts w:ascii="Times New Roman" w:hAnsi="Times New Roman"/>
        <w:i/>
        <w:sz w:val="22"/>
      </w:rPr>
    </w:pPr>
    <w:r w:rsidRPr="007225C9">
      <w:rPr>
        <w:rFonts w:ascii="Times New Roman" w:hAnsi="Times New Roman"/>
        <w:i/>
        <w:sz w:val="22"/>
      </w:rPr>
      <w:t>Gleeson</w:t>
    </w:r>
    <w:r w:rsidRPr="007225C9">
      <w:rPr>
        <w:rFonts w:ascii="Times New Roman" w:hAnsi="Times New Roman"/>
        <w:i/>
        <w:sz w:val="22"/>
      </w:rPr>
      <w:tab/>
      <w:t>J</w:t>
    </w:r>
  </w:p>
  <w:p w14:paraId="620E5A8A" w14:textId="77777777" w:rsidR="00873AA1" w:rsidRDefault="00873AA1" w:rsidP="007225C9">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Beech-Jones</w:t>
    </w:r>
    <w:r>
      <w:rPr>
        <w:rFonts w:ascii="Times New Roman" w:hAnsi="Times New Roman"/>
        <w:i/>
        <w:sz w:val="22"/>
      </w:rPr>
      <w:tab/>
      <w:t>J</w:t>
    </w:r>
  </w:p>
  <w:p w14:paraId="5BB448CE" w14:textId="77777777" w:rsidR="00873AA1" w:rsidRDefault="00873AA1" w:rsidP="007225C9">
    <w:pPr>
      <w:pStyle w:val="Header"/>
      <w:tabs>
        <w:tab w:val="clear" w:pos="4153"/>
        <w:tab w:val="clear" w:pos="8306"/>
        <w:tab w:val="right" w:pos="1304"/>
      </w:tabs>
      <w:spacing w:line="280" w:lineRule="exact"/>
      <w:ind w:firstLine="0"/>
      <w:rPr>
        <w:rFonts w:ascii="Times New Roman" w:hAnsi="Times New Roman"/>
        <w:i/>
        <w:sz w:val="22"/>
      </w:rPr>
    </w:pPr>
  </w:p>
  <w:p w14:paraId="2E59FD86" w14:textId="77777777" w:rsidR="00873AA1" w:rsidRDefault="00873AA1" w:rsidP="007225C9">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4D5FCCBB" w14:textId="77777777" w:rsidR="00873AA1" w:rsidRPr="007225C9" w:rsidRDefault="00873AA1" w:rsidP="007225C9">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B8717" w14:textId="77777777" w:rsidR="00873AA1" w:rsidRPr="007225C9" w:rsidRDefault="00873AA1" w:rsidP="007225C9">
    <w:pPr>
      <w:pStyle w:val="Header"/>
      <w:tabs>
        <w:tab w:val="clear" w:pos="4153"/>
        <w:tab w:val="clear" w:pos="8306"/>
        <w:tab w:val="left" w:pos="7200"/>
        <w:tab w:val="right" w:pos="8504"/>
      </w:tabs>
      <w:spacing w:line="280" w:lineRule="exact"/>
      <w:jc w:val="right"/>
      <w:rPr>
        <w:rFonts w:ascii="Times New Roman" w:hAnsi="Times New Roman"/>
        <w:i/>
        <w:sz w:val="22"/>
      </w:rPr>
    </w:pPr>
    <w:r w:rsidRPr="007225C9">
      <w:rPr>
        <w:rFonts w:ascii="Times New Roman" w:hAnsi="Times New Roman"/>
        <w:i/>
        <w:sz w:val="22"/>
      </w:rPr>
      <w:tab/>
    </w:r>
    <w:proofErr w:type="spellStart"/>
    <w:r w:rsidRPr="007225C9">
      <w:rPr>
        <w:rFonts w:ascii="Times New Roman" w:hAnsi="Times New Roman"/>
        <w:i/>
        <w:sz w:val="22"/>
      </w:rPr>
      <w:t>Gageler</w:t>
    </w:r>
    <w:proofErr w:type="spellEnd"/>
    <w:r w:rsidRPr="007225C9">
      <w:rPr>
        <w:rFonts w:ascii="Times New Roman" w:hAnsi="Times New Roman"/>
        <w:i/>
        <w:sz w:val="22"/>
      </w:rPr>
      <w:tab/>
      <w:t>CJ</w:t>
    </w:r>
  </w:p>
  <w:p w14:paraId="30CA4450" w14:textId="77777777" w:rsidR="00873AA1" w:rsidRPr="007225C9" w:rsidRDefault="00873AA1" w:rsidP="007225C9">
    <w:pPr>
      <w:pStyle w:val="Header"/>
      <w:tabs>
        <w:tab w:val="clear" w:pos="4153"/>
        <w:tab w:val="clear" w:pos="8306"/>
        <w:tab w:val="left" w:pos="7200"/>
        <w:tab w:val="right" w:pos="8504"/>
      </w:tabs>
      <w:spacing w:line="280" w:lineRule="exact"/>
      <w:jc w:val="right"/>
      <w:rPr>
        <w:rFonts w:ascii="Times New Roman" w:hAnsi="Times New Roman"/>
        <w:i/>
        <w:sz w:val="22"/>
      </w:rPr>
    </w:pPr>
    <w:r w:rsidRPr="007225C9">
      <w:rPr>
        <w:rFonts w:ascii="Times New Roman" w:hAnsi="Times New Roman"/>
        <w:i/>
        <w:sz w:val="22"/>
      </w:rPr>
      <w:tab/>
      <w:t>Gleeson</w:t>
    </w:r>
    <w:r w:rsidRPr="007225C9">
      <w:rPr>
        <w:rFonts w:ascii="Times New Roman" w:hAnsi="Times New Roman"/>
        <w:i/>
        <w:sz w:val="22"/>
      </w:rPr>
      <w:tab/>
      <w:t>J</w:t>
    </w:r>
  </w:p>
  <w:p w14:paraId="5AAB8B6D" w14:textId="77777777" w:rsidR="00873AA1" w:rsidRDefault="00873AA1" w:rsidP="007225C9">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Beech-Jones</w:t>
    </w:r>
    <w:r>
      <w:rPr>
        <w:rFonts w:ascii="Times New Roman" w:hAnsi="Times New Roman"/>
        <w:i/>
        <w:sz w:val="22"/>
      </w:rPr>
      <w:tab/>
      <w:t>J</w:t>
    </w:r>
  </w:p>
  <w:p w14:paraId="0210B0B0" w14:textId="77777777" w:rsidR="00873AA1" w:rsidRDefault="00873AA1" w:rsidP="007225C9">
    <w:pPr>
      <w:pStyle w:val="Header"/>
      <w:tabs>
        <w:tab w:val="clear" w:pos="4153"/>
        <w:tab w:val="clear" w:pos="8306"/>
        <w:tab w:val="left" w:pos="7200"/>
        <w:tab w:val="right" w:pos="8504"/>
      </w:tabs>
      <w:spacing w:line="280" w:lineRule="exact"/>
      <w:jc w:val="right"/>
      <w:rPr>
        <w:rFonts w:ascii="Times New Roman" w:hAnsi="Times New Roman"/>
        <w:i/>
        <w:sz w:val="22"/>
      </w:rPr>
    </w:pPr>
  </w:p>
  <w:p w14:paraId="55570C7B" w14:textId="77777777" w:rsidR="00873AA1" w:rsidRDefault="00873AA1" w:rsidP="007225C9">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07869B8A" w14:textId="77777777" w:rsidR="00873AA1" w:rsidRPr="007225C9" w:rsidRDefault="00873AA1" w:rsidP="007225C9">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F45A" w14:textId="77777777" w:rsidR="00873AA1" w:rsidRDefault="00873AA1" w:rsidP="007225C9">
    <w:pPr>
      <w:pStyle w:val="Header"/>
      <w:tabs>
        <w:tab w:val="clear" w:pos="4153"/>
        <w:tab w:val="clear" w:pos="8306"/>
        <w:tab w:val="center" w:pos="1134"/>
      </w:tabs>
      <w:spacing w:line="280" w:lineRule="exact"/>
      <w:ind w:firstLine="0"/>
      <w:rPr>
        <w:rFonts w:ascii="Times New Roman" w:hAnsi="Times New Roman"/>
        <w:i/>
        <w:sz w:val="22"/>
      </w:rPr>
    </w:pPr>
  </w:p>
  <w:p w14:paraId="012DF4FE" w14:textId="77777777" w:rsidR="00873AA1" w:rsidRDefault="00873AA1" w:rsidP="007225C9">
    <w:pPr>
      <w:pStyle w:val="Header"/>
      <w:tabs>
        <w:tab w:val="clear" w:pos="4153"/>
        <w:tab w:val="clear" w:pos="8306"/>
        <w:tab w:val="center" w:pos="1134"/>
      </w:tabs>
      <w:spacing w:line="280" w:lineRule="exact"/>
      <w:ind w:firstLine="0"/>
      <w:rPr>
        <w:rFonts w:ascii="Times New Roman" w:hAnsi="Times New Roman"/>
        <w:i/>
        <w:sz w:val="22"/>
      </w:rPr>
    </w:pPr>
  </w:p>
  <w:p w14:paraId="5B1C7503" w14:textId="77777777" w:rsidR="00873AA1" w:rsidRDefault="00873AA1" w:rsidP="007225C9">
    <w:pPr>
      <w:pStyle w:val="Header"/>
      <w:tabs>
        <w:tab w:val="clear" w:pos="4153"/>
        <w:tab w:val="clear" w:pos="8306"/>
        <w:tab w:val="center" w:pos="1134"/>
      </w:tabs>
      <w:spacing w:line="280" w:lineRule="exact"/>
      <w:ind w:firstLine="0"/>
      <w:rPr>
        <w:rFonts w:ascii="Times New Roman" w:hAnsi="Times New Roman"/>
        <w:i/>
        <w:sz w:val="22"/>
      </w:rPr>
    </w:pPr>
  </w:p>
  <w:p w14:paraId="6DC1CB88" w14:textId="77777777" w:rsidR="00873AA1" w:rsidRDefault="00873AA1" w:rsidP="007225C9">
    <w:pPr>
      <w:pStyle w:val="Header"/>
      <w:tabs>
        <w:tab w:val="clear" w:pos="4153"/>
        <w:tab w:val="clear" w:pos="8306"/>
        <w:tab w:val="center" w:pos="1134"/>
      </w:tabs>
      <w:spacing w:line="280" w:lineRule="exact"/>
      <w:ind w:firstLine="0"/>
      <w:rPr>
        <w:rFonts w:ascii="Times New Roman" w:hAnsi="Times New Roman"/>
        <w:i/>
        <w:sz w:val="22"/>
      </w:rPr>
    </w:pPr>
  </w:p>
  <w:p w14:paraId="3EAA04BC" w14:textId="77777777" w:rsidR="00873AA1" w:rsidRDefault="00873AA1" w:rsidP="007225C9">
    <w:pPr>
      <w:pStyle w:val="Header"/>
      <w:tabs>
        <w:tab w:val="clear" w:pos="4153"/>
        <w:tab w:val="clear" w:pos="8306"/>
        <w:tab w:val="center" w:pos="1134"/>
      </w:tabs>
      <w:spacing w:line="280" w:lineRule="exact"/>
      <w:ind w:firstLine="0"/>
      <w:rPr>
        <w:rFonts w:ascii="Times New Roman" w:hAnsi="Times New Roman"/>
        <w:i/>
        <w:sz w:val="22"/>
      </w:rPr>
    </w:pPr>
  </w:p>
  <w:p w14:paraId="1B848288" w14:textId="77777777" w:rsidR="00873AA1" w:rsidRPr="007225C9" w:rsidRDefault="00873AA1" w:rsidP="007225C9">
    <w:pPr>
      <w:pStyle w:val="Header"/>
      <w:tabs>
        <w:tab w:val="clear" w:pos="4153"/>
        <w:tab w:val="clear" w:pos="8306"/>
        <w:tab w:val="center" w:pos="1134"/>
      </w:tabs>
      <w:spacing w:line="280" w:lineRule="exact"/>
      <w:ind w:firstLine="0"/>
      <w:rPr>
        <w:rFonts w:ascii="Times New Roman" w:hAnsi="Times New Roman"/>
        <w:i/>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743EE" w14:textId="77777777" w:rsidR="009F6ECF" w:rsidRDefault="009F6ECF" w:rsidP="002E3F08">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Gordon</w:t>
    </w:r>
    <w:r>
      <w:rPr>
        <w:rFonts w:ascii="Times New Roman" w:hAnsi="Times New Roman"/>
        <w:i/>
        <w:sz w:val="22"/>
      </w:rPr>
      <w:tab/>
      <w:t>J</w:t>
    </w:r>
  </w:p>
  <w:p w14:paraId="1C85FC6C" w14:textId="77777777" w:rsidR="009F6ECF" w:rsidRDefault="009F6ECF" w:rsidP="002E3F08">
    <w:pPr>
      <w:pStyle w:val="Header"/>
      <w:tabs>
        <w:tab w:val="clear" w:pos="4153"/>
        <w:tab w:val="clear" w:pos="8306"/>
        <w:tab w:val="right" w:pos="1304"/>
      </w:tabs>
      <w:spacing w:line="280" w:lineRule="exact"/>
      <w:ind w:firstLine="0"/>
      <w:rPr>
        <w:rFonts w:ascii="Times New Roman" w:hAnsi="Times New Roman"/>
        <w:i/>
        <w:sz w:val="22"/>
      </w:rPr>
    </w:pPr>
  </w:p>
  <w:p w14:paraId="5B31717B" w14:textId="77777777" w:rsidR="009F6ECF" w:rsidRDefault="009F6ECF" w:rsidP="002E3F08">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12DB6902" w14:textId="77777777" w:rsidR="009F6ECF" w:rsidRPr="002E3F08" w:rsidRDefault="009F6ECF" w:rsidP="002E3F08">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C2CA7" w14:textId="77777777" w:rsidR="009F6ECF" w:rsidRDefault="009F6ECF" w:rsidP="002E3F08">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Gordon</w:t>
    </w:r>
    <w:r>
      <w:rPr>
        <w:rFonts w:ascii="Times New Roman" w:hAnsi="Times New Roman"/>
        <w:i/>
        <w:sz w:val="22"/>
      </w:rPr>
      <w:tab/>
      <w:t>J</w:t>
    </w:r>
  </w:p>
  <w:p w14:paraId="2E3A0BF0" w14:textId="77777777" w:rsidR="009F6ECF" w:rsidRDefault="009F6ECF" w:rsidP="002E3F08">
    <w:pPr>
      <w:pStyle w:val="Header"/>
      <w:tabs>
        <w:tab w:val="clear" w:pos="4153"/>
        <w:tab w:val="clear" w:pos="8306"/>
        <w:tab w:val="left" w:pos="7200"/>
        <w:tab w:val="right" w:pos="8504"/>
      </w:tabs>
      <w:spacing w:line="280" w:lineRule="exact"/>
      <w:jc w:val="right"/>
      <w:rPr>
        <w:rFonts w:ascii="Times New Roman" w:hAnsi="Times New Roman"/>
        <w:i/>
        <w:sz w:val="22"/>
      </w:rPr>
    </w:pPr>
  </w:p>
  <w:p w14:paraId="03E8C70A" w14:textId="77777777" w:rsidR="009F6ECF" w:rsidRDefault="009F6ECF" w:rsidP="002E3F08">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14287DBD" w14:textId="77777777" w:rsidR="009F6ECF" w:rsidRPr="002E3F08" w:rsidRDefault="009F6ECF" w:rsidP="002E3F08">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E2B69" w14:textId="77777777" w:rsidR="009F6ECF" w:rsidRDefault="009F6ECF" w:rsidP="002E3F08">
    <w:pPr>
      <w:pStyle w:val="Header"/>
      <w:tabs>
        <w:tab w:val="clear" w:pos="4153"/>
        <w:tab w:val="clear" w:pos="8306"/>
        <w:tab w:val="center" w:pos="1134"/>
      </w:tabs>
      <w:spacing w:line="280" w:lineRule="exact"/>
      <w:ind w:firstLine="0"/>
      <w:rPr>
        <w:rFonts w:ascii="Times New Roman" w:hAnsi="Times New Roman"/>
        <w:i/>
        <w:sz w:val="22"/>
      </w:rPr>
    </w:pPr>
  </w:p>
  <w:p w14:paraId="0E140123" w14:textId="77777777" w:rsidR="009F6ECF" w:rsidRDefault="009F6ECF" w:rsidP="002E3F08">
    <w:pPr>
      <w:pStyle w:val="Header"/>
      <w:tabs>
        <w:tab w:val="clear" w:pos="4153"/>
        <w:tab w:val="clear" w:pos="8306"/>
        <w:tab w:val="center" w:pos="1134"/>
      </w:tabs>
      <w:spacing w:line="280" w:lineRule="exact"/>
      <w:ind w:firstLine="0"/>
      <w:rPr>
        <w:rFonts w:ascii="Times New Roman" w:hAnsi="Times New Roman"/>
        <w:i/>
        <w:sz w:val="22"/>
      </w:rPr>
    </w:pPr>
  </w:p>
  <w:p w14:paraId="307C52B7" w14:textId="77777777" w:rsidR="009F6ECF" w:rsidRDefault="009F6ECF" w:rsidP="002E3F08">
    <w:pPr>
      <w:pStyle w:val="Header"/>
      <w:tabs>
        <w:tab w:val="clear" w:pos="4153"/>
        <w:tab w:val="clear" w:pos="8306"/>
        <w:tab w:val="center" w:pos="1134"/>
      </w:tabs>
      <w:spacing w:line="280" w:lineRule="exact"/>
      <w:ind w:firstLine="0"/>
      <w:rPr>
        <w:rFonts w:ascii="Times New Roman" w:hAnsi="Times New Roman"/>
        <w:i/>
        <w:sz w:val="22"/>
      </w:rPr>
    </w:pPr>
  </w:p>
  <w:p w14:paraId="2C7DF665" w14:textId="77777777" w:rsidR="009F6ECF" w:rsidRPr="002E3F08" w:rsidRDefault="009F6ECF" w:rsidP="002E3F08">
    <w:pPr>
      <w:pStyle w:val="Header"/>
      <w:tabs>
        <w:tab w:val="clear" w:pos="4153"/>
        <w:tab w:val="clear" w:pos="8306"/>
        <w:tab w:val="center" w:pos="1134"/>
      </w:tabs>
      <w:spacing w:line="280" w:lineRule="exact"/>
      <w:ind w:firstLine="0"/>
      <w:rPr>
        <w:rFonts w:ascii="Times New Roman" w:hAnsi="Times New Roman"/>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682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0807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749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4B1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BA88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A2BE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F827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08F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2F9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56C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158E9"/>
    <w:multiLevelType w:val="hybridMultilevel"/>
    <w:tmpl w:val="F2E28A58"/>
    <w:lvl w:ilvl="0" w:tplc="3F84F7E0">
      <w:start w:val="1"/>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1" w15:restartNumberingAfterBreak="0">
    <w:nsid w:val="0CA83894"/>
    <w:multiLevelType w:val="hybridMultilevel"/>
    <w:tmpl w:val="6CA696CA"/>
    <w:lvl w:ilvl="0" w:tplc="2542D178">
      <w:start w:val="1"/>
      <w:numFmt w:val="decimal"/>
      <w:pStyle w:val="FixListStyle"/>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13F55D99"/>
    <w:multiLevelType w:val="hybridMultilevel"/>
    <w:tmpl w:val="E3DAB62C"/>
    <w:lvl w:ilvl="0" w:tplc="3E62A190">
      <w:start w:val="1"/>
      <w:numFmt w:val="lowerLetter"/>
      <w:lvlText w:val="%1)"/>
      <w:lvlJc w:val="left"/>
      <w:pPr>
        <w:ind w:left="1020" w:hanging="360"/>
      </w:pPr>
    </w:lvl>
    <w:lvl w:ilvl="1" w:tplc="823819BE">
      <w:start w:val="1"/>
      <w:numFmt w:val="lowerLetter"/>
      <w:lvlText w:val="%2)"/>
      <w:lvlJc w:val="left"/>
      <w:pPr>
        <w:ind w:left="1020" w:hanging="360"/>
      </w:pPr>
    </w:lvl>
    <w:lvl w:ilvl="2" w:tplc="D6528A9C">
      <w:start w:val="1"/>
      <w:numFmt w:val="lowerLetter"/>
      <w:lvlText w:val="%3)"/>
      <w:lvlJc w:val="left"/>
      <w:pPr>
        <w:ind w:left="1020" w:hanging="360"/>
      </w:pPr>
    </w:lvl>
    <w:lvl w:ilvl="3" w:tplc="E27EA6EE">
      <w:start w:val="1"/>
      <w:numFmt w:val="lowerLetter"/>
      <w:lvlText w:val="%4)"/>
      <w:lvlJc w:val="left"/>
      <w:pPr>
        <w:ind w:left="1020" w:hanging="360"/>
      </w:pPr>
    </w:lvl>
    <w:lvl w:ilvl="4" w:tplc="87E8368A">
      <w:start w:val="1"/>
      <w:numFmt w:val="lowerLetter"/>
      <w:lvlText w:val="%5)"/>
      <w:lvlJc w:val="left"/>
      <w:pPr>
        <w:ind w:left="1020" w:hanging="360"/>
      </w:pPr>
    </w:lvl>
    <w:lvl w:ilvl="5" w:tplc="AA7A832A">
      <w:start w:val="1"/>
      <w:numFmt w:val="lowerLetter"/>
      <w:lvlText w:val="%6)"/>
      <w:lvlJc w:val="left"/>
      <w:pPr>
        <w:ind w:left="1020" w:hanging="360"/>
      </w:pPr>
    </w:lvl>
    <w:lvl w:ilvl="6" w:tplc="52A046E0">
      <w:start w:val="1"/>
      <w:numFmt w:val="lowerLetter"/>
      <w:lvlText w:val="%7)"/>
      <w:lvlJc w:val="left"/>
      <w:pPr>
        <w:ind w:left="1020" w:hanging="360"/>
      </w:pPr>
    </w:lvl>
    <w:lvl w:ilvl="7" w:tplc="555ACFB0">
      <w:start w:val="1"/>
      <w:numFmt w:val="lowerLetter"/>
      <w:lvlText w:val="%8)"/>
      <w:lvlJc w:val="left"/>
      <w:pPr>
        <w:ind w:left="1020" w:hanging="360"/>
      </w:pPr>
    </w:lvl>
    <w:lvl w:ilvl="8" w:tplc="12467F86">
      <w:start w:val="1"/>
      <w:numFmt w:val="lowerLetter"/>
      <w:lvlText w:val="%9)"/>
      <w:lvlJc w:val="left"/>
      <w:pPr>
        <w:ind w:left="1020" w:hanging="360"/>
      </w:pPr>
    </w:lvl>
  </w:abstractNum>
  <w:abstractNum w:abstractNumId="13" w15:restartNumberingAfterBreak="0">
    <w:nsid w:val="15C424B1"/>
    <w:multiLevelType w:val="hybridMultilevel"/>
    <w:tmpl w:val="B4107958"/>
    <w:lvl w:ilvl="0" w:tplc="84203C3C">
      <w:start w:val="1"/>
      <w:numFmt w:val="decimal"/>
      <w:lvlText w:val="%1."/>
      <w:lvlJc w:val="left"/>
      <w:pPr>
        <w:ind w:left="1020" w:hanging="360"/>
      </w:pPr>
    </w:lvl>
    <w:lvl w:ilvl="1" w:tplc="20387FB8">
      <w:start w:val="1"/>
      <w:numFmt w:val="decimal"/>
      <w:lvlText w:val="%2."/>
      <w:lvlJc w:val="left"/>
      <w:pPr>
        <w:ind w:left="1020" w:hanging="360"/>
      </w:pPr>
    </w:lvl>
    <w:lvl w:ilvl="2" w:tplc="2E107FF0">
      <w:start w:val="1"/>
      <w:numFmt w:val="decimal"/>
      <w:lvlText w:val="%3."/>
      <w:lvlJc w:val="left"/>
      <w:pPr>
        <w:ind w:left="1020" w:hanging="360"/>
      </w:pPr>
    </w:lvl>
    <w:lvl w:ilvl="3" w:tplc="C1C2A68A">
      <w:start w:val="1"/>
      <w:numFmt w:val="decimal"/>
      <w:lvlText w:val="%4."/>
      <w:lvlJc w:val="left"/>
      <w:pPr>
        <w:ind w:left="1020" w:hanging="360"/>
      </w:pPr>
    </w:lvl>
    <w:lvl w:ilvl="4" w:tplc="A8CC0396">
      <w:start w:val="1"/>
      <w:numFmt w:val="decimal"/>
      <w:lvlText w:val="%5."/>
      <w:lvlJc w:val="left"/>
      <w:pPr>
        <w:ind w:left="1020" w:hanging="360"/>
      </w:pPr>
    </w:lvl>
    <w:lvl w:ilvl="5" w:tplc="DAF0B814">
      <w:start w:val="1"/>
      <w:numFmt w:val="decimal"/>
      <w:lvlText w:val="%6."/>
      <w:lvlJc w:val="left"/>
      <w:pPr>
        <w:ind w:left="1020" w:hanging="360"/>
      </w:pPr>
    </w:lvl>
    <w:lvl w:ilvl="6" w:tplc="712C462E">
      <w:start w:val="1"/>
      <w:numFmt w:val="decimal"/>
      <w:lvlText w:val="%7."/>
      <w:lvlJc w:val="left"/>
      <w:pPr>
        <w:ind w:left="1020" w:hanging="360"/>
      </w:pPr>
    </w:lvl>
    <w:lvl w:ilvl="7" w:tplc="DE3C1CD4">
      <w:start w:val="1"/>
      <w:numFmt w:val="decimal"/>
      <w:lvlText w:val="%8."/>
      <w:lvlJc w:val="left"/>
      <w:pPr>
        <w:ind w:left="1020" w:hanging="360"/>
      </w:pPr>
    </w:lvl>
    <w:lvl w:ilvl="8" w:tplc="4002DBD6">
      <w:start w:val="1"/>
      <w:numFmt w:val="decimal"/>
      <w:lvlText w:val="%9."/>
      <w:lvlJc w:val="left"/>
      <w:pPr>
        <w:ind w:left="1020" w:hanging="360"/>
      </w:pPr>
    </w:lvl>
  </w:abstractNum>
  <w:abstractNum w:abstractNumId="14" w15:restartNumberingAfterBreak="0">
    <w:nsid w:val="1BD02845"/>
    <w:multiLevelType w:val="hybridMultilevel"/>
    <w:tmpl w:val="47D8A9D8"/>
    <w:lvl w:ilvl="0" w:tplc="4D32FF48">
      <w:start w:val="1"/>
      <w:numFmt w:val="decimal"/>
      <w:lvlText w:val="%1)"/>
      <w:lvlJc w:val="left"/>
      <w:pPr>
        <w:ind w:left="1020" w:hanging="360"/>
      </w:pPr>
    </w:lvl>
    <w:lvl w:ilvl="1" w:tplc="00643D78">
      <w:start w:val="1"/>
      <w:numFmt w:val="decimal"/>
      <w:lvlText w:val="%2)"/>
      <w:lvlJc w:val="left"/>
      <w:pPr>
        <w:ind w:left="1020" w:hanging="360"/>
      </w:pPr>
    </w:lvl>
    <w:lvl w:ilvl="2" w:tplc="A94C3944">
      <w:start w:val="1"/>
      <w:numFmt w:val="decimal"/>
      <w:lvlText w:val="%3)"/>
      <w:lvlJc w:val="left"/>
      <w:pPr>
        <w:ind w:left="1020" w:hanging="360"/>
      </w:pPr>
    </w:lvl>
    <w:lvl w:ilvl="3" w:tplc="413C18B2">
      <w:start w:val="1"/>
      <w:numFmt w:val="decimal"/>
      <w:lvlText w:val="%4)"/>
      <w:lvlJc w:val="left"/>
      <w:pPr>
        <w:ind w:left="1020" w:hanging="360"/>
      </w:pPr>
    </w:lvl>
    <w:lvl w:ilvl="4" w:tplc="DE341624">
      <w:start w:val="1"/>
      <w:numFmt w:val="decimal"/>
      <w:lvlText w:val="%5)"/>
      <w:lvlJc w:val="left"/>
      <w:pPr>
        <w:ind w:left="1020" w:hanging="360"/>
      </w:pPr>
    </w:lvl>
    <w:lvl w:ilvl="5" w:tplc="A8347F1C">
      <w:start w:val="1"/>
      <w:numFmt w:val="decimal"/>
      <w:lvlText w:val="%6)"/>
      <w:lvlJc w:val="left"/>
      <w:pPr>
        <w:ind w:left="1020" w:hanging="360"/>
      </w:pPr>
    </w:lvl>
    <w:lvl w:ilvl="6" w:tplc="F41EAA04">
      <w:start w:val="1"/>
      <w:numFmt w:val="decimal"/>
      <w:lvlText w:val="%7)"/>
      <w:lvlJc w:val="left"/>
      <w:pPr>
        <w:ind w:left="1020" w:hanging="360"/>
      </w:pPr>
    </w:lvl>
    <w:lvl w:ilvl="7" w:tplc="EC507EFA">
      <w:start w:val="1"/>
      <w:numFmt w:val="decimal"/>
      <w:lvlText w:val="%8)"/>
      <w:lvlJc w:val="left"/>
      <w:pPr>
        <w:ind w:left="1020" w:hanging="360"/>
      </w:pPr>
    </w:lvl>
    <w:lvl w:ilvl="8" w:tplc="E53A8EB6">
      <w:start w:val="1"/>
      <w:numFmt w:val="decimal"/>
      <w:lvlText w:val="%9)"/>
      <w:lvlJc w:val="left"/>
      <w:pPr>
        <w:ind w:left="1020" w:hanging="360"/>
      </w:pPr>
    </w:lvl>
  </w:abstractNum>
  <w:abstractNum w:abstractNumId="15" w15:restartNumberingAfterBreak="0">
    <w:nsid w:val="1DB72524"/>
    <w:multiLevelType w:val="hybridMultilevel"/>
    <w:tmpl w:val="151AE258"/>
    <w:lvl w:ilvl="0" w:tplc="F1FC117E">
      <w:start w:val="1"/>
      <w:numFmt w:val="decimal"/>
      <w:lvlText w:val="%1)"/>
      <w:lvlJc w:val="left"/>
      <w:pPr>
        <w:ind w:left="1020" w:hanging="360"/>
      </w:pPr>
    </w:lvl>
    <w:lvl w:ilvl="1" w:tplc="91BEBBA4">
      <w:start w:val="1"/>
      <w:numFmt w:val="decimal"/>
      <w:lvlText w:val="%2)"/>
      <w:lvlJc w:val="left"/>
      <w:pPr>
        <w:ind w:left="1020" w:hanging="360"/>
      </w:pPr>
    </w:lvl>
    <w:lvl w:ilvl="2" w:tplc="36F82E62">
      <w:start w:val="1"/>
      <w:numFmt w:val="decimal"/>
      <w:lvlText w:val="%3)"/>
      <w:lvlJc w:val="left"/>
      <w:pPr>
        <w:ind w:left="1020" w:hanging="360"/>
      </w:pPr>
    </w:lvl>
    <w:lvl w:ilvl="3" w:tplc="DA30DE0C">
      <w:start w:val="1"/>
      <w:numFmt w:val="decimal"/>
      <w:lvlText w:val="%4)"/>
      <w:lvlJc w:val="left"/>
      <w:pPr>
        <w:ind w:left="1020" w:hanging="360"/>
      </w:pPr>
    </w:lvl>
    <w:lvl w:ilvl="4" w:tplc="0D0CDFAE">
      <w:start w:val="1"/>
      <w:numFmt w:val="decimal"/>
      <w:lvlText w:val="%5)"/>
      <w:lvlJc w:val="left"/>
      <w:pPr>
        <w:ind w:left="1020" w:hanging="360"/>
      </w:pPr>
    </w:lvl>
    <w:lvl w:ilvl="5" w:tplc="A15CC81C">
      <w:start w:val="1"/>
      <w:numFmt w:val="decimal"/>
      <w:lvlText w:val="%6)"/>
      <w:lvlJc w:val="left"/>
      <w:pPr>
        <w:ind w:left="1020" w:hanging="360"/>
      </w:pPr>
    </w:lvl>
    <w:lvl w:ilvl="6" w:tplc="7812BBF4">
      <w:start w:val="1"/>
      <w:numFmt w:val="decimal"/>
      <w:lvlText w:val="%7)"/>
      <w:lvlJc w:val="left"/>
      <w:pPr>
        <w:ind w:left="1020" w:hanging="360"/>
      </w:pPr>
    </w:lvl>
    <w:lvl w:ilvl="7" w:tplc="F564B3E4">
      <w:start w:val="1"/>
      <w:numFmt w:val="decimal"/>
      <w:lvlText w:val="%8)"/>
      <w:lvlJc w:val="left"/>
      <w:pPr>
        <w:ind w:left="1020" w:hanging="360"/>
      </w:pPr>
    </w:lvl>
    <w:lvl w:ilvl="8" w:tplc="AE0EF7D8">
      <w:start w:val="1"/>
      <w:numFmt w:val="decimal"/>
      <w:lvlText w:val="%9)"/>
      <w:lvlJc w:val="left"/>
      <w:pPr>
        <w:ind w:left="1020" w:hanging="360"/>
      </w:pPr>
    </w:lvl>
  </w:abstractNum>
  <w:abstractNum w:abstractNumId="16" w15:restartNumberingAfterBreak="0">
    <w:nsid w:val="1EF5578A"/>
    <w:multiLevelType w:val="hybridMultilevel"/>
    <w:tmpl w:val="1576A010"/>
    <w:lvl w:ilvl="0" w:tplc="97AE9906">
      <w:start w:val="1"/>
      <w:numFmt w:val="decimal"/>
      <w:pStyle w:val="NormalHC"/>
      <w:lvlText w:val="%1."/>
      <w:lvlJc w:val="left"/>
      <w:pPr>
        <w:ind w:left="720" w:hanging="144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267B778B"/>
    <w:multiLevelType w:val="hybridMultilevel"/>
    <w:tmpl w:val="E05228D8"/>
    <w:lvl w:ilvl="0" w:tplc="60669828">
      <w:start w:val="1"/>
      <w:numFmt w:val="bullet"/>
      <w:lvlText w:val=""/>
      <w:lvlJc w:val="left"/>
      <w:pPr>
        <w:ind w:left="720" w:hanging="360"/>
      </w:pPr>
      <w:rPr>
        <w:rFonts w:ascii="Symbol" w:hAnsi="Symbol"/>
      </w:rPr>
    </w:lvl>
    <w:lvl w:ilvl="1" w:tplc="A556851E">
      <w:start w:val="1"/>
      <w:numFmt w:val="bullet"/>
      <w:lvlText w:val=""/>
      <w:lvlJc w:val="left"/>
      <w:pPr>
        <w:ind w:left="720" w:hanging="360"/>
      </w:pPr>
      <w:rPr>
        <w:rFonts w:ascii="Symbol" w:hAnsi="Symbol"/>
      </w:rPr>
    </w:lvl>
    <w:lvl w:ilvl="2" w:tplc="45705FE8">
      <w:start w:val="1"/>
      <w:numFmt w:val="bullet"/>
      <w:lvlText w:val=""/>
      <w:lvlJc w:val="left"/>
      <w:pPr>
        <w:ind w:left="720" w:hanging="360"/>
      </w:pPr>
      <w:rPr>
        <w:rFonts w:ascii="Symbol" w:hAnsi="Symbol"/>
      </w:rPr>
    </w:lvl>
    <w:lvl w:ilvl="3" w:tplc="B546B976">
      <w:start w:val="1"/>
      <w:numFmt w:val="bullet"/>
      <w:lvlText w:val=""/>
      <w:lvlJc w:val="left"/>
      <w:pPr>
        <w:ind w:left="720" w:hanging="360"/>
      </w:pPr>
      <w:rPr>
        <w:rFonts w:ascii="Symbol" w:hAnsi="Symbol"/>
      </w:rPr>
    </w:lvl>
    <w:lvl w:ilvl="4" w:tplc="69E27178">
      <w:start w:val="1"/>
      <w:numFmt w:val="bullet"/>
      <w:lvlText w:val=""/>
      <w:lvlJc w:val="left"/>
      <w:pPr>
        <w:ind w:left="720" w:hanging="360"/>
      </w:pPr>
      <w:rPr>
        <w:rFonts w:ascii="Symbol" w:hAnsi="Symbol"/>
      </w:rPr>
    </w:lvl>
    <w:lvl w:ilvl="5" w:tplc="6FDE1B7E">
      <w:start w:val="1"/>
      <w:numFmt w:val="bullet"/>
      <w:lvlText w:val=""/>
      <w:lvlJc w:val="left"/>
      <w:pPr>
        <w:ind w:left="720" w:hanging="360"/>
      </w:pPr>
      <w:rPr>
        <w:rFonts w:ascii="Symbol" w:hAnsi="Symbol"/>
      </w:rPr>
    </w:lvl>
    <w:lvl w:ilvl="6" w:tplc="1C8808A8">
      <w:start w:val="1"/>
      <w:numFmt w:val="bullet"/>
      <w:lvlText w:val=""/>
      <w:lvlJc w:val="left"/>
      <w:pPr>
        <w:ind w:left="720" w:hanging="360"/>
      </w:pPr>
      <w:rPr>
        <w:rFonts w:ascii="Symbol" w:hAnsi="Symbol"/>
      </w:rPr>
    </w:lvl>
    <w:lvl w:ilvl="7" w:tplc="91D29D9A">
      <w:start w:val="1"/>
      <w:numFmt w:val="bullet"/>
      <w:lvlText w:val=""/>
      <w:lvlJc w:val="left"/>
      <w:pPr>
        <w:ind w:left="720" w:hanging="360"/>
      </w:pPr>
      <w:rPr>
        <w:rFonts w:ascii="Symbol" w:hAnsi="Symbol"/>
      </w:rPr>
    </w:lvl>
    <w:lvl w:ilvl="8" w:tplc="A4F4C126">
      <w:start w:val="1"/>
      <w:numFmt w:val="bullet"/>
      <w:lvlText w:val=""/>
      <w:lvlJc w:val="left"/>
      <w:pPr>
        <w:ind w:left="720" w:hanging="360"/>
      </w:pPr>
      <w:rPr>
        <w:rFonts w:ascii="Symbol" w:hAnsi="Symbol"/>
      </w:rPr>
    </w:lvl>
  </w:abstractNum>
  <w:abstractNum w:abstractNumId="18" w15:restartNumberingAfterBreak="0">
    <w:nsid w:val="2E8C6A0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F3C3D00"/>
    <w:multiLevelType w:val="hybridMultilevel"/>
    <w:tmpl w:val="E49A95D6"/>
    <w:lvl w:ilvl="0" w:tplc="BFCCA5A8">
      <w:start w:val="1"/>
      <w:numFmt w:val="lowerLetter"/>
      <w:lvlText w:val="%1)"/>
      <w:lvlJc w:val="left"/>
      <w:pPr>
        <w:ind w:left="720" w:hanging="360"/>
      </w:pPr>
    </w:lvl>
    <w:lvl w:ilvl="1" w:tplc="A32EBFE6">
      <w:start w:val="1"/>
      <w:numFmt w:val="lowerLetter"/>
      <w:lvlText w:val="%2)"/>
      <w:lvlJc w:val="left"/>
      <w:pPr>
        <w:ind w:left="720" w:hanging="360"/>
      </w:pPr>
    </w:lvl>
    <w:lvl w:ilvl="2" w:tplc="4B6617A2">
      <w:start w:val="1"/>
      <w:numFmt w:val="lowerLetter"/>
      <w:lvlText w:val="%3)"/>
      <w:lvlJc w:val="left"/>
      <w:pPr>
        <w:ind w:left="720" w:hanging="360"/>
      </w:pPr>
    </w:lvl>
    <w:lvl w:ilvl="3" w:tplc="187CCCEE">
      <w:start w:val="1"/>
      <w:numFmt w:val="lowerLetter"/>
      <w:lvlText w:val="%4)"/>
      <w:lvlJc w:val="left"/>
      <w:pPr>
        <w:ind w:left="720" w:hanging="360"/>
      </w:pPr>
    </w:lvl>
    <w:lvl w:ilvl="4" w:tplc="47E0DEB6">
      <w:start w:val="1"/>
      <w:numFmt w:val="lowerLetter"/>
      <w:lvlText w:val="%5)"/>
      <w:lvlJc w:val="left"/>
      <w:pPr>
        <w:ind w:left="720" w:hanging="360"/>
      </w:pPr>
    </w:lvl>
    <w:lvl w:ilvl="5" w:tplc="AC887C28">
      <w:start w:val="1"/>
      <w:numFmt w:val="lowerLetter"/>
      <w:lvlText w:val="%6)"/>
      <w:lvlJc w:val="left"/>
      <w:pPr>
        <w:ind w:left="720" w:hanging="360"/>
      </w:pPr>
    </w:lvl>
    <w:lvl w:ilvl="6" w:tplc="6610E852">
      <w:start w:val="1"/>
      <w:numFmt w:val="lowerLetter"/>
      <w:lvlText w:val="%7)"/>
      <w:lvlJc w:val="left"/>
      <w:pPr>
        <w:ind w:left="720" w:hanging="360"/>
      </w:pPr>
    </w:lvl>
    <w:lvl w:ilvl="7" w:tplc="2EB8A910">
      <w:start w:val="1"/>
      <w:numFmt w:val="lowerLetter"/>
      <w:lvlText w:val="%8)"/>
      <w:lvlJc w:val="left"/>
      <w:pPr>
        <w:ind w:left="720" w:hanging="360"/>
      </w:pPr>
    </w:lvl>
    <w:lvl w:ilvl="8" w:tplc="60169282">
      <w:start w:val="1"/>
      <w:numFmt w:val="lowerLetter"/>
      <w:lvlText w:val="%9)"/>
      <w:lvlJc w:val="left"/>
      <w:pPr>
        <w:ind w:left="720" w:hanging="360"/>
      </w:pPr>
    </w:lvl>
  </w:abstractNum>
  <w:abstractNum w:abstractNumId="20" w15:restartNumberingAfterBreak="0">
    <w:nsid w:val="33E81BC1"/>
    <w:multiLevelType w:val="hybridMultilevel"/>
    <w:tmpl w:val="FF2AB710"/>
    <w:lvl w:ilvl="0" w:tplc="907422E0">
      <w:start w:val="1"/>
      <w:numFmt w:val="decimal"/>
      <w:lvlText w:val="%1)"/>
      <w:lvlJc w:val="left"/>
      <w:pPr>
        <w:ind w:left="1020" w:hanging="360"/>
      </w:pPr>
    </w:lvl>
    <w:lvl w:ilvl="1" w:tplc="46AA355E">
      <w:start w:val="1"/>
      <w:numFmt w:val="decimal"/>
      <w:lvlText w:val="%2)"/>
      <w:lvlJc w:val="left"/>
      <w:pPr>
        <w:ind w:left="1020" w:hanging="360"/>
      </w:pPr>
    </w:lvl>
    <w:lvl w:ilvl="2" w:tplc="BAFE2068">
      <w:start w:val="1"/>
      <w:numFmt w:val="decimal"/>
      <w:lvlText w:val="%3)"/>
      <w:lvlJc w:val="left"/>
      <w:pPr>
        <w:ind w:left="1020" w:hanging="360"/>
      </w:pPr>
    </w:lvl>
    <w:lvl w:ilvl="3" w:tplc="821E4062">
      <w:start w:val="1"/>
      <w:numFmt w:val="decimal"/>
      <w:lvlText w:val="%4)"/>
      <w:lvlJc w:val="left"/>
      <w:pPr>
        <w:ind w:left="1020" w:hanging="360"/>
      </w:pPr>
    </w:lvl>
    <w:lvl w:ilvl="4" w:tplc="40822662">
      <w:start w:val="1"/>
      <w:numFmt w:val="decimal"/>
      <w:lvlText w:val="%5)"/>
      <w:lvlJc w:val="left"/>
      <w:pPr>
        <w:ind w:left="1020" w:hanging="360"/>
      </w:pPr>
    </w:lvl>
    <w:lvl w:ilvl="5" w:tplc="02ACEE5E">
      <w:start w:val="1"/>
      <w:numFmt w:val="decimal"/>
      <w:lvlText w:val="%6)"/>
      <w:lvlJc w:val="left"/>
      <w:pPr>
        <w:ind w:left="1020" w:hanging="360"/>
      </w:pPr>
    </w:lvl>
    <w:lvl w:ilvl="6" w:tplc="21F06232">
      <w:start w:val="1"/>
      <w:numFmt w:val="decimal"/>
      <w:lvlText w:val="%7)"/>
      <w:lvlJc w:val="left"/>
      <w:pPr>
        <w:ind w:left="1020" w:hanging="360"/>
      </w:pPr>
    </w:lvl>
    <w:lvl w:ilvl="7" w:tplc="6DB65CCA">
      <w:start w:val="1"/>
      <w:numFmt w:val="decimal"/>
      <w:lvlText w:val="%8)"/>
      <w:lvlJc w:val="left"/>
      <w:pPr>
        <w:ind w:left="1020" w:hanging="360"/>
      </w:pPr>
    </w:lvl>
    <w:lvl w:ilvl="8" w:tplc="20C45A38">
      <w:start w:val="1"/>
      <w:numFmt w:val="decimal"/>
      <w:lvlText w:val="%9)"/>
      <w:lvlJc w:val="left"/>
      <w:pPr>
        <w:ind w:left="1020" w:hanging="360"/>
      </w:pPr>
    </w:lvl>
  </w:abstractNum>
  <w:abstractNum w:abstractNumId="21" w15:restartNumberingAfterBreak="0">
    <w:nsid w:val="39006C17"/>
    <w:multiLevelType w:val="hybridMultilevel"/>
    <w:tmpl w:val="1E528BDC"/>
    <w:lvl w:ilvl="0" w:tplc="22CE9EF6">
      <w:start w:val="1"/>
      <w:numFmt w:val="decimal"/>
      <w:lvlText w:val="%1)"/>
      <w:lvlJc w:val="left"/>
      <w:pPr>
        <w:ind w:left="1020" w:hanging="360"/>
      </w:pPr>
    </w:lvl>
    <w:lvl w:ilvl="1" w:tplc="CA2EBE52">
      <w:start w:val="1"/>
      <w:numFmt w:val="decimal"/>
      <w:lvlText w:val="%2)"/>
      <w:lvlJc w:val="left"/>
      <w:pPr>
        <w:ind w:left="1020" w:hanging="360"/>
      </w:pPr>
    </w:lvl>
    <w:lvl w:ilvl="2" w:tplc="E648FF4E">
      <w:start w:val="1"/>
      <w:numFmt w:val="decimal"/>
      <w:lvlText w:val="%3)"/>
      <w:lvlJc w:val="left"/>
      <w:pPr>
        <w:ind w:left="1020" w:hanging="360"/>
      </w:pPr>
    </w:lvl>
    <w:lvl w:ilvl="3" w:tplc="187A5C40">
      <w:start w:val="1"/>
      <w:numFmt w:val="decimal"/>
      <w:lvlText w:val="%4)"/>
      <w:lvlJc w:val="left"/>
      <w:pPr>
        <w:ind w:left="1020" w:hanging="360"/>
      </w:pPr>
    </w:lvl>
    <w:lvl w:ilvl="4" w:tplc="9A4E44CC">
      <w:start w:val="1"/>
      <w:numFmt w:val="decimal"/>
      <w:lvlText w:val="%5)"/>
      <w:lvlJc w:val="left"/>
      <w:pPr>
        <w:ind w:left="1020" w:hanging="360"/>
      </w:pPr>
    </w:lvl>
    <w:lvl w:ilvl="5" w:tplc="9E9A1290">
      <w:start w:val="1"/>
      <w:numFmt w:val="decimal"/>
      <w:lvlText w:val="%6)"/>
      <w:lvlJc w:val="left"/>
      <w:pPr>
        <w:ind w:left="1020" w:hanging="360"/>
      </w:pPr>
    </w:lvl>
    <w:lvl w:ilvl="6" w:tplc="6302D874">
      <w:start w:val="1"/>
      <w:numFmt w:val="decimal"/>
      <w:lvlText w:val="%7)"/>
      <w:lvlJc w:val="left"/>
      <w:pPr>
        <w:ind w:left="1020" w:hanging="360"/>
      </w:pPr>
    </w:lvl>
    <w:lvl w:ilvl="7" w:tplc="92A6674A">
      <w:start w:val="1"/>
      <w:numFmt w:val="decimal"/>
      <w:lvlText w:val="%8)"/>
      <w:lvlJc w:val="left"/>
      <w:pPr>
        <w:ind w:left="1020" w:hanging="360"/>
      </w:pPr>
    </w:lvl>
    <w:lvl w:ilvl="8" w:tplc="F7A87C1A">
      <w:start w:val="1"/>
      <w:numFmt w:val="decimal"/>
      <w:lvlText w:val="%9)"/>
      <w:lvlJc w:val="left"/>
      <w:pPr>
        <w:ind w:left="1020" w:hanging="360"/>
      </w:pPr>
    </w:lvl>
  </w:abstractNum>
  <w:abstractNum w:abstractNumId="22" w15:restartNumberingAfterBreak="0">
    <w:nsid w:val="3AD246BE"/>
    <w:multiLevelType w:val="hybridMultilevel"/>
    <w:tmpl w:val="75B6291E"/>
    <w:lvl w:ilvl="0" w:tplc="CE58A126">
      <w:start w:val="1"/>
      <w:numFmt w:val="decimal"/>
      <w:lvlText w:val="%1)"/>
      <w:lvlJc w:val="left"/>
      <w:pPr>
        <w:ind w:left="1020" w:hanging="360"/>
      </w:pPr>
    </w:lvl>
    <w:lvl w:ilvl="1" w:tplc="B51A202A">
      <w:start w:val="1"/>
      <w:numFmt w:val="decimal"/>
      <w:lvlText w:val="%2)"/>
      <w:lvlJc w:val="left"/>
      <w:pPr>
        <w:ind w:left="1020" w:hanging="360"/>
      </w:pPr>
    </w:lvl>
    <w:lvl w:ilvl="2" w:tplc="3E1C4C5E">
      <w:start w:val="1"/>
      <w:numFmt w:val="decimal"/>
      <w:lvlText w:val="%3)"/>
      <w:lvlJc w:val="left"/>
      <w:pPr>
        <w:ind w:left="1020" w:hanging="360"/>
      </w:pPr>
    </w:lvl>
    <w:lvl w:ilvl="3" w:tplc="44F28578">
      <w:start w:val="1"/>
      <w:numFmt w:val="decimal"/>
      <w:lvlText w:val="%4)"/>
      <w:lvlJc w:val="left"/>
      <w:pPr>
        <w:ind w:left="1020" w:hanging="360"/>
      </w:pPr>
    </w:lvl>
    <w:lvl w:ilvl="4" w:tplc="C2D4F20C">
      <w:start w:val="1"/>
      <w:numFmt w:val="decimal"/>
      <w:lvlText w:val="%5)"/>
      <w:lvlJc w:val="left"/>
      <w:pPr>
        <w:ind w:left="1020" w:hanging="360"/>
      </w:pPr>
    </w:lvl>
    <w:lvl w:ilvl="5" w:tplc="37CA9EEC">
      <w:start w:val="1"/>
      <w:numFmt w:val="decimal"/>
      <w:lvlText w:val="%6)"/>
      <w:lvlJc w:val="left"/>
      <w:pPr>
        <w:ind w:left="1020" w:hanging="360"/>
      </w:pPr>
    </w:lvl>
    <w:lvl w:ilvl="6" w:tplc="5C2C923A">
      <w:start w:val="1"/>
      <w:numFmt w:val="decimal"/>
      <w:lvlText w:val="%7)"/>
      <w:lvlJc w:val="left"/>
      <w:pPr>
        <w:ind w:left="1020" w:hanging="360"/>
      </w:pPr>
    </w:lvl>
    <w:lvl w:ilvl="7" w:tplc="23306FBE">
      <w:start w:val="1"/>
      <w:numFmt w:val="decimal"/>
      <w:lvlText w:val="%8)"/>
      <w:lvlJc w:val="left"/>
      <w:pPr>
        <w:ind w:left="1020" w:hanging="360"/>
      </w:pPr>
    </w:lvl>
    <w:lvl w:ilvl="8" w:tplc="427E6B98">
      <w:start w:val="1"/>
      <w:numFmt w:val="decimal"/>
      <w:lvlText w:val="%9)"/>
      <w:lvlJc w:val="left"/>
      <w:pPr>
        <w:ind w:left="1020" w:hanging="360"/>
      </w:pPr>
    </w:lvl>
  </w:abstractNum>
  <w:abstractNum w:abstractNumId="23" w15:restartNumberingAfterBreak="0">
    <w:nsid w:val="3C89229E"/>
    <w:multiLevelType w:val="hybridMultilevel"/>
    <w:tmpl w:val="6200F73E"/>
    <w:lvl w:ilvl="0" w:tplc="9D6A7BDC">
      <w:start w:val="1"/>
      <w:numFmt w:val="decimal"/>
      <w:lvlText w:val="%1)"/>
      <w:lvlJc w:val="left"/>
      <w:pPr>
        <w:ind w:left="1020" w:hanging="360"/>
      </w:pPr>
    </w:lvl>
    <w:lvl w:ilvl="1" w:tplc="23F85606">
      <w:start w:val="1"/>
      <w:numFmt w:val="decimal"/>
      <w:lvlText w:val="%2)"/>
      <w:lvlJc w:val="left"/>
      <w:pPr>
        <w:ind w:left="1020" w:hanging="360"/>
      </w:pPr>
    </w:lvl>
    <w:lvl w:ilvl="2" w:tplc="8550F2AA">
      <w:start w:val="1"/>
      <w:numFmt w:val="decimal"/>
      <w:lvlText w:val="%3)"/>
      <w:lvlJc w:val="left"/>
      <w:pPr>
        <w:ind w:left="1020" w:hanging="360"/>
      </w:pPr>
    </w:lvl>
    <w:lvl w:ilvl="3" w:tplc="F77008CE">
      <w:start w:val="1"/>
      <w:numFmt w:val="decimal"/>
      <w:lvlText w:val="%4)"/>
      <w:lvlJc w:val="left"/>
      <w:pPr>
        <w:ind w:left="1020" w:hanging="360"/>
      </w:pPr>
    </w:lvl>
    <w:lvl w:ilvl="4" w:tplc="22741CA2">
      <w:start w:val="1"/>
      <w:numFmt w:val="decimal"/>
      <w:lvlText w:val="%5)"/>
      <w:lvlJc w:val="left"/>
      <w:pPr>
        <w:ind w:left="1020" w:hanging="360"/>
      </w:pPr>
    </w:lvl>
    <w:lvl w:ilvl="5" w:tplc="C9EAABAC">
      <w:start w:val="1"/>
      <w:numFmt w:val="decimal"/>
      <w:lvlText w:val="%6)"/>
      <w:lvlJc w:val="left"/>
      <w:pPr>
        <w:ind w:left="1020" w:hanging="360"/>
      </w:pPr>
    </w:lvl>
    <w:lvl w:ilvl="6" w:tplc="7A9EA6AC">
      <w:start w:val="1"/>
      <w:numFmt w:val="decimal"/>
      <w:lvlText w:val="%7)"/>
      <w:lvlJc w:val="left"/>
      <w:pPr>
        <w:ind w:left="1020" w:hanging="360"/>
      </w:pPr>
    </w:lvl>
    <w:lvl w:ilvl="7" w:tplc="C240A95E">
      <w:start w:val="1"/>
      <w:numFmt w:val="decimal"/>
      <w:lvlText w:val="%8)"/>
      <w:lvlJc w:val="left"/>
      <w:pPr>
        <w:ind w:left="1020" w:hanging="360"/>
      </w:pPr>
    </w:lvl>
    <w:lvl w:ilvl="8" w:tplc="2B0CC0F6">
      <w:start w:val="1"/>
      <w:numFmt w:val="decimal"/>
      <w:lvlText w:val="%9)"/>
      <w:lvlJc w:val="left"/>
      <w:pPr>
        <w:ind w:left="1020" w:hanging="360"/>
      </w:pPr>
    </w:lvl>
  </w:abstractNum>
  <w:abstractNum w:abstractNumId="24" w15:restartNumberingAfterBreak="0">
    <w:nsid w:val="3D151F96"/>
    <w:multiLevelType w:val="hybridMultilevel"/>
    <w:tmpl w:val="CA222870"/>
    <w:lvl w:ilvl="0" w:tplc="3F84F7E0">
      <w:start w:val="1"/>
      <w:numFmt w:val="decimal"/>
      <w:lvlText w:val="%1."/>
      <w:lvlJc w:val="left"/>
      <w:pPr>
        <w:tabs>
          <w:tab w:val="num" w:pos="2160"/>
        </w:tabs>
        <w:ind w:left="2160" w:hanging="72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25" w15:restartNumberingAfterBreak="0">
    <w:nsid w:val="401221FA"/>
    <w:multiLevelType w:val="hybridMultilevel"/>
    <w:tmpl w:val="47C482AA"/>
    <w:lvl w:ilvl="0" w:tplc="3D2E5BAE">
      <w:start w:val="1"/>
      <w:numFmt w:val="decimal"/>
      <w:lvlText w:val="%1)"/>
      <w:lvlJc w:val="left"/>
      <w:pPr>
        <w:ind w:left="1020" w:hanging="360"/>
      </w:pPr>
    </w:lvl>
    <w:lvl w:ilvl="1" w:tplc="7BAAB738">
      <w:start w:val="1"/>
      <w:numFmt w:val="decimal"/>
      <w:lvlText w:val="%2)"/>
      <w:lvlJc w:val="left"/>
      <w:pPr>
        <w:ind w:left="1020" w:hanging="360"/>
      </w:pPr>
    </w:lvl>
    <w:lvl w:ilvl="2" w:tplc="7EA4EEC0">
      <w:start w:val="1"/>
      <w:numFmt w:val="decimal"/>
      <w:lvlText w:val="%3)"/>
      <w:lvlJc w:val="left"/>
      <w:pPr>
        <w:ind w:left="1020" w:hanging="360"/>
      </w:pPr>
    </w:lvl>
    <w:lvl w:ilvl="3" w:tplc="EA7634A8">
      <w:start w:val="1"/>
      <w:numFmt w:val="decimal"/>
      <w:lvlText w:val="%4)"/>
      <w:lvlJc w:val="left"/>
      <w:pPr>
        <w:ind w:left="1020" w:hanging="360"/>
      </w:pPr>
    </w:lvl>
    <w:lvl w:ilvl="4" w:tplc="60065C9E">
      <w:start w:val="1"/>
      <w:numFmt w:val="decimal"/>
      <w:lvlText w:val="%5)"/>
      <w:lvlJc w:val="left"/>
      <w:pPr>
        <w:ind w:left="1020" w:hanging="360"/>
      </w:pPr>
    </w:lvl>
    <w:lvl w:ilvl="5" w:tplc="7012F90E">
      <w:start w:val="1"/>
      <w:numFmt w:val="decimal"/>
      <w:lvlText w:val="%6)"/>
      <w:lvlJc w:val="left"/>
      <w:pPr>
        <w:ind w:left="1020" w:hanging="360"/>
      </w:pPr>
    </w:lvl>
    <w:lvl w:ilvl="6" w:tplc="38C095A2">
      <w:start w:val="1"/>
      <w:numFmt w:val="decimal"/>
      <w:lvlText w:val="%7)"/>
      <w:lvlJc w:val="left"/>
      <w:pPr>
        <w:ind w:left="1020" w:hanging="360"/>
      </w:pPr>
    </w:lvl>
    <w:lvl w:ilvl="7" w:tplc="DA0804EE">
      <w:start w:val="1"/>
      <w:numFmt w:val="decimal"/>
      <w:lvlText w:val="%8)"/>
      <w:lvlJc w:val="left"/>
      <w:pPr>
        <w:ind w:left="1020" w:hanging="360"/>
      </w:pPr>
    </w:lvl>
    <w:lvl w:ilvl="8" w:tplc="9D8687BE">
      <w:start w:val="1"/>
      <w:numFmt w:val="decimal"/>
      <w:lvlText w:val="%9)"/>
      <w:lvlJc w:val="left"/>
      <w:pPr>
        <w:ind w:left="1020" w:hanging="360"/>
      </w:pPr>
    </w:lvl>
  </w:abstractNum>
  <w:abstractNum w:abstractNumId="26" w15:restartNumberingAfterBreak="0">
    <w:nsid w:val="44AA62C7"/>
    <w:multiLevelType w:val="hybridMultilevel"/>
    <w:tmpl w:val="4D3C7C98"/>
    <w:lvl w:ilvl="0" w:tplc="72EA1962">
      <w:start w:val="1"/>
      <w:numFmt w:val="bullet"/>
      <w:lvlText w:val=""/>
      <w:lvlJc w:val="left"/>
      <w:pPr>
        <w:ind w:left="720" w:hanging="360"/>
      </w:pPr>
      <w:rPr>
        <w:rFonts w:ascii="Symbol" w:hAnsi="Symbol"/>
      </w:rPr>
    </w:lvl>
    <w:lvl w:ilvl="1" w:tplc="14BE3984">
      <w:start w:val="1"/>
      <w:numFmt w:val="bullet"/>
      <w:lvlText w:val=""/>
      <w:lvlJc w:val="left"/>
      <w:pPr>
        <w:ind w:left="720" w:hanging="360"/>
      </w:pPr>
      <w:rPr>
        <w:rFonts w:ascii="Symbol" w:hAnsi="Symbol"/>
      </w:rPr>
    </w:lvl>
    <w:lvl w:ilvl="2" w:tplc="E5D4B294">
      <w:start w:val="1"/>
      <w:numFmt w:val="bullet"/>
      <w:lvlText w:val=""/>
      <w:lvlJc w:val="left"/>
      <w:pPr>
        <w:ind w:left="720" w:hanging="360"/>
      </w:pPr>
      <w:rPr>
        <w:rFonts w:ascii="Symbol" w:hAnsi="Symbol"/>
      </w:rPr>
    </w:lvl>
    <w:lvl w:ilvl="3" w:tplc="7E98210E">
      <w:start w:val="1"/>
      <w:numFmt w:val="bullet"/>
      <w:lvlText w:val=""/>
      <w:lvlJc w:val="left"/>
      <w:pPr>
        <w:ind w:left="720" w:hanging="360"/>
      </w:pPr>
      <w:rPr>
        <w:rFonts w:ascii="Symbol" w:hAnsi="Symbol"/>
      </w:rPr>
    </w:lvl>
    <w:lvl w:ilvl="4" w:tplc="8EC22B2E">
      <w:start w:val="1"/>
      <w:numFmt w:val="bullet"/>
      <w:lvlText w:val=""/>
      <w:lvlJc w:val="left"/>
      <w:pPr>
        <w:ind w:left="720" w:hanging="360"/>
      </w:pPr>
      <w:rPr>
        <w:rFonts w:ascii="Symbol" w:hAnsi="Symbol"/>
      </w:rPr>
    </w:lvl>
    <w:lvl w:ilvl="5" w:tplc="C7E4FB7A">
      <w:start w:val="1"/>
      <w:numFmt w:val="bullet"/>
      <w:lvlText w:val=""/>
      <w:lvlJc w:val="left"/>
      <w:pPr>
        <w:ind w:left="720" w:hanging="360"/>
      </w:pPr>
      <w:rPr>
        <w:rFonts w:ascii="Symbol" w:hAnsi="Symbol"/>
      </w:rPr>
    </w:lvl>
    <w:lvl w:ilvl="6" w:tplc="39CC900E">
      <w:start w:val="1"/>
      <w:numFmt w:val="bullet"/>
      <w:lvlText w:val=""/>
      <w:lvlJc w:val="left"/>
      <w:pPr>
        <w:ind w:left="720" w:hanging="360"/>
      </w:pPr>
      <w:rPr>
        <w:rFonts w:ascii="Symbol" w:hAnsi="Symbol"/>
      </w:rPr>
    </w:lvl>
    <w:lvl w:ilvl="7" w:tplc="12ACA65C">
      <w:start w:val="1"/>
      <w:numFmt w:val="bullet"/>
      <w:lvlText w:val=""/>
      <w:lvlJc w:val="left"/>
      <w:pPr>
        <w:ind w:left="720" w:hanging="360"/>
      </w:pPr>
      <w:rPr>
        <w:rFonts w:ascii="Symbol" w:hAnsi="Symbol"/>
      </w:rPr>
    </w:lvl>
    <w:lvl w:ilvl="8" w:tplc="B5E0CCF0">
      <w:start w:val="1"/>
      <w:numFmt w:val="bullet"/>
      <w:lvlText w:val=""/>
      <w:lvlJc w:val="left"/>
      <w:pPr>
        <w:ind w:left="720" w:hanging="360"/>
      </w:pPr>
      <w:rPr>
        <w:rFonts w:ascii="Symbol" w:hAnsi="Symbol"/>
      </w:rPr>
    </w:lvl>
  </w:abstractNum>
  <w:abstractNum w:abstractNumId="27" w15:restartNumberingAfterBreak="0">
    <w:nsid w:val="4A7943C2"/>
    <w:multiLevelType w:val="hybridMultilevel"/>
    <w:tmpl w:val="77D8FB18"/>
    <w:lvl w:ilvl="0" w:tplc="108C3F1C">
      <w:start w:val="1"/>
      <w:numFmt w:val="decimal"/>
      <w:lvlText w:val="%1"/>
      <w:lvlJc w:val="left"/>
      <w:pPr>
        <w:ind w:left="-360" w:hanging="360"/>
      </w:pPr>
      <w:rPr>
        <w:rFonts w:ascii="Univers" w:hAnsi="Univers" w:hint="default"/>
        <w:b w:val="0"/>
        <w:i w:val="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57C4EEB"/>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73A175D"/>
    <w:multiLevelType w:val="hybridMultilevel"/>
    <w:tmpl w:val="ED22B960"/>
    <w:lvl w:ilvl="0" w:tplc="2A929228">
      <w:start w:val="1"/>
      <w:numFmt w:val="decimal"/>
      <w:lvlText w:val="%1)"/>
      <w:lvlJc w:val="left"/>
      <w:pPr>
        <w:ind w:left="1020" w:hanging="360"/>
      </w:pPr>
    </w:lvl>
    <w:lvl w:ilvl="1" w:tplc="A4F2641E">
      <w:start w:val="1"/>
      <w:numFmt w:val="decimal"/>
      <w:lvlText w:val="%2)"/>
      <w:lvlJc w:val="left"/>
      <w:pPr>
        <w:ind w:left="1020" w:hanging="360"/>
      </w:pPr>
    </w:lvl>
    <w:lvl w:ilvl="2" w:tplc="6C0EDCE6">
      <w:start w:val="1"/>
      <w:numFmt w:val="decimal"/>
      <w:lvlText w:val="%3)"/>
      <w:lvlJc w:val="left"/>
      <w:pPr>
        <w:ind w:left="1020" w:hanging="360"/>
      </w:pPr>
    </w:lvl>
    <w:lvl w:ilvl="3" w:tplc="DD2A400E">
      <w:start w:val="1"/>
      <w:numFmt w:val="decimal"/>
      <w:lvlText w:val="%4)"/>
      <w:lvlJc w:val="left"/>
      <w:pPr>
        <w:ind w:left="1020" w:hanging="360"/>
      </w:pPr>
    </w:lvl>
    <w:lvl w:ilvl="4" w:tplc="AD1A46B0">
      <w:start w:val="1"/>
      <w:numFmt w:val="decimal"/>
      <w:lvlText w:val="%5)"/>
      <w:lvlJc w:val="left"/>
      <w:pPr>
        <w:ind w:left="1020" w:hanging="360"/>
      </w:pPr>
    </w:lvl>
    <w:lvl w:ilvl="5" w:tplc="38208F88">
      <w:start w:val="1"/>
      <w:numFmt w:val="decimal"/>
      <w:lvlText w:val="%6)"/>
      <w:lvlJc w:val="left"/>
      <w:pPr>
        <w:ind w:left="1020" w:hanging="360"/>
      </w:pPr>
    </w:lvl>
    <w:lvl w:ilvl="6" w:tplc="BF90A946">
      <w:start w:val="1"/>
      <w:numFmt w:val="decimal"/>
      <w:lvlText w:val="%7)"/>
      <w:lvlJc w:val="left"/>
      <w:pPr>
        <w:ind w:left="1020" w:hanging="360"/>
      </w:pPr>
    </w:lvl>
    <w:lvl w:ilvl="7" w:tplc="592691A2">
      <w:start w:val="1"/>
      <w:numFmt w:val="decimal"/>
      <w:lvlText w:val="%8)"/>
      <w:lvlJc w:val="left"/>
      <w:pPr>
        <w:ind w:left="1020" w:hanging="360"/>
      </w:pPr>
    </w:lvl>
    <w:lvl w:ilvl="8" w:tplc="76A2AEDA">
      <w:start w:val="1"/>
      <w:numFmt w:val="decimal"/>
      <w:lvlText w:val="%9)"/>
      <w:lvlJc w:val="left"/>
      <w:pPr>
        <w:ind w:left="1020" w:hanging="360"/>
      </w:pPr>
    </w:lvl>
  </w:abstractNum>
  <w:abstractNum w:abstractNumId="30" w15:restartNumberingAfterBreak="0">
    <w:nsid w:val="589768AE"/>
    <w:multiLevelType w:val="hybridMultilevel"/>
    <w:tmpl w:val="71A41D60"/>
    <w:lvl w:ilvl="0" w:tplc="680AB7A8">
      <w:start w:val="1"/>
      <w:numFmt w:val="lowerLetter"/>
      <w:lvlText w:val="%1)"/>
      <w:lvlJc w:val="left"/>
      <w:pPr>
        <w:ind w:left="720" w:hanging="360"/>
      </w:pPr>
    </w:lvl>
    <w:lvl w:ilvl="1" w:tplc="4E0C83E0">
      <w:start w:val="1"/>
      <w:numFmt w:val="lowerLetter"/>
      <w:lvlText w:val="%2)"/>
      <w:lvlJc w:val="left"/>
      <w:pPr>
        <w:ind w:left="720" w:hanging="360"/>
      </w:pPr>
    </w:lvl>
    <w:lvl w:ilvl="2" w:tplc="C83425EC">
      <w:start w:val="1"/>
      <w:numFmt w:val="lowerLetter"/>
      <w:lvlText w:val="%3)"/>
      <w:lvlJc w:val="left"/>
      <w:pPr>
        <w:ind w:left="720" w:hanging="360"/>
      </w:pPr>
    </w:lvl>
    <w:lvl w:ilvl="3" w:tplc="1A8A6826">
      <w:start w:val="1"/>
      <w:numFmt w:val="lowerLetter"/>
      <w:lvlText w:val="%4)"/>
      <w:lvlJc w:val="left"/>
      <w:pPr>
        <w:ind w:left="720" w:hanging="360"/>
      </w:pPr>
    </w:lvl>
    <w:lvl w:ilvl="4" w:tplc="D7C8AA4E">
      <w:start w:val="1"/>
      <w:numFmt w:val="lowerLetter"/>
      <w:lvlText w:val="%5)"/>
      <w:lvlJc w:val="left"/>
      <w:pPr>
        <w:ind w:left="720" w:hanging="360"/>
      </w:pPr>
    </w:lvl>
    <w:lvl w:ilvl="5" w:tplc="E88E2B00">
      <w:start w:val="1"/>
      <w:numFmt w:val="lowerLetter"/>
      <w:lvlText w:val="%6)"/>
      <w:lvlJc w:val="left"/>
      <w:pPr>
        <w:ind w:left="720" w:hanging="360"/>
      </w:pPr>
    </w:lvl>
    <w:lvl w:ilvl="6" w:tplc="0262A0AA">
      <w:start w:val="1"/>
      <w:numFmt w:val="lowerLetter"/>
      <w:lvlText w:val="%7)"/>
      <w:lvlJc w:val="left"/>
      <w:pPr>
        <w:ind w:left="720" w:hanging="360"/>
      </w:pPr>
    </w:lvl>
    <w:lvl w:ilvl="7" w:tplc="074673C2">
      <w:start w:val="1"/>
      <w:numFmt w:val="lowerLetter"/>
      <w:lvlText w:val="%8)"/>
      <w:lvlJc w:val="left"/>
      <w:pPr>
        <w:ind w:left="720" w:hanging="360"/>
      </w:pPr>
    </w:lvl>
    <w:lvl w:ilvl="8" w:tplc="473C1DF2">
      <w:start w:val="1"/>
      <w:numFmt w:val="lowerLetter"/>
      <w:lvlText w:val="%9)"/>
      <w:lvlJc w:val="left"/>
      <w:pPr>
        <w:ind w:left="720" w:hanging="360"/>
      </w:pPr>
    </w:lvl>
  </w:abstractNum>
  <w:abstractNum w:abstractNumId="31" w15:restartNumberingAfterBreak="0">
    <w:nsid w:val="61A11D75"/>
    <w:multiLevelType w:val="hybridMultilevel"/>
    <w:tmpl w:val="7902C592"/>
    <w:lvl w:ilvl="0" w:tplc="2E6658B2">
      <w:start w:val="1"/>
      <w:numFmt w:val="bullet"/>
      <w:lvlText w:val=""/>
      <w:lvlJc w:val="left"/>
      <w:pPr>
        <w:ind w:left="720" w:hanging="360"/>
      </w:pPr>
      <w:rPr>
        <w:rFonts w:ascii="Symbol" w:hAnsi="Symbol"/>
      </w:rPr>
    </w:lvl>
    <w:lvl w:ilvl="1" w:tplc="FDF65DC6">
      <w:start w:val="1"/>
      <w:numFmt w:val="bullet"/>
      <w:lvlText w:val=""/>
      <w:lvlJc w:val="left"/>
      <w:pPr>
        <w:ind w:left="720" w:hanging="360"/>
      </w:pPr>
      <w:rPr>
        <w:rFonts w:ascii="Symbol" w:hAnsi="Symbol"/>
      </w:rPr>
    </w:lvl>
    <w:lvl w:ilvl="2" w:tplc="CCC8B0F4">
      <w:start w:val="1"/>
      <w:numFmt w:val="bullet"/>
      <w:lvlText w:val=""/>
      <w:lvlJc w:val="left"/>
      <w:pPr>
        <w:ind w:left="720" w:hanging="360"/>
      </w:pPr>
      <w:rPr>
        <w:rFonts w:ascii="Symbol" w:hAnsi="Symbol"/>
      </w:rPr>
    </w:lvl>
    <w:lvl w:ilvl="3" w:tplc="17B84F06">
      <w:start w:val="1"/>
      <w:numFmt w:val="bullet"/>
      <w:lvlText w:val=""/>
      <w:lvlJc w:val="left"/>
      <w:pPr>
        <w:ind w:left="720" w:hanging="360"/>
      </w:pPr>
      <w:rPr>
        <w:rFonts w:ascii="Symbol" w:hAnsi="Symbol"/>
      </w:rPr>
    </w:lvl>
    <w:lvl w:ilvl="4" w:tplc="118ED962">
      <w:start w:val="1"/>
      <w:numFmt w:val="bullet"/>
      <w:lvlText w:val=""/>
      <w:lvlJc w:val="left"/>
      <w:pPr>
        <w:ind w:left="720" w:hanging="360"/>
      </w:pPr>
      <w:rPr>
        <w:rFonts w:ascii="Symbol" w:hAnsi="Symbol"/>
      </w:rPr>
    </w:lvl>
    <w:lvl w:ilvl="5" w:tplc="3CAAB87C">
      <w:start w:val="1"/>
      <w:numFmt w:val="bullet"/>
      <w:lvlText w:val=""/>
      <w:lvlJc w:val="left"/>
      <w:pPr>
        <w:ind w:left="720" w:hanging="360"/>
      </w:pPr>
      <w:rPr>
        <w:rFonts w:ascii="Symbol" w:hAnsi="Symbol"/>
      </w:rPr>
    </w:lvl>
    <w:lvl w:ilvl="6" w:tplc="E1D6764C">
      <w:start w:val="1"/>
      <w:numFmt w:val="bullet"/>
      <w:lvlText w:val=""/>
      <w:lvlJc w:val="left"/>
      <w:pPr>
        <w:ind w:left="720" w:hanging="360"/>
      </w:pPr>
      <w:rPr>
        <w:rFonts w:ascii="Symbol" w:hAnsi="Symbol"/>
      </w:rPr>
    </w:lvl>
    <w:lvl w:ilvl="7" w:tplc="DB608558">
      <w:start w:val="1"/>
      <w:numFmt w:val="bullet"/>
      <w:lvlText w:val=""/>
      <w:lvlJc w:val="left"/>
      <w:pPr>
        <w:ind w:left="720" w:hanging="360"/>
      </w:pPr>
      <w:rPr>
        <w:rFonts w:ascii="Symbol" w:hAnsi="Symbol"/>
      </w:rPr>
    </w:lvl>
    <w:lvl w:ilvl="8" w:tplc="163696B6">
      <w:start w:val="1"/>
      <w:numFmt w:val="bullet"/>
      <w:lvlText w:val=""/>
      <w:lvlJc w:val="left"/>
      <w:pPr>
        <w:ind w:left="720" w:hanging="360"/>
      </w:pPr>
      <w:rPr>
        <w:rFonts w:ascii="Symbol" w:hAnsi="Symbol"/>
      </w:rPr>
    </w:lvl>
  </w:abstractNum>
  <w:abstractNum w:abstractNumId="32" w15:restartNumberingAfterBreak="0">
    <w:nsid w:val="682D5296"/>
    <w:multiLevelType w:val="hybridMultilevel"/>
    <w:tmpl w:val="1432258C"/>
    <w:lvl w:ilvl="0" w:tplc="BCE66DB8">
      <w:start w:val="1"/>
      <w:numFmt w:val="bullet"/>
      <w:lvlText w:val=""/>
      <w:lvlJc w:val="left"/>
      <w:pPr>
        <w:ind w:left="720" w:hanging="360"/>
      </w:pPr>
      <w:rPr>
        <w:rFonts w:ascii="Symbol" w:hAnsi="Symbol"/>
      </w:rPr>
    </w:lvl>
    <w:lvl w:ilvl="1" w:tplc="C360C8F0">
      <w:start w:val="1"/>
      <w:numFmt w:val="bullet"/>
      <w:lvlText w:val=""/>
      <w:lvlJc w:val="left"/>
      <w:pPr>
        <w:ind w:left="720" w:hanging="360"/>
      </w:pPr>
      <w:rPr>
        <w:rFonts w:ascii="Symbol" w:hAnsi="Symbol"/>
      </w:rPr>
    </w:lvl>
    <w:lvl w:ilvl="2" w:tplc="200267BE">
      <w:start w:val="1"/>
      <w:numFmt w:val="bullet"/>
      <w:lvlText w:val=""/>
      <w:lvlJc w:val="left"/>
      <w:pPr>
        <w:ind w:left="720" w:hanging="360"/>
      </w:pPr>
      <w:rPr>
        <w:rFonts w:ascii="Symbol" w:hAnsi="Symbol"/>
      </w:rPr>
    </w:lvl>
    <w:lvl w:ilvl="3" w:tplc="4B7A1392">
      <w:start w:val="1"/>
      <w:numFmt w:val="bullet"/>
      <w:lvlText w:val=""/>
      <w:lvlJc w:val="left"/>
      <w:pPr>
        <w:ind w:left="720" w:hanging="360"/>
      </w:pPr>
      <w:rPr>
        <w:rFonts w:ascii="Symbol" w:hAnsi="Symbol"/>
      </w:rPr>
    </w:lvl>
    <w:lvl w:ilvl="4" w:tplc="161CAB2E">
      <w:start w:val="1"/>
      <w:numFmt w:val="bullet"/>
      <w:lvlText w:val=""/>
      <w:lvlJc w:val="left"/>
      <w:pPr>
        <w:ind w:left="720" w:hanging="360"/>
      </w:pPr>
      <w:rPr>
        <w:rFonts w:ascii="Symbol" w:hAnsi="Symbol"/>
      </w:rPr>
    </w:lvl>
    <w:lvl w:ilvl="5" w:tplc="9690B1B6">
      <w:start w:val="1"/>
      <w:numFmt w:val="bullet"/>
      <w:lvlText w:val=""/>
      <w:lvlJc w:val="left"/>
      <w:pPr>
        <w:ind w:left="720" w:hanging="360"/>
      </w:pPr>
      <w:rPr>
        <w:rFonts w:ascii="Symbol" w:hAnsi="Symbol"/>
      </w:rPr>
    </w:lvl>
    <w:lvl w:ilvl="6" w:tplc="3A94C07E">
      <w:start w:val="1"/>
      <w:numFmt w:val="bullet"/>
      <w:lvlText w:val=""/>
      <w:lvlJc w:val="left"/>
      <w:pPr>
        <w:ind w:left="720" w:hanging="360"/>
      </w:pPr>
      <w:rPr>
        <w:rFonts w:ascii="Symbol" w:hAnsi="Symbol"/>
      </w:rPr>
    </w:lvl>
    <w:lvl w:ilvl="7" w:tplc="5D84EF44">
      <w:start w:val="1"/>
      <w:numFmt w:val="bullet"/>
      <w:lvlText w:val=""/>
      <w:lvlJc w:val="left"/>
      <w:pPr>
        <w:ind w:left="720" w:hanging="360"/>
      </w:pPr>
      <w:rPr>
        <w:rFonts w:ascii="Symbol" w:hAnsi="Symbol"/>
      </w:rPr>
    </w:lvl>
    <w:lvl w:ilvl="8" w:tplc="B330E628">
      <w:start w:val="1"/>
      <w:numFmt w:val="bullet"/>
      <w:lvlText w:val=""/>
      <w:lvlJc w:val="left"/>
      <w:pPr>
        <w:ind w:left="720" w:hanging="360"/>
      </w:pPr>
      <w:rPr>
        <w:rFonts w:ascii="Symbol" w:hAnsi="Symbol"/>
      </w:rPr>
    </w:lvl>
  </w:abstractNum>
  <w:abstractNum w:abstractNumId="33" w15:restartNumberingAfterBreak="0">
    <w:nsid w:val="69B63CA6"/>
    <w:multiLevelType w:val="hybridMultilevel"/>
    <w:tmpl w:val="BC5A38AC"/>
    <w:lvl w:ilvl="0" w:tplc="91AACB5E">
      <w:start w:val="1"/>
      <w:numFmt w:val="decimal"/>
      <w:lvlText w:val="%1)"/>
      <w:lvlJc w:val="left"/>
      <w:pPr>
        <w:ind w:left="1020" w:hanging="360"/>
      </w:pPr>
    </w:lvl>
    <w:lvl w:ilvl="1" w:tplc="4846349E">
      <w:start w:val="1"/>
      <w:numFmt w:val="decimal"/>
      <w:lvlText w:val="%2)"/>
      <w:lvlJc w:val="left"/>
      <w:pPr>
        <w:ind w:left="1020" w:hanging="360"/>
      </w:pPr>
    </w:lvl>
    <w:lvl w:ilvl="2" w:tplc="1C9AC680">
      <w:start w:val="1"/>
      <w:numFmt w:val="decimal"/>
      <w:lvlText w:val="%3)"/>
      <w:lvlJc w:val="left"/>
      <w:pPr>
        <w:ind w:left="1020" w:hanging="360"/>
      </w:pPr>
    </w:lvl>
    <w:lvl w:ilvl="3" w:tplc="C86EBCD2">
      <w:start w:val="1"/>
      <w:numFmt w:val="decimal"/>
      <w:lvlText w:val="%4)"/>
      <w:lvlJc w:val="left"/>
      <w:pPr>
        <w:ind w:left="1020" w:hanging="360"/>
      </w:pPr>
    </w:lvl>
    <w:lvl w:ilvl="4" w:tplc="7B420514">
      <w:start w:val="1"/>
      <w:numFmt w:val="decimal"/>
      <w:lvlText w:val="%5)"/>
      <w:lvlJc w:val="left"/>
      <w:pPr>
        <w:ind w:left="1020" w:hanging="360"/>
      </w:pPr>
    </w:lvl>
    <w:lvl w:ilvl="5" w:tplc="2A74EFE0">
      <w:start w:val="1"/>
      <w:numFmt w:val="decimal"/>
      <w:lvlText w:val="%6)"/>
      <w:lvlJc w:val="left"/>
      <w:pPr>
        <w:ind w:left="1020" w:hanging="360"/>
      </w:pPr>
    </w:lvl>
    <w:lvl w:ilvl="6" w:tplc="E77AE170">
      <w:start w:val="1"/>
      <w:numFmt w:val="decimal"/>
      <w:lvlText w:val="%7)"/>
      <w:lvlJc w:val="left"/>
      <w:pPr>
        <w:ind w:left="1020" w:hanging="360"/>
      </w:pPr>
    </w:lvl>
    <w:lvl w:ilvl="7" w:tplc="12629050">
      <w:start w:val="1"/>
      <w:numFmt w:val="decimal"/>
      <w:lvlText w:val="%8)"/>
      <w:lvlJc w:val="left"/>
      <w:pPr>
        <w:ind w:left="1020" w:hanging="360"/>
      </w:pPr>
    </w:lvl>
    <w:lvl w:ilvl="8" w:tplc="CBD8AD96">
      <w:start w:val="1"/>
      <w:numFmt w:val="decimal"/>
      <w:lvlText w:val="%9)"/>
      <w:lvlJc w:val="left"/>
      <w:pPr>
        <w:ind w:left="1020" w:hanging="360"/>
      </w:pPr>
    </w:lvl>
  </w:abstractNum>
  <w:abstractNum w:abstractNumId="34" w15:restartNumberingAfterBreak="0">
    <w:nsid w:val="7FD97D7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596476">
    <w:abstractNumId w:val="10"/>
  </w:num>
  <w:num w:numId="2" w16cid:durableId="375815310">
    <w:abstractNumId w:val="24"/>
  </w:num>
  <w:num w:numId="3" w16cid:durableId="1375159326">
    <w:abstractNumId w:val="34"/>
  </w:num>
  <w:num w:numId="4" w16cid:durableId="1020468450">
    <w:abstractNumId w:val="18"/>
  </w:num>
  <w:num w:numId="5" w16cid:durableId="298609604">
    <w:abstractNumId w:val="28"/>
  </w:num>
  <w:num w:numId="6" w16cid:durableId="1668483507">
    <w:abstractNumId w:val="6"/>
  </w:num>
  <w:num w:numId="7" w16cid:durableId="1277131474">
    <w:abstractNumId w:val="9"/>
  </w:num>
  <w:num w:numId="8" w16cid:durableId="720982448">
    <w:abstractNumId w:val="7"/>
  </w:num>
  <w:num w:numId="9" w16cid:durableId="880166639">
    <w:abstractNumId w:val="5"/>
  </w:num>
  <w:num w:numId="10" w16cid:durableId="1552577615">
    <w:abstractNumId w:val="4"/>
  </w:num>
  <w:num w:numId="11" w16cid:durableId="822114542">
    <w:abstractNumId w:val="8"/>
  </w:num>
  <w:num w:numId="12" w16cid:durableId="868374538">
    <w:abstractNumId w:val="3"/>
  </w:num>
  <w:num w:numId="13" w16cid:durableId="935400494">
    <w:abstractNumId w:val="2"/>
  </w:num>
  <w:num w:numId="14" w16cid:durableId="1552810459">
    <w:abstractNumId w:val="1"/>
  </w:num>
  <w:num w:numId="15" w16cid:durableId="788087333">
    <w:abstractNumId w:val="0"/>
  </w:num>
  <w:num w:numId="16" w16cid:durableId="92282540">
    <w:abstractNumId w:val="16"/>
  </w:num>
  <w:num w:numId="17" w16cid:durableId="952325839">
    <w:abstractNumId w:val="27"/>
  </w:num>
  <w:num w:numId="18" w16cid:durableId="586305847">
    <w:abstractNumId w:val="11"/>
  </w:num>
  <w:num w:numId="19" w16cid:durableId="650985869">
    <w:abstractNumId w:val="11"/>
  </w:num>
  <w:num w:numId="20" w16cid:durableId="989866635">
    <w:abstractNumId w:val="17"/>
  </w:num>
  <w:num w:numId="21" w16cid:durableId="730468856">
    <w:abstractNumId w:val="29"/>
  </w:num>
  <w:num w:numId="22" w16cid:durableId="1659768929">
    <w:abstractNumId w:val="12"/>
  </w:num>
  <w:num w:numId="23" w16cid:durableId="114952210">
    <w:abstractNumId w:val="19"/>
  </w:num>
  <w:num w:numId="24" w16cid:durableId="539324876">
    <w:abstractNumId w:val="30"/>
  </w:num>
  <w:num w:numId="25" w16cid:durableId="904922668">
    <w:abstractNumId w:val="20"/>
  </w:num>
  <w:num w:numId="26" w16cid:durableId="1310748353">
    <w:abstractNumId w:val="15"/>
  </w:num>
  <w:num w:numId="27" w16cid:durableId="680014454">
    <w:abstractNumId w:val="23"/>
  </w:num>
  <w:num w:numId="28" w16cid:durableId="1059399533">
    <w:abstractNumId w:val="14"/>
  </w:num>
  <w:num w:numId="29" w16cid:durableId="1655142693">
    <w:abstractNumId w:val="33"/>
  </w:num>
  <w:num w:numId="30" w16cid:durableId="1143962921">
    <w:abstractNumId w:val="21"/>
  </w:num>
  <w:num w:numId="31" w16cid:durableId="1147822823">
    <w:abstractNumId w:val="26"/>
  </w:num>
  <w:num w:numId="32" w16cid:durableId="437263691">
    <w:abstractNumId w:val="31"/>
  </w:num>
  <w:num w:numId="33" w16cid:durableId="536090658">
    <w:abstractNumId w:val="32"/>
  </w:num>
  <w:num w:numId="34" w16cid:durableId="1962616159">
    <w:abstractNumId w:val="25"/>
  </w:num>
  <w:num w:numId="35" w16cid:durableId="179589926">
    <w:abstractNumId w:val="22"/>
  </w:num>
  <w:num w:numId="36" w16cid:durableId="3170758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attachedTemplate r:id="rId1"/>
  <w:linkStyl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94A"/>
    <w:rsid w:val="000000DB"/>
    <w:rsid w:val="00000359"/>
    <w:rsid w:val="0000038E"/>
    <w:rsid w:val="000004FF"/>
    <w:rsid w:val="00000F70"/>
    <w:rsid w:val="00002069"/>
    <w:rsid w:val="00002CE6"/>
    <w:rsid w:val="0000316A"/>
    <w:rsid w:val="00003566"/>
    <w:rsid w:val="00004415"/>
    <w:rsid w:val="00004530"/>
    <w:rsid w:val="000049B7"/>
    <w:rsid w:val="00005571"/>
    <w:rsid w:val="00005A3C"/>
    <w:rsid w:val="00005CA8"/>
    <w:rsid w:val="00005F99"/>
    <w:rsid w:val="00006004"/>
    <w:rsid w:val="00006064"/>
    <w:rsid w:val="00006113"/>
    <w:rsid w:val="00006AB1"/>
    <w:rsid w:val="00006B72"/>
    <w:rsid w:val="000070CA"/>
    <w:rsid w:val="0000772E"/>
    <w:rsid w:val="00007C86"/>
    <w:rsid w:val="00010180"/>
    <w:rsid w:val="000111D1"/>
    <w:rsid w:val="000115BC"/>
    <w:rsid w:val="00011625"/>
    <w:rsid w:val="00011A7D"/>
    <w:rsid w:val="0001245A"/>
    <w:rsid w:val="00012CAE"/>
    <w:rsid w:val="000135E9"/>
    <w:rsid w:val="00013FC2"/>
    <w:rsid w:val="000141CA"/>
    <w:rsid w:val="00014567"/>
    <w:rsid w:val="00014725"/>
    <w:rsid w:val="00014B34"/>
    <w:rsid w:val="000168C9"/>
    <w:rsid w:val="00016C20"/>
    <w:rsid w:val="00016C48"/>
    <w:rsid w:val="00016DBB"/>
    <w:rsid w:val="00017144"/>
    <w:rsid w:val="00017169"/>
    <w:rsid w:val="00017AAE"/>
    <w:rsid w:val="00020911"/>
    <w:rsid w:val="00021C3C"/>
    <w:rsid w:val="00022720"/>
    <w:rsid w:val="00022A53"/>
    <w:rsid w:val="000230E7"/>
    <w:rsid w:val="000232B8"/>
    <w:rsid w:val="000239FE"/>
    <w:rsid w:val="00023CF0"/>
    <w:rsid w:val="000250AF"/>
    <w:rsid w:val="00025490"/>
    <w:rsid w:val="0002561E"/>
    <w:rsid w:val="00025956"/>
    <w:rsid w:val="00025DD5"/>
    <w:rsid w:val="00026829"/>
    <w:rsid w:val="000268E1"/>
    <w:rsid w:val="00026B69"/>
    <w:rsid w:val="000270AB"/>
    <w:rsid w:val="0002714B"/>
    <w:rsid w:val="000274F1"/>
    <w:rsid w:val="0002751F"/>
    <w:rsid w:val="000279DD"/>
    <w:rsid w:val="00027CEE"/>
    <w:rsid w:val="000302E6"/>
    <w:rsid w:val="00030FE0"/>
    <w:rsid w:val="0003113F"/>
    <w:rsid w:val="000319F7"/>
    <w:rsid w:val="00032634"/>
    <w:rsid w:val="0003271A"/>
    <w:rsid w:val="00032E4D"/>
    <w:rsid w:val="0003376D"/>
    <w:rsid w:val="00034142"/>
    <w:rsid w:val="000354C0"/>
    <w:rsid w:val="00035593"/>
    <w:rsid w:val="0003575A"/>
    <w:rsid w:val="000357B2"/>
    <w:rsid w:val="000360EB"/>
    <w:rsid w:val="00036290"/>
    <w:rsid w:val="00036770"/>
    <w:rsid w:val="00037A5F"/>
    <w:rsid w:val="00037D87"/>
    <w:rsid w:val="0004056D"/>
    <w:rsid w:val="00040812"/>
    <w:rsid w:val="00041EB7"/>
    <w:rsid w:val="000423B2"/>
    <w:rsid w:val="00042974"/>
    <w:rsid w:val="00042EAD"/>
    <w:rsid w:val="00042EF3"/>
    <w:rsid w:val="00043A7C"/>
    <w:rsid w:val="00043AE6"/>
    <w:rsid w:val="00043B9A"/>
    <w:rsid w:val="00043C82"/>
    <w:rsid w:val="00043D2C"/>
    <w:rsid w:val="00044015"/>
    <w:rsid w:val="00044FF5"/>
    <w:rsid w:val="000455F8"/>
    <w:rsid w:val="000464BE"/>
    <w:rsid w:val="00046812"/>
    <w:rsid w:val="00046FA5"/>
    <w:rsid w:val="00047663"/>
    <w:rsid w:val="00047924"/>
    <w:rsid w:val="00050005"/>
    <w:rsid w:val="0005041E"/>
    <w:rsid w:val="00050B10"/>
    <w:rsid w:val="00050BDE"/>
    <w:rsid w:val="00050BEA"/>
    <w:rsid w:val="00050CD4"/>
    <w:rsid w:val="00051347"/>
    <w:rsid w:val="0005190C"/>
    <w:rsid w:val="00051BF7"/>
    <w:rsid w:val="00051F85"/>
    <w:rsid w:val="0005246B"/>
    <w:rsid w:val="000526B2"/>
    <w:rsid w:val="000526B5"/>
    <w:rsid w:val="0005288C"/>
    <w:rsid w:val="00052A23"/>
    <w:rsid w:val="00052D4E"/>
    <w:rsid w:val="00053C90"/>
    <w:rsid w:val="00053D3B"/>
    <w:rsid w:val="00053FAA"/>
    <w:rsid w:val="00054581"/>
    <w:rsid w:val="0005512C"/>
    <w:rsid w:val="00055ACD"/>
    <w:rsid w:val="000560E3"/>
    <w:rsid w:val="00056186"/>
    <w:rsid w:val="00056200"/>
    <w:rsid w:val="0005653C"/>
    <w:rsid w:val="0005694F"/>
    <w:rsid w:val="00056C0E"/>
    <w:rsid w:val="00056F27"/>
    <w:rsid w:val="000573AF"/>
    <w:rsid w:val="000575CB"/>
    <w:rsid w:val="00057CAB"/>
    <w:rsid w:val="00057E36"/>
    <w:rsid w:val="00060741"/>
    <w:rsid w:val="00060B14"/>
    <w:rsid w:val="0006169E"/>
    <w:rsid w:val="000626FD"/>
    <w:rsid w:val="00062C2E"/>
    <w:rsid w:val="000630A4"/>
    <w:rsid w:val="00063397"/>
    <w:rsid w:val="00063B0F"/>
    <w:rsid w:val="00063FE4"/>
    <w:rsid w:val="0006432B"/>
    <w:rsid w:val="00064C0C"/>
    <w:rsid w:val="00064E14"/>
    <w:rsid w:val="000653D4"/>
    <w:rsid w:val="000666EF"/>
    <w:rsid w:val="000668F9"/>
    <w:rsid w:val="000675C2"/>
    <w:rsid w:val="00067884"/>
    <w:rsid w:val="00067A53"/>
    <w:rsid w:val="000702B2"/>
    <w:rsid w:val="000704F2"/>
    <w:rsid w:val="00070588"/>
    <w:rsid w:val="00070BDC"/>
    <w:rsid w:val="00070DAA"/>
    <w:rsid w:val="0007137A"/>
    <w:rsid w:val="000715B6"/>
    <w:rsid w:val="0007174A"/>
    <w:rsid w:val="00071C35"/>
    <w:rsid w:val="00072001"/>
    <w:rsid w:val="0007215A"/>
    <w:rsid w:val="00072B0D"/>
    <w:rsid w:val="00072BFC"/>
    <w:rsid w:val="000736FE"/>
    <w:rsid w:val="00073F97"/>
    <w:rsid w:val="00074A89"/>
    <w:rsid w:val="00074B2A"/>
    <w:rsid w:val="00074CA1"/>
    <w:rsid w:val="00074DCF"/>
    <w:rsid w:val="00075007"/>
    <w:rsid w:val="00075F50"/>
    <w:rsid w:val="00076838"/>
    <w:rsid w:val="00080813"/>
    <w:rsid w:val="00080D43"/>
    <w:rsid w:val="00080D77"/>
    <w:rsid w:val="00082874"/>
    <w:rsid w:val="00083276"/>
    <w:rsid w:val="00083476"/>
    <w:rsid w:val="0008435D"/>
    <w:rsid w:val="000843BB"/>
    <w:rsid w:val="0008450E"/>
    <w:rsid w:val="0008475D"/>
    <w:rsid w:val="0008558C"/>
    <w:rsid w:val="00085F13"/>
    <w:rsid w:val="00086613"/>
    <w:rsid w:val="00086659"/>
    <w:rsid w:val="000874F7"/>
    <w:rsid w:val="000876F1"/>
    <w:rsid w:val="00087945"/>
    <w:rsid w:val="00087CC0"/>
    <w:rsid w:val="00087F47"/>
    <w:rsid w:val="00091202"/>
    <w:rsid w:val="000923B2"/>
    <w:rsid w:val="0009255D"/>
    <w:rsid w:val="00092B3A"/>
    <w:rsid w:val="00094578"/>
    <w:rsid w:val="00094C09"/>
    <w:rsid w:val="00095620"/>
    <w:rsid w:val="00095E00"/>
    <w:rsid w:val="00096638"/>
    <w:rsid w:val="0009681D"/>
    <w:rsid w:val="000974F5"/>
    <w:rsid w:val="000A1224"/>
    <w:rsid w:val="000A249C"/>
    <w:rsid w:val="000A28D4"/>
    <w:rsid w:val="000A2CAB"/>
    <w:rsid w:val="000A2EB4"/>
    <w:rsid w:val="000A3DA3"/>
    <w:rsid w:val="000A4075"/>
    <w:rsid w:val="000A4614"/>
    <w:rsid w:val="000A4FED"/>
    <w:rsid w:val="000A63C6"/>
    <w:rsid w:val="000A6AD4"/>
    <w:rsid w:val="000A6E0B"/>
    <w:rsid w:val="000A704A"/>
    <w:rsid w:val="000A7467"/>
    <w:rsid w:val="000B06F4"/>
    <w:rsid w:val="000B12CE"/>
    <w:rsid w:val="000B183A"/>
    <w:rsid w:val="000B199A"/>
    <w:rsid w:val="000B248F"/>
    <w:rsid w:val="000B2491"/>
    <w:rsid w:val="000B2880"/>
    <w:rsid w:val="000B3295"/>
    <w:rsid w:val="000B345F"/>
    <w:rsid w:val="000B34C2"/>
    <w:rsid w:val="000B407B"/>
    <w:rsid w:val="000B4147"/>
    <w:rsid w:val="000B4630"/>
    <w:rsid w:val="000B497F"/>
    <w:rsid w:val="000B4ED5"/>
    <w:rsid w:val="000B56C0"/>
    <w:rsid w:val="000B56DF"/>
    <w:rsid w:val="000B6ECA"/>
    <w:rsid w:val="000B710D"/>
    <w:rsid w:val="000B729D"/>
    <w:rsid w:val="000B7558"/>
    <w:rsid w:val="000B795F"/>
    <w:rsid w:val="000B79DD"/>
    <w:rsid w:val="000C02B4"/>
    <w:rsid w:val="000C02BA"/>
    <w:rsid w:val="000C04DC"/>
    <w:rsid w:val="000C0758"/>
    <w:rsid w:val="000C0792"/>
    <w:rsid w:val="000C0D98"/>
    <w:rsid w:val="000C11D3"/>
    <w:rsid w:val="000C193E"/>
    <w:rsid w:val="000C1F7D"/>
    <w:rsid w:val="000C2874"/>
    <w:rsid w:val="000C28D9"/>
    <w:rsid w:val="000C2B56"/>
    <w:rsid w:val="000C386E"/>
    <w:rsid w:val="000C3C39"/>
    <w:rsid w:val="000C460D"/>
    <w:rsid w:val="000C4E69"/>
    <w:rsid w:val="000C4F80"/>
    <w:rsid w:val="000C5A97"/>
    <w:rsid w:val="000C6095"/>
    <w:rsid w:val="000C6366"/>
    <w:rsid w:val="000C67FB"/>
    <w:rsid w:val="000D0159"/>
    <w:rsid w:val="000D024C"/>
    <w:rsid w:val="000D08DA"/>
    <w:rsid w:val="000D1607"/>
    <w:rsid w:val="000D23AF"/>
    <w:rsid w:val="000D25E6"/>
    <w:rsid w:val="000D2A77"/>
    <w:rsid w:val="000D3362"/>
    <w:rsid w:val="000D38C0"/>
    <w:rsid w:val="000D43CC"/>
    <w:rsid w:val="000D4452"/>
    <w:rsid w:val="000D450D"/>
    <w:rsid w:val="000D53C8"/>
    <w:rsid w:val="000D59C7"/>
    <w:rsid w:val="000D5AAE"/>
    <w:rsid w:val="000D5B58"/>
    <w:rsid w:val="000D5CFC"/>
    <w:rsid w:val="000D628D"/>
    <w:rsid w:val="000D654E"/>
    <w:rsid w:val="000D6F65"/>
    <w:rsid w:val="000D7114"/>
    <w:rsid w:val="000D7DD3"/>
    <w:rsid w:val="000E02CE"/>
    <w:rsid w:val="000E1415"/>
    <w:rsid w:val="000E17D2"/>
    <w:rsid w:val="000E24EB"/>
    <w:rsid w:val="000E2783"/>
    <w:rsid w:val="000E2D0F"/>
    <w:rsid w:val="000E31F5"/>
    <w:rsid w:val="000E4828"/>
    <w:rsid w:val="000E4F6B"/>
    <w:rsid w:val="000E5332"/>
    <w:rsid w:val="000E5639"/>
    <w:rsid w:val="000E5673"/>
    <w:rsid w:val="000E5E7A"/>
    <w:rsid w:val="000E65F7"/>
    <w:rsid w:val="000E6693"/>
    <w:rsid w:val="000E6B65"/>
    <w:rsid w:val="000E72A9"/>
    <w:rsid w:val="000E79B2"/>
    <w:rsid w:val="000E7C4F"/>
    <w:rsid w:val="000F07DB"/>
    <w:rsid w:val="000F1204"/>
    <w:rsid w:val="000F1345"/>
    <w:rsid w:val="000F21D2"/>
    <w:rsid w:val="000F28AC"/>
    <w:rsid w:val="000F2E7B"/>
    <w:rsid w:val="000F319F"/>
    <w:rsid w:val="000F3BB3"/>
    <w:rsid w:val="000F3C35"/>
    <w:rsid w:val="000F3F9E"/>
    <w:rsid w:val="000F4654"/>
    <w:rsid w:val="000F4BE5"/>
    <w:rsid w:val="000F4E45"/>
    <w:rsid w:val="000F4FB6"/>
    <w:rsid w:val="000F5E6E"/>
    <w:rsid w:val="000F7182"/>
    <w:rsid w:val="000F74B3"/>
    <w:rsid w:val="000F77B0"/>
    <w:rsid w:val="000F7B2C"/>
    <w:rsid w:val="000F7C95"/>
    <w:rsid w:val="001001B9"/>
    <w:rsid w:val="00100E26"/>
    <w:rsid w:val="0010115E"/>
    <w:rsid w:val="00101265"/>
    <w:rsid w:val="001012E5"/>
    <w:rsid w:val="00102254"/>
    <w:rsid w:val="001025FF"/>
    <w:rsid w:val="001027E6"/>
    <w:rsid w:val="00102CAB"/>
    <w:rsid w:val="00102D48"/>
    <w:rsid w:val="00103EEC"/>
    <w:rsid w:val="00104AF2"/>
    <w:rsid w:val="00104F0B"/>
    <w:rsid w:val="001065F1"/>
    <w:rsid w:val="0010702C"/>
    <w:rsid w:val="00110970"/>
    <w:rsid w:val="00110BFF"/>
    <w:rsid w:val="00110CA2"/>
    <w:rsid w:val="00111568"/>
    <w:rsid w:val="00111D67"/>
    <w:rsid w:val="00111ECB"/>
    <w:rsid w:val="001120C0"/>
    <w:rsid w:val="0011236A"/>
    <w:rsid w:val="00112509"/>
    <w:rsid w:val="00112909"/>
    <w:rsid w:val="00113115"/>
    <w:rsid w:val="00113C35"/>
    <w:rsid w:val="001147F5"/>
    <w:rsid w:val="00114F2E"/>
    <w:rsid w:val="001150BF"/>
    <w:rsid w:val="00115E3D"/>
    <w:rsid w:val="00115EB0"/>
    <w:rsid w:val="0011683D"/>
    <w:rsid w:val="001168F2"/>
    <w:rsid w:val="00116955"/>
    <w:rsid w:val="00116BA3"/>
    <w:rsid w:val="001173FA"/>
    <w:rsid w:val="00117551"/>
    <w:rsid w:val="00117BEC"/>
    <w:rsid w:val="0012018D"/>
    <w:rsid w:val="00120207"/>
    <w:rsid w:val="00120F5A"/>
    <w:rsid w:val="0012119E"/>
    <w:rsid w:val="00121321"/>
    <w:rsid w:val="00121890"/>
    <w:rsid w:val="001219CB"/>
    <w:rsid w:val="001219DB"/>
    <w:rsid w:val="00121F60"/>
    <w:rsid w:val="00121F6B"/>
    <w:rsid w:val="00122346"/>
    <w:rsid w:val="001225CD"/>
    <w:rsid w:val="001235AE"/>
    <w:rsid w:val="001238DD"/>
    <w:rsid w:val="00123A24"/>
    <w:rsid w:val="00123B0E"/>
    <w:rsid w:val="00123C1B"/>
    <w:rsid w:val="00123D46"/>
    <w:rsid w:val="00124685"/>
    <w:rsid w:val="001246AF"/>
    <w:rsid w:val="001246D6"/>
    <w:rsid w:val="0012492F"/>
    <w:rsid w:val="00124AD8"/>
    <w:rsid w:val="00124EA1"/>
    <w:rsid w:val="00124ECA"/>
    <w:rsid w:val="00125936"/>
    <w:rsid w:val="00125A0B"/>
    <w:rsid w:val="00125E3C"/>
    <w:rsid w:val="00125FCB"/>
    <w:rsid w:val="001262EC"/>
    <w:rsid w:val="001265AF"/>
    <w:rsid w:val="001267A0"/>
    <w:rsid w:val="00126B70"/>
    <w:rsid w:val="00126CA2"/>
    <w:rsid w:val="00126F0A"/>
    <w:rsid w:val="001273FB"/>
    <w:rsid w:val="00127BC5"/>
    <w:rsid w:val="00127CEA"/>
    <w:rsid w:val="00127D98"/>
    <w:rsid w:val="00130785"/>
    <w:rsid w:val="00131677"/>
    <w:rsid w:val="00131FD2"/>
    <w:rsid w:val="00132898"/>
    <w:rsid w:val="0013289C"/>
    <w:rsid w:val="00132FC9"/>
    <w:rsid w:val="00133049"/>
    <w:rsid w:val="0013388F"/>
    <w:rsid w:val="00133E7E"/>
    <w:rsid w:val="0013456F"/>
    <w:rsid w:val="0013532F"/>
    <w:rsid w:val="001358B0"/>
    <w:rsid w:val="001358D9"/>
    <w:rsid w:val="00135C71"/>
    <w:rsid w:val="00135D20"/>
    <w:rsid w:val="0013671E"/>
    <w:rsid w:val="00136F60"/>
    <w:rsid w:val="001373CD"/>
    <w:rsid w:val="0013759B"/>
    <w:rsid w:val="00137A44"/>
    <w:rsid w:val="00140B14"/>
    <w:rsid w:val="001413F1"/>
    <w:rsid w:val="00141DC7"/>
    <w:rsid w:val="00142072"/>
    <w:rsid w:val="001438C3"/>
    <w:rsid w:val="00143FCB"/>
    <w:rsid w:val="001443BB"/>
    <w:rsid w:val="00144413"/>
    <w:rsid w:val="00144FEF"/>
    <w:rsid w:val="00145044"/>
    <w:rsid w:val="001451A3"/>
    <w:rsid w:val="00145627"/>
    <w:rsid w:val="001456BD"/>
    <w:rsid w:val="00145798"/>
    <w:rsid w:val="00145965"/>
    <w:rsid w:val="00145FAF"/>
    <w:rsid w:val="00146084"/>
    <w:rsid w:val="001460DD"/>
    <w:rsid w:val="00146A41"/>
    <w:rsid w:val="00146B36"/>
    <w:rsid w:val="0015031C"/>
    <w:rsid w:val="00150953"/>
    <w:rsid w:val="00150E6E"/>
    <w:rsid w:val="00151679"/>
    <w:rsid w:val="00151D35"/>
    <w:rsid w:val="00152094"/>
    <w:rsid w:val="00152182"/>
    <w:rsid w:val="0015224C"/>
    <w:rsid w:val="001522EE"/>
    <w:rsid w:val="00152514"/>
    <w:rsid w:val="001525C5"/>
    <w:rsid w:val="00152D2B"/>
    <w:rsid w:val="00152F92"/>
    <w:rsid w:val="0015318E"/>
    <w:rsid w:val="001539C1"/>
    <w:rsid w:val="00154553"/>
    <w:rsid w:val="00155926"/>
    <w:rsid w:val="00156329"/>
    <w:rsid w:val="001564EB"/>
    <w:rsid w:val="001569A8"/>
    <w:rsid w:val="00157395"/>
    <w:rsid w:val="0015782B"/>
    <w:rsid w:val="00157F8E"/>
    <w:rsid w:val="001600D6"/>
    <w:rsid w:val="0016079D"/>
    <w:rsid w:val="001610B9"/>
    <w:rsid w:val="001610DB"/>
    <w:rsid w:val="001611AC"/>
    <w:rsid w:val="00162316"/>
    <w:rsid w:val="00162BAD"/>
    <w:rsid w:val="00163399"/>
    <w:rsid w:val="00163D92"/>
    <w:rsid w:val="00164144"/>
    <w:rsid w:val="001645E5"/>
    <w:rsid w:val="00164A62"/>
    <w:rsid w:val="00165568"/>
    <w:rsid w:val="0016596E"/>
    <w:rsid w:val="001659A3"/>
    <w:rsid w:val="00165D65"/>
    <w:rsid w:val="00165DDD"/>
    <w:rsid w:val="00165E8E"/>
    <w:rsid w:val="00165F77"/>
    <w:rsid w:val="00167406"/>
    <w:rsid w:val="00167986"/>
    <w:rsid w:val="00167A55"/>
    <w:rsid w:val="00167B23"/>
    <w:rsid w:val="00167BE1"/>
    <w:rsid w:val="00167E08"/>
    <w:rsid w:val="0017059E"/>
    <w:rsid w:val="00170605"/>
    <w:rsid w:val="001708DE"/>
    <w:rsid w:val="001715E0"/>
    <w:rsid w:val="00171B25"/>
    <w:rsid w:val="00171EA6"/>
    <w:rsid w:val="001724BC"/>
    <w:rsid w:val="00172548"/>
    <w:rsid w:val="00172ADE"/>
    <w:rsid w:val="00172D50"/>
    <w:rsid w:val="0017544A"/>
    <w:rsid w:val="00175703"/>
    <w:rsid w:val="001758DE"/>
    <w:rsid w:val="00175A9A"/>
    <w:rsid w:val="00175B70"/>
    <w:rsid w:val="00175D37"/>
    <w:rsid w:val="00176658"/>
    <w:rsid w:val="00176D25"/>
    <w:rsid w:val="00176DD5"/>
    <w:rsid w:val="00177070"/>
    <w:rsid w:val="00177B35"/>
    <w:rsid w:val="00177D4E"/>
    <w:rsid w:val="001803C4"/>
    <w:rsid w:val="00180884"/>
    <w:rsid w:val="00180C66"/>
    <w:rsid w:val="00180CC0"/>
    <w:rsid w:val="0018193D"/>
    <w:rsid w:val="00181C81"/>
    <w:rsid w:val="00182916"/>
    <w:rsid w:val="0018342E"/>
    <w:rsid w:val="00183F6F"/>
    <w:rsid w:val="00184065"/>
    <w:rsid w:val="001840C2"/>
    <w:rsid w:val="001840DA"/>
    <w:rsid w:val="00184B46"/>
    <w:rsid w:val="00185939"/>
    <w:rsid w:val="00185EDD"/>
    <w:rsid w:val="00186041"/>
    <w:rsid w:val="0018673F"/>
    <w:rsid w:val="0018674C"/>
    <w:rsid w:val="00186AC3"/>
    <w:rsid w:val="001876F6"/>
    <w:rsid w:val="001904D1"/>
    <w:rsid w:val="00190803"/>
    <w:rsid w:val="00190A73"/>
    <w:rsid w:val="00190B44"/>
    <w:rsid w:val="00190D26"/>
    <w:rsid w:val="00190F49"/>
    <w:rsid w:val="00191CC1"/>
    <w:rsid w:val="00191E23"/>
    <w:rsid w:val="00191EFA"/>
    <w:rsid w:val="00192378"/>
    <w:rsid w:val="00193035"/>
    <w:rsid w:val="001932B4"/>
    <w:rsid w:val="00193332"/>
    <w:rsid w:val="00193589"/>
    <w:rsid w:val="00193B8A"/>
    <w:rsid w:val="001941FB"/>
    <w:rsid w:val="001946E0"/>
    <w:rsid w:val="00194BE0"/>
    <w:rsid w:val="00194E3F"/>
    <w:rsid w:val="0019506D"/>
    <w:rsid w:val="001953B1"/>
    <w:rsid w:val="00195812"/>
    <w:rsid w:val="001963C0"/>
    <w:rsid w:val="001963F4"/>
    <w:rsid w:val="0019714C"/>
    <w:rsid w:val="001976CC"/>
    <w:rsid w:val="00197956"/>
    <w:rsid w:val="00197EEB"/>
    <w:rsid w:val="001A009E"/>
    <w:rsid w:val="001A09D0"/>
    <w:rsid w:val="001A0EDA"/>
    <w:rsid w:val="001A117E"/>
    <w:rsid w:val="001A11DB"/>
    <w:rsid w:val="001A210C"/>
    <w:rsid w:val="001A258D"/>
    <w:rsid w:val="001A264A"/>
    <w:rsid w:val="001A3B20"/>
    <w:rsid w:val="001A409D"/>
    <w:rsid w:val="001A446E"/>
    <w:rsid w:val="001A462C"/>
    <w:rsid w:val="001A4782"/>
    <w:rsid w:val="001A4941"/>
    <w:rsid w:val="001A568C"/>
    <w:rsid w:val="001A56B3"/>
    <w:rsid w:val="001A5E06"/>
    <w:rsid w:val="001A610C"/>
    <w:rsid w:val="001A6763"/>
    <w:rsid w:val="001A7700"/>
    <w:rsid w:val="001A7816"/>
    <w:rsid w:val="001A7E31"/>
    <w:rsid w:val="001B06BA"/>
    <w:rsid w:val="001B15D9"/>
    <w:rsid w:val="001B1676"/>
    <w:rsid w:val="001B17A8"/>
    <w:rsid w:val="001B1EEA"/>
    <w:rsid w:val="001B2482"/>
    <w:rsid w:val="001B2C04"/>
    <w:rsid w:val="001B315C"/>
    <w:rsid w:val="001B339F"/>
    <w:rsid w:val="001B3A10"/>
    <w:rsid w:val="001B4A43"/>
    <w:rsid w:val="001B5435"/>
    <w:rsid w:val="001B55C8"/>
    <w:rsid w:val="001B5C09"/>
    <w:rsid w:val="001B5C39"/>
    <w:rsid w:val="001B5E45"/>
    <w:rsid w:val="001B6371"/>
    <w:rsid w:val="001B63C6"/>
    <w:rsid w:val="001B67C0"/>
    <w:rsid w:val="001B6B54"/>
    <w:rsid w:val="001B715F"/>
    <w:rsid w:val="001B7784"/>
    <w:rsid w:val="001C002D"/>
    <w:rsid w:val="001C0325"/>
    <w:rsid w:val="001C0625"/>
    <w:rsid w:val="001C0626"/>
    <w:rsid w:val="001C0D76"/>
    <w:rsid w:val="001C1FE4"/>
    <w:rsid w:val="001C2405"/>
    <w:rsid w:val="001C26DE"/>
    <w:rsid w:val="001C30A0"/>
    <w:rsid w:val="001C3684"/>
    <w:rsid w:val="001C421B"/>
    <w:rsid w:val="001C44F4"/>
    <w:rsid w:val="001C48D4"/>
    <w:rsid w:val="001C4CCB"/>
    <w:rsid w:val="001C521B"/>
    <w:rsid w:val="001C5A52"/>
    <w:rsid w:val="001C6117"/>
    <w:rsid w:val="001C7BF4"/>
    <w:rsid w:val="001C7C93"/>
    <w:rsid w:val="001D04E7"/>
    <w:rsid w:val="001D0FEE"/>
    <w:rsid w:val="001D2911"/>
    <w:rsid w:val="001D2F7A"/>
    <w:rsid w:val="001D36CD"/>
    <w:rsid w:val="001D3DBA"/>
    <w:rsid w:val="001D410F"/>
    <w:rsid w:val="001D4734"/>
    <w:rsid w:val="001D4F49"/>
    <w:rsid w:val="001D53EA"/>
    <w:rsid w:val="001D53FE"/>
    <w:rsid w:val="001D62BD"/>
    <w:rsid w:val="001D75AB"/>
    <w:rsid w:val="001D7982"/>
    <w:rsid w:val="001E033D"/>
    <w:rsid w:val="001E0609"/>
    <w:rsid w:val="001E088E"/>
    <w:rsid w:val="001E1949"/>
    <w:rsid w:val="001E1D3D"/>
    <w:rsid w:val="001E2D87"/>
    <w:rsid w:val="001E37F3"/>
    <w:rsid w:val="001E3BF1"/>
    <w:rsid w:val="001E3CEA"/>
    <w:rsid w:val="001E3D5B"/>
    <w:rsid w:val="001E3F07"/>
    <w:rsid w:val="001E476B"/>
    <w:rsid w:val="001E47D1"/>
    <w:rsid w:val="001E514B"/>
    <w:rsid w:val="001E5570"/>
    <w:rsid w:val="001E5F24"/>
    <w:rsid w:val="001E64A9"/>
    <w:rsid w:val="001E6A64"/>
    <w:rsid w:val="001E6B27"/>
    <w:rsid w:val="001E6BAB"/>
    <w:rsid w:val="001E75C5"/>
    <w:rsid w:val="001F037A"/>
    <w:rsid w:val="001F0466"/>
    <w:rsid w:val="001F10FE"/>
    <w:rsid w:val="001F16D1"/>
    <w:rsid w:val="001F1B5F"/>
    <w:rsid w:val="001F1BCA"/>
    <w:rsid w:val="001F1BEC"/>
    <w:rsid w:val="001F21CD"/>
    <w:rsid w:val="001F2705"/>
    <w:rsid w:val="001F3F2A"/>
    <w:rsid w:val="001F45D6"/>
    <w:rsid w:val="001F5261"/>
    <w:rsid w:val="001F5801"/>
    <w:rsid w:val="001F5A70"/>
    <w:rsid w:val="001F61EE"/>
    <w:rsid w:val="001F66BD"/>
    <w:rsid w:val="001F69C2"/>
    <w:rsid w:val="001F7ADF"/>
    <w:rsid w:val="001F7DE3"/>
    <w:rsid w:val="00200091"/>
    <w:rsid w:val="00200234"/>
    <w:rsid w:val="00200538"/>
    <w:rsid w:val="00201803"/>
    <w:rsid w:val="00201BF2"/>
    <w:rsid w:val="002029C7"/>
    <w:rsid w:val="0020338A"/>
    <w:rsid w:val="00203670"/>
    <w:rsid w:val="002037BE"/>
    <w:rsid w:val="00204027"/>
    <w:rsid w:val="00204044"/>
    <w:rsid w:val="00204751"/>
    <w:rsid w:val="0020476F"/>
    <w:rsid w:val="002048D1"/>
    <w:rsid w:val="002049B9"/>
    <w:rsid w:val="00206172"/>
    <w:rsid w:val="00206808"/>
    <w:rsid w:val="00206A5A"/>
    <w:rsid w:val="00206C88"/>
    <w:rsid w:val="00206D4E"/>
    <w:rsid w:val="002079CB"/>
    <w:rsid w:val="00210383"/>
    <w:rsid w:val="002104A0"/>
    <w:rsid w:val="0021096E"/>
    <w:rsid w:val="00210B7C"/>
    <w:rsid w:val="00210CD9"/>
    <w:rsid w:val="00210D09"/>
    <w:rsid w:val="00210DE8"/>
    <w:rsid w:val="00211D73"/>
    <w:rsid w:val="00212A3E"/>
    <w:rsid w:val="00212BD7"/>
    <w:rsid w:val="00212C59"/>
    <w:rsid w:val="00213253"/>
    <w:rsid w:val="002133A4"/>
    <w:rsid w:val="002134E1"/>
    <w:rsid w:val="00213A6C"/>
    <w:rsid w:val="00213BA6"/>
    <w:rsid w:val="0021423D"/>
    <w:rsid w:val="00214BF2"/>
    <w:rsid w:val="00214DDD"/>
    <w:rsid w:val="00215290"/>
    <w:rsid w:val="00215329"/>
    <w:rsid w:val="002159BC"/>
    <w:rsid w:val="00215A7F"/>
    <w:rsid w:val="00215E75"/>
    <w:rsid w:val="00215F62"/>
    <w:rsid w:val="00216522"/>
    <w:rsid w:val="00216988"/>
    <w:rsid w:val="002171D3"/>
    <w:rsid w:val="002178CB"/>
    <w:rsid w:val="002202C1"/>
    <w:rsid w:val="002203A3"/>
    <w:rsid w:val="00220788"/>
    <w:rsid w:val="00220F9D"/>
    <w:rsid w:val="00221D19"/>
    <w:rsid w:val="00222EF0"/>
    <w:rsid w:val="0022349F"/>
    <w:rsid w:val="002234AF"/>
    <w:rsid w:val="00223899"/>
    <w:rsid w:val="00223B79"/>
    <w:rsid w:val="00224534"/>
    <w:rsid w:val="00224B68"/>
    <w:rsid w:val="00225162"/>
    <w:rsid w:val="002253C3"/>
    <w:rsid w:val="00225450"/>
    <w:rsid w:val="00226096"/>
    <w:rsid w:val="0022666B"/>
    <w:rsid w:val="002268B7"/>
    <w:rsid w:val="00226BDE"/>
    <w:rsid w:val="00227328"/>
    <w:rsid w:val="0022734D"/>
    <w:rsid w:val="00227D07"/>
    <w:rsid w:val="00230106"/>
    <w:rsid w:val="0023052F"/>
    <w:rsid w:val="00230C1D"/>
    <w:rsid w:val="00231944"/>
    <w:rsid w:val="002320A9"/>
    <w:rsid w:val="00232A94"/>
    <w:rsid w:val="00232B89"/>
    <w:rsid w:val="0023382D"/>
    <w:rsid w:val="00233BDD"/>
    <w:rsid w:val="0023447F"/>
    <w:rsid w:val="00234892"/>
    <w:rsid w:val="002350B3"/>
    <w:rsid w:val="002352C2"/>
    <w:rsid w:val="00235624"/>
    <w:rsid w:val="00235687"/>
    <w:rsid w:val="00235715"/>
    <w:rsid w:val="0023595A"/>
    <w:rsid w:val="00236118"/>
    <w:rsid w:val="002364F7"/>
    <w:rsid w:val="0023798E"/>
    <w:rsid w:val="00237C1E"/>
    <w:rsid w:val="00237C2C"/>
    <w:rsid w:val="00241126"/>
    <w:rsid w:val="00241736"/>
    <w:rsid w:val="002417D8"/>
    <w:rsid w:val="00241C0F"/>
    <w:rsid w:val="00241DEE"/>
    <w:rsid w:val="002424A7"/>
    <w:rsid w:val="002429C8"/>
    <w:rsid w:val="00242BF5"/>
    <w:rsid w:val="00242C77"/>
    <w:rsid w:val="00242EE4"/>
    <w:rsid w:val="002434C6"/>
    <w:rsid w:val="00244608"/>
    <w:rsid w:val="0024462E"/>
    <w:rsid w:val="00244B88"/>
    <w:rsid w:val="00244D96"/>
    <w:rsid w:val="00244F72"/>
    <w:rsid w:val="00245430"/>
    <w:rsid w:val="00245AEE"/>
    <w:rsid w:val="002464A0"/>
    <w:rsid w:val="00246FD3"/>
    <w:rsid w:val="002470C0"/>
    <w:rsid w:val="00247388"/>
    <w:rsid w:val="00247394"/>
    <w:rsid w:val="002474FA"/>
    <w:rsid w:val="00247E64"/>
    <w:rsid w:val="002506D7"/>
    <w:rsid w:val="002507D4"/>
    <w:rsid w:val="002517AE"/>
    <w:rsid w:val="0025224C"/>
    <w:rsid w:val="0025264F"/>
    <w:rsid w:val="0025289D"/>
    <w:rsid w:val="002530E3"/>
    <w:rsid w:val="00253493"/>
    <w:rsid w:val="00253DE9"/>
    <w:rsid w:val="00253F35"/>
    <w:rsid w:val="002542AB"/>
    <w:rsid w:val="002546AB"/>
    <w:rsid w:val="002546AC"/>
    <w:rsid w:val="00254A58"/>
    <w:rsid w:val="00254C08"/>
    <w:rsid w:val="00255503"/>
    <w:rsid w:val="00255A5E"/>
    <w:rsid w:val="002565FE"/>
    <w:rsid w:val="0025689D"/>
    <w:rsid w:val="00256F8C"/>
    <w:rsid w:val="00257AFB"/>
    <w:rsid w:val="00260627"/>
    <w:rsid w:val="00261C87"/>
    <w:rsid w:val="00262089"/>
    <w:rsid w:val="0026266B"/>
    <w:rsid w:val="0026293D"/>
    <w:rsid w:val="00263799"/>
    <w:rsid w:val="002655E5"/>
    <w:rsid w:val="00265982"/>
    <w:rsid w:val="00266C71"/>
    <w:rsid w:val="00267162"/>
    <w:rsid w:val="00270154"/>
    <w:rsid w:val="002708F7"/>
    <w:rsid w:val="002715DC"/>
    <w:rsid w:val="00271F70"/>
    <w:rsid w:val="002723CC"/>
    <w:rsid w:val="002727CA"/>
    <w:rsid w:val="00272AAA"/>
    <w:rsid w:val="002730F2"/>
    <w:rsid w:val="002732D1"/>
    <w:rsid w:val="00273335"/>
    <w:rsid w:val="00273657"/>
    <w:rsid w:val="00273A85"/>
    <w:rsid w:val="0027408B"/>
    <w:rsid w:val="00274105"/>
    <w:rsid w:val="00274D43"/>
    <w:rsid w:val="00276428"/>
    <w:rsid w:val="002766E0"/>
    <w:rsid w:val="00276B56"/>
    <w:rsid w:val="002773A8"/>
    <w:rsid w:val="00277790"/>
    <w:rsid w:val="00277828"/>
    <w:rsid w:val="00277912"/>
    <w:rsid w:val="00277AB8"/>
    <w:rsid w:val="002802FB"/>
    <w:rsid w:val="002808B8"/>
    <w:rsid w:val="00280F46"/>
    <w:rsid w:val="002813B9"/>
    <w:rsid w:val="002816BF"/>
    <w:rsid w:val="0028182D"/>
    <w:rsid w:val="002819FD"/>
    <w:rsid w:val="00281E7C"/>
    <w:rsid w:val="0028204C"/>
    <w:rsid w:val="002824BE"/>
    <w:rsid w:val="00282BD6"/>
    <w:rsid w:val="002830A0"/>
    <w:rsid w:val="0028361B"/>
    <w:rsid w:val="00284668"/>
    <w:rsid w:val="00284DEC"/>
    <w:rsid w:val="00285785"/>
    <w:rsid w:val="0028583A"/>
    <w:rsid w:val="00285B94"/>
    <w:rsid w:val="00285E3B"/>
    <w:rsid w:val="00286989"/>
    <w:rsid w:val="00287368"/>
    <w:rsid w:val="002877A2"/>
    <w:rsid w:val="00287873"/>
    <w:rsid w:val="00290074"/>
    <w:rsid w:val="00290283"/>
    <w:rsid w:val="002907CF"/>
    <w:rsid w:val="00290AFE"/>
    <w:rsid w:val="00290D11"/>
    <w:rsid w:val="0029118B"/>
    <w:rsid w:val="002916CC"/>
    <w:rsid w:val="00291A0D"/>
    <w:rsid w:val="00292158"/>
    <w:rsid w:val="00292586"/>
    <w:rsid w:val="0029278C"/>
    <w:rsid w:val="00292BBE"/>
    <w:rsid w:val="00292E65"/>
    <w:rsid w:val="00293282"/>
    <w:rsid w:val="002936E8"/>
    <w:rsid w:val="00293775"/>
    <w:rsid w:val="00293AB4"/>
    <w:rsid w:val="00294820"/>
    <w:rsid w:val="00294F47"/>
    <w:rsid w:val="00295271"/>
    <w:rsid w:val="00296776"/>
    <w:rsid w:val="0029697C"/>
    <w:rsid w:val="002978F9"/>
    <w:rsid w:val="002979F1"/>
    <w:rsid w:val="00297A70"/>
    <w:rsid w:val="00297BF9"/>
    <w:rsid w:val="002A007D"/>
    <w:rsid w:val="002A07EA"/>
    <w:rsid w:val="002A13E1"/>
    <w:rsid w:val="002A13E2"/>
    <w:rsid w:val="002A22F6"/>
    <w:rsid w:val="002A274A"/>
    <w:rsid w:val="002A2F8E"/>
    <w:rsid w:val="002A3248"/>
    <w:rsid w:val="002A4440"/>
    <w:rsid w:val="002A44B2"/>
    <w:rsid w:val="002A4663"/>
    <w:rsid w:val="002A4C8B"/>
    <w:rsid w:val="002A4F12"/>
    <w:rsid w:val="002A5176"/>
    <w:rsid w:val="002A5505"/>
    <w:rsid w:val="002A5794"/>
    <w:rsid w:val="002A5858"/>
    <w:rsid w:val="002A5D97"/>
    <w:rsid w:val="002A704F"/>
    <w:rsid w:val="002A794A"/>
    <w:rsid w:val="002A7B8B"/>
    <w:rsid w:val="002B05BF"/>
    <w:rsid w:val="002B0846"/>
    <w:rsid w:val="002B11B1"/>
    <w:rsid w:val="002B1304"/>
    <w:rsid w:val="002B1478"/>
    <w:rsid w:val="002B14F2"/>
    <w:rsid w:val="002B1806"/>
    <w:rsid w:val="002B1AE3"/>
    <w:rsid w:val="002B1D10"/>
    <w:rsid w:val="002B22F1"/>
    <w:rsid w:val="002B25DE"/>
    <w:rsid w:val="002B2664"/>
    <w:rsid w:val="002B2C93"/>
    <w:rsid w:val="002B2CBA"/>
    <w:rsid w:val="002B3BC0"/>
    <w:rsid w:val="002B4AD2"/>
    <w:rsid w:val="002B50F0"/>
    <w:rsid w:val="002B5FC0"/>
    <w:rsid w:val="002B6FB3"/>
    <w:rsid w:val="002C0100"/>
    <w:rsid w:val="002C0E7D"/>
    <w:rsid w:val="002C110F"/>
    <w:rsid w:val="002C1C4D"/>
    <w:rsid w:val="002C1D9D"/>
    <w:rsid w:val="002C1EDE"/>
    <w:rsid w:val="002C2095"/>
    <w:rsid w:val="002C2D49"/>
    <w:rsid w:val="002C3DEC"/>
    <w:rsid w:val="002C4BB3"/>
    <w:rsid w:val="002C5168"/>
    <w:rsid w:val="002C57D9"/>
    <w:rsid w:val="002C5981"/>
    <w:rsid w:val="002C5BA8"/>
    <w:rsid w:val="002C5BDF"/>
    <w:rsid w:val="002C5D9E"/>
    <w:rsid w:val="002C626F"/>
    <w:rsid w:val="002C6FB6"/>
    <w:rsid w:val="002C7307"/>
    <w:rsid w:val="002C7636"/>
    <w:rsid w:val="002C7745"/>
    <w:rsid w:val="002C7850"/>
    <w:rsid w:val="002D0410"/>
    <w:rsid w:val="002D07FA"/>
    <w:rsid w:val="002D0899"/>
    <w:rsid w:val="002D1707"/>
    <w:rsid w:val="002D17E2"/>
    <w:rsid w:val="002D22C4"/>
    <w:rsid w:val="002D283C"/>
    <w:rsid w:val="002D2AB8"/>
    <w:rsid w:val="002D3085"/>
    <w:rsid w:val="002D364C"/>
    <w:rsid w:val="002D3AE2"/>
    <w:rsid w:val="002D3BCE"/>
    <w:rsid w:val="002D3F5B"/>
    <w:rsid w:val="002D4876"/>
    <w:rsid w:val="002D5BA9"/>
    <w:rsid w:val="002D68F3"/>
    <w:rsid w:val="002D6983"/>
    <w:rsid w:val="002D7371"/>
    <w:rsid w:val="002D757E"/>
    <w:rsid w:val="002D7A9F"/>
    <w:rsid w:val="002D7DD9"/>
    <w:rsid w:val="002E00EA"/>
    <w:rsid w:val="002E012D"/>
    <w:rsid w:val="002E04AE"/>
    <w:rsid w:val="002E092A"/>
    <w:rsid w:val="002E0D52"/>
    <w:rsid w:val="002E0EC8"/>
    <w:rsid w:val="002E1E7C"/>
    <w:rsid w:val="002E1F3A"/>
    <w:rsid w:val="002E278F"/>
    <w:rsid w:val="002E27ED"/>
    <w:rsid w:val="002E3008"/>
    <w:rsid w:val="002E31E4"/>
    <w:rsid w:val="002E3740"/>
    <w:rsid w:val="002E3B4D"/>
    <w:rsid w:val="002E53D7"/>
    <w:rsid w:val="002E5E66"/>
    <w:rsid w:val="002E722E"/>
    <w:rsid w:val="002E7335"/>
    <w:rsid w:val="002F051D"/>
    <w:rsid w:val="002F0522"/>
    <w:rsid w:val="002F0535"/>
    <w:rsid w:val="002F0734"/>
    <w:rsid w:val="002F0B18"/>
    <w:rsid w:val="002F10A2"/>
    <w:rsid w:val="002F2C47"/>
    <w:rsid w:val="002F2E25"/>
    <w:rsid w:val="002F30D5"/>
    <w:rsid w:val="002F350E"/>
    <w:rsid w:val="002F424F"/>
    <w:rsid w:val="002F4282"/>
    <w:rsid w:val="002F4871"/>
    <w:rsid w:val="002F48BA"/>
    <w:rsid w:val="002F4B0D"/>
    <w:rsid w:val="002F4BC0"/>
    <w:rsid w:val="002F542B"/>
    <w:rsid w:val="002F5CB5"/>
    <w:rsid w:val="002F5D42"/>
    <w:rsid w:val="002F5F75"/>
    <w:rsid w:val="002F5FD3"/>
    <w:rsid w:val="002F6371"/>
    <w:rsid w:val="002F6659"/>
    <w:rsid w:val="002F68C8"/>
    <w:rsid w:val="002F7CE1"/>
    <w:rsid w:val="002F7EF8"/>
    <w:rsid w:val="0030026A"/>
    <w:rsid w:val="003003F7"/>
    <w:rsid w:val="003004A2"/>
    <w:rsid w:val="00300AEC"/>
    <w:rsid w:val="0030107C"/>
    <w:rsid w:val="003016E5"/>
    <w:rsid w:val="00301975"/>
    <w:rsid w:val="0030230A"/>
    <w:rsid w:val="003039C0"/>
    <w:rsid w:val="0030409C"/>
    <w:rsid w:val="003040F0"/>
    <w:rsid w:val="00304442"/>
    <w:rsid w:val="0030542C"/>
    <w:rsid w:val="0030547E"/>
    <w:rsid w:val="0030560D"/>
    <w:rsid w:val="003057CE"/>
    <w:rsid w:val="003070EC"/>
    <w:rsid w:val="00307445"/>
    <w:rsid w:val="00310418"/>
    <w:rsid w:val="00311081"/>
    <w:rsid w:val="00312877"/>
    <w:rsid w:val="00312FFC"/>
    <w:rsid w:val="00313657"/>
    <w:rsid w:val="0031377C"/>
    <w:rsid w:val="0031390E"/>
    <w:rsid w:val="00313E84"/>
    <w:rsid w:val="00314EE4"/>
    <w:rsid w:val="003150BF"/>
    <w:rsid w:val="003150CE"/>
    <w:rsid w:val="00315439"/>
    <w:rsid w:val="00315A18"/>
    <w:rsid w:val="00315E92"/>
    <w:rsid w:val="003164D7"/>
    <w:rsid w:val="003171EF"/>
    <w:rsid w:val="003176F5"/>
    <w:rsid w:val="00320152"/>
    <w:rsid w:val="00320373"/>
    <w:rsid w:val="00320BB0"/>
    <w:rsid w:val="00320F37"/>
    <w:rsid w:val="00321A42"/>
    <w:rsid w:val="00321ED3"/>
    <w:rsid w:val="00322049"/>
    <w:rsid w:val="00322B67"/>
    <w:rsid w:val="003236A2"/>
    <w:rsid w:val="00323B9E"/>
    <w:rsid w:val="00323C03"/>
    <w:rsid w:val="00324172"/>
    <w:rsid w:val="00324227"/>
    <w:rsid w:val="0032442D"/>
    <w:rsid w:val="00325320"/>
    <w:rsid w:val="003259C8"/>
    <w:rsid w:val="00326ED3"/>
    <w:rsid w:val="003307DB"/>
    <w:rsid w:val="00330804"/>
    <w:rsid w:val="00330A80"/>
    <w:rsid w:val="0033129F"/>
    <w:rsid w:val="00331A31"/>
    <w:rsid w:val="0033228C"/>
    <w:rsid w:val="003325D1"/>
    <w:rsid w:val="003327C0"/>
    <w:rsid w:val="00333C21"/>
    <w:rsid w:val="003341C1"/>
    <w:rsid w:val="0033475F"/>
    <w:rsid w:val="00334A6B"/>
    <w:rsid w:val="00336111"/>
    <w:rsid w:val="0033631F"/>
    <w:rsid w:val="003366B2"/>
    <w:rsid w:val="00336ABF"/>
    <w:rsid w:val="003372E9"/>
    <w:rsid w:val="00340066"/>
    <w:rsid w:val="00340719"/>
    <w:rsid w:val="0034122D"/>
    <w:rsid w:val="003418BA"/>
    <w:rsid w:val="00341936"/>
    <w:rsid w:val="00341BD8"/>
    <w:rsid w:val="0034288B"/>
    <w:rsid w:val="0034332B"/>
    <w:rsid w:val="00343E3D"/>
    <w:rsid w:val="0034431D"/>
    <w:rsid w:val="003443F1"/>
    <w:rsid w:val="00344695"/>
    <w:rsid w:val="00344905"/>
    <w:rsid w:val="003454F6"/>
    <w:rsid w:val="003455A6"/>
    <w:rsid w:val="003457F5"/>
    <w:rsid w:val="00345895"/>
    <w:rsid w:val="0034681C"/>
    <w:rsid w:val="00346D24"/>
    <w:rsid w:val="00347466"/>
    <w:rsid w:val="00347A6E"/>
    <w:rsid w:val="00347C92"/>
    <w:rsid w:val="00347DEB"/>
    <w:rsid w:val="00350123"/>
    <w:rsid w:val="003508C6"/>
    <w:rsid w:val="003515E4"/>
    <w:rsid w:val="00351AE1"/>
    <w:rsid w:val="00351B69"/>
    <w:rsid w:val="00351CE4"/>
    <w:rsid w:val="00352982"/>
    <w:rsid w:val="00352E3A"/>
    <w:rsid w:val="0035475E"/>
    <w:rsid w:val="0035491E"/>
    <w:rsid w:val="00354E41"/>
    <w:rsid w:val="0035609F"/>
    <w:rsid w:val="003564EC"/>
    <w:rsid w:val="00356D2B"/>
    <w:rsid w:val="00356DD6"/>
    <w:rsid w:val="00356E71"/>
    <w:rsid w:val="0035746B"/>
    <w:rsid w:val="003574CC"/>
    <w:rsid w:val="003578BB"/>
    <w:rsid w:val="003579E5"/>
    <w:rsid w:val="00357F84"/>
    <w:rsid w:val="003600A8"/>
    <w:rsid w:val="00360744"/>
    <w:rsid w:val="00360C61"/>
    <w:rsid w:val="00361804"/>
    <w:rsid w:val="00361827"/>
    <w:rsid w:val="00361C45"/>
    <w:rsid w:val="00362091"/>
    <w:rsid w:val="0036221C"/>
    <w:rsid w:val="003623F3"/>
    <w:rsid w:val="0036284D"/>
    <w:rsid w:val="00363B7E"/>
    <w:rsid w:val="00364786"/>
    <w:rsid w:val="00364BC5"/>
    <w:rsid w:val="003650FF"/>
    <w:rsid w:val="003655E1"/>
    <w:rsid w:val="0036566F"/>
    <w:rsid w:val="00366524"/>
    <w:rsid w:val="00367277"/>
    <w:rsid w:val="00371248"/>
    <w:rsid w:val="003720CF"/>
    <w:rsid w:val="0037224B"/>
    <w:rsid w:val="00372728"/>
    <w:rsid w:val="00372BCF"/>
    <w:rsid w:val="00373888"/>
    <w:rsid w:val="00373E25"/>
    <w:rsid w:val="00373E58"/>
    <w:rsid w:val="00374208"/>
    <w:rsid w:val="00374388"/>
    <w:rsid w:val="003747C9"/>
    <w:rsid w:val="00374A67"/>
    <w:rsid w:val="00374DB9"/>
    <w:rsid w:val="00374F98"/>
    <w:rsid w:val="00375E97"/>
    <w:rsid w:val="00376073"/>
    <w:rsid w:val="00376660"/>
    <w:rsid w:val="00376F77"/>
    <w:rsid w:val="00377452"/>
    <w:rsid w:val="00377B3F"/>
    <w:rsid w:val="00377CDB"/>
    <w:rsid w:val="00380026"/>
    <w:rsid w:val="00380852"/>
    <w:rsid w:val="00380F59"/>
    <w:rsid w:val="00380F5C"/>
    <w:rsid w:val="00381223"/>
    <w:rsid w:val="00381849"/>
    <w:rsid w:val="00381A06"/>
    <w:rsid w:val="00381C07"/>
    <w:rsid w:val="00382069"/>
    <w:rsid w:val="00382247"/>
    <w:rsid w:val="003823A0"/>
    <w:rsid w:val="00382C22"/>
    <w:rsid w:val="00383D43"/>
    <w:rsid w:val="00383EBA"/>
    <w:rsid w:val="00383F1D"/>
    <w:rsid w:val="00384DE2"/>
    <w:rsid w:val="00384F36"/>
    <w:rsid w:val="00385271"/>
    <w:rsid w:val="003852BF"/>
    <w:rsid w:val="00385A0B"/>
    <w:rsid w:val="00385C18"/>
    <w:rsid w:val="003868BB"/>
    <w:rsid w:val="00386B28"/>
    <w:rsid w:val="0038768C"/>
    <w:rsid w:val="00387D6E"/>
    <w:rsid w:val="003904DD"/>
    <w:rsid w:val="00390639"/>
    <w:rsid w:val="003907C7"/>
    <w:rsid w:val="003911AF"/>
    <w:rsid w:val="00391F5A"/>
    <w:rsid w:val="00392157"/>
    <w:rsid w:val="0039226E"/>
    <w:rsid w:val="003925D5"/>
    <w:rsid w:val="00392742"/>
    <w:rsid w:val="00392CC8"/>
    <w:rsid w:val="00394801"/>
    <w:rsid w:val="00394C30"/>
    <w:rsid w:val="00395426"/>
    <w:rsid w:val="0039571E"/>
    <w:rsid w:val="003957E5"/>
    <w:rsid w:val="0039694F"/>
    <w:rsid w:val="00397708"/>
    <w:rsid w:val="00397730"/>
    <w:rsid w:val="003A020B"/>
    <w:rsid w:val="003A0843"/>
    <w:rsid w:val="003A0A29"/>
    <w:rsid w:val="003A18DE"/>
    <w:rsid w:val="003A2017"/>
    <w:rsid w:val="003A20D7"/>
    <w:rsid w:val="003A2B7F"/>
    <w:rsid w:val="003A311C"/>
    <w:rsid w:val="003A311D"/>
    <w:rsid w:val="003A3217"/>
    <w:rsid w:val="003A3931"/>
    <w:rsid w:val="003A423F"/>
    <w:rsid w:val="003A48CC"/>
    <w:rsid w:val="003A4D80"/>
    <w:rsid w:val="003A61BB"/>
    <w:rsid w:val="003A656E"/>
    <w:rsid w:val="003A6650"/>
    <w:rsid w:val="003A6A1F"/>
    <w:rsid w:val="003A72EF"/>
    <w:rsid w:val="003A7A71"/>
    <w:rsid w:val="003A7CA5"/>
    <w:rsid w:val="003A7E21"/>
    <w:rsid w:val="003B066C"/>
    <w:rsid w:val="003B0F91"/>
    <w:rsid w:val="003B11C6"/>
    <w:rsid w:val="003B1A22"/>
    <w:rsid w:val="003B1D65"/>
    <w:rsid w:val="003B1E19"/>
    <w:rsid w:val="003B20A9"/>
    <w:rsid w:val="003B2109"/>
    <w:rsid w:val="003B2CBF"/>
    <w:rsid w:val="003B34F4"/>
    <w:rsid w:val="003B34FD"/>
    <w:rsid w:val="003B36CD"/>
    <w:rsid w:val="003B3769"/>
    <w:rsid w:val="003B37E4"/>
    <w:rsid w:val="003B3B7C"/>
    <w:rsid w:val="003B3C8A"/>
    <w:rsid w:val="003B432D"/>
    <w:rsid w:val="003B4363"/>
    <w:rsid w:val="003B4664"/>
    <w:rsid w:val="003B4EED"/>
    <w:rsid w:val="003B5B15"/>
    <w:rsid w:val="003B5B3C"/>
    <w:rsid w:val="003B5C1E"/>
    <w:rsid w:val="003B5CF3"/>
    <w:rsid w:val="003B659F"/>
    <w:rsid w:val="003B6782"/>
    <w:rsid w:val="003B6B2C"/>
    <w:rsid w:val="003B6C90"/>
    <w:rsid w:val="003B6E13"/>
    <w:rsid w:val="003B70FB"/>
    <w:rsid w:val="003B7186"/>
    <w:rsid w:val="003B7B5D"/>
    <w:rsid w:val="003C075F"/>
    <w:rsid w:val="003C0A6D"/>
    <w:rsid w:val="003C0F7F"/>
    <w:rsid w:val="003C112E"/>
    <w:rsid w:val="003C15D6"/>
    <w:rsid w:val="003C1A78"/>
    <w:rsid w:val="003C266A"/>
    <w:rsid w:val="003C27F6"/>
    <w:rsid w:val="003C2F09"/>
    <w:rsid w:val="003C3FBD"/>
    <w:rsid w:val="003C52EA"/>
    <w:rsid w:val="003C5C7D"/>
    <w:rsid w:val="003C602A"/>
    <w:rsid w:val="003C6919"/>
    <w:rsid w:val="003C6E99"/>
    <w:rsid w:val="003C76B4"/>
    <w:rsid w:val="003C7F1C"/>
    <w:rsid w:val="003D0518"/>
    <w:rsid w:val="003D0B46"/>
    <w:rsid w:val="003D0EFF"/>
    <w:rsid w:val="003D1028"/>
    <w:rsid w:val="003D1759"/>
    <w:rsid w:val="003D1896"/>
    <w:rsid w:val="003D1990"/>
    <w:rsid w:val="003D1A39"/>
    <w:rsid w:val="003D2575"/>
    <w:rsid w:val="003D3893"/>
    <w:rsid w:val="003D3B14"/>
    <w:rsid w:val="003D4D0F"/>
    <w:rsid w:val="003D515A"/>
    <w:rsid w:val="003D5166"/>
    <w:rsid w:val="003D528A"/>
    <w:rsid w:val="003D52F5"/>
    <w:rsid w:val="003D57F5"/>
    <w:rsid w:val="003D5AEC"/>
    <w:rsid w:val="003D5C71"/>
    <w:rsid w:val="003D62F7"/>
    <w:rsid w:val="003D7AA7"/>
    <w:rsid w:val="003D7C62"/>
    <w:rsid w:val="003E03AB"/>
    <w:rsid w:val="003E0666"/>
    <w:rsid w:val="003E1035"/>
    <w:rsid w:val="003E11A0"/>
    <w:rsid w:val="003E17F2"/>
    <w:rsid w:val="003E1924"/>
    <w:rsid w:val="003E19F7"/>
    <w:rsid w:val="003E1C9A"/>
    <w:rsid w:val="003E1DB4"/>
    <w:rsid w:val="003E1EB2"/>
    <w:rsid w:val="003E1FFA"/>
    <w:rsid w:val="003E2A4F"/>
    <w:rsid w:val="003E479C"/>
    <w:rsid w:val="003E492C"/>
    <w:rsid w:val="003E4D95"/>
    <w:rsid w:val="003E4E77"/>
    <w:rsid w:val="003E5349"/>
    <w:rsid w:val="003E5742"/>
    <w:rsid w:val="003E5E1B"/>
    <w:rsid w:val="003E5FCD"/>
    <w:rsid w:val="003E6272"/>
    <w:rsid w:val="003E6CC9"/>
    <w:rsid w:val="003E6FDA"/>
    <w:rsid w:val="003E710D"/>
    <w:rsid w:val="003E727D"/>
    <w:rsid w:val="003E768E"/>
    <w:rsid w:val="003E7A9C"/>
    <w:rsid w:val="003F0FE2"/>
    <w:rsid w:val="003F14A0"/>
    <w:rsid w:val="003F1A91"/>
    <w:rsid w:val="003F1B66"/>
    <w:rsid w:val="003F1E69"/>
    <w:rsid w:val="003F328F"/>
    <w:rsid w:val="003F34AC"/>
    <w:rsid w:val="003F3A54"/>
    <w:rsid w:val="003F4AEA"/>
    <w:rsid w:val="003F4E09"/>
    <w:rsid w:val="003F531A"/>
    <w:rsid w:val="003F6190"/>
    <w:rsid w:val="003F6267"/>
    <w:rsid w:val="003F6E93"/>
    <w:rsid w:val="003F6F69"/>
    <w:rsid w:val="003F7BE5"/>
    <w:rsid w:val="003F7C9E"/>
    <w:rsid w:val="00400168"/>
    <w:rsid w:val="0040034D"/>
    <w:rsid w:val="0040068E"/>
    <w:rsid w:val="00401211"/>
    <w:rsid w:val="0040142E"/>
    <w:rsid w:val="00401F16"/>
    <w:rsid w:val="004024F3"/>
    <w:rsid w:val="004025E8"/>
    <w:rsid w:val="00402768"/>
    <w:rsid w:val="00402BF7"/>
    <w:rsid w:val="00403301"/>
    <w:rsid w:val="00403AE1"/>
    <w:rsid w:val="00403AFA"/>
    <w:rsid w:val="00403DBD"/>
    <w:rsid w:val="00404C36"/>
    <w:rsid w:val="00405671"/>
    <w:rsid w:val="00405804"/>
    <w:rsid w:val="004059B6"/>
    <w:rsid w:val="00405CF5"/>
    <w:rsid w:val="00405DC8"/>
    <w:rsid w:val="004064B2"/>
    <w:rsid w:val="00406762"/>
    <w:rsid w:val="00406DF8"/>
    <w:rsid w:val="00406F38"/>
    <w:rsid w:val="00407372"/>
    <w:rsid w:val="00407410"/>
    <w:rsid w:val="0041009F"/>
    <w:rsid w:val="004107CA"/>
    <w:rsid w:val="00410AB0"/>
    <w:rsid w:val="00410AFB"/>
    <w:rsid w:val="004111BC"/>
    <w:rsid w:val="004114CB"/>
    <w:rsid w:val="00411B6F"/>
    <w:rsid w:val="00411D63"/>
    <w:rsid w:val="004121AD"/>
    <w:rsid w:val="004125F4"/>
    <w:rsid w:val="004126D4"/>
    <w:rsid w:val="00412856"/>
    <w:rsid w:val="00412B37"/>
    <w:rsid w:val="00412FE0"/>
    <w:rsid w:val="00413100"/>
    <w:rsid w:val="00413124"/>
    <w:rsid w:val="00413F2F"/>
    <w:rsid w:val="00414703"/>
    <w:rsid w:val="00415488"/>
    <w:rsid w:val="00415D2B"/>
    <w:rsid w:val="00415FF7"/>
    <w:rsid w:val="00416C0A"/>
    <w:rsid w:val="00416C81"/>
    <w:rsid w:val="00416FAF"/>
    <w:rsid w:val="004178F0"/>
    <w:rsid w:val="00417FD7"/>
    <w:rsid w:val="00420006"/>
    <w:rsid w:val="00420304"/>
    <w:rsid w:val="00420D4F"/>
    <w:rsid w:val="00421275"/>
    <w:rsid w:val="00421522"/>
    <w:rsid w:val="00421941"/>
    <w:rsid w:val="00421A6F"/>
    <w:rsid w:val="00423155"/>
    <w:rsid w:val="00423216"/>
    <w:rsid w:val="0042321C"/>
    <w:rsid w:val="004235AE"/>
    <w:rsid w:val="00423EF3"/>
    <w:rsid w:val="0042414A"/>
    <w:rsid w:val="00424DE2"/>
    <w:rsid w:val="0042527A"/>
    <w:rsid w:val="00425C2F"/>
    <w:rsid w:val="00426283"/>
    <w:rsid w:val="00426290"/>
    <w:rsid w:val="004266AD"/>
    <w:rsid w:val="004276B5"/>
    <w:rsid w:val="0042790A"/>
    <w:rsid w:val="00427D78"/>
    <w:rsid w:val="00431641"/>
    <w:rsid w:val="00432250"/>
    <w:rsid w:val="00432528"/>
    <w:rsid w:val="00432836"/>
    <w:rsid w:val="00433433"/>
    <w:rsid w:val="00433D88"/>
    <w:rsid w:val="00433E15"/>
    <w:rsid w:val="00433E66"/>
    <w:rsid w:val="004354E6"/>
    <w:rsid w:val="004362C0"/>
    <w:rsid w:val="004364D8"/>
    <w:rsid w:val="00436570"/>
    <w:rsid w:val="0043701F"/>
    <w:rsid w:val="004373D1"/>
    <w:rsid w:val="004374A5"/>
    <w:rsid w:val="0043778D"/>
    <w:rsid w:val="004378D6"/>
    <w:rsid w:val="00437D7B"/>
    <w:rsid w:val="00437DE9"/>
    <w:rsid w:val="0044023F"/>
    <w:rsid w:val="004408EC"/>
    <w:rsid w:val="00442D14"/>
    <w:rsid w:val="00442DBA"/>
    <w:rsid w:val="00442EE2"/>
    <w:rsid w:val="004432CD"/>
    <w:rsid w:val="004434AE"/>
    <w:rsid w:val="0044356F"/>
    <w:rsid w:val="00443AFF"/>
    <w:rsid w:val="00443E7A"/>
    <w:rsid w:val="0044437C"/>
    <w:rsid w:val="00444990"/>
    <w:rsid w:val="00445277"/>
    <w:rsid w:val="004454C2"/>
    <w:rsid w:val="00445DDD"/>
    <w:rsid w:val="00446A6D"/>
    <w:rsid w:val="00447347"/>
    <w:rsid w:val="00447414"/>
    <w:rsid w:val="00447F33"/>
    <w:rsid w:val="00450116"/>
    <w:rsid w:val="004501F1"/>
    <w:rsid w:val="00450A27"/>
    <w:rsid w:val="00451EC2"/>
    <w:rsid w:val="004523CE"/>
    <w:rsid w:val="00452B89"/>
    <w:rsid w:val="00453384"/>
    <w:rsid w:val="00453A4F"/>
    <w:rsid w:val="00453C70"/>
    <w:rsid w:val="00454177"/>
    <w:rsid w:val="00454BA5"/>
    <w:rsid w:val="00455489"/>
    <w:rsid w:val="00455838"/>
    <w:rsid w:val="004560B9"/>
    <w:rsid w:val="004566F8"/>
    <w:rsid w:val="00456915"/>
    <w:rsid w:val="004573C7"/>
    <w:rsid w:val="00457AB8"/>
    <w:rsid w:val="0046125F"/>
    <w:rsid w:val="00461442"/>
    <w:rsid w:val="004624B2"/>
    <w:rsid w:val="00462922"/>
    <w:rsid w:val="00462C4D"/>
    <w:rsid w:val="00463337"/>
    <w:rsid w:val="00463357"/>
    <w:rsid w:val="00463A04"/>
    <w:rsid w:val="00463F42"/>
    <w:rsid w:val="00464034"/>
    <w:rsid w:val="00464691"/>
    <w:rsid w:val="00464D6F"/>
    <w:rsid w:val="00465255"/>
    <w:rsid w:val="004655D5"/>
    <w:rsid w:val="00465762"/>
    <w:rsid w:val="00465E07"/>
    <w:rsid w:val="0046617B"/>
    <w:rsid w:val="004668D7"/>
    <w:rsid w:val="00466B04"/>
    <w:rsid w:val="00466E50"/>
    <w:rsid w:val="00467070"/>
    <w:rsid w:val="00467512"/>
    <w:rsid w:val="004701D6"/>
    <w:rsid w:val="00470244"/>
    <w:rsid w:val="0047074B"/>
    <w:rsid w:val="00470B8D"/>
    <w:rsid w:val="004718C8"/>
    <w:rsid w:val="00471D93"/>
    <w:rsid w:val="00473197"/>
    <w:rsid w:val="00473718"/>
    <w:rsid w:val="00473869"/>
    <w:rsid w:val="004738EC"/>
    <w:rsid w:val="00473C4A"/>
    <w:rsid w:val="0047410E"/>
    <w:rsid w:val="00474278"/>
    <w:rsid w:val="00474BC9"/>
    <w:rsid w:val="0047500B"/>
    <w:rsid w:val="0047503C"/>
    <w:rsid w:val="00475530"/>
    <w:rsid w:val="00475547"/>
    <w:rsid w:val="00475AE1"/>
    <w:rsid w:val="0047774D"/>
    <w:rsid w:val="004777F2"/>
    <w:rsid w:val="00477A9F"/>
    <w:rsid w:val="00477BCD"/>
    <w:rsid w:val="00477E30"/>
    <w:rsid w:val="00480212"/>
    <w:rsid w:val="0048054A"/>
    <w:rsid w:val="0048074A"/>
    <w:rsid w:val="0048165D"/>
    <w:rsid w:val="004818E8"/>
    <w:rsid w:val="00481914"/>
    <w:rsid w:val="00482F67"/>
    <w:rsid w:val="00483006"/>
    <w:rsid w:val="00484042"/>
    <w:rsid w:val="004841E0"/>
    <w:rsid w:val="00484915"/>
    <w:rsid w:val="00484BFD"/>
    <w:rsid w:val="004850C4"/>
    <w:rsid w:val="0048551B"/>
    <w:rsid w:val="00485961"/>
    <w:rsid w:val="00485A0C"/>
    <w:rsid w:val="00485B41"/>
    <w:rsid w:val="00485CAB"/>
    <w:rsid w:val="00486505"/>
    <w:rsid w:val="00487387"/>
    <w:rsid w:val="00490702"/>
    <w:rsid w:val="0049097E"/>
    <w:rsid w:val="00490D39"/>
    <w:rsid w:val="00490E50"/>
    <w:rsid w:val="004911C5"/>
    <w:rsid w:val="00491547"/>
    <w:rsid w:val="004919FD"/>
    <w:rsid w:val="00492C97"/>
    <w:rsid w:val="00493DE0"/>
    <w:rsid w:val="00494F29"/>
    <w:rsid w:val="00495691"/>
    <w:rsid w:val="0049589C"/>
    <w:rsid w:val="00495EDE"/>
    <w:rsid w:val="0049600F"/>
    <w:rsid w:val="00496890"/>
    <w:rsid w:val="004977AA"/>
    <w:rsid w:val="004A0191"/>
    <w:rsid w:val="004A06FC"/>
    <w:rsid w:val="004A0B54"/>
    <w:rsid w:val="004A1242"/>
    <w:rsid w:val="004A132C"/>
    <w:rsid w:val="004A1FB7"/>
    <w:rsid w:val="004A20D3"/>
    <w:rsid w:val="004A2E6E"/>
    <w:rsid w:val="004A356E"/>
    <w:rsid w:val="004A46D0"/>
    <w:rsid w:val="004A47AC"/>
    <w:rsid w:val="004A4E08"/>
    <w:rsid w:val="004A526C"/>
    <w:rsid w:val="004A52C7"/>
    <w:rsid w:val="004A646C"/>
    <w:rsid w:val="004A6562"/>
    <w:rsid w:val="004A65E0"/>
    <w:rsid w:val="004A6CDE"/>
    <w:rsid w:val="004A79DA"/>
    <w:rsid w:val="004B0058"/>
    <w:rsid w:val="004B0078"/>
    <w:rsid w:val="004B09B9"/>
    <w:rsid w:val="004B0F1D"/>
    <w:rsid w:val="004B119C"/>
    <w:rsid w:val="004B260A"/>
    <w:rsid w:val="004B26D9"/>
    <w:rsid w:val="004B2C5E"/>
    <w:rsid w:val="004B3054"/>
    <w:rsid w:val="004B458B"/>
    <w:rsid w:val="004B5412"/>
    <w:rsid w:val="004B5767"/>
    <w:rsid w:val="004B5DAB"/>
    <w:rsid w:val="004B5DD7"/>
    <w:rsid w:val="004B69BC"/>
    <w:rsid w:val="004B774B"/>
    <w:rsid w:val="004C0072"/>
    <w:rsid w:val="004C0765"/>
    <w:rsid w:val="004C1128"/>
    <w:rsid w:val="004C20CC"/>
    <w:rsid w:val="004C2639"/>
    <w:rsid w:val="004C2738"/>
    <w:rsid w:val="004C27F5"/>
    <w:rsid w:val="004C282D"/>
    <w:rsid w:val="004C2C1D"/>
    <w:rsid w:val="004C2CA6"/>
    <w:rsid w:val="004C2E4F"/>
    <w:rsid w:val="004C30F4"/>
    <w:rsid w:val="004C3776"/>
    <w:rsid w:val="004C41D8"/>
    <w:rsid w:val="004C4629"/>
    <w:rsid w:val="004C4B71"/>
    <w:rsid w:val="004C5609"/>
    <w:rsid w:val="004C5D39"/>
    <w:rsid w:val="004C690E"/>
    <w:rsid w:val="004C7601"/>
    <w:rsid w:val="004C7FBB"/>
    <w:rsid w:val="004D0151"/>
    <w:rsid w:val="004D087E"/>
    <w:rsid w:val="004D0988"/>
    <w:rsid w:val="004D0A27"/>
    <w:rsid w:val="004D0BB1"/>
    <w:rsid w:val="004D0C81"/>
    <w:rsid w:val="004D0E82"/>
    <w:rsid w:val="004D0FE0"/>
    <w:rsid w:val="004D19DB"/>
    <w:rsid w:val="004D1B64"/>
    <w:rsid w:val="004D1E63"/>
    <w:rsid w:val="004D1E88"/>
    <w:rsid w:val="004D2D2A"/>
    <w:rsid w:val="004D322E"/>
    <w:rsid w:val="004D3A7F"/>
    <w:rsid w:val="004D3CD7"/>
    <w:rsid w:val="004D3CDF"/>
    <w:rsid w:val="004D410C"/>
    <w:rsid w:val="004D425E"/>
    <w:rsid w:val="004D4360"/>
    <w:rsid w:val="004D4A78"/>
    <w:rsid w:val="004D4C8F"/>
    <w:rsid w:val="004D505C"/>
    <w:rsid w:val="004D553B"/>
    <w:rsid w:val="004D58DE"/>
    <w:rsid w:val="004D5F06"/>
    <w:rsid w:val="004D63E2"/>
    <w:rsid w:val="004D6965"/>
    <w:rsid w:val="004D6DA2"/>
    <w:rsid w:val="004D7C4E"/>
    <w:rsid w:val="004E016A"/>
    <w:rsid w:val="004E0822"/>
    <w:rsid w:val="004E14BB"/>
    <w:rsid w:val="004E16AD"/>
    <w:rsid w:val="004E1C4A"/>
    <w:rsid w:val="004E2070"/>
    <w:rsid w:val="004E22F2"/>
    <w:rsid w:val="004E23AF"/>
    <w:rsid w:val="004E29E1"/>
    <w:rsid w:val="004E2AC3"/>
    <w:rsid w:val="004E36AF"/>
    <w:rsid w:val="004E3D17"/>
    <w:rsid w:val="004E3F30"/>
    <w:rsid w:val="004E46F8"/>
    <w:rsid w:val="004E4813"/>
    <w:rsid w:val="004E50C8"/>
    <w:rsid w:val="004E5380"/>
    <w:rsid w:val="004E5475"/>
    <w:rsid w:val="004E54D2"/>
    <w:rsid w:val="004E567C"/>
    <w:rsid w:val="004E60A5"/>
    <w:rsid w:val="004E653E"/>
    <w:rsid w:val="004E65F5"/>
    <w:rsid w:val="004E6A97"/>
    <w:rsid w:val="004E77FF"/>
    <w:rsid w:val="004E7C91"/>
    <w:rsid w:val="004F045C"/>
    <w:rsid w:val="004F082F"/>
    <w:rsid w:val="004F0C46"/>
    <w:rsid w:val="004F0CFD"/>
    <w:rsid w:val="004F0EA3"/>
    <w:rsid w:val="004F122A"/>
    <w:rsid w:val="004F251C"/>
    <w:rsid w:val="004F2748"/>
    <w:rsid w:val="004F2847"/>
    <w:rsid w:val="004F2B73"/>
    <w:rsid w:val="004F2CBD"/>
    <w:rsid w:val="004F2D77"/>
    <w:rsid w:val="004F328C"/>
    <w:rsid w:val="004F3C00"/>
    <w:rsid w:val="004F3D2D"/>
    <w:rsid w:val="004F3E28"/>
    <w:rsid w:val="004F40B7"/>
    <w:rsid w:val="004F4880"/>
    <w:rsid w:val="004F4E1C"/>
    <w:rsid w:val="004F6063"/>
    <w:rsid w:val="004F621F"/>
    <w:rsid w:val="004F70BA"/>
    <w:rsid w:val="004F72DA"/>
    <w:rsid w:val="004F791A"/>
    <w:rsid w:val="005002EC"/>
    <w:rsid w:val="00500CEE"/>
    <w:rsid w:val="00500E1B"/>
    <w:rsid w:val="00500EE7"/>
    <w:rsid w:val="005014D9"/>
    <w:rsid w:val="005018AF"/>
    <w:rsid w:val="00502040"/>
    <w:rsid w:val="00502A73"/>
    <w:rsid w:val="00502C37"/>
    <w:rsid w:val="00502EAE"/>
    <w:rsid w:val="00502FC7"/>
    <w:rsid w:val="00503A1B"/>
    <w:rsid w:val="00503CAE"/>
    <w:rsid w:val="00503DD2"/>
    <w:rsid w:val="005042E6"/>
    <w:rsid w:val="00504817"/>
    <w:rsid w:val="00504A0F"/>
    <w:rsid w:val="00504FF9"/>
    <w:rsid w:val="0050500F"/>
    <w:rsid w:val="0050504A"/>
    <w:rsid w:val="00505279"/>
    <w:rsid w:val="00505312"/>
    <w:rsid w:val="005053E1"/>
    <w:rsid w:val="005057C7"/>
    <w:rsid w:val="00505B0B"/>
    <w:rsid w:val="005063E1"/>
    <w:rsid w:val="00506760"/>
    <w:rsid w:val="00507187"/>
    <w:rsid w:val="0050720A"/>
    <w:rsid w:val="00507A67"/>
    <w:rsid w:val="00507CC5"/>
    <w:rsid w:val="00510D2A"/>
    <w:rsid w:val="00510E7B"/>
    <w:rsid w:val="005112F6"/>
    <w:rsid w:val="0051157E"/>
    <w:rsid w:val="005116A8"/>
    <w:rsid w:val="00511721"/>
    <w:rsid w:val="0051188A"/>
    <w:rsid w:val="00511B86"/>
    <w:rsid w:val="005122A7"/>
    <w:rsid w:val="0051239B"/>
    <w:rsid w:val="005128FE"/>
    <w:rsid w:val="00512FFA"/>
    <w:rsid w:val="00513D2C"/>
    <w:rsid w:val="00514836"/>
    <w:rsid w:val="00515F5F"/>
    <w:rsid w:val="00515F71"/>
    <w:rsid w:val="00516BBB"/>
    <w:rsid w:val="00517DB6"/>
    <w:rsid w:val="00517E93"/>
    <w:rsid w:val="005203C8"/>
    <w:rsid w:val="00520B2E"/>
    <w:rsid w:val="0052125A"/>
    <w:rsid w:val="00521DBC"/>
    <w:rsid w:val="00522284"/>
    <w:rsid w:val="00522445"/>
    <w:rsid w:val="00522E0D"/>
    <w:rsid w:val="00523185"/>
    <w:rsid w:val="00523E1B"/>
    <w:rsid w:val="00523E83"/>
    <w:rsid w:val="00523F20"/>
    <w:rsid w:val="005248BB"/>
    <w:rsid w:val="00524F2A"/>
    <w:rsid w:val="005250B2"/>
    <w:rsid w:val="0052572B"/>
    <w:rsid w:val="00525839"/>
    <w:rsid w:val="005258AA"/>
    <w:rsid w:val="00525C0F"/>
    <w:rsid w:val="00525C8C"/>
    <w:rsid w:val="00526481"/>
    <w:rsid w:val="00526852"/>
    <w:rsid w:val="005308A5"/>
    <w:rsid w:val="00530E7C"/>
    <w:rsid w:val="00531040"/>
    <w:rsid w:val="0053131F"/>
    <w:rsid w:val="005314E9"/>
    <w:rsid w:val="005315A5"/>
    <w:rsid w:val="00531723"/>
    <w:rsid w:val="005318C8"/>
    <w:rsid w:val="0053199D"/>
    <w:rsid w:val="00532100"/>
    <w:rsid w:val="005326D5"/>
    <w:rsid w:val="0053275E"/>
    <w:rsid w:val="0053298B"/>
    <w:rsid w:val="0053324F"/>
    <w:rsid w:val="005334A4"/>
    <w:rsid w:val="005335AE"/>
    <w:rsid w:val="00533974"/>
    <w:rsid w:val="00533AFA"/>
    <w:rsid w:val="00533C48"/>
    <w:rsid w:val="00533F4B"/>
    <w:rsid w:val="005343E5"/>
    <w:rsid w:val="0053442F"/>
    <w:rsid w:val="0053447E"/>
    <w:rsid w:val="00534666"/>
    <w:rsid w:val="005348BF"/>
    <w:rsid w:val="00534DE8"/>
    <w:rsid w:val="0053524E"/>
    <w:rsid w:val="00535994"/>
    <w:rsid w:val="00535B2D"/>
    <w:rsid w:val="0053655C"/>
    <w:rsid w:val="005368BA"/>
    <w:rsid w:val="0054002E"/>
    <w:rsid w:val="00540246"/>
    <w:rsid w:val="005403A1"/>
    <w:rsid w:val="00540A3E"/>
    <w:rsid w:val="00541D6A"/>
    <w:rsid w:val="00541E10"/>
    <w:rsid w:val="00541EF9"/>
    <w:rsid w:val="005423BD"/>
    <w:rsid w:val="005425A3"/>
    <w:rsid w:val="005431CF"/>
    <w:rsid w:val="00543D0A"/>
    <w:rsid w:val="00543F46"/>
    <w:rsid w:val="005442A8"/>
    <w:rsid w:val="0054434A"/>
    <w:rsid w:val="00544440"/>
    <w:rsid w:val="00544DCD"/>
    <w:rsid w:val="00544EFB"/>
    <w:rsid w:val="00545057"/>
    <w:rsid w:val="005454F3"/>
    <w:rsid w:val="005455E5"/>
    <w:rsid w:val="00545A74"/>
    <w:rsid w:val="00545E5F"/>
    <w:rsid w:val="0054681B"/>
    <w:rsid w:val="0054695D"/>
    <w:rsid w:val="00546CC1"/>
    <w:rsid w:val="00546D61"/>
    <w:rsid w:val="00547756"/>
    <w:rsid w:val="0054779A"/>
    <w:rsid w:val="00547914"/>
    <w:rsid w:val="00547B78"/>
    <w:rsid w:val="00547BA1"/>
    <w:rsid w:val="00547C55"/>
    <w:rsid w:val="005500AF"/>
    <w:rsid w:val="00552117"/>
    <w:rsid w:val="00552326"/>
    <w:rsid w:val="00552998"/>
    <w:rsid w:val="005548C2"/>
    <w:rsid w:val="00556101"/>
    <w:rsid w:val="00557CB1"/>
    <w:rsid w:val="0056072C"/>
    <w:rsid w:val="0056081A"/>
    <w:rsid w:val="0056091E"/>
    <w:rsid w:val="00560920"/>
    <w:rsid w:val="00561371"/>
    <w:rsid w:val="0056172D"/>
    <w:rsid w:val="00561883"/>
    <w:rsid w:val="00561A28"/>
    <w:rsid w:val="00561F4E"/>
    <w:rsid w:val="00562136"/>
    <w:rsid w:val="00562408"/>
    <w:rsid w:val="00562615"/>
    <w:rsid w:val="005626E2"/>
    <w:rsid w:val="005628E0"/>
    <w:rsid w:val="00562D85"/>
    <w:rsid w:val="00562DB4"/>
    <w:rsid w:val="00562EDE"/>
    <w:rsid w:val="00562FCE"/>
    <w:rsid w:val="005635F3"/>
    <w:rsid w:val="00563C0C"/>
    <w:rsid w:val="0056411C"/>
    <w:rsid w:val="0056509D"/>
    <w:rsid w:val="0056554C"/>
    <w:rsid w:val="005657A8"/>
    <w:rsid w:val="00565B4C"/>
    <w:rsid w:val="0056601A"/>
    <w:rsid w:val="005662B6"/>
    <w:rsid w:val="005663FF"/>
    <w:rsid w:val="00566FDE"/>
    <w:rsid w:val="00567477"/>
    <w:rsid w:val="005677E5"/>
    <w:rsid w:val="00567B4F"/>
    <w:rsid w:val="005700B7"/>
    <w:rsid w:val="00570D24"/>
    <w:rsid w:val="00571527"/>
    <w:rsid w:val="0057206A"/>
    <w:rsid w:val="00573225"/>
    <w:rsid w:val="005732B5"/>
    <w:rsid w:val="00573C56"/>
    <w:rsid w:val="005740CF"/>
    <w:rsid w:val="00574C1A"/>
    <w:rsid w:val="00575162"/>
    <w:rsid w:val="00575276"/>
    <w:rsid w:val="00575F9A"/>
    <w:rsid w:val="00575FD2"/>
    <w:rsid w:val="0057615B"/>
    <w:rsid w:val="00576434"/>
    <w:rsid w:val="005764AD"/>
    <w:rsid w:val="00576B74"/>
    <w:rsid w:val="00577E4E"/>
    <w:rsid w:val="00577E8C"/>
    <w:rsid w:val="0058090F"/>
    <w:rsid w:val="00580EEB"/>
    <w:rsid w:val="00580FCF"/>
    <w:rsid w:val="00581105"/>
    <w:rsid w:val="005811CD"/>
    <w:rsid w:val="005813DC"/>
    <w:rsid w:val="005815F2"/>
    <w:rsid w:val="0058161A"/>
    <w:rsid w:val="00581C3E"/>
    <w:rsid w:val="00582375"/>
    <w:rsid w:val="00582704"/>
    <w:rsid w:val="00582801"/>
    <w:rsid w:val="00582E59"/>
    <w:rsid w:val="005831C4"/>
    <w:rsid w:val="0058320D"/>
    <w:rsid w:val="005832FF"/>
    <w:rsid w:val="00583673"/>
    <w:rsid w:val="00583803"/>
    <w:rsid w:val="00583A9C"/>
    <w:rsid w:val="00583D08"/>
    <w:rsid w:val="00583DF0"/>
    <w:rsid w:val="00584465"/>
    <w:rsid w:val="00584489"/>
    <w:rsid w:val="005850B8"/>
    <w:rsid w:val="005852E5"/>
    <w:rsid w:val="00585F1A"/>
    <w:rsid w:val="00586A55"/>
    <w:rsid w:val="005871E9"/>
    <w:rsid w:val="00587970"/>
    <w:rsid w:val="00587BE7"/>
    <w:rsid w:val="00587CBC"/>
    <w:rsid w:val="005906DF"/>
    <w:rsid w:val="0059070F"/>
    <w:rsid w:val="00590BD6"/>
    <w:rsid w:val="00590C92"/>
    <w:rsid w:val="0059201D"/>
    <w:rsid w:val="005926A9"/>
    <w:rsid w:val="00592B2F"/>
    <w:rsid w:val="00592C9F"/>
    <w:rsid w:val="00593620"/>
    <w:rsid w:val="00593679"/>
    <w:rsid w:val="0059379F"/>
    <w:rsid w:val="00593D54"/>
    <w:rsid w:val="005946B0"/>
    <w:rsid w:val="00595DF1"/>
    <w:rsid w:val="00595E67"/>
    <w:rsid w:val="00595E9C"/>
    <w:rsid w:val="005963DB"/>
    <w:rsid w:val="00596524"/>
    <w:rsid w:val="00596A3D"/>
    <w:rsid w:val="005970A9"/>
    <w:rsid w:val="00597354"/>
    <w:rsid w:val="00597B0B"/>
    <w:rsid w:val="00597C6A"/>
    <w:rsid w:val="00597D35"/>
    <w:rsid w:val="005A0203"/>
    <w:rsid w:val="005A054A"/>
    <w:rsid w:val="005A0B8D"/>
    <w:rsid w:val="005A0C13"/>
    <w:rsid w:val="005A0E94"/>
    <w:rsid w:val="005A1A62"/>
    <w:rsid w:val="005A21C3"/>
    <w:rsid w:val="005A248C"/>
    <w:rsid w:val="005A27D0"/>
    <w:rsid w:val="005A2A80"/>
    <w:rsid w:val="005A2F8B"/>
    <w:rsid w:val="005A34E1"/>
    <w:rsid w:val="005A38A2"/>
    <w:rsid w:val="005A3D19"/>
    <w:rsid w:val="005A4076"/>
    <w:rsid w:val="005A48E3"/>
    <w:rsid w:val="005A4A36"/>
    <w:rsid w:val="005A561C"/>
    <w:rsid w:val="005A6019"/>
    <w:rsid w:val="005A6D6D"/>
    <w:rsid w:val="005A6E9C"/>
    <w:rsid w:val="005A70B7"/>
    <w:rsid w:val="005A7264"/>
    <w:rsid w:val="005A76C0"/>
    <w:rsid w:val="005A77B3"/>
    <w:rsid w:val="005A7EE8"/>
    <w:rsid w:val="005B0344"/>
    <w:rsid w:val="005B0546"/>
    <w:rsid w:val="005B09A5"/>
    <w:rsid w:val="005B09D0"/>
    <w:rsid w:val="005B133B"/>
    <w:rsid w:val="005B1601"/>
    <w:rsid w:val="005B195A"/>
    <w:rsid w:val="005B1C65"/>
    <w:rsid w:val="005B2BFA"/>
    <w:rsid w:val="005B2D60"/>
    <w:rsid w:val="005B3285"/>
    <w:rsid w:val="005B36A7"/>
    <w:rsid w:val="005B37E1"/>
    <w:rsid w:val="005B3946"/>
    <w:rsid w:val="005B3B08"/>
    <w:rsid w:val="005B3E62"/>
    <w:rsid w:val="005B461D"/>
    <w:rsid w:val="005B4779"/>
    <w:rsid w:val="005B4940"/>
    <w:rsid w:val="005B4B74"/>
    <w:rsid w:val="005B4BC0"/>
    <w:rsid w:val="005B4CFC"/>
    <w:rsid w:val="005B4D5F"/>
    <w:rsid w:val="005B58B0"/>
    <w:rsid w:val="005B59BF"/>
    <w:rsid w:val="005B6073"/>
    <w:rsid w:val="005B60CA"/>
    <w:rsid w:val="005B6646"/>
    <w:rsid w:val="005B6E0D"/>
    <w:rsid w:val="005B77D5"/>
    <w:rsid w:val="005B7C1A"/>
    <w:rsid w:val="005B7CDB"/>
    <w:rsid w:val="005B7E2D"/>
    <w:rsid w:val="005B7FAA"/>
    <w:rsid w:val="005C0298"/>
    <w:rsid w:val="005C05A4"/>
    <w:rsid w:val="005C05BD"/>
    <w:rsid w:val="005C06FA"/>
    <w:rsid w:val="005C0769"/>
    <w:rsid w:val="005C0ED1"/>
    <w:rsid w:val="005C0F13"/>
    <w:rsid w:val="005C25A1"/>
    <w:rsid w:val="005C2C5A"/>
    <w:rsid w:val="005C2E90"/>
    <w:rsid w:val="005C323E"/>
    <w:rsid w:val="005C360A"/>
    <w:rsid w:val="005C3BA8"/>
    <w:rsid w:val="005C55A4"/>
    <w:rsid w:val="005C634F"/>
    <w:rsid w:val="005C7D1F"/>
    <w:rsid w:val="005C7EE9"/>
    <w:rsid w:val="005D16C4"/>
    <w:rsid w:val="005D1BFC"/>
    <w:rsid w:val="005D1D3F"/>
    <w:rsid w:val="005D1F10"/>
    <w:rsid w:val="005D221C"/>
    <w:rsid w:val="005D23BA"/>
    <w:rsid w:val="005D2A01"/>
    <w:rsid w:val="005D2A43"/>
    <w:rsid w:val="005D2B02"/>
    <w:rsid w:val="005D303A"/>
    <w:rsid w:val="005D33E6"/>
    <w:rsid w:val="005D380A"/>
    <w:rsid w:val="005D3A42"/>
    <w:rsid w:val="005D48FF"/>
    <w:rsid w:val="005D5679"/>
    <w:rsid w:val="005D56B4"/>
    <w:rsid w:val="005D56FF"/>
    <w:rsid w:val="005D5B3B"/>
    <w:rsid w:val="005D5B8E"/>
    <w:rsid w:val="005D5D4B"/>
    <w:rsid w:val="005D66CC"/>
    <w:rsid w:val="005D6EA0"/>
    <w:rsid w:val="005D76C0"/>
    <w:rsid w:val="005E002C"/>
    <w:rsid w:val="005E08D0"/>
    <w:rsid w:val="005E13C2"/>
    <w:rsid w:val="005E1953"/>
    <w:rsid w:val="005E2247"/>
    <w:rsid w:val="005E2A77"/>
    <w:rsid w:val="005E2E36"/>
    <w:rsid w:val="005E3188"/>
    <w:rsid w:val="005E3FBA"/>
    <w:rsid w:val="005E45DF"/>
    <w:rsid w:val="005E60E4"/>
    <w:rsid w:val="005E66C3"/>
    <w:rsid w:val="005E7053"/>
    <w:rsid w:val="005E71C5"/>
    <w:rsid w:val="005E7385"/>
    <w:rsid w:val="005E76E2"/>
    <w:rsid w:val="005E7A83"/>
    <w:rsid w:val="005E7B36"/>
    <w:rsid w:val="005E7E86"/>
    <w:rsid w:val="005E7EC0"/>
    <w:rsid w:val="005F0132"/>
    <w:rsid w:val="005F02E6"/>
    <w:rsid w:val="005F1027"/>
    <w:rsid w:val="005F105E"/>
    <w:rsid w:val="005F10DD"/>
    <w:rsid w:val="005F10F1"/>
    <w:rsid w:val="005F121C"/>
    <w:rsid w:val="005F1380"/>
    <w:rsid w:val="005F1586"/>
    <w:rsid w:val="005F1885"/>
    <w:rsid w:val="005F1911"/>
    <w:rsid w:val="005F282B"/>
    <w:rsid w:val="005F2845"/>
    <w:rsid w:val="005F2CBA"/>
    <w:rsid w:val="005F2F56"/>
    <w:rsid w:val="005F2F77"/>
    <w:rsid w:val="005F2FFD"/>
    <w:rsid w:val="005F3216"/>
    <w:rsid w:val="005F3752"/>
    <w:rsid w:val="005F3E3A"/>
    <w:rsid w:val="005F49BC"/>
    <w:rsid w:val="005F4DFE"/>
    <w:rsid w:val="005F4EF9"/>
    <w:rsid w:val="005F54CE"/>
    <w:rsid w:val="005F5C15"/>
    <w:rsid w:val="005F634C"/>
    <w:rsid w:val="005F699E"/>
    <w:rsid w:val="005F6DBA"/>
    <w:rsid w:val="005F6F7A"/>
    <w:rsid w:val="006008A6"/>
    <w:rsid w:val="006013FE"/>
    <w:rsid w:val="006015AE"/>
    <w:rsid w:val="006017B1"/>
    <w:rsid w:val="00601846"/>
    <w:rsid w:val="00601F3B"/>
    <w:rsid w:val="00601FF9"/>
    <w:rsid w:val="006024A1"/>
    <w:rsid w:val="00602B2E"/>
    <w:rsid w:val="00603F7D"/>
    <w:rsid w:val="00604138"/>
    <w:rsid w:val="00604B9E"/>
    <w:rsid w:val="00604E76"/>
    <w:rsid w:val="00605E3A"/>
    <w:rsid w:val="0060685F"/>
    <w:rsid w:val="00606E2E"/>
    <w:rsid w:val="00607066"/>
    <w:rsid w:val="00607197"/>
    <w:rsid w:val="00607654"/>
    <w:rsid w:val="00607829"/>
    <w:rsid w:val="00607A16"/>
    <w:rsid w:val="00607AC6"/>
    <w:rsid w:val="00607CB4"/>
    <w:rsid w:val="00610174"/>
    <w:rsid w:val="00610530"/>
    <w:rsid w:val="006106E2"/>
    <w:rsid w:val="006109F8"/>
    <w:rsid w:val="00610AF7"/>
    <w:rsid w:val="00611ED2"/>
    <w:rsid w:val="0061212A"/>
    <w:rsid w:val="00612ABF"/>
    <w:rsid w:val="00612BA6"/>
    <w:rsid w:val="00613029"/>
    <w:rsid w:val="006132A8"/>
    <w:rsid w:val="006133A2"/>
    <w:rsid w:val="006137B4"/>
    <w:rsid w:val="00613A34"/>
    <w:rsid w:val="00613A74"/>
    <w:rsid w:val="00613CD7"/>
    <w:rsid w:val="0061447F"/>
    <w:rsid w:val="006147EA"/>
    <w:rsid w:val="00615670"/>
    <w:rsid w:val="00616F40"/>
    <w:rsid w:val="0061714E"/>
    <w:rsid w:val="006174AC"/>
    <w:rsid w:val="00617E53"/>
    <w:rsid w:val="00620185"/>
    <w:rsid w:val="00620A58"/>
    <w:rsid w:val="00620C39"/>
    <w:rsid w:val="00620CD9"/>
    <w:rsid w:val="0062156E"/>
    <w:rsid w:val="00621792"/>
    <w:rsid w:val="00622809"/>
    <w:rsid w:val="00623075"/>
    <w:rsid w:val="00623910"/>
    <w:rsid w:val="00623E79"/>
    <w:rsid w:val="00624408"/>
    <w:rsid w:val="00624A27"/>
    <w:rsid w:val="00624A74"/>
    <w:rsid w:val="00624BDE"/>
    <w:rsid w:val="00624CE7"/>
    <w:rsid w:val="00624D74"/>
    <w:rsid w:val="00624D9E"/>
    <w:rsid w:val="0062597B"/>
    <w:rsid w:val="006259D8"/>
    <w:rsid w:val="006259F0"/>
    <w:rsid w:val="0062640F"/>
    <w:rsid w:val="00627107"/>
    <w:rsid w:val="0062716D"/>
    <w:rsid w:val="00627AF2"/>
    <w:rsid w:val="00630633"/>
    <w:rsid w:val="00630CE0"/>
    <w:rsid w:val="00630E75"/>
    <w:rsid w:val="006313B4"/>
    <w:rsid w:val="00631684"/>
    <w:rsid w:val="006316C5"/>
    <w:rsid w:val="00631C35"/>
    <w:rsid w:val="0063227C"/>
    <w:rsid w:val="00632F94"/>
    <w:rsid w:val="00633140"/>
    <w:rsid w:val="00633716"/>
    <w:rsid w:val="00633942"/>
    <w:rsid w:val="00633996"/>
    <w:rsid w:val="00633FA5"/>
    <w:rsid w:val="006347CE"/>
    <w:rsid w:val="0063583C"/>
    <w:rsid w:val="006359A6"/>
    <w:rsid w:val="00635E0B"/>
    <w:rsid w:val="0063632F"/>
    <w:rsid w:val="006375E9"/>
    <w:rsid w:val="00637EE2"/>
    <w:rsid w:val="00637F8F"/>
    <w:rsid w:val="00640883"/>
    <w:rsid w:val="00640E38"/>
    <w:rsid w:val="0064121F"/>
    <w:rsid w:val="00641FB1"/>
    <w:rsid w:val="006434F4"/>
    <w:rsid w:val="006451F4"/>
    <w:rsid w:val="00645C79"/>
    <w:rsid w:val="00645D32"/>
    <w:rsid w:val="00646BE9"/>
    <w:rsid w:val="00647A2E"/>
    <w:rsid w:val="00650C56"/>
    <w:rsid w:val="00651783"/>
    <w:rsid w:val="0065270C"/>
    <w:rsid w:val="00652740"/>
    <w:rsid w:val="00652858"/>
    <w:rsid w:val="00652C9E"/>
    <w:rsid w:val="00653462"/>
    <w:rsid w:val="006549B1"/>
    <w:rsid w:val="00654DB5"/>
    <w:rsid w:val="006557BF"/>
    <w:rsid w:val="006558A6"/>
    <w:rsid w:val="006558DC"/>
    <w:rsid w:val="00655CB4"/>
    <w:rsid w:val="00656B27"/>
    <w:rsid w:val="006570FA"/>
    <w:rsid w:val="0065714C"/>
    <w:rsid w:val="00657864"/>
    <w:rsid w:val="00657984"/>
    <w:rsid w:val="00657CDA"/>
    <w:rsid w:val="00657F8B"/>
    <w:rsid w:val="0066010F"/>
    <w:rsid w:val="0066019E"/>
    <w:rsid w:val="00660401"/>
    <w:rsid w:val="0066069E"/>
    <w:rsid w:val="00660B27"/>
    <w:rsid w:val="006613B0"/>
    <w:rsid w:val="006618FC"/>
    <w:rsid w:val="0066215F"/>
    <w:rsid w:val="00662A38"/>
    <w:rsid w:val="00662C3C"/>
    <w:rsid w:val="0066307D"/>
    <w:rsid w:val="006637D5"/>
    <w:rsid w:val="00663D00"/>
    <w:rsid w:val="00663E86"/>
    <w:rsid w:val="00664044"/>
    <w:rsid w:val="0066430B"/>
    <w:rsid w:val="00664537"/>
    <w:rsid w:val="00664F81"/>
    <w:rsid w:val="0066524C"/>
    <w:rsid w:val="00665648"/>
    <w:rsid w:val="0066573A"/>
    <w:rsid w:val="00666055"/>
    <w:rsid w:val="00666224"/>
    <w:rsid w:val="006664C6"/>
    <w:rsid w:val="006674BC"/>
    <w:rsid w:val="00670313"/>
    <w:rsid w:val="00670759"/>
    <w:rsid w:val="00670904"/>
    <w:rsid w:val="006711F8"/>
    <w:rsid w:val="00671434"/>
    <w:rsid w:val="00671B7E"/>
    <w:rsid w:val="00671CEF"/>
    <w:rsid w:val="00671F0E"/>
    <w:rsid w:val="00672699"/>
    <w:rsid w:val="006730F0"/>
    <w:rsid w:val="00673DD0"/>
    <w:rsid w:val="0067536B"/>
    <w:rsid w:val="00675942"/>
    <w:rsid w:val="006762B0"/>
    <w:rsid w:val="00676469"/>
    <w:rsid w:val="00676791"/>
    <w:rsid w:val="006767BC"/>
    <w:rsid w:val="00676BEC"/>
    <w:rsid w:val="006771BB"/>
    <w:rsid w:val="006777F4"/>
    <w:rsid w:val="00680195"/>
    <w:rsid w:val="006815C5"/>
    <w:rsid w:val="00681614"/>
    <w:rsid w:val="006817B0"/>
    <w:rsid w:val="00681981"/>
    <w:rsid w:val="00681D75"/>
    <w:rsid w:val="00682097"/>
    <w:rsid w:val="006822F7"/>
    <w:rsid w:val="0068242E"/>
    <w:rsid w:val="006825AD"/>
    <w:rsid w:val="00682F56"/>
    <w:rsid w:val="00683BA1"/>
    <w:rsid w:val="00683F2C"/>
    <w:rsid w:val="00684803"/>
    <w:rsid w:val="00684BAF"/>
    <w:rsid w:val="00684CCE"/>
    <w:rsid w:val="00685989"/>
    <w:rsid w:val="00687A25"/>
    <w:rsid w:val="00687F1F"/>
    <w:rsid w:val="006905AF"/>
    <w:rsid w:val="00690745"/>
    <w:rsid w:val="00690A73"/>
    <w:rsid w:val="00691317"/>
    <w:rsid w:val="0069143F"/>
    <w:rsid w:val="00691893"/>
    <w:rsid w:val="006930EC"/>
    <w:rsid w:val="00693593"/>
    <w:rsid w:val="0069387E"/>
    <w:rsid w:val="00693E81"/>
    <w:rsid w:val="00694E64"/>
    <w:rsid w:val="0069503D"/>
    <w:rsid w:val="006956EB"/>
    <w:rsid w:val="0069619C"/>
    <w:rsid w:val="006962C3"/>
    <w:rsid w:val="00696885"/>
    <w:rsid w:val="00696EBB"/>
    <w:rsid w:val="00697A58"/>
    <w:rsid w:val="00697DAE"/>
    <w:rsid w:val="00697E02"/>
    <w:rsid w:val="006A074C"/>
    <w:rsid w:val="006A0814"/>
    <w:rsid w:val="006A1321"/>
    <w:rsid w:val="006A1AEF"/>
    <w:rsid w:val="006A1F10"/>
    <w:rsid w:val="006A2119"/>
    <w:rsid w:val="006A23E3"/>
    <w:rsid w:val="006A31BF"/>
    <w:rsid w:val="006A34A0"/>
    <w:rsid w:val="006A4D4E"/>
    <w:rsid w:val="006A5014"/>
    <w:rsid w:val="006A5BDD"/>
    <w:rsid w:val="006A63EF"/>
    <w:rsid w:val="006A6555"/>
    <w:rsid w:val="006A6D87"/>
    <w:rsid w:val="006A796B"/>
    <w:rsid w:val="006B1244"/>
    <w:rsid w:val="006B185C"/>
    <w:rsid w:val="006B2595"/>
    <w:rsid w:val="006B273E"/>
    <w:rsid w:val="006B2B4F"/>
    <w:rsid w:val="006B31F6"/>
    <w:rsid w:val="006B336B"/>
    <w:rsid w:val="006B3B87"/>
    <w:rsid w:val="006B45D1"/>
    <w:rsid w:val="006B5876"/>
    <w:rsid w:val="006B630A"/>
    <w:rsid w:val="006B6615"/>
    <w:rsid w:val="006B6828"/>
    <w:rsid w:val="006B6BD4"/>
    <w:rsid w:val="006B6C60"/>
    <w:rsid w:val="006B780D"/>
    <w:rsid w:val="006B7B61"/>
    <w:rsid w:val="006B7C24"/>
    <w:rsid w:val="006C085E"/>
    <w:rsid w:val="006C1453"/>
    <w:rsid w:val="006C1577"/>
    <w:rsid w:val="006C17B2"/>
    <w:rsid w:val="006C1A37"/>
    <w:rsid w:val="006C39D8"/>
    <w:rsid w:val="006C3A45"/>
    <w:rsid w:val="006C3B76"/>
    <w:rsid w:val="006C3BE6"/>
    <w:rsid w:val="006C4351"/>
    <w:rsid w:val="006C4365"/>
    <w:rsid w:val="006C46D7"/>
    <w:rsid w:val="006C4858"/>
    <w:rsid w:val="006C4F0D"/>
    <w:rsid w:val="006C5ACD"/>
    <w:rsid w:val="006C5F90"/>
    <w:rsid w:val="006C6300"/>
    <w:rsid w:val="006C640A"/>
    <w:rsid w:val="006C6AB5"/>
    <w:rsid w:val="006C7D22"/>
    <w:rsid w:val="006C7D3C"/>
    <w:rsid w:val="006C7FF4"/>
    <w:rsid w:val="006D087D"/>
    <w:rsid w:val="006D1544"/>
    <w:rsid w:val="006D15C2"/>
    <w:rsid w:val="006D1A0A"/>
    <w:rsid w:val="006D2B0F"/>
    <w:rsid w:val="006D30BB"/>
    <w:rsid w:val="006D334A"/>
    <w:rsid w:val="006D36B7"/>
    <w:rsid w:val="006D3766"/>
    <w:rsid w:val="006D3A49"/>
    <w:rsid w:val="006D3C5B"/>
    <w:rsid w:val="006D4A9E"/>
    <w:rsid w:val="006D4AD9"/>
    <w:rsid w:val="006D4C6D"/>
    <w:rsid w:val="006D53C0"/>
    <w:rsid w:val="006D59A7"/>
    <w:rsid w:val="006D6679"/>
    <w:rsid w:val="006D686D"/>
    <w:rsid w:val="006D6BEE"/>
    <w:rsid w:val="006D7220"/>
    <w:rsid w:val="006D7D27"/>
    <w:rsid w:val="006E05B8"/>
    <w:rsid w:val="006E06BF"/>
    <w:rsid w:val="006E0E7E"/>
    <w:rsid w:val="006E16F1"/>
    <w:rsid w:val="006E1E4A"/>
    <w:rsid w:val="006E1F44"/>
    <w:rsid w:val="006E24F5"/>
    <w:rsid w:val="006E255E"/>
    <w:rsid w:val="006E2F3D"/>
    <w:rsid w:val="006E3426"/>
    <w:rsid w:val="006E359B"/>
    <w:rsid w:val="006E4C20"/>
    <w:rsid w:val="006E4E0D"/>
    <w:rsid w:val="006E4F1A"/>
    <w:rsid w:val="006E53E2"/>
    <w:rsid w:val="006E53EA"/>
    <w:rsid w:val="006E543E"/>
    <w:rsid w:val="006E5D25"/>
    <w:rsid w:val="006E6165"/>
    <w:rsid w:val="006E6506"/>
    <w:rsid w:val="006E6517"/>
    <w:rsid w:val="006E6EEC"/>
    <w:rsid w:val="006E75BF"/>
    <w:rsid w:val="006E761E"/>
    <w:rsid w:val="006F062B"/>
    <w:rsid w:val="006F069B"/>
    <w:rsid w:val="006F08C3"/>
    <w:rsid w:val="006F09B5"/>
    <w:rsid w:val="006F0F40"/>
    <w:rsid w:val="006F1224"/>
    <w:rsid w:val="006F1289"/>
    <w:rsid w:val="006F1349"/>
    <w:rsid w:val="006F201F"/>
    <w:rsid w:val="006F2C03"/>
    <w:rsid w:val="006F2EDD"/>
    <w:rsid w:val="006F3175"/>
    <w:rsid w:val="006F33B0"/>
    <w:rsid w:val="006F3492"/>
    <w:rsid w:val="006F3506"/>
    <w:rsid w:val="006F375A"/>
    <w:rsid w:val="006F3F0E"/>
    <w:rsid w:val="006F43BD"/>
    <w:rsid w:val="006F4638"/>
    <w:rsid w:val="006F48B3"/>
    <w:rsid w:val="006F48B8"/>
    <w:rsid w:val="006F4ACE"/>
    <w:rsid w:val="006F4DF6"/>
    <w:rsid w:val="006F4E3F"/>
    <w:rsid w:val="006F553C"/>
    <w:rsid w:val="006F554D"/>
    <w:rsid w:val="006F5783"/>
    <w:rsid w:val="006F5924"/>
    <w:rsid w:val="006F6258"/>
    <w:rsid w:val="006F65E1"/>
    <w:rsid w:val="006F77BB"/>
    <w:rsid w:val="006F7F8E"/>
    <w:rsid w:val="00701174"/>
    <w:rsid w:val="00701552"/>
    <w:rsid w:val="00701C74"/>
    <w:rsid w:val="00701EA5"/>
    <w:rsid w:val="00702EBB"/>
    <w:rsid w:val="0070326D"/>
    <w:rsid w:val="007032A1"/>
    <w:rsid w:val="007035FA"/>
    <w:rsid w:val="00704DAC"/>
    <w:rsid w:val="00704FDE"/>
    <w:rsid w:val="007051A5"/>
    <w:rsid w:val="0070537D"/>
    <w:rsid w:val="00705448"/>
    <w:rsid w:val="00705500"/>
    <w:rsid w:val="00705A79"/>
    <w:rsid w:val="00706310"/>
    <w:rsid w:val="00706463"/>
    <w:rsid w:val="00707180"/>
    <w:rsid w:val="00710AD9"/>
    <w:rsid w:val="007122EC"/>
    <w:rsid w:val="00712A96"/>
    <w:rsid w:val="00712EC5"/>
    <w:rsid w:val="007135DE"/>
    <w:rsid w:val="00713CA7"/>
    <w:rsid w:val="007144EF"/>
    <w:rsid w:val="00714504"/>
    <w:rsid w:val="0071450B"/>
    <w:rsid w:val="0071462C"/>
    <w:rsid w:val="007152FF"/>
    <w:rsid w:val="0071695E"/>
    <w:rsid w:val="0071742A"/>
    <w:rsid w:val="00717600"/>
    <w:rsid w:val="007178E7"/>
    <w:rsid w:val="00717D3F"/>
    <w:rsid w:val="00720E72"/>
    <w:rsid w:val="00721480"/>
    <w:rsid w:val="007217AF"/>
    <w:rsid w:val="0072187E"/>
    <w:rsid w:val="007225C9"/>
    <w:rsid w:val="00722F02"/>
    <w:rsid w:val="007234B7"/>
    <w:rsid w:val="00723C2D"/>
    <w:rsid w:val="00724223"/>
    <w:rsid w:val="00724AEC"/>
    <w:rsid w:val="00725555"/>
    <w:rsid w:val="0072560A"/>
    <w:rsid w:val="007258F7"/>
    <w:rsid w:val="00726CA0"/>
    <w:rsid w:val="00726CFC"/>
    <w:rsid w:val="007271C3"/>
    <w:rsid w:val="007272D8"/>
    <w:rsid w:val="00727469"/>
    <w:rsid w:val="00727489"/>
    <w:rsid w:val="0072796C"/>
    <w:rsid w:val="00730BAC"/>
    <w:rsid w:val="00730E8F"/>
    <w:rsid w:val="007311A6"/>
    <w:rsid w:val="007313F5"/>
    <w:rsid w:val="0073186C"/>
    <w:rsid w:val="00731D48"/>
    <w:rsid w:val="00731E68"/>
    <w:rsid w:val="00732078"/>
    <w:rsid w:val="00732D52"/>
    <w:rsid w:val="00733B5C"/>
    <w:rsid w:val="00733D9F"/>
    <w:rsid w:val="00734484"/>
    <w:rsid w:val="007347BE"/>
    <w:rsid w:val="00735FBE"/>
    <w:rsid w:val="0073617B"/>
    <w:rsid w:val="00736775"/>
    <w:rsid w:val="0073681E"/>
    <w:rsid w:val="00736AE7"/>
    <w:rsid w:val="00736E2B"/>
    <w:rsid w:val="00736FE1"/>
    <w:rsid w:val="007402CD"/>
    <w:rsid w:val="00742076"/>
    <w:rsid w:val="00742B73"/>
    <w:rsid w:val="00742CDB"/>
    <w:rsid w:val="00742E48"/>
    <w:rsid w:val="00742EDF"/>
    <w:rsid w:val="0074373A"/>
    <w:rsid w:val="00743B5E"/>
    <w:rsid w:val="007445DF"/>
    <w:rsid w:val="00744909"/>
    <w:rsid w:val="007449B6"/>
    <w:rsid w:val="00744AC3"/>
    <w:rsid w:val="007450B7"/>
    <w:rsid w:val="00745136"/>
    <w:rsid w:val="00745A15"/>
    <w:rsid w:val="00745DD2"/>
    <w:rsid w:val="00746BE1"/>
    <w:rsid w:val="00750A06"/>
    <w:rsid w:val="00751354"/>
    <w:rsid w:val="00751942"/>
    <w:rsid w:val="00751F14"/>
    <w:rsid w:val="00752397"/>
    <w:rsid w:val="00752A34"/>
    <w:rsid w:val="00752E6E"/>
    <w:rsid w:val="00753CB9"/>
    <w:rsid w:val="007542BB"/>
    <w:rsid w:val="00754C9E"/>
    <w:rsid w:val="007554E7"/>
    <w:rsid w:val="00755D74"/>
    <w:rsid w:val="00755F01"/>
    <w:rsid w:val="007560B0"/>
    <w:rsid w:val="00756383"/>
    <w:rsid w:val="007564E2"/>
    <w:rsid w:val="00756909"/>
    <w:rsid w:val="00757D70"/>
    <w:rsid w:val="00757EDF"/>
    <w:rsid w:val="00757FC6"/>
    <w:rsid w:val="007600FD"/>
    <w:rsid w:val="00760D10"/>
    <w:rsid w:val="00760D41"/>
    <w:rsid w:val="00760E43"/>
    <w:rsid w:val="00761136"/>
    <w:rsid w:val="00761837"/>
    <w:rsid w:val="00761DC9"/>
    <w:rsid w:val="00762108"/>
    <w:rsid w:val="00762C57"/>
    <w:rsid w:val="007635AE"/>
    <w:rsid w:val="00763752"/>
    <w:rsid w:val="00763E8A"/>
    <w:rsid w:val="007641C6"/>
    <w:rsid w:val="007642F9"/>
    <w:rsid w:val="00764941"/>
    <w:rsid w:val="00764AE3"/>
    <w:rsid w:val="0076561F"/>
    <w:rsid w:val="0076593F"/>
    <w:rsid w:val="007659D2"/>
    <w:rsid w:val="00765A77"/>
    <w:rsid w:val="00766115"/>
    <w:rsid w:val="007667FE"/>
    <w:rsid w:val="0076686F"/>
    <w:rsid w:val="00766C11"/>
    <w:rsid w:val="00766C74"/>
    <w:rsid w:val="00767771"/>
    <w:rsid w:val="0076778C"/>
    <w:rsid w:val="00767B61"/>
    <w:rsid w:val="00767C03"/>
    <w:rsid w:val="00770E38"/>
    <w:rsid w:val="00770FFA"/>
    <w:rsid w:val="0077126C"/>
    <w:rsid w:val="007724CB"/>
    <w:rsid w:val="007728DF"/>
    <w:rsid w:val="00772DDA"/>
    <w:rsid w:val="00772F5A"/>
    <w:rsid w:val="007735D7"/>
    <w:rsid w:val="00774F94"/>
    <w:rsid w:val="00774FE2"/>
    <w:rsid w:val="007750DB"/>
    <w:rsid w:val="007751DE"/>
    <w:rsid w:val="0077565A"/>
    <w:rsid w:val="0077645D"/>
    <w:rsid w:val="007767E4"/>
    <w:rsid w:val="00776AF1"/>
    <w:rsid w:val="007774DE"/>
    <w:rsid w:val="0077756E"/>
    <w:rsid w:val="00777654"/>
    <w:rsid w:val="007777CA"/>
    <w:rsid w:val="00777926"/>
    <w:rsid w:val="0077798B"/>
    <w:rsid w:val="007779A6"/>
    <w:rsid w:val="00777DC8"/>
    <w:rsid w:val="00777E03"/>
    <w:rsid w:val="00777FA9"/>
    <w:rsid w:val="007800DA"/>
    <w:rsid w:val="0078044A"/>
    <w:rsid w:val="00780940"/>
    <w:rsid w:val="00780DFC"/>
    <w:rsid w:val="00780EC2"/>
    <w:rsid w:val="00780EE7"/>
    <w:rsid w:val="0078133D"/>
    <w:rsid w:val="00781B5D"/>
    <w:rsid w:val="00781E34"/>
    <w:rsid w:val="007821DD"/>
    <w:rsid w:val="0078342D"/>
    <w:rsid w:val="00785229"/>
    <w:rsid w:val="00785785"/>
    <w:rsid w:val="00785991"/>
    <w:rsid w:val="00786104"/>
    <w:rsid w:val="007869CF"/>
    <w:rsid w:val="00786A4E"/>
    <w:rsid w:val="00787061"/>
    <w:rsid w:val="007874AA"/>
    <w:rsid w:val="00787E68"/>
    <w:rsid w:val="00787FB1"/>
    <w:rsid w:val="007901CA"/>
    <w:rsid w:val="007917E0"/>
    <w:rsid w:val="00791DED"/>
    <w:rsid w:val="00792202"/>
    <w:rsid w:val="007928C6"/>
    <w:rsid w:val="00792AA8"/>
    <w:rsid w:val="00793794"/>
    <w:rsid w:val="00793AAE"/>
    <w:rsid w:val="00793C42"/>
    <w:rsid w:val="00794972"/>
    <w:rsid w:val="00795097"/>
    <w:rsid w:val="00796A12"/>
    <w:rsid w:val="00796EE7"/>
    <w:rsid w:val="00797022"/>
    <w:rsid w:val="00797071"/>
    <w:rsid w:val="00797B44"/>
    <w:rsid w:val="00797C01"/>
    <w:rsid w:val="007A05C6"/>
    <w:rsid w:val="007A0A23"/>
    <w:rsid w:val="007A0FF5"/>
    <w:rsid w:val="007A1470"/>
    <w:rsid w:val="007A188B"/>
    <w:rsid w:val="007A203A"/>
    <w:rsid w:val="007A2078"/>
    <w:rsid w:val="007A2581"/>
    <w:rsid w:val="007A2686"/>
    <w:rsid w:val="007A26DB"/>
    <w:rsid w:val="007A2D7C"/>
    <w:rsid w:val="007A2D7D"/>
    <w:rsid w:val="007A36F1"/>
    <w:rsid w:val="007A3A98"/>
    <w:rsid w:val="007A3ABE"/>
    <w:rsid w:val="007A4CB0"/>
    <w:rsid w:val="007A5049"/>
    <w:rsid w:val="007A5377"/>
    <w:rsid w:val="007A5B52"/>
    <w:rsid w:val="007A60F8"/>
    <w:rsid w:val="007A62C3"/>
    <w:rsid w:val="007B093E"/>
    <w:rsid w:val="007B193C"/>
    <w:rsid w:val="007B24E0"/>
    <w:rsid w:val="007B24F4"/>
    <w:rsid w:val="007B2553"/>
    <w:rsid w:val="007B29CA"/>
    <w:rsid w:val="007B341B"/>
    <w:rsid w:val="007B395B"/>
    <w:rsid w:val="007B3ADF"/>
    <w:rsid w:val="007B4102"/>
    <w:rsid w:val="007B430F"/>
    <w:rsid w:val="007B4B1B"/>
    <w:rsid w:val="007B4F18"/>
    <w:rsid w:val="007B5FDF"/>
    <w:rsid w:val="007B62AF"/>
    <w:rsid w:val="007B651A"/>
    <w:rsid w:val="007B6564"/>
    <w:rsid w:val="007B6648"/>
    <w:rsid w:val="007B6669"/>
    <w:rsid w:val="007B69F6"/>
    <w:rsid w:val="007B6B88"/>
    <w:rsid w:val="007B6C67"/>
    <w:rsid w:val="007B7330"/>
    <w:rsid w:val="007B785A"/>
    <w:rsid w:val="007C05C0"/>
    <w:rsid w:val="007C0624"/>
    <w:rsid w:val="007C0680"/>
    <w:rsid w:val="007C13B5"/>
    <w:rsid w:val="007C1809"/>
    <w:rsid w:val="007C2ACB"/>
    <w:rsid w:val="007C2E52"/>
    <w:rsid w:val="007C311B"/>
    <w:rsid w:val="007C3132"/>
    <w:rsid w:val="007C36A5"/>
    <w:rsid w:val="007C462E"/>
    <w:rsid w:val="007C4A44"/>
    <w:rsid w:val="007C506B"/>
    <w:rsid w:val="007C53A4"/>
    <w:rsid w:val="007C5A45"/>
    <w:rsid w:val="007C5A8E"/>
    <w:rsid w:val="007C5C61"/>
    <w:rsid w:val="007C648E"/>
    <w:rsid w:val="007C6718"/>
    <w:rsid w:val="007C6B63"/>
    <w:rsid w:val="007C6DED"/>
    <w:rsid w:val="007C77BA"/>
    <w:rsid w:val="007C797D"/>
    <w:rsid w:val="007D025D"/>
    <w:rsid w:val="007D0986"/>
    <w:rsid w:val="007D0A6C"/>
    <w:rsid w:val="007D0CA6"/>
    <w:rsid w:val="007D0D14"/>
    <w:rsid w:val="007D19BB"/>
    <w:rsid w:val="007D1BFC"/>
    <w:rsid w:val="007D1C30"/>
    <w:rsid w:val="007D2670"/>
    <w:rsid w:val="007D294C"/>
    <w:rsid w:val="007D3FE4"/>
    <w:rsid w:val="007D47CD"/>
    <w:rsid w:val="007D4854"/>
    <w:rsid w:val="007D4F14"/>
    <w:rsid w:val="007D5550"/>
    <w:rsid w:val="007D5778"/>
    <w:rsid w:val="007D59A7"/>
    <w:rsid w:val="007D5D5A"/>
    <w:rsid w:val="007D5D90"/>
    <w:rsid w:val="007D61E5"/>
    <w:rsid w:val="007D698B"/>
    <w:rsid w:val="007D69CA"/>
    <w:rsid w:val="007D6C84"/>
    <w:rsid w:val="007D71ED"/>
    <w:rsid w:val="007D7BB6"/>
    <w:rsid w:val="007E0543"/>
    <w:rsid w:val="007E07E6"/>
    <w:rsid w:val="007E08B4"/>
    <w:rsid w:val="007E0CE8"/>
    <w:rsid w:val="007E139C"/>
    <w:rsid w:val="007E1A94"/>
    <w:rsid w:val="007E1AF6"/>
    <w:rsid w:val="007E2CD1"/>
    <w:rsid w:val="007E355B"/>
    <w:rsid w:val="007E3756"/>
    <w:rsid w:val="007E3F0D"/>
    <w:rsid w:val="007E4582"/>
    <w:rsid w:val="007E4F28"/>
    <w:rsid w:val="007E51E5"/>
    <w:rsid w:val="007E5703"/>
    <w:rsid w:val="007E5D35"/>
    <w:rsid w:val="007E5E44"/>
    <w:rsid w:val="007E636E"/>
    <w:rsid w:val="007E6971"/>
    <w:rsid w:val="007E6AAC"/>
    <w:rsid w:val="007E6FC7"/>
    <w:rsid w:val="007E6FCB"/>
    <w:rsid w:val="007E78C6"/>
    <w:rsid w:val="007F16F7"/>
    <w:rsid w:val="007F1737"/>
    <w:rsid w:val="007F2149"/>
    <w:rsid w:val="007F2253"/>
    <w:rsid w:val="007F357F"/>
    <w:rsid w:val="007F388B"/>
    <w:rsid w:val="007F3961"/>
    <w:rsid w:val="007F3C75"/>
    <w:rsid w:val="007F45B4"/>
    <w:rsid w:val="007F4617"/>
    <w:rsid w:val="007F4BDF"/>
    <w:rsid w:val="007F4D2D"/>
    <w:rsid w:val="007F4E03"/>
    <w:rsid w:val="007F52A6"/>
    <w:rsid w:val="007F5459"/>
    <w:rsid w:val="007F5789"/>
    <w:rsid w:val="007F5848"/>
    <w:rsid w:val="007F68DA"/>
    <w:rsid w:val="007F6C1A"/>
    <w:rsid w:val="007F7529"/>
    <w:rsid w:val="007F7559"/>
    <w:rsid w:val="008004E7"/>
    <w:rsid w:val="00800556"/>
    <w:rsid w:val="00800C04"/>
    <w:rsid w:val="00800D92"/>
    <w:rsid w:val="0080186B"/>
    <w:rsid w:val="00801D03"/>
    <w:rsid w:val="00801F7B"/>
    <w:rsid w:val="0080276C"/>
    <w:rsid w:val="00802B77"/>
    <w:rsid w:val="00804A79"/>
    <w:rsid w:val="008051D1"/>
    <w:rsid w:val="008060A0"/>
    <w:rsid w:val="008060C8"/>
    <w:rsid w:val="00806404"/>
    <w:rsid w:val="0080649D"/>
    <w:rsid w:val="00807019"/>
    <w:rsid w:val="00810906"/>
    <w:rsid w:val="00810F5C"/>
    <w:rsid w:val="008116EB"/>
    <w:rsid w:val="008119DB"/>
    <w:rsid w:val="00812723"/>
    <w:rsid w:val="0081313C"/>
    <w:rsid w:val="008134E6"/>
    <w:rsid w:val="00814142"/>
    <w:rsid w:val="00814A13"/>
    <w:rsid w:val="00814A6A"/>
    <w:rsid w:val="00814ED4"/>
    <w:rsid w:val="008152E3"/>
    <w:rsid w:val="0081557C"/>
    <w:rsid w:val="00815860"/>
    <w:rsid w:val="008159B1"/>
    <w:rsid w:val="00815C55"/>
    <w:rsid w:val="00816466"/>
    <w:rsid w:val="008165CC"/>
    <w:rsid w:val="0081736A"/>
    <w:rsid w:val="00817527"/>
    <w:rsid w:val="00820282"/>
    <w:rsid w:val="00820651"/>
    <w:rsid w:val="00820656"/>
    <w:rsid w:val="00820DBE"/>
    <w:rsid w:val="0082117F"/>
    <w:rsid w:val="00821C36"/>
    <w:rsid w:val="008223A6"/>
    <w:rsid w:val="008235E4"/>
    <w:rsid w:val="00823752"/>
    <w:rsid w:val="00823E57"/>
    <w:rsid w:val="00823F82"/>
    <w:rsid w:val="00824191"/>
    <w:rsid w:val="00824853"/>
    <w:rsid w:val="00824BC8"/>
    <w:rsid w:val="00825E02"/>
    <w:rsid w:val="00825E2D"/>
    <w:rsid w:val="00825FA2"/>
    <w:rsid w:val="0082619C"/>
    <w:rsid w:val="008263DB"/>
    <w:rsid w:val="00826818"/>
    <w:rsid w:val="00827009"/>
    <w:rsid w:val="0082720D"/>
    <w:rsid w:val="00827B37"/>
    <w:rsid w:val="00827DD0"/>
    <w:rsid w:val="00827E6D"/>
    <w:rsid w:val="00827F85"/>
    <w:rsid w:val="00830223"/>
    <w:rsid w:val="0083040E"/>
    <w:rsid w:val="008310F4"/>
    <w:rsid w:val="00831396"/>
    <w:rsid w:val="0083151B"/>
    <w:rsid w:val="00831A0D"/>
    <w:rsid w:val="0083259F"/>
    <w:rsid w:val="00832DAC"/>
    <w:rsid w:val="00833CB9"/>
    <w:rsid w:val="008349EF"/>
    <w:rsid w:val="00835089"/>
    <w:rsid w:val="00835BCE"/>
    <w:rsid w:val="00835C69"/>
    <w:rsid w:val="0083605A"/>
    <w:rsid w:val="00836907"/>
    <w:rsid w:val="00836AD2"/>
    <w:rsid w:val="008375CC"/>
    <w:rsid w:val="008404E0"/>
    <w:rsid w:val="00840D72"/>
    <w:rsid w:val="00841229"/>
    <w:rsid w:val="008415CC"/>
    <w:rsid w:val="008417FA"/>
    <w:rsid w:val="00841F68"/>
    <w:rsid w:val="00842134"/>
    <w:rsid w:val="00842862"/>
    <w:rsid w:val="00842A4D"/>
    <w:rsid w:val="0084332A"/>
    <w:rsid w:val="00843FE4"/>
    <w:rsid w:val="0084434E"/>
    <w:rsid w:val="0084443D"/>
    <w:rsid w:val="00844A62"/>
    <w:rsid w:val="00844A64"/>
    <w:rsid w:val="00844B59"/>
    <w:rsid w:val="00844E3B"/>
    <w:rsid w:val="00845199"/>
    <w:rsid w:val="00845EE6"/>
    <w:rsid w:val="008468EE"/>
    <w:rsid w:val="00847369"/>
    <w:rsid w:val="00847936"/>
    <w:rsid w:val="00847A16"/>
    <w:rsid w:val="00847C5B"/>
    <w:rsid w:val="00847DFE"/>
    <w:rsid w:val="00847F7C"/>
    <w:rsid w:val="008503E1"/>
    <w:rsid w:val="00850658"/>
    <w:rsid w:val="00851040"/>
    <w:rsid w:val="00851111"/>
    <w:rsid w:val="008511DC"/>
    <w:rsid w:val="00851D88"/>
    <w:rsid w:val="00851DB2"/>
    <w:rsid w:val="00851F79"/>
    <w:rsid w:val="008523E0"/>
    <w:rsid w:val="008525CF"/>
    <w:rsid w:val="0085330E"/>
    <w:rsid w:val="008542CC"/>
    <w:rsid w:val="008543B2"/>
    <w:rsid w:val="00855116"/>
    <w:rsid w:val="008562D8"/>
    <w:rsid w:val="008567AB"/>
    <w:rsid w:val="00856AD8"/>
    <w:rsid w:val="00856E9A"/>
    <w:rsid w:val="00856F53"/>
    <w:rsid w:val="008573FC"/>
    <w:rsid w:val="00857FA6"/>
    <w:rsid w:val="00860973"/>
    <w:rsid w:val="00860B77"/>
    <w:rsid w:val="00860ECB"/>
    <w:rsid w:val="0086175C"/>
    <w:rsid w:val="0086183E"/>
    <w:rsid w:val="00861F78"/>
    <w:rsid w:val="00863717"/>
    <w:rsid w:val="00863CC9"/>
    <w:rsid w:val="008646D1"/>
    <w:rsid w:val="008648B1"/>
    <w:rsid w:val="008648B5"/>
    <w:rsid w:val="008649E5"/>
    <w:rsid w:val="008649F1"/>
    <w:rsid w:val="008657D8"/>
    <w:rsid w:val="00865A78"/>
    <w:rsid w:val="0086613C"/>
    <w:rsid w:val="0086641A"/>
    <w:rsid w:val="008665F7"/>
    <w:rsid w:val="008667A8"/>
    <w:rsid w:val="00867052"/>
    <w:rsid w:val="00867854"/>
    <w:rsid w:val="00867CF6"/>
    <w:rsid w:val="00867F68"/>
    <w:rsid w:val="008702B8"/>
    <w:rsid w:val="008703A9"/>
    <w:rsid w:val="008707F3"/>
    <w:rsid w:val="00870F4D"/>
    <w:rsid w:val="008713D7"/>
    <w:rsid w:val="0087265E"/>
    <w:rsid w:val="008737D3"/>
    <w:rsid w:val="00873AA1"/>
    <w:rsid w:val="00873E0E"/>
    <w:rsid w:val="00873EB1"/>
    <w:rsid w:val="00874D32"/>
    <w:rsid w:val="00876770"/>
    <w:rsid w:val="00877CBF"/>
    <w:rsid w:val="00882D53"/>
    <w:rsid w:val="00883120"/>
    <w:rsid w:val="00883437"/>
    <w:rsid w:val="008834C5"/>
    <w:rsid w:val="0088399C"/>
    <w:rsid w:val="00883C24"/>
    <w:rsid w:val="0088401D"/>
    <w:rsid w:val="00884B80"/>
    <w:rsid w:val="00884F0C"/>
    <w:rsid w:val="008850EB"/>
    <w:rsid w:val="008853F8"/>
    <w:rsid w:val="00885B7B"/>
    <w:rsid w:val="00886413"/>
    <w:rsid w:val="00886B34"/>
    <w:rsid w:val="0088713C"/>
    <w:rsid w:val="008904DF"/>
    <w:rsid w:val="00890C64"/>
    <w:rsid w:val="00890F3A"/>
    <w:rsid w:val="008916B0"/>
    <w:rsid w:val="008917CF"/>
    <w:rsid w:val="0089236F"/>
    <w:rsid w:val="00892DEC"/>
    <w:rsid w:val="008930C9"/>
    <w:rsid w:val="00893318"/>
    <w:rsid w:val="00893836"/>
    <w:rsid w:val="00893911"/>
    <w:rsid w:val="008942B6"/>
    <w:rsid w:val="00894495"/>
    <w:rsid w:val="008953BD"/>
    <w:rsid w:val="008962CF"/>
    <w:rsid w:val="008A0752"/>
    <w:rsid w:val="008A0E7C"/>
    <w:rsid w:val="008A1A13"/>
    <w:rsid w:val="008A1C38"/>
    <w:rsid w:val="008A28D0"/>
    <w:rsid w:val="008A2E69"/>
    <w:rsid w:val="008A3C76"/>
    <w:rsid w:val="008A3D74"/>
    <w:rsid w:val="008A4628"/>
    <w:rsid w:val="008A4964"/>
    <w:rsid w:val="008A526E"/>
    <w:rsid w:val="008A5BAE"/>
    <w:rsid w:val="008A5C4D"/>
    <w:rsid w:val="008A62C8"/>
    <w:rsid w:val="008A66A4"/>
    <w:rsid w:val="008A6AD6"/>
    <w:rsid w:val="008A758E"/>
    <w:rsid w:val="008A7A49"/>
    <w:rsid w:val="008B2951"/>
    <w:rsid w:val="008B2B09"/>
    <w:rsid w:val="008B4159"/>
    <w:rsid w:val="008B4490"/>
    <w:rsid w:val="008B44E1"/>
    <w:rsid w:val="008B47CB"/>
    <w:rsid w:val="008B4B60"/>
    <w:rsid w:val="008B4F99"/>
    <w:rsid w:val="008B50B2"/>
    <w:rsid w:val="008B52CD"/>
    <w:rsid w:val="008B5D8D"/>
    <w:rsid w:val="008B6351"/>
    <w:rsid w:val="008B6A44"/>
    <w:rsid w:val="008B6A6C"/>
    <w:rsid w:val="008B6B25"/>
    <w:rsid w:val="008B6ECE"/>
    <w:rsid w:val="008B7884"/>
    <w:rsid w:val="008B795D"/>
    <w:rsid w:val="008B7CA4"/>
    <w:rsid w:val="008B7D00"/>
    <w:rsid w:val="008C0586"/>
    <w:rsid w:val="008C0AC9"/>
    <w:rsid w:val="008C0B05"/>
    <w:rsid w:val="008C0D8D"/>
    <w:rsid w:val="008C15BB"/>
    <w:rsid w:val="008C1F58"/>
    <w:rsid w:val="008C20D3"/>
    <w:rsid w:val="008C2343"/>
    <w:rsid w:val="008C24DB"/>
    <w:rsid w:val="008C28E5"/>
    <w:rsid w:val="008C2BF2"/>
    <w:rsid w:val="008C305D"/>
    <w:rsid w:val="008C38C9"/>
    <w:rsid w:val="008C4E5F"/>
    <w:rsid w:val="008C520E"/>
    <w:rsid w:val="008C570A"/>
    <w:rsid w:val="008C5AEC"/>
    <w:rsid w:val="008C62EC"/>
    <w:rsid w:val="008C6886"/>
    <w:rsid w:val="008C6C82"/>
    <w:rsid w:val="008C7328"/>
    <w:rsid w:val="008C7C03"/>
    <w:rsid w:val="008D00B5"/>
    <w:rsid w:val="008D15F7"/>
    <w:rsid w:val="008D1727"/>
    <w:rsid w:val="008D1FDE"/>
    <w:rsid w:val="008D2413"/>
    <w:rsid w:val="008D2B4F"/>
    <w:rsid w:val="008D2CBD"/>
    <w:rsid w:val="008D351D"/>
    <w:rsid w:val="008D3DC2"/>
    <w:rsid w:val="008D3F1A"/>
    <w:rsid w:val="008D41BF"/>
    <w:rsid w:val="008D43A0"/>
    <w:rsid w:val="008D5070"/>
    <w:rsid w:val="008D5A0A"/>
    <w:rsid w:val="008D5A34"/>
    <w:rsid w:val="008D5B5C"/>
    <w:rsid w:val="008D75A2"/>
    <w:rsid w:val="008D7A4A"/>
    <w:rsid w:val="008D7CA1"/>
    <w:rsid w:val="008D7E93"/>
    <w:rsid w:val="008E0D6B"/>
    <w:rsid w:val="008E0D7B"/>
    <w:rsid w:val="008E1C45"/>
    <w:rsid w:val="008E1DF0"/>
    <w:rsid w:val="008E2204"/>
    <w:rsid w:val="008E242E"/>
    <w:rsid w:val="008E2555"/>
    <w:rsid w:val="008E27E1"/>
    <w:rsid w:val="008E379A"/>
    <w:rsid w:val="008E3A5A"/>
    <w:rsid w:val="008E40AA"/>
    <w:rsid w:val="008E466D"/>
    <w:rsid w:val="008E573A"/>
    <w:rsid w:val="008E5B26"/>
    <w:rsid w:val="008E6311"/>
    <w:rsid w:val="008E647B"/>
    <w:rsid w:val="008E75D1"/>
    <w:rsid w:val="008E76A2"/>
    <w:rsid w:val="008E7885"/>
    <w:rsid w:val="008E7B61"/>
    <w:rsid w:val="008F0213"/>
    <w:rsid w:val="008F03B7"/>
    <w:rsid w:val="008F135C"/>
    <w:rsid w:val="008F17C0"/>
    <w:rsid w:val="008F1D3C"/>
    <w:rsid w:val="008F1DCB"/>
    <w:rsid w:val="008F218A"/>
    <w:rsid w:val="008F23A7"/>
    <w:rsid w:val="008F39CA"/>
    <w:rsid w:val="008F3AE2"/>
    <w:rsid w:val="008F3D71"/>
    <w:rsid w:val="008F3D73"/>
    <w:rsid w:val="008F44BF"/>
    <w:rsid w:val="008F49DC"/>
    <w:rsid w:val="008F4C26"/>
    <w:rsid w:val="008F539D"/>
    <w:rsid w:val="008F5F9B"/>
    <w:rsid w:val="008F621C"/>
    <w:rsid w:val="008F6221"/>
    <w:rsid w:val="008F673D"/>
    <w:rsid w:val="008F6F05"/>
    <w:rsid w:val="008F7104"/>
    <w:rsid w:val="008F722B"/>
    <w:rsid w:val="008F731A"/>
    <w:rsid w:val="008F73C9"/>
    <w:rsid w:val="008F777B"/>
    <w:rsid w:val="008F7CCE"/>
    <w:rsid w:val="00900628"/>
    <w:rsid w:val="00900837"/>
    <w:rsid w:val="009008B2"/>
    <w:rsid w:val="00900B5C"/>
    <w:rsid w:val="00900DD2"/>
    <w:rsid w:val="00900E01"/>
    <w:rsid w:val="00901046"/>
    <w:rsid w:val="00901F68"/>
    <w:rsid w:val="009026D9"/>
    <w:rsid w:val="00904F19"/>
    <w:rsid w:val="009050D2"/>
    <w:rsid w:val="0090520C"/>
    <w:rsid w:val="009056AA"/>
    <w:rsid w:val="00905E06"/>
    <w:rsid w:val="00906368"/>
    <w:rsid w:val="009064E2"/>
    <w:rsid w:val="00906935"/>
    <w:rsid w:val="00906E5F"/>
    <w:rsid w:val="00907035"/>
    <w:rsid w:val="009071C9"/>
    <w:rsid w:val="009077C7"/>
    <w:rsid w:val="00907989"/>
    <w:rsid w:val="00907DA9"/>
    <w:rsid w:val="009107AA"/>
    <w:rsid w:val="009116DF"/>
    <w:rsid w:val="0091220E"/>
    <w:rsid w:val="00913730"/>
    <w:rsid w:val="009139BE"/>
    <w:rsid w:val="00913B59"/>
    <w:rsid w:val="0091465A"/>
    <w:rsid w:val="00914E6B"/>
    <w:rsid w:val="00915893"/>
    <w:rsid w:val="009159B8"/>
    <w:rsid w:val="009166A2"/>
    <w:rsid w:val="009172CA"/>
    <w:rsid w:val="00917878"/>
    <w:rsid w:val="00917C89"/>
    <w:rsid w:val="00920216"/>
    <w:rsid w:val="00920463"/>
    <w:rsid w:val="00920BDE"/>
    <w:rsid w:val="009210EA"/>
    <w:rsid w:val="009216D2"/>
    <w:rsid w:val="00921BAB"/>
    <w:rsid w:val="00921C64"/>
    <w:rsid w:val="0092213F"/>
    <w:rsid w:val="0092219E"/>
    <w:rsid w:val="009231E5"/>
    <w:rsid w:val="009238C7"/>
    <w:rsid w:val="00923D68"/>
    <w:rsid w:val="00923E98"/>
    <w:rsid w:val="009245CA"/>
    <w:rsid w:val="00924972"/>
    <w:rsid w:val="00925067"/>
    <w:rsid w:val="00925A5B"/>
    <w:rsid w:val="0092620C"/>
    <w:rsid w:val="00926256"/>
    <w:rsid w:val="009267B3"/>
    <w:rsid w:val="00926950"/>
    <w:rsid w:val="009269A0"/>
    <w:rsid w:val="00926E4D"/>
    <w:rsid w:val="00927557"/>
    <w:rsid w:val="00927D15"/>
    <w:rsid w:val="00930875"/>
    <w:rsid w:val="0093269D"/>
    <w:rsid w:val="009326DB"/>
    <w:rsid w:val="0093352D"/>
    <w:rsid w:val="009339A6"/>
    <w:rsid w:val="00933D99"/>
    <w:rsid w:val="009343E2"/>
    <w:rsid w:val="00934951"/>
    <w:rsid w:val="00934974"/>
    <w:rsid w:val="00934D0C"/>
    <w:rsid w:val="00935DFC"/>
    <w:rsid w:val="00935E3D"/>
    <w:rsid w:val="009368EF"/>
    <w:rsid w:val="00936E11"/>
    <w:rsid w:val="0093704C"/>
    <w:rsid w:val="00937471"/>
    <w:rsid w:val="009374B6"/>
    <w:rsid w:val="00937675"/>
    <w:rsid w:val="009376FF"/>
    <w:rsid w:val="00937E08"/>
    <w:rsid w:val="00937E85"/>
    <w:rsid w:val="0094008C"/>
    <w:rsid w:val="00940185"/>
    <w:rsid w:val="00940BCD"/>
    <w:rsid w:val="00941279"/>
    <w:rsid w:val="00941911"/>
    <w:rsid w:val="00942405"/>
    <w:rsid w:val="00942536"/>
    <w:rsid w:val="00942E0D"/>
    <w:rsid w:val="009437DE"/>
    <w:rsid w:val="0094384B"/>
    <w:rsid w:val="00943C94"/>
    <w:rsid w:val="009445A9"/>
    <w:rsid w:val="00944FBE"/>
    <w:rsid w:val="00945C28"/>
    <w:rsid w:val="00945C65"/>
    <w:rsid w:val="00945C70"/>
    <w:rsid w:val="00946221"/>
    <w:rsid w:val="009462D5"/>
    <w:rsid w:val="0094631C"/>
    <w:rsid w:val="0094655B"/>
    <w:rsid w:val="0094657C"/>
    <w:rsid w:val="00946894"/>
    <w:rsid w:val="00946F89"/>
    <w:rsid w:val="00947092"/>
    <w:rsid w:val="009471ED"/>
    <w:rsid w:val="00947B00"/>
    <w:rsid w:val="0095010C"/>
    <w:rsid w:val="00950340"/>
    <w:rsid w:val="009507C1"/>
    <w:rsid w:val="00950CFD"/>
    <w:rsid w:val="00950E85"/>
    <w:rsid w:val="00950E9C"/>
    <w:rsid w:val="00951388"/>
    <w:rsid w:val="00951711"/>
    <w:rsid w:val="00951A42"/>
    <w:rsid w:val="00951AC7"/>
    <w:rsid w:val="00951EEC"/>
    <w:rsid w:val="00952922"/>
    <w:rsid w:val="00952A5A"/>
    <w:rsid w:val="00952A66"/>
    <w:rsid w:val="00953EB6"/>
    <w:rsid w:val="009544E4"/>
    <w:rsid w:val="0095456C"/>
    <w:rsid w:val="009547B3"/>
    <w:rsid w:val="00954D97"/>
    <w:rsid w:val="0095524D"/>
    <w:rsid w:val="00955B81"/>
    <w:rsid w:val="00956582"/>
    <w:rsid w:val="00956905"/>
    <w:rsid w:val="00956925"/>
    <w:rsid w:val="00956994"/>
    <w:rsid w:val="00957DC5"/>
    <w:rsid w:val="00960115"/>
    <w:rsid w:val="009601F6"/>
    <w:rsid w:val="00960307"/>
    <w:rsid w:val="009603D8"/>
    <w:rsid w:val="00960535"/>
    <w:rsid w:val="009608F3"/>
    <w:rsid w:val="0096091D"/>
    <w:rsid w:val="009610C1"/>
    <w:rsid w:val="0096119C"/>
    <w:rsid w:val="009614C6"/>
    <w:rsid w:val="00961B64"/>
    <w:rsid w:val="00961B9E"/>
    <w:rsid w:val="00961BBF"/>
    <w:rsid w:val="00961E58"/>
    <w:rsid w:val="009626C6"/>
    <w:rsid w:val="00962BFB"/>
    <w:rsid w:val="00962E1C"/>
    <w:rsid w:val="0096349D"/>
    <w:rsid w:val="00963862"/>
    <w:rsid w:val="00963BF5"/>
    <w:rsid w:val="0096440B"/>
    <w:rsid w:val="0096468A"/>
    <w:rsid w:val="00964954"/>
    <w:rsid w:val="00964C1A"/>
    <w:rsid w:val="009661DE"/>
    <w:rsid w:val="00966DEC"/>
    <w:rsid w:val="009706DE"/>
    <w:rsid w:val="00970B4D"/>
    <w:rsid w:val="0097124A"/>
    <w:rsid w:val="009724F5"/>
    <w:rsid w:val="00972542"/>
    <w:rsid w:val="00972619"/>
    <w:rsid w:val="00972E9B"/>
    <w:rsid w:val="00972EF4"/>
    <w:rsid w:val="00974F17"/>
    <w:rsid w:val="009753E8"/>
    <w:rsid w:val="009755B1"/>
    <w:rsid w:val="009759C0"/>
    <w:rsid w:val="009760E3"/>
    <w:rsid w:val="0097673B"/>
    <w:rsid w:val="00976A90"/>
    <w:rsid w:val="00976B3C"/>
    <w:rsid w:val="00976ECA"/>
    <w:rsid w:val="00977088"/>
    <w:rsid w:val="0097710B"/>
    <w:rsid w:val="00980696"/>
    <w:rsid w:val="009815A2"/>
    <w:rsid w:val="00982410"/>
    <w:rsid w:val="009829DA"/>
    <w:rsid w:val="00982B01"/>
    <w:rsid w:val="00983334"/>
    <w:rsid w:val="0098349F"/>
    <w:rsid w:val="00983579"/>
    <w:rsid w:val="009852A4"/>
    <w:rsid w:val="00985F10"/>
    <w:rsid w:val="00985F6E"/>
    <w:rsid w:val="00985F9B"/>
    <w:rsid w:val="0098701D"/>
    <w:rsid w:val="0098759E"/>
    <w:rsid w:val="00987C7D"/>
    <w:rsid w:val="00987E26"/>
    <w:rsid w:val="00990380"/>
    <w:rsid w:val="009905CF"/>
    <w:rsid w:val="00990B03"/>
    <w:rsid w:val="0099102F"/>
    <w:rsid w:val="0099127D"/>
    <w:rsid w:val="00991894"/>
    <w:rsid w:val="009921DA"/>
    <w:rsid w:val="009921DB"/>
    <w:rsid w:val="009924FA"/>
    <w:rsid w:val="00992FF9"/>
    <w:rsid w:val="00993A4F"/>
    <w:rsid w:val="00993DCC"/>
    <w:rsid w:val="00993E35"/>
    <w:rsid w:val="00993EBC"/>
    <w:rsid w:val="009940EF"/>
    <w:rsid w:val="00994A8D"/>
    <w:rsid w:val="00994AF0"/>
    <w:rsid w:val="00994D06"/>
    <w:rsid w:val="00995351"/>
    <w:rsid w:val="00995CBE"/>
    <w:rsid w:val="009961BA"/>
    <w:rsid w:val="00996390"/>
    <w:rsid w:val="009970C3"/>
    <w:rsid w:val="00997513"/>
    <w:rsid w:val="00997B44"/>
    <w:rsid w:val="00997C12"/>
    <w:rsid w:val="00997CF0"/>
    <w:rsid w:val="009A0BBC"/>
    <w:rsid w:val="009A1871"/>
    <w:rsid w:val="009A19A9"/>
    <w:rsid w:val="009A1BBA"/>
    <w:rsid w:val="009A1D58"/>
    <w:rsid w:val="009A3320"/>
    <w:rsid w:val="009A36B2"/>
    <w:rsid w:val="009A38D3"/>
    <w:rsid w:val="009A43BD"/>
    <w:rsid w:val="009A4F00"/>
    <w:rsid w:val="009A5ACD"/>
    <w:rsid w:val="009A5AFD"/>
    <w:rsid w:val="009A6EFD"/>
    <w:rsid w:val="009A6FB9"/>
    <w:rsid w:val="009A74B4"/>
    <w:rsid w:val="009B01D3"/>
    <w:rsid w:val="009B0EE9"/>
    <w:rsid w:val="009B154F"/>
    <w:rsid w:val="009B1CF6"/>
    <w:rsid w:val="009B2638"/>
    <w:rsid w:val="009B2BC4"/>
    <w:rsid w:val="009B2F33"/>
    <w:rsid w:val="009B3744"/>
    <w:rsid w:val="009B39DC"/>
    <w:rsid w:val="009B3F93"/>
    <w:rsid w:val="009B456B"/>
    <w:rsid w:val="009B466B"/>
    <w:rsid w:val="009B5401"/>
    <w:rsid w:val="009B61E7"/>
    <w:rsid w:val="009B6329"/>
    <w:rsid w:val="009B70B3"/>
    <w:rsid w:val="009B70EF"/>
    <w:rsid w:val="009B71BE"/>
    <w:rsid w:val="009B7628"/>
    <w:rsid w:val="009B7C76"/>
    <w:rsid w:val="009B7D19"/>
    <w:rsid w:val="009C001C"/>
    <w:rsid w:val="009C0048"/>
    <w:rsid w:val="009C0087"/>
    <w:rsid w:val="009C0E99"/>
    <w:rsid w:val="009C0F02"/>
    <w:rsid w:val="009C10DC"/>
    <w:rsid w:val="009C11AC"/>
    <w:rsid w:val="009C11E0"/>
    <w:rsid w:val="009C1EF8"/>
    <w:rsid w:val="009C2C54"/>
    <w:rsid w:val="009C2C91"/>
    <w:rsid w:val="009C3483"/>
    <w:rsid w:val="009C392A"/>
    <w:rsid w:val="009C49FC"/>
    <w:rsid w:val="009C4B5A"/>
    <w:rsid w:val="009C520C"/>
    <w:rsid w:val="009C5594"/>
    <w:rsid w:val="009C6105"/>
    <w:rsid w:val="009C629B"/>
    <w:rsid w:val="009C6E72"/>
    <w:rsid w:val="009C773F"/>
    <w:rsid w:val="009C78E9"/>
    <w:rsid w:val="009C7B51"/>
    <w:rsid w:val="009C7BCD"/>
    <w:rsid w:val="009D097B"/>
    <w:rsid w:val="009D123A"/>
    <w:rsid w:val="009D17A7"/>
    <w:rsid w:val="009D3C3F"/>
    <w:rsid w:val="009D3C84"/>
    <w:rsid w:val="009D3E72"/>
    <w:rsid w:val="009D3EED"/>
    <w:rsid w:val="009D4D67"/>
    <w:rsid w:val="009D635B"/>
    <w:rsid w:val="009D66DC"/>
    <w:rsid w:val="009D6BB6"/>
    <w:rsid w:val="009D7216"/>
    <w:rsid w:val="009D74BE"/>
    <w:rsid w:val="009D7F6F"/>
    <w:rsid w:val="009E009F"/>
    <w:rsid w:val="009E01CD"/>
    <w:rsid w:val="009E0393"/>
    <w:rsid w:val="009E0745"/>
    <w:rsid w:val="009E07D3"/>
    <w:rsid w:val="009E0BB2"/>
    <w:rsid w:val="009E23D2"/>
    <w:rsid w:val="009E2902"/>
    <w:rsid w:val="009E2906"/>
    <w:rsid w:val="009E2B5C"/>
    <w:rsid w:val="009E31F0"/>
    <w:rsid w:val="009E335F"/>
    <w:rsid w:val="009E3F35"/>
    <w:rsid w:val="009E41CC"/>
    <w:rsid w:val="009E4573"/>
    <w:rsid w:val="009E4850"/>
    <w:rsid w:val="009E4B0E"/>
    <w:rsid w:val="009E571D"/>
    <w:rsid w:val="009E6A91"/>
    <w:rsid w:val="009E6DBD"/>
    <w:rsid w:val="009E6F03"/>
    <w:rsid w:val="009E716E"/>
    <w:rsid w:val="009E7275"/>
    <w:rsid w:val="009E732D"/>
    <w:rsid w:val="009E7783"/>
    <w:rsid w:val="009E7F4F"/>
    <w:rsid w:val="009F06F2"/>
    <w:rsid w:val="009F10E7"/>
    <w:rsid w:val="009F117C"/>
    <w:rsid w:val="009F17F8"/>
    <w:rsid w:val="009F2423"/>
    <w:rsid w:val="009F2ACF"/>
    <w:rsid w:val="009F2B6B"/>
    <w:rsid w:val="009F2E0D"/>
    <w:rsid w:val="009F30E9"/>
    <w:rsid w:val="009F3540"/>
    <w:rsid w:val="009F3BCE"/>
    <w:rsid w:val="009F3DFA"/>
    <w:rsid w:val="009F477A"/>
    <w:rsid w:val="009F5F91"/>
    <w:rsid w:val="009F635E"/>
    <w:rsid w:val="009F6505"/>
    <w:rsid w:val="009F6890"/>
    <w:rsid w:val="009F6ACD"/>
    <w:rsid w:val="009F6D0D"/>
    <w:rsid w:val="009F6ECF"/>
    <w:rsid w:val="009F7918"/>
    <w:rsid w:val="009F7ACA"/>
    <w:rsid w:val="009F7FA8"/>
    <w:rsid w:val="00A0031B"/>
    <w:rsid w:val="00A00525"/>
    <w:rsid w:val="00A005FF"/>
    <w:rsid w:val="00A00871"/>
    <w:rsid w:val="00A00A5D"/>
    <w:rsid w:val="00A015FB"/>
    <w:rsid w:val="00A0168E"/>
    <w:rsid w:val="00A02C5D"/>
    <w:rsid w:val="00A037CD"/>
    <w:rsid w:val="00A046EB"/>
    <w:rsid w:val="00A052E2"/>
    <w:rsid w:val="00A05976"/>
    <w:rsid w:val="00A0637D"/>
    <w:rsid w:val="00A07D25"/>
    <w:rsid w:val="00A10053"/>
    <w:rsid w:val="00A10494"/>
    <w:rsid w:val="00A10FF0"/>
    <w:rsid w:val="00A118A7"/>
    <w:rsid w:val="00A123D9"/>
    <w:rsid w:val="00A125DA"/>
    <w:rsid w:val="00A126E2"/>
    <w:rsid w:val="00A140D3"/>
    <w:rsid w:val="00A1446B"/>
    <w:rsid w:val="00A14C00"/>
    <w:rsid w:val="00A1619F"/>
    <w:rsid w:val="00A167F2"/>
    <w:rsid w:val="00A16D05"/>
    <w:rsid w:val="00A16D17"/>
    <w:rsid w:val="00A16D22"/>
    <w:rsid w:val="00A16DB5"/>
    <w:rsid w:val="00A16EA4"/>
    <w:rsid w:val="00A17952"/>
    <w:rsid w:val="00A17AA1"/>
    <w:rsid w:val="00A17BDB"/>
    <w:rsid w:val="00A17BE0"/>
    <w:rsid w:val="00A17EFE"/>
    <w:rsid w:val="00A201F3"/>
    <w:rsid w:val="00A209BE"/>
    <w:rsid w:val="00A20C78"/>
    <w:rsid w:val="00A20ECE"/>
    <w:rsid w:val="00A21351"/>
    <w:rsid w:val="00A2149F"/>
    <w:rsid w:val="00A21E09"/>
    <w:rsid w:val="00A22C9E"/>
    <w:rsid w:val="00A22FF4"/>
    <w:rsid w:val="00A2312E"/>
    <w:rsid w:val="00A233C5"/>
    <w:rsid w:val="00A23BDB"/>
    <w:rsid w:val="00A24323"/>
    <w:rsid w:val="00A24646"/>
    <w:rsid w:val="00A24E80"/>
    <w:rsid w:val="00A2512C"/>
    <w:rsid w:val="00A2515B"/>
    <w:rsid w:val="00A25183"/>
    <w:rsid w:val="00A2576E"/>
    <w:rsid w:val="00A25835"/>
    <w:rsid w:val="00A2588E"/>
    <w:rsid w:val="00A25AA4"/>
    <w:rsid w:val="00A25CF0"/>
    <w:rsid w:val="00A25FB7"/>
    <w:rsid w:val="00A26BE0"/>
    <w:rsid w:val="00A26C0A"/>
    <w:rsid w:val="00A26EDF"/>
    <w:rsid w:val="00A27257"/>
    <w:rsid w:val="00A273F5"/>
    <w:rsid w:val="00A27D4F"/>
    <w:rsid w:val="00A30882"/>
    <w:rsid w:val="00A314D6"/>
    <w:rsid w:val="00A3151D"/>
    <w:rsid w:val="00A3257A"/>
    <w:rsid w:val="00A3287B"/>
    <w:rsid w:val="00A328A7"/>
    <w:rsid w:val="00A33412"/>
    <w:rsid w:val="00A334CD"/>
    <w:rsid w:val="00A33786"/>
    <w:rsid w:val="00A34643"/>
    <w:rsid w:val="00A34789"/>
    <w:rsid w:val="00A362E0"/>
    <w:rsid w:val="00A3630E"/>
    <w:rsid w:val="00A36351"/>
    <w:rsid w:val="00A367EB"/>
    <w:rsid w:val="00A369AF"/>
    <w:rsid w:val="00A377B3"/>
    <w:rsid w:val="00A379E9"/>
    <w:rsid w:val="00A37BB8"/>
    <w:rsid w:val="00A37D74"/>
    <w:rsid w:val="00A4051C"/>
    <w:rsid w:val="00A40942"/>
    <w:rsid w:val="00A4151C"/>
    <w:rsid w:val="00A41D90"/>
    <w:rsid w:val="00A41FF8"/>
    <w:rsid w:val="00A42154"/>
    <w:rsid w:val="00A42D87"/>
    <w:rsid w:val="00A43149"/>
    <w:rsid w:val="00A4370D"/>
    <w:rsid w:val="00A43821"/>
    <w:rsid w:val="00A443E6"/>
    <w:rsid w:val="00A44919"/>
    <w:rsid w:val="00A44AC6"/>
    <w:rsid w:val="00A44BD3"/>
    <w:rsid w:val="00A44C25"/>
    <w:rsid w:val="00A44CDF"/>
    <w:rsid w:val="00A44E4D"/>
    <w:rsid w:val="00A4521D"/>
    <w:rsid w:val="00A454B0"/>
    <w:rsid w:val="00A455A4"/>
    <w:rsid w:val="00A45BED"/>
    <w:rsid w:val="00A46D6F"/>
    <w:rsid w:val="00A47148"/>
    <w:rsid w:val="00A4727B"/>
    <w:rsid w:val="00A472DE"/>
    <w:rsid w:val="00A51257"/>
    <w:rsid w:val="00A512DF"/>
    <w:rsid w:val="00A518C7"/>
    <w:rsid w:val="00A51F0A"/>
    <w:rsid w:val="00A533BE"/>
    <w:rsid w:val="00A5401A"/>
    <w:rsid w:val="00A54552"/>
    <w:rsid w:val="00A54A73"/>
    <w:rsid w:val="00A54C6E"/>
    <w:rsid w:val="00A54EF2"/>
    <w:rsid w:val="00A54F91"/>
    <w:rsid w:val="00A55664"/>
    <w:rsid w:val="00A55D48"/>
    <w:rsid w:val="00A574E2"/>
    <w:rsid w:val="00A57755"/>
    <w:rsid w:val="00A577D3"/>
    <w:rsid w:val="00A57BEB"/>
    <w:rsid w:val="00A57F11"/>
    <w:rsid w:val="00A603AB"/>
    <w:rsid w:val="00A60A87"/>
    <w:rsid w:val="00A60A9A"/>
    <w:rsid w:val="00A60F38"/>
    <w:rsid w:val="00A61673"/>
    <w:rsid w:val="00A61B38"/>
    <w:rsid w:val="00A622CC"/>
    <w:rsid w:val="00A62866"/>
    <w:rsid w:val="00A629E8"/>
    <w:rsid w:val="00A6304A"/>
    <w:rsid w:val="00A6310F"/>
    <w:rsid w:val="00A6436A"/>
    <w:rsid w:val="00A647AD"/>
    <w:rsid w:val="00A647D5"/>
    <w:rsid w:val="00A64926"/>
    <w:rsid w:val="00A64B10"/>
    <w:rsid w:val="00A64E54"/>
    <w:rsid w:val="00A6515C"/>
    <w:rsid w:val="00A65784"/>
    <w:rsid w:val="00A663CB"/>
    <w:rsid w:val="00A665CF"/>
    <w:rsid w:val="00A667A4"/>
    <w:rsid w:val="00A6692B"/>
    <w:rsid w:val="00A66A08"/>
    <w:rsid w:val="00A66A7C"/>
    <w:rsid w:val="00A66A93"/>
    <w:rsid w:val="00A66EF2"/>
    <w:rsid w:val="00A67CA7"/>
    <w:rsid w:val="00A67EAF"/>
    <w:rsid w:val="00A70CE1"/>
    <w:rsid w:val="00A70D9D"/>
    <w:rsid w:val="00A71070"/>
    <w:rsid w:val="00A712F7"/>
    <w:rsid w:val="00A71368"/>
    <w:rsid w:val="00A72084"/>
    <w:rsid w:val="00A727ED"/>
    <w:rsid w:val="00A72AC3"/>
    <w:rsid w:val="00A7333A"/>
    <w:rsid w:val="00A73989"/>
    <w:rsid w:val="00A73A8D"/>
    <w:rsid w:val="00A74187"/>
    <w:rsid w:val="00A743DB"/>
    <w:rsid w:val="00A74CD1"/>
    <w:rsid w:val="00A762B4"/>
    <w:rsid w:val="00A76606"/>
    <w:rsid w:val="00A76652"/>
    <w:rsid w:val="00A76B64"/>
    <w:rsid w:val="00A7701B"/>
    <w:rsid w:val="00A7752F"/>
    <w:rsid w:val="00A802E8"/>
    <w:rsid w:val="00A80C8A"/>
    <w:rsid w:val="00A8129F"/>
    <w:rsid w:val="00A81338"/>
    <w:rsid w:val="00A81A67"/>
    <w:rsid w:val="00A81C87"/>
    <w:rsid w:val="00A83001"/>
    <w:rsid w:val="00A8451A"/>
    <w:rsid w:val="00A84698"/>
    <w:rsid w:val="00A856AA"/>
    <w:rsid w:val="00A856ED"/>
    <w:rsid w:val="00A85A7C"/>
    <w:rsid w:val="00A85C35"/>
    <w:rsid w:val="00A85C65"/>
    <w:rsid w:val="00A874AA"/>
    <w:rsid w:val="00A87503"/>
    <w:rsid w:val="00A90192"/>
    <w:rsid w:val="00A90734"/>
    <w:rsid w:val="00A90ED5"/>
    <w:rsid w:val="00A90F3B"/>
    <w:rsid w:val="00A9121B"/>
    <w:rsid w:val="00A92061"/>
    <w:rsid w:val="00A920FE"/>
    <w:rsid w:val="00A937E1"/>
    <w:rsid w:val="00A93B64"/>
    <w:rsid w:val="00A93E52"/>
    <w:rsid w:val="00A94249"/>
    <w:rsid w:val="00A94BC9"/>
    <w:rsid w:val="00A953BB"/>
    <w:rsid w:val="00A95461"/>
    <w:rsid w:val="00A959BC"/>
    <w:rsid w:val="00A95B87"/>
    <w:rsid w:val="00A95E16"/>
    <w:rsid w:val="00A97121"/>
    <w:rsid w:val="00A973FB"/>
    <w:rsid w:val="00A97566"/>
    <w:rsid w:val="00A9776B"/>
    <w:rsid w:val="00A97A3A"/>
    <w:rsid w:val="00A97C90"/>
    <w:rsid w:val="00AA0CB8"/>
    <w:rsid w:val="00AA0F07"/>
    <w:rsid w:val="00AA1073"/>
    <w:rsid w:val="00AA1C8C"/>
    <w:rsid w:val="00AA21D6"/>
    <w:rsid w:val="00AA24D1"/>
    <w:rsid w:val="00AA2562"/>
    <w:rsid w:val="00AA25D7"/>
    <w:rsid w:val="00AA2D0D"/>
    <w:rsid w:val="00AA39DE"/>
    <w:rsid w:val="00AA3C60"/>
    <w:rsid w:val="00AA4329"/>
    <w:rsid w:val="00AA4664"/>
    <w:rsid w:val="00AA4EEB"/>
    <w:rsid w:val="00AA58AF"/>
    <w:rsid w:val="00AB08F2"/>
    <w:rsid w:val="00AB0A9A"/>
    <w:rsid w:val="00AB0D13"/>
    <w:rsid w:val="00AB134F"/>
    <w:rsid w:val="00AB2F57"/>
    <w:rsid w:val="00AB2FF4"/>
    <w:rsid w:val="00AB31D9"/>
    <w:rsid w:val="00AB35D5"/>
    <w:rsid w:val="00AB3B80"/>
    <w:rsid w:val="00AB4453"/>
    <w:rsid w:val="00AB5B46"/>
    <w:rsid w:val="00AB5F9C"/>
    <w:rsid w:val="00AB7041"/>
    <w:rsid w:val="00AB7CBD"/>
    <w:rsid w:val="00AB7CD3"/>
    <w:rsid w:val="00AC06BE"/>
    <w:rsid w:val="00AC0788"/>
    <w:rsid w:val="00AC0A7C"/>
    <w:rsid w:val="00AC0D83"/>
    <w:rsid w:val="00AC189A"/>
    <w:rsid w:val="00AC1AD6"/>
    <w:rsid w:val="00AC22D3"/>
    <w:rsid w:val="00AC337F"/>
    <w:rsid w:val="00AC39E2"/>
    <w:rsid w:val="00AC3FED"/>
    <w:rsid w:val="00AC4EB3"/>
    <w:rsid w:val="00AC5695"/>
    <w:rsid w:val="00AC5D09"/>
    <w:rsid w:val="00AC5EBC"/>
    <w:rsid w:val="00AC623A"/>
    <w:rsid w:val="00AC72E5"/>
    <w:rsid w:val="00AC77B7"/>
    <w:rsid w:val="00AC7816"/>
    <w:rsid w:val="00AD0864"/>
    <w:rsid w:val="00AD0934"/>
    <w:rsid w:val="00AD0EAB"/>
    <w:rsid w:val="00AD0EB5"/>
    <w:rsid w:val="00AD260A"/>
    <w:rsid w:val="00AD395E"/>
    <w:rsid w:val="00AD3A10"/>
    <w:rsid w:val="00AD3BCF"/>
    <w:rsid w:val="00AD3C2A"/>
    <w:rsid w:val="00AD3DE0"/>
    <w:rsid w:val="00AD4C8B"/>
    <w:rsid w:val="00AD5114"/>
    <w:rsid w:val="00AD5540"/>
    <w:rsid w:val="00AD5F09"/>
    <w:rsid w:val="00AD6485"/>
    <w:rsid w:val="00AD64DF"/>
    <w:rsid w:val="00AD64ED"/>
    <w:rsid w:val="00AD688D"/>
    <w:rsid w:val="00AD77EE"/>
    <w:rsid w:val="00AE093E"/>
    <w:rsid w:val="00AE09E7"/>
    <w:rsid w:val="00AE1025"/>
    <w:rsid w:val="00AE1698"/>
    <w:rsid w:val="00AE1A5E"/>
    <w:rsid w:val="00AE2468"/>
    <w:rsid w:val="00AE2B36"/>
    <w:rsid w:val="00AE3F03"/>
    <w:rsid w:val="00AE404E"/>
    <w:rsid w:val="00AE43D1"/>
    <w:rsid w:val="00AE4692"/>
    <w:rsid w:val="00AE4EF0"/>
    <w:rsid w:val="00AE5E84"/>
    <w:rsid w:val="00AE61D2"/>
    <w:rsid w:val="00AE6411"/>
    <w:rsid w:val="00AE64F0"/>
    <w:rsid w:val="00AE6F5C"/>
    <w:rsid w:val="00AE718E"/>
    <w:rsid w:val="00AE7924"/>
    <w:rsid w:val="00AE7F91"/>
    <w:rsid w:val="00AF03D5"/>
    <w:rsid w:val="00AF09A7"/>
    <w:rsid w:val="00AF1645"/>
    <w:rsid w:val="00AF1CF7"/>
    <w:rsid w:val="00AF1FFC"/>
    <w:rsid w:val="00AF23C8"/>
    <w:rsid w:val="00AF2AE2"/>
    <w:rsid w:val="00AF2DC9"/>
    <w:rsid w:val="00AF32BB"/>
    <w:rsid w:val="00AF3902"/>
    <w:rsid w:val="00AF3CE3"/>
    <w:rsid w:val="00AF4431"/>
    <w:rsid w:val="00AF502A"/>
    <w:rsid w:val="00AF523D"/>
    <w:rsid w:val="00AF5C08"/>
    <w:rsid w:val="00AF61C2"/>
    <w:rsid w:val="00AF622A"/>
    <w:rsid w:val="00AF628F"/>
    <w:rsid w:val="00AF654D"/>
    <w:rsid w:val="00AF6950"/>
    <w:rsid w:val="00AF7793"/>
    <w:rsid w:val="00AF7A24"/>
    <w:rsid w:val="00AF7C63"/>
    <w:rsid w:val="00AF7DF7"/>
    <w:rsid w:val="00B016F5"/>
    <w:rsid w:val="00B022BA"/>
    <w:rsid w:val="00B0274E"/>
    <w:rsid w:val="00B02A6F"/>
    <w:rsid w:val="00B02ABD"/>
    <w:rsid w:val="00B0377E"/>
    <w:rsid w:val="00B03868"/>
    <w:rsid w:val="00B04693"/>
    <w:rsid w:val="00B046E8"/>
    <w:rsid w:val="00B04A6B"/>
    <w:rsid w:val="00B053AD"/>
    <w:rsid w:val="00B05975"/>
    <w:rsid w:val="00B06BCD"/>
    <w:rsid w:val="00B06C26"/>
    <w:rsid w:val="00B0782B"/>
    <w:rsid w:val="00B07BA9"/>
    <w:rsid w:val="00B07D46"/>
    <w:rsid w:val="00B07F9C"/>
    <w:rsid w:val="00B10055"/>
    <w:rsid w:val="00B10605"/>
    <w:rsid w:val="00B1141E"/>
    <w:rsid w:val="00B118C2"/>
    <w:rsid w:val="00B11B39"/>
    <w:rsid w:val="00B125F0"/>
    <w:rsid w:val="00B1278B"/>
    <w:rsid w:val="00B12FA5"/>
    <w:rsid w:val="00B139FD"/>
    <w:rsid w:val="00B13A70"/>
    <w:rsid w:val="00B13EBA"/>
    <w:rsid w:val="00B14B62"/>
    <w:rsid w:val="00B15F42"/>
    <w:rsid w:val="00B15FD0"/>
    <w:rsid w:val="00B16AFF"/>
    <w:rsid w:val="00B1711A"/>
    <w:rsid w:val="00B17295"/>
    <w:rsid w:val="00B175CF"/>
    <w:rsid w:val="00B17651"/>
    <w:rsid w:val="00B17C24"/>
    <w:rsid w:val="00B2017B"/>
    <w:rsid w:val="00B201A0"/>
    <w:rsid w:val="00B213A7"/>
    <w:rsid w:val="00B2141C"/>
    <w:rsid w:val="00B215F5"/>
    <w:rsid w:val="00B21FDD"/>
    <w:rsid w:val="00B227CE"/>
    <w:rsid w:val="00B23048"/>
    <w:rsid w:val="00B237B1"/>
    <w:rsid w:val="00B24346"/>
    <w:rsid w:val="00B249AF"/>
    <w:rsid w:val="00B24D92"/>
    <w:rsid w:val="00B25413"/>
    <w:rsid w:val="00B26697"/>
    <w:rsid w:val="00B26B26"/>
    <w:rsid w:val="00B26B62"/>
    <w:rsid w:val="00B26D9A"/>
    <w:rsid w:val="00B26FA4"/>
    <w:rsid w:val="00B272B0"/>
    <w:rsid w:val="00B2762F"/>
    <w:rsid w:val="00B27A54"/>
    <w:rsid w:val="00B27DDF"/>
    <w:rsid w:val="00B27F82"/>
    <w:rsid w:val="00B30783"/>
    <w:rsid w:val="00B308EF"/>
    <w:rsid w:val="00B30CD8"/>
    <w:rsid w:val="00B310D2"/>
    <w:rsid w:val="00B32417"/>
    <w:rsid w:val="00B328F2"/>
    <w:rsid w:val="00B32968"/>
    <w:rsid w:val="00B32CA1"/>
    <w:rsid w:val="00B33F5E"/>
    <w:rsid w:val="00B34974"/>
    <w:rsid w:val="00B34B54"/>
    <w:rsid w:val="00B34F1E"/>
    <w:rsid w:val="00B36E27"/>
    <w:rsid w:val="00B37739"/>
    <w:rsid w:val="00B40BED"/>
    <w:rsid w:val="00B4151F"/>
    <w:rsid w:val="00B41F0F"/>
    <w:rsid w:val="00B422E7"/>
    <w:rsid w:val="00B42560"/>
    <w:rsid w:val="00B42900"/>
    <w:rsid w:val="00B429C3"/>
    <w:rsid w:val="00B42A1F"/>
    <w:rsid w:val="00B43420"/>
    <w:rsid w:val="00B440D6"/>
    <w:rsid w:val="00B44BD6"/>
    <w:rsid w:val="00B44CAF"/>
    <w:rsid w:val="00B452D7"/>
    <w:rsid w:val="00B455AA"/>
    <w:rsid w:val="00B45778"/>
    <w:rsid w:val="00B457A1"/>
    <w:rsid w:val="00B45B9A"/>
    <w:rsid w:val="00B460D5"/>
    <w:rsid w:val="00B4630F"/>
    <w:rsid w:val="00B464B1"/>
    <w:rsid w:val="00B47A4A"/>
    <w:rsid w:val="00B47B99"/>
    <w:rsid w:val="00B504D5"/>
    <w:rsid w:val="00B506F2"/>
    <w:rsid w:val="00B51028"/>
    <w:rsid w:val="00B510E3"/>
    <w:rsid w:val="00B521AC"/>
    <w:rsid w:val="00B52490"/>
    <w:rsid w:val="00B52702"/>
    <w:rsid w:val="00B53136"/>
    <w:rsid w:val="00B53676"/>
    <w:rsid w:val="00B53878"/>
    <w:rsid w:val="00B53C2D"/>
    <w:rsid w:val="00B53C33"/>
    <w:rsid w:val="00B53F06"/>
    <w:rsid w:val="00B54490"/>
    <w:rsid w:val="00B5498D"/>
    <w:rsid w:val="00B5501D"/>
    <w:rsid w:val="00B553F8"/>
    <w:rsid w:val="00B56734"/>
    <w:rsid w:val="00B56C04"/>
    <w:rsid w:val="00B56FA4"/>
    <w:rsid w:val="00B5700F"/>
    <w:rsid w:val="00B5711D"/>
    <w:rsid w:val="00B6151E"/>
    <w:rsid w:val="00B625D4"/>
    <w:rsid w:val="00B631DA"/>
    <w:rsid w:val="00B6329E"/>
    <w:rsid w:val="00B63860"/>
    <w:rsid w:val="00B63FB8"/>
    <w:rsid w:val="00B640A4"/>
    <w:rsid w:val="00B64962"/>
    <w:rsid w:val="00B64F6A"/>
    <w:rsid w:val="00B65131"/>
    <w:rsid w:val="00B65B59"/>
    <w:rsid w:val="00B65B6B"/>
    <w:rsid w:val="00B65D67"/>
    <w:rsid w:val="00B66184"/>
    <w:rsid w:val="00B665F7"/>
    <w:rsid w:val="00B66A4E"/>
    <w:rsid w:val="00B66D8A"/>
    <w:rsid w:val="00B67098"/>
    <w:rsid w:val="00B672DD"/>
    <w:rsid w:val="00B676EC"/>
    <w:rsid w:val="00B67CF5"/>
    <w:rsid w:val="00B67FE6"/>
    <w:rsid w:val="00B7016C"/>
    <w:rsid w:val="00B70209"/>
    <w:rsid w:val="00B7039B"/>
    <w:rsid w:val="00B709F5"/>
    <w:rsid w:val="00B70C3A"/>
    <w:rsid w:val="00B71368"/>
    <w:rsid w:val="00B71F3D"/>
    <w:rsid w:val="00B72084"/>
    <w:rsid w:val="00B72423"/>
    <w:rsid w:val="00B7246A"/>
    <w:rsid w:val="00B72532"/>
    <w:rsid w:val="00B73218"/>
    <w:rsid w:val="00B734A8"/>
    <w:rsid w:val="00B736E8"/>
    <w:rsid w:val="00B73D59"/>
    <w:rsid w:val="00B74AB4"/>
    <w:rsid w:val="00B74D1E"/>
    <w:rsid w:val="00B75047"/>
    <w:rsid w:val="00B762EF"/>
    <w:rsid w:val="00B762F8"/>
    <w:rsid w:val="00B76A18"/>
    <w:rsid w:val="00B76BA8"/>
    <w:rsid w:val="00B76DBC"/>
    <w:rsid w:val="00B76F37"/>
    <w:rsid w:val="00B77344"/>
    <w:rsid w:val="00B77394"/>
    <w:rsid w:val="00B7788D"/>
    <w:rsid w:val="00B779F5"/>
    <w:rsid w:val="00B80D5D"/>
    <w:rsid w:val="00B81098"/>
    <w:rsid w:val="00B813B0"/>
    <w:rsid w:val="00B815FC"/>
    <w:rsid w:val="00B81C06"/>
    <w:rsid w:val="00B82AC9"/>
    <w:rsid w:val="00B833E0"/>
    <w:rsid w:val="00B83620"/>
    <w:rsid w:val="00B83832"/>
    <w:rsid w:val="00B8452E"/>
    <w:rsid w:val="00B84C6C"/>
    <w:rsid w:val="00B84EA9"/>
    <w:rsid w:val="00B85959"/>
    <w:rsid w:val="00B85FA6"/>
    <w:rsid w:val="00B862D5"/>
    <w:rsid w:val="00B86CA4"/>
    <w:rsid w:val="00B871AF"/>
    <w:rsid w:val="00B8738A"/>
    <w:rsid w:val="00B901A1"/>
    <w:rsid w:val="00B90530"/>
    <w:rsid w:val="00B9082E"/>
    <w:rsid w:val="00B909CA"/>
    <w:rsid w:val="00B91058"/>
    <w:rsid w:val="00B916D4"/>
    <w:rsid w:val="00B919CE"/>
    <w:rsid w:val="00B91A3D"/>
    <w:rsid w:val="00B9235D"/>
    <w:rsid w:val="00B92687"/>
    <w:rsid w:val="00B92854"/>
    <w:rsid w:val="00B92A1E"/>
    <w:rsid w:val="00B92D6D"/>
    <w:rsid w:val="00B93927"/>
    <w:rsid w:val="00B93BD1"/>
    <w:rsid w:val="00B93DA1"/>
    <w:rsid w:val="00B94248"/>
    <w:rsid w:val="00B942A1"/>
    <w:rsid w:val="00B94B4F"/>
    <w:rsid w:val="00B95AAE"/>
    <w:rsid w:val="00B97060"/>
    <w:rsid w:val="00B976F6"/>
    <w:rsid w:val="00B97C03"/>
    <w:rsid w:val="00B97D87"/>
    <w:rsid w:val="00BA0896"/>
    <w:rsid w:val="00BA1B88"/>
    <w:rsid w:val="00BA1C25"/>
    <w:rsid w:val="00BA2B97"/>
    <w:rsid w:val="00BA2CB7"/>
    <w:rsid w:val="00BA3071"/>
    <w:rsid w:val="00BA34E8"/>
    <w:rsid w:val="00BA3BF6"/>
    <w:rsid w:val="00BA428A"/>
    <w:rsid w:val="00BA4312"/>
    <w:rsid w:val="00BA4569"/>
    <w:rsid w:val="00BA51C2"/>
    <w:rsid w:val="00BA5F41"/>
    <w:rsid w:val="00BA640A"/>
    <w:rsid w:val="00BA6B96"/>
    <w:rsid w:val="00BA6C7F"/>
    <w:rsid w:val="00BA6EEF"/>
    <w:rsid w:val="00BA7385"/>
    <w:rsid w:val="00BA73AE"/>
    <w:rsid w:val="00BA7F87"/>
    <w:rsid w:val="00BB0375"/>
    <w:rsid w:val="00BB04FF"/>
    <w:rsid w:val="00BB080F"/>
    <w:rsid w:val="00BB09E2"/>
    <w:rsid w:val="00BB14E0"/>
    <w:rsid w:val="00BB187C"/>
    <w:rsid w:val="00BB1C08"/>
    <w:rsid w:val="00BB23A3"/>
    <w:rsid w:val="00BB25E0"/>
    <w:rsid w:val="00BB296B"/>
    <w:rsid w:val="00BB29BE"/>
    <w:rsid w:val="00BB2A9C"/>
    <w:rsid w:val="00BB3034"/>
    <w:rsid w:val="00BB335F"/>
    <w:rsid w:val="00BB3622"/>
    <w:rsid w:val="00BB379F"/>
    <w:rsid w:val="00BB39A9"/>
    <w:rsid w:val="00BB3D78"/>
    <w:rsid w:val="00BB3DD8"/>
    <w:rsid w:val="00BB40FB"/>
    <w:rsid w:val="00BB5019"/>
    <w:rsid w:val="00BB682C"/>
    <w:rsid w:val="00BB6CF6"/>
    <w:rsid w:val="00BB7095"/>
    <w:rsid w:val="00BB70EC"/>
    <w:rsid w:val="00BB733F"/>
    <w:rsid w:val="00BB7BAC"/>
    <w:rsid w:val="00BB7CA9"/>
    <w:rsid w:val="00BC0683"/>
    <w:rsid w:val="00BC0B12"/>
    <w:rsid w:val="00BC1113"/>
    <w:rsid w:val="00BC18C4"/>
    <w:rsid w:val="00BC236B"/>
    <w:rsid w:val="00BC24A1"/>
    <w:rsid w:val="00BC2AFA"/>
    <w:rsid w:val="00BC2BB4"/>
    <w:rsid w:val="00BC4E31"/>
    <w:rsid w:val="00BC65D9"/>
    <w:rsid w:val="00BC662F"/>
    <w:rsid w:val="00BC6672"/>
    <w:rsid w:val="00BC6704"/>
    <w:rsid w:val="00BC67A7"/>
    <w:rsid w:val="00BC6C73"/>
    <w:rsid w:val="00BC6D69"/>
    <w:rsid w:val="00BC753F"/>
    <w:rsid w:val="00BC7876"/>
    <w:rsid w:val="00BC7A9C"/>
    <w:rsid w:val="00BC7AF0"/>
    <w:rsid w:val="00BC7C22"/>
    <w:rsid w:val="00BC7C52"/>
    <w:rsid w:val="00BD0350"/>
    <w:rsid w:val="00BD0995"/>
    <w:rsid w:val="00BD0CF6"/>
    <w:rsid w:val="00BD1471"/>
    <w:rsid w:val="00BD14C5"/>
    <w:rsid w:val="00BD1591"/>
    <w:rsid w:val="00BD196A"/>
    <w:rsid w:val="00BD2081"/>
    <w:rsid w:val="00BD2311"/>
    <w:rsid w:val="00BD25F7"/>
    <w:rsid w:val="00BD2656"/>
    <w:rsid w:val="00BD2912"/>
    <w:rsid w:val="00BD32C9"/>
    <w:rsid w:val="00BD4C06"/>
    <w:rsid w:val="00BD57C2"/>
    <w:rsid w:val="00BD6262"/>
    <w:rsid w:val="00BD6CE6"/>
    <w:rsid w:val="00BD7591"/>
    <w:rsid w:val="00BD7EED"/>
    <w:rsid w:val="00BE1047"/>
    <w:rsid w:val="00BE1C84"/>
    <w:rsid w:val="00BE1E49"/>
    <w:rsid w:val="00BE202E"/>
    <w:rsid w:val="00BE25F7"/>
    <w:rsid w:val="00BE27B8"/>
    <w:rsid w:val="00BE2B3A"/>
    <w:rsid w:val="00BE2EC2"/>
    <w:rsid w:val="00BE3874"/>
    <w:rsid w:val="00BE3C3F"/>
    <w:rsid w:val="00BE3D21"/>
    <w:rsid w:val="00BE4068"/>
    <w:rsid w:val="00BE4888"/>
    <w:rsid w:val="00BE4A05"/>
    <w:rsid w:val="00BE4C48"/>
    <w:rsid w:val="00BE5257"/>
    <w:rsid w:val="00BE5786"/>
    <w:rsid w:val="00BE57A6"/>
    <w:rsid w:val="00BE61C1"/>
    <w:rsid w:val="00BE64AF"/>
    <w:rsid w:val="00BE6717"/>
    <w:rsid w:val="00BE6A76"/>
    <w:rsid w:val="00BF0381"/>
    <w:rsid w:val="00BF1355"/>
    <w:rsid w:val="00BF1CD9"/>
    <w:rsid w:val="00BF27DF"/>
    <w:rsid w:val="00BF2B48"/>
    <w:rsid w:val="00BF2C78"/>
    <w:rsid w:val="00BF3142"/>
    <w:rsid w:val="00BF36E1"/>
    <w:rsid w:val="00BF446E"/>
    <w:rsid w:val="00BF485B"/>
    <w:rsid w:val="00BF56E1"/>
    <w:rsid w:val="00BF585E"/>
    <w:rsid w:val="00BF598D"/>
    <w:rsid w:val="00BF6B21"/>
    <w:rsid w:val="00BF6BC6"/>
    <w:rsid w:val="00BF6E7B"/>
    <w:rsid w:val="00BF756A"/>
    <w:rsid w:val="00BF76CA"/>
    <w:rsid w:val="00BF772C"/>
    <w:rsid w:val="00C00DE6"/>
    <w:rsid w:val="00C01016"/>
    <w:rsid w:val="00C01021"/>
    <w:rsid w:val="00C0141F"/>
    <w:rsid w:val="00C0176C"/>
    <w:rsid w:val="00C01784"/>
    <w:rsid w:val="00C03410"/>
    <w:rsid w:val="00C042E7"/>
    <w:rsid w:val="00C048AF"/>
    <w:rsid w:val="00C04B9E"/>
    <w:rsid w:val="00C04CDF"/>
    <w:rsid w:val="00C06664"/>
    <w:rsid w:val="00C071F1"/>
    <w:rsid w:val="00C077E0"/>
    <w:rsid w:val="00C07DE6"/>
    <w:rsid w:val="00C07F89"/>
    <w:rsid w:val="00C07FDA"/>
    <w:rsid w:val="00C1005B"/>
    <w:rsid w:val="00C10BFB"/>
    <w:rsid w:val="00C1133E"/>
    <w:rsid w:val="00C118B1"/>
    <w:rsid w:val="00C11915"/>
    <w:rsid w:val="00C12084"/>
    <w:rsid w:val="00C126FD"/>
    <w:rsid w:val="00C12846"/>
    <w:rsid w:val="00C12BDA"/>
    <w:rsid w:val="00C12C22"/>
    <w:rsid w:val="00C1446F"/>
    <w:rsid w:val="00C144EE"/>
    <w:rsid w:val="00C14D1C"/>
    <w:rsid w:val="00C14FA1"/>
    <w:rsid w:val="00C1548C"/>
    <w:rsid w:val="00C154B5"/>
    <w:rsid w:val="00C157CE"/>
    <w:rsid w:val="00C15921"/>
    <w:rsid w:val="00C17872"/>
    <w:rsid w:val="00C17A56"/>
    <w:rsid w:val="00C2015F"/>
    <w:rsid w:val="00C205E1"/>
    <w:rsid w:val="00C205E9"/>
    <w:rsid w:val="00C20E73"/>
    <w:rsid w:val="00C212FC"/>
    <w:rsid w:val="00C21704"/>
    <w:rsid w:val="00C21927"/>
    <w:rsid w:val="00C21C6C"/>
    <w:rsid w:val="00C22D8C"/>
    <w:rsid w:val="00C22F2F"/>
    <w:rsid w:val="00C2314B"/>
    <w:rsid w:val="00C23440"/>
    <w:rsid w:val="00C23ABB"/>
    <w:rsid w:val="00C23F48"/>
    <w:rsid w:val="00C24AB5"/>
    <w:rsid w:val="00C25B5B"/>
    <w:rsid w:val="00C26010"/>
    <w:rsid w:val="00C260C3"/>
    <w:rsid w:val="00C262BD"/>
    <w:rsid w:val="00C264E8"/>
    <w:rsid w:val="00C27631"/>
    <w:rsid w:val="00C2772C"/>
    <w:rsid w:val="00C30AF2"/>
    <w:rsid w:val="00C30E04"/>
    <w:rsid w:val="00C310C2"/>
    <w:rsid w:val="00C31528"/>
    <w:rsid w:val="00C31E5D"/>
    <w:rsid w:val="00C32006"/>
    <w:rsid w:val="00C321B8"/>
    <w:rsid w:val="00C32384"/>
    <w:rsid w:val="00C323DA"/>
    <w:rsid w:val="00C33BA7"/>
    <w:rsid w:val="00C33EBA"/>
    <w:rsid w:val="00C3417B"/>
    <w:rsid w:val="00C344CB"/>
    <w:rsid w:val="00C34520"/>
    <w:rsid w:val="00C3463E"/>
    <w:rsid w:val="00C35BBA"/>
    <w:rsid w:val="00C35D14"/>
    <w:rsid w:val="00C35F77"/>
    <w:rsid w:val="00C36525"/>
    <w:rsid w:val="00C366DD"/>
    <w:rsid w:val="00C36887"/>
    <w:rsid w:val="00C36F3E"/>
    <w:rsid w:val="00C371A8"/>
    <w:rsid w:val="00C37264"/>
    <w:rsid w:val="00C40EB3"/>
    <w:rsid w:val="00C4161E"/>
    <w:rsid w:val="00C41BD9"/>
    <w:rsid w:val="00C425A2"/>
    <w:rsid w:val="00C4298B"/>
    <w:rsid w:val="00C434FD"/>
    <w:rsid w:val="00C4350E"/>
    <w:rsid w:val="00C4358D"/>
    <w:rsid w:val="00C4369F"/>
    <w:rsid w:val="00C43CB1"/>
    <w:rsid w:val="00C44CA7"/>
    <w:rsid w:val="00C45C98"/>
    <w:rsid w:val="00C4636D"/>
    <w:rsid w:val="00C46F46"/>
    <w:rsid w:val="00C47178"/>
    <w:rsid w:val="00C475CC"/>
    <w:rsid w:val="00C477E4"/>
    <w:rsid w:val="00C47AC7"/>
    <w:rsid w:val="00C47AD4"/>
    <w:rsid w:val="00C50792"/>
    <w:rsid w:val="00C5159F"/>
    <w:rsid w:val="00C5192E"/>
    <w:rsid w:val="00C52245"/>
    <w:rsid w:val="00C52DE6"/>
    <w:rsid w:val="00C53BD2"/>
    <w:rsid w:val="00C5503F"/>
    <w:rsid w:val="00C55E60"/>
    <w:rsid w:val="00C563D6"/>
    <w:rsid w:val="00C56658"/>
    <w:rsid w:val="00C569BC"/>
    <w:rsid w:val="00C57C68"/>
    <w:rsid w:val="00C57F3F"/>
    <w:rsid w:val="00C6016B"/>
    <w:rsid w:val="00C61B26"/>
    <w:rsid w:val="00C61B33"/>
    <w:rsid w:val="00C620A6"/>
    <w:rsid w:val="00C62776"/>
    <w:rsid w:val="00C62B33"/>
    <w:rsid w:val="00C631E8"/>
    <w:rsid w:val="00C631FB"/>
    <w:rsid w:val="00C634A7"/>
    <w:rsid w:val="00C638D7"/>
    <w:rsid w:val="00C638DF"/>
    <w:rsid w:val="00C63BFC"/>
    <w:rsid w:val="00C63D10"/>
    <w:rsid w:val="00C6446A"/>
    <w:rsid w:val="00C64720"/>
    <w:rsid w:val="00C64A4B"/>
    <w:rsid w:val="00C64DBE"/>
    <w:rsid w:val="00C6517F"/>
    <w:rsid w:val="00C6609C"/>
    <w:rsid w:val="00C6619E"/>
    <w:rsid w:val="00C665A3"/>
    <w:rsid w:val="00C66930"/>
    <w:rsid w:val="00C66A2F"/>
    <w:rsid w:val="00C67939"/>
    <w:rsid w:val="00C6798F"/>
    <w:rsid w:val="00C67BA6"/>
    <w:rsid w:val="00C703B5"/>
    <w:rsid w:val="00C70C62"/>
    <w:rsid w:val="00C70DA3"/>
    <w:rsid w:val="00C715E2"/>
    <w:rsid w:val="00C71728"/>
    <w:rsid w:val="00C71920"/>
    <w:rsid w:val="00C71D42"/>
    <w:rsid w:val="00C72A63"/>
    <w:rsid w:val="00C72B6D"/>
    <w:rsid w:val="00C72BFF"/>
    <w:rsid w:val="00C73ECB"/>
    <w:rsid w:val="00C74DD5"/>
    <w:rsid w:val="00C7564B"/>
    <w:rsid w:val="00C75698"/>
    <w:rsid w:val="00C75AE3"/>
    <w:rsid w:val="00C75B85"/>
    <w:rsid w:val="00C7688A"/>
    <w:rsid w:val="00C77176"/>
    <w:rsid w:val="00C77402"/>
    <w:rsid w:val="00C776AD"/>
    <w:rsid w:val="00C779E2"/>
    <w:rsid w:val="00C77A70"/>
    <w:rsid w:val="00C80900"/>
    <w:rsid w:val="00C80AE4"/>
    <w:rsid w:val="00C81A3D"/>
    <w:rsid w:val="00C8241A"/>
    <w:rsid w:val="00C82DF7"/>
    <w:rsid w:val="00C83725"/>
    <w:rsid w:val="00C84024"/>
    <w:rsid w:val="00C84259"/>
    <w:rsid w:val="00C8449C"/>
    <w:rsid w:val="00C845EA"/>
    <w:rsid w:val="00C85338"/>
    <w:rsid w:val="00C857F1"/>
    <w:rsid w:val="00C8584B"/>
    <w:rsid w:val="00C85870"/>
    <w:rsid w:val="00C866E9"/>
    <w:rsid w:val="00C871C4"/>
    <w:rsid w:val="00C874D6"/>
    <w:rsid w:val="00C87EF0"/>
    <w:rsid w:val="00C87F35"/>
    <w:rsid w:val="00C908FC"/>
    <w:rsid w:val="00C91034"/>
    <w:rsid w:val="00C9254E"/>
    <w:rsid w:val="00C92AA0"/>
    <w:rsid w:val="00C93659"/>
    <w:rsid w:val="00C9393B"/>
    <w:rsid w:val="00C93B19"/>
    <w:rsid w:val="00C947C8"/>
    <w:rsid w:val="00C947EE"/>
    <w:rsid w:val="00C95007"/>
    <w:rsid w:val="00C9526F"/>
    <w:rsid w:val="00C95611"/>
    <w:rsid w:val="00C95AED"/>
    <w:rsid w:val="00C95C3D"/>
    <w:rsid w:val="00C95C58"/>
    <w:rsid w:val="00C95C67"/>
    <w:rsid w:val="00C96366"/>
    <w:rsid w:val="00C96552"/>
    <w:rsid w:val="00C968B0"/>
    <w:rsid w:val="00C96B4E"/>
    <w:rsid w:val="00C972DC"/>
    <w:rsid w:val="00C97301"/>
    <w:rsid w:val="00CA00C1"/>
    <w:rsid w:val="00CA01FE"/>
    <w:rsid w:val="00CA08CA"/>
    <w:rsid w:val="00CA10AF"/>
    <w:rsid w:val="00CA1130"/>
    <w:rsid w:val="00CA2879"/>
    <w:rsid w:val="00CA2E48"/>
    <w:rsid w:val="00CA2EFF"/>
    <w:rsid w:val="00CA35A0"/>
    <w:rsid w:val="00CA3F65"/>
    <w:rsid w:val="00CA415F"/>
    <w:rsid w:val="00CA529D"/>
    <w:rsid w:val="00CA5741"/>
    <w:rsid w:val="00CA5971"/>
    <w:rsid w:val="00CA5EA7"/>
    <w:rsid w:val="00CA5ECA"/>
    <w:rsid w:val="00CA6052"/>
    <w:rsid w:val="00CA68D2"/>
    <w:rsid w:val="00CA7021"/>
    <w:rsid w:val="00CA783A"/>
    <w:rsid w:val="00CA7B61"/>
    <w:rsid w:val="00CB0133"/>
    <w:rsid w:val="00CB026C"/>
    <w:rsid w:val="00CB044B"/>
    <w:rsid w:val="00CB1D67"/>
    <w:rsid w:val="00CB2203"/>
    <w:rsid w:val="00CB2A2B"/>
    <w:rsid w:val="00CB2C14"/>
    <w:rsid w:val="00CB3367"/>
    <w:rsid w:val="00CB35B8"/>
    <w:rsid w:val="00CB3E66"/>
    <w:rsid w:val="00CB409B"/>
    <w:rsid w:val="00CB5A49"/>
    <w:rsid w:val="00CB5C15"/>
    <w:rsid w:val="00CB678B"/>
    <w:rsid w:val="00CB742B"/>
    <w:rsid w:val="00CB76AC"/>
    <w:rsid w:val="00CB79B7"/>
    <w:rsid w:val="00CC016A"/>
    <w:rsid w:val="00CC1228"/>
    <w:rsid w:val="00CC1503"/>
    <w:rsid w:val="00CC1A21"/>
    <w:rsid w:val="00CC1B8F"/>
    <w:rsid w:val="00CC2370"/>
    <w:rsid w:val="00CC401E"/>
    <w:rsid w:val="00CC417F"/>
    <w:rsid w:val="00CC4D50"/>
    <w:rsid w:val="00CC4DEB"/>
    <w:rsid w:val="00CC552A"/>
    <w:rsid w:val="00CC5849"/>
    <w:rsid w:val="00CC5F8F"/>
    <w:rsid w:val="00CC6643"/>
    <w:rsid w:val="00CC66DE"/>
    <w:rsid w:val="00CC6CE0"/>
    <w:rsid w:val="00CC7460"/>
    <w:rsid w:val="00CC7C0C"/>
    <w:rsid w:val="00CD010E"/>
    <w:rsid w:val="00CD05D1"/>
    <w:rsid w:val="00CD0A5D"/>
    <w:rsid w:val="00CD0D2D"/>
    <w:rsid w:val="00CD0E7C"/>
    <w:rsid w:val="00CD2457"/>
    <w:rsid w:val="00CD299A"/>
    <w:rsid w:val="00CD2A9D"/>
    <w:rsid w:val="00CD2CC0"/>
    <w:rsid w:val="00CD2D46"/>
    <w:rsid w:val="00CD3235"/>
    <w:rsid w:val="00CD37D2"/>
    <w:rsid w:val="00CD37FC"/>
    <w:rsid w:val="00CD46F2"/>
    <w:rsid w:val="00CD5694"/>
    <w:rsid w:val="00CD6170"/>
    <w:rsid w:val="00CD6FEE"/>
    <w:rsid w:val="00CD75E3"/>
    <w:rsid w:val="00CD7919"/>
    <w:rsid w:val="00CD7D0D"/>
    <w:rsid w:val="00CE02FB"/>
    <w:rsid w:val="00CE04D3"/>
    <w:rsid w:val="00CE051C"/>
    <w:rsid w:val="00CE0C94"/>
    <w:rsid w:val="00CE0F2D"/>
    <w:rsid w:val="00CE1B51"/>
    <w:rsid w:val="00CE1B9F"/>
    <w:rsid w:val="00CE1E59"/>
    <w:rsid w:val="00CE1F45"/>
    <w:rsid w:val="00CE2179"/>
    <w:rsid w:val="00CE2627"/>
    <w:rsid w:val="00CE2687"/>
    <w:rsid w:val="00CE2B3A"/>
    <w:rsid w:val="00CE2EB2"/>
    <w:rsid w:val="00CE36EC"/>
    <w:rsid w:val="00CE3936"/>
    <w:rsid w:val="00CE3F96"/>
    <w:rsid w:val="00CE4024"/>
    <w:rsid w:val="00CE42B7"/>
    <w:rsid w:val="00CE44BA"/>
    <w:rsid w:val="00CE4526"/>
    <w:rsid w:val="00CE4F39"/>
    <w:rsid w:val="00CE525D"/>
    <w:rsid w:val="00CE55DA"/>
    <w:rsid w:val="00CE5775"/>
    <w:rsid w:val="00CE5C99"/>
    <w:rsid w:val="00CE5D09"/>
    <w:rsid w:val="00CE5DD7"/>
    <w:rsid w:val="00CE5FB0"/>
    <w:rsid w:val="00CE5FD6"/>
    <w:rsid w:val="00CE6C8A"/>
    <w:rsid w:val="00CF1259"/>
    <w:rsid w:val="00CF162D"/>
    <w:rsid w:val="00CF20BC"/>
    <w:rsid w:val="00CF23EE"/>
    <w:rsid w:val="00CF2A1F"/>
    <w:rsid w:val="00CF3914"/>
    <w:rsid w:val="00CF3A4F"/>
    <w:rsid w:val="00CF3A86"/>
    <w:rsid w:val="00CF3FCB"/>
    <w:rsid w:val="00CF4149"/>
    <w:rsid w:val="00CF41D3"/>
    <w:rsid w:val="00CF476B"/>
    <w:rsid w:val="00CF4978"/>
    <w:rsid w:val="00CF4DC0"/>
    <w:rsid w:val="00CF53AB"/>
    <w:rsid w:val="00CF591C"/>
    <w:rsid w:val="00CF5F80"/>
    <w:rsid w:val="00CF7AEE"/>
    <w:rsid w:val="00CF7F89"/>
    <w:rsid w:val="00D00302"/>
    <w:rsid w:val="00D00F33"/>
    <w:rsid w:val="00D00F64"/>
    <w:rsid w:val="00D013FD"/>
    <w:rsid w:val="00D0179E"/>
    <w:rsid w:val="00D023BF"/>
    <w:rsid w:val="00D02530"/>
    <w:rsid w:val="00D02543"/>
    <w:rsid w:val="00D0304E"/>
    <w:rsid w:val="00D0315D"/>
    <w:rsid w:val="00D03EB5"/>
    <w:rsid w:val="00D0457C"/>
    <w:rsid w:val="00D04FE8"/>
    <w:rsid w:val="00D05289"/>
    <w:rsid w:val="00D05395"/>
    <w:rsid w:val="00D05FC4"/>
    <w:rsid w:val="00D0609D"/>
    <w:rsid w:val="00D063C1"/>
    <w:rsid w:val="00D0716F"/>
    <w:rsid w:val="00D0720B"/>
    <w:rsid w:val="00D106BB"/>
    <w:rsid w:val="00D10814"/>
    <w:rsid w:val="00D109F7"/>
    <w:rsid w:val="00D11357"/>
    <w:rsid w:val="00D11683"/>
    <w:rsid w:val="00D11B95"/>
    <w:rsid w:val="00D11F52"/>
    <w:rsid w:val="00D126E2"/>
    <w:rsid w:val="00D126F7"/>
    <w:rsid w:val="00D12710"/>
    <w:rsid w:val="00D12869"/>
    <w:rsid w:val="00D129F5"/>
    <w:rsid w:val="00D12ED9"/>
    <w:rsid w:val="00D130B8"/>
    <w:rsid w:val="00D13126"/>
    <w:rsid w:val="00D13949"/>
    <w:rsid w:val="00D141DD"/>
    <w:rsid w:val="00D1494A"/>
    <w:rsid w:val="00D14FC4"/>
    <w:rsid w:val="00D15F77"/>
    <w:rsid w:val="00D16A86"/>
    <w:rsid w:val="00D20D62"/>
    <w:rsid w:val="00D212ED"/>
    <w:rsid w:val="00D2167A"/>
    <w:rsid w:val="00D21887"/>
    <w:rsid w:val="00D22E34"/>
    <w:rsid w:val="00D231A1"/>
    <w:rsid w:val="00D233A4"/>
    <w:rsid w:val="00D23D8F"/>
    <w:rsid w:val="00D24A20"/>
    <w:rsid w:val="00D256B8"/>
    <w:rsid w:val="00D266DE"/>
    <w:rsid w:val="00D267CB"/>
    <w:rsid w:val="00D26837"/>
    <w:rsid w:val="00D26D2B"/>
    <w:rsid w:val="00D26E52"/>
    <w:rsid w:val="00D26F0E"/>
    <w:rsid w:val="00D26F6F"/>
    <w:rsid w:val="00D26FCC"/>
    <w:rsid w:val="00D27CE1"/>
    <w:rsid w:val="00D30A4E"/>
    <w:rsid w:val="00D30BE9"/>
    <w:rsid w:val="00D31689"/>
    <w:rsid w:val="00D325D3"/>
    <w:rsid w:val="00D32669"/>
    <w:rsid w:val="00D32743"/>
    <w:rsid w:val="00D32881"/>
    <w:rsid w:val="00D3319E"/>
    <w:rsid w:val="00D35065"/>
    <w:rsid w:val="00D355E8"/>
    <w:rsid w:val="00D35EB8"/>
    <w:rsid w:val="00D36AF1"/>
    <w:rsid w:val="00D37111"/>
    <w:rsid w:val="00D3784A"/>
    <w:rsid w:val="00D37DBB"/>
    <w:rsid w:val="00D415FD"/>
    <w:rsid w:val="00D4313F"/>
    <w:rsid w:val="00D431B9"/>
    <w:rsid w:val="00D434F7"/>
    <w:rsid w:val="00D43DD6"/>
    <w:rsid w:val="00D4537B"/>
    <w:rsid w:val="00D454EC"/>
    <w:rsid w:val="00D456D8"/>
    <w:rsid w:val="00D45C4B"/>
    <w:rsid w:val="00D464E6"/>
    <w:rsid w:val="00D466DB"/>
    <w:rsid w:val="00D46A1C"/>
    <w:rsid w:val="00D46E12"/>
    <w:rsid w:val="00D46EBC"/>
    <w:rsid w:val="00D47C7C"/>
    <w:rsid w:val="00D5051C"/>
    <w:rsid w:val="00D51295"/>
    <w:rsid w:val="00D517CB"/>
    <w:rsid w:val="00D51A95"/>
    <w:rsid w:val="00D51A96"/>
    <w:rsid w:val="00D51B30"/>
    <w:rsid w:val="00D51C2C"/>
    <w:rsid w:val="00D52493"/>
    <w:rsid w:val="00D5297C"/>
    <w:rsid w:val="00D52CE1"/>
    <w:rsid w:val="00D534F3"/>
    <w:rsid w:val="00D53A38"/>
    <w:rsid w:val="00D53CCB"/>
    <w:rsid w:val="00D55A36"/>
    <w:rsid w:val="00D5689A"/>
    <w:rsid w:val="00D56C6D"/>
    <w:rsid w:val="00D57072"/>
    <w:rsid w:val="00D57966"/>
    <w:rsid w:val="00D5799B"/>
    <w:rsid w:val="00D57A1D"/>
    <w:rsid w:val="00D60022"/>
    <w:rsid w:val="00D60091"/>
    <w:rsid w:val="00D60230"/>
    <w:rsid w:val="00D60349"/>
    <w:rsid w:val="00D60BE4"/>
    <w:rsid w:val="00D61084"/>
    <w:rsid w:val="00D61249"/>
    <w:rsid w:val="00D6196A"/>
    <w:rsid w:val="00D61AE5"/>
    <w:rsid w:val="00D62FEF"/>
    <w:rsid w:val="00D631D4"/>
    <w:rsid w:val="00D6398F"/>
    <w:rsid w:val="00D63C11"/>
    <w:rsid w:val="00D64036"/>
    <w:rsid w:val="00D64636"/>
    <w:rsid w:val="00D6494F"/>
    <w:rsid w:val="00D64D2B"/>
    <w:rsid w:val="00D65361"/>
    <w:rsid w:val="00D65E70"/>
    <w:rsid w:val="00D66033"/>
    <w:rsid w:val="00D6650D"/>
    <w:rsid w:val="00D668E4"/>
    <w:rsid w:val="00D67466"/>
    <w:rsid w:val="00D702B1"/>
    <w:rsid w:val="00D7047B"/>
    <w:rsid w:val="00D70735"/>
    <w:rsid w:val="00D71517"/>
    <w:rsid w:val="00D729A9"/>
    <w:rsid w:val="00D72E62"/>
    <w:rsid w:val="00D733CC"/>
    <w:rsid w:val="00D741F4"/>
    <w:rsid w:val="00D74628"/>
    <w:rsid w:val="00D746FC"/>
    <w:rsid w:val="00D74BB1"/>
    <w:rsid w:val="00D74FEC"/>
    <w:rsid w:val="00D74FF0"/>
    <w:rsid w:val="00D752CD"/>
    <w:rsid w:val="00D75505"/>
    <w:rsid w:val="00D755E4"/>
    <w:rsid w:val="00D759CF"/>
    <w:rsid w:val="00D76614"/>
    <w:rsid w:val="00D76695"/>
    <w:rsid w:val="00D769CA"/>
    <w:rsid w:val="00D769F4"/>
    <w:rsid w:val="00D76BEB"/>
    <w:rsid w:val="00D772CF"/>
    <w:rsid w:val="00D77715"/>
    <w:rsid w:val="00D77C6A"/>
    <w:rsid w:val="00D77D5D"/>
    <w:rsid w:val="00D77DAB"/>
    <w:rsid w:val="00D77E09"/>
    <w:rsid w:val="00D8035C"/>
    <w:rsid w:val="00D806A5"/>
    <w:rsid w:val="00D80998"/>
    <w:rsid w:val="00D80BC3"/>
    <w:rsid w:val="00D80DAF"/>
    <w:rsid w:val="00D8228F"/>
    <w:rsid w:val="00D83124"/>
    <w:rsid w:val="00D836EE"/>
    <w:rsid w:val="00D837C3"/>
    <w:rsid w:val="00D83CB1"/>
    <w:rsid w:val="00D84D46"/>
    <w:rsid w:val="00D84EB4"/>
    <w:rsid w:val="00D8553E"/>
    <w:rsid w:val="00D8594F"/>
    <w:rsid w:val="00D85CB4"/>
    <w:rsid w:val="00D85E55"/>
    <w:rsid w:val="00D862DA"/>
    <w:rsid w:val="00D8640C"/>
    <w:rsid w:val="00D86456"/>
    <w:rsid w:val="00D8675A"/>
    <w:rsid w:val="00D870BD"/>
    <w:rsid w:val="00D87234"/>
    <w:rsid w:val="00D87405"/>
    <w:rsid w:val="00D87E16"/>
    <w:rsid w:val="00D900E5"/>
    <w:rsid w:val="00D90198"/>
    <w:rsid w:val="00D9037D"/>
    <w:rsid w:val="00D904BB"/>
    <w:rsid w:val="00D90ED8"/>
    <w:rsid w:val="00D90F09"/>
    <w:rsid w:val="00D90F3D"/>
    <w:rsid w:val="00D9102B"/>
    <w:rsid w:val="00D9105A"/>
    <w:rsid w:val="00D92319"/>
    <w:rsid w:val="00D936C9"/>
    <w:rsid w:val="00D9379C"/>
    <w:rsid w:val="00D94A55"/>
    <w:rsid w:val="00D94B9F"/>
    <w:rsid w:val="00D94D2B"/>
    <w:rsid w:val="00D9665C"/>
    <w:rsid w:val="00D96E4A"/>
    <w:rsid w:val="00D970A3"/>
    <w:rsid w:val="00D97463"/>
    <w:rsid w:val="00DA11CF"/>
    <w:rsid w:val="00DA16A0"/>
    <w:rsid w:val="00DA206C"/>
    <w:rsid w:val="00DA3A25"/>
    <w:rsid w:val="00DA3D7B"/>
    <w:rsid w:val="00DA4456"/>
    <w:rsid w:val="00DA4D46"/>
    <w:rsid w:val="00DA5737"/>
    <w:rsid w:val="00DA5AFE"/>
    <w:rsid w:val="00DA631F"/>
    <w:rsid w:val="00DA66E2"/>
    <w:rsid w:val="00DA6721"/>
    <w:rsid w:val="00DA694B"/>
    <w:rsid w:val="00DA7189"/>
    <w:rsid w:val="00DA7370"/>
    <w:rsid w:val="00DA7691"/>
    <w:rsid w:val="00DA7AF1"/>
    <w:rsid w:val="00DA7F66"/>
    <w:rsid w:val="00DB0C55"/>
    <w:rsid w:val="00DB1190"/>
    <w:rsid w:val="00DB24B1"/>
    <w:rsid w:val="00DB2A72"/>
    <w:rsid w:val="00DB2BBA"/>
    <w:rsid w:val="00DB2D5B"/>
    <w:rsid w:val="00DB2EEB"/>
    <w:rsid w:val="00DB3168"/>
    <w:rsid w:val="00DB329B"/>
    <w:rsid w:val="00DB405A"/>
    <w:rsid w:val="00DB4101"/>
    <w:rsid w:val="00DB4594"/>
    <w:rsid w:val="00DB4AA3"/>
    <w:rsid w:val="00DB4FB9"/>
    <w:rsid w:val="00DB5619"/>
    <w:rsid w:val="00DB608D"/>
    <w:rsid w:val="00DB639C"/>
    <w:rsid w:val="00DB68FF"/>
    <w:rsid w:val="00DB7230"/>
    <w:rsid w:val="00DC056C"/>
    <w:rsid w:val="00DC0735"/>
    <w:rsid w:val="00DC0F22"/>
    <w:rsid w:val="00DC112C"/>
    <w:rsid w:val="00DC13DB"/>
    <w:rsid w:val="00DC1F06"/>
    <w:rsid w:val="00DC23F1"/>
    <w:rsid w:val="00DC2B71"/>
    <w:rsid w:val="00DC2CC2"/>
    <w:rsid w:val="00DC32BA"/>
    <w:rsid w:val="00DC33FF"/>
    <w:rsid w:val="00DC37C2"/>
    <w:rsid w:val="00DC3D64"/>
    <w:rsid w:val="00DC4359"/>
    <w:rsid w:val="00DC4A8B"/>
    <w:rsid w:val="00DC5FD8"/>
    <w:rsid w:val="00DC600C"/>
    <w:rsid w:val="00DC6495"/>
    <w:rsid w:val="00DC6A4F"/>
    <w:rsid w:val="00DC7250"/>
    <w:rsid w:val="00DC73F0"/>
    <w:rsid w:val="00DC7A72"/>
    <w:rsid w:val="00DC7BC9"/>
    <w:rsid w:val="00DD03EB"/>
    <w:rsid w:val="00DD0650"/>
    <w:rsid w:val="00DD0AFB"/>
    <w:rsid w:val="00DD0DE4"/>
    <w:rsid w:val="00DD1F6E"/>
    <w:rsid w:val="00DD3F07"/>
    <w:rsid w:val="00DD4086"/>
    <w:rsid w:val="00DD4E1F"/>
    <w:rsid w:val="00DD640B"/>
    <w:rsid w:val="00DD6518"/>
    <w:rsid w:val="00DD6537"/>
    <w:rsid w:val="00DD6667"/>
    <w:rsid w:val="00DD7003"/>
    <w:rsid w:val="00DD74A2"/>
    <w:rsid w:val="00DD798A"/>
    <w:rsid w:val="00DD7B8C"/>
    <w:rsid w:val="00DE0A34"/>
    <w:rsid w:val="00DE0ADD"/>
    <w:rsid w:val="00DE2A3B"/>
    <w:rsid w:val="00DE33B2"/>
    <w:rsid w:val="00DE383B"/>
    <w:rsid w:val="00DE49BE"/>
    <w:rsid w:val="00DE54D3"/>
    <w:rsid w:val="00DE6363"/>
    <w:rsid w:val="00DE6576"/>
    <w:rsid w:val="00DE68EA"/>
    <w:rsid w:val="00DE6BD5"/>
    <w:rsid w:val="00DE6DD0"/>
    <w:rsid w:val="00DE7803"/>
    <w:rsid w:val="00DE7C02"/>
    <w:rsid w:val="00DF066A"/>
    <w:rsid w:val="00DF0F4B"/>
    <w:rsid w:val="00DF15BA"/>
    <w:rsid w:val="00DF2366"/>
    <w:rsid w:val="00DF238A"/>
    <w:rsid w:val="00DF27AF"/>
    <w:rsid w:val="00DF2BB6"/>
    <w:rsid w:val="00DF344B"/>
    <w:rsid w:val="00DF3E85"/>
    <w:rsid w:val="00DF3FD8"/>
    <w:rsid w:val="00DF4126"/>
    <w:rsid w:val="00DF41E7"/>
    <w:rsid w:val="00DF4614"/>
    <w:rsid w:val="00DF4CAD"/>
    <w:rsid w:val="00DF5E20"/>
    <w:rsid w:val="00DF670B"/>
    <w:rsid w:val="00DF6D10"/>
    <w:rsid w:val="00DF7B25"/>
    <w:rsid w:val="00E008E4"/>
    <w:rsid w:val="00E00B67"/>
    <w:rsid w:val="00E01081"/>
    <w:rsid w:val="00E01280"/>
    <w:rsid w:val="00E0199B"/>
    <w:rsid w:val="00E01A25"/>
    <w:rsid w:val="00E01D5A"/>
    <w:rsid w:val="00E025F8"/>
    <w:rsid w:val="00E02DF2"/>
    <w:rsid w:val="00E03112"/>
    <w:rsid w:val="00E03850"/>
    <w:rsid w:val="00E04840"/>
    <w:rsid w:val="00E049CD"/>
    <w:rsid w:val="00E05085"/>
    <w:rsid w:val="00E0523D"/>
    <w:rsid w:val="00E059B0"/>
    <w:rsid w:val="00E0640B"/>
    <w:rsid w:val="00E0654E"/>
    <w:rsid w:val="00E06E19"/>
    <w:rsid w:val="00E073D8"/>
    <w:rsid w:val="00E07F9A"/>
    <w:rsid w:val="00E102B4"/>
    <w:rsid w:val="00E112F7"/>
    <w:rsid w:val="00E11989"/>
    <w:rsid w:val="00E122DB"/>
    <w:rsid w:val="00E132FC"/>
    <w:rsid w:val="00E134E4"/>
    <w:rsid w:val="00E135A1"/>
    <w:rsid w:val="00E13D80"/>
    <w:rsid w:val="00E1496E"/>
    <w:rsid w:val="00E14BF6"/>
    <w:rsid w:val="00E14D2B"/>
    <w:rsid w:val="00E15AEC"/>
    <w:rsid w:val="00E16081"/>
    <w:rsid w:val="00E161F1"/>
    <w:rsid w:val="00E16EF1"/>
    <w:rsid w:val="00E177A0"/>
    <w:rsid w:val="00E17F63"/>
    <w:rsid w:val="00E20616"/>
    <w:rsid w:val="00E20C22"/>
    <w:rsid w:val="00E20F28"/>
    <w:rsid w:val="00E2181E"/>
    <w:rsid w:val="00E218ED"/>
    <w:rsid w:val="00E218FD"/>
    <w:rsid w:val="00E21E7E"/>
    <w:rsid w:val="00E22517"/>
    <w:rsid w:val="00E22697"/>
    <w:rsid w:val="00E227B4"/>
    <w:rsid w:val="00E22CDA"/>
    <w:rsid w:val="00E239E0"/>
    <w:rsid w:val="00E23E0F"/>
    <w:rsid w:val="00E248A6"/>
    <w:rsid w:val="00E24B94"/>
    <w:rsid w:val="00E24D53"/>
    <w:rsid w:val="00E2582F"/>
    <w:rsid w:val="00E26C4E"/>
    <w:rsid w:val="00E270B7"/>
    <w:rsid w:val="00E272C3"/>
    <w:rsid w:val="00E27853"/>
    <w:rsid w:val="00E27C1A"/>
    <w:rsid w:val="00E27C23"/>
    <w:rsid w:val="00E27E65"/>
    <w:rsid w:val="00E30564"/>
    <w:rsid w:val="00E30B80"/>
    <w:rsid w:val="00E3105F"/>
    <w:rsid w:val="00E314B0"/>
    <w:rsid w:val="00E31A41"/>
    <w:rsid w:val="00E327A8"/>
    <w:rsid w:val="00E3302C"/>
    <w:rsid w:val="00E33236"/>
    <w:rsid w:val="00E33694"/>
    <w:rsid w:val="00E33B1B"/>
    <w:rsid w:val="00E3447B"/>
    <w:rsid w:val="00E34EA3"/>
    <w:rsid w:val="00E368C3"/>
    <w:rsid w:val="00E36FC0"/>
    <w:rsid w:val="00E37440"/>
    <w:rsid w:val="00E375D3"/>
    <w:rsid w:val="00E3764A"/>
    <w:rsid w:val="00E377F9"/>
    <w:rsid w:val="00E40434"/>
    <w:rsid w:val="00E4084A"/>
    <w:rsid w:val="00E40861"/>
    <w:rsid w:val="00E40D8D"/>
    <w:rsid w:val="00E416C9"/>
    <w:rsid w:val="00E41C7E"/>
    <w:rsid w:val="00E4294D"/>
    <w:rsid w:val="00E43C06"/>
    <w:rsid w:val="00E43E96"/>
    <w:rsid w:val="00E44154"/>
    <w:rsid w:val="00E44515"/>
    <w:rsid w:val="00E449B1"/>
    <w:rsid w:val="00E45034"/>
    <w:rsid w:val="00E453BC"/>
    <w:rsid w:val="00E456EE"/>
    <w:rsid w:val="00E46C3B"/>
    <w:rsid w:val="00E4744E"/>
    <w:rsid w:val="00E4783E"/>
    <w:rsid w:val="00E47B31"/>
    <w:rsid w:val="00E47D8E"/>
    <w:rsid w:val="00E47FC4"/>
    <w:rsid w:val="00E50063"/>
    <w:rsid w:val="00E501F7"/>
    <w:rsid w:val="00E5082D"/>
    <w:rsid w:val="00E50CB1"/>
    <w:rsid w:val="00E511F7"/>
    <w:rsid w:val="00E5244E"/>
    <w:rsid w:val="00E524FD"/>
    <w:rsid w:val="00E52DFA"/>
    <w:rsid w:val="00E5314D"/>
    <w:rsid w:val="00E53192"/>
    <w:rsid w:val="00E53354"/>
    <w:rsid w:val="00E53A15"/>
    <w:rsid w:val="00E53BA6"/>
    <w:rsid w:val="00E53E5C"/>
    <w:rsid w:val="00E53F07"/>
    <w:rsid w:val="00E540FA"/>
    <w:rsid w:val="00E54159"/>
    <w:rsid w:val="00E545EF"/>
    <w:rsid w:val="00E545FC"/>
    <w:rsid w:val="00E5472A"/>
    <w:rsid w:val="00E547FA"/>
    <w:rsid w:val="00E54B50"/>
    <w:rsid w:val="00E55308"/>
    <w:rsid w:val="00E5536B"/>
    <w:rsid w:val="00E56200"/>
    <w:rsid w:val="00E56337"/>
    <w:rsid w:val="00E566F3"/>
    <w:rsid w:val="00E567C0"/>
    <w:rsid w:val="00E56E6F"/>
    <w:rsid w:val="00E56F4D"/>
    <w:rsid w:val="00E574A9"/>
    <w:rsid w:val="00E576EE"/>
    <w:rsid w:val="00E57B75"/>
    <w:rsid w:val="00E57DB9"/>
    <w:rsid w:val="00E602C4"/>
    <w:rsid w:val="00E604A7"/>
    <w:rsid w:val="00E60926"/>
    <w:rsid w:val="00E60BB9"/>
    <w:rsid w:val="00E61355"/>
    <w:rsid w:val="00E613BC"/>
    <w:rsid w:val="00E61B12"/>
    <w:rsid w:val="00E61E44"/>
    <w:rsid w:val="00E61F1E"/>
    <w:rsid w:val="00E62416"/>
    <w:rsid w:val="00E6286F"/>
    <w:rsid w:val="00E62CA0"/>
    <w:rsid w:val="00E63A51"/>
    <w:rsid w:val="00E63FD0"/>
    <w:rsid w:val="00E64BAA"/>
    <w:rsid w:val="00E65567"/>
    <w:rsid w:val="00E66060"/>
    <w:rsid w:val="00E66115"/>
    <w:rsid w:val="00E6632F"/>
    <w:rsid w:val="00E66417"/>
    <w:rsid w:val="00E66861"/>
    <w:rsid w:val="00E66E21"/>
    <w:rsid w:val="00E67063"/>
    <w:rsid w:val="00E67383"/>
    <w:rsid w:val="00E70779"/>
    <w:rsid w:val="00E70C3A"/>
    <w:rsid w:val="00E70F38"/>
    <w:rsid w:val="00E710FC"/>
    <w:rsid w:val="00E718FE"/>
    <w:rsid w:val="00E71915"/>
    <w:rsid w:val="00E71B9D"/>
    <w:rsid w:val="00E7221D"/>
    <w:rsid w:val="00E7227E"/>
    <w:rsid w:val="00E72AC9"/>
    <w:rsid w:val="00E72FC3"/>
    <w:rsid w:val="00E742FB"/>
    <w:rsid w:val="00E743C7"/>
    <w:rsid w:val="00E75015"/>
    <w:rsid w:val="00E75E6A"/>
    <w:rsid w:val="00E76307"/>
    <w:rsid w:val="00E769D0"/>
    <w:rsid w:val="00E779B1"/>
    <w:rsid w:val="00E77C3B"/>
    <w:rsid w:val="00E802D1"/>
    <w:rsid w:val="00E8075D"/>
    <w:rsid w:val="00E80916"/>
    <w:rsid w:val="00E81460"/>
    <w:rsid w:val="00E8159E"/>
    <w:rsid w:val="00E81B3D"/>
    <w:rsid w:val="00E81E10"/>
    <w:rsid w:val="00E8273F"/>
    <w:rsid w:val="00E83008"/>
    <w:rsid w:val="00E8340F"/>
    <w:rsid w:val="00E835B4"/>
    <w:rsid w:val="00E839D0"/>
    <w:rsid w:val="00E83E32"/>
    <w:rsid w:val="00E83EE4"/>
    <w:rsid w:val="00E840DF"/>
    <w:rsid w:val="00E84225"/>
    <w:rsid w:val="00E8452A"/>
    <w:rsid w:val="00E8467C"/>
    <w:rsid w:val="00E84DBA"/>
    <w:rsid w:val="00E8560F"/>
    <w:rsid w:val="00E85AB1"/>
    <w:rsid w:val="00E85CEC"/>
    <w:rsid w:val="00E86314"/>
    <w:rsid w:val="00E86806"/>
    <w:rsid w:val="00E86C34"/>
    <w:rsid w:val="00E86CB1"/>
    <w:rsid w:val="00E8780A"/>
    <w:rsid w:val="00E90653"/>
    <w:rsid w:val="00E90789"/>
    <w:rsid w:val="00E90C17"/>
    <w:rsid w:val="00E90DBE"/>
    <w:rsid w:val="00E90EDD"/>
    <w:rsid w:val="00E91595"/>
    <w:rsid w:val="00E91881"/>
    <w:rsid w:val="00E925C8"/>
    <w:rsid w:val="00E935A1"/>
    <w:rsid w:val="00E93ADF"/>
    <w:rsid w:val="00E93C42"/>
    <w:rsid w:val="00E93E36"/>
    <w:rsid w:val="00E9484C"/>
    <w:rsid w:val="00E94EFB"/>
    <w:rsid w:val="00E952A3"/>
    <w:rsid w:val="00E957FC"/>
    <w:rsid w:val="00E95ACA"/>
    <w:rsid w:val="00E9645B"/>
    <w:rsid w:val="00E9732A"/>
    <w:rsid w:val="00E97333"/>
    <w:rsid w:val="00E977C5"/>
    <w:rsid w:val="00E97DA1"/>
    <w:rsid w:val="00EA0289"/>
    <w:rsid w:val="00EA0309"/>
    <w:rsid w:val="00EA03D0"/>
    <w:rsid w:val="00EA0663"/>
    <w:rsid w:val="00EA0EB6"/>
    <w:rsid w:val="00EA103B"/>
    <w:rsid w:val="00EA1B8B"/>
    <w:rsid w:val="00EA1E78"/>
    <w:rsid w:val="00EA1EFD"/>
    <w:rsid w:val="00EA2F01"/>
    <w:rsid w:val="00EA312D"/>
    <w:rsid w:val="00EA346D"/>
    <w:rsid w:val="00EA45A4"/>
    <w:rsid w:val="00EA4D2E"/>
    <w:rsid w:val="00EA520A"/>
    <w:rsid w:val="00EA5EA8"/>
    <w:rsid w:val="00EA5EEF"/>
    <w:rsid w:val="00EA6144"/>
    <w:rsid w:val="00EA760B"/>
    <w:rsid w:val="00EA7FED"/>
    <w:rsid w:val="00EB118E"/>
    <w:rsid w:val="00EB11D1"/>
    <w:rsid w:val="00EB16CD"/>
    <w:rsid w:val="00EB181B"/>
    <w:rsid w:val="00EB1CA4"/>
    <w:rsid w:val="00EB1F03"/>
    <w:rsid w:val="00EB21A1"/>
    <w:rsid w:val="00EB22AE"/>
    <w:rsid w:val="00EB261E"/>
    <w:rsid w:val="00EB26EE"/>
    <w:rsid w:val="00EB2DEA"/>
    <w:rsid w:val="00EB3E11"/>
    <w:rsid w:val="00EB608B"/>
    <w:rsid w:val="00EB64B1"/>
    <w:rsid w:val="00EB689E"/>
    <w:rsid w:val="00EB6B13"/>
    <w:rsid w:val="00EB731E"/>
    <w:rsid w:val="00EB7475"/>
    <w:rsid w:val="00EB77BE"/>
    <w:rsid w:val="00EB7D69"/>
    <w:rsid w:val="00EB7DC2"/>
    <w:rsid w:val="00EB7F67"/>
    <w:rsid w:val="00EB7F6A"/>
    <w:rsid w:val="00EC04AF"/>
    <w:rsid w:val="00EC0EC9"/>
    <w:rsid w:val="00EC0FD1"/>
    <w:rsid w:val="00EC1202"/>
    <w:rsid w:val="00EC2392"/>
    <w:rsid w:val="00EC2B1E"/>
    <w:rsid w:val="00EC2DF0"/>
    <w:rsid w:val="00EC2FFB"/>
    <w:rsid w:val="00EC303C"/>
    <w:rsid w:val="00EC341C"/>
    <w:rsid w:val="00EC35C5"/>
    <w:rsid w:val="00EC38B1"/>
    <w:rsid w:val="00EC4B77"/>
    <w:rsid w:val="00EC5019"/>
    <w:rsid w:val="00EC53B3"/>
    <w:rsid w:val="00EC5500"/>
    <w:rsid w:val="00EC585A"/>
    <w:rsid w:val="00EC6447"/>
    <w:rsid w:val="00EC6678"/>
    <w:rsid w:val="00EC6BAC"/>
    <w:rsid w:val="00EC737E"/>
    <w:rsid w:val="00EC7A61"/>
    <w:rsid w:val="00ED069A"/>
    <w:rsid w:val="00ED0F90"/>
    <w:rsid w:val="00ED0FBA"/>
    <w:rsid w:val="00ED115B"/>
    <w:rsid w:val="00ED1657"/>
    <w:rsid w:val="00ED1C5A"/>
    <w:rsid w:val="00ED1C60"/>
    <w:rsid w:val="00ED20B7"/>
    <w:rsid w:val="00ED2410"/>
    <w:rsid w:val="00ED300D"/>
    <w:rsid w:val="00ED36D5"/>
    <w:rsid w:val="00ED43C1"/>
    <w:rsid w:val="00ED5637"/>
    <w:rsid w:val="00ED5762"/>
    <w:rsid w:val="00ED5794"/>
    <w:rsid w:val="00ED64B1"/>
    <w:rsid w:val="00ED64DA"/>
    <w:rsid w:val="00ED6618"/>
    <w:rsid w:val="00ED6691"/>
    <w:rsid w:val="00ED6A7D"/>
    <w:rsid w:val="00ED7457"/>
    <w:rsid w:val="00ED757B"/>
    <w:rsid w:val="00EE0423"/>
    <w:rsid w:val="00EE0701"/>
    <w:rsid w:val="00EE12AD"/>
    <w:rsid w:val="00EE1417"/>
    <w:rsid w:val="00EE1981"/>
    <w:rsid w:val="00EE1F67"/>
    <w:rsid w:val="00EE2853"/>
    <w:rsid w:val="00EE5398"/>
    <w:rsid w:val="00EE5635"/>
    <w:rsid w:val="00EE5659"/>
    <w:rsid w:val="00EE5E04"/>
    <w:rsid w:val="00EE5F1D"/>
    <w:rsid w:val="00EE5FA6"/>
    <w:rsid w:val="00EE677D"/>
    <w:rsid w:val="00EE6ACE"/>
    <w:rsid w:val="00EE71C9"/>
    <w:rsid w:val="00EE78D2"/>
    <w:rsid w:val="00EF00F2"/>
    <w:rsid w:val="00EF1193"/>
    <w:rsid w:val="00EF1403"/>
    <w:rsid w:val="00EF3020"/>
    <w:rsid w:val="00EF3384"/>
    <w:rsid w:val="00EF352D"/>
    <w:rsid w:val="00EF39AE"/>
    <w:rsid w:val="00EF3D39"/>
    <w:rsid w:val="00EF42B4"/>
    <w:rsid w:val="00EF4388"/>
    <w:rsid w:val="00EF4AD1"/>
    <w:rsid w:val="00EF4AEE"/>
    <w:rsid w:val="00EF50FE"/>
    <w:rsid w:val="00EF59C1"/>
    <w:rsid w:val="00EF6ABF"/>
    <w:rsid w:val="00EF6E41"/>
    <w:rsid w:val="00EF79DB"/>
    <w:rsid w:val="00EF7A65"/>
    <w:rsid w:val="00F0049B"/>
    <w:rsid w:val="00F00554"/>
    <w:rsid w:val="00F006A0"/>
    <w:rsid w:val="00F01E1F"/>
    <w:rsid w:val="00F023D7"/>
    <w:rsid w:val="00F0241B"/>
    <w:rsid w:val="00F02DA5"/>
    <w:rsid w:val="00F0301A"/>
    <w:rsid w:val="00F0336F"/>
    <w:rsid w:val="00F03743"/>
    <w:rsid w:val="00F03BF4"/>
    <w:rsid w:val="00F03C3C"/>
    <w:rsid w:val="00F03F3B"/>
    <w:rsid w:val="00F04700"/>
    <w:rsid w:val="00F0545E"/>
    <w:rsid w:val="00F05731"/>
    <w:rsid w:val="00F059D0"/>
    <w:rsid w:val="00F05D1E"/>
    <w:rsid w:val="00F0646A"/>
    <w:rsid w:val="00F072A8"/>
    <w:rsid w:val="00F07468"/>
    <w:rsid w:val="00F07822"/>
    <w:rsid w:val="00F10599"/>
    <w:rsid w:val="00F10D9D"/>
    <w:rsid w:val="00F11DDC"/>
    <w:rsid w:val="00F11EE3"/>
    <w:rsid w:val="00F12E91"/>
    <w:rsid w:val="00F1302B"/>
    <w:rsid w:val="00F13B7E"/>
    <w:rsid w:val="00F13C38"/>
    <w:rsid w:val="00F13F76"/>
    <w:rsid w:val="00F153C1"/>
    <w:rsid w:val="00F15880"/>
    <w:rsid w:val="00F16287"/>
    <w:rsid w:val="00F16914"/>
    <w:rsid w:val="00F16B40"/>
    <w:rsid w:val="00F21519"/>
    <w:rsid w:val="00F2176B"/>
    <w:rsid w:val="00F217E8"/>
    <w:rsid w:val="00F21870"/>
    <w:rsid w:val="00F219EB"/>
    <w:rsid w:val="00F21BFF"/>
    <w:rsid w:val="00F21EB1"/>
    <w:rsid w:val="00F21FFE"/>
    <w:rsid w:val="00F220C6"/>
    <w:rsid w:val="00F2258B"/>
    <w:rsid w:val="00F2262B"/>
    <w:rsid w:val="00F22D82"/>
    <w:rsid w:val="00F22FE8"/>
    <w:rsid w:val="00F236CB"/>
    <w:rsid w:val="00F23A8E"/>
    <w:rsid w:val="00F244F4"/>
    <w:rsid w:val="00F254F9"/>
    <w:rsid w:val="00F2677D"/>
    <w:rsid w:val="00F26C31"/>
    <w:rsid w:val="00F26D40"/>
    <w:rsid w:val="00F26E2A"/>
    <w:rsid w:val="00F27C87"/>
    <w:rsid w:val="00F30545"/>
    <w:rsid w:val="00F305F5"/>
    <w:rsid w:val="00F30912"/>
    <w:rsid w:val="00F30961"/>
    <w:rsid w:val="00F30CF4"/>
    <w:rsid w:val="00F30ECE"/>
    <w:rsid w:val="00F30FD0"/>
    <w:rsid w:val="00F311C1"/>
    <w:rsid w:val="00F3251F"/>
    <w:rsid w:val="00F3297A"/>
    <w:rsid w:val="00F32CB9"/>
    <w:rsid w:val="00F32CF3"/>
    <w:rsid w:val="00F32F0D"/>
    <w:rsid w:val="00F33D26"/>
    <w:rsid w:val="00F340B6"/>
    <w:rsid w:val="00F34E3F"/>
    <w:rsid w:val="00F35338"/>
    <w:rsid w:val="00F35A97"/>
    <w:rsid w:val="00F35B6B"/>
    <w:rsid w:val="00F35CB5"/>
    <w:rsid w:val="00F361B7"/>
    <w:rsid w:val="00F3747B"/>
    <w:rsid w:val="00F3787D"/>
    <w:rsid w:val="00F378E7"/>
    <w:rsid w:val="00F4037F"/>
    <w:rsid w:val="00F406B2"/>
    <w:rsid w:val="00F409E7"/>
    <w:rsid w:val="00F40AA7"/>
    <w:rsid w:val="00F40BAE"/>
    <w:rsid w:val="00F40ED1"/>
    <w:rsid w:val="00F41017"/>
    <w:rsid w:val="00F41557"/>
    <w:rsid w:val="00F417B9"/>
    <w:rsid w:val="00F419AD"/>
    <w:rsid w:val="00F41E17"/>
    <w:rsid w:val="00F4207D"/>
    <w:rsid w:val="00F42905"/>
    <w:rsid w:val="00F42E41"/>
    <w:rsid w:val="00F434EC"/>
    <w:rsid w:val="00F4376F"/>
    <w:rsid w:val="00F43911"/>
    <w:rsid w:val="00F43EE7"/>
    <w:rsid w:val="00F44860"/>
    <w:rsid w:val="00F45102"/>
    <w:rsid w:val="00F45B48"/>
    <w:rsid w:val="00F46908"/>
    <w:rsid w:val="00F46986"/>
    <w:rsid w:val="00F46EEF"/>
    <w:rsid w:val="00F479E4"/>
    <w:rsid w:val="00F47BCC"/>
    <w:rsid w:val="00F47D0D"/>
    <w:rsid w:val="00F50C19"/>
    <w:rsid w:val="00F514A8"/>
    <w:rsid w:val="00F51D01"/>
    <w:rsid w:val="00F51EAE"/>
    <w:rsid w:val="00F52185"/>
    <w:rsid w:val="00F52F93"/>
    <w:rsid w:val="00F531ED"/>
    <w:rsid w:val="00F532AD"/>
    <w:rsid w:val="00F534E0"/>
    <w:rsid w:val="00F5426C"/>
    <w:rsid w:val="00F54390"/>
    <w:rsid w:val="00F54608"/>
    <w:rsid w:val="00F5484A"/>
    <w:rsid w:val="00F549A8"/>
    <w:rsid w:val="00F551DF"/>
    <w:rsid w:val="00F552F2"/>
    <w:rsid w:val="00F55530"/>
    <w:rsid w:val="00F55E52"/>
    <w:rsid w:val="00F563CE"/>
    <w:rsid w:val="00F56488"/>
    <w:rsid w:val="00F5668D"/>
    <w:rsid w:val="00F567C9"/>
    <w:rsid w:val="00F573B8"/>
    <w:rsid w:val="00F574C3"/>
    <w:rsid w:val="00F57570"/>
    <w:rsid w:val="00F57EF0"/>
    <w:rsid w:val="00F60657"/>
    <w:rsid w:val="00F61043"/>
    <w:rsid w:val="00F61199"/>
    <w:rsid w:val="00F61C16"/>
    <w:rsid w:val="00F627E2"/>
    <w:rsid w:val="00F62D99"/>
    <w:rsid w:val="00F6341C"/>
    <w:rsid w:val="00F63F3D"/>
    <w:rsid w:val="00F6452B"/>
    <w:rsid w:val="00F647AA"/>
    <w:rsid w:val="00F65241"/>
    <w:rsid w:val="00F65E25"/>
    <w:rsid w:val="00F65EC4"/>
    <w:rsid w:val="00F65F0C"/>
    <w:rsid w:val="00F66CB4"/>
    <w:rsid w:val="00F66D1F"/>
    <w:rsid w:val="00F66DFC"/>
    <w:rsid w:val="00F6735C"/>
    <w:rsid w:val="00F71520"/>
    <w:rsid w:val="00F717C2"/>
    <w:rsid w:val="00F74397"/>
    <w:rsid w:val="00F74D9A"/>
    <w:rsid w:val="00F75000"/>
    <w:rsid w:val="00F75131"/>
    <w:rsid w:val="00F75769"/>
    <w:rsid w:val="00F7590F"/>
    <w:rsid w:val="00F75C24"/>
    <w:rsid w:val="00F75FE2"/>
    <w:rsid w:val="00F76C6D"/>
    <w:rsid w:val="00F772CC"/>
    <w:rsid w:val="00F77E38"/>
    <w:rsid w:val="00F77F32"/>
    <w:rsid w:val="00F807DD"/>
    <w:rsid w:val="00F80BD4"/>
    <w:rsid w:val="00F80D02"/>
    <w:rsid w:val="00F823B9"/>
    <w:rsid w:val="00F829DC"/>
    <w:rsid w:val="00F82BB7"/>
    <w:rsid w:val="00F833EB"/>
    <w:rsid w:val="00F83808"/>
    <w:rsid w:val="00F845FB"/>
    <w:rsid w:val="00F8569E"/>
    <w:rsid w:val="00F85A14"/>
    <w:rsid w:val="00F861F2"/>
    <w:rsid w:val="00F87544"/>
    <w:rsid w:val="00F8764A"/>
    <w:rsid w:val="00F905CD"/>
    <w:rsid w:val="00F90A64"/>
    <w:rsid w:val="00F90DAD"/>
    <w:rsid w:val="00F90EB0"/>
    <w:rsid w:val="00F91242"/>
    <w:rsid w:val="00F91306"/>
    <w:rsid w:val="00F913C6"/>
    <w:rsid w:val="00F91D9F"/>
    <w:rsid w:val="00F91E7E"/>
    <w:rsid w:val="00F93DDD"/>
    <w:rsid w:val="00F93F82"/>
    <w:rsid w:val="00F94258"/>
    <w:rsid w:val="00F94809"/>
    <w:rsid w:val="00F94864"/>
    <w:rsid w:val="00F948E6"/>
    <w:rsid w:val="00F94E6F"/>
    <w:rsid w:val="00F9549F"/>
    <w:rsid w:val="00F95BDD"/>
    <w:rsid w:val="00F95E16"/>
    <w:rsid w:val="00F96302"/>
    <w:rsid w:val="00F96A02"/>
    <w:rsid w:val="00F96BF8"/>
    <w:rsid w:val="00F97104"/>
    <w:rsid w:val="00F9730C"/>
    <w:rsid w:val="00F97C4B"/>
    <w:rsid w:val="00FA02EE"/>
    <w:rsid w:val="00FA13AB"/>
    <w:rsid w:val="00FA188C"/>
    <w:rsid w:val="00FA1BE9"/>
    <w:rsid w:val="00FA1DE0"/>
    <w:rsid w:val="00FA1E79"/>
    <w:rsid w:val="00FA2987"/>
    <w:rsid w:val="00FA33A6"/>
    <w:rsid w:val="00FA372E"/>
    <w:rsid w:val="00FA39C0"/>
    <w:rsid w:val="00FA3CA1"/>
    <w:rsid w:val="00FA3DF0"/>
    <w:rsid w:val="00FA3F28"/>
    <w:rsid w:val="00FA403A"/>
    <w:rsid w:val="00FA44E5"/>
    <w:rsid w:val="00FA4A4E"/>
    <w:rsid w:val="00FA5E30"/>
    <w:rsid w:val="00FA5F2C"/>
    <w:rsid w:val="00FA5F86"/>
    <w:rsid w:val="00FA61D7"/>
    <w:rsid w:val="00FA6562"/>
    <w:rsid w:val="00FA67A6"/>
    <w:rsid w:val="00FA74E8"/>
    <w:rsid w:val="00FA78BA"/>
    <w:rsid w:val="00FA7B80"/>
    <w:rsid w:val="00FA7BD5"/>
    <w:rsid w:val="00FB0B18"/>
    <w:rsid w:val="00FB0CF0"/>
    <w:rsid w:val="00FB1521"/>
    <w:rsid w:val="00FB1590"/>
    <w:rsid w:val="00FB1605"/>
    <w:rsid w:val="00FB18EA"/>
    <w:rsid w:val="00FB195D"/>
    <w:rsid w:val="00FB22FF"/>
    <w:rsid w:val="00FB2ACA"/>
    <w:rsid w:val="00FB2E83"/>
    <w:rsid w:val="00FB59ED"/>
    <w:rsid w:val="00FB5AFD"/>
    <w:rsid w:val="00FB5B13"/>
    <w:rsid w:val="00FB673E"/>
    <w:rsid w:val="00FB753B"/>
    <w:rsid w:val="00FB7748"/>
    <w:rsid w:val="00FB7939"/>
    <w:rsid w:val="00FB7B34"/>
    <w:rsid w:val="00FB7EFD"/>
    <w:rsid w:val="00FC0B3E"/>
    <w:rsid w:val="00FC2C46"/>
    <w:rsid w:val="00FC3D57"/>
    <w:rsid w:val="00FC3EB4"/>
    <w:rsid w:val="00FC4574"/>
    <w:rsid w:val="00FC4E6A"/>
    <w:rsid w:val="00FC51B8"/>
    <w:rsid w:val="00FC5F8D"/>
    <w:rsid w:val="00FC5FD1"/>
    <w:rsid w:val="00FC664F"/>
    <w:rsid w:val="00FC6704"/>
    <w:rsid w:val="00FC6C2D"/>
    <w:rsid w:val="00FC6D40"/>
    <w:rsid w:val="00FC6E69"/>
    <w:rsid w:val="00FC726F"/>
    <w:rsid w:val="00FC7E66"/>
    <w:rsid w:val="00FD0E6A"/>
    <w:rsid w:val="00FD16AB"/>
    <w:rsid w:val="00FD1F59"/>
    <w:rsid w:val="00FD2206"/>
    <w:rsid w:val="00FD2E3A"/>
    <w:rsid w:val="00FD38DC"/>
    <w:rsid w:val="00FD3AD3"/>
    <w:rsid w:val="00FD4166"/>
    <w:rsid w:val="00FD5106"/>
    <w:rsid w:val="00FD5270"/>
    <w:rsid w:val="00FD5700"/>
    <w:rsid w:val="00FD581F"/>
    <w:rsid w:val="00FD5EE7"/>
    <w:rsid w:val="00FD6457"/>
    <w:rsid w:val="00FD647D"/>
    <w:rsid w:val="00FD7426"/>
    <w:rsid w:val="00FD755E"/>
    <w:rsid w:val="00FD7CD3"/>
    <w:rsid w:val="00FE0952"/>
    <w:rsid w:val="00FE109E"/>
    <w:rsid w:val="00FE1432"/>
    <w:rsid w:val="00FE184F"/>
    <w:rsid w:val="00FE34B8"/>
    <w:rsid w:val="00FE39D4"/>
    <w:rsid w:val="00FE3D48"/>
    <w:rsid w:val="00FE4006"/>
    <w:rsid w:val="00FE410C"/>
    <w:rsid w:val="00FE4385"/>
    <w:rsid w:val="00FE44C5"/>
    <w:rsid w:val="00FE4835"/>
    <w:rsid w:val="00FE4D54"/>
    <w:rsid w:val="00FE529F"/>
    <w:rsid w:val="00FE5DAF"/>
    <w:rsid w:val="00FE5E8A"/>
    <w:rsid w:val="00FE6539"/>
    <w:rsid w:val="00FE6EDB"/>
    <w:rsid w:val="00FE7359"/>
    <w:rsid w:val="00FE76EA"/>
    <w:rsid w:val="00FE7DA4"/>
    <w:rsid w:val="00FE7E94"/>
    <w:rsid w:val="00FF0097"/>
    <w:rsid w:val="00FF03EA"/>
    <w:rsid w:val="00FF04A6"/>
    <w:rsid w:val="00FF0535"/>
    <w:rsid w:val="00FF1021"/>
    <w:rsid w:val="00FF113A"/>
    <w:rsid w:val="00FF141F"/>
    <w:rsid w:val="00FF1478"/>
    <w:rsid w:val="00FF1736"/>
    <w:rsid w:val="00FF27C0"/>
    <w:rsid w:val="00FF2BCD"/>
    <w:rsid w:val="00FF37A6"/>
    <w:rsid w:val="00FF406D"/>
    <w:rsid w:val="00FF40D4"/>
    <w:rsid w:val="00FF4ED1"/>
    <w:rsid w:val="00FF4FC3"/>
    <w:rsid w:val="00FF5624"/>
    <w:rsid w:val="00FF5CE3"/>
    <w:rsid w:val="00FF6EFC"/>
    <w:rsid w:val="00FF79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14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w:eastAsia="Times New Roman" w:hAnsi="Univers" w:cs="Times New Roman"/>
        <w:sz w:val="26"/>
        <w:szCs w:val="26"/>
        <w:lang w:val="en-AU" w:eastAsia="en-AU" w:bidi="ar-SA"/>
      </w:rPr>
    </w:rPrDefault>
    <w:pPrDefault/>
  </w:docDefaults>
  <w:latentStyles w:defLockedState="1" w:defUIPriority="99" w:defSemiHidden="0" w:defUnhideWhenUsed="0" w:defQFormat="0" w:count="376">
    <w:lsdException w:name="Normal" w:locked="0" w:uiPriority="0" w:qFormat="1"/>
    <w:lsdException w:name="heading 1" w:qFormat="1"/>
    <w:lsdException w:name="heading 2" w:qFormat="1"/>
    <w:lsdException w:name="heading 3" w:qFormat="1"/>
    <w:lsdException w:name="heading 4" w:semiHidden="1" w:uiPriority="9"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5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56"/>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5" w:qFormat="1"/>
    <w:lsdException w:name="Quote" w:semiHidden="1"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semiHidden/>
    <w:qFormat/>
    <w:rsid w:val="00347A6E"/>
    <w:pPr>
      <w:tabs>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firstLine="720"/>
    </w:pPr>
  </w:style>
  <w:style w:type="paragraph" w:styleId="Heading1">
    <w:name w:val="heading 1"/>
    <w:basedOn w:val="Normal"/>
    <w:next w:val="Normal"/>
    <w:uiPriority w:val="99"/>
    <w:qFormat/>
    <w:locked/>
    <w:rsid w:val="00347A6E"/>
    <w:pPr>
      <w:keepNext/>
      <w:numPr>
        <w:numId w:val="5"/>
      </w:numPr>
      <w:ind w:right="1296"/>
      <w:outlineLvl w:val="0"/>
    </w:pPr>
    <w:rPr>
      <w:u w:val="single"/>
    </w:rPr>
  </w:style>
  <w:style w:type="paragraph" w:styleId="Heading2">
    <w:name w:val="heading 2"/>
    <w:basedOn w:val="Normal"/>
    <w:next w:val="Normal"/>
    <w:uiPriority w:val="99"/>
    <w:qFormat/>
    <w:locked/>
    <w:rsid w:val="00347A6E"/>
    <w:pPr>
      <w:keepNext/>
      <w:numPr>
        <w:ilvl w:val="1"/>
        <w:numId w:val="5"/>
      </w:numPr>
      <w:spacing w:before="240" w:after="60"/>
      <w:outlineLvl w:val="1"/>
    </w:pPr>
    <w:rPr>
      <w:rFonts w:ascii="Arial" w:hAnsi="Arial"/>
      <w:b/>
      <w:i/>
      <w:sz w:val="24"/>
    </w:rPr>
  </w:style>
  <w:style w:type="paragraph" w:styleId="Heading3">
    <w:name w:val="heading 3"/>
    <w:basedOn w:val="Normal"/>
    <w:next w:val="Normal"/>
    <w:uiPriority w:val="99"/>
    <w:qFormat/>
    <w:locked/>
    <w:rsid w:val="00347A6E"/>
    <w:pPr>
      <w:keepNext/>
      <w:numPr>
        <w:ilvl w:val="2"/>
        <w:numId w:val="5"/>
      </w:numPr>
      <w:spacing w:before="240" w:after="60"/>
      <w:outlineLvl w:val="2"/>
    </w:pPr>
    <w:rPr>
      <w:rFonts w:ascii="Arial" w:hAnsi="Arial"/>
      <w:sz w:val="24"/>
    </w:rPr>
  </w:style>
  <w:style w:type="paragraph" w:styleId="Heading4">
    <w:name w:val="heading 4"/>
    <w:basedOn w:val="Heading3"/>
    <w:next w:val="Normal"/>
    <w:link w:val="Heading4Char"/>
    <w:uiPriority w:val="9"/>
    <w:unhideWhenUsed/>
    <w:qFormat/>
    <w:locked/>
    <w:rsid w:val="009F6ECF"/>
    <w:pPr>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s>
      <w:spacing w:before="120" w:after="120" w:line="240" w:lineRule="auto"/>
      <w:ind w:left="709" w:right="0"/>
      <w:outlineLvl w:val="3"/>
    </w:pPr>
    <w:rPr>
      <w:rFonts w:eastAsia="Calibri" w:cs="Arial"/>
      <w:i/>
      <w:sz w:val="22"/>
      <w:szCs w:val="22"/>
    </w:rPr>
  </w:style>
  <w:style w:type="character" w:default="1" w:styleId="DefaultParagraphFont">
    <w:name w:val="Default Paragraph Font"/>
    <w:uiPriority w:val="1"/>
    <w:semiHidden/>
    <w:unhideWhenUsed/>
    <w:rsid w:val="00347A6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47A6E"/>
  </w:style>
  <w:style w:type="paragraph" w:styleId="Footer">
    <w:name w:val="footer"/>
    <w:basedOn w:val="Normal"/>
    <w:link w:val="FooterChar"/>
    <w:uiPriority w:val="43"/>
    <w:locked/>
    <w:rsid w:val="00347A6E"/>
    <w:pPr>
      <w:tabs>
        <w:tab w:val="center" w:pos="4153"/>
        <w:tab w:val="right" w:pos="8306"/>
      </w:tabs>
      <w:spacing w:after="240" w:line="240" w:lineRule="exact"/>
      <w:ind w:firstLine="0"/>
    </w:pPr>
  </w:style>
  <w:style w:type="paragraph" w:customStyle="1" w:styleId="FootInd">
    <w:name w:val="FootInd"/>
    <w:basedOn w:val="FootnoteText"/>
    <w:uiPriority w:val="45"/>
    <w:qFormat/>
    <w:locked/>
    <w:rsid w:val="00347A6E"/>
    <w:pPr>
      <w:tabs>
        <w:tab w:val="clear" w:pos="720"/>
        <w:tab w:val="clear" w:pos="1440"/>
        <w:tab w:val="clear" w:pos="2160"/>
        <w:tab w:val="clear" w:pos="2880"/>
        <w:tab w:val="clear" w:pos="3600"/>
        <w:tab w:val="clear" w:pos="4320"/>
        <w:tab w:val="clear" w:pos="5040"/>
        <w:tab w:val="clear" w:pos="5760"/>
        <w:tab w:val="clear" w:pos="6480"/>
        <w:tab w:val="clear" w:pos="7200"/>
      </w:tabs>
      <w:ind w:left="1440" w:right="1077" w:firstLine="0"/>
    </w:pPr>
  </w:style>
  <w:style w:type="paragraph" w:customStyle="1" w:styleId="leftright">
    <w:name w:val="leftright"/>
    <w:basedOn w:val="Normal"/>
    <w:uiPriority w:val="33"/>
    <w:qFormat/>
    <w:locked/>
    <w:rsid w:val="00347A6E"/>
    <w:pPr>
      <w:spacing w:before="240" w:line="240" w:lineRule="exact"/>
      <w:ind w:left="720" w:right="794" w:firstLine="0"/>
    </w:pPr>
  </w:style>
  <w:style w:type="paragraph" w:styleId="FootnoteText">
    <w:name w:val="footnote text"/>
    <w:basedOn w:val="Normal"/>
    <w:link w:val="FootnoteTextChar"/>
    <w:uiPriority w:val="53"/>
    <w:locked/>
    <w:rsid w:val="00347A6E"/>
    <w:pPr>
      <w:spacing w:after="240" w:line="240" w:lineRule="exact"/>
      <w:ind w:left="510" w:hanging="510"/>
    </w:pPr>
  </w:style>
  <w:style w:type="character" w:styleId="FootnoteReference">
    <w:name w:val="footnote reference"/>
    <w:uiPriority w:val="51"/>
    <w:locked/>
    <w:rsid w:val="00347A6E"/>
    <w:rPr>
      <w:b/>
      <w:sz w:val="28"/>
      <w:vertAlign w:val="superscript"/>
    </w:rPr>
  </w:style>
  <w:style w:type="paragraph" w:customStyle="1" w:styleId="FootIndAgain">
    <w:name w:val="FootIndAgain"/>
    <w:basedOn w:val="FootnoteText"/>
    <w:uiPriority w:val="47"/>
    <w:qFormat/>
    <w:locked/>
    <w:rsid w:val="00347A6E"/>
    <w:pPr>
      <w:tabs>
        <w:tab w:val="clear" w:pos="720"/>
        <w:tab w:val="clear" w:pos="1440"/>
        <w:tab w:val="clear" w:pos="2160"/>
        <w:tab w:val="clear" w:pos="2880"/>
        <w:tab w:val="clear" w:pos="3600"/>
        <w:tab w:val="clear" w:pos="4320"/>
        <w:tab w:val="clear" w:pos="5040"/>
        <w:tab w:val="clear" w:pos="5760"/>
        <w:tab w:val="clear" w:pos="6480"/>
        <w:tab w:val="clear" w:pos="7200"/>
      </w:tabs>
      <w:ind w:left="2160" w:right="1077" w:firstLine="0"/>
    </w:pPr>
  </w:style>
  <w:style w:type="paragraph" w:customStyle="1" w:styleId="FootNorm">
    <w:name w:val="FootNorm"/>
    <w:basedOn w:val="FootnoteText"/>
    <w:uiPriority w:val="49"/>
    <w:qFormat/>
    <w:locked/>
    <w:rsid w:val="00347A6E"/>
    <w:pPr>
      <w:ind w:firstLine="0"/>
    </w:pPr>
  </w:style>
  <w:style w:type="character" w:customStyle="1" w:styleId="Heading1Char">
    <w:name w:val="Heading 1 Char"/>
    <w:uiPriority w:val="99"/>
    <w:locked/>
    <w:rsid w:val="00347A6E"/>
    <w:rPr>
      <w:rFonts w:ascii="Univers" w:hAnsi="Univers"/>
      <w:sz w:val="26"/>
      <w:u w:val="single"/>
      <w:lang w:val="en-AU"/>
    </w:rPr>
  </w:style>
  <w:style w:type="character" w:customStyle="1" w:styleId="Heading2Char">
    <w:name w:val="Heading 2 Char"/>
    <w:uiPriority w:val="99"/>
    <w:locked/>
    <w:rsid w:val="00347A6E"/>
    <w:rPr>
      <w:rFonts w:ascii="Arial" w:hAnsi="Arial"/>
      <w:b/>
      <w:i/>
      <w:sz w:val="24"/>
      <w:lang w:val="en-AU"/>
    </w:rPr>
  </w:style>
  <w:style w:type="character" w:customStyle="1" w:styleId="Heading3Char">
    <w:name w:val="Heading 3 Char"/>
    <w:uiPriority w:val="99"/>
    <w:locked/>
    <w:rsid w:val="00347A6E"/>
    <w:rPr>
      <w:rFonts w:ascii="Arial" w:hAnsi="Arial"/>
      <w:sz w:val="24"/>
      <w:lang w:val="en-AU"/>
    </w:rPr>
  </w:style>
  <w:style w:type="paragraph" w:customStyle="1" w:styleId="NormalHC">
    <w:name w:val="Normal HC"/>
    <w:basedOn w:val="Normal"/>
    <w:uiPriority w:val="27"/>
    <w:qFormat/>
    <w:locked/>
    <w:rsid w:val="00347A6E"/>
    <w:pPr>
      <w:numPr>
        <w:numId w:val="16"/>
      </w:numPr>
      <w:spacing w:after="480"/>
      <w:ind w:left="0" w:hanging="720"/>
    </w:pPr>
  </w:style>
  <w:style w:type="paragraph" w:customStyle="1" w:styleId="HeadingFirst">
    <w:name w:val="Heading First"/>
    <w:basedOn w:val="NormalHC"/>
    <w:next w:val="HeadingV"/>
    <w:uiPriority w:val="15"/>
    <w:qFormat/>
    <w:locked/>
    <w:rsid w:val="00347A6E"/>
    <w:pPr>
      <w:keepNext/>
      <w:numPr>
        <w:numId w:val="0"/>
      </w:numPr>
      <w:jc w:val="center"/>
      <w:outlineLvl w:val="1"/>
    </w:pPr>
    <w:rPr>
      <w:caps/>
      <w:u w:val="single"/>
    </w:rPr>
  </w:style>
  <w:style w:type="paragraph" w:customStyle="1" w:styleId="HeadingL1">
    <w:name w:val="Heading L1"/>
    <w:basedOn w:val="NormalHC"/>
    <w:next w:val="NormalHC"/>
    <w:uiPriority w:val="21"/>
    <w:qFormat/>
    <w:locked/>
    <w:rsid w:val="00347A6E"/>
    <w:pPr>
      <w:keepNext/>
      <w:numPr>
        <w:numId w:val="0"/>
      </w:numPr>
      <w:outlineLvl w:val="2"/>
    </w:pPr>
    <w:rPr>
      <w:b/>
      <w:szCs w:val="20"/>
    </w:rPr>
  </w:style>
  <w:style w:type="paragraph" w:customStyle="1" w:styleId="HeadingL2">
    <w:name w:val="Heading L2"/>
    <w:basedOn w:val="HeadingL1"/>
    <w:next w:val="NormalHC"/>
    <w:uiPriority w:val="23"/>
    <w:qFormat/>
    <w:locked/>
    <w:rsid w:val="00347A6E"/>
    <w:pPr>
      <w:outlineLvl w:val="3"/>
    </w:pPr>
    <w:rPr>
      <w:b w:val="0"/>
      <w:i/>
    </w:rPr>
  </w:style>
  <w:style w:type="paragraph" w:customStyle="1" w:styleId="HeadingMatter">
    <w:name w:val="Heading Matter"/>
    <w:basedOn w:val="NormalHC"/>
    <w:next w:val="HeadingFirst"/>
    <w:uiPriority w:val="13"/>
    <w:qFormat/>
    <w:locked/>
    <w:rsid w:val="00347A6E"/>
    <w:pPr>
      <w:keepNext/>
      <w:numPr>
        <w:numId w:val="0"/>
      </w:numPr>
      <w:spacing w:after="0"/>
      <w:outlineLvl w:val="0"/>
    </w:pPr>
    <w:rPr>
      <w:u w:val="single"/>
    </w:rPr>
  </w:style>
  <w:style w:type="paragraph" w:customStyle="1" w:styleId="HeadingSecond">
    <w:name w:val="Heading Second"/>
    <w:basedOn w:val="HeadingFirst"/>
    <w:next w:val="NormalHC"/>
    <w:uiPriority w:val="19"/>
    <w:qFormat/>
    <w:locked/>
    <w:rsid w:val="00347A6E"/>
    <w:pPr>
      <w:keepNext w:val="0"/>
    </w:pPr>
  </w:style>
  <w:style w:type="paragraph" w:customStyle="1" w:styleId="HeadingV">
    <w:name w:val="Heading V"/>
    <w:basedOn w:val="HeadingFirst"/>
    <w:next w:val="HeadingSecond"/>
    <w:uiPriority w:val="17"/>
    <w:qFormat/>
    <w:locked/>
    <w:rsid w:val="00347A6E"/>
    <w:rPr>
      <w:caps w:val="0"/>
      <w:u w:val="none"/>
    </w:rPr>
  </w:style>
  <w:style w:type="paragraph" w:customStyle="1" w:styleId="LeftrightafterHC">
    <w:name w:val="Leftright after HC"/>
    <w:basedOn w:val="Normal"/>
    <w:next w:val="leftright"/>
    <w:uiPriority w:val="31"/>
    <w:qFormat/>
    <w:locked/>
    <w:rsid w:val="00347A6E"/>
    <w:pPr>
      <w:spacing w:before="720" w:line="240" w:lineRule="exact"/>
      <w:ind w:left="720" w:right="794" w:firstLine="0"/>
    </w:pPr>
  </w:style>
  <w:style w:type="paragraph" w:customStyle="1" w:styleId="LRIndentafterHC">
    <w:name w:val="LR Indent after HC"/>
    <w:basedOn w:val="LeftrightafterHC"/>
    <w:next w:val="leftright"/>
    <w:uiPriority w:val="39"/>
    <w:qFormat/>
    <w:locked/>
    <w:rsid w:val="00347A6E"/>
    <w:pPr>
      <w:ind w:firstLine="720"/>
    </w:pPr>
  </w:style>
  <w:style w:type="paragraph" w:customStyle="1" w:styleId="LeftrightHanging">
    <w:name w:val="LeftrightHanging"/>
    <w:basedOn w:val="NormalHC"/>
    <w:uiPriority w:val="35"/>
    <w:qFormat/>
    <w:locked/>
    <w:rsid w:val="00347A6E"/>
    <w:pPr>
      <w:numPr>
        <w:numId w:val="0"/>
      </w:numPr>
      <w:spacing w:before="240" w:after="0" w:line="240" w:lineRule="exact"/>
      <w:ind w:left="1440" w:right="794" w:hanging="720"/>
    </w:pPr>
    <w:rPr>
      <w:szCs w:val="20"/>
    </w:rPr>
  </w:style>
  <w:style w:type="paragraph" w:customStyle="1" w:styleId="LRIndent">
    <w:name w:val="LR Indent"/>
    <w:basedOn w:val="Normal"/>
    <w:uiPriority w:val="41"/>
    <w:qFormat/>
    <w:locked/>
    <w:rsid w:val="00347A6E"/>
    <w:pPr>
      <w:tabs>
        <w:tab w:val="clear" w:pos="720"/>
        <w:tab w:val="clear" w:pos="1440"/>
        <w:tab w:val="clear" w:pos="2160"/>
        <w:tab w:val="clear" w:pos="2880"/>
        <w:tab w:val="clear" w:pos="3600"/>
        <w:tab w:val="clear" w:pos="4320"/>
        <w:tab w:val="clear" w:pos="5040"/>
        <w:tab w:val="clear" w:pos="5760"/>
        <w:tab w:val="clear" w:pos="6480"/>
        <w:tab w:val="clear" w:pos="7200"/>
      </w:tabs>
      <w:spacing w:before="240" w:line="240" w:lineRule="exact"/>
      <w:ind w:left="720" w:right="794"/>
    </w:pPr>
  </w:style>
  <w:style w:type="paragraph" w:customStyle="1" w:styleId="LRHangingMore">
    <w:name w:val="LRHangingMore"/>
    <w:basedOn w:val="LeftrightHanging"/>
    <w:uiPriority w:val="37"/>
    <w:qFormat/>
    <w:locked/>
    <w:rsid w:val="00347A6E"/>
    <w:pPr>
      <w:spacing w:before="200"/>
      <w:ind w:left="2160"/>
    </w:pPr>
  </w:style>
  <w:style w:type="paragraph" w:customStyle="1" w:styleId="NormalafterHd2nd">
    <w:name w:val="Normal after Hd2nd"/>
    <w:basedOn w:val="NormalHC"/>
    <w:next w:val="NormalHC"/>
    <w:uiPriority w:val="29"/>
    <w:locked/>
    <w:rsid w:val="00347A6E"/>
    <w:pPr>
      <w:numPr>
        <w:numId w:val="0"/>
      </w:numPr>
      <w:spacing w:before="1000"/>
    </w:pPr>
  </w:style>
  <w:style w:type="character" w:customStyle="1" w:styleId="NormalHCChar">
    <w:name w:val="Normal HC Char"/>
    <w:uiPriority w:val="99"/>
    <w:semiHidden/>
    <w:locked/>
    <w:rsid w:val="00347A6E"/>
    <w:rPr>
      <w:rFonts w:ascii="Univers" w:hAnsi="Univers"/>
      <w:sz w:val="26"/>
      <w:szCs w:val="26"/>
    </w:rPr>
  </w:style>
  <w:style w:type="character" w:customStyle="1" w:styleId="StyleFootnoteReferenceChar">
    <w:name w:val="Style Footnote Reference Char"/>
    <w:uiPriority w:val="99"/>
    <w:semiHidden/>
    <w:locked/>
    <w:rsid w:val="00347A6E"/>
    <w:rPr>
      <w:rFonts w:ascii="Univers" w:hAnsi="Univers"/>
      <w:sz w:val="26"/>
      <w:szCs w:val="26"/>
      <w:vertAlign w:val="superscript"/>
      <w:lang w:val="en-AU" w:eastAsia="en-AU" w:bidi="ar-SA"/>
    </w:rPr>
  </w:style>
  <w:style w:type="character" w:customStyle="1" w:styleId="FooterChar">
    <w:name w:val="Footer Char"/>
    <w:basedOn w:val="DefaultParagraphFont"/>
    <w:link w:val="Footer"/>
    <w:uiPriority w:val="43"/>
    <w:rsid w:val="00347A6E"/>
  </w:style>
  <w:style w:type="paragraph" w:customStyle="1" w:styleId="HeadingJudgment">
    <w:name w:val="Heading Judgment"/>
    <w:basedOn w:val="Normal"/>
    <w:uiPriority w:val="59"/>
    <w:qFormat/>
    <w:locked/>
    <w:rsid w:val="00347A6E"/>
    <w:pPr>
      <w:tabs>
        <w:tab w:val="clear" w:pos="720"/>
        <w:tab w:val="clear" w:pos="1440"/>
        <w:tab w:val="clear" w:pos="2160"/>
        <w:tab w:val="clear" w:pos="2880"/>
        <w:tab w:val="clear" w:pos="3600"/>
        <w:tab w:val="clear" w:pos="4320"/>
        <w:tab w:val="clear" w:pos="5040"/>
        <w:tab w:val="clear" w:pos="5760"/>
        <w:tab w:val="clear" w:pos="6480"/>
        <w:tab w:val="clear" w:pos="7200"/>
        <w:tab w:val="left" w:pos="6237"/>
      </w:tabs>
      <w:spacing w:line="240" w:lineRule="auto"/>
      <w:ind w:right="0" w:firstLine="0"/>
    </w:pPr>
  </w:style>
  <w:style w:type="paragraph" w:customStyle="1" w:styleId="ClosingTextSign">
    <w:name w:val="Closing Text Sign"/>
    <w:basedOn w:val="Normal"/>
    <w:uiPriority w:val="99"/>
    <w:semiHidden/>
    <w:qFormat/>
    <w:locked/>
    <w:rsid w:val="00347A6E"/>
    <w:pPr>
      <w:tabs>
        <w:tab w:val="clear" w:pos="720"/>
        <w:tab w:val="clear" w:pos="1440"/>
        <w:tab w:val="clear" w:pos="2160"/>
        <w:tab w:val="clear" w:pos="2880"/>
        <w:tab w:val="clear" w:pos="3600"/>
        <w:tab w:val="clear" w:pos="4320"/>
        <w:tab w:val="clear" w:pos="5040"/>
        <w:tab w:val="clear" w:pos="5760"/>
        <w:tab w:val="clear" w:pos="6480"/>
        <w:tab w:val="clear" w:pos="7200"/>
        <w:tab w:val="right" w:leader="underscore" w:pos="8505"/>
      </w:tabs>
      <w:spacing w:line="840" w:lineRule="exact"/>
      <w:ind w:left="2268" w:right="0" w:firstLine="0"/>
      <w:jc w:val="both"/>
    </w:pPr>
    <w:rPr>
      <w:sz w:val="20"/>
    </w:rPr>
  </w:style>
  <w:style w:type="paragraph" w:customStyle="1" w:styleId="HeadingL3">
    <w:name w:val="Heading L3"/>
    <w:basedOn w:val="HeadingL1"/>
    <w:next w:val="NormalHC"/>
    <w:uiPriority w:val="25"/>
    <w:qFormat/>
    <w:locked/>
    <w:rsid w:val="00347A6E"/>
    <w:pPr>
      <w:outlineLvl w:val="4"/>
    </w:pPr>
    <w:rPr>
      <w:b w:val="0"/>
    </w:rPr>
  </w:style>
  <w:style w:type="character" w:styleId="PageNumber">
    <w:name w:val="page number"/>
    <w:basedOn w:val="DefaultParagraphFont"/>
    <w:uiPriority w:val="57"/>
    <w:locked/>
    <w:rsid w:val="00347A6E"/>
  </w:style>
  <w:style w:type="paragraph" w:styleId="BalloonText">
    <w:name w:val="Balloon Text"/>
    <w:basedOn w:val="Normal"/>
    <w:link w:val="BalloonTextChar"/>
    <w:semiHidden/>
    <w:locked/>
    <w:rsid w:val="00347A6E"/>
    <w:rPr>
      <w:rFonts w:ascii="Tahoma" w:hAnsi="Tahoma" w:cs="Tahoma"/>
      <w:sz w:val="16"/>
      <w:szCs w:val="16"/>
      <w:lang w:eastAsia="en-US"/>
    </w:rPr>
  </w:style>
  <w:style w:type="character" w:customStyle="1" w:styleId="BalloonTextChar">
    <w:name w:val="Balloon Text Char"/>
    <w:basedOn w:val="DefaultParagraphFont"/>
    <w:link w:val="BalloonText"/>
    <w:semiHidden/>
    <w:rsid w:val="00347A6E"/>
    <w:rPr>
      <w:rFonts w:ascii="Tahoma" w:hAnsi="Tahoma" w:cs="Tahoma"/>
      <w:sz w:val="16"/>
      <w:szCs w:val="16"/>
      <w:lang w:eastAsia="en-US"/>
    </w:rPr>
  </w:style>
  <w:style w:type="paragraph" w:customStyle="1" w:styleId="ClosingText">
    <w:name w:val="Closing Text"/>
    <w:basedOn w:val="Normal"/>
    <w:uiPriority w:val="98"/>
    <w:semiHidden/>
    <w:qFormat/>
    <w:locked/>
    <w:rsid w:val="00347A6E"/>
    <w:pPr>
      <w:spacing w:line="240" w:lineRule="auto"/>
      <w:ind w:left="2268" w:right="0" w:firstLine="0"/>
      <w:jc w:val="both"/>
    </w:pPr>
    <w:rPr>
      <w:sz w:val="20"/>
      <w:szCs w:val="20"/>
      <w:lang w:eastAsia="en-US"/>
    </w:rPr>
  </w:style>
  <w:style w:type="paragraph" w:styleId="EnvelopeAddress">
    <w:name w:val="envelope address"/>
    <w:basedOn w:val="Normal"/>
    <w:uiPriority w:val="99"/>
    <w:semiHidden/>
    <w:unhideWhenUsed/>
    <w:locked/>
    <w:rsid w:val="00347A6E"/>
    <w:pPr>
      <w:framePr w:w="7920" w:h="1980" w:hRule="exact" w:hSpace="180" w:wrap="auto" w:hAnchor="page" w:xAlign="center" w:yAlign="bottom"/>
      <w:spacing w:line="240" w:lineRule="auto"/>
      <w:ind w:left="2880"/>
    </w:pPr>
    <w:rPr>
      <w:rFonts w:ascii="Cambria" w:hAnsi="Cambria"/>
      <w:sz w:val="24"/>
      <w:szCs w:val="24"/>
      <w:lang w:eastAsia="en-US"/>
    </w:rPr>
  </w:style>
  <w:style w:type="paragraph" w:styleId="EnvelopeReturn">
    <w:name w:val="envelope return"/>
    <w:basedOn w:val="Normal"/>
    <w:uiPriority w:val="99"/>
    <w:semiHidden/>
    <w:unhideWhenUsed/>
    <w:locked/>
    <w:rsid w:val="00347A6E"/>
    <w:pPr>
      <w:spacing w:line="240" w:lineRule="auto"/>
    </w:pPr>
    <w:rPr>
      <w:rFonts w:ascii="Cambria" w:hAnsi="Cambria"/>
      <w:sz w:val="20"/>
      <w:szCs w:val="20"/>
      <w:lang w:eastAsia="en-US"/>
    </w:rPr>
  </w:style>
  <w:style w:type="paragraph" w:styleId="Header">
    <w:name w:val="header"/>
    <w:basedOn w:val="Normal"/>
    <w:link w:val="HeaderChar"/>
    <w:uiPriority w:val="98"/>
    <w:semiHidden/>
    <w:locked/>
    <w:rsid w:val="00347A6E"/>
    <w:pPr>
      <w:tabs>
        <w:tab w:val="clear" w:pos="720"/>
        <w:tab w:val="clear" w:pos="1440"/>
        <w:tab w:val="clear" w:pos="2160"/>
        <w:tab w:val="clear" w:pos="2880"/>
        <w:tab w:val="clear" w:pos="3600"/>
        <w:tab w:val="clear" w:pos="4320"/>
        <w:tab w:val="clear" w:pos="5040"/>
        <w:tab w:val="clear" w:pos="5760"/>
        <w:tab w:val="clear" w:pos="6480"/>
        <w:tab w:val="clear" w:pos="7200"/>
        <w:tab w:val="center" w:pos="4153"/>
        <w:tab w:val="right" w:pos="8306"/>
      </w:tabs>
    </w:pPr>
    <w:rPr>
      <w:szCs w:val="20"/>
      <w:lang w:eastAsia="en-US"/>
    </w:rPr>
  </w:style>
  <w:style w:type="character" w:customStyle="1" w:styleId="HeaderChar">
    <w:name w:val="Header Char"/>
    <w:link w:val="Header"/>
    <w:uiPriority w:val="98"/>
    <w:semiHidden/>
    <w:rsid w:val="00347A6E"/>
    <w:rPr>
      <w:szCs w:val="20"/>
      <w:lang w:eastAsia="en-US"/>
    </w:rPr>
  </w:style>
  <w:style w:type="paragraph" w:customStyle="1" w:styleId="NormalBody">
    <w:name w:val="Normal Body"/>
    <w:basedOn w:val="NormalHC"/>
    <w:uiPriority w:val="28"/>
    <w:qFormat/>
    <w:locked/>
    <w:rsid w:val="00347A6E"/>
    <w:pPr>
      <w:numPr>
        <w:numId w:val="0"/>
      </w:numPr>
    </w:pPr>
    <w:rPr>
      <w:lang w:eastAsia="en-US"/>
    </w:rPr>
  </w:style>
  <w:style w:type="paragraph" w:customStyle="1" w:styleId="StyleFootnoteReference">
    <w:name w:val="Style Footnote Reference"/>
    <w:basedOn w:val="Normal"/>
    <w:next w:val="Normal"/>
    <w:semiHidden/>
    <w:rsid w:val="00347A6E"/>
    <w:rPr>
      <w:vertAlign w:val="superscript"/>
      <w:lang w:eastAsia="en-US"/>
    </w:rPr>
  </w:style>
  <w:style w:type="paragraph" w:styleId="ListNumber">
    <w:name w:val="List Number"/>
    <w:basedOn w:val="Normal"/>
    <w:uiPriority w:val="56"/>
    <w:locked/>
    <w:rsid w:val="00347A6E"/>
    <w:pPr>
      <w:numPr>
        <w:numId w:val="11"/>
      </w:numPr>
      <w:contextualSpacing/>
    </w:pPr>
  </w:style>
  <w:style w:type="paragraph" w:customStyle="1" w:styleId="FixListStyle">
    <w:name w:val="FixListStyle"/>
    <w:basedOn w:val="Normal"/>
    <w:uiPriority w:val="99"/>
    <w:qFormat/>
    <w:rsid w:val="00347A6E"/>
    <w:pPr>
      <w:numPr>
        <w:numId w:val="19"/>
      </w:numPr>
      <w:spacing w:after="480"/>
      <w:ind w:left="0" w:hanging="720"/>
    </w:pPr>
  </w:style>
  <w:style w:type="paragraph" w:customStyle="1" w:styleId="CatchwordsBold">
    <w:name w:val="Catchwords Bold"/>
    <w:basedOn w:val="Normal"/>
    <w:link w:val="CatchwordsBoldChar"/>
    <w:qFormat/>
    <w:rsid w:val="00347A6E"/>
    <w:pPr>
      <w:tabs>
        <w:tab w:val="clear" w:pos="4320"/>
        <w:tab w:val="clear" w:pos="5040"/>
        <w:tab w:val="clear" w:pos="5760"/>
        <w:tab w:val="clear" w:pos="7200"/>
      </w:tabs>
      <w:spacing w:line="280" w:lineRule="exact"/>
      <w:ind w:right="0" w:firstLine="0"/>
      <w:jc w:val="both"/>
    </w:pPr>
    <w:rPr>
      <w:rFonts w:ascii="Times New Roman" w:hAnsi="Times New Roman"/>
      <w:b/>
      <w:szCs w:val="20"/>
    </w:rPr>
  </w:style>
  <w:style w:type="character" w:customStyle="1" w:styleId="CatchwordsBoldChar">
    <w:name w:val="Catchwords Bold Char"/>
    <w:link w:val="CatchwordsBold"/>
    <w:rsid w:val="00347A6E"/>
    <w:rPr>
      <w:rFonts w:ascii="Times New Roman" w:hAnsi="Times New Roman"/>
      <w:b/>
      <w:szCs w:val="20"/>
    </w:rPr>
  </w:style>
  <w:style w:type="paragraph" w:customStyle="1" w:styleId="CatchwordsRight">
    <w:name w:val="Catchwords Right"/>
    <w:basedOn w:val="Normal"/>
    <w:link w:val="CatchwordsRightChar"/>
    <w:qFormat/>
    <w:rsid w:val="00347A6E"/>
    <w:pPr>
      <w:tabs>
        <w:tab w:val="clear" w:pos="4320"/>
        <w:tab w:val="clear" w:pos="5040"/>
        <w:tab w:val="clear" w:pos="5760"/>
        <w:tab w:val="clear" w:pos="7200"/>
      </w:tabs>
      <w:spacing w:line="280" w:lineRule="exact"/>
      <w:ind w:right="0" w:firstLine="0"/>
      <w:jc w:val="right"/>
    </w:pPr>
    <w:rPr>
      <w:rFonts w:ascii="Times New Roman" w:hAnsi="Times New Roman"/>
      <w:szCs w:val="20"/>
    </w:rPr>
  </w:style>
  <w:style w:type="character" w:customStyle="1" w:styleId="CatchwordsRightChar">
    <w:name w:val="Catchwords Right Char"/>
    <w:link w:val="CatchwordsRight"/>
    <w:rsid w:val="00347A6E"/>
    <w:rPr>
      <w:rFonts w:ascii="Times New Roman" w:hAnsi="Times New Roman"/>
      <w:szCs w:val="20"/>
    </w:rPr>
  </w:style>
  <w:style w:type="paragraph" w:customStyle="1" w:styleId="CatchwordsText">
    <w:name w:val="Catchwords Text"/>
    <w:basedOn w:val="Normal"/>
    <w:link w:val="CatchwordsTextChar"/>
    <w:qFormat/>
    <w:rsid w:val="00347A6E"/>
    <w:pPr>
      <w:tabs>
        <w:tab w:val="clear" w:pos="4320"/>
        <w:tab w:val="clear" w:pos="5040"/>
        <w:tab w:val="clear" w:pos="5760"/>
        <w:tab w:val="clear" w:pos="7200"/>
      </w:tabs>
      <w:spacing w:line="240" w:lineRule="auto"/>
      <w:ind w:right="0" w:firstLine="0"/>
      <w:jc w:val="both"/>
    </w:pPr>
    <w:rPr>
      <w:rFonts w:ascii="Times New Roman" w:hAnsi="Times New Roman"/>
      <w:szCs w:val="20"/>
    </w:rPr>
  </w:style>
  <w:style w:type="character" w:customStyle="1" w:styleId="CatchwordsTextChar">
    <w:name w:val="Catchwords Text Char"/>
    <w:link w:val="CatchwordsText"/>
    <w:rsid w:val="00347A6E"/>
    <w:rPr>
      <w:rFonts w:ascii="Times New Roman" w:hAnsi="Times New Roman"/>
      <w:szCs w:val="20"/>
    </w:rPr>
  </w:style>
  <w:style w:type="paragraph" w:customStyle="1" w:styleId="CenteredBorder">
    <w:name w:val="Centered Border"/>
    <w:qFormat/>
    <w:rsid w:val="00347A6E"/>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CentreBold">
    <w:name w:val="Order Centre Bold"/>
    <w:rsid w:val="00347A6E"/>
    <w:pPr>
      <w:jc w:val="center"/>
    </w:pPr>
    <w:rPr>
      <w:rFonts w:ascii="Times New Roman" w:hAnsi="Times New Roman"/>
      <w:b/>
      <w:bCs/>
      <w:szCs w:val="20"/>
      <w:lang w:val="en-GB"/>
    </w:rPr>
  </w:style>
  <w:style w:type="character" w:customStyle="1" w:styleId="OrderCentred">
    <w:name w:val="Order Centred"/>
    <w:semiHidden/>
    <w:rsid w:val="00347A6E"/>
    <w:rPr>
      <w:b/>
      <w:bCs/>
      <w:sz w:val="26"/>
    </w:rPr>
  </w:style>
  <w:style w:type="paragraph" w:customStyle="1" w:styleId="OrdersTopLine">
    <w:name w:val="Orders TopLine"/>
    <w:qFormat/>
    <w:rsid w:val="00347A6E"/>
    <w:pPr>
      <w:spacing w:line="240" w:lineRule="atLeast"/>
      <w:ind w:right="17"/>
      <w:jc w:val="center"/>
      <w:outlineLvl w:val="0"/>
    </w:pPr>
    <w:rPr>
      <w:rFonts w:ascii="Times New Roman" w:hAnsi="Times New Roman"/>
      <w:b/>
      <w:bCs/>
      <w:kern w:val="28"/>
      <w:sz w:val="48"/>
      <w:szCs w:val="20"/>
      <w:lang w:val="en-GB" w:eastAsia="en-US"/>
    </w:rPr>
  </w:style>
  <w:style w:type="paragraph" w:customStyle="1" w:styleId="OrdersBody">
    <w:name w:val="Orders Body"/>
    <w:basedOn w:val="Normal"/>
    <w:qFormat/>
    <w:rsid w:val="00347A6E"/>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lang w:val="en-GB"/>
    </w:rPr>
  </w:style>
  <w:style w:type="paragraph" w:customStyle="1" w:styleId="OrdersBodyHeading">
    <w:name w:val="Orders Body Heading"/>
    <w:basedOn w:val="Normal"/>
    <w:qFormat/>
    <w:rsid w:val="00347A6E"/>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lang w:val="en-GB"/>
    </w:rPr>
  </w:style>
  <w:style w:type="paragraph" w:customStyle="1" w:styleId="OrdersCentre">
    <w:name w:val="Orders Centre"/>
    <w:qFormat/>
    <w:rsid w:val="00347A6E"/>
    <w:pPr>
      <w:tabs>
        <w:tab w:val="left" w:pos="720"/>
        <w:tab w:val="left" w:pos="1440"/>
      </w:tabs>
      <w:ind w:right="17"/>
      <w:jc w:val="center"/>
    </w:pPr>
    <w:rPr>
      <w:rFonts w:ascii="Times New Roman" w:hAnsi="Times New Roman"/>
      <w:szCs w:val="20"/>
      <w:lang w:val="en-GB"/>
    </w:rPr>
  </w:style>
  <w:style w:type="paragraph" w:customStyle="1" w:styleId="OrdersCentreItalics">
    <w:name w:val="Orders Centre Italics"/>
    <w:basedOn w:val="Normal"/>
    <w:qFormat/>
    <w:rsid w:val="00347A6E"/>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lang w:val="en-GB"/>
    </w:rPr>
  </w:style>
  <w:style w:type="paragraph" w:customStyle="1" w:styleId="OrdersIndentLevel1a">
    <w:name w:val="Orders Indent Level 1 (a)"/>
    <w:basedOn w:val="Normal"/>
    <w:link w:val="OrdersIndentLevel1aChar"/>
    <w:qFormat/>
    <w:rsid w:val="00347A6E"/>
    <w:pPr>
      <w:tabs>
        <w:tab w:val="clear" w:pos="720"/>
        <w:tab w:val="clear" w:pos="1440"/>
        <w:tab w:val="clear" w:pos="2160"/>
        <w:tab w:val="clear" w:pos="4320"/>
        <w:tab w:val="clear" w:pos="5040"/>
        <w:tab w:val="clear" w:pos="5760"/>
        <w:tab w:val="clear" w:pos="7200"/>
        <w:tab w:val="left" w:pos="709"/>
        <w:tab w:val="left" w:pos="1418"/>
      </w:tabs>
      <w:spacing w:line="240" w:lineRule="auto"/>
      <w:ind w:left="1418" w:right="0" w:hanging="709"/>
      <w:jc w:val="both"/>
    </w:pPr>
    <w:rPr>
      <w:rFonts w:ascii="Times New Roman" w:hAnsi="Times New Roman"/>
      <w:i/>
      <w:lang w:eastAsia="en-US"/>
    </w:rPr>
  </w:style>
  <w:style w:type="character" w:customStyle="1" w:styleId="OrdersIndentLevel1aChar">
    <w:name w:val="Orders Indent Level 1 (a) Char"/>
    <w:link w:val="OrdersIndentLevel1a"/>
    <w:rsid w:val="00347A6E"/>
    <w:rPr>
      <w:rFonts w:ascii="Times New Roman" w:hAnsi="Times New Roman"/>
      <w:i/>
      <w:lang w:eastAsia="en-US"/>
    </w:rPr>
  </w:style>
  <w:style w:type="paragraph" w:customStyle="1" w:styleId="OrdersIndentLevel2i">
    <w:name w:val="Orders Indent Level 2 (i)"/>
    <w:basedOn w:val="Normal"/>
    <w:link w:val="OrdersIndentLevel2iChar"/>
    <w:qFormat/>
    <w:rsid w:val="00347A6E"/>
    <w:pPr>
      <w:tabs>
        <w:tab w:val="clear" w:pos="720"/>
        <w:tab w:val="clear" w:pos="1440"/>
        <w:tab w:val="clear" w:pos="4320"/>
        <w:tab w:val="clear" w:pos="5040"/>
        <w:tab w:val="clear" w:pos="5760"/>
        <w:tab w:val="clear" w:pos="7200"/>
      </w:tabs>
      <w:spacing w:line="240" w:lineRule="auto"/>
      <w:ind w:left="2836" w:right="0" w:hanging="1418"/>
      <w:jc w:val="both"/>
    </w:pPr>
    <w:rPr>
      <w:rFonts w:ascii="Times New Roman" w:hAnsi="Times New Roman"/>
      <w:i/>
      <w:lang w:eastAsia="en-US"/>
    </w:rPr>
  </w:style>
  <w:style w:type="character" w:customStyle="1" w:styleId="OrdersIndentLevel2iChar">
    <w:name w:val="Orders Indent Level 2 (i) Char"/>
    <w:link w:val="OrdersIndentLevel2i"/>
    <w:rsid w:val="00347A6E"/>
    <w:rPr>
      <w:rFonts w:ascii="Times New Roman" w:hAnsi="Times New Roman"/>
      <w:i/>
      <w:lang w:eastAsia="en-US"/>
    </w:rPr>
  </w:style>
  <w:style w:type="paragraph" w:customStyle="1" w:styleId="OrdersMatter">
    <w:name w:val="Orders Matter"/>
    <w:basedOn w:val="OrderCentreBold"/>
    <w:link w:val="OrdersMatterChar"/>
    <w:qFormat/>
    <w:rsid w:val="00347A6E"/>
  </w:style>
  <w:style w:type="character" w:customStyle="1" w:styleId="OrdersMatterChar">
    <w:name w:val="Orders Matter Char"/>
    <w:link w:val="OrdersMatter"/>
    <w:rsid w:val="00347A6E"/>
    <w:rPr>
      <w:rFonts w:ascii="Times New Roman" w:hAnsi="Times New Roman"/>
      <w:b/>
      <w:bCs/>
      <w:szCs w:val="20"/>
      <w:lang w:val="en-GB"/>
    </w:rPr>
  </w:style>
  <w:style w:type="paragraph" w:customStyle="1" w:styleId="OrdersNotice">
    <w:name w:val="Orders Notice"/>
    <w:rsid w:val="00347A6E"/>
    <w:pPr>
      <w:tabs>
        <w:tab w:val="left" w:pos="5103"/>
        <w:tab w:val="right" w:pos="7797"/>
      </w:tabs>
      <w:ind w:left="851" w:right="17"/>
    </w:pPr>
    <w:rPr>
      <w:rFonts w:ascii="Times New Roman" w:hAnsi="Times New Roman"/>
      <w:szCs w:val="20"/>
      <w:lang w:val="en-GB"/>
    </w:rPr>
  </w:style>
  <w:style w:type="paragraph" w:customStyle="1" w:styleId="OrdersRight">
    <w:name w:val="Orders Right"/>
    <w:basedOn w:val="Normal"/>
    <w:link w:val="OrdersRightChar"/>
    <w:qFormat/>
    <w:rsid w:val="00347A6E"/>
    <w:pPr>
      <w:tabs>
        <w:tab w:val="clear" w:pos="4320"/>
        <w:tab w:val="clear" w:pos="5040"/>
        <w:tab w:val="clear" w:pos="5760"/>
        <w:tab w:val="clear" w:pos="7200"/>
      </w:tabs>
      <w:spacing w:line="240" w:lineRule="auto"/>
      <w:ind w:right="0" w:firstLine="0"/>
      <w:jc w:val="right"/>
    </w:pPr>
    <w:rPr>
      <w:rFonts w:ascii="Times New Roman" w:hAnsi="Times New Roman"/>
      <w:szCs w:val="20"/>
      <w:lang w:eastAsia="en-US"/>
    </w:rPr>
  </w:style>
  <w:style w:type="character" w:customStyle="1" w:styleId="OrdersRightChar">
    <w:name w:val="Orders Right Char"/>
    <w:link w:val="OrdersRight"/>
    <w:rsid w:val="00347A6E"/>
    <w:rPr>
      <w:rFonts w:ascii="Times New Roman" w:hAnsi="Times New Roman"/>
      <w:szCs w:val="20"/>
      <w:lang w:eastAsia="en-US"/>
    </w:rPr>
  </w:style>
  <w:style w:type="paragraph" w:customStyle="1" w:styleId="OrdersText">
    <w:name w:val="Orders Text"/>
    <w:basedOn w:val="Normal"/>
    <w:link w:val="OrdersTextChar"/>
    <w:qFormat/>
    <w:rsid w:val="00347A6E"/>
    <w:pPr>
      <w:spacing w:line="240" w:lineRule="auto"/>
      <w:ind w:left="709" w:right="0" w:hanging="709"/>
      <w:jc w:val="both"/>
    </w:pPr>
    <w:rPr>
      <w:rFonts w:ascii="Times New Roman" w:hAnsi="Times New Roman"/>
      <w:i/>
      <w:lang w:eastAsia="en-US"/>
    </w:rPr>
  </w:style>
  <w:style w:type="character" w:customStyle="1" w:styleId="OrdersTextChar">
    <w:name w:val="Orders Text Char"/>
    <w:link w:val="OrdersText"/>
    <w:rsid w:val="00347A6E"/>
    <w:rPr>
      <w:rFonts w:ascii="Times New Roman" w:hAnsi="Times New Roman"/>
      <w:i/>
      <w:lang w:eastAsia="en-US"/>
    </w:rPr>
  </w:style>
  <w:style w:type="paragraph" w:customStyle="1" w:styleId="OrdersCenteredBorder">
    <w:name w:val="Orders Centered Border"/>
    <w:qFormat/>
    <w:rsid w:val="00347A6E"/>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sPartyName">
    <w:name w:val="Orders PartyName"/>
    <w:basedOn w:val="Normal"/>
    <w:link w:val="OrdersPartyNameChar"/>
    <w:qFormat/>
    <w:rsid w:val="00347A6E"/>
    <w:pPr>
      <w:tabs>
        <w:tab w:val="clear" w:pos="720"/>
        <w:tab w:val="clear" w:pos="1440"/>
        <w:tab w:val="clear" w:pos="2160"/>
        <w:tab w:val="clear" w:pos="2880"/>
        <w:tab w:val="clear" w:pos="3600"/>
        <w:tab w:val="clear" w:pos="4320"/>
        <w:tab w:val="clear" w:pos="5040"/>
        <w:tab w:val="clear" w:pos="5760"/>
        <w:tab w:val="clear" w:pos="6480"/>
        <w:tab w:val="clear" w:pos="7200"/>
        <w:tab w:val="right" w:pos="7938"/>
      </w:tabs>
      <w:spacing w:line="240" w:lineRule="auto"/>
      <w:ind w:right="2125" w:firstLine="0"/>
      <w:jc w:val="both"/>
    </w:pPr>
    <w:rPr>
      <w:rFonts w:ascii="Times New Roman" w:hAnsi="Times New Roman"/>
      <w:szCs w:val="20"/>
    </w:rPr>
  </w:style>
  <w:style w:type="character" w:customStyle="1" w:styleId="OrdersPartyNameChar">
    <w:name w:val="Orders PartyName Char"/>
    <w:link w:val="OrdersPartyName"/>
    <w:rsid w:val="00347A6E"/>
    <w:rPr>
      <w:rFonts w:ascii="Times New Roman" w:hAnsi="Times New Roman"/>
      <w:szCs w:val="20"/>
    </w:rPr>
  </w:style>
  <w:style w:type="paragraph" w:customStyle="1" w:styleId="LRHangingafterHC">
    <w:name w:val="LR Hanging after HC"/>
    <w:basedOn w:val="Normal"/>
    <w:next w:val="LeftrightHanging"/>
    <w:uiPriority w:val="99"/>
    <w:qFormat/>
    <w:rsid w:val="00347A6E"/>
    <w:pPr>
      <w:spacing w:before="720" w:line="240" w:lineRule="exact"/>
      <w:ind w:left="1440" w:right="794" w:hanging="720"/>
    </w:pPr>
  </w:style>
  <w:style w:type="paragraph" w:styleId="Revision">
    <w:name w:val="Revision"/>
    <w:hidden/>
    <w:uiPriority w:val="99"/>
    <w:semiHidden/>
    <w:rsid w:val="00426290"/>
  </w:style>
  <w:style w:type="character" w:styleId="CommentReference">
    <w:name w:val="annotation reference"/>
    <w:basedOn w:val="DefaultParagraphFont"/>
    <w:uiPriority w:val="99"/>
    <w:semiHidden/>
    <w:unhideWhenUsed/>
    <w:locked/>
    <w:rsid w:val="00693593"/>
    <w:rPr>
      <w:sz w:val="16"/>
      <w:szCs w:val="16"/>
    </w:rPr>
  </w:style>
  <w:style w:type="paragraph" w:styleId="CommentText">
    <w:name w:val="annotation text"/>
    <w:basedOn w:val="Normal"/>
    <w:link w:val="CommentTextChar"/>
    <w:uiPriority w:val="99"/>
    <w:unhideWhenUsed/>
    <w:locked/>
    <w:rsid w:val="00693593"/>
    <w:pPr>
      <w:spacing w:line="240" w:lineRule="auto"/>
    </w:pPr>
    <w:rPr>
      <w:sz w:val="20"/>
      <w:szCs w:val="20"/>
    </w:rPr>
  </w:style>
  <w:style w:type="character" w:customStyle="1" w:styleId="CommentTextChar">
    <w:name w:val="Comment Text Char"/>
    <w:basedOn w:val="DefaultParagraphFont"/>
    <w:link w:val="CommentText"/>
    <w:uiPriority w:val="99"/>
    <w:rsid w:val="00693593"/>
    <w:rPr>
      <w:sz w:val="20"/>
      <w:szCs w:val="20"/>
    </w:rPr>
  </w:style>
  <w:style w:type="paragraph" w:styleId="CommentSubject">
    <w:name w:val="annotation subject"/>
    <w:basedOn w:val="CommentText"/>
    <w:next w:val="CommentText"/>
    <w:link w:val="CommentSubjectChar"/>
    <w:uiPriority w:val="99"/>
    <w:semiHidden/>
    <w:unhideWhenUsed/>
    <w:locked/>
    <w:rsid w:val="00693593"/>
    <w:rPr>
      <w:b/>
      <w:bCs/>
    </w:rPr>
  </w:style>
  <w:style w:type="character" w:customStyle="1" w:styleId="CommentSubjectChar">
    <w:name w:val="Comment Subject Char"/>
    <w:basedOn w:val="CommentTextChar"/>
    <w:link w:val="CommentSubject"/>
    <w:uiPriority w:val="99"/>
    <w:semiHidden/>
    <w:rsid w:val="00693593"/>
    <w:rPr>
      <w:b/>
      <w:bCs/>
      <w:sz w:val="20"/>
      <w:szCs w:val="20"/>
    </w:rPr>
  </w:style>
  <w:style w:type="character" w:customStyle="1" w:styleId="Heading4Char">
    <w:name w:val="Heading 4 Char"/>
    <w:basedOn w:val="DefaultParagraphFont"/>
    <w:link w:val="Heading4"/>
    <w:uiPriority w:val="9"/>
    <w:rsid w:val="009F6ECF"/>
    <w:rPr>
      <w:rFonts w:ascii="Arial" w:eastAsia="Calibri" w:hAnsi="Arial" w:cs="Arial"/>
      <w:i/>
      <w:sz w:val="22"/>
      <w:szCs w:val="22"/>
    </w:rPr>
  </w:style>
  <w:style w:type="paragraph" w:customStyle="1" w:styleId="NoNorm">
    <w:name w:val="No Norm"/>
    <w:basedOn w:val="Normal"/>
    <w:qFormat/>
    <w:rsid w:val="009F6ECF"/>
    <w:pPr>
      <w:tabs>
        <w:tab w:val="clear" w:pos="720"/>
        <w:tab w:val="clear" w:pos="1440"/>
        <w:tab w:val="left" w:pos="709"/>
      </w:tabs>
      <w:spacing w:before="120" w:line="240" w:lineRule="auto"/>
      <w:ind w:left="720" w:hanging="720"/>
      <w:jc w:val="both"/>
    </w:pPr>
    <w:rPr>
      <w:rFonts w:ascii="Arial" w:eastAsia="Calibri" w:hAnsi="Arial" w:cs="Arial"/>
      <w:sz w:val="22"/>
      <w:szCs w:val="22"/>
    </w:rPr>
  </w:style>
  <w:style w:type="character" w:customStyle="1" w:styleId="FootnoteTextChar">
    <w:name w:val="Footnote Text Char"/>
    <w:basedOn w:val="DefaultParagraphFont"/>
    <w:link w:val="FootnoteText"/>
    <w:uiPriority w:val="53"/>
    <w:rsid w:val="009F6ECF"/>
  </w:style>
  <w:style w:type="paragraph" w:styleId="Quote">
    <w:name w:val="Quote"/>
    <w:basedOn w:val="Normal"/>
    <w:next w:val="NoNorm"/>
    <w:link w:val="QuoteChar"/>
    <w:uiPriority w:val="29"/>
    <w:qFormat/>
    <w:locked/>
    <w:rsid w:val="009F6ECF"/>
    <w:pPr>
      <w:tabs>
        <w:tab w:val="clear" w:pos="720"/>
        <w:tab w:val="clear" w:pos="1440"/>
        <w:tab w:val="left" w:pos="1276"/>
      </w:tabs>
      <w:spacing w:before="120" w:after="240" w:line="240" w:lineRule="auto"/>
      <w:ind w:left="1276" w:right="566" w:firstLine="0"/>
      <w:jc w:val="both"/>
    </w:pPr>
    <w:rPr>
      <w:rFonts w:ascii="Arial" w:eastAsia="Calibri" w:hAnsi="Arial" w:cs="Arial"/>
      <w:sz w:val="20"/>
      <w:szCs w:val="22"/>
    </w:rPr>
  </w:style>
  <w:style w:type="character" w:customStyle="1" w:styleId="QuoteChar">
    <w:name w:val="Quote Char"/>
    <w:basedOn w:val="DefaultParagraphFont"/>
    <w:link w:val="Quote"/>
    <w:uiPriority w:val="29"/>
    <w:rsid w:val="009F6ECF"/>
    <w:rPr>
      <w:rFonts w:ascii="Arial" w:eastAsia="Calibri" w:hAnsi="Arial" w:cs="Arial"/>
      <w:sz w:val="20"/>
      <w:szCs w:val="22"/>
    </w:rPr>
  </w:style>
  <w:style w:type="paragraph" w:customStyle="1" w:styleId="Noindentnormal">
    <w:name w:val="No indent normal"/>
    <w:basedOn w:val="NoNorm"/>
    <w:qFormat/>
    <w:rsid w:val="009F6ECF"/>
    <w:pPr>
      <w:tabs>
        <w:tab w:val="clear" w:pos="2160"/>
        <w:tab w:val="left" w:pos="1418"/>
      </w:tabs>
      <w:ind w:left="1418" w:hanging="709"/>
    </w:pPr>
  </w:style>
  <w:style w:type="paragraph" w:customStyle="1" w:styleId="Indentlista">
    <w:name w:val="Indent list a)"/>
    <w:basedOn w:val="Noindentnormal"/>
    <w:qFormat/>
    <w:rsid w:val="009F6ECF"/>
    <w:pPr>
      <w:tabs>
        <w:tab w:val="left" w:pos="2268"/>
      </w:tabs>
      <w:spacing w:before="60"/>
      <w:ind w:left="2268" w:hanging="567"/>
    </w:pPr>
  </w:style>
  <w:style w:type="paragraph" w:customStyle="1" w:styleId="Leg1">
    <w:name w:val="Leg1"/>
    <w:basedOn w:val="Quote"/>
    <w:link w:val="Leg1Char"/>
    <w:qFormat/>
    <w:rsid w:val="009F6ECF"/>
    <w:pPr>
      <w:tabs>
        <w:tab w:val="clear" w:pos="2160"/>
        <w:tab w:val="clear" w:pos="2880"/>
        <w:tab w:val="left" w:pos="1418"/>
        <w:tab w:val="left" w:pos="2410"/>
      </w:tabs>
      <w:ind w:left="1418" w:right="567" w:firstLine="23"/>
    </w:pPr>
  </w:style>
  <w:style w:type="character" w:customStyle="1" w:styleId="Leg1Char">
    <w:name w:val="Leg1 Char"/>
    <w:link w:val="Leg1"/>
    <w:rsid w:val="009F6ECF"/>
    <w:rPr>
      <w:rFonts w:ascii="Arial" w:eastAsia="Calibri" w:hAnsi="Arial" w:cs="Arial"/>
      <w:sz w:val="20"/>
      <w:szCs w:val="22"/>
    </w:rPr>
  </w:style>
  <w:style w:type="paragraph" w:customStyle="1" w:styleId="Body">
    <w:name w:val="Body"/>
    <w:basedOn w:val="Normal"/>
    <w:qFormat/>
    <w:rsid w:val="00873AA1"/>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rPr>
  </w:style>
  <w:style w:type="paragraph" w:customStyle="1" w:styleId="BodyHeading">
    <w:name w:val="Body Heading"/>
    <w:basedOn w:val="Normal"/>
    <w:qFormat/>
    <w:rsid w:val="00873AA1"/>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rPr>
  </w:style>
  <w:style w:type="paragraph" w:customStyle="1" w:styleId="Centre">
    <w:name w:val="Centre"/>
    <w:qFormat/>
    <w:rsid w:val="00873AA1"/>
    <w:pPr>
      <w:tabs>
        <w:tab w:val="left" w:pos="720"/>
        <w:tab w:val="left" w:pos="1440"/>
      </w:tabs>
      <w:ind w:right="17"/>
      <w:jc w:val="center"/>
    </w:pPr>
    <w:rPr>
      <w:rFonts w:ascii="Times New Roman" w:hAnsi="Times New Roman"/>
      <w:szCs w:val="20"/>
      <w:lang w:val="en-GB"/>
    </w:rPr>
  </w:style>
  <w:style w:type="paragraph" w:customStyle="1" w:styleId="CentreItalics">
    <w:name w:val="Centre Italics"/>
    <w:basedOn w:val="Normal"/>
    <w:qFormat/>
    <w:rsid w:val="00873AA1"/>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rPr>
  </w:style>
  <w:style w:type="paragraph" w:customStyle="1" w:styleId="Notice">
    <w:name w:val="Notice"/>
    <w:rsid w:val="00873AA1"/>
    <w:pPr>
      <w:tabs>
        <w:tab w:val="left" w:pos="5103"/>
        <w:tab w:val="right" w:pos="7797"/>
      </w:tabs>
      <w:ind w:left="851" w:right="17"/>
      <w:jc w:val="both"/>
    </w:pPr>
    <w:rPr>
      <w:rFonts w:ascii="Times New Roman" w:hAnsi="Times New Roman"/>
      <w:szCs w:val="20"/>
      <w:lang w:val="en-GB"/>
    </w:rPr>
  </w:style>
  <w:style w:type="paragraph" w:customStyle="1" w:styleId="OrderCentre">
    <w:name w:val="Order Centre"/>
    <w:rsid w:val="00873AA1"/>
    <w:pPr>
      <w:jc w:val="center"/>
    </w:pPr>
    <w:rPr>
      <w:rFonts w:ascii="Times New Roman" w:hAnsi="Times New Roman"/>
      <w:bCs/>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0.xml"/><Relationship Id="rId39" Type="http://schemas.openxmlformats.org/officeDocument/2006/relationships/fontTable" Target="fontTable.xml"/><Relationship Id="rId21" Type="http://schemas.openxmlformats.org/officeDocument/2006/relationships/header" Target="header6.xml"/><Relationship Id="rId34" Type="http://schemas.openxmlformats.org/officeDocument/2006/relationships/header" Target="header1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header" Target="header14.xml"/><Relationship Id="rId38"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header" Target="header13.xml"/><Relationship Id="rId37" Type="http://schemas.openxmlformats.org/officeDocument/2006/relationships/header" Target="header18.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7.xml"/><Relationship Id="rId36" Type="http://schemas.openxmlformats.org/officeDocument/2006/relationships/header" Target="header17.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header" Target="header16.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hca.local\shares\MasterTemplates\Chambers\Chambers%20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c5b7fd-636f-49ec-b8cc-eb8a3f2ba19e" xsi:nil="true"/>
    <lcf76f155ced4ddcb4097134ff3c332f xmlns="3cc3f26d-d9cc-46f3-89c7-f1482de8c8f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32D2EC4F8DE44A8C0C478B82839881" ma:contentTypeVersion="17" ma:contentTypeDescription="Create a new document." ma:contentTypeScope="" ma:versionID="d3d0a8378352b5763bc515572bd2d873">
  <xsd:schema xmlns:xsd="http://www.w3.org/2001/XMLSchema" xmlns:xs="http://www.w3.org/2001/XMLSchema" xmlns:p="http://schemas.microsoft.com/office/2006/metadata/properties" xmlns:ns2="cbc5b7fd-636f-49ec-b8cc-eb8a3f2ba19e" xmlns:ns3="3cc3f26d-d9cc-46f3-89c7-f1482de8c8f1" targetNamespace="http://schemas.microsoft.com/office/2006/metadata/properties" ma:root="true" ma:fieldsID="45eda7b729c33eeb9e4c121fa375b4d1" ns2:_="" ns3:_="">
    <xsd:import namespace="cbc5b7fd-636f-49ec-b8cc-eb8a3f2ba19e"/>
    <xsd:import namespace="3cc3f26d-d9cc-46f3-89c7-f1482de8c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5b7fd-636f-49ec-b8cc-eb8a3f2ba1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917a95-3fa1-418e-808a-c77197b9d2d6}" ma:internalName="TaxCatchAll" ma:showField="CatchAllData" ma:web="cbc5b7fd-636f-49ec-b8cc-eb8a3f2ba1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c3f26d-d9cc-46f3-89c7-f1482de8c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e3044c-c92f-4775-8f51-280d1277677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DD54D-5AB1-4084-B29D-C530544F59D2}">
  <ds:schemaRefs>
    <ds:schemaRef ds:uri="http://schemas.microsoft.com/office/2006/metadata/properties"/>
    <ds:schemaRef ds:uri="http://schemas.microsoft.com/office/infopath/2007/PartnerControls"/>
    <ds:schemaRef ds:uri="cbc5b7fd-636f-49ec-b8cc-eb8a3f2ba19e"/>
    <ds:schemaRef ds:uri="3cc3f26d-d9cc-46f3-89c7-f1482de8c8f1"/>
  </ds:schemaRefs>
</ds:datastoreItem>
</file>

<file path=customXml/itemProps2.xml><?xml version="1.0" encoding="utf-8"?>
<ds:datastoreItem xmlns:ds="http://schemas.openxmlformats.org/officeDocument/2006/customXml" ds:itemID="{AE3CABC9-ED92-4909-94EC-7CAA94302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5b7fd-636f-49ec-b8cc-eb8a3f2ba19e"/>
    <ds:schemaRef ds:uri="3cc3f26d-d9cc-46f3-89c7-f1482de8c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F51E2A-5120-49B8-B8A9-580B46FA2AC5}">
  <ds:schemaRefs>
    <ds:schemaRef ds:uri="http://schemas.microsoft.com/sharepoint/v3/contenttype/forms"/>
  </ds:schemaRefs>
</ds:datastoreItem>
</file>

<file path=customXml/itemProps4.xml><?xml version="1.0" encoding="utf-8"?>
<ds:datastoreItem xmlns:ds="http://schemas.openxmlformats.org/officeDocument/2006/customXml" ds:itemID="{45EC6EDD-F216-48FC-9330-62E6B57D5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Chambers V11</Template>
  <TotalTime>0</TotalTime>
  <Pages>89</Pages>
  <Words>26711</Words>
  <Characters>152254</Characters>
  <Application>Microsoft Office Word</Application>
  <DocSecurity>0</DocSecurity>
  <Lines>1268</Lines>
  <Paragraphs>357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2026-06-09T02:09:00Z</dcterms:created>
  <dcterms:modified xsi:type="dcterms:W3CDTF">2026-06-09T02:26:00Z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0x0101001F32D2EC4F8DE44A8C0C478B82839881</vt:lpwstr>
  </property>
  <property fmtid="{D5CDD505-2E9C-101B-9397-08002B2CF9AE}" pid="3" name="MediaServiceImageTags">
    <vt:lpwstr/>
  </property>
  <property fmtid="{D5CDD505-2E9C-101B-9397-08002B2CF9AE}" pid="4" name="docLang">
    <vt:lpwstr>en</vt:lpwstr>
  </property>
</Properties>
</file>